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636F2" w:rsidR="00B636F2" w:rsidP="00B636F2" w:rsidRDefault="00B636F2" w14:paraId="472BECC1" w14:textId="1554BD27">
      <w:pPr>
        <w:spacing w:after="0" w:line="240" w:lineRule="auto"/>
        <w:jc w:val="center"/>
        <w:textAlignment w:val="baseline"/>
        <w:rPr>
          <w:rFonts w:ascii="Arial" w:hAnsi="Arial" w:eastAsia="Times New Roman" w:cs="Arial"/>
          <w:b/>
          <w:bCs/>
          <w:caps/>
          <w:sz w:val="24"/>
          <w:szCs w:val="24"/>
        </w:rPr>
      </w:pPr>
      <w:r w:rsidRPr="22811F19">
        <w:rPr>
          <w:rFonts w:ascii="Arial" w:hAnsi="Arial" w:eastAsia="Times New Roman" w:cs="Arial"/>
          <w:b/>
          <w:bCs/>
          <w:caps/>
          <w:sz w:val="24"/>
          <w:szCs w:val="24"/>
        </w:rPr>
        <w:t>Before</w:t>
      </w:r>
    </w:p>
    <w:p w:rsidRPr="00B22A7A" w:rsidR="00B636F2" w:rsidP="00B636F2" w:rsidRDefault="00B636F2" w14:paraId="56B05762" w14:textId="612B49E2">
      <w:pPr>
        <w:spacing w:after="0" w:line="240" w:lineRule="auto"/>
        <w:jc w:val="center"/>
        <w:textAlignment w:val="baseline"/>
        <w:rPr>
          <w:rFonts w:ascii="Arial" w:hAnsi="Arial" w:eastAsia="Times New Roman" w:cs="Arial"/>
          <w:b/>
          <w:bCs/>
          <w:caps/>
          <w:sz w:val="24"/>
          <w:szCs w:val="24"/>
        </w:rPr>
      </w:pPr>
      <w:r w:rsidRPr="00B636F2">
        <w:rPr>
          <w:rFonts w:ascii="Arial" w:hAnsi="Arial" w:eastAsia="Times New Roman" w:cs="Arial"/>
          <w:b/>
          <w:bCs/>
          <w:caps/>
          <w:sz w:val="24"/>
          <w:szCs w:val="24"/>
        </w:rPr>
        <w:t>The Public Utilities Commission of Ohio</w:t>
      </w:r>
    </w:p>
    <w:p w:rsidRPr="00295A05" w:rsidR="00B22A7A" w:rsidRDefault="00B22A7A" w14:paraId="114599B0" w14:textId="54BE4389">
      <w:pPr>
        <w:rPr>
          <w:rFonts w:ascii="Arial" w:hAnsi="Arial" w:cs="Arial"/>
          <w:b/>
          <w:sz w:val="24"/>
          <w:szCs w:val="24"/>
          <w:shd w:val="clear" w:color="auto" w:fill="FFFFFF"/>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630"/>
        <w:gridCol w:w="3510"/>
      </w:tblGrid>
      <w:tr w:rsidR="00B636F2" w:rsidTr="0068188F" w14:paraId="62747B2D" w14:textId="77777777">
        <w:trPr>
          <w:jc w:val="center"/>
        </w:trPr>
        <w:tc>
          <w:tcPr>
            <w:tcW w:w="4680" w:type="dxa"/>
          </w:tcPr>
          <w:p w:rsidRPr="00295A05" w:rsidR="00B636F2" w:rsidP="00943F1F" w:rsidRDefault="00BE4054" w14:paraId="24AA7CFB" w14:textId="178F27CE">
            <w:pPr>
              <w:jc w:val="both"/>
              <w:rPr>
                <w:rFonts w:ascii="Arial" w:hAnsi="Arial" w:cs="Arial"/>
                <w:b/>
                <w:sz w:val="24"/>
                <w:szCs w:val="24"/>
                <w:shd w:val="clear" w:color="auto" w:fill="FFFFFF"/>
              </w:rPr>
            </w:pPr>
            <w:r w:rsidRPr="00084E0A">
              <w:rPr>
                <w:rFonts w:ascii="Arial" w:hAnsi="Arial" w:cs="Arial"/>
                <w:sz w:val="24"/>
                <w:szCs w:val="24"/>
              </w:rPr>
              <w:t>In the Matter of the Application of Ohio Power Company for an Increase in Electric Distribution Rates.</w:t>
            </w:r>
          </w:p>
        </w:tc>
        <w:tc>
          <w:tcPr>
            <w:tcW w:w="630" w:type="dxa"/>
            <w:vAlign w:val="center"/>
          </w:tcPr>
          <w:p w:rsidRPr="00295A05" w:rsidR="00B636F2" w:rsidP="00943F1F" w:rsidRDefault="00943F1F" w14:paraId="178C192C" w14:textId="77777777">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p w:rsidRPr="00295A05" w:rsidR="00943F1F" w:rsidP="00943F1F" w:rsidRDefault="00943F1F" w14:paraId="5B7A2C7F" w14:textId="77777777">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p w:rsidRPr="00295A05" w:rsidR="00943F1F" w:rsidP="0068188F" w:rsidRDefault="00943F1F" w14:paraId="3B897FE0" w14:textId="2385EABC">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tc>
        <w:tc>
          <w:tcPr>
            <w:tcW w:w="3510" w:type="dxa"/>
            <w:vAlign w:val="center"/>
          </w:tcPr>
          <w:p w:rsidRPr="00295A05" w:rsidR="00B636F2" w:rsidP="0068188F" w:rsidRDefault="00B82623" w14:paraId="24FB9449" w14:textId="50E0F98F">
            <w:pPr>
              <w:jc w:val="center"/>
              <w:rPr>
                <w:rFonts w:ascii="Arial" w:hAnsi="Arial" w:cs="Arial"/>
                <w:b/>
                <w:sz w:val="24"/>
                <w:szCs w:val="24"/>
                <w:shd w:val="clear" w:color="auto" w:fill="FFFFFF"/>
              </w:rPr>
            </w:pPr>
            <w:r w:rsidRPr="00084E0A">
              <w:rPr>
                <w:rFonts w:ascii="Arial" w:hAnsi="Arial" w:cs="Arial"/>
                <w:sz w:val="24"/>
                <w:szCs w:val="24"/>
              </w:rPr>
              <w:t>Case No. 20-585-EL-AIR</w:t>
            </w:r>
          </w:p>
        </w:tc>
      </w:tr>
      <w:tr w:rsidR="00B636F2" w:rsidTr="0068188F" w14:paraId="5F6C2D58" w14:textId="77777777">
        <w:trPr>
          <w:jc w:val="center"/>
        </w:trPr>
        <w:tc>
          <w:tcPr>
            <w:tcW w:w="4680" w:type="dxa"/>
          </w:tcPr>
          <w:p w:rsidRPr="00295A05" w:rsidR="00B636F2" w:rsidP="00943F1F" w:rsidRDefault="00B636F2" w14:paraId="29A65234" w14:textId="77777777">
            <w:pPr>
              <w:jc w:val="both"/>
              <w:rPr>
                <w:rFonts w:ascii="Arial" w:hAnsi="Arial" w:cs="Arial"/>
                <w:b/>
                <w:sz w:val="24"/>
                <w:szCs w:val="24"/>
                <w:shd w:val="clear" w:color="auto" w:fill="FFFFFF"/>
              </w:rPr>
            </w:pPr>
          </w:p>
        </w:tc>
        <w:tc>
          <w:tcPr>
            <w:tcW w:w="630" w:type="dxa"/>
            <w:vAlign w:val="center"/>
          </w:tcPr>
          <w:p w:rsidRPr="00295A05" w:rsidR="00B636F2" w:rsidP="00943F1F" w:rsidRDefault="00B636F2" w14:paraId="6CAC5B19" w14:textId="77777777">
            <w:pPr>
              <w:jc w:val="right"/>
              <w:rPr>
                <w:rFonts w:ascii="Arial" w:hAnsi="Arial" w:cs="Arial"/>
                <w:sz w:val="24"/>
                <w:szCs w:val="24"/>
                <w:shd w:val="clear" w:color="auto" w:fill="FFFFFF"/>
              </w:rPr>
            </w:pPr>
          </w:p>
        </w:tc>
        <w:tc>
          <w:tcPr>
            <w:tcW w:w="3510" w:type="dxa"/>
            <w:vAlign w:val="center"/>
          </w:tcPr>
          <w:p w:rsidRPr="00295A05" w:rsidR="00B636F2" w:rsidP="0068188F" w:rsidRDefault="00B636F2" w14:paraId="2B2FAF7E" w14:textId="77777777">
            <w:pPr>
              <w:jc w:val="center"/>
              <w:rPr>
                <w:rFonts w:ascii="Arial" w:hAnsi="Arial" w:cs="Arial"/>
                <w:b/>
                <w:sz w:val="24"/>
                <w:szCs w:val="24"/>
                <w:shd w:val="clear" w:color="auto" w:fill="FFFFFF"/>
              </w:rPr>
            </w:pPr>
          </w:p>
        </w:tc>
      </w:tr>
      <w:tr w:rsidR="001F751E" w:rsidTr="0068188F" w14:paraId="768C2009" w14:textId="77777777">
        <w:trPr>
          <w:jc w:val="center"/>
        </w:trPr>
        <w:tc>
          <w:tcPr>
            <w:tcW w:w="4680" w:type="dxa"/>
          </w:tcPr>
          <w:p w:rsidRPr="00295A05" w:rsidR="001F751E" w:rsidP="00943F1F" w:rsidRDefault="001F751E" w14:paraId="54146820" w14:textId="722DE3BE">
            <w:pPr>
              <w:jc w:val="both"/>
              <w:rPr>
                <w:rFonts w:ascii="Arial" w:hAnsi="Arial" w:cs="Arial"/>
                <w:b/>
                <w:sz w:val="24"/>
                <w:szCs w:val="24"/>
                <w:shd w:val="clear" w:color="auto" w:fill="FFFFFF"/>
              </w:rPr>
            </w:pPr>
            <w:r w:rsidRPr="00084E0A">
              <w:rPr>
                <w:rFonts w:ascii="Arial" w:hAnsi="Arial" w:cs="Arial"/>
                <w:sz w:val="24"/>
                <w:szCs w:val="24"/>
              </w:rPr>
              <w:t>In the Matter of the Application of Ohio Power Company for Tariff Approval.</w:t>
            </w:r>
          </w:p>
        </w:tc>
        <w:tc>
          <w:tcPr>
            <w:tcW w:w="630" w:type="dxa"/>
            <w:vAlign w:val="center"/>
          </w:tcPr>
          <w:p w:rsidRPr="00295A05" w:rsidR="001F751E" w:rsidP="00943F1F" w:rsidRDefault="00943F1F" w14:paraId="2F19C514" w14:textId="77777777">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p w:rsidRPr="00295A05" w:rsidR="00943F1F" w:rsidP="0068188F" w:rsidRDefault="00943F1F" w14:paraId="2DEB87B1" w14:textId="0B56A3FB">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tc>
        <w:tc>
          <w:tcPr>
            <w:tcW w:w="3510" w:type="dxa"/>
            <w:vAlign w:val="center"/>
          </w:tcPr>
          <w:p w:rsidRPr="001F751E" w:rsidR="001F751E" w:rsidP="0068188F" w:rsidRDefault="001F751E" w14:paraId="3FC152A3" w14:textId="0C5A46AB">
            <w:pPr>
              <w:tabs>
                <w:tab w:val="left" w:pos="2340"/>
              </w:tabs>
              <w:jc w:val="center"/>
              <w:rPr>
                <w:rFonts w:ascii="Arial" w:hAnsi="Arial" w:cs="Arial"/>
                <w:sz w:val="24"/>
                <w:szCs w:val="24"/>
              </w:rPr>
            </w:pPr>
            <w:r w:rsidRPr="00084E0A">
              <w:rPr>
                <w:rFonts w:ascii="Arial" w:hAnsi="Arial" w:cs="Arial"/>
                <w:sz w:val="24"/>
                <w:szCs w:val="24"/>
              </w:rPr>
              <w:t>Case No. 20-586-EL-ATA</w:t>
            </w:r>
          </w:p>
        </w:tc>
      </w:tr>
      <w:tr w:rsidR="001F751E" w:rsidTr="0068188F" w14:paraId="4682D2A7" w14:textId="77777777">
        <w:trPr>
          <w:jc w:val="center"/>
        </w:trPr>
        <w:tc>
          <w:tcPr>
            <w:tcW w:w="4680" w:type="dxa"/>
          </w:tcPr>
          <w:p w:rsidRPr="00295A05" w:rsidR="001F751E" w:rsidP="00943F1F" w:rsidRDefault="001F751E" w14:paraId="78B5FDE4" w14:textId="77777777">
            <w:pPr>
              <w:jc w:val="both"/>
              <w:rPr>
                <w:rFonts w:ascii="Arial" w:hAnsi="Arial" w:cs="Arial"/>
                <w:b/>
                <w:sz w:val="24"/>
                <w:szCs w:val="24"/>
                <w:shd w:val="clear" w:color="auto" w:fill="FFFFFF"/>
              </w:rPr>
            </w:pPr>
          </w:p>
        </w:tc>
        <w:tc>
          <w:tcPr>
            <w:tcW w:w="630" w:type="dxa"/>
            <w:vAlign w:val="center"/>
          </w:tcPr>
          <w:p w:rsidRPr="00295A05" w:rsidR="001F751E" w:rsidP="00943F1F" w:rsidRDefault="001F751E" w14:paraId="78DA0125" w14:textId="77777777">
            <w:pPr>
              <w:jc w:val="right"/>
              <w:rPr>
                <w:rFonts w:ascii="Arial" w:hAnsi="Arial" w:cs="Arial"/>
                <w:sz w:val="24"/>
                <w:szCs w:val="24"/>
                <w:shd w:val="clear" w:color="auto" w:fill="FFFFFF"/>
              </w:rPr>
            </w:pPr>
          </w:p>
        </w:tc>
        <w:tc>
          <w:tcPr>
            <w:tcW w:w="3510" w:type="dxa"/>
            <w:vAlign w:val="center"/>
          </w:tcPr>
          <w:p w:rsidRPr="00295A05" w:rsidR="001F751E" w:rsidP="0068188F" w:rsidRDefault="001F751E" w14:paraId="5E6AE93E" w14:textId="792DB0FD">
            <w:pPr>
              <w:jc w:val="center"/>
              <w:rPr>
                <w:rFonts w:ascii="Arial" w:hAnsi="Arial" w:cs="Arial"/>
                <w:b/>
                <w:sz w:val="24"/>
                <w:szCs w:val="24"/>
                <w:shd w:val="clear" w:color="auto" w:fill="FFFFFF"/>
              </w:rPr>
            </w:pPr>
          </w:p>
        </w:tc>
      </w:tr>
      <w:tr w:rsidR="001F751E" w:rsidTr="0068188F" w14:paraId="18277062" w14:textId="77777777">
        <w:trPr>
          <w:jc w:val="center"/>
        </w:trPr>
        <w:tc>
          <w:tcPr>
            <w:tcW w:w="4680" w:type="dxa"/>
          </w:tcPr>
          <w:p w:rsidRPr="00295A05" w:rsidR="001F751E" w:rsidP="00943F1F" w:rsidRDefault="001F751E" w14:paraId="23D8366C" w14:textId="2B78F8F7">
            <w:pPr>
              <w:jc w:val="both"/>
              <w:rPr>
                <w:rFonts w:ascii="Arial" w:hAnsi="Arial" w:cs="Arial"/>
                <w:b/>
                <w:sz w:val="24"/>
                <w:szCs w:val="24"/>
                <w:shd w:val="clear" w:color="auto" w:fill="FFFFFF"/>
              </w:rPr>
            </w:pPr>
            <w:r w:rsidRPr="00084E0A">
              <w:rPr>
                <w:rFonts w:ascii="Arial" w:hAnsi="Arial" w:cs="Arial"/>
                <w:sz w:val="24"/>
                <w:szCs w:val="24"/>
              </w:rPr>
              <w:t>In the Matter of the Application of Ohio Power Company for Approval to Change Accounting Methods.</w:t>
            </w:r>
          </w:p>
        </w:tc>
        <w:tc>
          <w:tcPr>
            <w:tcW w:w="630" w:type="dxa"/>
            <w:vAlign w:val="center"/>
          </w:tcPr>
          <w:p w:rsidRPr="00295A05" w:rsidR="001F751E" w:rsidP="00943F1F" w:rsidRDefault="00943F1F" w14:paraId="5F5A907A" w14:textId="77777777">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p w:rsidRPr="00295A05" w:rsidR="00943F1F" w:rsidP="00943F1F" w:rsidRDefault="00943F1F" w14:paraId="2C235247" w14:textId="77777777">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p w:rsidRPr="00295A05" w:rsidR="00943F1F" w:rsidP="00943F1F" w:rsidRDefault="00943F1F" w14:paraId="38AC9A56" w14:textId="5041F6C4">
            <w:pPr>
              <w:jc w:val="right"/>
              <w:rPr>
                <w:rFonts w:ascii="Arial" w:hAnsi="Arial" w:cs="Arial"/>
                <w:sz w:val="24"/>
                <w:szCs w:val="24"/>
                <w:shd w:val="clear" w:color="auto" w:fill="FFFFFF"/>
              </w:rPr>
            </w:pPr>
            <w:r w:rsidRPr="00295A05">
              <w:rPr>
                <w:rFonts w:ascii="Arial" w:hAnsi="Arial" w:cs="Arial"/>
                <w:sz w:val="24"/>
                <w:szCs w:val="24"/>
                <w:shd w:val="clear" w:color="auto" w:fill="FFFFFF"/>
              </w:rPr>
              <w:t>)</w:t>
            </w:r>
          </w:p>
        </w:tc>
        <w:tc>
          <w:tcPr>
            <w:tcW w:w="3510" w:type="dxa"/>
            <w:vAlign w:val="center"/>
          </w:tcPr>
          <w:p w:rsidRPr="00295A05" w:rsidR="00943F1F" w:rsidP="0068188F" w:rsidRDefault="00943F1F" w14:paraId="50A9AB8F" w14:textId="2F43DB3A">
            <w:pPr>
              <w:pStyle w:val="NoSpacing"/>
              <w:jc w:val="center"/>
              <w:rPr>
                <w:rFonts w:ascii="Arial" w:hAnsi="Arial" w:cs="Arial"/>
                <w:b/>
                <w:sz w:val="24"/>
                <w:szCs w:val="24"/>
                <w:shd w:val="clear" w:color="auto" w:fill="FFFFFF"/>
              </w:rPr>
            </w:pPr>
            <w:r w:rsidRPr="00943F1F">
              <w:rPr>
                <w:rFonts w:ascii="Arial" w:hAnsi="Arial" w:cs="Arial"/>
                <w:sz w:val="24"/>
                <w:szCs w:val="24"/>
              </w:rPr>
              <w:t>Case No. 20-587-EL-AAM</w:t>
            </w:r>
          </w:p>
        </w:tc>
      </w:tr>
    </w:tbl>
    <w:p w:rsidRPr="00295A05" w:rsidR="00B636F2" w:rsidRDefault="00B636F2" w14:paraId="2231AFD8" w14:textId="77777777">
      <w:pPr>
        <w:rPr>
          <w:rFonts w:ascii="Arial" w:hAnsi="Arial" w:cs="Arial"/>
          <w:b/>
          <w:sz w:val="24"/>
          <w:szCs w:val="24"/>
          <w:shd w:val="clear" w:color="auto" w:fill="FFFFFF"/>
        </w:rPr>
      </w:pPr>
    </w:p>
    <w:p w:rsidRPr="00295A05" w:rsidR="00B22A7A" w:rsidP="00781931" w:rsidRDefault="00B22A7A" w14:paraId="5FEA45F2" w14:textId="77777777">
      <w:pPr>
        <w:pBdr>
          <w:top w:val="single" w:color="auto" w:sz="12" w:space="1"/>
          <w:bottom w:val="single" w:color="auto" w:sz="12" w:space="1"/>
        </w:pBdr>
        <w:spacing w:after="0"/>
        <w:rPr>
          <w:rFonts w:ascii="Arial" w:hAnsi="Arial" w:cs="Arial"/>
          <w:b/>
          <w:sz w:val="24"/>
          <w:szCs w:val="24"/>
          <w:shd w:val="clear" w:color="auto" w:fill="FFFFFF"/>
        </w:rPr>
      </w:pPr>
    </w:p>
    <w:p w:rsidRPr="00295A05" w:rsidR="00B22A7A" w:rsidP="00781931" w:rsidRDefault="00B22A7A" w14:paraId="65738F45" w14:textId="398A32BA">
      <w:pPr>
        <w:pBdr>
          <w:top w:val="single" w:color="auto" w:sz="12" w:space="1"/>
          <w:bottom w:val="single" w:color="auto" w:sz="12" w:space="1"/>
        </w:pBdr>
        <w:spacing w:after="0"/>
        <w:jc w:val="center"/>
        <w:rPr>
          <w:rFonts w:ascii="Arial" w:hAnsi="Arial" w:cs="Arial"/>
          <w:b/>
          <w:caps/>
          <w:sz w:val="24"/>
          <w:szCs w:val="24"/>
          <w:shd w:val="clear" w:color="auto" w:fill="FFFFFF"/>
        </w:rPr>
      </w:pPr>
      <w:r w:rsidRPr="00295A05">
        <w:rPr>
          <w:rFonts w:ascii="Arial" w:hAnsi="Arial" w:cs="Arial"/>
          <w:b/>
          <w:caps/>
          <w:sz w:val="24"/>
          <w:szCs w:val="24"/>
          <w:shd w:val="clear" w:color="auto" w:fill="FFFFFF"/>
        </w:rPr>
        <w:t>Initial Brief of Interstate Gas Supply, Inc.</w:t>
      </w:r>
    </w:p>
    <w:p w:rsidRPr="00295A05" w:rsidR="00B22A7A" w:rsidP="00781931" w:rsidRDefault="00B22A7A" w14:paraId="05C8CCEF" w14:textId="77777777">
      <w:pPr>
        <w:pBdr>
          <w:top w:val="single" w:color="auto" w:sz="12" w:space="1"/>
          <w:bottom w:val="single" w:color="auto" w:sz="12" w:space="1"/>
        </w:pBdr>
        <w:spacing w:after="0"/>
        <w:rPr>
          <w:rFonts w:ascii="Arial" w:hAnsi="Arial" w:cs="Arial"/>
          <w:b/>
          <w:sz w:val="24"/>
          <w:szCs w:val="24"/>
          <w:shd w:val="clear" w:color="auto" w:fill="FFFFFF"/>
        </w:rPr>
      </w:pPr>
    </w:p>
    <w:p w:rsidRPr="00295A05" w:rsidR="00B22A7A" w:rsidRDefault="00B22A7A" w14:paraId="68824430" w14:textId="76CF0B8B">
      <w:pPr>
        <w:rPr>
          <w:rFonts w:ascii="Arial" w:hAnsi="Arial" w:cs="Arial"/>
          <w:b/>
          <w:sz w:val="24"/>
          <w:szCs w:val="24"/>
          <w:shd w:val="clear" w:color="auto" w:fill="FFFFFF"/>
        </w:rPr>
      </w:pPr>
      <w:r w:rsidRPr="00295A05">
        <w:rPr>
          <w:rFonts w:ascii="Arial" w:hAnsi="Arial" w:cs="Arial"/>
          <w:b/>
          <w:sz w:val="24"/>
          <w:szCs w:val="24"/>
          <w:shd w:val="clear" w:color="auto" w:fill="FFFFFF"/>
        </w:rPr>
        <w:br w:type="page"/>
      </w:r>
    </w:p>
    <w:p w:rsidRPr="00295A05" w:rsidR="006C764D" w:rsidP="00E9372F" w:rsidRDefault="0068188F" w14:paraId="18C77F5B" w14:textId="77777777">
      <w:pPr>
        <w:ind w:left="720" w:hanging="720"/>
        <w:jc w:val="center"/>
        <w:rPr>
          <w:rFonts w:ascii="Arial" w:hAnsi="Arial" w:cs="Arial"/>
          <w:b/>
          <w:sz w:val="24"/>
          <w:szCs w:val="24"/>
          <w:shd w:val="clear" w:color="auto" w:fill="FFFFFF"/>
        </w:rPr>
      </w:pPr>
      <w:r w:rsidRPr="00295A05">
        <w:rPr>
          <w:rFonts w:ascii="Arial" w:hAnsi="Arial" w:cs="Arial"/>
          <w:b/>
          <w:sz w:val="24"/>
          <w:szCs w:val="24"/>
          <w:shd w:val="clear" w:color="auto" w:fill="FFFFFF"/>
        </w:rPr>
        <w:lastRenderedPageBreak/>
        <w:t>TABLE OF CONTENTS</w:t>
      </w:r>
    </w:p>
    <w:p w:rsidRPr="007F2348" w:rsidR="006C764D" w:rsidP="0068188F" w:rsidRDefault="006C764D" w14:paraId="5BC803D6" w14:textId="77777777">
      <w:pPr>
        <w:ind w:left="720" w:hanging="720"/>
        <w:rPr>
          <w:rFonts w:ascii="Arial" w:hAnsi="Arial" w:cs="Arial"/>
          <w:b/>
          <w:sz w:val="24"/>
          <w:szCs w:val="24"/>
          <w:shd w:val="clear" w:color="auto" w:fill="FFFFFF"/>
        </w:rPr>
      </w:pPr>
    </w:p>
    <w:p w:rsidR="00661064" w:rsidRDefault="00626D89" w14:paraId="0F8467BD" w14:textId="1294A7A6">
      <w:pPr>
        <w:pStyle w:val="TOC1"/>
        <w:rPr>
          <w:rFonts w:asciiTheme="minorHAnsi" w:hAnsiTheme="minorHAnsi" w:eastAsiaTheme="minorEastAsia"/>
          <w:b w:val="0"/>
          <w:bCs w:val="0"/>
          <w:sz w:val="22"/>
        </w:rPr>
      </w:pPr>
      <w:r>
        <w:rPr>
          <w:rFonts w:cs="Arial"/>
          <w:b w:val="0"/>
          <w:bCs w:val="0"/>
          <w:szCs w:val="24"/>
          <w:shd w:val="clear" w:color="auto" w:fill="FFFFFF"/>
        </w:rPr>
        <w:fldChar w:fldCharType="begin"/>
      </w:r>
      <w:r>
        <w:rPr>
          <w:rFonts w:cs="Arial"/>
          <w:b w:val="0"/>
          <w:bCs w:val="0"/>
          <w:szCs w:val="24"/>
          <w:shd w:val="clear" w:color="auto" w:fill="FFFFFF"/>
        </w:rPr>
        <w:instrText xml:space="preserve"> TOC \o "1-3" \h \z \u </w:instrText>
      </w:r>
      <w:r>
        <w:rPr>
          <w:rFonts w:cs="Arial"/>
          <w:b w:val="0"/>
          <w:bCs w:val="0"/>
          <w:szCs w:val="24"/>
          <w:shd w:val="clear" w:color="auto" w:fill="FFFFFF"/>
        </w:rPr>
        <w:fldChar w:fldCharType="separate"/>
      </w:r>
      <w:hyperlink w:history="1" w:anchor="_Toc74573072">
        <w:r w:rsidRPr="00A53FF0" w:rsidR="00661064">
          <w:rPr>
            <w:rStyle w:val="Hyperlink"/>
          </w:rPr>
          <w:t>I.</w:t>
        </w:r>
        <w:r w:rsidR="00661064">
          <w:rPr>
            <w:rFonts w:asciiTheme="minorHAnsi" w:hAnsiTheme="minorHAnsi" w:eastAsiaTheme="minorEastAsia"/>
            <w:b w:val="0"/>
            <w:bCs w:val="0"/>
            <w:sz w:val="22"/>
          </w:rPr>
          <w:tab/>
        </w:r>
        <w:r w:rsidRPr="00A53FF0" w:rsidR="00661064">
          <w:rPr>
            <w:rStyle w:val="Hyperlink"/>
          </w:rPr>
          <w:t>INTRODUCTION</w:t>
        </w:r>
        <w:r w:rsidR="00661064">
          <w:rPr>
            <w:webHidden/>
          </w:rPr>
          <w:tab/>
        </w:r>
        <w:r w:rsidR="00661064">
          <w:rPr>
            <w:webHidden/>
          </w:rPr>
          <w:fldChar w:fldCharType="begin"/>
        </w:r>
        <w:r w:rsidR="00661064">
          <w:rPr>
            <w:webHidden/>
          </w:rPr>
          <w:instrText xml:space="preserve"> PAGEREF _Toc74573072 \h </w:instrText>
        </w:r>
        <w:r w:rsidR="00661064">
          <w:rPr>
            <w:webHidden/>
          </w:rPr>
        </w:r>
        <w:r w:rsidR="00661064">
          <w:rPr>
            <w:webHidden/>
          </w:rPr>
          <w:fldChar w:fldCharType="separate"/>
        </w:r>
        <w:r w:rsidR="00661064">
          <w:rPr>
            <w:webHidden/>
          </w:rPr>
          <w:t>4</w:t>
        </w:r>
        <w:r w:rsidR="00661064">
          <w:rPr>
            <w:webHidden/>
          </w:rPr>
          <w:fldChar w:fldCharType="end"/>
        </w:r>
      </w:hyperlink>
    </w:p>
    <w:p w:rsidR="00661064" w:rsidRDefault="007315AD" w14:paraId="658C788D" w14:textId="16A39AD4">
      <w:pPr>
        <w:pStyle w:val="TOC1"/>
        <w:rPr>
          <w:rFonts w:asciiTheme="minorHAnsi" w:hAnsiTheme="minorHAnsi" w:eastAsiaTheme="minorEastAsia"/>
          <w:b w:val="0"/>
          <w:bCs w:val="0"/>
          <w:sz w:val="22"/>
        </w:rPr>
      </w:pPr>
      <w:hyperlink w:history="1" w:anchor="_Toc74573073">
        <w:r w:rsidRPr="00A53FF0" w:rsidR="00661064">
          <w:rPr>
            <w:rStyle w:val="Hyperlink"/>
          </w:rPr>
          <w:t>II.</w:t>
        </w:r>
        <w:r w:rsidR="00661064">
          <w:rPr>
            <w:rFonts w:asciiTheme="minorHAnsi" w:hAnsiTheme="minorHAnsi" w:eastAsiaTheme="minorEastAsia"/>
            <w:b w:val="0"/>
            <w:bCs w:val="0"/>
            <w:sz w:val="22"/>
          </w:rPr>
          <w:tab/>
        </w:r>
        <w:r w:rsidRPr="00A53FF0" w:rsidR="00661064">
          <w:rPr>
            <w:rStyle w:val="Hyperlink"/>
          </w:rPr>
          <w:t>BACKGROUND</w:t>
        </w:r>
        <w:r w:rsidR="00661064">
          <w:rPr>
            <w:webHidden/>
          </w:rPr>
          <w:tab/>
        </w:r>
        <w:r w:rsidR="00661064">
          <w:rPr>
            <w:webHidden/>
          </w:rPr>
          <w:fldChar w:fldCharType="begin"/>
        </w:r>
        <w:r w:rsidR="00661064">
          <w:rPr>
            <w:webHidden/>
          </w:rPr>
          <w:instrText xml:space="preserve"> PAGEREF _Toc74573073 \h </w:instrText>
        </w:r>
        <w:r w:rsidR="00661064">
          <w:rPr>
            <w:webHidden/>
          </w:rPr>
        </w:r>
        <w:r w:rsidR="00661064">
          <w:rPr>
            <w:webHidden/>
          </w:rPr>
          <w:fldChar w:fldCharType="separate"/>
        </w:r>
        <w:r w:rsidR="00661064">
          <w:rPr>
            <w:webHidden/>
          </w:rPr>
          <w:t>5</w:t>
        </w:r>
        <w:r w:rsidR="00661064">
          <w:rPr>
            <w:webHidden/>
          </w:rPr>
          <w:fldChar w:fldCharType="end"/>
        </w:r>
      </w:hyperlink>
    </w:p>
    <w:p w:rsidR="00661064" w:rsidP="00F37068" w:rsidRDefault="007315AD" w14:paraId="58F9B095" w14:textId="44DF3A5B">
      <w:pPr>
        <w:pStyle w:val="TOC2"/>
        <w:rPr>
          <w:rFonts w:asciiTheme="minorHAnsi" w:hAnsiTheme="minorHAnsi" w:eastAsiaTheme="minorEastAsia"/>
          <w:sz w:val="22"/>
        </w:rPr>
      </w:pPr>
      <w:hyperlink w:history="1" w:anchor="_Toc74573074">
        <w:r w:rsidRPr="00A53FF0" w:rsidR="00661064">
          <w:rPr>
            <w:rStyle w:val="Hyperlink"/>
          </w:rPr>
          <w:t>A.</w:t>
        </w:r>
        <w:r w:rsidR="00661064">
          <w:rPr>
            <w:rFonts w:asciiTheme="minorHAnsi" w:hAnsiTheme="minorHAnsi" w:eastAsiaTheme="minorEastAsia"/>
            <w:sz w:val="22"/>
          </w:rPr>
          <w:tab/>
        </w:r>
        <w:r w:rsidRPr="00A53FF0" w:rsidR="00661064">
          <w:rPr>
            <w:rStyle w:val="Hyperlink"/>
          </w:rPr>
          <w:t>Restructuring and Unbundling</w:t>
        </w:r>
        <w:r w:rsidR="00661064">
          <w:rPr>
            <w:webHidden/>
          </w:rPr>
          <w:tab/>
        </w:r>
        <w:r w:rsidR="00661064">
          <w:rPr>
            <w:webHidden/>
          </w:rPr>
          <w:fldChar w:fldCharType="begin"/>
        </w:r>
        <w:r w:rsidR="00661064">
          <w:rPr>
            <w:webHidden/>
          </w:rPr>
          <w:instrText xml:space="preserve"> PAGEREF _Toc74573074 \h </w:instrText>
        </w:r>
        <w:r w:rsidR="00661064">
          <w:rPr>
            <w:webHidden/>
          </w:rPr>
        </w:r>
        <w:r w:rsidR="00661064">
          <w:rPr>
            <w:webHidden/>
          </w:rPr>
          <w:fldChar w:fldCharType="separate"/>
        </w:r>
        <w:r w:rsidR="00661064">
          <w:rPr>
            <w:webHidden/>
          </w:rPr>
          <w:t>5</w:t>
        </w:r>
        <w:r w:rsidR="00661064">
          <w:rPr>
            <w:webHidden/>
          </w:rPr>
          <w:fldChar w:fldCharType="end"/>
        </w:r>
      </w:hyperlink>
    </w:p>
    <w:p w:rsidR="00661064" w:rsidP="00F37068" w:rsidRDefault="007315AD" w14:paraId="7DF82B87" w14:textId="5D4C4169">
      <w:pPr>
        <w:pStyle w:val="TOC2"/>
        <w:rPr>
          <w:rFonts w:asciiTheme="minorHAnsi" w:hAnsiTheme="minorHAnsi" w:eastAsiaTheme="minorEastAsia"/>
          <w:sz w:val="22"/>
        </w:rPr>
      </w:pPr>
      <w:hyperlink w:history="1" w:anchor="_Toc74573075">
        <w:r w:rsidRPr="00A53FF0" w:rsidR="00661064">
          <w:rPr>
            <w:rStyle w:val="Hyperlink"/>
          </w:rPr>
          <w:t>B. Expanded PPA Proceeding</w:t>
        </w:r>
        <w:r w:rsidR="00661064">
          <w:rPr>
            <w:webHidden/>
          </w:rPr>
          <w:tab/>
        </w:r>
        <w:r w:rsidR="00661064">
          <w:rPr>
            <w:webHidden/>
          </w:rPr>
          <w:fldChar w:fldCharType="begin"/>
        </w:r>
        <w:r w:rsidR="00661064">
          <w:rPr>
            <w:webHidden/>
          </w:rPr>
          <w:instrText xml:space="preserve"> PAGEREF _Toc74573075 \h </w:instrText>
        </w:r>
        <w:r w:rsidR="00661064">
          <w:rPr>
            <w:webHidden/>
          </w:rPr>
        </w:r>
        <w:r w:rsidR="00661064">
          <w:rPr>
            <w:webHidden/>
          </w:rPr>
          <w:fldChar w:fldCharType="separate"/>
        </w:r>
        <w:r w:rsidR="00661064">
          <w:rPr>
            <w:webHidden/>
          </w:rPr>
          <w:t>6</w:t>
        </w:r>
        <w:r w:rsidR="00661064">
          <w:rPr>
            <w:webHidden/>
          </w:rPr>
          <w:fldChar w:fldCharType="end"/>
        </w:r>
      </w:hyperlink>
    </w:p>
    <w:p w:rsidR="00661064" w:rsidP="00F37068" w:rsidRDefault="007315AD" w14:paraId="34AACD5C" w14:textId="6DC2E1C0">
      <w:pPr>
        <w:pStyle w:val="TOC2"/>
        <w:rPr>
          <w:rFonts w:asciiTheme="minorHAnsi" w:hAnsiTheme="minorHAnsi" w:eastAsiaTheme="minorEastAsia"/>
          <w:sz w:val="22"/>
        </w:rPr>
      </w:pPr>
      <w:hyperlink w:history="1" w:anchor="_Toc74573076">
        <w:r w:rsidRPr="00A53FF0" w:rsidR="00661064">
          <w:rPr>
            <w:rStyle w:val="Hyperlink"/>
          </w:rPr>
          <w:t>C. ESP IV Proceeding</w:t>
        </w:r>
        <w:r w:rsidR="00661064">
          <w:rPr>
            <w:webHidden/>
          </w:rPr>
          <w:tab/>
        </w:r>
        <w:r w:rsidR="00661064">
          <w:rPr>
            <w:webHidden/>
          </w:rPr>
          <w:fldChar w:fldCharType="begin"/>
        </w:r>
        <w:r w:rsidR="00661064">
          <w:rPr>
            <w:webHidden/>
          </w:rPr>
          <w:instrText xml:space="preserve"> PAGEREF _Toc74573076 \h </w:instrText>
        </w:r>
        <w:r w:rsidR="00661064">
          <w:rPr>
            <w:webHidden/>
          </w:rPr>
        </w:r>
        <w:r w:rsidR="00661064">
          <w:rPr>
            <w:webHidden/>
          </w:rPr>
          <w:fldChar w:fldCharType="separate"/>
        </w:r>
        <w:r w:rsidR="00661064">
          <w:rPr>
            <w:webHidden/>
          </w:rPr>
          <w:t>7</w:t>
        </w:r>
        <w:r w:rsidR="00661064">
          <w:rPr>
            <w:webHidden/>
          </w:rPr>
          <w:fldChar w:fldCharType="end"/>
        </w:r>
      </w:hyperlink>
    </w:p>
    <w:p w:rsidR="00661064" w:rsidP="00F37068" w:rsidRDefault="007315AD" w14:paraId="17950AE1" w14:textId="6BEF1F51">
      <w:pPr>
        <w:pStyle w:val="TOC2"/>
        <w:rPr>
          <w:rFonts w:asciiTheme="minorHAnsi" w:hAnsiTheme="minorHAnsi" w:eastAsiaTheme="minorEastAsia"/>
          <w:sz w:val="22"/>
        </w:rPr>
      </w:pPr>
      <w:hyperlink w:history="1" w:anchor="_Toc74573077">
        <w:r w:rsidRPr="00A53FF0" w:rsidR="00661064">
          <w:rPr>
            <w:rStyle w:val="Hyperlink"/>
          </w:rPr>
          <w:t>D. Application to Increase Distribution Rates</w:t>
        </w:r>
        <w:r w:rsidR="00661064">
          <w:rPr>
            <w:webHidden/>
          </w:rPr>
          <w:tab/>
        </w:r>
        <w:r w:rsidR="00661064">
          <w:rPr>
            <w:webHidden/>
          </w:rPr>
          <w:fldChar w:fldCharType="begin"/>
        </w:r>
        <w:r w:rsidR="00661064">
          <w:rPr>
            <w:webHidden/>
          </w:rPr>
          <w:instrText xml:space="preserve"> PAGEREF _Toc74573077 \h </w:instrText>
        </w:r>
        <w:r w:rsidR="00661064">
          <w:rPr>
            <w:webHidden/>
          </w:rPr>
        </w:r>
        <w:r w:rsidR="00661064">
          <w:rPr>
            <w:webHidden/>
          </w:rPr>
          <w:fldChar w:fldCharType="separate"/>
        </w:r>
        <w:r w:rsidR="00661064">
          <w:rPr>
            <w:webHidden/>
          </w:rPr>
          <w:t>8</w:t>
        </w:r>
        <w:r w:rsidR="00661064">
          <w:rPr>
            <w:webHidden/>
          </w:rPr>
          <w:fldChar w:fldCharType="end"/>
        </w:r>
      </w:hyperlink>
    </w:p>
    <w:p w:rsidRPr="00026980" w:rsidR="00661064" w:rsidP="00F37068" w:rsidRDefault="007315AD" w14:paraId="4BCF2604" w14:textId="2F9BB149">
      <w:pPr>
        <w:pStyle w:val="TOC3"/>
        <w:rPr>
          <w:rFonts w:asciiTheme="minorHAnsi" w:hAnsiTheme="minorHAnsi" w:eastAsiaTheme="minorEastAsia" w:cstheme="minorBidi"/>
          <w:noProof/>
          <w:sz w:val="22"/>
          <w:szCs w:val="22"/>
        </w:rPr>
      </w:pPr>
      <w:hyperlink w:history="1" w:anchor="_Toc74573078">
        <w:r w:rsidRPr="00026980" w:rsidR="00661064">
          <w:rPr>
            <w:rStyle w:val="Hyperlink"/>
            <w:noProof/>
          </w:rPr>
          <w:t>1.</w:t>
        </w:r>
        <w:r w:rsidRPr="00026980" w:rsidR="00661064">
          <w:rPr>
            <w:rFonts w:asciiTheme="minorHAnsi" w:hAnsiTheme="minorHAnsi" w:eastAsiaTheme="minorEastAsia" w:cstheme="minorBidi"/>
            <w:noProof/>
            <w:sz w:val="22"/>
            <w:szCs w:val="22"/>
          </w:rPr>
          <w:tab/>
        </w:r>
        <w:r w:rsidRPr="00026980" w:rsidR="00661064">
          <w:rPr>
            <w:rStyle w:val="Hyperlink"/>
            <w:noProof/>
          </w:rPr>
          <w:t>Ohio Power’s Application</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_Toc74573078 \h </w:instrText>
        </w:r>
        <w:r w:rsidRPr="00026980" w:rsidR="00661064">
          <w:rPr>
            <w:noProof/>
            <w:webHidden/>
          </w:rPr>
        </w:r>
        <w:r w:rsidRPr="00026980" w:rsidR="00661064">
          <w:rPr>
            <w:noProof/>
            <w:webHidden/>
          </w:rPr>
          <w:fldChar w:fldCharType="separate"/>
        </w:r>
        <w:r w:rsidRPr="00026980" w:rsidR="00661064">
          <w:rPr>
            <w:noProof/>
            <w:webHidden/>
          </w:rPr>
          <w:t>8</w:t>
        </w:r>
        <w:r w:rsidRPr="00026980" w:rsidR="00661064">
          <w:rPr>
            <w:noProof/>
            <w:webHidden/>
          </w:rPr>
          <w:fldChar w:fldCharType="end"/>
        </w:r>
      </w:hyperlink>
    </w:p>
    <w:p w:rsidRPr="00026980" w:rsidR="00661064" w:rsidP="00F37068" w:rsidRDefault="007315AD" w14:paraId="64F23DD8" w14:textId="48E1E157">
      <w:pPr>
        <w:pStyle w:val="TOC3"/>
        <w:rPr>
          <w:rFonts w:asciiTheme="minorHAnsi" w:hAnsiTheme="minorHAnsi" w:eastAsiaTheme="minorEastAsia" w:cstheme="minorBidi"/>
          <w:noProof/>
          <w:sz w:val="22"/>
          <w:szCs w:val="22"/>
        </w:rPr>
      </w:pPr>
      <w:hyperlink w:history="1" w:anchor="_Toc74573079">
        <w:r w:rsidRPr="00026980" w:rsidR="00661064">
          <w:rPr>
            <w:rStyle w:val="Hyperlink"/>
            <w:noProof/>
          </w:rPr>
          <w:t>2.</w:t>
        </w:r>
        <w:r w:rsidRPr="00026980" w:rsidR="00661064">
          <w:rPr>
            <w:rFonts w:asciiTheme="minorHAnsi" w:hAnsiTheme="minorHAnsi" w:eastAsiaTheme="minorEastAsia" w:cstheme="minorBidi"/>
            <w:noProof/>
            <w:sz w:val="22"/>
            <w:szCs w:val="22"/>
          </w:rPr>
          <w:tab/>
        </w:r>
        <w:r w:rsidRPr="00026980" w:rsidR="00661064">
          <w:rPr>
            <w:rStyle w:val="Hyperlink"/>
            <w:noProof/>
          </w:rPr>
          <w:t>Staff Report &amp; Recommendation</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_Toc74573079 \h </w:instrText>
        </w:r>
        <w:r w:rsidRPr="00026980" w:rsidR="00661064">
          <w:rPr>
            <w:noProof/>
            <w:webHidden/>
          </w:rPr>
        </w:r>
        <w:r w:rsidRPr="00026980" w:rsidR="00661064">
          <w:rPr>
            <w:noProof/>
            <w:webHidden/>
          </w:rPr>
          <w:fldChar w:fldCharType="separate"/>
        </w:r>
        <w:r w:rsidRPr="00026980" w:rsidR="00661064">
          <w:rPr>
            <w:noProof/>
            <w:webHidden/>
          </w:rPr>
          <w:t>8</w:t>
        </w:r>
        <w:r w:rsidRPr="00026980" w:rsidR="00661064">
          <w:rPr>
            <w:noProof/>
            <w:webHidden/>
          </w:rPr>
          <w:fldChar w:fldCharType="end"/>
        </w:r>
      </w:hyperlink>
    </w:p>
    <w:p w:rsidRPr="00026980" w:rsidR="00661064" w:rsidP="00F37068" w:rsidRDefault="007315AD" w14:paraId="3C3B71DE" w14:textId="275EF0F0">
      <w:pPr>
        <w:pStyle w:val="TOC3"/>
        <w:rPr>
          <w:rFonts w:asciiTheme="minorHAnsi" w:hAnsiTheme="minorHAnsi" w:eastAsiaTheme="minorEastAsia" w:cstheme="minorBidi"/>
          <w:noProof/>
          <w:sz w:val="22"/>
          <w:szCs w:val="22"/>
        </w:rPr>
      </w:pPr>
      <w:hyperlink w:history="1" w:anchor="_Toc74573080">
        <w:r w:rsidRPr="00026980" w:rsidR="00661064">
          <w:rPr>
            <w:rStyle w:val="Hyperlink"/>
            <w:noProof/>
          </w:rPr>
          <w:t>3.</w:t>
        </w:r>
        <w:r w:rsidRPr="00026980" w:rsidR="00661064">
          <w:rPr>
            <w:rFonts w:asciiTheme="minorHAnsi" w:hAnsiTheme="minorHAnsi" w:eastAsiaTheme="minorEastAsia" w:cstheme="minorBidi"/>
            <w:noProof/>
            <w:sz w:val="22"/>
            <w:szCs w:val="22"/>
          </w:rPr>
          <w:tab/>
        </w:r>
        <w:r w:rsidRPr="00026980" w:rsidR="00661064">
          <w:rPr>
            <w:rStyle w:val="Hyperlink"/>
            <w:noProof/>
          </w:rPr>
          <w:t>IGS Energy’s Objections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_Toc74573080 \h </w:instrText>
        </w:r>
        <w:r w:rsidRPr="00026980" w:rsidR="00661064">
          <w:rPr>
            <w:noProof/>
            <w:webHidden/>
          </w:rPr>
        </w:r>
        <w:r w:rsidRPr="00026980" w:rsidR="00661064">
          <w:rPr>
            <w:noProof/>
            <w:webHidden/>
          </w:rPr>
          <w:fldChar w:fldCharType="separate"/>
        </w:r>
        <w:r w:rsidRPr="00026980" w:rsidR="00661064">
          <w:rPr>
            <w:noProof/>
            <w:webHidden/>
          </w:rPr>
          <w:t>9</w:t>
        </w:r>
        <w:r w:rsidRPr="00026980" w:rsidR="00661064">
          <w:rPr>
            <w:noProof/>
            <w:webHidden/>
          </w:rPr>
          <w:fldChar w:fldCharType="end"/>
        </w:r>
      </w:hyperlink>
    </w:p>
    <w:p w:rsidRPr="00026980" w:rsidR="00661064" w:rsidP="00F37068" w:rsidRDefault="007315AD" w14:paraId="4F8C28CA" w14:textId="6399722A">
      <w:pPr>
        <w:pStyle w:val="TOC3"/>
        <w:rPr>
          <w:rFonts w:asciiTheme="minorHAnsi" w:hAnsiTheme="minorHAnsi" w:eastAsiaTheme="minorEastAsia" w:cstheme="minorBidi"/>
          <w:noProof/>
          <w:sz w:val="22"/>
          <w:szCs w:val="22"/>
        </w:rPr>
      </w:pPr>
      <w:hyperlink w:history="1" w:anchor="_Toc74573081">
        <w:r w:rsidRPr="00026980" w:rsidR="00661064">
          <w:rPr>
            <w:rStyle w:val="Hyperlink"/>
            <w:noProof/>
          </w:rPr>
          <w:t>4.</w:t>
        </w:r>
        <w:r w:rsidRPr="00026980" w:rsidR="00661064">
          <w:rPr>
            <w:rFonts w:asciiTheme="minorHAnsi" w:hAnsiTheme="minorHAnsi" w:eastAsiaTheme="minorEastAsia" w:cstheme="minorBidi"/>
            <w:noProof/>
            <w:sz w:val="22"/>
            <w:szCs w:val="22"/>
          </w:rPr>
          <w:tab/>
        </w:r>
        <w:r w:rsidRPr="00026980" w:rsidR="00661064">
          <w:rPr>
            <w:rStyle w:val="Hyperlink"/>
            <w:noProof/>
          </w:rPr>
          <w:t>Stipulation and Recommendation</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_Toc74573081 \h </w:instrText>
        </w:r>
        <w:r w:rsidRPr="00026980" w:rsidR="00661064">
          <w:rPr>
            <w:noProof/>
            <w:webHidden/>
          </w:rPr>
        </w:r>
        <w:r w:rsidRPr="00026980" w:rsidR="00661064">
          <w:rPr>
            <w:noProof/>
            <w:webHidden/>
          </w:rPr>
          <w:fldChar w:fldCharType="separate"/>
        </w:r>
        <w:r w:rsidRPr="00026980" w:rsidR="00661064">
          <w:rPr>
            <w:noProof/>
            <w:webHidden/>
          </w:rPr>
          <w:t>9</w:t>
        </w:r>
        <w:r w:rsidRPr="00026980" w:rsidR="00661064">
          <w:rPr>
            <w:noProof/>
            <w:webHidden/>
          </w:rPr>
          <w:fldChar w:fldCharType="end"/>
        </w:r>
      </w:hyperlink>
    </w:p>
    <w:p w:rsidR="00661064" w:rsidRDefault="007315AD" w14:paraId="4F05B0BD" w14:textId="27B4E057">
      <w:pPr>
        <w:pStyle w:val="TOC1"/>
        <w:rPr>
          <w:rFonts w:asciiTheme="minorHAnsi" w:hAnsiTheme="minorHAnsi" w:eastAsiaTheme="minorEastAsia"/>
          <w:b w:val="0"/>
          <w:bCs w:val="0"/>
          <w:sz w:val="22"/>
        </w:rPr>
      </w:pPr>
      <w:hyperlink w:history="1" w:anchor="_Toc74573082">
        <w:r w:rsidRPr="00A53FF0" w:rsidR="00661064">
          <w:rPr>
            <w:rStyle w:val="Hyperlink"/>
          </w:rPr>
          <w:t>III.</w:t>
        </w:r>
        <w:r w:rsidR="00661064">
          <w:rPr>
            <w:rFonts w:asciiTheme="minorHAnsi" w:hAnsiTheme="minorHAnsi" w:eastAsiaTheme="minorEastAsia"/>
            <w:b w:val="0"/>
            <w:bCs w:val="0"/>
            <w:sz w:val="22"/>
          </w:rPr>
          <w:tab/>
        </w:r>
        <w:r w:rsidRPr="00A53FF0" w:rsidR="00661064">
          <w:rPr>
            <w:rStyle w:val="Hyperlink"/>
          </w:rPr>
          <w:t>ARGUMENT</w:t>
        </w:r>
        <w:r w:rsidR="00661064">
          <w:rPr>
            <w:webHidden/>
          </w:rPr>
          <w:tab/>
        </w:r>
        <w:r w:rsidR="00661064">
          <w:rPr>
            <w:webHidden/>
          </w:rPr>
          <w:fldChar w:fldCharType="begin"/>
        </w:r>
        <w:r w:rsidR="00661064">
          <w:rPr>
            <w:webHidden/>
          </w:rPr>
          <w:instrText xml:space="preserve"> PAGEREF _Toc74573082 \h </w:instrText>
        </w:r>
        <w:r w:rsidR="00661064">
          <w:rPr>
            <w:webHidden/>
          </w:rPr>
        </w:r>
        <w:r w:rsidR="00661064">
          <w:rPr>
            <w:webHidden/>
          </w:rPr>
          <w:fldChar w:fldCharType="separate"/>
        </w:r>
        <w:r w:rsidR="00661064">
          <w:rPr>
            <w:webHidden/>
          </w:rPr>
          <w:t>10</w:t>
        </w:r>
        <w:r w:rsidR="00661064">
          <w:rPr>
            <w:webHidden/>
          </w:rPr>
          <w:fldChar w:fldCharType="end"/>
        </w:r>
      </w:hyperlink>
    </w:p>
    <w:p w:rsidR="00661064" w:rsidP="008C398E" w:rsidRDefault="007315AD" w14:paraId="285A16F5" w14:textId="5F5D48BC">
      <w:pPr>
        <w:pStyle w:val="TOC2"/>
        <w:jc w:val="both"/>
        <w:rPr>
          <w:rFonts w:asciiTheme="minorHAnsi" w:hAnsiTheme="minorHAnsi" w:eastAsiaTheme="minorEastAsia"/>
          <w:sz w:val="22"/>
        </w:rPr>
      </w:pPr>
      <w:hyperlink w:history="1" w:anchor="_Toc74573083">
        <w:r w:rsidRPr="00A53FF0" w:rsidR="00661064">
          <w:rPr>
            <w:rStyle w:val="Hyperlink"/>
          </w:rPr>
          <w:t>A. The Commission should reject the provision of the Stipulation that sets the Retail Reconciliation Rider and SSO Credit Rider at zero and populate the riders at rates that reflect the costs to provide the standard service offer.</w:t>
        </w:r>
        <w:r w:rsidR="00661064">
          <w:rPr>
            <w:webHidden/>
          </w:rPr>
          <w:tab/>
        </w:r>
        <w:r w:rsidR="00661064">
          <w:rPr>
            <w:webHidden/>
          </w:rPr>
          <w:fldChar w:fldCharType="begin"/>
        </w:r>
        <w:r w:rsidR="00661064">
          <w:rPr>
            <w:webHidden/>
          </w:rPr>
          <w:instrText xml:space="preserve"> PAGEREF _Toc74573083 \h </w:instrText>
        </w:r>
        <w:r w:rsidR="00661064">
          <w:rPr>
            <w:webHidden/>
          </w:rPr>
        </w:r>
        <w:r w:rsidR="00661064">
          <w:rPr>
            <w:webHidden/>
          </w:rPr>
          <w:fldChar w:fldCharType="separate"/>
        </w:r>
        <w:r w:rsidR="00661064">
          <w:rPr>
            <w:webHidden/>
          </w:rPr>
          <w:t>10</w:t>
        </w:r>
        <w:r w:rsidR="00661064">
          <w:rPr>
            <w:webHidden/>
          </w:rPr>
          <w:fldChar w:fldCharType="end"/>
        </w:r>
      </w:hyperlink>
    </w:p>
    <w:p w:rsidRPr="00026980" w:rsidR="00661064" w:rsidP="008C398E" w:rsidRDefault="007315AD" w14:paraId="232F75BE" w14:textId="04136C3F">
      <w:pPr>
        <w:pStyle w:val="TOC3"/>
        <w:ind w:right="576"/>
        <w:rPr>
          <w:rFonts w:asciiTheme="minorHAnsi" w:hAnsiTheme="minorHAnsi" w:eastAsiaTheme="minorEastAsia" w:cstheme="minorBidi"/>
          <w:noProof/>
          <w:sz w:val="22"/>
          <w:szCs w:val="22"/>
        </w:rPr>
      </w:pPr>
      <w:hyperlink w:history="1" w:anchor="_Toc74573084">
        <w:r w:rsidRPr="00026980" w:rsidR="00661064">
          <w:rPr>
            <w:rStyle w:val="Hyperlink"/>
            <w:noProof/>
          </w:rPr>
          <w:t>1.</w:t>
        </w:r>
        <w:r w:rsidRPr="00026980" w:rsidR="00661064">
          <w:rPr>
            <w:rFonts w:asciiTheme="minorHAnsi" w:hAnsiTheme="minorHAnsi" w:eastAsiaTheme="minorEastAsia" w:cstheme="minorBidi"/>
            <w:noProof/>
            <w:sz w:val="22"/>
            <w:szCs w:val="22"/>
          </w:rPr>
          <w:tab/>
        </w:r>
        <w:r w:rsidRPr="00026980" w:rsidR="00661064">
          <w:rPr>
            <w:rStyle w:val="Hyperlink"/>
            <w:noProof/>
          </w:rPr>
          <w:t>Ohio law and the state energy policy require the Commission to unbundle costs used to supply the standard service offer from distribution rates.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_Toc74573084 \h </w:instrText>
        </w:r>
        <w:r w:rsidRPr="00026980" w:rsidR="00661064">
          <w:rPr>
            <w:noProof/>
            <w:webHidden/>
          </w:rPr>
        </w:r>
        <w:r w:rsidRPr="00026980" w:rsidR="00661064">
          <w:rPr>
            <w:noProof/>
            <w:webHidden/>
          </w:rPr>
          <w:fldChar w:fldCharType="separate"/>
        </w:r>
        <w:r w:rsidRPr="00026980" w:rsidR="00661064">
          <w:rPr>
            <w:noProof/>
            <w:webHidden/>
          </w:rPr>
          <w:t>12</w:t>
        </w:r>
        <w:r w:rsidRPr="00026980" w:rsidR="00661064">
          <w:rPr>
            <w:noProof/>
            <w:webHidden/>
          </w:rPr>
          <w:fldChar w:fldCharType="end"/>
        </w:r>
      </w:hyperlink>
    </w:p>
    <w:p w:rsidRPr="00026980" w:rsidR="00661064" w:rsidP="008C398E" w:rsidRDefault="007315AD" w14:paraId="6EC4D176" w14:textId="020AE377">
      <w:pPr>
        <w:pStyle w:val="TOC3"/>
        <w:ind w:right="576"/>
        <w:rPr>
          <w:rFonts w:asciiTheme="minorHAnsi" w:hAnsiTheme="minorHAnsi" w:eastAsiaTheme="minorEastAsia" w:cstheme="minorBidi"/>
          <w:noProof/>
          <w:sz w:val="22"/>
          <w:szCs w:val="22"/>
        </w:rPr>
      </w:pPr>
      <w:hyperlink w:history="1" w:anchor="_Toc74573085">
        <w:r w:rsidRPr="00026980" w:rsidR="00661064">
          <w:rPr>
            <w:rStyle w:val="Hyperlink"/>
            <w:noProof/>
          </w:rPr>
          <w:t>2.</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 xml:space="preserve">Sound economic policy </w:t>
        </w:r>
        <w:r w:rsidRPr="00026980" w:rsidR="00661064">
          <w:rPr>
            <w:rStyle w:val="Hyperlink"/>
            <w:noProof/>
          </w:rPr>
          <w:t>supports a decision to unbundle costs used to supply the standard service offer from distribution rates.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_Toc74573085 \h </w:instrText>
        </w:r>
        <w:r w:rsidRPr="00026980" w:rsidR="00661064">
          <w:rPr>
            <w:noProof/>
            <w:webHidden/>
          </w:rPr>
        </w:r>
        <w:r w:rsidRPr="00026980" w:rsidR="00661064">
          <w:rPr>
            <w:noProof/>
            <w:webHidden/>
          </w:rPr>
          <w:fldChar w:fldCharType="separate"/>
        </w:r>
        <w:r w:rsidRPr="00026980" w:rsidR="00661064">
          <w:rPr>
            <w:noProof/>
            <w:webHidden/>
          </w:rPr>
          <w:t>16</w:t>
        </w:r>
        <w:r w:rsidRPr="00026980" w:rsidR="00661064">
          <w:rPr>
            <w:noProof/>
            <w:webHidden/>
          </w:rPr>
          <w:fldChar w:fldCharType="end"/>
        </w:r>
      </w:hyperlink>
    </w:p>
    <w:p w:rsidRPr="00026980" w:rsidR="00661064" w:rsidP="008C398E" w:rsidRDefault="007315AD" w14:paraId="0FA49B19" w14:textId="0EB24227">
      <w:pPr>
        <w:pStyle w:val="TOC3"/>
        <w:ind w:right="576"/>
        <w:rPr>
          <w:rFonts w:asciiTheme="minorHAnsi" w:hAnsiTheme="minorHAnsi" w:eastAsiaTheme="minorEastAsia" w:cstheme="minorBidi"/>
          <w:noProof/>
          <w:sz w:val="22"/>
          <w:szCs w:val="22"/>
        </w:rPr>
      </w:pPr>
      <w:hyperlink w:history="1" w:anchor="_Toc74573086">
        <w:r w:rsidRPr="00026980" w:rsidR="00661064">
          <w:rPr>
            <w:rStyle w:val="Hyperlink"/>
            <w:noProof/>
          </w:rPr>
          <w:t>3.</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Cost allocation of generation costs to the standard service offer is necessary to properly price Ohio Power’s competitive and noncompetitive services.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_Toc74573086 \h </w:instrText>
        </w:r>
        <w:r w:rsidRPr="00026980" w:rsidR="00661064">
          <w:rPr>
            <w:noProof/>
            <w:webHidden/>
          </w:rPr>
        </w:r>
        <w:r w:rsidRPr="00026980" w:rsidR="00661064">
          <w:rPr>
            <w:noProof/>
            <w:webHidden/>
          </w:rPr>
          <w:fldChar w:fldCharType="separate"/>
        </w:r>
        <w:r w:rsidRPr="00026980" w:rsidR="00661064">
          <w:rPr>
            <w:noProof/>
            <w:webHidden/>
          </w:rPr>
          <w:t>18</w:t>
        </w:r>
        <w:r w:rsidRPr="00026980" w:rsidR="00661064">
          <w:rPr>
            <w:noProof/>
            <w:webHidden/>
          </w:rPr>
          <w:fldChar w:fldCharType="end"/>
        </w:r>
      </w:hyperlink>
    </w:p>
    <w:p w:rsidRPr="00026980" w:rsidR="00661064" w:rsidP="008C398E" w:rsidRDefault="007315AD" w14:paraId="38DED20B" w14:textId="50286435">
      <w:pPr>
        <w:pStyle w:val="TOC3"/>
        <w:ind w:right="576"/>
        <w:rPr>
          <w:rFonts w:asciiTheme="minorHAnsi" w:hAnsiTheme="minorHAnsi" w:eastAsiaTheme="minorEastAsia" w:cstheme="minorBidi"/>
          <w:noProof/>
          <w:sz w:val="22"/>
          <w:szCs w:val="22"/>
        </w:rPr>
      </w:pPr>
      <w:hyperlink w:history="1" w:anchor="_Toc74573087">
        <w:r w:rsidRPr="00026980" w:rsidR="00661064">
          <w:rPr>
            <w:rStyle w:val="Hyperlink"/>
            <w:noProof/>
          </w:rPr>
          <w:t>4.</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The grounds advanced by Stipulating Parties for refusing to populate the Retail Reconciliation Rider and SSO Credit Rider are based on conjecture and bad policy.</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_Toc74573087 \h </w:instrText>
        </w:r>
        <w:r w:rsidRPr="00026980" w:rsidR="00661064">
          <w:rPr>
            <w:noProof/>
            <w:webHidden/>
          </w:rPr>
        </w:r>
        <w:r w:rsidRPr="00026980" w:rsidR="00661064">
          <w:rPr>
            <w:noProof/>
            <w:webHidden/>
          </w:rPr>
          <w:fldChar w:fldCharType="separate"/>
        </w:r>
        <w:r w:rsidRPr="00026980" w:rsidR="00661064">
          <w:rPr>
            <w:noProof/>
            <w:webHidden/>
          </w:rPr>
          <w:t>22</w:t>
        </w:r>
        <w:r w:rsidRPr="00026980" w:rsidR="00661064">
          <w:rPr>
            <w:noProof/>
            <w:webHidden/>
          </w:rPr>
          <w:fldChar w:fldCharType="end"/>
        </w:r>
      </w:hyperlink>
    </w:p>
    <w:p w:rsidRPr="00026980" w:rsidR="00661064" w:rsidP="008C398E" w:rsidRDefault="007315AD" w14:paraId="572CC02B" w14:textId="0D493565">
      <w:pPr>
        <w:pStyle w:val="TOC3"/>
        <w:ind w:right="576"/>
        <w:rPr>
          <w:rFonts w:asciiTheme="minorHAnsi" w:hAnsiTheme="minorHAnsi" w:eastAsiaTheme="minorEastAsia" w:cstheme="minorBidi"/>
          <w:noProof/>
          <w:sz w:val="22"/>
          <w:szCs w:val="22"/>
        </w:rPr>
      </w:pPr>
      <w:hyperlink w:history="1" w:anchor="_Toc74573088">
        <w:r w:rsidRPr="00026980" w:rsidR="00661064">
          <w:rPr>
            <w:rStyle w:val="Hyperlink"/>
            <w:noProof/>
          </w:rPr>
          <w:t>5.</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The Commission should populate the Retail Reconciliation Rider and SSO Credit Rider at rates that reflect the costs to provide standard service offer.</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_Toc74573088 \h </w:instrText>
        </w:r>
        <w:r w:rsidRPr="00026980" w:rsidR="00661064">
          <w:rPr>
            <w:noProof/>
            <w:webHidden/>
          </w:rPr>
        </w:r>
        <w:r w:rsidRPr="00026980" w:rsidR="00661064">
          <w:rPr>
            <w:noProof/>
            <w:webHidden/>
          </w:rPr>
          <w:fldChar w:fldCharType="separate"/>
        </w:r>
        <w:r w:rsidRPr="00026980" w:rsidR="00661064">
          <w:rPr>
            <w:noProof/>
            <w:webHidden/>
          </w:rPr>
          <w:t>29</w:t>
        </w:r>
        <w:r w:rsidRPr="00026980" w:rsidR="00661064">
          <w:rPr>
            <w:noProof/>
            <w:webHidden/>
          </w:rPr>
          <w:fldChar w:fldCharType="end"/>
        </w:r>
      </w:hyperlink>
    </w:p>
    <w:p w:rsidR="00661064" w:rsidP="008C398E" w:rsidRDefault="007315AD" w14:paraId="6AD51918" w14:textId="2F3258B1">
      <w:pPr>
        <w:pStyle w:val="TOC2"/>
        <w:jc w:val="both"/>
        <w:rPr>
          <w:rFonts w:asciiTheme="minorHAnsi" w:hAnsiTheme="minorHAnsi" w:eastAsiaTheme="minorEastAsia"/>
          <w:sz w:val="22"/>
        </w:rPr>
      </w:pPr>
      <w:hyperlink w:history="1" w:anchor="_Toc74573089">
        <w:r w:rsidRPr="00A53FF0" w:rsidR="00661064">
          <w:rPr>
            <w:rStyle w:val="Hyperlink"/>
          </w:rPr>
          <w:t>B.</w:t>
        </w:r>
        <w:r w:rsidR="00661064">
          <w:rPr>
            <w:rFonts w:asciiTheme="minorHAnsi" w:hAnsiTheme="minorHAnsi" w:eastAsiaTheme="minorEastAsia"/>
            <w:sz w:val="22"/>
          </w:rPr>
          <w:tab/>
        </w:r>
        <w:r w:rsidRPr="00A53FF0" w:rsidR="00661064">
          <w:rPr>
            <w:rStyle w:val="Hyperlink"/>
          </w:rPr>
          <w:t>Approval of the Stipulation would continue the assessment of non-cost-based fees solely on CRES providers, violating important regulatory principles.</w:t>
        </w:r>
        <w:r w:rsidR="00661064">
          <w:rPr>
            <w:webHidden/>
          </w:rPr>
          <w:tab/>
        </w:r>
        <w:r w:rsidR="00661064">
          <w:rPr>
            <w:webHidden/>
          </w:rPr>
          <w:fldChar w:fldCharType="begin"/>
        </w:r>
        <w:r w:rsidR="00661064">
          <w:rPr>
            <w:webHidden/>
          </w:rPr>
          <w:instrText xml:space="preserve"> PAGEREF _Toc74573089 \h </w:instrText>
        </w:r>
        <w:r w:rsidR="00661064">
          <w:rPr>
            <w:webHidden/>
          </w:rPr>
        </w:r>
        <w:r w:rsidR="00661064">
          <w:rPr>
            <w:webHidden/>
          </w:rPr>
          <w:fldChar w:fldCharType="separate"/>
        </w:r>
        <w:r w:rsidR="00661064">
          <w:rPr>
            <w:webHidden/>
          </w:rPr>
          <w:t>30</w:t>
        </w:r>
        <w:r w:rsidR="00661064">
          <w:rPr>
            <w:webHidden/>
          </w:rPr>
          <w:fldChar w:fldCharType="end"/>
        </w:r>
      </w:hyperlink>
    </w:p>
    <w:p w:rsidRPr="00026980" w:rsidR="00661064" w:rsidP="008C398E" w:rsidRDefault="007315AD" w14:paraId="0C30A801" w14:textId="684B8247">
      <w:pPr>
        <w:pStyle w:val="TOC3"/>
        <w:ind w:right="576"/>
        <w:rPr>
          <w:rFonts w:asciiTheme="minorHAnsi" w:hAnsiTheme="minorHAnsi" w:eastAsiaTheme="minorEastAsia" w:cstheme="minorBidi"/>
          <w:noProof/>
          <w:sz w:val="22"/>
          <w:szCs w:val="22"/>
        </w:rPr>
      </w:pPr>
      <w:hyperlink w:history="1" w:anchor="_Toc74573090">
        <w:r w:rsidRPr="00026980" w:rsidR="00661064">
          <w:rPr>
            <w:rStyle w:val="Hyperlink"/>
            <w:noProof/>
          </w:rPr>
          <w:t>1.</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Ohio Power has not identified any costs associated with these fees.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_Toc74573090 \h </w:instrText>
        </w:r>
        <w:r w:rsidRPr="00026980" w:rsidR="00661064">
          <w:rPr>
            <w:noProof/>
            <w:webHidden/>
          </w:rPr>
        </w:r>
        <w:r w:rsidRPr="00026980" w:rsidR="00661064">
          <w:rPr>
            <w:noProof/>
            <w:webHidden/>
          </w:rPr>
          <w:fldChar w:fldCharType="separate"/>
        </w:r>
        <w:r w:rsidRPr="00026980" w:rsidR="00661064">
          <w:rPr>
            <w:noProof/>
            <w:webHidden/>
          </w:rPr>
          <w:t>31</w:t>
        </w:r>
        <w:r w:rsidRPr="00026980" w:rsidR="00661064">
          <w:rPr>
            <w:noProof/>
            <w:webHidden/>
          </w:rPr>
          <w:fldChar w:fldCharType="end"/>
        </w:r>
      </w:hyperlink>
    </w:p>
    <w:p w:rsidRPr="00026980" w:rsidR="00661064" w:rsidP="008C398E" w:rsidRDefault="007315AD" w14:paraId="41A9F2A0" w14:textId="4A1FD224">
      <w:pPr>
        <w:pStyle w:val="TOC3"/>
        <w:ind w:right="576"/>
        <w:rPr>
          <w:rFonts w:asciiTheme="minorHAnsi" w:hAnsiTheme="minorHAnsi" w:eastAsiaTheme="minorEastAsia" w:cstheme="minorBidi"/>
          <w:noProof/>
          <w:sz w:val="22"/>
          <w:szCs w:val="22"/>
        </w:rPr>
      </w:pPr>
      <w:hyperlink w:history="1" w:anchor="_Toc74573091">
        <w:r w:rsidRPr="00026980" w:rsidR="00661064">
          <w:rPr>
            <w:rStyle w:val="Hyperlink"/>
            <w:noProof/>
          </w:rPr>
          <w:t>2.</w:t>
        </w:r>
        <w:r w:rsidRPr="00026980" w:rsidR="00661064">
          <w:rPr>
            <w:rFonts w:asciiTheme="minorHAnsi" w:hAnsiTheme="minorHAnsi" w:eastAsiaTheme="minorEastAsia" w:cstheme="minorBidi"/>
            <w:noProof/>
            <w:sz w:val="22"/>
            <w:szCs w:val="22"/>
          </w:rPr>
          <w:tab/>
        </w:r>
        <w:r w:rsidRPr="00026980" w:rsidR="00661064">
          <w:rPr>
            <w:rStyle w:val="Hyperlink"/>
            <w:noProof/>
            <w:shd w:val="clear" w:color="auto" w:fill="FFFFFF"/>
          </w:rPr>
          <w:t>Assessing a switching fee for customers when they move to a CRES provider but not when they move to the SSO is unreasonable discrimination.</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_Toc74573091 \h </w:instrText>
        </w:r>
        <w:r w:rsidRPr="00026980" w:rsidR="00661064">
          <w:rPr>
            <w:noProof/>
            <w:webHidden/>
          </w:rPr>
        </w:r>
        <w:r w:rsidRPr="00026980" w:rsidR="00661064">
          <w:rPr>
            <w:noProof/>
            <w:webHidden/>
          </w:rPr>
          <w:fldChar w:fldCharType="separate"/>
        </w:r>
        <w:r w:rsidRPr="00026980" w:rsidR="00661064">
          <w:rPr>
            <w:noProof/>
            <w:webHidden/>
          </w:rPr>
          <w:t>33</w:t>
        </w:r>
        <w:r w:rsidRPr="00026980" w:rsidR="00661064">
          <w:rPr>
            <w:noProof/>
            <w:webHidden/>
          </w:rPr>
          <w:fldChar w:fldCharType="end"/>
        </w:r>
      </w:hyperlink>
    </w:p>
    <w:p w:rsidR="00661064" w:rsidP="00362A84" w:rsidRDefault="007315AD" w14:paraId="2FCDA9CF" w14:textId="3CC7E670">
      <w:pPr>
        <w:pStyle w:val="TOC2"/>
        <w:jc w:val="both"/>
        <w:rPr>
          <w:rFonts w:asciiTheme="minorHAnsi" w:hAnsiTheme="minorHAnsi" w:eastAsiaTheme="minorEastAsia"/>
          <w:sz w:val="22"/>
        </w:rPr>
      </w:pPr>
      <w:hyperlink w:history="1" w:anchor="_Toc74573092">
        <w:r w:rsidRPr="00A53FF0" w:rsidR="00661064">
          <w:rPr>
            <w:rStyle w:val="Hyperlink"/>
          </w:rPr>
          <w:t>C.</w:t>
        </w:r>
        <w:r w:rsidR="00661064">
          <w:rPr>
            <w:rFonts w:asciiTheme="minorHAnsi" w:hAnsiTheme="minorHAnsi" w:eastAsiaTheme="minorEastAsia"/>
            <w:sz w:val="22"/>
          </w:rPr>
          <w:tab/>
        </w:r>
        <w:r w:rsidRPr="00A53FF0" w:rsidR="00661064">
          <w:rPr>
            <w:rStyle w:val="Hyperlink"/>
          </w:rPr>
          <w:t>The failure to investigate and remove the costs associated with customer sited generation projects from distribution rates violates Ohio law.</w:t>
        </w:r>
        <w:r w:rsidR="00661064">
          <w:rPr>
            <w:webHidden/>
          </w:rPr>
          <w:tab/>
        </w:r>
        <w:r w:rsidR="00661064">
          <w:rPr>
            <w:webHidden/>
          </w:rPr>
          <w:fldChar w:fldCharType="begin"/>
        </w:r>
        <w:r w:rsidR="00661064">
          <w:rPr>
            <w:webHidden/>
          </w:rPr>
          <w:instrText xml:space="preserve"> PAGEREF _Toc74573092 \h </w:instrText>
        </w:r>
        <w:r w:rsidR="00661064">
          <w:rPr>
            <w:webHidden/>
          </w:rPr>
        </w:r>
        <w:r w:rsidR="00661064">
          <w:rPr>
            <w:webHidden/>
          </w:rPr>
          <w:fldChar w:fldCharType="separate"/>
        </w:r>
        <w:r w:rsidR="00661064">
          <w:rPr>
            <w:webHidden/>
          </w:rPr>
          <w:t>34</w:t>
        </w:r>
        <w:r w:rsidR="00661064">
          <w:rPr>
            <w:webHidden/>
          </w:rPr>
          <w:fldChar w:fldCharType="end"/>
        </w:r>
      </w:hyperlink>
    </w:p>
    <w:p w:rsidR="00661064" w:rsidP="00362A84" w:rsidRDefault="007315AD" w14:paraId="7FF84130" w14:textId="4A4F046A">
      <w:pPr>
        <w:pStyle w:val="TOC2"/>
        <w:jc w:val="both"/>
        <w:rPr>
          <w:rFonts w:asciiTheme="minorHAnsi" w:hAnsiTheme="minorHAnsi" w:eastAsiaTheme="minorEastAsia"/>
          <w:sz w:val="22"/>
        </w:rPr>
      </w:pPr>
      <w:hyperlink w:history="1" w:anchor="_Toc74573093">
        <w:r w:rsidRPr="00A53FF0" w:rsidR="00661064">
          <w:rPr>
            <w:rStyle w:val="Hyperlink"/>
          </w:rPr>
          <w:t>D.</w:t>
        </w:r>
        <w:r w:rsidR="00661064">
          <w:rPr>
            <w:rFonts w:asciiTheme="minorHAnsi" w:hAnsiTheme="minorHAnsi" w:eastAsiaTheme="minorEastAsia"/>
            <w:sz w:val="22"/>
          </w:rPr>
          <w:tab/>
        </w:r>
        <w:r w:rsidRPr="00A53FF0" w:rsidR="00661064">
          <w:rPr>
            <w:rStyle w:val="Hyperlink"/>
          </w:rPr>
          <w:t>The Shadow Billing provisions in the Stipulation provide no customer benefits and violate Commission policy and precedent.</w:t>
        </w:r>
        <w:r w:rsidR="00661064">
          <w:rPr>
            <w:webHidden/>
          </w:rPr>
          <w:tab/>
        </w:r>
        <w:r w:rsidR="00661064">
          <w:rPr>
            <w:webHidden/>
          </w:rPr>
          <w:fldChar w:fldCharType="begin"/>
        </w:r>
        <w:r w:rsidR="00661064">
          <w:rPr>
            <w:webHidden/>
          </w:rPr>
          <w:instrText xml:space="preserve"> PAGEREF _Toc74573093 \h </w:instrText>
        </w:r>
        <w:r w:rsidR="00661064">
          <w:rPr>
            <w:webHidden/>
          </w:rPr>
        </w:r>
        <w:r w:rsidR="00661064">
          <w:rPr>
            <w:webHidden/>
          </w:rPr>
          <w:fldChar w:fldCharType="separate"/>
        </w:r>
        <w:r w:rsidR="00661064">
          <w:rPr>
            <w:webHidden/>
          </w:rPr>
          <w:t>37</w:t>
        </w:r>
        <w:r w:rsidR="00661064">
          <w:rPr>
            <w:webHidden/>
          </w:rPr>
          <w:fldChar w:fldCharType="end"/>
        </w:r>
      </w:hyperlink>
    </w:p>
    <w:p w:rsidRPr="00026980" w:rsidR="00661064" w:rsidP="00362A84" w:rsidRDefault="007315AD" w14:paraId="71E9CA37" w14:textId="7698AA4D">
      <w:pPr>
        <w:pStyle w:val="TOC3"/>
        <w:ind w:right="576"/>
        <w:rPr>
          <w:rFonts w:asciiTheme="minorHAnsi" w:hAnsiTheme="minorHAnsi" w:eastAsiaTheme="minorEastAsia" w:cstheme="minorBidi"/>
          <w:noProof/>
          <w:sz w:val="22"/>
          <w:szCs w:val="22"/>
        </w:rPr>
      </w:pPr>
      <w:hyperlink w:history="1" w:anchor="_Toc74573094">
        <w:r w:rsidRPr="00026980" w:rsidR="00661064">
          <w:rPr>
            <w:rStyle w:val="Hyperlink"/>
            <w:noProof/>
          </w:rPr>
          <w:t>1.</w:t>
        </w:r>
        <w:r w:rsidRPr="00026980" w:rsidR="00661064">
          <w:rPr>
            <w:rFonts w:asciiTheme="minorHAnsi" w:hAnsiTheme="minorHAnsi" w:eastAsiaTheme="minorEastAsia" w:cstheme="minorBidi"/>
            <w:noProof/>
            <w:sz w:val="22"/>
            <w:szCs w:val="22"/>
          </w:rPr>
          <w:tab/>
        </w:r>
        <w:r w:rsidRPr="00026980" w:rsidR="00661064">
          <w:rPr>
            <w:rStyle w:val="Hyperlink"/>
            <w:noProof/>
          </w:rPr>
          <w:t>Aggregate shadow billing data provides no benefit to ratepayers or the public interest.</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_Toc74573094 \h </w:instrText>
        </w:r>
        <w:r w:rsidRPr="00026980" w:rsidR="00661064">
          <w:rPr>
            <w:noProof/>
            <w:webHidden/>
          </w:rPr>
        </w:r>
        <w:r w:rsidRPr="00026980" w:rsidR="00661064">
          <w:rPr>
            <w:noProof/>
            <w:webHidden/>
          </w:rPr>
          <w:fldChar w:fldCharType="separate"/>
        </w:r>
        <w:r w:rsidRPr="00026980" w:rsidR="00661064">
          <w:rPr>
            <w:noProof/>
            <w:webHidden/>
          </w:rPr>
          <w:t>38</w:t>
        </w:r>
        <w:r w:rsidRPr="00026980" w:rsidR="00661064">
          <w:rPr>
            <w:noProof/>
            <w:webHidden/>
          </w:rPr>
          <w:fldChar w:fldCharType="end"/>
        </w:r>
      </w:hyperlink>
    </w:p>
    <w:p w:rsidRPr="00026980" w:rsidR="00661064" w:rsidP="00362A84" w:rsidRDefault="007315AD" w14:paraId="30FFA2E2" w14:textId="367E372C">
      <w:pPr>
        <w:pStyle w:val="TOC3"/>
        <w:ind w:right="576"/>
        <w:rPr>
          <w:rFonts w:asciiTheme="minorHAnsi" w:hAnsiTheme="minorHAnsi" w:eastAsiaTheme="minorEastAsia" w:cstheme="minorBidi"/>
          <w:noProof/>
          <w:sz w:val="22"/>
          <w:szCs w:val="22"/>
        </w:rPr>
      </w:pPr>
      <w:hyperlink w:history="1" w:anchor="_Toc74573095">
        <w:r w:rsidRPr="00026980" w:rsidR="00661064">
          <w:rPr>
            <w:rStyle w:val="Hyperlink"/>
            <w:noProof/>
          </w:rPr>
          <w:t>2.</w:t>
        </w:r>
        <w:r w:rsidRPr="00026980" w:rsidR="00661064">
          <w:rPr>
            <w:rFonts w:asciiTheme="minorHAnsi" w:hAnsiTheme="minorHAnsi" w:eastAsiaTheme="minorEastAsia" w:cstheme="minorBidi"/>
            <w:noProof/>
            <w:sz w:val="22"/>
            <w:szCs w:val="22"/>
          </w:rPr>
          <w:tab/>
        </w:r>
        <w:r w:rsidRPr="00026980" w:rsidR="00661064">
          <w:rPr>
            <w:rStyle w:val="Hyperlink"/>
            <w:noProof/>
          </w:rPr>
          <w:t>Adoption of the aggregate shadow billing provision is inconsistent with prior Commission orders.</w:t>
        </w:r>
        <w:r w:rsidRPr="00026980" w:rsidR="00661064">
          <w:rPr>
            <w:noProof/>
            <w:webHidden/>
          </w:rPr>
          <w:tab/>
        </w:r>
        <w:r w:rsidRPr="00026980" w:rsidR="00661064">
          <w:rPr>
            <w:noProof/>
            <w:webHidden/>
          </w:rPr>
          <w:fldChar w:fldCharType="begin"/>
        </w:r>
        <w:r w:rsidRPr="00026980" w:rsidR="00661064">
          <w:rPr>
            <w:noProof/>
            <w:webHidden/>
          </w:rPr>
          <w:instrText xml:space="preserve"> PAGEREF _Toc74573095 \h </w:instrText>
        </w:r>
        <w:r w:rsidRPr="00026980" w:rsidR="00661064">
          <w:rPr>
            <w:noProof/>
            <w:webHidden/>
          </w:rPr>
        </w:r>
        <w:r w:rsidRPr="00026980" w:rsidR="00661064">
          <w:rPr>
            <w:noProof/>
            <w:webHidden/>
          </w:rPr>
          <w:fldChar w:fldCharType="separate"/>
        </w:r>
        <w:r w:rsidRPr="00026980" w:rsidR="00661064">
          <w:rPr>
            <w:noProof/>
            <w:webHidden/>
          </w:rPr>
          <w:t>40</w:t>
        </w:r>
        <w:r w:rsidRPr="00026980" w:rsidR="00661064">
          <w:rPr>
            <w:noProof/>
            <w:webHidden/>
          </w:rPr>
          <w:fldChar w:fldCharType="end"/>
        </w:r>
      </w:hyperlink>
    </w:p>
    <w:p w:rsidR="00661064" w:rsidP="00362A84" w:rsidRDefault="007315AD" w14:paraId="5A18782A" w14:textId="107EC2AE">
      <w:pPr>
        <w:pStyle w:val="TOC2"/>
        <w:jc w:val="both"/>
        <w:rPr>
          <w:rFonts w:asciiTheme="minorHAnsi" w:hAnsiTheme="minorHAnsi" w:eastAsiaTheme="minorEastAsia"/>
          <w:sz w:val="22"/>
        </w:rPr>
      </w:pPr>
      <w:hyperlink w:history="1" w:anchor="_Toc74573096">
        <w:r w:rsidRPr="00A53FF0" w:rsidR="00661064">
          <w:rPr>
            <w:rStyle w:val="Hyperlink"/>
          </w:rPr>
          <w:t>E.</w:t>
        </w:r>
        <w:r w:rsidR="00661064">
          <w:rPr>
            <w:rFonts w:asciiTheme="minorHAnsi" w:hAnsiTheme="minorHAnsi" w:eastAsiaTheme="minorEastAsia"/>
            <w:sz w:val="22"/>
          </w:rPr>
          <w:tab/>
        </w:r>
        <w:r w:rsidRPr="00A53FF0" w:rsidR="00661064">
          <w:rPr>
            <w:rStyle w:val="Hyperlink"/>
          </w:rPr>
          <w:t>The limited BTCR Pilot is not in the public interest and violates important regulatory principles.</w:t>
        </w:r>
        <w:r w:rsidR="00661064">
          <w:rPr>
            <w:webHidden/>
          </w:rPr>
          <w:tab/>
        </w:r>
        <w:r w:rsidR="00661064">
          <w:rPr>
            <w:webHidden/>
          </w:rPr>
          <w:fldChar w:fldCharType="begin"/>
        </w:r>
        <w:r w:rsidR="00661064">
          <w:rPr>
            <w:webHidden/>
          </w:rPr>
          <w:instrText xml:space="preserve"> PAGEREF _Toc74573096 \h </w:instrText>
        </w:r>
        <w:r w:rsidR="00661064">
          <w:rPr>
            <w:webHidden/>
          </w:rPr>
        </w:r>
        <w:r w:rsidR="00661064">
          <w:rPr>
            <w:webHidden/>
          </w:rPr>
          <w:fldChar w:fldCharType="separate"/>
        </w:r>
        <w:r w:rsidR="00661064">
          <w:rPr>
            <w:webHidden/>
          </w:rPr>
          <w:t>41</w:t>
        </w:r>
        <w:r w:rsidR="00661064">
          <w:rPr>
            <w:webHidden/>
          </w:rPr>
          <w:fldChar w:fldCharType="end"/>
        </w:r>
      </w:hyperlink>
    </w:p>
    <w:p w:rsidRPr="00362A84" w:rsidR="00661064" w:rsidP="00362A84" w:rsidRDefault="007315AD" w14:paraId="77C6C8B5" w14:textId="7B34E455">
      <w:pPr>
        <w:pStyle w:val="TOC2"/>
        <w:ind w:left="1080"/>
        <w:jc w:val="both"/>
        <w:rPr>
          <w:rFonts w:asciiTheme="minorHAnsi" w:hAnsiTheme="minorHAnsi" w:eastAsiaTheme="minorEastAsia"/>
          <w:b w:val="0"/>
          <w:bCs w:val="0"/>
          <w:i/>
          <w:iCs/>
          <w:sz w:val="22"/>
        </w:rPr>
      </w:pPr>
      <w:hyperlink w:history="1" w:anchor="_Toc74573097">
        <w:r w:rsidRPr="00362A84" w:rsidR="00661064">
          <w:rPr>
            <w:rStyle w:val="Hyperlink"/>
            <w:b w:val="0"/>
            <w:bCs w:val="0"/>
            <w:i/>
            <w:iCs/>
          </w:rPr>
          <w:t>1. The BTCR’s failure to properly align charges with PJM frustrates the ability of a customer to respond to price signals and control rising transmission costs contrary to the public interest.</w:t>
        </w:r>
        <w:r w:rsidRPr="00362A84" w:rsidR="00661064">
          <w:rPr>
            <w:b w:val="0"/>
            <w:bCs w:val="0"/>
            <w:i/>
            <w:iCs/>
            <w:webHidden/>
          </w:rPr>
          <w:tab/>
        </w:r>
        <w:r w:rsidRPr="00362A84" w:rsidR="00661064">
          <w:rPr>
            <w:b w:val="0"/>
            <w:bCs w:val="0"/>
            <w:i/>
            <w:iCs/>
            <w:webHidden/>
          </w:rPr>
          <w:fldChar w:fldCharType="begin"/>
        </w:r>
        <w:r w:rsidRPr="00362A84" w:rsidR="00661064">
          <w:rPr>
            <w:b w:val="0"/>
            <w:bCs w:val="0"/>
            <w:i/>
            <w:iCs/>
            <w:webHidden/>
          </w:rPr>
          <w:instrText xml:space="preserve"> PAGEREF _Toc74573097 \h </w:instrText>
        </w:r>
        <w:r w:rsidRPr="00362A84" w:rsidR="00661064">
          <w:rPr>
            <w:b w:val="0"/>
            <w:bCs w:val="0"/>
            <w:i/>
            <w:iCs/>
            <w:webHidden/>
          </w:rPr>
        </w:r>
        <w:r w:rsidRPr="00362A84" w:rsidR="00661064">
          <w:rPr>
            <w:b w:val="0"/>
            <w:bCs w:val="0"/>
            <w:i/>
            <w:iCs/>
            <w:webHidden/>
          </w:rPr>
          <w:fldChar w:fldCharType="separate"/>
        </w:r>
        <w:r w:rsidRPr="00362A84" w:rsidR="00661064">
          <w:rPr>
            <w:b w:val="0"/>
            <w:bCs w:val="0"/>
            <w:i/>
            <w:iCs/>
            <w:webHidden/>
          </w:rPr>
          <w:t>43</w:t>
        </w:r>
        <w:r w:rsidRPr="00362A84" w:rsidR="00661064">
          <w:rPr>
            <w:b w:val="0"/>
            <w:bCs w:val="0"/>
            <w:i/>
            <w:iCs/>
            <w:webHidden/>
          </w:rPr>
          <w:fldChar w:fldCharType="end"/>
        </w:r>
      </w:hyperlink>
    </w:p>
    <w:p w:rsidRPr="00362A84" w:rsidR="00661064" w:rsidP="00362A84" w:rsidRDefault="007315AD" w14:paraId="200EC5B6" w14:textId="532D8A39">
      <w:pPr>
        <w:pStyle w:val="TOC3"/>
        <w:ind w:right="576"/>
        <w:rPr>
          <w:rFonts w:asciiTheme="minorHAnsi" w:hAnsiTheme="minorHAnsi" w:eastAsiaTheme="minorEastAsia" w:cstheme="minorBidi"/>
          <w:noProof/>
          <w:sz w:val="22"/>
          <w:szCs w:val="22"/>
        </w:rPr>
      </w:pPr>
      <w:hyperlink w:history="1" w:anchor="_Toc74573098">
        <w:r w:rsidRPr="00362A84" w:rsidR="00661064">
          <w:rPr>
            <w:rStyle w:val="Hyperlink"/>
            <w:noProof/>
          </w:rPr>
          <w:t>2. The BTCR violates important regulatory practices and principles.</w:t>
        </w:r>
        <w:r w:rsidRPr="00362A84" w:rsidR="00661064">
          <w:rPr>
            <w:noProof/>
            <w:webHidden/>
          </w:rPr>
          <w:tab/>
        </w:r>
        <w:r w:rsidRPr="00362A84" w:rsidR="00661064">
          <w:rPr>
            <w:noProof/>
            <w:webHidden/>
          </w:rPr>
          <w:fldChar w:fldCharType="begin"/>
        </w:r>
        <w:r w:rsidRPr="00362A84" w:rsidR="00661064">
          <w:rPr>
            <w:noProof/>
            <w:webHidden/>
          </w:rPr>
          <w:instrText xml:space="preserve"> PAGEREF _Toc74573098 \h </w:instrText>
        </w:r>
        <w:r w:rsidRPr="00362A84" w:rsidR="00661064">
          <w:rPr>
            <w:noProof/>
            <w:webHidden/>
          </w:rPr>
        </w:r>
        <w:r w:rsidRPr="00362A84" w:rsidR="00661064">
          <w:rPr>
            <w:noProof/>
            <w:webHidden/>
          </w:rPr>
          <w:fldChar w:fldCharType="separate"/>
        </w:r>
        <w:r w:rsidRPr="00362A84" w:rsidR="00661064">
          <w:rPr>
            <w:noProof/>
            <w:webHidden/>
          </w:rPr>
          <w:t>45</w:t>
        </w:r>
        <w:r w:rsidRPr="00362A84" w:rsidR="00661064">
          <w:rPr>
            <w:noProof/>
            <w:webHidden/>
          </w:rPr>
          <w:fldChar w:fldCharType="end"/>
        </w:r>
      </w:hyperlink>
    </w:p>
    <w:p w:rsidR="00661064" w:rsidP="00362A84" w:rsidRDefault="007315AD" w14:paraId="71C397A1" w14:textId="1843B890">
      <w:pPr>
        <w:pStyle w:val="TOC1"/>
        <w:jc w:val="both"/>
        <w:rPr>
          <w:rFonts w:asciiTheme="minorHAnsi" w:hAnsiTheme="minorHAnsi" w:eastAsiaTheme="minorEastAsia"/>
          <w:b w:val="0"/>
          <w:bCs w:val="0"/>
          <w:sz w:val="22"/>
        </w:rPr>
      </w:pPr>
      <w:hyperlink w:history="1" w:anchor="_Toc74573099">
        <w:r w:rsidRPr="00A53FF0" w:rsidR="00661064">
          <w:rPr>
            <w:rStyle w:val="Hyperlink"/>
          </w:rPr>
          <w:t>IV.</w:t>
        </w:r>
        <w:r w:rsidR="00661064">
          <w:rPr>
            <w:rFonts w:asciiTheme="minorHAnsi" w:hAnsiTheme="minorHAnsi" w:eastAsiaTheme="minorEastAsia"/>
            <w:b w:val="0"/>
            <w:bCs w:val="0"/>
            <w:sz w:val="22"/>
          </w:rPr>
          <w:tab/>
        </w:r>
        <w:r w:rsidRPr="00A53FF0" w:rsidR="00661064">
          <w:rPr>
            <w:rStyle w:val="Hyperlink"/>
            <w:shd w:val="clear" w:color="auto" w:fill="FFFFFF"/>
          </w:rPr>
          <w:t>CONCLUSION</w:t>
        </w:r>
        <w:r w:rsidR="00661064">
          <w:rPr>
            <w:webHidden/>
          </w:rPr>
          <w:tab/>
        </w:r>
        <w:r w:rsidR="00661064">
          <w:rPr>
            <w:webHidden/>
          </w:rPr>
          <w:fldChar w:fldCharType="begin"/>
        </w:r>
        <w:r w:rsidR="00661064">
          <w:rPr>
            <w:webHidden/>
          </w:rPr>
          <w:instrText xml:space="preserve"> PAGEREF _Toc74573099 \h </w:instrText>
        </w:r>
        <w:r w:rsidR="00661064">
          <w:rPr>
            <w:webHidden/>
          </w:rPr>
        </w:r>
        <w:r w:rsidR="00661064">
          <w:rPr>
            <w:webHidden/>
          </w:rPr>
          <w:fldChar w:fldCharType="separate"/>
        </w:r>
        <w:r w:rsidR="00661064">
          <w:rPr>
            <w:webHidden/>
          </w:rPr>
          <w:t>50</w:t>
        </w:r>
        <w:r w:rsidR="00661064">
          <w:rPr>
            <w:webHidden/>
          </w:rPr>
          <w:fldChar w:fldCharType="end"/>
        </w:r>
      </w:hyperlink>
    </w:p>
    <w:p w:rsidR="00661064" w:rsidP="00362A84" w:rsidRDefault="007315AD" w14:paraId="779CE463" w14:textId="038F772A">
      <w:pPr>
        <w:pStyle w:val="TOC1"/>
        <w:jc w:val="both"/>
        <w:rPr>
          <w:rFonts w:asciiTheme="minorHAnsi" w:hAnsiTheme="minorHAnsi" w:eastAsiaTheme="minorEastAsia"/>
          <w:b w:val="0"/>
          <w:bCs w:val="0"/>
          <w:sz w:val="22"/>
        </w:rPr>
      </w:pPr>
      <w:hyperlink w:history="1" w:anchor="_Toc74573100">
        <w:r w:rsidRPr="00A53FF0" w:rsidR="00661064">
          <w:rPr>
            <w:rStyle w:val="Hyperlink"/>
            <w:rFonts w:cs="Arial"/>
          </w:rPr>
          <w:t>CERTIFICATE OF SERVICE</w:t>
        </w:r>
        <w:r w:rsidR="00661064">
          <w:rPr>
            <w:webHidden/>
          </w:rPr>
          <w:tab/>
        </w:r>
        <w:r w:rsidR="00661064">
          <w:rPr>
            <w:webHidden/>
          </w:rPr>
          <w:fldChar w:fldCharType="begin"/>
        </w:r>
        <w:r w:rsidR="00661064">
          <w:rPr>
            <w:webHidden/>
          </w:rPr>
          <w:instrText xml:space="preserve"> PAGEREF _Toc74573100 \h </w:instrText>
        </w:r>
        <w:r w:rsidR="00661064">
          <w:rPr>
            <w:webHidden/>
          </w:rPr>
        </w:r>
        <w:r w:rsidR="00661064">
          <w:rPr>
            <w:webHidden/>
          </w:rPr>
          <w:fldChar w:fldCharType="separate"/>
        </w:r>
        <w:r w:rsidR="00661064">
          <w:rPr>
            <w:webHidden/>
          </w:rPr>
          <w:t>52</w:t>
        </w:r>
        <w:r w:rsidR="00661064">
          <w:rPr>
            <w:webHidden/>
          </w:rPr>
          <w:fldChar w:fldCharType="end"/>
        </w:r>
      </w:hyperlink>
    </w:p>
    <w:p w:rsidRPr="00295A05" w:rsidR="00957549" w:rsidP="001F0D79" w:rsidRDefault="00626D89" w14:paraId="6234D030" w14:textId="58F28F31">
      <w:pPr>
        <w:ind w:left="720" w:hanging="720"/>
        <w:rPr>
          <w:rFonts w:ascii="Arial" w:hAnsi="Arial" w:cs="Arial"/>
          <w:b/>
          <w:sz w:val="24"/>
          <w:szCs w:val="24"/>
          <w:shd w:val="clear" w:color="auto" w:fill="FFFFFF"/>
        </w:rPr>
      </w:pPr>
      <w:r>
        <w:rPr>
          <w:rFonts w:ascii="Arial" w:hAnsi="Arial" w:cs="Arial"/>
          <w:b/>
          <w:bCs/>
          <w:noProof/>
          <w:sz w:val="24"/>
          <w:szCs w:val="24"/>
          <w:shd w:val="clear" w:color="auto" w:fill="FFFFFF"/>
        </w:rPr>
        <w:fldChar w:fldCharType="end"/>
      </w:r>
      <w:r w:rsidRPr="00295A05" w:rsidR="00B22A7A">
        <w:rPr>
          <w:rFonts w:ascii="Arial" w:hAnsi="Arial" w:cs="Arial"/>
          <w:b/>
          <w:sz w:val="24"/>
          <w:szCs w:val="24"/>
          <w:shd w:val="clear" w:color="auto" w:fill="FFFFFF"/>
        </w:rPr>
        <w:br w:type="page"/>
      </w:r>
    </w:p>
    <w:p w:rsidR="00957549" w:rsidP="00A028D6" w:rsidRDefault="00957549" w14:paraId="05663D6F" w14:textId="75FBA919">
      <w:pPr>
        <w:pStyle w:val="Heading1"/>
        <w:numPr>
          <w:ilvl w:val="0"/>
          <w:numId w:val="1"/>
        </w:numPr>
        <w:spacing w:after="240"/>
      </w:pPr>
      <w:bookmarkStart w:name="_Toc73104526" w:id="0"/>
      <w:bookmarkStart w:name="_Toc74573072" w:id="1"/>
      <w:r>
        <w:lastRenderedPageBreak/>
        <w:t>INTRODUCTION</w:t>
      </w:r>
      <w:bookmarkEnd w:id="0"/>
      <w:bookmarkEnd w:id="1"/>
    </w:p>
    <w:p w:rsidRPr="00A028D6" w:rsidR="00254823" w:rsidP="00A028D6" w:rsidRDefault="00364159" w14:paraId="71C00349" w14:textId="6AA91ADC">
      <w:pPr>
        <w:spacing w:after="0" w:line="480" w:lineRule="auto"/>
        <w:ind w:firstLine="720"/>
        <w:jc w:val="both"/>
        <w:rPr>
          <w:rFonts w:ascii="Arial" w:hAnsi="Arial" w:cs="Arial"/>
          <w:sz w:val="24"/>
          <w:szCs w:val="24"/>
        </w:rPr>
      </w:pPr>
      <w:r>
        <w:rPr>
          <w:rFonts w:ascii="Arial" w:hAnsi="Arial" w:cs="Arial"/>
          <w:sz w:val="24"/>
          <w:szCs w:val="24"/>
        </w:rPr>
        <w:t xml:space="preserve">The Stipulation and </w:t>
      </w:r>
      <w:r w:rsidR="008E79B8">
        <w:rPr>
          <w:rFonts w:ascii="Arial" w:hAnsi="Arial" w:cs="Arial"/>
          <w:sz w:val="24"/>
          <w:szCs w:val="24"/>
        </w:rPr>
        <w:t>R</w:t>
      </w:r>
      <w:r>
        <w:rPr>
          <w:rFonts w:ascii="Arial" w:hAnsi="Arial" w:cs="Arial"/>
          <w:sz w:val="24"/>
          <w:szCs w:val="24"/>
        </w:rPr>
        <w:t>ecommendation</w:t>
      </w:r>
      <w:r w:rsidR="008E79B8">
        <w:rPr>
          <w:rFonts w:ascii="Arial" w:hAnsi="Arial" w:cs="Arial"/>
          <w:sz w:val="24"/>
          <w:szCs w:val="24"/>
        </w:rPr>
        <w:t xml:space="preserve"> (“Stipulation”)</w:t>
      </w:r>
      <w:r>
        <w:rPr>
          <w:rFonts w:ascii="Arial" w:hAnsi="Arial" w:cs="Arial"/>
          <w:sz w:val="24"/>
          <w:szCs w:val="24"/>
        </w:rPr>
        <w:t xml:space="preserve"> </w:t>
      </w:r>
      <w:r w:rsidR="008E79B8">
        <w:rPr>
          <w:rFonts w:ascii="Arial" w:hAnsi="Arial" w:cs="Arial"/>
          <w:sz w:val="24"/>
          <w:szCs w:val="24"/>
        </w:rPr>
        <w:t>under consideration in this case proposes that</w:t>
      </w:r>
      <w:r w:rsidRPr="00A028D6" w:rsidR="00254823">
        <w:rPr>
          <w:rFonts w:ascii="Arial" w:hAnsi="Arial" w:cs="Arial"/>
          <w:sz w:val="24"/>
          <w:szCs w:val="24"/>
        </w:rPr>
        <w:t xml:space="preserve"> </w:t>
      </w:r>
      <w:r w:rsidR="008E79B8">
        <w:rPr>
          <w:rFonts w:ascii="Arial" w:hAnsi="Arial" w:cs="Arial"/>
          <w:sz w:val="24"/>
          <w:szCs w:val="24"/>
        </w:rPr>
        <w:t>c</w:t>
      </w:r>
      <w:r w:rsidRPr="00A028D6" w:rsidR="00254823">
        <w:rPr>
          <w:rFonts w:ascii="Arial" w:hAnsi="Arial" w:cs="Arial"/>
          <w:sz w:val="24"/>
          <w:szCs w:val="24"/>
        </w:rPr>
        <w:t xml:space="preserve">hoice customers </w:t>
      </w:r>
      <w:r w:rsidRPr="007F2348" w:rsidR="000E0C0E">
        <w:rPr>
          <w:rFonts w:ascii="Arial" w:hAnsi="Arial" w:cs="Arial"/>
          <w:sz w:val="24"/>
          <w:szCs w:val="24"/>
        </w:rPr>
        <w:t>of Ohio Power Company</w:t>
      </w:r>
      <w:r w:rsidRPr="00CD19C2" w:rsidR="00D97419">
        <w:rPr>
          <w:rFonts w:ascii="Arial" w:hAnsi="Arial" w:cs="Arial"/>
          <w:sz w:val="24"/>
          <w:szCs w:val="24"/>
        </w:rPr>
        <w:t xml:space="preserve"> (“Ohio Power” or “Company”)</w:t>
      </w:r>
      <w:r w:rsidR="008E79B8">
        <w:rPr>
          <w:rFonts w:ascii="Arial" w:hAnsi="Arial" w:cs="Arial"/>
          <w:sz w:val="24"/>
          <w:szCs w:val="24"/>
        </w:rPr>
        <w:t xml:space="preserve"> </w:t>
      </w:r>
      <w:r w:rsidRPr="00A028D6" w:rsidR="00254823">
        <w:rPr>
          <w:rFonts w:ascii="Arial" w:hAnsi="Arial" w:cs="Arial"/>
          <w:sz w:val="24"/>
          <w:szCs w:val="24"/>
        </w:rPr>
        <w:t xml:space="preserve">pay for their own electric generation service and </w:t>
      </w:r>
      <w:r w:rsidRPr="007F2348" w:rsidR="000E0C0E">
        <w:rPr>
          <w:rFonts w:ascii="Arial" w:hAnsi="Arial" w:cs="Arial"/>
          <w:sz w:val="24"/>
          <w:szCs w:val="24"/>
        </w:rPr>
        <w:t>contribute to the</w:t>
      </w:r>
      <w:r w:rsidRPr="00A028D6" w:rsidR="00254823">
        <w:rPr>
          <w:rFonts w:ascii="Arial" w:hAnsi="Arial" w:cs="Arial"/>
          <w:sz w:val="24"/>
          <w:szCs w:val="24"/>
        </w:rPr>
        <w:t xml:space="preserve"> costs to support the utility’s default service generation customers. </w:t>
      </w:r>
      <w:r w:rsidRPr="007F2348" w:rsidR="000E0C0E">
        <w:rPr>
          <w:rFonts w:ascii="Arial" w:hAnsi="Arial" w:cs="Arial"/>
          <w:sz w:val="24"/>
          <w:szCs w:val="24"/>
        </w:rPr>
        <w:t>This double dip</w:t>
      </w:r>
      <w:r w:rsidRPr="00A028D6" w:rsidR="00254823">
        <w:rPr>
          <w:rFonts w:ascii="Arial" w:hAnsi="Arial" w:cs="Arial"/>
          <w:sz w:val="24"/>
          <w:szCs w:val="24"/>
        </w:rPr>
        <w:t xml:space="preserve"> creates an artificial penalty for shopping for electricity in Ohio</w:t>
      </w:r>
      <w:r w:rsidR="006E5DF2">
        <w:rPr>
          <w:rFonts w:ascii="Arial" w:hAnsi="Arial" w:cs="Arial"/>
          <w:sz w:val="24"/>
          <w:szCs w:val="24"/>
        </w:rPr>
        <w:t xml:space="preserve"> in violation of </w:t>
      </w:r>
      <w:r w:rsidR="00FA7817">
        <w:rPr>
          <w:rFonts w:ascii="Arial" w:hAnsi="Arial" w:cs="Arial"/>
          <w:sz w:val="24"/>
          <w:szCs w:val="24"/>
        </w:rPr>
        <w:t>Ohio law and policy.</w:t>
      </w:r>
      <w:r w:rsidRPr="00A028D6" w:rsidR="00254823">
        <w:rPr>
          <w:rFonts w:ascii="Arial" w:hAnsi="Arial" w:cs="Arial"/>
          <w:sz w:val="24"/>
          <w:szCs w:val="24"/>
        </w:rPr>
        <w:t xml:space="preserve"> </w:t>
      </w:r>
    </w:p>
    <w:p w:rsidRPr="00A028D6" w:rsidR="00254823" w:rsidP="00A028D6" w:rsidRDefault="00254823" w14:paraId="4449AE59" w14:textId="131C8FF9">
      <w:pPr>
        <w:spacing w:after="0" w:line="480" w:lineRule="auto"/>
        <w:ind w:firstLine="720"/>
        <w:jc w:val="both"/>
        <w:rPr>
          <w:rFonts w:ascii="Arial" w:hAnsi="Arial" w:cs="Arial"/>
          <w:sz w:val="24"/>
          <w:szCs w:val="24"/>
        </w:rPr>
      </w:pPr>
      <w:r w:rsidRPr="00A028D6">
        <w:rPr>
          <w:rFonts w:ascii="Arial" w:hAnsi="Arial" w:cs="Arial"/>
          <w:sz w:val="24"/>
          <w:szCs w:val="24"/>
        </w:rPr>
        <w:t xml:space="preserve">Making matters worse, the Stipulation would allow for the continuation of significant fees on CRES providers. Such fees would be required from all CRES providers just to be able offer competitive services in Ohio Power’s service territory. These costs are in addition to the costs that CRES providers must incur to provide generation service to their customers, </w:t>
      </w:r>
      <w:proofErr w:type="gramStart"/>
      <w:r w:rsidRPr="00A028D6">
        <w:rPr>
          <w:rFonts w:ascii="Arial" w:hAnsi="Arial" w:cs="Arial"/>
          <w:sz w:val="24"/>
          <w:szCs w:val="24"/>
        </w:rPr>
        <w:t>despite the fact that</w:t>
      </w:r>
      <w:proofErr w:type="gramEnd"/>
      <w:r w:rsidRPr="00A028D6">
        <w:rPr>
          <w:rFonts w:ascii="Arial" w:hAnsi="Arial" w:cs="Arial"/>
          <w:sz w:val="24"/>
          <w:szCs w:val="24"/>
        </w:rPr>
        <w:t xml:space="preserve"> Ohio Power recovers the same comparable cost for </w:t>
      </w:r>
      <w:r w:rsidR="00A229DA">
        <w:rPr>
          <w:rFonts w:ascii="Arial" w:hAnsi="Arial" w:cs="Arial"/>
          <w:sz w:val="24"/>
          <w:szCs w:val="24"/>
        </w:rPr>
        <w:t>Standard Service Offer</w:t>
      </w:r>
      <w:r w:rsidRPr="00A028D6">
        <w:rPr>
          <w:rFonts w:ascii="Arial" w:hAnsi="Arial" w:cs="Arial"/>
          <w:sz w:val="24"/>
          <w:szCs w:val="24"/>
        </w:rPr>
        <w:t xml:space="preserve"> </w:t>
      </w:r>
      <w:r w:rsidR="00A229DA">
        <w:rPr>
          <w:rFonts w:ascii="Arial" w:hAnsi="Arial" w:cs="Arial"/>
          <w:sz w:val="24"/>
          <w:szCs w:val="24"/>
        </w:rPr>
        <w:t>(“</w:t>
      </w:r>
      <w:r w:rsidRPr="00A028D6">
        <w:rPr>
          <w:rFonts w:ascii="Arial" w:hAnsi="Arial" w:cs="Arial"/>
          <w:sz w:val="24"/>
          <w:szCs w:val="24"/>
        </w:rPr>
        <w:t>SSO</w:t>
      </w:r>
      <w:r w:rsidR="00A229DA">
        <w:rPr>
          <w:rFonts w:ascii="Arial" w:hAnsi="Arial" w:cs="Arial"/>
          <w:sz w:val="24"/>
          <w:szCs w:val="24"/>
        </w:rPr>
        <w:t>”)</w:t>
      </w:r>
      <w:r w:rsidRPr="00A028D6">
        <w:rPr>
          <w:rFonts w:ascii="Arial" w:hAnsi="Arial" w:cs="Arial"/>
          <w:sz w:val="24"/>
          <w:szCs w:val="24"/>
        </w:rPr>
        <w:t xml:space="preserve"> customers through distribution rates. Therefore, the Stipulation results in a world where shopping customers are double charged for competitive services—once for the CRES service that they actually do receive and a second time to support SSO generation service which they </w:t>
      </w:r>
      <w:r w:rsidRPr="006B3C4D">
        <w:rPr>
          <w:rFonts w:ascii="Arial" w:hAnsi="Arial" w:cs="Arial"/>
          <w:sz w:val="24"/>
          <w:szCs w:val="24"/>
        </w:rPr>
        <w:t>do</w:t>
      </w:r>
      <w:r w:rsidRPr="006B3C4D" w:rsidR="00771D42">
        <w:rPr>
          <w:rFonts w:ascii="Arial" w:hAnsi="Arial" w:cs="Arial"/>
          <w:sz w:val="24"/>
          <w:szCs w:val="24"/>
        </w:rPr>
        <w:t xml:space="preserve"> not</w:t>
      </w:r>
      <w:r w:rsidRPr="00A028D6">
        <w:rPr>
          <w:rFonts w:ascii="Arial" w:hAnsi="Arial" w:cs="Arial"/>
          <w:sz w:val="24"/>
          <w:szCs w:val="24"/>
        </w:rPr>
        <w:t xml:space="preserve"> receive and, potentially a third time for any fees assessed to the customer or CRES providers. </w:t>
      </w:r>
    </w:p>
    <w:p w:rsidRPr="00A028D6" w:rsidR="00254823" w:rsidP="00A028D6" w:rsidRDefault="00254823" w14:paraId="59B260C6" w14:textId="7B3668C2">
      <w:pPr>
        <w:spacing w:after="0" w:line="480" w:lineRule="auto"/>
        <w:ind w:firstLine="720"/>
        <w:jc w:val="both"/>
        <w:rPr>
          <w:rFonts w:ascii="Arial" w:hAnsi="Arial" w:cs="Arial"/>
          <w:sz w:val="24"/>
          <w:szCs w:val="24"/>
        </w:rPr>
      </w:pPr>
      <w:r w:rsidRPr="00CD19C2">
        <w:rPr>
          <w:rFonts w:ascii="Arial" w:hAnsi="Arial" w:cs="Arial"/>
          <w:sz w:val="24"/>
          <w:szCs w:val="24"/>
        </w:rPr>
        <w:t xml:space="preserve">To </w:t>
      </w:r>
      <w:r w:rsidRPr="00CD19C2" w:rsidR="006B0F7B">
        <w:rPr>
          <w:rFonts w:ascii="Arial" w:hAnsi="Arial" w:cs="Arial"/>
          <w:sz w:val="24"/>
          <w:szCs w:val="24"/>
        </w:rPr>
        <w:t>correct the flawed</w:t>
      </w:r>
      <w:r w:rsidRPr="00CD19C2" w:rsidR="000A08C0">
        <w:rPr>
          <w:rFonts w:ascii="Arial" w:hAnsi="Arial" w:cs="Arial"/>
          <w:sz w:val="24"/>
          <w:szCs w:val="24"/>
        </w:rPr>
        <w:t xml:space="preserve"> application to increase rates filed by Ohio Power (“Application”) and the Stipulation</w:t>
      </w:r>
      <w:r w:rsidRPr="00CD19C2">
        <w:rPr>
          <w:rFonts w:ascii="Arial" w:hAnsi="Arial" w:cs="Arial"/>
          <w:sz w:val="24"/>
          <w:szCs w:val="24"/>
        </w:rPr>
        <w:t xml:space="preserve">, Interstate Gas Supply, Inc. </w:t>
      </w:r>
      <w:r w:rsidRPr="00A028D6">
        <w:rPr>
          <w:rFonts w:ascii="Arial" w:hAnsi="Arial" w:cs="Arial"/>
          <w:sz w:val="24"/>
          <w:szCs w:val="24"/>
        </w:rPr>
        <w:t xml:space="preserve">(“IGS” or “IGS Energy”) and Direct Energy Business, LLC and Direct Energy Services, LLC (collectively, “Direct Energy”) have proposed a more appropriate cost allocation methodology, which </w:t>
      </w:r>
      <w:r w:rsidRPr="00CD19C2" w:rsidR="000A08C0">
        <w:rPr>
          <w:rFonts w:ascii="Arial" w:hAnsi="Arial" w:cs="Arial"/>
          <w:sz w:val="24"/>
          <w:szCs w:val="24"/>
        </w:rPr>
        <w:t xml:space="preserve">allocates and assigns </w:t>
      </w:r>
      <w:r w:rsidRPr="00A028D6">
        <w:rPr>
          <w:rFonts w:ascii="Arial" w:hAnsi="Arial" w:cs="Arial"/>
          <w:sz w:val="24"/>
          <w:szCs w:val="24"/>
        </w:rPr>
        <w:t xml:space="preserve">Ohio Power’s SSO-related costs to </w:t>
      </w:r>
      <w:r w:rsidRPr="00CD19C2" w:rsidR="00A737E8">
        <w:rPr>
          <w:rFonts w:ascii="Arial" w:hAnsi="Arial" w:cs="Arial"/>
          <w:sz w:val="24"/>
          <w:szCs w:val="24"/>
        </w:rPr>
        <w:t>a</w:t>
      </w:r>
      <w:r w:rsidRPr="00A028D6">
        <w:rPr>
          <w:rFonts w:ascii="Arial" w:hAnsi="Arial" w:cs="Arial"/>
          <w:sz w:val="24"/>
          <w:szCs w:val="24"/>
        </w:rPr>
        <w:t xml:space="preserve"> </w:t>
      </w:r>
      <w:proofErr w:type="spellStart"/>
      <w:r w:rsidRPr="00A028D6">
        <w:rPr>
          <w:rFonts w:ascii="Arial" w:hAnsi="Arial" w:cs="Arial"/>
          <w:sz w:val="24"/>
          <w:szCs w:val="24"/>
        </w:rPr>
        <w:t>bypassable</w:t>
      </w:r>
      <w:proofErr w:type="spellEnd"/>
      <w:r w:rsidRPr="00A028D6">
        <w:rPr>
          <w:rFonts w:ascii="Arial" w:hAnsi="Arial" w:cs="Arial"/>
          <w:sz w:val="24"/>
          <w:szCs w:val="24"/>
        </w:rPr>
        <w:t xml:space="preserve"> </w:t>
      </w:r>
      <w:r w:rsidRPr="00CD19C2" w:rsidR="00A737E8">
        <w:rPr>
          <w:rFonts w:ascii="Arial" w:hAnsi="Arial" w:cs="Arial"/>
          <w:sz w:val="24"/>
          <w:szCs w:val="24"/>
        </w:rPr>
        <w:t>rider designed for the purpose of correcting the existing flawed distribution rates</w:t>
      </w:r>
      <w:r w:rsidRPr="00CD19C2">
        <w:rPr>
          <w:rFonts w:ascii="Arial" w:hAnsi="Arial" w:cs="Arial"/>
          <w:sz w:val="24"/>
          <w:szCs w:val="24"/>
        </w:rPr>
        <w:t>.</w:t>
      </w:r>
      <w:r w:rsidRPr="00A028D6">
        <w:rPr>
          <w:rFonts w:ascii="Arial" w:hAnsi="Arial" w:cs="Arial"/>
          <w:sz w:val="24"/>
          <w:szCs w:val="24"/>
        </w:rPr>
        <w:t xml:space="preserve"> IGS and </w:t>
      </w:r>
      <w:proofErr w:type="spellStart"/>
      <w:r w:rsidRPr="00A028D6">
        <w:rPr>
          <w:rFonts w:ascii="Arial" w:hAnsi="Arial" w:cs="Arial"/>
          <w:sz w:val="24"/>
          <w:szCs w:val="24"/>
        </w:rPr>
        <w:t>Direct’s</w:t>
      </w:r>
      <w:proofErr w:type="spellEnd"/>
      <w:r w:rsidRPr="00A028D6">
        <w:rPr>
          <w:rFonts w:ascii="Arial" w:hAnsi="Arial" w:cs="Arial"/>
          <w:sz w:val="24"/>
          <w:szCs w:val="24"/>
        </w:rPr>
        <w:t xml:space="preserve"> proposal is net revenue neutral to all customers, is based on an actual cost analysis, and would remedy the currently unlawful subsidy flowing from distribution rates to SSO generation </w:t>
      </w:r>
      <w:r w:rsidRPr="00A028D6">
        <w:rPr>
          <w:rFonts w:ascii="Arial" w:hAnsi="Arial" w:cs="Arial"/>
          <w:sz w:val="24"/>
          <w:szCs w:val="24"/>
        </w:rPr>
        <w:lastRenderedPageBreak/>
        <w:t>service. Further, this proposed modification in consistent with Ohio law and policy and should therefore adopted.</w:t>
      </w:r>
    </w:p>
    <w:p w:rsidRPr="00A028D6" w:rsidR="00254823" w:rsidP="00A028D6" w:rsidRDefault="00254823" w14:paraId="52932003" w14:textId="35B57853">
      <w:pPr>
        <w:spacing w:after="0" w:line="480" w:lineRule="auto"/>
        <w:ind w:firstLine="720"/>
        <w:jc w:val="both"/>
        <w:rPr>
          <w:rFonts w:ascii="Arial" w:hAnsi="Arial" w:cs="Arial"/>
          <w:sz w:val="24"/>
          <w:szCs w:val="24"/>
        </w:rPr>
      </w:pPr>
      <w:r w:rsidRPr="00A028D6">
        <w:rPr>
          <w:rFonts w:ascii="Arial" w:hAnsi="Arial" w:cs="Arial"/>
          <w:sz w:val="24"/>
          <w:szCs w:val="24"/>
        </w:rPr>
        <w:t xml:space="preserve">In addition to discriminating against shopping customers, the Stipulation contains other unlawful and unreasonable provisions. </w:t>
      </w:r>
      <w:r w:rsidRPr="001C525D" w:rsidR="000A08C0">
        <w:rPr>
          <w:rFonts w:ascii="Arial" w:hAnsi="Arial" w:cs="Arial"/>
          <w:sz w:val="24"/>
          <w:szCs w:val="24"/>
        </w:rPr>
        <w:t>First</w:t>
      </w:r>
      <w:r w:rsidRPr="00A028D6">
        <w:rPr>
          <w:rFonts w:ascii="Arial" w:hAnsi="Arial" w:cs="Arial"/>
          <w:sz w:val="24"/>
          <w:szCs w:val="24"/>
        </w:rPr>
        <w:t>, it fails to ensure that there are no direct or indirect costs associated with customer</w:t>
      </w:r>
      <w:r w:rsidR="00F30833">
        <w:rPr>
          <w:rFonts w:ascii="Arial" w:hAnsi="Arial" w:cs="Arial"/>
          <w:sz w:val="24"/>
          <w:szCs w:val="24"/>
        </w:rPr>
        <w:t xml:space="preserve"> </w:t>
      </w:r>
      <w:r w:rsidRPr="00A028D6">
        <w:rPr>
          <w:rFonts w:ascii="Arial" w:hAnsi="Arial" w:cs="Arial"/>
          <w:sz w:val="24"/>
          <w:szCs w:val="24"/>
        </w:rPr>
        <w:t>sited renewable generation included in the proposed rates, in violation of R.C. 4928.47(B</w:t>
      </w:r>
      <w:r w:rsidRPr="00771313">
        <w:rPr>
          <w:rFonts w:ascii="Arial" w:hAnsi="Arial" w:cs="Arial"/>
          <w:sz w:val="24"/>
          <w:szCs w:val="24"/>
        </w:rPr>
        <w:t xml:space="preserve">). </w:t>
      </w:r>
      <w:r w:rsidRPr="001C525D" w:rsidR="000A08C0">
        <w:rPr>
          <w:rFonts w:ascii="Arial" w:hAnsi="Arial" w:cs="Arial"/>
          <w:sz w:val="24"/>
          <w:szCs w:val="24"/>
        </w:rPr>
        <w:t>Second</w:t>
      </w:r>
      <w:r w:rsidRPr="00771313">
        <w:rPr>
          <w:rFonts w:ascii="Arial" w:hAnsi="Arial" w:cs="Arial"/>
          <w:sz w:val="24"/>
          <w:szCs w:val="24"/>
        </w:rPr>
        <w:t xml:space="preserve">, </w:t>
      </w:r>
      <w:r w:rsidRPr="00771313" w:rsidR="00620581">
        <w:rPr>
          <w:rFonts w:ascii="Arial" w:hAnsi="Arial" w:cs="Arial"/>
          <w:sz w:val="24"/>
          <w:szCs w:val="24"/>
        </w:rPr>
        <w:t xml:space="preserve">it </w:t>
      </w:r>
      <w:r w:rsidR="00771313">
        <w:rPr>
          <w:rFonts w:ascii="Arial" w:hAnsi="Arial" w:cs="Arial"/>
          <w:sz w:val="24"/>
          <w:szCs w:val="24"/>
        </w:rPr>
        <w:t xml:space="preserve">would </w:t>
      </w:r>
      <w:r w:rsidRPr="00771313" w:rsidR="00620581">
        <w:rPr>
          <w:rFonts w:ascii="Arial" w:hAnsi="Arial" w:cs="Arial"/>
          <w:sz w:val="24"/>
          <w:szCs w:val="24"/>
        </w:rPr>
        <w:t>implement</w:t>
      </w:r>
      <w:r w:rsidR="00620581">
        <w:rPr>
          <w:rFonts w:ascii="Arial" w:hAnsi="Arial" w:cs="Arial"/>
          <w:sz w:val="24"/>
          <w:szCs w:val="24"/>
        </w:rPr>
        <w:t xml:space="preserve"> misleading and </w:t>
      </w:r>
      <w:r w:rsidRPr="002A1413" w:rsidR="00620581">
        <w:rPr>
          <w:rFonts w:ascii="Arial" w:hAnsi="Arial" w:cs="Arial"/>
          <w:sz w:val="24"/>
          <w:szCs w:val="24"/>
        </w:rPr>
        <w:t>useless shadow billing information</w:t>
      </w:r>
      <w:r w:rsidRPr="002A1413" w:rsidR="004E1F27">
        <w:rPr>
          <w:rFonts w:ascii="Arial" w:hAnsi="Arial" w:cs="Arial"/>
          <w:sz w:val="24"/>
          <w:szCs w:val="24"/>
        </w:rPr>
        <w:t>.</w:t>
      </w:r>
      <w:r w:rsidRPr="002A1413" w:rsidR="00620581">
        <w:rPr>
          <w:rFonts w:ascii="Arial" w:hAnsi="Arial" w:cs="Arial"/>
          <w:sz w:val="24"/>
          <w:szCs w:val="24"/>
        </w:rPr>
        <w:t xml:space="preserve"> </w:t>
      </w:r>
      <w:r w:rsidRPr="001C525D" w:rsidR="000A08C0">
        <w:rPr>
          <w:rFonts w:ascii="Arial" w:hAnsi="Arial" w:cs="Arial"/>
          <w:sz w:val="24"/>
          <w:szCs w:val="24"/>
        </w:rPr>
        <w:t>Third</w:t>
      </w:r>
      <w:r w:rsidRPr="002A1413" w:rsidR="004E1F27">
        <w:rPr>
          <w:rFonts w:ascii="Arial" w:hAnsi="Arial" w:cs="Arial"/>
          <w:sz w:val="24"/>
          <w:szCs w:val="24"/>
        </w:rPr>
        <w:t xml:space="preserve">, it would </w:t>
      </w:r>
      <w:r w:rsidRPr="002A1413" w:rsidR="002A1413">
        <w:rPr>
          <w:rFonts w:ascii="Arial" w:hAnsi="Arial" w:cs="Arial"/>
          <w:sz w:val="24"/>
          <w:szCs w:val="24"/>
        </w:rPr>
        <w:t xml:space="preserve">exclude stakeholders that did not sign the Stipulation from participating in expanded </w:t>
      </w:r>
      <w:r w:rsidRPr="002A1413">
        <w:rPr>
          <w:rFonts w:ascii="Arial" w:hAnsi="Arial" w:cs="Arial"/>
          <w:sz w:val="24"/>
          <w:szCs w:val="24"/>
        </w:rPr>
        <w:t>the Basic Transmission Cost Recovery Rider (“BTCR”)</w:t>
      </w:r>
      <w:r w:rsidRPr="002A1413" w:rsidR="008C3326">
        <w:rPr>
          <w:rFonts w:ascii="Arial" w:hAnsi="Arial" w:cs="Arial"/>
          <w:sz w:val="24"/>
          <w:szCs w:val="24"/>
        </w:rPr>
        <w:t xml:space="preserve"> Pilot Program</w:t>
      </w:r>
      <w:r w:rsidRPr="002A1413" w:rsidR="002A1413">
        <w:rPr>
          <w:rFonts w:ascii="Arial" w:hAnsi="Arial" w:cs="Arial"/>
          <w:sz w:val="24"/>
          <w:szCs w:val="24"/>
        </w:rPr>
        <w:t xml:space="preserve"> and</w:t>
      </w:r>
      <w:r w:rsidR="002A1413">
        <w:rPr>
          <w:rFonts w:ascii="Arial" w:hAnsi="Arial" w:cs="Arial"/>
          <w:sz w:val="24"/>
          <w:szCs w:val="24"/>
        </w:rPr>
        <w:t xml:space="preserve"> future</w:t>
      </w:r>
      <w:r w:rsidRPr="002A1413" w:rsidR="002A1413">
        <w:rPr>
          <w:rFonts w:ascii="Arial" w:hAnsi="Arial" w:cs="Arial"/>
          <w:sz w:val="24"/>
          <w:szCs w:val="24"/>
        </w:rPr>
        <w:t xml:space="preserve"> collaborative transmission discussions</w:t>
      </w:r>
      <w:r w:rsidRPr="002A1413">
        <w:rPr>
          <w:rFonts w:ascii="Arial" w:hAnsi="Arial" w:cs="Arial"/>
          <w:sz w:val="24"/>
          <w:szCs w:val="24"/>
        </w:rPr>
        <w:t>.</w:t>
      </w:r>
      <w:r w:rsidRPr="00A028D6">
        <w:rPr>
          <w:rFonts w:ascii="Arial" w:hAnsi="Arial" w:cs="Arial"/>
          <w:sz w:val="24"/>
          <w:szCs w:val="24"/>
        </w:rPr>
        <w:t xml:space="preserve"> Therefore, to the extent that the Commission authorizes Ohio Power’s </w:t>
      </w:r>
      <w:r w:rsidR="00EB606B">
        <w:rPr>
          <w:rFonts w:ascii="Arial" w:hAnsi="Arial" w:cs="Arial"/>
          <w:sz w:val="24"/>
          <w:szCs w:val="24"/>
        </w:rPr>
        <w:t>proposed distribution</w:t>
      </w:r>
      <w:r w:rsidRPr="00A028D6">
        <w:rPr>
          <w:rFonts w:ascii="Arial" w:hAnsi="Arial" w:cs="Arial"/>
          <w:sz w:val="24"/>
          <w:szCs w:val="24"/>
        </w:rPr>
        <w:t xml:space="preserve"> rates</w:t>
      </w:r>
      <w:r w:rsidR="00EB606B">
        <w:rPr>
          <w:rFonts w:ascii="Arial" w:hAnsi="Arial" w:cs="Arial"/>
          <w:sz w:val="24"/>
          <w:szCs w:val="24"/>
        </w:rPr>
        <w:t>,</w:t>
      </w:r>
      <w:r w:rsidRPr="00A028D6">
        <w:rPr>
          <w:rFonts w:ascii="Arial" w:hAnsi="Arial" w:cs="Arial"/>
          <w:sz w:val="24"/>
          <w:szCs w:val="24"/>
        </w:rPr>
        <w:t xml:space="preserve"> it should modify the Stipulation to address the errors identified herein.</w:t>
      </w:r>
    </w:p>
    <w:p w:rsidR="000308C6" w:rsidP="00095E81" w:rsidRDefault="000308C6" w14:paraId="7712833D" w14:textId="61719AA3">
      <w:pPr>
        <w:pStyle w:val="Heading1"/>
        <w:numPr>
          <w:ilvl w:val="0"/>
          <w:numId w:val="1"/>
        </w:numPr>
        <w:spacing w:before="0" w:after="240"/>
      </w:pPr>
      <w:bookmarkStart w:name="_Toc74573073" w:id="2"/>
      <w:r>
        <w:t>BACKGROUND</w:t>
      </w:r>
      <w:bookmarkEnd w:id="2"/>
    </w:p>
    <w:p w:rsidRPr="00095E81" w:rsidR="00577FAD" w:rsidP="00CD19C2" w:rsidRDefault="00577FAD" w14:paraId="045CB6D4" w14:textId="08F8DBB0">
      <w:pPr>
        <w:pStyle w:val="Heading2"/>
        <w:numPr>
          <w:ilvl w:val="0"/>
          <w:numId w:val="15"/>
        </w:numPr>
        <w:rPr>
          <w:color w:val="auto"/>
        </w:rPr>
      </w:pPr>
      <w:bookmarkStart w:name="_Toc74573074" w:id="3"/>
      <w:r w:rsidRPr="00095E81">
        <w:rPr>
          <w:color w:val="auto"/>
        </w:rPr>
        <w:t>Restructuring and Unbundling</w:t>
      </w:r>
      <w:bookmarkEnd w:id="3"/>
    </w:p>
    <w:p w:rsidRPr="00577FAD" w:rsidR="00577FAD" w:rsidP="00577FAD" w:rsidRDefault="00577FAD" w14:paraId="73DEA300" w14:textId="71090929">
      <w:pPr>
        <w:pStyle w:val="NoSpacing"/>
        <w:spacing w:line="480" w:lineRule="auto"/>
        <w:ind w:firstLine="720"/>
        <w:jc w:val="both"/>
        <w:rPr>
          <w:rFonts w:ascii="Arial" w:hAnsi="Arial" w:cs="Arial"/>
          <w:sz w:val="24"/>
          <w:szCs w:val="24"/>
        </w:rPr>
      </w:pPr>
      <w:r w:rsidRPr="00577FAD">
        <w:rPr>
          <w:rFonts w:ascii="Arial" w:hAnsi="Arial" w:cs="Arial"/>
          <w:sz w:val="24"/>
          <w:szCs w:val="24"/>
        </w:rPr>
        <w:t>In 1999, Amended Substitute Senate Bill (“S.B. 3”) restructured the Ohio electric market. S.B. 3 “restructured Ohio's electric-utility industry to foster retail competition in the generation component of electric service.”</w:t>
      </w:r>
      <w:r w:rsidR="00697BE5">
        <w:rPr>
          <w:rFonts w:ascii="Arial" w:hAnsi="Arial" w:cs="Arial"/>
          <w:sz w:val="24"/>
          <w:szCs w:val="24"/>
        </w:rPr>
        <w:t xml:space="preserve"> </w:t>
      </w:r>
      <w:r w:rsidRPr="00325369" w:rsidR="00697BE5">
        <w:rPr>
          <w:rFonts w:ascii="Arial" w:hAnsi="Arial" w:cs="Arial"/>
          <w:i/>
          <w:iCs/>
          <w:sz w:val="24"/>
          <w:szCs w:val="24"/>
        </w:rPr>
        <w:t xml:space="preserve">Industrial Energy Users-Ohio v. Pub. Util. </w:t>
      </w:r>
      <w:r w:rsidRPr="00325369" w:rsidR="00325369">
        <w:rPr>
          <w:rFonts w:ascii="Arial" w:hAnsi="Arial" w:cs="Arial"/>
          <w:i/>
          <w:iCs/>
          <w:sz w:val="24"/>
          <w:szCs w:val="24"/>
        </w:rPr>
        <w:t>Comm.</w:t>
      </w:r>
      <w:r w:rsidRPr="00325369" w:rsidR="00697BE5">
        <w:rPr>
          <w:rFonts w:ascii="Arial" w:hAnsi="Arial" w:cs="Arial"/>
          <w:i/>
          <w:iCs/>
          <w:sz w:val="24"/>
          <w:szCs w:val="24"/>
        </w:rPr>
        <w:t xml:space="preserve">, </w:t>
      </w:r>
      <w:r w:rsidRPr="00697BE5" w:rsidR="00697BE5">
        <w:rPr>
          <w:rFonts w:ascii="Arial" w:hAnsi="Arial" w:cs="Arial"/>
          <w:sz w:val="24"/>
          <w:szCs w:val="24"/>
        </w:rPr>
        <w:t>117 Ohio St. 3d 486, 487 (2008).</w:t>
      </w:r>
      <w:r w:rsidRPr="00577FAD">
        <w:rPr>
          <w:rFonts w:ascii="Arial" w:hAnsi="Arial" w:cs="Arial"/>
          <w:sz w:val="24"/>
          <w:szCs w:val="24"/>
        </w:rPr>
        <w:t xml:space="preserve"> “In short, each service component was required to stand on its own.”</w:t>
      </w:r>
      <w:r w:rsidRPr="00710ECB" w:rsidR="008860C9">
        <w:rPr>
          <w:rFonts w:ascii="Arial" w:hAnsi="Arial" w:cs="Arial"/>
          <w:i/>
          <w:iCs/>
          <w:sz w:val="24"/>
          <w:szCs w:val="24"/>
        </w:rPr>
        <w:t xml:space="preserve"> </w:t>
      </w:r>
      <w:proofErr w:type="spellStart"/>
      <w:r w:rsidRPr="00710ECB" w:rsidR="008860C9">
        <w:rPr>
          <w:rFonts w:ascii="Arial" w:hAnsi="Arial" w:cs="Arial"/>
          <w:i/>
          <w:iCs/>
          <w:sz w:val="24"/>
          <w:szCs w:val="24"/>
        </w:rPr>
        <w:t>Migden</w:t>
      </w:r>
      <w:proofErr w:type="spellEnd"/>
      <w:r w:rsidRPr="00710ECB" w:rsidR="008860C9">
        <w:rPr>
          <w:rFonts w:ascii="Arial" w:hAnsi="Arial" w:cs="Arial"/>
          <w:i/>
          <w:iCs/>
          <w:sz w:val="24"/>
          <w:szCs w:val="24"/>
        </w:rPr>
        <w:t>-Ostrander v. Pub. Util. Comm.,</w:t>
      </w:r>
      <w:r w:rsidRPr="00710ECB" w:rsidR="008860C9">
        <w:rPr>
          <w:rFonts w:ascii="Arial" w:hAnsi="Arial" w:cs="Arial"/>
          <w:sz w:val="24"/>
          <w:szCs w:val="24"/>
        </w:rPr>
        <w:t xml:space="preserve"> 102 Ohio St. 3d 451, 452-53 (2004).</w:t>
      </w:r>
      <w:r w:rsidR="008860C9">
        <w:rPr>
          <w:rFonts w:ascii="Arial" w:hAnsi="Arial" w:cs="Arial"/>
          <w:sz w:val="24"/>
          <w:szCs w:val="24"/>
        </w:rPr>
        <w:t xml:space="preserve"> </w:t>
      </w:r>
      <w:r w:rsidRPr="00577FAD">
        <w:rPr>
          <w:rFonts w:ascii="Arial" w:hAnsi="Arial" w:cs="Arial"/>
          <w:sz w:val="24"/>
          <w:szCs w:val="24"/>
        </w:rPr>
        <w:t xml:space="preserve">The foundation for competition was established by requiring “the three components of electric service — generation, transmission, and distribution — to be separated.” </w:t>
      </w:r>
      <w:r w:rsidRPr="00080CEB" w:rsidR="008860C9">
        <w:rPr>
          <w:rFonts w:ascii="Arial" w:hAnsi="Arial" w:cs="Arial"/>
          <w:i/>
          <w:iCs/>
          <w:sz w:val="24"/>
          <w:szCs w:val="24"/>
        </w:rPr>
        <w:t>Industrial Energy Users-Ohio</w:t>
      </w:r>
      <w:r w:rsidRPr="008860C9" w:rsidR="008860C9">
        <w:rPr>
          <w:rFonts w:ascii="Arial" w:hAnsi="Arial" w:cs="Arial"/>
          <w:sz w:val="24"/>
          <w:szCs w:val="24"/>
        </w:rPr>
        <w:t xml:space="preserve"> </w:t>
      </w:r>
      <w:r w:rsidR="00080CEB">
        <w:rPr>
          <w:rFonts w:ascii="Arial" w:hAnsi="Arial" w:cs="Arial"/>
          <w:sz w:val="24"/>
          <w:szCs w:val="24"/>
        </w:rPr>
        <w:t>at</w:t>
      </w:r>
      <w:r w:rsidRPr="008860C9" w:rsidR="008860C9">
        <w:rPr>
          <w:rFonts w:ascii="Arial" w:hAnsi="Arial" w:cs="Arial"/>
          <w:sz w:val="24"/>
          <w:szCs w:val="24"/>
        </w:rPr>
        <w:t xml:space="preserve"> 487.</w:t>
      </w:r>
      <w:r w:rsidR="008860C9">
        <w:rPr>
          <w:rFonts w:ascii="Arial" w:hAnsi="Arial" w:cs="Arial"/>
          <w:sz w:val="24"/>
          <w:szCs w:val="24"/>
        </w:rPr>
        <w:t xml:space="preserve"> </w:t>
      </w:r>
      <w:r w:rsidRPr="00577FAD">
        <w:rPr>
          <w:rFonts w:ascii="Arial" w:hAnsi="Arial" w:cs="Arial"/>
          <w:sz w:val="24"/>
          <w:szCs w:val="24"/>
        </w:rPr>
        <w:t xml:space="preserve">This process was initially implemented through the electric transition plans filed by the investor owned utilities to implement the mandate in S.B. 3. The Commission took a hatchet to separate the existing pancaked rates into distribution, transmission, and generation. This first step was important as it laid </w:t>
      </w:r>
      <w:r w:rsidRPr="00577FAD">
        <w:rPr>
          <w:rFonts w:ascii="Arial" w:hAnsi="Arial" w:cs="Arial"/>
          <w:sz w:val="24"/>
          <w:szCs w:val="24"/>
        </w:rPr>
        <w:lastRenderedPageBreak/>
        <w:t xml:space="preserve">the initial foundation for customers to evaluate differing competitive retail electric service options from different suppliers. Through restructuring, the General Assembly eliminated the Commission’s authority over competitive retail electric services, except for certain limited areas such as the standard service offer. </w:t>
      </w:r>
      <w:r w:rsidRPr="00F52548" w:rsidR="003228DF">
        <w:rPr>
          <w:rFonts w:ascii="Arial" w:hAnsi="Arial" w:cs="Arial"/>
          <w:i/>
          <w:iCs/>
          <w:sz w:val="24"/>
          <w:szCs w:val="24"/>
        </w:rPr>
        <w:t>See</w:t>
      </w:r>
      <w:r w:rsidRPr="00577FAD">
        <w:rPr>
          <w:rFonts w:ascii="Arial" w:hAnsi="Arial" w:cs="Arial"/>
          <w:sz w:val="24"/>
          <w:szCs w:val="24"/>
        </w:rPr>
        <w:t xml:space="preserve"> </w:t>
      </w:r>
      <w:r w:rsidR="0092239A">
        <w:rPr>
          <w:rFonts w:ascii="Arial" w:hAnsi="Arial" w:cs="Arial"/>
          <w:sz w:val="24"/>
          <w:szCs w:val="24"/>
        </w:rPr>
        <w:t>R.C. 4928.0</w:t>
      </w:r>
      <w:r w:rsidR="00DF4BB5">
        <w:rPr>
          <w:rFonts w:ascii="Arial" w:hAnsi="Arial" w:cs="Arial"/>
          <w:sz w:val="24"/>
          <w:szCs w:val="24"/>
        </w:rPr>
        <w:t xml:space="preserve">5(A). </w:t>
      </w:r>
      <w:r w:rsidRPr="00577FAD">
        <w:rPr>
          <w:rFonts w:ascii="Arial" w:hAnsi="Arial" w:cs="Arial"/>
          <w:sz w:val="24"/>
          <w:szCs w:val="24"/>
        </w:rPr>
        <w:t xml:space="preserve">The Commission has no authority to regulate or provide compensation for competitive retail electric services through distribution rates. Indeed, “a competitive retail electric service supplied by an electric utility or electric services company shall not be subject to supervision and regulation . . . by the public utilities commission under Chapters 4901. to 4909., 4933., 4935., and 4963.” </w:t>
      </w:r>
      <w:r w:rsidRPr="00F52548" w:rsidR="00B54CDC">
        <w:rPr>
          <w:rFonts w:ascii="Arial" w:hAnsi="Arial" w:cs="Arial"/>
          <w:i/>
          <w:iCs/>
          <w:sz w:val="24"/>
          <w:szCs w:val="24"/>
        </w:rPr>
        <w:t>Id.</w:t>
      </w:r>
    </w:p>
    <w:p w:rsidRPr="00577FAD" w:rsidR="00577FAD" w:rsidP="006B3C4D" w:rsidRDefault="0028155A" w14:paraId="3F203BD9" w14:textId="5424A2E7">
      <w:pPr>
        <w:pStyle w:val="Heading2"/>
        <w:rPr>
          <w:b w:val="0"/>
          <w:bCs w:val="0"/>
        </w:rPr>
      </w:pPr>
      <w:bookmarkStart w:name="_Toc74573075" w:id="4"/>
      <w:r w:rsidRPr="006B3C4D">
        <w:rPr>
          <w:color w:val="auto"/>
        </w:rPr>
        <w:t xml:space="preserve">B. </w:t>
      </w:r>
      <w:r w:rsidRPr="003A5E82" w:rsidR="00577FAD">
        <w:t>Expanded PPA Proceeding</w:t>
      </w:r>
      <w:bookmarkEnd w:id="4"/>
    </w:p>
    <w:p w:rsidRPr="00577FAD" w:rsidR="00577FAD" w:rsidP="00577FAD" w:rsidRDefault="00577FAD" w14:paraId="52A4CF9E" w14:textId="5916E2ED">
      <w:pPr>
        <w:pStyle w:val="NoSpacing"/>
        <w:spacing w:line="480" w:lineRule="auto"/>
        <w:ind w:firstLine="720"/>
        <w:jc w:val="both"/>
        <w:rPr>
          <w:rFonts w:ascii="Arial" w:hAnsi="Arial" w:cs="Arial"/>
          <w:sz w:val="24"/>
          <w:szCs w:val="24"/>
        </w:rPr>
      </w:pPr>
      <w:r w:rsidRPr="00577FAD">
        <w:rPr>
          <w:rFonts w:ascii="Arial" w:hAnsi="Arial" w:cs="Arial"/>
          <w:sz w:val="24"/>
          <w:szCs w:val="24"/>
        </w:rPr>
        <w:t xml:space="preserve">In December 2015, as part of a settlement approved in Ohio Power’s Expanded PPA Case, Ohio Power agreed to proposed a </w:t>
      </w:r>
      <w:proofErr w:type="spellStart"/>
      <w:r w:rsidRPr="00577FAD">
        <w:rPr>
          <w:rFonts w:ascii="Arial" w:hAnsi="Arial" w:cs="Arial"/>
          <w:sz w:val="24"/>
          <w:szCs w:val="24"/>
        </w:rPr>
        <w:t>bypassable</w:t>
      </w:r>
      <w:proofErr w:type="spellEnd"/>
      <w:r w:rsidRPr="00577FAD">
        <w:rPr>
          <w:rFonts w:ascii="Arial" w:hAnsi="Arial" w:cs="Arial"/>
          <w:sz w:val="24"/>
          <w:szCs w:val="24"/>
        </w:rPr>
        <w:t xml:space="preserve"> rider, called the Retail Reconciliation Rider</w:t>
      </w:r>
      <w:r w:rsidR="00EB606B">
        <w:rPr>
          <w:rFonts w:ascii="Arial" w:hAnsi="Arial" w:cs="Arial"/>
          <w:sz w:val="24"/>
          <w:szCs w:val="24"/>
        </w:rPr>
        <w:t>,</w:t>
      </w:r>
      <w:r w:rsidRPr="00577FAD">
        <w:rPr>
          <w:rFonts w:ascii="Arial" w:hAnsi="Arial" w:cs="Arial"/>
          <w:sz w:val="24"/>
          <w:szCs w:val="24"/>
        </w:rPr>
        <w:t xml:space="preserve"> in its next electric security plan (“ESP”) proceeding in order to recognize the costs associated with Ohio Power providing a competitive retail electric service that are not collected through SSO rates.</w:t>
      </w:r>
      <w:r w:rsidR="009271A7">
        <w:rPr>
          <w:rFonts w:ascii="Arial" w:hAnsi="Arial" w:cs="Arial"/>
          <w:sz w:val="24"/>
          <w:szCs w:val="24"/>
        </w:rPr>
        <w:t xml:space="preserve"> </w:t>
      </w:r>
      <w:r w:rsidRPr="006B3C4D" w:rsidR="009271A7">
        <w:rPr>
          <w:rFonts w:ascii="Arial" w:hAnsi="Arial" w:cs="Arial"/>
          <w:i/>
          <w:iCs/>
          <w:sz w:val="24"/>
          <w:szCs w:val="24"/>
        </w:rPr>
        <w:t xml:space="preserve">In </w:t>
      </w:r>
      <w:r w:rsidR="00CD012B">
        <w:rPr>
          <w:rFonts w:ascii="Arial" w:hAnsi="Arial" w:cs="Arial"/>
          <w:i/>
          <w:iCs/>
          <w:sz w:val="24"/>
          <w:szCs w:val="24"/>
        </w:rPr>
        <w:t>re</w:t>
      </w:r>
      <w:r w:rsidRPr="009271A7" w:rsidR="009271A7">
        <w:rPr>
          <w:rFonts w:ascii="Arial" w:hAnsi="Arial" w:cs="Arial"/>
          <w:i/>
          <w:iCs/>
          <w:sz w:val="24"/>
          <w:szCs w:val="24"/>
        </w:rPr>
        <w:t xml:space="preserve"> Application Seeking Approval of Ohio Power Company’s Proposal to Enter into an Affiliate Power Purchase Agreement for Inclusion in the Power Purchase Agreement Rider, </w:t>
      </w:r>
      <w:r w:rsidRPr="009271A7" w:rsidR="009271A7">
        <w:rPr>
          <w:rFonts w:ascii="Arial" w:hAnsi="Arial" w:cs="Arial"/>
          <w:sz w:val="24"/>
          <w:szCs w:val="24"/>
        </w:rPr>
        <w:t>Case Nos. 14-1693-EL-RDR, et al. (“</w:t>
      </w:r>
      <w:r w:rsidRPr="0056708A" w:rsidR="009271A7">
        <w:rPr>
          <w:rFonts w:ascii="Arial" w:hAnsi="Arial" w:cs="Arial"/>
          <w:i/>
          <w:iCs/>
          <w:sz w:val="24"/>
          <w:szCs w:val="24"/>
        </w:rPr>
        <w:t>Expanded PPA Case</w:t>
      </w:r>
      <w:r w:rsidRPr="009271A7" w:rsidR="009271A7">
        <w:rPr>
          <w:rFonts w:ascii="Arial" w:hAnsi="Arial" w:cs="Arial"/>
          <w:sz w:val="24"/>
          <w:szCs w:val="24"/>
        </w:rPr>
        <w:t>”), Joint Stipulation and Recommendation at 12-13 (Dec. 14, 2015).</w:t>
      </w:r>
      <w:r w:rsidRPr="009271A7">
        <w:rPr>
          <w:rFonts w:ascii="Arial" w:hAnsi="Arial" w:cs="Arial"/>
          <w:sz w:val="28"/>
          <w:szCs w:val="28"/>
        </w:rPr>
        <w:t xml:space="preserve"> </w:t>
      </w:r>
      <w:r w:rsidRPr="00577FAD">
        <w:rPr>
          <w:rFonts w:ascii="Arial" w:hAnsi="Arial" w:cs="Arial"/>
          <w:sz w:val="24"/>
          <w:szCs w:val="24"/>
        </w:rPr>
        <w:t xml:space="preserve">The dollars collected through the Retail Reconciliation Rider would then be refunded to all distribution customers through a new </w:t>
      </w:r>
      <w:proofErr w:type="spellStart"/>
      <w:r w:rsidRPr="00577FAD">
        <w:rPr>
          <w:rFonts w:ascii="Arial" w:hAnsi="Arial" w:cs="Arial"/>
          <w:sz w:val="24"/>
          <w:szCs w:val="24"/>
        </w:rPr>
        <w:t>nonbypassable</w:t>
      </w:r>
      <w:proofErr w:type="spellEnd"/>
      <w:r w:rsidRPr="00577FAD">
        <w:rPr>
          <w:rFonts w:ascii="Arial" w:hAnsi="Arial" w:cs="Arial"/>
          <w:sz w:val="24"/>
          <w:szCs w:val="24"/>
        </w:rPr>
        <w:t xml:space="preserve"> rider.</w:t>
      </w:r>
      <w:r w:rsidR="00AA140E">
        <w:rPr>
          <w:rStyle w:val="FootnoteReference"/>
          <w:rFonts w:ascii="Arial" w:hAnsi="Arial" w:cs="Arial"/>
          <w:sz w:val="24"/>
          <w:szCs w:val="24"/>
        </w:rPr>
        <w:t xml:space="preserve"> </w:t>
      </w:r>
      <w:r w:rsidRPr="00577FAD">
        <w:rPr>
          <w:rFonts w:ascii="Arial" w:hAnsi="Arial" w:cs="Arial"/>
          <w:sz w:val="24"/>
          <w:szCs w:val="24"/>
        </w:rPr>
        <w:t xml:space="preserve"> </w:t>
      </w:r>
      <w:r w:rsidRPr="00AA140E" w:rsidR="00AA140E">
        <w:rPr>
          <w:rFonts w:ascii="Arial" w:hAnsi="Arial" w:cs="Arial"/>
          <w:i/>
          <w:iCs/>
          <w:sz w:val="24"/>
          <w:szCs w:val="24"/>
        </w:rPr>
        <w:t xml:space="preserve">Id. </w:t>
      </w:r>
      <w:r w:rsidR="00AA140E">
        <w:rPr>
          <w:rFonts w:ascii="Arial" w:hAnsi="Arial" w:cs="Arial"/>
          <w:sz w:val="24"/>
          <w:szCs w:val="24"/>
        </w:rPr>
        <w:t xml:space="preserve">at 12. </w:t>
      </w:r>
      <w:r w:rsidRPr="00577FAD">
        <w:rPr>
          <w:rFonts w:ascii="Arial" w:hAnsi="Arial" w:cs="Arial"/>
          <w:sz w:val="24"/>
          <w:szCs w:val="24"/>
        </w:rPr>
        <w:t>In addition, Ohio Power agreed to “provide an analysis as part of its next distribution rate case to show all of the actual costs required to provide SSO generation service that are included in the Company's cost of service study," and propose that these costs be allocated to the default service in that rate case.</w:t>
      </w:r>
      <w:r w:rsidR="00AA140E">
        <w:rPr>
          <w:rFonts w:ascii="Arial" w:hAnsi="Arial" w:cs="Arial"/>
          <w:sz w:val="24"/>
          <w:szCs w:val="24"/>
        </w:rPr>
        <w:t xml:space="preserve"> </w:t>
      </w:r>
      <w:r w:rsidRPr="00AA140E" w:rsidR="00AA140E">
        <w:rPr>
          <w:rFonts w:ascii="Arial" w:hAnsi="Arial" w:cs="Arial"/>
          <w:i/>
          <w:iCs/>
          <w:sz w:val="24"/>
          <w:szCs w:val="24"/>
        </w:rPr>
        <w:t>Id.</w:t>
      </w:r>
      <w:r w:rsidR="00AA140E">
        <w:rPr>
          <w:rFonts w:ascii="Arial" w:hAnsi="Arial" w:cs="Arial"/>
          <w:sz w:val="24"/>
          <w:szCs w:val="24"/>
        </w:rPr>
        <w:t xml:space="preserve"> at 12-13.</w:t>
      </w:r>
    </w:p>
    <w:p w:rsidRPr="00577FAD" w:rsidR="00577FAD" w:rsidP="006B3C4D" w:rsidRDefault="0028155A" w14:paraId="17BDCDCC" w14:textId="638F84FD">
      <w:pPr>
        <w:pStyle w:val="Heading2"/>
        <w:rPr>
          <w:b w:val="0"/>
          <w:bCs w:val="0"/>
        </w:rPr>
      </w:pPr>
      <w:bookmarkStart w:name="_Toc74573076" w:id="5"/>
      <w:r w:rsidRPr="006B3C4D">
        <w:rPr>
          <w:color w:val="auto"/>
        </w:rPr>
        <w:lastRenderedPageBreak/>
        <w:t xml:space="preserve">C. </w:t>
      </w:r>
      <w:r w:rsidRPr="003A5E82" w:rsidR="00577FAD">
        <w:t xml:space="preserve">ESP </w:t>
      </w:r>
      <w:r w:rsidRPr="003A5E82" w:rsidR="00916086">
        <w:t>IV</w:t>
      </w:r>
      <w:r w:rsidRPr="003A5E82" w:rsidR="00577FAD">
        <w:t xml:space="preserve"> Proceeding</w:t>
      </w:r>
      <w:bookmarkEnd w:id="5"/>
    </w:p>
    <w:p w:rsidRPr="00577FAD" w:rsidR="00577FAD" w:rsidP="00577FAD" w:rsidRDefault="00577FAD" w14:paraId="678CC613" w14:textId="402A2DBB">
      <w:pPr>
        <w:pStyle w:val="NoSpacing"/>
        <w:spacing w:line="480" w:lineRule="auto"/>
        <w:ind w:firstLine="720"/>
        <w:jc w:val="both"/>
        <w:rPr>
          <w:rFonts w:ascii="Arial" w:hAnsi="Arial" w:cs="Arial"/>
          <w:sz w:val="24"/>
          <w:szCs w:val="24"/>
        </w:rPr>
      </w:pPr>
      <w:r w:rsidRPr="00577FAD">
        <w:rPr>
          <w:rFonts w:ascii="Arial" w:hAnsi="Arial" w:cs="Arial"/>
          <w:sz w:val="24"/>
          <w:szCs w:val="24"/>
        </w:rPr>
        <w:t xml:space="preserve">Consistent with its commitment, in Ohio Power’s ESP IV, </w:t>
      </w:r>
      <w:r w:rsidR="00A61312">
        <w:rPr>
          <w:rFonts w:ascii="Arial" w:hAnsi="Arial" w:cs="Arial"/>
          <w:sz w:val="24"/>
          <w:szCs w:val="24"/>
        </w:rPr>
        <w:t>Ohio Power</w:t>
      </w:r>
      <w:r w:rsidRPr="00577FAD">
        <w:rPr>
          <w:rFonts w:ascii="Arial" w:hAnsi="Arial" w:cs="Arial"/>
          <w:sz w:val="24"/>
          <w:szCs w:val="24"/>
        </w:rPr>
        <w:t xml:space="preserve"> signed a stipulation that established the Retail Reconciliation Rider and the SSO Credit Rider mechanisms and their respective rates.</w:t>
      </w:r>
      <w:r w:rsidR="007B1DA8">
        <w:rPr>
          <w:rFonts w:ascii="Arial" w:hAnsi="Arial" w:cs="Arial"/>
          <w:sz w:val="24"/>
          <w:szCs w:val="24"/>
        </w:rPr>
        <w:t xml:space="preserve"> </w:t>
      </w:r>
      <w:r w:rsidRPr="006B3C4D" w:rsidR="007B1DA8">
        <w:rPr>
          <w:rFonts w:ascii="Arial" w:hAnsi="Arial" w:cs="Arial"/>
          <w:i/>
          <w:iCs/>
          <w:sz w:val="24"/>
          <w:szCs w:val="24"/>
        </w:rPr>
        <w:t xml:space="preserve">In </w:t>
      </w:r>
      <w:r w:rsidR="00CD012B">
        <w:rPr>
          <w:rFonts w:ascii="Arial" w:hAnsi="Arial" w:cs="Arial"/>
          <w:i/>
          <w:iCs/>
          <w:sz w:val="24"/>
          <w:szCs w:val="24"/>
        </w:rPr>
        <w:t>re</w:t>
      </w:r>
      <w:r w:rsidRPr="00D27C5C" w:rsidR="007B1DA8">
        <w:rPr>
          <w:rFonts w:ascii="Arial" w:hAnsi="Arial" w:cs="Arial"/>
          <w:i/>
          <w:iCs/>
          <w:sz w:val="24"/>
          <w:szCs w:val="24"/>
        </w:rPr>
        <w:t xml:space="preserve"> Application of Ohio Power Company for Authority to Establish a Standard Service Offer Pursuant to R.C. 4928.143, in the Form of an Electric Security Plan</w:t>
      </w:r>
      <w:r w:rsidRPr="007B1DA8" w:rsidR="007B1DA8">
        <w:rPr>
          <w:rFonts w:ascii="Arial" w:hAnsi="Arial" w:cs="Arial"/>
          <w:sz w:val="24"/>
          <w:szCs w:val="24"/>
        </w:rPr>
        <w:t>, Case Nos. 16-1852-EL-SSO, et al. (“</w:t>
      </w:r>
      <w:r w:rsidRPr="00681901" w:rsidR="007B1DA8">
        <w:rPr>
          <w:rFonts w:ascii="Arial" w:hAnsi="Arial" w:cs="Arial"/>
          <w:i/>
          <w:iCs/>
          <w:sz w:val="24"/>
          <w:szCs w:val="24"/>
        </w:rPr>
        <w:t>ESP IV</w:t>
      </w:r>
      <w:r w:rsidRPr="007B1DA8" w:rsidR="007B1DA8">
        <w:rPr>
          <w:rFonts w:ascii="Arial" w:hAnsi="Arial" w:cs="Arial"/>
          <w:sz w:val="24"/>
          <w:szCs w:val="24"/>
        </w:rPr>
        <w:t xml:space="preserve">”), Joint Stipulation and Recommendation </w:t>
      </w:r>
      <w:r w:rsidRPr="007B1DA8" w:rsidR="00916086">
        <w:rPr>
          <w:rFonts w:ascii="Arial" w:hAnsi="Arial" w:cs="Arial"/>
          <w:sz w:val="24"/>
          <w:szCs w:val="24"/>
        </w:rPr>
        <w:t>at 31-32</w:t>
      </w:r>
      <w:r w:rsidR="00916086">
        <w:rPr>
          <w:rFonts w:ascii="Arial" w:hAnsi="Arial" w:cs="Arial"/>
          <w:sz w:val="24"/>
          <w:szCs w:val="24"/>
        </w:rPr>
        <w:t xml:space="preserve"> </w:t>
      </w:r>
      <w:r w:rsidRPr="007B1DA8" w:rsidR="007B1DA8">
        <w:rPr>
          <w:rFonts w:ascii="Arial" w:hAnsi="Arial" w:cs="Arial"/>
          <w:sz w:val="24"/>
          <w:szCs w:val="24"/>
        </w:rPr>
        <w:t>(Aug. 25, 2017) (“ESP IV Stipulation”)</w:t>
      </w:r>
      <w:r w:rsidR="00916086">
        <w:rPr>
          <w:rFonts w:ascii="Arial" w:hAnsi="Arial" w:cs="Arial"/>
          <w:sz w:val="24"/>
          <w:szCs w:val="24"/>
        </w:rPr>
        <w:t>.</w:t>
      </w:r>
      <w:r w:rsidRPr="007B1DA8" w:rsidR="007B1DA8">
        <w:rPr>
          <w:rFonts w:ascii="Arial" w:hAnsi="Arial" w:cs="Arial"/>
          <w:sz w:val="24"/>
          <w:szCs w:val="24"/>
        </w:rPr>
        <w:t xml:space="preserve"> </w:t>
      </w:r>
      <w:r w:rsidR="00B83C59">
        <w:rPr>
          <w:rFonts w:ascii="Arial" w:hAnsi="Arial" w:cs="Arial"/>
          <w:sz w:val="24"/>
          <w:szCs w:val="24"/>
        </w:rPr>
        <w:t>Because</w:t>
      </w:r>
      <w:r w:rsidRPr="00577FAD">
        <w:rPr>
          <w:rFonts w:ascii="Arial" w:hAnsi="Arial" w:cs="Arial"/>
          <w:sz w:val="24"/>
          <w:szCs w:val="24"/>
        </w:rPr>
        <w:t xml:space="preserve"> shopping customers were overpaying for SSO services they did not receive, under the ESP IV Stipulation, those rates would continue until </w:t>
      </w:r>
      <w:r w:rsidR="00A61312">
        <w:rPr>
          <w:rFonts w:ascii="Arial" w:hAnsi="Arial" w:cs="Arial"/>
          <w:sz w:val="24"/>
          <w:szCs w:val="24"/>
        </w:rPr>
        <w:t>Ohio Power</w:t>
      </w:r>
      <w:r w:rsidRPr="00CD19C2">
        <w:rPr>
          <w:rFonts w:ascii="Arial" w:hAnsi="Arial" w:cs="Arial"/>
          <w:sz w:val="24"/>
          <w:szCs w:val="24"/>
        </w:rPr>
        <w:t>’s</w:t>
      </w:r>
      <w:r w:rsidRPr="00577FAD">
        <w:rPr>
          <w:rFonts w:ascii="Arial" w:hAnsi="Arial" w:cs="Arial"/>
          <w:sz w:val="24"/>
          <w:szCs w:val="24"/>
        </w:rPr>
        <w:t xml:space="preserve"> next distribution rate case.</w:t>
      </w:r>
      <w:r w:rsidR="00234A80">
        <w:rPr>
          <w:rFonts w:ascii="Arial" w:hAnsi="Arial" w:cs="Arial"/>
          <w:sz w:val="24"/>
          <w:szCs w:val="24"/>
        </w:rPr>
        <w:t xml:space="preserve"> </w:t>
      </w:r>
      <w:r w:rsidRPr="00234A80" w:rsidR="00234A80">
        <w:rPr>
          <w:rFonts w:ascii="Arial" w:hAnsi="Arial" w:cs="Arial"/>
          <w:i/>
          <w:iCs/>
          <w:sz w:val="24"/>
          <w:szCs w:val="24"/>
        </w:rPr>
        <w:t>Id.</w:t>
      </w:r>
      <w:r w:rsidRPr="00577FAD" w:rsidR="00234A80">
        <w:rPr>
          <w:rFonts w:ascii="Arial" w:hAnsi="Arial" w:cs="Arial"/>
          <w:sz w:val="24"/>
          <w:szCs w:val="24"/>
        </w:rPr>
        <w:t xml:space="preserve"> </w:t>
      </w:r>
      <w:r w:rsidRPr="00577FAD">
        <w:rPr>
          <w:rFonts w:ascii="Arial" w:hAnsi="Arial" w:cs="Arial"/>
          <w:sz w:val="24"/>
          <w:szCs w:val="24"/>
        </w:rPr>
        <w:t>At that time, Ohio Power would fulfill its commitment in the Expanded PPA Case to propose the recovery of the actual costs required to provide the SSO from only default service customers.</w:t>
      </w:r>
      <w:r w:rsidR="00234A80">
        <w:rPr>
          <w:rFonts w:ascii="Arial" w:hAnsi="Arial" w:cs="Arial"/>
          <w:sz w:val="24"/>
          <w:szCs w:val="24"/>
        </w:rPr>
        <w:t xml:space="preserve"> </w:t>
      </w:r>
      <w:r w:rsidRPr="00234A80" w:rsidR="00234A80">
        <w:rPr>
          <w:rFonts w:ascii="Arial" w:hAnsi="Arial" w:cs="Arial"/>
          <w:i/>
          <w:iCs/>
          <w:sz w:val="24"/>
          <w:szCs w:val="24"/>
        </w:rPr>
        <w:t>Id.</w:t>
      </w:r>
    </w:p>
    <w:p w:rsidRPr="00577FAD" w:rsidR="00577FAD" w:rsidP="00577FAD" w:rsidRDefault="00577FAD" w14:paraId="1E97C53C" w14:textId="0DD5DDA6">
      <w:pPr>
        <w:pStyle w:val="NoSpacing"/>
        <w:spacing w:line="480" w:lineRule="auto"/>
        <w:ind w:firstLine="720"/>
        <w:jc w:val="both"/>
        <w:rPr>
          <w:rFonts w:ascii="Arial" w:hAnsi="Arial" w:cs="Arial"/>
          <w:sz w:val="24"/>
          <w:szCs w:val="24"/>
        </w:rPr>
      </w:pPr>
      <w:r w:rsidRPr="00577FAD">
        <w:rPr>
          <w:rFonts w:ascii="Arial" w:hAnsi="Arial" w:cs="Arial"/>
          <w:sz w:val="24"/>
          <w:szCs w:val="24"/>
        </w:rPr>
        <w:t>In its ESP IV Order, the Commission approved the establishment of the Retail Reconciliation Rider and the SSO Credit Rider (“SSOCR”</w:t>
      </w:r>
      <w:r w:rsidRPr="00577FAD" w:rsidR="00FC6B81">
        <w:rPr>
          <w:rFonts w:ascii="Arial" w:hAnsi="Arial" w:cs="Arial"/>
          <w:sz w:val="24"/>
          <w:szCs w:val="24"/>
        </w:rPr>
        <w:t>) but</w:t>
      </w:r>
      <w:r w:rsidRPr="00577FAD">
        <w:rPr>
          <w:rFonts w:ascii="Arial" w:hAnsi="Arial" w:cs="Arial"/>
          <w:sz w:val="24"/>
          <w:szCs w:val="24"/>
        </w:rPr>
        <w:t xml:space="preserve"> declined to adopt the rates established in the ESP IV Stipulation.</w:t>
      </w:r>
      <w:r w:rsidR="00234A80">
        <w:rPr>
          <w:rFonts w:ascii="Arial" w:hAnsi="Arial" w:cs="Arial"/>
          <w:sz w:val="24"/>
          <w:szCs w:val="24"/>
        </w:rPr>
        <w:t xml:space="preserve"> </w:t>
      </w:r>
      <w:r w:rsidRPr="00681901" w:rsidR="00234A80">
        <w:rPr>
          <w:rFonts w:ascii="Arial" w:hAnsi="Arial" w:cs="Arial"/>
          <w:i/>
          <w:iCs/>
          <w:sz w:val="24"/>
          <w:szCs w:val="24"/>
        </w:rPr>
        <w:t>ESP IV</w:t>
      </w:r>
      <w:r w:rsidR="00681901">
        <w:rPr>
          <w:rFonts w:ascii="Arial" w:hAnsi="Arial" w:cs="Arial"/>
          <w:sz w:val="24"/>
          <w:szCs w:val="24"/>
        </w:rPr>
        <w:t>, Opinion and</w:t>
      </w:r>
      <w:r w:rsidR="00234A80">
        <w:rPr>
          <w:rFonts w:ascii="Arial" w:hAnsi="Arial" w:cs="Arial"/>
          <w:sz w:val="24"/>
          <w:szCs w:val="24"/>
        </w:rPr>
        <w:t xml:space="preserve"> Order at </w:t>
      </w:r>
      <w:r w:rsidRPr="00FA6C46" w:rsidR="00923BFC">
        <w:rPr>
          <w:rFonts w:ascii="Arial" w:hAnsi="Arial" w:cs="Arial"/>
          <w:sz w:val="24"/>
          <w:szCs w:val="24"/>
        </w:rPr>
        <w:t>¶ 213</w:t>
      </w:r>
      <w:r w:rsidR="00681901">
        <w:rPr>
          <w:rFonts w:ascii="Arial" w:hAnsi="Arial" w:cs="Arial"/>
          <w:sz w:val="24"/>
          <w:szCs w:val="24"/>
        </w:rPr>
        <w:t xml:space="preserve"> (Apr. 25, 2018)</w:t>
      </w:r>
      <w:r w:rsidR="00FC6B81">
        <w:rPr>
          <w:rFonts w:ascii="Arial" w:hAnsi="Arial" w:cs="Arial"/>
          <w:sz w:val="24"/>
          <w:szCs w:val="24"/>
        </w:rPr>
        <w:t>.</w:t>
      </w:r>
      <w:r w:rsidRPr="00577FAD">
        <w:rPr>
          <w:rFonts w:ascii="Arial" w:hAnsi="Arial" w:cs="Arial"/>
          <w:sz w:val="24"/>
          <w:szCs w:val="24"/>
        </w:rPr>
        <w:t xml:space="preserve"> Instead, the Commission stated the riders would serve as placeholders until a thorough analysis of Ohio Power's distribution costs was conducted in its next distribution rate case.</w:t>
      </w:r>
      <w:r w:rsidR="00FC6B81">
        <w:rPr>
          <w:rFonts w:ascii="Arial" w:hAnsi="Arial" w:cs="Arial"/>
          <w:sz w:val="24"/>
          <w:szCs w:val="24"/>
        </w:rPr>
        <w:t xml:space="preserve"> </w:t>
      </w:r>
      <w:r w:rsidRPr="00C21500" w:rsidR="00FC6B81">
        <w:rPr>
          <w:rFonts w:ascii="Arial" w:hAnsi="Arial" w:cs="Arial"/>
          <w:i/>
          <w:sz w:val="24"/>
          <w:szCs w:val="24"/>
        </w:rPr>
        <w:t xml:space="preserve">Id. </w:t>
      </w:r>
      <w:r w:rsidRPr="00C21500" w:rsidR="00FC6B81">
        <w:rPr>
          <w:rFonts w:ascii="Arial" w:hAnsi="Arial" w:cs="Arial"/>
          <w:sz w:val="24"/>
          <w:szCs w:val="24"/>
        </w:rPr>
        <w:t xml:space="preserve">at </w:t>
      </w:r>
      <w:r w:rsidRPr="00C21500" w:rsidR="00FA6C46">
        <w:rPr>
          <w:rFonts w:ascii="Arial" w:hAnsi="Arial" w:cs="Arial"/>
          <w:sz w:val="24"/>
          <w:szCs w:val="24"/>
        </w:rPr>
        <w:t>214</w:t>
      </w:r>
      <w:r w:rsidR="00FC6B81">
        <w:rPr>
          <w:rFonts w:ascii="Arial" w:hAnsi="Arial" w:cs="Arial"/>
          <w:sz w:val="24"/>
          <w:szCs w:val="24"/>
        </w:rPr>
        <w:t>.</w:t>
      </w:r>
      <w:r w:rsidRPr="00577FAD">
        <w:rPr>
          <w:rFonts w:ascii="Arial" w:hAnsi="Arial" w:cs="Arial"/>
          <w:sz w:val="24"/>
          <w:szCs w:val="24"/>
        </w:rPr>
        <w:t xml:space="preserve"> Specifically, the Commission stated that  “[a]</w:t>
      </w:r>
      <w:proofErr w:type="spellStart"/>
      <w:r w:rsidRPr="00577FAD">
        <w:rPr>
          <w:rFonts w:ascii="Arial" w:hAnsi="Arial" w:cs="Arial"/>
          <w:sz w:val="24"/>
          <w:szCs w:val="24"/>
        </w:rPr>
        <w:t>dditional</w:t>
      </w:r>
      <w:proofErr w:type="spellEnd"/>
      <w:r w:rsidRPr="00577FAD">
        <w:rPr>
          <w:rFonts w:ascii="Arial" w:hAnsi="Arial" w:cs="Arial"/>
          <w:sz w:val="24"/>
          <w:szCs w:val="24"/>
        </w:rPr>
        <w:t xml:space="preserve"> analysis is needed to determine whether and how Ohio Power's Customer Accounts Expense, Customer Service and Information Expense, Administrative and General Expense, and Taxes Other than Income Taxes should be reallocated through the [Retail Reconciliation Rider] and SSOCR</w:t>
      </w:r>
      <w:r w:rsidRPr="008102F2">
        <w:rPr>
          <w:rFonts w:ascii="Arial" w:hAnsi="Arial" w:cs="Arial"/>
          <w:sz w:val="24"/>
          <w:szCs w:val="24"/>
        </w:rPr>
        <w:t>.”</w:t>
      </w:r>
      <w:r w:rsidRPr="008102F2" w:rsidR="00FC6B81">
        <w:rPr>
          <w:rFonts w:ascii="Arial" w:hAnsi="Arial" w:cs="Arial"/>
          <w:sz w:val="24"/>
          <w:szCs w:val="24"/>
        </w:rPr>
        <w:t xml:space="preserve"> </w:t>
      </w:r>
      <w:r w:rsidRPr="002A4C06" w:rsidR="00FC6B81">
        <w:rPr>
          <w:rFonts w:ascii="Arial" w:hAnsi="Arial" w:cs="Arial"/>
          <w:i/>
          <w:sz w:val="24"/>
          <w:szCs w:val="24"/>
        </w:rPr>
        <w:t>Id.</w:t>
      </w:r>
      <w:r w:rsidRPr="00C21500" w:rsidR="00FC6B81">
        <w:rPr>
          <w:rFonts w:ascii="Arial" w:hAnsi="Arial" w:cs="Arial"/>
          <w:sz w:val="24"/>
          <w:szCs w:val="24"/>
        </w:rPr>
        <w:t xml:space="preserve"> </w:t>
      </w:r>
      <w:r w:rsidRPr="00577FAD">
        <w:rPr>
          <w:rFonts w:ascii="Arial" w:hAnsi="Arial" w:cs="Arial"/>
          <w:sz w:val="24"/>
          <w:szCs w:val="24"/>
        </w:rPr>
        <w:t xml:space="preserve">The Commission also directed </w:t>
      </w:r>
      <w:bookmarkStart w:name="_Hlk74230994" w:id="6"/>
      <w:r w:rsidRPr="00577FAD">
        <w:rPr>
          <w:rFonts w:ascii="Arial" w:hAnsi="Arial" w:cs="Arial"/>
          <w:sz w:val="24"/>
          <w:szCs w:val="24"/>
        </w:rPr>
        <w:t>Ohio Power to analyze its actual costs associated with the choice program.</w:t>
      </w:r>
      <w:r w:rsidR="00FC6B81">
        <w:rPr>
          <w:rFonts w:ascii="Arial" w:hAnsi="Arial" w:cs="Arial"/>
          <w:sz w:val="24"/>
          <w:szCs w:val="24"/>
        </w:rPr>
        <w:t xml:space="preserve"> </w:t>
      </w:r>
      <w:r w:rsidRPr="00B83C59" w:rsidR="00FC6B81">
        <w:rPr>
          <w:rFonts w:ascii="Arial" w:hAnsi="Arial" w:cs="Arial"/>
          <w:i/>
          <w:sz w:val="24"/>
          <w:szCs w:val="24"/>
        </w:rPr>
        <w:t>Id.</w:t>
      </w:r>
      <w:r w:rsidRPr="008102F2" w:rsidR="00FC6B81">
        <w:rPr>
          <w:rFonts w:ascii="Arial" w:hAnsi="Arial" w:cs="Arial"/>
          <w:sz w:val="24"/>
          <w:szCs w:val="24"/>
        </w:rPr>
        <w:t xml:space="preserve"> at </w:t>
      </w:r>
      <w:r w:rsidRPr="00B83C59" w:rsidR="00C21500">
        <w:rPr>
          <w:rFonts w:ascii="Arial" w:hAnsi="Arial" w:cs="Arial"/>
          <w:sz w:val="24"/>
          <w:szCs w:val="24"/>
        </w:rPr>
        <w:t>215</w:t>
      </w:r>
      <w:r w:rsidRPr="008102F2" w:rsidR="00FC6B81">
        <w:rPr>
          <w:rFonts w:ascii="Arial" w:hAnsi="Arial" w:cs="Arial"/>
          <w:sz w:val="24"/>
          <w:szCs w:val="24"/>
        </w:rPr>
        <w:t>.</w:t>
      </w:r>
      <w:r w:rsidRPr="00577FAD">
        <w:rPr>
          <w:rFonts w:ascii="Arial" w:hAnsi="Arial" w:cs="Arial"/>
          <w:sz w:val="24"/>
          <w:szCs w:val="24"/>
        </w:rPr>
        <w:t xml:space="preserve"> </w:t>
      </w:r>
      <w:bookmarkEnd w:id="6"/>
      <w:r w:rsidRPr="00577FAD">
        <w:rPr>
          <w:rFonts w:ascii="Arial" w:hAnsi="Arial" w:cs="Arial"/>
          <w:sz w:val="24"/>
          <w:szCs w:val="24"/>
        </w:rPr>
        <w:t xml:space="preserve">Following a thorough analysis of Ohio Power's distribution rates in the rate case proceeding, the Commission would determine </w:t>
      </w:r>
      <w:r w:rsidRPr="00577FAD">
        <w:rPr>
          <w:rFonts w:ascii="Arial" w:hAnsi="Arial" w:cs="Arial"/>
          <w:sz w:val="24"/>
          <w:szCs w:val="24"/>
        </w:rPr>
        <w:lastRenderedPageBreak/>
        <w:t>the necessary reallocation costs between shopping and non-shopping customers in order to ensure that Ohio Power’s rates are fair and reasonable for all customers.</w:t>
      </w:r>
      <w:r w:rsidR="00FC6B81">
        <w:rPr>
          <w:rFonts w:ascii="Arial" w:hAnsi="Arial" w:cs="Arial"/>
          <w:sz w:val="24"/>
          <w:szCs w:val="24"/>
        </w:rPr>
        <w:t xml:space="preserve"> </w:t>
      </w:r>
      <w:r w:rsidRPr="00FC6B81" w:rsidR="00FC6B81">
        <w:rPr>
          <w:rFonts w:ascii="Arial" w:hAnsi="Arial" w:cs="Arial"/>
          <w:i/>
          <w:iCs/>
          <w:sz w:val="24"/>
          <w:szCs w:val="24"/>
        </w:rPr>
        <w:t>Id.</w:t>
      </w:r>
      <w:r w:rsidR="00FC6B81">
        <w:rPr>
          <w:rFonts w:ascii="Arial" w:hAnsi="Arial" w:cs="Arial"/>
          <w:sz w:val="24"/>
          <w:szCs w:val="24"/>
        </w:rPr>
        <w:t xml:space="preserve"> </w:t>
      </w:r>
    </w:p>
    <w:p w:rsidRPr="00577FAD" w:rsidR="00577FAD" w:rsidP="00577FAD" w:rsidRDefault="00577FAD" w14:paraId="3F764BB7" w14:textId="77777777">
      <w:pPr>
        <w:pStyle w:val="NoSpacing"/>
        <w:spacing w:line="480" w:lineRule="auto"/>
        <w:ind w:firstLine="720"/>
        <w:jc w:val="both"/>
        <w:rPr>
          <w:rFonts w:ascii="Arial" w:hAnsi="Arial" w:cs="Arial"/>
          <w:sz w:val="24"/>
          <w:szCs w:val="24"/>
        </w:rPr>
      </w:pPr>
      <w:r w:rsidRPr="00577FAD">
        <w:rPr>
          <w:rFonts w:ascii="Arial" w:hAnsi="Arial" w:cs="Arial"/>
          <w:sz w:val="24"/>
          <w:szCs w:val="24"/>
        </w:rPr>
        <w:t>Due to this delay, shopping customers have been subsidizing the SSO for many years because of an improper assignment and allocation of the costs of the SSO.</w:t>
      </w:r>
    </w:p>
    <w:p w:rsidRPr="00F03CCC" w:rsidR="00577FAD" w:rsidP="004D356E" w:rsidRDefault="0028155A" w14:paraId="384378CF" w14:textId="4F6CC9CA">
      <w:pPr>
        <w:pStyle w:val="Heading2"/>
        <w:rPr>
          <w:b w:val="0"/>
        </w:rPr>
      </w:pPr>
      <w:bookmarkStart w:name="_Toc74573077" w:id="7"/>
      <w:r w:rsidRPr="00AC69FA">
        <w:rPr>
          <w:color w:val="auto"/>
        </w:rPr>
        <w:t xml:space="preserve">D. </w:t>
      </w:r>
      <w:r w:rsidRPr="00F03CCC" w:rsidR="00577FAD">
        <w:t>Application to Increase Distribution Rates</w:t>
      </w:r>
      <w:bookmarkEnd w:id="7"/>
    </w:p>
    <w:p w:rsidRPr="004D356E" w:rsidR="00577FAD" w:rsidP="00577FAD" w:rsidRDefault="00577FAD" w14:paraId="0F7E6210" w14:textId="6B06CC56">
      <w:pPr>
        <w:pStyle w:val="NoSpacing"/>
        <w:spacing w:line="480" w:lineRule="auto"/>
        <w:ind w:firstLine="720"/>
        <w:jc w:val="both"/>
        <w:rPr>
          <w:rFonts w:ascii="Arial" w:hAnsi="Arial" w:cs="Arial"/>
          <w:sz w:val="24"/>
          <w:szCs w:val="24"/>
        </w:rPr>
      </w:pPr>
      <w:r w:rsidRPr="00577FAD">
        <w:rPr>
          <w:rFonts w:ascii="Arial" w:hAnsi="Arial" w:cs="Arial"/>
          <w:sz w:val="24"/>
          <w:szCs w:val="24"/>
        </w:rPr>
        <w:t xml:space="preserve">On April </w:t>
      </w:r>
      <w:r w:rsidR="00A044FA">
        <w:rPr>
          <w:rFonts w:ascii="Arial" w:hAnsi="Arial" w:cs="Arial"/>
          <w:sz w:val="24"/>
          <w:szCs w:val="24"/>
        </w:rPr>
        <w:t>9</w:t>
      </w:r>
      <w:r w:rsidRPr="00577FAD">
        <w:rPr>
          <w:rFonts w:ascii="Arial" w:hAnsi="Arial" w:cs="Arial"/>
          <w:sz w:val="24"/>
          <w:szCs w:val="24"/>
        </w:rPr>
        <w:t xml:space="preserve">, 2020, Ohio Power </w:t>
      </w:r>
      <w:r w:rsidR="00A044FA">
        <w:rPr>
          <w:rFonts w:ascii="Arial" w:hAnsi="Arial" w:cs="Arial"/>
          <w:sz w:val="24"/>
          <w:szCs w:val="24"/>
        </w:rPr>
        <w:t>opened this proceeding</w:t>
      </w:r>
      <w:r w:rsidRPr="00577FAD">
        <w:rPr>
          <w:rFonts w:ascii="Arial" w:hAnsi="Arial" w:cs="Arial"/>
          <w:sz w:val="24"/>
          <w:szCs w:val="24"/>
        </w:rPr>
        <w:t xml:space="preserve"> for a distribution rate case</w:t>
      </w:r>
      <w:r w:rsidR="00244E36">
        <w:rPr>
          <w:rFonts w:ascii="Arial" w:hAnsi="Arial" w:cs="Arial"/>
          <w:sz w:val="24"/>
          <w:szCs w:val="24"/>
        </w:rPr>
        <w:t>.</w:t>
      </w:r>
    </w:p>
    <w:p w:rsidRPr="004D356E" w:rsidR="00577FAD" w:rsidP="006B3C4D" w:rsidRDefault="00577FAD" w14:paraId="7E84B083" w14:textId="6089A1D9">
      <w:pPr>
        <w:pStyle w:val="Heading3"/>
        <w:numPr>
          <w:ilvl w:val="0"/>
          <w:numId w:val="16"/>
        </w:numPr>
        <w:rPr>
          <w:b/>
        </w:rPr>
      </w:pPr>
      <w:bookmarkStart w:name="_Toc74573078" w:id="8"/>
      <w:r w:rsidRPr="004D356E">
        <w:rPr>
          <w:b/>
        </w:rPr>
        <w:t>Ohio Power’s Application</w:t>
      </w:r>
      <w:bookmarkEnd w:id="8"/>
    </w:p>
    <w:p w:rsidRPr="004D356E" w:rsidR="00577FAD" w:rsidP="00577FAD" w:rsidRDefault="00244E36" w14:paraId="43749457" w14:textId="60A4E672">
      <w:pPr>
        <w:pStyle w:val="NoSpacing"/>
        <w:spacing w:line="480" w:lineRule="auto"/>
        <w:ind w:firstLine="720"/>
        <w:jc w:val="both"/>
        <w:rPr>
          <w:rFonts w:ascii="Arial" w:hAnsi="Arial" w:cs="Arial"/>
          <w:sz w:val="24"/>
          <w:szCs w:val="24"/>
        </w:rPr>
      </w:pPr>
      <w:r>
        <w:rPr>
          <w:rFonts w:ascii="Arial" w:hAnsi="Arial" w:cs="Arial"/>
          <w:sz w:val="24"/>
          <w:szCs w:val="24"/>
        </w:rPr>
        <w:t xml:space="preserve">On June 8, 2020, Ohio Power filed its Application and </w:t>
      </w:r>
      <w:r w:rsidR="00AC69FA">
        <w:rPr>
          <w:rFonts w:ascii="Arial" w:hAnsi="Arial" w:cs="Arial"/>
          <w:sz w:val="24"/>
          <w:szCs w:val="24"/>
        </w:rPr>
        <w:t>support</w:t>
      </w:r>
      <w:r w:rsidR="00C52F56">
        <w:rPr>
          <w:rFonts w:ascii="Arial" w:hAnsi="Arial" w:cs="Arial"/>
          <w:sz w:val="24"/>
          <w:szCs w:val="24"/>
        </w:rPr>
        <w:t>ing</w:t>
      </w:r>
      <w:r w:rsidR="00AC69FA">
        <w:rPr>
          <w:rFonts w:ascii="Arial" w:hAnsi="Arial" w:cs="Arial"/>
          <w:sz w:val="24"/>
          <w:szCs w:val="24"/>
        </w:rPr>
        <w:t xml:space="preserve"> testimony. </w:t>
      </w:r>
      <w:r w:rsidRPr="004D356E" w:rsidR="00577FAD">
        <w:rPr>
          <w:rFonts w:ascii="Arial" w:hAnsi="Arial" w:cs="Arial"/>
          <w:sz w:val="24"/>
          <w:szCs w:val="24"/>
        </w:rPr>
        <w:t>In response to the</w:t>
      </w:r>
      <w:r w:rsidR="00CB18FC">
        <w:rPr>
          <w:rFonts w:ascii="Arial" w:hAnsi="Arial" w:cs="Arial"/>
          <w:sz w:val="24"/>
          <w:szCs w:val="24"/>
        </w:rPr>
        <w:t xml:space="preserve"> directive in</w:t>
      </w:r>
      <w:r w:rsidRPr="004D356E" w:rsidR="00577FAD">
        <w:rPr>
          <w:rFonts w:ascii="Arial" w:hAnsi="Arial" w:cs="Arial"/>
          <w:sz w:val="24"/>
          <w:szCs w:val="24"/>
        </w:rPr>
        <w:t xml:space="preserve"> Commission’s ESP IV Order, Ohio Power</w:t>
      </w:r>
      <w:r w:rsidR="005D1CE7">
        <w:rPr>
          <w:rFonts w:ascii="Arial" w:hAnsi="Arial" w:cs="Arial"/>
          <w:sz w:val="24"/>
          <w:szCs w:val="24"/>
        </w:rPr>
        <w:t>’s</w:t>
      </w:r>
      <w:r w:rsidRPr="004D356E" w:rsidR="00577FAD">
        <w:rPr>
          <w:rFonts w:ascii="Arial" w:hAnsi="Arial" w:cs="Arial"/>
          <w:sz w:val="24"/>
          <w:szCs w:val="24"/>
        </w:rPr>
        <w:t xml:space="preserve"> Application included what </w:t>
      </w:r>
      <w:r w:rsidR="00AB5C54">
        <w:rPr>
          <w:rFonts w:ascii="Arial" w:hAnsi="Arial" w:cs="Arial"/>
          <w:sz w:val="24"/>
          <w:szCs w:val="24"/>
        </w:rPr>
        <w:t>it</w:t>
      </w:r>
      <w:r w:rsidRPr="004D356E" w:rsidR="00577FAD">
        <w:rPr>
          <w:rFonts w:ascii="Arial" w:hAnsi="Arial" w:cs="Arial"/>
          <w:sz w:val="24"/>
          <w:szCs w:val="24"/>
        </w:rPr>
        <w:t xml:space="preserve"> characterized as </w:t>
      </w:r>
      <w:r w:rsidR="00F854F5">
        <w:rPr>
          <w:rFonts w:ascii="Arial" w:hAnsi="Arial" w:cs="Arial"/>
          <w:sz w:val="24"/>
          <w:szCs w:val="24"/>
        </w:rPr>
        <w:t>a “</w:t>
      </w:r>
      <w:r w:rsidR="00192832">
        <w:rPr>
          <w:rFonts w:ascii="Arial" w:hAnsi="Arial" w:cs="Arial"/>
          <w:sz w:val="24"/>
          <w:szCs w:val="24"/>
        </w:rPr>
        <w:t xml:space="preserve">thorough analysis” of </w:t>
      </w:r>
      <w:r w:rsidR="00B25257">
        <w:rPr>
          <w:rFonts w:ascii="Arial" w:hAnsi="Arial" w:cs="Arial"/>
          <w:sz w:val="24"/>
          <w:szCs w:val="24"/>
        </w:rPr>
        <w:t>the</w:t>
      </w:r>
      <w:r w:rsidR="00DB4097">
        <w:rPr>
          <w:rFonts w:ascii="Arial" w:hAnsi="Arial" w:cs="Arial"/>
          <w:sz w:val="24"/>
          <w:szCs w:val="24"/>
        </w:rPr>
        <w:t xml:space="preserve"> costs to serve the SSO embedded in</w:t>
      </w:r>
      <w:r w:rsidR="00C52F56">
        <w:rPr>
          <w:rFonts w:ascii="Arial" w:hAnsi="Arial" w:cs="Arial"/>
          <w:sz w:val="24"/>
          <w:szCs w:val="24"/>
        </w:rPr>
        <w:t xml:space="preserve"> distribution</w:t>
      </w:r>
      <w:r w:rsidR="00B25257">
        <w:rPr>
          <w:rFonts w:ascii="Arial" w:hAnsi="Arial" w:cs="Arial"/>
          <w:sz w:val="24"/>
          <w:szCs w:val="24"/>
        </w:rPr>
        <w:t xml:space="preserve"> </w:t>
      </w:r>
      <w:r w:rsidR="00DB4097">
        <w:rPr>
          <w:rFonts w:ascii="Arial" w:hAnsi="Arial" w:cs="Arial"/>
          <w:sz w:val="24"/>
          <w:szCs w:val="24"/>
        </w:rPr>
        <w:t>rates</w:t>
      </w:r>
      <w:r w:rsidR="00B25257">
        <w:rPr>
          <w:rFonts w:ascii="Arial" w:hAnsi="Arial" w:cs="Arial"/>
          <w:sz w:val="24"/>
          <w:szCs w:val="24"/>
        </w:rPr>
        <w:t>.</w:t>
      </w:r>
      <w:r w:rsidR="00C47313">
        <w:rPr>
          <w:rFonts w:ascii="Arial" w:hAnsi="Arial" w:cs="Arial"/>
          <w:sz w:val="24"/>
          <w:szCs w:val="24"/>
        </w:rPr>
        <w:t xml:space="preserve"> IGS Ex. 3 at 11-12, Ex. DMR-2. </w:t>
      </w:r>
      <w:r w:rsidR="006F75CC">
        <w:rPr>
          <w:rFonts w:ascii="Arial" w:hAnsi="Arial" w:cs="Arial"/>
          <w:sz w:val="24"/>
          <w:szCs w:val="24"/>
        </w:rPr>
        <w:t>However,</w:t>
      </w:r>
      <w:r w:rsidR="0075151F">
        <w:rPr>
          <w:rFonts w:ascii="Arial" w:hAnsi="Arial" w:cs="Arial"/>
          <w:sz w:val="24"/>
          <w:szCs w:val="24"/>
        </w:rPr>
        <w:t xml:space="preserve"> Ohio Power</w:t>
      </w:r>
      <w:r w:rsidR="00626534">
        <w:rPr>
          <w:rFonts w:ascii="Arial" w:hAnsi="Arial" w:cs="Arial"/>
          <w:sz w:val="24"/>
          <w:szCs w:val="24"/>
        </w:rPr>
        <w:t xml:space="preserve"> </w:t>
      </w:r>
      <w:r w:rsidR="00936E64">
        <w:rPr>
          <w:rFonts w:ascii="Arial" w:hAnsi="Arial" w:cs="Arial"/>
          <w:sz w:val="24"/>
          <w:szCs w:val="24"/>
        </w:rPr>
        <w:t>identif</w:t>
      </w:r>
      <w:r w:rsidR="005254A8">
        <w:rPr>
          <w:rFonts w:ascii="Arial" w:hAnsi="Arial" w:cs="Arial"/>
          <w:sz w:val="24"/>
          <w:szCs w:val="24"/>
        </w:rPr>
        <w:t>ied</w:t>
      </w:r>
      <w:r w:rsidR="00936E64">
        <w:rPr>
          <w:rFonts w:ascii="Arial" w:hAnsi="Arial" w:cs="Arial"/>
          <w:sz w:val="24"/>
          <w:szCs w:val="24"/>
        </w:rPr>
        <w:t xml:space="preserve"> just </w:t>
      </w:r>
      <w:r w:rsidR="005254A8">
        <w:rPr>
          <w:rFonts w:ascii="Arial" w:hAnsi="Arial" w:cs="Arial"/>
          <w:sz w:val="24"/>
          <w:szCs w:val="24"/>
        </w:rPr>
        <w:t xml:space="preserve">two </w:t>
      </w:r>
      <w:r w:rsidR="00A66910">
        <w:rPr>
          <w:rFonts w:ascii="Arial" w:hAnsi="Arial" w:cs="Arial"/>
          <w:sz w:val="24"/>
          <w:szCs w:val="24"/>
        </w:rPr>
        <w:t>costs -</w:t>
      </w:r>
      <w:r w:rsidR="00936E64">
        <w:rPr>
          <w:rFonts w:ascii="Arial" w:hAnsi="Arial" w:cs="Arial"/>
          <w:sz w:val="24"/>
          <w:szCs w:val="24"/>
        </w:rPr>
        <w:t xml:space="preserve"> uncollectible generation costs and the Commission and OCC assessments </w:t>
      </w:r>
      <w:r w:rsidR="00A66910">
        <w:rPr>
          <w:rFonts w:ascii="Arial" w:hAnsi="Arial" w:cs="Arial"/>
          <w:sz w:val="24"/>
          <w:szCs w:val="24"/>
        </w:rPr>
        <w:t xml:space="preserve">- </w:t>
      </w:r>
      <w:r w:rsidR="00936E64">
        <w:rPr>
          <w:rFonts w:ascii="Arial" w:hAnsi="Arial" w:cs="Arial"/>
          <w:sz w:val="24"/>
          <w:szCs w:val="24"/>
        </w:rPr>
        <w:t xml:space="preserve">as costs </w:t>
      </w:r>
      <w:r w:rsidR="00A66910">
        <w:rPr>
          <w:rFonts w:ascii="Arial" w:hAnsi="Arial" w:cs="Arial"/>
          <w:sz w:val="24"/>
          <w:szCs w:val="24"/>
        </w:rPr>
        <w:t>attribut</w:t>
      </w:r>
      <w:r w:rsidR="00900A65">
        <w:rPr>
          <w:rFonts w:ascii="Arial" w:hAnsi="Arial" w:cs="Arial"/>
          <w:sz w:val="24"/>
          <w:szCs w:val="24"/>
        </w:rPr>
        <w:t>able</w:t>
      </w:r>
      <w:r w:rsidR="00A66910">
        <w:rPr>
          <w:rFonts w:ascii="Arial" w:hAnsi="Arial" w:cs="Arial"/>
          <w:sz w:val="24"/>
          <w:szCs w:val="24"/>
        </w:rPr>
        <w:t xml:space="preserve"> to SSO, </w:t>
      </w:r>
      <w:r w:rsidR="00351B07">
        <w:rPr>
          <w:rFonts w:ascii="Arial" w:hAnsi="Arial" w:cs="Arial"/>
          <w:sz w:val="24"/>
          <w:szCs w:val="24"/>
        </w:rPr>
        <w:t>ignoring</w:t>
      </w:r>
      <w:r w:rsidRPr="00626534" w:rsidR="00626534">
        <w:rPr>
          <w:rFonts w:ascii="Arial" w:hAnsi="Arial" w:cs="Arial"/>
          <w:sz w:val="24"/>
          <w:szCs w:val="24"/>
        </w:rPr>
        <w:t xml:space="preserve"> </w:t>
      </w:r>
      <w:proofErr w:type="gramStart"/>
      <w:r w:rsidRPr="00626534" w:rsidR="00626534">
        <w:rPr>
          <w:rFonts w:ascii="Arial" w:hAnsi="Arial" w:cs="Arial"/>
          <w:sz w:val="24"/>
          <w:szCs w:val="24"/>
        </w:rPr>
        <w:t>all of</w:t>
      </w:r>
      <w:proofErr w:type="gramEnd"/>
      <w:r w:rsidRPr="00626534" w:rsidR="00626534">
        <w:rPr>
          <w:rFonts w:ascii="Arial" w:hAnsi="Arial" w:cs="Arial"/>
          <w:sz w:val="24"/>
          <w:szCs w:val="24"/>
        </w:rPr>
        <w:t xml:space="preserve"> the</w:t>
      </w:r>
      <w:r w:rsidR="00626534">
        <w:rPr>
          <w:rFonts w:ascii="Arial" w:hAnsi="Arial" w:cs="Arial"/>
          <w:sz w:val="24"/>
          <w:szCs w:val="24"/>
        </w:rPr>
        <w:t xml:space="preserve"> </w:t>
      </w:r>
      <w:r w:rsidRPr="00626534" w:rsidR="00626534">
        <w:rPr>
          <w:rFonts w:ascii="Arial" w:hAnsi="Arial" w:cs="Arial"/>
          <w:sz w:val="24"/>
          <w:szCs w:val="24"/>
        </w:rPr>
        <w:t>most basic elements of running a business, such as rent, personnel, computers,</w:t>
      </w:r>
      <w:r w:rsidR="00626534">
        <w:rPr>
          <w:rFonts w:ascii="Arial" w:hAnsi="Arial" w:cs="Arial"/>
          <w:sz w:val="24"/>
          <w:szCs w:val="24"/>
        </w:rPr>
        <w:t xml:space="preserve"> </w:t>
      </w:r>
      <w:r w:rsidRPr="00626534" w:rsidR="00626534">
        <w:rPr>
          <w:rFonts w:ascii="Arial" w:hAnsi="Arial" w:cs="Arial"/>
          <w:sz w:val="24"/>
          <w:szCs w:val="24"/>
        </w:rPr>
        <w:t>systems, accounting and finance</w:t>
      </w:r>
      <w:r w:rsidR="00A66910">
        <w:rPr>
          <w:rFonts w:ascii="Arial" w:hAnsi="Arial" w:cs="Arial"/>
          <w:sz w:val="24"/>
          <w:szCs w:val="24"/>
        </w:rPr>
        <w:t xml:space="preserve">. </w:t>
      </w:r>
      <w:r w:rsidRPr="00FA386F" w:rsidR="00A66910">
        <w:rPr>
          <w:rFonts w:ascii="Arial" w:hAnsi="Arial" w:cs="Arial"/>
          <w:i/>
          <w:iCs/>
          <w:sz w:val="24"/>
          <w:szCs w:val="24"/>
        </w:rPr>
        <w:t>Id.</w:t>
      </w:r>
      <w:r w:rsidRPr="00FA386F" w:rsidR="00BE6529">
        <w:rPr>
          <w:rFonts w:ascii="Arial" w:hAnsi="Arial" w:cs="Arial"/>
          <w:sz w:val="24"/>
          <w:szCs w:val="24"/>
        </w:rPr>
        <w:t>;</w:t>
      </w:r>
      <w:r w:rsidR="00BE6529">
        <w:rPr>
          <w:rFonts w:ascii="Arial" w:hAnsi="Arial" w:cs="Arial"/>
          <w:sz w:val="24"/>
          <w:szCs w:val="24"/>
        </w:rPr>
        <w:t xml:space="preserve"> IGS/Direct Ex. 2 at 8.</w:t>
      </w:r>
      <w:r w:rsidR="00351B07">
        <w:rPr>
          <w:rFonts w:ascii="Arial" w:hAnsi="Arial" w:cs="Arial"/>
          <w:sz w:val="24"/>
          <w:szCs w:val="24"/>
        </w:rPr>
        <w:t xml:space="preserve"> Further, Ohio Power identified two costs associated with</w:t>
      </w:r>
      <w:r w:rsidR="00BC38A7">
        <w:rPr>
          <w:rFonts w:ascii="Arial" w:hAnsi="Arial" w:cs="Arial"/>
          <w:sz w:val="24"/>
          <w:szCs w:val="24"/>
        </w:rPr>
        <w:t xml:space="preserve"> providing the choice program</w:t>
      </w:r>
      <w:r w:rsidR="00234BD4">
        <w:rPr>
          <w:rFonts w:ascii="Arial" w:hAnsi="Arial" w:cs="Arial"/>
          <w:sz w:val="24"/>
          <w:szCs w:val="24"/>
        </w:rPr>
        <w:t xml:space="preserve">, and then </w:t>
      </w:r>
      <w:r w:rsidR="00E7638F">
        <w:rPr>
          <w:rFonts w:ascii="Arial" w:hAnsi="Arial" w:cs="Arial"/>
          <w:sz w:val="24"/>
          <w:szCs w:val="24"/>
        </w:rPr>
        <w:t xml:space="preserve">improperly </w:t>
      </w:r>
      <w:r w:rsidR="00234BD4">
        <w:rPr>
          <w:rFonts w:ascii="Arial" w:hAnsi="Arial" w:cs="Arial"/>
          <w:sz w:val="24"/>
          <w:szCs w:val="24"/>
        </w:rPr>
        <w:t xml:space="preserve">netting these costs against each other to </w:t>
      </w:r>
      <w:r w:rsidR="00FA386F">
        <w:rPr>
          <w:rFonts w:ascii="Arial" w:hAnsi="Arial" w:cs="Arial"/>
          <w:sz w:val="24"/>
          <w:szCs w:val="24"/>
        </w:rPr>
        <w:t>arrive at proposed rates for the Retail Reconciliation Rider and the SSO Credit Rider. IGS Ex. 3 at 11-12, Ex. DMR-2</w:t>
      </w:r>
      <w:r w:rsidR="001C1B86">
        <w:rPr>
          <w:rFonts w:ascii="Arial" w:hAnsi="Arial" w:cs="Arial"/>
          <w:sz w:val="24"/>
          <w:szCs w:val="24"/>
        </w:rPr>
        <w:t>; IGS/Direct Ex</w:t>
      </w:r>
      <w:r w:rsidRPr="00DE7B25" w:rsidR="001C1B86">
        <w:rPr>
          <w:rFonts w:ascii="Arial" w:hAnsi="Arial" w:cs="Arial"/>
          <w:sz w:val="24"/>
          <w:szCs w:val="24"/>
        </w:rPr>
        <w:t xml:space="preserve">. 2 at </w:t>
      </w:r>
      <w:r w:rsidRPr="00F52548" w:rsidR="006209C4">
        <w:rPr>
          <w:rFonts w:ascii="Arial" w:hAnsi="Arial" w:cs="Arial"/>
          <w:sz w:val="24"/>
          <w:szCs w:val="24"/>
        </w:rPr>
        <w:t>41-42</w:t>
      </w:r>
      <w:r w:rsidRPr="00DE7B25" w:rsidR="001C1B86">
        <w:rPr>
          <w:rFonts w:ascii="Arial" w:hAnsi="Arial" w:cs="Arial"/>
          <w:sz w:val="24"/>
          <w:szCs w:val="24"/>
        </w:rPr>
        <w:t>.</w:t>
      </w:r>
    </w:p>
    <w:p w:rsidRPr="004D356E" w:rsidR="00577FAD" w:rsidP="006B3C4D" w:rsidRDefault="00577FAD" w14:paraId="6A6BA618" w14:textId="026434D0">
      <w:pPr>
        <w:pStyle w:val="Heading3"/>
        <w:numPr>
          <w:ilvl w:val="0"/>
          <w:numId w:val="16"/>
        </w:numPr>
        <w:rPr>
          <w:b/>
        </w:rPr>
      </w:pPr>
      <w:bookmarkStart w:name="_Toc74573079" w:id="9"/>
      <w:r w:rsidRPr="004D356E">
        <w:rPr>
          <w:b/>
        </w:rPr>
        <w:t>Staff Report &amp; Recommendation</w:t>
      </w:r>
      <w:bookmarkEnd w:id="9"/>
    </w:p>
    <w:p w:rsidRPr="004D356E" w:rsidR="007B0843" w:rsidP="00E81A66" w:rsidRDefault="007B0843" w14:paraId="3739B57C" w14:textId="20F8E9CE">
      <w:pPr>
        <w:pStyle w:val="NoSpacing"/>
        <w:spacing w:line="480" w:lineRule="auto"/>
        <w:ind w:firstLine="720"/>
        <w:jc w:val="both"/>
        <w:rPr>
          <w:rFonts w:ascii="Arial" w:hAnsi="Arial" w:cs="Arial"/>
          <w:sz w:val="24"/>
          <w:szCs w:val="24"/>
        </w:rPr>
      </w:pPr>
      <w:r w:rsidRPr="004D356E">
        <w:rPr>
          <w:rFonts w:ascii="Arial" w:hAnsi="Arial" w:cs="Arial"/>
          <w:sz w:val="24"/>
          <w:szCs w:val="24"/>
        </w:rPr>
        <w:t xml:space="preserve">On </w:t>
      </w:r>
      <w:r w:rsidR="00C36607">
        <w:rPr>
          <w:rFonts w:ascii="Arial" w:hAnsi="Arial" w:cs="Arial"/>
          <w:sz w:val="24"/>
          <w:szCs w:val="24"/>
        </w:rPr>
        <w:t>November 18, as corrected on November 25, 20</w:t>
      </w:r>
      <w:r w:rsidR="00E17AA0">
        <w:rPr>
          <w:rFonts w:ascii="Arial" w:hAnsi="Arial" w:cs="Arial"/>
          <w:sz w:val="24"/>
          <w:szCs w:val="24"/>
        </w:rPr>
        <w:t xml:space="preserve">20, </w:t>
      </w:r>
      <w:r w:rsidR="00202763">
        <w:rPr>
          <w:rFonts w:ascii="Arial" w:hAnsi="Arial" w:cs="Arial"/>
          <w:sz w:val="24"/>
          <w:szCs w:val="24"/>
        </w:rPr>
        <w:t xml:space="preserve">Staff </w:t>
      </w:r>
      <w:r w:rsidR="00CC6241">
        <w:rPr>
          <w:rFonts w:ascii="Arial" w:hAnsi="Arial" w:cs="Arial"/>
          <w:sz w:val="24"/>
          <w:szCs w:val="24"/>
        </w:rPr>
        <w:t>issued</w:t>
      </w:r>
      <w:r w:rsidR="00202763">
        <w:rPr>
          <w:rFonts w:ascii="Arial" w:hAnsi="Arial" w:cs="Arial"/>
          <w:sz w:val="24"/>
          <w:szCs w:val="24"/>
        </w:rPr>
        <w:t xml:space="preserve"> its </w:t>
      </w:r>
      <w:r w:rsidRPr="00202763" w:rsidR="00202763">
        <w:rPr>
          <w:rFonts w:ascii="Arial" w:hAnsi="Arial" w:cs="Arial"/>
          <w:sz w:val="24"/>
          <w:szCs w:val="24"/>
        </w:rPr>
        <w:t>Staff Review and Recommendation in the Matter of the Application of Ohio Power</w:t>
      </w:r>
      <w:r w:rsidR="00202763">
        <w:rPr>
          <w:rFonts w:ascii="Arial" w:hAnsi="Arial" w:cs="Arial"/>
          <w:sz w:val="24"/>
          <w:szCs w:val="24"/>
        </w:rPr>
        <w:t xml:space="preserve"> </w:t>
      </w:r>
      <w:r w:rsidRPr="00202763" w:rsidR="00202763">
        <w:rPr>
          <w:rFonts w:ascii="Arial" w:hAnsi="Arial" w:cs="Arial"/>
          <w:sz w:val="24"/>
          <w:szCs w:val="24"/>
        </w:rPr>
        <w:t>Company for an Increase in Electric Distribution Rates (“Staff Report”)</w:t>
      </w:r>
      <w:r w:rsidR="00202763">
        <w:rPr>
          <w:rFonts w:ascii="Arial" w:hAnsi="Arial" w:cs="Arial"/>
          <w:sz w:val="24"/>
          <w:szCs w:val="24"/>
        </w:rPr>
        <w:t>.</w:t>
      </w:r>
      <w:r w:rsidR="00C85788">
        <w:rPr>
          <w:rFonts w:ascii="Arial" w:hAnsi="Arial" w:cs="Arial"/>
          <w:sz w:val="24"/>
          <w:szCs w:val="24"/>
        </w:rPr>
        <w:t xml:space="preserve"> In the Staff Report, Staff </w:t>
      </w:r>
      <w:r w:rsidR="00415266">
        <w:rPr>
          <w:rFonts w:ascii="Arial" w:hAnsi="Arial" w:cs="Arial"/>
          <w:sz w:val="24"/>
          <w:szCs w:val="24"/>
        </w:rPr>
        <w:t xml:space="preserve">noted that in response </w:t>
      </w:r>
      <w:r w:rsidR="006F5B57">
        <w:rPr>
          <w:rFonts w:ascii="Arial" w:hAnsi="Arial" w:cs="Arial"/>
          <w:sz w:val="24"/>
          <w:szCs w:val="24"/>
        </w:rPr>
        <w:t xml:space="preserve">to the directive issued in the ESP IV Order, Ohio Power has identified two quantifiable SSO costs and two quantifiable CRES costs. Staff Ex. 1 at 31. </w:t>
      </w:r>
      <w:r w:rsidR="00E67D6B">
        <w:rPr>
          <w:rFonts w:ascii="Arial" w:hAnsi="Arial" w:cs="Arial"/>
          <w:sz w:val="24"/>
          <w:szCs w:val="24"/>
        </w:rPr>
        <w:lastRenderedPageBreak/>
        <w:t xml:space="preserve">However, Staff </w:t>
      </w:r>
      <w:r w:rsidR="00D0343E">
        <w:rPr>
          <w:rFonts w:ascii="Arial" w:hAnsi="Arial" w:cs="Arial"/>
          <w:sz w:val="24"/>
          <w:szCs w:val="24"/>
        </w:rPr>
        <w:t>added</w:t>
      </w:r>
      <w:r w:rsidR="005D4951">
        <w:rPr>
          <w:rFonts w:ascii="Arial" w:hAnsi="Arial" w:cs="Arial"/>
          <w:sz w:val="24"/>
          <w:szCs w:val="24"/>
        </w:rPr>
        <w:t xml:space="preserve"> that Ohio Power failed to examine all cost causation factors</w:t>
      </w:r>
      <w:r w:rsidR="002C42C7">
        <w:rPr>
          <w:rFonts w:ascii="Arial" w:hAnsi="Arial" w:cs="Arial"/>
          <w:sz w:val="24"/>
          <w:szCs w:val="24"/>
        </w:rPr>
        <w:t xml:space="preserve">, and </w:t>
      </w:r>
      <w:r w:rsidR="00904158">
        <w:rPr>
          <w:rFonts w:ascii="Arial" w:hAnsi="Arial" w:cs="Arial"/>
          <w:sz w:val="24"/>
          <w:szCs w:val="24"/>
        </w:rPr>
        <w:t>“[w]</w:t>
      </w:r>
      <w:proofErr w:type="spellStart"/>
      <w:r w:rsidRPr="002C42C7" w:rsidR="002C42C7">
        <w:rPr>
          <w:rFonts w:ascii="Arial" w:hAnsi="Arial" w:cs="Arial"/>
          <w:sz w:val="24"/>
          <w:szCs w:val="24"/>
        </w:rPr>
        <w:t>ithout</w:t>
      </w:r>
      <w:proofErr w:type="spellEnd"/>
      <w:r w:rsidRPr="002C42C7" w:rsidR="002C42C7">
        <w:rPr>
          <w:rFonts w:ascii="Arial" w:hAnsi="Arial" w:cs="Arial"/>
          <w:sz w:val="24"/>
          <w:szCs w:val="24"/>
        </w:rPr>
        <w:t xml:space="preserve"> looking at all factors, Staff cannot determine if or how cost should be allocated between shopping</w:t>
      </w:r>
      <w:r w:rsidR="00B12FBC">
        <w:rPr>
          <w:rFonts w:ascii="Arial" w:hAnsi="Arial" w:cs="Arial"/>
          <w:sz w:val="24"/>
          <w:szCs w:val="24"/>
        </w:rPr>
        <w:t xml:space="preserve"> </w:t>
      </w:r>
      <w:r w:rsidRPr="002C42C7" w:rsidR="002C42C7">
        <w:rPr>
          <w:rFonts w:ascii="Arial" w:hAnsi="Arial" w:cs="Arial"/>
          <w:sz w:val="24"/>
          <w:szCs w:val="24"/>
        </w:rPr>
        <w:t>and non-shopping customers</w:t>
      </w:r>
      <w:r w:rsidR="00904158">
        <w:rPr>
          <w:rFonts w:ascii="Arial" w:hAnsi="Arial" w:cs="Arial"/>
          <w:sz w:val="24"/>
          <w:szCs w:val="24"/>
        </w:rPr>
        <w:t xml:space="preserve">.” </w:t>
      </w:r>
      <w:r w:rsidRPr="00E81A66" w:rsidR="00904158">
        <w:rPr>
          <w:rFonts w:ascii="Arial" w:hAnsi="Arial" w:cs="Arial"/>
          <w:i/>
          <w:iCs/>
          <w:sz w:val="24"/>
          <w:szCs w:val="24"/>
        </w:rPr>
        <w:t xml:space="preserve">Id. </w:t>
      </w:r>
      <w:r w:rsidR="00904158">
        <w:rPr>
          <w:rFonts w:ascii="Arial" w:hAnsi="Arial" w:cs="Arial"/>
          <w:sz w:val="24"/>
          <w:szCs w:val="24"/>
        </w:rPr>
        <w:t xml:space="preserve">Therefore, Staff recommended </w:t>
      </w:r>
      <w:r w:rsidR="0073756F">
        <w:rPr>
          <w:rFonts w:ascii="Arial" w:hAnsi="Arial" w:cs="Arial"/>
          <w:sz w:val="24"/>
          <w:szCs w:val="24"/>
        </w:rPr>
        <w:t xml:space="preserve">rejection of both the Retail Reconciliation Rider and the SSO Credit Rider. </w:t>
      </w:r>
      <w:r w:rsidRPr="00E81A66" w:rsidR="0073756F">
        <w:rPr>
          <w:rFonts w:ascii="Arial" w:hAnsi="Arial" w:cs="Arial"/>
          <w:i/>
          <w:iCs/>
          <w:sz w:val="24"/>
          <w:szCs w:val="24"/>
        </w:rPr>
        <w:t>Id.</w:t>
      </w:r>
    </w:p>
    <w:p w:rsidRPr="004D356E" w:rsidR="00577FAD" w:rsidP="006B3C4D" w:rsidRDefault="00577FAD" w14:paraId="4614BD5A" w14:textId="4D51FBA5">
      <w:pPr>
        <w:pStyle w:val="Heading3"/>
        <w:numPr>
          <w:ilvl w:val="0"/>
          <w:numId w:val="16"/>
        </w:numPr>
        <w:rPr>
          <w:b/>
        </w:rPr>
      </w:pPr>
      <w:bookmarkStart w:name="_Toc74573080" w:id="10"/>
      <w:r w:rsidRPr="004D356E">
        <w:rPr>
          <w:b/>
        </w:rPr>
        <w:t>IGS Energy’s Objections</w:t>
      </w:r>
      <w:bookmarkEnd w:id="10"/>
    </w:p>
    <w:p w:rsidRPr="002A4C06" w:rsidR="00577FAD" w:rsidP="00B83C59" w:rsidRDefault="008E3C02" w14:paraId="24B0ED2E" w14:textId="3331FF5D">
      <w:pPr>
        <w:spacing w:after="0" w:line="480" w:lineRule="auto"/>
        <w:ind w:firstLine="720"/>
        <w:jc w:val="both"/>
        <w:rPr>
          <w:rFonts w:ascii="Arial" w:hAnsi="Arial" w:cs="Arial"/>
          <w:sz w:val="24"/>
          <w:szCs w:val="24"/>
        </w:rPr>
      </w:pPr>
      <w:proofErr w:type="gramStart"/>
      <w:r>
        <w:rPr>
          <w:rFonts w:ascii="Arial" w:hAnsi="Arial" w:cs="Arial"/>
          <w:sz w:val="24"/>
          <w:szCs w:val="24"/>
        </w:rPr>
        <w:t xml:space="preserve">On </w:t>
      </w:r>
      <w:proofErr w:type="gramEnd"/>
      <w:r w:rsidR="00953A30">
        <w:rPr>
          <w:rFonts w:ascii="Arial" w:hAnsi="Arial" w:cs="Arial"/>
          <w:sz w:val="24"/>
          <w:szCs w:val="24"/>
        </w:rPr>
        <w:t>December 18, 2020,</w:t>
      </w:r>
      <w:proofErr w:type="gramStart"/>
      <w:r w:rsidR="007F1679">
        <w:rPr>
          <w:rFonts w:ascii="Arial" w:hAnsi="Arial" w:cs="Arial"/>
          <w:sz w:val="24"/>
          <w:szCs w:val="24"/>
        </w:rPr>
        <w:t xml:space="preserve"> </w:t>
      </w:r>
      <w:r w:rsidRPr="004D356E" w:rsidR="007F1679">
        <w:rPr>
          <w:rFonts w:ascii="Arial" w:hAnsi="Arial" w:cs="Arial"/>
          <w:sz w:val="24"/>
          <w:szCs w:val="24"/>
        </w:rPr>
        <w:t xml:space="preserve">IGS </w:t>
      </w:r>
      <w:r w:rsidR="007F1679">
        <w:rPr>
          <w:rFonts w:ascii="Arial" w:hAnsi="Arial" w:cs="Arial"/>
          <w:sz w:val="24"/>
          <w:szCs w:val="24"/>
        </w:rPr>
        <w:t xml:space="preserve">filed </w:t>
      </w:r>
      <w:r w:rsidRPr="002A2739" w:rsidR="007F1679">
        <w:rPr>
          <w:rFonts w:ascii="Arial" w:hAnsi="Arial" w:eastAsia="Arial" w:cs="Arial"/>
          <w:sz w:val="24"/>
          <w:szCs w:val="24"/>
        </w:rPr>
        <w:t>Objections to Staff Report of Investigation and Summary of Major Issues of Interstate Gas Supply, Inc. (Dec. 18, 2020)</w:t>
      </w:r>
      <w:r w:rsidR="007F1679">
        <w:rPr>
          <w:rFonts w:ascii="Arial" w:hAnsi="Arial" w:eastAsia="Arial" w:cs="Arial"/>
          <w:sz w:val="24"/>
          <w:szCs w:val="24"/>
        </w:rPr>
        <w:t xml:space="preserve"> (</w:t>
      </w:r>
      <w:r w:rsidR="00600493">
        <w:rPr>
          <w:rFonts w:ascii="Arial" w:hAnsi="Arial" w:eastAsia="Arial" w:cs="Arial"/>
          <w:sz w:val="24"/>
          <w:szCs w:val="24"/>
        </w:rPr>
        <w:t xml:space="preserve">“IGS Objections to Staff Report”). </w:t>
      </w:r>
      <w:r w:rsidR="00E05C1C">
        <w:rPr>
          <w:rFonts w:ascii="Arial" w:hAnsi="Arial" w:eastAsia="Arial" w:cs="Arial"/>
          <w:sz w:val="24"/>
          <w:szCs w:val="24"/>
        </w:rPr>
        <w:t>IGS asserted multiple objections r</w:t>
      </w:r>
      <w:r w:rsidDel="00A2038A" w:rsidR="00E05C1C">
        <w:rPr>
          <w:rFonts w:ascii="Arial" w:hAnsi="Arial" w:eastAsia="Arial" w:cs="Arial"/>
          <w:sz w:val="24"/>
          <w:szCs w:val="24"/>
        </w:rPr>
        <w:t xml:space="preserve">egarding the </w:t>
      </w:r>
      <w:r w:rsidR="00693835">
        <w:rPr>
          <w:rFonts w:ascii="Arial" w:hAnsi="Arial" w:eastAsia="Arial" w:cs="Arial"/>
          <w:sz w:val="24"/>
          <w:szCs w:val="24"/>
        </w:rPr>
        <w:t>Staff</w:t>
      </w:r>
      <w:r w:rsidR="00531791">
        <w:rPr>
          <w:rFonts w:ascii="Arial" w:hAnsi="Arial" w:eastAsia="Arial" w:cs="Arial"/>
          <w:sz w:val="24"/>
          <w:szCs w:val="24"/>
        </w:rPr>
        <w:t xml:space="preserve"> Report’s failure</w:t>
      </w:r>
      <w:r w:rsidR="001E4C1C">
        <w:rPr>
          <w:rFonts w:ascii="Arial" w:hAnsi="Arial" w:eastAsia="Arial" w:cs="Arial"/>
          <w:sz w:val="24"/>
          <w:szCs w:val="24"/>
        </w:rPr>
        <w:t xml:space="preserve"> to recommend that Ohio Power</w:t>
      </w:r>
      <w:r w:rsidR="00531791">
        <w:rPr>
          <w:rFonts w:ascii="Arial" w:hAnsi="Arial" w:eastAsia="Arial" w:cs="Arial"/>
          <w:sz w:val="24"/>
          <w:szCs w:val="24"/>
        </w:rPr>
        <w:t xml:space="preserve"> unbundle </w:t>
      </w:r>
      <w:r w:rsidR="006C1B37">
        <w:rPr>
          <w:rFonts w:ascii="Arial" w:hAnsi="Arial" w:eastAsia="Arial" w:cs="Arial"/>
          <w:sz w:val="24"/>
          <w:szCs w:val="24"/>
        </w:rPr>
        <w:t xml:space="preserve">from </w:t>
      </w:r>
      <w:r w:rsidR="001E4C1C">
        <w:rPr>
          <w:rFonts w:ascii="Arial" w:hAnsi="Arial" w:eastAsia="Arial" w:cs="Arial"/>
          <w:sz w:val="24"/>
          <w:szCs w:val="24"/>
        </w:rPr>
        <w:t>its</w:t>
      </w:r>
      <w:r w:rsidR="006C1B37">
        <w:rPr>
          <w:rFonts w:ascii="Arial" w:hAnsi="Arial" w:eastAsia="Arial" w:cs="Arial"/>
          <w:sz w:val="24"/>
          <w:szCs w:val="24"/>
        </w:rPr>
        <w:t xml:space="preserve"> proposed distribution rates </w:t>
      </w:r>
      <w:r w:rsidR="00531791">
        <w:rPr>
          <w:rFonts w:ascii="Arial" w:hAnsi="Arial" w:eastAsia="Arial" w:cs="Arial"/>
          <w:sz w:val="24"/>
          <w:szCs w:val="24"/>
        </w:rPr>
        <w:t xml:space="preserve">costs related to competitive </w:t>
      </w:r>
      <w:r w:rsidR="00DE7B25">
        <w:rPr>
          <w:rFonts w:ascii="Arial" w:hAnsi="Arial" w:eastAsia="Arial" w:cs="Arial"/>
          <w:sz w:val="24"/>
          <w:szCs w:val="24"/>
        </w:rPr>
        <w:t>generation</w:t>
      </w:r>
      <w:r w:rsidR="00531791">
        <w:rPr>
          <w:rFonts w:ascii="Arial" w:hAnsi="Arial" w:eastAsia="Arial" w:cs="Arial"/>
          <w:sz w:val="24"/>
          <w:szCs w:val="24"/>
        </w:rPr>
        <w:t xml:space="preserve"> service</w:t>
      </w:r>
      <w:r w:rsidR="007C4B55">
        <w:rPr>
          <w:rFonts w:ascii="Arial" w:hAnsi="Arial" w:eastAsia="Arial" w:cs="Arial"/>
          <w:sz w:val="24"/>
          <w:szCs w:val="24"/>
        </w:rPr>
        <w:t xml:space="preserve"> </w:t>
      </w:r>
      <w:r w:rsidR="00CE6B84">
        <w:rPr>
          <w:rFonts w:ascii="Arial" w:hAnsi="Arial" w:eastAsia="Arial" w:cs="Arial"/>
          <w:sz w:val="24"/>
          <w:szCs w:val="24"/>
        </w:rPr>
        <w:t>and to flow the</w:t>
      </w:r>
      <w:r w:rsidR="00006C13">
        <w:rPr>
          <w:rFonts w:ascii="Arial" w:hAnsi="Arial" w:eastAsia="Arial" w:cs="Arial"/>
          <w:sz w:val="24"/>
          <w:szCs w:val="24"/>
        </w:rPr>
        <w:t>se adjustments through</w:t>
      </w:r>
      <w:r w:rsidR="00531791">
        <w:rPr>
          <w:rFonts w:ascii="Arial" w:hAnsi="Arial" w:eastAsia="Arial" w:cs="Arial"/>
          <w:sz w:val="24"/>
          <w:szCs w:val="24"/>
        </w:rPr>
        <w:t xml:space="preserve"> </w:t>
      </w:r>
      <w:r w:rsidR="00600493">
        <w:rPr>
          <w:rFonts w:ascii="Arial" w:hAnsi="Arial" w:eastAsia="Arial" w:cs="Arial"/>
          <w:sz w:val="24"/>
          <w:szCs w:val="24"/>
        </w:rPr>
        <w:t xml:space="preserve">the </w:t>
      </w:r>
      <w:r w:rsidRPr="002A2739" w:rsidR="00600493">
        <w:rPr>
          <w:rFonts w:ascii="Arial" w:hAnsi="Arial" w:eastAsia="Arial" w:cs="Arial"/>
          <w:sz w:val="24"/>
          <w:szCs w:val="24"/>
        </w:rPr>
        <w:t>Retail Reconciliation Rider and the SSO Credit Rider</w:t>
      </w:r>
      <w:r w:rsidR="00721BE7">
        <w:rPr>
          <w:rFonts w:ascii="Arial" w:hAnsi="Arial" w:eastAsia="Arial" w:cs="Arial"/>
          <w:sz w:val="24"/>
          <w:szCs w:val="24"/>
        </w:rPr>
        <w:t>.</w:t>
      </w:r>
      <w:r w:rsidRPr="002A2739" w:rsidR="00E05C1C">
        <w:rPr>
          <w:rFonts w:ascii="Arial" w:hAnsi="Arial" w:eastAsia="Arial" w:cs="Arial"/>
          <w:sz w:val="24"/>
          <w:szCs w:val="24"/>
        </w:rPr>
        <w:t xml:space="preserve"> </w:t>
      </w:r>
      <w:r w:rsidR="00120893">
        <w:rPr>
          <w:rFonts w:ascii="Arial" w:hAnsi="Arial" w:eastAsia="Arial" w:cs="Arial"/>
          <w:sz w:val="24"/>
          <w:szCs w:val="24"/>
        </w:rPr>
        <w:t>IGS Objections to Staff Report</w:t>
      </w:r>
      <w:r w:rsidRPr="002A2739" w:rsidR="007F1679">
        <w:rPr>
          <w:rFonts w:ascii="Arial" w:hAnsi="Arial" w:eastAsia="Arial" w:cs="Arial"/>
          <w:sz w:val="24"/>
          <w:szCs w:val="24"/>
        </w:rPr>
        <w:t>, Objections A, B, C</w:t>
      </w:r>
      <w:r w:rsidR="00352F37">
        <w:rPr>
          <w:rFonts w:ascii="Arial" w:hAnsi="Arial" w:eastAsia="Arial" w:cs="Arial"/>
          <w:sz w:val="24"/>
          <w:szCs w:val="24"/>
        </w:rPr>
        <w:t xml:space="preserve">. </w:t>
      </w:r>
      <w:r w:rsidR="001261A0">
        <w:rPr>
          <w:rFonts w:ascii="Arial" w:hAnsi="Arial" w:eastAsia="Arial" w:cs="Arial"/>
          <w:sz w:val="24"/>
          <w:szCs w:val="24"/>
        </w:rPr>
        <w:t xml:space="preserve">Additionally, IGS objected to </w:t>
      </w:r>
      <w:r w:rsidR="00F73A78">
        <w:rPr>
          <w:rFonts w:ascii="Arial" w:hAnsi="Arial" w:eastAsia="Arial" w:cs="Arial"/>
          <w:sz w:val="24"/>
          <w:szCs w:val="24"/>
        </w:rPr>
        <w:t xml:space="preserve">the Staff Report’s failure to </w:t>
      </w:r>
      <w:r w:rsidR="00A60B89">
        <w:rPr>
          <w:rFonts w:ascii="Arial" w:hAnsi="Arial" w:eastAsia="Arial" w:cs="Arial"/>
          <w:sz w:val="24"/>
          <w:szCs w:val="24"/>
        </w:rPr>
        <w:t>examine</w:t>
      </w:r>
      <w:r w:rsidR="00F73A78">
        <w:rPr>
          <w:rFonts w:ascii="Arial" w:hAnsi="Arial" w:eastAsia="Arial" w:cs="Arial"/>
          <w:sz w:val="24"/>
          <w:szCs w:val="24"/>
        </w:rPr>
        <w:t xml:space="preserve"> discriminatory CRES provider fees and </w:t>
      </w:r>
      <w:r w:rsidR="00A60B89">
        <w:rPr>
          <w:rFonts w:ascii="Arial" w:hAnsi="Arial" w:eastAsia="Arial" w:cs="Arial"/>
          <w:sz w:val="24"/>
          <w:szCs w:val="24"/>
        </w:rPr>
        <w:t xml:space="preserve">whether there are direct or indirect costs </w:t>
      </w:r>
      <w:r w:rsidRPr="00352F37" w:rsidR="00352F37">
        <w:rPr>
          <w:rFonts w:ascii="Arial" w:hAnsi="Arial" w:eastAsia="Arial" w:cs="Arial"/>
          <w:sz w:val="24"/>
          <w:szCs w:val="24"/>
        </w:rPr>
        <w:t>associated with customer sited renewable energy resources in the</w:t>
      </w:r>
      <w:r w:rsidR="00352F37">
        <w:rPr>
          <w:rFonts w:ascii="Arial" w:hAnsi="Arial" w:eastAsia="Arial" w:cs="Arial"/>
          <w:sz w:val="24"/>
          <w:szCs w:val="24"/>
        </w:rPr>
        <w:t xml:space="preserve"> </w:t>
      </w:r>
      <w:r w:rsidRPr="00352F37" w:rsidR="00352F37">
        <w:rPr>
          <w:rFonts w:ascii="Arial" w:hAnsi="Arial" w:eastAsia="Arial" w:cs="Arial"/>
          <w:sz w:val="24"/>
          <w:szCs w:val="24"/>
        </w:rPr>
        <w:t>proposed distribution rates</w:t>
      </w:r>
      <w:r w:rsidR="00352F37">
        <w:rPr>
          <w:rFonts w:ascii="Arial" w:hAnsi="Arial" w:eastAsia="Arial" w:cs="Arial"/>
          <w:sz w:val="24"/>
          <w:szCs w:val="24"/>
        </w:rPr>
        <w:t xml:space="preserve">, contrary to R.C. 4928.47. </w:t>
      </w:r>
      <w:r w:rsidRPr="00B83C59" w:rsidR="00352F37">
        <w:rPr>
          <w:rFonts w:ascii="Arial" w:hAnsi="Arial" w:eastAsia="Arial" w:cs="Arial"/>
          <w:i/>
          <w:sz w:val="24"/>
          <w:szCs w:val="24"/>
        </w:rPr>
        <w:t xml:space="preserve">Id. </w:t>
      </w:r>
      <w:r w:rsidR="00352F37">
        <w:rPr>
          <w:rFonts w:ascii="Arial" w:hAnsi="Arial" w:eastAsia="Arial" w:cs="Arial"/>
          <w:sz w:val="24"/>
          <w:szCs w:val="24"/>
        </w:rPr>
        <w:t xml:space="preserve">at </w:t>
      </w:r>
      <w:r w:rsidR="00E3592E">
        <w:rPr>
          <w:rFonts w:ascii="Arial" w:hAnsi="Arial" w:eastAsia="Arial" w:cs="Arial"/>
          <w:sz w:val="24"/>
          <w:szCs w:val="24"/>
        </w:rPr>
        <w:t xml:space="preserve">Objections </w:t>
      </w:r>
      <w:r w:rsidR="00352F37">
        <w:rPr>
          <w:rFonts w:ascii="Arial" w:hAnsi="Arial" w:eastAsia="Arial" w:cs="Arial"/>
          <w:sz w:val="24"/>
          <w:szCs w:val="24"/>
        </w:rPr>
        <w:t>D, E.</w:t>
      </w:r>
    </w:p>
    <w:p w:rsidRPr="004D356E" w:rsidR="00577FAD" w:rsidP="006B3C4D" w:rsidRDefault="00577FAD" w14:paraId="3287BC21" w14:textId="3D38E165">
      <w:pPr>
        <w:pStyle w:val="Heading3"/>
        <w:numPr>
          <w:ilvl w:val="0"/>
          <w:numId w:val="16"/>
        </w:numPr>
        <w:rPr>
          <w:b/>
        </w:rPr>
      </w:pPr>
      <w:bookmarkStart w:name="_Toc74573081" w:id="11"/>
      <w:r w:rsidRPr="004D356E">
        <w:rPr>
          <w:b/>
        </w:rPr>
        <w:t>Stipulation and Recommendation</w:t>
      </w:r>
      <w:bookmarkEnd w:id="11"/>
    </w:p>
    <w:p w:rsidRPr="000D55E4" w:rsidR="00A32467" w:rsidP="000D55E4" w:rsidRDefault="00577FAD" w14:paraId="33620A69" w14:textId="465A546A">
      <w:pPr>
        <w:pStyle w:val="NoSpacing"/>
        <w:spacing w:line="480" w:lineRule="auto"/>
        <w:ind w:firstLine="720"/>
        <w:jc w:val="both"/>
        <w:rPr>
          <w:rFonts w:ascii="Arial" w:hAnsi="Arial" w:cs="Arial"/>
          <w:sz w:val="24"/>
          <w:szCs w:val="24"/>
        </w:rPr>
      </w:pPr>
      <w:r w:rsidRPr="006B3C4D">
        <w:rPr>
          <w:rFonts w:ascii="Arial" w:hAnsi="Arial" w:cs="Arial"/>
          <w:sz w:val="24"/>
          <w:szCs w:val="24"/>
        </w:rPr>
        <w:t xml:space="preserve">On </w:t>
      </w:r>
      <w:r w:rsidR="00957F37">
        <w:rPr>
          <w:rFonts w:ascii="Arial" w:hAnsi="Arial" w:cs="Arial"/>
          <w:sz w:val="24"/>
          <w:szCs w:val="24"/>
        </w:rPr>
        <w:t>March 12</w:t>
      </w:r>
      <w:r w:rsidRPr="006B3C4D">
        <w:rPr>
          <w:rFonts w:ascii="Arial" w:hAnsi="Arial" w:cs="Arial"/>
          <w:sz w:val="24"/>
          <w:szCs w:val="24"/>
        </w:rPr>
        <w:t xml:space="preserve">, 2021, certain parties entered into a Stipulation to resolve Ohio Power’s </w:t>
      </w:r>
      <w:r w:rsidR="00957F37">
        <w:rPr>
          <w:rFonts w:ascii="Arial" w:hAnsi="Arial" w:cs="Arial"/>
          <w:sz w:val="24"/>
          <w:szCs w:val="24"/>
        </w:rPr>
        <w:t>Application</w:t>
      </w:r>
      <w:r w:rsidRPr="006B3C4D">
        <w:rPr>
          <w:rFonts w:ascii="Arial" w:hAnsi="Arial" w:cs="Arial"/>
          <w:sz w:val="24"/>
          <w:szCs w:val="24"/>
        </w:rPr>
        <w:t xml:space="preserve">. </w:t>
      </w:r>
      <w:r w:rsidR="00377F06">
        <w:rPr>
          <w:rFonts w:ascii="Arial" w:hAnsi="Arial" w:cs="Arial"/>
          <w:sz w:val="24"/>
          <w:szCs w:val="24"/>
        </w:rPr>
        <w:t>Under t</w:t>
      </w:r>
      <w:r w:rsidRPr="006B3C4D">
        <w:rPr>
          <w:rFonts w:ascii="Arial" w:hAnsi="Arial" w:cs="Arial"/>
          <w:sz w:val="24"/>
          <w:szCs w:val="24"/>
        </w:rPr>
        <w:t>he Stipulation</w:t>
      </w:r>
      <w:r w:rsidR="00377F06">
        <w:rPr>
          <w:rFonts w:ascii="Arial" w:hAnsi="Arial" w:cs="Arial"/>
          <w:sz w:val="24"/>
          <w:szCs w:val="24"/>
        </w:rPr>
        <w:t>, the</w:t>
      </w:r>
      <w:r w:rsidR="005A5EC9">
        <w:rPr>
          <w:rFonts w:ascii="Arial" w:hAnsi="Arial" w:cs="Arial"/>
          <w:sz w:val="24"/>
          <w:szCs w:val="24"/>
        </w:rPr>
        <w:t xml:space="preserve"> </w:t>
      </w:r>
      <w:r w:rsidRPr="00377F06" w:rsidR="00377F06">
        <w:rPr>
          <w:rFonts w:ascii="Arial" w:hAnsi="Arial" w:cs="Arial"/>
          <w:sz w:val="24"/>
          <w:szCs w:val="24"/>
        </w:rPr>
        <w:t>Retail Reconciliation Rider and SSO Credit Rider w</w:t>
      </w:r>
      <w:r w:rsidR="00377F06">
        <w:rPr>
          <w:rFonts w:ascii="Arial" w:hAnsi="Arial" w:cs="Arial"/>
          <w:sz w:val="24"/>
          <w:szCs w:val="24"/>
        </w:rPr>
        <w:t>ould</w:t>
      </w:r>
      <w:r w:rsidRPr="00377F06" w:rsidR="00377F06">
        <w:rPr>
          <w:rFonts w:ascii="Arial" w:hAnsi="Arial" w:cs="Arial"/>
          <w:sz w:val="24"/>
          <w:szCs w:val="24"/>
        </w:rPr>
        <w:t xml:space="preserve"> remain at</w:t>
      </w:r>
      <w:r w:rsidR="00377F06">
        <w:rPr>
          <w:rFonts w:ascii="Arial" w:hAnsi="Arial" w:cs="Arial"/>
          <w:sz w:val="24"/>
          <w:szCs w:val="24"/>
        </w:rPr>
        <w:t xml:space="preserve"> </w:t>
      </w:r>
      <w:r w:rsidRPr="00377F06" w:rsidR="00377F06">
        <w:rPr>
          <w:rFonts w:ascii="Arial" w:hAnsi="Arial" w:cs="Arial"/>
          <w:sz w:val="24"/>
          <w:szCs w:val="24"/>
        </w:rPr>
        <w:t xml:space="preserve">zero based </w:t>
      </w:r>
      <w:r w:rsidR="00976F43">
        <w:rPr>
          <w:rFonts w:ascii="Arial" w:hAnsi="Arial" w:cs="Arial"/>
          <w:sz w:val="24"/>
          <w:szCs w:val="24"/>
        </w:rPr>
        <w:t>up</w:t>
      </w:r>
      <w:r w:rsidRPr="00377F06" w:rsidR="00377F06">
        <w:rPr>
          <w:rFonts w:ascii="Arial" w:hAnsi="Arial" w:cs="Arial"/>
          <w:sz w:val="24"/>
          <w:szCs w:val="24"/>
        </w:rPr>
        <w:t xml:space="preserve">on the Staff Report’s recommendation. </w:t>
      </w:r>
      <w:r w:rsidR="00976F43">
        <w:rPr>
          <w:rFonts w:ascii="Arial" w:hAnsi="Arial" w:cs="Arial"/>
          <w:sz w:val="24"/>
          <w:szCs w:val="24"/>
        </w:rPr>
        <w:t xml:space="preserve">Jt. Ex. 1 at 9. </w:t>
      </w:r>
      <w:r w:rsidRPr="00377F06" w:rsidR="00377F06">
        <w:rPr>
          <w:rFonts w:ascii="Arial" w:hAnsi="Arial" w:cs="Arial"/>
          <w:sz w:val="24"/>
          <w:szCs w:val="24"/>
        </w:rPr>
        <w:t>In</w:t>
      </w:r>
      <w:r w:rsidRPr="006B3C4D">
        <w:rPr>
          <w:rFonts w:ascii="Arial" w:hAnsi="Arial" w:cs="Arial"/>
          <w:sz w:val="24"/>
          <w:szCs w:val="24"/>
        </w:rPr>
        <w:t xml:space="preserve"> addition,</w:t>
      </w:r>
      <w:r w:rsidRPr="002A2739" w:rsidDel="001049D3" w:rsidR="00837ED9">
        <w:rPr>
          <w:rFonts w:ascii="Arial" w:hAnsi="Arial" w:cs="Arial"/>
          <w:sz w:val="24"/>
          <w:szCs w:val="24"/>
        </w:rPr>
        <w:t xml:space="preserve"> </w:t>
      </w:r>
      <w:r w:rsidR="001049D3">
        <w:rPr>
          <w:rFonts w:ascii="Arial" w:hAnsi="Arial" w:cs="Arial"/>
          <w:sz w:val="24"/>
          <w:szCs w:val="24"/>
        </w:rPr>
        <w:t>Ohio Power’s</w:t>
      </w:r>
      <w:r w:rsidRPr="002A2739" w:rsidR="001049D3">
        <w:rPr>
          <w:rFonts w:ascii="Arial" w:hAnsi="Arial" w:cs="Arial"/>
          <w:sz w:val="24"/>
          <w:szCs w:val="24"/>
        </w:rPr>
        <w:t xml:space="preserve"> </w:t>
      </w:r>
      <w:r w:rsidRPr="002A2739" w:rsidR="00837ED9">
        <w:rPr>
          <w:rFonts w:ascii="Arial" w:hAnsi="Arial" w:cs="Arial"/>
          <w:sz w:val="24"/>
          <w:szCs w:val="24"/>
        </w:rPr>
        <w:t xml:space="preserve">BTCR Pilot Program would </w:t>
      </w:r>
      <w:r w:rsidR="006D30D1">
        <w:rPr>
          <w:rFonts w:ascii="Arial" w:hAnsi="Arial" w:cs="Arial"/>
          <w:sz w:val="24"/>
          <w:szCs w:val="24"/>
        </w:rPr>
        <w:t xml:space="preserve">be expanded, but only </w:t>
      </w:r>
      <w:r w:rsidR="00755403">
        <w:rPr>
          <w:rFonts w:ascii="Arial" w:hAnsi="Arial" w:cs="Arial"/>
          <w:sz w:val="24"/>
          <w:szCs w:val="24"/>
        </w:rPr>
        <w:t xml:space="preserve">for certain </w:t>
      </w:r>
      <w:r w:rsidR="00241FD2">
        <w:rPr>
          <w:rFonts w:ascii="Arial" w:hAnsi="Arial" w:cs="Arial"/>
          <w:sz w:val="24"/>
          <w:szCs w:val="24"/>
        </w:rPr>
        <w:t>stakeholders</w:t>
      </w:r>
      <w:r w:rsidR="00755403">
        <w:rPr>
          <w:rFonts w:ascii="Arial" w:hAnsi="Arial" w:cs="Arial"/>
          <w:sz w:val="24"/>
          <w:szCs w:val="24"/>
        </w:rPr>
        <w:t xml:space="preserve"> that joined the Stipulation. </w:t>
      </w:r>
      <w:r w:rsidRPr="00E81A66" w:rsidR="00837ED9">
        <w:rPr>
          <w:rFonts w:ascii="Arial" w:hAnsi="Arial" w:cs="Arial"/>
          <w:i/>
          <w:iCs/>
          <w:sz w:val="24"/>
          <w:szCs w:val="24"/>
        </w:rPr>
        <w:t>Id.</w:t>
      </w:r>
      <w:r w:rsidRPr="002A2739" w:rsidR="00837ED9">
        <w:rPr>
          <w:rFonts w:ascii="Arial" w:hAnsi="Arial" w:cs="Arial"/>
          <w:sz w:val="24"/>
          <w:szCs w:val="24"/>
        </w:rPr>
        <w:t xml:space="preserve"> at 17.  </w:t>
      </w:r>
      <w:r w:rsidR="001049D3">
        <w:rPr>
          <w:rFonts w:ascii="Arial" w:hAnsi="Arial" w:cs="Arial"/>
          <w:sz w:val="24"/>
          <w:szCs w:val="24"/>
        </w:rPr>
        <w:t xml:space="preserve">Further, </w:t>
      </w:r>
      <w:r w:rsidR="00E93A08">
        <w:rPr>
          <w:rFonts w:ascii="Arial" w:hAnsi="Arial" w:cs="Arial"/>
          <w:sz w:val="24"/>
          <w:szCs w:val="24"/>
        </w:rPr>
        <w:t xml:space="preserve">the Stipulation </w:t>
      </w:r>
      <w:r w:rsidR="00C7310E">
        <w:rPr>
          <w:rFonts w:ascii="Arial" w:hAnsi="Arial" w:cs="Arial"/>
          <w:sz w:val="24"/>
          <w:szCs w:val="24"/>
        </w:rPr>
        <w:t xml:space="preserve">would require Ohio Power to perform monthly aggregate shadow billing calculations </w:t>
      </w:r>
      <w:r w:rsidR="00F3251F">
        <w:rPr>
          <w:rFonts w:ascii="Arial" w:hAnsi="Arial" w:cs="Arial"/>
          <w:sz w:val="24"/>
          <w:szCs w:val="24"/>
        </w:rPr>
        <w:t xml:space="preserve">and make such calculations available to the Office of the Ohio Consumers’ Counsel (“OCC”) and Staff. </w:t>
      </w:r>
      <w:r w:rsidRPr="00B83C59" w:rsidR="00C7164A">
        <w:rPr>
          <w:rFonts w:ascii="Arial" w:hAnsi="Arial" w:cs="Arial"/>
          <w:i/>
          <w:sz w:val="24"/>
          <w:szCs w:val="24"/>
        </w:rPr>
        <w:t>Id.</w:t>
      </w:r>
      <w:r w:rsidR="00C7164A">
        <w:rPr>
          <w:rFonts w:ascii="Arial" w:hAnsi="Arial" w:cs="Arial"/>
          <w:sz w:val="24"/>
          <w:szCs w:val="24"/>
        </w:rPr>
        <w:t xml:space="preserve"> at 11. </w:t>
      </w:r>
      <w:r w:rsidRPr="00577FAD">
        <w:rPr>
          <w:rFonts w:ascii="Arial" w:hAnsi="Arial" w:cs="Arial"/>
          <w:sz w:val="24"/>
          <w:szCs w:val="24"/>
        </w:rPr>
        <w:t xml:space="preserve">The </w:t>
      </w:r>
      <w:r w:rsidRPr="00976F43">
        <w:rPr>
          <w:rFonts w:ascii="Arial" w:hAnsi="Arial" w:cs="Arial"/>
          <w:sz w:val="24"/>
          <w:szCs w:val="24"/>
        </w:rPr>
        <w:t>issue</w:t>
      </w:r>
      <w:r w:rsidR="00E81A66">
        <w:rPr>
          <w:rFonts w:ascii="Arial" w:hAnsi="Arial" w:cs="Arial"/>
          <w:sz w:val="24"/>
          <w:szCs w:val="24"/>
        </w:rPr>
        <w:t>s</w:t>
      </w:r>
      <w:r w:rsidRPr="00976F43">
        <w:rPr>
          <w:rFonts w:ascii="Arial" w:hAnsi="Arial" w:cs="Arial"/>
          <w:sz w:val="24"/>
          <w:szCs w:val="24"/>
        </w:rPr>
        <w:t xml:space="preserve"> regarding </w:t>
      </w:r>
      <w:r w:rsidR="00E81A66">
        <w:rPr>
          <w:rFonts w:ascii="Arial" w:hAnsi="Arial" w:cs="Arial"/>
          <w:sz w:val="24"/>
          <w:szCs w:val="24"/>
        </w:rPr>
        <w:t>the discriminatory CRES provider fees and</w:t>
      </w:r>
      <w:r w:rsidRPr="00577FAD">
        <w:rPr>
          <w:rFonts w:ascii="Arial" w:hAnsi="Arial" w:cs="Arial"/>
          <w:sz w:val="24"/>
          <w:szCs w:val="24"/>
        </w:rPr>
        <w:t xml:space="preserve"> whether </w:t>
      </w:r>
      <w:r w:rsidRPr="00577FAD">
        <w:rPr>
          <w:rFonts w:ascii="Arial" w:hAnsi="Arial" w:cs="Arial"/>
          <w:sz w:val="24"/>
          <w:szCs w:val="24"/>
        </w:rPr>
        <w:lastRenderedPageBreak/>
        <w:t xml:space="preserve">direct or indirect costs associated with customer sited renewable generation </w:t>
      </w:r>
      <w:r w:rsidR="0009560C">
        <w:rPr>
          <w:rFonts w:ascii="Arial" w:hAnsi="Arial" w:cs="Arial"/>
          <w:sz w:val="24"/>
          <w:szCs w:val="24"/>
        </w:rPr>
        <w:t>will be recovered through the proposed distribution rates</w:t>
      </w:r>
      <w:r w:rsidRPr="00577FAD">
        <w:rPr>
          <w:rFonts w:ascii="Arial" w:hAnsi="Arial" w:cs="Arial"/>
          <w:sz w:val="24"/>
          <w:szCs w:val="24"/>
        </w:rPr>
        <w:t xml:space="preserve"> in violation of R.C. 4928.</w:t>
      </w:r>
      <w:r w:rsidR="00697BC1">
        <w:rPr>
          <w:rFonts w:ascii="Arial" w:hAnsi="Arial" w:cs="Arial"/>
          <w:sz w:val="24"/>
          <w:szCs w:val="24"/>
        </w:rPr>
        <w:t>47 and R.C. 4928.02(H)</w:t>
      </w:r>
      <w:r w:rsidRPr="00577FAD">
        <w:rPr>
          <w:rFonts w:ascii="Arial" w:hAnsi="Arial" w:cs="Arial"/>
          <w:sz w:val="24"/>
          <w:szCs w:val="24"/>
        </w:rPr>
        <w:t xml:space="preserve"> </w:t>
      </w:r>
      <w:r w:rsidR="00E81A66">
        <w:rPr>
          <w:rFonts w:ascii="Arial" w:hAnsi="Arial" w:cs="Arial"/>
          <w:sz w:val="24"/>
          <w:szCs w:val="24"/>
        </w:rPr>
        <w:t>remain unaddressed</w:t>
      </w:r>
      <w:r w:rsidR="000D55E4">
        <w:rPr>
          <w:rFonts w:ascii="Arial" w:hAnsi="Arial" w:cs="Arial"/>
          <w:sz w:val="24"/>
          <w:szCs w:val="24"/>
        </w:rPr>
        <w:t>.</w:t>
      </w:r>
    </w:p>
    <w:p w:rsidRPr="00957549" w:rsidR="00957549" w:rsidP="007E27BD" w:rsidRDefault="00957549" w14:paraId="3DB3DE71" w14:textId="7B232F9B">
      <w:pPr>
        <w:pStyle w:val="Heading1"/>
        <w:numPr>
          <w:ilvl w:val="0"/>
          <w:numId w:val="1"/>
        </w:numPr>
        <w:spacing w:before="0" w:after="240"/>
      </w:pPr>
      <w:bookmarkStart w:name="_Toc73104527" w:id="12"/>
      <w:bookmarkStart w:name="_Toc74573082" w:id="13"/>
      <w:r>
        <w:t>ARGUMENT</w:t>
      </w:r>
      <w:bookmarkEnd w:id="12"/>
      <w:bookmarkEnd w:id="13"/>
    </w:p>
    <w:p w:rsidRPr="00CD19C2" w:rsidR="001128CB" w:rsidP="00AA6513" w:rsidRDefault="003F116B" w14:paraId="7AB3C8E5" w14:textId="4411E2E0">
      <w:pPr>
        <w:pStyle w:val="Heading2"/>
        <w:rPr>
          <w:color w:val="auto"/>
        </w:rPr>
      </w:pPr>
      <w:bookmarkStart w:name="_Toc73104528" w:id="14"/>
      <w:bookmarkStart w:name="_Toc74573083" w:id="15"/>
      <w:r w:rsidRPr="00CD19C2">
        <w:rPr>
          <w:color w:val="auto"/>
        </w:rPr>
        <w:t xml:space="preserve">A. </w:t>
      </w:r>
      <w:r w:rsidRPr="00CD19C2" w:rsidR="001128CB">
        <w:rPr>
          <w:color w:val="auto"/>
        </w:rPr>
        <w:t xml:space="preserve">The Commission should reject the provision of the Stipulation that sets the Retail Reconciliation Rider and SSO Credit Rider at zero and populate the riders at rates that reflect the costs to provide </w:t>
      </w:r>
      <w:r w:rsidR="000D6272">
        <w:rPr>
          <w:color w:val="auto"/>
        </w:rPr>
        <w:t xml:space="preserve">the </w:t>
      </w:r>
      <w:r w:rsidRPr="00CD19C2" w:rsidR="001128CB">
        <w:rPr>
          <w:color w:val="auto"/>
        </w:rPr>
        <w:t>standard service offer</w:t>
      </w:r>
      <w:r w:rsidRPr="00CD19C2" w:rsidR="00957549">
        <w:rPr>
          <w:color w:val="auto"/>
        </w:rPr>
        <w:t>.</w:t>
      </w:r>
      <w:bookmarkEnd w:id="14"/>
      <w:bookmarkEnd w:id="15"/>
      <w:r w:rsidRPr="00CD19C2" w:rsidR="00957549">
        <w:rPr>
          <w:color w:val="auto"/>
        </w:rPr>
        <w:t xml:space="preserve"> </w:t>
      </w:r>
    </w:p>
    <w:p w:rsidR="00C073C1" w:rsidP="000E52BF" w:rsidRDefault="17346C82" w14:paraId="34B08E04" w14:textId="7D13F540">
      <w:pPr>
        <w:spacing w:after="0" w:line="480" w:lineRule="auto"/>
        <w:ind w:firstLine="720"/>
        <w:jc w:val="both"/>
        <w:rPr>
          <w:rFonts w:ascii="Arial" w:hAnsi="Arial" w:eastAsia="Arial" w:cs="Arial"/>
          <w:sz w:val="24"/>
          <w:szCs w:val="24"/>
        </w:rPr>
      </w:pPr>
      <w:r>
        <w:rPr>
          <w:rFonts w:ascii="Arial" w:hAnsi="Arial" w:eastAsia="Arial" w:cs="Arial"/>
          <w:sz w:val="24"/>
          <w:szCs w:val="24"/>
        </w:rPr>
        <w:t xml:space="preserve">In </w:t>
      </w:r>
      <w:r w:rsidR="0038453A">
        <w:rPr>
          <w:rFonts w:ascii="Arial" w:hAnsi="Arial" w:eastAsia="Arial" w:cs="Arial"/>
          <w:sz w:val="24"/>
          <w:szCs w:val="24"/>
        </w:rPr>
        <w:t>the ESP IV</w:t>
      </w:r>
      <w:r>
        <w:rPr>
          <w:rFonts w:ascii="Arial" w:hAnsi="Arial" w:eastAsia="Arial" w:cs="Arial"/>
          <w:sz w:val="24"/>
          <w:szCs w:val="24"/>
        </w:rPr>
        <w:t xml:space="preserve"> </w:t>
      </w:r>
      <w:r w:rsidR="0038453A">
        <w:rPr>
          <w:rFonts w:ascii="Arial" w:hAnsi="Arial" w:eastAsia="Arial" w:cs="Arial"/>
          <w:sz w:val="24"/>
          <w:szCs w:val="24"/>
        </w:rPr>
        <w:t>O</w:t>
      </w:r>
      <w:r>
        <w:rPr>
          <w:rFonts w:ascii="Arial" w:hAnsi="Arial" w:eastAsia="Arial" w:cs="Arial"/>
          <w:sz w:val="24"/>
          <w:szCs w:val="24"/>
        </w:rPr>
        <w:t xml:space="preserve">rder, the Commission </w:t>
      </w:r>
      <w:r w:rsidR="3650B383">
        <w:rPr>
          <w:rFonts w:ascii="Arial" w:hAnsi="Arial" w:eastAsia="Arial" w:cs="Arial"/>
          <w:sz w:val="24"/>
          <w:szCs w:val="24"/>
        </w:rPr>
        <w:t>approved</w:t>
      </w:r>
      <w:r w:rsidRPr="3BF988EB" w:rsidR="19029DF3">
        <w:rPr>
          <w:rFonts w:ascii="Arial" w:hAnsi="Arial" w:eastAsia="Arial" w:cs="Arial"/>
          <w:sz w:val="24"/>
          <w:szCs w:val="24"/>
        </w:rPr>
        <w:t xml:space="preserve"> two</w:t>
      </w:r>
      <w:r w:rsidR="3650B383">
        <w:rPr>
          <w:rFonts w:ascii="Arial" w:hAnsi="Arial" w:eastAsia="Arial" w:cs="Arial"/>
          <w:sz w:val="24"/>
          <w:szCs w:val="24"/>
        </w:rPr>
        <w:t xml:space="preserve"> riders, the Retail Reconciliation Rider and the SSO Credit Rider</w:t>
      </w:r>
      <w:r w:rsidRPr="3BF988EB" w:rsidR="2A73C7A5">
        <w:rPr>
          <w:rFonts w:ascii="Arial" w:hAnsi="Arial" w:eastAsia="Arial" w:cs="Arial"/>
          <w:sz w:val="24"/>
          <w:szCs w:val="24"/>
        </w:rPr>
        <w:t>. The purpose of the riders is to</w:t>
      </w:r>
      <w:r w:rsidRPr="3BF988EB" w:rsidR="0E4C0D92">
        <w:rPr>
          <w:rFonts w:ascii="Arial" w:hAnsi="Arial" w:eastAsia="Arial" w:cs="Arial"/>
          <w:sz w:val="24"/>
          <w:szCs w:val="24"/>
        </w:rPr>
        <w:t xml:space="preserve"> </w:t>
      </w:r>
      <w:r w:rsidRPr="3BF988EB" w:rsidR="778380A0">
        <w:rPr>
          <w:rFonts w:ascii="Arial" w:hAnsi="Arial" w:eastAsia="Arial" w:cs="Arial"/>
          <w:sz w:val="24"/>
          <w:szCs w:val="24"/>
        </w:rPr>
        <w:t xml:space="preserve">unbundle </w:t>
      </w:r>
      <w:r w:rsidR="3650B383">
        <w:rPr>
          <w:rFonts w:ascii="Arial" w:hAnsi="Arial" w:eastAsia="Arial" w:cs="Arial"/>
          <w:sz w:val="24"/>
          <w:szCs w:val="24"/>
        </w:rPr>
        <w:t>the cost of providing the standard service offer</w:t>
      </w:r>
      <w:r w:rsidRPr="3BF988EB" w:rsidR="0E4C0D92">
        <w:rPr>
          <w:rFonts w:ascii="Arial" w:hAnsi="Arial" w:eastAsia="Arial" w:cs="Arial"/>
          <w:sz w:val="24"/>
          <w:szCs w:val="24"/>
        </w:rPr>
        <w:t xml:space="preserve"> </w:t>
      </w:r>
      <w:r w:rsidRPr="00102E4F" w:rsidR="008951DA">
        <w:rPr>
          <w:rFonts w:ascii="Arial" w:hAnsi="Arial" w:eastAsia="Arial" w:cs="Arial"/>
          <w:sz w:val="24"/>
          <w:szCs w:val="24"/>
        </w:rPr>
        <w:t>collected i</w:t>
      </w:r>
      <w:r w:rsidRPr="00102E4F" w:rsidR="3650B383">
        <w:rPr>
          <w:rFonts w:ascii="Arial" w:hAnsi="Arial" w:eastAsia="Arial" w:cs="Arial"/>
          <w:sz w:val="24"/>
          <w:szCs w:val="24"/>
        </w:rPr>
        <w:t xml:space="preserve">n </w:t>
      </w:r>
      <w:r w:rsidR="3650B383">
        <w:rPr>
          <w:rFonts w:ascii="Arial" w:hAnsi="Arial" w:eastAsia="Arial" w:cs="Arial"/>
          <w:sz w:val="24"/>
          <w:szCs w:val="24"/>
        </w:rPr>
        <w:t>distribution rates</w:t>
      </w:r>
      <w:r w:rsidRPr="3BF988EB" w:rsidR="63032F3D">
        <w:rPr>
          <w:rFonts w:ascii="Arial" w:hAnsi="Arial" w:eastAsia="Arial" w:cs="Arial"/>
          <w:sz w:val="24"/>
          <w:szCs w:val="24"/>
        </w:rPr>
        <w:t xml:space="preserve"> and </w:t>
      </w:r>
      <w:r w:rsidRPr="00102E4F" w:rsidR="008951DA">
        <w:rPr>
          <w:rFonts w:ascii="Arial" w:hAnsi="Arial" w:eastAsia="Arial" w:cs="Arial"/>
          <w:sz w:val="24"/>
          <w:szCs w:val="24"/>
        </w:rPr>
        <w:t>instead</w:t>
      </w:r>
      <w:r w:rsidRPr="00102E4F" w:rsidR="63032F3D">
        <w:rPr>
          <w:rFonts w:ascii="Arial" w:hAnsi="Arial" w:eastAsia="Arial" w:cs="Arial"/>
          <w:sz w:val="24"/>
          <w:szCs w:val="24"/>
        </w:rPr>
        <w:t xml:space="preserve"> </w:t>
      </w:r>
      <w:r w:rsidRPr="3BF988EB" w:rsidR="63032F3D">
        <w:rPr>
          <w:rFonts w:ascii="Arial" w:hAnsi="Arial" w:eastAsia="Arial" w:cs="Arial"/>
          <w:sz w:val="24"/>
          <w:szCs w:val="24"/>
        </w:rPr>
        <w:t>collect it from</w:t>
      </w:r>
      <w:r w:rsidR="3650B383">
        <w:rPr>
          <w:rFonts w:ascii="Arial" w:hAnsi="Arial" w:eastAsia="Arial" w:cs="Arial"/>
          <w:sz w:val="24"/>
          <w:szCs w:val="24"/>
        </w:rPr>
        <w:t xml:space="preserve"> standard service offer custome</w:t>
      </w:r>
      <w:r w:rsidR="06714D79">
        <w:rPr>
          <w:rFonts w:ascii="Arial" w:hAnsi="Arial" w:eastAsia="Arial" w:cs="Arial"/>
          <w:sz w:val="24"/>
          <w:szCs w:val="24"/>
        </w:rPr>
        <w:t>r</w:t>
      </w:r>
      <w:r w:rsidR="3650B383">
        <w:rPr>
          <w:rFonts w:ascii="Arial" w:hAnsi="Arial" w:eastAsia="Arial" w:cs="Arial"/>
          <w:sz w:val="24"/>
          <w:szCs w:val="24"/>
        </w:rPr>
        <w:t xml:space="preserve">s.  </w:t>
      </w:r>
      <w:r w:rsidRPr="00102E4F" w:rsidR="008951DA">
        <w:rPr>
          <w:rFonts w:ascii="Arial" w:hAnsi="Arial" w:eastAsia="Arial" w:cs="Arial"/>
          <w:sz w:val="24"/>
          <w:szCs w:val="24"/>
        </w:rPr>
        <w:t>In the ESP IV Order</w:t>
      </w:r>
      <w:r w:rsidR="3650B383">
        <w:rPr>
          <w:rFonts w:ascii="Arial" w:hAnsi="Arial" w:eastAsia="Arial" w:cs="Arial"/>
          <w:sz w:val="24"/>
          <w:szCs w:val="24"/>
        </w:rPr>
        <w:t xml:space="preserve">, the Commission </w:t>
      </w:r>
      <w:r w:rsidRPr="00102E4F" w:rsidR="008951DA">
        <w:rPr>
          <w:rFonts w:ascii="Arial" w:hAnsi="Arial" w:eastAsia="Arial" w:cs="Arial"/>
          <w:sz w:val="24"/>
          <w:szCs w:val="24"/>
        </w:rPr>
        <w:t xml:space="preserve">also </w:t>
      </w:r>
      <w:r>
        <w:rPr>
          <w:rFonts w:ascii="Arial" w:hAnsi="Arial" w:eastAsia="Arial" w:cs="Arial"/>
          <w:sz w:val="24"/>
          <w:szCs w:val="24"/>
        </w:rPr>
        <w:t xml:space="preserve">directed Ohio Power to “analyze, in the rate case, its actual costs of providing SSO generation service.”  </w:t>
      </w:r>
      <w:r w:rsidR="005F7FA2">
        <w:rPr>
          <w:rFonts w:ascii="Arial" w:hAnsi="Arial" w:eastAsia="Arial" w:cs="Arial"/>
          <w:i/>
          <w:iCs/>
          <w:sz w:val="24"/>
          <w:szCs w:val="24"/>
        </w:rPr>
        <w:t xml:space="preserve">ESP IV Order </w:t>
      </w:r>
      <w:r w:rsidR="009D34BC">
        <w:rPr>
          <w:rFonts w:ascii="Arial" w:hAnsi="Arial" w:eastAsia="Arial" w:cs="Arial"/>
          <w:sz w:val="24"/>
          <w:szCs w:val="24"/>
        </w:rPr>
        <w:t xml:space="preserve">at </w:t>
      </w:r>
      <w:r w:rsidRPr="00620581">
        <w:rPr>
          <w:rFonts w:ascii="Arial" w:hAnsi="Arial" w:eastAsia="Arial" w:cs="Arial"/>
          <w:sz w:val="24"/>
          <w:szCs w:val="24"/>
        </w:rPr>
        <w:t>¶ 215</w:t>
      </w:r>
      <w:r w:rsidR="005F7FA2">
        <w:rPr>
          <w:rFonts w:ascii="Arial" w:hAnsi="Arial" w:eastAsia="Arial" w:cs="Arial"/>
          <w:sz w:val="24"/>
          <w:szCs w:val="24"/>
        </w:rPr>
        <w:t>.</w:t>
      </w:r>
      <w:r w:rsidRPr="00620581" w:rsidR="00B3384F">
        <w:rPr>
          <w:rStyle w:val="FootnoteReference"/>
          <w:rFonts w:ascii="Arial" w:hAnsi="Arial" w:eastAsia="Arial" w:cs="Arial"/>
          <w:sz w:val="24"/>
          <w:szCs w:val="24"/>
        </w:rPr>
        <w:footnoteReference w:id="2"/>
      </w:r>
      <w:r>
        <w:rPr>
          <w:rFonts w:ascii="Arial" w:hAnsi="Arial" w:eastAsia="Arial" w:cs="Arial"/>
          <w:sz w:val="24"/>
          <w:szCs w:val="24"/>
        </w:rPr>
        <w:t xml:space="preserve">  </w:t>
      </w:r>
    </w:p>
    <w:p w:rsidR="00C073C1" w:rsidP="000E52BF" w:rsidRDefault="42267956" w14:paraId="154C0D66" w14:textId="424F9F0C">
      <w:pPr>
        <w:spacing w:after="0" w:line="480" w:lineRule="auto"/>
        <w:ind w:firstLine="720"/>
        <w:jc w:val="both"/>
        <w:rPr>
          <w:rFonts w:ascii="Arial" w:hAnsi="Arial" w:eastAsia="Arial" w:cs="Arial"/>
          <w:sz w:val="24"/>
          <w:szCs w:val="24"/>
        </w:rPr>
      </w:pPr>
      <w:r>
        <w:rPr>
          <w:rFonts w:ascii="Arial" w:hAnsi="Arial" w:eastAsia="Arial" w:cs="Arial"/>
          <w:sz w:val="24"/>
          <w:szCs w:val="24"/>
        </w:rPr>
        <w:t>In response to that order, Ohio Power submitted testimony and a schedule indicating that it</w:t>
      </w:r>
      <w:r w:rsidRPr="0827910D" w:rsidR="75919241">
        <w:rPr>
          <w:rFonts w:ascii="Arial" w:hAnsi="Arial" w:eastAsia="Arial" w:cs="Arial"/>
          <w:sz w:val="24"/>
          <w:szCs w:val="24"/>
        </w:rPr>
        <w:t>s proposed distribution rates contained</w:t>
      </w:r>
      <w:r>
        <w:rPr>
          <w:rFonts w:ascii="Arial" w:hAnsi="Arial" w:eastAsia="Arial" w:cs="Arial"/>
          <w:sz w:val="24"/>
          <w:szCs w:val="24"/>
        </w:rPr>
        <w:t xml:space="preserve"> </w:t>
      </w:r>
      <w:r w:rsidR="08D111EA">
        <w:rPr>
          <w:rFonts w:ascii="Arial" w:hAnsi="Arial" w:eastAsia="Arial" w:cs="Arial"/>
          <w:sz w:val="24"/>
          <w:szCs w:val="24"/>
        </w:rPr>
        <w:t xml:space="preserve">$4.7 million </w:t>
      </w:r>
      <w:r w:rsidR="20084DEC">
        <w:rPr>
          <w:rFonts w:ascii="Arial" w:hAnsi="Arial" w:eastAsia="Arial" w:cs="Arial"/>
          <w:sz w:val="24"/>
          <w:szCs w:val="24"/>
        </w:rPr>
        <w:t xml:space="preserve">of </w:t>
      </w:r>
      <w:r w:rsidR="08D111EA">
        <w:rPr>
          <w:rFonts w:ascii="Arial" w:hAnsi="Arial" w:eastAsia="Arial" w:cs="Arial"/>
          <w:sz w:val="24"/>
          <w:szCs w:val="24"/>
        </w:rPr>
        <w:t xml:space="preserve">direct costs that were specific to the provision of the standard service offer that are included in the cost of service used to set the </w:t>
      </w:r>
      <w:r w:rsidRPr="00102E4F" w:rsidR="008951DA">
        <w:rPr>
          <w:rFonts w:ascii="Arial" w:hAnsi="Arial" w:eastAsia="Arial" w:cs="Arial"/>
          <w:sz w:val="24"/>
          <w:szCs w:val="24"/>
        </w:rPr>
        <w:t xml:space="preserve">distribution </w:t>
      </w:r>
      <w:r w:rsidR="08D111EA">
        <w:rPr>
          <w:rFonts w:ascii="Arial" w:hAnsi="Arial" w:eastAsia="Arial" w:cs="Arial"/>
          <w:sz w:val="24"/>
          <w:szCs w:val="24"/>
        </w:rPr>
        <w:t xml:space="preserve">revenue requirement.  IGS </w:t>
      </w:r>
      <w:r w:rsidRPr="0827910D" w:rsidR="5AEF7451">
        <w:rPr>
          <w:rFonts w:ascii="Arial" w:hAnsi="Arial" w:eastAsia="Arial" w:cs="Arial"/>
          <w:sz w:val="24"/>
          <w:szCs w:val="24"/>
        </w:rPr>
        <w:t>Ex.</w:t>
      </w:r>
      <w:r w:rsidR="08D111EA">
        <w:rPr>
          <w:rFonts w:ascii="Arial" w:hAnsi="Arial" w:eastAsia="Arial" w:cs="Arial"/>
          <w:sz w:val="24"/>
          <w:szCs w:val="24"/>
        </w:rPr>
        <w:t xml:space="preserve"> 3 at 11-12</w:t>
      </w:r>
      <w:r w:rsidR="00102E4F">
        <w:rPr>
          <w:rFonts w:ascii="Arial" w:hAnsi="Arial" w:eastAsia="Arial" w:cs="Arial"/>
          <w:sz w:val="24"/>
          <w:szCs w:val="24"/>
        </w:rPr>
        <w:t>,</w:t>
      </w:r>
      <w:r w:rsidR="007E2C39">
        <w:rPr>
          <w:rFonts w:ascii="Arial" w:hAnsi="Arial" w:eastAsia="Arial" w:cs="Arial"/>
          <w:sz w:val="24"/>
          <w:szCs w:val="24"/>
        </w:rPr>
        <w:t xml:space="preserve"> </w:t>
      </w:r>
      <w:r w:rsidRPr="0827910D" w:rsidR="5AEF7451">
        <w:rPr>
          <w:rFonts w:ascii="Arial" w:hAnsi="Arial" w:eastAsia="Arial" w:cs="Arial"/>
          <w:sz w:val="24"/>
          <w:szCs w:val="24"/>
        </w:rPr>
        <w:t>Ex.</w:t>
      </w:r>
      <w:r w:rsidR="08D111EA">
        <w:rPr>
          <w:rFonts w:ascii="Arial" w:hAnsi="Arial" w:eastAsia="Arial" w:cs="Arial"/>
          <w:sz w:val="24"/>
          <w:szCs w:val="24"/>
        </w:rPr>
        <w:t xml:space="preserve"> DMR-2.</w:t>
      </w:r>
      <w:r w:rsidR="00B3384F">
        <w:rPr>
          <w:rStyle w:val="FootnoteReference"/>
          <w:rFonts w:ascii="Arial" w:hAnsi="Arial" w:eastAsia="Arial" w:cs="Arial"/>
          <w:sz w:val="24"/>
          <w:szCs w:val="24"/>
        </w:rPr>
        <w:footnoteReference w:id="3"/>
      </w:r>
      <w:r w:rsidR="08D111EA">
        <w:rPr>
          <w:rFonts w:ascii="Arial" w:hAnsi="Arial" w:eastAsia="Arial" w:cs="Arial"/>
          <w:sz w:val="24"/>
          <w:szCs w:val="24"/>
        </w:rPr>
        <w:t xml:space="preserve">  It also recognized that the distribution schedules included other “qualitative costs” for the call center, general plant, administrative and general expenses, and printing and postage, but Ohio Power did not provide an allocation </w:t>
      </w:r>
      <w:r w:rsidR="20084DEC">
        <w:rPr>
          <w:rFonts w:ascii="Arial" w:hAnsi="Arial" w:eastAsia="Arial" w:cs="Arial"/>
          <w:sz w:val="24"/>
          <w:szCs w:val="24"/>
        </w:rPr>
        <w:t xml:space="preserve">of </w:t>
      </w:r>
      <w:r w:rsidR="08D111EA">
        <w:rPr>
          <w:rFonts w:ascii="Arial" w:hAnsi="Arial" w:eastAsia="Arial" w:cs="Arial"/>
          <w:sz w:val="24"/>
          <w:szCs w:val="24"/>
        </w:rPr>
        <w:t xml:space="preserve">those costs to the standard service offer, apparently on the basis that these costs supported both shopping and </w:t>
      </w:r>
      <w:proofErr w:type="spellStart"/>
      <w:r w:rsidR="08D111EA">
        <w:rPr>
          <w:rFonts w:ascii="Arial" w:hAnsi="Arial" w:eastAsia="Arial" w:cs="Arial"/>
          <w:sz w:val="24"/>
          <w:szCs w:val="24"/>
        </w:rPr>
        <w:t>nonshopping</w:t>
      </w:r>
      <w:proofErr w:type="spellEnd"/>
      <w:r w:rsidR="08D111EA">
        <w:rPr>
          <w:rFonts w:ascii="Arial" w:hAnsi="Arial" w:eastAsia="Arial" w:cs="Arial"/>
          <w:sz w:val="24"/>
          <w:szCs w:val="24"/>
        </w:rPr>
        <w:t xml:space="preserve"> customers.  </w:t>
      </w:r>
      <w:r w:rsidRPr="00A028D6">
        <w:rPr>
          <w:rFonts w:ascii="Arial" w:hAnsi="Arial" w:eastAsia="Arial" w:cs="Arial"/>
          <w:i/>
          <w:iCs/>
          <w:sz w:val="24"/>
          <w:szCs w:val="24"/>
        </w:rPr>
        <w:t>Id</w:t>
      </w:r>
      <w:r w:rsidR="000010A5">
        <w:rPr>
          <w:rFonts w:ascii="Arial" w:hAnsi="Arial" w:eastAsia="Arial" w:cs="Arial"/>
          <w:sz w:val="24"/>
          <w:szCs w:val="24"/>
        </w:rPr>
        <w:t>.</w:t>
      </w:r>
      <w:r w:rsidR="08D111EA">
        <w:rPr>
          <w:rFonts w:ascii="Arial" w:hAnsi="Arial" w:eastAsia="Arial" w:cs="Arial"/>
          <w:sz w:val="24"/>
          <w:szCs w:val="24"/>
        </w:rPr>
        <w:t xml:space="preserve">  </w:t>
      </w:r>
    </w:p>
    <w:p w:rsidR="000F5066" w:rsidP="000E52BF" w:rsidRDefault="5E705BAC" w14:paraId="13EFB9F1" w14:textId="3F81465E">
      <w:pPr>
        <w:spacing w:after="0" w:line="480" w:lineRule="auto"/>
        <w:ind w:firstLine="720"/>
        <w:jc w:val="both"/>
        <w:rPr>
          <w:rFonts w:ascii="Arial" w:hAnsi="Arial" w:eastAsia="Arial" w:cs="Arial"/>
          <w:sz w:val="24"/>
          <w:szCs w:val="24"/>
        </w:rPr>
      </w:pPr>
      <w:r w:rsidRPr="2437B949">
        <w:rPr>
          <w:rFonts w:ascii="Arial" w:hAnsi="Arial" w:eastAsia="Arial" w:cs="Arial"/>
          <w:sz w:val="24"/>
          <w:szCs w:val="24"/>
        </w:rPr>
        <w:lastRenderedPageBreak/>
        <w:t>The Staff’s investigation of Ohio Power’s attempt</w:t>
      </w:r>
      <w:r w:rsidRPr="2437B949" w:rsidR="1BB4D27E">
        <w:rPr>
          <w:rFonts w:ascii="Arial" w:hAnsi="Arial" w:eastAsia="Arial" w:cs="Arial"/>
          <w:sz w:val="24"/>
          <w:szCs w:val="24"/>
        </w:rPr>
        <w:t xml:space="preserve"> </w:t>
      </w:r>
      <w:r w:rsidRPr="2437B949">
        <w:rPr>
          <w:rFonts w:ascii="Arial" w:hAnsi="Arial" w:eastAsia="Arial" w:cs="Arial"/>
          <w:sz w:val="24"/>
          <w:szCs w:val="24"/>
        </w:rPr>
        <w:t xml:space="preserve">to </w:t>
      </w:r>
      <w:r w:rsidRPr="2437B949" w:rsidR="06714D79">
        <w:rPr>
          <w:rFonts w:ascii="Arial" w:hAnsi="Arial" w:eastAsia="Arial" w:cs="Arial"/>
          <w:sz w:val="24"/>
          <w:szCs w:val="24"/>
        </w:rPr>
        <w:t>analyze</w:t>
      </w:r>
      <w:r w:rsidRPr="2437B949">
        <w:rPr>
          <w:rFonts w:ascii="Arial" w:hAnsi="Arial" w:eastAsia="Arial" w:cs="Arial"/>
          <w:sz w:val="24"/>
          <w:szCs w:val="24"/>
        </w:rPr>
        <w:t xml:space="preserve"> the costs of providing the standard service offer </w:t>
      </w:r>
      <w:r w:rsidRPr="2437B949" w:rsidR="281E4462">
        <w:rPr>
          <w:rFonts w:ascii="Arial" w:hAnsi="Arial" w:eastAsia="Arial" w:cs="Arial"/>
          <w:sz w:val="24"/>
          <w:szCs w:val="24"/>
        </w:rPr>
        <w:t xml:space="preserve">proposed for </w:t>
      </w:r>
      <w:r w:rsidRPr="2437B949">
        <w:rPr>
          <w:rFonts w:ascii="Arial" w:hAnsi="Arial" w:eastAsia="Arial" w:cs="Arial"/>
          <w:sz w:val="24"/>
          <w:szCs w:val="24"/>
        </w:rPr>
        <w:t>collect</w:t>
      </w:r>
      <w:r w:rsidRPr="2437B949" w:rsidR="6DF3CEA6">
        <w:rPr>
          <w:rFonts w:ascii="Arial" w:hAnsi="Arial" w:eastAsia="Arial" w:cs="Arial"/>
          <w:sz w:val="24"/>
          <w:szCs w:val="24"/>
        </w:rPr>
        <w:t>ion</w:t>
      </w:r>
      <w:r w:rsidRPr="2437B949">
        <w:rPr>
          <w:rFonts w:ascii="Arial" w:hAnsi="Arial" w:eastAsia="Arial" w:cs="Arial"/>
          <w:sz w:val="24"/>
          <w:szCs w:val="24"/>
        </w:rPr>
        <w:t xml:space="preserve"> in distribution rates consisted of three data requests,</w:t>
      </w:r>
      <w:r w:rsidR="00620581">
        <w:rPr>
          <w:rFonts w:ascii="Arial" w:hAnsi="Arial" w:eastAsia="Arial" w:cs="Arial"/>
          <w:sz w:val="24"/>
          <w:szCs w:val="24"/>
        </w:rPr>
        <w:t xml:space="preserve"> </w:t>
      </w:r>
      <w:r w:rsidRPr="2437B949">
        <w:rPr>
          <w:rFonts w:ascii="Arial" w:hAnsi="Arial" w:eastAsia="Arial" w:cs="Arial"/>
          <w:sz w:val="24"/>
          <w:szCs w:val="24"/>
        </w:rPr>
        <w:t xml:space="preserve">IGS </w:t>
      </w:r>
      <w:r w:rsidRPr="00CD19C2" w:rsidR="5AEF7451">
        <w:rPr>
          <w:rFonts w:ascii="Arial" w:hAnsi="Arial" w:eastAsia="Arial" w:cs="Arial"/>
          <w:sz w:val="24"/>
          <w:szCs w:val="24"/>
        </w:rPr>
        <w:t>Ex</w:t>
      </w:r>
      <w:r w:rsidR="007E2C39">
        <w:rPr>
          <w:rFonts w:ascii="Arial" w:hAnsi="Arial" w:eastAsia="Arial" w:cs="Arial"/>
          <w:sz w:val="24"/>
          <w:szCs w:val="24"/>
        </w:rPr>
        <w:t>.</w:t>
      </w:r>
      <w:r w:rsidRPr="2437B949" w:rsidR="6CAA1A59">
        <w:rPr>
          <w:rFonts w:ascii="Arial" w:hAnsi="Arial" w:eastAsia="Arial" w:cs="Arial"/>
          <w:sz w:val="24"/>
          <w:szCs w:val="24"/>
        </w:rPr>
        <w:t xml:space="preserve"> 13, 14, and 15.  The investigation confirmed two things.  First, Ohio Power </w:t>
      </w:r>
      <w:r w:rsidRPr="2437B949" w:rsidR="78488FFE">
        <w:rPr>
          <w:rFonts w:ascii="Arial" w:hAnsi="Arial" w:eastAsia="Arial" w:cs="Arial"/>
          <w:sz w:val="24"/>
          <w:szCs w:val="24"/>
        </w:rPr>
        <w:t xml:space="preserve">proposed to </w:t>
      </w:r>
      <w:r w:rsidRPr="2437B949" w:rsidR="6CAA1A59">
        <w:rPr>
          <w:rFonts w:ascii="Arial" w:hAnsi="Arial" w:eastAsia="Arial" w:cs="Arial"/>
          <w:sz w:val="24"/>
          <w:szCs w:val="24"/>
        </w:rPr>
        <w:t>collec</w:t>
      </w:r>
      <w:r w:rsidRPr="2437B949" w:rsidR="6FF6CDB0">
        <w:rPr>
          <w:rFonts w:ascii="Arial" w:hAnsi="Arial" w:eastAsia="Arial" w:cs="Arial"/>
          <w:sz w:val="24"/>
          <w:szCs w:val="24"/>
        </w:rPr>
        <w:t xml:space="preserve">t </w:t>
      </w:r>
      <w:r w:rsidRPr="2437B949" w:rsidR="6CAA1A59">
        <w:rPr>
          <w:rFonts w:ascii="Arial" w:hAnsi="Arial" w:eastAsia="Arial" w:cs="Arial"/>
          <w:sz w:val="24"/>
          <w:szCs w:val="24"/>
        </w:rPr>
        <w:t xml:space="preserve">costs associated with the provision of the standard service offer in distribution rates.  IGS </w:t>
      </w:r>
      <w:r w:rsidRPr="5D119DC4" w:rsidR="5AEF7451">
        <w:rPr>
          <w:rFonts w:ascii="Arial" w:hAnsi="Arial" w:eastAsia="Arial" w:cs="Arial"/>
          <w:sz w:val="24"/>
          <w:szCs w:val="24"/>
        </w:rPr>
        <w:t>Ex.</w:t>
      </w:r>
      <w:r w:rsidRPr="2437B949" w:rsidR="6CAA1A59">
        <w:rPr>
          <w:rFonts w:ascii="Arial" w:hAnsi="Arial" w:eastAsia="Arial" w:cs="Arial"/>
          <w:sz w:val="24"/>
          <w:szCs w:val="24"/>
        </w:rPr>
        <w:t xml:space="preserve"> 1</w:t>
      </w:r>
      <w:r w:rsidRPr="2437B949" w:rsidR="06714D79">
        <w:rPr>
          <w:rFonts w:ascii="Arial" w:hAnsi="Arial" w:eastAsia="Arial" w:cs="Arial"/>
          <w:sz w:val="24"/>
          <w:szCs w:val="24"/>
        </w:rPr>
        <w:t>3</w:t>
      </w:r>
      <w:r w:rsidRPr="2437B949" w:rsidR="6CAA1A59">
        <w:rPr>
          <w:rFonts w:ascii="Arial" w:hAnsi="Arial" w:eastAsia="Arial" w:cs="Arial"/>
          <w:sz w:val="24"/>
          <w:szCs w:val="24"/>
        </w:rPr>
        <w:t xml:space="preserve">.  Second, Ohio Power had identified </w:t>
      </w:r>
      <w:r w:rsidRPr="006B3C4D" w:rsidR="00AA6513">
        <w:rPr>
          <w:rFonts w:ascii="Arial" w:hAnsi="Arial" w:eastAsia="Arial" w:cs="Arial"/>
          <w:sz w:val="24"/>
          <w:szCs w:val="24"/>
        </w:rPr>
        <w:t>other allocable</w:t>
      </w:r>
      <w:r w:rsidRPr="2437B949" w:rsidR="6CAA1A59">
        <w:rPr>
          <w:rFonts w:ascii="Arial" w:hAnsi="Arial" w:eastAsia="Arial" w:cs="Arial"/>
          <w:sz w:val="24"/>
          <w:szCs w:val="24"/>
        </w:rPr>
        <w:t xml:space="preserve"> costs associated with the provision of the standard service offer, but was not and would not attempt to allocate other costs to the standard service offer or customer choice that were identified as being recovered in distribution rates.  IGS </w:t>
      </w:r>
      <w:r w:rsidRPr="5D119DC4" w:rsidR="5AEF7451">
        <w:rPr>
          <w:rFonts w:ascii="Arial" w:hAnsi="Arial" w:eastAsia="Arial" w:cs="Arial"/>
          <w:sz w:val="24"/>
          <w:szCs w:val="24"/>
        </w:rPr>
        <w:t>Ex.</w:t>
      </w:r>
      <w:r w:rsidRPr="2437B949" w:rsidR="6CAA1A59">
        <w:rPr>
          <w:rFonts w:ascii="Arial" w:hAnsi="Arial" w:eastAsia="Arial" w:cs="Arial"/>
          <w:sz w:val="24"/>
          <w:szCs w:val="24"/>
        </w:rPr>
        <w:t xml:space="preserve"> </w:t>
      </w:r>
      <w:r w:rsidRPr="006B3C4D" w:rsidR="6CAA1A59">
        <w:rPr>
          <w:rFonts w:ascii="Arial" w:hAnsi="Arial" w:eastAsia="Arial" w:cs="Arial"/>
          <w:sz w:val="24"/>
          <w:szCs w:val="24"/>
        </w:rPr>
        <w:t xml:space="preserve">14, </w:t>
      </w:r>
      <w:r w:rsidRPr="006B3C4D" w:rsidR="008E2AC8">
        <w:rPr>
          <w:rFonts w:ascii="Arial" w:hAnsi="Arial" w:eastAsia="Arial" w:cs="Arial"/>
          <w:sz w:val="24"/>
          <w:szCs w:val="24"/>
        </w:rPr>
        <w:t>R</w:t>
      </w:r>
      <w:r w:rsidRPr="006B3C4D" w:rsidR="6CAA1A59">
        <w:rPr>
          <w:rFonts w:ascii="Arial" w:hAnsi="Arial" w:eastAsia="Arial" w:cs="Arial"/>
          <w:sz w:val="24"/>
          <w:szCs w:val="24"/>
        </w:rPr>
        <w:t>esponses</w:t>
      </w:r>
      <w:r w:rsidRPr="2437B949" w:rsidR="6CAA1A59">
        <w:rPr>
          <w:rFonts w:ascii="Arial" w:hAnsi="Arial" w:eastAsia="Arial" w:cs="Arial"/>
          <w:sz w:val="24"/>
          <w:szCs w:val="24"/>
        </w:rPr>
        <w:t xml:space="preserve"> to A and B.  There was no follow</w:t>
      </w:r>
      <w:r w:rsidRPr="2437B949" w:rsidR="780E0EF9">
        <w:rPr>
          <w:rFonts w:ascii="Arial" w:hAnsi="Arial" w:eastAsia="Arial" w:cs="Arial"/>
          <w:sz w:val="24"/>
          <w:szCs w:val="24"/>
        </w:rPr>
        <w:t>-</w:t>
      </w:r>
      <w:r w:rsidRPr="2437B949" w:rsidR="6CAA1A59">
        <w:rPr>
          <w:rFonts w:ascii="Arial" w:hAnsi="Arial" w:eastAsia="Arial" w:cs="Arial"/>
          <w:sz w:val="24"/>
          <w:szCs w:val="24"/>
        </w:rPr>
        <w:t xml:space="preserve">up of the nonresponsive </w:t>
      </w:r>
      <w:r w:rsidRPr="2437B949" w:rsidR="2357B129">
        <w:rPr>
          <w:rFonts w:ascii="Arial" w:hAnsi="Arial" w:eastAsia="Arial" w:cs="Arial"/>
          <w:sz w:val="24"/>
          <w:szCs w:val="24"/>
        </w:rPr>
        <w:t>response,</w:t>
      </w:r>
      <w:r w:rsidRPr="2437B949" w:rsidR="06714D79">
        <w:rPr>
          <w:rFonts w:ascii="Arial" w:hAnsi="Arial" w:eastAsia="Arial" w:cs="Arial"/>
          <w:sz w:val="24"/>
          <w:szCs w:val="24"/>
        </w:rPr>
        <w:t xml:space="preserve"> and the Staff did not conduct its own analysis of the costs embedded in proposed distribution rates that supported the standard service offer</w:t>
      </w:r>
      <w:r w:rsidRPr="2437B949" w:rsidR="6CAA1A59">
        <w:rPr>
          <w:rFonts w:ascii="Arial" w:hAnsi="Arial" w:eastAsia="Arial" w:cs="Arial"/>
          <w:sz w:val="24"/>
          <w:szCs w:val="24"/>
        </w:rPr>
        <w:t xml:space="preserve">.  </w:t>
      </w:r>
      <w:r w:rsidRPr="2437B949" w:rsidR="06714D79">
        <w:rPr>
          <w:rFonts w:ascii="Arial" w:hAnsi="Arial" w:eastAsia="Arial" w:cs="Arial"/>
          <w:sz w:val="24"/>
          <w:szCs w:val="24"/>
        </w:rPr>
        <w:t xml:space="preserve">Tr. at 362.  </w:t>
      </w:r>
    </w:p>
    <w:p w:rsidR="000F5066" w:rsidP="000E52BF" w:rsidRDefault="000F5066" w14:paraId="642171C6" w14:textId="4CD8436C">
      <w:pPr>
        <w:spacing w:after="0" w:line="480" w:lineRule="auto"/>
        <w:ind w:firstLine="720"/>
        <w:jc w:val="both"/>
        <w:rPr>
          <w:rFonts w:ascii="Arial" w:hAnsi="Arial" w:eastAsia="Arial" w:cs="Arial"/>
          <w:sz w:val="24"/>
          <w:szCs w:val="24"/>
        </w:rPr>
      </w:pPr>
      <w:r w:rsidRPr="6CC8EB8A">
        <w:rPr>
          <w:rFonts w:ascii="Arial" w:hAnsi="Arial" w:eastAsia="Arial" w:cs="Arial"/>
          <w:sz w:val="24"/>
          <w:szCs w:val="24"/>
        </w:rPr>
        <w:t xml:space="preserve">In the Staff Report, Staff concluded that Ohio Power’s response to the Commission’s order to analyze the </w:t>
      </w:r>
      <w:r w:rsidRPr="6CC8EB8A" w:rsidR="00DB5AC8">
        <w:rPr>
          <w:rFonts w:ascii="Arial" w:hAnsi="Arial" w:eastAsia="Arial" w:cs="Arial"/>
          <w:sz w:val="24"/>
          <w:szCs w:val="24"/>
        </w:rPr>
        <w:t>cost</w:t>
      </w:r>
      <w:r w:rsidRPr="6CC8EB8A" w:rsidR="00710384">
        <w:rPr>
          <w:rFonts w:ascii="Arial" w:hAnsi="Arial" w:eastAsia="Arial" w:cs="Arial"/>
          <w:sz w:val="24"/>
          <w:szCs w:val="24"/>
        </w:rPr>
        <w:t>s</w:t>
      </w:r>
      <w:r w:rsidRPr="6CC8EB8A" w:rsidR="00DB5AC8">
        <w:rPr>
          <w:rFonts w:ascii="Arial" w:hAnsi="Arial" w:eastAsia="Arial" w:cs="Arial"/>
          <w:sz w:val="24"/>
          <w:szCs w:val="24"/>
        </w:rPr>
        <w:t xml:space="preserve"> to provide the standard service offer embedded in distribution rates was incomplete: “The Company did not examine all cost causation factors.”  Staff </w:t>
      </w:r>
      <w:r w:rsidRPr="5D119DC4" w:rsidR="5AEF7451">
        <w:rPr>
          <w:rFonts w:ascii="Arial" w:hAnsi="Arial" w:eastAsia="Arial" w:cs="Arial"/>
          <w:sz w:val="24"/>
          <w:szCs w:val="24"/>
        </w:rPr>
        <w:t>Ex.</w:t>
      </w:r>
      <w:r w:rsidRPr="6CC8EB8A" w:rsidR="00FE4944">
        <w:rPr>
          <w:rFonts w:ascii="Arial" w:hAnsi="Arial" w:eastAsia="Arial" w:cs="Arial"/>
          <w:sz w:val="24"/>
          <w:szCs w:val="24"/>
        </w:rPr>
        <w:t xml:space="preserve"> 1</w:t>
      </w:r>
      <w:r w:rsidRPr="6CC8EB8A" w:rsidR="00DB5AC8">
        <w:rPr>
          <w:rFonts w:ascii="Arial" w:hAnsi="Arial" w:eastAsia="Arial" w:cs="Arial"/>
          <w:sz w:val="24"/>
          <w:szCs w:val="24"/>
        </w:rPr>
        <w:t xml:space="preserve"> at 31.  Because Ohio Power had not done what it was ordered to do, the Staff “could not determine if or how cost</w:t>
      </w:r>
      <w:r w:rsidRPr="6CC8EB8A" w:rsidR="00D37C5D">
        <w:rPr>
          <w:rFonts w:ascii="Arial" w:hAnsi="Arial" w:eastAsia="Arial" w:cs="Arial"/>
          <w:sz w:val="24"/>
          <w:szCs w:val="24"/>
        </w:rPr>
        <w:t>s</w:t>
      </w:r>
      <w:r w:rsidRPr="6CC8EB8A" w:rsidR="00DB5AC8">
        <w:rPr>
          <w:rFonts w:ascii="Arial" w:hAnsi="Arial" w:eastAsia="Arial" w:cs="Arial"/>
          <w:sz w:val="24"/>
          <w:szCs w:val="24"/>
        </w:rPr>
        <w:t xml:space="preserve"> s</w:t>
      </w:r>
      <w:r w:rsidRPr="6CC8EB8A" w:rsidR="00B3384F">
        <w:rPr>
          <w:rFonts w:ascii="Arial" w:hAnsi="Arial" w:eastAsia="Arial" w:cs="Arial"/>
          <w:sz w:val="24"/>
          <w:szCs w:val="24"/>
        </w:rPr>
        <w:t>h</w:t>
      </w:r>
      <w:r w:rsidRPr="6CC8EB8A" w:rsidR="00DB5AC8">
        <w:rPr>
          <w:rFonts w:ascii="Arial" w:hAnsi="Arial" w:eastAsia="Arial" w:cs="Arial"/>
          <w:sz w:val="24"/>
          <w:szCs w:val="24"/>
        </w:rPr>
        <w:t>ou</w:t>
      </w:r>
      <w:r w:rsidRPr="6CC8EB8A" w:rsidR="00B3384F">
        <w:rPr>
          <w:rFonts w:ascii="Arial" w:hAnsi="Arial" w:eastAsia="Arial" w:cs="Arial"/>
          <w:sz w:val="24"/>
          <w:szCs w:val="24"/>
        </w:rPr>
        <w:t>l</w:t>
      </w:r>
      <w:r w:rsidRPr="6CC8EB8A" w:rsidR="00DB5AC8">
        <w:rPr>
          <w:rFonts w:ascii="Arial" w:hAnsi="Arial" w:eastAsia="Arial" w:cs="Arial"/>
          <w:sz w:val="24"/>
          <w:szCs w:val="24"/>
        </w:rPr>
        <w:t xml:space="preserve">d be allocated between shopping and non-shopping customers.” </w:t>
      </w:r>
      <w:r w:rsidRPr="6CC8EB8A" w:rsidR="0169B269">
        <w:rPr>
          <w:rFonts w:ascii="Arial" w:hAnsi="Arial" w:eastAsia="Arial" w:cs="Arial"/>
          <w:i/>
          <w:iCs/>
          <w:sz w:val="24"/>
          <w:szCs w:val="24"/>
        </w:rPr>
        <w:t>Id.</w:t>
      </w:r>
      <w:r w:rsidRPr="00A028D6" w:rsidR="00DB5AC8">
        <w:rPr>
          <w:rFonts w:ascii="Arial" w:hAnsi="Arial" w:eastAsia="Arial" w:cs="Arial"/>
          <w:i/>
          <w:iCs/>
          <w:sz w:val="24"/>
          <w:szCs w:val="24"/>
        </w:rPr>
        <w:t xml:space="preserve"> </w:t>
      </w:r>
      <w:r w:rsidRPr="6CC8EB8A" w:rsidR="00DB5AC8">
        <w:rPr>
          <w:rFonts w:ascii="Arial" w:hAnsi="Arial" w:eastAsia="Arial" w:cs="Arial"/>
          <w:sz w:val="24"/>
          <w:szCs w:val="24"/>
        </w:rPr>
        <w:t xml:space="preserve">  </w:t>
      </w:r>
      <w:r w:rsidRPr="6CC8EB8A" w:rsidR="00B3384F">
        <w:rPr>
          <w:rFonts w:ascii="Arial" w:hAnsi="Arial" w:eastAsia="Arial" w:cs="Arial"/>
          <w:sz w:val="24"/>
          <w:szCs w:val="24"/>
        </w:rPr>
        <w:t xml:space="preserve">Rather than complete the investigation </w:t>
      </w:r>
      <w:r w:rsidRPr="6CC8EB8A" w:rsidR="00D37C5D">
        <w:rPr>
          <w:rFonts w:ascii="Arial" w:hAnsi="Arial" w:eastAsia="Arial" w:cs="Arial"/>
          <w:sz w:val="24"/>
          <w:szCs w:val="24"/>
        </w:rPr>
        <w:t>required by Ohio law under 4909.19</w:t>
      </w:r>
      <w:r w:rsidRPr="6CC8EB8A" w:rsidR="00DB5AC8">
        <w:rPr>
          <w:rFonts w:ascii="Arial" w:hAnsi="Arial" w:eastAsia="Arial" w:cs="Arial"/>
          <w:sz w:val="24"/>
          <w:szCs w:val="24"/>
        </w:rPr>
        <w:t xml:space="preserve">, the Staff </w:t>
      </w:r>
      <w:r w:rsidRPr="6CC8EB8A" w:rsidR="00B3384F">
        <w:rPr>
          <w:rFonts w:ascii="Arial" w:hAnsi="Arial" w:eastAsia="Arial" w:cs="Arial"/>
          <w:sz w:val="24"/>
          <w:szCs w:val="24"/>
        </w:rPr>
        <w:t xml:space="preserve">chose instead </w:t>
      </w:r>
      <w:r w:rsidRPr="6CC8EB8A" w:rsidR="00FE4944">
        <w:rPr>
          <w:rFonts w:ascii="Arial" w:hAnsi="Arial" w:eastAsia="Arial" w:cs="Arial"/>
          <w:sz w:val="24"/>
          <w:szCs w:val="24"/>
        </w:rPr>
        <w:t>to recommend that no rate be approved</w:t>
      </w:r>
      <w:r w:rsidRPr="6CC8EB8A" w:rsidR="00DB5AC8">
        <w:rPr>
          <w:rFonts w:ascii="Arial" w:hAnsi="Arial" w:eastAsia="Arial" w:cs="Arial"/>
          <w:sz w:val="24"/>
          <w:szCs w:val="24"/>
        </w:rPr>
        <w:t xml:space="preserve">. </w:t>
      </w:r>
      <w:r w:rsidRPr="6CC8EB8A" w:rsidR="00FE4944">
        <w:rPr>
          <w:rFonts w:ascii="Arial" w:hAnsi="Arial" w:eastAsia="Arial" w:cs="Arial"/>
          <w:sz w:val="24"/>
          <w:szCs w:val="24"/>
        </w:rPr>
        <w:t xml:space="preserve"> </w:t>
      </w:r>
      <w:r w:rsidRPr="00A028D6" w:rsidR="00FE4944">
        <w:rPr>
          <w:rFonts w:ascii="Arial" w:hAnsi="Arial" w:eastAsia="Arial" w:cs="Arial"/>
          <w:i/>
          <w:iCs/>
          <w:sz w:val="24"/>
          <w:szCs w:val="24"/>
        </w:rPr>
        <w:t>Id</w:t>
      </w:r>
      <w:r w:rsidRPr="6CC8EB8A" w:rsidR="00FE4944">
        <w:rPr>
          <w:rFonts w:ascii="Arial" w:hAnsi="Arial" w:eastAsia="Arial" w:cs="Arial"/>
          <w:sz w:val="24"/>
          <w:szCs w:val="24"/>
        </w:rPr>
        <w:t xml:space="preserve">. </w:t>
      </w:r>
      <w:r w:rsidRPr="6CC8EB8A" w:rsidR="00DB5AC8">
        <w:rPr>
          <w:rFonts w:ascii="Arial" w:hAnsi="Arial" w:eastAsia="Arial" w:cs="Arial"/>
          <w:sz w:val="24"/>
          <w:szCs w:val="24"/>
        </w:rPr>
        <w:t xml:space="preserve"> </w:t>
      </w:r>
      <w:r w:rsidRPr="6CC8EB8A" w:rsidR="00B3384F">
        <w:rPr>
          <w:rFonts w:ascii="Arial" w:hAnsi="Arial" w:eastAsia="Arial" w:cs="Arial"/>
          <w:sz w:val="24"/>
          <w:szCs w:val="24"/>
        </w:rPr>
        <w:t>Additionally</w:t>
      </w:r>
      <w:r w:rsidRPr="6CC8EB8A" w:rsidR="0A089B4D">
        <w:rPr>
          <w:rFonts w:ascii="Arial" w:hAnsi="Arial" w:eastAsia="Arial" w:cs="Arial"/>
          <w:sz w:val="24"/>
          <w:szCs w:val="24"/>
        </w:rPr>
        <w:t>,</w:t>
      </w:r>
      <w:r w:rsidRPr="6CC8EB8A" w:rsidR="00B3384F">
        <w:rPr>
          <w:rFonts w:ascii="Arial" w:hAnsi="Arial" w:eastAsia="Arial" w:cs="Arial"/>
          <w:sz w:val="24"/>
          <w:szCs w:val="24"/>
        </w:rPr>
        <w:t xml:space="preserve"> and f</w:t>
      </w:r>
      <w:r w:rsidRPr="6CC8EB8A" w:rsidR="00DB5AC8">
        <w:rPr>
          <w:rFonts w:ascii="Arial" w:hAnsi="Arial" w:eastAsia="Arial" w:cs="Arial"/>
          <w:sz w:val="24"/>
          <w:szCs w:val="24"/>
        </w:rPr>
        <w:t xml:space="preserve">or reasons that became clearer at hearing, the Staff also “maintain[ed] </w:t>
      </w:r>
      <w:bookmarkStart w:name="_Hlk72931088" w:id="16"/>
      <w:r w:rsidRPr="6CC8EB8A" w:rsidR="00DB5AC8">
        <w:rPr>
          <w:rFonts w:ascii="Arial" w:hAnsi="Arial" w:eastAsia="Arial" w:cs="Arial"/>
          <w:sz w:val="24"/>
          <w:szCs w:val="24"/>
        </w:rPr>
        <w:t xml:space="preserve">that SSO is a default service, available to all customers and required by electric distribution companies to provide.” </w:t>
      </w:r>
      <w:r w:rsidRPr="00A028D6" w:rsidR="00DB5AC8">
        <w:rPr>
          <w:rFonts w:ascii="Arial" w:hAnsi="Arial" w:eastAsia="Arial" w:cs="Arial"/>
          <w:i/>
          <w:iCs/>
          <w:sz w:val="24"/>
          <w:szCs w:val="24"/>
        </w:rPr>
        <w:t xml:space="preserve"> </w:t>
      </w:r>
      <w:bookmarkEnd w:id="16"/>
      <w:r w:rsidRPr="00A028D6" w:rsidR="00DB5AC8">
        <w:rPr>
          <w:rFonts w:ascii="Arial" w:hAnsi="Arial" w:eastAsia="Arial" w:cs="Arial"/>
          <w:i/>
          <w:iCs/>
          <w:sz w:val="24"/>
          <w:szCs w:val="24"/>
        </w:rPr>
        <w:t>Id.</w:t>
      </w:r>
      <w:r w:rsidRPr="6CC8EB8A" w:rsidR="00DB5AC8">
        <w:rPr>
          <w:rFonts w:ascii="Arial" w:hAnsi="Arial" w:eastAsia="Arial" w:cs="Arial"/>
          <w:sz w:val="24"/>
          <w:szCs w:val="24"/>
        </w:rPr>
        <w:t xml:space="preserve">  </w:t>
      </w:r>
    </w:p>
    <w:p w:rsidR="00DB5AC8" w:rsidP="000E52BF" w:rsidRDefault="76CB8BF1" w14:paraId="6D628838" w14:textId="41AE19A2">
      <w:pPr>
        <w:spacing w:after="0" w:line="480" w:lineRule="auto"/>
        <w:ind w:firstLine="720"/>
        <w:jc w:val="both"/>
        <w:rPr>
          <w:rFonts w:ascii="Arial" w:hAnsi="Arial" w:eastAsia="Arial" w:cs="Arial"/>
          <w:sz w:val="24"/>
          <w:szCs w:val="24"/>
        </w:rPr>
      </w:pPr>
      <w:r w:rsidRPr="2867BA7E">
        <w:rPr>
          <w:rFonts w:ascii="Arial" w:hAnsi="Arial" w:eastAsia="Arial" w:cs="Arial"/>
          <w:sz w:val="24"/>
          <w:szCs w:val="24"/>
        </w:rPr>
        <w:t xml:space="preserve">IGS filed objections to the failure of the Staff Report to recommend that the Retail Reconciliation Rider and the SSO Credit Rider be populated </w:t>
      </w:r>
      <w:r w:rsidRPr="2867BA7E" w:rsidR="3650B383">
        <w:rPr>
          <w:rFonts w:ascii="Arial" w:hAnsi="Arial" w:eastAsia="Arial" w:cs="Arial"/>
          <w:sz w:val="24"/>
          <w:szCs w:val="24"/>
        </w:rPr>
        <w:t>so that</w:t>
      </w:r>
      <w:r w:rsidRPr="2867BA7E">
        <w:rPr>
          <w:rFonts w:ascii="Arial" w:hAnsi="Arial" w:eastAsia="Arial" w:cs="Arial"/>
          <w:sz w:val="24"/>
          <w:szCs w:val="24"/>
        </w:rPr>
        <w:t xml:space="preserve"> the cost of providing </w:t>
      </w:r>
      <w:r w:rsidRPr="2867BA7E">
        <w:rPr>
          <w:rFonts w:ascii="Arial" w:hAnsi="Arial" w:eastAsia="Arial" w:cs="Arial"/>
          <w:sz w:val="24"/>
          <w:szCs w:val="24"/>
        </w:rPr>
        <w:lastRenderedPageBreak/>
        <w:t xml:space="preserve">the standard service offer </w:t>
      </w:r>
      <w:r w:rsidRPr="2867BA7E" w:rsidR="3650B383">
        <w:rPr>
          <w:rFonts w:ascii="Arial" w:hAnsi="Arial" w:eastAsia="Arial" w:cs="Arial"/>
          <w:sz w:val="24"/>
          <w:szCs w:val="24"/>
        </w:rPr>
        <w:t>was charged to the customers receiving that service</w:t>
      </w:r>
      <w:r w:rsidRPr="2867BA7E">
        <w:rPr>
          <w:rFonts w:ascii="Arial" w:hAnsi="Arial" w:eastAsia="Arial" w:cs="Arial"/>
          <w:sz w:val="24"/>
          <w:szCs w:val="24"/>
        </w:rPr>
        <w:t xml:space="preserve">.  </w:t>
      </w:r>
      <w:r w:rsidR="00120893">
        <w:rPr>
          <w:rFonts w:ascii="Arial" w:hAnsi="Arial" w:eastAsia="Arial" w:cs="Arial"/>
          <w:sz w:val="24"/>
          <w:szCs w:val="24"/>
        </w:rPr>
        <w:t xml:space="preserve">IGS </w:t>
      </w:r>
      <w:r w:rsidRPr="2867BA7E" w:rsidR="11F6D076">
        <w:rPr>
          <w:rFonts w:ascii="Arial" w:hAnsi="Arial" w:eastAsia="Arial" w:cs="Arial"/>
          <w:sz w:val="24"/>
          <w:szCs w:val="24"/>
        </w:rPr>
        <w:t>Objections to Staff Report</w:t>
      </w:r>
      <w:r w:rsidR="004C5E85">
        <w:rPr>
          <w:rFonts w:ascii="Arial" w:hAnsi="Arial" w:eastAsia="Arial" w:cs="Arial"/>
          <w:sz w:val="24"/>
          <w:szCs w:val="24"/>
        </w:rPr>
        <w:t>,</w:t>
      </w:r>
      <w:r w:rsidRPr="2867BA7E" w:rsidR="11F6D076">
        <w:rPr>
          <w:rFonts w:ascii="Arial" w:hAnsi="Arial" w:eastAsia="Arial" w:cs="Arial"/>
          <w:sz w:val="24"/>
          <w:szCs w:val="24"/>
        </w:rPr>
        <w:t xml:space="preserve"> Objections A, B, and C</w:t>
      </w:r>
      <w:r w:rsidR="004C5E85">
        <w:rPr>
          <w:rFonts w:ascii="Arial" w:hAnsi="Arial" w:eastAsia="Arial" w:cs="Arial"/>
          <w:sz w:val="24"/>
          <w:szCs w:val="24"/>
        </w:rPr>
        <w:t>.</w:t>
      </w:r>
    </w:p>
    <w:p w:rsidR="00BD7F8D" w:rsidP="000E52BF" w:rsidRDefault="3650B383" w14:paraId="4DE86A2F" w14:textId="5AB41756">
      <w:pPr>
        <w:spacing w:after="0" w:line="480" w:lineRule="auto"/>
        <w:ind w:firstLine="720"/>
        <w:jc w:val="both"/>
        <w:rPr>
          <w:rFonts w:ascii="Arial" w:hAnsi="Arial" w:eastAsia="Arial" w:cs="Arial"/>
          <w:sz w:val="24"/>
          <w:szCs w:val="24"/>
        </w:rPr>
      </w:pPr>
      <w:r>
        <w:rPr>
          <w:rFonts w:ascii="Arial" w:hAnsi="Arial" w:eastAsia="Arial" w:cs="Arial"/>
          <w:sz w:val="24"/>
          <w:szCs w:val="24"/>
        </w:rPr>
        <w:t>While there is no dispute that the rates proposed in this case would recover costs associated with the provision of the standard service offer</w:t>
      </w:r>
      <w:r w:rsidR="44FE81EF">
        <w:rPr>
          <w:rFonts w:ascii="Arial" w:hAnsi="Arial" w:eastAsia="Arial" w:cs="Arial"/>
          <w:sz w:val="24"/>
          <w:szCs w:val="24"/>
        </w:rPr>
        <w:t xml:space="preserve">, </w:t>
      </w:r>
      <w:r w:rsidRPr="00313254" w:rsidR="06714D79">
        <w:rPr>
          <w:rFonts w:ascii="Arial" w:hAnsi="Arial" w:eastAsia="Arial" w:cs="Arial"/>
          <w:i/>
          <w:iCs/>
          <w:sz w:val="24"/>
          <w:szCs w:val="24"/>
        </w:rPr>
        <w:t>see</w:t>
      </w:r>
      <w:r w:rsidR="06714D79">
        <w:rPr>
          <w:rFonts w:ascii="Arial" w:hAnsi="Arial" w:eastAsia="Arial" w:cs="Arial"/>
          <w:sz w:val="24"/>
          <w:szCs w:val="24"/>
        </w:rPr>
        <w:t xml:space="preserve"> IGS/Direct </w:t>
      </w:r>
      <w:r w:rsidRPr="2867BA7E" w:rsidR="5AEF7451">
        <w:rPr>
          <w:rFonts w:ascii="Arial" w:hAnsi="Arial" w:eastAsia="Arial" w:cs="Arial"/>
          <w:sz w:val="24"/>
          <w:szCs w:val="24"/>
        </w:rPr>
        <w:t>Ex.</w:t>
      </w:r>
      <w:r w:rsidR="06714D79">
        <w:rPr>
          <w:rFonts w:ascii="Arial" w:hAnsi="Arial" w:eastAsia="Arial" w:cs="Arial"/>
          <w:sz w:val="24"/>
          <w:szCs w:val="24"/>
        </w:rPr>
        <w:t xml:space="preserve"> 2</w:t>
      </w:r>
      <w:r w:rsidR="007105FF">
        <w:rPr>
          <w:rFonts w:ascii="Arial" w:hAnsi="Arial" w:eastAsia="Arial" w:cs="Arial"/>
          <w:sz w:val="24"/>
          <w:szCs w:val="24"/>
        </w:rPr>
        <w:t>;</w:t>
      </w:r>
      <w:r w:rsidR="06714D79">
        <w:rPr>
          <w:rFonts w:ascii="Arial" w:hAnsi="Arial" w:eastAsia="Arial" w:cs="Arial"/>
          <w:sz w:val="24"/>
          <w:szCs w:val="24"/>
        </w:rPr>
        <w:t xml:space="preserve"> IGS </w:t>
      </w:r>
      <w:r w:rsidRPr="2867BA7E" w:rsidR="5AEF7451">
        <w:rPr>
          <w:rFonts w:ascii="Arial" w:hAnsi="Arial" w:eastAsia="Arial" w:cs="Arial"/>
          <w:sz w:val="24"/>
          <w:szCs w:val="24"/>
        </w:rPr>
        <w:t>Ex.</w:t>
      </w:r>
      <w:r w:rsidR="06714D79">
        <w:rPr>
          <w:rFonts w:ascii="Arial" w:hAnsi="Arial" w:eastAsia="Arial" w:cs="Arial"/>
          <w:sz w:val="24"/>
          <w:szCs w:val="24"/>
        </w:rPr>
        <w:t xml:space="preserve"> 3, 13, 14; Tr. at 36</w:t>
      </w:r>
      <w:r w:rsidR="006B3C4D">
        <w:rPr>
          <w:rFonts w:ascii="Arial" w:hAnsi="Arial" w:eastAsia="Arial" w:cs="Arial"/>
          <w:sz w:val="24"/>
          <w:szCs w:val="24"/>
        </w:rPr>
        <w:t>,</w:t>
      </w:r>
      <w:r w:rsidR="06714D79">
        <w:rPr>
          <w:rFonts w:ascii="Arial" w:hAnsi="Arial" w:eastAsia="Arial" w:cs="Arial"/>
          <w:sz w:val="24"/>
          <w:szCs w:val="24"/>
        </w:rPr>
        <w:t xml:space="preserve"> 49-53</w:t>
      </w:r>
      <w:r w:rsidR="007105FF">
        <w:rPr>
          <w:rFonts w:ascii="Arial" w:hAnsi="Arial" w:eastAsia="Arial" w:cs="Arial"/>
          <w:sz w:val="24"/>
          <w:szCs w:val="24"/>
        </w:rPr>
        <w:t>;</w:t>
      </w:r>
      <w:r w:rsidR="06714D79">
        <w:rPr>
          <w:rFonts w:ascii="Arial" w:hAnsi="Arial" w:eastAsia="Arial" w:cs="Arial"/>
          <w:sz w:val="24"/>
          <w:szCs w:val="24"/>
        </w:rPr>
        <w:t xml:space="preserve"> Tr. at 158-59; Tr. at 290-92</w:t>
      </w:r>
      <w:r w:rsidR="57A2B5CF">
        <w:rPr>
          <w:rFonts w:ascii="Arial" w:hAnsi="Arial" w:eastAsia="Arial" w:cs="Arial"/>
          <w:sz w:val="24"/>
          <w:szCs w:val="24"/>
        </w:rPr>
        <w:t>,</w:t>
      </w:r>
      <w:r w:rsidR="06714D79">
        <w:rPr>
          <w:rFonts w:ascii="Arial" w:hAnsi="Arial" w:eastAsia="Arial" w:cs="Arial"/>
          <w:sz w:val="24"/>
          <w:szCs w:val="24"/>
        </w:rPr>
        <w:t xml:space="preserve"> Tr. at 346-49, </w:t>
      </w:r>
      <w:r w:rsidR="44FE81EF">
        <w:rPr>
          <w:rFonts w:ascii="Arial" w:hAnsi="Arial" w:eastAsia="Arial" w:cs="Arial"/>
          <w:sz w:val="24"/>
          <w:szCs w:val="24"/>
        </w:rPr>
        <w:t>t</w:t>
      </w:r>
      <w:r>
        <w:rPr>
          <w:rFonts w:ascii="Arial" w:hAnsi="Arial" w:eastAsia="Arial" w:cs="Arial"/>
          <w:sz w:val="24"/>
          <w:szCs w:val="24"/>
        </w:rPr>
        <w:t xml:space="preserve">he stipulating parties, none of which </w:t>
      </w:r>
      <w:r w:rsidRPr="006B3C4D" w:rsidR="159E8C32">
        <w:rPr>
          <w:rFonts w:ascii="Arial" w:hAnsi="Arial" w:eastAsia="Arial" w:cs="Arial"/>
          <w:sz w:val="24"/>
          <w:szCs w:val="24"/>
        </w:rPr>
        <w:t>w</w:t>
      </w:r>
      <w:r w:rsidRPr="006B3C4D" w:rsidR="00722440">
        <w:rPr>
          <w:rFonts w:ascii="Arial" w:hAnsi="Arial" w:eastAsia="Arial" w:cs="Arial"/>
          <w:sz w:val="24"/>
          <w:szCs w:val="24"/>
        </w:rPr>
        <w:t>as a</w:t>
      </w:r>
      <w:r w:rsidRPr="006B3C4D" w:rsidR="159E8C32">
        <w:rPr>
          <w:rFonts w:ascii="Arial" w:hAnsi="Arial" w:eastAsia="Arial" w:cs="Arial"/>
          <w:sz w:val="24"/>
          <w:szCs w:val="24"/>
        </w:rPr>
        <w:t xml:space="preserve"> </w:t>
      </w:r>
      <w:r>
        <w:rPr>
          <w:rFonts w:ascii="Arial" w:hAnsi="Arial" w:eastAsia="Arial" w:cs="Arial"/>
          <w:sz w:val="24"/>
          <w:szCs w:val="24"/>
        </w:rPr>
        <w:t xml:space="preserve">competitive retail electric </w:t>
      </w:r>
      <w:r w:rsidRPr="006B3C4D">
        <w:rPr>
          <w:rFonts w:ascii="Arial" w:hAnsi="Arial" w:eastAsia="Arial" w:cs="Arial"/>
          <w:sz w:val="24"/>
          <w:szCs w:val="24"/>
        </w:rPr>
        <w:t>supplier</w:t>
      </w:r>
      <w:r>
        <w:rPr>
          <w:rFonts w:ascii="Arial" w:hAnsi="Arial" w:eastAsia="Arial" w:cs="Arial"/>
          <w:sz w:val="24"/>
          <w:szCs w:val="24"/>
        </w:rPr>
        <w:t>, seek to lock in</w:t>
      </w:r>
      <w:r w:rsidRPr="2867BA7E" w:rsidR="3C4F9700">
        <w:rPr>
          <w:rFonts w:ascii="Arial" w:hAnsi="Arial" w:eastAsia="Arial" w:cs="Arial"/>
          <w:sz w:val="24"/>
          <w:szCs w:val="24"/>
        </w:rPr>
        <w:t>to distribution</w:t>
      </w:r>
      <w:r>
        <w:rPr>
          <w:rFonts w:ascii="Arial" w:hAnsi="Arial" w:eastAsia="Arial" w:cs="Arial"/>
          <w:sz w:val="24"/>
          <w:szCs w:val="24"/>
        </w:rPr>
        <w:t xml:space="preserve"> rates </w:t>
      </w:r>
      <w:r w:rsidR="5C7DD68A">
        <w:rPr>
          <w:rFonts w:ascii="Arial" w:hAnsi="Arial" w:eastAsia="Arial" w:cs="Arial"/>
          <w:sz w:val="24"/>
          <w:szCs w:val="24"/>
        </w:rPr>
        <w:t>the costs that were identified as directly assignable to the standard service offer and those that should be properly allocated to the standard service offer</w:t>
      </w:r>
      <w:r>
        <w:rPr>
          <w:rFonts w:ascii="Arial" w:hAnsi="Arial" w:eastAsia="Arial" w:cs="Arial"/>
          <w:sz w:val="24"/>
          <w:szCs w:val="24"/>
        </w:rPr>
        <w:t xml:space="preserve">.  To that end, the Stipulation provides, “The Retail Reconciliation Rider and SSO Credit Rider will remain at zero based on the Staff Report’s recommendation.”  </w:t>
      </w:r>
      <w:r w:rsidR="06714D79">
        <w:rPr>
          <w:rFonts w:ascii="Arial" w:hAnsi="Arial" w:eastAsia="Arial" w:cs="Arial"/>
          <w:sz w:val="24"/>
          <w:szCs w:val="24"/>
        </w:rPr>
        <w:t xml:space="preserve">Joint </w:t>
      </w:r>
      <w:r w:rsidRPr="2867BA7E" w:rsidR="5AEF7451">
        <w:rPr>
          <w:rFonts w:ascii="Arial" w:hAnsi="Arial" w:eastAsia="Arial" w:cs="Arial"/>
          <w:sz w:val="24"/>
          <w:szCs w:val="24"/>
        </w:rPr>
        <w:t>Ex.</w:t>
      </w:r>
      <w:r w:rsidR="06714D79">
        <w:rPr>
          <w:rFonts w:ascii="Arial" w:hAnsi="Arial" w:eastAsia="Arial" w:cs="Arial"/>
          <w:sz w:val="24"/>
          <w:szCs w:val="24"/>
        </w:rPr>
        <w:t xml:space="preserve"> 1</w:t>
      </w:r>
      <w:r>
        <w:rPr>
          <w:rFonts w:ascii="Arial" w:hAnsi="Arial" w:eastAsia="Arial" w:cs="Arial"/>
          <w:sz w:val="24"/>
          <w:szCs w:val="24"/>
        </w:rPr>
        <w:t xml:space="preserve"> at 9.  </w:t>
      </w:r>
      <w:r w:rsidR="44FE81EF">
        <w:rPr>
          <w:rFonts w:ascii="Arial" w:hAnsi="Arial" w:eastAsia="Arial" w:cs="Arial"/>
          <w:sz w:val="24"/>
          <w:szCs w:val="24"/>
        </w:rPr>
        <w:t>As a result</w:t>
      </w:r>
      <w:r>
        <w:rPr>
          <w:rFonts w:ascii="Arial" w:hAnsi="Arial" w:eastAsia="Arial" w:cs="Arial"/>
          <w:sz w:val="24"/>
          <w:szCs w:val="24"/>
        </w:rPr>
        <w:t xml:space="preserve">, Ohio Power will recover </w:t>
      </w:r>
      <w:r w:rsidR="44FE81EF">
        <w:rPr>
          <w:rFonts w:ascii="Arial" w:hAnsi="Arial" w:eastAsia="Arial" w:cs="Arial"/>
          <w:sz w:val="24"/>
          <w:szCs w:val="24"/>
        </w:rPr>
        <w:t xml:space="preserve">at a minimum </w:t>
      </w:r>
      <w:r>
        <w:rPr>
          <w:rFonts w:ascii="Arial" w:hAnsi="Arial" w:eastAsia="Arial" w:cs="Arial"/>
          <w:sz w:val="24"/>
          <w:szCs w:val="24"/>
        </w:rPr>
        <w:t xml:space="preserve">$4.7 million that are directly assignable to standard offer service.  </w:t>
      </w:r>
      <w:r w:rsidR="5C7DD68A">
        <w:rPr>
          <w:rFonts w:ascii="Arial" w:hAnsi="Arial" w:eastAsia="Arial" w:cs="Arial"/>
          <w:sz w:val="24"/>
          <w:szCs w:val="24"/>
        </w:rPr>
        <w:t>Because of the failure to properly allocate other standard</w:t>
      </w:r>
      <w:r w:rsidR="001E5D2B">
        <w:rPr>
          <w:rFonts w:ascii="Arial" w:hAnsi="Arial" w:eastAsia="Arial" w:cs="Arial"/>
          <w:sz w:val="24"/>
          <w:szCs w:val="24"/>
        </w:rPr>
        <w:t xml:space="preserve"> </w:t>
      </w:r>
      <w:r w:rsidR="5C7DD68A">
        <w:rPr>
          <w:rFonts w:ascii="Arial" w:hAnsi="Arial" w:eastAsia="Arial" w:cs="Arial"/>
          <w:sz w:val="24"/>
          <w:szCs w:val="24"/>
        </w:rPr>
        <w:t>service offer costs collected in distribution rates, t</w:t>
      </w:r>
      <w:r>
        <w:rPr>
          <w:rFonts w:ascii="Arial" w:hAnsi="Arial" w:eastAsia="Arial" w:cs="Arial"/>
          <w:sz w:val="24"/>
          <w:szCs w:val="24"/>
        </w:rPr>
        <w:t xml:space="preserve">he actual amount </w:t>
      </w:r>
      <w:r w:rsidR="5C7DD68A">
        <w:rPr>
          <w:rFonts w:ascii="Arial" w:hAnsi="Arial" w:eastAsia="Arial" w:cs="Arial"/>
          <w:sz w:val="24"/>
          <w:szCs w:val="24"/>
        </w:rPr>
        <w:t>is closer to $64 million</w:t>
      </w:r>
      <w:r>
        <w:rPr>
          <w:rFonts w:ascii="Arial" w:hAnsi="Arial" w:eastAsia="Arial" w:cs="Arial"/>
          <w:sz w:val="24"/>
          <w:szCs w:val="24"/>
        </w:rPr>
        <w:t xml:space="preserve">.  </w:t>
      </w:r>
      <w:r w:rsidR="5C7DD68A">
        <w:rPr>
          <w:rFonts w:ascii="Arial" w:hAnsi="Arial" w:eastAsia="Arial" w:cs="Arial"/>
          <w:sz w:val="24"/>
          <w:szCs w:val="24"/>
        </w:rPr>
        <w:t xml:space="preserve">IGS/Direct </w:t>
      </w:r>
      <w:r w:rsidRPr="2867BA7E" w:rsidR="5AEF7451">
        <w:rPr>
          <w:rFonts w:ascii="Arial" w:hAnsi="Arial" w:eastAsia="Arial" w:cs="Arial"/>
          <w:sz w:val="24"/>
          <w:szCs w:val="24"/>
        </w:rPr>
        <w:t>Ex.</w:t>
      </w:r>
      <w:r w:rsidR="5C7DD68A">
        <w:rPr>
          <w:rFonts w:ascii="Arial" w:hAnsi="Arial" w:eastAsia="Arial" w:cs="Arial"/>
          <w:sz w:val="24"/>
          <w:szCs w:val="24"/>
        </w:rPr>
        <w:t xml:space="preserve"> 2 at </w:t>
      </w:r>
      <w:r w:rsidRPr="00CD19C2" w:rsidR="5C7DD68A">
        <w:rPr>
          <w:rFonts w:ascii="Arial" w:hAnsi="Arial" w:cs="Arial"/>
          <w:sz w:val="24"/>
          <w:szCs w:val="24"/>
          <w:shd w:val="clear" w:color="auto" w:fill="FFFFFF"/>
        </w:rPr>
        <w:t>37</w:t>
      </w:r>
      <w:r w:rsidR="001E5D2B">
        <w:rPr>
          <w:rFonts w:ascii="Arial" w:hAnsi="Arial" w:cs="Arial"/>
          <w:sz w:val="24"/>
          <w:szCs w:val="24"/>
          <w:shd w:val="clear" w:color="auto" w:fill="FFFFFF"/>
        </w:rPr>
        <w:t>,</w:t>
      </w:r>
      <w:r w:rsidRPr="00CD19C2" w:rsidR="5C7DD68A">
        <w:rPr>
          <w:rFonts w:ascii="Arial" w:hAnsi="Arial" w:cs="Arial"/>
          <w:sz w:val="24"/>
          <w:szCs w:val="24"/>
          <w:shd w:val="clear" w:color="auto" w:fill="FFFFFF"/>
        </w:rPr>
        <w:t xml:space="preserve"> Appx</w:t>
      </w:r>
      <w:r w:rsidRPr="00CD19C2" w:rsidR="00B64D90">
        <w:rPr>
          <w:rFonts w:ascii="Arial" w:hAnsi="Arial" w:cs="Arial"/>
          <w:sz w:val="24"/>
          <w:szCs w:val="24"/>
          <w:shd w:val="clear" w:color="auto" w:fill="FFFFFF"/>
        </w:rPr>
        <w:t>.</w:t>
      </w:r>
      <w:r w:rsidRPr="00CD19C2" w:rsidR="5C7DD68A">
        <w:rPr>
          <w:rFonts w:ascii="Arial" w:hAnsi="Arial" w:cs="Arial"/>
          <w:sz w:val="24"/>
          <w:szCs w:val="24"/>
          <w:shd w:val="clear" w:color="auto" w:fill="FFFFFF"/>
        </w:rPr>
        <w:t xml:space="preserve"> 1.  </w:t>
      </w:r>
    </w:p>
    <w:p w:rsidRPr="00424569" w:rsidR="00B3384F" w:rsidP="000E52BF" w:rsidRDefault="3650B383" w14:paraId="5C54090F" w14:textId="526ED48D">
      <w:pPr>
        <w:spacing w:after="0" w:line="480" w:lineRule="auto"/>
        <w:ind w:firstLine="720"/>
        <w:jc w:val="both"/>
        <w:rPr>
          <w:rFonts w:ascii="Arial" w:hAnsi="Arial" w:eastAsia="Arial" w:cs="Arial"/>
          <w:sz w:val="24"/>
          <w:szCs w:val="24"/>
        </w:rPr>
      </w:pPr>
      <w:r w:rsidRPr="2867BA7E">
        <w:rPr>
          <w:rFonts w:ascii="Arial" w:hAnsi="Arial" w:eastAsia="Arial" w:cs="Arial"/>
          <w:sz w:val="24"/>
          <w:szCs w:val="24"/>
        </w:rPr>
        <w:t>None of this collection</w:t>
      </w:r>
      <w:r w:rsidRPr="2867BA7E" w:rsidR="350D94C2">
        <w:rPr>
          <w:rFonts w:ascii="Arial" w:hAnsi="Arial" w:eastAsia="Arial" w:cs="Arial"/>
          <w:sz w:val="24"/>
          <w:szCs w:val="24"/>
        </w:rPr>
        <w:t xml:space="preserve"> </w:t>
      </w:r>
      <w:r w:rsidRPr="2867BA7E" w:rsidR="75B664E1">
        <w:rPr>
          <w:rFonts w:ascii="Arial" w:hAnsi="Arial" w:eastAsia="Arial" w:cs="Arial"/>
          <w:sz w:val="24"/>
          <w:szCs w:val="24"/>
        </w:rPr>
        <w:t>would be</w:t>
      </w:r>
      <w:r w:rsidRPr="2867BA7E">
        <w:rPr>
          <w:rFonts w:ascii="Arial" w:hAnsi="Arial" w:eastAsia="Arial" w:cs="Arial"/>
          <w:sz w:val="24"/>
          <w:szCs w:val="24"/>
        </w:rPr>
        <w:t xml:space="preserve"> either legal or reasonable.</w:t>
      </w:r>
      <w:r w:rsidRPr="2867BA7E" w:rsidR="350D94C2">
        <w:rPr>
          <w:rFonts w:ascii="Arial" w:hAnsi="Arial" w:eastAsia="Arial" w:cs="Arial"/>
          <w:sz w:val="24"/>
          <w:szCs w:val="24"/>
        </w:rPr>
        <w:t xml:space="preserve">  Further, approval of this part of the Stipulation would violate the second and third prongs of the Commission’s </w:t>
      </w:r>
      <w:r w:rsidRPr="2867BA7E" w:rsidR="7483FF1A">
        <w:rPr>
          <w:rFonts w:ascii="Arial" w:hAnsi="Arial" w:eastAsia="Arial" w:cs="Arial"/>
          <w:sz w:val="24"/>
          <w:szCs w:val="24"/>
        </w:rPr>
        <w:t>three-part</w:t>
      </w:r>
      <w:r w:rsidRPr="2867BA7E" w:rsidR="350D94C2">
        <w:rPr>
          <w:rFonts w:ascii="Arial" w:hAnsi="Arial" w:eastAsia="Arial" w:cs="Arial"/>
          <w:sz w:val="24"/>
          <w:szCs w:val="24"/>
        </w:rPr>
        <w:t xml:space="preserve"> test for reviewing contested stipulations.</w:t>
      </w:r>
    </w:p>
    <w:p w:rsidRPr="00CD19C2" w:rsidR="004471F6" w:rsidP="006B1C0A" w:rsidRDefault="004471F6" w14:paraId="3583120C" w14:textId="1708035B">
      <w:pPr>
        <w:pStyle w:val="Heading3"/>
        <w:numPr>
          <w:ilvl w:val="0"/>
          <w:numId w:val="6"/>
        </w:numPr>
        <w:rPr>
          <w:b/>
        </w:rPr>
      </w:pPr>
      <w:bookmarkStart w:name="_Hlk72936558" w:id="17"/>
      <w:bookmarkStart w:name="_Toc73104529" w:id="18"/>
      <w:bookmarkStart w:name="_Toc74573084" w:id="19"/>
      <w:r w:rsidRPr="00CD19C2">
        <w:rPr>
          <w:b/>
        </w:rPr>
        <w:t>Ohio law and the state energy policy require the Commission to unbundle costs used to supply the standard service offer from distribution rates</w:t>
      </w:r>
      <w:bookmarkEnd w:id="17"/>
      <w:r w:rsidRPr="00CD19C2" w:rsidR="00957549">
        <w:rPr>
          <w:b/>
        </w:rPr>
        <w:t>.</w:t>
      </w:r>
      <w:bookmarkEnd w:id="18"/>
      <w:bookmarkEnd w:id="19"/>
    </w:p>
    <w:p w:rsidR="0041465E" w:rsidP="000E52BF" w:rsidRDefault="48049337" w14:paraId="1D78F335" w14:textId="3DC033C6">
      <w:pPr>
        <w:spacing w:after="0" w:line="480" w:lineRule="auto"/>
        <w:ind w:firstLine="720"/>
        <w:jc w:val="both"/>
        <w:rPr>
          <w:rFonts w:ascii="Arial" w:hAnsi="Arial" w:cs="Arial"/>
          <w:sz w:val="24"/>
          <w:szCs w:val="24"/>
        </w:rPr>
      </w:pPr>
      <w:r w:rsidRPr="14191150">
        <w:rPr>
          <w:rFonts w:ascii="Arial" w:hAnsi="Arial" w:cs="Arial"/>
          <w:sz w:val="24"/>
          <w:szCs w:val="24"/>
        </w:rPr>
        <w:t xml:space="preserve">Until the implementation of </w:t>
      </w:r>
      <w:r w:rsidRPr="14191150">
        <w:rPr>
          <w:rFonts w:ascii="Arial" w:hAnsi="Arial" w:eastAsia="Arial" w:cs="Arial"/>
          <w:sz w:val="24"/>
          <w:szCs w:val="24"/>
        </w:rPr>
        <w:t>Amended Substitute Senate Bill (“S.B. 3”)</w:t>
      </w:r>
      <w:r w:rsidRPr="14191150" w:rsidR="0C289EAD">
        <w:rPr>
          <w:rFonts w:ascii="Arial" w:hAnsi="Arial" w:cs="Arial"/>
          <w:sz w:val="24"/>
          <w:szCs w:val="24"/>
        </w:rPr>
        <w:t xml:space="preserve">, Ohioans received </w:t>
      </w:r>
      <w:r w:rsidRPr="14191150">
        <w:rPr>
          <w:rFonts w:ascii="Arial" w:hAnsi="Arial" w:cs="Arial"/>
          <w:sz w:val="24"/>
          <w:szCs w:val="24"/>
        </w:rPr>
        <w:t>electric service from a monopoly supplier</w:t>
      </w:r>
      <w:r w:rsidRPr="14191150" w:rsidR="0C289EAD">
        <w:rPr>
          <w:rFonts w:ascii="Arial" w:hAnsi="Arial" w:cs="Arial"/>
          <w:sz w:val="24"/>
          <w:szCs w:val="24"/>
        </w:rPr>
        <w:t xml:space="preserve">.  </w:t>
      </w:r>
      <w:r w:rsidRPr="14191150" w:rsidR="69AC2CA6">
        <w:rPr>
          <w:rFonts w:ascii="Arial" w:hAnsi="Arial" w:eastAsia="Arial" w:cs="Arial"/>
          <w:sz w:val="24"/>
          <w:szCs w:val="24"/>
        </w:rPr>
        <w:t xml:space="preserve">In 1999, </w:t>
      </w:r>
      <w:r w:rsidRPr="14191150">
        <w:rPr>
          <w:rFonts w:ascii="Arial" w:hAnsi="Arial" w:eastAsia="Arial" w:cs="Arial"/>
          <w:sz w:val="24"/>
          <w:szCs w:val="24"/>
        </w:rPr>
        <w:t xml:space="preserve">S.B. 3 </w:t>
      </w:r>
      <w:r w:rsidRPr="14191150" w:rsidR="69AC2CA6">
        <w:rPr>
          <w:rFonts w:ascii="Arial" w:hAnsi="Arial" w:eastAsia="Arial" w:cs="Arial"/>
          <w:sz w:val="24"/>
          <w:szCs w:val="24"/>
        </w:rPr>
        <w:t xml:space="preserve">“restructured Ohio's electric-utility industry to foster retail competition in the </w:t>
      </w:r>
      <w:bookmarkStart w:name="_GoBack" w:id="20"/>
      <w:bookmarkEnd w:id="20"/>
      <w:r w:rsidRPr="14191150" w:rsidR="69AC2CA6">
        <w:rPr>
          <w:rFonts w:ascii="Arial" w:hAnsi="Arial" w:eastAsia="Arial" w:cs="Arial"/>
          <w:sz w:val="24"/>
          <w:szCs w:val="24"/>
        </w:rPr>
        <w:t>generation component of electric service.”</w:t>
      </w:r>
      <w:r w:rsidRPr="14191150" w:rsidR="10E305D9">
        <w:rPr>
          <w:rFonts w:ascii="Arial" w:hAnsi="Arial" w:eastAsia="Arial" w:cs="Arial"/>
          <w:sz w:val="24"/>
          <w:szCs w:val="24"/>
        </w:rPr>
        <w:t xml:space="preserve">  </w:t>
      </w:r>
      <w:r w:rsidRPr="34DB1F0F" w:rsidR="00546129">
        <w:rPr>
          <w:rFonts w:ascii="Arial" w:hAnsi="Arial" w:cs="Arial"/>
          <w:i/>
          <w:iCs/>
          <w:sz w:val="24"/>
          <w:szCs w:val="24"/>
        </w:rPr>
        <w:t>Industrial Energy Users-Ohio</w:t>
      </w:r>
      <w:r w:rsidRPr="34DB1F0F" w:rsidR="00546129">
        <w:rPr>
          <w:rFonts w:ascii="Arial" w:hAnsi="Arial" w:cs="Arial"/>
          <w:sz w:val="24"/>
          <w:szCs w:val="24"/>
        </w:rPr>
        <w:t>, 117 Ohio St.3d 486, 487</w:t>
      </w:r>
      <w:r w:rsidR="007315AD">
        <w:rPr>
          <w:rFonts w:ascii="Arial" w:hAnsi="Arial" w:cs="Arial"/>
          <w:sz w:val="24"/>
          <w:szCs w:val="24"/>
        </w:rPr>
        <w:t xml:space="preserve"> (2008)</w:t>
      </w:r>
      <w:r w:rsidRPr="34DB1F0F" w:rsidR="00546129">
        <w:rPr>
          <w:rFonts w:ascii="Arial" w:hAnsi="Arial" w:cs="Arial"/>
          <w:sz w:val="24"/>
          <w:szCs w:val="24"/>
        </w:rPr>
        <w:t xml:space="preserve">.  </w:t>
      </w:r>
      <w:r w:rsidRPr="14191150" w:rsidR="69AC2CA6">
        <w:rPr>
          <w:rFonts w:ascii="Arial" w:hAnsi="Arial" w:eastAsia="Arial" w:cs="Arial"/>
          <w:sz w:val="24"/>
          <w:szCs w:val="24"/>
        </w:rPr>
        <w:t xml:space="preserve">The foundation for competition was </w:t>
      </w:r>
      <w:r w:rsidRPr="5A234D6B" w:rsidR="7CF8ED80">
        <w:rPr>
          <w:rFonts w:ascii="Arial" w:hAnsi="Arial" w:eastAsia="Arial" w:cs="Arial"/>
          <w:sz w:val="24"/>
          <w:szCs w:val="24"/>
        </w:rPr>
        <w:t>established</w:t>
      </w:r>
      <w:r w:rsidRPr="14191150" w:rsidR="69AC2CA6">
        <w:rPr>
          <w:rFonts w:ascii="Arial" w:hAnsi="Arial" w:eastAsia="Arial" w:cs="Arial"/>
          <w:sz w:val="24"/>
          <w:szCs w:val="24"/>
        </w:rPr>
        <w:t xml:space="preserve"> by requiring “the three components of electric service — </w:t>
      </w:r>
      <w:r w:rsidRPr="14191150" w:rsidR="69AC2CA6">
        <w:rPr>
          <w:rFonts w:ascii="Arial" w:hAnsi="Arial" w:eastAsia="Arial" w:cs="Arial"/>
          <w:sz w:val="24"/>
          <w:szCs w:val="24"/>
        </w:rPr>
        <w:lastRenderedPageBreak/>
        <w:t>generation, transmission, and distribution — to be separated.”</w:t>
      </w:r>
      <w:r w:rsidRPr="14191150" w:rsidR="10E305D9">
        <w:rPr>
          <w:rFonts w:ascii="Arial" w:hAnsi="Arial" w:eastAsia="Arial" w:cs="Arial"/>
          <w:sz w:val="24"/>
          <w:szCs w:val="24"/>
        </w:rPr>
        <w:t xml:space="preserve">  </w:t>
      </w:r>
      <w:r w:rsidRPr="00A028D6" w:rsidR="10E305D9">
        <w:rPr>
          <w:rFonts w:ascii="Arial" w:hAnsi="Arial" w:eastAsia="Arial" w:cs="Arial"/>
          <w:i/>
          <w:iCs/>
          <w:sz w:val="24"/>
          <w:szCs w:val="24"/>
        </w:rPr>
        <w:t>Id</w:t>
      </w:r>
      <w:r w:rsidRPr="14191150" w:rsidR="10E305D9">
        <w:rPr>
          <w:rFonts w:ascii="Arial" w:hAnsi="Arial" w:eastAsia="Arial" w:cs="Arial"/>
          <w:sz w:val="24"/>
          <w:szCs w:val="24"/>
        </w:rPr>
        <w:t>.</w:t>
      </w:r>
      <w:r w:rsidRPr="14191150" w:rsidR="69AC2CA6">
        <w:rPr>
          <w:rFonts w:ascii="Arial" w:hAnsi="Arial" w:eastAsia="Arial" w:cs="Arial"/>
          <w:sz w:val="24"/>
          <w:szCs w:val="24"/>
        </w:rPr>
        <w:t xml:space="preserve">  </w:t>
      </w:r>
      <w:r w:rsidRPr="14191150">
        <w:rPr>
          <w:rFonts w:ascii="Arial" w:hAnsi="Arial" w:eastAsia="Arial" w:cs="Arial"/>
          <w:sz w:val="24"/>
          <w:szCs w:val="24"/>
        </w:rPr>
        <w:t xml:space="preserve">Initially in a transition step, </w:t>
      </w:r>
      <w:r w:rsidRPr="14191150" w:rsidR="69AC2CA6">
        <w:rPr>
          <w:rFonts w:ascii="Arial" w:hAnsi="Arial" w:cs="Arial"/>
          <w:sz w:val="24"/>
          <w:szCs w:val="24"/>
        </w:rPr>
        <w:t xml:space="preserve">Senate Bill 3 </w:t>
      </w:r>
      <w:r w:rsidRPr="14191150">
        <w:rPr>
          <w:rFonts w:ascii="Arial" w:hAnsi="Arial" w:cs="Arial"/>
          <w:sz w:val="24"/>
          <w:szCs w:val="24"/>
        </w:rPr>
        <w:t>required the monopoly electric utilities to separate their business lines by function, i.e.</w:t>
      </w:r>
      <w:r w:rsidRPr="14191150" w:rsidR="74633814">
        <w:rPr>
          <w:rFonts w:ascii="Arial" w:hAnsi="Arial" w:cs="Arial"/>
          <w:sz w:val="24"/>
          <w:szCs w:val="24"/>
        </w:rPr>
        <w:t>, distribution</w:t>
      </w:r>
      <w:r w:rsidRPr="14191150" w:rsidR="69AC2CA6">
        <w:rPr>
          <w:rFonts w:ascii="Arial" w:hAnsi="Arial" w:cs="Arial"/>
          <w:sz w:val="24"/>
          <w:szCs w:val="24"/>
        </w:rPr>
        <w:t>, transmission, and generation</w:t>
      </w:r>
      <w:r w:rsidR="004F1967">
        <w:rPr>
          <w:rFonts w:ascii="Arial" w:hAnsi="Arial" w:cs="Arial"/>
          <w:sz w:val="24"/>
          <w:szCs w:val="24"/>
        </w:rPr>
        <w:t>,</w:t>
      </w:r>
      <w:r w:rsidRPr="14191150" w:rsidR="3EC2A876">
        <w:rPr>
          <w:rFonts w:ascii="Arial" w:hAnsi="Arial" w:cs="Arial"/>
          <w:sz w:val="24"/>
          <w:szCs w:val="24"/>
        </w:rPr>
        <w:t xml:space="preserve"> and adopt corporate separation plans to prevent cross-subsidies across those functions</w:t>
      </w:r>
      <w:r w:rsidRPr="14191150" w:rsidR="23047567">
        <w:rPr>
          <w:rFonts w:ascii="Arial" w:hAnsi="Arial" w:cs="Arial"/>
          <w:sz w:val="24"/>
          <w:szCs w:val="24"/>
        </w:rPr>
        <w:t>.  R.C. 4928.31(A)</w:t>
      </w:r>
      <w:r w:rsidRPr="14191150" w:rsidR="69AC2CA6">
        <w:rPr>
          <w:rFonts w:ascii="Arial" w:hAnsi="Arial" w:cs="Arial"/>
          <w:sz w:val="24"/>
          <w:szCs w:val="24"/>
        </w:rPr>
        <w:t xml:space="preserve">.  </w:t>
      </w:r>
      <w:r w:rsidRPr="14191150" w:rsidR="23047567">
        <w:rPr>
          <w:rFonts w:ascii="Arial" w:hAnsi="Arial" w:eastAsia="Arial" w:cs="Arial"/>
          <w:sz w:val="24"/>
          <w:szCs w:val="24"/>
        </w:rPr>
        <w:t>“In short, each service component was required to stand on its own.”</w:t>
      </w:r>
      <w:r w:rsidRPr="14191150" w:rsidR="10E305D9">
        <w:rPr>
          <w:rFonts w:ascii="Arial" w:hAnsi="Arial" w:eastAsia="Arial" w:cs="Arial"/>
          <w:sz w:val="24"/>
          <w:szCs w:val="24"/>
          <w:vertAlign w:val="superscript"/>
        </w:rPr>
        <w:t xml:space="preserve"> </w:t>
      </w:r>
      <w:r w:rsidRPr="14191150" w:rsidR="10E305D9">
        <w:rPr>
          <w:rFonts w:ascii="Arial" w:hAnsi="Arial" w:cs="Arial"/>
          <w:sz w:val="24"/>
          <w:szCs w:val="24"/>
        </w:rPr>
        <w:t xml:space="preserve">  </w:t>
      </w:r>
      <w:proofErr w:type="spellStart"/>
      <w:r w:rsidRPr="14191150" w:rsidR="10E305D9">
        <w:rPr>
          <w:rFonts w:ascii="Arial" w:hAnsi="Arial" w:cs="Arial"/>
          <w:i/>
          <w:iCs/>
          <w:sz w:val="24"/>
          <w:szCs w:val="24"/>
        </w:rPr>
        <w:t>Migden</w:t>
      </w:r>
      <w:proofErr w:type="spellEnd"/>
      <w:r w:rsidRPr="14191150" w:rsidR="10E305D9">
        <w:rPr>
          <w:rFonts w:ascii="Arial" w:hAnsi="Arial" w:cs="Arial"/>
          <w:i/>
          <w:iCs/>
          <w:sz w:val="24"/>
          <w:szCs w:val="24"/>
        </w:rPr>
        <w:t xml:space="preserve">-Ostrander v. Pub. Util. </w:t>
      </w:r>
      <w:r w:rsidR="00325369">
        <w:rPr>
          <w:rFonts w:ascii="Arial" w:hAnsi="Arial" w:cs="Arial"/>
          <w:i/>
          <w:iCs/>
          <w:sz w:val="24"/>
          <w:szCs w:val="24"/>
        </w:rPr>
        <w:t>Comm.</w:t>
      </w:r>
      <w:r w:rsidRPr="14191150" w:rsidR="10E305D9">
        <w:rPr>
          <w:rFonts w:ascii="Arial" w:hAnsi="Arial" w:cs="Arial"/>
          <w:sz w:val="24"/>
          <w:szCs w:val="24"/>
        </w:rPr>
        <w:t>, 102 Ohio St.3d 451, 452-53 (2004).</w:t>
      </w:r>
    </w:p>
    <w:p w:rsidR="006A5173" w:rsidP="000E52BF" w:rsidRDefault="69AC2CA6" w14:paraId="5FB2D349" w14:textId="62134220">
      <w:pPr>
        <w:spacing w:after="120" w:line="480" w:lineRule="auto"/>
        <w:ind w:firstLine="720"/>
        <w:jc w:val="both"/>
        <w:rPr>
          <w:rFonts w:ascii="Arial" w:hAnsi="Arial" w:cs="Arial"/>
          <w:sz w:val="24"/>
          <w:szCs w:val="24"/>
        </w:rPr>
      </w:pPr>
      <w:r w:rsidRPr="34DB1F0F">
        <w:rPr>
          <w:rFonts w:ascii="Arial" w:hAnsi="Arial" w:cs="Arial"/>
          <w:sz w:val="24"/>
          <w:szCs w:val="24"/>
        </w:rPr>
        <w:t xml:space="preserve">The purpose of unbundling was to separate the competitive and noncompetitive functions so that customers could “shop” for their competitive retail electric service. </w:t>
      </w:r>
      <w:r w:rsidRPr="34DB1F0F" w:rsidR="0C289EAD">
        <w:rPr>
          <w:rFonts w:ascii="Arial" w:hAnsi="Arial" w:cs="Arial"/>
          <w:sz w:val="24"/>
          <w:szCs w:val="24"/>
        </w:rPr>
        <w:t>As the Supreme Court has noted, the General Assembly “restructured Ohio's electric-utility industry to foster retail competition in the generation component of electric service.”</w:t>
      </w:r>
      <w:r w:rsidRPr="34DB1F0F" w:rsidR="10E305D9">
        <w:rPr>
          <w:rFonts w:ascii="Arial" w:hAnsi="Arial" w:cs="Arial"/>
          <w:sz w:val="24"/>
          <w:szCs w:val="24"/>
        </w:rPr>
        <w:t xml:space="preserve">  </w:t>
      </w:r>
      <w:r w:rsidRPr="34DB1F0F" w:rsidR="10E305D9">
        <w:rPr>
          <w:rFonts w:ascii="Arial" w:hAnsi="Arial" w:cs="Arial"/>
          <w:i/>
          <w:iCs/>
          <w:sz w:val="24"/>
          <w:szCs w:val="24"/>
        </w:rPr>
        <w:t>Industrial Energy Users-Ohio</w:t>
      </w:r>
      <w:r w:rsidR="00546129">
        <w:rPr>
          <w:rFonts w:ascii="Arial" w:hAnsi="Arial" w:cs="Arial"/>
          <w:sz w:val="24"/>
          <w:szCs w:val="24"/>
        </w:rPr>
        <w:t xml:space="preserve"> at</w:t>
      </w:r>
      <w:r w:rsidRPr="34DB1F0F" w:rsidR="10E305D9">
        <w:rPr>
          <w:rFonts w:ascii="Arial" w:hAnsi="Arial" w:cs="Arial"/>
          <w:sz w:val="24"/>
          <w:szCs w:val="24"/>
        </w:rPr>
        <w:t xml:space="preserve"> 487.  </w:t>
      </w:r>
      <w:r w:rsidRPr="34DB1F0F" w:rsidR="3EC2A876">
        <w:rPr>
          <w:rFonts w:ascii="Arial" w:hAnsi="Arial" w:cs="Arial"/>
          <w:sz w:val="24"/>
          <w:szCs w:val="24"/>
        </w:rPr>
        <w:t xml:space="preserve">This goal is explicitly stated in Ohio law: </w:t>
      </w:r>
      <w:r w:rsidRPr="34DB1F0F" w:rsidR="1E3B493C">
        <w:rPr>
          <w:rFonts w:ascii="Arial" w:hAnsi="Arial" w:cs="Arial"/>
          <w:sz w:val="24"/>
          <w:szCs w:val="24"/>
        </w:rPr>
        <w:t>“Beginning on the starting date of competitive retail electric service, retail electric generation, aggregation, power marketing, and power brokerage services supplied to consumers within the certified territory of an electric utility are competitive retail electric services that the consumers may obtain subject to this chapter from any supplier or suppliers.”  R.C. 4928.03(A).  Further, retail electric generation and other services declared competitive were no longer subject to Commission jurisdiction under Chapter 4909 of the Revised Code.</w:t>
      </w:r>
      <w:r w:rsidRPr="34DB1F0F" w:rsidR="0C289EAD">
        <w:rPr>
          <w:rFonts w:ascii="Arial" w:hAnsi="Arial" w:cs="Arial"/>
          <w:sz w:val="24"/>
          <w:szCs w:val="24"/>
        </w:rPr>
        <w:t xml:space="preserve">  To that end, R.C. 4928.05(A)(1) provides, </w:t>
      </w:r>
      <w:r w:rsidRPr="34DB1F0F">
        <w:rPr>
          <w:rFonts w:ascii="Arial" w:hAnsi="Arial" w:cs="Arial"/>
          <w:sz w:val="24"/>
          <w:szCs w:val="24"/>
        </w:rPr>
        <w:t>“</w:t>
      </w:r>
      <w:r w:rsidRPr="34DB1F0F" w:rsidR="0C289EAD">
        <w:rPr>
          <w:rFonts w:ascii="Arial" w:hAnsi="Arial" w:cs="Arial"/>
          <w:sz w:val="24"/>
          <w:szCs w:val="24"/>
        </w:rPr>
        <w:t>[A]</w:t>
      </w:r>
      <w:r w:rsidRPr="34DB1F0F">
        <w:rPr>
          <w:rFonts w:ascii="Arial" w:hAnsi="Arial" w:cs="Arial"/>
          <w:i/>
          <w:iCs/>
          <w:sz w:val="24"/>
          <w:szCs w:val="24"/>
        </w:rPr>
        <w:t xml:space="preserve"> competitive retail electric service supplied by an electric utility or electric services company shall not be subject to supervision and regulation</w:t>
      </w:r>
      <w:r w:rsidRPr="34DB1F0F">
        <w:rPr>
          <w:rFonts w:ascii="Arial" w:hAnsi="Arial" w:cs="Arial"/>
          <w:sz w:val="24"/>
          <w:szCs w:val="24"/>
        </w:rPr>
        <w:t xml:space="preserve"> . . . by the public utilities commission under Chapters </w:t>
      </w:r>
      <w:r w:rsidRPr="34DB1F0F">
        <w:rPr>
          <w:rFonts w:ascii="Arial" w:hAnsi="Arial" w:cs="Arial"/>
          <w:i/>
          <w:iCs/>
          <w:sz w:val="24"/>
          <w:szCs w:val="24"/>
        </w:rPr>
        <w:t>4901. to 4909</w:t>
      </w:r>
      <w:r w:rsidRPr="34DB1F0F">
        <w:rPr>
          <w:rFonts w:ascii="Arial" w:hAnsi="Arial" w:cs="Arial"/>
          <w:sz w:val="24"/>
          <w:szCs w:val="24"/>
        </w:rPr>
        <w:t>., 4933., 4935., and 4963.” (</w:t>
      </w:r>
      <w:r w:rsidRPr="34DB1F0F" w:rsidR="0C289EAD">
        <w:rPr>
          <w:rFonts w:ascii="Arial" w:hAnsi="Arial" w:cs="Arial"/>
          <w:sz w:val="24"/>
          <w:szCs w:val="24"/>
        </w:rPr>
        <w:t>E</w:t>
      </w:r>
      <w:r w:rsidRPr="34DB1F0F">
        <w:rPr>
          <w:rFonts w:ascii="Arial" w:hAnsi="Arial" w:cs="Arial"/>
          <w:sz w:val="24"/>
          <w:szCs w:val="24"/>
        </w:rPr>
        <w:t>mphasis added</w:t>
      </w:r>
      <w:r w:rsidRPr="34DB1F0F" w:rsidR="0C289EAD">
        <w:rPr>
          <w:rFonts w:ascii="Arial" w:hAnsi="Arial" w:cs="Arial"/>
          <w:sz w:val="24"/>
          <w:szCs w:val="24"/>
        </w:rPr>
        <w:t>.</w:t>
      </w:r>
      <w:r w:rsidRPr="34DB1F0F">
        <w:rPr>
          <w:rFonts w:ascii="Arial" w:hAnsi="Arial" w:cs="Arial"/>
          <w:sz w:val="24"/>
          <w:szCs w:val="24"/>
        </w:rPr>
        <w:t xml:space="preserve">)  In other words, the Commission lacks authority to authorize the recovery of costs related to competitive retail electric services in a distribution rate case filed under </w:t>
      </w:r>
      <w:r w:rsidR="00AD736D">
        <w:rPr>
          <w:rFonts w:ascii="Arial" w:hAnsi="Arial" w:cs="Arial"/>
          <w:sz w:val="24"/>
          <w:szCs w:val="24"/>
        </w:rPr>
        <w:t xml:space="preserve">R.C. </w:t>
      </w:r>
      <w:r w:rsidRPr="34DB1F0F">
        <w:rPr>
          <w:rFonts w:ascii="Arial" w:hAnsi="Arial" w:cs="Arial"/>
          <w:sz w:val="24"/>
          <w:szCs w:val="24"/>
        </w:rPr>
        <w:t xml:space="preserve">4909.18.  </w:t>
      </w:r>
    </w:p>
    <w:p w:rsidR="006A5173" w:rsidP="000E52BF" w:rsidRDefault="679C566B" w14:paraId="6A6088E2" w14:textId="655B2108">
      <w:pPr>
        <w:spacing w:after="0" w:line="480" w:lineRule="auto"/>
        <w:ind w:firstLine="720"/>
        <w:jc w:val="both"/>
        <w:rPr>
          <w:rFonts w:ascii="Times New Roman" w:hAnsi="Times New Roman" w:cs="Times New Roman"/>
          <w:sz w:val="24"/>
          <w:szCs w:val="24"/>
        </w:rPr>
      </w:pPr>
      <w:r>
        <w:rPr>
          <w:rFonts w:ascii="Arial" w:hAnsi="Arial" w:cs="Arial"/>
          <w:sz w:val="24"/>
          <w:szCs w:val="24"/>
        </w:rPr>
        <w:lastRenderedPageBreak/>
        <w:t xml:space="preserve">In contrast to distribution services offered as a monopoly service by the electric </w:t>
      </w:r>
      <w:r w:rsidR="002F7C58">
        <w:rPr>
          <w:rFonts w:ascii="Arial" w:hAnsi="Arial" w:cs="Arial"/>
          <w:sz w:val="24"/>
          <w:szCs w:val="24"/>
        </w:rPr>
        <w:t>distribution</w:t>
      </w:r>
      <w:r>
        <w:rPr>
          <w:rFonts w:ascii="Arial" w:hAnsi="Arial" w:cs="Arial"/>
          <w:sz w:val="24"/>
          <w:szCs w:val="24"/>
        </w:rPr>
        <w:t xml:space="preserve"> utility, the standard service offer, by law, is a utility offering of competitive retail electric services. </w:t>
      </w:r>
      <w:r w:rsidRPr="001128CB">
        <w:rPr>
          <w:rFonts w:ascii="Arial" w:hAnsi="Arial" w:cs="Arial"/>
          <w:sz w:val="24"/>
          <w:szCs w:val="24"/>
        </w:rPr>
        <w:t xml:space="preserve">R.C. 4928.03; </w:t>
      </w:r>
      <w:r w:rsidRPr="00CD19C2">
        <w:rPr>
          <w:rFonts w:ascii="Arial" w:hAnsi="Arial" w:cs="Arial"/>
          <w:sz w:val="24"/>
          <w:szCs w:val="24"/>
        </w:rPr>
        <w:t>R</w:t>
      </w:r>
      <w:r w:rsidRPr="00CD19C2" w:rsidR="00FC735E">
        <w:rPr>
          <w:rFonts w:ascii="Arial" w:hAnsi="Arial" w:cs="Arial"/>
          <w:sz w:val="24"/>
          <w:szCs w:val="24"/>
        </w:rPr>
        <w:t>.</w:t>
      </w:r>
      <w:r w:rsidRPr="00CD19C2">
        <w:rPr>
          <w:rFonts w:ascii="Arial" w:hAnsi="Arial" w:cs="Arial"/>
          <w:sz w:val="24"/>
          <w:szCs w:val="24"/>
        </w:rPr>
        <w:t>C</w:t>
      </w:r>
      <w:r w:rsidRPr="001128CB">
        <w:rPr>
          <w:rFonts w:ascii="Arial" w:hAnsi="Arial" w:cs="Arial"/>
          <w:sz w:val="24"/>
          <w:szCs w:val="24"/>
        </w:rPr>
        <w:t xml:space="preserve">. 4928.141 </w:t>
      </w:r>
      <w:r w:rsidRPr="2867BA7E" w:rsidR="1DBB07C0">
        <w:rPr>
          <w:rFonts w:ascii="Arial" w:hAnsi="Arial" w:cs="Arial"/>
          <w:sz w:val="24"/>
          <w:szCs w:val="24"/>
        </w:rPr>
        <w:t>(”a</w:t>
      </w:r>
      <w:r w:rsidRPr="001128CB">
        <w:rPr>
          <w:rFonts w:ascii="Arial" w:hAnsi="Arial" w:cs="Arial"/>
          <w:sz w:val="24"/>
          <w:szCs w:val="24"/>
        </w:rPr>
        <w:t xml:space="preserve"> standard service offer of all competitive retail electric services necessary to maintain essential electric service to consumers”)</w:t>
      </w:r>
      <w:r>
        <w:rPr>
          <w:rFonts w:ascii="Arial" w:hAnsi="Arial" w:cs="Arial"/>
          <w:sz w:val="24"/>
          <w:szCs w:val="24"/>
        </w:rPr>
        <w:t xml:space="preserve">.  This legal treatment follows from the initial underpinnings of </w:t>
      </w:r>
      <w:r w:rsidRPr="2867BA7E" w:rsidR="053EDBFD">
        <w:rPr>
          <w:rFonts w:ascii="Arial" w:hAnsi="Arial" w:cs="Arial"/>
          <w:sz w:val="24"/>
          <w:szCs w:val="24"/>
        </w:rPr>
        <w:t>restructuring of</w:t>
      </w:r>
      <w:r>
        <w:rPr>
          <w:rFonts w:ascii="Arial" w:hAnsi="Arial" w:cs="Arial"/>
          <w:sz w:val="24"/>
          <w:szCs w:val="24"/>
        </w:rPr>
        <w:t xml:space="preserve"> the electric utility industry beginning in 1999.  </w:t>
      </w:r>
      <w:r w:rsidR="004C97E2">
        <w:rPr>
          <w:rFonts w:ascii="Arial" w:hAnsi="Arial" w:cs="Arial"/>
          <w:sz w:val="24"/>
          <w:szCs w:val="24"/>
        </w:rPr>
        <w:t>In S</w:t>
      </w:r>
      <w:r w:rsidRPr="2867BA7E" w:rsidR="1CAEA48B">
        <w:rPr>
          <w:rFonts w:ascii="Arial" w:hAnsi="Arial" w:cs="Arial"/>
          <w:sz w:val="24"/>
          <w:szCs w:val="24"/>
        </w:rPr>
        <w:t>.</w:t>
      </w:r>
      <w:r w:rsidR="004C97E2">
        <w:rPr>
          <w:rFonts w:ascii="Arial" w:hAnsi="Arial" w:cs="Arial"/>
          <w:sz w:val="24"/>
          <w:szCs w:val="24"/>
        </w:rPr>
        <w:t>B</w:t>
      </w:r>
      <w:r w:rsidRPr="2867BA7E" w:rsidR="726F889D">
        <w:rPr>
          <w:rFonts w:ascii="Arial" w:hAnsi="Arial" w:cs="Arial"/>
          <w:sz w:val="24"/>
          <w:szCs w:val="24"/>
        </w:rPr>
        <w:t>.</w:t>
      </w:r>
      <w:r w:rsidR="004C97E2">
        <w:rPr>
          <w:rFonts w:ascii="Arial" w:hAnsi="Arial" w:cs="Arial"/>
          <w:sz w:val="24"/>
          <w:szCs w:val="24"/>
        </w:rPr>
        <w:t xml:space="preserve"> 3, the General Assembly provided that the electric distribution utility would be authorized to serve as the default generation service provider, but its role in securing electric generation supply was eventually </w:t>
      </w:r>
      <w:r w:rsidRPr="00DF5A36" w:rsidR="008C6664">
        <w:rPr>
          <w:rFonts w:ascii="Arial" w:hAnsi="Arial" w:cs="Arial"/>
          <w:sz w:val="24"/>
          <w:szCs w:val="24"/>
        </w:rPr>
        <w:t xml:space="preserve">limited </w:t>
      </w:r>
      <w:r>
        <w:rPr>
          <w:rFonts w:ascii="Arial" w:hAnsi="Arial" w:cs="Arial"/>
          <w:sz w:val="24"/>
          <w:szCs w:val="24"/>
        </w:rPr>
        <w:t xml:space="preserve">to securing supply through </w:t>
      </w:r>
      <w:r w:rsidR="004C97E2">
        <w:rPr>
          <w:rFonts w:ascii="Arial" w:hAnsi="Arial" w:cs="Arial"/>
          <w:sz w:val="24"/>
          <w:szCs w:val="24"/>
        </w:rPr>
        <w:t>competitive bidding process.  R.C. 4928.14(B) (</w:t>
      </w:r>
      <w:r w:rsidRPr="2867BA7E" w:rsidR="66E61061">
        <w:rPr>
          <w:rFonts w:ascii="Arial" w:hAnsi="Arial" w:cs="Arial"/>
          <w:sz w:val="24"/>
          <w:szCs w:val="24"/>
        </w:rPr>
        <w:t>superseded</w:t>
      </w:r>
      <w:r w:rsidR="004C97E2">
        <w:rPr>
          <w:rFonts w:ascii="Arial" w:hAnsi="Arial" w:cs="Arial"/>
          <w:sz w:val="24"/>
          <w:szCs w:val="24"/>
        </w:rPr>
        <w:t xml:space="preserve"> in 2007).  </w:t>
      </w:r>
      <w:r>
        <w:rPr>
          <w:rFonts w:ascii="Arial" w:hAnsi="Arial" w:cs="Arial"/>
          <w:sz w:val="24"/>
          <w:szCs w:val="24"/>
        </w:rPr>
        <w:t xml:space="preserve">In subsequent legislation, Amended Substitute Bill 221, the General Assembly permitted electric utilities to continue to self-source generation supply, but that option has been supplanted by a Commission-encouraged switch to competitively sourced generation supply.  </w:t>
      </w:r>
      <w:r w:rsidR="004C97E2">
        <w:rPr>
          <w:rFonts w:ascii="Arial" w:hAnsi="Arial" w:cs="Arial"/>
          <w:sz w:val="24"/>
          <w:szCs w:val="24"/>
        </w:rPr>
        <w:t xml:space="preserve">While the transition to a competitively bid </w:t>
      </w:r>
      <w:r>
        <w:rPr>
          <w:rFonts w:ascii="Arial" w:hAnsi="Arial" w:cs="Arial"/>
          <w:sz w:val="24"/>
          <w:szCs w:val="24"/>
        </w:rPr>
        <w:t xml:space="preserve">standard service offer was slow in coming, eventually Ohio Power and </w:t>
      </w:r>
      <w:r w:rsidRPr="2867BA7E" w:rsidR="70CE7AC1">
        <w:rPr>
          <w:rFonts w:ascii="Arial" w:hAnsi="Arial" w:cs="Arial"/>
          <w:sz w:val="24"/>
          <w:szCs w:val="24"/>
        </w:rPr>
        <w:t xml:space="preserve">the other </w:t>
      </w:r>
      <w:r>
        <w:rPr>
          <w:rFonts w:ascii="Arial" w:hAnsi="Arial" w:cs="Arial"/>
          <w:sz w:val="24"/>
          <w:szCs w:val="24"/>
        </w:rPr>
        <w:t xml:space="preserve">electric distribution utilities have all replaced self-supply with generation supply secured through a competitive bidding process.  </w:t>
      </w:r>
    </w:p>
    <w:p w:rsidR="006A5173" w:rsidP="007E27BD" w:rsidRDefault="00633A46" w14:paraId="0D4E14A7" w14:textId="755D51E5">
      <w:pPr>
        <w:spacing w:after="0" w:line="480" w:lineRule="auto"/>
        <w:ind w:firstLine="720"/>
        <w:jc w:val="both"/>
        <w:rPr>
          <w:rFonts w:ascii="Arial" w:hAnsi="Arial" w:cs="Arial"/>
          <w:sz w:val="24"/>
          <w:szCs w:val="24"/>
        </w:rPr>
      </w:pPr>
      <w:r w:rsidRPr="1B63955B">
        <w:rPr>
          <w:rFonts w:ascii="Arial" w:hAnsi="Arial" w:cs="Arial"/>
          <w:sz w:val="24"/>
          <w:szCs w:val="24"/>
        </w:rPr>
        <w:t xml:space="preserve">Often ignored but particularly important in this case, the General Assembly also sought to assure that electric customers would have nondiscriminatory access to monopoly services.  This policy is also expressed in R.C. 4928.03: “Beginning on the starting date of competitive retail electric service and notwithstanding any other provision of law, each consumer in this state and the suppliers to a consumer shall have comparable and nondiscriminatory access to noncompetitive retail electric services of an electric utility in this state within its certified territory for the purpose of satisfying the </w:t>
      </w:r>
      <w:r w:rsidRPr="1B63955B">
        <w:rPr>
          <w:rFonts w:ascii="Arial" w:hAnsi="Arial" w:cs="Arial"/>
          <w:sz w:val="24"/>
          <w:szCs w:val="24"/>
        </w:rPr>
        <w:lastRenderedPageBreak/>
        <w:t>consumer's electricity requirements in keeping with the policy specified in section 4928.02 of the Revised Code.</w:t>
      </w:r>
      <w:r w:rsidRPr="1B63955B" w:rsidR="00CB3DB8">
        <w:rPr>
          <w:rFonts w:ascii="Arial" w:hAnsi="Arial" w:cs="Arial"/>
          <w:sz w:val="24"/>
          <w:szCs w:val="24"/>
        </w:rPr>
        <w:t>”</w:t>
      </w:r>
      <w:r w:rsidRPr="1B63955B">
        <w:rPr>
          <w:rFonts w:ascii="Arial" w:hAnsi="Arial" w:cs="Arial"/>
          <w:sz w:val="24"/>
          <w:szCs w:val="24"/>
        </w:rPr>
        <w:t xml:space="preserve">  </w:t>
      </w:r>
      <w:r w:rsidRPr="1B63955B" w:rsidR="00C94FF2">
        <w:rPr>
          <w:rFonts w:ascii="Arial" w:hAnsi="Arial" w:cs="Arial"/>
          <w:sz w:val="24"/>
          <w:szCs w:val="24"/>
        </w:rPr>
        <w:t>This requirement is rooted in the state electric policy that seeks to</w:t>
      </w:r>
      <w:r w:rsidRPr="1B63955B" w:rsidR="006A5173">
        <w:rPr>
          <w:rFonts w:ascii="Arial" w:hAnsi="Arial" w:cs="Arial"/>
          <w:sz w:val="24"/>
          <w:szCs w:val="24"/>
        </w:rPr>
        <w:t xml:space="preserve"> “[e]</w:t>
      </w:r>
      <w:proofErr w:type="spellStart"/>
      <w:r w:rsidRPr="1B63955B" w:rsidR="006A5173">
        <w:rPr>
          <w:rFonts w:ascii="Arial" w:hAnsi="Arial" w:cs="Arial"/>
          <w:sz w:val="24"/>
          <w:szCs w:val="24"/>
        </w:rPr>
        <w:t>nsure</w:t>
      </w:r>
      <w:proofErr w:type="spellEnd"/>
      <w:r w:rsidRPr="1B63955B" w:rsidR="006A5173">
        <w:rPr>
          <w:rFonts w:ascii="Arial" w:hAnsi="Arial" w:cs="Arial"/>
          <w:sz w:val="24"/>
          <w:szCs w:val="24"/>
        </w:rPr>
        <w:t xml:space="preserve"> the availability of unbundled and comparable retail electric service” </w:t>
      </w:r>
      <w:r w:rsidRPr="1B63955B">
        <w:rPr>
          <w:rFonts w:ascii="Arial" w:hAnsi="Arial" w:cs="Arial"/>
          <w:sz w:val="24"/>
          <w:szCs w:val="24"/>
        </w:rPr>
        <w:t>and</w:t>
      </w:r>
      <w:r w:rsidRPr="1B63955B" w:rsidR="006A5173">
        <w:rPr>
          <w:rFonts w:ascii="Arial" w:hAnsi="Arial" w:cs="Arial"/>
          <w:sz w:val="24"/>
          <w:szCs w:val="24"/>
        </w:rPr>
        <w:t xml:space="preserve"> “nondiscriminatory, and reasonably priced retail electric service.”  </w:t>
      </w:r>
      <w:r w:rsidRPr="1B63955B">
        <w:rPr>
          <w:rFonts w:ascii="Arial" w:hAnsi="Arial" w:cs="Arial"/>
          <w:sz w:val="24"/>
          <w:szCs w:val="24"/>
        </w:rPr>
        <w:t>R.C. 4928.02(A)</w:t>
      </w:r>
      <w:r w:rsidR="00A10D1A">
        <w:rPr>
          <w:rFonts w:ascii="Arial" w:hAnsi="Arial" w:cs="Arial"/>
          <w:sz w:val="24"/>
          <w:szCs w:val="24"/>
        </w:rPr>
        <w:t>,</w:t>
      </w:r>
      <w:r w:rsidRPr="1B63955B">
        <w:rPr>
          <w:rFonts w:ascii="Arial" w:hAnsi="Arial" w:cs="Arial"/>
          <w:sz w:val="24"/>
          <w:szCs w:val="24"/>
        </w:rPr>
        <w:t xml:space="preserve"> (B).  </w:t>
      </w:r>
      <w:r w:rsidRPr="1B63955B" w:rsidR="00C94FF2">
        <w:rPr>
          <w:rFonts w:ascii="Arial" w:hAnsi="Arial" w:cs="Arial"/>
          <w:sz w:val="24"/>
          <w:szCs w:val="24"/>
        </w:rPr>
        <w:t>It also rests on the Commission’s role in assuring that the competitive market is not frustrated by cross-subsidies.  To that end, t</w:t>
      </w:r>
      <w:r w:rsidRPr="1B63955B" w:rsidR="00CB3DB8">
        <w:rPr>
          <w:rFonts w:ascii="Arial" w:hAnsi="Arial" w:cs="Arial"/>
          <w:sz w:val="24"/>
          <w:szCs w:val="24"/>
        </w:rPr>
        <w:t>he</w:t>
      </w:r>
      <w:r w:rsidRPr="1B63955B" w:rsidR="006A5173">
        <w:rPr>
          <w:rFonts w:ascii="Arial" w:hAnsi="Arial" w:cs="Arial"/>
          <w:sz w:val="24"/>
          <w:szCs w:val="24"/>
        </w:rPr>
        <w:t xml:space="preserve"> Commission</w:t>
      </w:r>
      <w:r w:rsidRPr="1B63955B" w:rsidR="00CB3DB8">
        <w:rPr>
          <w:rFonts w:ascii="Arial" w:hAnsi="Arial" w:cs="Arial"/>
          <w:sz w:val="24"/>
          <w:szCs w:val="24"/>
        </w:rPr>
        <w:t xml:space="preserve"> also</w:t>
      </w:r>
      <w:r w:rsidRPr="1B63955B" w:rsidR="006A5173">
        <w:rPr>
          <w:rFonts w:ascii="Arial" w:hAnsi="Arial" w:cs="Arial"/>
          <w:sz w:val="24"/>
          <w:szCs w:val="24"/>
        </w:rPr>
        <w:t xml:space="preserve"> must “[e]</w:t>
      </w:r>
      <w:proofErr w:type="spellStart"/>
      <w:r w:rsidRPr="1B63955B" w:rsidR="006A5173">
        <w:rPr>
          <w:rFonts w:ascii="Arial" w:hAnsi="Arial" w:cs="Arial"/>
          <w:sz w:val="24"/>
          <w:szCs w:val="24"/>
        </w:rPr>
        <w:t>nsure</w:t>
      </w:r>
      <w:proofErr w:type="spellEnd"/>
      <w:r w:rsidRPr="1B63955B" w:rsidR="006A5173">
        <w:rPr>
          <w:rFonts w:ascii="Arial" w:hAnsi="Arial" w:cs="Arial"/>
          <w:sz w:val="24"/>
          <w:szCs w:val="24"/>
        </w:rPr>
        <w:t xml:space="preserv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  </w:t>
      </w:r>
      <w:r w:rsidRPr="1B63955B">
        <w:rPr>
          <w:rFonts w:ascii="Arial" w:hAnsi="Arial" w:cs="Arial"/>
          <w:sz w:val="24"/>
          <w:szCs w:val="24"/>
        </w:rPr>
        <w:t>R.C. 4928.02(H).</w:t>
      </w:r>
    </w:p>
    <w:p w:rsidRPr="00CD19C2" w:rsidR="004471F6" w:rsidP="000E52BF" w:rsidRDefault="7D230F6F" w14:paraId="0247D896" w14:textId="3B8E4CD4">
      <w:pPr>
        <w:spacing w:after="0" w:line="480" w:lineRule="auto"/>
        <w:ind w:firstLine="720"/>
        <w:jc w:val="both"/>
        <w:rPr>
          <w:rFonts w:ascii="Arial" w:hAnsi="Arial" w:cs="Arial"/>
          <w:sz w:val="24"/>
          <w:szCs w:val="24"/>
          <w:shd w:val="clear" w:color="auto" w:fill="FFFFFF"/>
        </w:rPr>
      </w:pPr>
      <w:r>
        <w:rPr>
          <w:rFonts w:ascii="Arial" w:hAnsi="Arial" w:cs="Arial"/>
          <w:sz w:val="24"/>
          <w:szCs w:val="24"/>
        </w:rPr>
        <w:t xml:space="preserve">While the law and the </w:t>
      </w:r>
      <w:r w:rsidR="59DB6A1F">
        <w:rPr>
          <w:rFonts w:ascii="Arial" w:hAnsi="Arial" w:cs="Arial"/>
          <w:sz w:val="24"/>
          <w:szCs w:val="24"/>
        </w:rPr>
        <w:t xml:space="preserve">state energy </w:t>
      </w:r>
      <w:r>
        <w:rPr>
          <w:rFonts w:ascii="Arial" w:hAnsi="Arial" w:cs="Arial"/>
          <w:sz w:val="24"/>
          <w:szCs w:val="24"/>
        </w:rPr>
        <w:t>policy supporting unbundling are clear, the electric utilities have</w:t>
      </w:r>
      <w:r w:rsidRPr="0827910D" w:rsidR="6150126A">
        <w:rPr>
          <w:rFonts w:ascii="Arial" w:hAnsi="Arial" w:cs="Arial"/>
          <w:sz w:val="24"/>
          <w:szCs w:val="24"/>
        </w:rPr>
        <w:t>,</w:t>
      </w:r>
      <w:r>
        <w:rPr>
          <w:rFonts w:ascii="Arial" w:hAnsi="Arial" w:cs="Arial"/>
          <w:sz w:val="24"/>
          <w:szCs w:val="24"/>
        </w:rPr>
        <w:t xml:space="preserve"> with Commission support</w:t>
      </w:r>
      <w:r w:rsidRPr="0827910D" w:rsidR="54922F0D">
        <w:rPr>
          <w:rFonts w:ascii="Arial" w:hAnsi="Arial" w:cs="Arial"/>
          <w:sz w:val="24"/>
          <w:szCs w:val="24"/>
        </w:rPr>
        <w:t>,</w:t>
      </w:r>
      <w:r w:rsidRPr="0827910D" w:rsidR="7CEB3466">
        <w:rPr>
          <w:rFonts w:ascii="Arial" w:hAnsi="Arial" w:cs="Arial"/>
          <w:sz w:val="24"/>
          <w:szCs w:val="24"/>
        </w:rPr>
        <w:t xml:space="preserve"> often </w:t>
      </w:r>
      <w:r>
        <w:rPr>
          <w:rFonts w:ascii="Arial" w:hAnsi="Arial" w:cs="Arial"/>
          <w:sz w:val="24"/>
          <w:szCs w:val="24"/>
        </w:rPr>
        <w:t xml:space="preserve">attempted to collect generation related costs through distribution charges.  For example, </w:t>
      </w:r>
      <w:r w:rsidR="59DB6A1F">
        <w:rPr>
          <w:rFonts w:ascii="Arial" w:hAnsi="Arial" w:cs="Arial"/>
          <w:sz w:val="24"/>
          <w:szCs w:val="24"/>
        </w:rPr>
        <w:t xml:space="preserve">in </w:t>
      </w:r>
      <w:r w:rsidRPr="0827910D" w:rsidR="207AC4FD">
        <w:rPr>
          <w:rFonts w:ascii="Arial" w:hAnsi="Arial" w:cs="Arial"/>
          <w:i/>
          <w:iCs/>
          <w:sz w:val="24"/>
          <w:szCs w:val="24"/>
        </w:rPr>
        <w:t>Elyria Foundry</w:t>
      </w:r>
      <w:r w:rsidR="207AC4FD">
        <w:rPr>
          <w:rFonts w:ascii="Arial" w:hAnsi="Arial" w:cs="Arial"/>
          <w:sz w:val="24"/>
          <w:szCs w:val="24"/>
        </w:rPr>
        <w:t>,</w:t>
      </w:r>
      <w:r w:rsidR="207AC4FD">
        <w:t xml:space="preserve"> </w:t>
      </w:r>
      <w:r w:rsidR="207AC4FD">
        <w:rPr>
          <w:rFonts w:ascii="Arial" w:hAnsi="Arial" w:cs="Arial"/>
          <w:sz w:val="24"/>
          <w:szCs w:val="24"/>
        </w:rPr>
        <w:t>14 Ohio St.3d 305 (2007), the Commission authorized FirstEnergy to recover SSO-related fuel costs through distribution rates.  Following an appeal, the Court held that “</w:t>
      </w:r>
      <w:r w:rsidRPr="00CD19C2" w:rsidR="207AC4FD">
        <w:rPr>
          <w:rFonts w:ascii="Arial" w:hAnsi="Arial" w:cs="Arial"/>
          <w:sz w:val="24"/>
          <w:szCs w:val="24"/>
          <w:shd w:val="clear" w:color="auto" w:fill="FFFFFF"/>
        </w:rPr>
        <w:t>[f]</w:t>
      </w:r>
      <w:proofErr w:type="spellStart"/>
      <w:r w:rsidRPr="00CD19C2" w:rsidR="207AC4FD">
        <w:rPr>
          <w:rFonts w:ascii="Arial" w:hAnsi="Arial" w:cs="Arial"/>
          <w:sz w:val="24"/>
          <w:szCs w:val="24"/>
          <w:shd w:val="clear" w:color="auto" w:fill="FFFFFF"/>
        </w:rPr>
        <w:t>uel</w:t>
      </w:r>
      <w:proofErr w:type="spellEnd"/>
      <w:r w:rsidRPr="00CD19C2" w:rsidR="207AC4FD">
        <w:rPr>
          <w:rFonts w:ascii="Arial" w:hAnsi="Arial" w:cs="Arial"/>
          <w:sz w:val="24"/>
          <w:szCs w:val="24"/>
          <w:shd w:val="clear" w:color="auto" w:fill="FFFFFF"/>
        </w:rPr>
        <w:t xml:space="preserve">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commission violated R.C. 4928.02(G).”  </w:t>
      </w:r>
      <w:r w:rsidRPr="00CD19C2" w:rsidR="207AC4FD">
        <w:rPr>
          <w:rFonts w:ascii="Arial" w:hAnsi="Arial" w:cs="Arial"/>
          <w:i/>
          <w:sz w:val="24"/>
          <w:szCs w:val="24"/>
          <w:shd w:val="clear" w:color="auto" w:fill="FFFFFF"/>
        </w:rPr>
        <w:t>Id.</w:t>
      </w:r>
      <w:r w:rsidRPr="00CD19C2" w:rsidR="207AC4FD">
        <w:rPr>
          <w:rFonts w:ascii="Arial" w:hAnsi="Arial" w:cs="Arial"/>
          <w:sz w:val="24"/>
          <w:szCs w:val="24"/>
          <w:shd w:val="clear" w:color="auto" w:fill="FFFFFF"/>
        </w:rPr>
        <w:t xml:space="preserve"> at 315.  </w:t>
      </w:r>
    </w:p>
    <w:p w:rsidRPr="00CD19C2" w:rsidR="00C94FF2" w:rsidP="00C94FF2" w:rsidRDefault="624119FF" w14:paraId="3B64B289" w14:textId="190CAAB8">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Thus, Ohio law and the state energy policy require the Commission to unbundle costs used to supply the standard service offer from distribution rates.  The statutes ordering transition and the sections governing the Commission’s ratemaking authority </w:t>
      </w:r>
      <w:r w:rsidRPr="00CD19C2" w:rsidR="04545C95">
        <w:rPr>
          <w:rFonts w:ascii="Arial" w:hAnsi="Arial" w:cs="Arial"/>
          <w:sz w:val="24"/>
          <w:szCs w:val="24"/>
          <w:shd w:val="clear" w:color="auto" w:fill="FFFFFF"/>
        </w:rPr>
        <w:lastRenderedPageBreak/>
        <w:t>mandate</w:t>
      </w:r>
      <w:r w:rsidRPr="00CD19C2">
        <w:rPr>
          <w:rFonts w:ascii="Arial" w:hAnsi="Arial" w:cs="Arial"/>
          <w:sz w:val="24"/>
          <w:szCs w:val="24"/>
          <w:shd w:val="clear" w:color="auto" w:fill="FFFFFF"/>
        </w:rPr>
        <w:t xml:space="preserve"> separation of generation-related costs from recovery through distribution rates.  Further, state policy precludes the Commission from </w:t>
      </w:r>
      <w:r w:rsidRPr="00CD19C2" w:rsidR="47F6309C">
        <w:rPr>
          <w:rFonts w:ascii="Arial" w:hAnsi="Arial" w:cs="Arial"/>
          <w:sz w:val="24"/>
          <w:szCs w:val="24"/>
        </w:rPr>
        <w:t>authorizing distribution</w:t>
      </w:r>
      <w:r w:rsidRPr="00CD19C2" w:rsidR="194E0A65">
        <w:rPr>
          <w:rFonts w:ascii="Arial" w:hAnsi="Arial" w:cs="Arial"/>
          <w:sz w:val="24"/>
          <w:szCs w:val="24"/>
        </w:rPr>
        <w:t xml:space="preserve"> </w:t>
      </w:r>
      <w:r w:rsidRPr="00CD19C2" w:rsidR="04545C95">
        <w:rPr>
          <w:rFonts w:ascii="Arial" w:hAnsi="Arial" w:cs="Arial"/>
          <w:sz w:val="24"/>
          <w:szCs w:val="24"/>
          <w:shd w:val="clear" w:color="auto" w:fill="FFFFFF"/>
        </w:rPr>
        <w:t>rate</w:t>
      </w:r>
      <w:r w:rsidRPr="00CD19C2" w:rsidR="0AB9988C">
        <w:rPr>
          <w:rFonts w:ascii="Arial" w:hAnsi="Arial" w:cs="Arial"/>
          <w:sz w:val="24"/>
          <w:szCs w:val="24"/>
        </w:rPr>
        <w:t>s</w:t>
      </w:r>
      <w:r w:rsidRPr="00CD19C2" w:rsidR="04545C95">
        <w:rPr>
          <w:rFonts w:ascii="Arial" w:hAnsi="Arial" w:cs="Arial"/>
          <w:sz w:val="24"/>
          <w:szCs w:val="24"/>
          <w:shd w:val="clear" w:color="auto" w:fill="FFFFFF"/>
        </w:rPr>
        <w:t xml:space="preserve"> that </w:t>
      </w:r>
      <w:r w:rsidRPr="00CD19C2">
        <w:rPr>
          <w:rFonts w:ascii="Arial" w:hAnsi="Arial" w:cs="Arial"/>
          <w:sz w:val="24"/>
          <w:szCs w:val="24"/>
          <w:shd w:val="clear" w:color="auto" w:fill="FFFFFF"/>
        </w:rPr>
        <w:t>subsidiz</w:t>
      </w:r>
      <w:r w:rsidRPr="00CD19C2" w:rsidR="04545C95">
        <w:rPr>
          <w:rFonts w:ascii="Arial" w:hAnsi="Arial" w:cs="Arial"/>
          <w:sz w:val="24"/>
          <w:szCs w:val="24"/>
          <w:shd w:val="clear" w:color="auto" w:fill="FFFFFF"/>
        </w:rPr>
        <w:t>e</w:t>
      </w:r>
      <w:r w:rsidRPr="00CD19C2" w:rsidR="47F6309C">
        <w:rPr>
          <w:rFonts w:ascii="Arial" w:hAnsi="Arial" w:cs="Arial"/>
          <w:sz w:val="24"/>
          <w:szCs w:val="24"/>
        </w:rPr>
        <w:t xml:space="preserve"> </w:t>
      </w:r>
      <w:r w:rsidRPr="00CD19C2" w:rsidR="7DBF0D64">
        <w:rPr>
          <w:rFonts w:ascii="Arial" w:hAnsi="Arial" w:cs="Arial"/>
          <w:sz w:val="24"/>
          <w:szCs w:val="24"/>
        </w:rPr>
        <w:t xml:space="preserve">a </w:t>
      </w:r>
      <w:r w:rsidRPr="00CD19C2">
        <w:rPr>
          <w:rFonts w:ascii="Arial" w:hAnsi="Arial" w:cs="Arial"/>
          <w:sz w:val="24"/>
          <w:szCs w:val="24"/>
          <w:shd w:val="clear" w:color="auto" w:fill="FFFFFF"/>
        </w:rPr>
        <w:t>generation service</w:t>
      </w:r>
      <w:r w:rsidRPr="00CD19C2" w:rsidR="5755FF55">
        <w:rPr>
          <w:rFonts w:ascii="Arial" w:hAnsi="Arial" w:cs="Arial"/>
          <w:sz w:val="24"/>
          <w:szCs w:val="24"/>
        </w:rPr>
        <w:t>.</w:t>
      </w:r>
      <w:r w:rsidRPr="00CD19C2">
        <w:rPr>
          <w:rFonts w:ascii="Arial" w:hAnsi="Arial" w:cs="Arial"/>
          <w:sz w:val="24"/>
          <w:szCs w:val="24"/>
          <w:shd w:val="clear" w:color="auto" w:fill="FFFFFF"/>
        </w:rPr>
        <w:t xml:space="preserve">   </w:t>
      </w:r>
      <w:r w:rsidRPr="00CD19C2" w:rsidR="246BC9B3">
        <w:rPr>
          <w:rFonts w:ascii="Arial" w:hAnsi="Arial" w:cs="Arial"/>
          <w:sz w:val="24"/>
          <w:szCs w:val="24"/>
          <w:shd w:val="clear" w:color="auto" w:fill="FFFFFF"/>
        </w:rPr>
        <w:t xml:space="preserve">Initially, therefore, the Commission is under a legal requirement to properly assign the collection </w:t>
      </w:r>
      <w:r w:rsidRPr="00CD19C2" w:rsidR="45E7487E">
        <w:rPr>
          <w:rFonts w:ascii="Arial" w:hAnsi="Arial" w:cs="Arial"/>
          <w:sz w:val="24"/>
          <w:szCs w:val="24"/>
        </w:rPr>
        <w:t>of costs</w:t>
      </w:r>
      <w:r w:rsidRPr="00CD19C2" w:rsidR="246BC9B3">
        <w:rPr>
          <w:rFonts w:ascii="Arial" w:hAnsi="Arial" w:cs="Arial"/>
          <w:sz w:val="24"/>
          <w:szCs w:val="24"/>
          <w:shd w:val="clear" w:color="auto" w:fill="FFFFFF"/>
        </w:rPr>
        <w:t xml:space="preserve"> of the standard service offer to the customers that use that service, not distribution customers generally.</w:t>
      </w:r>
      <w:r w:rsidRPr="00CD19C2" w:rsidR="04545C95">
        <w:rPr>
          <w:rFonts w:ascii="Arial" w:hAnsi="Arial" w:cs="Arial"/>
          <w:sz w:val="24"/>
          <w:szCs w:val="24"/>
          <w:shd w:val="clear" w:color="auto" w:fill="FFFFFF"/>
        </w:rPr>
        <w:t xml:space="preserve">  As discussed below, the proposal to set the Retail Reconciliation Rider and SSO Credit Rider at zero violates these legal requirements for establishing distribution rates. </w:t>
      </w:r>
    </w:p>
    <w:p w:rsidRPr="00B83C59" w:rsidR="004471F6" w:rsidP="00B83C59" w:rsidRDefault="004471F6" w14:paraId="2A126918" w14:textId="2477711F">
      <w:pPr>
        <w:pStyle w:val="Heading3"/>
        <w:numPr>
          <w:ilvl w:val="0"/>
          <w:numId w:val="6"/>
        </w:numPr>
        <w:rPr>
          <w:b/>
          <w:shd w:val="clear" w:color="auto" w:fill="FFFFFF"/>
        </w:rPr>
      </w:pPr>
      <w:bookmarkStart w:name="_Toc73104530" w:id="21"/>
      <w:bookmarkStart w:name="_Toc74573085" w:id="22"/>
      <w:r w:rsidRPr="00B83C59">
        <w:rPr>
          <w:b/>
          <w:shd w:val="clear" w:color="auto" w:fill="FFFFFF"/>
        </w:rPr>
        <w:t xml:space="preserve">Sound economic policy </w:t>
      </w:r>
      <w:r w:rsidRPr="00B83C59" w:rsidR="001128CB">
        <w:rPr>
          <w:b/>
        </w:rPr>
        <w:t>supports a decision</w:t>
      </w:r>
      <w:r w:rsidRPr="00B83C59">
        <w:rPr>
          <w:b/>
        </w:rPr>
        <w:t xml:space="preserve"> to unbundle costs used to supply the standard service offer from distribution rates</w:t>
      </w:r>
      <w:bookmarkEnd w:id="21"/>
      <w:r w:rsidRPr="00B83C59" w:rsidR="00106419">
        <w:rPr>
          <w:b/>
        </w:rPr>
        <w:t>.</w:t>
      </w:r>
      <w:bookmarkEnd w:id="22"/>
    </w:p>
    <w:p w:rsidRPr="00CD19C2" w:rsidR="004471F6" w:rsidP="000E52BF" w:rsidRDefault="04545C95" w14:paraId="52E81556" w14:textId="5D17CB4F">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The requirements of</w:t>
      </w:r>
      <w:r w:rsidRPr="00CD19C2" w:rsidR="246BC9B3">
        <w:rPr>
          <w:rFonts w:ascii="Arial" w:hAnsi="Arial" w:cs="Arial"/>
          <w:sz w:val="24"/>
          <w:szCs w:val="24"/>
          <w:shd w:val="clear" w:color="auto" w:fill="FFFFFF"/>
        </w:rPr>
        <w:t xml:space="preserve"> Ohio law </w:t>
      </w:r>
      <w:r w:rsidRPr="00CD19C2">
        <w:rPr>
          <w:rFonts w:ascii="Arial" w:hAnsi="Arial" w:cs="Arial"/>
          <w:sz w:val="24"/>
          <w:szCs w:val="24"/>
          <w:shd w:val="clear" w:color="auto" w:fill="FFFFFF"/>
        </w:rPr>
        <w:t>rest on</w:t>
      </w:r>
      <w:r w:rsidRPr="00CD19C2" w:rsidR="246BC9B3">
        <w:rPr>
          <w:rFonts w:ascii="Arial" w:hAnsi="Arial" w:cs="Arial"/>
          <w:sz w:val="24"/>
          <w:szCs w:val="24"/>
          <w:shd w:val="clear" w:color="auto" w:fill="FFFFFF"/>
        </w:rPr>
        <w:t xml:space="preserve"> sound economic policy</w:t>
      </w:r>
      <w:r w:rsidRPr="00CD19C2">
        <w:rPr>
          <w:rFonts w:ascii="Arial" w:hAnsi="Arial" w:cs="Arial"/>
          <w:sz w:val="24"/>
          <w:szCs w:val="24"/>
          <w:shd w:val="clear" w:color="auto" w:fill="FFFFFF"/>
        </w:rPr>
        <w:t>.  The economic logic is straight-forward</w:t>
      </w:r>
      <w:r w:rsidRPr="00CD19C2" w:rsidR="246BC9B3">
        <w:rPr>
          <w:rFonts w:ascii="Arial" w:hAnsi="Arial" w:cs="Arial"/>
          <w:sz w:val="24"/>
          <w:szCs w:val="24"/>
          <w:shd w:val="clear" w:color="auto" w:fill="FFFFFF"/>
        </w:rPr>
        <w:t>.  If s</w:t>
      </w:r>
      <w:r w:rsidRPr="00CD19C2" w:rsidR="00D46434">
        <w:rPr>
          <w:rFonts w:ascii="Arial" w:hAnsi="Arial" w:cs="Arial"/>
          <w:sz w:val="24"/>
          <w:szCs w:val="24"/>
          <w:shd w:val="clear" w:color="auto" w:fill="FFFFFF"/>
        </w:rPr>
        <w:t>tandard service offer rates are set artificially low because distribution rates socialize some of the cost of providing the service</w:t>
      </w:r>
      <w:r w:rsidRPr="00CD19C2" w:rsidR="246BC9B3">
        <w:rPr>
          <w:rFonts w:ascii="Arial" w:hAnsi="Arial" w:cs="Arial"/>
          <w:sz w:val="24"/>
          <w:szCs w:val="24"/>
          <w:shd w:val="clear" w:color="auto" w:fill="FFFFFF"/>
        </w:rPr>
        <w:t>, t</w:t>
      </w:r>
      <w:r w:rsidRPr="00CD19C2" w:rsidR="00D46434">
        <w:rPr>
          <w:rFonts w:ascii="Arial" w:hAnsi="Arial" w:cs="Arial"/>
          <w:sz w:val="24"/>
          <w:szCs w:val="24"/>
          <w:shd w:val="clear" w:color="auto" w:fill="FFFFFF"/>
        </w:rPr>
        <w:t xml:space="preserve">his artificially </w:t>
      </w:r>
      <w:r w:rsidRPr="00CD19C2" w:rsidR="27BEF31F">
        <w:rPr>
          <w:rFonts w:ascii="Arial" w:hAnsi="Arial" w:cs="Arial"/>
          <w:sz w:val="24"/>
          <w:szCs w:val="24"/>
        </w:rPr>
        <w:t>low-price</w:t>
      </w:r>
      <w:r w:rsidRPr="00CD19C2" w:rsidR="00D46434">
        <w:rPr>
          <w:rFonts w:ascii="Arial" w:hAnsi="Arial" w:cs="Arial"/>
          <w:sz w:val="24"/>
          <w:szCs w:val="24"/>
          <w:shd w:val="clear" w:color="auto" w:fill="FFFFFF"/>
        </w:rPr>
        <w:t xml:space="preserve"> leads to two unreasonable outcomes.  First, the price signals provided</w:t>
      </w:r>
      <w:r w:rsidRPr="00CD19C2">
        <w:rPr>
          <w:rFonts w:ascii="Arial" w:hAnsi="Arial" w:cs="Arial"/>
          <w:sz w:val="24"/>
          <w:szCs w:val="24"/>
          <w:shd w:val="clear" w:color="auto" w:fill="FFFFFF"/>
        </w:rPr>
        <w:t xml:space="preserve"> by the standard service offer</w:t>
      </w:r>
      <w:r w:rsidRPr="00CD19C2" w:rsidR="00D46434">
        <w:rPr>
          <w:rFonts w:ascii="Arial" w:hAnsi="Arial" w:cs="Arial"/>
          <w:sz w:val="24"/>
          <w:szCs w:val="24"/>
          <w:shd w:val="clear" w:color="auto" w:fill="FFFFFF"/>
        </w:rPr>
        <w:t xml:space="preserve"> that the Commission relies on to promote customer choice are wrong.  </w:t>
      </w:r>
      <w:r w:rsidRPr="00CD19C2" w:rsidR="246BC9B3">
        <w:rPr>
          <w:rFonts w:ascii="Arial" w:hAnsi="Arial" w:cs="Arial"/>
          <w:sz w:val="24"/>
          <w:szCs w:val="24"/>
          <w:shd w:val="clear" w:color="auto" w:fill="FFFFFF"/>
        </w:rPr>
        <w:t>Second, t</w:t>
      </w:r>
      <w:r w:rsidRPr="00CD19C2" w:rsidR="00D46434">
        <w:rPr>
          <w:rFonts w:ascii="Arial" w:hAnsi="Arial" w:cs="Arial"/>
          <w:sz w:val="24"/>
          <w:szCs w:val="24"/>
          <w:shd w:val="clear" w:color="auto" w:fill="FFFFFF"/>
        </w:rPr>
        <w:t>he socialization of the costs</w:t>
      </w:r>
      <w:r w:rsidRPr="00CD19C2" w:rsidR="2FA9FED4">
        <w:rPr>
          <w:rFonts w:ascii="Arial" w:hAnsi="Arial" w:cs="Arial"/>
          <w:sz w:val="24"/>
          <w:szCs w:val="24"/>
        </w:rPr>
        <w:t xml:space="preserve"> of providing the standard service offer is</w:t>
      </w:r>
      <w:r w:rsidRPr="00CD19C2" w:rsidR="00D46434">
        <w:rPr>
          <w:rFonts w:ascii="Arial" w:hAnsi="Arial" w:cs="Arial"/>
          <w:sz w:val="24"/>
          <w:szCs w:val="24"/>
          <w:shd w:val="clear" w:color="auto" w:fill="FFFFFF"/>
        </w:rPr>
        <w:t xml:space="preserve"> a cross-subsidy </w:t>
      </w:r>
      <w:r w:rsidRPr="00CD19C2" w:rsidR="4A1A5696">
        <w:rPr>
          <w:rFonts w:ascii="Arial" w:hAnsi="Arial" w:cs="Arial"/>
          <w:sz w:val="24"/>
          <w:szCs w:val="24"/>
        </w:rPr>
        <w:t xml:space="preserve">that </w:t>
      </w:r>
      <w:r w:rsidRPr="00CD19C2" w:rsidR="00D46434">
        <w:rPr>
          <w:rFonts w:ascii="Arial" w:hAnsi="Arial" w:cs="Arial"/>
          <w:sz w:val="24"/>
          <w:szCs w:val="24"/>
          <w:shd w:val="clear" w:color="auto" w:fill="FFFFFF"/>
        </w:rPr>
        <w:t>could have long-term effects on the rollout of other competitive services by delaying or preventing entry and curtailing active presence in the market</w:t>
      </w:r>
      <w:r w:rsidRPr="00CD19C2" w:rsidR="59DB6A1F">
        <w:rPr>
          <w:rFonts w:ascii="Arial" w:hAnsi="Arial" w:cs="Arial"/>
          <w:sz w:val="24"/>
          <w:szCs w:val="24"/>
          <w:shd w:val="clear" w:color="auto" w:fill="FFFFFF"/>
        </w:rPr>
        <w:t xml:space="preserve">.  </w:t>
      </w:r>
    </w:p>
    <w:p w:rsidRPr="00CD19C2" w:rsidR="00DE22EF" w:rsidP="000E52BF" w:rsidRDefault="00324352" w14:paraId="1388B558" w14:textId="74DF71B5">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As with all electric distribution utilities operating in Ohio, the problems associated with misallocation of costs arise because electric distribution utilities have a monopoly in the distribution market.  </w:t>
      </w:r>
      <w:r w:rsidRPr="00CD19C2" w:rsidR="00DE22EF">
        <w:rPr>
          <w:rFonts w:ascii="Arial" w:hAnsi="Arial" w:cs="Arial"/>
          <w:sz w:val="24"/>
          <w:szCs w:val="24"/>
          <w:shd w:val="clear" w:color="auto" w:fill="FFFFFF"/>
        </w:rPr>
        <w:t xml:space="preserve">By law, </w:t>
      </w:r>
      <w:r w:rsidRPr="00CD19C2">
        <w:rPr>
          <w:rFonts w:ascii="Arial" w:hAnsi="Arial" w:cs="Arial"/>
          <w:sz w:val="24"/>
          <w:szCs w:val="24"/>
          <w:shd w:val="clear" w:color="auto" w:fill="FFFFFF"/>
        </w:rPr>
        <w:t>Ohio Power</w:t>
      </w:r>
      <w:r w:rsidRPr="00CD19C2" w:rsidR="00DE22EF">
        <w:rPr>
          <w:rFonts w:ascii="Arial" w:hAnsi="Arial" w:cs="Arial"/>
          <w:sz w:val="24"/>
          <w:szCs w:val="24"/>
          <w:shd w:val="clear" w:color="auto" w:fill="FFFFFF"/>
        </w:rPr>
        <w:t xml:space="preserve"> has a monopoly in the distribution business within its certified territory.  R.C. 4933.83.  However, it is also required to provide “a standard service offer of all competitive retail electric services necessary to maintain essential electric service to consumers, including a firm supply of electric generation service.”  R.C. 4928.141.  Because it operates in two distinct markets</w:t>
      </w:r>
      <w:r w:rsidRPr="00CD19C2">
        <w:rPr>
          <w:rFonts w:ascii="Arial" w:hAnsi="Arial" w:cs="Arial"/>
          <w:sz w:val="24"/>
          <w:szCs w:val="24"/>
          <w:shd w:val="clear" w:color="auto" w:fill="FFFFFF"/>
        </w:rPr>
        <w:t xml:space="preserve"> and one is a legal </w:t>
      </w:r>
      <w:r w:rsidRPr="00CD19C2">
        <w:rPr>
          <w:rFonts w:ascii="Arial" w:hAnsi="Arial" w:cs="Arial"/>
          <w:sz w:val="24"/>
          <w:szCs w:val="24"/>
          <w:shd w:val="clear" w:color="auto" w:fill="FFFFFF"/>
        </w:rPr>
        <w:lastRenderedPageBreak/>
        <w:t>monopoly,</w:t>
      </w:r>
      <w:r w:rsidRPr="00CD19C2" w:rsidR="00DE22EF">
        <w:rPr>
          <w:rFonts w:ascii="Arial" w:hAnsi="Arial" w:cs="Arial"/>
          <w:sz w:val="24"/>
          <w:szCs w:val="24"/>
          <w:shd w:val="clear" w:color="auto" w:fill="FFFFFF"/>
        </w:rPr>
        <w:t xml:space="preserve"> Ohio Power has a natural economic incentive to shift costs from its competitive businesses to its monopoly business.  IGS/Direct </w:t>
      </w:r>
      <w:r w:rsidRPr="00CD19C2" w:rsidR="5AEF7451">
        <w:rPr>
          <w:rFonts w:ascii="Arial" w:hAnsi="Arial" w:cs="Arial"/>
          <w:sz w:val="24"/>
          <w:szCs w:val="24"/>
          <w:shd w:val="clear" w:color="auto" w:fill="FFFFFF"/>
        </w:rPr>
        <w:t>Ex.</w:t>
      </w:r>
      <w:r w:rsidRPr="00CD19C2" w:rsidR="00DE22EF">
        <w:rPr>
          <w:rFonts w:ascii="Arial" w:hAnsi="Arial" w:cs="Arial"/>
          <w:sz w:val="24"/>
          <w:szCs w:val="24"/>
          <w:shd w:val="clear" w:color="auto" w:fill="FFFFFF"/>
        </w:rPr>
        <w:t xml:space="preserve"> 2 at 16.  </w:t>
      </w:r>
    </w:p>
    <w:p w:rsidRPr="00CD19C2" w:rsidR="00DE22EF" w:rsidP="000E52BF" w:rsidRDefault="00DE22EF" w14:paraId="160580B4" w14:textId="2C9EE9DF">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If Ohio Power operated in competitive markets for both distribution and generation service, a cross-subsidy running from distribution service to the generation service would not be sustainable.  The service that was overpriced would be bid out of the market while the underpriced service could not make up the losses caused to the </w:t>
      </w:r>
      <w:r w:rsidR="005306C7">
        <w:rPr>
          <w:rFonts w:ascii="Arial" w:hAnsi="Arial" w:cs="Arial"/>
          <w:sz w:val="24"/>
          <w:szCs w:val="24"/>
          <w:shd w:val="clear" w:color="auto" w:fill="FFFFFF"/>
        </w:rPr>
        <w:t>C</w:t>
      </w:r>
      <w:r w:rsidRPr="00CD19C2">
        <w:rPr>
          <w:rFonts w:ascii="Arial" w:hAnsi="Arial" w:cs="Arial"/>
          <w:sz w:val="24"/>
          <w:szCs w:val="24"/>
          <w:shd w:val="clear" w:color="auto" w:fill="FFFFFF"/>
        </w:rPr>
        <w:t>ompany from the overpriced product</w:t>
      </w:r>
      <w:r w:rsidRPr="00CD19C2" w:rsidR="00324352">
        <w:rPr>
          <w:rFonts w:ascii="Arial" w:hAnsi="Arial" w:cs="Arial"/>
          <w:sz w:val="24"/>
          <w:szCs w:val="24"/>
          <w:shd w:val="clear" w:color="auto" w:fill="FFFFFF"/>
        </w:rPr>
        <w:t xml:space="preserve"> unless Ohio Power had market power in the market in which the overpriced product was offered</w:t>
      </w:r>
      <w:r w:rsidRPr="00CD19C2">
        <w:rPr>
          <w:rFonts w:ascii="Arial" w:hAnsi="Arial" w:cs="Arial"/>
          <w:sz w:val="24"/>
          <w:szCs w:val="24"/>
          <w:shd w:val="clear" w:color="auto" w:fill="FFFFFF"/>
        </w:rPr>
        <w:t xml:space="preserve">.  IGS/Direct </w:t>
      </w:r>
      <w:r w:rsidRPr="00CD19C2" w:rsidR="5AEF7451">
        <w:rPr>
          <w:rFonts w:ascii="Arial" w:hAnsi="Arial" w:cs="Arial"/>
          <w:sz w:val="24"/>
          <w:szCs w:val="24"/>
          <w:shd w:val="clear" w:color="auto" w:fill="FFFFFF"/>
        </w:rPr>
        <w:t>Ex.</w:t>
      </w:r>
      <w:r w:rsidRPr="00CD19C2">
        <w:rPr>
          <w:rFonts w:ascii="Arial" w:hAnsi="Arial" w:cs="Arial"/>
          <w:sz w:val="24"/>
          <w:szCs w:val="24"/>
          <w:shd w:val="clear" w:color="auto" w:fill="FFFFFF"/>
        </w:rPr>
        <w:t xml:space="preserve"> 2 at 17.  Ohio Power, however, can avoid this outcome </w:t>
      </w:r>
      <w:r w:rsidRPr="00CD19C2" w:rsidR="00FE20FA">
        <w:rPr>
          <w:rFonts w:ascii="Arial" w:hAnsi="Arial" w:cs="Arial"/>
          <w:sz w:val="24"/>
          <w:szCs w:val="24"/>
          <w:shd w:val="clear" w:color="auto" w:fill="FFFFFF"/>
        </w:rPr>
        <w:t xml:space="preserve">because it has a monopoly on the </w:t>
      </w:r>
      <w:r w:rsidRPr="00CD19C2" w:rsidR="00AD4F62">
        <w:rPr>
          <w:rFonts w:ascii="Arial" w:hAnsi="Arial" w:cs="Arial"/>
          <w:sz w:val="24"/>
          <w:szCs w:val="24"/>
          <w:shd w:val="clear" w:color="auto" w:fill="FFFFFF"/>
        </w:rPr>
        <w:t>part</w:t>
      </w:r>
      <w:r w:rsidRPr="00CD19C2" w:rsidR="00FE20FA">
        <w:rPr>
          <w:rFonts w:ascii="Arial" w:hAnsi="Arial" w:cs="Arial"/>
          <w:sz w:val="24"/>
          <w:szCs w:val="24"/>
          <w:shd w:val="clear" w:color="auto" w:fill="FFFFFF"/>
        </w:rPr>
        <w:t xml:space="preserve"> of its business that is priced too high.</w:t>
      </w:r>
      <w:r w:rsidRPr="00CD19C2" w:rsidR="00FE20FA">
        <w:rPr>
          <w:rFonts w:ascii="Arial" w:hAnsi="Arial" w:cs="Arial"/>
          <w:i/>
          <w:sz w:val="24"/>
          <w:szCs w:val="24"/>
          <w:shd w:val="clear" w:color="auto" w:fill="FFFFFF"/>
        </w:rPr>
        <w:t xml:space="preserve">  Id. </w:t>
      </w:r>
      <w:r w:rsidRPr="00CD19C2" w:rsidR="00FE20FA">
        <w:rPr>
          <w:rFonts w:ascii="Arial" w:hAnsi="Arial" w:cs="Arial"/>
          <w:sz w:val="24"/>
          <w:szCs w:val="24"/>
          <w:shd w:val="clear" w:color="auto" w:fill="FFFFFF"/>
        </w:rPr>
        <w:t xml:space="preserve"> Absent effective cost allocation, the monopoly </w:t>
      </w:r>
      <w:r w:rsidRPr="00CD19C2" w:rsidR="00AD4F62">
        <w:rPr>
          <w:rFonts w:ascii="Arial" w:hAnsi="Arial" w:cs="Arial"/>
          <w:sz w:val="24"/>
          <w:szCs w:val="24"/>
          <w:shd w:val="clear" w:color="auto" w:fill="FFFFFF"/>
        </w:rPr>
        <w:t xml:space="preserve">provider of distribution service </w:t>
      </w:r>
      <w:r w:rsidRPr="00CD19C2" w:rsidR="00FE20FA">
        <w:rPr>
          <w:rFonts w:ascii="Arial" w:hAnsi="Arial" w:cs="Arial"/>
          <w:sz w:val="24"/>
          <w:szCs w:val="24"/>
          <w:shd w:val="clear" w:color="auto" w:fill="FFFFFF"/>
        </w:rPr>
        <w:t xml:space="preserve">simply extracts from its distribution customers the amount it needs to cover the losses it incurs on the underpriced competitive </w:t>
      </w:r>
      <w:r w:rsidRPr="00CD19C2" w:rsidR="00AD4F62">
        <w:rPr>
          <w:rFonts w:ascii="Arial" w:hAnsi="Arial" w:cs="Arial"/>
          <w:sz w:val="24"/>
          <w:szCs w:val="24"/>
          <w:shd w:val="clear" w:color="auto" w:fill="FFFFFF"/>
        </w:rPr>
        <w:t xml:space="preserve">standard service offer </w:t>
      </w:r>
      <w:r w:rsidRPr="00CD19C2" w:rsidR="00FE20FA">
        <w:rPr>
          <w:rFonts w:ascii="Arial" w:hAnsi="Arial" w:cs="Arial"/>
          <w:sz w:val="24"/>
          <w:szCs w:val="24"/>
          <w:shd w:val="clear" w:color="auto" w:fill="FFFFFF"/>
        </w:rPr>
        <w:t>product.</w:t>
      </w:r>
      <w:r w:rsidRPr="00CD19C2" w:rsidR="00FE20FA">
        <w:rPr>
          <w:rStyle w:val="FootnoteReference"/>
          <w:rFonts w:ascii="Arial" w:hAnsi="Arial" w:cs="Arial"/>
          <w:sz w:val="24"/>
          <w:szCs w:val="24"/>
          <w:shd w:val="clear" w:color="auto" w:fill="FFFFFF"/>
        </w:rPr>
        <w:footnoteReference w:id="4"/>
      </w:r>
      <w:r w:rsidRPr="00CD19C2" w:rsidR="00FE20FA">
        <w:rPr>
          <w:rFonts w:ascii="Arial" w:hAnsi="Arial" w:cs="Arial"/>
          <w:sz w:val="24"/>
          <w:szCs w:val="24"/>
          <w:shd w:val="clear" w:color="auto" w:fill="FFFFFF"/>
        </w:rPr>
        <w:t xml:space="preserve">  </w:t>
      </w:r>
    </w:p>
    <w:p w:rsidRPr="00CD19C2" w:rsidR="00AD4F62" w:rsidP="000E52BF" w:rsidRDefault="00AD4F62" w14:paraId="0699D9AA" w14:textId="768C0120">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The outcome for customers </w:t>
      </w:r>
      <w:r w:rsidRPr="00CD19C2" w:rsidR="00511EC7">
        <w:rPr>
          <w:rFonts w:ascii="Arial" w:hAnsi="Arial" w:cs="Arial"/>
          <w:sz w:val="24"/>
          <w:szCs w:val="24"/>
          <w:shd w:val="clear" w:color="auto" w:fill="FFFFFF"/>
        </w:rPr>
        <w:t>is</w:t>
      </w:r>
      <w:r w:rsidRPr="00CD19C2">
        <w:rPr>
          <w:rFonts w:ascii="Arial" w:hAnsi="Arial" w:cs="Arial"/>
          <w:sz w:val="24"/>
          <w:szCs w:val="24"/>
          <w:shd w:val="clear" w:color="auto" w:fill="FFFFFF"/>
        </w:rPr>
        <w:t xml:space="preserve"> uneconomic.  </w:t>
      </w:r>
      <w:r w:rsidRPr="00CD19C2" w:rsidR="00511EC7">
        <w:rPr>
          <w:rFonts w:ascii="Arial" w:hAnsi="Arial" w:cs="Arial"/>
          <w:sz w:val="24"/>
          <w:szCs w:val="24"/>
          <w:shd w:val="clear" w:color="auto" w:fill="FFFFFF"/>
        </w:rPr>
        <w:t xml:space="preserve">Consumers that choose a competitive retail electric supplier are paying too much for distribution service, effectively subsidizing those customers that remain on default service.  </w:t>
      </w:r>
      <w:r w:rsidRPr="00CD19C2" w:rsidR="00511EC7">
        <w:rPr>
          <w:rFonts w:ascii="Arial" w:hAnsi="Arial" w:cs="Arial"/>
          <w:i/>
          <w:sz w:val="24"/>
          <w:szCs w:val="24"/>
          <w:shd w:val="clear" w:color="auto" w:fill="FFFFFF"/>
        </w:rPr>
        <w:t>Id</w:t>
      </w:r>
      <w:r w:rsidRPr="00CD19C2" w:rsidR="00511EC7">
        <w:rPr>
          <w:rFonts w:ascii="Arial" w:hAnsi="Arial" w:cs="Arial"/>
          <w:sz w:val="24"/>
          <w:szCs w:val="24"/>
          <w:shd w:val="clear" w:color="auto" w:fill="FFFFFF"/>
        </w:rPr>
        <w:t>. at 18.  Consumers that remain on default service are also harmed because they are not being provided a fair comparison of the alternatives that offer them value and potentially over</w:t>
      </w:r>
      <w:r w:rsidRPr="00CD19C2" w:rsidR="00324352">
        <w:rPr>
          <w:rFonts w:ascii="Arial" w:hAnsi="Arial" w:cs="Arial"/>
          <w:sz w:val="24"/>
          <w:szCs w:val="24"/>
          <w:shd w:val="clear" w:color="auto" w:fill="FFFFFF"/>
        </w:rPr>
        <w:t>-</w:t>
      </w:r>
      <w:r w:rsidRPr="00CD19C2" w:rsidR="00511EC7">
        <w:rPr>
          <w:rFonts w:ascii="Arial" w:hAnsi="Arial" w:cs="Arial"/>
          <w:sz w:val="24"/>
          <w:szCs w:val="24"/>
          <w:shd w:val="clear" w:color="auto" w:fill="FFFFFF"/>
        </w:rPr>
        <w:t xml:space="preserve">consume the </w:t>
      </w:r>
      <w:r w:rsidRPr="00CD19C2" w:rsidR="4DE7C04A">
        <w:rPr>
          <w:rFonts w:ascii="Arial" w:hAnsi="Arial" w:cs="Arial"/>
          <w:sz w:val="24"/>
          <w:szCs w:val="24"/>
          <w:shd w:val="clear" w:color="auto" w:fill="FFFFFF"/>
        </w:rPr>
        <w:t>underpriced</w:t>
      </w:r>
      <w:r w:rsidRPr="00CD19C2" w:rsidR="00511EC7">
        <w:rPr>
          <w:rFonts w:ascii="Arial" w:hAnsi="Arial" w:cs="Arial"/>
          <w:sz w:val="24"/>
          <w:szCs w:val="24"/>
          <w:shd w:val="clear" w:color="auto" w:fill="FFFFFF"/>
        </w:rPr>
        <w:t xml:space="preserve"> generation service.  </w:t>
      </w:r>
      <w:r w:rsidRPr="00CD19C2" w:rsidR="00511EC7">
        <w:rPr>
          <w:rFonts w:ascii="Arial" w:hAnsi="Arial" w:cs="Arial"/>
          <w:i/>
          <w:sz w:val="24"/>
          <w:szCs w:val="24"/>
          <w:shd w:val="clear" w:color="auto" w:fill="FFFFFF"/>
        </w:rPr>
        <w:t>Id</w:t>
      </w:r>
      <w:r w:rsidRPr="00CD19C2" w:rsidR="00511EC7">
        <w:rPr>
          <w:rFonts w:ascii="Arial" w:hAnsi="Arial" w:cs="Arial"/>
          <w:sz w:val="24"/>
          <w:szCs w:val="24"/>
          <w:shd w:val="clear" w:color="auto" w:fill="FFFFFF"/>
        </w:rPr>
        <w:t xml:space="preserve">.  </w:t>
      </w:r>
    </w:p>
    <w:p w:rsidRPr="00CD19C2" w:rsidR="006A5173" w:rsidP="000E52BF" w:rsidRDefault="00511EC7" w14:paraId="38DF8E64" w14:textId="622EA3D5">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The outcome for the market for generation is also uneconomic.  “Artificially low SSO prices are anti-competitive because they make it more difficult for suppliers in the </w:t>
      </w:r>
      <w:r w:rsidRPr="00CD19C2">
        <w:rPr>
          <w:rFonts w:ascii="Arial" w:hAnsi="Arial" w:cs="Arial"/>
          <w:sz w:val="24"/>
          <w:szCs w:val="24"/>
          <w:shd w:val="clear" w:color="auto" w:fill="FFFFFF"/>
        </w:rPr>
        <w:lastRenderedPageBreak/>
        <w:t>market to compete for retail customers since they need to charge prices that reflect all of the costs of supplying electricity while [Ohio Power</w:t>
      </w:r>
      <w:r w:rsidR="00CD19C2">
        <w:rPr>
          <w:rFonts w:ascii="Arial" w:hAnsi="Arial" w:cs="Arial"/>
          <w:sz w:val="24"/>
          <w:szCs w:val="24"/>
          <w:shd w:val="clear" w:color="auto" w:fill="FFFFFF"/>
        </w:rPr>
        <w:t>]</w:t>
      </w:r>
      <w:r w:rsidRPr="00CD19C2">
        <w:rPr>
          <w:rFonts w:ascii="Arial" w:hAnsi="Arial" w:cs="Arial"/>
          <w:sz w:val="24"/>
          <w:szCs w:val="24"/>
          <w:shd w:val="clear" w:color="auto" w:fill="FFFFFF"/>
        </w:rPr>
        <w:t xml:space="preserve"> provides a heavily subsidized SSO product.”  </w:t>
      </w:r>
      <w:r w:rsidRPr="00CD19C2">
        <w:rPr>
          <w:rFonts w:ascii="Arial" w:hAnsi="Arial" w:cs="Arial"/>
          <w:i/>
          <w:sz w:val="24"/>
          <w:szCs w:val="24"/>
          <w:shd w:val="clear" w:color="auto" w:fill="FFFFFF"/>
        </w:rPr>
        <w:t>Id</w:t>
      </w:r>
      <w:r w:rsidRPr="00CD19C2">
        <w:rPr>
          <w:rFonts w:ascii="Arial" w:hAnsi="Arial" w:cs="Arial"/>
          <w:sz w:val="24"/>
          <w:szCs w:val="24"/>
          <w:shd w:val="clear" w:color="auto" w:fill="FFFFFF"/>
        </w:rPr>
        <w:t xml:space="preserve">. at 19.  </w:t>
      </w:r>
      <w:r w:rsidRPr="00CD19C2" w:rsidR="003931FC">
        <w:rPr>
          <w:rFonts w:ascii="Arial" w:hAnsi="Arial" w:cs="Arial"/>
          <w:sz w:val="24"/>
          <w:szCs w:val="24"/>
          <w:shd w:val="clear" w:color="auto" w:fill="FFFFFF"/>
        </w:rPr>
        <w:t>Underpricing the standard service offer thus has the effect of deterring entry and making presence in the market less sustainable.</w:t>
      </w:r>
    </w:p>
    <w:p w:rsidRPr="00CD19C2" w:rsidR="00511EC7" w:rsidP="000E52BF" w:rsidRDefault="00511EC7" w14:paraId="1E3A53EF" w14:textId="7ECE08B7">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 xml:space="preserve">The solution to the uneconomic outcomes embedded in Ohio Power’s distribution rates begins with proper </w:t>
      </w:r>
      <w:r w:rsidRPr="00CD19C2" w:rsidR="0075557A">
        <w:rPr>
          <w:rFonts w:ascii="Arial" w:hAnsi="Arial" w:cs="Arial"/>
          <w:sz w:val="24"/>
          <w:szCs w:val="24"/>
          <w:shd w:val="clear" w:color="auto" w:fill="FFFFFF"/>
        </w:rPr>
        <w:t xml:space="preserve">functionalization or </w:t>
      </w:r>
      <w:r w:rsidRPr="00CD19C2">
        <w:rPr>
          <w:rFonts w:ascii="Arial" w:hAnsi="Arial" w:cs="Arial"/>
          <w:sz w:val="24"/>
          <w:szCs w:val="24"/>
          <w:shd w:val="clear" w:color="auto" w:fill="FFFFFF"/>
        </w:rPr>
        <w:t xml:space="preserve">cost allocation.  By </w:t>
      </w:r>
      <w:r w:rsidRPr="00CD19C2" w:rsidR="0075557A">
        <w:rPr>
          <w:rFonts w:ascii="Arial" w:hAnsi="Arial" w:cs="Arial"/>
          <w:sz w:val="24"/>
          <w:szCs w:val="24"/>
          <w:shd w:val="clear" w:color="auto" w:fill="FFFFFF"/>
        </w:rPr>
        <w:t xml:space="preserve">pricing distribution and standard service offer </w:t>
      </w:r>
      <w:r w:rsidR="004B6C97">
        <w:rPr>
          <w:rFonts w:ascii="Arial" w:hAnsi="Arial" w:cs="Arial"/>
          <w:sz w:val="24"/>
          <w:szCs w:val="24"/>
          <w:shd w:val="clear" w:color="auto" w:fill="FFFFFF"/>
        </w:rPr>
        <w:t>rate</w:t>
      </w:r>
      <w:r w:rsidRPr="00CD19C2" w:rsidR="0075557A">
        <w:rPr>
          <w:rFonts w:ascii="Arial" w:hAnsi="Arial" w:cs="Arial"/>
          <w:sz w:val="24"/>
          <w:szCs w:val="24"/>
          <w:shd w:val="clear" w:color="auto" w:fill="FFFFFF"/>
        </w:rPr>
        <w:t>s correctly</w:t>
      </w:r>
      <w:r w:rsidRPr="00CD19C2">
        <w:rPr>
          <w:rFonts w:ascii="Arial" w:hAnsi="Arial" w:cs="Arial"/>
          <w:sz w:val="24"/>
          <w:szCs w:val="24"/>
          <w:shd w:val="clear" w:color="auto" w:fill="FFFFFF"/>
        </w:rPr>
        <w:t xml:space="preserve">, customers will </w:t>
      </w:r>
      <w:r w:rsidRPr="00CD19C2" w:rsidR="0075557A">
        <w:rPr>
          <w:rFonts w:ascii="Arial" w:hAnsi="Arial" w:cs="Arial"/>
          <w:sz w:val="24"/>
          <w:szCs w:val="24"/>
          <w:shd w:val="clear" w:color="auto" w:fill="FFFFFF"/>
        </w:rPr>
        <w:t>be able to effectively compare the prices of competitive generation services</w:t>
      </w:r>
      <w:r w:rsidRPr="00CD19C2">
        <w:rPr>
          <w:rFonts w:ascii="Arial" w:hAnsi="Arial" w:cs="Arial"/>
          <w:sz w:val="24"/>
          <w:szCs w:val="24"/>
          <w:shd w:val="clear" w:color="auto" w:fill="FFFFFF"/>
        </w:rPr>
        <w:t xml:space="preserve">.  </w:t>
      </w:r>
      <w:r w:rsidRPr="00CD19C2" w:rsidR="0075557A">
        <w:rPr>
          <w:rFonts w:ascii="Arial" w:hAnsi="Arial" w:cs="Arial"/>
          <w:sz w:val="24"/>
          <w:szCs w:val="24"/>
          <w:shd w:val="clear" w:color="auto" w:fill="FFFFFF"/>
        </w:rPr>
        <w:t>Likewise</w:t>
      </w:r>
      <w:r w:rsidRPr="00CD19C2" w:rsidR="00451BB7">
        <w:rPr>
          <w:rFonts w:ascii="Arial" w:hAnsi="Arial" w:cs="Arial"/>
          <w:sz w:val="24"/>
          <w:szCs w:val="24"/>
          <w:shd w:val="clear" w:color="auto" w:fill="FFFFFF"/>
        </w:rPr>
        <w:t>, competitors would be less disadvantaged</w:t>
      </w:r>
      <w:r w:rsidRPr="00CD19C2" w:rsidR="0075557A">
        <w:rPr>
          <w:rFonts w:ascii="Arial" w:hAnsi="Arial" w:cs="Arial"/>
          <w:sz w:val="24"/>
          <w:szCs w:val="24"/>
          <w:shd w:val="clear" w:color="auto" w:fill="FFFFFF"/>
        </w:rPr>
        <w:t xml:space="preserve"> by the utility monopoly over distribution service</w:t>
      </w:r>
      <w:r w:rsidRPr="00CD19C2" w:rsidR="00451BB7">
        <w:rPr>
          <w:rFonts w:ascii="Arial" w:hAnsi="Arial" w:cs="Arial"/>
          <w:sz w:val="24"/>
          <w:szCs w:val="24"/>
          <w:shd w:val="clear" w:color="auto" w:fill="FFFFFF"/>
        </w:rPr>
        <w:t xml:space="preserve">.  Thus, “[a] full allocation of SSO costs to the Retail Reconciliation Rider would remove or mitigate many market problems.” </w:t>
      </w:r>
      <w:r w:rsidRPr="00CD19C2" w:rsidR="00451BB7">
        <w:rPr>
          <w:rFonts w:ascii="Arial" w:hAnsi="Arial" w:cs="Arial"/>
          <w:i/>
          <w:sz w:val="24"/>
          <w:szCs w:val="24"/>
          <w:shd w:val="clear" w:color="auto" w:fill="FFFFFF"/>
        </w:rPr>
        <w:t xml:space="preserve"> Id</w:t>
      </w:r>
      <w:r w:rsidRPr="00CD19C2" w:rsidR="00451BB7">
        <w:rPr>
          <w:rFonts w:ascii="Arial" w:hAnsi="Arial" w:cs="Arial"/>
          <w:sz w:val="24"/>
          <w:szCs w:val="24"/>
          <w:shd w:val="clear" w:color="auto" w:fill="FFFFFF"/>
        </w:rPr>
        <w:t>.</w:t>
      </w:r>
    </w:p>
    <w:p w:rsidRPr="00CD19C2" w:rsidR="003931FC" w:rsidP="000E52BF" w:rsidRDefault="003931FC" w14:paraId="6CB95862" w14:textId="03F9312E">
      <w:pPr>
        <w:spacing w:after="0" w:line="480" w:lineRule="auto"/>
        <w:ind w:firstLine="720"/>
        <w:jc w:val="both"/>
        <w:rPr>
          <w:rFonts w:ascii="Arial" w:hAnsi="Arial" w:cs="Arial"/>
          <w:sz w:val="24"/>
          <w:szCs w:val="24"/>
          <w:shd w:val="clear" w:color="auto" w:fill="FFFFFF"/>
        </w:rPr>
      </w:pPr>
      <w:r w:rsidRPr="00CD19C2">
        <w:rPr>
          <w:rFonts w:ascii="Arial" w:hAnsi="Arial" w:cs="Arial"/>
          <w:sz w:val="24"/>
          <w:szCs w:val="24"/>
          <w:shd w:val="clear" w:color="auto" w:fill="FFFFFF"/>
        </w:rPr>
        <w:t>Apart from its illegality, therefore, the recommendation to zero out the Retail Reconciliation Rider and SSO Credit Rider ignore</w:t>
      </w:r>
      <w:r w:rsidR="00CD19C2">
        <w:rPr>
          <w:rFonts w:ascii="Arial" w:hAnsi="Arial" w:cs="Arial"/>
          <w:sz w:val="24"/>
          <w:szCs w:val="24"/>
          <w:shd w:val="clear" w:color="auto" w:fill="FFFFFF"/>
        </w:rPr>
        <w:t>s</w:t>
      </w:r>
      <w:r w:rsidRPr="00CD19C2">
        <w:rPr>
          <w:rFonts w:ascii="Arial" w:hAnsi="Arial" w:cs="Arial"/>
          <w:sz w:val="24"/>
          <w:szCs w:val="24"/>
          <w:shd w:val="clear" w:color="auto" w:fill="FFFFFF"/>
        </w:rPr>
        <w:t xml:space="preserve"> the sound economics of properly allocating the costs to provide the SSO to the class of customer that take the competitive standard service offer.  By failing to </w:t>
      </w:r>
      <w:r w:rsidRPr="00CD19C2" w:rsidR="006E1DF2">
        <w:rPr>
          <w:rFonts w:ascii="Arial" w:hAnsi="Arial" w:cs="Arial"/>
          <w:sz w:val="24"/>
          <w:szCs w:val="24"/>
          <w:shd w:val="clear" w:color="auto" w:fill="FFFFFF"/>
        </w:rPr>
        <w:t>properly allocate those costs, the Stipulation assures continued underpricing of the standard service offer that sends an improper price signal.  Further, competitors face higher hurdles to enter and remain in the generation supply market because they have to compete against a subsidized generation service.</w:t>
      </w:r>
      <w:r w:rsidRPr="00CD19C2">
        <w:rPr>
          <w:rFonts w:ascii="Arial" w:hAnsi="Arial" w:cs="Arial"/>
          <w:sz w:val="24"/>
          <w:szCs w:val="24"/>
          <w:shd w:val="clear" w:color="auto" w:fill="FFFFFF"/>
        </w:rPr>
        <w:t xml:space="preserve"> </w:t>
      </w:r>
    </w:p>
    <w:p w:rsidRPr="00B83C59" w:rsidR="0075557A" w:rsidP="00B83C59" w:rsidRDefault="008648A0" w14:paraId="3B222140" w14:textId="1E2E68E5">
      <w:pPr>
        <w:pStyle w:val="Heading3"/>
        <w:numPr>
          <w:ilvl w:val="0"/>
          <w:numId w:val="6"/>
        </w:numPr>
        <w:rPr>
          <w:b/>
          <w:shd w:val="clear" w:color="auto" w:fill="FFFFFF"/>
        </w:rPr>
      </w:pPr>
      <w:bookmarkStart w:name="_Toc73104531" w:id="23"/>
      <w:bookmarkStart w:name="_Toc74573086" w:id="24"/>
      <w:r w:rsidRPr="00B83C59">
        <w:rPr>
          <w:b/>
          <w:shd w:val="clear" w:color="auto" w:fill="FFFFFF"/>
        </w:rPr>
        <w:t>C</w:t>
      </w:r>
      <w:r w:rsidRPr="00B83C59" w:rsidR="0075557A">
        <w:rPr>
          <w:b/>
          <w:shd w:val="clear" w:color="auto" w:fill="FFFFFF"/>
        </w:rPr>
        <w:t>ost allocation of generation costs</w:t>
      </w:r>
      <w:r w:rsidRPr="00B83C59">
        <w:rPr>
          <w:b/>
          <w:shd w:val="clear" w:color="auto" w:fill="FFFFFF"/>
        </w:rPr>
        <w:t xml:space="preserve"> to the standard service offer</w:t>
      </w:r>
      <w:r w:rsidRPr="00B83C59" w:rsidR="0075557A">
        <w:rPr>
          <w:b/>
          <w:shd w:val="clear" w:color="auto" w:fill="FFFFFF"/>
        </w:rPr>
        <w:t xml:space="preserve"> is necessary to properly price </w:t>
      </w:r>
      <w:r w:rsidR="003F2800">
        <w:rPr>
          <w:b/>
          <w:shd w:val="clear" w:color="auto" w:fill="FFFFFF"/>
        </w:rPr>
        <w:t>Ohio Power</w:t>
      </w:r>
      <w:r w:rsidR="00C25A51">
        <w:rPr>
          <w:b/>
          <w:shd w:val="clear" w:color="auto" w:fill="FFFFFF"/>
        </w:rPr>
        <w:t>’s competitive and noncompetitive services</w:t>
      </w:r>
      <w:r w:rsidRPr="00B83C59" w:rsidR="00957549">
        <w:rPr>
          <w:b/>
          <w:shd w:val="clear" w:color="auto" w:fill="FFFFFF"/>
        </w:rPr>
        <w:t>.</w:t>
      </w:r>
      <w:bookmarkEnd w:id="23"/>
      <w:bookmarkEnd w:id="24"/>
    </w:p>
    <w:p w:rsidRPr="00B83C59" w:rsidR="0075557A" w:rsidP="000E52BF" w:rsidRDefault="0075557A" w14:paraId="582FE01E" w14:textId="6A38415E">
      <w:pPr>
        <w:spacing w:after="0" w:line="480" w:lineRule="auto"/>
        <w:jc w:val="both"/>
        <w:rPr>
          <w:rFonts w:ascii="Arial" w:hAnsi="Arial" w:cs="Arial"/>
          <w:sz w:val="24"/>
          <w:szCs w:val="24"/>
          <w:shd w:val="clear" w:color="auto" w:fill="FFFFFF"/>
        </w:rPr>
      </w:pPr>
      <w:r w:rsidRPr="00B83C59">
        <w:rPr>
          <w:rFonts w:ascii="Arial" w:hAnsi="Arial" w:cs="Arial"/>
          <w:sz w:val="24"/>
          <w:szCs w:val="24"/>
          <w:shd w:val="clear" w:color="auto" w:fill="FFFFFF"/>
        </w:rPr>
        <w:tab/>
      </w:r>
      <w:r w:rsidRPr="00B83C59">
        <w:rPr>
          <w:rFonts w:ascii="Arial" w:hAnsi="Arial" w:cs="Arial"/>
          <w:sz w:val="24"/>
          <w:szCs w:val="24"/>
          <w:shd w:val="clear" w:color="auto" w:fill="FFFFFF"/>
        </w:rPr>
        <w:t xml:space="preserve">The use of the Retail Reconciliation Rider and SSO Credit Rider </w:t>
      </w:r>
      <w:r w:rsidRPr="00B83C59" w:rsidR="006E1DF2">
        <w:rPr>
          <w:rFonts w:ascii="Arial" w:hAnsi="Arial" w:cs="Arial"/>
          <w:sz w:val="24"/>
          <w:szCs w:val="24"/>
          <w:shd w:val="clear" w:color="auto" w:fill="FFFFFF"/>
        </w:rPr>
        <w:t>is</w:t>
      </w:r>
      <w:r w:rsidRPr="00B83C59">
        <w:rPr>
          <w:rFonts w:ascii="Arial" w:hAnsi="Arial" w:cs="Arial"/>
          <w:sz w:val="24"/>
          <w:szCs w:val="24"/>
          <w:shd w:val="clear" w:color="auto" w:fill="FFFFFF"/>
        </w:rPr>
        <w:t xml:space="preserve"> a second best solution to the pricing problem in Ohio Power’s distribution rates.  Proper functionalization of the costs to provide </w:t>
      </w:r>
      <w:r w:rsidRPr="00B83C59" w:rsidR="008648A0">
        <w:rPr>
          <w:rFonts w:ascii="Arial" w:hAnsi="Arial" w:cs="Arial"/>
          <w:sz w:val="24"/>
          <w:szCs w:val="24"/>
          <w:shd w:val="clear" w:color="auto" w:fill="FFFFFF"/>
        </w:rPr>
        <w:t xml:space="preserve">distribution service and the </w:t>
      </w:r>
      <w:r w:rsidRPr="00B83C59">
        <w:rPr>
          <w:rFonts w:ascii="Arial" w:hAnsi="Arial" w:cs="Arial"/>
          <w:sz w:val="24"/>
          <w:szCs w:val="24"/>
          <w:shd w:val="clear" w:color="auto" w:fill="FFFFFF"/>
        </w:rPr>
        <w:t xml:space="preserve">standard offer service would be a more direct approach.  Absent that direct approach, however, </w:t>
      </w:r>
      <w:r w:rsidRPr="00B83C59" w:rsidR="008648A0">
        <w:rPr>
          <w:rFonts w:ascii="Arial" w:hAnsi="Arial" w:cs="Arial"/>
          <w:sz w:val="24"/>
          <w:szCs w:val="24"/>
          <w:shd w:val="clear" w:color="auto" w:fill="FFFFFF"/>
        </w:rPr>
        <w:t xml:space="preserve">populating </w:t>
      </w:r>
      <w:r w:rsidRPr="00B83C59" w:rsidR="006E1DF2">
        <w:rPr>
          <w:rFonts w:ascii="Arial" w:hAnsi="Arial" w:cs="Arial"/>
          <w:sz w:val="24"/>
          <w:szCs w:val="24"/>
          <w:shd w:val="clear" w:color="auto" w:fill="FFFFFF"/>
        </w:rPr>
        <w:t>the riders</w:t>
      </w:r>
      <w:r w:rsidRPr="00B83C59" w:rsidR="008648A0">
        <w:rPr>
          <w:rFonts w:ascii="Arial" w:hAnsi="Arial" w:cs="Arial"/>
          <w:sz w:val="24"/>
          <w:szCs w:val="24"/>
          <w:shd w:val="clear" w:color="auto" w:fill="FFFFFF"/>
        </w:rPr>
        <w:t xml:space="preserve"> </w:t>
      </w:r>
      <w:r w:rsidRPr="00B83C59">
        <w:rPr>
          <w:rFonts w:ascii="Arial" w:hAnsi="Arial" w:cs="Arial"/>
          <w:sz w:val="24"/>
          <w:szCs w:val="24"/>
          <w:shd w:val="clear" w:color="auto" w:fill="FFFFFF"/>
        </w:rPr>
        <w:t xml:space="preserve">provides a </w:t>
      </w:r>
      <w:r w:rsidRPr="00B83C59">
        <w:rPr>
          <w:rFonts w:ascii="Arial" w:hAnsi="Arial" w:cs="Arial"/>
          <w:sz w:val="24"/>
          <w:szCs w:val="24"/>
          <w:shd w:val="clear" w:color="auto" w:fill="FFFFFF"/>
        </w:rPr>
        <w:lastRenderedPageBreak/>
        <w:t>means of assuring that distribution costs currently embedded in distribution rates are recovered in a way that does not lead to uneconomic pricing of the standard service offer</w:t>
      </w:r>
      <w:r w:rsidRPr="00B83C59" w:rsidR="008648A0">
        <w:rPr>
          <w:rFonts w:ascii="Arial" w:hAnsi="Arial" w:cs="Arial"/>
          <w:sz w:val="24"/>
          <w:szCs w:val="24"/>
          <w:shd w:val="clear" w:color="auto" w:fill="FFFFFF"/>
        </w:rPr>
        <w:t xml:space="preserve"> while assuring that Ohio Power has the opportunity to bill and collect its revenue requirement</w:t>
      </w:r>
      <w:r w:rsidRPr="00B83C59">
        <w:rPr>
          <w:rFonts w:ascii="Arial" w:hAnsi="Arial" w:cs="Arial"/>
          <w:sz w:val="24"/>
          <w:szCs w:val="24"/>
          <w:shd w:val="clear" w:color="auto" w:fill="FFFFFF"/>
        </w:rPr>
        <w:t>.</w:t>
      </w:r>
    </w:p>
    <w:p w:rsidRPr="007F2348" w:rsidR="0075557A" w:rsidP="000E52BF" w:rsidRDefault="008648A0" w14:paraId="69E5C6C0" w14:textId="55DCA906">
      <w:pPr>
        <w:spacing w:after="0" w:line="480" w:lineRule="auto"/>
        <w:jc w:val="both"/>
        <w:rPr>
          <w:rFonts w:ascii="Arial" w:hAnsi="Arial" w:cs="Arial"/>
          <w:sz w:val="24"/>
          <w:szCs w:val="24"/>
          <w:shd w:val="clear" w:color="auto" w:fill="FFFFFF"/>
        </w:rPr>
      </w:pPr>
      <w:r w:rsidRPr="00B83C59">
        <w:rPr>
          <w:rFonts w:ascii="Arial" w:hAnsi="Arial" w:cs="Arial"/>
          <w:sz w:val="24"/>
          <w:szCs w:val="24"/>
          <w:shd w:val="clear" w:color="auto" w:fill="FFFFFF"/>
        </w:rPr>
        <w:tab/>
      </w:r>
      <w:r w:rsidRPr="00B83C59">
        <w:rPr>
          <w:rFonts w:ascii="Arial" w:hAnsi="Arial" w:cs="Arial"/>
          <w:sz w:val="24"/>
          <w:szCs w:val="24"/>
          <w:shd w:val="clear" w:color="auto" w:fill="FFFFFF"/>
        </w:rPr>
        <w:t xml:space="preserve">As part of the </w:t>
      </w:r>
      <w:proofErr w:type="spellStart"/>
      <w:r w:rsidRPr="00B83C59">
        <w:rPr>
          <w:rFonts w:ascii="Arial" w:hAnsi="Arial" w:cs="Arial"/>
          <w:sz w:val="24"/>
          <w:szCs w:val="24"/>
          <w:shd w:val="clear" w:color="auto" w:fill="FFFFFF"/>
        </w:rPr>
        <w:t>jurisdictionalization</w:t>
      </w:r>
      <w:proofErr w:type="spellEnd"/>
      <w:r w:rsidRPr="00B83C59">
        <w:rPr>
          <w:rFonts w:ascii="Arial" w:hAnsi="Arial" w:cs="Arial"/>
          <w:sz w:val="24"/>
          <w:szCs w:val="24"/>
          <w:shd w:val="clear" w:color="auto" w:fill="FFFFFF"/>
        </w:rPr>
        <w:t xml:space="preserve"> of its plant, revenue, and cost schedules in the </w:t>
      </w:r>
      <w:r w:rsidR="00F65FBF">
        <w:rPr>
          <w:rFonts w:ascii="Arial" w:hAnsi="Arial" w:cs="Arial"/>
          <w:sz w:val="24"/>
          <w:szCs w:val="24"/>
          <w:shd w:val="clear" w:color="auto" w:fill="FFFFFF"/>
        </w:rPr>
        <w:t>A</w:t>
      </w:r>
      <w:r w:rsidRPr="00B83C59">
        <w:rPr>
          <w:rFonts w:ascii="Arial" w:hAnsi="Arial" w:cs="Arial"/>
          <w:sz w:val="24"/>
          <w:szCs w:val="24"/>
          <w:shd w:val="clear" w:color="auto" w:fill="FFFFFF"/>
        </w:rPr>
        <w:t xml:space="preserve">pplication for this case, Ohio Power sought to remove transmission and generation related costs.  Tr. at </w:t>
      </w:r>
      <w:r w:rsidRPr="00B83C59" w:rsidR="00335F3A">
        <w:rPr>
          <w:rFonts w:ascii="Arial" w:hAnsi="Arial" w:cs="Arial"/>
          <w:sz w:val="24"/>
          <w:szCs w:val="24"/>
          <w:shd w:val="clear" w:color="auto" w:fill="FFFFFF"/>
        </w:rPr>
        <w:t>37-38</w:t>
      </w:r>
      <w:r w:rsidRPr="00B83C59">
        <w:rPr>
          <w:rFonts w:ascii="Arial" w:hAnsi="Arial" w:cs="Arial"/>
          <w:sz w:val="24"/>
          <w:szCs w:val="24"/>
          <w:shd w:val="clear" w:color="auto" w:fill="FFFFFF"/>
        </w:rPr>
        <w:t xml:space="preserve">.  As all interested parties testified, however, the accounts on which the revenue requirement in this case is calculated continue to recover costs </w:t>
      </w:r>
      <w:r w:rsidRPr="00170DC9">
        <w:rPr>
          <w:rFonts w:ascii="Arial" w:hAnsi="Arial" w:cs="Arial"/>
          <w:sz w:val="24"/>
          <w:szCs w:val="24"/>
          <w:shd w:val="clear" w:color="auto" w:fill="FFFFFF"/>
        </w:rPr>
        <w:t xml:space="preserve">associated with the provision of the standard service offer.  </w:t>
      </w:r>
      <w:r w:rsidR="00335F3A">
        <w:rPr>
          <w:rFonts w:ascii="Arial" w:hAnsi="Arial" w:eastAsia="Arial" w:cs="Arial"/>
          <w:sz w:val="24"/>
          <w:szCs w:val="24"/>
        </w:rPr>
        <w:t xml:space="preserve">IGS/Direct </w:t>
      </w:r>
      <w:r w:rsidR="5AEF7451">
        <w:rPr>
          <w:rFonts w:ascii="Arial" w:hAnsi="Arial" w:eastAsia="Arial" w:cs="Arial"/>
          <w:sz w:val="24"/>
          <w:szCs w:val="24"/>
        </w:rPr>
        <w:t>Ex.</w:t>
      </w:r>
      <w:r w:rsidR="00335F3A">
        <w:rPr>
          <w:rFonts w:ascii="Arial" w:hAnsi="Arial" w:eastAsia="Arial" w:cs="Arial"/>
          <w:sz w:val="24"/>
          <w:szCs w:val="24"/>
        </w:rPr>
        <w:t xml:space="preserve"> 2, IGS </w:t>
      </w:r>
      <w:r w:rsidR="5AEF7451">
        <w:rPr>
          <w:rFonts w:ascii="Arial" w:hAnsi="Arial" w:eastAsia="Arial" w:cs="Arial"/>
          <w:sz w:val="24"/>
          <w:szCs w:val="24"/>
        </w:rPr>
        <w:t>Ex.</w:t>
      </w:r>
      <w:r w:rsidR="00335F3A">
        <w:rPr>
          <w:rFonts w:ascii="Arial" w:hAnsi="Arial" w:eastAsia="Arial" w:cs="Arial"/>
          <w:sz w:val="24"/>
          <w:szCs w:val="24"/>
        </w:rPr>
        <w:t xml:space="preserve"> 3, 13, 14; Tr. at 36</w:t>
      </w:r>
      <w:r w:rsidR="00FA42DF">
        <w:rPr>
          <w:rFonts w:ascii="Arial" w:hAnsi="Arial" w:eastAsia="Arial" w:cs="Arial"/>
          <w:sz w:val="24"/>
          <w:szCs w:val="24"/>
        </w:rPr>
        <w:t>,</w:t>
      </w:r>
      <w:r w:rsidR="00335F3A">
        <w:rPr>
          <w:rFonts w:ascii="Arial" w:hAnsi="Arial" w:eastAsia="Arial" w:cs="Arial"/>
          <w:sz w:val="24"/>
          <w:szCs w:val="24"/>
        </w:rPr>
        <w:t xml:space="preserve"> 49-53, 158-59; Tr. at 290-92, 346-49.</w:t>
      </w:r>
      <w:r w:rsidRPr="00170DC9">
        <w:rPr>
          <w:rFonts w:ascii="Arial" w:hAnsi="Arial" w:cs="Arial"/>
          <w:sz w:val="24"/>
          <w:szCs w:val="24"/>
          <w:shd w:val="clear" w:color="auto" w:fill="FFFFFF"/>
        </w:rPr>
        <w:t xml:space="preserve">  Thus, it is undisputed that the functionalization of generation-related costs by Ohio Power did not remove from distribution accounts the </w:t>
      </w:r>
      <w:r w:rsidRPr="00170DC9" w:rsidR="005E1A70">
        <w:rPr>
          <w:rFonts w:ascii="Arial" w:hAnsi="Arial" w:cs="Arial"/>
          <w:sz w:val="24"/>
          <w:szCs w:val="24"/>
          <w:shd w:val="clear" w:color="auto" w:fill="FFFFFF"/>
        </w:rPr>
        <w:t xml:space="preserve">plant in service, </w:t>
      </w:r>
      <w:r w:rsidR="00D467AA">
        <w:rPr>
          <w:rFonts w:ascii="Arial" w:hAnsi="Arial" w:cs="Arial"/>
          <w:sz w:val="24"/>
          <w:szCs w:val="24"/>
          <w:shd w:val="clear" w:color="auto" w:fill="FFFFFF"/>
        </w:rPr>
        <w:t xml:space="preserve">revenues, and </w:t>
      </w:r>
      <w:r w:rsidRPr="00170DC9" w:rsidR="31A526C9">
        <w:rPr>
          <w:rFonts w:ascii="Arial" w:hAnsi="Arial" w:cs="Arial"/>
          <w:sz w:val="24"/>
          <w:szCs w:val="24"/>
        </w:rPr>
        <w:t xml:space="preserve">operation and maintenance expenses </w:t>
      </w:r>
      <w:r w:rsidRPr="00170DC9">
        <w:rPr>
          <w:rFonts w:ascii="Arial" w:hAnsi="Arial" w:cs="Arial"/>
          <w:sz w:val="24"/>
          <w:szCs w:val="24"/>
          <w:shd w:val="clear" w:color="auto" w:fill="FFFFFF"/>
        </w:rPr>
        <w:t xml:space="preserve">associated with the provision of a competitive service.  It is equally undisputed that the distribution rates that the stipulating parties are recommending to the Commission will recover the embedded costs to supply the standard service offer in distribution charges.  </w:t>
      </w:r>
      <w:r w:rsidRPr="00170DC9">
        <w:rPr>
          <w:rFonts w:ascii="Arial" w:hAnsi="Arial" w:cs="Arial"/>
          <w:i/>
          <w:sz w:val="24"/>
          <w:szCs w:val="24"/>
          <w:shd w:val="clear" w:color="auto" w:fill="FFFFFF"/>
        </w:rPr>
        <w:t>See, e.g.,</w:t>
      </w:r>
      <w:r w:rsidRPr="00170DC9">
        <w:rPr>
          <w:rFonts w:ascii="Arial" w:hAnsi="Arial" w:cs="Arial"/>
          <w:sz w:val="24"/>
          <w:szCs w:val="24"/>
          <w:shd w:val="clear" w:color="auto" w:fill="FFFFFF"/>
        </w:rPr>
        <w:t xml:space="preserve"> Tr. at </w:t>
      </w:r>
      <w:r w:rsidRPr="00170DC9" w:rsidR="00335F3A">
        <w:rPr>
          <w:rFonts w:ascii="Arial" w:hAnsi="Arial" w:cs="Arial"/>
          <w:sz w:val="24"/>
          <w:szCs w:val="24"/>
          <w:shd w:val="clear" w:color="auto" w:fill="FFFFFF"/>
        </w:rPr>
        <w:t>291-92</w:t>
      </w:r>
      <w:r w:rsidR="00407F52">
        <w:rPr>
          <w:rFonts w:ascii="Arial" w:hAnsi="Arial" w:cs="Arial"/>
          <w:sz w:val="24"/>
          <w:szCs w:val="24"/>
          <w:shd w:val="clear" w:color="auto" w:fill="FFFFFF"/>
        </w:rPr>
        <w:t>,</w:t>
      </w:r>
      <w:r w:rsidR="00335F3A">
        <w:rPr>
          <w:rFonts w:ascii="Arial" w:hAnsi="Arial" w:cs="Arial"/>
          <w:sz w:val="24"/>
          <w:szCs w:val="24"/>
          <w:shd w:val="clear" w:color="auto" w:fill="FFFFFF"/>
        </w:rPr>
        <w:t xml:space="preserve"> </w:t>
      </w:r>
      <w:r w:rsidRPr="00170DC9" w:rsidR="00335F3A">
        <w:rPr>
          <w:rFonts w:ascii="Arial" w:hAnsi="Arial" w:cs="Arial"/>
          <w:sz w:val="24"/>
          <w:szCs w:val="24"/>
          <w:shd w:val="clear" w:color="auto" w:fill="FFFFFF"/>
        </w:rPr>
        <w:t>346-49</w:t>
      </w:r>
      <w:r w:rsidRPr="00170DC9">
        <w:rPr>
          <w:rFonts w:ascii="Arial" w:hAnsi="Arial" w:cs="Arial"/>
          <w:sz w:val="24"/>
          <w:szCs w:val="24"/>
          <w:shd w:val="clear" w:color="auto" w:fill="FFFFFF"/>
        </w:rPr>
        <w:t>.</w:t>
      </w:r>
    </w:p>
    <w:p w:rsidRPr="00384952" w:rsidR="006E1DF2" w:rsidP="000E52BF" w:rsidRDefault="008648A0" w14:paraId="2375B760" w14:textId="1A05EFBF">
      <w:pPr>
        <w:spacing w:after="0" w:line="480" w:lineRule="auto"/>
        <w:jc w:val="both"/>
        <w:rPr>
          <w:rFonts w:ascii="Arial" w:hAnsi="Arial" w:cs="Arial"/>
          <w:sz w:val="24"/>
          <w:szCs w:val="24"/>
          <w:shd w:val="clear" w:color="auto" w:fill="FFFFFF"/>
        </w:rPr>
      </w:pPr>
      <w:r w:rsidRPr="007F2348">
        <w:rPr>
          <w:rFonts w:ascii="Arial" w:hAnsi="Arial" w:cs="Arial"/>
          <w:sz w:val="24"/>
          <w:szCs w:val="24"/>
          <w:shd w:val="clear" w:color="auto" w:fill="FFFFFF"/>
        </w:rPr>
        <w:tab/>
      </w:r>
      <w:r w:rsidR="000343CA">
        <w:rPr>
          <w:rFonts w:ascii="Arial" w:hAnsi="Arial" w:cs="Arial"/>
          <w:color w:val="222222"/>
          <w:sz w:val="24"/>
          <w:szCs w:val="24"/>
          <w:shd w:val="clear" w:color="auto" w:fill="FFFFFF"/>
        </w:rPr>
        <w:t xml:space="preserve">The Commission nonetheless created a mechanism to address the failure to properly functionalize the costs to provide the standard service offer to the cost causers, standard service offer customers.  </w:t>
      </w:r>
      <w:r w:rsidRPr="00384952" w:rsidR="006E1DF2">
        <w:rPr>
          <w:rFonts w:ascii="Arial" w:hAnsi="Arial" w:cs="Arial"/>
          <w:sz w:val="24"/>
          <w:szCs w:val="24"/>
          <w:shd w:val="clear" w:color="auto" w:fill="FFFFFF"/>
        </w:rPr>
        <w:t xml:space="preserve">In the </w:t>
      </w:r>
      <w:r w:rsidR="000343CA">
        <w:rPr>
          <w:rFonts w:ascii="Arial" w:hAnsi="Arial" w:cs="Arial"/>
          <w:sz w:val="24"/>
          <w:szCs w:val="24"/>
          <w:shd w:val="clear" w:color="auto" w:fill="FFFFFF"/>
        </w:rPr>
        <w:t>ESP IV O</w:t>
      </w:r>
      <w:r w:rsidRPr="00124D01" w:rsidR="006E1DF2">
        <w:rPr>
          <w:rFonts w:ascii="Arial" w:hAnsi="Arial" w:cs="Arial"/>
          <w:sz w:val="24"/>
          <w:szCs w:val="24"/>
          <w:shd w:val="clear" w:color="auto" w:fill="FFFFFF"/>
        </w:rPr>
        <w:t xml:space="preserve">rder directing Ohio Power to analyze the costs collected </w:t>
      </w:r>
      <w:r w:rsidR="000343CA">
        <w:rPr>
          <w:rFonts w:ascii="Arial" w:hAnsi="Arial" w:cs="Arial"/>
          <w:sz w:val="24"/>
          <w:szCs w:val="24"/>
          <w:shd w:val="clear" w:color="auto" w:fill="FFFFFF"/>
        </w:rPr>
        <w:t>i</w:t>
      </w:r>
      <w:r w:rsidRPr="00124D01" w:rsidR="006E1DF2">
        <w:rPr>
          <w:rFonts w:ascii="Arial" w:hAnsi="Arial" w:cs="Arial"/>
          <w:sz w:val="24"/>
          <w:szCs w:val="24"/>
          <w:shd w:val="clear" w:color="auto" w:fill="FFFFFF"/>
        </w:rPr>
        <w:t xml:space="preserve">n distribution rates, the Commission also authorized </w:t>
      </w:r>
      <w:r w:rsidRPr="00124D01" w:rsidR="000343CA">
        <w:rPr>
          <w:rFonts w:ascii="Arial" w:hAnsi="Arial" w:cs="Arial"/>
          <w:sz w:val="24"/>
          <w:szCs w:val="24"/>
          <w:shd w:val="clear" w:color="auto" w:fill="FFFFFF"/>
        </w:rPr>
        <w:t>t</w:t>
      </w:r>
      <w:r w:rsidR="000343CA">
        <w:rPr>
          <w:rFonts w:ascii="Arial" w:hAnsi="Arial" w:cs="Arial"/>
          <w:sz w:val="24"/>
          <w:szCs w:val="24"/>
          <w:shd w:val="clear" w:color="auto" w:fill="FFFFFF"/>
        </w:rPr>
        <w:t>wo</w:t>
      </w:r>
      <w:r w:rsidRPr="00124D01" w:rsidR="006E1DF2">
        <w:rPr>
          <w:rFonts w:ascii="Arial" w:hAnsi="Arial" w:cs="Arial"/>
          <w:sz w:val="24"/>
          <w:szCs w:val="24"/>
          <w:shd w:val="clear" w:color="auto" w:fill="FFFFFF"/>
        </w:rPr>
        <w:t xml:space="preserve"> </w:t>
      </w:r>
      <w:r w:rsidRPr="00384952" w:rsidR="006E1DF2">
        <w:rPr>
          <w:rFonts w:ascii="Arial" w:hAnsi="Arial" w:cs="Arial"/>
          <w:sz w:val="24"/>
          <w:szCs w:val="24"/>
          <w:shd w:val="clear" w:color="auto" w:fill="FFFFFF"/>
        </w:rPr>
        <w:t xml:space="preserve">riders that would be used to effectively back out the costs associated with the provision of the standard service offer from distribution rates.  Effectively, the Commission was recognizing that there may be costs that should be assigned and allocated to the riders.  </w:t>
      </w:r>
      <w:r w:rsidRPr="00384952" w:rsidR="006E1DF2">
        <w:rPr>
          <w:rFonts w:ascii="Arial" w:hAnsi="Arial" w:cs="Arial"/>
          <w:sz w:val="24"/>
          <w:szCs w:val="24"/>
          <w:shd w:val="clear" w:color="auto" w:fill="FFFFFF"/>
        </w:rPr>
        <w:lastRenderedPageBreak/>
        <w:t xml:space="preserve">Like the agreement that there are such costs being collected in distribution rates, there is also wide agreement on the </w:t>
      </w:r>
      <w:r w:rsidRPr="00384952" w:rsidR="00AB5BE3">
        <w:rPr>
          <w:rFonts w:ascii="Arial" w:hAnsi="Arial" w:cs="Arial"/>
          <w:sz w:val="24"/>
          <w:szCs w:val="24"/>
          <w:shd w:val="clear" w:color="auto" w:fill="FFFFFF"/>
        </w:rPr>
        <w:t>assignment</w:t>
      </w:r>
      <w:r w:rsidRPr="00384952" w:rsidR="006E1DF2">
        <w:rPr>
          <w:rFonts w:ascii="Arial" w:hAnsi="Arial" w:cs="Arial"/>
          <w:sz w:val="24"/>
          <w:szCs w:val="24"/>
          <w:shd w:val="clear" w:color="auto" w:fill="FFFFFF"/>
        </w:rPr>
        <w:t xml:space="preserve"> and allocation principles that should be applied to properly determine the costs to provide the standard service offer.</w:t>
      </w:r>
      <w:r w:rsidRPr="00384952" w:rsidR="005E1A70">
        <w:rPr>
          <w:rFonts w:ascii="Arial" w:hAnsi="Arial" w:cs="Arial"/>
          <w:sz w:val="24"/>
          <w:szCs w:val="24"/>
          <w:shd w:val="clear" w:color="auto" w:fill="FFFFFF"/>
        </w:rPr>
        <w:t xml:space="preserve">  </w:t>
      </w:r>
    </w:p>
    <w:p w:rsidRPr="003C1C8F" w:rsidR="008F504C" w:rsidP="006E1DF2" w:rsidRDefault="005E1A70" w14:paraId="06AFB55D" w14:textId="566CD97C">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In accordance with the NARUC recommendations on cost assignment, “direct costs ‘should be collected and classified on a direct basis for each asset, service or product provided.’”  IGS/</w:t>
      </w:r>
      <w:r w:rsidRPr="003C1C8F">
        <w:rPr>
          <w:rFonts w:ascii="Arial" w:hAnsi="Arial" w:cs="Arial"/>
          <w:sz w:val="24"/>
          <w:szCs w:val="24"/>
          <w:shd w:val="clear" w:color="auto" w:fill="FFFFFF"/>
        </w:rPr>
        <w:t xml:space="preserve">Direct </w:t>
      </w:r>
      <w:r w:rsidRPr="003C1C8F" w:rsidR="5AEF7451">
        <w:rPr>
          <w:rFonts w:ascii="Arial" w:hAnsi="Arial" w:cs="Arial"/>
          <w:sz w:val="24"/>
          <w:szCs w:val="24"/>
          <w:shd w:val="clear" w:color="auto" w:fill="FFFFFF"/>
        </w:rPr>
        <w:t>Ex.</w:t>
      </w:r>
      <w:r w:rsidRPr="003C1C8F">
        <w:rPr>
          <w:rFonts w:ascii="Arial" w:hAnsi="Arial" w:cs="Arial"/>
          <w:sz w:val="24"/>
          <w:szCs w:val="24"/>
          <w:shd w:val="clear" w:color="auto" w:fill="FFFFFF"/>
        </w:rPr>
        <w:t xml:space="preserve"> 2 at 22-23.  </w:t>
      </w:r>
      <w:r w:rsidRPr="00C57213" w:rsidR="00F00188">
        <w:rPr>
          <w:rFonts w:ascii="Arial" w:hAnsi="Arial" w:cs="Arial"/>
          <w:i/>
          <w:sz w:val="24"/>
          <w:szCs w:val="24"/>
          <w:shd w:val="clear" w:color="auto" w:fill="FFFFFF"/>
        </w:rPr>
        <w:t>See</w:t>
      </w:r>
      <w:r w:rsidR="00F00188">
        <w:rPr>
          <w:rFonts w:ascii="Arial" w:hAnsi="Arial" w:cs="Arial"/>
          <w:i/>
          <w:sz w:val="24"/>
          <w:szCs w:val="24"/>
          <w:shd w:val="clear" w:color="auto" w:fill="FFFFFF"/>
        </w:rPr>
        <w:t xml:space="preserve"> </w:t>
      </w:r>
      <w:r w:rsidRPr="00C57213" w:rsidR="00F00188">
        <w:rPr>
          <w:rFonts w:ascii="Arial" w:hAnsi="Arial" w:cs="Arial"/>
          <w:i/>
          <w:sz w:val="24"/>
          <w:szCs w:val="24"/>
          <w:shd w:val="clear" w:color="auto" w:fill="FFFFFF"/>
        </w:rPr>
        <w:t xml:space="preserve">also </w:t>
      </w:r>
      <w:r w:rsidRPr="00C57213" w:rsidR="78F5E502">
        <w:rPr>
          <w:rFonts w:ascii="Arial" w:hAnsi="Arial" w:cs="Arial"/>
          <w:i/>
          <w:sz w:val="24"/>
          <w:szCs w:val="24"/>
          <w:shd w:val="clear" w:color="auto" w:fill="FFFFFF"/>
        </w:rPr>
        <w:t>Id</w:t>
      </w:r>
      <w:r w:rsidRPr="00C57213" w:rsidR="78F5E502">
        <w:rPr>
          <w:rFonts w:ascii="Arial" w:hAnsi="Arial" w:cs="Arial"/>
          <w:i/>
          <w:iCs/>
          <w:sz w:val="24"/>
          <w:szCs w:val="24"/>
          <w:shd w:val="clear" w:color="auto" w:fill="FFFFFF"/>
        </w:rPr>
        <w:t>.</w:t>
      </w:r>
      <w:r w:rsidRPr="00C57213" w:rsidR="00F00188">
        <w:rPr>
          <w:rFonts w:ascii="Arial" w:hAnsi="Arial" w:cs="Arial"/>
          <w:sz w:val="24"/>
          <w:szCs w:val="24"/>
          <w:shd w:val="clear" w:color="auto" w:fill="FFFFFF"/>
        </w:rPr>
        <w:t xml:space="preserve"> at 33.  </w:t>
      </w:r>
      <w:r w:rsidRPr="003C1C8F" w:rsidR="00F00188">
        <w:rPr>
          <w:rFonts w:ascii="Arial" w:hAnsi="Arial" w:cs="Arial"/>
          <w:sz w:val="24"/>
          <w:szCs w:val="24"/>
          <w:shd w:val="clear" w:color="auto" w:fill="FFFFFF"/>
        </w:rPr>
        <w:t xml:space="preserve">“A simple test to determine if a cost is a direct cost is to evaluate whether it would go away if the product or service goes away.”  </w:t>
      </w:r>
      <w:r w:rsidRPr="003C1C8F" w:rsidR="00F00188">
        <w:rPr>
          <w:rFonts w:ascii="Arial" w:hAnsi="Arial" w:cs="Arial"/>
          <w:i/>
          <w:sz w:val="24"/>
          <w:szCs w:val="24"/>
          <w:shd w:val="clear" w:color="auto" w:fill="FFFFFF"/>
        </w:rPr>
        <w:t>Id</w:t>
      </w:r>
      <w:r w:rsidRPr="003C1C8F" w:rsidR="00F00188">
        <w:rPr>
          <w:rFonts w:ascii="Arial" w:hAnsi="Arial" w:cs="Arial"/>
          <w:sz w:val="24"/>
          <w:szCs w:val="24"/>
          <w:shd w:val="clear" w:color="auto" w:fill="FFFFFF"/>
        </w:rPr>
        <w:t xml:space="preserve">. at 33.  </w:t>
      </w:r>
      <w:r w:rsidRPr="003C1C8F">
        <w:rPr>
          <w:rFonts w:ascii="Arial" w:hAnsi="Arial" w:cs="Arial"/>
          <w:sz w:val="24"/>
          <w:szCs w:val="24"/>
          <w:shd w:val="clear" w:color="auto" w:fill="FFFFFF"/>
        </w:rPr>
        <w:t xml:space="preserve">Indirect costs, i.e., costs for resources that are used for multiple products or services, should be charged on a fully allocated cost basis.  </w:t>
      </w:r>
      <w:r w:rsidRPr="003C1C8F">
        <w:rPr>
          <w:rFonts w:ascii="Arial" w:hAnsi="Arial" w:cs="Arial"/>
          <w:i/>
          <w:sz w:val="24"/>
          <w:szCs w:val="24"/>
          <w:shd w:val="clear" w:color="auto" w:fill="FFFFFF"/>
        </w:rPr>
        <w:t>Id</w:t>
      </w:r>
      <w:r w:rsidRPr="003C1C8F">
        <w:rPr>
          <w:rFonts w:ascii="Arial" w:hAnsi="Arial" w:cs="Arial"/>
          <w:sz w:val="24"/>
          <w:szCs w:val="24"/>
          <w:shd w:val="clear" w:color="auto" w:fill="FFFFFF"/>
        </w:rPr>
        <w:t xml:space="preserve">. at 23.  </w:t>
      </w:r>
    </w:p>
    <w:p w:rsidRPr="003C1C8F" w:rsidR="00904155" w:rsidP="000E52BF" w:rsidRDefault="008F504C" w14:paraId="193AB181" w14:textId="74CCE75E">
      <w:pPr>
        <w:spacing w:after="0" w:line="480" w:lineRule="auto"/>
        <w:ind w:firstLine="720"/>
        <w:jc w:val="both"/>
        <w:rPr>
          <w:rFonts w:ascii="Arial" w:hAnsi="Arial" w:cs="Arial"/>
          <w:sz w:val="24"/>
          <w:szCs w:val="24"/>
          <w:shd w:val="clear" w:color="auto" w:fill="FFFFFF"/>
        </w:rPr>
      </w:pPr>
      <w:r w:rsidRPr="003C1C8F">
        <w:rPr>
          <w:rFonts w:ascii="Arial" w:hAnsi="Arial" w:cs="Arial"/>
          <w:sz w:val="24"/>
          <w:szCs w:val="24"/>
          <w:shd w:val="clear" w:color="auto" w:fill="FFFFFF"/>
        </w:rPr>
        <w:t xml:space="preserve">Again, there is no disagreement on these </w:t>
      </w:r>
      <w:r w:rsidRPr="003C1C8F" w:rsidR="0A8B5A45">
        <w:rPr>
          <w:rFonts w:ascii="Arial" w:hAnsi="Arial" w:cs="Arial"/>
          <w:sz w:val="24"/>
          <w:szCs w:val="24"/>
        </w:rPr>
        <w:t>cost-of-service</w:t>
      </w:r>
      <w:r w:rsidRPr="003C1C8F">
        <w:rPr>
          <w:rFonts w:ascii="Arial" w:hAnsi="Arial" w:cs="Arial"/>
          <w:sz w:val="24"/>
          <w:szCs w:val="24"/>
          <w:shd w:val="clear" w:color="auto" w:fill="FFFFFF"/>
        </w:rPr>
        <w:t xml:space="preserve"> principles. The </w:t>
      </w:r>
      <w:r w:rsidRPr="003C1C8F" w:rsidR="3E8463CB">
        <w:rPr>
          <w:rFonts w:ascii="Arial" w:hAnsi="Arial" w:cs="Arial"/>
          <w:sz w:val="24"/>
          <w:szCs w:val="24"/>
        </w:rPr>
        <w:t>cost-of-service</w:t>
      </w:r>
      <w:r w:rsidRPr="003C1C8F">
        <w:rPr>
          <w:rFonts w:ascii="Arial" w:hAnsi="Arial" w:cs="Arial"/>
          <w:sz w:val="24"/>
          <w:szCs w:val="24"/>
          <w:shd w:val="clear" w:color="auto" w:fill="FFFFFF"/>
        </w:rPr>
        <w:t xml:space="preserve"> principles are principles identified by NARUC in its Guidelines and Cost Allocation Manual, the Cost Allocation Manual of Ohio Power, and the standard texts guiding utility regulation.  </w:t>
      </w:r>
      <w:r w:rsidRPr="003C1C8F">
        <w:rPr>
          <w:rFonts w:ascii="Arial" w:hAnsi="Arial" w:cs="Arial"/>
          <w:i/>
          <w:sz w:val="24"/>
          <w:szCs w:val="24"/>
          <w:shd w:val="clear" w:color="auto" w:fill="FFFFFF"/>
        </w:rPr>
        <w:t>Id</w:t>
      </w:r>
      <w:r w:rsidRPr="003C1C8F">
        <w:rPr>
          <w:rFonts w:ascii="Arial" w:hAnsi="Arial" w:cs="Arial"/>
          <w:sz w:val="24"/>
          <w:szCs w:val="24"/>
          <w:shd w:val="clear" w:color="auto" w:fill="FFFFFF"/>
        </w:rPr>
        <w:t xml:space="preserve">. at 20-31.  Ohio Power and </w:t>
      </w:r>
      <w:r w:rsidRPr="003C1C8F" w:rsidR="00335F3A">
        <w:rPr>
          <w:rFonts w:ascii="Arial" w:hAnsi="Arial" w:cs="Arial"/>
          <w:sz w:val="24"/>
          <w:szCs w:val="24"/>
          <w:shd w:val="clear" w:color="auto" w:fill="FFFFFF"/>
        </w:rPr>
        <w:t xml:space="preserve">the Staff Report </w:t>
      </w:r>
      <w:r w:rsidRPr="003C1C8F">
        <w:rPr>
          <w:rFonts w:ascii="Arial" w:hAnsi="Arial" w:cs="Arial"/>
          <w:sz w:val="24"/>
          <w:szCs w:val="24"/>
          <w:shd w:val="clear" w:color="auto" w:fill="FFFFFF"/>
        </w:rPr>
        <w:t>likewise agree with these guideline</w:t>
      </w:r>
      <w:r w:rsidRPr="003C1C8F" w:rsidR="00307770">
        <w:rPr>
          <w:rFonts w:ascii="Arial" w:hAnsi="Arial" w:cs="Arial"/>
          <w:sz w:val="24"/>
          <w:szCs w:val="24"/>
          <w:shd w:val="clear" w:color="auto" w:fill="FFFFFF"/>
        </w:rPr>
        <w:t>s</w:t>
      </w:r>
      <w:r w:rsidRPr="003C1C8F">
        <w:rPr>
          <w:rFonts w:ascii="Arial" w:hAnsi="Arial" w:cs="Arial"/>
          <w:sz w:val="24"/>
          <w:szCs w:val="24"/>
          <w:shd w:val="clear" w:color="auto" w:fill="FFFFFF"/>
        </w:rPr>
        <w:t xml:space="preserve"> for assigning costs in a manner that properly </w:t>
      </w:r>
      <w:r w:rsidRPr="003C1C8F" w:rsidR="00307770">
        <w:rPr>
          <w:rFonts w:ascii="Arial" w:hAnsi="Arial" w:cs="Arial"/>
          <w:sz w:val="24"/>
          <w:szCs w:val="24"/>
          <w:shd w:val="clear" w:color="auto" w:fill="FFFFFF"/>
        </w:rPr>
        <w:t>assigns to</w:t>
      </w:r>
      <w:r w:rsidRPr="003C1C8F">
        <w:rPr>
          <w:rFonts w:ascii="Arial" w:hAnsi="Arial" w:cs="Arial"/>
          <w:sz w:val="24"/>
          <w:szCs w:val="24"/>
          <w:shd w:val="clear" w:color="auto" w:fill="FFFFFF"/>
        </w:rPr>
        <w:t xml:space="preserve"> services </w:t>
      </w:r>
      <w:r w:rsidRPr="003C1C8F" w:rsidR="00307770">
        <w:rPr>
          <w:rFonts w:ascii="Arial" w:hAnsi="Arial" w:cs="Arial"/>
          <w:sz w:val="24"/>
          <w:szCs w:val="24"/>
          <w:shd w:val="clear" w:color="auto" w:fill="FFFFFF"/>
        </w:rPr>
        <w:t xml:space="preserve">the cost to provide that service </w:t>
      </w:r>
      <w:r w:rsidRPr="003C1C8F">
        <w:rPr>
          <w:rFonts w:ascii="Arial" w:hAnsi="Arial" w:cs="Arial"/>
          <w:sz w:val="24"/>
          <w:szCs w:val="24"/>
          <w:shd w:val="clear" w:color="auto" w:fill="FFFFFF"/>
        </w:rPr>
        <w:t xml:space="preserve">based on cost causation.  </w:t>
      </w:r>
      <w:r w:rsidRPr="003C1C8F" w:rsidR="00335F3A">
        <w:rPr>
          <w:rFonts w:ascii="Arial" w:hAnsi="Arial" w:cs="Arial"/>
          <w:sz w:val="24"/>
          <w:szCs w:val="24"/>
          <w:shd w:val="clear" w:color="auto" w:fill="FFFFFF"/>
        </w:rPr>
        <w:t xml:space="preserve">Tr. at </w:t>
      </w:r>
      <w:r w:rsidRPr="003C1C8F" w:rsidR="00307770">
        <w:rPr>
          <w:rFonts w:ascii="Arial" w:hAnsi="Arial" w:cs="Arial"/>
          <w:sz w:val="24"/>
          <w:szCs w:val="24"/>
          <w:shd w:val="clear" w:color="auto" w:fill="FFFFFF"/>
        </w:rPr>
        <w:t>39-43</w:t>
      </w:r>
      <w:r w:rsidR="003C1C8F">
        <w:rPr>
          <w:rFonts w:ascii="Arial" w:hAnsi="Arial" w:cs="Arial"/>
          <w:sz w:val="24"/>
          <w:szCs w:val="24"/>
          <w:shd w:val="clear" w:color="auto" w:fill="FFFFFF"/>
        </w:rPr>
        <w:t>;</w:t>
      </w:r>
      <w:r w:rsidR="00307770">
        <w:rPr>
          <w:rFonts w:ascii="Arial" w:hAnsi="Arial" w:cs="Arial"/>
          <w:sz w:val="24"/>
          <w:szCs w:val="24"/>
          <w:shd w:val="clear" w:color="auto" w:fill="FFFFFF"/>
        </w:rPr>
        <w:t xml:space="preserve"> </w:t>
      </w:r>
      <w:r w:rsidRPr="003C1C8F" w:rsidR="00307770">
        <w:rPr>
          <w:rFonts w:ascii="Arial" w:hAnsi="Arial" w:cs="Arial"/>
          <w:sz w:val="24"/>
          <w:szCs w:val="24"/>
          <w:shd w:val="clear" w:color="auto" w:fill="FFFFFF"/>
        </w:rPr>
        <w:t xml:space="preserve">Staff </w:t>
      </w:r>
      <w:r w:rsidRPr="003C1C8F" w:rsidR="5AEF7451">
        <w:rPr>
          <w:rFonts w:ascii="Arial" w:hAnsi="Arial" w:cs="Arial"/>
          <w:sz w:val="24"/>
          <w:szCs w:val="24"/>
          <w:shd w:val="clear" w:color="auto" w:fill="FFFFFF"/>
        </w:rPr>
        <w:t>Ex.</w:t>
      </w:r>
      <w:r w:rsidRPr="003C1C8F" w:rsidR="00307770">
        <w:rPr>
          <w:rFonts w:ascii="Arial" w:hAnsi="Arial" w:cs="Arial"/>
          <w:sz w:val="24"/>
          <w:szCs w:val="24"/>
          <w:shd w:val="clear" w:color="auto" w:fill="FFFFFF"/>
        </w:rPr>
        <w:t xml:space="preserve"> 1 at 36.</w:t>
      </w:r>
    </w:p>
    <w:p w:rsidRPr="00384952" w:rsidR="0018303D" w:rsidP="0018303D" w:rsidRDefault="0018303D" w14:paraId="1067DFB1" w14:textId="74794BAD">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Applying these principles to Ohio Power’s cost of service, IGS and </w:t>
      </w:r>
      <w:proofErr w:type="spellStart"/>
      <w:r w:rsidRPr="00384952">
        <w:rPr>
          <w:rFonts w:ascii="Arial" w:hAnsi="Arial" w:cs="Arial"/>
          <w:sz w:val="24"/>
          <w:szCs w:val="24"/>
          <w:shd w:val="clear" w:color="auto" w:fill="FFFFFF"/>
        </w:rPr>
        <w:t>Direct’s</w:t>
      </w:r>
      <w:proofErr w:type="spellEnd"/>
      <w:r w:rsidRPr="00384952">
        <w:rPr>
          <w:rFonts w:ascii="Arial" w:hAnsi="Arial" w:cs="Arial"/>
          <w:sz w:val="24"/>
          <w:szCs w:val="24"/>
          <w:shd w:val="clear" w:color="auto" w:fill="FFFFFF"/>
        </w:rPr>
        <w:t xml:space="preserve"> witness, Mr. Lacey, identified direct and indirect costs to be assigned and allocated for recovery through the Retail Reconciliation Rider.  These costs were drawn from Customer Accounts captured in FERC Accounts 901-905, Customer Service an Information captured in Accounts 906-910, Administrative and General Costs captured in Accounts 920-931, and Depreciation and Amortization costs captured in Account 403.</w:t>
      </w:r>
      <w:r w:rsidRPr="00384952">
        <w:rPr>
          <w:rStyle w:val="FootnoteReference"/>
          <w:rFonts w:ascii="Arial" w:hAnsi="Arial" w:cs="Arial"/>
          <w:sz w:val="24"/>
          <w:szCs w:val="24"/>
          <w:shd w:val="clear" w:color="auto" w:fill="FFFFFF"/>
        </w:rPr>
        <w:footnoteReference w:id="5"/>
      </w:r>
      <w:r w:rsidRPr="00384952">
        <w:rPr>
          <w:rFonts w:ascii="Arial" w:hAnsi="Arial" w:cs="Arial"/>
          <w:sz w:val="24"/>
          <w:szCs w:val="24"/>
          <w:shd w:val="clear" w:color="auto" w:fill="FFFFFF"/>
        </w:rPr>
        <w:t xml:space="preserve"> </w:t>
      </w:r>
      <w:r w:rsidRPr="00384952">
        <w:rPr>
          <w:rFonts w:ascii="Arial" w:hAnsi="Arial" w:cs="Arial"/>
          <w:i/>
          <w:sz w:val="24"/>
          <w:szCs w:val="24"/>
          <w:shd w:val="clear" w:color="auto" w:fill="FFFFFF"/>
        </w:rPr>
        <w:t xml:space="preserve"> Id. a</w:t>
      </w:r>
      <w:r w:rsidRPr="00384952">
        <w:rPr>
          <w:rFonts w:ascii="Arial" w:hAnsi="Arial" w:cs="Arial"/>
          <w:sz w:val="24"/>
          <w:szCs w:val="24"/>
          <w:shd w:val="clear" w:color="auto" w:fill="FFFFFF"/>
        </w:rPr>
        <w:t xml:space="preserve">t 36.  </w:t>
      </w:r>
      <w:r w:rsidRPr="00384952">
        <w:rPr>
          <w:rFonts w:ascii="Arial" w:hAnsi="Arial" w:cs="Arial"/>
          <w:sz w:val="24"/>
          <w:szCs w:val="24"/>
          <w:shd w:val="clear" w:color="auto" w:fill="FFFFFF"/>
        </w:rPr>
        <w:lastRenderedPageBreak/>
        <w:t xml:space="preserve">This resulted in a “pool of resources” of $190 million to be assigned and allocated.  Applying allocators based on direct assignment, revenue, and customer count, Mr. Lacey concluded that $64.3 million should be charged to SSO customers through the Retail Reconciliation Rider and distributed back to all customers through the SSO Credit Rider.  </w:t>
      </w:r>
      <w:r w:rsidRPr="007C444A">
        <w:rPr>
          <w:rFonts w:ascii="Arial" w:hAnsi="Arial" w:cs="Arial"/>
          <w:i/>
          <w:sz w:val="24"/>
          <w:szCs w:val="24"/>
          <w:shd w:val="clear" w:color="auto" w:fill="FFFFFF"/>
        </w:rPr>
        <w:t>Id</w:t>
      </w:r>
      <w:r w:rsidRPr="007C444A">
        <w:rPr>
          <w:rFonts w:ascii="Arial" w:hAnsi="Arial" w:cs="Arial"/>
          <w:sz w:val="24"/>
          <w:szCs w:val="24"/>
          <w:shd w:val="clear" w:color="auto" w:fill="FFFFFF"/>
        </w:rPr>
        <w:t>. at 37</w:t>
      </w:r>
      <w:r w:rsidR="007C444A">
        <w:rPr>
          <w:rFonts w:ascii="Arial" w:hAnsi="Arial" w:cs="Arial"/>
          <w:sz w:val="24"/>
          <w:szCs w:val="24"/>
          <w:shd w:val="clear" w:color="auto" w:fill="FFFFFF"/>
        </w:rPr>
        <w:t xml:space="preserve">, </w:t>
      </w:r>
      <w:r w:rsidRPr="007C444A">
        <w:rPr>
          <w:rFonts w:ascii="Arial" w:hAnsi="Arial" w:cs="Arial"/>
          <w:sz w:val="24"/>
          <w:szCs w:val="24"/>
          <w:shd w:val="clear" w:color="auto" w:fill="FFFFFF"/>
        </w:rPr>
        <w:t xml:space="preserve">Appx 1.  At current shopping rates, standard service offer customers would incur a </w:t>
      </w:r>
      <w:proofErr w:type="spellStart"/>
      <w:r w:rsidRPr="007C444A">
        <w:rPr>
          <w:rFonts w:ascii="Arial" w:hAnsi="Arial" w:cs="Arial"/>
          <w:sz w:val="24"/>
          <w:szCs w:val="24"/>
          <w:shd w:val="clear" w:color="auto" w:fill="FFFFFF"/>
        </w:rPr>
        <w:t>bypassable</w:t>
      </w:r>
      <w:proofErr w:type="spellEnd"/>
      <w:r w:rsidRPr="007C444A">
        <w:rPr>
          <w:rFonts w:ascii="Arial" w:hAnsi="Arial" w:cs="Arial"/>
          <w:sz w:val="24"/>
          <w:szCs w:val="24"/>
          <w:shd w:val="clear" w:color="auto" w:fill="FFFFFF"/>
        </w:rPr>
        <w:t xml:space="preserve"> charge of $0.0057/</w:t>
      </w:r>
      <w:r w:rsidR="007C444A">
        <w:rPr>
          <w:rFonts w:ascii="Arial" w:hAnsi="Arial" w:cs="Arial"/>
          <w:sz w:val="24"/>
          <w:szCs w:val="24"/>
          <w:shd w:val="clear" w:color="auto" w:fill="FFFFFF"/>
        </w:rPr>
        <w:t>k</w:t>
      </w:r>
      <w:r w:rsidRPr="007C444A">
        <w:rPr>
          <w:rFonts w:ascii="Arial" w:hAnsi="Arial" w:cs="Arial"/>
          <w:sz w:val="24"/>
          <w:szCs w:val="24"/>
          <w:shd w:val="clear" w:color="auto" w:fill="FFFFFF"/>
        </w:rPr>
        <w:t>Wh, and all customers would receive a credit of $0.0015/</w:t>
      </w:r>
      <w:r w:rsidR="007C444A">
        <w:rPr>
          <w:rFonts w:ascii="Arial" w:hAnsi="Arial" w:cs="Arial"/>
          <w:sz w:val="24"/>
          <w:szCs w:val="24"/>
          <w:shd w:val="clear" w:color="auto" w:fill="FFFFFF"/>
        </w:rPr>
        <w:t>k</w:t>
      </w:r>
      <w:r w:rsidRPr="007C444A">
        <w:rPr>
          <w:rFonts w:ascii="Arial" w:hAnsi="Arial" w:cs="Arial"/>
          <w:sz w:val="24"/>
          <w:szCs w:val="24"/>
          <w:shd w:val="clear" w:color="auto" w:fill="FFFFFF"/>
        </w:rPr>
        <w:t xml:space="preserve">Wh.  </w:t>
      </w:r>
      <w:r w:rsidRPr="007C444A">
        <w:rPr>
          <w:rFonts w:ascii="Arial" w:hAnsi="Arial" w:cs="Arial"/>
          <w:i/>
          <w:sz w:val="24"/>
          <w:szCs w:val="24"/>
          <w:shd w:val="clear" w:color="auto" w:fill="FFFFFF"/>
        </w:rPr>
        <w:t>Id</w:t>
      </w:r>
      <w:r w:rsidRPr="007C444A">
        <w:rPr>
          <w:rFonts w:ascii="Arial" w:hAnsi="Arial" w:cs="Arial"/>
          <w:sz w:val="24"/>
          <w:szCs w:val="24"/>
          <w:shd w:val="clear" w:color="auto" w:fill="FFFFFF"/>
        </w:rPr>
        <w:t>.</w:t>
      </w:r>
    </w:p>
    <w:p w:rsidRPr="00384952" w:rsidR="00307770" w:rsidP="000E52BF" w:rsidRDefault="00AB5BE3" w14:paraId="6AC4FC3C" w14:textId="263A159E">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In its analysis supplied with the application, </w:t>
      </w:r>
      <w:r w:rsidRPr="00384952" w:rsidR="00307770">
        <w:rPr>
          <w:rFonts w:ascii="Arial" w:hAnsi="Arial" w:cs="Arial"/>
          <w:sz w:val="24"/>
          <w:szCs w:val="24"/>
          <w:shd w:val="clear" w:color="auto" w:fill="FFFFFF"/>
        </w:rPr>
        <w:t xml:space="preserve">Ohio Power applied the </w:t>
      </w:r>
      <w:r w:rsidRPr="00384952" w:rsidR="23AD6056">
        <w:rPr>
          <w:rFonts w:ascii="Arial" w:hAnsi="Arial" w:cs="Arial"/>
          <w:sz w:val="24"/>
          <w:szCs w:val="24"/>
        </w:rPr>
        <w:t>cost-of-service</w:t>
      </w:r>
      <w:r w:rsidRPr="00384952" w:rsidR="00307770">
        <w:rPr>
          <w:rFonts w:ascii="Arial" w:hAnsi="Arial" w:cs="Arial"/>
          <w:sz w:val="24"/>
          <w:szCs w:val="24"/>
          <w:shd w:val="clear" w:color="auto" w:fill="FFFFFF"/>
        </w:rPr>
        <w:t xml:space="preserve"> principles and determined that there were </w:t>
      </w:r>
      <w:r w:rsidRPr="00384952" w:rsidR="00B76B16">
        <w:rPr>
          <w:rFonts w:ascii="Arial" w:hAnsi="Arial" w:cs="Arial"/>
          <w:sz w:val="24"/>
          <w:szCs w:val="24"/>
          <w:shd w:val="clear" w:color="auto" w:fill="FFFFFF"/>
        </w:rPr>
        <w:t xml:space="preserve">$4.7 million in directly assignable costs in Ohio Power’s cost of service.  </w:t>
      </w:r>
      <w:r w:rsidRPr="00344CDE" w:rsidR="00B76B16">
        <w:rPr>
          <w:rFonts w:ascii="Arial" w:hAnsi="Arial" w:cs="Arial"/>
          <w:sz w:val="24"/>
          <w:szCs w:val="24"/>
          <w:shd w:val="clear" w:color="auto" w:fill="FFFFFF"/>
        </w:rPr>
        <w:t xml:space="preserve">IGS </w:t>
      </w:r>
      <w:r w:rsidRPr="00344CDE" w:rsidR="5AEF7451">
        <w:rPr>
          <w:rFonts w:ascii="Arial" w:hAnsi="Arial" w:cs="Arial"/>
          <w:sz w:val="24"/>
          <w:szCs w:val="24"/>
          <w:shd w:val="clear" w:color="auto" w:fill="FFFFFF"/>
        </w:rPr>
        <w:t>Ex.</w:t>
      </w:r>
      <w:r w:rsidRPr="00344CDE" w:rsidR="00B76B16">
        <w:rPr>
          <w:rFonts w:ascii="Arial" w:hAnsi="Arial" w:cs="Arial"/>
          <w:sz w:val="24"/>
          <w:szCs w:val="24"/>
          <w:shd w:val="clear" w:color="auto" w:fill="FFFFFF"/>
        </w:rPr>
        <w:t xml:space="preserve"> 3</w:t>
      </w:r>
      <w:r w:rsidR="00B76B16">
        <w:rPr>
          <w:rFonts w:ascii="Arial" w:hAnsi="Arial" w:cs="Arial"/>
          <w:sz w:val="24"/>
          <w:szCs w:val="24"/>
          <w:shd w:val="clear" w:color="auto" w:fill="FFFFFF"/>
        </w:rPr>
        <w:t>,</w:t>
      </w:r>
      <w:r w:rsidRPr="00344CDE" w:rsidR="00B76B16">
        <w:rPr>
          <w:rFonts w:ascii="Arial" w:hAnsi="Arial" w:cs="Arial"/>
          <w:sz w:val="24"/>
          <w:szCs w:val="24"/>
          <w:shd w:val="clear" w:color="auto" w:fill="FFFFFF"/>
        </w:rPr>
        <w:t xml:space="preserve"> </w:t>
      </w:r>
      <w:r w:rsidRPr="00344CDE" w:rsidR="5AEF7451">
        <w:rPr>
          <w:rFonts w:ascii="Arial" w:hAnsi="Arial" w:cs="Arial"/>
          <w:sz w:val="24"/>
          <w:szCs w:val="24"/>
          <w:shd w:val="clear" w:color="auto" w:fill="FFFFFF"/>
        </w:rPr>
        <w:t>Ex.</w:t>
      </w:r>
      <w:r w:rsidRPr="00344CDE" w:rsidR="00B76B16">
        <w:rPr>
          <w:rFonts w:ascii="Arial" w:hAnsi="Arial" w:cs="Arial"/>
          <w:sz w:val="24"/>
          <w:szCs w:val="24"/>
          <w:shd w:val="clear" w:color="auto" w:fill="FFFFFF"/>
        </w:rPr>
        <w:t xml:space="preserve"> DMR-2.  </w:t>
      </w:r>
      <w:r w:rsidRPr="00384952" w:rsidR="00B76B16">
        <w:rPr>
          <w:rFonts w:ascii="Arial" w:hAnsi="Arial" w:cs="Arial"/>
          <w:sz w:val="24"/>
          <w:szCs w:val="24"/>
          <w:shd w:val="clear" w:color="auto" w:fill="FFFFFF"/>
        </w:rPr>
        <w:t>That study, however, did not allocate any costs for other “qualitative costs” that Ohio Power incurred to support the standard service off</w:t>
      </w:r>
      <w:r w:rsidRPr="00905D64" w:rsidR="00B76B16">
        <w:rPr>
          <w:rFonts w:ascii="Arial" w:hAnsi="Arial" w:cs="Arial"/>
          <w:sz w:val="24"/>
          <w:szCs w:val="24"/>
          <w:shd w:val="clear" w:color="auto" w:fill="FFFFFF"/>
        </w:rPr>
        <w:t xml:space="preserve">er.  </w:t>
      </w:r>
      <w:r w:rsidRPr="00EB0D02" w:rsidR="00B76B16">
        <w:rPr>
          <w:rFonts w:ascii="Arial" w:hAnsi="Arial" w:cs="Arial"/>
          <w:i/>
          <w:sz w:val="24"/>
          <w:szCs w:val="24"/>
          <w:shd w:val="clear" w:color="auto" w:fill="FFFFFF"/>
        </w:rPr>
        <w:t>Id</w:t>
      </w:r>
      <w:r w:rsidRPr="00EB0D02" w:rsidR="00B76B16">
        <w:rPr>
          <w:rFonts w:ascii="Arial" w:hAnsi="Arial" w:cs="Arial"/>
          <w:sz w:val="24"/>
          <w:szCs w:val="24"/>
          <w:shd w:val="clear" w:color="auto" w:fill="FFFFFF"/>
        </w:rPr>
        <w:t>.</w:t>
      </w:r>
      <w:r w:rsidR="00905D64">
        <w:rPr>
          <w:rFonts w:ascii="Arial" w:hAnsi="Arial" w:cs="Arial"/>
          <w:sz w:val="24"/>
          <w:szCs w:val="24"/>
          <w:shd w:val="clear" w:color="auto" w:fill="FFFFFF"/>
        </w:rPr>
        <w:t>,</w:t>
      </w:r>
      <w:r w:rsidR="00B76B16">
        <w:rPr>
          <w:rFonts w:ascii="Arial" w:hAnsi="Arial" w:cs="Arial"/>
          <w:sz w:val="24"/>
          <w:szCs w:val="24"/>
          <w:shd w:val="clear" w:color="auto" w:fill="FFFFFF"/>
        </w:rPr>
        <w:t xml:space="preserve"> </w:t>
      </w:r>
      <w:r w:rsidRPr="00EB0D02" w:rsidR="00B76B16">
        <w:rPr>
          <w:rFonts w:ascii="Arial" w:hAnsi="Arial" w:cs="Arial"/>
          <w:sz w:val="24"/>
          <w:szCs w:val="24"/>
          <w:shd w:val="clear" w:color="auto" w:fill="FFFFFF"/>
        </w:rPr>
        <w:t xml:space="preserve">Tr. at 36.  While Ohio Power may have considered these other costs, the Staff refused to address even the proper </w:t>
      </w:r>
      <w:r w:rsidRPr="00384952" w:rsidR="00B76B16">
        <w:rPr>
          <w:rFonts w:ascii="Arial" w:hAnsi="Arial" w:cs="Arial"/>
          <w:sz w:val="24"/>
          <w:szCs w:val="24"/>
          <w:shd w:val="clear" w:color="auto" w:fill="FFFFFF"/>
        </w:rPr>
        <w:t xml:space="preserve">treatment of the directly assignable costs that Ohio Power did identify.  Staff </w:t>
      </w:r>
      <w:r w:rsidRPr="00384952" w:rsidR="5AEF7451">
        <w:rPr>
          <w:rFonts w:ascii="Arial" w:hAnsi="Arial" w:cs="Arial"/>
          <w:sz w:val="24"/>
          <w:szCs w:val="24"/>
          <w:shd w:val="clear" w:color="auto" w:fill="FFFFFF"/>
        </w:rPr>
        <w:t>Ex.</w:t>
      </w:r>
      <w:r w:rsidRPr="00384952" w:rsidR="00B76B16">
        <w:rPr>
          <w:rFonts w:ascii="Arial" w:hAnsi="Arial" w:cs="Arial"/>
          <w:sz w:val="24"/>
          <w:szCs w:val="24"/>
          <w:shd w:val="clear" w:color="auto" w:fill="FFFFFF"/>
        </w:rPr>
        <w:t xml:space="preserve"> 1 at 31. </w:t>
      </w:r>
    </w:p>
    <w:p w:rsidRPr="00384952" w:rsidR="00307770" w:rsidP="000E52BF" w:rsidRDefault="00307770" w14:paraId="5DCE3D76" w14:textId="2513984F">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In summary, the parties agree that costs to support the provision of the standard service offer remain in the revenue requirement despite the jurisdictional functionalization performed by Ohio Power.  The parties also agree that these costs will be recovered through distribution rates if the provision of the Stipulation setting the Retail Reconciliation Rider and SSO Credit Rider at zero is approved.  </w:t>
      </w:r>
      <w:r w:rsidRPr="00384952" w:rsidR="0018303D">
        <w:rPr>
          <w:rFonts w:ascii="Arial" w:hAnsi="Arial" w:cs="Arial"/>
          <w:sz w:val="24"/>
          <w:szCs w:val="24"/>
          <w:shd w:val="clear" w:color="auto" w:fill="FFFFFF"/>
        </w:rPr>
        <w:t>The parties also agree</w:t>
      </w:r>
      <w:r w:rsidRPr="00384952" w:rsidR="00AB5BE3">
        <w:rPr>
          <w:rFonts w:ascii="Arial" w:hAnsi="Arial" w:cs="Arial"/>
          <w:sz w:val="24"/>
          <w:szCs w:val="24"/>
          <w:shd w:val="clear" w:color="auto" w:fill="FFFFFF"/>
        </w:rPr>
        <w:t xml:space="preserve"> on the principles that the Ohio Power could have applied to allocate indirect or “qualitative” costs.  </w:t>
      </w:r>
      <w:r w:rsidRPr="00384952">
        <w:rPr>
          <w:rFonts w:ascii="Arial" w:hAnsi="Arial" w:cs="Arial"/>
          <w:sz w:val="24"/>
          <w:szCs w:val="24"/>
          <w:shd w:val="clear" w:color="auto" w:fill="FFFFFF"/>
        </w:rPr>
        <w:t xml:space="preserve">The parties disagree on the amount that is being recovered in distribution rates, but </w:t>
      </w:r>
      <w:r w:rsidRPr="00384952" w:rsidR="0018303D">
        <w:rPr>
          <w:rFonts w:ascii="Arial" w:hAnsi="Arial" w:cs="Arial"/>
          <w:sz w:val="24"/>
          <w:szCs w:val="24"/>
          <w:shd w:val="clear" w:color="auto" w:fill="FFFFFF"/>
        </w:rPr>
        <w:t>o</w:t>
      </w:r>
      <w:r w:rsidRPr="00384952" w:rsidR="00B76B16">
        <w:rPr>
          <w:rFonts w:ascii="Arial" w:hAnsi="Arial" w:cs="Arial"/>
          <w:sz w:val="24"/>
          <w:szCs w:val="24"/>
          <w:shd w:val="clear" w:color="auto" w:fill="FFFFFF"/>
        </w:rPr>
        <w:t xml:space="preserve">nly one witness, Mr. Lacey, took the steps necessary to apply the accepted principles to determine the amount that should be recovered through the Reconciliation Recovery </w:t>
      </w:r>
      <w:r w:rsidRPr="00384952" w:rsidR="00B76B16">
        <w:rPr>
          <w:rFonts w:ascii="Arial" w:hAnsi="Arial" w:cs="Arial"/>
          <w:sz w:val="24"/>
          <w:szCs w:val="24"/>
          <w:shd w:val="clear" w:color="auto" w:fill="FFFFFF"/>
        </w:rPr>
        <w:lastRenderedPageBreak/>
        <w:t>Rider to assure that requirements of Ohio law were satisfied with rates that conformed to sound economic policy</w:t>
      </w:r>
      <w:r w:rsidRPr="00384952" w:rsidR="0018303D">
        <w:rPr>
          <w:rFonts w:ascii="Arial" w:hAnsi="Arial" w:cs="Arial"/>
          <w:sz w:val="24"/>
          <w:szCs w:val="24"/>
          <w:shd w:val="clear" w:color="auto" w:fill="FFFFFF"/>
        </w:rPr>
        <w:t>, notwithstanding the objections discussed in the next section.</w:t>
      </w:r>
    </w:p>
    <w:p w:rsidRPr="00384952" w:rsidR="007D3F87" w:rsidP="00384952" w:rsidRDefault="007D3F87" w14:paraId="6947927E" w14:textId="7A2745B9">
      <w:pPr>
        <w:pStyle w:val="Heading3"/>
        <w:numPr>
          <w:ilvl w:val="0"/>
          <w:numId w:val="6"/>
        </w:numPr>
        <w:rPr>
          <w:b/>
          <w:shd w:val="clear" w:color="auto" w:fill="FFFFFF"/>
        </w:rPr>
      </w:pPr>
      <w:bookmarkStart w:name="_Toc73104532" w:id="25"/>
      <w:bookmarkStart w:name="_Toc74573087" w:id="26"/>
      <w:r w:rsidRPr="00384952">
        <w:rPr>
          <w:b/>
          <w:shd w:val="clear" w:color="auto" w:fill="FFFFFF"/>
        </w:rPr>
        <w:t xml:space="preserve">The </w:t>
      </w:r>
      <w:r w:rsidRPr="00384952" w:rsidR="00957549">
        <w:rPr>
          <w:b/>
          <w:shd w:val="clear" w:color="auto" w:fill="FFFFFF"/>
        </w:rPr>
        <w:t>g</w:t>
      </w:r>
      <w:r w:rsidRPr="00384952">
        <w:rPr>
          <w:b/>
          <w:shd w:val="clear" w:color="auto" w:fill="FFFFFF"/>
        </w:rPr>
        <w:t xml:space="preserve">rounds </w:t>
      </w:r>
      <w:r w:rsidRPr="00384952" w:rsidR="00957549">
        <w:rPr>
          <w:b/>
          <w:shd w:val="clear" w:color="auto" w:fill="FFFFFF"/>
        </w:rPr>
        <w:t>a</w:t>
      </w:r>
      <w:r w:rsidRPr="00384952">
        <w:rPr>
          <w:b/>
          <w:shd w:val="clear" w:color="auto" w:fill="FFFFFF"/>
        </w:rPr>
        <w:t xml:space="preserve">dvanced by Stipulating Parties for </w:t>
      </w:r>
      <w:r w:rsidRPr="00384952" w:rsidR="00957549">
        <w:rPr>
          <w:b/>
          <w:shd w:val="clear" w:color="auto" w:fill="FFFFFF"/>
        </w:rPr>
        <w:t>r</w:t>
      </w:r>
      <w:r w:rsidRPr="00384952">
        <w:rPr>
          <w:b/>
          <w:shd w:val="clear" w:color="auto" w:fill="FFFFFF"/>
        </w:rPr>
        <w:t xml:space="preserve">efusing to </w:t>
      </w:r>
      <w:r w:rsidRPr="00384952" w:rsidR="00957549">
        <w:rPr>
          <w:b/>
          <w:shd w:val="clear" w:color="auto" w:fill="FFFFFF"/>
        </w:rPr>
        <w:t>p</w:t>
      </w:r>
      <w:r w:rsidRPr="00384952">
        <w:rPr>
          <w:b/>
          <w:shd w:val="clear" w:color="auto" w:fill="FFFFFF"/>
        </w:rPr>
        <w:t xml:space="preserve">opulate the Retail Reconciliation Rider and SSO Credit Rider </w:t>
      </w:r>
      <w:r w:rsidRPr="00384952" w:rsidR="00957549">
        <w:rPr>
          <w:b/>
          <w:shd w:val="clear" w:color="auto" w:fill="FFFFFF"/>
        </w:rPr>
        <w:t>a</w:t>
      </w:r>
      <w:r w:rsidRPr="00384952">
        <w:rPr>
          <w:b/>
          <w:shd w:val="clear" w:color="auto" w:fill="FFFFFF"/>
        </w:rPr>
        <w:t xml:space="preserve">re </w:t>
      </w:r>
      <w:r w:rsidRPr="00384952" w:rsidR="00957549">
        <w:rPr>
          <w:b/>
          <w:shd w:val="clear" w:color="auto" w:fill="FFFFFF"/>
        </w:rPr>
        <w:t>b</w:t>
      </w:r>
      <w:r w:rsidRPr="00384952">
        <w:rPr>
          <w:b/>
          <w:shd w:val="clear" w:color="auto" w:fill="FFFFFF"/>
        </w:rPr>
        <w:t xml:space="preserve">ased on </w:t>
      </w:r>
      <w:r w:rsidRPr="00384952" w:rsidR="00957549">
        <w:rPr>
          <w:b/>
          <w:shd w:val="clear" w:color="auto" w:fill="FFFFFF"/>
        </w:rPr>
        <w:t>c</w:t>
      </w:r>
      <w:r w:rsidRPr="00384952">
        <w:rPr>
          <w:b/>
          <w:shd w:val="clear" w:color="auto" w:fill="FFFFFF"/>
        </w:rPr>
        <w:t xml:space="preserve">onjecture and </w:t>
      </w:r>
      <w:r w:rsidRPr="00384952" w:rsidR="00957549">
        <w:rPr>
          <w:b/>
          <w:shd w:val="clear" w:color="auto" w:fill="FFFFFF"/>
        </w:rPr>
        <w:t>b</w:t>
      </w:r>
      <w:r w:rsidRPr="00384952">
        <w:rPr>
          <w:b/>
          <w:shd w:val="clear" w:color="auto" w:fill="FFFFFF"/>
        </w:rPr>
        <w:t xml:space="preserve">ad </w:t>
      </w:r>
      <w:r w:rsidRPr="00384952" w:rsidR="00957549">
        <w:rPr>
          <w:b/>
          <w:shd w:val="clear" w:color="auto" w:fill="FFFFFF"/>
        </w:rPr>
        <w:t>p</w:t>
      </w:r>
      <w:r w:rsidRPr="00384952">
        <w:rPr>
          <w:b/>
          <w:shd w:val="clear" w:color="auto" w:fill="FFFFFF"/>
        </w:rPr>
        <w:t>olicy</w:t>
      </w:r>
      <w:r w:rsidRPr="00384952" w:rsidR="00957549">
        <w:rPr>
          <w:b/>
          <w:shd w:val="clear" w:color="auto" w:fill="FFFFFF"/>
        </w:rPr>
        <w:t>.</w:t>
      </w:r>
      <w:bookmarkEnd w:id="25"/>
      <w:bookmarkEnd w:id="26"/>
    </w:p>
    <w:p w:rsidRPr="00384952" w:rsidR="0005054A" w:rsidP="000E52BF" w:rsidRDefault="00904155" w14:paraId="2518A406" w14:textId="0FD98C90">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Despite the fact that Ohio Power and Commission Staff agree that distribution rates </w:t>
      </w:r>
      <w:r w:rsidRPr="00384952" w:rsidR="0005054A">
        <w:rPr>
          <w:rFonts w:ascii="Arial" w:hAnsi="Arial" w:cs="Arial"/>
          <w:sz w:val="24"/>
          <w:szCs w:val="24"/>
          <w:shd w:val="clear" w:color="auto" w:fill="FFFFFF"/>
        </w:rPr>
        <w:t>will continue to collect</w:t>
      </w:r>
      <w:r w:rsidRPr="00384952">
        <w:rPr>
          <w:rFonts w:ascii="Arial" w:hAnsi="Arial" w:cs="Arial"/>
          <w:sz w:val="24"/>
          <w:szCs w:val="24"/>
          <w:shd w:val="clear" w:color="auto" w:fill="FFFFFF"/>
        </w:rPr>
        <w:t xml:space="preserve"> costs to deliver the standard service offer, they </w:t>
      </w:r>
      <w:r w:rsidRPr="00384952" w:rsidR="007D3F87">
        <w:rPr>
          <w:rFonts w:ascii="Arial" w:hAnsi="Arial" w:cs="Arial"/>
          <w:sz w:val="24"/>
          <w:szCs w:val="24"/>
          <w:shd w:val="clear" w:color="auto" w:fill="FFFFFF"/>
        </w:rPr>
        <w:t>recommend a</w:t>
      </w:r>
      <w:r w:rsidRPr="00384952">
        <w:rPr>
          <w:rFonts w:ascii="Arial" w:hAnsi="Arial" w:cs="Arial"/>
          <w:sz w:val="24"/>
          <w:szCs w:val="24"/>
          <w:shd w:val="clear" w:color="auto" w:fill="FFFFFF"/>
        </w:rPr>
        <w:t xml:space="preserve"> provision of</w:t>
      </w:r>
      <w:r w:rsidRPr="00384952" w:rsidR="008F504C">
        <w:rPr>
          <w:rFonts w:ascii="Arial" w:hAnsi="Arial" w:cs="Arial"/>
          <w:sz w:val="24"/>
          <w:szCs w:val="24"/>
          <w:shd w:val="clear" w:color="auto" w:fill="FFFFFF"/>
        </w:rPr>
        <w:t xml:space="preserve"> the Stipulation </w:t>
      </w:r>
      <w:r w:rsidRPr="00384952" w:rsidR="0018303D">
        <w:rPr>
          <w:rFonts w:ascii="Arial" w:hAnsi="Arial" w:cs="Arial"/>
          <w:sz w:val="24"/>
          <w:szCs w:val="24"/>
          <w:shd w:val="clear" w:color="auto" w:fill="FFFFFF"/>
        </w:rPr>
        <w:t xml:space="preserve">that would </w:t>
      </w:r>
      <w:r w:rsidRPr="00384952">
        <w:rPr>
          <w:rFonts w:ascii="Arial" w:hAnsi="Arial" w:cs="Arial"/>
          <w:sz w:val="24"/>
          <w:szCs w:val="24"/>
          <w:shd w:val="clear" w:color="auto" w:fill="FFFFFF"/>
        </w:rPr>
        <w:t>set the Retail Reconciliation Rider and SSO Credit Rider at zero.</w:t>
      </w:r>
      <w:r w:rsidRPr="00384952" w:rsidR="007D3F87">
        <w:rPr>
          <w:rFonts w:ascii="Arial" w:hAnsi="Arial" w:cs="Arial"/>
          <w:sz w:val="24"/>
          <w:szCs w:val="24"/>
          <w:shd w:val="clear" w:color="auto" w:fill="FFFFFF"/>
        </w:rPr>
        <w:t xml:space="preserve">  Ohio Power offers little explanation for its position other than it agreed to this result and that “[o]ne conceptual underpinning </w:t>
      </w:r>
      <w:r w:rsidRPr="00384952" w:rsidR="0005054A">
        <w:rPr>
          <w:rFonts w:ascii="Arial" w:hAnsi="Arial" w:cs="Arial"/>
          <w:sz w:val="24"/>
          <w:szCs w:val="24"/>
          <w:shd w:val="clear" w:color="auto" w:fill="FFFFFF"/>
        </w:rPr>
        <w:t xml:space="preserve">of </w:t>
      </w:r>
      <w:r w:rsidRPr="00384952" w:rsidR="007D3F87">
        <w:rPr>
          <w:rFonts w:ascii="Arial" w:hAnsi="Arial" w:cs="Arial"/>
          <w:sz w:val="24"/>
          <w:szCs w:val="24"/>
          <w:shd w:val="clear" w:color="auto" w:fill="FFFFFF"/>
        </w:rPr>
        <w:t xml:space="preserve">[the Staff’s position in the Staff Report] is that SSO service is available to all customers and SSO-related costs should be </w:t>
      </w:r>
      <w:r w:rsidRPr="000676EC" w:rsidR="007D3F87">
        <w:rPr>
          <w:rFonts w:ascii="Arial" w:hAnsi="Arial" w:cs="Arial"/>
          <w:sz w:val="24"/>
          <w:szCs w:val="24"/>
          <w:shd w:val="clear" w:color="auto" w:fill="FFFFFF"/>
        </w:rPr>
        <w:t xml:space="preserve">viewed as universal.”  Ohio Power </w:t>
      </w:r>
      <w:r w:rsidRPr="000676EC" w:rsidR="5AEF7451">
        <w:rPr>
          <w:rFonts w:ascii="Arial" w:hAnsi="Arial" w:cs="Arial"/>
          <w:sz w:val="24"/>
          <w:szCs w:val="24"/>
          <w:shd w:val="clear" w:color="auto" w:fill="FFFFFF"/>
        </w:rPr>
        <w:t>Ex.</w:t>
      </w:r>
      <w:r w:rsidRPr="000676EC" w:rsidR="007D3F87">
        <w:rPr>
          <w:rFonts w:ascii="Arial" w:hAnsi="Arial" w:cs="Arial"/>
          <w:sz w:val="24"/>
          <w:szCs w:val="24"/>
          <w:shd w:val="clear" w:color="auto" w:fill="FFFFFF"/>
        </w:rPr>
        <w:t xml:space="preserve"> 4 at 4.  The Staff offers several excuses </w:t>
      </w:r>
      <w:r w:rsidRPr="000676EC" w:rsidR="0005054A">
        <w:rPr>
          <w:rFonts w:ascii="Arial" w:hAnsi="Arial" w:cs="Arial"/>
          <w:sz w:val="24"/>
          <w:szCs w:val="24"/>
          <w:shd w:val="clear" w:color="auto" w:fill="FFFFFF"/>
        </w:rPr>
        <w:t xml:space="preserve">for the failure to populate the riders such as a lack of adequate accounting systems, Staff </w:t>
      </w:r>
      <w:r w:rsidRPr="000676EC" w:rsidR="5AEF7451">
        <w:rPr>
          <w:rFonts w:ascii="Arial" w:hAnsi="Arial" w:cs="Arial"/>
          <w:sz w:val="24"/>
          <w:szCs w:val="24"/>
          <w:shd w:val="clear" w:color="auto" w:fill="FFFFFF"/>
        </w:rPr>
        <w:t>Ex.</w:t>
      </w:r>
      <w:r w:rsidRPr="000676EC" w:rsidR="0005054A">
        <w:rPr>
          <w:rFonts w:ascii="Arial" w:hAnsi="Arial" w:cs="Arial"/>
          <w:sz w:val="24"/>
          <w:szCs w:val="24"/>
          <w:shd w:val="clear" w:color="auto" w:fill="FFFFFF"/>
        </w:rPr>
        <w:t xml:space="preserve"> 3 at </w:t>
      </w:r>
      <w:r w:rsidRPr="000676EC" w:rsidR="00C12ABC">
        <w:rPr>
          <w:rFonts w:ascii="Arial" w:hAnsi="Arial" w:cs="Arial"/>
          <w:sz w:val="24"/>
          <w:szCs w:val="24"/>
          <w:shd w:val="clear" w:color="auto" w:fill="FFFFFF"/>
        </w:rPr>
        <w:t>10</w:t>
      </w:r>
      <w:r w:rsidRPr="000676EC" w:rsidR="007D3F87">
        <w:rPr>
          <w:rFonts w:ascii="Arial" w:hAnsi="Arial" w:cs="Arial"/>
          <w:sz w:val="24"/>
          <w:szCs w:val="24"/>
          <w:shd w:val="clear" w:color="auto" w:fill="FFFFFF"/>
        </w:rPr>
        <w:t>, but essentially</w:t>
      </w:r>
      <w:r w:rsidRPr="000676EC" w:rsidR="0005054A">
        <w:rPr>
          <w:rFonts w:ascii="Arial" w:hAnsi="Arial" w:cs="Arial"/>
          <w:sz w:val="24"/>
          <w:szCs w:val="24"/>
          <w:shd w:val="clear" w:color="auto" w:fill="FFFFFF"/>
        </w:rPr>
        <w:t xml:space="preserve"> seeks to relabel the costs as “distribution facilities,</w:t>
      </w:r>
      <w:r w:rsidRPr="000676EC" w:rsidR="00B76B16">
        <w:rPr>
          <w:rFonts w:ascii="Arial" w:hAnsi="Arial" w:cs="Arial"/>
          <w:sz w:val="24"/>
          <w:szCs w:val="24"/>
          <w:shd w:val="clear" w:color="auto" w:fill="FFFFFF"/>
        </w:rPr>
        <w:t>”</w:t>
      </w:r>
      <w:r w:rsidRPr="000676EC" w:rsidR="0005054A">
        <w:rPr>
          <w:rFonts w:ascii="Arial" w:hAnsi="Arial" w:cs="Arial"/>
          <w:i/>
          <w:sz w:val="24"/>
          <w:szCs w:val="24"/>
          <w:shd w:val="clear" w:color="auto" w:fill="FFFFFF"/>
        </w:rPr>
        <w:t xml:space="preserve"> </w:t>
      </w:r>
      <w:r w:rsidRPr="000676EC" w:rsidR="000676EC">
        <w:rPr>
          <w:rFonts w:ascii="Arial" w:hAnsi="Arial" w:cs="Arial"/>
          <w:i/>
          <w:iCs/>
          <w:sz w:val="24"/>
          <w:szCs w:val="24"/>
        </w:rPr>
        <w:t>i</w:t>
      </w:r>
      <w:r w:rsidRPr="000676EC" w:rsidR="00C12ABC">
        <w:rPr>
          <w:rFonts w:ascii="Arial" w:hAnsi="Arial" w:cs="Arial"/>
          <w:i/>
          <w:iCs/>
          <w:sz w:val="24"/>
          <w:szCs w:val="24"/>
          <w:shd w:val="clear" w:color="auto" w:fill="FFFFFF"/>
        </w:rPr>
        <w:t>d</w:t>
      </w:r>
      <w:r w:rsidRPr="000676EC" w:rsidR="00C12ABC">
        <w:rPr>
          <w:rFonts w:ascii="Arial" w:hAnsi="Arial" w:cs="Arial"/>
          <w:i/>
          <w:sz w:val="24"/>
          <w:szCs w:val="24"/>
          <w:shd w:val="clear" w:color="auto" w:fill="FFFFFF"/>
        </w:rPr>
        <w:t>.</w:t>
      </w:r>
      <w:r w:rsidRPr="000676EC" w:rsidR="0005054A">
        <w:rPr>
          <w:rFonts w:ascii="Arial" w:hAnsi="Arial" w:cs="Arial"/>
          <w:i/>
          <w:sz w:val="24"/>
          <w:szCs w:val="24"/>
          <w:shd w:val="clear" w:color="auto" w:fill="FFFFFF"/>
        </w:rPr>
        <w:t xml:space="preserve"> </w:t>
      </w:r>
      <w:r w:rsidRPr="000676EC" w:rsidR="0005054A">
        <w:rPr>
          <w:rFonts w:ascii="Arial" w:hAnsi="Arial" w:cs="Arial"/>
          <w:sz w:val="24"/>
          <w:szCs w:val="24"/>
          <w:shd w:val="clear" w:color="auto" w:fill="FFFFFF"/>
        </w:rPr>
        <w:t>at 7, and</w:t>
      </w:r>
      <w:r w:rsidRPr="000676EC" w:rsidR="007D3F87">
        <w:rPr>
          <w:rFonts w:ascii="Arial" w:hAnsi="Arial" w:cs="Arial"/>
          <w:sz w:val="24"/>
          <w:szCs w:val="24"/>
          <w:shd w:val="clear" w:color="auto" w:fill="FFFFFF"/>
        </w:rPr>
        <w:t xml:space="preserve"> </w:t>
      </w:r>
      <w:r w:rsidRPr="000676EC" w:rsidR="00B76B16">
        <w:rPr>
          <w:rFonts w:ascii="Arial" w:hAnsi="Arial" w:cs="Arial"/>
          <w:sz w:val="24"/>
          <w:szCs w:val="24"/>
          <w:shd w:val="clear" w:color="auto" w:fill="FFFFFF"/>
        </w:rPr>
        <w:t xml:space="preserve">to </w:t>
      </w:r>
      <w:r w:rsidRPr="000676EC" w:rsidR="007D3F87">
        <w:rPr>
          <w:rFonts w:ascii="Arial" w:hAnsi="Arial" w:cs="Arial"/>
          <w:sz w:val="24"/>
          <w:szCs w:val="24"/>
          <w:shd w:val="clear" w:color="auto" w:fill="FFFFFF"/>
        </w:rPr>
        <w:t>bas</w:t>
      </w:r>
      <w:r w:rsidRPr="000676EC" w:rsidR="0005054A">
        <w:rPr>
          <w:rFonts w:ascii="Arial" w:hAnsi="Arial" w:cs="Arial"/>
          <w:sz w:val="24"/>
          <w:szCs w:val="24"/>
          <w:shd w:val="clear" w:color="auto" w:fill="FFFFFF"/>
        </w:rPr>
        <w:t>e</w:t>
      </w:r>
      <w:r w:rsidRPr="000676EC" w:rsidR="007D3F87">
        <w:rPr>
          <w:rFonts w:ascii="Arial" w:hAnsi="Arial" w:cs="Arial"/>
          <w:sz w:val="24"/>
          <w:szCs w:val="24"/>
          <w:shd w:val="clear" w:color="auto" w:fill="FFFFFF"/>
        </w:rPr>
        <w:t xml:space="preserve"> its position on </w:t>
      </w:r>
      <w:r w:rsidRPr="000676EC" w:rsidR="0005054A">
        <w:rPr>
          <w:rFonts w:ascii="Arial" w:hAnsi="Arial" w:cs="Arial"/>
          <w:sz w:val="24"/>
          <w:szCs w:val="24"/>
          <w:shd w:val="clear" w:color="auto" w:fill="FFFFFF"/>
        </w:rPr>
        <w:t>a</w:t>
      </w:r>
      <w:r w:rsidRPr="000676EC" w:rsidR="007D3F87">
        <w:rPr>
          <w:rFonts w:ascii="Arial" w:hAnsi="Arial" w:cs="Arial"/>
          <w:sz w:val="24"/>
          <w:szCs w:val="24"/>
          <w:shd w:val="clear" w:color="auto" w:fill="FFFFFF"/>
        </w:rPr>
        <w:t xml:space="preserve"> policy choice to socialize the costs to provide the standard service offer.  </w:t>
      </w:r>
      <w:r w:rsidRPr="000676EC" w:rsidR="000676EC">
        <w:rPr>
          <w:rFonts w:ascii="Arial" w:hAnsi="Arial" w:cs="Arial"/>
          <w:i/>
          <w:iCs/>
          <w:sz w:val="24"/>
          <w:szCs w:val="24"/>
          <w:shd w:val="clear" w:color="auto" w:fill="FFFFFF"/>
        </w:rPr>
        <w:t>Id.</w:t>
      </w:r>
      <w:r w:rsidRPr="000676EC" w:rsidR="007D3F87">
        <w:rPr>
          <w:rFonts w:ascii="Arial" w:hAnsi="Arial" w:cs="Arial"/>
          <w:sz w:val="24"/>
          <w:szCs w:val="24"/>
          <w:shd w:val="clear" w:color="auto" w:fill="FFFFFF"/>
        </w:rPr>
        <w:t xml:space="preserve"> at </w:t>
      </w:r>
      <w:r w:rsidRPr="000676EC" w:rsidR="00C12ABC">
        <w:rPr>
          <w:rFonts w:ascii="Arial" w:hAnsi="Arial" w:cs="Arial"/>
          <w:sz w:val="24"/>
          <w:szCs w:val="24"/>
          <w:shd w:val="clear" w:color="auto" w:fill="FFFFFF"/>
        </w:rPr>
        <w:t>9</w:t>
      </w:r>
      <w:r w:rsidRPr="000676EC" w:rsidR="007D3F87">
        <w:rPr>
          <w:rFonts w:ascii="Arial" w:hAnsi="Arial" w:cs="Arial"/>
          <w:sz w:val="24"/>
          <w:szCs w:val="24"/>
          <w:shd w:val="clear" w:color="auto" w:fill="FFFFFF"/>
        </w:rPr>
        <w:t>.</w:t>
      </w:r>
      <w:r w:rsidRPr="000676EC" w:rsidR="0005054A">
        <w:rPr>
          <w:rFonts w:ascii="Arial" w:hAnsi="Arial" w:cs="Arial"/>
          <w:sz w:val="24"/>
          <w:szCs w:val="24"/>
          <w:shd w:val="clear" w:color="auto" w:fill="FFFFFF"/>
        </w:rPr>
        <w:t xml:space="preserve">  None of these arguments </w:t>
      </w:r>
      <w:r w:rsidRPr="000676EC" w:rsidR="002C27D4">
        <w:rPr>
          <w:rFonts w:ascii="Arial" w:hAnsi="Arial" w:cs="Arial"/>
          <w:sz w:val="24"/>
          <w:szCs w:val="24"/>
          <w:shd w:val="clear" w:color="auto" w:fill="FFFFFF"/>
        </w:rPr>
        <w:t>provide</w:t>
      </w:r>
      <w:r w:rsidR="001F0E6D">
        <w:rPr>
          <w:rFonts w:ascii="Arial" w:hAnsi="Arial" w:cs="Arial"/>
          <w:sz w:val="24"/>
          <w:szCs w:val="24"/>
          <w:shd w:val="clear" w:color="auto" w:fill="FFFFFF"/>
        </w:rPr>
        <w:t>s</w:t>
      </w:r>
      <w:r w:rsidRPr="000676EC" w:rsidR="002C27D4">
        <w:rPr>
          <w:rFonts w:ascii="Arial" w:hAnsi="Arial" w:cs="Arial"/>
          <w:sz w:val="24"/>
          <w:szCs w:val="24"/>
          <w:shd w:val="clear" w:color="auto" w:fill="FFFFFF"/>
        </w:rPr>
        <w:t xml:space="preserve"> a lawful or reasoned basis to approve</w:t>
      </w:r>
      <w:r w:rsidRPr="000676EC" w:rsidR="0005054A">
        <w:rPr>
          <w:rFonts w:ascii="Arial" w:hAnsi="Arial" w:cs="Arial"/>
          <w:sz w:val="24"/>
          <w:szCs w:val="24"/>
          <w:shd w:val="clear" w:color="auto" w:fill="FFFFFF"/>
        </w:rPr>
        <w:t xml:space="preserve"> the Stipulation’s recommendation </w:t>
      </w:r>
      <w:r w:rsidRPr="00384952" w:rsidR="0005054A">
        <w:rPr>
          <w:rFonts w:ascii="Arial" w:hAnsi="Arial" w:cs="Arial"/>
          <w:sz w:val="24"/>
          <w:szCs w:val="24"/>
          <w:shd w:val="clear" w:color="auto" w:fill="FFFFFF"/>
        </w:rPr>
        <w:t>to set the Retail Reconciliation Rider and SSO Credit Rider at zero.</w:t>
      </w:r>
    </w:p>
    <w:p w:rsidRPr="00124D01" w:rsidR="0005054A" w:rsidP="000E52BF" w:rsidRDefault="42ABE9FA" w14:paraId="499020D5" w14:textId="1D5C0D7E">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As noted, both Ohio Power and the Staff justify zeroing the riders on the basis that SSO related costs are either “universal” or related to distribution service.  To that end,</w:t>
      </w:r>
      <w:r w:rsidRPr="00384952" w:rsidR="3EA2AADD">
        <w:rPr>
          <w:rFonts w:ascii="Arial" w:hAnsi="Arial" w:cs="Arial"/>
          <w:sz w:val="24"/>
          <w:szCs w:val="24"/>
          <w:shd w:val="clear" w:color="auto" w:fill="FFFFFF"/>
        </w:rPr>
        <w:t xml:space="preserve"> Ohio Power, on the one hand, claims that these costs are properly accounted for in the costs of service study, Tr. at </w:t>
      </w:r>
      <w:r w:rsidRPr="00384952" w:rsidR="55237008">
        <w:rPr>
          <w:rFonts w:ascii="Arial" w:hAnsi="Arial" w:cs="Arial"/>
          <w:sz w:val="24"/>
          <w:szCs w:val="24"/>
        </w:rPr>
        <w:t>49</w:t>
      </w:r>
      <w:r w:rsidRPr="00384952" w:rsidR="007D68B1">
        <w:rPr>
          <w:rFonts w:ascii="Arial" w:hAnsi="Arial" w:cs="Arial"/>
          <w:sz w:val="24"/>
          <w:szCs w:val="24"/>
        </w:rPr>
        <w:t xml:space="preserve">, </w:t>
      </w:r>
      <w:r w:rsidRPr="00384952" w:rsidR="3EA2AADD">
        <w:rPr>
          <w:rFonts w:ascii="Arial" w:hAnsi="Arial" w:cs="Arial"/>
          <w:sz w:val="24"/>
          <w:szCs w:val="24"/>
          <w:shd w:val="clear" w:color="auto" w:fill="FFFFFF"/>
        </w:rPr>
        <w:t>while on the other</w:t>
      </w:r>
      <w:r w:rsidRPr="00124D01" w:rsidR="3EA2AADD">
        <w:rPr>
          <w:rFonts w:ascii="Arial" w:hAnsi="Arial" w:cs="Arial"/>
          <w:sz w:val="24"/>
          <w:szCs w:val="24"/>
          <w:shd w:val="clear" w:color="auto" w:fill="FFFFFF"/>
        </w:rPr>
        <w:t xml:space="preserve"> hand,</w:t>
      </w:r>
      <w:r w:rsidRPr="00124D01">
        <w:rPr>
          <w:rFonts w:ascii="Arial" w:hAnsi="Arial" w:cs="Arial"/>
          <w:sz w:val="24"/>
          <w:szCs w:val="24"/>
          <w:shd w:val="clear" w:color="auto" w:fill="FFFFFF"/>
        </w:rPr>
        <w:t xml:space="preserve"> the Staff claims there is no reason to functionalize these costs to the standard service offer </w:t>
      </w:r>
      <w:r w:rsidRPr="00124D01" w:rsidR="3EA2AADD">
        <w:rPr>
          <w:rFonts w:ascii="Arial" w:hAnsi="Arial" w:cs="Arial"/>
          <w:sz w:val="24"/>
          <w:szCs w:val="24"/>
          <w:shd w:val="clear" w:color="auto" w:fill="FFFFFF"/>
        </w:rPr>
        <w:t xml:space="preserve">due to inadequate accounting systems </w:t>
      </w:r>
      <w:r w:rsidRPr="00124D01">
        <w:rPr>
          <w:rFonts w:ascii="Arial" w:hAnsi="Arial" w:cs="Arial"/>
          <w:sz w:val="24"/>
          <w:szCs w:val="24"/>
          <w:shd w:val="clear" w:color="auto" w:fill="FFFFFF"/>
        </w:rPr>
        <w:t xml:space="preserve">and adds “perhaps that is why no electric utility produces a </w:t>
      </w:r>
      <w:r w:rsidRPr="00124D01" w:rsidR="409480C5">
        <w:rPr>
          <w:rFonts w:ascii="Arial" w:hAnsi="Arial" w:cs="Arial"/>
          <w:sz w:val="24"/>
          <w:szCs w:val="24"/>
        </w:rPr>
        <w:t>cost-of-</w:t>
      </w:r>
      <w:r w:rsidRPr="00124D01" w:rsidR="409480C5">
        <w:rPr>
          <w:rFonts w:ascii="Arial" w:hAnsi="Arial" w:cs="Arial"/>
          <w:sz w:val="24"/>
          <w:szCs w:val="24"/>
        </w:rPr>
        <w:lastRenderedPageBreak/>
        <w:t>service</w:t>
      </w:r>
      <w:r w:rsidRPr="00124D01">
        <w:rPr>
          <w:rFonts w:ascii="Arial" w:hAnsi="Arial" w:cs="Arial"/>
          <w:sz w:val="24"/>
          <w:szCs w:val="24"/>
          <w:shd w:val="clear" w:color="auto" w:fill="FFFFFF"/>
        </w:rPr>
        <w:t xml:space="preserve"> study with such a functionalization.”  Staff </w:t>
      </w:r>
      <w:r w:rsidRPr="00124D01" w:rsidR="5AEF7451">
        <w:rPr>
          <w:rFonts w:ascii="Arial" w:hAnsi="Arial" w:cs="Arial"/>
          <w:sz w:val="24"/>
          <w:szCs w:val="24"/>
          <w:shd w:val="clear" w:color="auto" w:fill="FFFFFF"/>
        </w:rPr>
        <w:t>Ex.</w:t>
      </w:r>
      <w:r w:rsidRPr="00124D01">
        <w:rPr>
          <w:rFonts w:ascii="Arial" w:hAnsi="Arial" w:cs="Arial"/>
          <w:sz w:val="24"/>
          <w:szCs w:val="24"/>
          <w:shd w:val="clear" w:color="auto" w:fill="FFFFFF"/>
        </w:rPr>
        <w:t xml:space="preserve"> 3 at 10.  This claim suffers from at least </w:t>
      </w:r>
      <w:r w:rsidRPr="00124D01" w:rsidR="4284B321">
        <w:rPr>
          <w:rFonts w:ascii="Arial" w:hAnsi="Arial" w:cs="Arial"/>
          <w:sz w:val="24"/>
          <w:szCs w:val="24"/>
          <w:shd w:val="clear" w:color="auto" w:fill="FFFFFF"/>
        </w:rPr>
        <w:t xml:space="preserve">two </w:t>
      </w:r>
      <w:r w:rsidRPr="00124D01">
        <w:rPr>
          <w:rFonts w:ascii="Arial" w:hAnsi="Arial" w:cs="Arial"/>
          <w:sz w:val="24"/>
          <w:szCs w:val="24"/>
          <w:shd w:val="clear" w:color="auto" w:fill="FFFFFF"/>
        </w:rPr>
        <w:t>problems.</w:t>
      </w:r>
    </w:p>
    <w:p w:rsidR="001F0E6D" w:rsidP="000E52BF" w:rsidRDefault="42ABE9FA" w14:paraId="3542FD86" w14:textId="4C955CC4">
      <w:pPr>
        <w:spacing w:after="0" w:line="480" w:lineRule="auto"/>
        <w:ind w:firstLine="720"/>
        <w:jc w:val="both"/>
        <w:rPr>
          <w:rFonts w:ascii="Arial" w:hAnsi="Arial" w:cs="Arial"/>
          <w:sz w:val="24"/>
          <w:szCs w:val="24"/>
          <w:shd w:val="clear" w:color="auto" w:fill="FFFFFF"/>
        </w:rPr>
      </w:pPr>
      <w:r w:rsidRPr="00124D01">
        <w:rPr>
          <w:rFonts w:ascii="Arial" w:hAnsi="Arial" w:cs="Arial"/>
          <w:sz w:val="24"/>
          <w:szCs w:val="24"/>
          <w:shd w:val="clear" w:color="auto" w:fill="FFFFFF"/>
        </w:rPr>
        <w:t xml:space="preserve">First, </w:t>
      </w:r>
      <w:r w:rsidRPr="00124D01" w:rsidR="3EA2AADD">
        <w:rPr>
          <w:rFonts w:ascii="Arial" w:hAnsi="Arial" w:cs="Arial"/>
          <w:sz w:val="24"/>
          <w:szCs w:val="24"/>
          <w:shd w:val="clear" w:color="auto" w:fill="FFFFFF"/>
        </w:rPr>
        <w:t xml:space="preserve">these positions are </w:t>
      </w:r>
      <w:r w:rsidRPr="00124D01">
        <w:rPr>
          <w:rFonts w:ascii="Arial" w:hAnsi="Arial" w:cs="Arial"/>
          <w:sz w:val="24"/>
          <w:szCs w:val="24"/>
          <w:shd w:val="clear" w:color="auto" w:fill="FFFFFF"/>
        </w:rPr>
        <w:t>factually unsupported.  The</w:t>
      </w:r>
      <w:r w:rsidRPr="00124D01" w:rsidR="29E2A066">
        <w:rPr>
          <w:rFonts w:ascii="Arial" w:hAnsi="Arial" w:cs="Arial"/>
          <w:sz w:val="24"/>
          <w:szCs w:val="24"/>
          <w:shd w:val="clear" w:color="auto" w:fill="FFFFFF"/>
        </w:rPr>
        <w:t xml:space="preserve"> </w:t>
      </w:r>
      <w:r w:rsidRPr="00124D01">
        <w:rPr>
          <w:rFonts w:ascii="Arial" w:hAnsi="Arial" w:cs="Arial"/>
          <w:sz w:val="24"/>
          <w:szCs w:val="24"/>
          <w:shd w:val="clear" w:color="auto" w:fill="FFFFFF"/>
        </w:rPr>
        <w:t>re</w:t>
      </w:r>
      <w:r w:rsidRPr="00124D01" w:rsidR="2D1C489B">
        <w:rPr>
          <w:rFonts w:ascii="Arial" w:hAnsi="Arial" w:cs="Arial"/>
          <w:sz w:val="24"/>
          <w:szCs w:val="24"/>
          <w:shd w:val="clear" w:color="auto" w:fill="FFFFFF"/>
        </w:rPr>
        <w:t xml:space="preserve">cord (and in particular Ohio Power) clearly identified </w:t>
      </w:r>
      <w:r w:rsidR="001F0E6D">
        <w:rPr>
          <w:rFonts w:ascii="Arial" w:hAnsi="Arial" w:cs="Arial"/>
          <w:sz w:val="24"/>
          <w:szCs w:val="24"/>
          <w:shd w:val="clear" w:color="auto" w:fill="FFFFFF"/>
        </w:rPr>
        <w:t>costs</w:t>
      </w:r>
      <w:r w:rsidRPr="00124D01">
        <w:rPr>
          <w:rFonts w:ascii="Arial" w:hAnsi="Arial" w:cs="Arial"/>
          <w:sz w:val="24"/>
          <w:szCs w:val="24"/>
          <w:shd w:val="clear" w:color="auto" w:fill="FFFFFF"/>
        </w:rPr>
        <w:t xml:space="preserve"> associated with the standard service offer such as the Commission and OCC assessment</w:t>
      </w:r>
      <w:r w:rsidRPr="00124D01" w:rsidR="4284B321">
        <w:rPr>
          <w:rFonts w:ascii="Arial" w:hAnsi="Arial" w:cs="Arial"/>
          <w:sz w:val="24"/>
          <w:szCs w:val="24"/>
          <w:shd w:val="clear" w:color="auto" w:fill="FFFFFF"/>
        </w:rPr>
        <w:t>s</w:t>
      </w:r>
      <w:r w:rsidRPr="00124D01" w:rsidR="69D35080">
        <w:rPr>
          <w:rFonts w:ascii="Arial" w:hAnsi="Arial" w:cs="Arial"/>
          <w:sz w:val="24"/>
          <w:szCs w:val="24"/>
          <w:shd w:val="clear" w:color="auto" w:fill="FFFFFF"/>
        </w:rPr>
        <w:t xml:space="preserve"> and bad debt expense</w:t>
      </w:r>
      <w:r w:rsidRPr="00124D01">
        <w:rPr>
          <w:rFonts w:ascii="Arial" w:hAnsi="Arial" w:cs="Arial"/>
          <w:sz w:val="24"/>
          <w:szCs w:val="24"/>
          <w:shd w:val="clear" w:color="auto" w:fill="FFFFFF"/>
        </w:rPr>
        <w:t xml:space="preserve"> that will be collected in distribution rates.</w:t>
      </w:r>
      <w:r w:rsidRPr="00124D01" w:rsidR="69D35080">
        <w:rPr>
          <w:rFonts w:ascii="Arial" w:hAnsi="Arial" w:cs="Arial"/>
          <w:sz w:val="24"/>
          <w:szCs w:val="24"/>
          <w:shd w:val="clear" w:color="auto" w:fill="FFFFFF"/>
        </w:rPr>
        <w:t xml:space="preserve">  If the standard service ended, these costs would disappear.  Thus, they are directly assignable to the standard service offer</w:t>
      </w:r>
      <w:r w:rsidR="00F053C8">
        <w:rPr>
          <w:rFonts w:ascii="Arial" w:hAnsi="Arial" w:cs="Arial"/>
          <w:sz w:val="24"/>
          <w:szCs w:val="24"/>
          <w:shd w:val="clear" w:color="auto" w:fill="FFFFFF"/>
        </w:rPr>
        <w:t>.</w:t>
      </w:r>
    </w:p>
    <w:p w:rsidR="00C12ABC" w:rsidP="000E52BF" w:rsidRDefault="69D35080" w14:paraId="0BB28B96" w14:textId="0050C284">
      <w:pPr>
        <w:spacing w:after="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Additionally, all parties agree that </w:t>
      </w:r>
      <w:r w:rsidR="4284B321">
        <w:rPr>
          <w:rFonts w:ascii="Arial" w:hAnsi="Arial" w:cs="Arial"/>
          <w:color w:val="222222"/>
          <w:sz w:val="24"/>
          <w:szCs w:val="24"/>
          <w:shd w:val="clear" w:color="auto" w:fill="FFFFFF"/>
        </w:rPr>
        <w:t>other</w:t>
      </w:r>
      <w:r>
        <w:rPr>
          <w:rFonts w:ascii="Arial" w:hAnsi="Arial" w:cs="Arial"/>
          <w:color w:val="222222"/>
          <w:sz w:val="24"/>
          <w:szCs w:val="24"/>
          <w:shd w:val="clear" w:color="auto" w:fill="FFFFFF"/>
        </w:rPr>
        <w:t xml:space="preserve"> costs, including </w:t>
      </w:r>
      <w:r w:rsidR="4284B321">
        <w:rPr>
          <w:rFonts w:ascii="Arial" w:hAnsi="Arial" w:cs="Arial"/>
          <w:color w:val="222222"/>
          <w:sz w:val="24"/>
          <w:szCs w:val="24"/>
          <w:shd w:val="clear" w:color="auto" w:fill="FFFFFF"/>
        </w:rPr>
        <w:t>costs</w:t>
      </w:r>
      <w:r>
        <w:rPr>
          <w:rFonts w:ascii="Arial" w:hAnsi="Arial" w:cs="Arial"/>
          <w:color w:val="222222"/>
          <w:sz w:val="24"/>
          <w:szCs w:val="24"/>
          <w:shd w:val="clear" w:color="auto" w:fill="FFFFFF"/>
        </w:rPr>
        <w:t xml:space="preserve"> </w:t>
      </w:r>
      <w:r w:rsidR="4284B321">
        <w:rPr>
          <w:rFonts w:ascii="Arial" w:hAnsi="Arial" w:cs="Arial"/>
          <w:color w:val="222222"/>
          <w:sz w:val="24"/>
          <w:szCs w:val="24"/>
          <w:shd w:val="clear" w:color="auto" w:fill="FFFFFF"/>
        </w:rPr>
        <w:t>of</w:t>
      </w:r>
      <w:r>
        <w:rPr>
          <w:rFonts w:ascii="Arial" w:hAnsi="Arial" w:cs="Arial"/>
          <w:color w:val="222222"/>
          <w:sz w:val="24"/>
          <w:szCs w:val="24"/>
          <w:shd w:val="clear" w:color="auto" w:fill="FFFFFF"/>
        </w:rPr>
        <w:t xml:space="preserve"> the call center, regulatory and legal costs, administrative support costs, and related plant, are incurred by Ohio Power to support that standard service offer.  Rather than allocate these costs to the standard service offer and bill them to the cost causers taking default service, the Staff</w:t>
      </w:r>
      <w:r w:rsidR="3EA2AAD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3EA2AADD">
        <w:rPr>
          <w:rFonts w:ascii="Arial" w:hAnsi="Arial" w:cs="Arial"/>
          <w:color w:val="222222"/>
          <w:sz w:val="24"/>
          <w:szCs w:val="24"/>
          <w:shd w:val="clear" w:color="auto" w:fill="FFFFFF"/>
        </w:rPr>
        <w:t xml:space="preserve">and implicitly Ohio Power, </w:t>
      </w:r>
      <w:r>
        <w:rPr>
          <w:rFonts w:ascii="Arial" w:hAnsi="Arial" w:cs="Arial"/>
          <w:color w:val="222222"/>
          <w:sz w:val="24"/>
          <w:szCs w:val="24"/>
          <w:shd w:val="clear" w:color="auto" w:fill="FFFFFF"/>
        </w:rPr>
        <w:t xml:space="preserve">relabel them as distribution-related costs.  That is like calling a monkey a rabbit: </w:t>
      </w:r>
      <w:r w:rsidR="3EA2AADD">
        <w:rPr>
          <w:rFonts w:ascii="Arial" w:hAnsi="Arial" w:cs="Arial"/>
          <w:color w:val="222222"/>
          <w:sz w:val="24"/>
          <w:szCs w:val="24"/>
          <w:shd w:val="clear" w:color="auto" w:fill="FFFFFF"/>
        </w:rPr>
        <w:t>a rabbit does not magically grow an opposing thumb and rounded ears because someone calls it a monkey</w:t>
      </w:r>
      <w:r>
        <w:rPr>
          <w:rFonts w:ascii="Arial" w:hAnsi="Arial" w:cs="Arial"/>
          <w:color w:val="222222"/>
          <w:sz w:val="24"/>
          <w:szCs w:val="24"/>
          <w:shd w:val="clear" w:color="auto" w:fill="FFFFFF"/>
        </w:rPr>
        <w:t>.</w:t>
      </w:r>
    </w:p>
    <w:p w:rsidRPr="00124D01" w:rsidR="00E27DC9" w:rsidP="00E27DC9" w:rsidRDefault="6EA8A3DA" w14:paraId="36C4FB30" w14:textId="5450D9C5">
      <w:pPr>
        <w:spacing w:after="0" w:line="480" w:lineRule="auto"/>
        <w:ind w:firstLine="720"/>
        <w:jc w:val="both"/>
        <w:rPr>
          <w:rFonts w:ascii="Arial" w:hAnsi="Arial" w:cs="Arial"/>
          <w:sz w:val="24"/>
          <w:szCs w:val="24"/>
          <w:shd w:val="clear" w:color="auto" w:fill="FFFFFF"/>
        </w:rPr>
      </w:pPr>
      <w:r>
        <w:rPr>
          <w:rFonts w:ascii="Arial" w:hAnsi="Arial" w:cs="Arial"/>
          <w:color w:val="222222"/>
          <w:sz w:val="24"/>
          <w:szCs w:val="24"/>
          <w:shd w:val="clear" w:color="auto" w:fill="FFFFFF"/>
        </w:rPr>
        <w:t>Second, the Staff</w:t>
      </w:r>
      <w:r w:rsidRPr="2437B949" w:rsidR="3A466745">
        <w:rPr>
          <w:rFonts w:ascii="Arial" w:hAnsi="Arial" w:cs="Arial"/>
          <w:color w:val="222222"/>
          <w:sz w:val="24"/>
          <w:szCs w:val="24"/>
        </w:rPr>
        <w:t>’s</w:t>
      </w:r>
      <w:r>
        <w:rPr>
          <w:rFonts w:ascii="Arial" w:hAnsi="Arial" w:cs="Arial"/>
          <w:color w:val="222222"/>
          <w:sz w:val="24"/>
          <w:szCs w:val="24"/>
          <w:shd w:val="clear" w:color="auto" w:fill="FFFFFF"/>
        </w:rPr>
        <w:t xml:space="preserve"> position to treat generation-related costs as distribution costs because Ohio Power’s accounting system is inadequate to the task ignores the Commission directive to analyze and identify these costs so that the Retail Reconciliation Rider and SSO Credit Rider are properly stated.  In April 2018, </w:t>
      </w:r>
      <w:r w:rsidR="46A8BBB3">
        <w:rPr>
          <w:rFonts w:ascii="Arial" w:hAnsi="Arial" w:cs="Arial"/>
          <w:color w:val="222222"/>
          <w:sz w:val="24"/>
          <w:szCs w:val="24"/>
          <w:shd w:val="clear" w:color="auto" w:fill="FFFFFF"/>
        </w:rPr>
        <w:t>Ohio Power</w:t>
      </w:r>
      <w:r>
        <w:rPr>
          <w:rFonts w:ascii="Arial" w:hAnsi="Arial" w:cs="Arial"/>
          <w:color w:val="222222"/>
          <w:sz w:val="24"/>
          <w:szCs w:val="24"/>
          <w:shd w:val="clear" w:color="auto" w:fill="FFFFFF"/>
        </w:rPr>
        <w:t xml:space="preserve"> was ordered to provide an analysis of the costs to provide the standard service offer.  Over two years later, it filed testimony indicating that it was aware that there were such indirect costs, but chose to label </w:t>
      </w:r>
      <w:r w:rsidR="46A8BBB3">
        <w:rPr>
          <w:rFonts w:ascii="Arial" w:hAnsi="Arial" w:cs="Arial"/>
          <w:color w:val="222222"/>
          <w:sz w:val="24"/>
          <w:szCs w:val="24"/>
          <w:shd w:val="clear" w:color="auto" w:fill="FFFFFF"/>
        </w:rPr>
        <w:t>some</w:t>
      </w:r>
      <w:r>
        <w:rPr>
          <w:rFonts w:ascii="Arial" w:hAnsi="Arial" w:cs="Arial"/>
          <w:color w:val="222222"/>
          <w:sz w:val="24"/>
          <w:szCs w:val="24"/>
          <w:shd w:val="clear" w:color="auto" w:fill="FFFFFF"/>
        </w:rPr>
        <w:t xml:space="preserve"> as “qualitative.”  IGS </w:t>
      </w:r>
      <w:r w:rsidRPr="2437B949" w:rsidR="5AEF7451">
        <w:rPr>
          <w:rFonts w:ascii="Arial" w:hAnsi="Arial" w:cs="Arial"/>
          <w:color w:val="222222"/>
          <w:sz w:val="24"/>
          <w:szCs w:val="24"/>
        </w:rPr>
        <w:t>Ex.</w:t>
      </w:r>
      <w:r>
        <w:rPr>
          <w:rFonts w:ascii="Arial" w:hAnsi="Arial" w:cs="Arial"/>
          <w:color w:val="222222"/>
          <w:sz w:val="24"/>
          <w:szCs w:val="24"/>
          <w:shd w:val="clear" w:color="auto" w:fill="FFFFFF"/>
        </w:rPr>
        <w:t xml:space="preserve"> 3, </w:t>
      </w:r>
      <w:r w:rsidR="5AEF7451">
        <w:rPr>
          <w:rFonts w:ascii="Arial" w:hAnsi="Arial" w:cs="Arial"/>
          <w:color w:val="222222"/>
          <w:sz w:val="24"/>
          <w:szCs w:val="24"/>
          <w:shd w:val="clear" w:color="auto" w:fill="FFFFFF"/>
        </w:rPr>
        <w:t>Ex.</w:t>
      </w:r>
      <w:r>
        <w:rPr>
          <w:rFonts w:ascii="Arial" w:hAnsi="Arial" w:cs="Arial"/>
          <w:color w:val="222222"/>
          <w:sz w:val="24"/>
          <w:szCs w:val="24"/>
          <w:shd w:val="clear" w:color="auto" w:fill="FFFFFF"/>
        </w:rPr>
        <w:t xml:space="preserve"> DMR-2.  It did not undertake something as simple as sampling call records to determine what portion of its call center costs were related to standard offer service.  Tr. at 46.  Although </w:t>
      </w:r>
      <w:r w:rsidR="46A8BBB3">
        <w:rPr>
          <w:rFonts w:ascii="Arial" w:hAnsi="Arial" w:cs="Arial"/>
          <w:color w:val="222222"/>
          <w:sz w:val="24"/>
          <w:szCs w:val="24"/>
          <w:shd w:val="clear" w:color="auto" w:fill="FFFFFF"/>
        </w:rPr>
        <w:t xml:space="preserve">the Staff concluded that </w:t>
      </w:r>
      <w:r>
        <w:rPr>
          <w:rFonts w:ascii="Arial" w:hAnsi="Arial" w:cs="Arial"/>
          <w:color w:val="222222"/>
          <w:sz w:val="24"/>
          <w:szCs w:val="24"/>
          <w:shd w:val="clear" w:color="auto" w:fill="FFFFFF"/>
        </w:rPr>
        <w:lastRenderedPageBreak/>
        <w:t>Ohio Power did not do the required work, the Staff flagged the failure as a basis for not recommending rates for the Retail Reconciliation Rider and the SSO Credit Rider</w:t>
      </w:r>
      <w:r w:rsidR="00DA4F4D">
        <w:rPr>
          <w:rFonts w:ascii="Arial" w:hAnsi="Arial" w:cs="Arial"/>
          <w:sz w:val="24"/>
          <w:szCs w:val="24"/>
          <w:shd w:val="clear" w:color="auto" w:fill="FFFFFF"/>
        </w:rPr>
        <w:t>.</w:t>
      </w:r>
      <w:r w:rsidRPr="00384952">
        <w:rPr>
          <w:rFonts w:ascii="Arial" w:hAnsi="Arial" w:cs="Arial"/>
          <w:sz w:val="24"/>
          <w:szCs w:val="24"/>
          <w:shd w:val="clear" w:color="auto" w:fill="FFFFFF"/>
        </w:rPr>
        <w:t xml:space="preserve"> Staff </w:t>
      </w:r>
      <w:r w:rsidRPr="00124D01">
        <w:rPr>
          <w:rFonts w:ascii="Arial" w:hAnsi="Arial" w:cs="Arial"/>
          <w:sz w:val="24"/>
          <w:szCs w:val="24"/>
          <w:shd w:val="clear" w:color="auto" w:fill="FFFFFF"/>
        </w:rPr>
        <w:t>Report at 31</w:t>
      </w:r>
      <w:r w:rsidRPr="00124D01" w:rsidR="2341934E">
        <w:rPr>
          <w:rFonts w:ascii="Arial" w:hAnsi="Arial" w:cs="Arial"/>
          <w:sz w:val="24"/>
          <w:szCs w:val="24"/>
        </w:rPr>
        <w:t>. Staff then</w:t>
      </w:r>
      <w:r w:rsidRPr="00124D01" w:rsidR="004117BD">
        <w:rPr>
          <w:rFonts w:ascii="Arial" w:hAnsi="Arial" w:cs="Arial"/>
          <w:sz w:val="24"/>
          <w:szCs w:val="24"/>
        </w:rPr>
        <w:t xml:space="preserve"> </w:t>
      </w:r>
      <w:r w:rsidRPr="00124D01">
        <w:rPr>
          <w:rFonts w:ascii="Arial" w:hAnsi="Arial" w:cs="Arial"/>
          <w:sz w:val="24"/>
          <w:szCs w:val="24"/>
          <w:shd w:val="clear" w:color="auto" w:fill="FFFFFF"/>
        </w:rPr>
        <w:t>excuse</w:t>
      </w:r>
      <w:r w:rsidRPr="00124D01" w:rsidR="46A8BBB3">
        <w:rPr>
          <w:rFonts w:ascii="Arial" w:hAnsi="Arial" w:cs="Arial"/>
          <w:sz w:val="24"/>
          <w:szCs w:val="24"/>
          <w:shd w:val="clear" w:color="auto" w:fill="FFFFFF"/>
        </w:rPr>
        <w:t>d</w:t>
      </w:r>
      <w:r w:rsidRPr="00124D01">
        <w:rPr>
          <w:rFonts w:ascii="Arial" w:hAnsi="Arial" w:cs="Arial"/>
          <w:sz w:val="24"/>
          <w:szCs w:val="24"/>
          <w:shd w:val="clear" w:color="auto" w:fill="FFFFFF"/>
        </w:rPr>
        <w:t xml:space="preserve"> the failure </w:t>
      </w:r>
      <w:r w:rsidRPr="00124D01" w:rsidR="46A8BBB3">
        <w:rPr>
          <w:rFonts w:ascii="Arial" w:hAnsi="Arial" w:cs="Arial"/>
          <w:sz w:val="24"/>
          <w:szCs w:val="24"/>
          <w:shd w:val="clear" w:color="auto" w:fill="FFFFFF"/>
        </w:rPr>
        <w:t>because the Ohio Power</w:t>
      </w:r>
      <w:r w:rsidRPr="00124D01">
        <w:rPr>
          <w:rFonts w:ascii="Arial" w:hAnsi="Arial" w:cs="Arial"/>
          <w:sz w:val="24"/>
          <w:szCs w:val="24"/>
          <w:shd w:val="clear" w:color="auto" w:fill="FFFFFF"/>
        </w:rPr>
        <w:t xml:space="preserve"> accounting system could </w:t>
      </w:r>
      <w:r w:rsidRPr="00124D01" w:rsidR="4AD79CBA">
        <w:rPr>
          <w:rFonts w:ascii="Arial" w:hAnsi="Arial" w:cs="Arial"/>
          <w:sz w:val="24"/>
          <w:szCs w:val="24"/>
        </w:rPr>
        <w:t xml:space="preserve">not </w:t>
      </w:r>
      <w:r w:rsidRPr="00124D01">
        <w:rPr>
          <w:rFonts w:ascii="Arial" w:hAnsi="Arial" w:cs="Arial"/>
          <w:sz w:val="24"/>
          <w:szCs w:val="24"/>
          <w:shd w:val="clear" w:color="auto" w:fill="FFFFFF"/>
        </w:rPr>
        <w:t xml:space="preserve">track the costs to provide the standard service offer.  </w:t>
      </w:r>
      <w:r w:rsidRPr="00124D01">
        <w:rPr>
          <w:rFonts w:ascii="Arial" w:hAnsi="Arial" w:cs="Arial"/>
          <w:i/>
          <w:sz w:val="24"/>
          <w:szCs w:val="24"/>
          <w:shd w:val="clear" w:color="auto" w:fill="FFFFFF"/>
        </w:rPr>
        <w:t>Compare</w:t>
      </w:r>
      <w:r w:rsidRPr="00124D01">
        <w:rPr>
          <w:rFonts w:ascii="Arial" w:hAnsi="Arial" w:cs="Arial"/>
          <w:sz w:val="24"/>
          <w:szCs w:val="24"/>
          <w:shd w:val="clear" w:color="auto" w:fill="FFFFFF"/>
        </w:rPr>
        <w:t xml:space="preserve"> Staff </w:t>
      </w:r>
      <w:r w:rsidRPr="00124D01" w:rsidR="5AEF7451">
        <w:rPr>
          <w:rFonts w:ascii="Arial" w:hAnsi="Arial" w:cs="Arial"/>
          <w:sz w:val="24"/>
          <w:szCs w:val="24"/>
        </w:rPr>
        <w:t>Ex.</w:t>
      </w:r>
      <w:r w:rsidRPr="00124D01">
        <w:rPr>
          <w:rFonts w:ascii="Arial" w:hAnsi="Arial" w:cs="Arial"/>
          <w:sz w:val="24"/>
          <w:szCs w:val="24"/>
          <w:shd w:val="clear" w:color="auto" w:fill="FFFFFF"/>
        </w:rPr>
        <w:t xml:space="preserve"> 3 at 8 </w:t>
      </w:r>
      <w:r w:rsidRPr="00124D01">
        <w:rPr>
          <w:rFonts w:ascii="Arial" w:hAnsi="Arial" w:cs="Arial"/>
          <w:i/>
          <w:sz w:val="24"/>
          <w:szCs w:val="24"/>
          <w:shd w:val="clear" w:color="auto" w:fill="FFFFFF"/>
        </w:rPr>
        <w:t>with</w:t>
      </w:r>
      <w:r w:rsidRPr="00124D01">
        <w:rPr>
          <w:rFonts w:ascii="Arial" w:hAnsi="Arial" w:cs="Arial"/>
          <w:sz w:val="24"/>
          <w:szCs w:val="24"/>
          <w:shd w:val="clear" w:color="auto" w:fill="FFFFFF"/>
        </w:rPr>
        <w:t xml:space="preserve"> </w:t>
      </w:r>
      <w:r w:rsidRPr="00124D01" w:rsidR="000C350C">
        <w:rPr>
          <w:rFonts w:ascii="Arial" w:hAnsi="Arial" w:cs="Arial"/>
          <w:i/>
          <w:iCs/>
          <w:sz w:val="24"/>
          <w:szCs w:val="24"/>
          <w:shd w:val="clear" w:color="auto" w:fill="FFFFFF"/>
        </w:rPr>
        <w:t>Id.</w:t>
      </w:r>
      <w:r w:rsidRPr="00124D01">
        <w:rPr>
          <w:rFonts w:ascii="Arial" w:hAnsi="Arial" w:cs="Arial"/>
          <w:sz w:val="24"/>
          <w:szCs w:val="24"/>
          <w:shd w:val="clear" w:color="auto" w:fill="FFFFFF"/>
        </w:rPr>
        <w:t xml:space="preserve"> at 10.  </w:t>
      </w:r>
      <w:r w:rsidRPr="00124D01" w:rsidR="46A8BBB3">
        <w:rPr>
          <w:rFonts w:ascii="Arial" w:hAnsi="Arial" w:cs="Arial"/>
          <w:sz w:val="24"/>
          <w:szCs w:val="24"/>
          <w:shd w:val="clear" w:color="auto" w:fill="FFFFFF"/>
        </w:rPr>
        <w:t xml:space="preserve">In essence, the Staff signed off on Ohio Power’s inaction in response to the Commission’s </w:t>
      </w:r>
      <w:r w:rsidR="0035256B">
        <w:rPr>
          <w:rFonts w:ascii="Arial" w:hAnsi="Arial" w:cs="Arial"/>
          <w:sz w:val="24"/>
          <w:szCs w:val="24"/>
          <w:shd w:val="clear" w:color="auto" w:fill="FFFFFF"/>
        </w:rPr>
        <w:t>directive in the ESP IV Order</w:t>
      </w:r>
      <w:r w:rsidRPr="00124D01" w:rsidR="0CDBD381">
        <w:rPr>
          <w:rFonts w:ascii="Arial" w:hAnsi="Arial" w:cs="Arial"/>
          <w:sz w:val="24"/>
          <w:szCs w:val="24"/>
        </w:rPr>
        <w:t xml:space="preserve">. </w:t>
      </w:r>
    </w:p>
    <w:p w:rsidRPr="00384952" w:rsidR="00904155" w:rsidP="000E52BF" w:rsidRDefault="005D7AFD" w14:paraId="70D9EB82" w14:textId="3502E8E4">
      <w:pPr>
        <w:spacing w:after="0" w:line="480" w:lineRule="auto"/>
        <w:ind w:firstLine="720"/>
        <w:jc w:val="both"/>
        <w:rPr>
          <w:rFonts w:ascii="Arial" w:hAnsi="Arial" w:cs="Arial"/>
          <w:sz w:val="24"/>
          <w:szCs w:val="24"/>
          <w:shd w:val="clear" w:color="auto" w:fill="FFFFFF"/>
        </w:rPr>
      </w:pPr>
      <w:r w:rsidRPr="00124D01">
        <w:rPr>
          <w:rFonts w:ascii="Arial" w:hAnsi="Arial" w:cs="Arial"/>
          <w:sz w:val="24"/>
          <w:szCs w:val="24"/>
          <w:shd w:val="clear" w:color="auto" w:fill="FFFFFF"/>
        </w:rPr>
        <w:t>Third</w:t>
      </w:r>
      <w:r w:rsidRPr="00124D01" w:rsidR="00E27DC9">
        <w:rPr>
          <w:rFonts w:ascii="Arial" w:hAnsi="Arial" w:cs="Arial"/>
          <w:sz w:val="24"/>
          <w:szCs w:val="24"/>
          <w:shd w:val="clear" w:color="auto" w:fill="FFFFFF"/>
        </w:rPr>
        <w:t>, t</w:t>
      </w:r>
      <w:r w:rsidRPr="00124D01" w:rsidR="00510AC9">
        <w:rPr>
          <w:rFonts w:ascii="Arial" w:hAnsi="Arial" w:cs="Arial"/>
          <w:sz w:val="24"/>
          <w:szCs w:val="24"/>
          <w:shd w:val="clear" w:color="auto" w:fill="FFFFFF"/>
        </w:rPr>
        <w:t xml:space="preserve">he argument that </w:t>
      </w:r>
      <w:r w:rsidRPr="00124D01" w:rsidR="00F61FAC">
        <w:rPr>
          <w:rFonts w:ascii="Arial" w:hAnsi="Arial" w:cs="Arial"/>
          <w:sz w:val="24"/>
          <w:szCs w:val="24"/>
          <w:shd w:val="clear" w:color="auto" w:fill="FFFFFF"/>
        </w:rPr>
        <w:t>some</w:t>
      </w:r>
      <w:r w:rsidRPr="00124D01" w:rsidR="00510AC9">
        <w:rPr>
          <w:rFonts w:ascii="Arial" w:hAnsi="Arial" w:cs="Arial"/>
          <w:sz w:val="24"/>
          <w:szCs w:val="24"/>
          <w:shd w:val="clear" w:color="auto" w:fill="FFFFFF"/>
        </w:rPr>
        <w:t xml:space="preserve"> costs are not directly identifiable</w:t>
      </w:r>
      <w:r w:rsidRPr="00124D01" w:rsidR="00F61FAC">
        <w:rPr>
          <w:rFonts w:ascii="Arial" w:hAnsi="Arial" w:cs="Arial"/>
          <w:sz w:val="24"/>
          <w:szCs w:val="24"/>
          <w:shd w:val="clear" w:color="auto" w:fill="FFFFFF"/>
        </w:rPr>
        <w:t xml:space="preserve"> because Ohio Power does not have an accounting system </w:t>
      </w:r>
      <w:r w:rsidRPr="00384952" w:rsidR="00F61FAC">
        <w:rPr>
          <w:rFonts w:ascii="Arial" w:hAnsi="Arial" w:cs="Arial"/>
          <w:sz w:val="24"/>
          <w:szCs w:val="24"/>
          <w:shd w:val="clear" w:color="auto" w:fill="FFFFFF"/>
        </w:rPr>
        <w:t>designed to track or allocate these costs</w:t>
      </w:r>
      <w:r w:rsidRPr="00384952" w:rsidR="00510AC9">
        <w:rPr>
          <w:rFonts w:ascii="Arial" w:hAnsi="Arial" w:cs="Arial"/>
          <w:sz w:val="24"/>
          <w:szCs w:val="24"/>
          <w:shd w:val="clear" w:color="auto" w:fill="FFFFFF"/>
        </w:rPr>
        <w:t xml:space="preserve"> misses the point.  </w:t>
      </w:r>
      <w:r w:rsidRPr="00384952" w:rsidR="00F61FAC">
        <w:rPr>
          <w:rFonts w:ascii="Arial" w:hAnsi="Arial" w:cs="Arial"/>
          <w:sz w:val="24"/>
          <w:szCs w:val="24"/>
          <w:shd w:val="clear" w:color="auto" w:fill="FFFFFF"/>
        </w:rPr>
        <w:t xml:space="preserve">First, </w:t>
      </w:r>
      <w:r w:rsidRPr="00124D01" w:rsidR="00F61FAC">
        <w:rPr>
          <w:rFonts w:ascii="Arial" w:hAnsi="Arial" w:cs="Arial"/>
          <w:sz w:val="24"/>
          <w:szCs w:val="24"/>
          <w:shd w:val="clear" w:color="auto" w:fill="FFFFFF"/>
        </w:rPr>
        <w:t xml:space="preserve">at least $4.7 million is directly assignable to the provision of the </w:t>
      </w:r>
      <w:r w:rsidR="00FA3A3C">
        <w:rPr>
          <w:rFonts w:ascii="Arial" w:hAnsi="Arial" w:cs="Arial"/>
          <w:sz w:val="24"/>
          <w:szCs w:val="24"/>
          <w:shd w:val="clear" w:color="auto" w:fill="FFFFFF"/>
        </w:rPr>
        <w:t>s</w:t>
      </w:r>
      <w:r w:rsidRPr="00124D01" w:rsidR="00F61FAC">
        <w:rPr>
          <w:rFonts w:ascii="Arial" w:hAnsi="Arial" w:cs="Arial"/>
          <w:sz w:val="24"/>
          <w:szCs w:val="24"/>
          <w:shd w:val="clear" w:color="auto" w:fill="FFFFFF"/>
        </w:rPr>
        <w:t xml:space="preserve">tandard </w:t>
      </w:r>
      <w:r w:rsidR="00FA3A3C">
        <w:rPr>
          <w:rFonts w:ascii="Arial" w:hAnsi="Arial" w:cs="Arial"/>
          <w:sz w:val="24"/>
          <w:szCs w:val="24"/>
          <w:shd w:val="clear" w:color="auto" w:fill="FFFFFF"/>
        </w:rPr>
        <w:t>s</w:t>
      </w:r>
      <w:r w:rsidRPr="00124D01" w:rsidR="00F61FAC">
        <w:rPr>
          <w:rFonts w:ascii="Arial" w:hAnsi="Arial" w:cs="Arial"/>
          <w:sz w:val="24"/>
          <w:szCs w:val="24"/>
          <w:shd w:val="clear" w:color="auto" w:fill="FFFFFF"/>
        </w:rPr>
        <w:t xml:space="preserve">ervice </w:t>
      </w:r>
      <w:r w:rsidR="00FA3A3C">
        <w:rPr>
          <w:rFonts w:ascii="Arial" w:hAnsi="Arial" w:cs="Arial"/>
          <w:sz w:val="24"/>
          <w:szCs w:val="24"/>
          <w:shd w:val="clear" w:color="auto" w:fill="FFFFFF"/>
        </w:rPr>
        <w:t>o</w:t>
      </w:r>
      <w:r w:rsidRPr="00124D01" w:rsidR="00F61FAC">
        <w:rPr>
          <w:rFonts w:ascii="Arial" w:hAnsi="Arial" w:cs="Arial"/>
          <w:sz w:val="24"/>
          <w:szCs w:val="24"/>
          <w:shd w:val="clear" w:color="auto" w:fill="FFFFFF"/>
        </w:rPr>
        <w:t xml:space="preserve">ffer.  IGS </w:t>
      </w:r>
      <w:r w:rsidRPr="00124D01" w:rsidR="5AEF7451">
        <w:rPr>
          <w:rFonts w:ascii="Arial" w:hAnsi="Arial" w:cs="Arial"/>
          <w:sz w:val="24"/>
          <w:szCs w:val="24"/>
        </w:rPr>
        <w:t>Ex.</w:t>
      </w:r>
      <w:r w:rsidRPr="00124D01" w:rsidR="00F61FAC">
        <w:rPr>
          <w:rFonts w:ascii="Arial" w:hAnsi="Arial" w:cs="Arial"/>
          <w:sz w:val="24"/>
          <w:szCs w:val="24"/>
          <w:shd w:val="clear" w:color="auto" w:fill="FFFFFF"/>
        </w:rPr>
        <w:t xml:space="preserve"> 3</w:t>
      </w:r>
      <w:r w:rsidR="00F61FAC">
        <w:rPr>
          <w:rFonts w:ascii="Arial" w:hAnsi="Arial" w:cs="Arial"/>
          <w:sz w:val="24"/>
          <w:szCs w:val="24"/>
          <w:shd w:val="clear" w:color="auto" w:fill="FFFFFF"/>
        </w:rPr>
        <w:t>,</w:t>
      </w:r>
      <w:r w:rsidRPr="00124D01" w:rsidR="00F61FAC">
        <w:rPr>
          <w:rFonts w:ascii="Arial" w:hAnsi="Arial" w:cs="Arial"/>
          <w:sz w:val="24"/>
          <w:szCs w:val="24"/>
          <w:shd w:val="clear" w:color="auto" w:fill="FFFFFF"/>
        </w:rPr>
        <w:t xml:space="preserve"> </w:t>
      </w:r>
      <w:r w:rsidRPr="00124D01" w:rsidR="5AEF7451">
        <w:rPr>
          <w:rFonts w:ascii="Arial" w:hAnsi="Arial" w:cs="Arial"/>
          <w:sz w:val="24"/>
          <w:szCs w:val="24"/>
          <w:shd w:val="clear" w:color="auto" w:fill="FFFFFF"/>
        </w:rPr>
        <w:t>Ex.</w:t>
      </w:r>
      <w:r w:rsidRPr="00124D01" w:rsidR="00F61FAC">
        <w:rPr>
          <w:rFonts w:ascii="Arial" w:hAnsi="Arial" w:cs="Arial"/>
          <w:sz w:val="24"/>
          <w:szCs w:val="24"/>
          <w:shd w:val="clear" w:color="auto" w:fill="FFFFFF"/>
        </w:rPr>
        <w:t xml:space="preserve"> DMR</w:t>
      </w:r>
      <w:r w:rsidRPr="00384952" w:rsidR="00F61FAC">
        <w:rPr>
          <w:rFonts w:ascii="Arial" w:hAnsi="Arial" w:cs="Arial"/>
          <w:sz w:val="24"/>
          <w:szCs w:val="24"/>
          <w:shd w:val="clear" w:color="auto" w:fill="FFFFFF"/>
        </w:rPr>
        <w:t xml:space="preserve">-2.  As to the remainder, Ohio Power could have gone through the process of allocating those costs, but did not.  In this regard, Ohio Power did not perform the allocation process that it otherwise applies to many of the other costs of providing electric service.  </w:t>
      </w:r>
      <w:r w:rsidRPr="00384952" w:rsidR="512732BA">
        <w:rPr>
          <w:rFonts w:ascii="Arial" w:hAnsi="Arial" w:cs="Arial"/>
          <w:sz w:val="24"/>
          <w:szCs w:val="24"/>
        </w:rPr>
        <w:t xml:space="preserve">Due to the fact that </w:t>
      </w:r>
      <w:r w:rsidRPr="00384952" w:rsidR="00F61FAC">
        <w:rPr>
          <w:rFonts w:ascii="Arial" w:hAnsi="Arial" w:cs="Arial"/>
          <w:sz w:val="24"/>
          <w:szCs w:val="24"/>
          <w:shd w:val="clear" w:color="auto" w:fill="FFFFFF"/>
        </w:rPr>
        <w:t>m</w:t>
      </w:r>
      <w:r w:rsidRPr="00384952" w:rsidR="00510AC9">
        <w:rPr>
          <w:rFonts w:ascii="Arial" w:hAnsi="Arial" w:cs="Arial"/>
          <w:sz w:val="24"/>
          <w:szCs w:val="24"/>
          <w:shd w:val="clear" w:color="auto" w:fill="FFFFFF"/>
        </w:rPr>
        <w:t xml:space="preserve">uch of the cost of providing service to customers is not directly assignable to a customer class, Ohio Power allocates the costs among the various services based on allocation factors.  </w:t>
      </w:r>
      <w:r w:rsidRPr="00384952" w:rsidR="00A21D7F">
        <w:rPr>
          <w:rFonts w:ascii="Arial" w:hAnsi="Arial" w:cs="Arial"/>
          <w:sz w:val="24"/>
          <w:szCs w:val="24"/>
          <w:shd w:val="clear" w:color="auto" w:fill="FFFFFF"/>
        </w:rPr>
        <w:t xml:space="preserve">Tr. at </w:t>
      </w:r>
      <w:r w:rsidRPr="00384952" w:rsidR="00E15A2B">
        <w:rPr>
          <w:rFonts w:ascii="Arial" w:hAnsi="Arial" w:cs="Arial"/>
          <w:sz w:val="24"/>
          <w:szCs w:val="24"/>
          <w:shd w:val="clear" w:color="auto" w:fill="FFFFFF"/>
        </w:rPr>
        <w:t>40-43</w:t>
      </w:r>
      <w:r w:rsidRPr="00384952" w:rsidR="00A21D7F">
        <w:rPr>
          <w:rFonts w:ascii="Arial" w:hAnsi="Arial" w:cs="Arial"/>
          <w:sz w:val="24"/>
          <w:szCs w:val="24"/>
          <w:shd w:val="clear" w:color="auto" w:fill="FFFFFF"/>
        </w:rPr>
        <w:t xml:space="preserve">; IGS/Direct </w:t>
      </w:r>
      <w:r w:rsidRPr="00384952" w:rsidR="5AEF7451">
        <w:rPr>
          <w:rFonts w:ascii="Arial" w:hAnsi="Arial" w:cs="Arial"/>
          <w:sz w:val="24"/>
          <w:szCs w:val="24"/>
        </w:rPr>
        <w:t>Ex.</w:t>
      </w:r>
      <w:r w:rsidRPr="00384952" w:rsidR="00A21D7F">
        <w:rPr>
          <w:rFonts w:ascii="Arial" w:hAnsi="Arial" w:cs="Arial"/>
          <w:sz w:val="24"/>
          <w:szCs w:val="24"/>
          <w:shd w:val="clear" w:color="auto" w:fill="FFFFFF"/>
        </w:rPr>
        <w:t xml:space="preserve"> 2 at </w:t>
      </w:r>
      <w:r w:rsidRPr="00384952" w:rsidR="00E15A2B">
        <w:rPr>
          <w:rFonts w:ascii="Arial" w:hAnsi="Arial" w:cs="Arial"/>
          <w:sz w:val="24"/>
          <w:szCs w:val="24"/>
          <w:shd w:val="clear" w:color="auto" w:fill="FFFFFF"/>
        </w:rPr>
        <w:t>23</w:t>
      </w:r>
      <w:r w:rsidRPr="00384952" w:rsidR="00A21D7F">
        <w:rPr>
          <w:rFonts w:ascii="Arial" w:hAnsi="Arial" w:cs="Arial"/>
          <w:sz w:val="24"/>
          <w:szCs w:val="24"/>
          <w:shd w:val="clear" w:color="auto" w:fill="FFFFFF"/>
        </w:rPr>
        <w:t xml:space="preserve">.  </w:t>
      </w:r>
      <w:r w:rsidRPr="00384952" w:rsidR="00510AC9">
        <w:rPr>
          <w:rFonts w:ascii="Arial" w:hAnsi="Arial" w:cs="Arial"/>
          <w:sz w:val="24"/>
          <w:szCs w:val="24"/>
          <w:shd w:val="clear" w:color="auto" w:fill="FFFFFF"/>
        </w:rPr>
        <w:t xml:space="preserve">Thus, </w:t>
      </w:r>
      <w:r w:rsidRPr="00384952" w:rsidR="00A21D7F">
        <w:rPr>
          <w:rFonts w:ascii="Arial" w:hAnsi="Arial" w:cs="Arial"/>
          <w:sz w:val="24"/>
          <w:szCs w:val="24"/>
          <w:shd w:val="clear" w:color="auto" w:fill="FFFFFF"/>
        </w:rPr>
        <w:t>e</w:t>
      </w:r>
      <w:r w:rsidRPr="00384952" w:rsidR="00510AC9">
        <w:rPr>
          <w:rFonts w:ascii="Arial" w:hAnsi="Arial" w:cs="Arial"/>
          <w:sz w:val="24"/>
          <w:szCs w:val="24"/>
          <w:shd w:val="clear" w:color="auto" w:fill="FFFFFF"/>
        </w:rPr>
        <w:t xml:space="preserve">ven if Ohio Power’s accounting system </w:t>
      </w:r>
      <w:r w:rsidRPr="00384952" w:rsidR="00B73048">
        <w:rPr>
          <w:rFonts w:ascii="Arial" w:hAnsi="Arial" w:cs="Arial"/>
          <w:sz w:val="24"/>
          <w:szCs w:val="24"/>
          <w:shd w:val="clear" w:color="auto" w:fill="FFFFFF"/>
        </w:rPr>
        <w:t>is</w:t>
      </w:r>
      <w:r w:rsidRPr="00384952" w:rsidR="00510AC9">
        <w:rPr>
          <w:rFonts w:ascii="Arial" w:hAnsi="Arial" w:cs="Arial"/>
          <w:sz w:val="24"/>
          <w:szCs w:val="24"/>
          <w:shd w:val="clear" w:color="auto" w:fill="FFFFFF"/>
        </w:rPr>
        <w:t xml:space="preserve"> insufficient to directly assign </w:t>
      </w:r>
      <w:r w:rsidRPr="00384952" w:rsidR="00A21D7F">
        <w:rPr>
          <w:rFonts w:ascii="Arial" w:hAnsi="Arial" w:cs="Arial"/>
          <w:sz w:val="24"/>
          <w:szCs w:val="24"/>
          <w:shd w:val="clear" w:color="auto" w:fill="FFFFFF"/>
        </w:rPr>
        <w:t>the costs it incurs providing customer service, regulatory and legal support, and administrative and general support to the standard service offer</w:t>
      </w:r>
      <w:r w:rsidRPr="00384952" w:rsidR="00510AC9">
        <w:rPr>
          <w:rFonts w:ascii="Arial" w:hAnsi="Arial" w:cs="Arial"/>
          <w:sz w:val="24"/>
          <w:szCs w:val="24"/>
          <w:shd w:val="clear" w:color="auto" w:fill="FFFFFF"/>
        </w:rPr>
        <w:t xml:space="preserve">, </w:t>
      </w:r>
      <w:r w:rsidRPr="00384952" w:rsidR="00A21D7F">
        <w:rPr>
          <w:rFonts w:ascii="Arial" w:hAnsi="Arial" w:cs="Arial"/>
          <w:sz w:val="24"/>
          <w:szCs w:val="24"/>
          <w:shd w:val="clear" w:color="auto" w:fill="FFFFFF"/>
        </w:rPr>
        <w:t>that failure</w:t>
      </w:r>
      <w:r w:rsidRPr="00384952" w:rsidR="00510AC9">
        <w:rPr>
          <w:rFonts w:ascii="Arial" w:hAnsi="Arial" w:cs="Arial"/>
          <w:sz w:val="24"/>
          <w:szCs w:val="24"/>
          <w:shd w:val="clear" w:color="auto" w:fill="FFFFFF"/>
        </w:rPr>
        <w:t xml:space="preserve"> does not excuse </w:t>
      </w:r>
      <w:r w:rsidRPr="00384952" w:rsidR="00A21D7F">
        <w:rPr>
          <w:rFonts w:ascii="Arial" w:hAnsi="Arial" w:cs="Arial"/>
          <w:sz w:val="24"/>
          <w:szCs w:val="24"/>
          <w:shd w:val="clear" w:color="auto" w:fill="FFFFFF"/>
        </w:rPr>
        <w:t xml:space="preserve">it from </w:t>
      </w:r>
      <w:r w:rsidRPr="00384952" w:rsidR="00510AC9">
        <w:rPr>
          <w:rFonts w:ascii="Arial" w:hAnsi="Arial" w:cs="Arial"/>
          <w:sz w:val="24"/>
          <w:szCs w:val="24"/>
          <w:shd w:val="clear" w:color="auto" w:fill="FFFFFF"/>
        </w:rPr>
        <w:t xml:space="preserve">applying the same </w:t>
      </w:r>
      <w:r w:rsidRPr="00384952" w:rsidR="00627977">
        <w:rPr>
          <w:rFonts w:ascii="Arial" w:hAnsi="Arial" w:cs="Arial"/>
          <w:sz w:val="24"/>
          <w:szCs w:val="24"/>
          <w:shd w:val="clear" w:color="auto" w:fill="FFFFFF"/>
        </w:rPr>
        <w:t xml:space="preserve">cost of service </w:t>
      </w:r>
      <w:r w:rsidRPr="00384952" w:rsidR="4AD501A1">
        <w:rPr>
          <w:rFonts w:ascii="Arial" w:hAnsi="Arial" w:cs="Arial"/>
          <w:sz w:val="24"/>
          <w:szCs w:val="24"/>
        </w:rPr>
        <w:t>steps</w:t>
      </w:r>
      <w:r w:rsidRPr="00384952" w:rsidR="00510AC9">
        <w:rPr>
          <w:rFonts w:ascii="Arial" w:hAnsi="Arial" w:cs="Arial"/>
          <w:sz w:val="24"/>
          <w:szCs w:val="24"/>
          <w:shd w:val="clear" w:color="auto" w:fill="FFFFFF"/>
        </w:rPr>
        <w:t xml:space="preserve"> to identify and allocate other costs that are not directly assignable.  </w:t>
      </w:r>
    </w:p>
    <w:p w:rsidRPr="00384952" w:rsidR="00A21D7F" w:rsidP="000E52BF" w:rsidRDefault="6D0DAF4A" w14:paraId="2ADAFEE8" w14:textId="19C99CE4">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Finally, the Staff’s position regarding the recovery of the costs of the standard service offer is internally inconsistent.  On the one hand, it argues that it is improper to functionalize these costs.  Staff </w:t>
      </w:r>
      <w:r w:rsidRPr="00384952" w:rsidR="5AEF7451">
        <w:rPr>
          <w:rFonts w:ascii="Arial" w:hAnsi="Arial" w:cs="Arial"/>
          <w:sz w:val="24"/>
          <w:szCs w:val="24"/>
        </w:rPr>
        <w:t>Ex.</w:t>
      </w:r>
      <w:r w:rsidRPr="00384952">
        <w:rPr>
          <w:rFonts w:ascii="Arial" w:hAnsi="Arial" w:cs="Arial"/>
          <w:sz w:val="24"/>
          <w:szCs w:val="24"/>
          <w:shd w:val="clear" w:color="auto" w:fill="FFFFFF"/>
        </w:rPr>
        <w:t xml:space="preserve"> 3 at 10.  On the other hand, it argues that it would be </w:t>
      </w:r>
      <w:r w:rsidRPr="00384952">
        <w:rPr>
          <w:rFonts w:ascii="Arial" w:hAnsi="Arial" w:cs="Arial"/>
          <w:sz w:val="24"/>
          <w:szCs w:val="24"/>
          <w:shd w:val="clear" w:color="auto" w:fill="FFFFFF"/>
        </w:rPr>
        <w:lastRenderedPageBreak/>
        <w:t xml:space="preserve">improper to socialize the auction related costs because they are directly connected to the procurement of generation for the standard service offer.  </w:t>
      </w:r>
      <w:r w:rsidRPr="00384952">
        <w:rPr>
          <w:rFonts w:ascii="Arial" w:hAnsi="Arial" w:cs="Arial"/>
          <w:i/>
          <w:sz w:val="24"/>
          <w:szCs w:val="24"/>
          <w:shd w:val="clear" w:color="auto" w:fill="FFFFFF"/>
        </w:rPr>
        <w:t>Id</w:t>
      </w:r>
      <w:r w:rsidRPr="00384952">
        <w:rPr>
          <w:rFonts w:ascii="Arial" w:hAnsi="Arial" w:cs="Arial"/>
          <w:sz w:val="24"/>
          <w:szCs w:val="24"/>
          <w:shd w:val="clear" w:color="auto" w:fill="FFFFFF"/>
        </w:rPr>
        <w:t xml:space="preserve">. at 8-9.  The Staff argument cannot stand on such an </w:t>
      </w:r>
      <w:r w:rsidRPr="00124D01">
        <w:rPr>
          <w:rFonts w:ascii="Arial" w:hAnsi="Arial" w:cs="Arial"/>
          <w:sz w:val="24"/>
          <w:szCs w:val="24"/>
          <w:shd w:val="clear" w:color="auto" w:fill="FFFFFF"/>
        </w:rPr>
        <w:t>obvious contradiction</w:t>
      </w:r>
      <w:r w:rsidR="005F21B8">
        <w:rPr>
          <w:rFonts w:ascii="Arial" w:hAnsi="Arial" w:cs="Arial"/>
          <w:sz w:val="24"/>
          <w:szCs w:val="24"/>
          <w:shd w:val="clear" w:color="auto" w:fill="FFFFFF"/>
        </w:rPr>
        <w:t xml:space="preserve">. </w:t>
      </w:r>
      <w:r w:rsidRPr="00124D01">
        <w:rPr>
          <w:rFonts w:ascii="Arial" w:hAnsi="Arial" w:cs="Arial"/>
          <w:sz w:val="24"/>
          <w:szCs w:val="24"/>
          <w:shd w:val="clear" w:color="auto" w:fill="FFFFFF"/>
        </w:rPr>
        <w:t xml:space="preserve"> </w:t>
      </w:r>
      <w:r w:rsidR="005F21B8">
        <w:rPr>
          <w:rFonts w:ascii="Arial" w:hAnsi="Arial" w:cs="Arial"/>
          <w:sz w:val="24"/>
          <w:szCs w:val="24"/>
          <w:shd w:val="clear" w:color="auto" w:fill="FFFFFF"/>
        </w:rPr>
        <w:t>Simply put, this is not a problem with a solution:</w:t>
      </w:r>
      <w:r>
        <w:rPr>
          <w:rFonts w:ascii="Arial" w:hAnsi="Arial" w:cs="Arial"/>
          <w:sz w:val="24"/>
          <w:szCs w:val="24"/>
          <w:shd w:val="clear" w:color="auto" w:fill="FFFFFF"/>
        </w:rPr>
        <w:t xml:space="preserve"> </w:t>
      </w:r>
      <w:r w:rsidRPr="00124D01" w:rsidR="14038CA5">
        <w:rPr>
          <w:rFonts w:ascii="Arial" w:hAnsi="Arial" w:cs="Arial"/>
          <w:sz w:val="24"/>
          <w:szCs w:val="24"/>
          <w:shd w:val="clear" w:color="auto" w:fill="FFFFFF"/>
        </w:rPr>
        <w:t xml:space="preserve">Ohio Power and the Staff are not trying to determine the status of </w:t>
      </w:r>
      <w:r w:rsidRPr="00124D01">
        <w:rPr>
          <w:rFonts w:ascii="Arial" w:hAnsi="Arial" w:cs="Arial"/>
          <w:sz w:val="24"/>
          <w:szCs w:val="24"/>
          <w:shd w:val="clear" w:color="auto" w:fill="FFFFFF"/>
        </w:rPr>
        <w:t>Schrodinger’s cat</w:t>
      </w:r>
      <w:r w:rsidRPr="00124D01" w:rsidR="14038CA5">
        <w:rPr>
          <w:rFonts w:ascii="Arial" w:hAnsi="Arial" w:cs="Arial"/>
          <w:sz w:val="24"/>
          <w:szCs w:val="24"/>
          <w:shd w:val="clear" w:color="auto" w:fill="FFFFFF"/>
        </w:rPr>
        <w:t>.</w:t>
      </w:r>
      <w:r w:rsidRPr="00124D01" w:rsidR="00627977">
        <w:rPr>
          <w:rStyle w:val="FootnoteReference"/>
          <w:rFonts w:ascii="Arial" w:hAnsi="Arial" w:cs="Arial"/>
          <w:sz w:val="24"/>
          <w:szCs w:val="24"/>
          <w:shd w:val="clear" w:color="auto" w:fill="FFFFFF"/>
        </w:rPr>
        <w:footnoteReference w:id="6"/>
      </w:r>
      <w:r w:rsidRPr="00124D01" w:rsidR="14038CA5">
        <w:rPr>
          <w:rFonts w:ascii="Arial" w:hAnsi="Arial" w:cs="Arial"/>
          <w:sz w:val="24"/>
          <w:szCs w:val="24"/>
          <w:shd w:val="clear" w:color="auto" w:fill="FFFFFF"/>
        </w:rPr>
        <w:t xml:space="preserve">  While </w:t>
      </w:r>
      <w:r w:rsidRPr="00384952" w:rsidR="14038CA5">
        <w:rPr>
          <w:rFonts w:ascii="Arial" w:hAnsi="Arial" w:cs="Arial"/>
          <w:sz w:val="24"/>
          <w:szCs w:val="24"/>
          <w:shd w:val="clear" w:color="auto" w:fill="FFFFFF"/>
        </w:rPr>
        <w:t>the cat</w:t>
      </w:r>
      <w:r w:rsidRPr="00384952">
        <w:rPr>
          <w:rFonts w:ascii="Arial" w:hAnsi="Arial" w:cs="Arial"/>
          <w:sz w:val="24"/>
          <w:szCs w:val="24"/>
          <w:shd w:val="clear" w:color="auto" w:fill="FFFFFF"/>
        </w:rPr>
        <w:t xml:space="preserve"> can be considered both dead and alive while </w:t>
      </w:r>
      <w:r w:rsidRPr="00384952" w:rsidR="2642590B">
        <w:rPr>
          <w:rFonts w:ascii="Arial" w:hAnsi="Arial" w:cs="Arial"/>
          <w:sz w:val="24"/>
          <w:szCs w:val="24"/>
          <w:shd w:val="clear" w:color="auto" w:fill="FFFFFF"/>
        </w:rPr>
        <w:t>its actual state is unknown</w:t>
      </w:r>
      <w:r w:rsidRPr="00384952">
        <w:rPr>
          <w:rFonts w:ascii="Arial" w:hAnsi="Arial" w:cs="Arial"/>
          <w:sz w:val="24"/>
          <w:szCs w:val="24"/>
          <w:shd w:val="clear" w:color="auto" w:fill="FFFFFF"/>
        </w:rPr>
        <w:t xml:space="preserve">, </w:t>
      </w:r>
      <w:r w:rsidRPr="00384952" w:rsidR="2642590B">
        <w:rPr>
          <w:rFonts w:ascii="Arial" w:hAnsi="Arial" w:cs="Arial"/>
          <w:sz w:val="24"/>
          <w:szCs w:val="24"/>
          <w:shd w:val="clear" w:color="auto" w:fill="FFFFFF"/>
        </w:rPr>
        <w:t xml:space="preserve">costs to provide the standard </w:t>
      </w:r>
      <w:r w:rsidRPr="00384952" w:rsidR="007D1217">
        <w:rPr>
          <w:rFonts w:ascii="Arial" w:hAnsi="Arial" w:cs="Arial"/>
          <w:sz w:val="24"/>
          <w:szCs w:val="24"/>
        </w:rPr>
        <w:t xml:space="preserve">service </w:t>
      </w:r>
      <w:r w:rsidRPr="00384952" w:rsidR="481BE801">
        <w:rPr>
          <w:rFonts w:ascii="Arial" w:hAnsi="Arial" w:cs="Arial"/>
          <w:sz w:val="24"/>
          <w:szCs w:val="24"/>
        </w:rPr>
        <w:t xml:space="preserve">are known </w:t>
      </w:r>
      <w:r w:rsidRPr="00384952" w:rsidR="2642590B">
        <w:rPr>
          <w:rFonts w:ascii="Arial" w:hAnsi="Arial" w:cs="Arial"/>
          <w:sz w:val="24"/>
          <w:szCs w:val="24"/>
          <w:shd w:val="clear" w:color="auto" w:fill="FFFFFF"/>
        </w:rPr>
        <w:t xml:space="preserve">and will be recovered in distribution rates.  </w:t>
      </w:r>
      <w:r w:rsidRPr="00384952" w:rsidR="14038CA5">
        <w:rPr>
          <w:rFonts w:ascii="Arial" w:hAnsi="Arial" w:cs="Arial"/>
          <w:sz w:val="24"/>
          <w:szCs w:val="24"/>
          <w:shd w:val="clear" w:color="auto" w:fill="FFFFFF"/>
        </w:rPr>
        <w:t>These costs</w:t>
      </w:r>
      <w:r w:rsidRPr="00384952" w:rsidR="2642590B">
        <w:rPr>
          <w:rFonts w:ascii="Arial" w:hAnsi="Arial" w:cs="Arial"/>
          <w:sz w:val="24"/>
          <w:szCs w:val="24"/>
          <w:shd w:val="clear" w:color="auto" w:fill="FFFFFF"/>
        </w:rPr>
        <w:t xml:space="preserve"> </w:t>
      </w:r>
      <w:r w:rsidRPr="00384952">
        <w:rPr>
          <w:rFonts w:ascii="Arial" w:hAnsi="Arial" w:cs="Arial"/>
          <w:sz w:val="24"/>
          <w:szCs w:val="24"/>
          <w:shd w:val="clear" w:color="auto" w:fill="FFFFFF"/>
        </w:rPr>
        <w:t xml:space="preserve">do not </w:t>
      </w:r>
      <w:r w:rsidRPr="00384952" w:rsidR="63095B1F">
        <w:rPr>
          <w:rFonts w:ascii="Arial" w:hAnsi="Arial" w:cs="Arial"/>
          <w:sz w:val="24"/>
          <w:szCs w:val="24"/>
          <w:shd w:val="clear" w:color="auto" w:fill="FFFFFF"/>
        </w:rPr>
        <w:t xml:space="preserve">disappear, Tr. at </w:t>
      </w:r>
      <w:r w:rsidRPr="00384952" w:rsidR="4284B321">
        <w:rPr>
          <w:rFonts w:ascii="Arial" w:hAnsi="Arial" w:cs="Arial"/>
          <w:sz w:val="24"/>
          <w:szCs w:val="24"/>
          <w:shd w:val="clear" w:color="auto" w:fill="FFFFFF"/>
        </w:rPr>
        <w:t>373</w:t>
      </w:r>
      <w:r w:rsidRPr="00384952" w:rsidR="63095B1F">
        <w:rPr>
          <w:rFonts w:ascii="Arial" w:hAnsi="Arial" w:cs="Arial"/>
          <w:sz w:val="24"/>
          <w:szCs w:val="24"/>
          <w:shd w:val="clear" w:color="auto" w:fill="FFFFFF"/>
        </w:rPr>
        <w:t xml:space="preserve">, or </w:t>
      </w:r>
      <w:r w:rsidRPr="00384952">
        <w:rPr>
          <w:rFonts w:ascii="Arial" w:hAnsi="Arial" w:cs="Arial"/>
          <w:sz w:val="24"/>
          <w:szCs w:val="24"/>
          <w:shd w:val="clear" w:color="auto" w:fill="FFFFFF"/>
        </w:rPr>
        <w:t>become distribution costs because Ohio Power’s accounting systems are inadequate to directly assign them.</w:t>
      </w:r>
    </w:p>
    <w:p w:rsidRPr="00384952" w:rsidR="0019149F" w:rsidP="000E52BF" w:rsidRDefault="0092616A" w14:paraId="47CAD4E8" w14:textId="5D646F7B">
      <w:pPr>
        <w:spacing w:after="0" w:line="48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Staff also advances a </w:t>
      </w:r>
      <w:r w:rsidR="0019149F">
        <w:rPr>
          <w:rFonts w:ascii="Arial" w:hAnsi="Arial" w:cs="Arial"/>
          <w:sz w:val="24"/>
          <w:szCs w:val="24"/>
          <w:shd w:val="clear" w:color="auto" w:fill="FFFFFF"/>
        </w:rPr>
        <w:t xml:space="preserve">policy </w:t>
      </w:r>
      <w:r>
        <w:rPr>
          <w:rFonts w:ascii="Arial" w:hAnsi="Arial" w:cs="Arial"/>
          <w:sz w:val="24"/>
          <w:szCs w:val="24"/>
          <w:shd w:val="clear" w:color="auto" w:fill="FFFFFF"/>
        </w:rPr>
        <w:t xml:space="preserve">claim to </w:t>
      </w:r>
      <w:r w:rsidR="00627977">
        <w:rPr>
          <w:rFonts w:ascii="Arial" w:hAnsi="Arial" w:cs="Arial"/>
          <w:sz w:val="24"/>
          <w:szCs w:val="24"/>
          <w:shd w:val="clear" w:color="auto" w:fill="FFFFFF"/>
        </w:rPr>
        <w:t xml:space="preserve">support </w:t>
      </w:r>
      <w:r>
        <w:rPr>
          <w:rFonts w:ascii="Arial" w:hAnsi="Arial" w:cs="Arial"/>
          <w:sz w:val="24"/>
          <w:szCs w:val="24"/>
          <w:shd w:val="clear" w:color="auto" w:fill="FFFFFF"/>
        </w:rPr>
        <w:t>this inactivity.</w:t>
      </w:r>
      <w:r w:rsidRPr="00124D01" w:rsidR="0019149F">
        <w:rPr>
          <w:rFonts w:ascii="Arial" w:hAnsi="Arial" w:cs="Arial"/>
          <w:sz w:val="24"/>
          <w:szCs w:val="24"/>
          <w:shd w:val="clear" w:color="auto" w:fill="FFFFFF"/>
        </w:rPr>
        <w:t xml:space="preserve">  According to the Staff, the cost to provide default service should be socialized because no other entity provides default service </w:t>
      </w:r>
      <w:r w:rsidRPr="00384952" w:rsidR="0019149F">
        <w:rPr>
          <w:rFonts w:ascii="Arial" w:hAnsi="Arial" w:cs="Arial"/>
          <w:sz w:val="24"/>
          <w:szCs w:val="24"/>
          <w:shd w:val="clear" w:color="auto" w:fill="FFFFFF"/>
        </w:rPr>
        <w:t xml:space="preserve">and “[t]he distribution utilities [sic] cost and unwanted risk to provide SSO service is a distribution function in Ohio and should </w:t>
      </w:r>
      <w:r w:rsidRPr="00384952" w:rsidR="00E15A2B">
        <w:rPr>
          <w:rFonts w:ascii="Arial" w:hAnsi="Arial" w:cs="Arial"/>
          <w:sz w:val="24"/>
          <w:szCs w:val="24"/>
          <w:shd w:val="clear" w:color="auto" w:fill="FFFFFF"/>
        </w:rPr>
        <w:t xml:space="preserve">be </w:t>
      </w:r>
      <w:r w:rsidRPr="00384952" w:rsidR="0019149F">
        <w:rPr>
          <w:rFonts w:ascii="Arial" w:hAnsi="Arial" w:cs="Arial"/>
          <w:sz w:val="24"/>
          <w:szCs w:val="24"/>
          <w:shd w:val="clear" w:color="auto" w:fill="FFFFFF"/>
        </w:rPr>
        <w:t>socialized within base rates.”</w:t>
      </w:r>
      <w:r w:rsidRPr="00384952" w:rsidR="00B73048">
        <w:rPr>
          <w:rFonts w:ascii="Arial" w:hAnsi="Arial" w:cs="Arial"/>
          <w:sz w:val="24"/>
          <w:szCs w:val="24"/>
          <w:shd w:val="clear" w:color="auto" w:fill="FFFFFF"/>
        </w:rPr>
        <w:t xml:space="preserve">  Staff </w:t>
      </w:r>
      <w:r w:rsidRPr="00384952" w:rsidR="5AEF7451">
        <w:rPr>
          <w:rFonts w:ascii="Arial" w:hAnsi="Arial" w:cs="Arial"/>
          <w:sz w:val="24"/>
          <w:szCs w:val="24"/>
          <w:shd w:val="clear" w:color="auto" w:fill="FFFFFF"/>
        </w:rPr>
        <w:t>Ex.</w:t>
      </w:r>
      <w:r w:rsidRPr="00384952" w:rsidR="00B73048">
        <w:rPr>
          <w:rFonts w:ascii="Arial" w:hAnsi="Arial" w:cs="Arial"/>
          <w:sz w:val="24"/>
          <w:szCs w:val="24"/>
          <w:shd w:val="clear" w:color="auto" w:fill="FFFFFF"/>
        </w:rPr>
        <w:t xml:space="preserve"> 3 at 9.</w:t>
      </w:r>
    </w:p>
    <w:p w:rsidRPr="00384952" w:rsidR="0019149F" w:rsidP="000E52BF" w:rsidRDefault="0019149F" w14:paraId="207BB94D" w14:textId="380FD604">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The factual basis for this policy argument to </w:t>
      </w:r>
      <w:proofErr w:type="spellStart"/>
      <w:r w:rsidRPr="00384952">
        <w:rPr>
          <w:rFonts w:ascii="Arial" w:hAnsi="Arial" w:cs="Arial"/>
          <w:sz w:val="24"/>
          <w:szCs w:val="24"/>
          <w:shd w:val="clear" w:color="auto" w:fill="FFFFFF"/>
        </w:rPr>
        <w:t>misassign</w:t>
      </w:r>
      <w:proofErr w:type="spellEnd"/>
      <w:r w:rsidRPr="00384952">
        <w:rPr>
          <w:rFonts w:ascii="Arial" w:hAnsi="Arial" w:cs="Arial"/>
          <w:sz w:val="24"/>
          <w:szCs w:val="24"/>
          <w:shd w:val="clear" w:color="auto" w:fill="FFFFFF"/>
        </w:rPr>
        <w:t xml:space="preserve"> costs to the distribution function, that this assignment will compensate the utility for unwanted risk, is wrong.  </w:t>
      </w:r>
      <w:r w:rsidRPr="00384952" w:rsidR="005D7AFD">
        <w:rPr>
          <w:rFonts w:ascii="Arial" w:hAnsi="Arial" w:cs="Arial"/>
          <w:sz w:val="24"/>
          <w:szCs w:val="24"/>
          <w:shd w:val="clear" w:color="auto" w:fill="FFFFFF"/>
        </w:rPr>
        <w:t>As provided in the Stipulation, t</w:t>
      </w:r>
      <w:r w:rsidRPr="00384952">
        <w:rPr>
          <w:rFonts w:ascii="Arial" w:hAnsi="Arial" w:cs="Arial"/>
          <w:sz w:val="24"/>
          <w:szCs w:val="24"/>
          <w:shd w:val="clear" w:color="auto" w:fill="FFFFFF"/>
        </w:rPr>
        <w:t xml:space="preserve">he revenue requirement will </w:t>
      </w:r>
      <w:r w:rsidRPr="00384952" w:rsidR="003661A2">
        <w:rPr>
          <w:rFonts w:ascii="Arial" w:hAnsi="Arial" w:cs="Arial"/>
          <w:sz w:val="24"/>
          <w:szCs w:val="24"/>
          <w:shd w:val="clear" w:color="auto" w:fill="FFFFFF"/>
        </w:rPr>
        <w:t xml:space="preserve">afford Ohio Power </w:t>
      </w:r>
      <w:r w:rsidRPr="00384952" w:rsidR="00B73048">
        <w:rPr>
          <w:rFonts w:ascii="Arial" w:hAnsi="Arial" w:cs="Arial"/>
          <w:sz w:val="24"/>
          <w:szCs w:val="24"/>
          <w:shd w:val="clear" w:color="auto" w:fill="FFFFFF"/>
        </w:rPr>
        <w:t xml:space="preserve">the opportunity </w:t>
      </w:r>
      <w:r w:rsidRPr="00384952" w:rsidR="003661A2">
        <w:rPr>
          <w:rFonts w:ascii="Arial" w:hAnsi="Arial" w:cs="Arial"/>
          <w:sz w:val="24"/>
          <w:szCs w:val="24"/>
          <w:shd w:val="clear" w:color="auto" w:fill="FFFFFF"/>
        </w:rPr>
        <w:t xml:space="preserve">to be </w:t>
      </w:r>
      <w:r w:rsidRPr="00384952">
        <w:rPr>
          <w:rFonts w:ascii="Arial" w:hAnsi="Arial" w:cs="Arial"/>
          <w:sz w:val="24"/>
          <w:szCs w:val="24"/>
          <w:shd w:val="clear" w:color="auto" w:fill="FFFFFF"/>
        </w:rPr>
        <w:t>fully compensate</w:t>
      </w:r>
      <w:r w:rsidRPr="00384952" w:rsidR="003661A2">
        <w:rPr>
          <w:rFonts w:ascii="Arial" w:hAnsi="Arial" w:cs="Arial"/>
          <w:sz w:val="24"/>
          <w:szCs w:val="24"/>
          <w:shd w:val="clear" w:color="auto" w:fill="FFFFFF"/>
        </w:rPr>
        <w:t>d</w:t>
      </w:r>
      <w:r w:rsidRPr="00384952">
        <w:rPr>
          <w:rFonts w:ascii="Arial" w:hAnsi="Arial" w:cs="Arial"/>
          <w:sz w:val="24"/>
          <w:szCs w:val="24"/>
          <w:shd w:val="clear" w:color="auto" w:fill="FFFFFF"/>
        </w:rPr>
        <w:t xml:space="preserve"> for its costs</w:t>
      </w:r>
      <w:r w:rsidRPr="00384952" w:rsidR="003661A2">
        <w:rPr>
          <w:rFonts w:ascii="Arial" w:hAnsi="Arial" w:cs="Arial"/>
          <w:sz w:val="24"/>
          <w:szCs w:val="24"/>
          <w:shd w:val="clear" w:color="auto" w:fill="FFFFFF"/>
        </w:rPr>
        <w:t xml:space="preserve"> of service.  Tr. at </w:t>
      </w:r>
      <w:r w:rsidRPr="00384952" w:rsidR="00E15A2B">
        <w:rPr>
          <w:rFonts w:ascii="Arial" w:hAnsi="Arial" w:cs="Arial"/>
          <w:sz w:val="24"/>
          <w:szCs w:val="24"/>
          <w:shd w:val="clear" w:color="auto" w:fill="FFFFFF"/>
        </w:rPr>
        <w:t>364-65</w:t>
      </w:r>
      <w:r w:rsidRPr="00384952" w:rsidR="003661A2">
        <w:rPr>
          <w:rFonts w:ascii="Arial" w:hAnsi="Arial" w:cs="Arial"/>
          <w:sz w:val="24"/>
          <w:szCs w:val="24"/>
          <w:shd w:val="clear" w:color="auto" w:fill="FFFFFF"/>
        </w:rPr>
        <w:t xml:space="preserve">.  </w:t>
      </w:r>
      <w:r w:rsidRPr="00384952" w:rsidR="00B73048">
        <w:rPr>
          <w:rFonts w:ascii="Arial" w:hAnsi="Arial" w:cs="Arial"/>
          <w:sz w:val="24"/>
          <w:szCs w:val="24"/>
          <w:shd w:val="clear" w:color="auto" w:fill="FFFFFF"/>
        </w:rPr>
        <w:t xml:space="preserve">Recovery of the costs through the Retail Reconciliation Rider and crediting those revenues to distribution </w:t>
      </w:r>
      <w:r w:rsidRPr="00384952" w:rsidR="007A338E">
        <w:rPr>
          <w:rFonts w:ascii="Arial" w:hAnsi="Arial" w:cs="Arial"/>
          <w:sz w:val="24"/>
          <w:szCs w:val="24"/>
          <w:shd w:val="clear" w:color="auto" w:fill="FFFFFF"/>
        </w:rPr>
        <w:t>customers through the SSO Credit Rider will not undermine that opportunity</w:t>
      </w:r>
      <w:r w:rsidRPr="00384952" w:rsidR="005D7AFD">
        <w:rPr>
          <w:rFonts w:ascii="Arial" w:hAnsi="Arial" w:cs="Arial"/>
          <w:sz w:val="24"/>
          <w:szCs w:val="24"/>
          <w:shd w:val="clear" w:color="auto" w:fill="FFFFFF"/>
        </w:rPr>
        <w:t xml:space="preserve"> because t</w:t>
      </w:r>
      <w:r w:rsidRPr="00384952" w:rsidR="003661A2">
        <w:rPr>
          <w:rFonts w:ascii="Arial" w:hAnsi="Arial" w:cs="Arial"/>
          <w:sz w:val="24"/>
          <w:szCs w:val="24"/>
          <w:shd w:val="clear" w:color="auto" w:fill="FFFFFF"/>
        </w:rPr>
        <w:t xml:space="preserve">he Retail Reconciliation Rider and the SSO Credit Rider are offsetting riders.  To the extent that SSO customers are required to pay for the costs they cause to receive default service under the </w:t>
      </w:r>
      <w:proofErr w:type="spellStart"/>
      <w:r w:rsidRPr="00384952" w:rsidR="003661A2">
        <w:rPr>
          <w:rFonts w:ascii="Arial" w:hAnsi="Arial" w:cs="Arial"/>
          <w:sz w:val="24"/>
          <w:szCs w:val="24"/>
          <w:shd w:val="clear" w:color="auto" w:fill="FFFFFF"/>
        </w:rPr>
        <w:t>bypassable</w:t>
      </w:r>
      <w:proofErr w:type="spellEnd"/>
      <w:r w:rsidRPr="00384952" w:rsidR="003661A2">
        <w:rPr>
          <w:rFonts w:ascii="Arial" w:hAnsi="Arial" w:cs="Arial"/>
          <w:sz w:val="24"/>
          <w:szCs w:val="24"/>
          <w:shd w:val="clear" w:color="auto" w:fill="FFFFFF"/>
        </w:rPr>
        <w:t xml:space="preserve"> Retail Reconciliation Rider, the </w:t>
      </w:r>
      <w:proofErr w:type="spellStart"/>
      <w:r w:rsidRPr="00384952" w:rsidR="003661A2">
        <w:rPr>
          <w:rFonts w:ascii="Arial" w:hAnsi="Arial" w:cs="Arial"/>
          <w:sz w:val="24"/>
          <w:szCs w:val="24"/>
          <w:shd w:val="clear" w:color="auto" w:fill="FFFFFF"/>
        </w:rPr>
        <w:t>nonbypassable</w:t>
      </w:r>
      <w:proofErr w:type="spellEnd"/>
      <w:r w:rsidRPr="00384952" w:rsidR="003661A2">
        <w:rPr>
          <w:rFonts w:ascii="Arial" w:hAnsi="Arial" w:cs="Arial"/>
          <w:sz w:val="24"/>
          <w:szCs w:val="24"/>
          <w:shd w:val="clear" w:color="auto" w:fill="FFFFFF"/>
        </w:rPr>
        <w:t xml:space="preserve"> SSO </w:t>
      </w:r>
      <w:r w:rsidRPr="00384952" w:rsidR="003661A2">
        <w:rPr>
          <w:rFonts w:ascii="Arial" w:hAnsi="Arial" w:cs="Arial"/>
          <w:sz w:val="24"/>
          <w:szCs w:val="24"/>
          <w:shd w:val="clear" w:color="auto" w:fill="FFFFFF"/>
        </w:rPr>
        <w:lastRenderedPageBreak/>
        <w:t xml:space="preserve">Credit Rider credits the revenue collected under the Retail Reconciliation Rider back to all customers.  Ohio Power’s total revenue is unaffected.  IGS/Direct </w:t>
      </w:r>
      <w:r w:rsidRPr="00384952" w:rsidR="5AEF7451">
        <w:rPr>
          <w:rFonts w:ascii="Arial" w:hAnsi="Arial" w:cs="Arial"/>
          <w:sz w:val="24"/>
          <w:szCs w:val="24"/>
          <w:shd w:val="clear" w:color="auto" w:fill="FFFFFF"/>
        </w:rPr>
        <w:t>Ex.</w:t>
      </w:r>
      <w:r w:rsidRPr="00384952" w:rsidR="003661A2">
        <w:rPr>
          <w:rFonts w:ascii="Arial" w:hAnsi="Arial" w:cs="Arial"/>
          <w:sz w:val="24"/>
          <w:szCs w:val="24"/>
          <w:shd w:val="clear" w:color="auto" w:fill="FFFFFF"/>
        </w:rPr>
        <w:t xml:space="preserve"> 2 at 49</w:t>
      </w:r>
      <w:r w:rsidRPr="00384952" w:rsidR="00E15A2B">
        <w:rPr>
          <w:rFonts w:ascii="Arial" w:hAnsi="Arial" w:cs="Arial"/>
          <w:sz w:val="24"/>
          <w:szCs w:val="24"/>
          <w:shd w:val="clear" w:color="auto" w:fill="FFFFFF"/>
        </w:rPr>
        <w:t>; Tr. at 365-66</w:t>
      </w:r>
      <w:r w:rsidRPr="00384952" w:rsidR="003661A2">
        <w:rPr>
          <w:rFonts w:ascii="Arial" w:hAnsi="Arial" w:cs="Arial"/>
          <w:sz w:val="24"/>
          <w:szCs w:val="24"/>
          <w:shd w:val="clear" w:color="auto" w:fill="FFFFFF"/>
        </w:rPr>
        <w:t>.  As a result, Ohio Power would not incur any provider of last resort risk that remains uncompensated</w:t>
      </w:r>
      <w:r w:rsidRPr="00384952" w:rsidR="006F662F">
        <w:rPr>
          <w:rFonts w:ascii="Arial" w:hAnsi="Arial" w:cs="Arial"/>
          <w:sz w:val="24"/>
          <w:szCs w:val="24"/>
          <w:shd w:val="clear" w:color="auto" w:fill="FFFFFF"/>
        </w:rPr>
        <w:t xml:space="preserve"> if the riders are populated</w:t>
      </w:r>
      <w:r w:rsidRPr="00384952" w:rsidR="003661A2">
        <w:rPr>
          <w:rFonts w:ascii="Arial" w:hAnsi="Arial" w:cs="Arial"/>
          <w:sz w:val="24"/>
          <w:szCs w:val="24"/>
          <w:shd w:val="clear" w:color="auto" w:fill="FFFFFF"/>
        </w:rPr>
        <w:t xml:space="preserve">.  </w:t>
      </w:r>
    </w:p>
    <w:p w:rsidRPr="00384952" w:rsidR="003661A2" w:rsidP="000E52BF" w:rsidRDefault="003661A2" w14:paraId="627150E8" w14:textId="0238A88D">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The policy of socializing the direct and indirect costs of providing standard offer service </w:t>
      </w:r>
      <w:r w:rsidRPr="00384952" w:rsidR="000E7127">
        <w:rPr>
          <w:rFonts w:ascii="Arial" w:hAnsi="Arial" w:cs="Arial"/>
          <w:sz w:val="24"/>
          <w:szCs w:val="24"/>
          <w:shd w:val="clear" w:color="auto" w:fill="FFFFFF"/>
        </w:rPr>
        <w:t xml:space="preserve">also </w:t>
      </w:r>
      <w:r w:rsidRPr="00384952">
        <w:rPr>
          <w:rFonts w:ascii="Arial" w:hAnsi="Arial" w:cs="Arial"/>
          <w:sz w:val="24"/>
          <w:szCs w:val="24"/>
          <w:shd w:val="clear" w:color="auto" w:fill="FFFFFF"/>
        </w:rPr>
        <w:t xml:space="preserve">is wrong.  </w:t>
      </w:r>
    </w:p>
    <w:p w:rsidRPr="00384952" w:rsidR="00D7500E" w:rsidP="000E52BF" w:rsidRDefault="1A88697A" w14:paraId="29D9D056" w14:textId="430ED4F2">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First, as discussed previously, </w:t>
      </w:r>
      <w:r w:rsidRPr="00384952" w:rsidR="277865A6">
        <w:rPr>
          <w:rFonts w:ascii="Arial" w:hAnsi="Arial" w:cs="Arial"/>
          <w:sz w:val="24"/>
          <w:szCs w:val="24"/>
          <w:shd w:val="clear" w:color="auto" w:fill="FFFFFF"/>
        </w:rPr>
        <w:t xml:space="preserve">adopting the position advanced in the Stipulation would lead to a violation of </w:t>
      </w:r>
      <w:r w:rsidRPr="00384952">
        <w:rPr>
          <w:rFonts w:ascii="Arial" w:hAnsi="Arial" w:cs="Arial"/>
          <w:sz w:val="24"/>
          <w:szCs w:val="24"/>
          <w:shd w:val="clear" w:color="auto" w:fill="FFFFFF"/>
        </w:rPr>
        <w:t>Ohio law.  Under R.C. 4928.05</w:t>
      </w:r>
      <w:r w:rsidR="00EA6787">
        <w:rPr>
          <w:rFonts w:ascii="Arial" w:hAnsi="Arial" w:cs="Arial"/>
          <w:sz w:val="24"/>
          <w:szCs w:val="24"/>
          <w:shd w:val="clear" w:color="auto" w:fill="FFFFFF"/>
        </w:rPr>
        <w:t>(a)</w:t>
      </w:r>
      <w:r w:rsidRPr="00384952">
        <w:rPr>
          <w:rFonts w:ascii="Arial" w:hAnsi="Arial" w:cs="Arial"/>
          <w:sz w:val="24"/>
          <w:szCs w:val="24"/>
          <w:shd w:val="clear" w:color="auto" w:fill="FFFFFF"/>
        </w:rPr>
        <w:t xml:space="preserve">, the Commission is not </w:t>
      </w:r>
      <w:r w:rsidRPr="00124D01">
        <w:rPr>
          <w:rFonts w:ascii="Arial" w:hAnsi="Arial" w:cs="Arial"/>
          <w:sz w:val="24"/>
          <w:szCs w:val="24"/>
          <w:shd w:val="clear" w:color="auto" w:fill="FFFFFF"/>
        </w:rPr>
        <w:t>authorized to set rates for a competitive service</w:t>
      </w:r>
      <w:r w:rsidRPr="00124D01" w:rsidR="17CD30BE">
        <w:rPr>
          <w:rFonts w:ascii="Arial" w:hAnsi="Arial" w:cs="Arial"/>
          <w:sz w:val="24"/>
          <w:szCs w:val="24"/>
          <w:shd w:val="clear" w:color="auto" w:fill="FFFFFF"/>
        </w:rPr>
        <w:t xml:space="preserve"> as part of a distribution case</w:t>
      </w:r>
      <w:r w:rsidR="00124296">
        <w:rPr>
          <w:rFonts w:ascii="Arial" w:hAnsi="Arial" w:cs="Arial"/>
          <w:sz w:val="24"/>
          <w:szCs w:val="24"/>
          <w:shd w:val="clear" w:color="auto" w:fill="FFFFFF"/>
        </w:rPr>
        <w:t>.</w:t>
      </w:r>
      <w:r w:rsidRPr="00124D01">
        <w:rPr>
          <w:rFonts w:ascii="Arial" w:hAnsi="Arial" w:cs="Arial"/>
          <w:sz w:val="24"/>
          <w:szCs w:val="24"/>
          <w:shd w:val="clear" w:color="auto" w:fill="FFFFFF"/>
        </w:rPr>
        <w:t xml:space="preserve"> </w:t>
      </w:r>
      <w:r w:rsidRPr="00124D01" w:rsidR="45CF9EDE">
        <w:rPr>
          <w:rFonts w:ascii="Arial" w:hAnsi="Arial" w:cs="Arial"/>
          <w:sz w:val="24"/>
          <w:szCs w:val="24"/>
          <w:shd w:val="clear" w:color="auto" w:fill="FFFFFF"/>
        </w:rPr>
        <w:t>I</w:t>
      </w:r>
      <w:r w:rsidRPr="00124D01">
        <w:rPr>
          <w:rFonts w:ascii="Arial" w:hAnsi="Arial" w:cs="Arial"/>
          <w:sz w:val="24"/>
          <w:szCs w:val="24"/>
          <w:shd w:val="clear" w:color="auto" w:fill="FFFFFF"/>
        </w:rPr>
        <w:t>n this case</w:t>
      </w:r>
      <w:r w:rsidRPr="00124D01" w:rsidR="5C5243AF">
        <w:rPr>
          <w:rFonts w:ascii="Arial" w:hAnsi="Arial" w:cs="Arial"/>
          <w:sz w:val="24"/>
          <w:szCs w:val="24"/>
          <w:shd w:val="clear" w:color="auto" w:fill="FFFFFF"/>
        </w:rPr>
        <w:t>,</w:t>
      </w:r>
      <w:r w:rsidRPr="00124D01">
        <w:rPr>
          <w:rFonts w:ascii="Arial" w:hAnsi="Arial" w:cs="Arial"/>
          <w:sz w:val="24"/>
          <w:szCs w:val="24"/>
          <w:shd w:val="clear" w:color="auto" w:fill="FFFFFF"/>
        </w:rPr>
        <w:t xml:space="preserve"> the provision of generation service to default customers</w:t>
      </w:r>
      <w:r w:rsidR="00124296">
        <w:rPr>
          <w:rFonts w:ascii="Arial" w:hAnsi="Arial" w:cs="Arial"/>
          <w:sz w:val="24"/>
          <w:szCs w:val="24"/>
          <w:shd w:val="clear" w:color="auto" w:fill="FFFFFF"/>
        </w:rPr>
        <w:t xml:space="preserve"> is a competitive service</w:t>
      </w:r>
      <w:r w:rsidRPr="00124D01" w:rsidR="07E9AE1D">
        <w:rPr>
          <w:rFonts w:ascii="Arial" w:hAnsi="Arial" w:cs="Arial"/>
          <w:sz w:val="24"/>
          <w:szCs w:val="24"/>
          <w:shd w:val="clear" w:color="auto" w:fill="FFFFFF"/>
        </w:rPr>
        <w:t>.</w:t>
      </w:r>
      <w:r w:rsidR="00124296">
        <w:rPr>
          <w:rFonts w:ascii="Arial" w:hAnsi="Arial" w:cs="Arial"/>
          <w:sz w:val="24"/>
          <w:szCs w:val="24"/>
          <w:shd w:val="clear" w:color="auto" w:fill="FFFFFF"/>
        </w:rPr>
        <w:t xml:space="preserve"> R.C. 4928.141.</w:t>
      </w:r>
      <w:r w:rsidRPr="00124D01">
        <w:rPr>
          <w:rFonts w:ascii="Arial" w:hAnsi="Arial" w:cs="Arial"/>
          <w:sz w:val="24"/>
          <w:szCs w:val="24"/>
          <w:shd w:val="clear" w:color="auto" w:fill="FFFFFF"/>
        </w:rPr>
        <w:t xml:space="preserve">  </w:t>
      </w:r>
      <w:r w:rsidRPr="00124D01" w:rsidR="277865A6">
        <w:rPr>
          <w:rFonts w:ascii="Arial" w:hAnsi="Arial" w:cs="Arial"/>
          <w:sz w:val="24"/>
          <w:szCs w:val="24"/>
          <w:shd w:val="clear" w:color="auto" w:fill="FFFFFF"/>
        </w:rPr>
        <w:t xml:space="preserve">Under the recommendation to set the Retail </w:t>
      </w:r>
      <w:r w:rsidRPr="00384952" w:rsidR="277865A6">
        <w:rPr>
          <w:rFonts w:ascii="Arial" w:hAnsi="Arial" w:cs="Arial"/>
          <w:sz w:val="24"/>
          <w:szCs w:val="24"/>
          <w:shd w:val="clear" w:color="auto" w:fill="FFFFFF"/>
        </w:rPr>
        <w:t>Reconciliation Rider and the SSO Credit Rider at zero</w:t>
      </w:r>
      <w:r w:rsidRPr="00384952">
        <w:rPr>
          <w:rFonts w:ascii="Arial" w:hAnsi="Arial" w:cs="Arial"/>
          <w:sz w:val="24"/>
          <w:szCs w:val="24"/>
          <w:shd w:val="clear" w:color="auto" w:fill="FFFFFF"/>
        </w:rPr>
        <w:t xml:space="preserve">, the Stipulation recommends that the Commission do exactly </w:t>
      </w:r>
      <w:r w:rsidRPr="00384952" w:rsidR="006F662F">
        <w:rPr>
          <w:rFonts w:ascii="Arial" w:hAnsi="Arial" w:cs="Arial"/>
          <w:sz w:val="24"/>
          <w:szCs w:val="24"/>
          <w:shd w:val="clear" w:color="auto" w:fill="FFFFFF"/>
        </w:rPr>
        <w:t>what Ohio law prohibits</w:t>
      </w:r>
      <w:r w:rsidRPr="00384952">
        <w:rPr>
          <w:rFonts w:ascii="Arial" w:hAnsi="Arial" w:cs="Arial"/>
          <w:sz w:val="24"/>
          <w:szCs w:val="24"/>
          <w:shd w:val="clear" w:color="auto" w:fill="FFFFFF"/>
        </w:rPr>
        <w:t xml:space="preserve">.  </w:t>
      </w:r>
    </w:p>
    <w:p w:rsidRPr="00384952" w:rsidR="00D7500E" w:rsidP="24260D6F" w:rsidRDefault="00D7500E" w14:paraId="1D151272" w14:textId="1BF10351">
      <w:pPr>
        <w:spacing w:after="0" w:line="480" w:lineRule="auto"/>
        <w:ind w:firstLine="720"/>
        <w:jc w:val="both"/>
        <w:rPr>
          <w:rFonts w:ascii="Arial" w:hAnsi="Arial" w:cs="Arial"/>
          <w:sz w:val="24"/>
          <w:szCs w:val="24"/>
          <w:highlight w:val="yellow"/>
          <w:shd w:val="clear" w:color="auto" w:fill="FFFFFF"/>
        </w:rPr>
      </w:pPr>
      <w:r w:rsidRPr="00384952">
        <w:rPr>
          <w:rFonts w:ascii="Arial" w:hAnsi="Arial" w:cs="Arial"/>
          <w:sz w:val="24"/>
          <w:szCs w:val="24"/>
          <w:shd w:val="clear" w:color="auto" w:fill="FFFFFF"/>
        </w:rPr>
        <w:t xml:space="preserve">Moreover, this portion of the Stipulation is not one on which the Commission can assert that it has discretion to decide the issue based on policy concerns.  </w:t>
      </w:r>
      <w:r w:rsidRPr="00384952" w:rsidR="009B6FCA">
        <w:rPr>
          <w:rFonts w:ascii="Arial" w:hAnsi="Arial" w:cs="Arial"/>
          <w:sz w:val="24"/>
          <w:szCs w:val="24"/>
          <w:shd w:val="clear" w:color="auto" w:fill="FFFFFF"/>
        </w:rPr>
        <w:t xml:space="preserve">Recently, the Supreme Court of Ohio rejected a similar attempt by the Commission to define its jurisdiction based on policy concerns.  As the Court concluded, the Commission lacks authority to rewrite its jurisdiction even if its policy concerns are legitimate.  </w:t>
      </w:r>
      <w:proofErr w:type="spellStart"/>
      <w:r w:rsidRPr="00384952" w:rsidR="009B6FCA">
        <w:rPr>
          <w:rFonts w:ascii="Arial" w:hAnsi="Arial" w:cs="Arial"/>
          <w:i/>
          <w:sz w:val="24"/>
          <w:szCs w:val="24"/>
          <w:shd w:val="clear" w:color="auto" w:fill="FFFFFF"/>
        </w:rPr>
        <w:t>Wingo</w:t>
      </w:r>
      <w:proofErr w:type="spellEnd"/>
      <w:r w:rsidRPr="00384952" w:rsidR="009B6FCA">
        <w:rPr>
          <w:rFonts w:ascii="Arial" w:hAnsi="Arial" w:cs="Arial"/>
          <w:i/>
          <w:sz w:val="24"/>
          <w:szCs w:val="24"/>
          <w:shd w:val="clear" w:color="auto" w:fill="FFFFFF"/>
        </w:rPr>
        <w:t xml:space="preserve"> v. Nationwide Energy Partners, LLC</w:t>
      </w:r>
      <w:r w:rsidRPr="00384952" w:rsidR="009B6FCA">
        <w:rPr>
          <w:rFonts w:ascii="Arial" w:hAnsi="Arial" w:cs="Arial"/>
          <w:sz w:val="24"/>
          <w:szCs w:val="24"/>
          <w:shd w:val="clear" w:color="auto" w:fill="FFFFFF"/>
        </w:rPr>
        <w:t>, Slip Op. No. 2020-Ohio-5583</w:t>
      </w:r>
      <w:r w:rsidRPr="00384952" w:rsidR="009E5A72">
        <w:rPr>
          <w:rFonts w:ascii="Arial" w:hAnsi="Arial" w:cs="Arial"/>
          <w:sz w:val="24"/>
          <w:szCs w:val="24"/>
          <w:shd w:val="clear" w:color="auto" w:fill="FFFFFF"/>
        </w:rPr>
        <w:t>,</w:t>
      </w:r>
      <w:r w:rsidRPr="00384952" w:rsidR="009B6FCA">
        <w:rPr>
          <w:rFonts w:ascii="Arial" w:hAnsi="Arial" w:cs="Arial"/>
          <w:sz w:val="24"/>
          <w:szCs w:val="24"/>
          <w:shd w:val="clear" w:color="auto" w:fill="FFFFFF"/>
        </w:rPr>
        <w:t xml:space="preserve"> ¶</w:t>
      </w:r>
      <w:r w:rsidRPr="00384952" w:rsidR="00242FF7">
        <w:rPr>
          <w:rFonts w:ascii="Arial" w:hAnsi="Arial" w:cs="Arial"/>
          <w:sz w:val="24"/>
          <w:szCs w:val="24"/>
          <w:shd w:val="clear" w:color="auto" w:fill="FFFFFF"/>
        </w:rPr>
        <w:t xml:space="preserve"> </w:t>
      </w:r>
      <w:r w:rsidRPr="00384952" w:rsidR="009B6FCA">
        <w:rPr>
          <w:rFonts w:ascii="Arial" w:hAnsi="Arial" w:cs="Arial"/>
          <w:sz w:val="24"/>
          <w:szCs w:val="24"/>
          <w:shd w:val="clear" w:color="auto" w:fill="FFFFFF"/>
        </w:rPr>
        <w:t>21-25 (Dec. 9, 2020).</w:t>
      </w:r>
      <w:r w:rsidRPr="00384952">
        <w:rPr>
          <w:rFonts w:ascii="Arial" w:hAnsi="Arial" w:cs="Arial"/>
          <w:sz w:val="24"/>
          <w:szCs w:val="24"/>
          <w:shd w:val="clear" w:color="auto" w:fill="FFFFFF"/>
        </w:rPr>
        <w:t xml:space="preserve">  </w:t>
      </w:r>
    </w:p>
    <w:p w:rsidRPr="00124D01" w:rsidR="00D7500E" w:rsidP="000E52BF" w:rsidRDefault="0BA81991" w14:paraId="0D4B9721" w14:textId="4611B2D2">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Second, </w:t>
      </w:r>
      <w:r w:rsidRPr="00384952" w:rsidR="277865A6">
        <w:rPr>
          <w:rFonts w:ascii="Arial" w:hAnsi="Arial" w:cs="Arial"/>
          <w:sz w:val="24"/>
          <w:szCs w:val="24"/>
          <w:shd w:val="clear" w:color="auto" w:fill="FFFFFF"/>
        </w:rPr>
        <w:t>the failure to unbundle generation related costs recommended in the Stipulation</w:t>
      </w:r>
      <w:r w:rsidRPr="00384952" w:rsidR="106117C9">
        <w:rPr>
          <w:rFonts w:ascii="Arial" w:hAnsi="Arial" w:cs="Arial"/>
          <w:sz w:val="24"/>
          <w:szCs w:val="24"/>
          <w:shd w:val="clear" w:color="auto" w:fill="FFFFFF"/>
        </w:rPr>
        <w:t xml:space="preserve"> will place the Commission on a path that undermines fundamental regulatory principles.  Cost assignment to customer classes is a </w:t>
      </w:r>
      <w:r w:rsidRPr="00384952" w:rsidR="277865A6">
        <w:rPr>
          <w:rFonts w:ascii="Arial" w:hAnsi="Arial" w:cs="Arial"/>
          <w:sz w:val="24"/>
          <w:szCs w:val="24"/>
          <w:shd w:val="clear" w:color="auto" w:fill="FFFFFF"/>
        </w:rPr>
        <w:t>basic</w:t>
      </w:r>
      <w:r w:rsidRPr="00384952" w:rsidR="106117C9">
        <w:rPr>
          <w:rFonts w:ascii="Arial" w:hAnsi="Arial" w:cs="Arial"/>
          <w:sz w:val="24"/>
          <w:szCs w:val="24"/>
          <w:shd w:val="clear" w:color="auto" w:fill="FFFFFF"/>
        </w:rPr>
        <w:t xml:space="preserve"> utility policy.  </w:t>
      </w:r>
      <w:r w:rsidRPr="00384952" w:rsidR="1F844191">
        <w:rPr>
          <w:rFonts w:ascii="Arial" w:hAnsi="Arial" w:cs="Arial"/>
          <w:sz w:val="24"/>
          <w:szCs w:val="24"/>
          <w:shd w:val="clear" w:color="auto" w:fill="FFFFFF"/>
        </w:rPr>
        <w:t xml:space="preserve">IGS/Direct </w:t>
      </w:r>
      <w:r w:rsidRPr="00384952" w:rsidR="5AEF7451">
        <w:rPr>
          <w:rFonts w:ascii="Arial" w:hAnsi="Arial" w:cs="Arial"/>
          <w:sz w:val="24"/>
          <w:szCs w:val="24"/>
          <w:shd w:val="clear" w:color="auto" w:fill="FFFFFF"/>
        </w:rPr>
        <w:t>Ex.</w:t>
      </w:r>
      <w:r w:rsidRPr="00384952" w:rsidR="1F844191">
        <w:rPr>
          <w:rFonts w:ascii="Arial" w:hAnsi="Arial" w:cs="Arial"/>
          <w:sz w:val="24"/>
          <w:szCs w:val="24"/>
          <w:shd w:val="clear" w:color="auto" w:fill="FFFFFF"/>
        </w:rPr>
        <w:t xml:space="preserve"> 2</w:t>
      </w:r>
      <w:r w:rsidRPr="00384952" w:rsidR="106117C9">
        <w:rPr>
          <w:rFonts w:ascii="Arial" w:hAnsi="Arial" w:cs="Arial"/>
          <w:sz w:val="24"/>
          <w:szCs w:val="24"/>
          <w:shd w:val="clear" w:color="auto" w:fill="FFFFFF"/>
        </w:rPr>
        <w:t xml:space="preserve"> at </w:t>
      </w:r>
      <w:r w:rsidRPr="00384952" w:rsidR="1F844191">
        <w:rPr>
          <w:rFonts w:ascii="Arial" w:hAnsi="Arial" w:cs="Arial"/>
          <w:sz w:val="24"/>
          <w:szCs w:val="24"/>
          <w:shd w:val="clear" w:color="auto" w:fill="FFFFFF"/>
        </w:rPr>
        <w:t>20-33</w:t>
      </w:r>
      <w:r w:rsidRPr="00384952" w:rsidR="106117C9">
        <w:rPr>
          <w:rFonts w:ascii="Arial" w:hAnsi="Arial" w:cs="Arial"/>
          <w:sz w:val="24"/>
          <w:szCs w:val="24"/>
          <w:shd w:val="clear" w:color="auto" w:fill="FFFFFF"/>
        </w:rPr>
        <w:t xml:space="preserve">.  </w:t>
      </w:r>
      <w:r w:rsidRPr="00384952" w:rsidR="63095B1F">
        <w:rPr>
          <w:rFonts w:ascii="Arial" w:hAnsi="Arial" w:cs="Arial"/>
          <w:sz w:val="24"/>
          <w:szCs w:val="24"/>
          <w:shd w:val="clear" w:color="auto" w:fill="FFFFFF"/>
        </w:rPr>
        <w:t xml:space="preserve">It becomes even more important because Ohio Power provides both the </w:t>
      </w:r>
      <w:r w:rsidRPr="00384952" w:rsidR="63095B1F">
        <w:rPr>
          <w:rFonts w:ascii="Arial" w:hAnsi="Arial" w:cs="Arial"/>
          <w:sz w:val="24"/>
          <w:szCs w:val="24"/>
          <w:shd w:val="clear" w:color="auto" w:fill="FFFFFF"/>
        </w:rPr>
        <w:lastRenderedPageBreak/>
        <w:t xml:space="preserve">competitive and monopoly services.  Thus, principles of corporate separation also are violated if costs </w:t>
      </w:r>
      <w:r w:rsidRPr="00124D01" w:rsidR="63095B1F">
        <w:rPr>
          <w:rFonts w:ascii="Arial" w:hAnsi="Arial" w:cs="Arial"/>
          <w:sz w:val="24"/>
          <w:szCs w:val="24"/>
          <w:shd w:val="clear" w:color="auto" w:fill="FFFFFF"/>
        </w:rPr>
        <w:t xml:space="preserve">of generation service are not properly assigned.  </w:t>
      </w:r>
      <w:r w:rsidRPr="00124D01" w:rsidR="00AF4D81">
        <w:rPr>
          <w:rFonts w:ascii="Arial" w:hAnsi="Arial" w:cs="Arial"/>
          <w:i/>
          <w:iCs/>
          <w:sz w:val="24"/>
          <w:szCs w:val="24"/>
          <w:shd w:val="clear" w:color="auto" w:fill="FFFFFF"/>
        </w:rPr>
        <w:t>Id.</w:t>
      </w:r>
      <w:r w:rsidRPr="00124D01" w:rsidR="63095B1F">
        <w:rPr>
          <w:rFonts w:ascii="Arial" w:hAnsi="Arial" w:cs="Arial"/>
          <w:i/>
          <w:sz w:val="24"/>
          <w:szCs w:val="24"/>
          <w:shd w:val="clear" w:color="auto" w:fill="FFFFFF"/>
        </w:rPr>
        <w:t xml:space="preserve"> </w:t>
      </w:r>
      <w:r w:rsidRPr="00124D01" w:rsidR="63095B1F">
        <w:rPr>
          <w:rFonts w:ascii="Arial" w:hAnsi="Arial" w:cs="Arial"/>
          <w:sz w:val="24"/>
          <w:szCs w:val="24"/>
          <w:shd w:val="clear" w:color="auto" w:fill="FFFFFF"/>
        </w:rPr>
        <w:t xml:space="preserve">at 24.  </w:t>
      </w:r>
    </w:p>
    <w:p w:rsidRPr="00124D01" w:rsidR="527D5B6C" w:rsidP="367E536D" w:rsidRDefault="527D5B6C" w14:paraId="4B312A5C" w14:textId="53A4E83F">
      <w:pPr>
        <w:spacing w:after="0" w:line="480" w:lineRule="auto"/>
        <w:ind w:firstLine="720"/>
        <w:jc w:val="both"/>
        <w:rPr>
          <w:rFonts w:ascii="Arial" w:hAnsi="Arial" w:cs="Arial"/>
          <w:sz w:val="24"/>
          <w:szCs w:val="24"/>
        </w:rPr>
      </w:pPr>
      <w:r w:rsidRPr="00124D01">
        <w:rPr>
          <w:rFonts w:ascii="Arial" w:hAnsi="Arial" w:cs="Arial"/>
          <w:sz w:val="24"/>
          <w:szCs w:val="24"/>
        </w:rPr>
        <w:t xml:space="preserve">Third, the Staff position </w:t>
      </w:r>
      <w:r w:rsidRPr="00124D01" w:rsidR="364FA106">
        <w:rPr>
          <w:rFonts w:ascii="Arial" w:hAnsi="Arial" w:cs="Arial"/>
          <w:sz w:val="24"/>
          <w:szCs w:val="24"/>
        </w:rPr>
        <w:t>reflexively</w:t>
      </w:r>
      <w:r w:rsidRPr="00124D01">
        <w:rPr>
          <w:rFonts w:ascii="Arial" w:hAnsi="Arial" w:cs="Arial"/>
          <w:sz w:val="24"/>
          <w:szCs w:val="24"/>
        </w:rPr>
        <w:t xml:space="preserve"> </w:t>
      </w:r>
      <w:r w:rsidRPr="00124D01" w:rsidR="2702FABF">
        <w:rPr>
          <w:rFonts w:ascii="Arial" w:hAnsi="Arial" w:cs="Arial"/>
          <w:sz w:val="24"/>
          <w:szCs w:val="24"/>
        </w:rPr>
        <w:t>treats the provision of the standard service offer as a “distribution function” when it is not. The standard service offer, by law, is the provision of a competitive product. R.C. 4928.141. In</w:t>
      </w:r>
      <w:r w:rsidRPr="00124D01" w:rsidR="6C54BBFA">
        <w:rPr>
          <w:rFonts w:ascii="Arial" w:hAnsi="Arial" w:cs="Arial"/>
          <w:sz w:val="24"/>
          <w:szCs w:val="24"/>
        </w:rPr>
        <w:t xml:space="preserve"> practice, the Commission has recognized that the product must be sourced through a competitive bidding process, and the costs associate</w:t>
      </w:r>
      <w:r w:rsidR="00AF4D81">
        <w:rPr>
          <w:rFonts w:ascii="Arial" w:hAnsi="Arial" w:cs="Arial"/>
          <w:sz w:val="24"/>
          <w:szCs w:val="24"/>
        </w:rPr>
        <w:t>d</w:t>
      </w:r>
      <w:r w:rsidRPr="00124D01" w:rsidR="6C54BBFA">
        <w:rPr>
          <w:rFonts w:ascii="Arial" w:hAnsi="Arial" w:cs="Arial"/>
          <w:sz w:val="24"/>
          <w:szCs w:val="24"/>
        </w:rPr>
        <w:t xml:space="preserve"> with both the generation product and the cos</w:t>
      </w:r>
      <w:r w:rsidRPr="00124D01" w:rsidR="145BDA92">
        <w:rPr>
          <w:rFonts w:ascii="Arial" w:hAnsi="Arial" w:cs="Arial"/>
          <w:sz w:val="24"/>
          <w:szCs w:val="24"/>
        </w:rPr>
        <w:t xml:space="preserve">ts </w:t>
      </w:r>
      <w:r w:rsidRPr="00124D01" w:rsidR="50AD3890">
        <w:rPr>
          <w:rFonts w:ascii="Arial" w:hAnsi="Arial" w:cs="Arial"/>
          <w:sz w:val="24"/>
          <w:szCs w:val="24"/>
        </w:rPr>
        <w:t>associated</w:t>
      </w:r>
      <w:r w:rsidRPr="00124D01" w:rsidR="145BDA92">
        <w:rPr>
          <w:rFonts w:ascii="Arial" w:hAnsi="Arial" w:cs="Arial"/>
          <w:sz w:val="24"/>
          <w:szCs w:val="24"/>
        </w:rPr>
        <w:t xml:space="preserve"> with the </w:t>
      </w:r>
      <w:r w:rsidRPr="00124D01" w:rsidR="0087646D">
        <w:rPr>
          <w:rFonts w:ascii="Arial" w:hAnsi="Arial" w:cs="Arial"/>
          <w:sz w:val="24"/>
          <w:szCs w:val="24"/>
        </w:rPr>
        <w:t>competitive</w:t>
      </w:r>
      <w:r w:rsidRPr="00124D01" w:rsidR="145BDA92">
        <w:rPr>
          <w:rFonts w:ascii="Arial" w:hAnsi="Arial" w:cs="Arial"/>
          <w:sz w:val="24"/>
          <w:szCs w:val="24"/>
        </w:rPr>
        <w:t xml:space="preserve"> bidding process are </w:t>
      </w:r>
      <w:proofErr w:type="spellStart"/>
      <w:r w:rsidRPr="00124D01" w:rsidR="145BDA92">
        <w:rPr>
          <w:rFonts w:ascii="Arial" w:hAnsi="Arial" w:cs="Arial"/>
          <w:sz w:val="24"/>
          <w:szCs w:val="24"/>
        </w:rPr>
        <w:t>bypassable</w:t>
      </w:r>
      <w:proofErr w:type="spellEnd"/>
      <w:r w:rsidRPr="00124D01" w:rsidR="145BDA92">
        <w:rPr>
          <w:rFonts w:ascii="Arial" w:hAnsi="Arial" w:cs="Arial"/>
          <w:sz w:val="24"/>
          <w:szCs w:val="24"/>
        </w:rPr>
        <w:t xml:space="preserve"> (as are the costs associated with Ohio Power’s renewable energy requirement). </w:t>
      </w:r>
      <w:r w:rsidRPr="00124D01" w:rsidR="37461D97">
        <w:rPr>
          <w:rFonts w:ascii="Arial" w:hAnsi="Arial" w:cs="Arial"/>
          <w:sz w:val="24"/>
          <w:szCs w:val="24"/>
        </w:rPr>
        <w:t xml:space="preserve"> Like these costs, the other costs to provide the standard service offer are also costs</w:t>
      </w:r>
      <w:r w:rsidRPr="00124D01" w:rsidR="4B399CF8">
        <w:rPr>
          <w:rFonts w:ascii="Arial" w:hAnsi="Arial" w:cs="Arial"/>
          <w:sz w:val="24"/>
          <w:szCs w:val="24"/>
        </w:rPr>
        <w:t xml:space="preserve"> to provide the competitive service, yet the approval of the Stipulation without modification would incorrectly authorize their collection in distribution rates. </w:t>
      </w:r>
      <w:r w:rsidR="001B0C59">
        <w:rPr>
          <w:rFonts w:ascii="Arial" w:hAnsi="Arial" w:cs="Arial"/>
          <w:sz w:val="24"/>
          <w:szCs w:val="24"/>
        </w:rPr>
        <w:t>Mis</w:t>
      </w:r>
      <w:r w:rsidRPr="00124D01" w:rsidR="4B399CF8">
        <w:rPr>
          <w:rFonts w:ascii="Arial" w:hAnsi="Arial" w:cs="Arial"/>
          <w:sz w:val="24"/>
          <w:szCs w:val="24"/>
        </w:rPr>
        <w:t xml:space="preserve">labeling something as a </w:t>
      </w:r>
      <w:r w:rsidRPr="00124D01" w:rsidR="503036CC">
        <w:rPr>
          <w:rFonts w:ascii="Arial" w:hAnsi="Arial" w:cs="Arial"/>
          <w:sz w:val="24"/>
          <w:szCs w:val="24"/>
        </w:rPr>
        <w:t xml:space="preserve">“distribution function” does not make it so. </w:t>
      </w:r>
    </w:p>
    <w:p w:rsidRPr="00384952" w:rsidR="007D51C1" w:rsidP="000E52BF" w:rsidRDefault="00D7500E" w14:paraId="125297AB" w14:textId="6051C302">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Finally, </w:t>
      </w:r>
      <w:r w:rsidRPr="00384952" w:rsidR="007D51C1">
        <w:rPr>
          <w:rFonts w:ascii="Arial" w:hAnsi="Arial" w:cs="Arial"/>
          <w:sz w:val="24"/>
          <w:szCs w:val="24"/>
          <w:shd w:val="clear" w:color="auto" w:fill="FFFFFF"/>
        </w:rPr>
        <w:t xml:space="preserve">the Staff’s policy position </w:t>
      </w:r>
      <w:r w:rsidRPr="00384952" w:rsidR="00B73048">
        <w:rPr>
          <w:rFonts w:ascii="Arial" w:hAnsi="Arial" w:cs="Arial"/>
          <w:sz w:val="24"/>
          <w:szCs w:val="24"/>
          <w:shd w:val="clear" w:color="auto" w:fill="FFFFFF"/>
        </w:rPr>
        <w:t xml:space="preserve">to socialize costs of providing the standard service offer </w:t>
      </w:r>
      <w:r w:rsidRPr="00384952" w:rsidR="007D51C1">
        <w:rPr>
          <w:rFonts w:ascii="Arial" w:hAnsi="Arial" w:cs="Arial"/>
          <w:sz w:val="24"/>
          <w:szCs w:val="24"/>
          <w:shd w:val="clear" w:color="auto" w:fill="FFFFFF"/>
        </w:rPr>
        <w:t>is bad for customers.  It will result in an understatement of the cost of default service</w:t>
      </w:r>
      <w:r w:rsidRPr="00384952" w:rsidR="00332462">
        <w:rPr>
          <w:rFonts w:ascii="Arial" w:hAnsi="Arial" w:cs="Arial"/>
          <w:sz w:val="24"/>
          <w:szCs w:val="24"/>
          <w:shd w:val="clear" w:color="auto" w:fill="FFFFFF"/>
        </w:rPr>
        <w:t xml:space="preserve"> that will confuse customers</w:t>
      </w:r>
      <w:r w:rsidRPr="00384952" w:rsidR="007D51C1">
        <w:rPr>
          <w:rFonts w:ascii="Arial" w:hAnsi="Arial" w:cs="Arial"/>
          <w:sz w:val="24"/>
          <w:szCs w:val="24"/>
          <w:shd w:val="clear" w:color="auto" w:fill="FFFFFF"/>
        </w:rPr>
        <w:t xml:space="preserve">, frustrate entry of new products and services, and undermine existing competition for generation services.  IGS/Direct </w:t>
      </w:r>
      <w:r w:rsidRPr="00384952" w:rsidR="5AEF7451">
        <w:rPr>
          <w:rFonts w:ascii="Arial" w:hAnsi="Arial" w:cs="Arial"/>
          <w:sz w:val="24"/>
          <w:szCs w:val="24"/>
          <w:shd w:val="clear" w:color="auto" w:fill="FFFFFF"/>
        </w:rPr>
        <w:t>Ex.</w:t>
      </w:r>
      <w:r w:rsidRPr="00384952" w:rsidR="007D51C1">
        <w:rPr>
          <w:rFonts w:ascii="Arial" w:hAnsi="Arial" w:cs="Arial"/>
          <w:sz w:val="24"/>
          <w:szCs w:val="24"/>
          <w:shd w:val="clear" w:color="auto" w:fill="FFFFFF"/>
        </w:rPr>
        <w:t xml:space="preserve"> 2 at 16-19.  </w:t>
      </w:r>
    </w:p>
    <w:p w:rsidRPr="00384952" w:rsidR="00132510" w:rsidP="000E52BF" w:rsidRDefault="00132510" w14:paraId="018D77C1" w14:textId="2ABAC8D7">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In a line of argument that goes to the amount to be recovered rather than its proper </w:t>
      </w:r>
      <w:r w:rsidRPr="00124D01">
        <w:rPr>
          <w:rFonts w:ascii="Arial" w:hAnsi="Arial" w:cs="Arial"/>
          <w:sz w:val="24"/>
          <w:szCs w:val="24"/>
          <w:shd w:val="clear" w:color="auto" w:fill="FFFFFF"/>
        </w:rPr>
        <w:t xml:space="preserve">assignment, the Staff </w:t>
      </w:r>
      <w:r w:rsidRPr="00124D01" w:rsidR="006F662F">
        <w:rPr>
          <w:rFonts w:ascii="Arial" w:hAnsi="Arial" w:cs="Arial"/>
          <w:sz w:val="24"/>
          <w:szCs w:val="24"/>
          <w:shd w:val="clear" w:color="auto" w:fill="FFFFFF"/>
        </w:rPr>
        <w:t>also claims</w:t>
      </w:r>
      <w:r w:rsidRPr="00124D01">
        <w:rPr>
          <w:rFonts w:ascii="Arial" w:hAnsi="Arial" w:cs="Arial"/>
          <w:sz w:val="24"/>
          <w:szCs w:val="24"/>
          <w:shd w:val="clear" w:color="auto" w:fill="FFFFFF"/>
        </w:rPr>
        <w:t xml:space="preserve"> that the amounts </w:t>
      </w:r>
      <w:r w:rsidRPr="00124D01" w:rsidR="1F2C9115">
        <w:rPr>
          <w:rFonts w:ascii="Arial" w:hAnsi="Arial" w:cs="Arial"/>
          <w:sz w:val="24"/>
          <w:szCs w:val="24"/>
        </w:rPr>
        <w:t>Mr.</w:t>
      </w:r>
      <w:r w:rsidRPr="00124D01" w:rsidR="005D7AFD">
        <w:rPr>
          <w:rFonts w:ascii="Arial" w:hAnsi="Arial" w:cs="Arial"/>
          <w:sz w:val="24"/>
          <w:szCs w:val="24"/>
          <w:shd w:val="clear" w:color="auto" w:fill="FFFFFF"/>
        </w:rPr>
        <w:t xml:space="preserve"> Lacey</w:t>
      </w:r>
      <w:r w:rsidRPr="00124D01">
        <w:rPr>
          <w:rFonts w:ascii="Arial" w:hAnsi="Arial" w:cs="Arial"/>
          <w:sz w:val="24"/>
          <w:szCs w:val="24"/>
          <w:shd w:val="clear" w:color="auto" w:fill="FFFFFF"/>
        </w:rPr>
        <w:t xml:space="preserve"> recommends for recovery through the Retail Reconciliation Rider</w:t>
      </w:r>
      <w:r>
        <w:rPr>
          <w:rFonts w:ascii="Arial" w:hAnsi="Arial" w:cs="Arial"/>
          <w:sz w:val="24"/>
          <w:szCs w:val="24"/>
          <w:shd w:val="clear" w:color="auto" w:fill="FFFFFF"/>
        </w:rPr>
        <w:t xml:space="preserve"> </w:t>
      </w:r>
      <w:r w:rsidR="001B0C59">
        <w:rPr>
          <w:rFonts w:ascii="Arial" w:hAnsi="Arial" w:cs="Arial"/>
          <w:sz w:val="24"/>
          <w:szCs w:val="24"/>
          <w:shd w:val="clear" w:color="auto" w:fill="FFFFFF"/>
        </w:rPr>
        <w:t>is</w:t>
      </w:r>
      <w:r w:rsidRPr="00124D01">
        <w:rPr>
          <w:rFonts w:ascii="Arial" w:hAnsi="Arial" w:cs="Arial"/>
          <w:sz w:val="24"/>
          <w:szCs w:val="24"/>
          <w:shd w:val="clear" w:color="auto" w:fill="FFFFFF"/>
        </w:rPr>
        <w:t xml:space="preserve"> based on an extreme approach</w:t>
      </w:r>
      <w:r w:rsidRPr="00124D01" w:rsidR="005D7AFD">
        <w:rPr>
          <w:rFonts w:ascii="Arial" w:hAnsi="Arial" w:cs="Arial"/>
          <w:sz w:val="24"/>
          <w:szCs w:val="24"/>
          <w:shd w:val="clear" w:color="auto" w:fill="FFFFFF"/>
        </w:rPr>
        <w:t xml:space="preserve">. </w:t>
      </w:r>
      <w:r w:rsidRPr="00124D01">
        <w:rPr>
          <w:rFonts w:ascii="Arial" w:hAnsi="Arial" w:cs="Arial"/>
          <w:sz w:val="24"/>
          <w:szCs w:val="24"/>
          <w:shd w:val="clear" w:color="auto" w:fill="FFFFFF"/>
        </w:rPr>
        <w:t xml:space="preserve"> Staff </w:t>
      </w:r>
      <w:r w:rsidRPr="00124D01" w:rsidR="5AEF7451">
        <w:rPr>
          <w:rFonts w:ascii="Arial" w:hAnsi="Arial" w:cs="Arial"/>
          <w:sz w:val="24"/>
          <w:szCs w:val="24"/>
          <w:shd w:val="clear" w:color="auto" w:fill="FFFFFF"/>
        </w:rPr>
        <w:t>Ex.</w:t>
      </w:r>
      <w:r w:rsidRPr="00124D01">
        <w:rPr>
          <w:rFonts w:ascii="Arial" w:hAnsi="Arial" w:cs="Arial"/>
          <w:sz w:val="24"/>
          <w:szCs w:val="24"/>
          <w:shd w:val="clear" w:color="auto" w:fill="FFFFFF"/>
        </w:rPr>
        <w:t xml:space="preserve"> at 9.  </w:t>
      </w:r>
      <w:r w:rsidRPr="00124D01" w:rsidR="005D7AFD">
        <w:rPr>
          <w:rFonts w:ascii="Arial" w:hAnsi="Arial" w:cs="Arial"/>
          <w:sz w:val="24"/>
          <w:szCs w:val="24"/>
          <w:shd w:val="clear" w:color="auto" w:fill="FFFFFF"/>
        </w:rPr>
        <w:t>The characterization that the amount is extreme, however, is never explained.</w:t>
      </w:r>
      <w:r w:rsidRPr="00124D01">
        <w:rPr>
          <w:rFonts w:ascii="Arial" w:hAnsi="Arial" w:cs="Arial"/>
          <w:sz w:val="24"/>
          <w:szCs w:val="24"/>
          <w:shd w:val="clear" w:color="auto" w:fill="FFFFFF"/>
        </w:rPr>
        <w:t xml:space="preserve"> </w:t>
      </w:r>
      <w:r w:rsidR="00BA24FA">
        <w:rPr>
          <w:rFonts w:ascii="Arial" w:hAnsi="Arial" w:cs="Arial"/>
          <w:sz w:val="24"/>
          <w:szCs w:val="24"/>
          <w:shd w:val="clear" w:color="auto" w:fill="FFFFFF"/>
        </w:rPr>
        <w:t>Instead,</w:t>
      </w:r>
      <w:r>
        <w:rPr>
          <w:rFonts w:ascii="Arial" w:hAnsi="Arial" w:cs="Arial"/>
          <w:sz w:val="24"/>
          <w:szCs w:val="24"/>
          <w:shd w:val="clear" w:color="auto" w:fill="FFFFFF"/>
        </w:rPr>
        <w:t xml:space="preserve"> </w:t>
      </w:r>
      <w:r w:rsidRPr="00124D01">
        <w:rPr>
          <w:rFonts w:ascii="Arial" w:hAnsi="Arial" w:cs="Arial"/>
          <w:sz w:val="24"/>
          <w:szCs w:val="24"/>
          <w:shd w:val="clear" w:color="auto" w:fill="FFFFFF"/>
        </w:rPr>
        <w:t>Staff testimony then states correctly that “IGS advocate</w:t>
      </w:r>
      <w:r w:rsidRPr="00124D01" w:rsidR="006F662F">
        <w:rPr>
          <w:rFonts w:ascii="Arial" w:hAnsi="Arial" w:cs="Arial"/>
          <w:sz w:val="24"/>
          <w:szCs w:val="24"/>
          <w:shd w:val="clear" w:color="auto" w:fill="FFFFFF"/>
        </w:rPr>
        <w:t>s</w:t>
      </w:r>
      <w:r w:rsidRPr="00124D01">
        <w:rPr>
          <w:rFonts w:ascii="Arial" w:hAnsi="Arial" w:cs="Arial"/>
          <w:sz w:val="24"/>
          <w:szCs w:val="24"/>
          <w:shd w:val="clear" w:color="auto" w:fill="FFFFFF"/>
        </w:rPr>
        <w:t xml:space="preserve"> that generation cost are [sic] embedded in the call </w:t>
      </w:r>
      <w:r w:rsidRPr="00384952">
        <w:rPr>
          <w:rFonts w:ascii="Arial" w:hAnsi="Arial" w:cs="Arial"/>
          <w:sz w:val="24"/>
          <w:szCs w:val="24"/>
          <w:shd w:val="clear" w:color="auto" w:fill="FFFFFF"/>
        </w:rPr>
        <w:t xml:space="preserve">center, legal counsel, regulatory counsel, IT employees and infrastructure, software, office space, human resources, office supplies, accounting </w:t>
      </w:r>
      <w:r w:rsidRPr="00384952">
        <w:rPr>
          <w:rFonts w:ascii="Arial" w:hAnsi="Arial" w:cs="Arial"/>
          <w:sz w:val="24"/>
          <w:szCs w:val="24"/>
          <w:shd w:val="clear" w:color="auto" w:fill="FFFFFF"/>
        </w:rPr>
        <w:lastRenderedPageBreak/>
        <w:t xml:space="preserve">services, printing, postage, uncollectible expenses and cash working capital.”  Staff </w:t>
      </w:r>
      <w:r w:rsidRPr="00384952" w:rsidR="5AEF7451">
        <w:rPr>
          <w:rFonts w:ascii="Arial" w:hAnsi="Arial" w:cs="Arial"/>
          <w:sz w:val="24"/>
          <w:szCs w:val="24"/>
          <w:shd w:val="clear" w:color="auto" w:fill="FFFFFF"/>
        </w:rPr>
        <w:t>Ex.</w:t>
      </w:r>
      <w:r w:rsidRPr="00384952">
        <w:rPr>
          <w:rFonts w:ascii="Arial" w:hAnsi="Arial" w:cs="Arial"/>
          <w:sz w:val="24"/>
          <w:szCs w:val="24"/>
          <w:shd w:val="clear" w:color="auto" w:fill="FFFFFF"/>
        </w:rPr>
        <w:t xml:space="preserve"> 3 at 9-10.  That statement, while correct, does not indicate anything that is “extreme” in the approach that IGS is using to determine the rider rates.  </w:t>
      </w:r>
      <w:r w:rsidRPr="00384952" w:rsidR="006742DF">
        <w:rPr>
          <w:rFonts w:ascii="Arial" w:hAnsi="Arial" w:cs="Arial"/>
          <w:sz w:val="24"/>
          <w:szCs w:val="24"/>
          <w:shd w:val="clear" w:color="auto" w:fill="FFFFFF"/>
        </w:rPr>
        <w:t xml:space="preserve">In fact, Ohio Power, IGS, Direct, </w:t>
      </w:r>
      <w:r w:rsidRPr="00B62F05" w:rsidR="006742DF">
        <w:rPr>
          <w:rFonts w:ascii="Arial" w:hAnsi="Arial" w:cs="Arial"/>
          <w:sz w:val="24"/>
          <w:szCs w:val="24"/>
          <w:shd w:val="clear" w:color="auto" w:fill="FFFFFF"/>
        </w:rPr>
        <w:t>and Staff</w:t>
      </w:r>
      <w:r w:rsidRPr="00B62F05">
        <w:rPr>
          <w:rFonts w:ascii="Arial" w:hAnsi="Arial" w:cs="Arial"/>
          <w:sz w:val="24"/>
          <w:szCs w:val="24"/>
          <w:shd w:val="clear" w:color="auto" w:fill="FFFFFF"/>
        </w:rPr>
        <w:t xml:space="preserve"> agree that these costs or a large subset of them </w:t>
      </w:r>
      <w:r w:rsidRPr="00C74128" w:rsidR="002E0521">
        <w:rPr>
          <w:rFonts w:ascii="Arial" w:hAnsi="Arial" w:cs="Arial"/>
          <w:sz w:val="24"/>
          <w:szCs w:val="24"/>
          <w:shd w:val="clear" w:color="auto" w:fill="FFFFFF"/>
        </w:rPr>
        <w:t xml:space="preserve">are related to the provision of the standard service offer and </w:t>
      </w:r>
      <w:r w:rsidRPr="00B62F05" w:rsidR="006742DF">
        <w:rPr>
          <w:rFonts w:ascii="Arial" w:hAnsi="Arial" w:cs="Arial"/>
          <w:sz w:val="24"/>
          <w:szCs w:val="24"/>
          <w:shd w:val="clear" w:color="auto" w:fill="FFFFFF"/>
        </w:rPr>
        <w:t>will</w:t>
      </w:r>
      <w:r w:rsidRPr="00B62F05">
        <w:rPr>
          <w:rFonts w:ascii="Arial" w:hAnsi="Arial" w:cs="Arial"/>
          <w:sz w:val="24"/>
          <w:szCs w:val="24"/>
          <w:shd w:val="clear" w:color="auto" w:fill="FFFFFF"/>
        </w:rPr>
        <w:t xml:space="preserve"> be recovered in distribution rates if the </w:t>
      </w:r>
      <w:r w:rsidRPr="00B62F05" w:rsidR="00522769">
        <w:rPr>
          <w:rFonts w:ascii="Arial" w:hAnsi="Arial" w:cs="Arial"/>
          <w:sz w:val="24"/>
          <w:szCs w:val="24"/>
          <w:shd w:val="clear" w:color="auto" w:fill="FFFFFF"/>
        </w:rPr>
        <w:t xml:space="preserve">Retail Reconciliation Rider and SSO Credit Rider are set to zero.  </w:t>
      </w:r>
      <w:r w:rsidR="002E0521">
        <w:rPr>
          <w:rFonts w:ascii="Arial" w:hAnsi="Arial" w:cs="Arial"/>
          <w:sz w:val="24"/>
          <w:szCs w:val="24"/>
          <w:shd w:val="clear" w:color="auto" w:fill="FFFFFF"/>
        </w:rPr>
        <w:t>Fu</w:t>
      </w:r>
      <w:r w:rsidR="00B62F05">
        <w:rPr>
          <w:rFonts w:ascii="Arial" w:hAnsi="Arial" w:cs="Arial"/>
          <w:sz w:val="24"/>
          <w:szCs w:val="24"/>
          <w:shd w:val="clear" w:color="auto" w:fill="FFFFFF"/>
        </w:rPr>
        <w:t>r</w:t>
      </w:r>
      <w:r w:rsidR="002E0521">
        <w:rPr>
          <w:rFonts w:ascii="Arial" w:hAnsi="Arial" w:cs="Arial"/>
          <w:sz w:val="24"/>
          <w:szCs w:val="24"/>
          <w:shd w:val="clear" w:color="auto" w:fill="FFFFFF"/>
        </w:rPr>
        <w:t>ther, t</w:t>
      </w:r>
      <w:r w:rsidRPr="00B62F05" w:rsidR="006F662F">
        <w:rPr>
          <w:rFonts w:ascii="Arial" w:hAnsi="Arial" w:cs="Arial"/>
          <w:sz w:val="24"/>
          <w:szCs w:val="24"/>
          <w:shd w:val="clear" w:color="auto" w:fill="FFFFFF"/>
        </w:rPr>
        <w:t>here is nothing “extreme” in assuring that standard service offer is priced correctly</w:t>
      </w:r>
      <w:r w:rsidRPr="00B62F05" w:rsidR="005D7AFD">
        <w:rPr>
          <w:rFonts w:ascii="Arial" w:hAnsi="Arial" w:cs="Arial"/>
          <w:sz w:val="24"/>
          <w:szCs w:val="24"/>
          <w:shd w:val="clear" w:color="auto" w:fill="FFFFFF"/>
        </w:rPr>
        <w:t xml:space="preserve"> by identifying </w:t>
      </w:r>
      <w:r w:rsidRPr="00384952" w:rsidR="005D7AFD">
        <w:rPr>
          <w:rFonts w:ascii="Arial" w:hAnsi="Arial" w:cs="Arial"/>
          <w:sz w:val="24"/>
          <w:szCs w:val="24"/>
          <w:shd w:val="clear" w:color="auto" w:fill="FFFFFF"/>
        </w:rPr>
        <w:t>and allocating the costs properly</w:t>
      </w:r>
      <w:r w:rsidRPr="00384952" w:rsidR="006F662F">
        <w:rPr>
          <w:rFonts w:ascii="Arial" w:hAnsi="Arial" w:cs="Arial"/>
          <w:sz w:val="24"/>
          <w:szCs w:val="24"/>
          <w:shd w:val="clear" w:color="auto" w:fill="FFFFFF"/>
        </w:rPr>
        <w:t>.</w:t>
      </w:r>
    </w:p>
    <w:p w:rsidRPr="00C74128" w:rsidR="004509D5" w:rsidP="004509D5" w:rsidRDefault="004509D5" w14:paraId="6D183523" w14:textId="77777777">
      <w:pPr>
        <w:spacing w:after="0" w:line="480" w:lineRule="auto"/>
        <w:ind w:firstLine="720"/>
        <w:jc w:val="both"/>
        <w:rPr>
          <w:rFonts w:ascii="Arial" w:hAnsi="Arial" w:cs="Arial"/>
          <w:sz w:val="24"/>
          <w:szCs w:val="24"/>
          <w:shd w:val="clear" w:color="auto" w:fill="FFFFFF"/>
        </w:rPr>
      </w:pPr>
      <w:bookmarkStart w:name="_Hlk74302350" w:id="27"/>
      <w:r w:rsidRPr="00C74128">
        <w:rPr>
          <w:rFonts w:ascii="Arial" w:hAnsi="Arial" w:cs="Arial"/>
          <w:sz w:val="24"/>
          <w:szCs w:val="24"/>
          <w:shd w:val="clear" w:color="auto" w:fill="FFFFFF"/>
        </w:rPr>
        <w:t xml:space="preserve">Additionally, there is no discussion of how one would decide if the cost allocation or assignment was extreme.  The Staff could have provided some metric or offered its estimate of the properly allocated costs.  It did not.  Thus, it has offered no metric by which the Commission can determine whether the Staff’s position is valid or not. </w:t>
      </w:r>
    </w:p>
    <w:bookmarkEnd w:id="27"/>
    <w:p w:rsidRPr="00384952" w:rsidR="00776AF1" w:rsidP="000E52BF" w:rsidRDefault="00522769" w14:paraId="3AA80B2C" w14:textId="512A4955">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Finally, the Staff seems to imply that the costs associated with the provision of the choice program incurred by Ohio Power would offset the costs it incurs to provide default service.  According to Staff, “IGS fails to acknowledge if there are generation costs for SSO service then there would also be equal if not greater generation costs for CRES customers.”  </w:t>
      </w:r>
      <w:r w:rsidRPr="00384952" w:rsidR="00980EE9">
        <w:rPr>
          <w:rFonts w:ascii="Arial" w:hAnsi="Arial" w:cs="Arial"/>
          <w:sz w:val="24"/>
          <w:szCs w:val="24"/>
          <w:shd w:val="clear" w:color="auto" w:fill="FFFFFF"/>
        </w:rPr>
        <w:t xml:space="preserve">Staff </w:t>
      </w:r>
      <w:r w:rsidRPr="00384952" w:rsidR="5AEF7451">
        <w:rPr>
          <w:rFonts w:ascii="Arial" w:hAnsi="Arial" w:cs="Arial"/>
          <w:sz w:val="24"/>
          <w:szCs w:val="24"/>
        </w:rPr>
        <w:t>Ex.</w:t>
      </w:r>
      <w:r w:rsidRPr="00384952" w:rsidR="00980EE9">
        <w:rPr>
          <w:rFonts w:ascii="Arial" w:hAnsi="Arial" w:cs="Arial"/>
          <w:sz w:val="24"/>
          <w:szCs w:val="24"/>
          <w:shd w:val="clear" w:color="auto" w:fill="FFFFFF"/>
        </w:rPr>
        <w:t xml:space="preserve"> 3 at 10.  </w:t>
      </w:r>
      <w:r w:rsidRPr="00384952" w:rsidR="006742DF">
        <w:rPr>
          <w:rFonts w:ascii="Arial" w:hAnsi="Arial" w:cs="Arial"/>
          <w:sz w:val="24"/>
          <w:szCs w:val="24"/>
          <w:shd w:val="clear" w:color="auto" w:fill="FFFFFF"/>
        </w:rPr>
        <w:t xml:space="preserve">How this statement supports either </w:t>
      </w:r>
      <w:r w:rsidRPr="00384952" w:rsidR="00980EE9">
        <w:rPr>
          <w:rFonts w:ascii="Arial" w:hAnsi="Arial" w:cs="Arial"/>
          <w:sz w:val="24"/>
          <w:szCs w:val="24"/>
          <w:shd w:val="clear" w:color="auto" w:fill="FFFFFF"/>
        </w:rPr>
        <w:t>a</w:t>
      </w:r>
      <w:r w:rsidRPr="00384952" w:rsidR="006742DF">
        <w:rPr>
          <w:rFonts w:ascii="Arial" w:hAnsi="Arial" w:cs="Arial"/>
          <w:sz w:val="24"/>
          <w:szCs w:val="24"/>
          <w:shd w:val="clear" w:color="auto" w:fill="FFFFFF"/>
        </w:rPr>
        <w:t xml:space="preserve"> conclusion to zero the riders or the Staff position that the IGS approach </w:t>
      </w:r>
      <w:r w:rsidRPr="00384952" w:rsidR="00980EE9">
        <w:rPr>
          <w:rFonts w:ascii="Arial" w:hAnsi="Arial" w:cs="Arial"/>
          <w:sz w:val="24"/>
          <w:szCs w:val="24"/>
          <w:shd w:val="clear" w:color="auto" w:fill="FFFFFF"/>
        </w:rPr>
        <w:t xml:space="preserve">to identifying costs to serve the standard service offer </w:t>
      </w:r>
      <w:r w:rsidRPr="00384952" w:rsidR="006742DF">
        <w:rPr>
          <w:rFonts w:ascii="Arial" w:hAnsi="Arial" w:cs="Arial"/>
          <w:sz w:val="24"/>
          <w:szCs w:val="24"/>
          <w:shd w:val="clear" w:color="auto" w:fill="FFFFFF"/>
        </w:rPr>
        <w:t>is “extreme” is never explained.  Moreover, t</w:t>
      </w:r>
      <w:r w:rsidRPr="00384952" w:rsidR="00776AF1">
        <w:rPr>
          <w:rFonts w:ascii="Arial" w:hAnsi="Arial" w:cs="Arial"/>
          <w:sz w:val="24"/>
          <w:szCs w:val="24"/>
          <w:shd w:val="clear" w:color="auto" w:fill="FFFFFF"/>
        </w:rPr>
        <w:t xml:space="preserve">his </w:t>
      </w:r>
      <w:r w:rsidRPr="00384952" w:rsidR="006742DF">
        <w:rPr>
          <w:rFonts w:ascii="Arial" w:hAnsi="Arial" w:cs="Arial"/>
          <w:sz w:val="24"/>
          <w:szCs w:val="24"/>
          <w:shd w:val="clear" w:color="auto" w:fill="FFFFFF"/>
        </w:rPr>
        <w:t>claim</w:t>
      </w:r>
      <w:r w:rsidRPr="00384952" w:rsidR="00776AF1">
        <w:rPr>
          <w:rFonts w:ascii="Arial" w:hAnsi="Arial" w:cs="Arial"/>
          <w:sz w:val="24"/>
          <w:szCs w:val="24"/>
          <w:shd w:val="clear" w:color="auto" w:fill="FFFFFF"/>
        </w:rPr>
        <w:t xml:space="preserve"> seems to assume that some costs must exist; otherwise there would be nothing to offset.  If that is the case, the Staff position once again seems to be at odds with itself.  </w:t>
      </w:r>
    </w:p>
    <w:p w:rsidRPr="00B62F05" w:rsidR="00980EE9" w:rsidP="000E52BF" w:rsidRDefault="00980EE9" w14:paraId="69EEF01B" w14:textId="54DAFA0C">
      <w:pPr>
        <w:spacing w:after="0" w:line="480" w:lineRule="auto"/>
        <w:ind w:firstLine="720"/>
        <w:jc w:val="both"/>
        <w:rPr>
          <w:rFonts w:ascii="Arial" w:hAnsi="Arial" w:cs="Arial"/>
          <w:sz w:val="24"/>
          <w:szCs w:val="24"/>
          <w:shd w:val="clear" w:color="auto" w:fill="FFFFFF"/>
        </w:rPr>
      </w:pPr>
      <w:r w:rsidRPr="00384952">
        <w:rPr>
          <w:rFonts w:ascii="Arial" w:hAnsi="Arial" w:cs="Arial"/>
          <w:sz w:val="24"/>
          <w:szCs w:val="24"/>
          <w:shd w:val="clear" w:color="auto" w:fill="FFFFFF"/>
        </w:rPr>
        <w:t xml:space="preserve">Additionally, the Staff’s claim that IGS fails to acknowledge costs to serve choice customers is </w:t>
      </w:r>
      <w:r w:rsidRPr="00384952" w:rsidR="006F662F">
        <w:rPr>
          <w:rFonts w:ascii="Arial" w:hAnsi="Arial" w:cs="Arial"/>
          <w:sz w:val="24"/>
          <w:szCs w:val="24"/>
          <w:shd w:val="clear" w:color="auto" w:fill="FFFFFF"/>
        </w:rPr>
        <w:t xml:space="preserve">patently wrong: IGS recognized that there were such costs, but they are not </w:t>
      </w:r>
      <w:r w:rsidRPr="00384952" w:rsidR="006F662F">
        <w:rPr>
          <w:rFonts w:ascii="Arial" w:hAnsi="Arial" w:cs="Arial"/>
          <w:sz w:val="24"/>
          <w:szCs w:val="24"/>
          <w:shd w:val="clear" w:color="auto" w:fill="FFFFFF"/>
        </w:rPr>
        <w:lastRenderedPageBreak/>
        <w:t xml:space="preserve">properly offset against the costs that should be recovered through the Retail Reconciliation Rider.  IGS/Direct </w:t>
      </w:r>
      <w:r w:rsidRPr="00384952" w:rsidR="5AEF7451">
        <w:rPr>
          <w:rFonts w:ascii="Arial" w:hAnsi="Arial" w:cs="Arial"/>
          <w:sz w:val="24"/>
          <w:szCs w:val="24"/>
          <w:shd w:val="clear" w:color="auto" w:fill="FFFFFF"/>
        </w:rPr>
        <w:t>Ex.</w:t>
      </w:r>
      <w:r w:rsidRPr="00384952" w:rsidR="006F662F">
        <w:rPr>
          <w:rFonts w:ascii="Arial" w:hAnsi="Arial" w:cs="Arial"/>
          <w:sz w:val="24"/>
          <w:szCs w:val="24"/>
          <w:shd w:val="clear" w:color="auto" w:fill="FFFFFF"/>
        </w:rPr>
        <w:t xml:space="preserve"> 2 at 42-43.  </w:t>
      </w:r>
      <w:r w:rsidRPr="00384952" w:rsidR="00304C4F">
        <w:rPr>
          <w:rFonts w:ascii="Arial" w:hAnsi="Arial" w:cs="Arial"/>
          <w:sz w:val="24"/>
          <w:szCs w:val="24"/>
          <w:shd w:val="clear" w:color="auto" w:fill="FFFFFF"/>
        </w:rPr>
        <w:t xml:space="preserve">The reason </w:t>
      </w:r>
      <w:r w:rsidRPr="00384952" w:rsidR="002D5C6F">
        <w:rPr>
          <w:rFonts w:ascii="Arial" w:hAnsi="Arial" w:cs="Arial"/>
          <w:sz w:val="24"/>
          <w:szCs w:val="24"/>
          <w:shd w:val="clear" w:color="auto" w:fill="FFFFFF"/>
        </w:rPr>
        <w:t xml:space="preserve">why </w:t>
      </w:r>
      <w:r w:rsidRPr="00384952" w:rsidR="00304C4F">
        <w:rPr>
          <w:rFonts w:ascii="Arial" w:hAnsi="Arial" w:cs="Arial"/>
          <w:sz w:val="24"/>
          <w:szCs w:val="24"/>
          <w:shd w:val="clear" w:color="auto" w:fill="FFFFFF"/>
        </w:rPr>
        <w:t xml:space="preserve">offsetting the costs of </w:t>
      </w:r>
      <w:r w:rsidRPr="00384952" w:rsidR="002D5C6F">
        <w:rPr>
          <w:rFonts w:ascii="Arial" w:hAnsi="Arial" w:cs="Arial"/>
          <w:sz w:val="24"/>
          <w:szCs w:val="24"/>
          <w:shd w:val="clear" w:color="auto" w:fill="FFFFFF"/>
        </w:rPr>
        <w:t>providing</w:t>
      </w:r>
      <w:r w:rsidRPr="00384952" w:rsidR="00304C4F">
        <w:rPr>
          <w:rFonts w:ascii="Arial" w:hAnsi="Arial" w:cs="Arial"/>
          <w:sz w:val="24"/>
          <w:szCs w:val="24"/>
          <w:shd w:val="clear" w:color="auto" w:fill="FFFFFF"/>
        </w:rPr>
        <w:t xml:space="preserve"> choice service is incorrect is equally obvious:  The services, which competitive suppliers pay for through multiple fees, are instances in which Ohio Power is acting as the sole provider of those services.  For instance, competitive suppliers can receive metering information from only Ohio Power.  </w:t>
      </w:r>
      <w:r w:rsidRPr="00384952" w:rsidR="00467884">
        <w:rPr>
          <w:rFonts w:ascii="Arial" w:hAnsi="Arial" w:cs="Arial"/>
          <w:sz w:val="24"/>
          <w:szCs w:val="24"/>
        </w:rPr>
        <w:t>Similarly</w:t>
      </w:r>
      <w:r w:rsidRPr="00384952" w:rsidR="00EE06B8">
        <w:rPr>
          <w:rFonts w:ascii="Arial" w:hAnsi="Arial" w:cs="Arial"/>
          <w:sz w:val="24"/>
          <w:szCs w:val="24"/>
        </w:rPr>
        <w:t xml:space="preserve">, </w:t>
      </w:r>
      <w:r w:rsidRPr="00384952" w:rsidR="00467884">
        <w:rPr>
          <w:rFonts w:ascii="Arial" w:hAnsi="Arial" w:cs="Arial"/>
          <w:sz w:val="24"/>
          <w:szCs w:val="24"/>
        </w:rPr>
        <w:t xml:space="preserve">only Ohio Power can effectuate a </w:t>
      </w:r>
      <w:r w:rsidRPr="00B62F05" w:rsidR="005F24FA">
        <w:rPr>
          <w:rFonts w:ascii="Arial" w:hAnsi="Arial" w:cs="Arial"/>
          <w:sz w:val="24"/>
          <w:szCs w:val="24"/>
        </w:rPr>
        <w:t>change in generation supplier.</w:t>
      </w:r>
      <w:r w:rsidRPr="00B62F05" w:rsidR="00467884">
        <w:rPr>
          <w:rFonts w:ascii="Arial" w:hAnsi="Arial" w:cs="Arial"/>
          <w:sz w:val="24"/>
          <w:szCs w:val="24"/>
        </w:rPr>
        <w:t xml:space="preserve"> </w:t>
      </w:r>
      <w:r w:rsidRPr="00B62F05" w:rsidR="00304C4F">
        <w:rPr>
          <w:rFonts w:ascii="Arial" w:hAnsi="Arial" w:cs="Arial"/>
          <w:sz w:val="24"/>
          <w:szCs w:val="24"/>
          <w:shd w:val="clear" w:color="auto" w:fill="FFFFFF"/>
        </w:rPr>
        <w:t>Unlike the costs associated with the standard service offer, which</w:t>
      </w:r>
      <w:r w:rsidR="005333E9">
        <w:rPr>
          <w:rFonts w:ascii="Arial" w:hAnsi="Arial" w:cs="Arial"/>
          <w:sz w:val="24"/>
          <w:szCs w:val="24"/>
          <w:shd w:val="clear" w:color="auto" w:fill="FFFFFF"/>
        </w:rPr>
        <w:t xml:space="preserve"> are</w:t>
      </w:r>
      <w:r w:rsidRPr="00B62F05" w:rsidR="00304C4F">
        <w:rPr>
          <w:rFonts w:ascii="Arial" w:hAnsi="Arial" w:cs="Arial"/>
          <w:sz w:val="24"/>
          <w:szCs w:val="24"/>
          <w:shd w:val="clear" w:color="auto" w:fill="FFFFFF"/>
        </w:rPr>
        <w:t xml:space="preserve"> declared a competitive service by Ohio law, therefore, the services for supporting choice remain a monopoly service regulated by </w:t>
      </w:r>
      <w:r w:rsidR="00975D77">
        <w:rPr>
          <w:rFonts w:ascii="Arial" w:hAnsi="Arial" w:cs="Arial"/>
          <w:sz w:val="24"/>
          <w:szCs w:val="24"/>
          <w:shd w:val="clear" w:color="auto" w:fill="FFFFFF"/>
        </w:rPr>
        <w:t xml:space="preserve">R.C. </w:t>
      </w:r>
      <w:r w:rsidRPr="00B62F05" w:rsidR="00304C4F">
        <w:rPr>
          <w:rFonts w:ascii="Arial" w:hAnsi="Arial" w:cs="Arial"/>
          <w:sz w:val="24"/>
          <w:szCs w:val="24"/>
          <w:shd w:val="clear" w:color="auto" w:fill="FFFFFF"/>
        </w:rPr>
        <w:t>Chapter 4909.</w:t>
      </w:r>
    </w:p>
    <w:p w:rsidRPr="00F80C8F" w:rsidR="00522769" w:rsidP="000E52BF" w:rsidRDefault="00816C5B" w14:paraId="3D3245FF" w14:textId="4C4CEFE1">
      <w:pPr>
        <w:spacing w:after="0" w:line="480" w:lineRule="auto"/>
        <w:ind w:firstLine="720"/>
        <w:jc w:val="both"/>
        <w:rPr>
          <w:rFonts w:ascii="Arial" w:hAnsi="Arial" w:cs="Arial"/>
          <w:sz w:val="24"/>
          <w:szCs w:val="24"/>
          <w:shd w:val="clear" w:color="auto" w:fill="FFFFFF"/>
        </w:rPr>
      </w:pPr>
      <w:r w:rsidRPr="00B62F05">
        <w:rPr>
          <w:rFonts w:ascii="Arial" w:hAnsi="Arial" w:cs="Arial"/>
          <w:sz w:val="24"/>
          <w:szCs w:val="24"/>
          <w:shd w:val="clear" w:color="auto" w:fill="FFFFFF"/>
        </w:rPr>
        <w:t xml:space="preserve">Finally, the assertion that the costs to provide SSO service </w:t>
      </w:r>
      <w:r w:rsidRPr="00B62F05" w:rsidR="23F5CC19">
        <w:rPr>
          <w:rFonts w:ascii="Arial" w:hAnsi="Arial" w:cs="Arial"/>
          <w:sz w:val="24"/>
          <w:szCs w:val="24"/>
          <w:shd w:val="clear" w:color="auto" w:fill="FFFFFF"/>
        </w:rPr>
        <w:t>would be</w:t>
      </w:r>
      <w:r w:rsidRPr="00B62F05" w:rsidR="65D97884">
        <w:rPr>
          <w:rFonts w:ascii="Arial" w:hAnsi="Arial" w:cs="Arial"/>
          <w:sz w:val="24"/>
          <w:szCs w:val="24"/>
        </w:rPr>
        <w:t xml:space="preserve"> </w:t>
      </w:r>
      <w:r w:rsidRPr="00B62F05">
        <w:rPr>
          <w:rFonts w:ascii="Arial" w:hAnsi="Arial" w:cs="Arial"/>
          <w:sz w:val="24"/>
          <w:szCs w:val="24"/>
          <w:shd w:val="clear" w:color="auto" w:fill="FFFFFF"/>
        </w:rPr>
        <w:t>equal to those to provide service to CRES customers does not withstand any analysis.  First,</w:t>
      </w:r>
      <w:r w:rsidRPr="00B62F05" w:rsidR="00522769">
        <w:rPr>
          <w:rFonts w:ascii="Arial" w:hAnsi="Arial" w:cs="Arial"/>
          <w:sz w:val="24"/>
          <w:szCs w:val="24"/>
          <w:shd w:val="clear" w:color="auto" w:fill="FFFFFF"/>
        </w:rPr>
        <w:t xml:space="preserve"> this statement is wrong on the </w:t>
      </w:r>
      <w:r w:rsidRPr="00B62F05" w:rsidR="00980EE9">
        <w:rPr>
          <w:rFonts w:ascii="Arial" w:hAnsi="Arial" w:cs="Arial"/>
          <w:sz w:val="24"/>
          <w:szCs w:val="24"/>
          <w:shd w:val="clear" w:color="auto" w:fill="FFFFFF"/>
        </w:rPr>
        <w:t xml:space="preserve">facts available to the Staff in the </w:t>
      </w:r>
      <w:r w:rsidR="00C608E0">
        <w:rPr>
          <w:rFonts w:ascii="Arial" w:hAnsi="Arial" w:cs="Arial"/>
          <w:sz w:val="24"/>
          <w:szCs w:val="24"/>
          <w:shd w:val="clear" w:color="auto" w:fill="FFFFFF"/>
        </w:rPr>
        <w:t>A</w:t>
      </w:r>
      <w:r w:rsidRPr="00B62F05" w:rsidR="00980EE9">
        <w:rPr>
          <w:rFonts w:ascii="Arial" w:hAnsi="Arial" w:cs="Arial"/>
          <w:sz w:val="24"/>
          <w:szCs w:val="24"/>
          <w:shd w:val="clear" w:color="auto" w:fill="FFFFFF"/>
        </w:rPr>
        <w:t>pplication</w:t>
      </w:r>
      <w:r w:rsidRPr="00B62F05" w:rsidR="00522769">
        <w:rPr>
          <w:rFonts w:ascii="Arial" w:hAnsi="Arial" w:cs="Arial"/>
          <w:sz w:val="24"/>
          <w:szCs w:val="24"/>
          <w:shd w:val="clear" w:color="auto" w:fill="FFFFFF"/>
        </w:rPr>
        <w:t xml:space="preserve">.  </w:t>
      </w:r>
      <w:r w:rsidRPr="00B62F05" w:rsidR="00980EE9">
        <w:rPr>
          <w:rFonts w:ascii="Arial" w:hAnsi="Arial" w:cs="Arial"/>
          <w:sz w:val="24"/>
          <w:szCs w:val="24"/>
          <w:shd w:val="clear" w:color="auto" w:fill="FFFFFF"/>
        </w:rPr>
        <w:t xml:space="preserve">The Staff had </w:t>
      </w:r>
      <w:r w:rsidRPr="00B62F05" w:rsidR="00522769">
        <w:rPr>
          <w:rFonts w:ascii="Arial" w:hAnsi="Arial" w:cs="Arial"/>
          <w:sz w:val="24"/>
          <w:szCs w:val="24"/>
          <w:shd w:val="clear" w:color="auto" w:fill="FFFFFF"/>
        </w:rPr>
        <w:t xml:space="preserve">Ohio Power’s assessment of the assignable costs to provide choice and those costs were several million dollars less than its costs to provide the standard service offer.  IGS </w:t>
      </w:r>
      <w:r w:rsidRPr="00344CDE" w:rsidR="5AEF7451">
        <w:rPr>
          <w:rFonts w:ascii="Arial" w:hAnsi="Arial" w:cs="Arial"/>
          <w:sz w:val="24"/>
          <w:szCs w:val="24"/>
        </w:rPr>
        <w:t>Ex.</w:t>
      </w:r>
      <w:r w:rsidRPr="00344CDE" w:rsidR="00522769">
        <w:rPr>
          <w:rFonts w:ascii="Arial" w:hAnsi="Arial" w:cs="Arial"/>
          <w:sz w:val="24"/>
          <w:szCs w:val="24"/>
          <w:shd w:val="clear" w:color="auto" w:fill="FFFFFF"/>
        </w:rPr>
        <w:t xml:space="preserve"> 3</w:t>
      </w:r>
      <w:r w:rsidR="00522769">
        <w:rPr>
          <w:rFonts w:ascii="Arial" w:hAnsi="Arial" w:cs="Arial"/>
          <w:sz w:val="24"/>
          <w:szCs w:val="24"/>
          <w:shd w:val="clear" w:color="auto" w:fill="FFFFFF"/>
        </w:rPr>
        <w:t>,</w:t>
      </w:r>
      <w:r w:rsidR="006C464D">
        <w:rPr>
          <w:rFonts w:ascii="Arial" w:hAnsi="Arial" w:cs="Arial"/>
          <w:sz w:val="24"/>
          <w:szCs w:val="24"/>
          <w:shd w:val="clear" w:color="auto" w:fill="FFFFFF"/>
        </w:rPr>
        <w:t xml:space="preserve"> </w:t>
      </w:r>
      <w:r w:rsidRPr="00344CDE" w:rsidR="00522769">
        <w:rPr>
          <w:rFonts w:ascii="Arial" w:hAnsi="Arial" w:cs="Arial"/>
          <w:sz w:val="24"/>
          <w:szCs w:val="24"/>
          <w:shd w:val="clear" w:color="auto" w:fill="FFFFFF"/>
        </w:rPr>
        <w:t xml:space="preserve"> </w:t>
      </w:r>
      <w:r w:rsidRPr="00344CDE" w:rsidR="5AEF7451">
        <w:rPr>
          <w:rFonts w:ascii="Arial" w:hAnsi="Arial" w:cs="Arial"/>
          <w:sz w:val="24"/>
          <w:szCs w:val="24"/>
        </w:rPr>
        <w:t>Ex.</w:t>
      </w:r>
      <w:r w:rsidRPr="00344CDE" w:rsidR="00522769">
        <w:rPr>
          <w:rFonts w:ascii="Arial" w:hAnsi="Arial" w:cs="Arial"/>
          <w:sz w:val="24"/>
          <w:szCs w:val="24"/>
          <w:shd w:val="clear" w:color="auto" w:fill="FFFFFF"/>
        </w:rPr>
        <w:t xml:space="preserve"> DMR-2.  </w:t>
      </w:r>
      <w:r w:rsidRPr="00B62F05" w:rsidR="00EB6964">
        <w:rPr>
          <w:rFonts w:ascii="Arial" w:hAnsi="Arial" w:cs="Arial"/>
          <w:sz w:val="24"/>
          <w:szCs w:val="24"/>
          <w:shd w:val="clear" w:color="auto" w:fill="FFFFFF"/>
        </w:rPr>
        <w:t xml:space="preserve">Second, </w:t>
      </w:r>
      <w:r w:rsidRPr="00B62F05" w:rsidR="00980EE9">
        <w:rPr>
          <w:rFonts w:ascii="Arial" w:hAnsi="Arial" w:cs="Arial"/>
          <w:sz w:val="24"/>
          <w:szCs w:val="24"/>
          <w:shd w:val="clear" w:color="auto" w:fill="FFFFFF"/>
        </w:rPr>
        <w:t>this statement is nothing more than speculation, as its loose use of the word “would” suggests.  T</w:t>
      </w:r>
      <w:r w:rsidRPr="00B62F05" w:rsidR="00776AF1">
        <w:rPr>
          <w:rFonts w:ascii="Arial" w:hAnsi="Arial" w:cs="Arial"/>
          <w:sz w:val="24"/>
          <w:szCs w:val="24"/>
          <w:shd w:val="clear" w:color="auto" w:fill="FFFFFF"/>
        </w:rPr>
        <w:t xml:space="preserve">he Staff did not attempt to estimate </w:t>
      </w:r>
      <w:r w:rsidRPr="00B62F05" w:rsidR="00980EE9">
        <w:rPr>
          <w:rFonts w:ascii="Arial" w:hAnsi="Arial" w:cs="Arial"/>
          <w:sz w:val="24"/>
          <w:szCs w:val="24"/>
          <w:shd w:val="clear" w:color="auto" w:fill="FFFFFF"/>
        </w:rPr>
        <w:t xml:space="preserve">independently </w:t>
      </w:r>
      <w:r w:rsidRPr="00B62F05" w:rsidR="00776AF1">
        <w:rPr>
          <w:rFonts w:ascii="Arial" w:hAnsi="Arial" w:cs="Arial"/>
          <w:sz w:val="24"/>
          <w:szCs w:val="24"/>
          <w:shd w:val="clear" w:color="auto" w:fill="FFFFFF"/>
        </w:rPr>
        <w:t xml:space="preserve">the costs that should be assigned or allocated to the Retail </w:t>
      </w:r>
      <w:r w:rsidRPr="00F80C8F" w:rsidR="00776AF1">
        <w:rPr>
          <w:rFonts w:ascii="Arial" w:hAnsi="Arial" w:cs="Arial"/>
          <w:sz w:val="24"/>
          <w:szCs w:val="24"/>
          <w:shd w:val="clear" w:color="auto" w:fill="FFFFFF"/>
        </w:rPr>
        <w:t>Reconciliation Rider for recovery</w:t>
      </w:r>
      <w:r w:rsidRPr="00F80C8F" w:rsidR="00980EE9">
        <w:rPr>
          <w:rFonts w:ascii="Arial" w:hAnsi="Arial" w:cs="Arial"/>
          <w:sz w:val="24"/>
          <w:szCs w:val="24"/>
          <w:shd w:val="clear" w:color="auto" w:fill="FFFFFF"/>
        </w:rPr>
        <w:t xml:space="preserve"> and therefore could not conclude that costs of the two services were equal or </w:t>
      </w:r>
      <w:r w:rsidRPr="00F80C8F">
        <w:rPr>
          <w:rFonts w:ascii="Arial" w:hAnsi="Arial" w:cs="Arial"/>
          <w:sz w:val="24"/>
          <w:szCs w:val="24"/>
          <w:shd w:val="clear" w:color="auto" w:fill="FFFFFF"/>
        </w:rPr>
        <w:t>different</w:t>
      </w:r>
      <w:r w:rsidRPr="00F80C8F" w:rsidR="00776AF1">
        <w:rPr>
          <w:rFonts w:ascii="Arial" w:hAnsi="Arial" w:cs="Arial"/>
          <w:sz w:val="24"/>
          <w:szCs w:val="24"/>
          <w:shd w:val="clear" w:color="auto" w:fill="FFFFFF"/>
        </w:rPr>
        <w:t xml:space="preserve">.  Tr. at </w:t>
      </w:r>
      <w:r w:rsidRPr="00F80C8F">
        <w:rPr>
          <w:rFonts w:ascii="Arial" w:hAnsi="Arial" w:cs="Arial"/>
          <w:sz w:val="24"/>
          <w:szCs w:val="24"/>
          <w:shd w:val="clear" w:color="auto" w:fill="FFFFFF"/>
        </w:rPr>
        <w:t>362</w:t>
      </w:r>
      <w:r w:rsidRPr="00F80C8F" w:rsidR="00776AF1">
        <w:rPr>
          <w:rFonts w:ascii="Arial" w:hAnsi="Arial" w:cs="Arial"/>
          <w:sz w:val="24"/>
          <w:szCs w:val="24"/>
          <w:shd w:val="clear" w:color="auto" w:fill="FFFFFF"/>
        </w:rPr>
        <w:t xml:space="preserve">.  </w:t>
      </w:r>
    </w:p>
    <w:p w:rsidRPr="00F80C8F" w:rsidR="00816C5B" w:rsidP="00F80C8F" w:rsidRDefault="00816C5B" w14:paraId="344BF33E" w14:textId="0DFCA5AA">
      <w:pPr>
        <w:pStyle w:val="Heading3"/>
        <w:numPr>
          <w:ilvl w:val="0"/>
          <w:numId w:val="6"/>
        </w:numPr>
        <w:rPr>
          <w:b/>
          <w:shd w:val="clear" w:color="auto" w:fill="FFFFFF"/>
        </w:rPr>
      </w:pPr>
      <w:bookmarkStart w:name="_Toc73104533" w:id="28"/>
      <w:bookmarkStart w:name="_Toc74573088" w:id="29"/>
      <w:r w:rsidRPr="00F80C8F">
        <w:rPr>
          <w:b/>
          <w:shd w:val="clear" w:color="auto" w:fill="FFFFFF"/>
        </w:rPr>
        <w:t xml:space="preserve">The Commission should populate the </w:t>
      </w:r>
      <w:r w:rsidRPr="00F80C8F" w:rsidR="001128CB">
        <w:rPr>
          <w:b/>
          <w:shd w:val="clear" w:color="auto" w:fill="FFFFFF"/>
        </w:rPr>
        <w:t>Retail Reconciliation Rider and SSO Credit Rider</w:t>
      </w:r>
      <w:r w:rsidRPr="00F80C8F">
        <w:rPr>
          <w:b/>
          <w:shd w:val="clear" w:color="auto" w:fill="FFFFFF"/>
        </w:rPr>
        <w:t xml:space="preserve"> at rates that reflect the costs to provide standard service</w:t>
      </w:r>
      <w:r w:rsidR="005764C5">
        <w:rPr>
          <w:b/>
          <w:shd w:val="clear" w:color="auto" w:fill="FFFFFF"/>
        </w:rPr>
        <w:t xml:space="preserve"> offer</w:t>
      </w:r>
      <w:r w:rsidRPr="00F80C8F" w:rsidR="00957549">
        <w:rPr>
          <w:b/>
          <w:shd w:val="clear" w:color="auto" w:fill="FFFFFF"/>
        </w:rPr>
        <w:t>.</w:t>
      </w:r>
      <w:bookmarkEnd w:id="28"/>
      <w:bookmarkEnd w:id="29"/>
    </w:p>
    <w:p w:rsidRPr="00F80C8F" w:rsidR="002D5C6F" w:rsidP="000E52BF" w:rsidRDefault="007D51C1" w14:paraId="2725188A" w14:textId="3C378A88">
      <w:pPr>
        <w:spacing w:after="0" w:line="480" w:lineRule="auto"/>
        <w:ind w:firstLine="720"/>
        <w:jc w:val="both"/>
        <w:rPr>
          <w:rFonts w:ascii="Arial" w:hAnsi="Arial" w:cs="Arial"/>
          <w:sz w:val="24"/>
          <w:szCs w:val="24"/>
          <w:shd w:val="clear" w:color="auto" w:fill="FFFFFF"/>
        </w:rPr>
      </w:pPr>
      <w:r w:rsidRPr="00F80C8F">
        <w:rPr>
          <w:rFonts w:ascii="Arial" w:hAnsi="Arial" w:cs="Arial"/>
          <w:sz w:val="24"/>
          <w:szCs w:val="24"/>
          <w:shd w:val="clear" w:color="auto" w:fill="FFFFFF"/>
        </w:rPr>
        <w:t xml:space="preserve">Under the second and third prongs of the </w:t>
      </w:r>
      <w:r w:rsidRPr="00F80C8F" w:rsidR="0B760E73">
        <w:rPr>
          <w:rFonts w:ascii="Arial" w:hAnsi="Arial" w:cs="Arial"/>
          <w:sz w:val="24"/>
          <w:szCs w:val="24"/>
          <w:shd w:val="clear" w:color="auto" w:fill="FFFFFF"/>
        </w:rPr>
        <w:t>three-part</w:t>
      </w:r>
      <w:r w:rsidRPr="00F80C8F">
        <w:rPr>
          <w:rFonts w:ascii="Arial" w:hAnsi="Arial" w:cs="Arial"/>
          <w:sz w:val="24"/>
          <w:szCs w:val="24"/>
          <w:shd w:val="clear" w:color="auto" w:fill="FFFFFF"/>
        </w:rPr>
        <w:t xml:space="preserve"> test by which the Commission judges the lawfulness and reasonableness of a </w:t>
      </w:r>
      <w:r w:rsidR="004E784C">
        <w:rPr>
          <w:rFonts w:ascii="Arial" w:hAnsi="Arial" w:cs="Arial"/>
          <w:sz w:val="24"/>
          <w:szCs w:val="24"/>
          <w:shd w:val="clear" w:color="auto" w:fill="FFFFFF"/>
        </w:rPr>
        <w:t>s</w:t>
      </w:r>
      <w:r w:rsidRPr="00F80C8F">
        <w:rPr>
          <w:rFonts w:ascii="Arial" w:hAnsi="Arial" w:cs="Arial"/>
          <w:sz w:val="24"/>
          <w:szCs w:val="24"/>
          <w:shd w:val="clear" w:color="auto" w:fill="FFFFFF"/>
        </w:rPr>
        <w:t xml:space="preserve">tipulation, the Commission must determine that the </w:t>
      </w:r>
      <w:r w:rsidR="004E784C">
        <w:rPr>
          <w:rFonts w:ascii="Arial" w:hAnsi="Arial" w:cs="Arial"/>
          <w:sz w:val="24"/>
          <w:szCs w:val="24"/>
          <w:shd w:val="clear" w:color="auto" w:fill="FFFFFF"/>
        </w:rPr>
        <w:t>st</w:t>
      </w:r>
      <w:r w:rsidRPr="00F80C8F">
        <w:rPr>
          <w:rFonts w:ascii="Arial" w:hAnsi="Arial" w:cs="Arial"/>
          <w:sz w:val="24"/>
          <w:szCs w:val="24"/>
          <w:shd w:val="clear" w:color="auto" w:fill="FFFFFF"/>
        </w:rPr>
        <w:t xml:space="preserve">ipulation as a package benefits customers and the public interest </w:t>
      </w:r>
      <w:r w:rsidRPr="00F80C8F">
        <w:rPr>
          <w:rFonts w:ascii="Arial" w:hAnsi="Arial" w:cs="Arial"/>
          <w:sz w:val="24"/>
          <w:szCs w:val="24"/>
          <w:shd w:val="clear" w:color="auto" w:fill="FFFFFF"/>
        </w:rPr>
        <w:lastRenderedPageBreak/>
        <w:t xml:space="preserve">and does not violate any important regulatory principles.  For the reasons discussed above, the provision of the Stipulation setting the </w:t>
      </w:r>
      <w:r w:rsidRPr="00F80C8F" w:rsidR="00316D48">
        <w:rPr>
          <w:rFonts w:ascii="Arial" w:hAnsi="Arial" w:cs="Arial"/>
          <w:sz w:val="24"/>
          <w:szCs w:val="24"/>
          <w:shd w:val="clear" w:color="auto" w:fill="FFFFFF"/>
        </w:rPr>
        <w:t>R</w:t>
      </w:r>
      <w:r w:rsidR="00316D48">
        <w:rPr>
          <w:rFonts w:ascii="Arial" w:hAnsi="Arial" w:cs="Arial"/>
          <w:sz w:val="24"/>
          <w:szCs w:val="24"/>
          <w:shd w:val="clear" w:color="auto" w:fill="FFFFFF"/>
        </w:rPr>
        <w:t xml:space="preserve">etail </w:t>
      </w:r>
      <w:r w:rsidR="00DE2A2B">
        <w:rPr>
          <w:rFonts w:ascii="Arial" w:hAnsi="Arial" w:cs="Arial"/>
          <w:sz w:val="24"/>
          <w:szCs w:val="24"/>
          <w:shd w:val="clear" w:color="auto" w:fill="FFFFFF"/>
        </w:rPr>
        <w:t>Reconciliation</w:t>
      </w:r>
      <w:r w:rsidR="00316D48">
        <w:rPr>
          <w:rFonts w:ascii="Arial" w:hAnsi="Arial" w:cs="Arial"/>
          <w:sz w:val="24"/>
          <w:szCs w:val="24"/>
          <w:shd w:val="clear" w:color="auto" w:fill="FFFFFF"/>
        </w:rPr>
        <w:t xml:space="preserve"> Rider </w:t>
      </w:r>
      <w:r w:rsidRPr="00F80C8F">
        <w:rPr>
          <w:rFonts w:ascii="Arial" w:hAnsi="Arial" w:cs="Arial"/>
          <w:sz w:val="24"/>
          <w:szCs w:val="24"/>
          <w:shd w:val="clear" w:color="auto" w:fill="FFFFFF"/>
        </w:rPr>
        <w:t>and SSO Credit Rider at zero does not satisfy either prong.</w:t>
      </w:r>
      <w:r w:rsidRPr="00F80C8F" w:rsidR="00816C5B">
        <w:rPr>
          <w:rFonts w:ascii="Arial" w:hAnsi="Arial" w:cs="Arial"/>
          <w:sz w:val="24"/>
          <w:szCs w:val="24"/>
          <w:shd w:val="clear" w:color="auto" w:fill="FFFFFF"/>
        </w:rPr>
        <w:t xml:space="preserve">  </w:t>
      </w:r>
      <w:r w:rsidRPr="00F80C8F" w:rsidR="002D5C6F">
        <w:rPr>
          <w:rFonts w:ascii="Arial" w:hAnsi="Arial" w:cs="Arial"/>
          <w:sz w:val="24"/>
          <w:szCs w:val="24"/>
          <w:shd w:val="clear" w:color="auto" w:fill="FFFFFF"/>
        </w:rPr>
        <w:t>It violates Ohio law, it rests on a denial of agreed facts and sound economic policy, and it undermines outcomes the Commission is directed to ensure.  Accordingly, the Commission has a ground for rejecting the Stipulation and the Staff Report’s recommendation to set the Retail Reconciliation Rider and SSO Credit Rider at zero.</w:t>
      </w:r>
    </w:p>
    <w:p w:rsidRPr="00B62F05" w:rsidR="00957549" w:rsidP="006C6192" w:rsidRDefault="00816C5B" w14:paraId="60C9A68E" w14:textId="5DE2C83E">
      <w:pPr>
        <w:spacing w:after="0" w:line="480" w:lineRule="auto"/>
        <w:ind w:firstLine="720"/>
        <w:jc w:val="both"/>
        <w:rPr>
          <w:rFonts w:ascii="Arial" w:hAnsi="Arial" w:cs="Arial"/>
          <w:sz w:val="24"/>
          <w:szCs w:val="24"/>
          <w:shd w:val="clear" w:color="auto" w:fill="FFFFFF"/>
        </w:rPr>
      </w:pPr>
      <w:r w:rsidRPr="00F80C8F">
        <w:rPr>
          <w:rFonts w:ascii="Arial" w:hAnsi="Arial" w:cs="Arial"/>
          <w:sz w:val="24"/>
          <w:szCs w:val="24"/>
          <w:shd w:val="clear" w:color="auto" w:fill="FFFFFF"/>
        </w:rPr>
        <w:t>Rather than rejecting the Stipulation, however, the Commission may elect to modify it</w:t>
      </w:r>
      <w:r w:rsidRPr="00B62F05">
        <w:rPr>
          <w:rFonts w:ascii="Arial" w:hAnsi="Arial" w:cs="Arial"/>
          <w:sz w:val="24"/>
          <w:szCs w:val="24"/>
          <w:shd w:val="clear" w:color="auto" w:fill="FFFFFF"/>
        </w:rPr>
        <w:t xml:space="preserve">.  In this instance, </w:t>
      </w:r>
      <w:r w:rsidRPr="00B62F05" w:rsidR="002D5C6F">
        <w:rPr>
          <w:rFonts w:ascii="Arial" w:hAnsi="Arial" w:cs="Arial"/>
          <w:sz w:val="24"/>
          <w:szCs w:val="24"/>
          <w:shd w:val="clear" w:color="auto" w:fill="FFFFFF"/>
        </w:rPr>
        <w:t>the record supports</w:t>
      </w:r>
      <w:r w:rsidRPr="00B62F05">
        <w:rPr>
          <w:rFonts w:ascii="Arial" w:hAnsi="Arial" w:cs="Arial"/>
          <w:sz w:val="24"/>
          <w:szCs w:val="24"/>
          <w:shd w:val="clear" w:color="auto" w:fill="FFFFFF"/>
        </w:rPr>
        <w:t xml:space="preserve"> the recommendation of IGS and Direct to set the Retail Reconciliation Rider at </w:t>
      </w:r>
      <w:r w:rsidRPr="00B62F05" w:rsidR="00327E6F">
        <w:rPr>
          <w:rFonts w:ascii="Arial" w:hAnsi="Arial" w:cs="Arial"/>
          <w:sz w:val="24"/>
          <w:szCs w:val="24"/>
          <w:shd w:val="clear" w:color="auto" w:fill="FFFFFF"/>
        </w:rPr>
        <w:t>$0.0057/</w:t>
      </w:r>
      <w:proofErr w:type="spellStart"/>
      <w:r w:rsidRPr="00B62F05" w:rsidR="00327E6F">
        <w:rPr>
          <w:rFonts w:ascii="Arial" w:hAnsi="Arial" w:cs="Arial"/>
          <w:sz w:val="24"/>
          <w:szCs w:val="24"/>
          <w:shd w:val="clear" w:color="auto" w:fill="FFFFFF"/>
        </w:rPr>
        <w:t>KWh</w:t>
      </w:r>
      <w:proofErr w:type="spellEnd"/>
      <w:r w:rsidRPr="00B62F05">
        <w:rPr>
          <w:rFonts w:ascii="Arial" w:hAnsi="Arial" w:cs="Arial"/>
          <w:sz w:val="24"/>
          <w:szCs w:val="24"/>
          <w:shd w:val="clear" w:color="auto" w:fill="FFFFFF"/>
        </w:rPr>
        <w:t xml:space="preserve"> and the SSO Credit Rider at </w:t>
      </w:r>
      <w:r w:rsidRPr="00B62F05" w:rsidR="00327E6F">
        <w:rPr>
          <w:rFonts w:ascii="Arial" w:hAnsi="Arial" w:cs="Arial"/>
          <w:sz w:val="24"/>
          <w:szCs w:val="24"/>
          <w:shd w:val="clear" w:color="auto" w:fill="FFFFFF"/>
        </w:rPr>
        <w:t>$0.0015/</w:t>
      </w:r>
      <w:proofErr w:type="spellStart"/>
      <w:r w:rsidRPr="00B62F05" w:rsidR="00327E6F">
        <w:rPr>
          <w:rFonts w:ascii="Arial" w:hAnsi="Arial" w:cs="Arial"/>
          <w:sz w:val="24"/>
          <w:szCs w:val="24"/>
          <w:shd w:val="clear" w:color="auto" w:fill="FFFFFF"/>
        </w:rPr>
        <w:t>KWh</w:t>
      </w:r>
      <w:proofErr w:type="spellEnd"/>
      <w:r w:rsidR="00DE2A2B">
        <w:rPr>
          <w:rFonts w:ascii="Arial" w:hAnsi="Arial" w:cs="Arial"/>
          <w:sz w:val="24"/>
          <w:szCs w:val="24"/>
          <w:shd w:val="clear" w:color="auto" w:fill="FFFFFF"/>
        </w:rPr>
        <w:t>,</w:t>
      </w:r>
      <w:r w:rsidRPr="00B62F05" w:rsidR="002D5C6F">
        <w:rPr>
          <w:rFonts w:ascii="Arial" w:hAnsi="Arial" w:cs="Arial"/>
          <w:sz w:val="24"/>
          <w:szCs w:val="24"/>
          <w:shd w:val="clear" w:color="auto" w:fill="FFFFFF"/>
        </w:rPr>
        <w:t xml:space="preserve"> </w:t>
      </w:r>
      <w:r w:rsidR="00DE2A2B">
        <w:rPr>
          <w:rFonts w:ascii="Arial" w:hAnsi="Arial" w:cs="Arial"/>
          <w:sz w:val="24"/>
          <w:szCs w:val="24"/>
          <w:shd w:val="clear" w:color="auto" w:fill="FFFFFF"/>
        </w:rPr>
        <w:t>s</w:t>
      </w:r>
      <w:r w:rsidRPr="00B62F05" w:rsidR="002D5C6F">
        <w:rPr>
          <w:rFonts w:ascii="Arial" w:hAnsi="Arial" w:cs="Arial"/>
          <w:sz w:val="24"/>
          <w:szCs w:val="24"/>
          <w:shd w:val="clear" w:color="auto" w:fill="FFFFFF"/>
        </w:rPr>
        <w:t>o that the distribution rates approved in this case conform with Ohio law, the agreed facts, and sound regulatory principles.</w:t>
      </w:r>
    </w:p>
    <w:p w:rsidRPr="00B62F05" w:rsidR="008359E7" w:rsidP="00B62F05" w:rsidRDefault="008359E7" w14:paraId="55AF8F5B" w14:textId="7BEB140F">
      <w:pPr>
        <w:pStyle w:val="Heading2"/>
        <w:numPr>
          <w:ilvl w:val="0"/>
          <w:numId w:val="15"/>
        </w:numPr>
        <w:rPr>
          <w:color w:val="auto"/>
        </w:rPr>
      </w:pPr>
      <w:bookmarkStart w:name="_Toc74573089" w:id="30"/>
      <w:r w:rsidRPr="00B62F05">
        <w:rPr>
          <w:color w:val="auto"/>
        </w:rPr>
        <w:t>Approval of the Stipulation would continue the assessment of non-cost-based fees solely</w:t>
      </w:r>
      <w:r w:rsidRPr="00B62F05" w:rsidR="00094803">
        <w:rPr>
          <w:color w:val="auto"/>
        </w:rPr>
        <w:t xml:space="preserve"> on</w:t>
      </w:r>
      <w:r w:rsidRPr="00B62F05">
        <w:rPr>
          <w:color w:val="auto"/>
        </w:rPr>
        <w:t xml:space="preserve"> CRES providers, violating important regulatory principles.</w:t>
      </w:r>
      <w:bookmarkEnd w:id="30"/>
      <w:r w:rsidRPr="00B62F05">
        <w:rPr>
          <w:color w:val="auto"/>
        </w:rPr>
        <w:t xml:space="preserve"> </w:t>
      </w:r>
    </w:p>
    <w:p w:rsidRPr="007F2348" w:rsidR="008359E7" w:rsidP="00A028D6" w:rsidRDefault="00F0791A" w14:paraId="7A88EF38" w14:textId="482DF048">
      <w:pPr>
        <w:spacing w:after="0" w:line="48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While t</w:t>
      </w:r>
      <w:r w:rsidRPr="00B62F05" w:rsidR="008359E7">
        <w:rPr>
          <w:rFonts w:ascii="Arial" w:hAnsi="Arial" w:cs="Arial"/>
          <w:sz w:val="24"/>
          <w:szCs w:val="24"/>
          <w:shd w:val="clear" w:color="auto" w:fill="FFFFFF"/>
        </w:rPr>
        <w:t xml:space="preserve">he Stipulation not only proposes that SSO-related costs be recovered through distribution rates, it </w:t>
      </w:r>
      <w:r>
        <w:rPr>
          <w:rFonts w:ascii="Arial" w:hAnsi="Arial" w:cs="Arial"/>
          <w:sz w:val="24"/>
          <w:szCs w:val="24"/>
          <w:shd w:val="clear" w:color="auto" w:fill="FFFFFF"/>
        </w:rPr>
        <w:t>also</w:t>
      </w:r>
      <w:r w:rsidR="008359E7">
        <w:rPr>
          <w:rFonts w:ascii="Arial" w:hAnsi="Arial" w:cs="Arial"/>
          <w:sz w:val="24"/>
          <w:szCs w:val="24"/>
          <w:shd w:val="clear" w:color="auto" w:fill="FFFFFF"/>
        </w:rPr>
        <w:t xml:space="preserve"> </w:t>
      </w:r>
      <w:r w:rsidRPr="00B62F05" w:rsidR="008359E7">
        <w:rPr>
          <w:rFonts w:ascii="Arial" w:hAnsi="Arial" w:cs="Arial"/>
          <w:sz w:val="24"/>
          <w:szCs w:val="24"/>
          <w:shd w:val="clear" w:color="auto" w:fill="FFFFFF"/>
        </w:rPr>
        <w:t xml:space="preserve">proposes to continue to impose multiple fees solely upon CRES providers and their customers. Specifically, a CRES provider is assessed a $5 switching fee every time a customer is enrolled with the CRES provider, with limited </w:t>
      </w:r>
      <w:r w:rsidRPr="00F546F8" w:rsidR="008359E7">
        <w:rPr>
          <w:rFonts w:ascii="Arial" w:hAnsi="Arial" w:cs="Arial"/>
          <w:sz w:val="24"/>
          <w:szCs w:val="24"/>
          <w:shd w:val="clear" w:color="auto" w:fill="FFFFFF"/>
        </w:rPr>
        <w:t xml:space="preserve">exception, yet there is no fee to Ohio Power or the customer each and every time the customer switches to the SSO. </w:t>
      </w:r>
      <w:r w:rsidRPr="00F546F8" w:rsidR="000BF01C">
        <w:rPr>
          <w:rFonts w:ascii="Arial" w:hAnsi="Arial" w:cs="Arial"/>
          <w:sz w:val="24"/>
          <w:szCs w:val="24"/>
        </w:rPr>
        <w:t>IGS/Direct Ex. 2</w:t>
      </w:r>
      <w:r w:rsidRPr="00F546F8" w:rsidR="008359E7">
        <w:rPr>
          <w:rFonts w:ascii="Arial" w:hAnsi="Arial" w:cs="Arial"/>
          <w:sz w:val="24"/>
          <w:szCs w:val="24"/>
          <w:shd w:val="clear" w:color="auto" w:fill="FFFFFF"/>
        </w:rPr>
        <w:t xml:space="preserve"> at 46, </w:t>
      </w:r>
      <w:r w:rsidRPr="00B62F05" w:rsidR="008359E7">
        <w:rPr>
          <w:rFonts w:ascii="Arial" w:hAnsi="Arial" w:cs="Arial"/>
          <w:i/>
          <w:sz w:val="24"/>
          <w:szCs w:val="24"/>
          <w:shd w:val="clear" w:color="auto" w:fill="FFFFFF"/>
        </w:rPr>
        <w:t>citing</w:t>
      </w:r>
      <w:r w:rsidRPr="00F546F8" w:rsidR="008359E7">
        <w:rPr>
          <w:rFonts w:ascii="Arial" w:hAnsi="Arial" w:cs="Arial"/>
          <w:sz w:val="24"/>
          <w:szCs w:val="24"/>
          <w:shd w:val="clear" w:color="auto" w:fill="FFFFFF"/>
        </w:rPr>
        <w:t xml:space="preserve"> Ohio Power Company Terms and Conditions of Open Access Distribution Service</w:t>
      </w:r>
      <w:r w:rsidR="00952205">
        <w:rPr>
          <w:rFonts w:ascii="Arial" w:hAnsi="Arial" w:cs="Arial"/>
          <w:sz w:val="24"/>
          <w:szCs w:val="24"/>
          <w:shd w:val="clear" w:color="auto" w:fill="FFFFFF"/>
        </w:rPr>
        <w:t xml:space="preserve"> (“Ohio Power Tariff”)</w:t>
      </w:r>
      <w:r w:rsidRPr="00F546F8" w:rsidR="008359E7">
        <w:rPr>
          <w:rFonts w:ascii="Arial" w:hAnsi="Arial" w:cs="Arial"/>
          <w:sz w:val="24"/>
          <w:szCs w:val="24"/>
          <w:shd w:val="clear" w:color="auto" w:fill="FFFFFF"/>
        </w:rPr>
        <w:t>, Sec</w:t>
      </w:r>
      <w:r w:rsidR="008359E7">
        <w:rPr>
          <w:rFonts w:ascii="Arial" w:hAnsi="Arial" w:cs="Arial"/>
          <w:sz w:val="24"/>
          <w:szCs w:val="24"/>
          <w:shd w:val="clear" w:color="auto" w:fill="FFFFFF"/>
        </w:rPr>
        <w:t>tion</w:t>
      </w:r>
      <w:r w:rsidRPr="00F546F8" w:rsidR="008359E7">
        <w:rPr>
          <w:rFonts w:ascii="Arial" w:hAnsi="Arial" w:cs="Arial"/>
          <w:sz w:val="24"/>
          <w:szCs w:val="24"/>
          <w:shd w:val="clear" w:color="auto" w:fill="FFFFFF"/>
        </w:rPr>
        <w:t xml:space="preserve"> 32.8(b</w:t>
      </w:r>
      <w:r w:rsidR="00265097">
        <w:rPr>
          <w:rFonts w:ascii="Arial" w:hAnsi="Arial" w:cs="Arial"/>
          <w:sz w:val="24"/>
          <w:szCs w:val="24"/>
          <w:shd w:val="clear" w:color="auto" w:fill="FFFFFF"/>
        </w:rPr>
        <w:t>)</w:t>
      </w:r>
      <w:r w:rsidRPr="00F546F8" w:rsidR="008359E7">
        <w:rPr>
          <w:rFonts w:ascii="Arial" w:hAnsi="Arial" w:cs="Arial"/>
          <w:sz w:val="24"/>
          <w:szCs w:val="24"/>
          <w:shd w:val="clear" w:color="auto" w:fill="FFFFFF"/>
        </w:rPr>
        <w:t xml:space="preserve"> </w:t>
      </w:r>
      <w:r w:rsidR="00265097">
        <w:rPr>
          <w:rFonts w:ascii="Arial" w:hAnsi="Arial" w:cs="Arial"/>
          <w:sz w:val="24"/>
          <w:szCs w:val="24"/>
          <w:shd w:val="clear" w:color="auto" w:fill="FFFFFF"/>
        </w:rPr>
        <w:t>(e</w:t>
      </w:r>
      <w:r w:rsidRPr="00F546F8" w:rsidR="008359E7">
        <w:rPr>
          <w:rFonts w:ascii="Arial" w:hAnsi="Arial" w:cs="Arial"/>
          <w:sz w:val="24"/>
          <w:szCs w:val="24"/>
          <w:shd w:val="clear" w:color="auto" w:fill="FFFFFF"/>
        </w:rPr>
        <w:t>ff</w:t>
      </w:r>
      <w:r w:rsidR="00265097">
        <w:rPr>
          <w:rFonts w:ascii="Arial" w:hAnsi="Arial" w:cs="Arial"/>
          <w:sz w:val="24"/>
          <w:szCs w:val="24"/>
          <w:shd w:val="clear" w:color="auto" w:fill="FFFFFF"/>
        </w:rPr>
        <w:t>.</w:t>
      </w:r>
      <w:r w:rsidRPr="00F546F8" w:rsidR="008359E7">
        <w:rPr>
          <w:rFonts w:ascii="Arial" w:hAnsi="Arial" w:cs="Arial"/>
          <w:sz w:val="24"/>
          <w:szCs w:val="24"/>
          <w:shd w:val="clear" w:color="auto" w:fill="FFFFFF"/>
        </w:rPr>
        <w:t xml:space="preserve"> May 3, 2019</w:t>
      </w:r>
      <w:r w:rsidR="00265097">
        <w:rPr>
          <w:rFonts w:ascii="Arial" w:hAnsi="Arial" w:cs="Arial"/>
          <w:sz w:val="24"/>
          <w:szCs w:val="24"/>
          <w:shd w:val="clear" w:color="auto" w:fill="FFFFFF"/>
        </w:rPr>
        <w:t>)</w:t>
      </w:r>
      <w:r w:rsidRPr="00F546F8" w:rsidR="008359E7">
        <w:rPr>
          <w:rFonts w:ascii="Arial" w:hAnsi="Arial" w:cs="Arial"/>
          <w:sz w:val="24"/>
          <w:szCs w:val="24"/>
          <w:shd w:val="clear" w:color="auto" w:fill="FFFFFF"/>
        </w:rPr>
        <w:t xml:space="preserve">; Tr. at 160. Both actions are providing the same service, changing the customer’s generation supplier, and both can only be effectuated by one entity, Ohio Power, yet only certain generation suppliers are charged a fee. </w:t>
      </w:r>
      <w:r w:rsidRPr="00F546F8" w:rsidR="6327ECA8">
        <w:rPr>
          <w:rFonts w:ascii="Arial" w:hAnsi="Arial" w:cs="Arial"/>
          <w:sz w:val="24"/>
          <w:szCs w:val="24"/>
        </w:rPr>
        <w:t>IGS/Direct Ex. 2</w:t>
      </w:r>
      <w:r w:rsidRPr="00F546F8" w:rsidR="008359E7">
        <w:rPr>
          <w:rFonts w:ascii="Arial" w:hAnsi="Arial" w:cs="Arial"/>
          <w:sz w:val="24"/>
          <w:szCs w:val="24"/>
          <w:shd w:val="clear" w:color="auto" w:fill="FFFFFF"/>
        </w:rPr>
        <w:t xml:space="preserve"> at 46-</w:t>
      </w:r>
      <w:r w:rsidRPr="00F546F8" w:rsidR="008359E7">
        <w:rPr>
          <w:rFonts w:ascii="Arial" w:hAnsi="Arial" w:cs="Arial"/>
          <w:sz w:val="24"/>
          <w:szCs w:val="24"/>
          <w:shd w:val="clear" w:color="auto" w:fill="FFFFFF"/>
        </w:rPr>
        <w:lastRenderedPageBreak/>
        <w:t xml:space="preserve">47. Additionally, a CRES provider is assessed annual registration fee and a fee to access certain interval data. </w:t>
      </w:r>
      <w:r w:rsidRPr="00F546F8" w:rsidR="00F546F8">
        <w:rPr>
          <w:rFonts w:ascii="Arial" w:hAnsi="Arial" w:cs="Arial"/>
          <w:i/>
          <w:iCs/>
          <w:sz w:val="24"/>
          <w:szCs w:val="24"/>
        </w:rPr>
        <w:t>Id</w:t>
      </w:r>
      <w:r w:rsidRPr="007F2348" w:rsidR="00F546F8">
        <w:rPr>
          <w:rFonts w:ascii="Arial" w:hAnsi="Arial" w:cs="Arial"/>
          <w:sz w:val="24"/>
          <w:szCs w:val="24"/>
        </w:rPr>
        <w:t>.</w:t>
      </w:r>
      <w:r w:rsidRPr="0019700E" w:rsidR="008359E7">
        <w:rPr>
          <w:rFonts w:ascii="Arial" w:hAnsi="Arial" w:cs="Arial"/>
          <w:sz w:val="24"/>
          <w:szCs w:val="24"/>
          <w:shd w:val="clear" w:color="auto" w:fill="FFFFFF"/>
        </w:rPr>
        <w:t>,</w:t>
      </w:r>
      <w:r w:rsidRPr="00F546F8" w:rsidR="008359E7">
        <w:rPr>
          <w:rFonts w:ascii="Arial" w:hAnsi="Arial" w:cs="Arial"/>
          <w:i/>
          <w:sz w:val="24"/>
          <w:szCs w:val="24"/>
          <w:shd w:val="clear" w:color="auto" w:fill="FFFFFF"/>
        </w:rPr>
        <w:t xml:space="preserve"> </w:t>
      </w:r>
      <w:r w:rsidRPr="007F2348" w:rsidR="008359E7">
        <w:rPr>
          <w:rFonts w:ascii="Arial" w:hAnsi="Arial" w:cs="Arial"/>
          <w:i/>
          <w:sz w:val="24"/>
          <w:szCs w:val="24"/>
          <w:shd w:val="clear" w:color="auto" w:fill="FFFFFF"/>
        </w:rPr>
        <w:t>citing</w:t>
      </w:r>
      <w:r w:rsidR="008359E7">
        <w:rPr>
          <w:rFonts w:ascii="Arial" w:hAnsi="Arial" w:cs="Arial"/>
          <w:i/>
          <w:sz w:val="24"/>
          <w:szCs w:val="24"/>
          <w:shd w:val="clear" w:color="auto" w:fill="FFFFFF"/>
        </w:rPr>
        <w:t xml:space="preserve"> </w:t>
      </w:r>
      <w:r w:rsidRPr="007F2348" w:rsidR="00952205">
        <w:rPr>
          <w:rFonts w:ascii="Arial" w:hAnsi="Arial" w:cs="Arial"/>
          <w:sz w:val="24"/>
          <w:szCs w:val="24"/>
          <w:shd w:val="clear" w:color="auto" w:fill="FFFFFF"/>
        </w:rPr>
        <w:t>Ohio Power Tariff,</w:t>
      </w:r>
      <w:r w:rsidRPr="00C97CD1" w:rsidR="008359E7">
        <w:rPr>
          <w:rFonts w:ascii="Arial" w:hAnsi="Arial" w:cs="Arial"/>
          <w:sz w:val="24"/>
          <w:szCs w:val="24"/>
          <w:shd w:val="clear" w:color="auto" w:fill="FFFFFF"/>
        </w:rPr>
        <w:t xml:space="preserve"> </w:t>
      </w:r>
      <w:r w:rsidRPr="007F2348" w:rsidR="00C97CD1">
        <w:rPr>
          <w:rFonts w:ascii="Arial" w:hAnsi="Arial" w:cs="Arial"/>
          <w:sz w:val="24"/>
          <w:szCs w:val="24"/>
          <w:shd w:val="clear" w:color="auto" w:fill="FFFFFF"/>
        </w:rPr>
        <w:t>Sec</w:t>
      </w:r>
      <w:r w:rsidR="0019700E">
        <w:rPr>
          <w:rFonts w:ascii="Arial" w:hAnsi="Arial" w:cs="Arial"/>
          <w:sz w:val="24"/>
          <w:szCs w:val="24"/>
          <w:shd w:val="clear" w:color="auto" w:fill="FFFFFF"/>
        </w:rPr>
        <w:t>tions</w:t>
      </w:r>
      <w:r w:rsidR="008359E7">
        <w:rPr>
          <w:rFonts w:ascii="Arial" w:hAnsi="Arial" w:cs="Arial"/>
          <w:sz w:val="24"/>
          <w:szCs w:val="24"/>
          <w:shd w:val="clear" w:color="auto" w:fill="FFFFFF"/>
        </w:rPr>
        <w:t xml:space="preserve"> </w:t>
      </w:r>
      <w:r w:rsidRPr="007F2348" w:rsidR="008359E7">
        <w:rPr>
          <w:rFonts w:ascii="Arial" w:hAnsi="Arial" w:cs="Arial"/>
          <w:sz w:val="24"/>
          <w:szCs w:val="24"/>
          <w:shd w:val="clear" w:color="auto" w:fill="FFFFFF"/>
        </w:rPr>
        <w:t>27, 32.22 (m)</w:t>
      </w:r>
      <w:r w:rsidR="00C97CD1">
        <w:rPr>
          <w:rFonts w:ascii="Arial" w:hAnsi="Arial" w:cs="Arial"/>
          <w:sz w:val="24"/>
          <w:szCs w:val="24"/>
          <w:shd w:val="clear" w:color="auto" w:fill="FFFFFF"/>
        </w:rPr>
        <w:t>.</w:t>
      </w:r>
      <w:r w:rsidRPr="007F2348" w:rsidR="008359E7">
        <w:rPr>
          <w:rFonts w:ascii="Arial" w:hAnsi="Arial" w:cs="Arial"/>
          <w:sz w:val="24"/>
          <w:szCs w:val="24"/>
          <w:shd w:val="clear" w:color="auto" w:fill="FFFFFF"/>
        </w:rPr>
        <w:t xml:space="preserve"> </w:t>
      </w:r>
    </w:p>
    <w:p w:rsidRPr="007F2348" w:rsidR="008359E7" w:rsidP="00A028D6" w:rsidRDefault="008359E7" w14:paraId="724E2868" w14:textId="182B1CD5">
      <w:pPr>
        <w:spacing w:after="0" w:line="480" w:lineRule="auto"/>
        <w:ind w:firstLine="720"/>
        <w:jc w:val="both"/>
        <w:rPr>
          <w:rFonts w:ascii="Arial" w:hAnsi="Arial" w:cs="Arial"/>
          <w:sz w:val="24"/>
          <w:szCs w:val="24"/>
          <w:shd w:val="clear" w:color="auto" w:fill="FFFFFF"/>
        </w:rPr>
      </w:pPr>
      <w:r w:rsidRPr="007F2348">
        <w:rPr>
          <w:rFonts w:ascii="Arial" w:hAnsi="Arial" w:cs="Arial"/>
          <w:sz w:val="24"/>
          <w:szCs w:val="24"/>
          <w:shd w:val="clear" w:color="auto" w:fill="FFFFFF"/>
        </w:rPr>
        <w:t xml:space="preserve">Thus, the Stipulation </w:t>
      </w:r>
      <w:r w:rsidR="00F80C8F">
        <w:rPr>
          <w:rFonts w:ascii="Arial" w:hAnsi="Arial" w:cs="Arial"/>
          <w:sz w:val="24"/>
          <w:szCs w:val="24"/>
          <w:shd w:val="clear" w:color="auto" w:fill="FFFFFF"/>
        </w:rPr>
        <w:t>continues</w:t>
      </w:r>
      <w:r w:rsidRPr="007F2348">
        <w:rPr>
          <w:rFonts w:ascii="Arial" w:hAnsi="Arial" w:cs="Arial"/>
          <w:sz w:val="24"/>
          <w:szCs w:val="24"/>
          <w:shd w:val="clear" w:color="auto" w:fill="FFFFFF"/>
        </w:rPr>
        <w:t xml:space="preserve"> a paradigm that turns Ohio law upside down: the costs of monopoly-based noncompetitive services are recovered only from shopping customers, and costs to support competitive SSO services are socialized. </w:t>
      </w:r>
      <w:r w:rsidR="003E1129">
        <w:rPr>
          <w:rFonts w:ascii="Arial" w:hAnsi="Arial" w:cs="Arial"/>
          <w:sz w:val="24"/>
          <w:szCs w:val="24"/>
          <w:shd w:val="clear" w:color="auto" w:fill="FFFFFF"/>
        </w:rPr>
        <w:t>Additionally</w:t>
      </w:r>
      <w:r w:rsidRPr="007F2348">
        <w:rPr>
          <w:rFonts w:ascii="Arial" w:hAnsi="Arial" w:cs="Arial"/>
          <w:sz w:val="24"/>
          <w:szCs w:val="24"/>
          <w:shd w:val="clear" w:color="auto" w:fill="FFFFFF"/>
        </w:rPr>
        <w:t xml:space="preserve">, Ohio Power has not provided any </w:t>
      </w:r>
      <w:r w:rsidR="00034EB5">
        <w:rPr>
          <w:rFonts w:ascii="Arial" w:hAnsi="Arial" w:cs="Arial"/>
          <w:sz w:val="24"/>
          <w:szCs w:val="24"/>
          <w:shd w:val="clear" w:color="auto" w:fill="FFFFFF"/>
        </w:rPr>
        <w:t xml:space="preserve">evidentiary </w:t>
      </w:r>
      <w:r w:rsidRPr="007F2348">
        <w:rPr>
          <w:rFonts w:ascii="Arial" w:hAnsi="Arial" w:cs="Arial"/>
          <w:sz w:val="24"/>
          <w:szCs w:val="24"/>
          <w:shd w:val="clear" w:color="auto" w:fill="FFFFFF"/>
        </w:rPr>
        <w:t>support to justify</w:t>
      </w:r>
      <w:r>
        <w:rPr>
          <w:rFonts w:ascii="Arial" w:hAnsi="Arial" w:cs="Arial"/>
          <w:sz w:val="24"/>
          <w:szCs w:val="24"/>
          <w:shd w:val="clear" w:color="auto" w:fill="FFFFFF"/>
        </w:rPr>
        <w:t xml:space="preserve"> </w:t>
      </w:r>
      <w:r w:rsidR="009F3C5F">
        <w:rPr>
          <w:rFonts w:ascii="Arial" w:hAnsi="Arial" w:cs="Arial"/>
          <w:sz w:val="24"/>
          <w:szCs w:val="24"/>
          <w:shd w:val="clear" w:color="auto" w:fill="FFFFFF"/>
        </w:rPr>
        <w:t>the imposition</w:t>
      </w:r>
      <w:r w:rsidRPr="007F2348">
        <w:rPr>
          <w:rFonts w:ascii="Arial" w:hAnsi="Arial" w:cs="Arial"/>
          <w:sz w:val="24"/>
          <w:szCs w:val="24"/>
          <w:shd w:val="clear" w:color="auto" w:fill="FFFFFF"/>
        </w:rPr>
        <w:t xml:space="preserve"> </w:t>
      </w:r>
      <w:r w:rsidR="001D5152">
        <w:rPr>
          <w:rFonts w:ascii="Arial" w:hAnsi="Arial" w:cs="Arial"/>
          <w:sz w:val="24"/>
          <w:szCs w:val="24"/>
          <w:shd w:val="clear" w:color="auto" w:fill="FFFFFF"/>
        </w:rPr>
        <w:t xml:space="preserve">or amount of </w:t>
      </w:r>
      <w:r w:rsidRPr="007F2348">
        <w:rPr>
          <w:rFonts w:ascii="Arial" w:hAnsi="Arial" w:cs="Arial"/>
          <w:sz w:val="24"/>
          <w:szCs w:val="24"/>
          <w:shd w:val="clear" w:color="auto" w:fill="FFFFFF"/>
        </w:rPr>
        <w:t>these fees</w:t>
      </w:r>
      <w:r w:rsidR="009F3C5F">
        <w:rPr>
          <w:rFonts w:ascii="Arial" w:hAnsi="Arial" w:cs="Arial"/>
          <w:sz w:val="24"/>
          <w:szCs w:val="24"/>
          <w:shd w:val="clear" w:color="auto" w:fill="FFFFFF"/>
        </w:rPr>
        <w:t>.</w:t>
      </w:r>
      <w:r w:rsidR="003D4AD0">
        <w:rPr>
          <w:rFonts w:ascii="Arial" w:hAnsi="Arial" w:cs="Arial"/>
          <w:sz w:val="24"/>
          <w:szCs w:val="24"/>
          <w:shd w:val="clear" w:color="auto" w:fill="FFFFFF"/>
        </w:rPr>
        <w:t xml:space="preserve"> </w:t>
      </w:r>
      <w:r w:rsidRPr="007F2348">
        <w:rPr>
          <w:rFonts w:ascii="Arial" w:hAnsi="Arial" w:cs="Arial"/>
          <w:sz w:val="24"/>
          <w:szCs w:val="24"/>
          <w:shd w:val="clear" w:color="auto" w:fill="FFFFFF"/>
        </w:rPr>
        <w:t xml:space="preserve">This is </w:t>
      </w:r>
      <w:r w:rsidRPr="00B62F05">
        <w:rPr>
          <w:rFonts w:ascii="Arial" w:hAnsi="Arial" w:cs="Arial"/>
          <w:sz w:val="24"/>
          <w:szCs w:val="24"/>
          <w:shd w:val="clear" w:color="auto" w:fill="FFFFFF"/>
        </w:rPr>
        <w:t xml:space="preserve">further </w:t>
      </w:r>
      <w:r w:rsidR="00C76433">
        <w:rPr>
          <w:rFonts w:ascii="Arial" w:hAnsi="Arial" w:cs="Arial"/>
          <w:sz w:val="24"/>
          <w:szCs w:val="24"/>
          <w:shd w:val="clear" w:color="auto" w:fill="FFFFFF"/>
        </w:rPr>
        <w:t>exacerbating</w:t>
      </w:r>
      <w:r w:rsidRPr="00B62F05">
        <w:rPr>
          <w:rFonts w:ascii="Arial" w:hAnsi="Arial" w:cs="Arial"/>
          <w:sz w:val="24"/>
          <w:szCs w:val="24"/>
          <w:shd w:val="clear" w:color="auto" w:fill="FFFFFF"/>
        </w:rPr>
        <w:t xml:space="preserve"> the </w:t>
      </w:r>
      <w:r w:rsidRPr="007F2348">
        <w:rPr>
          <w:rFonts w:ascii="Arial" w:hAnsi="Arial" w:cs="Arial"/>
          <w:sz w:val="24"/>
          <w:szCs w:val="24"/>
          <w:shd w:val="clear" w:color="auto" w:fill="FFFFFF"/>
        </w:rPr>
        <w:t>harm to shopping customers, and the Commission should direct Ohio Power to eliminate these CRES fees.</w:t>
      </w:r>
    </w:p>
    <w:p w:rsidRPr="007F2348" w:rsidR="008359E7" w:rsidP="00F16A49" w:rsidRDefault="008359E7" w14:paraId="7E27D7D3" w14:textId="5B331E3C">
      <w:pPr>
        <w:pStyle w:val="Heading3"/>
        <w:numPr>
          <w:ilvl w:val="0"/>
          <w:numId w:val="20"/>
        </w:numPr>
        <w:rPr>
          <w:b/>
          <w:shd w:val="clear" w:color="auto" w:fill="FFFFFF"/>
        </w:rPr>
      </w:pPr>
      <w:bookmarkStart w:name="_Toc74573090" w:id="31"/>
      <w:r w:rsidRPr="007F2348">
        <w:rPr>
          <w:b/>
          <w:shd w:val="clear" w:color="auto" w:fill="FFFFFF"/>
        </w:rPr>
        <w:t xml:space="preserve">Ohio Power </w:t>
      </w:r>
      <w:r w:rsidRPr="007F2348" w:rsidR="00554661">
        <w:rPr>
          <w:b/>
          <w:shd w:val="clear" w:color="auto" w:fill="FFFFFF"/>
        </w:rPr>
        <w:t>has not</w:t>
      </w:r>
      <w:r w:rsidRPr="007F2348">
        <w:rPr>
          <w:b/>
          <w:shd w:val="clear" w:color="auto" w:fill="FFFFFF"/>
        </w:rPr>
        <w:t xml:space="preserve"> identif</w:t>
      </w:r>
      <w:r w:rsidRPr="007F2348" w:rsidR="00554661">
        <w:rPr>
          <w:b/>
          <w:shd w:val="clear" w:color="auto" w:fill="FFFFFF"/>
        </w:rPr>
        <w:t>ied</w:t>
      </w:r>
      <w:r w:rsidRPr="007F2348">
        <w:rPr>
          <w:b/>
          <w:shd w:val="clear" w:color="auto" w:fill="FFFFFF"/>
        </w:rPr>
        <w:t xml:space="preserve"> any costs associated with these fees.</w:t>
      </w:r>
      <w:bookmarkEnd w:id="31"/>
      <w:r w:rsidRPr="007F2348">
        <w:rPr>
          <w:b/>
          <w:shd w:val="clear" w:color="auto" w:fill="FFFFFF"/>
        </w:rPr>
        <w:t xml:space="preserve"> </w:t>
      </w:r>
    </w:p>
    <w:p w:rsidRPr="007F2348" w:rsidR="00B0241B" w:rsidP="007F2348" w:rsidRDefault="00B0241B" w14:paraId="1969DBEE" w14:textId="44F15A0A">
      <w:pPr>
        <w:pStyle w:val="NoSpacing"/>
        <w:spacing w:line="480" w:lineRule="auto"/>
        <w:ind w:firstLine="720"/>
        <w:jc w:val="both"/>
        <w:rPr>
          <w:rFonts w:ascii="Arial" w:hAnsi="Arial" w:cs="Arial"/>
          <w:sz w:val="24"/>
          <w:szCs w:val="24"/>
        </w:rPr>
      </w:pPr>
      <w:r w:rsidRPr="007F2348">
        <w:rPr>
          <w:rFonts w:ascii="Arial" w:hAnsi="Arial" w:cs="Arial"/>
          <w:sz w:val="24"/>
          <w:szCs w:val="24"/>
        </w:rPr>
        <w:t>In a distribution rate case, “the burden of proof to show that the increased rates or charges are just and reasonable shall be on the public utility.” R.C. 4909.18</w:t>
      </w:r>
      <w:r w:rsidR="004B092D">
        <w:rPr>
          <w:rFonts w:ascii="Arial" w:hAnsi="Arial" w:cs="Arial"/>
          <w:sz w:val="24"/>
          <w:szCs w:val="24"/>
        </w:rPr>
        <w:t>;</w:t>
      </w:r>
      <w:r w:rsidRPr="007F2348">
        <w:rPr>
          <w:rFonts w:ascii="Arial" w:hAnsi="Arial" w:cs="Arial"/>
          <w:sz w:val="24"/>
          <w:szCs w:val="24"/>
        </w:rPr>
        <w:t xml:space="preserve"> R.C. 4909.19(C)</w:t>
      </w:r>
      <w:r w:rsidR="004B092D">
        <w:rPr>
          <w:rFonts w:ascii="Arial" w:hAnsi="Arial" w:cs="Arial"/>
          <w:sz w:val="24"/>
          <w:szCs w:val="24"/>
        </w:rPr>
        <w:t xml:space="preserve">; </w:t>
      </w:r>
      <w:r w:rsidRPr="007F2348">
        <w:rPr>
          <w:rFonts w:ascii="Arial" w:hAnsi="Arial" w:cs="Arial"/>
          <w:i/>
          <w:sz w:val="24"/>
          <w:szCs w:val="24"/>
        </w:rPr>
        <w:t>Ohio Edison Co. v. Pub. Util. Comm.,</w:t>
      </w:r>
      <w:r w:rsidRPr="007F2348">
        <w:rPr>
          <w:rFonts w:ascii="Arial" w:hAnsi="Arial" w:cs="Arial"/>
          <w:sz w:val="24"/>
          <w:szCs w:val="24"/>
        </w:rPr>
        <w:t xml:space="preserve"> 63 Ohio St.3d 555 (1992); </w:t>
      </w:r>
      <w:r w:rsidRPr="007F2348">
        <w:rPr>
          <w:rFonts w:ascii="Arial" w:hAnsi="Arial" w:cs="Arial"/>
          <w:i/>
          <w:sz w:val="24"/>
          <w:szCs w:val="24"/>
        </w:rPr>
        <w:t>Cincinnati Bell Tel. Co. v. Pub. Util. Comm.,</w:t>
      </w:r>
      <w:r w:rsidRPr="007F2348">
        <w:rPr>
          <w:rFonts w:ascii="Arial" w:hAnsi="Arial" w:cs="Arial"/>
          <w:sz w:val="24"/>
          <w:szCs w:val="24"/>
        </w:rPr>
        <w:t xml:space="preserve"> 12 Ohio St.3d 280, 287 (1984) (Cincinnati Bell “failed to sustain its burden of proof when it offered no testimony before the commission on the issue of its requested budget adjustment.”) </w:t>
      </w:r>
    </w:p>
    <w:p w:rsidR="00C34DF2" w:rsidP="004B092D" w:rsidRDefault="00B0241B" w14:paraId="546BFA6B" w14:textId="2ABE4745">
      <w:pPr>
        <w:pStyle w:val="NoSpacing"/>
        <w:spacing w:line="480" w:lineRule="auto"/>
        <w:ind w:firstLine="720"/>
        <w:jc w:val="both"/>
        <w:rPr>
          <w:rFonts w:ascii="Arial" w:hAnsi="Arial" w:cs="Arial"/>
          <w:sz w:val="24"/>
          <w:szCs w:val="24"/>
        </w:rPr>
      </w:pPr>
      <w:r w:rsidRPr="007F2348">
        <w:rPr>
          <w:rFonts w:ascii="Arial" w:hAnsi="Arial" w:cs="Arial"/>
          <w:sz w:val="24"/>
          <w:szCs w:val="24"/>
        </w:rPr>
        <w:t>For purposes of determining whether an</w:t>
      </w:r>
      <w:r w:rsidR="00FE5404">
        <w:rPr>
          <w:rFonts w:ascii="Arial" w:hAnsi="Arial" w:cs="Arial"/>
          <w:sz w:val="24"/>
          <w:szCs w:val="24"/>
        </w:rPr>
        <w:t xml:space="preserve"> electric distribution utility’s (“</w:t>
      </w:r>
      <w:r w:rsidRPr="007F2348">
        <w:rPr>
          <w:rFonts w:ascii="Arial" w:hAnsi="Arial" w:cs="Arial"/>
          <w:sz w:val="24"/>
          <w:szCs w:val="24"/>
        </w:rPr>
        <w:t>EDU’s</w:t>
      </w:r>
      <w:r w:rsidR="00FE5404">
        <w:rPr>
          <w:rFonts w:ascii="Arial" w:hAnsi="Arial" w:cs="Arial"/>
          <w:sz w:val="24"/>
          <w:szCs w:val="24"/>
        </w:rPr>
        <w:t>”)</w:t>
      </w:r>
      <w:r w:rsidRPr="007F2348">
        <w:rPr>
          <w:rFonts w:ascii="Arial" w:hAnsi="Arial" w:cs="Arial"/>
          <w:sz w:val="24"/>
          <w:szCs w:val="24"/>
        </w:rPr>
        <w:t xml:space="preserve"> rates are just and reasonable, the </w:t>
      </w:r>
      <w:r w:rsidR="00B1259C">
        <w:rPr>
          <w:rFonts w:ascii="Arial" w:hAnsi="Arial" w:cs="Arial"/>
          <w:sz w:val="24"/>
          <w:szCs w:val="24"/>
        </w:rPr>
        <w:t>Commission must determine</w:t>
      </w:r>
      <w:r w:rsidR="000B0401">
        <w:rPr>
          <w:rFonts w:ascii="Arial" w:hAnsi="Arial" w:cs="Arial"/>
          <w:sz w:val="24"/>
          <w:szCs w:val="24"/>
        </w:rPr>
        <w:t xml:space="preserve"> the </w:t>
      </w:r>
      <w:r w:rsidRPr="00891C28" w:rsidR="00891C28">
        <w:rPr>
          <w:rFonts w:ascii="Arial" w:hAnsi="Arial" w:cs="Arial"/>
          <w:sz w:val="24"/>
          <w:szCs w:val="24"/>
        </w:rPr>
        <w:t>cost of rendering service</w:t>
      </w:r>
      <w:r w:rsidR="005A527E">
        <w:rPr>
          <w:rFonts w:ascii="Arial" w:hAnsi="Arial" w:cs="Arial"/>
          <w:sz w:val="24"/>
          <w:szCs w:val="24"/>
        </w:rPr>
        <w:t xml:space="preserve"> </w:t>
      </w:r>
      <w:r w:rsidRPr="00891C28" w:rsidR="00383A1C">
        <w:rPr>
          <w:rFonts w:ascii="Arial" w:hAnsi="Arial" w:cs="Arial"/>
          <w:sz w:val="24"/>
          <w:szCs w:val="24"/>
        </w:rPr>
        <w:t xml:space="preserve">to the utility </w:t>
      </w:r>
      <w:r w:rsidRPr="00891C28" w:rsidR="00891C28">
        <w:rPr>
          <w:rFonts w:ascii="Arial" w:hAnsi="Arial" w:cs="Arial"/>
          <w:sz w:val="24"/>
          <w:szCs w:val="24"/>
        </w:rPr>
        <w:t>for the test perio</w:t>
      </w:r>
      <w:r w:rsidR="00B71272">
        <w:rPr>
          <w:rFonts w:ascii="Arial" w:hAnsi="Arial" w:cs="Arial"/>
          <w:sz w:val="24"/>
          <w:szCs w:val="24"/>
        </w:rPr>
        <w:t>d</w:t>
      </w:r>
      <w:r w:rsidR="005A527E">
        <w:rPr>
          <w:rFonts w:ascii="Arial" w:hAnsi="Arial" w:cs="Arial"/>
          <w:sz w:val="24"/>
          <w:szCs w:val="24"/>
        </w:rPr>
        <w:t>, including its revenues and expenses.</w:t>
      </w:r>
      <w:r w:rsidRPr="00891C28" w:rsidR="005A527E">
        <w:rPr>
          <w:rFonts w:ascii="Arial" w:hAnsi="Arial" w:cs="Arial"/>
          <w:sz w:val="24"/>
          <w:szCs w:val="24"/>
        </w:rPr>
        <w:t xml:space="preserve"> </w:t>
      </w:r>
      <w:r w:rsidRPr="007F2348">
        <w:rPr>
          <w:rFonts w:ascii="Arial" w:hAnsi="Arial" w:cs="Arial"/>
          <w:sz w:val="24"/>
          <w:szCs w:val="24"/>
        </w:rPr>
        <w:t xml:space="preserve"> </w:t>
      </w:r>
      <w:r w:rsidR="00B71272">
        <w:rPr>
          <w:rFonts w:ascii="Arial" w:hAnsi="Arial" w:cs="Arial"/>
          <w:sz w:val="24"/>
          <w:szCs w:val="24"/>
        </w:rPr>
        <w:t>R.C. 4905.15(A)(4)</w:t>
      </w:r>
      <w:r w:rsidR="00171601">
        <w:rPr>
          <w:rFonts w:ascii="Arial" w:hAnsi="Arial" w:cs="Arial"/>
          <w:sz w:val="24"/>
          <w:szCs w:val="24"/>
        </w:rPr>
        <w:t xml:space="preserve">, </w:t>
      </w:r>
      <w:r w:rsidRPr="007F2348">
        <w:rPr>
          <w:rFonts w:ascii="Arial" w:hAnsi="Arial" w:cs="Arial"/>
          <w:sz w:val="24"/>
          <w:szCs w:val="24"/>
        </w:rPr>
        <w:t xml:space="preserve">(C)(1). The EDU may receive an allowance for “the normal, recurring expenses incurred by </w:t>
      </w:r>
      <w:proofErr w:type="spellStart"/>
      <w:r w:rsidRPr="007F2348">
        <w:rPr>
          <w:rFonts w:ascii="Arial" w:hAnsi="Arial" w:cs="Arial"/>
          <w:sz w:val="24"/>
          <w:szCs w:val="24"/>
        </w:rPr>
        <w:t>utilit</w:t>
      </w:r>
      <w:proofErr w:type="spellEnd"/>
      <w:r w:rsidRPr="007F2348">
        <w:rPr>
          <w:rFonts w:ascii="Arial" w:hAnsi="Arial" w:cs="Arial"/>
          <w:sz w:val="24"/>
          <w:szCs w:val="24"/>
        </w:rPr>
        <w:t xml:space="preserve">[y] in the course of rendering service to the public for the test period.” </w:t>
      </w:r>
      <w:r w:rsidRPr="007F2348">
        <w:rPr>
          <w:rFonts w:ascii="Arial" w:hAnsi="Arial" w:cs="Arial"/>
          <w:i/>
          <w:sz w:val="24"/>
          <w:szCs w:val="24"/>
        </w:rPr>
        <w:t>Office of Consumers’ Counsel v. Pub. Util. Comm.,</w:t>
      </w:r>
      <w:r w:rsidRPr="007F2348">
        <w:rPr>
          <w:rFonts w:ascii="Arial" w:hAnsi="Arial" w:cs="Arial"/>
          <w:sz w:val="24"/>
          <w:szCs w:val="24"/>
        </w:rPr>
        <w:t xml:space="preserve"> 67 Ohio St.2d 153 (1981)</w:t>
      </w:r>
      <w:r w:rsidR="000631ED">
        <w:rPr>
          <w:rFonts w:ascii="Arial" w:hAnsi="Arial" w:cs="Arial"/>
          <w:sz w:val="24"/>
          <w:szCs w:val="24"/>
        </w:rPr>
        <w:t xml:space="preserve">, </w:t>
      </w:r>
      <w:r w:rsidRPr="007F2348">
        <w:rPr>
          <w:rFonts w:ascii="Arial" w:hAnsi="Arial" w:cs="Arial"/>
          <w:sz w:val="24"/>
          <w:szCs w:val="24"/>
        </w:rPr>
        <w:t>citing R.C. 4909.15(A)(4)</w:t>
      </w:r>
      <w:r w:rsidR="002C6FFA">
        <w:rPr>
          <w:rFonts w:ascii="Arial" w:hAnsi="Arial" w:cs="Arial"/>
          <w:sz w:val="24"/>
          <w:szCs w:val="24"/>
        </w:rPr>
        <w:t xml:space="preserve">, </w:t>
      </w:r>
      <w:r w:rsidRPr="007F2348">
        <w:rPr>
          <w:rFonts w:ascii="Arial" w:hAnsi="Arial" w:cs="Arial"/>
          <w:sz w:val="24"/>
          <w:szCs w:val="24"/>
        </w:rPr>
        <w:t xml:space="preserve">(C)(1). To the extent that revenues “received by the utility during the test year are less than the gross annual revenues to which the utility is entitled, the </w:t>
      </w:r>
      <w:r w:rsidRPr="007F2348">
        <w:rPr>
          <w:rFonts w:ascii="Arial" w:hAnsi="Arial" w:cs="Arial"/>
          <w:sz w:val="24"/>
          <w:szCs w:val="24"/>
        </w:rPr>
        <w:lastRenderedPageBreak/>
        <w:t xml:space="preserve">commission is required to fix new rates that will raise the necessary revenue.” </w:t>
      </w:r>
      <w:r w:rsidRPr="007F2348">
        <w:rPr>
          <w:rFonts w:ascii="Arial" w:hAnsi="Arial" w:cs="Arial"/>
          <w:i/>
          <w:sz w:val="24"/>
          <w:szCs w:val="24"/>
        </w:rPr>
        <w:t>Cincinnati Gas &amp; Elec. v. Pub. Util. Comm.,</w:t>
      </w:r>
      <w:r w:rsidRPr="007F2348">
        <w:rPr>
          <w:rFonts w:ascii="Arial" w:hAnsi="Arial" w:cs="Arial"/>
          <w:sz w:val="24"/>
          <w:szCs w:val="24"/>
        </w:rPr>
        <w:t xml:space="preserve"> 86 Ohio St.3d 53, 62 (1999). </w:t>
      </w:r>
    </w:p>
    <w:p w:rsidRPr="007F2348" w:rsidR="00012C1C" w:rsidP="007F2348" w:rsidRDefault="00C34DF2" w14:paraId="160F8B2F" w14:textId="51418E46">
      <w:pPr>
        <w:pStyle w:val="NoSpacing"/>
        <w:spacing w:line="480" w:lineRule="auto"/>
        <w:ind w:firstLine="720"/>
        <w:jc w:val="both"/>
        <w:rPr>
          <w:rFonts w:ascii="Arial" w:hAnsi="Arial" w:cs="Arial"/>
          <w:sz w:val="24"/>
          <w:szCs w:val="24"/>
        </w:rPr>
      </w:pPr>
      <w:r>
        <w:rPr>
          <w:rFonts w:ascii="Arial" w:hAnsi="Arial" w:cs="Arial"/>
          <w:sz w:val="24"/>
          <w:szCs w:val="24"/>
        </w:rPr>
        <w:t xml:space="preserve">In this proceeding, </w:t>
      </w:r>
      <w:r w:rsidR="000C521B">
        <w:rPr>
          <w:rFonts w:ascii="Arial" w:hAnsi="Arial" w:cs="Arial"/>
          <w:sz w:val="24"/>
          <w:szCs w:val="24"/>
        </w:rPr>
        <w:t xml:space="preserve">the </w:t>
      </w:r>
      <w:r w:rsidR="0018703C">
        <w:rPr>
          <w:rFonts w:ascii="Arial" w:hAnsi="Arial" w:cs="Arial"/>
          <w:sz w:val="24"/>
          <w:szCs w:val="24"/>
        </w:rPr>
        <w:t xml:space="preserve">expenses </w:t>
      </w:r>
      <w:r w:rsidR="004F5C26">
        <w:rPr>
          <w:rFonts w:ascii="Arial" w:hAnsi="Arial" w:cs="Arial"/>
          <w:sz w:val="24"/>
          <w:szCs w:val="24"/>
        </w:rPr>
        <w:t>incurred</w:t>
      </w:r>
      <w:r w:rsidR="000C521B">
        <w:rPr>
          <w:rFonts w:ascii="Arial" w:hAnsi="Arial" w:cs="Arial"/>
          <w:sz w:val="24"/>
          <w:szCs w:val="24"/>
        </w:rPr>
        <w:t xml:space="preserve"> by </w:t>
      </w:r>
      <w:r w:rsidRPr="002A2739" w:rsidR="000C521B">
        <w:rPr>
          <w:rFonts w:ascii="Arial" w:hAnsi="Arial" w:cs="Arial"/>
          <w:sz w:val="24"/>
          <w:szCs w:val="24"/>
        </w:rPr>
        <w:t>Ohio Power</w:t>
      </w:r>
      <w:r w:rsidR="004F5C26">
        <w:rPr>
          <w:rFonts w:ascii="Arial" w:hAnsi="Arial" w:cs="Arial"/>
          <w:sz w:val="24"/>
          <w:szCs w:val="24"/>
        </w:rPr>
        <w:t xml:space="preserve"> to</w:t>
      </w:r>
      <w:r w:rsidRPr="007F2348" w:rsidR="00B0241B">
        <w:rPr>
          <w:rFonts w:ascii="Arial" w:hAnsi="Arial" w:cs="Arial"/>
          <w:sz w:val="24"/>
          <w:szCs w:val="24"/>
        </w:rPr>
        <w:t xml:space="preserve"> provid</w:t>
      </w:r>
      <w:r w:rsidR="004F5C26">
        <w:rPr>
          <w:rFonts w:ascii="Arial" w:hAnsi="Arial" w:cs="Arial"/>
          <w:sz w:val="24"/>
          <w:szCs w:val="24"/>
        </w:rPr>
        <w:t>e</w:t>
      </w:r>
      <w:r w:rsidRPr="007F2348" w:rsidR="00B0241B">
        <w:rPr>
          <w:rFonts w:ascii="Arial" w:hAnsi="Arial" w:cs="Arial"/>
          <w:sz w:val="24"/>
          <w:szCs w:val="24"/>
        </w:rPr>
        <w:t xml:space="preserve"> services to CRES providers are embedded in the test year expense</w:t>
      </w:r>
      <w:r w:rsidR="00114E0F">
        <w:rPr>
          <w:rFonts w:ascii="Arial" w:hAnsi="Arial" w:cs="Arial"/>
          <w:sz w:val="24"/>
          <w:szCs w:val="24"/>
        </w:rPr>
        <w:t>s</w:t>
      </w:r>
      <w:r w:rsidRPr="007F2348" w:rsidR="00B0241B">
        <w:rPr>
          <w:rFonts w:ascii="Arial" w:hAnsi="Arial" w:cs="Arial"/>
          <w:sz w:val="24"/>
          <w:szCs w:val="24"/>
        </w:rPr>
        <w:t>. Likewise, the revenues that Ohio Power receives from CRES providers are embedded in Ohio Power’s test year revenue</w:t>
      </w:r>
      <w:r w:rsidR="00114E0F">
        <w:rPr>
          <w:rFonts w:ascii="Arial" w:hAnsi="Arial" w:cs="Arial"/>
          <w:sz w:val="24"/>
          <w:szCs w:val="24"/>
        </w:rPr>
        <w:t>s</w:t>
      </w:r>
      <w:r w:rsidRPr="007F2348" w:rsidR="00B0241B">
        <w:rPr>
          <w:rFonts w:ascii="Arial" w:hAnsi="Arial" w:cs="Arial"/>
          <w:sz w:val="24"/>
          <w:szCs w:val="24"/>
        </w:rPr>
        <w:t xml:space="preserve">. </w:t>
      </w:r>
      <w:r w:rsidR="0050612F">
        <w:rPr>
          <w:rFonts w:ascii="Arial" w:hAnsi="Arial" w:cs="Arial"/>
          <w:sz w:val="24"/>
          <w:szCs w:val="24"/>
        </w:rPr>
        <w:t xml:space="preserve">Staff Ex. 6 at 12. </w:t>
      </w:r>
      <w:r w:rsidR="009139F8">
        <w:rPr>
          <w:rFonts w:ascii="Arial" w:hAnsi="Arial" w:cs="Arial"/>
          <w:sz w:val="24"/>
          <w:szCs w:val="24"/>
        </w:rPr>
        <w:t xml:space="preserve">Thus, in order </w:t>
      </w:r>
      <w:r w:rsidR="008A06D6">
        <w:rPr>
          <w:rFonts w:ascii="Arial" w:hAnsi="Arial" w:cs="Arial"/>
          <w:sz w:val="24"/>
          <w:szCs w:val="24"/>
        </w:rPr>
        <w:t>to</w:t>
      </w:r>
      <w:r w:rsidR="00FA4C8A">
        <w:rPr>
          <w:rFonts w:ascii="Arial" w:hAnsi="Arial" w:cs="Arial"/>
          <w:sz w:val="24"/>
          <w:szCs w:val="24"/>
        </w:rPr>
        <w:t xml:space="preserve"> </w:t>
      </w:r>
      <w:r w:rsidR="009139F8">
        <w:rPr>
          <w:rFonts w:ascii="Arial" w:hAnsi="Arial" w:cs="Arial"/>
          <w:sz w:val="24"/>
          <w:szCs w:val="24"/>
        </w:rPr>
        <w:t xml:space="preserve">determine whether </w:t>
      </w:r>
      <w:r w:rsidR="00730804">
        <w:rPr>
          <w:rFonts w:ascii="Arial" w:hAnsi="Arial" w:cs="Arial"/>
          <w:sz w:val="24"/>
          <w:szCs w:val="24"/>
        </w:rPr>
        <w:t>the</w:t>
      </w:r>
      <w:r w:rsidR="009139F8">
        <w:rPr>
          <w:rFonts w:ascii="Arial" w:hAnsi="Arial" w:cs="Arial"/>
          <w:sz w:val="24"/>
          <w:szCs w:val="24"/>
        </w:rPr>
        <w:t xml:space="preserve"> proposed rates are just and reasonable, </w:t>
      </w:r>
      <w:r w:rsidR="000D2A54">
        <w:rPr>
          <w:rFonts w:ascii="Arial" w:hAnsi="Arial" w:cs="Arial"/>
          <w:sz w:val="24"/>
          <w:szCs w:val="24"/>
        </w:rPr>
        <w:t>there must first be</w:t>
      </w:r>
      <w:r w:rsidR="0085682C">
        <w:rPr>
          <w:rFonts w:ascii="Arial" w:hAnsi="Arial" w:cs="Arial"/>
          <w:sz w:val="24"/>
          <w:szCs w:val="24"/>
        </w:rPr>
        <w:t xml:space="preserve"> </w:t>
      </w:r>
      <w:r w:rsidR="000D2A54">
        <w:rPr>
          <w:rFonts w:ascii="Arial" w:hAnsi="Arial" w:cs="Arial"/>
          <w:sz w:val="24"/>
          <w:szCs w:val="24"/>
        </w:rPr>
        <w:t>a</w:t>
      </w:r>
      <w:r w:rsidR="00186C6D">
        <w:rPr>
          <w:rFonts w:ascii="Arial" w:hAnsi="Arial" w:cs="Arial"/>
          <w:sz w:val="24"/>
          <w:szCs w:val="24"/>
        </w:rPr>
        <w:t xml:space="preserve"> </w:t>
      </w:r>
      <w:r w:rsidR="008934ED">
        <w:rPr>
          <w:rFonts w:ascii="Arial" w:hAnsi="Arial" w:cs="Arial"/>
          <w:sz w:val="24"/>
          <w:szCs w:val="24"/>
        </w:rPr>
        <w:t>determin</w:t>
      </w:r>
      <w:r w:rsidR="000D2A54">
        <w:rPr>
          <w:rFonts w:ascii="Arial" w:hAnsi="Arial" w:cs="Arial"/>
          <w:sz w:val="24"/>
          <w:szCs w:val="24"/>
        </w:rPr>
        <w:t>ation of</w:t>
      </w:r>
      <w:r w:rsidR="008934ED">
        <w:rPr>
          <w:rFonts w:ascii="Arial" w:hAnsi="Arial" w:cs="Arial"/>
          <w:sz w:val="24"/>
          <w:szCs w:val="24"/>
        </w:rPr>
        <w:t xml:space="preserve"> the</w:t>
      </w:r>
      <w:r w:rsidR="000D2A54">
        <w:rPr>
          <w:rFonts w:ascii="Arial" w:hAnsi="Arial" w:cs="Arial"/>
          <w:sz w:val="24"/>
          <w:szCs w:val="24"/>
        </w:rPr>
        <w:t>se</w:t>
      </w:r>
      <w:r w:rsidR="008934ED">
        <w:rPr>
          <w:rFonts w:ascii="Arial" w:hAnsi="Arial" w:cs="Arial"/>
          <w:sz w:val="24"/>
          <w:szCs w:val="24"/>
        </w:rPr>
        <w:t xml:space="preserve"> expenses and revenues during the test year</w:t>
      </w:r>
      <w:r w:rsidR="001D156E">
        <w:rPr>
          <w:rFonts w:ascii="Arial" w:hAnsi="Arial" w:cs="Arial"/>
          <w:sz w:val="24"/>
          <w:szCs w:val="24"/>
        </w:rPr>
        <w:t xml:space="preserve">. </w:t>
      </w:r>
      <w:r w:rsidRPr="002A2739" w:rsidR="001D156E">
        <w:rPr>
          <w:rFonts w:ascii="Arial" w:hAnsi="Arial" w:cs="Arial"/>
          <w:sz w:val="24"/>
          <w:szCs w:val="24"/>
        </w:rPr>
        <w:t xml:space="preserve">R.C. 4909.15(C)(1). </w:t>
      </w:r>
      <w:r w:rsidR="00F8181F">
        <w:rPr>
          <w:rFonts w:ascii="Arial" w:hAnsi="Arial" w:cs="Arial"/>
          <w:sz w:val="24"/>
          <w:szCs w:val="24"/>
        </w:rPr>
        <w:t xml:space="preserve">However, </w:t>
      </w:r>
      <w:r w:rsidR="009D1A9D">
        <w:rPr>
          <w:rFonts w:ascii="Arial" w:hAnsi="Arial" w:cs="Arial"/>
          <w:sz w:val="24"/>
          <w:szCs w:val="24"/>
        </w:rPr>
        <w:t xml:space="preserve">because </w:t>
      </w:r>
      <w:r w:rsidR="00F8181F">
        <w:rPr>
          <w:rFonts w:ascii="Arial" w:hAnsi="Arial" w:cs="Arial"/>
          <w:sz w:val="24"/>
          <w:szCs w:val="24"/>
        </w:rPr>
        <w:t xml:space="preserve">Ohio Power </w:t>
      </w:r>
      <w:r w:rsidR="009D1A9D">
        <w:rPr>
          <w:rFonts w:ascii="Arial" w:hAnsi="Arial" w:cs="Arial"/>
          <w:sz w:val="24"/>
          <w:szCs w:val="24"/>
        </w:rPr>
        <w:t xml:space="preserve">has failed to </w:t>
      </w:r>
      <w:r w:rsidR="00F8181F">
        <w:rPr>
          <w:rFonts w:ascii="Arial" w:hAnsi="Arial" w:cs="Arial"/>
          <w:sz w:val="24"/>
          <w:szCs w:val="24"/>
        </w:rPr>
        <w:t xml:space="preserve">provide </w:t>
      </w:r>
      <w:r w:rsidR="0085682C">
        <w:rPr>
          <w:rFonts w:ascii="Arial" w:hAnsi="Arial" w:cs="Arial"/>
          <w:sz w:val="24"/>
          <w:szCs w:val="24"/>
        </w:rPr>
        <w:t>any</w:t>
      </w:r>
      <w:r w:rsidR="00F8181F">
        <w:rPr>
          <w:rFonts w:ascii="Arial" w:hAnsi="Arial" w:cs="Arial"/>
          <w:sz w:val="24"/>
          <w:szCs w:val="24"/>
        </w:rPr>
        <w:t xml:space="preserve"> evidentiary support regarding the calculation of the fees</w:t>
      </w:r>
      <w:r w:rsidR="00D553A0">
        <w:rPr>
          <w:rFonts w:ascii="Arial" w:hAnsi="Arial" w:cs="Arial"/>
          <w:sz w:val="24"/>
          <w:szCs w:val="24"/>
        </w:rPr>
        <w:t>,</w:t>
      </w:r>
      <w:r w:rsidR="004123F1">
        <w:rPr>
          <w:rFonts w:ascii="Arial" w:hAnsi="Arial" w:cs="Arial"/>
          <w:sz w:val="24"/>
          <w:szCs w:val="24"/>
        </w:rPr>
        <w:t xml:space="preserve"> </w:t>
      </w:r>
      <w:r w:rsidR="007F5BF4">
        <w:rPr>
          <w:rFonts w:ascii="Arial" w:hAnsi="Arial" w:cs="Arial"/>
          <w:sz w:val="24"/>
          <w:szCs w:val="24"/>
        </w:rPr>
        <w:t xml:space="preserve">Ohio Power has failed </w:t>
      </w:r>
      <w:r w:rsidR="004123F1">
        <w:rPr>
          <w:rFonts w:ascii="Arial" w:hAnsi="Arial" w:cs="Arial"/>
          <w:sz w:val="24"/>
          <w:szCs w:val="24"/>
        </w:rPr>
        <w:t>to demonstrate</w:t>
      </w:r>
      <w:r w:rsidR="00CE792B">
        <w:rPr>
          <w:rFonts w:ascii="Arial" w:hAnsi="Arial" w:cs="Arial"/>
          <w:sz w:val="24"/>
          <w:szCs w:val="24"/>
        </w:rPr>
        <w:t xml:space="preserve"> its CRES fees are just and reasonable. </w:t>
      </w:r>
    </w:p>
    <w:p w:rsidRPr="00555899" w:rsidR="008359E7" w:rsidP="00A028D6" w:rsidRDefault="00C54940" w14:paraId="598FB223" w14:textId="5BB1E5D1">
      <w:pPr>
        <w:spacing w:after="0" w:line="48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Moreover</w:t>
      </w:r>
      <w:r w:rsidR="00706C14">
        <w:rPr>
          <w:rFonts w:ascii="Arial" w:hAnsi="Arial" w:cs="Arial"/>
          <w:sz w:val="24"/>
          <w:szCs w:val="24"/>
          <w:shd w:val="clear" w:color="auto" w:fill="FFFFFF"/>
        </w:rPr>
        <w:t>,</w:t>
      </w:r>
      <w:r w:rsidR="008359E7">
        <w:rPr>
          <w:rFonts w:ascii="Arial" w:hAnsi="Arial" w:cs="Arial"/>
          <w:sz w:val="24"/>
          <w:szCs w:val="24"/>
          <w:shd w:val="clear" w:color="auto" w:fill="FFFFFF"/>
        </w:rPr>
        <w:t xml:space="preserve"> </w:t>
      </w:r>
      <w:r w:rsidRPr="007F2348" w:rsidR="008359E7">
        <w:rPr>
          <w:rFonts w:ascii="Arial" w:hAnsi="Arial" w:cs="Arial"/>
          <w:sz w:val="24"/>
          <w:szCs w:val="24"/>
          <w:shd w:val="clear" w:color="auto" w:fill="FFFFFF"/>
        </w:rPr>
        <w:t xml:space="preserve">in the ESP IV Order, the Commission directed Ohio Power to “analyze, in the rate case, its actual costs associated with the choice program.” ESP IV Order at ¶ 215. </w:t>
      </w:r>
      <w:r w:rsidRPr="00DF4CA5" w:rsidR="008359E7">
        <w:rPr>
          <w:rFonts w:ascii="Arial" w:hAnsi="Arial" w:cs="Arial"/>
          <w:color w:val="222222"/>
          <w:sz w:val="24"/>
          <w:szCs w:val="24"/>
          <w:shd w:val="clear" w:color="auto" w:fill="FFFFFF"/>
        </w:rPr>
        <w:t xml:space="preserve">In </w:t>
      </w:r>
      <w:r w:rsidR="00AA7C0B">
        <w:rPr>
          <w:rFonts w:ascii="Arial" w:hAnsi="Arial" w:cs="Arial"/>
          <w:sz w:val="24"/>
          <w:szCs w:val="24"/>
          <w:shd w:val="clear" w:color="auto" w:fill="FFFFFF"/>
        </w:rPr>
        <w:t>Ohio Power’s</w:t>
      </w:r>
      <w:r w:rsidR="008359E7">
        <w:rPr>
          <w:rFonts w:ascii="Arial" w:hAnsi="Arial" w:cs="Arial"/>
          <w:sz w:val="24"/>
          <w:szCs w:val="24"/>
          <w:shd w:val="clear" w:color="auto" w:fill="FFFFFF"/>
        </w:rPr>
        <w:t xml:space="preserve"> </w:t>
      </w:r>
      <w:r w:rsidRPr="007F2348" w:rsidR="008359E7">
        <w:rPr>
          <w:rFonts w:ascii="Arial" w:hAnsi="Arial" w:cs="Arial"/>
          <w:sz w:val="24"/>
          <w:szCs w:val="24"/>
          <w:shd w:val="clear" w:color="auto" w:fill="FFFFFF"/>
        </w:rPr>
        <w:t xml:space="preserve">analysis submitted in this proceeding, </w:t>
      </w:r>
      <w:r w:rsidRPr="00555899" w:rsidR="008359E7">
        <w:rPr>
          <w:rFonts w:ascii="Arial" w:hAnsi="Arial" w:cs="Arial"/>
          <w:sz w:val="24"/>
          <w:szCs w:val="24"/>
          <w:shd w:val="clear" w:color="auto" w:fill="FFFFFF"/>
        </w:rPr>
        <w:t xml:space="preserve">no costs were identified </w:t>
      </w:r>
      <w:r w:rsidR="007546FB">
        <w:rPr>
          <w:rFonts w:ascii="Arial" w:hAnsi="Arial" w:cs="Arial"/>
          <w:sz w:val="24"/>
          <w:szCs w:val="24"/>
          <w:shd w:val="clear" w:color="auto" w:fill="FFFFFF"/>
        </w:rPr>
        <w:t>for the</w:t>
      </w:r>
      <w:r w:rsidRPr="00555899" w:rsidR="008359E7">
        <w:rPr>
          <w:rFonts w:ascii="Arial" w:hAnsi="Arial" w:cs="Arial"/>
          <w:sz w:val="24"/>
          <w:szCs w:val="24"/>
          <w:shd w:val="clear" w:color="auto" w:fill="FFFFFF"/>
        </w:rPr>
        <w:t xml:space="preserve"> annual</w:t>
      </w:r>
      <w:r w:rsidR="007546FB">
        <w:rPr>
          <w:rFonts w:ascii="Arial" w:hAnsi="Arial" w:cs="Arial"/>
          <w:sz w:val="24"/>
          <w:szCs w:val="24"/>
          <w:shd w:val="clear" w:color="auto" w:fill="FFFFFF"/>
        </w:rPr>
        <w:t xml:space="preserve"> </w:t>
      </w:r>
      <w:r w:rsidRPr="00555899" w:rsidR="008359E7">
        <w:rPr>
          <w:rFonts w:ascii="Arial" w:hAnsi="Arial" w:cs="Arial"/>
          <w:sz w:val="24"/>
          <w:szCs w:val="24"/>
          <w:shd w:val="clear" w:color="auto" w:fill="FFFFFF"/>
        </w:rPr>
        <w:t>regist</w:t>
      </w:r>
      <w:r w:rsidR="007546FB">
        <w:rPr>
          <w:rFonts w:ascii="Arial" w:hAnsi="Arial" w:cs="Arial"/>
          <w:sz w:val="24"/>
          <w:szCs w:val="24"/>
          <w:shd w:val="clear" w:color="auto" w:fill="FFFFFF"/>
        </w:rPr>
        <w:t>ration of</w:t>
      </w:r>
      <w:r w:rsidRPr="00555899" w:rsidR="008359E7">
        <w:rPr>
          <w:rFonts w:ascii="Arial" w:hAnsi="Arial" w:cs="Arial"/>
          <w:sz w:val="24"/>
          <w:szCs w:val="24"/>
          <w:shd w:val="clear" w:color="auto" w:fill="FFFFFF"/>
        </w:rPr>
        <w:t xml:space="preserve"> CRES provider</w:t>
      </w:r>
      <w:r w:rsidR="007546FB">
        <w:rPr>
          <w:rFonts w:ascii="Arial" w:hAnsi="Arial" w:cs="Arial"/>
          <w:sz w:val="24"/>
          <w:szCs w:val="24"/>
          <w:shd w:val="clear" w:color="auto" w:fill="FFFFFF"/>
        </w:rPr>
        <w:t>s</w:t>
      </w:r>
      <w:r w:rsidRPr="00555899" w:rsidR="008359E7">
        <w:rPr>
          <w:rFonts w:ascii="Arial" w:hAnsi="Arial" w:cs="Arial"/>
          <w:sz w:val="24"/>
          <w:szCs w:val="24"/>
          <w:shd w:val="clear" w:color="auto" w:fill="FFFFFF"/>
        </w:rPr>
        <w:t xml:space="preserve">. </w:t>
      </w:r>
      <w:r w:rsidRPr="00555899" w:rsidR="00152546">
        <w:rPr>
          <w:rFonts w:ascii="Arial" w:hAnsi="Arial" w:cs="Arial"/>
          <w:i/>
          <w:iCs/>
          <w:sz w:val="24"/>
          <w:szCs w:val="24"/>
          <w:shd w:val="clear" w:color="auto" w:fill="FFFFFF"/>
        </w:rPr>
        <w:t>See</w:t>
      </w:r>
      <w:r w:rsidRPr="00555899" w:rsidR="00152546">
        <w:rPr>
          <w:rFonts w:ascii="Arial" w:hAnsi="Arial" w:eastAsia="Arial" w:cs="Arial"/>
        </w:rPr>
        <w:t xml:space="preserve"> </w:t>
      </w:r>
      <w:r w:rsidRPr="00555899" w:rsidR="006943F0">
        <w:rPr>
          <w:rFonts w:ascii="Arial" w:hAnsi="Arial" w:eastAsia="Arial" w:cs="Arial"/>
          <w:sz w:val="24"/>
          <w:szCs w:val="24"/>
        </w:rPr>
        <w:t>IGS Ex. 3</w:t>
      </w:r>
      <w:r w:rsidR="006943F0">
        <w:rPr>
          <w:rFonts w:ascii="Arial" w:hAnsi="Arial" w:eastAsia="Arial" w:cs="Arial"/>
          <w:sz w:val="24"/>
          <w:szCs w:val="24"/>
        </w:rPr>
        <w:t xml:space="preserve">, </w:t>
      </w:r>
      <w:r w:rsidRPr="00555899" w:rsidR="006943F0">
        <w:rPr>
          <w:rFonts w:ascii="Arial" w:hAnsi="Arial" w:eastAsia="Arial" w:cs="Arial"/>
          <w:sz w:val="24"/>
          <w:szCs w:val="24"/>
        </w:rPr>
        <w:t xml:space="preserve"> Ex. DMR-2</w:t>
      </w:r>
      <w:r w:rsidR="006943F0">
        <w:rPr>
          <w:rFonts w:ascii="Arial" w:hAnsi="Arial" w:eastAsia="Arial" w:cs="Arial"/>
        </w:rPr>
        <w:t>;</w:t>
      </w:r>
      <w:r w:rsidR="0020784C">
        <w:rPr>
          <w:rFonts w:ascii="Arial" w:hAnsi="Arial" w:eastAsia="Arial" w:cs="Arial"/>
        </w:rPr>
        <w:t xml:space="preserve"> </w:t>
      </w:r>
      <w:r w:rsidRPr="00555899" w:rsidR="0020784C">
        <w:rPr>
          <w:rFonts w:ascii="Arial" w:hAnsi="Arial" w:cs="Arial"/>
          <w:sz w:val="24"/>
          <w:szCs w:val="24"/>
          <w:shd w:val="clear" w:color="auto" w:fill="FFFFFF"/>
        </w:rPr>
        <w:t>IGS/Direct Ex. 2</w:t>
      </w:r>
      <w:r w:rsidRPr="00555899" w:rsidR="008359E7">
        <w:rPr>
          <w:rFonts w:ascii="Arial" w:hAnsi="Arial" w:cs="Arial"/>
          <w:sz w:val="24"/>
          <w:szCs w:val="24"/>
          <w:shd w:val="clear" w:color="auto" w:fill="FFFFFF"/>
        </w:rPr>
        <w:t xml:space="preserve"> at 46.</w:t>
      </w:r>
      <w:r w:rsidRPr="00344CDE" w:rsidR="008359E7">
        <w:rPr>
          <w:rFonts w:ascii="Arial" w:hAnsi="Arial" w:cs="Arial"/>
          <w:sz w:val="24"/>
          <w:szCs w:val="24"/>
          <w:shd w:val="clear" w:color="auto" w:fill="FFFFFF"/>
        </w:rPr>
        <w:t xml:space="preserve"> Therefore</w:t>
      </w:r>
      <w:r w:rsidRPr="00555899" w:rsidR="008359E7">
        <w:rPr>
          <w:rFonts w:ascii="Arial" w:hAnsi="Arial" w:cs="Arial"/>
          <w:sz w:val="24"/>
          <w:szCs w:val="24"/>
          <w:shd w:val="clear" w:color="auto" w:fill="FFFFFF"/>
        </w:rPr>
        <w:t xml:space="preserve">, the continuation of these fees </w:t>
      </w:r>
      <w:r w:rsidRPr="00555899" w:rsidDel="00F80DA7" w:rsidR="008359E7">
        <w:rPr>
          <w:rFonts w:ascii="Arial" w:hAnsi="Arial" w:cs="Arial"/>
          <w:sz w:val="24"/>
          <w:szCs w:val="24"/>
          <w:shd w:val="clear" w:color="auto" w:fill="FFFFFF"/>
        </w:rPr>
        <w:t>lack</w:t>
      </w:r>
      <w:r w:rsidDel="00F80DA7" w:rsidR="005A6F99">
        <w:rPr>
          <w:rFonts w:ascii="Arial" w:hAnsi="Arial" w:cs="Arial"/>
          <w:sz w:val="24"/>
          <w:szCs w:val="24"/>
          <w:shd w:val="clear" w:color="auto" w:fill="FFFFFF"/>
        </w:rPr>
        <w:t>s</w:t>
      </w:r>
      <w:r w:rsidRPr="00555899" w:rsidR="008359E7">
        <w:rPr>
          <w:rFonts w:ascii="Arial" w:hAnsi="Arial" w:cs="Arial"/>
          <w:sz w:val="24"/>
          <w:szCs w:val="24"/>
          <w:shd w:val="clear" w:color="auto" w:fill="FFFFFF"/>
        </w:rPr>
        <w:t xml:space="preserve"> any support or cost-basis and must be eliminated. </w:t>
      </w:r>
    </w:p>
    <w:p w:rsidRPr="00555899" w:rsidR="008359E7" w:rsidP="00A028D6" w:rsidRDefault="008607C2" w14:paraId="78B1C58C" w14:textId="000D49E7">
      <w:pPr>
        <w:spacing w:after="0" w:line="48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Additionally,</w:t>
      </w:r>
      <w:r w:rsidRPr="00555899" w:rsidR="008359E7">
        <w:rPr>
          <w:rFonts w:ascii="Arial" w:hAnsi="Arial" w:cs="Arial"/>
          <w:sz w:val="24"/>
          <w:szCs w:val="24"/>
          <w:shd w:val="clear" w:color="auto" w:fill="FFFFFF"/>
        </w:rPr>
        <w:t xml:space="preserve"> Staff </w:t>
      </w:r>
      <w:r w:rsidR="00F97A6F">
        <w:rPr>
          <w:rFonts w:ascii="Arial" w:hAnsi="Arial" w:cs="Arial"/>
          <w:sz w:val="24"/>
          <w:szCs w:val="24"/>
          <w:shd w:val="clear" w:color="auto" w:fill="FFFFFF"/>
        </w:rPr>
        <w:t>did not</w:t>
      </w:r>
      <w:r w:rsidRPr="00555899" w:rsidR="008359E7">
        <w:rPr>
          <w:rFonts w:ascii="Arial" w:hAnsi="Arial" w:cs="Arial"/>
          <w:sz w:val="24"/>
          <w:szCs w:val="24"/>
          <w:shd w:val="clear" w:color="auto" w:fill="FFFFFF"/>
        </w:rPr>
        <w:t xml:space="preserve"> request this information or attempt to determine there were actually costs underlying these supplier fees. Tr. at 393</w:t>
      </w:r>
      <w:r w:rsidRPr="007F2348" w:rsidR="008359E7">
        <w:rPr>
          <w:rFonts w:ascii="Arial" w:hAnsi="Arial" w:cs="Arial"/>
          <w:sz w:val="24"/>
          <w:szCs w:val="24"/>
          <w:shd w:val="clear" w:color="auto" w:fill="FFFFFF"/>
        </w:rPr>
        <w:t xml:space="preserve">. In fact, at the hearing, Staff recognized that it merely assumed that there was an underlying cost </w:t>
      </w:r>
      <w:r w:rsidRPr="00555899" w:rsidR="008359E7">
        <w:rPr>
          <w:rFonts w:ascii="Arial" w:hAnsi="Arial" w:cs="Arial"/>
          <w:sz w:val="24"/>
          <w:szCs w:val="24"/>
          <w:shd w:val="clear" w:color="auto" w:fill="FFFFFF"/>
        </w:rPr>
        <w:t xml:space="preserve">associated with the fees imposed on CRES providers but had no actual knowledge of them. Tr. at 391-394, 397. </w:t>
      </w:r>
      <w:r w:rsidR="004749BF">
        <w:rPr>
          <w:rFonts w:ascii="Arial" w:hAnsi="Arial" w:cs="Arial"/>
          <w:color w:val="222222"/>
          <w:sz w:val="24"/>
          <w:szCs w:val="24"/>
          <w:shd w:val="clear" w:color="auto" w:fill="FFFFFF"/>
        </w:rPr>
        <w:t>With regard to unbundling</w:t>
      </w:r>
      <w:r w:rsidR="004B183D">
        <w:rPr>
          <w:rFonts w:ascii="Arial" w:hAnsi="Arial" w:cs="Arial"/>
          <w:color w:val="222222"/>
          <w:sz w:val="24"/>
          <w:szCs w:val="24"/>
          <w:shd w:val="clear" w:color="auto" w:fill="FFFFFF"/>
        </w:rPr>
        <w:t>, Staff asserted that it did not advocate for guessing, yet apparently it is willing to sign off on</w:t>
      </w:r>
      <w:r w:rsidR="004A1C8D">
        <w:rPr>
          <w:rFonts w:ascii="Arial" w:hAnsi="Arial" w:cs="Arial"/>
          <w:color w:val="222222"/>
          <w:sz w:val="24"/>
          <w:szCs w:val="24"/>
          <w:shd w:val="clear" w:color="auto" w:fill="FFFFFF"/>
        </w:rPr>
        <w:t xml:space="preserve"> CRES provider</w:t>
      </w:r>
      <w:r w:rsidR="004B183D">
        <w:rPr>
          <w:rFonts w:ascii="Arial" w:hAnsi="Arial" w:cs="Arial"/>
          <w:color w:val="222222"/>
          <w:sz w:val="24"/>
          <w:szCs w:val="24"/>
          <w:shd w:val="clear" w:color="auto" w:fill="FFFFFF"/>
        </w:rPr>
        <w:t xml:space="preserve"> fees without any cost information.  Staff Ex. </w:t>
      </w:r>
      <w:r w:rsidR="001003C5">
        <w:rPr>
          <w:rFonts w:ascii="Arial" w:hAnsi="Arial" w:cs="Arial"/>
          <w:color w:val="222222"/>
          <w:sz w:val="24"/>
          <w:szCs w:val="24"/>
          <w:shd w:val="clear" w:color="auto" w:fill="FFFFFF"/>
        </w:rPr>
        <w:t>3</w:t>
      </w:r>
      <w:r w:rsidRPr="00A028D6" w:rsidR="008359E7">
        <w:rPr>
          <w:rFonts w:ascii="Arial" w:hAnsi="Arial" w:cs="Arial"/>
          <w:color w:val="222222"/>
          <w:sz w:val="24"/>
          <w:szCs w:val="24"/>
          <w:shd w:val="clear" w:color="auto" w:fill="FFFFFF"/>
        </w:rPr>
        <w:t xml:space="preserve"> </w:t>
      </w:r>
      <w:r w:rsidRPr="00555899" w:rsidR="008359E7">
        <w:rPr>
          <w:rFonts w:ascii="Arial" w:hAnsi="Arial" w:cs="Arial"/>
          <w:sz w:val="24"/>
          <w:szCs w:val="24"/>
          <w:shd w:val="clear" w:color="auto" w:fill="FFFFFF"/>
        </w:rPr>
        <w:t xml:space="preserve">at 10. </w:t>
      </w:r>
      <w:r w:rsidR="00492BD7">
        <w:rPr>
          <w:rFonts w:ascii="Arial" w:hAnsi="Arial" w:cs="Arial"/>
          <w:sz w:val="24"/>
          <w:szCs w:val="24"/>
          <w:shd w:val="clear" w:color="auto" w:fill="FFFFFF"/>
        </w:rPr>
        <w:t>As to the supplier fees</w:t>
      </w:r>
      <w:r w:rsidR="008359E7">
        <w:rPr>
          <w:rFonts w:ascii="Arial" w:hAnsi="Arial" w:cs="Arial"/>
          <w:sz w:val="24"/>
          <w:szCs w:val="24"/>
          <w:shd w:val="clear" w:color="auto" w:fill="FFFFFF"/>
        </w:rPr>
        <w:t>,</w:t>
      </w:r>
      <w:r w:rsidRPr="00555899" w:rsidR="008359E7">
        <w:rPr>
          <w:rFonts w:ascii="Arial" w:hAnsi="Arial" w:cs="Arial"/>
          <w:sz w:val="24"/>
          <w:szCs w:val="24"/>
          <w:shd w:val="clear" w:color="auto" w:fill="FFFFFF"/>
        </w:rPr>
        <w:t xml:space="preserve"> it cannot guess that there are costs associated </w:t>
      </w:r>
      <w:r w:rsidRPr="00555899" w:rsidR="008359E7">
        <w:rPr>
          <w:rFonts w:ascii="Arial" w:hAnsi="Arial" w:cs="Arial"/>
          <w:sz w:val="24"/>
          <w:szCs w:val="24"/>
          <w:shd w:val="clear" w:color="auto" w:fill="FFFFFF"/>
        </w:rPr>
        <w:lastRenderedPageBreak/>
        <w:t xml:space="preserve">with a function when the Company itself failed to identify any when under a specific directive to do so. ESP IV Order at ¶ 215. </w:t>
      </w:r>
    </w:p>
    <w:p w:rsidRPr="00EB2ECF" w:rsidR="008359E7" w:rsidP="00A028D6" w:rsidRDefault="008359E7" w14:paraId="7EFBB024" w14:textId="5671E801">
      <w:pPr>
        <w:spacing w:after="0" w:line="480" w:lineRule="auto"/>
        <w:ind w:firstLine="720"/>
        <w:jc w:val="both"/>
        <w:rPr>
          <w:rFonts w:ascii="Arial" w:hAnsi="Arial" w:cs="Arial"/>
          <w:sz w:val="24"/>
          <w:szCs w:val="24"/>
          <w:shd w:val="clear" w:color="auto" w:fill="FFFFFF"/>
        </w:rPr>
      </w:pPr>
      <w:r w:rsidRPr="00555899">
        <w:rPr>
          <w:rFonts w:ascii="Arial" w:hAnsi="Arial" w:cs="Arial"/>
          <w:sz w:val="24"/>
          <w:szCs w:val="24"/>
          <w:shd w:val="clear" w:color="auto" w:fill="FFFFFF"/>
        </w:rPr>
        <w:t>Ohio Power should have provided a cost justification</w:t>
      </w:r>
      <w:r w:rsidR="00D7216D">
        <w:rPr>
          <w:rFonts w:ascii="Arial" w:hAnsi="Arial" w:cs="Arial"/>
          <w:sz w:val="24"/>
          <w:szCs w:val="24"/>
          <w:shd w:val="clear" w:color="auto" w:fill="FFFFFF"/>
        </w:rPr>
        <w:t>,</w:t>
      </w:r>
      <w:r w:rsidRPr="00555899">
        <w:rPr>
          <w:rFonts w:ascii="Arial" w:hAnsi="Arial" w:cs="Arial"/>
          <w:sz w:val="24"/>
          <w:szCs w:val="24"/>
          <w:shd w:val="clear" w:color="auto" w:fill="FFFFFF"/>
        </w:rPr>
        <w:t xml:space="preserve"> and Staff should have been </w:t>
      </w:r>
      <w:r w:rsidRPr="007F2348">
        <w:rPr>
          <w:rFonts w:ascii="Arial" w:hAnsi="Arial" w:cs="Arial"/>
          <w:sz w:val="24"/>
          <w:szCs w:val="24"/>
          <w:shd w:val="clear" w:color="auto" w:fill="FFFFFF"/>
        </w:rPr>
        <w:t xml:space="preserve">required to evaluate </w:t>
      </w:r>
      <w:r w:rsidRPr="00FB20BF">
        <w:rPr>
          <w:rFonts w:ascii="Arial" w:hAnsi="Arial" w:cs="Arial"/>
          <w:sz w:val="24"/>
          <w:szCs w:val="24"/>
          <w:shd w:val="clear" w:color="auto" w:fill="FFFFFF"/>
        </w:rPr>
        <w:t xml:space="preserve">whether these fees are reasonable in relation to the services Ohio Power provides. </w:t>
      </w:r>
      <w:r w:rsidR="00113A91">
        <w:rPr>
          <w:rFonts w:ascii="Arial" w:hAnsi="Arial" w:cs="Arial"/>
          <w:sz w:val="24"/>
          <w:szCs w:val="24"/>
          <w:shd w:val="clear" w:color="auto" w:fill="FFFFFF"/>
        </w:rPr>
        <w:t>Ohio Power</w:t>
      </w:r>
      <w:r>
        <w:rPr>
          <w:rFonts w:ascii="Arial" w:hAnsi="Arial" w:cs="Arial"/>
          <w:sz w:val="24"/>
          <w:szCs w:val="24"/>
          <w:shd w:val="clear" w:color="auto" w:fill="FFFFFF"/>
        </w:rPr>
        <w:t xml:space="preserve"> </w:t>
      </w:r>
      <w:r w:rsidRPr="00FB20BF">
        <w:rPr>
          <w:rFonts w:ascii="Arial" w:hAnsi="Arial" w:cs="Arial"/>
          <w:sz w:val="24"/>
          <w:szCs w:val="24"/>
          <w:shd w:val="clear" w:color="auto" w:fill="FFFFFF"/>
        </w:rPr>
        <w:t>did not</w:t>
      </w:r>
      <w:r w:rsidR="00FB20BF">
        <w:rPr>
          <w:rFonts w:ascii="Arial" w:hAnsi="Arial" w:cs="Arial"/>
          <w:sz w:val="24"/>
          <w:szCs w:val="24"/>
          <w:shd w:val="clear" w:color="auto" w:fill="FFFFFF"/>
        </w:rPr>
        <w:t xml:space="preserve"> provide the necessary information to justify the continuation of these supplier fees. </w:t>
      </w:r>
      <w:r w:rsidRPr="00FB20BF">
        <w:rPr>
          <w:rFonts w:ascii="Arial" w:hAnsi="Arial" w:cs="Arial"/>
          <w:sz w:val="24"/>
          <w:szCs w:val="24"/>
          <w:shd w:val="clear" w:color="auto" w:fill="FFFFFF"/>
        </w:rPr>
        <w:t xml:space="preserve"> </w:t>
      </w:r>
      <w:r w:rsidRPr="00344CDE" w:rsidR="00F80DA7">
        <w:rPr>
          <w:rFonts w:ascii="Arial" w:hAnsi="Arial" w:cs="Arial"/>
          <w:sz w:val="24"/>
          <w:szCs w:val="24"/>
          <w:shd w:val="clear" w:color="auto" w:fill="FFFFFF"/>
        </w:rPr>
        <w:t>Therefore</w:t>
      </w:r>
      <w:r w:rsidRPr="00555899" w:rsidR="00F80DA7">
        <w:rPr>
          <w:rFonts w:ascii="Arial" w:hAnsi="Arial" w:cs="Arial"/>
          <w:sz w:val="24"/>
          <w:szCs w:val="24"/>
          <w:shd w:val="clear" w:color="auto" w:fill="FFFFFF"/>
        </w:rPr>
        <w:t>, the continuation of these fees lack</w:t>
      </w:r>
      <w:r w:rsidR="00F80DA7">
        <w:rPr>
          <w:rFonts w:ascii="Arial" w:hAnsi="Arial" w:cs="Arial"/>
          <w:sz w:val="24"/>
          <w:szCs w:val="24"/>
          <w:shd w:val="clear" w:color="auto" w:fill="FFFFFF"/>
        </w:rPr>
        <w:t>s</w:t>
      </w:r>
      <w:r w:rsidRPr="00555899" w:rsidR="00F80DA7">
        <w:rPr>
          <w:rFonts w:ascii="Arial" w:hAnsi="Arial" w:cs="Arial"/>
          <w:sz w:val="24"/>
          <w:szCs w:val="24"/>
          <w:shd w:val="clear" w:color="auto" w:fill="FFFFFF"/>
        </w:rPr>
        <w:t xml:space="preserve"> any support or cost-basis and must be eliminated. </w:t>
      </w:r>
    </w:p>
    <w:p w:rsidRPr="00EB2ECF" w:rsidR="008359E7" w:rsidP="00EB2ECF" w:rsidRDefault="008359E7" w14:paraId="18A1403A" w14:textId="035E23F0">
      <w:pPr>
        <w:pStyle w:val="Heading3"/>
        <w:numPr>
          <w:ilvl w:val="0"/>
          <w:numId w:val="20"/>
        </w:numPr>
        <w:rPr>
          <w:b/>
          <w:shd w:val="clear" w:color="auto" w:fill="FFFFFF"/>
        </w:rPr>
      </w:pPr>
      <w:bookmarkStart w:name="_Toc74573091" w:id="32"/>
      <w:r w:rsidRPr="00EB2ECF">
        <w:rPr>
          <w:b/>
          <w:shd w:val="clear" w:color="auto" w:fill="FFFFFF"/>
        </w:rPr>
        <w:t>Assessing a switching fee for customers when they move to a CRES provider but not when they move to the SSO is unreasonable discrimination.</w:t>
      </w:r>
      <w:bookmarkEnd w:id="32"/>
      <w:r w:rsidRPr="00EB2ECF">
        <w:rPr>
          <w:b/>
          <w:shd w:val="clear" w:color="auto" w:fill="FFFFFF"/>
        </w:rPr>
        <w:t xml:space="preserve"> </w:t>
      </w:r>
    </w:p>
    <w:p w:rsidRPr="00EB2ECF" w:rsidR="008359E7" w:rsidP="00A028D6" w:rsidRDefault="008359E7" w14:paraId="7D29C151" w14:textId="73291AC2">
      <w:pPr>
        <w:spacing w:after="0" w:line="480" w:lineRule="auto"/>
        <w:ind w:firstLine="720"/>
        <w:jc w:val="both"/>
        <w:rPr>
          <w:rFonts w:ascii="Arial" w:hAnsi="Arial" w:cs="Arial"/>
          <w:sz w:val="24"/>
          <w:szCs w:val="24"/>
          <w:shd w:val="clear" w:color="auto" w:fill="FFFFFF"/>
        </w:rPr>
      </w:pPr>
      <w:r w:rsidRPr="00EB2ECF">
        <w:rPr>
          <w:rFonts w:ascii="Arial" w:hAnsi="Arial" w:cs="Arial"/>
          <w:sz w:val="24"/>
          <w:szCs w:val="24"/>
          <w:shd w:val="clear" w:color="auto" w:fill="FFFFFF"/>
        </w:rPr>
        <w:t>Under R.C. 4905.35, “[n]o public utility shall make or give any undue or unreasonable preference or advantage to any person, firm, corporation, or locality, or subject any person, firm, corporation, or locality to any undue or unreasonable prejudice or disadvantage.” As the</w:t>
      </w:r>
      <w:r w:rsidR="00035EBB">
        <w:rPr>
          <w:rFonts w:ascii="Arial" w:hAnsi="Arial" w:cs="Arial"/>
          <w:sz w:val="24"/>
          <w:szCs w:val="24"/>
          <w:shd w:val="clear" w:color="auto" w:fill="FFFFFF"/>
        </w:rPr>
        <w:t xml:space="preserve"> Supreme</w:t>
      </w:r>
      <w:r w:rsidRPr="00EB2ECF">
        <w:rPr>
          <w:rFonts w:ascii="Arial" w:hAnsi="Arial" w:cs="Arial"/>
          <w:sz w:val="24"/>
          <w:szCs w:val="24"/>
          <w:shd w:val="clear" w:color="auto" w:fill="FFFFFF"/>
        </w:rPr>
        <w:t xml:space="preserve"> Court has concluded, separating similarly situated customers into two classes and providing a price reduction for only one class constitutes an “‘undue or unreasonable preference’ prohibited by R.C. 4905.35.” </w:t>
      </w:r>
      <w:r w:rsidRPr="00EB2ECF">
        <w:rPr>
          <w:rFonts w:ascii="Arial" w:hAnsi="Arial" w:cs="Arial"/>
          <w:i/>
          <w:sz w:val="24"/>
          <w:szCs w:val="24"/>
          <w:shd w:val="clear" w:color="auto" w:fill="FFFFFF"/>
        </w:rPr>
        <w:t>Ameritech Ohio v. Pub. Util. Comm.,</w:t>
      </w:r>
      <w:r w:rsidRPr="00EB2ECF">
        <w:rPr>
          <w:rFonts w:ascii="Arial" w:hAnsi="Arial" w:cs="Arial"/>
          <w:sz w:val="24"/>
          <w:szCs w:val="24"/>
          <w:shd w:val="clear" w:color="auto" w:fill="FFFFFF"/>
        </w:rPr>
        <w:t xml:space="preserve"> 86 Ohio St.3d 78, 81 (1999). Likewise, it is the state policy to “[e]</w:t>
      </w:r>
      <w:proofErr w:type="spellStart"/>
      <w:r w:rsidRPr="00EB2ECF">
        <w:rPr>
          <w:rFonts w:ascii="Arial" w:hAnsi="Arial" w:cs="Arial"/>
          <w:sz w:val="24"/>
          <w:szCs w:val="24"/>
          <w:shd w:val="clear" w:color="auto" w:fill="FFFFFF"/>
        </w:rPr>
        <w:t>nsure</w:t>
      </w:r>
      <w:proofErr w:type="spellEnd"/>
      <w:r w:rsidRPr="00EB2ECF">
        <w:rPr>
          <w:rFonts w:ascii="Arial" w:hAnsi="Arial" w:cs="Arial"/>
          <w:sz w:val="24"/>
          <w:szCs w:val="24"/>
          <w:shd w:val="clear" w:color="auto" w:fill="FFFFFF"/>
        </w:rPr>
        <w:t xml:space="preserve"> the availability to consumers of adequate, reliable, safe, efficient, </w:t>
      </w:r>
      <w:r w:rsidRPr="00F83126">
        <w:rPr>
          <w:rFonts w:ascii="Arial" w:hAnsi="Arial" w:cs="Arial"/>
          <w:b/>
          <w:i/>
          <w:sz w:val="24"/>
          <w:szCs w:val="24"/>
          <w:shd w:val="clear" w:color="auto" w:fill="FFFFFF"/>
        </w:rPr>
        <w:t>nondiscriminatory</w:t>
      </w:r>
      <w:r w:rsidRPr="00EB2ECF">
        <w:rPr>
          <w:rFonts w:ascii="Arial" w:hAnsi="Arial" w:cs="Arial"/>
          <w:sz w:val="24"/>
          <w:szCs w:val="24"/>
          <w:shd w:val="clear" w:color="auto" w:fill="FFFFFF"/>
        </w:rPr>
        <w:t>, and reasonably priced retail electric service.” R.C. 4928.02.</w:t>
      </w:r>
      <w:r w:rsidR="00F83126">
        <w:rPr>
          <w:rFonts w:ascii="Arial" w:hAnsi="Arial" w:cs="Arial"/>
          <w:sz w:val="24"/>
          <w:szCs w:val="24"/>
          <w:shd w:val="clear" w:color="auto" w:fill="FFFFFF"/>
        </w:rPr>
        <w:t xml:space="preserve"> (Emphasis added).</w:t>
      </w:r>
    </w:p>
    <w:p w:rsidRPr="00EB2ECF" w:rsidR="008359E7" w:rsidP="00A028D6" w:rsidRDefault="00FE1FA4" w14:paraId="45EA2EDF" w14:textId="67E191BA">
      <w:pPr>
        <w:spacing w:after="0" w:line="48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As confirmed by Staff, w</w:t>
      </w:r>
      <w:r w:rsidRPr="00EB2ECF" w:rsidR="008359E7">
        <w:rPr>
          <w:rFonts w:ascii="Arial" w:hAnsi="Arial" w:cs="Arial"/>
          <w:sz w:val="24"/>
          <w:szCs w:val="24"/>
          <w:shd w:val="clear" w:color="auto" w:fill="FFFFFF"/>
        </w:rPr>
        <w:t xml:space="preserve">hen Ohio Power switches a customer to a CRES provider or to the SSO, the service is identical: a change in the customer’s generation supplier. </w:t>
      </w:r>
      <w:r>
        <w:rPr>
          <w:rFonts w:ascii="Arial" w:hAnsi="Arial" w:cs="Arial"/>
          <w:sz w:val="24"/>
          <w:szCs w:val="24"/>
          <w:shd w:val="clear" w:color="auto" w:fill="FFFFFF"/>
        </w:rPr>
        <w:t xml:space="preserve">Tr. at 335-344. </w:t>
      </w:r>
      <w:r w:rsidRPr="00EB2ECF" w:rsidR="008359E7">
        <w:rPr>
          <w:rFonts w:ascii="Arial" w:hAnsi="Arial" w:cs="Arial"/>
          <w:sz w:val="24"/>
          <w:szCs w:val="24"/>
          <w:shd w:val="clear" w:color="auto" w:fill="FFFFFF"/>
        </w:rPr>
        <w:t>Imposing a switching fee on customers when they move to a CRES provider, but not when they move to the utility-provided SSO, is blatantly discriminatory and preferential</w:t>
      </w:r>
      <w:r w:rsidRPr="003A42A4" w:rsidR="008359E7">
        <w:rPr>
          <w:rFonts w:ascii="Arial" w:hAnsi="Arial" w:cs="Arial"/>
          <w:sz w:val="24"/>
          <w:szCs w:val="24"/>
          <w:shd w:val="clear" w:color="auto" w:fill="FFFFFF"/>
        </w:rPr>
        <w:t xml:space="preserve">. </w:t>
      </w:r>
      <w:r w:rsidRPr="00EB2ECF" w:rsidR="4929E120">
        <w:rPr>
          <w:rFonts w:ascii="Arial" w:hAnsi="Arial" w:cs="Arial"/>
          <w:sz w:val="24"/>
          <w:szCs w:val="24"/>
          <w:shd w:val="clear" w:color="auto" w:fill="FFFFFF"/>
        </w:rPr>
        <w:t>IGS/Direct Ex. 2</w:t>
      </w:r>
      <w:r w:rsidRPr="00EB2ECF" w:rsidR="008359E7">
        <w:rPr>
          <w:rFonts w:ascii="Arial" w:hAnsi="Arial" w:cs="Arial"/>
          <w:sz w:val="24"/>
          <w:szCs w:val="24"/>
          <w:shd w:val="clear" w:color="auto" w:fill="FFFFFF"/>
        </w:rPr>
        <w:t xml:space="preserve"> at 46-47.</w:t>
      </w:r>
      <w:r w:rsidRPr="003A42A4" w:rsidR="008359E7">
        <w:rPr>
          <w:rFonts w:ascii="Arial" w:hAnsi="Arial" w:cs="Arial"/>
          <w:sz w:val="24"/>
          <w:szCs w:val="24"/>
          <w:shd w:val="clear" w:color="auto" w:fill="FFFFFF"/>
        </w:rPr>
        <w:t xml:space="preserve"> </w:t>
      </w:r>
    </w:p>
    <w:p w:rsidR="005A2B01" w:rsidRDefault="008359E7" w14:paraId="0C418903" w14:textId="483989D8">
      <w:pPr>
        <w:spacing w:after="0" w:line="480" w:lineRule="auto"/>
        <w:ind w:firstLine="720"/>
        <w:jc w:val="both"/>
        <w:rPr>
          <w:rFonts w:ascii="Arial" w:hAnsi="Arial" w:cs="Arial"/>
          <w:sz w:val="24"/>
          <w:szCs w:val="24"/>
          <w:shd w:val="clear" w:color="auto" w:fill="FFFFFF"/>
        </w:rPr>
      </w:pPr>
      <w:r w:rsidRPr="00EB2ECF">
        <w:rPr>
          <w:rFonts w:ascii="Arial" w:hAnsi="Arial" w:cs="Arial"/>
          <w:sz w:val="24"/>
          <w:szCs w:val="24"/>
          <w:shd w:val="clear" w:color="auto" w:fill="FFFFFF"/>
        </w:rPr>
        <w:lastRenderedPageBreak/>
        <w:t xml:space="preserve">Further, no compelling reason has been provided for this disparate treatment. Although Staff asserts that the “process and the cost of switching to and from CRES providers compared to customers who </w:t>
      </w:r>
      <w:r w:rsidRPr="00C73700">
        <w:rPr>
          <w:rFonts w:ascii="Arial" w:hAnsi="Arial" w:cs="Arial"/>
          <w:sz w:val="24"/>
          <w:szCs w:val="24"/>
          <w:shd w:val="clear" w:color="auto" w:fill="FFFFFF"/>
        </w:rPr>
        <w:t xml:space="preserve">defaulted to the SSO are not comparable situations,” Staff presents no evidence to support this. </w:t>
      </w:r>
      <w:r w:rsidRPr="00EB2ECF" w:rsidR="00CE1906">
        <w:rPr>
          <w:rFonts w:ascii="Arial" w:hAnsi="Arial" w:cs="Arial"/>
          <w:sz w:val="24"/>
          <w:szCs w:val="24"/>
          <w:shd w:val="clear" w:color="auto" w:fill="FFFFFF"/>
        </w:rPr>
        <w:t>Staff Ex.</w:t>
      </w:r>
      <w:r w:rsidRPr="00EB2ECF" w:rsidR="00F91268">
        <w:rPr>
          <w:rFonts w:ascii="Arial" w:hAnsi="Arial" w:cs="Arial"/>
          <w:sz w:val="24"/>
          <w:szCs w:val="24"/>
          <w:shd w:val="clear" w:color="auto" w:fill="FFFFFF"/>
        </w:rPr>
        <w:t xml:space="preserve"> 3</w:t>
      </w:r>
      <w:r w:rsidRPr="00EB2ECF">
        <w:rPr>
          <w:rFonts w:ascii="Arial" w:hAnsi="Arial" w:cs="Arial"/>
          <w:sz w:val="24"/>
          <w:szCs w:val="24"/>
          <w:shd w:val="clear" w:color="auto" w:fill="FFFFFF"/>
        </w:rPr>
        <w:t xml:space="preserve"> at 13</w:t>
      </w:r>
      <w:r w:rsidRPr="00C73700">
        <w:rPr>
          <w:rFonts w:ascii="Arial" w:hAnsi="Arial" w:cs="Arial"/>
          <w:sz w:val="24"/>
          <w:szCs w:val="24"/>
          <w:shd w:val="clear" w:color="auto" w:fill="FFFFFF"/>
        </w:rPr>
        <w:t xml:space="preserve">. Again, Staff merely assumed there was an underlying cost associated with the fees imposed on CRES providers. Tr. Vol. II at 391. Ohio Power has submitted no evidence, nor has Staff sought evidence, to confirm this. </w:t>
      </w:r>
      <w:r w:rsidRPr="00C73700" w:rsidR="00856CB9">
        <w:rPr>
          <w:rFonts w:ascii="Arial" w:hAnsi="Arial" w:cs="Arial"/>
          <w:sz w:val="24"/>
          <w:szCs w:val="24"/>
          <w:shd w:val="clear" w:color="auto" w:fill="FFFFFF"/>
        </w:rPr>
        <w:t>IGS/Direct Ex. 2</w:t>
      </w:r>
      <w:r w:rsidRPr="00EB2ECF">
        <w:rPr>
          <w:rFonts w:ascii="Arial" w:hAnsi="Arial" w:cs="Arial"/>
          <w:sz w:val="24"/>
          <w:szCs w:val="24"/>
          <w:shd w:val="clear" w:color="auto" w:fill="FFFFFF"/>
        </w:rPr>
        <w:t xml:space="preserve"> at 46-47;</w:t>
      </w:r>
      <w:r w:rsidRPr="00C73700">
        <w:rPr>
          <w:rFonts w:ascii="Arial" w:hAnsi="Arial" w:cs="Arial"/>
          <w:sz w:val="24"/>
          <w:szCs w:val="24"/>
          <w:shd w:val="clear" w:color="auto" w:fill="FFFFFF"/>
        </w:rPr>
        <w:t xml:space="preserve"> Tr. at 393</w:t>
      </w:r>
      <w:r w:rsidRPr="00EB2ECF">
        <w:rPr>
          <w:rFonts w:ascii="Arial" w:hAnsi="Arial" w:cs="Arial"/>
          <w:sz w:val="24"/>
          <w:szCs w:val="24"/>
          <w:shd w:val="clear" w:color="auto" w:fill="FFFFFF"/>
        </w:rPr>
        <w:t xml:space="preserve">. </w:t>
      </w:r>
      <w:r w:rsidR="005A2B01">
        <w:rPr>
          <w:rFonts w:ascii="Arial" w:hAnsi="Arial" w:cs="Arial"/>
          <w:sz w:val="24"/>
          <w:szCs w:val="24"/>
          <w:shd w:val="clear" w:color="auto" w:fill="FFFFFF"/>
        </w:rPr>
        <w:t>In fact, q</w:t>
      </w:r>
      <w:r w:rsidR="003A448F">
        <w:rPr>
          <w:rFonts w:ascii="Arial" w:hAnsi="Arial" w:cs="Arial"/>
          <w:sz w:val="24"/>
          <w:szCs w:val="24"/>
          <w:shd w:val="clear" w:color="auto" w:fill="FFFFFF"/>
        </w:rPr>
        <w:t xml:space="preserve">uite the opposite. </w:t>
      </w:r>
      <w:r w:rsidR="005A2B01">
        <w:rPr>
          <w:rFonts w:ascii="Arial" w:hAnsi="Arial" w:cs="Arial"/>
          <w:sz w:val="24"/>
          <w:szCs w:val="24"/>
          <w:shd w:val="clear" w:color="auto" w:fill="FFFFFF"/>
        </w:rPr>
        <w:t>Ohio Power admitted that “[e]</w:t>
      </w:r>
      <w:proofErr w:type="spellStart"/>
      <w:r w:rsidRPr="005A2B01" w:rsidR="005A2B01">
        <w:rPr>
          <w:rFonts w:ascii="Arial" w:hAnsi="Arial" w:cs="Arial"/>
          <w:sz w:val="24"/>
          <w:szCs w:val="24"/>
          <w:shd w:val="clear" w:color="auto" w:fill="FFFFFF"/>
        </w:rPr>
        <w:t>xcept</w:t>
      </w:r>
      <w:proofErr w:type="spellEnd"/>
      <w:r w:rsidRPr="005A2B01" w:rsidR="005A2B01">
        <w:rPr>
          <w:rFonts w:ascii="Arial" w:hAnsi="Arial" w:cs="Arial"/>
          <w:sz w:val="24"/>
          <w:szCs w:val="24"/>
          <w:shd w:val="clear" w:color="auto" w:fill="FFFFFF"/>
        </w:rPr>
        <w:t xml:space="preserve"> as identified in Exhibit DMR-2, the Company is not aware of differences in cost of</w:t>
      </w:r>
      <w:r w:rsidR="005A2B01">
        <w:rPr>
          <w:rFonts w:ascii="Arial" w:hAnsi="Arial" w:cs="Arial"/>
          <w:sz w:val="24"/>
          <w:szCs w:val="24"/>
          <w:shd w:val="clear" w:color="auto" w:fill="FFFFFF"/>
        </w:rPr>
        <w:t xml:space="preserve"> </w:t>
      </w:r>
      <w:r w:rsidRPr="005A2B01" w:rsidR="005A2B01">
        <w:rPr>
          <w:rFonts w:ascii="Arial" w:hAnsi="Arial" w:cs="Arial"/>
          <w:sz w:val="24"/>
          <w:szCs w:val="24"/>
          <w:shd w:val="clear" w:color="auto" w:fill="FFFFFF"/>
        </w:rPr>
        <w:t>providing distribution service to shopping and non-shopping customers.</w:t>
      </w:r>
      <w:r w:rsidR="005A2B01">
        <w:rPr>
          <w:rFonts w:ascii="Arial" w:hAnsi="Arial" w:cs="Arial"/>
          <w:sz w:val="24"/>
          <w:szCs w:val="24"/>
          <w:shd w:val="clear" w:color="auto" w:fill="FFFFFF"/>
        </w:rPr>
        <w:t>”</w:t>
      </w:r>
      <w:r w:rsidR="00B26E7B">
        <w:rPr>
          <w:rFonts w:ascii="Arial" w:hAnsi="Arial" w:cs="Arial"/>
          <w:sz w:val="24"/>
          <w:szCs w:val="24"/>
          <w:shd w:val="clear" w:color="auto" w:fill="FFFFFF"/>
        </w:rPr>
        <w:t xml:space="preserve"> IGS Ex. 14, Response to </w:t>
      </w:r>
      <w:r w:rsidR="005307AD">
        <w:rPr>
          <w:rFonts w:ascii="Arial" w:hAnsi="Arial" w:cs="Arial"/>
          <w:sz w:val="24"/>
          <w:szCs w:val="24"/>
          <w:shd w:val="clear" w:color="auto" w:fill="FFFFFF"/>
        </w:rPr>
        <w:t>N.</w:t>
      </w:r>
    </w:p>
    <w:p w:rsidRPr="00EB2ECF" w:rsidR="008359E7" w:rsidP="00A028D6" w:rsidRDefault="008359E7" w14:paraId="4414F0F6" w14:textId="05724805">
      <w:pPr>
        <w:spacing w:after="0" w:line="480" w:lineRule="auto"/>
        <w:ind w:firstLine="720"/>
        <w:jc w:val="both"/>
        <w:rPr>
          <w:rFonts w:ascii="Arial" w:hAnsi="Arial" w:cs="Arial"/>
          <w:sz w:val="24"/>
          <w:szCs w:val="24"/>
          <w:shd w:val="clear" w:color="auto" w:fill="FFFFFF"/>
        </w:rPr>
      </w:pPr>
      <w:r w:rsidRPr="00EB2ECF">
        <w:rPr>
          <w:rFonts w:ascii="Arial" w:hAnsi="Arial" w:cs="Arial"/>
          <w:sz w:val="24"/>
          <w:szCs w:val="24"/>
          <w:shd w:val="clear" w:color="auto" w:fill="FFFFFF"/>
        </w:rPr>
        <w:t xml:space="preserve">Moreover, if Ohio Power did incur costs to switch customers from the SSO to a CRES provider and from a CRES provider to the SSO, it defies logic that only the former situation results in the assessment of a fee. Therefore, this is an undue and unreasonable preference provided to the SSO in violation of R.C. 4905.35. </w:t>
      </w:r>
    </w:p>
    <w:p w:rsidRPr="007A58BF" w:rsidR="00C51900" w:rsidP="002D6D42" w:rsidRDefault="00C51900" w14:paraId="71E05C65" w14:textId="6EB6CF02">
      <w:pPr>
        <w:pStyle w:val="Heading2"/>
        <w:numPr>
          <w:ilvl w:val="0"/>
          <w:numId w:val="15"/>
        </w:numPr>
      </w:pPr>
      <w:bookmarkStart w:name="_Toc74573092" w:id="33"/>
      <w:r w:rsidRPr="007A58BF">
        <w:t xml:space="preserve">The failure to </w:t>
      </w:r>
      <w:r w:rsidR="002D6D42">
        <w:t>investigate</w:t>
      </w:r>
      <w:r w:rsidRPr="007A58BF">
        <w:t xml:space="preserve"> and remove the costs associated with customer sited generation projects </w:t>
      </w:r>
      <w:r>
        <w:t xml:space="preserve">from distribution rates </w:t>
      </w:r>
      <w:r w:rsidRPr="007A58BF">
        <w:t>violates Ohio law.</w:t>
      </w:r>
      <w:bookmarkEnd w:id="33"/>
      <w:r w:rsidRPr="007A58BF">
        <w:t xml:space="preserve"> </w:t>
      </w:r>
    </w:p>
    <w:p w:rsidRPr="002A2739" w:rsidR="004D3519" w:rsidP="007E27BD" w:rsidRDefault="004D3519" w14:paraId="20B99AF7" w14:textId="77777777">
      <w:pPr>
        <w:spacing w:after="0" w:line="480" w:lineRule="auto"/>
        <w:jc w:val="both"/>
        <w:rPr>
          <w:rFonts w:ascii="Arial" w:hAnsi="Arial" w:cs="Arial"/>
          <w:sz w:val="24"/>
          <w:szCs w:val="24"/>
        </w:rPr>
      </w:pPr>
      <w:r w:rsidRPr="002A2739">
        <w:rPr>
          <w:rFonts w:ascii="Arial" w:hAnsi="Arial" w:cs="Arial"/>
          <w:sz w:val="24"/>
          <w:szCs w:val="24"/>
        </w:rPr>
        <w:tab/>
      </w:r>
      <w:r w:rsidRPr="002A2739">
        <w:rPr>
          <w:rFonts w:ascii="Arial" w:hAnsi="Arial" w:cs="Arial"/>
          <w:sz w:val="24"/>
          <w:szCs w:val="24"/>
        </w:rPr>
        <w:t>Recent changes to Ohio law permit an EDU to enter into an agreement with mercantile customers for the purpose of constructing a customer sited renewable energy resource, subject to Commission approval. R.C. 4928.47(A). However, “any direct or indirect costs” associated with the project shall be paid for solely by the EDU and the mercantile customer(s). R.C. 4928.47(B). “At no point shall the [C]</w:t>
      </w:r>
      <w:proofErr w:type="spellStart"/>
      <w:r w:rsidRPr="002A2739">
        <w:rPr>
          <w:rFonts w:ascii="Arial" w:hAnsi="Arial" w:cs="Arial"/>
          <w:sz w:val="24"/>
          <w:szCs w:val="24"/>
        </w:rPr>
        <w:t>ommission</w:t>
      </w:r>
      <w:proofErr w:type="spellEnd"/>
      <w:r w:rsidRPr="002A2739">
        <w:rPr>
          <w:rFonts w:ascii="Arial" w:hAnsi="Arial" w:cs="Arial"/>
          <w:sz w:val="24"/>
          <w:szCs w:val="24"/>
        </w:rPr>
        <w:t xml:space="preserve"> authorize the utility to collect, nor shall the utility ever collect, any of those costs from any customer other than the mercantile customer or group of mercantile customers.” R.C. 4928.47(B). Additionally, state policy prohibits the recovery of any-generation related costs through </w:t>
      </w:r>
      <w:r w:rsidRPr="002A2739">
        <w:rPr>
          <w:rFonts w:ascii="Arial" w:hAnsi="Arial" w:cs="Arial"/>
          <w:sz w:val="24"/>
          <w:szCs w:val="24"/>
        </w:rPr>
        <w:lastRenderedPageBreak/>
        <w:t>distribution rates. R.C. 4928.02(H). Despite evidence that Ohio Power has been engaging customers regarding generation projects, Staff failed to examine whether the proposed distribution rates include any costs associated with customer sited generation projects. Without a proper investigation, the Commission’s approval of the Stipulation runs afoul with Ohio law.</w:t>
      </w:r>
    </w:p>
    <w:p w:rsidR="004D3519" w:rsidP="007E27BD" w:rsidRDefault="004D3519" w14:paraId="7E4C6A4F" w14:textId="3CCA1C0A">
      <w:pPr>
        <w:spacing w:after="0" w:line="480" w:lineRule="auto"/>
        <w:jc w:val="both"/>
        <w:rPr>
          <w:rFonts w:ascii="Arial" w:hAnsi="Arial" w:cs="Arial"/>
          <w:sz w:val="24"/>
          <w:szCs w:val="24"/>
        </w:rPr>
      </w:pPr>
      <w:r w:rsidRPr="002A2739">
        <w:rPr>
          <w:rFonts w:ascii="Arial" w:hAnsi="Arial" w:cs="Arial"/>
          <w:sz w:val="24"/>
          <w:szCs w:val="24"/>
        </w:rPr>
        <w:tab/>
      </w:r>
      <w:r w:rsidRPr="002A2739">
        <w:rPr>
          <w:rFonts w:ascii="Arial" w:hAnsi="Arial" w:cs="Arial"/>
          <w:sz w:val="24"/>
          <w:szCs w:val="24"/>
        </w:rPr>
        <w:t>As admitted by the Company</w:t>
      </w:r>
      <w:r w:rsidR="00F83E3B">
        <w:rPr>
          <w:rFonts w:ascii="Arial" w:hAnsi="Arial" w:cs="Arial"/>
          <w:sz w:val="24"/>
          <w:szCs w:val="24"/>
        </w:rPr>
        <w:t>, Ohio Power employees</w:t>
      </w:r>
      <w:r w:rsidRPr="002A2739">
        <w:rPr>
          <w:rFonts w:ascii="Arial" w:hAnsi="Arial" w:cs="Arial"/>
          <w:sz w:val="24"/>
          <w:szCs w:val="24"/>
        </w:rPr>
        <w:t xml:space="preserve"> </w:t>
      </w:r>
      <w:r w:rsidR="00F83E3B">
        <w:rPr>
          <w:rFonts w:ascii="Arial" w:hAnsi="Arial" w:cs="Arial"/>
          <w:sz w:val="24"/>
          <w:szCs w:val="24"/>
        </w:rPr>
        <w:t>are</w:t>
      </w:r>
      <w:r>
        <w:rPr>
          <w:rFonts w:ascii="Arial" w:hAnsi="Arial" w:cs="Arial"/>
          <w:sz w:val="24"/>
          <w:szCs w:val="24"/>
        </w:rPr>
        <w:t xml:space="preserve"> actively engaging</w:t>
      </w:r>
      <w:r w:rsidR="002D6D42">
        <w:rPr>
          <w:rFonts w:ascii="Arial" w:hAnsi="Arial" w:cs="Arial"/>
          <w:sz w:val="24"/>
          <w:szCs w:val="24"/>
        </w:rPr>
        <w:t xml:space="preserve"> with</w:t>
      </w:r>
      <w:r w:rsidRPr="002A2739">
        <w:rPr>
          <w:rFonts w:ascii="Arial" w:hAnsi="Arial" w:cs="Arial"/>
          <w:sz w:val="24"/>
          <w:szCs w:val="24"/>
        </w:rPr>
        <w:t xml:space="preserve"> its </w:t>
      </w:r>
      <w:r w:rsidR="007C7D18">
        <w:rPr>
          <w:rFonts w:ascii="Arial" w:hAnsi="Arial" w:cs="Arial"/>
          <w:sz w:val="24"/>
          <w:szCs w:val="24"/>
        </w:rPr>
        <w:t>mercantile customers</w:t>
      </w:r>
      <w:r w:rsidRPr="002A2739">
        <w:rPr>
          <w:rFonts w:ascii="Arial" w:hAnsi="Arial" w:cs="Arial"/>
          <w:sz w:val="24"/>
          <w:szCs w:val="24"/>
        </w:rPr>
        <w:t xml:space="preserve"> regarding </w:t>
      </w:r>
      <w:r w:rsidR="00B013DE">
        <w:rPr>
          <w:rFonts w:ascii="Arial" w:hAnsi="Arial" w:cs="Arial"/>
          <w:sz w:val="24"/>
          <w:szCs w:val="24"/>
        </w:rPr>
        <w:t>customer</w:t>
      </w:r>
      <w:r w:rsidR="00F30833">
        <w:rPr>
          <w:rFonts w:ascii="Arial" w:hAnsi="Arial" w:cs="Arial"/>
          <w:sz w:val="24"/>
          <w:szCs w:val="24"/>
        </w:rPr>
        <w:t xml:space="preserve"> </w:t>
      </w:r>
      <w:r w:rsidR="00B013DE">
        <w:rPr>
          <w:rFonts w:ascii="Arial" w:hAnsi="Arial" w:cs="Arial"/>
          <w:sz w:val="24"/>
          <w:szCs w:val="24"/>
        </w:rPr>
        <w:t xml:space="preserve">sited </w:t>
      </w:r>
      <w:r w:rsidR="00DC3D9D">
        <w:rPr>
          <w:rFonts w:ascii="Arial" w:hAnsi="Arial" w:cs="Arial"/>
          <w:sz w:val="24"/>
          <w:szCs w:val="24"/>
        </w:rPr>
        <w:t xml:space="preserve">renewable energy </w:t>
      </w:r>
      <w:r w:rsidR="00B013DE">
        <w:rPr>
          <w:rFonts w:ascii="Arial" w:hAnsi="Arial" w:cs="Arial"/>
          <w:sz w:val="24"/>
          <w:szCs w:val="24"/>
        </w:rPr>
        <w:t>generation projects</w:t>
      </w:r>
      <w:r w:rsidRPr="00967AB5">
        <w:rPr>
          <w:rFonts w:ascii="Arial" w:hAnsi="Arial" w:cs="Arial"/>
          <w:sz w:val="24"/>
          <w:szCs w:val="24"/>
        </w:rPr>
        <w:t>. Tr. at 97</w:t>
      </w:r>
      <w:r>
        <w:rPr>
          <w:rFonts w:ascii="Arial" w:hAnsi="Arial" w:cs="Arial"/>
          <w:sz w:val="24"/>
          <w:szCs w:val="24"/>
        </w:rPr>
        <w:t>8-979, 983-984</w:t>
      </w:r>
      <w:r w:rsidRPr="00967AB5">
        <w:rPr>
          <w:rFonts w:ascii="Arial" w:hAnsi="Arial" w:cs="Arial"/>
          <w:sz w:val="24"/>
          <w:szCs w:val="24"/>
        </w:rPr>
        <w:t xml:space="preserve">; </w:t>
      </w:r>
      <w:r w:rsidR="0048709D">
        <w:rPr>
          <w:rFonts w:ascii="Arial" w:hAnsi="Arial" w:cs="Arial"/>
          <w:sz w:val="24"/>
          <w:szCs w:val="24"/>
        </w:rPr>
        <w:t xml:space="preserve">IGS/Direct </w:t>
      </w:r>
      <w:r w:rsidR="00497932">
        <w:rPr>
          <w:rFonts w:ascii="Arial" w:hAnsi="Arial" w:cs="Arial"/>
          <w:sz w:val="24"/>
          <w:szCs w:val="24"/>
        </w:rPr>
        <w:t xml:space="preserve">Ex. </w:t>
      </w:r>
      <w:r w:rsidR="004E3BA6">
        <w:rPr>
          <w:rFonts w:ascii="Arial" w:hAnsi="Arial" w:cs="Arial"/>
          <w:sz w:val="24"/>
          <w:szCs w:val="24"/>
        </w:rPr>
        <w:t>2</w:t>
      </w:r>
      <w:r w:rsidR="00497932">
        <w:rPr>
          <w:rFonts w:ascii="Arial" w:hAnsi="Arial" w:cs="Arial"/>
          <w:sz w:val="24"/>
          <w:szCs w:val="24"/>
        </w:rPr>
        <w:t xml:space="preserve"> at </w:t>
      </w:r>
      <w:r w:rsidR="00EE66BB">
        <w:rPr>
          <w:rFonts w:ascii="Arial" w:hAnsi="Arial" w:cs="Arial"/>
          <w:sz w:val="24"/>
          <w:szCs w:val="24"/>
        </w:rPr>
        <w:t xml:space="preserve">55, </w:t>
      </w:r>
      <w:r w:rsidRPr="00BF27AA" w:rsidR="00EE66BB">
        <w:rPr>
          <w:rFonts w:ascii="Arial" w:hAnsi="Arial" w:cs="Arial"/>
          <w:i/>
          <w:sz w:val="24"/>
          <w:szCs w:val="24"/>
        </w:rPr>
        <w:t>citing</w:t>
      </w:r>
      <w:r w:rsidR="00EE66BB">
        <w:rPr>
          <w:rFonts w:ascii="Arial" w:hAnsi="Arial" w:cs="Arial"/>
          <w:sz w:val="24"/>
          <w:szCs w:val="24"/>
        </w:rPr>
        <w:t xml:space="preserve"> IGS Ex. 19. </w:t>
      </w:r>
      <w:r>
        <w:rPr>
          <w:rFonts w:ascii="Arial" w:hAnsi="Arial" w:cs="Arial"/>
          <w:sz w:val="24"/>
          <w:szCs w:val="24"/>
        </w:rPr>
        <w:t xml:space="preserve">Instead of tracking the costs so that they were properly removed from distribution rates, Ohio Power could not demonstrate that these costs were properly allocated or tracked.  Tr. at 972, 985.  </w:t>
      </w:r>
      <w:r w:rsidRPr="002A2739">
        <w:rPr>
          <w:rFonts w:ascii="Arial" w:hAnsi="Arial" w:cs="Arial"/>
          <w:sz w:val="24"/>
          <w:szCs w:val="24"/>
        </w:rPr>
        <w:t>Ohio Power made no attempt to identify the costs associated with these efforts by Ohio Power employees, alleging engaging customers with competitive retail electric service opportunities is part of Ohio Power’s “normal customer service work</w:t>
      </w:r>
      <w:r>
        <w:rPr>
          <w:rFonts w:ascii="Arial" w:hAnsi="Arial" w:cs="Arial"/>
          <w:sz w:val="24"/>
          <w:szCs w:val="24"/>
        </w:rPr>
        <w:t>.</w:t>
      </w:r>
      <w:r w:rsidRPr="00967AB5">
        <w:rPr>
          <w:rFonts w:ascii="Arial" w:hAnsi="Arial" w:cs="Arial"/>
          <w:sz w:val="24"/>
          <w:szCs w:val="24"/>
        </w:rPr>
        <w:t>”</w:t>
      </w:r>
      <w:r>
        <w:rPr>
          <w:rFonts w:ascii="Arial" w:hAnsi="Arial" w:cs="Arial"/>
          <w:sz w:val="24"/>
          <w:szCs w:val="24"/>
        </w:rPr>
        <w:t xml:space="preserve">  </w:t>
      </w:r>
      <w:r w:rsidRPr="00967AB5">
        <w:rPr>
          <w:rFonts w:ascii="Arial" w:hAnsi="Arial" w:cs="Arial"/>
          <w:sz w:val="24"/>
          <w:szCs w:val="24"/>
        </w:rPr>
        <w:t>Tr. at 971-</w:t>
      </w:r>
      <w:r>
        <w:rPr>
          <w:rFonts w:ascii="Arial" w:hAnsi="Arial" w:cs="Arial"/>
          <w:sz w:val="24"/>
          <w:szCs w:val="24"/>
        </w:rPr>
        <w:t>9</w:t>
      </w:r>
      <w:r w:rsidRPr="00967AB5">
        <w:rPr>
          <w:rFonts w:ascii="Arial" w:hAnsi="Arial" w:cs="Arial"/>
          <w:sz w:val="24"/>
          <w:szCs w:val="24"/>
        </w:rPr>
        <w:t>72</w:t>
      </w:r>
      <w:r>
        <w:rPr>
          <w:rFonts w:ascii="Arial" w:hAnsi="Arial" w:cs="Arial"/>
          <w:sz w:val="24"/>
          <w:szCs w:val="24"/>
        </w:rPr>
        <w:t xml:space="preserve">.  </w:t>
      </w:r>
      <w:r w:rsidR="004D3608">
        <w:rPr>
          <w:rFonts w:ascii="Arial" w:hAnsi="Arial" w:cs="Arial"/>
          <w:sz w:val="24"/>
          <w:szCs w:val="24"/>
        </w:rPr>
        <w:t xml:space="preserve">In this instance, Ohio Power also claims that these marketing costs were “incidental” to distribution service. IGS Ex. 19. </w:t>
      </w:r>
      <w:r>
        <w:rPr>
          <w:rFonts w:ascii="Arial" w:hAnsi="Arial" w:cs="Arial"/>
          <w:sz w:val="24"/>
          <w:szCs w:val="24"/>
        </w:rPr>
        <w:t xml:space="preserve">As it did with unbundling costs, Ohio Power again relabels the costs as something they are not.  </w:t>
      </w:r>
    </w:p>
    <w:p w:rsidRPr="002A2739" w:rsidR="004D3519" w:rsidP="007E27BD" w:rsidRDefault="004D3519" w14:paraId="54974173" w14:textId="30A28DF1">
      <w:pPr>
        <w:spacing w:after="0" w:line="480" w:lineRule="auto"/>
        <w:ind w:firstLine="720"/>
        <w:jc w:val="both"/>
        <w:rPr>
          <w:rFonts w:ascii="Arial" w:hAnsi="Arial" w:cs="Arial"/>
          <w:sz w:val="24"/>
          <w:szCs w:val="24"/>
        </w:rPr>
      </w:pPr>
      <w:r>
        <w:rPr>
          <w:rFonts w:ascii="Arial" w:hAnsi="Arial" w:cs="Arial"/>
          <w:sz w:val="24"/>
          <w:szCs w:val="24"/>
        </w:rPr>
        <w:t>The failure to properly se</w:t>
      </w:r>
      <w:r w:rsidR="00345A37">
        <w:rPr>
          <w:rFonts w:ascii="Arial" w:hAnsi="Arial" w:cs="Arial"/>
          <w:sz w:val="24"/>
          <w:szCs w:val="24"/>
        </w:rPr>
        <w:t>parate</w:t>
      </w:r>
      <w:r>
        <w:rPr>
          <w:rFonts w:ascii="Arial" w:hAnsi="Arial" w:cs="Arial"/>
          <w:sz w:val="24"/>
          <w:szCs w:val="24"/>
        </w:rPr>
        <w:t xml:space="preserve"> marketing activities related to generation projects is not new at Ohio Power.  Prior to the test year, Ohio Power engaged in marketing efforts related to its ill-fated attempt to justify arrangements with to solar projects.  Tr. at 167-168; IGS Ex. 8, 9.  </w:t>
      </w:r>
      <w:r w:rsidRPr="002A2739">
        <w:rPr>
          <w:rFonts w:ascii="Arial" w:hAnsi="Arial" w:cs="Arial"/>
          <w:sz w:val="24"/>
          <w:szCs w:val="24"/>
        </w:rPr>
        <w:t xml:space="preserve">As part of that effort, in late 2019, Ohio Power </w:t>
      </w:r>
      <w:r>
        <w:rPr>
          <w:rFonts w:ascii="Arial" w:hAnsi="Arial" w:cs="Arial"/>
          <w:sz w:val="24"/>
          <w:szCs w:val="24"/>
        </w:rPr>
        <w:t>solicited</w:t>
      </w:r>
      <w:r w:rsidRPr="002A2739">
        <w:rPr>
          <w:rFonts w:ascii="Arial" w:hAnsi="Arial" w:cs="Arial"/>
          <w:sz w:val="24"/>
          <w:szCs w:val="24"/>
        </w:rPr>
        <w:t xml:space="preserve"> numerous customers </w:t>
      </w:r>
      <w:r>
        <w:rPr>
          <w:rFonts w:ascii="Arial" w:hAnsi="Arial" w:cs="Arial"/>
          <w:sz w:val="24"/>
          <w:szCs w:val="24"/>
        </w:rPr>
        <w:t xml:space="preserve">and held </w:t>
      </w:r>
      <w:r w:rsidRPr="002A2739">
        <w:rPr>
          <w:rFonts w:ascii="Arial" w:hAnsi="Arial" w:cs="Arial"/>
          <w:sz w:val="24"/>
          <w:szCs w:val="24"/>
        </w:rPr>
        <w:t xml:space="preserve">meetings to discuss these generation projects with </w:t>
      </w:r>
      <w:r>
        <w:rPr>
          <w:rFonts w:ascii="Arial" w:hAnsi="Arial" w:cs="Arial"/>
          <w:sz w:val="24"/>
          <w:szCs w:val="24"/>
        </w:rPr>
        <w:t>those interested</w:t>
      </w:r>
      <w:r w:rsidRPr="002A2739">
        <w:rPr>
          <w:rFonts w:ascii="Arial" w:hAnsi="Arial" w:cs="Arial"/>
          <w:sz w:val="24"/>
          <w:szCs w:val="24"/>
        </w:rPr>
        <w:t>. Tr. 969-970; IGS Ex. 9</w:t>
      </w:r>
      <w:r>
        <w:rPr>
          <w:rFonts w:ascii="Arial" w:hAnsi="Arial" w:cs="Arial"/>
          <w:sz w:val="24"/>
          <w:szCs w:val="24"/>
        </w:rPr>
        <w:t xml:space="preserve">, </w:t>
      </w:r>
      <w:r w:rsidRPr="002A2739">
        <w:rPr>
          <w:rFonts w:ascii="Arial" w:hAnsi="Arial" w:cs="Arial"/>
          <w:sz w:val="24"/>
          <w:szCs w:val="24"/>
        </w:rPr>
        <w:t xml:space="preserve">10. </w:t>
      </w:r>
      <w:r>
        <w:rPr>
          <w:rFonts w:ascii="Arial" w:hAnsi="Arial" w:cs="Arial"/>
          <w:sz w:val="24"/>
          <w:szCs w:val="24"/>
        </w:rPr>
        <w:t xml:space="preserve">While these projects did not trigger any test year expenses, </w:t>
      </w:r>
      <w:r>
        <w:rPr>
          <w:rFonts w:ascii="Arial" w:hAnsi="Arial" w:cs="Arial"/>
          <w:sz w:val="24"/>
          <w:szCs w:val="24"/>
        </w:rPr>
        <w:lastRenderedPageBreak/>
        <w:t>they should have been a warning that Ohio Power was engaged in marketing activities using employees whose costs were recovered in distribution rates.  Tr. at 168.</w:t>
      </w:r>
    </w:p>
    <w:p w:rsidRPr="00CD19C2" w:rsidR="004D3519" w:rsidP="007E27BD" w:rsidRDefault="004D3519" w14:paraId="49B6B038" w14:textId="11756AF5">
      <w:pPr>
        <w:spacing w:after="0" w:line="480" w:lineRule="auto"/>
        <w:ind w:firstLine="720"/>
        <w:jc w:val="both"/>
        <w:rPr>
          <w:rFonts w:ascii="Arial" w:hAnsi="Arial" w:cs="Arial"/>
          <w:sz w:val="24"/>
          <w:szCs w:val="24"/>
        </w:rPr>
      </w:pPr>
      <w:r>
        <w:rPr>
          <w:rFonts w:ascii="Arial" w:hAnsi="Arial" w:cs="Arial"/>
          <w:sz w:val="24"/>
          <w:szCs w:val="24"/>
        </w:rPr>
        <w:t xml:space="preserve">Although these marketing efforts should have set off alarm bells in the investigation, such was not the case.  </w:t>
      </w:r>
      <w:r w:rsidRPr="002A2739">
        <w:rPr>
          <w:rFonts w:ascii="Arial" w:hAnsi="Arial" w:cs="Arial"/>
          <w:sz w:val="24"/>
          <w:szCs w:val="24"/>
        </w:rPr>
        <w:t>Staff performed no investigation to quantify the costs</w:t>
      </w:r>
      <w:r>
        <w:rPr>
          <w:rFonts w:ascii="Arial" w:hAnsi="Arial" w:cs="Arial"/>
          <w:sz w:val="24"/>
          <w:szCs w:val="24"/>
        </w:rPr>
        <w:t xml:space="preserve"> that would be recovered in distribution rates</w:t>
      </w:r>
      <w:r w:rsidRPr="002A2739">
        <w:rPr>
          <w:rFonts w:ascii="Arial" w:hAnsi="Arial" w:cs="Arial"/>
          <w:sz w:val="24"/>
          <w:szCs w:val="24"/>
        </w:rPr>
        <w:t xml:space="preserve">. Tr. </w:t>
      </w:r>
      <w:r>
        <w:rPr>
          <w:rFonts w:ascii="Arial" w:hAnsi="Arial" w:cs="Arial"/>
          <w:sz w:val="24"/>
          <w:szCs w:val="24"/>
        </w:rPr>
        <w:t xml:space="preserve">at </w:t>
      </w:r>
      <w:r w:rsidRPr="002A2739">
        <w:rPr>
          <w:rFonts w:ascii="Arial" w:hAnsi="Arial" w:cs="Arial"/>
          <w:sz w:val="24"/>
          <w:szCs w:val="24"/>
        </w:rPr>
        <w:t>330-33</w:t>
      </w:r>
      <w:r>
        <w:rPr>
          <w:rFonts w:ascii="Arial" w:hAnsi="Arial" w:cs="Arial"/>
          <w:sz w:val="24"/>
          <w:szCs w:val="24"/>
        </w:rPr>
        <w:t>.</w:t>
      </w:r>
      <w:r w:rsidRPr="002A2739">
        <w:rPr>
          <w:rFonts w:ascii="Arial" w:hAnsi="Arial" w:cs="Arial"/>
          <w:sz w:val="24"/>
          <w:szCs w:val="24"/>
        </w:rPr>
        <w:t xml:space="preserve"> </w:t>
      </w:r>
      <w:r>
        <w:rPr>
          <w:rFonts w:ascii="Arial" w:hAnsi="Arial" w:cs="Arial"/>
          <w:sz w:val="24"/>
          <w:szCs w:val="24"/>
        </w:rPr>
        <w:t>It did not investigate</w:t>
      </w:r>
      <w:r w:rsidRPr="002A2739">
        <w:rPr>
          <w:rFonts w:ascii="Arial" w:hAnsi="Arial" w:cs="Arial"/>
          <w:sz w:val="24"/>
          <w:szCs w:val="24"/>
        </w:rPr>
        <w:t xml:space="preserve"> the number of discussions or meetings held by Ohio Power regarding these projects, the number of Ohio Power employees in the discussions, the hours and corresponding wages of the employees involved, or any other costs such as administrative or support staff involved in the meetings. </w:t>
      </w:r>
      <w:r w:rsidRPr="0024630E">
        <w:rPr>
          <w:rFonts w:ascii="Arial" w:hAnsi="Arial" w:cs="Arial"/>
          <w:sz w:val="24"/>
          <w:szCs w:val="24"/>
        </w:rPr>
        <w:t xml:space="preserve">Tr. at 330-331. Instead, Staff simply concurred that the costs were </w:t>
      </w:r>
      <w:r w:rsidR="00087FFA">
        <w:rPr>
          <w:rFonts w:ascii="Arial" w:hAnsi="Arial" w:cs="Arial"/>
          <w:sz w:val="24"/>
          <w:szCs w:val="24"/>
        </w:rPr>
        <w:t>“</w:t>
      </w:r>
      <w:r w:rsidRPr="0024630E">
        <w:rPr>
          <w:rFonts w:ascii="Arial" w:hAnsi="Arial" w:cs="Arial"/>
          <w:sz w:val="24"/>
          <w:szCs w:val="24"/>
        </w:rPr>
        <w:t>incidental.</w:t>
      </w:r>
      <w:r w:rsidR="00087FFA">
        <w:rPr>
          <w:rFonts w:ascii="Arial" w:hAnsi="Arial" w:cs="Arial"/>
          <w:sz w:val="24"/>
          <w:szCs w:val="24"/>
        </w:rPr>
        <w:t>”</w:t>
      </w:r>
      <w:r w:rsidRPr="0024630E">
        <w:rPr>
          <w:rFonts w:ascii="Arial" w:hAnsi="Arial" w:cs="Arial"/>
          <w:sz w:val="24"/>
          <w:szCs w:val="24"/>
        </w:rPr>
        <w:t xml:space="preserve"> </w:t>
      </w:r>
      <w:r>
        <w:rPr>
          <w:rFonts w:ascii="Arial" w:hAnsi="Arial" w:cs="Arial"/>
          <w:sz w:val="24"/>
          <w:szCs w:val="24"/>
        </w:rPr>
        <w:t>Staff Ex. 3</w:t>
      </w:r>
      <w:r w:rsidRPr="0024630E">
        <w:rPr>
          <w:rFonts w:ascii="Arial" w:hAnsi="Arial" w:cs="Arial"/>
          <w:sz w:val="24"/>
          <w:szCs w:val="24"/>
        </w:rPr>
        <w:t xml:space="preserve"> at 14; Tr. at 328. </w:t>
      </w:r>
    </w:p>
    <w:p w:rsidR="004D3519" w:rsidP="007E27BD" w:rsidRDefault="004D3519" w14:paraId="00932D37" w14:textId="77777777">
      <w:pPr>
        <w:spacing w:after="0" w:line="480" w:lineRule="auto"/>
        <w:ind w:firstLine="720"/>
        <w:jc w:val="both"/>
        <w:rPr>
          <w:rFonts w:ascii="Arial" w:hAnsi="Arial" w:cs="Arial"/>
          <w:sz w:val="24"/>
          <w:szCs w:val="24"/>
        </w:rPr>
      </w:pPr>
      <w:r>
        <w:rPr>
          <w:rFonts w:ascii="Arial" w:hAnsi="Arial" w:cs="Arial"/>
          <w:sz w:val="24"/>
          <w:szCs w:val="24"/>
        </w:rPr>
        <w:t>The concerns raised by the position of Ohio Power that these costs are distribution related and recoverable in distribution rates are significant.  R.C. 4928.47 requires just that sort of cost separation.  The reasons for that statutory requirement are obvious: the failure to properly remove these costs from distribution rates provides</w:t>
      </w:r>
      <w:r w:rsidRPr="00130FE9">
        <w:rPr>
          <w:rFonts w:ascii="Arial" w:hAnsi="Arial" w:cs="Arial"/>
          <w:sz w:val="24"/>
          <w:szCs w:val="24"/>
        </w:rPr>
        <w:t xml:space="preserve"> Ohio Power with unlimited access to resources funded </w:t>
      </w:r>
      <w:r>
        <w:rPr>
          <w:rFonts w:ascii="Arial" w:hAnsi="Arial" w:cs="Arial"/>
          <w:sz w:val="24"/>
          <w:szCs w:val="24"/>
        </w:rPr>
        <w:t>with</w:t>
      </w:r>
      <w:r w:rsidRPr="00130FE9">
        <w:rPr>
          <w:rFonts w:ascii="Arial" w:hAnsi="Arial" w:cs="Arial"/>
          <w:sz w:val="24"/>
          <w:szCs w:val="24"/>
        </w:rPr>
        <w:t xml:space="preserve"> distribution dollars </w:t>
      </w:r>
      <w:r>
        <w:rPr>
          <w:rFonts w:ascii="Arial" w:hAnsi="Arial" w:cs="Arial"/>
          <w:sz w:val="24"/>
          <w:szCs w:val="24"/>
        </w:rPr>
        <w:t>to solicit</w:t>
      </w:r>
      <w:r w:rsidRPr="00130FE9">
        <w:rPr>
          <w:rFonts w:ascii="Arial" w:hAnsi="Arial" w:cs="Arial"/>
          <w:sz w:val="24"/>
          <w:szCs w:val="24"/>
        </w:rPr>
        <w:t xml:space="preserve"> its distribution customers, engaging and negotiating with prospects, and project design</w:t>
      </w:r>
      <w:r>
        <w:rPr>
          <w:rFonts w:ascii="Arial" w:hAnsi="Arial" w:cs="Arial"/>
          <w:sz w:val="24"/>
          <w:szCs w:val="24"/>
        </w:rPr>
        <w:t xml:space="preserve"> for the purpose of developing on-site generation projects.  As a result, Ohio Power is cross-subsidizing its marketing activities with distribution rate dollars.  IGS/Direct Ex. 2 at 24.  </w:t>
      </w:r>
    </w:p>
    <w:p w:rsidRPr="00032186" w:rsidR="004D3519" w:rsidP="007E27BD" w:rsidRDefault="004D3519" w14:paraId="293A346E" w14:textId="1165CF6F">
      <w:pPr>
        <w:spacing w:after="0" w:line="480" w:lineRule="auto"/>
        <w:ind w:firstLine="720"/>
        <w:jc w:val="both"/>
        <w:rPr>
          <w:rFonts w:ascii="Arial" w:hAnsi="Arial" w:cs="Arial"/>
          <w:sz w:val="24"/>
          <w:szCs w:val="24"/>
        </w:rPr>
      </w:pPr>
      <w:r w:rsidRPr="00130FE9">
        <w:rPr>
          <w:rFonts w:ascii="Arial" w:hAnsi="Arial" w:cs="Arial"/>
          <w:sz w:val="24"/>
          <w:szCs w:val="24"/>
        </w:rPr>
        <w:t>Because there was no investigation into the costs associated with Ohio Power’s efforts to provide its customers with generation service, it is unknown the full extent of these costs hidden in distribution rates.</w:t>
      </w:r>
      <w:r>
        <w:rPr>
          <w:rFonts w:ascii="Arial" w:hAnsi="Arial" w:cs="Arial"/>
          <w:sz w:val="24"/>
          <w:szCs w:val="24"/>
        </w:rPr>
        <w:t xml:space="preserve">  I</w:t>
      </w:r>
      <w:r w:rsidRPr="00130FE9">
        <w:rPr>
          <w:rFonts w:ascii="Arial" w:hAnsi="Arial" w:cs="Arial"/>
          <w:sz w:val="24"/>
          <w:szCs w:val="24"/>
        </w:rPr>
        <w:t xml:space="preserve">n order to ensure the Commission is not authorizing the collection of costs in violation of R.C. 4928.47(B), Ohio Power should be directed to track </w:t>
      </w:r>
      <w:r w:rsidRPr="00130FE9">
        <w:rPr>
          <w:rFonts w:ascii="Arial" w:hAnsi="Arial" w:cs="Arial"/>
          <w:b/>
          <w:bCs/>
          <w:i/>
          <w:iCs/>
          <w:sz w:val="24"/>
          <w:szCs w:val="24"/>
        </w:rPr>
        <w:t>all costs</w:t>
      </w:r>
      <w:r w:rsidRPr="00130FE9">
        <w:rPr>
          <w:rFonts w:ascii="Arial" w:hAnsi="Arial" w:cs="Arial"/>
          <w:sz w:val="24"/>
          <w:szCs w:val="24"/>
        </w:rPr>
        <w:t xml:space="preserve"> – direct and indirect – associated with the customer sited </w:t>
      </w:r>
      <w:r w:rsidRPr="00130FE9">
        <w:rPr>
          <w:rFonts w:ascii="Arial" w:hAnsi="Arial" w:cs="Arial"/>
          <w:sz w:val="24"/>
          <w:szCs w:val="24"/>
        </w:rPr>
        <w:lastRenderedPageBreak/>
        <w:t>renewable energy projects for reimbursement to its distribution customers.  This</w:t>
      </w:r>
      <w:r>
        <w:rPr>
          <w:rFonts w:ascii="Arial" w:hAnsi="Arial" w:cs="Arial"/>
          <w:sz w:val="24"/>
          <w:szCs w:val="24"/>
        </w:rPr>
        <w:t xml:space="preserve"> directive should</w:t>
      </w:r>
      <w:r w:rsidRPr="00130FE9">
        <w:rPr>
          <w:rFonts w:ascii="Arial" w:hAnsi="Arial" w:cs="Arial"/>
          <w:sz w:val="24"/>
          <w:szCs w:val="24"/>
        </w:rPr>
        <w:t xml:space="preserve"> include requiring Ohio Power to begin tracking costs once they occur, instead of only when the project exists</w:t>
      </w:r>
      <w:r w:rsidR="0027582A">
        <w:rPr>
          <w:rFonts w:ascii="Arial" w:hAnsi="Arial" w:cs="Arial"/>
          <w:sz w:val="24"/>
          <w:szCs w:val="24"/>
        </w:rPr>
        <w:t>,</w:t>
      </w:r>
      <w:r w:rsidRPr="00130FE9">
        <w:rPr>
          <w:rFonts w:ascii="Arial" w:hAnsi="Arial" w:cs="Arial"/>
          <w:sz w:val="24"/>
          <w:szCs w:val="24"/>
        </w:rPr>
        <w:t xml:space="preserve"> as Ohio Power employees could spend substantial time and resources on potential projects that ultimately never move forward.  </w:t>
      </w:r>
    </w:p>
    <w:p w:rsidRPr="00E9372F" w:rsidR="00BF1DA6" w:rsidP="00E9372F" w:rsidRDefault="00BF1DA6" w14:paraId="76C81E76" w14:textId="09D385CE">
      <w:pPr>
        <w:pStyle w:val="Heading2"/>
        <w:numPr>
          <w:ilvl w:val="0"/>
          <w:numId w:val="15"/>
        </w:numPr>
      </w:pPr>
      <w:bookmarkStart w:name="_Toc74573093" w:id="34"/>
      <w:r w:rsidRPr="00E9372F">
        <w:t>The Shadow Billing provisions in the Stipulation provide no customer benefit</w:t>
      </w:r>
      <w:r w:rsidR="0027582A">
        <w:t>s</w:t>
      </w:r>
      <w:r w:rsidRPr="00E9372F">
        <w:t xml:space="preserve"> and violate Commission policy and precedent.</w:t>
      </w:r>
      <w:bookmarkEnd w:id="34"/>
      <w:r w:rsidRPr="00E9372F">
        <w:t xml:space="preserve"> </w:t>
      </w:r>
    </w:p>
    <w:p w:rsidR="00BF1DA6" w:rsidP="007E27BD" w:rsidRDefault="00BF1DA6" w14:paraId="76459451" w14:textId="0D1366C3">
      <w:pPr>
        <w:spacing w:after="0" w:line="480" w:lineRule="auto"/>
        <w:jc w:val="both"/>
        <w:rPr>
          <w:rFonts w:ascii="Arial" w:hAnsi="Arial" w:cs="Arial"/>
          <w:sz w:val="24"/>
          <w:szCs w:val="24"/>
        </w:rPr>
      </w:pPr>
      <w:r w:rsidRPr="005351B8">
        <w:rPr>
          <w:rFonts w:ascii="Arial" w:hAnsi="Arial" w:cs="Arial"/>
          <w:sz w:val="24"/>
          <w:szCs w:val="24"/>
        </w:rPr>
        <w:tab/>
      </w:r>
      <w:r>
        <w:rPr>
          <w:rFonts w:ascii="Arial" w:hAnsi="Arial" w:cs="Arial"/>
          <w:sz w:val="24"/>
          <w:szCs w:val="24"/>
        </w:rPr>
        <w:t xml:space="preserve">The Stipulation includes two provisions related to shadow billing. First, Ohio Power will perform monthly aggregate shadow billing calculations for residential customers. Jt. Ex. 1 at 11. Ohio Power will report </w:t>
      </w:r>
      <w:r w:rsidR="004D3608">
        <w:rPr>
          <w:rFonts w:ascii="Arial" w:hAnsi="Arial" w:cs="Arial"/>
          <w:sz w:val="24"/>
          <w:szCs w:val="24"/>
        </w:rPr>
        <w:t>an</w:t>
      </w:r>
      <w:r>
        <w:rPr>
          <w:rFonts w:ascii="Arial" w:hAnsi="Arial" w:cs="Arial"/>
          <w:sz w:val="24"/>
          <w:szCs w:val="24"/>
        </w:rPr>
        <w:t xml:space="preserve"> </w:t>
      </w:r>
      <w:r w:rsidRPr="00D74077">
        <w:rPr>
          <w:rFonts w:ascii="Arial" w:hAnsi="Arial" w:cs="Arial"/>
          <w:sz w:val="24"/>
          <w:szCs w:val="24"/>
        </w:rPr>
        <w:t>aggregate dollar amount of shopping</w:t>
      </w:r>
      <w:r>
        <w:rPr>
          <w:rFonts w:ascii="Arial" w:hAnsi="Arial" w:cs="Arial"/>
          <w:sz w:val="24"/>
          <w:szCs w:val="24"/>
        </w:rPr>
        <w:t xml:space="preserve"> </w:t>
      </w:r>
      <w:r w:rsidRPr="00D74077">
        <w:rPr>
          <w:rFonts w:ascii="Arial" w:hAnsi="Arial" w:cs="Arial"/>
          <w:sz w:val="24"/>
          <w:szCs w:val="24"/>
        </w:rPr>
        <w:t xml:space="preserve">customers who saved money versus being on </w:t>
      </w:r>
      <w:r>
        <w:rPr>
          <w:rFonts w:ascii="Arial" w:hAnsi="Arial" w:cs="Arial"/>
          <w:sz w:val="24"/>
          <w:szCs w:val="24"/>
        </w:rPr>
        <w:t xml:space="preserve">the SSO, and the </w:t>
      </w:r>
      <w:r w:rsidRPr="00D74077">
        <w:rPr>
          <w:rFonts w:ascii="Arial" w:hAnsi="Arial" w:cs="Arial"/>
          <w:sz w:val="24"/>
          <w:szCs w:val="24"/>
        </w:rPr>
        <w:t>aggregate dollar amount of shopping</w:t>
      </w:r>
      <w:r>
        <w:rPr>
          <w:rFonts w:ascii="Arial" w:hAnsi="Arial" w:cs="Arial"/>
          <w:sz w:val="24"/>
          <w:szCs w:val="24"/>
        </w:rPr>
        <w:t xml:space="preserve"> </w:t>
      </w:r>
      <w:r w:rsidRPr="00D74077">
        <w:rPr>
          <w:rFonts w:ascii="Arial" w:hAnsi="Arial" w:cs="Arial"/>
          <w:sz w:val="24"/>
          <w:szCs w:val="24"/>
        </w:rPr>
        <w:t xml:space="preserve">customers who </w:t>
      </w:r>
      <w:r w:rsidRPr="00031374">
        <w:rPr>
          <w:rFonts w:ascii="Arial" w:hAnsi="Arial" w:cs="Arial"/>
          <w:sz w:val="24"/>
          <w:szCs w:val="24"/>
        </w:rPr>
        <w:t>potentially</w:t>
      </w:r>
      <w:r w:rsidRPr="00D74077">
        <w:rPr>
          <w:rFonts w:ascii="Arial" w:hAnsi="Arial" w:cs="Arial"/>
          <w:sz w:val="24"/>
          <w:szCs w:val="24"/>
        </w:rPr>
        <w:t xml:space="preserve"> did not save versus being on </w:t>
      </w:r>
      <w:r>
        <w:rPr>
          <w:rFonts w:ascii="Arial" w:hAnsi="Arial" w:cs="Arial"/>
          <w:sz w:val="24"/>
          <w:szCs w:val="24"/>
        </w:rPr>
        <w:t xml:space="preserve">the SSO. </w:t>
      </w:r>
      <w:r w:rsidRPr="00D74077">
        <w:rPr>
          <w:rFonts w:ascii="Arial" w:hAnsi="Arial" w:cs="Arial"/>
          <w:i/>
          <w:iCs/>
          <w:sz w:val="24"/>
          <w:szCs w:val="24"/>
        </w:rPr>
        <w:t>Id.</w:t>
      </w:r>
      <w:r>
        <w:rPr>
          <w:rFonts w:ascii="Arial" w:hAnsi="Arial" w:cs="Arial"/>
          <w:sz w:val="24"/>
          <w:szCs w:val="24"/>
        </w:rPr>
        <w:t xml:space="preserve"> at Att. D. </w:t>
      </w:r>
      <w:r w:rsidR="00103F66">
        <w:rPr>
          <w:rFonts w:ascii="Arial" w:hAnsi="Arial" w:cs="Arial"/>
          <w:sz w:val="24"/>
          <w:szCs w:val="24"/>
        </w:rPr>
        <w:t xml:space="preserve">(As discussed below, the shopping customers that will serve as the guinea pigs for this exercise will be a subset of all shopping customers, and the billings that will be reviewed will be heavily manipulated.)  </w:t>
      </w:r>
      <w:r>
        <w:rPr>
          <w:rFonts w:ascii="Arial" w:hAnsi="Arial" w:cs="Arial"/>
          <w:sz w:val="24"/>
          <w:szCs w:val="24"/>
        </w:rPr>
        <w:t xml:space="preserve">This information would then be shared with OCC and Staff. </w:t>
      </w:r>
      <w:r w:rsidRPr="007D057F">
        <w:rPr>
          <w:rFonts w:ascii="Arial" w:hAnsi="Arial" w:cs="Arial"/>
          <w:i/>
          <w:iCs/>
          <w:sz w:val="24"/>
          <w:szCs w:val="24"/>
        </w:rPr>
        <w:t>Id.</w:t>
      </w:r>
      <w:r>
        <w:rPr>
          <w:rFonts w:ascii="Arial" w:hAnsi="Arial" w:cs="Arial"/>
          <w:sz w:val="24"/>
          <w:szCs w:val="24"/>
        </w:rPr>
        <w:t xml:space="preserve"> at 11. Second, Ohio Power and OCC have agreed to work together </w:t>
      </w:r>
      <w:r w:rsidR="00FD6F13">
        <w:rPr>
          <w:rFonts w:ascii="Arial" w:hAnsi="Arial" w:cs="Arial"/>
          <w:sz w:val="24"/>
          <w:szCs w:val="24"/>
        </w:rPr>
        <w:t>on a proposal</w:t>
      </w:r>
      <w:r>
        <w:rPr>
          <w:rFonts w:ascii="Arial" w:hAnsi="Arial" w:cs="Arial"/>
          <w:sz w:val="24"/>
          <w:szCs w:val="24"/>
        </w:rPr>
        <w:t xml:space="preserve"> to amend a filing previously submitted by Ohio Power in separate proceeding regarding its bill format. </w:t>
      </w:r>
      <w:r w:rsidRPr="00D74077">
        <w:rPr>
          <w:rFonts w:ascii="Arial" w:hAnsi="Arial" w:cs="Arial"/>
          <w:i/>
          <w:iCs/>
          <w:sz w:val="24"/>
          <w:szCs w:val="24"/>
        </w:rPr>
        <w:t xml:space="preserve">Id. </w:t>
      </w:r>
      <w:r>
        <w:rPr>
          <w:rFonts w:ascii="Arial" w:hAnsi="Arial" w:cs="Arial"/>
          <w:sz w:val="24"/>
          <w:szCs w:val="24"/>
        </w:rPr>
        <w:t xml:space="preserve">at 11. </w:t>
      </w:r>
    </w:p>
    <w:p w:rsidR="00736230" w:rsidP="007E27BD" w:rsidRDefault="00BF1DA6" w14:paraId="6CAC9C8E" w14:textId="7EC62545">
      <w:pPr>
        <w:spacing w:after="0" w:line="480" w:lineRule="auto"/>
        <w:ind w:firstLine="720"/>
        <w:jc w:val="both"/>
        <w:rPr>
          <w:rFonts w:ascii="Arial" w:hAnsi="Arial" w:cs="Arial"/>
          <w:sz w:val="24"/>
          <w:szCs w:val="24"/>
        </w:rPr>
      </w:pPr>
      <w:r>
        <w:rPr>
          <w:rFonts w:ascii="Arial" w:hAnsi="Arial" w:cs="Arial"/>
          <w:sz w:val="24"/>
          <w:szCs w:val="24"/>
        </w:rPr>
        <w:t xml:space="preserve">Initially, the inclusion of the second provision, an agreement to potentially propose something in a completely unrelated proceeding, has no bearing on the present case and should not be considered by the Commission. </w:t>
      </w:r>
    </w:p>
    <w:p w:rsidR="00BF1DA6" w:rsidP="007E27BD" w:rsidRDefault="00BF1DA6" w14:paraId="6657E694" w14:textId="1D882E27">
      <w:pPr>
        <w:spacing w:after="0" w:line="480" w:lineRule="auto"/>
        <w:ind w:firstLine="720"/>
        <w:jc w:val="both"/>
        <w:rPr>
          <w:rFonts w:ascii="Arial" w:hAnsi="Arial" w:cs="Arial"/>
          <w:sz w:val="24"/>
          <w:szCs w:val="24"/>
        </w:rPr>
      </w:pPr>
      <w:r>
        <w:rPr>
          <w:rFonts w:ascii="Arial" w:hAnsi="Arial" w:cs="Arial"/>
          <w:sz w:val="24"/>
          <w:szCs w:val="24"/>
        </w:rPr>
        <w:t xml:space="preserve">Second, the shadow billing provision that would actually </w:t>
      </w:r>
      <w:r w:rsidRPr="00A057FA">
        <w:rPr>
          <w:rFonts w:ascii="Arial" w:hAnsi="Arial" w:cs="Arial"/>
          <w:sz w:val="24"/>
          <w:szCs w:val="24"/>
        </w:rPr>
        <w:t>be implemented if the Stipulation was approved, monthly aggregate shadow billing</w:t>
      </w:r>
      <w:r w:rsidR="00141A01">
        <w:rPr>
          <w:rFonts w:ascii="Arial" w:hAnsi="Arial" w:cs="Arial"/>
          <w:sz w:val="24"/>
          <w:szCs w:val="24"/>
        </w:rPr>
        <w:t xml:space="preserve"> for residential customers</w:t>
      </w:r>
      <w:r w:rsidRPr="00A057FA">
        <w:rPr>
          <w:rFonts w:ascii="Arial" w:hAnsi="Arial" w:cs="Arial"/>
          <w:sz w:val="24"/>
          <w:szCs w:val="24"/>
        </w:rPr>
        <w:t xml:space="preserve">, provides no benefit to ratepayers and is inconsistent with </w:t>
      </w:r>
      <w:r>
        <w:rPr>
          <w:rFonts w:ascii="Arial" w:hAnsi="Arial" w:cs="Arial"/>
          <w:sz w:val="24"/>
          <w:szCs w:val="24"/>
        </w:rPr>
        <w:t xml:space="preserve">decades-long </w:t>
      </w:r>
      <w:r w:rsidRPr="00A057FA">
        <w:rPr>
          <w:rFonts w:ascii="Arial" w:hAnsi="Arial" w:cs="Arial"/>
          <w:sz w:val="24"/>
          <w:szCs w:val="24"/>
        </w:rPr>
        <w:t xml:space="preserve">Commission precedent and state policy. </w:t>
      </w:r>
      <w:r w:rsidR="00736230">
        <w:rPr>
          <w:rFonts w:ascii="Arial" w:hAnsi="Arial" w:cs="Arial"/>
          <w:sz w:val="24"/>
          <w:szCs w:val="24"/>
        </w:rPr>
        <w:t xml:space="preserve">Instead, it </w:t>
      </w:r>
      <w:r w:rsidR="00FB3D0D">
        <w:rPr>
          <w:rFonts w:ascii="Arial" w:hAnsi="Arial" w:cs="Arial"/>
          <w:sz w:val="24"/>
          <w:szCs w:val="24"/>
        </w:rPr>
        <w:t xml:space="preserve">perpetuates the mistaken belief </w:t>
      </w:r>
      <w:r w:rsidR="00AC3C17">
        <w:rPr>
          <w:rFonts w:ascii="Arial" w:hAnsi="Arial" w:cs="Arial"/>
          <w:sz w:val="24"/>
          <w:szCs w:val="24"/>
        </w:rPr>
        <w:t>t</w:t>
      </w:r>
      <w:r w:rsidRPr="00A777A3" w:rsidR="00AC3C17">
        <w:rPr>
          <w:rFonts w:ascii="Arial" w:hAnsi="Arial" w:cs="Arial"/>
          <w:sz w:val="24"/>
          <w:szCs w:val="24"/>
        </w:rPr>
        <w:t xml:space="preserve">hat </w:t>
      </w:r>
      <w:r w:rsidR="00BB49BA">
        <w:rPr>
          <w:rFonts w:ascii="Arial" w:hAnsi="Arial" w:cs="Arial"/>
          <w:sz w:val="24"/>
          <w:szCs w:val="24"/>
        </w:rPr>
        <w:t xml:space="preserve">a </w:t>
      </w:r>
      <w:r w:rsidR="008728C9">
        <w:rPr>
          <w:rFonts w:ascii="Arial" w:hAnsi="Arial" w:cs="Arial"/>
          <w:sz w:val="24"/>
          <w:szCs w:val="24"/>
        </w:rPr>
        <w:t xml:space="preserve">lower </w:t>
      </w:r>
      <w:r w:rsidR="00AD504D">
        <w:rPr>
          <w:rFonts w:ascii="Arial" w:hAnsi="Arial" w:cs="Arial"/>
          <w:sz w:val="24"/>
          <w:szCs w:val="24"/>
        </w:rPr>
        <w:t>rate</w:t>
      </w:r>
      <w:r w:rsidR="008728C9">
        <w:rPr>
          <w:rFonts w:ascii="Arial" w:hAnsi="Arial" w:cs="Arial"/>
          <w:sz w:val="24"/>
          <w:szCs w:val="24"/>
        </w:rPr>
        <w:t xml:space="preserve"> is </w:t>
      </w:r>
      <w:r w:rsidR="008728C9">
        <w:rPr>
          <w:rFonts w:ascii="Arial" w:hAnsi="Arial" w:cs="Arial"/>
          <w:sz w:val="24"/>
          <w:szCs w:val="24"/>
        </w:rPr>
        <w:lastRenderedPageBreak/>
        <w:t>the</w:t>
      </w:r>
      <w:r w:rsidRPr="00A777A3" w:rsidR="00AC3C17">
        <w:rPr>
          <w:rFonts w:ascii="Arial" w:hAnsi="Arial" w:cs="Arial"/>
          <w:sz w:val="24"/>
          <w:szCs w:val="24"/>
        </w:rPr>
        <w:t xml:space="preserve"> only benefit customers </w:t>
      </w:r>
      <w:r w:rsidR="00FB452F">
        <w:rPr>
          <w:rFonts w:ascii="Arial" w:hAnsi="Arial" w:cs="Arial"/>
          <w:sz w:val="24"/>
          <w:szCs w:val="24"/>
        </w:rPr>
        <w:t xml:space="preserve">can </w:t>
      </w:r>
      <w:r w:rsidRPr="00A777A3" w:rsidR="00AC3C17">
        <w:rPr>
          <w:rFonts w:ascii="Arial" w:hAnsi="Arial" w:cs="Arial"/>
          <w:sz w:val="24"/>
          <w:szCs w:val="24"/>
        </w:rPr>
        <w:t xml:space="preserve">receive from competition. </w:t>
      </w:r>
      <w:r w:rsidR="00620E78">
        <w:rPr>
          <w:rFonts w:ascii="Arial" w:hAnsi="Arial" w:cs="Arial"/>
          <w:sz w:val="24"/>
          <w:szCs w:val="24"/>
        </w:rPr>
        <w:t xml:space="preserve">This assumption is inconsistent with a recent Commission decision in which the Commission rejected a similar proposal advanced by OCC.  </w:t>
      </w:r>
      <w:r w:rsidR="003D4421">
        <w:rPr>
          <w:rFonts w:ascii="Arial" w:hAnsi="Arial" w:cs="Arial"/>
          <w:sz w:val="24"/>
          <w:szCs w:val="24"/>
        </w:rPr>
        <w:t>There,</w:t>
      </w:r>
      <w:r w:rsidR="00620E78">
        <w:rPr>
          <w:rFonts w:ascii="Arial" w:hAnsi="Arial" w:cs="Arial"/>
          <w:sz w:val="24"/>
          <w:szCs w:val="24"/>
        </w:rPr>
        <w:t xml:space="preserve"> the Commission </w:t>
      </w:r>
      <w:r w:rsidR="00965902">
        <w:rPr>
          <w:rFonts w:ascii="Arial" w:hAnsi="Arial" w:cs="Arial"/>
          <w:sz w:val="24"/>
          <w:szCs w:val="24"/>
        </w:rPr>
        <w:t xml:space="preserve">established a new price-to-compare statement </w:t>
      </w:r>
      <w:r w:rsidR="002129FE">
        <w:rPr>
          <w:rFonts w:ascii="Arial" w:hAnsi="Arial" w:cs="Arial"/>
          <w:sz w:val="24"/>
          <w:szCs w:val="24"/>
        </w:rPr>
        <w:t>for</w:t>
      </w:r>
      <w:r w:rsidR="00D67C2B">
        <w:rPr>
          <w:rFonts w:ascii="Arial" w:hAnsi="Arial" w:cs="Arial"/>
          <w:sz w:val="24"/>
          <w:szCs w:val="24"/>
        </w:rPr>
        <w:t xml:space="preserve"> </w:t>
      </w:r>
      <w:r w:rsidR="00AA51C0">
        <w:rPr>
          <w:rFonts w:ascii="Arial" w:hAnsi="Arial" w:cs="Arial"/>
          <w:sz w:val="24"/>
          <w:szCs w:val="24"/>
        </w:rPr>
        <w:t xml:space="preserve">residential </w:t>
      </w:r>
      <w:r w:rsidR="00D67C2B">
        <w:rPr>
          <w:rFonts w:ascii="Arial" w:hAnsi="Arial" w:cs="Arial"/>
          <w:sz w:val="24"/>
          <w:szCs w:val="24"/>
        </w:rPr>
        <w:t>natural gas bills</w:t>
      </w:r>
      <w:r w:rsidR="002129FE">
        <w:rPr>
          <w:rFonts w:ascii="Arial" w:hAnsi="Arial" w:cs="Arial"/>
          <w:sz w:val="24"/>
          <w:szCs w:val="24"/>
        </w:rPr>
        <w:t xml:space="preserve"> </w:t>
      </w:r>
      <w:r w:rsidR="003D4421">
        <w:rPr>
          <w:rFonts w:ascii="Arial" w:hAnsi="Arial" w:cs="Arial"/>
          <w:sz w:val="24"/>
          <w:szCs w:val="24"/>
        </w:rPr>
        <w:t>containing the following statement</w:t>
      </w:r>
      <w:r w:rsidR="00D67C2B">
        <w:rPr>
          <w:rFonts w:ascii="Arial" w:hAnsi="Arial" w:cs="Arial"/>
          <w:sz w:val="24"/>
          <w:szCs w:val="24"/>
        </w:rPr>
        <w:t>:</w:t>
      </w:r>
      <w:r w:rsidR="00620E78">
        <w:rPr>
          <w:rFonts w:ascii="Arial" w:hAnsi="Arial" w:cs="Arial"/>
          <w:sz w:val="24"/>
          <w:szCs w:val="24"/>
        </w:rPr>
        <w:t xml:space="preserve"> </w:t>
      </w:r>
      <w:r w:rsidR="00BB49BA">
        <w:rPr>
          <w:rFonts w:ascii="Arial" w:hAnsi="Arial" w:cs="Arial"/>
          <w:sz w:val="24"/>
          <w:szCs w:val="24"/>
        </w:rPr>
        <w:t>“</w:t>
      </w:r>
      <w:r w:rsidR="002129FE">
        <w:rPr>
          <w:rFonts w:ascii="Arial" w:hAnsi="Arial" w:cs="Arial"/>
          <w:sz w:val="24"/>
          <w:szCs w:val="24"/>
        </w:rPr>
        <w:t>P</w:t>
      </w:r>
      <w:r w:rsidRPr="007D057F" w:rsidR="00BB49BA">
        <w:rPr>
          <w:rFonts w:ascii="Arial" w:hAnsi="Arial" w:cs="Arial"/>
          <w:sz w:val="24"/>
          <w:szCs w:val="24"/>
        </w:rPr>
        <w:t>rice represents one feature of any offer; there may be other features which you consider of value.</w:t>
      </w:r>
      <w:r w:rsidR="00BB49BA">
        <w:rPr>
          <w:rFonts w:ascii="Arial" w:hAnsi="Arial" w:cs="Arial"/>
          <w:sz w:val="24"/>
          <w:szCs w:val="24"/>
        </w:rPr>
        <w:t xml:space="preserve">” </w:t>
      </w:r>
      <w:r w:rsidRPr="007D057F" w:rsidR="00BB49BA">
        <w:rPr>
          <w:rFonts w:ascii="Arial" w:hAnsi="Arial" w:cs="Arial"/>
          <w:i/>
          <w:iCs/>
          <w:sz w:val="24"/>
          <w:szCs w:val="24"/>
        </w:rPr>
        <w:t>In re Commission's Review of the Minimum Gas Service Standards in Chapter 4901:1-13 of the Ohio Administrative Code,</w:t>
      </w:r>
      <w:r w:rsidRPr="00A777A3" w:rsidR="00BB49BA">
        <w:rPr>
          <w:rFonts w:ascii="Arial" w:hAnsi="Arial" w:cs="Arial"/>
          <w:sz w:val="24"/>
          <w:szCs w:val="24"/>
        </w:rPr>
        <w:t xml:space="preserve"> Case No. </w:t>
      </w:r>
      <w:r w:rsidR="00BB49BA">
        <w:rPr>
          <w:rFonts w:ascii="Arial" w:hAnsi="Arial" w:cs="Arial"/>
          <w:sz w:val="24"/>
          <w:szCs w:val="24"/>
        </w:rPr>
        <w:t>19-1429</w:t>
      </w:r>
      <w:r w:rsidRPr="00A777A3" w:rsidR="00BB49BA">
        <w:rPr>
          <w:rFonts w:ascii="Arial" w:hAnsi="Arial" w:cs="Arial"/>
          <w:sz w:val="24"/>
          <w:szCs w:val="24"/>
        </w:rPr>
        <w:t xml:space="preserve">-GA-ORD </w:t>
      </w:r>
      <w:r w:rsidR="00964CEE">
        <w:rPr>
          <w:rFonts w:ascii="Arial" w:hAnsi="Arial" w:cs="Arial"/>
          <w:sz w:val="24"/>
          <w:szCs w:val="24"/>
        </w:rPr>
        <w:t>(“</w:t>
      </w:r>
      <w:r w:rsidRPr="00964CEE" w:rsidR="00964CEE">
        <w:rPr>
          <w:rFonts w:ascii="Arial" w:hAnsi="Arial" w:cs="Arial"/>
          <w:i/>
          <w:iCs/>
          <w:sz w:val="24"/>
          <w:szCs w:val="24"/>
        </w:rPr>
        <w:t xml:space="preserve">2021 MGSS </w:t>
      </w:r>
      <w:r w:rsidR="00CA3C6A">
        <w:rPr>
          <w:rFonts w:ascii="Arial" w:hAnsi="Arial" w:cs="Arial"/>
          <w:i/>
          <w:iCs/>
          <w:sz w:val="24"/>
          <w:szCs w:val="24"/>
        </w:rPr>
        <w:t xml:space="preserve">Rules </w:t>
      </w:r>
      <w:r w:rsidRPr="00964CEE" w:rsidR="00964CEE">
        <w:rPr>
          <w:rFonts w:ascii="Arial" w:hAnsi="Arial" w:cs="Arial"/>
          <w:i/>
          <w:iCs/>
          <w:sz w:val="24"/>
          <w:szCs w:val="24"/>
        </w:rPr>
        <w:t>Review</w:t>
      </w:r>
      <w:r w:rsidR="00964CEE">
        <w:rPr>
          <w:rFonts w:ascii="Arial" w:hAnsi="Arial" w:cs="Arial"/>
          <w:sz w:val="24"/>
          <w:szCs w:val="24"/>
        </w:rPr>
        <w:t>”)</w:t>
      </w:r>
      <w:r w:rsidR="00EE34D3">
        <w:rPr>
          <w:rFonts w:ascii="Arial" w:hAnsi="Arial" w:cs="Arial"/>
          <w:sz w:val="24"/>
          <w:szCs w:val="24"/>
        </w:rPr>
        <w:t>,</w:t>
      </w:r>
      <w:r w:rsidR="00964CEE">
        <w:rPr>
          <w:rFonts w:ascii="Arial" w:hAnsi="Arial" w:cs="Arial"/>
          <w:sz w:val="24"/>
          <w:szCs w:val="24"/>
        </w:rPr>
        <w:t xml:space="preserve"> </w:t>
      </w:r>
      <w:r w:rsidRPr="00A777A3" w:rsidR="00BB49BA">
        <w:rPr>
          <w:rFonts w:ascii="Arial" w:hAnsi="Arial" w:cs="Arial"/>
          <w:sz w:val="24"/>
          <w:szCs w:val="24"/>
        </w:rPr>
        <w:t xml:space="preserve">Finding and Order </w:t>
      </w:r>
      <w:r w:rsidR="00BB49BA">
        <w:rPr>
          <w:rFonts w:ascii="Arial" w:hAnsi="Arial" w:cs="Arial"/>
          <w:sz w:val="24"/>
          <w:szCs w:val="24"/>
        </w:rPr>
        <w:t xml:space="preserve">at ¶ 69 </w:t>
      </w:r>
      <w:r w:rsidRPr="00A777A3" w:rsidR="00BB49BA">
        <w:rPr>
          <w:rFonts w:ascii="Arial" w:hAnsi="Arial" w:cs="Arial"/>
          <w:sz w:val="24"/>
          <w:szCs w:val="24"/>
        </w:rPr>
        <w:t>(</w:t>
      </w:r>
      <w:r w:rsidR="00BB49BA">
        <w:rPr>
          <w:rFonts w:ascii="Arial" w:hAnsi="Arial" w:cs="Arial"/>
          <w:sz w:val="24"/>
          <w:szCs w:val="24"/>
        </w:rPr>
        <w:t>Feb. 24, 2021</w:t>
      </w:r>
      <w:r w:rsidRPr="00A777A3" w:rsidR="00BB49BA">
        <w:rPr>
          <w:rFonts w:ascii="Arial" w:hAnsi="Arial" w:cs="Arial"/>
          <w:sz w:val="24"/>
          <w:szCs w:val="24"/>
        </w:rPr>
        <w:t>).</w:t>
      </w:r>
      <w:r w:rsidR="00406398">
        <w:rPr>
          <w:rFonts w:ascii="Arial" w:hAnsi="Arial" w:cs="Arial"/>
          <w:sz w:val="24"/>
          <w:szCs w:val="24"/>
        </w:rPr>
        <w:t xml:space="preserve"> </w:t>
      </w:r>
      <w:r w:rsidRPr="00A057FA">
        <w:rPr>
          <w:rFonts w:ascii="Arial" w:hAnsi="Arial" w:cs="Arial"/>
          <w:sz w:val="24"/>
          <w:szCs w:val="24"/>
        </w:rPr>
        <w:t>Therefore, the Commission should remove these provisions from the Stipulation.</w:t>
      </w:r>
      <w:r>
        <w:rPr>
          <w:rFonts w:ascii="Arial" w:hAnsi="Arial" w:cs="Arial"/>
          <w:sz w:val="24"/>
          <w:szCs w:val="24"/>
        </w:rPr>
        <w:t xml:space="preserve"> </w:t>
      </w:r>
    </w:p>
    <w:p w:rsidRPr="00E9372F" w:rsidR="00BF1DA6" w:rsidP="00E9372F" w:rsidRDefault="00BF1DA6" w14:paraId="55359F0B" w14:textId="754C16EA">
      <w:pPr>
        <w:pStyle w:val="Heading3"/>
        <w:numPr>
          <w:ilvl w:val="0"/>
          <w:numId w:val="17"/>
        </w:numPr>
        <w:rPr>
          <w:b/>
          <w:bCs/>
        </w:rPr>
      </w:pPr>
      <w:bookmarkStart w:name="_Toc74573094" w:id="35"/>
      <w:r w:rsidRPr="00E9372F">
        <w:rPr>
          <w:b/>
          <w:bCs/>
        </w:rPr>
        <w:t>Aggregate shadow billing data provides no benefit to ratepayers or the public interest.</w:t>
      </w:r>
      <w:bookmarkEnd w:id="35"/>
      <w:r w:rsidRPr="00E9372F">
        <w:rPr>
          <w:b/>
          <w:bCs/>
        </w:rPr>
        <w:t xml:space="preserve"> </w:t>
      </w:r>
    </w:p>
    <w:p w:rsidR="00883F26" w:rsidP="007E27BD" w:rsidRDefault="00883F26" w14:paraId="19EBBC4A" w14:textId="3409D9E5">
      <w:pPr>
        <w:spacing w:after="0" w:line="480" w:lineRule="auto"/>
        <w:ind w:firstLine="720"/>
        <w:jc w:val="both"/>
        <w:rPr>
          <w:rFonts w:ascii="Arial" w:hAnsi="Arial" w:cs="Arial"/>
          <w:i/>
          <w:iCs/>
          <w:sz w:val="24"/>
          <w:szCs w:val="24"/>
        </w:rPr>
      </w:pPr>
      <w:r w:rsidRPr="00991697">
        <w:rPr>
          <w:rFonts w:ascii="Arial" w:hAnsi="Arial" w:cs="Arial"/>
          <w:sz w:val="24"/>
          <w:szCs w:val="24"/>
        </w:rPr>
        <w:t xml:space="preserve">The aggregate shadow billing data that would be provided under the Stipulation would not provide any value to residential customers. </w:t>
      </w:r>
      <w:r>
        <w:rPr>
          <w:rFonts w:ascii="Arial" w:hAnsi="Arial" w:cs="Arial"/>
          <w:sz w:val="24"/>
          <w:szCs w:val="24"/>
        </w:rPr>
        <w:t>I</w:t>
      </w:r>
      <w:r w:rsidR="00B2225D">
        <w:rPr>
          <w:rFonts w:ascii="Arial" w:hAnsi="Arial" w:cs="Arial"/>
          <w:sz w:val="24"/>
          <w:szCs w:val="24"/>
        </w:rPr>
        <w:t>n fact, it</w:t>
      </w:r>
      <w:r w:rsidRPr="00A777A3">
        <w:rPr>
          <w:rFonts w:ascii="Arial" w:hAnsi="Arial" w:cs="Arial"/>
          <w:sz w:val="24"/>
          <w:szCs w:val="24"/>
        </w:rPr>
        <w:t xml:space="preserve"> is unclear what purpose this </w:t>
      </w:r>
      <w:r>
        <w:rPr>
          <w:rFonts w:ascii="Arial" w:hAnsi="Arial" w:cs="Arial"/>
          <w:sz w:val="24"/>
          <w:szCs w:val="24"/>
        </w:rPr>
        <w:t>information</w:t>
      </w:r>
      <w:r w:rsidRPr="00A777A3">
        <w:rPr>
          <w:rFonts w:ascii="Arial" w:hAnsi="Arial" w:cs="Arial"/>
          <w:sz w:val="24"/>
          <w:szCs w:val="24"/>
        </w:rPr>
        <w:t xml:space="preserve"> w</w:t>
      </w:r>
      <w:r>
        <w:rPr>
          <w:rFonts w:ascii="Arial" w:hAnsi="Arial" w:cs="Arial"/>
          <w:sz w:val="24"/>
          <w:szCs w:val="24"/>
        </w:rPr>
        <w:t>ould</w:t>
      </w:r>
      <w:r w:rsidRPr="00A777A3">
        <w:rPr>
          <w:rFonts w:ascii="Arial" w:hAnsi="Arial" w:cs="Arial"/>
          <w:sz w:val="24"/>
          <w:szCs w:val="24"/>
        </w:rPr>
        <w:t xml:space="preserve"> serve. </w:t>
      </w:r>
      <w:r>
        <w:rPr>
          <w:rFonts w:ascii="Arial" w:hAnsi="Arial" w:cs="Arial"/>
          <w:sz w:val="24"/>
          <w:szCs w:val="24"/>
        </w:rPr>
        <w:t xml:space="preserve">The calculations </w:t>
      </w:r>
      <w:r w:rsidRPr="00A777A3">
        <w:rPr>
          <w:rFonts w:ascii="Arial" w:hAnsi="Arial" w:cs="Arial"/>
          <w:sz w:val="24"/>
          <w:szCs w:val="24"/>
        </w:rPr>
        <w:t>w</w:t>
      </w:r>
      <w:r>
        <w:rPr>
          <w:rFonts w:ascii="Arial" w:hAnsi="Arial" w:cs="Arial"/>
          <w:sz w:val="24"/>
          <w:szCs w:val="24"/>
        </w:rPr>
        <w:t>ould</w:t>
      </w:r>
      <w:r w:rsidRPr="00A777A3">
        <w:rPr>
          <w:rFonts w:ascii="Arial" w:hAnsi="Arial" w:cs="Arial"/>
          <w:sz w:val="24"/>
          <w:szCs w:val="24"/>
        </w:rPr>
        <w:t xml:space="preserve"> be backward</w:t>
      </w:r>
      <w:r>
        <w:rPr>
          <w:rFonts w:ascii="Arial" w:hAnsi="Arial" w:cs="Arial"/>
          <w:sz w:val="24"/>
          <w:szCs w:val="24"/>
        </w:rPr>
        <w:t>-</w:t>
      </w:r>
      <w:r w:rsidRPr="00A777A3">
        <w:rPr>
          <w:rFonts w:ascii="Arial" w:hAnsi="Arial" w:cs="Arial"/>
          <w:sz w:val="24"/>
          <w:szCs w:val="24"/>
        </w:rPr>
        <w:t>looking data about a</w:t>
      </w:r>
      <w:r>
        <w:rPr>
          <w:rFonts w:ascii="Arial" w:hAnsi="Arial" w:cs="Arial"/>
          <w:sz w:val="24"/>
          <w:szCs w:val="24"/>
        </w:rPr>
        <w:t>n unknown number of customers utilizing an unknown amount of electricity in a</w:t>
      </w:r>
      <w:r w:rsidRPr="00A777A3">
        <w:rPr>
          <w:rFonts w:ascii="Arial" w:hAnsi="Arial" w:cs="Arial"/>
          <w:sz w:val="24"/>
          <w:szCs w:val="24"/>
        </w:rPr>
        <w:t xml:space="preserve"> fluctuating market</w:t>
      </w:r>
      <w:r>
        <w:rPr>
          <w:rFonts w:ascii="Arial" w:hAnsi="Arial" w:cs="Arial"/>
          <w:sz w:val="24"/>
          <w:szCs w:val="24"/>
        </w:rPr>
        <w:t xml:space="preserve">. </w:t>
      </w:r>
      <w:r w:rsidRPr="000A3DA2">
        <w:rPr>
          <w:rFonts w:ascii="Arial" w:hAnsi="Arial" w:cs="Arial"/>
          <w:i/>
          <w:iCs/>
          <w:sz w:val="24"/>
          <w:szCs w:val="24"/>
        </w:rPr>
        <w:t>See</w:t>
      </w:r>
      <w:r>
        <w:rPr>
          <w:rFonts w:ascii="Arial" w:hAnsi="Arial" w:cs="Arial"/>
          <w:sz w:val="24"/>
          <w:szCs w:val="24"/>
        </w:rPr>
        <w:t xml:space="preserve"> Jt. Ex. 1 at Att. D. Past prices are not indicative of future pricing</w:t>
      </w:r>
      <w:r w:rsidR="00EC5D98">
        <w:rPr>
          <w:rFonts w:ascii="Arial" w:hAnsi="Arial" w:cs="Arial"/>
          <w:sz w:val="24"/>
          <w:szCs w:val="24"/>
        </w:rPr>
        <w:t xml:space="preserve"> or any specific product in the market</w:t>
      </w:r>
      <w:r>
        <w:rPr>
          <w:rFonts w:ascii="Arial" w:hAnsi="Arial" w:cs="Arial"/>
          <w:sz w:val="24"/>
          <w:szCs w:val="24"/>
        </w:rPr>
        <w:t>. IGS/Direct Ex. 2 at 53-54. This is simply useless when customers can easily obtain detailed, individualized, and accurate</w:t>
      </w:r>
      <w:r w:rsidRPr="005351B8">
        <w:rPr>
          <w:rFonts w:ascii="Arial" w:hAnsi="Arial" w:cs="Arial"/>
          <w:sz w:val="24"/>
          <w:szCs w:val="24"/>
        </w:rPr>
        <w:t xml:space="preserve"> price comparison</w:t>
      </w:r>
      <w:r>
        <w:rPr>
          <w:rFonts w:ascii="Arial" w:hAnsi="Arial" w:cs="Arial"/>
          <w:sz w:val="24"/>
          <w:szCs w:val="24"/>
        </w:rPr>
        <w:t xml:space="preserve">s </w:t>
      </w:r>
      <w:r w:rsidRPr="005351B8">
        <w:rPr>
          <w:rFonts w:ascii="Arial" w:hAnsi="Arial" w:cs="Arial"/>
          <w:sz w:val="24"/>
          <w:szCs w:val="24"/>
        </w:rPr>
        <w:t>through the Commission</w:t>
      </w:r>
      <w:r>
        <w:rPr>
          <w:rFonts w:ascii="Arial" w:hAnsi="Arial" w:cs="Arial"/>
          <w:sz w:val="24"/>
          <w:szCs w:val="24"/>
        </w:rPr>
        <w:t>’</w:t>
      </w:r>
      <w:r w:rsidRPr="005351B8">
        <w:rPr>
          <w:rFonts w:ascii="Arial" w:hAnsi="Arial" w:cs="Arial"/>
          <w:sz w:val="24"/>
          <w:szCs w:val="24"/>
        </w:rPr>
        <w:t xml:space="preserve">s </w:t>
      </w:r>
      <w:r w:rsidRPr="008372C0">
        <w:rPr>
          <w:rFonts w:ascii="Arial" w:hAnsi="Arial" w:cs="Arial"/>
          <w:sz w:val="24"/>
          <w:szCs w:val="24"/>
        </w:rPr>
        <w:t>Energy Choice</w:t>
      </w:r>
      <w:r w:rsidR="00823877">
        <w:rPr>
          <w:rFonts w:ascii="Arial" w:hAnsi="Arial" w:cs="Arial"/>
          <w:sz w:val="24"/>
          <w:szCs w:val="24"/>
        </w:rPr>
        <w:t xml:space="preserve"> Ohio</w:t>
      </w:r>
      <w:r w:rsidRPr="008372C0">
        <w:rPr>
          <w:rFonts w:ascii="Arial" w:hAnsi="Arial" w:cs="Arial"/>
          <w:sz w:val="24"/>
          <w:szCs w:val="24"/>
        </w:rPr>
        <w:t xml:space="preserve"> website.</w:t>
      </w:r>
      <w:r w:rsidRPr="00DF58D5">
        <w:rPr>
          <w:rFonts w:ascii="Arial" w:hAnsi="Arial" w:cs="Arial"/>
          <w:i/>
          <w:iCs/>
          <w:sz w:val="24"/>
          <w:szCs w:val="24"/>
        </w:rPr>
        <w:t xml:space="preserve"> </w:t>
      </w:r>
      <w:r>
        <w:rPr>
          <w:rFonts w:ascii="Arial" w:hAnsi="Arial" w:cs="Arial"/>
          <w:i/>
          <w:iCs/>
          <w:sz w:val="24"/>
          <w:szCs w:val="24"/>
        </w:rPr>
        <w:t xml:space="preserve">See </w:t>
      </w:r>
      <w:r w:rsidRPr="00597498">
        <w:rPr>
          <w:rFonts w:ascii="Arial" w:hAnsi="Arial" w:cs="Arial"/>
          <w:i/>
          <w:iCs/>
          <w:sz w:val="24"/>
          <w:szCs w:val="24"/>
        </w:rPr>
        <w:t xml:space="preserve">In re the Commission’s Review of its Rules for Electrical Safety and Service Standards Contained in Chapter 4901:1-10 of the Ohio Administrative Code, </w:t>
      </w:r>
      <w:r w:rsidRPr="00597498">
        <w:rPr>
          <w:rFonts w:ascii="Arial" w:hAnsi="Arial" w:cs="Arial"/>
          <w:sz w:val="24"/>
          <w:szCs w:val="24"/>
        </w:rPr>
        <w:t>Case No. 17-1842-EL-ORD</w:t>
      </w:r>
      <w:r w:rsidR="00CA3C6A">
        <w:rPr>
          <w:rFonts w:ascii="Arial" w:hAnsi="Arial" w:cs="Arial"/>
          <w:sz w:val="24"/>
          <w:szCs w:val="24"/>
        </w:rPr>
        <w:t xml:space="preserve"> (“</w:t>
      </w:r>
      <w:r w:rsidRPr="00DF58D5" w:rsidR="00CA3C6A">
        <w:rPr>
          <w:rFonts w:ascii="Arial" w:hAnsi="Arial" w:cs="Arial"/>
          <w:i/>
          <w:iCs/>
          <w:sz w:val="24"/>
          <w:szCs w:val="24"/>
        </w:rPr>
        <w:t>2020 ESSS Rule Review</w:t>
      </w:r>
      <w:r w:rsidR="00CA3C6A">
        <w:rPr>
          <w:rFonts w:ascii="Arial" w:hAnsi="Arial" w:cs="Arial"/>
          <w:i/>
          <w:iCs/>
          <w:sz w:val="24"/>
          <w:szCs w:val="24"/>
        </w:rPr>
        <w:t>”</w:t>
      </w:r>
      <w:r w:rsidR="00CA3C6A">
        <w:rPr>
          <w:rFonts w:ascii="Arial" w:hAnsi="Arial" w:cs="Arial"/>
          <w:sz w:val="24"/>
          <w:szCs w:val="24"/>
        </w:rPr>
        <w:t>)</w:t>
      </w:r>
      <w:r w:rsidR="00CA3C6A">
        <w:rPr>
          <w:rFonts w:ascii="Arial" w:hAnsi="Arial" w:cs="Arial"/>
          <w:i/>
          <w:iCs/>
          <w:sz w:val="24"/>
          <w:szCs w:val="24"/>
        </w:rPr>
        <w:t xml:space="preserve">, </w:t>
      </w:r>
      <w:r w:rsidRPr="00597498">
        <w:rPr>
          <w:rFonts w:ascii="Arial" w:hAnsi="Arial" w:cs="Arial"/>
          <w:sz w:val="24"/>
          <w:szCs w:val="24"/>
        </w:rPr>
        <w:t>Finding and Order at ¶ 162 (Feb. 26, 2020)</w:t>
      </w:r>
      <w:r w:rsidR="00CA3C6A">
        <w:rPr>
          <w:rFonts w:ascii="Arial" w:hAnsi="Arial" w:cs="Arial"/>
          <w:sz w:val="24"/>
          <w:szCs w:val="24"/>
        </w:rPr>
        <w:t>.</w:t>
      </w:r>
    </w:p>
    <w:p w:rsidR="00883F26" w:rsidP="007E27BD" w:rsidRDefault="00883F26" w14:paraId="03A33023" w14:textId="5784FBEE">
      <w:pPr>
        <w:spacing w:after="0" w:line="480" w:lineRule="auto"/>
        <w:jc w:val="both"/>
        <w:rPr>
          <w:rFonts w:ascii="Arial" w:hAnsi="Arial" w:cs="Arial"/>
          <w:sz w:val="24"/>
          <w:szCs w:val="24"/>
        </w:rPr>
      </w:pPr>
      <w:r w:rsidRPr="008372C0">
        <w:rPr>
          <w:rFonts w:ascii="Arial" w:hAnsi="Arial" w:cs="Arial"/>
          <w:sz w:val="24"/>
          <w:szCs w:val="24"/>
        </w:rPr>
        <w:tab/>
      </w:r>
      <w:r w:rsidRPr="008372C0">
        <w:rPr>
          <w:rFonts w:ascii="Arial" w:hAnsi="Arial" w:cs="Arial"/>
          <w:sz w:val="24"/>
          <w:szCs w:val="24"/>
        </w:rPr>
        <w:t xml:space="preserve">Further, the data would be inaccurate and misleading. </w:t>
      </w:r>
      <w:r>
        <w:rPr>
          <w:rFonts w:ascii="Arial" w:hAnsi="Arial" w:cs="Arial"/>
          <w:sz w:val="24"/>
          <w:szCs w:val="24"/>
        </w:rPr>
        <w:t xml:space="preserve">Failure to properly unbundle the costs to serve the SSO from distribution rates will result in </w:t>
      </w:r>
      <w:r w:rsidRPr="008372C0">
        <w:rPr>
          <w:rFonts w:ascii="Arial" w:hAnsi="Arial" w:cs="Arial"/>
          <w:sz w:val="24"/>
          <w:szCs w:val="24"/>
        </w:rPr>
        <w:t>compar</w:t>
      </w:r>
      <w:r>
        <w:rPr>
          <w:rFonts w:ascii="Arial" w:hAnsi="Arial" w:cs="Arial"/>
          <w:sz w:val="24"/>
          <w:szCs w:val="24"/>
        </w:rPr>
        <w:t>ing</w:t>
      </w:r>
      <w:r w:rsidRPr="008372C0">
        <w:rPr>
          <w:rFonts w:ascii="Arial" w:hAnsi="Arial" w:cs="Arial"/>
          <w:sz w:val="24"/>
          <w:szCs w:val="24"/>
        </w:rPr>
        <w:t xml:space="preserve"> </w:t>
      </w:r>
      <w:r>
        <w:rPr>
          <w:rFonts w:ascii="Arial" w:hAnsi="Arial" w:cs="Arial"/>
          <w:sz w:val="24"/>
          <w:szCs w:val="24"/>
        </w:rPr>
        <w:t>“</w:t>
      </w:r>
      <w:r w:rsidRPr="008372C0">
        <w:rPr>
          <w:rFonts w:ascii="Arial" w:hAnsi="Arial" w:cs="Arial"/>
          <w:sz w:val="24"/>
          <w:szCs w:val="24"/>
        </w:rPr>
        <w:t xml:space="preserve">the cost of </w:t>
      </w:r>
      <w:r w:rsidRPr="008372C0">
        <w:rPr>
          <w:rFonts w:ascii="Arial" w:hAnsi="Arial" w:cs="Arial"/>
          <w:sz w:val="24"/>
          <w:szCs w:val="24"/>
        </w:rPr>
        <w:lastRenderedPageBreak/>
        <w:t xml:space="preserve">several different fully allocated and market-based products to a singular product that is heavily subsidized and that benefits from several regulatory protections.” IGS/Direct Ex. 2 at 13. </w:t>
      </w:r>
    </w:p>
    <w:p w:rsidRPr="008372C0" w:rsidR="006A50F7" w:rsidP="007F2348" w:rsidRDefault="006A50F7" w14:paraId="23C1BC38" w14:textId="20802E3D">
      <w:pPr>
        <w:spacing w:after="0" w:line="480" w:lineRule="auto"/>
        <w:ind w:firstLine="720"/>
        <w:jc w:val="both"/>
        <w:rPr>
          <w:rFonts w:ascii="Arial" w:hAnsi="Arial" w:cs="Arial"/>
          <w:sz w:val="24"/>
          <w:szCs w:val="24"/>
        </w:rPr>
      </w:pPr>
      <w:r>
        <w:rPr>
          <w:rFonts w:ascii="Arial" w:hAnsi="Arial" w:cs="Arial"/>
          <w:sz w:val="24"/>
          <w:szCs w:val="24"/>
        </w:rPr>
        <w:t xml:space="preserve">Moreover, the data will be heavily manipulated.  By Ohio Power’s own estimate, </w:t>
      </w:r>
      <w:r w:rsidR="00FE7453">
        <w:rPr>
          <w:rFonts w:ascii="Arial" w:hAnsi="Arial" w:cs="Arial"/>
          <w:sz w:val="24"/>
          <w:szCs w:val="24"/>
        </w:rPr>
        <w:t xml:space="preserve">the calculations </w:t>
      </w:r>
      <w:r>
        <w:rPr>
          <w:rFonts w:ascii="Arial" w:hAnsi="Arial" w:cs="Arial"/>
          <w:sz w:val="24"/>
          <w:szCs w:val="24"/>
        </w:rPr>
        <w:t>would</w:t>
      </w:r>
      <w:r w:rsidDel="00F510F6">
        <w:rPr>
          <w:rFonts w:ascii="Arial" w:hAnsi="Arial" w:cs="Arial"/>
          <w:sz w:val="24"/>
          <w:szCs w:val="24"/>
        </w:rPr>
        <w:t xml:space="preserve"> </w:t>
      </w:r>
      <w:r>
        <w:rPr>
          <w:rFonts w:ascii="Arial" w:hAnsi="Arial" w:cs="Arial"/>
          <w:sz w:val="24"/>
          <w:szCs w:val="24"/>
        </w:rPr>
        <w:t xml:space="preserve">exclude those customers that are dual billed or in the consolidated supplier billing pilot, </w:t>
      </w:r>
      <w:r w:rsidDel="00AD1C9F">
        <w:rPr>
          <w:rFonts w:ascii="Arial" w:hAnsi="Arial" w:cs="Arial"/>
          <w:sz w:val="24"/>
          <w:szCs w:val="24"/>
        </w:rPr>
        <w:t xml:space="preserve">would not </w:t>
      </w:r>
      <w:r>
        <w:rPr>
          <w:rFonts w:ascii="Arial" w:hAnsi="Arial" w:cs="Arial"/>
          <w:sz w:val="24"/>
          <w:szCs w:val="24"/>
        </w:rPr>
        <w:t xml:space="preserve">be appropriate for some rate ready accounts, would not include customers that </w:t>
      </w:r>
      <w:r w:rsidR="006D48E3">
        <w:rPr>
          <w:rFonts w:ascii="Arial" w:hAnsi="Arial" w:cs="Arial"/>
          <w:sz w:val="24"/>
          <w:szCs w:val="24"/>
        </w:rPr>
        <w:t>are on</w:t>
      </w:r>
      <w:r>
        <w:rPr>
          <w:rFonts w:ascii="Arial" w:hAnsi="Arial" w:cs="Arial"/>
          <w:sz w:val="24"/>
          <w:szCs w:val="24"/>
        </w:rPr>
        <w:t xml:space="preserve"> any form of </w:t>
      </w:r>
      <w:r w:rsidR="006D48E3">
        <w:rPr>
          <w:rFonts w:ascii="Arial" w:hAnsi="Arial" w:cs="Arial"/>
          <w:sz w:val="24"/>
          <w:szCs w:val="24"/>
        </w:rPr>
        <w:t xml:space="preserve">a </w:t>
      </w:r>
      <w:r>
        <w:rPr>
          <w:rFonts w:ascii="Arial" w:hAnsi="Arial" w:cs="Arial"/>
          <w:sz w:val="24"/>
          <w:szCs w:val="24"/>
        </w:rPr>
        <w:t>fixed bill such as a customer that receives budget billing, and would be subject to about eighty items that may be adjusted to shopping customer bills.  Tr. at 144-157; IGS Ex. 6. As a result of the exclusions, the netting process to produce an aggregate gain or loss resulting from shopping is meaningless.</w:t>
      </w:r>
    </w:p>
    <w:p w:rsidRPr="00883F26" w:rsidR="007942C5" w:rsidP="007E27BD" w:rsidRDefault="00FB42FF" w14:paraId="47A1D2CD" w14:textId="28959805">
      <w:pPr>
        <w:spacing w:after="0" w:line="480" w:lineRule="auto"/>
        <w:ind w:firstLine="720"/>
        <w:jc w:val="both"/>
        <w:rPr>
          <w:rFonts w:ascii="Arial" w:hAnsi="Arial" w:cs="Arial"/>
          <w:sz w:val="24"/>
          <w:szCs w:val="24"/>
        </w:rPr>
      </w:pPr>
      <w:r>
        <w:rPr>
          <w:rFonts w:ascii="Arial" w:hAnsi="Arial" w:cs="Arial"/>
          <w:sz w:val="24"/>
          <w:szCs w:val="24"/>
        </w:rPr>
        <w:t>Despite these</w:t>
      </w:r>
      <w:r w:rsidR="008866F8">
        <w:rPr>
          <w:rFonts w:ascii="Arial" w:hAnsi="Arial" w:cs="Arial"/>
          <w:sz w:val="24"/>
          <w:szCs w:val="24"/>
        </w:rPr>
        <w:t xml:space="preserve"> </w:t>
      </w:r>
      <w:r>
        <w:rPr>
          <w:rFonts w:ascii="Arial" w:hAnsi="Arial" w:cs="Arial"/>
          <w:sz w:val="24"/>
          <w:szCs w:val="24"/>
        </w:rPr>
        <w:t xml:space="preserve">exclusions, </w:t>
      </w:r>
      <w:r w:rsidRPr="008372C0" w:rsidR="00883F26">
        <w:rPr>
          <w:rFonts w:ascii="Arial" w:hAnsi="Arial" w:cs="Arial"/>
          <w:sz w:val="24"/>
          <w:szCs w:val="24"/>
        </w:rPr>
        <w:t xml:space="preserve">the strict price comparison </w:t>
      </w:r>
      <w:r w:rsidR="008866F8">
        <w:rPr>
          <w:rFonts w:ascii="Arial" w:hAnsi="Arial" w:cs="Arial"/>
          <w:sz w:val="24"/>
          <w:szCs w:val="24"/>
        </w:rPr>
        <w:t xml:space="preserve">still </w:t>
      </w:r>
      <w:r w:rsidRPr="008372C0" w:rsidR="00883F26">
        <w:rPr>
          <w:rFonts w:ascii="Arial" w:hAnsi="Arial" w:cs="Arial"/>
          <w:sz w:val="24"/>
          <w:szCs w:val="24"/>
        </w:rPr>
        <w:t>fail</w:t>
      </w:r>
      <w:r w:rsidR="00121A36">
        <w:rPr>
          <w:rFonts w:ascii="Arial" w:hAnsi="Arial" w:cs="Arial"/>
          <w:sz w:val="24"/>
          <w:szCs w:val="24"/>
        </w:rPr>
        <w:t>s</w:t>
      </w:r>
      <w:r w:rsidRPr="008372C0" w:rsidR="00883F26">
        <w:rPr>
          <w:rFonts w:ascii="Arial" w:hAnsi="Arial" w:cs="Arial"/>
          <w:sz w:val="24"/>
          <w:szCs w:val="24"/>
        </w:rPr>
        <w:t xml:space="preserve"> to </w:t>
      </w:r>
      <w:r w:rsidR="008866F8">
        <w:rPr>
          <w:rFonts w:ascii="Arial" w:hAnsi="Arial" w:cs="Arial"/>
          <w:sz w:val="24"/>
          <w:szCs w:val="24"/>
        </w:rPr>
        <w:t xml:space="preserve">properly </w:t>
      </w:r>
      <w:r w:rsidRPr="008372C0" w:rsidR="00883F26">
        <w:rPr>
          <w:rFonts w:ascii="Arial" w:hAnsi="Arial" w:cs="Arial"/>
          <w:sz w:val="24"/>
          <w:szCs w:val="24"/>
        </w:rPr>
        <w:t xml:space="preserve">account for other attributes available in the retail market, like renewable energy, fixed prices, and other value-added services. </w:t>
      </w:r>
      <w:r w:rsidRPr="008372C0" w:rsidR="00883F26">
        <w:rPr>
          <w:rFonts w:ascii="Arial" w:hAnsi="Arial" w:cs="Arial"/>
          <w:i/>
          <w:iCs/>
          <w:sz w:val="24"/>
          <w:szCs w:val="24"/>
        </w:rPr>
        <w:t>Id.</w:t>
      </w:r>
      <w:r w:rsidRPr="008372C0" w:rsidR="00883F26">
        <w:rPr>
          <w:rFonts w:ascii="Arial" w:hAnsi="Arial" w:cs="Arial"/>
          <w:sz w:val="24"/>
          <w:szCs w:val="24"/>
        </w:rPr>
        <w:t xml:space="preserve"> at 53. </w:t>
      </w:r>
      <w:r w:rsidR="00DB650B">
        <w:rPr>
          <w:rFonts w:ascii="Arial" w:hAnsi="Arial" w:cs="Arial"/>
          <w:sz w:val="24"/>
          <w:szCs w:val="24"/>
        </w:rPr>
        <w:t xml:space="preserve">As noted, </w:t>
      </w:r>
      <w:r w:rsidRPr="008372C0" w:rsidR="00883F26">
        <w:rPr>
          <w:rFonts w:ascii="Arial" w:hAnsi="Arial" w:cs="Arial"/>
          <w:sz w:val="24"/>
          <w:szCs w:val="24"/>
        </w:rPr>
        <w:t>Ohio Power</w:t>
      </w:r>
      <w:r w:rsidR="00883F26">
        <w:rPr>
          <w:rFonts w:ascii="Arial" w:hAnsi="Arial" w:cs="Arial"/>
          <w:sz w:val="24"/>
          <w:szCs w:val="24"/>
        </w:rPr>
        <w:t xml:space="preserve"> </w:t>
      </w:r>
      <w:r w:rsidR="00DB650B">
        <w:rPr>
          <w:rFonts w:ascii="Arial" w:hAnsi="Arial" w:cs="Arial"/>
          <w:sz w:val="24"/>
          <w:szCs w:val="24"/>
        </w:rPr>
        <w:t>has proposed</w:t>
      </w:r>
      <w:r w:rsidRPr="008372C0" w:rsidR="00DB650B">
        <w:rPr>
          <w:rFonts w:ascii="Arial" w:hAnsi="Arial" w:cs="Arial"/>
          <w:sz w:val="24"/>
          <w:szCs w:val="24"/>
        </w:rPr>
        <w:t xml:space="preserve"> </w:t>
      </w:r>
      <w:r w:rsidRPr="008372C0" w:rsidR="00883F26">
        <w:rPr>
          <w:rFonts w:ascii="Arial" w:hAnsi="Arial" w:cs="Arial"/>
          <w:sz w:val="24"/>
          <w:szCs w:val="24"/>
        </w:rPr>
        <w:t xml:space="preserve">to mitigate to this apples-to-oranges comparison </w:t>
      </w:r>
      <w:r w:rsidR="00883F26">
        <w:rPr>
          <w:rFonts w:ascii="Arial" w:hAnsi="Arial" w:cs="Arial"/>
          <w:sz w:val="24"/>
          <w:szCs w:val="24"/>
        </w:rPr>
        <w:t xml:space="preserve">by </w:t>
      </w:r>
      <w:r w:rsidR="00DB650B">
        <w:rPr>
          <w:rFonts w:ascii="Arial" w:hAnsi="Arial" w:cs="Arial"/>
          <w:sz w:val="24"/>
          <w:szCs w:val="24"/>
        </w:rPr>
        <w:t xml:space="preserve">proposing </w:t>
      </w:r>
      <w:r w:rsidR="00883F26">
        <w:rPr>
          <w:rFonts w:ascii="Arial" w:hAnsi="Arial" w:cs="Arial"/>
          <w:sz w:val="24"/>
          <w:szCs w:val="24"/>
        </w:rPr>
        <w:t>to exclude customers with f</w:t>
      </w:r>
      <w:r w:rsidRPr="000A3DA2" w:rsidR="00883F26">
        <w:rPr>
          <w:rFonts w:ascii="Arial" w:hAnsi="Arial" w:cs="Arial"/>
          <w:sz w:val="24"/>
          <w:szCs w:val="24"/>
        </w:rPr>
        <w:t>ixed monthly charges, non-commodity fees, other service charges, provider budgets, flat bills,</w:t>
      </w:r>
      <w:r w:rsidR="00883F26">
        <w:rPr>
          <w:rFonts w:ascii="Arial" w:hAnsi="Arial" w:cs="Arial"/>
          <w:sz w:val="24"/>
          <w:szCs w:val="24"/>
        </w:rPr>
        <w:t xml:space="preserve"> </w:t>
      </w:r>
      <w:r w:rsidRPr="000A3DA2" w:rsidR="00883F26">
        <w:rPr>
          <w:rFonts w:ascii="Arial" w:hAnsi="Arial" w:cs="Arial"/>
          <w:sz w:val="24"/>
          <w:szCs w:val="24"/>
        </w:rPr>
        <w:t>price-per-day rates, renewable charges and early termination fees</w:t>
      </w:r>
      <w:r w:rsidR="00883F26">
        <w:rPr>
          <w:rFonts w:ascii="Arial" w:hAnsi="Arial" w:cs="Arial"/>
          <w:sz w:val="24"/>
          <w:szCs w:val="24"/>
        </w:rPr>
        <w:t xml:space="preserve"> from the analysis. Tr. at 150; Jt. Ex. 1 at Att. D. However, this only </w:t>
      </w:r>
      <w:r w:rsidRPr="008372C0" w:rsidR="00883F26">
        <w:rPr>
          <w:rFonts w:ascii="Arial" w:hAnsi="Arial" w:cs="Arial"/>
          <w:sz w:val="24"/>
          <w:szCs w:val="24"/>
        </w:rPr>
        <w:t>“</w:t>
      </w:r>
      <w:proofErr w:type="spellStart"/>
      <w:r w:rsidRPr="008372C0" w:rsidR="00883F26">
        <w:rPr>
          <w:rFonts w:ascii="Arial" w:hAnsi="Arial" w:cs="Arial"/>
          <w:sz w:val="24"/>
          <w:szCs w:val="24"/>
        </w:rPr>
        <w:t>remov</w:t>
      </w:r>
      <w:proofErr w:type="spellEnd"/>
      <w:r w:rsidRPr="008372C0" w:rsidR="00883F26">
        <w:rPr>
          <w:rFonts w:ascii="Arial" w:hAnsi="Arial" w:cs="Arial"/>
          <w:sz w:val="24"/>
          <w:szCs w:val="24"/>
        </w:rPr>
        <w:t>[e</w:t>
      </w:r>
      <w:r w:rsidR="00883F26">
        <w:rPr>
          <w:rFonts w:ascii="Arial" w:hAnsi="Arial" w:cs="Arial"/>
          <w:sz w:val="24"/>
          <w:szCs w:val="24"/>
        </w:rPr>
        <w:t>s</w:t>
      </w:r>
      <w:r w:rsidRPr="008372C0" w:rsidR="00883F26">
        <w:rPr>
          <w:rFonts w:ascii="Arial" w:hAnsi="Arial" w:cs="Arial"/>
          <w:sz w:val="24"/>
          <w:szCs w:val="24"/>
        </w:rPr>
        <w:t xml:space="preserve">] certain types of charges </w:t>
      </w:r>
      <w:r w:rsidRPr="000A6F1F" w:rsidR="00883F26">
        <w:rPr>
          <w:rFonts w:ascii="Arial" w:hAnsi="Arial" w:cs="Arial"/>
          <w:b/>
          <w:bCs/>
          <w:i/>
          <w:iCs/>
          <w:sz w:val="24"/>
          <w:szCs w:val="24"/>
        </w:rPr>
        <w:t>that are not in line with the cost per kWh</w:t>
      </w:r>
      <w:r w:rsidR="00883F26">
        <w:rPr>
          <w:rFonts w:ascii="Arial" w:hAnsi="Arial" w:cs="Arial"/>
          <w:sz w:val="24"/>
          <w:szCs w:val="24"/>
        </w:rPr>
        <w:t xml:space="preserve">.” </w:t>
      </w:r>
      <w:r w:rsidRPr="008372C0" w:rsidR="00883F26">
        <w:rPr>
          <w:rFonts w:ascii="Arial" w:hAnsi="Arial" w:cs="Arial"/>
          <w:sz w:val="24"/>
          <w:szCs w:val="24"/>
        </w:rPr>
        <w:t>Ohio Power Ex. 6 at 18</w:t>
      </w:r>
      <w:r w:rsidR="00883F26">
        <w:rPr>
          <w:rFonts w:ascii="Arial" w:hAnsi="Arial" w:cs="Arial"/>
          <w:sz w:val="24"/>
          <w:szCs w:val="24"/>
        </w:rPr>
        <w:t xml:space="preserve"> (emphasis added)</w:t>
      </w:r>
      <w:r w:rsidRPr="008372C0" w:rsidR="00883F26">
        <w:rPr>
          <w:rFonts w:ascii="Arial" w:hAnsi="Arial" w:cs="Arial"/>
          <w:sz w:val="24"/>
          <w:szCs w:val="24"/>
        </w:rPr>
        <w:t xml:space="preserve">; Tr. 152-153. </w:t>
      </w:r>
      <w:r w:rsidR="00883F26">
        <w:rPr>
          <w:rFonts w:ascii="Arial" w:hAnsi="Arial" w:cs="Arial"/>
          <w:sz w:val="24"/>
          <w:szCs w:val="24"/>
        </w:rPr>
        <w:t xml:space="preserve">Thus, a cost per kWh renewable product, for example, would only be removed from the analysis if it is labeled as such in the line item description provided to Ohio Power from the CRES provider. </w:t>
      </w:r>
      <w:r w:rsidRPr="00EB2AE9" w:rsidR="00883F26">
        <w:rPr>
          <w:rFonts w:ascii="Arial" w:hAnsi="Arial" w:cs="Arial"/>
          <w:i/>
          <w:iCs/>
          <w:sz w:val="24"/>
          <w:szCs w:val="24"/>
        </w:rPr>
        <w:t>See</w:t>
      </w:r>
      <w:r w:rsidR="00883F26">
        <w:rPr>
          <w:rFonts w:ascii="Arial" w:hAnsi="Arial" w:cs="Arial"/>
          <w:sz w:val="24"/>
          <w:szCs w:val="24"/>
        </w:rPr>
        <w:t xml:space="preserve"> </w:t>
      </w:r>
      <w:r w:rsidRPr="009F05C1" w:rsidR="00883F26">
        <w:rPr>
          <w:rFonts w:ascii="Arial" w:hAnsi="Arial" w:cs="Arial"/>
          <w:i/>
          <w:iCs/>
          <w:sz w:val="24"/>
          <w:szCs w:val="24"/>
        </w:rPr>
        <w:t>id.</w:t>
      </w:r>
      <w:r w:rsidR="00883F26">
        <w:rPr>
          <w:rFonts w:ascii="Arial" w:hAnsi="Arial" w:cs="Arial"/>
          <w:sz w:val="24"/>
          <w:szCs w:val="24"/>
        </w:rPr>
        <w:t xml:space="preserve"> at 155. Notably, there is no</w:t>
      </w:r>
      <w:r w:rsidR="00047FC8">
        <w:rPr>
          <w:rFonts w:ascii="Arial" w:hAnsi="Arial" w:cs="Arial"/>
          <w:sz w:val="24"/>
          <w:szCs w:val="24"/>
        </w:rPr>
        <w:t>t</w:t>
      </w:r>
      <w:r w:rsidR="00883F26">
        <w:rPr>
          <w:rFonts w:ascii="Arial" w:hAnsi="Arial" w:cs="Arial"/>
          <w:sz w:val="24"/>
          <w:szCs w:val="24"/>
        </w:rPr>
        <w:t xml:space="preserve"> requirement for the CRES provider to include this description in the Commission rules</w:t>
      </w:r>
      <w:r w:rsidR="00933E35">
        <w:rPr>
          <w:rFonts w:ascii="Arial" w:hAnsi="Arial" w:cs="Arial"/>
          <w:sz w:val="24"/>
          <w:szCs w:val="24"/>
        </w:rPr>
        <w:t xml:space="preserve">, which </w:t>
      </w:r>
      <w:r w:rsidR="009B4F75">
        <w:rPr>
          <w:rFonts w:ascii="Arial" w:hAnsi="Arial" w:cs="Arial"/>
          <w:sz w:val="24"/>
          <w:szCs w:val="24"/>
        </w:rPr>
        <w:t>certainly raises</w:t>
      </w:r>
      <w:r w:rsidR="008B6D12">
        <w:rPr>
          <w:rFonts w:ascii="Arial" w:hAnsi="Arial" w:cs="Arial"/>
          <w:sz w:val="24"/>
          <w:szCs w:val="24"/>
        </w:rPr>
        <w:t xml:space="preserve"> </w:t>
      </w:r>
      <w:r w:rsidR="008B6D12">
        <w:rPr>
          <w:rFonts w:ascii="Arial" w:hAnsi="Arial" w:cs="Arial"/>
          <w:sz w:val="24"/>
          <w:szCs w:val="24"/>
        </w:rPr>
        <w:lastRenderedPageBreak/>
        <w:t>concerns</w:t>
      </w:r>
      <w:r w:rsidR="00933E35">
        <w:rPr>
          <w:rFonts w:ascii="Arial" w:hAnsi="Arial" w:cs="Arial"/>
          <w:sz w:val="24"/>
          <w:szCs w:val="24"/>
        </w:rPr>
        <w:t xml:space="preserve"> regarding the number </w:t>
      </w:r>
      <w:r w:rsidR="00251B86">
        <w:rPr>
          <w:rFonts w:ascii="Arial" w:hAnsi="Arial" w:cs="Arial"/>
          <w:sz w:val="24"/>
          <w:szCs w:val="24"/>
        </w:rPr>
        <w:t xml:space="preserve">of </w:t>
      </w:r>
      <w:r w:rsidR="003A6BB5">
        <w:rPr>
          <w:rFonts w:ascii="Arial" w:hAnsi="Arial" w:cs="Arial"/>
          <w:sz w:val="24"/>
          <w:szCs w:val="24"/>
        </w:rPr>
        <w:t xml:space="preserve">customers that will </w:t>
      </w:r>
      <w:r w:rsidR="007E27BD">
        <w:rPr>
          <w:rFonts w:ascii="Arial" w:hAnsi="Arial" w:cs="Arial"/>
          <w:sz w:val="24"/>
          <w:szCs w:val="24"/>
        </w:rPr>
        <w:t>not be properly</w:t>
      </w:r>
      <w:r w:rsidR="003A6BB5">
        <w:rPr>
          <w:rFonts w:ascii="Arial" w:hAnsi="Arial" w:cs="Arial"/>
          <w:sz w:val="24"/>
          <w:szCs w:val="24"/>
        </w:rPr>
        <w:t xml:space="preserve"> excluded from the analysis</w:t>
      </w:r>
      <w:r w:rsidR="007E27BD">
        <w:rPr>
          <w:rFonts w:ascii="Arial" w:hAnsi="Arial" w:cs="Arial"/>
          <w:sz w:val="24"/>
          <w:szCs w:val="24"/>
        </w:rPr>
        <w:t xml:space="preserve"> and further skewing the data</w:t>
      </w:r>
      <w:r w:rsidR="00883F26">
        <w:rPr>
          <w:rFonts w:ascii="Arial" w:hAnsi="Arial" w:cs="Arial"/>
          <w:sz w:val="24"/>
          <w:szCs w:val="24"/>
        </w:rPr>
        <w:t xml:space="preserve">. </w:t>
      </w:r>
      <w:r w:rsidR="002509A9">
        <w:rPr>
          <w:rFonts w:ascii="Arial" w:hAnsi="Arial" w:cs="Arial"/>
          <w:sz w:val="24"/>
          <w:szCs w:val="24"/>
        </w:rPr>
        <w:t xml:space="preserve"> </w:t>
      </w:r>
    </w:p>
    <w:p w:rsidRPr="00E9372F" w:rsidR="00BF1DA6" w:rsidP="00E9372F" w:rsidRDefault="00BF1DA6" w14:paraId="500E07A9" w14:textId="070020CE">
      <w:pPr>
        <w:pStyle w:val="Heading3"/>
        <w:numPr>
          <w:ilvl w:val="0"/>
          <w:numId w:val="17"/>
        </w:numPr>
        <w:rPr>
          <w:b/>
          <w:bCs/>
        </w:rPr>
      </w:pPr>
      <w:bookmarkStart w:name="_Toc74573095" w:id="36"/>
      <w:r w:rsidRPr="00E9372F">
        <w:rPr>
          <w:b/>
          <w:bCs/>
        </w:rPr>
        <w:t>Adoption of the aggregate shadow billing provision is inconsistent with prior Commission orders.</w:t>
      </w:r>
      <w:bookmarkEnd w:id="36"/>
    </w:p>
    <w:p w:rsidR="00B5172B" w:rsidP="005951E1" w:rsidRDefault="004A3A57" w14:paraId="59B05918" w14:textId="2F4A78B6">
      <w:pPr>
        <w:spacing w:after="0" w:line="480" w:lineRule="auto"/>
        <w:ind w:firstLine="720"/>
        <w:jc w:val="both"/>
        <w:rPr>
          <w:rFonts w:ascii="Arial" w:hAnsi="Arial" w:cs="Arial"/>
          <w:sz w:val="24"/>
          <w:szCs w:val="24"/>
        </w:rPr>
      </w:pPr>
      <w:r>
        <w:rPr>
          <w:rFonts w:ascii="Arial" w:hAnsi="Arial" w:cs="Arial"/>
          <w:sz w:val="24"/>
          <w:szCs w:val="24"/>
        </w:rPr>
        <w:t>The</w:t>
      </w:r>
      <w:r w:rsidR="00BF1DA6">
        <w:rPr>
          <w:rFonts w:ascii="Arial" w:hAnsi="Arial" w:cs="Arial"/>
          <w:sz w:val="24"/>
          <w:szCs w:val="24"/>
        </w:rPr>
        <w:t xml:space="preserve"> Commission has consistently declined to implement various forms of shadow billing. </w:t>
      </w:r>
      <w:r w:rsidRPr="00A952B8" w:rsidR="00BF1DA6">
        <w:rPr>
          <w:rFonts w:ascii="Arial" w:hAnsi="Arial" w:cs="Arial"/>
          <w:i/>
          <w:iCs/>
          <w:sz w:val="24"/>
          <w:szCs w:val="24"/>
        </w:rPr>
        <w:t>In re the Commission’s Review of Chapter 4901:1-13 of the Ohio Administrative Code</w:t>
      </w:r>
      <w:r w:rsidRPr="00A952B8" w:rsidR="00BF1DA6">
        <w:rPr>
          <w:rFonts w:ascii="Arial" w:hAnsi="Arial" w:cs="Arial"/>
          <w:sz w:val="24"/>
          <w:szCs w:val="24"/>
        </w:rPr>
        <w:t>, Case No. 09-326-GA-ORD</w:t>
      </w:r>
      <w:r w:rsidR="00277CC2">
        <w:rPr>
          <w:rFonts w:ascii="Arial" w:hAnsi="Arial" w:cs="Arial"/>
          <w:sz w:val="24"/>
          <w:szCs w:val="24"/>
        </w:rPr>
        <w:t xml:space="preserve"> (“</w:t>
      </w:r>
      <w:r w:rsidRPr="00277CC2" w:rsidR="00277CC2">
        <w:rPr>
          <w:rFonts w:ascii="Arial" w:hAnsi="Arial" w:cs="Arial"/>
          <w:i/>
          <w:iCs/>
          <w:sz w:val="24"/>
          <w:szCs w:val="24"/>
        </w:rPr>
        <w:t>2010 MGSS Rule Review</w:t>
      </w:r>
      <w:r w:rsidR="00277CC2">
        <w:rPr>
          <w:rFonts w:ascii="Arial" w:hAnsi="Arial" w:cs="Arial"/>
          <w:sz w:val="24"/>
          <w:szCs w:val="24"/>
        </w:rPr>
        <w:t xml:space="preserve">”), </w:t>
      </w:r>
      <w:r w:rsidRPr="00A952B8" w:rsidR="00BF1DA6">
        <w:rPr>
          <w:rFonts w:ascii="Arial" w:hAnsi="Arial" w:cs="Arial"/>
          <w:sz w:val="24"/>
          <w:szCs w:val="24"/>
        </w:rPr>
        <w:t>Finding and Order at 48-49 (July 29, 2010)</w:t>
      </w:r>
      <w:r w:rsidR="00BF1DA6">
        <w:rPr>
          <w:rFonts w:ascii="Arial" w:hAnsi="Arial" w:cs="Arial"/>
          <w:sz w:val="24"/>
          <w:szCs w:val="24"/>
        </w:rPr>
        <w:t xml:space="preserve">; </w:t>
      </w:r>
      <w:r w:rsidRPr="00B6608F" w:rsidR="00396058">
        <w:rPr>
          <w:rFonts w:ascii="Arial" w:hAnsi="Arial" w:cs="Arial"/>
          <w:i/>
          <w:iCs/>
          <w:sz w:val="24"/>
          <w:szCs w:val="24"/>
        </w:rPr>
        <w:t>In re Application of Duke Energy Ohio, Inc. for Bill Format Approval,</w:t>
      </w:r>
      <w:r w:rsidR="00396058">
        <w:rPr>
          <w:rFonts w:ascii="Arial" w:hAnsi="Arial" w:cs="Arial"/>
          <w:sz w:val="24"/>
          <w:szCs w:val="24"/>
        </w:rPr>
        <w:t xml:space="preserve"> Case No. </w:t>
      </w:r>
      <w:r w:rsidR="00005E35">
        <w:rPr>
          <w:rFonts w:ascii="Arial" w:hAnsi="Arial" w:cs="Arial"/>
          <w:sz w:val="24"/>
          <w:szCs w:val="24"/>
        </w:rPr>
        <w:t>19-1593-GE-UNC (“</w:t>
      </w:r>
      <w:r w:rsidRPr="00F16937" w:rsidR="00005E35">
        <w:rPr>
          <w:rFonts w:ascii="Arial" w:hAnsi="Arial" w:cs="Arial"/>
          <w:i/>
          <w:iCs/>
          <w:sz w:val="24"/>
          <w:szCs w:val="24"/>
        </w:rPr>
        <w:t>Duke Bill Format Case</w:t>
      </w:r>
      <w:r w:rsidR="00005E35">
        <w:rPr>
          <w:rFonts w:ascii="Arial" w:hAnsi="Arial" w:cs="Arial"/>
          <w:sz w:val="24"/>
          <w:szCs w:val="24"/>
        </w:rPr>
        <w:t xml:space="preserve">”), Finding and Order </w:t>
      </w:r>
      <w:r w:rsidR="00B6608F">
        <w:rPr>
          <w:rFonts w:ascii="Arial" w:hAnsi="Arial" w:cs="Arial"/>
          <w:sz w:val="24"/>
          <w:szCs w:val="24"/>
        </w:rPr>
        <w:t xml:space="preserve">at ¶ 35 </w:t>
      </w:r>
      <w:r w:rsidR="00005E35">
        <w:rPr>
          <w:rFonts w:ascii="Arial" w:hAnsi="Arial" w:cs="Arial"/>
          <w:sz w:val="24"/>
          <w:szCs w:val="24"/>
        </w:rPr>
        <w:t>(Dec. 1</w:t>
      </w:r>
      <w:r w:rsidR="00AF58AE">
        <w:rPr>
          <w:rFonts w:ascii="Arial" w:hAnsi="Arial" w:cs="Arial"/>
          <w:sz w:val="24"/>
          <w:szCs w:val="24"/>
        </w:rPr>
        <w:t xml:space="preserve">8, 2019); </w:t>
      </w:r>
      <w:r w:rsidR="00523F68">
        <w:rPr>
          <w:rFonts w:ascii="Arial" w:hAnsi="Arial" w:cs="Arial"/>
          <w:i/>
          <w:iCs/>
          <w:sz w:val="24"/>
          <w:szCs w:val="24"/>
        </w:rPr>
        <w:t>2020 ESSS Rules Review,</w:t>
      </w:r>
      <w:r w:rsidRPr="00597498" w:rsidR="00BF1DA6">
        <w:rPr>
          <w:rFonts w:ascii="Arial" w:hAnsi="Arial" w:cs="Arial"/>
          <w:sz w:val="24"/>
          <w:szCs w:val="24"/>
        </w:rPr>
        <w:t xml:space="preserve"> Finding and Order at ¶ 162 (Feb. 26, 2020)</w:t>
      </w:r>
      <w:r w:rsidRPr="00597498" w:rsidR="00BF1DA6">
        <w:rPr>
          <w:rFonts w:ascii="Arial" w:hAnsi="Arial" w:cs="Arial"/>
          <w:i/>
          <w:iCs/>
          <w:sz w:val="24"/>
          <w:szCs w:val="24"/>
        </w:rPr>
        <w:t xml:space="preserve">, </w:t>
      </w:r>
      <w:r w:rsidRPr="00A952B8" w:rsidR="00BF1DA6">
        <w:rPr>
          <w:rFonts w:ascii="Arial" w:hAnsi="Arial" w:cs="Arial"/>
          <w:sz w:val="24"/>
          <w:szCs w:val="24"/>
        </w:rPr>
        <w:t xml:space="preserve">Entry on Rehearing at ¶ 35 (Jan. 27, 2021); </w:t>
      </w:r>
      <w:r w:rsidRPr="00964CEE" w:rsidR="00F748FD">
        <w:rPr>
          <w:rFonts w:ascii="Arial" w:hAnsi="Arial" w:cs="Arial"/>
          <w:i/>
          <w:iCs/>
          <w:sz w:val="24"/>
          <w:szCs w:val="24"/>
        </w:rPr>
        <w:t xml:space="preserve">2021 MGSS </w:t>
      </w:r>
      <w:r w:rsidR="00F748FD">
        <w:rPr>
          <w:rFonts w:ascii="Arial" w:hAnsi="Arial" w:cs="Arial"/>
          <w:i/>
          <w:iCs/>
          <w:sz w:val="24"/>
          <w:szCs w:val="24"/>
        </w:rPr>
        <w:t xml:space="preserve">Rules </w:t>
      </w:r>
      <w:r w:rsidRPr="00964CEE" w:rsidR="00F748FD">
        <w:rPr>
          <w:rFonts w:ascii="Arial" w:hAnsi="Arial" w:cs="Arial"/>
          <w:i/>
          <w:iCs/>
          <w:sz w:val="24"/>
          <w:szCs w:val="24"/>
        </w:rPr>
        <w:t>Review</w:t>
      </w:r>
      <w:r w:rsidRPr="00A777A3" w:rsidR="00BF1DA6">
        <w:rPr>
          <w:rFonts w:ascii="Arial" w:hAnsi="Arial" w:cs="Arial"/>
          <w:sz w:val="24"/>
          <w:szCs w:val="24"/>
        </w:rPr>
        <w:t xml:space="preserve">, Finding and Order </w:t>
      </w:r>
      <w:r w:rsidR="00BF1DA6">
        <w:rPr>
          <w:rFonts w:ascii="Arial" w:hAnsi="Arial" w:cs="Arial"/>
          <w:sz w:val="24"/>
          <w:szCs w:val="24"/>
        </w:rPr>
        <w:t xml:space="preserve">at ¶ 89 </w:t>
      </w:r>
      <w:r w:rsidRPr="00A777A3" w:rsidR="00BF1DA6">
        <w:rPr>
          <w:rFonts w:ascii="Arial" w:hAnsi="Arial" w:cs="Arial"/>
          <w:sz w:val="24"/>
          <w:szCs w:val="24"/>
        </w:rPr>
        <w:t>(</w:t>
      </w:r>
      <w:r w:rsidR="00BF1DA6">
        <w:rPr>
          <w:rFonts w:ascii="Arial" w:hAnsi="Arial" w:cs="Arial"/>
          <w:sz w:val="24"/>
          <w:szCs w:val="24"/>
        </w:rPr>
        <w:t>Feb. 24, 2021</w:t>
      </w:r>
      <w:r w:rsidRPr="00A777A3" w:rsidR="00BF1DA6">
        <w:rPr>
          <w:rFonts w:ascii="Arial" w:hAnsi="Arial" w:cs="Arial"/>
          <w:sz w:val="24"/>
          <w:szCs w:val="24"/>
        </w:rPr>
        <w:t>)</w:t>
      </w:r>
      <w:r w:rsidR="00BF1DA6">
        <w:rPr>
          <w:rFonts w:ascii="Arial" w:hAnsi="Arial" w:cs="Arial"/>
          <w:sz w:val="24"/>
          <w:szCs w:val="24"/>
        </w:rPr>
        <w:t>, Entry on Rehearing at ¶ 20 (Apr. 21, 2021).</w:t>
      </w:r>
      <w:r w:rsidR="005951E1">
        <w:rPr>
          <w:rFonts w:ascii="Arial" w:hAnsi="Arial" w:cs="Arial"/>
          <w:sz w:val="24"/>
          <w:szCs w:val="24"/>
        </w:rPr>
        <w:t xml:space="preserve"> </w:t>
      </w:r>
      <w:r w:rsidR="00147AEF">
        <w:rPr>
          <w:rFonts w:ascii="Arial" w:hAnsi="Arial" w:cs="Arial"/>
          <w:sz w:val="24"/>
          <w:szCs w:val="24"/>
        </w:rPr>
        <w:t xml:space="preserve">The </w:t>
      </w:r>
      <w:r w:rsidR="005951E1">
        <w:rPr>
          <w:rFonts w:ascii="Arial" w:hAnsi="Arial" w:cs="Arial"/>
          <w:sz w:val="24"/>
          <w:szCs w:val="24"/>
        </w:rPr>
        <w:t>Commission</w:t>
      </w:r>
      <w:r w:rsidR="00147AEF">
        <w:rPr>
          <w:rFonts w:ascii="Arial" w:hAnsi="Arial" w:cs="Arial"/>
          <w:sz w:val="24"/>
          <w:szCs w:val="24"/>
        </w:rPr>
        <w:t xml:space="preserve"> has found it</w:t>
      </w:r>
      <w:r w:rsidR="00BF1DA6">
        <w:rPr>
          <w:rFonts w:ascii="Arial" w:hAnsi="Arial" w:cs="Arial"/>
          <w:sz w:val="24"/>
          <w:szCs w:val="24"/>
        </w:rPr>
        <w:t xml:space="preserve"> unnecessary because better resources already exist.  </w:t>
      </w:r>
      <w:r w:rsidRPr="00964CEE" w:rsidR="001D1400">
        <w:rPr>
          <w:rFonts w:ascii="Arial" w:hAnsi="Arial" w:cs="Arial"/>
          <w:i/>
          <w:iCs/>
          <w:sz w:val="24"/>
          <w:szCs w:val="24"/>
        </w:rPr>
        <w:t xml:space="preserve">2021 MGSS </w:t>
      </w:r>
      <w:r w:rsidR="001D1400">
        <w:rPr>
          <w:rFonts w:ascii="Arial" w:hAnsi="Arial" w:cs="Arial"/>
          <w:i/>
          <w:iCs/>
          <w:sz w:val="24"/>
          <w:szCs w:val="24"/>
        </w:rPr>
        <w:t xml:space="preserve">Rules </w:t>
      </w:r>
      <w:r w:rsidRPr="00964CEE" w:rsidR="001D1400">
        <w:rPr>
          <w:rFonts w:ascii="Arial" w:hAnsi="Arial" w:cs="Arial"/>
          <w:i/>
          <w:iCs/>
          <w:sz w:val="24"/>
          <w:szCs w:val="24"/>
        </w:rPr>
        <w:t>Review</w:t>
      </w:r>
      <w:r w:rsidRPr="00A777A3" w:rsidR="001D1400">
        <w:rPr>
          <w:rFonts w:ascii="Arial" w:hAnsi="Arial" w:cs="Arial"/>
          <w:sz w:val="24"/>
          <w:szCs w:val="24"/>
        </w:rPr>
        <w:t xml:space="preserve">, Finding and Order </w:t>
      </w:r>
      <w:r w:rsidR="001D1400">
        <w:rPr>
          <w:rFonts w:ascii="Arial" w:hAnsi="Arial" w:cs="Arial"/>
          <w:sz w:val="24"/>
          <w:szCs w:val="24"/>
        </w:rPr>
        <w:t xml:space="preserve">at ¶ 89 </w:t>
      </w:r>
      <w:r w:rsidRPr="00A777A3" w:rsidR="001D1400">
        <w:rPr>
          <w:rFonts w:ascii="Arial" w:hAnsi="Arial" w:cs="Arial"/>
          <w:sz w:val="24"/>
          <w:szCs w:val="24"/>
        </w:rPr>
        <w:t>(</w:t>
      </w:r>
      <w:r w:rsidR="001D1400">
        <w:rPr>
          <w:rFonts w:ascii="Arial" w:hAnsi="Arial" w:cs="Arial"/>
          <w:sz w:val="24"/>
          <w:szCs w:val="24"/>
        </w:rPr>
        <w:t>Feb. 24, 2021</w:t>
      </w:r>
      <w:r w:rsidRPr="00A777A3" w:rsidR="001D1400">
        <w:rPr>
          <w:rFonts w:ascii="Arial" w:hAnsi="Arial" w:cs="Arial"/>
          <w:sz w:val="24"/>
          <w:szCs w:val="24"/>
        </w:rPr>
        <w:t>)</w:t>
      </w:r>
      <w:r w:rsidR="001D1400">
        <w:rPr>
          <w:rFonts w:ascii="Arial" w:hAnsi="Arial" w:cs="Arial"/>
          <w:sz w:val="24"/>
          <w:szCs w:val="24"/>
        </w:rPr>
        <w:t xml:space="preserve">; </w:t>
      </w:r>
      <w:r w:rsidR="001D1400">
        <w:rPr>
          <w:rFonts w:ascii="Arial" w:hAnsi="Arial" w:cs="Arial"/>
          <w:i/>
          <w:iCs/>
          <w:sz w:val="24"/>
          <w:szCs w:val="24"/>
        </w:rPr>
        <w:t>2020 ESSS Rules Review,</w:t>
      </w:r>
      <w:r w:rsidRPr="00597498" w:rsidR="001D1400">
        <w:rPr>
          <w:rFonts w:ascii="Arial" w:hAnsi="Arial" w:cs="Arial"/>
          <w:sz w:val="24"/>
          <w:szCs w:val="24"/>
        </w:rPr>
        <w:t xml:space="preserve"> Finding and Order at ¶ 162 (Feb. 26, 2020)</w:t>
      </w:r>
      <w:r w:rsidRPr="00597498" w:rsidR="001D1400">
        <w:rPr>
          <w:rFonts w:ascii="Arial" w:hAnsi="Arial" w:cs="Arial"/>
          <w:i/>
          <w:iCs/>
          <w:sz w:val="24"/>
          <w:szCs w:val="24"/>
        </w:rPr>
        <w:t xml:space="preserve">, </w:t>
      </w:r>
      <w:r w:rsidRPr="00A952B8" w:rsidR="001D1400">
        <w:rPr>
          <w:rFonts w:ascii="Arial" w:hAnsi="Arial" w:cs="Arial"/>
          <w:sz w:val="24"/>
          <w:szCs w:val="24"/>
        </w:rPr>
        <w:t>Entry on Rehearing at ¶ 35 (Jan. 27, 2021);</w:t>
      </w:r>
      <w:r w:rsidR="00EE6072">
        <w:rPr>
          <w:rFonts w:ascii="Arial" w:hAnsi="Arial" w:cs="Arial"/>
          <w:sz w:val="24"/>
          <w:szCs w:val="24"/>
        </w:rPr>
        <w:t xml:space="preserve"> </w:t>
      </w:r>
      <w:r w:rsidRPr="00277CC2" w:rsidR="00EE6072">
        <w:rPr>
          <w:rFonts w:ascii="Arial" w:hAnsi="Arial" w:cs="Arial"/>
          <w:i/>
          <w:iCs/>
          <w:sz w:val="24"/>
          <w:szCs w:val="24"/>
        </w:rPr>
        <w:t>2010 MGSS Rule Review</w:t>
      </w:r>
      <w:r w:rsidR="00EE6072">
        <w:rPr>
          <w:rFonts w:ascii="Arial" w:hAnsi="Arial" w:cs="Arial"/>
          <w:sz w:val="24"/>
          <w:szCs w:val="24"/>
        </w:rPr>
        <w:t xml:space="preserve">, </w:t>
      </w:r>
      <w:r w:rsidRPr="00A952B8" w:rsidR="00EE6072">
        <w:rPr>
          <w:rFonts w:ascii="Arial" w:hAnsi="Arial" w:cs="Arial"/>
          <w:sz w:val="24"/>
          <w:szCs w:val="24"/>
        </w:rPr>
        <w:t>Finding and Order at 48-49</w:t>
      </w:r>
      <w:r w:rsidR="00EE6072">
        <w:rPr>
          <w:rFonts w:ascii="Arial" w:hAnsi="Arial" w:cs="Arial"/>
          <w:sz w:val="24"/>
          <w:szCs w:val="24"/>
        </w:rPr>
        <w:t>.</w:t>
      </w:r>
      <w:r w:rsidRPr="00A952B8" w:rsidR="00EE6072">
        <w:rPr>
          <w:rFonts w:ascii="Arial" w:hAnsi="Arial" w:cs="Arial"/>
          <w:sz w:val="24"/>
          <w:szCs w:val="24"/>
        </w:rPr>
        <w:t xml:space="preserve"> </w:t>
      </w:r>
      <w:r w:rsidRPr="00A952B8" w:rsidR="001D1400">
        <w:rPr>
          <w:rFonts w:ascii="Arial" w:hAnsi="Arial" w:cs="Arial"/>
          <w:sz w:val="24"/>
          <w:szCs w:val="24"/>
        </w:rPr>
        <w:t xml:space="preserve"> </w:t>
      </w:r>
    </w:p>
    <w:p w:rsidRPr="00E9372F" w:rsidR="00BF1DA6" w:rsidP="00332092" w:rsidRDefault="00BF1DA6" w14:paraId="3C6AD51A" w14:textId="76E210ED">
      <w:pPr>
        <w:spacing w:after="0" w:line="480" w:lineRule="auto"/>
        <w:ind w:firstLine="720"/>
        <w:jc w:val="both"/>
        <w:rPr>
          <w:rFonts w:ascii="Arial" w:hAnsi="Arial" w:cs="Arial"/>
          <w:sz w:val="24"/>
          <w:szCs w:val="24"/>
        </w:rPr>
      </w:pPr>
      <w:r>
        <w:rPr>
          <w:rFonts w:ascii="Arial" w:hAnsi="Arial" w:cs="Arial"/>
          <w:sz w:val="24"/>
          <w:szCs w:val="24"/>
        </w:rPr>
        <w:t>There</w:t>
      </w:r>
      <w:r w:rsidRPr="00EB5757">
        <w:rPr>
          <w:rFonts w:ascii="Arial" w:hAnsi="Arial" w:cs="Arial"/>
          <w:sz w:val="24"/>
          <w:szCs w:val="24"/>
        </w:rPr>
        <w:t xml:space="preserve"> continues to be a number of existing resources that provide a substantial amount of information for customers to compare pricing and available offers. </w:t>
      </w:r>
      <w:r w:rsidRPr="00964CEE" w:rsidR="00523F68">
        <w:rPr>
          <w:rFonts w:ascii="Arial" w:hAnsi="Arial" w:cs="Arial"/>
          <w:i/>
          <w:iCs/>
          <w:sz w:val="24"/>
          <w:szCs w:val="24"/>
        </w:rPr>
        <w:t xml:space="preserve">MGSS </w:t>
      </w:r>
      <w:r w:rsidR="00523F68">
        <w:rPr>
          <w:rFonts w:ascii="Arial" w:hAnsi="Arial" w:cs="Arial"/>
          <w:i/>
          <w:iCs/>
          <w:sz w:val="24"/>
          <w:szCs w:val="24"/>
        </w:rPr>
        <w:t xml:space="preserve">Rules </w:t>
      </w:r>
      <w:r w:rsidRPr="00964CEE" w:rsidR="00523F68">
        <w:rPr>
          <w:rFonts w:ascii="Arial" w:hAnsi="Arial" w:cs="Arial"/>
          <w:i/>
          <w:iCs/>
          <w:sz w:val="24"/>
          <w:szCs w:val="24"/>
        </w:rPr>
        <w:t>Review</w:t>
      </w:r>
      <w:r w:rsidRPr="00A777A3" w:rsidR="00523F68">
        <w:rPr>
          <w:rFonts w:ascii="Arial" w:hAnsi="Arial" w:cs="Arial"/>
          <w:sz w:val="24"/>
          <w:szCs w:val="24"/>
        </w:rPr>
        <w:t xml:space="preserve">, Finding and Order </w:t>
      </w:r>
      <w:r w:rsidR="00523F68">
        <w:rPr>
          <w:rFonts w:ascii="Arial" w:hAnsi="Arial" w:cs="Arial"/>
          <w:sz w:val="24"/>
          <w:szCs w:val="24"/>
        </w:rPr>
        <w:t>at ¶ 89.</w:t>
      </w:r>
      <w:r w:rsidRPr="00EB5757">
        <w:rPr>
          <w:rFonts w:ascii="Arial" w:hAnsi="Arial" w:cs="Arial"/>
          <w:sz w:val="24"/>
          <w:szCs w:val="24"/>
        </w:rPr>
        <w:t xml:space="preserve"> </w:t>
      </w:r>
      <w:r>
        <w:rPr>
          <w:rFonts w:ascii="Arial" w:hAnsi="Arial" w:cs="Arial"/>
          <w:sz w:val="24"/>
          <w:szCs w:val="24"/>
        </w:rPr>
        <w:t>In contrast to aggregate shadow billing data, t</w:t>
      </w:r>
      <w:r w:rsidRPr="00EB5757">
        <w:rPr>
          <w:rFonts w:ascii="Arial" w:hAnsi="Arial" w:cs="Arial"/>
          <w:sz w:val="24"/>
          <w:szCs w:val="24"/>
        </w:rPr>
        <w:t>hese tools</w:t>
      </w:r>
      <w:r>
        <w:rPr>
          <w:rFonts w:ascii="Arial" w:hAnsi="Arial" w:cs="Arial"/>
          <w:sz w:val="24"/>
          <w:szCs w:val="24"/>
        </w:rPr>
        <w:t>, such as the Commission’s Energy Choice Ohio website, actually provide a benefit to</w:t>
      </w:r>
      <w:r w:rsidRPr="00EB5757">
        <w:rPr>
          <w:rFonts w:ascii="Arial" w:hAnsi="Arial" w:cs="Arial"/>
          <w:sz w:val="24"/>
          <w:szCs w:val="24"/>
        </w:rPr>
        <w:t xml:space="preserve"> customers</w:t>
      </w:r>
      <w:r>
        <w:rPr>
          <w:rFonts w:ascii="Arial" w:hAnsi="Arial" w:cs="Arial"/>
          <w:sz w:val="24"/>
          <w:szCs w:val="24"/>
        </w:rPr>
        <w:t>.</w:t>
      </w:r>
      <w:r w:rsidRPr="00EB5757">
        <w:rPr>
          <w:rFonts w:ascii="Arial" w:hAnsi="Arial" w:cs="Arial"/>
          <w:sz w:val="24"/>
          <w:szCs w:val="24"/>
        </w:rPr>
        <w:t xml:space="preserve"> </w:t>
      </w:r>
      <w:r>
        <w:rPr>
          <w:rFonts w:ascii="Arial" w:hAnsi="Arial" w:cs="Arial"/>
          <w:sz w:val="24"/>
          <w:szCs w:val="24"/>
        </w:rPr>
        <w:t>They</w:t>
      </w:r>
      <w:r w:rsidRPr="00EB5757">
        <w:rPr>
          <w:rFonts w:ascii="Arial" w:hAnsi="Arial" w:cs="Arial"/>
          <w:sz w:val="24"/>
          <w:szCs w:val="24"/>
        </w:rPr>
        <w:t xml:space="preserve"> provid</w:t>
      </w:r>
      <w:r>
        <w:rPr>
          <w:rFonts w:ascii="Arial" w:hAnsi="Arial" w:cs="Arial"/>
          <w:sz w:val="24"/>
          <w:szCs w:val="24"/>
        </w:rPr>
        <w:t>e a</w:t>
      </w:r>
      <w:r w:rsidRPr="00EB5757">
        <w:rPr>
          <w:rFonts w:ascii="Arial" w:hAnsi="Arial" w:cs="Arial"/>
          <w:sz w:val="24"/>
          <w:szCs w:val="24"/>
        </w:rPr>
        <w:t xml:space="preserve"> forward-looking comparison </w:t>
      </w:r>
      <w:r>
        <w:rPr>
          <w:rFonts w:ascii="Arial" w:hAnsi="Arial" w:cs="Arial"/>
          <w:sz w:val="24"/>
          <w:szCs w:val="24"/>
        </w:rPr>
        <w:t>of the current</w:t>
      </w:r>
      <w:r w:rsidRPr="00EB5757">
        <w:rPr>
          <w:rFonts w:ascii="Arial" w:hAnsi="Arial" w:cs="Arial"/>
          <w:sz w:val="24"/>
          <w:szCs w:val="24"/>
        </w:rPr>
        <w:t xml:space="preserve"> product offerings </w:t>
      </w:r>
      <w:r>
        <w:rPr>
          <w:rFonts w:ascii="Arial" w:hAnsi="Arial" w:cs="Arial"/>
          <w:sz w:val="24"/>
          <w:szCs w:val="24"/>
        </w:rPr>
        <w:t xml:space="preserve">for an individual customer. </w:t>
      </w:r>
      <w:r w:rsidRPr="00EB5757">
        <w:rPr>
          <w:rFonts w:ascii="Arial" w:hAnsi="Arial" w:cs="Arial"/>
          <w:i/>
          <w:iCs/>
          <w:sz w:val="24"/>
          <w:szCs w:val="24"/>
        </w:rPr>
        <w:t xml:space="preserve">See </w:t>
      </w:r>
      <w:r w:rsidRPr="00EB5757">
        <w:rPr>
          <w:rFonts w:ascii="Arial" w:hAnsi="Arial" w:cs="Arial"/>
          <w:sz w:val="24"/>
          <w:szCs w:val="24"/>
        </w:rPr>
        <w:t>IGS/Direct Ex. 2 at 54</w:t>
      </w:r>
      <w:r>
        <w:rPr>
          <w:rFonts w:ascii="Arial" w:hAnsi="Arial" w:cs="Arial"/>
          <w:sz w:val="24"/>
          <w:szCs w:val="24"/>
        </w:rPr>
        <w:t xml:space="preserve">; </w:t>
      </w:r>
      <w:r w:rsidRPr="00964CEE" w:rsidR="0079678F">
        <w:rPr>
          <w:rFonts w:ascii="Arial" w:hAnsi="Arial" w:cs="Arial"/>
          <w:i/>
          <w:iCs/>
          <w:sz w:val="24"/>
          <w:szCs w:val="24"/>
        </w:rPr>
        <w:t xml:space="preserve">MGSS </w:t>
      </w:r>
      <w:r w:rsidR="0079678F">
        <w:rPr>
          <w:rFonts w:ascii="Arial" w:hAnsi="Arial" w:cs="Arial"/>
          <w:i/>
          <w:iCs/>
          <w:sz w:val="24"/>
          <w:szCs w:val="24"/>
        </w:rPr>
        <w:t xml:space="preserve">Rules </w:t>
      </w:r>
      <w:r w:rsidRPr="00964CEE" w:rsidR="0079678F">
        <w:rPr>
          <w:rFonts w:ascii="Arial" w:hAnsi="Arial" w:cs="Arial"/>
          <w:i/>
          <w:iCs/>
          <w:sz w:val="24"/>
          <w:szCs w:val="24"/>
        </w:rPr>
        <w:t>Review</w:t>
      </w:r>
      <w:r w:rsidRPr="00A777A3" w:rsidR="0079678F">
        <w:rPr>
          <w:rFonts w:ascii="Arial" w:hAnsi="Arial" w:cs="Arial"/>
          <w:sz w:val="24"/>
          <w:szCs w:val="24"/>
        </w:rPr>
        <w:t xml:space="preserve">, </w:t>
      </w:r>
      <w:r w:rsidR="0079678F">
        <w:rPr>
          <w:rFonts w:ascii="Arial" w:hAnsi="Arial" w:cs="Arial"/>
          <w:sz w:val="24"/>
          <w:szCs w:val="24"/>
        </w:rPr>
        <w:t>Entry on Rehearing at ¶ 23.</w:t>
      </w:r>
      <w:r w:rsidRPr="00EB5757">
        <w:rPr>
          <w:rFonts w:ascii="Arial" w:hAnsi="Arial" w:cs="Arial"/>
          <w:sz w:val="24"/>
          <w:szCs w:val="24"/>
        </w:rPr>
        <w:t xml:space="preserve"> </w:t>
      </w:r>
      <w:r w:rsidR="003C6F9D">
        <w:rPr>
          <w:rFonts w:ascii="Arial" w:hAnsi="Arial" w:cs="Arial"/>
          <w:sz w:val="24"/>
          <w:szCs w:val="24"/>
        </w:rPr>
        <w:t>A</w:t>
      </w:r>
      <w:r w:rsidRPr="00EB5757">
        <w:rPr>
          <w:rFonts w:ascii="Arial" w:hAnsi="Arial" w:cs="Arial"/>
          <w:sz w:val="24"/>
          <w:szCs w:val="24"/>
        </w:rPr>
        <w:t>ggregate shadow billing data</w:t>
      </w:r>
      <w:r>
        <w:rPr>
          <w:rFonts w:ascii="Arial" w:hAnsi="Arial" w:cs="Arial"/>
          <w:sz w:val="24"/>
          <w:szCs w:val="24"/>
        </w:rPr>
        <w:t xml:space="preserve"> </w:t>
      </w:r>
      <w:r w:rsidR="003C6F9D">
        <w:rPr>
          <w:rFonts w:ascii="Arial" w:hAnsi="Arial" w:cs="Arial"/>
          <w:sz w:val="24"/>
          <w:szCs w:val="24"/>
        </w:rPr>
        <w:t xml:space="preserve">calculations continue to be </w:t>
      </w:r>
      <w:r>
        <w:rPr>
          <w:rFonts w:ascii="Arial" w:hAnsi="Arial" w:cs="Arial"/>
          <w:sz w:val="24"/>
          <w:szCs w:val="24"/>
        </w:rPr>
        <w:t xml:space="preserve">a </w:t>
      </w:r>
      <w:r w:rsidRPr="00EB5757">
        <w:rPr>
          <w:rFonts w:ascii="Arial" w:hAnsi="Arial" w:cs="Arial"/>
          <w:sz w:val="24"/>
          <w:szCs w:val="24"/>
        </w:rPr>
        <w:t>completely unnecessary</w:t>
      </w:r>
      <w:r>
        <w:rPr>
          <w:rFonts w:ascii="Arial" w:hAnsi="Arial" w:cs="Arial"/>
          <w:sz w:val="24"/>
          <w:szCs w:val="24"/>
        </w:rPr>
        <w:t xml:space="preserve"> exercise</w:t>
      </w:r>
      <w:r w:rsidR="00332092">
        <w:rPr>
          <w:rFonts w:ascii="Arial" w:hAnsi="Arial" w:cs="Arial"/>
          <w:sz w:val="24"/>
          <w:szCs w:val="24"/>
        </w:rPr>
        <w:t>.</w:t>
      </w:r>
    </w:p>
    <w:p w:rsidRPr="007F2348" w:rsidR="002F1FF9" w:rsidP="00B62F05" w:rsidRDefault="002F1FF9" w14:paraId="3EE3F447" w14:textId="3C211635">
      <w:pPr>
        <w:pStyle w:val="Heading2"/>
        <w:numPr>
          <w:ilvl w:val="0"/>
          <w:numId w:val="15"/>
        </w:numPr>
        <w:rPr>
          <w:color w:val="auto"/>
        </w:rPr>
      </w:pPr>
      <w:bookmarkStart w:name="_Toc74573096" w:id="37"/>
      <w:r w:rsidRPr="007F2348">
        <w:rPr>
          <w:color w:val="auto"/>
        </w:rPr>
        <w:lastRenderedPageBreak/>
        <w:t xml:space="preserve">The </w:t>
      </w:r>
      <w:r w:rsidR="000B392E">
        <w:rPr>
          <w:color w:val="auto"/>
        </w:rPr>
        <w:t xml:space="preserve">limited </w:t>
      </w:r>
      <w:r w:rsidRPr="00B62F05">
        <w:rPr>
          <w:color w:val="auto"/>
        </w:rPr>
        <w:t>BTCR</w:t>
      </w:r>
      <w:r w:rsidR="000B392E">
        <w:rPr>
          <w:color w:val="auto"/>
        </w:rPr>
        <w:t xml:space="preserve"> Pilot</w:t>
      </w:r>
      <w:r w:rsidRPr="00B62F05">
        <w:rPr>
          <w:color w:val="auto"/>
        </w:rPr>
        <w:t xml:space="preserve"> is not </w:t>
      </w:r>
      <w:r w:rsidRPr="007F2348">
        <w:rPr>
          <w:color w:val="auto"/>
        </w:rPr>
        <w:t>in the public interest and violates important regulatory principles.</w:t>
      </w:r>
      <w:bookmarkEnd w:id="37"/>
    </w:p>
    <w:p w:rsidR="00576747" w:rsidP="002F1FF9" w:rsidRDefault="00576747" w14:paraId="3A240776" w14:textId="30CC2A00">
      <w:pPr>
        <w:pStyle w:val="NoSpacing"/>
        <w:spacing w:line="480" w:lineRule="auto"/>
        <w:ind w:firstLine="720"/>
        <w:jc w:val="both"/>
        <w:rPr>
          <w:rFonts w:ascii="Arial" w:hAnsi="Arial" w:cs="Arial"/>
          <w:sz w:val="24"/>
          <w:szCs w:val="24"/>
        </w:rPr>
      </w:pPr>
      <w:r w:rsidRPr="00576747">
        <w:rPr>
          <w:rFonts w:ascii="Arial" w:hAnsi="Arial" w:cs="Arial"/>
          <w:sz w:val="24"/>
          <w:szCs w:val="24"/>
        </w:rPr>
        <w:t xml:space="preserve">The </w:t>
      </w:r>
      <w:r>
        <w:rPr>
          <w:rFonts w:ascii="Arial" w:hAnsi="Arial" w:cs="Arial"/>
          <w:sz w:val="24"/>
          <w:szCs w:val="24"/>
        </w:rPr>
        <w:t>S</w:t>
      </w:r>
      <w:r w:rsidRPr="00576747">
        <w:rPr>
          <w:rFonts w:ascii="Arial" w:hAnsi="Arial" w:cs="Arial"/>
          <w:sz w:val="24"/>
          <w:szCs w:val="24"/>
        </w:rPr>
        <w:t xml:space="preserve">tipulation provides for the continuation and expansion of the BTCR Pilot for members of a limited number of signatory parties.  Although this case was to be the vehicle for reviewing the viability of the Pilot, Ohio Power offered nothing in its </w:t>
      </w:r>
      <w:r w:rsidR="00BE7B86">
        <w:rPr>
          <w:rFonts w:ascii="Arial" w:hAnsi="Arial" w:cs="Arial"/>
          <w:sz w:val="24"/>
          <w:szCs w:val="24"/>
        </w:rPr>
        <w:t>A</w:t>
      </w:r>
      <w:r w:rsidRPr="00576747">
        <w:rPr>
          <w:rFonts w:ascii="Arial" w:hAnsi="Arial" w:cs="Arial"/>
          <w:sz w:val="24"/>
          <w:szCs w:val="24"/>
        </w:rPr>
        <w:t>pplication and little in its testimony in support of the Stipulation to justify the continuation of the Pilot on such limited terms and under circumstances that violate the federally approved transmission tariff.  As the record demonstrates, the Pilot should be opened to all customers so that the spiraling costs associated with transmission service can be potentially checked and so that retail transmission rates comply with applicable law.</w:t>
      </w:r>
    </w:p>
    <w:p w:rsidRPr="002F1FF9" w:rsidR="002F1FF9" w:rsidP="002F1FF9" w:rsidRDefault="002F1FF9" w14:paraId="4A1F2AFF" w14:textId="223D398F">
      <w:pPr>
        <w:pStyle w:val="NoSpacing"/>
        <w:spacing w:line="480" w:lineRule="auto"/>
        <w:ind w:firstLine="720"/>
        <w:jc w:val="both"/>
        <w:rPr>
          <w:rFonts w:ascii="Arial" w:hAnsi="Arial" w:cs="Arial"/>
          <w:sz w:val="24"/>
          <w:szCs w:val="24"/>
        </w:rPr>
      </w:pPr>
      <w:r w:rsidRPr="002F1FF9">
        <w:rPr>
          <w:rFonts w:ascii="Arial" w:hAnsi="Arial" w:cs="Arial"/>
          <w:sz w:val="24"/>
          <w:szCs w:val="24"/>
        </w:rPr>
        <w:t>The record in this case demonstrates the steady and sharp increases in the annual transmission revenue requirement and Network Integration Transmission Service (“NITS”) rates for the AEP Transmission Zone in PJM</w:t>
      </w:r>
      <w:r w:rsidRPr="00CD19C2" w:rsidR="006140E0">
        <w:rPr>
          <w:rFonts w:ascii="Arial" w:hAnsi="Arial" w:cs="Arial"/>
          <w:sz w:val="24"/>
          <w:szCs w:val="24"/>
        </w:rPr>
        <w:t xml:space="preserve"> Interconnection, LLC (“PJM”)</w:t>
      </w:r>
      <w:r w:rsidRPr="00CD19C2">
        <w:rPr>
          <w:rFonts w:ascii="Arial" w:hAnsi="Arial" w:cs="Arial"/>
          <w:sz w:val="24"/>
          <w:szCs w:val="24"/>
        </w:rPr>
        <w:t>:</w:t>
      </w:r>
    </w:p>
    <w:p w:rsidRPr="002F1FF9" w:rsidR="002F1FF9" w:rsidP="002F1FF9" w:rsidRDefault="009F1E3D" w14:paraId="07D89D1D" w14:textId="33933C0E">
      <w:pPr>
        <w:pStyle w:val="NoSpacing"/>
        <w:ind w:firstLine="720"/>
        <w:jc w:val="both"/>
        <w:rPr>
          <w:rFonts w:ascii="Arial" w:hAnsi="Arial" w:cs="Arial"/>
          <w:sz w:val="24"/>
          <w:szCs w:val="24"/>
        </w:rPr>
      </w:pPr>
      <w:r>
        <w:rPr>
          <w:rFonts w:ascii="Arial" w:hAnsi="Arial" w:cs="Arial"/>
          <w:noProof/>
          <w:sz w:val="24"/>
          <w:szCs w:val="24"/>
        </w:rPr>
        <w:drawing>
          <wp:inline distT="0" distB="0" distL="0" distR="0" wp14:anchorId="3273AA3F" wp14:editId="768FA03C">
            <wp:extent cx="5404128" cy="1949550"/>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0B357.tmp"/>
                    <pic:cNvPicPr/>
                  </pic:nvPicPr>
                  <pic:blipFill>
                    <a:blip r:embed="rId11">
                      <a:extLst>
                        <a:ext uri="{28A0092B-C50C-407E-A947-70E740481C1C}">
                          <a14:useLocalDpi xmlns:a14="http://schemas.microsoft.com/office/drawing/2010/main" val="0"/>
                        </a:ext>
                      </a:extLst>
                    </a:blip>
                    <a:stretch>
                      <a:fillRect/>
                    </a:stretch>
                  </pic:blipFill>
                  <pic:spPr>
                    <a:xfrm>
                      <a:off x="0" y="0"/>
                      <a:ext cx="5404128" cy="1949550"/>
                    </a:xfrm>
                    <a:prstGeom prst="rect">
                      <a:avLst/>
                    </a:prstGeom>
                  </pic:spPr>
                </pic:pic>
              </a:graphicData>
            </a:graphic>
          </wp:inline>
        </w:drawing>
      </w:r>
    </w:p>
    <w:p w:rsidRPr="002F1FF9" w:rsidR="002F1FF9" w:rsidP="002F1FF9" w:rsidRDefault="00177433" w14:paraId="1C101B15" w14:textId="1EB95C8C">
      <w:pPr>
        <w:pStyle w:val="NoSpacing"/>
        <w:spacing w:line="480" w:lineRule="auto"/>
        <w:jc w:val="both"/>
        <w:rPr>
          <w:rFonts w:ascii="Arial" w:hAnsi="Arial" w:cs="Arial"/>
          <w:sz w:val="24"/>
          <w:szCs w:val="24"/>
        </w:rPr>
      </w:pPr>
      <w:r>
        <w:rPr>
          <w:rFonts w:ascii="Arial" w:hAnsi="Arial" w:cs="Arial"/>
          <w:sz w:val="24"/>
          <w:szCs w:val="24"/>
        </w:rPr>
        <w:t xml:space="preserve">IGS Ex. 1 at 7, </w:t>
      </w:r>
      <w:r w:rsidRPr="008E489A">
        <w:rPr>
          <w:rFonts w:ascii="Arial" w:hAnsi="Arial" w:cs="Arial"/>
          <w:i/>
          <w:iCs/>
          <w:sz w:val="24"/>
          <w:szCs w:val="24"/>
        </w:rPr>
        <w:t>citing</w:t>
      </w:r>
      <w:r>
        <w:rPr>
          <w:rFonts w:ascii="Arial" w:hAnsi="Arial" w:cs="Arial"/>
          <w:sz w:val="24"/>
          <w:szCs w:val="24"/>
        </w:rPr>
        <w:t xml:space="preserve"> JH-Ex. 1-4. </w:t>
      </w:r>
      <w:r w:rsidRPr="002F1FF9" w:rsidR="002F1FF9">
        <w:rPr>
          <w:rFonts w:ascii="Arial" w:hAnsi="Arial" w:cs="Arial"/>
          <w:sz w:val="24"/>
          <w:szCs w:val="24"/>
        </w:rPr>
        <w:t xml:space="preserve">It also demonstrates that these increases have </w:t>
      </w:r>
      <w:r w:rsidRPr="00F13708" w:rsidR="000B167C">
        <w:rPr>
          <w:rFonts w:ascii="Arial" w:hAnsi="Arial" w:cs="Arial"/>
          <w:sz w:val="24"/>
          <w:szCs w:val="24"/>
        </w:rPr>
        <w:t>flow</w:t>
      </w:r>
      <w:r w:rsidR="000B167C">
        <w:rPr>
          <w:rFonts w:ascii="Arial" w:hAnsi="Arial" w:cs="Arial"/>
          <w:sz w:val="24"/>
          <w:szCs w:val="24"/>
        </w:rPr>
        <w:t>ed</w:t>
      </w:r>
      <w:r w:rsidRPr="002F1FF9" w:rsidR="002F1FF9">
        <w:rPr>
          <w:rFonts w:ascii="Arial" w:hAnsi="Arial" w:cs="Arial"/>
          <w:sz w:val="24"/>
          <w:szCs w:val="24"/>
        </w:rPr>
        <w:t xml:space="preserve"> directly to Ohio Power’s customers through increases in the BTCR. </w:t>
      </w:r>
      <w:r w:rsidRPr="00177433">
        <w:rPr>
          <w:rFonts w:ascii="Arial" w:hAnsi="Arial" w:cs="Arial"/>
          <w:i/>
          <w:iCs/>
          <w:sz w:val="24"/>
          <w:szCs w:val="24"/>
        </w:rPr>
        <w:t>Id.</w:t>
      </w:r>
      <w:r w:rsidR="000B167C">
        <w:rPr>
          <w:rFonts w:ascii="Arial" w:hAnsi="Arial" w:cs="Arial"/>
          <w:sz w:val="24"/>
          <w:szCs w:val="24"/>
        </w:rPr>
        <w:t xml:space="preserve"> at</w:t>
      </w:r>
      <w:r w:rsidR="00D9777D">
        <w:rPr>
          <w:rFonts w:ascii="Arial" w:hAnsi="Arial" w:cs="Arial"/>
          <w:sz w:val="24"/>
          <w:szCs w:val="24"/>
        </w:rPr>
        <w:t xml:space="preserve"> </w:t>
      </w:r>
      <w:r w:rsidR="00F13708">
        <w:rPr>
          <w:rFonts w:ascii="Arial" w:hAnsi="Arial" w:cs="Arial"/>
          <w:sz w:val="24"/>
          <w:szCs w:val="24"/>
        </w:rPr>
        <w:t>8.</w:t>
      </w:r>
      <w:r w:rsidRPr="002F1FF9" w:rsidR="002F1FF9">
        <w:rPr>
          <w:rFonts w:ascii="Arial" w:hAnsi="Arial" w:cs="Arial"/>
          <w:sz w:val="24"/>
          <w:szCs w:val="24"/>
        </w:rPr>
        <w:t xml:space="preserve"> But what fails to occur in this case, despite </w:t>
      </w:r>
      <w:r w:rsidR="00386B25">
        <w:rPr>
          <w:rFonts w:ascii="Arial" w:hAnsi="Arial" w:cs="Arial"/>
          <w:sz w:val="24"/>
          <w:szCs w:val="24"/>
        </w:rPr>
        <w:t>Ohio Power’s agreement</w:t>
      </w:r>
      <w:r w:rsidRPr="002F1FF9" w:rsidR="002F1FF9">
        <w:rPr>
          <w:rFonts w:ascii="Arial" w:hAnsi="Arial" w:cs="Arial"/>
          <w:sz w:val="24"/>
          <w:szCs w:val="24"/>
        </w:rPr>
        <w:t xml:space="preserve"> that the “subject of transmission rates will be reevaluated” in this proceeding, is </w:t>
      </w:r>
      <w:r w:rsidRPr="00CD19C2" w:rsidR="00386B25">
        <w:rPr>
          <w:rFonts w:ascii="Arial" w:hAnsi="Arial" w:cs="Arial"/>
          <w:sz w:val="24"/>
          <w:szCs w:val="24"/>
        </w:rPr>
        <w:t>provi</w:t>
      </w:r>
      <w:r w:rsidR="00386B25">
        <w:rPr>
          <w:rFonts w:ascii="Arial" w:hAnsi="Arial" w:cs="Arial"/>
          <w:sz w:val="24"/>
          <w:szCs w:val="24"/>
        </w:rPr>
        <w:t>sion for</w:t>
      </w:r>
      <w:r w:rsidRPr="002F1FF9" w:rsidR="002F1FF9">
        <w:rPr>
          <w:rFonts w:ascii="Arial" w:hAnsi="Arial" w:cs="Arial"/>
          <w:sz w:val="24"/>
          <w:szCs w:val="24"/>
        </w:rPr>
        <w:t xml:space="preserve"> a transparent, nondiscriminatory opportunity for Ohio Power’s </w:t>
      </w:r>
      <w:r w:rsidR="00386B25">
        <w:rPr>
          <w:rFonts w:ascii="Arial" w:hAnsi="Arial" w:cs="Arial"/>
          <w:sz w:val="24"/>
          <w:szCs w:val="24"/>
        </w:rPr>
        <w:t>customers</w:t>
      </w:r>
      <w:r w:rsidRPr="00F13708" w:rsidR="002F1FF9">
        <w:rPr>
          <w:rFonts w:ascii="Arial" w:hAnsi="Arial" w:cs="Arial"/>
          <w:sz w:val="24"/>
          <w:szCs w:val="24"/>
        </w:rPr>
        <w:t xml:space="preserve"> </w:t>
      </w:r>
      <w:r w:rsidRPr="002F1FF9" w:rsidR="002F1FF9">
        <w:rPr>
          <w:rFonts w:ascii="Arial" w:hAnsi="Arial" w:cs="Arial"/>
          <w:sz w:val="24"/>
          <w:szCs w:val="24"/>
        </w:rPr>
        <w:t xml:space="preserve">to have better control over these ever-increasing transmission rates.  </w:t>
      </w:r>
      <w:r w:rsidRPr="002F1FF9" w:rsidR="002F1FF9">
        <w:rPr>
          <w:rFonts w:ascii="Arial" w:hAnsi="Arial" w:cs="Arial"/>
          <w:i/>
          <w:iCs/>
          <w:sz w:val="24"/>
          <w:szCs w:val="24"/>
        </w:rPr>
        <w:t>See</w:t>
      </w:r>
      <w:r w:rsidRPr="002F1FF9" w:rsidR="002F1FF9">
        <w:rPr>
          <w:rFonts w:ascii="Arial" w:hAnsi="Arial" w:cs="Arial"/>
          <w:sz w:val="24"/>
          <w:szCs w:val="24"/>
        </w:rPr>
        <w:t xml:space="preserve"> ESP IV Stipulation at 28. </w:t>
      </w:r>
      <w:r w:rsidRPr="002F1FF9" w:rsidR="006D651C">
        <w:rPr>
          <w:rFonts w:ascii="Arial" w:hAnsi="Arial" w:cs="Arial"/>
          <w:sz w:val="24"/>
          <w:szCs w:val="24"/>
        </w:rPr>
        <w:t xml:space="preserve">Although Ohio </w:t>
      </w:r>
      <w:r w:rsidRPr="002F1FF9" w:rsidR="006D651C">
        <w:rPr>
          <w:rFonts w:ascii="Arial" w:hAnsi="Arial" w:cs="Arial"/>
          <w:sz w:val="24"/>
          <w:szCs w:val="24"/>
        </w:rPr>
        <w:lastRenderedPageBreak/>
        <w:t xml:space="preserve">Power is quick to tout “transparency” as </w:t>
      </w:r>
      <w:r w:rsidR="00B14498">
        <w:rPr>
          <w:rFonts w:ascii="Arial" w:hAnsi="Arial" w:cs="Arial"/>
          <w:sz w:val="24"/>
          <w:szCs w:val="24"/>
        </w:rPr>
        <w:t>the</w:t>
      </w:r>
      <w:r w:rsidRPr="002F1FF9" w:rsidR="006D651C">
        <w:rPr>
          <w:rFonts w:ascii="Arial" w:hAnsi="Arial" w:cs="Arial"/>
          <w:sz w:val="24"/>
          <w:szCs w:val="24"/>
        </w:rPr>
        <w:t xml:space="preserve"> alleged benefit </w:t>
      </w:r>
      <w:r w:rsidR="00B14498">
        <w:rPr>
          <w:rFonts w:ascii="Arial" w:hAnsi="Arial" w:cs="Arial"/>
          <w:sz w:val="24"/>
          <w:szCs w:val="24"/>
        </w:rPr>
        <w:t>of</w:t>
      </w:r>
      <w:r w:rsidRPr="002F1FF9" w:rsidR="006D651C">
        <w:rPr>
          <w:rFonts w:ascii="Arial" w:hAnsi="Arial" w:cs="Arial"/>
          <w:sz w:val="24"/>
          <w:szCs w:val="24"/>
        </w:rPr>
        <w:t xml:space="preserve"> Aggregate Shadow Billing Data, the same cannot be said about its own rates. </w:t>
      </w:r>
      <w:r w:rsidRPr="00F52548" w:rsidR="00B14498">
        <w:rPr>
          <w:rFonts w:ascii="Arial" w:hAnsi="Arial" w:cs="Arial"/>
          <w:i/>
          <w:sz w:val="24"/>
          <w:szCs w:val="24"/>
        </w:rPr>
        <w:t>See</w:t>
      </w:r>
      <w:r w:rsidR="00B14498">
        <w:rPr>
          <w:rFonts w:ascii="Arial" w:hAnsi="Arial" w:cs="Arial"/>
          <w:sz w:val="24"/>
          <w:szCs w:val="24"/>
        </w:rPr>
        <w:t xml:space="preserve"> Ohio Power Ex. 6 </w:t>
      </w:r>
      <w:r w:rsidR="00B413B3">
        <w:rPr>
          <w:rFonts w:ascii="Arial" w:hAnsi="Arial" w:cs="Arial"/>
          <w:sz w:val="24"/>
          <w:szCs w:val="24"/>
        </w:rPr>
        <w:t>at 18.</w:t>
      </w:r>
    </w:p>
    <w:p w:rsidRPr="002F1FF9" w:rsidR="002F1FF9" w:rsidP="002F1FF9" w:rsidRDefault="002F1FF9" w14:paraId="30EBBB4A" w14:textId="72F06FE0">
      <w:pPr>
        <w:pStyle w:val="NoSpacing"/>
        <w:spacing w:line="480" w:lineRule="auto"/>
        <w:jc w:val="both"/>
        <w:rPr>
          <w:rFonts w:ascii="Arial" w:hAnsi="Arial" w:cs="Arial"/>
          <w:sz w:val="24"/>
          <w:szCs w:val="24"/>
        </w:rPr>
      </w:pPr>
      <w:r w:rsidRPr="002F1FF9">
        <w:rPr>
          <w:rFonts w:ascii="Arial" w:hAnsi="Arial" w:cs="Arial"/>
          <w:sz w:val="24"/>
          <w:szCs w:val="24"/>
        </w:rPr>
        <w:tab/>
      </w:r>
      <w:r w:rsidRPr="002F1FF9">
        <w:rPr>
          <w:rFonts w:ascii="Arial" w:hAnsi="Arial" w:cs="Arial"/>
          <w:sz w:val="24"/>
          <w:szCs w:val="24"/>
        </w:rPr>
        <w:t>Ohio Power utilizes the BTCR to recover all of the transmission and transmission-related service costs imposed upon Ohio Power for its customers by PJM</w:t>
      </w:r>
      <w:r w:rsidRPr="00CD19C2">
        <w:rPr>
          <w:rFonts w:ascii="Arial" w:hAnsi="Arial" w:cs="Arial"/>
          <w:sz w:val="24"/>
          <w:szCs w:val="24"/>
        </w:rPr>
        <w:t>.</w:t>
      </w:r>
      <w:r w:rsidRPr="002F1FF9">
        <w:rPr>
          <w:rFonts w:ascii="Arial" w:hAnsi="Arial" w:cs="Arial"/>
          <w:sz w:val="24"/>
          <w:szCs w:val="24"/>
        </w:rPr>
        <w:t xml:space="preserve"> </w:t>
      </w:r>
      <w:r w:rsidRPr="002F1FF9">
        <w:rPr>
          <w:rFonts w:ascii="Arial" w:hAnsi="Arial" w:cs="Arial"/>
          <w:i/>
          <w:iCs/>
          <w:sz w:val="24"/>
          <w:szCs w:val="24"/>
        </w:rPr>
        <w:t>See</w:t>
      </w:r>
      <w:r w:rsidRPr="002F1FF9">
        <w:rPr>
          <w:rFonts w:ascii="Arial" w:hAnsi="Arial" w:cs="Arial"/>
          <w:sz w:val="24"/>
          <w:szCs w:val="24"/>
        </w:rPr>
        <w:t xml:space="preserve"> R.C. 4928.05(A)(2). The NITS charge makes up the largest portion of these costs. </w:t>
      </w:r>
      <w:r w:rsidR="00792035">
        <w:rPr>
          <w:rFonts w:ascii="Arial" w:hAnsi="Arial" w:cs="Arial"/>
          <w:sz w:val="24"/>
          <w:szCs w:val="24"/>
        </w:rPr>
        <w:t xml:space="preserve">IGS Ex. </w:t>
      </w:r>
      <w:r w:rsidRPr="00244524" w:rsidR="00792035">
        <w:rPr>
          <w:rFonts w:ascii="Arial" w:hAnsi="Arial" w:cs="Arial"/>
          <w:sz w:val="24"/>
          <w:szCs w:val="24"/>
        </w:rPr>
        <w:t>1</w:t>
      </w:r>
      <w:r w:rsidRPr="008102F2">
        <w:rPr>
          <w:rFonts w:ascii="Arial" w:hAnsi="Arial" w:cs="Arial"/>
          <w:sz w:val="24"/>
          <w:szCs w:val="24"/>
        </w:rPr>
        <w:t xml:space="preserve"> at 5</w:t>
      </w:r>
      <w:r w:rsidRPr="002F1FF9">
        <w:rPr>
          <w:rFonts w:ascii="Arial" w:hAnsi="Arial" w:cs="Arial"/>
          <w:sz w:val="24"/>
          <w:szCs w:val="24"/>
        </w:rPr>
        <w:t xml:space="preserve">. PJM utilizes a demand based billing determinant to assess NITS, which is based upon the hourly load of the customer during the annual zonal coincident peak (“1 CP”), known as the Network Service Peak Load (“NSPL”) value. </w:t>
      </w:r>
      <w:r w:rsidRPr="004A2F33" w:rsidR="00244524">
        <w:rPr>
          <w:rFonts w:ascii="Arial" w:hAnsi="Arial" w:cs="Arial"/>
          <w:i/>
          <w:iCs/>
          <w:sz w:val="24"/>
          <w:szCs w:val="24"/>
        </w:rPr>
        <w:t>Id</w:t>
      </w:r>
      <w:r w:rsidRPr="004A2F33">
        <w:rPr>
          <w:rFonts w:ascii="Arial" w:hAnsi="Arial" w:cs="Arial"/>
          <w:i/>
          <w:iCs/>
          <w:sz w:val="24"/>
          <w:szCs w:val="24"/>
        </w:rPr>
        <w:t>.</w:t>
      </w:r>
      <w:r w:rsidR="00244524">
        <w:rPr>
          <w:rFonts w:ascii="Arial" w:hAnsi="Arial" w:cs="Arial"/>
          <w:sz w:val="24"/>
          <w:szCs w:val="24"/>
        </w:rPr>
        <w:t xml:space="preserve"> At least in theory, the wholesale tariff is supposed to be available to customers.  For many years, however, the current retail tariff locks customers into paying for transmission service through the BTCR</w:t>
      </w:r>
      <w:r w:rsidRPr="002F1FF9">
        <w:rPr>
          <w:rFonts w:ascii="Arial" w:hAnsi="Arial" w:cs="Arial"/>
          <w:sz w:val="24"/>
          <w:szCs w:val="24"/>
        </w:rPr>
        <w:t>.</w:t>
      </w:r>
      <w:r w:rsidR="00560D18">
        <w:rPr>
          <w:rFonts w:ascii="Arial" w:hAnsi="Arial" w:cs="Arial"/>
          <w:sz w:val="24"/>
          <w:szCs w:val="24"/>
        </w:rPr>
        <w:t xml:space="preserve"> </w:t>
      </w:r>
      <w:r w:rsidRPr="006E280C" w:rsidR="00560D18">
        <w:rPr>
          <w:rFonts w:ascii="Arial" w:hAnsi="Arial" w:cs="Arial"/>
          <w:i/>
          <w:iCs/>
          <w:sz w:val="24"/>
          <w:szCs w:val="24"/>
        </w:rPr>
        <w:t>Id.</w:t>
      </w:r>
      <w:r w:rsidR="00560D18">
        <w:rPr>
          <w:rFonts w:ascii="Arial" w:hAnsi="Arial" w:cs="Arial"/>
          <w:sz w:val="24"/>
          <w:szCs w:val="24"/>
        </w:rPr>
        <w:t xml:space="preserve"> at </w:t>
      </w:r>
      <w:r w:rsidR="006E280C">
        <w:rPr>
          <w:rFonts w:ascii="Arial" w:hAnsi="Arial" w:cs="Arial"/>
          <w:sz w:val="24"/>
          <w:szCs w:val="24"/>
        </w:rPr>
        <w:t>6.</w:t>
      </w:r>
    </w:p>
    <w:p w:rsidRPr="002F1FF9" w:rsidR="002F1FF9" w:rsidP="002F1FF9" w:rsidRDefault="002F1FF9" w14:paraId="5E7CC45F" w14:textId="6B6639AE">
      <w:pPr>
        <w:pStyle w:val="NoSpacing"/>
        <w:spacing w:line="480" w:lineRule="auto"/>
        <w:jc w:val="both"/>
        <w:rPr>
          <w:rFonts w:ascii="Arial" w:hAnsi="Arial" w:cs="Arial"/>
          <w:sz w:val="24"/>
          <w:szCs w:val="24"/>
        </w:rPr>
      </w:pPr>
      <w:r w:rsidRPr="002F1FF9">
        <w:rPr>
          <w:rFonts w:ascii="Arial" w:hAnsi="Arial" w:cs="Arial"/>
          <w:sz w:val="24"/>
          <w:szCs w:val="24"/>
        </w:rPr>
        <w:tab/>
      </w:r>
      <w:r w:rsidR="00FE0CC2">
        <w:rPr>
          <w:rFonts w:ascii="Arial" w:hAnsi="Arial" w:cs="Arial"/>
          <w:sz w:val="24"/>
          <w:szCs w:val="24"/>
        </w:rPr>
        <w:t xml:space="preserve">Unlike the wholesale tariff, </w:t>
      </w:r>
      <w:r w:rsidRPr="002F1FF9" w:rsidR="00FE0CC2">
        <w:rPr>
          <w:rFonts w:ascii="Arial" w:hAnsi="Arial" w:cs="Arial"/>
          <w:sz w:val="24"/>
          <w:szCs w:val="24"/>
        </w:rPr>
        <w:t>Ohio Power</w:t>
      </w:r>
      <w:r w:rsidR="00FE0CC2">
        <w:rPr>
          <w:rFonts w:ascii="Arial" w:hAnsi="Arial" w:cs="Arial"/>
          <w:sz w:val="24"/>
          <w:szCs w:val="24"/>
        </w:rPr>
        <w:t>’s retail tariff</w:t>
      </w:r>
      <w:r w:rsidRPr="002F1FF9" w:rsidR="00FE0CC2">
        <w:rPr>
          <w:rFonts w:ascii="Arial" w:hAnsi="Arial" w:cs="Arial"/>
          <w:sz w:val="24"/>
          <w:szCs w:val="24"/>
        </w:rPr>
        <w:t xml:space="preserve"> does not use the </w:t>
      </w:r>
      <w:r w:rsidR="00FE0CC2">
        <w:rPr>
          <w:rFonts w:ascii="Arial" w:hAnsi="Arial" w:cs="Arial"/>
          <w:sz w:val="24"/>
          <w:szCs w:val="24"/>
        </w:rPr>
        <w:t>1 CP to determine the demand component of the transmission charge for non-Pilot customers</w:t>
      </w:r>
      <w:r w:rsidRPr="002F1FF9" w:rsidR="00FE0CC2">
        <w:rPr>
          <w:rFonts w:ascii="Arial" w:hAnsi="Arial" w:cs="Arial"/>
          <w:sz w:val="24"/>
          <w:szCs w:val="24"/>
        </w:rPr>
        <w:t xml:space="preserve">. </w:t>
      </w:r>
      <w:r w:rsidRPr="007F2348" w:rsidR="00FE0CC2">
        <w:rPr>
          <w:rFonts w:ascii="Arial" w:hAnsi="Arial" w:cs="Arial"/>
          <w:i/>
          <w:iCs/>
          <w:sz w:val="24"/>
          <w:szCs w:val="24"/>
        </w:rPr>
        <w:t>Id</w:t>
      </w:r>
      <w:r w:rsidRPr="007F2348">
        <w:rPr>
          <w:rFonts w:ascii="Arial" w:hAnsi="Arial" w:cs="Arial"/>
          <w:i/>
          <w:sz w:val="24"/>
          <w:szCs w:val="24"/>
        </w:rPr>
        <w:t>.</w:t>
      </w:r>
      <w:r w:rsidRPr="002F1FF9">
        <w:rPr>
          <w:rFonts w:ascii="Arial" w:hAnsi="Arial" w:cs="Arial"/>
          <w:sz w:val="24"/>
          <w:szCs w:val="24"/>
        </w:rPr>
        <w:t xml:space="preserve"> Instead, </w:t>
      </w:r>
      <w:r w:rsidR="00FE0CC2">
        <w:rPr>
          <w:rFonts w:ascii="Arial" w:hAnsi="Arial" w:cs="Arial"/>
          <w:sz w:val="24"/>
          <w:szCs w:val="24"/>
        </w:rPr>
        <w:t>these</w:t>
      </w:r>
      <w:r w:rsidRPr="002F1FF9">
        <w:rPr>
          <w:rFonts w:ascii="Arial" w:hAnsi="Arial" w:cs="Arial"/>
          <w:sz w:val="24"/>
          <w:szCs w:val="24"/>
        </w:rPr>
        <w:t xml:space="preserve"> customers are billed for transmission service based upon on their monthly peak, changing every billing cycle. </w:t>
      </w:r>
      <w:r w:rsidRPr="00394D34" w:rsidR="00394D34">
        <w:rPr>
          <w:rFonts w:ascii="Arial" w:hAnsi="Arial" w:cs="Arial"/>
          <w:i/>
          <w:iCs/>
          <w:sz w:val="24"/>
          <w:szCs w:val="24"/>
        </w:rPr>
        <w:t>Id.</w:t>
      </w:r>
      <w:r w:rsidR="00394D34">
        <w:rPr>
          <w:rFonts w:ascii="Arial" w:hAnsi="Arial" w:cs="Arial"/>
          <w:sz w:val="24"/>
          <w:szCs w:val="24"/>
        </w:rPr>
        <w:t xml:space="preserve"> at</w:t>
      </w:r>
      <w:r w:rsidRPr="002F1FF9">
        <w:rPr>
          <w:rFonts w:ascii="Arial" w:hAnsi="Arial" w:cs="Arial"/>
          <w:sz w:val="24"/>
          <w:szCs w:val="24"/>
        </w:rPr>
        <w:t xml:space="preserve"> 5. Customers without demand meters are assessed this charge based upon their monthly energy usage, also misaligned with how the costs are incurred. </w:t>
      </w:r>
      <w:r w:rsidRPr="00D25F1E" w:rsidR="00D25F1E">
        <w:rPr>
          <w:rFonts w:ascii="Arial" w:hAnsi="Arial" w:cs="Arial"/>
          <w:i/>
          <w:iCs/>
          <w:sz w:val="24"/>
          <w:szCs w:val="24"/>
        </w:rPr>
        <w:t>Id.</w:t>
      </w:r>
      <w:r w:rsidRPr="002F1FF9">
        <w:rPr>
          <w:rFonts w:ascii="Arial" w:hAnsi="Arial" w:cs="Arial"/>
          <w:sz w:val="24"/>
          <w:szCs w:val="24"/>
        </w:rPr>
        <w:t xml:space="preserve"> at 5</w:t>
      </w:r>
      <w:r w:rsidR="00185A8C">
        <w:rPr>
          <w:rFonts w:ascii="Arial" w:hAnsi="Arial" w:cs="Arial"/>
          <w:sz w:val="24"/>
          <w:szCs w:val="24"/>
        </w:rPr>
        <w:t>;</w:t>
      </w:r>
      <w:r w:rsidRPr="002F1FF9">
        <w:rPr>
          <w:rFonts w:ascii="Arial" w:hAnsi="Arial" w:cs="Arial"/>
          <w:sz w:val="24"/>
          <w:szCs w:val="24"/>
        </w:rPr>
        <w:t xml:space="preserve"> Ohio Power Tariff</w:t>
      </w:r>
      <w:r w:rsidR="00185A8C">
        <w:rPr>
          <w:rFonts w:ascii="Arial" w:hAnsi="Arial" w:cs="Arial"/>
          <w:sz w:val="24"/>
          <w:szCs w:val="24"/>
        </w:rPr>
        <w:t>,</w:t>
      </w:r>
      <w:r w:rsidRPr="002F1FF9">
        <w:rPr>
          <w:rFonts w:ascii="Arial" w:hAnsi="Arial" w:cs="Arial"/>
          <w:sz w:val="24"/>
          <w:szCs w:val="24"/>
        </w:rPr>
        <w:t xml:space="preserve"> Sheet 474 (eff. Apr. 1, 2021).   </w:t>
      </w:r>
    </w:p>
    <w:p w:rsidRPr="002F1FF9" w:rsidR="002F1FF9" w:rsidP="002F1FF9" w:rsidRDefault="002F1FF9" w14:paraId="73865D14" w14:textId="5B4697DE">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In 2017, Ohio Power agreed to begin a BTCR Pilot Program </w:t>
      </w:r>
      <w:r w:rsidR="00C65E6B">
        <w:rPr>
          <w:rFonts w:ascii="Arial" w:hAnsi="Arial" w:cs="Arial"/>
          <w:sz w:val="24"/>
          <w:szCs w:val="24"/>
        </w:rPr>
        <w:t>for a limited number of customers</w:t>
      </w:r>
      <w:r w:rsidRPr="00B62F05">
        <w:rPr>
          <w:rFonts w:ascii="Arial" w:hAnsi="Arial" w:cs="Arial"/>
          <w:sz w:val="24"/>
          <w:szCs w:val="24"/>
        </w:rPr>
        <w:t xml:space="preserve"> </w:t>
      </w:r>
      <w:r w:rsidRPr="002F1FF9">
        <w:rPr>
          <w:rFonts w:ascii="Arial" w:hAnsi="Arial" w:cs="Arial"/>
          <w:sz w:val="24"/>
          <w:szCs w:val="24"/>
        </w:rPr>
        <w:t xml:space="preserve">that allows a participating customer to be assessed transmission charges based upon the customer’s annual zonal coincident peak, mirroring the methodology used by PJM.   </w:t>
      </w:r>
      <w:r w:rsidRPr="00FC5D9C" w:rsidR="00C65E6B">
        <w:rPr>
          <w:rFonts w:ascii="Arial" w:hAnsi="Arial" w:cs="Arial"/>
          <w:i/>
          <w:iCs/>
          <w:sz w:val="24"/>
          <w:szCs w:val="24"/>
        </w:rPr>
        <w:t xml:space="preserve">In </w:t>
      </w:r>
      <w:r w:rsidR="00CD012B">
        <w:rPr>
          <w:rFonts w:ascii="Arial" w:hAnsi="Arial" w:cs="Arial"/>
          <w:i/>
          <w:iCs/>
          <w:sz w:val="24"/>
          <w:szCs w:val="24"/>
        </w:rPr>
        <w:t>re</w:t>
      </w:r>
      <w:r w:rsidRPr="00FC5D9C" w:rsidR="00E24414">
        <w:rPr>
          <w:rFonts w:ascii="Arial" w:hAnsi="Arial" w:cs="Arial"/>
          <w:i/>
          <w:iCs/>
          <w:sz w:val="24"/>
          <w:szCs w:val="24"/>
        </w:rPr>
        <w:t xml:space="preserve"> </w:t>
      </w:r>
      <w:r w:rsidRPr="00FC5D9C" w:rsidR="00F14DC8">
        <w:rPr>
          <w:rFonts w:ascii="Arial" w:hAnsi="Arial" w:cs="Arial"/>
          <w:i/>
          <w:iCs/>
          <w:sz w:val="24"/>
          <w:szCs w:val="24"/>
        </w:rPr>
        <w:t xml:space="preserve">Commission Review of the Capacity Charges of </w:t>
      </w:r>
      <w:r w:rsidRPr="00FC5D9C" w:rsidR="00D661CF">
        <w:rPr>
          <w:rFonts w:ascii="Arial" w:hAnsi="Arial" w:cs="Arial"/>
          <w:i/>
          <w:iCs/>
          <w:sz w:val="24"/>
          <w:szCs w:val="24"/>
        </w:rPr>
        <w:t>Ohio Power Company</w:t>
      </w:r>
      <w:r w:rsidRPr="00FC5D9C" w:rsidR="00F14DC8">
        <w:rPr>
          <w:rFonts w:ascii="Arial" w:hAnsi="Arial" w:cs="Arial"/>
          <w:i/>
          <w:iCs/>
          <w:sz w:val="24"/>
          <w:szCs w:val="24"/>
        </w:rPr>
        <w:t xml:space="preserve"> and Columbus Southern Power Company</w:t>
      </w:r>
      <w:r w:rsidR="00D661CF">
        <w:rPr>
          <w:rFonts w:ascii="Arial" w:hAnsi="Arial" w:cs="Arial"/>
          <w:sz w:val="24"/>
          <w:szCs w:val="24"/>
        </w:rPr>
        <w:t xml:space="preserve">, Case Nos. </w:t>
      </w:r>
      <w:r w:rsidR="00F0333F">
        <w:rPr>
          <w:rFonts w:ascii="Arial" w:hAnsi="Arial" w:cs="Arial"/>
          <w:sz w:val="24"/>
          <w:szCs w:val="24"/>
        </w:rPr>
        <w:t>10-2929-EL-UNC, et al., Order on</w:t>
      </w:r>
      <w:r w:rsidRPr="002F1FF9">
        <w:rPr>
          <w:rFonts w:ascii="Arial" w:hAnsi="Arial" w:cs="Arial"/>
          <w:sz w:val="24"/>
          <w:szCs w:val="24"/>
        </w:rPr>
        <w:t xml:space="preserve"> Global Settlement </w:t>
      </w:r>
      <w:r w:rsidR="00F0333F">
        <w:rPr>
          <w:rFonts w:ascii="Arial" w:hAnsi="Arial" w:cs="Arial"/>
          <w:sz w:val="24"/>
          <w:szCs w:val="24"/>
        </w:rPr>
        <w:t xml:space="preserve">Stipulation at </w:t>
      </w:r>
      <w:r w:rsidR="00830F33">
        <w:rPr>
          <w:rFonts w:ascii="Arial" w:hAnsi="Arial" w:cs="Arial"/>
          <w:sz w:val="24"/>
          <w:szCs w:val="24"/>
        </w:rPr>
        <w:t>32-35</w:t>
      </w:r>
      <w:r w:rsidR="008C7C47">
        <w:rPr>
          <w:rFonts w:ascii="Arial" w:hAnsi="Arial" w:cs="Arial"/>
          <w:sz w:val="24"/>
          <w:szCs w:val="24"/>
        </w:rPr>
        <w:t xml:space="preserve"> </w:t>
      </w:r>
      <w:r w:rsidR="00F0333F">
        <w:rPr>
          <w:rFonts w:ascii="Arial" w:hAnsi="Arial" w:cs="Arial"/>
          <w:sz w:val="24"/>
          <w:szCs w:val="24"/>
        </w:rPr>
        <w:t xml:space="preserve">(Feb. 23, 2017); </w:t>
      </w:r>
      <w:r w:rsidRPr="00FC5D9C" w:rsidR="00082C06">
        <w:rPr>
          <w:rFonts w:ascii="Arial" w:hAnsi="Arial" w:cs="Arial"/>
          <w:sz w:val="24"/>
          <w:szCs w:val="24"/>
        </w:rPr>
        <w:t>IGS Ex. 1 at</w:t>
      </w:r>
      <w:r w:rsidRPr="00FC5D9C">
        <w:rPr>
          <w:rFonts w:ascii="Arial" w:hAnsi="Arial" w:cs="Arial"/>
          <w:sz w:val="24"/>
          <w:szCs w:val="24"/>
        </w:rPr>
        <w:t xml:space="preserve"> 6</w:t>
      </w:r>
      <w:r w:rsidR="00C65E6B">
        <w:rPr>
          <w:rFonts w:ascii="Arial" w:hAnsi="Arial" w:cs="Arial"/>
          <w:sz w:val="24"/>
          <w:szCs w:val="24"/>
        </w:rPr>
        <w:t>.</w:t>
      </w:r>
      <w:r w:rsidRPr="002F1FF9">
        <w:rPr>
          <w:rFonts w:ascii="Arial" w:hAnsi="Arial" w:cs="Arial"/>
          <w:sz w:val="24"/>
          <w:szCs w:val="24"/>
        </w:rPr>
        <w:t xml:space="preserve"> The </w:t>
      </w:r>
      <w:r w:rsidRPr="002F1FF9">
        <w:rPr>
          <w:rFonts w:ascii="Arial" w:hAnsi="Arial" w:cs="Arial"/>
          <w:sz w:val="24"/>
          <w:szCs w:val="24"/>
        </w:rPr>
        <w:lastRenderedPageBreak/>
        <w:t>Commission recognizes that the Pilot can provide benefits to all Ohio Power customers by “lower[</w:t>
      </w:r>
      <w:proofErr w:type="spellStart"/>
      <w:r w:rsidRPr="002F1FF9">
        <w:rPr>
          <w:rFonts w:ascii="Arial" w:hAnsi="Arial" w:cs="Arial"/>
          <w:sz w:val="24"/>
          <w:szCs w:val="24"/>
        </w:rPr>
        <w:t>ing</w:t>
      </w:r>
      <w:proofErr w:type="spellEnd"/>
      <w:r w:rsidRPr="002F1FF9">
        <w:rPr>
          <w:rFonts w:ascii="Arial" w:hAnsi="Arial" w:cs="Arial"/>
          <w:sz w:val="24"/>
          <w:szCs w:val="24"/>
        </w:rPr>
        <w:t xml:space="preserve">] the overall demand at peak times and, in so doing, to reduce AEP Ohio's total transmission costs incurred from PJM and possibly to avoid the need for transmission system upgrades.” ESP 4 Order ¶ 147. </w:t>
      </w:r>
    </w:p>
    <w:p w:rsidRPr="002F1FF9" w:rsidR="002F1FF9" w:rsidP="00D73119" w:rsidRDefault="002F1FF9" w14:paraId="1B12C835" w14:textId="2EF878B2">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As proposed in the Stipulation, the BTCR Pilot Program would be expanded by increasing the number of eligible customers and MW participation cap. Jt. Ex. 1 at 17.  However, these increases are available to </w:t>
      </w:r>
      <w:r w:rsidR="0063637E">
        <w:rPr>
          <w:rFonts w:ascii="Arial" w:hAnsi="Arial" w:cs="Arial"/>
          <w:sz w:val="24"/>
          <w:szCs w:val="24"/>
        </w:rPr>
        <w:t>only</w:t>
      </w:r>
      <w:r w:rsidRPr="00CD19C2">
        <w:rPr>
          <w:rFonts w:ascii="Arial" w:hAnsi="Arial" w:cs="Arial"/>
          <w:sz w:val="24"/>
          <w:szCs w:val="24"/>
        </w:rPr>
        <w:t xml:space="preserve"> </w:t>
      </w:r>
      <w:r w:rsidRPr="002F1FF9">
        <w:rPr>
          <w:rFonts w:ascii="Arial" w:hAnsi="Arial" w:cs="Arial"/>
          <w:sz w:val="24"/>
          <w:szCs w:val="24"/>
        </w:rPr>
        <w:t xml:space="preserve">three stakeholders in exchange for their signatures on the Stipulation.  </w:t>
      </w:r>
      <w:r w:rsidRPr="00D25F1E" w:rsidR="00D25F1E">
        <w:rPr>
          <w:rFonts w:ascii="Arial" w:hAnsi="Arial" w:cs="Arial"/>
          <w:i/>
          <w:iCs/>
          <w:sz w:val="24"/>
          <w:szCs w:val="24"/>
        </w:rPr>
        <w:t>Id.</w:t>
      </w:r>
      <w:r w:rsidRPr="002F1FF9">
        <w:rPr>
          <w:rFonts w:ascii="Arial" w:hAnsi="Arial" w:cs="Arial"/>
          <w:sz w:val="24"/>
          <w:szCs w:val="24"/>
        </w:rPr>
        <w:t xml:space="preserve"> at 17.  Additionally, Ohio Power agrees “to explore potential future expansion of the BTCR and other potential retail and wholesale demand response programs for transmission customers,” but again, </w:t>
      </w:r>
      <w:r w:rsidRPr="00CD19C2">
        <w:rPr>
          <w:rFonts w:ascii="Arial" w:hAnsi="Arial" w:cs="Arial"/>
          <w:sz w:val="24"/>
          <w:szCs w:val="24"/>
        </w:rPr>
        <w:t>with</w:t>
      </w:r>
      <w:r w:rsidR="0063637E">
        <w:rPr>
          <w:rFonts w:ascii="Arial" w:hAnsi="Arial" w:cs="Arial"/>
          <w:sz w:val="24"/>
          <w:szCs w:val="24"/>
        </w:rPr>
        <w:t xml:space="preserve"> </w:t>
      </w:r>
      <w:r w:rsidRPr="002F1FF9">
        <w:rPr>
          <w:rFonts w:ascii="Arial" w:hAnsi="Arial" w:cs="Arial"/>
          <w:sz w:val="24"/>
          <w:szCs w:val="24"/>
        </w:rPr>
        <w:t xml:space="preserve">only certain stakeholders that signed onto the Stipulation.  </w:t>
      </w:r>
      <w:r w:rsidRPr="00D25F1E" w:rsidR="00D25F1E">
        <w:rPr>
          <w:rFonts w:ascii="Arial" w:hAnsi="Arial" w:cs="Arial"/>
          <w:i/>
          <w:iCs/>
          <w:sz w:val="24"/>
          <w:szCs w:val="24"/>
        </w:rPr>
        <w:t>Id.</w:t>
      </w:r>
      <w:r w:rsidRPr="002F1FF9">
        <w:rPr>
          <w:rFonts w:ascii="Arial" w:hAnsi="Arial" w:cs="Arial"/>
          <w:sz w:val="24"/>
          <w:szCs w:val="24"/>
        </w:rPr>
        <w:t xml:space="preserve"> at 18.</w:t>
      </w:r>
    </w:p>
    <w:p w:rsidRPr="002F1FF9" w:rsidR="002F1FF9" w:rsidP="002F1FF9" w:rsidRDefault="002F1FF9" w14:paraId="3A97520D" w14:textId="70DFD3BA">
      <w:pPr>
        <w:pStyle w:val="NoSpacing"/>
        <w:spacing w:line="480" w:lineRule="auto"/>
        <w:ind w:firstLine="720"/>
        <w:jc w:val="both"/>
        <w:rPr>
          <w:rFonts w:ascii="Arial" w:hAnsi="Arial" w:cs="Arial"/>
          <w:sz w:val="24"/>
          <w:szCs w:val="24"/>
        </w:rPr>
      </w:pPr>
      <w:r w:rsidRPr="002F1FF9">
        <w:rPr>
          <w:rFonts w:ascii="Arial" w:hAnsi="Arial" w:cs="Arial"/>
          <w:sz w:val="24"/>
          <w:szCs w:val="24"/>
        </w:rPr>
        <w:t>Aligning costs and rates is fundamental to effective and fair ratemaking. However, as proposed, instead of making meaningful steps toward aligning the BTCR with cost causation principles and the billing determinants for transmission rates used by PJM, the Stipulation places discriminatory limitations on those able to benefit from proper cost allocations. Thus, the BTCR provisions of the Stipulation are not in the public interest</w:t>
      </w:r>
      <w:r w:rsidR="0063637E">
        <w:rPr>
          <w:rFonts w:ascii="Arial" w:hAnsi="Arial" w:cs="Arial"/>
          <w:sz w:val="24"/>
          <w:szCs w:val="24"/>
        </w:rPr>
        <w:t xml:space="preserve">, </w:t>
      </w:r>
      <w:r w:rsidRPr="002F1FF9">
        <w:rPr>
          <w:rFonts w:ascii="Arial" w:hAnsi="Arial" w:cs="Arial"/>
          <w:sz w:val="24"/>
          <w:szCs w:val="24"/>
        </w:rPr>
        <w:t xml:space="preserve"> violate important regulatory principles</w:t>
      </w:r>
      <w:r w:rsidR="0063637E">
        <w:rPr>
          <w:rFonts w:ascii="Arial" w:hAnsi="Arial" w:cs="Arial"/>
          <w:sz w:val="24"/>
          <w:szCs w:val="24"/>
        </w:rPr>
        <w:t>,</w:t>
      </w:r>
      <w:r w:rsidRPr="002F1FF9">
        <w:rPr>
          <w:rFonts w:ascii="Arial" w:hAnsi="Arial" w:cs="Arial"/>
          <w:sz w:val="24"/>
          <w:szCs w:val="24"/>
        </w:rPr>
        <w:t xml:space="preserve"> and should be modified.</w:t>
      </w:r>
    </w:p>
    <w:p w:rsidRPr="00104BBF" w:rsidR="002F1FF9" w:rsidP="0063637E" w:rsidRDefault="002600B9" w14:paraId="065238F0" w14:textId="27E11C8C">
      <w:pPr>
        <w:pStyle w:val="Heading2"/>
        <w:ind w:left="1008" w:hanging="288"/>
        <w:rPr>
          <w:i/>
        </w:rPr>
      </w:pPr>
      <w:bookmarkStart w:name="_Toc74573097" w:id="38"/>
      <w:r w:rsidRPr="00104BBF">
        <w:rPr>
          <w:i/>
        </w:rPr>
        <w:t xml:space="preserve">1. </w:t>
      </w:r>
      <w:r w:rsidRPr="00104BBF" w:rsidR="002F1FF9">
        <w:rPr>
          <w:i/>
        </w:rPr>
        <w:t xml:space="preserve">The BTCR’s failure to properly align charges with PJM frustrates the ability of a customer to respond to price signals and control rising </w:t>
      </w:r>
      <w:r w:rsidR="008978B5">
        <w:rPr>
          <w:i/>
        </w:rPr>
        <w:t xml:space="preserve">transmission </w:t>
      </w:r>
      <w:r w:rsidRPr="00104BBF" w:rsidR="002F1FF9">
        <w:rPr>
          <w:i/>
        </w:rPr>
        <w:t>costs contrary to the public interest.</w:t>
      </w:r>
      <w:bookmarkEnd w:id="38"/>
      <w:r w:rsidRPr="00104BBF" w:rsidR="002F1FF9">
        <w:rPr>
          <w:i/>
        </w:rPr>
        <w:t xml:space="preserve"> </w:t>
      </w:r>
    </w:p>
    <w:p w:rsidRPr="002F1FF9" w:rsidR="002F1FF9" w:rsidP="002F1FF9" w:rsidRDefault="002F1FF9" w14:paraId="1B5F11A7" w14:textId="448D9AF9">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Ohio Power’s failure to align its assessment of the BTCR with how those costs are actually incurred is contrary to the public interest. Indeed, incentives change when the recovery of the demand related portions of transmission costs are based on the customer’s contribution to the single zonal transmission peak rather than a monthly demand charge. </w:t>
      </w:r>
      <w:r w:rsidR="007E53F6">
        <w:rPr>
          <w:rFonts w:ascii="Arial" w:hAnsi="Arial" w:cs="Arial"/>
          <w:sz w:val="24"/>
          <w:szCs w:val="24"/>
        </w:rPr>
        <w:t>IGS Ex. 1</w:t>
      </w:r>
      <w:r w:rsidRPr="002F1FF9">
        <w:rPr>
          <w:rFonts w:ascii="Arial" w:hAnsi="Arial" w:cs="Arial"/>
          <w:sz w:val="24"/>
          <w:szCs w:val="24"/>
        </w:rPr>
        <w:t xml:space="preserve"> at 6-7. </w:t>
      </w:r>
    </w:p>
    <w:p w:rsidRPr="002F1FF9" w:rsidR="002F1FF9" w:rsidP="002F1FF9" w:rsidRDefault="002F1FF9" w14:paraId="2934EB91" w14:textId="0E5A776E">
      <w:pPr>
        <w:pStyle w:val="NoSpacing"/>
        <w:spacing w:line="480" w:lineRule="auto"/>
        <w:ind w:firstLine="720"/>
        <w:jc w:val="both"/>
        <w:rPr>
          <w:rFonts w:ascii="Arial" w:hAnsi="Arial" w:cs="Arial"/>
          <w:sz w:val="24"/>
          <w:szCs w:val="24"/>
        </w:rPr>
      </w:pPr>
      <w:r w:rsidRPr="002F1FF9">
        <w:rPr>
          <w:rFonts w:ascii="Arial" w:hAnsi="Arial" w:cs="Arial"/>
          <w:sz w:val="24"/>
          <w:szCs w:val="24"/>
        </w:rPr>
        <w:lastRenderedPageBreak/>
        <w:t xml:space="preserve">If a customer is assessed transmission charges based upon </w:t>
      </w:r>
      <w:r w:rsidR="00DD782F">
        <w:rPr>
          <w:rFonts w:ascii="Arial" w:hAnsi="Arial" w:cs="Arial"/>
          <w:sz w:val="24"/>
          <w:szCs w:val="24"/>
        </w:rPr>
        <w:t>its</w:t>
      </w:r>
      <w:r w:rsidRPr="002F1FF9">
        <w:rPr>
          <w:rFonts w:ascii="Arial" w:hAnsi="Arial" w:cs="Arial"/>
          <w:sz w:val="24"/>
          <w:szCs w:val="24"/>
        </w:rPr>
        <w:t xml:space="preserve"> individual NSPL, consistent with PJM’s rates, the customer has the ability and incentive to track the system peak and reduce load at that time because its relative assignment of cost will decrease. Additionally, the customer experiences more predictable and stable transmission rates as the NSPL value changes only annually.  </w:t>
      </w:r>
      <w:r w:rsidRPr="002600B9" w:rsidR="007E53F6">
        <w:rPr>
          <w:rFonts w:ascii="Arial" w:hAnsi="Arial" w:cs="Arial"/>
          <w:i/>
          <w:iCs/>
          <w:sz w:val="24"/>
          <w:szCs w:val="24"/>
        </w:rPr>
        <w:t>Id.</w:t>
      </w:r>
      <w:r w:rsidRPr="002600B9">
        <w:rPr>
          <w:rFonts w:ascii="Arial" w:hAnsi="Arial" w:cs="Arial"/>
          <w:i/>
          <w:sz w:val="24"/>
          <w:szCs w:val="24"/>
        </w:rPr>
        <w:t xml:space="preserve"> </w:t>
      </w:r>
      <w:r w:rsidRPr="002F1FF9">
        <w:rPr>
          <w:rFonts w:ascii="Arial" w:hAnsi="Arial" w:cs="Arial"/>
          <w:sz w:val="24"/>
          <w:szCs w:val="24"/>
        </w:rPr>
        <w:t xml:space="preserve">at 5-6. Further, reducing demand at the peak reduces Ohio Power’s overall transmission costs and the need for system upgrades is reduced or delayed for the benefit of all customers. </w:t>
      </w:r>
      <w:r w:rsidRPr="009B7170" w:rsidR="007E53F6">
        <w:rPr>
          <w:rFonts w:ascii="Arial" w:hAnsi="Arial" w:cs="Arial"/>
          <w:i/>
          <w:iCs/>
          <w:sz w:val="24"/>
          <w:szCs w:val="24"/>
        </w:rPr>
        <w:t>Id.</w:t>
      </w:r>
      <w:r w:rsidRPr="002F1FF9">
        <w:rPr>
          <w:rFonts w:ascii="Arial" w:hAnsi="Arial" w:cs="Arial"/>
          <w:sz w:val="24"/>
          <w:szCs w:val="24"/>
        </w:rPr>
        <w:t xml:space="preserve"> at 7; ESP IV Order at </w:t>
      </w:r>
      <w:r w:rsidR="00582E76">
        <w:rPr>
          <w:rFonts w:ascii="Arial" w:hAnsi="Arial" w:cs="Arial"/>
          <w:sz w:val="24"/>
          <w:szCs w:val="24"/>
        </w:rPr>
        <w:t xml:space="preserve">¶ </w:t>
      </w:r>
      <w:r w:rsidRPr="002F1FF9">
        <w:rPr>
          <w:rFonts w:ascii="Arial" w:hAnsi="Arial" w:cs="Arial"/>
          <w:sz w:val="24"/>
          <w:szCs w:val="24"/>
        </w:rPr>
        <w:t xml:space="preserve">147. </w:t>
      </w:r>
    </w:p>
    <w:p w:rsidRPr="002F1FF9" w:rsidR="002F1FF9" w:rsidP="002F1FF9" w:rsidRDefault="002F1FF9" w14:paraId="6E3DE07B" w14:textId="36FF535D">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However, under monthly or average demand allocations of cost used by the BTCR, the customer’s monthly billing demand is set at the customer’s single highest 30-minute integrated peak in kW for the billing month. </w:t>
      </w:r>
      <w:r w:rsidR="00752B28">
        <w:rPr>
          <w:rFonts w:ascii="Arial" w:hAnsi="Arial" w:cs="Arial"/>
          <w:sz w:val="24"/>
          <w:szCs w:val="24"/>
        </w:rPr>
        <w:t>Jt. Ex. 1</w:t>
      </w:r>
      <w:r w:rsidR="00935A6B">
        <w:rPr>
          <w:rFonts w:ascii="Arial" w:hAnsi="Arial" w:cs="Arial"/>
          <w:sz w:val="24"/>
          <w:szCs w:val="24"/>
        </w:rPr>
        <w:t xml:space="preserve">, </w:t>
      </w:r>
      <w:r w:rsidR="00076004">
        <w:rPr>
          <w:rFonts w:ascii="Arial" w:hAnsi="Arial" w:cs="Arial"/>
          <w:sz w:val="24"/>
          <w:szCs w:val="24"/>
        </w:rPr>
        <w:t xml:space="preserve">Att. C </w:t>
      </w:r>
      <w:r w:rsidR="00F540E4">
        <w:rPr>
          <w:rFonts w:ascii="Arial" w:hAnsi="Arial" w:cs="Arial"/>
          <w:sz w:val="24"/>
          <w:szCs w:val="24"/>
        </w:rPr>
        <w:t>at Schedule</w:t>
      </w:r>
      <w:r w:rsidRPr="002F1FF9">
        <w:rPr>
          <w:rFonts w:ascii="Arial" w:hAnsi="Arial" w:cs="Arial"/>
          <w:sz w:val="24"/>
          <w:szCs w:val="24"/>
        </w:rPr>
        <w:t xml:space="preserve"> GS</w:t>
      </w:r>
      <w:r w:rsidR="00F540E4">
        <w:rPr>
          <w:rFonts w:ascii="Arial" w:hAnsi="Arial" w:cs="Arial"/>
          <w:sz w:val="24"/>
          <w:szCs w:val="24"/>
        </w:rPr>
        <w:t>-1</w:t>
      </w:r>
      <w:r w:rsidR="00A3197A">
        <w:rPr>
          <w:rFonts w:ascii="Arial" w:hAnsi="Arial" w:cs="Arial"/>
          <w:sz w:val="24"/>
          <w:szCs w:val="24"/>
        </w:rPr>
        <w:t>, Sheet No. 220-5.</w:t>
      </w:r>
      <w:r w:rsidRPr="002F1FF9">
        <w:rPr>
          <w:rFonts w:ascii="Arial" w:hAnsi="Arial" w:cs="Arial"/>
          <w:sz w:val="24"/>
          <w:szCs w:val="24"/>
        </w:rPr>
        <w:t xml:space="preserve"> Under this approach, there is no incentive for a customer to lower its contribution to the zone’s peak</w:t>
      </w:r>
      <w:r w:rsidR="00DD782F">
        <w:rPr>
          <w:rFonts w:ascii="Arial" w:hAnsi="Arial" w:cs="Arial"/>
          <w:sz w:val="24"/>
          <w:szCs w:val="24"/>
        </w:rPr>
        <w:t>.</w:t>
      </w:r>
      <w:r w:rsidRPr="002F1FF9">
        <w:rPr>
          <w:rFonts w:ascii="Arial" w:hAnsi="Arial" w:cs="Arial"/>
          <w:sz w:val="24"/>
          <w:szCs w:val="24"/>
        </w:rPr>
        <w:t xml:space="preserve"> </w:t>
      </w:r>
      <w:r w:rsidRPr="007F2348">
        <w:rPr>
          <w:rFonts w:ascii="Arial" w:hAnsi="Arial" w:cs="Arial"/>
          <w:i/>
          <w:sz w:val="24"/>
          <w:szCs w:val="24"/>
        </w:rPr>
        <w:t>See</w:t>
      </w:r>
      <w:r w:rsidRPr="002F1FF9">
        <w:rPr>
          <w:rFonts w:ascii="Arial" w:hAnsi="Arial" w:cs="Arial"/>
          <w:sz w:val="24"/>
          <w:szCs w:val="24"/>
        </w:rPr>
        <w:t xml:space="preserve"> ESP IV Order at 147. Additionally, customers are unable to implement meaningful opportunities to manage their transmission rate.</w:t>
      </w:r>
      <w:r w:rsidR="00B1431D">
        <w:rPr>
          <w:rFonts w:ascii="Arial" w:hAnsi="Arial" w:cs="Arial"/>
          <w:sz w:val="24"/>
          <w:szCs w:val="24"/>
        </w:rPr>
        <w:t xml:space="preserve"> IGS Ex. 1 at </w:t>
      </w:r>
      <w:r w:rsidR="00753E26">
        <w:rPr>
          <w:rFonts w:ascii="Arial" w:hAnsi="Arial" w:cs="Arial"/>
          <w:sz w:val="24"/>
          <w:szCs w:val="24"/>
        </w:rPr>
        <w:t>6-7.</w:t>
      </w:r>
    </w:p>
    <w:p w:rsidRPr="002F1FF9" w:rsidR="002F1FF9" w:rsidP="002F1FF9" w:rsidRDefault="002F1FF9" w14:paraId="56D9C179" w14:textId="220E2BB2">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Moreover, the benefits associated with reducing or delaying transmission upgrades and the ability for a customer to control transmission costs have become increasingly significant in recent years as evidenced by consistent increases in Ohio Power’s transmission rates. In April 2017, when the BTCR Pilot Program was first </w:t>
      </w:r>
      <w:r w:rsidR="00E03F08">
        <w:rPr>
          <w:rFonts w:ascii="Arial" w:hAnsi="Arial" w:cs="Arial"/>
          <w:sz w:val="24"/>
          <w:szCs w:val="24"/>
        </w:rPr>
        <w:t>approved</w:t>
      </w:r>
      <w:r w:rsidRPr="002F1FF9">
        <w:rPr>
          <w:rFonts w:ascii="Arial" w:hAnsi="Arial" w:cs="Arial"/>
          <w:sz w:val="24"/>
          <w:szCs w:val="24"/>
        </w:rPr>
        <w:t xml:space="preserve">, the demand portion of the BTCR rate for a Demand Metered Primary Service customer was $3.83 per kW of monthly billing demand. </w:t>
      </w:r>
      <w:r w:rsidR="00860502">
        <w:rPr>
          <w:rFonts w:ascii="Arial" w:hAnsi="Arial" w:cs="Arial"/>
          <w:sz w:val="24"/>
          <w:szCs w:val="24"/>
        </w:rPr>
        <w:t xml:space="preserve">IGS Ex. 1 at 8, </w:t>
      </w:r>
      <w:r w:rsidRPr="009B7170" w:rsidR="00860502">
        <w:rPr>
          <w:rFonts w:ascii="Arial" w:hAnsi="Arial" w:cs="Arial"/>
          <w:i/>
          <w:iCs/>
          <w:sz w:val="24"/>
          <w:szCs w:val="24"/>
        </w:rPr>
        <w:t>citing</w:t>
      </w:r>
      <w:r w:rsidR="0026541A">
        <w:rPr>
          <w:rFonts w:ascii="Arial" w:hAnsi="Arial" w:cs="Arial"/>
          <w:sz w:val="24"/>
          <w:szCs w:val="24"/>
        </w:rPr>
        <w:t xml:space="preserve"> </w:t>
      </w:r>
      <w:r w:rsidRPr="009B7170" w:rsidR="00DB7DBB">
        <w:rPr>
          <w:rFonts w:ascii="Arial" w:hAnsi="Arial" w:cs="Arial"/>
          <w:i/>
          <w:iCs/>
          <w:sz w:val="24"/>
          <w:szCs w:val="24"/>
        </w:rPr>
        <w:t xml:space="preserve">In </w:t>
      </w:r>
      <w:r w:rsidR="00585C06">
        <w:rPr>
          <w:rFonts w:ascii="Arial" w:hAnsi="Arial" w:cs="Arial"/>
          <w:i/>
          <w:iCs/>
          <w:sz w:val="24"/>
          <w:szCs w:val="24"/>
        </w:rPr>
        <w:t>re</w:t>
      </w:r>
      <w:r w:rsidRPr="009B7170" w:rsidR="00DB7DBB">
        <w:rPr>
          <w:rFonts w:ascii="Arial" w:hAnsi="Arial" w:cs="Arial"/>
          <w:i/>
          <w:iCs/>
          <w:sz w:val="24"/>
          <w:szCs w:val="24"/>
        </w:rPr>
        <w:t xml:space="preserve"> Application of Ohio Power Company to Update Its Basic Transmission Cost Rider, </w:t>
      </w:r>
      <w:r w:rsidRPr="0026541A" w:rsidR="0026541A">
        <w:rPr>
          <w:rFonts w:ascii="Arial" w:hAnsi="Arial" w:cs="Arial"/>
          <w:sz w:val="24"/>
          <w:szCs w:val="24"/>
        </w:rPr>
        <w:t>Case</w:t>
      </w:r>
      <w:r w:rsidR="00FD7518">
        <w:rPr>
          <w:rFonts w:ascii="Arial" w:hAnsi="Arial" w:cs="Arial"/>
          <w:sz w:val="24"/>
          <w:szCs w:val="24"/>
        </w:rPr>
        <w:t xml:space="preserve"> </w:t>
      </w:r>
      <w:r w:rsidRPr="0026541A" w:rsidR="0026541A">
        <w:rPr>
          <w:rFonts w:ascii="Arial" w:hAnsi="Arial" w:cs="Arial"/>
          <w:sz w:val="24"/>
          <w:szCs w:val="24"/>
        </w:rPr>
        <w:t>No. 16-1409-EL-RDR, Tariff (Jan. 20, 2017)</w:t>
      </w:r>
      <w:r w:rsidR="00FD7518">
        <w:rPr>
          <w:rFonts w:ascii="Arial" w:hAnsi="Arial" w:cs="Arial"/>
          <w:sz w:val="24"/>
          <w:szCs w:val="24"/>
        </w:rPr>
        <w:t>.</w:t>
      </w:r>
      <w:r w:rsidR="00860502">
        <w:rPr>
          <w:rFonts w:ascii="Arial" w:hAnsi="Arial" w:cs="Arial"/>
          <w:sz w:val="24"/>
          <w:szCs w:val="24"/>
        </w:rPr>
        <w:t xml:space="preserve"> </w:t>
      </w:r>
      <w:r w:rsidR="000107BC">
        <w:rPr>
          <w:rFonts w:ascii="Arial" w:hAnsi="Arial" w:cs="Arial"/>
          <w:sz w:val="24"/>
          <w:szCs w:val="24"/>
        </w:rPr>
        <w:t xml:space="preserve"> </w:t>
      </w:r>
      <w:r w:rsidRPr="002F1FF9">
        <w:rPr>
          <w:rFonts w:ascii="Arial" w:hAnsi="Arial" w:cs="Arial"/>
          <w:sz w:val="24"/>
          <w:szCs w:val="24"/>
        </w:rPr>
        <w:t xml:space="preserve">Today, it has risen to $6.72 per kW. </w:t>
      </w:r>
      <w:r w:rsidR="009B7170">
        <w:rPr>
          <w:rFonts w:ascii="Arial" w:hAnsi="Arial" w:cs="Arial"/>
          <w:sz w:val="24"/>
          <w:szCs w:val="24"/>
        </w:rPr>
        <w:t xml:space="preserve">IGS Ex. 1 at 8, </w:t>
      </w:r>
      <w:r w:rsidRPr="002A2739" w:rsidR="009B7170">
        <w:rPr>
          <w:rFonts w:ascii="Arial" w:hAnsi="Arial" w:cs="Arial"/>
          <w:i/>
          <w:iCs/>
          <w:sz w:val="24"/>
          <w:szCs w:val="24"/>
        </w:rPr>
        <w:t>citing</w:t>
      </w:r>
      <w:r w:rsidR="009B7170">
        <w:rPr>
          <w:rFonts w:ascii="Arial" w:hAnsi="Arial" w:cs="Arial"/>
          <w:sz w:val="24"/>
          <w:szCs w:val="24"/>
        </w:rPr>
        <w:t xml:space="preserve"> </w:t>
      </w:r>
      <w:r w:rsidRPr="002A2739" w:rsidR="009B7170">
        <w:rPr>
          <w:rFonts w:ascii="Arial" w:hAnsi="Arial" w:cs="Arial"/>
          <w:i/>
          <w:iCs/>
          <w:sz w:val="24"/>
          <w:szCs w:val="24"/>
        </w:rPr>
        <w:t xml:space="preserve">In </w:t>
      </w:r>
      <w:r w:rsidR="00CD012B">
        <w:rPr>
          <w:rFonts w:ascii="Arial" w:hAnsi="Arial" w:cs="Arial"/>
          <w:i/>
          <w:iCs/>
          <w:sz w:val="24"/>
          <w:szCs w:val="24"/>
        </w:rPr>
        <w:t>re</w:t>
      </w:r>
      <w:r w:rsidRPr="002A2739" w:rsidR="009B7170">
        <w:rPr>
          <w:rFonts w:ascii="Arial" w:hAnsi="Arial" w:cs="Arial"/>
          <w:i/>
          <w:iCs/>
          <w:sz w:val="24"/>
          <w:szCs w:val="24"/>
        </w:rPr>
        <w:t xml:space="preserve"> Application of Ohio Power Company to Update Its Basic Transmission Cost Rider, </w:t>
      </w:r>
      <w:r w:rsidRPr="009B7170" w:rsidR="009B7170">
        <w:rPr>
          <w:rFonts w:ascii="Arial" w:hAnsi="Arial" w:cs="Arial"/>
          <w:i/>
          <w:iCs/>
          <w:sz w:val="24"/>
          <w:szCs w:val="24"/>
        </w:rPr>
        <w:t xml:space="preserve">Case No. 21-53-EL-RDR, </w:t>
      </w:r>
      <w:r w:rsidRPr="009B7170" w:rsidR="009B7170">
        <w:rPr>
          <w:rFonts w:ascii="Arial" w:hAnsi="Arial" w:cs="Arial"/>
          <w:sz w:val="24"/>
          <w:szCs w:val="24"/>
        </w:rPr>
        <w:t>Revised Tariff (Mar. 4, 2021).</w:t>
      </w:r>
      <w:r w:rsidRPr="002F1FF9">
        <w:rPr>
          <w:rFonts w:ascii="Arial" w:hAnsi="Arial" w:cs="Arial"/>
          <w:sz w:val="24"/>
          <w:szCs w:val="24"/>
        </w:rPr>
        <w:t xml:space="preserve"> This </w:t>
      </w:r>
      <w:r w:rsidRPr="002F1FF9">
        <w:rPr>
          <w:rFonts w:ascii="Arial" w:hAnsi="Arial" w:cs="Arial"/>
          <w:sz w:val="24"/>
          <w:szCs w:val="24"/>
        </w:rPr>
        <w:lastRenderedPageBreak/>
        <w:t xml:space="preserve">means in just five short years, a customer has seen over a 75% increase in transmission charges. Given the magnitude of cost increase in such a short time, the Commission should be promoting, instead of limiting, </w:t>
      </w:r>
      <w:r w:rsidR="00CB62FF">
        <w:rPr>
          <w:rFonts w:ascii="Arial" w:hAnsi="Arial" w:cs="Arial"/>
          <w:sz w:val="24"/>
          <w:szCs w:val="24"/>
        </w:rPr>
        <w:t>incentives for customers to manage their contribution to the transmission system peak load</w:t>
      </w:r>
      <w:r w:rsidRPr="00035E50" w:rsidR="00CB62FF">
        <w:rPr>
          <w:rFonts w:ascii="Arial" w:hAnsi="Arial" w:cs="Arial"/>
          <w:sz w:val="24"/>
          <w:szCs w:val="24"/>
        </w:rPr>
        <w:t>.</w:t>
      </w:r>
    </w:p>
    <w:p w:rsidRPr="002F1FF9" w:rsidR="002F1FF9" w:rsidP="00035E50" w:rsidRDefault="002D2D4B" w14:paraId="7AE02348" w14:textId="79EBAAE5">
      <w:pPr>
        <w:pStyle w:val="Heading3"/>
        <w:ind w:firstLine="720"/>
        <w:rPr>
          <w:b/>
          <w:bCs/>
        </w:rPr>
      </w:pPr>
      <w:bookmarkStart w:name="_Toc74573098" w:id="39"/>
      <w:r>
        <w:rPr>
          <w:b/>
          <w:bCs/>
        </w:rPr>
        <w:t xml:space="preserve">2. </w:t>
      </w:r>
      <w:r w:rsidRPr="00035E50" w:rsidR="002F1FF9">
        <w:rPr>
          <w:b/>
        </w:rPr>
        <w:t>The BTCR violates important regulatory practices and principles.</w:t>
      </w:r>
      <w:bookmarkEnd w:id="39"/>
      <w:r w:rsidRPr="00035E50" w:rsidR="002F1FF9">
        <w:rPr>
          <w:b/>
        </w:rPr>
        <w:t xml:space="preserve"> </w:t>
      </w:r>
    </w:p>
    <w:p w:rsidR="0067400D" w:rsidP="00D73119" w:rsidRDefault="0067400D" w14:paraId="6B7C9AB1" w14:textId="3903C28C">
      <w:pPr>
        <w:pStyle w:val="NoSpacing"/>
        <w:spacing w:line="480" w:lineRule="auto"/>
        <w:ind w:firstLine="720"/>
        <w:jc w:val="both"/>
        <w:rPr>
          <w:rFonts w:ascii="Arial" w:hAnsi="Arial" w:cs="Arial"/>
          <w:sz w:val="24"/>
          <w:szCs w:val="24"/>
        </w:rPr>
      </w:pPr>
      <w:r>
        <w:rPr>
          <w:rFonts w:ascii="Arial" w:hAnsi="Arial" w:cs="Arial"/>
          <w:sz w:val="24"/>
          <w:szCs w:val="24"/>
        </w:rPr>
        <w:t>The Stipulation’s provision expanding the BTCR Pilot has broader legal and policy implications.  On the one hand, this provision implicates the Commission’s limited role in setting transmission rates.  In particular, transmission rate setting is a matter reserved to the Federal Energy Regulatory Commission (“FERC”) under the Federal Power Act, and the Commission must operate within the confines of federal law. The Pilot’s limited application, however, places the balance of customers on terms and conditions that do not conform to the applicable federally-approved tariff.</w:t>
      </w:r>
    </w:p>
    <w:p w:rsidRPr="002F1FF9" w:rsidR="002F1FF9" w:rsidP="00D73119" w:rsidRDefault="0067400D" w14:paraId="03B689AE" w14:textId="01307281">
      <w:pPr>
        <w:pStyle w:val="NoSpacing"/>
        <w:spacing w:line="480" w:lineRule="auto"/>
        <w:ind w:firstLine="720"/>
        <w:jc w:val="both"/>
        <w:rPr>
          <w:rFonts w:ascii="Arial" w:hAnsi="Arial" w:cs="Arial"/>
          <w:sz w:val="24"/>
          <w:szCs w:val="24"/>
        </w:rPr>
      </w:pPr>
      <w:r>
        <w:rPr>
          <w:rFonts w:ascii="Arial" w:hAnsi="Arial" w:cs="Arial"/>
          <w:sz w:val="24"/>
          <w:szCs w:val="24"/>
        </w:rPr>
        <w:t>Separately, it</w:t>
      </w:r>
      <w:r w:rsidRPr="002F1FF9" w:rsidR="002F1FF9">
        <w:rPr>
          <w:rFonts w:ascii="Arial" w:hAnsi="Arial" w:cs="Arial"/>
          <w:sz w:val="24"/>
          <w:szCs w:val="24"/>
        </w:rPr>
        <w:t xml:space="preserve"> has been stated countless times throughout this proceeding an important goal in ratemaking is to </w:t>
      </w:r>
      <w:r>
        <w:rPr>
          <w:rFonts w:ascii="Arial" w:hAnsi="Arial" w:cs="Arial"/>
          <w:sz w:val="24"/>
          <w:szCs w:val="24"/>
        </w:rPr>
        <w:t>assign</w:t>
      </w:r>
      <w:r w:rsidRPr="002F1FF9" w:rsidR="002F1FF9">
        <w:rPr>
          <w:rFonts w:ascii="Arial" w:hAnsi="Arial" w:cs="Arial"/>
          <w:sz w:val="24"/>
          <w:szCs w:val="24"/>
        </w:rPr>
        <w:t xml:space="preserve"> the cost </w:t>
      </w:r>
      <w:r w:rsidR="009644E4">
        <w:rPr>
          <w:rFonts w:ascii="Arial" w:hAnsi="Arial" w:cs="Arial"/>
          <w:sz w:val="24"/>
          <w:szCs w:val="24"/>
        </w:rPr>
        <w:t>to</w:t>
      </w:r>
      <w:r w:rsidRPr="002F1FF9" w:rsidR="002F1FF9">
        <w:rPr>
          <w:rFonts w:ascii="Arial" w:hAnsi="Arial" w:cs="Arial"/>
          <w:sz w:val="24"/>
          <w:szCs w:val="24"/>
        </w:rPr>
        <w:t xml:space="preserve"> those causing th</w:t>
      </w:r>
      <w:r w:rsidRPr="00CC598F" w:rsidR="002F1FF9">
        <w:rPr>
          <w:rFonts w:ascii="Arial" w:hAnsi="Arial" w:cs="Arial"/>
          <w:sz w:val="24"/>
          <w:szCs w:val="24"/>
        </w:rPr>
        <w:t>e cost.</w:t>
      </w:r>
      <w:r w:rsidRPr="00CC598F" w:rsidR="00F56C50">
        <w:rPr>
          <w:rFonts w:ascii="Arial" w:hAnsi="Arial" w:cs="Arial"/>
          <w:sz w:val="24"/>
          <w:szCs w:val="24"/>
        </w:rPr>
        <w:t xml:space="preserve">  </w:t>
      </w:r>
      <w:r w:rsidR="00F56C50">
        <w:rPr>
          <w:rFonts w:ascii="Arial" w:hAnsi="Arial" w:cs="Arial"/>
          <w:sz w:val="24"/>
          <w:szCs w:val="24"/>
        </w:rPr>
        <w:t>Ohio Power</w:t>
      </w:r>
      <w:r w:rsidR="0AD2E49E">
        <w:rPr>
          <w:rFonts w:ascii="Arial" w:hAnsi="Arial" w:cs="Arial"/>
          <w:sz w:val="24"/>
          <w:szCs w:val="24"/>
        </w:rPr>
        <w:t xml:space="preserve"> Ex. </w:t>
      </w:r>
      <w:r w:rsidR="00F0038C">
        <w:rPr>
          <w:rFonts w:ascii="Arial" w:hAnsi="Arial" w:cs="Arial"/>
          <w:sz w:val="24"/>
          <w:szCs w:val="24"/>
        </w:rPr>
        <w:t xml:space="preserve">4 </w:t>
      </w:r>
      <w:r w:rsidR="00155045">
        <w:rPr>
          <w:rFonts w:ascii="Arial" w:hAnsi="Arial" w:cs="Arial"/>
          <w:sz w:val="24"/>
          <w:szCs w:val="24"/>
        </w:rPr>
        <w:t>at 4</w:t>
      </w:r>
      <w:r w:rsidR="00960588">
        <w:rPr>
          <w:rFonts w:ascii="Arial" w:hAnsi="Arial" w:cs="Arial"/>
          <w:sz w:val="24"/>
          <w:szCs w:val="24"/>
        </w:rPr>
        <w:t>, 8</w:t>
      </w:r>
      <w:r w:rsidR="00155045">
        <w:rPr>
          <w:rFonts w:ascii="Arial" w:hAnsi="Arial" w:cs="Arial"/>
          <w:sz w:val="24"/>
          <w:szCs w:val="24"/>
        </w:rPr>
        <w:t xml:space="preserve">; </w:t>
      </w:r>
      <w:r w:rsidRPr="00CC598F" w:rsidR="00F56C50">
        <w:rPr>
          <w:rFonts w:ascii="Arial" w:hAnsi="Arial" w:cs="Arial"/>
          <w:sz w:val="24"/>
          <w:szCs w:val="24"/>
        </w:rPr>
        <w:t>Ohio Power Ex. 6</w:t>
      </w:r>
      <w:r w:rsidRPr="00CC598F" w:rsidR="002F1FF9">
        <w:rPr>
          <w:rFonts w:ascii="Arial" w:hAnsi="Arial" w:cs="Arial"/>
          <w:sz w:val="24"/>
          <w:szCs w:val="24"/>
        </w:rPr>
        <w:t xml:space="preserve"> at 18</w:t>
      </w:r>
      <w:r w:rsidR="004E32F5">
        <w:rPr>
          <w:rFonts w:ascii="Arial" w:hAnsi="Arial" w:cs="Arial"/>
          <w:sz w:val="24"/>
          <w:szCs w:val="24"/>
        </w:rPr>
        <w:t xml:space="preserve">; Staff Ex. </w:t>
      </w:r>
      <w:r w:rsidR="00CC7E86">
        <w:rPr>
          <w:rFonts w:ascii="Arial" w:hAnsi="Arial" w:cs="Arial"/>
          <w:sz w:val="24"/>
          <w:szCs w:val="24"/>
        </w:rPr>
        <w:t>3</w:t>
      </w:r>
      <w:r w:rsidR="004E32F5">
        <w:rPr>
          <w:rFonts w:ascii="Arial" w:hAnsi="Arial" w:cs="Arial"/>
          <w:sz w:val="24"/>
          <w:szCs w:val="24"/>
        </w:rPr>
        <w:t xml:space="preserve"> at </w:t>
      </w:r>
      <w:r w:rsidR="00C56F8F">
        <w:rPr>
          <w:rFonts w:ascii="Arial" w:hAnsi="Arial" w:cs="Arial"/>
          <w:sz w:val="24"/>
          <w:szCs w:val="24"/>
        </w:rPr>
        <w:t>7-</w:t>
      </w:r>
      <w:r w:rsidR="004E32F5">
        <w:rPr>
          <w:rFonts w:ascii="Arial" w:hAnsi="Arial" w:cs="Arial"/>
          <w:sz w:val="24"/>
          <w:szCs w:val="24"/>
        </w:rPr>
        <w:t>9</w:t>
      </w:r>
      <w:r w:rsidR="00CC7E86">
        <w:rPr>
          <w:rFonts w:ascii="Arial" w:hAnsi="Arial" w:cs="Arial"/>
          <w:sz w:val="24"/>
          <w:szCs w:val="24"/>
        </w:rPr>
        <w:t xml:space="preserve">; IGS/Direct Ex. 2 at </w:t>
      </w:r>
      <w:r w:rsidR="001A5654">
        <w:rPr>
          <w:rFonts w:ascii="Arial" w:hAnsi="Arial" w:cs="Arial"/>
          <w:sz w:val="24"/>
          <w:szCs w:val="24"/>
        </w:rPr>
        <w:t>20-2</w:t>
      </w:r>
      <w:r w:rsidR="00E9471D">
        <w:rPr>
          <w:rFonts w:ascii="Arial" w:hAnsi="Arial" w:cs="Arial"/>
          <w:sz w:val="24"/>
          <w:szCs w:val="24"/>
        </w:rPr>
        <w:t>4</w:t>
      </w:r>
      <w:r w:rsidR="001A5654">
        <w:rPr>
          <w:rFonts w:ascii="Arial" w:hAnsi="Arial" w:cs="Arial"/>
          <w:sz w:val="24"/>
          <w:szCs w:val="24"/>
        </w:rPr>
        <w:t xml:space="preserve">, </w:t>
      </w:r>
      <w:r w:rsidR="0096092E">
        <w:rPr>
          <w:rFonts w:ascii="Arial" w:hAnsi="Arial" w:cs="Arial"/>
          <w:sz w:val="24"/>
          <w:szCs w:val="24"/>
        </w:rPr>
        <w:t>44</w:t>
      </w:r>
      <w:r w:rsidR="00E9471D">
        <w:rPr>
          <w:rFonts w:ascii="Arial" w:hAnsi="Arial" w:cs="Arial"/>
          <w:sz w:val="24"/>
          <w:szCs w:val="24"/>
        </w:rPr>
        <w:t>.</w:t>
      </w:r>
      <w:r w:rsidRPr="00CC598F" w:rsidR="002F1FF9">
        <w:rPr>
          <w:rFonts w:ascii="Arial" w:hAnsi="Arial" w:cs="Arial"/>
          <w:sz w:val="24"/>
          <w:szCs w:val="24"/>
        </w:rPr>
        <w:t xml:space="preserve"> It has also been </w:t>
      </w:r>
      <w:r w:rsidR="00E9471D">
        <w:rPr>
          <w:rFonts w:ascii="Arial" w:hAnsi="Arial" w:cs="Arial"/>
          <w:sz w:val="24"/>
          <w:szCs w:val="24"/>
        </w:rPr>
        <w:t>stated</w:t>
      </w:r>
      <w:r w:rsidRPr="00CC598F" w:rsidR="002F1FF9">
        <w:rPr>
          <w:rFonts w:ascii="Arial" w:hAnsi="Arial" w:cs="Arial"/>
          <w:sz w:val="24"/>
          <w:szCs w:val="24"/>
        </w:rPr>
        <w:t xml:space="preserve"> that advancements in metering infrastructure can make this happen. </w:t>
      </w:r>
      <w:r w:rsidRPr="00CC598F" w:rsidR="007876B0">
        <w:rPr>
          <w:rFonts w:ascii="Arial" w:hAnsi="Arial" w:cs="Arial"/>
          <w:sz w:val="24"/>
          <w:szCs w:val="24"/>
        </w:rPr>
        <w:t xml:space="preserve">IGS Ex. </w:t>
      </w:r>
      <w:r w:rsidRPr="00CC598F" w:rsidR="00D5446B">
        <w:rPr>
          <w:rFonts w:ascii="Arial" w:hAnsi="Arial" w:cs="Arial"/>
          <w:sz w:val="24"/>
          <w:szCs w:val="24"/>
        </w:rPr>
        <w:t xml:space="preserve">1 at </w:t>
      </w:r>
      <w:r w:rsidR="001A1624">
        <w:rPr>
          <w:rFonts w:ascii="Arial" w:hAnsi="Arial" w:cs="Arial"/>
          <w:sz w:val="24"/>
          <w:szCs w:val="24"/>
        </w:rPr>
        <w:t>9</w:t>
      </w:r>
      <w:r w:rsidR="00836779">
        <w:rPr>
          <w:rFonts w:ascii="Arial" w:hAnsi="Arial" w:cs="Arial"/>
          <w:sz w:val="24"/>
          <w:szCs w:val="24"/>
        </w:rPr>
        <w:t>-11</w:t>
      </w:r>
      <w:r w:rsidR="00F515E7">
        <w:rPr>
          <w:rFonts w:ascii="Arial" w:hAnsi="Arial" w:cs="Arial"/>
          <w:sz w:val="24"/>
          <w:szCs w:val="24"/>
        </w:rPr>
        <w:t xml:space="preserve">; Clean Fuels Ohio Ex. 1 at </w:t>
      </w:r>
      <w:r w:rsidR="00A4198A">
        <w:rPr>
          <w:rFonts w:ascii="Arial" w:hAnsi="Arial" w:cs="Arial"/>
          <w:sz w:val="24"/>
          <w:szCs w:val="24"/>
        </w:rPr>
        <w:t>4</w:t>
      </w:r>
      <w:r w:rsidR="00E9471D">
        <w:rPr>
          <w:rFonts w:ascii="Arial" w:hAnsi="Arial" w:cs="Arial"/>
          <w:sz w:val="24"/>
          <w:szCs w:val="24"/>
        </w:rPr>
        <w:t>.</w:t>
      </w:r>
      <w:r w:rsidR="00A4198A">
        <w:rPr>
          <w:rFonts w:ascii="Arial" w:hAnsi="Arial" w:cs="Arial"/>
          <w:sz w:val="24"/>
          <w:szCs w:val="24"/>
        </w:rPr>
        <w:t xml:space="preserve"> </w:t>
      </w:r>
      <w:r w:rsidRPr="00CC598F" w:rsidR="002F1FF9">
        <w:rPr>
          <w:rFonts w:ascii="Arial" w:hAnsi="Arial" w:cs="Arial"/>
          <w:sz w:val="24"/>
          <w:szCs w:val="24"/>
        </w:rPr>
        <w:t xml:space="preserve"> Therefore</w:t>
      </w:r>
      <w:r w:rsidRPr="002F1FF9" w:rsidR="002F1FF9">
        <w:rPr>
          <w:rFonts w:ascii="Arial" w:hAnsi="Arial" w:cs="Arial"/>
          <w:sz w:val="24"/>
          <w:szCs w:val="24"/>
        </w:rPr>
        <w:t xml:space="preserve">, failure to align the BTCR charges with the assessment of transmission charges by PJM is inconsistent with ratemaking principles, state policy, and Commission directives. </w:t>
      </w:r>
    </w:p>
    <w:p w:rsidRPr="009644E4" w:rsidR="002F1FF9" w:rsidRDefault="002D2D4B" w14:paraId="0CCC89E4" w14:textId="5D05A621">
      <w:pPr>
        <w:pStyle w:val="Heading4"/>
        <w:rPr>
          <w:b/>
        </w:rPr>
      </w:pPr>
      <w:r w:rsidRPr="009644E4">
        <w:rPr>
          <w:b/>
        </w:rPr>
        <w:t xml:space="preserve">a. </w:t>
      </w:r>
      <w:r w:rsidRPr="009644E4" w:rsidR="002F1FF9">
        <w:rPr>
          <w:b/>
        </w:rPr>
        <w:t>The BTCR is unlawful because the Commission is preempted from authorizing a transmission-related rider that conflicts with outcomes required by FERC-approved tariffs.</w:t>
      </w:r>
    </w:p>
    <w:p w:rsidRPr="002F1FF9" w:rsidR="002F1FF9" w:rsidP="002F1FF9" w:rsidRDefault="002F1FF9" w14:paraId="1DD2B3B7" w14:textId="68AFF9A7">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Under the Federal Power Act (“FPA”), FERC has jurisdiction over transmission-related services. </w:t>
      </w:r>
      <w:r w:rsidRPr="00632262" w:rsidR="00632262">
        <w:rPr>
          <w:rFonts w:ascii="Arial" w:hAnsi="Arial" w:cs="Arial"/>
          <w:sz w:val="24"/>
          <w:szCs w:val="24"/>
        </w:rPr>
        <w:t>16 U.S.</w:t>
      </w:r>
      <w:r w:rsidR="00E51643">
        <w:rPr>
          <w:rFonts w:ascii="Arial" w:hAnsi="Arial" w:cs="Arial"/>
          <w:sz w:val="24"/>
          <w:szCs w:val="24"/>
        </w:rPr>
        <w:t>C.</w:t>
      </w:r>
      <w:r w:rsidRPr="00632262" w:rsidR="00632262">
        <w:rPr>
          <w:rFonts w:ascii="Arial" w:hAnsi="Arial" w:cs="Arial"/>
          <w:sz w:val="24"/>
          <w:szCs w:val="24"/>
        </w:rPr>
        <w:t xml:space="preserve"> §</w:t>
      </w:r>
      <w:r w:rsidRPr="00FD3714" w:rsidR="00632262">
        <w:rPr>
          <w:rFonts w:ascii="Arial" w:hAnsi="Arial" w:cs="Arial"/>
          <w:sz w:val="24"/>
          <w:szCs w:val="24"/>
        </w:rPr>
        <w:t> 824</w:t>
      </w:r>
      <w:r w:rsidRPr="00FD3714" w:rsidR="00E51643">
        <w:rPr>
          <w:rFonts w:ascii="Arial" w:hAnsi="Arial" w:cs="Arial"/>
          <w:sz w:val="24"/>
          <w:szCs w:val="24"/>
        </w:rPr>
        <w:t>(</w:t>
      </w:r>
      <w:r w:rsidR="00AF471C">
        <w:rPr>
          <w:rFonts w:ascii="Arial" w:hAnsi="Arial" w:cs="Arial"/>
          <w:sz w:val="24"/>
          <w:szCs w:val="24"/>
        </w:rPr>
        <w:t>a</w:t>
      </w:r>
      <w:r w:rsidRPr="00FD3714" w:rsidR="00E51643">
        <w:rPr>
          <w:rFonts w:ascii="Arial" w:hAnsi="Arial" w:cs="Arial"/>
          <w:sz w:val="24"/>
          <w:szCs w:val="24"/>
        </w:rPr>
        <w:t>)</w:t>
      </w:r>
      <w:r w:rsidRPr="00FD3714">
        <w:rPr>
          <w:rFonts w:ascii="Arial" w:hAnsi="Arial" w:cs="Arial"/>
          <w:sz w:val="24"/>
          <w:szCs w:val="24"/>
        </w:rPr>
        <w:t xml:space="preserve">; </w:t>
      </w:r>
      <w:r w:rsidRPr="002677E9" w:rsidR="00854B81">
        <w:rPr>
          <w:rFonts w:ascii="Arial" w:hAnsi="Arial" w:cs="Arial"/>
          <w:i/>
          <w:iCs/>
          <w:sz w:val="24"/>
          <w:szCs w:val="24"/>
        </w:rPr>
        <w:t>Promoting Wholesale Competition Through Open Access Non-discriminatory Transmission Services by Public Utilities and Recovery</w:t>
      </w:r>
      <w:r w:rsidRPr="002677E9">
        <w:rPr>
          <w:rFonts w:ascii="Arial" w:hAnsi="Arial" w:cs="Arial"/>
          <w:i/>
          <w:sz w:val="24"/>
          <w:szCs w:val="24"/>
        </w:rPr>
        <w:t xml:space="preserve"> of </w:t>
      </w:r>
      <w:r w:rsidRPr="002677E9" w:rsidR="00854B81">
        <w:rPr>
          <w:rFonts w:ascii="Arial" w:hAnsi="Arial" w:cs="Arial"/>
          <w:i/>
          <w:iCs/>
          <w:sz w:val="24"/>
          <w:szCs w:val="24"/>
        </w:rPr>
        <w:lastRenderedPageBreak/>
        <w:t>Stranded Costs by Public Utilities and Transmitting Utilities</w:t>
      </w:r>
      <w:r w:rsidRPr="00854B81" w:rsidR="00854B81">
        <w:rPr>
          <w:rFonts w:ascii="Arial" w:hAnsi="Arial" w:cs="Arial"/>
          <w:sz w:val="24"/>
          <w:szCs w:val="24"/>
        </w:rPr>
        <w:t>, 61 F</w:t>
      </w:r>
      <w:r w:rsidR="001604E0">
        <w:rPr>
          <w:rFonts w:ascii="Arial" w:hAnsi="Arial" w:cs="Arial"/>
          <w:sz w:val="24"/>
          <w:szCs w:val="24"/>
        </w:rPr>
        <w:t>ed. Reg.</w:t>
      </w:r>
      <w:r w:rsidRPr="00854B81" w:rsidR="00854B81">
        <w:rPr>
          <w:rFonts w:ascii="Arial" w:hAnsi="Arial" w:cs="Arial"/>
          <w:sz w:val="24"/>
          <w:szCs w:val="24"/>
        </w:rPr>
        <w:t xml:space="preserve"> 21,54</w:t>
      </w:r>
      <w:r w:rsidR="00A326E6">
        <w:rPr>
          <w:rFonts w:ascii="Arial" w:hAnsi="Arial" w:cs="Arial"/>
          <w:sz w:val="24"/>
          <w:szCs w:val="24"/>
        </w:rPr>
        <w:t xml:space="preserve">0, </w:t>
      </w:r>
      <w:r w:rsidR="00475DEA">
        <w:rPr>
          <w:rFonts w:ascii="Arial" w:hAnsi="Arial" w:cs="Arial"/>
          <w:sz w:val="24"/>
          <w:szCs w:val="24"/>
        </w:rPr>
        <w:t>21,54</w:t>
      </w:r>
      <w:r w:rsidR="00E617FA">
        <w:rPr>
          <w:rFonts w:ascii="Arial" w:hAnsi="Arial" w:cs="Arial"/>
          <w:sz w:val="24"/>
          <w:szCs w:val="24"/>
        </w:rPr>
        <w:t>1</w:t>
      </w:r>
      <w:r w:rsidRPr="00854B81" w:rsidR="00854B81">
        <w:rPr>
          <w:rFonts w:ascii="Arial" w:hAnsi="Arial" w:cs="Arial"/>
          <w:sz w:val="24"/>
          <w:szCs w:val="24"/>
        </w:rPr>
        <w:t xml:space="preserve"> (May 10, 1996) </w:t>
      </w:r>
      <w:r w:rsidRPr="00FD3714" w:rsidR="00FD3714">
        <w:rPr>
          <w:rFonts w:ascii="Arial" w:hAnsi="Arial" w:cs="Arial"/>
          <w:sz w:val="24"/>
          <w:szCs w:val="24"/>
        </w:rPr>
        <w:t>(“</w:t>
      </w:r>
      <w:r w:rsidRPr="002F1FF9">
        <w:rPr>
          <w:rFonts w:ascii="Arial" w:hAnsi="Arial" w:cs="Arial"/>
          <w:sz w:val="24"/>
          <w:szCs w:val="24"/>
        </w:rPr>
        <w:t>Order 888</w:t>
      </w:r>
      <w:r w:rsidR="00FD3714">
        <w:rPr>
          <w:rFonts w:ascii="Arial" w:hAnsi="Arial" w:cs="Arial"/>
          <w:sz w:val="24"/>
          <w:szCs w:val="24"/>
        </w:rPr>
        <w:t>”).</w:t>
      </w:r>
      <w:r w:rsidRPr="002F1FF9">
        <w:rPr>
          <w:rFonts w:ascii="Arial" w:hAnsi="Arial" w:cs="Arial"/>
          <w:sz w:val="24"/>
          <w:szCs w:val="24"/>
        </w:rPr>
        <w:t xml:space="preserve"> However, in contrast to the limitation of FERC’s jurisdiction over the sale of power, which has been specifically limited to the wholesale market, FERC’s jurisdiction over transmission power has no such limitation.  </w:t>
      </w:r>
      <w:r w:rsidRPr="00A326E6" w:rsidR="00A326E6">
        <w:rPr>
          <w:rFonts w:ascii="Arial" w:hAnsi="Arial" w:cs="Arial"/>
          <w:sz w:val="24"/>
          <w:szCs w:val="24"/>
        </w:rPr>
        <w:t xml:space="preserve">Order 888 at 21,625; </w:t>
      </w:r>
      <w:r w:rsidRPr="009644E4">
        <w:rPr>
          <w:rFonts w:ascii="Arial" w:hAnsi="Arial" w:cs="Arial"/>
          <w:i/>
          <w:sz w:val="24"/>
          <w:szCs w:val="24"/>
        </w:rPr>
        <w:t>New York v. FERC</w:t>
      </w:r>
      <w:r w:rsidRPr="002F1FF9">
        <w:rPr>
          <w:rFonts w:ascii="Arial" w:hAnsi="Arial" w:cs="Arial"/>
          <w:sz w:val="24"/>
          <w:szCs w:val="24"/>
        </w:rPr>
        <w:t xml:space="preserve">, 535 U.S. 1, </w:t>
      </w:r>
      <w:r w:rsidRPr="00A326E6" w:rsidR="00EA4985">
        <w:rPr>
          <w:rFonts w:ascii="Arial" w:hAnsi="Arial" w:cs="Arial"/>
          <w:sz w:val="24"/>
          <w:szCs w:val="24"/>
        </w:rPr>
        <w:t>17</w:t>
      </w:r>
      <w:r w:rsidRPr="00A326E6" w:rsidR="00E903D2">
        <w:rPr>
          <w:rFonts w:ascii="Arial" w:hAnsi="Arial" w:cs="Arial"/>
          <w:sz w:val="24"/>
          <w:szCs w:val="24"/>
        </w:rPr>
        <w:t xml:space="preserve">, </w:t>
      </w:r>
      <w:r w:rsidRPr="002F1FF9">
        <w:rPr>
          <w:rFonts w:ascii="Arial" w:hAnsi="Arial" w:cs="Arial"/>
          <w:sz w:val="24"/>
          <w:szCs w:val="24"/>
        </w:rPr>
        <w:t>19-20 (2002). Therefore, “if retail transmission in interstate commerce by a public utility occurs voluntarily or as a result of a state retail wheeling program, [FERC] has exclusive jurisdiction over the rates, terms, and conditions of such transmission and public utilities offering such transmission must comply with the FPA by filing proposed rate schedules under section 205</w:t>
      </w:r>
      <w:r w:rsidRPr="00F56C50">
        <w:rPr>
          <w:rFonts w:ascii="Arial" w:hAnsi="Arial" w:cs="Arial"/>
          <w:sz w:val="24"/>
          <w:szCs w:val="24"/>
        </w:rPr>
        <w:t>.</w:t>
      </w:r>
      <w:r w:rsidR="00F56C50">
        <w:rPr>
          <w:rFonts w:ascii="Arial" w:hAnsi="Arial" w:cs="Arial"/>
          <w:sz w:val="24"/>
          <w:szCs w:val="24"/>
        </w:rPr>
        <w:t>”</w:t>
      </w:r>
      <w:r w:rsidRPr="002F1FF9">
        <w:rPr>
          <w:rFonts w:ascii="Arial" w:hAnsi="Arial" w:cs="Arial"/>
          <w:sz w:val="24"/>
          <w:szCs w:val="24"/>
        </w:rPr>
        <w:t xml:space="preserve"> Order 888 at </w:t>
      </w:r>
      <w:r w:rsidRPr="00A326E6" w:rsidR="00AA75AA">
        <w:rPr>
          <w:rFonts w:ascii="Arial" w:hAnsi="Arial" w:cs="Arial"/>
          <w:sz w:val="24"/>
          <w:szCs w:val="24"/>
        </w:rPr>
        <w:t>21,</w:t>
      </w:r>
      <w:r w:rsidR="00D0335C">
        <w:rPr>
          <w:rFonts w:ascii="Arial" w:hAnsi="Arial" w:cs="Arial"/>
          <w:sz w:val="24"/>
          <w:szCs w:val="24"/>
        </w:rPr>
        <w:t>625.</w:t>
      </w:r>
      <w:r w:rsidR="0012576D">
        <w:rPr>
          <w:rFonts w:ascii="Arial" w:hAnsi="Arial" w:cs="Arial"/>
          <w:iCs/>
          <w:sz w:val="24"/>
          <w:szCs w:val="24"/>
        </w:rPr>
        <w:t xml:space="preserve"> </w:t>
      </w:r>
    </w:p>
    <w:p w:rsidRPr="002F1FF9" w:rsidR="002F1FF9" w:rsidP="002F1FF9" w:rsidRDefault="002F1FF9" w14:paraId="37453CB0" w14:textId="47B21B73">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Utilizing this jurisdiction, FERC has required public utilities to provide non-discriminatory open access to transmission facilities for retail transmission services. </w:t>
      </w:r>
      <w:r w:rsidRPr="0084247A">
        <w:rPr>
          <w:rFonts w:ascii="Arial" w:hAnsi="Arial" w:cs="Arial"/>
          <w:i/>
          <w:sz w:val="24"/>
          <w:szCs w:val="24"/>
        </w:rPr>
        <w:t xml:space="preserve"> </w:t>
      </w:r>
      <w:r w:rsidRPr="002F1FF9">
        <w:rPr>
          <w:rFonts w:ascii="Arial" w:hAnsi="Arial" w:cs="Arial"/>
          <w:sz w:val="24"/>
          <w:szCs w:val="24"/>
        </w:rPr>
        <w:t>Order 888</w:t>
      </w:r>
      <w:r w:rsidRPr="00AA75AA" w:rsidR="00AA75AA">
        <w:rPr>
          <w:rFonts w:ascii="Arial" w:hAnsi="Arial" w:cs="Arial"/>
          <w:sz w:val="24"/>
          <w:szCs w:val="24"/>
        </w:rPr>
        <w:t xml:space="preserve"> at</w:t>
      </w:r>
      <w:r w:rsidR="00AA75AA">
        <w:rPr>
          <w:rFonts w:ascii="Arial" w:hAnsi="Arial" w:cs="Arial"/>
          <w:sz w:val="24"/>
          <w:szCs w:val="24"/>
        </w:rPr>
        <w:t xml:space="preserve"> </w:t>
      </w:r>
      <w:r w:rsidRPr="00854B81" w:rsidR="00AA75AA">
        <w:rPr>
          <w:rFonts w:ascii="Arial" w:hAnsi="Arial" w:cs="Arial"/>
          <w:sz w:val="24"/>
          <w:szCs w:val="24"/>
        </w:rPr>
        <w:t>21,54</w:t>
      </w:r>
      <w:r w:rsidR="00AA75AA">
        <w:rPr>
          <w:rFonts w:ascii="Arial" w:hAnsi="Arial" w:cs="Arial"/>
          <w:sz w:val="24"/>
          <w:szCs w:val="24"/>
        </w:rPr>
        <w:t>1</w:t>
      </w:r>
      <w:r w:rsidRPr="002F1FF9">
        <w:rPr>
          <w:rFonts w:ascii="Arial" w:hAnsi="Arial" w:cs="Arial"/>
          <w:sz w:val="24"/>
          <w:szCs w:val="24"/>
        </w:rPr>
        <w:t>. To better accomplish this, Regional Transmission Organizations, such as PJM, act as the sole provider of transmission services o</w:t>
      </w:r>
      <w:r w:rsidR="00333D1E">
        <w:rPr>
          <w:rFonts w:ascii="Arial" w:hAnsi="Arial" w:cs="Arial"/>
          <w:sz w:val="24"/>
          <w:szCs w:val="24"/>
        </w:rPr>
        <w:t>ver</w:t>
      </w:r>
      <w:r w:rsidRPr="002F1FF9">
        <w:rPr>
          <w:rFonts w:ascii="Arial" w:hAnsi="Arial" w:cs="Arial"/>
          <w:sz w:val="24"/>
          <w:szCs w:val="24"/>
        </w:rPr>
        <w:t xml:space="preserve"> facilities within a </w:t>
      </w:r>
      <w:r w:rsidR="00D347A2">
        <w:rPr>
          <w:rFonts w:ascii="Arial" w:hAnsi="Arial" w:cs="Arial"/>
          <w:sz w:val="24"/>
          <w:szCs w:val="24"/>
        </w:rPr>
        <w:t xml:space="preserve">certain </w:t>
      </w:r>
      <w:r w:rsidRPr="002F1FF9">
        <w:rPr>
          <w:rFonts w:ascii="Arial" w:hAnsi="Arial" w:cs="Arial"/>
          <w:sz w:val="24"/>
          <w:szCs w:val="24"/>
        </w:rPr>
        <w:t xml:space="preserve">region. </w:t>
      </w:r>
      <w:r w:rsidRPr="00E56C50" w:rsidR="00E56C50">
        <w:rPr>
          <w:rFonts w:ascii="Arial" w:hAnsi="Arial" w:cs="Arial"/>
          <w:i/>
          <w:iCs/>
          <w:sz w:val="24"/>
          <w:szCs w:val="24"/>
        </w:rPr>
        <w:t>Regional Transmission Organizations,</w:t>
      </w:r>
      <w:r w:rsidRPr="00CD19C2" w:rsidR="00E56C50">
        <w:rPr>
          <w:rFonts w:ascii="Arial" w:hAnsi="Arial" w:cs="Arial"/>
          <w:sz w:val="24"/>
          <w:szCs w:val="24"/>
        </w:rPr>
        <w:t xml:space="preserve"> </w:t>
      </w:r>
      <w:r w:rsidRPr="00310FE1" w:rsidR="00310FE1">
        <w:rPr>
          <w:rFonts w:ascii="Arial" w:hAnsi="Arial" w:cs="Arial"/>
          <w:sz w:val="24"/>
          <w:szCs w:val="24"/>
        </w:rPr>
        <w:t xml:space="preserve">65 </w:t>
      </w:r>
      <w:r w:rsidR="00C4333B">
        <w:rPr>
          <w:rFonts w:ascii="Arial" w:hAnsi="Arial" w:cs="Arial"/>
          <w:sz w:val="24"/>
          <w:szCs w:val="24"/>
        </w:rPr>
        <w:t>Fed. Reg.</w:t>
      </w:r>
      <w:r w:rsidRPr="00310FE1" w:rsidR="00310FE1">
        <w:rPr>
          <w:rFonts w:ascii="Arial" w:hAnsi="Arial" w:cs="Arial"/>
          <w:sz w:val="24"/>
          <w:szCs w:val="24"/>
        </w:rPr>
        <w:t xml:space="preserve"> 8</w:t>
      </w:r>
      <w:r w:rsidR="00A51710">
        <w:rPr>
          <w:rFonts w:ascii="Arial" w:hAnsi="Arial" w:cs="Arial"/>
          <w:sz w:val="24"/>
          <w:szCs w:val="24"/>
        </w:rPr>
        <w:t>09</w:t>
      </w:r>
      <w:r w:rsidR="00310FE1">
        <w:rPr>
          <w:rFonts w:ascii="Arial" w:hAnsi="Arial" w:cs="Arial"/>
          <w:sz w:val="24"/>
          <w:szCs w:val="24"/>
        </w:rPr>
        <w:t xml:space="preserve"> </w:t>
      </w:r>
      <w:r w:rsidRPr="00310FE1" w:rsidR="00310FE1">
        <w:rPr>
          <w:rFonts w:ascii="Arial" w:hAnsi="Arial" w:cs="Arial"/>
          <w:sz w:val="24"/>
          <w:szCs w:val="24"/>
        </w:rPr>
        <w:t>(Jan. 6, 2000)</w:t>
      </w:r>
      <w:r w:rsidR="00A51710">
        <w:rPr>
          <w:rFonts w:ascii="Arial" w:hAnsi="Arial" w:cs="Arial"/>
          <w:sz w:val="24"/>
          <w:szCs w:val="24"/>
        </w:rPr>
        <w:t xml:space="preserve"> (“</w:t>
      </w:r>
      <w:r w:rsidRPr="002F1FF9">
        <w:rPr>
          <w:rFonts w:ascii="Arial" w:hAnsi="Arial" w:cs="Arial"/>
          <w:sz w:val="24"/>
          <w:szCs w:val="24"/>
        </w:rPr>
        <w:t>Order 2000</w:t>
      </w:r>
      <w:r w:rsidR="00A51710">
        <w:rPr>
          <w:rFonts w:ascii="Arial" w:hAnsi="Arial" w:cs="Arial"/>
          <w:sz w:val="24"/>
          <w:szCs w:val="24"/>
        </w:rPr>
        <w:t>”)</w:t>
      </w:r>
      <w:r w:rsidR="00310FE1">
        <w:rPr>
          <w:rFonts w:ascii="Arial" w:hAnsi="Arial" w:cs="Arial"/>
          <w:sz w:val="24"/>
          <w:szCs w:val="24"/>
        </w:rPr>
        <w:t>.</w:t>
      </w:r>
      <w:r w:rsidRPr="002F1FF9">
        <w:rPr>
          <w:rFonts w:ascii="Arial" w:hAnsi="Arial" w:cs="Arial"/>
          <w:sz w:val="24"/>
          <w:szCs w:val="24"/>
        </w:rPr>
        <w:t xml:space="preserve"> PJM establishes the rates for transmission service by filling an Open Access Transmission Tariff (“OATT”). </w:t>
      </w:r>
      <w:r w:rsidRPr="005F18F8">
        <w:rPr>
          <w:rFonts w:ascii="Arial" w:hAnsi="Arial" w:cs="Arial"/>
          <w:i/>
          <w:iCs/>
          <w:sz w:val="24"/>
          <w:szCs w:val="24"/>
        </w:rPr>
        <w:t xml:space="preserve">See </w:t>
      </w:r>
      <w:r w:rsidRPr="005F18F8" w:rsidR="00A51710">
        <w:rPr>
          <w:rFonts w:ascii="Arial" w:hAnsi="Arial" w:cs="Arial"/>
          <w:sz w:val="24"/>
          <w:szCs w:val="24"/>
        </w:rPr>
        <w:t>Order 2000 at 913</w:t>
      </w:r>
      <w:r w:rsidRPr="005F18F8" w:rsidR="00A51710">
        <w:rPr>
          <w:rFonts w:ascii="Arial" w:hAnsi="Arial" w:cs="Arial"/>
          <w:i/>
          <w:iCs/>
          <w:sz w:val="24"/>
          <w:szCs w:val="24"/>
        </w:rPr>
        <w:t xml:space="preserve">; </w:t>
      </w:r>
      <w:r w:rsidRPr="005F18F8" w:rsidR="0002524C">
        <w:rPr>
          <w:rFonts w:ascii="Arial" w:hAnsi="Arial" w:cs="Arial"/>
          <w:sz w:val="24"/>
          <w:szCs w:val="24"/>
        </w:rPr>
        <w:t>16 U.S.C. § 824</w:t>
      </w:r>
      <w:r w:rsidR="00D347A2">
        <w:rPr>
          <w:rFonts w:ascii="Arial" w:hAnsi="Arial" w:cs="Arial"/>
          <w:sz w:val="24"/>
          <w:szCs w:val="24"/>
        </w:rPr>
        <w:t>(</w:t>
      </w:r>
      <w:r w:rsidRPr="005F18F8" w:rsidR="0002524C">
        <w:rPr>
          <w:rFonts w:ascii="Arial" w:hAnsi="Arial" w:cs="Arial"/>
          <w:sz w:val="24"/>
          <w:szCs w:val="24"/>
        </w:rPr>
        <w:t>d</w:t>
      </w:r>
      <w:r w:rsidR="00D347A2">
        <w:rPr>
          <w:rFonts w:ascii="Arial" w:hAnsi="Arial" w:cs="Arial"/>
          <w:sz w:val="24"/>
          <w:szCs w:val="24"/>
        </w:rPr>
        <w:t>).</w:t>
      </w:r>
      <w:r w:rsidRPr="002F1FF9">
        <w:rPr>
          <w:rFonts w:ascii="Arial" w:hAnsi="Arial" w:cs="Arial"/>
          <w:sz w:val="24"/>
          <w:szCs w:val="24"/>
        </w:rPr>
        <w:t xml:space="preserve"> FERC has exclusive jurisdiction over the establishment of these rates and any modifications to and deviations from them. </w:t>
      </w:r>
      <w:r w:rsidRPr="00D347A2" w:rsidR="00D347A2">
        <w:rPr>
          <w:rFonts w:ascii="Arial" w:hAnsi="Arial" w:cs="Arial"/>
          <w:i/>
          <w:iCs/>
          <w:sz w:val="24"/>
          <w:szCs w:val="24"/>
        </w:rPr>
        <w:t>Id.</w:t>
      </w:r>
    </w:p>
    <w:p w:rsidRPr="002F1FF9" w:rsidR="002F1FF9" w:rsidP="002F1FF9" w:rsidRDefault="002F1FF9" w14:paraId="7635F12B" w14:textId="1508E495">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FERC has required the consistent application of the tariff rates contained in an OATT, including the use of demand-based billing determinants. </w:t>
      </w:r>
      <w:proofErr w:type="spellStart"/>
      <w:r w:rsidRPr="002F1FF9">
        <w:rPr>
          <w:rFonts w:ascii="Arial" w:hAnsi="Arial" w:cs="Arial"/>
          <w:i/>
          <w:iCs/>
          <w:sz w:val="24"/>
          <w:szCs w:val="24"/>
        </w:rPr>
        <w:t>Montaup</w:t>
      </w:r>
      <w:proofErr w:type="spellEnd"/>
      <w:r w:rsidRPr="002F1FF9">
        <w:rPr>
          <w:rFonts w:ascii="Arial" w:hAnsi="Arial" w:cs="Arial"/>
          <w:i/>
          <w:iCs/>
          <w:sz w:val="24"/>
          <w:szCs w:val="24"/>
        </w:rPr>
        <w:t xml:space="preserve"> Elec. Co.,</w:t>
      </w:r>
      <w:r w:rsidRPr="002F1FF9">
        <w:rPr>
          <w:rFonts w:ascii="Arial" w:hAnsi="Arial" w:cs="Arial"/>
          <w:sz w:val="24"/>
          <w:szCs w:val="24"/>
        </w:rPr>
        <w:t xml:space="preserve"> 80 FERC ¶ 61,288 (Sept. 12, 1997). While FERC has permitted deviations from the OATT to accommodate territories with deregulated energy markets, these deviations must be approved by FERC. </w:t>
      </w:r>
      <w:r w:rsidRPr="002F1FF9">
        <w:rPr>
          <w:rFonts w:ascii="Arial" w:hAnsi="Arial" w:cs="Arial"/>
          <w:i/>
          <w:iCs/>
          <w:sz w:val="24"/>
          <w:szCs w:val="24"/>
        </w:rPr>
        <w:t>Allegheny Power Serv. Corp</w:t>
      </w:r>
      <w:r w:rsidRPr="002F1FF9">
        <w:rPr>
          <w:rFonts w:ascii="Arial" w:hAnsi="Arial" w:cs="Arial"/>
          <w:sz w:val="24"/>
          <w:szCs w:val="24"/>
        </w:rPr>
        <w:t xml:space="preserve">, 81 FERC ¶ 61,271 (Nov. </w:t>
      </w:r>
      <w:r w:rsidRPr="00CD19C2">
        <w:rPr>
          <w:rFonts w:ascii="Arial" w:hAnsi="Arial" w:cs="Arial"/>
          <w:sz w:val="24"/>
          <w:szCs w:val="24"/>
        </w:rPr>
        <w:t>26, 1997)</w:t>
      </w:r>
      <w:r w:rsidR="0092646D">
        <w:rPr>
          <w:rFonts w:ascii="Arial" w:hAnsi="Arial" w:cs="Arial"/>
          <w:sz w:val="24"/>
          <w:szCs w:val="24"/>
        </w:rPr>
        <w:t xml:space="preserve"> </w:t>
      </w:r>
      <w:r w:rsidR="0092646D">
        <w:rPr>
          <w:rFonts w:ascii="Arial" w:hAnsi="Arial" w:cs="Arial"/>
          <w:sz w:val="24"/>
          <w:szCs w:val="24"/>
        </w:rPr>
        <w:lastRenderedPageBreak/>
        <w:t xml:space="preserve">(approving </w:t>
      </w:r>
      <w:r w:rsidR="000609EC">
        <w:rPr>
          <w:rFonts w:ascii="Arial" w:hAnsi="Arial" w:cs="Arial"/>
          <w:sz w:val="24"/>
          <w:szCs w:val="24"/>
        </w:rPr>
        <w:t>a variation from the demand based charge required by the OATT, but required a demonstrat</w:t>
      </w:r>
      <w:r w:rsidR="00B90A92">
        <w:rPr>
          <w:rFonts w:ascii="Arial" w:hAnsi="Arial" w:cs="Arial"/>
          <w:sz w:val="24"/>
          <w:szCs w:val="24"/>
        </w:rPr>
        <w:t>ion by the utility that it properly converted the charges</w:t>
      </w:r>
      <w:r w:rsidR="00402A56">
        <w:rPr>
          <w:rFonts w:ascii="Arial" w:hAnsi="Arial" w:cs="Arial"/>
          <w:sz w:val="24"/>
          <w:szCs w:val="24"/>
        </w:rPr>
        <w:t>’</w:t>
      </w:r>
      <w:r w:rsidR="00B90A92">
        <w:rPr>
          <w:rFonts w:ascii="Arial" w:hAnsi="Arial" w:cs="Arial"/>
          <w:sz w:val="24"/>
          <w:szCs w:val="24"/>
        </w:rPr>
        <w:t xml:space="preserve"> application to customers without demand meters to a retail rate).</w:t>
      </w:r>
      <w:r w:rsidRPr="00CD19C2">
        <w:rPr>
          <w:rFonts w:ascii="Arial" w:hAnsi="Arial" w:cs="Arial"/>
          <w:sz w:val="24"/>
          <w:szCs w:val="24"/>
        </w:rPr>
        <w:t xml:space="preserve"> </w:t>
      </w:r>
    </w:p>
    <w:p w:rsidRPr="002F1FF9" w:rsidR="002F1FF9" w:rsidP="002F1FF9" w:rsidRDefault="002F1FF9" w14:paraId="0E71F888" w14:textId="513AE166">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Neither Ohio Power nor PJM </w:t>
      </w:r>
      <w:r w:rsidRPr="00CD19C2">
        <w:rPr>
          <w:rFonts w:ascii="Arial" w:hAnsi="Arial" w:cs="Arial"/>
          <w:sz w:val="24"/>
          <w:szCs w:val="24"/>
        </w:rPr>
        <w:t>ha</w:t>
      </w:r>
      <w:r w:rsidR="00E93E81">
        <w:rPr>
          <w:rFonts w:ascii="Arial" w:hAnsi="Arial" w:cs="Arial"/>
          <w:sz w:val="24"/>
          <w:szCs w:val="24"/>
        </w:rPr>
        <w:t>s</w:t>
      </w:r>
      <w:r w:rsidRPr="002F1FF9">
        <w:rPr>
          <w:rFonts w:ascii="Arial" w:hAnsi="Arial" w:cs="Arial"/>
          <w:sz w:val="24"/>
          <w:szCs w:val="24"/>
        </w:rPr>
        <w:t xml:space="preserve"> sought any modifications to the PJM OATT, yet under the BTCR, Ohio Power continues to use transmission service resale billing determinants different from those contained in the controlling PJM OATT. As noted above, the PJM tariff specifies that the rates for certain services, such as NITS, are to be assessed using a customer’s contribution to the single highest annual peak load in each transmission pricing zone, or the NSPL. </w:t>
      </w:r>
      <w:r w:rsidR="00F6723A">
        <w:rPr>
          <w:rFonts w:ascii="Arial" w:hAnsi="Arial" w:cs="Arial"/>
          <w:sz w:val="24"/>
          <w:szCs w:val="24"/>
        </w:rPr>
        <w:t xml:space="preserve">IGS Ex. </w:t>
      </w:r>
      <w:r w:rsidRPr="00AE3C24" w:rsidR="00F6723A">
        <w:rPr>
          <w:rFonts w:ascii="Arial" w:hAnsi="Arial" w:cs="Arial"/>
          <w:sz w:val="24"/>
          <w:szCs w:val="24"/>
        </w:rPr>
        <w:t>1</w:t>
      </w:r>
      <w:r w:rsidRPr="002F1FF9">
        <w:rPr>
          <w:rFonts w:ascii="Arial" w:hAnsi="Arial" w:cs="Arial"/>
          <w:sz w:val="24"/>
          <w:szCs w:val="24"/>
        </w:rPr>
        <w:t xml:space="preserve"> at 6.</w:t>
      </w:r>
    </w:p>
    <w:p w:rsidRPr="002F1FF9" w:rsidR="002F1FF9" w:rsidP="002F1FF9" w:rsidRDefault="002F1FF9" w14:paraId="45584143" w14:textId="2EF98BE6">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In contrast, the BTCR charges are assessed to demand metered customers based upon the customer’s the customer’s monthly peak demand or a demand ratchet.  </w:t>
      </w:r>
      <w:r w:rsidRPr="00C0450C" w:rsidR="008756D5">
        <w:rPr>
          <w:rFonts w:ascii="Arial" w:hAnsi="Arial" w:cs="Arial"/>
          <w:i/>
          <w:iCs/>
          <w:sz w:val="24"/>
          <w:szCs w:val="24"/>
        </w:rPr>
        <w:t>Id</w:t>
      </w:r>
      <w:r w:rsidR="008756D5">
        <w:rPr>
          <w:rFonts w:ascii="Arial" w:hAnsi="Arial" w:cs="Arial"/>
          <w:sz w:val="24"/>
          <w:szCs w:val="24"/>
        </w:rPr>
        <w:t>.</w:t>
      </w:r>
      <w:r w:rsidR="00C0450C">
        <w:rPr>
          <w:rFonts w:ascii="Arial" w:hAnsi="Arial" w:cs="Arial"/>
          <w:sz w:val="24"/>
          <w:szCs w:val="24"/>
        </w:rPr>
        <w:t>;</w:t>
      </w:r>
      <w:r w:rsidRPr="002F1FF9">
        <w:rPr>
          <w:rFonts w:ascii="Arial" w:hAnsi="Arial" w:cs="Arial"/>
          <w:sz w:val="24"/>
          <w:szCs w:val="24"/>
        </w:rPr>
        <w:t xml:space="preserve"> </w:t>
      </w:r>
      <w:r w:rsidRPr="002A2739" w:rsidR="00462DA2">
        <w:rPr>
          <w:rFonts w:ascii="Arial" w:hAnsi="Arial" w:cs="Arial"/>
          <w:sz w:val="24"/>
          <w:szCs w:val="24"/>
        </w:rPr>
        <w:t>Ohio Power</w:t>
      </w:r>
      <w:r w:rsidRPr="002F1FF9">
        <w:rPr>
          <w:rFonts w:ascii="Arial" w:hAnsi="Arial" w:cs="Arial"/>
          <w:sz w:val="24"/>
          <w:szCs w:val="24"/>
        </w:rPr>
        <w:t xml:space="preserve"> Tariff</w:t>
      </w:r>
      <w:r w:rsidR="00462DA2">
        <w:rPr>
          <w:rFonts w:ascii="Arial" w:hAnsi="Arial" w:cs="Arial"/>
          <w:sz w:val="24"/>
          <w:szCs w:val="24"/>
        </w:rPr>
        <w:t>,</w:t>
      </w:r>
      <w:r w:rsidRPr="002A2739" w:rsidR="00462DA2">
        <w:rPr>
          <w:rFonts w:ascii="Arial" w:hAnsi="Arial" w:cs="Arial"/>
          <w:sz w:val="24"/>
          <w:szCs w:val="24"/>
        </w:rPr>
        <w:t xml:space="preserve"> Sheet 474 (eff. Apr. 1, 2021).</w:t>
      </w:r>
      <w:r w:rsidRPr="002F1FF9">
        <w:rPr>
          <w:rFonts w:ascii="Arial" w:hAnsi="Arial" w:cs="Arial"/>
          <w:sz w:val="24"/>
          <w:szCs w:val="24"/>
        </w:rPr>
        <w:t xml:space="preserve"> A customer’s monthly peak demand or demand ratchet has little, if any, relationship to the single zonal annual coincident peak utilized by PJM. </w:t>
      </w:r>
      <w:r w:rsidR="003A472D">
        <w:rPr>
          <w:rFonts w:ascii="Arial" w:hAnsi="Arial" w:cs="Arial"/>
          <w:sz w:val="24"/>
          <w:szCs w:val="24"/>
        </w:rPr>
        <w:t xml:space="preserve">IGS Ex. </w:t>
      </w:r>
      <w:r w:rsidRPr="00AE3C24" w:rsidR="003A472D">
        <w:rPr>
          <w:rFonts w:ascii="Arial" w:hAnsi="Arial" w:cs="Arial"/>
          <w:sz w:val="24"/>
          <w:szCs w:val="24"/>
        </w:rPr>
        <w:t>1</w:t>
      </w:r>
      <w:r w:rsidRPr="002F1FF9">
        <w:rPr>
          <w:rFonts w:ascii="Arial" w:hAnsi="Arial" w:cs="Arial"/>
          <w:sz w:val="24"/>
          <w:szCs w:val="24"/>
        </w:rPr>
        <w:t xml:space="preserve"> at 6. Thus, the collection of transmission costs from a customer through the BTCR does not align with the assessment of charges for transmission service by PJM.  </w:t>
      </w:r>
    </w:p>
    <w:p w:rsidR="00672556" w:rsidP="00672556" w:rsidRDefault="00947E10" w14:paraId="605A3557" w14:textId="18619DBB">
      <w:pPr>
        <w:pStyle w:val="NoSpacing"/>
        <w:spacing w:line="480" w:lineRule="auto"/>
        <w:ind w:firstLine="720"/>
        <w:jc w:val="both"/>
        <w:rPr>
          <w:rFonts w:ascii="Arial" w:hAnsi="Arial" w:cs="Arial"/>
          <w:sz w:val="24"/>
          <w:szCs w:val="24"/>
        </w:rPr>
      </w:pPr>
      <w:r>
        <w:rPr>
          <w:rFonts w:ascii="Arial" w:hAnsi="Arial" w:cs="Arial"/>
          <w:sz w:val="24"/>
          <w:szCs w:val="24"/>
        </w:rPr>
        <w:t xml:space="preserve">The BTCR Pilot moves transmission rates in the correct direction by applying a 1CP billing determinant for billing the demand related costs.  </w:t>
      </w:r>
      <w:r w:rsidRPr="007B6EF6" w:rsidR="000C39B9">
        <w:rPr>
          <w:rFonts w:ascii="Arial" w:hAnsi="Arial" w:cs="Arial"/>
          <w:i/>
          <w:iCs/>
          <w:sz w:val="24"/>
          <w:szCs w:val="24"/>
        </w:rPr>
        <w:t xml:space="preserve">Id. </w:t>
      </w:r>
      <w:r>
        <w:rPr>
          <w:rFonts w:ascii="Arial" w:hAnsi="Arial" w:cs="Arial"/>
          <w:sz w:val="24"/>
          <w:szCs w:val="24"/>
        </w:rPr>
        <w:t xml:space="preserve">While not in perfect alignment with the OATT, </w:t>
      </w:r>
      <w:r w:rsidR="00630171">
        <w:rPr>
          <w:rFonts w:ascii="Arial" w:hAnsi="Arial" w:cs="Arial"/>
          <w:sz w:val="24"/>
          <w:szCs w:val="24"/>
        </w:rPr>
        <w:t>the Pilot’s</w:t>
      </w:r>
      <w:r>
        <w:rPr>
          <w:rFonts w:ascii="Arial" w:hAnsi="Arial" w:cs="Arial"/>
          <w:sz w:val="24"/>
          <w:szCs w:val="24"/>
        </w:rPr>
        <w:t xml:space="preserve"> rates further the policy outcome of aligning the cost recovery to cost causation reflected in the OATT.  </w:t>
      </w:r>
    </w:p>
    <w:p w:rsidRPr="002F1FF9" w:rsidR="00947E10" w:rsidP="00947E10" w:rsidRDefault="00947E10" w14:paraId="30F207C3" w14:textId="6C70A6B0">
      <w:pPr>
        <w:pStyle w:val="NoSpacing"/>
        <w:spacing w:line="480" w:lineRule="auto"/>
        <w:ind w:firstLine="720"/>
        <w:jc w:val="both"/>
        <w:rPr>
          <w:rFonts w:ascii="Arial" w:hAnsi="Arial" w:cs="Arial"/>
          <w:sz w:val="24"/>
          <w:szCs w:val="24"/>
        </w:rPr>
      </w:pPr>
      <w:r>
        <w:rPr>
          <w:rFonts w:ascii="Arial" w:hAnsi="Arial" w:cs="Arial"/>
          <w:sz w:val="24"/>
          <w:szCs w:val="24"/>
        </w:rPr>
        <w:t xml:space="preserve">The continuing problem remains the limitations placed on access to the rates under the Pilot.  Rather than being the default rates, they are limited to a set of “preferred” customers for which the only justification is their willingness to sign off on otherwise </w:t>
      </w:r>
      <w:r w:rsidR="000549B7">
        <w:rPr>
          <w:rFonts w:ascii="Arial" w:hAnsi="Arial" w:cs="Arial"/>
          <w:sz w:val="24"/>
          <w:szCs w:val="24"/>
        </w:rPr>
        <w:lastRenderedPageBreak/>
        <w:t xml:space="preserve">unlawful </w:t>
      </w:r>
      <w:r>
        <w:rPr>
          <w:rFonts w:ascii="Arial" w:hAnsi="Arial" w:cs="Arial"/>
          <w:sz w:val="24"/>
          <w:szCs w:val="24"/>
        </w:rPr>
        <w:t xml:space="preserve">transmission rates for the rest of the Ohio Power customers.  This outcome is not one permitted under federal law.  Accordingly, the restriction on the </w:t>
      </w:r>
      <w:r w:rsidR="000549B7">
        <w:rPr>
          <w:rFonts w:ascii="Arial" w:hAnsi="Arial" w:cs="Arial"/>
          <w:sz w:val="24"/>
          <w:szCs w:val="24"/>
        </w:rPr>
        <w:t>BTCR P</w:t>
      </w:r>
      <w:r>
        <w:rPr>
          <w:rFonts w:ascii="Arial" w:hAnsi="Arial" w:cs="Arial"/>
          <w:sz w:val="24"/>
          <w:szCs w:val="24"/>
        </w:rPr>
        <w:t xml:space="preserve">ilot should be removed.  </w:t>
      </w:r>
    </w:p>
    <w:p w:rsidRPr="00D90103" w:rsidR="002F1FF9" w:rsidP="008614B5" w:rsidRDefault="002D2D4B" w14:paraId="72A12694" w14:textId="29AA6F28">
      <w:pPr>
        <w:pStyle w:val="Heading4"/>
        <w:rPr>
          <w:b/>
        </w:rPr>
      </w:pPr>
      <w:r w:rsidRPr="00D90103">
        <w:rPr>
          <w:b/>
        </w:rPr>
        <w:t xml:space="preserve">b. </w:t>
      </w:r>
      <w:r w:rsidRPr="00D90103" w:rsidR="002F1FF9">
        <w:rPr>
          <w:b/>
        </w:rPr>
        <w:t xml:space="preserve">Failing to align the assessment of transmission charges with PJM is inconsistent with state policy and Commission directives. </w:t>
      </w:r>
    </w:p>
    <w:p w:rsidRPr="002F1FF9" w:rsidR="002F1FF9" w:rsidP="002F1FF9" w:rsidRDefault="001023E5" w14:paraId="2B51E32B" w14:textId="28037FA9">
      <w:pPr>
        <w:pStyle w:val="NoSpacing"/>
        <w:spacing w:line="480" w:lineRule="auto"/>
        <w:ind w:firstLine="720"/>
        <w:jc w:val="both"/>
        <w:rPr>
          <w:rFonts w:ascii="Arial" w:hAnsi="Arial" w:cs="Arial"/>
          <w:sz w:val="24"/>
          <w:szCs w:val="24"/>
        </w:rPr>
      </w:pPr>
      <w:r>
        <w:rPr>
          <w:rFonts w:ascii="Arial" w:hAnsi="Arial" w:cs="Arial"/>
          <w:sz w:val="24"/>
          <w:szCs w:val="24"/>
        </w:rPr>
        <w:t>It</w:t>
      </w:r>
      <w:r w:rsidRPr="002F1FF9" w:rsidR="002F1FF9">
        <w:rPr>
          <w:rFonts w:ascii="Arial" w:hAnsi="Arial" w:cs="Arial"/>
          <w:sz w:val="24"/>
          <w:szCs w:val="24"/>
        </w:rPr>
        <w:t xml:space="preserve"> is the policy of the state to leverage </w:t>
      </w:r>
      <w:r w:rsidR="008614B5">
        <w:rPr>
          <w:rFonts w:ascii="Arial" w:hAnsi="Arial" w:cs="Arial"/>
          <w:sz w:val="24"/>
          <w:szCs w:val="24"/>
        </w:rPr>
        <w:t>“</w:t>
      </w:r>
      <w:r w:rsidRPr="00FB1A4F" w:rsidR="00FB1A4F">
        <w:rPr>
          <w:rFonts w:ascii="Arial" w:hAnsi="Arial" w:cs="Arial"/>
          <w:sz w:val="24"/>
          <w:szCs w:val="24"/>
        </w:rPr>
        <w:t xml:space="preserve">access to and sharing of </w:t>
      </w:r>
      <w:r w:rsidRPr="002F1FF9" w:rsidR="002F1FF9">
        <w:rPr>
          <w:rFonts w:ascii="Arial" w:hAnsi="Arial" w:cs="Arial"/>
          <w:sz w:val="24"/>
          <w:szCs w:val="24"/>
        </w:rPr>
        <w:t xml:space="preserve">customer usage </w:t>
      </w:r>
      <w:r w:rsidRPr="00FB1A4F" w:rsidR="00FB1A4F">
        <w:rPr>
          <w:rFonts w:ascii="Arial" w:hAnsi="Arial" w:cs="Arial"/>
          <w:sz w:val="24"/>
          <w:szCs w:val="24"/>
        </w:rPr>
        <w:t>data</w:t>
      </w:r>
      <w:r w:rsidR="00493A95">
        <w:rPr>
          <w:rFonts w:ascii="Arial" w:hAnsi="Arial" w:cs="Arial"/>
          <w:sz w:val="24"/>
          <w:szCs w:val="24"/>
        </w:rPr>
        <w:t xml:space="preserve"> with customers and </w:t>
      </w:r>
      <w:r w:rsidR="008614B5">
        <w:rPr>
          <w:rFonts w:ascii="Arial" w:hAnsi="Arial" w:cs="Arial"/>
          <w:sz w:val="24"/>
          <w:szCs w:val="24"/>
        </w:rPr>
        <w:t>competitive suppliers”</w:t>
      </w:r>
      <w:r w:rsidRPr="002F1FF9" w:rsidR="002F1FF9">
        <w:rPr>
          <w:rFonts w:ascii="Arial" w:hAnsi="Arial" w:cs="Arial"/>
          <w:sz w:val="24"/>
          <w:szCs w:val="24"/>
        </w:rPr>
        <w:t xml:space="preserve"> to improve the energy options of individual customers. R.C. 4928.02(O), (P). Similarly, the Commission has consistently promoted the use of an individual customer’s actual interval data for settlement purposes in order to align wholesale costs with retail charges. For example, in the 2014 Retail Market COI Order, the Commission adopted Staff’s recommendation for the implementation of individual network service peak load formulas. </w:t>
      </w:r>
      <w:r w:rsidR="00FE3F86">
        <w:rPr>
          <w:rFonts w:ascii="Arial" w:hAnsi="Arial" w:cs="Arial"/>
          <w:sz w:val="24"/>
          <w:szCs w:val="24"/>
        </w:rPr>
        <w:t>IGS Ex. 1</w:t>
      </w:r>
      <w:r w:rsidRPr="002F1FF9" w:rsidR="002F1FF9">
        <w:rPr>
          <w:rFonts w:ascii="Arial" w:hAnsi="Arial" w:cs="Arial"/>
          <w:sz w:val="24"/>
          <w:szCs w:val="24"/>
        </w:rPr>
        <w:t xml:space="preserve"> at 10, </w:t>
      </w:r>
      <w:r w:rsidRPr="002B09BF" w:rsidR="002F1FF9">
        <w:rPr>
          <w:rFonts w:ascii="Arial" w:hAnsi="Arial" w:cs="Arial"/>
          <w:i/>
          <w:sz w:val="24"/>
          <w:szCs w:val="24"/>
        </w:rPr>
        <w:t xml:space="preserve">citing In </w:t>
      </w:r>
      <w:r w:rsidR="00585C06">
        <w:rPr>
          <w:rFonts w:ascii="Arial" w:hAnsi="Arial" w:cs="Arial"/>
          <w:i/>
          <w:iCs/>
          <w:sz w:val="24"/>
          <w:szCs w:val="24"/>
        </w:rPr>
        <w:t>re</w:t>
      </w:r>
      <w:r w:rsidRPr="002B09BF" w:rsidR="002F1FF9">
        <w:rPr>
          <w:rFonts w:ascii="Arial" w:hAnsi="Arial" w:cs="Arial"/>
          <w:i/>
          <w:sz w:val="24"/>
          <w:szCs w:val="24"/>
        </w:rPr>
        <w:t xml:space="preserve"> Commission’s Investigation of Ohio’s Retail Electric Service Market</w:t>
      </w:r>
      <w:r w:rsidRPr="002F1FF9" w:rsidR="002F1FF9">
        <w:rPr>
          <w:rFonts w:ascii="Arial" w:hAnsi="Arial" w:cs="Arial"/>
          <w:sz w:val="24"/>
          <w:szCs w:val="24"/>
        </w:rPr>
        <w:t xml:space="preserve">, Case No. 12-3151-EL-COI, Finding and Order </w:t>
      </w:r>
      <w:r w:rsidR="002B09BF">
        <w:rPr>
          <w:rFonts w:ascii="Arial" w:hAnsi="Arial" w:cs="Arial"/>
          <w:sz w:val="24"/>
          <w:szCs w:val="24"/>
        </w:rPr>
        <w:t xml:space="preserve">at 36 </w:t>
      </w:r>
      <w:r w:rsidRPr="002F1FF9" w:rsidR="002F1FF9">
        <w:rPr>
          <w:rFonts w:ascii="Arial" w:hAnsi="Arial" w:cs="Arial"/>
          <w:sz w:val="24"/>
          <w:szCs w:val="24"/>
        </w:rPr>
        <w:t>(Mar. 26, 2014</w:t>
      </w:r>
      <w:r w:rsidRPr="002B09BF" w:rsidR="002F1FF9">
        <w:rPr>
          <w:rFonts w:ascii="Arial" w:hAnsi="Arial" w:cs="Arial"/>
          <w:sz w:val="24"/>
          <w:szCs w:val="24"/>
        </w:rPr>
        <w:t>).</w:t>
      </w:r>
      <w:r w:rsidRPr="002F1FF9" w:rsidR="002F1FF9">
        <w:rPr>
          <w:rFonts w:ascii="Arial" w:hAnsi="Arial" w:cs="Arial"/>
          <w:sz w:val="24"/>
          <w:szCs w:val="24"/>
        </w:rPr>
        <w:t xml:space="preserve"> Additionally, throughout the Commission’s grid modernization proceedings, the Commission has continued to express its desire to utilize the implementation of grid modernization technologies to remove barriers between the wholesale and retail market. </w:t>
      </w:r>
      <w:r w:rsidR="002B09BF">
        <w:rPr>
          <w:rFonts w:ascii="Arial" w:hAnsi="Arial" w:cs="Arial"/>
          <w:sz w:val="24"/>
          <w:szCs w:val="24"/>
        </w:rPr>
        <w:t>IGS Ex. 1</w:t>
      </w:r>
      <w:r w:rsidRPr="002F1FF9" w:rsidR="002F1FF9">
        <w:rPr>
          <w:rFonts w:ascii="Arial" w:hAnsi="Arial" w:cs="Arial"/>
          <w:sz w:val="24"/>
          <w:szCs w:val="24"/>
        </w:rPr>
        <w:t xml:space="preserve"> at 10, </w:t>
      </w:r>
      <w:r w:rsidRPr="002B09BF" w:rsidR="002F1FF9">
        <w:rPr>
          <w:rFonts w:ascii="Arial" w:hAnsi="Arial" w:cs="Arial"/>
          <w:i/>
          <w:sz w:val="24"/>
          <w:szCs w:val="24"/>
        </w:rPr>
        <w:t>citing</w:t>
      </w:r>
      <w:r w:rsidRPr="002F1FF9" w:rsidR="002F1FF9">
        <w:rPr>
          <w:rFonts w:ascii="Arial" w:hAnsi="Arial" w:cs="Arial"/>
          <w:sz w:val="24"/>
          <w:szCs w:val="24"/>
        </w:rPr>
        <w:t xml:space="preserve"> </w:t>
      </w:r>
      <w:proofErr w:type="spellStart"/>
      <w:r w:rsidRPr="002F1FF9" w:rsidR="002F1FF9">
        <w:rPr>
          <w:rFonts w:ascii="Arial" w:hAnsi="Arial" w:cs="Arial"/>
          <w:sz w:val="24"/>
          <w:szCs w:val="24"/>
        </w:rPr>
        <w:t>PowerForward</w:t>
      </w:r>
      <w:proofErr w:type="spellEnd"/>
      <w:r w:rsidRPr="002F1FF9" w:rsidR="002F1FF9">
        <w:rPr>
          <w:rFonts w:ascii="Arial" w:hAnsi="Arial" w:cs="Arial"/>
          <w:sz w:val="24"/>
          <w:szCs w:val="24"/>
        </w:rPr>
        <w:t xml:space="preserve"> Roadmap at 31.</w:t>
      </w:r>
    </w:p>
    <w:p w:rsidRPr="002F1FF9" w:rsidR="002F1FF9" w:rsidP="002F1FF9" w:rsidRDefault="002F1FF9" w14:paraId="7F84B592" w14:textId="4846A311">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Most recently, in 2020, the Commission again emphasized this policy: “It continues to be important that EDUs focus on providing consumers and CRES providers with direct and comparable access to meter data and enabling billing mechanisms that properly reflect cost-causation for things like generation capacity and network integration transmission service.” </w:t>
      </w:r>
      <w:r w:rsidRPr="002B09BF">
        <w:rPr>
          <w:rFonts w:ascii="Arial" w:hAnsi="Arial" w:cs="Arial"/>
          <w:i/>
          <w:sz w:val="24"/>
          <w:szCs w:val="24"/>
        </w:rPr>
        <w:t xml:space="preserve">In </w:t>
      </w:r>
      <w:r w:rsidR="00585C06">
        <w:rPr>
          <w:rFonts w:ascii="Arial" w:hAnsi="Arial" w:cs="Arial"/>
          <w:i/>
          <w:iCs/>
          <w:sz w:val="24"/>
          <w:szCs w:val="24"/>
        </w:rPr>
        <w:t>re</w:t>
      </w:r>
      <w:r w:rsidRPr="002B09BF">
        <w:rPr>
          <w:rFonts w:ascii="Arial" w:hAnsi="Arial" w:cs="Arial"/>
          <w:i/>
          <w:sz w:val="24"/>
          <w:szCs w:val="24"/>
        </w:rPr>
        <w:t xml:space="preserve"> Application of Duke Energy Ohio, Inc., for Approval of its 2021 Energy Efficiency and Demand Side Management Portfolio Programs and Cost Recovery Mechanism</w:t>
      </w:r>
      <w:r w:rsidRPr="002F1FF9">
        <w:rPr>
          <w:rFonts w:ascii="Arial" w:hAnsi="Arial" w:cs="Arial"/>
          <w:sz w:val="24"/>
          <w:szCs w:val="24"/>
        </w:rPr>
        <w:t xml:space="preserve">, Case Nos. 20-1013-EL-POR, et al., Entry </w:t>
      </w:r>
      <w:r w:rsidRPr="002A2739" w:rsidR="002B09BF">
        <w:rPr>
          <w:rFonts w:ascii="Arial" w:hAnsi="Arial" w:cs="Arial"/>
          <w:sz w:val="24"/>
          <w:szCs w:val="24"/>
        </w:rPr>
        <w:t>at ¶ 9</w:t>
      </w:r>
      <w:r w:rsidR="002B09BF">
        <w:rPr>
          <w:rFonts w:ascii="Arial" w:hAnsi="Arial" w:cs="Arial"/>
          <w:sz w:val="24"/>
          <w:szCs w:val="24"/>
        </w:rPr>
        <w:t xml:space="preserve"> </w:t>
      </w:r>
      <w:r w:rsidRPr="002F1FF9">
        <w:rPr>
          <w:rFonts w:ascii="Arial" w:hAnsi="Arial" w:cs="Arial"/>
          <w:sz w:val="24"/>
          <w:szCs w:val="24"/>
        </w:rPr>
        <w:t>(June 17, 2020</w:t>
      </w:r>
      <w:r w:rsidRPr="002B09BF">
        <w:rPr>
          <w:rFonts w:ascii="Arial" w:hAnsi="Arial" w:cs="Arial"/>
          <w:sz w:val="24"/>
          <w:szCs w:val="24"/>
        </w:rPr>
        <w:t>)</w:t>
      </w:r>
      <w:r w:rsidR="002B09BF">
        <w:rPr>
          <w:rFonts w:ascii="Arial" w:hAnsi="Arial" w:cs="Arial"/>
          <w:sz w:val="24"/>
          <w:szCs w:val="24"/>
        </w:rPr>
        <w:t>.</w:t>
      </w:r>
      <w:r w:rsidRPr="002B09BF">
        <w:rPr>
          <w:rFonts w:ascii="Arial" w:hAnsi="Arial" w:cs="Arial"/>
          <w:sz w:val="24"/>
          <w:szCs w:val="24"/>
        </w:rPr>
        <w:t xml:space="preserve"> </w:t>
      </w:r>
    </w:p>
    <w:p w:rsidRPr="002F1FF9" w:rsidR="002F1FF9" w:rsidP="002F1FF9" w:rsidRDefault="002F1FF9" w14:paraId="213690C9" w14:textId="27ECCDF4">
      <w:pPr>
        <w:pStyle w:val="NoSpacing"/>
        <w:spacing w:line="480" w:lineRule="auto"/>
        <w:ind w:firstLine="720"/>
        <w:jc w:val="both"/>
        <w:rPr>
          <w:rFonts w:ascii="Arial" w:hAnsi="Arial" w:cs="Arial"/>
          <w:sz w:val="24"/>
          <w:szCs w:val="24"/>
        </w:rPr>
      </w:pPr>
      <w:r w:rsidRPr="0079492D">
        <w:rPr>
          <w:rFonts w:ascii="Arial" w:hAnsi="Arial" w:cs="Arial"/>
          <w:sz w:val="24"/>
          <w:szCs w:val="24"/>
        </w:rPr>
        <w:lastRenderedPageBreak/>
        <w:t>Therefore, Ohio Power should begin to utilize the data access investments</w:t>
      </w:r>
      <w:r>
        <w:rPr>
          <w:rFonts w:ascii="Arial" w:hAnsi="Arial" w:cs="Arial"/>
          <w:sz w:val="24"/>
          <w:szCs w:val="24"/>
        </w:rPr>
        <w:t xml:space="preserve"> </w:t>
      </w:r>
      <w:r w:rsidR="0087645B">
        <w:rPr>
          <w:rFonts w:ascii="Arial" w:hAnsi="Arial" w:cs="Arial"/>
          <w:sz w:val="24"/>
          <w:szCs w:val="24"/>
        </w:rPr>
        <w:t>it has made</w:t>
      </w:r>
      <w:r w:rsidRPr="0079492D">
        <w:rPr>
          <w:rFonts w:ascii="Arial" w:hAnsi="Arial" w:cs="Arial"/>
          <w:sz w:val="24"/>
          <w:szCs w:val="24"/>
        </w:rPr>
        <w:t xml:space="preserve"> to effectuate the Commission’s stated desires. For SDIs that are interval metered,</w:t>
      </w:r>
      <w:r w:rsidRPr="0079492D" w:rsidR="00A354A6">
        <w:rPr>
          <w:rFonts w:ascii="Arial" w:hAnsi="Arial" w:cs="Arial"/>
          <w:sz w:val="24"/>
          <w:szCs w:val="24"/>
        </w:rPr>
        <w:t xml:space="preserve"> </w:t>
      </w:r>
      <w:r w:rsidR="0045049C">
        <w:rPr>
          <w:rFonts w:ascii="Arial" w:hAnsi="Arial" w:cs="Arial"/>
          <w:sz w:val="24"/>
          <w:szCs w:val="24"/>
        </w:rPr>
        <w:t>Ohio Power can calculate</w:t>
      </w:r>
      <w:r>
        <w:rPr>
          <w:rFonts w:ascii="Arial" w:hAnsi="Arial" w:cs="Arial"/>
          <w:sz w:val="24"/>
          <w:szCs w:val="24"/>
        </w:rPr>
        <w:t xml:space="preserve"> </w:t>
      </w:r>
      <w:r w:rsidRPr="0079492D">
        <w:rPr>
          <w:rFonts w:ascii="Arial" w:hAnsi="Arial" w:cs="Arial"/>
          <w:sz w:val="24"/>
          <w:szCs w:val="24"/>
        </w:rPr>
        <w:t>the</w:t>
      </w:r>
      <w:r>
        <w:rPr>
          <w:rFonts w:ascii="Arial" w:hAnsi="Arial" w:cs="Arial"/>
          <w:sz w:val="24"/>
          <w:szCs w:val="24"/>
        </w:rPr>
        <w:t xml:space="preserve"> </w:t>
      </w:r>
      <w:r w:rsidR="0045049C">
        <w:rPr>
          <w:rFonts w:ascii="Arial" w:hAnsi="Arial" w:cs="Arial"/>
          <w:sz w:val="24"/>
          <w:szCs w:val="24"/>
        </w:rPr>
        <w:t>customer’s</w:t>
      </w:r>
      <w:r w:rsidRPr="0079492D">
        <w:rPr>
          <w:rFonts w:ascii="Arial" w:hAnsi="Arial" w:cs="Arial"/>
          <w:sz w:val="24"/>
          <w:szCs w:val="24"/>
        </w:rPr>
        <w:t xml:space="preserve"> actual hourly usage at the single zonal peak </w:t>
      </w:r>
      <w:r w:rsidR="0045049C">
        <w:rPr>
          <w:rFonts w:ascii="Arial" w:hAnsi="Arial" w:cs="Arial"/>
          <w:sz w:val="24"/>
          <w:szCs w:val="24"/>
        </w:rPr>
        <w:t>to establish a</w:t>
      </w:r>
      <w:r w:rsidRPr="0079492D">
        <w:rPr>
          <w:rFonts w:ascii="Arial" w:hAnsi="Arial" w:cs="Arial"/>
          <w:sz w:val="24"/>
          <w:szCs w:val="24"/>
        </w:rPr>
        <w:t xml:space="preserve"> NSPL tag. </w:t>
      </w:r>
      <w:r w:rsidRPr="0079492D" w:rsidR="0094118C">
        <w:rPr>
          <w:rFonts w:ascii="Arial" w:hAnsi="Arial" w:cs="Arial"/>
          <w:sz w:val="24"/>
          <w:szCs w:val="24"/>
        </w:rPr>
        <w:t>IGS Ex. 1</w:t>
      </w:r>
      <w:r w:rsidRPr="0079492D">
        <w:rPr>
          <w:rFonts w:ascii="Arial" w:hAnsi="Arial" w:cs="Arial"/>
          <w:sz w:val="24"/>
          <w:szCs w:val="24"/>
        </w:rPr>
        <w:t xml:space="preserve"> at 10</w:t>
      </w:r>
      <w:r w:rsidRPr="0079492D" w:rsidR="00D84B85">
        <w:rPr>
          <w:rFonts w:ascii="Arial" w:hAnsi="Arial" w:cs="Arial"/>
          <w:sz w:val="24"/>
          <w:szCs w:val="24"/>
        </w:rPr>
        <w:t xml:space="preserve">, </w:t>
      </w:r>
      <w:r w:rsidRPr="0079492D" w:rsidR="0079492D">
        <w:rPr>
          <w:rFonts w:ascii="Arial" w:hAnsi="Arial" w:cs="Arial"/>
          <w:sz w:val="24"/>
          <w:szCs w:val="24"/>
        </w:rPr>
        <w:t>Tr. at 140</w:t>
      </w:r>
      <w:r w:rsidRPr="0079492D" w:rsidR="00D84B85">
        <w:rPr>
          <w:rFonts w:ascii="Arial" w:hAnsi="Arial" w:cs="Arial"/>
          <w:sz w:val="24"/>
          <w:szCs w:val="24"/>
        </w:rPr>
        <w:t>.</w:t>
      </w:r>
      <w:r w:rsidRPr="0079492D">
        <w:rPr>
          <w:rFonts w:ascii="Arial" w:hAnsi="Arial" w:cs="Arial"/>
          <w:sz w:val="24"/>
          <w:szCs w:val="24"/>
        </w:rPr>
        <w:t xml:space="preserve"> For non-interval metered customers, their NSPL component is calculated using load profile customer class load shapes. </w:t>
      </w:r>
      <w:r w:rsidRPr="0079492D" w:rsidR="0079492D">
        <w:rPr>
          <w:rFonts w:ascii="Arial" w:hAnsi="Arial" w:cs="Arial"/>
          <w:sz w:val="24"/>
          <w:szCs w:val="24"/>
        </w:rPr>
        <w:t>IGS Ex. 1 at 10.</w:t>
      </w:r>
      <w:r w:rsidRPr="0079492D">
        <w:rPr>
          <w:rFonts w:ascii="Arial" w:hAnsi="Arial" w:cs="Arial"/>
          <w:sz w:val="24"/>
          <w:szCs w:val="24"/>
        </w:rPr>
        <w:t xml:space="preserve"> This would bring better transparency and better transmission rate design by aligning costs with how they are incurred from PJM. </w:t>
      </w:r>
      <w:r w:rsidRPr="0079492D" w:rsidR="0079492D">
        <w:rPr>
          <w:rFonts w:ascii="Arial" w:hAnsi="Arial" w:cs="Arial"/>
          <w:i/>
          <w:iCs/>
          <w:sz w:val="24"/>
          <w:szCs w:val="24"/>
        </w:rPr>
        <w:t>Id.</w:t>
      </w:r>
      <w:r w:rsidRPr="0079492D">
        <w:rPr>
          <w:rFonts w:ascii="Arial" w:hAnsi="Arial" w:cs="Arial"/>
          <w:sz w:val="24"/>
          <w:szCs w:val="24"/>
        </w:rPr>
        <w:t xml:space="preserve"> </w:t>
      </w:r>
      <w:r w:rsidRPr="0079492D" w:rsidR="0020444D">
        <w:rPr>
          <w:rFonts w:ascii="Arial" w:hAnsi="Arial" w:cs="Arial"/>
          <w:sz w:val="24"/>
          <w:szCs w:val="24"/>
        </w:rPr>
        <w:t xml:space="preserve">Thus, the Commission should expand the availability of the BTCR Pilot rates for those all customers, whether they are a member of a preferred group or not.  </w:t>
      </w:r>
      <w:r w:rsidRPr="00DE50D2" w:rsidR="0020444D">
        <w:rPr>
          <w:rFonts w:ascii="Arial" w:hAnsi="Arial" w:cs="Arial"/>
          <w:i/>
          <w:sz w:val="24"/>
          <w:szCs w:val="24"/>
        </w:rPr>
        <w:t>Id.</w:t>
      </w:r>
      <w:r w:rsidRPr="0079492D" w:rsidR="0020444D">
        <w:rPr>
          <w:rFonts w:ascii="Arial" w:hAnsi="Arial" w:cs="Arial"/>
          <w:sz w:val="24"/>
          <w:szCs w:val="24"/>
        </w:rPr>
        <w:t xml:space="preserve"> at 9.</w:t>
      </w:r>
    </w:p>
    <w:p w:rsidRPr="00104BBF" w:rsidR="002F1FF9" w:rsidP="0067508B" w:rsidRDefault="00FB5B3D" w14:paraId="455D347A" w14:textId="42A5D192">
      <w:pPr>
        <w:pStyle w:val="Heading4"/>
        <w:rPr>
          <w:b/>
        </w:rPr>
      </w:pPr>
      <w:r w:rsidRPr="00104BBF">
        <w:rPr>
          <w:b/>
        </w:rPr>
        <w:t xml:space="preserve">3. </w:t>
      </w:r>
      <w:r w:rsidRPr="00104BBF" w:rsidR="0067508B">
        <w:rPr>
          <w:b/>
        </w:rPr>
        <w:t xml:space="preserve">It is unreasonably discriminatory to restrict participation in the </w:t>
      </w:r>
      <w:r w:rsidRPr="00104BBF" w:rsidR="00123D0F">
        <w:rPr>
          <w:b/>
        </w:rPr>
        <w:t xml:space="preserve">BTCR Pilot </w:t>
      </w:r>
      <w:r w:rsidRPr="00104BBF" w:rsidR="0067508B">
        <w:rPr>
          <w:b/>
        </w:rPr>
        <w:t>Program</w:t>
      </w:r>
      <w:r w:rsidRPr="00104BBF" w:rsidR="00123D0F">
        <w:rPr>
          <w:b/>
        </w:rPr>
        <w:t xml:space="preserve"> and transmission </w:t>
      </w:r>
      <w:r w:rsidRPr="00104BBF" w:rsidR="0067508B">
        <w:rPr>
          <w:b/>
          <w:bCs/>
        </w:rPr>
        <w:t>collaborative</w:t>
      </w:r>
      <w:r w:rsidRPr="00104BBF" w:rsidR="00123D0F">
        <w:rPr>
          <w:b/>
        </w:rPr>
        <w:t xml:space="preserve"> to only </w:t>
      </w:r>
      <w:r w:rsidRPr="00104BBF" w:rsidR="0067508B">
        <w:rPr>
          <w:b/>
        </w:rPr>
        <w:t>signatory parties.</w:t>
      </w:r>
      <w:r w:rsidRPr="00104BBF" w:rsidR="00123D0F">
        <w:rPr>
          <w:b/>
        </w:rPr>
        <w:t xml:space="preserve"> </w:t>
      </w:r>
    </w:p>
    <w:p w:rsidRPr="002F1FF9" w:rsidR="002F1FF9" w:rsidP="002F1FF9" w:rsidRDefault="002F1FF9" w14:paraId="23B314C6" w14:textId="383B7257">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As proposed in the Stipulation, the BTCR Pilot Program would be expanded by increasing the number of eligible customers and MW participation cap. Jt. Ex. 1 at 17.  However, these increases are only available to three stakeholders in exchange for their signatures on the Stipulation.  </w:t>
      </w:r>
      <w:r w:rsidRPr="00E52888" w:rsidR="0067508B">
        <w:rPr>
          <w:rFonts w:ascii="Arial" w:hAnsi="Arial" w:cs="Arial"/>
          <w:i/>
          <w:iCs/>
          <w:sz w:val="24"/>
          <w:szCs w:val="24"/>
        </w:rPr>
        <w:t>Id.</w:t>
      </w:r>
      <w:r w:rsidRPr="002F1FF9">
        <w:rPr>
          <w:rFonts w:ascii="Arial" w:hAnsi="Arial" w:cs="Arial"/>
          <w:sz w:val="24"/>
          <w:szCs w:val="24"/>
        </w:rPr>
        <w:t xml:space="preserve">  Additionally, Ohio Power agrees “to explore potential future expansion of the BTCR and other potential retail and wholesale demand response programs for transmission customers,” but only with certain stakeholders that signed onto the Stipulation.  </w:t>
      </w:r>
      <w:r w:rsidRPr="00E52888" w:rsidR="0067508B">
        <w:rPr>
          <w:rFonts w:ascii="Arial" w:hAnsi="Arial" w:cs="Arial"/>
          <w:i/>
          <w:iCs/>
          <w:sz w:val="24"/>
          <w:szCs w:val="24"/>
        </w:rPr>
        <w:t>Id.</w:t>
      </w:r>
      <w:r w:rsidRPr="00E52888">
        <w:rPr>
          <w:rFonts w:ascii="Arial" w:hAnsi="Arial" w:cs="Arial"/>
          <w:i/>
          <w:sz w:val="24"/>
          <w:szCs w:val="24"/>
        </w:rPr>
        <w:t xml:space="preserve"> </w:t>
      </w:r>
      <w:r w:rsidRPr="002F1FF9">
        <w:rPr>
          <w:rFonts w:ascii="Arial" w:hAnsi="Arial" w:cs="Arial"/>
          <w:sz w:val="24"/>
          <w:szCs w:val="24"/>
        </w:rPr>
        <w:t>at 18.</w:t>
      </w:r>
    </w:p>
    <w:p w:rsidRPr="002F1FF9" w:rsidR="002F1FF9" w:rsidP="002F1FF9" w:rsidRDefault="002F1FF9" w14:paraId="2830AB59" w14:textId="77777777">
      <w:pPr>
        <w:pStyle w:val="NoSpacing"/>
        <w:spacing w:line="480" w:lineRule="auto"/>
        <w:ind w:firstLine="720"/>
        <w:jc w:val="both"/>
        <w:rPr>
          <w:rFonts w:ascii="Arial" w:hAnsi="Arial" w:cs="Arial"/>
          <w:sz w:val="24"/>
          <w:szCs w:val="24"/>
        </w:rPr>
      </w:pPr>
      <w:r w:rsidRPr="002F1FF9">
        <w:rPr>
          <w:rFonts w:ascii="Arial" w:hAnsi="Arial" w:cs="Arial"/>
          <w:sz w:val="24"/>
          <w:szCs w:val="24"/>
        </w:rPr>
        <w:t xml:space="preserve">These provisions in the Stipulation are unduly limiting, discriminatory, and unjust because it excludes all other interested stakeholders or customers simply because they did not sign the Stipulation. All eligible customers do not have an equal opportunity to participate in the pilot and/or the explore future transmission programs, which is contrary </w:t>
      </w:r>
      <w:r w:rsidRPr="002F1FF9">
        <w:rPr>
          <w:rFonts w:ascii="Arial" w:hAnsi="Arial" w:cs="Arial"/>
          <w:sz w:val="24"/>
          <w:szCs w:val="24"/>
        </w:rPr>
        <w:lastRenderedPageBreak/>
        <w:t>to state policy to "[e]</w:t>
      </w:r>
      <w:proofErr w:type="spellStart"/>
      <w:r w:rsidRPr="002F1FF9">
        <w:rPr>
          <w:rFonts w:ascii="Arial" w:hAnsi="Arial" w:cs="Arial"/>
          <w:sz w:val="24"/>
          <w:szCs w:val="24"/>
        </w:rPr>
        <w:t>nsure</w:t>
      </w:r>
      <w:proofErr w:type="spellEnd"/>
      <w:r w:rsidRPr="002F1FF9">
        <w:rPr>
          <w:rFonts w:ascii="Arial" w:hAnsi="Arial" w:cs="Arial"/>
          <w:sz w:val="24"/>
          <w:szCs w:val="24"/>
        </w:rPr>
        <w:t xml:space="preserve"> the availability to consumers of * * * nondiscriminatory, and reasonably priced retail electric services." R.C. 4928(A). </w:t>
      </w:r>
    </w:p>
    <w:p w:rsidRPr="002B313C" w:rsidR="009D1FE6" w:rsidP="00E52888" w:rsidRDefault="002F1FF9" w14:paraId="3B8F0071" w14:textId="1FA3E9F6">
      <w:pPr>
        <w:pStyle w:val="NoSpacing"/>
        <w:spacing w:line="480" w:lineRule="auto"/>
        <w:ind w:firstLine="720"/>
        <w:jc w:val="both"/>
        <w:rPr>
          <w:rFonts w:ascii="Arial" w:hAnsi="Arial" w:cs="Arial"/>
          <w:sz w:val="24"/>
          <w:szCs w:val="24"/>
        </w:rPr>
      </w:pPr>
      <w:r w:rsidRPr="00E52888">
        <w:rPr>
          <w:rFonts w:ascii="Arial" w:hAnsi="Arial" w:cs="Arial"/>
          <w:sz w:val="24"/>
          <w:szCs w:val="24"/>
        </w:rPr>
        <w:t xml:space="preserve">Further, the BTCR provisions in the Stipulation are distinguishable </w:t>
      </w:r>
      <w:r w:rsidRPr="00CD19C2">
        <w:rPr>
          <w:rFonts w:ascii="Arial" w:hAnsi="Arial" w:cs="Arial"/>
          <w:sz w:val="24"/>
          <w:szCs w:val="24"/>
        </w:rPr>
        <w:t>from other situations wherein an opportunity was available to the certain number of parties. In these cases, the Ohio Supreme Court has held that all customers have had an equal opportunity to take advantage of the special offering and, as such, there is no undue discrimination or preference</w:t>
      </w:r>
      <w:r w:rsidRPr="00DE50D2">
        <w:rPr>
          <w:rFonts w:ascii="Arial" w:hAnsi="Arial" w:cs="Arial"/>
          <w:i/>
          <w:sz w:val="24"/>
          <w:szCs w:val="24"/>
        </w:rPr>
        <w:t>.  AK Steel Corp. v. Pub. Util. Comm.</w:t>
      </w:r>
      <w:r w:rsidRPr="00A83237">
        <w:rPr>
          <w:rFonts w:ascii="Arial" w:hAnsi="Arial" w:cs="Arial"/>
          <w:sz w:val="24"/>
          <w:szCs w:val="24"/>
        </w:rPr>
        <w:t xml:space="preserve">, 95 Ohio St.3d 81, 87, 765 N.E.2d 862 (2002); </w:t>
      </w:r>
      <w:r w:rsidRPr="00DE50D2">
        <w:rPr>
          <w:rFonts w:ascii="Arial" w:hAnsi="Arial" w:cs="Arial"/>
          <w:i/>
          <w:sz w:val="24"/>
          <w:szCs w:val="24"/>
        </w:rPr>
        <w:t>Ohio Consumers' Counsel v. Pub. Util. Comm.,</w:t>
      </w:r>
      <w:r w:rsidRPr="00A83237">
        <w:rPr>
          <w:rFonts w:ascii="Arial" w:hAnsi="Arial" w:cs="Arial"/>
          <w:sz w:val="24"/>
          <w:szCs w:val="24"/>
        </w:rPr>
        <w:t xml:space="preserve"> 111 Ohio St.3d 300,</w:t>
      </w:r>
      <w:r>
        <w:rPr>
          <w:rFonts w:ascii="Arial" w:hAnsi="Arial" w:cs="Arial"/>
          <w:sz w:val="24"/>
          <w:szCs w:val="24"/>
        </w:rPr>
        <w:t xml:space="preserve"> </w:t>
      </w:r>
      <w:r w:rsidR="002869D2">
        <w:rPr>
          <w:rFonts w:ascii="Arial" w:hAnsi="Arial" w:cs="Arial"/>
          <w:sz w:val="24"/>
          <w:szCs w:val="24"/>
        </w:rPr>
        <w:t>314</w:t>
      </w:r>
      <w:r w:rsidRPr="00A83237">
        <w:rPr>
          <w:rFonts w:ascii="Arial" w:hAnsi="Arial" w:cs="Arial"/>
          <w:sz w:val="24"/>
          <w:szCs w:val="24"/>
        </w:rPr>
        <w:t xml:space="preserve"> 2006-Ohio-5789 (2006). </w:t>
      </w:r>
      <w:r w:rsidRPr="00CD19C2">
        <w:rPr>
          <w:rFonts w:ascii="Arial" w:hAnsi="Arial" w:cs="Arial"/>
          <w:sz w:val="24"/>
          <w:szCs w:val="24"/>
        </w:rPr>
        <w:t>In this case, however, customers that are not members of the three stakeholder groups have not had an equal opportunity to take advantage of the BTCR Pilot Program.</w:t>
      </w:r>
      <w:r w:rsidR="00D63222">
        <w:rPr>
          <w:rFonts w:ascii="Arial" w:hAnsi="Arial" w:cs="Arial"/>
          <w:sz w:val="24"/>
          <w:szCs w:val="24"/>
        </w:rPr>
        <w:t xml:space="preserve"> </w:t>
      </w:r>
      <w:r w:rsidRPr="002F1FF9" w:rsidR="00D63222">
        <w:rPr>
          <w:rFonts w:ascii="Arial" w:hAnsi="Arial" w:cs="Arial"/>
          <w:sz w:val="24"/>
          <w:szCs w:val="24"/>
        </w:rPr>
        <w:t xml:space="preserve">Thus, </w:t>
      </w:r>
      <w:r w:rsidR="00D63222">
        <w:rPr>
          <w:rFonts w:ascii="Arial" w:hAnsi="Arial" w:cs="Arial"/>
          <w:sz w:val="24"/>
          <w:szCs w:val="24"/>
        </w:rPr>
        <w:t>the Commission should expand the availability of the BTCR Pilot</w:t>
      </w:r>
      <w:r w:rsidRPr="002F1FF9" w:rsidR="00D63222">
        <w:rPr>
          <w:rFonts w:ascii="Arial" w:hAnsi="Arial" w:cs="Arial"/>
          <w:sz w:val="24"/>
          <w:szCs w:val="24"/>
        </w:rPr>
        <w:t xml:space="preserve"> </w:t>
      </w:r>
      <w:r w:rsidR="00D63222">
        <w:rPr>
          <w:rFonts w:ascii="Arial" w:hAnsi="Arial" w:cs="Arial"/>
          <w:sz w:val="24"/>
          <w:szCs w:val="24"/>
        </w:rPr>
        <w:t xml:space="preserve">rates </w:t>
      </w:r>
      <w:r w:rsidR="002B313C">
        <w:rPr>
          <w:rFonts w:ascii="Arial" w:hAnsi="Arial" w:cs="Arial"/>
          <w:sz w:val="24"/>
          <w:szCs w:val="24"/>
        </w:rPr>
        <w:t xml:space="preserve">and </w:t>
      </w:r>
      <w:r w:rsidR="00160375">
        <w:rPr>
          <w:rFonts w:ascii="Arial" w:hAnsi="Arial" w:cs="Arial"/>
          <w:sz w:val="24"/>
          <w:szCs w:val="24"/>
        </w:rPr>
        <w:t xml:space="preserve">participation </w:t>
      </w:r>
      <w:r w:rsidR="002B313C">
        <w:rPr>
          <w:rFonts w:ascii="Arial" w:hAnsi="Arial" w:cs="Arial"/>
          <w:sz w:val="24"/>
          <w:szCs w:val="24"/>
        </w:rPr>
        <w:t xml:space="preserve">in the transmission collaborative to </w:t>
      </w:r>
      <w:r w:rsidR="00D63222">
        <w:rPr>
          <w:rFonts w:ascii="Arial" w:hAnsi="Arial" w:cs="Arial"/>
          <w:sz w:val="24"/>
          <w:szCs w:val="24"/>
        </w:rPr>
        <w:t>all customers, whether they are a member of a preferred group or not</w:t>
      </w:r>
      <w:r w:rsidRPr="002F1FF9" w:rsidR="00D63222">
        <w:rPr>
          <w:rFonts w:ascii="Arial" w:hAnsi="Arial" w:cs="Arial"/>
          <w:sz w:val="24"/>
          <w:szCs w:val="24"/>
        </w:rPr>
        <w:t xml:space="preserve">.  </w:t>
      </w:r>
      <w:r w:rsidRPr="00DE50D2" w:rsidR="00D63222">
        <w:rPr>
          <w:rFonts w:ascii="Arial" w:hAnsi="Arial" w:cs="Arial"/>
          <w:sz w:val="24"/>
          <w:szCs w:val="24"/>
        </w:rPr>
        <w:t>I</w:t>
      </w:r>
      <w:r w:rsidRPr="00DE50D2" w:rsidR="002B313C">
        <w:rPr>
          <w:rFonts w:ascii="Arial" w:hAnsi="Arial" w:cs="Arial"/>
          <w:sz w:val="24"/>
          <w:szCs w:val="24"/>
        </w:rPr>
        <w:t>GS Ex. 1</w:t>
      </w:r>
      <w:r w:rsidRPr="002B313C" w:rsidR="00D63222">
        <w:rPr>
          <w:rFonts w:ascii="Arial" w:hAnsi="Arial" w:cs="Arial"/>
          <w:sz w:val="24"/>
          <w:szCs w:val="24"/>
        </w:rPr>
        <w:t xml:space="preserve"> at 9.</w:t>
      </w:r>
    </w:p>
    <w:p w:rsidR="001A348E" w:rsidP="00596B84" w:rsidRDefault="00957549" w14:paraId="0BDFF67A" w14:textId="2F9CAE49">
      <w:pPr>
        <w:pStyle w:val="Heading1"/>
        <w:numPr>
          <w:ilvl w:val="0"/>
          <w:numId w:val="1"/>
        </w:numPr>
        <w:spacing w:before="0" w:after="240"/>
      </w:pPr>
      <w:bookmarkStart w:name="_Toc73104534" w:id="40"/>
      <w:bookmarkStart w:name="_Toc74573099" w:id="41"/>
      <w:r w:rsidRPr="00A028D6">
        <w:rPr>
          <w:shd w:val="clear" w:color="auto" w:fill="FFFFFF"/>
        </w:rPr>
        <w:t>CONCLUSION</w:t>
      </w:r>
      <w:bookmarkEnd w:id="40"/>
      <w:bookmarkEnd w:id="41"/>
    </w:p>
    <w:p w:rsidRPr="00232928" w:rsidR="001A348E" w:rsidP="00A15B8F" w:rsidRDefault="00232928" w14:paraId="44587674" w14:textId="22EF11A7">
      <w:pPr>
        <w:spacing w:line="480" w:lineRule="auto"/>
        <w:ind w:firstLine="720"/>
        <w:jc w:val="both"/>
        <w:rPr>
          <w:rFonts w:ascii="Arial" w:hAnsi="Arial" w:cs="Arial"/>
          <w:sz w:val="24"/>
          <w:szCs w:val="24"/>
        </w:rPr>
      </w:pPr>
      <w:r w:rsidRPr="00232928">
        <w:rPr>
          <w:rFonts w:ascii="Arial" w:hAnsi="Arial" w:cs="Arial"/>
          <w:sz w:val="24"/>
          <w:szCs w:val="24"/>
        </w:rPr>
        <w:t>For the reasons stated herein, IGS urges the Commission to reject the Stipulation in its entirety, or at a minimum, modify it substantially to address the errors identified  herein. Specifically, the Commission</w:t>
      </w:r>
      <w:r w:rsidR="009938C4">
        <w:rPr>
          <w:rFonts w:ascii="Arial" w:hAnsi="Arial" w:cs="Arial"/>
          <w:sz w:val="24"/>
          <w:szCs w:val="24"/>
        </w:rPr>
        <w:t xml:space="preserve"> should</w:t>
      </w:r>
      <w:r w:rsidRPr="00232928">
        <w:rPr>
          <w:rFonts w:ascii="Arial" w:hAnsi="Arial" w:cs="Arial"/>
          <w:sz w:val="24"/>
          <w:szCs w:val="24"/>
        </w:rPr>
        <w:t xml:space="preserve"> reject all proposals to subsidize the SSO</w:t>
      </w:r>
      <w:r w:rsidR="008615ED">
        <w:rPr>
          <w:rFonts w:ascii="Arial" w:hAnsi="Arial" w:cs="Arial"/>
          <w:sz w:val="24"/>
          <w:szCs w:val="24"/>
        </w:rPr>
        <w:t xml:space="preserve"> and apply discriminatory, unsubstantiated fees on CRES providers. </w:t>
      </w:r>
      <w:r w:rsidR="00A50B35">
        <w:rPr>
          <w:rFonts w:ascii="Arial" w:hAnsi="Arial" w:cs="Arial"/>
          <w:sz w:val="24"/>
          <w:szCs w:val="24"/>
        </w:rPr>
        <w:t>In addition,</w:t>
      </w:r>
      <w:r w:rsidR="009D77AA">
        <w:rPr>
          <w:rFonts w:ascii="Arial" w:hAnsi="Arial" w:cs="Arial"/>
          <w:sz w:val="24"/>
          <w:szCs w:val="24"/>
        </w:rPr>
        <w:t xml:space="preserve"> the Commission should direct Ohio Power to properly account for all expenses regarding </w:t>
      </w:r>
      <w:r w:rsidR="009938C4">
        <w:rPr>
          <w:rFonts w:ascii="Arial" w:hAnsi="Arial" w:cs="Arial"/>
          <w:sz w:val="24"/>
          <w:szCs w:val="24"/>
        </w:rPr>
        <w:t>generation projects</w:t>
      </w:r>
      <w:r w:rsidR="00A50B35">
        <w:rPr>
          <w:rFonts w:ascii="Arial" w:hAnsi="Arial" w:cs="Arial"/>
          <w:sz w:val="24"/>
          <w:szCs w:val="24"/>
        </w:rPr>
        <w:t xml:space="preserve"> to ensure distribution customers are not subsidizing generation</w:t>
      </w:r>
      <w:r w:rsidR="00415B51">
        <w:rPr>
          <w:rFonts w:ascii="Arial" w:hAnsi="Arial" w:cs="Arial"/>
          <w:sz w:val="24"/>
          <w:szCs w:val="24"/>
        </w:rPr>
        <w:t xml:space="preserve"> services</w:t>
      </w:r>
      <w:r w:rsidR="009938C4">
        <w:rPr>
          <w:rFonts w:ascii="Arial" w:hAnsi="Arial" w:cs="Arial"/>
          <w:sz w:val="24"/>
          <w:szCs w:val="24"/>
        </w:rPr>
        <w:t xml:space="preserve">. </w:t>
      </w:r>
      <w:r w:rsidR="008615ED">
        <w:rPr>
          <w:rFonts w:ascii="Arial" w:hAnsi="Arial" w:cs="Arial"/>
          <w:sz w:val="24"/>
          <w:szCs w:val="24"/>
        </w:rPr>
        <w:t xml:space="preserve">Further, the Commission should continue to </w:t>
      </w:r>
      <w:r w:rsidR="00E9185F">
        <w:rPr>
          <w:rFonts w:ascii="Arial" w:hAnsi="Arial" w:cs="Arial"/>
          <w:sz w:val="24"/>
          <w:szCs w:val="24"/>
        </w:rPr>
        <w:t xml:space="preserve">reject shadow billing as </w:t>
      </w:r>
      <w:r w:rsidR="002D29E2">
        <w:rPr>
          <w:rFonts w:ascii="Arial" w:hAnsi="Arial" w:cs="Arial"/>
          <w:sz w:val="24"/>
          <w:szCs w:val="24"/>
        </w:rPr>
        <w:t xml:space="preserve">it is </w:t>
      </w:r>
      <w:r w:rsidR="00E9185F">
        <w:rPr>
          <w:rFonts w:ascii="Arial" w:hAnsi="Arial" w:cs="Arial"/>
          <w:sz w:val="24"/>
          <w:szCs w:val="24"/>
        </w:rPr>
        <w:t xml:space="preserve">misleading and </w:t>
      </w:r>
      <w:r w:rsidR="002D29E2">
        <w:rPr>
          <w:rFonts w:ascii="Arial" w:hAnsi="Arial" w:cs="Arial"/>
          <w:sz w:val="24"/>
          <w:szCs w:val="24"/>
        </w:rPr>
        <w:t>lack</w:t>
      </w:r>
      <w:r w:rsidR="00ED15D8">
        <w:rPr>
          <w:rFonts w:ascii="Arial" w:hAnsi="Arial" w:cs="Arial"/>
          <w:sz w:val="24"/>
          <w:szCs w:val="24"/>
        </w:rPr>
        <w:t>s</w:t>
      </w:r>
      <w:r w:rsidR="002D29E2">
        <w:rPr>
          <w:rFonts w:ascii="Arial" w:hAnsi="Arial" w:cs="Arial"/>
          <w:sz w:val="24"/>
          <w:szCs w:val="24"/>
        </w:rPr>
        <w:t xml:space="preserve"> any value</w:t>
      </w:r>
      <w:r w:rsidR="009D77AA">
        <w:rPr>
          <w:rFonts w:ascii="Arial" w:hAnsi="Arial" w:cs="Arial"/>
          <w:sz w:val="24"/>
          <w:szCs w:val="24"/>
        </w:rPr>
        <w:t xml:space="preserve">. </w:t>
      </w:r>
      <w:r w:rsidR="00415B51">
        <w:rPr>
          <w:rFonts w:ascii="Arial" w:hAnsi="Arial" w:cs="Arial"/>
          <w:sz w:val="24"/>
          <w:szCs w:val="24"/>
        </w:rPr>
        <w:t>Finally, the Commission should open the BTCR Pilot Program and transmission collaborative to all interest customers</w:t>
      </w:r>
      <w:r w:rsidRPr="00232928">
        <w:rPr>
          <w:rFonts w:ascii="Arial" w:hAnsi="Arial" w:cs="Arial"/>
          <w:sz w:val="24"/>
          <w:szCs w:val="24"/>
        </w:rPr>
        <w:t>. These modifications are necessary to bring the Stipulation into line with Ohio law and to protect the public interest.</w:t>
      </w:r>
    </w:p>
    <w:p w:rsidR="00B278F1" w:rsidP="00B278F1" w:rsidRDefault="001A348E" w14:paraId="42F555F9" w14:textId="2D70339C">
      <w:pPr>
        <w:spacing w:after="0" w:line="240" w:lineRule="auto"/>
        <w:ind w:left="5040"/>
        <w:rPr>
          <w:rFonts w:ascii="Arial" w:hAnsi="Arial" w:cs="Arial"/>
        </w:rPr>
      </w:pPr>
      <w:r>
        <w:br w:type="page"/>
      </w:r>
      <w:r w:rsidRPr="00B278F1" w:rsidR="00B278F1">
        <w:rPr>
          <w:rFonts w:ascii="Arial" w:hAnsi="Arial" w:cs="Arial"/>
        </w:rPr>
        <w:lastRenderedPageBreak/>
        <w:t>Respectfully Submitted,</w:t>
      </w:r>
    </w:p>
    <w:p w:rsidR="00B278F1" w:rsidP="00B278F1" w:rsidRDefault="00B278F1" w14:paraId="0A672605" w14:textId="77777777">
      <w:pPr>
        <w:spacing w:after="0" w:line="240" w:lineRule="auto"/>
        <w:ind w:left="5040"/>
        <w:rPr>
          <w:rFonts w:ascii="Arial" w:hAnsi="Arial" w:cs="Arial"/>
        </w:rPr>
      </w:pPr>
    </w:p>
    <w:p w:rsidRPr="00B278F1" w:rsidR="00B278F1" w:rsidP="00B278F1" w:rsidRDefault="00B278F1" w14:paraId="1D05EA2B" w14:textId="77777777">
      <w:pPr>
        <w:spacing w:after="0" w:line="240" w:lineRule="auto"/>
        <w:ind w:left="5040"/>
        <w:rPr>
          <w:rFonts w:ascii="Arial" w:hAnsi="Arial" w:cs="Arial"/>
        </w:rPr>
      </w:pPr>
    </w:p>
    <w:p w:rsidRPr="00B278F1" w:rsidR="00B278F1" w:rsidP="00B278F1" w:rsidRDefault="00B278F1" w14:paraId="58F0048D" w14:textId="77777777">
      <w:pPr>
        <w:spacing w:after="0" w:line="240" w:lineRule="auto"/>
        <w:ind w:left="5040"/>
        <w:rPr>
          <w:rFonts w:ascii="Arial" w:hAnsi="Arial" w:cs="Arial"/>
        </w:rPr>
      </w:pPr>
      <w:r w:rsidRPr="00B278F1">
        <w:rPr>
          <w:rFonts w:ascii="Arial" w:hAnsi="Arial" w:cs="Arial"/>
        </w:rPr>
        <w:t>Bethany Allen (0093732)</w:t>
      </w:r>
    </w:p>
    <w:p w:rsidRPr="00B278F1" w:rsidR="00B278F1" w:rsidP="00B278F1" w:rsidRDefault="00B278F1" w14:paraId="0AEB7FED" w14:textId="77777777">
      <w:pPr>
        <w:spacing w:after="0" w:line="240" w:lineRule="auto"/>
        <w:ind w:left="5040"/>
        <w:rPr>
          <w:rFonts w:ascii="Arial" w:hAnsi="Arial" w:cs="Arial"/>
        </w:rPr>
      </w:pPr>
      <w:r w:rsidRPr="00B278F1">
        <w:rPr>
          <w:rFonts w:ascii="Arial" w:hAnsi="Arial" w:cs="Arial"/>
        </w:rPr>
        <w:t>Counsel of Record</w:t>
      </w:r>
    </w:p>
    <w:p w:rsidRPr="00B278F1" w:rsidR="00B278F1" w:rsidP="00B278F1" w:rsidRDefault="007315AD" w14:paraId="07974D64" w14:textId="74019044">
      <w:pPr>
        <w:spacing w:after="0" w:line="240" w:lineRule="auto"/>
        <w:ind w:left="5040"/>
        <w:rPr>
          <w:rFonts w:ascii="Arial" w:hAnsi="Arial" w:cs="Arial"/>
        </w:rPr>
      </w:pPr>
      <w:hyperlink w:history="1" r:id="rId12">
        <w:r w:rsidRPr="00C87C2E" w:rsidR="00B278F1">
          <w:rPr>
            <w:rStyle w:val="Hyperlink"/>
            <w:rFonts w:ascii="Arial" w:hAnsi="Arial" w:cs="Arial"/>
          </w:rPr>
          <w:t>bethany.allen@igs.com</w:t>
        </w:r>
      </w:hyperlink>
      <w:r w:rsidR="00B278F1">
        <w:rPr>
          <w:rFonts w:ascii="Arial" w:hAnsi="Arial" w:cs="Arial"/>
        </w:rPr>
        <w:t xml:space="preserve"> </w:t>
      </w:r>
    </w:p>
    <w:p w:rsidRPr="00B278F1" w:rsidR="00B278F1" w:rsidP="00B278F1" w:rsidRDefault="00B278F1" w14:paraId="5280A1D6" w14:textId="77777777">
      <w:pPr>
        <w:spacing w:after="0" w:line="240" w:lineRule="auto"/>
        <w:ind w:left="5040"/>
        <w:rPr>
          <w:rFonts w:ascii="Arial" w:hAnsi="Arial" w:cs="Arial"/>
        </w:rPr>
      </w:pPr>
      <w:r w:rsidRPr="00B278F1">
        <w:rPr>
          <w:rFonts w:ascii="Arial" w:hAnsi="Arial" w:cs="Arial"/>
        </w:rPr>
        <w:t>Joseph Oliker (0086088)</w:t>
      </w:r>
    </w:p>
    <w:p w:rsidRPr="00B278F1" w:rsidR="00B278F1" w:rsidP="00B278F1" w:rsidRDefault="007315AD" w14:paraId="2BCD6489" w14:textId="4CCE4FE7">
      <w:pPr>
        <w:spacing w:after="0" w:line="240" w:lineRule="auto"/>
        <w:ind w:left="5040"/>
        <w:rPr>
          <w:rFonts w:ascii="Arial" w:hAnsi="Arial" w:cs="Arial"/>
        </w:rPr>
      </w:pPr>
      <w:hyperlink w:history="1" r:id="rId13">
        <w:r w:rsidRPr="00C87C2E" w:rsidR="00B278F1">
          <w:rPr>
            <w:rStyle w:val="Hyperlink"/>
            <w:rFonts w:ascii="Arial" w:hAnsi="Arial" w:cs="Arial"/>
          </w:rPr>
          <w:t>joe.oliker@igs.com</w:t>
        </w:r>
      </w:hyperlink>
      <w:r w:rsidR="00B278F1">
        <w:rPr>
          <w:rFonts w:ascii="Arial" w:hAnsi="Arial" w:cs="Arial"/>
        </w:rPr>
        <w:t xml:space="preserve"> </w:t>
      </w:r>
    </w:p>
    <w:p w:rsidRPr="00B278F1" w:rsidR="00B278F1" w:rsidP="00B278F1" w:rsidRDefault="00B278F1" w14:paraId="279AC390" w14:textId="77777777">
      <w:pPr>
        <w:spacing w:after="0" w:line="240" w:lineRule="auto"/>
        <w:ind w:left="5040"/>
        <w:rPr>
          <w:rFonts w:ascii="Arial" w:hAnsi="Arial" w:cs="Arial"/>
        </w:rPr>
      </w:pPr>
      <w:r w:rsidRPr="00B278F1">
        <w:rPr>
          <w:rFonts w:ascii="Arial" w:hAnsi="Arial" w:cs="Arial"/>
        </w:rPr>
        <w:t>Evan Betterton (0100089)</w:t>
      </w:r>
    </w:p>
    <w:p w:rsidRPr="00B278F1" w:rsidR="00B278F1" w:rsidP="00B278F1" w:rsidRDefault="007315AD" w14:paraId="774D40EA" w14:textId="48FFBF31">
      <w:pPr>
        <w:spacing w:after="0" w:line="240" w:lineRule="auto"/>
        <w:ind w:left="5040"/>
        <w:rPr>
          <w:rFonts w:ascii="Arial" w:hAnsi="Arial" w:cs="Arial"/>
        </w:rPr>
      </w:pPr>
      <w:hyperlink w:history="1" r:id="rId14">
        <w:r w:rsidRPr="00C87C2E" w:rsidR="00B278F1">
          <w:rPr>
            <w:rStyle w:val="Hyperlink"/>
            <w:rFonts w:ascii="Arial" w:hAnsi="Arial" w:cs="Arial"/>
          </w:rPr>
          <w:t>Evan.betterton@igs.com</w:t>
        </w:r>
      </w:hyperlink>
      <w:r w:rsidR="00B278F1">
        <w:rPr>
          <w:rFonts w:ascii="Arial" w:hAnsi="Arial" w:cs="Arial"/>
        </w:rPr>
        <w:t xml:space="preserve"> </w:t>
      </w:r>
    </w:p>
    <w:p w:rsidRPr="00B278F1" w:rsidR="00B278F1" w:rsidP="00B278F1" w:rsidRDefault="00B278F1" w14:paraId="69C05225" w14:textId="77777777">
      <w:pPr>
        <w:spacing w:after="0" w:line="240" w:lineRule="auto"/>
        <w:ind w:left="5040"/>
        <w:rPr>
          <w:rFonts w:ascii="Arial" w:hAnsi="Arial" w:cs="Arial"/>
        </w:rPr>
      </w:pPr>
      <w:r w:rsidRPr="00B278F1">
        <w:rPr>
          <w:rFonts w:ascii="Arial" w:hAnsi="Arial" w:cs="Arial"/>
        </w:rPr>
        <w:t>IGS Energy</w:t>
      </w:r>
    </w:p>
    <w:p w:rsidRPr="00B278F1" w:rsidR="00B278F1" w:rsidP="00B278F1" w:rsidRDefault="00B278F1" w14:paraId="121C44B7" w14:textId="77777777">
      <w:pPr>
        <w:spacing w:after="0" w:line="240" w:lineRule="auto"/>
        <w:ind w:left="5040"/>
        <w:rPr>
          <w:rFonts w:ascii="Arial" w:hAnsi="Arial" w:cs="Arial"/>
        </w:rPr>
      </w:pPr>
      <w:r w:rsidRPr="00B278F1">
        <w:rPr>
          <w:rFonts w:ascii="Arial" w:hAnsi="Arial" w:cs="Arial"/>
        </w:rPr>
        <w:t>6100 Emerald Parkway</w:t>
      </w:r>
    </w:p>
    <w:p w:rsidRPr="00B278F1" w:rsidR="00B278F1" w:rsidP="00B278F1" w:rsidRDefault="00B278F1" w14:paraId="6184C9D7" w14:textId="77777777">
      <w:pPr>
        <w:spacing w:after="0" w:line="240" w:lineRule="auto"/>
        <w:ind w:left="5040"/>
        <w:rPr>
          <w:rFonts w:ascii="Arial" w:hAnsi="Arial" w:cs="Arial"/>
        </w:rPr>
      </w:pPr>
      <w:r w:rsidRPr="00B278F1">
        <w:rPr>
          <w:rFonts w:ascii="Arial" w:hAnsi="Arial" w:cs="Arial"/>
        </w:rPr>
        <w:t>Dublin, Ohio 43016</w:t>
      </w:r>
    </w:p>
    <w:p w:rsidR="00B278F1" w:rsidP="00B278F1" w:rsidRDefault="00B278F1" w14:paraId="3E402123" w14:textId="77777777">
      <w:pPr>
        <w:spacing w:after="0" w:line="240" w:lineRule="auto"/>
        <w:ind w:left="5040"/>
        <w:rPr>
          <w:rFonts w:ascii="Arial" w:hAnsi="Arial" w:cs="Arial"/>
        </w:rPr>
      </w:pPr>
      <w:r w:rsidRPr="00B278F1">
        <w:rPr>
          <w:rFonts w:ascii="Arial" w:hAnsi="Arial" w:cs="Arial"/>
        </w:rPr>
        <w:t>Telephone: (614) 659-5000</w:t>
      </w:r>
    </w:p>
    <w:p w:rsidR="00B278F1" w:rsidP="00B278F1" w:rsidRDefault="00B278F1" w14:paraId="121B4E8E" w14:textId="77777777">
      <w:pPr>
        <w:spacing w:after="0" w:line="240" w:lineRule="auto"/>
        <w:ind w:left="5040"/>
        <w:rPr>
          <w:rFonts w:ascii="Arial" w:hAnsi="Arial" w:cs="Arial"/>
        </w:rPr>
      </w:pPr>
    </w:p>
    <w:p w:rsidRPr="00D9070A" w:rsidR="00D9070A" w:rsidP="00D9070A" w:rsidRDefault="00D9070A" w14:paraId="3B196069" w14:textId="77777777">
      <w:pPr>
        <w:spacing w:after="0" w:line="240" w:lineRule="auto"/>
        <w:ind w:left="5040"/>
        <w:rPr>
          <w:rFonts w:ascii="Arial" w:hAnsi="Arial" w:cs="Arial"/>
        </w:rPr>
      </w:pPr>
      <w:r w:rsidRPr="00D9070A">
        <w:rPr>
          <w:rFonts w:ascii="Arial" w:hAnsi="Arial" w:cs="Arial"/>
        </w:rPr>
        <w:t>Frank P. Darr (0025469)</w:t>
      </w:r>
    </w:p>
    <w:p w:rsidRPr="00D9070A" w:rsidR="00D9070A" w:rsidP="00D9070A" w:rsidRDefault="007315AD" w14:paraId="57946A4B" w14:textId="17A1ADE9">
      <w:pPr>
        <w:spacing w:after="0" w:line="240" w:lineRule="auto"/>
        <w:ind w:left="5040"/>
        <w:rPr>
          <w:rFonts w:ascii="Arial" w:hAnsi="Arial" w:cs="Arial"/>
        </w:rPr>
      </w:pPr>
      <w:hyperlink w:history="1" r:id="rId15">
        <w:r w:rsidRPr="00C87C2E" w:rsidR="00D9070A">
          <w:rPr>
            <w:rStyle w:val="Hyperlink"/>
            <w:rFonts w:ascii="Arial" w:hAnsi="Arial" w:cs="Arial"/>
          </w:rPr>
          <w:t>fdarr2019@gmail.com</w:t>
        </w:r>
      </w:hyperlink>
      <w:r w:rsidR="00D9070A">
        <w:rPr>
          <w:rFonts w:ascii="Arial" w:hAnsi="Arial" w:cs="Arial"/>
        </w:rPr>
        <w:t xml:space="preserve"> </w:t>
      </w:r>
    </w:p>
    <w:p w:rsidRPr="00D9070A" w:rsidR="00D9070A" w:rsidP="00D9070A" w:rsidRDefault="00D9070A" w14:paraId="73BEAA64" w14:textId="77777777">
      <w:pPr>
        <w:spacing w:after="0" w:line="240" w:lineRule="auto"/>
        <w:ind w:left="5040"/>
        <w:rPr>
          <w:rFonts w:ascii="Arial" w:hAnsi="Arial" w:cs="Arial"/>
        </w:rPr>
      </w:pPr>
      <w:r w:rsidRPr="00D9070A">
        <w:rPr>
          <w:rFonts w:ascii="Arial" w:hAnsi="Arial" w:cs="Arial"/>
        </w:rPr>
        <w:t xml:space="preserve">6800 </w:t>
      </w:r>
      <w:proofErr w:type="spellStart"/>
      <w:r w:rsidRPr="00D9070A">
        <w:rPr>
          <w:rFonts w:ascii="Arial" w:hAnsi="Arial" w:cs="Arial"/>
        </w:rPr>
        <w:t>Linbrook</w:t>
      </w:r>
      <w:proofErr w:type="spellEnd"/>
      <w:r w:rsidRPr="00D9070A">
        <w:rPr>
          <w:rFonts w:ascii="Arial" w:hAnsi="Arial" w:cs="Arial"/>
        </w:rPr>
        <w:t xml:space="preserve"> Blvd.</w:t>
      </w:r>
    </w:p>
    <w:p w:rsidRPr="00D9070A" w:rsidR="00D9070A" w:rsidP="00D9070A" w:rsidRDefault="00D9070A" w14:paraId="749BB4C9" w14:textId="77777777">
      <w:pPr>
        <w:spacing w:after="0" w:line="240" w:lineRule="auto"/>
        <w:ind w:left="5040"/>
        <w:rPr>
          <w:rFonts w:ascii="Arial" w:hAnsi="Arial" w:cs="Arial"/>
        </w:rPr>
      </w:pPr>
      <w:r w:rsidRPr="00D9070A">
        <w:rPr>
          <w:rFonts w:ascii="Arial" w:hAnsi="Arial" w:cs="Arial"/>
        </w:rPr>
        <w:t>Columbus, Ohio 43235</w:t>
      </w:r>
    </w:p>
    <w:p w:rsidRPr="00B278F1" w:rsidR="00B278F1" w:rsidP="00D9070A" w:rsidRDefault="00D9070A" w14:paraId="497EF75B" w14:textId="147389F8">
      <w:pPr>
        <w:spacing w:after="0" w:line="240" w:lineRule="auto"/>
        <w:ind w:left="5040"/>
        <w:rPr>
          <w:rFonts w:ascii="Arial" w:hAnsi="Arial" w:cs="Arial"/>
        </w:rPr>
      </w:pPr>
      <w:r w:rsidRPr="00D9070A">
        <w:rPr>
          <w:rFonts w:ascii="Arial" w:hAnsi="Arial" w:cs="Arial"/>
        </w:rPr>
        <w:t>Telephone: (614) 390-6750</w:t>
      </w:r>
      <w:r w:rsidRPr="00D9070A">
        <w:rPr>
          <w:rFonts w:ascii="Arial" w:hAnsi="Arial" w:cs="Arial"/>
        </w:rPr>
        <w:cr/>
      </w:r>
    </w:p>
    <w:p w:rsidRPr="00D9070A" w:rsidR="00F52548" w:rsidP="00B278F1" w:rsidRDefault="00B278F1" w14:paraId="7DF58074" w14:textId="3D440200">
      <w:pPr>
        <w:spacing w:after="0" w:line="240" w:lineRule="auto"/>
        <w:ind w:left="5040"/>
        <w:rPr>
          <w:rFonts w:ascii="Arial" w:hAnsi="Arial" w:cs="Arial"/>
          <w:b/>
          <w:bCs/>
          <w:u w:val="single"/>
        </w:rPr>
      </w:pPr>
      <w:r w:rsidRPr="00D9070A">
        <w:rPr>
          <w:rFonts w:ascii="Arial" w:hAnsi="Arial" w:cs="Arial"/>
          <w:b/>
          <w:bCs/>
          <w:u w:val="single"/>
        </w:rPr>
        <w:t>Attorneys for IGS</w:t>
      </w:r>
    </w:p>
    <w:p w:rsidRPr="00B278F1" w:rsidR="001A348E" w:rsidP="00B278F1" w:rsidRDefault="001A348E" w14:paraId="7979FAE2" w14:textId="77777777">
      <w:pPr>
        <w:ind w:left="5040"/>
        <w:rPr>
          <w:rFonts w:ascii="Arial" w:hAnsi="Arial" w:cs="Arial" w:eastAsiaTheme="majorEastAsia"/>
          <w:b/>
          <w:sz w:val="24"/>
          <w:szCs w:val="32"/>
          <w:u w:val="thick"/>
        </w:rPr>
      </w:pPr>
      <w:r w:rsidRPr="00B278F1">
        <w:rPr>
          <w:rFonts w:ascii="Arial" w:hAnsi="Arial" w:cs="Arial"/>
          <w:u w:val="thick"/>
        </w:rPr>
        <w:br w:type="page"/>
      </w:r>
    </w:p>
    <w:p w:rsidRPr="00084E0A" w:rsidR="00072C65" w:rsidP="00072C65" w:rsidRDefault="00072C65" w14:paraId="6D0929C2" w14:textId="105A7653">
      <w:pPr>
        <w:pStyle w:val="Heading1"/>
        <w:spacing w:before="61"/>
        <w:ind w:left="3206"/>
        <w:rPr>
          <w:rFonts w:cs="Arial"/>
        </w:rPr>
      </w:pPr>
      <w:bookmarkStart w:name="_Toc74573100" w:id="42"/>
      <w:r w:rsidRPr="00084E0A">
        <w:rPr>
          <w:rFonts w:cs="Arial"/>
          <w:u w:val="thick"/>
        </w:rPr>
        <w:lastRenderedPageBreak/>
        <w:t>CERTIFICATE OF SERVICE</w:t>
      </w:r>
      <w:bookmarkEnd w:id="42"/>
    </w:p>
    <w:p w:rsidRPr="00084E0A" w:rsidR="00072C65" w:rsidP="00072C65" w:rsidRDefault="00072C65" w14:paraId="1393F848" w14:textId="77777777">
      <w:pPr>
        <w:pStyle w:val="BodyText"/>
        <w:spacing w:before="5"/>
        <w:jc w:val="both"/>
        <w:rPr>
          <w:rFonts w:ascii="Arial" w:hAnsi="Arial" w:cs="Arial"/>
          <w:b/>
        </w:rPr>
      </w:pPr>
    </w:p>
    <w:p w:rsidR="00072C65" w:rsidP="00072C65" w:rsidRDefault="00072C65" w14:paraId="2EA89EED" w14:textId="59EA3953">
      <w:pPr>
        <w:pStyle w:val="BodyText"/>
        <w:spacing w:before="5"/>
        <w:ind w:firstLine="720"/>
        <w:jc w:val="both"/>
        <w:rPr>
          <w:rFonts w:ascii="Arial" w:hAnsi="Arial" w:cs="Arial"/>
        </w:rPr>
      </w:pPr>
      <w:r w:rsidRPr="00621A29">
        <w:rPr>
          <w:rFonts w:ascii="Arial" w:hAnsi="Arial" w:cs="Arial"/>
        </w:rPr>
        <w:t>I hereby certify that a true copy of th</w:t>
      </w:r>
      <w:r w:rsidR="001575B2">
        <w:rPr>
          <w:rFonts w:ascii="Arial" w:hAnsi="Arial" w:cs="Arial"/>
        </w:rPr>
        <w:t xml:space="preserve">is document </w:t>
      </w:r>
      <w:r w:rsidRPr="00621A29">
        <w:rPr>
          <w:rFonts w:ascii="Arial" w:hAnsi="Arial" w:cs="Arial"/>
        </w:rPr>
        <w:t xml:space="preserve">was filed electronically through the Docketing Information System of the Public Utilities Commission of Ohio on </w:t>
      </w:r>
      <w:r w:rsidR="0047151D">
        <w:rPr>
          <w:rFonts w:ascii="Arial" w:hAnsi="Arial" w:cs="Arial"/>
        </w:rPr>
        <w:t xml:space="preserve">June </w:t>
      </w:r>
      <w:r w:rsidRPr="00102E4F" w:rsidR="0047151D">
        <w:rPr>
          <w:rFonts w:ascii="Arial" w:hAnsi="Arial" w:cs="Arial"/>
        </w:rPr>
        <w:t>14</w:t>
      </w:r>
      <w:r>
        <w:rPr>
          <w:rFonts w:ascii="Arial" w:hAnsi="Arial" w:cs="Arial"/>
        </w:rPr>
        <w:t>,</w:t>
      </w:r>
      <w:r w:rsidRPr="00621A29">
        <w:rPr>
          <w:rFonts w:ascii="Arial" w:hAnsi="Arial" w:cs="Arial"/>
        </w:rPr>
        <w:t xml:space="preserve"> 2021. </w:t>
      </w:r>
      <w:r>
        <w:rPr>
          <w:rFonts w:ascii="Arial" w:hAnsi="Arial" w:cs="Arial"/>
        </w:rPr>
        <w:t>The</w:t>
      </w:r>
      <w:r w:rsidRPr="005D1A7A">
        <w:rPr>
          <w:rFonts w:ascii="Arial" w:hAnsi="Arial" w:cs="Arial"/>
        </w:rPr>
        <w:t xml:space="preserve"> </w:t>
      </w:r>
      <w:r>
        <w:rPr>
          <w:rFonts w:ascii="Arial" w:hAnsi="Arial" w:cs="Arial"/>
        </w:rPr>
        <w:t>Commission’s</w:t>
      </w:r>
      <w:r w:rsidRPr="005D1A7A">
        <w:rPr>
          <w:rFonts w:ascii="Arial" w:hAnsi="Arial" w:cs="Arial"/>
        </w:rPr>
        <w:t xml:space="preserve"> e-filing</w:t>
      </w:r>
      <w:r>
        <w:rPr>
          <w:rFonts w:ascii="Arial" w:hAnsi="Arial" w:cs="Arial"/>
        </w:rPr>
        <w:t xml:space="preserve"> </w:t>
      </w:r>
      <w:r w:rsidRPr="005D1A7A">
        <w:rPr>
          <w:rFonts w:ascii="Arial" w:hAnsi="Arial" w:cs="Arial"/>
        </w:rPr>
        <w:t>system will electronically serve notice of the filing of this document upon the following partie</w:t>
      </w:r>
      <w:r>
        <w:rPr>
          <w:rFonts w:ascii="Arial" w:hAnsi="Arial" w:cs="Arial"/>
        </w:rPr>
        <w:t>s listed below.</w:t>
      </w:r>
    </w:p>
    <w:p w:rsidR="00072C65" w:rsidP="00072C65" w:rsidRDefault="00072C65" w14:paraId="15E5A97D" w14:textId="77777777">
      <w:pPr>
        <w:pStyle w:val="BodyText"/>
        <w:spacing w:before="5"/>
        <w:rPr>
          <w:rFonts w:ascii="Arial" w:hAnsi="Arial" w:cs="Arial"/>
        </w:rPr>
      </w:pPr>
    </w:p>
    <w:p w:rsidRPr="00B00067" w:rsidR="00072C65" w:rsidP="00072C65" w:rsidRDefault="00072C65" w14:paraId="26A3ED83" w14:textId="77777777">
      <w:pPr>
        <w:pStyle w:val="BodyText"/>
        <w:spacing w:before="5"/>
        <w:ind w:left="5760"/>
        <w:rPr>
          <w:rFonts w:ascii="Arial" w:hAnsi="Arial" w:cs="Arial"/>
          <w:i/>
          <w:u w:val="single"/>
        </w:rPr>
      </w:pPr>
      <w:r w:rsidRPr="00B00067">
        <w:rPr>
          <w:rFonts w:ascii="Arial" w:hAnsi="Arial" w:cs="Arial"/>
          <w:i/>
          <w:u w:val="single"/>
        </w:rPr>
        <w:t>/s/ Bethany Allen</w:t>
      </w:r>
    </w:p>
    <w:p w:rsidRPr="00B51587" w:rsidR="00072C65" w:rsidP="00072C65" w:rsidRDefault="00072C65" w14:paraId="79DB90E7" w14:textId="77777777">
      <w:pPr>
        <w:pStyle w:val="BodyText"/>
        <w:spacing w:before="5"/>
        <w:ind w:left="5760"/>
        <w:rPr>
          <w:rFonts w:ascii="Arial" w:hAnsi="Arial" w:cs="Arial"/>
        </w:rPr>
      </w:pPr>
      <w:r>
        <w:rPr>
          <w:rFonts w:ascii="Arial" w:hAnsi="Arial" w:cs="Arial"/>
        </w:rPr>
        <w:t>Bethany Allen</w:t>
      </w:r>
    </w:p>
    <w:p w:rsidR="00072C65" w:rsidP="004E4C20" w:rsidRDefault="00072C65" w14:paraId="73EFEA63" w14:textId="77777777">
      <w:pPr>
        <w:widowControl w:val="0"/>
        <w:autoSpaceDE w:val="0"/>
        <w:autoSpaceDN w:val="0"/>
        <w:spacing w:before="5" w:after="0" w:line="240" w:lineRule="auto"/>
        <w:rPr>
          <w:rFonts w:ascii="Arial" w:hAnsi="Arial" w:eastAsia="Times New Roman" w:cs="Arial"/>
          <w:b/>
          <w:bCs/>
          <w:sz w:val="24"/>
          <w:szCs w:val="24"/>
        </w:rPr>
      </w:pPr>
    </w:p>
    <w:p w:rsidRPr="004E4C20" w:rsidR="004E4C20" w:rsidP="004E4C20" w:rsidRDefault="004E4C20" w14:paraId="74E418B7" w14:textId="63F07D93">
      <w:pPr>
        <w:widowControl w:val="0"/>
        <w:autoSpaceDE w:val="0"/>
        <w:autoSpaceDN w:val="0"/>
        <w:spacing w:before="5" w:after="0" w:line="240" w:lineRule="auto"/>
        <w:rPr>
          <w:rFonts w:ascii="Arial" w:hAnsi="Arial" w:eastAsia="Times New Roman" w:cs="Arial"/>
          <w:b/>
          <w:bCs/>
          <w:sz w:val="24"/>
          <w:szCs w:val="24"/>
        </w:rPr>
      </w:pPr>
      <w:r w:rsidRPr="004E4C20">
        <w:rPr>
          <w:rFonts w:ascii="Arial" w:hAnsi="Arial" w:eastAsia="Times New Roman" w:cs="Arial"/>
          <w:b/>
          <w:bCs/>
          <w:sz w:val="24"/>
          <w:szCs w:val="24"/>
        </w:rPr>
        <w:t>Ohio Power Company</w:t>
      </w:r>
    </w:p>
    <w:p w:rsidRPr="004E4C20" w:rsidR="004E4C20" w:rsidP="004E4C20" w:rsidRDefault="004E4C20" w14:paraId="6D952342" w14:textId="77777777">
      <w:pPr>
        <w:widowControl w:val="0"/>
        <w:autoSpaceDE w:val="0"/>
        <w:autoSpaceDN w:val="0"/>
        <w:spacing w:before="5" w:after="0" w:line="240" w:lineRule="auto"/>
        <w:rPr>
          <w:rFonts w:ascii="Arial" w:hAnsi="Arial" w:eastAsia="Times New Roman" w:cs="Arial"/>
          <w:sz w:val="24"/>
          <w:szCs w:val="24"/>
        </w:rPr>
      </w:pPr>
      <w:r w:rsidRPr="004E4C20">
        <w:rPr>
          <w:rFonts w:ascii="Arial" w:hAnsi="Arial" w:eastAsia="Times New Roman" w:cs="Arial"/>
          <w:sz w:val="24"/>
          <w:szCs w:val="24"/>
        </w:rPr>
        <w:t xml:space="preserve">Steven T. Nourse </w:t>
      </w:r>
    </w:p>
    <w:p w:rsidR="004E4C20" w:rsidP="004E4C20" w:rsidRDefault="004E4C20" w14:paraId="0D7681B5" w14:textId="1567241D">
      <w:pPr>
        <w:widowControl w:val="0"/>
        <w:autoSpaceDE w:val="0"/>
        <w:autoSpaceDN w:val="0"/>
        <w:spacing w:before="5" w:after="0" w:line="240" w:lineRule="auto"/>
        <w:rPr>
          <w:rFonts w:ascii="Arial" w:hAnsi="Arial" w:eastAsia="Times New Roman" w:cs="Arial"/>
          <w:sz w:val="24"/>
          <w:szCs w:val="24"/>
        </w:rPr>
      </w:pPr>
      <w:r w:rsidRPr="004E4C20">
        <w:rPr>
          <w:rFonts w:ascii="Arial" w:hAnsi="Arial" w:eastAsia="Times New Roman" w:cs="Arial"/>
          <w:sz w:val="24"/>
          <w:szCs w:val="24"/>
        </w:rPr>
        <w:t>Christen M. Blend</w:t>
      </w:r>
    </w:p>
    <w:p w:rsidRPr="004E4C20" w:rsidR="001A5AC8" w:rsidP="004E4C20" w:rsidRDefault="001A5AC8" w14:paraId="30E11C0A" w14:textId="0BFF2037">
      <w:pPr>
        <w:widowControl w:val="0"/>
        <w:autoSpaceDE w:val="0"/>
        <w:autoSpaceDN w:val="0"/>
        <w:spacing w:before="5" w:after="0" w:line="240" w:lineRule="auto"/>
        <w:rPr>
          <w:rFonts w:ascii="Arial" w:hAnsi="Arial" w:eastAsia="Times New Roman" w:cs="Arial"/>
          <w:sz w:val="24"/>
          <w:szCs w:val="24"/>
        </w:rPr>
      </w:pPr>
      <w:r>
        <w:rPr>
          <w:rFonts w:ascii="Arial" w:hAnsi="Arial" w:eastAsia="Times New Roman" w:cs="Arial"/>
          <w:sz w:val="24"/>
          <w:szCs w:val="24"/>
        </w:rPr>
        <w:t>Tanner Wolfram</w:t>
      </w:r>
    </w:p>
    <w:p w:rsidRPr="004E4C20" w:rsidR="004E4C20" w:rsidP="004E4C20" w:rsidRDefault="004E4C20" w14:paraId="165AB16E" w14:textId="77777777">
      <w:pPr>
        <w:widowControl w:val="0"/>
        <w:autoSpaceDE w:val="0"/>
        <w:autoSpaceDN w:val="0"/>
        <w:spacing w:before="5" w:after="0" w:line="240" w:lineRule="auto"/>
        <w:rPr>
          <w:rFonts w:ascii="Arial" w:hAnsi="Arial" w:eastAsia="Times New Roman" w:cs="Arial"/>
          <w:sz w:val="24"/>
          <w:szCs w:val="24"/>
        </w:rPr>
      </w:pPr>
      <w:r w:rsidRPr="004E4C20">
        <w:rPr>
          <w:rFonts w:ascii="Arial" w:hAnsi="Arial" w:eastAsia="Times New Roman" w:cs="Arial"/>
          <w:sz w:val="24"/>
          <w:szCs w:val="24"/>
        </w:rPr>
        <w:t>American Electric Power Service Corporation</w:t>
      </w:r>
    </w:p>
    <w:p w:rsidRPr="004E4C20" w:rsidR="004E4C20" w:rsidP="004E4C20" w:rsidRDefault="0021465B" w14:paraId="3055970A" w14:textId="77777777">
      <w:pPr>
        <w:widowControl w:val="0"/>
        <w:autoSpaceDE w:val="0"/>
        <w:autoSpaceDN w:val="0"/>
        <w:spacing w:before="5" w:after="0" w:line="240" w:lineRule="auto"/>
        <w:rPr>
          <w:rFonts w:ascii="Arial" w:hAnsi="Arial" w:eastAsia="Times New Roman" w:cs="Arial"/>
          <w:sz w:val="24"/>
          <w:szCs w:val="24"/>
        </w:rPr>
      </w:pPr>
      <w:hyperlink w:history="1" r:id="rId16">
        <w:r w:rsidRPr="007F2348" w:rsidR="004E4C20">
          <w:rPr>
            <w:rFonts w:ascii="Arial" w:hAnsi="Arial" w:eastAsia="Times New Roman" w:cs="Arial"/>
            <w:sz w:val="24"/>
            <w:szCs w:val="24"/>
            <w:u w:val="single"/>
          </w:rPr>
          <w:t>stnourse@aep.com</w:t>
        </w:r>
      </w:hyperlink>
      <w:r w:rsidRPr="004E4C20" w:rsidR="004E4C20">
        <w:rPr>
          <w:rFonts w:ascii="Arial" w:hAnsi="Arial" w:eastAsia="Times New Roman" w:cs="Arial"/>
          <w:sz w:val="24"/>
          <w:szCs w:val="24"/>
        </w:rPr>
        <w:t xml:space="preserve">  </w:t>
      </w:r>
    </w:p>
    <w:p w:rsidR="00DD313E" w:rsidP="004E4C20" w:rsidRDefault="0021465B" w14:paraId="437E0A94" w14:textId="77777777">
      <w:pPr>
        <w:widowControl w:val="0"/>
        <w:autoSpaceDE w:val="0"/>
        <w:autoSpaceDN w:val="0"/>
        <w:spacing w:before="5" w:after="0" w:line="240" w:lineRule="auto"/>
        <w:rPr>
          <w:rFonts w:ascii="Arial" w:hAnsi="Arial" w:eastAsia="Times New Roman" w:cs="Arial"/>
          <w:sz w:val="24"/>
          <w:szCs w:val="24"/>
        </w:rPr>
      </w:pPr>
      <w:hyperlink w:history="1" r:id="rId17">
        <w:r w:rsidRPr="007F2348" w:rsidR="004E4C20">
          <w:rPr>
            <w:rFonts w:ascii="Arial" w:hAnsi="Arial" w:eastAsia="Times New Roman" w:cs="Arial"/>
            <w:sz w:val="24"/>
            <w:szCs w:val="24"/>
            <w:u w:val="single"/>
          </w:rPr>
          <w:t>cmblend@aep.com</w:t>
        </w:r>
      </w:hyperlink>
    </w:p>
    <w:p w:rsidRPr="00084E0A" w:rsidR="00DD313E" w:rsidP="00DD313E" w:rsidRDefault="00DD313E" w14:paraId="2656C856" w14:textId="77777777">
      <w:pPr>
        <w:pStyle w:val="BodyText"/>
        <w:spacing w:before="5"/>
        <w:rPr>
          <w:rFonts w:ascii="Arial" w:hAnsi="Arial" w:cs="Arial"/>
        </w:rPr>
      </w:pPr>
      <w:r w:rsidRPr="007F2348">
        <w:rPr>
          <w:rStyle w:val="Hyperlink"/>
          <w:rFonts w:ascii="Arial" w:hAnsi="Arial" w:cs="Arial"/>
          <w:color w:val="auto"/>
        </w:rPr>
        <w:t>tswolffram@aep.com</w:t>
      </w:r>
    </w:p>
    <w:p w:rsidRPr="004E4C20" w:rsidR="004E4C20" w:rsidP="004E4C20" w:rsidRDefault="004E4C20" w14:paraId="5906C7FF" w14:textId="5568A449">
      <w:pPr>
        <w:widowControl w:val="0"/>
        <w:autoSpaceDE w:val="0"/>
        <w:autoSpaceDN w:val="0"/>
        <w:spacing w:before="5" w:after="0" w:line="240" w:lineRule="auto"/>
        <w:rPr>
          <w:rFonts w:ascii="Arial" w:hAnsi="Arial" w:eastAsia="Times New Roman" w:cs="Arial"/>
          <w:sz w:val="24"/>
          <w:szCs w:val="24"/>
        </w:rPr>
      </w:pPr>
      <w:r w:rsidRPr="004E4C20">
        <w:rPr>
          <w:rFonts w:ascii="Arial" w:hAnsi="Arial" w:eastAsia="Times New Roman" w:cs="Arial"/>
          <w:sz w:val="24"/>
          <w:szCs w:val="24"/>
        </w:rPr>
        <w:t xml:space="preserve">Eric B. Gallon </w:t>
      </w:r>
    </w:p>
    <w:p w:rsidRPr="004E4C20" w:rsidR="004E4C20" w:rsidP="004E4C20" w:rsidRDefault="004E4C20" w14:paraId="743361C4" w14:textId="77777777">
      <w:pPr>
        <w:widowControl w:val="0"/>
        <w:autoSpaceDE w:val="0"/>
        <w:autoSpaceDN w:val="0"/>
        <w:spacing w:before="5" w:after="0" w:line="240" w:lineRule="auto"/>
        <w:rPr>
          <w:rFonts w:ascii="Arial" w:hAnsi="Arial" w:eastAsia="Times New Roman" w:cs="Arial"/>
          <w:sz w:val="24"/>
          <w:szCs w:val="24"/>
        </w:rPr>
      </w:pPr>
      <w:r w:rsidRPr="004E4C20">
        <w:rPr>
          <w:rFonts w:ascii="Arial" w:hAnsi="Arial" w:eastAsia="Times New Roman" w:cs="Arial"/>
          <w:sz w:val="24"/>
          <w:szCs w:val="24"/>
        </w:rPr>
        <w:t xml:space="preserve">Porter, Wright, Morris &amp; Arthur LLP </w:t>
      </w:r>
    </w:p>
    <w:p w:rsidRPr="004E4C20" w:rsidR="004E4C20" w:rsidP="004E4C20" w:rsidRDefault="0021465B" w14:paraId="723A9E20" w14:textId="77777777">
      <w:pPr>
        <w:widowControl w:val="0"/>
        <w:autoSpaceDE w:val="0"/>
        <w:autoSpaceDN w:val="0"/>
        <w:spacing w:before="5" w:after="0" w:line="240" w:lineRule="auto"/>
        <w:rPr>
          <w:rFonts w:ascii="Arial" w:hAnsi="Arial" w:eastAsia="Times New Roman" w:cs="Arial"/>
          <w:b/>
          <w:sz w:val="24"/>
          <w:szCs w:val="24"/>
        </w:rPr>
      </w:pPr>
      <w:hyperlink w:history="1" r:id="rId18">
        <w:r w:rsidRPr="007F2348" w:rsidR="004E4C20">
          <w:rPr>
            <w:rFonts w:ascii="Arial" w:hAnsi="Arial" w:eastAsia="Times New Roman" w:cs="Arial"/>
            <w:sz w:val="24"/>
            <w:szCs w:val="24"/>
            <w:u w:val="single"/>
          </w:rPr>
          <w:t>egallon@porterwright.com</w:t>
        </w:r>
      </w:hyperlink>
      <w:r w:rsidRPr="004E4C20" w:rsidR="004E4C20">
        <w:rPr>
          <w:rFonts w:ascii="Arial" w:hAnsi="Arial" w:eastAsia="Times New Roman" w:cs="Arial"/>
          <w:sz w:val="24"/>
          <w:szCs w:val="24"/>
        </w:rPr>
        <w:t xml:space="preserve"> </w:t>
      </w:r>
    </w:p>
    <w:p w:rsidRPr="004E4C20" w:rsidR="004E4C20" w:rsidP="004E4C20" w:rsidRDefault="004E4C20" w14:paraId="4DD130A1"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Christopher L. Miller</w:t>
      </w:r>
    </w:p>
    <w:p w:rsidRPr="004E4C20" w:rsidR="004E4C20" w:rsidP="004E4C20" w:rsidRDefault="004E4C20" w14:paraId="6D4365D4" w14:textId="61B25C6B">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Ice Miller LLP </w:t>
      </w:r>
    </w:p>
    <w:p w:rsidRPr="004E4C20" w:rsidR="004E4C20" w:rsidP="004E4C20" w:rsidRDefault="0021465B" w14:paraId="4DA671F2" w14:textId="77777777">
      <w:pPr>
        <w:widowControl w:val="0"/>
        <w:autoSpaceDE w:val="0"/>
        <w:autoSpaceDN w:val="0"/>
        <w:spacing w:after="0" w:line="240" w:lineRule="auto"/>
        <w:rPr>
          <w:rFonts w:ascii="Arial" w:hAnsi="Arial" w:eastAsia="Times New Roman" w:cs="Arial"/>
          <w:sz w:val="24"/>
          <w:szCs w:val="24"/>
        </w:rPr>
      </w:pPr>
      <w:hyperlink w:history="1" r:id="rId19">
        <w:r w:rsidRPr="007F2348" w:rsidR="004E4C20">
          <w:rPr>
            <w:rFonts w:ascii="Arial" w:hAnsi="Arial" w:eastAsia="Times New Roman" w:cs="Arial"/>
            <w:sz w:val="24"/>
            <w:szCs w:val="24"/>
            <w:u w:val="single"/>
          </w:rPr>
          <w:t>christopher.miller@icemiller.com</w:t>
        </w:r>
      </w:hyperlink>
      <w:r w:rsidRPr="004E4C20" w:rsidR="004E4C20">
        <w:rPr>
          <w:rFonts w:ascii="Arial" w:hAnsi="Arial" w:eastAsia="Times New Roman" w:cs="Arial"/>
          <w:sz w:val="24"/>
          <w:szCs w:val="24"/>
        </w:rPr>
        <w:t xml:space="preserve"> </w:t>
      </w:r>
    </w:p>
    <w:p w:rsidRPr="004E4C20" w:rsidR="004E4C20" w:rsidP="004E4C20" w:rsidRDefault="004E4C20" w14:paraId="056E3B8A" w14:textId="77777777">
      <w:pPr>
        <w:widowControl w:val="0"/>
        <w:autoSpaceDE w:val="0"/>
        <w:autoSpaceDN w:val="0"/>
        <w:spacing w:after="0" w:line="240" w:lineRule="auto"/>
        <w:rPr>
          <w:rFonts w:ascii="Arial" w:hAnsi="Arial" w:eastAsia="Times New Roman" w:cs="Arial"/>
          <w:b/>
          <w:bCs/>
          <w:sz w:val="24"/>
          <w:szCs w:val="24"/>
        </w:rPr>
      </w:pPr>
    </w:p>
    <w:p w:rsidRPr="004E4C20" w:rsidR="004E4C20" w:rsidP="004E4C20" w:rsidRDefault="004E4C20" w14:paraId="70EEE2D0" w14:textId="77777777">
      <w:pPr>
        <w:widowControl w:val="0"/>
        <w:autoSpaceDE w:val="0"/>
        <w:autoSpaceDN w:val="0"/>
        <w:spacing w:after="0" w:line="240" w:lineRule="auto"/>
        <w:rPr>
          <w:rFonts w:ascii="Arial" w:hAnsi="Arial" w:eastAsia="Times New Roman" w:cs="Arial"/>
          <w:b/>
          <w:bCs/>
          <w:sz w:val="24"/>
          <w:szCs w:val="24"/>
        </w:rPr>
      </w:pPr>
      <w:r w:rsidRPr="004E4C20">
        <w:rPr>
          <w:rFonts w:ascii="Arial" w:hAnsi="Arial" w:eastAsia="Times New Roman" w:cs="Arial"/>
          <w:b/>
          <w:bCs/>
          <w:sz w:val="24"/>
          <w:szCs w:val="24"/>
        </w:rPr>
        <w:t>Staff of the Public Utilities Commission of Ohio</w:t>
      </w:r>
    </w:p>
    <w:p w:rsidRPr="008979E2" w:rsidR="008979E2" w:rsidP="008979E2" w:rsidRDefault="008979E2" w14:paraId="59DFE099" w14:textId="77777777">
      <w:pPr>
        <w:widowControl w:val="0"/>
        <w:autoSpaceDE w:val="0"/>
        <w:autoSpaceDN w:val="0"/>
        <w:spacing w:after="0" w:line="240" w:lineRule="auto"/>
        <w:rPr>
          <w:rFonts w:ascii="Arial" w:hAnsi="Arial" w:eastAsia="Times New Roman" w:cs="Arial"/>
          <w:sz w:val="24"/>
          <w:szCs w:val="24"/>
        </w:rPr>
      </w:pPr>
      <w:r w:rsidRPr="008979E2">
        <w:rPr>
          <w:rFonts w:ascii="Arial" w:hAnsi="Arial" w:eastAsia="Times New Roman" w:cs="Arial"/>
          <w:sz w:val="24"/>
          <w:szCs w:val="24"/>
        </w:rPr>
        <w:t xml:space="preserve">Werner L. Margard </w:t>
      </w:r>
    </w:p>
    <w:p w:rsidRPr="008979E2" w:rsidR="008979E2" w:rsidP="008979E2" w:rsidRDefault="008979E2" w14:paraId="7CB83115" w14:textId="77777777">
      <w:pPr>
        <w:widowControl w:val="0"/>
        <w:autoSpaceDE w:val="0"/>
        <w:autoSpaceDN w:val="0"/>
        <w:spacing w:after="0" w:line="240" w:lineRule="auto"/>
        <w:rPr>
          <w:rFonts w:ascii="Arial" w:hAnsi="Arial" w:eastAsia="Times New Roman" w:cs="Arial"/>
          <w:sz w:val="24"/>
          <w:szCs w:val="24"/>
        </w:rPr>
      </w:pPr>
      <w:r w:rsidRPr="008979E2">
        <w:rPr>
          <w:rFonts w:ascii="Arial" w:hAnsi="Arial" w:eastAsia="Times New Roman" w:cs="Arial"/>
          <w:sz w:val="24"/>
          <w:szCs w:val="24"/>
        </w:rPr>
        <w:t xml:space="preserve">Kyle L. Kern </w:t>
      </w:r>
    </w:p>
    <w:p w:rsidRPr="008979E2" w:rsidR="008979E2" w:rsidP="008979E2" w:rsidRDefault="008979E2" w14:paraId="413FFB39" w14:textId="77777777">
      <w:pPr>
        <w:widowControl w:val="0"/>
        <w:autoSpaceDE w:val="0"/>
        <w:autoSpaceDN w:val="0"/>
        <w:spacing w:after="0" w:line="240" w:lineRule="auto"/>
        <w:rPr>
          <w:rFonts w:ascii="Arial" w:hAnsi="Arial" w:eastAsia="Times New Roman" w:cs="Arial"/>
          <w:sz w:val="24"/>
          <w:szCs w:val="24"/>
        </w:rPr>
      </w:pPr>
      <w:r w:rsidRPr="008979E2">
        <w:rPr>
          <w:rFonts w:ascii="Arial" w:hAnsi="Arial" w:eastAsia="Times New Roman" w:cs="Arial"/>
          <w:sz w:val="24"/>
          <w:szCs w:val="24"/>
        </w:rPr>
        <w:t xml:space="preserve">Thomas Shepherd </w:t>
      </w:r>
    </w:p>
    <w:p w:rsidRPr="008979E2" w:rsidR="008979E2" w:rsidP="008979E2" w:rsidRDefault="0021465B" w14:paraId="4E9598A4" w14:textId="58697B77">
      <w:pPr>
        <w:widowControl w:val="0"/>
        <w:autoSpaceDE w:val="0"/>
        <w:autoSpaceDN w:val="0"/>
        <w:spacing w:after="0" w:line="240" w:lineRule="auto"/>
        <w:rPr>
          <w:rFonts w:ascii="Arial" w:hAnsi="Arial" w:eastAsia="Times New Roman" w:cs="Arial"/>
          <w:sz w:val="24"/>
          <w:szCs w:val="24"/>
        </w:rPr>
      </w:pPr>
      <w:hyperlink w:history="1" r:id="rId20">
        <w:r w:rsidRPr="007F2348" w:rsidR="00A5027B">
          <w:rPr>
            <w:rStyle w:val="Hyperlink"/>
            <w:rFonts w:ascii="Arial" w:hAnsi="Arial" w:eastAsia="Calibri" w:cs="Arial"/>
            <w:color w:val="auto"/>
            <w:sz w:val="24"/>
            <w:szCs w:val="24"/>
          </w:rPr>
          <w:t>werner.margard@ohioAGO.gov</w:t>
        </w:r>
      </w:hyperlink>
    </w:p>
    <w:p w:rsidRPr="008979E2" w:rsidR="008979E2" w:rsidP="008979E2" w:rsidRDefault="0021465B" w14:paraId="5C0DAABC" w14:textId="0A247CA1">
      <w:pPr>
        <w:widowControl w:val="0"/>
        <w:autoSpaceDE w:val="0"/>
        <w:autoSpaceDN w:val="0"/>
        <w:spacing w:after="0" w:line="240" w:lineRule="auto"/>
        <w:rPr>
          <w:rFonts w:ascii="Arial" w:hAnsi="Arial" w:eastAsia="Times New Roman" w:cs="Arial"/>
          <w:sz w:val="24"/>
          <w:szCs w:val="24"/>
        </w:rPr>
      </w:pPr>
      <w:hyperlink w:history="1" r:id="rId21">
        <w:r w:rsidRPr="007F2348" w:rsidR="00A5027B">
          <w:rPr>
            <w:rStyle w:val="Hyperlink"/>
            <w:rFonts w:ascii="Arial" w:hAnsi="Arial" w:eastAsia="Calibri" w:cs="Arial"/>
            <w:color w:val="auto"/>
            <w:sz w:val="24"/>
            <w:szCs w:val="24"/>
          </w:rPr>
          <w:t>kyle.kern@ohioAGO.gov</w:t>
        </w:r>
      </w:hyperlink>
    </w:p>
    <w:p w:rsidRPr="008979E2" w:rsidR="008979E2" w:rsidP="008979E2" w:rsidRDefault="0021465B" w14:paraId="135BE25D" w14:textId="3777C003">
      <w:pPr>
        <w:widowControl w:val="0"/>
        <w:autoSpaceDE w:val="0"/>
        <w:autoSpaceDN w:val="0"/>
        <w:spacing w:after="0" w:line="240" w:lineRule="auto"/>
        <w:rPr>
          <w:rFonts w:ascii="Arial" w:hAnsi="Arial" w:eastAsia="Times New Roman" w:cs="Arial"/>
          <w:sz w:val="24"/>
          <w:szCs w:val="24"/>
        </w:rPr>
      </w:pPr>
      <w:hyperlink w:history="1" r:id="rId22">
        <w:r w:rsidRPr="007F2348" w:rsidR="00A5027B">
          <w:rPr>
            <w:rStyle w:val="Hyperlink"/>
            <w:rFonts w:ascii="Arial" w:hAnsi="Arial" w:eastAsia="Calibri" w:cs="Arial"/>
            <w:color w:val="auto"/>
            <w:sz w:val="24"/>
            <w:szCs w:val="24"/>
          </w:rPr>
          <w:t>thomas.shepherd@ohioAGO.gov</w:t>
        </w:r>
      </w:hyperlink>
    </w:p>
    <w:p w:rsidRPr="004E4C20" w:rsidR="004E4C20" w:rsidP="004E4C20" w:rsidRDefault="004E4C20" w14:paraId="6E0B77F8" w14:textId="77777777">
      <w:pPr>
        <w:widowControl w:val="0"/>
        <w:autoSpaceDE w:val="0"/>
        <w:autoSpaceDN w:val="0"/>
        <w:spacing w:after="0" w:line="240" w:lineRule="auto"/>
        <w:rPr>
          <w:rFonts w:ascii="Arial" w:hAnsi="Arial" w:eastAsia="Times New Roman" w:cs="Arial"/>
          <w:b/>
          <w:bCs/>
          <w:sz w:val="24"/>
          <w:szCs w:val="24"/>
        </w:rPr>
      </w:pPr>
    </w:p>
    <w:p w:rsidRPr="004E4C20" w:rsidR="004E4C20" w:rsidP="004E4C20" w:rsidRDefault="004E4C20" w14:paraId="49064441" w14:textId="77777777">
      <w:pPr>
        <w:widowControl w:val="0"/>
        <w:autoSpaceDE w:val="0"/>
        <w:autoSpaceDN w:val="0"/>
        <w:spacing w:after="0" w:line="240" w:lineRule="auto"/>
        <w:rPr>
          <w:rFonts w:ascii="Arial" w:hAnsi="Arial" w:eastAsia="Times New Roman" w:cs="Arial"/>
          <w:b/>
          <w:bCs/>
          <w:sz w:val="24"/>
          <w:szCs w:val="24"/>
        </w:rPr>
      </w:pPr>
      <w:r w:rsidRPr="004E4C20">
        <w:rPr>
          <w:rFonts w:ascii="Arial" w:hAnsi="Arial" w:eastAsia="Times New Roman" w:cs="Arial"/>
          <w:b/>
          <w:bCs/>
          <w:sz w:val="24"/>
          <w:szCs w:val="24"/>
        </w:rPr>
        <w:t xml:space="preserve">ChargePoint, Inc. </w:t>
      </w:r>
    </w:p>
    <w:p w:rsidRPr="004E4C20" w:rsidR="004E4C20" w:rsidP="004E4C20" w:rsidRDefault="004E4C20" w14:paraId="10753F78"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Dylan F. Borchers </w:t>
      </w:r>
    </w:p>
    <w:p w:rsidRPr="004E4C20" w:rsidR="004E4C20" w:rsidP="004E4C20" w:rsidRDefault="004E4C20" w14:paraId="7D108780"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Kara H. Herrnstein </w:t>
      </w:r>
    </w:p>
    <w:p w:rsidRPr="004E4C20" w:rsidR="004E4C20" w:rsidP="004E4C20" w:rsidRDefault="004E4C20" w14:paraId="7E2B4071"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BRICKER &amp; ECKLER LLP </w:t>
      </w:r>
    </w:p>
    <w:p w:rsidRPr="004E4C20" w:rsidR="004E4C20" w:rsidP="004E4C20" w:rsidRDefault="0021465B" w14:paraId="5C54347F" w14:textId="77777777">
      <w:pPr>
        <w:widowControl w:val="0"/>
        <w:autoSpaceDE w:val="0"/>
        <w:autoSpaceDN w:val="0"/>
        <w:spacing w:after="0" w:line="240" w:lineRule="auto"/>
        <w:rPr>
          <w:rFonts w:ascii="Arial" w:hAnsi="Arial" w:eastAsia="Times New Roman" w:cs="Arial"/>
          <w:sz w:val="24"/>
          <w:szCs w:val="24"/>
        </w:rPr>
      </w:pPr>
      <w:hyperlink w:history="1" r:id="rId23">
        <w:r w:rsidRPr="007F2348" w:rsidR="004E4C20">
          <w:rPr>
            <w:rFonts w:ascii="Arial" w:hAnsi="Arial" w:eastAsia="Times New Roman" w:cs="Arial"/>
            <w:sz w:val="24"/>
            <w:szCs w:val="24"/>
            <w:u w:val="single"/>
          </w:rPr>
          <w:t>dborchers@bricker.com</w:t>
        </w:r>
      </w:hyperlink>
      <w:r w:rsidRPr="004E4C20" w:rsidR="004E4C20">
        <w:rPr>
          <w:rFonts w:ascii="Arial" w:hAnsi="Arial" w:eastAsia="Times New Roman" w:cs="Arial"/>
          <w:sz w:val="24"/>
          <w:szCs w:val="24"/>
        </w:rPr>
        <w:t xml:space="preserve"> </w:t>
      </w:r>
    </w:p>
    <w:p w:rsidRPr="004E4C20" w:rsidR="004E4C20" w:rsidP="004E4C20" w:rsidRDefault="0021465B" w14:paraId="256ED94F" w14:textId="77777777">
      <w:pPr>
        <w:widowControl w:val="0"/>
        <w:autoSpaceDE w:val="0"/>
        <w:autoSpaceDN w:val="0"/>
        <w:spacing w:after="0" w:line="240" w:lineRule="auto"/>
        <w:rPr>
          <w:rFonts w:ascii="Arial" w:hAnsi="Arial" w:eastAsia="Times New Roman" w:cs="Arial"/>
          <w:sz w:val="24"/>
          <w:szCs w:val="24"/>
        </w:rPr>
      </w:pPr>
      <w:hyperlink w:history="1" r:id="rId24">
        <w:r w:rsidRPr="007F2348" w:rsidR="004E4C20">
          <w:rPr>
            <w:rFonts w:ascii="Arial" w:hAnsi="Arial" w:eastAsia="Times New Roman" w:cs="Arial"/>
            <w:sz w:val="24"/>
            <w:szCs w:val="24"/>
            <w:u w:val="single"/>
          </w:rPr>
          <w:t>kherrnstein@bricker.com</w:t>
        </w:r>
      </w:hyperlink>
      <w:r w:rsidRPr="004E4C20" w:rsidR="004E4C20">
        <w:rPr>
          <w:rFonts w:ascii="Arial" w:hAnsi="Arial" w:eastAsia="Times New Roman" w:cs="Arial"/>
          <w:sz w:val="24"/>
          <w:szCs w:val="24"/>
        </w:rPr>
        <w:t xml:space="preserve"> </w:t>
      </w:r>
    </w:p>
    <w:p w:rsidRPr="004E4C20" w:rsidR="004E4C20" w:rsidP="004E4C20" w:rsidRDefault="004E4C20" w14:paraId="28937821" w14:textId="77777777">
      <w:pPr>
        <w:widowControl w:val="0"/>
        <w:autoSpaceDE w:val="0"/>
        <w:autoSpaceDN w:val="0"/>
        <w:spacing w:after="0" w:line="240" w:lineRule="auto"/>
        <w:rPr>
          <w:rFonts w:ascii="Arial" w:hAnsi="Arial" w:eastAsia="Times New Roman" w:cs="Arial"/>
          <w:sz w:val="24"/>
          <w:szCs w:val="24"/>
        </w:rPr>
      </w:pPr>
    </w:p>
    <w:p w:rsidRPr="004E4C20" w:rsidR="004E4C20" w:rsidP="004E4C20" w:rsidRDefault="004E4C20" w14:paraId="3C7447F4" w14:textId="77777777">
      <w:pPr>
        <w:widowControl w:val="0"/>
        <w:autoSpaceDE w:val="0"/>
        <w:autoSpaceDN w:val="0"/>
        <w:spacing w:after="0" w:line="240" w:lineRule="auto"/>
        <w:rPr>
          <w:rFonts w:ascii="Arial" w:hAnsi="Arial" w:eastAsia="Times New Roman" w:cs="Arial"/>
          <w:b/>
          <w:bCs/>
          <w:sz w:val="24"/>
          <w:szCs w:val="24"/>
        </w:rPr>
      </w:pPr>
      <w:r w:rsidRPr="004E4C20">
        <w:rPr>
          <w:rFonts w:ascii="Arial" w:hAnsi="Arial" w:eastAsia="Times New Roman" w:cs="Arial"/>
          <w:b/>
          <w:bCs/>
          <w:sz w:val="24"/>
          <w:szCs w:val="24"/>
        </w:rPr>
        <w:t>The Ohio Manufacturers’ Association Energy Group</w:t>
      </w:r>
    </w:p>
    <w:p w:rsidRPr="004E4C20" w:rsidR="004E4C20" w:rsidP="004E4C20" w:rsidRDefault="004E4C20" w14:paraId="53F93DCC"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Kimberly W. Bojko </w:t>
      </w:r>
    </w:p>
    <w:p w:rsidRPr="004E4C20" w:rsidR="004E4C20" w:rsidP="004E4C20" w:rsidRDefault="004E4C20" w14:paraId="1BC49301"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Thomas </w:t>
      </w:r>
      <w:proofErr w:type="spellStart"/>
      <w:r w:rsidRPr="004E4C20">
        <w:rPr>
          <w:rFonts w:ascii="Arial" w:hAnsi="Arial" w:eastAsia="Times New Roman" w:cs="Arial"/>
          <w:sz w:val="24"/>
          <w:szCs w:val="24"/>
        </w:rPr>
        <w:t>Donadio</w:t>
      </w:r>
      <w:proofErr w:type="spellEnd"/>
    </w:p>
    <w:p w:rsidRPr="004E4C20" w:rsidR="004E4C20" w:rsidP="004E4C20" w:rsidRDefault="004E4C20" w14:paraId="5F48434F" w14:textId="77777777">
      <w:pPr>
        <w:widowControl w:val="0"/>
        <w:autoSpaceDE w:val="0"/>
        <w:autoSpaceDN w:val="0"/>
        <w:spacing w:after="0" w:line="240" w:lineRule="auto"/>
        <w:rPr>
          <w:rFonts w:ascii="Arial" w:hAnsi="Arial" w:eastAsia="Times New Roman" w:cs="Arial"/>
          <w:sz w:val="24"/>
          <w:szCs w:val="24"/>
        </w:rPr>
      </w:pPr>
      <w:r w:rsidRPr="004E4C20">
        <w:rPr>
          <w:rFonts w:ascii="Arial" w:hAnsi="Arial" w:eastAsia="Times New Roman" w:cs="Arial"/>
          <w:sz w:val="24"/>
          <w:szCs w:val="24"/>
        </w:rPr>
        <w:t xml:space="preserve">Carpenter </w:t>
      </w:r>
      <w:proofErr w:type="spellStart"/>
      <w:r w:rsidRPr="004E4C20">
        <w:rPr>
          <w:rFonts w:ascii="Arial" w:hAnsi="Arial" w:eastAsia="Times New Roman" w:cs="Arial"/>
          <w:sz w:val="24"/>
          <w:szCs w:val="24"/>
        </w:rPr>
        <w:t>Lipps</w:t>
      </w:r>
      <w:proofErr w:type="spellEnd"/>
      <w:r w:rsidRPr="004E4C20">
        <w:rPr>
          <w:rFonts w:ascii="Arial" w:hAnsi="Arial" w:eastAsia="Times New Roman" w:cs="Arial"/>
          <w:sz w:val="24"/>
          <w:szCs w:val="24"/>
        </w:rPr>
        <w:t xml:space="preserve"> &amp; Leland LLP </w:t>
      </w:r>
    </w:p>
    <w:p w:rsidRPr="007F2348" w:rsidR="004E4C20" w:rsidP="004E4C20" w:rsidRDefault="0021465B" w14:paraId="724B2582" w14:textId="77777777">
      <w:pPr>
        <w:widowControl w:val="0"/>
        <w:autoSpaceDE w:val="0"/>
        <w:autoSpaceDN w:val="0"/>
        <w:spacing w:after="0" w:line="240" w:lineRule="auto"/>
        <w:rPr>
          <w:rFonts w:ascii="Arial" w:hAnsi="Arial" w:eastAsia="Times New Roman" w:cs="Arial"/>
          <w:sz w:val="24"/>
          <w:szCs w:val="24"/>
          <w:u w:val="single"/>
        </w:rPr>
      </w:pPr>
      <w:hyperlink w:history="1" r:id="rId25">
        <w:r w:rsidRPr="007F2348" w:rsidR="004E4C20">
          <w:rPr>
            <w:rFonts w:ascii="Arial" w:hAnsi="Arial" w:eastAsia="Times New Roman" w:cs="Arial"/>
            <w:sz w:val="24"/>
            <w:szCs w:val="24"/>
            <w:u w:val="single"/>
          </w:rPr>
          <w:t>Bojko@carpenterlipps.com</w:t>
        </w:r>
      </w:hyperlink>
    </w:p>
    <w:p w:rsidR="001A348E" w:rsidP="004D35B7" w:rsidRDefault="0021465B" w14:paraId="308C9B42" w14:textId="015FB81D">
      <w:pPr>
        <w:widowControl w:val="0"/>
        <w:autoSpaceDE w:val="0"/>
        <w:autoSpaceDN w:val="0"/>
        <w:spacing w:after="0" w:line="240" w:lineRule="auto"/>
        <w:rPr>
          <w:rFonts w:ascii="Arial" w:hAnsi="Arial" w:eastAsia="Times New Roman" w:cs="Arial"/>
          <w:sz w:val="24"/>
          <w:szCs w:val="24"/>
        </w:rPr>
      </w:pPr>
      <w:hyperlink w:history="1" r:id="rId26">
        <w:r w:rsidRPr="007F2348" w:rsidR="004E4C20">
          <w:rPr>
            <w:rFonts w:ascii="Arial" w:hAnsi="Arial" w:eastAsia="Times New Roman" w:cs="Arial"/>
            <w:sz w:val="24"/>
            <w:szCs w:val="24"/>
            <w:u w:val="single"/>
          </w:rPr>
          <w:t>Donadio@carpenterlipps.com</w:t>
        </w:r>
      </w:hyperlink>
      <w:r w:rsidRPr="004E4C20" w:rsidR="004E4C20">
        <w:rPr>
          <w:rFonts w:ascii="Arial" w:hAnsi="Arial" w:eastAsia="Times New Roman" w:cs="Arial"/>
          <w:sz w:val="24"/>
          <w:szCs w:val="24"/>
        </w:rPr>
        <w:t xml:space="preserve"> </w:t>
      </w:r>
    </w:p>
    <w:p w:rsidRPr="004D35B7" w:rsidR="004D35B7" w:rsidP="004D35B7" w:rsidRDefault="004D35B7" w14:paraId="5026E19D" w14:textId="77777777">
      <w:pPr>
        <w:widowControl w:val="0"/>
        <w:autoSpaceDE w:val="0"/>
        <w:autoSpaceDN w:val="0"/>
        <w:spacing w:after="0" w:line="240" w:lineRule="auto"/>
        <w:rPr>
          <w:rFonts w:ascii="Arial" w:hAnsi="Arial" w:eastAsia="Times New Roman" w:cs="Arial"/>
          <w:sz w:val="24"/>
          <w:szCs w:val="24"/>
        </w:rPr>
      </w:pPr>
    </w:p>
    <w:p w:rsidRPr="00E751F3" w:rsidR="00E751F3" w:rsidP="00E751F3" w:rsidRDefault="00E751F3" w14:paraId="2579D70B" w14:textId="77777777">
      <w:pPr>
        <w:spacing w:after="0" w:line="240" w:lineRule="auto"/>
        <w:rPr>
          <w:rFonts w:ascii="Arial" w:hAnsi="Arial" w:eastAsia="Times New Roman" w:cs="Arial"/>
          <w:b/>
          <w:bCs/>
          <w:sz w:val="24"/>
          <w:szCs w:val="24"/>
        </w:rPr>
      </w:pPr>
      <w:proofErr w:type="spellStart"/>
      <w:r w:rsidRPr="00E751F3">
        <w:rPr>
          <w:rFonts w:ascii="Arial" w:hAnsi="Arial" w:eastAsia="Times New Roman" w:cs="Arial"/>
          <w:b/>
          <w:bCs/>
          <w:sz w:val="24"/>
          <w:szCs w:val="24"/>
        </w:rPr>
        <w:t>EVgo</w:t>
      </w:r>
      <w:proofErr w:type="spellEnd"/>
      <w:r w:rsidRPr="00E751F3">
        <w:rPr>
          <w:rFonts w:ascii="Arial" w:hAnsi="Arial" w:eastAsia="Times New Roman" w:cs="Arial"/>
          <w:b/>
          <w:bCs/>
          <w:sz w:val="24"/>
          <w:szCs w:val="24"/>
        </w:rPr>
        <w:t xml:space="preserve"> Services, LLC </w:t>
      </w:r>
    </w:p>
    <w:p w:rsidRPr="00E751F3" w:rsidR="00E751F3" w:rsidP="00E751F3" w:rsidRDefault="00E751F3" w14:paraId="4E3B74B2" w14:textId="77777777">
      <w:pPr>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Alicia </w:t>
      </w:r>
      <w:proofErr w:type="spellStart"/>
      <w:r w:rsidRPr="00E751F3">
        <w:rPr>
          <w:rFonts w:ascii="Arial" w:hAnsi="Arial" w:eastAsia="Times New Roman" w:cs="Arial"/>
          <w:sz w:val="24"/>
          <w:szCs w:val="24"/>
        </w:rPr>
        <w:t>Zaloga</w:t>
      </w:r>
      <w:proofErr w:type="spellEnd"/>
    </w:p>
    <w:p w:rsidRPr="00E751F3" w:rsidR="00E751F3" w:rsidP="00E751F3" w:rsidRDefault="00E751F3" w14:paraId="59F8B73D" w14:textId="77777777">
      <w:pPr>
        <w:spacing w:after="0" w:line="240" w:lineRule="auto"/>
        <w:rPr>
          <w:rFonts w:ascii="Arial" w:hAnsi="Arial" w:eastAsia="Times New Roman" w:cs="Arial"/>
          <w:sz w:val="24"/>
          <w:szCs w:val="24"/>
        </w:rPr>
      </w:pPr>
      <w:r w:rsidRPr="00E751F3">
        <w:rPr>
          <w:rFonts w:ascii="Arial" w:hAnsi="Arial" w:eastAsia="Times New Roman" w:cs="Arial"/>
          <w:sz w:val="24"/>
          <w:szCs w:val="24"/>
        </w:rPr>
        <w:t>Jacob Schlesinger</w:t>
      </w:r>
    </w:p>
    <w:p w:rsidRPr="00E751F3" w:rsidR="00E751F3" w:rsidP="00E751F3" w:rsidRDefault="00E751F3" w14:paraId="359A928D" w14:textId="77777777">
      <w:pPr>
        <w:spacing w:after="0" w:line="240" w:lineRule="auto"/>
        <w:rPr>
          <w:rFonts w:ascii="Arial" w:hAnsi="Arial" w:eastAsia="Times New Roman" w:cs="Arial"/>
          <w:sz w:val="24"/>
          <w:szCs w:val="24"/>
        </w:rPr>
      </w:pPr>
      <w:r w:rsidRPr="00E751F3">
        <w:rPr>
          <w:rFonts w:ascii="Arial" w:hAnsi="Arial" w:eastAsia="Times New Roman" w:cs="Arial"/>
          <w:sz w:val="24"/>
          <w:szCs w:val="24"/>
        </w:rPr>
        <w:t>Lilly McKenna</w:t>
      </w:r>
    </w:p>
    <w:p w:rsidRPr="00E751F3" w:rsidR="00E751F3" w:rsidP="00E751F3" w:rsidRDefault="00E751F3" w14:paraId="05F4FA93" w14:textId="77777777">
      <w:pPr>
        <w:spacing w:after="0" w:line="240" w:lineRule="auto"/>
        <w:rPr>
          <w:rFonts w:ascii="Arial" w:hAnsi="Arial" w:eastAsia="Times New Roman" w:cs="Arial"/>
          <w:sz w:val="24"/>
          <w:szCs w:val="24"/>
        </w:rPr>
      </w:pPr>
      <w:r w:rsidRPr="00E751F3">
        <w:rPr>
          <w:rFonts w:ascii="Arial" w:hAnsi="Arial" w:eastAsia="Times New Roman" w:cs="Arial"/>
          <w:sz w:val="24"/>
          <w:szCs w:val="24"/>
        </w:rPr>
        <w:t>Keyes &amp; Fox LLP</w:t>
      </w:r>
    </w:p>
    <w:p w:rsidRPr="00E751F3" w:rsidR="00E751F3" w:rsidP="00E751F3" w:rsidRDefault="0021465B" w14:paraId="223D9A98" w14:textId="77777777">
      <w:pPr>
        <w:spacing w:after="0" w:line="240" w:lineRule="auto"/>
        <w:rPr>
          <w:rFonts w:ascii="Arial" w:hAnsi="Arial" w:eastAsia="Times New Roman" w:cs="Arial"/>
          <w:sz w:val="24"/>
          <w:szCs w:val="24"/>
        </w:rPr>
      </w:pPr>
      <w:hyperlink w:history="1" r:id="rId27">
        <w:r w:rsidRPr="007F2348" w:rsidR="00E751F3">
          <w:rPr>
            <w:rFonts w:ascii="Arial" w:hAnsi="Arial" w:eastAsia="Times New Roman" w:cs="Arial"/>
            <w:sz w:val="24"/>
            <w:szCs w:val="24"/>
            <w:u w:val="single"/>
          </w:rPr>
          <w:t>jschlesinger@keyesfox.com</w:t>
        </w:r>
      </w:hyperlink>
      <w:r w:rsidRPr="00E751F3" w:rsidR="00E751F3">
        <w:rPr>
          <w:rFonts w:ascii="Arial" w:hAnsi="Arial" w:eastAsia="Times New Roman" w:cs="Arial"/>
          <w:sz w:val="24"/>
          <w:szCs w:val="24"/>
        </w:rPr>
        <w:t xml:space="preserve"> </w:t>
      </w:r>
    </w:p>
    <w:p w:rsidRPr="00E751F3" w:rsidR="00E751F3" w:rsidP="00E751F3" w:rsidRDefault="0021465B" w14:paraId="30606DBF" w14:textId="77777777">
      <w:pPr>
        <w:spacing w:after="0" w:line="240" w:lineRule="auto"/>
        <w:rPr>
          <w:rFonts w:ascii="Arial" w:hAnsi="Arial" w:eastAsia="Times New Roman" w:cs="Arial"/>
          <w:sz w:val="24"/>
          <w:szCs w:val="24"/>
        </w:rPr>
      </w:pPr>
      <w:hyperlink w:history="1" r:id="rId28">
        <w:r w:rsidRPr="007F2348" w:rsidR="00E751F3">
          <w:rPr>
            <w:rFonts w:ascii="Arial" w:hAnsi="Arial" w:eastAsia="Times New Roman" w:cs="Arial"/>
            <w:sz w:val="24"/>
            <w:szCs w:val="24"/>
            <w:u w:val="single"/>
          </w:rPr>
          <w:t>azaloga@keyesfox.com</w:t>
        </w:r>
      </w:hyperlink>
      <w:r w:rsidRPr="00E751F3" w:rsidR="00E751F3">
        <w:rPr>
          <w:rFonts w:ascii="Arial" w:hAnsi="Arial" w:eastAsia="Times New Roman" w:cs="Arial"/>
          <w:sz w:val="24"/>
          <w:szCs w:val="24"/>
        </w:rPr>
        <w:t xml:space="preserve"> </w:t>
      </w:r>
    </w:p>
    <w:p w:rsidRPr="00E751F3" w:rsidR="00E751F3" w:rsidP="00E751F3" w:rsidRDefault="0021465B" w14:paraId="7E5EF886" w14:textId="77777777">
      <w:pPr>
        <w:spacing w:after="0" w:line="240" w:lineRule="auto"/>
        <w:rPr>
          <w:rFonts w:ascii="Arial" w:hAnsi="Arial" w:eastAsia="Times New Roman" w:cs="Arial"/>
          <w:sz w:val="24"/>
          <w:szCs w:val="24"/>
        </w:rPr>
      </w:pPr>
      <w:hyperlink w:history="1" r:id="rId29">
        <w:r w:rsidRPr="007F2348" w:rsidR="00E751F3">
          <w:rPr>
            <w:rFonts w:ascii="Arial" w:hAnsi="Arial" w:eastAsia="Times New Roman" w:cs="Arial"/>
            <w:sz w:val="24"/>
            <w:szCs w:val="24"/>
            <w:u w:val="single"/>
          </w:rPr>
          <w:t>lmckenna@keyesfox.com</w:t>
        </w:r>
      </w:hyperlink>
      <w:r w:rsidRPr="00E751F3" w:rsidR="00E751F3">
        <w:rPr>
          <w:rFonts w:ascii="Arial" w:hAnsi="Arial" w:eastAsia="Times New Roman" w:cs="Arial"/>
          <w:sz w:val="24"/>
          <w:szCs w:val="24"/>
        </w:rPr>
        <w:t xml:space="preserve"> </w:t>
      </w:r>
    </w:p>
    <w:p w:rsidRPr="00E751F3" w:rsidR="00E751F3" w:rsidP="00E751F3" w:rsidRDefault="00E751F3" w14:paraId="1C71191A" w14:textId="77777777">
      <w:pPr>
        <w:widowControl w:val="0"/>
        <w:autoSpaceDE w:val="0"/>
        <w:autoSpaceDN w:val="0"/>
        <w:spacing w:after="0" w:line="240" w:lineRule="auto"/>
        <w:rPr>
          <w:rFonts w:ascii="Arial" w:hAnsi="Arial" w:eastAsia="Times New Roman" w:cs="Arial"/>
          <w:b/>
          <w:bCs/>
          <w:sz w:val="24"/>
          <w:szCs w:val="24"/>
        </w:rPr>
      </w:pPr>
    </w:p>
    <w:p w:rsidRPr="00E751F3" w:rsidR="00E751F3" w:rsidP="00E751F3" w:rsidRDefault="00E751F3" w14:paraId="39DCCDFE" w14:textId="77777777">
      <w:pPr>
        <w:widowControl w:val="0"/>
        <w:autoSpaceDE w:val="0"/>
        <w:autoSpaceDN w:val="0"/>
        <w:spacing w:after="0" w:line="240" w:lineRule="auto"/>
        <w:rPr>
          <w:rFonts w:ascii="Arial" w:hAnsi="Arial" w:eastAsia="Times New Roman" w:cs="Arial"/>
          <w:b/>
          <w:bCs/>
          <w:sz w:val="24"/>
          <w:szCs w:val="24"/>
        </w:rPr>
      </w:pPr>
      <w:r w:rsidRPr="00E751F3">
        <w:rPr>
          <w:rFonts w:ascii="Arial" w:hAnsi="Arial" w:eastAsia="Times New Roman" w:cs="Arial"/>
          <w:b/>
          <w:bCs/>
          <w:sz w:val="24"/>
          <w:szCs w:val="24"/>
        </w:rPr>
        <w:t xml:space="preserve">Industrial Energy Users-Ohio </w:t>
      </w:r>
    </w:p>
    <w:p w:rsidRPr="00E751F3" w:rsidR="00E751F3" w:rsidP="00E751F3" w:rsidRDefault="00E751F3" w14:paraId="66D7510D"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Matthew R. Pritchard </w:t>
      </w:r>
    </w:p>
    <w:p w:rsidRPr="00E751F3" w:rsidR="00E751F3" w:rsidP="00E751F3" w:rsidRDefault="00E751F3" w14:paraId="6D4D605F"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Rebekah J. Glover </w:t>
      </w:r>
    </w:p>
    <w:p w:rsidRPr="00E751F3" w:rsidR="00E751F3" w:rsidP="00E751F3" w:rsidRDefault="00E751F3" w14:paraId="4C7717FE"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Bryce A. McKenney </w:t>
      </w:r>
    </w:p>
    <w:p w:rsidRPr="00E751F3" w:rsidR="00E751F3" w:rsidP="00E751F3" w:rsidRDefault="00E751F3" w14:paraId="0FE0524E"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MCNEES WALLACE &amp; NURICK LLC</w:t>
      </w:r>
    </w:p>
    <w:p w:rsidRPr="00E751F3" w:rsidR="00E751F3" w:rsidP="00E751F3" w:rsidRDefault="0021465B" w14:paraId="2BC22472" w14:textId="77777777">
      <w:pPr>
        <w:widowControl w:val="0"/>
        <w:autoSpaceDE w:val="0"/>
        <w:autoSpaceDN w:val="0"/>
        <w:spacing w:after="0" w:line="240" w:lineRule="auto"/>
        <w:rPr>
          <w:rFonts w:ascii="Arial" w:hAnsi="Arial" w:eastAsia="Times New Roman" w:cs="Arial"/>
          <w:sz w:val="24"/>
          <w:szCs w:val="24"/>
        </w:rPr>
      </w:pPr>
      <w:hyperlink w:history="1" r:id="rId30">
        <w:r w:rsidRPr="007F2348" w:rsidR="00E751F3">
          <w:rPr>
            <w:rFonts w:ascii="Arial" w:hAnsi="Arial" w:eastAsia="Times New Roman" w:cs="Arial"/>
            <w:sz w:val="24"/>
            <w:szCs w:val="24"/>
            <w:u w:val="single"/>
          </w:rPr>
          <w:t>mpritchard@mcneeslaw.com</w:t>
        </w:r>
      </w:hyperlink>
      <w:r w:rsidRPr="00E751F3" w:rsidR="00E751F3">
        <w:rPr>
          <w:rFonts w:ascii="Arial" w:hAnsi="Arial" w:eastAsia="Times New Roman" w:cs="Arial"/>
          <w:sz w:val="24"/>
          <w:szCs w:val="24"/>
        </w:rPr>
        <w:t xml:space="preserve"> </w:t>
      </w:r>
    </w:p>
    <w:p w:rsidRPr="00E751F3" w:rsidR="00E751F3" w:rsidP="00E751F3" w:rsidRDefault="0021465B" w14:paraId="51FD0666" w14:textId="77777777">
      <w:pPr>
        <w:widowControl w:val="0"/>
        <w:autoSpaceDE w:val="0"/>
        <w:autoSpaceDN w:val="0"/>
        <w:spacing w:after="0" w:line="240" w:lineRule="auto"/>
        <w:rPr>
          <w:rFonts w:ascii="Arial" w:hAnsi="Arial" w:eastAsia="Times New Roman" w:cs="Arial"/>
          <w:sz w:val="24"/>
          <w:szCs w:val="24"/>
        </w:rPr>
      </w:pPr>
      <w:hyperlink w:history="1" r:id="rId31">
        <w:r w:rsidRPr="007F2348" w:rsidR="00E751F3">
          <w:rPr>
            <w:rFonts w:ascii="Arial" w:hAnsi="Arial" w:eastAsia="Times New Roman" w:cs="Arial"/>
            <w:sz w:val="24"/>
            <w:szCs w:val="24"/>
            <w:u w:val="single"/>
          </w:rPr>
          <w:t>rglover@mcneeslaw.com</w:t>
        </w:r>
      </w:hyperlink>
      <w:r w:rsidRPr="00E751F3" w:rsidR="00E751F3">
        <w:rPr>
          <w:rFonts w:ascii="Arial" w:hAnsi="Arial" w:eastAsia="Times New Roman" w:cs="Arial"/>
          <w:sz w:val="24"/>
          <w:szCs w:val="24"/>
        </w:rPr>
        <w:t xml:space="preserve"> </w:t>
      </w:r>
    </w:p>
    <w:p w:rsidRPr="00E751F3" w:rsidR="00E751F3" w:rsidP="00E751F3" w:rsidRDefault="0021465B" w14:paraId="72EB60DA" w14:textId="77777777">
      <w:pPr>
        <w:widowControl w:val="0"/>
        <w:autoSpaceDE w:val="0"/>
        <w:autoSpaceDN w:val="0"/>
        <w:spacing w:after="0" w:line="240" w:lineRule="auto"/>
        <w:rPr>
          <w:rFonts w:ascii="Arial" w:hAnsi="Arial" w:eastAsia="Times New Roman" w:cs="Arial"/>
          <w:sz w:val="24"/>
          <w:szCs w:val="24"/>
        </w:rPr>
      </w:pPr>
      <w:hyperlink w:history="1" r:id="rId32">
        <w:r w:rsidRPr="007F2348" w:rsidR="00E751F3">
          <w:rPr>
            <w:rFonts w:ascii="Arial" w:hAnsi="Arial" w:eastAsia="Times New Roman" w:cs="Arial"/>
            <w:sz w:val="24"/>
            <w:szCs w:val="24"/>
            <w:u w:val="single"/>
          </w:rPr>
          <w:t>bmckenney@mcneeslaw.com</w:t>
        </w:r>
      </w:hyperlink>
      <w:r w:rsidRPr="00E751F3" w:rsidR="00E751F3">
        <w:rPr>
          <w:rFonts w:ascii="Arial" w:hAnsi="Arial" w:eastAsia="Times New Roman" w:cs="Arial"/>
          <w:sz w:val="24"/>
          <w:szCs w:val="24"/>
        </w:rPr>
        <w:t xml:space="preserve"> </w:t>
      </w:r>
    </w:p>
    <w:p w:rsidRPr="00E751F3" w:rsidR="00E751F3" w:rsidP="00E751F3" w:rsidRDefault="00E751F3" w14:paraId="4AEF7751" w14:textId="77777777">
      <w:pPr>
        <w:widowControl w:val="0"/>
        <w:autoSpaceDE w:val="0"/>
        <w:autoSpaceDN w:val="0"/>
        <w:spacing w:after="0" w:line="240" w:lineRule="auto"/>
        <w:rPr>
          <w:rFonts w:ascii="Arial" w:hAnsi="Arial" w:eastAsia="Times New Roman" w:cs="Arial"/>
          <w:sz w:val="24"/>
          <w:szCs w:val="24"/>
        </w:rPr>
      </w:pPr>
    </w:p>
    <w:p w:rsidRPr="00E751F3" w:rsidR="00E751F3" w:rsidP="00E751F3" w:rsidRDefault="00E751F3" w14:paraId="5FC13C76" w14:textId="77777777">
      <w:pPr>
        <w:widowControl w:val="0"/>
        <w:autoSpaceDE w:val="0"/>
        <w:autoSpaceDN w:val="0"/>
        <w:spacing w:after="0" w:line="240" w:lineRule="auto"/>
        <w:rPr>
          <w:rFonts w:ascii="Arial" w:hAnsi="Arial" w:eastAsia="Times New Roman" w:cs="Arial"/>
          <w:b/>
          <w:bCs/>
          <w:sz w:val="24"/>
          <w:szCs w:val="24"/>
        </w:rPr>
      </w:pPr>
      <w:r w:rsidRPr="00E751F3">
        <w:rPr>
          <w:rFonts w:ascii="Arial" w:hAnsi="Arial" w:eastAsia="Times New Roman" w:cs="Arial"/>
          <w:b/>
          <w:bCs/>
          <w:sz w:val="24"/>
          <w:szCs w:val="24"/>
        </w:rPr>
        <w:t xml:space="preserve">Natural Resources Defense Council </w:t>
      </w:r>
    </w:p>
    <w:p w:rsidRPr="00E751F3" w:rsidR="00E751F3" w:rsidP="00E751F3" w:rsidRDefault="00E751F3" w14:paraId="13395323" w14:textId="77777777">
      <w:pPr>
        <w:widowControl w:val="0"/>
        <w:autoSpaceDE w:val="0"/>
        <w:autoSpaceDN w:val="0"/>
        <w:spacing w:after="0" w:line="240" w:lineRule="auto"/>
        <w:rPr>
          <w:rFonts w:ascii="Arial" w:hAnsi="Arial" w:eastAsia="Times New Roman" w:cs="Arial"/>
          <w:b/>
          <w:bCs/>
          <w:sz w:val="24"/>
          <w:szCs w:val="24"/>
        </w:rPr>
      </w:pPr>
      <w:r w:rsidRPr="00E751F3">
        <w:rPr>
          <w:rFonts w:ascii="Arial" w:hAnsi="Arial" w:eastAsia="Times New Roman" w:cs="Arial"/>
          <w:b/>
          <w:bCs/>
          <w:sz w:val="24"/>
          <w:szCs w:val="24"/>
        </w:rPr>
        <w:t xml:space="preserve">Ohio Partners for Affordable Energy </w:t>
      </w:r>
    </w:p>
    <w:p w:rsidRPr="00E751F3" w:rsidR="00E751F3" w:rsidP="00E751F3" w:rsidRDefault="00E751F3" w14:paraId="19371825"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Robert Dove </w:t>
      </w:r>
    </w:p>
    <w:p w:rsidRPr="00E751F3" w:rsidR="00E751F3" w:rsidP="00E751F3" w:rsidRDefault="00E751F3" w14:paraId="71A60048"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Kegler Brown Hill + Ritter Co., L.P.A. </w:t>
      </w:r>
    </w:p>
    <w:p w:rsidRPr="00E751F3" w:rsidR="00E751F3" w:rsidP="00E751F3" w:rsidRDefault="0021465B" w14:paraId="0865B6E2" w14:textId="77777777">
      <w:pPr>
        <w:widowControl w:val="0"/>
        <w:autoSpaceDE w:val="0"/>
        <w:autoSpaceDN w:val="0"/>
        <w:spacing w:after="0" w:line="240" w:lineRule="auto"/>
        <w:rPr>
          <w:rFonts w:ascii="Arial" w:hAnsi="Arial" w:eastAsia="Times New Roman" w:cs="Arial"/>
          <w:sz w:val="24"/>
          <w:szCs w:val="24"/>
        </w:rPr>
      </w:pPr>
      <w:hyperlink w:history="1" r:id="rId33">
        <w:r w:rsidRPr="007F2348" w:rsidR="00E751F3">
          <w:rPr>
            <w:rFonts w:ascii="Arial" w:hAnsi="Arial" w:eastAsia="Times New Roman" w:cs="Arial"/>
            <w:sz w:val="24"/>
            <w:szCs w:val="24"/>
            <w:u w:val="single"/>
          </w:rPr>
          <w:t>rdove@keglerbrown.com</w:t>
        </w:r>
      </w:hyperlink>
      <w:r w:rsidRPr="00E751F3" w:rsidR="00E751F3">
        <w:rPr>
          <w:rFonts w:ascii="Arial" w:hAnsi="Arial" w:eastAsia="Times New Roman" w:cs="Arial"/>
          <w:sz w:val="24"/>
          <w:szCs w:val="24"/>
        </w:rPr>
        <w:t xml:space="preserve"> </w:t>
      </w:r>
    </w:p>
    <w:p w:rsidRPr="00E751F3" w:rsidR="00E751F3" w:rsidP="00E751F3" w:rsidRDefault="00E751F3" w14:paraId="41259ECB" w14:textId="77777777">
      <w:pPr>
        <w:widowControl w:val="0"/>
        <w:autoSpaceDE w:val="0"/>
        <w:autoSpaceDN w:val="0"/>
        <w:spacing w:after="0" w:line="240" w:lineRule="auto"/>
        <w:rPr>
          <w:rFonts w:ascii="Arial" w:hAnsi="Arial" w:eastAsia="Times New Roman" w:cs="Arial"/>
          <w:sz w:val="24"/>
          <w:szCs w:val="24"/>
        </w:rPr>
      </w:pPr>
    </w:p>
    <w:p w:rsidRPr="00E751F3" w:rsidR="00E751F3" w:rsidP="00E751F3" w:rsidRDefault="00E751F3" w14:paraId="5B49AF68" w14:textId="77777777">
      <w:pPr>
        <w:widowControl w:val="0"/>
        <w:autoSpaceDE w:val="0"/>
        <w:autoSpaceDN w:val="0"/>
        <w:spacing w:after="0" w:line="240" w:lineRule="auto"/>
        <w:rPr>
          <w:rFonts w:ascii="Arial" w:hAnsi="Arial" w:eastAsia="Times New Roman" w:cs="Arial"/>
          <w:b/>
          <w:bCs/>
          <w:sz w:val="24"/>
          <w:szCs w:val="24"/>
        </w:rPr>
      </w:pPr>
      <w:r w:rsidRPr="00E751F3">
        <w:rPr>
          <w:rFonts w:ascii="Arial" w:hAnsi="Arial" w:eastAsia="Times New Roman" w:cs="Arial"/>
          <w:b/>
          <w:bCs/>
          <w:sz w:val="24"/>
          <w:szCs w:val="24"/>
        </w:rPr>
        <w:t>The Ohio Environmental Council</w:t>
      </w:r>
    </w:p>
    <w:p w:rsidRPr="00E751F3" w:rsidR="00E751F3" w:rsidP="00E751F3" w:rsidRDefault="00E751F3" w14:paraId="34DB0492"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Miranda Leppla, Esq. </w:t>
      </w:r>
    </w:p>
    <w:p w:rsidRPr="00E751F3" w:rsidR="00E751F3" w:rsidP="00E751F3" w:rsidRDefault="00E751F3" w14:paraId="514B1C12"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Trent Dougherty, Esq. </w:t>
      </w:r>
    </w:p>
    <w:p w:rsidRPr="00E751F3" w:rsidR="00E751F3" w:rsidP="00E751F3" w:rsidRDefault="00E751F3" w14:paraId="4980BFDF" w14:textId="77777777">
      <w:pPr>
        <w:widowControl w:val="0"/>
        <w:autoSpaceDE w:val="0"/>
        <w:autoSpaceDN w:val="0"/>
        <w:spacing w:after="0" w:line="240" w:lineRule="auto"/>
        <w:rPr>
          <w:rFonts w:ascii="Arial" w:hAnsi="Arial" w:eastAsia="Times New Roman" w:cs="Arial"/>
          <w:sz w:val="24"/>
          <w:szCs w:val="24"/>
        </w:rPr>
      </w:pPr>
      <w:r w:rsidRPr="00E751F3">
        <w:rPr>
          <w:rFonts w:ascii="Arial" w:hAnsi="Arial" w:eastAsia="Times New Roman" w:cs="Arial"/>
          <w:sz w:val="24"/>
          <w:szCs w:val="24"/>
        </w:rPr>
        <w:t xml:space="preserve">Chris Tavenor, Esq. </w:t>
      </w:r>
    </w:p>
    <w:p w:rsidRPr="00E751F3" w:rsidR="00E751F3" w:rsidP="00E751F3" w:rsidRDefault="0021465B" w14:paraId="6B4DA5FA" w14:textId="77777777">
      <w:pPr>
        <w:widowControl w:val="0"/>
        <w:autoSpaceDE w:val="0"/>
        <w:autoSpaceDN w:val="0"/>
        <w:spacing w:after="0" w:line="240" w:lineRule="auto"/>
        <w:rPr>
          <w:rFonts w:ascii="Arial" w:hAnsi="Arial" w:eastAsia="Times New Roman" w:cs="Arial"/>
          <w:sz w:val="24"/>
          <w:szCs w:val="24"/>
        </w:rPr>
      </w:pPr>
      <w:hyperlink w:history="1" r:id="rId34">
        <w:r w:rsidRPr="007F2348" w:rsidR="00E751F3">
          <w:rPr>
            <w:rFonts w:ascii="Arial" w:hAnsi="Arial" w:eastAsia="Times New Roman" w:cs="Arial"/>
            <w:sz w:val="24"/>
            <w:szCs w:val="24"/>
            <w:u w:val="single"/>
          </w:rPr>
          <w:t>mleppla@theOEC.org</w:t>
        </w:r>
      </w:hyperlink>
      <w:r w:rsidRPr="00E751F3" w:rsidR="00E751F3">
        <w:rPr>
          <w:rFonts w:ascii="Arial" w:hAnsi="Arial" w:eastAsia="Times New Roman" w:cs="Arial"/>
          <w:sz w:val="24"/>
          <w:szCs w:val="24"/>
        </w:rPr>
        <w:t xml:space="preserve"> </w:t>
      </w:r>
    </w:p>
    <w:p w:rsidRPr="00E751F3" w:rsidR="00E751F3" w:rsidP="00E751F3" w:rsidRDefault="0021465B" w14:paraId="1CE54B1A" w14:textId="77777777">
      <w:pPr>
        <w:widowControl w:val="0"/>
        <w:autoSpaceDE w:val="0"/>
        <w:autoSpaceDN w:val="0"/>
        <w:spacing w:after="0" w:line="240" w:lineRule="auto"/>
        <w:rPr>
          <w:rFonts w:ascii="Arial" w:hAnsi="Arial" w:eastAsia="Times New Roman" w:cs="Arial"/>
          <w:sz w:val="24"/>
          <w:szCs w:val="24"/>
        </w:rPr>
      </w:pPr>
      <w:hyperlink w:history="1" r:id="rId35">
        <w:r w:rsidRPr="007F2348" w:rsidR="00E751F3">
          <w:rPr>
            <w:rFonts w:ascii="Arial" w:hAnsi="Arial" w:eastAsia="Times New Roman" w:cs="Arial"/>
            <w:sz w:val="24"/>
            <w:szCs w:val="24"/>
            <w:u w:val="single"/>
          </w:rPr>
          <w:t>tdougherty@theOEC.org</w:t>
        </w:r>
      </w:hyperlink>
      <w:r w:rsidRPr="00E751F3" w:rsidR="00E751F3">
        <w:rPr>
          <w:rFonts w:ascii="Arial" w:hAnsi="Arial" w:eastAsia="Times New Roman" w:cs="Arial"/>
          <w:sz w:val="24"/>
          <w:szCs w:val="24"/>
        </w:rPr>
        <w:t xml:space="preserve"> </w:t>
      </w:r>
    </w:p>
    <w:p w:rsidRPr="00E751F3" w:rsidR="00E751F3" w:rsidP="00E751F3" w:rsidRDefault="0021465B" w14:paraId="237EF1D9" w14:textId="77777777">
      <w:pPr>
        <w:widowControl w:val="0"/>
        <w:autoSpaceDE w:val="0"/>
        <w:autoSpaceDN w:val="0"/>
        <w:spacing w:after="0" w:line="240" w:lineRule="auto"/>
        <w:rPr>
          <w:rFonts w:ascii="Arial" w:hAnsi="Arial" w:eastAsia="Times New Roman" w:cs="Arial"/>
          <w:sz w:val="24"/>
          <w:szCs w:val="24"/>
        </w:rPr>
      </w:pPr>
      <w:hyperlink w:history="1" r:id="rId36">
        <w:r w:rsidRPr="007F2348" w:rsidR="00E751F3">
          <w:rPr>
            <w:rFonts w:ascii="Arial" w:hAnsi="Arial" w:eastAsia="Times New Roman" w:cs="Arial"/>
            <w:sz w:val="24"/>
            <w:szCs w:val="24"/>
            <w:u w:val="single"/>
          </w:rPr>
          <w:t>ctavenor@theOEC.org</w:t>
        </w:r>
      </w:hyperlink>
      <w:r w:rsidRPr="00E751F3" w:rsidR="00E751F3">
        <w:rPr>
          <w:rFonts w:ascii="Arial" w:hAnsi="Arial" w:eastAsia="Times New Roman" w:cs="Arial"/>
          <w:sz w:val="24"/>
          <w:szCs w:val="24"/>
        </w:rPr>
        <w:t xml:space="preserve"> </w:t>
      </w:r>
    </w:p>
    <w:p w:rsidR="004E4C20" w:rsidP="001A348E" w:rsidRDefault="004E4C20" w14:paraId="168872BF" w14:textId="1D00395F"/>
    <w:p w:rsidRPr="003B6372" w:rsidR="003B6372" w:rsidP="003B6372" w:rsidRDefault="003B6372" w14:paraId="2AE1529B" w14:textId="77777777">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t>The Ohio Hospital Association</w:t>
      </w:r>
    </w:p>
    <w:p w:rsidRPr="003B6372" w:rsidR="003B6372" w:rsidP="003B6372" w:rsidRDefault="003B6372" w14:paraId="212AC4F9"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Devin D. Parram</w:t>
      </w:r>
    </w:p>
    <w:p w:rsidRPr="003B6372" w:rsidR="003B6372" w:rsidP="003B6372" w:rsidRDefault="003B6372" w14:paraId="00D354EF"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Rachel N. Mains </w:t>
      </w:r>
    </w:p>
    <w:p w:rsidRPr="003B6372" w:rsidR="003B6372" w:rsidP="003B6372" w:rsidRDefault="003B6372" w14:paraId="466E0B72"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BRICKER &amp; ECKLER LLP </w:t>
      </w:r>
    </w:p>
    <w:p w:rsidRPr="003B6372" w:rsidR="003B6372" w:rsidP="003B6372" w:rsidRDefault="0021465B" w14:paraId="06B9FE38" w14:textId="77777777">
      <w:pPr>
        <w:widowControl w:val="0"/>
        <w:autoSpaceDE w:val="0"/>
        <w:autoSpaceDN w:val="0"/>
        <w:spacing w:after="0" w:line="240" w:lineRule="auto"/>
        <w:rPr>
          <w:rFonts w:ascii="Arial" w:hAnsi="Arial" w:eastAsia="Times New Roman" w:cs="Arial"/>
          <w:sz w:val="24"/>
          <w:szCs w:val="24"/>
        </w:rPr>
      </w:pPr>
      <w:hyperlink w:history="1" r:id="rId37">
        <w:r w:rsidRPr="007F2348" w:rsidR="003B6372">
          <w:rPr>
            <w:rFonts w:ascii="Arial" w:hAnsi="Arial" w:eastAsia="Times New Roman" w:cs="Arial"/>
            <w:sz w:val="24"/>
            <w:szCs w:val="24"/>
            <w:u w:val="single"/>
          </w:rPr>
          <w:t>dparram@bricker.com</w:t>
        </w:r>
      </w:hyperlink>
      <w:r w:rsidRPr="003B6372" w:rsidR="003B6372">
        <w:rPr>
          <w:rFonts w:ascii="Arial" w:hAnsi="Arial" w:eastAsia="Times New Roman" w:cs="Arial"/>
          <w:sz w:val="24"/>
          <w:szCs w:val="24"/>
        </w:rPr>
        <w:t xml:space="preserve"> </w:t>
      </w:r>
    </w:p>
    <w:p w:rsidRPr="003B6372" w:rsidR="003B6372" w:rsidP="003B6372" w:rsidRDefault="0021465B" w14:paraId="285A5534" w14:textId="77777777">
      <w:pPr>
        <w:widowControl w:val="0"/>
        <w:autoSpaceDE w:val="0"/>
        <w:autoSpaceDN w:val="0"/>
        <w:spacing w:after="0" w:line="240" w:lineRule="auto"/>
        <w:rPr>
          <w:rFonts w:ascii="Arial" w:hAnsi="Arial" w:eastAsia="Times New Roman" w:cs="Arial"/>
          <w:sz w:val="24"/>
          <w:szCs w:val="24"/>
        </w:rPr>
      </w:pPr>
      <w:hyperlink w:history="1" r:id="rId38">
        <w:r w:rsidRPr="007F2348" w:rsidR="003B6372">
          <w:rPr>
            <w:rFonts w:ascii="Arial" w:hAnsi="Arial" w:eastAsia="Times New Roman" w:cs="Arial"/>
            <w:sz w:val="24"/>
            <w:szCs w:val="24"/>
            <w:u w:val="single"/>
          </w:rPr>
          <w:t>rmains@bricker.com</w:t>
        </w:r>
      </w:hyperlink>
      <w:r w:rsidRPr="003B6372" w:rsidR="003B6372">
        <w:rPr>
          <w:rFonts w:ascii="Arial" w:hAnsi="Arial" w:eastAsia="Times New Roman" w:cs="Arial"/>
          <w:sz w:val="24"/>
          <w:szCs w:val="24"/>
        </w:rPr>
        <w:t xml:space="preserve"> </w:t>
      </w:r>
    </w:p>
    <w:p w:rsidRPr="003B6372" w:rsidR="003B6372" w:rsidP="003B6372" w:rsidRDefault="003B6372" w14:paraId="2C8381D6" w14:textId="77777777">
      <w:pPr>
        <w:widowControl w:val="0"/>
        <w:autoSpaceDE w:val="0"/>
        <w:autoSpaceDN w:val="0"/>
        <w:spacing w:after="0" w:line="240" w:lineRule="auto"/>
        <w:rPr>
          <w:rFonts w:ascii="Arial" w:hAnsi="Arial" w:eastAsia="Times New Roman" w:cs="Arial"/>
          <w:sz w:val="24"/>
          <w:szCs w:val="24"/>
        </w:rPr>
      </w:pPr>
    </w:p>
    <w:p w:rsidRPr="00CD19C2" w:rsidR="007F2348" w:rsidP="007F2348" w:rsidRDefault="007F2348" w14:paraId="26AAFBF1" w14:textId="77777777">
      <w:pPr>
        <w:widowControl w:val="0"/>
        <w:autoSpaceDE w:val="0"/>
        <w:autoSpaceDN w:val="0"/>
        <w:spacing w:after="0" w:line="240" w:lineRule="auto"/>
        <w:rPr>
          <w:rFonts w:ascii="Arial" w:hAnsi="Arial" w:eastAsia="Times New Roman" w:cs="Arial"/>
          <w:b/>
          <w:bCs/>
          <w:sz w:val="24"/>
          <w:szCs w:val="24"/>
        </w:rPr>
      </w:pPr>
      <w:r w:rsidRPr="00CD19C2">
        <w:rPr>
          <w:rFonts w:ascii="Arial" w:hAnsi="Arial" w:eastAsia="Times New Roman" w:cs="Arial"/>
          <w:b/>
          <w:bCs/>
          <w:sz w:val="24"/>
          <w:szCs w:val="24"/>
        </w:rPr>
        <w:t xml:space="preserve">Direct Energy Business, LLC and Direct Energy Services, LLC </w:t>
      </w:r>
    </w:p>
    <w:p w:rsidRPr="00CD19C2" w:rsidR="007F2348" w:rsidP="007F2348" w:rsidRDefault="007F2348" w14:paraId="089003B4" w14:textId="77777777">
      <w:pPr>
        <w:widowControl w:val="0"/>
        <w:autoSpaceDE w:val="0"/>
        <w:autoSpaceDN w:val="0"/>
        <w:spacing w:after="0" w:line="240" w:lineRule="auto"/>
        <w:rPr>
          <w:rFonts w:ascii="Arial" w:hAnsi="Arial" w:eastAsia="Times New Roman" w:cs="Arial"/>
          <w:sz w:val="24"/>
          <w:szCs w:val="24"/>
        </w:rPr>
      </w:pPr>
      <w:r w:rsidRPr="00CD19C2">
        <w:rPr>
          <w:rFonts w:ascii="Arial" w:hAnsi="Arial" w:eastAsia="Times New Roman" w:cs="Arial"/>
          <w:sz w:val="24"/>
          <w:szCs w:val="24"/>
        </w:rPr>
        <w:t xml:space="preserve">Mark A. Whitt, Esq. </w:t>
      </w:r>
    </w:p>
    <w:p w:rsidRPr="00CD19C2" w:rsidR="007F2348" w:rsidP="007F2348" w:rsidRDefault="007F2348" w14:paraId="17EAB7E1" w14:textId="77777777">
      <w:pPr>
        <w:widowControl w:val="0"/>
        <w:autoSpaceDE w:val="0"/>
        <w:autoSpaceDN w:val="0"/>
        <w:spacing w:after="0" w:line="240" w:lineRule="auto"/>
        <w:rPr>
          <w:rFonts w:ascii="Arial" w:hAnsi="Arial" w:eastAsia="Times New Roman" w:cs="Arial"/>
          <w:sz w:val="24"/>
          <w:szCs w:val="24"/>
        </w:rPr>
      </w:pPr>
      <w:r w:rsidRPr="00CD19C2">
        <w:rPr>
          <w:rFonts w:ascii="Arial" w:hAnsi="Arial" w:eastAsia="Times New Roman" w:cs="Arial"/>
          <w:sz w:val="24"/>
          <w:szCs w:val="24"/>
        </w:rPr>
        <w:t xml:space="preserve">Lucas A. Fykes, Esq. </w:t>
      </w:r>
    </w:p>
    <w:p w:rsidRPr="00CD19C2" w:rsidR="007F2348" w:rsidP="007F2348" w:rsidRDefault="007F2348" w14:paraId="229D0204" w14:textId="77777777">
      <w:pPr>
        <w:widowControl w:val="0"/>
        <w:autoSpaceDE w:val="0"/>
        <w:autoSpaceDN w:val="0"/>
        <w:spacing w:after="0" w:line="240" w:lineRule="auto"/>
        <w:rPr>
          <w:rFonts w:ascii="Arial" w:hAnsi="Arial" w:eastAsia="Times New Roman" w:cs="Arial"/>
          <w:sz w:val="24"/>
          <w:szCs w:val="24"/>
        </w:rPr>
      </w:pPr>
      <w:r w:rsidRPr="00CD19C2">
        <w:rPr>
          <w:rFonts w:ascii="Arial" w:hAnsi="Arial" w:eastAsia="Times New Roman" w:cs="Arial"/>
          <w:sz w:val="24"/>
          <w:szCs w:val="24"/>
        </w:rPr>
        <w:t>WHITT STURTEVANT LLP</w:t>
      </w:r>
    </w:p>
    <w:p w:rsidRPr="00CD19C2" w:rsidR="007F2348" w:rsidP="007F2348" w:rsidRDefault="001B229D" w14:paraId="7C630DAB" w14:textId="77777777">
      <w:pPr>
        <w:widowControl w:val="0"/>
        <w:autoSpaceDE w:val="0"/>
        <w:autoSpaceDN w:val="0"/>
        <w:spacing w:after="0" w:line="240" w:lineRule="auto"/>
        <w:rPr>
          <w:rFonts w:ascii="Arial" w:hAnsi="Arial" w:eastAsia="Times New Roman" w:cs="Arial"/>
          <w:sz w:val="24"/>
          <w:szCs w:val="24"/>
        </w:rPr>
      </w:pPr>
      <w:hyperlink w:history="1" r:id="rId39">
        <w:r w:rsidRPr="002939CC" w:rsidR="007F2348">
          <w:rPr>
            <w:rFonts w:ascii="Arial" w:hAnsi="Arial" w:eastAsia="Times New Roman" w:cs="Arial"/>
            <w:sz w:val="24"/>
            <w:szCs w:val="24"/>
            <w:u w:val="single"/>
          </w:rPr>
          <w:t>whitt@whitt-sturtevant.com</w:t>
        </w:r>
      </w:hyperlink>
      <w:r w:rsidRPr="00CD19C2" w:rsidR="007F2348">
        <w:rPr>
          <w:rFonts w:ascii="Arial" w:hAnsi="Arial" w:eastAsia="Times New Roman" w:cs="Arial"/>
          <w:sz w:val="24"/>
          <w:szCs w:val="24"/>
        </w:rPr>
        <w:t xml:space="preserve"> </w:t>
      </w:r>
    </w:p>
    <w:p w:rsidRPr="002939CC" w:rsidR="007F2348" w:rsidP="007F2348" w:rsidRDefault="001B229D" w14:paraId="7F105E7D" w14:textId="77777777">
      <w:pPr>
        <w:spacing w:after="0" w:line="240" w:lineRule="auto"/>
        <w:rPr>
          <w:rFonts w:ascii="Arial" w:hAnsi="Arial" w:eastAsia="Times New Roman" w:cs="Arial"/>
          <w:sz w:val="24"/>
          <w:szCs w:val="24"/>
          <w:u w:val="single"/>
        </w:rPr>
      </w:pPr>
      <w:hyperlink w:history="1" r:id="rId40">
        <w:r w:rsidRPr="002939CC" w:rsidR="007F2348">
          <w:rPr>
            <w:rFonts w:ascii="Arial" w:hAnsi="Arial" w:eastAsia="Times New Roman" w:cs="Arial"/>
            <w:sz w:val="24"/>
            <w:szCs w:val="24"/>
            <w:u w:val="single"/>
          </w:rPr>
          <w:t>fykes@whitt-sturtevant.com</w:t>
        </w:r>
      </w:hyperlink>
    </w:p>
    <w:p w:rsidRPr="003B6372" w:rsidR="003B6372" w:rsidP="003B6372" w:rsidRDefault="003B6372" w14:paraId="4C18AF54" w14:textId="77777777">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lastRenderedPageBreak/>
        <w:t xml:space="preserve">Walmart Inc. </w:t>
      </w:r>
    </w:p>
    <w:p w:rsidRPr="003B6372" w:rsidR="003B6372" w:rsidP="003B6372" w:rsidRDefault="003B6372" w14:paraId="6A0B1962"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Carrie H. Grundmann </w:t>
      </w:r>
    </w:p>
    <w:p w:rsidRPr="003B6372" w:rsidR="003B6372" w:rsidP="003B6372" w:rsidRDefault="003B6372" w14:paraId="46D9A5B5"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Derrick Price Williamson </w:t>
      </w:r>
    </w:p>
    <w:p w:rsidRPr="003B6372" w:rsidR="003B6372" w:rsidP="003B6372" w:rsidRDefault="003B6372" w14:paraId="26B6FA2E"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SPILMAN THOMAS &amp; BATTLE, PLLC</w:t>
      </w:r>
    </w:p>
    <w:p w:rsidRPr="003B6372" w:rsidR="003B6372" w:rsidP="003B6372" w:rsidRDefault="0021465B" w14:paraId="54A87FFD" w14:textId="77777777">
      <w:pPr>
        <w:widowControl w:val="0"/>
        <w:autoSpaceDE w:val="0"/>
        <w:autoSpaceDN w:val="0"/>
        <w:spacing w:after="0" w:line="240" w:lineRule="auto"/>
        <w:rPr>
          <w:rFonts w:ascii="Arial" w:hAnsi="Arial" w:eastAsia="Times New Roman" w:cs="Arial"/>
          <w:sz w:val="24"/>
          <w:szCs w:val="24"/>
        </w:rPr>
      </w:pPr>
      <w:hyperlink w:history="1" r:id="rId41">
        <w:r w:rsidRPr="007F2348" w:rsidR="003B6372">
          <w:rPr>
            <w:rFonts w:ascii="Arial" w:hAnsi="Arial" w:eastAsia="Times New Roman" w:cs="Arial"/>
            <w:sz w:val="24"/>
            <w:szCs w:val="24"/>
            <w:u w:val="single"/>
          </w:rPr>
          <w:t>cgrundmann@spilmanlaw.com</w:t>
        </w:r>
      </w:hyperlink>
      <w:r w:rsidRPr="003B6372" w:rsidR="003B6372">
        <w:rPr>
          <w:rFonts w:ascii="Arial" w:hAnsi="Arial" w:eastAsia="Times New Roman" w:cs="Arial"/>
          <w:sz w:val="24"/>
          <w:szCs w:val="24"/>
        </w:rPr>
        <w:t xml:space="preserve"> </w:t>
      </w:r>
    </w:p>
    <w:p w:rsidRPr="003B6372" w:rsidR="003B6372" w:rsidP="003B6372" w:rsidRDefault="0021465B" w14:paraId="5F42FF79" w14:textId="77777777">
      <w:pPr>
        <w:widowControl w:val="0"/>
        <w:autoSpaceDE w:val="0"/>
        <w:autoSpaceDN w:val="0"/>
        <w:spacing w:after="0" w:line="240" w:lineRule="auto"/>
        <w:rPr>
          <w:rFonts w:ascii="Arial" w:hAnsi="Arial" w:eastAsia="Times New Roman" w:cs="Arial"/>
          <w:sz w:val="24"/>
          <w:szCs w:val="24"/>
        </w:rPr>
      </w:pPr>
      <w:hyperlink w:history="1" r:id="rId42">
        <w:r w:rsidRPr="007F2348" w:rsidR="003B6372">
          <w:rPr>
            <w:rFonts w:ascii="Arial" w:hAnsi="Arial" w:eastAsia="Times New Roman" w:cs="Arial"/>
            <w:sz w:val="24"/>
            <w:szCs w:val="24"/>
            <w:u w:val="single"/>
          </w:rPr>
          <w:t>dwilliamson@spilmanlaw.com</w:t>
        </w:r>
      </w:hyperlink>
      <w:r w:rsidRPr="003B6372" w:rsidR="003B6372">
        <w:rPr>
          <w:rFonts w:ascii="Arial" w:hAnsi="Arial" w:eastAsia="Times New Roman" w:cs="Arial"/>
          <w:sz w:val="24"/>
          <w:szCs w:val="24"/>
        </w:rPr>
        <w:t xml:space="preserve"> </w:t>
      </w:r>
    </w:p>
    <w:p w:rsidRPr="003B6372" w:rsidR="003B6372" w:rsidP="003B6372" w:rsidRDefault="003B6372" w14:paraId="284FBABF"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Steve W. Chriss </w:t>
      </w:r>
    </w:p>
    <w:p w:rsidRPr="003B6372" w:rsidR="003B6372" w:rsidP="003B6372" w:rsidRDefault="003B6372" w14:paraId="15BBF98C"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Walmart Inc. </w:t>
      </w:r>
    </w:p>
    <w:p w:rsidRPr="003B6372" w:rsidR="003B6372" w:rsidP="003B6372" w:rsidRDefault="0021465B" w14:paraId="67612043" w14:textId="77777777">
      <w:pPr>
        <w:widowControl w:val="0"/>
        <w:autoSpaceDE w:val="0"/>
        <w:autoSpaceDN w:val="0"/>
        <w:spacing w:after="0" w:line="240" w:lineRule="auto"/>
        <w:rPr>
          <w:rFonts w:ascii="Arial" w:hAnsi="Arial" w:eastAsia="Times New Roman" w:cs="Arial"/>
          <w:sz w:val="24"/>
          <w:szCs w:val="24"/>
        </w:rPr>
      </w:pPr>
      <w:hyperlink w:history="1" r:id="rId43">
        <w:r w:rsidRPr="007F2348" w:rsidR="003B6372">
          <w:rPr>
            <w:rFonts w:ascii="Arial" w:hAnsi="Arial" w:eastAsia="Times New Roman" w:cs="Arial"/>
            <w:sz w:val="24"/>
            <w:szCs w:val="24"/>
            <w:u w:val="single"/>
          </w:rPr>
          <w:t>Stephen.Chriss@walmart.com</w:t>
        </w:r>
      </w:hyperlink>
    </w:p>
    <w:p w:rsidRPr="003B6372" w:rsidR="003B6372" w:rsidP="003B6372" w:rsidRDefault="003B6372" w14:paraId="33F7BFCD" w14:textId="77777777">
      <w:pPr>
        <w:spacing w:after="0" w:line="240" w:lineRule="auto"/>
        <w:rPr>
          <w:rFonts w:ascii="Arial" w:hAnsi="Arial" w:eastAsia="Times New Roman" w:cs="Arial"/>
          <w:b/>
          <w:bCs/>
          <w:sz w:val="24"/>
          <w:szCs w:val="24"/>
        </w:rPr>
      </w:pPr>
    </w:p>
    <w:p w:rsidRPr="003B6372" w:rsidR="003B6372" w:rsidP="003B6372" w:rsidRDefault="003B6372" w14:paraId="4285E62D" w14:textId="77777777">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t xml:space="preserve">Nationwide Energy Partners, LLC </w:t>
      </w:r>
    </w:p>
    <w:p w:rsidRPr="003B6372" w:rsidR="003B6372" w:rsidP="003B6372" w:rsidRDefault="003B6372" w14:paraId="25DC29DC" w14:textId="13BC5DD1">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t>Armada Power</w:t>
      </w:r>
      <w:r w:rsidR="00C2297F">
        <w:rPr>
          <w:rFonts w:ascii="Arial" w:hAnsi="Arial" w:eastAsia="Times New Roman" w:cs="Arial"/>
          <w:b/>
          <w:bCs/>
          <w:sz w:val="24"/>
          <w:szCs w:val="24"/>
        </w:rPr>
        <w:t>,</w:t>
      </w:r>
      <w:r w:rsidRPr="003B6372">
        <w:rPr>
          <w:rFonts w:ascii="Arial" w:hAnsi="Arial" w:eastAsia="Times New Roman" w:cs="Arial"/>
          <w:b/>
          <w:bCs/>
          <w:sz w:val="24"/>
          <w:szCs w:val="24"/>
        </w:rPr>
        <w:t xml:space="preserve"> LLC</w:t>
      </w:r>
    </w:p>
    <w:p w:rsidRPr="003B6372" w:rsidR="003B6372" w:rsidP="003B6372" w:rsidRDefault="003B6372" w14:paraId="0A3EAAC7" w14:textId="77777777">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t xml:space="preserve">Constellation </w:t>
      </w:r>
      <w:proofErr w:type="spellStart"/>
      <w:r w:rsidRPr="003B6372">
        <w:rPr>
          <w:rFonts w:ascii="Arial" w:hAnsi="Arial" w:eastAsia="Times New Roman" w:cs="Arial"/>
          <w:b/>
          <w:bCs/>
          <w:sz w:val="24"/>
          <w:szCs w:val="24"/>
        </w:rPr>
        <w:t>NewEnergy</w:t>
      </w:r>
      <w:proofErr w:type="spellEnd"/>
      <w:r w:rsidRPr="003B6372">
        <w:rPr>
          <w:rFonts w:ascii="Arial" w:hAnsi="Arial" w:eastAsia="Times New Roman" w:cs="Arial"/>
          <w:b/>
          <w:bCs/>
          <w:sz w:val="24"/>
          <w:szCs w:val="24"/>
        </w:rPr>
        <w:t>, Inc.</w:t>
      </w:r>
    </w:p>
    <w:p w:rsidRPr="003B6372" w:rsidR="003B6372" w:rsidP="003B6372" w:rsidRDefault="003B6372" w14:paraId="212A3D35"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Michael J. Settineri </w:t>
      </w:r>
    </w:p>
    <w:p w:rsidR="003B6372" w:rsidP="003B6372" w:rsidRDefault="003B6372" w14:paraId="6C7AD479" w14:textId="7703F694">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Gretchen L. Petrucci </w:t>
      </w:r>
    </w:p>
    <w:p w:rsidRPr="003B6372" w:rsidR="00DD313E" w:rsidP="003B6372" w:rsidRDefault="00DD313E" w14:paraId="6E177B42" w14:textId="2B37B8E1">
      <w:pPr>
        <w:widowControl w:val="0"/>
        <w:autoSpaceDE w:val="0"/>
        <w:autoSpaceDN w:val="0"/>
        <w:spacing w:after="0" w:line="240" w:lineRule="auto"/>
        <w:rPr>
          <w:rFonts w:ascii="Arial" w:hAnsi="Arial" w:eastAsia="Times New Roman" w:cs="Arial"/>
          <w:sz w:val="24"/>
          <w:szCs w:val="24"/>
        </w:rPr>
      </w:pPr>
      <w:r>
        <w:rPr>
          <w:rFonts w:ascii="Arial" w:hAnsi="Arial" w:eastAsia="Times New Roman" w:cs="Arial"/>
          <w:sz w:val="24"/>
          <w:szCs w:val="24"/>
        </w:rPr>
        <w:t>E</w:t>
      </w:r>
      <w:r w:rsidR="00BB2E8C">
        <w:rPr>
          <w:rFonts w:ascii="Arial" w:hAnsi="Arial" w:eastAsia="Times New Roman" w:cs="Arial"/>
          <w:sz w:val="24"/>
          <w:szCs w:val="24"/>
        </w:rPr>
        <w:t>li</w:t>
      </w:r>
      <w:r w:rsidR="00C2297F">
        <w:rPr>
          <w:rFonts w:ascii="Arial" w:hAnsi="Arial" w:eastAsia="Times New Roman" w:cs="Arial"/>
          <w:sz w:val="24"/>
          <w:szCs w:val="24"/>
        </w:rPr>
        <w:t>a</w:t>
      </w:r>
      <w:r>
        <w:rPr>
          <w:rFonts w:ascii="Arial" w:hAnsi="Arial" w:eastAsia="Times New Roman" w:cs="Arial"/>
          <w:sz w:val="24"/>
          <w:szCs w:val="24"/>
        </w:rPr>
        <w:t xml:space="preserve"> </w:t>
      </w:r>
      <w:proofErr w:type="spellStart"/>
      <w:r>
        <w:rPr>
          <w:rFonts w:ascii="Arial" w:hAnsi="Arial" w:eastAsia="Times New Roman" w:cs="Arial"/>
          <w:sz w:val="24"/>
          <w:szCs w:val="24"/>
        </w:rPr>
        <w:t>Woyt</w:t>
      </w:r>
      <w:proofErr w:type="spellEnd"/>
    </w:p>
    <w:p w:rsidRPr="003B6372" w:rsidR="003B6372" w:rsidP="003B6372" w:rsidRDefault="003B6372" w14:paraId="3F3604F7" w14:textId="77777777">
      <w:pPr>
        <w:widowControl w:val="0"/>
        <w:autoSpaceDE w:val="0"/>
        <w:autoSpaceDN w:val="0"/>
        <w:spacing w:after="0" w:line="240" w:lineRule="auto"/>
        <w:rPr>
          <w:rFonts w:ascii="Arial" w:hAnsi="Arial" w:eastAsia="Times New Roman" w:cs="Arial"/>
          <w:sz w:val="24"/>
          <w:szCs w:val="24"/>
        </w:rPr>
      </w:pPr>
      <w:proofErr w:type="spellStart"/>
      <w:r w:rsidRPr="003B6372">
        <w:rPr>
          <w:rFonts w:ascii="Arial" w:hAnsi="Arial" w:eastAsia="Times New Roman" w:cs="Arial"/>
          <w:sz w:val="24"/>
          <w:szCs w:val="24"/>
        </w:rPr>
        <w:t>Vorys</w:t>
      </w:r>
      <w:proofErr w:type="spellEnd"/>
      <w:r w:rsidRPr="003B6372">
        <w:rPr>
          <w:rFonts w:ascii="Arial" w:hAnsi="Arial" w:eastAsia="Times New Roman" w:cs="Arial"/>
          <w:sz w:val="24"/>
          <w:szCs w:val="24"/>
        </w:rPr>
        <w:t xml:space="preserve">, </w:t>
      </w:r>
      <w:proofErr w:type="spellStart"/>
      <w:r w:rsidRPr="003B6372">
        <w:rPr>
          <w:rFonts w:ascii="Arial" w:hAnsi="Arial" w:eastAsia="Times New Roman" w:cs="Arial"/>
          <w:sz w:val="24"/>
          <w:szCs w:val="24"/>
        </w:rPr>
        <w:t>Sater</w:t>
      </w:r>
      <w:proofErr w:type="spellEnd"/>
      <w:r w:rsidRPr="003B6372">
        <w:rPr>
          <w:rFonts w:ascii="Arial" w:hAnsi="Arial" w:eastAsia="Times New Roman" w:cs="Arial"/>
          <w:sz w:val="24"/>
          <w:szCs w:val="24"/>
        </w:rPr>
        <w:t xml:space="preserve">, Seymour and Pease LLP </w:t>
      </w:r>
    </w:p>
    <w:p w:rsidRPr="003B6372" w:rsidR="003B6372" w:rsidP="00BB2E8C" w:rsidRDefault="0021465B" w14:paraId="16695DDC" w14:textId="77777777">
      <w:pPr>
        <w:widowControl w:val="0"/>
        <w:autoSpaceDE w:val="0"/>
        <w:autoSpaceDN w:val="0"/>
        <w:spacing w:after="0" w:line="240" w:lineRule="auto"/>
        <w:rPr>
          <w:rFonts w:ascii="Arial" w:hAnsi="Arial" w:eastAsia="Times New Roman" w:cs="Arial"/>
          <w:sz w:val="24"/>
          <w:szCs w:val="24"/>
        </w:rPr>
      </w:pPr>
      <w:hyperlink w:history="1" r:id="rId44">
        <w:r w:rsidRPr="007F2348" w:rsidR="003B6372">
          <w:rPr>
            <w:rFonts w:ascii="Arial" w:hAnsi="Arial" w:eastAsia="Times New Roman" w:cs="Arial"/>
            <w:sz w:val="24"/>
            <w:szCs w:val="24"/>
            <w:u w:val="single"/>
          </w:rPr>
          <w:t>mjsettineri@vorys.com</w:t>
        </w:r>
      </w:hyperlink>
      <w:r w:rsidRPr="003B6372" w:rsidR="003B6372">
        <w:rPr>
          <w:rFonts w:ascii="Arial" w:hAnsi="Arial" w:eastAsia="Times New Roman" w:cs="Arial"/>
          <w:sz w:val="24"/>
          <w:szCs w:val="24"/>
        </w:rPr>
        <w:t xml:space="preserve"> </w:t>
      </w:r>
    </w:p>
    <w:p w:rsidRPr="00BB2E8C" w:rsidR="003B6372" w:rsidP="00BB2E8C" w:rsidRDefault="0021465B" w14:paraId="63428A80" w14:textId="6AD3007D">
      <w:pPr>
        <w:widowControl w:val="0"/>
        <w:autoSpaceDE w:val="0"/>
        <w:autoSpaceDN w:val="0"/>
        <w:spacing w:after="0" w:line="240" w:lineRule="auto"/>
        <w:rPr>
          <w:rFonts w:ascii="Arial" w:hAnsi="Arial" w:eastAsia="Times New Roman" w:cs="Arial"/>
          <w:sz w:val="24"/>
          <w:szCs w:val="24"/>
        </w:rPr>
      </w:pPr>
      <w:hyperlink w:history="1" r:id="rId45">
        <w:r w:rsidRPr="007F2348" w:rsidR="003B6372">
          <w:rPr>
            <w:rFonts w:ascii="Arial" w:hAnsi="Arial" w:eastAsia="Times New Roman" w:cs="Arial"/>
            <w:sz w:val="24"/>
            <w:szCs w:val="24"/>
            <w:u w:val="single"/>
          </w:rPr>
          <w:t>glpetrucci@vorys.com</w:t>
        </w:r>
      </w:hyperlink>
      <w:r w:rsidRPr="003B6372" w:rsidR="003B6372">
        <w:rPr>
          <w:rFonts w:ascii="Arial" w:hAnsi="Arial" w:eastAsia="Times New Roman" w:cs="Arial"/>
          <w:sz w:val="24"/>
          <w:szCs w:val="24"/>
        </w:rPr>
        <w:t xml:space="preserve"> </w:t>
      </w:r>
    </w:p>
    <w:p w:rsidRPr="00BB2E8C" w:rsidR="00BB2E8C" w:rsidP="00BB2E8C" w:rsidRDefault="0021465B" w14:paraId="1924EB56" w14:textId="77777777">
      <w:pPr>
        <w:spacing w:after="0"/>
        <w:rPr>
          <w:rFonts w:ascii="Arial" w:hAnsi="Arial" w:eastAsia="Calibri" w:cs="Arial"/>
          <w:sz w:val="24"/>
          <w:szCs w:val="24"/>
        </w:rPr>
      </w:pPr>
      <w:hyperlink r:id="rId46">
        <w:r w:rsidRPr="007F2348" w:rsidR="00BB2E8C">
          <w:rPr>
            <w:rStyle w:val="Hyperlink"/>
            <w:rFonts w:ascii="Arial" w:hAnsi="Arial" w:eastAsia="Calibri" w:cs="Arial"/>
            <w:color w:val="auto"/>
            <w:sz w:val="24"/>
            <w:szCs w:val="24"/>
          </w:rPr>
          <w:t>eowoyt@vorys.com</w:t>
        </w:r>
      </w:hyperlink>
    </w:p>
    <w:p w:rsidRPr="00BB2E8C" w:rsidR="00BB2E8C" w:rsidP="00BB2E8C" w:rsidRDefault="001A5AC8" w14:paraId="0BAD069B" w14:textId="77777777">
      <w:pPr>
        <w:spacing w:after="0"/>
        <w:rPr>
          <w:rFonts w:ascii="Arial" w:hAnsi="Arial" w:eastAsia="Calibri" w:cs="Arial"/>
          <w:sz w:val="24"/>
          <w:szCs w:val="24"/>
        </w:rPr>
      </w:pPr>
      <w:r w:rsidRPr="00BB2E8C">
        <w:rPr>
          <w:rFonts w:ascii="Arial" w:hAnsi="Arial" w:eastAsia="Times New Roman" w:cs="Arial"/>
          <w:sz w:val="24"/>
          <w:szCs w:val="24"/>
        </w:rPr>
        <w:t xml:space="preserve">Drew </w:t>
      </w:r>
      <w:proofErr w:type="spellStart"/>
      <w:r w:rsidRPr="00BB2E8C">
        <w:rPr>
          <w:rFonts w:ascii="Arial" w:hAnsi="Arial" w:eastAsia="Times New Roman" w:cs="Arial"/>
          <w:sz w:val="24"/>
          <w:szCs w:val="24"/>
        </w:rPr>
        <w:t>Romig</w:t>
      </w:r>
      <w:proofErr w:type="spellEnd"/>
    </w:p>
    <w:p w:rsidRPr="00BB2E8C" w:rsidR="001A5AC8" w:rsidP="00BB2E8C" w:rsidRDefault="001A5AC8" w14:paraId="184FC3C6" w14:textId="3C67D8BE">
      <w:pPr>
        <w:spacing w:after="0"/>
        <w:rPr>
          <w:rFonts w:ascii="Arial" w:hAnsi="Arial" w:eastAsia="Calibri" w:cs="Arial"/>
          <w:sz w:val="24"/>
          <w:szCs w:val="24"/>
        </w:rPr>
      </w:pPr>
      <w:r w:rsidRPr="00BB2E8C">
        <w:rPr>
          <w:rFonts w:ascii="Arial" w:hAnsi="Arial" w:eastAsia="Times New Roman" w:cs="Arial"/>
          <w:sz w:val="24"/>
          <w:szCs w:val="24"/>
        </w:rPr>
        <w:t>Armada Power</w:t>
      </w:r>
      <w:r w:rsidR="00C2297F">
        <w:rPr>
          <w:rFonts w:ascii="Arial" w:hAnsi="Arial" w:eastAsia="Times New Roman" w:cs="Arial"/>
          <w:sz w:val="24"/>
          <w:szCs w:val="24"/>
        </w:rPr>
        <w:t>,</w:t>
      </w:r>
      <w:r w:rsidRPr="00BB2E8C">
        <w:rPr>
          <w:rFonts w:ascii="Arial" w:hAnsi="Arial" w:eastAsia="Times New Roman" w:cs="Arial"/>
          <w:sz w:val="24"/>
          <w:szCs w:val="24"/>
        </w:rPr>
        <w:t xml:space="preserve"> LLC</w:t>
      </w:r>
    </w:p>
    <w:p w:rsidRPr="003B6372" w:rsidR="001A5AC8" w:rsidP="00BB2E8C" w:rsidRDefault="0021465B" w14:paraId="384086B0" w14:textId="6158594F">
      <w:pPr>
        <w:widowControl w:val="0"/>
        <w:autoSpaceDE w:val="0"/>
        <w:autoSpaceDN w:val="0"/>
        <w:spacing w:after="0" w:line="240" w:lineRule="auto"/>
        <w:rPr>
          <w:rFonts w:ascii="Arial" w:hAnsi="Arial" w:eastAsia="Times New Roman" w:cs="Arial"/>
          <w:sz w:val="24"/>
          <w:szCs w:val="24"/>
        </w:rPr>
      </w:pPr>
      <w:hyperlink w:history="1" r:id="rId47">
        <w:r w:rsidRPr="007F2348" w:rsidR="001A5AC8">
          <w:rPr>
            <w:rStyle w:val="Hyperlink"/>
            <w:rFonts w:ascii="Arial" w:hAnsi="Arial" w:eastAsia="Times New Roman" w:cs="Arial"/>
            <w:color w:val="auto"/>
            <w:sz w:val="24"/>
            <w:szCs w:val="24"/>
          </w:rPr>
          <w:t>dromig@armadapower.com</w:t>
        </w:r>
      </w:hyperlink>
      <w:r w:rsidRPr="00BB2E8C" w:rsidR="001A5AC8">
        <w:rPr>
          <w:rFonts w:ascii="Arial" w:hAnsi="Arial" w:eastAsia="Times New Roman" w:cs="Arial"/>
          <w:sz w:val="24"/>
          <w:szCs w:val="24"/>
        </w:rPr>
        <w:t xml:space="preserve"> </w:t>
      </w:r>
    </w:p>
    <w:p w:rsidRPr="003B6372" w:rsidR="003B6372" w:rsidP="003B6372" w:rsidRDefault="003B6372" w14:paraId="0AC83894" w14:textId="77777777">
      <w:pPr>
        <w:widowControl w:val="0"/>
        <w:autoSpaceDE w:val="0"/>
        <w:autoSpaceDN w:val="0"/>
        <w:spacing w:after="0" w:line="240" w:lineRule="auto"/>
        <w:rPr>
          <w:rFonts w:ascii="Arial" w:hAnsi="Arial" w:eastAsia="Times New Roman" w:cs="Arial"/>
          <w:b/>
          <w:bCs/>
          <w:sz w:val="24"/>
          <w:szCs w:val="24"/>
        </w:rPr>
      </w:pPr>
    </w:p>
    <w:p w:rsidRPr="003B6372" w:rsidR="003B6372" w:rsidP="003B6372" w:rsidRDefault="003B6372" w14:paraId="3E2F44B5"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b/>
          <w:bCs/>
          <w:sz w:val="24"/>
          <w:szCs w:val="24"/>
        </w:rPr>
        <w:t>The Environmental Law &amp; Policy Center</w:t>
      </w:r>
    </w:p>
    <w:p w:rsidRPr="003B6372" w:rsidR="003B6372" w:rsidP="003B6372" w:rsidRDefault="003B6372" w14:paraId="366B9D69"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Caroline Cox </w:t>
      </w:r>
    </w:p>
    <w:p w:rsidR="003B6372" w:rsidP="003B6372" w:rsidRDefault="003B6372" w14:paraId="59828DD3" w14:textId="73A72AD9">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Robert Kelter</w:t>
      </w:r>
    </w:p>
    <w:p w:rsidRPr="003B6372" w:rsidR="003E1E2E" w:rsidP="003B6372" w:rsidRDefault="003E1E2E" w14:paraId="6F23AF48" w14:textId="51772B02">
      <w:pPr>
        <w:widowControl w:val="0"/>
        <w:autoSpaceDE w:val="0"/>
        <w:autoSpaceDN w:val="0"/>
        <w:spacing w:after="0" w:line="240" w:lineRule="auto"/>
        <w:rPr>
          <w:rFonts w:ascii="Arial" w:hAnsi="Arial" w:eastAsia="Times New Roman" w:cs="Arial"/>
          <w:sz w:val="24"/>
          <w:szCs w:val="24"/>
        </w:rPr>
      </w:pPr>
      <w:r>
        <w:rPr>
          <w:rFonts w:ascii="Arial" w:hAnsi="Arial" w:eastAsia="Times New Roman" w:cs="Arial"/>
          <w:sz w:val="24"/>
          <w:szCs w:val="24"/>
        </w:rPr>
        <w:t xml:space="preserve">Rebecca </w:t>
      </w:r>
      <w:proofErr w:type="spellStart"/>
      <w:r>
        <w:rPr>
          <w:rFonts w:ascii="Arial" w:hAnsi="Arial" w:eastAsia="Times New Roman" w:cs="Arial"/>
          <w:sz w:val="24"/>
          <w:szCs w:val="24"/>
        </w:rPr>
        <w:t>Lazer</w:t>
      </w:r>
      <w:proofErr w:type="spellEnd"/>
    </w:p>
    <w:p w:rsidRPr="003B6372" w:rsidR="003B6372" w:rsidP="003B6372" w:rsidRDefault="0021465B" w14:paraId="0087B8D7" w14:textId="77777777">
      <w:pPr>
        <w:widowControl w:val="0"/>
        <w:autoSpaceDE w:val="0"/>
        <w:autoSpaceDN w:val="0"/>
        <w:spacing w:after="0" w:line="240" w:lineRule="auto"/>
        <w:rPr>
          <w:rFonts w:ascii="Arial" w:hAnsi="Arial" w:eastAsia="Times New Roman" w:cs="Arial"/>
          <w:sz w:val="24"/>
          <w:szCs w:val="24"/>
        </w:rPr>
      </w:pPr>
      <w:hyperlink w:history="1" r:id="rId48">
        <w:r w:rsidRPr="007F2348" w:rsidR="003B6372">
          <w:rPr>
            <w:rFonts w:ascii="Arial" w:hAnsi="Arial" w:eastAsia="Times New Roman" w:cs="Arial"/>
            <w:sz w:val="24"/>
            <w:szCs w:val="24"/>
            <w:u w:val="single"/>
          </w:rPr>
          <w:t>ccox@elpc.org</w:t>
        </w:r>
      </w:hyperlink>
      <w:r w:rsidRPr="003B6372" w:rsidR="003B6372">
        <w:rPr>
          <w:rFonts w:ascii="Arial" w:hAnsi="Arial" w:eastAsia="Times New Roman" w:cs="Arial"/>
          <w:sz w:val="24"/>
          <w:szCs w:val="24"/>
        </w:rPr>
        <w:t xml:space="preserve"> </w:t>
      </w:r>
    </w:p>
    <w:p w:rsidRPr="007F2348" w:rsidR="003E1E2E" w:rsidP="003B6372" w:rsidRDefault="0021465B" w14:paraId="686A2285" w14:textId="77777777">
      <w:pPr>
        <w:widowControl w:val="0"/>
        <w:autoSpaceDE w:val="0"/>
        <w:autoSpaceDN w:val="0"/>
        <w:spacing w:after="0" w:line="240" w:lineRule="auto"/>
        <w:rPr>
          <w:rFonts w:ascii="Arial" w:hAnsi="Arial" w:eastAsia="Times New Roman" w:cs="Arial"/>
          <w:sz w:val="24"/>
          <w:szCs w:val="24"/>
          <w:u w:val="single"/>
        </w:rPr>
      </w:pPr>
      <w:hyperlink w:history="1" r:id="rId49">
        <w:r w:rsidRPr="007F2348" w:rsidR="003B6372">
          <w:rPr>
            <w:rFonts w:ascii="Arial" w:hAnsi="Arial" w:eastAsia="Times New Roman" w:cs="Arial"/>
            <w:sz w:val="24"/>
            <w:szCs w:val="24"/>
            <w:u w:val="single"/>
          </w:rPr>
          <w:t>rkelter@elpc.org</w:t>
        </w:r>
      </w:hyperlink>
    </w:p>
    <w:p w:rsidRPr="003B6372" w:rsidR="003B6372" w:rsidP="003B6372" w:rsidRDefault="0021465B" w14:paraId="71CAB3C5" w14:textId="3A810B1B">
      <w:pPr>
        <w:widowControl w:val="0"/>
        <w:autoSpaceDE w:val="0"/>
        <w:autoSpaceDN w:val="0"/>
        <w:spacing w:after="0" w:line="240" w:lineRule="auto"/>
        <w:rPr>
          <w:rFonts w:ascii="Arial" w:hAnsi="Arial" w:eastAsia="Times New Roman" w:cs="Arial"/>
          <w:sz w:val="24"/>
          <w:szCs w:val="24"/>
        </w:rPr>
      </w:pPr>
      <w:hyperlink w:history="1" r:id="rId50">
        <w:r w:rsidRPr="007F2348" w:rsidR="003E1E2E">
          <w:rPr>
            <w:rStyle w:val="Hyperlink"/>
            <w:rFonts w:ascii="Arial" w:hAnsi="Arial" w:eastAsia="Times New Roman" w:cs="Arial"/>
            <w:color w:val="auto"/>
            <w:sz w:val="24"/>
            <w:szCs w:val="24"/>
          </w:rPr>
          <w:t>rlazer@elpc.org</w:t>
        </w:r>
      </w:hyperlink>
      <w:r w:rsidRPr="007F2348" w:rsidR="003E1E2E">
        <w:rPr>
          <w:rFonts w:ascii="Arial" w:hAnsi="Arial" w:eastAsia="Times New Roman" w:cs="Arial"/>
          <w:sz w:val="24"/>
          <w:szCs w:val="24"/>
          <w:u w:val="single"/>
        </w:rPr>
        <w:t xml:space="preserve"> </w:t>
      </w:r>
      <w:r w:rsidRPr="003B6372" w:rsidR="003B6372">
        <w:rPr>
          <w:rFonts w:ascii="Arial" w:hAnsi="Arial" w:eastAsia="Times New Roman" w:cs="Arial"/>
          <w:sz w:val="24"/>
          <w:szCs w:val="24"/>
        </w:rPr>
        <w:t xml:space="preserve"> </w:t>
      </w:r>
    </w:p>
    <w:p w:rsidRPr="003B6372" w:rsidR="003B6372" w:rsidP="003B6372" w:rsidRDefault="003B6372" w14:paraId="085F7818" w14:textId="77777777">
      <w:pPr>
        <w:spacing w:after="0" w:line="240" w:lineRule="auto"/>
        <w:rPr>
          <w:rFonts w:ascii="Arial" w:hAnsi="Arial" w:eastAsia="Times New Roman" w:cs="Arial"/>
          <w:b/>
          <w:bCs/>
          <w:sz w:val="24"/>
          <w:szCs w:val="24"/>
        </w:rPr>
      </w:pPr>
    </w:p>
    <w:p w:rsidRPr="003B6372" w:rsidR="003B6372" w:rsidP="003B6372" w:rsidRDefault="003B6372" w14:paraId="518EE28C" w14:textId="77777777">
      <w:pPr>
        <w:widowControl w:val="0"/>
        <w:autoSpaceDE w:val="0"/>
        <w:autoSpaceDN w:val="0"/>
        <w:spacing w:after="0" w:line="240" w:lineRule="auto"/>
        <w:rPr>
          <w:rFonts w:ascii="Arial" w:hAnsi="Arial" w:eastAsia="Times New Roman" w:cs="Arial"/>
          <w:b/>
          <w:bCs/>
          <w:sz w:val="24"/>
          <w:szCs w:val="24"/>
        </w:rPr>
      </w:pPr>
      <w:r w:rsidRPr="003B6372">
        <w:rPr>
          <w:rFonts w:ascii="Arial" w:hAnsi="Arial" w:eastAsia="Times New Roman" w:cs="Arial"/>
          <w:b/>
          <w:bCs/>
          <w:sz w:val="24"/>
          <w:szCs w:val="24"/>
        </w:rPr>
        <w:t xml:space="preserve">The Kroger Co. </w:t>
      </w:r>
    </w:p>
    <w:p w:rsidRPr="003B6372" w:rsidR="003B6372" w:rsidP="003B6372" w:rsidRDefault="003B6372" w14:paraId="7195E6AE"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Angela Paul Whitfield </w:t>
      </w:r>
    </w:p>
    <w:p w:rsidRPr="003B6372" w:rsidR="003B6372" w:rsidP="003B6372" w:rsidRDefault="003B6372" w14:paraId="1EBF888A" w14:textId="77777777">
      <w:pPr>
        <w:widowControl w:val="0"/>
        <w:autoSpaceDE w:val="0"/>
        <w:autoSpaceDN w:val="0"/>
        <w:spacing w:after="0" w:line="240" w:lineRule="auto"/>
        <w:rPr>
          <w:rFonts w:ascii="Arial" w:hAnsi="Arial" w:eastAsia="Times New Roman" w:cs="Arial"/>
          <w:sz w:val="24"/>
          <w:szCs w:val="24"/>
        </w:rPr>
      </w:pPr>
      <w:r w:rsidRPr="003B6372">
        <w:rPr>
          <w:rFonts w:ascii="Arial" w:hAnsi="Arial" w:eastAsia="Times New Roman" w:cs="Arial"/>
          <w:sz w:val="24"/>
          <w:szCs w:val="24"/>
        </w:rPr>
        <w:t xml:space="preserve">Carpenter </w:t>
      </w:r>
      <w:proofErr w:type="spellStart"/>
      <w:r w:rsidRPr="003B6372">
        <w:rPr>
          <w:rFonts w:ascii="Arial" w:hAnsi="Arial" w:eastAsia="Times New Roman" w:cs="Arial"/>
          <w:sz w:val="24"/>
          <w:szCs w:val="24"/>
        </w:rPr>
        <w:t>Lipps</w:t>
      </w:r>
      <w:proofErr w:type="spellEnd"/>
      <w:r w:rsidRPr="003B6372">
        <w:rPr>
          <w:rFonts w:ascii="Arial" w:hAnsi="Arial" w:eastAsia="Times New Roman" w:cs="Arial"/>
          <w:sz w:val="24"/>
          <w:szCs w:val="24"/>
        </w:rPr>
        <w:t xml:space="preserve"> &amp; Leland LLP </w:t>
      </w:r>
    </w:p>
    <w:p w:rsidRPr="007F2348" w:rsidR="004D35B7" w:rsidP="003B6372" w:rsidRDefault="0021465B" w14:paraId="1A52B87A" w14:textId="2D91E3DC">
      <w:pPr>
        <w:rPr>
          <w:rFonts w:ascii="Arial" w:hAnsi="Arial" w:eastAsia="Times New Roman" w:cs="Arial"/>
          <w:sz w:val="24"/>
          <w:szCs w:val="24"/>
          <w:u w:val="single"/>
        </w:rPr>
      </w:pPr>
      <w:hyperlink w:history="1" r:id="rId51">
        <w:r w:rsidRPr="007F2348" w:rsidR="003B6372">
          <w:rPr>
            <w:rFonts w:ascii="Arial" w:hAnsi="Arial" w:eastAsia="Times New Roman" w:cs="Arial"/>
            <w:sz w:val="24"/>
            <w:szCs w:val="24"/>
            <w:u w:val="single"/>
          </w:rPr>
          <w:t>paul@carpenterlipps.com</w:t>
        </w:r>
      </w:hyperlink>
    </w:p>
    <w:p w:rsidRPr="004D35B7" w:rsidR="004D35B7" w:rsidP="004D35B7" w:rsidRDefault="004D35B7" w14:paraId="51C9579A" w14:textId="77777777">
      <w:pPr>
        <w:widowControl w:val="0"/>
        <w:autoSpaceDE w:val="0"/>
        <w:autoSpaceDN w:val="0"/>
        <w:spacing w:after="0" w:line="240" w:lineRule="auto"/>
        <w:rPr>
          <w:rFonts w:ascii="Arial" w:hAnsi="Arial" w:eastAsia="Times New Roman" w:cs="Arial"/>
          <w:b/>
          <w:bCs/>
          <w:sz w:val="24"/>
          <w:szCs w:val="24"/>
        </w:rPr>
      </w:pPr>
      <w:r w:rsidRPr="004D35B7">
        <w:rPr>
          <w:rFonts w:ascii="Arial" w:hAnsi="Arial" w:eastAsia="Times New Roman" w:cs="Arial"/>
          <w:b/>
          <w:bCs/>
          <w:sz w:val="24"/>
          <w:szCs w:val="24"/>
        </w:rPr>
        <w:t>Ohio Energy Group</w:t>
      </w:r>
    </w:p>
    <w:p w:rsidRPr="004D35B7" w:rsidR="004D35B7" w:rsidP="004D35B7" w:rsidRDefault="004D35B7" w14:paraId="34329A2B" w14:textId="77777777">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Michael L. Kurtz </w:t>
      </w:r>
    </w:p>
    <w:p w:rsidRPr="004D35B7" w:rsidR="004D35B7" w:rsidP="004D35B7" w:rsidRDefault="004D35B7" w14:paraId="14513AB1" w14:textId="77777777">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Kurt J. Boehm </w:t>
      </w:r>
    </w:p>
    <w:p w:rsidRPr="004D35B7" w:rsidR="004D35B7" w:rsidP="004D35B7" w:rsidRDefault="004D35B7" w14:paraId="0B454E54" w14:textId="77777777">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Jody Kyler Cohn </w:t>
      </w:r>
    </w:p>
    <w:p w:rsidRPr="004D35B7" w:rsidR="004D35B7" w:rsidP="004D35B7" w:rsidRDefault="004D35B7" w14:paraId="7CDA9E90" w14:textId="77777777">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BOEHM, KURTZ &amp; LOWRY </w:t>
      </w:r>
    </w:p>
    <w:p w:rsidRPr="004D35B7" w:rsidR="004D35B7" w:rsidP="004D35B7" w:rsidRDefault="0021465B" w14:paraId="6A020766" w14:textId="77777777">
      <w:pPr>
        <w:widowControl w:val="0"/>
        <w:autoSpaceDE w:val="0"/>
        <w:autoSpaceDN w:val="0"/>
        <w:spacing w:after="0" w:line="240" w:lineRule="auto"/>
        <w:rPr>
          <w:rFonts w:ascii="Arial" w:hAnsi="Arial" w:eastAsia="Times New Roman" w:cs="Arial"/>
          <w:sz w:val="24"/>
          <w:szCs w:val="24"/>
        </w:rPr>
      </w:pPr>
      <w:hyperlink w:history="1" r:id="rId52">
        <w:r w:rsidRPr="007F2348" w:rsidR="004D35B7">
          <w:rPr>
            <w:rFonts w:ascii="Arial" w:hAnsi="Arial" w:eastAsia="Times New Roman" w:cs="Arial"/>
            <w:sz w:val="24"/>
            <w:szCs w:val="24"/>
            <w:u w:val="single"/>
          </w:rPr>
          <w:t>mkurtz@BKLlawfirm.com</w:t>
        </w:r>
      </w:hyperlink>
      <w:r w:rsidRPr="004D35B7" w:rsidR="004D35B7">
        <w:rPr>
          <w:rFonts w:ascii="Arial" w:hAnsi="Arial" w:eastAsia="Times New Roman" w:cs="Arial"/>
          <w:sz w:val="24"/>
          <w:szCs w:val="24"/>
        </w:rPr>
        <w:t xml:space="preserve">  </w:t>
      </w:r>
    </w:p>
    <w:p w:rsidRPr="004D35B7" w:rsidR="004D35B7" w:rsidP="004D35B7" w:rsidRDefault="0021465B" w14:paraId="6AE2D574" w14:textId="77777777">
      <w:pPr>
        <w:widowControl w:val="0"/>
        <w:autoSpaceDE w:val="0"/>
        <w:autoSpaceDN w:val="0"/>
        <w:spacing w:after="0" w:line="240" w:lineRule="auto"/>
        <w:rPr>
          <w:rFonts w:ascii="Arial" w:hAnsi="Arial" w:eastAsia="Times New Roman" w:cs="Arial"/>
          <w:sz w:val="24"/>
          <w:szCs w:val="24"/>
        </w:rPr>
      </w:pPr>
      <w:hyperlink w:history="1" r:id="rId53">
        <w:r w:rsidRPr="007F2348" w:rsidR="004D35B7">
          <w:rPr>
            <w:rFonts w:ascii="Arial" w:hAnsi="Arial" w:eastAsia="Times New Roman" w:cs="Arial"/>
            <w:sz w:val="24"/>
            <w:szCs w:val="24"/>
            <w:u w:val="single"/>
          </w:rPr>
          <w:t>kboehm@BKLlawfirm.com</w:t>
        </w:r>
      </w:hyperlink>
      <w:r w:rsidRPr="004D35B7" w:rsidR="004D35B7">
        <w:rPr>
          <w:rFonts w:ascii="Arial" w:hAnsi="Arial" w:eastAsia="Times New Roman" w:cs="Arial"/>
          <w:sz w:val="24"/>
          <w:szCs w:val="24"/>
        </w:rPr>
        <w:t xml:space="preserve"> </w:t>
      </w:r>
    </w:p>
    <w:p w:rsidRPr="007F2348" w:rsidR="004D35B7" w:rsidP="004D35B7" w:rsidRDefault="0021465B" w14:paraId="1B23B795" w14:textId="77777777">
      <w:pPr>
        <w:spacing w:after="0" w:line="240" w:lineRule="auto"/>
        <w:rPr>
          <w:rFonts w:ascii="Arial" w:hAnsi="Arial" w:eastAsia="Times New Roman" w:cs="Arial"/>
          <w:sz w:val="24"/>
          <w:szCs w:val="24"/>
          <w:u w:val="single"/>
        </w:rPr>
      </w:pPr>
      <w:hyperlink w:history="1" r:id="rId54">
        <w:r w:rsidRPr="007F2348" w:rsidR="004D35B7">
          <w:rPr>
            <w:rFonts w:ascii="Arial" w:hAnsi="Arial" w:eastAsia="Times New Roman" w:cs="Arial"/>
            <w:sz w:val="24"/>
            <w:szCs w:val="24"/>
            <w:u w:val="single"/>
          </w:rPr>
          <w:t>jkylercohn@BKLlawfirm.com</w:t>
        </w:r>
      </w:hyperlink>
    </w:p>
    <w:p w:rsidRPr="004D35B7" w:rsidR="004D35B7" w:rsidP="004D35B7" w:rsidRDefault="004D35B7" w14:paraId="4EB6AEE0" w14:textId="77777777">
      <w:pPr>
        <w:widowControl w:val="0"/>
        <w:autoSpaceDE w:val="0"/>
        <w:autoSpaceDN w:val="0"/>
        <w:spacing w:after="0" w:line="240" w:lineRule="auto"/>
        <w:rPr>
          <w:rFonts w:ascii="Arial" w:hAnsi="Arial" w:eastAsia="Times New Roman" w:cs="Arial"/>
          <w:b/>
          <w:bCs/>
          <w:sz w:val="24"/>
          <w:szCs w:val="24"/>
        </w:rPr>
      </w:pPr>
    </w:p>
    <w:p w:rsidR="007F2348" w:rsidP="004D35B7" w:rsidRDefault="007F2348" w14:paraId="7E30375D" w14:textId="77777777">
      <w:pPr>
        <w:widowControl w:val="0"/>
        <w:autoSpaceDE w:val="0"/>
        <w:autoSpaceDN w:val="0"/>
        <w:spacing w:after="0" w:line="240" w:lineRule="auto"/>
        <w:rPr>
          <w:rFonts w:ascii="Arial" w:hAnsi="Arial" w:eastAsia="Times New Roman" w:cs="Arial"/>
          <w:b/>
          <w:bCs/>
          <w:sz w:val="24"/>
          <w:szCs w:val="24"/>
        </w:rPr>
      </w:pPr>
    </w:p>
    <w:p w:rsidRPr="004D35B7" w:rsidR="004D35B7" w:rsidP="004D35B7" w:rsidRDefault="004D35B7" w14:paraId="515FB43F" w14:textId="19481A93">
      <w:pPr>
        <w:widowControl w:val="0"/>
        <w:autoSpaceDE w:val="0"/>
        <w:autoSpaceDN w:val="0"/>
        <w:spacing w:after="0" w:line="240" w:lineRule="auto"/>
        <w:rPr>
          <w:rFonts w:ascii="Arial" w:hAnsi="Arial" w:eastAsia="Times New Roman" w:cs="Arial"/>
          <w:b/>
          <w:bCs/>
          <w:sz w:val="24"/>
          <w:szCs w:val="24"/>
        </w:rPr>
      </w:pPr>
      <w:r w:rsidRPr="004D35B7">
        <w:rPr>
          <w:rFonts w:ascii="Arial" w:hAnsi="Arial" w:eastAsia="Times New Roman" w:cs="Arial"/>
          <w:b/>
          <w:bCs/>
          <w:sz w:val="24"/>
          <w:szCs w:val="24"/>
        </w:rPr>
        <w:lastRenderedPageBreak/>
        <w:t xml:space="preserve">Clean Fuels Ohio </w:t>
      </w:r>
    </w:p>
    <w:p w:rsidRPr="004D35B7" w:rsidR="004D35B7" w:rsidP="004D35B7" w:rsidRDefault="004D35B7" w14:paraId="5F92ABCD" w14:textId="77777777">
      <w:pPr>
        <w:widowControl w:val="0"/>
        <w:autoSpaceDE w:val="0"/>
        <w:autoSpaceDN w:val="0"/>
        <w:spacing w:after="0" w:line="240" w:lineRule="auto"/>
        <w:rPr>
          <w:rFonts w:ascii="Arial" w:hAnsi="Arial" w:eastAsia="Times New Roman" w:cs="Arial"/>
          <w:b/>
          <w:bCs/>
          <w:sz w:val="24"/>
          <w:szCs w:val="24"/>
        </w:rPr>
      </w:pPr>
      <w:proofErr w:type="spellStart"/>
      <w:r w:rsidRPr="004D35B7">
        <w:rPr>
          <w:rFonts w:ascii="Arial" w:hAnsi="Arial" w:eastAsia="Times New Roman" w:cs="Arial"/>
          <w:b/>
          <w:bCs/>
          <w:sz w:val="24"/>
          <w:szCs w:val="24"/>
        </w:rPr>
        <w:t>Zeco</w:t>
      </w:r>
      <w:proofErr w:type="spellEnd"/>
      <w:r w:rsidRPr="004D35B7">
        <w:rPr>
          <w:rFonts w:ascii="Arial" w:hAnsi="Arial" w:eastAsia="Times New Roman" w:cs="Arial"/>
          <w:b/>
          <w:bCs/>
          <w:sz w:val="24"/>
          <w:szCs w:val="24"/>
        </w:rPr>
        <w:t xml:space="preserve"> Systems, Inc. dba </w:t>
      </w:r>
      <w:proofErr w:type="spellStart"/>
      <w:r w:rsidRPr="004D35B7">
        <w:rPr>
          <w:rFonts w:ascii="Arial" w:hAnsi="Arial" w:eastAsia="Times New Roman" w:cs="Arial"/>
          <w:b/>
          <w:bCs/>
          <w:sz w:val="24"/>
          <w:szCs w:val="24"/>
        </w:rPr>
        <w:t>Greenlots</w:t>
      </w:r>
      <w:proofErr w:type="spellEnd"/>
    </w:p>
    <w:p w:rsidR="004D35B7" w:rsidP="004D35B7" w:rsidRDefault="004D35B7" w14:paraId="18D5CC4A" w14:textId="46DBC8C3">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Madeline Fleisher </w:t>
      </w:r>
    </w:p>
    <w:p w:rsidRPr="004D35B7" w:rsidR="00E67ADA" w:rsidP="004D35B7" w:rsidRDefault="00DA3842" w14:paraId="78B1AEFD" w14:textId="148A8F51">
      <w:pPr>
        <w:widowControl w:val="0"/>
        <w:autoSpaceDE w:val="0"/>
        <w:autoSpaceDN w:val="0"/>
        <w:spacing w:after="0" w:line="240" w:lineRule="auto"/>
        <w:rPr>
          <w:rFonts w:ascii="Arial" w:hAnsi="Arial" w:eastAsia="Times New Roman" w:cs="Arial"/>
          <w:sz w:val="24"/>
          <w:szCs w:val="24"/>
        </w:rPr>
      </w:pPr>
      <w:r>
        <w:rPr>
          <w:rFonts w:ascii="Arial" w:hAnsi="Arial" w:eastAsia="Times New Roman" w:cs="Arial"/>
          <w:sz w:val="24"/>
          <w:szCs w:val="24"/>
        </w:rPr>
        <w:t>Matthew McDonnell</w:t>
      </w:r>
    </w:p>
    <w:p w:rsidRPr="004D35B7" w:rsidR="004D35B7" w:rsidP="004D35B7" w:rsidRDefault="004D35B7" w14:paraId="5D0AED2D" w14:textId="77777777">
      <w:pPr>
        <w:widowControl w:val="0"/>
        <w:autoSpaceDE w:val="0"/>
        <w:autoSpaceDN w:val="0"/>
        <w:spacing w:after="0" w:line="240" w:lineRule="auto"/>
        <w:rPr>
          <w:rFonts w:ascii="Arial" w:hAnsi="Arial" w:eastAsia="Times New Roman" w:cs="Arial"/>
          <w:sz w:val="24"/>
          <w:szCs w:val="24"/>
        </w:rPr>
      </w:pPr>
      <w:r w:rsidRPr="004D35B7">
        <w:rPr>
          <w:rFonts w:ascii="Arial" w:hAnsi="Arial" w:eastAsia="Times New Roman" w:cs="Arial"/>
          <w:sz w:val="24"/>
          <w:szCs w:val="24"/>
        </w:rPr>
        <w:t xml:space="preserve">Dickinson Wright PLLC </w:t>
      </w:r>
    </w:p>
    <w:p w:rsidRPr="007F2348" w:rsidR="004D35B7" w:rsidP="001A5AC8" w:rsidRDefault="0021465B" w14:paraId="0739BD54" w14:textId="4A204219">
      <w:pPr>
        <w:widowControl w:val="0"/>
        <w:autoSpaceDE w:val="0"/>
        <w:autoSpaceDN w:val="0"/>
        <w:spacing w:after="0" w:line="240" w:lineRule="auto"/>
        <w:rPr>
          <w:rFonts w:ascii="Arial" w:hAnsi="Arial" w:eastAsia="Times New Roman" w:cs="Arial"/>
          <w:sz w:val="24"/>
          <w:szCs w:val="24"/>
          <w:u w:val="single"/>
        </w:rPr>
      </w:pPr>
      <w:hyperlink w:history="1" r:id="rId55">
        <w:r w:rsidRPr="007F2348" w:rsidR="004D35B7">
          <w:rPr>
            <w:rFonts w:ascii="Arial" w:hAnsi="Arial" w:eastAsia="Times New Roman" w:cs="Arial"/>
            <w:sz w:val="24"/>
            <w:szCs w:val="24"/>
            <w:u w:val="single"/>
          </w:rPr>
          <w:t>mfleisher@dickinsonwright.com</w:t>
        </w:r>
      </w:hyperlink>
    </w:p>
    <w:p w:rsidRPr="007F2348" w:rsidR="00C84AE1" w:rsidP="001A5AC8" w:rsidRDefault="0021465B" w14:paraId="0D5C6C8D" w14:textId="55E2687B">
      <w:pPr>
        <w:spacing w:after="0"/>
        <w:rPr>
          <w:rStyle w:val="Hyperlink"/>
          <w:rFonts w:ascii="Arial" w:hAnsi="Arial" w:eastAsia="Calibri" w:cs="Arial"/>
          <w:color w:val="auto"/>
          <w:sz w:val="24"/>
          <w:szCs w:val="24"/>
        </w:rPr>
      </w:pPr>
      <w:hyperlink r:id="rId56">
        <w:r w:rsidRPr="007F2348" w:rsidR="00C84AE1">
          <w:rPr>
            <w:rStyle w:val="Hyperlink"/>
            <w:rFonts w:ascii="Arial" w:hAnsi="Arial" w:eastAsia="Calibri" w:cs="Arial"/>
            <w:color w:val="auto"/>
            <w:sz w:val="24"/>
            <w:szCs w:val="24"/>
          </w:rPr>
          <w:t>mmcdonnell@dickinsonwright.com</w:t>
        </w:r>
      </w:hyperlink>
    </w:p>
    <w:p w:rsidR="004D35B7" w:rsidP="003B6372" w:rsidRDefault="004D35B7" w14:paraId="173BFF76" w14:textId="2154BC79"/>
    <w:p w:rsidRPr="003C439C" w:rsidR="003C439C" w:rsidP="003C439C" w:rsidRDefault="003C439C" w14:paraId="2935EE92" w14:textId="77777777">
      <w:pPr>
        <w:widowControl w:val="0"/>
        <w:autoSpaceDE w:val="0"/>
        <w:autoSpaceDN w:val="0"/>
        <w:spacing w:after="0" w:line="240" w:lineRule="auto"/>
        <w:rPr>
          <w:rFonts w:ascii="Arial" w:hAnsi="Arial" w:eastAsia="Times New Roman" w:cs="Arial"/>
          <w:b/>
          <w:bCs/>
          <w:sz w:val="24"/>
          <w:szCs w:val="24"/>
        </w:rPr>
      </w:pPr>
      <w:r w:rsidRPr="003C439C">
        <w:rPr>
          <w:rFonts w:ascii="Arial" w:hAnsi="Arial" w:eastAsia="Times New Roman" w:cs="Arial"/>
          <w:b/>
          <w:bCs/>
          <w:sz w:val="24"/>
          <w:szCs w:val="24"/>
        </w:rPr>
        <w:t xml:space="preserve">Office of the Ohio Consumers’ Counsel </w:t>
      </w:r>
    </w:p>
    <w:p w:rsidRPr="003C439C" w:rsidR="003C439C" w:rsidP="003C439C" w:rsidRDefault="003C439C" w14:paraId="150E2737" w14:textId="77777777">
      <w:pPr>
        <w:widowControl w:val="0"/>
        <w:autoSpaceDE w:val="0"/>
        <w:autoSpaceDN w:val="0"/>
        <w:spacing w:after="0" w:line="240" w:lineRule="auto"/>
        <w:rPr>
          <w:rFonts w:ascii="Arial" w:hAnsi="Arial" w:eastAsia="Times New Roman" w:cs="Arial"/>
          <w:sz w:val="24"/>
          <w:szCs w:val="24"/>
        </w:rPr>
      </w:pPr>
      <w:r w:rsidRPr="003C439C">
        <w:rPr>
          <w:rFonts w:ascii="Arial" w:hAnsi="Arial" w:eastAsia="Times New Roman" w:cs="Arial"/>
          <w:sz w:val="24"/>
          <w:szCs w:val="24"/>
        </w:rPr>
        <w:t xml:space="preserve">Angela D. O’Brien </w:t>
      </w:r>
    </w:p>
    <w:p w:rsidRPr="003C439C" w:rsidR="003C439C" w:rsidP="003C439C" w:rsidRDefault="003C439C" w14:paraId="5B032A18" w14:textId="77777777">
      <w:pPr>
        <w:widowControl w:val="0"/>
        <w:autoSpaceDE w:val="0"/>
        <w:autoSpaceDN w:val="0"/>
        <w:spacing w:after="0" w:line="240" w:lineRule="auto"/>
        <w:rPr>
          <w:rFonts w:ascii="Arial" w:hAnsi="Arial" w:eastAsia="Times New Roman" w:cs="Arial"/>
          <w:sz w:val="24"/>
          <w:szCs w:val="24"/>
        </w:rPr>
      </w:pPr>
      <w:r w:rsidRPr="003C439C">
        <w:rPr>
          <w:rFonts w:ascii="Arial" w:hAnsi="Arial" w:eastAsia="Times New Roman" w:cs="Arial"/>
          <w:sz w:val="24"/>
          <w:szCs w:val="24"/>
        </w:rPr>
        <w:t xml:space="preserve">Christopher Healey </w:t>
      </w:r>
    </w:p>
    <w:p w:rsidRPr="003C439C" w:rsidR="003C439C" w:rsidP="003C439C" w:rsidRDefault="003C439C" w14:paraId="2372AEA4" w14:textId="77777777">
      <w:pPr>
        <w:widowControl w:val="0"/>
        <w:autoSpaceDE w:val="0"/>
        <w:autoSpaceDN w:val="0"/>
        <w:spacing w:after="0" w:line="240" w:lineRule="auto"/>
        <w:rPr>
          <w:rFonts w:ascii="Arial" w:hAnsi="Arial" w:eastAsia="Times New Roman" w:cs="Arial"/>
          <w:sz w:val="24"/>
          <w:szCs w:val="24"/>
        </w:rPr>
      </w:pPr>
      <w:r w:rsidRPr="003C439C">
        <w:rPr>
          <w:rFonts w:ascii="Arial" w:hAnsi="Arial" w:eastAsia="Times New Roman" w:cs="Arial"/>
          <w:sz w:val="24"/>
          <w:szCs w:val="24"/>
        </w:rPr>
        <w:t>John Finnigan</w:t>
      </w:r>
    </w:p>
    <w:p w:rsidRPr="003C439C" w:rsidR="003C439C" w:rsidP="003C439C" w:rsidRDefault="0021465B" w14:paraId="01A28DD8" w14:textId="77777777">
      <w:pPr>
        <w:widowControl w:val="0"/>
        <w:autoSpaceDE w:val="0"/>
        <w:autoSpaceDN w:val="0"/>
        <w:spacing w:after="0" w:line="240" w:lineRule="auto"/>
        <w:rPr>
          <w:rFonts w:ascii="Arial" w:hAnsi="Arial" w:eastAsia="Times New Roman" w:cs="Arial"/>
          <w:sz w:val="24"/>
          <w:szCs w:val="24"/>
        </w:rPr>
      </w:pPr>
      <w:hyperlink w:history="1" r:id="rId57">
        <w:r w:rsidRPr="007F2348" w:rsidR="003C439C">
          <w:rPr>
            <w:rFonts w:ascii="Arial" w:hAnsi="Arial" w:eastAsia="Times New Roman" w:cs="Arial"/>
            <w:sz w:val="24"/>
            <w:szCs w:val="24"/>
            <w:u w:val="single"/>
          </w:rPr>
          <w:t>angela.obrien@occ.ohio.gov</w:t>
        </w:r>
      </w:hyperlink>
      <w:r w:rsidRPr="003C439C" w:rsidR="003C439C">
        <w:rPr>
          <w:rFonts w:ascii="Arial" w:hAnsi="Arial" w:eastAsia="Times New Roman" w:cs="Arial"/>
          <w:sz w:val="24"/>
          <w:szCs w:val="24"/>
        </w:rPr>
        <w:t xml:space="preserve"> </w:t>
      </w:r>
    </w:p>
    <w:p w:rsidRPr="003C439C" w:rsidR="003C439C" w:rsidP="003C439C" w:rsidRDefault="0021465B" w14:paraId="542836CA" w14:textId="77777777">
      <w:pPr>
        <w:widowControl w:val="0"/>
        <w:autoSpaceDE w:val="0"/>
        <w:autoSpaceDN w:val="0"/>
        <w:spacing w:after="0" w:line="240" w:lineRule="auto"/>
        <w:rPr>
          <w:rFonts w:ascii="Arial" w:hAnsi="Arial" w:eastAsia="Times New Roman" w:cs="Arial"/>
          <w:sz w:val="24"/>
          <w:szCs w:val="24"/>
        </w:rPr>
      </w:pPr>
      <w:hyperlink w:history="1" r:id="rId58">
        <w:r w:rsidRPr="007F2348" w:rsidR="003C439C">
          <w:rPr>
            <w:rFonts w:ascii="Arial" w:hAnsi="Arial" w:eastAsia="Times New Roman" w:cs="Arial"/>
            <w:sz w:val="24"/>
            <w:szCs w:val="24"/>
            <w:u w:val="single"/>
          </w:rPr>
          <w:t>christopher.healey@occ.ohio.gov</w:t>
        </w:r>
      </w:hyperlink>
      <w:r w:rsidRPr="003C439C" w:rsidR="003C439C">
        <w:rPr>
          <w:rFonts w:ascii="Arial" w:hAnsi="Arial" w:eastAsia="Times New Roman" w:cs="Arial"/>
          <w:sz w:val="24"/>
          <w:szCs w:val="24"/>
        </w:rPr>
        <w:t xml:space="preserve"> </w:t>
      </w:r>
    </w:p>
    <w:p w:rsidRPr="003C439C" w:rsidR="003C439C" w:rsidP="003C439C" w:rsidRDefault="0021465B" w14:paraId="25CABA61" w14:textId="77777777">
      <w:pPr>
        <w:widowControl w:val="0"/>
        <w:autoSpaceDE w:val="0"/>
        <w:autoSpaceDN w:val="0"/>
        <w:spacing w:after="0" w:line="240" w:lineRule="auto"/>
        <w:rPr>
          <w:rFonts w:ascii="Arial" w:hAnsi="Arial" w:eastAsia="Times New Roman" w:cs="Arial"/>
          <w:sz w:val="24"/>
          <w:szCs w:val="24"/>
        </w:rPr>
      </w:pPr>
      <w:hyperlink w:history="1" r:id="rId59">
        <w:r w:rsidRPr="007F2348" w:rsidR="003C439C">
          <w:rPr>
            <w:rFonts w:ascii="Arial" w:hAnsi="Arial" w:eastAsia="Times New Roman" w:cs="Arial"/>
            <w:sz w:val="24"/>
            <w:szCs w:val="24"/>
            <w:u w:val="single"/>
          </w:rPr>
          <w:t>john.finnigan@occ.ohio.gov</w:t>
        </w:r>
      </w:hyperlink>
      <w:r w:rsidRPr="003C439C" w:rsidR="003C439C">
        <w:rPr>
          <w:rFonts w:ascii="Arial" w:hAnsi="Arial" w:eastAsia="Times New Roman" w:cs="Arial"/>
          <w:sz w:val="24"/>
          <w:szCs w:val="24"/>
        </w:rPr>
        <w:t xml:space="preserve"> </w:t>
      </w:r>
    </w:p>
    <w:p w:rsidR="003C439C" w:rsidP="003B6372" w:rsidRDefault="003C439C" w14:paraId="4ACF2DB8" w14:textId="03B3D749"/>
    <w:p w:rsidRPr="00CD19C2" w:rsidR="007F2348" w:rsidP="007F2348" w:rsidRDefault="007F2348" w14:paraId="1C21925A" w14:textId="77777777">
      <w:pPr>
        <w:spacing w:after="0" w:line="240" w:lineRule="auto"/>
        <w:rPr>
          <w:rFonts w:ascii="Arial" w:hAnsi="Arial" w:eastAsia="Times New Roman" w:cs="Arial"/>
          <w:b/>
          <w:bCs/>
          <w:sz w:val="24"/>
          <w:szCs w:val="24"/>
        </w:rPr>
      </w:pPr>
      <w:r w:rsidRPr="00CD19C2">
        <w:rPr>
          <w:rFonts w:ascii="Arial" w:hAnsi="Arial" w:eastAsia="Times New Roman" w:cs="Arial"/>
          <w:b/>
          <w:bCs/>
          <w:sz w:val="24"/>
          <w:szCs w:val="24"/>
        </w:rPr>
        <w:t>One Energy Enterprises, Inc.</w:t>
      </w:r>
    </w:p>
    <w:p w:rsidRPr="00CD19C2" w:rsidR="007F2348" w:rsidP="007F2348" w:rsidRDefault="007F2348" w14:paraId="4EF8403D"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Christopher J. Hogan</w:t>
      </w:r>
    </w:p>
    <w:p w:rsidRPr="00CD19C2" w:rsidR="007F2348" w:rsidP="007F2348" w:rsidRDefault="007F2348" w14:paraId="24C5512F"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 xml:space="preserve">Zeiger, </w:t>
      </w:r>
      <w:proofErr w:type="spellStart"/>
      <w:r w:rsidRPr="00CD19C2">
        <w:rPr>
          <w:rFonts w:ascii="Arial" w:hAnsi="Arial" w:eastAsia="Times New Roman" w:cs="Arial"/>
          <w:sz w:val="24"/>
          <w:szCs w:val="24"/>
        </w:rPr>
        <w:t>Tigges</w:t>
      </w:r>
      <w:proofErr w:type="spellEnd"/>
      <w:r w:rsidRPr="00CD19C2">
        <w:rPr>
          <w:rFonts w:ascii="Arial" w:hAnsi="Arial" w:eastAsia="Times New Roman" w:cs="Arial"/>
          <w:sz w:val="24"/>
          <w:szCs w:val="24"/>
        </w:rPr>
        <w:t xml:space="preserve"> &amp; Little LLP</w:t>
      </w:r>
    </w:p>
    <w:p w:rsidRPr="00CD19C2" w:rsidR="007F2348" w:rsidP="007F2348" w:rsidRDefault="001B229D" w14:paraId="40C83691" w14:textId="77777777">
      <w:pPr>
        <w:spacing w:after="0" w:line="240" w:lineRule="auto"/>
        <w:rPr>
          <w:rFonts w:ascii="Arial" w:hAnsi="Arial" w:eastAsia="Times New Roman" w:cs="Arial"/>
          <w:sz w:val="24"/>
          <w:szCs w:val="24"/>
        </w:rPr>
      </w:pPr>
      <w:hyperlink w:history="1" r:id="rId60">
        <w:r w:rsidRPr="002939CC" w:rsidR="007F2348">
          <w:rPr>
            <w:rFonts w:ascii="Arial" w:hAnsi="Arial" w:eastAsia="Times New Roman" w:cs="Arial"/>
            <w:sz w:val="24"/>
            <w:szCs w:val="24"/>
            <w:u w:val="single"/>
          </w:rPr>
          <w:t>little@litohio.com</w:t>
        </w:r>
      </w:hyperlink>
      <w:r w:rsidRPr="00CD19C2" w:rsidR="007F2348">
        <w:rPr>
          <w:rFonts w:ascii="Arial" w:hAnsi="Arial" w:eastAsia="Times New Roman" w:cs="Arial"/>
          <w:sz w:val="24"/>
          <w:szCs w:val="24"/>
        </w:rPr>
        <w:t xml:space="preserve"> </w:t>
      </w:r>
    </w:p>
    <w:p w:rsidRPr="00CD19C2" w:rsidR="007F2348" w:rsidP="007F2348" w:rsidRDefault="001B229D" w14:paraId="5BE21EE2" w14:textId="77777777">
      <w:pPr>
        <w:spacing w:after="0" w:line="240" w:lineRule="auto"/>
        <w:rPr>
          <w:rFonts w:ascii="Arial" w:hAnsi="Arial" w:eastAsia="Times New Roman" w:cs="Arial"/>
          <w:sz w:val="24"/>
          <w:szCs w:val="24"/>
        </w:rPr>
      </w:pPr>
      <w:hyperlink w:history="1" r:id="rId61">
        <w:r w:rsidRPr="002939CC" w:rsidR="007F2348">
          <w:rPr>
            <w:rFonts w:ascii="Arial" w:hAnsi="Arial" w:eastAsia="Times New Roman" w:cs="Arial"/>
            <w:sz w:val="24"/>
            <w:szCs w:val="24"/>
            <w:u w:val="single"/>
          </w:rPr>
          <w:t>hogan@litohio.com</w:t>
        </w:r>
      </w:hyperlink>
      <w:r w:rsidRPr="00CD19C2" w:rsidR="007F2348">
        <w:rPr>
          <w:rFonts w:ascii="Arial" w:hAnsi="Arial" w:eastAsia="Times New Roman" w:cs="Arial"/>
          <w:sz w:val="24"/>
          <w:szCs w:val="24"/>
        </w:rPr>
        <w:t xml:space="preserve"> </w:t>
      </w:r>
    </w:p>
    <w:p w:rsidRPr="00CD19C2" w:rsidR="007F2348" w:rsidP="007F2348" w:rsidRDefault="007F2348" w14:paraId="0CC7A583"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Dane Stinson</w:t>
      </w:r>
    </w:p>
    <w:p w:rsidRPr="00CD19C2" w:rsidR="007F2348" w:rsidP="007F2348" w:rsidRDefault="007F2348" w14:paraId="62254B29"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Matthew W. Warnock</w:t>
      </w:r>
    </w:p>
    <w:p w:rsidRPr="00CD19C2" w:rsidR="007F2348" w:rsidP="007F2348" w:rsidRDefault="007F2348" w14:paraId="4BC1430E"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BRICKER &amp; ECKLER LLP</w:t>
      </w:r>
    </w:p>
    <w:p w:rsidRPr="00CD19C2" w:rsidR="007F2348" w:rsidP="007F2348" w:rsidRDefault="001B229D" w14:paraId="50363DC9" w14:textId="77777777">
      <w:pPr>
        <w:spacing w:after="0" w:line="240" w:lineRule="auto"/>
        <w:rPr>
          <w:rFonts w:ascii="Arial" w:hAnsi="Arial" w:eastAsia="Times New Roman" w:cs="Arial"/>
          <w:sz w:val="24"/>
          <w:szCs w:val="24"/>
        </w:rPr>
      </w:pPr>
      <w:hyperlink w:history="1" r:id="rId62">
        <w:r w:rsidRPr="002939CC" w:rsidR="007F2348">
          <w:rPr>
            <w:rFonts w:ascii="Arial" w:hAnsi="Arial" w:eastAsia="Times New Roman" w:cs="Arial"/>
            <w:sz w:val="24"/>
            <w:szCs w:val="24"/>
            <w:u w:val="single"/>
          </w:rPr>
          <w:t>dstinson@bricker.com</w:t>
        </w:r>
      </w:hyperlink>
      <w:r w:rsidRPr="00CD19C2" w:rsidR="007F2348">
        <w:rPr>
          <w:rFonts w:ascii="Arial" w:hAnsi="Arial" w:eastAsia="Times New Roman" w:cs="Arial"/>
          <w:sz w:val="24"/>
          <w:szCs w:val="24"/>
        </w:rPr>
        <w:t xml:space="preserve"> </w:t>
      </w:r>
    </w:p>
    <w:p w:rsidRPr="00CD19C2" w:rsidR="007F2348" w:rsidP="007F2348" w:rsidRDefault="001B229D" w14:paraId="4BED2FB8" w14:textId="77777777">
      <w:pPr>
        <w:spacing w:after="0" w:line="240" w:lineRule="auto"/>
        <w:rPr>
          <w:rFonts w:ascii="Arial" w:hAnsi="Arial" w:eastAsia="Times New Roman" w:cs="Arial"/>
          <w:sz w:val="24"/>
          <w:szCs w:val="24"/>
        </w:rPr>
      </w:pPr>
      <w:hyperlink w:history="1" r:id="rId63">
        <w:r w:rsidRPr="002939CC" w:rsidR="007F2348">
          <w:rPr>
            <w:rFonts w:ascii="Arial" w:hAnsi="Arial" w:eastAsia="Times New Roman" w:cs="Arial"/>
            <w:sz w:val="24"/>
            <w:szCs w:val="24"/>
            <w:u w:val="single"/>
          </w:rPr>
          <w:t>mwarnock@bricker.com</w:t>
        </w:r>
      </w:hyperlink>
      <w:r w:rsidRPr="00CD19C2" w:rsidR="007F2348">
        <w:rPr>
          <w:rFonts w:ascii="Arial" w:hAnsi="Arial" w:eastAsia="Times New Roman" w:cs="Arial"/>
          <w:sz w:val="24"/>
          <w:szCs w:val="24"/>
        </w:rPr>
        <w:t xml:space="preserve"> </w:t>
      </w:r>
    </w:p>
    <w:p w:rsidRPr="00CD19C2" w:rsidR="007F2348" w:rsidP="007F2348" w:rsidRDefault="007F2348" w14:paraId="654C8EAB"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Katie Johnson Treadway</w:t>
      </w:r>
    </w:p>
    <w:p w:rsidRPr="00CD19C2" w:rsidR="007F2348" w:rsidP="007F2348" w:rsidRDefault="007F2348" w14:paraId="450A1462" w14:textId="77777777">
      <w:pPr>
        <w:spacing w:after="0" w:line="240" w:lineRule="auto"/>
        <w:rPr>
          <w:rFonts w:ascii="Arial" w:hAnsi="Arial" w:eastAsia="Times New Roman" w:cs="Arial"/>
          <w:sz w:val="24"/>
          <w:szCs w:val="24"/>
        </w:rPr>
      </w:pPr>
      <w:r w:rsidRPr="00CD19C2">
        <w:rPr>
          <w:rFonts w:ascii="Arial" w:hAnsi="Arial" w:eastAsia="Times New Roman" w:cs="Arial"/>
          <w:sz w:val="24"/>
          <w:szCs w:val="24"/>
        </w:rPr>
        <w:t>One Energy Enterprises LLC</w:t>
      </w:r>
    </w:p>
    <w:p w:rsidRPr="00CD19C2" w:rsidR="007F2348" w:rsidP="007F2348" w:rsidRDefault="001B229D" w14:paraId="2EBCBA69" w14:textId="77777777">
      <w:pPr>
        <w:spacing w:after="0" w:line="240" w:lineRule="auto"/>
        <w:rPr>
          <w:rFonts w:ascii="Arial" w:hAnsi="Arial" w:eastAsia="Times New Roman" w:cs="Arial"/>
          <w:sz w:val="24"/>
          <w:szCs w:val="24"/>
        </w:rPr>
      </w:pPr>
      <w:hyperlink w:history="1" r:id="rId64">
        <w:r w:rsidRPr="002939CC" w:rsidR="007F2348">
          <w:rPr>
            <w:rFonts w:ascii="Arial" w:hAnsi="Arial" w:eastAsia="Times New Roman" w:cs="Arial"/>
            <w:sz w:val="24"/>
            <w:szCs w:val="24"/>
            <w:u w:val="single"/>
          </w:rPr>
          <w:t>ktreadway@oneenergyllc.com</w:t>
        </w:r>
      </w:hyperlink>
      <w:r w:rsidRPr="00CD19C2" w:rsidR="007F2348">
        <w:rPr>
          <w:rFonts w:ascii="Arial" w:hAnsi="Arial" w:eastAsia="Times New Roman" w:cs="Arial"/>
          <w:sz w:val="24"/>
          <w:szCs w:val="24"/>
        </w:rPr>
        <w:t xml:space="preserve"> </w:t>
      </w:r>
    </w:p>
    <w:p w:rsidRPr="001A348E" w:rsidR="003C439C" w:rsidP="003B6372" w:rsidRDefault="003C439C" w14:paraId="2556B03D" w14:textId="77777777"/>
    <w:proofErr w:type="gramEnd"/>
    <w:sectPr w:rsidRPr="001A348E" w:rsidR="003C439C">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29D" w:rsidP="006A5173" w:rsidRDefault="001B229D" w14:paraId="70190C7C" w14:textId="77777777">
      <w:pPr>
        <w:spacing w:after="0" w:line="240" w:lineRule="auto"/>
      </w:pPr>
      <w:r>
        <w:separator/>
      </w:r>
    </w:p>
  </w:endnote>
  <w:endnote w:type="continuationSeparator" w:id="0">
    <w:p w:rsidR="001B229D" w:rsidP="006A5173" w:rsidRDefault="001B229D" w14:paraId="191D4E0E" w14:textId="77777777">
      <w:pPr>
        <w:spacing w:after="0" w:line="240" w:lineRule="auto"/>
      </w:pPr>
      <w:r>
        <w:continuationSeparator/>
      </w:r>
    </w:p>
  </w:endnote>
  <w:endnote w:type="continuationNotice" w:id="1">
    <w:p w:rsidR="001B229D" w:rsidRDefault="001B229D" w14:paraId="2F4016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05141541"/>
      <w:docPartObj>
        <w:docPartGallery w:val="Page Numbers (Bottom of Page)"/>
        <w:docPartUnique/>
      </w:docPartObj>
    </w:sdtPr>
    <w:sdtEndPr>
      <w:rPr>
        <w:noProof/>
      </w:rPr>
    </w:sdtEndPr>
    <w:sdtContent>
      <w:p w:rsidRPr="00A028D6" w:rsidR="008A53A5" w:rsidRDefault="008A53A5" w14:paraId="74809684" w14:textId="2206A4D2">
        <w:pPr>
          <w:pStyle w:val="Footer"/>
          <w:jc w:val="right"/>
          <w:rPr>
            <w:rFonts w:ascii="Arial" w:hAnsi="Arial" w:cs="Arial"/>
          </w:rPr>
        </w:pPr>
        <w:r w:rsidRPr="00A028D6">
          <w:rPr>
            <w:rFonts w:ascii="Arial" w:hAnsi="Arial" w:cs="Arial"/>
          </w:rPr>
          <w:fldChar w:fldCharType="begin"/>
        </w:r>
        <w:r w:rsidRPr="00A028D6">
          <w:rPr>
            <w:rFonts w:ascii="Arial" w:hAnsi="Arial" w:cs="Arial"/>
          </w:rPr>
          <w:instrText xml:space="preserve"> PAGE   \* MERGEFORMAT </w:instrText>
        </w:r>
        <w:r w:rsidRPr="00A028D6">
          <w:rPr>
            <w:rFonts w:ascii="Arial" w:hAnsi="Arial" w:cs="Arial"/>
          </w:rPr>
          <w:fldChar w:fldCharType="separate"/>
        </w:r>
        <w:r w:rsidRPr="00A028D6">
          <w:rPr>
            <w:rFonts w:ascii="Arial" w:hAnsi="Arial" w:cs="Arial"/>
            <w:noProof/>
          </w:rPr>
          <w:t>2</w:t>
        </w:r>
        <w:r w:rsidRPr="00A028D6">
          <w:rPr>
            <w:rFonts w:ascii="Arial" w:hAnsi="Arial" w:cs="Arial"/>
            <w:noProof/>
          </w:rPr>
          <w:fldChar w:fldCharType="end"/>
        </w:r>
      </w:p>
    </w:sdtContent>
  </w:sdt>
  <w:p w:rsidRPr="00A028D6" w:rsidR="008A53A5" w:rsidRDefault="008A53A5" w14:paraId="11076665"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29D" w:rsidP="006A5173" w:rsidRDefault="001B229D" w14:paraId="55138072" w14:textId="77777777">
      <w:pPr>
        <w:spacing w:after="0" w:line="240" w:lineRule="auto"/>
      </w:pPr>
      <w:r>
        <w:separator/>
      </w:r>
    </w:p>
  </w:footnote>
  <w:footnote w:type="continuationSeparator" w:id="0">
    <w:p w:rsidR="001B229D" w:rsidP="006A5173" w:rsidRDefault="001B229D" w14:paraId="1B92BC02" w14:textId="77777777">
      <w:pPr>
        <w:spacing w:after="0" w:line="240" w:lineRule="auto"/>
      </w:pPr>
      <w:r>
        <w:continuationSeparator/>
      </w:r>
    </w:p>
  </w:footnote>
  <w:footnote w:type="continuationNotice" w:id="1">
    <w:p w:rsidR="001B229D" w:rsidRDefault="001B229D" w14:paraId="1CE8EBE4" w14:textId="77777777">
      <w:pPr>
        <w:spacing w:after="0" w:line="240" w:lineRule="auto"/>
      </w:pPr>
    </w:p>
  </w:footnote>
  <w:footnote w:id="2">
    <w:p w:rsidRPr="00D211DC" w:rsidR="00B3384F" w:rsidP="00F613B6" w:rsidRDefault="00B3384F" w14:paraId="1FB2AEBA" w14:textId="6EB50C99">
      <w:pPr>
        <w:pStyle w:val="FootnoteText"/>
        <w:spacing w:after="120"/>
        <w:jc w:val="both"/>
        <w:rPr>
          <w:rFonts w:ascii="Arial" w:hAnsi="Arial" w:cs="Arial"/>
        </w:rPr>
      </w:pPr>
      <w:r w:rsidRPr="00D211DC">
        <w:rPr>
          <w:rStyle w:val="FootnoteReference"/>
          <w:rFonts w:ascii="Arial" w:hAnsi="Arial" w:cs="Arial"/>
        </w:rPr>
        <w:footnoteRef/>
      </w:r>
      <w:r w:rsidRPr="00D211DC">
        <w:rPr>
          <w:rFonts w:ascii="Arial" w:hAnsi="Arial" w:cs="Arial"/>
        </w:rPr>
        <w:t xml:space="preserve"> The Commission also directed Ohio Power to identify “its actual costs associated with the choice program.</w:t>
      </w:r>
      <w:r w:rsidR="00F613B6">
        <w:rPr>
          <w:rFonts w:ascii="Arial" w:hAnsi="Arial" w:cs="Arial"/>
        </w:rPr>
        <w:t>”</w:t>
      </w:r>
      <w:r w:rsidRPr="00D211DC">
        <w:rPr>
          <w:rFonts w:ascii="Arial" w:hAnsi="Arial" w:cs="Arial"/>
        </w:rPr>
        <w:t xml:space="preserve">  </w:t>
      </w:r>
      <w:r w:rsidRPr="00957549">
        <w:rPr>
          <w:rFonts w:ascii="Arial" w:hAnsi="Arial" w:cs="Arial"/>
          <w:i/>
          <w:iCs/>
        </w:rPr>
        <w:t>Id.</w:t>
      </w:r>
      <w:r w:rsidRPr="00D211DC">
        <w:rPr>
          <w:rFonts w:ascii="Arial" w:hAnsi="Arial" w:cs="Arial"/>
        </w:rPr>
        <w:t xml:space="preserve">  </w:t>
      </w:r>
    </w:p>
  </w:footnote>
  <w:footnote w:id="3">
    <w:p w:rsidRPr="00D211DC" w:rsidR="00B3384F" w:rsidRDefault="00B3384F" w14:paraId="5F32185F" w14:textId="3788C48E">
      <w:pPr>
        <w:pStyle w:val="FootnoteText"/>
        <w:spacing w:after="120"/>
        <w:jc w:val="both"/>
        <w:rPr>
          <w:rFonts w:ascii="Arial" w:hAnsi="Arial" w:cs="Arial"/>
        </w:rPr>
      </w:pPr>
      <w:r w:rsidRPr="00D211DC">
        <w:rPr>
          <w:rStyle w:val="FootnoteReference"/>
          <w:rFonts w:ascii="Arial" w:hAnsi="Arial" w:cs="Arial"/>
        </w:rPr>
        <w:footnoteRef/>
      </w:r>
      <w:r w:rsidRPr="00D211DC">
        <w:rPr>
          <w:rFonts w:ascii="Arial" w:hAnsi="Arial" w:cs="Arial"/>
        </w:rPr>
        <w:t xml:space="preserve"> </w:t>
      </w:r>
      <w:r w:rsidRPr="00D211DC">
        <w:rPr>
          <w:rFonts w:ascii="Arial" w:hAnsi="Arial" w:eastAsia="Arial" w:cs="Arial"/>
        </w:rPr>
        <w:t xml:space="preserve">Ohio Power also identified $1.2 million of costs included in the cost of service specific </w:t>
      </w:r>
      <w:proofErr w:type="gramStart"/>
      <w:r w:rsidRPr="00D211DC">
        <w:rPr>
          <w:rFonts w:ascii="Arial" w:hAnsi="Arial" w:eastAsia="Arial" w:cs="Arial"/>
        </w:rPr>
        <w:t>to choice</w:t>
      </w:r>
      <w:proofErr w:type="gramEnd"/>
      <w:r w:rsidRPr="00D211DC">
        <w:rPr>
          <w:rFonts w:ascii="Arial" w:hAnsi="Arial" w:eastAsia="Arial" w:cs="Arial"/>
        </w:rPr>
        <w:t xml:space="preserve"> service.  </w:t>
      </w:r>
    </w:p>
  </w:footnote>
  <w:footnote w:id="4">
    <w:p w:rsidRPr="00D211DC" w:rsidR="00FE20FA" w:rsidRDefault="00FE20FA" w14:paraId="570E740D" w14:textId="7A706F18">
      <w:pPr>
        <w:pStyle w:val="FootnoteText"/>
        <w:spacing w:after="120"/>
        <w:jc w:val="both"/>
        <w:rPr>
          <w:rFonts w:ascii="Arial" w:hAnsi="Arial" w:cs="Arial"/>
        </w:rPr>
      </w:pPr>
      <w:r w:rsidRPr="00D211DC">
        <w:rPr>
          <w:rStyle w:val="FootnoteReference"/>
          <w:rFonts w:ascii="Arial" w:hAnsi="Arial" w:cs="Arial"/>
        </w:rPr>
        <w:footnoteRef/>
      </w:r>
      <w:r w:rsidRPr="00D211DC">
        <w:rPr>
          <w:rFonts w:ascii="Arial" w:hAnsi="Arial" w:cs="Arial"/>
        </w:rPr>
        <w:t xml:space="preserve"> The problems associated with monopoly pricing are not limited to traditional utilities.  Similar issues have arisen in other industries as well, giving rise to a revival in interest in applying antitrust laws more broadly than has been the case for since the 1980s.  </w:t>
      </w:r>
      <w:r w:rsidRPr="00D211DC" w:rsidR="006E457D">
        <w:rPr>
          <w:rFonts w:ascii="Arial" w:hAnsi="Arial" w:cs="Arial"/>
        </w:rPr>
        <w:t>For a discussion of the need to prevent leveraging behavior by monopolies to thwart competitive harms</w:t>
      </w:r>
      <w:r w:rsidRPr="00B83C59" w:rsidR="006E457D">
        <w:rPr>
          <w:rFonts w:ascii="Arial" w:hAnsi="Arial" w:cs="Arial"/>
          <w:i/>
        </w:rPr>
        <w:t>, see</w:t>
      </w:r>
      <w:r w:rsidRPr="00D211DC" w:rsidR="006E457D">
        <w:rPr>
          <w:rFonts w:ascii="Arial" w:hAnsi="Arial" w:cs="Arial"/>
        </w:rPr>
        <w:t xml:space="preserve"> Lina M. Kahn, Amazon’s Antitrust Paradox, 126 Yale L.J. 710 (2017).</w:t>
      </w:r>
    </w:p>
  </w:footnote>
  <w:footnote w:id="5">
    <w:p w:rsidR="0018303D" w:rsidRDefault="0018303D" w14:paraId="7BFD4DB5" w14:textId="1CD8671F">
      <w:pPr>
        <w:pStyle w:val="FootnoteText"/>
        <w:spacing w:after="120"/>
        <w:jc w:val="both"/>
        <w:rPr>
          <w:rFonts w:ascii="Arial" w:hAnsi="Arial" w:cs="Arial"/>
        </w:rPr>
      </w:pPr>
      <w:r>
        <w:rPr>
          <w:rStyle w:val="FootnoteReference"/>
          <w:rFonts w:ascii="Arial" w:hAnsi="Arial" w:cs="Arial"/>
        </w:rPr>
        <w:footnoteRef/>
      </w:r>
      <w:r w:rsidR="6CC8EB8A">
        <w:rPr>
          <w:rFonts w:ascii="Arial" w:hAnsi="Arial" w:cs="Arial"/>
        </w:rPr>
        <w:t xml:space="preserve"> Mr. Lacey took additional care to remove all costs in several accounts related to street lighting and DSM that were identified in application testimony as the customer component of the cost of service study.  IGS/Direct </w:t>
      </w:r>
      <w:r w:rsidR="5D119DC4">
        <w:rPr>
          <w:rFonts w:ascii="Arial" w:hAnsi="Arial" w:cs="Arial"/>
        </w:rPr>
        <w:t>Ex.</w:t>
      </w:r>
      <w:r w:rsidR="6CC8EB8A">
        <w:rPr>
          <w:rFonts w:ascii="Arial" w:hAnsi="Arial" w:cs="Arial"/>
        </w:rPr>
        <w:t xml:space="preserve"> 2 at 35 and 36-37.</w:t>
      </w:r>
    </w:p>
  </w:footnote>
  <w:footnote w:id="6">
    <w:p w:rsidRPr="00627977" w:rsidR="00627977" w:rsidP="00A028D6" w:rsidRDefault="00627977" w14:paraId="6E721C26" w14:textId="77D716F4">
      <w:pPr>
        <w:pStyle w:val="FootnoteText"/>
        <w:jc w:val="both"/>
        <w:rPr>
          <w:rFonts w:ascii="Arial" w:hAnsi="Arial" w:cs="Arial"/>
        </w:rPr>
      </w:pPr>
      <w:r w:rsidRPr="00627977">
        <w:rPr>
          <w:rStyle w:val="FootnoteReference"/>
          <w:rFonts w:ascii="Arial" w:hAnsi="Arial" w:cs="Arial"/>
        </w:rPr>
        <w:footnoteRef/>
      </w:r>
      <w:r w:rsidRPr="00627977">
        <w:rPr>
          <w:rFonts w:ascii="Arial" w:hAnsi="Arial" w:cs="Arial"/>
        </w:rPr>
        <w:t xml:space="preserve"> For a discussion of the famous cat,</w:t>
      </w:r>
      <w:r w:rsidRPr="007F2348">
        <w:rPr>
          <w:rFonts w:ascii="Arial" w:hAnsi="Arial" w:cs="Arial"/>
          <w:i/>
        </w:rPr>
        <w:t xml:space="preserve"> see</w:t>
      </w:r>
      <w:r w:rsidRPr="00627977">
        <w:rPr>
          <w:rFonts w:ascii="Arial" w:hAnsi="Arial" w:cs="Arial"/>
        </w:rPr>
        <w:t xml:space="preserve"> https://en.wikipedia.org/wiki/Schr%C3%B6dinger%27s_cat</w:t>
      </w:r>
      <w:r>
        <w:rPr>
          <w:rFonts w:ascii="Arial" w:hAnsi="Arial" w:cs="Arial"/>
        </w:rPr>
        <w:t>.</w:t>
      </w:r>
    </w:p>
  </w:footnote>
</w:footnotes>
</file>

<file path=word/intelligence.xml><?xml version="1.0" encoding="utf-8"?>
<int:Intelligence xmlns:int="http://schemas.microsoft.com/office/intelligence/2019/intelligence">
  <int:IntelligenceSettings/>
  <int:Manifest>
    <int:WordHash hashCode="rzVPod92K0mdnp" id="qPaYMBai"/>
    <int:WordHash hashCode="oDF5P7WZ2dPfgf" id="IQ/Xm3TZ"/>
    <int:WordHash hashCode="HOOjAKTgrHUnXP" id="0fNTi19F"/>
    <int:WordHash hashCode="LWqI0efbHWuRf+" id="wSBY5njI"/>
    <int:WordHash hashCode="ew+nAZSzyW1bM6" id="qIGMhmlE"/>
    <int:WordHash hashCode="5cEnj+BQkBZE21" id="vSBkLCxZ"/>
    <int:WordHash hashCode="N+WoP/REDHP5bm" id="cU2PNNGy"/>
    <int:WordHash hashCode="tJ0YFu0n2nvupT" id="nDRF0Nm2"/>
    <int:WordHash hashCode="K33X8NnLP1L6Aw" id="bRYfCYJZ"/>
    <int:WordHash hashCode="raGgcM0ZOdzJ3X" id="8wOhkYyF"/>
    <int:WordHash hashCode="F5a4ICBtfOqhYq" id="VRLKnShr"/>
    <int:WordHash hashCode="t7FJApqAx8OoCi" id="Uag9sIjY"/>
    <int:WordHash hashCode="B0+DFYF/EMUSmo" id="fpHmEnws"/>
    <int:WordHash hashCode="unNT5++mO6tZF2" id="yC2l+WhS"/>
    <int:WordHash hashCode="Oydrph0NzPe+r5" id="mxhFKuC0"/>
    <int:WordHash hashCode="DpcCyNIO9exb9W" id="YZ7ut6Nj"/>
    <int:WordHash hashCode="8fZUQ0KKQI47eG" id="OVDIPbAn"/>
    <int:WordHash hashCode="1kBRQYUQ1PSdqn" id="xKP46Lri"/>
    <int:WordHash hashCode="stmjxvwz0QeHQG" id="bI2ALshe"/>
  </int:Manifest>
  <int:Observations>
    <int:Content id="qPaYMBai">
      <int:Rejection type="LegacyProofing"/>
    </int:Content>
    <int:Content id="IQ/Xm3TZ">
      <int:Rejection type="LegacyProofing"/>
    </int:Content>
    <int:Content id="0fNTi19F">
      <int:Rejection type="LegacyProofing"/>
    </int:Content>
    <int:Content id="wSBY5njI">
      <int:Rejection type="LegacyProofing"/>
    </int:Content>
    <int:Content id="qIGMhmlE">
      <int:Rejection type="AugLoop_Text_Critique"/>
    </int:Content>
    <int:Content id="vSBkLCxZ">
      <int:Rejection type="AugLoop_Text_Critique"/>
    </int:Content>
    <int:Content id="cU2PNNGy">
      <int:Rejection type="AugLoop_Text_Critique"/>
    </int:Content>
    <int:Content id="nDRF0Nm2">
      <int:Rejection type="AugLoop_Text_Critique"/>
    </int:Content>
    <int:Content id="bRYfCYJZ">
      <int:Rejection type="AugLoop_Text_Critique"/>
    </int:Content>
    <int:Content id="8wOhkYyF">
      <int:Rejection type="AugLoop_Text_Critique"/>
    </int:Content>
    <int:Content id="VRLKnShr">
      <int:Rejection type="AugLoop_Text_Critique"/>
    </int:Content>
    <int:Content id="Uag9sIjY">
      <int:Rejection type="LegacyProofing"/>
    </int:Content>
    <int:Content id="fpHmEnws">
      <int:Rejection type="LegacyProofing"/>
    </int:Content>
    <int:Content id="yC2l+WhS">
      <int:Rejection type="LegacyProofing"/>
    </int:Content>
    <int:Content id="mxhFKuC0">
      <int:Rejection type="LegacyProofing"/>
    </int:Content>
    <int:Content id="YZ7ut6Nj">
      <int:Rejection type="LegacyProofing"/>
    </int:Content>
    <int:Content id="OVDIPbAn">
      <int:Rejection type="LegacyProofing"/>
    </int:Content>
    <int:Content id="xKP46Lri">
      <int:Rejection type="LegacyProofing"/>
    </int:Content>
    <int:Content id="bI2ALsh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E64"/>
    <w:multiLevelType w:val="hybridMultilevel"/>
    <w:tmpl w:val="E5325874"/>
    <w:lvl w:ilvl="0" w:tplc="C854B12E">
      <w:start w:val="1"/>
      <w:numFmt w:val="upperLetter"/>
      <w:lvlText w:val="%1."/>
      <w:lvlJc w:val="left"/>
      <w:pPr>
        <w:ind w:left="580" w:hanging="360"/>
      </w:pPr>
      <w:rPr>
        <w:rFonts w:hint="default" w:ascii="Arial" w:hAnsi="Arial" w:eastAsiaTheme="minorHAnsi"/>
        <w:color w:val="0563C1" w:themeColor="hyperlink"/>
        <w:sz w:val="24"/>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3184BEC"/>
    <w:multiLevelType w:val="hybridMultilevel"/>
    <w:tmpl w:val="3ACAC8E2"/>
    <w:lvl w:ilvl="0" w:tplc="AD82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42CA7"/>
    <w:multiLevelType w:val="hybridMultilevel"/>
    <w:tmpl w:val="A37686CC"/>
    <w:lvl w:ilvl="0" w:tplc="1ACC7D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75856"/>
    <w:multiLevelType w:val="hybridMultilevel"/>
    <w:tmpl w:val="7C32048C"/>
    <w:lvl w:ilvl="0" w:tplc="D6D2C5EC">
      <w:start w:val="1"/>
      <w:numFmt w:val="upperLetter"/>
      <w:lvlText w:val="%1."/>
      <w:lvlJc w:val="left"/>
      <w:pPr>
        <w:ind w:left="1080" w:hanging="360"/>
      </w:pPr>
      <w:rPr>
        <w:rFonts w:hint="default" w:ascii="Arial" w:hAnsi="Arial" w:eastAsiaTheme="minorHAnsi"/>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A17A3"/>
    <w:multiLevelType w:val="hybridMultilevel"/>
    <w:tmpl w:val="ECDA30EE"/>
    <w:lvl w:ilvl="0" w:tplc="56F210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02690"/>
    <w:multiLevelType w:val="hybridMultilevel"/>
    <w:tmpl w:val="24DEBC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A3090"/>
    <w:multiLevelType w:val="hybridMultilevel"/>
    <w:tmpl w:val="4A086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2421F"/>
    <w:multiLevelType w:val="hybridMultilevel"/>
    <w:tmpl w:val="DBA290E0"/>
    <w:lvl w:ilvl="0" w:tplc="C1A8FC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642C5"/>
    <w:multiLevelType w:val="hybridMultilevel"/>
    <w:tmpl w:val="9C166C52"/>
    <w:lvl w:ilvl="0" w:tplc="F7029C3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238AA"/>
    <w:multiLevelType w:val="hybridMultilevel"/>
    <w:tmpl w:val="C6928672"/>
    <w:lvl w:ilvl="0" w:tplc="04090019">
      <w:start w:val="1"/>
      <w:numFmt w:val="decimal"/>
      <w:lvlText w:val="%1."/>
      <w:lvlJc w:val="left"/>
      <w:pPr>
        <w:ind w:left="108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2030DD"/>
    <w:multiLevelType w:val="hybridMultilevel"/>
    <w:tmpl w:val="D35863D4"/>
    <w:lvl w:ilvl="0" w:tplc="4566D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E1257"/>
    <w:multiLevelType w:val="hybridMultilevel"/>
    <w:tmpl w:val="D6366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D6CD8"/>
    <w:multiLevelType w:val="hybridMultilevel"/>
    <w:tmpl w:val="6BF289B0"/>
    <w:lvl w:ilvl="0" w:tplc="81A645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0F6DBA"/>
    <w:multiLevelType w:val="hybridMultilevel"/>
    <w:tmpl w:val="ECDEB8A2"/>
    <w:lvl w:ilvl="0" w:tplc="3670F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14CA6"/>
    <w:multiLevelType w:val="hybridMultilevel"/>
    <w:tmpl w:val="A6302E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1B6A4E"/>
    <w:multiLevelType w:val="hybridMultilevel"/>
    <w:tmpl w:val="5D1210D4"/>
    <w:lvl w:ilvl="0" w:tplc="0A12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E920E3"/>
    <w:multiLevelType w:val="hybridMultilevel"/>
    <w:tmpl w:val="A8929B9C"/>
    <w:lvl w:ilvl="0" w:tplc="E9343340">
      <w:start w:val="1"/>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405353E"/>
    <w:multiLevelType w:val="hybridMultilevel"/>
    <w:tmpl w:val="ED940A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5"/>
  </w:num>
  <w:num w:numId="5">
    <w:abstractNumId w:val="10"/>
  </w:num>
  <w:num w:numId="6">
    <w:abstractNumId w:val="9"/>
    <w:lvlOverride w:ilvl="0">
      <w:startOverride w:val="1"/>
    </w:lvlOverride>
  </w:num>
  <w:num w:numId="7">
    <w:abstractNumId w:val="4"/>
  </w:num>
  <w:num w:numId="8">
    <w:abstractNumId w:val="6"/>
  </w:num>
  <w:num w:numId="9">
    <w:abstractNumId w:val="9"/>
    <w:lvlOverride w:ilvl="0">
      <w:startOverride w:val="1"/>
    </w:lvlOverride>
  </w:num>
  <w:num w:numId="10">
    <w:abstractNumId w:val="11"/>
  </w:num>
  <w:num w:numId="11">
    <w:abstractNumId w:val="2"/>
  </w:num>
  <w:num w:numId="12">
    <w:abstractNumId w:val="16"/>
  </w:num>
  <w:num w:numId="13">
    <w:abstractNumId w:val="9"/>
    <w:lvlOverride w:ilvl="0">
      <w:startOverride w:val="1"/>
    </w:lvlOverride>
  </w:num>
  <w:num w:numId="14">
    <w:abstractNumId w:val="17"/>
  </w:num>
  <w:num w:numId="15">
    <w:abstractNumId w:val="13"/>
  </w:num>
  <w:num w:numId="16">
    <w:abstractNumId w:val="7"/>
  </w:num>
  <w:num w:numId="17">
    <w:abstractNumId w:val="1"/>
  </w:num>
  <w:num w:numId="18">
    <w:abstractNumId w:val="0"/>
  </w:num>
  <w:num w:numId="19">
    <w:abstractNumId w:val="3"/>
  </w:num>
  <w:num w:numId="20">
    <w:abstractNumId w:val="15"/>
  </w:num>
  <w:num w:numId="2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73"/>
    <w:rsid w:val="000010A5"/>
    <w:rsid w:val="00002133"/>
    <w:rsid w:val="00003FD5"/>
    <w:rsid w:val="00005E35"/>
    <w:rsid w:val="00006C13"/>
    <w:rsid w:val="000107BC"/>
    <w:rsid w:val="00012C1C"/>
    <w:rsid w:val="000168DE"/>
    <w:rsid w:val="00017802"/>
    <w:rsid w:val="000201AF"/>
    <w:rsid w:val="000221AC"/>
    <w:rsid w:val="000231CF"/>
    <w:rsid w:val="0002524C"/>
    <w:rsid w:val="00026980"/>
    <w:rsid w:val="000308C6"/>
    <w:rsid w:val="000308C8"/>
    <w:rsid w:val="00031374"/>
    <w:rsid w:val="00032186"/>
    <w:rsid w:val="000343CA"/>
    <w:rsid w:val="00034EB5"/>
    <w:rsid w:val="00035E50"/>
    <w:rsid w:val="00035EBB"/>
    <w:rsid w:val="0003743C"/>
    <w:rsid w:val="000408F5"/>
    <w:rsid w:val="00042530"/>
    <w:rsid w:val="00042B0A"/>
    <w:rsid w:val="00047FC8"/>
    <w:rsid w:val="0005054A"/>
    <w:rsid w:val="00051E40"/>
    <w:rsid w:val="0005320D"/>
    <w:rsid w:val="0005462B"/>
    <w:rsid w:val="000549B7"/>
    <w:rsid w:val="000559F5"/>
    <w:rsid w:val="000609EC"/>
    <w:rsid w:val="00061BBE"/>
    <w:rsid w:val="00062CB8"/>
    <w:rsid w:val="000631ED"/>
    <w:rsid w:val="000676EC"/>
    <w:rsid w:val="00071FAD"/>
    <w:rsid w:val="00072C65"/>
    <w:rsid w:val="0007500E"/>
    <w:rsid w:val="00076004"/>
    <w:rsid w:val="000763A1"/>
    <w:rsid w:val="0008011B"/>
    <w:rsid w:val="0008082D"/>
    <w:rsid w:val="00080CEB"/>
    <w:rsid w:val="00082C06"/>
    <w:rsid w:val="00085BF1"/>
    <w:rsid w:val="00087FFA"/>
    <w:rsid w:val="00094803"/>
    <w:rsid w:val="0009560C"/>
    <w:rsid w:val="00095E81"/>
    <w:rsid w:val="00097EAE"/>
    <w:rsid w:val="000A08C0"/>
    <w:rsid w:val="000A4FC7"/>
    <w:rsid w:val="000A6CD8"/>
    <w:rsid w:val="000B0401"/>
    <w:rsid w:val="000B167C"/>
    <w:rsid w:val="000B25E3"/>
    <w:rsid w:val="000B29B0"/>
    <w:rsid w:val="000B3638"/>
    <w:rsid w:val="000B392E"/>
    <w:rsid w:val="000B56A6"/>
    <w:rsid w:val="000BF01C"/>
    <w:rsid w:val="000C350C"/>
    <w:rsid w:val="000C39B9"/>
    <w:rsid w:val="000C521B"/>
    <w:rsid w:val="000D0FD7"/>
    <w:rsid w:val="000D284E"/>
    <w:rsid w:val="000D2A54"/>
    <w:rsid w:val="000D393E"/>
    <w:rsid w:val="000D55E4"/>
    <w:rsid w:val="000D6076"/>
    <w:rsid w:val="000D6272"/>
    <w:rsid w:val="000E0177"/>
    <w:rsid w:val="000E0C0E"/>
    <w:rsid w:val="000E52BF"/>
    <w:rsid w:val="000E700D"/>
    <w:rsid w:val="000E7127"/>
    <w:rsid w:val="000F3B25"/>
    <w:rsid w:val="000F4EA4"/>
    <w:rsid w:val="000F5066"/>
    <w:rsid w:val="000F7D52"/>
    <w:rsid w:val="001003C5"/>
    <w:rsid w:val="00101976"/>
    <w:rsid w:val="001023E5"/>
    <w:rsid w:val="00102E4F"/>
    <w:rsid w:val="0010386A"/>
    <w:rsid w:val="00103F66"/>
    <w:rsid w:val="001049D3"/>
    <w:rsid w:val="00104BBF"/>
    <w:rsid w:val="00105D91"/>
    <w:rsid w:val="00106419"/>
    <w:rsid w:val="001128CB"/>
    <w:rsid w:val="00113A91"/>
    <w:rsid w:val="00114E0F"/>
    <w:rsid w:val="00120893"/>
    <w:rsid w:val="00121A36"/>
    <w:rsid w:val="00121BF2"/>
    <w:rsid w:val="00122E6B"/>
    <w:rsid w:val="0012365F"/>
    <w:rsid w:val="00123D0F"/>
    <w:rsid w:val="00123EB7"/>
    <w:rsid w:val="00124296"/>
    <w:rsid w:val="00124D01"/>
    <w:rsid w:val="0012576D"/>
    <w:rsid w:val="00125E1B"/>
    <w:rsid w:val="001261A0"/>
    <w:rsid w:val="00131203"/>
    <w:rsid w:val="00131689"/>
    <w:rsid w:val="00131706"/>
    <w:rsid w:val="00132510"/>
    <w:rsid w:val="0013322A"/>
    <w:rsid w:val="00133B6A"/>
    <w:rsid w:val="00141A01"/>
    <w:rsid w:val="001476EB"/>
    <w:rsid w:val="00147AEF"/>
    <w:rsid w:val="00150097"/>
    <w:rsid w:val="00152546"/>
    <w:rsid w:val="00152E26"/>
    <w:rsid w:val="00155045"/>
    <w:rsid w:val="00155770"/>
    <w:rsid w:val="001575B2"/>
    <w:rsid w:val="00160375"/>
    <w:rsid w:val="001604E0"/>
    <w:rsid w:val="00160AF1"/>
    <w:rsid w:val="00162651"/>
    <w:rsid w:val="00164A8C"/>
    <w:rsid w:val="00166449"/>
    <w:rsid w:val="00170DC9"/>
    <w:rsid w:val="00171309"/>
    <w:rsid w:val="00171601"/>
    <w:rsid w:val="00172842"/>
    <w:rsid w:val="001758FA"/>
    <w:rsid w:val="00177433"/>
    <w:rsid w:val="0018303D"/>
    <w:rsid w:val="0018559E"/>
    <w:rsid w:val="00185A8C"/>
    <w:rsid w:val="00186C6D"/>
    <w:rsid w:val="0018703C"/>
    <w:rsid w:val="0019149F"/>
    <w:rsid w:val="001925CB"/>
    <w:rsid w:val="00192832"/>
    <w:rsid w:val="0019700E"/>
    <w:rsid w:val="001A1624"/>
    <w:rsid w:val="001A3344"/>
    <w:rsid w:val="001A348E"/>
    <w:rsid w:val="001A5654"/>
    <w:rsid w:val="001A5AC8"/>
    <w:rsid w:val="001A7460"/>
    <w:rsid w:val="001B0C59"/>
    <w:rsid w:val="001B16F5"/>
    <w:rsid w:val="001B229D"/>
    <w:rsid w:val="001B409D"/>
    <w:rsid w:val="001C0363"/>
    <w:rsid w:val="001C1B86"/>
    <w:rsid w:val="001C525D"/>
    <w:rsid w:val="001C5628"/>
    <w:rsid w:val="001C7C9D"/>
    <w:rsid w:val="001D13B9"/>
    <w:rsid w:val="001D1400"/>
    <w:rsid w:val="001D156E"/>
    <w:rsid w:val="001D5152"/>
    <w:rsid w:val="001D57D6"/>
    <w:rsid w:val="001E0196"/>
    <w:rsid w:val="001E08F4"/>
    <w:rsid w:val="001E2256"/>
    <w:rsid w:val="001E28D5"/>
    <w:rsid w:val="001E422A"/>
    <w:rsid w:val="001E4C1C"/>
    <w:rsid w:val="001E5D2B"/>
    <w:rsid w:val="001F0D79"/>
    <w:rsid w:val="001F0E6D"/>
    <w:rsid w:val="001F1C1A"/>
    <w:rsid w:val="001F2FE5"/>
    <w:rsid w:val="001F48D0"/>
    <w:rsid w:val="001F6776"/>
    <w:rsid w:val="001F751E"/>
    <w:rsid w:val="00200450"/>
    <w:rsid w:val="00202763"/>
    <w:rsid w:val="0020444D"/>
    <w:rsid w:val="0020784C"/>
    <w:rsid w:val="00210333"/>
    <w:rsid w:val="0021076E"/>
    <w:rsid w:val="002129FE"/>
    <w:rsid w:val="0021465B"/>
    <w:rsid w:val="002150AB"/>
    <w:rsid w:val="00222E18"/>
    <w:rsid w:val="00225CD1"/>
    <w:rsid w:val="00227054"/>
    <w:rsid w:val="00232928"/>
    <w:rsid w:val="00234A80"/>
    <w:rsid w:val="00234BD4"/>
    <w:rsid w:val="00235B02"/>
    <w:rsid w:val="00237421"/>
    <w:rsid w:val="00237AF4"/>
    <w:rsid w:val="00241FD2"/>
    <w:rsid w:val="0024258D"/>
    <w:rsid w:val="00242FF7"/>
    <w:rsid w:val="00244524"/>
    <w:rsid w:val="00244E36"/>
    <w:rsid w:val="00245CF8"/>
    <w:rsid w:val="0024630E"/>
    <w:rsid w:val="00246969"/>
    <w:rsid w:val="002503ED"/>
    <w:rsid w:val="002509A9"/>
    <w:rsid w:val="00251B86"/>
    <w:rsid w:val="002536BC"/>
    <w:rsid w:val="00254823"/>
    <w:rsid w:val="002600B9"/>
    <w:rsid w:val="00261787"/>
    <w:rsid w:val="00264BDA"/>
    <w:rsid w:val="00265097"/>
    <w:rsid w:val="0026541A"/>
    <w:rsid w:val="002677E9"/>
    <w:rsid w:val="00271346"/>
    <w:rsid w:val="0027582A"/>
    <w:rsid w:val="00276007"/>
    <w:rsid w:val="00277CC2"/>
    <w:rsid w:val="0028155A"/>
    <w:rsid w:val="002869D2"/>
    <w:rsid w:val="00286D8D"/>
    <w:rsid w:val="00292728"/>
    <w:rsid w:val="00295A05"/>
    <w:rsid w:val="00297362"/>
    <w:rsid w:val="002A1297"/>
    <w:rsid w:val="002A1413"/>
    <w:rsid w:val="002A146F"/>
    <w:rsid w:val="002A4424"/>
    <w:rsid w:val="002A4627"/>
    <w:rsid w:val="002A4C06"/>
    <w:rsid w:val="002B09BF"/>
    <w:rsid w:val="002B0F6E"/>
    <w:rsid w:val="002B313C"/>
    <w:rsid w:val="002B3C53"/>
    <w:rsid w:val="002B42EA"/>
    <w:rsid w:val="002C0A2E"/>
    <w:rsid w:val="002C1DBE"/>
    <w:rsid w:val="002C27D4"/>
    <w:rsid w:val="002C36CF"/>
    <w:rsid w:val="002C42C7"/>
    <w:rsid w:val="002C6BA7"/>
    <w:rsid w:val="002C6D93"/>
    <w:rsid w:val="002C6FFA"/>
    <w:rsid w:val="002D0B32"/>
    <w:rsid w:val="002D115F"/>
    <w:rsid w:val="002D29E2"/>
    <w:rsid w:val="002D2D4B"/>
    <w:rsid w:val="002D4817"/>
    <w:rsid w:val="002D5C6F"/>
    <w:rsid w:val="002D6D42"/>
    <w:rsid w:val="002D7A08"/>
    <w:rsid w:val="002E0521"/>
    <w:rsid w:val="002E7857"/>
    <w:rsid w:val="002F11F6"/>
    <w:rsid w:val="002F1FF9"/>
    <w:rsid w:val="002F4112"/>
    <w:rsid w:val="002F43ED"/>
    <w:rsid w:val="002F5BA9"/>
    <w:rsid w:val="002F7C58"/>
    <w:rsid w:val="003025EB"/>
    <w:rsid w:val="00304C4F"/>
    <w:rsid w:val="0030631D"/>
    <w:rsid w:val="00307770"/>
    <w:rsid w:val="00310FE1"/>
    <w:rsid w:val="00312F02"/>
    <w:rsid w:val="00313254"/>
    <w:rsid w:val="003148C2"/>
    <w:rsid w:val="00314E4B"/>
    <w:rsid w:val="00316D48"/>
    <w:rsid w:val="003228DF"/>
    <w:rsid w:val="00324352"/>
    <w:rsid w:val="00325369"/>
    <w:rsid w:val="00327E6F"/>
    <w:rsid w:val="00332092"/>
    <w:rsid w:val="003322B1"/>
    <w:rsid w:val="00332462"/>
    <w:rsid w:val="0033290B"/>
    <w:rsid w:val="00333D1E"/>
    <w:rsid w:val="003352E2"/>
    <w:rsid w:val="00335F3A"/>
    <w:rsid w:val="003415AC"/>
    <w:rsid w:val="00342AAB"/>
    <w:rsid w:val="00344CDE"/>
    <w:rsid w:val="00345000"/>
    <w:rsid w:val="00345A37"/>
    <w:rsid w:val="00351B07"/>
    <w:rsid w:val="0035256B"/>
    <w:rsid w:val="00352F37"/>
    <w:rsid w:val="00355308"/>
    <w:rsid w:val="003568E9"/>
    <w:rsid w:val="00357E8E"/>
    <w:rsid w:val="00361432"/>
    <w:rsid w:val="00362174"/>
    <w:rsid w:val="00362A84"/>
    <w:rsid w:val="00364159"/>
    <w:rsid w:val="0036417A"/>
    <w:rsid w:val="003661A2"/>
    <w:rsid w:val="0037037E"/>
    <w:rsid w:val="00375E41"/>
    <w:rsid w:val="00377F06"/>
    <w:rsid w:val="003819C7"/>
    <w:rsid w:val="00383A1C"/>
    <w:rsid w:val="0038453A"/>
    <w:rsid w:val="003848EB"/>
    <w:rsid w:val="00384952"/>
    <w:rsid w:val="00386B25"/>
    <w:rsid w:val="00392F9C"/>
    <w:rsid w:val="003931FC"/>
    <w:rsid w:val="00394D34"/>
    <w:rsid w:val="00395465"/>
    <w:rsid w:val="00396058"/>
    <w:rsid w:val="00396653"/>
    <w:rsid w:val="00396AA8"/>
    <w:rsid w:val="00397758"/>
    <w:rsid w:val="003A15D7"/>
    <w:rsid w:val="003A42A4"/>
    <w:rsid w:val="003A448F"/>
    <w:rsid w:val="003A472D"/>
    <w:rsid w:val="003A532E"/>
    <w:rsid w:val="003A57BB"/>
    <w:rsid w:val="003A5E82"/>
    <w:rsid w:val="003A6BB5"/>
    <w:rsid w:val="003B6372"/>
    <w:rsid w:val="003B6B8C"/>
    <w:rsid w:val="003C1C8F"/>
    <w:rsid w:val="003C439C"/>
    <w:rsid w:val="003C4DE4"/>
    <w:rsid w:val="003C6F9D"/>
    <w:rsid w:val="003D03A1"/>
    <w:rsid w:val="003D05D1"/>
    <w:rsid w:val="003D0E32"/>
    <w:rsid w:val="003D16B2"/>
    <w:rsid w:val="003D38D1"/>
    <w:rsid w:val="003D4421"/>
    <w:rsid w:val="003D4AD0"/>
    <w:rsid w:val="003E1129"/>
    <w:rsid w:val="003E14CF"/>
    <w:rsid w:val="003E1E2E"/>
    <w:rsid w:val="003E316E"/>
    <w:rsid w:val="003F116B"/>
    <w:rsid w:val="003F2800"/>
    <w:rsid w:val="003F2979"/>
    <w:rsid w:val="003F4A10"/>
    <w:rsid w:val="004022C8"/>
    <w:rsid w:val="00402A56"/>
    <w:rsid w:val="0040364D"/>
    <w:rsid w:val="0040556D"/>
    <w:rsid w:val="00406398"/>
    <w:rsid w:val="00407F52"/>
    <w:rsid w:val="004117BD"/>
    <w:rsid w:val="004123F1"/>
    <w:rsid w:val="004137E0"/>
    <w:rsid w:val="0041465E"/>
    <w:rsid w:val="00415266"/>
    <w:rsid w:val="00415B51"/>
    <w:rsid w:val="004213D5"/>
    <w:rsid w:val="0042364F"/>
    <w:rsid w:val="00424569"/>
    <w:rsid w:val="00425BD9"/>
    <w:rsid w:val="00437558"/>
    <w:rsid w:val="00440636"/>
    <w:rsid w:val="004416BB"/>
    <w:rsid w:val="004471F6"/>
    <w:rsid w:val="00447A3D"/>
    <w:rsid w:val="00447A7B"/>
    <w:rsid w:val="0045049C"/>
    <w:rsid w:val="004509D5"/>
    <w:rsid w:val="0045133F"/>
    <w:rsid w:val="00451BB7"/>
    <w:rsid w:val="00457CD6"/>
    <w:rsid w:val="004623AC"/>
    <w:rsid w:val="00462DA2"/>
    <w:rsid w:val="00463A07"/>
    <w:rsid w:val="0046462F"/>
    <w:rsid w:val="00466461"/>
    <w:rsid w:val="004666DA"/>
    <w:rsid w:val="00467884"/>
    <w:rsid w:val="0047151D"/>
    <w:rsid w:val="00472C97"/>
    <w:rsid w:val="004749BF"/>
    <w:rsid w:val="00475DEA"/>
    <w:rsid w:val="0048709D"/>
    <w:rsid w:val="00492BA7"/>
    <w:rsid w:val="00492BD7"/>
    <w:rsid w:val="00493A95"/>
    <w:rsid w:val="00497932"/>
    <w:rsid w:val="004A1C8D"/>
    <w:rsid w:val="004A2F33"/>
    <w:rsid w:val="004A32E5"/>
    <w:rsid w:val="004A3A57"/>
    <w:rsid w:val="004A7237"/>
    <w:rsid w:val="004A744B"/>
    <w:rsid w:val="004A78B6"/>
    <w:rsid w:val="004B092D"/>
    <w:rsid w:val="004B0CD0"/>
    <w:rsid w:val="004B183D"/>
    <w:rsid w:val="004B376A"/>
    <w:rsid w:val="004B6A2D"/>
    <w:rsid w:val="004B6C97"/>
    <w:rsid w:val="004C5E85"/>
    <w:rsid w:val="004C613C"/>
    <w:rsid w:val="004C6145"/>
    <w:rsid w:val="004C97E2"/>
    <w:rsid w:val="004D1E39"/>
    <w:rsid w:val="004D2179"/>
    <w:rsid w:val="004D3519"/>
    <w:rsid w:val="004D356E"/>
    <w:rsid w:val="004D35B7"/>
    <w:rsid w:val="004D3608"/>
    <w:rsid w:val="004D4B5D"/>
    <w:rsid w:val="004D55BE"/>
    <w:rsid w:val="004E0ABB"/>
    <w:rsid w:val="004E1F27"/>
    <w:rsid w:val="004E2F18"/>
    <w:rsid w:val="004E32F5"/>
    <w:rsid w:val="004E3BA6"/>
    <w:rsid w:val="004E4C20"/>
    <w:rsid w:val="004E59D3"/>
    <w:rsid w:val="004E784C"/>
    <w:rsid w:val="004F1967"/>
    <w:rsid w:val="004F38D7"/>
    <w:rsid w:val="004F3E88"/>
    <w:rsid w:val="004F5C26"/>
    <w:rsid w:val="00501CD2"/>
    <w:rsid w:val="00501FA6"/>
    <w:rsid w:val="0050612F"/>
    <w:rsid w:val="0051034A"/>
    <w:rsid w:val="00510AC9"/>
    <w:rsid w:val="00511E22"/>
    <w:rsid w:val="00511EC7"/>
    <w:rsid w:val="005178D7"/>
    <w:rsid w:val="00522769"/>
    <w:rsid w:val="00523F68"/>
    <w:rsid w:val="005254A8"/>
    <w:rsid w:val="005306C7"/>
    <w:rsid w:val="005307AD"/>
    <w:rsid w:val="00530E93"/>
    <w:rsid w:val="00531762"/>
    <w:rsid w:val="00531791"/>
    <w:rsid w:val="005333E9"/>
    <w:rsid w:val="00533665"/>
    <w:rsid w:val="00534212"/>
    <w:rsid w:val="00540904"/>
    <w:rsid w:val="005409F6"/>
    <w:rsid w:val="00542705"/>
    <w:rsid w:val="00543151"/>
    <w:rsid w:val="00543426"/>
    <w:rsid w:val="00546129"/>
    <w:rsid w:val="005477DB"/>
    <w:rsid w:val="00547A6D"/>
    <w:rsid w:val="00547B5F"/>
    <w:rsid w:val="00554661"/>
    <w:rsid w:val="00555899"/>
    <w:rsid w:val="00555EA4"/>
    <w:rsid w:val="00560D18"/>
    <w:rsid w:val="005666FE"/>
    <w:rsid w:val="005668EC"/>
    <w:rsid w:val="0056708A"/>
    <w:rsid w:val="005679A3"/>
    <w:rsid w:val="00573D27"/>
    <w:rsid w:val="005748CB"/>
    <w:rsid w:val="005764C5"/>
    <w:rsid w:val="00576747"/>
    <w:rsid w:val="00577F3C"/>
    <w:rsid w:val="00577FAD"/>
    <w:rsid w:val="00582E76"/>
    <w:rsid w:val="005830D8"/>
    <w:rsid w:val="005839AA"/>
    <w:rsid w:val="005852AB"/>
    <w:rsid w:val="00585C06"/>
    <w:rsid w:val="00592785"/>
    <w:rsid w:val="0059420A"/>
    <w:rsid w:val="0059477E"/>
    <w:rsid w:val="005951E1"/>
    <w:rsid w:val="00595DAC"/>
    <w:rsid w:val="00596B84"/>
    <w:rsid w:val="005A03E8"/>
    <w:rsid w:val="005A1351"/>
    <w:rsid w:val="005A24F9"/>
    <w:rsid w:val="005A2B01"/>
    <w:rsid w:val="005A363E"/>
    <w:rsid w:val="005A527E"/>
    <w:rsid w:val="005A5EC9"/>
    <w:rsid w:val="005A6F99"/>
    <w:rsid w:val="005B182D"/>
    <w:rsid w:val="005B3250"/>
    <w:rsid w:val="005B64DF"/>
    <w:rsid w:val="005C0684"/>
    <w:rsid w:val="005C1C41"/>
    <w:rsid w:val="005C7B6B"/>
    <w:rsid w:val="005D1CE7"/>
    <w:rsid w:val="005D4951"/>
    <w:rsid w:val="005D7AFD"/>
    <w:rsid w:val="005E1A70"/>
    <w:rsid w:val="005E2A2F"/>
    <w:rsid w:val="005E4C69"/>
    <w:rsid w:val="005E7073"/>
    <w:rsid w:val="005E7D4E"/>
    <w:rsid w:val="005F1236"/>
    <w:rsid w:val="005F18F8"/>
    <w:rsid w:val="005F21B8"/>
    <w:rsid w:val="005F24FA"/>
    <w:rsid w:val="005F42C6"/>
    <w:rsid w:val="005F4A2D"/>
    <w:rsid w:val="005F56F5"/>
    <w:rsid w:val="005F59DD"/>
    <w:rsid w:val="005F6AC3"/>
    <w:rsid w:val="005F7FA2"/>
    <w:rsid w:val="00600493"/>
    <w:rsid w:val="0060453B"/>
    <w:rsid w:val="006058CA"/>
    <w:rsid w:val="006140E0"/>
    <w:rsid w:val="006143F9"/>
    <w:rsid w:val="00614F3F"/>
    <w:rsid w:val="00616773"/>
    <w:rsid w:val="0061686A"/>
    <w:rsid w:val="00620516"/>
    <w:rsid w:val="00620581"/>
    <w:rsid w:val="006209C4"/>
    <w:rsid w:val="00620E78"/>
    <w:rsid w:val="00623EBE"/>
    <w:rsid w:val="0062427B"/>
    <w:rsid w:val="006248BC"/>
    <w:rsid w:val="00626534"/>
    <w:rsid w:val="00626D89"/>
    <w:rsid w:val="00627977"/>
    <w:rsid w:val="00630171"/>
    <w:rsid w:val="00631307"/>
    <w:rsid w:val="006316B2"/>
    <w:rsid w:val="00632262"/>
    <w:rsid w:val="00633A46"/>
    <w:rsid w:val="00635A63"/>
    <w:rsid w:val="0063637E"/>
    <w:rsid w:val="00646341"/>
    <w:rsid w:val="006520E6"/>
    <w:rsid w:val="00653F9F"/>
    <w:rsid w:val="006600DB"/>
    <w:rsid w:val="0066052B"/>
    <w:rsid w:val="00660B92"/>
    <w:rsid w:val="00661064"/>
    <w:rsid w:val="00661109"/>
    <w:rsid w:val="00661AAE"/>
    <w:rsid w:val="006646DC"/>
    <w:rsid w:val="00672556"/>
    <w:rsid w:val="0067400D"/>
    <w:rsid w:val="006742DF"/>
    <w:rsid w:val="0067508B"/>
    <w:rsid w:val="0068188F"/>
    <w:rsid w:val="00681901"/>
    <w:rsid w:val="00690AC4"/>
    <w:rsid w:val="00693835"/>
    <w:rsid w:val="006943F0"/>
    <w:rsid w:val="00696ADF"/>
    <w:rsid w:val="00697BC1"/>
    <w:rsid w:val="00697BE5"/>
    <w:rsid w:val="006A3F8C"/>
    <w:rsid w:val="006A42B1"/>
    <w:rsid w:val="006A50F7"/>
    <w:rsid w:val="006A5173"/>
    <w:rsid w:val="006A5CED"/>
    <w:rsid w:val="006A788A"/>
    <w:rsid w:val="006B0C82"/>
    <w:rsid w:val="006B0F7B"/>
    <w:rsid w:val="006B1BA3"/>
    <w:rsid w:val="006B1C0A"/>
    <w:rsid w:val="006B3C4D"/>
    <w:rsid w:val="006C122A"/>
    <w:rsid w:val="006C1B37"/>
    <w:rsid w:val="006C3570"/>
    <w:rsid w:val="006C464D"/>
    <w:rsid w:val="006C6192"/>
    <w:rsid w:val="006C764D"/>
    <w:rsid w:val="006D30D1"/>
    <w:rsid w:val="006D48E3"/>
    <w:rsid w:val="006D651C"/>
    <w:rsid w:val="006E1DF2"/>
    <w:rsid w:val="006E280C"/>
    <w:rsid w:val="006E3A33"/>
    <w:rsid w:val="006E457D"/>
    <w:rsid w:val="006E5DF2"/>
    <w:rsid w:val="006F38D1"/>
    <w:rsid w:val="006F5337"/>
    <w:rsid w:val="006F5B57"/>
    <w:rsid w:val="006F662F"/>
    <w:rsid w:val="006F75CC"/>
    <w:rsid w:val="00703F03"/>
    <w:rsid w:val="00704466"/>
    <w:rsid w:val="007066DB"/>
    <w:rsid w:val="00706C14"/>
    <w:rsid w:val="00706E5D"/>
    <w:rsid w:val="00710384"/>
    <w:rsid w:val="007105FF"/>
    <w:rsid w:val="00710D96"/>
    <w:rsid w:val="00710ECB"/>
    <w:rsid w:val="007132A2"/>
    <w:rsid w:val="007141AC"/>
    <w:rsid w:val="00714EBA"/>
    <w:rsid w:val="007152B0"/>
    <w:rsid w:val="00717435"/>
    <w:rsid w:val="00720644"/>
    <w:rsid w:val="00721BE7"/>
    <w:rsid w:val="00722440"/>
    <w:rsid w:val="00722790"/>
    <w:rsid w:val="00724421"/>
    <w:rsid w:val="00724CCD"/>
    <w:rsid w:val="0072680C"/>
    <w:rsid w:val="00726BBC"/>
    <w:rsid w:val="007279CD"/>
    <w:rsid w:val="00730804"/>
    <w:rsid w:val="007315AD"/>
    <w:rsid w:val="00735BB3"/>
    <w:rsid w:val="00736230"/>
    <w:rsid w:val="007364F9"/>
    <w:rsid w:val="007374BC"/>
    <w:rsid w:val="0073756F"/>
    <w:rsid w:val="007426A4"/>
    <w:rsid w:val="00743E60"/>
    <w:rsid w:val="00747213"/>
    <w:rsid w:val="00750B81"/>
    <w:rsid w:val="0075151F"/>
    <w:rsid w:val="00751778"/>
    <w:rsid w:val="00751AFB"/>
    <w:rsid w:val="00752764"/>
    <w:rsid w:val="00752B28"/>
    <w:rsid w:val="00753E26"/>
    <w:rsid w:val="007546FB"/>
    <w:rsid w:val="00755403"/>
    <w:rsid w:val="0075557A"/>
    <w:rsid w:val="00757CAA"/>
    <w:rsid w:val="007604C5"/>
    <w:rsid w:val="00760DBD"/>
    <w:rsid w:val="00763CE5"/>
    <w:rsid w:val="00765CDE"/>
    <w:rsid w:val="00766D6E"/>
    <w:rsid w:val="00771313"/>
    <w:rsid w:val="00771D42"/>
    <w:rsid w:val="00776AF1"/>
    <w:rsid w:val="007774A6"/>
    <w:rsid w:val="00781931"/>
    <w:rsid w:val="00782D4E"/>
    <w:rsid w:val="00782E0D"/>
    <w:rsid w:val="00783085"/>
    <w:rsid w:val="007876B0"/>
    <w:rsid w:val="007915BE"/>
    <w:rsid w:val="00792035"/>
    <w:rsid w:val="00793794"/>
    <w:rsid w:val="007942C5"/>
    <w:rsid w:val="0079492D"/>
    <w:rsid w:val="0079678F"/>
    <w:rsid w:val="007A28CF"/>
    <w:rsid w:val="007A2E59"/>
    <w:rsid w:val="007A338E"/>
    <w:rsid w:val="007A45A4"/>
    <w:rsid w:val="007A65A9"/>
    <w:rsid w:val="007A70D2"/>
    <w:rsid w:val="007B0843"/>
    <w:rsid w:val="007B1182"/>
    <w:rsid w:val="007B1DA8"/>
    <w:rsid w:val="007B5A7B"/>
    <w:rsid w:val="007B5D17"/>
    <w:rsid w:val="007B6EF6"/>
    <w:rsid w:val="007B78E3"/>
    <w:rsid w:val="007C31F7"/>
    <w:rsid w:val="007C3AE6"/>
    <w:rsid w:val="007C444A"/>
    <w:rsid w:val="007C4B55"/>
    <w:rsid w:val="007C77CD"/>
    <w:rsid w:val="007C7D18"/>
    <w:rsid w:val="007D0953"/>
    <w:rsid w:val="007D1217"/>
    <w:rsid w:val="007D23C4"/>
    <w:rsid w:val="007D2FAF"/>
    <w:rsid w:val="007D3F87"/>
    <w:rsid w:val="007D4D2B"/>
    <w:rsid w:val="007D51C1"/>
    <w:rsid w:val="007D68B1"/>
    <w:rsid w:val="007E27BD"/>
    <w:rsid w:val="007E29A1"/>
    <w:rsid w:val="007E2C39"/>
    <w:rsid w:val="007E53F6"/>
    <w:rsid w:val="007E5E05"/>
    <w:rsid w:val="007E7A49"/>
    <w:rsid w:val="007F1679"/>
    <w:rsid w:val="007F2348"/>
    <w:rsid w:val="007F2718"/>
    <w:rsid w:val="007F3D04"/>
    <w:rsid w:val="007F4092"/>
    <w:rsid w:val="007F5BF4"/>
    <w:rsid w:val="007F6328"/>
    <w:rsid w:val="008008F1"/>
    <w:rsid w:val="008102F2"/>
    <w:rsid w:val="008116C6"/>
    <w:rsid w:val="008146CD"/>
    <w:rsid w:val="00816C5B"/>
    <w:rsid w:val="00817B4A"/>
    <w:rsid w:val="00821971"/>
    <w:rsid w:val="00822664"/>
    <w:rsid w:val="008227C7"/>
    <w:rsid w:val="00823877"/>
    <w:rsid w:val="00824D1B"/>
    <w:rsid w:val="00826F7A"/>
    <w:rsid w:val="00830F33"/>
    <w:rsid w:val="00832115"/>
    <w:rsid w:val="008359E7"/>
    <w:rsid w:val="00836779"/>
    <w:rsid w:val="00837ED9"/>
    <w:rsid w:val="0084247A"/>
    <w:rsid w:val="008435AE"/>
    <w:rsid w:val="0084367E"/>
    <w:rsid w:val="008507DE"/>
    <w:rsid w:val="00854B81"/>
    <w:rsid w:val="008560C5"/>
    <w:rsid w:val="0085682C"/>
    <w:rsid w:val="00856CB9"/>
    <w:rsid w:val="008572B5"/>
    <w:rsid w:val="00860502"/>
    <w:rsid w:val="008607C2"/>
    <w:rsid w:val="008614B5"/>
    <w:rsid w:val="008615ED"/>
    <w:rsid w:val="00861C3D"/>
    <w:rsid w:val="008648A0"/>
    <w:rsid w:val="0086683E"/>
    <w:rsid w:val="00866F36"/>
    <w:rsid w:val="00870AE9"/>
    <w:rsid w:val="00871CCD"/>
    <w:rsid w:val="008728C9"/>
    <w:rsid w:val="008756D5"/>
    <w:rsid w:val="0087645B"/>
    <w:rsid w:val="0087646D"/>
    <w:rsid w:val="00877DF8"/>
    <w:rsid w:val="00880DCE"/>
    <w:rsid w:val="00882ECE"/>
    <w:rsid w:val="00883F26"/>
    <w:rsid w:val="008853A3"/>
    <w:rsid w:val="008860C9"/>
    <w:rsid w:val="008866F8"/>
    <w:rsid w:val="00891C28"/>
    <w:rsid w:val="0089223F"/>
    <w:rsid w:val="008934ED"/>
    <w:rsid w:val="00893BC9"/>
    <w:rsid w:val="008951DA"/>
    <w:rsid w:val="008978B5"/>
    <w:rsid w:val="008979E2"/>
    <w:rsid w:val="008A06D6"/>
    <w:rsid w:val="008A126C"/>
    <w:rsid w:val="008A1731"/>
    <w:rsid w:val="008A53A5"/>
    <w:rsid w:val="008A701E"/>
    <w:rsid w:val="008B31E4"/>
    <w:rsid w:val="008B6D12"/>
    <w:rsid w:val="008B6E85"/>
    <w:rsid w:val="008C194C"/>
    <w:rsid w:val="008C3037"/>
    <w:rsid w:val="008C3326"/>
    <w:rsid w:val="008C398E"/>
    <w:rsid w:val="008C4618"/>
    <w:rsid w:val="008C6664"/>
    <w:rsid w:val="008C7C47"/>
    <w:rsid w:val="008D4024"/>
    <w:rsid w:val="008D527B"/>
    <w:rsid w:val="008D63EE"/>
    <w:rsid w:val="008D7187"/>
    <w:rsid w:val="008E2AC8"/>
    <w:rsid w:val="008E3432"/>
    <w:rsid w:val="008E3C02"/>
    <w:rsid w:val="008E489A"/>
    <w:rsid w:val="008E69E4"/>
    <w:rsid w:val="008E79B8"/>
    <w:rsid w:val="008F0175"/>
    <w:rsid w:val="008F0C58"/>
    <w:rsid w:val="008F18C9"/>
    <w:rsid w:val="008F504C"/>
    <w:rsid w:val="008F62DF"/>
    <w:rsid w:val="00900A65"/>
    <w:rsid w:val="00903948"/>
    <w:rsid w:val="00903BC0"/>
    <w:rsid w:val="00904155"/>
    <w:rsid w:val="00904158"/>
    <w:rsid w:val="00904A6C"/>
    <w:rsid w:val="00905D64"/>
    <w:rsid w:val="00906D0D"/>
    <w:rsid w:val="00911A4B"/>
    <w:rsid w:val="009139F8"/>
    <w:rsid w:val="009146B9"/>
    <w:rsid w:val="00916086"/>
    <w:rsid w:val="00917D88"/>
    <w:rsid w:val="0092239A"/>
    <w:rsid w:val="009234F0"/>
    <w:rsid w:val="00923BFC"/>
    <w:rsid w:val="009256B5"/>
    <w:rsid w:val="0092616A"/>
    <w:rsid w:val="0092646D"/>
    <w:rsid w:val="009271A7"/>
    <w:rsid w:val="009319FF"/>
    <w:rsid w:val="00932091"/>
    <w:rsid w:val="009328B2"/>
    <w:rsid w:val="00933E35"/>
    <w:rsid w:val="009349D3"/>
    <w:rsid w:val="009359F2"/>
    <w:rsid w:val="00935A6B"/>
    <w:rsid w:val="009361AB"/>
    <w:rsid w:val="00936E64"/>
    <w:rsid w:val="00940E25"/>
    <w:rsid w:val="0094118C"/>
    <w:rsid w:val="0094334C"/>
    <w:rsid w:val="00943F1F"/>
    <w:rsid w:val="00944D6E"/>
    <w:rsid w:val="00947E10"/>
    <w:rsid w:val="00952205"/>
    <w:rsid w:val="00953A30"/>
    <w:rsid w:val="00957549"/>
    <w:rsid w:val="00957F37"/>
    <w:rsid w:val="00960588"/>
    <w:rsid w:val="0096092E"/>
    <w:rsid w:val="009644E4"/>
    <w:rsid w:val="009649B6"/>
    <w:rsid w:val="00964CEE"/>
    <w:rsid w:val="00965902"/>
    <w:rsid w:val="00966D69"/>
    <w:rsid w:val="00967709"/>
    <w:rsid w:val="00967AB5"/>
    <w:rsid w:val="00970799"/>
    <w:rsid w:val="009716DD"/>
    <w:rsid w:val="00971A59"/>
    <w:rsid w:val="00974241"/>
    <w:rsid w:val="00975D77"/>
    <w:rsid w:val="00976F43"/>
    <w:rsid w:val="0097D6AB"/>
    <w:rsid w:val="0098055E"/>
    <w:rsid w:val="00980EE9"/>
    <w:rsid w:val="009817E8"/>
    <w:rsid w:val="00985B64"/>
    <w:rsid w:val="00991675"/>
    <w:rsid w:val="00992520"/>
    <w:rsid w:val="009938C4"/>
    <w:rsid w:val="0099771E"/>
    <w:rsid w:val="009A18AD"/>
    <w:rsid w:val="009A2163"/>
    <w:rsid w:val="009A68FB"/>
    <w:rsid w:val="009A797F"/>
    <w:rsid w:val="009B4F75"/>
    <w:rsid w:val="009B6FCA"/>
    <w:rsid w:val="009B7170"/>
    <w:rsid w:val="009C6994"/>
    <w:rsid w:val="009C6D32"/>
    <w:rsid w:val="009D1A9D"/>
    <w:rsid w:val="009D1DAB"/>
    <w:rsid w:val="009D1FE6"/>
    <w:rsid w:val="009D34BC"/>
    <w:rsid w:val="009D456F"/>
    <w:rsid w:val="009D597F"/>
    <w:rsid w:val="009D77AA"/>
    <w:rsid w:val="009E5A72"/>
    <w:rsid w:val="009F094F"/>
    <w:rsid w:val="009F1E3D"/>
    <w:rsid w:val="009F3C5F"/>
    <w:rsid w:val="009F551E"/>
    <w:rsid w:val="009F76A9"/>
    <w:rsid w:val="00A028D6"/>
    <w:rsid w:val="00A044FA"/>
    <w:rsid w:val="00A05949"/>
    <w:rsid w:val="00A078F4"/>
    <w:rsid w:val="00A10D1A"/>
    <w:rsid w:val="00A10E1D"/>
    <w:rsid w:val="00A12A8C"/>
    <w:rsid w:val="00A15B8F"/>
    <w:rsid w:val="00A2038A"/>
    <w:rsid w:val="00A21D7F"/>
    <w:rsid w:val="00A229DA"/>
    <w:rsid w:val="00A24F52"/>
    <w:rsid w:val="00A257A8"/>
    <w:rsid w:val="00A26BD1"/>
    <w:rsid w:val="00A27AEB"/>
    <w:rsid w:val="00A30026"/>
    <w:rsid w:val="00A3197A"/>
    <w:rsid w:val="00A32467"/>
    <w:rsid w:val="00A326E6"/>
    <w:rsid w:val="00A34447"/>
    <w:rsid w:val="00A354A6"/>
    <w:rsid w:val="00A374C0"/>
    <w:rsid w:val="00A4198A"/>
    <w:rsid w:val="00A45726"/>
    <w:rsid w:val="00A457AB"/>
    <w:rsid w:val="00A5027B"/>
    <w:rsid w:val="00A50B35"/>
    <w:rsid w:val="00A50D23"/>
    <w:rsid w:val="00A514C4"/>
    <w:rsid w:val="00A51710"/>
    <w:rsid w:val="00A538C3"/>
    <w:rsid w:val="00A55F22"/>
    <w:rsid w:val="00A56898"/>
    <w:rsid w:val="00A60B89"/>
    <w:rsid w:val="00A61312"/>
    <w:rsid w:val="00A64437"/>
    <w:rsid w:val="00A66910"/>
    <w:rsid w:val="00A66BF2"/>
    <w:rsid w:val="00A737E8"/>
    <w:rsid w:val="00A73F03"/>
    <w:rsid w:val="00A754C1"/>
    <w:rsid w:val="00A77402"/>
    <w:rsid w:val="00A82FFD"/>
    <w:rsid w:val="00A83237"/>
    <w:rsid w:val="00A965BD"/>
    <w:rsid w:val="00A96F2E"/>
    <w:rsid w:val="00AA140E"/>
    <w:rsid w:val="00AA2F80"/>
    <w:rsid w:val="00AA51C0"/>
    <w:rsid w:val="00AA6513"/>
    <w:rsid w:val="00AA75AA"/>
    <w:rsid w:val="00AA7C0B"/>
    <w:rsid w:val="00AB1716"/>
    <w:rsid w:val="00AB3713"/>
    <w:rsid w:val="00AB3BBB"/>
    <w:rsid w:val="00AB5BE3"/>
    <w:rsid w:val="00AB5C54"/>
    <w:rsid w:val="00AB6A9A"/>
    <w:rsid w:val="00AC3C17"/>
    <w:rsid w:val="00AC5643"/>
    <w:rsid w:val="00AC69FA"/>
    <w:rsid w:val="00AD1774"/>
    <w:rsid w:val="00AD1C9F"/>
    <w:rsid w:val="00AD31C6"/>
    <w:rsid w:val="00AD4F62"/>
    <w:rsid w:val="00AD504D"/>
    <w:rsid w:val="00AD5C88"/>
    <w:rsid w:val="00AD736D"/>
    <w:rsid w:val="00AD7E9A"/>
    <w:rsid w:val="00AE1478"/>
    <w:rsid w:val="00AE2B84"/>
    <w:rsid w:val="00AE2D81"/>
    <w:rsid w:val="00AE3C24"/>
    <w:rsid w:val="00AE7987"/>
    <w:rsid w:val="00AF471C"/>
    <w:rsid w:val="00AF4D81"/>
    <w:rsid w:val="00AF5110"/>
    <w:rsid w:val="00AF58AE"/>
    <w:rsid w:val="00B005C8"/>
    <w:rsid w:val="00B00847"/>
    <w:rsid w:val="00B013DE"/>
    <w:rsid w:val="00B0241B"/>
    <w:rsid w:val="00B026E0"/>
    <w:rsid w:val="00B03CEA"/>
    <w:rsid w:val="00B0495B"/>
    <w:rsid w:val="00B04FD9"/>
    <w:rsid w:val="00B0525F"/>
    <w:rsid w:val="00B05891"/>
    <w:rsid w:val="00B06838"/>
    <w:rsid w:val="00B111C2"/>
    <w:rsid w:val="00B11DA1"/>
    <w:rsid w:val="00B1259C"/>
    <w:rsid w:val="00B12FBC"/>
    <w:rsid w:val="00B1431D"/>
    <w:rsid w:val="00B14498"/>
    <w:rsid w:val="00B16C9D"/>
    <w:rsid w:val="00B1735A"/>
    <w:rsid w:val="00B2225D"/>
    <w:rsid w:val="00B22A7A"/>
    <w:rsid w:val="00B25257"/>
    <w:rsid w:val="00B25FA9"/>
    <w:rsid w:val="00B26D14"/>
    <w:rsid w:val="00B26E7B"/>
    <w:rsid w:val="00B278F1"/>
    <w:rsid w:val="00B30331"/>
    <w:rsid w:val="00B33229"/>
    <w:rsid w:val="00B3384F"/>
    <w:rsid w:val="00B37ACC"/>
    <w:rsid w:val="00B40D17"/>
    <w:rsid w:val="00B413B3"/>
    <w:rsid w:val="00B479AE"/>
    <w:rsid w:val="00B504FD"/>
    <w:rsid w:val="00B5172B"/>
    <w:rsid w:val="00B54CDC"/>
    <w:rsid w:val="00B62F05"/>
    <w:rsid w:val="00B63633"/>
    <w:rsid w:val="00B636F2"/>
    <w:rsid w:val="00B64D90"/>
    <w:rsid w:val="00B64EAA"/>
    <w:rsid w:val="00B6608F"/>
    <w:rsid w:val="00B70516"/>
    <w:rsid w:val="00B71272"/>
    <w:rsid w:val="00B72C8F"/>
    <w:rsid w:val="00B72DA8"/>
    <w:rsid w:val="00B73048"/>
    <w:rsid w:val="00B73E6C"/>
    <w:rsid w:val="00B76689"/>
    <w:rsid w:val="00B76B16"/>
    <w:rsid w:val="00B77593"/>
    <w:rsid w:val="00B82623"/>
    <w:rsid w:val="00B83C59"/>
    <w:rsid w:val="00B8514F"/>
    <w:rsid w:val="00B85A8E"/>
    <w:rsid w:val="00B87D0F"/>
    <w:rsid w:val="00B903B5"/>
    <w:rsid w:val="00B90A92"/>
    <w:rsid w:val="00B913BE"/>
    <w:rsid w:val="00B95958"/>
    <w:rsid w:val="00B96620"/>
    <w:rsid w:val="00BA24FA"/>
    <w:rsid w:val="00BA4498"/>
    <w:rsid w:val="00BA4A54"/>
    <w:rsid w:val="00BA5DBA"/>
    <w:rsid w:val="00BB1AB6"/>
    <w:rsid w:val="00BB2E8C"/>
    <w:rsid w:val="00BB4739"/>
    <w:rsid w:val="00BB49BA"/>
    <w:rsid w:val="00BC38A7"/>
    <w:rsid w:val="00BD6940"/>
    <w:rsid w:val="00BD6CA4"/>
    <w:rsid w:val="00BD6CC7"/>
    <w:rsid w:val="00BD7F8D"/>
    <w:rsid w:val="00BE4054"/>
    <w:rsid w:val="00BE4D15"/>
    <w:rsid w:val="00BE6529"/>
    <w:rsid w:val="00BE7B86"/>
    <w:rsid w:val="00BF1DA6"/>
    <w:rsid w:val="00BF27AA"/>
    <w:rsid w:val="00BF64A4"/>
    <w:rsid w:val="00C018D3"/>
    <w:rsid w:val="00C0450C"/>
    <w:rsid w:val="00C073C1"/>
    <w:rsid w:val="00C12ABC"/>
    <w:rsid w:val="00C15B18"/>
    <w:rsid w:val="00C1642A"/>
    <w:rsid w:val="00C16C20"/>
    <w:rsid w:val="00C1742C"/>
    <w:rsid w:val="00C205C5"/>
    <w:rsid w:val="00C21500"/>
    <w:rsid w:val="00C2297F"/>
    <w:rsid w:val="00C25A51"/>
    <w:rsid w:val="00C33E3B"/>
    <w:rsid w:val="00C34DF2"/>
    <w:rsid w:val="00C36607"/>
    <w:rsid w:val="00C4333B"/>
    <w:rsid w:val="00C4343C"/>
    <w:rsid w:val="00C43CDB"/>
    <w:rsid w:val="00C43D35"/>
    <w:rsid w:val="00C43D5F"/>
    <w:rsid w:val="00C47313"/>
    <w:rsid w:val="00C51502"/>
    <w:rsid w:val="00C51900"/>
    <w:rsid w:val="00C52B41"/>
    <w:rsid w:val="00C52F56"/>
    <w:rsid w:val="00C54940"/>
    <w:rsid w:val="00C562C1"/>
    <w:rsid w:val="00C56F8F"/>
    <w:rsid w:val="00C57213"/>
    <w:rsid w:val="00C608E0"/>
    <w:rsid w:val="00C63B5B"/>
    <w:rsid w:val="00C6595D"/>
    <w:rsid w:val="00C65E6B"/>
    <w:rsid w:val="00C7164A"/>
    <w:rsid w:val="00C7310E"/>
    <w:rsid w:val="00C73700"/>
    <w:rsid w:val="00C74128"/>
    <w:rsid w:val="00C74556"/>
    <w:rsid w:val="00C75DAC"/>
    <w:rsid w:val="00C76433"/>
    <w:rsid w:val="00C832AC"/>
    <w:rsid w:val="00C83AA8"/>
    <w:rsid w:val="00C84AE1"/>
    <w:rsid w:val="00C85788"/>
    <w:rsid w:val="00C941C8"/>
    <w:rsid w:val="00C94FF2"/>
    <w:rsid w:val="00C97CD1"/>
    <w:rsid w:val="00CA3C6A"/>
    <w:rsid w:val="00CB18FC"/>
    <w:rsid w:val="00CB3DB8"/>
    <w:rsid w:val="00CB3EFB"/>
    <w:rsid w:val="00CB62FF"/>
    <w:rsid w:val="00CB64AB"/>
    <w:rsid w:val="00CC4F55"/>
    <w:rsid w:val="00CC598F"/>
    <w:rsid w:val="00CC6241"/>
    <w:rsid w:val="00CC7E86"/>
    <w:rsid w:val="00CD012B"/>
    <w:rsid w:val="00CD1860"/>
    <w:rsid w:val="00CD19C2"/>
    <w:rsid w:val="00CD3B12"/>
    <w:rsid w:val="00CD53BC"/>
    <w:rsid w:val="00CD5406"/>
    <w:rsid w:val="00CE1906"/>
    <w:rsid w:val="00CE24AA"/>
    <w:rsid w:val="00CE3F62"/>
    <w:rsid w:val="00CE6B84"/>
    <w:rsid w:val="00CE792B"/>
    <w:rsid w:val="00CF1EFF"/>
    <w:rsid w:val="00CF44EC"/>
    <w:rsid w:val="00CF4868"/>
    <w:rsid w:val="00CF5B39"/>
    <w:rsid w:val="00D0335C"/>
    <w:rsid w:val="00D0343E"/>
    <w:rsid w:val="00D06CBE"/>
    <w:rsid w:val="00D107CF"/>
    <w:rsid w:val="00D115BF"/>
    <w:rsid w:val="00D120A3"/>
    <w:rsid w:val="00D211DC"/>
    <w:rsid w:val="00D21FC3"/>
    <w:rsid w:val="00D23E89"/>
    <w:rsid w:val="00D25F1E"/>
    <w:rsid w:val="00D27C5C"/>
    <w:rsid w:val="00D32300"/>
    <w:rsid w:val="00D347A2"/>
    <w:rsid w:val="00D3620F"/>
    <w:rsid w:val="00D37C5D"/>
    <w:rsid w:val="00D40865"/>
    <w:rsid w:val="00D44D09"/>
    <w:rsid w:val="00D45BEA"/>
    <w:rsid w:val="00D46434"/>
    <w:rsid w:val="00D464CB"/>
    <w:rsid w:val="00D467AA"/>
    <w:rsid w:val="00D46E1B"/>
    <w:rsid w:val="00D51FD3"/>
    <w:rsid w:val="00D5446B"/>
    <w:rsid w:val="00D553A0"/>
    <w:rsid w:val="00D57962"/>
    <w:rsid w:val="00D60453"/>
    <w:rsid w:val="00D63222"/>
    <w:rsid w:val="00D63AD9"/>
    <w:rsid w:val="00D661CF"/>
    <w:rsid w:val="00D67C2B"/>
    <w:rsid w:val="00D7098D"/>
    <w:rsid w:val="00D7216D"/>
    <w:rsid w:val="00D73119"/>
    <w:rsid w:val="00D7500E"/>
    <w:rsid w:val="00D760C2"/>
    <w:rsid w:val="00D7664B"/>
    <w:rsid w:val="00D77930"/>
    <w:rsid w:val="00D84B85"/>
    <w:rsid w:val="00D90103"/>
    <w:rsid w:val="00D90494"/>
    <w:rsid w:val="00D9070A"/>
    <w:rsid w:val="00D91822"/>
    <w:rsid w:val="00D9615E"/>
    <w:rsid w:val="00D964E0"/>
    <w:rsid w:val="00D97419"/>
    <w:rsid w:val="00D9777D"/>
    <w:rsid w:val="00DA3842"/>
    <w:rsid w:val="00DA4F4D"/>
    <w:rsid w:val="00DA5861"/>
    <w:rsid w:val="00DA5960"/>
    <w:rsid w:val="00DA5B56"/>
    <w:rsid w:val="00DA5E5F"/>
    <w:rsid w:val="00DB3B75"/>
    <w:rsid w:val="00DB4097"/>
    <w:rsid w:val="00DB5AC8"/>
    <w:rsid w:val="00DB650B"/>
    <w:rsid w:val="00DB7DBB"/>
    <w:rsid w:val="00DC0D83"/>
    <w:rsid w:val="00DC10DB"/>
    <w:rsid w:val="00DC2CCF"/>
    <w:rsid w:val="00DC3D9D"/>
    <w:rsid w:val="00DD24E4"/>
    <w:rsid w:val="00DD2E26"/>
    <w:rsid w:val="00DD313E"/>
    <w:rsid w:val="00DD364B"/>
    <w:rsid w:val="00DD4E1B"/>
    <w:rsid w:val="00DD782F"/>
    <w:rsid w:val="00DE22EF"/>
    <w:rsid w:val="00DE2A2B"/>
    <w:rsid w:val="00DE2CBB"/>
    <w:rsid w:val="00DE50D2"/>
    <w:rsid w:val="00DE7B25"/>
    <w:rsid w:val="00DE7BEC"/>
    <w:rsid w:val="00DF19FE"/>
    <w:rsid w:val="00DF46C9"/>
    <w:rsid w:val="00DF4BB5"/>
    <w:rsid w:val="00DF4CA5"/>
    <w:rsid w:val="00DF5A36"/>
    <w:rsid w:val="00DF5F76"/>
    <w:rsid w:val="00E026BF"/>
    <w:rsid w:val="00E034F7"/>
    <w:rsid w:val="00E03F08"/>
    <w:rsid w:val="00E04208"/>
    <w:rsid w:val="00E0566E"/>
    <w:rsid w:val="00E05C1C"/>
    <w:rsid w:val="00E07652"/>
    <w:rsid w:val="00E11B88"/>
    <w:rsid w:val="00E13AB1"/>
    <w:rsid w:val="00E13CA6"/>
    <w:rsid w:val="00E15A2B"/>
    <w:rsid w:val="00E16CEA"/>
    <w:rsid w:val="00E17AA0"/>
    <w:rsid w:val="00E2072C"/>
    <w:rsid w:val="00E219D7"/>
    <w:rsid w:val="00E22479"/>
    <w:rsid w:val="00E24414"/>
    <w:rsid w:val="00E26141"/>
    <w:rsid w:val="00E27017"/>
    <w:rsid w:val="00E279C7"/>
    <w:rsid w:val="00E27DC9"/>
    <w:rsid w:val="00E32637"/>
    <w:rsid w:val="00E347E8"/>
    <w:rsid w:val="00E3592E"/>
    <w:rsid w:val="00E367DC"/>
    <w:rsid w:val="00E36834"/>
    <w:rsid w:val="00E368EF"/>
    <w:rsid w:val="00E4233E"/>
    <w:rsid w:val="00E477D4"/>
    <w:rsid w:val="00E502B8"/>
    <w:rsid w:val="00E510A4"/>
    <w:rsid w:val="00E51643"/>
    <w:rsid w:val="00E51EC8"/>
    <w:rsid w:val="00E52888"/>
    <w:rsid w:val="00E552AE"/>
    <w:rsid w:val="00E56C50"/>
    <w:rsid w:val="00E6056E"/>
    <w:rsid w:val="00E617FA"/>
    <w:rsid w:val="00E62D2F"/>
    <w:rsid w:val="00E671EA"/>
    <w:rsid w:val="00E67ADA"/>
    <w:rsid w:val="00E67D6B"/>
    <w:rsid w:val="00E715E6"/>
    <w:rsid w:val="00E73715"/>
    <w:rsid w:val="00E751F3"/>
    <w:rsid w:val="00E7638F"/>
    <w:rsid w:val="00E81A66"/>
    <w:rsid w:val="00E83E1E"/>
    <w:rsid w:val="00E85C96"/>
    <w:rsid w:val="00E90382"/>
    <w:rsid w:val="00E903D2"/>
    <w:rsid w:val="00E9185F"/>
    <w:rsid w:val="00E9372F"/>
    <w:rsid w:val="00E939DD"/>
    <w:rsid w:val="00E93A08"/>
    <w:rsid w:val="00E93E81"/>
    <w:rsid w:val="00E9471D"/>
    <w:rsid w:val="00E95B11"/>
    <w:rsid w:val="00E97F4F"/>
    <w:rsid w:val="00EA0EBF"/>
    <w:rsid w:val="00EA4985"/>
    <w:rsid w:val="00EA6787"/>
    <w:rsid w:val="00EB0D02"/>
    <w:rsid w:val="00EB23A1"/>
    <w:rsid w:val="00EB2ECF"/>
    <w:rsid w:val="00EB3ED7"/>
    <w:rsid w:val="00EB423D"/>
    <w:rsid w:val="00EB4E8B"/>
    <w:rsid w:val="00EB5F4C"/>
    <w:rsid w:val="00EB606B"/>
    <w:rsid w:val="00EB6964"/>
    <w:rsid w:val="00EC1BB1"/>
    <w:rsid w:val="00EC5D98"/>
    <w:rsid w:val="00ED00C5"/>
    <w:rsid w:val="00ED15D8"/>
    <w:rsid w:val="00ED1601"/>
    <w:rsid w:val="00ED288B"/>
    <w:rsid w:val="00ED59EB"/>
    <w:rsid w:val="00ED7B08"/>
    <w:rsid w:val="00ED7FB8"/>
    <w:rsid w:val="00EE06B8"/>
    <w:rsid w:val="00EE34D3"/>
    <w:rsid w:val="00EE3A25"/>
    <w:rsid w:val="00EE6072"/>
    <w:rsid w:val="00EE66BB"/>
    <w:rsid w:val="00EE6A05"/>
    <w:rsid w:val="00EF5A0C"/>
    <w:rsid w:val="00EF620B"/>
    <w:rsid w:val="00F00188"/>
    <w:rsid w:val="00F0038C"/>
    <w:rsid w:val="00F005F8"/>
    <w:rsid w:val="00F01359"/>
    <w:rsid w:val="00F0333F"/>
    <w:rsid w:val="00F03CCC"/>
    <w:rsid w:val="00F053C8"/>
    <w:rsid w:val="00F0791A"/>
    <w:rsid w:val="00F12070"/>
    <w:rsid w:val="00F13022"/>
    <w:rsid w:val="00F13708"/>
    <w:rsid w:val="00F14DC8"/>
    <w:rsid w:val="00F16937"/>
    <w:rsid w:val="00F16A49"/>
    <w:rsid w:val="00F24043"/>
    <w:rsid w:val="00F3068F"/>
    <w:rsid w:val="00F30833"/>
    <w:rsid w:val="00F3251F"/>
    <w:rsid w:val="00F327AD"/>
    <w:rsid w:val="00F36208"/>
    <w:rsid w:val="00F37068"/>
    <w:rsid w:val="00F41B90"/>
    <w:rsid w:val="00F41E57"/>
    <w:rsid w:val="00F43CD3"/>
    <w:rsid w:val="00F506DC"/>
    <w:rsid w:val="00F510F6"/>
    <w:rsid w:val="00F515E7"/>
    <w:rsid w:val="00F52548"/>
    <w:rsid w:val="00F52B89"/>
    <w:rsid w:val="00F540E4"/>
    <w:rsid w:val="00F546F8"/>
    <w:rsid w:val="00F54FB2"/>
    <w:rsid w:val="00F56C50"/>
    <w:rsid w:val="00F57C16"/>
    <w:rsid w:val="00F57F8F"/>
    <w:rsid w:val="00F60F0E"/>
    <w:rsid w:val="00F613B6"/>
    <w:rsid w:val="00F61FAC"/>
    <w:rsid w:val="00F63965"/>
    <w:rsid w:val="00F64A7C"/>
    <w:rsid w:val="00F65867"/>
    <w:rsid w:val="00F65FBF"/>
    <w:rsid w:val="00F6723A"/>
    <w:rsid w:val="00F73A78"/>
    <w:rsid w:val="00F748FD"/>
    <w:rsid w:val="00F77171"/>
    <w:rsid w:val="00F80606"/>
    <w:rsid w:val="00F80640"/>
    <w:rsid w:val="00F809D3"/>
    <w:rsid w:val="00F80C8F"/>
    <w:rsid w:val="00F80DA7"/>
    <w:rsid w:val="00F8181F"/>
    <w:rsid w:val="00F81CAE"/>
    <w:rsid w:val="00F83126"/>
    <w:rsid w:val="00F83E3B"/>
    <w:rsid w:val="00F854F5"/>
    <w:rsid w:val="00F881D3"/>
    <w:rsid w:val="00F91120"/>
    <w:rsid w:val="00F91268"/>
    <w:rsid w:val="00F940DC"/>
    <w:rsid w:val="00F958F3"/>
    <w:rsid w:val="00F97A6F"/>
    <w:rsid w:val="00FA386F"/>
    <w:rsid w:val="00FA3A3C"/>
    <w:rsid w:val="00FA42DF"/>
    <w:rsid w:val="00FA4C8A"/>
    <w:rsid w:val="00FA5BE3"/>
    <w:rsid w:val="00FA6C46"/>
    <w:rsid w:val="00FA7817"/>
    <w:rsid w:val="00FA7AD3"/>
    <w:rsid w:val="00FB12ED"/>
    <w:rsid w:val="00FB1738"/>
    <w:rsid w:val="00FB1A4F"/>
    <w:rsid w:val="00FB20BF"/>
    <w:rsid w:val="00FB2636"/>
    <w:rsid w:val="00FB3A5C"/>
    <w:rsid w:val="00FB3D0D"/>
    <w:rsid w:val="00FB42FF"/>
    <w:rsid w:val="00FB452F"/>
    <w:rsid w:val="00FB5B3D"/>
    <w:rsid w:val="00FB6C36"/>
    <w:rsid w:val="00FC0720"/>
    <w:rsid w:val="00FC11AE"/>
    <w:rsid w:val="00FC23E9"/>
    <w:rsid w:val="00FC5D9C"/>
    <w:rsid w:val="00FC5DBF"/>
    <w:rsid w:val="00FC6B81"/>
    <w:rsid w:val="00FC735E"/>
    <w:rsid w:val="00FC7FC6"/>
    <w:rsid w:val="00FD23AF"/>
    <w:rsid w:val="00FD3714"/>
    <w:rsid w:val="00FD3F99"/>
    <w:rsid w:val="00FD6E7F"/>
    <w:rsid w:val="00FD6F13"/>
    <w:rsid w:val="00FD7518"/>
    <w:rsid w:val="00FE0CC2"/>
    <w:rsid w:val="00FE1FA4"/>
    <w:rsid w:val="00FE20FA"/>
    <w:rsid w:val="00FE3F86"/>
    <w:rsid w:val="00FE4944"/>
    <w:rsid w:val="00FE5404"/>
    <w:rsid w:val="00FE6067"/>
    <w:rsid w:val="00FE7052"/>
    <w:rsid w:val="00FE7453"/>
    <w:rsid w:val="00FF2116"/>
    <w:rsid w:val="00FF5949"/>
    <w:rsid w:val="0169B269"/>
    <w:rsid w:val="0185E247"/>
    <w:rsid w:val="01BE7CFB"/>
    <w:rsid w:val="0204EB05"/>
    <w:rsid w:val="0226848E"/>
    <w:rsid w:val="024231D8"/>
    <w:rsid w:val="025A1B40"/>
    <w:rsid w:val="02D2359E"/>
    <w:rsid w:val="033A4994"/>
    <w:rsid w:val="03BA182C"/>
    <w:rsid w:val="04545C95"/>
    <w:rsid w:val="0488C0AD"/>
    <w:rsid w:val="053EDBFD"/>
    <w:rsid w:val="057C2823"/>
    <w:rsid w:val="05C6B70E"/>
    <w:rsid w:val="060D4EE3"/>
    <w:rsid w:val="06714D79"/>
    <w:rsid w:val="07C951FC"/>
    <w:rsid w:val="07E9AE1D"/>
    <w:rsid w:val="0827910D"/>
    <w:rsid w:val="086D2492"/>
    <w:rsid w:val="08CA1CB0"/>
    <w:rsid w:val="08D111EA"/>
    <w:rsid w:val="0A089B4D"/>
    <w:rsid w:val="0A6660F3"/>
    <w:rsid w:val="0A8B5A45"/>
    <w:rsid w:val="0AB9988C"/>
    <w:rsid w:val="0AD2E49E"/>
    <w:rsid w:val="0ADCCC0A"/>
    <w:rsid w:val="0B760E73"/>
    <w:rsid w:val="0BA81991"/>
    <w:rsid w:val="0C289EAD"/>
    <w:rsid w:val="0CDBD381"/>
    <w:rsid w:val="0D557EEE"/>
    <w:rsid w:val="0D7D28BF"/>
    <w:rsid w:val="0DDC1D77"/>
    <w:rsid w:val="0DF89701"/>
    <w:rsid w:val="0E09088A"/>
    <w:rsid w:val="0E4C0D92"/>
    <w:rsid w:val="105921DA"/>
    <w:rsid w:val="106117C9"/>
    <w:rsid w:val="10744636"/>
    <w:rsid w:val="10E305D9"/>
    <w:rsid w:val="11502611"/>
    <w:rsid w:val="11A501A9"/>
    <w:rsid w:val="11A6D0A4"/>
    <w:rsid w:val="11F6D076"/>
    <w:rsid w:val="12690F5D"/>
    <w:rsid w:val="132D6AFE"/>
    <w:rsid w:val="13568355"/>
    <w:rsid w:val="13EA7135"/>
    <w:rsid w:val="14038CA5"/>
    <w:rsid w:val="14191150"/>
    <w:rsid w:val="145BDA92"/>
    <w:rsid w:val="1501964F"/>
    <w:rsid w:val="153721B1"/>
    <w:rsid w:val="15453360"/>
    <w:rsid w:val="159E8C32"/>
    <w:rsid w:val="15A55E15"/>
    <w:rsid w:val="16B7E6BB"/>
    <w:rsid w:val="16BB717D"/>
    <w:rsid w:val="16E680EF"/>
    <w:rsid w:val="17228F4E"/>
    <w:rsid w:val="17346C82"/>
    <w:rsid w:val="17C50C9D"/>
    <w:rsid w:val="17CD30BE"/>
    <w:rsid w:val="186D57D0"/>
    <w:rsid w:val="1871ADEE"/>
    <w:rsid w:val="18B0362B"/>
    <w:rsid w:val="19029DF3"/>
    <w:rsid w:val="194E0A65"/>
    <w:rsid w:val="1A5EEA5C"/>
    <w:rsid w:val="1A88697A"/>
    <w:rsid w:val="1B63955B"/>
    <w:rsid w:val="1BA3FA92"/>
    <w:rsid w:val="1BB4D27E"/>
    <w:rsid w:val="1BE8C091"/>
    <w:rsid w:val="1C0C0217"/>
    <w:rsid w:val="1CAEA48B"/>
    <w:rsid w:val="1D869BAB"/>
    <w:rsid w:val="1DA48965"/>
    <w:rsid w:val="1DBB07C0"/>
    <w:rsid w:val="1DF51D76"/>
    <w:rsid w:val="1E1AF3EA"/>
    <w:rsid w:val="1E395C5C"/>
    <w:rsid w:val="1E3B493C"/>
    <w:rsid w:val="1E4F375F"/>
    <w:rsid w:val="1EE0750A"/>
    <w:rsid w:val="1F2C9115"/>
    <w:rsid w:val="1F844191"/>
    <w:rsid w:val="1FC40F70"/>
    <w:rsid w:val="20084DEC"/>
    <w:rsid w:val="2015A077"/>
    <w:rsid w:val="203F3019"/>
    <w:rsid w:val="207AC4FD"/>
    <w:rsid w:val="20B10903"/>
    <w:rsid w:val="21FC7A62"/>
    <w:rsid w:val="22811F19"/>
    <w:rsid w:val="23047567"/>
    <w:rsid w:val="2341934E"/>
    <w:rsid w:val="2357B129"/>
    <w:rsid w:val="23AD6056"/>
    <w:rsid w:val="23F5CC19"/>
    <w:rsid w:val="24260D6F"/>
    <w:rsid w:val="2437B949"/>
    <w:rsid w:val="246BC9B3"/>
    <w:rsid w:val="2496A070"/>
    <w:rsid w:val="24E3A798"/>
    <w:rsid w:val="2642590B"/>
    <w:rsid w:val="26AD592E"/>
    <w:rsid w:val="2702C26F"/>
    <w:rsid w:val="2702FABF"/>
    <w:rsid w:val="277865A6"/>
    <w:rsid w:val="27BEF31F"/>
    <w:rsid w:val="27DACC0A"/>
    <w:rsid w:val="281E4462"/>
    <w:rsid w:val="2867BA7E"/>
    <w:rsid w:val="29E2A066"/>
    <w:rsid w:val="2A2EB576"/>
    <w:rsid w:val="2A73C7A5"/>
    <w:rsid w:val="2A9C8EB0"/>
    <w:rsid w:val="2C435437"/>
    <w:rsid w:val="2D1C489B"/>
    <w:rsid w:val="2DDFAC15"/>
    <w:rsid w:val="2ED14DB4"/>
    <w:rsid w:val="2EED4A8A"/>
    <w:rsid w:val="2F2F5842"/>
    <w:rsid w:val="2F605906"/>
    <w:rsid w:val="2FA9FED4"/>
    <w:rsid w:val="2FCBCA7C"/>
    <w:rsid w:val="2FCCC03C"/>
    <w:rsid w:val="303A9326"/>
    <w:rsid w:val="31032514"/>
    <w:rsid w:val="312173B2"/>
    <w:rsid w:val="31394D9E"/>
    <w:rsid w:val="31A526C9"/>
    <w:rsid w:val="31B30760"/>
    <w:rsid w:val="31B56D09"/>
    <w:rsid w:val="31C19765"/>
    <w:rsid w:val="3293A360"/>
    <w:rsid w:val="33AAAF07"/>
    <w:rsid w:val="33C65C3D"/>
    <w:rsid w:val="33CAE537"/>
    <w:rsid w:val="34DB1F0F"/>
    <w:rsid w:val="350D94C2"/>
    <w:rsid w:val="3563D698"/>
    <w:rsid w:val="36089FF8"/>
    <w:rsid w:val="3608DC80"/>
    <w:rsid w:val="36342A82"/>
    <w:rsid w:val="364FA106"/>
    <w:rsid w:val="3650B383"/>
    <w:rsid w:val="367E536D"/>
    <w:rsid w:val="36EBAA88"/>
    <w:rsid w:val="37461D97"/>
    <w:rsid w:val="382A3A4D"/>
    <w:rsid w:val="3891551A"/>
    <w:rsid w:val="3892457C"/>
    <w:rsid w:val="38C0F8A7"/>
    <w:rsid w:val="3946722F"/>
    <w:rsid w:val="39C40B92"/>
    <w:rsid w:val="3A466745"/>
    <w:rsid w:val="3A8517AA"/>
    <w:rsid w:val="3B582878"/>
    <w:rsid w:val="3B78BDEB"/>
    <w:rsid w:val="3BF988EB"/>
    <w:rsid w:val="3C113E8B"/>
    <w:rsid w:val="3C4F9700"/>
    <w:rsid w:val="3C736E04"/>
    <w:rsid w:val="3CFEF7F1"/>
    <w:rsid w:val="3D11AFE8"/>
    <w:rsid w:val="3E6970D0"/>
    <w:rsid w:val="3E703CF5"/>
    <w:rsid w:val="3E8463CB"/>
    <w:rsid w:val="3EA2AADD"/>
    <w:rsid w:val="3EC2A876"/>
    <w:rsid w:val="3ED50BED"/>
    <w:rsid w:val="3EF86886"/>
    <w:rsid w:val="3EFB4CF4"/>
    <w:rsid w:val="3F30DA0C"/>
    <w:rsid w:val="3F33BADE"/>
    <w:rsid w:val="3FC01F08"/>
    <w:rsid w:val="409480C5"/>
    <w:rsid w:val="420C4C28"/>
    <w:rsid w:val="42267956"/>
    <w:rsid w:val="422D5016"/>
    <w:rsid w:val="4257D8AB"/>
    <w:rsid w:val="4284B321"/>
    <w:rsid w:val="42ABE9FA"/>
    <w:rsid w:val="430C98FC"/>
    <w:rsid w:val="433AB48A"/>
    <w:rsid w:val="4447BA5B"/>
    <w:rsid w:val="44B7DD88"/>
    <w:rsid w:val="44DA36F2"/>
    <w:rsid w:val="44FE81EF"/>
    <w:rsid w:val="45CF9EDE"/>
    <w:rsid w:val="45E7487E"/>
    <w:rsid w:val="45F1A8E6"/>
    <w:rsid w:val="460A3895"/>
    <w:rsid w:val="46A8BBB3"/>
    <w:rsid w:val="475D7415"/>
    <w:rsid w:val="478A47F4"/>
    <w:rsid w:val="47F6309C"/>
    <w:rsid w:val="48049337"/>
    <w:rsid w:val="48149EB1"/>
    <w:rsid w:val="481BE801"/>
    <w:rsid w:val="4929E120"/>
    <w:rsid w:val="495192B6"/>
    <w:rsid w:val="49C32B84"/>
    <w:rsid w:val="4A1A5696"/>
    <w:rsid w:val="4AA2C2D9"/>
    <w:rsid w:val="4AD501A1"/>
    <w:rsid w:val="4AD79CBA"/>
    <w:rsid w:val="4B399CF8"/>
    <w:rsid w:val="4C1E6244"/>
    <w:rsid w:val="4C38BA38"/>
    <w:rsid w:val="4CE1D540"/>
    <w:rsid w:val="4DB5968B"/>
    <w:rsid w:val="4DBAAD33"/>
    <w:rsid w:val="4DE7C04A"/>
    <w:rsid w:val="4EED356A"/>
    <w:rsid w:val="4FE9C209"/>
    <w:rsid w:val="502731C1"/>
    <w:rsid w:val="503036CC"/>
    <w:rsid w:val="50AD3890"/>
    <w:rsid w:val="5107F970"/>
    <w:rsid w:val="512732BA"/>
    <w:rsid w:val="5131C21C"/>
    <w:rsid w:val="51A9E766"/>
    <w:rsid w:val="5209CC1F"/>
    <w:rsid w:val="527D5B6C"/>
    <w:rsid w:val="52B8285C"/>
    <w:rsid w:val="52E33583"/>
    <w:rsid w:val="5307606F"/>
    <w:rsid w:val="5361C36F"/>
    <w:rsid w:val="540AB393"/>
    <w:rsid w:val="5446979A"/>
    <w:rsid w:val="54628B6D"/>
    <w:rsid w:val="54922F0D"/>
    <w:rsid w:val="54C4C621"/>
    <w:rsid w:val="55237008"/>
    <w:rsid w:val="5755FF55"/>
    <w:rsid w:val="57A2B5CF"/>
    <w:rsid w:val="588D0080"/>
    <w:rsid w:val="58A4D9F3"/>
    <w:rsid w:val="58A5054B"/>
    <w:rsid w:val="58F24928"/>
    <w:rsid w:val="595777C8"/>
    <w:rsid w:val="5960507B"/>
    <w:rsid w:val="597534B6"/>
    <w:rsid w:val="59A89854"/>
    <w:rsid w:val="59DB6A1F"/>
    <w:rsid w:val="59DD1DBA"/>
    <w:rsid w:val="5A234D6B"/>
    <w:rsid w:val="5A265644"/>
    <w:rsid w:val="5AEF7451"/>
    <w:rsid w:val="5C5243AF"/>
    <w:rsid w:val="5C7DD68A"/>
    <w:rsid w:val="5D119DC4"/>
    <w:rsid w:val="5D2C78EB"/>
    <w:rsid w:val="5E2FD5AB"/>
    <w:rsid w:val="5E705BAC"/>
    <w:rsid w:val="5F41F0D0"/>
    <w:rsid w:val="6150126A"/>
    <w:rsid w:val="616BC3F2"/>
    <w:rsid w:val="61F77238"/>
    <w:rsid w:val="624119FF"/>
    <w:rsid w:val="627F05D8"/>
    <w:rsid w:val="63032F3D"/>
    <w:rsid w:val="63095B1F"/>
    <w:rsid w:val="6327ECA8"/>
    <w:rsid w:val="63AE7606"/>
    <w:rsid w:val="6488CAA0"/>
    <w:rsid w:val="64C080C2"/>
    <w:rsid w:val="65028FDC"/>
    <w:rsid w:val="6533D4F6"/>
    <w:rsid w:val="65D97884"/>
    <w:rsid w:val="66035BEA"/>
    <w:rsid w:val="66E4C6D4"/>
    <w:rsid w:val="66E61061"/>
    <w:rsid w:val="672DA5AC"/>
    <w:rsid w:val="6752DCBC"/>
    <w:rsid w:val="67685CC8"/>
    <w:rsid w:val="67910E89"/>
    <w:rsid w:val="6797D3AB"/>
    <w:rsid w:val="679C566B"/>
    <w:rsid w:val="685B7DAB"/>
    <w:rsid w:val="694EFCB7"/>
    <w:rsid w:val="6981D85E"/>
    <w:rsid w:val="698EFC15"/>
    <w:rsid w:val="69AC2CA6"/>
    <w:rsid w:val="69BE2EA1"/>
    <w:rsid w:val="69D35080"/>
    <w:rsid w:val="6AA680F9"/>
    <w:rsid w:val="6B767F9D"/>
    <w:rsid w:val="6C54BBFA"/>
    <w:rsid w:val="6CAA1A59"/>
    <w:rsid w:val="6CC8EB8A"/>
    <w:rsid w:val="6D0DAF4A"/>
    <w:rsid w:val="6DF3CEA6"/>
    <w:rsid w:val="6E3D280D"/>
    <w:rsid w:val="6EA8A3DA"/>
    <w:rsid w:val="6F631D7A"/>
    <w:rsid w:val="6F70784B"/>
    <w:rsid w:val="6FF6CDB0"/>
    <w:rsid w:val="70212D17"/>
    <w:rsid w:val="70CE7AC1"/>
    <w:rsid w:val="713224F6"/>
    <w:rsid w:val="726F889D"/>
    <w:rsid w:val="72FD1E86"/>
    <w:rsid w:val="7401C0AE"/>
    <w:rsid w:val="74633814"/>
    <w:rsid w:val="746AAF5C"/>
    <w:rsid w:val="7483FF1A"/>
    <w:rsid w:val="74F40E0F"/>
    <w:rsid w:val="75919241"/>
    <w:rsid w:val="75B664E1"/>
    <w:rsid w:val="76175EA3"/>
    <w:rsid w:val="76CB8BF1"/>
    <w:rsid w:val="76DF18E2"/>
    <w:rsid w:val="77832A41"/>
    <w:rsid w:val="778380A0"/>
    <w:rsid w:val="77E1A186"/>
    <w:rsid w:val="780E0EF9"/>
    <w:rsid w:val="78488FFE"/>
    <w:rsid w:val="78F5E502"/>
    <w:rsid w:val="7A0BE129"/>
    <w:rsid w:val="7A38C2CE"/>
    <w:rsid w:val="7A6A884B"/>
    <w:rsid w:val="7ACFCB65"/>
    <w:rsid w:val="7AE443FC"/>
    <w:rsid w:val="7AF72BA0"/>
    <w:rsid w:val="7BCBA609"/>
    <w:rsid w:val="7CCE4D0D"/>
    <w:rsid w:val="7CEB3466"/>
    <w:rsid w:val="7CF8ED80"/>
    <w:rsid w:val="7D0C93D8"/>
    <w:rsid w:val="7D230F6F"/>
    <w:rsid w:val="7D4E4E0D"/>
    <w:rsid w:val="7D580D59"/>
    <w:rsid w:val="7D5C9AA6"/>
    <w:rsid w:val="7DBF0D64"/>
    <w:rsid w:val="7EBD0B8A"/>
    <w:rsid w:val="7EE4DD8C"/>
    <w:rsid w:val="7F0A5271"/>
    <w:rsid w:val="7F0FDF7C"/>
    <w:rsid w:val="7F36C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DDB7D"/>
  <w15:chartTrackingRefBased/>
  <w15:docId w15:val="{FED94B27-F953-4F55-ADBD-F5487E75D6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57549"/>
    <w:pPr>
      <w:keepNext/>
      <w:keepLines/>
      <w:spacing w:before="240" w:after="0"/>
      <w:outlineLvl w:val="0"/>
    </w:pPr>
    <w:rPr>
      <w:rFonts w:ascii="Arial" w:hAnsi="Arial" w:eastAsiaTheme="majorEastAsia" w:cstheme="majorBidi"/>
      <w:b/>
      <w:sz w:val="24"/>
      <w:szCs w:val="32"/>
    </w:rPr>
  </w:style>
  <w:style w:type="paragraph" w:styleId="Heading2">
    <w:name w:val="heading 2"/>
    <w:basedOn w:val="ListParagraph"/>
    <w:next w:val="Normal"/>
    <w:link w:val="Heading2Char"/>
    <w:uiPriority w:val="9"/>
    <w:unhideWhenUsed/>
    <w:qFormat/>
    <w:rsid w:val="008F0C58"/>
    <w:pPr>
      <w:spacing w:line="240" w:lineRule="auto"/>
      <w:ind w:left="1080" w:hanging="360"/>
      <w:jc w:val="both"/>
      <w:outlineLvl w:val="1"/>
    </w:pPr>
    <w:rPr>
      <w:rFonts w:ascii="Arial" w:hAnsi="Arial" w:cs="Arial"/>
      <w:b/>
      <w:bCs/>
      <w:color w:val="222222"/>
      <w:sz w:val="24"/>
      <w:szCs w:val="24"/>
      <w:shd w:val="clear" w:color="auto" w:fill="FFFFFF"/>
    </w:rPr>
  </w:style>
  <w:style w:type="paragraph" w:styleId="Heading3">
    <w:name w:val="heading 3"/>
    <w:basedOn w:val="ListParagraph"/>
    <w:next w:val="Normal"/>
    <w:link w:val="Heading3Char"/>
    <w:uiPriority w:val="9"/>
    <w:unhideWhenUsed/>
    <w:qFormat/>
    <w:rsid w:val="00957549"/>
    <w:pPr>
      <w:spacing w:line="240" w:lineRule="auto"/>
      <w:ind w:left="0"/>
      <w:jc w:val="both"/>
      <w:outlineLvl w:val="2"/>
    </w:pPr>
    <w:rPr>
      <w:rFonts w:ascii="Arial" w:hAnsi="Arial" w:cs="Arial"/>
      <w:i/>
      <w:iCs/>
      <w:sz w:val="24"/>
      <w:szCs w:val="24"/>
    </w:rPr>
  </w:style>
  <w:style w:type="paragraph" w:styleId="Heading4">
    <w:name w:val="heading 4"/>
    <w:basedOn w:val="Normal"/>
    <w:next w:val="Normal"/>
    <w:link w:val="Heading4Char"/>
    <w:uiPriority w:val="9"/>
    <w:unhideWhenUsed/>
    <w:qFormat/>
    <w:rsid w:val="002D2D4B"/>
    <w:pPr>
      <w:keepNext/>
      <w:keepLines/>
      <w:spacing w:before="40" w:after="240"/>
      <w:ind w:left="1440" w:hanging="288"/>
      <w:jc w:val="both"/>
      <w:outlineLvl w:val="3"/>
    </w:pPr>
    <w:rPr>
      <w:rFonts w:ascii="Arial" w:hAnsi="Arial" w:cs="Arial" w:eastAsiaTheme="majorEastAsia"/>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unhideWhenUsed/>
    <w:rsid w:val="006A5173"/>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rsid w:val="006A5173"/>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6A5173"/>
    <w:rPr>
      <w:vertAlign w:val="superscript"/>
    </w:rPr>
  </w:style>
  <w:style w:type="character" w:styleId="Hyperlink">
    <w:name w:val="Hyperlink"/>
    <w:basedOn w:val="DefaultParagraphFont"/>
    <w:uiPriority w:val="99"/>
    <w:unhideWhenUsed/>
    <w:rsid w:val="00633A46"/>
    <w:rPr>
      <w:color w:val="0563C1" w:themeColor="hyperlink"/>
      <w:u w:val="single"/>
    </w:rPr>
  </w:style>
  <w:style w:type="character" w:styleId="UnresolvedMention">
    <w:name w:val="Unresolved Mention"/>
    <w:basedOn w:val="DefaultParagraphFont"/>
    <w:uiPriority w:val="99"/>
    <w:semiHidden/>
    <w:unhideWhenUsed/>
    <w:rsid w:val="00633A46"/>
    <w:rPr>
      <w:color w:val="605E5C"/>
      <w:shd w:val="clear" w:color="auto" w:fill="E1DFDD"/>
    </w:rPr>
  </w:style>
  <w:style w:type="character" w:styleId="Heading1Char" w:customStyle="1">
    <w:name w:val="Heading 1 Char"/>
    <w:basedOn w:val="DefaultParagraphFont"/>
    <w:link w:val="Heading1"/>
    <w:uiPriority w:val="9"/>
    <w:rsid w:val="00957549"/>
    <w:rPr>
      <w:rFonts w:ascii="Arial" w:hAnsi="Arial" w:eastAsiaTheme="majorEastAsia" w:cstheme="majorBidi"/>
      <w:b/>
      <w:sz w:val="24"/>
      <w:szCs w:val="32"/>
    </w:rPr>
  </w:style>
  <w:style w:type="paragraph" w:styleId="ListParagraph">
    <w:name w:val="List Paragraph"/>
    <w:basedOn w:val="Normal"/>
    <w:uiPriority w:val="34"/>
    <w:qFormat/>
    <w:rsid w:val="00957549"/>
    <w:pPr>
      <w:ind w:left="720"/>
      <w:contextualSpacing/>
    </w:pPr>
  </w:style>
  <w:style w:type="character" w:styleId="Heading2Char" w:customStyle="1">
    <w:name w:val="Heading 2 Char"/>
    <w:basedOn w:val="DefaultParagraphFont"/>
    <w:link w:val="Heading2"/>
    <w:uiPriority w:val="9"/>
    <w:rsid w:val="00957549"/>
    <w:rPr>
      <w:rFonts w:ascii="Arial" w:hAnsi="Arial" w:cs="Arial"/>
      <w:b/>
      <w:bCs/>
      <w:color w:val="222222"/>
      <w:sz w:val="24"/>
      <w:szCs w:val="24"/>
    </w:rPr>
  </w:style>
  <w:style w:type="paragraph" w:styleId="TOC1">
    <w:name w:val="toc 1"/>
    <w:basedOn w:val="Normal"/>
    <w:next w:val="Normal"/>
    <w:autoRedefine/>
    <w:uiPriority w:val="39"/>
    <w:unhideWhenUsed/>
    <w:rsid w:val="00626D89"/>
    <w:pPr>
      <w:tabs>
        <w:tab w:val="left" w:pos="440"/>
        <w:tab w:val="right" w:leader="dot" w:pos="9350"/>
      </w:tabs>
      <w:spacing w:after="100"/>
    </w:pPr>
    <w:rPr>
      <w:rFonts w:ascii="Arial" w:hAnsi="Arial"/>
      <w:b/>
      <w:bCs/>
      <w:noProof/>
      <w:sz w:val="24"/>
    </w:rPr>
  </w:style>
  <w:style w:type="paragraph" w:styleId="TOC2">
    <w:name w:val="toc 2"/>
    <w:basedOn w:val="Normal"/>
    <w:next w:val="Normal"/>
    <w:autoRedefine/>
    <w:uiPriority w:val="39"/>
    <w:unhideWhenUsed/>
    <w:rsid w:val="00F37068"/>
    <w:pPr>
      <w:tabs>
        <w:tab w:val="left" w:pos="1080"/>
        <w:tab w:val="right" w:leader="dot" w:pos="9350"/>
      </w:tabs>
      <w:spacing w:after="100"/>
      <w:ind w:left="720" w:right="576"/>
    </w:pPr>
    <w:rPr>
      <w:rFonts w:ascii="Arial" w:hAnsi="Arial"/>
      <w:b/>
      <w:bCs/>
      <w:noProof/>
      <w:sz w:val="24"/>
    </w:rPr>
  </w:style>
  <w:style w:type="paragraph" w:styleId="TOC3">
    <w:name w:val="toc 3"/>
    <w:basedOn w:val="Heading3"/>
    <w:next w:val="Normal"/>
    <w:autoRedefine/>
    <w:uiPriority w:val="39"/>
    <w:unhideWhenUsed/>
    <w:rsid w:val="00F37068"/>
    <w:pPr>
      <w:tabs>
        <w:tab w:val="right" w:leader="dot" w:pos="9350"/>
      </w:tabs>
      <w:spacing w:after="100"/>
      <w:ind w:left="1440" w:hanging="360"/>
    </w:pPr>
  </w:style>
  <w:style w:type="character" w:styleId="Heading3Char" w:customStyle="1">
    <w:name w:val="Heading 3 Char"/>
    <w:basedOn w:val="DefaultParagraphFont"/>
    <w:link w:val="Heading3"/>
    <w:uiPriority w:val="9"/>
    <w:rsid w:val="00957549"/>
    <w:rPr>
      <w:rFonts w:ascii="Arial" w:hAnsi="Arial" w:cs="Arial"/>
      <w:i/>
      <w:iCs/>
      <w:sz w:val="24"/>
      <w:szCs w:val="24"/>
    </w:rPr>
  </w:style>
  <w:style w:type="character" w:styleId="CommentReference">
    <w:name w:val="annotation reference"/>
    <w:basedOn w:val="DefaultParagraphFont"/>
    <w:uiPriority w:val="99"/>
    <w:semiHidden/>
    <w:unhideWhenUsed/>
    <w:rsid w:val="00957549"/>
    <w:rPr>
      <w:sz w:val="16"/>
      <w:szCs w:val="16"/>
    </w:rPr>
  </w:style>
  <w:style w:type="paragraph" w:styleId="CommentText">
    <w:name w:val="annotation text"/>
    <w:basedOn w:val="Normal"/>
    <w:link w:val="CommentTextChar"/>
    <w:uiPriority w:val="99"/>
    <w:unhideWhenUsed/>
    <w:rsid w:val="00957549"/>
    <w:pPr>
      <w:spacing w:line="240" w:lineRule="auto"/>
    </w:pPr>
    <w:rPr>
      <w:sz w:val="20"/>
      <w:szCs w:val="20"/>
    </w:rPr>
  </w:style>
  <w:style w:type="character" w:styleId="CommentTextChar" w:customStyle="1">
    <w:name w:val="Comment Text Char"/>
    <w:basedOn w:val="DefaultParagraphFont"/>
    <w:link w:val="CommentText"/>
    <w:uiPriority w:val="99"/>
    <w:rsid w:val="00957549"/>
    <w:rPr>
      <w:sz w:val="20"/>
      <w:szCs w:val="20"/>
    </w:rPr>
  </w:style>
  <w:style w:type="paragraph" w:styleId="CommentSubject">
    <w:name w:val="annotation subject"/>
    <w:basedOn w:val="CommentText"/>
    <w:next w:val="CommentText"/>
    <w:link w:val="CommentSubjectChar"/>
    <w:uiPriority w:val="99"/>
    <w:semiHidden/>
    <w:unhideWhenUsed/>
    <w:rsid w:val="00957549"/>
    <w:rPr>
      <w:b/>
      <w:bCs/>
    </w:rPr>
  </w:style>
  <w:style w:type="character" w:styleId="CommentSubjectChar" w:customStyle="1">
    <w:name w:val="Comment Subject Char"/>
    <w:basedOn w:val="CommentTextChar"/>
    <w:link w:val="CommentSubject"/>
    <w:uiPriority w:val="99"/>
    <w:semiHidden/>
    <w:rsid w:val="00957549"/>
    <w:rPr>
      <w:b/>
      <w:bCs/>
      <w:sz w:val="20"/>
      <w:szCs w:val="20"/>
    </w:rPr>
  </w:style>
  <w:style w:type="paragraph" w:styleId="BalloonText">
    <w:name w:val="Balloon Text"/>
    <w:basedOn w:val="Normal"/>
    <w:link w:val="BalloonTextChar"/>
    <w:uiPriority w:val="99"/>
    <w:semiHidden/>
    <w:unhideWhenUsed/>
    <w:rsid w:val="009575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549"/>
    <w:rPr>
      <w:rFonts w:ascii="Segoe UI" w:hAnsi="Segoe UI" w:cs="Segoe UI"/>
      <w:sz w:val="18"/>
      <w:szCs w:val="18"/>
    </w:rPr>
  </w:style>
  <w:style w:type="paragraph" w:styleId="paragraph" w:customStyle="1">
    <w:name w:val="paragraph"/>
    <w:basedOn w:val="Normal"/>
    <w:rsid w:val="00B22A7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22A7A"/>
  </w:style>
  <w:style w:type="character" w:styleId="eop" w:customStyle="1">
    <w:name w:val="eop"/>
    <w:basedOn w:val="DefaultParagraphFont"/>
    <w:rsid w:val="00B22A7A"/>
  </w:style>
  <w:style w:type="table" w:styleId="TableGrid">
    <w:name w:val="Table Grid"/>
    <w:basedOn w:val="TableNormal"/>
    <w:uiPriority w:val="39"/>
    <w:rsid w:val="00B636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43F1F"/>
    <w:pPr>
      <w:spacing w:after="0" w:line="240" w:lineRule="auto"/>
    </w:pPr>
  </w:style>
  <w:style w:type="paragraph" w:styleId="BodyText">
    <w:name w:val="Body Text"/>
    <w:basedOn w:val="Normal"/>
    <w:link w:val="BodyTextChar"/>
    <w:uiPriority w:val="1"/>
    <w:qFormat/>
    <w:rsid w:val="00072C65"/>
    <w:pPr>
      <w:widowControl w:val="0"/>
      <w:autoSpaceDE w:val="0"/>
      <w:autoSpaceDN w:val="0"/>
      <w:spacing w:after="0" w:line="240" w:lineRule="auto"/>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rsid w:val="00072C65"/>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8A53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53A5"/>
  </w:style>
  <w:style w:type="paragraph" w:styleId="Footer">
    <w:name w:val="footer"/>
    <w:basedOn w:val="Normal"/>
    <w:link w:val="FooterChar"/>
    <w:uiPriority w:val="99"/>
    <w:unhideWhenUsed/>
    <w:rsid w:val="008A53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53A5"/>
  </w:style>
  <w:style w:type="paragraph" w:styleId="Default" w:customStyle="1">
    <w:name w:val="Default"/>
    <w:rsid w:val="002F1FF9"/>
    <w:pPr>
      <w:autoSpaceDE w:val="0"/>
      <w:autoSpaceDN w:val="0"/>
      <w:adjustRightInd w:val="0"/>
      <w:spacing w:after="0" w:line="240" w:lineRule="auto"/>
    </w:pPr>
    <w:rPr>
      <w:rFonts w:ascii="Times New Roman" w:hAnsi="Times New Roman" w:eastAsia="Times New Roman" w:cs="Times New Roman"/>
      <w:color w:val="000000"/>
      <w:sz w:val="24"/>
      <w:szCs w:val="24"/>
      <w:u w:val="single"/>
    </w:rPr>
  </w:style>
  <w:style w:type="character" w:styleId="FollowedHyperlink">
    <w:name w:val="FollowedHyperlink"/>
    <w:basedOn w:val="DefaultParagraphFont"/>
    <w:uiPriority w:val="99"/>
    <w:semiHidden/>
    <w:unhideWhenUsed/>
    <w:rsid w:val="009F76A9"/>
    <w:rPr>
      <w:color w:val="954F72" w:themeColor="followedHyperlink"/>
      <w:u w:val="single"/>
    </w:rPr>
  </w:style>
  <w:style w:type="paragraph" w:styleId="TOCHeading">
    <w:name w:val="TOC Heading"/>
    <w:basedOn w:val="Heading1"/>
    <w:next w:val="Normal"/>
    <w:uiPriority w:val="39"/>
    <w:unhideWhenUsed/>
    <w:qFormat/>
    <w:rsid w:val="006C764D"/>
    <w:pPr>
      <w:outlineLvl w:val="9"/>
    </w:pPr>
    <w:rPr>
      <w:rFonts w:asciiTheme="majorHAnsi" w:hAnsiTheme="majorHAnsi"/>
      <w:b w:val="0"/>
      <w:color w:val="2F5496" w:themeColor="accent1" w:themeShade="BF"/>
      <w:sz w:val="32"/>
    </w:rPr>
  </w:style>
  <w:style w:type="character" w:styleId="Heading4Char" w:customStyle="1">
    <w:name w:val="Heading 4 Char"/>
    <w:basedOn w:val="DefaultParagraphFont"/>
    <w:link w:val="Heading4"/>
    <w:uiPriority w:val="9"/>
    <w:rsid w:val="007B5A7B"/>
    <w:rPr>
      <w:rFonts w:ascii="Arial" w:hAnsi="Arial" w:cs="Arial" w:eastAsiaTheme="majorEastAsia"/>
      <w:i/>
      <w:iCs/>
      <w:sz w:val="24"/>
      <w:szCs w:val="24"/>
    </w:rPr>
  </w:style>
  <w:style w:type="character" w:styleId="ssit" w:customStyle="1">
    <w:name w:val="ss_it"/>
    <w:basedOn w:val="DefaultParagraphFont"/>
    <w:rsid w:val="0029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387">
      <w:bodyDiv w:val="1"/>
      <w:marLeft w:val="0"/>
      <w:marRight w:val="0"/>
      <w:marTop w:val="0"/>
      <w:marBottom w:val="0"/>
      <w:divBdr>
        <w:top w:val="none" w:sz="0" w:space="0" w:color="auto"/>
        <w:left w:val="none" w:sz="0" w:space="0" w:color="auto"/>
        <w:bottom w:val="none" w:sz="0" w:space="0" w:color="auto"/>
        <w:right w:val="none" w:sz="0" w:space="0" w:color="auto"/>
      </w:divBdr>
    </w:div>
    <w:div w:id="89161052">
      <w:bodyDiv w:val="1"/>
      <w:marLeft w:val="0"/>
      <w:marRight w:val="0"/>
      <w:marTop w:val="0"/>
      <w:marBottom w:val="0"/>
      <w:divBdr>
        <w:top w:val="none" w:sz="0" w:space="0" w:color="auto"/>
        <w:left w:val="none" w:sz="0" w:space="0" w:color="auto"/>
        <w:bottom w:val="none" w:sz="0" w:space="0" w:color="auto"/>
        <w:right w:val="none" w:sz="0" w:space="0" w:color="auto"/>
      </w:divBdr>
    </w:div>
    <w:div w:id="131335490">
      <w:bodyDiv w:val="1"/>
      <w:marLeft w:val="0"/>
      <w:marRight w:val="0"/>
      <w:marTop w:val="0"/>
      <w:marBottom w:val="0"/>
      <w:divBdr>
        <w:top w:val="none" w:sz="0" w:space="0" w:color="auto"/>
        <w:left w:val="none" w:sz="0" w:space="0" w:color="auto"/>
        <w:bottom w:val="none" w:sz="0" w:space="0" w:color="auto"/>
        <w:right w:val="none" w:sz="0" w:space="0" w:color="auto"/>
      </w:divBdr>
    </w:div>
    <w:div w:id="140001571">
      <w:bodyDiv w:val="1"/>
      <w:marLeft w:val="0"/>
      <w:marRight w:val="0"/>
      <w:marTop w:val="0"/>
      <w:marBottom w:val="0"/>
      <w:divBdr>
        <w:top w:val="none" w:sz="0" w:space="0" w:color="auto"/>
        <w:left w:val="none" w:sz="0" w:space="0" w:color="auto"/>
        <w:bottom w:val="none" w:sz="0" w:space="0" w:color="auto"/>
        <w:right w:val="none" w:sz="0" w:space="0" w:color="auto"/>
      </w:divBdr>
    </w:div>
    <w:div w:id="422188544">
      <w:bodyDiv w:val="1"/>
      <w:marLeft w:val="0"/>
      <w:marRight w:val="0"/>
      <w:marTop w:val="0"/>
      <w:marBottom w:val="0"/>
      <w:divBdr>
        <w:top w:val="none" w:sz="0" w:space="0" w:color="auto"/>
        <w:left w:val="none" w:sz="0" w:space="0" w:color="auto"/>
        <w:bottom w:val="none" w:sz="0" w:space="0" w:color="auto"/>
        <w:right w:val="none" w:sz="0" w:space="0" w:color="auto"/>
      </w:divBdr>
      <w:divsChild>
        <w:div w:id="1924993593">
          <w:blockQuote w:val="1"/>
          <w:marLeft w:val="0"/>
          <w:marRight w:val="0"/>
          <w:marTop w:val="0"/>
          <w:marBottom w:val="0"/>
          <w:divBdr>
            <w:top w:val="none" w:sz="0" w:space="0" w:color="auto"/>
            <w:left w:val="none" w:sz="0" w:space="0" w:color="auto"/>
            <w:bottom w:val="none" w:sz="0" w:space="0" w:color="auto"/>
            <w:right w:val="none" w:sz="0" w:space="0" w:color="auto"/>
          </w:divBdr>
          <w:divsChild>
            <w:div w:id="15080103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1445">
      <w:bodyDiv w:val="1"/>
      <w:marLeft w:val="0"/>
      <w:marRight w:val="0"/>
      <w:marTop w:val="0"/>
      <w:marBottom w:val="0"/>
      <w:divBdr>
        <w:top w:val="none" w:sz="0" w:space="0" w:color="auto"/>
        <w:left w:val="none" w:sz="0" w:space="0" w:color="auto"/>
        <w:bottom w:val="none" w:sz="0" w:space="0" w:color="auto"/>
        <w:right w:val="none" w:sz="0" w:space="0" w:color="auto"/>
      </w:divBdr>
    </w:div>
    <w:div w:id="625476019">
      <w:bodyDiv w:val="1"/>
      <w:marLeft w:val="0"/>
      <w:marRight w:val="0"/>
      <w:marTop w:val="0"/>
      <w:marBottom w:val="0"/>
      <w:divBdr>
        <w:top w:val="none" w:sz="0" w:space="0" w:color="auto"/>
        <w:left w:val="none" w:sz="0" w:space="0" w:color="auto"/>
        <w:bottom w:val="none" w:sz="0" w:space="0" w:color="auto"/>
        <w:right w:val="none" w:sz="0" w:space="0" w:color="auto"/>
      </w:divBdr>
      <w:divsChild>
        <w:div w:id="98646566">
          <w:marLeft w:val="0"/>
          <w:marRight w:val="0"/>
          <w:marTop w:val="0"/>
          <w:marBottom w:val="0"/>
          <w:divBdr>
            <w:top w:val="none" w:sz="0" w:space="0" w:color="auto"/>
            <w:left w:val="none" w:sz="0" w:space="0" w:color="auto"/>
            <w:bottom w:val="none" w:sz="0" w:space="0" w:color="auto"/>
            <w:right w:val="none" w:sz="0" w:space="0" w:color="auto"/>
          </w:divBdr>
        </w:div>
        <w:div w:id="1074427780">
          <w:marLeft w:val="0"/>
          <w:marRight w:val="0"/>
          <w:marTop w:val="0"/>
          <w:marBottom w:val="0"/>
          <w:divBdr>
            <w:top w:val="none" w:sz="0" w:space="0" w:color="auto"/>
            <w:left w:val="none" w:sz="0" w:space="0" w:color="auto"/>
            <w:bottom w:val="none" w:sz="0" w:space="0" w:color="auto"/>
            <w:right w:val="none" w:sz="0" w:space="0" w:color="auto"/>
          </w:divBdr>
          <w:divsChild>
            <w:div w:id="541327735">
              <w:marLeft w:val="0"/>
              <w:marRight w:val="0"/>
              <w:marTop w:val="30"/>
              <w:marBottom w:val="30"/>
              <w:divBdr>
                <w:top w:val="none" w:sz="0" w:space="0" w:color="auto"/>
                <w:left w:val="none" w:sz="0" w:space="0" w:color="auto"/>
                <w:bottom w:val="none" w:sz="0" w:space="0" w:color="auto"/>
                <w:right w:val="none" w:sz="0" w:space="0" w:color="auto"/>
              </w:divBdr>
              <w:divsChild>
                <w:div w:id="167335888">
                  <w:marLeft w:val="0"/>
                  <w:marRight w:val="0"/>
                  <w:marTop w:val="0"/>
                  <w:marBottom w:val="0"/>
                  <w:divBdr>
                    <w:top w:val="none" w:sz="0" w:space="0" w:color="auto"/>
                    <w:left w:val="none" w:sz="0" w:space="0" w:color="auto"/>
                    <w:bottom w:val="none" w:sz="0" w:space="0" w:color="auto"/>
                    <w:right w:val="none" w:sz="0" w:space="0" w:color="auto"/>
                  </w:divBdr>
                  <w:divsChild>
                    <w:div w:id="366758871">
                      <w:marLeft w:val="0"/>
                      <w:marRight w:val="0"/>
                      <w:marTop w:val="0"/>
                      <w:marBottom w:val="0"/>
                      <w:divBdr>
                        <w:top w:val="none" w:sz="0" w:space="0" w:color="auto"/>
                        <w:left w:val="none" w:sz="0" w:space="0" w:color="auto"/>
                        <w:bottom w:val="none" w:sz="0" w:space="0" w:color="auto"/>
                        <w:right w:val="none" w:sz="0" w:space="0" w:color="auto"/>
                      </w:divBdr>
                    </w:div>
                  </w:divsChild>
                </w:div>
                <w:div w:id="738477696">
                  <w:marLeft w:val="0"/>
                  <w:marRight w:val="0"/>
                  <w:marTop w:val="0"/>
                  <w:marBottom w:val="0"/>
                  <w:divBdr>
                    <w:top w:val="none" w:sz="0" w:space="0" w:color="auto"/>
                    <w:left w:val="none" w:sz="0" w:space="0" w:color="auto"/>
                    <w:bottom w:val="none" w:sz="0" w:space="0" w:color="auto"/>
                    <w:right w:val="none" w:sz="0" w:space="0" w:color="auto"/>
                  </w:divBdr>
                  <w:divsChild>
                    <w:div w:id="615452564">
                      <w:marLeft w:val="0"/>
                      <w:marRight w:val="0"/>
                      <w:marTop w:val="0"/>
                      <w:marBottom w:val="0"/>
                      <w:divBdr>
                        <w:top w:val="none" w:sz="0" w:space="0" w:color="auto"/>
                        <w:left w:val="none" w:sz="0" w:space="0" w:color="auto"/>
                        <w:bottom w:val="none" w:sz="0" w:space="0" w:color="auto"/>
                        <w:right w:val="none" w:sz="0" w:space="0" w:color="auto"/>
                      </w:divBdr>
                    </w:div>
                  </w:divsChild>
                </w:div>
                <w:div w:id="1105886789">
                  <w:marLeft w:val="0"/>
                  <w:marRight w:val="0"/>
                  <w:marTop w:val="0"/>
                  <w:marBottom w:val="0"/>
                  <w:divBdr>
                    <w:top w:val="none" w:sz="0" w:space="0" w:color="auto"/>
                    <w:left w:val="none" w:sz="0" w:space="0" w:color="auto"/>
                    <w:bottom w:val="none" w:sz="0" w:space="0" w:color="auto"/>
                    <w:right w:val="none" w:sz="0" w:space="0" w:color="auto"/>
                  </w:divBdr>
                  <w:divsChild>
                    <w:div w:id="815535831">
                      <w:marLeft w:val="0"/>
                      <w:marRight w:val="0"/>
                      <w:marTop w:val="0"/>
                      <w:marBottom w:val="0"/>
                      <w:divBdr>
                        <w:top w:val="none" w:sz="0" w:space="0" w:color="auto"/>
                        <w:left w:val="none" w:sz="0" w:space="0" w:color="auto"/>
                        <w:bottom w:val="none" w:sz="0" w:space="0" w:color="auto"/>
                        <w:right w:val="none" w:sz="0" w:space="0" w:color="auto"/>
                      </w:divBdr>
                    </w:div>
                    <w:div w:id="1108500957">
                      <w:marLeft w:val="0"/>
                      <w:marRight w:val="0"/>
                      <w:marTop w:val="0"/>
                      <w:marBottom w:val="0"/>
                      <w:divBdr>
                        <w:top w:val="none" w:sz="0" w:space="0" w:color="auto"/>
                        <w:left w:val="none" w:sz="0" w:space="0" w:color="auto"/>
                        <w:bottom w:val="none" w:sz="0" w:space="0" w:color="auto"/>
                        <w:right w:val="none" w:sz="0" w:space="0" w:color="auto"/>
                      </w:divBdr>
                    </w:div>
                    <w:div w:id="2033803345">
                      <w:marLeft w:val="0"/>
                      <w:marRight w:val="0"/>
                      <w:marTop w:val="0"/>
                      <w:marBottom w:val="0"/>
                      <w:divBdr>
                        <w:top w:val="none" w:sz="0" w:space="0" w:color="auto"/>
                        <w:left w:val="none" w:sz="0" w:space="0" w:color="auto"/>
                        <w:bottom w:val="none" w:sz="0" w:space="0" w:color="auto"/>
                        <w:right w:val="none" w:sz="0" w:space="0" w:color="auto"/>
                      </w:divBdr>
                    </w:div>
                  </w:divsChild>
                </w:div>
                <w:div w:id="1135294096">
                  <w:marLeft w:val="0"/>
                  <w:marRight w:val="0"/>
                  <w:marTop w:val="0"/>
                  <w:marBottom w:val="0"/>
                  <w:divBdr>
                    <w:top w:val="none" w:sz="0" w:space="0" w:color="auto"/>
                    <w:left w:val="none" w:sz="0" w:space="0" w:color="auto"/>
                    <w:bottom w:val="none" w:sz="0" w:space="0" w:color="auto"/>
                    <w:right w:val="none" w:sz="0" w:space="0" w:color="auto"/>
                  </w:divBdr>
                  <w:divsChild>
                    <w:div w:id="1511918007">
                      <w:marLeft w:val="0"/>
                      <w:marRight w:val="0"/>
                      <w:marTop w:val="0"/>
                      <w:marBottom w:val="0"/>
                      <w:divBdr>
                        <w:top w:val="none" w:sz="0" w:space="0" w:color="auto"/>
                        <w:left w:val="none" w:sz="0" w:space="0" w:color="auto"/>
                        <w:bottom w:val="none" w:sz="0" w:space="0" w:color="auto"/>
                        <w:right w:val="none" w:sz="0" w:space="0" w:color="auto"/>
                      </w:divBdr>
                    </w:div>
                  </w:divsChild>
                </w:div>
                <w:div w:id="1439640813">
                  <w:marLeft w:val="0"/>
                  <w:marRight w:val="0"/>
                  <w:marTop w:val="0"/>
                  <w:marBottom w:val="0"/>
                  <w:divBdr>
                    <w:top w:val="none" w:sz="0" w:space="0" w:color="auto"/>
                    <w:left w:val="none" w:sz="0" w:space="0" w:color="auto"/>
                    <w:bottom w:val="none" w:sz="0" w:space="0" w:color="auto"/>
                    <w:right w:val="none" w:sz="0" w:space="0" w:color="auto"/>
                  </w:divBdr>
                  <w:divsChild>
                    <w:div w:id="839780077">
                      <w:marLeft w:val="0"/>
                      <w:marRight w:val="0"/>
                      <w:marTop w:val="0"/>
                      <w:marBottom w:val="0"/>
                      <w:divBdr>
                        <w:top w:val="none" w:sz="0" w:space="0" w:color="auto"/>
                        <w:left w:val="none" w:sz="0" w:space="0" w:color="auto"/>
                        <w:bottom w:val="none" w:sz="0" w:space="0" w:color="auto"/>
                        <w:right w:val="none" w:sz="0" w:space="0" w:color="auto"/>
                      </w:divBdr>
                    </w:div>
                    <w:div w:id="1015618210">
                      <w:marLeft w:val="0"/>
                      <w:marRight w:val="0"/>
                      <w:marTop w:val="0"/>
                      <w:marBottom w:val="0"/>
                      <w:divBdr>
                        <w:top w:val="none" w:sz="0" w:space="0" w:color="auto"/>
                        <w:left w:val="none" w:sz="0" w:space="0" w:color="auto"/>
                        <w:bottom w:val="none" w:sz="0" w:space="0" w:color="auto"/>
                        <w:right w:val="none" w:sz="0" w:space="0" w:color="auto"/>
                      </w:divBdr>
                    </w:div>
                  </w:divsChild>
                </w:div>
                <w:div w:id="1765570463">
                  <w:marLeft w:val="0"/>
                  <w:marRight w:val="0"/>
                  <w:marTop w:val="0"/>
                  <w:marBottom w:val="0"/>
                  <w:divBdr>
                    <w:top w:val="none" w:sz="0" w:space="0" w:color="auto"/>
                    <w:left w:val="none" w:sz="0" w:space="0" w:color="auto"/>
                    <w:bottom w:val="none" w:sz="0" w:space="0" w:color="auto"/>
                    <w:right w:val="none" w:sz="0" w:space="0" w:color="auto"/>
                  </w:divBdr>
                  <w:divsChild>
                    <w:div w:id="1457945241">
                      <w:marLeft w:val="0"/>
                      <w:marRight w:val="0"/>
                      <w:marTop w:val="0"/>
                      <w:marBottom w:val="0"/>
                      <w:divBdr>
                        <w:top w:val="none" w:sz="0" w:space="0" w:color="auto"/>
                        <w:left w:val="none" w:sz="0" w:space="0" w:color="auto"/>
                        <w:bottom w:val="none" w:sz="0" w:space="0" w:color="auto"/>
                        <w:right w:val="none" w:sz="0" w:space="0" w:color="auto"/>
                      </w:divBdr>
                    </w:div>
                  </w:divsChild>
                </w:div>
                <w:div w:id="1856577842">
                  <w:marLeft w:val="0"/>
                  <w:marRight w:val="0"/>
                  <w:marTop w:val="0"/>
                  <w:marBottom w:val="0"/>
                  <w:divBdr>
                    <w:top w:val="none" w:sz="0" w:space="0" w:color="auto"/>
                    <w:left w:val="none" w:sz="0" w:space="0" w:color="auto"/>
                    <w:bottom w:val="none" w:sz="0" w:space="0" w:color="auto"/>
                    <w:right w:val="none" w:sz="0" w:space="0" w:color="auto"/>
                  </w:divBdr>
                  <w:divsChild>
                    <w:div w:id="313683982">
                      <w:marLeft w:val="0"/>
                      <w:marRight w:val="0"/>
                      <w:marTop w:val="0"/>
                      <w:marBottom w:val="0"/>
                      <w:divBdr>
                        <w:top w:val="none" w:sz="0" w:space="0" w:color="auto"/>
                        <w:left w:val="none" w:sz="0" w:space="0" w:color="auto"/>
                        <w:bottom w:val="none" w:sz="0" w:space="0" w:color="auto"/>
                        <w:right w:val="none" w:sz="0" w:space="0" w:color="auto"/>
                      </w:divBdr>
                    </w:div>
                  </w:divsChild>
                </w:div>
                <w:div w:id="1962572589">
                  <w:marLeft w:val="0"/>
                  <w:marRight w:val="0"/>
                  <w:marTop w:val="0"/>
                  <w:marBottom w:val="0"/>
                  <w:divBdr>
                    <w:top w:val="none" w:sz="0" w:space="0" w:color="auto"/>
                    <w:left w:val="none" w:sz="0" w:space="0" w:color="auto"/>
                    <w:bottom w:val="none" w:sz="0" w:space="0" w:color="auto"/>
                    <w:right w:val="none" w:sz="0" w:space="0" w:color="auto"/>
                  </w:divBdr>
                  <w:divsChild>
                    <w:div w:id="1142844397">
                      <w:marLeft w:val="0"/>
                      <w:marRight w:val="0"/>
                      <w:marTop w:val="0"/>
                      <w:marBottom w:val="0"/>
                      <w:divBdr>
                        <w:top w:val="none" w:sz="0" w:space="0" w:color="auto"/>
                        <w:left w:val="none" w:sz="0" w:space="0" w:color="auto"/>
                        <w:bottom w:val="none" w:sz="0" w:space="0" w:color="auto"/>
                        <w:right w:val="none" w:sz="0" w:space="0" w:color="auto"/>
                      </w:divBdr>
                    </w:div>
                    <w:div w:id="1392340549">
                      <w:marLeft w:val="0"/>
                      <w:marRight w:val="0"/>
                      <w:marTop w:val="0"/>
                      <w:marBottom w:val="0"/>
                      <w:divBdr>
                        <w:top w:val="none" w:sz="0" w:space="0" w:color="auto"/>
                        <w:left w:val="none" w:sz="0" w:space="0" w:color="auto"/>
                        <w:bottom w:val="none" w:sz="0" w:space="0" w:color="auto"/>
                        <w:right w:val="none" w:sz="0" w:space="0" w:color="auto"/>
                      </w:divBdr>
                    </w:div>
                    <w:div w:id="2081052760">
                      <w:marLeft w:val="0"/>
                      <w:marRight w:val="0"/>
                      <w:marTop w:val="0"/>
                      <w:marBottom w:val="0"/>
                      <w:divBdr>
                        <w:top w:val="none" w:sz="0" w:space="0" w:color="auto"/>
                        <w:left w:val="none" w:sz="0" w:space="0" w:color="auto"/>
                        <w:bottom w:val="none" w:sz="0" w:space="0" w:color="auto"/>
                        <w:right w:val="none" w:sz="0" w:space="0" w:color="auto"/>
                      </w:divBdr>
                    </w:div>
                  </w:divsChild>
                </w:div>
                <w:div w:id="2002267414">
                  <w:marLeft w:val="0"/>
                  <w:marRight w:val="0"/>
                  <w:marTop w:val="0"/>
                  <w:marBottom w:val="0"/>
                  <w:divBdr>
                    <w:top w:val="none" w:sz="0" w:space="0" w:color="auto"/>
                    <w:left w:val="none" w:sz="0" w:space="0" w:color="auto"/>
                    <w:bottom w:val="none" w:sz="0" w:space="0" w:color="auto"/>
                    <w:right w:val="none" w:sz="0" w:space="0" w:color="auto"/>
                  </w:divBdr>
                  <w:divsChild>
                    <w:div w:id="12604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2253">
          <w:marLeft w:val="0"/>
          <w:marRight w:val="0"/>
          <w:marTop w:val="0"/>
          <w:marBottom w:val="0"/>
          <w:divBdr>
            <w:top w:val="none" w:sz="0" w:space="0" w:color="auto"/>
            <w:left w:val="none" w:sz="0" w:space="0" w:color="auto"/>
            <w:bottom w:val="none" w:sz="0" w:space="0" w:color="auto"/>
            <w:right w:val="none" w:sz="0" w:space="0" w:color="auto"/>
          </w:divBdr>
        </w:div>
        <w:div w:id="1775438517">
          <w:marLeft w:val="0"/>
          <w:marRight w:val="0"/>
          <w:marTop w:val="0"/>
          <w:marBottom w:val="0"/>
          <w:divBdr>
            <w:top w:val="none" w:sz="0" w:space="0" w:color="auto"/>
            <w:left w:val="none" w:sz="0" w:space="0" w:color="auto"/>
            <w:bottom w:val="none" w:sz="0" w:space="0" w:color="auto"/>
            <w:right w:val="none" w:sz="0" w:space="0" w:color="auto"/>
          </w:divBdr>
        </w:div>
      </w:divsChild>
    </w:div>
    <w:div w:id="1173566172">
      <w:bodyDiv w:val="1"/>
      <w:marLeft w:val="0"/>
      <w:marRight w:val="0"/>
      <w:marTop w:val="0"/>
      <w:marBottom w:val="0"/>
      <w:divBdr>
        <w:top w:val="none" w:sz="0" w:space="0" w:color="auto"/>
        <w:left w:val="none" w:sz="0" w:space="0" w:color="auto"/>
        <w:bottom w:val="none" w:sz="0" w:space="0" w:color="auto"/>
        <w:right w:val="none" w:sz="0" w:space="0" w:color="auto"/>
      </w:divBdr>
    </w:div>
    <w:div w:id="1189950104">
      <w:bodyDiv w:val="1"/>
      <w:marLeft w:val="0"/>
      <w:marRight w:val="0"/>
      <w:marTop w:val="0"/>
      <w:marBottom w:val="0"/>
      <w:divBdr>
        <w:top w:val="none" w:sz="0" w:space="0" w:color="auto"/>
        <w:left w:val="none" w:sz="0" w:space="0" w:color="auto"/>
        <w:bottom w:val="none" w:sz="0" w:space="0" w:color="auto"/>
        <w:right w:val="none" w:sz="0" w:space="0" w:color="auto"/>
      </w:divBdr>
    </w:div>
    <w:div w:id="1244754584">
      <w:bodyDiv w:val="1"/>
      <w:marLeft w:val="0"/>
      <w:marRight w:val="0"/>
      <w:marTop w:val="0"/>
      <w:marBottom w:val="0"/>
      <w:divBdr>
        <w:top w:val="none" w:sz="0" w:space="0" w:color="auto"/>
        <w:left w:val="none" w:sz="0" w:space="0" w:color="auto"/>
        <w:bottom w:val="none" w:sz="0" w:space="0" w:color="auto"/>
        <w:right w:val="none" w:sz="0" w:space="0" w:color="auto"/>
      </w:divBdr>
    </w:div>
    <w:div w:id="1298682664">
      <w:bodyDiv w:val="1"/>
      <w:marLeft w:val="0"/>
      <w:marRight w:val="0"/>
      <w:marTop w:val="0"/>
      <w:marBottom w:val="0"/>
      <w:divBdr>
        <w:top w:val="none" w:sz="0" w:space="0" w:color="auto"/>
        <w:left w:val="none" w:sz="0" w:space="0" w:color="auto"/>
        <w:bottom w:val="none" w:sz="0" w:space="0" w:color="auto"/>
        <w:right w:val="none" w:sz="0" w:space="0" w:color="auto"/>
      </w:divBdr>
    </w:div>
    <w:div w:id="1492941770">
      <w:bodyDiv w:val="1"/>
      <w:marLeft w:val="0"/>
      <w:marRight w:val="0"/>
      <w:marTop w:val="0"/>
      <w:marBottom w:val="0"/>
      <w:divBdr>
        <w:top w:val="none" w:sz="0" w:space="0" w:color="auto"/>
        <w:left w:val="none" w:sz="0" w:space="0" w:color="auto"/>
        <w:bottom w:val="none" w:sz="0" w:space="0" w:color="auto"/>
        <w:right w:val="none" w:sz="0" w:space="0" w:color="auto"/>
      </w:divBdr>
    </w:div>
    <w:div w:id="1724059576">
      <w:bodyDiv w:val="1"/>
      <w:marLeft w:val="0"/>
      <w:marRight w:val="0"/>
      <w:marTop w:val="0"/>
      <w:marBottom w:val="0"/>
      <w:divBdr>
        <w:top w:val="none" w:sz="0" w:space="0" w:color="auto"/>
        <w:left w:val="none" w:sz="0" w:space="0" w:color="auto"/>
        <w:bottom w:val="none" w:sz="0" w:space="0" w:color="auto"/>
        <w:right w:val="none" w:sz="0" w:space="0" w:color="auto"/>
      </w:divBdr>
    </w:div>
    <w:div w:id="1999992157">
      <w:bodyDiv w:val="1"/>
      <w:marLeft w:val="0"/>
      <w:marRight w:val="0"/>
      <w:marTop w:val="0"/>
      <w:marBottom w:val="0"/>
      <w:divBdr>
        <w:top w:val="none" w:sz="0" w:space="0" w:color="auto"/>
        <w:left w:val="none" w:sz="0" w:space="0" w:color="auto"/>
        <w:bottom w:val="none" w:sz="0" w:space="0" w:color="auto"/>
        <w:right w:val="none" w:sz="0" w:space="0" w:color="auto"/>
      </w:divBdr>
    </w:div>
    <w:div w:id="20500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oe.oliker@igs.com" TargetMode="External" Id="rId13" /><Relationship Type="http://schemas.openxmlformats.org/officeDocument/2006/relationships/hyperlink" Target="mailto:egallon@porterwright.com" TargetMode="External" Id="rId18" /><Relationship Type="http://schemas.openxmlformats.org/officeDocument/2006/relationships/hyperlink" Target="mailto:Donadio@carpenterlipps.com" TargetMode="External" Id="rId26" /><Relationship Type="http://schemas.openxmlformats.org/officeDocument/2006/relationships/hyperlink" Target="mailto:whitt@whitt-sturtevant.com" TargetMode="External" Id="rId39" /><Relationship Type="http://schemas.openxmlformats.org/officeDocument/2006/relationships/hyperlink" Target="mailto:kyle.kern@ohioAGO.gov" TargetMode="External" Id="rId21" /><Relationship Type="http://schemas.openxmlformats.org/officeDocument/2006/relationships/hyperlink" Target="mailto:mleppla@theOEC.org" TargetMode="External" Id="rId34" /><Relationship Type="http://schemas.openxmlformats.org/officeDocument/2006/relationships/hyperlink" Target="mailto:dwilliamson@spilmanlaw.com" TargetMode="External" Id="rId42" /><Relationship Type="http://schemas.openxmlformats.org/officeDocument/2006/relationships/hyperlink" Target="mailto:dromig@armadapower.com" TargetMode="External" Id="rId47" /><Relationship Type="http://schemas.openxmlformats.org/officeDocument/2006/relationships/hyperlink" Target="mailto:rlazer@elpc.org" TargetMode="External" Id="rId50" /><Relationship Type="http://schemas.openxmlformats.org/officeDocument/2006/relationships/hyperlink" Target="mailto:mfleisher@dickinsonwright.com" TargetMode="External" Id="rId55" /><Relationship Type="http://schemas.openxmlformats.org/officeDocument/2006/relationships/hyperlink" Target="mailto:mwarnock@bricker.com" TargetMode="Externa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stnourse@aep.com" TargetMode="External" Id="rId16" /><Relationship Type="http://schemas.openxmlformats.org/officeDocument/2006/relationships/hyperlink" Target="mailto:lmckenna@keyesfox.co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mp" Id="rId11" /><Relationship Type="http://schemas.openxmlformats.org/officeDocument/2006/relationships/hyperlink" Target="mailto:kherrnstein@bricker.com" TargetMode="External" Id="rId24" /><Relationship Type="http://schemas.openxmlformats.org/officeDocument/2006/relationships/hyperlink" Target="mailto:bmckenney@mcneeslaw.com" TargetMode="External" Id="rId32" /><Relationship Type="http://schemas.openxmlformats.org/officeDocument/2006/relationships/hyperlink" Target="mailto:dparram@bricker.com" TargetMode="External" Id="rId37" /><Relationship Type="http://schemas.openxmlformats.org/officeDocument/2006/relationships/hyperlink" Target="mailto:fykes@whitt-sturtevant.com" TargetMode="External" Id="rId40" /><Relationship Type="http://schemas.openxmlformats.org/officeDocument/2006/relationships/hyperlink" Target="mailto:glpetrucci@vorys.com" TargetMode="External" Id="rId45" /><Relationship Type="http://schemas.openxmlformats.org/officeDocument/2006/relationships/hyperlink" Target="mailto:kboehm@BKLlawfirm.com" TargetMode="External" Id="rId53" /><Relationship Type="http://schemas.openxmlformats.org/officeDocument/2006/relationships/hyperlink" Target="mailto:christopher.healey@occ.ohio.gov"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yperlink" Target="mailto:fdarr2019@gmail.com" TargetMode="External" Id="rId15" /><Relationship Type="http://schemas.openxmlformats.org/officeDocument/2006/relationships/hyperlink" Target="mailto:dborchers@bricker.com" TargetMode="External" Id="rId23" /><Relationship Type="http://schemas.openxmlformats.org/officeDocument/2006/relationships/hyperlink" Target="mailto:azaloga@keyesfox.com" TargetMode="External" Id="rId28" /><Relationship Type="http://schemas.openxmlformats.org/officeDocument/2006/relationships/hyperlink" Target="mailto:ctavenor@theOEC.org" TargetMode="External" Id="rId36" /><Relationship Type="http://schemas.openxmlformats.org/officeDocument/2006/relationships/hyperlink" Target="mailto:rkelter@elpc.org" TargetMode="External" Id="rId49" /><Relationship Type="http://schemas.openxmlformats.org/officeDocument/2006/relationships/hyperlink" Target="mailto:angela.obrien@occ.ohio.gov" TargetMode="External" Id="rId57" /><Relationship Type="http://schemas.openxmlformats.org/officeDocument/2006/relationships/hyperlink" Target="mailto:hogan@litohio.com" TargetMode="External" Id="rId61" /><Relationship Type="http://schemas.openxmlformats.org/officeDocument/2006/relationships/endnotes" Target="endnotes.xml" Id="rId10" /><Relationship Type="http://schemas.openxmlformats.org/officeDocument/2006/relationships/hyperlink" Target="mailto:christopher.miller@icemiller.com" TargetMode="External" Id="rId19" /><Relationship Type="http://schemas.openxmlformats.org/officeDocument/2006/relationships/hyperlink" Target="mailto:rglover@mcneeslaw.com" TargetMode="External" Id="rId31" /><Relationship Type="http://schemas.openxmlformats.org/officeDocument/2006/relationships/hyperlink" Target="mailto:mjsettineri@vorys.com" TargetMode="External" Id="rId44" /><Relationship Type="http://schemas.openxmlformats.org/officeDocument/2006/relationships/hyperlink" Target="mailto:mkurtz@BKLlawfirm.com" TargetMode="External" Id="rId52" /><Relationship Type="http://schemas.openxmlformats.org/officeDocument/2006/relationships/hyperlink" Target="mailto:little@litohio.com" TargetMode="External" Id="rId60" /><Relationship Type="http://schemas.openxmlformats.org/officeDocument/2006/relationships/footer" Target="footer1.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van.betterton@igs.com" TargetMode="External" Id="rId14" /><Relationship Type="http://schemas.openxmlformats.org/officeDocument/2006/relationships/hyperlink" Target="mailto:thomas.shepherd@ohioAGO.gov" TargetMode="External" Id="rId22" /><Relationship Type="http://schemas.openxmlformats.org/officeDocument/2006/relationships/hyperlink" Target="mailto:jschlesinger@keyesfox.com" TargetMode="External" Id="rId27" /><Relationship Type="http://schemas.openxmlformats.org/officeDocument/2006/relationships/hyperlink" Target="mailto:mpritchard@mcneeslaw.com" TargetMode="External" Id="rId30" /><Relationship Type="http://schemas.openxmlformats.org/officeDocument/2006/relationships/hyperlink" Target="mailto:tdougherty@theOEC.org" TargetMode="External" Id="rId35" /><Relationship Type="http://schemas.openxmlformats.org/officeDocument/2006/relationships/hyperlink" Target="mailto:Stephen.Chriss@walmart.com" TargetMode="External" Id="rId43" /><Relationship Type="http://schemas.openxmlformats.org/officeDocument/2006/relationships/hyperlink" Target="mailto:ccox@elpc.org" TargetMode="External" Id="rId48" /><Relationship Type="http://schemas.openxmlformats.org/officeDocument/2006/relationships/hyperlink" Target="mailto:mmcdonnell@dickinsonwright.com" TargetMode="External" Id="rId56" /><Relationship Type="http://schemas.openxmlformats.org/officeDocument/2006/relationships/hyperlink" Target="mailto:ktreadway@oneenergyllc.com" TargetMode="External" Id="rId64" /><Relationship Type="http://schemas.openxmlformats.org/officeDocument/2006/relationships/webSettings" Target="webSettings.xml" Id="rId8" /><Relationship Type="http://schemas.openxmlformats.org/officeDocument/2006/relationships/hyperlink" Target="mailto:paul@carpenterlipps.com" TargetMode="External" Id="rId51" /><Relationship Type="http://schemas.openxmlformats.org/officeDocument/2006/relationships/customXml" Target="../customXml/item3.xml" Id="rId3" /><Relationship Type="http://schemas.openxmlformats.org/officeDocument/2006/relationships/hyperlink" Target="mailto:bethany.allen@igs.com" TargetMode="External" Id="rId12" /><Relationship Type="http://schemas.openxmlformats.org/officeDocument/2006/relationships/hyperlink" Target="mailto:cmblend@aep.com" TargetMode="External" Id="rId17" /><Relationship Type="http://schemas.openxmlformats.org/officeDocument/2006/relationships/hyperlink" Target="mailto:Bojko@carpenterlipps.com" TargetMode="External" Id="rId25" /><Relationship Type="http://schemas.openxmlformats.org/officeDocument/2006/relationships/hyperlink" Target="mailto:rdove@keglerbrown.com" TargetMode="External" Id="rId33" /><Relationship Type="http://schemas.openxmlformats.org/officeDocument/2006/relationships/hyperlink" Target="mailto:rmains@bricker.com" TargetMode="External" Id="rId38" /><Relationship Type="http://schemas.openxmlformats.org/officeDocument/2006/relationships/hyperlink" Target="mailto:eowoyt@vorys.com" TargetMode="External" Id="rId46" /><Relationship Type="http://schemas.openxmlformats.org/officeDocument/2006/relationships/hyperlink" Target="mailto:john.finnigan@occ.ohio.gov" TargetMode="External" Id="rId59" /><Relationship Type="http://schemas.openxmlformats.org/officeDocument/2006/relationships/theme" Target="theme/theme1.xml" Id="rId67" /><Relationship Type="http://schemas.microsoft.com/office/2019/09/relationships/intelligence" Target="intelligence.xml" Id="R1bf4ae6234a04e1e" /><Relationship Type="http://schemas.openxmlformats.org/officeDocument/2006/relationships/hyperlink" Target="mailto:werner.margard@ohioAGO.gov" TargetMode="External" Id="rId20" /><Relationship Type="http://schemas.openxmlformats.org/officeDocument/2006/relationships/hyperlink" Target="mailto:cgrundmann@spilmanlaw.com" TargetMode="External" Id="rId41" /><Relationship Type="http://schemas.openxmlformats.org/officeDocument/2006/relationships/hyperlink" Target="mailto:jkylercohn@BKLlawfirm.com" TargetMode="External" Id="rId54" /><Relationship Type="http://schemas.openxmlformats.org/officeDocument/2006/relationships/hyperlink" Target="mailto:dstinson@bricker.co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1A9FBEF018409B0D83935B8827B9" ma:contentTypeVersion="4" ma:contentTypeDescription="Create a new document." ma:contentTypeScope="" ma:versionID="037ccfa0a8e0b057bbfbc15149c1ba35">
  <xsd:schema xmlns:xsd="http://www.w3.org/2001/XMLSchema" xmlns:xs="http://www.w3.org/2001/XMLSchema" xmlns:p="http://schemas.microsoft.com/office/2006/metadata/properties" xmlns:ns2="333f93ed-9f52-4bcf-bbd3-157438c614ba" targetNamespace="http://schemas.microsoft.com/office/2006/metadata/properties" ma:root="true" ma:fieldsID="0856294e91b39217e95ad873d6392509" ns2:_="">
    <xsd:import namespace="333f93ed-9f52-4bcf-bbd3-157438c61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f93ed-9f52-4bcf-bbd3-157438c61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EE15-1DA8-4CAC-92C0-0631AAE1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f93ed-9f52-4bcf-bbd3-157438c6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B8BA8-BA99-4AAD-AC43-0582C0F443B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33f93ed-9f52-4bcf-bbd3-157438c614b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9663E8-330E-410A-85B7-5D3AC847338C}">
  <ds:schemaRefs>
    <ds:schemaRef ds:uri="http://schemas.microsoft.com/sharepoint/v3/contenttype/forms"/>
  </ds:schemaRefs>
</ds:datastoreItem>
</file>

<file path=customXml/itemProps4.xml><?xml version="1.0" encoding="utf-8"?>
<ds:datastoreItem xmlns:ds="http://schemas.openxmlformats.org/officeDocument/2006/customXml" ds:itemID="{1BE2DA70-EB37-47F6-B5D7-8FA0B3D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55</Pages>
  <Words>14966</Words>
  <Characters>85312</Characters>
  <Application>Microsoft Office Word</Application>
  <DocSecurity>0</DocSecurity>
  <Lines>710</Lines>
  <Paragraphs>200</Paragraphs>
  <ScaleCrop>false</ScaleCrop>
  <Company/>
  <LinksUpToDate>false</LinksUpToDate>
  <CharactersWithSpaces>100078</CharactersWithSpaces>
  <SharedDoc>false</SharedDoc>
  <HLinks>
    <vt:vector size="468" baseType="variant">
      <vt:variant>
        <vt:i4>5636219</vt:i4>
      </vt:variant>
      <vt:variant>
        <vt:i4>321</vt:i4>
      </vt:variant>
      <vt:variant>
        <vt:i4>0</vt:i4>
      </vt:variant>
      <vt:variant>
        <vt:i4>5</vt:i4>
      </vt:variant>
      <vt:variant>
        <vt:lpwstr>mailto:ktreadway@oneenergyllc.com</vt:lpwstr>
      </vt:variant>
      <vt:variant>
        <vt:lpwstr/>
      </vt:variant>
      <vt:variant>
        <vt:i4>1441850</vt:i4>
      </vt:variant>
      <vt:variant>
        <vt:i4>318</vt:i4>
      </vt:variant>
      <vt:variant>
        <vt:i4>0</vt:i4>
      </vt:variant>
      <vt:variant>
        <vt:i4>5</vt:i4>
      </vt:variant>
      <vt:variant>
        <vt:lpwstr>mailto:mwarnock@bricker.com</vt:lpwstr>
      </vt:variant>
      <vt:variant>
        <vt:lpwstr/>
      </vt:variant>
      <vt:variant>
        <vt:i4>393276</vt:i4>
      </vt:variant>
      <vt:variant>
        <vt:i4>315</vt:i4>
      </vt:variant>
      <vt:variant>
        <vt:i4>0</vt:i4>
      </vt:variant>
      <vt:variant>
        <vt:i4>5</vt:i4>
      </vt:variant>
      <vt:variant>
        <vt:lpwstr>mailto:dstinson@bricker.com</vt:lpwstr>
      </vt:variant>
      <vt:variant>
        <vt:lpwstr/>
      </vt:variant>
      <vt:variant>
        <vt:i4>1179690</vt:i4>
      </vt:variant>
      <vt:variant>
        <vt:i4>312</vt:i4>
      </vt:variant>
      <vt:variant>
        <vt:i4>0</vt:i4>
      </vt:variant>
      <vt:variant>
        <vt:i4>5</vt:i4>
      </vt:variant>
      <vt:variant>
        <vt:lpwstr>mailto:hogan@litohio.com</vt:lpwstr>
      </vt:variant>
      <vt:variant>
        <vt:lpwstr/>
      </vt:variant>
      <vt:variant>
        <vt:i4>7864398</vt:i4>
      </vt:variant>
      <vt:variant>
        <vt:i4>309</vt:i4>
      </vt:variant>
      <vt:variant>
        <vt:i4>0</vt:i4>
      </vt:variant>
      <vt:variant>
        <vt:i4>5</vt:i4>
      </vt:variant>
      <vt:variant>
        <vt:lpwstr>mailto:little@litohio.com</vt:lpwstr>
      </vt:variant>
      <vt:variant>
        <vt:lpwstr/>
      </vt:variant>
      <vt:variant>
        <vt:i4>720934</vt:i4>
      </vt:variant>
      <vt:variant>
        <vt:i4>306</vt:i4>
      </vt:variant>
      <vt:variant>
        <vt:i4>0</vt:i4>
      </vt:variant>
      <vt:variant>
        <vt:i4>5</vt:i4>
      </vt:variant>
      <vt:variant>
        <vt:lpwstr>mailto:john.finnigan@occ.ohio.gov</vt:lpwstr>
      </vt:variant>
      <vt:variant>
        <vt:lpwstr/>
      </vt:variant>
      <vt:variant>
        <vt:i4>131135</vt:i4>
      </vt:variant>
      <vt:variant>
        <vt:i4>303</vt:i4>
      </vt:variant>
      <vt:variant>
        <vt:i4>0</vt:i4>
      </vt:variant>
      <vt:variant>
        <vt:i4>5</vt:i4>
      </vt:variant>
      <vt:variant>
        <vt:lpwstr>mailto:christopher.healey@occ.ohio.gov</vt:lpwstr>
      </vt:variant>
      <vt:variant>
        <vt:lpwstr/>
      </vt:variant>
      <vt:variant>
        <vt:i4>524341</vt:i4>
      </vt:variant>
      <vt:variant>
        <vt:i4>300</vt:i4>
      </vt:variant>
      <vt:variant>
        <vt:i4>0</vt:i4>
      </vt:variant>
      <vt:variant>
        <vt:i4>5</vt:i4>
      </vt:variant>
      <vt:variant>
        <vt:lpwstr>mailto:angela.obrien@occ.ohio.gov</vt:lpwstr>
      </vt:variant>
      <vt:variant>
        <vt:lpwstr/>
      </vt:variant>
      <vt:variant>
        <vt:i4>7667797</vt:i4>
      </vt:variant>
      <vt:variant>
        <vt:i4>297</vt:i4>
      </vt:variant>
      <vt:variant>
        <vt:i4>0</vt:i4>
      </vt:variant>
      <vt:variant>
        <vt:i4>5</vt:i4>
      </vt:variant>
      <vt:variant>
        <vt:lpwstr>mailto:mmcdonnell@dickinsonwright.com</vt:lpwstr>
      </vt:variant>
      <vt:variant>
        <vt:lpwstr/>
      </vt:variant>
      <vt:variant>
        <vt:i4>786475</vt:i4>
      </vt:variant>
      <vt:variant>
        <vt:i4>294</vt:i4>
      </vt:variant>
      <vt:variant>
        <vt:i4>0</vt:i4>
      </vt:variant>
      <vt:variant>
        <vt:i4>5</vt:i4>
      </vt:variant>
      <vt:variant>
        <vt:lpwstr>mailto:mfleisher@dickinsonwright.com</vt:lpwstr>
      </vt:variant>
      <vt:variant>
        <vt:lpwstr/>
      </vt:variant>
      <vt:variant>
        <vt:i4>2424836</vt:i4>
      </vt:variant>
      <vt:variant>
        <vt:i4>291</vt:i4>
      </vt:variant>
      <vt:variant>
        <vt:i4>0</vt:i4>
      </vt:variant>
      <vt:variant>
        <vt:i4>5</vt:i4>
      </vt:variant>
      <vt:variant>
        <vt:lpwstr>mailto:jkylercohn@BKLlawfirm.com</vt:lpwstr>
      </vt:variant>
      <vt:variant>
        <vt:lpwstr/>
      </vt:variant>
      <vt:variant>
        <vt:i4>3407898</vt:i4>
      </vt:variant>
      <vt:variant>
        <vt:i4>288</vt:i4>
      </vt:variant>
      <vt:variant>
        <vt:i4>0</vt:i4>
      </vt:variant>
      <vt:variant>
        <vt:i4>5</vt:i4>
      </vt:variant>
      <vt:variant>
        <vt:lpwstr>mailto:kboehm@BKLlawfirm.com</vt:lpwstr>
      </vt:variant>
      <vt:variant>
        <vt:lpwstr/>
      </vt:variant>
      <vt:variant>
        <vt:i4>3407891</vt:i4>
      </vt:variant>
      <vt:variant>
        <vt:i4>285</vt:i4>
      </vt:variant>
      <vt:variant>
        <vt:i4>0</vt:i4>
      </vt:variant>
      <vt:variant>
        <vt:i4>5</vt:i4>
      </vt:variant>
      <vt:variant>
        <vt:lpwstr>mailto:mkurtz@BKLlawfirm.com</vt:lpwstr>
      </vt:variant>
      <vt:variant>
        <vt:lpwstr/>
      </vt:variant>
      <vt:variant>
        <vt:i4>6029421</vt:i4>
      </vt:variant>
      <vt:variant>
        <vt:i4>282</vt:i4>
      </vt:variant>
      <vt:variant>
        <vt:i4>0</vt:i4>
      </vt:variant>
      <vt:variant>
        <vt:i4>5</vt:i4>
      </vt:variant>
      <vt:variant>
        <vt:lpwstr>mailto:paul@carpenterlipps.com</vt:lpwstr>
      </vt:variant>
      <vt:variant>
        <vt:lpwstr/>
      </vt:variant>
      <vt:variant>
        <vt:i4>5439591</vt:i4>
      </vt:variant>
      <vt:variant>
        <vt:i4>279</vt:i4>
      </vt:variant>
      <vt:variant>
        <vt:i4>0</vt:i4>
      </vt:variant>
      <vt:variant>
        <vt:i4>5</vt:i4>
      </vt:variant>
      <vt:variant>
        <vt:lpwstr>mailto:rlazer@elpc.org</vt:lpwstr>
      </vt:variant>
      <vt:variant>
        <vt:lpwstr/>
      </vt:variant>
      <vt:variant>
        <vt:i4>3801096</vt:i4>
      </vt:variant>
      <vt:variant>
        <vt:i4>276</vt:i4>
      </vt:variant>
      <vt:variant>
        <vt:i4>0</vt:i4>
      </vt:variant>
      <vt:variant>
        <vt:i4>5</vt:i4>
      </vt:variant>
      <vt:variant>
        <vt:lpwstr>mailto:rkelter@elpc.org</vt:lpwstr>
      </vt:variant>
      <vt:variant>
        <vt:lpwstr/>
      </vt:variant>
      <vt:variant>
        <vt:i4>2687000</vt:i4>
      </vt:variant>
      <vt:variant>
        <vt:i4>273</vt:i4>
      </vt:variant>
      <vt:variant>
        <vt:i4>0</vt:i4>
      </vt:variant>
      <vt:variant>
        <vt:i4>5</vt:i4>
      </vt:variant>
      <vt:variant>
        <vt:lpwstr>mailto:ccox@elpc.org</vt:lpwstr>
      </vt:variant>
      <vt:variant>
        <vt:lpwstr/>
      </vt:variant>
      <vt:variant>
        <vt:i4>7929932</vt:i4>
      </vt:variant>
      <vt:variant>
        <vt:i4>270</vt:i4>
      </vt:variant>
      <vt:variant>
        <vt:i4>0</vt:i4>
      </vt:variant>
      <vt:variant>
        <vt:i4>5</vt:i4>
      </vt:variant>
      <vt:variant>
        <vt:lpwstr>mailto:dromig@armadapower.com</vt:lpwstr>
      </vt:variant>
      <vt:variant>
        <vt:lpwstr/>
      </vt:variant>
      <vt:variant>
        <vt:i4>1966122</vt:i4>
      </vt:variant>
      <vt:variant>
        <vt:i4>267</vt:i4>
      </vt:variant>
      <vt:variant>
        <vt:i4>0</vt:i4>
      </vt:variant>
      <vt:variant>
        <vt:i4>5</vt:i4>
      </vt:variant>
      <vt:variant>
        <vt:lpwstr>mailto:eowoyt@vorys.com</vt:lpwstr>
      </vt:variant>
      <vt:variant>
        <vt:lpwstr/>
      </vt:variant>
      <vt:variant>
        <vt:i4>47</vt:i4>
      </vt:variant>
      <vt:variant>
        <vt:i4>264</vt:i4>
      </vt:variant>
      <vt:variant>
        <vt:i4>0</vt:i4>
      </vt:variant>
      <vt:variant>
        <vt:i4>5</vt:i4>
      </vt:variant>
      <vt:variant>
        <vt:lpwstr>mailto:glpetrucci@vorys.com</vt:lpwstr>
      </vt:variant>
      <vt:variant>
        <vt:lpwstr/>
      </vt:variant>
      <vt:variant>
        <vt:i4>1310778</vt:i4>
      </vt:variant>
      <vt:variant>
        <vt:i4>261</vt:i4>
      </vt:variant>
      <vt:variant>
        <vt:i4>0</vt:i4>
      </vt:variant>
      <vt:variant>
        <vt:i4>5</vt:i4>
      </vt:variant>
      <vt:variant>
        <vt:lpwstr>mailto:mjsettineri@vorys.com</vt:lpwstr>
      </vt:variant>
      <vt:variant>
        <vt:lpwstr/>
      </vt:variant>
      <vt:variant>
        <vt:i4>7274522</vt:i4>
      </vt:variant>
      <vt:variant>
        <vt:i4>258</vt:i4>
      </vt:variant>
      <vt:variant>
        <vt:i4>0</vt:i4>
      </vt:variant>
      <vt:variant>
        <vt:i4>5</vt:i4>
      </vt:variant>
      <vt:variant>
        <vt:lpwstr>mailto:Stephen.Chriss@walmart.com</vt:lpwstr>
      </vt:variant>
      <vt:variant>
        <vt:lpwstr/>
      </vt:variant>
      <vt:variant>
        <vt:i4>4587647</vt:i4>
      </vt:variant>
      <vt:variant>
        <vt:i4>255</vt:i4>
      </vt:variant>
      <vt:variant>
        <vt:i4>0</vt:i4>
      </vt:variant>
      <vt:variant>
        <vt:i4>5</vt:i4>
      </vt:variant>
      <vt:variant>
        <vt:lpwstr>mailto:dwilliamson@spilmanlaw.com</vt:lpwstr>
      </vt:variant>
      <vt:variant>
        <vt:lpwstr/>
      </vt:variant>
      <vt:variant>
        <vt:i4>3538954</vt:i4>
      </vt:variant>
      <vt:variant>
        <vt:i4>252</vt:i4>
      </vt:variant>
      <vt:variant>
        <vt:i4>0</vt:i4>
      </vt:variant>
      <vt:variant>
        <vt:i4>5</vt:i4>
      </vt:variant>
      <vt:variant>
        <vt:lpwstr>mailto:cgrundmann@spilmanlaw.com</vt:lpwstr>
      </vt:variant>
      <vt:variant>
        <vt:lpwstr/>
      </vt:variant>
      <vt:variant>
        <vt:i4>6094898</vt:i4>
      </vt:variant>
      <vt:variant>
        <vt:i4>249</vt:i4>
      </vt:variant>
      <vt:variant>
        <vt:i4>0</vt:i4>
      </vt:variant>
      <vt:variant>
        <vt:i4>5</vt:i4>
      </vt:variant>
      <vt:variant>
        <vt:lpwstr>mailto:fykes@whitt-sturtevant.com</vt:lpwstr>
      </vt:variant>
      <vt:variant>
        <vt:lpwstr/>
      </vt:variant>
      <vt:variant>
        <vt:i4>4784178</vt:i4>
      </vt:variant>
      <vt:variant>
        <vt:i4>246</vt:i4>
      </vt:variant>
      <vt:variant>
        <vt:i4>0</vt:i4>
      </vt:variant>
      <vt:variant>
        <vt:i4>5</vt:i4>
      </vt:variant>
      <vt:variant>
        <vt:lpwstr>mailto:whitt@whitt-sturtevant.com</vt:lpwstr>
      </vt:variant>
      <vt:variant>
        <vt:lpwstr/>
      </vt:variant>
      <vt:variant>
        <vt:i4>6946892</vt:i4>
      </vt:variant>
      <vt:variant>
        <vt:i4>243</vt:i4>
      </vt:variant>
      <vt:variant>
        <vt:i4>0</vt:i4>
      </vt:variant>
      <vt:variant>
        <vt:i4>5</vt:i4>
      </vt:variant>
      <vt:variant>
        <vt:lpwstr>mailto:rmains@bricker.com</vt:lpwstr>
      </vt:variant>
      <vt:variant>
        <vt:lpwstr/>
      </vt:variant>
      <vt:variant>
        <vt:i4>6553692</vt:i4>
      </vt:variant>
      <vt:variant>
        <vt:i4>240</vt:i4>
      </vt:variant>
      <vt:variant>
        <vt:i4>0</vt:i4>
      </vt:variant>
      <vt:variant>
        <vt:i4>5</vt:i4>
      </vt:variant>
      <vt:variant>
        <vt:lpwstr>mailto:dparram@bricker.com</vt:lpwstr>
      </vt:variant>
      <vt:variant>
        <vt:lpwstr/>
      </vt:variant>
      <vt:variant>
        <vt:i4>4587644</vt:i4>
      </vt:variant>
      <vt:variant>
        <vt:i4>237</vt:i4>
      </vt:variant>
      <vt:variant>
        <vt:i4>0</vt:i4>
      </vt:variant>
      <vt:variant>
        <vt:i4>5</vt:i4>
      </vt:variant>
      <vt:variant>
        <vt:lpwstr>mailto:ctavenor@theOEC.org</vt:lpwstr>
      </vt:variant>
      <vt:variant>
        <vt:lpwstr/>
      </vt:variant>
      <vt:variant>
        <vt:i4>2293776</vt:i4>
      </vt:variant>
      <vt:variant>
        <vt:i4>234</vt:i4>
      </vt:variant>
      <vt:variant>
        <vt:i4>0</vt:i4>
      </vt:variant>
      <vt:variant>
        <vt:i4>5</vt:i4>
      </vt:variant>
      <vt:variant>
        <vt:lpwstr>mailto:tdougherty@theOEC.org</vt:lpwstr>
      </vt:variant>
      <vt:variant>
        <vt:lpwstr/>
      </vt:variant>
      <vt:variant>
        <vt:i4>5439601</vt:i4>
      </vt:variant>
      <vt:variant>
        <vt:i4>231</vt:i4>
      </vt:variant>
      <vt:variant>
        <vt:i4>0</vt:i4>
      </vt:variant>
      <vt:variant>
        <vt:i4>5</vt:i4>
      </vt:variant>
      <vt:variant>
        <vt:lpwstr>mailto:mleppla@theOEC.org</vt:lpwstr>
      </vt:variant>
      <vt:variant>
        <vt:lpwstr/>
      </vt:variant>
      <vt:variant>
        <vt:i4>1966119</vt:i4>
      </vt:variant>
      <vt:variant>
        <vt:i4>228</vt:i4>
      </vt:variant>
      <vt:variant>
        <vt:i4>0</vt:i4>
      </vt:variant>
      <vt:variant>
        <vt:i4>5</vt:i4>
      </vt:variant>
      <vt:variant>
        <vt:lpwstr>mailto:rdove@keglerbrown.com</vt:lpwstr>
      </vt:variant>
      <vt:variant>
        <vt:lpwstr/>
      </vt:variant>
      <vt:variant>
        <vt:i4>6422610</vt:i4>
      </vt:variant>
      <vt:variant>
        <vt:i4>225</vt:i4>
      </vt:variant>
      <vt:variant>
        <vt:i4>0</vt:i4>
      </vt:variant>
      <vt:variant>
        <vt:i4>5</vt:i4>
      </vt:variant>
      <vt:variant>
        <vt:lpwstr>mailto:bmckenney@mcneeslaw.com</vt:lpwstr>
      </vt:variant>
      <vt:variant>
        <vt:lpwstr/>
      </vt:variant>
      <vt:variant>
        <vt:i4>720946</vt:i4>
      </vt:variant>
      <vt:variant>
        <vt:i4>222</vt:i4>
      </vt:variant>
      <vt:variant>
        <vt:i4>0</vt:i4>
      </vt:variant>
      <vt:variant>
        <vt:i4>5</vt:i4>
      </vt:variant>
      <vt:variant>
        <vt:lpwstr>mailto:rglover@mcneeslaw.com</vt:lpwstr>
      </vt:variant>
      <vt:variant>
        <vt:lpwstr/>
      </vt:variant>
      <vt:variant>
        <vt:i4>393259</vt:i4>
      </vt:variant>
      <vt:variant>
        <vt:i4>219</vt:i4>
      </vt:variant>
      <vt:variant>
        <vt:i4>0</vt:i4>
      </vt:variant>
      <vt:variant>
        <vt:i4>5</vt:i4>
      </vt:variant>
      <vt:variant>
        <vt:lpwstr>mailto:mpritchard@mcneeslaw.com</vt:lpwstr>
      </vt:variant>
      <vt:variant>
        <vt:lpwstr/>
      </vt:variant>
      <vt:variant>
        <vt:i4>3538956</vt:i4>
      </vt:variant>
      <vt:variant>
        <vt:i4>216</vt:i4>
      </vt:variant>
      <vt:variant>
        <vt:i4>0</vt:i4>
      </vt:variant>
      <vt:variant>
        <vt:i4>5</vt:i4>
      </vt:variant>
      <vt:variant>
        <vt:lpwstr>mailto:lmckenna@keyesfox.com</vt:lpwstr>
      </vt:variant>
      <vt:variant>
        <vt:lpwstr/>
      </vt:variant>
      <vt:variant>
        <vt:i4>2293766</vt:i4>
      </vt:variant>
      <vt:variant>
        <vt:i4>213</vt:i4>
      </vt:variant>
      <vt:variant>
        <vt:i4>0</vt:i4>
      </vt:variant>
      <vt:variant>
        <vt:i4>5</vt:i4>
      </vt:variant>
      <vt:variant>
        <vt:lpwstr>mailto:azaloga@keyesfox.com</vt:lpwstr>
      </vt:variant>
      <vt:variant>
        <vt:lpwstr/>
      </vt:variant>
      <vt:variant>
        <vt:i4>3080199</vt:i4>
      </vt:variant>
      <vt:variant>
        <vt:i4>210</vt:i4>
      </vt:variant>
      <vt:variant>
        <vt:i4>0</vt:i4>
      </vt:variant>
      <vt:variant>
        <vt:i4>5</vt:i4>
      </vt:variant>
      <vt:variant>
        <vt:lpwstr>mailto:jschlesinger@keyesfox.com</vt:lpwstr>
      </vt:variant>
      <vt:variant>
        <vt:lpwstr/>
      </vt:variant>
      <vt:variant>
        <vt:i4>4784251</vt:i4>
      </vt:variant>
      <vt:variant>
        <vt:i4>207</vt:i4>
      </vt:variant>
      <vt:variant>
        <vt:i4>0</vt:i4>
      </vt:variant>
      <vt:variant>
        <vt:i4>5</vt:i4>
      </vt:variant>
      <vt:variant>
        <vt:lpwstr>mailto:Donadio@carpenterlipps.com</vt:lpwstr>
      </vt:variant>
      <vt:variant>
        <vt:lpwstr/>
      </vt:variant>
      <vt:variant>
        <vt:i4>3080216</vt:i4>
      </vt:variant>
      <vt:variant>
        <vt:i4>204</vt:i4>
      </vt:variant>
      <vt:variant>
        <vt:i4>0</vt:i4>
      </vt:variant>
      <vt:variant>
        <vt:i4>5</vt:i4>
      </vt:variant>
      <vt:variant>
        <vt:lpwstr>mailto:Bojko@carpenterlipps.com</vt:lpwstr>
      </vt:variant>
      <vt:variant>
        <vt:lpwstr/>
      </vt:variant>
      <vt:variant>
        <vt:i4>7995478</vt:i4>
      </vt:variant>
      <vt:variant>
        <vt:i4>201</vt:i4>
      </vt:variant>
      <vt:variant>
        <vt:i4>0</vt:i4>
      </vt:variant>
      <vt:variant>
        <vt:i4>5</vt:i4>
      </vt:variant>
      <vt:variant>
        <vt:lpwstr>mailto:kherrnstein@bricker.com</vt:lpwstr>
      </vt:variant>
      <vt:variant>
        <vt:lpwstr/>
      </vt:variant>
      <vt:variant>
        <vt:i4>53</vt:i4>
      </vt:variant>
      <vt:variant>
        <vt:i4>198</vt:i4>
      </vt:variant>
      <vt:variant>
        <vt:i4>0</vt:i4>
      </vt:variant>
      <vt:variant>
        <vt:i4>5</vt:i4>
      </vt:variant>
      <vt:variant>
        <vt:lpwstr>mailto:dborchers@bricker.com</vt:lpwstr>
      </vt:variant>
      <vt:variant>
        <vt:lpwstr/>
      </vt:variant>
      <vt:variant>
        <vt:i4>3539025</vt:i4>
      </vt:variant>
      <vt:variant>
        <vt:i4>195</vt:i4>
      </vt:variant>
      <vt:variant>
        <vt:i4>0</vt:i4>
      </vt:variant>
      <vt:variant>
        <vt:i4>5</vt:i4>
      </vt:variant>
      <vt:variant>
        <vt:lpwstr>mailto:thomas.shepherd@ohioAGO.gov</vt:lpwstr>
      </vt:variant>
      <vt:variant>
        <vt:lpwstr/>
      </vt:variant>
      <vt:variant>
        <vt:i4>5832750</vt:i4>
      </vt:variant>
      <vt:variant>
        <vt:i4>192</vt:i4>
      </vt:variant>
      <vt:variant>
        <vt:i4>0</vt:i4>
      </vt:variant>
      <vt:variant>
        <vt:i4>5</vt:i4>
      </vt:variant>
      <vt:variant>
        <vt:lpwstr>mailto:kyle.kern@ohioAGO.gov</vt:lpwstr>
      </vt:variant>
      <vt:variant>
        <vt:lpwstr/>
      </vt:variant>
      <vt:variant>
        <vt:i4>3735622</vt:i4>
      </vt:variant>
      <vt:variant>
        <vt:i4>189</vt:i4>
      </vt:variant>
      <vt:variant>
        <vt:i4>0</vt:i4>
      </vt:variant>
      <vt:variant>
        <vt:i4>5</vt:i4>
      </vt:variant>
      <vt:variant>
        <vt:lpwstr>mailto:werner.margard@ohioAGO.gov</vt:lpwstr>
      </vt:variant>
      <vt:variant>
        <vt:lpwstr/>
      </vt:variant>
      <vt:variant>
        <vt:i4>1507435</vt:i4>
      </vt:variant>
      <vt:variant>
        <vt:i4>186</vt:i4>
      </vt:variant>
      <vt:variant>
        <vt:i4>0</vt:i4>
      </vt:variant>
      <vt:variant>
        <vt:i4>5</vt:i4>
      </vt:variant>
      <vt:variant>
        <vt:lpwstr>mailto:christopher.miller@icemiller.com</vt:lpwstr>
      </vt:variant>
      <vt:variant>
        <vt:lpwstr/>
      </vt:variant>
      <vt:variant>
        <vt:i4>3407877</vt:i4>
      </vt:variant>
      <vt:variant>
        <vt:i4>183</vt:i4>
      </vt:variant>
      <vt:variant>
        <vt:i4>0</vt:i4>
      </vt:variant>
      <vt:variant>
        <vt:i4>5</vt:i4>
      </vt:variant>
      <vt:variant>
        <vt:lpwstr>mailto:egallon@porterwright.com</vt:lpwstr>
      </vt:variant>
      <vt:variant>
        <vt:lpwstr/>
      </vt:variant>
      <vt:variant>
        <vt:i4>8192065</vt:i4>
      </vt:variant>
      <vt:variant>
        <vt:i4>180</vt:i4>
      </vt:variant>
      <vt:variant>
        <vt:i4>0</vt:i4>
      </vt:variant>
      <vt:variant>
        <vt:i4>5</vt:i4>
      </vt:variant>
      <vt:variant>
        <vt:lpwstr>mailto:cmblend@aep.com</vt:lpwstr>
      </vt:variant>
      <vt:variant>
        <vt:lpwstr/>
      </vt:variant>
      <vt:variant>
        <vt:i4>1900596</vt:i4>
      </vt:variant>
      <vt:variant>
        <vt:i4>177</vt:i4>
      </vt:variant>
      <vt:variant>
        <vt:i4>0</vt:i4>
      </vt:variant>
      <vt:variant>
        <vt:i4>5</vt:i4>
      </vt:variant>
      <vt:variant>
        <vt:lpwstr>mailto:stnourse@aep.com</vt:lpwstr>
      </vt:variant>
      <vt:variant>
        <vt:lpwstr/>
      </vt:variant>
      <vt:variant>
        <vt:i4>1179706</vt:i4>
      </vt:variant>
      <vt:variant>
        <vt:i4>170</vt:i4>
      </vt:variant>
      <vt:variant>
        <vt:i4>0</vt:i4>
      </vt:variant>
      <vt:variant>
        <vt:i4>5</vt:i4>
      </vt:variant>
      <vt:variant>
        <vt:lpwstr/>
      </vt:variant>
      <vt:variant>
        <vt:lpwstr>_Toc74479402</vt:lpwstr>
      </vt:variant>
      <vt:variant>
        <vt:i4>1114170</vt:i4>
      </vt:variant>
      <vt:variant>
        <vt:i4>164</vt:i4>
      </vt:variant>
      <vt:variant>
        <vt:i4>0</vt:i4>
      </vt:variant>
      <vt:variant>
        <vt:i4>5</vt:i4>
      </vt:variant>
      <vt:variant>
        <vt:lpwstr/>
      </vt:variant>
      <vt:variant>
        <vt:lpwstr>_Toc74479401</vt:lpwstr>
      </vt:variant>
      <vt:variant>
        <vt:i4>1048634</vt:i4>
      </vt:variant>
      <vt:variant>
        <vt:i4>158</vt:i4>
      </vt:variant>
      <vt:variant>
        <vt:i4>0</vt:i4>
      </vt:variant>
      <vt:variant>
        <vt:i4>5</vt:i4>
      </vt:variant>
      <vt:variant>
        <vt:lpwstr/>
      </vt:variant>
      <vt:variant>
        <vt:lpwstr>_Toc74479400</vt:lpwstr>
      </vt:variant>
      <vt:variant>
        <vt:i4>1966131</vt:i4>
      </vt:variant>
      <vt:variant>
        <vt:i4>152</vt:i4>
      </vt:variant>
      <vt:variant>
        <vt:i4>0</vt:i4>
      </vt:variant>
      <vt:variant>
        <vt:i4>5</vt:i4>
      </vt:variant>
      <vt:variant>
        <vt:lpwstr/>
      </vt:variant>
      <vt:variant>
        <vt:lpwstr>_Toc74479399</vt:lpwstr>
      </vt:variant>
      <vt:variant>
        <vt:i4>2031667</vt:i4>
      </vt:variant>
      <vt:variant>
        <vt:i4>146</vt:i4>
      </vt:variant>
      <vt:variant>
        <vt:i4>0</vt:i4>
      </vt:variant>
      <vt:variant>
        <vt:i4>5</vt:i4>
      </vt:variant>
      <vt:variant>
        <vt:lpwstr/>
      </vt:variant>
      <vt:variant>
        <vt:lpwstr>_Toc74479398</vt:lpwstr>
      </vt:variant>
      <vt:variant>
        <vt:i4>1048627</vt:i4>
      </vt:variant>
      <vt:variant>
        <vt:i4>140</vt:i4>
      </vt:variant>
      <vt:variant>
        <vt:i4>0</vt:i4>
      </vt:variant>
      <vt:variant>
        <vt:i4>5</vt:i4>
      </vt:variant>
      <vt:variant>
        <vt:lpwstr/>
      </vt:variant>
      <vt:variant>
        <vt:lpwstr>_Toc74479397</vt:lpwstr>
      </vt:variant>
      <vt:variant>
        <vt:i4>1114163</vt:i4>
      </vt:variant>
      <vt:variant>
        <vt:i4>134</vt:i4>
      </vt:variant>
      <vt:variant>
        <vt:i4>0</vt:i4>
      </vt:variant>
      <vt:variant>
        <vt:i4>5</vt:i4>
      </vt:variant>
      <vt:variant>
        <vt:lpwstr/>
      </vt:variant>
      <vt:variant>
        <vt:lpwstr>_Toc74479396</vt:lpwstr>
      </vt:variant>
      <vt:variant>
        <vt:i4>1179699</vt:i4>
      </vt:variant>
      <vt:variant>
        <vt:i4>128</vt:i4>
      </vt:variant>
      <vt:variant>
        <vt:i4>0</vt:i4>
      </vt:variant>
      <vt:variant>
        <vt:i4>5</vt:i4>
      </vt:variant>
      <vt:variant>
        <vt:lpwstr/>
      </vt:variant>
      <vt:variant>
        <vt:lpwstr>_Toc74479395</vt:lpwstr>
      </vt:variant>
      <vt:variant>
        <vt:i4>1245235</vt:i4>
      </vt:variant>
      <vt:variant>
        <vt:i4>122</vt:i4>
      </vt:variant>
      <vt:variant>
        <vt:i4>0</vt:i4>
      </vt:variant>
      <vt:variant>
        <vt:i4>5</vt:i4>
      </vt:variant>
      <vt:variant>
        <vt:lpwstr/>
      </vt:variant>
      <vt:variant>
        <vt:lpwstr>_Toc74479394</vt:lpwstr>
      </vt:variant>
      <vt:variant>
        <vt:i4>1310771</vt:i4>
      </vt:variant>
      <vt:variant>
        <vt:i4>116</vt:i4>
      </vt:variant>
      <vt:variant>
        <vt:i4>0</vt:i4>
      </vt:variant>
      <vt:variant>
        <vt:i4>5</vt:i4>
      </vt:variant>
      <vt:variant>
        <vt:lpwstr/>
      </vt:variant>
      <vt:variant>
        <vt:lpwstr>_Toc74479393</vt:lpwstr>
      </vt:variant>
      <vt:variant>
        <vt:i4>1376307</vt:i4>
      </vt:variant>
      <vt:variant>
        <vt:i4>110</vt:i4>
      </vt:variant>
      <vt:variant>
        <vt:i4>0</vt:i4>
      </vt:variant>
      <vt:variant>
        <vt:i4>5</vt:i4>
      </vt:variant>
      <vt:variant>
        <vt:lpwstr/>
      </vt:variant>
      <vt:variant>
        <vt:lpwstr>_Toc74479392</vt:lpwstr>
      </vt:variant>
      <vt:variant>
        <vt:i4>1441843</vt:i4>
      </vt:variant>
      <vt:variant>
        <vt:i4>104</vt:i4>
      </vt:variant>
      <vt:variant>
        <vt:i4>0</vt:i4>
      </vt:variant>
      <vt:variant>
        <vt:i4>5</vt:i4>
      </vt:variant>
      <vt:variant>
        <vt:lpwstr/>
      </vt:variant>
      <vt:variant>
        <vt:lpwstr>_Toc74479391</vt:lpwstr>
      </vt:variant>
      <vt:variant>
        <vt:i4>1507379</vt:i4>
      </vt:variant>
      <vt:variant>
        <vt:i4>98</vt:i4>
      </vt:variant>
      <vt:variant>
        <vt:i4>0</vt:i4>
      </vt:variant>
      <vt:variant>
        <vt:i4>5</vt:i4>
      </vt:variant>
      <vt:variant>
        <vt:lpwstr/>
      </vt:variant>
      <vt:variant>
        <vt:lpwstr>_Toc74479390</vt:lpwstr>
      </vt:variant>
      <vt:variant>
        <vt:i4>1966130</vt:i4>
      </vt:variant>
      <vt:variant>
        <vt:i4>92</vt:i4>
      </vt:variant>
      <vt:variant>
        <vt:i4>0</vt:i4>
      </vt:variant>
      <vt:variant>
        <vt:i4>5</vt:i4>
      </vt:variant>
      <vt:variant>
        <vt:lpwstr/>
      </vt:variant>
      <vt:variant>
        <vt:lpwstr>_Toc74479389</vt:lpwstr>
      </vt:variant>
      <vt:variant>
        <vt:i4>2031666</vt:i4>
      </vt:variant>
      <vt:variant>
        <vt:i4>86</vt:i4>
      </vt:variant>
      <vt:variant>
        <vt:i4>0</vt:i4>
      </vt:variant>
      <vt:variant>
        <vt:i4>5</vt:i4>
      </vt:variant>
      <vt:variant>
        <vt:lpwstr/>
      </vt:variant>
      <vt:variant>
        <vt:lpwstr>_Toc74479388</vt:lpwstr>
      </vt:variant>
      <vt:variant>
        <vt:i4>1048626</vt:i4>
      </vt:variant>
      <vt:variant>
        <vt:i4>80</vt:i4>
      </vt:variant>
      <vt:variant>
        <vt:i4>0</vt:i4>
      </vt:variant>
      <vt:variant>
        <vt:i4>5</vt:i4>
      </vt:variant>
      <vt:variant>
        <vt:lpwstr/>
      </vt:variant>
      <vt:variant>
        <vt:lpwstr>_Toc74479387</vt:lpwstr>
      </vt:variant>
      <vt:variant>
        <vt:i4>1114162</vt:i4>
      </vt:variant>
      <vt:variant>
        <vt:i4>74</vt:i4>
      </vt:variant>
      <vt:variant>
        <vt:i4>0</vt:i4>
      </vt:variant>
      <vt:variant>
        <vt:i4>5</vt:i4>
      </vt:variant>
      <vt:variant>
        <vt:lpwstr/>
      </vt:variant>
      <vt:variant>
        <vt:lpwstr>_Toc74479386</vt:lpwstr>
      </vt:variant>
      <vt:variant>
        <vt:i4>1179698</vt:i4>
      </vt:variant>
      <vt:variant>
        <vt:i4>68</vt:i4>
      </vt:variant>
      <vt:variant>
        <vt:i4>0</vt:i4>
      </vt:variant>
      <vt:variant>
        <vt:i4>5</vt:i4>
      </vt:variant>
      <vt:variant>
        <vt:lpwstr/>
      </vt:variant>
      <vt:variant>
        <vt:lpwstr>_Toc74479385</vt:lpwstr>
      </vt:variant>
      <vt:variant>
        <vt:i4>1245234</vt:i4>
      </vt:variant>
      <vt:variant>
        <vt:i4>62</vt:i4>
      </vt:variant>
      <vt:variant>
        <vt:i4>0</vt:i4>
      </vt:variant>
      <vt:variant>
        <vt:i4>5</vt:i4>
      </vt:variant>
      <vt:variant>
        <vt:lpwstr/>
      </vt:variant>
      <vt:variant>
        <vt:lpwstr>_Toc74479384</vt:lpwstr>
      </vt:variant>
      <vt:variant>
        <vt:i4>1310770</vt:i4>
      </vt:variant>
      <vt:variant>
        <vt:i4>56</vt:i4>
      </vt:variant>
      <vt:variant>
        <vt:i4>0</vt:i4>
      </vt:variant>
      <vt:variant>
        <vt:i4>5</vt:i4>
      </vt:variant>
      <vt:variant>
        <vt:lpwstr/>
      </vt:variant>
      <vt:variant>
        <vt:lpwstr>_Toc74479383</vt:lpwstr>
      </vt:variant>
      <vt:variant>
        <vt:i4>1376306</vt:i4>
      </vt:variant>
      <vt:variant>
        <vt:i4>50</vt:i4>
      </vt:variant>
      <vt:variant>
        <vt:i4>0</vt:i4>
      </vt:variant>
      <vt:variant>
        <vt:i4>5</vt:i4>
      </vt:variant>
      <vt:variant>
        <vt:lpwstr/>
      </vt:variant>
      <vt:variant>
        <vt:lpwstr>_Toc74479382</vt:lpwstr>
      </vt:variant>
      <vt:variant>
        <vt:i4>1441842</vt:i4>
      </vt:variant>
      <vt:variant>
        <vt:i4>44</vt:i4>
      </vt:variant>
      <vt:variant>
        <vt:i4>0</vt:i4>
      </vt:variant>
      <vt:variant>
        <vt:i4>5</vt:i4>
      </vt:variant>
      <vt:variant>
        <vt:lpwstr/>
      </vt:variant>
      <vt:variant>
        <vt:lpwstr>_Toc74479381</vt:lpwstr>
      </vt:variant>
      <vt:variant>
        <vt:i4>1507378</vt:i4>
      </vt:variant>
      <vt:variant>
        <vt:i4>38</vt:i4>
      </vt:variant>
      <vt:variant>
        <vt:i4>0</vt:i4>
      </vt:variant>
      <vt:variant>
        <vt:i4>5</vt:i4>
      </vt:variant>
      <vt:variant>
        <vt:lpwstr/>
      </vt:variant>
      <vt:variant>
        <vt:lpwstr>_Toc74479380</vt:lpwstr>
      </vt:variant>
      <vt:variant>
        <vt:i4>1966141</vt:i4>
      </vt:variant>
      <vt:variant>
        <vt:i4>32</vt:i4>
      </vt:variant>
      <vt:variant>
        <vt:i4>0</vt:i4>
      </vt:variant>
      <vt:variant>
        <vt:i4>5</vt:i4>
      </vt:variant>
      <vt:variant>
        <vt:lpwstr/>
      </vt:variant>
      <vt:variant>
        <vt:lpwstr>_Toc74479379</vt:lpwstr>
      </vt:variant>
      <vt:variant>
        <vt:i4>2031677</vt:i4>
      </vt:variant>
      <vt:variant>
        <vt:i4>26</vt:i4>
      </vt:variant>
      <vt:variant>
        <vt:i4>0</vt:i4>
      </vt:variant>
      <vt:variant>
        <vt:i4>5</vt:i4>
      </vt:variant>
      <vt:variant>
        <vt:lpwstr/>
      </vt:variant>
      <vt:variant>
        <vt:lpwstr>_Toc74479378</vt:lpwstr>
      </vt:variant>
      <vt:variant>
        <vt:i4>1048637</vt:i4>
      </vt:variant>
      <vt:variant>
        <vt:i4>20</vt:i4>
      </vt:variant>
      <vt:variant>
        <vt:i4>0</vt:i4>
      </vt:variant>
      <vt:variant>
        <vt:i4>5</vt:i4>
      </vt:variant>
      <vt:variant>
        <vt:lpwstr/>
      </vt:variant>
      <vt:variant>
        <vt:lpwstr>_Toc74479377</vt:lpwstr>
      </vt:variant>
      <vt:variant>
        <vt:i4>1114173</vt:i4>
      </vt:variant>
      <vt:variant>
        <vt:i4>14</vt:i4>
      </vt:variant>
      <vt:variant>
        <vt:i4>0</vt:i4>
      </vt:variant>
      <vt:variant>
        <vt:i4>5</vt:i4>
      </vt:variant>
      <vt:variant>
        <vt:lpwstr/>
      </vt:variant>
      <vt:variant>
        <vt:lpwstr>_Toc74479376</vt:lpwstr>
      </vt:variant>
      <vt:variant>
        <vt:i4>1179709</vt:i4>
      </vt:variant>
      <vt:variant>
        <vt:i4>8</vt:i4>
      </vt:variant>
      <vt:variant>
        <vt:i4>0</vt:i4>
      </vt:variant>
      <vt:variant>
        <vt:i4>5</vt:i4>
      </vt:variant>
      <vt:variant>
        <vt:lpwstr/>
      </vt:variant>
      <vt:variant>
        <vt:lpwstr>_Toc74479375</vt:lpwstr>
      </vt:variant>
      <vt:variant>
        <vt:i4>1245245</vt:i4>
      </vt:variant>
      <vt:variant>
        <vt:i4>2</vt:i4>
      </vt:variant>
      <vt:variant>
        <vt:i4>0</vt:i4>
      </vt:variant>
      <vt:variant>
        <vt:i4>5</vt:i4>
      </vt:variant>
      <vt:variant>
        <vt:lpwstr/>
      </vt:variant>
      <vt:variant>
        <vt:lpwstr>_Toc74479374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Darr</dc:creator>
  <cp:keywords/>
  <dc:description/>
  <cp:lastModifiedBy>Joe Oliker</cp:lastModifiedBy>
  <cp:revision>313</cp:revision>
  <dcterms:created xsi:type="dcterms:W3CDTF">2021-05-29T09:31:00Z</dcterms:created>
  <dcterms:modified xsi:type="dcterms:W3CDTF">2021-06-14T18:43:00Z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0x01010035D31A9FBEF018409B0D83935B8827B9</vt:lpwstr>
  </property>
</Properties>
</file>