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3D" w:rsidRPr="00FA383D" w:rsidRDefault="00FA383D" w:rsidP="00FA383D">
      <w:pPr>
        <w:jc w:val="center"/>
        <w:rPr>
          <w:rFonts w:eastAsia="Calibri" w:cs="Arial"/>
          <w:b/>
          <w:smallCaps/>
          <w:sz w:val="32"/>
          <w:szCs w:val="32"/>
        </w:rPr>
      </w:pPr>
      <w:bookmarkStart w:id="0" w:name="_GoBack"/>
      <w:bookmarkEnd w:id="0"/>
      <w:r w:rsidRPr="00FA383D">
        <w:rPr>
          <w:rFonts w:eastAsia="Calibri" w:cs="Arial"/>
          <w:b/>
          <w:smallCaps/>
          <w:sz w:val="32"/>
          <w:szCs w:val="32"/>
        </w:rPr>
        <w:t>Before</w:t>
      </w:r>
    </w:p>
    <w:p w:rsidR="00FA383D" w:rsidRPr="00FA383D" w:rsidRDefault="00FA383D" w:rsidP="00FA383D">
      <w:pPr>
        <w:jc w:val="center"/>
        <w:rPr>
          <w:rFonts w:eastAsia="Calibri" w:cs="Arial"/>
          <w:b/>
          <w:smallCaps/>
          <w:sz w:val="32"/>
          <w:szCs w:val="32"/>
        </w:rPr>
      </w:pPr>
      <w:r w:rsidRPr="00FA383D">
        <w:rPr>
          <w:rFonts w:eastAsia="Calibri" w:cs="Arial"/>
          <w:b/>
          <w:smallCaps/>
          <w:sz w:val="32"/>
          <w:szCs w:val="32"/>
        </w:rPr>
        <w:t>The Public Utilities Commission Of Ohio</w:t>
      </w:r>
    </w:p>
    <w:p w:rsidR="00FA383D" w:rsidRPr="00FA383D" w:rsidRDefault="00FA383D" w:rsidP="00FA383D">
      <w:pPr>
        <w:jc w:val="both"/>
        <w:rPr>
          <w:rFonts w:eastAsia="Calibri" w:cs="Times New Roman"/>
          <w:b/>
          <w:szCs w:val="22"/>
        </w:rPr>
      </w:pPr>
    </w:p>
    <w:p w:rsidR="00FA383D" w:rsidRPr="00FA383D" w:rsidRDefault="00FA383D" w:rsidP="00FA383D">
      <w:pPr>
        <w:jc w:val="both"/>
        <w:rPr>
          <w:rFonts w:eastAsia="Calibri" w:cs="Times New Roman"/>
          <w:b/>
          <w:szCs w:val="22"/>
        </w:rPr>
      </w:pPr>
    </w:p>
    <w:p w:rsidR="00FA383D" w:rsidRPr="00FA383D" w:rsidRDefault="00FA383D" w:rsidP="00FA383D">
      <w:pPr>
        <w:jc w:val="both"/>
        <w:rPr>
          <w:rFonts w:eastAsia="Calibri" w:cs="Arial"/>
          <w:szCs w:val="22"/>
        </w:rPr>
      </w:pPr>
      <w:r w:rsidRPr="00FA383D">
        <w:rPr>
          <w:rFonts w:eastAsia="Calibri" w:cs="Arial"/>
          <w:szCs w:val="22"/>
        </w:rPr>
        <w:t>In the Matter of the Application of</w:t>
      </w:r>
      <w:r w:rsidRPr="00FA383D">
        <w:rPr>
          <w:rFonts w:eastAsia="Calibri" w:cs="Arial"/>
          <w:szCs w:val="22"/>
        </w:rPr>
        <w:tab/>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Arial"/>
          <w:szCs w:val="22"/>
        </w:rPr>
      </w:pPr>
      <w:r w:rsidRPr="00FA383D">
        <w:rPr>
          <w:rFonts w:eastAsia="Calibri" w:cs="Arial"/>
          <w:szCs w:val="22"/>
        </w:rPr>
        <w:t>Ohio Power Company for Authority to</w:t>
      </w:r>
      <w:r w:rsidRPr="00FA383D">
        <w:rPr>
          <w:rFonts w:eastAsia="Calibri" w:cs="Arial"/>
          <w:szCs w:val="22"/>
        </w:rPr>
        <w:tab/>
      </w:r>
      <w:r w:rsidRPr="00FA383D">
        <w:rPr>
          <w:rFonts w:eastAsia="Calibri" w:cs="Arial"/>
          <w:szCs w:val="22"/>
        </w:rPr>
        <w:tab/>
        <w:t>)</w:t>
      </w:r>
      <w:r w:rsidRPr="00FA383D">
        <w:rPr>
          <w:rFonts w:eastAsia="Calibri" w:cs="Arial"/>
          <w:szCs w:val="22"/>
        </w:rPr>
        <w:tab/>
        <w:t>Case No. 13-2385-EL-SSO</w:t>
      </w:r>
    </w:p>
    <w:p w:rsidR="00FA383D" w:rsidRPr="00FA383D" w:rsidRDefault="00FA383D" w:rsidP="00FA383D">
      <w:pPr>
        <w:jc w:val="both"/>
        <w:rPr>
          <w:rFonts w:eastAsia="Calibri" w:cs="Arial"/>
          <w:szCs w:val="22"/>
        </w:rPr>
      </w:pPr>
      <w:r w:rsidRPr="00FA383D">
        <w:rPr>
          <w:rFonts w:eastAsia="Calibri" w:cs="Arial"/>
          <w:szCs w:val="22"/>
        </w:rPr>
        <w:t>Establish a Standard Service Offer</w:t>
      </w:r>
      <w:r w:rsidRPr="00FA383D">
        <w:rPr>
          <w:rFonts w:eastAsia="Calibri" w:cs="Arial"/>
          <w:szCs w:val="22"/>
        </w:rPr>
        <w:tab/>
      </w:r>
      <w:r w:rsidRPr="00FA383D">
        <w:rPr>
          <w:rFonts w:eastAsia="Calibri" w:cs="Arial"/>
          <w:szCs w:val="22"/>
        </w:rPr>
        <w:tab/>
        <w:t>)</w:t>
      </w:r>
      <w:r w:rsidRPr="00FA383D">
        <w:rPr>
          <w:rFonts w:eastAsia="Calibri" w:cs="Arial"/>
          <w:szCs w:val="22"/>
        </w:rPr>
        <w:tab/>
      </w:r>
    </w:p>
    <w:p w:rsidR="00FA383D" w:rsidRPr="00FA383D" w:rsidRDefault="00FA383D" w:rsidP="00FA383D">
      <w:pPr>
        <w:jc w:val="both"/>
        <w:rPr>
          <w:rFonts w:eastAsia="Calibri" w:cs="Arial"/>
          <w:szCs w:val="22"/>
        </w:rPr>
      </w:pPr>
      <w:r w:rsidRPr="00FA383D">
        <w:rPr>
          <w:rFonts w:eastAsia="Calibri" w:cs="Arial"/>
          <w:szCs w:val="22"/>
        </w:rPr>
        <w:t>Pursuant to §4928.143, Ohio Rev. Code,</w:t>
      </w:r>
      <w:r w:rsidRPr="00FA383D">
        <w:rPr>
          <w:rFonts w:eastAsia="Calibri" w:cs="Arial"/>
          <w:szCs w:val="22"/>
        </w:rPr>
        <w:tab/>
        <w:t>)</w:t>
      </w:r>
    </w:p>
    <w:p w:rsidR="00FA383D" w:rsidRPr="00FA383D" w:rsidRDefault="00FA383D" w:rsidP="00FA383D">
      <w:pPr>
        <w:jc w:val="both"/>
        <w:rPr>
          <w:rFonts w:eastAsia="Calibri" w:cs="Arial"/>
          <w:szCs w:val="22"/>
        </w:rPr>
      </w:pPr>
      <w:r w:rsidRPr="00FA383D">
        <w:rPr>
          <w:rFonts w:eastAsia="Calibri" w:cs="Arial"/>
          <w:szCs w:val="22"/>
        </w:rPr>
        <w:t>in the Form of an Electric Security Plan.</w:t>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Arial"/>
          <w:szCs w:val="22"/>
        </w:rPr>
      </w:pPr>
    </w:p>
    <w:p w:rsidR="00FA383D" w:rsidRPr="00FA383D" w:rsidRDefault="00FA383D" w:rsidP="00FA383D">
      <w:pPr>
        <w:jc w:val="both"/>
        <w:rPr>
          <w:rFonts w:eastAsia="Calibri" w:cs="Arial"/>
          <w:szCs w:val="22"/>
        </w:rPr>
      </w:pPr>
      <w:r w:rsidRPr="00FA383D">
        <w:rPr>
          <w:rFonts w:eastAsia="Calibri" w:cs="Arial"/>
          <w:szCs w:val="22"/>
        </w:rPr>
        <w:t>In the Matter of the Application of</w:t>
      </w:r>
      <w:r w:rsidRPr="00FA383D">
        <w:rPr>
          <w:rFonts w:eastAsia="Calibri" w:cs="Arial"/>
          <w:szCs w:val="22"/>
        </w:rPr>
        <w:tab/>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Arial"/>
          <w:szCs w:val="22"/>
        </w:rPr>
      </w:pPr>
      <w:r w:rsidRPr="00FA383D">
        <w:rPr>
          <w:rFonts w:eastAsia="Calibri" w:cs="Arial"/>
          <w:szCs w:val="22"/>
        </w:rPr>
        <w:t>Ohio Power Company for Approval of</w:t>
      </w:r>
      <w:r w:rsidRPr="00FA383D">
        <w:rPr>
          <w:rFonts w:eastAsia="Calibri" w:cs="Arial"/>
          <w:szCs w:val="22"/>
        </w:rPr>
        <w:tab/>
      </w:r>
      <w:r w:rsidRPr="00FA383D">
        <w:rPr>
          <w:rFonts w:eastAsia="Calibri" w:cs="Arial"/>
          <w:szCs w:val="22"/>
        </w:rPr>
        <w:tab/>
        <w:t>)</w:t>
      </w:r>
      <w:r w:rsidRPr="00FA383D">
        <w:rPr>
          <w:rFonts w:eastAsia="Calibri" w:cs="Arial"/>
          <w:szCs w:val="22"/>
        </w:rPr>
        <w:tab/>
        <w:t>Case No. 13-2386-EL-AAM</w:t>
      </w:r>
    </w:p>
    <w:p w:rsidR="00FA383D" w:rsidRPr="00FA383D" w:rsidRDefault="00FA383D" w:rsidP="00FA383D">
      <w:pPr>
        <w:jc w:val="both"/>
        <w:rPr>
          <w:rFonts w:eastAsia="Calibri" w:cs="Arial"/>
          <w:szCs w:val="22"/>
        </w:rPr>
      </w:pPr>
      <w:r w:rsidRPr="00FA383D">
        <w:rPr>
          <w:rFonts w:eastAsia="Calibri" w:cs="Arial"/>
          <w:szCs w:val="22"/>
        </w:rPr>
        <w:t>Certain Accounting Authority.</w:t>
      </w:r>
      <w:r w:rsidRPr="00FA383D">
        <w:rPr>
          <w:rFonts w:eastAsia="Calibri" w:cs="Arial"/>
          <w:szCs w:val="22"/>
        </w:rPr>
        <w:tab/>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Times New Roman"/>
          <w:szCs w:val="22"/>
        </w:rPr>
      </w:pPr>
    </w:p>
    <w:p w:rsidR="00FA383D" w:rsidRPr="00FA383D" w:rsidRDefault="00FA383D" w:rsidP="00FA383D">
      <w:pPr>
        <w:jc w:val="both"/>
        <w:rPr>
          <w:rFonts w:eastAsia="Calibri" w:cs="Times New Roman"/>
          <w:szCs w:val="22"/>
        </w:rPr>
      </w:pPr>
    </w:p>
    <w:p w:rsidR="00FA383D" w:rsidRPr="00FA383D" w:rsidRDefault="00FA383D" w:rsidP="00FA383D">
      <w:pPr>
        <w:pBdr>
          <w:top w:val="single" w:sz="12" w:space="1" w:color="auto"/>
          <w:bottom w:val="single" w:sz="12" w:space="1" w:color="auto"/>
        </w:pBdr>
        <w:jc w:val="both"/>
        <w:rPr>
          <w:rFonts w:ascii="Arial Bold" w:eastAsia="Calibri" w:hAnsi="Arial Bold" w:cs="Times New Roman"/>
          <w:b/>
          <w:caps/>
          <w:szCs w:val="22"/>
        </w:rPr>
      </w:pPr>
    </w:p>
    <w:p w:rsidR="00FA383D" w:rsidRPr="00FA383D" w:rsidRDefault="00FA383D" w:rsidP="00FA383D">
      <w:pPr>
        <w:pBdr>
          <w:top w:val="single" w:sz="12" w:space="1" w:color="auto"/>
          <w:bottom w:val="single" w:sz="12" w:space="1" w:color="auto"/>
        </w:pBdr>
        <w:jc w:val="center"/>
        <w:rPr>
          <w:rFonts w:eastAsia="Calibri" w:cs="Arial"/>
          <w:b/>
          <w:caps/>
          <w:sz w:val="28"/>
          <w:szCs w:val="28"/>
        </w:rPr>
      </w:pPr>
      <w:r w:rsidRPr="00FA383D">
        <w:rPr>
          <w:rFonts w:eastAsia="Calibri" w:cs="Arial"/>
          <w:b/>
          <w:caps/>
          <w:sz w:val="28"/>
          <w:szCs w:val="28"/>
        </w:rPr>
        <w:t xml:space="preserve">Memorandum of Industrial Energy Users-Ohio in opposition to the </w:t>
      </w:r>
      <w:r>
        <w:rPr>
          <w:rFonts w:eastAsia="Calibri" w:cs="Arial"/>
          <w:b/>
          <w:caps/>
          <w:sz w:val="28"/>
          <w:szCs w:val="28"/>
        </w:rPr>
        <w:t xml:space="preserve">second </w:t>
      </w:r>
      <w:r w:rsidRPr="00FA383D">
        <w:rPr>
          <w:rFonts w:eastAsia="Calibri" w:cs="Arial"/>
          <w:b/>
          <w:caps/>
          <w:sz w:val="28"/>
          <w:szCs w:val="28"/>
        </w:rPr>
        <w:t>application for rehearing of the ohio power company</w:t>
      </w:r>
    </w:p>
    <w:p w:rsidR="00FA383D" w:rsidRPr="00FA383D" w:rsidRDefault="00FA383D" w:rsidP="00FA383D">
      <w:pPr>
        <w:pBdr>
          <w:top w:val="single" w:sz="12" w:space="1" w:color="auto"/>
          <w:bottom w:val="single" w:sz="12" w:space="1" w:color="auto"/>
        </w:pBdr>
        <w:jc w:val="both"/>
        <w:rPr>
          <w:rFonts w:ascii="Arial Bold" w:eastAsia="Calibri" w:hAnsi="Arial Bold" w:cs="Times New Roman"/>
          <w:b/>
          <w:caps/>
          <w:szCs w:val="22"/>
        </w:rPr>
      </w:pPr>
    </w:p>
    <w:p w:rsidR="00FA383D" w:rsidRPr="00FA383D" w:rsidRDefault="00FA383D" w:rsidP="00FA383D">
      <w:pPr>
        <w:ind w:firstLine="720"/>
        <w:jc w:val="both"/>
        <w:rPr>
          <w:rFonts w:eastAsia="Calibri" w:cs="Arial"/>
          <w:b/>
          <w:szCs w:val="22"/>
        </w:rPr>
      </w:pPr>
    </w:p>
    <w:p w:rsidR="00FA383D" w:rsidRPr="00FA383D" w:rsidRDefault="00FA383D" w:rsidP="00FA383D">
      <w:pPr>
        <w:tabs>
          <w:tab w:val="left" w:pos="-1440"/>
          <w:tab w:val="left" w:pos="-720"/>
          <w:tab w:val="right" w:pos="8640"/>
        </w:tabs>
        <w:jc w:val="both"/>
        <w:rPr>
          <w:rFonts w:eastAsia="Calibri" w:cs="Arial"/>
          <w:szCs w:val="22"/>
        </w:rPr>
      </w:pPr>
    </w:p>
    <w:p w:rsidR="00FA383D" w:rsidRPr="00FA383D" w:rsidRDefault="00FA383D" w:rsidP="00FA383D">
      <w:pPr>
        <w:tabs>
          <w:tab w:val="left" w:pos="-1440"/>
          <w:tab w:val="left" w:pos="-720"/>
          <w:tab w:val="right" w:pos="8640"/>
        </w:tabs>
        <w:ind w:left="4320"/>
        <w:jc w:val="both"/>
        <w:rPr>
          <w:rFonts w:eastAsia="Calibri" w:cs="Arial"/>
          <w:szCs w:val="22"/>
        </w:rPr>
      </w:pPr>
    </w:p>
    <w:p w:rsidR="00FA383D" w:rsidRDefault="00FA383D" w:rsidP="00FA383D">
      <w:pPr>
        <w:tabs>
          <w:tab w:val="left" w:pos="-1440"/>
          <w:tab w:val="left" w:pos="-720"/>
          <w:tab w:val="right" w:pos="8640"/>
        </w:tabs>
        <w:ind w:left="4320"/>
        <w:jc w:val="both"/>
        <w:rPr>
          <w:rFonts w:eastAsia="Calibri" w:cs="Arial"/>
          <w:szCs w:val="22"/>
        </w:rPr>
      </w:pPr>
    </w:p>
    <w:p w:rsidR="00813C52" w:rsidRDefault="00813C52" w:rsidP="00FA383D">
      <w:pPr>
        <w:tabs>
          <w:tab w:val="left" w:pos="-1440"/>
          <w:tab w:val="left" w:pos="-720"/>
          <w:tab w:val="right" w:pos="8640"/>
        </w:tabs>
        <w:ind w:left="4320"/>
        <w:jc w:val="both"/>
        <w:rPr>
          <w:rFonts w:eastAsia="Calibri" w:cs="Arial"/>
          <w:szCs w:val="22"/>
        </w:rPr>
      </w:pPr>
    </w:p>
    <w:p w:rsidR="00813C52" w:rsidRDefault="00813C52" w:rsidP="00FA383D">
      <w:pPr>
        <w:tabs>
          <w:tab w:val="left" w:pos="-1440"/>
          <w:tab w:val="left" w:pos="-720"/>
          <w:tab w:val="right" w:pos="8640"/>
        </w:tabs>
        <w:ind w:left="4320"/>
        <w:jc w:val="both"/>
        <w:rPr>
          <w:rFonts w:eastAsia="Calibri" w:cs="Arial"/>
          <w:szCs w:val="22"/>
        </w:rPr>
      </w:pPr>
    </w:p>
    <w:p w:rsidR="00813C52" w:rsidRDefault="00813C52" w:rsidP="00FA383D">
      <w:pPr>
        <w:tabs>
          <w:tab w:val="left" w:pos="-1440"/>
          <w:tab w:val="left" w:pos="-720"/>
          <w:tab w:val="right" w:pos="8640"/>
        </w:tabs>
        <w:ind w:left="4320"/>
        <w:jc w:val="both"/>
        <w:rPr>
          <w:rFonts w:eastAsia="Calibri" w:cs="Arial"/>
          <w:szCs w:val="22"/>
        </w:rPr>
      </w:pPr>
    </w:p>
    <w:p w:rsidR="00813C52" w:rsidRDefault="00813C52" w:rsidP="00FA383D">
      <w:pPr>
        <w:tabs>
          <w:tab w:val="left" w:pos="-1440"/>
          <w:tab w:val="left" w:pos="-720"/>
          <w:tab w:val="right" w:pos="8640"/>
        </w:tabs>
        <w:ind w:left="4320"/>
        <w:jc w:val="both"/>
        <w:rPr>
          <w:rFonts w:eastAsia="Calibri" w:cs="Arial"/>
          <w:szCs w:val="22"/>
        </w:rPr>
      </w:pPr>
    </w:p>
    <w:p w:rsidR="00A80453" w:rsidRDefault="00A80453" w:rsidP="00FA383D">
      <w:pPr>
        <w:tabs>
          <w:tab w:val="left" w:pos="-1440"/>
          <w:tab w:val="left" w:pos="-720"/>
          <w:tab w:val="right" w:pos="8640"/>
        </w:tabs>
        <w:ind w:left="4320"/>
        <w:jc w:val="both"/>
        <w:rPr>
          <w:rFonts w:eastAsia="Calibri" w:cs="Arial"/>
          <w:szCs w:val="22"/>
        </w:rPr>
      </w:pPr>
    </w:p>
    <w:p w:rsidR="00FA383D" w:rsidRPr="00FA383D" w:rsidRDefault="00FA383D" w:rsidP="00FA383D">
      <w:pPr>
        <w:tabs>
          <w:tab w:val="left" w:pos="-1440"/>
          <w:tab w:val="left" w:pos="-720"/>
          <w:tab w:val="right" w:pos="8640"/>
        </w:tabs>
        <w:ind w:left="4320"/>
        <w:jc w:val="both"/>
        <w:rPr>
          <w:rFonts w:eastAsia="Calibri" w:cs="Arial"/>
          <w:szCs w:val="22"/>
        </w:rPr>
      </w:pPr>
    </w:p>
    <w:p w:rsidR="00FA383D" w:rsidRPr="00FA383D" w:rsidRDefault="00FA383D" w:rsidP="00FA383D">
      <w:pPr>
        <w:tabs>
          <w:tab w:val="left" w:pos="-1440"/>
          <w:tab w:val="left" w:pos="-720"/>
          <w:tab w:val="right" w:pos="8640"/>
        </w:tabs>
        <w:ind w:left="4320"/>
        <w:jc w:val="both"/>
        <w:rPr>
          <w:rFonts w:eastAsia="Calibri" w:cs="Arial"/>
          <w:szCs w:val="22"/>
        </w:rPr>
      </w:pPr>
    </w:p>
    <w:p w:rsidR="00813C52" w:rsidRDefault="00813C52" w:rsidP="00813C52">
      <w:pPr>
        <w:widowControl w:val="0"/>
        <w:ind w:left="4320"/>
        <w:rPr>
          <w:rFonts w:cs="Arial"/>
          <w:bCs/>
        </w:rPr>
      </w:pPr>
      <w:r>
        <w:rPr>
          <w:rFonts w:cs="Arial"/>
          <w:bCs/>
        </w:rPr>
        <w:t>Frank P. Darr (Reg. No. 0025469)</w:t>
      </w:r>
    </w:p>
    <w:p w:rsidR="00813C52" w:rsidRDefault="00813C52" w:rsidP="00813C52">
      <w:pPr>
        <w:ind w:left="4320"/>
        <w:rPr>
          <w:rFonts w:cs="Arial"/>
        </w:rPr>
      </w:pPr>
      <w:r>
        <w:rPr>
          <w:rFonts w:cs="Arial"/>
        </w:rPr>
        <w:t xml:space="preserve">  (Counsel of Record) </w:t>
      </w:r>
    </w:p>
    <w:p w:rsidR="00813C52" w:rsidRDefault="00813C52" w:rsidP="00813C52">
      <w:pPr>
        <w:widowControl w:val="0"/>
        <w:ind w:left="4320"/>
        <w:rPr>
          <w:rFonts w:cs="Arial"/>
          <w:b/>
          <w:bCs/>
        </w:rPr>
      </w:pPr>
      <w:r>
        <w:rPr>
          <w:rFonts w:cs="Arial"/>
          <w:bCs/>
        </w:rPr>
        <w:t>Matthew R. Pritchard (Reg. No. 0088070)</w:t>
      </w:r>
    </w:p>
    <w:p w:rsidR="00813C52" w:rsidRDefault="00813C52" w:rsidP="00813C52">
      <w:pPr>
        <w:widowControl w:val="0"/>
        <w:ind w:left="4320"/>
        <w:rPr>
          <w:rFonts w:cs="Arial"/>
          <w:b/>
          <w:bCs/>
          <w:smallCaps/>
        </w:rPr>
      </w:pPr>
      <w:r>
        <w:rPr>
          <w:rFonts w:cs="Arial"/>
          <w:bCs/>
          <w:smallCaps/>
        </w:rPr>
        <w:t>McNees Wallace &amp; Nurick LLC</w:t>
      </w:r>
    </w:p>
    <w:p w:rsidR="00813C52" w:rsidRDefault="00813C52" w:rsidP="00813C52">
      <w:pPr>
        <w:widowControl w:val="0"/>
        <w:ind w:left="4320"/>
        <w:rPr>
          <w:rFonts w:cs="Arial"/>
          <w:b/>
          <w:bCs/>
        </w:rPr>
      </w:pPr>
      <w:r>
        <w:rPr>
          <w:rFonts w:cs="Arial"/>
          <w:bCs/>
        </w:rPr>
        <w:t>21 East State Street, 17</w:t>
      </w:r>
      <w:r>
        <w:rPr>
          <w:rFonts w:cs="Arial"/>
          <w:bCs/>
          <w:vertAlign w:val="superscript"/>
        </w:rPr>
        <w:t>TH</w:t>
      </w:r>
      <w:r>
        <w:rPr>
          <w:rFonts w:cs="Arial"/>
          <w:bCs/>
        </w:rPr>
        <w:t xml:space="preserve"> Floor</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rPr>
      </w:pPr>
      <w:r>
        <w:rPr>
          <w:rFonts w:cs="Arial"/>
        </w:rPr>
        <w:t>Columbus, OH  43215</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rPr>
      </w:pPr>
      <w:r>
        <w:rPr>
          <w:rFonts w:cs="Arial"/>
        </w:rPr>
        <w:t>Telephone:  (614) 469-8000</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color w:val="000000" w:themeColor="text1"/>
        </w:rPr>
        <w:t>Telecopier:  (614) 469-4653</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rPr>
        <w:t>fdarr@mwncmh.com</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color w:val="000000" w:themeColor="text1"/>
        </w:rPr>
        <w:t>(willing to accept service by e-mail)</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smallCaps/>
          <w:color w:val="000000" w:themeColor="text1"/>
        </w:rPr>
      </w:pPr>
      <w:r>
        <w:rPr>
          <w:rFonts w:cs="Arial"/>
          <w:color w:val="000000" w:themeColor="text1"/>
        </w:rPr>
        <w:t>mpritchard@mwncmh.com</w:t>
      </w:r>
    </w:p>
    <w:p w:rsidR="00813C52" w:rsidRDefault="00813C52" w:rsidP="00813C52">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color w:val="000000" w:themeColor="text1"/>
        </w:rPr>
        <w:t>(willing to accept service by e-mail)</w:t>
      </w:r>
    </w:p>
    <w:p w:rsidR="00FA383D" w:rsidRPr="00FA383D" w:rsidRDefault="00FA383D" w:rsidP="00FA383D">
      <w:pPr>
        <w:tabs>
          <w:tab w:val="left" w:pos="-1440"/>
          <w:tab w:val="left" w:pos="-720"/>
          <w:tab w:val="right" w:pos="8640"/>
        </w:tabs>
        <w:ind w:left="4320"/>
        <w:jc w:val="both"/>
        <w:rPr>
          <w:rFonts w:eastAsia="Calibri" w:cs="Arial"/>
          <w:szCs w:val="22"/>
        </w:rPr>
      </w:pPr>
    </w:p>
    <w:p w:rsidR="00FA383D" w:rsidRPr="00FA383D" w:rsidRDefault="00FA383D" w:rsidP="00FA383D">
      <w:pPr>
        <w:jc w:val="both"/>
        <w:rPr>
          <w:rFonts w:eastAsia="Calibri" w:cs="Arial"/>
          <w:b/>
          <w:color w:val="000000"/>
          <w:szCs w:val="22"/>
        </w:rPr>
      </w:pPr>
      <w:r>
        <w:rPr>
          <w:rFonts w:eastAsia="Calibri" w:cs="Arial"/>
          <w:b/>
          <w:color w:val="000000"/>
          <w:szCs w:val="22"/>
        </w:rPr>
        <w:t>July 9, 2015</w:t>
      </w:r>
      <w:r w:rsidRPr="00FA383D">
        <w:rPr>
          <w:rFonts w:eastAsia="Calibri" w:cs="Arial"/>
          <w:b/>
          <w:color w:val="000000"/>
          <w:szCs w:val="22"/>
        </w:rPr>
        <w:tab/>
      </w:r>
      <w:r w:rsidRPr="00FA383D">
        <w:rPr>
          <w:rFonts w:eastAsia="Calibri" w:cs="Arial"/>
          <w:b/>
          <w:color w:val="000000"/>
          <w:szCs w:val="22"/>
        </w:rPr>
        <w:tab/>
      </w:r>
      <w:r w:rsidRPr="00FA383D">
        <w:rPr>
          <w:rFonts w:eastAsia="Calibri" w:cs="Arial"/>
          <w:b/>
          <w:color w:val="000000"/>
          <w:szCs w:val="22"/>
        </w:rPr>
        <w:tab/>
      </w:r>
      <w:r w:rsidRPr="00FA383D">
        <w:rPr>
          <w:rFonts w:eastAsia="Calibri" w:cs="Arial"/>
          <w:b/>
          <w:color w:val="000000"/>
          <w:szCs w:val="22"/>
        </w:rPr>
        <w:tab/>
      </w:r>
      <w:r w:rsidRPr="00FA383D">
        <w:rPr>
          <w:rFonts w:eastAsia="Calibri" w:cs="Arial"/>
          <w:b/>
          <w:color w:val="000000"/>
          <w:szCs w:val="22"/>
        </w:rPr>
        <w:tab/>
        <w:t>Attorneys for Industrial Energy Users-Ohio</w:t>
      </w:r>
    </w:p>
    <w:p w:rsidR="00FA383D" w:rsidRPr="00FA383D" w:rsidRDefault="00FA383D" w:rsidP="00FA383D">
      <w:pPr>
        <w:rPr>
          <w:rFonts w:eastAsia="Calibri" w:cs="Arial"/>
          <w:b/>
          <w:color w:val="000000"/>
          <w:szCs w:val="22"/>
        </w:rPr>
      </w:pPr>
    </w:p>
    <w:p w:rsidR="00FA383D" w:rsidRPr="00FA383D" w:rsidRDefault="00FA383D" w:rsidP="00FA383D">
      <w:pPr>
        <w:spacing w:after="120"/>
        <w:jc w:val="both"/>
        <w:rPr>
          <w:rFonts w:eastAsia="Calibri" w:cs="Arial"/>
          <w:b/>
          <w:smallCaps/>
          <w:sz w:val="28"/>
        </w:rPr>
        <w:sectPr w:rsidR="00FA383D" w:rsidRPr="00FA383D" w:rsidSect="00813C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52" w:left="1440" w:header="720" w:footer="720" w:gutter="0"/>
          <w:pgNumType w:start="1"/>
          <w:cols w:space="720"/>
          <w:titlePg/>
          <w:docGrid w:linePitch="360"/>
        </w:sectPr>
      </w:pPr>
    </w:p>
    <w:p w:rsidR="00644EC4" w:rsidRPr="00F61A80" w:rsidRDefault="00644EC4" w:rsidP="00644EC4">
      <w:pPr>
        <w:pStyle w:val="TOCHeading"/>
        <w:rPr>
          <w:rFonts w:ascii="Arial Bold" w:hAnsi="Arial Bold"/>
          <w:caps/>
          <w:color w:val="auto"/>
          <w:u w:val="single"/>
        </w:rPr>
      </w:pPr>
      <w:bookmarkStart w:id="1" w:name="TOCHeading"/>
      <w:r w:rsidRPr="00F61A80">
        <w:rPr>
          <w:rFonts w:ascii="Arial Bold" w:hAnsi="Arial Bold"/>
          <w:caps/>
          <w:color w:val="auto"/>
          <w:u w:val="single"/>
        </w:rPr>
        <w:lastRenderedPageBreak/>
        <w:t>Table of Contents</w:t>
      </w:r>
    </w:p>
    <w:bookmarkEnd w:id="1"/>
    <w:p w:rsidR="007831E1" w:rsidRPr="007831E1" w:rsidRDefault="007831E1" w:rsidP="007831E1">
      <w:pPr>
        <w:pStyle w:val="TOCHeading"/>
        <w:rPr>
          <w:rFonts w:ascii="Arial Bold" w:hAnsi="Arial Bold"/>
          <w:caps/>
          <w:color w:val="auto"/>
          <w:u w:val="single"/>
        </w:rPr>
      </w:pPr>
    </w:p>
    <w:p w:rsidR="008E207C" w:rsidRDefault="008E207C" w:rsidP="00A80453">
      <w:pPr>
        <w:pStyle w:val="TOCPage"/>
      </w:pPr>
      <w:bookmarkStart w:id="2" w:name="TOCPage"/>
      <w:r>
        <w:t>Page</w:t>
      </w:r>
    </w:p>
    <w:bookmarkEnd w:id="2"/>
    <w:p w:rsidR="00644EC4" w:rsidRDefault="00644EC4">
      <w:pPr>
        <w:pStyle w:val="TOC1"/>
        <w:rPr>
          <w:rFonts w:asciiTheme="minorHAnsi" w:eastAsiaTheme="minorEastAsia" w:hAnsiTheme="minorHAnsi"/>
          <w:noProof/>
          <w:sz w:val="22"/>
          <w:szCs w:val="22"/>
        </w:rPr>
      </w:pPr>
      <w:r>
        <w:rPr>
          <w:noProof/>
        </w:rPr>
        <w:fldChar w:fldCharType="begin"/>
      </w:r>
      <w:r>
        <w:rPr>
          <w:noProof/>
        </w:rPr>
        <w:instrText xml:space="preserve"> TOC \t "Heading 1,1,Heading 2,2,Heading 3,3" </w:instrText>
      </w:r>
      <w:r>
        <w:rPr>
          <w:noProof/>
        </w:rPr>
        <w:fldChar w:fldCharType="separate"/>
      </w:r>
      <w:bookmarkStart w:id="3" w:name="TOCLocation"/>
      <w:r w:rsidRPr="00B123CD">
        <w:rPr>
          <w:noProof/>
          <w:color w:val="010000"/>
        </w:rPr>
        <w:t>I.</w:t>
      </w:r>
      <w:r>
        <w:rPr>
          <w:rFonts w:asciiTheme="minorHAnsi" w:eastAsiaTheme="minorEastAsia" w:hAnsiTheme="minorHAnsi"/>
          <w:noProof/>
          <w:sz w:val="22"/>
          <w:szCs w:val="22"/>
        </w:rPr>
        <w:tab/>
      </w:r>
      <w:r w:rsidRPr="00F61A80">
        <w:rPr>
          <w:caps/>
          <w:noProof/>
        </w:rPr>
        <w:t>Introduction</w:t>
      </w:r>
      <w:r>
        <w:rPr>
          <w:noProof/>
        </w:rPr>
        <w:tab/>
      </w:r>
      <w:r>
        <w:rPr>
          <w:noProof/>
        </w:rPr>
        <w:fldChar w:fldCharType="begin"/>
      </w:r>
      <w:r>
        <w:rPr>
          <w:noProof/>
        </w:rPr>
        <w:instrText xml:space="preserve"> PAGEREF _Toc424200365 \h </w:instrText>
      </w:r>
      <w:r>
        <w:rPr>
          <w:noProof/>
        </w:rPr>
      </w:r>
      <w:r>
        <w:rPr>
          <w:noProof/>
        </w:rPr>
        <w:fldChar w:fldCharType="separate"/>
      </w:r>
      <w:r w:rsidR="00A2719C">
        <w:rPr>
          <w:noProof/>
        </w:rPr>
        <w:t>1</w:t>
      </w:r>
      <w:r>
        <w:rPr>
          <w:noProof/>
        </w:rPr>
        <w:fldChar w:fldCharType="end"/>
      </w:r>
    </w:p>
    <w:p w:rsidR="00644EC4" w:rsidRDefault="00644EC4">
      <w:pPr>
        <w:pStyle w:val="TOC1"/>
        <w:rPr>
          <w:rFonts w:asciiTheme="minorHAnsi" w:eastAsiaTheme="minorEastAsia" w:hAnsiTheme="minorHAnsi"/>
          <w:noProof/>
          <w:sz w:val="22"/>
          <w:szCs w:val="22"/>
        </w:rPr>
      </w:pPr>
      <w:r w:rsidRPr="00B123CD">
        <w:rPr>
          <w:noProof/>
          <w:color w:val="010000"/>
        </w:rPr>
        <w:t>II.</w:t>
      </w:r>
      <w:r>
        <w:rPr>
          <w:rFonts w:asciiTheme="minorHAnsi" w:eastAsiaTheme="minorEastAsia" w:hAnsiTheme="minorHAnsi"/>
          <w:noProof/>
          <w:sz w:val="22"/>
          <w:szCs w:val="22"/>
        </w:rPr>
        <w:tab/>
      </w:r>
      <w:r w:rsidRPr="00F61A80">
        <w:rPr>
          <w:caps/>
          <w:noProof/>
        </w:rPr>
        <w:t>Argument</w:t>
      </w:r>
      <w:r>
        <w:rPr>
          <w:noProof/>
        </w:rPr>
        <w:tab/>
      </w:r>
      <w:r>
        <w:rPr>
          <w:noProof/>
        </w:rPr>
        <w:fldChar w:fldCharType="begin"/>
      </w:r>
      <w:r>
        <w:rPr>
          <w:noProof/>
        </w:rPr>
        <w:instrText xml:space="preserve"> PAGEREF _Toc424200366 \h </w:instrText>
      </w:r>
      <w:r>
        <w:rPr>
          <w:noProof/>
        </w:rPr>
      </w:r>
      <w:r>
        <w:rPr>
          <w:noProof/>
        </w:rPr>
        <w:fldChar w:fldCharType="separate"/>
      </w:r>
      <w:r w:rsidR="00A2719C">
        <w:rPr>
          <w:noProof/>
        </w:rPr>
        <w:t>5</w:t>
      </w:r>
      <w:r>
        <w:rPr>
          <w:noProof/>
        </w:rPr>
        <w:fldChar w:fldCharType="end"/>
      </w:r>
    </w:p>
    <w:p w:rsidR="00644EC4" w:rsidRDefault="00644EC4">
      <w:pPr>
        <w:pStyle w:val="TOC2"/>
        <w:rPr>
          <w:rFonts w:asciiTheme="minorHAnsi" w:eastAsiaTheme="minorEastAsia" w:hAnsiTheme="minorHAnsi"/>
          <w:noProof/>
          <w:sz w:val="22"/>
          <w:szCs w:val="22"/>
        </w:rPr>
      </w:pPr>
      <w:r w:rsidRPr="00B123CD">
        <w:rPr>
          <w:noProof/>
          <w:color w:val="010000"/>
        </w:rPr>
        <w:t>A.</w:t>
      </w:r>
      <w:r>
        <w:rPr>
          <w:rFonts w:asciiTheme="minorHAnsi" w:eastAsiaTheme="minorEastAsia" w:hAnsiTheme="minorHAnsi"/>
          <w:noProof/>
          <w:sz w:val="22"/>
          <w:szCs w:val="22"/>
        </w:rPr>
        <w:tab/>
      </w:r>
      <w:r>
        <w:rPr>
          <w:noProof/>
        </w:rPr>
        <w:t xml:space="preserve">AEP-Ohio’s first assignment of error is premised on a misreading of R.C. 4928.143(C)(2) and the </w:t>
      </w:r>
      <w:r w:rsidRPr="00B123CD">
        <w:rPr>
          <w:i/>
          <w:noProof/>
        </w:rPr>
        <w:t>Ohio Power Case</w:t>
      </w:r>
      <w:r>
        <w:rPr>
          <w:noProof/>
        </w:rPr>
        <w:tab/>
      </w:r>
      <w:r>
        <w:rPr>
          <w:noProof/>
        </w:rPr>
        <w:fldChar w:fldCharType="begin"/>
      </w:r>
      <w:r>
        <w:rPr>
          <w:noProof/>
        </w:rPr>
        <w:instrText xml:space="preserve"> PAGEREF _Toc424200367 \h </w:instrText>
      </w:r>
      <w:r>
        <w:rPr>
          <w:noProof/>
        </w:rPr>
      </w:r>
      <w:r>
        <w:rPr>
          <w:noProof/>
        </w:rPr>
        <w:fldChar w:fldCharType="separate"/>
      </w:r>
      <w:r w:rsidR="00A2719C">
        <w:rPr>
          <w:noProof/>
        </w:rPr>
        <w:t>6</w:t>
      </w:r>
      <w:r>
        <w:rPr>
          <w:noProof/>
        </w:rPr>
        <w:fldChar w:fldCharType="end"/>
      </w:r>
    </w:p>
    <w:p w:rsidR="00644EC4" w:rsidRDefault="00644EC4">
      <w:pPr>
        <w:pStyle w:val="TOC2"/>
        <w:rPr>
          <w:rFonts w:asciiTheme="minorHAnsi" w:eastAsiaTheme="minorEastAsia" w:hAnsiTheme="minorHAnsi"/>
          <w:noProof/>
          <w:sz w:val="22"/>
          <w:szCs w:val="22"/>
        </w:rPr>
      </w:pPr>
      <w:r w:rsidRPr="00B123CD">
        <w:rPr>
          <w:noProof/>
          <w:color w:val="010000"/>
        </w:rPr>
        <w:t>B.</w:t>
      </w:r>
      <w:r>
        <w:rPr>
          <w:rFonts w:asciiTheme="minorHAnsi" w:eastAsiaTheme="minorEastAsia" w:hAnsiTheme="minorHAnsi"/>
          <w:noProof/>
          <w:sz w:val="22"/>
          <w:szCs w:val="22"/>
        </w:rPr>
        <w:tab/>
      </w:r>
      <w:r>
        <w:rPr>
          <w:noProof/>
        </w:rPr>
        <w:t>AEP-Ohio’s right to withdraw its application is not impaired because it has the right to withdraw, it is not financially harmed by the Commission’s decision to defer resolution of the legal issue</w:t>
      </w:r>
      <w:r w:rsidR="00F61A80">
        <w:rPr>
          <w:noProof/>
        </w:rPr>
        <w:t>s</w:t>
      </w:r>
      <w:r>
        <w:rPr>
          <w:noProof/>
        </w:rPr>
        <w:t xml:space="preserve"> concerning the PPA Rider, and it has the ability to make an “informed choice” to withdraw</w:t>
      </w:r>
      <w:r>
        <w:rPr>
          <w:noProof/>
        </w:rPr>
        <w:tab/>
      </w:r>
      <w:r>
        <w:rPr>
          <w:noProof/>
        </w:rPr>
        <w:fldChar w:fldCharType="begin"/>
      </w:r>
      <w:r>
        <w:rPr>
          <w:noProof/>
        </w:rPr>
        <w:instrText xml:space="preserve"> PAGEREF _Toc424200368 \h </w:instrText>
      </w:r>
      <w:r>
        <w:rPr>
          <w:noProof/>
        </w:rPr>
      </w:r>
      <w:r>
        <w:rPr>
          <w:noProof/>
        </w:rPr>
        <w:fldChar w:fldCharType="separate"/>
      </w:r>
      <w:r w:rsidR="00A2719C">
        <w:rPr>
          <w:noProof/>
        </w:rPr>
        <w:t>8</w:t>
      </w:r>
      <w:r>
        <w:rPr>
          <w:noProof/>
        </w:rPr>
        <w:fldChar w:fldCharType="end"/>
      </w:r>
    </w:p>
    <w:p w:rsidR="00644EC4" w:rsidRDefault="00644EC4">
      <w:pPr>
        <w:pStyle w:val="TOC2"/>
        <w:rPr>
          <w:rFonts w:asciiTheme="minorHAnsi" w:eastAsiaTheme="minorEastAsia" w:hAnsiTheme="minorHAnsi"/>
          <w:noProof/>
          <w:sz w:val="22"/>
          <w:szCs w:val="22"/>
        </w:rPr>
      </w:pPr>
      <w:r w:rsidRPr="00B123CD">
        <w:rPr>
          <w:noProof/>
          <w:color w:val="010000"/>
        </w:rPr>
        <w:t>C.</w:t>
      </w:r>
      <w:r>
        <w:rPr>
          <w:rFonts w:asciiTheme="minorHAnsi" w:eastAsiaTheme="minorEastAsia" w:hAnsiTheme="minorHAnsi"/>
          <w:noProof/>
          <w:sz w:val="22"/>
          <w:szCs w:val="22"/>
        </w:rPr>
        <w:tab/>
      </w:r>
      <w:r>
        <w:rPr>
          <w:noProof/>
        </w:rPr>
        <w:t>If the Commission grants the applications for rehearing of AEP-Ohio, OCC, or OMAEG seeking final resolution of the lawfulness of the PPA Rider, the Commission should find that the rider is unlawful and unreasonable</w:t>
      </w:r>
      <w:r>
        <w:rPr>
          <w:noProof/>
        </w:rPr>
        <w:tab/>
      </w:r>
      <w:r>
        <w:rPr>
          <w:noProof/>
        </w:rPr>
        <w:fldChar w:fldCharType="begin"/>
      </w:r>
      <w:r>
        <w:rPr>
          <w:noProof/>
        </w:rPr>
        <w:instrText xml:space="preserve"> PAGEREF _Toc424200369 \h </w:instrText>
      </w:r>
      <w:r>
        <w:rPr>
          <w:noProof/>
        </w:rPr>
      </w:r>
      <w:r>
        <w:rPr>
          <w:noProof/>
        </w:rPr>
        <w:fldChar w:fldCharType="separate"/>
      </w:r>
      <w:r w:rsidR="00A2719C">
        <w:rPr>
          <w:noProof/>
        </w:rPr>
        <w:t>11</w:t>
      </w:r>
      <w:r>
        <w:rPr>
          <w:noProof/>
        </w:rPr>
        <w:fldChar w:fldCharType="end"/>
      </w:r>
    </w:p>
    <w:p w:rsidR="00644EC4" w:rsidRDefault="00644EC4">
      <w:pPr>
        <w:pStyle w:val="TOC1"/>
        <w:rPr>
          <w:rFonts w:asciiTheme="minorHAnsi" w:eastAsiaTheme="minorEastAsia" w:hAnsiTheme="minorHAnsi"/>
          <w:noProof/>
          <w:sz w:val="22"/>
          <w:szCs w:val="22"/>
        </w:rPr>
      </w:pPr>
      <w:r w:rsidRPr="00B123CD">
        <w:rPr>
          <w:rFonts w:eastAsia="Times New Roman"/>
          <w:noProof/>
          <w:color w:val="010000"/>
        </w:rPr>
        <w:t>III.</w:t>
      </w:r>
      <w:r>
        <w:rPr>
          <w:rFonts w:asciiTheme="minorHAnsi" w:eastAsiaTheme="minorEastAsia" w:hAnsiTheme="minorHAnsi"/>
          <w:noProof/>
          <w:sz w:val="22"/>
          <w:szCs w:val="22"/>
        </w:rPr>
        <w:tab/>
      </w:r>
      <w:r w:rsidRPr="00F61A80">
        <w:rPr>
          <w:rFonts w:eastAsia="Times New Roman"/>
          <w:caps/>
          <w:noProof/>
        </w:rPr>
        <w:t>Conclusion</w:t>
      </w:r>
      <w:r>
        <w:rPr>
          <w:noProof/>
        </w:rPr>
        <w:tab/>
      </w:r>
      <w:r>
        <w:rPr>
          <w:noProof/>
        </w:rPr>
        <w:fldChar w:fldCharType="begin"/>
      </w:r>
      <w:r>
        <w:rPr>
          <w:noProof/>
        </w:rPr>
        <w:instrText xml:space="preserve"> PAGEREF _Toc424200370 \h </w:instrText>
      </w:r>
      <w:r>
        <w:rPr>
          <w:noProof/>
        </w:rPr>
      </w:r>
      <w:r>
        <w:rPr>
          <w:noProof/>
        </w:rPr>
        <w:fldChar w:fldCharType="separate"/>
      </w:r>
      <w:r w:rsidR="00A2719C">
        <w:rPr>
          <w:noProof/>
        </w:rPr>
        <w:t>13</w:t>
      </w:r>
      <w:r>
        <w:rPr>
          <w:noProof/>
        </w:rPr>
        <w:fldChar w:fldCharType="end"/>
      </w:r>
    </w:p>
    <w:bookmarkEnd w:id="3"/>
    <w:p w:rsidR="00644EC4" w:rsidRDefault="00644EC4" w:rsidP="00F61A80">
      <w:pPr>
        <w:rPr>
          <w:noProof/>
        </w:rPr>
      </w:pPr>
      <w:r>
        <w:rPr>
          <w:noProof/>
        </w:rPr>
        <w:fldChar w:fldCharType="end"/>
      </w:r>
    </w:p>
    <w:p w:rsidR="00644EC4" w:rsidRDefault="00644EC4" w:rsidP="00F61A80">
      <w:pPr>
        <w:rPr>
          <w:noProof/>
        </w:rPr>
      </w:pPr>
    </w:p>
    <w:p w:rsidR="008E207C" w:rsidRDefault="008E207C" w:rsidP="007831E1"/>
    <w:p w:rsidR="008E207C" w:rsidRDefault="008E207C" w:rsidP="00A80453"/>
    <w:p w:rsidR="00FA383D" w:rsidRPr="00FA383D" w:rsidRDefault="00FA383D" w:rsidP="00FA383D">
      <w:pPr>
        <w:spacing w:after="120"/>
        <w:rPr>
          <w:noProof/>
        </w:rPr>
      </w:pPr>
    </w:p>
    <w:p w:rsidR="00FA383D" w:rsidRPr="00FA383D" w:rsidRDefault="00FA383D" w:rsidP="00FA383D">
      <w:pPr>
        <w:tabs>
          <w:tab w:val="right" w:leader="dot" w:pos="9360"/>
        </w:tabs>
        <w:spacing w:after="120"/>
        <w:ind w:right="720"/>
        <w:sectPr w:rsidR="00FA383D" w:rsidRPr="00FA383D" w:rsidSect="00FA1AF4">
          <w:headerReference w:type="default" r:id="rId15"/>
          <w:footerReference w:type="default" r:id="rId16"/>
          <w:headerReference w:type="first" r:id="rId17"/>
          <w:footerReference w:type="first" r:id="rId18"/>
          <w:pgSz w:w="12240" w:h="15840" w:code="1"/>
          <w:pgMar w:top="1440" w:right="1440" w:bottom="1141" w:left="1440" w:header="720" w:footer="720" w:gutter="0"/>
          <w:pgNumType w:fmt="lowerRoman" w:start="1"/>
          <w:cols w:space="720"/>
          <w:titlePg/>
          <w:docGrid w:linePitch="326"/>
        </w:sectPr>
      </w:pPr>
    </w:p>
    <w:p w:rsidR="00FA383D" w:rsidRPr="00FA383D" w:rsidRDefault="00FA383D" w:rsidP="00FA383D">
      <w:pPr>
        <w:jc w:val="center"/>
        <w:rPr>
          <w:rFonts w:eastAsia="Calibri" w:cs="Arial"/>
          <w:b/>
          <w:smallCaps/>
          <w:sz w:val="32"/>
          <w:szCs w:val="32"/>
        </w:rPr>
      </w:pPr>
      <w:r w:rsidRPr="00FA383D">
        <w:rPr>
          <w:rFonts w:eastAsia="Calibri" w:cs="Arial"/>
          <w:b/>
          <w:smallCaps/>
          <w:sz w:val="32"/>
          <w:szCs w:val="32"/>
        </w:rPr>
        <w:lastRenderedPageBreak/>
        <w:t>Before</w:t>
      </w:r>
    </w:p>
    <w:p w:rsidR="00FA383D" w:rsidRPr="00FA383D" w:rsidRDefault="00FA383D" w:rsidP="00FA383D">
      <w:pPr>
        <w:jc w:val="center"/>
        <w:rPr>
          <w:rFonts w:eastAsia="Calibri" w:cs="Arial"/>
          <w:b/>
          <w:smallCaps/>
          <w:sz w:val="32"/>
          <w:szCs w:val="32"/>
        </w:rPr>
      </w:pPr>
      <w:r w:rsidRPr="00FA383D">
        <w:rPr>
          <w:rFonts w:eastAsia="Calibri" w:cs="Arial"/>
          <w:b/>
          <w:smallCaps/>
          <w:sz w:val="32"/>
          <w:szCs w:val="32"/>
        </w:rPr>
        <w:t>The Public Utilities Commission Of Ohio</w:t>
      </w:r>
    </w:p>
    <w:p w:rsidR="00FA383D" w:rsidRPr="00FA383D" w:rsidRDefault="00FA383D" w:rsidP="00FA383D">
      <w:pPr>
        <w:jc w:val="both"/>
        <w:rPr>
          <w:rFonts w:eastAsia="Calibri" w:cs="Times New Roman"/>
          <w:b/>
          <w:szCs w:val="22"/>
        </w:rPr>
      </w:pPr>
    </w:p>
    <w:p w:rsidR="00FA383D" w:rsidRPr="00FA383D" w:rsidRDefault="00FA383D" w:rsidP="00FA383D">
      <w:pPr>
        <w:jc w:val="both"/>
        <w:rPr>
          <w:rFonts w:eastAsia="Calibri" w:cs="Times New Roman"/>
          <w:b/>
          <w:szCs w:val="22"/>
        </w:rPr>
      </w:pPr>
    </w:p>
    <w:p w:rsidR="00FA383D" w:rsidRPr="00FA383D" w:rsidRDefault="00FA383D" w:rsidP="00FA383D">
      <w:pPr>
        <w:jc w:val="both"/>
        <w:rPr>
          <w:rFonts w:eastAsia="Calibri" w:cs="Arial"/>
          <w:szCs w:val="22"/>
        </w:rPr>
      </w:pPr>
      <w:r w:rsidRPr="00FA383D">
        <w:rPr>
          <w:rFonts w:eastAsia="Calibri" w:cs="Arial"/>
          <w:szCs w:val="22"/>
        </w:rPr>
        <w:t>In the Matter of the Application of</w:t>
      </w:r>
      <w:r w:rsidRPr="00FA383D">
        <w:rPr>
          <w:rFonts w:eastAsia="Calibri" w:cs="Arial"/>
          <w:szCs w:val="22"/>
        </w:rPr>
        <w:tab/>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Arial"/>
          <w:szCs w:val="22"/>
        </w:rPr>
      </w:pPr>
      <w:r w:rsidRPr="00FA383D">
        <w:rPr>
          <w:rFonts w:eastAsia="Calibri" w:cs="Arial"/>
          <w:szCs w:val="22"/>
        </w:rPr>
        <w:t>Ohio Power Company for Authority to</w:t>
      </w:r>
      <w:r w:rsidRPr="00FA383D">
        <w:rPr>
          <w:rFonts w:eastAsia="Calibri" w:cs="Arial"/>
          <w:szCs w:val="22"/>
        </w:rPr>
        <w:tab/>
      </w:r>
      <w:r w:rsidRPr="00FA383D">
        <w:rPr>
          <w:rFonts w:eastAsia="Calibri" w:cs="Arial"/>
          <w:szCs w:val="22"/>
        </w:rPr>
        <w:tab/>
        <w:t>)</w:t>
      </w:r>
      <w:r w:rsidRPr="00FA383D">
        <w:rPr>
          <w:rFonts w:eastAsia="Calibri" w:cs="Arial"/>
          <w:szCs w:val="22"/>
        </w:rPr>
        <w:tab/>
        <w:t>Case No. 13-2385-EL-SSO</w:t>
      </w:r>
    </w:p>
    <w:p w:rsidR="00FA383D" w:rsidRPr="00FA383D" w:rsidRDefault="00FA383D" w:rsidP="00FA383D">
      <w:pPr>
        <w:jc w:val="both"/>
        <w:rPr>
          <w:rFonts w:eastAsia="Calibri" w:cs="Arial"/>
          <w:szCs w:val="22"/>
        </w:rPr>
      </w:pPr>
      <w:r w:rsidRPr="00FA383D">
        <w:rPr>
          <w:rFonts w:eastAsia="Calibri" w:cs="Arial"/>
          <w:szCs w:val="22"/>
        </w:rPr>
        <w:t>Establish a Standard Service Offer</w:t>
      </w:r>
      <w:r w:rsidRPr="00FA383D">
        <w:rPr>
          <w:rFonts w:eastAsia="Calibri" w:cs="Arial"/>
          <w:szCs w:val="22"/>
        </w:rPr>
        <w:tab/>
      </w:r>
      <w:r w:rsidRPr="00FA383D">
        <w:rPr>
          <w:rFonts w:eastAsia="Calibri" w:cs="Arial"/>
          <w:szCs w:val="22"/>
        </w:rPr>
        <w:tab/>
        <w:t>)</w:t>
      </w:r>
      <w:r w:rsidRPr="00FA383D">
        <w:rPr>
          <w:rFonts w:eastAsia="Calibri" w:cs="Arial"/>
          <w:szCs w:val="22"/>
        </w:rPr>
        <w:tab/>
      </w:r>
    </w:p>
    <w:p w:rsidR="00FA383D" w:rsidRPr="00FA383D" w:rsidRDefault="00FA383D" w:rsidP="00FA383D">
      <w:pPr>
        <w:jc w:val="both"/>
        <w:rPr>
          <w:rFonts w:eastAsia="Calibri" w:cs="Arial"/>
          <w:szCs w:val="22"/>
        </w:rPr>
      </w:pPr>
      <w:r w:rsidRPr="00FA383D">
        <w:rPr>
          <w:rFonts w:eastAsia="Calibri" w:cs="Arial"/>
          <w:szCs w:val="22"/>
        </w:rPr>
        <w:t>Pursuant to §4928.143, Ohio Rev. Code,</w:t>
      </w:r>
      <w:r w:rsidRPr="00FA383D">
        <w:rPr>
          <w:rFonts w:eastAsia="Calibri" w:cs="Arial"/>
          <w:szCs w:val="22"/>
        </w:rPr>
        <w:tab/>
        <w:t>)</w:t>
      </w:r>
    </w:p>
    <w:p w:rsidR="00FA383D" w:rsidRPr="00FA383D" w:rsidRDefault="00FA383D" w:rsidP="00FA383D">
      <w:pPr>
        <w:jc w:val="both"/>
        <w:rPr>
          <w:rFonts w:eastAsia="Calibri" w:cs="Arial"/>
          <w:szCs w:val="22"/>
        </w:rPr>
      </w:pPr>
      <w:r w:rsidRPr="00FA383D">
        <w:rPr>
          <w:rFonts w:eastAsia="Calibri" w:cs="Arial"/>
          <w:szCs w:val="22"/>
        </w:rPr>
        <w:t>in the Form of an Electric Security Plan.</w:t>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Arial"/>
          <w:szCs w:val="22"/>
        </w:rPr>
      </w:pPr>
    </w:p>
    <w:p w:rsidR="00FA383D" w:rsidRPr="00FA383D" w:rsidRDefault="00FA383D" w:rsidP="00FA383D">
      <w:pPr>
        <w:jc w:val="both"/>
        <w:rPr>
          <w:rFonts w:eastAsia="Calibri" w:cs="Arial"/>
          <w:szCs w:val="22"/>
        </w:rPr>
      </w:pPr>
      <w:r w:rsidRPr="00FA383D">
        <w:rPr>
          <w:rFonts w:eastAsia="Calibri" w:cs="Arial"/>
          <w:szCs w:val="22"/>
        </w:rPr>
        <w:t>In the Matter of the Application of</w:t>
      </w:r>
      <w:r w:rsidRPr="00FA383D">
        <w:rPr>
          <w:rFonts w:eastAsia="Calibri" w:cs="Arial"/>
          <w:szCs w:val="22"/>
        </w:rPr>
        <w:tab/>
      </w:r>
      <w:r w:rsidRPr="00FA383D">
        <w:rPr>
          <w:rFonts w:eastAsia="Calibri" w:cs="Arial"/>
          <w:szCs w:val="22"/>
        </w:rPr>
        <w:tab/>
      </w:r>
      <w:r w:rsidRPr="00FA383D">
        <w:rPr>
          <w:rFonts w:eastAsia="Calibri" w:cs="Arial"/>
          <w:szCs w:val="22"/>
        </w:rPr>
        <w:tab/>
        <w:t>)</w:t>
      </w:r>
    </w:p>
    <w:p w:rsidR="00FA383D" w:rsidRPr="00FA383D" w:rsidRDefault="00FA383D" w:rsidP="00FA383D">
      <w:pPr>
        <w:jc w:val="both"/>
        <w:rPr>
          <w:rFonts w:eastAsia="Calibri" w:cs="Arial"/>
          <w:szCs w:val="22"/>
        </w:rPr>
      </w:pPr>
      <w:r w:rsidRPr="00FA383D">
        <w:rPr>
          <w:rFonts w:eastAsia="Calibri" w:cs="Arial"/>
          <w:szCs w:val="22"/>
        </w:rPr>
        <w:t>Ohio Power Company for Approval of</w:t>
      </w:r>
      <w:r w:rsidRPr="00FA383D">
        <w:rPr>
          <w:rFonts w:eastAsia="Calibri" w:cs="Arial"/>
          <w:szCs w:val="22"/>
        </w:rPr>
        <w:tab/>
      </w:r>
      <w:r w:rsidRPr="00FA383D">
        <w:rPr>
          <w:rFonts w:eastAsia="Calibri" w:cs="Arial"/>
          <w:szCs w:val="22"/>
        </w:rPr>
        <w:tab/>
        <w:t>)</w:t>
      </w:r>
      <w:r w:rsidRPr="00FA383D">
        <w:rPr>
          <w:rFonts w:eastAsia="Calibri" w:cs="Arial"/>
          <w:szCs w:val="22"/>
        </w:rPr>
        <w:tab/>
        <w:t>Case No. 13-2386-EL-AAM</w:t>
      </w:r>
    </w:p>
    <w:p w:rsidR="00FA383D" w:rsidRPr="00FA383D" w:rsidRDefault="00FA383D" w:rsidP="00FA383D">
      <w:pPr>
        <w:jc w:val="both"/>
        <w:rPr>
          <w:rFonts w:eastAsia="Calibri" w:cs="Arial"/>
          <w:szCs w:val="22"/>
        </w:rPr>
      </w:pPr>
      <w:r w:rsidRPr="00FA383D">
        <w:rPr>
          <w:rFonts w:eastAsia="Calibri" w:cs="Arial"/>
          <w:szCs w:val="22"/>
        </w:rPr>
        <w:t>Certain Accounting Authority.</w:t>
      </w:r>
      <w:r w:rsidRPr="00FA383D">
        <w:rPr>
          <w:rFonts w:eastAsia="Calibri" w:cs="Arial"/>
          <w:szCs w:val="22"/>
        </w:rPr>
        <w:tab/>
      </w:r>
      <w:r w:rsidRPr="00FA383D">
        <w:rPr>
          <w:rFonts w:eastAsia="Calibri" w:cs="Arial"/>
          <w:szCs w:val="22"/>
        </w:rPr>
        <w:tab/>
      </w:r>
      <w:r w:rsidRPr="00FA383D">
        <w:rPr>
          <w:rFonts w:eastAsia="Calibri" w:cs="Arial"/>
          <w:szCs w:val="22"/>
        </w:rPr>
        <w:tab/>
        <w:t>)</w:t>
      </w:r>
    </w:p>
    <w:p w:rsidR="00FA383D" w:rsidRDefault="00FA383D" w:rsidP="00FA383D">
      <w:pPr>
        <w:jc w:val="both"/>
        <w:rPr>
          <w:rFonts w:eastAsia="Calibri" w:cs="Times New Roman"/>
          <w:szCs w:val="22"/>
        </w:rPr>
      </w:pPr>
    </w:p>
    <w:p w:rsidR="00A80453" w:rsidRPr="00FA383D" w:rsidRDefault="00A80453" w:rsidP="00FA383D">
      <w:pPr>
        <w:jc w:val="both"/>
        <w:rPr>
          <w:rFonts w:eastAsia="Calibri" w:cs="Times New Roman"/>
          <w:szCs w:val="22"/>
        </w:rPr>
      </w:pPr>
    </w:p>
    <w:p w:rsidR="00FA383D" w:rsidRPr="00FA383D" w:rsidRDefault="00FA383D" w:rsidP="00FA383D">
      <w:pPr>
        <w:pBdr>
          <w:top w:val="single" w:sz="12" w:space="1" w:color="auto"/>
          <w:bottom w:val="single" w:sz="12" w:space="1" w:color="auto"/>
        </w:pBdr>
        <w:jc w:val="both"/>
        <w:rPr>
          <w:rFonts w:ascii="Arial Bold" w:eastAsia="Calibri" w:hAnsi="Arial Bold" w:cs="Times New Roman"/>
          <w:b/>
          <w:caps/>
          <w:szCs w:val="22"/>
        </w:rPr>
      </w:pPr>
    </w:p>
    <w:p w:rsidR="00FA383D" w:rsidRPr="00FA383D" w:rsidRDefault="00FA383D" w:rsidP="00FA383D">
      <w:pPr>
        <w:pBdr>
          <w:top w:val="single" w:sz="12" w:space="1" w:color="auto"/>
          <w:bottom w:val="single" w:sz="12" w:space="1" w:color="auto"/>
        </w:pBdr>
        <w:jc w:val="center"/>
        <w:rPr>
          <w:rFonts w:eastAsia="Calibri" w:cs="Arial"/>
          <w:b/>
          <w:caps/>
          <w:sz w:val="28"/>
          <w:szCs w:val="28"/>
        </w:rPr>
      </w:pPr>
      <w:r w:rsidRPr="00FA383D">
        <w:rPr>
          <w:rFonts w:eastAsia="Calibri" w:cs="Arial"/>
          <w:b/>
          <w:caps/>
          <w:sz w:val="28"/>
          <w:szCs w:val="28"/>
        </w:rPr>
        <w:t xml:space="preserve">Memorandum of Industrial Energy Users-Ohio in opposition to the </w:t>
      </w:r>
      <w:r>
        <w:rPr>
          <w:rFonts w:eastAsia="Calibri" w:cs="Arial"/>
          <w:b/>
          <w:caps/>
          <w:sz w:val="28"/>
          <w:szCs w:val="28"/>
        </w:rPr>
        <w:t xml:space="preserve">Second </w:t>
      </w:r>
      <w:r w:rsidRPr="00FA383D">
        <w:rPr>
          <w:rFonts w:eastAsia="Calibri" w:cs="Arial"/>
          <w:b/>
          <w:caps/>
          <w:sz w:val="28"/>
          <w:szCs w:val="28"/>
        </w:rPr>
        <w:t>application for rehearing of the ohio power company</w:t>
      </w:r>
    </w:p>
    <w:p w:rsidR="00FA383D" w:rsidRPr="00FA383D" w:rsidRDefault="00FA383D" w:rsidP="00FA383D">
      <w:pPr>
        <w:pBdr>
          <w:top w:val="single" w:sz="12" w:space="1" w:color="auto"/>
          <w:bottom w:val="single" w:sz="12" w:space="1" w:color="auto"/>
        </w:pBdr>
        <w:spacing w:after="120"/>
        <w:jc w:val="center"/>
        <w:rPr>
          <w:rFonts w:ascii="Arial Bold" w:eastAsia="Calibri" w:hAnsi="Arial Bold" w:cs="Times New Roman"/>
          <w:b/>
          <w:caps/>
          <w:szCs w:val="22"/>
        </w:rPr>
      </w:pPr>
    </w:p>
    <w:p w:rsidR="00FA383D" w:rsidRPr="00FA383D" w:rsidRDefault="00FA383D" w:rsidP="00FA383D">
      <w:pPr>
        <w:spacing w:after="240"/>
        <w:ind w:left="720"/>
        <w:jc w:val="both"/>
        <w:outlineLvl w:val="0"/>
        <w:rPr>
          <w:rFonts w:eastAsiaTheme="majorEastAsia" w:cs="Arial"/>
          <w:b/>
          <w:bCs/>
          <w:caps/>
          <w:szCs w:val="28"/>
          <w:u w:val="single"/>
        </w:rPr>
      </w:pPr>
    </w:p>
    <w:p w:rsidR="00FA383D" w:rsidRDefault="0044281A" w:rsidP="00063D97">
      <w:pPr>
        <w:pStyle w:val="Heading1"/>
      </w:pPr>
      <w:bookmarkStart w:id="4" w:name="_Toc424029912"/>
      <w:bookmarkStart w:id="5" w:name="_Toc424120861"/>
      <w:bookmarkStart w:id="6" w:name="_Toc424131171"/>
      <w:bookmarkStart w:id="7" w:name="_Toc424131614"/>
      <w:bookmarkStart w:id="8" w:name="_Toc424200365"/>
      <w:r>
        <w:t>Introduction</w:t>
      </w:r>
      <w:bookmarkEnd w:id="4"/>
      <w:bookmarkEnd w:id="5"/>
      <w:bookmarkEnd w:id="6"/>
      <w:bookmarkEnd w:id="7"/>
      <w:bookmarkEnd w:id="8"/>
    </w:p>
    <w:p w:rsidR="002B28E5" w:rsidRDefault="002B28E5" w:rsidP="00063D97">
      <w:pPr>
        <w:spacing w:line="480" w:lineRule="auto"/>
        <w:ind w:firstLine="720"/>
        <w:jc w:val="both"/>
        <w:rPr>
          <w:rFonts w:eastAsia="Calibri" w:cs="Times New Roman"/>
        </w:rPr>
      </w:pPr>
      <w:r w:rsidRPr="002B28E5">
        <w:rPr>
          <w:rFonts w:eastAsia="Calibri" w:cs="Times New Roman"/>
        </w:rPr>
        <w:t xml:space="preserve">In its Application, </w:t>
      </w:r>
      <w:r w:rsidR="00FA1AF4">
        <w:rPr>
          <w:rFonts w:eastAsia="Calibri" w:cs="Times New Roman"/>
        </w:rPr>
        <w:t>the Ohio Power Company (“</w:t>
      </w:r>
      <w:r w:rsidRPr="002B28E5">
        <w:rPr>
          <w:rFonts w:eastAsia="Calibri" w:cs="Times New Roman"/>
        </w:rPr>
        <w:t>AEP-Ohio</w:t>
      </w:r>
      <w:r w:rsidR="00FA1AF4">
        <w:rPr>
          <w:rFonts w:eastAsia="Calibri" w:cs="Times New Roman"/>
        </w:rPr>
        <w:t>”)</w:t>
      </w:r>
      <w:r w:rsidRPr="002B28E5">
        <w:rPr>
          <w:rFonts w:eastAsia="Calibri" w:cs="Times New Roman"/>
        </w:rPr>
        <w:t xml:space="preserve"> sought authorization of an </w:t>
      </w:r>
      <w:r w:rsidR="00636726">
        <w:rPr>
          <w:rFonts w:eastAsia="Calibri" w:cs="Times New Roman"/>
        </w:rPr>
        <w:t>electric security plan (“</w:t>
      </w:r>
      <w:r w:rsidRPr="002B28E5">
        <w:rPr>
          <w:rFonts w:eastAsia="Calibri" w:cs="Times New Roman"/>
        </w:rPr>
        <w:t>ESP</w:t>
      </w:r>
      <w:r w:rsidR="00636726">
        <w:rPr>
          <w:rFonts w:eastAsia="Calibri" w:cs="Times New Roman"/>
        </w:rPr>
        <w:t>”)</w:t>
      </w:r>
      <w:r w:rsidRPr="002B28E5">
        <w:rPr>
          <w:rFonts w:eastAsia="Calibri" w:cs="Times New Roman"/>
        </w:rPr>
        <w:t xml:space="preserve"> for the period of June 1, 2015 to May 31, 2018.</w:t>
      </w:r>
      <w:r w:rsidRPr="002B28E5">
        <w:rPr>
          <w:rFonts w:eastAsia="Calibri" w:cs="Times New Roman"/>
          <w:vertAlign w:val="superscript"/>
        </w:rPr>
        <w:footnoteReference w:id="1"/>
      </w:r>
      <w:r w:rsidRPr="002B28E5">
        <w:rPr>
          <w:rFonts w:eastAsia="Calibri" w:cs="Times New Roman"/>
        </w:rPr>
        <w:t xml:space="preserve">  </w:t>
      </w:r>
      <w:r w:rsidR="00636726">
        <w:rPr>
          <w:rFonts w:eastAsia="Calibri" w:cs="Times New Roman"/>
        </w:rPr>
        <w:t>As part of the ESP,</w:t>
      </w:r>
      <w:r w:rsidRPr="002B28E5">
        <w:rPr>
          <w:rFonts w:eastAsia="Calibri" w:cs="Times New Roman"/>
        </w:rPr>
        <w:t xml:space="preserve"> AEP-Ohio requested authorization of a nonbypassable rider, the Power Purchase Agreement Rider (“</w:t>
      </w:r>
      <w:r w:rsidR="007B79CB">
        <w:rPr>
          <w:rFonts w:eastAsia="Calibri" w:cs="Times New Roman"/>
        </w:rPr>
        <w:t>PPA Rider”).  Authorization of the billing and collection of the rider would have transferred</w:t>
      </w:r>
      <w:r w:rsidR="001B026C">
        <w:rPr>
          <w:rFonts w:eastAsia="Calibri" w:cs="Times New Roman"/>
        </w:rPr>
        <w:t xml:space="preserve"> the wholesale price risk</w:t>
      </w:r>
      <w:r w:rsidR="006E5BA1">
        <w:rPr>
          <w:rFonts w:eastAsia="Calibri" w:cs="Times New Roman"/>
        </w:rPr>
        <w:t xml:space="preserve"> of</w:t>
      </w:r>
      <w:r w:rsidR="001B026C">
        <w:rPr>
          <w:rFonts w:eastAsia="Calibri" w:cs="Times New Roman"/>
        </w:rPr>
        <w:t xml:space="preserve"> </w:t>
      </w:r>
      <w:r w:rsidRPr="002B28E5">
        <w:rPr>
          <w:rFonts w:eastAsia="Calibri" w:cs="Times New Roman"/>
        </w:rPr>
        <w:t>AEP-Ohio’s retained interest in generation plants operated by Ohio Valley Electric Corporation (“OVEC”)</w:t>
      </w:r>
      <w:r w:rsidR="001B026C">
        <w:rPr>
          <w:rFonts w:eastAsia="Calibri" w:cs="Times New Roman"/>
        </w:rPr>
        <w:t xml:space="preserve"> to </w:t>
      </w:r>
      <w:r w:rsidR="00A512F9">
        <w:rPr>
          <w:rFonts w:eastAsia="Calibri" w:cs="Times New Roman"/>
        </w:rPr>
        <w:t xml:space="preserve">AEP-Ohio’s </w:t>
      </w:r>
      <w:r w:rsidR="001B026C">
        <w:rPr>
          <w:rFonts w:eastAsia="Calibri" w:cs="Times New Roman"/>
        </w:rPr>
        <w:t>retail customers</w:t>
      </w:r>
      <w:r w:rsidRPr="002B28E5">
        <w:rPr>
          <w:rFonts w:eastAsia="Calibri" w:cs="Times New Roman"/>
        </w:rPr>
        <w:t>.</w:t>
      </w:r>
      <w:r w:rsidRPr="002B28E5">
        <w:rPr>
          <w:rFonts w:eastAsia="Calibri" w:cs="Times New Roman"/>
          <w:vertAlign w:val="superscript"/>
        </w:rPr>
        <w:footnoteReference w:id="2"/>
      </w:r>
      <w:r w:rsidRPr="002B28E5">
        <w:rPr>
          <w:rFonts w:eastAsia="Calibri" w:cs="Times New Roman"/>
        </w:rPr>
        <w:t xml:space="preserve">  </w:t>
      </w:r>
    </w:p>
    <w:p w:rsidR="002B28E5" w:rsidRDefault="002B28E5" w:rsidP="00063D97">
      <w:pPr>
        <w:spacing w:line="480" w:lineRule="auto"/>
        <w:ind w:firstLine="720"/>
        <w:jc w:val="both"/>
      </w:pPr>
      <w:r w:rsidRPr="002B28E5">
        <w:rPr>
          <w:rFonts w:eastAsia="Calibri" w:cs="Times New Roman"/>
        </w:rPr>
        <w:t xml:space="preserve">In the </w:t>
      </w:r>
      <w:r w:rsidR="00CB2649" w:rsidRPr="002B28E5">
        <w:rPr>
          <w:rFonts w:eastAsia="Calibri" w:cs="Times New Roman"/>
        </w:rPr>
        <w:t>ESP III</w:t>
      </w:r>
      <w:r w:rsidR="00CB2649">
        <w:rPr>
          <w:rFonts w:eastAsia="Calibri" w:cs="Times New Roman"/>
        </w:rPr>
        <w:t xml:space="preserve"> Order</w:t>
      </w:r>
      <w:r w:rsidRPr="002B28E5">
        <w:rPr>
          <w:rFonts w:eastAsia="Calibri" w:cs="Times New Roman"/>
        </w:rPr>
        <w:t xml:space="preserve">, the </w:t>
      </w:r>
      <w:r w:rsidR="00FA1AF4">
        <w:rPr>
          <w:rFonts w:eastAsia="Calibri" w:cs="Times New Roman"/>
        </w:rPr>
        <w:t xml:space="preserve">Public Utilities </w:t>
      </w:r>
      <w:r w:rsidRPr="002B28E5">
        <w:rPr>
          <w:rFonts w:eastAsia="Calibri" w:cs="Times New Roman"/>
        </w:rPr>
        <w:t>Commission</w:t>
      </w:r>
      <w:r w:rsidR="00FA1AF4">
        <w:rPr>
          <w:rFonts w:eastAsia="Calibri" w:cs="Times New Roman"/>
        </w:rPr>
        <w:t xml:space="preserve"> of Ohio (“Commission”)</w:t>
      </w:r>
      <w:r w:rsidRPr="002B28E5">
        <w:rPr>
          <w:rFonts w:eastAsia="Calibri" w:cs="Times New Roman"/>
        </w:rPr>
        <w:t xml:space="preserve"> </w:t>
      </w:r>
      <w:r>
        <w:t>found</w:t>
      </w:r>
      <w:r w:rsidR="006902B1">
        <w:t xml:space="preserve">: </w:t>
      </w:r>
      <w:r>
        <w:t xml:space="preserve"> (1) that AEP-Ohio failed to demonstrate that the PPA Rider would have the </w:t>
      </w:r>
      <w:r>
        <w:lastRenderedPageBreak/>
        <w:t xml:space="preserve">effect of stabilizing retail electric service and (2) that authorization of </w:t>
      </w:r>
      <w:r w:rsidR="001B026C">
        <w:t xml:space="preserve">the </w:t>
      </w:r>
      <w:r w:rsidR="00A512F9">
        <w:t>Rider at a rate greater than zero</w:t>
      </w:r>
      <w:r>
        <w:t xml:space="preserve"> was not in the public interest.</w:t>
      </w:r>
      <w:r>
        <w:rPr>
          <w:rStyle w:val="FootnoteReference"/>
        </w:rPr>
        <w:footnoteReference w:id="3"/>
      </w:r>
      <w:r>
        <w:t xml:space="preserve">  </w:t>
      </w:r>
      <w:r>
        <w:rPr>
          <w:rFonts w:eastAsia="Calibri" w:cs="Times New Roman"/>
        </w:rPr>
        <w:t xml:space="preserve">Although the Commission found that AEP-Ohio had failed to demonstrate a lawful basis to begin collection </w:t>
      </w:r>
      <w:r w:rsidR="007E5C83">
        <w:rPr>
          <w:rFonts w:eastAsia="Calibri" w:cs="Times New Roman"/>
        </w:rPr>
        <w:t>of the PPA Rider</w:t>
      </w:r>
      <w:r>
        <w:rPr>
          <w:rFonts w:eastAsia="Calibri" w:cs="Times New Roman"/>
        </w:rPr>
        <w:t>, the Commission nonetheless</w:t>
      </w:r>
      <w:r w:rsidRPr="002B28E5">
        <w:rPr>
          <w:rFonts w:eastAsia="Calibri" w:cs="Times New Roman"/>
        </w:rPr>
        <w:t xml:space="preserve"> authorized AEP-Ohio to establish a PPA Rider as a placeholder with an initial rate of zero.</w:t>
      </w:r>
      <w:r w:rsidRPr="002B28E5">
        <w:rPr>
          <w:rFonts w:eastAsia="Calibri" w:cs="Times New Roman"/>
          <w:vertAlign w:val="superscript"/>
        </w:rPr>
        <w:footnoteReference w:id="4"/>
      </w:r>
      <w:r w:rsidRPr="002B28E5">
        <w:rPr>
          <w:rFonts w:eastAsia="Calibri" w:cs="Times New Roman"/>
        </w:rPr>
        <w:t xml:space="preserve">  </w:t>
      </w:r>
      <w:r w:rsidR="001B026C">
        <w:t>Further, the Commission held that AEP-Ohio could make a “future filing” for a non-zero PPA Rider and directed AEP-Ohio to address at least four “factors” if it made this “future filing</w:t>
      </w:r>
      <w:r w:rsidR="00A512F9">
        <w:t>.</w:t>
      </w:r>
      <w:r w:rsidR="001B026C">
        <w:t>”</w:t>
      </w:r>
      <w:r w:rsidRPr="002B28E5">
        <w:rPr>
          <w:rFonts w:eastAsia="Calibri" w:cs="Times New Roman"/>
          <w:vertAlign w:val="superscript"/>
        </w:rPr>
        <w:footnoteReference w:id="5"/>
      </w:r>
    </w:p>
    <w:p w:rsidR="002B28E5" w:rsidRDefault="00636726" w:rsidP="00063D97">
      <w:pPr>
        <w:spacing w:line="480" w:lineRule="auto"/>
        <w:ind w:firstLine="720"/>
        <w:jc w:val="both"/>
      </w:pPr>
      <w:r>
        <w:t>In Application</w:t>
      </w:r>
      <w:r w:rsidR="006E5BA1">
        <w:t>s</w:t>
      </w:r>
      <w:r>
        <w:t xml:space="preserve"> for Rehearing, </w:t>
      </w:r>
      <w:r w:rsidR="002B28E5">
        <w:t>Industrial Energy Users-Ohio (“IEU-Ohio”)</w:t>
      </w:r>
      <w:r w:rsidR="001B026C">
        <w:t xml:space="preserve"> and others</w:t>
      </w:r>
      <w:r w:rsidR="002B28E5">
        <w:t xml:space="preserve"> </w:t>
      </w:r>
      <w:r>
        <w:t>urged</w:t>
      </w:r>
      <w:r w:rsidR="0044281A">
        <w:t xml:space="preserve"> the Commission </w:t>
      </w:r>
      <w:r>
        <w:t>to</w:t>
      </w:r>
      <w:r w:rsidR="0044281A">
        <w:t xml:space="preserve"> reverse its</w:t>
      </w:r>
      <w:r w:rsidR="002B28E5">
        <w:t xml:space="preserve"> a</w:t>
      </w:r>
      <w:r>
        <w:t xml:space="preserve">uthorization of the PPA Rider because </w:t>
      </w:r>
      <w:r w:rsidR="008C7AEC">
        <w:t>authorization was unlawful and unreasonable under both state and federal law.</w:t>
      </w:r>
      <w:r w:rsidR="008C7AEC">
        <w:rPr>
          <w:rStyle w:val="FootnoteReference"/>
        </w:rPr>
        <w:footnoteReference w:id="6"/>
      </w:r>
      <w:r w:rsidR="008C7AEC">
        <w:t xml:space="preserve">  </w:t>
      </w:r>
    </w:p>
    <w:p w:rsidR="002B28E5" w:rsidRDefault="00FA383D" w:rsidP="00063D97">
      <w:pPr>
        <w:spacing w:line="480" w:lineRule="auto"/>
        <w:ind w:firstLine="720"/>
        <w:jc w:val="both"/>
      </w:pPr>
      <w:r>
        <w:t xml:space="preserve">AEP-Ohio </w:t>
      </w:r>
      <w:r w:rsidR="008C7AEC">
        <w:t xml:space="preserve">also </w:t>
      </w:r>
      <w:r>
        <w:t xml:space="preserve">filed an </w:t>
      </w:r>
      <w:r w:rsidR="006902B1">
        <w:t>A</w:t>
      </w:r>
      <w:r>
        <w:t xml:space="preserve">pplication for </w:t>
      </w:r>
      <w:r w:rsidR="006902B1">
        <w:t>R</w:t>
      </w:r>
      <w:r>
        <w:t>ehearing of the ESP</w:t>
      </w:r>
      <w:r w:rsidR="002B28E5">
        <w:t xml:space="preserve"> III Order.  </w:t>
      </w:r>
      <w:r>
        <w:t xml:space="preserve">In </w:t>
      </w:r>
      <w:r w:rsidR="002B28E5">
        <w:t>its Application for Rehearing, AEP-Ohio requested</w:t>
      </w:r>
      <w:r>
        <w:t xml:space="preserve"> that the Commission reverse its order denying AEP-Ohio authorization to begin collecting </w:t>
      </w:r>
      <w:r w:rsidR="001B026C">
        <w:t>the PPA Rider</w:t>
      </w:r>
      <w:r>
        <w:t>.</w:t>
      </w:r>
      <w:r w:rsidR="008C7AEC">
        <w:rPr>
          <w:rStyle w:val="FootnoteReference"/>
        </w:rPr>
        <w:footnoteReference w:id="7"/>
      </w:r>
      <w:r w:rsidR="008C7AEC">
        <w:t xml:space="preserve">  </w:t>
      </w:r>
      <w:r w:rsidR="008252CB">
        <w:t xml:space="preserve">IEU-Ohio and others opposed AEP-Ohio’s </w:t>
      </w:r>
      <w:r w:rsidR="00FA1AF4">
        <w:t xml:space="preserve">assignment of error seeking reversal of the Commission’s order </w:t>
      </w:r>
      <w:r w:rsidR="001B026C">
        <w:t>finding that the AEP-Ohio could not begin collection of the Rider</w:t>
      </w:r>
      <w:r w:rsidR="008252CB">
        <w:t>.</w:t>
      </w:r>
      <w:r w:rsidR="008C7AEC">
        <w:rPr>
          <w:rStyle w:val="FootnoteReference"/>
        </w:rPr>
        <w:footnoteReference w:id="8"/>
      </w:r>
    </w:p>
    <w:p w:rsidR="008252CB" w:rsidRDefault="00B348BF" w:rsidP="00063D97">
      <w:pPr>
        <w:spacing w:line="480" w:lineRule="auto"/>
        <w:ind w:firstLine="720"/>
        <w:jc w:val="both"/>
      </w:pPr>
      <w:r>
        <w:lastRenderedPageBreak/>
        <w:t>In the First Entry on Rehearing issued on April 22, 2015, the Commission granted rehearing to permit further consideration of the applications for rehearing.</w:t>
      </w:r>
      <w:r>
        <w:rPr>
          <w:rStyle w:val="FootnoteReference"/>
        </w:rPr>
        <w:footnoteReference w:id="9"/>
      </w:r>
      <w:r>
        <w:t xml:space="preserve">  In its Second Entry on Rehearing, the Commission, n</w:t>
      </w:r>
      <w:r w:rsidR="008252CB">
        <w:t xml:space="preserve">oting that there were </w:t>
      </w:r>
      <w:r>
        <w:t>proceedings</w:t>
      </w:r>
      <w:r w:rsidR="008252CB">
        <w:t xml:space="preserve"> pending at the Federal Energy Regulatory Commission </w:t>
      </w:r>
      <w:r w:rsidR="006902B1">
        <w:t xml:space="preserve">(“FERC”) </w:t>
      </w:r>
      <w:r w:rsidR="008252CB">
        <w:t xml:space="preserve">and United States Environmental Protection Agency that may affect the financial need of generating plants and grid reliability, </w:t>
      </w:r>
      <w:r w:rsidR="00280DAD">
        <w:t>deferred ruling on the assignments of error related to the PPA Rider</w:t>
      </w:r>
      <w:r w:rsidR="00AC0A2F">
        <w:t>.</w:t>
      </w:r>
      <w:r w:rsidR="00280DAD">
        <w:rPr>
          <w:rStyle w:val="FootnoteReference"/>
        </w:rPr>
        <w:footnoteReference w:id="10"/>
      </w:r>
      <w:r w:rsidR="00280DAD">
        <w:t xml:space="preserve">  </w:t>
      </w:r>
      <w:r w:rsidR="00AC0A2F">
        <w:t xml:space="preserve">The Commission also </w:t>
      </w:r>
      <w:r w:rsidR="00280DAD">
        <w:t>noted that it may revisit its decision to defer ruling on the assignments of error related to the PPA Rider at any time.</w:t>
      </w:r>
      <w:r w:rsidR="00280DAD">
        <w:rPr>
          <w:rStyle w:val="FootnoteReference"/>
        </w:rPr>
        <w:footnoteReference w:id="11"/>
      </w:r>
    </w:p>
    <w:p w:rsidR="00B348BF" w:rsidRDefault="00636726" w:rsidP="00B348BF">
      <w:pPr>
        <w:spacing w:line="480" w:lineRule="auto"/>
        <w:ind w:firstLine="720"/>
        <w:jc w:val="both"/>
      </w:pPr>
      <w:r>
        <w:t xml:space="preserve">Having failed to convince the Commission that it should be permitted </w:t>
      </w:r>
      <w:r w:rsidR="007831E1">
        <w:t xml:space="preserve">to </w:t>
      </w:r>
      <w:r w:rsidR="001B026C">
        <w:t>transfer its price risk associated with OVEC to retail customers</w:t>
      </w:r>
      <w:r w:rsidR="00063D97">
        <w:t>,</w:t>
      </w:r>
      <w:r>
        <w:t xml:space="preserve"> AEP-Ohio</w:t>
      </w:r>
      <w:r w:rsidR="00280DAD">
        <w:t xml:space="preserve"> now seeks </w:t>
      </w:r>
      <w:r w:rsidR="00334D39">
        <w:t>rehearing of the Commission’s decision to defer resolution of the lawfulness of the PPA Rider</w:t>
      </w:r>
      <w:r w:rsidR="00ED4A2F">
        <w:t xml:space="preserve">.  </w:t>
      </w:r>
      <w:r w:rsidR="0075573F">
        <w:t>In support of its assignment of error</w:t>
      </w:r>
      <w:r w:rsidR="00ED4A2F">
        <w:t>, AEP-Ohio alleges its right to withdraw from the ESP is impaired</w:t>
      </w:r>
      <w:r w:rsidR="00713120">
        <w:t xml:space="preserve"> because the Second Entry on Rehearing “injected new uncertainty concerning </w:t>
      </w:r>
      <w:r w:rsidR="006902B1">
        <w:t xml:space="preserve">certain </w:t>
      </w:r>
      <w:r w:rsidR="00713120">
        <w:t>legal and policy challenges previously lodged against the PPA Rider</w:t>
      </w:r>
      <w:r w:rsidR="00280DAD">
        <w:t>.</w:t>
      </w:r>
      <w:r w:rsidR="00713120">
        <w:t>”</w:t>
      </w:r>
      <w:r w:rsidR="00280DAD">
        <w:rPr>
          <w:rStyle w:val="FootnoteReference"/>
        </w:rPr>
        <w:footnoteReference w:id="12"/>
      </w:r>
      <w:r w:rsidR="00280DAD">
        <w:t xml:space="preserve">  According to AEP-Ohio, “keeping the PPA Rider issues in limbo indefinitely prevents [AEP-Ohio]</w:t>
      </w:r>
      <w:r w:rsidR="00580378">
        <w:t xml:space="preserve"> from making an informed choice in exercising its statutory </w:t>
      </w:r>
      <w:r w:rsidR="00945A56">
        <w:t xml:space="preserve">consent </w:t>
      </w:r>
      <w:r w:rsidR="00580378">
        <w:t>rights.”</w:t>
      </w:r>
      <w:r w:rsidR="00580378">
        <w:rPr>
          <w:rStyle w:val="FootnoteReference"/>
        </w:rPr>
        <w:footnoteReference w:id="13"/>
      </w:r>
      <w:r w:rsidR="00B348BF">
        <w:t xml:space="preserve">  </w:t>
      </w:r>
    </w:p>
    <w:p w:rsidR="00580378" w:rsidRDefault="00713120" w:rsidP="00063D97">
      <w:pPr>
        <w:spacing w:line="480" w:lineRule="auto"/>
        <w:ind w:firstLine="720"/>
        <w:jc w:val="both"/>
      </w:pPr>
      <w:r>
        <w:t xml:space="preserve">The Commission should deny </w:t>
      </w:r>
      <w:r w:rsidR="00334D39">
        <w:t xml:space="preserve">AEP-Ohio’s </w:t>
      </w:r>
      <w:r>
        <w:t xml:space="preserve">first assignment of error because it </w:t>
      </w:r>
      <w:r w:rsidR="00334D39">
        <w:t>is without merit</w:t>
      </w:r>
      <w:r w:rsidR="00A9551B">
        <w:t>.</w:t>
      </w:r>
      <w:r w:rsidR="00432811">
        <w:rPr>
          <w:rStyle w:val="FootnoteReference"/>
        </w:rPr>
        <w:footnoteReference w:id="14"/>
      </w:r>
      <w:r w:rsidR="00B348BF">
        <w:t xml:space="preserve">  However, i</w:t>
      </w:r>
      <w:r w:rsidR="00063D97">
        <w:t>f t</w:t>
      </w:r>
      <w:r w:rsidR="00580378">
        <w:t>he Commission</w:t>
      </w:r>
      <w:r w:rsidR="00063D97">
        <w:t xml:space="preserve"> grants</w:t>
      </w:r>
      <w:r w:rsidR="00580378">
        <w:t xml:space="preserve"> rehearing</w:t>
      </w:r>
      <w:r>
        <w:t xml:space="preserve"> and then addresses the </w:t>
      </w:r>
      <w:r>
        <w:lastRenderedPageBreak/>
        <w:t>legal merits of the PPA Rider</w:t>
      </w:r>
      <w:r w:rsidR="00063D97">
        <w:t>,</w:t>
      </w:r>
      <w:r w:rsidR="00063D97">
        <w:rPr>
          <w:rStyle w:val="FootnoteReference"/>
        </w:rPr>
        <w:footnoteReference w:id="15"/>
      </w:r>
      <w:r w:rsidR="00063D97">
        <w:t xml:space="preserve"> </w:t>
      </w:r>
      <w:r>
        <w:t>it</w:t>
      </w:r>
      <w:r w:rsidR="00580378">
        <w:t xml:space="preserve"> should </w:t>
      </w:r>
      <w:r w:rsidR="0075573F">
        <w:t>find</w:t>
      </w:r>
      <w:r w:rsidR="00580378">
        <w:t xml:space="preserve"> that </w:t>
      </w:r>
      <w:r w:rsidR="0075573F">
        <w:t>it is without authority under state and federal law to authorize the PPA Rider</w:t>
      </w:r>
      <w:r w:rsidR="00580378">
        <w:t>.</w:t>
      </w:r>
      <w:r w:rsidR="00802487">
        <w:rPr>
          <w:rStyle w:val="FootnoteReference"/>
        </w:rPr>
        <w:footnoteReference w:id="16"/>
      </w:r>
      <w:r w:rsidR="00580378">
        <w:t xml:space="preserve">  </w:t>
      </w:r>
    </w:p>
    <w:p w:rsidR="00FA383D" w:rsidRDefault="00743440" w:rsidP="00063D97">
      <w:pPr>
        <w:pStyle w:val="Heading1"/>
      </w:pPr>
      <w:bookmarkStart w:id="9" w:name="_Toc424029913"/>
      <w:bookmarkStart w:id="10" w:name="_Toc424120862"/>
      <w:bookmarkStart w:id="11" w:name="_Toc424131172"/>
      <w:bookmarkStart w:id="12" w:name="_Toc424131615"/>
      <w:bookmarkStart w:id="13" w:name="_Toc424200366"/>
      <w:r>
        <w:lastRenderedPageBreak/>
        <w:t>Argument</w:t>
      </w:r>
      <w:bookmarkEnd w:id="9"/>
      <w:bookmarkEnd w:id="10"/>
      <w:bookmarkEnd w:id="11"/>
      <w:bookmarkEnd w:id="12"/>
      <w:bookmarkEnd w:id="13"/>
    </w:p>
    <w:p w:rsidR="00C27AAE" w:rsidRPr="00A80453" w:rsidRDefault="00EE42B2" w:rsidP="00063D97">
      <w:pPr>
        <w:spacing w:line="480" w:lineRule="auto"/>
        <w:ind w:firstLine="720"/>
        <w:jc w:val="both"/>
      </w:pPr>
      <w:r w:rsidRPr="00A80453">
        <w:t xml:space="preserve">In its first assignment of error, </w:t>
      </w:r>
      <w:r w:rsidR="009101D8" w:rsidRPr="00A80453">
        <w:t xml:space="preserve">AEP-Ohio </w:t>
      </w:r>
      <w:r w:rsidR="00AC0A2F" w:rsidRPr="00A80453">
        <w:t>alleges</w:t>
      </w:r>
      <w:r w:rsidR="002A21BD" w:rsidRPr="00A80453">
        <w:t xml:space="preserve"> </w:t>
      </w:r>
      <w:r w:rsidR="0049698B" w:rsidRPr="00A80453">
        <w:t xml:space="preserve">that </w:t>
      </w:r>
      <w:r w:rsidRPr="00A80453">
        <w:t>the Commission’s decision to defer resolution of</w:t>
      </w:r>
      <w:r w:rsidR="00802487" w:rsidRPr="00A80453">
        <w:t xml:space="preserve"> the lawfulness of</w:t>
      </w:r>
      <w:r w:rsidRPr="00A80453">
        <w:t xml:space="preserve"> the PPA Rider unlawfully and unreasonably </w:t>
      </w:r>
      <w:r w:rsidR="009101D8" w:rsidRPr="00A80453">
        <w:t xml:space="preserve">impaired </w:t>
      </w:r>
      <w:r w:rsidRPr="00A80453">
        <w:t xml:space="preserve">AEP-Ohio’s right to withdraw its </w:t>
      </w:r>
      <w:r w:rsidR="00035D0D">
        <w:t xml:space="preserve">ESP </w:t>
      </w:r>
      <w:r w:rsidRPr="00A80453">
        <w:t>application under R.C. 4928.143(C)(2).</w:t>
      </w:r>
      <w:r w:rsidR="00802487" w:rsidRPr="00A80453">
        <w:rPr>
          <w:rStyle w:val="FootnoteReference"/>
        </w:rPr>
        <w:footnoteReference w:id="17"/>
      </w:r>
      <w:r w:rsidRPr="00A80453">
        <w:t xml:space="preserve">  </w:t>
      </w:r>
      <w:r w:rsidR="004C7BF7" w:rsidRPr="00A80453">
        <w:t xml:space="preserve">To support </w:t>
      </w:r>
      <w:r w:rsidR="00802487" w:rsidRPr="00A80453">
        <w:t>the assignment of error</w:t>
      </w:r>
      <w:r w:rsidR="004C7BF7" w:rsidRPr="00A80453">
        <w:t xml:space="preserve">, AEP-Ohio </w:t>
      </w:r>
      <w:r w:rsidR="0049698B" w:rsidRPr="00A80453">
        <w:t xml:space="preserve">presents a two-step argument.  </w:t>
      </w:r>
      <w:r w:rsidR="00055693">
        <w:t xml:space="preserve">It premises its assignment </w:t>
      </w:r>
      <w:r w:rsidR="00DC2A16">
        <w:t xml:space="preserve">of error </w:t>
      </w:r>
      <w:r w:rsidR="00055693">
        <w:t>on the claim</w:t>
      </w:r>
      <w:r w:rsidR="00352A4F" w:rsidRPr="00A80453">
        <w:t xml:space="preserve"> that the Commission cannot leave open the possibility that it will modify the ESP III Order</w:t>
      </w:r>
      <w:r w:rsidR="000F6229">
        <w:t xml:space="preserve"> in future proceedings</w:t>
      </w:r>
      <w:r w:rsidR="00352A4F" w:rsidRPr="00A80453">
        <w:t>.</w:t>
      </w:r>
      <w:r w:rsidR="00352A4F" w:rsidRPr="00A80453">
        <w:rPr>
          <w:rStyle w:val="FootnoteReference"/>
        </w:rPr>
        <w:footnoteReference w:id="18"/>
      </w:r>
      <w:r w:rsidR="00352A4F" w:rsidRPr="00A80453">
        <w:t xml:space="preserve">  </w:t>
      </w:r>
      <w:r w:rsidR="00055693">
        <w:t>Based on this premise</w:t>
      </w:r>
      <w:r w:rsidR="002A21BD" w:rsidRPr="00A80453">
        <w:t>,</w:t>
      </w:r>
      <w:r w:rsidR="0049698B" w:rsidRPr="00A80453">
        <w:t xml:space="preserve"> </w:t>
      </w:r>
      <w:r w:rsidR="00DC2A16">
        <w:t>AEP-Ohio</w:t>
      </w:r>
      <w:r w:rsidR="0049698B" w:rsidRPr="00A80453">
        <w:t xml:space="preserve"> </w:t>
      </w:r>
      <w:r w:rsidR="00055693">
        <w:t xml:space="preserve">then </w:t>
      </w:r>
      <w:r w:rsidR="00DC2A16">
        <w:t>concludes</w:t>
      </w:r>
      <w:r w:rsidR="0049698B" w:rsidRPr="00A80453">
        <w:t xml:space="preserve"> that it is prejudiced </w:t>
      </w:r>
      <w:r w:rsidR="00352A4F" w:rsidRPr="00A80453">
        <w:t xml:space="preserve">because </w:t>
      </w:r>
      <w:r w:rsidR="004C7BF7" w:rsidRPr="00A80453">
        <w:t xml:space="preserve">the Commission’s decision </w:t>
      </w:r>
      <w:r w:rsidR="00352A4F" w:rsidRPr="00A80453">
        <w:t xml:space="preserve">to defer resolution of the lawfulness of the PPA Rider </w:t>
      </w:r>
      <w:r w:rsidR="004C7BF7" w:rsidRPr="00A80453">
        <w:t xml:space="preserve">“prevents </w:t>
      </w:r>
      <w:r w:rsidR="00813C52" w:rsidRPr="00A80453">
        <w:t xml:space="preserve">the Company </w:t>
      </w:r>
      <w:r w:rsidR="004C7BF7" w:rsidRPr="00A80453">
        <w:t>from making an informed choice in exercising its statutory consent rights.”</w:t>
      </w:r>
      <w:r w:rsidR="004C7BF7" w:rsidRPr="00A80453">
        <w:rPr>
          <w:rStyle w:val="FootnoteReference"/>
        </w:rPr>
        <w:footnoteReference w:id="19"/>
      </w:r>
      <w:r w:rsidR="004C7BF7" w:rsidRPr="00A80453">
        <w:t xml:space="preserve">  </w:t>
      </w:r>
    </w:p>
    <w:p w:rsidR="00594B00" w:rsidRDefault="00352A4F" w:rsidP="00063D97">
      <w:pPr>
        <w:spacing w:line="480" w:lineRule="auto"/>
        <w:ind w:firstLine="720"/>
        <w:jc w:val="both"/>
      </w:pPr>
      <w:r w:rsidRPr="00A80453">
        <w:t xml:space="preserve">Neither </w:t>
      </w:r>
      <w:r w:rsidR="00055693">
        <w:t xml:space="preserve">the premise nor the conclusion </w:t>
      </w:r>
      <w:r w:rsidRPr="00A80453">
        <w:t>has merit</w:t>
      </w:r>
      <w:r w:rsidR="00EE42B2" w:rsidRPr="00A80453">
        <w:t>.</w:t>
      </w:r>
      <w:r w:rsidR="00C27AAE" w:rsidRPr="00A80453">
        <w:t xml:space="preserve">  First, </w:t>
      </w:r>
      <w:r w:rsidR="00055693">
        <w:t>the premise</w:t>
      </w:r>
      <w:r w:rsidR="0075573F">
        <w:t xml:space="preserve"> that the Commission cannot modify the ESP III Order</w:t>
      </w:r>
      <w:r w:rsidR="004C7BF7" w:rsidRPr="00A80453">
        <w:t xml:space="preserve"> is </w:t>
      </w:r>
      <w:r w:rsidR="00055693">
        <w:t>based</w:t>
      </w:r>
      <w:r w:rsidR="004C7BF7" w:rsidRPr="00A80453">
        <w:t xml:space="preserve"> on a misreading of </w:t>
      </w:r>
      <w:r w:rsidRPr="00A80453">
        <w:t>R.C. 4928.143(C)(2)</w:t>
      </w:r>
      <w:r w:rsidR="004C7BF7" w:rsidRPr="00A80453">
        <w:t xml:space="preserve"> and </w:t>
      </w:r>
      <w:r w:rsidRPr="00A80453">
        <w:t>a recent Ohio Supreme Court</w:t>
      </w:r>
      <w:r w:rsidR="004C7BF7" w:rsidRPr="00A80453">
        <w:t xml:space="preserve"> decision.  </w:t>
      </w:r>
      <w:r w:rsidR="00C27AAE" w:rsidRPr="00A80453">
        <w:t xml:space="preserve">Second, </w:t>
      </w:r>
      <w:r w:rsidR="00055693">
        <w:t>AEP-Ohio’s conclusion</w:t>
      </w:r>
      <w:r w:rsidR="0075573F">
        <w:t xml:space="preserve"> </w:t>
      </w:r>
      <w:r w:rsidR="00055693">
        <w:t xml:space="preserve">that its right to withdraw is impaired because the Commission deferred decision on the legal issues related to the PPA Rider </w:t>
      </w:r>
      <w:r w:rsidR="0075573F">
        <w:t>is not factually true</w:t>
      </w:r>
      <w:r w:rsidR="004C7BF7" w:rsidRPr="00A80453">
        <w:t xml:space="preserve">: </w:t>
      </w:r>
      <w:r w:rsidR="00813C52" w:rsidRPr="00A80453">
        <w:t xml:space="preserve"> </w:t>
      </w:r>
      <w:r w:rsidR="00055693">
        <w:t>AEP-Ohio</w:t>
      </w:r>
      <w:r w:rsidR="00055693" w:rsidRPr="00A80453">
        <w:t xml:space="preserve"> </w:t>
      </w:r>
      <w:r w:rsidR="00055693">
        <w:t>has</w:t>
      </w:r>
      <w:r w:rsidR="0075573F">
        <w:t xml:space="preserve"> the right to withdraw and </w:t>
      </w:r>
      <w:r w:rsidR="004C7BF7" w:rsidRPr="00A80453">
        <w:t>already has all of the information that it needs or that it would have if the Commission granted rehearing and issued a decision on the legal merits of the PPA Rider</w:t>
      </w:r>
      <w:r w:rsidR="0075573F">
        <w:t xml:space="preserve">.  Further, </w:t>
      </w:r>
      <w:r w:rsidR="00C27AAE" w:rsidRPr="00A80453">
        <w:t xml:space="preserve">AEP-Ohio admits that it would not do anything different if the Commission </w:t>
      </w:r>
      <w:r w:rsidR="002A21BD" w:rsidRPr="00A80453">
        <w:t xml:space="preserve">denied rehearing </w:t>
      </w:r>
      <w:r w:rsidR="00EE42B2" w:rsidRPr="00A80453">
        <w:t>of</w:t>
      </w:r>
      <w:r w:rsidR="002A21BD" w:rsidRPr="00A80453">
        <w:t xml:space="preserve"> its </w:t>
      </w:r>
      <w:r w:rsidR="00EE42B2" w:rsidRPr="00A80453">
        <w:t xml:space="preserve">first </w:t>
      </w:r>
      <w:r w:rsidR="002A21BD" w:rsidRPr="00A80453">
        <w:t xml:space="preserve">assignment of error.  </w:t>
      </w:r>
      <w:r w:rsidR="00A2719C">
        <w:t>Because neither portion of the argument supporting the assignment of error</w:t>
      </w:r>
      <w:r w:rsidR="00DC2A16">
        <w:t xml:space="preserve"> has merit</w:t>
      </w:r>
      <w:r w:rsidR="00E6490C" w:rsidRPr="00A80453">
        <w:t xml:space="preserve">, AEP-Ohio’s first assignment of error </w:t>
      </w:r>
      <w:r w:rsidR="002A21BD" w:rsidRPr="00A80453">
        <w:t>should be denied</w:t>
      </w:r>
      <w:r w:rsidR="00CF3BA3" w:rsidRPr="00A80453">
        <w:t>.</w:t>
      </w:r>
    </w:p>
    <w:p w:rsidR="00CF3BA3" w:rsidRDefault="00CF3BA3" w:rsidP="00063D97">
      <w:pPr>
        <w:pStyle w:val="Heading2"/>
      </w:pPr>
      <w:bookmarkStart w:id="14" w:name="_Toc424029914"/>
      <w:bookmarkStart w:id="15" w:name="_Toc424120863"/>
      <w:bookmarkStart w:id="16" w:name="_Toc424131173"/>
      <w:bookmarkStart w:id="17" w:name="_Toc424131616"/>
      <w:bookmarkStart w:id="18" w:name="_Toc424200367"/>
      <w:r w:rsidRPr="00CF3BA3">
        <w:lastRenderedPageBreak/>
        <w:t xml:space="preserve">AEP-Ohio’s </w:t>
      </w:r>
      <w:r w:rsidR="00035D0D">
        <w:t xml:space="preserve">first </w:t>
      </w:r>
      <w:r w:rsidR="00084F3A">
        <w:t>assignment of error</w:t>
      </w:r>
      <w:r w:rsidRPr="00CF3BA3">
        <w:t xml:space="preserve"> is premised on a misreading of </w:t>
      </w:r>
      <w:r w:rsidR="008376DA">
        <w:t>R.C. 4928.143(C)(2)</w:t>
      </w:r>
      <w:r w:rsidRPr="00CF3BA3">
        <w:t xml:space="preserve"> and the </w:t>
      </w:r>
      <w:bookmarkEnd w:id="14"/>
      <w:r w:rsidR="00035D0D" w:rsidRPr="00813543">
        <w:rPr>
          <w:i/>
        </w:rPr>
        <w:t>Ohio Power Case</w:t>
      </w:r>
      <w:bookmarkEnd w:id="15"/>
      <w:bookmarkEnd w:id="16"/>
      <w:bookmarkEnd w:id="17"/>
      <w:bookmarkEnd w:id="18"/>
    </w:p>
    <w:p w:rsidR="00084F3A" w:rsidRDefault="00DC2A16" w:rsidP="00063D97">
      <w:pPr>
        <w:spacing w:line="480" w:lineRule="auto"/>
        <w:ind w:firstLine="720"/>
        <w:jc w:val="both"/>
      </w:pPr>
      <w:r>
        <w:t>The premise of AEP-Ohio’s first assignment of error is</w:t>
      </w:r>
      <w:r w:rsidR="00084F3A">
        <w:t xml:space="preserve"> that “it is clear that the Commission cannot leave open the possibility that modifications of the ESP will be adopted subsequent to the initial decision to adopt, reject or modify and adopt.”</w:t>
      </w:r>
      <w:r w:rsidR="00084F3A">
        <w:rPr>
          <w:rStyle w:val="FootnoteReference"/>
        </w:rPr>
        <w:footnoteReference w:id="20"/>
      </w:r>
      <w:r w:rsidR="00084F3A">
        <w:t xml:space="preserve">  To support this claim, AEP-Ohio relies on the text of R.C. 4928.143(C)(2) and the Supreme Court’s decision reversing a Commission order modifying an ESP order on the ground that the Commission’s modification impaired AEP-Ohio’s right to withdraw</w:t>
      </w:r>
      <w:r w:rsidR="00DA2109">
        <w:t xml:space="preserve"> (“</w:t>
      </w:r>
      <w:r w:rsidR="00DA2109" w:rsidRPr="00DA2109">
        <w:rPr>
          <w:i/>
        </w:rPr>
        <w:t>Ohio Power Case</w:t>
      </w:r>
      <w:r w:rsidR="00DA2109">
        <w:t>”)</w:t>
      </w:r>
      <w:r w:rsidR="00084F3A">
        <w:t>.</w:t>
      </w:r>
      <w:r w:rsidR="00084F3A">
        <w:rPr>
          <w:rStyle w:val="FootnoteReference"/>
        </w:rPr>
        <w:footnoteReference w:id="21"/>
      </w:r>
      <w:r w:rsidR="00084F3A">
        <w:t xml:space="preserve">  </w:t>
      </w:r>
      <w:r w:rsidR="0075573F">
        <w:t xml:space="preserve">However, </w:t>
      </w:r>
      <w:r w:rsidR="00084F3A">
        <w:t>AEP-Ohio’s broad claim that the Commission cannot “leave open the possibility that modifications of the ESP will be adopted”</w:t>
      </w:r>
      <w:r w:rsidR="006902B1">
        <w:rPr>
          <w:rStyle w:val="FootnoteReference"/>
        </w:rPr>
        <w:footnoteReference w:id="22"/>
      </w:r>
      <w:r w:rsidR="00084F3A">
        <w:t xml:space="preserve"> is not supported by </w:t>
      </w:r>
      <w:r w:rsidR="00A2719C">
        <w:t>R.C. 4928.143(C)(2)</w:t>
      </w:r>
      <w:r w:rsidR="000F6229">
        <w:t xml:space="preserve">.  </w:t>
      </w:r>
      <w:r w:rsidR="00F61A80">
        <w:t>AEP-Ohio</w:t>
      </w:r>
      <w:r w:rsidR="000F6229">
        <w:t xml:space="preserve"> also</w:t>
      </w:r>
      <w:r w:rsidR="00524998">
        <w:t xml:space="preserve"> ignores and</w:t>
      </w:r>
      <w:r w:rsidR="00084F3A">
        <w:t xml:space="preserve"> </w:t>
      </w:r>
      <w:r w:rsidR="004F0CFD">
        <w:t xml:space="preserve">misreads </w:t>
      </w:r>
      <w:r w:rsidR="00084F3A">
        <w:t xml:space="preserve">the Court’s </w:t>
      </w:r>
      <w:r w:rsidR="00524998">
        <w:t>holdings in</w:t>
      </w:r>
      <w:r w:rsidR="00084F3A">
        <w:t xml:space="preserve"> the </w:t>
      </w:r>
      <w:r w:rsidR="00084F3A" w:rsidRPr="00084F3A">
        <w:rPr>
          <w:i/>
        </w:rPr>
        <w:t>Ohio Power</w:t>
      </w:r>
      <w:r w:rsidR="00084F3A">
        <w:t xml:space="preserve"> </w:t>
      </w:r>
      <w:r w:rsidR="00084F3A" w:rsidRPr="00A80453">
        <w:rPr>
          <w:i/>
        </w:rPr>
        <w:t>Case</w:t>
      </w:r>
      <w:r w:rsidR="00084F3A">
        <w:t>.</w:t>
      </w:r>
    </w:p>
    <w:p w:rsidR="00B8091B" w:rsidRDefault="000157C1" w:rsidP="00063D97">
      <w:pPr>
        <w:spacing w:line="480" w:lineRule="auto"/>
        <w:ind w:firstLine="720"/>
        <w:jc w:val="both"/>
      </w:pPr>
      <w:r>
        <w:t>R.C. 4928.143</w:t>
      </w:r>
      <w:r w:rsidR="004A68FD">
        <w:t>(</w:t>
      </w:r>
      <w:r>
        <w:t xml:space="preserve">C)(2) provides that an electric distribution utility </w:t>
      </w:r>
      <w:r w:rsidR="006902B1">
        <w:t xml:space="preserve">(“EDU”) </w:t>
      </w:r>
      <w:r>
        <w:t xml:space="preserve">may withdraw its application if the Commission modifies and approves the application.  </w:t>
      </w:r>
      <w:r w:rsidR="00DC2A16">
        <w:t xml:space="preserve">Contrary to AEP-Ohio’s claim, </w:t>
      </w:r>
      <w:r w:rsidR="000C1A42">
        <w:t xml:space="preserve">the text does not specify </w:t>
      </w:r>
      <w:r w:rsidR="00DC2A16">
        <w:t>that the Commission cannot defer resolution of an issue in the order adopting and modifying an application</w:t>
      </w:r>
      <w:r w:rsidR="00524998">
        <w:t xml:space="preserve">.  </w:t>
      </w:r>
    </w:p>
    <w:p w:rsidR="00924963" w:rsidRDefault="000C1A42" w:rsidP="000C1A42">
      <w:pPr>
        <w:spacing w:line="480" w:lineRule="auto"/>
        <w:ind w:firstLine="720"/>
        <w:jc w:val="both"/>
      </w:pPr>
      <w:r>
        <w:t xml:space="preserve">Additionally, the </w:t>
      </w:r>
      <w:r w:rsidRPr="00DC2A16">
        <w:rPr>
          <w:i/>
        </w:rPr>
        <w:t>Ohio Power Case</w:t>
      </w:r>
      <w:r>
        <w:t xml:space="preserve"> does not support AEP-Ohio’s claim </w:t>
      </w:r>
      <w:r w:rsidR="004A68FD">
        <w:t xml:space="preserve">that </w:t>
      </w:r>
      <w:r>
        <w:t>the Commission cannot defer resolution of an issue</w:t>
      </w:r>
      <w:r w:rsidR="00DC2A16">
        <w:t xml:space="preserve">.  </w:t>
      </w:r>
      <w:r>
        <w:t xml:space="preserve">In that case, the Court addressed the Commission’s decision to modify the initial order (“ESP I Order”) in the </w:t>
      </w:r>
      <w:r w:rsidR="000F6229">
        <w:t xml:space="preserve">first </w:t>
      </w:r>
      <w:r>
        <w:t xml:space="preserve">AEP-Ohio ESP.  </w:t>
      </w:r>
      <w:r w:rsidR="00677F79">
        <w:t xml:space="preserve">In </w:t>
      </w:r>
      <w:r w:rsidR="00264DF0">
        <w:t xml:space="preserve">the ESP I Order, the Commission ordered that AEP-Ohio phase-in rate increases.  </w:t>
      </w:r>
      <w:r w:rsidR="00524998">
        <w:t>The Commission</w:t>
      </w:r>
      <w:r w:rsidR="00264DF0">
        <w:t xml:space="preserve"> also ordered that the amount of revenue AEP-Ohio deferred accrue a carrying charge at the weighted average cost of capital</w:t>
      </w:r>
      <w:r w:rsidR="007269A1">
        <w:t xml:space="preserve">, as requested </w:t>
      </w:r>
      <w:r w:rsidR="007269A1">
        <w:lastRenderedPageBreak/>
        <w:t>by AEP-Ohio in its application</w:t>
      </w:r>
      <w:r w:rsidR="00264DF0">
        <w:t xml:space="preserve">.  </w:t>
      </w:r>
      <w:r w:rsidR="00524998">
        <w:t>As the originally authorized term of the ESP I Order ended,</w:t>
      </w:r>
      <w:r w:rsidR="00264DF0">
        <w:t xml:space="preserve"> AEP-Ohio </w:t>
      </w:r>
      <w:r w:rsidR="00524998">
        <w:t>filed an application seeking authorization of a rider to collect the deferred amount and the continuation of the carrying charge</w:t>
      </w:r>
      <w:r w:rsidR="00DC2A16">
        <w:t xml:space="preserve"> at the weighted average cost of capital</w:t>
      </w:r>
      <w:r w:rsidR="00524998">
        <w:t xml:space="preserve">.  In its order approving the application, </w:t>
      </w:r>
      <w:r w:rsidR="00264DF0">
        <w:t xml:space="preserve">the Commission prospectively reduced the carrying charge to AEP-Ohio’s cost of debt.  </w:t>
      </w:r>
      <w:r w:rsidR="00677F79">
        <w:t>AEP-Ohio appealed the Commission’s decision</w:t>
      </w:r>
      <w:r w:rsidR="00DA2109">
        <w:t xml:space="preserve"> </w:t>
      </w:r>
      <w:r w:rsidR="00677F79">
        <w:t xml:space="preserve">to lower the carrying charge.  </w:t>
      </w:r>
      <w:r w:rsidR="008F0CF9">
        <w:t xml:space="preserve">In its appeal, </w:t>
      </w:r>
      <w:r w:rsidR="00677F79">
        <w:t>AEP-Ohio claimed that the decision to lower the carrying charge was not permitted because it occurred after the term of the ESP</w:t>
      </w:r>
      <w:r w:rsidR="008F0CF9">
        <w:t xml:space="preserve"> (a claim that was inaccurate since the term of the ESP was extended by operation of law</w:t>
      </w:r>
      <w:r w:rsidR="0091071C">
        <w:rPr>
          <w:rStyle w:val="FootnoteReference"/>
        </w:rPr>
        <w:footnoteReference w:id="23"/>
      </w:r>
      <w:r w:rsidR="008F0CF9">
        <w:t>)</w:t>
      </w:r>
      <w:r w:rsidR="00677F79">
        <w:t xml:space="preserve">, thereby impairing </w:t>
      </w:r>
      <w:r w:rsidR="000F6229">
        <w:t>AEP-Ohio’s right</w:t>
      </w:r>
      <w:r w:rsidR="00677F79">
        <w:t xml:space="preserve"> to withdraw</w:t>
      </w:r>
      <w:r w:rsidR="00264DF0">
        <w:t xml:space="preserve"> its application under R.C. 4928.143(C)(2)</w:t>
      </w:r>
      <w:r w:rsidR="00677F79">
        <w:t xml:space="preserve">.  </w:t>
      </w:r>
      <w:r w:rsidR="00924963">
        <w:t>The Court agreed.  It found that the Commission’s decision to lower the carrying charge had modified a term of AEP-Ohio’s ESP application.</w:t>
      </w:r>
      <w:r w:rsidR="00924963">
        <w:rPr>
          <w:rStyle w:val="FootnoteReference"/>
        </w:rPr>
        <w:footnoteReference w:id="24"/>
      </w:r>
      <w:r w:rsidR="00924963">
        <w:t xml:space="preserve">  “[B]ecause the modification of that term occurred </w:t>
      </w:r>
      <w:r w:rsidR="00924963" w:rsidRPr="00DA2109">
        <w:rPr>
          <w:i/>
        </w:rPr>
        <w:t>after</w:t>
      </w:r>
      <w:r w:rsidR="00924963">
        <w:t xml:space="preserve"> the ESP had expired, Ohio Power was unable to withdraw.”</w:t>
      </w:r>
      <w:r w:rsidR="00924963">
        <w:rPr>
          <w:rStyle w:val="FootnoteReference"/>
        </w:rPr>
        <w:footnoteReference w:id="25"/>
      </w:r>
      <w:r w:rsidR="00924963">
        <w:t xml:space="preserve">  </w:t>
      </w:r>
      <w:r w:rsidR="00524998">
        <w:t>The Court then reversed and remanded the Commission’s decision to lower the carrying charge.</w:t>
      </w:r>
    </w:p>
    <w:p w:rsidR="00924963" w:rsidRDefault="00524998" w:rsidP="00924963">
      <w:pPr>
        <w:spacing w:line="480" w:lineRule="auto"/>
        <w:ind w:firstLine="720"/>
        <w:jc w:val="both"/>
      </w:pPr>
      <w:r>
        <w:t xml:space="preserve">Although the Court agreed that the Commission had erred when it reduced the carrying charge, </w:t>
      </w:r>
      <w:r w:rsidR="00924963">
        <w:t xml:space="preserve">the Court </w:t>
      </w:r>
      <w:r w:rsidR="00FF4765">
        <w:t>also</w:t>
      </w:r>
      <w:r w:rsidR="00924963">
        <w:t xml:space="preserve"> </w:t>
      </w:r>
      <w:r w:rsidR="00FF4765">
        <w:t>held</w:t>
      </w:r>
      <w:r w:rsidR="00924963">
        <w:t xml:space="preserve"> that the Commission may modify a prior order, provided it explains the change and the new regulatory course is permissible.</w:t>
      </w:r>
      <w:r w:rsidR="00924963">
        <w:rPr>
          <w:rStyle w:val="FootnoteReference"/>
        </w:rPr>
        <w:footnoteReference w:id="26"/>
      </w:r>
      <w:r w:rsidR="00924963">
        <w:t xml:space="preserve">  The Court </w:t>
      </w:r>
      <w:r w:rsidR="007E3266">
        <w:t>further</w:t>
      </w:r>
      <w:r w:rsidR="00924963">
        <w:t xml:space="preserve"> noted that it had upheld the Commission‘s decision to modify the ESP I Order in a prior opinion, in part because the Commission had the inherent authority to </w:t>
      </w:r>
      <w:r w:rsidR="00924963">
        <w:lastRenderedPageBreak/>
        <w:t>revisit and modify prior rate orders.</w:t>
      </w:r>
      <w:r w:rsidR="00924963">
        <w:rPr>
          <w:rStyle w:val="FootnoteReference"/>
        </w:rPr>
        <w:footnoteReference w:id="27"/>
      </w:r>
      <w:r w:rsidR="00924963">
        <w:t xml:space="preserve">  Thus, the Court has rejected on repeated occasions AEP-Ohio’s claim that the Commission is barred from modifying its ESP Order “subsequent to the initial decision to adopt, reject or modify and adopt” an ESP application.</w:t>
      </w:r>
      <w:r w:rsidR="00924963">
        <w:rPr>
          <w:rStyle w:val="FootnoteReference"/>
        </w:rPr>
        <w:footnoteReference w:id="28"/>
      </w:r>
    </w:p>
    <w:p w:rsidR="00E6490C" w:rsidRDefault="002B5BA8" w:rsidP="00924963">
      <w:pPr>
        <w:spacing w:line="480" w:lineRule="auto"/>
        <w:ind w:firstLine="720"/>
        <w:jc w:val="both"/>
      </w:pPr>
      <w:r>
        <w:t xml:space="preserve">The Court also rejected the Commission’s interpretation of R.C. 4928.143(C)(2) that modifications triggering a right to withdraw were limited to modifications occurring in the proceedings in which the Commission modifies and approves the application and not </w:t>
      </w:r>
      <w:r w:rsidR="007E3266">
        <w:t>triggered by modifications in</w:t>
      </w:r>
      <w:r>
        <w:t xml:space="preserve"> subsequent proceedings</w:t>
      </w:r>
      <w:r w:rsidR="008362FF">
        <w:t>.</w:t>
      </w:r>
      <w:r w:rsidR="008362FF">
        <w:rPr>
          <w:rStyle w:val="FootnoteReference"/>
        </w:rPr>
        <w:footnoteReference w:id="29"/>
      </w:r>
      <w:r w:rsidR="00733EF7">
        <w:t xml:space="preserve">  The Court </w:t>
      </w:r>
      <w:r w:rsidR="00CA0E64">
        <w:t>held</w:t>
      </w:r>
      <w:r w:rsidR="00733EF7">
        <w:t xml:space="preserve"> that the Commission’s interpretation </w:t>
      </w:r>
      <w:r w:rsidR="005F2CE5">
        <w:t xml:space="preserve">was </w:t>
      </w:r>
      <w:r w:rsidR="00733EF7">
        <w:t>unreasonable.</w:t>
      </w:r>
      <w:r w:rsidR="00733EF7">
        <w:rPr>
          <w:rStyle w:val="FootnoteReference"/>
        </w:rPr>
        <w:footnoteReference w:id="30"/>
      </w:r>
    </w:p>
    <w:p w:rsidR="00275E65" w:rsidRDefault="00924963" w:rsidP="00063D97">
      <w:pPr>
        <w:spacing w:line="480" w:lineRule="auto"/>
        <w:ind w:firstLine="720"/>
        <w:jc w:val="both"/>
      </w:pPr>
      <w:r>
        <w:t>Although the Court rejected the Commission’s argument that modifications of the ESP were limited to those occurring in only the ESP proceeding</w:t>
      </w:r>
      <w:r w:rsidR="0039153C">
        <w:t xml:space="preserve">, AEP-Ohio now </w:t>
      </w:r>
      <w:r w:rsidR="00CA0E64">
        <w:t>presents</w:t>
      </w:r>
      <w:r w:rsidR="0039153C">
        <w:t xml:space="preserve"> an even narrower position that </w:t>
      </w:r>
      <w:r w:rsidR="000F026C">
        <w:t xml:space="preserve">the Commission cannot leave open the possibility that modifications of the ESP will be adopted </w:t>
      </w:r>
      <w:r w:rsidR="000F026C" w:rsidRPr="00E6490C">
        <w:rPr>
          <w:i/>
        </w:rPr>
        <w:t>subsequent to the initial decision</w:t>
      </w:r>
      <w:r w:rsidR="000F026C">
        <w:t xml:space="preserve">.  </w:t>
      </w:r>
      <w:r w:rsidR="00FF4765">
        <w:t>Pushed to its extreme, AEP-Ohio’s argument is that the Commission can make no further modifications even on rehearing.  That result is not s</w:t>
      </w:r>
      <w:r w:rsidR="007269A1">
        <w:t>upported by R.C. 4928.143(C)(2) or</w:t>
      </w:r>
      <w:r w:rsidR="00FF4765">
        <w:t xml:space="preserve"> the Court’s decision in the </w:t>
      </w:r>
      <w:r w:rsidR="00FF4765" w:rsidRPr="00CB3B6A">
        <w:rPr>
          <w:i/>
        </w:rPr>
        <w:t>Ohio Power Case</w:t>
      </w:r>
      <w:r w:rsidR="00FF4765">
        <w:t xml:space="preserve"> and would bind the hands of the Commission in ways that are unreasonable.</w:t>
      </w:r>
    </w:p>
    <w:p w:rsidR="00CA0E64" w:rsidRDefault="00CA0E64" w:rsidP="00CA0E64">
      <w:pPr>
        <w:pStyle w:val="Heading2"/>
      </w:pPr>
      <w:bookmarkStart w:id="19" w:name="_Toc424029915"/>
      <w:bookmarkStart w:id="20" w:name="_Toc424120864"/>
      <w:bookmarkStart w:id="21" w:name="_Toc424131174"/>
      <w:bookmarkStart w:id="22" w:name="_Toc424131617"/>
      <w:bookmarkStart w:id="23" w:name="_Toc424200368"/>
      <w:r w:rsidRPr="00CF3BA3">
        <w:t xml:space="preserve">AEP-Ohio’s right to withdraw </w:t>
      </w:r>
      <w:r>
        <w:t xml:space="preserve">its application </w:t>
      </w:r>
      <w:r w:rsidRPr="00CF3BA3">
        <w:t xml:space="preserve">is not impaired </w:t>
      </w:r>
      <w:r>
        <w:t xml:space="preserve">because it has </w:t>
      </w:r>
      <w:r w:rsidR="00FF4765">
        <w:t>the right to withdraw</w:t>
      </w:r>
      <w:r w:rsidR="00D25E1C">
        <w:t xml:space="preserve">, it is not financially harmed by the </w:t>
      </w:r>
      <w:r w:rsidR="00D25E1C">
        <w:lastRenderedPageBreak/>
        <w:t>Commission’s decision to defer resolution of the legal issue</w:t>
      </w:r>
      <w:r w:rsidR="00A2719C">
        <w:t>s</w:t>
      </w:r>
      <w:r w:rsidR="00D25E1C">
        <w:t xml:space="preserve"> concerning the PPA Rider,</w:t>
      </w:r>
      <w:r w:rsidR="00FF4765">
        <w:t xml:space="preserve"> </w:t>
      </w:r>
      <w:r>
        <w:t xml:space="preserve">and </w:t>
      </w:r>
      <w:r w:rsidR="00D25E1C">
        <w:t xml:space="preserve">it </w:t>
      </w:r>
      <w:r w:rsidR="00FF4765">
        <w:t>has</w:t>
      </w:r>
      <w:r>
        <w:t xml:space="preserve"> the abil</w:t>
      </w:r>
      <w:r w:rsidR="00D25E1C">
        <w:t>ity to make an “informed choice</w:t>
      </w:r>
      <w:r>
        <w:t>”</w:t>
      </w:r>
      <w:bookmarkEnd w:id="19"/>
      <w:bookmarkEnd w:id="20"/>
      <w:bookmarkEnd w:id="21"/>
      <w:bookmarkEnd w:id="22"/>
      <w:r w:rsidR="00D25E1C">
        <w:t xml:space="preserve"> to withdraw</w:t>
      </w:r>
      <w:bookmarkEnd w:id="23"/>
    </w:p>
    <w:p w:rsidR="003F25B3" w:rsidRDefault="00A412F4" w:rsidP="00CA0E64">
      <w:pPr>
        <w:spacing w:line="480" w:lineRule="auto"/>
        <w:ind w:firstLine="720"/>
        <w:jc w:val="both"/>
      </w:pPr>
      <w:r>
        <w:t>AEP-Ohio cannot legitimately claim that it cannot withdraw u</w:t>
      </w:r>
      <w:r w:rsidR="003F25B3">
        <w:t xml:space="preserve">nder </w:t>
      </w:r>
      <w:r w:rsidR="00CA0E64">
        <w:t>R.C. 4928.143(C)(2)</w:t>
      </w:r>
      <w:r>
        <w:t xml:space="preserve">.  That section provides that </w:t>
      </w:r>
      <w:r w:rsidR="00CA0E64">
        <w:t xml:space="preserve">an </w:t>
      </w:r>
      <w:r w:rsidR="009C1494">
        <w:t>EDU</w:t>
      </w:r>
      <w:r w:rsidR="00CA0E64">
        <w:t xml:space="preserve"> may withdraw its application and thereby terminate the ESP if the Commission modifies and approves the application.  In the ESP III Order, the Commission modified AEP-Ohio’s application in several respects</w:t>
      </w:r>
      <w:r w:rsidR="004D089C">
        <w:t xml:space="preserve"> including one that </w:t>
      </w:r>
      <w:r w:rsidR="00D62D29">
        <w:t xml:space="preserve">denied AEP-Ohio </w:t>
      </w:r>
      <w:r w:rsidR="004D089C">
        <w:t>the</w:t>
      </w:r>
      <w:r w:rsidR="00D62D29">
        <w:t xml:space="preserve"> opportunity to bill retail customers under the PPA Rider.  </w:t>
      </w:r>
      <w:r w:rsidR="00CA0E64">
        <w:t xml:space="preserve">The condition </w:t>
      </w:r>
      <w:r w:rsidR="00D62D29">
        <w:t xml:space="preserve">for withdrawal </w:t>
      </w:r>
      <w:r w:rsidR="00CA0E64">
        <w:t xml:space="preserve">specified by R.C. 4928.143(C)(2) having been satisfied, AEP-Ohio has the right to withdraw.  </w:t>
      </w:r>
    </w:p>
    <w:p w:rsidR="00CA0E64" w:rsidRDefault="00D62D29" w:rsidP="000E315F">
      <w:pPr>
        <w:spacing w:line="480" w:lineRule="auto"/>
        <w:ind w:firstLine="720"/>
        <w:jc w:val="both"/>
      </w:pPr>
      <w:r>
        <w:t>According to AEP-Ohio, however, t</w:t>
      </w:r>
      <w:r w:rsidR="00A412F4">
        <w:t xml:space="preserve">he problem </w:t>
      </w:r>
      <w:r w:rsidR="00F338DA">
        <w:t>on which it bases its first assignment of error</w:t>
      </w:r>
      <w:r>
        <w:t xml:space="preserve"> </w:t>
      </w:r>
      <w:r w:rsidR="00A412F4">
        <w:t xml:space="preserve">is </w:t>
      </w:r>
      <w:r w:rsidR="00CA0E64">
        <w:t>that it cannot make an “informed choice” whether to withdraw “[g]iven the current uncertainty regarding the PPA Rider.”</w:t>
      </w:r>
      <w:r w:rsidR="00CA0E64">
        <w:rPr>
          <w:rStyle w:val="FootnoteReference"/>
        </w:rPr>
        <w:footnoteReference w:id="31"/>
      </w:r>
      <w:r w:rsidR="00CA0E64">
        <w:t xml:space="preserve">  </w:t>
      </w:r>
      <w:r w:rsidR="00966CFB">
        <w:t>At the same time, however, it also states that it will not withdraw if the Commission continues to defer a decision on the legal merits of the PPA Rider.</w:t>
      </w:r>
      <w:r w:rsidR="007E3266">
        <w:rPr>
          <w:rStyle w:val="FootnoteReference"/>
        </w:rPr>
        <w:footnoteReference w:id="32"/>
      </w:r>
      <w:r w:rsidR="00966CFB">
        <w:t xml:space="preserve">  </w:t>
      </w:r>
      <w:r w:rsidR="00A512F9">
        <w:t xml:space="preserve">If AEP-Ohio will take no action if the Commission decides to continue to defer, then </w:t>
      </w:r>
      <w:r w:rsidR="00720058">
        <w:t xml:space="preserve">the “uncertainty” AEP-Ohio claims it is suffering is </w:t>
      </w:r>
      <w:r w:rsidR="007E3266">
        <w:t>not harming it and it is not prejudiced.</w:t>
      </w:r>
    </w:p>
    <w:p w:rsidR="00B631DF" w:rsidRDefault="00B631DF" w:rsidP="00CA0E64">
      <w:pPr>
        <w:spacing w:line="480" w:lineRule="auto"/>
        <w:ind w:firstLine="720"/>
        <w:jc w:val="both"/>
      </w:pPr>
      <w:r>
        <w:t>At a more practical level, AEP-Ohio</w:t>
      </w:r>
      <w:r w:rsidR="00720058">
        <w:t xml:space="preserve"> cannot demonstrate that it is financially injured by the Commission’s decision to defer</w:t>
      </w:r>
      <w:r w:rsidR="00A412F4">
        <w:t>.</w:t>
      </w:r>
      <w:r w:rsidR="00ED2058" w:rsidRPr="00A80453">
        <w:t xml:space="preserve">  </w:t>
      </w:r>
      <w:r w:rsidR="00A412F4">
        <w:t>Based on the record evidence, t</w:t>
      </w:r>
      <w:r w:rsidR="00ED2058" w:rsidRPr="00A80453">
        <w:t>he</w:t>
      </w:r>
      <w:r w:rsidR="00447866" w:rsidRPr="00A80453">
        <w:t xml:space="preserve"> Commission found that AEP-Ohio failed to demonstrate that </w:t>
      </w:r>
      <w:r w:rsidR="00773947">
        <w:t>implementation of the PPA Rider at a rate greater than zero</w:t>
      </w:r>
      <w:r w:rsidR="00447866" w:rsidRPr="00A80453">
        <w:t xml:space="preserve"> was reasonable or in the public interest</w:t>
      </w:r>
      <w:r w:rsidR="00A412F4">
        <w:t>.</w:t>
      </w:r>
      <w:r w:rsidR="00CA0E64" w:rsidRPr="00A80453">
        <w:t xml:space="preserve">  </w:t>
      </w:r>
      <w:r>
        <w:t xml:space="preserve">Based on that determination, </w:t>
      </w:r>
      <w:r w:rsidR="00A412F4">
        <w:t xml:space="preserve">AEP-Ohio would be barred from billing and collecting </w:t>
      </w:r>
      <w:r w:rsidR="00D62D29">
        <w:t>the PPA Rider</w:t>
      </w:r>
      <w:r w:rsidRPr="00B631DF">
        <w:t xml:space="preserve"> </w:t>
      </w:r>
      <w:r>
        <w:t xml:space="preserve">whether the Commission agreed with AEP-Ohio or the intervenors on the legal </w:t>
      </w:r>
      <w:r>
        <w:lastRenderedPageBreak/>
        <w:t>challenges to the Rider</w:t>
      </w:r>
      <w:r w:rsidR="00A412F4">
        <w:t xml:space="preserve">.  </w:t>
      </w:r>
      <w:r w:rsidR="00215AC4">
        <w:t>Simply put, AEP-Ohio</w:t>
      </w:r>
      <w:r w:rsidR="007E3266">
        <w:t xml:space="preserve"> would not be made any better or worse by a Commission decision on the legal merits of the ESP.  </w:t>
      </w:r>
      <w:r w:rsidR="00215AC4">
        <w:t xml:space="preserve">As a result, </w:t>
      </w:r>
      <w:r>
        <w:t xml:space="preserve">AEP-Ohio suffers no </w:t>
      </w:r>
      <w:r w:rsidR="00720058">
        <w:t xml:space="preserve">financial </w:t>
      </w:r>
      <w:r>
        <w:t>injury</w:t>
      </w:r>
      <w:r w:rsidR="00720058">
        <w:t xml:space="preserve"> as a result of the Commission’s decision to defer</w:t>
      </w:r>
      <w:r>
        <w:t>.</w:t>
      </w:r>
    </w:p>
    <w:p w:rsidR="00CA0E64" w:rsidRPr="00A80453" w:rsidRDefault="00B631DF" w:rsidP="00CA0E64">
      <w:pPr>
        <w:spacing w:line="480" w:lineRule="auto"/>
        <w:ind w:firstLine="720"/>
        <w:jc w:val="both"/>
      </w:pPr>
      <w:r>
        <w:t>Moreover, since the results of a determination of legal issues will have no effect</w:t>
      </w:r>
      <w:r w:rsidR="00D62D29">
        <w:t xml:space="preserve"> on the terms of the ESP</w:t>
      </w:r>
      <w:r w:rsidR="00A93E66" w:rsidRPr="00A80453">
        <w:t xml:space="preserve">, </w:t>
      </w:r>
      <w:r w:rsidR="00CA0E64" w:rsidRPr="00A80453">
        <w:t>AEP-Ohio has all the information it needs or will h</w:t>
      </w:r>
      <w:r w:rsidR="00447866" w:rsidRPr="00A80453">
        <w:t>ave to make an “informed choice</w:t>
      </w:r>
      <w:r w:rsidR="00CA0E64" w:rsidRPr="00A80453">
        <w:t>”</w:t>
      </w:r>
      <w:r w:rsidR="00447866" w:rsidRPr="00A80453">
        <w:t xml:space="preserve"> </w:t>
      </w:r>
      <w:r w:rsidR="00FC660C" w:rsidRPr="00A80453">
        <w:t>to withdraw its ESP application</w:t>
      </w:r>
      <w:r w:rsidR="00447866" w:rsidRPr="00A80453">
        <w:t>.</w:t>
      </w:r>
      <w:r w:rsidR="003E7E58" w:rsidRPr="00A80453">
        <w:t xml:space="preserve">  </w:t>
      </w:r>
      <w:r w:rsidR="00D62D29">
        <w:t xml:space="preserve">Accordingly, the claim that AEP-Ohio’s ability to make an informed choice </w:t>
      </w:r>
      <w:r w:rsidR="007E3266">
        <w:t>t</w:t>
      </w:r>
      <w:r w:rsidR="00D62D29">
        <w:t xml:space="preserve">o withdraw is impaired </w:t>
      </w:r>
      <w:r w:rsidR="004D089C">
        <w:t xml:space="preserve">by </w:t>
      </w:r>
      <w:r w:rsidR="00497052">
        <w:t xml:space="preserve">a </w:t>
      </w:r>
      <w:r w:rsidR="004D089C">
        <w:t xml:space="preserve">Commission decision to defer </w:t>
      </w:r>
      <w:r w:rsidR="00D62D29">
        <w:t xml:space="preserve">is </w:t>
      </w:r>
      <w:r w:rsidR="004D089C">
        <w:t>without merit</w:t>
      </w:r>
      <w:r w:rsidR="00D62D29">
        <w:t>.</w:t>
      </w:r>
    </w:p>
    <w:p w:rsidR="00B631DF" w:rsidRPr="00A80453" w:rsidRDefault="00B631DF" w:rsidP="00B631DF">
      <w:pPr>
        <w:spacing w:line="480" w:lineRule="auto"/>
        <w:ind w:firstLine="720"/>
        <w:jc w:val="both"/>
      </w:pPr>
      <w:r>
        <w:t>A</w:t>
      </w:r>
      <w:r w:rsidRPr="00A80453">
        <w:t xml:space="preserve"> </w:t>
      </w:r>
      <w:r>
        <w:t>decision that the Commission lacks authority to authorize the PPA Rider</w:t>
      </w:r>
      <w:r w:rsidRPr="00A80453">
        <w:t xml:space="preserve">, of course, is important to AEP-Ohio (and the intervenors) because it will adversely affect AEP-Ohio’s amended application in the pending </w:t>
      </w:r>
      <w:r w:rsidRPr="00A80453">
        <w:rPr>
          <w:i/>
        </w:rPr>
        <w:t>PPA Rider Expansion Case</w:t>
      </w:r>
      <w:r w:rsidRPr="00A80453">
        <w:t xml:space="preserve">.  In that case, AEP-Ohio </w:t>
      </w:r>
      <w:r>
        <w:t xml:space="preserve">relies </w:t>
      </w:r>
      <w:r w:rsidR="004D089C">
        <w:t xml:space="preserve">on </w:t>
      </w:r>
      <w:r w:rsidR="00F338DA">
        <w:t xml:space="preserve">the </w:t>
      </w:r>
      <w:r w:rsidR="00720058">
        <w:t>ESP III Order</w:t>
      </w:r>
      <w:r w:rsidR="004D089C">
        <w:t>’s</w:t>
      </w:r>
      <w:r w:rsidR="00720058">
        <w:t xml:space="preserve"> </w:t>
      </w:r>
      <w:r w:rsidR="004D089C">
        <w:t>authorization of</w:t>
      </w:r>
      <w:r w:rsidR="00720058">
        <w:t xml:space="preserve"> the PPA Rider </w:t>
      </w:r>
      <w:r w:rsidRPr="00A80453">
        <w:t xml:space="preserve">to </w:t>
      </w:r>
      <w:r>
        <w:t xml:space="preserve">support </w:t>
      </w:r>
      <w:r w:rsidR="004D089C">
        <w:t xml:space="preserve">its request to </w:t>
      </w:r>
      <w:r>
        <w:t>“</w:t>
      </w:r>
      <w:r w:rsidR="004D089C">
        <w:t>expand</w:t>
      </w:r>
      <w:r>
        <w:t>” the Rider to include the price risk of other affiliate-owned power plants</w:t>
      </w:r>
      <w:r w:rsidRPr="00A80453">
        <w:t>.</w:t>
      </w:r>
      <w:r w:rsidRPr="00A80453">
        <w:rPr>
          <w:rStyle w:val="FootnoteReference"/>
        </w:rPr>
        <w:footnoteReference w:id="33"/>
      </w:r>
      <w:r w:rsidRPr="00A80453">
        <w:t xml:space="preserve">  If the Commission denies authorization of the PPA Rider, AEP-Ohio will lose its claimed legal authority</w:t>
      </w:r>
      <w:r>
        <w:t xml:space="preserve"> for the relief it is seeking in the pending case</w:t>
      </w:r>
      <w:r w:rsidRPr="00A80453">
        <w:t xml:space="preserve">.  </w:t>
      </w:r>
      <w:r>
        <w:t xml:space="preserve">Again, however, a determination of the legal issues will not affect AEP-Ohio’s right to collect the PPA Rider in this </w:t>
      </w:r>
      <w:r w:rsidR="000F6229">
        <w:t xml:space="preserve">ESP </w:t>
      </w:r>
      <w:r>
        <w:t xml:space="preserve">case.  </w:t>
      </w:r>
      <w:r w:rsidRPr="00A80453">
        <w:t xml:space="preserve">Thus, AEP-Ohio’s allegation that it is injured because its right to withdraw is impaired in this case </w:t>
      </w:r>
      <w:r>
        <w:t xml:space="preserve">is a </w:t>
      </w:r>
      <w:r w:rsidRPr="00A80453">
        <w:t>“red herring:”</w:t>
      </w:r>
      <w:r w:rsidRPr="00A80453">
        <w:rPr>
          <w:rStyle w:val="FootnoteReference"/>
        </w:rPr>
        <w:footnoteReference w:id="34"/>
      </w:r>
      <w:r w:rsidRPr="00A80453">
        <w:t xml:space="preserve">  the relief </w:t>
      </w:r>
      <w:r w:rsidR="00720058" w:rsidRPr="00A80453">
        <w:t xml:space="preserve">it seeks through the first assignment of error </w:t>
      </w:r>
      <w:r w:rsidR="00720058">
        <w:t>has no effect on the outcome of this case; it</w:t>
      </w:r>
      <w:r w:rsidR="00720058" w:rsidRPr="00A80453">
        <w:t xml:space="preserve"> </w:t>
      </w:r>
      <w:r w:rsidRPr="00A80453">
        <w:t xml:space="preserve">is asserted to protect </w:t>
      </w:r>
      <w:r w:rsidR="00720058">
        <w:t>AEP-Ohio’s</w:t>
      </w:r>
      <w:r w:rsidRPr="00A80453">
        <w:t xml:space="preserve"> Amended Application in the </w:t>
      </w:r>
      <w:r w:rsidRPr="00A80453">
        <w:rPr>
          <w:i/>
        </w:rPr>
        <w:t>PPA Rider Expansion Case</w:t>
      </w:r>
      <w:r>
        <w:t>.</w:t>
      </w:r>
    </w:p>
    <w:p w:rsidR="00D064A3" w:rsidRDefault="00D064A3" w:rsidP="002A3B3B">
      <w:pPr>
        <w:spacing w:line="480" w:lineRule="auto"/>
        <w:ind w:firstLine="720"/>
        <w:jc w:val="both"/>
        <w:rPr>
          <w:rFonts w:ascii="Times New Roman" w:hAnsi="Times New Roman" w:cs="Times New Roman"/>
        </w:rPr>
      </w:pPr>
      <w:r w:rsidRPr="00A80453">
        <w:t xml:space="preserve">Finally, </w:t>
      </w:r>
      <w:r w:rsidR="008376DA" w:rsidRPr="00A80453">
        <w:t>AEP-Ohio</w:t>
      </w:r>
      <w:r w:rsidRPr="00A80453">
        <w:t xml:space="preserve"> attempt</w:t>
      </w:r>
      <w:r w:rsidR="008376DA" w:rsidRPr="00A80453">
        <w:t>s</w:t>
      </w:r>
      <w:r w:rsidRPr="00A80453">
        <w:t xml:space="preserve"> to </w:t>
      </w:r>
      <w:r w:rsidR="004A1F0B">
        <w:t>demonstrate it is</w:t>
      </w:r>
      <w:r w:rsidR="003D6330" w:rsidRPr="00A80453">
        <w:t xml:space="preserve"> prejudice</w:t>
      </w:r>
      <w:r w:rsidR="004A1F0B">
        <w:t>d</w:t>
      </w:r>
      <w:r w:rsidRPr="00A80453">
        <w:t xml:space="preserve"> </w:t>
      </w:r>
      <w:r w:rsidR="008376DA" w:rsidRPr="00A80453">
        <w:t>by citing</w:t>
      </w:r>
      <w:r w:rsidRPr="00A80453">
        <w:t xml:space="preserve"> </w:t>
      </w:r>
      <w:r w:rsidR="008376DA" w:rsidRPr="00A80453">
        <w:t>several</w:t>
      </w:r>
      <w:r w:rsidR="003D6330" w:rsidRPr="00A80453">
        <w:t xml:space="preserve"> cases concerning </w:t>
      </w:r>
      <w:r w:rsidRPr="00A80453">
        <w:t>claims for violations of rights</w:t>
      </w:r>
      <w:r w:rsidR="007A1675">
        <w:t xml:space="preserve"> and argues that a loss of a right is </w:t>
      </w:r>
      <w:r w:rsidR="004A1F0B">
        <w:t xml:space="preserve">sufficient </w:t>
      </w:r>
      <w:r w:rsidR="007A1675">
        <w:t xml:space="preserve">to </w:t>
      </w:r>
      <w:r w:rsidR="007A1675">
        <w:lastRenderedPageBreak/>
        <w:t>show prejudice</w:t>
      </w:r>
      <w:r w:rsidRPr="00A80453">
        <w:t>.</w:t>
      </w:r>
      <w:r w:rsidR="008376DA" w:rsidRPr="00A80453">
        <w:rPr>
          <w:rStyle w:val="FootnoteReference"/>
        </w:rPr>
        <w:footnoteReference w:id="35"/>
      </w:r>
      <w:r w:rsidRPr="00A80453">
        <w:t xml:space="preserve">  In each of the </w:t>
      </w:r>
      <w:r w:rsidR="007E3266" w:rsidRPr="00A80453">
        <w:t xml:space="preserve">cited </w:t>
      </w:r>
      <w:r w:rsidRPr="00A80453">
        <w:t xml:space="preserve">cases, </w:t>
      </w:r>
      <w:r w:rsidR="00B631DF">
        <w:t>as AEP-Ohio notes,</w:t>
      </w:r>
      <w:r w:rsidR="007A1675">
        <w:t xml:space="preserve"> </w:t>
      </w:r>
      <w:r w:rsidRPr="00A80453">
        <w:t xml:space="preserve">the plaintiff </w:t>
      </w:r>
      <w:r w:rsidR="008376DA" w:rsidRPr="00A80453">
        <w:t xml:space="preserve">alleged </w:t>
      </w:r>
      <w:r w:rsidRPr="00A80453">
        <w:t xml:space="preserve">some legally recognizable harm.  Unlike the injured parties in the </w:t>
      </w:r>
      <w:r w:rsidR="004D089C" w:rsidRPr="00A80453">
        <w:t xml:space="preserve">cited </w:t>
      </w:r>
      <w:r w:rsidRPr="00A80453">
        <w:t xml:space="preserve">cases, </w:t>
      </w:r>
      <w:r w:rsidR="004A1F0B">
        <w:t xml:space="preserve">however, </w:t>
      </w:r>
      <w:r w:rsidRPr="00A80453">
        <w:t xml:space="preserve">AEP-Ohio has no “right” that is injured by the Commission’s decision to defer.  </w:t>
      </w:r>
      <w:r w:rsidR="00720058">
        <w:t xml:space="preserve">If the right it claims is injured is the right to withdraw, </w:t>
      </w:r>
      <w:r w:rsidR="004A1F0B">
        <w:t>AEP-Ohio</w:t>
      </w:r>
      <w:r w:rsidRPr="00A80453">
        <w:t xml:space="preserve"> </w:t>
      </w:r>
      <w:r w:rsidR="004D089C">
        <w:t xml:space="preserve">is not prejudiced since it </w:t>
      </w:r>
      <w:r w:rsidRPr="00A80453">
        <w:t xml:space="preserve">may </w:t>
      </w:r>
      <w:r w:rsidR="006D311C">
        <w:t xml:space="preserve">legally </w:t>
      </w:r>
      <w:r w:rsidRPr="00A80453">
        <w:t>withdraw</w:t>
      </w:r>
      <w:r w:rsidR="0079184F">
        <w:t xml:space="preserve"> today.</w:t>
      </w:r>
      <w:r w:rsidRPr="00A80453">
        <w:t xml:space="preserve">  </w:t>
      </w:r>
      <w:r w:rsidR="00720058">
        <w:t xml:space="preserve">If the right </w:t>
      </w:r>
      <w:r w:rsidR="004D089C">
        <w:t>AEP-Ohio asserts is to have the ability to make an</w:t>
      </w:r>
      <w:r w:rsidR="00720058">
        <w:t xml:space="preserve"> “informed choice,”</w:t>
      </w:r>
      <w:r w:rsidR="004D089C">
        <w:t xml:space="preserve"> that right is not impaired since</w:t>
      </w:r>
      <w:r w:rsidR="00720058">
        <w:t xml:space="preserve"> it has all the information to </w:t>
      </w:r>
      <w:r w:rsidR="004D089C">
        <w:t xml:space="preserve">decide whether to withdraw its ESP </w:t>
      </w:r>
      <w:r w:rsidR="00F338DA">
        <w:t>application</w:t>
      </w:r>
      <w:r w:rsidR="00720058">
        <w:t xml:space="preserve">.  </w:t>
      </w:r>
      <w:r w:rsidR="007E5C83">
        <w:t>More fundamentally, however</w:t>
      </w:r>
      <w:r w:rsidRPr="00A80453">
        <w:t xml:space="preserve">, </w:t>
      </w:r>
      <w:r w:rsidR="004D089C">
        <w:t>AEP-Ohio</w:t>
      </w:r>
      <w:r w:rsidR="006D311C">
        <w:t xml:space="preserve"> admits that it would not withdraw if the Commission took n</w:t>
      </w:r>
      <w:r w:rsidR="00D25E1C">
        <w:t>o further action on rehearing</w:t>
      </w:r>
      <w:r w:rsidR="007E5C83">
        <w:t xml:space="preserve">.  </w:t>
      </w:r>
      <w:r w:rsidRPr="00A80453">
        <w:t>Thus, AEP-Ohio</w:t>
      </w:r>
      <w:r w:rsidR="007E5C83">
        <w:t xml:space="preserve"> has failed to show that it</w:t>
      </w:r>
      <w:r w:rsidRPr="00A80453">
        <w:t xml:space="preserve"> is prejudiced by the Commission’s decision to defer resolution of the lawfulness of the PPA Rider.</w:t>
      </w:r>
    </w:p>
    <w:p w:rsidR="009F0D52" w:rsidRDefault="009F0D52" w:rsidP="00063D97">
      <w:pPr>
        <w:pStyle w:val="Heading2"/>
      </w:pPr>
      <w:bookmarkStart w:id="24" w:name="_Toc424029916"/>
      <w:bookmarkStart w:id="25" w:name="_Toc424120865"/>
      <w:bookmarkStart w:id="26" w:name="_Toc424131175"/>
      <w:bookmarkStart w:id="27" w:name="_Toc424131618"/>
      <w:bookmarkStart w:id="28" w:name="_Toc424200369"/>
      <w:r>
        <w:t xml:space="preserve">If the Commission grants the applications for rehearing of AEP-Ohio, OCC, or OMAEG seeking final resolution of the lawfulness of the PPA Rider, </w:t>
      </w:r>
      <w:r w:rsidR="00284200">
        <w:t>the Commission</w:t>
      </w:r>
      <w:r>
        <w:t xml:space="preserve"> should find that the rider is unlawful and unreasonable</w:t>
      </w:r>
      <w:bookmarkEnd w:id="24"/>
      <w:bookmarkEnd w:id="25"/>
      <w:bookmarkEnd w:id="26"/>
      <w:bookmarkEnd w:id="27"/>
      <w:bookmarkEnd w:id="28"/>
    </w:p>
    <w:p w:rsidR="00155813" w:rsidRDefault="009F0D52" w:rsidP="00063D97">
      <w:pPr>
        <w:spacing w:line="480" w:lineRule="auto"/>
        <w:jc w:val="both"/>
      </w:pPr>
      <w:r>
        <w:tab/>
        <w:t xml:space="preserve">AEP-Ohio, OCC, and OMAEG ask the Commission to find that its decision to defer </w:t>
      </w:r>
      <w:r w:rsidR="00773947">
        <w:t xml:space="preserve">resolution </w:t>
      </w:r>
      <w:r w:rsidR="004C7BF7">
        <w:t>of</w:t>
      </w:r>
      <w:r>
        <w:t xml:space="preserve"> the lawfulness of the PPA Rider</w:t>
      </w:r>
      <w:r w:rsidR="00334A59">
        <w:t xml:space="preserve"> was either unlawful or unreasonable.  If the Commission reverses its prior order </w:t>
      </w:r>
      <w:r w:rsidR="00155813">
        <w:t xml:space="preserve">to defer resolution of assignments of error concerning the lawfulness of the PPA Rider </w:t>
      </w:r>
      <w:r w:rsidR="00334A59">
        <w:t xml:space="preserve">and </w:t>
      </w:r>
      <w:r w:rsidR="004C7BF7">
        <w:t>proceeds to the legal merits of the PPA Rider</w:t>
      </w:r>
      <w:r w:rsidR="00334A59">
        <w:t>, it should find that authorization of the PPA Rider is unlawful.</w:t>
      </w:r>
    </w:p>
    <w:p w:rsidR="00334A59" w:rsidRPr="00155813" w:rsidRDefault="00334A59" w:rsidP="00063D97">
      <w:pPr>
        <w:spacing w:line="480" w:lineRule="auto"/>
        <w:ind w:firstLine="720"/>
        <w:jc w:val="both"/>
      </w:pPr>
      <w:r>
        <w:t>As IEU-Ohio demonstrated i</w:t>
      </w:r>
      <w:r w:rsidR="00155813">
        <w:t>n its Application for Rehearing</w:t>
      </w:r>
      <w:r w:rsidR="00A960A7">
        <w:t xml:space="preserve"> (and incorporates by reference here)</w:t>
      </w:r>
      <w:r w:rsidR="00155813">
        <w:t>, t</w:t>
      </w:r>
      <w:r w:rsidRPr="00077C6E">
        <w:rPr>
          <w:rFonts w:eastAsia="Times New Roman" w:cs="Arial"/>
        </w:rPr>
        <w:t xml:space="preserve">he Commission’s order authorizing the PPA Rider </w:t>
      </w:r>
      <w:r>
        <w:rPr>
          <w:rFonts w:eastAsia="Times New Roman" w:cs="Arial"/>
        </w:rPr>
        <w:t>is unlawful for several reasons:</w:t>
      </w:r>
      <w:r>
        <w:rPr>
          <w:rStyle w:val="FootnoteReference"/>
          <w:rFonts w:eastAsia="Times New Roman" w:cs="Arial"/>
        </w:rPr>
        <w:footnoteReference w:id="36"/>
      </w:r>
      <w:r w:rsidRPr="00077C6E">
        <w:rPr>
          <w:rFonts w:eastAsia="Times New Roman" w:cs="Arial"/>
        </w:rPr>
        <w:t xml:space="preserve">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lastRenderedPageBreak/>
        <w:t xml:space="preserve">The Commission’s finding that it may authorize the PPA Rider as a term of an ESP is unlawful because R.C. 4928.143(B)(2)(d) does not provide authorization for a nonbypassable generation-related rider.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The Commission’s finding that it may increase AEP-Ohio’s compensation for wholesale generation-related electric services is unlawful because the finding exceeds the Commission’s jurisdiction under Ohio law.</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 xml:space="preserve">AEP-Ohio did not satisfy the burden of proof to demonstrate that the PPA Rider is a limitation on customer shopping, and the Commission’s finding that the PPA Rider is a limitation on customer shopping is not supported by the manifest weight of the evidence.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 xml:space="preserve">The Commission’s finding that the PPA Rider may have the effect of providing certainty or stability in the provision of retail electric service is not supported by the manifest weight of the evidence and is expressly contradicted by the Commission’s determination that AEP-Ohio failed to demonstrate that the PPA Rider would promote rate stability.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 xml:space="preserve">The Commission’s finding that it can authorize </w:t>
      </w:r>
      <w:r w:rsidR="007A1675">
        <w:rPr>
          <w:rFonts w:eastAsia="Times New Roman" w:cs="Arial"/>
        </w:rPr>
        <w:t xml:space="preserve">a non-zero PPA Rider </w:t>
      </w:r>
      <w:r w:rsidRPr="00077C6E">
        <w:rPr>
          <w:rFonts w:eastAsia="Times New Roman" w:cs="Arial"/>
        </w:rPr>
        <w:t>through a separate filing would permit AEP-Ohio to unlawfully evade the requirements of R.C. 4928.143(C)(1)</w:t>
      </w:r>
      <w:r>
        <w:rPr>
          <w:rFonts w:eastAsia="Times New Roman" w:cs="Arial"/>
        </w:rPr>
        <w:t>.</w:t>
      </w:r>
      <w:r w:rsidRPr="00077C6E">
        <w:rPr>
          <w:rFonts w:eastAsia="Times New Roman" w:cs="Arial"/>
        </w:rPr>
        <w:t xml:space="preserve">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 xml:space="preserve">The Commission’s finding that it may authorize </w:t>
      </w:r>
      <w:r w:rsidR="007A1675">
        <w:rPr>
          <w:rFonts w:eastAsia="Times New Roman" w:cs="Arial"/>
        </w:rPr>
        <w:t>a non-zero PPA Rider</w:t>
      </w:r>
      <w:r w:rsidRPr="00077C6E">
        <w:rPr>
          <w:rFonts w:eastAsia="Times New Roman" w:cs="Arial"/>
        </w:rPr>
        <w:t xml:space="preserve"> is unlawful because the authorization would violate R.C. 4928.02(H)</w:t>
      </w:r>
      <w:r>
        <w:rPr>
          <w:rFonts w:eastAsia="Times New Roman" w:cs="Arial"/>
        </w:rPr>
        <w:t>.</w:t>
      </w:r>
      <w:r w:rsidRPr="00077C6E">
        <w:rPr>
          <w:rFonts w:eastAsia="Times New Roman" w:cs="Arial"/>
        </w:rPr>
        <w:t xml:space="preserve">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 xml:space="preserve">The Commission’s finding that R.C. 4928.02(H) does not bar the authorization of the PPA Rider is unlawful because it departed from prior precedent without a reasoned explanation and the finding that the PPA Rider does not violate the section is neither lawful nor substantively reasonable.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lastRenderedPageBreak/>
        <w:t xml:space="preserve">The Commission’s authorization of the PPA Rider is unlawful because the Commission may not authorize, in practice or theory, the recovery of transition revenue or its equivalent.  </w:t>
      </w:r>
    </w:p>
    <w:p w:rsidR="00334A59" w:rsidRPr="00077C6E" w:rsidRDefault="00334A59" w:rsidP="00063D97">
      <w:pPr>
        <w:numPr>
          <w:ilvl w:val="0"/>
          <w:numId w:val="2"/>
        </w:numPr>
        <w:spacing w:line="480" w:lineRule="auto"/>
        <w:jc w:val="both"/>
        <w:rPr>
          <w:rFonts w:eastAsia="Times New Roman" w:cs="Arial"/>
        </w:rPr>
      </w:pPr>
      <w:r w:rsidRPr="00077C6E">
        <w:rPr>
          <w:rFonts w:eastAsia="Times New Roman" w:cs="Arial"/>
        </w:rPr>
        <w:t xml:space="preserve">The Commission’s authorization for AEP-Ohio to establish a PPA Rider is preempted by the </w:t>
      </w:r>
      <w:r>
        <w:rPr>
          <w:rFonts w:eastAsia="Times New Roman" w:cs="Arial"/>
        </w:rPr>
        <w:t>Federal Power Act (“</w:t>
      </w:r>
      <w:r w:rsidRPr="00077C6E">
        <w:rPr>
          <w:rFonts w:eastAsia="Times New Roman" w:cs="Arial"/>
        </w:rPr>
        <w:t>FPA</w:t>
      </w:r>
      <w:r>
        <w:rPr>
          <w:rFonts w:eastAsia="Times New Roman" w:cs="Arial"/>
        </w:rPr>
        <w:t>”)</w:t>
      </w:r>
      <w:r w:rsidRPr="00077C6E">
        <w:rPr>
          <w:rFonts w:eastAsia="Times New Roman" w:cs="Arial"/>
        </w:rPr>
        <w:t xml:space="preserve">. </w:t>
      </w:r>
    </w:p>
    <w:p w:rsidR="00F02C5A" w:rsidRDefault="00334A59" w:rsidP="00063D97">
      <w:pPr>
        <w:spacing w:line="480" w:lineRule="auto"/>
        <w:jc w:val="both"/>
        <w:rPr>
          <w:rFonts w:eastAsia="Times New Roman" w:cs="Arial"/>
        </w:rPr>
      </w:pPr>
      <w:r>
        <w:tab/>
      </w:r>
      <w:r w:rsidR="00F02C5A">
        <w:t xml:space="preserve">In summary, the Commission should reject the claims of AEP-Ohio that the PPA Rider </w:t>
      </w:r>
      <w:r w:rsidR="009F1815">
        <w:t xml:space="preserve">may be lawfully authorized under state and federal law and </w:t>
      </w:r>
      <w:r w:rsidR="00F02C5A">
        <w:t xml:space="preserve">will operate to the benefit of customers.  </w:t>
      </w:r>
    </w:p>
    <w:p w:rsidR="00F02C5A" w:rsidRDefault="00F02C5A" w:rsidP="00063D97">
      <w:pPr>
        <w:pStyle w:val="Heading1"/>
        <w:rPr>
          <w:rFonts w:eastAsia="Times New Roman"/>
        </w:rPr>
      </w:pPr>
      <w:bookmarkStart w:id="29" w:name="_Toc424029917"/>
      <w:bookmarkStart w:id="30" w:name="_Toc424120866"/>
      <w:bookmarkStart w:id="31" w:name="_Toc424131176"/>
      <w:bookmarkStart w:id="32" w:name="_Toc424131619"/>
      <w:bookmarkStart w:id="33" w:name="_Toc424200370"/>
      <w:r>
        <w:rPr>
          <w:rFonts w:eastAsia="Times New Roman"/>
        </w:rPr>
        <w:t>Conclusion</w:t>
      </w:r>
      <w:bookmarkEnd w:id="29"/>
      <w:bookmarkEnd w:id="30"/>
      <w:bookmarkEnd w:id="31"/>
      <w:bookmarkEnd w:id="32"/>
      <w:bookmarkEnd w:id="33"/>
    </w:p>
    <w:p w:rsidR="00F02C5A" w:rsidRDefault="00F02C5A" w:rsidP="00063D97">
      <w:pPr>
        <w:spacing w:line="480" w:lineRule="auto"/>
        <w:ind w:firstLine="720"/>
        <w:jc w:val="both"/>
        <w:rPr>
          <w:rFonts w:eastAsia="Times New Roman" w:cs="Arial"/>
        </w:rPr>
      </w:pPr>
      <w:r>
        <w:rPr>
          <w:rFonts w:eastAsia="Times New Roman" w:cs="Arial"/>
        </w:rPr>
        <w:t xml:space="preserve">AEP-Ohio has not demonstrated a legal basis for the Commission to reverse its decision to defer </w:t>
      </w:r>
      <w:r w:rsidR="00807DC9">
        <w:rPr>
          <w:rFonts w:eastAsia="Times New Roman" w:cs="Arial"/>
        </w:rPr>
        <w:t>resolution</w:t>
      </w:r>
      <w:r>
        <w:rPr>
          <w:rFonts w:eastAsia="Times New Roman" w:cs="Arial"/>
        </w:rPr>
        <w:t xml:space="preserve"> on the lawfulness of the PPA Rider.  If the Commission does grant rehearing, however, </w:t>
      </w:r>
      <w:r w:rsidR="009F1815">
        <w:rPr>
          <w:rFonts w:eastAsia="Times New Roman" w:cs="Arial"/>
        </w:rPr>
        <w:t xml:space="preserve">the Commission should cut off </w:t>
      </w:r>
      <w:r w:rsidR="00BF36BA">
        <w:rPr>
          <w:rFonts w:eastAsia="Times New Roman" w:cs="Arial"/>
        </w:rPr>
        <w:t>further</w:t>
      </w:r>
      <w:r w:rsidR="009F1815">
        <w:rPr>
          <w:rFonts w:eastAsia="Times New Roman" w:cs="Arial"/>
        </w:rPr>
        <w:t xml:space="preserve"> debate over the PPA Rider by correctly finding that it cannot lawfully authorize the rider</w:t>
      </w:r>
      <w:r w:rsidR="00A512F9">
        <w:rPr>
          <w:rFonts w:eastAsia="Times New Roman" w:cs="Arial"/>
        </w:rPr>
        <w:t xml:space="preserve"> under Ohio or federal law</w:t>
      </w:r>
      <w:r w:rsidR="009F1815">
        <w:rPr>
          <w:rFonts w:eastAsia="Times New Roman" w:cs="Arial"/>
        </w:rPr>
        <w:t>.</w:t>
      </w:r>
    </w:p>
    <w:p w:rsidR="00A960A7" w:rsidRPr="00A960A7" w:rsidRDefault="00A960A7" w:rsidP="00063D97">
      <w:pPr>
        <w:spacing w:after="200" w:line="276" w:lineRule="auto"/>
        <w:ind w:left="4320"/>
        <w:jc w:val="both"/>
        <w:rPr>
          <w:rFonts w:eastAsia="Times New Roman" w:cs="Arial"/>
        </w:rPr>
      </w:pPr>
      <w:r w:rsidRPr="00A960A7">
        <w:rPr>
          <w:rFonts w:eastAsia="Times New Roman" w:cs="Arial"/>
        </w:rPr>
        <w:t>Respectfully submitted,</w:t>
      </w:r>
    </w:p>
    <w:p w:rsidR="00A960A7" w:rsidRPr="00A960A7" w:rsidRDefault="00A960A7" w:rsidP="00A960A7">
      <w:pPr>
        <w:tabs>
          <w:tab w:val="left" w:pos="4320"/>
          <w:tab w:val="right" w:pos="8640"/>
        </w:tabs>
        <w:ind w:left="4320" w:hanging="4320"/>
        <w:jc w:val="both"/>
        <w:rPr>
          <w:rFonts w:eastAsia="Times New Roman" w:cs="Arial"/>
          <w:u w:val="single"/>
        </w:rPr>
      </w:pPr>
      <w:r w:rsidRPr="00A960A7">
        <w:rPr>
          <w:rFonts w:eastAsia="Times New Roman" w:cs="Arial"/>
        </w:rPr>
        <w:tab/>
      </w:r>
      <w:r w:rsidRPr="00A960A7">
        <w:rPr>
          <w:rFonts w:eastAsia="Times New Roman" w:cs="Arial"/>
          <w:u w:val="single"/>
        </w:rPr>
        <w:t>/s/ Frank P. Darr</w:t>
      </w:r>
      <w:r w:rsidRPr="00A960A7">
        <w:rPr>
          <w:rFonts w:eastAsia="Times New Roman" w:cs="Arial"/>
          <w:u w:val="single"/>
        </w:rPr>
        <w:tab/>
      </w:r>
    </w:p>
    <w:p w:rsidR="006902B1" w:rsidRDefault="006902B1" w:rsidP="006902B1">
      <w:pPr>
        <w:widowControl w:val="0"/>
        <w:ind w:left="4320"/>
        <w:rPr>
          <w:rFonts w:cs="Arial"/>
          <w:bCs/>
        </w:rPr>
      </w:pPr>
      <w:r>
        <w:rPr>
          <w:rFonts w:cs="Arial"/>
          <w:bCs/>
        </w:rPr>
        <w:t>Frank P. Darr (Reg. No. 0025469)</w:t>
      </w:r>
    </w:p>
    <w:p w:rsidR="006902B1" w:rsidRDefault="006902B1" w:rsidP="006902B1">
      <w:pPr>
        <w:ind w:left="4320"/>
        <w:rPr>
          <w:rFonts w:cs="Arial"/>
        </w:rPr>
      </w:pPr>
      <w:r>
        <w:rPr>
          <w:rFonts w:cs="Arial"/>
        </w:rPr>
        <w:t xml:space="preserve">  (Counsel of Record) </w:t>
      </w:r>
    </w:p>
    <w:p w:rsidR="006902B1" w:rsidRDefault="006902B1" w:rsidP="006902B1">
      <w:pPr>
        <w:widowControl w:val="0"/>
        <w:ind w:left="4320"/>
        <w:rPr>
          <w:rFonts w:cs="Arial"/>
          <w:b/>
          <w:bCs/>
        </w:rPr>
      </w:pPr>
      <w:r>
        <w:rPr>
          <w:rFonts w:cs="Arial"/>
          <w:bCs/>
        </w:rPr>
        <w:t>Matthew R. Pritchard (Reg. No. 0088070)</w:t>
      </w:r>
    </w:p>
    <w:p w:rsidR="006902B1" w:rsidRDefault="006902B1" w:rsidP="006902B1">
      <w:pPr>
        <w:widowControl w:val="0"/>
        <w:ind w:left="4320"/>
        <w:rPr>
          <w:rFonts w:cs="Arial"/>
          <w:b/>
          <w:bCs/>
          <w:smallCaps/>
        </w:rPr>
      </w:pPr>
      <w:r>
        <w:rPr>
          <w:rFonts w:cs="Arial"/>
          <w:bCs/>
          <w:smallCaps/>
        </w:rPr>
        <w:t>McNees Wallace &amp; Nurick LLC</w:t>
      </w:r>
    </w:p>
    <w:p w:rsidR="006902B1" w:rsidRDefault="006902B1" w:rsidP="006902B1">
      <w:pPr>
        <w:widowControl w:val="0"/>
        <w:ind w:left="4320"/>
        <w:rPr>
          <w:rFonts w:cs="Arial"/>
          <w:b/>
          <w:bCs/>
        </w:rPr>
      </w:pPr>
      <w:r>
        <w:rPr>
          <w:rFonts w:cs="Arial"/>
          <w:bCs/>
        </w:rPr>
        <w:t>21 East State Street, 17</w:t>
      </w:r>
      <w:r>
        <w:rPr>
          <w:rFonts w:cs="Arial"/>
          <w:bCs/>
          <w:vertAlign w:val="superscript"/>
        </w:rPr>
        <w:t>TH</w:t>
      </w:r>
      <w:r>
        <w:rPr>
          <w:rFonts w:cs="Arial"/>
          <w:bCs/>
        </w:rPr>
        <w:t xml:space="preserve"> Floor</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rPr>
      </w:pPr>
      <w:r>
        <w:rPr>
          <w:rFonts w:cs="Arial"/>
        </w:rPr>
        <w:t>Columbus, OH  43215</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rPr>
      </w:pPr>
      <w:r>
        <w:rPr>
          <w:rFonts w:cs="Arial"/>
        </w:rPr>
        <w:t>Telephone:  (614) 469-8000</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color w:val="000000" w:themeColor="text1"/>
        </w:rPr>
        <w:t>Telecopier:  (614) 469-4653</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rPr>
        <w:t>fdarr@mwncmh.com</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color w:val="000000" w:themeColor="text1"/>
        </w:rPr>
        <w:t>(willing to accept service by e-mail)</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smallCaps/>
          <w:color w:val="000000" w:themeColor="text1"/>
        </w:rPr>
      </w:pPr>
      <w:r>
        <w:rPr>
          <w:rFonts w:cs="Arial"/>
          <w:color w:val="000000" w:themeColor="text1"/>
        </w:rPr>
        <w:t>mpritchard@mwncmh.com</w:t>
      </w:r>
    </w:p>
    <w:p w:rsidR="006902B1" w:rsidRDefault="006902B1" w:rsidP="006902B1">
      <w:pPr>
        <w:tabs>
          <w:tab w:val="left" w:pos="-1440"/>
          <w:tab w:val="left" w:pos="-720"/>
          <w:tab w:val="left" w:pos="5040"/>
          <w:tab w:val="center" w:pos="7200"/>
        </w:tabs>
        <w:overflowPunct w:val="0"/>
        <w:autoSpaceDE w:val="0"/>
        <w:autoSpaceDN w:val="0"/>
        <w:adjustRightInd w:val="0"/>
        <w:ind w:left="4320"/>
        <w:rPr>
          <w:rFonts w:cs="Arial"/>
          <w:color w:val="000000" w:themeColor="text1"/>
        </w:rPr>
      </w:pPr>
      <w:r>
        <w:rPr>
          <w:rFonts w:cs="Arial"/>
          <w:color w:val="000000" w:themeColor="text1"/>
        </w:rPr>
        <w:t>(willing to accept service by e-mail)</w:t>
      </w:r>
    </w:p>
    <w:p w:rsidR="00A960A7" w:rsidRPr="00A960A7" w:rsidRDefault="00A960A7" w:rsidP="00A960A7">
      <w:pPr>
        <w:spacing w:after="120"/>
        <w:ind w:left="4320" w:hanging="4320"/>
        <w:jc w:val="both"/>
        <w:rPr>
          <w:rFonts w:eastAsia="Calibri" w:cs="Arial"/>
        </w:rPr>
      </w:pPr>
    </w:p>
    <w:p w:rsidR="00A960A7" w:rsidRPr="00A960A7" w:rsidRDefault="00A960A7" w:rsidP="00A960A7">
      <w:pPr>
        <w:spacing w:after="120"/>
        <w:jc w:val="both"/>
        <w:rPr>
          <w:rFonts w:eastAsia="Calibri" w:cs="Arial"/>
          <w:b/>
        </w:rPr>
      </w:pPr>
      <w:r w:rsidRPr="00A960A7">
        <w:rPr>
          <w:rFonts w:eastAsia="Calibri" w:cs="Arial"/>
          <w:b/>
        </w:rPr>
        <w:tab/>
      </w:r>
      <w:r w:rsidRPr="00A960A7">
        <w:rPr>
          <w:rFonts w:eastAsia="Calibri" w:cs="Arial"/>
          <w:b/>
        </w:rPr>
        <w:tab/>
      </w:r>
      <w:r w:rsidRPr="00A960A7">
        <w:rPr>
          <w:rFonts w:eastAsia="Calibri" w:cs="Arial"/>
          <w:b/>
        </w:rPr>
        <w:tab/>
      </w:r>
      <w:r w:rsidRPr="00A960A7">
        <w:rPr>
          <w:rFonts w:eastAsia="Calibri" w:cs="Arial"/>
          <w:b/>
        </w:rPr>
        <w:tab/>
      </w:r>
      <w:r w:rsidRPr="00A960A7">
        <w:rPr>
          <w:rFonts w:eastAsia="Calibri" w:cs="Arial"/>
          <w:b/>
        </w:rPr>
        <w:tab/>
      </w:r>
      <w:r w:rsidRPr="00A960A7">
        <w:rPr>
          <w:rFonts w:eastAsia="Calibri" w:cs="Arial"/>
          <w:b/>
        </w:rPr>
        <w:tab/>
        <w:t>Attorneys for Industrial Energy Users-Ohio</w:t>
      </w:r>
    </w:p>
    <w:p w:rsidR="00A80453" w:rsidRDefault="00A80453" w:rsidP="00A960A7">
      <w:pPr>
        <w:spacing w:after="120"/>
        <w:rPr>
          <w:rFonts w:eastAsia="Times New Roman" w:cs="Arial"/>
        </w:rPr>
      </w:pPr>
    </w:p>
    <w:p w:rsidR="00A80453" w:rsidRDefault="00A80453" w:rsidP="00A960A7">
      <w:pPr>
        <w:spacing w:after="120"/>
        <w:rPr>
          <w:rFonts w:eastAsia="Times New Roman" w:cs="Arial"/>
        </w:rPr>
        <w:sectPr w:rsidR="00A80453" w:rsidSect="00FA1AF4">
          <w:footerReference w:type="first" r:id="rId19"/>
          <w:pgSz w:w="12240" w:h="15840" w:code="1"/>
          <w:pgMar w:top="1440" w:right="1440" w:bottom="1141" w:left="1440" w:header="720" w:footer="720" w:gutter="0"/>
          <w:pgNumType w:start="1"/>
          <w:cols w:space="720"/>
          <w:titlePg/>
          <w:docGrid w:linePitch="326"/>
        </w:sectPr>
      </w:pPr>
    </w:p>
    <w:p w:rsidR="00A960A7" w:rsidRPr="00A960A7" w:rsidRDefault="00A960A7" w:rsidP="00A960A7">
      <w:pPr>
        <w:spacing w:after="120"/>
        <w:jc w:val="center"/>
        <w:rPr>
          <w:rFonts w:ascii="Arial Bold" w:eastAsia="Times New Roman" w:hAnsi="Arial Bold" w:cs="Times New Roman"/>
          <w:b/>
          <w:caps/>
          <w:szCs w:val="20"/>
          <w:u w:val="single"/>
        </w:rPr>
      </w:pPr>
      <w:r w:rsidRPr="00A960A7">
        <w:rPr>
          <w:rFonts w:ascii="Arial Bold" w:eastAsia="Times New Roman" w:hAnsi="Arial Bold" w:cs="Times New Roman"/>
          <w:b/>
          <w:caps/>
          <w:szCs w:val="20"/>
          <w:u w:val="single"/>
        </w:rPr>
        <w:lastRenderedPageBreak/>
        <w:t>Certificate of Service</w:t>
      </w:r>
    </w:p>
    <w:p w:rsidR="00A960A7" w:rsidRPr="00A960A7" w:rsidRDefault="00A960A7" w:rsidP="00A960A7">
      <w:pPr>
        <w:spacing w:after="120"/>
        <w:jc w:val="both"/>
        <w:rPr>
          <w:rFonts w:eastAsia="Times New Roman" w:cs="Times New Roman"/>
          <w:szCs w:val="20"/>
        </w:rPr>
      </w:pPr>
    </w:p>
    <w:p w:rsidR="00A960A7" w:rsidRPr="00A960A7" w:rsidRDefault="00A960A7" w:rsidP="00A960A7">
      <w:pPr>
        <w:spacing w:after="120" w:line="480" w:lineRule="auto"/>
        <w:ind w:firstLine="720"/>
        <w:jc w:val="both"/>
        <w:rPr>
          <w:rFonts w:ascii="Times New Roman" w:eastAsia="Times New Roman" w:hAnsi="Times New Roman" w:cs="Times New Roman"/>
        </w:rPr>
      </w:pPr>
      <w:r w:rsidRPr="00A960A7">
        <w:rPr>
          <w:rFonts w:eastAsia="Times New Roman"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sidRPr="00A960A7">
        <w:rPr>
          <w:rFonts w:eastAsia="Times New Roman" w:cs="Arial"/>
          <w:i/>
        </w:rPr>
        <w:t xml:space="preserve">Memorandum of Industrial Energy Users-Ohio in Opposition to the </w:t>
      </w:r>
      <w:r w:rsidR="00807DC9">
        <w:rPr>
          <w:rFonts w:eastAsia="Times New Roman" w:cs="Arial"/>
          <w:i/>
        </w:rPr>
        <w:t xml:space="preserve">Second </w:t>
      </w:r>
      <w:r w:rsidRPr="00A960A7">
        <w:rPr>
          <w:rFonts w:eastAsia="Times New Roman" w:cs="Arial"/>
          <w:i/>
        </w:rPr>
        <w:t>Application for Rehearing</w:t>
      </w:r>
      <w:r w:rsidRPr="00A960A7">
        <w:rPr>
          <w:rFonts w:eastAsia="Calibri" w:cs="Arial"/>
          <w:b/>
          <w:caps/>
          <w:sz w:val="28"/>
          <w:szCs w:val="28"/>
        </w:rPr>
        <w:t xml:space="preserve"> </w:t>
      </w:r>
      <w:r w:rsidRPr="00A960A7">
        <w:rPr>
          <w:rFonts w:eastAsia="Times New Roman" w:cs="Arial"/>
          <w:i/>
        </w:rPr>
        <w:t xml:space="preserve">of the Ohio Power Company </w:t>
      </w:r>
      <w:r w:rsidRPr="00A960A7">
        <w:rPr>
          <w:rFonts w:eastAsia="Times New Roman" w:cs="Arial"/>
        </w:rPr>
        <w:t xml:space="preserve">was sent by, or on behalf of, the undersigned counsel for IEU-Ohio to the following parties of record this </w:t>
      </w:r>
      <w:r w:rsidR="00A80453">
        <w:rPr>
          <w:rFonts w:eastAsia="Times New Roman" w:cs="Arial"/>
        </w:rPr>
        <w:t>9</w:t>
      </w:r>
      <w:r w:rsidR="00A80453" w:rsidRPr="00A80453">
        <w:rPr>
          <w:rFonts w:eastAsia="Times New Roman" w:cs="Arial"/>
          <w:vertAlign w:val="superscript"/>
        </w:rPr>
        <w:t>th</w:t>
      </w:r>
      <w:r w:rsidR="00A80453">
        <w:rPr>
          <w:rFonts w:eastAsia="Times New Roman" w:cs="Arial"/>
        </w:rPr>
        <w:t xml:space="preserve"> </w:t>
      </w:r>
      <w:r w:rsidRPr="00A960A7">
        <w:rPr>
          <w:rFonts w:eastAsia="Times New Roman" w:cs="Arial"/>
        </w:rPr>
        <w:t xml:space="preserve">day of </w:t>
      </w:r>
      <w:r w:rsidR="00807DC9">
        <w:rPr>
          <w:rFonts w:eastAsia="Times New Roman" w:cs="Arial"/>
        </w:rPr>
        <w:t>July</w:t>
      </w:r>
      <w:r w:rsidR="00807DC9" w:rsidRPr="00A960A7">
        <w:rPr>
          <w:rFonts w:eastAsia="Times New Roman" w:cs="Arial"/>
        </w:rPr>
        <w:t xml:space="preserve"> </w:t>
      </w:r>
      <w:r w:rsidRPr="00A960A7">
        <w:rPr>
          <w:rFonts w:eastAsia="Times New Roman" w:cs="Arial"/>
        </w:rPr>
        <w:t xml:space="preserve">2015, </w:t>
      </w:r>
      <w:r w:rsidRPr="00A960A7">
        <w:rPr>
          <w:rFonts w:eastAsia="Times New Roman" w:cs="Arial"/>
          <w:i/>
        </w:rPr>
        <w:t>via</w:t>
      </w:r>
      <w:r w:rsidRPr="00A960A7">
        <w:rPr>
          <w:rFonts w:eastAsia="Times New Roman" w:cs="Arial"/>
        </w:rPr>
        <w:t xml:space="preserve"> electronic transmission. </w:t>
      </w:r>
    </w:p>
    <w:p w:rsidR="00A960A7" w:rsidRPr="00A80453" w:rsidRDefault="00A960A7" w:rsidP="00A80453">
      <w:pPr>
        <w:tabs>
          <w:tab w:val="right" w:pos="8640"/>
        </w:tabs>
        <w:ind w:left="5040"/>
        <w:jc w:val="both"/>
        <w:rPr>
          <w:rFonts w:eastAsia="Times New Roman" w:cs="Arial"/>
          <w:i/>
          <w:u w:val="single"/>
        </w:rPr>
      </w:pPr>
      <w:r w:rsidRPr="00A80453">
        <w:rPr>
          <w:rFonts w:eastAsia="Times New Roman" w:cs="Arial"/>
          <w:i/>
          <w:u w:val="single"/>
        </w:rPr>
        <w:t>/s/ Frank P. Darr</w:t>
      </w:r>
      <w:r w:rsidRPr="00A80453">
        <w:rPr>
          <w:rFonts w:eastAsia="Times New Roman" w:cs="Arial"/>
          <w:i/>
          <w:u w:val="single"/>
        </w:rPr>
        <w:tab/>
      </w:r>
    </w:p>
    <w:p w:rsidR="00A80453" w:rsidRPr="00A80453" w:rsidRDefault="00A80453" w:rsidP="00A80453">
      <w:pPr>
        <w:tabs>
          <w:tab w:val="right" w:pos="8640"/>
        </w:tabs>
        <w:ind w:left="5040" w:right="720"/>
        <w:jc w:val="center"/>
        <w:rPr>
          <w:rFonts w:eastAsia="Times New Roman" w:cs="Arial"/>
        </w:rPr>
      </w:pPr>
      <w:r w:rsidRPr="00A80453">
        <w:rPr>
          <w:rFonts w:eastAsia="Times New Roman" w:cs="Arial"/>
        </w:rPr>
        <w:t>Frank P. Darr</w:t>
      </w:r>
    </w:p>
    <w:p w:rsidR="00A960A7" w:rsidRDefault="00A960A7" w:rsidP="00A960A7">
      <w:pPr>
        <w:autoSpaceDE w:val="0"/>
        <w:autoSpaceDN w:val="0"/>
        <w:adjustRightInd w:val="0"/>
        <w:spacing w:after="120"/>
        <w:jc w:val="both"/>
        <w:rPr>
          <w:rFonts w:eastAsia="Calibri" w:cs="Arial"/>
        </w:rPr>
      </w:pPr>
    </w:p>
    <w:p w:rsidR="00A80453" w:rsidRDefault="00A80453" w:rsidP="00E87D98">
      <w:pPr>
        <w:sectPr w:rsidR="00A80453" w:rsidSect="00A80453">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rsidR="00E87D98" w:rsidRPr="002336A2" w:rsidRDefault="00E87D98" w:rsidP="00E87D98">
      <w:r w:rsidRPr="002336A2">
        <w:lastRenderedPageBreak/>
        <w:t>Steven T. Nourse</w:t>
      </w:r>
      <w:r>
        <w:t xml:space="preserve"> (0046705)</w:t>
      </w:r>
    </w:p>
    <w:p w:rsidR="00E87D98" w:rsidRPr="002336A2" w:rsidRDefault="00E87D98" w:rsidP="00E87D98">
      <w:r w:rsidRPr="002336A2">
        <w:t>Matthew J. Satterwhite</w:t>
      </w:r>
      <w:r>
        <w:t xml:space="preserve"> (0071972)</w:t>
      </w:r>
    </w:p>
    <w:p w:rsidR="00E87D98" w:rsidRPr="002336A2" w:rsidRDefault="00E87D98" w:rsidP="00E87D98">
      <w:pPr>
        <w:rPr>
          <w:smallCaps/>
        </w:rPr>
      </w:pPr>
      <w:r w:rsidRPr="002336A2">
        <w:rPr>
          <w:smallCaps/>
        </w:rPr>
        <w:t>American Electric Power Corporation</w:t>
      </w:r>
    </w:p>
    <w:p w:rsidR="00E87D98" w:rsidRPr="002336A2" w:rsidRDefault="00E87D98" w:rsidP="00E87D98">
      <w:r w:rsidRPr="002336A2">
        <w:t>1 Riverside Plaza, 29</w:t>
      </w:r>
      <w:r w:rsidRPr="002336A2">
        <w:rPr>
          <w:vertAlign w:val="superscript"/>
        </w:rPr>
        <w:t>th</w:t>
      </w:r>
      <w:r w:rsidRPr="002336A2">
        <w:t xml:space="preserve"> Floor</w:t>
      </w:r>
    </w:p>
    <w:p w:rsidR="00E87D98" w:rsidRPr="002336A2" w:rsidRDefault="00E87D98" w:rsidP="00E87D98">
      <w:r w:rsidRPr="002336A2">
        <w:t>Columbus, Ohio  43215-2373</w:t>
      </w:r>
    </w:p>
    <w:p w:rsidR="00E87D98" w:rsidRPr="002336A2" w:rsidRDefault="00E87D98" w:rsidP="00E87D98">
      <w:r w:rsidRPr="002336A2">
        <w:t>stnourse@aep.com</w:t>
      </w:r>
    </w:p>
    <w:p w:rsidR="00E87D98" w:rsidRPr="002336A2" w:rsidRDefault="00E87D98" w:rsidP="00E87D98">
      <w:r w:rsidRPr="002336A2">
        <w:t>mjsatterwhite@aep.com</w:t>
      </w:r>
    </w:p>
    <w:p w:rsidR="00E87D98" w:rsidRPr="002336A2" w:rsidRDefault="00E87D98" w:rsidP="00E87D98"/>
    <w:p w:rsidR="00E87D98" w:rsidRPr="002336A2" w:rsidRDefault="00E87D98" w:rsidP="00E87D98">
      <w:r w:rsidRPr="002336A2">
        <w:t>Daniel R. Conway</w:t>
      </w:r>
      <w:r>
        <w:t xml:space="preserve"> (0023058)</w:t>
      </w:r>
    </w:p>
    <w:p w:rsidR="00E87D98" w:rsidRPr="002336A2" w:rsidRDefault="00E87D98" w:rsidP="00E87D98">
      <w:pPr>
        <w:rPr>
          <w:smallCaps/>
        </w:rPr>
      </w:pPr>
      <w:r w:rsidRPr="002336A2">
        <w:rPr>
          <w:smallCaps/>
        </w:rPr>
        <w:t>Porter Wright Morris &amp; Arthur</w:t>
      </w:r>
    </w:p>
    <w:p w:rsidR="00E87D98" w:rsidRPr="002336A2" w:rsidRDefault="00E87D98" w:rsidP="00E87D98">
      <w:r w:rsidRPr="002336A2">
        <w:t>Huntington Center</w:t>
      </w:r>
    </w:p>
    <w:p w:rsidR="00E87D98" w:rsidRPr="002336A2" w:rsidRDefault="00E87D98" w:rsidP="00E87D98">
      <w:r w:rsidRPr="002336A2">
        <w:t>41 South High Street</w:t>
      </w:r>
    </w:p>
    <w:p w:rsidR="00E87D98" w:rsidRPr="002336A2" w:rsidRDefault="00E87D98" w:rsidP="00E87D98">
      <w:r w:rsidRPr="002336A2">
        <w:t>Columbus, Ohio 43215</w:t>
      </w:r>
    </w:p>
    <w:p w:rsidR="00E87D98" w:rsidRDefault="00E87D98" w:rsidP="00E87D98">
      <w:r w:rsidRPr="002336A2">
        <w:t>dconway@porterwright.com</w:t>
      </w:r>
    </w:p>
    <w:p w:rsidR="00E87D98" w:rsidRDefault="00E87D98" w:rsidP="00E87D98"/>
    <w:p w:rsidR="00E87D98" w:rsidRDefault="00E87D98" w:rsidP="00E87D98">
      <w:r>
        <w:t>J.A. Bouknight</w:t>
      </w:r>
    </w:p>
    <w:p w:rsidR="00E87D98" w:rsidRDefault="00E87D98" w:rsidP="00E87D98">
      <w:r>
        <w:t>Steptoe &amp; Johnson LLP</w:t>
      </w:r>
    </w:p>
    <w:p w:rsidR="00E87D98" w:rsidRDefault="00E87D98" w:rsidP="00E87D98">
      <w:r>
        <w:t>1330 Connecticut Avenue, NW</w:t>
      </w:r>
    </w:p>
    <w:p w:rsidR="00E87D98" w:rsidRDefault="00E87D98" w:rsidP="00E87D98">
      <w:r>
        <w:t>Washington, DC  20036</w:t>
      </w:r>
    </w:p>
    <w:p w:rsidR="00E87D98" w:rsidRPr="002336A2" w:rsidRDefault="00E87D98" w:rsidP="00E87D98">
      <w:r>
        <w:t>lbouknight@steptoe.com</w:t>
      </w:r>
    </w:p>
    <w:p w:rsidR="00E87D98" w:rsidRPr="002336A2" w:rsidRDefault="00E87D98" w:rsidP="00E87D98"/>
    <w:p w:rsidR="00E87D98" w:rsidRPr="002336A2" w:rsidRDefault="00E87D98" w:rsidP="00E87D98">
      <w:pPr>
        <w:rPr>
          <w:rFonts w:ascii="Arial Bold" w:hAnsi="Arial Bold"/>
          <w:b/>
          <w:smallCaps/>
        </w:rPr>
      </w:pPr>
      <w:r w:rsidRPr="002336A2">
        <w:rPr>
          <w:rFonts w:ascii="Arial Bold" w:hAnsi="Arial Bold"/>
          <w:b/>
          <w:smallCaps/>
        </w:rPr>
        <w:t>On Behalf of Ohio Power Company</w:t>
      </w:r>
    </w:p>
    <w:p w:rsidR="00E87D98" w:rsidRPr="002336A2" w:rsidRDefault="00E87D98" w:rsidP="00E87D98">
      <w:pPr>
        <w:rPr>
          <w:b/>
        </w:rPr>
      </w:pPr>
    </w:p>
    <w:p w:rsidR="00E87D98" w:rsidRDefault="00E87D98" w:rsidP="00E87D98"/>
    <w:p w:rsidR="00E87D98" w:rsidRDefault="00A80453" w:rsidP="00E87D98">
      <w:r>
        <w:br w:type="column"/>
      </w:r>
      <w:r w:rsidR="00E87D98" w:rsidRPr="002336A2">
        <w:lastRenderedPageBreak/>
        <w:t>William L. Wright</w:t>
      </w:r>
      <w:r w:rsidR="00E87D98">
        <w:t xml:space="preserve"> (0018010)</w:t>
      </w:r>
    </w:p>
    <w:p w:rsidR="00E87D98" w:rsidRDefault="00E87D98" w:rsidP="00E87D98">
      <w:r>
        <w:t>Werner Margard (0024858)</w:t>
      </w:r>
    </w:p>
    <w:p w:rsidR="00E87D98" w:rsidRPr="002336A2" w:rsidRDefault="00E87D98" w:rsidP="00E87D98">
      <w:r>
        <w:t>Katherine Johnson (0091064)</w:t>
      </w:r>
    </w:p>
    <w:p w:rsidR="00E87D98" w:rsidRPr="002336A2" w:rsidRDefault="00E87D98" w:rsidP="00E87D98">
      <w:r w:rsidRPr="002336A2">
        <w:t>Assistant Attorney</w:t>
      </w:r>
      <w:r>
        <w:t>s’</w:t>
      </w:r>
      <w:r w:rsidRPr="002336A2">
        <w:t xml:space="preserve"> General</w:t>
      </w:r>
    </w:p>
    <w:p w:rsidR="00E87D98" w:rsidRPr="002336A2" w:rsidRDefault="00E87D98" w:rsidP="00E87D98">
      <w:r w:rsidRPr="002336A2">
        <w:t>180 E. Broad Street, 6</w:t>
      </w:r>
      <w:r w:rsidRPr="002336A2">
        <w:rPr>
          <w:vertAlign w:val="superscript"/>
        </w:rPr>
        <w:t>th</w:t>
      </w:r>
      <w:r w:rsidRPr="002336A2">
        <w:t xml:space="preserve"> Floor</w:t>
      </w:r>
    </w:p>
    <w:p w:rsidR="00E87D98" w:rsidRDefault="00E87D98" w:rsidP="00E87D98"/>
    <w:p w:rsidR="00E87D98" w:rsidRPr="002336A2" w:rsidRDefault="00E87D98" w:rsidP="00E87D98">
      <w:r w:rsidRPr="002336A2">
        <w:t xml:space="preserve">Columbus, </w:t>
      </w:r>
      <w:r>
        <w:t>Ohio</w:t>
      </w:r>
      <w:r w:rsidRPr="002336A2">
        <w:t xml:space="preserve">  43215-3793</w:t>
      </w:r>
    </w:p>
    <w:p w:rsidR="00E87D98" w:rsidRDefault="00E87D98" w:rsidP="00E87D98">
      <w:r w:rsidRPr="002336A2">
        <w:t>William.wright@puc.state.oh.us</w:t>
      </w:r>
    </w:p>
    <w:p w:rsidR="00E87D98" w:rsidRDefault="00E87D98" w:rsidP="00E87D98">
      <w:r w:rsidRPr="00FA3E04">
        <w:t>werner.margard@puc.state.oh.us</w:t>
      </w:r>
    </w:p>
    <w:p w:rsidR="00E87D98" w:rsidRPr="002336A2" w:rsidRDefault="00E87D98" w:rsidP="00E87D98">
      <w:r>
        <w:t>katherine.johnson@puc.state.oh.us</w:t>
      </w:r>
    </w:p>
    <w:p w:rsidR="00E87D98" w:rsidRPr="002336A2" w:rsidRDefault="00E87D98" w:rsidP="00E87D98">
      <w:pPr>
        <w:rPr>
          <w:b/>
        </w:rPr>
      </w:pPr>
    </w:p>
    <w:p w:rsidR="00E87D98" w:rsidRPr="002336A2" w:rsidRDefault="00E87D98" w:rsidP="00E87D98">
      <w:pPr>
        <w:rPr>
          <w:rFonts w:ascii="Arial Bold" w:hAnsi="Arial Bold"/>
          <w:b/>
          <w:smallCaps/>
        </w:rPr>
      </w:pPr>
      <w:r w:rsidRPr="002336A2">
        <w:rPr>
          <w:rFonts w:ascii="Arial Bold" w:hAnsi="Arial Bold"/>
          <w:b/>
          <w:smallCaps/>
        </w:rPr>
        <w:t>On Behalf of the Staff of the Public</w:t>
      </w:r>
    </w:p>
    <w:p w:rsidR="00E87D98" w:rsidRPr="002336A2" w:rsidRDefault="00E87D98" w:rsidP="00E87D98">
      <w:pPr>
        <w:rPr>
          <w:b/>
        </w:rPr>
      </w:pPr>
      <w:r w:rsidRPr="002336A2">
        <w:rPr>
          <w:rFonts w:ascii="Arial Bold" w:hAnsi="Arial Bold"/>
          <w:b/>
          <w:smallCaps/>
        </w:rPr>
        <w:t>Utilities Commission of Ohio</w:t>
      </w:r>
    </w:p>
    <w:p w:rsidR="00A80453" w:rsidRDefault="00A80453" w:rsidP="00E87D98"/>
    <w:p w:rsidR="00E87D98" w:rsidRDefault="00E87D98" w:rsidP="00E87D98">
      <w:r>
        <w:t>David F. Boehm (0021881)</w:t>
      </w:r>
    </w:p>
    <w:p w:rsidR="00E87D98" w:rsidRDefault="00E87D98" w:rsidP="00E87D98">
      <w:r>
        <w:t>Michael L. Kurtz (0033350)</w:t>
      </w:r>
    </w:p>
    <w:p w:rsidR="00E87D98" w:rsidRDefault="00E87D98" w:rsidP="00E87D98">
      <w:r>
        <w:t>Jody Kyler Cohn (0085402)</w:t>
      </w:r>
    </w:p>
    <w:p w:rsidR="00E87D98" w:rsidRPr="002336A2" w:rsidRDefault="00E87D98" w:rsidP="00E87D98">
      <w:pPr>
        <w:rPr>
          <w:smallCaps/>
        </w:rPr>
      </w:pPr>
      <w:r w:rsidRPr="002336A2">
        <w:rPr>
          <w:smallCaps/>
        </w:rPr>
        <w:t>Boehm, Kurtz &amp; Lowry</w:t>
      </w:r>
    </w:p>
    <w:p w:rsidR="00E87D98" w:rsidRDefault="00E87D98" w:rsidP="00E87D98">
      <w:r>
        <w:t>36 East Seventh Street, Suite 1510</w:t>
      </w:r>
    </w:p>
    <w:p w:rsidR="00E87D98" w:rsidRDefault="00E87D98" w:rsidP="00E87D98">
      <w:r>
        <w:t>Cincinnati, Ohio  45202</w:t>
      </w:r>
    </w:p>
    <w:p w:rsidR="00E87D98" w:rsidRDefault="00E87D98" w:rsidP="00E87D98">
      <w:r>
        <w:t>dboehm@BKLlawfirm.com</w:t>
      </w:r>
    </w:p>
    <w:p w:rsidR="00E87D98" w:rsidRDefault="00E87D98" w:rsidP="00E87D98">
      <w:r>
        <w:t>mkurtz@BKLlawfirm.com</w:t>
      </w:r>
    </w:p>
    <w:p w:rsidR="00E87D98" w:rsidRDefault="00E87D98" w:rsidP="00E87D98">
      <w:r>
        <w:t>jkylercohn@BKLlawfirm.com</w:t>
      </w:r>
    </w:p>
    <w:p w:rsidR="00E87D98" w:rsidRDefault="00E87D98" w:rsidP="00E87D98"/>
    <w:p w:rsidR="00E87D98" w:rsidRDefault="00E87D98" w:rsidP="00E87D98">
      <w:pPr>
        <w:rPr>
          <w:b/>
          <w:smallCaps/>
        </w:rPr>
      </w:pPr>
      <w:r w:rsidRPr="002336A2">
        <w:rPr>
          <w:b/>
          <w:smallCaps/>
        </w:rPr>
        <w:t>On Behalf of the Ohio Energy Group</w:t>
      </w:r>
    </w:p>
    <w:p w:rsidR="00A80453" w:rsidRDefault="00A80453" w:rsidP="00E87D98">
      <w:pPr>
        <w:rPr>
          <w:b/>
          <w:smallCaps/>
        </w:rPr>
        <w:sectPr w:rsidR="00A80453" w:rsidSect="00A80453">
          <w:type w:val="continuous"/>
          <w:pgSz w:w="12240" w:h="15840" w:code="1"/>
          <w:pgMar w:top="1440" w:right="1440" w:bottom="1440" w:left="1440" w:header="720" w:footer="720" w:gutter="0"/>
          <w:cols w:num="2" w:space="720"/>
          <w:titlePg/>
          <w:docGrid w:linePitch="360"/>
        </w:sectPr>
      </w:pPr>
    </w:p>
    <w:p w:rsidR="00E87D98" w:rsidRDefault="00E87D98" w:rsidP="00E87D98">
      <w:r>
        <w:lastRenderedPageBreak/>
        <w:t>Maureen R. Grady (0020847)</w:t>
      </w:r>
    </w:p>
    <w:p w:rsidR="00E87D98" w:rsidRDefault="00E87D98" w:rsidP="00E87D98">
      <w:r>
        <w:t>Assistant Consumers’ Counsel</w:t>
      </w:r>
    </w:p>
    <w:p w:rsidR="00E87D98" w:rsidRPr="006F2FDB" w:rsidRDefault="00E87D98" w:rsidP="00E87D98">
      <w:pPr>
        <w:rPr>
          <w:smallCaps/>
        </w:rPr>
      </w:pPr>
      <w:r w:rsidRPr="006F2FDB">
        <w:rPr>
          <w:smallCaps/>
        </w:rPr>
        <w:t>Office of the Ohio Consumers’ Counsel</w:t>
      </w:r>
    </w:p>
    <w:p w:rsidR="00E87D98" w:rsidRDefault="00E87D98" w:rsidP="00E87D98">
      <w:r>
        <w:t>10 West Broad Street, Suite 1800</w:t>
      </w:r>
    </w:p>
    <w:p w:rsidR="00E87D98" w:rsidRDefault="00E87D98" w:rsidP="00E87D98">
      <w:r>
        <w:t>Columbus, Ohio  43215-3485</w:t>
      </w:r>
    </w:p>
    <w:p w:rsidR="00E87D98" w:rsidRPr="006F2FDB" w:rsidRDefault="00E87D98" w:rsidP="00E87D98">
      <w:r w:rsidRPr="00850435">
        <w:t>grady@occ.state.oh.us</w:t>
      </w:r>
    </w:p>
    <w:p w:rsidR="00E87D98" w:rsidRDefault="00E87D98" w:rsidP="00E87D98"/>
    <w:p w:rsidR="00E87D98" w:rsidRPr="00D352DA" w:rsidRDefault="00E87D98" w:rsidP="00E87D98">
      <w:pPr>
        <w:rPr>
          <w:b/>
          <w:smallCaps/>
        </w:rPr>
      </w:pPr>
      <w:r w:rsidRPr="006F2FDB">
        <w:rPr>
          <w:b/>
          <w:smallCaps/>
        </w:rPr>
        <w:t>On Behalf of the Office of the Ohio Consumers’ Counsel</w:t>
      </w:r>
    </w:p>
    <w:p w:rsidR="00E87D98" w:rsidRDefault="00E87D98" w:rsidP="00E87D98"/>
    <w:p w:rsidR="00E87D98" w:rsidRDefault="00E87D98" w:rsidP="00E87D98">
      <w:r>
        <w:t>Rocco D’Ascenzo (0077651)</w:t>
      </w:r>
    </w:p>
    <w:p w:rsidR="00E87D98" w:rsidRPr="00253994" w:rsidRDefault="00E87D98" w:rsidP="00E87D98">
      <w:pPr>
        <w:rPr>
          <w:smallCaps/>
        </w:rPr>
      </w:pPr>
      <w:r w:rsidRPr="00253994">
        <w:rPr>
          <w:smallCaps/>
        </w:rPr>
        <w:t>Duke Energy Ohio, Inc.</w:t>
      </w:r>
    </w:p>
    <w:p w:rsidR="00E87D98" w:rsidRDefault="00E87D98" w:rsidP="00E87D98">
      <w:r>
        <w:t>139 East Fourth Street</w:t>
      </w:r>
    </w:p>
    <w:p w:rsidR="00E87D98" w:rsidRDefault="00E87D98" w:rsidP="00E87D98">
      <w:r>
        <w:t>Cincinnati, Ohio  45202</w:t>
      </w:r>
    </w:p>
    <w:p w:rsidR="00E87D98" w:rsidRDefault="00E87D98" w:rsidP="00E87D98">
      <w:r>
        <w:t>Rocco.D’Ascenzo@duke-energy.com</w:t>
      </w:r>
    </w:p>
    <w:p w:rsidR="00E87D98" w:rsidRDefault="00E87D98" w:rsidP="00E87D98"/>
    <w:p w:rsidR="00E87D98" w:rsidRDefault="00E87D98" w:rsidP="00E87D98">
      <w:r>
        <w:t>Elizabeth H. Watts</w:t>
      </w:r>
    </w:p>
    <w:p w:rsidR="00E87D98" w:rsidRDefault="00E87D98" w:rsidP="00E87D98">
      <w:r>
        <w:t>Assistant General Counsel</w:t>
      </w:r>
    </w:p>
    <w:p w:rsidR="00E87D98" w:rsidRPr="009E609D" w:rsidRDefault="00E87D98" w:rsidP="00E87D98">
      <w:pPr>
        <w:rPr>
          <w:smallCaps/>
        </w:rPr>
      </w:pPr>
      <w:r w:rsidRPr="009E609D">
        <w:rPr>
          <w:smallCaps/>
        </w:rPr>
        <w:t>Duke Energy Ohio</w:t>
      </w:r>
    </w:p>
    <w:p w:rsidR="00E87D98" w:rsidRDefault="00E87D98" w:rsidP="00E87D98">
      <w:r>
        <w:t>155 East Broad Street, 21</w:t>
      </w:r>
      <w:r w:rsidRPr="009736A7">
        <w:rPr>
          <w:vertAlign w:val="superscript"/>
        </w:rPr>
        <w:t>st</w:t>
      </w:r>
      <w:r>
        <w:t xml:space="preserve"> Floor</w:t>
      </w:r>
    </w:p>
    <w:p w:rsidR="00E87D98" w:rsidRDefault="00E87D98" w:rsidP="00E87D98">
      <w:r>
        <w:t>Columbus, Ohio  43215</w:t>
      </w:r>
    </w:p>
    <w:p w:rsidR="00E87D98" w:rsidRDefault="00E87D98" w:rsidP="00E87D98">
      <w:r>
        <w:t>Elizabeth.Watts@duke-energy.com</w:t>
      </w:r>
    </w:p>
    <w:p w:rsidR="00E87D98" w:rsidRDefault="00E87D98" w:rsidP="00E87D98"/>
    <w:p w:rsidR="00E87D98" w:rsidRDefault="00E87D98" w:rsidP="00E87D98">
      <w:r w:rsidRPr="00253994">
        <w:rPr>
          <w:b/>
          <w:smallCaps/>
        </w:rPr>
        <w:t>On Behalf of Duke Energy Ohio, Inc.</w:t>
      </w:r>
      <w:r>
        <w:t xml:space="preserve"> </w:t>
      </w:r>
    </w:p>
    <w:p w:rsidR="00E87D98" w:rsidRDefault="00E87D98" w:rsidP="00E87D98"/>
    <w:p w:rsidR="00E87D98" w:rsidRDefault="00E87D98" w:rsidP="00E87D98">
      <w:r>
        <w:t>Barth E. Royer (0016999)</w:t>
      </w:r>
    </w:p>
    <w:p w:rsidR="00E87D98" w:rsidRPr="00730C98" w:rsidRDefault="00E87D98" w:rsidP="00E87D98">
      <w:pPr>
        <w:rPr>
          <w:smallCaps/>
        </w:rPr>
      </w:pPr>
      <w:r w:rsidRPr="00730C98">
        <w:rPr>
          <w:smallCaps/>
        </w:rPr>
        <w:t>Bell &amp; Royer Co,, LPA</w:t>
      </w:r>
    </w:p>
    <w:p w:rsidR="00E87D98" w:rsidRDefault="00E87D98" w:rsidP="00E87D98">
      <w:r>
        <w:t>33 South Grant Avenue</w:t>
      </w:r>
    </w:p>
    <w:p w:rsidR="00E87D98" w:rsidRDefault="00E87D98" w:rsidP="00E87D98">
      <w:r>
        <w:t>Columbus, Ohio 43215-3927</w:t>
      </w:r>
    </w:p>
    <w:p w:rsidR="00E87D98" w:rsidRDefault="00E87D98" w:rsidP="00E87D98">
      <w:r>
        <w:t>BarthRoyer@aol.com</w:t>
      </w:r>
    </w:p>
    <w:p w:rsidR="00E87D98" w:rsidRDefault="00E87D98" w:rsidP="00E87D98"/>
    <w:p w:rsidR="00E87D98" w:rsidRDefault="00E87D98" w:rsidP="00E87D98">
      <w:r>
        <w:t>Gary A. Jeffries (0071742)</w:t>
      </w:r>
    </w:p>
    <w:p w:rsidR="00E87D98" w:rsidRPr="00730C98" w:rsidRDefault="00E87D98" w:rsidP="00E87D98">
      <w:pPr>
        <w:rPr>
          <w:smallCaps/>
        </w:rPr>
      </w:pPr>
      <w:r w:rsidRPr="00730C98">
        <w:rPr>
          <w:smallCaps/>
        </w:rPr>
        <w:t>Dominion Resources Services, Inc.</w:t>
      </w:r>
    </w:p>
    <w:p w:rsidR="00E87D98" w:rsidRDefault="00E87D98" w:rsidP="00E87D98">
      <w:r>
        <w:t>501 Martindale Street, Suite 400</w:t>
      </w:r>
    </w:p>
    <w:p w:rsidR="00E87D98" w:rsidRDefault="00E87D98" w:rsidP="00E87D98">
      <w:r>
        <w:t>Pittsburg, PA  15212-5817</w:t>
      </w:r>
    </w:p>
    <w:p w:rsidR="00E87D98" w:rsidRDefault="00E87D98" w:rsidP="00E87D98">
      <w:r>
        <w:t>Gary.A.Jeffries@dom.com</w:t>
      </w:r>
    </w:p>
    <w:p w:rsidR="00E87D98" w:rsidRDefault="00E87D98" w:rsidP="00E87D98"/>
    <w:p w:rsidR="00E87D98" w:rsidRPr="00730C98" w:rsidRDefault="00E87D98" w:rsidP="00E87D98">
      <w:pPr>
        <w:rPr>
          <w:rFonts w:ascii="Arial Bold" w:hAnsi="Arial Bold"/>
          <w:b/>
          <w:smallCaps/>
        </w:rPr>
      </w:pPr>
      <w:r w:rsidRPr="00730C98">
        <w:rPr>
          <w:rFonts w:ascii="Arial Bold" w:hAnsi="Arial Bold"/>
          <w:b/>
          <w:smallCaps/>
        </w:rPr>
        <w:t>On Behalf of Dominion Retail, Inc. d/b/a Dominion Energy Solutions</w:t>
      </w:r>
    </w:p>
    <w:p w:rsidR="00E87D98" w:rsidRDefault="00E87D98" w:rsidP="00E87D98"/>
    <w:p w:rsidR="00E87D98" w:rsidRDefault="00A80453" w:rsidP="00E87D98">
      <w:r>
        <w:br w:type="column"/>
      </w:r>
      <w:r w:rsidR="00E87D98">
        <w:lastRenderedPageBreak/>
        <w:t>Richard L. Sites (0019887)</w:t>
      </w:r>
    </w:p>
    <w:p w:rsidR="00E87D98" w:rsidRPr="00730C98" w:rsidRDefault="00E87D98" w:rsidP="00E87D98">
      <w:pPr>
        <w:rPr>
          <w:smallCaps/>
        </w:rPr>
      </w:pPr>
      <w:r w:rsidRPr="00730C98">
        <w:rPr>
          <w:smallCaps/>
        </w:rPr>
        <w:t>Ohio Hospital Association</w:t>
      </w:r>
    </w:p>
    <w:p w:rsidR="00E87D98" w:rsidRDefault="00E87D98" w:rsidP="00E87D98">
      <w:r>
        <w:t>155 East Broad Street, 15</w:t>
      </w:r>
      <w:r w:rsidRPr="009274FC">
        <w:rPr>
          <w:vertAlign w:val="superscript"/>
        </w:rPr>
        <w:t>th</w:t>
      </w:r>
      <w:r>
        <w:t xml:space="preserve"> Floor</w:t>
      </w:r>
    </w:p>
    <w:p w:rsidR="00E87D98" w:rsidRDefault="00E87D98" w:rsidP="00E87D98">
      <w:r>
        <w:t>Columbus, Ohio  43215-3620</w:t>
      </w:r>
    </w:p>
    <w:p w:rsidR="00E87D98" w:rsidRDefault="00E87D98" w:rsidP="00E87D98">
      <w:r>
        <w:t>ricks@ohanet.org</w:t>
      </w:r>
    </w:p>
    <w:p w:rsidR="00E87D98" w:rsidRDefault="00E87D98" w:rsidP="00E87D98"/>
    <w:p w:rsidR="00E87D98" w:rsidRDefault="00E87D98" w:rsidP="00E87D98">
      <w:r>
        <w:t>Thomas J. O’Brien (0066249)</w:t>
      </w:r>
    </w:p>
    <w:p w:rsidR="00E87D98" w:rsidRDefault="00E87D98" w:rsidP="00E87D98">
      <w:r>
        <w:t>Dylan F. Borchers (0090690)</w:t>
      </w:r>
    </w:p>
    <w:p w:rsidR="00E87D98" w:rsidRPr="00730C98" w:rsidRDefault="00E87D98" w:rsidP="00E87D98">
      <w:pPr>
        <w:rPr>
          <w:smallCaps/>
        </w:rPr>
      </w:pPr>
      <w:r w:rsidRPr="00730C98">
        <w:rPr>
          <w:smallCaps/>
        </w:rPr>
        <w:t>Bricker &amp; Eckler LLP</w:t>
      </w:r>
    </w:p>
    <w:p w:rsidR="00E87D98" w:rsidRDefault="00E87D98" w:rsidP="00E87D98">
      <w:r>
        <w:t>100 South Third Street</w:t>
      </w:r>
    </w:p>
    <w:p w:rsidR="00E87D98" w:rsidRDefault="00E87D98" w:rsidP="00E87D98">
      <w:r>
        <w:t>Columbus, Ohio  43215-4291</w:t>
      </w:r>
    </w:p>
    <w:p w:rsidR="00E87D98" w:rsidRDefault="00E87D98" w:rsidP="00E87D98">
      <w:r>
        <w:t>tobrien@bricker.com</w:t>
      </w:r>
    </w:p>
    <w:p w:rsidR="00E87D98" w:rsidRDefault="00E87D98" w:rsidP="00E87D98">
      <w:r>
        <w:t>dborchers@bricker.com</w:t>
      </w:r>
    </w:p>
    <w:p w:rsidR="00E87D98" w:rsidRDefault="00E87D98" w:rsidP="00E87D98"/>
    <w:p w:rsidR="00E87D98" w:rsidRPr="00730C98" w:rsidRDefault="00E87D98" w:rsidP="00E87D98">
      <w:pPr>
        <w:rPr>
          <w:rFonts w:ascii="Arial Bold" w:hAnsi="Arial Bold"/>
          <w:b/>
          <w:smallCaps/>
        </w:rPr>
      </w:pPr>
      <w:r w:rsidRPr="00730C98">
        <w:rPr>
          <w:rFonts w:ascii="Arial Bold" w:hAnsi="Arial Bold"/>
          <w:b/>
          <w:smallCaps/>
        </w:rPr>
        <w:t>On Behalf of The Ohio Hospital Association</w:t>
      </w:r>
    </w:p>
    <w:p w:rsidR="00E87D98" w:rsidRDefault="00E87D98" w:rsidP="00E87D98"/>
    <w:p w:rsidR="00E87D98" w:rsidRDefault="00E87D98" w:rsidP="00E87D98">
      <w:r>
        <w:t>Phillip B. Sineneng (0083406)</w:t>
      </w:r>
    </w:p>
    <w:p w:rsidR="00E87D98" w:rsidRPr="00730C98" w:rsidRDefault="00E87D98" w:rsidP="00E87D98">
      <w:pPr>
        <w:rPr>
          <w:smallCaps/>
        </w:rPr>
      </w:pPr>
      <w:r w:rsidRPr="00730C98">
        <w:rPr>
          <w:smallCaps/>
        </w:rPr>
        <w:t>Thompson Hine LLP</w:t>
      </w:r>
    </w:p>
    <w:p w:rsidR="00E87D98" w:rsidRDefault="00E87D98" w:rsidP="00E87D98">
      <w:r>
        <w:t>41 South High Street, Suite 1700</w:t>
      </w:r>
    </w:p>
    <w:p w:rsidR="00E87D98" w:rsidRDefault="00E87D98" w:rsidP="00E87D98">
      <w:r>
        <w:t>Columbus, Ohio  43215</w:t>
      </w:r>
    </w:p>
    <w:p w:rsidR="00E87D98" w:rsidRDefault="00E87D98" w:rsidP="00E87D98">
      <w:r>
        <w:t>PhilipSineneng@ThompsonHine.com</w:t>
      </w:r>
    </w:p>
    <w:p w:rsidR="00E87D98" w:rsidRDefault="00E87D98" w:rsidP="00E87D98"/>
    <w:p w:rsidR="00E87D98" w:rsidRPr="00730C98" w:rsidRDefault="00E87D98" w:rsidP="00E87D98">
      <w:pPr>
        <w:rPr>
          <w:rFonts w:ascii="Arial Bold" w:hAnsi="Arial Bold"/>
          <w:b/>
          <w:smallCaps/>
        </w:rPr>
      </w:pPr>
      <w:r w:rsidRPr="00730C98">
        <w:rPr>
          <w:rFonts w:ascii="Arial Bold" w:hAnsi="Arial Bold"/>
          <w:b/>
          <w:smallCaps/>
        </w:rPr>
        <w:t>On Behalf of Duke Energy Retail Sales, LLC and Duke Energy Commercial Asset Management, Inc.</w:t>
      </w:r>
    </w:p>
    <w:p w:rsidR="00E87D98" w:rsidRDefault="00E87D98" w:rsidP="00E87D98"/>
    <w:p w:rsidR="00E87D98" w:rsidRDefault="00E87D98" w:rsidP="00E87D98">
      <w:r>
        <w:t>Mark A. Whitt (0067996)</w:t>
      </w:r>
    </w:p>
    <w:p w:rsidR="00E87D98" w:rsidRDefault="00E87D98" w:rsidP="00E87D98">
      <w:r>
        <w:t>Andrew J. Campbell (0081485)</w:t>
      </w:r>
    </w:p>
    <w:p w:rsidR="00E87D98" w:rsidRPr="00730C98" w:rsidRDefault="00E87D98" w:rsidP="00E87D98">
      <w:pPr>
        <w:rPr>
          <w:smallCaps/>
        </w:rPr>
      </w:pPr>
      <w:r w:rsidRPr="00730C98">
        <w:rPr>
          <w:smallCaps/>
        </w:rPr>
        <w:t>Whitt Sturtevant LLP</w:t>
      </w:r>
    </w:p>
    <w:p w:rsidR="00E87D98" w:rsidRDefault="00E87D98" w:rsidP="00E87D98">
      <w:r>
        <w:t>The KeyBank Building, Suite 1590</w:t>
      </w:r>
    </w:p>
    <w:p w:rsidR="00E87D98" w:rsidRDefault="00E87D98" w:rsidP="00E87D98">
      <w:r>
        <w:t>88 East Broad Street</w:t>
      </w:r>
    </w:p>
    <w:p w:rsidR="00E87D98" w:rsidRDefault="00E87D98" w:rsidP="00E87D98">
      <w:r>
        <w:t>Columbus, Ohio  43215</w:t>
      </w:r>
    </w:p>
    <w:p w:rsidR="00E87D98" w:rsidRDefault="00E87D98" w:rsidP="00E87D98">
      <w:r>
        <w:t>whit@whitt-sturtevant.com</w:t>
      </w:r>
    </w:p>
    <w:p w:rsidR="00E87D98" w:rsidRDefault="00E87D98" w:rsidP="00E87D98">
      <w:r>
        <w:t>campbell@whitt-sturtevant.com</w:t>
      </w:r>
    </w:p>
    <w:p w:rsidR="00E87D98" w:rsidRDefault="00E87D98" w:rsidP="00E87D98"/>
    <w:p w:rsidR="00E87D98" w:rsidRDefault="00E87D98" w:rsidP="00E87D98">
      <w:r>
        <w:t>Lawrence Friedeman (0018902)</w:t>
      </w:r>
    </w:p>
    <w:p w:rsidR="00E87D98" w:rsidRPr="00730C98" w:rsidRDefault="00E87D98" w:rsidP="00E87D98">
      <w:pPr>
        <w:rPr>
          <w:smallCaps/>
        </w:rPr>
      </w:pPr>
      <w:r w:rsidRPr="00730C98">
        <w:rPr>
          <w:smallCaps/>
        </w:rPr>
        <w:t>Interstate Gas Supply, Inc.</w:t>
      </w:r>
    </w:p>
    <w:p w:rsidR="00E87D98" w:rsidRDefault="00E87D98" w:rsidP="00E87D98">
      <w:r>
        <w:t>6100 Emerald Parkway</w:t>
      </w:r>
    </w:p>
    <w:p w:rsidR="00E87D98" w:rsidRDefault="00E87D98" w:rsidP="00E87D98">
      <w:r>
        <w:t>Dublin, Ohio  43016</w:t>
      </w:r>
    </w:p>
    <w:p w:rsidR="00E87D98" w:rsidRDefault="00E87D98" w:rsidP="00E87D98">
      <w:r>
        <w:t>lfriedeman@igsenergy.com</w:t>
      </w:r>
    </w:p>
    <w:p w:rsidR="00E87D98" w:rsidRDefault="00E87D98" w:rsidP="00E87D98"/>
    <w:p w:rsidR="00A80453" w:rsidRDefault="00A80453" w:rsidP="00E87D98">
      <w:pPr>
        <w:sectPr w:rsidR="00A80453" w:rsidSect="00A80453">
          <w:pgSz w:w="12240" w:h="15840" w:code="1"/>
          <w:pgMar w:top="1440" w:right="1440" w:bottom="1440" w:left="1440" w:header="720" w:footer="720" w:gutter="0"/>
          <w:cols w:num="2" w:space="720"/>
          <w:titlePg/>
          <w:docGrid w:linePitch="360"/>
        </w:sectPr>
      </w:pPr>
    </w:p>
    <w:p w:rsidR="00E87D98" w:rsidRDefault="00E87D98" w:rsidP="00E87D98">
      <w:r>
        <w:lastRenderedPageBreak/>
        <w:t>Barth E. Royer</w:t>
      </w:r>
    </w:p>
    <w:p w:rsidR="00E87D98" w:rsidRDefault="00E87D98" w:rsidP="00E87D98">
      <w:r>
        <w:t>Barth E. Royer, LLC</w:t>
      </w:r>
    </w:p>
    <w:p w:rsidR="00E87D98" w:rsidRDefault="00E87D98" w:rsidP="00E87D98">
      <w:r>
        <w:t>2740 East Main Street</w:t>
      </w:r>
    </w:p>
    <w:p w:rsidR="00E87D98" w:rsidRDefault="00E87D98" w:rsidP="00E87D98">
      <w:r>
        <w:t>Bexley, Ohio  43209</w:t>
      </w:r>
    </w:p>
    <w:p w:rsidR="00E87D98" w:rsidRDefault="00E87D98" w:rsidP="00E87D98">
      <w:r>
        <w:t>BarthRoyer@aol.com</w:t>
      </w:r>
    </w:p>
    <w:p w:rsidR="00E87D98" w:rsidRDefault="00E87D98" w:rsidP="00E87D98"/>
    <w:p w:rsidR="00E87D98" w:rsidRPr="00730C98" w:rsidRDefault="00E87D98" w:rsidP="00E87D98">
      <w:pPr>
        <w:rPr>
          <w:rFonts w:ascii="Arial Bold" w:hAnsi="Arial Bold"/>
          <w:b/>
          <w:smallCaps/>
        </w:rPr>
      </w:pPr>
      <w:r w:rsidRPr="00730C98">
        <w:rPr>
          <w:rFonts w:ascii="Arial Bold" w:hAnsi="Arial Bold"/>
          <w:b/>
          <w:smallCaps/>
        </w:rPr>
        <w:t>On Behalf of Interstate Gas Supply, Inc.</w:t>
      </w:r>
    </w:p>
    <w:p w:rsidR="00E87D98" w:rsidRDefault="00E87D98" w:rsidP="00E87D98"/>
    <w:p w:rsidR="00E87D98" w:rsidRDefault="00E87D98" w:rsidP="00E87D98">
      <w:r>
        <w:t>Kimberly W. Bojko (0069402)</w:t>
      </w:r>
    </w:p>
    <w:p w:rsidR="00E87D98" w:rsidRPr="00730C98" w:rsidRDefault="00E87D98" w:rsidP="00E87D98">
      <w:pPr>
        <w:rPr>
          <w:smallCaps/>
        </w:rPr>
      </w:pPr>
      <w:r w:rsidRPr="00730C98">
        <w:rPr>
          <w:smallCaps/>
        </w:rPr>
        <w:t>Carpenter Lipps &amp; Leland LLP</w:t>
      </w:r>
    </w:p>
    <w:p w:rsidR="00E87D98" w:rsidRDefault="00E87D98" w:rsidP="00E87D98">
      <w:r>
        <w:t>280 Plaza, Suite 1300</w:t>
      </w:r>
    </w:p>
    <w:p w:rsidR="00E87D98" w:rsidRDefault="00E87D98" w:rsidP="00E87D98">
      <w:r>
        <w:t>280 North High Street</w:t>
      </w:r>
    </w:p>
    <w:p w:rsidR="00E87D98" w:rsidRDefault="00E87D98" w:rsidP="00E87D98">
      <w:r>
        <w:t>Columbus, Ohio 43215</w:t>
      </w:r>
    </w:p>
    <w:p w:rsidR="00E87D98" w:rsidRDefault="00E87D98" w:rsidP="00E87D98">
      <w:r>
        <w:t>Bojko@carpenterlipps.com</w:t>
      </w:r>
    </w:p>
    <w:p w:rsidR="00E87D98" w:rsidRDefault="00E87D98" w:rsidP="00E87D98"/>
    <w:p w:rsidR="00E87D98" w:rsidRPr="00730C98" w:rsidRDefault="00E87D98" w:rsidP="00E87D98">
      <w:pPr>
        <w:rPr>
          <w:rFonts w:ascii="Arial Bold" w:hAnsi="Arial Bold"/>
          <w:b/>
          <w:smallCaps/>
        </w:rPr>
      </w:pPr>
      <w:r w:rsidRPr="00730C98">
        <w:rPr>
          <w:rFonts w:ascii="Arial Bold" w:hAnsi="Arial Bold"/>
          <w:b/>
          <w:smallCaps/>
        </w:rPr>
        <w:t>On Behalf of OMA Energy Group</w:t>
      </w:r>
    </w:p>
    <w:p w:rsidR="00E87D98" w:rsidRDefault="00E87D98" w:rsidP="00E87D98">
      <w:pPr>
        <w:rPr>
          <w:rFonts w:cs="Arial"/>
        </w:rPr>
      </w:pPr>
    </w:p>
    <w:p w:rsidR="00E87D98" w:rsidRPr="00397688" w:rsidRDefault="00E87D98" w:rsidP="00E87D98">
      <w:pPr>
        <w:rPr>
          <w:rFonts w:cs="Arial"/>
        </w:rPr>
      </w:pPr>
      <w:r w:rsidRPr="00397688">
        <w:rPr>
          <w:rFonts w:cs="Arial"/>
        </w:rPr>
        <w:t>Colleen L. Mooney</w:t>
      </w:r>
      <w:r>
        <w:rPr>
          <w:rFonts w:cs="Arial"/>
        </w:rPr>
        <w:t xml:space="preserve"> (0015668)</w:t>
      </w:r>
    </w:p>
    <w:p w:rsidR="00E87D98" w:rsidRPr="00397688" w:rsidRDefault="00E87D98" w:rsidP="00E87D98">
      <w:pPr>
        <w:rPr>
          <w:rFonts w:cs="Arial"/>
          <w:smallCaps/>
        </w:rPr>
      </w:pPr>
      <w:r w:rsidRPr="00397688">
        <w:rPr>
          <w:rFonts w:cs="Arial"/>
          <w:smallCaps/>
        </w:rPr>
        <w:t>Ohio Partners for Affordable Energy</w:t>
      </w:r>
    </w:p>
    <w:p w:rsidR="00E87D98" w:rsidRPr="00397688" w:rsidRDefault="00E87D98" w:rsidP="00E87D98">
      <w:pPr>
        <w:rPr>
          <w:rFonts w:cs="Arial"/>
        </w:rPr>
      </w:pPr>
      <w:r w:rsidRPr="00397688">
        <w:rPr>
          <w:rFonts w:cs="Arial"/>
        </w:rPr>
        <w:t>231 West Lima Street</w:t>
      </w:r>
    </w:p>
    <w:p w:rsidR="00E87D98" w:rsidRPr="00397688" w:rsidRDefault="00E87D98" w:rsidP="00E87D98">
      <w:pPr>
        <w:rPr>
          <w:rFonts w:cs="Arial"/>
        </w:rPr>
      </w:pPr>
      <w:r w:rsidRPr="00397688">
        <w:rPr>
          <w:rFonts w:cs="Arial"/>
        </w:rPr>
        <w:t>Findlay, Ohio  45839-1793</w:t>
      </w:r>
    </w:p>
    <w:p w:rsidR="00E87D98" w:rsidRPr="00397688" w:rsidRDefault="00E87D98" w:rsidP="00E87D98">
      <w:pPr>
        <w:rPr>
          <w:rFonts w:cs="Arial"/>
        </w:rPr>
      </w:pPr>
      <w:r w:rsidRPr="00397688">
        <w:rPr>
          <w:rFonts w:cs="Arial"/>
        </w:rPr>
        <w:t>cmooney@ohiopartners.org</w:t>
      </w:r>
    </w:p>
    <w:p w:rsidR="00E87D98" w:rsidRDefault="00E87D98" w:rsidP="00E87D98">
      <w:pPr>
        <w:rPr>
          <w:rFonts w:ascii="Arial Bold" w:hAnsi="Arial Bold"/>
          <w:b/>
          <w:smallCaps/>
        </w:rPr>
      </w:pPr>
    </w:p>
    <w:p w:rsidR="00E87D98" w:rsidRPr="00730C98" w:rsidRDefault="00E87D98" w:rsidP="00E87D98">
      <w:pPr>
        <w:rPr>
          <w:rFonts w:ascii="Arial Bold" w:hAnsi="Arial Bold"/>
          <w:b/>
          <w:smallCaps/>
        </w:rPr>
      </w:pPr>
      <w:r>
        <w:rPr>
          <w:rFonts w:ascii="Arial Bold" w:hAnsi="Arial Bold"/>
          <w:b/>
          <w:smallCaps/>
        </w:rPr>
        <w:t>On Behalf of Ohio Partners for Affordable Energy</w:t>
      </w:r>
    </w:p>
    <w:p w:rsidR="00E87D98" w:rsidRDefault="00E87D98" w:rsidP="00E87D98"/>
    <w:p w:rsidR="00A80453" w:rsidRDefault="00A80453" w:rsidP="00A80453">
      <w:pPr>
        <w:rPr>
          <w:rFonts w:cs="Arial"/>
        </w:rPr>
      </w:pPr>
      <w:r>
        <w:rPr>
          <w:rFonts w:cs="Arial"/>
        </w:rPr>
        <w:t>Mark S. Yurick (0039176)</w:t>
      </w:r>
    </w:p>
    <w:p w:rsidR="00A80453" w:rsidRPr="00344E42" w:rsidRDefault="00A80453" w:rsidP="00A80453">
      <w:pPr>
        <w:rPr>
          <w:rFonts w:cs="Arial"/>
          <w:smallCaps/>
        </w:rPr>
      </w:pPr>
      <w:r w:rsidRPr="00344E42">
        <w:rPr>
          <w:rFonts w:cs="Arial"/>
          <w:smallCaps/>
        </w:rPr>
        <w:t>Taft, Stettinius &amp; Hollister LLP</w:t>
      </w:r>
    </w:p>
    <w:p w:rsidR="00A80453" w:rsidRDefault="00A80453" w:rsidP="00A80453">
      <w:pPr>
        <w:rPr>
          <w:rFonts w:cs="Arial"/>
        </w:rPr>
      </w:pPr>
      <w:r>
        <w:rPr>
          <w:rFonts w:cs="Arial"/>
        </w:rPr>
        <w:t>65 East State Street, Suite 1000</w:t>
      </w:r>
    </w:p>
    <w:p w:rsidR="00A80453" w:rsidRDefault="00A80453" w:rsidP="00A80453">
      <w:pPr>
        <w:rPr>
          <w:rFonts w:cs="Arial"/>
        </w:rPr>
      </w:pPr>
      <w:r>
        <w:rPr>
          <w:rFonts w:cs="Arial"/>
        </w:rPr>
        <w:t>Columbus, Ohio  43215</w:t>
      </w:r>
    </w:p>
    <w:p w:rsidR="00A80453" w:rsidRDefault="00A80453" w:rsidP="00A80453">
      <w:pPr>
        <w:rPr>
          <w:rFonts w:cs="Arial"/>
        </w:rPr>
      </w:pPr>
      <w:r>
        <w:rPr>
          <w:rFonts w:cs="Arial"/>
        </w:rPr>
        <w:t>myurick@taftlaw.com</w:t>
      </w:r>
    </w:p>
    <w:p w:rsidR="00A80453" w:rsidRDefault="00A80453" w:rsidP="00A80453">
      <w:pPr>
        <w:rPr>
          <w:rFonts w:cs="Arial"/>
        </w:rPr>
      </w:pPr>
    </w:p>
    <w:p w:rsidR="00A80453" w:rsidRDefault="00A80453" w:rsidP="00A80453">
      <w:pPr>
        <w:rPr>
          <w:rFonts w:ascii="Arial Bold" w:hAnsi="Arial Bold" w:cs="Arial"/>
          <w:b/>
          <w:smallCaps/>
        </w:rPr>
      </w:pPr>
      <w:r w:rsidRPr="00344E42">
        <w:rPr>
          <w:rFonts w:ascii="Arial Bold" w:hAnsi="Arial Bold" w:cs="Arial"/>
          <w:b/>
          <w:smallCaps/>
        </w:rPr>
        <w:t>On Behalf of The Kroger Co.</w:t>
      </w:r>
    </w:p>
    <w:p w:rsidR="00A80453" w:rsidRDefault="00A80453" w:rsidP="00A80453">
      <w:pPr>
        <w:rPr>
          <w:rFonts w:ascii="Arial Bold" w:hAnsi="Arial Bold" w:cs="Arial"/>
          <w:b/>
          <w:smallCaps/>
        </w:rPr>
      </w:pPr>
    </w:p>
    <w:p w:rsidR="00A80453" w:rsidRDefault="00A80453" w:rsidP="00A80453">
      <w:pPr>
        <w:tabs>
          <w:tab w:val="left" w:pos="4680"/>
        </w:tabs>
        <w:rPr>
          <w:rFonts w:cs="Arial"/>
          <w:color w:val="000000"/>
        </w:rPr>
      </w:pPr>
      <w:r>
        <w:rPr>
          <w:rFonts w:cs="Arial"/>
          <w:color w:val="000000"/>
        </w:rPr>
        <w:t>Judi L. Sobecki (0067186)</w:t>
      </w:r>
    </w:p>
    <w:p w:rsidR="00A80453" w:rsidRPr="00D025AD" w:rsidRDefault="00A80453" w:rsidP="00A80453">
      <w:pPr>
        <w:tabs>
          <w:tab w:val="left" w:pos="4680"/>
        </w:tabs>
        <w:rPr>
          <w:rFonts w:cs="Arial"/>
          <w:smallCaps/>
          <w:color w:val="000000"/>
        </w:rPr>
      </w:pPr>
      <w:r w:rsidRPr="00D025AD">
        <w:rPr>
          <w:rFonts w:cs="Arial"/>
          <w:smallCaps/>
          <w:color w:val="000000"/>
        </w:rPr>
        <w:t>The Dayton Power and Light Company</w:t>
      </w:r>
    </w:p>
    <w:p w:rsidR="00A80453" w:rsidRDefault="00A80453" w:rsidP="00A80453">
      <w:pPr>
        <w:tabs>
          <w:tab w:val="left" w:pos="4680"/>
        </w:tabs>
        <w:rPr>
          <w:rFonts w:cs="Arial"/>
          <w:color w:val="000000"/>
        </w:rPr>
      </w:pPr>
      <w:r>
        <w:rPr>
          <w:rFonts w:cs="Arial"/>
          <w:color w:val="000000"/>
        </w:rPr>
        <w:t>1065 Woodman Drive</w:t>
      </w:r>
    </w:p>
    <w:p w:rsidR="00A80453" w:rsidRDefault="00A80453" w:rsidP="00A80453">
      <w:pPr>
        <w:tabs>
          <w:tab w:val="left" w:pos="4680"/>
        </w:tabs>
        <w:rPr>
          <w:rFonts w:cs="Arial"/>
          <w:color w:val="000000"/>
        </w:rPr>
      </w:pPr>
      <w:r>
        <w:rPr>
          <w:rFonts w:cs="Arial"/>
          <w:color w:val="000000"/>
        </w:rPr>
        <w:t>Dayton, Ohio  45432</w:t>
      </w:r>
    </w:p>
    <w:p w:rsidR="00A80453" w:rsidRDefault="00A80453" w:rsidP="00A80453">
      <w:pPr>
        <w:tabs>
          <w:tab w:val="left" w:pos="4680"/>
        </w:tabs>
        <w:rPr>
          <w:rFonts w:cs="Arial"/>
          <w:color w:val="000000"/>
        </w:rPr>
      </w:pPr>
      <w:r>
        <w:rPr>
          <w:rFonts w:cs="Arial"/>
          <w:color w:val="000000"/>
        </w:rPr>
        <w:t>judi.sobecki@aes.com</w:t>
      </w:r>
    </w:p>
    <w:p w:rsidR="00A80453" w:rsidRDefault="00A80453" w:rsidP="00A80453">
      <w:pPr>
        <w:tabs>
          <w:tab w:val="left" w:pos="4680"/>
        </w:tabs>
        <w:rPr>
          <w:rFonts w:cs="Arial"/>
          <w:color w:val="000000"/>
        </w:rPr>
      </w:pPr>
    </w:p>
    <w:p w:rsidR="00A80453" w:rsidRDefault="00A80453" w:rsidP="00A80453">
      <w:pPr>
        <w:tabs>
          <w:tab w:val="left" w:pos="4680"/>
        </w:tabs>
        <w:rPr>
          <w:rFonts w:ascii="Arial Bold" w:hAnsi="Arial Bold" w:cs="Arial"/>
          <w:b/>
          <w:smallCaps/>
          <w:color w:val="000000"/>
        </w:rPr>
      </w:pPr>
      <w:r w:rsidRPr="00D025AD">
        <w:rPr>
          <w:rFonts w:ascii="Arial Bold" w:hAnsi="Arial Bold" w:cs="Arial"/>
          <w:b/>
          <w:smallCaps/>
          <w:color w:val="000000"/>
        </w:rPr>
        <w:t>On Behalf of The Dayton Power and Light Company</w:t>
      </w:r>
    </w:p>
    <w:p w:rsidR="00E87D98" w:rsidRDefault="00A80453" w:rsidP="00E87D98">
      <w:r>
        <w:br w:type="column"/>
      </w:r>
      <w:r w:rsidR="00E87D98">
        <w:lastRenderedPageBreak/>
        <w:t>Mark A. Hayden (0081077)</w:t>
      </w:r>
    </w:p>
    <w:p w:rsidR="00E87D98" w:rsidRDefault="00E87D98" w:rsidP="00E87D98">
      <w:r>
        <w:t>Jacob A. McDermott (0087187)</w:t>
      </w:r>
    </w:p>
    <w:p w:rsidR="00E87D98" w:rsidRDefault="00E87D98" w:rsidP="00E87D98">
      <w:r>
        <w:t>Scott J. Casto (0085756)</w:t>
      </w:r>
    </w:p>
    <w:p w:rsidR="00E87D98" w:rsidRDefault="00E87D98" w:rsidP="00E87D98">
      <w:r>
        <w:t>First Energy Service Company</w:t>
      </w:r>
    </w:p>
    <w:p w:rsidR="00E87D98" w:rsidRDefault="00E87D98" w:rsidP="00E87D98">
      <w:r>
        <w:t>76 South Main Street</w:t>
      </w:r>
    </w:p>
    <w:p w:rsidR="00E87D98" w:rsidRDefault="00E87D98" w:rsidP="00E87D98">
      <w:r>
        <w:t>Akron, Ohio  44308</w:t>
      </w:r>
    </w:p>
    <w:p w:rsidR="00E87D98" w:rsidRDefault="00E87D98" w:rsidP="00E87D98">
      <w:r>
        <w:t>haydenm@firstenergycorp.com</w:t>
      </w:r>
    </w:p>
    <w:p w:rsidR="00E87D98" w:rsidRDefault="00E87D98" w:rsidP="00E87D98">
      <w:r>
        <w:t>jmcdermott@firstenergycorp.com</w:t>
      </w:r>
    </w:p>
    <w:p w:rsidR="00E87D98" w:rsidRDefault="00E87D98" w:rsidP="00E87D98">
      <w:r>
        <w:t>scasto@firstenergycorp.com</w:t>
      </w:r>
    </w:p>
    <w:p w:rsidR="00E87D98" w:rsidRDefault="00E87D98" w:rsidP="00E87D98"/>
    <w:p w:rsidR="00E87D98" w:rsidRDefault="00E87D98" w:rsidP="00E87D98">
      <w:r>
        <w:t>David L. Schwartz</w:t>
      </w:r>
    </w:p>
    <w:p w:rsidR="00E87D98" w:rsidRDefault="00E87D98" w:rsidP="00E87D98">
      <w:r>
        <w:t>Latham &amp; Watkins LLP</w:t>
      </w:r>
    </w:p>
    <w:p w:rsidR="00E87D98" w:rsidRDefault="00E87D98" w:rsidP="00E87D98">
      <w:r>
        <w:t>555 Eleventh Street, NW</w:t>
      </w:r>
    </w:p>
    <w:p w:rsidR="00E87D98" w:rsidRDefault="00E87D98" w:rsidP="00E87D98">
      <w:r>
        <w:t>Suite 1000</w:t>
      </w:r>
    </w:p>
    <w:p w:rsidR="00E87D98" w:rsidRDefault="00E87D98" w:rsidP="00E87D98">
      <w:r>
        <w:t>Washington, D.C.  20004-1304</w:t>
      </w:r>
    </w:p>
    <w:p w:rsidR="00E87D98" w:rsidRDefault="00E87D98" w:rsidP="00E87D98">
      <w:r>
        <w:t>David.schwartz@lw.com</w:t>
      </w:r>
    </w:p>
    <w:p w:rsidR="00E87D98" w:rsidRDefault="00E87D98" w:rsidP="00E87D98"/>
    <w:p w:rsidR="00E87D98" w:rsidRDefault="00E87D98" w:rsidP="00E87D98">
      <w:pPr>
        <w:rPr>
          <w:rFonts w:ascii="Arial Bold" w:hAnsi="Arial Bold"/>
          <w:b/>
          <w:smallCaps/>
        </w:rPr>
      </w:pPr>
      <w:r w:rsidRPr="00730C98">
        <w:rPr>
          <w:rFonts w:ascii="Arial Bold" w:hAnsi="Arial Bold"/>
          <w:b/>
          <w:smallCaps/>
        </w:rPr>
        <w:t>On Behalf of FirstEnergy Solutions Corp.</w:t>
      </w:r>
    </w:p>
    <w:p w:rsidR="00E87D98" w:rsidRDefault="00E87D98" w:rsidP="00E87D98">
      <w:pPr>
        <w:rPr>
          <w:rFonts w:ascii="Arial Bold" w:hAnsi="Arial Bold"/>
          <w:b/>
          <w:smallCaps/>
        </w:rPr>
      </w:pPr>
    </w:p>
    <w:p w:rsidR="00E87D98" w:rsidRDefault="00E87D98" w:rsidP="00E87D98">
      <w:pPr>
        <w:tabs>
          <w:tab w:val="left" w:pos="4680"/>
        </w:tabs>
        <w:rPr>
          <w:rFonts w:cs="Arial"/>
          <w:color w:val="000000"/>
        </w:rPr>
      </w:pPr>
      <w:r>
        <w:rPr>
          <w:rFonts w:cs="Arial"/>
          <w:color w:val="000000"/>
        </w:rPr>
        <w:t>Joseph M. Clark (0080711)</w:t>
      </w:r>
    </w:p>
    <w:p w:rsidR="00E87D98" w:rsidRPr="00174AF3" w:rsidRDefault="00E87D98" w:rsidP="00E87D98">
      <w:pPr>
        <w:tabs>
          <w:tab w:val="left" w:pos="4680"/>
        </w:tabs>
        <w:rPr>
          <w:rFonts w:cs="Arial"/>
          <w:smallCaps/>
          <w:color w:val="000000"/>
        </w:rPr>
      </w:pPr>
      <w:r w:rsidRPr="00174AF3">
        <w:rPr>
          <w:rFonts w:cs="Arial"/>
          <w:smallCaps/>
          <w:color w:val="000000"/>
        </w:rPr>
        <w:t>Direct Energy</w:t>
      </w:r>
    </w:p>
    <w:p w:rsidR="00E87D98" w:rsidRDefault="00E87D98" w:rsidP="00E87D98">
      <w:pPr>
        <w:tabs>
          <w:tab w:val="left" w:pos="4680"/>
        </w:tabs>
        <w:rPr>
          <w:rFonts w:cs="Arial"/>
          <w:color w:val="000000"/>
        </w:rPr>
      </w:pPr>
      <w:r>
        <w:rPr>
          <w:rFonts w:cs="Arial"/>
          <w:color w:val="000000"/>
        </w:rPr>
        <w:t>21 East State Street, 19th Floor</w:t>
      </w:r>
    </w:p>
    <w:p w:rsidR="00E87D98" w:rsidRDefault="00E87D98" w:rsidP="00E87D98">
      <w:pPr>
        <w:tabs>
          <w:tab w:val="left" w:pos="4680"/>
        </w:tabs>
        <w:rPr>
          <w:rFonts w:cs="Arial"/>
          <w:color w:val="000000"/>
        </w:rPr>
      </w:pPr>
      <w:r>
        <w:rPr>
          <w:rFonts w:cs="Arial"/>
          <w:color w:val="000000"/>
        </w:rPr>
        <w:t>Columbus, Ohio  43215</w:t>
      </w:r>
    </w:p>
    <w:p w:rsidR="00E87D98" w:rsidRDefault="00E87D98" w:rsidP="00E87D98">
      <w:pPr>
        <w:tabs>
          <w:tab w:val="left" w:pos="4680"/>
        </w:tabs>
        <w:rPr>
          <w:rFonts w:cs="Arial"/>
          <w:color w:val="000000"/>
        </w:rPr>
      </w:pPr>
      <w:r>
        <w:rPr>
          <w:rFonts w:cs="Arial"/>
          <w:color w:val="000000"/>
        </w:rPr>
        <w:t>joseph.clark@directenergy.com</w:t>
      </w:r>
    </w:p>
    <w:p w:rsidR="00E87D98" w:rsidRDefault="00E87D98" w:rsidP="00E87D98">
      <w:pPr>
        <w:tabs>
          <w:tab w:val="left" w:pos="4680"/>
        </w:tabs>
        <w:rPr>
          <w:rFonts w:cs="Arial"/>
          <w:color w:val="000000"/>
        </w:rPr>
      </w:pPr>
    </w:p>
    <w:p w:rsidR="00E87D98" w:rsidRPr="0072198B" w:rsidRDefault="00E87D98" w:rsidP="00E87D98">
      <w:pPr>
        <w:tabs>
          <w:tab w:val="left" w:pos="4680"/>
        </w:tabs>
        <w:rPr>
          <w:rFonts w:ascii="Arial Bold" w:hAnsi="Arial Bold" w:cs="Arial"/>
          <w:b/>
          <w:smallCaps/>
          <w:color w:val="000000"/>
        </w:rPr>
      </w:pPr>
      <w:r w:rsidRPr="0072198B">
        <w:rPr>
          <w:rFonts w:ascii="Arial Bold" w:hAnsi="Arial Bold" w:cs="Arial"/>
          <w:b/>
          <w:smallCaps/>
          <w:color w:val="000000"/>
        </w:rPr>
        <w:t>On</w:t>
      </w:r>
      <w:r w:rsidRPr="0072198B">
        <w:rPr>
          <w:rFonts w:ascii="Arial Bold" w:hAnsi="Arial Bold" w:cs="Arial"/>
          <w:b/>
          <w:color w:val="000000"/>
        </w:rPr>
        <w:t xml:space="preserve"> </w:t>
      </w:r>
      <w:r w:rsidRPr="0072198B">
        <w:rPr>
          <w:rFonts w:ascii="Arial Bold" w:hAnsi="Arial Bold" w:cs="Arial"/>
          <w:b/>
          <w:smallCaps/>
          <w:color w:val="000000"/>
        </w:rPr>
        <w:t>Behalf</w:t>
      </w:r>
      <w:r w:rsidRPr="0072198B">
        <w:rPr>
          <w:rFonts w:ascii="Arial Bold" w:hAnsi="Arial Bold" w:cs="Arial"/>
          <w:b/>
          <w:color w:val="000000"/>
        </w:rPr>
        <w:t xml:space="preserve"> </w:t>
      </w:r>
      <w:r w:rsidRPr="0072198B">
        <w:rPr>
          <w:rFonts w:ascii="Arial Bold" w:hAnsi="Arial Bold" w:cs="Arial"/>
          <w:b/>
          <w:smallCaps/>
          <w:color w:val="000000"/>
        </w:rPr>
        <w:t>of Direct Energy Services, LLC and Direct Energy Business, LLC</w:t>
      </w:r>
    </w:p>
    <w:p w:rsidR="00E87D98" w:rsidRPr="002A1770" w:rsidRDefault="00E87D98" w:rsidP="00E87D98">
      <w:pPr>
        <w:tabs>
          <w:tab w:val="left" w:pos="4680"/>
        </w:tabs>
        <w:rPr>
          <w:rFonts w:cs="Arial"/>
          <w:smallCaps/>
          <w:color w:val="000000"/>
        </w:rPr>
      </w:pPr>
    </w:p>
    <w:p w:rsidR="00E87D98" w:rsidRDefault="00E87D98" w:rsidP="00E87D98">
      <w:pPr>
        <w:tabs>
          <w:tab w:val="left" w:pos="4680"/>
        </w:tabs>
        <w:rPr>
          <w:rFonts w:cs="Arial"/>
          <w:color w:val="000000"/>
        </w:rPr>
      </w:pPr>
      <w:r>
        <w:rPr>
          <w:rFonts w:cs="Arial"/>
          <w:color w:val="000000"/>
        </w:rPr>
        <w:t>Trent Dougherty (0079817)</w:t>
      </w:r>
    </w:p>
    <w:p w:rsidR="00E87D98" w:rsidRPr="00534F2A" w:rsidRDefault="00E87D98" w:rsidP="00E87D98">
      <w:pPr>
        <w:tabs>
          <w:tab w:val="left" w:pos="4680"/>
        </w:tabs>
        <w:rPr>
          <w:rFonts w:cs="Arial"/>
          <w:smallCaps/>
          <w:color w:val="000000"/>
        </w:rPr>
      </w:pPr>
      <w:r w:rsidRPr="00534F2A">
        <w:rPr>
          <w:rFonts w:cs="Arial"/>
          <w:smallCaps/>
          <w:color w:val="000000"/>
        </w:rPr>
        <w:t>Ohio Environmental Council</w:t>
      </w:r>
    </w:p>
    <w:p w:rsidR="00E87D98" w:rsidRDefault="00E87D98" w:rsidP="00E87D98">
      <w:pPr>
        <w:tabs>
          <w:tab w:val="left" w:pos="4680"/>
        </w:tabs>
        <w:rPr>
          <w:rFonts w:cs="Arial"/>
          <w:color w:val="000000"/>
        </w:rPr>
      </w:pPr>
      <w:r>
        <w:rPr>
          <w:rFonts w:cs="Arial"/>
          <w:color w:val="000000"/>
        </w:rPr>
        <w:t>1207 Grandview Avenue, Suite 201</w:t>
      </w:r>
    </w:p>
    <w:p w:rsidR="00E87D98" w:rsidRDefault="00E87D98" w:rsidP="00E87D98">
      <w:pPr>
        <w:tabs>
          <w:tab w:val="left" w:pos="4680"/>
        </w:tabs>
        <w:rPr>
          <w:rFonts w:cs="Arial"/>
          <w:color w:val="000000"/>
        </w:rPr>
      </w:pPr>
      <w:r>
        <w:rPr>
          <w:rFonts w:cs="Arial"/>
          <w:color w:val="000000"/>
        </w:rPr>
        <w:t>Columbus, Ohio  43212-3449</w:t>
      </w:r>
    </w:p>
    <w:p w:rsidR="00E87D98" w:rsidRDefault="00E87D98" w:rsidP="00E87D98">
      <w:pPr>
        <w:tabs>
          <w:tab w:val="left" w:pos="4680"/>
        </w:tabs>
        <w:rPr>
          <w:rFonts w:cs="Arial"/>
          <w:color w:val="000000"/>
        </w:rPr>
      </w:pPr>
      <w:r>
        <w:rPr>
          <w:rFonts w:cs="Arial"/>
          <w:color w:val="000000"/>
        </w:rPr>
        <w:t>tdougherty@theOEC.org</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John Finnigan (0018689)</w:t>
      </w:r>
    </w:p>
    <w:p w:rsidR="00E87D98" w:rsidRDefault="00E87D98" w:rsidP="00E87D98">
      <w:pPr>
        <w:tabs>
          <w:tab w:val="left" w:pos="4680"/>
        </w:tabs>
        <w:rPr>
          <w:rFonts w:cs="Arial"/>
          <w:color w:val="000000"/>
        </w:rPr>
      </w:pPr>
      <w:r>
        <w:rPr>
          <w:rFonts w:cs="Arial"/>
          <w:color w:val="000000"/>
        </w:rPr>
        <w:t>Senior Regulatory Attorney</w:t>
      </w:r>
    </w:p>
    <w:p w:rsidR="00E87D98" w:rsidRPr="00534F2A" w:rsidRDefault="00E87D98" w:rsidP="00E87D98">
      <w:pPr>
        <w:tabs>
          <w:tab w:val="left" w:pos="4680"/>
        </w:tabs>
        <w:rPr>
          <w:rFonts w:cs="Arial"/>
          <w:smallCaps/>
          <w:color w:val="000000"/>
        </w:rPr>
      </w:pPr>
      <w:r w:rsidRPr="00534F2A">
        <w:rPr>
          <w:rFonts w:cs="Arial"/>
          <w:smallCaps/>
          <w:color w:val="000000"/>
        </w:rPr>
        <w:t>Environmental Defense Fund</w:t>
      </w:r>
    </w:p>
    <w:p w:rsidR="00E87D98" w:rsidRDefault="00E87D98" w:rsidP="00E87D98">
      <w:pPr>
        <w:tabs>
          <w:tab w:val="left" w:pos="4680"/>
        </w:tabs>
        <w:rPr>
          <w:rFonts w:cs="Arial"/>
          <w:color w:val="000000"/>
        </w:rPr>
      </w:pPr>
      <w:r>
        <w:rPr>
          <w:rFonts w:cs="Arial"/>
          <w:color w:val="000000"/>
        </w:rPr>
        <w:t>128 Winding Brook Lane</w:t>
      </w:r>
    </w:p>
    <w:p w:rsidR="00E87D98" w:rsidRDefault="00E87D98" w:rsidP="00E87D98">
      <w:pPr>
        <w:tabs>
          <w:tab w:val="left" w:pos="4680"/>
        </w:tabs>
        <w:rPr>
          <w:rFonts w:cs="Arial"/>
          <w:color w:val="000000"/>
        </w:rPr>
      </w:pPr>
      <w:r>
        <w:rPr>
          <w:rFonts w:cs="Arial"/>
          <w:color w:val="000000"/>
        </w:rPr>
        <w:t>Terrace Park, Ohio  45174</w:t>
      </w:r>
    </w:p>
    <w:p w:rsidR="00E87D98" w:rsidRDefault="00E87D98" w:rsidP="00E87D98">
      <w:pPr>
        <w:tabs>
          <w:tab w:val="left" w:pos="4680"/>
        </w:tabs>
        <w:rPr>
          <w:rFonts w:cs="Arial"/>
          <w:color w:val="000000"/>
        </w:rPr>
      </w:pPr>
      <w:r>
        <w:rPr>
          <w:rFonts w:cs="Arial"/>
          <w:color w:val="000000"/>
        </w:rPr>
        <w:t>jfinnigan@edf.org</w:t>
      </w:r>
    </w:p>
    <w:p w:rsidR="00E87D98" w:rsidRDefault="00E87D98" w:rsidP="00E87D98">
      <w:pPr>
        <w:tabs>
          <w:tab w:val="left" w:pos="4680"/>
        </w:tabs>
        <w:rPr>
          <w:rFonts w:cs="Arial"/>
          <w:color w:val="000000"/>
        </w:rPr>
      </w:pPr>
    </w:p>
    <w:p w:rsidR="00A80453" w:rsidRDefault="00E87D98" w:rsidP="00E87D98">
      <w:pPr>
        <w:tabs>
          <w:tab w:val="left" w:pos="4680"/>
        </w:tabs>
        <w:rPr>
          <w:rFonts w:ascii="Arial Bold" w:hAnsi="Arial Bold" w:cs="Arial"/>
          <w:b/>
          <w:smallCaps/>
          <w:color w:val="000000"/>
        </w:rPr>
        <w:sectPr w:rsidR="00A80453" w:rsidSect="00A80453">
          <w:pgSz w:w="12240" w:h="15840" w:code="1"/>
          <w:pgMar w:top="1440" w:right="1440" w:bottom="1440" w:left="1440" w:header="720" w:footer="720" w:gutter="0"/>
          <w:cols w:num="2" w:space="720"/>
          <w:titlePg/>
          <w:docGrid w:linePitch="360"/>
        </w:sectPr>
      </w:pPr>
      <w:r w:rsidRPr="00534F2A">
        <w:rPr>
          <w:rFonts w:ascii="Arial Bold" w:hAnsi="Arial Bold" w:cs="Arial"/>
          <w:b/>
          <w:smallCaps/>
          <w:color w:val="000000"/>
        </w:rPr>
        <w:t>On Behalf of the Ohio Environmental Council and Environmental Defense Fund</w:t>
      </w:r>
    </w:p>
    <w:p w:rsidR="00E87D98" w:rsidRDefault="00E87D98" w:rsidP="00E87D98">
      <w:pPr>
        <w:tabs>
          <w:tab w:val="left" w:pos="4680"/>
        </w:tabs>
        <w:rPr>
          <w:rFonts w:cs="Arial"/>
          <w:color w:val="000000"/>
        </w:rPr>
      </w:pPr>
      <w:r>
        <w:rPr>
          <w:rFonts w:cs="Arial"/>
          <w:color w:val="000000"/>
        </w:rPr>
        <w:lastRenderedPageBreak/>
        <w:t>Michael R. Smalz (0041897)</w:t>
      </w:r>
    </w:p>
    <w:p w:rsidR="00E87D98" w:rsidRPr="00E169BE" w:rsidRDefault="00E87D98" w:rsidP="00E87D98">
      <w:pPr>
        <w:tabs>
          <w:tab w:val="left" w:pos="4680"/>
        </w:tabs>
        <w:rPr>
          <w:rFonts w:cs="Arial"/>
          <w:smallCaps/>
          <w:color w:val="000000"/>
        </w:rPr>
      </w:pPr>
      <w:r w:rsidRPr="00E169BE">
        <w:rPr>
          <w:rFonts w:cs="Arial"/>
          <w:smallCaps/>
          <w:color w:val="000000"/>
        </w:rPr>
        <w:t>Ohio Poverty Law Center</w:t>
      </w:r>
    </w:p>
    <w:p w:rsidR="00E87D98" w:rsidRDefault="00E87D98" w:rsidP="00E87D98">
      <w:pPr>
        <w:tabs>
          <w:tab w:val="left" w:pos="4680"/>
        </w:tabs>
        <w:rPr>
          <w:rFonts w:cs="Arial"/>
          <w:color w:val="000000"/>
        </w:rPr>
      </w:pPr>
      <w:r>
        <w:rPr>
          <w:rFonts w:cs="Arial"/>
          <w:color w:val="000000"/>
        </w:rPr>
        <w:t>555 Buttles Avenue</w:t>
      </w:r>
    </w:p>
    <w:p w:rsidR="00E87D98" w:rsidRDefault="00E87D98" w:rsidP="00E87D98">
      <w:pPr>
        <w:tabs>
          <w:tab w:val="left" w:pos="4680"/>
        </w:tabs>
        <w:rPr>
          <w:rFonts w:cs="Arial"/>
          <w:color w:val="000000"/>
        </w:rPr>
      </w:pPr>
      <w:r>
        <w:rPr>
          <w:rFonts w:cs="Arial"/>
          <w:color w:val="000000"/>
        </w:rPr>
        <w:t>Columbus, Ohio  43215-1137</w:t>
      </w:r>
    </w:p>
    <w:p w:rsidR="00E87D98" w:rsidRDefault="00E87D98" w:rsidP="00E87D98">
      <w:pPr>
        <w:tabs>
          <w:tab w:val="left" w:pos="4680"/>
        </w:tabs>
        <w:rPr>
          <w:rFonts w:cs="Arial"/>
          <w:color w:val="000000"/>
        </w:rPr>
      </w:pPr>
      <w:r>
        <w:rPr>
          <w:rFonts w:cs="Arial"/>
          <w:color w:val="000000"/>
        </w:rPr>
        <w:t>msmalz@ohiopovertylaw.com</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Peggy P. Lee (0067912)</w:t>
      </w:r>
    </w:p>
    <w:p w:rsidR="00E87D98" w:rsidRPr="00E169BE" w:rsidRDefault="00E87D98" w:rsidP="00E87D98">
      <w:pPr>
        <w:tabs>
          <w:tab w:val="left" w:pos="4680"/>
        </w:tabs>
        <w:rPr>
          <w:rFonts w:cs="Arial"/>
          <w:smallCaps/>
          <w:color w:val="000000"/>
        </w:rPr>
      </w:pPr>
      <w:r w:rsidRPr="00E169BE">
        <w:rPr>
          <w:rFonts w:cs="Arial"/>
          <w:smallCaps/>
          <w:color w:val="000000"/>
        </w:rPr>
        <w:t>Southeastern Ohio Legal Services</w:t>
      </w:r>
    </w:p>
    <w:p w:rsidR="00E87D98" w:rsidRDefault="00E87D98" w:rsidP="00E87D98">
      <w:pPr>
        <w:tabs>
          <w:tab w:val="left" w:pos="4680"/>
        </w:tabs>
        <w:rPr>
          <w:rFonts w:cs="Arial"/>
          <w:color w:val="000000"/>
        </w:rPr>
      </w:pPr>
      <w:r>
        <w:rPr>
          <w:rFonts w:cs="Arial"/>
          <w:color w:val="000000"/>
        </w:rPr>
        <w:t>964 E. State Street</w:t>
      </w:r>
    </w:p>
    <w:p w:rsidR="00E87D98" w:rsidRDefault="00E87D98" w:rsidP="00E87D98">
      <w:pPr>
        <w:tabs>
          <w:tab w:val="left" w:pos="4680"/>
        </w:tabs>
        <w:rPr>
          <w:rFonts w:cs="Arial"/>
          <w:color w:val="000000"/>
        </w:rPr>
      </w:pPr>
      <w:r>
        <w:rPr>
          <w:rFonts w:cs="Arial"/>
          <w:color w:val="000000"/>
        </w:rPr>
        <w:t>Athens, Ohio 45701</w:t>
      </w:r>
    </w:p>
    <w:p w:rsidR="00E87D98" w:rsidRDefault="00E87D98" w:rsidP="00E87D98">
      <w:pPr>
        <w:tabs>
          <w:tab w:val="left" w:pos="4680"/>
        </w:tabs>
        <w:rPr>
          <w:rFonts w:cs="Arial"/>
          <w:color w:val="000000"/>
        </w:rPr>
      </w:pPr>
      <w:r>
        <w:rPr>
          <w:rFonts w:cs="Arial"/>
          <w:color w:val="000000"/>
        </w:rPr>
        <w:t>plee@oslsa.org</w:t>
      </w:r>
    </w:p>
    <w:p w:rsidR="00E87D98" w:rsidRDefault="00E87D98" w:rsidP="00E87D98">
      <w:pPr>
        <w:tabs>
          <w:tab w:val="left" w:pos="4680"/>
        </w:tabs>
        <w:rPr>
          <w:rFonts w:cs="Arial"/>
          <w:color w:val="000000"/>
        </w:rPr>
      </w:pPr>
    </w:p>
    <w:p w:rsidR="00E87D98" w:rsidRPr="00DE6706" w:rsidRDefault="00E87D98" w:rsidP="00E87D98">
      <w:pPr>
        <w:tabs>
          <w:tab w:val="left" w:pos="4680"/>
        </w:tabs>
        <w:rPr>
          <w:rFonts w:cs="Arial"/>
          <w:b/>
          <w:smallCaps/>
          <w:color w:val="000000"/>
        </w:rPr>
      </w:pPr>
      <w:r w:rsidRPr="00DE6706">
        <w:rPr>
          <w:rFonts w:cs="Arial"/>
          <w:b/>
          <w:smallCaps/>
          <w:color w:val="000000"/>
        </w:rPr>
        <w:t>On Behalf of the Appalachian Peace and Justice Network</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M. Howard Petricoff (0008287)</w:t>
      </w:r>
    </w:p>
    <w:p w:rsidR="00E87D98" w:rsidRDefault="00E87D98" w:rsidP="00E87D98">
      <w:pPr>
        <w:tabs>
          <w:tab w:val="left" w:pos="4680"/>
        </w:tabs>
        <w:rPr>
          <w:rFonts w:cs="Arial"/>
          <w:color w:val="000000"/>
        </w:rPr>
      </w:pPr>
      <w:r>
        <w:rPr>
          <w:rFonts w:cs="Arial"/>
          <w:color w:val="000000"/>
        </w:rPr>
        <w:t>Michael J. Settineri (0073369)</w:t>
      </w:r>
    </w:p>
    <w:p w:rsidR="00E87D98" w:rsidRDefault="00E87D98" w:rsidP="00E87D98">
      <w:pPr>
        <w:tabs>
          <w:tab w:val="left" w:pos="4680"/>
        </w:tabs>
        <w:rPr>
          <w:rFonts w:cs="Arial"/>
          <w:color w:val="000000"/>
        </w:rPr>
      </w:pPr>
      <w:r>
        <w:rPr>
          <w:rFonts w:cs="Arial"/>
          <w:color w:val="000000"/>
        </w:rPr>
        <w:t>Gretchen L. Petrucci (0046608)</w:t>
      </w:r>
    </w:p>
    <w:p w:rsidR="00E87D98" w:rsidRPr="002A1770" w:rsidRDefault="00E87D98" w:rsidP="00E87D98">
      <w:pPr>
        <w:tabs>
          <w:tab w:val="left" w:pos="4680"/>
        </w:tabs>
        <w:rPr>
          <w:rFonts w:cs="Arial"/>
          <w:smallCaps/>
          <w:color w:val="000000"/>
        </w:rPr>
      </w:pPr>
      <w:r w:rsidRPr="002A1770">
        <w:rPr>
          <w:rFonts w:cs="Arial"/>
          <w:smallCaps/>
          <w:color w:val="000000"/>
        </w:rPr>
        <w:t>Vorys, Sater, Seymour and Pease LLP</w:t>
      </w:r>
    </w:p>
    <w:p w:rsidR="00E87D98" w:rsidRDefault="00E87D98" w:rsidP="00E87D98">
      <w:pPr>
        <w:tabs>
          <w:tab w:val="left" w:pos="4680"/>
        </w:tabs>
        <w:rPr>
          <w:rFonts w:cs="Arial"/>
          <w:color w:val="000000"/>
        </w:rPr>
      </w:pPr>
      <w:r>
        <w:rPr>
          <w:rFonts w:cs="Arial"/>
          <w:color w:val="000000"/>
        </w:rPr>
        <w:t>52 East Gay Street</w:t>
      </w:r>
    </w:p>
    <w:p w:rsidR="00E87D98" w:rsidRDefault="00E87D98" w:rsidP="00E87D98">
      <w:pPr>
        <w:tabs>
          <w:tab w:val="left" w:pos="4680"/>
        </w:tabs>
        <w:rPr>
          <w:rFonts w:cs="Arial"/>
          <w:color w:val="000000"/>
        </w:rPr>
      </w:pPr>
      <w:r>
        <w:rPr>
          <w:rFonts w:cs="Arial"/>
          <w:color w:val="000000"/>
        </w:rPr>
        <w:t>P.O. Box 1008</w:t>
      </w:r>
    </w:p>
    <w:p w:rsidR="00E87D98" w:rsidRDefault="00E87D98" w:rsidP="00E87D98">
      <w:pPr>
        <w:tabs>
          <w:tab w:val="left" w:pos="4680"/>
        </w:tabs>
        <w:rPr>
          <w:rFonts w:cs="Arial"/>
          <w:color w:val="000000"/>
        </w:rPr>
      </w:pPr>
      <w:r>
        <w:rPr>
          <w:rFonts w:cs="Arial"/>
          <w:color w:val="000000"/>
        </w:rPr>
        <w:t>Columbus, Ohio  43216-1008</w:t>
      </w:r>
    </w:p>
    <w:p w:rsidR="00E87D98" w:rsidRDefault="00E87D98" w:rsidP="00E87D98">
      <w:pPr>
        <w:tabs>
          <w:tab w:val="left" w:pos="4680"/>
        </w:tabs>
        <w:rPr>
          <w:rFonts w:cs="Arial"/>
          <w:color w:val="000000"/>
        </w:rPr>
      </w:pPr>
      <w:r>
        <w:rPr>
          <w:rFonts w:cs="Arial"/>
          <w:color w:val="000000"/>
        </w:rPr>
        <w:t>mhpetricoff@vorys.com</w:t>
      </w:r>
    </w:p>
    <w:p w:rsidR="00E87D98" w:rsidRDefault="00E87D98" w:rsidP="00E87D98">
      <w:pPr>
        <w:tabs>
          <w:tab w:val="left" w:pos="4680"/>
        </w:tabs>
        <w:rPr>
          <w:rFonts w:cs="Arial"/>
          <w:color w:val="000000"/>
        </w:rPr>
      </w:pPr>
      <w:r>
        <w:rPr>
          <w:rFonts w:cs="Arial"/>
          <w:color w:val="000000"/>
        </w:rPr>
        <w:t>mjsettineri@vorys.com</w:t>
      </w:r>
    </w:p>
    <w:p w:rsidR="00E87D98" w:rsidRDefault="00E87D98" w:rsidP="00E87D98">
      <w:pPr>
        <w:tabs>
          <w:tab w:val="left" w:pos="4680"/>
        </w:tabs>
        <w:rPr>
          <w:rFonts w:cs="Arial"/>
          <w:color w:val="000000"/>
        </w:rPr>
      </w:pPr>
      <w:r>
        <w:rPr>
          <w:rFonts w:cs="Arial"/>
          <w:color w:val="000000"/>
        </w:rPr>
        <w:t>glpetrucci@vorys.com</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David I Fein</w:t>
      </w:r>
    </w:p>
    <w:p w:rsidR="00E87D98" w:rsidRDefault="00E87D98" w:rsidP="00E87D98">
      <w:pPr>
        <w:tabs>
          <w:tab w:val="left" w:pos="4680"/>
        </w:tabs>
        <w:rPr>
          <w:rFonts w:cs="Arial"/>
          <w:color w:val="000000"/>
        </w:rPr>
      </w:pPr>
      <w:r>
        <w:rPr>
          <w:rFonts w:cs="Arial"/>
          <w:color w:val="000000"/>
        </w:rPr>
        <w:t>Vice President, State Government Affairs-East</w:t>
      </w:r>
    </w:p>
    <w:p w:rsidR="00E87D98" w:rsidRPr="002A1770" w:rsidRDefault="00E87D98" w:rsidP="00E87D98">
      <w:pPr>
        <w:tabs>
          <w:tab w:val="left" w:pos="4680"/>
        </w:tabs>
        <w:rPr>
          <w:rFonts w:cs="Arial"/>
          <w:smallCaps/>
          <w:color w:val="000000"/>
        </w:rPr>
      </w:pPr>
      <w:r w:rsidRPr="002A1770">
        <w:rPr>
          <w:rFonts w:cs="Arial"/>
          <w:smallCaps/>
          <w:color w:val="000000"/>
        </w:rPr>
        <w:t>Exelon Corporation</w:t>
      </w:r>
    </w:p>
    <w:p w:rsidR="00E87D98" w:rsidRDefault="00E87D98" w:rsidP="00E87D98">
      <w:pPr>
        <w:tabs>
          <w:tab w:val="left" w:pos="4680"/>
        </w:tabs>
        <w:rPr>
          <w:rFonts w:cs="Arial"/>
          <w:color w:val="000000"/>
        </w:rPr>
      </w:pPr>
      <w:r>
        <w:rPr>
          <w:rFonts w:cs="Arial"/>
          <w:color w:val="000000"/>
        </w:rPr>
        <w:t>10 South Dearborn Street, 47th Floor</w:t>
      </w:r>
    </w:p>
    <w:p w:rsidR="00E87D98" w:rsidRDefault="00E87D98" w:rsidP="00E87D98">
      <w:pPr>
        <w:tabs>
          <w:tab w:val="left" w:pos="4680"/>
        </w:tabs>
        <w:rPr>
          <w:rFonts w:cs="Arial"/>
          <w:color w:val="000000"/>
        </w:rPr>
      </w:pPr>
      <w:r>
        <w:rPr>
          <w:rFonts w:cs="Arial"/>
          <w:color w:val="000000"/>
        </w:rPr>
        <w:t>Chicago, IL  60603</w:t>
      </w:r>
    </w:p>
    <w:p w:rsidR="00E87D98" w:rsidRDefault="00E87D98" w:rsidP="00E87D98">
      <w:pPr>
        <w:tabs>
          <w:tab w:val="left" w:pos="4680"/>
        </w:tabs>
        <w:rPr>
          <w:rFonts w:cs="Arial"/>
          <w:color w:val="000000"/>
        </w:rPr>
      </w:pPr>
      <w:r>
        <w:rPr>
          <w:rFonts w:cs="Arial"/>
          <w:color w:val="000000"/>
        </w:rPr>
        <w:t>david.fein@exeloncorp.com</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Cynthia Fonner Brady</w:t>
      </w:r>
    </w:p>
    <w:p w:rsidR="00E87D98" w:rsidRDefault="00E87D98" w:rsidP="00E87D98">
      <w:pPr>
        <w:tabs>
          <w:tab w:val="left" w:pos="4680"/>
        </w:tabs>
        <w:rPr>
          <w:rFonts w:cs="Arial"/>
          <w:color w:val="000000"/>
        </w:rPr>
      </w:pPr>
      <w:r>
        <w:rPr>
          <w:rFonts w:cs="Arial"/>
          <w:color w:val="000000"/>
        </w:rPr>
        <w:t>Assistant General Counsel</w:t>
      </w:r>
    </w:p>
    <w:p w:rsidR="00E87D98" w:rsidRPr="002A1770" w:rsidRDefault="00E87D98" w:rsidP="00E87D98">
      <w:pPr>
        <w:tabs>
          <w:tab w:val="left" w:pos="4680"/>
        </w:tabs>
        <w:rPr>
          <w:rFonts w:cs="Arial"/>
          <w:smallCaps/>
          <w:color w:val="000000"/>
        </w:rPr>
      </w:pPr>
      <w:r w:rsidRPr="002A1770">
        <w:rPr>
          <w:rFonts w:cs="Arial"/>
          <w:smallCaps/>
          <w:color w:val="000000"/>
        </w:rPr>
        <w:t>Exelon Business Services Company</w:t>
      </w:r>
    </w:p>
    <w:p w:rsidR="00E87D98" w:rsidRDefault="00E87D98" w:rsidP="00E87D98">
      <w:pPr>
        <w:tabs>
          <w:tab w:val="left" w:pos="4680"/>
        </w:tabs>
        <w:rPr>
          <w:rFonts w:cs="Arial"/>
          <w:color w:val="000000"/>
        </w:rPr>
      </w:pPr>
      <w:r>
        <w:rPr>
          <w:rFonts w:cs="Arial"/>
          <w:color w:val="000000"/>
        </w:rPr>
        <w:t>4300 Winfield Road</w:t>
      </w:r>
    </w:p>
    <w:p w:rsidR="00E87D98" w:rsidRDefault="00E87D98" w:rsidP="00E87D98">
      <w:pPr>
        <w:tabs>
          <w:tab w:val="left" w:pos="4680"/>
        </w:tabs>
        <w:rPr>
          <w:rFonts w:cs="Arial"/>
          <w:color w:val="000000"/>
        </w:rPr>
      </w:pPr>
      <w:r>
        <w:rPr>
          <w:rFonts w:cs="Arial"/>
          <w:color w:val="000000"/>
        </w:rPr>
        <w:t>Warrenville, IL  60555</w:t>
      </w:r>
    </w:p>
    <w:p w:rsidR="00E87D98" w:rsidRDefault="00E87D98" w:rsidP="00E87D98">
      <w:pPr>
        <w:tabs>
          <w:tab w:val="left" w:pos="4680"/>
        </w:tabs>
        <w:rPr>
          <w:rFonts w:cs="Arial"/>
          <w:color w:val="000000"/>
        </w:rPr>
      </w:pPr>
      <w:r>
        <w:rPr>
          <w:rFonts w:cs="Arial"/>
          <w:color w:val="000000"/>
        </w:rPr>
        <w:t>cynthia.brady@constellation.com</w:t>
      </w:r>
    </w:p>
    <w:p w:rsidR="00E87D98" w:rsidRDefault="00E87D98" w:rsidP="00E87D98">
      <w:pPr>
        <w:tabs>
          <w:tab w:val="left" w:pos="4680"/>
        </w:tabs>
        <w:rPr>
          <w:rFonts w:cs="Arial"/>
          <w:color w:val="000000"/>
        </w:rPr>
      </w:pPr>
    </w:p>
    <w:p w:rsidR="00E87D98" w:rsidRDefault="005E5338" w:rsidP="00E87D98">
      <w:pPr>
        <w:tabs>
          <w:tab w:val="left" w:pos="4680"/>
        </w:tabs>
        <w:rPr>
          <w:rFonts w:cs="Arial"/>
          <w:color w:val="000000"/>
        </w:rPr>
      </w:pPr>
      <w:r>
        <w:rPr>
          <w:rFonts w:cs="Arial"/>
          <w:color w:val="000000"/>
        </w:rPr>
        <w:br w:type="column"/>
      </w:r>
      <w:r w:rsidR="00E87D98">
        <w:rPr>
          <w:rFonts w:cs="Arial"/>
          <w:color w:val="000000"/>
        </w:rPr>
        <w:lastRenderedPageBreak/>
        <w:t>Lael Campbell</w:t>
      </w:r>
    </w:p>
    <w:p w:rsidR="00E87D98" w:rsidRPr="002A1770" w:rsidRDefault="00E87D98" w:rsidP="00E87D98">
      <w:pPr>
        <w:tabs>
          <w:tab w:val="left" w:pos="4680"/>
        </w:tabs>
        <w:rPr>
          <w:rFonts w:cs="Arial"/>
          <w:smallCaps/>
          <w:color w:val="000000"/>
        </w:rPr>
      </w:pPr>
      <w:r w:rsidRPr="002A1770">
        <w:rPr>
          <w:rFonts w:cs="Arial"/>
          <w:smallCaps/>
          <w:color w:val="000000"/>
        </w:rPr>
        <w:t>Exelon</w:t>
      </w:r>
    </w:p>
    <w:p w:rsidR="00E87D98" w:rsidRDefault="00E87D98" w:rsidP="00E87D98">
      <w:pPr>
        <w:tabs>
          <w:tab w:val="left" w:pos="4680"/>
        </w:tabs>
        <w:rPr>
          <w:rFonts w:cs="Arial"/>
          <w:color w:val="000000"/>
        </w:rPr>
      </w:pPr>
      <w:r>
        <w:rPr>
          <w:rFonts w:cs="Arial"/>
          <w:color w:val="000000"/>
        </w:rPr>
        <w:t>101 Constitution Avenue, NW</w:t>
      </w:r>
    </w:p>
    <w:p w:rsidR="00E87D98" w:rsidRDefault="00E87D98" w:rsidP="00E87D98">
      <w:pPr>
        <w:tabs>
          <w:tab w:val="left" w:pos="4680"/>
        </w:tabs>
        <w:rPr>
          <w:rFonts w:cs="Arial"/>
          <w:color w:val="000000"/>
        </w:rPr>
      </w:pPr>
      <w:r>
        <w:rPr>
          <w:rFonts w:cs="Arial"/>
          <w:color w:val="000000"/>
        </w:rPr>
        <w:t>Washington, DC  20001</w:t>
      </w:r>
    </w:p>
    <w:p w:rsidR="00E87D98" w:rsidRDefault="00E87D98" w:rsidP="00E87D98">
      <w:pPr>
        <w:tabs>
          <w:tab w:val="left" w:pos="4680"/>
        </w:tabs>
        <w:rPr>
          <w:rFonts w:cs="Arial"/>
          <w:color w:val="000000"/>
        </w:rPr>
      </w:pPr>
      <w:r>
        <w:rPr>
          <w:rFonts w:cs="Arial"/>
          <w:color w:val="000000"/>
        </w:rPr>
        <w:t>Lael.Campbell@constellation.com</w:t>
      </w:r>
    </w:p>
    <w:p w:rsidR="00E87D98" w:rsidRDefault="00E87D98" w:rsidP="00E87D98">
      <w:pPr>
        <w:tabs>
          <w:tab w:val="left" w:pos="4680"/>
        </w:tabs>
        <w:rPr>
          <w:rFonts w:cs="Arial"/>
          <w:color w:val="000000"/>
        </w:rPr>
      </w:pPr>
    </w:p>
    <w:p w:rsidR="00E87D98" w:rsidRPr="002A1770" w:rsidRDefault="00E87D98" w:rsidP="00E87D98">
      <w:pPr>
        <w:tabs>
          <w:tab w:val="left" w:pos="4680"/>
        </w:tabs>
        <w:rPr>
          <w:rFonts w:cs="Arial"/>
          <w:b/>
          <w:smallCaps/>
          <w:color w:val="000000"/>
        </w:rPr>
      </w:pPr>
      <w:r w:rsidRPr="002A1770">
        <w:rPr>
          <w:rFonts w:cs="Arial"/>
          <w:b/>
          <w:smallCaps/>
          <w:color w:val="000000"/>
        </w:rPr>
        <w:t>On Behalf of Constellation NewEnergy, Inc. and Exelon Generation Company, LLC</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M. Howard Petricoff</w:t>
      </w:r>
    </w:p>
    <w:p w:rsidR="00E87D98" w:rsidRDefault="00E87D98" w:rsidP="00E87D98">
      <w:pPr>
        <w:tabs>
          <w:tab w:val="left" w:pos="4680"/>
        </w:tabs>
        <w:rPr>
          <w:rFonts w:cs="Arial"/>
          <w:color w:val="000000"/>
        </w:rPr>
      </w:pPr>
      <w:r>
        <w:rPr>
          <w:rFonts w:cs="Arial"/>
          <w:color w:val="000000"/>
        </w:rPr>
        <w:t>Gretchen L. Petrucci</w:t>
      </w:r>
    </w:p>
    <w:p w:rsidR="00E87D98" w:rsidRPr="00933788" w:rsidRDefault="00E87D98" w:rsidP="00E87D98">
      <w:pPr>
        <w:tabs>
          <w:tab w:val="left" w:pos="4680"/>
        </w:tabs>
        <w:rPr>
          <w:rFonts w:cs="Arial"/>
          <w:smallCaps/>
          <w:color w:val="000000"/>
        </w:rPr>
      </w:pPr>
      <w:r w:rsidRPr="00933788">
        <w:rPr>
          <w:rFonts w:cs="Arial"/>
          <w:smallCaps/>
          <w:color w:val="000000"/>
        </w:rPr>
        <w:t>Vorys, Sater, Seymour and Pease LLP</w:t>
      </w:r>
    </w:p>
    <w:p w:rsidR="00E87D98" w:rsidRDefault="00E87D98" w:rsidP="00E87D98">
      <w:pPr>
        <w:tabs>
          <w:tab w:val="left" w:pos="4680"/>
        </w:tabs>
        <w:rPr>
          <w:rFonts w:cs="Arial"/>
          <w:color w:val="000000"/>
        </w:rPr>
      </w:pPr>
      <w:r>
        <w:rPr>
          <w:rFonts w:cs="Arial"/>
          <w:color w:val="000000"/>
        </w:rPr>
        <w:t>52 East Gay Street</w:t>
      </w:r>
    </w:p>
    <w:p w:rsidR="00E87D98" w:rsidRDefault="00E87D98" w:rsidP="00E87D98">
      <w:pPr>
        <w:tabs>
          <w:tab w:val="left" w:pos="4680"/>
        </w:tabs>
        <w:rPr>
          <w:rFonts w:cs="Arial"/>
          <w:color w:val="000000"/>
        </w:rPr>
      </w:pPr>
      <w:r>
        <w:rPr>
          <w:rFonts w:cs="Arial"/>
          <w:color w:val="000000"/>
        </w:rPr>
        <w:t>P.O. Box 1008</w:t>
      </w:r>
    </w:p>
    <w:p w:rsidR="00E87D98" w:rsidRDefault="00E87D98" w:rsidP="00E87D98">
      <w:pPr>
        <w:tabs>
          <w:tab w:val="left" w:pos="4680"/>
        </w:tabs>
        <w:rPr>
          <w:rFonts w:cs="Arial"/>
          <w:color w:val="000000"/>
        </w:rPr>
      </w:pPr>
      <w:r>
        <w:rPr>
          <w:rFonts w:cs="Arial"/>
          <w:color w:val="000000"/>
        </w:rPr>
        <w:t>Columbus, Ohio  43216-1008</w:t>
      </w:r>
    </w:p>
    <w:p w:rsidR="00E87D98" w:rsidRDefault="00E87D98" w:rsidP="00E87D98">
      <w:pPr>
        <w:tabs>
          <w:tab w:val="left" w:pos="4680"/>
        </w:tabs>
        <w:rPr>
          <w:rFonts w:cs="Arial"/>
          <w:color w:val="000000"/>
        </w:rPr>
      </w:pPr>
      <w:r>
        <w:rPr>
          <w:rFonts w:cs="Arial"/>
          <w:color w:val="000000"/>
        </w:rPr>
        <w:t>mhpetricoff@vorys.com</w:t>
      </w:r>
    </w:p>
    <w:p w:rsidR="00E87D98" w:rsidRDefault="00E87D98" w:rsidP="00E87D98">
      <w:pPr>
        <w:tabs>
          <w:tab w:val="left" w:pos="4680"/>
        </w:tabs>
        <w:rPr>
          <w:rFonts w:cs="Arial"/>
          <w:color w:val="000000"/>
        </w:rPr>
      </w:pPr>
      <w:r>
        <w:rPr>
          <w:rFonts w:cs="Arial"/>
          <w:color w:val="000000"/>
        </w:rPr>
        <w:t>glpetrucci@vorys.com</w:t>
      </w:r>
    </w:p>
    <w:p w:rsidR="00E87D98" w:rsidRDefault="00E87D98" w:rsidP="00E87D98">
      <w:pPr>
        <w:tabs>
          <w:tab w:val="left" w:pos="4680"/>
        </w:tabs>
        <w:rPr>
          <w:rFonts w:cs="Arial"/>
          <w:color w:val="000000"/>
        </w:rPr>
      </w:pPr>
    </w:p>
    <w:p w:rsidR="00E87D98" w:rsidRPr="00933788" w:rsidRDefault="00E87D98" w:rsidP="00E87D98">
      <w:pPr>
        <w:tabs>
          <w:tab w:val="left" w:pos="4680"/>
        </w:tabs>
        <w:rPr>
          <w:rFonts w:cs="Arial"/>
          <w:b/>
          <w:smallCaps/>
          <w:color w:val="000000"/>
        </w:rPr>
      </w:pPr>
      <w:r w:rsidRPr="00933788">
        <w:rPr>
          <w:rFonts w:cs="Arial"/>
          <w:b/>
          <w:smallCaps/>
          <w:color w:val="000000"/>
        </w:rPr>
        <w:t>On Behalf of the Retail Energy Supply Association</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Robert Kelter</w:t>
      </w:r>
    </w:p>
    <w:p w:rsidR="00E87D98" w:rsidRPr="00D53789" w:rsidRDefault="00E87D98" w:rsidP="00E87D98">
      <w:pPr>
        <w:tabs>
          <w:tab w:val="left" w:pos="4680"/>
        </w:tabs>
        <w:rPr>
          <w:rFonts w:cs="Arial"/>
          <w:smallCaps/>
          <w:color w:val="000000"/>
        </w:rPr>
      </w:pPr>
      <w:r w:rsidRPr="00D53789">
        <w:rPr>
          <w:rFonts w:cs="Arial"/>
          <w:smallCaps/>
          <w:color w:val="000000"/>
        </w:rPr>
        <w:t>Environmental Law &amp; Policy Center</w:t>
      </w:r>
    </w:p>
    <w:p w:rsidR="00E87D98" w:rsidRDefault="00E87D98" w:rsidP="00E87D98">
      <w:pPr>
        <w:tabs>
          <w:tab w:val="left" w:pos="4680"/>
        </w:tabs>
        <w:rPr>
          <w:rFonts w:cs="Arial"/>
          <w:color w:val="000000"/>
        </w:rPr>
      </w:pPr>
      <w:r>
        <w:rPr>
          <w:rFonts w:cs="Arial"/>
          <w:color w:val="000000"/>
        </w:rPr>
        <w:t>35 East Wacker Drive, Suite 1600</w:t>
      </w:r>
    </w:p>
    <w:p w:rsidR="00E87D98" w:rsidRDefault="00E87D98" w:rsidP="00E87D98">
      <w:pPr>
        <w:tabs>
          <w:tab w:val="left" w:pos="4680"/>
        </w:tabs>
        <w:rPr>
          <w:rFonts w:cs="Arial"/>
          <w:color w:val="000000"/>
        </w:rPr>
      </w:pPr>
      <w:r>
        <w:rPr>
          <w:rFonts w:cs="Arial"/>
          <w:color w:val="000000"/>
        </w:rPr>
        <w:t>Chicago, IL  60601</w:t>
      </w:r>
    </w:p>
    <w:p w:rsidR="00E87D98" w:rsidRDefault="00E87D98" w:rsidP="00E87D98">
      <w:pPr>
        <w:tabs>
          <w:tab w:val="left" w:pos="4680"/>
        </w:tabs>
        <w:rPr>
          <w:rFonts w:cs="Arial"/>
          <w:color w:val="000000"/>
        </w:rPr>
      </w:pPr>
      <w:r>
        <w:rPr>
          <w:rFonts w:cs="Arial"/>
          <w:color w:val="000000"/>
        </w:rPr>
        <w:t>rkelter@elpc.org</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Madeline Fleisher</w:t>
      </w:r>
    </w:p>
    <w:p w:rsidR="00E87D98" w:rsidRPr="00BB6DAE" w:rsidRDefault="00E87D98" w:rsidP="00E87D98">
      <w:pPr>
        <w:tabs>
          <w:tab w:val="left" w:pos="4680"/>
        </w:tabs>
        <w:rPr>
          <w:rFonts w:cs="Arial"/>
          <w:smallCaps/>
          <w:color w:val="000000"/>
        </w:rPr>
      </w:pPr>
      <w:r w:rsidRPr="00BB6DAE">
        <w:rPr>
          <w:rFonts w:cs="Arial"/>
          <w:smallCaps/>
          <w:color w:val="000000"/>
        </w:rPr>
        <w:t>Environmental Law &amp; Policy Center</w:t>
      </w:r>
    </w:p>
    <w:p w:rsidR="00E87D98" w:rsidRDefault="00E87D98" w:rsidP="00E87D98">
      <w:pPr>
        <w:tabs>
          <w:tab w:val="left" w:pos="4680"/>
        </w:tabs>
        <w:rPr>
          <w:rFonts w:cs="Arial"/>
          <w:color w:val="000000"/>
        </w:rPr>
      </w:pPr>
      <w:r>
        <w:rPr>
          <w:rFonts w:cs="Arial"/>
          <w:color w:val="000000"/>
        </w:rPr>
        <w:t>1207 Grandview Avenue, Suite 201</w:t>
      </w:r>
    </w:p>
    <w:p w:rsidR="00E87D98" w:rsidRDefault="00E87D98" w:rsidP="00E87D98">
      <w:pPr>
        <w:tabs>
          <w:tab w:val="left" w:pos="4680"/>
        </w:tabs>
        <w:rPr>
          <w:rFonts w:cs="Arial"/>
          <w:color w:val="000000"/>
        </w:rPr>
      </w:pPr>
      <w:r>
        <w:rPr>
          <w:rFonts w:cs="Arial"/>
          <w:color w:val="000000"/>
        </w:rPr>
        <w:t>Columbus, OH  43212</w:t>
      </w:r>
    </w:p>
    <w:p w:rsidR="00E87D98" w:rsidRDefault="00E87D98" w:rsidP="00E87D98">
      <w:pPr>
        <w:tabs>
          <w:tab w:val="left" w:pos="4680"/>
        </w:tabs>
        <w:rPr>
          <w:rFonts w:cs="Arial"/>
          <w:color w:val="000000"/>
        </w:rPr>
      </w:pPr>
      <w:r>
        <w:rPr>
          <w:rFonts w:cs="Arial"/>
          <w:color w:val="000000"/>
        </w:rPr>
        <w:t>mfleisher@elpc.org</w:t>
      </w:r>
    </w:p>
    <w:p w:rsidR="00E87D98" w:rsidRDefault="00E87D98" w:rsidP="00E87D98">
      <w:pPr>
        <w:tabs>
          <w:tab w:val="left" w:pos="4680"/>
        </w:tabs>
        <w:rPr>
          <w:rFonts w:cs="Arial"/>
          <w:color w:val="000000"/>
        </w:rPr>
      </w:pPr>
    </w:p>
    <w:p w:rsidR="00E87D98" w:rsidRPr="004853F4" w:rsidRDefault="00E87D98" w:rsidP="00E87D98">
      <w:pPr>
        <w:tabs>
          <w:tab w:val="left" w:pos="4680"/>
        </w:tabs>
        <w:rPr>
          <w:rFonts w:ascii="Arial Bold" w:hAnsi="Arial Bold" w:cs="Arial"/>
          <w:b/>
          <w:smallCaps/>
          <w:color w:val="000000"/>
        </w:rPr>
      </w:pPr>
      <w:r w:rsidRPr="004853F4">
        <w:rPr>
          <w:rFonts w:ascii="Arial Bold" w:hAnsi="Arial Bold" w:cs="Arial"/>
          <w:b/>
          <w:smallCaps/>
          <w:color w:val="000000"/>
        </w:rPr>
        <w:t>On Behalf of the Environmental Law and Policy Center</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Kevin R. Schmidt (0086722)</w:t>
      </w:r>
    </w:p>
    <w:p w:rsidR="00E87D98" w:rsidRPr="007A2619" w:rsidRDefault="00E87D98" w:rsidP="00E87D98">
      <w:pPr>
        <w:tabs>
          <w:tab w:val="left" w:pos="4680"/>
        </w:tabs>
        <w:rPr>
          <w:rFonts w:cs="Arial"/>
          <w:smallCaps/>
          <w:color w:val="000000"/>
        </w:rPr>
      </w:pPr>
      <w:r w:rsidRPr="007A2619">
        <w:rPr>
          <w:rFonts w:cs="Arial"/>
          <w:smallCaps/>
          <w:color w:val="000000"/>
        </w:rPr>
        <w:t>Energy Professionals of Ohio</w:t>
      </w:r>
    </w:p>
    <w:p w:rsidR="00E87D98" w:rsidRDefault="00E87D98" w:rsidP="00E87D98">
      <w:pPr>
        <w:tabs>
          <w:tab w:val="left" w:pos="4680"/>
        </w:tabs>
        <w:rPr>
          <w:rFonts w:cs="Arial"/>
          <w:color w:val="000000"/>
        </w:rPr>
      </w:pPr>
      <w:r>
        <w:rPr>
          <w:rFonts w:cs="Arial"/>
          <w:color w:val="000000"/>
        </w:rPr>
        <w:t>88 East Broad Street, Suite 1770</w:t>
      </w:r>
    </w:p>
    <w:p w:rsidR="00E87D98" w:rsidRDefault="00E87D98" w:rsidP="00E87D98">
      <w:pPr>
        <w:tabs>
          <w:tab w:val="left" w:pos="4680"/>
        </w:tabs>
        <w:rPr>
          <w:rFonts w:cs="Arial"/>
          <w:color w:val="000000"/>
        </w:rPr>
      </w:pPr>
      <w:r>
        <w:rPr>
          <w:rFonts w:cs="Arial"/>
          <w:color w:val="000000"/>
        </w:rPr>
        <w:t>Columbus, Ohio  43215</w:t>
      </w:r>
    </w:p>
    <w:p w:rsidR="00E87D98" w:rsidRDefault="00E87D98" w:rsidP="00E87D98">
      <w:pPr>
        <w:tabs>
          <w:tab w:val="left" w:pos="4680"/>
        </w:tabs>
        <w:rPr>
          <w:rFonts w:cs="Arial"/>
          <w:color w:val="000000"/>
        </w:rPr>
      </w:pPr>
      <w:r>
        <w:rPr>
          <w:rFonts w:cs="Arial"/>
          <w:color w:val="000000"/>
        </w:rPr>
        <w:t>Schmidt@sppgrp.com</w:t>
      </w:r>
    </w:p>
    <w:p w:rsidR="00E87D98" w:rsidRDefault="00E87D98" w:rsidP="00E87D98">
      <w:pPr>
        <w:tabs>
          <w:tab w:val="left" w:pos="4680"/>
        </w:tabs>
        <w:rPr>
          <w:rFonts w:cs="Arial"/>
          <w:color w:val="000000"/>
        </w:rPr>
      </w:pPr>
    </w:p>
    <w:p w:rsidR="00E87D98" w:rsidRPr="007A2619" w:rsidRDefault="00E87D98" w:rsidP="00E87D98">
      <w:pPr>
        <w:tabs>
          <w:tab w:val="left" w:pos="4680"/>
        </w:tabs>
        <w:rPr>
          <w:rFonts w:ascii="Arial Bold" w:hAnsi="Arial Bold" w:cs="Arial"/>
          <w:b/>
          <w:smallCaps/>
          <w:color w:val="000000"/>
        </w:rPr>
      </w:pPr>
      <w:r w:rsidRPr="007A2619">
        <w:rPr>
          <w:rFonts w:ascii="Arial Bold" w:hAnsi="Arial Bold" w:cs="Arial"/>
          <w:b/>
          <w:smallCaps/>
          <w:color w:val="000000"/>
        </w:rPr>
        <w:t>On Behalf of the Energy Professionals of Ohio</w:t>
      </w:r>
    </w:p>
    <w:p w:rsidR="005E5338" w:rsidRDefault="005E5338" w:rsidP="00E87D98">
      <w:pPr>
        <w:tabs>
          <w:tab w:val="left" w:pos="4680"/>
        </w:tabs>
        <w:rPr>
          <w:rFonts w:cs="Arial"/>
          <w:color w:val="000000"/>
        </w:rPr>
        <w:sectPr w:rsidR="005E5338" w:rsidSect="00E87D98">
          <w:pgSz w:w="12240" w:h="15840" w:code="1"/>
          <w:pgMar w:top="1440" w:right="1440" w:bottom="1440" w:left="1440" w:header="720" w:footer="720" w:gutter="0"/>
          <w:cols w:num="2" w:space="720"/>
          <w:titlePg/>
          <w:docGrid w:linePitch="360"/>
        </w:sectPr>
      </w:pPr>
    </w:p>
    <w:p w:rsidR="00E87D98" w:rsidRDefault="00E87D98" w:rsidP="00E87D98">
      <w:pPr>
        <w:tabs>
          <w:tab w:val="left" w:pos="4680"/>
        </w:tabs>
        <w:rPr>
          <w:rFonts w:cs="Arial"/>
          <w:color w:val="000000"/>
        </w:rPr>
      </w:pPr>
      <w:r>
        <w:rPr>
          <w:rFonts w:cs="Arial"/>
          <w:color w:val="000000"/>
        </w:rPr>
        <w:lastRenderedPageBreak/>
        <w:t>Lisa M. Hawrot</w:t>
      </w:r>
    </w:p>
    <w:p w:rsidR="00E87D98" w:rsidRPr="002D69A2" w:rsidRDefault="00E87D98" w:rsidP="00E87D98">
      <w:pPr>
        <w:tabs>
          <w:tab w:val="left" w:pos="4680"/>
        </w:tabs>
        <w:rPr>
          <w:rFonts w:cs="Arial"/>
          <w:smallCaps/>
          <w:color w:val="000000"/>
        </w:rPr>
      </w:pPr>
      <w:r w:rsidRPr="002D69A2">
        <w:rPr>
          <w:rFonts w:cs="Arial"/>
          <w:smallCaps/>
          <w:color w:val="000000"/>
        </w:rPr>
        <w:t>Spilman Thomas &amp; Battle, PLLC</w:t>
      </w:r>
    </w:p>
    <w:p w:rsidR="00E87D98" w:rsidRDefault="00E87D98" w:rsidP="00E87D98">
      <w:pPr>
        <w:tabs>
          <w:tab w:val="left" w:pos="4680"/>
        </w:tabs>
        <w:rPr>
          <w:rFonts w:cs="Arial"/>
          <w:color w:val="000000"/>
        </w:rPr>
      </w:pPr>
      <w:r>
        <w:rPr>
          <w:rFonts w:cs="Arial"/>
          <w:color w:val="000000"/>
        </w:rPr>
        <w:t>Century Centre Building</w:t>
      </w:r>
    </w:p>
    <w:p w:rsidR="00E87D98" w:rsidRDefault="00E87D98" w:rsidP="00E87D98">
      <w:pPr>
        <w:tabs>
          <w:tab w:val="left" w:pos="4680"/>
        </w:tabs>
        <w:rPr>
          <w:rFonts w:cs="Arial"/>
          <w:color w:val="000000"/>
        </w:rPr>
      </w:pPr>
      <w:r>
        <w:rPr>
          <w:rFonts w:cs="Arial"/>
          <w:color w:val="000000"/>
        </w:rPr>
        <w:t>1233 Main Street, Suite 4000</w:t>
      </w:r>
    </w:p>
    <w:p w:rsidR="00E87D98" w:rsidRDefault="00E87D98" w:rsidP="00E87D98">
      <w:pPr>
        <w:tabs>
          <w:tab w:val="left" w:pos="4680"/>
        </w:tabs>
        <w:rPr>
          <w:rFonts w:cs="Arial"/>
          <w:color w:val="000000"/>
        </w:rPr>
      </w:pPr>
      <w:r>
        <w:rPr>
          <w:rFonts w:cs="Arial"/>
          <w:color w:val="000000"/>
        </w:rPr>
        <w:t>P.O. Box 831</w:t>
      </w:r>
    </w:p>
    <w:p w:rsidR="00E87D98" w:rsidRDefault="00E87D98" w:rsidP="00E87D98">
      <w:pPr>
        <w:tabs>
          <w:tab w:val="left" w:pos="4680"/>
        </w:tabs>
        <w:rPr>
          <w:rFonts w:cs="Arial"/>
          <w:color w:val="000000"/>
        </w:rPr>
      </w:pPr>
      <w:r>
        <w:rPr>
          <w:rFonts w:cs="Arial"/>
          <w:color w:val="000000"/>
        </w:rPr>
        <w:t>Wheeling, WV  26003-8731</w:t>
      </w:r>
    </w:p>
    <w:p w:rsidR="00E87D98" w:rsidRDefault="00E87D98" w:rsidP="00E87D98">
      <w:pPr>
        <w:tabs>
          <w:tab w:val="left" w:pos="4680"/>
        </w:tabs>
        <w:rPr>
          <w:rFonts w:cs="Arial"/>
          <w:color w:val="000000"/>
        </w:rPr>
      </w:pPr>
      <w:r>
        <w:rPr>
          <w:rFonts w:cs="Arial"/>
          <w:color w:val="000000"/>
        </w:rPr>
        <w:t>lhawrot@spilmanlaw.com</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Derrick Price Williamson</w:t>
      </w:r>
    </w:p>
    <w:p w:rsidR="00E87D98" w:rsidRPr="002D69A2" w:rsidRDefault="00E87D98" w:rsidP="00E87D98">
      <w:pPr>
        <w:tabs>
          <w:tab w:val="left" w:pos="4680"/>
        </w:tabs>
        <w:rPr>
          <w:rFonts w:cs="Arial"/>
          <w:smallCaps/>
          <w:color w:val="000000"/>
        </w:rPr>
      </w:pPr>
      <w:r w:rsidRPr="002D69A2">
        <w:rPr>
          <w:rFonts w:cs="Arial"/>
          <w:smallCaps/>
          <w:color w:val="000000"/>
        </w:rPr>
        <w:t>Spilman Thomas &amp; Battle, PLLC</w:t>
      </w:r>
    </w:p>
    <w:p w:rsidR="00E87D98" w:rsidRDefault="00E87D98" w:rsidP="00E87D98">
      <w:pPr>
        <w:tabs>
          <w:tab w:val="left" w:pos="4680"/>
        </w:tabs>
        <w:rPr>
          <w:rFonts w:cs="Arial"/>
          <w:color w:val="000000"/>
        </w:rPr>
      </w:pPr>
      <w:r>
        <w:rPr>
          <w:rFonts w:cs="Arial"/>
          <w:color w:val="000000"/>
        </w:rPr>
        <w:t>1100 Bent Creek Blvd., Suite 101</w:t>
      </w:r>
    </w:p>
    <w:p w:rsidR="00E87D98" w:rsidRDefault="00E87D98" w:rsidP="00E87D98">
      <w:pPr>
        <w:tabs>
          <w:tab w:val="left" w:pos="4680"/>
        </w:tabs>
        <w:rPr>
          <w:rFonts w:cs="Arial"/>
          <w:color w:val="000000"/>
        </w:rPr>
      </w:pPr>
      <w:r>
        <w:rPr>
          <w:rFonts w:cs="Arial"/>
          <w:color w:val="000000"/>
        </w:rPr>
        <w:t>Mechanicsburg, PA  17050</w:t>
      </w:r>
    </w:p>
    <w:p w:rsidR="00E87D98" w:rsidRDefault="00E87D98" w:rsidP="00E87D98">
      <w:pPr>
        <w:tabs>
          <w:tab w:val="left" w:pos="4680"/>
        </w:tabs>
        <w:rPr>
          <w:rFonts w:cs="Arial"/>
          <w:color w:val="000000"/>
        </w:rPr>
      </w:pPr>
      <w:r>
        <w:rPr>
          <w:rFonts w:cs="Arial"/>
          <w:color w:val="000000"/>
        </w:rPr>
        <w:t>dwilliamson@spilmanlaw.com</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Steve W. Chriss</w:t>
      </w:r>
    </w:p>
    <w:p w:rsidR="00E87D98" w:rsidRDefault="00E87D98" w:rsidP="00E87D98">
      <w:pPr>
        <w:tabs>
          <w:tab w:val="left" w:pos="4680"/>
        </w:tabs>
        <w:rPr>
          <w:rFonts w:cs="Arial"/>
          <w:color w:val="000000"/>
        </w:rPr>
      </w:pPr>
      <w:r>
        <w:rPr>
          <w:rFonts w:cs="Arial"/>
          <w:color w:val="000000"/>
        </w:rPr>
        <w:t>Senior Manager, Energy Regulatory Analysis</w:t>
      </w:r>
    </w:p>
    <w:p w:rsidR="00E87D98" w:rsidRPr="002D69A2" w:rsidRDefault="00E87D98" w:rsidP="00E87D98">
      <w:pPr>
        <w:tabs>
          <w:tab w:val="left" w:pos="4680"/>
        </w:tabs>
        <w:rPr>
          <w:rFonts w:cs="Arial"/>
          <w:smallCaps/>
          <w:color w:val="000000"/>
        </w:rPr>
      </w:pPr>
      <w:r w:rsidRPr="002D69A2">
        <w:rPr>
          <w:rFonts w:cs="Arial"/>
          <w:smallCaps/>
          <w:color w:val="000000"/>
        </w:rPr>
        <w:t>Wal-Mart Stores, Inc.</w:t>
      </w:r>
    </w:p>
    <w:p w:rsidR="00E87D98" w:rsidRDefault="00E87D98" w:rsidP="00E87D98">
      <w:pPr>
        <w:tabs>
          <w:tab w:val="left" w:pos="4680"/>
        </w:tabs>
        <w:rPr>
          <w:rFonts w:cs="Arial"/>
          <w:color w:val="000000"/>
        </w:rPr>
      </w:pPr>
      <w:r>
        <w:rPr>
          <w:rFonts w:cs="Arial"/>
          <w:color w:val="000000"/>
        </w:rPr>
        <w:t>2001 SE 10th Street</w:t>
      </w:r>
    </w:p>
    <w:p w:rsidR="00E87D98" w:rsidRDefault="00E87D98" w:rsidP="00E87D98">
      <w:pPr>
        <w:tabs>
          <w:tab w:val="left" w:pos="4680"/>
        </w:tabs>
        <w:rPr>
          <w:rFonts w:cs="Arial"/>
          <w:color w:val="000000"/>
        </w:rPr>
      </w:pPr>
      <w:r>
        <w:rPr>
          <w:rFonts w:cs="Arial"/>
          <w:color w:val="000000"/>
        </w:rPr>
        <w:t>Bentonville, AR  72716-0550</w:t>
      </w:r>
    </w:p>
    <w:p w:rsidR="00E87D98" w:rsidRDefault="00E87D98" w:rsidP="00E87D98">
      <w:pPr>
        <w:tabs>
          <w:tab w:val="left" w:pos="4680"/>
        </w:tabs>
        <w:rPr>
          <w:rFonts w:cs="Arial"/>
          <w:color w:val="000000"/>
        </w:rPr>
      </w:pPr>
      <w:r>
        <w:rPr>
          <w:rFonts w:cs="Arial"/>
          <w:color w:val="000000"/>
        </w:rPr>
        <w:t>Stephen.Chriss@walmart.com</w:t>
      </w:r>
    </w:p>
    <w:p w:rsidR="00E87D98" w:rsidRDefault="00E87D98" w:rsidP="00E87D98">
      <w:pPr>
        <w:tabs>
          <w:tab w:val="left" w:pos="4680"/>
        </w:tabs>
        <w:rPr>
          <w:rFonts w:cs="Arial"/>
          <w:color w:val="000000"/>
        </w:rPr>
      </w:pPr>
    </w:p>
    <w:p w:rsidR="00E87D98" w:rsidRPr="002D69A2" w:rsidRDefault="00E87D98" w:rsidP="00E87D98">
      <w:pPr>
        <w:tabs>
          <w:tab w:val="left" w:pos="4680"/>
        </w:tabs>
        <w:rPr>
          <w:rFonts w:cs="Arial"/>
          <w:b/>
          <w:smallCaps/>
          <w:color w:val="000000"/>
        </w:rPr>
      </w:pPr>
      <w:r w:rsidRPr="002D69A2">
        <w:rPr>
          <w:rFonts w:cs="Arial"/>
          <w:b/>
          <w:smallCaps/>
          <w:color w:val="000000"/>
        </w:rPr>
        <w:t>On Behalf of Wal-Mart Stores East, LP and Sam’s East, Inc.</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Samantha Williams</w:t>
      </w:r>
    </w:p>
    <w:p w:rsidR="00E87D98" w:rsidRPr="00D80714" w:rsidRDefault="00E87D98" w:rsidP="00E87D98">
      <w:pPr>
        <w:tabs>
          <w:tab w:val="left" w:pos="4680"/>
        </w:tabs>
        <w:rPr>
          <w:rFonts w:cs="Arial"/>
          <w:smallCaps/>
          <w:color w:val="000000"/>
        </w:rPr>
      </w:pPr>
      <w:r w:rsidRPr="00D80714">
        <w:rPr>
          <w:rFonts w:cs="Arial"/>
          <w:smallCaps/>
          <w:color w:val="000000"/>
        </w:rPr>
        <w:t>Natural Resources Defense Council</w:t>
      </w:r>
    </w:p>
    <w:p w:rsidR="00E87D98" w:rsidRDefault="00E87D98" w:rsidP="00E87D98">
      <w:pPr>
        <w:tabs>
          <w:tab w:val="left" w:pos="4680"/>
        </w:tabs>
        <w:rPr>
          <w:rFonts w:cs="Arial"/>
          <w:color w:val="000000"/>
        </w:rPr>
      </w:pPr>
      <w:r>
        <w:rPr>
          <w:rFonts w:cs="Arial"/>
          <w:color w:val="000000"/>
        </w:rPr>
        <w:t>20 N. Wacker Drive, Suite 1600</w:t>
      </w:r>
    </w:p>
    <w:p w:rsidR="00E87D98" w:rsidRDefault="00E87D98" w:rsidP="00E87D98">
      <w:pPr>
        <w:tabs>
          <w:tab w:val="left" w:pos="4680"/>
        </w:tabs>
        <w:rPr>
          <w:rFonts w:cs="Arial"/>
          <w:color w:val="000000"/>
        </w:rPr>
      </w:pPr>
      <w:r>
        <w:rPr>
          <w:rFonts w:cs="Arial"/>
          <w:color w:val="000000"/>
        </w:rPr>
        <w:t>Chicago, IL  60606</w:t>
      </w:r>
    </w:p>
    <w:p w:rsidR="00E87D98" w:rsidRDefault="00E87D98" w:rsidP="00E87D98">
      <w:pPr>
        <w:tabs>
          <w:tab w:val="left" w:pos="4680"/>
        </w:tabs>
        <w:rPr>
          <w:rFonts w:cs="Arial"/>
          <w:color w:val="000000"/>
        </w:rPr>
      </w:pPr>
      <w:r>
        <w:rPr>
          <w:rFonts w:cs="Arial"/>
          <w:color w:val="000000"/>
        </w:rPr>
        <w:t>swilliams@nrdc.org</w:t>
      </w:r>
    </w:p>
    <w:p w:rsidR="00E87D98" w:rsidRDefault="00E87D98" w:rsidP="00E87D98">
      <w:pPr>
        <w:tabs>
          <w:tab w:val="left" w:pos="4680"/>
        </w:tabs>
        <w:rPr>
          <w:rFonts w:cs="Arial"/>
          <w:color w:val="000000"/>
        </w:rPr>
      </w:pPr>
    </w:p>
    <w:p w:rsidR="00E87D98" w:rsidRDefault="00E87D98" w:rsidP="00E87D98">
      <w:pPr>
        <w:tabs>
          <w:tab w:val="left" w:pos="4680"/>
        </w:tabs>
        <w:rPr>
          <w:rFonts w:cs="Arial"/>
          <w:b/>
          <w:smallCaps/>
          <w:color w:val="000000"/>
        </w:rPr>
      </w:pPr>
      <w:r w:rsidRPr="00D80714">
        <w:rPr>
          <w:rFonts w:cs="Arial"/>
          <w:b/>
          <w:smallCaps/>
          <w:color w:val="000000"/>
        </w:rPr>
        <w:t>On Behalf of the Natural Resources Defense Council</w:t>
      </w:r>
    </w:p>
    <w:p w:rsidR="00E87D98" w:rsidRPr="007A2619"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Pr>
          <w:rFonts w:cs="Arial"/>
          <w:color w:val="000000"/>
        </w:rPr>
        <w:t>Gregory J. Poulos (0070532)</w:t>
      </w:r>
    </w:p>
    <w:p w:rsidR="00E87D98" w:rsidRPr="009D791F" w:rsidRDefault="00E87D98" w:rsidP="00E87D98">
      <w:pPr>
        <w:tabs>
          <w:tab w:val="left" w:pos="4680"/>
        </w:tabs>
        <w:rPr>
          <w:rFonts w:cs="Arial"/>
          <w:smallCaps/>
          <w:color w:val="000000"/>
        </w:rPr>
      </w:pPr>
      <w:r w:rsidRPr="009D791F">
        <w:rPr>
          <w:rFonts w:cs="Arial"/>
          <w:smallCaps/>
          <w:color w:val="000000"/>
        </w:rPr>
        <w:t>EnerNOC, Inc.</w:t>
      </w:r>
    </w:p>
    <w:p w:rsidR="00E87D98" w:rsidRDefault="00E87D98" w:rsidP="00E87D98">
      <w:pPr>
        <w:tabs>
          <w:tab w:val="left" w:pos="4680"/>
        </w:tabs>
        <w:rPr>
          <w:rFonts w:cs="Arial"/>
          <w:color w:val="000000"/>
        </w:rPr>
      </w:pPr>
      <w:r>
        <w:rPr>
          <w:rFonts w:cs="Arial"/>
          <w:color w:val="000000"/>
        </w:rPr>
        <w:t>471 E. Broad Street, Suite 1520</w:t>
      </w:r>
    </w:p>
    <w:p w:rsidR="00E87D98" w:rsidRDefault="00E87D98" w:rsidP="00E87D98">
      <w:pPr>
        <w:tabs>
          <w:tab w:val="left" w:pos="4680"/>
        </w:tabs>
        <w:rPr>
          <w:rFonts w:cs="Arial"/>
          <w:color w:val="000000"/>
        </w:rPr>
      </w:pPr>
      <w:r>
        <w:rPr>
          <w:rFonts w:cs="Arial"/>
          <w:color w:val="000000"/>
        </w:rPr>
        <w:t>Columbus, Ohio  43215</w:t>
      </w:r>
    </w:p>
    <w:p w:rsidR="00E87D98" w:rsidRDefault="00E87D98" w:rsidP="00E87D98">
      <w:pPr>
        <w:tabs>
          <w:tab w:val="left" w:pos="4680"/>
        </w:tabs>
        <w:rPr>
          <w:rFonts w:cs="Arial"/>
          <w:color w:val="000000"/>
        </w:rPr>
      </w:pPr>
      <w:r>
        <w:rPr>
          <w:rFonts w:cs="Arial"/>
          <w:color w:val="000000"/>
        </w:rPr>
        <w:t>gpoulos@enernoc.com</w:t>
      </w:r>
    </w:p>
    <w:p w:rsidR="00E87D98" w:rsidRDefault="00E87D98" w:rsidP="00E87D98">
      <w:pPr>
        <w:tabs>
          <w:tab w:val="left" w:pos="4680"/>
        </w:tabs>
        <w:rPr>
          <w:rFonts w:cs="Arial"/>
          <w:color w:val="000000"/>
        </w:rPr>
      </w:pPr>
    </w:p>
    <w:p w:rsidR="00E87D98" w:rsidRPr="009D791F" w:rsidRDefault="00E87D98" w:rsidP="00E87D98">
      <w:pPr>
        <w:tabs>
          <w:tab w:val="left" w:pos="4680"/>
        </w:tabs>
        <w:rPr>
          <w:rFonts w:cs="Arial"/>
          <w:b/>
          <w:smallCaps/>
          <w:color w:val="000000"/>
        </w:rPr>
      </w:pPr>
      <w:r w:rsidRPr="009D791F">
        <w:rPr>
          <w:rFonts w:cs="Arial"/>
          <w:b/>
          <w:smallCaps/>
          <w:color w:val="000000"/>
        </w:rPr>
        <w:t>On Behalf of EnerNOC, Inc.</w:t>
      </w:r>
    </w:p>
    <w:p w:rsidR="00E87D98" w:rsidRDefault="00E87D98" w:rsidP="00E87D98">
      <w:pPr>
        <w:tabs>
          <w:tab w:val="left" w:pos="4680"/>
        </w:tabs>
        <w:rPr>
          <w:rFonts w:cs="Arial"/>
          <w:color w:val="000000"/>
        </w:rPr>
      </w:pPr>
    </w:p>
    <w:p w:rsidR="00E87D98" w:rsidRDefault="005E5338" w:rsidP="00E87D98">
      <w:pPr>
        <w:tabs>
          <w:tab w:val="left" w:pos="4680"/>
        </w:tabs>
        <w:rPr>
          <w:rFonts w:cs="Arial"/>
          <w:color w:val="000000"/>
        </w:rPr>
      </w:pPr>
      <w:r>
        <w:rPr>
          <w:rFonts w:cs="Arial"/>
          <w:color w:val="000000"/>
        </w:rPr>
        <w:br w:type="column"/>
      </w:r>
      <w:r w:rsidR="00E87D98">
        <w:rPr>
          <w:rFonts w:cs="Arial"/>
          <w:color w:val="000000"/>
        </w:rPr>
        <w:lastRenderedPageBreak/>
        <w:t>J. Thomas Siwo (0088069)</w:t>
      </w:r>
    </w:p>
    <w:p w:rsidR="00E87D98" w:rsidRPr="00D84298" w:rsidRDefault="00E87D98" w:rsidP="00E87D98">
      <w:pPr>
        <w:tabs>
          <w:tab w:val="left" w:pos="4680"/>
        </w:tabs>
        <w:rPr>
          <w:rFonts w:cs="Arial"/>
          <w:smallCaps/>
          <w:color w:val="000000"/>
        </w:rPr>
      </w:pPr>
      <w:r w:rsidRPr="00D84298">
        <w:rPr>
          <w:rFonts w:cs="Arial"/>
          <w:smallCaps/>
          <w:color w:val="000000"/>
        </w:rPr>
        <w:t>Bricker &amp; Eckler LLP</w:t>
      </w:r>
    </w:p>
    <w:p w:rsidR="00E87D98" w:rsidRDefault="00E87D98" w:rsidP="00E87D98">
      <w:pPr>
        <w:tabs>
          <w:tab w:val="left" w:pos="4680"/>
        </w:tabs>
        <w:rPr>
          <w:rFonts w:cs="Arial"/>
          <w:color w:val="000000"/>
        </w:rPr>
      </w:pPr>
      <w:r>
        <w:rPr>
          <w:rFonts w:cs="Arial"/>
          <w:color w:val="000000"/>
        </w:rPr>
        <w:t>100 South Third Street</w:t>
      </w:r>
    </w:p>
    <w:p w:rsidR="00E87D98" w:rsidRDefault="00E87D98" w:rsidP="00E87D98">
      <w:pPr>
        <w:tabs>
          <w:tab w:val="left" w:pos="4680"/>
        </w:tabs>
        <w:rPr>
          <w:rFonts w:cs="Arial"/>
          <w:color w:val="000000"/>
        </w:rPr>
      </w:pPr>
      <w:r>
        <w:rPr>
          <w:rFonts w:cs="Arial"/>
          <w:color w:val="000000"/>
        </w:rPr>
        <w:t>Columbus, Ohio  43215-4291</w:t>
      </w:r>
    </w:p>
    <w:p w:rsidR="00E87D98" w:rsidRDefault="00E87D98" w:rsidP="00E87D98">
      <w:pPr>
        <w:tabs>
          <w:tab w:val="left" w:pos="4680"/>
        </w:tabs>
        <w:rPr>
          <w:rFonts w:cs="Arial"/>
          <w:color w:val="000000"/>
        </w:rPr>
      </w:pPr>
      <w:r>
        <w:rPr>
          <w:rFonts w:cs="Arial"/>
          <w:color w:val="000000"/>
        </w:rPr>
        <w:t>tsiwo@bricker.com</w:t>
      </w:r>
    </w:p>
    <w:p w:rsidR="00E87D98" w:rsidRDefault="00E87D98" w:rsidP="00E87D98">
      <w:pPr>
        <w:tabs>
          <w:tab w:val="left" w:pos="4680"/>
        </w:tabs>
        <w:rPr>
          <w:rFonts w:cs="Arial"/>
          <w:color w:val="000000"/>
        </w:rPr>
      </w:pPr>
    </w:p>
    <w:p w:rsidR="00E87D98" w:rsidRPr="00D84298" w:rsidRDefault="00E87D98" w:rsidP="00E87D98">
      <w:pPr>
        <w:tabs>
          <w:tab w:val="left" w:pos="4680"/>
        </w:tabs>
        <w:rPr>
          <w:rFonts w:cs="Arial"/>
          <w:b/>
          <w:smallCaps/>
          <w:color w:val="000000"/>
        </w:rPr>
      </w:pPr>
      <w:r w:rsidRPr="00D84298">
        <w:rPr>
          <w:rFonts w:cs="Arial"/>
          <w:b/>
          <w:smallCaps/>
          <w:color w:val="000000"/>
        </w:rPr>
        <w:t>On Behalf of Paulding Wind Farm II LLC</w:t>
      </w:r>
    </w:p>
    <w:p w:rsidR="00E87D98" w:rsidRDefault="00E87D98" w:rsidP="00E87D98">
      <w:pPr>
        <w:tabs>
          <w:tab w:val="left" w:pos="4680"/>
        </w:tabs>
        <w:rPr>
          <w:rFonts w:cs="Arial"/>
          <w:color w:val="000000"/>
        </w:rPr>
      </w:pPr>
    </w:p>
    <w:p w:rsidR="00E87D98" w:rsidRDefault="00E87D98" w:rsidP="00E87D98">
      <w:pPr>
        <w:tabs>
          <w:tab w:val="left" w:pos="4680"/>
        </w:tabs>
        <w:rPr>
          <w:rFonts w:cs="Arial"/>
          <w:color w:val="000000"/>
        </w:rPr>
      </w:pPr>
      <w:r w:rsidRPr="00FA3E04">
        <w:rPr>
          <w:rFonts w:cs="Arial"/>
          <w:color w:val="000000"/>
        </w:rPr>
        <w:t>Sarah Parrot</w:t>
      </w:r>
      <w:r>
        <w:rPr>
          <w:rFonts w:cs="Arial"/>
          <w:color w:val="000000"/>
        </w:rPr>
        <w:t xml:space="preserve"> (0082197)</w:t>
      </w:r>
    </w:p>
    <w:p w:rsidR="00E87D98" w:rsidRPr="00FA3E04" w:rsidRDefault="00E87D98" w:rsidP="00E87D98">
      <w:pPr>
        <w:tabs>
          <w:tab w:val="left" w:pos="4680"/>
        </w:tabs>
        <w:rPr>
          <w:rFonts w:cs="Arial"/>
          <w:color w:val="000000"/>
        </w:rPr>
      </w:pPr>
      <w:r>
        <w:rPr>
          <w:rFonts w:cs="Arial"/>
          <w:color w:val="000000"/>
        </w:rPr>
        <w:t xml:space="preserve">Greta See </w:t>
      </w:r>
    </w:p>
    <w:p w:rsidR="00E87D98" w:rsidRPr="00FA3E04" w:rsidRDefault="00E87D98" w:rsidP="00E87D98">
      <w:pPr>
        <w:tabs>
          <w:tab w:val="left" w:pos="4680"/>
        </w:tabs>
        <w:rPr>
          <w:rFonts w:cs="Arial"/>
          <w:color w:val="000000"/>
        </w:rPr>
      </w:pPr>
      <w:r w:rsidRPr="00FA3E04">
        <w:rPr>
          <w:rFonts w:cs="Arial"/>
          <w:color w:val="000000"/>
        </w:rPr>
        <w:t>Attorney Examiner</w:t>
      </w:r>
    </w:p>
    <w:p w:rsidR="00E87D98" w:rsidRPr="00FA3E04" w:rsidRDefault="00E87D98" w:rsidP="00E87D98">
      <w:pPr>
        <w:tabs>
          <w:tab w:val="left" w:pos="4680"/>
        </w:tabs>
        <w:rPr>
          <w:rFonts w:cs="Arial"/>
          <w:color w:val="000000"/>
        </w:rPr>
      </w:pPr>
      <w:r w:rsidRPr="00FA3E04">
        <w:rPr>
          <w:rFonts w:cs="Arial"/>
          <w:color w:val="000000"/>
        </w:rPr>
        <w:t>Public Utilities Commission of Ohio</w:t>
      </w:r>
    </w:p>
    <w:p w:rsidR="00E87D98" w:rsidRPr="00FA3E04" w:rsidRDefault="00E87D98" w:rsidP="00E87D98">
      <w:pPr>
        <w:tabs>
          <w:tab w:val="left" w:pos="4680"/>
        </w:tabs>
        <w:rPr>
          <w:rFonts w:cs="Arial"/>
          <w:color w:val="000000"/>
        </w:rPr>
      </w:pPr>
      <w:r w:rsidRPr="00FA3E04">
        <w:rPr>
          <w:rFonts w:cs="Arial"/>
          <w:color w:val="000000"/>
        </w:rPr>
        <w:t>180 East Broad Street, 12</w:t>
      </w:r>
      <w:r w:rsidRPr="00FA3E04">
        <w:rPr>
          <w:rFonts w:cs="Arial"/>
          <w:color w:val="000000"/>
          <w:vertAlign w:val="superscript"/>
        </w:rPr>
        <w:t>th</w:t>
      </w:r>
      <w:r w:rsidRPr="00FA3E04">
        <w:rPr>
          <w:rFonts w:cs="Arial"/>
          <w:color w:val="000000"/>
        </w:rPr>
        <w:t xml:space="preserve"> Floor</w:t>
      </w:r>
    </w:p>
    <w:p w:rsidR="00E87D98" w:rsidRDefault="00E87D98" w:rsidP="00E87D98">
      <w:pPr>
        <w:tabs>
          <w:tab w:val="left" w:pos="4680"/>
        </w:tabs>
        <w:rPr>
          <w:rFonts w:cs="Arial"/>
          <w:color w:val="000000"/>
        </w:rPr>
      </w:pPr>
      <w:r w:rsidRPr="00FA3E04">
        <w:rPr>
          <w:rFonts w:cs="Arial"/>
          <w:color w:val="000000"/>
        </w:rPr>
        <w:t>Columbus, OH  43215</w:t>
      </w:r>
    </w:p>
    <w:p w:rsidR="00E87D98" w:rsidRDefault="00E87D98" w:rsidP="00E87D98">
      <w:pPr>
        <w:tabs>
          <w:tab w:val="left" w:pos="4680"/>
        </w:tabs>
        <w:rPr>
          <w:rFonts w:cs="Arial"/>
          <w:color w:val="000000"/>
        </w:rPr>
      </w:pPr>
      <w:r w:rsidRPr="00FA3E04">
        <w:rPr>
          <w:rFonts w:cs="Arial"/>
          <w:color w:val="000000"/>
        </w:rPr>
        <w:t>sarah.parrot@puc.state.oh.us</w:t>
      </w:r>
    </w:p>
    <w:p w:rsidR="00E87D98" w:rsidRPr="00FA3E04" w:rsidRDefault="00E87D98" w:rsidP="00E87D98">
      <w:pPr>
        <w:tabs>
          <w:tab w:val="left" w:pos="4680"/>
        </w:tabs>
        <w:rPr>
          <w:rFonts w:cs="Arial"/>
          <w:color w:val="000000"/>
        </w:rPr>
      </w:pPr>
      <w:r>
        <w:rPr>
          <w:rFonts w:cs="Arial"/>
          <w:color w:val="000000"/>
        </w:rPr>
        <w:t>Greta.See@puc.state.oh.us</w:t>
      </w:r>
    </w:p>
    <w:p w:rsidR="00E87D98" w:rsidRPr="00FA3E04" w:rsidRDefault="00E87D98" w:rsidP="00E87D98">
      <w:pPr>
        <w:tabs>
          <w:tab w:val="left" w:pos="4680"/>
        </w:tabs>
        <w:rPr>
          <w:rFonts w:cs="Arial"/>
          <w:color w:val="000000"/>
        </w:rPr>
      </w:pPr>
    </w:p>
    <w:p w:rsidR="00E87D98" w:rsidRPr="00FA3E04" w:rsidRDefault="00E87D98" w:rsidP="00E87D98">
      <w:pPr>
        <w:tabs>
          <w:tab w:val="left" w:pos="2160"/>
          <w:tab w:val="left" w:pos="2280"/>
        </w:tabs>
        <w:rPr>
          <w:rFonts w:ascii="Arial Bold" w:hAnsi="Arial Bold" w:cs="Arial"/>
          <w:b/>
          <w:smallCaps/>
        </w:rPr>
      </w:pPr>
      <w:r>
        <w:rPr>
          <w:rFonts w:cs="Arial"/>
          <w:b/>
          <w:smallCaps/>
          <w:color w:val="000000"/>
        </w:rPr>
        <w:t>Attorney Examiner</w:t>
      </w:r>
    </w:p>
    <w:sectPr w:rsidR="00E87D98" w:rsidRPr="00FA3E04" w:rsidSect="00E87D98">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9C" w:rsidRDefault="00A2719C" w:rsidP="00FA383D">
      <w:r>
        <w:separator/>
      </w:r>
    </w:p>
  </w:endnote>
  <w:endnote w:type="continuationSeparator" w:id="0">
    <w:p w:rsidR="00A2719C" w:rsidRDefault="00A2719C" w:rsidP="00FA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DD43C4" w:rsidRDefault="00672355" w:rsidP="00FA1AF4">
    <w:pPr>
      <w:pStyle w:val="Footer"/>
    </w:pPr>
    <w:r w:rsidRPr="00672355">
      <w:rPr>
        <w:noProof/>
        <w:sz w:val="16"/>
      </w:rPr>
      <w:t>{C47628:5 }</w:t>
    </w:r>
    <w:sdt>
      <w:sdtPr>
        <w:id w:val="1231804515"/>
        <w:docPartObj>
          <w:docPartGallery w:val="Page Numbers (Bottom of Page)"/>
          <w:docPartUnique/>
        </w:docPartObj>
      </w:sdtPr>
      <w:sdtEndPr>
        <w:rPr>
          <w:noProof/>
        </w:rPr>
      </w:sdtEndPr>
      <w:sdtContent>
        <w:r w:rsidR="00A2719C">
          <w:tab/>
        </w:r>
        <w:r w:rsidR="00A2719C">
          <w:fldChar w:fldCharType="begin"/>
        </w:r>
        <w:r w:rsidR="00A2719C">
          <w:instrText xml:space="preserve"> PAGE  \* roman  \* MERGEFORMAT </w:instrText>
        </w:r>
        <w:r w:rsidR="00A2719C">
          <w:fldChar w:fldCharType="separate"/>
        </w:r>
        <w:r w:rsidR="00A2719C">
          <w:rPr>
            <w:noProof/>
          </w:rPr>
          <w:t>i</w:t>
        </w:r>
        <w:r w:rsidR="00A2719C">
          <w:fldChar w:fldCharType="end"/>
        </w:r>
      </w:sdtContent>
    </w:sdt>
  </w:p>
  <w:p w:rsidR="00A2719C" w:rsidRPr="00DD43C4" w:rsidRDefault="00A2719C" w:rsidP="00FA1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4A225A" w:rsidRDefault="00672355" w:rsidP="00FA1AF4">
    <w:pPr>
      <w:pStyle w:val="Footer"/>
    </w:pPr>
    <w:r w:rsidRPr="00672355">
      <w:rPr>
        <w:noProof/>
        <w:sz w:val="16"/>
      </w:rPr>
      <w:t>{C47628:5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3D2771" w:rsidRDefault="00672355" w:rsidP="00FA1AF4">
    <w:pPr>
      <w:pStyle w:val="Footer"/>
    </w:pPr>
    <w:r w:rsidRPr="00672355">
      <w:rPr>
        <w:noProof/>
        <w:sz w:val="16"/>
      </w:rPr>
      <w:t>{C47628:5 }</w:t>
    </w:r>
    <w:sdt>
      <w:sdtPr>
        <w:id w:val="-1296598281"/>
        <w:docPartObj>
          <w:docPartGallery w:val="Page Numbers (Bottom of Page)"/>
          <w:docPartUnique/>
        </w:docPartObj>
      </w:sdtPr>
      <w:sdtEndPr>
        <w:rPr>
          <w:noProof/>
        </w:rPr>
      </w:sdtEndPr>
      <w:sdtContent>
        <w:r w:rsidR="00A2719C">
          <w:tab/>
        </w:r>
        <w:r w:rsidR="00A2719C" w:rsidRPr="003D2771">
          <w:fldChar w:fldCharType="begin"/>
        </w:r>
        <w:r w:rsidR="00A2719C" w:rsidRPr="003D2771">
          <w:instrText xml:space="preserve"> PAGE   \* MERGEFORMAT </w:instrText>
        </w:r>
        <w:r w:rsidR="00A2719C" w:rsidRPr="003D2771">
          <w:fldChar w:fldCharType="separate"/>
        </w:r>
        <w:r>
          <w:rPr>
            <w:noProof/>
          </w:rPr>
          <w:t>2</w:t>
        </w:r>
        <w:r w:rsidR="00A2719C" w:rsidRPr="003D2771">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D87AA7" w:rsidRDefault="00672355" w:rsidP="00FA1AF4">
    <w:pPr>
      <w:pStyle w:val="Footer"/>
    </w:pPr>
    <w:r w:rsidRPr="00672355">
      <w:rPr>
        <w:noProof/>
        <w:sz w:val="16"/>
      </w:rPr>
      <w:t>{C47628:5 }</w:t>
    </w:r>
    <w:sdt>
      <w:sdtPr>
        <w:id w:val="-1308389826"/>
        <w:docPartObj>
          <w:docPartGallery w:val="Page Numbers (Bottom of Page)"/>
          <w:docPartUnique/>
        </w:docPartObj>
      </w:sdtPr>
      <w:sdtEndPr>
        <w:rPr>
          <w:noProof/>
        </w:rPr>
      </w:sdtEndPr>
      <w:sdtContent>
        <w:r w:rsidR="00A2719C">
          <w:tab/>
        </w:r>
        <w:r w:rsidR="00A2719C" w:rsidRPr="00D87AA7">
          <w:fldChar w:fldCharType="begin"/>
        </w:r>
        <w:r w:rsidR="00A2719C" w:rsidRPr="00D87AA7">
          <w:instrText xml:space="preserve"> PAGE    \* MERGEFORMAT </w:instrText>
        </w:r>
        <w:r w:rsidR="00A2719C" w:rsidRPr="00D87AA7">
          <w:fldChar w:fldCharType="separate"/>
        </w:r>
        <w:r>
          <w:rPr>
            <w:noProof/>
          </w:rPr>
          <w:t>i</w:t>
        </w:r>
        <w:r w:rsidR="00A2719C" w:rsidRPr="00D87AA7">
          <w:fldChar w:fldCharType="end"/>
        </w:r>
      </w:sdtContent>
    </w:sdt>
  </w:p>
  <w:p w:rsidR="00A2719C" w:rsidRPr="00D87AA7" w:rsidRDefault="00A2719C">
    <w:pPr>
      <w:pStyle w:val="Footer"/>
      <w:rPr>
        <w:rFonts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3D2771" w:rsidRDefault="00672355" w:rsidP="00FA1AF4">
    <w:pPr>
      <w:pStyle w:val="Footer"/>
    </w:pPr>
    <w:r w:rsidRPr="00672355">
      <w:rPr>
        <w:noProof/>
        <w:sz w:val="16"/>
      </w:rPr>
      <w:t>{C47628:5 }</w:t>
    </w:r>
    <w:r w:rsidR="00A2719C">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6F2FDB" w:rsidRDefault="00672355">
    <w:pPr>
      <w:pStyle w:val="Footer"/>
    </w:pPr>
    <w:r w:rsidRPr="00672355">
      <w:rPr>
        <w:noProof/>
        <w:sz w:val="16"/>
      </w:rPr>
      <w:t>{C47628:5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Pr="003D2771" w:rsidRDefault="00672355">
    <w:pPr>
      <w:pStyle w:val="Footer"/>
    </w:pPr>
    <w:r w:rsidRPr="00672355">
      <w:rPr>
        <w:noProof/>
        <w:sz w:val="16"/>
      </w:rPr>
      <w:t>{C47628:5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9C" w:rsidRDefault="00A2719C" w:rsidP="00FA383D">
      <w:pPr>
        <w:rPr>
          <w:noProof/>
        </w:rPr>
      </w:pPr>
      <w:r>
        <w:rPr>
          <w:noProof/>
        </w:rPr>
        <w:separator/>
      </w:r>
    </w:p>
  </w:footnote>
  <w:footnote w:type="continuationSeparator" w:id="0">
    <w:p w:rsidR="00A2719C" w:rsidRDefault="00A2719C" w:rsidP="00FA383D">
      <w:r>
        <w:continuationSeparator/>
      </w:r>
    </w:p>
  </w:footnote>
  <w:footnote w:id="1">
    <w:p w:rsidR="00A2719C" w:rsidRPr="00CB4ABE" w:rsidRDefault="00A2719C" w:rsidP="00063D97">
      <w:pPr>
        <w:pStyle w:val="FootnoteText"/>
        <w:jc w:val="both"/>
        <w:rPr>
          <w:rFonts w:cs="Arial"/>
        </w:rPr>
      </w:pPr>
      <w:r w:rsidRPr="00CB4ABE">
        <w:rPr>
          <w:rStyle w:val="FootnoteReference"/>
        </w:rPr>
        <w:footnoteRef/>
      </w:r>
      <w:r w:rsidRPr="00CB4ABE">
        <w:rPr>
          <w:rFonts w:cs="Arial"/>
        </w:rPr>
        <w:t xml:space="preserve"> AEP-Ohio Ex. 1 at 2.  AEP-Ohio also </w:t>
      </w:r>
      <w:r>
        <w:rPr>
          <w:rFonts w:cs="Arial"/>
        </w:rPr>
        <w:t>sought</w:t>
      </w:r>
      <w:r w:rsidRPr="00CB4ABE">
        <w:rPr>
          <w:rFonts w:cs="Arial"/>
        </w:rPr>
        <w:t xml:space="preserve"> authority to terminate the ESP one year early unilaterally. </w:t>
      </w:r>
      <w:r w:rsidRPr="00CB4ABE">
        <w:rPr>
          <w:rFonts w:cs="Arial"/>
          <w:i/>
        </w:rPr>
        <w:t xml:space="preserve"> Id.</w:t>
      </w:r>
      <w:r w:rsidRPr="00CB4ABE">
        <w:rPr>
          <w:rFonts w:cs="Arial"/>
        </w:rPr>
        <w:t xml:space="preserve"> at 15.</w:t>
      </w:r>
      <w:r>
        <w:rPr>
          <w:rFonts w:cs="Arial"/>
        </w:rPr>
        <w:t xml:space="preserve">  The Commission denied authorization of an early termination provision.  Opinion and Order at 86 (Feb. 25, 2015) (“ESP III Order”).</w:t>
      </w:r>
    </w:p>
  </w:footnote>
  <w:footnote w:id="2">
    <w:p w:rsidR="00A2719C" w:rsidRPr="00CB4ABE" w:rsidRDefault="00A2719C" w:rsidP="00063D97">
      <w:pPr>
        <w:pStyle w:val="FootnoteText"/>
        <w:jc w:val="both"/>
        <w:rPr>
          <w:rFonts w:cs="Arial"/>
        </w:rPr>
      </w:pPr>
      <w:r w:rsidRPr="00CB4ABE">
        <w:rPr>
          <w:rStyle w:val="FootnoteReference"/>
        </w:rPr>
        <w:footnoteRef/>
      </w:r>
      <w:r w:rsidRPr="00CB4ABE">
        <w:rPr>
          <w:rFonts w:cs="Arial"/>
          <w:i/>
        </w:rPr>
        <w:t xml:space="preserve"> </w:t>
      </w:r>
      <w:r>
        <w:rPr>
          <w:rFonts w:cs="Arial"/>
        </w:rPr>
        <w:t>AEP-Ohio Ex. 1</w:t>
      </w:r>
      <w:r w:rsidRPr="00CB4ABE">
        <w:rPr>
          <w:rFonts w:cs="Arial"/>
        </w:rPr>
        <w:t xml:space="preserve"> at 8-9.</w:t>
      </w:r>
    </w:p>
  </w:footnote>
  <w:footnote w:id="3">
    <w:p w:rsidR="00A2719C" w:rsidRDefault="00A2719C" w:rsidP="00063D97">
      <w:pPr>
        <w:pStyle w:val="FootnoteText"/>
        <w:jc w:val="both"/>
      </w:pPr>
      <w:r>
        <w:rPr>
          <w:rStyle w:val="FootnoteReference"/>
        </w:rPr>
        <w:footnoteRef/>
      </w:r>
      <w:r>
        <w:t xml:space="preserve"> ESP III Order at 23-24.</w:t>
      </w:r>
    </w:p>
  </w:footnote>
  <w:footnote w:id="4">
    <w:p w:rsidR="00A2719C" w:rsidRPr="00CB4ABE" w:rsidRDefault="00A2719C" w:rsidP="00063D97">
      <w:pPr>
        <w:pStyle w:val="FootnoteText"/>
        <w:jc w:val="both"/>
        <w:rPr>
          <w:rFonts w:cs="Arial"/>
        </w:rPr>
      </w:pPr>
      <w:r w:rsidRPr="00CB4ABE">
        <w:rPr>
          <w:rStyle w:val="FootnoteReference"/>
        </w:rPr>
        <w:footnoteRef/>
      </w:r>
      <w:r w:rsidRPr="00CB4ABE">
        <w:rPr>
          <w:rFonts w:cs="Arial"/>
        </w:rPr>
        <w:t xml:space="preserve"> </w:t>
      </w:r>
      <w:r w:rsidRPr="00A80453">
        <w:rPr>
          <w:rFonts w:cs="Arial"/>
          <w:i/>
        </w:rPr>
        <w:t>Id</w:t>
      </w:r>
      <w:r>
        <w:rPr>
          <w:rFonts w:cs="Arial"/>
        </w:rPr>
        <w:t>.</w:t>
      </w:r>
      <w:r w:rsidRPr="00CB4ABE">
        <w:rPr>
          <w:rFonts w:cs="Arial"/>
        </w:rPr>
        <w:t xml:space="preserve"> at 24-25.  All other parties opposed AEP-Ohio’s proposed PPA Rider.  One party, Ohio Energy Group</w:t>
      </w:r>
      <w:r>
        <w:rPr>
          <w:rFonts w:cs="Arial"/>
        </w:rPr>
        <w:t xml:space="preserve"> (“OEG”)</w:t>
      </w:r>
      <w:r w:rsidRPr="00CB4ABE">
        <w:rPr>
          <w:rFonts w:cs="Arial"/>
        </w:rPr>
        <w:t>, recommended a substantially modified version.  OEG Ex. 1.</w:t>
      </w:r>
    </w:p>
  </w:footnote>
  <w:footnote w:id="5">
    <w:p w:rsidR="00A2719C" w:rsidRPr="00CB4ABE" w:rsidRDefault="00A2719C" w:rsidP="00063D97">
      <w:pPr>
        <w:pStyle w:val="FootnoteText"/>
        <w:jc w:val="both"/>
        <w:rPr>
          <w:rFonts w:cs="Arial"/>
        </w:rPr>
      </w:pPr>
      <w:r w:rsidRPr="00CB4ABE">
        <w:rPr>
          <w:rStyle w:val="FootnoteReference"/>
        </w:rPr>
        <w:footnoteRef/>
      </w:r>
      <w:r w:rsidRPr="00CB4ABE">
        <w:rPr>
          <w:rFonts w:cs="Arial"/>
        </w:rPr>
        <w:t xml:space="preserve"> ESP III Order at 25.</w:t>
      </w:r>
      <w:r>
        <w:rPr>
          <w:rFonts w:cs="Arial"/>
        </w:rPr>
        <w:t xml:space="preserve">  </w:t>
      </w:r>
      <w:r w:rsidRPr="00FA1AF4">
        <w:rPr>
          <w:rFonts w:cs="Arial"/>
        </w:rPr>
        <w:t xml:space="preserve">On May 15, 2015, AEP-Ohio filed an </w:t>
      </w:r>
      <w:r>
        <w:rPr>
          <w:rFonts w:cs="Arial"/>
        </w:rPr>
        <w:t>A</w:t>
      </w:r>
      <w:r w:rsidRPr="00FA1AF4">
        <w:rPr>
          <w:rFonts w:cs="Arial"/>
        </w:rPr>
        <w:t xml:space="preserve">mended </w:t>
      </w:r>
      <w:r>
        <w:rPr>
          <w:rFonts w:cs="Arial"/>
        </w:rPr>
        <w:t>A</w:t>
      </w:r>
      <w:r w:rsidRPr="00FA1AF4">
        <w:rPr>
          <w:rFonts w:cs="Arial"/>
        </w:rPr>
        <w:t>pplication seeking the recovery of the above-market generation-related costs of OVEC and several generation plants owned by its unregulated competitive affiliate</w:t>
      </w:r>
      <w:r>
        <w:rPr>
          <w:rFonts w:cs="Arial"/>
        </w:rPr>
        <w:t xml:space="preserve">. </w:t>
      </w:r>
      <w:r w:rsidRPr="00FA1AF4">
        <w:t xml:space="preserve"> </w:t>
      </w:r>
      <w:r w:rsidRPr="00A80453">
        <w:rPr>
          <w:i/>
        </w:rPr>
        <w:t>In the Matter of the Application Seeking Approval of Ohio Power Company’s Proposal to Enter into an Affiliate Power Purchase Agreement for Inclusion in the Power Purchase Agreement Rider</w:t>
      </w:r>
      <w:r w:rsidRPr="00FA1AF4">
        <w:t xml:space="preserve">, Case Nos. 14-1693-EL-RDR, </w:t>
      </w:r>
      <w:r w:rsidRPr="00A80453">
        <w:rPr>
          <w:i/>
        </w:rPr>
        <w:t>et al</w:t>
      </w:r>
      <w:r w:rsidRPr="00FA1AF4">
        <w:t xml:space="preserve">., </w:t>
      </w:r>
      <w:r>
        <w:t>Amended Application (May 15, 2015</w:t>
      </w:r>
      <w:r w:rsidRPr="00FA1AF4">
        <w:t>)</w:t>
      </w:r>
      <w:r>
        <w:t xml:space="preserve"> (“</w:t>
      </w:r>
      <w:r w:rsidRPr="00A80453">
        <w:rPr>
          <w:i/>
        </w:rPr>
        <w:t>PPA Rider Expansion Case</w:t>
      </w:r>
      <w:r>
        <w:t>”)</w:t>
      </w:r>
      <w:r w:rsidRPr="00FA1AF4">
        <w:t>.</w:t>
      </w:r>
    </w:p>
  </w:footnote>
  <w:footnote w:id="6">
    <w:p w:rsidR="00A2719C" w:rsidRDefault="00A2719C" w:rsidP="00063D97">
      <w:pPr>
        <w:pStyle w:val="FootnoteText"/>
        <w:jc w:val="both"/>
      </w:pPr>
      <w:r>
        <w:rPr>
          <w:rStyle w:val="FootnoteReference"/>
        </w:rPr>
        <w:footnoteRef/>
      </w:r>
      <w:r>
        <w:t xml:space="preserve"> </w:t>
      </w:r>
      <w:r w:rsidRPr="00813543">
        <w:rPr>
          <w:i/>
        </w:rPr>
        <w:t>See, e.g.,</w:t>
      </w:r>
      <w:r>
        <w:t xml:space="preserve"> Application for Rehearing of Industrial Energy Users-Ohio at 1-2 (Mar. 27, 2015) (“IEU-Ohio Application for Rehearing”).</w:t>
      </w:r>
    </w:p>
  </w:footnote>
  <w:footnote w:id="7">
    <w:p w:rsidR="00A2719C" w:rsidRDefault="00A2719C" w:rsidP="00063D97">
      <w:pPr>
        <w:pStyle w:val="FootnoteText"/>
        <w:jc w:val="both"/>
      </w:pPr>
      <w:r>
        <w:rPr>
          <w:rStyle w:val="FootnoteReference"/>
        </w:rPr>
        <w:footnoteRef/>
      </w:r>
      <w:r>
        <w:t xml:space="preserve"> Application for Rehearing of Ohio Power Company at 1 (Mar. 27, 2015) (“AEP-Ohio Application for Rehearing”).</w:t>
      </w:r>
    </w:p>
  </w:footnote>
  <w:footnote w:id="8">
    <w:p w:rsidR="00A2719C" w:rsidRDefault="00A2719C" w:rsidP="00063D97">
      <w:pPr>
        <w:pStyle w:val="FootnoteText"/>
        <w:jc w:val="both"/>
      </w:pPr>
      <w:r>
        <w:rPr>
          <w:rStyle w:val="FootnoteReference"/>
        </w:rPr>
        <w:footnoteRef/>
      </w:r>
      <w:r>
        <w:t xml:space="preserve"> </w:t>
      </w:r>
      <w:r w:rsidRPr="00813543">
        <w:rPr>
          <w:i/>
        </w:rPr>
        <w:t>See, e.g.,</w:t>
      </w:r>
      <w:r>
        <w:t xml:space="preserve"> Memorandum of Industrial Energy Users-Ohio in Opposition to the Applications for Rehearing of the Ohio Power Company, Ohio Manufacturers’ Association Energy Group, and Environmental Advocates at 2-10 (Apr. 6, 2015) (“IEU-Ohio Memorandum Contra”).</w:t>
      </w:r>
    </w:p>
  </w:footnote>
  <w:footnote w:id="9">
    <w:p w:rsidR="00A2719C" w:rsidRDefault="00A2719C" w:rsidP="00B348BF">
      <w:pPr>
        <w:pStyle w:val="FootnoteText"/>
        <w:jc w:val="both"/>
      </w:pPr>
      <w:r>
        <w:rPr>
          <w:rStyle w:val="FootnoteReference"/>
        </w:rPr>
        <w:footnoteRef/>
      </w:r>
      <w:r>
        <w:t xml:space="preserve"> Entry on Rehearing at 2 (Apr. 22, 2015).</w:t>
      </w:r>
    </w:p>
  </w:footnote>
  <w:footnote w:id="10">
    <w:p w:rsidR="00A2719C" w:rsidRDefault="00A2719C" w:rsidP="00063D97">
      <w:pPr>
        <w:pStyle w:val="FootnoteText"/>
        <w:jc w:val="both"/>
      </w:pPr>
      <w:r>
        <w:rPr>
          <w:rStyle w:val="FootnoteReference"/>
        </w:rPr>
        <w:footnoteRef/>
      </w:r>
      <w:r>
        <w:t xml:space="preserve"> Second Entry on Rehearing at 5-6 (May 28, 2015).</w:t>
      </w:r>
    </w:p>
  </w:footnote>
  <w:footnote w:id="11">
    <w:p w:rsidR="00A2719C" w:rsidRDefault="00A2719C" w:rsidP="00063D97">
      <w:pPr>
        <w:pStyle w:val="FootnoteText"/>
        <w:jc w:val="both"/>
      </w:pPr>
      <w:r>
        <w:rPr>
          <w:rStyle w:val="FootnoteReference"/>
        </w:rPr>
        <w:footnoteRef/>
      </w:r>
      <w:r>
        <w:t xml:space="preserve"> </w:t>
      </w:r>
      <w:r w:rsidRPr="00280DAD">
        <w:rPr>
          <w:i/>
        </w:rPr>
        <w:t>Id</w:t>
      </w:r>
      <w:r>
        <w:t>. at 6.</w:t>
      </w:r>
    </w:p>
  </w:footnote>
  <w:footnote w:id="12">
    <w:p w:rsidR="00A2719C" w:rsidRDefault="00A2719C" w:rsidP="00063D97">
      <w:pPr>
        <w:pStyle w:val="FootnoteText"/>
        <w:jc w:val="both"/>
      </w:pPr>
      <w:r>
        <w:rPr>
          <w:rStyle w:val="FootnoteReference"/>
        </w:rPr>
        <w:footnoteRef/>
      </w:r>
      <w:r>
        <w:t xml:space="preserve"> </w:t>
      </w:r>
      <w:r w:rsidRPr="00ED4A2F">
        <w:t xml:space="preserve">Application for Rehearing of Ohio Power Company at </w:t>
      </w:r>
      <w:r>
        <w:t>4</w:t>
      </w:r>
      <w:r w:rsidRPr="00ED4A2F">
        <w:t xml:space="preserve"> (June 29, 2015) (“AEP-Ohio Second Application for Rehearing”)</w:t>
      </w:r>
      <w:r>
        <w:rPr>
          <w:i/>
        </w:rPr>
        <w:t>.</w:t>
      </w:r>
    </w:p>
  </w:footnote>
  <w:footnote w:id="13">
    <w:p w:rsidR="00A2719C" w:rsidRDefault="00A2719C" w:rsidP="00063D97">
      <w:pPr>
        <w:pStyle w:val="FootnoteText"/>
        <w:jc w:val="both"/>
      </w:pPr>
      <w:r>
        <w:rPr>
          <w:rStyle w:val="FootnoteReference"/>
        </w:rPr>
        <w:footnoteRef/>
      </w:r>
      <w:r>
        <w:t xml:space="preserve"> </w:t>
      </w:r>
      <w:r w:rsidRPr="00A80453">
        <w:rPr>
          <w:i/>
        </w:rPr>
        <w:t>Id</w:t>
      </w:r>
      <w:r>
        <w:t>. at 10.</w:t>
      </w:r>
    </w:p>
  </w:footnote>
  <w:footnote w:id="14">
    <w:p w:rsidR="00A2719C" w:rsidRDefault="00A2719C" w:rsidP="00285AE3">
      <w:pPr>
        <w:jc w:val="both"/>
        <w:rPr>
          <w:sz w:val="20"/>
          <w:szCs w:val="20"/>
        </w:rPr>
      </w:pPr>
      <w:r>
        <w:rPr>
          <w:rStyle w:val="FootnoteReference"/>
        </w:rPr>
        <w:footnoteRef/>
      </w:r>
      <w:r>
        <w:t xml:space="preserve"> </w:t>
      </w:r>
      <w:r>
        <w:rPr>
          <w:sz w:val="20"/>
          <w:szCs w:val="20"/>
        </w:rPr>
        <w:t xml:space="preserve">To alleviate the uncertainty AEP-Ohio claims it is suffering as a result of its decision to retain its interest in OVEC, AEP-Ohio could be ordered to </w:t>
      </w:r>
      <w:r w:rsidRPr="00285AE3">
        <w:rPr>
          <w:sz w:val="20"/>
          <w:szCs w:val="20"/>
        </w:rPr>
        <w:t xml:space="preserve">comply with the Commission’s </w:t>
      </w:r>
      <w:r>
        <w:rPr>
          <w:sz w:val="20"/>
          <w:szCs w:val="20"/>
        </w:rPr>
        <w:t xml:space="preserve">previous </w:t>
      </w:r>
      <w:r w:rsidRPr="00285AE3">
        <w:rPr>
          <w:sz w:val="20"/>
          <w:szCs w:val="20"/>
        </w:rPr>
        <w:t xml:space="preserve">order to pursue the transfer of the OVEC interest to a third party.  In the order directing AEP-Ohio to divest its generation assets in 2012, the Commission ordered AEP-Ohio to transfer or divest its interest in OVEC.  </w:t>
      </w:r>
      <w:r w:rsidRPr="00A80453">
        <w:rPr>
          <w:i/>
          <w:sz w:val="20"/>
          <w:szCs w:val="20"/>
        </w:rPr>
        <w:t>In the Matter of the Application of Ohio Power Company for Approval of an Amendment to its Corporate Separation Plan</w:t>
      </w:r>
      <w:r w:rsidRPr="00285AE3">
        <w:rPr>
          <w:sz w:val="20"/>
          <w:szCs w:val="20"/>
        </w:rPr>
        <w:t xml:space="preserve">, Case No. 12-1126-EL-UNC, Finding and Order at 5 n.8 &amp; 25 (Oct. 17, 2012).  When AEP-Ohio failed to secure approval from other owners of OVEC, AEP-Ohio sought relief from the Commission.  </w:t>
      </w:r>
      <w:r w:rsidRPr="00A80453">
        <w:rPr>
          <w:i/>
          <w:sz w:val="20"/>
          <w:szCs w:val="20"/>
        </w:rPr>
        <w:t>Id</w:t>
      </w:r>
      <w:r w:rsidRPr="00285AE3">
        <w:rPr>
          <w:sz w:val="20"/>
          <w:szCs w:val="20"/>
        </w:rPr>
        <w:t>., Ohio Power Company’s Application to Amend its Corporate Separation Plan (Oct. 4, 2013).  In Comments, IEU-Ohio urged the Commission to deny the request or condition approval on the Company’s commitment to forgo recovery of OVEC</w:t>
      </w:r>
      <w:r>
        <w:rPr>
          <w:sz w:val="20"/>
          <w:szCs w:val="20"/>
        </w:rPr>
        <w:t>-</w:t>
      </w:r>
      <w:r w:rsidRPr="00285AE3">
        <w:rPr>
          <w:sz w:val="20"/>
          <w:szCs w:val="20"/>
        </w:rPr>
        <w:t xml:space="preserve">related costs from retail customers.  </w:t>
      </w:r>
      <w:r w:rsidRPr="00A80453">
        <w:rPr>
          <w:i/>
          <w:sz w:val="20"/>
          <w:szCs w:val="20"/>
        </w:rPr>
        <w:t>Id</w:t>
      </w:r>
      <w:r w:rsidRPr="00285AE3">
        <w:rPr>
          <w:sz w:val="20"/>
          <w:szCs w:val="20"/>
        </w:rPr>
        <w:t xml:space="preserve">., Industrial Energy Users-Ohio’s Objections to Ohio Power Company’s Application to Amend its Corporate </w:t>
      </w:r>
      <w:r>
        <w:rPr>
          <w:sz w:val="20"/>
          <w:szCs w:val="20"/>
        </w:rPr>
        <w:t>Separation</w:t>
      </w:r>
      <w:r w:rsidRPr="00285AE3">
        <w:rPr>
          <w:sz w:val="20"/>
          <w:szCs w:val="20"/>
        </w:rPr>
        <w:t xml:space="preserve"> Plan (Oct. 29, 2013).  Over IEU-Ohio’s objection, the Commission authorized AEP-Ohio to retain its interest in OVEC with a requirement that AEP-Ohio liquidate the OVEC capacity and energy into the wholesale electric market “until the OVEC contractual entitlements can be transferred to [AEP-Ohio’s affiliated generation company] or otherwise divested.”  </w:t>
      </w:r>
      <w:r w:rsidRPr="00A80453">
        <w:rPr>
          <w:i/>
          <w:sz w:val="20"/>
          <w:szCs w:val="20"/>
        </w:rPr>
        <w:t>Id</w:t>
      </w:r>
      <w:r w:rsidRPr="00285AE3">
        <w:rPr>
          <w:sz w:val="20"/>
          <w:szCs w:val="20"/>
        </w:rPr>
        <w:t xml:space="preserve">., Finding and Order at 9 (Dec. 4, 2013).  </w:t>
      </w:r>
    </w:p>
    <w:p w:rsidR="00A2719C" w:rsidRPr="00285AE3" w:rsidRDefault="00A2719C" w:rsidP="00F90D09">
      <w:pPr>
        <w:ind w:firstLine="720"/>
        <w:jc w:val="both"/>
        <w:rPr>
          <w:sz w:val="20"/>
          <w:szCs w:val="20"/>
        </w:rPr>
      </w:pPr>
      <w:r w:rsidRPr="00285AE3">
        <w:rPr>
          <w:sz w:val="20"/>
          <w:szCs w:val="20"/>
        </w:rPr>
        <w:t>Rather than seek a transferee, AEP-Ohio ignored the various alternatives available under the Inter-Company Power Agreement (“ICPA”) that would permit it to transfer its interest in OVEC to a third party without the approval of the other owners,</w:t>
      </w:r>
      <w:r w:rsidRPr="00285AE3">
        <w:rPr>
          <w:sz w:val="20"/>
          <w:szCs w:val="20"/>
          <w:vertAlign w:val="superscript"/>
        </w:rPr>
        <w:t xml:space="preserve">, </w:t>
      </w:r>
      <w:r>
        <w:rPr>
          <w:sz w:val="20"/>
          <w:szCs w:val="20"/>
        </w:rPr>
        <w:t>IEU-Ohio Ex. 1B at KMM-2 (Amended and Restated Inter-Company Power Agreement, article 9)</w:t>
      </w:r>
      <w:r w:rsidRPr="00285AE3">
        <w:rPr>
          <w:sz w:val="20"/>
          <w:szCs w:val="20"/>
        </w:rPr>
        <w:t xml:space="preserve">, and instead sought authorization of the nonbypassable PPA Rider in the ESP III Application to </w:t>
      </w:r>
      <w:r>
        <w:rPr>
          <w:sz w:val="20"/>
          <w:szCs w:val="20"/>
        </w:rPr>
        <w:t>transfer its price risk associated with OVEC to retail customers</w:t>
      </w:r>
      <w:r w:rsidRPr="00285AE3">
        <w:rPr>
          <w:sz w:val="20"/>
          <w:szCs w:val="20"/>
        </w:rPr>
        <w:t xml:space="preserve">.  </w:t>
      </w:r>
      <w:r>
        <w:rPr>
          <w:sz w:val="20"/>
          <w:szCs w:val="20"/>
        </w:rPr>
        <w:t>AEP-Ohio Ex. 1 at 8-9</w:t>
      </w:r>
      <w:r w:rsidRPr="00285AE3">
        <w:rPr>
          <w:sz w:val="20"/>
          <w:szCs w:val="20"/>
        </w:rPr>
        <w:t xml:space="preserve"> and AEP-Ohio Ex. </w:t>
      </w:r>
      <w:r>
        <w:rPr>
          <w:sz w:val="20"/>
          <w:szCs w:val="20"/>
        </w:rPr>
        <w:t>7</w:t>
      </w:r>
      <w:r w:rsidRPr="00285AE3">
        <w:rPr>
          <w:sz w:val="20"/>
          <w:szCs w:val="20"/>
        </w:rPr>
        <w:t xml:space="preserve"> at </w:t>
      </w:r>
      <w:r>
        <w:rPr>
          <w:sz w:val="20"/>
          <w:szCs w:val="20"/>
        </w:rPr>
        <w:t>8-11</w:t>
      </w:r>
      <w:r w:rsidRPr="00285AE3">
        <w:rPr>
          <w:sz w:val="20"/>
          <w:szCs w:val="20"/>
        </w:rPr>
        <w:t>.  Based on AEP-Ohio’s failure of proof, the Commission in the ESP III Order rejected AEP-Ohio’s request</w:t>
      </w:r>
      <w:r>
        <w:rPr>
          <w:sz w:val="20"/>
          <w:szCs w:val="20"/>
        </w:rPr>
        <w:t>.</w:t>
      </w:r>
      <w:r w:rsidRPr="00285AE3">
        <w:rPr>
          <w:sz w:val="20"/>
          <w:szCs w:val="20"/>
          <w:vertAlign w:val="superscript"/>
        </w:rPr>
        <w:t xml:space="preserve"> </w:t>
      </w:r>
      <w:r>
        <w:rPr>
          <w:sz w:val="20"/>
          <w:szCs w:val="20"/>
          <w:vertAlign w:val="superscript"/>
        </w:rPr>
        <w:t xml:space="preserve"> </w:t>
      </w:r>
      <w:r w:rsidRPr="00285AE3">
        <w:rPr>
          <w:sz w:val="20"/>
          <w:szCs w:val="20"/>
        </w:rPr>
        <w:t>ESP III Order at 24.  Additionally, the Commission again directed AEP-Ohio to take steps to divest its interest in OVEC</w:t>
      </w:r>
      <w:r>
        <w:rPr>
          <w:sz w:val="20"/>
          <w:szCs w:val="20"/>
        </w:rPr>
        <w:t xml:space="preserve"> and </w:t>
      </w:r>
      <w:r w:rsidRPr="00285AE3">
        <w:rPr>
          <w:sz w:val="20"/>
          <w:szCs w:val="20"/>
        </w:rPr>
        <w:t xml:space="preserve">directed AEP-Ohio to report the steps it is taking to transfer its interest to a third party by June 30 each year.  </w:t>
      </w:r>
      <w:r w:rsidRPr="00A80453">
        <w:rPr>
          <w:i/>
          <w:sz w:val="20"/>
          <w:szCs w:val="20"/>
        </w:rPr>
        <w:t>Id</w:t>
      </w:r>
      <w:r w:rsidRPr="00285AE3">
        <w:rPr>
          <w:sz w:val="20"/>
          <w:szCs w:val="20"/>
        </w:rPr>
        <w:t xml:space="preserve">. at 27.  Although AEP-Ohio sought rehearing of the Commission’s refusal to allow </w:t>
      </w:r>
      <w:r>
        <w:rPr>
          <w:sz w:val="20"/>
          <w:szCs w:val="20"/>
        </w:rPr>
        <w:t xml:space="preserve">AEP-Ohio </w:t>
      </w:r>
      <w:r w:rsidRPr="00285AE3">
        <w:rPr>
          <w:sz w:val="20"/>
          <w:szCs w:val="20"/>
        </w:rPr>
        <w:t xml:space="preserve">to bill customers for </w:t>
      </w:r>
      <w:r>
        <w:rPr>
          <w:sz w:val="20"/>
          <w:szCs w:val="20"/>
        </w:rPr>
        <w:t>its</w:t>
      </w:r>
      <w:r w:rsidRPr="00285AE3">
        <w:rPr>
          <w:sz w:val="20"/>
          <w:szCs w:val="20"/>
        </w:rPr>
        <w:t xml:space="preserve"> above-market wholesale generation</w:t>
      </w:r>
      <w:r>
        <w:rPr>
          <w:sz w:val="20"/>
          <w:szCs w:val="20"/>
        </w:rPr>
        <w:t>-related</w:t>
      </w:r>
      <w:r w:rsidRPr="00285AE3">
        <w:rPr>
          <w:sz w:val="20"/>
          <w:szCs w:val="20"/>
        </w:rPr>
        <w:t xml:space="preserve"> costs of OVEC, AEP-Ohio did not seek rehearing of the Commission’s order directing </w:t>
      </w:r>
      <w:r>
        <w:rPr>
          <w:sz w:val="20"/>
          <w:szCs w:val="20"/>
        </w:rPr>
        <w:t xml:space="preserve">AEP-Ohio </w:t>
      </w:r>
      <w:r w:rsidRPr="00285AE3">
        <w:rPr>
          <w:sz w:val="20"/>
          <w:szCs w:val="20"/>
        </w:rPr>
        <w:t xml:space="preserve">to pursue a transfer of </w:t>
      </w:r>
      <w:r>
        <w:rPr>
          <w:sz w:val="20"/>
          <w:szCs w:val="20"/>
        </w:rPr>
        <w:t>its</w:t>
      </w:r>
      <w:r w:rsidRPr="00285AE3">
        <w:rPr>
          <w:sz w:val="20"/>
          <w:szCs w:val="20"/>
        </w:rPr>
        <w:t xml:space="preserve"> interest in OVEC to a third party.</w:t>
      </w:r>
      <w:r w:rsidRPr="00285AE3">
        <w:rPr>
          <w:sz w:val="20"/>
          <w:szCs w:val="20"/>
          <w:vertAlign w:val="superscript"/>
        </w:rPr>
        <w:t xml:space="preserve"> </w:t>
      </w:r>
      <w:r w:rsidRPr="00285AE3">
        <w:rPr>
          <w:sz w:val="20"/>
          <w:szCs w:val="20"/>
        </w:rPr>
        <w:t xml:space="preserve"> </w:t>
      </w:r>
      <w:r>
        <w:rPr>
          <w:sz w:val="20"/>
          <w:szCs w:val="20"/>
        </w:rPr>
        <w:t xml:space="preserve">AEP-Ohio </w:t>
      </w:r>
      <w:r w:rsidRPr="00285AE3">
        <w:rPr>
          <w:sz w:val="20"/>
          <w:szCs w:val="20"/>
        </w:rPr>
        <w:t>Application for Rehearing (Mar. 27, 2015).</w:t>
      </w:r>
    </w:p>
    <w:p w:rsidR="00A2719C" w:rsidRDefault="00A2719C" w:rsidP="00285AE3">
      <w:pPr>
        <w:spacing w:after="120"/>
        <w:jc w:val="both"/>
      </w:pPr>
      <w:r w:rsidRPr="00285AE3">
        <w:rPr>
          <w:sz w:val="20"/>
          <w:szCs w:val="20"/>
        </w:rPr>
        <w:tab/>
        <w:t>In response to the Commission’s order in the ESP III Order requiring AEP-Ohio to file annual status reports on its efforts to transfer its interest in OVEC, AEP-Ohio filed a letter on June 30, 2015.  Letter to Sarah Parrot from Steven T. Nourse regarding Case No 12-1126-EL-UNC (June 30, 2015)</w:t>
      </w:r>
      <w:r>
        <w:rPr>
          <w:sz w:val="20"/>
          <w:szCs w:val="20"/>
        </w:rPr>
        <w:t xml:space="preserve"> </w:t>
      </w:r>
      <w:r w:rsidRPr="00285AE3">
        <w:rPr>
          <w:sz w:val="20"/>
          <w:szCs w:val="20"/>
        </w:rPr>
        <w:t>(“2015 OVEC Status Report”).</w:t>
      </w:r>
      <w:r>
        <w:rPr>
          <w:sz w:val="20"/>
          <w:szCs w:val="20"/>
        </w:rPr>
        <w:t xml:space="preserve"> </w:t>
      </w:r>
      <w:r w:rsidRPr="00285AE3">
        <w:rPr>
          <w:sz w:val="20"/>
          <w:szCs w:val="20"/>
        </w:rPr>
        <w:t xml:space="preserve"> In this status report, AEP-Ohio acknowledged that it retained its ownership interest</w:t>
      </w:r>
      <w:r>
        <w:rPr>
          <w:sz w:val="20"/>
          <w:szCs w:val="20"/>
        </w:rPr>
        <w:t xml:space="preserve"> and that it</w:t>
      </w:r>
      <w:r w:rsidRPr="00285AE3">
        <w:rPr>
          <w:sz w:val="20"/>
          <w:szCs w:val="20"/>
        </w:rPr>
        <w:t xml:space="preserve"> had no intention of complying with the Commission’s order to pursue transfer of the OVEC interest.  Noting that it had sought rehearing of the Commission’s order in the ESP III case concerning the PPA Rider (but leaving out the fact that AEP-Ohio did not seek rehearing of the Commission’s order directing it to pursue the transfer of the </w:t>
      </w:r>
      <w:r>
        <w:rPr>
          <w:sz w:val="20"/>
          <w:szCs w:val="20"/>
        </w:rPr>
        <w:t xml:space="preserve">interest in </w:t>
      </w:r>
      <w:r w:rsidRPr="00285AE3">
        <w:rPr>
          <w:sz w:val="20"/>
          <w:szCs w:val="20"/>
        </w:rPr>
        <w:t xml:space="preserve">OVEC), it claimed that its assignment of error will be moot if it transfers its interest in OVEC.  </w:t>
      </w:r>
      <w:r w:rsidRPr="00A80453">
        <w:rPr>
          <w:i/>
          <w:sz w:val="20"/>
          <w:szCs w:val="20"/>
        </w:rPr>
        <w:t>Id</w:t>
      </w:r>
      <w:r w:rsidRPr="00285AE3">
        <w:rPr>
          <w:sz w:val="20"/>
          <w:szCs w:val="20"/>
        </w:rPr>
        <w:t xml:space="preserve">.  Additionally, AEP-Ohio claimed that “nothing has changed </w:t>
      </w:r>
      <w:r>
        <w:rPr>
          <w:sz w:val="20"/>
          <w:szCs w:val="20"/>
        </w:rPr>
        <w:t>with respect to …</w:t>
      </w:r>
      <w:r w:rsidRPr="00285AE3">
        <w:rPr>
          <w:sz w:val="20"/>
          <w:szCs w:val="20"/>
        </w:rPr>
        <w:t xml:space="preserve"> the [other] owners’ decision to withhold consent” (but failed to disclose that it has other means under </w:t>
      </w:r>
      <w:r>
        <w:rPr>
          <w:sz w:val="20"/>
          <w:szCs w:val="20"/>
        </w:rPr>
        <w:t xml:space="preserve">the </w:t>
      </w:r>
      <w:r w:rsidRPr="00285AE3">
        <w:rPr>
          <w:sz w:val="20"/>
          <w:szCs w:val="20"/>
        </w:rPr>
        <w:t xml:space="preserve">ICPA by which it may transfer its interest in OVEC to a third party).  The report concluded that AEP-Ohio “is not actively pursuing [options to transfer its interest in OVEC] while rehearing </w:t>
      </w:r>
      <w:r>
        <w:rPr>
          <w:sz w:val="20"/>
          <w:szCs w:val="20"/>
        </w:rPr>
        <w:t xml:space="preserve">on this issue </w:t>
      </w:r>
      <w:r w:rsidRPr="00285AE3">
        <w:rPr>
          <w:sz w:val="20"/>
          <w:szCs w:val="20"/>
        </w:rPr>
        <w:t xml:space="preserve">remains open.”  </w:t>
      </w:r>
      <w:r w:rsidRPr="00A80453">
        <w:rPr>
          <w:i/>
          <w:sz w:val="20"/>
          <w:szCs w:val="20"/>
        </w:rPr>
        <w:t>Id</w:t>
      </w:r>
      <w:r w:rsidRPr="00285AE3">
        <w:rPr>
          <w:sz w:val="20"/>
          <w:szCs w:val="20"/>
        </w:rPr>
        <w:t>.  The 2015 OVEC Status Report demonstrates that AEP-Ohio is not in compliance with the Commission’s orders to pursue transfer of the interest in OVEC.  Rather than comply, AEP-Ohio bluntly admits that it “is not actively pursuing such options.</w:t>
      </w:r>
      <w:r>
        <w:rPr>
          <w:sz w:val="20"/>
          <w:szCs w:val="20"/>
        </w:rPr>
        <w:t>”</w:t>
      </w:r>
    </w:p>
  </w:footnote>
  <w:footnote w:id="15">
    <w:p w:rsidR="00A2719C" w:rsidRDefault="00A2719C" w:rsidP="00063D97">
      <w:pPr>
        <w:pStyle w:val="FootnoteText"/>
        <w:jc w:val="both"/>
      </w:pPr>
      <w:r>
        <w:rPr>
          <w:rStyle w:val="FootnoteReference"/>
        </w:rPr>
        <w:footnoteRef/>
      </w:r>
      <w:r>
        <w:t xml:space="preserve"> In addition to AEP-Ohio, the Office of the Ohio Consumers’ Counsel (“OCC”) and Ohio Manufacturers’ Association Energy Group (“OMAEG”) also urge the Commission to reverse its decision to defer resolution of the legality of the PPA Rider.  Application for Rehearing of the Office of the Ohio Consumers’ Counsel at 1-2 (June 29, 2015); Application for Rehearing of the </w:t>
      </w:r>
      <w:r w:rsidRPr="00063D97">
        <w:t>Ohio Manufacturers’ Association Energy Group</w:t>
      </w:r>
      <w:r>
        <w:t xml:space="preserve"> at 1 (June 29, 2015).</w:t>
      </w:r>
    </w:p>
  </w:footnote>
  <w:footnote w:id="16">
    <w:p w:rsidR="00A2719C" w:rsidRDefault="00A2719C" w:rsidP="00A80453">
      <w:pPr>
        <w:pStyle w:val="FootnoteText"/>
        <w:jc w:val="both"/>
      </w:pPr>
      <w:r>
        <w:rPr>
          <w:rStyle w:val="FootnoteReference"/>
        </w:rPr>
        <w:footnoteRef/>
      </w:r>
      <w:r>
        <w:t xml:space="preserve"> This memorandum addresses only AEP-Ohio’s first assignment of error in the AEP-Ohio Second Application for Rehearing.  Although IEU-Ohio is not addressing AEP-Ohio’s other assignments of error, failure to address an assignment of error is not an indication of support for the positions advanced by AEP-Ohio on those other assignments of error.</w:t>
      </w:r>
    </w:p>
  </w:footnote>
  <w:footnote w:id="17">
    <w:p w:rsidR="00A2719C" w:rsidRDefault="00A2719C">
      <w:pPr>
        <w:pStyle w:val="FootnoteText"/>
      </w:pPr>
      <w:r>
        <w:rPr>
          <w:rStyle w:val="FootnoteReference"/>
        </w:rPr>
        <w:footnoteRef/>
      </w:r>
      <w:r>
        <w:t xml:space="preserve"> AEP-Ohio Second Application for Rehearing at 1.</w:t>
      </w:r>
    </w:p>
  </w:footnote>
  <w:footnote w:id="18">
    <w:p w:rsidR="00A2719C" w:rsidRDefault="00A2719C" w:rsidP="00352A4F">
      <w:pPr>
        <w:pStyle w:val="FootnoteText"/>
        <w:jc w:val="both"/>
      </w:pPr>
      <w:r>
        <w:rPr>
          <w:rStyle w:val="FootnoteReference"/>
        </w:rPr>
        <w:footnoteRef/>
      </w:r>
      <w:r>
        <w:t xml:space="preserve"> </w:t>
      </w:r>
      <w:r w:rsidRPr="00802487">
        <w:rPr>
          <w:i/>
        </w:rPr>
        <w:t>Id</w:t>
      </w:r>
      <w:r>
        <w:t>. at 9-10.</w:t>
      </w:r>
    </w:p>
  </w:footnote>
  <w:footnote w:id="19">
    <w:p w:rsidR="00A2719C" w:rsidRDefault="00A2719C" w:rsidP="004C7BF7">
      <w:pPr>
        <w:pStyle w:val="FootnoteText"/>
        <w:jc w:val="both"/>
      </w:pPr>
      <w:r>
        <w:rPr>
          <w:rStyle w:val="FootnoteReference"/>
        </w:rPr>
        <w:footnoteRef/>
      </w:r>
      <w:r>
        <w:t xml:space="preserve"> </w:t>
      </w:r>
      <w:r w:rsidRPr="00352A4F">
        <w:rPr>
          <w:i/>
        </w:rPr>
        <w:t>Id</w:t>
      </w:r>
      <w:r>
        <w:t>. at 10.</w:t>
      </w:r>
    </w:p>
  </w:footnote>
  <w:footnote w:id="20">
    <w:p w:rsidR="00A2719C" w:rsidRDefault="00A2719C" w:rsidP="00063D97">
      <w:pPr>
        <w:pStyle w:val="FootnoteText"/>
        <w:jc w:val="both"/>
      </w:pPr>
      <w:r>
        <w:rPr>
          <w:rStyle w:val="FootnoteReference"/>
        </w:rPr>
        <w:footnoteRef/>
      </w:r>
      <w:r>
        <w:t xml:space="preserve"> AEP-Ohio Second Application for Rehearing at 9.</w:t>
      </w:r>
    </w:p>
  </w:footnote>
  <w:footnote w:id="21">
    <w:p w:rsidR="00A2719C" w:rsidRDefault="00A2719C" w:rsidP="00063D97">
      <w:pPr>
        <w:pStyle w:val="FootnoteText"/>
        <w:jc w:val="both"/>
      </w:pPr>
      <w:r>
        <w:rPr>
          <w:rStyle w:val="FootnoteReference"/>
        </w:rPr>
        <w:footnoteRef/>
      </w:r>
      <w:r>
        <w:t xml:space="preserve"> </w:t>
      </w:r>
      <w:r w:rsidRPr="00A80453">
        <w:rPr>
          <w:i/>
        </w:rPr>
        <w:t>In re Application of Ohio Power Company</w:t>
      </w:r>
      <w:r>
        <w:t>, Slip Op. No. 2015-Ohio-2056 (June 2, 2015).</w:t>
      </w:r>
    </w:p>
  </w:footnote>
  <w:footnote w:id="22">
    <w:p w:rsidR="00A2719C" w:rsidRDefault="00A2719C">
      <w:pPr>
        <w:pStyle w:val="FootnoteText"/>
      </w:pPr>
      <w:r>
        <w:rPr>
          <w:rStyle w:val="FootnoteReference"/>
        </w:rPr>
        <w:footnoteRef/>
      </w:r>
      <w:r>
        <w:t xml:space="preserve"> </w:t>
      </w:r>
      <w:r w:rsidRPr="006902B1">
        <w:rPr>
          <w:i/>
        </w:rPr>
        <w:t>Id</w:t>
      </w:r>
      <w:r>
        <w:t>.</w:t>
      </w:r>
    </w:p>
  </w:footnote>
  <w:footnote w:id="23">
    <w:p w:rsidR="00A2719C" w:rsidRDefault="00A2719C" w:rsidP="00A80453">
      <w:pPr>
        <w:pStyle w:val="FootnoteText"/>
        <w:jc w:val="both"/>
      </w:pPr>
      <w:r>
        <w:rPr>
          <w:rStyle w:val="FootnoteReference"/>
        </w:rPr>
        <w:footnoteRef/>
      </w:r>
      <w:r>
        <w:t xml:space="preserve"> </w:t>
      </w:r>
      <w:r w:rsidRPr="00A80453">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sidRPr="00A80453">
        <w:rPr>
          <w:i/>
        </w:rPr>
        <w:t>et al</w:t>
      </w:r>
      <w:r>
        <w:t>., Entry on Rehearing at 12 (Feb. 23, 2012).</w:t>
      </w:r>
    </w:p>
  </w:footnote>
  <w:footnote w:id="24">
    <w:p w:rsidR="00A2719C" w:rsidRDefault="00A2719C" w:rsidP="00924963">
      <w:pPr>
        <w:pStyle w:val="FootnoteText"/>
        <w:jc w:val="both"/>
      </w:pPr>
      <w:r>
        <w:rPr>
          <w:rStyle w:val="FootnoteReference"/>
        </w:rPr>
        <w:footnoteRef/>
      </w:r>
      <w:r>
        <w:t xml:space="preserve"> </w:t>
      </w:r>
      <w:r>
        <w:rPr>
          <w:i/>
        </w:rPr>
        <w:t>Ohio Power Case</w:t>
      </w:r>
      <w:r>
        <w:t xml:space="preserve">, </w:t>
      </w:r>
      <w:r>
        <w:rPr>
          <w:rFonts w:cs="Arial"/>
        </w:rPr>
        <w:t xml:space="preserve">¶ </w:t>
      </w:r>
      <w:r>
        <w:t>29.</w:t>
      </w:r>
    </w:p>
  </w:footnote>
  <w:footnote w:id="25">
    <w:p w:rsidR="00A2719C" w:rsidRDefault="00A2719C" w:rsidP="00924963">
      <w:pPr>
        <w:pStyle w:val="FootnoteText"/>
        <w:jc w:val="both"/>
      </w:pPr>
      <w:r>
        <w:rPr>
          <w:rStyle w:val="FootnoteReference"/>
        </w:rPr>
        <w:footnoteRef/>
      </w:r>
      <w:r>
        <w:t xml:space="preserve"> </w:t>
      </w:r>
      <w:r w:rsidRPr="00A80453">
        <w:rPr>
          <w:i/>
        </w:rPr>
        <w:t>Id</w:t>
      </w:r>
      <w:r>
        <w:t>. (emphasis added).</w:t>
      </w:r>
    </w:p>
  </w:footnote>
  <w:footnote w:id="26">
    <w:p w:rsidR="00A2719C" w:rsidRDefault="00A2719C" w:rsidP="00924963">
      <w:pPr>
        <w:pStyle w:val="FootnoteText"/>
        <w:jc w:val="both"/>
      </w:pPr>
      <w:r>
        <w:rPr>
          <w:rStyle w:val="FootnoteReference"/>
        </w:rPr>
        <w:footnoteRef/>
      </w:r>
      <w:r>
        <w:t xml:space="preserve"> </w:t>
      </w:r>
      <w:r w:rsidRPr="00A80453">
        <w:rPr>
          <w:i/>
        </w:rPr>
        <w:t>Id</w:t>
      </w:r>
      <w:r>
        <w:t xml:space="preserve">., </w:t>
      </w:r>
      <w:r>
        <w:rPr>
          <w:rFonts w:cs="Arial"/>
        </w:rPr>
        <w:t xml:space="preserve">¶ </w:t>
      </w:r>
      <w:r>
        <w:t>17.</w:t>
      </w:r>
    </w:p>
  </w:footnote>
  <w:footnote w:id="27">
    <w:p w:rsidR="00A2719C" w:rsidRDefault="00A2719C" w:rsidP="00924963">
      <w:pPr>
        <w:pStyle w:val="FootnoteText"/>
        <w:jc w:val="both"/>
      </w:pPr>
      <w:r>
        <w:rPr>
          <w:rStyle w:val="FootnoteReference"/>
        </w:rPr>
        <w:footnoteRef/>
      </w:r>
      <w:r>
        <w:t xml:space="preserve"> </w:t>
      </w:r>
      <w:r w:rsidRPr="00A80453">
        <w:rPr>
          <w:i/>
        </w:rPr>
        <w:t>Id</w:t>
      </w:r>
      <w:r>
        <w:t xml:space="preserve">., </w:t>
      </w:r>
      <w:r>
        <w:rPr>
          <w:rFonts w:cs="Arial"/>
        </w:rPr>
        <w:t>¶</w:t>
      </w:r>
      <w:r>
        <w:t xml:space="preserve"> 33, citing </w:t>
      </w:r>
      <w:r w:rsidRPr="004239CD">
        <w:rPr>
          <w:i/>
        </w:rPr>
        <w:t>In re Columbus S. Power Co</w:t>
      </w:r>
      <w:r>
        <w:t>., 129 Ohio St.3d 568 (2011) (affirming the Commission’s decision to exempt the economic development rider from the rate caps).</w:t>
      </w:r>
    </w:p>
  </w:footnote>
  <w:footnote w:id="28">
    <w:p w:rsidR="00A2719C" w:rsidRDefault="00A2719C" w:rsidP="00924963">
      <w:pPr>
        <w:pStyle w:val="FootnoteText"/>
        <w:jc w:val="both"/>
      </w:pPr>
      <w:r>
        <w:rPr>
          <w:rStyle w:val="FootnoteReference"/>
        </w:rPr>
        <w:footnoteRef/>
      </w:r>
      <w:r>
        <w:t xml:space="preserve"> AEP-Ohio Second Application for Rehearing at 9.</w:t>
      </w:r>
    </w:p>
  </w:footnote>
  <w:footnote w:id="29">
    <w:p w:rsidR="00A2719C" w:rsidRDefault="00A2719C" w:rsidP="00063D97">
      <w:pPr>
        <w:pStyle w:val="FootnoteText"/>
        <w:jc w:val="both"/>
      </w:pPr>
      <w:r>
        <w:rPr>
          <w:rStyle w:val="FootnoteReference"/>
        </w:rPr>
        <w:footnoteRef/>
      </w:r>
      <w:r>
        <w:t xml:space="preserve"> </w:t>
      </w:r>
      <w:r w:rsidRPr="00063D97">
        <w:rPr>
          <w:i/>
        </w:rPr>
        <w:t>Ohio Power Case</w:t>
      </w:r>
      <w:r>
        <w:t xml:space="preserve">, </w:t>
      </w:r>
      <w:r>
        <w:rPr>
          <w:rFonts w:cs="Arial"/>
        </w:rPr>
        <w:t>¶</w:t>
      </w:r>
      <w:r>
        <w:t xml:space="preserve"> 28.  AEP-Ohio relies on the Court’s treatment of the Commission’s argument as support for its claim that the Commission cannot modify its initial decision.  AEP-Ohio Second Application for Rehearing at 9.  As discussed in the text above, the portion quoted by AEP-Ohio is actually a critique of the Commission’s position that a modification in a proceeding other than the ESP proceeding did not trigger AEP-Ohio’s right to withdraw.  AEP-Ohio’s reliance on this portion of the </w:t>
      </w:r>
      <w:r w:rsidRPr="007269A1">
        <w:rPr>
          <w:i/>
        </w:rPr>
        <w:t>Ohio Power Case</w:t>
      </w:r>
      <w:r>
        <w:t>, thus, is misplaced because the quotation is taken out of context.</w:t>
      </w:r>
    </w:p>
  </w:footnote>
  <w:footnote w:id="30">
    <w:p w:rsidR="00A2719C" w:rsidRPr="007269A1" w:rsidRDefault="00A2719C" w:rsidP="00063D97">
      <w:pPr>
        <w:pStyle w:val="FootnoteText"/>
        <w:jc w:val="both"/>
      </w:pPr>
      <w:r>
        <w:rPr>
          <w:rStyle w:val="FootnoteReference"/>
        </w:rPr>
        <w:footnoteRef/>
      </w:r>
      <w:r>
        <w:t xml:space="preserve"> </w:t>
      </w:r>
      <w:r>
        <w:rPr>
          <w:i/>
        </w:rPr>
        <w:t xml:space="preserve">Ohio Power Case, </w:t>
      </w:r>
      <w:r>
        <w:rPr>
          <w:rFonts w:cs="Arial"/>
        </w:rPr>
        <w:t>¶</w:t>
      </w:r>
      <w:r>
        <w:t xml:space="preserve"> 28.</w:t>
      </w:r>
    </w:p>
  </w:footnote>
  <w:footnote w:id="31">
    <w:p w:rsidR="00A2719C" w:rsidRDefault="00A2719C" w:rsidP="00CA0E64">
      <w:pPr>
        <w:pStyle w:val="FootnoteText"/>
        <w:jc w:val="both"/>
      </w:pPr>
      <w:r>
        <w:rPr>
          <w:rStyle w:val="FootnoteReference"/>
        </w:rPr>
        <w:footnoteRef/>
      </w:r>
      <w:r>
        <w:t xml:space="preserve"> </w:t>
      </w:r>
      <w:r w:rsidRPr="007E3266">
        <w:t>AEP-Ohio Second Application for Rehearing at 10.</w:t>
      </w:r>
    </w:p>
  </w:footnote>
  <w:footnote w:id="32">
    <w:p w:rsidR="00A2719C" w:rsidRDefault="00A2719C">
      <w:pPr>
        <w:pStyle w:val="FootnoteText"/>
      </w:pPr>
      <w:r>
        <w:rPr>
          <w:rStyle w:val="FootnoteReference"/>
        </w:rPr>
        <w:footnoteRef/>
      </w:r>
      <w:r>
        <w:t xml:space="preserve"> </w:t>
      </w:r>
      <w:r w:rsidRPr="007E3266">
        <w:rPr>
          <w:i/>
        </w:rPr>
        <w:t>Id</w:t>
      </w:r>
      <w:r>
        <w:t>.</w:t>
      </w:r>
    </w:p>
  </w:footnote>
  <w:footnote w:id="33">
    <w:p w:rsidR="00A2719C" w:rsidRDefault="00A2719C" w:rsidP="00B631DF">
      <w:pPr>
        <w:pStyle w:val="FootnoteText"/>
      </w:pPr>
      <w:r>
        <w:rPr>
          <w:rStyle w:val="FootnoteReference"/>
        </w:rPr>
        <w:footnoteRef/>
      </w:r>
      <w:r>
        <w:t xml:space="preserve"> </w:t>
      </w:r>
      <w:r w:rsidRPr="00A80453">
        <w:rPr>
          <w:i/>
        </w:rPr>
        <w:t>PPA Rider Expansion Case</w:t>
      </w:r>
      <w:r>
        <w:t xml:space="preserve">, Amended Application, </w:t>
      </w:r>
      <w:r w:rsidRPr="003D6330">
        <w:rPr>
          <w:i/>
        </w:rPr>
        <w:t>passim</w:t>
      </w:r>
      <w:r>
        <w:t>.</w:t>
      </w:r>
    </w:p>
  </w:footnote>
  <w:footnote w:id="34">
    <w:p w:rsidR="00A2719C" w:rsidRDefault="00A2719C" w:rsidP="00B631DF">
      <w:pPr>
        <w:pStyle w:val="FootnoteText"/>
        <w:jc w:val="both"/>
      </w:pPr>
      <w:r>
        <w:rPr>
          <w:rStyle w:val="FootnoteReference"/>
        </w:rPr>
        <w:footnoteRef/>
      </w:r>
      <w:r>
        <w:t xml:space="preserve"> </w:t>
      </w:r>
      <w:r w:rsidRPr="002A3B3B">
        <w:rPr>
          <w:rFonts w:cs="Arial"/>
          <w:color w:val="252525"/>
          <w:shd w:val="clear" w:color="auto" w:fill="FFFFFF"/>
        </w:rPr>
        <w:t>A</w:t>
      </w:r>
      <w:r w:rsidRPr="002A3B3B">
        <w:rPr>
          <w:rStyle w:val="apple-converted-space"/>
          <w:rFonts w:cs="Arial"/>
          <w:color w:val="252525"/>
          <w:shd w:val="clear" w:color="auto" w:fill="FFFFFF"/>
        </w:rPr>
        <w:t xml:space="preserve"> </w:t>
      </w:r>
      <w:r w:rsidRPr="002A3B3B">
        <w:rPr>
          <w:rFonts w:cs="Arial"/>
          <w:bCs/>
          <w:color w:val="252525"/>
          <w:shd w:val="clear" w:color="auto" w:fill="FFFFFF"/>
        </w:rPr>
        <w:t>“red herring</w:t>
      </w:r>
      <w:r w:rsidRPr="002A3B3B">
        <w:rPr>
          <w:rStyle w:val="apple-converted-space"/>
          <w:rFonts w:cs="Arial"/>
          <w:color w:val="252525"/>
          <w:shd w:val="clear" w:color="auto" w:fill="FFFFFF"/>
        </w:rPr>
        <w:t xml:space="preserve">” </w:t>
      </w:r>
      <w:r w:rsidRPr="002A3B3B">
        <w:rPr>
          <w:rFonts w:cs="Arial"/>
          <w:color w:val="252525"/>
          <w:shd w:val="clear" w:color="auto" w:fill="FFFFFF"/>
        </w:rPr>
        <w:t>is something that misleads or distracts from a relevant or important issue.</w:t>
      </w:r>
      <w:r w:rsidRPr="002A3B3B">
        <w:rPr>
          <w:rFonts w:cs="Arial"/>
          <w:color w:val="252525"/>
          <w:shd w:val="clear" w:color="auto" w:fill="FFFFFF"/>
          <w:vertAlign w:val="superscript"/>
        </w:rPr>
        <w:t xml:space="preserve"> </w:t>
      </w:r>
      <w:r w:rsidRPr="002A3B3B">
        <w:rPr>
          <w:rStyle w:val="apple-converted-space"/>
          <w:rFonts w:cs="Arial"/>
          <w:color w:val="252525"/>
          <w:shd w:val="clear" w:color="auto" w:fill="FFFFFF"/>
        </w:rPr>
        <w:t> </w:t>
      </w:r>
      <w:r w:rsidRPr="002A3B3B">
        <w:rPr>
          <w:rFonts w:cs="Arial"/>
          <w:color w:val="252525"/>
          <w:shd w:val="clear" w:color="auto" w:fill="FFFFFF"/>
        </w:rPr>
        <w:t>It may be either a logical</w:t>
      </w:r>
      <w:r w:rsidRPr="002A3B3B">
        <w:rPr>
          <w:rStyle w:val="apple-converted-space"/>
          <w:rFonts w:cs="Arial"/>
          <w:color w:val="252525"/>
          <w:shd w:val="clear" w:color="auto" w:fill="FFFFFF"/>
        </w:rPr>
        <w:t> </w:t>
      </w:r>
      <w:r w:rsidRPr="002A3B3B">
        <w:rPr>
          <w:rFonts w:cs="Arial"/>
          <w:shd w:val="clear" w:color="auto" w:fill="FFFFFF"/>
        </w:rPr>
        <w:t>fallacy</w:t>
      </w:r>
      <w:r w:rsidRPr="002A3B3B">
        <w:rPr>
          <w:rStyle w:val="apple-converted-space"/>
          <w:rFonts w:cs="Arial"/>
          <w:color w:val="252525"/>
          <w:shd w:val="clear" w:color="auto" w:fill="FFFFFF"/>
        </w:rPr>
        <w:t> </w:t>
      </w:r>
      <w:r w:rsidRPr="002A3B3B">
        <w:rPr>
          <w:rFonts w:cs="Arial"/>
          <w:color w:val="252525"/>
          <w:shd w:val="clear" w:color="auto" w:fill="FFFFFF"/>
        </w:rPr>
        <w:t>or a</w:t>
      </w:r>
      <w:r w:rsidRPr="002A3B3B">
        <w:rPr>
          <w:rStyle w:val="apple-converted-space"/>
          <w:rFonts w:cs="Arial"/>
          <w:color w:val="252525"/>
          <w:shd w:val="clear" w:color="auto" w:fill="FFFFFF"/>
        </w:rPr>
        <w:t> </w:t>
      </w:r>
      <w:r w:rsidRPr="002A3B3B">
        <w:rPr>
          <w:rFonts w:cs="Arial"/>
          <w:shd w:val="clear" w:color="auto" w:fill="FFFFFF"/>
        </w:rPr>
        <w:t>literary device</w:t>
      </w:r>
      <w:r w:rsidRPr="002A3B3B">
        <w:rPr>
          <w:rStyle w:val="apple-converted-space"/>
          <w:rFonts w:cs="Arial"/>
          <w:color w:val="252525"/>
          <w:shd w:val="clear" w:color="auto" w:fill="FFFFFF"/>
        </w:rPr>
        <w:t> </w:t>
      </w:r>
      <w:r w:rsidRPr="002A3B3B">
        <w:rPr>
          <w:rFonts w:cs="Arial"/>
          <w:color w:val="252525"/>
          <w:shd w:val="clear" w:color="auto" w:fill="FFFFFF"/>
        </w:rPr>
        <w:t>that leads readers or audiences towards a false conclusion.</w:t>
      </w:r>
      <w:r>
        <w:rPr>
          <w:rFonts w:cs="Arial"/>
          <w:color w:val="252525"/>
          <w:sz w:val="21"/>
          <w:szCs w:val="21"/>
          <w:shd w:val="clear" w:color="auto" w:fill="FFFFFF"/>
        </w:rPr>
        <w:t xml:space="preserve"> </w:t>
      </w:r>
    </w:p>
  </w:footnote>
  <w:footnote w:id="35">
    <w:p w:rsidR="00A2719C" w:rsidRDefault="00A2719C">
      <w:pPr>
        <w:pStyle w:val="FootnoteText"/>
      </w:pPr>
      <w:r>
        <w:rPr>
          <w:rStyle w:val="FootnoteReference"/>
        </w:rPr>
        <w:footnoteRef/>
      </w:r>
      <w:r>
        <w:t xml:space="preserve"> AEP-Ohio Second Application for Rehearing at 12.</w:t>
      </w:r>
    </w:p>
  </w:footnote>
  <w:footnote w:id="36">
    <w:p w:rsidR="00A2719C" w:rsidRDefault="00A2719C" w:rsidP="00063D97">
      <w:pPr>
        <w:pStyle w:val="FootnoteText"/>
        <w:jc w:val="both"/>
      </w:pPr>
      <w:r>
        <w:rPr>
          <w:rStyle w:val="FootnoteReference"/>
        </w:rPr>
        <w:footnoteRef/>
      </w:r>
      <w:r>
        <w:t xml:space="preserve"> IEU-Ohio Application for Rehearing, </w:t>
      </w:r>
      <w:r w:rsidRPr="00A80453">
        <w:rPr>
          <w:i/>
        </w:rPr>
        <w:t>passim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rsidP="00FA1A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rsidP="00FA1A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C" w:rsidRDefault="00A27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227"/>
    <w:multiLevelType w:val="multilevel"/>
    <w:tmpl w:val="6846BC84"/>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530"/>
        </w:tabs>
        <w:ind w:left="153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
    <w:nsid w:val="6EC24D3F"/>
    <w:multiLevelType w:val="hybridMultilevel"/>
    <w:tmpl w:val="3A94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ExcludeDirectFormattingInTOC" w:val="False"/>
    <w:docVar w:name="HyperlinkTOC" w:val="False"/>
    <w:docVar w:name="IncludeTOCAndPageHeadings" w:val="True"/>
    <w:docVar w:name="NoNumberLevel1TOC" w:val="False"/>
    <w:docVar w:name="TOCFormatConst" w:val="0"/>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3"/>
  </w:docVars>
  <w:rsids>
    <w:rsidRoot w:val="00FA383D"/>
    <w:rsid w:val="000143CB"/>
    <w:rsid w:val="000157C1"/>
    <w:rsid w:val="000177B3"/>
    <w:rsid w:val="00035D0D"/>
    <w:rsid w:val="000523DF"/>
    <w:rsid w:val="000529F5"/>
    <w:rsid w:val="00055693"/>
    <w:rsid w:val="00063D97"/>
    <w:rsid w:val="00084F3A"/>
    <w:rsid w:val="000A076B"/>
    <w:rsid w:val="000A5F6E"/>
    <w:rsid w:val="000C1A42"/>
    <w:rsid w:val="000C3F26"/>
    <w:rsid w:val="000E315F"/>
    <w:rsid w:val="000E7D2A"/>
    <w:rsid w:val="000F026C"/>
    <w:rsid w:val="000F6229"/>
    <w:rsid w:val="0014500A"/>
    <w:rsid w:val="0015367D"/>
    <w:rsid w:val="00155813"/>
    <w:rsid w:val="00176457"/>
    <w:rsid w:val="001767EF"/>
    <w:rsid w:val="00194979"/>
    <w:rsid w:val="001A5D6D"/>
    <w:rsid w:val="001B026C"/>
    <w:rsid w:val="001B4F75"/>
    <w:rsid w:val="00203A6D"/>
    <w:rsid w:val="002150B6"/>
    <w:rsid w:val="00215AC4"/>
    <w:rsid w:val="0022310D"/>
    <w:rsid w:val="00262F4A"/>
    <w:rsid w:val="00264DF0"/>
    <w:rsid w:val="00275E65"/>
    <w:rsid w:val="00280DAD"/>
    <w:rsid w:val="00282E19"/>
    <w:rsid w:val="00284200"/>
    <w:rsid w:val="00285AE3"/>
    <w:rsid w:val="00295DDA"/>
    <w:rsid w:val="002A21BD"/>
    <w:rsid w:val="002A3B3B"/>
    <w:rsid w:val="002B28E5"/>
    <w:rsid w:val="002B59E8"/>
    <w:rsid w:val="002B5BA8"/>
    <w:rsid w:val="002E362D"/>
    <w:rsid w:val="00303498"/>
    <w:rsid w:val="00334A59"/>
    <w:rsid w:val="00334D39"/>
    <w:rsid w:val="00342357"/>
    <w:rsid w:val="0035021E"/>
    <w:rsid w:val="00352A4F"/>
    <w:rsid w:val="00354749"/>
    <w:rsid w:val="0039153C"/>
    <w:rsid w:val="003A5D03"/>
    <w:rsid w:val="003B14DB"/>
    <w:rsid w:val="003B57E8"/>
    <w:rsid w:val="003D6330"/>
    <w:rsid w:val="003E7E58"/>
    <w:rsid w:val="003F25B3"/>
    <w:rsid w:val="0040540F"/>
    <w:rsid w:val="00412091"/>
    <w:rsid w:val="00420BF8"/>
    <w:rsid w:val="004239CD"/>
    <w:rsid w:val="004271AF"/>
    <w:rsid w:val="00432811"/>
    <w:rsid w:val="00432C96"/>
    <w:rsid w:val="0043385C"/>
    <w:rsid w:val="0044281A"/>
    <w:rsid w:val="00447866"/>
    <w:rsid w:val="004544C3"/>
    <w:rsid w:val="00460FB4"/>
    <w:rsid w:val="0046367C"/>
    <w:rsid w:val="00465F1E"/>
    <w:rsid w:val="0047266E"/>
    <w:rsid w:val="0048495D"/>
    <w:rsid w:val="004955D5"/>
    <w:rsid w:val="0049698B"/>
    <w:rsid w:val="00497052"/>
    <w:rsid w:val="004A1F0B"/>
    <w:rsid w:val="004A68FD"/>
    <w:rsid w:val="004B46E9"/>
    <w:rsid w:val="004B61E2"/>
    <w:rsid w:val="004C7BF7"/>
    <w:rsid w:val="004D089C"/>
    <w:rsid w:val="004F0CFD"/>
    <w:rsid w:val="004F5C93"/>
    <w:rsid w:val="00524998"/>
    <w:rsid w:val="00531441"/>
    <w:rsid w:val="00541F90"/>
    <w:rsid w:val="00580378"/>
    <w:rsid w:val="00591959"/>
    <w:rsid w:val="00594B00"/>
    <w:rsid w:val="005A3D26"/>
    <w:rsid w:val="005E5338"/>
    <w:rsid w:val="005F2CE5"/>
    <w:rsid w:val="00636726"/>
    <w:rsid w:val="00642FDF"/>
    <w:rsid w:val="00644EC4"/>
    <w:rsid w:val="00672355"/>
    <w:rsid w:val="00677F79"/>
    <w:rsid w:val="006902B1"/>
    <w:rsid w:val="006B4CA0"/>
    <w:rsid w:val="006C2C87"/>
    <w:rsid w:val="006D311C"/>
    <w:rsid w:val="006E588C"/>
    <w:rsid w:val="006E5BA1"/>
    <w:rsid w:val="00713120"/>
    <w:rsid w:val="0071335D"/>
    <w:rsid w:val="00720058"/>
    <w:rsid w:val="007269A1"/>
    <w:rsid w:val="00733EF7"/>
    <w:rsid w:val="00743440"/>
    <w:rsid w:val="0075573F"/>
    <w:rsid w:val="00772A43"/>
    <w:rsid w:val="00773947"/>
    <w:rsid w:val="007831E1"/>
    <w:rsid w:val="0079184F"/>
    <w:rsid w:val="007A1675"/>
    <w:rsid w:val="007B79CB"/>
    <w:rsid w:val="007D2884"/>
    <w:rsid w:val="007E3266"/>
    <w:rsid w:val="007E5C83"/>
    <w:rsid w:val="007F3F80"/>
    <w:rsid w:val="00802487"/>
    <w:rsid w:val="00807DC9"/>
    <w:rsid w:val="008105AB"/>
    <w:rsid w:val="00813543"/>
    <w:rsid w:val="00813C52"/>
    <w:rsid w:val="008252CB"/>
    <w:rsid w:val="008362FF"/>
    <w:rsid w:val="008376DA"/>
    <w:rsid w:val="00841CA4"/>
    <w:rsid w:val="00850435"/>
    <w:rsid w:val="00852035"/>
    <w:rsid w:val="008B6437"/>
    <w:rsid w:val="008C7AEC"/>
    <w:rsid w:val="008E207C"/>
    <w:rsid w:val="008E3BF4"/>
    <w:rsid w:val="008F0CF9"/>
    <w:rsid w:val="009101D8"/>
    <w:rsid w:val="0091071C"/>
    <w:rsid w:val="00910BDD"/>
    <w:rsid w:val="0092301A"/>
    <w:rsid w:val="00924963"/>
    <w:rsid w:val="00932A40"/>
    <w:rsid w:val="00932C3B"/>
    <w:rsid w:val="00945A56"/>
    <w:rsid w:val="00963D43"/>
    <w:rsid w:val="009643E9"/>
    <w:rsid w:val="00966CFB"/>
    <w:rsid w:val="00991170"/>
    <w:rsid w:val="009977E0"/>
    <w:rsid w:val="009A3FBF"/>
    <w:rsid w:val="009C1494"/>
    <w:rsid w:val="009D12BC"/>
    <w:rsid w:val="009F0D52"/>
    <w:rsid w:val="009F1815"/>
    <w:rsid w:val="00A04B94"/>
    <w:rsid w:val="00A2719C"/>
    <w:rsid w:val="00A412F4"/>
    <w:rsid w:val="00A512F9"/>
    <w:rsid w:val="00A650E1"/>
    <w:rsid w:val="00A70AD2"/>
    <w:rsid w:val="00A747B1"/>
    <w:rsid w:val="00A80453"/>
    <w:rsid w:val="00A93E66"/>
    <w:rsid w:val="00A93F48"/>
    <w:rsid w:val="00A9551B"/>
    <w:rsid w:val="00A960A7"/>
    <w:rsid w:val="00AC0A2F"/>
    <w:rsid w:val="00AF51DE"/>
    <w:rsid w:val="00B33771"/>
    <w:rsid w:val="00B33D32"/>
    <w:rsid w:val="00B348BF"/>
    <w:rsid w:val="00B631DF"/>
    <w:rsid w:val="00B8091B"/>
    <w:rsid w:val="00B9018D"/>
    <w:rsid w:val="00B92C04"/>
    <w:rsid w:val="00B930E2"/>
    <w:rsid w:val="00B96F28"/>
    <w:rsid w:val="00B97989"/>
    <w:rsid w:val="00BA68B7"/>
    <w:rsid w:val="00BD7FAB"/>
    <w:rsid w:val="00BE02DC"/>
    <w:rsid w:val="00BF36BA"/>
    <w:rsid w:val="00C0405A"/>
    <w:rsid w:val="00C251D9"/>
    <w:rsid w:val="00C27AAE"/>
    <w:rsid w:val="00C34A44"/>
    <w:rsid w:val="00C87421"/>
    <w:rsid w:val="00CA0E64"/>
    <w:rsid w:val="00CA4EC4"/>
    <w:rsid w:val="00CB2649"/>
    <w:rsid w:val="00CB3B6A"/>
    <w:rsid w:val="00CB665A"/>
    <w:rsid w:val="00CC4769"/>
    <w:rsid w:val="00CC5C91"/>
    <w:rsid w:val="00CD5446"/>
    <w:rsid w:val="00CF3BA3"/>
    <w:rsid w:val="00D064A3"/>
    <w:rsid w:val="00D25E1C"/>
    <w:rsid w:val="00D62D29"/>
    <w:rsid w:val="00DA2109"/>
    <w:rsid w:val="00DA709C"/>
    <w:rsid w:val="00DB59A6"/>
    <w:rsid w:val="00DB7F21"/>
    <w:rsid w:val="00DC2A16"/>
    <w:rsid w:val="00E6490C"/>
    <w:rsid w:val="00E87D98"/>
    <w:rsid w:val="00E9143C"/>
    <w:rsid w:val="00ED2058"/>
    <w:rsid w:val="00ED4A2F"/>
    <w:rsid w:val="00EE42B2"/>
    <w:rsid w:val="00F02C5A"/>
    <w:rsid w:val="00F338DA"/>
    <w:rsid w:val="00F61A80"/>
    <w:rsid w:val="00F65279"/>
    <w:rsid w:val="00F765A6"/>
    <w:rsid w:val="00F9007B"/>
    <w:rsid w:val="00F90D09"/>
    <w:rsid w:val="00FA1AF4"/>
    <w:rsid w:val="00FA383D"/>
    <w:rsid w:val="00FC660C"/>
    <w:rsid w:val="00FE5CE9"/>
    <w:rsid w:val="00FF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281A"/>
    <w:pPr>
      <w:numPr>
        <w:numId w:val="1"/>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44281A"/>
    <w:pPr>
      <w:numPr>
        <w:ilvl w:val="1"/>
        <w:numId w:val="1"/>
      </w:numPr>
      <w:tabs>
        <w:tab w:val="clear" w:pos="1530"/>
        <w:tab w:val="num" w:pos="1440"/>
      </w:tabs>
      <w:spacing w:after="240"/>
      <w:ind w:left="14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44281A"/>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44281A"/>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44281A"/>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44281A"/>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44281A"/>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44281A"/>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44281A"/>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83D"/>
    <w:pPr>
      <w:tabs>
        <w:tab w:val="center" w:pos="4680"/>
        <w:tab w:val="right" w:pos="9360"/>
      </w:tabs>
    </w:pPr>
  </w:style>
  <w:style w:type="character" w:customStyle="1" w:styleId="HeaderChar">
    <w:name w:val="Header Char"/>
    <w:basedOn w:val="DefaultParagraphFont"/>
    <w:link w:val="Header"/>
    <w:uiPriority w:val="99"/>
    <w:rsid w:val="00FA383D"/>
  </w:style>
  <w:style w:type="paragraph" w:styleId="Footer">
    <w:name w:val="footer"/>
    <w:basedOn w:val="Normal"/>
    <w:link w:val="FooterChar"/>
    <w:uiPriority w:val="99"/>
    <w:unhideWhenUsed/>
    <w:rsid w:val="00FA383D"/>
    <w:pPr>
      <w:tabs>
        <w:tab w:val="center" w:pos="4680"/>
        <w:tab w:val="right" w:pos="9360"/>
      </w:tabs>
    </w:pPr>
  </w:style>
  <w:style w:type="character" w:customStyle="1" w:styleId="FooterChar">
    <w:name w:val="Footer Char"/>
    <w:basedOn w:val="DefaultParagraphFont"/>
    <w:link w:val="Footer"/>
    <w:uiPriority w:val="99"/>
    <w:rsid w:val="00FA383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2B28E5"/>
    <w:pPr>
      <w:spacing w:after="120"/>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2B28E5"/>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sid w:val="002B28E5"/>
    <w:rPr>
      <w:vertAlign w:val="superscript"/>
    </w:rPr>
  </w:style>
  <w:style w:type="character" w:customStyle="1" w:styleId="Heading1Char">
    <w:name w:val="Heading 1 Char"/>
    <w:basedOn w:val="DefaultParagraphFont"/>
    <w:link w:val="Heading1"/>
    <w:uiPriority w:val="9"/>
    <w:rsid w:val="0044281A"/>
    <w:rPr>
      <w:rFonts w:eastAsiaTheme="majorEastAsia" w:cs="Arial"/>
      <w:b/>
      <w:bCs/>
      <w:caps/>
      <w:szCs w:val="28"/>
      <w:u w:val="single"/>
    </w:rPr>
  </w:style>
  <w:style w:type="character" w:customStyle="1" w:styleId="Heading2Char">
    <w:name w:val="Heading 2 Char"/>
    <w:basedOn w:val="DefaultParagraphFont"/>
    <w:link w:val="Heading2"/>
    <w:uiPriority w:val="9"/>
    <w:rsid w:val="0044281A"/>
    <w:rPr>
      <w:rFonts w:eastAsiaTheme="majorEastAsia" w:cs="Arial"/>
      <w:b/>
      <w:bCs/>
      <w:szCs w:val="26"/>
    </w:rPr>
  </w:style>
  <w:style w:type="character" w:customStyle="1" w:styleId="Heading3Char">
    <w:name w:val="Heading 3 Char"/>
    <w:basedOn w:val="DefaultParagraphFont"/>
    <w:link w:val="Heading3"/>
    <w:uiPriority w:val="9"/>
    <w:semiHidden/>
    <w:rsid w:val="0044281A"/>
    <w:rPr>
      <w:rFonts w:eastAsiaTheme="majorEastAsia" w:cs="Arial"/>
      <w:b/>
      <w:bCs/>
    </w:rPr>
  </w:style>
  <w:style w:type="character" w:customStyle="1" w:styleId="Heading4Char">
    <w:name w:val="Heading 4 Char"/>
    <w:basedOn w:val="DefaultParagraphFont"/>
    <w:link w:val="Heading4"/>
    <w:uiPriority w:val="9"/>
    <w:semiHidden/>
    <w:rsid w:val="0044281A"/>
    <w:rPr>
      <w:rFonts w:eastAsiaTheme="majorEastAsia" w:cs="Arial"/>
      <w:b/>
      <w:bCs/>
      <w:i/>
      <w:iCs/>
    </w:rPr>
  </w:style>
  <w:style w:type="character" w:customStyle="1" w:styleId="Heading5Char">
    <w:name w:val="Heading 5 Char"/>
    <w:basedOn w:val="DefaultParagraphFont"/>
    <w:link w:val="Heading5"/>
    <w:uiPriority w:val="9"/>
    <w:semiHidden/>
    <w:rsid w:val="0044281A"/>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44281A"/>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44281A"/>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44281A"/>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44281A"/>
    <w:rPr>
      <w:rFonts w:asciiTheme="majorHAnsi" w:eastAsiaTheme="majorEastAsia" w:hAnsiTheme="majorHAnsi" w:cs="Arial"/>
      <w:iCs/>
      <w:color w:val="404040" w:themeColor="text1" w:themeTint="BF"/>
      <w:szCs w:val="20"/>
    </w:rPr>
  </w:style>
  <w:style w:type="character" w:customStyle="1" w:styleId="apple-converted-space">
    <w:name w:val="apple-converted-space"/>
    <w:basedOn w:val="DefaultParagraphFont"/>
    <w:rsid w:val="002B59E8"/>
  </w:style>
  <w:style w:type="character" w:styleId="Hyperlink">
    <w:name w:val="Hyperlink"/>
    <w:basedOn w:val="DefaultParagraphFont"/>
    <w:uiPriority w:val="99"/>
    <w:semiHidden/>
    <w:unhideWhenUsed/>
    <w:rsid w:val="002B59E8"/>
    <w:rPr>
      <w:color w:val="0000FF"/>
      <w:u w:val="single"/>
    </w:rPr>
  </w:style>
  <w:style w:type="paragraph" w:styleId="BalloonText">
    <w:name w:val="Balloon Text"/>
    <w:basedOn w:val="Normal"/>
    <w:link w:val="BalloonTextChar"/>
    <w:uiPriority w:val="99"/>
    <w:semiHidden/>
    <w:unhideWhenUsed/>
    <w:rsid w:val="007F3F80"/>
    <w:rPr>
      <w:rFonts w:ascii="Tahoma" w:hAnsi="Tahoma" w:cs="Tahoma"/>
      <w:sz w:val="16"/>
      <w:szCs w:val="16"/>
    </w:rPr>
  </w:style>
  <w:style w:type="character" w:customStyle="1" w:styleId="BalloonTextChar">
    <w:name w:val="Balloon Text Char"/>
    <w:basedOn w:val="DefaultParagraphFont"/>
    <w:link w:val="BalloonText"/>
    <w:uiPriority w:val="99"/>
    <w:semiHidden/>
    <w:rsid w:val="007F3F80"/>
    <w:rPr>
      <w:rFonts w:ascii="Tahoma" w:hAnsi="Tahoma" w:cs="Tahoma"/>
      <w:sz w:val="16"/>
      <w:szCs w:val="16"/>
    </w:rPr>
  </w:style>
  <w:style w:type="paragraph" w:styleId="TOCHeading">
    <w:name w:val="TOC Heading"/>
    <w:basedOn w:val="Normal"/>
    <w:next w:val="TOC1"/>
    <w:uiPriority w:val="39"/>
    <w:unhideWhenUsed/>
    <w:qFormat/>
    <w:rsid w:val="008E207C"/>
    <w:pPr>
      <w:keepNext/>
      <w:keepLines/>
      <w:spacing w:before="480" w:after="240"/>
      <w:jc w:val="center"/>
    </w:pPr>
    <w:rPr>
      <w:rFonts w:cs="Arial"/>
      <w:b/>
      <w:color w:val="365F91" w:themeColor="accent1" w:themeShade="BF"/>
    </w:rPr>
  </w:style>
  <w:style w:type="paragraph" w:styleId="TOC1">
    <w:name w:val="toc 1"/>
    <w:basedOn w:val="Normal"/>
    <w:next w:val="Normal"/>
    <w:autoRedefine/>
    <w:uiPriority w:val="39"/>
    <w:unhideWhenUsed/>
    <w:rsid w:val="008E207C"/>
    <w:pPr>
      <w:tabs>
        <w:tab w:val="left" w:pos="720"/>
        <w:tab w:val="right" w:leader="dot" w:pos="9360"/>
      </w:tabs>
      <w:spacing w:after="100"/>
      <w:ind w:right="720"/>
    </w:pPr>
  </w:style>
  <w:style w:type="paragraph" w:styleId="TOC2">
    <w:name w:val="toc 2"/>
    <w:basedOn w:val="Normal"/>
    <w:next w:val="Normal"/>
    <w:autoRedefine/>
    <w:uiPriority w:val="39"/>
    <w:unhideWhenUsed/>
    <w:rsid w:val="00A80453"/>
    <w:pPr>
      <w:tabs>
        <w:tab w:val="left" w:pos="1440"/>
        <w:tab w:val="right" w:leader="dot" w:pos="9360"/>
      </w:tabs>
      <w:spacing w:after="100"/>
      <w:ind w:left="1440" w:right="720" w:hanging="720"/>
      <w:jc w:val="both"/>
    </w:pPr>
  </w:style>
  <w:style w:type="paragraph" w:styleId="TOC3">
    <w:name w:val="toc 3"/>
    <w:basedOn w:val="Normal"/>
    <w:next w:val="Normal"/>
    <w:autoRedefine/>
    <w:uiPriority w:val="39"/>
    <w:semiHidden/>
    <w:unhideWhenUsed/>
    <w:rsid w:val="008E207C"/>
    <w:pPr>
      <w:spacing w:after="100"/>
      <w:ind w:left="480"/>
    </w:pPr>
  </w:style>
  <w:style w:type="paragraph" w:styleId="TOC4">
    <w:name w:val="toc 4"/>
    <w:basedOn w:val="Normal"/>
    <w:next w:val="Normal"/>
    <w:autoRedefine/>
    <w:uiPriority w:val="39"/>
    <w:semiHidden/>
    <w:unhideWhenUsed/>
    <w:rsid w:val="008E207C"/>
    <w:pPr>
      <w:spacing w:after="100"/>
      <w:ind w:left="720"/>
    </w:pPr>
  </w:style>
  <w:style w:type="paragraph" w:styleId="TOC5">
    <w:name w:val="toc 5"/>
    <w:basedOn w:val="Normal"/>
    <w:next w:val="Normal"/>
    <w:autoRedefine/>
    <w:uiPriority w:val="39"/>
    <w:semiHidden/>
    <w:unhideWhenUsed/>
    <w:rsid w:val="008E207C"/>
    <w:pPr>
      <w:spacing w:after="100"/>
      <w:ind w:left="960"/>
    </w:pPr>
  </w:style>
  <w:style w:type="paragraph" w:styleId="TOC6">
    <w:name w:val="toc 6"/>
    <w:basedOn w:val="Normal"/>
    <w:next w:val="Normal"/>
    <w:autoRedefine/>
    <w:uiPriority w:val="39"/>
    <w:semiHidden/>
    <w:unhideWhenUsed/>
    <w:rsid w:val="008E207C"/>
    <w:pPr>
      <w:spacing w:after="100"/>
      <w:ind w:left="1200"/>
    </w:pPr>
  </w:style>
  <w:style w:type="paragraph" w:styleId="TOC7">
    <w:name w:val="toc 7"/>
    <w:basedOn w:val="Normal"/>
    <w:next w:val="Normal"/>
    <w:autoRedefine/>
    <w:uiPriority w:val="39"/>
    <w:semiHidden/>
    <w:unhideWhenUsed/>
    <w:rsid w:val="008E207C"/>
    <w:pPr>
      <w:spacing w:after="100"/>
      <w:ind w:left="1440"/>
    </w:pPr>
  </w:style>
  <w:style w:type="paragraph" w:styleId="TOC8">
    <w:name w:val="toc 8"/>
    <w:basedOn w:val="Normal"/>
    <w:next w:val="Normal"/>
    <w:autoRedefine/>
    <w:uiPriority w:val="39"/>
    <w:semiHidden/>
    <w:unhideWhenUsed/>
    <w:rsid w:val="008E207C"/>
    <w:pPr>
      <w:spacing w:after="100"/>
      <w:ind w:left="1680"/>
    </w:pPr>
  </w:style>
  <w:style w:type="paragraph" w:styleId="TOC9">
    <w:name w:val="toc 9"/>
    <w:basedOn w:val="Normal"/>
    <w:next w:val="Normal"/>
    <w:autoRedefine/>
    <w:uiPriority w:val="39"/>
    <w:semiHidden/>
    <w:unhideWhenUsed/>
    <w:rsid w:val="008E207C"/>
    <w:pPr>
      <w:spacing w:after="100"/>
      <w:ind w:left="1920"/>
    </w:pPr>
  </w:style>
  <w:style w:type="paragraph" w:customStyle="1" w:styleId="TOCPage">
    <w:name w:val="TOC Page"/>
    <w:basedOn w:val="Normal"/>
    <w:rsid w:val="008E207C"/>
    <w:pPr>
      <w:spacing w:after="240"/>
      <w:jc w:val="right"/>
    </w:pPr>
    <w:rPr>
      <w:rFonts w:eastAsia="Times New Roman" w:cs="Arial"/>
      <w:b/>
      <w:szCs w:val="20"/>
    </w:rPr>
  </w:style>
  <w:style w:type="character" w:styleId="CommentReference">
    <w:name w:val="annotation reference"/>
    <w:basedOn w:val="DefaultParagraphFont"/>
    <w:uiPriority w:val="99"/>
    <w:semiHidden/>
    <w:unhideWhenUsed/>
    <w:rsid w:val="00591959"/>
    <w:rPr>
      <w:sz w:val="16"/>
      <w:szCs w:val="16"/>
    </w:rPr>
  </w:style>
  <w:style w:type="paragraph" w:styleId="CommentText">
    <w:name w:val="annotation text"/>
    <w:basedOn w:val="Normal"/>
    <w:link w:val="CommentTextChar"/>
    <w:uiPriority w:val="99"/>
    <w:semiHidden/>
    <w:unhideWhenUsed/>
    <w:rsid w:val="00591959"/>
    <w:rPr>
      <w:sz w:val="20"/>
      <w:szCs w:val="20"/>
    </w:rPr>
  </w:style>
  <w:style w:type="character" w:customStyle="1" w:styleId="CommentTextChar">
    <w:name w:val="Comment Text Char"/>
    <w:basedOn w:val="DefaultParagraphFont"/>
    <w:link w:val="CommentText"/>
    <w:uiPriority w:val="99"/>
    <w:semiHidden/>
    <w:rsid w:val="00591959"/>
    <w:rPr>
      <w:sz w:val="20"/>
      <w:szCs w:val="20"/>
    </w:rPr>
  </w:style>
  <w:style w:type="paragraph" w:styleId="CommentSubject">
    <w:name w:val="annotation subject"/>
    <w:basedOn w:val="CommentText"/>
    <w:next w:val="CommentText"/>
    <w:link w:val="CommentSubjectChar"/>
    <w:uiPriority w:val="99"/>
    <w:semiHidden/>
    <w:unhideWhenUsed/>
    <w:rsid w:val="00591959"/>
    <w:rPr>
      <w:b/>
      <w:bCs/>
    </w:rPr>
  </w:style>
  <w:style w:type="character" w:customStyle="1" w:styleId="CommentSubjectChar">
    <w:name w:val="Comment Subject Char"/>
    <w:basedOn w:val="CommentTextChar"/>
    <w:link w:val="CommentSubject"/>
    <w:uiPriority w:val="99"/>
    <w:semiHidden/>
    <w:rsid w:val="00591959"/>
    <w:rPr>
      <w:b/>
      <w:bCs/>
      <w:sz w:val="20"/>
      <w:szCs w:val="20"/>
    </w:rPr>
  </w:style>
  <w:style w:type="paragraph" w:styleId="Revision">
    <w:name w:val="Revision"/>
    <w:hidden/>
    <w:uiPriority w:val="99"/>
    <w:semiHidden/>
    <w:rsid w:val="00813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281A"/>
    <w:pPr>
      <w:numPr>
        <w:numId w:val="1"/>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44281A"/>
    <w:pPr>
      <w:numPr>
        <w:ilvl w:val="1"/>
        <w:numId w:val="1"/>
      </w:numPr>
      <w:tabs>
        <w:tab w:val="clear" w:pos="1530"/>
        <w:tab w:val="num" w:pos="1440"/>
      </w:tabs>
      <w:spacing w:after="240"/>
      <w:ind w:left="14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44281A"/>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44281A"/>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44281A"/>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44281A"/>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44281A"/>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44281A"/>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44281A"/>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83D"/>
    <w:pPr>
      <w:tabs>
        <w:tab w:val="center" w:pos="4680"/>
        <w:tab w:val="right" w:pos="9360"/>
      </w:tabs>
    </w:pPr>
  </w:style>
  <w:style w:type="character" w:customStyle="1" w:styleId="HeaderChar">
    <w:name w:val="Header Char"/>
    <w:basedOn w:val="DefaultParagraphFont"/>
    <w:link w:val="Header"/>
    <w:uiPriority w:val="99"/>
    <w:rsid w:val="00FA383D"/>
  </w:style>
  <w:style w:type="paragraph" w:styleId="Footer">
    <w:name w:val="footer"/>
    <w:basedOn w:val="Normal"/>
    <w:link w:val="FooterChar"/>
    <w:uiPriority w:val="99"/>
    <w:unhideWhenUsed/>
    <w:rsid w:val="00FA383D"/>
    <w:pPr>
      <w:tabs>
        <w:tab w:val="center" w:pos="4680"/>
        <w:tab w:val="right" w:pos="9360"/>
      </w:tabs>
    </w:pPr>
  </w:style>
  <w:style w:type="character" w:customStyle="1" w:styleId="FooterChar">
    <w:name w:val="Footer Char"/>
    <w:basedOn w:val="DefaultParagraphFont"/>
    <w:link w:val="Footer"/>
    <w:uiPriority w:val="99"/>
    <w:rsid w:val="00FA383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2B28E5"/>
    <w:pPr>
      <w:spacing w:after="120"/>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2B28E5"/>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sid w:val="002B28E5"/>
    <w:rPr>
      <w:vertAlign w:val="superscript"/>
    </w:rPr>
  </w:style>
  <w:style w:type="character" w:customStyle="1" w:styleId="Heading1Char">
    <w:name w:val="Heading 1 Char"/>
    <w:basedOn w:val="DefaultParagraphFont"/>
    <w:link w:val="Heading1"/>
    <w:uiPriority w:val="9"/>
    <w:rsid w:val="0044281A"/>
    <w:rPr>
      <w:rFonts w:eastAsiaTheme="majorEastAsia" w:cs="Arial"/>
      <w:b/>
      <w:bCs/>
      <w:caps/>
      <w:szCs w:val="28"/>
      <w:u w:val="single"/>
    </w:rPr>
  </w:style>
  <w:style w:type="character" w:customStyle="1" w:styleId="Heading2Char">
    <w:name w:val="Heading 2 Char"/>
    <w:basedOn w:val="DefaultParagraphFont"/>
    <w:link w:val="Heading2"/>
    <w:uiPriority w:val="9"/>
    <w:rsid w:val="0044281A"/>
    <w:rPr>
      <w:rFonts w:eastAsiaTheme="majorEastAsia" w:cs="Arial"/>
      <w:b/>
      <w:bCs/>
      <w:szCs w:val="26"/>
    </w:rPr>
  </w:style>
  <w:style w:type="character" w:customStyle="1" w:styleId="Heading3Char">
    <w:name w:val="Heading 3 Char"/>
    <w:basedOn w:val="DefaultParagraphFont"/>
    <w:link w:val="Heading3"/>
    <w:uiPriority w:val="9"/>
    <w:semiHidden/>
    <w:rsid w:val="0044281A"/>
    <w:rPr>
      <w:rFonts w:eastAsiaTheme="majorEastAsia" w:cs="Arial"/>
      <w:b/>
      <w:bCs/>
    </w:rPr>
  </w:style>
  <w:style w:type="character" w:customStyle="1" w:styleId="Heading4Char">
    <w:name w:val="Heading 4 Char"/>
    <w:basedOn w:val="DefaultParagraphFont"/>
    <w:link w:val="Heading4"/>
    <w:uiPriority w:val="9"/>
    <w:semiHidden/>
    <w:rsid w:val="0044281A"/>
    <w:rPr>
      <w:rFonts w:eastAsiaTheme="majorEastAsia" w:cs="Arial"/>
      <w:b/>
      <w:bCs/>
      <w:i/>
      <w:iCs/>
    </w:rPr>
  </w:style>
  <w:style w:type="character" w:customStyle="1" w:styleId="Heading5Char">
    <w:name w:val="Heading 5 Char"/>
    <w:basedOn w:val="DefaultParagraphFont"/>
    <w:link w:val="Heading5"/>
    <w:uiPriority w:val="9"/>
    <w:semiHidden/>
    <w:rsid w:val="0044281A"/>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44281A"/>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44281A"/>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44281A"/>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44281A"/>
    <w:rPr>
      <w:rFonts w:asciiTheme="majorHAnsi" w:eastAsiaTheme="majorEastAsia" w:hAnsiTheme="majorHAnsi" w:cs="Arial"/>
      <w:iCs/>
      <w:color w:val="404040" w:themeColor="text1" w:themeTint="BF"/>
      <w:szCs w:val="20"/>
    </w:rPr>
  </w:style>
  <w:style w:type="character" w:customStyle="1" w:styleId="apple-converted-space">
    <w:name w:val="apple-converted-space"/>
    <w:basedOn w:val="DefaultParagraphFont"/>
    <w:rsid w:val="002B59E8"/>
  </w:style>
  <w:style w:type="character" w:styleId="Hyperlink">
    <w:name w:val="Hyperlink"/>
    <w:basedOn w:val="DefaultParagraphFont"/>
    <w:uiPriority w:val="99"/>
    <w:semiHidden/>
    <w:unhideWhenUsed/>
    <w:rsid w:val="002B59E8"/>
    <w:rPr>
      <w:color w:val="0000FF"/>
      <w:u w:val="single"/>
    </w:rPr>
  </w:style>
  <w:style w:type="paragraph" w:styleId="BalloonText">
    <w:name w:val="Balloon Text"/>
    <w:basedOn w:val="Normal"/>
    <w:link w:val="BalloonTextChar"/>
    <w:uiPriority w:val="99"/>
    <w:semiHidden/>
    <w:unhideWhenUsed/>
    <w:rsid w:val="007F3F80"/>
    <w:rPr>
      <w:rFonts w:ascii="Tahoma" w:hAnsi="Tahoma" w:cs="Tahoma"/>
      <w:sz w:val="16"/>
      <w:szCs w:val="16"/>
    </w:rPr>
  </w:style>
  <w:style w:type="character" w:customStyle="1" w:styleId="BalloonTextChar">
    <w:name w:val="Balloon Text Char"/>
    <w:basedOn w:val="DefaultParagraphFont"/>
    <w:link w:val="BalloonText"/>
    <w:uiPriority w:val="99"/>
    <w:semiHidden/>
    <w:rsid w:val="007F3F80"/>
    <w:rPr>
      <w:rFonts w:ascii="Tahoma" w:hAnsi="Tahoma" w:cs="Tahoma"/>
      <w:sz w:val="16"/>
      <w:szCs w:val="16"/>
    </w:rPr>
  </w:style>
  <w:style w:type="paragraph" w:styleId="TOCHeading">
    <w:name w:val="TOC Heading"/>
    <w:basedOn w:val="Normal"/>
    <w:next w:val="TOC1"/>
    <w:uiPriority w:val="39"/>
    <w:unhideWhenUsed/>
    <w:qFormat/>
    <w:rsid w:val="008E207C"/>
    <w:pPr>
      <w:keepNext/>
      <w:keepLines/>
      <w:spacing w:before="480" w:after="240"/>
      <w:jc w:val="center"/>
    </w:pPr>
    <w:rPr>
      <w:rFonts w:cs="Arial"/>
      <w:b/>
      <w:color w:val="365F91" w:themeColor="accent1" w:themeShade="BF"/>
    </w:rPr>
  </w:style>
  <w:style w:type="paragraph" w:styleId="TOC1">
    <w:name w:val="toc 1"/>
    <w:basedOn w:val="Normal"/>
    <w:next w:val="Normal"/>
    <w:autoRedefine/>
    <w:uiPriority w:val="39"/>
    <w:unhideWhenUsed/>
    <w:rsid w:val="008E207C"/>
    <w:pPr>
      <w:tabs>
        <w:tab w:val="left" w:pos="720"/>
        <w:tab w:val="right" w:leader="dot" w:pos="9360"/>
      </w:tabs>
      <w:spacing w:after="100"/>
      <w:ind w:right="720"/>
    </w:pPr>
  </w:style>
  <w:style w:type="paragraph" w:styleId="TOC2">
    <w:name w:val="toc 2"/>
    <w:basedOn w:val="Normal"/>
    <w:next w:val="Normal"/>
    <w:autoRedefine/>
    <w:uiPriority w:val="39"/>
    <w:unhideWhenUsed/>
    <w:rsid w:val="00A80453"/>
    <w:pPr>
      <w:tabs>
        <w:tab w:val="left" w:pos="1440"/>
        <w:tab w:val="right" w:leader="dot" w:pos="9360"/>
      </w:tabs>
      <w:spacing w:after="100"/>
      <w:ind w:left="1440" w:right="720" w:hanging="720"/>
      <w:jc w:val="both"/>
    </w:pPr>
  </w:style>
  <w:style w:type="paragraph" w:styleId="TOC3">
    <w:name w:val="toc 3"/>
    <w:basedOn w:val="Normal"/>
    <w:next w:val="Normal"/>
    <w:autoRedefine/>
    <w:uiPriority w:val="39"/>
    <w:semiHidden/>
    <w:unhideWhenUsed/>
    <w:rsid w:val="008E207C"/>
    <w:pPr>
      <w:spacing w:after="100"/>
      <w:ind w:left="480"/>
    </w:pPr>
  </w:style>
  <w:style w:type="paragraph" w:styleId="TOC4">
    <w:name w:val="toc 4"/>
    <w:basedOn w:val="Normal"/>
    <w:next w:val="Normal"/>
    <w:autoRedefine/>
    <w:uiPriority w:val="39"/>
    <w:semiHidden/>
    <w:unhideWhenUsed/>
    <w:rsid w:val="008E207C"/>
    <w:pPr>
      <w:spacing w:after="100"/>
      <w:ind w:left="720"/>
    </w:pPr>
  </w:style>
  <w:style w:type="paragraph" w:styleId="TOC5">
    <w:name w:val="toc 5"/>
    <w:basedOn w:val="Normal"/>
    <w:next w:val="Normal"/>
    <w:autoRedefine/>
    <w:uiPriority w:val="39"/>
    <w:semiHidden/>
    <w:unhideWhenUsed/>
    <w:rsid w:val="008E207C"/>
    <w:pPr>
      <w:spacing w:after="100"/>
      <w:ind w:left="960"/>
    </w:pPr>
  </w:style>
  <w:style w:type="paragraph" w:styleId="TOC6">
    <w:name w:val="toc 6"/>
    <w:basedOn w:val="Normal"/>
    <w:next w:val="Normal"/>
    <w:autoRedefine/>
    <w:uiPriority w:val="39"/>
    <w:semiHidden/>
    <w:unhideWhenUsed/>
    <w:rsid w:val="008E207C"/>
    <w:pPr>
      <w:spacing w:after="100"/>
      <w:ind w:left="1200"/>
    </w:pPr>
  </w:style>
  <w:style w:type="paragraph" w:styleId="TOC7">
    <w:name w:val="toc 7"/>
    <w:basedOn w:val="Normal"/>
    <w:next w:val="Normal"/>
    <w:autoRedefine/>
    <w:uiPriority w:val="39"/>
    <w:semiHidden/>
    <w:unhideWhenUsed/>
    <w:rsid w:val="008E207C"/>
    <w:pPr>
      <w:spacing w:after="100"/>
      <w:ind w:left="1440"/>
    </w:pPr>
  </w:style>
  <w:style w:type="paragraph" w:styleId="TOC8">
    <w:name w:val="toc 8"/>
    <w:basedOn w:val="Normal"/>
    <w:next w:val="Normal"/>
    <w:autoRedefine/>
    <w:uiPriority w:val="39"/>
    <w:semiHidden/>
    <w:unhideWhenUsed/>
    <w:rsid w:val="008E207C"/>
    <w:pPr>
      <w:spacing w:after="100"/>
      <w:ind w:left="1680"/>
    </w:pPr>
  </w:style>
  <w:style w:type="paragraph" w:styleId="TOC9">
    <w:name w:val="toc 9"/>
    <w:basedOn w:val="Normal"/>
    <w:next w:val="Normal"/>
    <w:autoRedefine/>
    <w:uiPriority w:val="39"/>
    <w:semiHidden/>
    <w:unhideWhenUsed/>
    <w:rsid w:val="008E207C"/>
    <w:pPr>
      <w:spacing w:after="100"/>
      <w:ind w:left="1920"/>
    </w:pPr>
  </w:style>
  <w:style w:type="paragraph" w:customStyle="1" w:styleId="TOCPage">
    <w:name w:val="TOC Page"/>
    <w:basedOn w:val="Normal"/>
    <w:rsid w:val="008E207C"/>
    <w:pPr>
      <w:spacing w:after="240"/>
      <w:jc w:val="right"/>
    </w:pPr>
    <w:rPr>
      <w:rFonts w:eastAsia="Times New Roman" w:cs="Arial"/>
      <w:b/>
      <w:szCs w:val="20"/>
    </w:rPr>
  </w:style>
  <w:style w:type="character" w:styleId="CommentReference">
    <w:name w:val="annotation reference"/>
    <w:basedOn w:val="DefaultParagraphFont"/>
    <w:uiPriority w:val="99"/>
    <w:semiHidden/>
    <w:unhideWhenUsed/>
    <w:rsid w:val="00591959"/>
    <w:rPr>
      <w:sz w:val="16"/>
      <w:szCs w:val="16"/>
    </w:rPr>
  </w:style>
  <w:style w:type="paragraph" w:styleId="CommentText">
    <w:name w:val="annotation text"/>
    <w:basedOn w:val="Normal"/>
    <w:link w:val="CommentTextChar"/>
    <w:uiPriority w:val="99"/>
    <w:semiHidden/>
    <w:unhideWhenUsed/>
    <w:rsid w:val="00591959"/>
    <w:rPr>
      <w:sz w:val="20"/>
      <w:szCs w:val="20"/>
    </w:rPr>
  </w:style>
  <w:style w:type="character" w:customStyle="1" w:styleId="CommentTextChar">
    <w:name w:val="Comment Text Char"/>
    <w:basedOn w:val="DefaultParagraphFont"/>
    <w:link w:val="CommentText"/>
    <w:uiPriority w:val="99"/>
    <w:semiHidden/>
    <w:rsid w:val="00591959"/>
    <w:rPr>
      <w:sz w:val="20"/>
      <w:szCs w:val="20"/>
    </w:rPr>
  </w:style>
  <w:style w:type="paragraph" w:styleId="CommentSubject">
    <w:name w:val="annotation subject"/>
    <w:basedOn w:val="CommentText"/>
    <w:next w:val="CommentText"/>
    <w:link w:val="CommentSubjectChar"/>
    <w:uiPriority w:val="99"/>
    <w:semiHidden/>
    <w:unhideWhenUsed/>
    <w:rsid w:val="00591959"/>
    <w:rPr>
      <w:b/>
      <w:bCs/>
    </w:rPr>
  </w:style>
  <w:style w:type="character" w:customStyle="1" w:styleId="CommentSubjectChar">
    <w:name w:val="Comment Subject Char"/>
    <w:basedOn w:val="CommentTextChar"/>
    <w:link w:val="CommentSubject"/>
    <w:uiPriority w:val="99"/>
    <w:semiHidden/>
    <w:rsid w:val="00591959"/>
    <w:rPr>
      <w:b/>
      <w:bCs/>
      <w:sz w:val="20"/>
      <w:szCs w:val="20"/>
    </w:rPr>
  </w:style>
  <w:style w:type="paragraph" w:styleId="Revision">
    <w:name w:val="Revision"/>
    <w:hidden/>
    <w:uiPriority w:val="99"/>
    <w:semiHidden/>
    <w:rsid w:val="0081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7463-4117-4D3A-B48B-B4CA9B46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2344</TotalTime>
  <Pages>20</Pages>
  <Words>4276</Words>
  <Characters>23908</Characters>
  <Application>Microsoft Office Word</Application>
  <DocSecurity>0</DocSecurity>
  <PresentationFormat/>
  <Lines>733</Lines>
  <Paragraphs>380</Paragraphs>
  <ScaleCrop>false</ScaleCrop>
  <HeadingPairs>
    <vt:vector size="2" baseType="variant">
      <vt:variant>
        <vt:lpstr>Title</vt:lpstr>
      </vt:variant>
      <vt:variant>
        <vt:i4>1</vt:i4>
      </vt:variant>
    </vt:vector>
  </HeadingPairs>
  <TitlesOfParts>
    <vt:vector size="1" baseType="lpstr">
      <vt:lpstr>second entry on rehearing, memo contra applications for rehearing (C47628-5).DOCX</vt:lpstr>
    </vt:vector>
  </TitlesOfParts>
  <Company/>
  <LinksUpToDate>false</LinksUpToDate>
  <CharactersWithSpaces>27989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entry on rehearing, memo contra applications for rehearing (C47628-5).DOCX</dc:title>
  <dc:subject>C47628:5 /font=8</dc:subject>
  <dc:creator/>
  <cp:keywords/>
  <dc:description/>
  <cp:lastModifiedBy>Karen Bowman</cp:lastModifiedBy>
  <cp:revision>59</cp:revision>
  <cp:lastPrinted>2015-07-09T15:40:00Z</cp:lastPrinted>
  <dcterms:created xsi:type="dcterms:W3CDTF">2015-06-30T17:21:00Z</dcterms:created>
  <dcterms:modified xsi:type="dcterms:W3CDTF">2015-07-09T18:36:00Z</dcterms:modified>
</cp:coreProperties>
</file>