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02C" w:rsidRDefault="0040402C" w:rsidP="0040402C">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40402C" w:rsidRDefault="0040402C" w:rsidP="0040402C">
      <w:pPr>
        <w:pStyle w:val="HTMLPreformatted"/>
        <w:jc w:val="center"/>
        <w:rPr>
          <w:rFonts w:ascii="Times New Roman" w:hAnsi="Times New Roman"/>
          <w:sz w:val="24"/>
        </w:rPr>
      </w:pPr>
      <w:r>
        <w:rPr>
          <w:rFonts w:ascii="Times New Roman" w:hAnsi="Times New Roman"/>
          <w:b/>
          <w:bCs/>
          <w:sz w:val="24"/>
        </w:rPr>
        <w:t>THE PUBLIC UTILITIES COMMISSION OF OHIO</w:t>
      </w:r>
    </w:p>
    <w:p w:rsidR="0040402C" w:rsidRDefault="0040402C" w:rsidP="0040402C">
      <w:pPr>
        <w:pStyle w:val="HTMLPreformatted"/>
        <w:rPr>
          <w:rFonts w:ascii="Times New Roman" w:hAnsi="Times New Roman"/>
          <w:sz w:val="24"/>
        </w:rPr>
      </w:pPr>
    </w:p>
    <w:tbl>
      <w:tblPr>
        <w:tblW w:w="9092" w:type="dxa"/>
        <w:tblLook w:val="01E0" w:firstRow="1" w:lastRow="1" w:firstColumn="1" w:lastColumn="1" w:noHBand="0" w:noVBand="0"/>
      </w:tblPr>
      <w:tblGrid>
        <w:gridCol w:w="4332"/>
        <w:gridCol w:w="360"/>
        <w:gridCol w:w="4400"/>
      </w:tblGrid>
      <w:tr w:rsidR="0040402C" w:rsidTr="00ED7AF0">
        <w:trPr>
          <w:trHeight w:val="807"/>
        </w:trPr>
        <w:tc>
          <w:tcPr>
            <w:tcW w:w="4332" w:type="dxa"/>
            <w:shd w:val="clear" w:color="auto" w:fill="auto"/>
          </w:tcPr>
          <w:p w:rsidR="0040402C" w:rsidRPr="002526B1" w:rsidRDefault="0040402C" w:rsidP="00ED7AF0">
            <w:pPr>
              <w:autoSpaceDE w:val="0"/>
              <w:autoSpaceDN w:val="0"/>
              <w:adjustRightInd w:val="0"/>
            </w:pPr>
            <w:r w:rsidRPr="002526B1">
              <w:t xml:space="preserve">In the Matter of the Application of Ohio Power Company for Authority to  Case </w:t>
            </w:r>
          </w:p>
          <w:p w:rsidR="0040402C" w:rsidRPr="002526B1" w:rsidRDefault="0040402C" w:rsidP="00ED7AF0">
            <w:pPr>
              <w:autoSpaceDE w:val="0"/>
              <w:autoSpaceDN w:val="0"/>
              <w:adjustRightInd w:val="0"/>
            </w:pPr>
            <w:r w:rsidRPr="002526B1">
              <w:t xml:space="preserve">Establish a Standard Service Offer </w:t>
            </w:r>
          </w:p>
          <w:p w:rsidR="0040402C" w:rsidRPr="002526B1" w:rsidRDefault="0040402C" w:rsidP="00ED7AF0">
            <w:pPr>
              <w:autoSpaceDE w:val="0"/>
              <w:autoSpaceDN w:val="0"/>
              <w:adjustRightInd w:val="0"/>
            </w:pPr>
            <w:r w:rsidRPr="002526B1">
              <w:t xml:space="preserve">Pursuant to §4928.143, Revised Code, </w:t>
            </w:r>
          </w:p>
          <w:p w:rsidR="0040402C" w:rsidRPr="002526B1" w:rsidRDefault="0040402C" w:rsidP="00ED7AF0">
            <w:pPr>
              <w:autoSpaceDE w:val="0"/>
              <w:autoSpaceDN w:val="0"/>
              <w:adjustRightInd w:val="0"/>
            </w:pPr>
            <w:r w:rsidRPr="002526B1">
              <w:t xml:space="preserve">in the Form of an Electric Security Plan. </w:t>
            </w:r>
          </w:p>
          <w:p w:rsidR="0040402C" w:rsidRPr="002526B1" w:rsidRDefault="0040402C" w:rsidP="00ED7AF0">
            <w:pPr>
              <w:autoSpaceDE w:val="0"/>
              <w:autoSpaceDN w:val="0"/>
              <w:adjustRightInd w:val="0"/>
            </w:pPr>
          </w:p>
          <w:p w:rsidR="0040402C" w:rsidRPr="002526B1" w:rsidRDefault="0040402C" w:rsidP="00ED7AF0">
            <w:pPr>
              <w:autoSpaceDE w:val="0"/>
              <w:autoSpaceDN w:val="0"/>
              <w:adjustRightInd w:val="0"/>
            </w:pPr>
            <w:r w:rsidRPr="002526B1">
              <w:t xml:space="preserve">In the Matter of the Application of  Ohio Power Company for Approval of  Case </w:t>
            </w:r>
          </w:p>
          <w:p w:rsidR="0040402C" w:rsidRPr="002526B1" w:rsidRDefault="0040402C" w:rsidP="00ED7AF0">
            <w:pPr>
              <w:pStyle w:val="HTMLPreformatted"/>
              <w:rPr>
                <w:rFonts w:ascii="Times New Roman" w:hAnsi="Times New Roman" w:cs="Times New Roman"/>
                <w:sz w:val="24"/>
                <w:szCs w:val="24"/>
              </w:rPr>
            </w:pPr>
            <w:r w:rsidRPr="002526B1">
              <w:rPr>
                <w:rFonts w:ascii="Times New Roman" w:hAnsi="Times New Roman" w:cs="Times New Roman"/>
                <w:sz w:val="24"/>
                <w:szCs w:val="24"/>
              </w:rPr>
              <w:t>Certain Accounting Authority</w:t>
            </w:r>
            <w:r>
              <w:rPr>
                <w:rFonts w:ascii="Times New Roman" w:hAnsi="Times New Roman" w:cs="Times New Roman"/>
                <w:sz w:val="24"/>
                <w:szCs w:val="24"/>
              </w:rPr>
              <w:t>.</w:t>
            </w:r>
            <w:r w:rsidRPr="002526B1">
              <w:rPr>
                <w:rFonts w:ascii="Times New Roman" w:hAnsi="Times New Roman" w:cs="Times New Roman"/>
                <w:sz w:val="24"/>
                <w:szCs w:val="24"/>
              </w:rPr>
              <w:t xml:space="preserve"> </w:t>
            </w:r>
          </w:p>
          <w:p w:rsidR="0040402C" w:rsidRPr="002526B1" w:rsidRDefault="0040402C" w:rsidP="00ED7AF0">
            <w:pPr>
              <w:pStyle w:val="HTMLPreformatted"/>
              <w:rPr>
                <w:rFonts w:ascii="Times New Roman" w:hAnsi="Times New Roman" w:cs="Times New Roman"/>
                <w:sz w:val="24"/>
                <w:szCs w:val="24"/>
              </w:rPr>
            </w:pPr>
          </w:p>
        </w:tc>
        <w:tc>
          <w:tcPr>
            <w:tcW w:w="360" w:type="dxa"/>
            <w:shd w:val="clear" w:color="auto" w:fill="auto"/>
          </w:tcPr>
          <w:p w:rsidR="0040402C" w:rsidRPr="002526B1" w:rsidRDefault="0040402C" w:rsidP="00ED7AF0">
            <w:pPr>
              <w:pStyle w:val="HTMLPreformatted"/>
              <w:rPr>
                <w:rFonts w:ascii="Times New Roman" w:hAnsi="Times New Roman" w:cs="Times New Roman"/>
                <w:sz w:val="24"/>
                <w:szCs w:val="24"/>
              </w:rPr>
            </w:pPr>
            <w:r w:rsidRPr="002526B1">
              <w:rPr>
                <w:rFonts w:ascii="Times New Roman" w:hAnsi="Times New Roman" w:cs="Times New Roman"/>
                <w:sz w:val="24"/>
                <w:szCs w:val="24"/>
              </w:rPr>
              <w:t>)</w:t>
            </w:r>
          </w:p>
          <w:p w:rsidR="0040402C" w:rsidRPr="002526B1" w:rsidRDefault="0040402C" w:rsidP="00ED7AF0">
            <w:pPr>
              <w:pStyle w:val="HTMLPreformatted"/>
              <w:rPr>
                <w:rFonts w:ascii="Times New Roman" w:hAnsi="Times New Roman" w:cs="Times New Roman"/>
                <w:sz w:val="24"/>
                <w:szCs w:val="24"/>
              </w:rPr>
            </w:pPr>
            <w:r w:rsidRPr="002526B1">
              <w:rPr>
                <w:rFonts w:ascii="Times New Roman" w:hAnsi="Times New Roman" w:cs="Times New Roman"/>
                <w:sz w:val="24"/>
                <w:szCs w:val="24"/>
              </w:rPr>
              <w:t>)</w:t>
            </w:r>
          </w:p>
          <w:p w:rsidR="0040402C" w:rsidRPr="002526B1" w:rsidRDefault="0040402C" w:rsidP="00ED7AF0">
            <w:pPr>
              <w:pStyle w:val="HTMLPreformatted"/>
              <w:rPr>
                <w:rFonts w:ascii="Times New Roman" w:hAnsi="Times New Roman" w:cs="Times New Roman"/>
                <w:sz w:val="24"/>
                <w:szCs w:val="24"/>
              </w:rPr>
            </w:pPr>
            <w:r w:rsidRPr="002526B1">
              <w:rPr>
                <w:rFonts w:ascii="Times New Roman" w:hAnsi="Times New Roman" w:cs="Times New Roman"/>
                <w:sz w:val="24"/>
                <w:szCs w:val="24"/>
              </w:rPr>
              <w:t>)</w:t>
            </w:r>
          </w:p>
          <w:p w:rsidR="0040402C" w:rsidRPr="002526B1" w:rsidRDefault="0040402C" w:rsidP="00ED7AF0">
            <w:pPr>
              <w:pStyle w:val="HTMLPreformatted"/>
              <w:rPr>
                <w:rFonts w:ascii="Times New Roman" w:hAnsi="Times New Roman" w:cs="Times New Roman"/>
                <w:sz w:val="24"/>
                <w:szCs w:val="24"/>
              </w:rPr>
            </w:pPr>
            <w:r w:rsidRPr="002526B1">
              <w:rPr>
                <w:rFonts w:ascii="Times New Roman" w:hAnsi="Times New Roman" w:cs="Times New Roman"/>
                <w:sz w:val="24"/>
                <w:szCs w:val="24"/>
              </w:rPr>
              <w:t>)</w:t>
            </w:r>
          </w:p>
          <w:p w:rsidR="0040402C" w:rsidRPr="002526B1" w:rsidRDefault="0040402C" w:rsidP="00ED7AF0">
            <w:pPr>
              <w:pStyle w:val="HTMLPreformatted"/>
              <w:rPr>
                <w:rFonts w:ascii="Times New Roman" w:hAnsi="Times New Roman" w:cs="Times New Roman"/>
                <w:sz w:val="24"/>
                <w:szCs w:val="24"/>
              </w:rPr>
            </w:pPr>
            <w:r w:rsidRPr="002526B1">
              <w:rPr>
                <w:rFonts w:ascii="Times New Roman" w:hAnsi="Times New Roman" w:cs="Times New Roman"/>
                <w:sz w:val="24"/>
                <w:szCs w:val="24"/>
              </w:rPr>
              <w:t>)</w:t>
            </w:r>
          </w:p>
          <w:p w:rsidR="0040402C" w:rsidRPr="002526B1" w:rsidRDefault="0040402C" w:rsidP="00ED7AF0">
            <w:pPr>
              <w:pStyle w:val="HTMLPreformatted"/>
              <w:rPr>
                <w:rFonts w:ascii="Times New Roman" w:hAnsi="Times New Roman" w:cs="Times New Roman"/>
                <w:sz w:val="24"/>
                <w:szCs w:val="24"/>
              </w:rPr>
            </w:pPr>
          </w:p>
          <w:p w:rsidR="0040402C" w:rsidRPr="002526B1" w:rsidRDefault="0040402C" w:rsidP="00ED7AF0">
            <w:pPr>
              <w:pStyle w:val="HTMLPreformatted"/>
              <w:rPr>
                <w:rFonts w:ascii="Times New Roman" w:hAnsi="Times New Roman" w:cs="Times New Roman"/>
                <w:sz w:val="24"/>
                <w:szCs w:val="24"/>
              </w:rPr>
            </w:pPr>
            <w:r w:rsidRPr="002526B1">
              <w:rPr>
                <w:rFonts w:ascii="Times New Roman" w:hAnsi="Times New Roman" w:cs="Times New Roman"/>
                <w:sz w:val="24"/>
                <w:szCs w:val="24"/>
              </w:rPr>
              <w:t>)</w:t>
            </w:r>
          </w:p>
          <w:p w:rsidR="0040402C" w:rsidRPr="002526B1" w:rsidRDefault="0040402C" w:rsidP="00ED7AF0">
            <w:pPr>
              <w:pStyle w:val="HTMLPreformatted"/>
              <w:rPr>
                <w:rFonts w:ascii="Times New Roman" w:hAnsi="Times New Roman" w:cs="Times New Roman"/>
                <w:sz w:val="24"/>
                <w:szCs w:val="24"/>
              </w:rPr>
            </w:pPr>
            <w:r w:rsidRPr="002526B1">
              <w:rPr>
                <w:rFonts w:ascii="Times New Roman" w:hAnsi="Times New Roman" w:cs="Times New Roman"/>
                <w:sz w:val="24"/>
                <w:szCs w:val="24"/>
              </w:rPr>
              <w:t>)</w:t>
            </w:r>
          </w:p>
          <w:p w:rsidR="0040402C" w:rsidRPr="002526B1" w:rsidRDefault="0040402C" w:rsidP="00ED7AF0">
            <w:pPr>
              <w:pStyle w:val="HTMLPreformatted"/>
              <w:rPr>
                <w:rFonts w:ascii="Times New Roman" w:hAnsi="Times New Roman" w:cs="Times New Roman"/>
                <w:sz w:val="24"/>
                <w:szCs w:val="24"/>
              </w:rPr>
            </w:pPr>
            <w:r w:rsidRPr="002526B1">
              <w:rPr>
                <w:rFonts w:ascii="Times New Roman" w:hAnsi="Times New Roman" w:cs="Times New Roman"/>
                <w:sz w:val="24"/>
                <w:szCs w:val="24"/>
              </w:rPr>
              <w:t>)</w:t>
            </w:r>
          </w:p>
          <w:p w:rsidR="0040402C" w:rsidRPr="002526B1" w:rsidRDefault="0040402C" w:rsidP="00ED7AF0">
            <w:pPr>
              <w:pStyle w:val="HTMLPreformatted"/>
              <w:rPr>
                <w:rFonts w:ascii="Times New Roman" w:hAnsi="Times New Roman" w:cs="Times New Roman"/>
                <w:sz w:val="24"/>
                <w:szCs w:val="24"/>
              </w:rPr>
            </w:pPr>
          </w:p>
        </w:tc>
        <w:tc>
          <w:tcPr>
            <w:tcW w:w="4400" w:type="dxa"/>
            <w:shd w:val="clear" w:color="auto" w:fill="auto"/>
          </w:tcPr>
          <w:p w:rsidR="0040402C" w:rsidRPr="002526B1" w:rsidRDefault="0040402C" w:rsidP="00ED7AF0">
            <w:pPr>
              <w:pStyle w:val="HTMLPreformatted"/>
              <w:rPr>
                <w:rFonts w:ascii="Times New Roman" w:hAnsi="Times New Roman" w:cs="Times New Roman"/>
                <w:sz w:val="24"/>
                <w:szCs w:val="24"/>
              </w:rPr>
            </w:pPr>
          </w:p>
          <w:p w:rsidR="0040402C" w:rsidRPr="002526B1" w:rsidRDefault="0040402C" w:rsidP="00ED7AF0">
            <w:pPr>
              <w:pStyle w:val="HTMLPreformatted"/>
              <w:rPr>
                <w:rFonts w:ascii="Times New Roman" w:hAnsi="Times New Roman" w:cs="Times New Roman"/>
                <w:sz w:val="24"/>
                <w:szCs w:val="24"/>
              </w:rPr>
            </w:pPr>
            <w:r w:rsidRPr="002526B1">
              <w:rPr>
                <w:rFonts w:ascii="Times New Roman" w:hAnsi="Times New Roman" w:cs="Times New Roman"/>
                <w:sz w:val="24"/>
                <w:szCs w:val="24"/>
              </w:rPr>
              <w:t>Case No. 13-</w:t>
            </w:r>
            <w:r>
              <w:rPr>
                <w:rFonts w:ascii="Times New Roman" w:hAnsi="Times New Roman" w:cs="Times New Roman"/>
                <w:sz w:val="24"/>
                <w:szCs w:val="24"/>
              </w:rPr>
              <w:t>23</w:t>
            </w:r>
            <w:r w:rsidRPr="002526B1">
              <w:rPr>
                <w:rFonts w:ascii="Times New Roman" w:hAnsi="Times New Roman" w:cs="Times New Roman"/>
                <w:sz w:val="24"/>
                <w:szCs w:val="24"/>
              </w:rPr>
              <w:t>85-EL-SSO</w:t>
            </w:r>
          </w:p>
          <w:p w:rsidR="0040402C" w:rsidRPr="002526B1" w:rsidRDefault="0040402C" w:rsidP="00ED7AF0">
            <w:pPr>
              <w:pStyle w:val="HTMLPreformatted"/>
              <w:rPr>
                <w:rFonts w:ascii="Times New Roman" w:hAnsi="Times New Roman" w:cs="Times New Roman"/>
                <w:sz w:val="24"/>
                <w:szCs w:val="24"/>
              </w:rPr>
            </w:pPr>
          </w:p>
          <w:p w:rsidR="0040402C" w:rsidRPr="002526B1" w:rsidRDefault="0040402C" w:rsidP="00ED7AF0">
            <w:pPr>
              <w:pStyle w:val="HTMLPreformatted"/>
              <w:rPr>
                <w:rFonts w:ascii="Times New Roman" w:hAnsi="Times New Roman" w:cs="Times New Roman"/>
                <w:sz w:val="24"/>
                <w:szCs w:val="24"/>
              </w:rPr>
            </w:pPr>
          </w:p>
          <w:p w:rsidR="0040402C" w:rsidRPr="002526B1" w:rsidRDefault="0040402C" w:rsidP="00ED7AF0">
            <w:pPr>
              <w:pStyle w:val="HTMLPreformatted"/>
              <w:rPr>
                <w:rFonts w:ascii="Times New Roman" w:hAnsi="Times New Roman" w:cs="Times New Roman"/>
                <w:sz w:val="24"/>
                <w:szCs w:val="24"/>
              </w:rPr>
            </w:pPr>
          </w:p>
          <w:p w:rsidR="0040402C" w:rsidRPr="002526B1" w:rsidRDefault="0040402C" w:rsidP="00ED7AF0">
            <w:pPr>
              <w:pStyle w:val="HTMLPreformatted"/>
              <w:rPr>
                <w:rFonts w:ascii="Times New Roman" w:hAnsi="Times New Roman" w:cs="Times New Roman"/>
                <w:sz w:val="24"/>
                <w:szCs w:val="24"/>
              </w:rPr>
            </w:pPr>
          </w:p>
          <w:p w:rsidR="0040402C" w:rsidRPr="002526B1" w:rsidRDefault="0040402C" w:rsidP="00ED7AF0">
            <w:pPr>
              <w:pStyle w:val="HTMLPreformatted"/>
              <w:rPr>
                <w:rFonts w:ascii="Times New Roman" w:hAnsi="Times New Roman" w:cs="Times New Roman"/>
                <w:sz w:val="24"/>
                <w:szCs w:val="24"/>
              </w:rPr>
            </w:pPr>
            <w:r w:rsidRPr="002526B1">
              <w:rPr>
                <w:rFonts w:ascii="Times New Roman" w:hAnsi="Times New Roman" w:cs="Times New Roman"/>
                <w:sz w:val="24"/>
                <w:szCs w:val="24"/>
              </w:rPr>
              <w:t>Case No. 13-2386-EL-AAM</w:t>
            </w:r>
          </w:p>
        </w:tc>
      </w:tr>
    </w:tbl>
    <w:p w:rsidR="0040402C" w:rsidRDefault="0040402C" w:rsidP="0040402C">
      <w:pPr>
        <w:pStyle w:val="Heading3"/>
        <w:pBdr>
          <w:bottom w:val="single" w:sz="12" w:space="1" w:color="auto"/>
        </w:pBdr>
        <w:spacing w:line="240" w:lineRule="auto"/>
        <w:jc w:val="center"/>
        <w:rPr>
          <w:b/>
        </w:rPr>
      </w:pPr>
    </w:p>
    <w:p w:rsidR="0040402C" w:rsidRPr="00F3794A" w:rsidRDefault="0040402C" w:rsidP="0040402C"/>
    <w:p w:rsidR="004F0A65" w:rsidRDefault="004F0A65" w:rsidP="00984CEF">
      <w:pPr>
        <w:jc w:val="center"/>
        <w:rPr>
          <w:b/>
        </w:rPr>
      </w:pPr>
      <w:r>
        <w:rPr>
          <w:b/>
        </w:rPr>
        <w:t xml:space="preserve">REPLY TO </w:t>
      </w:r>
      <w:r w:rsidR="00984CEF" w:rsidRPr="00984CEF">
        <w:rPr>
          <w:b/>
        </w:rPr>
        <w:t xml:space="preserve">RESA’S MEMORANDUM </w:t>
      </w:r>
      <w:r>
        <w:rPr>
          <w:b/>
        </w:rPr>
        <w:t>CONTRA MOTION TO STRIKE</w:t>
      </w:r>
    </w:p>
    <w:p w:rsidR="00984CEF" w:rsidRPr="00984CEF" w:rsidRDefault="00984CEF" w:rsidP="00984CEF">
      <w:pPr>
        <w:jc w:val="center"/>
        <w:rPr>
          <w:b/>
        </w:rPr>
      </w:pPr>
      <w:r w:rsidRPr="00984CEF">
        <w:rPr>
          <w:b/>
        </w:rPr>
        <w:t xml:space="preserve">BY </w:t>
      </w:r>
    </w:p>
    <w:p w:rsidR="00984CEF" w:rsidRPr="00984CEF" w:rsidRDefault="00984CEF" w:rsidP="00984CEF">
      <w:pPr>
        <w:jc w:val="center"/>
        <w:rPr>
          <w:b/>
        </w:rPr>
      </w:pPr>
      <w:r w:rsidRPr="00984CEF">
        <w:rPr>
          <w:b/>
        </w:rPr>
        <w:t>THE OFFICE OF THE OHIO CONSUMERS’ COUNSEL</w:t>
      </w:r>
    </w:p>
    <w:p w:rsidR="00984CEF" w:rsidRDefault="00984CEF" w:rsidP="00984CEF">
      <w:pPr>
        <w:pBdr>
          <w:bottom w:val="single" w:sz="12" w:space="1" w:color="auto"/>
        </w:pBdr>
        <w:jc w:val="center"/>
      </w:pPr>
    </w:p>
    <w:p w:rsidR="00984CEF" w:rsidRPr="00984CEF" w:rsidRDefault="00984CEF" w:rsidP="00984CEF"/>
    <w:p w:rsidR="004F0A65" w:rsidRDefault="0040402C" w:rsidP="0040402C">
      <w:pPr>
        <w:spacing w:line="480" w:lineRule="auto"/>
      </w:pPr>
      <w:r>
        <w:rPr>
          <w:b/>
        </w:rPr>
        <w:tab/>
      </w:r>
      <w:r w:rsidRPr="0040402C">
        <w:t xml:space="preserve">The Office of the </w:t>
      </w:r>
      <w:r>
        <w:t xml:space="preserve">Ohio </w:t>
      </w:r>
      <w:r w:rsidRPr="0040402C">
        <w:t xml:space="preserve">Consumers’ </w:t>
      </w:r>
      <w:r>
        <w:t>Counsel (“OCC”</w:t>
      </w:r>
      <w:r w:rsidR="00940823">
        <w:t>) move</w:t>
      </w:r>
      <w:r w:rsidR="004F0A65">
        <w:t xml:space="preserve">d </w:t>
      </w:r>
      <w:r w:rsidR="00791CD9">
        <w:rPr>
          <w:rStyle w:val="FootnoteReference"/>
        </w:rPr>
        <w:footnoteReference w:id="1"/>
      </w:r>
      <w:r w:rsidR="00791CD9">
        <w:t xml:space="preserve"> </w:t>
      </w:r>
      <w:r w:rsidR="00940823">
        <w:t xml:space="preserve">to strike the Retail   Energy Supply Association’s (“RESA”) </w:t>
      </w:r>
      <w:r w:rsidR="00CB6B4D">
        <w:t>“</w:t>
      </w:r>
      <w:r>
        <w:t xml:space="preserve">Response </w:t>
      </w:r>
      <w:r w:rsidR="00440102">
        <w:t>to the Application for Rehearing of Ohio Power Company.</w:t>
      </w:r>
      <w:r w:rsidR="00CB6B4D">
        <w:t>”</w:t>
      </w:r>
      <w:r w:rsidR="00440102">
        <w:t xml:space="preserve"> </w:t>
      </w:r>
      <w:r w:rsidR="004F0A65">
        <w:t xml:space="preserve">On July 21, 2015 </w:t>
      </w:r>
      <w:r w:rsidR="00940823">
        <w:t>RESA</w:t>
      </w:r>
      <w:r w:rsidR="004F0A65">
        <w:t xml:space="preserve"> filed a Memorandum Contra OCC’s motion to strike.  </w:t>
      </w:r>
    </w:p>
    <w:p w:rsidR="00610A9D" w:rsidRDefault="004F0A65" w:rsidP="006D4772">
      <w:pPr>
        <w:spacing w:line="480" w:lineRule="auto"/>
        <w:ind w:firstLine="720"/>
        <w:sectPr w:rsidR="00610A9D" w:rsidSect="00984CEF">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pPr>
      <w:r>
        <w:t>RESA argues in it</w:t>
      </w:r>
      <w:r w:rsidR="006D4772">
        <w:t>s</w:t>
      </w:r>
      <w:r>
        <w:t xml:space="preserve"> Memorandum Contra </w:t>
      </w:r>
      <w:r w:rsidR="0062135B">
        <w:t xml:space="preserve">that </w:t>
      </w:r>
      <w:r w:rsidR="00EA0ADF">
        <w:t>in its “Response” to Ohio Power’s application it asked to “significantly change AEP Ohio’s request.”</w:t>
      </w:r>
      <w:r w:rsidR="00EA0ADF">
        <w:rPr>
          <w:rStyle w:val="FootnoteReference"/>
        </w:rPr>
        <w:footnoteReference w:id="2"/>
      </w:r>
      <w:r w:rsidR="00EA0ADF">
        <w:t xml:space="preserve"> </w:t>
      </w:r>
      <w:r w:rsidR="00CB6B4D">
        <w:t xml:space="preserve">Thus, it implies that its Response is really a </w:t>
      </w:r>
      <w:r w:rsidR="009A7851">
        <w:t>“</w:t>
      </w:r>
      <w:r w:rsidR="00CB6B4D">
        <w:t>memorandum contra</w:t>
      </w:r>
      <w:r w:rsidR="009A7851">
        <w:t>”</w:t>
      </w:r>
      <w:r w:rsidR="00CB6B4D">
        <w:t xml:space="preserve"> and </w:t>
      </w:r>
      <w:r w:rsidR="00EA0ADF">
        <w:t>“should be considered as opposition to AEP Ohio’s Application for Rehearing</w:t>
      </w:r>
      <w:r w:rsidR="00CB6B4D">
        <w:t>.”</w:t>
      </w:r>
      <w:r w:rsidR="00CB6B4D">
        <w:rPr>
          <w:rStyle w:val="FootnoteReference"/>
        </w:rPr>
        <w:footnoteReference w:id="3"/>
      </w:r>
      <w:r w:rsidR="00CB6B4D">
        <w:t xml:space="preserve"> Alternatively, RESA alleges that it is not prohibited from filing a pleading in support of an application for rehearing, and cites a 2007 Attorney Examiner Entry as support for its argument.</w:t>
      </w:r>
      <w:r w:rsidR="00CB6B4D">
        <w:rPr>
          <w:rStyle w:val="FootnoteReference"/>
        </w:rPr>
        <w:footnoteReference w:id="4"/>
      </w:r>
    </w:p>
    <w:p w:rsidR="00CB6B4D" w:rsidRDefault="00CB6B4D" w:rsidP="006D4772">
      <w:pPr>
        <w:spacing w:line="480" w:lineRule="auto"/>
        <w:ind w:firstLine="720"/>
      </w:pPr>
      <w:r>
        <w:lastRenderedPageBreak/>
        <w:t>RESA’s arguments, however, are misguided and lack support. The PUCO should strike RESA’s “Response” as OCC requested.</w:t>
      </w:r>
    </w:p>
    <w:p w:rsidR="00DE6E80" w:rsidRDefault="00CB6B4D" w:rsidP="006D4772">
      <w:pPr>
        <w:spacing w:line="480" w:lineRule="auto"/>
        <w:ind w:firstLine="720"/>
      </w:pPr>
      <w:r>
        <w:t xml:space="preserve">In its Memorandum Contra OCC’s motion, RESA claims for the first time that </w:t>
      </w:r>
      <w:r w:rsidR="00DE6E80">
        <w:t xml:space="preserve">its “Response” did not endorse </w:t>
      </w:r>
      <w:r w:rsidR="00165FB1">
        <w:t xml:space="preserve">AEP Ohio’s third assignment of error. </w:t>
      </w:r>
      <w:r w:rsidR="00DE6E80">
        <w:t>But a review of the “Response” reads otherwise. RESA</w:t>
      </w:r>
      <w:r w:rsidR="00165FB1">
        <w:t xml:space="preserve"> “join[ed] with AEP Ohio asking that there be greater flexibility to develop a POR</w:t>
      </w:r>
      <w:r w:rsidR="00137889">
        <w:t xml:space="preserve"> [purchase of receivables]</w:t>
      </w:r>
      <w:r w:rsidR="00165FB1">
        <w:t xml:space="preserve"> proposal.”</w:t>
      </w:r>
      <w:r w:rsidR="00165FB1">
        <w:rPr>
          <w:rStyle w:val="FootnoteReference"/>
        </w:rPr>
        <w:footnoteReference w:id="5"/>
      </w:r>
      <w:r w:rsidR="00165FB1">
        <w:t xml:space="preserve"> It claimed that “AEP Ohio’s request is reasonable and the clarification it seeks could actually save time and effort.”</w:t>
      </w:r>
      <w:r w:rsidR="00DE6E80">
        <w:rPr>
          <w:rStyle w:val="FootnoteReference"/>
        </w:rPr>
        <w:footnoteReference w:id="6"/>
      </w:r>
      <w:r w:rsidR="00165FB1">
        <w:t xml:space="preserve"> It “support[ed] AEP Ohio’s request for greater leeway for the MDWG</w:t>
      </w:r>
      <w:r w:rsidR="00137889">
        <w:t xml:space="preserve"> [Market Development Working Group]</w:t>
      </w:r>
      <w:r w:rsidR="00165FB1">
        <w:t xml:space="preserve"> to develop the POR program details.”</w:t>
      </w:r>
      <w:r w:rsidR="00DE6E80">
        <w:rPr>
          <w:rStyle w:val="FootnoteReference"/>
        </w:rPr>
        <w:footnoteReference w:id="7"/>
      </w:r>
      <w:r w:rsidR="00165FB1">
        <w:t xml:space="preserve"> </w:t>
      </w:r>
    </w:p>
    <w:p w:rsidR="00DE6E80" w:rsidRDefault="00DE6E80" w:rsidP="006D4772">
      <w:pPr>
        <w:spacing w:line="480" w:lineRule="auto"/>
        <w:ind w:firstLine="720"/>
      </w:pPr>
      <w:r>
        <w:t xml:space="preserve">Nowhere in the “Response” did RESA </w:t>
      </w:r>
      <w:r w:rsidR="00137889">
        <w:t xml:space="preserve">state </w:t>
      </w:r>
      <w:r>
        <w:t xml:space="preserve">that it wanted to significantly change AEP Ohio’s request. Nor did RESA </w:t>
      </w:r>
      <w:r w:rsidR="00137889">
        <w:t>state</w:t>
      </w:r>
      <w:r>
        <w:t xml:space="preserve"> that it was opposed to AEP’s Application for </w:t>
      </w:r>
      <w:r w:rsidR="00137889">
        <w:t>R</w:t>
      </w:r>
      <w:r>
        <w:t>ehearing. Such revisionist tactics should be seen for what they are –</w:t>
      </w:r>
      <w:r w:rsidR="009A7851">
        <w:t>an attempt</w:t>
      </w:r>
      <w:r>
        <w:t xml:space="preserve"> at circumventing the PUCO rules that do not allow for a memorandum in support filed without the PUCO’s permission.    </w:t>
      </w:r>
    </w:p>
    <w:p w:rsidR="00A753FF" w:rsidRDefault="00DE6E80" w:rsidP="006D4772">
      <w:pPr>
        <w:spacing w:line="480" w:lineRule="auto"/>
        <w:ind w:firstLine="720"/>
      </w:pPr>
      <w:r>
        <w:t>RESA</w:t>
      </w:r>
      <w:r w:rsidR="00A753FF">
        <w:t xml:space="preserve"> relies</w:t>
      </w:r>
      <w:r>
        <w:t xml:space="preserve"> on a 2</w:t>
      </w:r>
      <w:r w:rsidR="00A753FF">
        <w:t>007 Attorney Examiner Ruling as support for not following the PUCO’s rules. It claims that a single Attorney Examiner ruling</w:t>
      </w:r>
      <w:r w:rsidR="00A753FF">
        <w:rPr>
          <w:rStyle w:val="FootnoteReference"/>
        </w:rPr>
        <w:footnoteReference w:id="8"/>
      </w:r>
      <w:r w:rsidR="00A753FF">
        <w:t xml:space="preserve"> refusing to strike a </w:t>
      </w:r>
      <w:r w:rsidR="006F269C">
        <w:t>memo</w:t>
      </w:r>
      <w:r w:rsidR="00A753FF">
        <w:t xml:space="preserve"> in support </w:t>
      </w:r>
      <w:r w:rsidR="006F269C">
        <w:t xml:space="preserve">of a pleading (which was not an application for rehearing) </w:t>
      </w:r>
      <w:r w:rsidR="00A753FF">
        <w:t xml:space="preserve">means that a filing </w:t>
      </w:r>
      <w:r w:rsidR="006F269C">
        <w:t xml:space="preserve">that supports an application for rehearing </w:t>
      </w:r>
      <w:r w:rsidR="00A753FF">
        <w:t xml:space="preserve">is not prohibited under Ohio Adm. Code 4901-1-35.  </w:t>
      </w:r>
    </w:p>
    <w:p w:rsidR="009A7851" w:rsidRDefault="009A7851" w:rsidP="006F269C">
      <w:pPr>
        <w:spacing w:line="480" w:lineRule="auto"/>
        <w:ind w:firstLine="720"/>
      </w:pPr>
      <w:r>
        <w:lastRenderedPageBreak/>
        <w:t xml:space="preserve">The PUCO should not rely on the 2007 Attorney Examiner ruling for two reasons.  First, </w:t>
      </w:r>
      <w:r w:rsidR="002F5555">
        <w:t xml:space="preserve">the Attorney Examiner ruling </w:t>
      </w:r>
      <w:r>
        <w:t>did not address the specific type of pleading filed in this case—a</w:t>
      </w:r>
      <w:r w:rsidR="0085452C">
        <w:t xml:space="preserve"> memorandum contra to an</w:t>
      </w:r>
      <w:r>
        <w:t xml:space="preserve"> application for rehearing. Rather the 2007 Attorney Examiner ruling was directed at a motion</w:t>
      </w:r>
      <w:r w:rsidR="002F5555">
        <w:t xml:space="preserve"> to quash subpoenas and motion for protective order</w:t>
      </w:r>
      <w:r>
        <w:t>, not an application for rehearing.</w:t>
      </w:r>
    </w:p>
    <w:p w:rsidR="009A7851" w:rsidRDefault="009A7851" w:rsidP="006F269C">
      <w:pPr>
        <w:spacing w:line="480" w:lineRule="auto"/>
        <w:ind w:firstLine="720"/>
        <w:rPr>
          <w:bCs/>
        </w:rPr>
      </w:pPr>
      <w:r>
        <w:t xml:space="preserve">And second </w:t>
      </w:r>
      <w:r w:rsidR="006F269C" w:rsidRPr="006F269C">
        <w:t xml:space="preserve">the Commission (not an Attorney Examiner) has ruled </w:t>
      </w:r>
      <w:r>
        <w:t>on this precise issue, but come to a contrary conclusion. The PUCO ruled that un</w:t>
      </w:r>
      <w:r w:rsidR="00A753FF" w:rsidRPr="006F269C">
        <w:t xml:space="preserve">der </w:t>
      </w:r>
      <w:r w:rsidR="006F269C" w:rsidRPr="006F269C">
        <w:t>the rules which govern applications for rehearing (Ohio Adm. Code 4901-1-35), a memoran</w:t>
      </w:r>
      <w:r>
        <w:t>dum in support is not permitted.</w:t>
      </w:r>
      <w:r w:rsidR="006F269C" w:rsidRPr="006F269C">
        <w:rPr>
          <w:rStyle w:val="FootnoteReference"/>
        </w:rPr>
        <w:footnoteRef/>
      </w:r>
      <w:r w:rsidR="00610A9D">
        <w:t xml:space="preserve"> </w:t>
      </w:r>
      <w:r w:rsidR="006F269C" w:rsidRPr="006F269C">
        <w:rPr>
          <w:i/>
        </w:rPr>
        <w:t xml:space="preserve">In the Matter of the Establishment of Carrier-to Carrier Rules, </w:t>
      </w:r>
      <w:r w:rsidR="006F269C" w:rsidRPr="006F269C">
        <w:t>Case No. 06-1344-TP-ORD, Entry on Rehearing at ¶6 (Oct. 17, 2007).</w:t>
      </w:r>
      <w:r w:rsidR="006F269C">
        <w:t xml:space="preserve"> </w:t>
      </w:r>
      <w:r w:rsidR="006F269C">
        <w:rPr>
          <w:bCs/>
        </w:rPr>
        <w:t>In that ruling, the PUCO appropriately struck portions of parties’ “memorandum contra” that were in actuality “memorandum in support.”</w:t>
      </w:r>
      <w:r w:rsidR="006F269C">
        <w:rPr>
          <w:rStyle w:val="FootnoteReference"/>
          <w:bCs/>
        </w:rPr>
        <w:footnoteReference w:id="9"/>
      </w:r>
      <w:r w:rsidR="006F269C">
        <w:rPr>
          <w:bCs/>
        </w:rPr>
        <w:t xml:space="preserve"> It concluded that if a party believes that it is necessary to inform the Commission of its support for another party’s rehearing position, it should file a motion for leave to file a memorandum in support.</w:t>
      </w:r>
      <w:r w:rsidR="006F269C">
        <w:rPr>
          <w:rStyle w:val="FootnoteReference"/>
          <w:bCs/>
        </w:rPr>
        <w:footnoteReference w:id="10"/>
      </w:r>
      <w:r w:rsidR="006F269C">
        <w:rPr>
          <w:bCs/>
        </w:rPr>
        <w:t xml:space="preserve"> </w:t>
      </w:r>
    </w:p>
    <w:p w:rsidR="009A7851" w:rsidRDefault="009A7851" w:rsidP="006F269C">
      <w:pPr>
        <w:spacing w:line="480" w:lineRule="auto"/>
        <w:ind w:firstLine="720"/>
        <w:rPr>
          <w:bCs/>
        </w:rPr>
      </w:pPr>
      <w:r>
        <w:rPr>
          <w:bCs/>
        </w:rPr>
        <w:t xml:space="preserve">But here </w:t>
      </w:r>
      <w:r w:rsidR="006F269C">
        <w:rPr>
          <w:bCs/>
        </w:rPr>
        <w:t xml:space="preserve">RESA </w:t>
      </w:r>
      <w:r>
        <w:rPr>
          <w:bCs/>
        </w:rPr>
        <w:t xml:space="preserve">inexplicably </w:t>
      </w:r>
      <w:r w:rsidR="006F269C">
        <w:rPr>
          <w:bCs/>
        </w:rPr>
        <w:t>failed to</w:t>
      </w:r>
      <w:r>
        <w:rPr>
          <w:bCs/>
        </w:rPr>
        <w:t xml:space="preserve"> seek leave to file its “Response” in support of AEP Ohio’s application for rehearing. And neither did RESA address the prejudice to OCC that comes as a result of RESA not following the PUCO’s rules.  </w:t>
      </w:r>
    </w:p>
    <w:p w:rsidR="006F269C" w:rsidRDefault="009A7851" w:rsidP="006F269C">
      <w:pPr>
        <w:spacing w:line="480" w:lineRule="auto"/>
        <w:ind w:firstLine="720"/>
        <w:rPr>
          <w:bCs/>
        </w:rPr>
      </w:pPr>
      <w:r>
        <w:rPr>
          <w:bCs/>
        </w:rPr>
        <w:t xml:space="preserve">The PUCO should strike RESA’s “Response.” Doing so will encourage parties, including RESA, to follow the PUCO’s rules.  </w:t>
      </w:r>
      <w:r w:rsidR="006F269C">
        <w:rPr>
          <w:bCs/>
        </w:rPr>
        <w:t xml:space="preserve">  </w:t>
      </w:r>
    </w:p>
    <w:p w:rsidR="006F269C" w:rsidRPr="006F269C" w:rsidRDefault="006F269C" w:rsidP="006F269C">
      <w:pPr>
        <w:pStyle w:val="FootnoteText"/>
        <w:spacing w:after="120" w:line="480" w:lineRule="auto"/>
        <w:ind w:firstLine="720"/>
        <w:rPr>
          <w:sz w:val="24"/>
          <w:szCs w:val="24"/>
        </w:rPr>
      </w:pPr>
    </w:p>
    <w:p w:rsidR="00440102" w:rsidRDefault="006F269C" w:rsidP="006F269C">
      <w:pPr>
        <w:spacing w:line="480" w:lineRule="auto"/>
        <w:ind w:firstLine="720"/>
      </w:pPr>
      <w:r>
        <w:t xml:space="preserve"> </w:t>
      </w:r>
    </w:p>
    <w:p w:rsidR="0040402C" w:rsidRPr="008241D3" w:rsidRDefault="00440102" w:rsidP="00610A9D">
      <w:pPr>
        <w:spacing w:after="200" w:line="276" w:lineRule="auto"/>
        <w:ind w:left="3600" w:firstLine="720"/>
      </w:pPr>
      <w:r>
        <w:t>R</w:t>
      </w:r>
      <w:r w:rsidR="0040402C" w:rsidRPr="008241D3">
        <w:t>espectfully submitted,</w:t>
      </w:r>
    </w:p>
    <w:p w:rsidR="0040402C" w:rsidRPr="008241D3" w:rsidRDefault="0040402C" w:rsidP="0040402C">
      <w:pPr>
        <w:pStyle w:val="Footer"/>
        <w:tabs>
          <w:tab w:val="clear" w:pos="8640"/>
          <w:tab w:val="left" w:pos="4320"/>
        </w:tabs>
        <w:ind w:left="4320"/>
      </w:pPr>
    </w:p>
    <w:p w:rsidR="0040402C" w:rsidRPr="008241D3" w:rsidRDefault="0040402C" w:rsidP="0040402C">
      <w:pPr>
        <w:pStyle w:val="Footer"/>
        <w:tabs>
          <w:tab w:val="clear" w:pos="8640"/>
          <w:tab w:val="left" w:pos="4320"/>
        </w:tabs>
        <w:ind w:left="4320"/>
      </w:pPr>
      <w:r w:rsidRPr="008241D3">
        <w:t>BRUCE J. WESTON</w:t>
      </w:r>
    </w:p>
    <w:p w:rsidR="0040402C" w:rsidRPr="008241D3" w:rsidRDefault="0040402C" w:rsidP="0040402C">
      <w:pPr>
        <w:pStyle w:val="Footer"/>
        <w:tabs>
          <w:tab w:val="clear" w:pos="8640"/>
          <w:tab w:val="left" w:pos="4320"/>
        </w:tabs>
        <w:ind w:left="4320"/>
      </w:pPr>
      <w:r w:rsidRPr="008241D3">
        <w:t>OHIO CONSUMERS’ COUNSEL</w:t>
      </w:r>
    </w:p>
    <w:p w:rsidR="0040402C" w:rsidRPr="008241D3" w:rsidRDefault="0040402C" w:rsidP="0040402C">
      <w:pPr>
        <w:tabs>
          <w:tab w:val="left" w:pos="4320"/>
        </w:tabs>
      </w:pPr>
      <w:r w:rsidRPr="008241D3">
        <w:tab/>
      </w:r>
    </w:p>
    <w:p w:rsidR="0040402C" w:rsidRPr="008241D3" w:rsidRDefault="0040402C" w:rsidP="0040402C">
      <w:pPr>
        <w:tabs>
          <w:tab w:val="left" w:pos="4320"/>
        </w:tabs>
        <w:rPr>
          <w:i/>
          <w:u w:val="single"/>
        </w:rPr>
      </w:pPr>
      <w:r w:rsidRPr="008241D3">
        <w:rPr>
          <w:i/>
        </w:rPr>
        <w:tab/>
      </w:r>
      <w:r w:rsidRPr="008241D3">
        <w:rPr>
          <w:i/>
          <w:u w:val="single"/>
        </w:rPr>
        <w:t>/s/ Maureen R. Grady</w:t>
      </w:r>
    </w:p>
    <w:p w:rsidR="0040402C" w:rsidRPr="008241D3" w:rsidRDefault="0040402C" w:rsidP="0040402C">
      <w:pPr>
        <w:tabs>
          <w:tab w:val="left" w:pos="4320"/>
        </w:tabs>
      </w:pPr>
      <w:r w:rsidRPr="008241D3">
        <w:tab/>
        <w:t>Maureen R. Grady, Counsel of Record</w:t>
      </w:r>
    </w:p>
    <w:p w:rsidR="0040402C" w:rsidRPr="008241D3" w:rsidRDefault="0040402C" w:rsidP="0040402C">
      <w:pPr>
        <w:tabs>
          <w:tab w:val="left" w:pos="4320"/>
        </w:tabs>
      </w:pPr>
      <w:r w:rsidRPr="008241D3">
        <w:tab/>
        <w:t>(Reg. No. 0020847)</w:t>
      </w:r>
    </w:p>
    <w:p w:rsidR="0040402C" w:rsidRPr="008241D3" w:rsidRDefault="0040402C" w:rsidP="0040402C">
      <w:pPr>
        <w:tabs>
          <w:tab w:val="left" w:pos="4320"/>
        </w:tabs>
        <w:ind w:left="4320"/>
      </w:pPr>
      <w:r w:rsidRPr="008241D3">
        <w:t>Joseph P. Serio</w:t>
      </w:r>
    </w:p>
    <w:p w:rsidR="0040402C" w:rsidRPr="008241D3" w:rsidRDefault="0040402C" w:rsidP="0040402C">
      <w:pPr>
        <w:tabs>
          <w:tab w:val="left" w:pos="4320"/>
        </w:tabs>
        <w:ind w:left="4320"/>
      </w:pPr>
      <w:r w:rsidRPr="008241D3">
        <w:t>(Reg. No. 0036959)</w:t>
      </w:r>
    </w:p>
    <w:p w:rsidR="0040402C" w:rsidRPr="008241D3" w:rsidRDefault="0040402C" w:rsidP="0040402C">
      <w:pPr>
        <w:tabs>
          <w:tab w:val="left" w:pos="4320"/>
        </w:tabs>
        <w:ind w:left="4320"/>
      </w:pPr>
      <w:r w:rsidRPr="008241D3">
        <w:t>Assistant Consumers’ Counsel</w:t>
      </w:r>
    </w:p>
    <w:p w:rsidR="0040402C" w:rsidRPr="008241D3" w:rsidRDefault="0040402C" w:rsidP="0040402C">
      <w:pPr>
        <w:ind w:left="4320"/>
        <w:rPr>
          <w:b/>
        </w:rPr>
      </w:pPr>
    </w:p>
    <w:p w:rsidR="0040402C" w:rsidRPr="008241D3" w:rsidRDefault="0040402C" w:rsidP="0040402C">
      <w:pPr>
        <w:ind w:left="4320"/>
        <w:rPr>
          <w:b/>
        </w:rPr>
      </w:pPr>
      <w:r w:rsidRPr="008241D3">
        <w:rPr>
          <w:b/>
        </w:rPr>
        <w:t>Office of the Ohio Consumers’ Counsel</w:t>
      </w:r>
    </w:p>
    <w:p w:rsidR="0040402C" w:rsidRPr="008241D3" w:rsidRDefault="0040402C" w:rsidP="0040402C">
      <w:pPr>
        <w:ind w:left="4320"/>
      </w:pPr>
      <w:r w:rsidRPr="008241D3">
        <w:t>10 West Broad Street, Suite 1800</w:t>
      </w:r>
    </w:p>
    <w:p w:rsidR="0040402C" w:rsidRPr="008241D3" w:rsidRDefault="0040402C" w:rsidP="0040402C">
      <w:pPr>
        <w:ind w:left="4320"/>
      </w:pPr>
      <w:r w:rsidRPr="008241D3">
        <w:t>Columbus, Ohio 43215-3485</w:t>
      </w:r>
    </w:p>
    <w:p w:rsidR="0040402C" w:rsidRPr="008241D3" w:rsidRDefault="0040402C" w:rsidP="0040402C">
      <w:pPr>
        <w:ind w:left="4320"/>
      </w:pPr>
      <w:r w:rsidRPr="008241D3">
        <w:t xml:space="preserve">(614) 466-9567 – Grady </w:t>
      </w:r>
    </w:p>
    <w:p w:rsidR="0040402C" w:rsidRPr="008241D3" w:rsidRDefault="0040402C" w:rsidP="0040402C">
      <w:pPr>
        <w:ind w:left="2880" w:firstLine="720"/>
      </w:pPr>
      <w:r w:rsidRPr="008241D3">
        <w:tab/>
        <w:t>(614) 466-9565 – Serio</w:t>
      </w:r>
    </w:p>
    <w:p w:rsidR="0040402C" w:rsidRPr="008241D3" w:rsidRDefault="00E07E40" w:rsidP="0040402C">
      <w:pPr>
        <w:ind w:left="3600" w:firstLine="720"/>
      </w:pPr>
      <w:hyperlink r:id="rId13" w:history="1">
        <w:r w:rsidR="0040402C" w:rsidRPr="008241D3">
          <w:rPr>
            <w:rStyle w:val="Hyperlink"/>
          </w:rPr>
          <w:t>Maureen.grady@occ.ohio.gov</w:t>
        </w:r>
      </w:hyperlink>
    </w:p>
    <w:p w:rsidR="0040402C" w:rsidRPr="008241D3" w:rsidRDefault="0040402C" w:rsidP="0040402C">
      <w:pPr>
        <w:ind w:left="2880" w:firstLine="720"/>
      </w:pPr>
      <w:r w:rsidRPr="008241D3">
        <w:tab/>
        <w:t>(will accept service via email)</w:t>
      </w:r>
    </w:p>
    <w:p w:rsidR="0040402C" w:rsidRPr="008241D3" w:rsidRDefault="0040402C" w:rsidP="0040402C">
      <w:pPr>
        <w:ind w:left="2880" w:firstLine="720"/>
      </w:pPr>
      <w:r w:rsidRPr="008241D3">
        <w:tab/>
      </w:r>
      <w:hyperlink r:id="rId14" w:history="1">
        <w:r w:rsidRPr="008241D3">
          <w:rPr>
            <w:rStyle w:val="Hyperlink"/>
          </w:rPr>
          <w:t>Joseph.serio@occ.ohio.gov</w:t>
        </w:r>
      </w:hyperlink>
    </w:p>
    <w:p w:rsidR="0040402C" w:rsidRPr="008241D3" w:rsidRDefault="0040402C" w:rsidP="0040402C">
      <w:pPr>
        <w:ind w:left="3600" w:firstLine="720"/>
      </w:pPr>
      <w:r w:rsidRPr="008241D3">
        <w:t>(will accept service via email)</w:t>
      </w:r>
    </w:p>
    <w:p w:rsidR="00984CEF" w:rsidRDefault="00984CEF" w:rsidP="00984CEF">
      <w:pPr>
        <w:pStyle w:val="HTMLPreformatted"/>
        <w:jc w:val="center"/>
        <w:rPr>
          <w:rFonts w:ascii="Times New Roman" w:eastAsia="Times New Roman" w:hAnsi="Times New Roman" w:cs="Times New Roman"/>
          <w:sz w:val="24"/>
          <w:szCs w:val="24"/>
        </w:rPr>
      </w:pPr>
    </w:p>
    <w:p w:rsidR="007F5B4A" w:rsidRDefault="007F5B4A" w:rsidP="00984CEF">
      <w:pPr>
        <w:pStyle w:val="HTMLPreformatted"/>
        <w:jc w:val="center"/>
        <w:rPr>
          <w:rFonts w:ascii="Times New Roman" w:eastAsia="Times New Roman" w:hAnsi="Times New Roman" w:cs="Times New Roman"/>
          <w:sz w:val="24"/>
          <w:szCs w:val="24"/>
        </w:rPr>
      </w:pPr>
    </w:p>
    <w:p w:rsidR="007F5B4A" w:rsidRDefault="007F5B4A" w:rsidP="00984CEF">
      <w:pPr>
        <w:pStyle w:val="HTMLPreformatted"/>
        <w:jc w:val="center"/>
        <w:rPr>
          <w:rFonts w:ascii="Times New Roman" w:eastAsia="Times New Roman" w:hAnsi="Times New Roman" w:cs="Times New Roman"/>
          <w:sz w:val="24"/>
          <w:szCs w:val="24"/>
        </w:rPr>
        <w:sectPr w:rsidR="007F5B4A" w:rsidSect="00984CEF">
          <w:headerReference w:type="default" r:id="rId15"/>
          <w:footerReference w:type="default" r:id="rId16"/>
          <w:pgSz w:w="12240" w:h="15840"/>
          <w:pgMar w:top="1440" w:right="1800" w:bottom="1440" w:left="1800" w:header="720" w:footer="720" w:gutter="0"/>
          <w:cols w:space="720"/>
          <w:docGrid w:linePitch="360"/>
        </w:sectPr>
      </w:pPr>
    </w:p>
    <w:p w:rsidR="00440102" w:rsidRDefault="00440102" w:rsidP="00984CEF">
      <w:pPr>
        <w:pStyle w:val="HTMLPreformatted"/>
        <w:jc w:val="center"/>
        <w:rPr>
          <w:rFonts w:ascii="Times New Roman" w:hAnsi="Times New Roman"/>
          <w:b/>
          <w:bCs/>
          <w:sz w:val="24"/>
        </w:rPr>
      </w:pPr>
      <w:r>
        <w:rPr>
          <w:rFonts w:ascii="Times New Roman" w:hAnsi="Times New Roman"/>
          <w:b/>
          <w:bCs/>
          <w:sz w:val="24"/>
        </w:rPr>
        <w:t>BEFORE</w:t>
      </w:r>
    </w:p>
    <w:p w:rsidR="00440102" w:rsidRDefault="00440102" w:rsidP="00440102">
      <w:pPr>
        <w:pStyle w:val="HTMLPreformatted"/>
        <w:jc w:val="center"/>
        <w:rPr>
          <w:rFonts w:ascii="Times New Roman" w:hAnsi="Times New Roman"/>
          <w:sz w:val="24"/>
        </w:rPr>
      </w:pPr>
      <w:r>
        <w:rPr>
          <w:rFonts w:ascii="Times New Roman" w:hAnsi="Times New Roman"/>
          <w:b/>
          <w:bCs/>
          <w:sz w:val="24"/>
        </w:rPr>
        <w:t>THE PUBLIC UTILITIES COMMISSION OF OHIO</w:t>
      </w:r>
    </w:p>
    <w:p w:rsidR="00440102" w:rsidRDefault="00440102" w:rsidP="00440102">
      <w:pPr>
        <w:pStyle w:val="HTMLPreformatted"/>
        <w:rPr>
          <w:rFonts w:ascii="Times New Roman" w:hAnsi="Times New Roman"/>
          <w:sz w:val="24"/>
        </w:rPr>
      </w:pPr>
    </w:p>
    <w:tbl>
      <w:tblPr>
        <w:tblW w:w="9092" w:type="dxa"/>
        <w:tblLook w:val="01E0" w:firstRow="1" w:lastRow="1" w:firstColumn="1" w:lastColumn="1" w:noHBand="0" w:noVBand="0"/>
      </w:tblPr>
      <w:tblGrid>
        <w:gridCol w:w="4332"/>
        <w:gridCol w:w="360"/>
        <w:gridCol w:w="4400"/>
      </w:tblGrid>
      <w:tr w:rsidR="00440102" w:rsidTr="00ED7AF0">
        <w:trPr>
          <w:trHeight w:val="807"/>
        </w:trPr>
        <w:tc>
          <w:tcPr>
            <w:tcW w:w="4332" w:type="dxa"/>
            <w:shd w:val="clear" w:color="auto" w:fill="auto"/>
          </w:tcPr>
          <w:p w:rsidR="00440102" w:rsidRPr="002526B1" w:rsidRDefault="00440102" w:rsidP="00ED7AF0">
            <w:pPr>
              <w:autoSpaceDE w:val="0"/>
              <w:autoSpaceDN w:val="0"/>
              <w:adjustRightInd w:val="0"/>
            </w:pPr>
            <w:r w:rsidRPr="002526B1">
              <w:t xml:space="preserve">In the Matter of the Application of Ohio Power Company for Authority to  Case </w:t>
            </w:r>
          </w:p>
          <w:p w:rsidR="00440102" w:rsidRPr="002526B1" w:rsidRDefault="00440102" w:rsidP="00ED7AF0">
            <w:pPr>
              <w:autoSpaceDE w:val="0"/>
              <w:autoSpaceDN w:val="0"/>
              <w:adjustRightInd w:val="0"/>
            </w:pPr>
            <w:r w:rsidRPr="002526B1">
              <w:t xml:space="preserve">Establish a Standard Service Offer </w:t>
            </w:r>
          </w:p>
          <w:p w:rsidR="00440102" w:rsidRPr="002526B1" w:rsidRDefault="00440102" w:rsidP="00ED7AF0">
            <w:pPr>
              <w:autoSpaceDE w:val="0"/>
              <w:autoSpaceDN w:val="0"/>
              <w:adjustRightInd w:val="0"/>
            </w:pPr>
            <w:r w:rsidRPr="002526B1">
              <w:t xml:space="preserve">Pursuant to §4928.143, Revised Code, </w:t>
            </w:r>
          </w:p>
          <w:p w:rsidR="00440102" w:rsidRPr="002526B1" w:rsidRDefault="00440102" w:rsidP="00ED7AF0">
            <w:pPr>
              <w:autoSpaceDE w:val="0"/>
              <w:autoSpaceDN w:val="0"/>
              <w:adjustRightInd w:val="0"/>
            </w:pPr>
            <w:r w:rsidRPr="002526B1">
              <w:t xml:space="preserve">in the Form of an Electric Security Plan. </w:t>
            </w:r>
          </w:p>
          <w:p w:rsidR="00440102" w:rsidRPr="002526B1" w:rsidRDefault="00440102" w:rsidP="00ED7AF0">
            <w:pPr>
              <w:autoSpaceDE w:val="0"/>
              <w:autoSpaceDN w:val="0"/>
              <w:adjustRightInd w:val="0"/>
            </w:pPr>
          </w:p>
          <w:p w:rsidR="00440102" w:rsidRPr="002526B1" w:rsidRDefault="00440102" w:rsidP="00ED7AF0">
            <w:pPr>
              <w:autoSpaceDE w:val="0"/>
              <w:autoSpaceDN w:val="0"/>
              <w:adjustRightInd w:val="0"/>
            </w:pPr>
            <w:r w:rsidRPr="002526B1">
              <w:t xml:space="preserve">In the Matter of the Application of  Ohio Power Company for Approval of  Case </w:t>
            </w:r>
          </w:p>
          <w:p w:rsidR="00440102" w:rsidRPr="002526B1" w:rsidRDefault="00440102" w:rsidP="00ED7AF0">
            <w:pPr>
              <w:pStyle w:val="HTMLPreformatted"/>
              <w:rPr>
                <w:rFonts w:ascii="Times New Roman" w:hAnsi="Times New Roman" w:cs="Times New Roman"/>
                <w:sz w:val="24"/>
                <w:szCs w:val="24"/>
              </w:rPr>
            </w:pPr>
            <w:r w:rsidRPr="002526B1">
              <w:rPr>
                <w:rFonts w:ascii="Times New Roman" w:hAnsi="Times New Roman" w:cs="Times New Roman"/>
                <w:sz w:val="24"/>
                <w:szCs w:val="24"/>
              </w:rPr>
              <w:t>Certain Accounting Authority</w:t>
            </w:r>
            <w:r>
              <w:rPr>
                <w:rFonts w:ascii="Times New Roman" w:hAnsi="Times New Roman" w:cs="Times New Roman"/>
                <w:sz w:val="24"/>
                <w:szCs w:val="24"/>
              </w:rPr>
              <w:t>.</w:t>
            </w:r>
            <w:r w:rsidRPr="002526B1">
              <w:rPr>
                <w:rFonts w:ascii="Times New Roman" w:hAnsi="Times New Roman" w:cs="Times New Roman"/>
                <w:sz w:val="24"/>
                <w:szCs w:val="24"/>
              </w:rPr>
              <w:t xml:space="preserve"> </w:t>
            </w:r>
          </w:p>
          <w:p w:rsidR="00440102" w:rsidRPr="002526B1" w:rsidRDefault="00440102" w:rsidP="00ED7AF0">
            <w:pPr>
              <w:pStyle w:val="HTMLPreformatted"/>
              <w:rPr>
                <w:rFonts w:ascii="Times New Roman" w:hAnsi="Times New Roman" w:cs="Times New Roman"/>
                <w:sz w:val="24"/>
                <w:szCs w:val="24"/>
              </w:rPr>
            </w:pPr>
          </w:p>
        </w:tc>
        <w:tc>
          <w:tcPr>
            <w:tcW w:w="360" w:type="dxa"/>
            <w:shd w:val="clear" w:color="auto" w:fill="auto"/>
          </w:tcPr>
          <w:p w:rsidR="00440102" w:rsidRPr="002526B1" w:rsidRDefault="00440102" w:rsidP="00ED7AF0">
            <w:pPr>
              <w:pStyle w:val="HTMLPreformatted"/>
              <w:rPr>
                <w:rFonts w:ascii="Times New Roman" w:hAnsi="Times New Roman" w:cs="Times New Roman"/>
                <w:sz w:val="24"/>
                <w:szCs w:val="24"/>
              </w:rPr>
            </w:pPr>
            <w:r w:rsidRPr="002526B1">
              <w:rPr>
                <w:rFonts w:ascii="Times New Roman" w:hAnsi="Times New Roman" w:cs="Times New Roman"/>
                <w:sz w:val="24"/>
                <w:szCs w:val="24"/>
              </w:rPr>
              <w:t>)</w:t>
            </w:r>
          </w:p>
          <w:p w:rsidR="00440102" w:rsidRPr="002526B1" w:rsidRDefault="00440102" w:rsidP="00ED7AF0">
            <w:pPr>
              <w:pStyle w:val="HTMLPreformatted"/>
              <w:rPr>
                <w:rFonts w:ascii="Times New Roman" w:hAnsi="Times New Roman" w:cs="Times New Roman"/>
                <w:sz w:val="24"/>
                <w:szCs w:val="24"/>
              </w:rPr>
            </w:pPr>
            <w:r w:rsidRPr="002526B1">
              <w:rPr>
                <w:rFonts w:ascii="Times New Roman" w:hAnsi="Times New Roman" w:cs="Times New Roman"/>
                <w:sz w:val="24"/>
                <w:szCs w:val="24"/>
              </w:rPr>
              <w:t>)</w:t>
            </w:r>
          </w:p>
          <w:p w:rsidR="00440102" w:rsidRPr="002526B1" w:rsidRDefault="00440102" w:rsidP="00ED7AF0">
            <w:pPr>
              <w:pStyle w:val="HTMLPreformatted"/>
              <w:rPr>
                <w:rFonts w:ascii="Times New Roman" w:hAnsi="Times New Roman" w:cs="Times New Roman"/>
                <w:sz w:val="24"/>
                <w:szCs w:val="24"/>
              </w:rPr>
            </w:pPr>
            <w:r w:rsidRPr="002526B1">
              <w:rPr>
                <w:rFonts w:ascii="Times New Roman" w:hAnsi="Times New Roman" w:cs="Times New Roman"/>
                <w:sz w:val="24"/>
                <w:szCs w:val="24"/>
              </w:rPr>
              <w:t>)</w:t>
            </w:r>
          </w:p>
          <w:p w:rsidR="00440102" w:rsidRPr="002526B1" w:rsidRDefault="00440102" w:rsidP="00ED7AF0">
            <w:pPr>
              <w:pStyle w:val="HTMLPreformatted"/>
              <w:rPr>
                <w:rFonts w:ascii="Times New Roman" w:hAnsi="Times New Roman" w:cs="Times New Roman"/>
                <w:sz w:val="24"/>
                <w:szCs w:val="24"/>
              </w:rPr>
            </w:pPr>
            <w:r w:rsidRPr="002526B1">
              <w:rPr>
                <w:rFonts w:ascii="Times New Roman" w:hAnsi="Times New Roman" w:cs="Times New Roman"/>
                <w:sz w:val="24"/>
                <w:szCs w:val="24"/>
              </w:rPr>
              <w:t>)</w:t>
            </w:r>
          </w:p>
          <w:p w:rsidR="00440102" w:rsidRPr="002526B1" w:rsidRDefault="00440102" w:rsidP="00ED7AF0">
            <w:pPr>
              <w:pStyle w:val="HTMLPreformatted"/>
              <w:rPr>
                <w:rFonts w:ascii="Times New Roman" w:hAnsi="Times New Roman" w:cs="Times New Roman"/>
                <w:sz w:val="24"/>
                <w:szCs w:val="24"/>
              </w:rPr>
            </w:pPr>
            <w:r w:rsidRPr="002526B1">
              <w:rPr>
                <w:rFonts w:ascii="Times New Roman" w:hAnsi="Times New Roman" w:cs="Times New Roman"/>
                <w:sz w:val="24"/>
                <w:szCs w:val="24"/>
              </w:rPr>
              <w:t>)</w:t>
            </w:r>
          </w:p>
          <w:p w:rsidR="00440102" w:rsidRPr="002526B1" w:rsidRDefault="00440102" w:rsidP="00ED7AF0">
            <w:pPr>
              <w:pStyle w:val="HTMLPreformatted"/>
              <w:rPr>
                <w:rFonts w:ascii="Times New Roman" w:hAnsi="Times New Roman" w:cs="Times New Roman"/>
                <w:sz w:val="24"/>
                <w:szCs w:val="24"/>
              </w:rPr>
            </w:pPr>
          </w:p>
          <w:p w:rsidR="00440102" w:rsidRPr="002526B1" w:rsidRDefault="00440102" w:rsidP="00ED7AF0">
            <w:pPr>
              <w:pStyle w:val="HTMLPreformatted"/>
              <w:rPr>
                <w:rFonts w:ascii="Times New Roman" w:hAnsi="Times New Roman" w:cs="Times New Roman"/>
                <w:sz w:val="24"/>
                <w:szCs w:val="24"/>
              </w:rPr>
            </w:pPr>
            <w:r w:rsidRPr="002526B1">
              <w:rPr>
                <w:rFonts w:ascii="Times New Roman" w:hAnsi="Times New Roman" w:cs="Times New Roman"/>
                <w:sz w:val="24"/>
                <w:szCs w:val="24"/>
              </w:rPr>
              <w:t>)</w:t>
            </w:r>
          </w:p>
          <w:p w:rsidR="00440102" w:rsidRPr="002526B1" w:rsidRDefault="00440102" w:rsidP="00ED7AF0">
            <w:pPr>
              <w:pStyle w:val="HTMLPreformatted"/>
              <w:rPr>
                <w:rFonts w:ascii="Times New Roman" w:hAnsi="Times New Roman" w:cs="Times New Roman"/>
                <w:sz w:val="24"/>
                <w:szCs w:val="24"/>
              </w:rPr>
            </w:pPr>
            <w:r w:rsidRPr="002526B1">
              <w:rPr>
                <w:rFonts w:ascii="Times New Roman" w:hAnsi="Times New Roman" w:cs="Times New Roman"/>
                <w:sz w:val="24"/>
                <w:szCs w:val="24"/>
              </w:rPr>
              <w:t>)</w:t>
            </w:r>
          </w:p>
          <w:p w:rsidR="00440102" w:rsidRPr="002526B1" w:rsidRDefault="00440102" w:rsidP="00ED7AF0">
            <w:pPr>
              <w:pStyle w:val="HTMLPreformatted"/>
              <w:rPr>
                <w:rFonts w:ascii="Times New Roman" w:hAnsi="Times New Roman" w:cs="Times New Roman"/>
                <w:sz w:val="24"/>
                <w:szCs w:val="24"/>
              </w:rPr>
            </w:pPr>
            <w:r w:rsidRPr="002526B1">
              <w:rPr>
                <w:rFonts w:ascii="Times New Roman" w:hAnsi="Times New Roman" w:cs="Times New Roman"/>
                <w:sz w:val="24"/>
                <w:szCs w:val="24"/>
              </w:rPr>
              <w:t>)</w:t>
            </w:r>
          </w:p>
          <w:p w:rsidR="00440102" w:rsidRPr="002526B1" w:rsidRDefault="00440102" w:rsidP="00ED7AF0">
            <w:pPr>
              <w:pStyle w:val="HTMLPreformatted"/>
              <w:rPr>
                <w:rFonts w:ascii="Times New Roman" w:hAnsi="Times New Roman" w:cs="Times New Roman"/>
                <w:sz w:val="24"/>
                <w:szCs w:val="24"/>
              </w:rPr>
            </w:pPr>
          </w:p>
        </w:tc>
        <w:tc>
          <w:tcPr>
            <w:tcW w:w="4400" w:type="dxa"/>
            <w:shd w:val="clear" w:color="auto" w:fill="auto"/>
          </w:tcPr>
          <w:p w:rsidR="00440102" w:rsidRPr="002526B1" w:rsidRDefault="00440102" w:rsidP="00ED7AF0">
            <w:pPr>
              <w:pStyle w:val="HTMLPreformatted"/>
              <w:rPr>
                <w:rFonts w:ascii="Times New Roman" w:hAnsi="Times New Roman" w:cs="Times New Roman"/>
                <w:sz w:val="24"/>
                <w:szCs w:val="24"/>
              </w:rPr>
            </w:pPr>
          </w:p>
          <w:p w:rsidR="00440102" w:rsidRPr="002526B1" w:rsidRDefault="00440102" w:rsidP="00ED7AF0">
            <w:pPr>
              <w:pStyle w:val="HTMLPreformatted"/>
              <w:rPr>
                <w:rFonts w:ascii="Times New Roman" w:hAnsi="Times New Roman" w:cs="Times New Roman"/>
                <w:sz w:val="24"/>
                <w:szCs w:val="24"/>
              </w:rPr>
            </w:pPr>
            <w:r w:rsidRPr="002526B1">
              <w:rPr>
                <w:rFonts w:ascii="Times New Roman" w:hAnsi="Times New Roman" w:cs="Times New Roman"/>
                <w:sz w:val="24"/>
                <w:szCs w:val="24"/>
              </w:rPr>
              <w:t>Case No. 13-</w:t>
            </w:r>
            <w:r>
              <w:rPr>
                <w:rFonts w:ascii="Times New Roman" w:hAnsi="Times New Roman" w:cs="Times New Roman"/>
                <w:sz w:val="24"/>
                <w:szCs w:val="24"/>
              </w:rPr>
              <w:t>23</w:t>
            </w:r>
            <w:r w:rsidRPr="002526B1">
              <w:rPr>
                <w:rFonts w:ascii="Times New Roman" w:hAnsi="Times New Roman" w:cs="Times New Roman"/>
                <w:sz w:val="24"/>
                <w:szCs w:val="24"/>
              </w:rPr>
              <w:t>85-EL-SSO</w:t>
            </w:r>
          </w:p>
          <w:p w:rsidR="00440102" w:rsidRPr="002526B1" w:rsidRDefault="00440102" w:rsidP="00ED7AF0">
            <w:pPr>
              <w:pStyle w:val="HTMLPreformatted"/>
              <w:rPr>
                <w:rFonts w:ascii="Times New Roman" w:hAnsi="Times New Roman" w:cs="Times New Roman"/>
                <w:sz w:val="24"/>
                <w:szCs w:val="24"/>
              </w:rPr>
            </w:pPr>
          </w:p>
          <w:p w:rsidR="00440102" w:rsidRPr="002526B1" w:rsidRDefault="00440102" w:rsidP="00ED7AF0">
            <w:pPr>
              <w:pStyle w:val="HTMLPreformatted"/>
              <w:rPr>
                <w:rFonts w:ascii="Times New Roman" w:hAnsi="Times New Roman" w:cs="Times New Roman"/>
                <w:sz w:val="24"/>
                <w:szCs w:val="24"/>
              </w:rPr>
            </w:pPr>
          </w:p>
          <w:p w:rsidR="00440102" w:rsidRPr="002526B1" w:rsidRDefault="00440102" w:rsidP="00ED7AF0">
            <w:pPr>
              <w:pStyle w:val="HTMLPreformatted"/>
              <w:rPr>
                <w:rFonts w:ascii="Times New Roman" w:hAnsi="Times New Roman" w:cs="Times New Roman"/>
                <w:sz w:val="24"/>
                <w:szCs w:val="24"/>
              </w:rPr>
            </w:pPr>
          </w:p>
          <w:p w:rsidR="00440102" w:rsidRPr="002526B1" w:rsidRDefault="00440102" w:rsidP="00ED7AF0">
            <w:pPr>
              <w:pStyle w:val="HTMLPreformatted"/>
              <w:rPr>
                <w:rFonts w:ascii="Times New Roman" w:hAnsi="Times New Roman" w:cs="Times New Roman"/>
                <w:sz w:val="24"/>
                <w:szCs w:val="24"/>
              </w:rPr>
            </w:pPr>
          </w:p>
          <w:p w:rsidR="00440102" w:rsidRPr="002526B1" w:rsidRDefault="00440102" w:rsidP="00ED7AF0">
            <w:pPr>
              <w:pStyle w:val="HTMLPreformatted"/>
              <w:rPr>
                <w:rFonts w:ascii="Times New Roman" w:hAnsi="Times New Roman" w:cs="Times New Roman"/>
                <w:sz w:val="24"/>
                <w:szCs w:val="24"/>
              </w:rPr>
            </w:pPr>
            <w:r w:rsidRPr="002526B1">
              <w:rPr>
                <w:rFonts w:ascii="Times New Roman" w:hAnsi="Times New Roman" w:cs="Times New Roman"/>
                <w:sz w:val="24"/>
                <w:szCs w:val="24"/>
              </w:rPr>
              <w:t>Case No. 13-2386-EL-AAM</w:t>
            </w:r>
          </w:p>
        </w:tc>
      </w:tr>
    </w:tbl>
    <w:p w:rsidR="00440102" w:rsidRDefault="00440102" w:rsidP="0040402C">
      <w:pPr>
        <w:pBdr>
          <w:bottom w:val="single" w:sz="12" w:space="1" w:color="auto"/>
        </w:pBdr>
        <w:jc w:val="center"/>
        <w:rPr>
          <w:b/>
          <w:bCs/>
        </w:rPr>
      </w:pPr>
    </w:p>
    <w:p w:rsidR="00440102" w:rsidRDefault="00440102" w:rsidP="0040402C">
      <w:pPr>
        <w:jc w:val="center"/>
        <w:rPr>
          <w:b/>
          <w:bCs/>
        </w:rPr>
      </w:pPr>
    </w:p>
    <w:p w:rsidR="00440102" w:rsidRDefault="00440102" w:rsidP="0040402C">
      <w:pPr>
        <w:jc w:val="center"/>
        <w:rPr>
          <w:b/>
          <w:bCs/>
        </w:rPr>
      </w:pPr>
      <w:r>
        <w:rPr>
          <w:b/>
          <w:bCs/>
        </w:rPr>
        <w:t>MEMORANDUM IN SUPPORT</w:t>
      </w:r>
    </w:p>
    <w:p w:rsidR="00984CEF" w:rsidRDefault="00984CEF" w:rsidP="0040402C">
      <w:pPr>
        <w:pBdr>
          <w:bottom w:val="single" w:sz="12" w:space="1" w:color="auto"/>
        </w:pBdr>
        <w:jc w:val="center"/>
        <w:rPr>
          <w:b/>
          <w:bCs/>
        </w:rPr>
      </w:pPr>
    </w:p>
    <w:p w:rsidR="00984CEF" w:rsidRDefault="00984CEF" w:rsidP="00984CEF">
      <w:pPr>
        <w:rPr>
          <w:b/>
          <w:bCs/>
        </w:rPr>
      </w:pPr>
    </w:p>
    <w:p w:rsidR="00C70ED2" w:rsidRDefault="00440102" w:rsidP="00440102">
      <w:pPr>
        <w:spacing w:line="480" w:lineRule="auto"/>
        <w:rPr>
          <w:bCs/>
        </w:rPr>
      </w:pPr>
      <w:r>
        <w:rPr>
          <w:b/>
          <w:bCs/>
        </w:rPr>
        <w:tab/>
      </w:r>
      <w:r w:rsidRPr="00440102">
        <w:rPr>
          <w:bCs/>
        </w:rPr>
        <w:t xml:space="preserve">On </w:t>
      </w:r>
      <w:r>
        <w:rPr>
          <w:bCs/>
        </w:rPr>
        <w:t xml:space="preserve">June 29, 2015, OCC, Ohio Manufacturers’ Association, and Ohio Power Company (“AEP Ohio”) filed applications for rehearing on the Public Utilities Commission of Ohio Second Entry on Rehearing, issued May 28, 2015. </w:t>
      </w:r>
      <w:r w:rsidR="00C70ED2">
        <w:rPr>
          <w:bCs/>
        </w:rPr>
        <w:t>Notably, the Retail Energy Supply Association (“</w:t>
      </w:r>
      <w:r w:rsidR="00C70ED2" w:rsidRPr="00C70ED2">
        <w:rPr>
          <w:bCs/>
          <w:caps/>
        </w:rPr>
        <w:t>RES</w:t>
      </w:r>
      <w:r w:rsidR="00C70ED2">
        <w:rPr>
          <w:bCs/>
          <w:caps/>
        </w:rPr>
        <w:t xml:space="preserve">A”) </w:t>
      </w:r>
      <w:r w:rsidR="00C70ED2" w:rsidRPr="00C70ED2">
        <w:rPr>
          <w:bCs/>
        </w:rPr>
        <w:t xml:space="preserve">chose </w:t>
      </w:r>
      <w:r w:rsidR="00C70ED2">
        <w:rPr>
          <w:bCs/>
        </w:rPr>
        <w:t xml:space="preserve">not </w:t>
      </w:r>
      <w:r w:rsidR="001E3C5C">
        <w:rPr>
          <w:bCs/>
        </w:rPr>
        <w:t xml:space="preserve">to </w:t>
      </w:r>
      <w:r w:rsidR="00C70ED2">
        <w:rPr>
          <w:bCs/>
        </w:rPr>
        <w:t>seek rehearing.</w:t>
      </w:r>
    </w:p>
    <w:p w:rsidR="001F6A31" w:rsidRDefault="00C70ED2" w:rsidP="00440102">
      <w:pPr>
        <w:spacing w:line="480" w:lineRule="auto"/>
        <w:rPr>
          <w:bCs/>
        </w:rPr>
      </w:pPr>
      <w:r>
        <w:rPr>
          <w:bCs/>
        </w:rPr>
        <w:tab/>
        <w:t>Yet, on July 9, 2015, RESA filed a pleading entitled “Memorandum</w:t>
      </w:r>
      <w:r w:rsidR="007F5F19">
        <w:rPr>
          <w:bCs/>
        </w:rPr>
        <w:t xml:space="preserve"> </w:t>
      </w:r>
      <w:r>
        <w:rPr>
          <w:bCs/>
        </w:rPr>
        <w:t xml:space="preserve">in Response” to Ohio Power’s Rehearing. In its Memorandum in Response, RESA </w:t>
      </w:r>
      <w:r w:rsidR="00C163DB">
        <w:rPr>
          <w:bCs/>
        </w:rPr>
        <w:t>states</w:t>
      </w:r>
      <w:r>
        <w:rPr>
          <w:bCs/>
        </w:rPr>
        <w:t xml:space="preserve"> that “AEP Ohio’s request is reasonable” (as to AEP Ohio’s third assignment of error)</w:t>
      </w:r>
      <w:r w:rsidR="00940823">
        <w:rPr>
          <w:bCs/>
        </w:rPr>
        <w:t>.</w:t>
      </w:r>
      <w:r>
        <w:rPr>
          <w:rStyle w:val="FootnoteReference"/>
          <w:bCs/>
        </w:rPr>
        <w:footnoteReference w:id="11"/>
      </w:r>
      <w:r w:rsidR="00940823">
        <w:rPr>
          <w:bCs/>
        </w:rPr>
        <w:t xml:space="preserve"> RESA also </w:t>
      </w:r>
      <w:r w:rsidR="00C163DB">
        <w:rPr>
          <w:bCs/>
        </w:rPr>
        <w:t>states</w:t>
      </w:r>
      <w:r w:rsidR="001F6A31">
        <w:rPr>
          <w:bCs/>
        </w:rPr>
        <w:t xml:space="preserve"> that it is joining AEP in </w:t>
      </w:r>
      <w:r w:rsidR="00940823">
        <w:rPr>
          <w:bCs/>
        </w:rPr>
        <w:t xml:space="preserve">seeking </w:t>
      </w:r>
      <w:r w:rsidR="001F6A31">
        <w:rPr>
          <w:bCs/>
        </w:rPr>
        <w:t>the relief it requested</w:t>
      </w:r>
      <w:r w:rsidR="00940823">
        <w:rPr>
          <w:bCs/>
        </w:rPr>
        <w:t xml:space="preserve"> in its Application for Rehearing</w:t>
      </w:r>
      <w:r w:rsidR="001F6A31">
        <w:rPr>
          <w:bCs/>
        </w:rPr>
        <w:t xml:space="preserve"> (greater flexibility to develop a purchase of receivable</w:t>
      </w:r>
      <w:r w:rsidR="00C163DB">
        <w:rPr>
          <w:bCs/>
        </w:rPr>
        <w:t>s</w:t>
      </w:r>
      <w:r w:rsidR="001F6A31">
        <w:rPr>
          <w:bCs/>
        </w:rPr>
        <w:t xml:space="preserve"> program in the working group).</w:t>
      </w:r>
      <w:r w:rsidR="00C163DB">
        <w:rPr>
          <w:rStyle w:val="FootnoteReference"/>
          <w:bCs/>
        </w:rPr>
        <w:footnoteReference w:id="12"/>
      </w:r>
      <w:r w:rsidR="00FC7C85">
        <w:rPr>
          <w:bCs/>
        </w:rPr>
        <w:t xml:space="preserve"> </w:t>
      </w:r>
      <w:r w:rsidR="00134AF1">
        <w:rPr>
          <w:bCs/>
        </w:rPr>
        <w:t>In other words RESA</w:t>
      </w:r>
      <w:r w:rsidR="00791CD9">
        <w:rPr>
          <w:bCs/>
        </w:rPr>
        <w:t>, through its responsive pleading,</w:t>
      </w:r>
      <w:r w:rsidR="002561FF">
        <w:rPr>
          <w:bCs/>
        </w:rPr>
        <w:t xml:space="preserve"> </w:t>
      </w:r>
      <w:r w:rsidR="00134AF1">
        <w:rPr>
          <w:bCs/>
        </w:rPr>
        <w:t>was supporting the Application for Rehearing. Indeed</w:t>
      </w:r>
      <w:r w:rsidR="00791CD9">
        <w:rPr>
          <w:bCs/>
        </w:rPr>
        <w:t>, RESA’s</w:t>
      </w:r>
      <w:r w:rsidR="00134AF1">
        <w:rPr>
          <w:bCs/>
        </w:rPr>
        <w:t xml:space="preserve"> support</w:t>
      </w:r>
      <w:r w:rsidR="001E3C5C">
        <w:rPr>
          <w:bCs/>
        </w:rPr>
        <w:t xml:space="preserve"> (its “joining”)</w:t>
      </w:r>
      <w:r w:rsidR="00134AF1">
        <w:rPr>
          <w:bCs/>
        </w:rPr>
        <w:t xml:space="preserve"> </w:t>
      </w:r>
      <w:r w:rsidR="001E3C5C">
        <w:rPr>
          <w:bCs/>
        </w:rPr>
        <w:t xml:space="preserve">of </w:t>
      </w:r>
      <w:r w:rsidR="00791CD9">
        <w:rPr>
          <w:bCs/>
        </w:rPr>
        <w:t xml:space="preserve">AEP Ohio’s application for rehearing </w:t>
      </w:r>
      <w:r w:rsidR="00134AF1">
        <w:rPr>
          <w:bCs/>
        </w:rPr>
        <w:t xml:space="preserve">can be construed as an application for rehearing </w:t>
      </w:r>
      <w:r w:rsidR="00791CD9">
        <w:rPr>
          <w:bCs/>
        </w:rPr>
        <w:t xml:space="preserve">by RESA because it </w:t>
      </w:r>
      <w:r w:rsidR="00134AF1">
        <w:rPr>
          <w:bCs/>
        </w:rPr>
        <w:t xml:space="preserve">seeks the same remedy that AEP Ohio sought in its application. Additionally, </w:t>
      </w:r>
      <w:r w:rsidR="00FC7C85">
        <w:rPr>
          <w:bCs/>
        </w:rPr>
        <w:t xml:space="preserve">RESA did not seek PUCO permission to file its pleading.  </w:t>
      </w:r>
    </w:p>
    <w:p w:rsidR="00984CEF" w:rsidRDefault="001F6A31" w:rsidP="00440102">
      <w:pPr>
        <w:spacing w:line="480" w:lineRule="auto"/>
        <w:rPr>
          <w:bCs/>
        </w:rPr>
      </w:pPr>
      <w:r>
        <w:rPr>
          <w:bCs/>
        </w:rPr>
        <w:tab/>
        <w:t xml:space="preserve">There are two problems with RESA’s filing. First, RESA’s filing is nothing less than an untimely application for rehearing. </w:t>
      </w:r>
      <w:r w:rsidR="004C75F2">
        <w:rPr>
          <w:bCs/>
        </w:rPr>
        <w:t xml:space="preserve">Second, there is no PUCO rule that permits the filing of a “Memorandum in Response,” </w:t>
      </w:r>
      <w:r w:rsidR="00134AF1">
        <w:rPr>
          <w:bCs/>
        </w:rPr>
        <w:t xml:space="preserve">or pleadings that support other parties’ pleadings. </w:t>
      </w:r>
      <w:r w:rsidR="001E3C5C">
        <w:rPr>
          <w:bCs/>
        </w:rPr>
        <w:t xml:space="preserve">Additionally, RESA failed to seek leave of the PUCO for filing its pleading—something it must do if it seeks to inform the PUCO of its support for another party’s rehearing position.  </w:t>
      </w:r>
    </w:p>
    <w:p w:rsidR="004C75F2" w:rsidRDefault="001F6A31" w:rsidP="004C75F2">
      <w:pPr>
        <w:spacing w:line="480" w:lineRule="auto"/>
        <w:ind w:firstLine="720"/>
        <w:rPr>
          <w:bCs/>
        </w:rPr>
      </w:pPr>
      <w:r>
        <w:rPr>
          <w:bCs/>
        </w:rPr>
        <w:t xml:space="preserve">Under R.C. 4903.10 </w:t>
      </w:r>
      <w:r w:rsidR="00110124">
        <w:rPr>
          <w:bCs/>
        </w:rPr>
        <w:t>a</w:t>
      </w:r>
      <w:r>
        <w:rPr>
          <w:bCs/>
        </w:rPr>
        <w:t>pplications for rehearing must be filed within thirty days of when the PUCO issues an Order.</w:t>
      </w:r>
      <w:r>
        <w:rPr>
          <w:rStyle w:val="FootnoteReference"/>
          <w:bCs/>
        </w:rPr>
        <w:footnoteReference w:id="13"/>
      </w:r>
      <w:r>
        <w:rPr>
          <w:bCs/>
        </w:rPr>
        <w:t xml:space="preserve"> Applications for rehearing on the PUCO’s May 28, 2015 Order were due on or before June 29, 2015. RESA’s pleading was filed </w:t>
      </w:r>
      <w:r w:rsidR="004C75F2">
        <w:rPr>
          <w:bCs/>
        </w:rPr>
        <w:t xml:space="preserve">on July 9, 2015, </w:t>
      </w:r>
      <w:r>
        <w:rPr>
          <w:bCs/>
        </w:rPr>
        <w:t>ten days</w:t>
      </w:r>
      <w:r w:rsidR="004C75F2">
        <w:rPr>
          <w:bCs/>
        </w:rPr>
        <w:t xml:space="preserve"> after applications for rehearing were due. As discussed above, a review of RESA’s pleading and its recommendations make it clear that it is seeking rehearing, like AEP Ohio. </w:t>
      </w:r>
      <w:r>
        <w:rPr>
          <w:bCs/>
        </w:rPr>
        <w:t xml:space="preserve">Thus, the PUCO has no jurisdiction to consider </w:t>
      </w:r>
      <w:r w:rsidR="004C75F2">
        <w:rPr>
          <w:bCs/>
        </w:rPr>
        <w:t xml:space="preserve">RESA’s “Memorandum in Support” </w:t>
      </w:r>
      <w:r>
        <w:rPr>
          <w:bCs/>
        </w:rPr>
        <w:t>because RESA failed to comply with the statutory deadline.</w:t>
      </w:r>
      <w:r w:rsidR="004C75F2">
        <w:rPr>
          <w:bCs/>
        </w:rPr>
        <w:t xml:space="preserve"> See </w:t>
      </w:r>
      <w:r w:rsidR="004C75F2" w:rsidRPr="004C75F2">
        <w:rPr>
          <w:bCs/>
          <w:i/>
        </w:rPr>
        <w:t>Greer v. Pub. Util.</w:t>
      </w:r>
      <w:r w:rsidR="00610A9D">
        <w:rPr>
          <w:bCs/>
          <w:i/>
        </w:rPr>
        <w:t xml:space="preserve"> </w:t>
      </w:r>
      <w:r w:rsidR="004C75F2" w:rsidRPr="004C75F2">
        <w:rPr>
          <w:bCs/>
          <w:i/>
        </w:rPr>
        <w:t>Comm.</w:t>
      </w:r>
      <w:r w:rsidR="004C75F2">
        <w:rPr>
          <w:bCs/>
        </w:rPr>
        <w:t xml:space="preserve"> (1961)</w:t>
      </w:r>
      <w:r w:rsidR="00940823">
        <w:rPr>
          <w:bCs/>
        </w:rPr>
        <w:t>,</w:t>
      </w:r>
      <w:r w:rsidR="004C75F2">
        <w:rPr>
          <w:bCs/>
        </w:rPr>
        <w:t xml:space="preserve"> 172 Ohio St. 361, 176 N.E.2d 416.  </w:t>
      </w:r>
    </w:p>
    <w:p w:rsidR="00C70ED2" w:rsidRDefault="004C75F2" w:rsidP="004C75F2">
      <w:pPr>
        <w:spacing w:line="480" w:lineRule="auto"/>
        <w:ind w:firstLine="720"/>
        <w:rPr>
          <w:bCs/>
        </w:rPr>
      </w:pPr>
      <w:r>
        <w:rPr>
          <w:bCs/>
        </w:rPr>
        <w:t xml:space="preserve">Second, there is no provision in the Ohio Administrative Code that permits a filing of a “Memorandum in Response” to an Application for Rehearing. Rather Ohio Adm. Code 4901-1-35(B) provides for a “Memorandum Contra” to be filed after the filing of an Application for Rehearing. </w:t>
      </w:r>
      <w:r w:rsidR="00134AF1">
        <w:rPr>
          <w:bCs/>
        </w:rPr>
        <w:t>This provision of the Code, like other provisions, does not present an opportunity to file a responsive pleading that supports another party’s filing.</w:t>
      </w:r>
      <w:r w:rsidR="006175A6">
        <w:rPr>
          <w:rStyle w:val="FootnoteReference"/>
          <w:bCs/>
        </w:rPr>
        <w:footnoteReference w:id="14"/>
      </w:r>
      <w:r w:rsidR="00134AF1">
        <w:rPr>
          <w:bCs/>
        </w:rPr>
        <w:t xml:space="preserve"> </w:t>
      </w:r>
      <w:r>
        <w:rPr>
          <w:bCs/>
        </w:rPr>
        <w:t xml:space="preserve">RESA however, ignored the PUCO rules, and filed a pleading that is </w:t>
      </w:r>
      <w:r w:rsidR="00940823">
        <w:rPr>
          <w:bCs/>
        </w:rPr>
        <w:t>not permitted by rule.</w:t>
      </w:r>
      <w:r w:rsidR="00C67A0C">
        <w:rPr>
          <w:rStyle w:val="FootnoteReference"/>
          <w:bCs/>
        </w:rPr>
        <w:footnoteReference w:id="15"/>
      </w:r>
      <w:r w:rsidR="00940823">
        <w:rPr>
          <w:bCs/>
        </w:rPr>
        <w:t xml:space="preserve">  </w:t>
      </w:r>
    </w:p>
    <w:p w:rsidR="006175A6" w:rsidRDefault="001E3C5C" w:rsidP="004C75F2">
      <w:pPr>
        <w:spacing w:line="480" w:lineRule="auto"/>
        <w:ind w:firstLine="720"/>
        <w:rPr>
          <w:bCs/>
        </w:rPr>
      </w:pPr>
      <w:r>
        <w:rPr>
          <w:bCs/>
        </w:rPr>
        <w:t>It is consistent with PUCO precedent to s</w:t>
      </w:r>
      <w:r w:rsidR="00940823">
        <w:rPr>
          <w:bCs/>
        </w:rPr>
        <w:t>trik</w:t>
      </w:r>
      <w:r w:rsidR="007F5B4A">
        <w:rPr>
          <w:bCs/>
        </w:rPr>
        <w:t>e</w:t>
      </w:r>
      <w:r w:rsidR="00940823">
        <w:rPr>
          <w:bCs/>
        </w:rPr>
        <w:t xml:space="preserve"> the Memorandum in Response and not conside</w:t>
      </w:r>
      <w:r>
        <w:rPr>
          <w:bCs/>
        </w:rPr>
        <w:t>r it</w:t>
      </w:r>
      <w:r w:rsidR="00940823">
        <w:rPr>
          <w:bCs/>
        </w:rPr>
        <w:t xml:space="preserve">. </w:t>
      </w:r>
      <w:r w:rsidR="00CA1E9E">
        <w:rPr>
          <w:bCs/>
        </w:rPr>
        <w:t>The PUCO has ruled t</w:t>
      </w:r>
      <w:r w:rsidR="00C03CB9">
        <w:rPr>
          <w:bCs/>
        </w:rPr>
        <w:t xml:space="preserve">hat Rule 4901-1-35, Ohio </w:t>
      </w:r>
      <w:r w:rsidR="00CA1E9E">
        <w:rPr>
          <w:bCs/>
        </w:rPr>
        <w:t>Adm</w:t>
      </w:r>
      <w:r w:rsidR="00C03CB9">
        <w:rPr>
          <w:bCs/>
        </w:rPr>
        <w:t xml:space="preserve">. </w:t>
      </w:r>
      <w:r w:rsidR="00CA1E9E">
        <w:rPr>
          <w:bCs/>
        </w:rPr>
        <w:t>Code is limited in scope to the filing of memorandum contra applications for r</w:t>
      </w:r>
      <w:r w:rsidR="00792DEB">
        <w:rPr>
          <w:bCs/>
        </w:rPr>
        <w:t>ehearing.</w:t>
      </w:r>
      <w:r w:rsidR="00792DEB">
        <w:rPr>
          <w:rStyle w:val="FootnoteReference"/>
          <w:bCs/>
        </w:rPr>
        <w:footnoteReference w:id="16"/>
      </w:r>
      <w:r w:rsidR="00792DEB">
        <w:rPr>
          <w:bCs/>
        </w:rPr>
        <w:t xml:space="preserve"> </w:t>
      </w:r>
      <w:r w:rsidR="00C03CB9">
        <w:rPr>
          <w:bCs/>
        </w:rPr>
        <w:t>The PUCO has specifically ruled that memorandum in support of another parties’ application for rehearing is not permitted under PUCO rules.</w:t>
      </w:r>
      <w:r w:rsidR="00C03CB9">
        <w:rPr>
          <w:rStyle w:val="FootnoteReference"/>
          <w:bCs/>
        </w:rPr>
        <w:footnoteReference w:id="17"/>
      </w:r>
      <w:r w:rsidR="00C03CB9">
        <w:rPr>
          <w:bCs/>
        </w:rPr>
        <w:t xml:space="preserve"> In that </w:t>
      </w:r>
      <w:r w:rsidR="00792DEB">
        <w:rPr>
          <w:bCs/>
        </w:rPr>
        <w:t xml:space="preserve">ruling, </w:t>
      </w:r>
      <w:r w:rsidR="00C03CB9">
        <w:rPr>
          <w:bCs/>
        </w:rPr>
        <w:t xml:space="preserve">the PUCO appropriately </w:t>
      </w:r>
      <w:r w:rsidR="00792DEB">
        <w:rPr>
          <w:bCs/>
        </w:rPr>
        <w:t>struck portions of parties’ “memorandum contra” that were in actuality “memorandum in support.”</w:t>
      </w:r>
      <w:r w:rsidR="00792DEB">
        <w:rPr>
          <w:rStyle w:val="FootnoteReference"/>
          <w:bCs/>
        </w:rPr>
        <w:footnoteReference w:id="18"/>
      </w:r>
      <w:r w:rsidR="00792DEB">
        <w:rPr>
          <w:bCs/>
        </w:rPr>
        <w:t xml:space="preserve"> It </w:t>
      </w:r>
      <w:r w:rsidR="00C03CB9">
        <w:rPr>
          <w:bCs/>
        </w:rPr>
        <w:t xml:space="preserve">concluded </w:t>
      </w:r>
      <w:r w:rsidR="00792DEB">
        <w:rPr>
          <w:bCs/>
        </w:rPr>
        <w:t xml:space="preserve">that if a party believes that it is necessary to inform the Commission of its support for another party’s rehearing position, </w:t>
      </w:r>
      <w:r w:rsidR="00C03CB9">
        <w:rPr>
          <w:bCs/>
        </w:rPr>
        <w:t xml:space="preserve">it should file a </w:t>
      </w:r>
      <w:r w:rsidR="00792DEB">
        <w:rPr>
          <w:bCs/>
        </w:rPr>
        <w:t>motion for leave to file a memorandum in support</w:t>
      </w:r>
      <w:r w:rsidR="00C03CB9">
        <w:rPr>
          <w:bCs/>
        </w:rPr>
        <w:t>.</w:t>
      </w:r>
      <w:r w:rsidR="00792DEB">
        <w:rPr>
          <w:rStyle w:val="FootnoteReference"/>
          <w:bCs/>
        </w:rPr>
        <w:footnoteReference w:id="19"/>
      </w:r>
      <w:r w:rsidR="00792DEB">
        <w:rPr>
          <w:bCs/>
        </w:rPr>
        <w:t xml:space="preserve"> </w:t>
      </w:r>
      <w:r w:rsidR="00C03CB9">
        <w:rPr>
          <w:bCs/>
        </w:rPr>
        <w:t xml:space="preserve">RESA failed to do so here.  </w:t>
      </w:r>
    </w:p>
    <w:p w:rsidR="00FC7C85" w:rsidRDefault="00C67A0C" w:rsidP="004C75F2">
      <w:pPr>
        <w:spacing w:line="480" w:lineRule="auto"/>
        <w:ind w:firstLine="720"/>
        <w:rPr>
          <w:bCs/>
        </w:rPr>
      </w:pPr>
      <w:r>
        <w:rPr>
          <w:bCs/>
        </w:rPr>
        <w:t xml:space="preserve">Moreover, permitting RESA to add new arguments </w:t>
      </w:r>
      <w:r w:rsidR="00C03CB9">
        <w:rPr>
          <w:bCs/>
        </w:rPr>
        <w:t xml:space="preserve">at this late stage in the process would be unfair because </w:t>
      </w:r>
      <w:r>
        <w:rPr>
          <w:bCs/>
        </w:rPr>
        <w:t xml:space="preserve">OCC has no opportunity to respond to </w:t>
      </w:r>
      <w:r w:rsidR="00C03CB9">
        <w:rPr>
          <w:bCs/>
        </w:rPr>
        <w:t xml:space="preserve">such arguments. This is </w:t>
      </w:r>
      <w:r>
        <w:rPr>
          <w:bCs/>
        </w:rPr>
        <w:t xml:space="preserve">prejudicial to OCC. </w:t>
      </w:r>
      <w:r w:rsidR="00FC7C85">
        <w:rPr>
          <w:bCs/>
        </w:rPr>
        <w:t>Had RESA followed the rules and filed a timely application for rehearing, OCC would have had the opportunity to respond to its arguments</w:t>
      </w:r>
      <w:r w:rsidR="00C163DB">
        <w:rPr>
          <w:bCs/>
        </w:rPr>
        <w:t xml:space="preserve"> in a Memorandum Contra</w:t>
      </w:r>
      <w:r w:rsidR="00FC7C85">
        <w:rPr>
          <w:bCs/>
        </w:rPr>
        <w:t xml:space="preserve">. But here, with its arguments presented for the first time in a Memorandum in Response, OCC is denied the ability to respond.  </w:t>
      </w:r>
      <w:r>
        <w:rPr>
          <w:bCs/>
        </w:rPr>
        <w:t xml:space="preserve"> </w:t>
      </w:r>
    </w:p>
    <w:p w:rsidR="00940823" w:rsidRDefault="00940823" w:rsidP="004C75F2">
      <w:pPr>
        <w:spacing w:line="480" w:lineRule="auto"/>
        <w:ind w:firstLine="720"/>
        <w:rPr>
          <w:bCs/>
        </w:rPr>
      </w:pPr>
      <w:r>
        <w:rPr>
          <w:bCs/>
        </w:rPr>
        <w:t xml:space="preserve">For these reasons, OCC urges the PUCO to strike from the record RESA’s July 9, 2015 pleading.  </w:t>
      </w:r>
    </w:p>
    <w:p w:rsidR="00940823" w:rsidRPr="008241D3" w:rsidRDefault="00940823" w:rsidP="00940823">
      <w:pPr>
        <w:ind w:left="3600" w:firstLine="720"/>
      </w:pPr>
      <w:r>
        <w:t>R</w:t>
      </w:r>
      <w:r w:rsidRPr="008241D3">
        <w:t>espectfully submitted,</w:t>
      </w:r>
    </w:p>
    <w:p w:rsidR="00940823" w:rsidRPr="008241D3" w:rsidRDefault="00940823" w:rsidP="00940823">
      <w:pPr>
        <w:pStyle w:val="Footer"/>
        <w:tabs>
          <w:tab w:val="clear" w:pos="8640"/>
          <w:tab w:val="left" w:pos="4320"/>
        </w:tabs>
        <w:ind w:left="4320"/>
      </w:pPr>
    </w:p>
    <w:p w:rsidR="00940823" w:rsidRPr="008241D3" w:rsidRDefault="00940823" w:rsidP="00940823">
      <w:pPr>
        <w:pStyle w:val="Footer"/>
        <w:tabs>
          <w:tab w:val="clear" w:pos="8640"/>
          <w:tab w:val="left" w:pos="4320"/>
        </w:tabs>
        <w:ind w:left="4320"/>
      </w:pPr>
      <w:r w:rsidRPr="008241D3">
        <w:t>BRUCE J. WESTON</w:t>
      </w:r>
    </w:p>
    <w:p w:rsidR="00940823" w:rsidRPr="008241D3" w:rsidRDefault="00940823" w:rsidP="00940823">
      <w:pPr>
        <w:pStyle w:val="Footer"/>
        <w:tabs>
          <w:tab w:val="clear" w:pos="8640"/>
          <w:tab w:val="left" w:pos="4320"/>
        </w:tabs>
        <w:ind w:left="4320"/>
      </w:pPr>
      <w:r w:rsidRPr="008241D3">
        <w:t>OHIO CONSUMERS’ COUNSEL</w:t>
      </w:r>
    </w:p>
    <w:p w:rsidR="00940823" w:rsidRPr="008241D3" w:rsidRDefault="00940823" w:rsidP="00940823">
      <w:pPr>
        <w:tabs>
          <w:tab w:val="left" w:pos="4320"/>
        </w:tabs>
      </w:pPr>
      <w:r w:rsidRPr="008241D3">
        <w:tab/>
      </w:r>
    </w:p>
    <w:p w:rsidR="00940823" w:rsidRPr="008241D3" w:rsidRDefault="00940823" w:rsidP="00940823">
      <w:pPr>
        <w:tabs>
          <w:tab w:val="left" w:pos="4320"/>
        </w:tabs>
        <w:rPr>
          <w:i/>
          <w:u w:val="single"/>
        </w:rPr>
      </w:pPr>
      <w:r w:rsidRPr="008241D3">
        <w:rPr>
          <w:i/>
        </w:rPr>
        <w:tab/>
      </w:r>
      <w:r w:rsidRPr="008241D3">
        <w:rPr>
          <w:i/>
          <w:u w:val="single"/>
        </w:rPr>
        <w:t>/s/ Maureen R. Grady</w:t>
      </w:r>
    </w:p>
    <w:p w:rsidR="00940823" w:rsidRPr="008241D3" w:rsidRDefault="00940823" w:rsidP="00940823">
      <w:pPr>
        <w:tabs>
          <w:tab w:val="left" w:pos="4320"/>
        </w:tabs>
      </w:pPr>
      <w:r w:rsidRPr="008241D3">
        <w:tab/>
        <w:t>Maureen R. Grady, Counsel of Record</w:t>
      </w:r>
    </w:p>
    <w:p w:rsidR="00940823" w:rsidRPr="008241D3" w:rsidRDefault="00940823" w:rsidP="00940823">
      <w:pPr>
        <w:tabs>
          <w:tab w:val="left" w:pos="4320"/>
        </w:tabs>
      </w:pPr>
      <w:r w:rsidRPr="008241D3">
        <w:tab/>
        <w:t>(Reg. No. 0020847)</w:t>
      </w:r>
    </w:p>
    <w:p w:rsidR="00940823" w:rsidRPr="008241D3" w:rsidRDefault="00940823" w:rsidP="00940823">
      <w:pPr>
        <w:tabs>
          <w:tab w:val="left" w:pos="4320"/>
        </w:tabs>
        <w:ind w:left="4320"/>
      </w:pPr>
      <w:r w:rsidRPr="008241D3">
        <w:t>Joseph P. Serio</w:t>
      </w:r>
    </w:p>
    <w:p w:rsidR="00940823" w:rsidRPr="008241D3" w:rsidRDefault="00940823" w:rsidP="00940823">
      <w:pPr>
        <w:tabs>
          <w:tab w:val="left" w:pos="4320"/>
        </w:tabs>
        <w:ind w:left="4320"/>
      </w:pPr>
      <w:r w:rsidRPr="008241D3">
        <w:t>(Reg. No. 0036959)</w:t>
      </w:r>
    </w:p>
    <w:p w:rsidR="00940823" w:rsidRPr="008241D3" w:rsidRDefault="00940823" w:rsidP="00940823">
      <w:pPr>
        <w:tabs>
          <w:tab w:val="left" w:pos="4320"/>
        </w:tabs>
        <w:ind w:left="4320"/>
      </w:pPr>
      <w:r w:rsidRPr="008241D3">
        <w:t>Assistant Consumers’ Counsel</w:t>
      </w:r>
    </w:p>
    <w:p w:rsidR="00940823" w:rsidRPr="008241D3" w:rsidRDefault="00940823" w:rsidP="00940823">
      <w:pPr>
        <w:ind w:left="4320"/>
        <w:rPr>
          <w:b/>
        </w:rPr>
      </w:pPr>
    </w:p>
    <w:p w:rsidR="00940823" w:rsidRPr="008241D3" w:rsidRDefault="00940823" w:rsidP="00940823">
      <w:pPr>
        <w:ind w:left="4320"/>
        <w:rPr>
          <w:b/>
        </w:rPr>
      </w:pPr>
      <w:r w:rsidRPr="008241D3">
        <w:rPr>
          <w:b/>
        </w:rPr>
        <w:t>Office of the Ohio Consumers’ Counsel</w:t>
      </w:r>
    </w:p>
    <w:p w:rsidR="00940823" w:rsidRPr="008241D3" w:rsidRDefault="00940823" w:rsidP="00940823">
      <w:pPr>
        <w:ind w:left="4320"/>
      </w:pPr>
      <w:r w:rsidRPr="008241D3">
        <w:t>10 West Broad Street, Suite 1800</w:t>
      </w:r>
    </w:p>
    <w:p w:rsidR="00940823" w:rsidRPr="008241D3" w:rsidRDefault="00940823" w:rsidP="00940823">
      <w:pPr>
        <w:ind w:left="4320"/>
      </w:pPr>
      <w:r w:rsidRPr="008241D3">
        <w:t>Columbus, Ohio 43215-3485</w:t>
      </w:r>
    </w:p>
    <w:p w:rsidR="00940823" w:rsidRPr="008241D3" w:rsidRDefault="00940823" w:rsidP="00940823">
      <w:pPr>
        <w:ind w:left="4320"/>
      </w:pPr>
      <w:r w:rsidRPr="008241D3">
        <w:t xml:space="preserve">(614) 466-9567 – Grady </w:t>
      </w:r>
    </w:p>
    <w:p w:rsidR="00940823" w:rsidRPr="008241D3" w:rsidRDefault="00940823" w:rsidP="00940823">
      <w:pPr>
        <w:ind w:left="2880" w:firstLine="720"/>
      </w:pPr>
      <w:r w:rsidRPr="008241D3">
        <w:tab/>
        <w:t>(614) 466-9565 – Serio</w:t>
      </w:r>
    </w:p>
    <w:p w:rsidR="00940823" w:rsidRPr="008241D3" w:rsidRDefault="00E07E40" w:rsidP="00940823">
      <w:pPr>
        <w:ind w:left="3600" w:firstLine="720"/>
      </w:pPr>
      <w:hyperlink r:id="rId17" w:history="1">
        <w:r w:rsidR="00940823" w:rsidRPr="008241D3">
          <w:rPr>
            <w:rStyle w:val="Hyperlink"/>
          </w:rPr>
          <w:t>Maureen.grady@occ.ohio.gov</w:t>
        </w:r>
      </w:hyperlink>
    </w:p>
    <w:p w:rsidR="00940823" w:rsidRPr="008241D3" w:rsidRDefault="00940823" w:rsidP="00940823">
      <w:pPr>
        <w:ind w:left="2880" w:firstLine="720"/>
      </w:pPr>
      <w:r w:rsidRPr="008241D3">
        <w:tab/>
        <w:t>(will accept service via email)</w:t>
      </w:r>
    </w:p>
    <w:p w:rsidR="00940823" w:rsidRPr="008241D3" w:rsidRDefault="00940823" w:rsidP="00940823">
      <w:pPr>
        <w:ind w:left="2880" w:firstLine="720"/>
      </w:pPr>
      <w:r w:rsidRPr="008241D3">
        <w:tab/>
      </w:r>
      <w:hyperlink r:id="rId18" w:history="1">
        <w:r w:rsidRPr="008241D3">
          <w:rPr>
            <w:rStyle w:val="Hyperlink"/>
          </w:rPr>
          <w:t>Joseph.serio@occ.ohio.gov</w:t>
        </w:r>
      </w:hyperlink>
    </w:p>
    <w:p w:rsidR="00940823" w:rsidRPr="008241D3" w:rsidRDefault="00940823" w:rsidP="00940823">
      <w:pPr>
        <w:ind w:left="3600" w:firstLine="720"/>
      </w:pPr>
      <w:r w:rsidRPr="008241D3">
        <w:t>(will accept service via email)</w:t>
      </w:r>
    </w:p>
    <w:p w:rsidR="00440102" w:rsidRDefault="00940823" w:rsidP="00940823">
      <w:pPr>
        <w:spacing w:after="200" w:line="480" w:lineRule="auto"/>
        <w:rPr>
          <w:b/>
          <w:bCs/>
        </w:rPr>
      </w:pPr>
      <w:r w:rsidRPr="008241D3">
        <w:br w:type="page"/>
      </w:r>
    </w:p>
    <w:p w:rsidR="0040402C" w:rsidRPr="008241D3" w:rsidRDefault="0040402C" w:rsidP="0040402C">
      <w:pPr>
        <w:jc w:val="center"/>
      </w:pPr>
      <w:r w:rsidRPr="008241D3">
        <w:rPr>
          <w:b/>
          <w:bCs/>
        </w:rPr>
        <w:t>CERTIFICATE OF SERVICE</w:t>
      </w:r>
    </w:p>
    <w:p w:rsidR="0040402C" w:rsidRPr="008241D3" w:rsidRDefault="0040402C" w:rsidP="0040402C">
      <w:pPr>
        <w:spacing w:before="240" w:line="480" w:lineRule="auto"/>
        <w:ind w:firstLine="720"/>
      </w:pPr>
      <w:r w:rsidRPr="008241D3">
        <w:t>I hereby certify that a copy of the foregoing</w:t>
      </w:r>
      <w:r w:rsidRPr="008241D3">
        <w:rPr>
          <w:b/>
        </w:rPr>
        <w:t xml:space="preserve"> </w:t>
      </w:r>
      <w:r w:rsidR="00610A9D">
        <w:rPr>
          <w:b/>
        </w:rPr>
        <w:t xml:space="preserve">Reply </w:t>
      </w:r>
      <w:r w:rsidRPr="008241D3">
        <w:t>by</w:t>
      </w:r>
      <w:r w:rsidRPr="008241D3">
        <w:rPr>
          <w:b/>
        </w:rPr>
        <w:t xml:space="preserve"> </w:t>
      </w:r>
      <w:r w:rsidRPr="008241D3">
        <w:rPr>
          <w:bCs/>
        </w:rPr>
        <w:t>the Office of the Ohio Consumers’ Counsel</w:t>
      </w:r>
      <w:r w:rsidRPr="008241D3">
        <w:t xml:space="preserve"> was served via electronic transmission, to the persons listed </w:t>
      </w:r>
      <w:r w:rsidR="009B5FDD">
        <w:t>b</w:t>
      </w:r>
      <w:r w:rsidR="009B5FDD" w:rsidRPr="008241D3">
        <w:t>elow</w:t>
      </w:r>
      <w:r w:rsidRPr="008241D3">
        <w:t xml:space="preserve">, on this </w:t>
      </w:r>
      <w:r w:rsidR="003A1778">
        <w:t>2</w:t>
      </w:r>
      <w:r w:rsidR="00610A9D">
        <w:t>8</w:t>
      </w:r>
      <w:r w:rsidR="00940823">
        <w:t>th</w:t>
      </w:r>
      <w:r w:rsidRPr="008241D3">
        <w:t xml:space="preserve"> day of </w:t>
      </w:r>
      <w:r>
        <w:t>July,</w:t>
      </w:r>
      <w:r w:rsidRPr="008241D3">
        <w:t xml:space="preserve"> 2015.</w:t>
      </w:r>
    </w:p>
    <w:p w:rsidR="0040402C" w:rsidRPr="008241D3" w:rsidRDefault="0040402C" w:rsidP="0040402C">
      <w:pPr>
        <w:tabs>
          <w:tab w:val="left" w:pos="1440"/>
          <w:tab w:val="left" w:pos="2016"/>
        </w:tabs>
        <w:spacing w:line="480" w:lineRule="atLeast"/>
      </w:pPr>
    </w:p>
    <w:p w:rsidR="0040402C" w:rsidRPr="00D973CA" w:rsidRDefault="0040402C" w:rsidP="0040402C">
      <w:pPr>
        <w:tabs>
          <w:tab w:val="left" w:pos="4320"/>
        </w:tabs>
        <w:rPr>
          <w:i/>
          <w:u w:val="single"/>
        </w:rPr>
      </w:pPr>
      <w:r w:rsidRPr="008241D3">
        <w:tab/>
      </w:r>
      <w:r w:rsidRPr="00D973CA">
        <w:rPr>
          <w:i/>
          <w:u w:val="single"/>
        </w:rPr>
        <w:t>/s/ Maureen R. Grady                                    </w:t>
      </w:r>
    </w:p>
    <w:p w:rsidR="0040402C" w:rsidRPr="008241D3" w:rsidRDefault="0040402C" w:rsidP="0040402C">
      <w:pPr>
        <w:tabs>
          <w:tab w:val="left" w:pos="4320"/>
        </w:tabs>
      </w:pPr>
      <w:r w:rsidRPr="008241D3">
        <w:tab/>
        <w:t>Maureen R. Grady</w:t>
      </w:r>
    </w:p>
    <w:p w:rsidR="0040402C" w:rsidRPr="008241D3" w:rsidRDefault="0040402C" w:rsidP="0040402C">
      <w:pPr>
        <w:pStyle w:val="Footer"/>
        <w:tabs>
          <w:tab w:val="clear" w:pos="8640"/>
          <w:tab w:val="left" w:pos="4320"/>
        </w:tabs>
      </w:pPr>
      <w:r w:rsidRPr="008241D3">
        <w:tab/>
        <w:t>Assistant Consumers’ Counsel</w:t>
      </w:r>
    </w:p>
    <w:p w:rsidR="0040402C" w:rsidRPr="008241D3" w:rsidRDefault="0040402C" w:rsidP="0040402C">
      <w:pPr>
        <w:pStyle w:val="Footer"/>
        <w:tabs>
          <w:tab w:val="clear" w:pos="8640"/>
          <w:tab w:val="left" w:pos="4320"/>
        </w:tabs>
      </w:pPr>
    </w:p>
    <w:p w:rsidR="0040402C" w:rsidRPr="008241D3" w:rsidRDefault="0040402C" w:rsidP="0040402C">
      <w:pPr>
        <w:pStyle w:val="Footer"/>
        <w:tabs>
          <w:tab w:val="clear" w:pos="8640"/>
          <w:tab w:val="left" w:pos="4320"/>
        </w:tabs>
        <w:jc w:val="center"/>
        <w:rPr>
          <w:b/>
          <w:bCs/>
        </w:rPr>
      </w:pPr>
      <w:r w:rsidRPr="008241D3">
        <w:rPr>
          <w:b/>
          <w:bCs/>
        </w:rPr>
        <w:t>SERVICE LIST</w:t>
      </w:r>
    </w:p>
    <w:p w:rsidR="0040402C" w:rsidRPr="008241D3" w:rsidRDefault="0040402C" w:rsidP="0040402C">
      <w:pPr>
        <w:pStyle w:val="Footer"/>
        <w:tabs>
          <w:tab w:val="clear" w:pos="8640"/>
          <w:tab w:val="left" w:pos="4320"/>
        </w:tabs>
        <w:jc w:val="center"/>
        <w:rPr>
          <w:b/>
          <w:bCs/>
        </w:rPr>
      </w:pPr>
    </w:p>
    <w:tbl>
      <w:tblPr>
        <w:tblW w:w="0" w:type="auto"/>
        <w:tblLook w:val="01E0" w:firstRow="1" w:lastRow="1" w:firstColumn="1" w:lastColumn="1" w:noHBand="0" w:noVBand="0"/>
      </w:tblPr>
      <w:tblGrid>
        <w:gridCol w:w="4428"/>
        <w:gridCol w:w="4428"/>
      </w:tblGrid>
      <w:tr w:rsidR="0040402C" w:rsidRPr="008241D3" w:rsidTr="00ED7AF0">
        <w:tc>
          <w:tcPr>
            <w:tcW w:w="4428" w:type="dxa"/>
          </w:tcPr>
          <w:p w:rsidR="0040402C" w:rsidRPr="008241D3" w:rsidRDefault="0040402C" w:rsidP="00ED7AF0">
            <w:pPr>
              <w:rPr>
                <w:rFonts w:eastAsia="Calibri"/>
                <w:bCs/>
              </w:rPr>
            </w:pPr>
            <w:r w:rsidRPr="008241D3">
              <w:rPr>
                <w:rFonts w:eastAsia="Calibri"/>
                <w:bCs/>
                <w:color w:val="0000FF"/>
                <w:u w:val="single"/>
              </w:rPr>
              <w:t>Katie.johnson@puc.state.oh.us</w:t>
            </w:r>
          </w:p>
          <w:p w:rsidR="0040402C" w:rsidRPr="008241D3" w:rsidRDefault="0040402C" w:rsidP="00ED7AF0">
            <w:pPr>
              <w:rPr>
                <w:rFonts w:eastAsia="Calibri"/>
                <w:bCs/>
              </w:rPr>
            </w:pPr>
            <w:r w:rsidRPr="008241D3">
              <w:rPr>
                <w:rFonts w:eastAsia="Calibri"/>
                <w:bCs/>
                <w:color w:val="0000FF"/>
                <w:u w:val="single"/>
              </w:rPr>
              <w:t>Werner.margard@puc.state.oh.us</w:t>
            </w:r>
          </w:p>
          <w:p w:rsidR="0040402C" w:rsidRPr="008241D3" w:rsidRDefault="0040402C" w:rsidP="00ED7AF0">
            <w:pPr>
              <w:rPr>
                <w:rFonts w:eastAsia="Calibri"/>
              </w:rPr>
            </w:pPr>
            <w:r w:rsidRPr="008241D3">
              <w:rPr>
                <w:rFonts w:eastAsia="Calibri"/>
                <w:color w:val="0000FF"/>
                <w:u w:val="single"/>
              </w:rPr>
              <w:t>sam@mwncmh.com</w:t>
            </w:r>
          </w:p>
          <w:p w:rsidR="0040402C" w:rsidRPr="008241D3" w:rsidRDefault="0040402C" w:rsidP="00ED7AF0">
            <w:pPr>
              <w:rPr>
                <w:rFonts w:eastAsia="Calibri"/>
              </w:rPr>
            </w:pPr>
            <w:r w:rsidRPr="008241D3">
              <w:rPr>
                <w:rFonts w:eastAsia="Calibri"/>
                <w:color w:val="0000FF"/>
                <w:u w:val="single"/>
              </w:rPr>
              <w:t>fdarr@mwncmh.com</w:t>
            </w:r>
          </w:p>
          <w:p w:rsidR="0040402C" w:rsidRPr="008241D3" w:rsidRDefault="0040402C" w:rsidP="00ED7AF0">
            <w:pPr>
              <w:rPr>
                <w:rFonts w:eastAsia="Calibri"/>
              </w:rPr>
            </w:pPr>
            <w:r w:rsidRPr="008241D3">
              <w:rPr>
                <w:rFonts w:eastAsia="Calibri"/>
                <w:color w:val="0000FF"/>
                <w:u w:val="single"/>
              </w:rPr>
              <w:t>mpritchard@mwncmh.com</w:t>
            </w:r>
          </w:p>
          <w:p w:rsidR="0040402C" w:rsidRPr="008241D3" w:rsidRDefault="0040402C" w:rsidP="00ED7AF0">
            <w:pPr>
              <w:rPr>
                <w:rFonts w:eastAsia="Calibri"/>
                <w:color w:val="0000FF"/>
              </w:rPr>
            </w:pPr>
            <w:r w:rsidRPr="008241D3">
              <w:rPr>
                <w:rFonts w:eastAsia="Calibri"/>
                <w:color w:val="0000FF"/>
                <w:u w:val="single"/>
              </w:rPr>
              <w:t>Philip.Sineneng@ThompsonHine.com</w:t>
            </w:r>
          </w:p>
          <w:p w:rsidR="0040402C" w:rsidRPr="008241D3" w:rsidRDefault="0040402C" w:rsidP="00ED7AF0">
            <w:pPr>
              <w:rPr>
                <w:rFonts w:eastAsia="Calibri"/>
                <w:color w:val="0000FF"/>
              </w:rPr>
            </w:pPr>
            <w:r w:rsidRPr="008241D3">
              <w:rPr>
                <w:rFonts w:eastAsia="Calibri"/>
                <w:color w:val="0000FF"/>
                <w:u w:val="single"/>
              </w:rPr>
              <w:t>ricks@ohanet.org</w:t>
            </w:r>
          </w:p>
          <w:p w:rsidR="0040402C" w:rsidRPr="008241D3" w:rsidRDefault="0040402C" w:rsidP="00ED7AF0">
            <w:pPr>
              <w:rPr>
                <w:rFonts w:eastAsia="Calibri"/>
                <w:color w:val="0000FF"/>
              </w:rPr>
            </w:pPr>
            <w:r w:rsidRPr="008241D3">
              <w:rPr>
                <w:rFonts w:eastAsia="Calibri"/>
                <w:color w:val="0000FF"/>
                <w:u w:val="single"/>
              </w:rPr>
              <w:t>tobrien@bricker.com</w:t>
            </w:r>
          </w:p>
          <w:p w:rsidR="0040402C" w:rsidRPr="008241D3" w:rsidRDefault="0040402C" w:rsidP="00ED7AF0">
            <w:pPr>
              <w:rPr>
                <w:rFonts w:eastAsia="Calibri"/>
                <w:color w:val="0000FF"/>
              </w:rPr>
            </w:pPr>
            <w:r w:rsidRPr="008241D3">
              <w:rPr>
                <w:rFonts w:eastAsia="Calibri"/>
                <w:color w:val="0000FF"/>
                <w:u w:val="single"/>
              </w:rPr>
              <w:t>dborchers@bricker.com</w:t>
            </w:r>
          </w:p>
          <w:p w:rsidR="0040402C" w:rsidRPr="008241D3" w:rsidRDefault="0040402C" w:rsidP="00ED7AF0">
            <w:pPr>
              <w:rPr>
                <w:rFonts w:eastAsia="Calibri"/>
                <w:color w:val="0000FF"/>
                <w:u w:val="single"/>
              </w:rPr>
            </w:pPr>
            <w:r w:rsidRPr="008241D3">
              <w:rPr>
                <w:rFonts w:eastAsia="Calibri"/>
                <w:color w:val="0000FF"/>
                <w:u w:val="single"/>
              </w:rPr>
              <w:t>Rocco.dascenzo@duke-energy.com</w:t>
            </w:r>
          </w:p>
          <w:p w:rsidR="0040402C" w:rsidRPr="008241D3" w:rsidRDefault="0040402C" w:rsidP="00ED7AF0">
            <w:pPr>
              <w:rPr>
                <w:rFonts w:eastAsia="Calibri"/>
                <w:color w:val="0000FF"/>
                <w:u w:val="single"/>
              </w:rPr>
            </w:pPr>
            <w:r w:rsidRPr="008241D3">
              <w:rPr>
                <w:rFonts w:eastAsia="Calibri"/>
                <w:color w:val="0000FF"/>
                <w:u w:val="single"/>
              </w:rPr>
              <w:t>Elizabeth.watts@duke-energy.com</w:t>
            </w:r>
          </w:p>
          <w:p w:rsidR="0040402C" w:rsidRPr="008241D3" w:rsidRDefault="0040402C" w:rsidP="00ED7AF0">
            <w:pPr>
              <w:rPr>
                <w:rFonts w:eastAsia="Calibri"/>
              </w:rPr>
            </w:pPr>
            <w:r w:rsidRPr="008241D3">
              <w:rPr>
                <w:rFonts w:eastAsia="Calibri"/>
                <w:color w:val="0000FF"/>
                <w:u w:val="single"/>
              </w:rPr>
              <w:t>BarthRoyer@aol.com</w:t>
            </w:r>
          </w:p>
          <w:p w:rsidR="0040402C" w:rsidRPr="008241D3" w:rsidRDefault="0040402C" w:rsidP="00ED7AF0">
            <w:pPr>
              <w:rPr>
                <w:rFonts w:eastAsia="Calibri"/>
              </w:rPr>
            </w:pPr>
            <w:r w:rsidRPr="008241D3">
              <w:rPr>
                <w:rFonts w:eastAsia="Calibri"/>
                <w:color w:val="0000FF"/>
                <w:u w:val="single"/>
              </w:rPr>
              <w:t>dboehm@BKLlawfirm.com</w:t>
            </w:r>
          </w:p>
          <w:p w:rsidR="0040402C" w:rsidRPr="008241D3" w:rsidRDefault="0040402C" w:rsidP="00ED7AF0">
            <w:pPr>
              <w:rPr>
                <w:rFonts w:eastAsia="Calibri"/>
              </w:rPr>
            </w:pPr>
            <w:r w:rsidRPr="008241D3">
              <w:rPr>
                <w:rFonts w:eastAsia="Calibri"/>
                <w:color w:val="0000FF"/>
                <w:u w:val="single"/>
              </w:rPr>
              <w:t>mkurtz@BKLlawfirm.com</w:t>
            </w:r>
          </w:p>
          <w:p w:rsidR="0040402C" w:rsidRPr="008241D3" w:rsidRDefault="0040402C" w:rsidP="00ED7AF0">
            <w:pPr>
              <w:rPr>
                <w:rFonts w:eastAsia="Calibri"/>
              </w:rPr>
            </w:pPr>
            <w:r w:rsidRPr="008241D3">
              <w:rPr>
                <w:rFonts w:eastAsia="Calibri"/>
                <w:color w:val="0000FF"/>
                <w:u w:val="single"/>
              </w:rPr>
              <w:t>jkylercohn@BKLlawfirm.com</w:t>
            </w:r>
          </w:p>
          <w:p w:rsidR="0040402C" w:rsidRPr="008241D3" w:rsidRDefault="0040402C" w:rsidP="00ED7AF0">
            <w:pPr>
              <w:rPr>
                <w:rFonts w:eastAsia="Calibri"/>
              </w:rPr>
            </w:pPr>
            <w:r w:rsidRPr="008241D3">
              <w:rPr>
                <w:rFonts w:eastAsia="Calibri"/>
                <w:color w:val="0000FF"/>
                <w:u w:val="single"/>
              </w:rPr>
              <w:t>myurick@taftlaw.com</w:t>
            </w:r>
          </w:p>
          <w:p w:rsidR="0040402C" w:rsidRPr="008241D3" w:rsidRDefault="0040402C" w:rsidP="00ED7AF0">
            <w:pPr>
              <w:rPr>
                <w:rFonts w:eastAsia="Calibri"/>
              </w:rPr>
            </w:pPr>
            <w:r w:rsidRPr="008241D3">
              <w:rPr>
                <w:rFonts w:eastAsia="Calibri"/>
                <w:color w:val="0000FF"/>
                <w:u w:val="single"/>
              </w:rPr>
              <w:t>zkravitz@taftlaw.com</w:t>
            </w:r>
          </w:p>
          <w:p w:rsidR="0040402C" w:rsidRPr="008241D3" w:rsidRDefault="0040402C" w:rsidP="00ED7AF0">
            <w:pPr>
              <w:rPr>
                <w:rFonts w:eastAsia="Calibri"/>
                <w:color w:val="0000FF"/>
                <w:u w:val="single"/>
              </w:rPr>
            </w:pPr>
            <w:r w:rsidRPr="008241D3">
              <w:rPr>
                <w:rFonts w:eastAsia="Calibri"/>
                <w:color w:val="0000FF"/>
                <w:u w:val="single"/>
              </w:rPr>
              <w:t>tdougherty@theOEC.org</w:t>
            </w:r>
          </w:p>
          <w:p w:rsidR="0040402C" w:rsidRPr="008241D3" w:rsidRDefault="0040402C" w:rsidP="00ED7AF0">
            <w:pPr>
              <w:rPr>
                <w:rFonts w:eastAsia="Calibri"/>
                <w:color w:val="0000FF"/>
                <w:u w:val="single"/>
              </w:rPr>
            </w:pPr>
            <w:r w:rsidRPr="008241D3">
              <w:rPr>
                <w:rFonts w:eastAsia="Calibri"/>
                <w:color w:val="0000FF"/>
                <w:u w:val="single"/>
              </w:rPr>
              <w:t>msmalz@ohiopovertylaw.org</w:t>
            </w:r>
          </w:p>
          <w:p w:rsidR="0040402C" w:rsidRPr="008241D3" w:rsidRDefault="0040402C" w:rsidP="00ED7AF0">
            <w:pPr>
              <w:rPr>
                <w:rFonts w:eastAsia="Calibri"/>
                <w:color w:val="0000FF"/>
                <w:u w:val="single"/>
              </w:rPr>
            </w:pPr>
            <w:r w:rsidRPr="008241D3">
              <w:rPr>
                <w:rFonts w:eastAsia="Calibri"/>
                <w:color w:val="0000FF"/>
                <w:u w:val="single"/>
              </w:rPr>
              <w:t>mhpetricoff@vorys.com</w:t>
            </w:r>
          </w:p>
          <w:p w:rsidR="0040402C" w:rsidRPr="008241D3" w:rsidRDefault="0040402C" w:rsidP="00ED7AF0">
            <w:r w:rsidRPr="008241D3">
              <w:rPr>
                <w:rFonts w:eastAsia="Calibri"/>
                <w:color w:val="0000FF"/>
                <w:u w:val="single"/>
              </w:rPr>
              <w:t>glpetrucci@vorys.com</w:t>
            </w:r>
          </w:p>
          <w:p w:rsidR="0040402C" w:rsidRPr="008241D3" w:rsidRDefault="0040402C" w:rsidP="00ED7AF0">
            <w:pPr>
              <w:rPr>
                <w:rFonts w:eastAsia="Calibri"/>
                <w:color w:val="0000FF"/>
              </w:rPr>
            </w:pPr>
            <w:r w:rsidRPr="008241D3">
              <w:rPr>
                <w:rFonts w:eastAsia="Calibri"/>
                <w:color w:val="0000FF"/>
                <w:u w:val="single"/>
              </w:rPr>
              <w:t>Stephanie.Chmiel@ThompsonHine.com</w:t>
            </w:r>
          </w:p>
          <w:p w:rsidR="0040402C" w:rsidRPr="008241D3" w:rsidRDefault="0040402C" w:rsidP="00ED7AF0">
            <w:pPr>
              <w:rPr>
                <w:rFonts w:eastAsia="Calibri"/>
                <w:color w:val="0000FF"/>
                <w:u w:val="single"/>
              </w:rPr>
            </w:pPr>
            <w:r w:rsidRPr="008241D3">
              <w:rPr>
                <w:rFonts w:eastAsia="Calibri"/>
                <w:color w:val="0000FF"/>
                <w:u w:val="single"/>
              </w:rPr>
              <w:t>swilliams@nrdc.org</w:t>
            </w:r>
          </w:p>
          <w:p w:rsidR="0040402C" w:rsidRPr="008241D3" w:rsidRDefault="0040402C" w:rsidP="00ED7AF0">
            <w:pPr>
              <w:rPr>
                <w:rFonts w:eastAsia="Calibri"/>
                <w:color w:val="0000FF"/>
                <w:u w:val="single"/>
              </w:rPr>
            </w:pPr>
            <w:r w:rsidRPr="008241D3">
              <w:rPr>
                <w:rFonts w:eastAsia="Calibri"/>
                <w:color w:val="0000FF"/>
                <w:u w:val="single"/>
              </w:rPr>
              <w:t>tsiwo@bricker.com</w:t>
            </w:r>
          </w:p>
          <w:p w:rsidR="0040402C" w:rsidRPr="008241D3" w:rsidRDefault="0040402C" w:rsidP="00ED7AF0">
            <w:pPr>
              <w:rPr>
                <w:rFonts w:eastAsia="Calibri"/>
                <w:color w:val="0000FF"/>
                <w:u w:val="single"/>
              </w:rPr>
            </w:pPr>
          </w:p>
          <w:p w:rsidR="0040402C" w:rsidRPr="008241D3" w:rsidRDefault="0040402C" w:rsidP="00ED7AF0">
            <w:pPr>
              <w:rPr>
                <w:rFonts w:eastAsia="Calibri"/>
              </w:rPr>
            </w:pPr>
            <w:r w:rsidRPr="008241D3">
              <w:rPr>
                <w:rFonts w:eastAsia="Calibri"/>
              </w:rPr>
              <w:t>Attorney Examiner:</w:t>
            </w:r>
          </w:p>
          <w:p w:rsidR="0040402C" w:rsidRPr="008241D3" w:rsidRDefault="0040402C" w:rsidP="00ED7AF0">
            <w:pPr>
              <w:rPr>
                <w:rFonts w:eastAsia="Calibri"/>
                <w:color w:val="0000FF"/>
                <w:u w:val="single"/>
              </w:rPr>
            </w:pPr>
          </w:p>
          <w:p w:rsidR="0040402C" w:rsidRPr="008241D3" w:rsidRDefault="0040402C" w:rsidP="00ED7AF0">
            <w:pPr>
              <w:rPr>
                <w:rFonts w:eastAsia="Calibri"/>
                <w:bCs/>
              </w:rPr>
            </w:pPr>
            <w:r w:rsidRPr="008241D3">
              <w:rPr>
                <w:rFonts w:eastAsia="Calibri"/>
                <w:color w:val="0000FF"/>
                <w:u w:val="single"/>
              </w:rPr>
              <w:t>Sarah.parrot@puc.state.oh.us</w:t>
            </w:r>
          </w:p>
        </w:tc>
        <w:tc>
          <w:tcPr>
            <w:tcW w:w="4428" w:type="dxa"/>
          </w:tcPr>
          <w:p w:rsidR="0040402C" w:rsidRPr="008241D3" w:rsidRDefault="0040402C" w:rsidP="00ED7AF0">
            <w:pPr>
              <w:rPr>
                <w:rFonts w:eastAsia="Calibri"/>
              </w:rPr>
            </w:pPr>
            <w:r w:rsidRPr="008241D3">
              <w:rPr>
                <w:rFonts w:eastAsia="Calibri"/>
                <w:color w:val="0000FF"/>
                <w:u w:val="single"/>
              </w:rPr>
              <w:t>stnourse@aep.com</w:t>
            </w:r>
          </w:p>
          <w:p w:rsidR="0040402C" w:rsidRPr="008241D3" w:rsidRDefault="0040402C" w:rsidP="00ED7AF0">
            <w:pPr>
              <w:rPr>
                <w:rFonts w:eastAsia="Calibri"/>
              </w:rPr>
            </w:pPr>
            <w:r w:rsidRPr="008241D3">
              <w:rPr>
                <w:rFonts w:eastAsia="Calibri"/>
                <w:color w:val="0000FF"/>
                <w:u w:val="single"/>
              </w:rPr>
              <w:t>mjsatterwhite@aep.com</w:t>
            </w:r>
          </w:p>
          <w:p w:rsidR="0040402C" w:rsidRPr="008241D3" w:rsidRDefault="0040402C" w:rsidP="00ED7AF0">
            <w:pPr>
              <w:rPr>
                <w:rFonts w:eastAsia="Calibri"/>
              </w:rPr>
            </w:pPr>
            <w:r w:rsidRPr="008241D3">
              <w:rPr>
                <w:rFonts w:eastAsia="Calibri"/>
                <w:color w:val="0000FF"/>
                <w:u w:val="single"/>
              </w:rPr>
              <w:t>dconway@porterwright.com</w:t>
            </w:r>
          </w:p>
          <w:p w:rsidR="0040402C" w:rsidRPr="008241D3" w:rsidRDefault="0040402C" w:rsidP="00ED7AF0">
            <w:pPr>
              <w:rPr>
                <w:rFonts w:eastAsia="Calibri"/>
              </w:rPr>
            </w:pPr>
            <w:r w:rsidRPr="008241D3">
              <w:rPr>
                <w:rFonts w:eastAsia="Calibri"/>
                <w:color w:val="0000FF"/>
                <w:u w:val="single"/>
              </w:rPr>
              <w:t>Bojko@carpenterlipps.com</w:t>
            </w:r>
          </w:p>
          <w:p w:rsidR="0040402C" w:rsidRPr="008241D3" w:rsidRDefault="0040402C" w:rsidP="00ED7AF0">
            <w:pPr>
              <w:rPr>
                <w:color w:val="0000FF"/>
                <w:u w:val="single"/>
              </w:rPr>
            </w:pPr>
            <w:r w:rsidRPr="008241D3">
              <w:rPr>
                <w:rFonts w:eastAsia="Calibri"/>
                <w:color w:val="0000FF"/>
                <w:u w:val="single"/>
              </w:rPr>
              <w:t>Mohler@carpenterlipps.com</w:t>
            </w:r>
          </w:p>
          <w:p w:rsidR="0040402C" w:rsidRPr="008241D3" w:rsidRDefault="0040402C" w:rsidP="00ED7AF0">
            <w:pPr>
              <w:rPr>
                <w:rFonts w:eastAsia="Calibri"/>
                <w:color w:val="0000FF"/>
              </w:rPr>
            </w:pPr>
            <w:r w:rsidRPr="008241D3">
              <w:rPr>
                <w:rFonts w:eastAsia="Calibri"/>
                <w:color w:val="0000FF"/>
                <w:u w:val="single"/>
              </w:rPr>
              <w:t>haydenm@firstenergycorp.com</w:t>
            </w:r>
          </w:p>
          <w:p w:rsidR="0040402C" w:rsidRPr="008241D3" w:rsidRDefault="0040402C" w:rsidP="00ED7AF0">
            <w:pPr>
              <w:rPr>
                <w:rFonts w:eastAsia="Calibri"/>
                <w:color w:val="0000FF"/>
              </w:rPr>
            </w:pPr>
            <w:r w:rsidRPr="008241D3">
              <w:rPr>
                <w:rFonts w:eastAsia="Calibri"/>
                <w:color w:val="0000FF"/>
                <w:u w:val="single"/>
              </w:rPr>
              <w:t>jmcdermott@firstenergycorp.com</w:t>
            </w:r>
          </w:p>
          <w:p w:rsidR="0040402C" w:rsidRPr="008241D3" w:rsidRDefault="0040402C" w:rsidP="00ED7AF0">
            <w:pPr>
              <w:rPr>
                <w:rFonts w:eastAsia="Calibri"/>
                <w:color w:val="0000FF"/>
              </w:rPr>
            </w:pPr>
            <w:r w:rsidRPr="008241D3">
              <w:rPr>
                <w:rFonts w:eastAsia="Calibri"/>
                <w:color w:val="0000FF"/>
                <w:u w:val="single"/>
              </w:rPr>
              <w:t>scasto@firstenergycorp.com</w:t>
            </w:r>
          </w:p>
          <w:p w:rsidR="0040402C" w:rsidRPr="008241D3" w:rsidRDefault="0040402C" w:rsidP="00ED7AF0">
            <w:pPr>
              <w:rPr>
                <w:rFonts w:eastAsia="Calibri"/>
              </w:rPr>
            </w:pPr>
            <w:r w:rsidRPr="008241D3">
              <w:rPr>
                <w:rFonts w:eastAsia="Calibri"/>
                <w:color w:val="0000FF"/>
                <w:u w:val="single"/>
              </w:rPr>
              <w:t>whitt@whitt-sturtevant.com</w:t>
            </w:r>
          </w:p>
          <w:p w:rsidR="0040402C" w:rsidRPr="008241D3" w:rsidRDefault="0040402C" w:rsidP="00ED7AF0">
            <w:pPr>
              <w:rPr>
                <w:rFonts w:eastAsia="Calibri"/>
              </w:rPr>
            </w:pPr>
            <w:r w:rsidRPr="008241D3">
              <w:rPr>
                <w:rFonts w:eastAsia="Calibri"/>
                <w:color w:val="0000FF"/>
                <w:u w:val="single"/>
              </w:rPr>
              <w:t>campbell@whitt-sturtevant.com</w:t>
            </w:r>
          </w:p>
          <w:p w:rsidR="0040402C" w:rsidRPr="008241D3" w:rsidRDefault="0040402C" w:rsidP="00ED7AF0">
            <w:pPr>
              <w:rPr>
                <w:color w:val="0000FF"/>
                <w:u w:val="single"/>
              </w:rPr>
            </w:pPr>
            <w:r w:rsidRPr="008241D3">
              <w:rPr>
                <w:rFonts w:eastAsia="Calibri"/>
                <w:color w:val="0000FF"/>
                <w:u w:val="single"/>
              </w:rPr>
              <w:t>williams@whitt-sturtevant.com</w:t>
            </w:r>
          </w:p>
          <w:p w:rsidR="0040402C" w:rsidRPr="008241D3" w:rsidRDefault="0040402C" w:rsidP="00ED7AF0">
            <w:pPr>
              <w:rPr>
                <w:rFonts w:eastAsia="Calibri"/>
              </w:rPr>
            </w:pPr>
            <w:r w:rsidRPr="008241D3">
              <w:rPr>
                <w:rFonts w:eastAsia="Calibri"/>
                <w:color w:val="0000FF"/>
                <w:u w:val="single"/>
              </w:rPr>
              <w:t>vparisi@igsenergy.com</w:t>
            </w:r>
          </w:p>
          <w:p w:rsidR="0040402C" w:rsidRPr="008241D3" w:rsidRDefault="0040402C" w:rsidP="00ED7AF0">
            <w:pPr>
              <w:rPr>
                <w:rFonts w:eastAsia="Calibri"/>
              </w:rPr>
            </w:pPr>
            <w:r w:rsidRPr="008241D3">
              <w:rPr>
                <w:rFonts w:eastAsia="Calibri"/>
                <w:color w:val="0000FF"/>
                <w:u w:val="single"/>
              </w:rPr>
              <w:t>lfriedeman@igsenergy.com</w:t>
            </w:r>
          </w:p>
          <w:p w:rsidR="0040402C" w:rsidRPr="008241D3" w:rsidRDefault="0040402C" w:rsidP="00ED7AF0">
            <w:pPr>
              <w:rPr>
                <w:color w:val="0000FF"/>
                <w:u w:val="single"/>
              </w:rPr>
            </w:pPr>
            <w:r w:rsidRPr="008241D3">
              <w:rPr>
                <w:rFonts w:eastAsia="Calibri"/>
                <w:color w:val="0000FF"/>
                <w:u w:val="single"/>
              </w:rPr>
              <w:t>mswhite@igsenergy.com</w:t>
            </w:r>
          </w:p>
          <w:p w:rsidR="0040402C" w:rsidRPr="008241D3" w:rsidRDefault="0040402C" w:rsidP="00ED7AF0">
            <w:pPr>
              <w:rPr>
                <w:rFonts w:eastAsia="Calibri"/>
              </w:rPr>
            </w:pPr>
            <w:r w:rsidRPr="008241D3">
              <w:rPr>
                <w:rFonts w:eastAsia="Calibri"/>
                <w:color w:val="0000FF"/>
                <w:u w:val="single"/>
              </w:rPr>
              <w:t>Gary.A.Jeffries@dom.com</w:t>
            </w:r>
          </w:p>
          <w:p w:rsidR="0040402C" w:rsidRPr="008241D3" w:rsidRDefault="0040402C" w:rsidP="00ED7AF0">
            <w:pPr>
              <w:rPr>
                <w:rFonts w:eastAsia="Calibri"/>
              </w:rPr>
            </w:pPr>
            <w:r w:rsidRPr="008241D3">
              <w:rPr>
                <w:rFonts w:eastAsia="Calibri"/>
                <w:color w:val="0000FF"/>
                <w:u w:val="single"/>
              </w:rPr>
              <w:t>Judi.sobecki@aes.com</w:t>
            </w:r>
          </w:p>
          <w:p w:rsidR="0040402C" w:rsidRPr="008241D3" w:rsidRDefault="0040402C" w:rsidP="00ED7AF0">
            <w:pPr>
              <w:rPr>
                <w:rFonts w:eastAsia="Calibri"/>
                <w:color w:val="0000FF"/>
              </w:rPr>
            </w:pPr>
            <w:r w:rsidRPr="008241D3">
              <w:rPr>
                <w:rFonts w:eastAsia="Calibri"/>
                <w:color w:val="0000FF"/>
                <w:u w:val="single"/>
              </w:rPr>
              <w:t>cmooney@ohiopartners.org</w:t>
            </w:r>
          </w:p>
          <w:p w:rsidR="0040402C" w:rsidRPr="008241D3" w:rsidRDefault="0040402C" w:rsidP="00ED7AF0">
            <w:pPr>
              <w:rPr>
                <w:rFonts w:eastAsia="Calibri"/>
                <w:color w:val="0000FF"/>
              </w:rPr>
            </w:pPr>
            <w:r w:rsidRPr="008241D3">
              <w:rPr>
                <w:rFonts w:eastAsia="Calibri"/>
                <w:color w:val="0000FF"/>
                <w:u w:val="single"/>
              </w:rPr>
              <w:t>cloucas@ohiopartners.org</w:t>
            </w:r>
          </w:p>
          <w:p w:rsidR="0040402C" w:rsidRPr="008241D3" w:rsidRDefault="0040402C" w:rsidP="00ED7AF0">
            <w:pPr>
              <w:rPr>
                <w:color w:val="0000FF"/>
                <w:u w:val="single"/>
              </w:rPr>
            </w:pPr>
            <w:r w:rsidRPr="008241D3">
              <w:rPr>
                <w:rFonts w:eastAsia="Calibri"/>
                <w:color w:val="0000FF"/>
                <w:u w:val="single"/>
              </w:rPr>
              <w:t>jfinnigan@edf.org</w:t>
            </w:r>
          </w:p>
          <w:p w:rsidR="0040402C" w:rsidRPr="008241D3" w:rsidRDefault="0040402C" w:rsidP="00ED7AF0">
            <w:pPr>
              <w:rPr>
                <w:rFonts w:eastAsia="Calibri"/>
                <w:color w:val="0000FF"/>
              </w:rPr>
            </w:pPr>
            <w:r w:rsidRPr="008241D3">
              <w:rPr>
                <w:rFonts w:eastAsia="Calibri"/>
                <w:color w:val="0000FF"/>
                <w:u w:val="single"/>
              </w:rPr>
              <w:t>joseph.clark@directenergy.com</w:t>
            </w:r>
          </w:p>
          <w:p w:rsidR="0040402C" w:rsidRPr="008241D3" w:rsidRDefault="0040402C" w:rsidP="00ED7AF0">
            <w:pPr>
              <w:rPr>
                <w:rFonts w:eastAsia="Calibri"/>
              </w:rPr>
            </w:pPr>
            <w:r w:rsidRPr="008241D3">
              <w:rPr>
                <w:rFonts w:eastAsia="Calibri"/>
                <w:color w:val="0000FF"/>
                <w:u w:val="single"/>
              </w:rPr>
              <w:t>NMcDaniel@elpc.org</w:t>
            </w:r>
          </w:p>
          <w:p w:rsidR="0040402C" w:rsidRPr="008241D3" w:rsidRDefault="0040402C" w:rsidP="00ED7AF0">
            <w:pPr>
              <w:rPr>
                <w:rFonts w:eastAsia="Calibri"/>
              </w:rPr>
            </w:pPr>
            <w:r w:rsidRPr="008241D3">
              <w:rPr>
                <w:rFonts w:eastAsia="Calibri"/>
                <w:color w:val="0000FF"/>
                <w:u w:val="single"/>
              </w:rPr>
              <w:t>lhawrot@spilmanlaw.com</w:t>
            </w:r>
          </w:p>
          <w:p w:rsidR="0040402C" w:rsidRPr="008241D3" w:rsidRDefault="0040402C" w:rsidP="00ED7AF0">
            <w:pPr>
              <w:rPr>
                <w:rFonts w:eastAsia="Calibri"/>
                <w:color w:val="0000FF"/>
                <w:u w:val="single"/>
              </w:rPr>
            </w:pPr>
            <w:r w:rsidRPr="008241D3">
              <w:rPr>
                <w:rFonts w:eastAsia="Calibri"/>
                <w:color w:val="0000FF"/>
                <w:u w:val="single"/>
              </w:rPr>
              <w:t>dwilliamson@spilmanlaw.com</w:t>
            </w:r>
          </w:p>
          <w:p w:rsidR="0040402C" w:rsidRPr="008241D3" w:rsidRDefault="0040402C" w:rsidP="00ED7AF0">
            <w:r w:rsidRPr="008241D3">
              <w:rPr>
                <w:color w:val="0000FF"/>
                <w:u w:val="single"/>
              </w:rPr>
              <w:t>tshadrick@spilmanlaw.com</w:t>
            </w:r>
          </w:p>
          <w:p w:rsidR="0040402C" w:rsidRPr="008241D3" w:rsidRDefault="0040402C" w:rsidP="00ED7AF0">
            <w:pPr>
              <w:rPr>
                <w:rFonts w:eastAsia="Calibri"/>
                <w:bCs/>
                <w:color w:val="0000FF"/>
                <w:u w:val="single"/>
              </w:rPr>
            </w:pPr>
            <w:r w:rsidRPr="008241D3">
              <w:rPr>
                <w:rFonts w:eastAsia="Calibri"/>
                <w:bCs/>
                <w:color w:val="0000FF"/>
                <w:u w:val="single"/>
              </w:rPr>
              <w:t>gpoulos@enernoc.com</w:t>
            </w:r>
          </w:p>
          <w:p w:rsidR="0040402C" w:rsidRPr="008241D3" w:rsidRDefault="0040402C" w:rsidP="00ED7AF0">
            <w:pPr>
              <w:rPr>
                <w:rFonts w:eastAsia="Calibri"/>
                <w:bCs/>
                <w:color w:val="0000FF"/>
                <w:u w:val="single"/>
              </w:rPr>
            </w:pPr>
            <w:r w:rsidRPr="008241D3">
              <w:rPr>
                <w:rFonts w:eastAsia="Calibri"/>
                <w:bCs/>
                <w:color w:val="0000FF"/>
                <w:u w:val="single"/>
              </w:rPr>
              <w:t>Schmidt@sppgrp.com</w:t>
            </w:r>
          </w:p>
          <w:p w:rsidR="0040402C" w:rsidRPr="008241D3" w:rsidRDefault="0040402C" w:rsidP="00ED7AF0">
            <w:pPr>
              <w:rPr>
                <w:rFonts w:eastAsia="Calibri"/>
                <w:bCs/>
              </w:rPr>
            </w:pPr>
          </w:p>
        </w:tc>
      </w:tr>
    </w:tbl>
    <w:p w:rsidR="0040402C" w:rsidRPr="00F3794A" w:rsidRDefault="0040402C">
      <w:pPr>
        <w:rPr>
          <w:b/>
        </w:rPr>
      </w:pPr>
    </w:p>
    <w:sectPr w:rsidR="0040402C" w:rsidRPr="00F3794A" w:rsidSect="007F5B4A">
      <w:headerReference w:type="default" r:id="rId19"/>
      <w:footerReference w:type="default" r:id="rId20"/>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171" w:rsidRDefault="00F34171" w:rsidP="00C70ED2">
      <w:r>
        <w:separator/>
      </w:r>
    </w:p>
  </w:endnote>
  <w:endnote w:type="continuationSeparator" w:id="0">
    <w:p w:rsidR="00F34171" w:rsidRDefault="00F34171" w:rsidP="00C70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3F7" w:rsidRDefault="00CE03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A9D" w:rsidRDefault="00610A9D">
    <w:pPr>
      <w:pStyle w:val="Footer"/>
      <w:jc w:val="center"/>
    </w:pPr>
  </w:p>
  <w:p w:rsidR="00984CEF" w:rsidRDefault="00984C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3F7" w:rsidRDefault="00CE03F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456795"/>
      <w:docPartObj>
        <w:docPartGallery w:val="Page Numbers (Bottom of Page)"/>
        <w:docPartUnique/>
      </w:docPartObj>
    </w:sdtPr>
    <w:sdtEndPr>
      <w:rPr>
        <w:noProof/>
      </w:rPr>
    </w:sdtEndPr>
    <w:sdtContent>
      <w:p w:rsidR="00610A9D" w:rsidRDefault="00610A9D">
        <w:pPr>
          <w:pStyle w:val="Footer"/>
          <w:jc w:val="center"/>
        </w:pPr>
        <w:r>
          <w:fldChar w:fldCharType="begin"/>
        </w:r>
        <w:r>
          <w:instrText xml:space="preserve"> PAGE   \* MERGEFORMAT </w:instrText>
        </w:r>
        <w:r>
          <w:fldChar w:fldCharType="separate"/>
        </w:r>
        <w:r w:rsidR="00E07E40">
          <w:rPr>
            <w:noProof/>
          </w:rPr>
          <w:t>2</w:t>
        </w:r>
        <w:r>
          <w:rPr>
            <w:noProof/>
          </w:rPr>
          <w:fldChar w:fldCharType="end"/>
        </w:r>
      </w:p>
    </w:sdtContent>
  </w:sdt>
  <w:p w:rsidR="00610A9D" w:rsidRDefault="00610A9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78667"/>
      <w:docPartObj>
        <w:docPartGallery w:val="Page Numbers (Bottom of Page)"/>
        <w:docPartUnique/>
      </w:docPartObj>
    </w:sdtPr>
    <w:sdtEndPr>
      <w:rPr>
        <w:noProof/>
      </w:rPr>
    </w:sdtEndPr>
    <w:sdtContent>
      <w:p w:rsidR="00984CEF" w:rsidRDefault="00984CEF">
        <w:pPr>
          <w:pStyle w:val="Footer"/>
          <w:jc w:val="center"/>
        </w:pPr>
        <w:r>
          <w:fldChar w:fldCharType="begin"/>
        </w:r>
        <w:r>
          <w:instrText xml:space="preserve"> PAGE   \* MERGEFORMAT </w:instrText>
        </w:r>
        <w:r>
          <w:fldChar w:fldCharType="separate"/>
        </w:r>
        <w:r w:rsidR="00D973CA">
          <w:rPr>
            <w:noProof/>
          </w:rPr>
          <w:t>1</w:t>
        </w:r>
        <w:r>
          <w:rPr>
            <w:noProof/>
          </w:rPr>
          <w:fldChar w:fldCharType="end"/>
        </w:r>
      </w:p>
    </w:sdtContent>
  </w:sdt>
  <w:p w:rsidR="00984CEF" w:rsidRDefault="00984C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171" w:rsidRDefault="00F34171" w:rsidP="00C70ED2">
      <w:r>
        <w:separator/>
      </w:r>
    </w:p>
  </w:footnote>
  <w:footnote w:type="continuationSeparator" w:id="0">
    <w:p w:rsidR="00F34171" w:rsidRDefault="00F34171" w:rsidP="00C70ED2">
      <w:r>
        <w:continuationSeparator/>
      </w:r>
    </w:p>
  </w:footnote>
  <w:footnote w:id="1">
    <w:p w:rsidR="00791CD9" w:rsidRDefault="00791CD9" w:rsidP="00610A9D">
      <w:pPr>
        <w:pStyle w:val="FootnoteText"/>
        <w:spacing w:after="120"/>
      </w:pPr>
      <w:r>
        <w:rPr>
          <w:rStyle w:val="FootnoteReference"/>
        </w:rPr>
        <w:footnoteRef/>
      </w:r>
      <w:r w:rsidR="009B5FDD">
        <w:t xml:space="preserve"> </w:t>
      </w:r>
      <w:r>
        <w:t xml:space="preserve">OCC’s Motion </w:t>
      </w:r>
      <w:r w:rsidR="004F0A65">
        <w:t>was filed on July 20, 2015.</w:t>
      </w:r>
    </w:p>
  </w:footnote>
  <w:footnote w:id="2">
    <w:p w:rsidR="00137889" w:rsidRDefault="00EA0ADF" w:rsidP="00610A9D">
      <w:pPr>
        <w:pStyle w:val="FootnoteText"/>
        <w:spacing w:after="120"/>
      </w:pPr>
      <w:r>
        <w:rPr>
          <w:rStyle w:val="FootnoteReference"/>
        </w:rPr>
        <w:footnoteRef/>
      </w:r>
      <w:r>
        <w:t xml:space="preserve"> RESA Memorandum Contra at 3 (July 21, 2015).  </w:t>
      </w:r>
    </w:p>
  </w:footnote>
  <w:footnote w:id="3">
    <w:p w:rsidR="00CB6B4D" w:rsidRDefault="00CB6B4D" w:rsidP="00610A9D">
      <w:pPr>
        <w:pStyle w:val="FootnoteText"/>
        <w:spacing w:after="120"/>
      </w:pPr>
      <w:r>
        <w:rPr>
          <w:rStyle w:val="FootnoteReference"/>
        </w:rPr>
        <w:footnoteRef/>
      </w:r>
      <w:r>
        <w:t xml:space="preserve"> Id.</w:t>
      </w:r>
    </w:p>
  </w:footnote>
  <w:footnote w:id="4">
    <w:p w:rsidR="00137889" w:rsidRDefault="00CB6B4D" w:rsidP="00610A9D">
      <w:pPr>
        <w:pStyle w:val="FootnoteText"/>
        <w:spacing w:after="120"/>
      </w:pPr>
      <w:r>
        <w:rPr>
          <w:rStyle w:val="FootnoteReference"/>
        </w:rPr>
        <w:footnoteRef/>
      </w:r>
      <w:r>
        <w:t xml:space="preserve"> Id. at footnote 2.  </w:t>
      </w:r>
    </w:p>
  </w:footnote>
  <w:footnote w:id="5">
    <w:p w:rsidR="00165FB1" w:rsidRDefault="00165FB1">
      <w:pPr>
        <w:pStyle w:val="FootnoteText"/>
      </w:pPr>
      <w:r>
        <w:rPr>
          <w:rStyle w:val="FootnoteReference"/>
        </w:rPr>
        <w:footnoteRef/>
      </w:r>
      <w:r>
        <w:t xml:space="preserve"> </w:t>
      </w:r>
      <w:r w:rsidR="00DE6E80">
        <w:t>RESA Response at 3</w:t>
      </w:r>
      <w:r>
        <w:t xml:space="preserve">.  </w:t>
      </w:r>
    </w:p>
    <w:p w:rsidR="00137889" w:rsidRDefault="00137889">
      <w:pPr>
        <w:pStyle w:val="FootnoteText"/>
      </w:pPr>
    </w:p>
  </w:footnote>
  <w:footnote w:id="6">
    <w:p w:rsidR="00137889" w:rsidRDefault="00DE6E80">
      <w:pPr>
        <w:pStyle w:val="FootnoteText"/>
      </w:pPr>
      <w:r>
        <w:rPr>
          <w:rStyle w:val="FootnoteReference"/>
        </w:rPr>
        <w:footnoteRef/>
      </w:r>
      <w:r>
        <w:t xml:space="preserve"> Id. at 2. </w:t>
      </w:r>
    </w:p>
    <w:p w:rsidR="00DE6E80" w:rsidRDefault="00DE6E80">
      <w:pPr>
        <w:pStyle w:val="FootnoteText"/>
      </w:pPr>
      <w:r>
        <w:t xml:space="preserve"> </w:t>
      </w:r>
    </w:p>
  </w:footnote>
  <w:footnote w:id="7">
    <w:p w:rsidR="00DE6E80" w:rsidRDefault="00DE6E80">
      <w:pPr>
        <w:pStyle w:val="FootnoteText"/>
      </w:pPr>
      <w:r>
        <w:rPr>
          <w:rStyle w:val="FootnoteReference"/>
        </w:rPr>
        <w:footnoteRef/>
      </w:r>
      <w:r>
        <w:t xml:space="preserve"> Id. at 3.  </w:t>
      </w:r>
    </w:p>
    <w:p w:rsidR="00137889" w:rsidRDefault="00137889">
      <w:pPr>
        <w:pStyle w:val="FootnoteText"/>
      </w:pPr>
    </w:p>
  </w:footnote>
  <w:footnote w:id="8">
    <w:p w:rsidR="00A753FF" w:rsidRDefault="00A753FF">
      <w:pPr>
        <w:pStyle w:val="FootnoteText"/>
      </w:pPr>
      <w:r>
        <w:rPr>
          <w:rStyle w:val="FootnoteReference"/>
        </w:rPr>
        <w:footnoteRef/>
      </w:r>
      <w:r>
        <w:t xml:space="preserve"> In Consolidated Duke Energy Ohio, Inc., Rate Stabilization Plan Remand and Rider Adjustment Cases, Case No. 03-93-EL-ATA, Entry (Jan. 2, 2007).  </w:t>
      </w:r>
    </w:p>
  </w:footnote>
  <w:footnote w:id="9">
    <w:p w:rsidR="006F269C" w:rsidRDefault="006F269C" w:rsidP="006F269C">
      <w:pPr>
        <w:pStyle w:val="FootnoteText"/>
        <w:spacing w:after="120"/>
      </w:pPr>
      <w:r>
        <w:rPr>
          <w:rStyle w:val="FootnoteReference"/>
        </w:rPr>
        <w:footnoteRef/>
      </w:r>
      <w:r>
        <w:t xml:space="preserve"> Id.</w:t>
      </w:r>
    </w:p>
  </w:footnote>
  <w:footnote w:id="10">
    <w:p w:rsidR="006F269C" w:rsidRDefault="006F269C" w:rsidP="006F269C">
      <w:pPr>
        <w:pStyle w:val="FootnoteText"/>
        <w:spacing w:after="120"/>
      </w:pPr>
      <w:r>
        <w:rPr>
          <w:rStyle w:val="FootnoteReference"/>
        </w:rPr>
        <w:footnoteRef/>
      </w:r>
      <w:r>
        <w:t xml:space="preserve"> Id. </w:t>
      </w:r>
    </w:p>
  </w:footnote>
  <w:footnote w:id="11">
    <w:p w:rsidR="00C70ED2" w:rsidRDefault="00C70ED2" w:rsidP="002561FF">
      <w:pPr>
        <w:pStyle w:val="FootnoteText"/>
        <w:spacing w:after="120"/>
      </w:pPr>
      <w:r>
        <w:rPr>
          <w:rStyle w:val="FootnoteReference"/>
        </w:rPr>
        <w:footnoteRef/>
      </w:r>
      <w:r>
        <w:t xml:space="preserve"> </w:t>
      </w:r>
      <w:r w:rsidR="001F6A31">
        <w:t xml:space="preserve">RESA Memorandum in Response at 2 (July 9, 2015). </w:t>
      </w:r>
    </w:p>
  </w:footnote>
  <w:footnote w:id="12">
    <w:p w:rsidR="00C163DB" w:rsidRDefault="00C163DB" w:rsidP="002561FF">
      <w:pPr>
        <w:pStyle w:val="FootnoteText"/>
        <w:spacing w:after="120"/>
      </w:pPr>
      <w:r>
        <w:rPr>
          <w:rStyle w:val="FootnoteReference"/>
        </w:rPr>
        <w:footnoteRef/>
      </w:r>
      <w:r>
        <w:t xml:space="preserve"> Id. </w:t>
      </w:r>
    </w:p>
  </w:footnote>
  <w:footnote w:id="13">
    <w:p w:rsidR="001F6A31" w:rsidRDefault="001F6A31" w:rsidP="00984CEF">
      <w:pPr>
        <w:pStyle w:val="FootnoteText"/>
        <w:spacing w:after="120"/>
      </w:pPr>
      <w:r>
        <w:rPr>
          <w:rStyle w:val="FootnoteReference"/>
        </w:rPr>
        <w:footnoteRef/>
      </w:r>
      <w:r>
        <w:t xml:space="preserve"> R.C. 4903.10.  </w:t>
      </w:r>
    </w:p>
  </w:footnote>
  <w:footnote w:id="14">
    <w:p w:rsidR="006175A6" w:rsidRDefault="006175A6" w:rsidP="002561FF">
      <w:pPr>
        <w:pStyle w:val="FootnoteText"/>
        <w:spacing w:after="120"/>
      </w:pPr>
      <w:r>
        <w:rPr>
          <w:rStyle w:val="FootnoteReference"/>
        </w:rPr>
        <w:footnoteRef/>
      </w:r>
      <w:r>
        <w:t xml:space="preserve"> See</w:t>
      </w:r>
      <w:r w:rsidR="00791CD9">
        <w:t>,</w:t>
      </w:r>
      <w:r>
        <w:t xml:space="preserve"> e.g.</w:t>
      </w:r>
      <w:r w:rsidR="00791CD9">
        <w:t>,</w:t>
      </w:r>
      <w:r>
        <w:t xml:space="preserve"> </w:t>
      </w:r>
      <w:r w:rsidRPr="00791CD9">
        <w:rPr>
          <w:i/>
        </w:rPr>
        <w:t>In</w:t>
      </w:r>
      <w:r>
        <w:t xml:space="preserve"> </w:t>
      </w:r>
      <w:r w:rsidRPr="00791CD9">
        <w:rPr>
          <w:i/>
        </w:rPr>
        <w:t>the Matter of the Complaint of Westside Cellu</w:t>
      </w:r>
      <w:r w:rsidR="00791CD9" w:rsidRPr="00791CD9">
        <w:rPr>
          <w:i/>
        </w:rPr>
        <w:t xml:space="preserve">lar </w:t>
      </w:r>
      <w:r w:rsidRPr="00791CD9">
        <w:rPr>
          <w:i/>
        </w:rPr>
        <w:t>Inc. v. GTE Mobilnet</w:t>
      </w:r>
      <w:r>
        <w:t>, Case No. 93-1758-RC-CSS, Entry at ¶10 (Mar. 23, 1995)</w:t>
      </w:r>
      <w:r w:rsidR="00791CD9">
        <w:t>,</w:t>
      </w:r>
      <w:r>
        <w:t xml:space="preserve"> holding that there are no allowances for pleadings which support another parties</w:t>
      </w:r>
      <w:r w:rsidR="00791CD9">
        <w:t>’</w:t>
      </w:r>
      <w:r>
        <w:t xml:space="preserve"> interlocutory appeal (refusing to consider a parties’ response in support of interlocutory appeal</w:t>
      </w:r>
      <w:r w:rsidR="00791CD9">
        <w:t>)</w:t>
      </w:r>
      <w:r>
        <w:t xml:space="preserve">. </w:t>
      </w:r>
    </w:p>
  </w:footnote>
  <w:footnote w:id="15">
    <w:p w:rsidR="00C67A0C" w:rsidRDefault="00C67A0C" w:rsidP="002561FF">
      <w:pPr>
        <w:pStyle w:val="FootnoteText"/>
        <w:spacing w:after="120"/>
      </w:pPr>
      <w:r>
        <w:rPr>
          <w:rStyle w:val="FootnoteReference"/>
        </w:rPr>
        <w:footnoteRef/>
      </w:r>
      <w:r>
        <w:t xml:space="preserve"> See</w:t>
      </w:r>
      <w:r w:rsidR="00791CD9">
        <w:t>,</w:t>
      </w:r>
      <w:r>
        <w:t xml:space="preserve"> e.g.</w:t>
      </w:r>
      <w:r w:rsidR="00791CD9">
        <w:t>,</w:t>
      </w:r>
      <w:r>
        <w:t xml:space="preserve"> </w:t>
      </w:r>
      <w:r w:rsidRPr="00C67A0C">
        <w:rPr>
          <w:i/>
        </w:rPr>
        <w:t>In the Matter of the Application of Numerous Subscribers of Lake Milton Exchange of United Telephone Company of Ohio</w:t>
      </w:r>
      <w:r>
        <w:t>, Case No.  83-1624-TP-PEX, 1987 Ohio PUC LEXIS 1563, Opinion and Order at 8 (Apr. 28, 1997) (striking a responsive pleading that was not specifically authorized by PUCO rule)</w:t>
      </w:r>
      <w:r w:rsidR="009177E6">
        <w:t xml:space="preserve">; </w:t>
      </w:r>
      <w:r w:rsidR="009177E6" w:rsidRPr="00791CD9">
        <w:rPr>
          <w:i/>
        </w:rPr>
        <w:t xml:space="preserve">In the Matter of the </w:t>
      </w:r>
      <w:r w:rsidR="00C03CB9">
        <w:rPr>
          <w:i/>
        </w:rPr>
        <w:t>C</w:t>
      </w:r>
      <w:r w:rsidR="009177E6" w:rsidRPr="00791CD9">
        <w:rPr>
          <w:i/>
        </w:rPr>
        <w:t>ommission’s Investigation into the Detariffing of the Installation and Maintenance of Simple and Complex Inside Wire</w:t>
      </w:r>
      <w:r w:rsidR="009177E6">
        <w:t>, Case N</w:t>
      </w:r>
      <w:r w:rsidR="00791CD9">
        <w:t>o</w:t>
      </w:r>
      <w:r w:rsidR="009177E6">
        <w:t>. 86-927-TP-COI</w:t>
      </w:r>
      <w:r w:rsidR="00791CD9">
        <w:t>,</w:t>
      </w:r>
      <w:r w:rsidR="009177E6">
        <w:t xml:space="preserve"> Entry on Rehearing at ¶4 (May 24, 1990)( striking a reply to a Memoranda Contra Application for</w:t>
      </w:r>
      <w:r w:rsidR="00791CD9">
        <w:t xml:space="preserve"> R</w:t>
      </w:r>
      <w:r w:rsidR="009177E6">
        <w:t>ehearing)</w:t>
      </w:r>
      <w:r>
        <w:t xml:space="preserve">.  </w:t>
      </w:r>
    </w:p>
  </w:footnote>
  <w:footnote w:id="16">
    <w:p w:rsidR="00792DEB" w:rsidRDefault="00792DEB" w:rsidP="002561FF">
      <w:pPr>
        <w:pStyle w:val="FootnoteText"/>
        <w:spacing w:after="120"/>
      </w:pPr>
      <w:r>
        <w:rPr>
          <w:rStyle w:val="FootnoteReference"/>
        </w:rPr>
        <w:footnoteRef/>
      </w:r>
      <w:r>
        <w:t xml:space="preserve"> </w:t>
      </w:r>
      <w:r w:rsidRPr="00791CD9">
        <w:rPr>
          <w:i/>
        </w:rPr>
        <w:t>In the Matter of the Establishment of Carrier-to Carrier Rules,</w:t>
      </w:r>
      <w:r w:rsidR="00791CD9">
        <w:rPr>
          <w:i/>
        </w:rPr>
        <w:t xml:space="preserve"> </w:t>
      </w:r>
      <w:r>
        <w:t>Case No. 06-1344-TP-ORD, Entry on Rehearing at ¶6</w:t>
      </w:r>
      <w:r w:rsidR="00791CD9">
        <w:t xml:space="preserve"> </w:t>
      </w:r>
      <w:r>
        <w:t>(Oct. 17, 2007).</w:t>
      </w:r>
    </w:p>
  </w:footnote>
  <w:footnote w:id="17">
    <w:p w:rsidR="00C03CB9" w:rsidRDefault="00C03CB9" w:rsidP="002561FF">
      <w:pPr>
        <w:pStyle w:val="FootnoteText"/>
        <w:spacing w:after="120"/>
      </w:pPr>
      <w:r>
        <w:rPr>
          <w:rStyle w:val="FootnoteReference"/>
        </w:rPr>
        <w:footnoteRef/>
      </w:r>
      <w:r>
        <w:t xml:space="preserve"> Id.</w:t>
      </w:r>
    </w:p>
  </w:footnote>
  <w:footnote w:id="18">
    <w:p w:rsidR="00792DEB" w:rsidRDefault="00792DEB" w:rsidP="002561FF">
      <w:pPr>
        <w:pStyle w:val="FootnoteText"/>
        <w:spacing w:after="120"/>
      </w:pPr>
      <w:r>
        <w:rPr>
          <w:rStyle w:val="FootnoteReference"/>
        </w:rPr>
        <w:footnoteRef/>
      </w:r>
      <w:r>
        <w:t xml:space="preserve"> Id.</w:t>
      </w:r>
    </w:p>
  </w:footnote>
  <w:footnote w:id="19">
    <w:p w:rsidR="00792DEB" w:rsidRDefault="00792DEB" w:rsidP="002561FF">
      <w:pPr>
        <w:pStyle w:val="FootnoteText"/>
        <w:spacing w:after="120"/>
      </w:pPr>
      <w:r>
        <w:rPr>
          <w:rStyle w:val="FootnoteReference"/>
        </w:rPr>
        <w:footnoteRef/>
      </w:r>
      <w:r>
        <w:t xml:space="preserve"> Id.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3F7" w:rsidRDefault="00CE03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3F7" w:rsidRDefault="00CE03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3F7" w:rsidRDefault="00CE03F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A9D" w:rsidRDefault="00610A9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CEF" w:rsidRDefault="00984C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94A"/>
    <w:rsid w:val="000259F0"/>
    <w:rsid w:val="000C7BF2"/>
    <w:rsid w:val="00110124"/>
    <w:rsid w:val="00134AF1"/>
    <w:rsid w:val="00137889"/>
    <w:rsid w:val="00165FB1"/>
    <w:rsid w:val="001E3C5C"/>
    <w:rsid w:val="001F6A31"/>
    <w:rsid w:val="002561FF"/>
    <w:rsid w:val="002941C1"/>
    <w:rsid w:val="002F5555"/>
    <w:rsid w:val="003201DC"/>
    <w:rsid w:val="003A1778"/>
    <w:rsid w:val="003D5F16"/>
    <w:rsid w:val="0040402C"/>
    <w:rsid w:val="00440102"/>
    <w:rsid w:val="004C75F2"/>
    <w:rsid w:val="004F0A65"/>
    <w:rsid w:val="004F0F64"/>
    <w:rsid w:val="005365C9"/>
    <w:rsid w:val="00556D2C"/>
    <w:rsid w:val="00580E2F"/>
    <w:rsid w:val="00610A9D"/>
    <w:rsid w:val="006171A7"/>
    <w:rsid w:val="006175A6"/>
    <w:rsid w:val="0062135B"/>
    <w:rsid w:val="006D23FD"/>
    <w:rsid w:val="006D4772"/>
    <w:rsid w:val="006F269C"/>
    <w:rsid w:val="00791CD9"/>
    <w:rsid w:val="00792DEB"/>
    <w:rsid w:val="007F5B4A"/>
    <w:rsid w:val="007F5F19"/>
    <w:rsid w:val="00845589"/>
    <w:rsid w:val="008461FE"/>
    <w:rsid w:val="0085452C"/>
    <w:rsid w:val="009177E6"/>
    <w:rsid w:val="00940823"/>
    <w:rsid w:val="00984CEF"/>
    <w:rsid w:val="009A7851"/>
    <w:rsid w:val="009B5FDD"/>
    <w:rsid w:val="00A753FF"/>
    <w:rsid w:val="00AC74E9"/>
    <w:rsid w:val="00B61C25"/>
    <w:rsid w:val="00BA5EB0"/>
    <w:rsid w:val="00BD3656"/>
    <w:rsid w:val="00C03CB9"/>
    <w:rsid w:val="00C163DB"/>
    <w:rsid w:val="00C439A1"/>
    <w:rsid w:val="00C67A0C"/>
    <w:rsid w:val="00C70ED2"/>
    <w:rsid w:val="00C95E19"/>
    <w:rsid w:val="00CA1E9E"/>
    <w:rsid w:val="00CB6B4D"/>
    <w:rsid w:val="00CE03F7"/>
    <w:rsid w:val="00D44284"/>
    <w:rsid w:val="00D87A5F"/>
    <w:rsid w:val="00D973CA"/>
    <w:rsid w:val="00DE6E80"/>
    <w:rsid w:val="00E00D29"/>
    <w:rsid w:val="00E07E40"/>
    <w:rsid w:val="00E30748"/>
    <w:rsid w:val="00E440B1"/>
    <w:rsid w:val="00E463FA"/>
    <w:rsid w:val="00EA0ADF"/>
    <w:rsid w:val="00F34171"/>
    <w:rsid w:val="00F3794A"/>
    <w:rsid w:val="00F603FA"/>
    <w:rsid w:val="00FA4C8C"/>
    <w:rsid w:val="00FB0EEE"/>
    <w:rsid w:val="00FC7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94A"/>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F3794A"/>
    <w:pPr>
      <w:keepNext/>
      <w:tabs>
        <w:tab w:val="left" w:pos="0"/>
        <w:tab w:val="left" w:pos="720"/>
      </w:tabs>
      <w:spacing w:line="480" w:lineRule="auto"/>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3794A"/>
    <w:rPr>
      <w:rFonts w:ascii="Times New Roman" w:eastAsia="Times New Roman" w:hAnsi="Times New Roman" w:cs="Times New Roman"/>
      <w:sz w:val="24"/>
      <w:szCs w:val="24"/>
    </w:rPr>
  </w:style>
  <w:style w:type="paragraph" w:styleId="HTMLPreformatted">
    <w:name w:val="HTML Preformatted"/>
    <w:basedOn w:val="Normal"/>
    <w:link w:val="HTMLPreformattedChar"/>
    <w:rsid w:val="00F37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F3794A"/>
    <w:rPr>
      <w:rFonts w:ascii="Courier New" w:eastAsia="Courier New" w:hAnsi="Courier New" w:cs="Courier New"/>
      <w:sz w:val="20"/>
      <w:szCs w:val="20"/>
    </w:rPr>
  </w:style>
  <w:style w:type="paragraph" w:styleId="Footer">
    <w:name w:val="footer"/>
    <w:basedOn w:val="Normal"/>
    <w:link w:val="FooterChar"/>
    <w:uiPriority w:val="99"/>
    <w:rsid w:val="0040402C"/>
    <w:pPr>
      <w:tabs>
        <w:tab w:val="center" w:pos="4320"/>
        <w:tab w:val="right" w:pos="8640"/>
      </w:tabs>
    </w:pPr>
  </w:style>
  <w:style w:type="character" w:customStyle="1" w:styleId="FooterChar">
    <w:name w:val="Footer Char"/>
    <w:basedOn w:val="DefaultParagraphFont"/>
    <w:link w:val="Footer"/>
    <w:uiPriority w:val="99"/>
    <w:rsid w:val="0040402C"/>
    <w:rPr>
      <w:rFonts w:ascii="Times New Roman" w:eastAsia="Times New Roman" w:hAnsi="Times New Roman" w:cs="Times New Roman"/>
      <w:sz w:val="24"/>
      <w:szCs w:val="24"/>
    </w:rPr>
  </w:style>
  <w:style w:type="character" w:styleId="Hyperlink">
    <w:name w:val="Hyperlink"/>
    <w:uiPriority w:val="99"/>
    <w:rsid w:val="0040402C"/>
    <w:rPr>
      <w:color w:val="0000FF"/>
      <w:u w:val="single"/>
    </w:rPr>
  </w:style>
  <w:style w:type="paragraph" w:styleId="FootnoteText">
    <w:name w:val="footnote text"/>
    <w:basedOn w:val="Normal"/>
    <w:link w:val="FootnoteTextChar"/>
    <w:uiPriority w:val="99"/>
    <w:semiHidden/>
    <w:unhideWhenUsed/>
    <w:rsid w:val="00C70ED2"/>
    <w:rPr>
      <w:sz w:val="20"/>
      <w:szCs w:val="20"/>
    </w:rPr>
  </w:style>
  <w:style w:type="character" w:customStyle="1" w:styleId="FootnoteTextChar">
    <w:name w:val="Footnote Text Char"/>
    <w:basedOn w:val="DefaultParagraphFont"/>
    <w:link w:val="FootnoteText"/>
    <w:uiPriority w:val="99"/>
    <w:semiHidden/>
    <w:rsid w:val="00C70ED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70ED2"/>
    <w:rPr>
      <w:vertAlign w:val="superscript"/>
    </w:rPr>
  </w:style>
  <w:style w:type="paragraph" w:styleId="Header">
    <w:name w:val="header"/>
    <w:basedOn w:val="Normal"/>
    <w:link w:val="HeaderChar"/>
    <w:uiPriority w:val="99"/>
    <w:unhideWhenUsed/>
    <w:rsid w:val="00984CEF"/>
    <w:pPr>
      <w:tabs>
        <w:tab w:val="center" w:pos="4680"/>
        <w:tab w:val="right" w:pos="9360"/>
      </w:tabs>
    </w:pPr>
  </w:style>
  <w:style w:type="character" w:customStyle="1" w:styleId="HeaderChar">
    <w:name w:val="Header Char"/>
    <w:basedOn w:val="DefaultParagraphFont"/>
    <w:link w:val="Header"/>
    <w:uiPriority w:val="99"/>
    <w:rsid w:val="00984CE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3C5C"/>
    <w:rPr>
      <w:rFonts w:ascii="Tahoma" w:hAnsi="Tahoma" w:cs="Tahoma"/>
      <w:sz w:val="16"/>
      <w:szCs w:val="16"/>
    </w:rPr>
  </w:style>
  <w:style w:type="character" w:customStyle="1" w:styleId="BalloonTextChar">
    <w:name w:val="Balloon Text Char"/>
    <w:basedOn w:val="DefaultParagraphFont"/>
    <w:link w:val="BalloonText"/>
    <w:uiPriority w:val="99"/>
    <w:semiHidden/>
    <w:rsid w:val="001E3C5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E3C5C"/>
    <w:rPr>
      <w:sz w:val="16"/>
      <w:szCs w:val="16"/>
    </w:rPr>
  </w:style>
  <w:style w:type="paragraph" w:styleId="CommentText">
    <w:name w:val="annotation text"/>
    <w:basedOn w:val="Normal"/>
    <w:link w:val="CommentTextChar"/>
    <w:uiPriority w:val="99"/>
    <w:semiHidden/>
    <w:unhideWhenUsed/>
    <w:rsid w:val="001E3C5C"/>
    <w:rPr>
      <w:sz w:val="20"/>
      <w:szCs w:val="20"/>
    </w:rPr>
  </w:style>
  <w:style w:type="character" w:customStyle="1" w:styleId="CommentTextChar">
    <w:name w:val="Comment Text Char"/>
    <w:basedOn w:val="DefaultParagraphFont"/>
    <w:link w:val="CommentText"/>
    <w:uiPriority w:val="99"/>
    <w:semiHidden/>
    <w:rsid w:val="001E3C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3C5C"/>
    <w:rPr>
      <w:b/>
      <w:bCs/>
    </w:rPr>
  </w:style>
  <w:style w:type="character" w:customStyle="1" w:styleId="CommentSubjectChar">
    <w:name w:val="Comment Subject Char"/>
    <w:basedOn w:val="CommentTextChar"/>
    <w:link w:val="CommentSubject"/>
    <w:uiPriority w:val="99"/>
    <w:semiHidden/>
    <w:rsid w:val="001E3C5C"/>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94A"/>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F3794A"/>
    <w:pPr>
      <w:keepNext/>
      <w:tabs>
        <w:tab w:val="left" w:pos="0"/>
        <w:tab w:val="left" w:pos="720"/>
      </w:tabs>
      <w:spacing w:line="480" w:lineRule="auto"/>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3794A"/>
    <w:rPr>
      <w:rFonts w:ascii="Times New Roman" w:eastAsia="Times New Roman" w:hAnsi="Times New Roman" w:cs="Times New Roman"/>
      <w:sz w:val="24"/>
      <w:szCs w:val="24"/>
    </w:rPr>
  </w:style>
  <w:style w:type="paragraph" w:styleId="HTMLPreformatted">
    <w:name w:val="HTML Preformatted"/>
    <w:basedOn w:val="Normal"/>
    <w:link w:val="HTMLPreformattedChar"/>
    <w:rsid w:val="00F37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F3794A"/>
    <w:rPr>
      <w:rFonts w:ascii="Courier New" w:eastAsia="Courier New" w:hAnsi="Courier New" w:cs="Courier New"/>
      <w:sz w:val="20"/>
      <w:szCs w:val="20"/>
    </w:rPr>
  </w:style>
  <w:style w:type="paragraph" w:styleId="Footer">
    <w:name w:val="footer"/>
    <w:basedOn w:val="Normal"/>
    <w:link w:val="FooterChar"/>
    <w:uiPriority w:val="99"/>
    <w:rsid w:val="0040402C"/>
    <w:pPr>
      <w:tabs>
        <w:tab w:val="center" w:pos="4320"/>
        <w:tab w:val="right" w:pos="8640"/>
      </w:tabs>
    </w:pPr>
  </w:style>
  <w:style w:type="character" w:customStyle="1" w:styleId="FooterChar">
    <w:name w:val="Footer Char"/>
    <w:basedOn w:val="DefaultParagraphFont"/>
    <w:link w:val="Footer"/>
    <w:uiPriority w:val="99"/>
    <w:rsid w:val="0040402C"/>
    <w:rPr>
      <w:rFonts w:ascii="Times New Roman" w:eastAsia="Times New Roman" w:hAnsi="Times New Roman" w:cs="Times New Roman"/>
      <w:sz w:val="24"/>
      <w:szCs w:val="24"/>
    </w:rPr>
  </w:style>
  <w:style w:type="character" w:styleId="Hyperlink">
    <w:name w:val="Hyperlink"/>
    <w:uiPriority w:val="99"/>
    <w:rsid w:val="0040402C"/>
    <w:rPr>
      <w:color w:val="0000FF"/>
      <w:u w:val="single"/>
    </w:rPr>
  </w:style>
  <w:style w:type="paragraph" w:styleId="FootnoteText">
    <w:name w:val="footnote text"/>
    <w:basedOn w:val="Normal"/>
    <w:link w:val="FootnoteTextChar"/>
    <w:uiPriority w:val="99"/>
    <w:semiHidden/>
    <w:unhideWhenUsed/>
    <w:rsid w:val="00C70ED2"/>
    <w:rPr>
      <w:sz w:val="20"/>
      <w:szCs w:val="20"/>
    </w:rPr>
  </w:style>
  <w:style w:type="character" w:customStyle="1" w:styleId="FootnoteTextChar">
    <w:name w:val="Footnote Text Char"/>
    <w:basedOn w:val="DefaultParagraphFont"/>
    <w:link w:val="FootnoteText"/>
    <w:uiPriority w:val="99"/>
    <w:semiHidden/>
    <w:rsid w:val="00C70ED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70ED2"/>
    <w:rPr>
      <w:vertAlign w:val="superscript"/>
    </w:rPr>
  </w:style>
  <w:style w:type="paragraph" w:styleId="Header">
    <w:name w:val="header"/>
    <w:basedOn w:val="Normal"/>
    <w:link w:val="HeaderChar"/>
    <w:uiPriority w:val="99"/>
    <w:unhideWhenUsed/>
    <w:rsid w:val="00984CEF"/>
    <w:pPr>
      <w:tabs>
        <w:tab w:val="center" w:pos="4680"/>
        <w:tab w:val="right" w:pos="9360"/>
      </w:tabs>
    </w:pPr>
  </w:style>
  <w:style w:type="character" w:customStyle="1" w:styleId="HeaderChar">
    <w:name w:val="Header Char"/>
    <w:basedOn w:val="DefaultParagraphFont"/>
    <w:link w:val="Header"/>
    <w:uiPriority w:val="99"/>
    <w:rsid w:val="00984CE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3C5C"/>
    <w:rPr>
      <w:rFonts w:ascii="Tahoma" w:hAnsi="Tahoma" w:cs="Tahoma"/>
      <w:sz w:val="16"/>
      <w:szCs w:val="16"/>
    </w:rPr>
  </w:style>
  <w:style w:type="character" w:customStyle="1" w:styleId="BalloonTextChar">
    <w:name w:val="Balloon Text Char"/>
    <w:basedOn w:val="DefaultParagraphFont"/>
    <w:link w:val="BalloonText"/>
    <w:uiPriority w:val="99"/>
    <w:semiHidden/>
    <w:rsid w:val="001E3C5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E3C5C"/>
    <w:rPr>
      <w:sz w:val="16"/>
      <w:szCs w:val="16"/>
    </w:rPr>
  </w:style>
  <w:style w:type="paragraph" w:styleId="CommentText">
    <w:name w:val="annotation text"/>
    <w:basedOn w:val="Normal"/>
    <w:link w:val="CommentTextChar"/>
    <w:uiPriority w:val="99"/>
    <w:semiHidden/>
    <w:unhideWhenUsed/>
    <w:rsid w:val="001E3C5C"/>
    <w:rPr>
      <w:sz w:val="20"/>
      <w:szCs w:val="20"/>
    </w:rPr>
  </w:style>
  <w:style w:type="character" w:customStyle="1" w:styleId="CommentTextChar">
    <w:name w:val="Comment Text Char"/>
    <w:basedOn w:val="DefaultParagraphFont"/>
    <w:link w:val="CommentText"/>
    <w:uiPriority w:val="99"/>
    <w:semiHidden/>
    <w:rsid w:val="001E3C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3C5C"/>
    <w:rPr>
      <w:b/>
      <w:bCs/>
    </w:rPr>
  </w:style>
  <w:style w:type="character" w:customStyle="1" w:styleId="CommentSubjectChar">
    <w:name w:val="Comment Subject Char"/>
    <w:basedOn w:val="CommentTextChar"/>
    <w:link w:val="CommentSubject"/>
    <w:uiPriority w:val="99"/>
    <w:semiHidden/>
    <w:rsid w:val="001E3C5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Maureen.grady@occ.ohio.gov" TargetMode="External"/><Relationship Id="rId18" Type="http://schemas.openxmlformats.org/officeDocument/2006/relationships/hyperlink" Target="mailto:Joseph.serio@occ.ohio.go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Maureen.grady@occ.ohio.gov" TargetMode="Externa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Joseph.serio@occ.ohio.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1632</Words>
  <Characters>9438</Characters>
  <Application>Microsoft Office Word</Application>
  <DocSecurity>0</DocSecurity>
  <Lines>287</Lines>
  <Paragraphs>152</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11032</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2015-07-17T20:42:00Z</cp:lastPrinted>
  <dcterms:created xsi:type="dcterms:W3CDTF">2015-07-28T13:52:00Z</dcterms:created>
  <dcterms:modified xsi:type="dcterms:W3CDTF">2015-07-28T13:52:00Z</dcterms:modified>
  <cp:category> </cp:category>
  <cp:contentStatus> </cp:contentStatus>
</cp:coreProperties>
</file>