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367190" w:rsidRPr="00367190" w:rsidP="00367190" w14:paraId="74FCF3B1" w14:textId="244DF5C7">
      <w:r>
        <w:t>September 13, 2023</w:t>
      </w:r>
    </w:p>
    <w:p w:rsidR="00367190" w:rsidRPr="00367190" w:rsidP="00367190" w14:paraId="271DC1D1" w14:textId="77777777"/>
    <w:p w:rsidR="00367190" w:rsidRPr="00367190" w:rsidP="00367190" w14:paraId="3BA133C9" w14:textId="77777777">
      <w:r w:rsidRPr="00367190">
        <w:t>Ms. Tanowa Troupe, Secretary</w:t>
      </w:r>
    </w:p>
    <w:p w:rsidR="00367190" w:rsidRPr="00367190" w:rsidP="00367190" w14:paraId="324C7D16" w14:textId="77777777">
      <w:r w:rsidRPr="00367190">
        <w:t>Public Utilities Commission of Ohio</w:t>
      </w:r>
    </w:p>
    <w:p w:rsidR="00367190" w:rsidRPr="00367190" w:rsidP="00367190" w14:paraId="3B679161" w14:textId="70BF4E3B">
      <w:r w:rsidRPr="00367190">
        <w:t>180 East Broad Street, 11</w:t>
      </w:r>
      <w:r w:rsidRPr="002707C1" w:rsidR="002707C1">
        <w:rPr>
          <w:vertAlign w:val="superscript"/>
        </w:rPr>
        <w:t>th</w:t>
      </w:r>
      <w:r w:rsidR="002707C1">
        <w:t xml:space="preserve"> </w:t>
      </w:r>
      <w:r w:rsidRPr="00367190">
        <w:t>Floor</w:t>
      </w:r>
    </w:p>
    <w:p w:rsidR="00367190" w:rsidRPr="00367190" w:rsidP="00367190" w14:paraId="0F410EA8" w14:textId="77777777">
      <w:r w:rsidRPr="00367190">
        <w:t>Columbus, Ohio 43215</w:t>
      </w:r>
    </w:p>
    <w:p w:rsidR="004A247C" w:rsidP="005015C5" w14:paraId="79C9E6C4" w14:textId="77777777">
      <w:pPr>
        <w:ind w:left="1080" w:hanging="360"/>
      </w:pPr>
    </w:p>
    <w:p w:rsidR="00367190" w:rsidRPr="00367190" w:rsidP="004A247C" w14:paraId="0C7B14A8" w14:textId="44E4964B">
      <w:pPr>
        <w:ind w:left="720" w:hanging="720"/>
        <w:rPr>
          <w:u w:val="single"/>
        </w:rPr>
      </w:pPr>
      <w:r w:rsidRPr="00367190">
        <w:t>Re:</w:t>
      </w:r>
      <w:r w:rsidR="004A247C">
        <w:tab/>
      </w:r>
      <w:r w:rsidR="005015C5">
        <w:rPr>
          <w:i/>
          <w:iCs/>
        </w:rPr>
        <w:t>In the Matter of the Application of Duke Energy Ohio, Inc. to Adjust and Set the Rate for Rider BTR</w:t>
      </w:r>
      <w:r w:rsidR="004A247C">
        <w:rPr>
          <w:i/>
          <w:iCs/>
        </w:rPr>
        <w:t xml:space="preserve">, </w:t>
      </w:r>
      <w:r w:rsidRPr="004A247C">
        <w:t xml:space="preserve">Case No. </w:t>
      </w:r>
      <w:r w:rsidRPr="004A247C" w:rsidR="005015C5">
        <w:t>23-457-EL-RDR</w:t>
      </w:r>
    </w:p>
    <w:p w:rsidR="00367190" w:rsidRPr="00367190" w:rsidP="00367190" w14:paraId="68D43823" w14:textId="77777777">
      <w:pPr>
        <w:rPr>
          <w:u w:val="single"/>
        </w:rPr>
      </w:pPr>
    </w:p>
    <w:p w:rsidR="00367190" w:rsidRPr="00367190" w:rsidP="00367190" w14:paraId="307A7F04" w14:textId="77777777">
      <w:r w:rsidRPr="00367190">
        <w:t xml:space="preserve">Dear </w:t>
      </w:r>
      <w:r>
        <w:t xml:space="preserve">Ms. </w:t>
      </w:r>
      <w:r w:rsidRPr="00367190">
        <w:t>Troupe</w:t>
      </w:r>
      <w:r>
        <w:t>:</w:t>
      </w:r>
    </w:p>
    <w:p w:rsidR="00367190" w:rsidRPr="00367190" w:rsidP="00367190" w14:paraId="6667904C" w14:textId="77777777"/>
    <w:p w:rsidR="00B94F1C" w:rsidP="00367190" w14:paraId="25F43ACB" w14:textId="4C800430">
      <w:r>
        <w:t>In the</w:t>
      </w:r>
      <w:r w:rsidR="001A5FE7">
        <w:t xml:space="preserve"> August 17, 2023 Entry in the above-referenced matter,</w:t>
      </w:r>
      <w:r>
        <w:t xml:space="preserve"> the Attorney Examiner directed parties to file initial</w:t>
      </w:r>
      <w:r w:rsidR="00192FB0">
        <w:t xml:space="preserve"> and reply</w:t>
      </w:r>
      <w:r>
        <w:t xml:space="preserve"> comments regarding Duke’s application to update the rates it charges consumers through the base transmission rate rider (“Rider BTR”)</w:t>
      </w:r>
      <w:r w:rsidR="00192FB0">
        <w:t xml:space="preserve">. The Entry set </w:t>
      </w:r>
      <w:r>
        <w:t>September 6, 2023</w:t>
      </w:r>
      <w:r w:rsidR="00192FB0">
        <w:t xml:space="preserve"> as the date for initial comments and</w:t>
      </w:r>
      <w:r>
        <w:t xml:space="preserve"> September 13, 2023</w:t>
      </w:r>
      <w:r w:rsidR="00192FB0">
        <w:t xml:space="preserve"> for reply comments</w:t>
      </w:r>
      <w:r>
        <w:t>.</w:t>
      </w:r>
      <w:r w:rsidR="001A5FE7">
        <w:t xml:space="preserve"> </w:t>
      </w:r>
      <w:r>
        <w:t xml:space="preserve">In accordance with the Entry, </w:t>
      </w:r>
      <w:r w:rsidR="001A5FE7">
        <w:t>t</w:t>
      </w:r>
      <w:r w:rsidR="005015C5">
        <w:t>he Office of the Ohio Consumers’ Counsel (“</w:t>
      </w:r>
      <w:r w:rsidRPr="00367190" w:rsidR="00367190">
        <w:t>OCC</w:t>
      </w:r>
      <w:r w:rsidR="005015C5">
        <w:t>”) filed Consumer Protection Comments on behalf of Ohio’s residential consumers</w:t>
      </w:r>
      <w:r w:rsidR="00192FB0">
        <w:t xml:space="preserve"> on September 6, 2023</w:t>
      </w:r>
      <w:r w:rsidR="005015C5">
        <w:t>.</w:t>
      </w:r>
      <w:r>
        <w:t xml:space="preserve"> OCC was the only party to file initial comments</w:t>
      </w:r>
      <w:r w:rsidR="00192FB0">
        <w:t>.</w:t>
      </w:r>
      <w:r w:rsidR="002707C1">
        <w:t xml:space="preserve"> </w:t>
      </w:r>
    </w:p>
    <w:p w:rsidR="00B94F1C" w:rsidP="00367190" w14:paraId="353C2FB8" w14:textId="77777777"/>
    <w:p w:rsidR="005015C5" w:rsidP="00367190" w14:paraId="3577A5A4" w14:textId="0F7B4E63">
      <w:r>
        <w:t xml:space="preserve">OCC’s </w:t>
      </w:r>
      <w:r>
        <w:t xml:space="preserve">Comments recommended that the PUCO </w:t>
      </w:r>
      <w:r>
        <w:t xml:space="preserve">act to </w:t>
      </w:r>
      <w:r>
        <w:t>protect Duk</w:t>
      </w:r>
      <w:r w:rsidR="00B94F1C">
        <w:t>e’s</w:t>
      </w:r>
      <w:r w:rsidR="008821BA">
        <w:t xml:space="preserve"> </w:t>
      </w:r>
      <w:r>
        <w:t xml:space="preserve">residential consumers from </w:t>
      </w:r>
      <w:r>
        <w:t xml:space="preserve">the </w:t>
      </w:r>
      <w:r>
        <w:t xml:space="preserve">impact of supplemental transmission costs </w:t>
      </w:r>
      <w:r>
        <w:t xml:space="preserve">charged to consumers </w:t>
      </w:r>
      <w:r>
        <w:t>through</w:t>
      </w:r>
      <w:r w:rsidR="00B94F1C">
        <w:t xml:space="preserve"> Rider BTR.</w:t>
      </w:r>
      <w:r>
        <w:t xml:space="preserve"> </w:t>
      </w:r>
      <w:r>
        <w:t xml:space="preserve">OCC recommended </w:t>
      </w:r>
      <w:r>
        <w:t>that the PUCO</w:t>
      </w:r>
      <w:r>
        <w:t xml:space="preserve"> review </w:t>
      </w:r>
      <w:r w:rsidR="00B94F1C">
        <w:t xml:space="preserve">the </w:t>
      </w:r>
      <w:r>
        <w:t xml:space="preserve">supplemental transmission </w:t>
      </w:r>
      <w:r w:rsidR="00B94F1C">
        <w:t>project costs</w:t>
      </w:r>
      <w:r>
        <w:t xml:space="preserve"> </w:t>
      </w:r>
      <w:r w:rsidR="00B94F1C">
        <w:t>to</w:t>
      </w:r>
      <w:r>
        <w:t xml:space="preserve"> determin</w:t>
      </w:r>
      <w:r w:rsidR="00B94F1C">
        <w:t>e</w:t>
      </w:r>
      <w:r>
        <w:t xml:space="preserve"> whether the</w:t>
      </w:r>
      <w:r>
        <w:t xml:space="preserve"> </w:t>
      </w:r>
      <w:r>
        <w:t>investments are prudent and necessary</w:t>
      </w:r>
      <w:r>
        <w:t xml:space="preserve"> to provide safe and reliable</w:t>
      </w:r>
      <w:r w:rsidR="009C24C3">
        <w:t xml:space="preserve"> service</w:t>
      </w:r>
      <w:r>
        <w:t xml:space="preserve"> to consumers who will pay the increased charges</w:t>
      </w:r>
      <w:r w:rsidR="00B94F1C">
        <w:t xml:space="preserve"> through Rider BTR</w:t>
      </w:r>
      <w:r>
        <w:t>.</w:t>
      </w:r>
      <w:r w:rsidR="00192FB0">
        <w:t xml:space="preserve"> </w:t>
      </w:r>
    </w:p>
    <w:p w:rsidR="00367190" w:rsidRPr="00367190" w:rsidP="005015C5" w14:paraId="1F95B2D9" w14:textId="20818D5F">
      <w:r w:rsidRPr="00367190">
        <w:t xml:space="preserve"> </w:t>
      </w:r>
    </w:p>
    <w:p w:rsidR="00367190" w:rsidRPr="00367190" w:rsidP="008821BA" w14:paraId="4FA643EC" w14:textId="170DB4C6">
      <w:pPr>
        <w:ind w:right="-18"/>
      </w:pPr>
      <w:r>
        <w:t>Because</w:t>
      </w:r>
      <w:r w:rsidR="001A5FE7">
        <w:t xml:space="preserve"> OCC was the only party to file initial comments on September 6, 2023</w:t>
      </w:r>
      <w:r>
        <w:t>,</w:t>
      </w:r>
      <w:r w:rsidR="001A5FE7">
        <w:t xml:space="preserve"> OCC declines to file reply comments</w:t>
      </w:r>
      <w:r>
        <w:t xml:space="preserve"> today</w:t>
      </w:r>
      <w:r w:rsidR="001A5FE7">
        <w:t>.</w:t>
      </w:r>
      <w:r>
        <w:t xml:space="preserve"> OCC reserves all rights to respond in the future to any arguments made by Duke on reply or to the PUCO Staff Report in this matter.</w:t>
      </w:r>
      <w:r w:rsidR="001A5FE7">
        <w:t xml:space="preserve"> </w:t>
      </w:r>
    </w:p>
    <w:p w:rsidR="00367190" w:rsidRPr="00367190" w:rsidP="00367190" w14:paraId="38889937" w14:textId="77777777">
      <w:pPr>
        <w:ind w:right="1440"/>
      </w:pPr>
    </w:p>
    <w:p w:rsidR="00367190" w:rsidP="00304B56" w14:paraId="5BB85956" w14:textId="64D37601">
      <w:r w:rsidRPr="00367190">
        <w:t>Very truly yours,</w:t>
      </w:r>
    </w:p>
    <w:p w:rsidR="00304B56" w:rsidRPr="00367190" w:rsidP="00304B56" w14:paraId="2291FD45" w14:textId="77777777"/>
    <w:p w:rsidR="00367190" w:rsidP="00304B56" w14:paraId="4A48300D" w14:textId="2892C9B1">
      <w:pPr>
        <w:rPr>
          <w:i/>
          <w:iCs/>
        </w:rPr>
      </w:pPr>
      <w:r w:rsidRPr="00304B56">
        <w:rPr>
          <w:i/>
          <w:iCs/>
        </w:rPr>
        <w:t xml:space="preserve">/s/ </w:t>
      </w:r>
      <w:r w:rsidRPr="00304B56" w:rsidR="008821BA">
        <w:rPr>
          <w:i/>
          <w:iCs/>
        </w:rPr>
        <w:t>Donald J. Kral</w:t>
      </w:r>
    </w:p>
    <w:p w:rsidR="00304B56" w:rsidRPr="00304B56" w:rsidP="00304B56" w14:paraId="283A79E1" w14:textId="77777777">
      <w:pPr>
        <w:rPr>
          <w:i/>
          <w:iCs/>
        </w:rPr>
      </w:pPr>
    </w:p>
    <w:p w:rsidR="00367190" w:rsidRPr="00367190" w:rsidP="00304B56" w14:paraId="4E684D92" w14:textId="32AB7787">
      <w:r>
        <w:t>Donald J. Kral</w:t>
      </w:r>
    </w:p>
    <w:p w:rsidR="00367190" w:rsidRPr="00367190" w:rsidP="00304B56" w14:paraId="1274B4A1" w14:textId="64D28D8A">
      <w:r>
        <w:t>Assistant Consumers’ Counsel</w:t>
      </w:r>
    </w:p>
    <w:p w:rsidR="00367190" w:rsidRPr="00367190" w:rsidP="00367190" w14:paraId="22424F1E" w14:textId="77777777">
      <w:pPr>
        <w:ind w:right="1440"/>
      </w:pPr>
    </w:p>
    <w:p w:rsidR="00367190" w:rsidRPr="00367190" w:rsidP="00367190" w14:paraId="64E20870" w14:textId="029CC5D2">
      <w:pPr>
        <w:ind w:right="1440"/>
      </w:pPr>
      <w:r w:rsidRPr="00367190">
        <w:t>cc:</w:t>
      </w:r>
      <w:r w:rsidR="002707C1">
        <w:t xml:space="preserve"> </w:t>
      </w:r>
      <w:r w:rsidRPr="00367190">
        <w:t>All Parties of Record &amp; Attorney Examiners</w:t>
      </w:r>
    </w:p>
    <w:p w:rsidR="00780101" w:rsidRPr="00367190" w14:paraId="4E6AA906" w14:textId="77777777">
      <w:pPr>
        <w:tabs>
          <w:tab w:val="left" w:pos="1140"/>
          <w:tab w:val="right" w:pos="9792"/>
        </w:tabs>
      </w:pPr>
      <w:r w:rsidRPr="00367190">
        <w:tab/>
      </w:r>
    </w:p>
    <w:sectPr w:rsidSect="004A247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520" w:right="1440" w:bottom="288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59DB" w14:paraId="060F9D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59DB" w14:paraId="7BDF078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A0550A" w:rsidP="00B557AF" w14:paraId="18EFC19A" w14:textId="0D4CEEDE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E96502" w:rsidRPr="00845F44" w:rsidP="00845F44" w14:paraId="40E2F5BB" w14:textId="4A1AC988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>65 East State</w:t>
    </w:r>
    <w:r w:rsidR="00B557AF">
      <w:rPr>
        <w:rFonts w:ascii="Arial" w:hAnsi="Arial" w:cs="Arial"/>
        <w:sz w:val="18"/>
        <w:szCs w:val="18"/>
      </w:rPr>
      <w:t xml:space="preserve"> Street,</w:t>
    </w:r>
    <w:r w:rsidR="003F00D1">
      <w:rPr>
        <w:rFonts w:ascii="Arial" w:hAnsi="Arial" w:cs="Arial"/>
        <w:sz w:val="18"/>
        <w:szCs w:val="18"/>
      </w:rPr>
      <w:t xml:space="preserve"> Suite 700</w:t>
    </w:r>
    <w:r>
      <w:rPr>
        <w:rFonts w:ascii="Arial" w:hAnsi="Arial" w:cs="Arial"/>
        <w:sz w:val="18"/>
        <w:szCs w:val="18"/>
      </w:rPr>
      <w:t>,</w:t>
    </w:r>
    <w:r w:rsidR="00B557A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Columbus, Ohio</w:t>
    </w:r>
    <w:r w:rsidR="00B55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4321</w:t>
    </w:r>
    <w:r w:rsidR="00FE3E24">
      <w:rPr>
        <w:rFonts w:ascii="Arial" w:hAnsi="Arial" w:cs="Arial"/>
        <w:sz w:val="18"/>
        <w:szCs w:val="18"/>
      </w:rPr>
      <w:t>5</w:t>
    </w:r>
    <w:r w:rsidR="00B557AF">
      <w:rPr>
        <w:rFonts w:ascii="Arial" w:hAnsi="Arial" w:cs="Arial"/>
        <w:sz w:val="18"/>
        <w:szCs w:val="18"/>
      </w:rPr>
      <w:t xml:space="preserve"> </w:t>
    </w:r>
    <w:r w:rsidRPr="003021FF" w:rsidR="00845F44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0C3E53" w:rsidR="000C3E53">
      <w:rPr>
        <w:rFonts w:ascii="Arial" w:hAnsi="Arial" w:cs="Arial"/>
        <w:sz w:val="18"/>
        <w:szCs w:val="18"/>
      </w:rPr>
      <w:t>(614) 466-9571</w:t>
    </w:r>
    <w:r w:rsidR="000C3E53">
      <w:rPr>
        <w:rFonts w:ascii="Arial" w:hAnsi="Arial" w:cs="Arial"/>
        <w:sz w:val="18"/>
        <w:szCs w:val="18"/>
      </w:rPr>
      <w:t xml:space="preserve"> </w:t>
    </w:r>
    <w:r w:rsidRPr="003021FF" w:rsidR="003021FF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3919AD" w:rsidR="00B557AF">
      <w:rPr>
        <w:rFonts w:ascii="Arial" w:hAnsi="Arial" w:cs="Arial"/>
        <w:sz w:val="18"/>
        <w:szCs w:val="18"/>
      </w:rPr>
      <w:t>www.occ.ohio.gov</w:t>
    </w:r>
    <w:r w:rsidR="00B557AF">
      <w:rPr>
        <w:rFonts w:ascii="Arial" w:hAnsi="Arial" w:cs="Arial"/>
        <w:sz w:val="18"/>
        <w:szCs w:val="18"/>
      </w:rPr>
      <w:br/>
    </w:r>
  </w:p>
  <w:p w:rsidR="00B557AF" w:rsidRPr="00B557AF" w:rsidP="00845F44" w14:paraId="5DF9D708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59DB" w14:paraId="576F38E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71F5" w:rsidP="008A71F5" w14:paraId="3B9EC2B5" w14:textId="5A88BDC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P="008A71F5" w14:textId="7ADC1A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1220" cy="888365"/>
                                <wp:effectExtent l="0" t="0" r="0" b="0"/>
                                <wp:docPr id="149023449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023449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220" cy="888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8A71F5" w:rsidP="008A71F5" w14:paraId="031602EF" w14:textId="7ADC1AA3">
                    <w:drawing>
                      <wp:inline distT="0" distB="0" distL="0" distR="0">
                        <wp:extent cx="871220" cy="888365"/>
                        <wp:effectExtent l="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8A71F5" w:rsidRPr="00F95523" w:rsidP="008A71F5" w14:paraId="5B08EB03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8A71F5" w:rsidRPr="0055468B" w:rsidP="008A71F5" w14:paraId="5155E6E2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117BDE" w14:paraId="54A075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14:paraId="3C5BC3B8" w14:textId="4CA21F89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3465" cy="97345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14:textId="3139BD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1220" cy="880110"/>
                                <wp:effectExtent l="0" t="0" r="0" b="0"/>
                                <wp:docPr id="138109010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1090101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220" cy="880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3" type="#_x0000_t202" style="width:82.95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E96502" w14:paraId="4EF7278D" w14:textId="3139BD9C">
                    <w:drawing>
                      <wp:inline distT="0" distB="0" distL="0" distR="0">
                        <wp:extent cx="871220" cy="880110"/>
                        <wp:effectExtent l="0" t="0" r="0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8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F95523" w14:paraId="14EEE98E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 w14:paraId="290CE574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B3E3C"/>
    <w:rsid w:val="000C1EED"/>
    <w:rsid w:val="000C3E53"/>
    <w:rsid w:val="000C4550"/>
    <w:rsid w:val="00117BDE"/>
    <w:rsid w:val="00163D06"/>
    <w:rsid w:val="00192FB0"/>
    <w:rsid w:val="0019498F"/>
    <w:rsid w:val="001A5FE7"/>
    <w:rsid w:val="001E58E3"/>
    <w:rsid w:val="00240FD2"/>
    <w:rsid w:val="00257F88"/>
    <w:rsid w:val="00266C84"/>
    <w:rsid w:val="002707C1"/>
    <w:rsid w:val="00275683"/>
    <w:rsid w:val="002A117E"/>
    <w:rsid w:val="003021FF"/>
    <w:rsid w:val="00304B56"/>
    <w:rsid w:val="003174F0"/>
    <w:rsid w:val="0033141F"/>
    <w:rsid w:val="00364ED1"/>
    <w:rsid w:val="00367190"/>
    <w:rsid w:val="003919AD"/>
    <w:rsid w:val="003E2E7D"/>
    <w:rsid w:val="003F00D1"/>
    <w:rsid w:val="00440336"/>
    <w:rsid w:val="00460CA8"/>
    <w:rsid w:val="00463CF0"/>
    <w:rsid w:val="00493E5A"/>
    <w:rsid w:val="004A247C"/>
    <w:rsid w:val="004C5DE5"/>
    <w:rsid w:val="004F328A"/>
    <w:rsid w:val="005015C5"/>
    <w:rsid w:val="00514121"/>
    <w:rsid w:val="0055468B"/>
    <w:rsid w:val="005578F9"/>
    <w:rsid w:val="006275BC"/>
    <w:rsid w:val="00670DF2"/>
    <w:rsid w:val="00751876"/>
    <w:rsid w:val="00775C1F"/>
    <w:rsid w:val="00780101"/>
    <w:rsid w:val="007A5C93"/>
    <w:rsid w:val="00845F44"/>
    <w:rsid w:val="008560E8"/>
    <w:rsid w:val="008821BA"/>
    <w:rsid w:val="008A71F5"/>
    <w:rsid w:val="008C7372"/>
    <w:rsid w:val="00926A69"/>
    <w:rsid w:val="00985A0C"/>
    <w:rsid w:val="009900BA"/>
    <w:rsid w:val="00993FEA"/>
    <w:rsid w:val="009A6833"/>
    <w:rsid w:val="009C24C3"/>
    <w:rsid w:val="00A0550A"/>
    <w:rsid w:val="00A82BAC"/>
    <w:rsid w:val="00A855CC"/>
    <w:rsid w:val="00B30DC2"/>
    <w:rsid w:val="00B37436"/>
    <w:rsid w:val="00B557AF"/>
    <w:rsid w:val="00B561AB"/>
    <w:rsid w:val="00B92F33"/>
    <w:rsid w:val="00B94F1C"/>
    <w:rsid w:val="00BA7D08"/>
    <w:rsid w:val="00BD70A8"/>
    <w:rsid w:val="00BF4DBE"/>
    <w:rsid w:val="00C13E78"/>
    <w:rsid w:val="00C15CF2"/>
    <w:rsid w:val="00C41814"/>
    <w:rsid w:val="00C52AD8"/>
    <w:rsid w:val="00C82478"/>
    <w:rsid w:val="00CC655A"/>
    <w:rsid w:val="00CF02AE"/>
    <w:rsid w:val="00D1374F"/>
    <w:rsid w:val="00D3760E"/>
    <w:rsid w:val="00D77FD6"/>
    <w:rsid w:val="00DC0018"/>
    <w:rsid w:val="00DF59DB"/>
    <w:rsid w:val="00E106D2"/>
    <w:rsid w:val="00E37AF6"/>
    <w:rsid w:val="00E44213"/>
    <w:rsid w:val="00E50A35"/>
    <w:rsid w:val="00E96502"/>
    <w:rsid w:val="00EB36CA"/>
    <w:rsid w:val="00EC4F5E"/>
    <w:rsid w:val="00ED3E51"/>
    <w:rsid w:val="00F34E50"/>
    <w:rsid w:val="00F80A79"/>
    <w:rsid w:val="00F95523"/>
    <w:rsid w:val="00FE368A"/>
    <w:rsid w:val="00FE3E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91A9EC"/>
  <w15:chartTrackingRefBased/>
  <w15:docId w15:val="{928D8088-37EA-44FD-96AA-049584D1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Revision">
    <w:name w:val="Revision"/>
    <w:hidden/>
    <w:uiPriority w:val="99"/>
    <w:semiHidden/>
    <w:rsid w:val="009A6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2023-09-13T20:20:17Z</dcterms:created>
  <dcterms:modified xsi:type="dcterms:W3CDTF">2023-09-13T20:20:17Z</dcterms:modified>
</cp:coreProperties>
</file>