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0E56" w14:textId="77777777" w:rsidR="00C15E63" w:rsidRDefault="00C15E63" w:rsidP="00DC5CEA">
      <w:pPr>
        <w:ind w:left="720" w:hanging="720"/>
      </w:pPr>
    </w:p>
    <w:p w14:paraId="033DB868" w14:textId="77777777" w:rsidR="00C15E63" w:rsidRPr="005B4463" w:rsidRDefault="001448FC" w:rsidP="00C15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szCs w:val="24"/>
        </w:rPr>
      </w:pPr>
      <w:r w:rsidRPr="005B4463">
        <w:rPr>
          <w:rFonts w:eastAsia="Courier New"/>
          <w:b/>
          <w:szCs w:val="24"/>
        </w:rPr>
        <w:t>BEFORE</w:t>
      </w:r>
    </w:p>
    <w:p w14:paraId="71D815CA" w14:textId="77777777" w:rsidR="00C15E63" w:rsidRPr="00C15E63" w:rsidRDefault="001448FC" w:rsidP="00C15E63">
      <w:pPr>
        <w:jc w:val="center"/>
        <w:rPr>
          <w:b/>
          <w:bCs/>
        </w:rPr>
      </w:pPr>
      <w:r w:rsidRPr="00C15E63">
        <w:rPr>
          <w:b/>
          <w:bCs/>
        </w:rPr>
        <w:t>THE PUBLIC UTILITIES COMMISSION OF OHIO</w:t>
      </w:r>
    </w:p>
    <w:p w14:paraId="09C8E671" w14:textId="77777777" w:rsidR="00C15E63" w:rsidRPr="00C15E63" w:rsidRDefault="00C15E63" w:rsidP="00C15E63">
      <w:pPr>
        <w:rPr>
          <w:bCs/>
        </w:rPr>
      </w:pPr>
    </w:p>
    <w:tbl>
      <w:tblPr>
        <w:tblW w:w="8640" w:type="dxa"/>
        <w:tblLook w:val="01E0" w:firstRow="1" w:lastRow="1" w:firstColumn="1" w:lastColumn="1" w:noHBand="0" w:noVBand="0"/>
      </w:tblPr>
      <w:tblGrid>
        <w:gridCol w:w="4230"/>
        <w:gridCol w:w="630"/>
        <w:gridCol w:w="3780"/>
      </w:tblGrid>
      <w:tr w:rsidR="001C526E" w14:paraId="4C589CAC" w14:textId="77777777" w:rsidTr="00B81775">
        <w:trPr>
          <w:trHeight w:val="807"/>
        </w:trPr>
        <w:tc>
          <w:tcPr>
            <w:tcW w:w="4230" w:type="dxa"/>
            <w:shd w:val="clear" w:color="auto" w:fill="auto"/>
          </w:tcPr>
          <w:p w14:paraId="7B3D316C" w14:textId="77777777" w:rsidR="00C15E63" w:rsidRPr="00C15E63" w:rsidRDefault="001448FC" w:rsidP="00C15E63">
            <w:pPr>
              <w:rPr>
                <w:bCs/>
              </w:rPr>
            </w:pPr>
            <w:r w:rsidRPr="00C15E63">
              <w:t>In the Matter of the Application of Ohio</w:t>
            </w:r>
          </w:p>
          <w:p w14:paraId="759DFB29" w14:textId="77777777" w:rsidR="00C15E63" w:rsidRPr="00C15E63" w:rsidRDefault="001448FC" w:rsidP="00C15E63">
            <w:pPr>
              <w:rPr>
                <w:rFonts w:eastAsia="Times New Roman"/>
                <w:bCs/>
              </w:rPr>
            </w:pPr>
            <w:r w:rsidRPr="00C15E63">
              <w:rPr>
                <w:rFonts w:eastAsia="Times New Roman"/>
              </w:rPr>
              <w:t>Power Company for New Tariffs</w:t>
            </w:r>
          </w:p>
          <w:p w14:paraId="48B948B5" w14:textId="77777777" w:rsidR="00C15E63" w:rsidRPr="00C15E63" w:rsidRDefault="001448FC" w:rsidP="00C15E63">
            <w:pPr>
              <w:rPr>
                <w:rFonts w:eastAsia="Times New Roman"/>
                <w:bCs/>
              </w:rPr>
            </w:pPr>
            <w:r w:rsidRPr="00C15E63">
              <w:rPr>
                <w:rFonts w:eastAsia="Times New Roman"/>
              </w:rPr>
              <w:t>Related to Data Centers and Mobile Data</w:t>
            </w:r>
          </w:p>
          <w:p w14:paraId="0727287D" w14:textId="77777777" w:rsidR="00C15E63" w:rsidRPr="00C15E63" w:rsidRDefault="001448FC" w:rsidP="00C15E63">
            <w:pPr>
              <w:rPr>
                <w:rFonts w:eastAsia="Times New Roman"/>
                <w:bCs/>
              </w:rPr>
            </w:pPr>
            <w:r w:rsidRPr="00C15E63">
              <w:rPr>
                <w:rFonts w:eastAsia="Times New Roman"/>
              </w:rPr>
              <w:t xml:space="preserve">Centers. </w:t>
            </w:r>
          </w:p>
        </w:tc>
        <w:tc>
          <w:tcPr>
            <w:tcW w:w="630" w:type="dxa"/>
            <w:shd w:val="clear" w:color="auto" w:fill="auto"/>
          </w:tcPr>
          <w:p w14:paraId="044909FF" w14:textId="77777777" w:rsidR="00C15E63" w:rsidRPr="00C15E63" w:rsidRDefault="001448FC" w:rsidP="00C15E63">
            <w:pPr>
              <w:rPr>
                <w:bCs/>
              </w:rPr>
            </w:pPr>
            <w:r w:rsidRPr="00C15E63">
              <w:t>)</w:t>
            </w:r>
          </w:p>
          <w:p w14:paraId="0111332A" w14:textId="77777777" w:rsidR="00C15E63" w:rsidRPr="00C15E63" w:rsidRDefault="001448FC" w:rsidP="00C15E63">
            <w:pPr>
              <w:rPr>
                <w:bCs/>
              </w:rPr>
            </w:pPr>
            <w:r w:rsidRPr="00C15E63">
              <w:t>)</w:t>
            </w:r>
          </w:p>
          <w:p w14:paraId="0BE4763A" w14:textId="77777777" w:rsidR="00C15E63" w:rsidRPr="00C15E63" w:rsidRDefault="001448FC" w:rsidP="00C15E63">
            <w:pPr>
              <w:rPr>
                <w:bCs/>
              </w:rPr>
            </w:pPr>
            <w:r w:rsidRPr="00C15E63">
              <w:t>)</w:t>
            </w:r>
          </w:p>
          <w:p w14:paraId="569849BD" w14:textId="77777777" w:rsidR="00C15E63" w:rsidRPr="00C15E63" w:rsidRDefault="001448FC" w:rsidP="00C15E63">
            <w:pPr>
              <w:rPr>
                <w:bCs/>
              </w:rPr>
            </w:pPr>
            <w:r w:rsidRPr="00C15E63">
              <w:t>)</w:t>
            </w:r>
          </w:p>
        </w:tc>
        <w:tc>
          <w:tcPr>
            <w:tcW w:w="3780" w:type="dxa"/>
            <w:shd w:val="clear" w:color="auto" w:fill="auto"/>
          </w:tcPr>
          <w:p w14:paraId="2B51C59E" w14:textId="77777777" w:rsidR="00C15E63" w:rsidRPr="00C15E63" w:rsidRDefault="00C15E63" w:rsidP="00C15E63">
            <w:pPr>
              <w:rPr>
                <w:bCs/>
              </w:rPr>
            </w:pPr>
          </w:p>
          <w:p w14:paraId="7B171A68" w14:textId="77777777" w:rsidR="00C15E63" w:rsidRPr="00C15E63" w:rsidRDefault="001448FC" w:rsidP="00C15E63">
            <w:pPr>
              <w:rPr>
                <w:bCs/>
              </w:rPr>
            </w:pPr>
            <w:r w:rsidRPr="00C15E63">
              <w:t>Case No. 24-508-EL-ATA</w:t>
            </w:r>
          </w:p>
          <w:p w14:paraId="405D0A15" w14:textId="77777777" w:rsidR="00C15E63" w:rsidRPr="00C15E63" w:rsidRDefault="00C15E63" w:rsidP="00C15E63">
            <w:pPr>
              <w:rPr>
                <w:bCs/>
              </w:rPr>
            </w:pPr>
          </w:p>
        </w:tc>
      </w:tr>
    </w:tbl>
    <w:p w14:paraId="7E7F528A" w14:textId="77777777" w:rsidR="00C15E63" w:rsidRPr="00C15E63" w:rsidRDefault="00C15E63" w:rsidP="00C15E63">
      <w:pPr>
        <w:pBdr>
          <w:bottom w:val="single" w:sz="12" w:space="1" w:color="auto"/>
        </w:pBdr>
        <w:rPr>
          <w:rFonts w:eastAsia="Times"/>
          <w:bCs/>
        </w:rPr>
      </w:pPr>
    </w:p>
    <w:p w14:paraId="700292DB" w14:textId="77777777" w:rsidR="00C15E63" w:rsidRPr="00C15E63" w:rsidRDefault="00C15E63" w:rsidP="00C15E63">
      <w:pPr>
        <w:rPr>
          <w:bCs/>
        </w:rPr>
      </w:pPr>
    </w:p>
    <w:p w14:paraId="20747200" w14:textId="3A75F7C6" w:rsidR="00C15E63" w:rsidRPr="002638CA" w:rsidRDefault="001448FC" w:rsidP="00C15E63">
      <w:pPr>
        <w:pBdr>
          <w:bottom w:val="single" w:sz="12" w:space="1" w:color="auto"/>
        </w:pBdr>
        <w:jc w:val="center"/>
        <w:rPr>
          <w:rFonts w:eastAsia="Times New Roman"/>
          <w:b/>
          <w:bCs/>
        </w:rPr>
      </w:pPr>
      <w:r w:rsidRPr="002638CA">
        <w:rPr>
          <w:rFonts w:eastAsia="Times New Roman"/>
          <w:b/>
          <w:bCs/>
        </w:rPr>
        <w:t>C</w:t>
      </w:r>
      <w:r w:rsidR="002638CA" w:rsidRPr="002638CA">
        <w:rPr>
          <w:rFonts w:eastAsia="Times New Roman"/>
          <w:b/>
          <w:bCs/>
        </w:rPr>
        <w:t>ONSUMER PROTECTION C</w:t>
      </w:r>
      <w:r w:rsidRPr="002638CA">
        <w:rPr>
          <w:rFonts w:eastAsia="Times New Roman"/>
          <w:b/>
          <w:bCs/>
        </w:rPr>
        <w:t>OMMENTS</w:t>
      </w:r>
    </w:p>
    <w:p w14:paraId="6DA514BA" w14:textId="69ACB50F" w:rsidR="00C15E63" w:rsidRPr="002638CA" w:rsidRDefault="001448FC" w:rsidP="00C15E63">
      <w:pPr>
        <w:pBdr>
          <w:bottom w:val="single" w:sz="12" w:space="1" w:color="auto"/>
        </w:pBdr>
        <w:jc w:val="center"/>
        <w:rPr>
          <w:rFonts w:eastAsia="Times New Roman"/>
          <w:b/>
          <w:bCs/>
        </w:rPr>
      </w:pPr>
      <w:r w:rsidRPr="002638CA">
        <w:rPr>
          <w:rFonts w:eastAsia="Times New Roman"/>
          <w:b/>
          <w:bCs/>
        </w:rPr>
        <w:t>BY</w:t>
      </w:r>
    </w:p>
    <w:p w14:paraId="37FFDB72" w14:textId="78D84AE8" w:rsidR="00C15E63" w:rsidRPr="002638CA" w:rsidRDefault="001448FC" w:rsidP="00C15E63">
      <w:pPr>
        <w:pBdr>
          <w:bottom w:val="single" w:sz="12" w:space="1" w:color="auto"/>
        </w:pBdr>
        <w:jc w:val="center"/>
        <w:rPr>
          <w:rFonts w:eastAsia="Times New Roman"/>
          <w:b/>
          <w:bCs/>
        </w:rPr>
      </w:pPr>
      <w:r w:rsidRPr="002638CA">
        <w:rPr>
          <w:rFonts w:eastAsia="Times New Roman"/>
          <w:b/>
          <w:bCs/>
        </w:rPr>
        <w:t xml:space="preserve">OFFICE OF THE </w:t>
      </w:r>
      <w:r w:rsidRPr="002638CA">
        <w:rPr>
          <w:rFonts w:eastAsia="Times New Roman"/>
          <w:b/>
          <w:bCs/>
        </w:rPr>
        <w:t>OHIO CONSUMERS</w:t>
      </w:r>
      <w:r w:rsidR="00D26C34">
        <w:rPr>
          <w:rFonts w:eastAsia="Times New Roman"/>
          <w:b/>
          <w:bCs/>
        </w:rPr>
        <w:t>’</w:t>
      </w:r>
      <w:r w:rsidRPr="002638CA">
        <w:rPr>
          <w:rFonts w:eastAsia="Times New Roman"/>
          <w:b/>
          <w:bCs/>
        </w:rPr>
        <w:t xml:space="preserve"> COUNSEL</w:t>
      </w:r>
    </w:p>
    <w:p w14:paraId="49591E04" w14:textId="77777777" w:rsidR="00C15E63" w:rsidRDefault="00C15E63" w:rsidP="00C15E63">
      <w:pPr>
        <w:pBdr>
          <w:bottom w:val="single" w:sz="12" w:space="1" w:color="auto"/>
        </w:pBdr>
        <w:rPr>
          <w:rFonts w:eastAsia="Times New Roman"/>
        </w:rPr>
      </w:pPr>
    </w:p>
    <w:p w14:paraId="342BDDA6" w14:textId="77777777" w:rsidR="00C15E63" w:rsidRPr="00C15E63" w:rsidRDefault="00C15E63" w:rsidP="00C15E63">
      <w:pPr>
        <w:rPr>
          <w:rFonts w:eastAsia="Times New Roman"/>
        </w:rPr>
      </w:pPr>
    </w:p>
    <w:p w14:paraId="3055B44F" w14:textId="042D4AF3" w:rsidR="005129CF" w:rsidRPr="005129CF" w:rsidRDefault="001448FC" w:rsidP="00A67C81">
      <w:pPr>
        <w:pStyle w:val="Heading1"/>
        <w:rPr>
          <w:rFonts w:eastAsia="Times New Roman"/>
        </w:rPr>
      </w:pPr>
      <w:r>
        <w:rPr>
          <w:rFonts w:eastAsia="Times New Roman"/>
        </w:rPr>
        <w:t>I.</w:t>
      </w:r>
      <w:r>
        <w:rPr>
          <w:rFonts w:eastAsia="Times New Roman"/>
        </w:rPr>
        <w:tab/>
      </w:r>
      <w:r w:rsidRPr="005129CF">
        <w:rPr>
          <w:rFonts w:eastAsia="Times New Roman"/>
        </w:rPr>
        <w:t>INTRODUCTION</w:t>
      </w:r>
    </w:p>
    <w:p w14:paraId="67740922" w14:textId="2A23531D" w:rsidR="00C36108" w:rsidRDefault="001448FC" w:rsidP="005129CF">
      <w:pPr>
        <w:spacing w:line="480" w:lineRule="auto"/>
        <w:ind w:firstLine="720"/>
        <w:rPr>
          <w:rFonts w:eastAsia="Times New Roman"/>
          <w:bCs/>
        </w:rPr>
      </w:pPr>
      <w:r>
        <w:rPr>
          <w:rFonts w:eastAsia="Times New Roman"/>
          <w:bCs/>
        </w:rPr>
        <w:t>AEP</w:t>
      </w:r>
      <w:r w:rsidR="006E743C">
        <w:rPr>
          <w:rFonts w:eastAsia="Times New Roman"/>
          <w:bCs/>
        </w:rPr>
        <w:t xml:space="preserve"> </w:t>
      </w:r>
      <w:r w:rsidR="00AC1D17">
        <w:rPr>
          <w:rFonts w:eastAsia="Times New Roman"/>
          <w:bCs/>
        </w:rPr>
        <w:t>tells us that it is</w:t>
      </w:r>
      <w:r w:rsidR="00351EAB">
        <w:rPr>
          <w:rFonts w:eastAsia="Times New Roman"/>
          <w:bCs/>
        </w:rPr>
        <w:t xml:space="preserve"> facing</w:t>
      </w:r>
      <w:r w:rsidR="006E743C">
        <w:rPr>
          <w:rFonts w:eastAsia="Times New Roman"/>
          <w:bCs/>
        </w:rPr>
        <w:t xml:space="preserve"> an</w:t>
      </w:r>
      <w:r w:rsidR="00C66C9A">
        <w:rPr>
          <w:rFonts w:eastAsia="Times New Roman"/>
          <w:bCs/>
        </w:rPr>
        <w:t xml:space="preserve"> </w:t>
      </w:r>
      <w:r w:rsidR="00D26C34">
        <w:rPr>
          <w:rFonts w:eastAsia="Times New Roman"/>
          <w:bCs/>
        </w:rPr>
        <w:t>“</w:t>
      </w:r>
      <w:r w:rsidR="00C66C9A">
        <w:rPr>
          <w:rFonts w:eastAsia="Times New Roman"/>
          <w:bCs/>
        </w:rPr>
        <w:t>unprecedented</w:t>
      </w:r>
      <w:r w:rsidR="00D26C34">
        <w:rPr>
          <w:rFonts w:eastAsia="Times New Roman"/>
          <w:bCs/>
        </w:rPr>
        <w:t>”</w:t>
      </w:r>
      <w:r w:rsidR="00C66C9A">
        <w:rPr>
          <w:rFonts w:eastAsia="Times New Roman"/>
          <w:bCs/>
        </w:rPr>
        <w:t xml:space="preserve"> demand </w:t>
      </w:r>
      <w:r w:rsidR="006E743C">
        <w:rPr>
          <w:rFonts w:eastAsia="Times New Roman"/>
          <w:bCs/>
        </w:rPr>
        <w:t xml:space="preserve">from data centers and cryptocurrency </w:t>
      </w:r>
      <w:r w:rsidR="00090CBA">
        <w:rPr>
          <w:rFonts w:eastAsia="Times New Roman"/>
          <w:bCs/>
        </w:rPr>
        <w:t>(</w:t>
      </w:r>
      <w:r w:rsidR="00090CBA">
        <w:rPr>
          <w:rFonts w:eastAsia="Times New Roman"/>
          <w:bCs/>
          <w:i/>
          <w:iCs/>
        </w:rPr>
        <w:t xml:space="preserve">e.g. </w:t>
      </w:r>
      <w:r w:rsidR="00090CBA">
        <w:rPr>
          <w:rFonts w:eastAsia="Times New Roman"/>
          <w:bCs/>
        </w:rPr>
        <w:t xml:space="preserve">Bitcoin) </w:t>
      </w:r>
      <w:r w:rsidR="006E743C">
        <w:rPr>
          <w:rFonts w:eastAsia="Times New Roman"/>
          <w:bCs/>
        </w:rPr>
        <w:t>miners for electric service throughout its service territory and central Ohio.</w:t>
      </w:r>
      <w:r>
        <w:rPr>
          <w:rStyle w:val="FootnoteReference"/>
          <w:rFonts w:eastAsia="Times New Roman"/>
          <w:bCs/>
        </w:rPr>
        <w:footnoteReference w:id="1"/>
      </w:r>
      <w:r w:rsidR="006E743C">
        <w:rPr>
          <w:rFonts w:eastAsia="Times New Roman"/>
          <w:bCs/>
        </w:rPr>
        <w:t xml:space="preserve"> </w:t>
      </w:r>
      <w:r w:rsidR="00D26C34">
        <w:rPr>
          <w:rFonts w:eastAsia="Times New Roman"/>
          <w:bCs/>
        </w:rPr>
        <w:t>‘</w:t>
      </w:r>
      <w:r w:rsidR="006E743C">
        <w:rPr>
          <w:rFonts w:eastAsia="Times New Roman"/>
          <w:bCs/>
        </w:rPr>
        <w:t xml:space="preserve">To address the needs of these </w:t>
      </w:r>
      <w:r w:rsidR="00D26C34">
        <w:rPr>
          <w:rFonts w:eastAsia="Times New Roman"/>
          <w:bCs/>
        </w:rPr>
        <w:t>“</w:t>
      </w:r>
      <w:r w:rsidR="006E743C">
        <w:rPr>
          <w:rFonts w:eastAsia="Times New Roman"/>
          <w:bCs/>
        </w:rPr>
        <w:t>power-hungry</w:t>
      </w:r>
      <w:r w:rsidR="00D26C34">
        <w:rPr>
          <w:rFonts w:eastAsia="Times New Roman"/>
          <w:bCs/>
        </w:rPr>
        <w:t>”</w:t>
      </w:r>
      <w:r>
        <w:rPr>
          <w:rStyle w:val="FootnoteReference"/>
          <w:rFonts w:eastAsia="Times New Roman"/>
          <w:bCs/>
        </w:rPr>
        <w:footnoteReference w:id="2"/>
      </w:r>
      <w:r w:rsidR="006E743C">
        <w:rPr>
          <w:rFonts w:eastAsia="Times New Roman"/>
          <w:bCs/>
        </w:rPr>
        <w:t xml:space="preserve"> customers, </w:t>
      </w:r>
      <w:r>
        <w:rPr>
          <w:rFonts w:eastAsia="Times New Roman"/>
          <w:bCs/>
        </w:rPr>
        <w:t>AEP</w:t>
      </w:r>
      <w:r w:rsidR="005129CF" w:rsidRPr="005129CF">
        <w:rPr>
          <w:rFonts w:eastAsia="Times New Roman"/>
          <w:bCs/>
        </w:rPr>
        <w:t xml:space="preserve"> </w:t>
      </w:r>
      <w:r w:rsidR="00090CBA">
        <w:rPr>
          <w:rFonts w:eastAsia="Times New Roman"/>
          <w:bCs/>
        </w:rPr>
        <w:t>proposes</w:t>
      </w:r>
      <w:r w:rsidR="006E743C">
        <w:rPr>
          <w:rFonts w:eastAsia="Times New Roman"/>
          <w:bCs/>
        </w:rPr>
        <w:t xml:space="preserve"> tariffs</w:t>
      </w:r>
      <w:r w:rsidR="005129CF" w:rsidRPr="005129CF">
        <w:rPr>
          <w:rFonts w:eastAsia="Times New Roman"/>
          <w:bCs/>
        </w:rPr>
        <w:t xml:space="preserve"> </w:t>
      </w:r>
      <w:r w:rsidR="00090CBA">
        <w:rPr>
          <w:rFonts w:eastAsia="Times New Roman"/>
          <w:bCs/>
        </w:rPr>
        <w:t xml:space="preserve">to </w:t>
      </w:r>
      <w:r w:rsidR="005129CF" w:rsidRPr="005129CF">
        <w:rPr>
          <w:rFonts w:eastAsia="Times New Roman"/>
          <w:bCs/>
        </w:rPr>
        <w:t>creat</w:t>
      </w:r>
      <w:r w:rsidR="00090CBA">
        <w:rPr>
          <w:rFonts w:eastAsia="Times New Roman"/>
          <w:bCs/>
        </w:rPr>
        <w:t>e</w:t>
      </w:r>
      <w:r w:rsidR="005129CF" w:rsidRPr="005129CF">
        <w:rPr>
          <w:rFonts w:eastAsia="Times New Roman"/>
          <w:bCs/>
        </w:rPr>
        <w:t xml:space="preserve"> new service classifications and</w:t>
      </w:r>
      <w:r w:rsidR="006E743C">
        <w:rPr>
          <w:rFonts w:eastAsia="Times New Roman"/>
          <w:bCs/>
        </w:rPr>
        <w:t xml:space="preserve"> terms and conditions</w:t>
      </w:r>
      <w:r w:rsidR="005129CF" w:rsidRPr="005129CF">
        <w:rPr>
          <w:rFonts w:eastAsia="Times New Roman"/>
          <w:bCs/>
        </w:rPr>
        <w:t xml:space="preserve"> for data centers and cryptocurrency/mobile data centers. </w:t>
      </w:r>
    </w:p>
    <w:p w14:paraId="597FF21E" w14:textId="2D773E31" w:rsidR="00DF255F" w:rsidRDefault="001448FC" w:rsidP="00C36108">
      <w:pPr>
        <w:spacing w:line="480" w:lineRule="auto"/>
        <w:ind w:firstLine="720"/>
        <w:rPr>
          <w:rFonts w:eastAsia="Times New Roman"/>
          <w:bCs/>
        </w:rPr>
      </w:pPr>
      <w:r>
        <w:rPr>
          <w:rFonts w:eastAsia="Times New Roman"/>
          <w:bCs/>
        </w:rPr>
        <w:t xml:space="preserve">OCC appreciates </w:t>
      </w:r>
      <w:r w:rsidR="004F610E">
        <w:rPr>
          <w:rFonts w:eastAsia="Times New Roman"/>
          <w:bCs/>
        </w:rPr>
        <w:t>AEP</w:t>
      </w:r>
      <w:r w:rsidR="00D26C34">
        <w:rPr>
          <w:rFonts w:eastAsia="Times New Roman"/>
          <w:bCs/>
        </w:rPr>
        <w:t>’</w:t>
      </w:r>
      <w:r w:rsidRPr="005129CF">
        <w:rPr>
          <w:rFonts w:eastAsia="Times New Roman"/>
          <w:bCs/>
        </w:rPr>
        <w:t>s efforts to prepare for th</w:t>
      </w:r>
      <w:r>
        <w:rPr>
          <w:rFonts w:eastAsia="Times New Roman"/>
          <w:bCs/>
        </w:rPr>
        <w:t xml:space="preserve">e </w:t>
      </w:r>
      <w:r>
        <w:rPr>
          <w:rFonts w:eastAsia="Times New Roman"/>
          <w:bCs/>
        </w:rPr>
        <w:t>increase in</w:t>
      </w:r>
      <w:r w:rsidRPr="005129CF">
        <w:rPr>
          <w:rFonts w:eastAsia="Times New Roman"/>
          <w:bCs/>
        </w:rPr>
        <w:t xml:space="preserve"> growth</w:t>
      </w:r>
      <w:r>
        <w:rPr>
          <w:rFonts w:eastAsia="Times New Roman"/>
          <w:bCs/>
        </w:rPr>
        <w:t xml:space="preserve"> and demand from data center</w:t>
      </w:r>
      <w:r w:rsidR="005129CF" w:rsidRPr="005129CF">
        <w:rPr>
          <w:rFonts w:eastAsia="Times New Roman"/>
          <w:bCs/>
        </w:rPr>
        <w:t xml:space="preserve"> </w:t>
      </w:r>
      <w:r w:rsidR="00C74C0E">
        <w:rPr>
          <w:rFonts w:eastAsia="Times New Roman"/>
          <w:bCs/>
        </w:rPr>
        <w:t>customers</w:t>
      </w:r>
      <w:r w:rsidR="00C36108">
        <w:rPr>
          <w:rFonts w:eastAsia="Times New Roman"/>
          <w:bCs/>
        </w:rPr>
        <w:t>.</w:t>
      </w:r>
      <w:r w:rsidR="00140E54">
        <w:rPr>
          <w:rFonts w:eastAsia="Times New Roman"/>
          <w:bCs/>
        </w:rPr>
        <w:t xml:space="preserve"> </w:t>
      </w:r>
      <w:r w:rsidR="004F610E">
        <w:rPr>
          <w:rFonts w:eastAsia="Times New Roman"/>
          <w:bCs/>
        </w:rPr>
        <w:t>AEP</w:t>
      </w:r>
      <w:r w:rsidR="00D26C34">
        <w:rPr>
          <w:rFonts w:eastAsia="Times New Roman"/>
          <w:bCs/>
        </w:rPr>
        <w:t>’</w:t>
      </w:r>
      <w:r w:rsidR="00DE7F4B">
        <w:rPr>
          <w:rFonts w:eastAsia="Times New Roman"/>
          <w:bCs/>
        </w:rPr>
        <w:t>s proposed tariffs are a step in the right direction. But more can be done to</w:t>
      </w:r>
      <w:r>
        <w:rPr>
          <w:rFonts w:eastAsia="Times New Roman"/>
          <w:bCs/>
        </w:rPr>
        <w:t xml:space="preserve"> protect consumers from being </w:t>
      </w:r>
      <w:r w:rsidR="00C74C0E">
        <w:rPr>
          <w:rFonts w:eastAsia="Times New Roman"/>
          <w:bCs/>
        </w:rPr>
        <w:t xml:space="preserve">unfairly burdened by the </w:t>
      </w:r>
      <w:r w:rsidR="00DE7F4B">
        <w:rPr>
          <w:rFonts w:eastAsia="Times New Roman"/>
          <w:bCs/>
        </w:rPr>
        <w:t xml:space="preserve">demands of </w:t>
      </w:r>
      <w:r w:rsidR="00C74C0E">
        <w:rPr>
          <w:rFonts w:eastAsia="Times New Roman"/>
          <w:bCs/>
        </w:rPr>
        <w:t>data center</w:t>
      </w:r>
      <w:r w:rsidR="00DE7F4B">
        <w:rPr>
          <w:rFonts w:eastAsia="Times New Roman"/>
          <w:bCs/>
        </w:rPr>
        <w:t>s and crypto miners</w:t>
      </w:r>
      <w:r w:rsidR="00C36108">
        <w:rPr>
          <w:rFonts w:eastAsia="Times New Roman"/>
          <w:bCs/>
        </w:rPr>
        <w:t>.</w:t>
      </w:r>
      <w:r w:rsidR="00140E54">
        <w:rPr>
          <w:rFonts w:eastAsia="Times New Roman"/>
          <w:bCs/>
        </w:rPr>
        <w:t xml:space="preserve"> </w:t>
      </w:r>
      <w:r w:rsidR="00FA0FFA">
        <w:rPr>
          <w:rFonts w:eastAsia="Times New Roman"/>
          <w:bCs/>
        </w:rPr>
        <w:t>M</w:t>
      </w:r>
      <w:r w:rsidR="00FA0FFA" w:rsidRPr="005129CF">
        <w:rPr>
          <w:rFonts w:eastAsia="Times New Roman"/>
          <w:bCs/>
        </w:rPr>
        <w:t>easures</w:t>
      </w:r>
      <w:r w:rsidR="002B5462">
        <w:rPr>
          <w:rFonts w:eastAsia="Times New Roman"/>
          <w:bCs/>
        </w:rPr>
        <w:t xml:space="preserve"> can </w:t>
      </w:r>
      <w:r w:rsidR="000024AB">
        <w:rPr>
          <w:rFonts w:eastAsia="Times New Roman"/>
          <w:bCs/>
        </w:rPr>
        <w:t xml:space="preserve">and should </w:t>
      </w:r>
      <w:r w:rsidR="00FA0FFA">
        <w:rPr>
          <w:rFonts w:eastAsia="Times New Roman"/>
          <w:bCs/>
        </w:rPr>
        <w:t xml:space="preserve">be implemented </w:t>
      </w:r>
      <w:r w:rsidR="00AB0A6D">
        <w:rPr>
          <w:rFonts w:eastAsia="Times New Roman"/>
          <w:bCs/>
        </w:rPr>
        <w:t xml:space="preserve">now </w:t>
      </w:r>
      <w:r w:rsidR="00FA0FFA" w:rsidRPr="005129CF">
        <w:rPr>
          <w:rFonts w:eastAsia="Times New Roman"/>
          <w:bCs/>
        </w:rPr>
        <w:t xml:space="preserve">to </w:t>
      </w:r>
      <w:r>
        <w:rPr>
          <w:rFonts w:eastAsia="Times New Roman"/>
          <w:bCs/>
        </w:rPr>
        <w:t xml:space="preserve">hold </w:t>
      </w:r>
      <w:r w:rsidR="00FA0FFA" w:rsidRPr="005129CF">
        <w:rPr>
          <w:rFonts w:eastAsia="Times New Roman"/>
          <w:bCs/>
        </w:rPr>
        <w:t xml:space="preserve">residential customers </w:t>
      </w:r>
      <w:r>
        <w:rPr>
          <w:rFonts w:eastAsia="Times New Roman"/>
          <w:bCs/>
        </w:rPr>
        <w:t xml:space="preserve">harmless so that they are not subsidizing </w:t>
      </w:r>
      <w:r w:rsidR="002634BE">
        <w:rPr>
          <w:rFonts w:eastAsia="Times New Roman"/>
          <w:bCs/>
        </w:rPr>
        <w:t xml:space="preserve">upgrades to </w:t>
      </w:r>
      <w:r w:rsidR="007D16FA">
        <w:rPr>
          <w:rFonts w:eastAsia="Times New Roman"/>
          <w:bCs/>
        </w:rPr>
        <w:t>A</w:t>
      </w:r>
      <w:r w:rsidR="002634BE">
        <w:rPr>
          <w:rFonts w:eastAsia="Times New Roman"/>
          <w:bCs/>
        </w:rPr>
        <w:t xml:space="preserve">EP’s </w:t>
      </w:r>
      <w:r w:rsidR="00F97534">
        <w:rPr>
          <w:rFonts w:eastAsia="Times New Roman"/>
          <w:bCs/>
        </w:rPr>
        <w:t xml:space="preserve">transmission and distribution system that are </w:t>
      </w:r>
      <w:r w:rsidR="00F624DF">
        <w:rPr>
          <w:rFonts w:eastAsia="Times New Roman"/>
          <w:bCs/>
        </w:rPr>
        <w:t>caused</w:t>
      </w:r>
      <w:r w:rsidR="00F624DF" w:rsidRPr="005129CF">
        <w:rPr>
          <w:rFonts w:eastAsia="Times New Roman"/>
          <w:bCs/>
        </w:rPr>
        <w:t xml:space="preserve"> </w:t>
      </w:r>
      <w:r w:rsidR="00FA0FFA" w:rsidRPr="005129CF">
        <w:rPr>
          <w:rFonts w:eastAsia="Times New Roman"/>
          <w:bCs/>
        </w:rPr>
        <w:t>by data center</w:t>
      </w:r>
      <w:r w:rsidR="002634BE">
        <w:rPr>
          <w:rFonts w:eastAsia="Times New Roman"/>
          <w:bCs/>
        </w:rPr>
        <w:t>s</w:t>
      </w:r>
      <w:r w:rsidR="00FA0FFA">
        <w:rPr>
          <w:rFonts w:eastAsia="Times New Roman"/>
          <w:bCs/>
        </w:rPr>
        <w:t xml:space="preserve">. </w:t>
      </w:r>
      <w:r w:rsidR="00AB0A6D">
        <w:rPr>
          <w:rFonts w:eastAsia="Times New Roman"/>
          <w:bCs/>
        </w:rPr>
        <w:t xml:space="preserve">In other words, we are urging the PUCO and AEP to take a closer look at AEP’s transmission and </w:t>
      </w:r>
      <w:r w:rsidR="00AB0A6D">
        <w:rPr>
          <w:rFonts w:eastAsia="Times New Roman"/>
          <w:bCs/>
        </w:rPr>
        <w:lastRenderedPageBreak/>
        <w:t>distribution rates and</w:t>
      </w:r>
      <w:r w:rsidR="000024AB">
        <w:rPr>
          <w:rFonts w:eastAsia="Times New Roman"/>
          <w:bCs/>
        </w:rPr>
        <w:t xml:space="preserve"> assure that those rates are updated to reflect </w:t>
      </w:r>
      <w:r w:rsidR="00AB0A6D">
        <w:rPr>
          <w:rFonts w:eastAsia="Times New Roman"/>
          <w:bCs/>
        </w:rPr>
        <w:t>the</w:t>
      </w:r>
      <w:r w:rsidR="000024AB">
        <w:rPr>
          <w:rFonts w:eastAsia="Times New Roman"/>
          <w:bCs/>
        </w:rPr>
        <w:t xml:space="preserve"> current </w:t>
      </w:r>
      <w:r w:rsidR="00AB0A6D">
        <w:rPr>
          <w:rFonts w:eastAsia="Times New Roman"/>
          <w:bCs/>
        </w:rPr>
        <w:t>cost to serve each customer class</w:t>
      </w:r>
      <w:r w:rsidR="000174E6">
        <w:rPr>
          <w:rFonts w:eastAsia="Times New Roman"/>
          <w:bCs/>
        </w:rPr>
        <w:t>, including the data center customer class designated by AEP</w:t>
      </w:r>
      <w:r w:rsidR="00AB0A6D">
        <w:rPr>
          <w:rFonts w:eastAsia="Times New Roman"/>
          <w:bCs/>
        </w:rPr>
        <w:t>.</w:t>
      </w:r>
    </w:p>
    <w:p w14:paraId="7758822A" w14:textId="6B74FF49" w:rsidR="005129CF" w:rsidRPr="005129CF" w:rsidRDefault="001448FC" w:rsidP="007D16FA">
      <w:pPr>
        <w:spacing w:line="480" w:lineRule="auto"/>
        <w:ind w:firstLine="720"/>
        <w:rPr>
          <w:rFonts w:eastAsia="Times New Roman"/>
          <w:bCs/>
        </w:rPr>
      </w:pPr>
      <w:r>
        <w:rPr>
          <w:rFonts w:eastAsia="Times New Roman"/>
          <w:bCs/>
        </w:rPr>
        <w:t xml:space="preserve">We detail </w:t>
      </w:r>
      <w:r w:rsidR="002634BE">
        <w:rPr>
          <w:rFonts w:eastAsia="Times New Roman"/>
          <w:bCs/>
        </w:rPr>
        <w:t xml:space="preserve">below our </w:t>
      </w:r>
      <w:r w:rsidR="008F30B3">
        <w:rPr>
          <w:rFonts w:eastAsia="Times New Roman"/>
          <w:bCs/>
        </w:rPr>
        <w:t xml:space="preserve">initial </w:t>
      </w:r>
      <w:r>
        <w:rPr>
          <w:rFonts w:eastAsia="Times New Roman"/>
          <w:bCs/>
        </w:rPr>
        <w:t>recommend</w:t>
      </w:r>
      <w:r w:rsidR="002634BE">
        <w:rPr>
          <w:rFonts w:eastAsia="Times New Roman"/>
          <w:bCs/>
        </w:rPr>
        <w:t>ations</w:t>
      </w:r>
      <w:r>
        <w:rPr>
          <w:rFonts w:eastAsia="Times New Roman"/>
          <w:bCs/>
        </w:rPr>
        <w:t xml:space="preserve"> to protect consumers, in keeping with</w:t>
      </w:r>
      <w:r w:rsidR="007D16FA">
        <w:rPr>
          <w:rFonts w:eastAsia="Times New Roman"/>
          <w:bCs/>
        </w:rPr>
        <w:t xml:space="preserve"> </w:t>
      </w:r>
      <w:r>
        <w:rPr>
          <w:rFonts w:eastAsia="Times New Roman"/>
          <w:bCs/>
        </w:rPr>
        <w:t>law’</w:t>
      </w:r>
      <w:r w:rsidR="007D16FA">
        <w:rPr>
          <w:rFonts w:eastAsia="Times New Roman"/>
          <w:bCs/>
        </w:rPr>
        <w:t xml:space="preserve">s </w:t>
      </w:r>
      <w:r w:rsidR="00DB3331">
        <w:rPr>
          <w:rFonts w:eastAsia="Times New Roman"/>
          <w:bCs/>
        </w:rPr>
        <w:t xml:space="preserve">that </w:t>
      </w:r>
      <w:r w:rsidR="009971ED">
        <w:rPr>
          <w:rFonts w:eastAsia="Times New Roman"/>
          <w:bCs/>
        </w:rPr>
        <w:t xml:space="preserve">mandate </w:t>
      </w:r>
      <w:r w:rsidR="00C36108">
        <w:rPr>
          <w:rFonts w:eastAsia="Times New Roman"/>
          <w:bCs/>
        </w:rPr>
        <w:t xml:space="preserve">utility service </w:t>
      </w:r>
      <w:r w:rsidR="00F624DF">
        <w:rPr>
          <w:rFonts w:eastAsia="Times New Roman"/>
          <w:bCs/>
        </w:rPr>
        <w:t>must be</w:t>
      </w:r>
      <w:r w:rsidR="00C36108">
        <w:rPr>
          <w:rFonts w:eastAsia="Times New Roman"/>
          <w:bCs/>
        </w:rPr>
        <w:t>, in all respects,</w:t>
      </w:r>
      <w:r w:rsidR="00351EAB">
        <w:rPr>
          <w:rFonts w:eastAsia="Times New Roman"/>
          <w:bCs/>
        </w:rPr>
        <w:t xml:space="preserve"> </w:t>
      </w:r>
      <w:r w:rsidR="00D26C34">
        <w:rPr>
          <w:rFonts w:eastAsia="Times New Roman"/>
          <w:bCs/>
        </w:rPr>
        <w:t>“</w:t>
      </w:r>
      <w:r w:rsidRPr="005129CF">
        <w:rPr>
          <w:rFonts w:eastAsia="Times New Roman"/>
          <w:bCs/>
        </w:rPr>
        <w:t>just and reasonable</w:t>
      </w:r>
      <w:r w:rsidR="00D26C34">
        <w:rPr>
          <w:rFonts w:eastAsia="Times New Roman"/>
          <w:bCs/>
        </w:rPr>
        <w:t>”</w:t>
      </w:r>
      <w:r w:rsidR="006F43D2">
        <w:rPr>
          <w:rStyle w:val="CommentReference"/>
        </w:rPr>
        <w:t xml:space="preserve"> </w:t>
      </w:r>
      <w:r w:rsidR="006F43D2" w:rsidRPr="005A3993">
        <w:rPr>
          <w:rStyle w:val="CommentReference"/>
          <w:sz w:val="24"/>
          <w:szCs w:val="24"/>
        </w:rPr>
        <w:t>for</w:t>
      </w:r>
      <w:r w:rsidRPr="006F43D2">
        <w:rPr>
          <w:rFonts w:eastAsia="Times New Roman"/>
          <w:bCs/>
          <w:szCs w:val="24"/>
        </w:rPr>
        <w:t xml:space="preserve"> </w:t>
      </w:r>
      <w:r w:rsidRPr="005129CF">
        <w:rPr>
          <w:rFonts w:eastAsia="Times New Roman"/>
          <w:bCs/>
        </w:rPr>
        <w:t>all consumers.</w:t>
      </w:r>
      <w:r w:rsidR="00351EAB" w:rsidRPr="00351EAB">
        <w:rPr>
          <w:rStyle w:val="FootnoteReference"/>
          <w:rFonts w:eastAsia="Times New Roman"/>
          <w:bCs/>
        </w:rPr>
        <w:t xml:space="preserve"> </w:t>
      </w:r>
      <w:r>
        <w:rPr>
          <w:rStyle w:val="FootnoteReference"/>
          <w:rFonts w:eastAsia="Times New Roman"/>
          <w:bCs/>
        </w:rPr>
        <w:footnoteReference w:id="3"/>
      </w:r>
      <w:r w:rsidR="00140E54">
        <w:rPr>
          <w:rFonts w:eastAsia="Times New Roman"/>
          <w:bCs/>
        </w:rPr>
        <w:t xml:space="preserve"> </w:t>
      </w:r>
      <w:r w:rsidR="009971ED">
        <w:rPr>
          <w:rFonts w:eastAsia="Times New Roman"/>
          <w:bCs/>
        </w:rPr>
        <w:t>OCC expects its position to more fully develop</w:t>
      </w:r>
      <w:r w:rsidR="002634BE">
        <w:rPr>
          <w:rFonts w:eastAsia="Times New Roman"/>
          <w:bCs/>
        </w:rPr>
        <w:t xml:space="preserve"> in the months ahead</w:t>
      </w:r>
      <w:r w:rsidR="009971ED">
        <w:rPr>
          <w:rFonts w:eastAsia="Times New Roman"/>
          <w:bCs/>
        </w:rPr>
        <w:t xml:space="preserve"> as it continues to assess AEP</w:t>
      </w:r>
      <w:r w:rsidR="00D26C34">
        <w:rPr>
          <w:rFonts w:eastAsia="Times New Roman"/>
          <w:bCs/>
        </w:rPr>
        <w:t>’</w:t>
      </w:r>
      <w:r w:rsidR="009971ED">
        <w:rPr>
          <w:rFonts w:eastAsia="Times New Roman"/>
          <w:bCs/>
        </w:rPr>
        <w:t xml:space="preserve">s filed testimony and conduct discovery. </w:t>
      </w:r>
    </w:p>
    <w:p w14:paraId="3B5C7728" w14:textId="58A0F8EF" w:rsidR="00DC5CEA" w:rsidRPr="009E2B6F" w:rsidRDefault="001448FC" w:rsidP="009E2B6F">
      <w:pPr>
        <w:pStyle w:val="Heading1"/>
      </w:pPr>
      <w:r>
        <w:t>i</w:t>
      </w:r>
      <w:r w:rsidR="00A67C81">
        <w:t>I</w:t>
      </w:r>
      <w:r>
        <w:t>.</w:t>
      </w:r>
      <w:r>
        <w:tab/>
      </w:r>
      <w:r w:rsidR="0033034D" w:rsidRPr="00992026">
        <w:t>Backgroun</w:t>
      </w:r>
      <w:r w:rsidRPr="00992026">
        <w:t>d</w:t>
      </w:r>
    </w:p>
    <w:p w14:paraId="32EC31CA" w14:textId="7A8DC74B" w:rsidR="004F610E" w:rsidRPr="002638CA" w:rsidRDefault="001448FC" w:rsidP="004F610E">
      <w:pPr>
        <w:pStyle w:val="Heading2"/>
      </w:pPr>
      <w:r>
        <w:t>A.</w:t>
      </w:r>
      <w:r>
        <w:tab/>
      </w:r>
      <w:r w:rsidR="008A57CD">
        <w:t>AEP</w:t>
      </w:r>
      <w:r w:rsidR="00D26C34">
        <w:t>’</w:t>
      </w:r>
      <w:r w:rsidR="008A57CD">
        <w:t xml:space="preserve">s Proposed Tariffs </w:t>
      </w:r>
    </w:p>
    <w:p w14:paraId="2A3EE64E" w14:textId="2AEEADC4" w:rsidR="004F610E" w:rsidRPr="00992026" w:rsidRDefault="001448FC" w:rsidP="004F610E">
      <w:pPr>
        <w:spacing w:line="480" w:lineRule="auto"/>
        <w:ind w:firstLine="720"/>
        <w:rPr>
          <w:rFonts w:cs="Times New Roman"/>
          <w:szCs w:val="24"/>
        </w:rPr>
      </w:pPr>
      <w:r w:rsidRPr="00992026">
        <w:rPr>
          <w:rFonts w:cs="Times New Roman"/>
          <w:szCs w:val="24"/>
        </w:rPr>
        <w:t>To address what will be required to serve new</w:t>
      </w:r>
      <w:r>
        <w:rPr>
          <w:rFonts w:cs="Times New Roman"/>
          <w:szCs w:val="24"/>
        </w:rPr>
        <w:t xml:space="preserve"> </w:t>
      </w:r>
      <w:r w:rsidRPr="00992026">
        <w:rPr>
          <w:rFonts w:cs="Times New Roman"/>
          <w:szCs w:val="24"/>
        </w:rPr>
        <w:t>energy-intensive</w:t>
      </w:r>
      <w:r>
        <w:rPr>
          <w:rFonts w:cs="Times New Roman"/>
          <w:szCs w:val="24"/>
        </w:rPr>
        <w:t xml:space="preserve"> data center customers,</w:t>
      </w:r>
      <w:r w:rsidRPr="00992026">
        <w:rPr>
          <w:rFonts w:cs="Times New Roman"/>
          <w:szCs w:val="24"/>
        </w:rPr>
        <w:t xml:space="preserve"> </w:t>
      </w:r>
      <w:r>
        <w:rPr>
          <w:rFonts w:cs="Times New Roman"/>
          <w:szCs w:val="24"/>
        </w:rPr>
        <w:t>AEP</w:t>
      </w:r>
      <w:r w:rsidRPr="00992026">
        <w:rPr>
          <w:rFonts w:cs="Times New Roman"/>
          <w:szCs w:val="24"/>
        </w:rPr>
        <w:t xml:space="preserve"> is proposing new tariffs. On May 13</w:t>
      </w:r>
      <w:r>
        <w:rPr>
          <w:rFonts w:cs="Times New Roman"/>
          <w:szCs w:val="24"/>
        </w:rPr>
        <w:t>,</w:t>
      </w:r>
      <w:r w:rsidRPr="00992026">
        <w:rPr>
          <w:rFonts w:cs="Times New Roman"/>
          <w:szCs w:val="24"/>
        </w:rPr>
        <w:t xml:space="preserve"> 2024</w:t>
      </w:r>
      <w:r>
        <w:rPr>
          <w:rFonts w:cs="Times New Roman"/>
          <w:szCs w:val="24"/>
        </w:rPr>
        <w:t>,</w:t>
      </w:r>
      <w:r w:rsidRPr="00992026">
        <w:rPr>
          <w:rFonts w:cs="Times New Roman"/>
          <w:szCs w:val="24"/>
        </w:rPr>
        <w:t xml:space="preserve"> </w:t>
      </w:r>
      <w:r>
        <w:rPr>
          <w:rFonts w:cs="Times New Roman"/>
          <w:szCs w:val="24"/>
        </w:rPr>
        <w:t>AEP</w:t>
      </w:r>
      <w:r w:rsidRPr="00992026">
        <w:rPr>
          <w:rFonts w:cs="Times New Roman"/>
          <w:szCs w:val="24"/>
        </w:rPr>
        <w:t xml:space="preserve"> filed an application to create two new classifications of customers and to implement two new tariffs that would apply to data centers (monthly demand of more than 25 MW) and cryptocurrency/mobile data centers (monthly demand of 1 MW or greater). Both tariffs would require</w:t>
      </w:r>
      <w:r>
        <w:rPr>
          <w:rFonts w:cs="Times New Roman"/>
          <w:szCs w:val="24"/>
        </w:rPr>
        <w:t>,</w:t>
      </w:r>
      <w:r w:rsidRPr="00992026">
        <w:rPr>
          <w:rFonts w:cs="Times New Roman"/>
          <w:szCs w:val="24"/>
        </w:rPr>
        <w:t xml:space="preserve"> among other things</w:t>
      </w:r>
      <w:r>
        <w:rPr>
          <w:rFonts w:cs="Times New Roman"/>
          <w:szCs w:val="24"/>
        </w:rPr>
        <w:t>,</w:t>
      </w:r>
      <w:r w:rsidRPr="00992026">
        <w:rPr>
          <w:rFonts w:cs="Times New Roman"/>
          <w:szCs w:val="24"/>
        </w:rPr>
        <w:t xml:space="preserve"> that the new classes of customers do the following: </w:t>
      </w:r>
    </w:p>
    <w:p w14:paraId="4A160298" w14:textId="77777777" w:rsidR="004F610E" w:rsidRPr="00992026" w:rsidRDefault="001448FC" w:rsidP="004F610E">
      <w:pPr>
        <w:pStyle w:val="ListParagraph"/>
        <w:numPr>
          <w:ilvl w:val="0"/>
          <w:numId w:val="3"/>
        </w:numPr>
        <w:spacing w:after="240"/>
        <w:ind w:left="1440" w:right="720" w:hanging="720"/>
        <w:contextualSpacing w:val="0"/>
        <w:rPr>
          <w:rFonts w:cs="Times New Roman"/>
          <w:szCs w:val="24"/>
        </w:rPr>
      </w:pPr>
      <w:r w:rsidRPr="00992026">
        <w:rPr>
          <w:rFonts w:cs="Times New Roman"/>
          <w:szCs w:val="24"/>
        </w:rPr>
        <w:t>Enter into electric service agreements for a term of 10 years</w:t>
      </w:r>
      <w:r>
        <w:rPr>
          <w:rFonts w:cs="Times New Roman"/>
          <w:szCs w:val="24"/>
        </w:rPr>
        <w:t>;</w:t>
      </w:r>
      <w:r w:rsidRPr="00992026">
        <w:rPr>
          <w:rFonts w:cs="Times New Roman"/>
          <w:szCs w:val="24"/>
        </w:rPr>
        <w:t xml:space="preserve"> </w:t>
      </w:r>
    </w:p>
    <w:p w14:paraId="496E6D44" w14:textId="77777777" w:rsidR="004F610E" w:rsidRPr="00992026" w:rsidRDefault="001448FC" w:rsidP="004F610E">
      <w:pPr>
        <w:pStyle w:val="ListParagraph"/>
        <w:numPr>
          <w:ilvl w:val="0"/>
          <w:numId w:val="3"/>
        </w:numPr>
        <w:spacing w:after="240"/>
        <w:ind w:left="1440" w:right="720" w:hanging="720"/>
        <w:contextualSpacing w:val="0"/>
        <w:rPr>
          <w:rFonts w:cs="Times New Roman"/>
          <w:szCs w:val="24"/>
        </w:rPr>
      </w:pPr>
      <w:r w:rsidRPr="00992026">
        <w:rPr>
          <w:rFonts w:cs="Times New Roman"/>
          <w:szCs w:val="24"/>
        </w:rPr>
        <w:t>Participate in the PJM Emergency Demand Response program or AEP-declared emergency event and be subject to disconnection</w:t>
      </w:r>
      <w:r>
        <w:rPr>
          <w:rFonts w:cs="Times New Roman"/>
          <w:szCs w:val="24"/>
        </w:rPr>
        <w:t>;</w:t>
      </w:r>
      <w:r w:rsidRPr="00992026">
        <w:rPr>
          <w:rFonts w:cs="Times New Roman"/>
          <w:szCs w:val="24"/>
        </w:rPr>
        <w:t xml:space="preserve"> </w:t>
      </w:r>
    </w:p>
    <w:p w14:paraId="2C62A0B2" w14:textId="77777777" w:rsidR="004F610E" w:rsidRPr="00992026" w:rsidRDefault="001448FC" w:rsidP="004F610E">
      <w:pPr>
        <w:pStyle w:val="ListParagraph"/>
        <w:numPr>
          <w:ilvl w:val="0"/>
          <w:numId w:val="3"/>
        </w:numPr>
        <w:spacing w:after="240"/>
        <w:ind w:left="1440" w:right="720" w:hanging="720"/>
        <w:contextualSpacing w:val="0"/>
        <w:rPr>
          <w:rFonts w:cs="Times New Roman"/>
          <w:szCs w:val="24"/>
        </w:rPr>
      </w:pPr>
      <w:r w:rsidRPr="00992026">
        <w:rPr>
          <w:rFonts w:cs="Times New Roman"/>
          <w:szCs w:val="24"/>
        </w:rPr>
        <w:t>Pay all base rates and rider rates that other General Service customers pay</w:t>
      </w:r>
      <w:r>
        <w:rPr>
          <w:rFonts w:cs="Times New Roman"/>
          <w:szCs w:val="24"/>
        </w:rPr>
        <w:t>;</w:t>
      </w:r>
      <w:r w:rsidRPr="00992026">
        <w:rPr>
          <w:rFonts w:cs="Times New Roman"/>
          <w:szCs w:val="24"/>
        </w:rPr>
        <w:t xml:space="preserve"> </w:t>
      </w:r>
    </w:p>
    <w:p w14:paraId="5EBBA215" w14:textId="77777777" w:rsidR="004F610E" w:rsidRPr="00992026" w:rsidRDefault="001448FC" w:rsidP="004F610E">
      <w:pPr>
        <w:pStyle w:val="ListParagraph"/>
        <w:numPr>
          <w:ilvl w:val="0"/>
          <w:numId w:val="3"/>
        </w:numPr>
        <w:spacing w:after="240"/>
        <w:ind w:left="1440" w:right="720" w:hanging="720"/>
        <w:contextualSpacing w:val="0"/>
        <w:rPr>
          <w:rFonts w:cs="Times New Roman"/>
          <w:szCs w:val="24"/>
        </w:rPr>
      </w:pPr>
      <w:r w:rsidRPr="00992026">
        <w:rPr>
          <w:rFonts w:cs="Times New Roman"/>
          <w:szCs w:val="24"/>
        </w:rPr>
        <w:t>Be subjected to a minimum demand charge (90% of their contract capacity for data centers</w:t>
      </w:r>
      <w:r>
        <w:rPr>
          <w:rFonts w:cs="Times New Roman"/>
          <w:szCs w:val="24"/>
        </w:rPr>
        <w:t>;</w:t>
      </w:r>
      <w:r w:rsidRPr="00992026">
        <w:rPr>
          <w:rFonts w:cs="Times New Roman"/>
          <w:szCs w:val="24"/>
        </w:rPr>
        <w:t xml:space="preserve"> 95% of their contract capacity for mobile data centers)</w:t>
      </w:r>
      <w:r>
        <w:rPr>
          <w:rFonts w:cs="Times New Roman"/>
          <w:szCs w:val="24"/>
        </w:rPr>
        <w:t>;</w:t>
      </w:r>
      <w:r w:rsidRPr="00992026">
        <w:rPr>
          <w:rFonts w:cs="Times New Roman"/>
          <w:szCs w:val="24"/>
        </w:rPr>
        <w:t xml:space="preserve"> </w:t>
      </w:r>
    </w:p>
    <w:p w14:paraId="5F45DC2A" w14:textId="77777777" w:rsidR="004F610E" w:rsidRPr="00992026" w:rsidRDefault="001448FC" w:rsidP="004F610E">
      <w:pPr>
        <w:pStyle w:val="ListParagraph"/>
        <w:numPr>
          <w:ilvl w:val="0"/>
          <w:numId w:val="3"/>
        </w:numPr>
        <w:spacing w:after="240"/>
        <w:ind w:left="1440" w:right="720" w:hanging="720"/>
        <w:contextualSpacing w:val="0"/>
        <w:rPr>
          <w:rFonts w:cs="Times New Roman"/>
          <w:szCs w:val="24"/>
        </w:rPr>
      </w:pPr>
      <w:r w:rsidRPr="00992026">
        <w:rPr>
          <w:rFonts w:cs="Times New Roman"/>
          <w:szCs w:val="24"/>
        </w:rPr>
        <w:t>Be subjected to an exit fee equal to three years of minimum charges</w:t>
      </w:r>
      <w:r>
        <w:rPr>
          <w:rFonts w:cs="Times New Roman"/>
          <w:szCs w:val="24"/>
        </w:rPr>
        <w:t>;</w:t>
      </w:r>
      <w:r w:rsidRPr="00992026">
        <w:rPr>
          <w:rFonts w:cs="Times New Roman"/>
          <w:szCs w:val="24"/>
        </w:rPr>
        <w:t xml:space="preserve"> and</w:t>
      </w:r>
    </w:p>
    <w:p w14:paraId="161C1D9D" w14:textId="66903FA1" w:rsidR="004F610E" w:rsidRPr="00992026" w:rsidRDefault="001448FC" w:rsidP="004F610E">
      <w:pPr>
        <w:pStyle w:val="ListParagraph"/>
        <w:numPr>
          <w:ilvl w:val="0"/>
          <w:numId w:val="3"/>
        </w:numPr>
        <w:spacing w:after="240"/>
        <w:ind w:left="1440" w:right="720" w:hanging="720"/>
        <w:contextualSpacing w:val="0"/>
        <w:rPr>
          <w:rFonts w:cs="Times New Roman"/>
          <w:szCs w:val="24"/>
        </w:rPr>
      </w:pPr>
      <w:r w:rsidRPr="00992026">
        <w:rPr>
          <w:rFonts w:cs="Times New Roman"/>
          <w:szCs w:val="24"/>
        </w:rPr>
        <w:lastRenderedPageBreak/>
        <w:t xml:space="preserve">For customers with credit ratings less than </w:t>
      </w:r>
      <w:proofErr w:type="gramStart"/>
      <w:r w:rsidRPr="00992026">
        <w:rPr>
          <w:rFonts w:cs="Times New Roman"/>
          <w:szCs w:val="24"/>
        </w:rPr>
        <w:t>A–</w:t>
      </w:r>
      <w:proofErr w:type="gramEnd"/>
      <w:r w:rsidRPr="00992026">
        <w:rPr>
          <w:rFonts w:cs="Times New Roman"/>
          <w:szCs w:val="24"/>
        </w:rPr>
        <w:t xml:space="preserve"> from S&amp;P Global Inc. and A3 from Moody</w:t>
      </w:r>
      <w:r w:rsidR="00D26C34">
        <w:rPr>
          <w:rFonts w:cs="Times New Roman"/>
          <w:szCs w:val="24"/>
        </w:rPr>
        <w:t>’</w:t>
      </w:r>
      <w:r w:rsidRPr="00992026">
        <w:rPr>
          <w:rFonts w:cs="Times New Roman"/>
          <w:szCs w:val="24"/>
        </w:rPr>
        <w:t>s Corporation</w:t>
      </w:r>
      <w:r>
        <w:rPr>
          <w:rFonts w:cs="Times New Roman"/>
          <w:szCs w:val="24"/>
        </w:rPr>
        <w:t>,</w:t>
      </w:r>
      <w:r w:rsidRPr="00992026">
        <w:rPr>
          <w:rFonts w:cs="Times New Roman"/>
          <w:szCs w:val="24"/>
        </w:rPr>
        <w:t xml:space="preserve"> provide a parent guarantee or collateral in the form of a letter of credit or cash equal to 50% of the customer</w:t>
      </w:r>
      <w:r w:rsidR="00D26C34">
        <w:rPr>
          <w:rFonts w:cs="Times New Roman"/>
          <w:szCs w:val="24"/>
        </w:rPr>
        <w:t>’</w:t>
      </w:r>
      <w:r w:rsidRPr="00992026">
        <w:rPr>
          <w:rFonts w:cs="Times New Roman"/>
          <w:szCs w:val="24"/>
        </w:rPr>
        <w:t xml:space="preserve">s minimum demand charges. </w:t>
      </w:r>
    </w:p>
    <w:p w14:paraId="3740FEF1" w14:textId="2E008F0C" w:rsidR="00DC5CEA" w:rsidRPr="00992026" w:rsidRDefault="001448FC" w:rsidP="002638CA">
      <w:pPr>
        <w:pStyle w:val="Heading2"/>
        <w:rPr>
          <w:b w:val="0"/>
        </w:rPr>
      </w:pPr>
      <w:r>
        <w:t>B.</w:t>
      </w:r>
      <w:r>
        <w:tab/>
      </w:r>
      <w:r w:rsidRPr="00992026">
        <w:t xml:space="preserve">The surge in contracted demand and potential uncontracted demand. </w:t>
      </w:r>
    </w:p>
    <w:p w14:paraId="420CA655" w14:textId="0C0B5727" w:rsidR="00714EAE" w:rsidRPr="00992026" w:rsidRDefault="001448FC" w:rsidP="00E463BC">
      <w:pPr>
        <w:spacing w:line="480" w:lineRule="auto"/>
        <w:rPr>
          <w:rFonts w:cs="Times New Roman"/>
          <w:szCs w:val="24"/>
        </w:rPr>
      </w:pPr>
      <w:r w:rsidRPr="00992026">
        <w:rPr>
          <w:rFonts w:cs="Times New Roman"/>
          <w:b/>
          <w:bCs/>
          <w:szCs w:val="24"/>
        </w:rPr>
        <w:tab/>
      </w:r>
      <w:r w:rsidR="004F610E">
        <w:rPr>
          <w:rFonts w:cs="Times New Roman"/>
          <w:szCs w:val="24"/>
        </w:rPr>
        <w:t>AEP</w:t>
      </w:r>
      <w:r w:rsidR="00597116">
        <w:rPr>
          <w:rFonts w:cs="Times New Roman"/>
          <w:szCs w:val="24"/>
        </w:rPr>
        <w:t xml:space="preserve"> propose</w:t>
      </w:r>
      <w:r w:rsidR="00F97534">
        <w:rPr>
          <w:rFonts w:cs="Times New Roman"/>
          <w:szCs w:val="24"/>
        </w:rPr>
        <w:t xml:space="preserve">s new </w:t>
      </w:r>
      <w:r w:rsidR="00597116">
        <w:rPr>
          <w:rFonts w:cs="Times New Roman"/>
          <w:szCs w:val="24"/>
        </w:rPr>
        <w:t xml:space="preserve">tariffs to address </w:t>
      </w:r>
      <w:r w:rsidR="00D45167" w:rsidRPr="00992026">
        <w:rPr>
          <w:rFonts w:cs="Times New Roman"/>
          <w:szCs w:val="24"/>
        </w:rPr>
        <w:t xml:space="preserve">two possible scenarios </w:t>
      </w:r>
      <w:r w:rsidR="00597116">
        <w:rPr>
          <w:rFonts w:cs="Times New Roman"/>
          <w:szCs w:val="24"/>
        </w:rPr>
        <w:t xml:space="preserve">regarding </w:t>
      </w:r>
      <w:r w:rsidR="00D45167" w:rsidRPr="00992026">
        <w:rPr>
          <w:rFonts w:cs="Times New Roman"/>
          <w:szCs w:val="24"/>
        </w:rPr>
        <w:t xml:space="preserve">future energy </w:t>
      </w:r>
      <w:r w:rsidR="00597116">
        <w:rPr>
          <w:rFonts w:cs="Times New Roman"/>
          <w:szCs w:val="24"/>
        </w:rPr>
        <w:t xml:space="preserve">demand from </w:t>
      </w:r>
      <w:r w:rsidRPr="00992026">
        <w:rPr>
          <w:rFonts w:cs="Times New Roman"/>
          <w:szCs w:val="24"/>
        </w:rPr>
        <w:t>data</w:t>
      </w:r>
      <w:r w:rsidR="00D45167" w:rsidRPr="00992026">
        <w:rPr>
          <w:rFonts w:cs="Times New Roman"/>
          <w:szCs w:val="24"/>
        </w:rPr>
        <w:t xml:space="preserve"> center </w:t>
      </w:r>
      <w:r w:rsidR="00597116">
        <w:rPr>
          <w:rFonts w:cs="Times New Roman"/>
          <w:szCs w:val="24"/>
        </w:rPr>
        <w:t xml:space="preserve">customers in its service </w:t>
      </w:r>
      <w:r w:rsidR="00D45167" w:rsidRPr="00992026">
        <w:rPr>
          <w:rFonts w:cs="Times New Roman"/>
          <w:szCs w:val="24"/>
        </w:rPr>
        <w:t>territory</w:t>
      </w:r>
      <w:r w:rsidR="00E463BC" w:rsidRPr="00992026">
        <w:rPr>
          <w:rFonts w:cs="Times New Roman"/>
          <w:szCs w:val="24"/>
        </w:rPr>
        <w:t>.</w:t>
      </w:r>
      <w:r w:rsidR="00D45167" w:rsidRPr="00992026">
        <w:rPr>
          <w:rFonts w:cs="Times New Roman"/>
          <w:szCs w:val="24"/>
        </w:rPr>
        <w:t xml:space="preserve"> </w:t>
      </w:r>
    </w:p>
    <w:p w14:paraId="5CB08FC5" w14:textId="047AFA82" w:rsidR="00D45167" w:rsidRPr="008A57CD" w:rsidRDefault="001448FC" w:rsidP="008A57CD">
      <w:pPr>
        <w:pStyle w:val="ListParagraph"/>
        <w:numPr>
          <w:ilvl w:val="0"/>
          <w:numId w:val="2"/>
        </w:numPr>
        <w:ind w:left="1440" w:right="720" w:hanging="720"/>
        <w:rPr>
          <w:rFonts w:cs="Times New Roman"/>
          <w:szCs w:val="24"/>
        </w:rPr>
      </w:pPr>
      <w:r w:rsidRPr="00992026">
        <w:rPr>
          <w:rFonts w:cs="Times New Roman"/>
          <w:b/>
          <w:bCs/>
          <w:szCs w:val="24"/>
        </w:rPr>
        <w:t>Service data centers currently under contracts:</w:t>
      </w:r>
      <w:r w:rsidRPr="00992026">
        <w:rPr>
          <w:rFonts w:cs="Times New Roman"/>
          <w:szCs w:val="24"/>
        </w:rPr>
        <w:t xml:space="preserve"> AEP would serve the capacity needs of the data center customers AEP has </w:t>
      </w:r>
      <w:r w:rsidR="00F97534">
        <w:rPr>
          <w:rFonts w:cs="Times New Roman"/>
          <w:szCs w:val="24"/>
        </w:rPr>
        <w:t xml:space="preserve">already </w:t>
      </w:r>
      <w:r w:rsidRPr="00992026">
        <w:rPr>
          <w:rFonts w:cs="Times New Roman"/>
          <w:szCs w:val="24"/>
        </w:rPr>
        <w:t>signed to Letters of Agreements or Electric Service Agreements. In this scenario</w:t>
      </w:r>
      <w:r w:rsidR="00A70D18">
        <w:rPr>
          <w:rFonts w:cs="Times New Roman"/>
          <w:szCs w:val="24"/>
        </w:rPr>
        <w:t>,</w:t>
      </w:r>
      <w:r w:rsidRPr="00992026">
        <w:rPr>
          <w:rFonts w:cs="Times New Roman"/>
          <w:szCs w:val="24"/>
        </w:rPr>
        <w:t xml:space="preserve"> the load AEP would supply would more than </w:t>
      </w:r>
      <w:r w:rsidR="00503543" w:rsidRPr="00992026">
        <w:rPr>
          <w:rFonts w:cs="Times New Roman"/>
          <w:szCs w:val="24"/>
        </w:rPr>
        <w:t>double</w:t>
      </w:r>
      <w:r w:rsidRPr="00992026">
        <w:rPr>
          <w:rFonts w:cs="Times New Roman"/>
          <w:szCs w:val="24"/>
        </w:rPr>
        <w:t xml:space="preserve"> in central Ohio by 2030.</w:t>
      </w:r>
      <w:r>
        <w:rPr>
          <w:rStyle w:val="FootnoteReference"/>
          <w:rFonts w:cs="Times New Roman"/>
          <w:szCs w:val="24"/>
        </w:rPr>
        <w:footnoteReference w:id="4"/>
      </w:r>
      <w:r w:rsidRPr="00992026">
        <w:rPr>
          <w:rFonts w:cs="Times New Roman"/>
          <w:szCs w:val="24"/>
        </w:rPr>
        <w:t xml:space="preserve"> </w:t>
      </w:r>
      <w:r w:rsidR="00EA2454" w:rsidRPr="008A57CD">
        <w:rPr>
          <w:rFonts w:cs="Times New Roman"/>
          <w:szCs w:val="24"/>
        </w:rPr>
        <w:t xml:space="preserve">Significant transmission investments will be required for </w:t>
      </w:r>
      <w:r w:rsidR="004F610E" w:rsidRPr="008A57CD">
        <w:rPr>
          <w:rFonts w:cs="Times New Roman"/>
          <w:szCs w:val="24"/>
        </w:rPr>
        <w:t>AEP</w:t>
      </w:r>
      <w:r w:rsidR="00EA2454" w:rsidRPr="008A57CD">
        <w:rPr>
          <w:rFonts w:cs="Times New Roman"/>
          <w:szCs w:val="24"/>
        </w:rPr>
        <w:t xml:space="preserve"> to continue to provide safe and reliable electricity to existing customers and customers with signed agreements for service commencing </w:t>
      </w:r>
      <w:proofErr w:type="gramStart"/>
      <w:r w:rsidR="00EA2454" w:rsidRPr="008A57CD">
        <w:rPr>
          <w:rFonts w:cs="Times New Roman"/>
          <w:szCs w:val="24"/>
        </w:rPr>
        <w:t>in the near future</w:t>
      </w:r>
      <w:proofErr w:type="gramEnd"/>
      <w:r w:rsidR="00EA2454" w:rsidRPr="008A57CD">
        <w:rPr>
          <w:rFonts w:cs="Times New Roman"/>
          <w:szCs w:val="24"/>
        </w:rPr>
        <w:t>.</w:t>
      </w:r>
      <w:r>
        <w:rPr>
          <w:rStyle w:val="FootnoteReference"/>
          <w:rFonts w:cs="Times New Roman"/>
          <w:szCs w:val="24"/>
        </w:rPr>
        <w:footnoteReference w:id="5"/>
      </w:r>
      <w:r w:rsidR="00EA2454" w:rsidRPr="008A57CD">
        <w:rPr>
          <w:rFonts w:cs="Times New Roman"/>
          <w:szCs w:val="24"/>
        </w:rPr>
        <w:t xml:space="preserve"> </w:t>
      </w:r>
      <w:r w:rsidR="004F610E" w:rsidRPr="008A57CD">
        <w:rPr>
          <w:rFonts w:cs="Times New Roman"/>
          <w:szCs w:val="24"/>
        </w:rPr>
        <w:t>AEP</w:t>
      </w:r>
      <w:r w:rsidR="00EA2454" w:rsidRPr="008A57CD">
        <w:rPr>
          <w:rFonts w:cs="Times New Roman"/>
          <w:szCs w:val="24"/>
        </w:rPr>
        <w:t xml:space="preserve"> has begun this process by including in its load forecast to PJM Interconnection</w:t>
      </w:r>
      <w:r w:rsidR="00A70D18" w:rsidRPr="008A57CD">
        <w:rPr>
          <w:rFonts w:cs="Times New Roman"/>
          <w:szCs w:val="24"/>
        </w:rPr>
        <w:t>,</w:t>
      </w:r>
      <w:r w:rsidR="00EA2454" w:rsidRPr="008A57CD">
        <w:rPr>
          <w:rFonts w:cs="Times New Roman"/>
          <w:szCs w:val="24"/>
        </w:rPr>
        <w:t xml:space="preserve"> LLC (PJM) demand for which it has signed agreements.</w:t>
      </w:r>
      <w:r>
        <w:rPr>
          <w:rStyle w:val="FootnoteReference"/>
          <w:rFonts w:cs="Times New Roman"/>
          <w:szCs w:val="24"/>
        </w:rPr>
        <w:footnoteReference w:id="6"/>
      </w:r>
      <w:r w:rsidR="00AB0A6D">
        <w:rPr>
          <w:rFonts w:cs="Times New Roman"/>
          <w:szCs w:val="24"/>
        </w:rPr>
        <w:t xml:space="preserve"> </w:t>
      </w:r>
    </w:p>
    <w:p w14:paraId="78595E04" w14:textId="77777777" w:rsidR="00EA2454" w:rsidRPr="00992026" w:rsidRDefault="00EA2454" w:rsidP="002638CA">
      <w:pPr>
        <w:pStyle w:val="ListParagraph"/>
        <w:ind w:left="1440" w:right="720" w:hanging="720"/>
        <w:rPr>
          <w:rFonts w:cs="Times New Roman"/>
          <w:szCs w:val="24"/>
        </w:rPr>
      </w:pPr>
    </w:p>
    <w:p w14:paraId="67DFDEAC" w14:textId="2DF8122E" w:rsidR="00714EAE" w:rsidRPr="002638CA" w:rsidRDefault="001448FC" w:rsidP="002638CA">
      <w:pPr>
        <w:pStyle w:val="ListParagraph"/>
        <w:numPr>
          <w:ilvl w:val="0"/>
          <w:numId w:val="2"/>
        </w:numPr>
        <w:ind w:left="1440" w:right="720" w:hanging="720"/>
        <w:rPr>
          <w:rFonts w:cs="Times New Roman"/>
          <w:b/>
          <w:bCs/>
          <w:szCs w:val="24"/>
        </w:rPr>
      </w:pPr>
      <w:r w:rsidRPr="00992026">
        <w:rPr>
          <w:rFonts w:cs="Times New Roman"/>
          <w:b/>
          <w:bCs/>
          <w:szCs w:val="24"/>
        </w:rPr>
        <w:t xml:space="preserve">Service data centers </w:t>
      </w:r>
      <w:r w:rsidR="00EA2454" w:rsidRPr="00992026">
        <w:rPr>
          <w:rFonts w:cs="Times New Roman"/>
          <w:b/>
          <w:bCs/>
          <w:szCs w:val="24"/>
        </w:rPr>
        <w:t>that request</w:t>
      </w:r>
      <w:r w:rsidR="00AB0A6D">
        <w:rPr>
          <w:rFonts w:cs="Times New Roman"/>
          <w:b/>
          <w:bCs/>
          <w:szCs w:val="24"/>
        </w:rPr>
        <w:t xml:space="preserve"> large</w:t>
      </w:r>
      <w:r w:rsidR="00EA2454" w:rsidRPr="00992026">
        <w:rPr>
          <w:rFonts w:cs="Times New Roman"/>
          <w:b/>
          <w:bCs/>
          <w:szCs w:val="24"/>
        </w:rPr>
        <w:t xml:space="preserve"> future </w:t>
      </w:r>
      <w:r w:rsidR="00AB0A6D">
        <w:rPr>
          <w:rFonts w:cs="Times New Roman"/>
          <w:b/>
          <w:bCs/>
          <w:szCs w:val="24"/>
        </w:rPr>
        <w:t>electricity needs</w:t>
      </w:r>
      <w:r w:rsidR="00EA2454" w:rsidRPr="00992026">
        <w:rPr>
          <w:rFonts w:cs="Times New Roman"/>
          <w:b/>
          <w:bCs/>
          <w:szCs w:val="24"/>
        </w:rPr>
        <w:t xml:space="preserve">: </w:t>
      </w:r>
      <w:r w:rsidR="00EA2454" w:rsidRPr="00992026">
        <w:rPr>
          <w:rFonts w:cs="Times New Roman"/>
          <w:szCs w:val="24"/>
        </w:rPr>
        <w:t>The greater extreme is if AEP were to plan to serve the capacity needs of non-contracted data center</w:t>
      </w:r>
      <w:r w:rsidR="00E463BC" w:rsidRPr="00992026">
        <w:rPr>
          <w:rFonts w:cs="Times New Roman"/>
          <w:szCs w:val="24"/>
        </w:rPr>
        <w:t>s</w:t>
      </w:r>
      <w:r w:rsidR="00EA2454" w:rsidRPr="00992026">
        <w:rPr>
          <w:rFonts w:cs="Times New Roman"/>
          <w:szCs w:val="24"/>
        </w:rPr>
        <w:t xml:space="preserve"> in addition to the d</w:t>
      </w:r>
      <w:r w:rsidR="00E463BC" w:rsidRPr="00992026">
        <w:rPr>
          <w:rFonts w:cs="Times New Roman"/>
          <w:szCs w:val="24"/>
        </w:rPr>
        <w:t>ata centers</w:t>
      </w:r>
      <w:r w:rsidR="008A57CD">
        <w:rPr>
          <w:rFonts w:cs="Times New Roman"/>
          <w:szCs w:val="24"/>
        </w:rPr>
        <w:t xml:space="preserve"> currently under contract</w:t>
      </w:r>
      <w:r w:rsidR="00EA2454" w:rsidRPr="00992026">
        <w:rPr>
          <w:rFonts w:cs="Times New Roman"/>
          <w:szCs w:val="24"/>
        </w:rPr>
        <w:t>.</w:t>
      </w:r>
      <w:r w:rsidR="007B13B9">
        <w:rPr>
          <w:rFonts w:cs="Times New Roman"/>
          <w:szCs w:val="24"/>
        </w:rPr>
        <w:t xml:space="preserve"> </w:t>
      </w:r>
      <w:r w:rsidR="00E463BC" w:rsidRPr="00992026">
        <w:rPr>
          <w:rFonts w:cs="Times New Roman"/>
          <w:szCs w:val="24"/>
        </w:rPr>
        <w:t>Investments for c</w:t>
      </w:r>
      <w:r w:rsidR="00EA2454" w:rsidRPr="00992026">
        <w:rPr>
          <w:rFonts w:cs="Times New Roman"/>
          <w:szCs w:val="24"/>
        </w:rPr>
        <w:t xml:space="preserve">ontracted demand </w:t>
      </w:r>
      <w:r w:rsidR="00E463BC" w:rsidRPr="00992026">
        <w:rPr>
          <w:rFonts w:cs="Times New Roman"/>
          <w:szCs w:val="24"/>
        </w:rPr>
        <w:t>are</w:t>
      </w:r>
      <w:r w:rsidR="00EA2454" w:rsidRPr="00992026">
        <w:rPr>
          <w:rFonts w:cs="Times New Roman"/>
          <w:szCs w:val="24"/>
        </w:rPr>
        <w:t xml:space="preserve"> a fraction of what investments would be required to accommodate the more than 30</w:t>
      </w:r>
      <w:r w:rsidR="00A70D18">
        <w:rPr>
          <w:rFonts w:cs="Times New Roman"/>
          <w:szCs w:val="24"/>
        </w:rPr>
        <w:t>,</w:t>
      </w:r>
      <w:r w:rsidR="00EA2454" w:rsidRPr="00992026">
        <w:rPr>
          <w:rFonts w:cs="Times New Roman"/>
          <w:szCs w:val="24"/>
        </w:rPr>
        <w:t>000 MW of requested load that has not been included in any PJM forecasts.</w:t>
      </w:r>
      <w:r>
        <w:rPr>
          <w:rStyle w:val="FootnoteReference"/>
          <w:rFonts w:cs="Times New Roman"/>
          <w:szCs w:val="24"/>
        </w:rPr>
        <w:footnoteReference w:id="7"/>
      </w:r>
      <w:r w:rsidR="00263B29" w:rsidRPr="00992026">
        <w:rPr>
          <w:rFonts w:cs="Times New Roman"/>
          <w:szCs w:val="24"/>
        </w:rPr>
        <w:t xml:space="preserve"> </w:t>
      </w:r>
      <w:r w:rsidR="004B5A72" w:rsidRPr="00992026">
        <w:rPr>
          <w:rFonts w:cs="Times New Roman"/>
          <w:szCs w:val="24"/>
        </w:rPr>
        <w:t>Furthermore</w:t>
      </w:r>
      <w:r w:rsidR="00A70D18">
        <w:rPr>
          <w:rFonts w:cs="Times New Roman"/>
          <w:szCs w:val="24"/>
        </w:rPr>
        <w:t>,</w:t>
      </w:r>
      <w:r w:rsidR="004B5A72" w:rsidRPr="00992026">
        <w:rPr>
          <w:rFonts w:cs="Times New Roman"/>
          <w:szCs w:val="24"/>
        </w:rPr>
        <w:t xml:space="preserve"> </w:t>
      </w:r>
      <w:bookmarkStart w:id="1" w:name="_Hlk168488503"/>
      <w:r w:rsidR="004B5A72" w:rsidRPr="00992026">
        <w:rPr>
          <w:rFonts w:cs="Times New Roman"/>
          <w:szCs w:val="24"/>
        </w:rPr>
        <w:t xml:space="preserve">120 miles of 765 kV line </w:t>
      </w:r>
      <w:bookmarkEnd w:id="1"/>
      <w:r w:rsidR="004B5A72" w:rsidRPr="00992026">
        <w:rPr>
          <w:rFonts w:cs="Times New Roman"/>
          <w:szCs w:val="24"/>
        </w:rPr>
        <w:t>might be required to deliver that load</w:t>
      </w:r>
      <w:r w:rsidR="00A70D18">
        <w:rPr>
          <w:rFonts w:cs="Times New Roman"/>
          <w:szCs w:val="24"/>
        </w:rPr>
        <w:t>,</w:t>
      </w:r>
      <w:r w:rsidR="004B5A72" w:rsidRPr="00992026">
        <w:rPr>
          <w:rFonts w:cs="Times New Roman"/>
          <w:szCs w:val="24"/>
        </w:rPr>
        <w:t xml:space="preserve"> which would take approximately 7-10 years to build and could cost hundreds of millions of dollars.</w:t>
      </w:r>
      <w:r>
        <w:rPr>
          <w:rStyle w:val="FootnoteReference"/>
          <w:rFonts w:cs="Times New Roman"/>
          <w:szCs w:val="24"/>
        </w:rPr>
        <w:footnoteReference w:id="8"/>
      </w:r>
      <w:r w:rsidR="004B5A72" w:rsidRPr="00992026">
        <w:rPr>
          <w:rFonts w:cs="Times New Roman"/>
          <w:szCs w:val="24"/>
        </w:rPr>
        <w:t xml:space="preserve"> </w:t>
      </w:r>
      <w:r w:rsidR="00263B29" w:rsidRPr="00992026">
        <w:rPr>
          <w:rFonts w:cs="Times New Roman"/>
          <w:szCs w:val="24"/>
        </w:rPr>
        <w:t xml:space="preserve">This is an exponential growth in load </w:t>
      </w:r>
      <w:r w:rsidR="002879C3" w:rsidRPr="00992026">
        <w:rPr>
          <w:rFonts w:cs="Times New Roman"/>
          <w:szCs w:val="24"/>
        </w:rPr>
        <w:t xml:space="preserve">and investment </w:t>
      </w:r>
      <w:r w:rsidR="00263B29" w:rsidRPr="00992026">
        <w:rPr>
          <w:rFonts w:cs="Times New Roman"/>
          <w:szCs w:val="24"/>
        </w:rPr>
        <w:t xml:space="preserve">fueled entirely by </w:t>
      </w:r>
      <w:r w:rsidR="008A57CD">
        <w:rPr>
          <w:rFonts w:cs="Times New Roman"/>
          <w:szCs w:val="24"/>
        </w:rPr>
        <w:t>future, uncommitted</w:t>
      </w:r>
      <w:r w:rsidR="00263B29" w:rsidRPr="00992026">
        <w:rPr>
          <w:rFonts w:cs="Times New Roman"/>
          <w:szCs w:val="24"/>
        </w:rPr>
        <w:t xml:space="preserve"> d</w:t>
      </w:r>
      <w:r w:rsidR="00E463BC" w:rsidRPr="00992026">
        <w:rPr>
          <w:rFonts w:cs="Times New Roman"/>
          <w:szCs w:val="24"/>
        </w:rPr>
        <w:t>ata centers</w:t>
      </w:r>
      <w:r w:rsidR="00263B29" w:rsidRPr="00992026">
        <w:rPr>
          <w:rFonts w:cs="Times New Roman"/>
          <w:szCs w:val="24"/>
        </w:rPr>
        <w:t xml:space="preserve">. </w:t>
      </w:r>
    </w:p>
    <w:p w14:paraId="127A018A" w14:textId="77777777" w:rsidR="002638CA" w:rsidRPr="002638CA" w:rsidRDefault="002638CA" w:rsidP="002638CA">
      <w:pPr>
        <w:pStyle w:val="ListParagraph"/>
        <w:rPr>
          <w:rFonts w:cs="Times New Roman"/>
          <w:b/>
          <w:bCs/>
          <w:szCs w:val="24"/>
        </w:rPr>
      </w:pPr>
    </w:p>
    <w:p w14:paraId="72CBE0BF" w14:textId="77777777" w:rsidR="002638CA" w:rsidRPr="002638CA" w:rsidRDefault="002638CA" w:rsidP="002638CA">
      <w:pPr>
        <w:ind w:right="720"/>
        <w:rPr>
          <w:rFonts w:cs="Times New Roman"/>
          <w:b/>
          <w:bCs/>
          <w:szCs w:val="24"/>
        </w:rPr>
      </w:pPr>
    </w:p>
    <w:p w14:paraId="58CEF01D" w14:textId="0CFBABBC" w:rsidR="00503543" w:rsidRPr="00992026" w:rsidRDefault="001448FC" w:rsidP="00084B64">
      <w:pPr>
        <w:spacing w:line="480" w:lineRule="auto"/>
        <w:ind w:firstLine="720"/>
        <w:rPr>
          <w:rFonts w:cs="Times New Roman"/>
          <w:szCs w:val="24"/>
        </w:rPr>
      </w:pPr>
      <w:r>
        <w:rPr>
          <w:rFonts w:cs="Times New Roman"/>
          <w:szCs w:val="24"/>
        </w:rPr>
        <w:lastRenderedPageBreak/>
        <w:t>If</w:t>
      </w:r>
      <w:r w:rsidR="00E463BC" w:rsidRPr="00992026">
        <w:rPr>
          <w:rFonts w:cs="Times New Roman"/>
          <w:szCs w:val="24"/>
        </w:rPr>
        <w:t xml:space="preserve"> AEP were to provide solely for </w:t>
      </w:r>
      <w:r w:rsidR="00F624DF">
        <w:rPr>
          <w:rFonts w:cs="Times New Roman"/>
          <w:szCs w:val="24"/>
        </w:rPr>
        <w:t xml:space="preserve">current, </w:t>
      </w:r>
      <w:r w:rsidR="00E463BC" w:rsidRPr="00992026">
        <w:rPr>
          <w:rFonts w:cs="Times New Roman"/>
          <w:szCs w:val="24"/>
        </w:rPr>
        <w:t>contracted data center demand</w:t>
      </w:r>
      <w:r w:rsidR="00A70D18">
        <w:rPr>
          <w:rFonts w:cs="Times New Roman"/>
          <w:szCs w:val="24"/>
        </w:rPr>
        <w:t>,</w:t>
      </w:r>
      <w:r w:rsidR="002B5462">
        <w:rPr>
          <w:rFonts w:cs="Times New Roman"/>
          <w:szCs w:val="24"/>
        </w:rPr>
        <w:t xml:space="preserve"> AEP claims that </w:t>
      </w:r>
      <w:r w:rsidR="00E463BC" w:rsidRPr="00992026">
        <w:rPr>
          <w:rFonts w:cs="Times New Roman"/>
          <w:szCs w:val="24"/>
        </w:rPr>
        <w:t xml:space="preserve">it could meet </w:t>
      </w:r>
      <w:r w:rsidR="006F43D2">
        <w:rPr>
          <w:rFonts w:cs="Times New Roman"/>
          <w:szCs w:val="24"/>
        </w:rPr>
        <w:t>the contracted demand t</w:t>
      </w:r>
      <w:r w:rsidR="00084B64" w:rsidRPr="00992026">
        <w:rPr>
          <w:rFonts w:cs="Times New Roman"/>
          <w:szCs w:val="24"/>
        </w:rPr>
        <w:t>hrough the</w:t>
      </w:r>
      <w:r w:rsidR="005319EA">
        <w:rPr>
          <w:rFonts w:cs="Times New Roman"/>
          <w:szCs w:val="24"/>
        </w:rPr>
        <w:t xml:space="preserve"> transmission planning</w:t>
      </w:r>
      <w:r w:rsidR="00084B64" w:rsidRPr="00992026">
        <w:rPr>
          <w:rFonts w:cs="Times New Roman"/>
          <w:szCs w:val="24"/>
        </w:rPr>
        <w:t xml:space="preserve"> processes that it has already begun. However</w:t>
      </w:r>
      <w:r w:rsidR="00A70D18">
        <w:rPr>
          <w:rFonts w:cs="Times New Roman"/>
          <w:szCs w:val="24"/>
        </w:rPr>
        <w:t>,</w:t>
      </w:r>
      <w:r w:rsidR="00084B64" w:rsidRPr="00992026">
        <w:rPr>
          <w:rFonts w:cs="Times New Roman"/>
          <w:szCs w:val="24"/>
        </w:rPr>
        <w:t xml:space="preserve"> </w:t>
      </w:r>
      <w:r w:rsidR="005319EA">
        <w:rPr>
          <w:rFonts w:cs="Times New Roman"/>
          <w:szCs w:val="24"/>
        </w:rPr>
        <w:t xml:space="preserve">for </w:t>
      </w:r>
      <w:r w:rsidR="00084B64" w:rsidRPr="00992026">
        <w:rPr>
          <w:rFonts w:cs="Times New Roman"/>
          <w:szCs w:val="24"/>
        </w:rPr>
        <w:t>AEP to serve the</w:t>
      </w:r>
      <w:r w:rsidR="005319EA">
        <w:rPr>
          <w:rFonts w:cs="Times New Roman"/>
          <w:szCs w:val="24"/>
        </w:rPr>
        <w:t xml:space="preserve"> anticipated</w:t>
      </w:r>
      <w:r w:rsidR="00084B64" w:rsidRPr="00992026">
        <w:rPr>
          <w:rFonts w:cs="Times New Roman"/>
          <w:szCs w:val="24"/>
        </w:rPr>
        <w:t xml:space="preserve"> exponential growth in </w:t>
      </w:r>
      <w:r w:rsidR="005319EA">
        <w:rPr>
          <w:rFonts w:cs="Times New Roman"/>
          <w:szCs w:val="24"/>
        </w:rPr>
        <w:t xml:space="preserve">demand from </w:t>
      </w:r>
      <w:r w:rsidR="00F624DF">
        <w:rPr>
          <w:rFonts w:cs="Times New Roman"/>
          <w:szCs w:val="24"/>
        </w:rPr>
        <w:t>new</w:t>
      </w:r>
      <w:r w:rsidR="00084B64" w:rsidRPr="00992026">
        <w:rPr>
          <w:rFonts w:cs="Times New Roman"/>
          <w:szCs w:val="24"/>
        </w:rPr>
        <w:t xml:space="preserve"> data centers</w:t>
      </w:r>
      <w:r w:rsidR="00A70D18">
        <w:rPr>
          <w:rFonts w:cs="Times New Roman"/>
          <w:szCs w:val="24"/>
        </w:rPr>
        <w:t>,</w:t>
      </w:r>
      <w:r w:rsidR="004B5A72" w:rsidRPr="00992026">
        <w:rPr>
          <w:rFonts w:cs="Times New Roman"/>
          <w:szCs w:val="24"/>
        </w:rPr>
        <w:t xml:space="preserve"> an additional 30</w:t>
      </w:r>
      <w:r w:rsidR="00A70D18">
        <w:rPr>
          <w:rFonts w:cs="Times New Roman"/>
          <w:szCs w:val="24"/>
        </w:rPr>
        <w:t>,</w:t>
      </w:r>
      <w:r w:rsidR="004B5A72" w:rsidRPr="00992026">
        <w:rPr>
          <w:rFonts w:cs="Times New Roman"/>
          <w:szCs w:val="24"/>
        </w:rPr>
        <w:t>000 MW</w:t>
      </w:r>
      <w:r w:rsidR="00084B64" w:rsidRPr="00992026">
        <w:rPr>
          <w:rFonts w:cs="Times New Roman"/>
          <w:szCs w:val="24"/>
        </w:rPr>
        <w:t xml:space="preserve"> </w:t>
      </w:r>
      <w:r w:rsidR="004B5A72" w:rsidRPr="00992026">
        <w:rPr>
          <w:rFonts w:cs="Times New Roman"/>
          <w:szCs w:val="24"/>
        </w:rPr>
        <w:t xml:space="preserve">of load </w:t>
      </w:r>
      <w:r w:rsidR="00AB0A6D">
        <w:rPr>
          <w:rFonts w:cs="Times New Roman"/>
          <w:szCs w:val="24"/>
        </w:rPr>
        <w:t xml:space="preserve">is predicted </w:t>
      </w:r>
      <w:r w:rsidR="004B5A72" w:rsidRPr="00992026">
        <w:rPr>
          <w:rFonts w:cs="Times New Roman"/>
          <w:szCs w:val="24"/>
        </w:rPr>
        <w:t>and hundreds of millions of dollars</w:t>
      </w:r>
      <w:r w:rsidR="00F624DF">
        <w:rPr>
          <w:rFonts w:cs="Times New Roman"/>
          <w:szCs w:val="24"/>
        </w:rPr>
        <w:t xml:space="preserve"> in transmission investment will likely</w:t>
      </w:r>
      <w:r w:rsidR="004B5A72" w:rsidRPr="00992026">
        <w:rPr>
          <w:rFonts w:cs="Times New Roman"/>
          <w:szCs w:val="24"/>
        </w:rPr>
        <w:t xml:space="preserve"> be required.</w:t>
      </w:r>
      <w:r>
        <w:rPr>
          <w:rStyle w:val="FootnoteReference"/>
          <w:rFonts w:cs="Times New Roman"/>
          <w:szCs w:val="24"/>
        </w:rPr>
        <w:footnoteReference w:id="9"/>
      </w:r>
      <w:r w:rsidR="004B5A72" w:rsidRPr="00992026">
        <w:rPr>
          <w:rFonts w:cs="Times New Roman"/>
          <w:szCs w:val="24"/>
        </w:rPr>
        <w:t xml:space="preserve"> </w:t>
      </w:r>
    </w:p>
    <w:p w14:paraId="7706DA7A" w14:textId="30C88560" w:rsidR="00AB0A6D" w:rsidRDefault="001448FC" w:rsidP="00084B64">
      <w:pPr>
        <w:spacing w:line="480" w:lineRule="auto"/>
        <w:ind w:firstLine="720"/>
        <w:rPr>
          <w:rFonts w:cs="Times New Roman"/>
          <w:szCs w:val="24"/>
        </w:rPr>
      </w:pPr>
      <w:r w:rsidRPr="00992026">
        <w:rPr>
          <w:rFonts w:cs="Times New Roman"/>
          <w:szCs w:val="24"/>
        </w:rPr>
        <w:t xml:space="preserve">To study the implications of serving the </w:t>
      </w:r>
      <w:r w:rsidR="00F8593B">
        <w:rPr>
          <w:rFonts w:cs="Times New Roman"/>
          <w:szCs w:val="24"/>
        </w:rPr>
        <w:t>new</w:t>
      </w:r>
      <w:r w:rsidR="00BA34A5">
        <w:rPr>
          <w:rFonts w:cs="Times New Roman"/>
          <w:szCs w:val="24"/>
        </w:rPr>
        <w:t xml:space="preserve"> </w:t>
      </w:r>
      <w:r>
        <w:rPr>
          <w:rFonts w:cs="Times New Roman"/>
          <w:szCs w:val="24"/>
        </w:rPr>
        <w:t>data center</w:t>
      </w:r>
      <w:r w:rsidRPr="00992026">
        <w:rPr>
          <w:rFonts w:cs="Times New Roman"/>
          <w:szCs w:val="24"/>
        </w:rPr>
        <w:t xml:space="preserve"> load</w:t>
      </w:r>
      <w:r w:rsidR="00A70D18">
        <w:rPr>
          <w:rFonts w:cs="Times New Roman"/>
          <w:szCs w:val="24"/>
        </w:rPr>
        <w:t>,</w:t>
      </w:r>
      <w:r w:rsidRPr="00992026">
        <w:rPr>
          <w:rFonts w:cs="Times New Roman"/>
          <w:szCs w:val="24"/>
        </w:rPr>
        <w:t xml:space="preserve"> </w:t>
      </w:r>
      <w:r w:rsidR="004F610E">
        <w:rPr>
          <w:rFonts w:cs="Times New Roman"/>
          <w:szCs w:val="24"/>
        </w:rPr>
        <w:t>AEP</w:t>
      </w:r>
      <w:r w:rsidRPr="00992026">
        <w:rPr>
          <w:rFonts w:cs="Times New Roman"/>
          <w:szCs w:val="24"/>
        </w:rPr>
        <w:t xml:space="preserve"> pause</w:t>
      </w:r>
      <w:r w:rsidR="005319EA">
        <w:rPr>
          <w:rFonts w:cs="Times New Roman"/>
          <w:szCs w:val="24"/>
        </w:rPr>
        <w:t>d</w:t>
      </w:r>
      <w:r w:rsidRPr="00992026">
        <w:rPr>
          <w:rFonts w:cs="Times New Roman"/>
          <w:szCs w:val="24"/>
        </w:rPr>
        <w:t xml:space="preserve"> taking new service requests in </w:t>
      </w:r>
      <w:r w:rsidR="005319EA">
        <w:rPr>
          <w:rFonts w:cs="Times New Roman"/>
          <w:szCs w:val="24"/>
        </w:rPr>
        <w:t>c</w:t>
      </w:r>
      <w:r w:rsidRPr="00992026">
        <w:rPr>
          <w:rFonts w:cs="Times New Roman"/>
          <w:szCs w:val="24"/>
        </w:rPr>
        <w:t xml:space="preserve">entral Ohio from data center customers and </w:t>
      </w:r>
      <w:r>
        <w:rPr>
          <w:rFonts w:cs="Times New Roman"/>
          <w:szCs w:val="24"/>
        </w:rPr>
        <w:t xml:space="preserve">stopped </w:t>
      </w:r>
      <w:r w:rsidRPr="00992026">
        <w:rPr>
          <w:rFonts w:cs="Times New Roman"/>
          <w:szCs w:val="24"/>
        </w:rPr>
        <w:t xml:space="preserve">executing </w:t>
      </w:r>
      <w:r>
        <w:rPr>
          <w:rFonts w:cs="Times New Roman"/>
          <w:szCs w:val="24"/>
        </w:rPr>
        <w:t xml:space="preserve">new electric service </w:t>
      </w:r>
      <w:r w:rsidRPr="00992026">
        <w:rPr>
          <w:rFonts w:cs="Times New Roman"/>
          <w:szCs w:val="24"/>
        </w:rPr>
        <w:t xml:space="preserve">agreements. </w:t>
      </w:r>
      <w:r w:rsidR="008A57CD">
        <w:rPr>
          <w:rFonts w:cs="Times New Roman"/>
          <w:szCs w:val="24"/>
        </w:rPr>
        <w:t xml:space="preserve">That was a good thing. </w:t>
      </w:r>
    </w:p>
    <w:p w14:paraId="7E24750B" w14:textId="21A878B4" w:rsidR="007B13B9" w:rsidRPr="002B5462" w:rsidRDefault="001448FC" w:rsidP="002B5462">
      <w:pPr>
        <w:spacing w:line="480" w:lineRule="auto"/>
        <w:ind w:firstLine="720"/>
        <w:rPr>
          <w:rFonts w:cs="Times New Roman"/>
          <w:szCs w:val="24"/>
        </w:rPr>
      </w:pPr>
      <w:r>
        <w:rPr>
          <w:rFonts w:cs="Times New Roman"/>
          <w:szCs w:val="24"/>
        </w:rPr>
        <w:t xml:space="preserve"> </w:t>
      </w:r>
      <w:r w:rsidR="00503543" w:rsidRPr="00992026">
        <w:rPr>
          <w:rFonts w:cs="Times New Roman"/>
          <w:szCs w:val="24"/>
        </w:rPr>
        <w:t>As a result</w:t>
      </w:r>
      <w:r w:rsidR="0033034D" w:rsidRPr="00992026">
        <w:rPr>
          <w:rFonts w:cs="Times New Roman"/>
          <w:szCs w:val="24"/>
        </w:rPr>
        <w:t xml:space="preserve"> of</w:t>
      </w:r>
      <w:r w:rsidR="00503543" w:rsidRPr="00992026">
        <w:rPr>
          <w:rFonts w:cs="Times New Roman"/>
          <w:szCs w:val="24"/>
        </w:rPr>
        <w:t xml:space="preserve"> its studies</w:t>
      </w:r>
      <w:r w:rsidR="00A70D18">
        <w:rPr>
          <w:rFonts w:cs="Times New Roman"/>
          <w:szCs w:val="24"/>
        </w:rPr>
        <w:t>,</w:t>
      </w:r>
      <w:r w:rsidR="00503543" w:rsidRPr="00992026">
        <w:rPr>
          <w:rFonts w:cs="Times New Roman"/>
          <w:szCs w:val="24"/>
        </w:rPr>
        <w:t xml:space="preserve"> AEP </w:t>
      </w:r>
      <w:r w:rsidR="00BA34A5">
        <w:rPr>
          <w:rFonts w:cs="Times New Roman"/>
          <w:szCs w:val="24"/>
        </w:rPr>
        <w:t xml:space="preserve">concluded </w:t>
      </w:r>
      <w:r w:rsidR="00503543" w:rsidRPr="00992026">
        <w:rPr>
          <w:rFonts w:cs="Times New Roman"/>
          <w:szCs w:val="24"/>
        </w:rPr>
        <w:t xml:space="preserve">that an updated set of terms and conditions for retail service to data center customers is needed </w:t>
      </w:r>
      <w:r w:rsidR="00BA34A5">
        <w:rPr>
          <w:rFonts w:cs="Times New Roman"/>
          <w:szCs w:val="24"/>
        </w:rPr>
        <w:t xml:space="preserve">before moving </w:t>
      </w:r>
      <w:r w:rsidR="00503543" w:rsidRPr="00992026">
        <w:rPr>
          <w:rFonts w:cs="Times New Roman"/>
          <w:szCs w:val="24"/>
        </w:rPr>
        <w:t>forward with capacity expansion plans</w:t>
      </w:r>
      <w:r>
        <w:rPr>
          <w:rFonts w:cs="Times New Roman"/>
          <w:szCs w:val="24"/>
        </w:rPr>
        <w:t>.</w:t>
      </w:r>
      <w:r w:rsidR="00503543" w:rsidRPr="00992026">
        <w:rPr>
          <w:rFonts w:cs="Times New Roman"/>
          <w:szCs w:val="24"/>
        </w:rPr>
        <w:t xml:space="preserve"> AEP </w:t>
      </w:r>
      <w:r w:rsidR="0033034D" w:rsidRPr="00992026">
        <w:rPr>
          <w:rFonts w:cs="Times New Roman"/>
          <w:szCs w:val="24"/>
        </w:rPr>
        <w:t xml:space="preserve">wants to utilize </w:t>
      </w:r>
      <w:r w:rsidR="00AF52FA">
        <w:rPr>
          <w:rFonts w:cs="Times New Roman"/>
          <w:szCs w:val="24"/>
        </w:rPr>
        <w:t xml:space="preserve">separate </w:t>
      </w:r>
      <w:r w:rsidR="0033034D" w:rsidRPr="00992026">
        <w:rPr>
          <w:rFonts w:cs="Times New Roman"/>
          <w:szCs w:val="24"/>
        </w:rPr>
        <w:t xml:space="preserve">tariffs to </w:t>
      </w:r>
      <w:r w:rsidR="00BA34A5">
        <w:rPr>
          <w:rFonts w:cs="Times New Roman"/>
          <w:szCs w:val="24"/>
        </w:rPr>
        <w:t>set th</w:t>
      </w:r>
      <w:r w:rsidR="0033034D" w:rsidRPr="00992026">
        <w:rPr>
          <w:rFonts w:cs="Times New Roman"/>
          <w:szCs w:val="24"/>
        </w:rPr>
        <w:t xml:space="preserve">e </w:t>
      </w:r>
      <w:r w:rsidR="00BA34A5">
        <w:rPr>
          <w:rFonts w:cs="Times New Roman"/>
          <w:szCs w:val="24"/>
        </w:rPr>
        <w:t xml:space="preserve">terms of service for </w:t>
      </w:r>
      <w:r w:rsidR="0033034D" w:rsidRPr="00992026">
        <w:rPr>
          <w:rFonts w:cs="Times New Roman"/>
          <w:szCs w:val="24"/>
        </w:rPr>
        <w:t xml:space="preserve">data centers. </w:t>
      </w:r>
      <w:r w:rsidR="00AA47E0" w:rsidRPr="00992026">
        <w:rPr>
          <w:rFonts w:cs="Times New Roman"/>
          <w:szCs w:val="24"/>
        </w:rPr>
        <w:t>The new proposed tariffs are meant to protect AEP</w:t>
      </w:r>
      <w:r w:rsidR="005A3993">
        <w:rPr>
          <w:rFonts w:cs="Times New Roman"/>
          <w:szCs w:val="24"/>
        </w:rPr>
        <w:t xml:space="preserve"> and its other customers</w:t>
      </w:r>
      <w:r w:rsidR="00AA47E0" w:rsidRPr="00992026">
        <w:rPr>
          <w:rFonts w:cs="Times New Roman"/>
          <w:szCs w:val="24"/>
        </w:rPr>
        <w:t xml:space="preserve"> from </w:t>
      </w:r>
      <w:r w:rsidR="00AE58F2">
        <w:rPr>
          <w:rFonts w:cs="Times New Roman"/>
          <w:szCs w:val="24"/>
        </w:rPr>
        <w:t xml:space="preserve">the risk of </w:t>
      </w:r>
      <w:r w:rsidR="004F610E">
        <w:rPr>
          <w:rFonts w:cs="Times New Roman"/>
          <w:szCs w:val="24"/>
        </w:rPr>
        <w:t xml:space="preserve">paying for </w:t>
      </w:r>
      <w:r w:rsidR="00AE58F2">
        <w:rPr>
          <w:rFonts w:cs="Times New Roman"/>
          <w:szCs w:val="24"/>
        </w:rPr>
        <w:t xml:space="preserve">infrastructure and </w:t>
      </w:r>
      <w:r w:rsidR="004F610E">
        <w:rPr>
          <w:rFonts w:cs="Times New Roman"/>
          <w:szCs w:val="24"/>
        </w:rPr>
        <w:t>load meant to meet data cent</w:t>
      </w:r>
      <w:r>
        <w:rPr>
          <w:rFonts w:cs="Times New Roman"/>
          <w:szCs w:val="24"/>
        </w:rPr>
        <w:t>e</w:t>
      </w:r>
      <w:r w:rsidR="004F610E">
        <w:rPr>
          <w:rFonts w:cs="Times New Roman"/>
          <w:szCs w:val="24"/>
        </w:rPr>
        <w:t>r demand.</w:t>
      </w:r>
      <w:r>
        <w:rPr>
          <w:rStyle w:val="FootnoteReference"/>
          <w:rFonts w:cs="Times New Roman"/>
          <w:szCs w:val="24"/>
        </w:rPr>
        <w:footnoteReference w:id="10"/>
      </w:r>
    </w:p>
    <w:p w14:paraId="66481D53" w14:textId="77777777" w:rsidR="00F8593B" w:rsidRDefault="00F8593B" w:rsidP="002638CA">
      <w:pPr>
        <w:pStyle w:val="Heading1"/>
      </w:pPr>
    </w:p>
    <w:p w14:paraId="7E7D6F25" w14:textId="3BDE9D5F" w:rsidR="00FF48BA" w:rsidRPr="002638CA" w:rsidRDefault="001448FC" w:rsidP="002638CA">
      <w:pPr>
        <w:pStyle w:val="Heading1"/>
      </w:pPr>
      <w:r>
        <w:t>I</w:t>
      </w:r>
      <w:r w:rsidR="002638CA">
        <w:t>II.</w:t>
      </w:r>
      <w:r w:rsidR="002638CA">
        <w:tab/>
      </w:r>
      <w:r w:rsidR="005319EA">
        <w:t>COMMENTS TO PROTECT RESIDENTIAL CONSUMERS</w:t>
      </w:r>
    </w:p>
    <w:p w14:paraId="5EAC9063" w14:textId="012B9916" w:rsidR="00692888" w:rsidRPr="002638CA" w:rsidRDefault="001448FC" w:rsidP="002638CA">
      <w:pPr>
        <w:pStyle w:val="Heading2"/>
      </w:pPr>
      <w:r>
        <w:t>A.</w:t>
      </w:r>
      <w:r>
        <w:tab/>
      </w:r>
      <w:r w:rsidRPr="002638CA">
        <w:t>Adjustments to AEP</w:t>
      </w:r>
      <w:r w:rsidR="00D26C34">
        <w:t>’</w:t>
      </w:r>
      <w:r w:rsidRPr="002638CA">
        <w:t>s Proposal</w:t>
      </w:r>
    </w:p>
    <w:p w14:paraId="0FADCD24" w14:textId="77777777" w:rsidR="00F8593B" w:rsidRDefault="001448FC" w:rsidP="008D7648">
      <w:pPr>
        <w:spacing w:line="480" w:lineRule="auto"/>
        <w:ind w:firstLine="720"/>
        <w:rPr>
          <w:rFonts w:cs="Times New Roman"/>
          <w:szCs w:val="24"/>
        </w:rPr>
      </w:pPr>
      <w:r>
        <w:rPr>
          <w:rFonts w:cs="Times New Roman"/>
          <w:szCs w:val="24"/>
        </w:rPr>
        <w:t xml:space="preserve">OCC recommends </w:t>
      </w:r>
      <w:r w:rsidR="00EE0440">
        <w:rPr>
          <w:rFonts w:cs="Times New Roman"/>
          <w:szCs w:val="24"/>
        </w:rPr>
        <w:t>modifying AEP</w:t>
      </w:r>
      <w:r w:rsidR="00D26C34">
        <w:rPr>
          <w:rFonts w:cs="Times New Roman"/>
          <w:szCs w:val="24"/>
        </w:rPr>
        <w:t>’</w:t>
      </w:r>
      <w:r w:rsidR="00EE0440">
        <w:rPr>
          <w:rFonts w:cs="Times New Roman"/>
          <w:szCs w:val="24"/>
        </w:rPr>
        <w:t xml:space="preserve">s proposed tariffs </w:t>
      </w:r>
      <w:r w:rsidR="00CC7626" w:rsidRPr="00992026">
        <w:rPr>
          <w:rFonts w:cs="Times New Roman"/>
          <w:szCs w:val="24"/>
        </w:rPr>
        <w:t>to shield resident</w:t>
      </w:r>
      <w:r w:rsidR="0060474E">
        <w:rPr>
          <w:rFonts w:cs="Times New Roman"/>
          <w:szCs w:val="24"/>
        </w:rPr>
        <w:t xml:space="preserve">ial consumers </w:t>
      </w:r>
      <w:r w:rsidR="00CC7626" w:rsidRPr="00992026">
        <w:rPr>
          <w:rFonts w:cs="Times New Roman"/>
          <w:szCs w:val="24"/>
        </w:rPr>
        <w:t>from the financial burden of exponential</w:t>
      </w:r>
      <w:r w:rsidR="00EE0440">
        <w:rPr>
          <w:rFonts w:cs="Times New Roman"/>
          <w:szCs w:val="24"/>
        </w:rPr>
        <w:t xml:space="preserve"> </w:t>
      </w:r>
      <w:r w:rsidR="0060474E">
        <w:rPr>
          <w:rFonts w:cs="Times New Roman"/>
          <w:szCs w:val="24"/>
        </w:rPr>
        <w:t>distribution and transmission</w:t>
      </w:r>
      <w:r w:rsidR="00EE0440">
        <w:rPr>
          <w:rFonts w:cs="Times New Roman"/>
          <w:szCs w:val="24"/>
        </w:rPr>
        <w:t xml:space="preserve"> </w:t>
      </w:r>
    </w:p>
    <w:p w14:paraId="3483B5B5" w14:textId="77777777" w:rsidR="00F8593B" w:rsidRDefault="001448FC">
      <w:pPr>
        <w:spacing w:after="160" w:line="259" w:lineRule="auto"/>
        <w:rPr>
          <w:rFonts w:cs="Times New Roman"/>
          <w:szCs w:val="24"/>
        </w:rPr>
      </w:pPr>
      <w:r>
        <w:rPr>
          <w:rFonts w:cs="Times New Roman"/>
          <w:szCs w:val="24"/>
        </w:rPr>
        <w:br w:type="page"/>
      </w:r>
    </w:p>
    <w:p w14:paraId="03A20F34" w14:textId="19A39B26" w:rsidR="00DC5CEA" w:rsidRPr="00992026" w:rsidRDefault="001448FC" w:rsidP="00F8593B">
      <w:pPr>
        <w:spacing w:line="480" w:lineRule="auto"/>
        <w:rPr>
          <w:rFonts w:cs="Times New Roman"/>
          <w:szCs w:val="24"/>
        </w:rPr>
      </w:pPr>
      <w:r w:rsidRPr="00992026">
        <w:rPr>
          <w:rFonts w:cs="Times New Roman"/>
          <w:szCs w:val="24"/>
        </w:rPr>
        <w:lastRenderedPageBreak/>
        <w:t xml:space="preserve">improvements driven by data center expansion. OCC proposes the following adjustments </w:t>
      </w:r>
      <w:r w:rsidR="005450B4" w:rsidRPr="00992026">
        <w:rPr>
          <w:rFonts w:cs="Times New Roman"/>
          <w:szCs w:val="24"/>
        </w:rPr>
        <w:t xml:space="preserve">to </w:t>
      </w:r>
      <w:r w:rsidR="004F610E">
        <w:rPr>
          <w:rFonts w:cs="Times New Roman"/>
          <w:szCs w:val="24"/>
        </w:rPr>
        <w:t>AEP</w:t>
      </w:r>
      <w:r w:rsidR="00D26C34">
        <w:rPr>
          <w:rFonts w:cs="Times New Roman"/>
          <w:szCs w:val="24"/>
        </w:rPr>
        <w:t>’</w:t>
      </w:r>
      <w:r w:rsidR="00BC552A">
        <w:rPr>
          <w:rFonts w:cs="Times New Roman"/>
          <w:szCs w:val="24"/>
        </w:rPr>
        <w:t xml:space="preserve">s proposed </w:t>
      </w:r>
      <w:r w:rsidR="005450B4" w:rsidRPr="00DA13A6">
        <w:rPr>
          <w:rFonts w:cs="Times New Roman"/>
          <w:szCs w:val="24"/>
        </w:rPr>
        <w:t>tariff provisions</w:t>
      </w:r>
      <w:r w:rsidR="0013102D">
        <w:rPr>
          <w:rFonts w:cs="Times New Roman"/>
          <w:szCs w:val="24"/>
        </w:rPr>
        <w:t>:</w:t>
      </w:r>
      <w:r>
        <w:rPr>
          <w:rStyle w:val="FootnoteReference"/>
          <w:rFonts w:cs="Times New Roman"/>
          <w:szCs w:val="24"/>
        </w:rPr>
        <w:footnoteReference w:id="11"/>
      </w:r>
      <w:r w:rsidRPr="00992026">
        <w:rPr>
          <w:rFonts w:cs="Times New Roman"/>
          <w:szCs w:val="24"/>
        </w:rPr>
        <w:t xml:space="preserve"> </w:t>
      </w:r>
    </w:p>
    <w:p w14:paraId="57DDFD73" w14:textId="72529B70" w:rsidR="005450B4" w:rsidRPr="00992026" w:rsidRDefault="001448FC" w:rsidP="005450B4">
      <w:pPr>
        <w:pStyle w:val="ListParagraph"/>
        <w:numPr>
          <w:ilvl w:val="0"/>
          <w:numId w:val="7"/>
        </w:numPr>
        <w:ind w:left="1440" w:right="720" w:hanging="720"/>
        <w:rPr>
          <w:rFonts w:cs="Times New Roman"/>
          <w:szCs w:val="24"/>
        </w:rPr>
      </w:pPr>
      <w:r w:rsidRPr="00992026">
        <w:rPr>
          <w:rFonts w:cs="Times New Roman"/>
          <w:b/>
          <w:bCs/>
          <w:i/>
          <w:iCs/>
          <w:szCs w:val="24"/>
        </w:rPr>
        <w:t xml:space="preserve">New data centers must enter into electric service agreements for a term </w:t>
      </w:r>
      <w:r w:rsidR="00BA34A5">
        <w:rPr>
          <w:rFonts w:cs="Times New Roman"/>
          <w:b/>
          <w:bCs/>
          <w:i/>
          <w:iCs/>
          <w:szCs w:val="24"/>
        </w:rPr>
        <w:t>that allows AEP to recoup all costs from the data center</w:t>
      </w:r>
      <w:r w:rsidR="00FE269A">
        <w:rPr>
          <w:rFonts w:cs="Times New Roman"/>
          <w:b/>
          <w:bCs/>
          <w:i/>
          <w:iCs/>
          <w:szCs w:val="24"/>
        </w:rPr>
        <w:t>s</w:t>
      </w:r>
      <w:r w:rsidR="00BA34A5">
        <w:rPr>
          <w:rFonts w:cs="Times New Roman"/>
          <w:b/>
          <w:bCs/>
          <w:i/>
          <w:iCs/>
          <w:szCs w:val="24"/>
        </w:rPr>
        <w:t xml:space="preserve">, which may be longer </w:t>
      </w:r>
      <w:r w:rsidR="00DB3331">
        <w:rPr>
          <w:rFonts w:cs="Times New Roman"/>
          <w:b/>
          <w:bCs/>
          <w:i/>
          <w:iCs/>
          <w:szCs w:val="24"/>
        </w:rPr>
        <w:t>than 10</w:t>
      </w:r>
      <w:r w:rsidRPr="00992026">
        <w:rPr>
          <w:rFonts w:cs="Times New Roman"/>
          <w:b/>
          <w:bCs/>
          <w:i/>
          <w:iCs/>
          <w:szCs w:val="24"/>
        </w:rPr>
        <w:t xml:space="preserve"> years</w:t>
      </w:r>
      <w:r w:rsidRPr="00992026">
        <w:rPr>
          <w:rFonts w:cs="Times New Roman"/>
          <w:szCs w:val="24"/>
        </w:rPr>
        <w:t xml:space="preserve">. </w:t>
      </w:r>
      <w:r w:rsidR="00B40A29">
        <w:rPr>
          <w:rFonts w:cs="Times New Roman"/>
          <w:szCs w:val="24"/>
        </w:rPr>
        <w:t xml:space="preserve">OCC assumes that the 10-year term is proposed because AEP </w:t>
      </w:r>
      <w:r w:rsidR="00B04982">
        <w:rPr>
          <w:rFonts w:cs="Times New Roman"/>
          <w:szCs w:val="24"/>
        </w:rPr>
        <w:t>estimates</w:t>
      </w:r>
      <w:r w:rsidR="00B40A29">
        <w:rPr>
          <w:rFonts w:cs="Times New Roman"/>
          <w:szCs w:val="24"/>
        </w:rPr>
        <w:t xml:space="preserve"> it will recoup its costs in 10 years. If AEP </w:t>
      </w:r>
      <w:r w:rsidR="00B04982">
        <w:rPr>
          <w:rFonts w:cs="Times New Roman"/>
          <w:szCs w:val="24"/>
        </w:rPr>
        <w:t xml:space="preserve">estimates </w:t>
      </w:r>
      <w:r w:rsidR="00B40A29">
        <w:rPr>
          <w:rFonts w:cs="Times New Roman"/>
          <w:szCs w:val="24"/>
        </w:rPr>
        <w:t xml:space="preserve">it will take </w:t>
      </w:r>
      <w:r w:rsidR="00B04982">
        <w:rPr>
          <w:rFonts w:cs="Times New Roman"/>
          <w:szCs w:val="24"/>
        </w:rPr>
        <w:t>more time</w:t>
      </w:r>
      <w:r w:rsidR="00B40A29">
        <w:rPr>
          <w:rFonts w:cs="Times New Roman"/>
          <w:szCs w:val="24"/>
        </w:rPr>
        <w:t xml:space="preserve"> to recoup its costs, then the proposed contract term should be adjusted accordingly. </w:t>
      </w:r>
    </w:p>
    <w:p w14:paraId="4383FE80" w14:textId="77777777" w:rsidR="00F37C9B" w:rsidRPr="00992026" w:rsidRDefault="00F37C9B" w:rsidP="00DA13A6">
      <w:pPr>
        <w:ind w:right="720"/>
        <w:rPr>
          <w:rFonts w:cs="Times New Roman"/>
          <w:szCs w:val="24"/>
        </w:rPr>
      </w:pPr>
    </w:p>
    <w:p w14:paraId="61D0C5AE" w14:textId="37021C81" w:rsidR="005450B4" w:rsidRPr="00992026" w:rsidRDefault="001448FC" w:rsidP="005450B4">
      <w:pPr>
        <w:pStyle w:val="ListParagraph"/>
        <w:numPr>
          <w:ilvl w:val="0"/>
          <w:numId w:val="7"/>
        </w:numPr>
        <w:ind w:left="1440" w:right="720" w:hanging="720"/>
        <w:rPr>
          <w:rFonts w:cs="Times New Roman"/>
          <w:i/>
          <w:iCs/>
          <w:szCs w:val="24"/>
        </w:rPr>
      </w:pPr>
      <w:bookmarkStart w:id="2" w:name="_Hlk168482905"/>
      <w:r w:rsidRPr="00992026">
        <w:rPr>
          <w:rFonts w:cs="Times New Roman"/>
          <w:b/>
          <w:bCs/>
          <w:i/>
          <w:iCs/>
          <w:szCs w:val="24"/>
        </w:rPr>
        <w:t xml:space="preserve">New data centers </w:t>
      </w:r>
      <w:bookmarkEnd w:id="2"/>
      <w:r w:rsidR="00BA34A5">
        <w:rPr>
          <w:rFonts w:cs="Times New Roman"/>
          <w:b/>
          <w:bCs/>
          <w:i/>
          <w:iCs/>
          <w:szCs w:val="24"/>
        </w:rPr>
        <w:t xml:space="preserve">should be </w:t>
      </w:r>
      <w:r w:rsidRPr="00992026">
        <w:rPr>
          <w:rFonts w:cs="Times New Roman"/>
          <w:b/>
          <w:bCs/>
          <w:i/>
          <w:iCs/>
          <w:szCs w:val="24"/>
        </w:rPr>
        <w:t>subjected to a minimum demand charge</w:t>
      </w:r>
      <w:r w:rsidR="00AF52FA">
        <w:rPr>
          <w:rFonts w:cs="Times New Roman"/>
          <w:b/>
          <w:bCs/>
          <w:i/>
          <w:iCs/>
          <w:szCs w:val="24"/>
        </w:rPr>
        <w:t xml:space="preserve"> </w:t>
      </w:r>
      <w:r w:rsidR="00BA34A5">
        <w:rPr>
          <w:rFonts w:cs="Times New Roman"/>
          <w:b/>
          <w:bCs/>
          <w:i/>
          <w:iCs/>
          <w:szCs w:val="24"/>
        </w:rPr>
        <w:t xml:space="preserve">that </w:t>
      </w:r>
      <w:r w:rsidR="00DB3331">
        <w:rPr>
          <w:rFonts w:cs="Times New Roman"/>
          <w:b/>
          <w:bCs/>
          <w:i/>
          <w:iCs/>
          <w:szCs w:val="24"/>
        </w:rPr>
        <w:t>prevents</w:t>
      </w:r>
      <w:r w:rsidR="00BA34A5">
        <w:rPr>
          <w:rFonts w:cs="Times New Roman"/>
          <w:b/>
          <w:bCs/>
          <w:i/>
          <w:iCs/>
          <w:szCs w:val="24"/>
        </w:rPr>
        <w:t xml:space="preserve"> other consumers from paying for unused capacity created for the data centers</w:t>
      </w:r>
      <w:r w:rsidRPr="00992026">
        <w:rPr>
          <w:rFonts w:cs="Times New Roman"/>
          <w:b/>
          <w:bCs/>
          <w:i/>
          <w:iCs/>
          <w:szCs w:val="24"/>
        </w:rPr>
        <w:t>.</w:t>
      </w:r>
      <w:r w:rsidRPr="00992026">
        <w:rPr>
          <w:rFonts w:cs="Times New Roman"/>
          <w:i/>
          <w:iCs/>
          <w:szCs w:val="24"/>
        </w:rPr>
        <w:t xml:space="preserve"> </w:t>
      </w:r>
      <w:r w:rsidR="00AD31A2" w:rsidRPr="00DA13A6">
        <w:rPr>
          <w:rFonts w:cs="Times New Roman"/>
          <w:szCs w:val="24"/>
        </w:rPr>
        <w:t>OCC conditionally supports AEP</w:t>
      </w:r>
      <w:r w:rsidR="00D26C34">
        <w:rPr>
          <w:rFonts w:cs="Times New Roman"/>
          <w:szCs w:val="24"/>
        </w:rPr>
        <w:t>’</w:t>
      </w:r>
      <w:r w:rsidR="00AD31A2" w:rsidRPr="00DA13A6">
        <w:rPr>
          <w:rFonts w:cs="Times New Roman"/>
          <w:szCs w:val="24"/>
        </w:rPr>
        <w:t>s minimum demand charges (90% for data centers, 95% for mobile data centers)</w:t>
      </w:r>
      <w:r w:rsidR="006F0C83">
        <w:rPr>
          <w:rFonts w:cs="Times New Roman"/>
          <w:szCs w:val="24"/>
        </w:rPr>
        <w:t xml:space="preserve"> provided that other consumers are not </w:t>
      </w:r>
      <w:r w:rsidR="00AD31A2" w:rsidRPr="00DA13A6">
        <w:rPr>
          <w:rFonts w:cs="Times New Roman"/>
          <w:szCs w:val="24"/>
        </w:rPr>
        <w:t>paying for unused capacity</w:t>
      </w:r>
      <w:r w:rsidR="0060474E">
        <w:rPr>
          <w:rFonts w:cs="Times New Roman"/>
          <w:szCs w:val="24"/>
        </w:rPr>
        <w:t xml:space="preserve"> created in response to the added data centers</w:t>
      </w:r>
      <w:bookmarkStart w:id="3" w:name="_Hlk168483344"/>
      <w:r w:rsidR="00AF52FA">
        <w:rPr>
          <w:rFonts w:cs="Times New Roman"/>
          <w:szCs w:val="24"/>
        </w:rPr>
        <w:t>.</w:t>
      </w:r>
    </w:p>
    <w:bookmarkEnd w:id="3"/>
    <w:p w14:paraId="213C8BFD" w14:textId="77777777" w:rsidR="005450B4" w:rsidRPr="00992026" w:rsidRDefault="005450B4" w:rsidP="005450B4">
      <w:pPr>
        <w:pStyle w:val="ListParagraph"/>
        <w:ind w:left="1440" w:right="720" w:hanging="720"/>
        <w:rPr>
          <w:rFonts w:cs="Times New Roman"/>
          <w:szCs w:val="24"/>
        </w:rPr>
      </w:pPr>
    </w:p>
    <w:p w14:paraId="35B4B1E6" w14:textId="0BD80BAE" w:rsidR="007D16FA" w:rsidRPr="00992026" w:rsidRDefault="001448FC" w:rsidP="006F0C83">
      <w:pPr>
        <w:pStyle w:val="ListParagraph"/>
        <w:numPr>
          <w:ilvl w:val="0"/>
          <w:numId w:val="7"/>
        </w:numPr>
        <w:ind w:left="1440" w:right="720" w:hanging="720"/>
        <w:rPr>
          <w:rFonts w:cs="Times New Roman"/>
          <w:i/>
          <w:iCs/>
          <w:szCs w:val="24"/>
        </w:rPr>
      </w:pPr>
      <w:r w:rsidRPr="006F0C83">
        <w:rPr>
          <w:rFonts w:cs="Times New Roman"/>
          <w:b/>
          <w:bCs/>
          <w:i/>
          <w:iCs/>
          <w:szCs w:val="24"/>
        </w:rPr>
        <w:t>New data centers must b</w:t>
      </w:r>
      <w:r w:rsidR="005450B4" w:rsidRPr="006F0C83">
        <w:rPr>
          <w:rFonts w:cs="Times New Roman"/>
          <w:b/>
          <w:bCs/>
          <w:i/>
          <w:iCs/>
          <w:szCs w:val="24"/>
        </w:rPr>
        <w:t xml:space="preserve">e subjected to an exit fee equal to </w:t>
      </w:r>
      <w:r w:rsidR="006F0C83" w:rsidRPr="006F0C83">
        <w:rPr>
          <w:rFonts w:cs="Times New Roman"/>
          <w:b/>
          <w:bCs/>
          <w:i/>
          <w:iCs/>
          <w:szCs w:val="24"/>
        </w:rPr>
        <w:t xml:space="preserve">ten </w:t>
      </w:r>
      <w:r w:rsidR="005450B4" w:rsidRPr="006F0C83">
        <w:rPr>
          <w:rFonts w:cs="Times New Roman"/>
          <w:b/>
          <w:bCs/>
          <w:i/>
          <w:iCs/>
          <w:szCs w:val="24"/>
        </w:rPr>
        <w:t>years of minimum</w:t>
      </w:r>
      <w:r w:rsidRPr="006F0C83">
        <w:rPr>
          <w:rFonts w:cs="Times New Roman"/>
          <w:b/>
          <w:bCs/>
          <w:i/>
          <w:iCs/>
          <w:szCs w:val="24"/>
        </w:rPr>
        <w:t xml:space="preserve"> </w:t>
      </w:r>
      <w:r w:rsidR="005450B4" w:rsidRPr="006F0C83">
        <w:rPr>
          <w:rFonts w:cs="Times New Roman"/>
          <w:b/>
          <w:bCs/>
          <w:i/>
          <w:iCs/>
          <w:szCs w:val="24"/>
        </w:rPr>
        <w:t>charges</w:t>
      </w:r>
      <w:r w:rsidRPr="006F0C83">
        <w:rPr>
          <w:rFonts w:cs="Times New Roman"/>
          <w:szCs w:val="24"/>
        </w:rPr>
        <w:t xml:space="preserve">. </w:t>
      </w:r>
      <w:r w:rsidR="00AD31A2" w:rsidRPr="006F0C83">
        <w:rPr>
          <w:rFonts w:cs="Times New Roman"/>
          <w:szCs w:val="24"/>
        </w:rPr>
        <w:t xml:space="preserve">OCC proposes increasing exit fees to 10 years of full demand charges </w:t>
      </w:r>
      <w:r w:rsidR="006F0C83" w:rsidRPr="006F0C83">
        <w:rPr>
          <w:rFonts w:cs="Times New Roman"/>
          <w:szCs w:val="24"/>
        </w:rPr>
        <w:t xml:space="preserve">so that other consumers are not at risk of paying for stranded investment associated with </w:t>
      </w:r>
      <w:r w:rsidR="006F0C83">
        <w:rPr>
          <w:rFonts w:cs="Times New Roman"/>
          <w:szCs w:val="24"/>
        </w:rPr>
        <w:t xml:space="preserve">serving </w:t>
      </w:r>
      <w:r w:rsidR="006F0C83" w:rsidRPr="006F0C83">
        <w:rPr>
          <w:rFonts w:cs="Times New Roman"/>
          <w:szCs w:val="24"/>
        </w:rPr>
        <w:t xml:space="preserve">data centers. </w:t>
      </w:r>
      <w:r w:rsidR="006F0C83">
        <w:rPr>
          <w:rFonts w:cs="Times New Roman"/>
          <w:szCs w:val="24"/>
        </w:rPr>
        <w:t xml:space="preserve">Investment made to serve data centers should be borne by the </w:t>
      </w:r>
      <w:r w:rsidR="00AF52FA">
        <w:rPr>
          <w:rFonts w:cs="Times New Roman"/>
          <w:szCs w:val="24"/>
        </w:rPr>
        <w:t xml:space="preserve">cost </w:t>
      </w:r>
      <w:proofErr w:type="gramStart"/>
      <w:r w:rsidR="00AF52FA">
        <w:rPr>
          <w:rFonts w:cs="Times New Roman"/>
          <w:szCs w:val="24"/>
        </w:rPr>
        <w:t>causers</w:t>
      </w:r>
      <w:proofErr w:type="gramEnd"/>
      <w:r w:rsidR="00AF52FA">
        <w:rPr>
          <w:rFonts w:cs="Times New Roman"/>
          <w:szCs w:val="24"/>
        </w:rPr>
        <w:t xml:space="preserve"> – the </w:t>
      </w:r>
      <w:r w:rsidR="006F0C83">
        <w:rPr>
          <w:rFonts w:cs="Times New Roman"/>
          <w:szCs w:val="24"/>
        </w:rPr>
        <w:t>data centers</w:t>
      </w:r>
      <w:r w:rsidR="00AF52FA">
        <w:rPr>
          <w:rFonts w:cs="Times New Roman"/>
          <w:szCs w:val="24"/>
        </w:rPr>
        <w:t xml:space="preserve"> --</w:t>
      </w:r>
      <w:r w:rsidR="006F0C83">
        <w:rPr>
          <w:rFonts w:cs="Times New Roman"/>
          <w:szCs w:val="24"/>
        </w:rPr>
        <w:t xml:space="preserve"> not by other consumers.</w:t>
      </w:r>
      <w:r w:rsidR="00140E54">
        <w:rPr>
          <w:rFonts w:cs="Times New Roman"/>
          <w:szCs w:val="24"/>
        </w:rPr>
        <w:t xml:space="preserve"> </w:t>
      </w:r>
    </w:p>
    <w:p w14:paraId="1A9335CE" w14:textId="77777777" w:rsidR="00102888" w:rsidRPr="006F0C83" w:rsidRDefault="00102888" w:rsidP="00AC1D17">
      <w:pPr>
        <w:pStyle w:val="ListParagraph"/>
        <w:ind w:left="1440" w:right="720"/>
        <w:rPr>
          <w:rFonts w:cs="Times New Roman"/>
          <w:szCs w:val="24"/>
        </w:rPr>
      </w:pPr>
    </w:p>
    <w:p w14:paraId="033F0DC0" w14:textId="0B3FAB6F" w:rsidR="005450B4" w:rsidRPr="00992026" w:rsidRDefault="001448FC" w:rsidP="005450B4">
      <w:pPr>
        <w:pStyle w:val="ListParagraph"/>
        <w:numPr>
          <w:ilvl w:val="0"/>
          <w:numId w:val="7"/>
        </w:numPr>
        <w:ind w:left="1440" w:right="720" w:hanging="720"/>
        <w:rPr>
          <w:rFonts w:cs="Times New Roman"/>
          <w:b/>
          <w:bCs/>
          <w:i/>
          <w:iCs/>
          <w:szCs w:val="24"/>
        </w:rPr>
      </w:pPr>
      <w:r w:rsidRPr="00992026">
        <w:rPr>
          <w:rFonts w:cs="Times New Roman"/>
          <w:b/>
          <w:bCs/>
          <w:i/>
          <w:iCs/>
          <w:szCs w:val="24"/>
        </w:rPr>
        <w:t xml:space="preserve">For </w:t>
      </w:r>
      <w:r w:rsidR="00C42B04" w:rsidRPr="00992026">
        <w:rPr>
          <w:rFonts w:cs="Times New Roman"/>
          <w:b/>
          <w:bCs/>
          <w:i/>
          <w:iCs/>
          <w:szCs w:val="24"/>
        </w:rPr>
        <w:t xml:space="preserve">new data center </w:t>
      </w:r>
      <w:r w:rsidRPr="00992026">
        <w:rPr>
          <w:rFonts w:cs="Times New Roman"/>
          <w:b/>
          <w:bCs/>
          <w:i/>
          <w:iCs/>
          <w:szCs w:val="24"/>
        </w:rPr>
        <w:t>customers with credit ratings less than A– from S&amp;P Global Inc. and A3 from Moody</w:t>
      </w:r>
      <w:r w:rsidR="00D26C34">
        <w:rPr>
          <w:rFonts w:cs="Times New Roman"/>
          <w:b/>
          <w:bCs/>
          <w:i/>
          <w:iCs/>
          <w:szCs w:val="24"/>
        </w:rPr>
        <w:t>’</w:t>
      </w:r>
      <w:r w:rsidRPr="00992026">
        <w:rPr>
          <w:rFonts w:cs="Times New Roman"/>
          <w:b/>
          <w:bCs/>
          <w:i/>
          <w:iCs/>
          <w:szCs w:val="24"/>
        </w:rPr>
        <w:t>s Corporation</w:t>
      </w:r>
      <w:r w:rsidR="00A70D18">
        <w:rPr>
          <w:rFonts w:cs="Times New Roman"/>
          <w:b/>
          <w:bCs/>
          <w:i/>
          <w:iCs/>
          <w:szCs w:val="24"/>
        </w:rPr>
        <w:t>,</w:t>
      </w:r>
      <w:r w:rsidRPr="00992026">
        <w:rPr>
          <w:rFonts w:cs="Times New Roman"/>
          <w:b/>
          <w:bCs/>
          <w:i/>
          <w:iCs/>
          <w:szCs w:val="24"/>
        </w:rPr>
        <w:t xml:space="preserve"> </w:t>
      </w:r>
      <w:r w:rsidR="00AF52FA">
        <w:rPr>
          <w:rFonts w:cs="Times New Roman"/>
          <w:b/>
          <w:bCs/>
          <w:i/>
          <w:iCs/>
          <w:szCs w:val="24"/>
        </w:rPr>
        <w:t xml:space="preserve">the data centers must provide </w:t>
      </w:r>
      <w:r w:rsidRPr="00992026">
        <w:rPr>
          <w:rFonts w:cs="Times New Roman"/>
          <w:b/>
          <w:bCs/>
          <w:i/>
          <w:iCs/>
          <w:szCs w:val="24"/>
        </w:rPr>
        <w:t xml:space="preserve">a parent guarantee or collateral in the form of a letter of credit or cash equal to </w:t>
      </w:r>
      <w:r w:rsidR="006F0C83">
        <w:rPr>
          <w:rFonts w:cs="Times New Roman"/>
          <w:b/>
          <w:bCs/>
          <w:i/>
          <w:iCs/>
          <w:szCs w:val="24"/>
        </w:rPr>
        <w:t>100%</w:t>
      </w:r>
      <w:r w:rsidRPr="00992026">
        <w:rPr>
          <w:rFonts w:cs="Times New Roman"/>
          <w:b/>
          <w:bCs/>
          <w:i/>
          <w:iCs/>
          <w:szCs w:val="24"/>
        </w:rPr>
        <w:t xml:space="preserve"> of the customer</w:t>
      </w:r>
      <w:r w:rsidR="00D26C34">
        <w:rPr>
          <w:rFonts w:cs="Times New Roman"/>
          <w:b/>
          <w:bCs/>
          <w:i/>
          <w:iCs/>
          <w:szCs w:val="24"/>
        </w:rPr>
        <w:t>’</w:t>
      </w:r>
      <w:r w:rsidRPr="00992026">
        <w:rPr>
          <w:rFonts w:cs="Times New Roman"/>
          <w:b/>
          <w:bCs/>
          <w:i/>
          <w:iCs/>
          <w:szCs w:val="24"/>
        </w:rPr>
        <w:t xml:space="preserve">s minimum demand charges. </w:t>
      </w:r>
      <w:r w:rsidR="00AE58F2" w:rsidRPr="00DA13A6">
        <w:rPr>
          <w:rFonts w:cs="Times New Roman"/>
          <w:szCs w:val="24"/>
        </w:rPr>
        <w:t>OCC agrees with requiring financial guarantees from data centers with lower credit ratings. However, the letter of credit should cover 100%</w:t>
      </w:r>
      <w:r w:rsidR="006F0C83">
        <w:rPr>
          <w:rFonts w:cs="Times New Roman"/>
          <w:szCs w:val="24"/>
        </w:rPr>
        <w:t xml:space="preserve"> (not 50% as proposed) </w:t>
      </w:r>
      <w:r w:rsidR="00137538" w:rsidRPr="00DA13A6">
        <w:rPr>
          <w:rFonts w:cs="Times New Roman"/>
          <w:szCs w:val="24"/>
        </w:rPr>
        <w:t>of the</w:t>
      </w:r>
      <w:r w:rsidR="00AE58F2" w:rsidRPr="00DA13A6">
        <w:rPr>
          <w:rFonts w:cs="Times New Roman"/>
          <w:szCs w:val="24"/>
        </w:rPr>
        <w:t xml:space="preserve"> data center</w:t>
      </w:r>
      <w:r w:rsidR="00D26C34">
        <w:rPr>
          <w:rFonts w:cs="Times New Roman"/>
          <w:szCs w:val="24"/>
        </w:rPr>
        <w:t>’</w:t>
      </w:r>
      <w:r w:rsidR="00AE58F2" w:rsidRPr="00DA13A6">
        <w:rPr>
          <w:rFonts w:cs="Times New Roman"/>
          <w:szCs w:val="24"/>
        </w:rPr>
        <w:t xml:space="preserve">s demand plus the cost of any major infrastructure needed to serve them (e.g., 120 miles of 765 kV line). This </w:t>
      </w:r>
      <w:r w:rsidR="00CE44BA">
        <w:rPr>
          <w:rFonts w:cs="Times New Roman"/>
          <w:szCs w:val="24"/>
        </w:rPr>
        <w:t xml:space="preserve">should help ensure </w:t>
      </w:r>
      <w:r w:rsidR="00C70F64">
        <w:rPr>
          <w:rFonts w:cs="Times New Roman"/>
          <w:szCs w:val="24"/>
        </w:rPr>
        <w:t>that other consumers, including</w:t>
      </w:r>
      <w:r w:rsidR="00AE58F2" w:rsidRPr="00DA13A6">
        <w:rPr>
          <w:rFonts w:cs="Times New Roman"/>
          <w:szCs w:val="24"/>
        </w:rPr>
        <w:t xml:space="preserve"> resident</w:t>
      </w:r>
      <w:r w:rsidR="00AE58F2">
        <w:rPr>
          <w:rFonts w:cs="Times New Roman"/>
          <w:szCs w:val="24"/>
        </w:rPr>
        <w:t>ial consumers</w:t>
      </w:r>
      <w:r w:rsidR="00AF52FA">
        <w:rPr>
          <w:rFonts w:cs="Times New Roman"/>
          <w:szCs w:val="24"/>
        </w:rPr>
        <w:t>,</w:t>
      </w:r>
      <w:r w:rsidR="00AE58F2" w:rsidRPr="00DA13A6">
        <w:rPr>
          <w:rFonts w:cs="Times New Roman"/>
          <w:szCs w:val="24"/>
        </w:rPr>
        <w:t xml:space="preserve"> aren</w:t>
      </w:r>
      <w:r w:rsidR="00D26C34">
        <w:rPr>
          <w:rFonts w:cs="Times New Roman"/>
          <w:szCs w:val="24"/>
        </w:rPr>
        <w:t>’</w:t>
      </w:r>
      <w:r w:rsidR="00AE58F2" w:rsidRPr="00DA13A6">
        <w:rPr>
          <w:rFonts w:cs="Times New Roman"/>
          <w:szCs w:val="24"/>
        </w:rPr>
        <w:t>t burdened by additional costs</w:t>
      </w:r>
      <w:r w:rsidR="00DF255F">
        <w:rPr>
          <w:rFonts w:cs="Times New Roman"/>
          <w:szCs w:val="24"/>
        </w:rPr>
        <w:t xml:space="preserve"> caused solely by data centers</w:t>
      </w:r>
      <w:r w:rsidR="00AE58F2" w:rsidRPr="00DA13A6">
        <w:rPr>
          <w:rFonts w:cs="Times New Roman"/>
          <w:szCs w:val="24"/>
        </w:rPr>
        <w:t>.</w:t>
      </w:r>
    </w:p>
    <w:p w14:paraId="73624D92" w14:textId="77777777" w:rsidR="00D07F40" w:rsidRPr="00992026" w:rsidRDefault="00D07F40" w:rsidP="00D07F40">
      <w:pPr>
        <w:spacing w:line="480" w:lineRule="auto"/>
        <w:rPr>
          <w:rFonts w:cs="Times New Roman"/>
          <w:szCs w:val="24"/>
        </w:rPr>
      </w:pPr>
    </w:p>
    <w:p w14:paraId="3B9FC1AA" w14:textId="153AB758" w:rsidR="00692888" w:rsidRPr="002638CA" w:rsidRDefault="001448FC" w:rsidP="002638CA">
      <w:pPr>
        <w:pStyle w:val="Heading2"/>
      </w:pPr>
      <w:r>
        <w:lastRenderedPageBreak/>
        <w:t>B.</w:t>
      </w:r>
      <w:r>
        <w:tab/>
      </w:r>
      <w:r w:rsidRPr="002638CA">
        <w:t>Additional Recommendations</w:t>
      </w:r>
    </w:p>
    <w:p w14:paraId="1767B91F" w14:textId="3C672F42" w:rsidR="00FE269A" w:rsidRDefault="001448FC" w:rsidP="00992026">
      <w:pPr>
        <w:spacing w:line="480" w:lineRule="auto"/>
        <w:ind w:firstLine="720"/>
        <w:rPr>
          <w:rFonts w:cs="Times New Roman"/>
          <w:szCs w:val="24"/>
        </w:rPr>
      </w:pPr>
      <w:r>
        <w:rPr>
          <w:rFonts w:cs="Times New Roman"/>
        </w:rPr>
        <w:t>AEP</w:t>
      </w:r>
      <w:r w:rsidR="00D26C34">
        <w:rPr>
          <w:rFonts w:cs="Times New Roman"/>
        </w:rPr>
        <w:t>’</w:t>
      </w:r>
      <w:r>
        <w:rPr>
          <w:rFonts w:cs="Times New Roman"/>
        </w:rPr>
        <w:t xml:space="preserve">s </w:t>
      </w:r>
      <w:r w:rsidR="00992026" w:rsidRPr="00992026">
        <w:rPr>
          <w:rFonts w:cs="Times New Roman"/>
        </w:rPr>
        <w:t xml:space="preserve">current proposal fails to address how the costs of </w:t>
      </w:r>
      <w:r w:rsidR="003806BF">
        <w:rPr>
          <w:rFonts w:cs="Times New Roman"/>
        </w:rPr>
        <w:t xml:space="preserve">transmission and distribution </w:t>
      </w:r>
      <w:r w:rsidR="00992026" w:rsidRPr="00992026">
        <w:rPr>
          <w:rFonts w:cs="Times New Roman"/>
        </w:rPr>
        <w:t>upgrades</w:t>
      </w:r>
      <w:r w:rsidR="00A70D18">
        <w:rPr>
          <w:rFonts w:cs="Times New Roman"/>
        </w:rPr>
        <w:t>,</w:t>
      </w:r>
      <w:r w:rsidR="00992026" w:rsidRPr="00992026">
        <w:rPr>
          <w:rFonts w:cs="Times New Roman"/>
        </w:rPr>
        <w:t xml:space="preserve"> particularly those driven by data center expansion</w:t>
      </w:r>
      <w:r w:rsidR="00A70D18">
        <w:rPr>
          <w:rFonts w:cs="Times New Roman"/>
        </w:rPr>
        <w:t>,</w:t>
      </w:r>
      <w:r w:rsidR="00992026" w:rsidRPr="00992026">
        <w:rPr>
          <w:rFonts w:cs="Times New Roman"/>
        </w:rPr>
        <w:t xml:space="preserve"> will be </w:t>
      </w:r>
      <w:r>
        <w:rPr>
          <w:rFonts w:cs="Times New Roman"/>
        </w:rPr>
        <w:t>paid for</w:t>
      </w:r>
      <w:r w:rsidR="00992026" w:rsidRPr="00992026">
        <w:rPr>
          <w:rFonts w:cs="Times New Roman"/>
        </w:rPr>
        <w:t>.</w:t>
      </w:r>
      <w:r w:rsidR="007D16FA">
        <w:rPr>
          <w:rFonts w:cs="Times New Roman"/>
          <w:szCs w:val="24"/>
        </w:rPr>
        <w:t xml:space="preserve"> </w:t>
      </w:r>
      <w:r w:rsidR="007D16FA" w:rsidRPr="007D16FA">
        <w:rPr>
          <w:rFonts w:cs="Times New Roman"/>
          <w:szCs w:val="24"/>
        </w:rPr>
        <w:t>By 2020,</w:t>
      </w:r>
      <w:r w:rsidR="00293607">
        <w:rPr>
          <w:rFonts w:cs="Times New Roman"/>
          <w:szCs w:val="24"/>
        </w:rPr>
        <w:t xml:space="preserve"> data centers’ </w:t>
      </w:r>
      <w:r w:rsidR="007D16FA" w:rsidRPr="007D16FA">
        <w:rPr>
          <w:rFonts w:cs="Times New Roman"/>
          <w:szCs w:val="24"/>
        </w:rPr>
        <w:t>load on the grid had already surpassed 100 MW.</w:t>
      </w:r>
      <w:r>
        <w:rPr>
          <w:rStyle w:val="FootnoteReference"/>
          <w:rFonts w:cs="Times New Roman"/>
          <w:szCs w:val="24"/>
        </w:rPr>
        <w:footnoteReference w:id="12"/>
      </w:r>
      <w:r w:rsidR="007D16FA" w:rsidRPr="007D16FA">
        <w:rPr>
          <w:rFonts w:cs="Times New Roman"/>
          <w:szCs w:val="24"/>
        </w:rPr>
        <w:t xml:space="preserve"> By April 2024, the data center load had ballooned to nearly 600 MW</w:t>
      </w:r>
      <w:r w:rsidR="00AF52FA">
        <w:rPr>
          <w:rFonts w:cs="Times New Roman"/>
          <w:szCs w:val="24"/>
        </w:rPr>
        <w:t>.</w:t>
      </w:r>
      <w:r w:rsidR="00140E54">
        <w:rPr>
          <w:rFonts w:cs="Times New Roman"/>
          <w:szCs w:val="24"/>
        </w:rPr>
        <w:t xml:space="preserve"> </w:t>
      </w:r>
      <w:r w:rsidR="00AF52FA">
        <w:rPr>
          <w:rFonts w:cs="Times New Roman"/>
          <w:szCs w:val="24"/>
        </w:rPr>
        <w:t>With</w:t>
      </w:r>
      <w:r w:rsidR="007D16FA" w:rsidRPr="007D16FA">
        <w:rPr>
          <w:rFonts w:cs="Times New Roman"/>
          <w:szCs w:val="24"/>
        </w:rPr>
        <w:t xml:space="preserve"> signed agreements in place, that number is expected to skyrocket to a staggering 5,000 MW by 2030 in </w:t>
      </w:r>
      <w:r w:rsidR="00AF52FA">
        <w:rPr>
          <w:rFonts w:cs="Times New Roman"/>
          <w:szCs w:val="24"/>
        </w:rPr>
        <w:t>c</w:t>
      </w:r>
      <w:r w:rsidR="007D16FA" w:rsidRPr="007D16FA">
        <w:rPr>
          <w:rFonts w:cs="Times New Roman"/>
          <w:szCs w:val="24"/>
        </w:rPr>
        <w:t>entral Ohio alone.</w:t>
      </w:r>
      <w:r>
        <w:rPr>
          <w:rStyle w:val="FootnoteReference"/>
          <w:rFonts w:cs="Times New Roman"/>
          <w:szCs w:val="24"/>
        </w:rPr>
        <w:footnoteReference w:id="13"/>
      </w:r>
      <w:r w:rsidR="007D16FA" w:rsidRPr="007D16FA">
        <w:rPr>
          <w:rFonts w:cs="Times New Roman"/>
          <w:szCs w:val="24"/>
        </w:rPr>
        <w:t xml:space="preserve"> </w:t>
      </w:r>
      <w:r w:rsidR="00AF52FA">
        <w:rPr>
          <w:rFonts w:cs="Times New Roman"/>
          <w:szCs w:val="24"/>
        </w:rPr>
        <w:t>According to AEP, t</w:t>
      </w:r>
      <w:r w:rsidR="007D16FA" w:rsidRPr="007D16FA">
        <w:rPr>
          <w:rFonts w:cs="Times New Roman"/>
          <w:szCs w:val="24"/>
        </w:rPr>
        <w:t>his surge will more than double the region</w:t>
      </w:r>
      <w:r w:rsidR="00293607">
        <w:rPr>
          <w:rFonts w:cs="Times New Roman"/>
          <w:szCs w:val="24"/>
        </w:rPr>
        <w:t>’s</w:t>
      </w:r>
      <w:r w:rsidR="007D16FA" w:rsidRPr="007D16FA">
        <w:rPr>
          <w:rFonts w:cs="Times New Roman"/>
          <w:szCs w:val="24"/>
        </w:rPr>
        <w:t xml:space="preserve"> total electricity consumption, pushing it from 4,000 MW to 9,000 MW within a decade.</w:t>
      </w:r>
      <w:r>
        <w:rPr>
          <w:rStyle w:val="FootnoteReference"/>
          <w:rFonts w:cs="Times New Roman"/>
          <w:szCs w:val="24"/>
        </w:rPr>
        <w:footnoteReference w:id="14"/>
      </w:r>
      <w:r w:rsidR="007D16FA" w:rsidRPr="007D16FA">
        <w:rPr>
          <w:rFonts w:cs="Times New Roman"/>
          <w:szCs w:val="24"/>
        </w:rPr>
        <w:t xml:space="preserve"> As a result, AEP Ohio</w:t>
      </w:r>
      <w:r w:rsidR="00293607">
        <w:rPr>
          <w:rFonts w:cs="Times New Roman"/>
          <w:szCs w:val="24"/>
        </w:rPr>
        <w:t>’</w:t>
      </w:r>
      <w:r w:rsidR="007D16FA" w:rsidRPr="007D16FA">
        <w:rPr>
          <w:rFonts w:cs="Times New Roman"/>
          <w:szCs w:val="24"/>
        </w:rPr>
        <w:t>s top five customers are all expected to be data centers by 2030.</w:t>
      </w:r>
      <w:r>
        <w:rPr>
          <w:rStyle w:val="FootnoteReference"/>
          <w:rFonts w:cs="Times New Roman"/>
          <w:szCs w:val="24"/>
        </w:rPr>
        <w:footnoteReference w:id="15"/>
      </w:r>
      <w:r w:rsidR="00293607">
        <w:rPr>
          <w:rFonts w:cs="Times New Roman"/>
          <w:szCs w:val="24"/>
        </w:rPr>
        <w:t xml:space="preserve"> </w:t>
      </w:r>
    </w:p>
    <w:p w14:paraId="1E32B6DB" w14:textId="477CBCE7" w:rsidR="00992026" w:rsidRPr="00992026" w:rsidRDefault="001448FC" w:rsidP="00992026">
      <w:pPr>
        <w:spacing w:line="480" w:lineRule="auto"/>
        <w:ind w:firstLine="720"/>
        <w:rPr>
          <w:rFonts w:cs="Times New Roman"/>
          <w:szCs w:val="24"/>
        </w:rPr>
      </w:pPr>
      <w:r w:rsidRPr="00992026">
        <w:rPr>
          <w:rFonts w:cs="Times New Roman"/>
        </w:rPr>
        <w:t xml:space="preserve">The OCC recommends several safeguards to shield residential </w:t>
      </w:r>
      <w:r w:rsidR="0091198F">
        <w:rPr>
          <w:rFonts w:cs="Times New Roman"/>
        </w:rPr>
        <w:t xml:space="preserve">consumers from </w:t>
      </w:r>
      <w:r w:rsidR="00C70F64">
        <w:rPr>
          <w:rFonts w:cs="Times New Roman"/>
        </w:rPr>
        <w:t xml:space="preserve">being </w:t>
      </w:r>
      <w:r w:rsidR="0091198F">
        <w:rPr>
          <w:rFonts w:cs="Times New Roman"/>
        </w:rPr>
        <w:t>unfair</w:t>
      </w:r>
      <w:r w:rsidR="00C70F64">
        <w:rPr>
          <w:rFonts w:cs="Times New Roman"/>
        </w:rPr>
        <w:t>ly allocated costs to serve the data centers</w:t>
      </w:r>
      <w:r w:rsidRPr="00992026">
        <w:rPr>
          <w:rFonts w:cs="Times New Roman"/>
        </w:rPr>
        <w:t>:</w:t>
      </w:r>
    </w:p>
    <w:p w14:paraId="0A6837C8" w14:textId="0BAD4E48" w:rsidR="00E80C3A" w:rsidRPr="00CE2C9B" w:rsidRDefault="001448FC" w:rsidP="00F8593B">
      <w:pPr>
        <w:pStyle w:val="ListParagraph"/>
        <w:numPr>
          <w:ilvl w:val="0"/>
          <w:numId w:val="12"/>
        </w:numPr>
        <w:ind w:left="1440" w:hanging="720"/>
        <w:rPr>
          <w:rFonts w:cs="Times New Roman"/>
          <w:b/>
          <w:bCs/>
          <w:szCs w:val="24"/>
        </w:rPr>
      </w:pPr>
      <w:r w:rsidRPr="00CE2C9B">
        <w:rPr>
          <w:rFonts w:cs="Times New Roman"/>
          <w:b/>
          <w:bCs/>
          <w:szCs w:val="24"/>
        </w:rPr>
        <w:t>There should be an u</w:t>
      </w:r>
      <w:r w:rsidR="00E84434" w:rsidRPr="00CE2C9B">
        <w:rPr>
          <w:rFonts w:cs="Times New Roman"/>
          <w:b/>
          <w:bCs/>
          <w:szCs w:val="24"/>
        </w:rPr>
        <w:t xml:space="preserve">pdated </w:t>
      </w:r>
      <w:r w:rsidRPr="00CE2C9B">
        <w:rPr>
          <w:rFonts w:cs="Times New Roman"/>
          <w:b/>
          <w:bCs/>
          <w:szCs w:val="24"/>
        </w:rPr>
        <w:t>c</w:t>
      </w:r>
      <w:r w:rsidR="00E84434" w:rsidRPr="00CE2C9B">
        <w:rPr>
          <w:rFonts w:cs="Times New Roman"/>
          <w:b/>
          <w:bCs/>
          <w:szCs w:val="24"/>
        </w:rPr>
        <w:t xml:space="preserve">ost </w:t>
      </w:r>
      <w:r w:rsidRPr="00CE2C9B">
        <w:rPr>
          <w:rFonts w:cs="Times New Roman"/>
          <w:b/>
          <w:bCs/>
          <w:szCs w:val="24"/>
        </w:rPr>
        <w:t>a</w:t>
      </w:r>
      <w:r w:rsidR="00E84434" w:rsidRPr="00CE2C9B">
        <w:rPr>
          <w:rFonts w:cs="Times New Roman"/>
          <w:b/>
          <w:bCs/>
          <w:szCs w:val="24"/>
        </w:rPr>
        <w:t xml:space="preserve">llocation </w:t>
      </w:r>
      <w:r w:rsidRPr="00CE2C9B">
        <w:rPr>
          <w:rFonts w:cs="Times New Roman"/>
          <w:b/>
          <w:bCs/>
          <w:szCs w:val="24"/>
        </w:rPr>
        <w:t>s</w:t>
      </w:r>
      <w:r w:rsidR="00E84434" w:rsidRPr="00CE2C9B">
        <w:rPr>
          <w:rFonts w:cs="Times New Roman"/>
          <w:b/>
          <w:bCs/>
          <w:szCs w:val="24"/>
        </w:rPr>
        <w:t>tudy</w:t>
      </w:r>
      <w:r w:rsidRPr="00CE2C9B">
        <w:rPr>
          <w:rFonts w:cs="Times New Roman"/>
          <w:b/>
          <w:bCs/>
          <w:szCs w:val="24"/>
        </w:rPr>
        <w:t xml:space="preserve"> </w:t>
      </w:r>
      <w:r w:rsidR="00137538">
        <w:rPr>
          <w:rFonts w:cs="Times New Roman"/>
          <w:b/>
          <w:bCs/>
          <w:szCs w:val="24"/>
        </w:rPr>
        <w:t xml:space="preserve">to </w:t>
      </w:r>
      <w:r w:rsidR="003914F7">
        <w:rPr>
          <w:rFonts w:cs="Times New Roman"/>
          <w:b/>
          <w:bCs/>
          <w:szCs w:val="24"/>
        </w:rPr>
        <w:t xml:space="preserve">properly </w:t>
      </w:r>
      <w:r w:rsidR="00137538">
        <w:rPr>
          <w:rFonts w:cs="Times New Roman"/>
          <w:b/>
          <w:bCs/>
          <w:szCs w:val="24"/>
        </w:rPr>
        <w:t>allocate</w:t>
      </w:r>
      <w:r w:rsidRPr="00CE2C9B">
        <w:rPr>
          <w:rFonts w:cs="Times New Roman"/>
          <w:b/>
          <w:bCs/>
          <w:szCs w:val="24"/>
        </w:rPr>
        <w:t xml:space="preserve"> costs to </w:t>
      </w:r>
      <w:r w:rsidR="00D657FD" w:rsidRPr="00CE2C9B">
        <w:rPr>
          <w:rFonts w:cs="Times New Roman"/>
          <w:b/>
          <w:bCs/>
          <w:szCs w:val="24"/>
        </w:rPr>
        <w:t>existing data centers and data centers who have signed agreements with AEP</w:t>
      </w:r>
      <w:r w:rsidRPr="00CE2C9B">
        <w:rPr>
          <w:rFonts w:cs="Times New Roman"/>
          <w:b/>
          <w:bCs/>
          <w:szCs w:val="24"/>
        </w:rPr>
        <w:t>.</w:t>
      </w:r>
    </w:p>
    <w:p w14:paraId="1549EC3D" w14:textId="77777777" w:rsidR="00E80C3A" w:rsidRDefault="00E80C3A">
      <w:pPr>
        <w:ind w:left="1440" w:right="720"/>
        <w:rPr>
          <w:rFonts w:cs="Times New Roman"/>
          <w:b/>
          <w:bCs/>
          <w:szCs w:val="24"/>
        </w:rPr>
      </w:pPr>
    </w:p>
    <w:p w14:paraId="03EC2B86" w14:textId="68D82D9B" w:rsidR="00E84434" w:rsidRDefault="001448FC" w:rsidP="00F8593B">
      <w:pPr>
        <w:ind w:left="1440"/>
        <w:rPr>
          <w:rFonts w:cs="Times New Roman"/>
          <w:szCs w:val="24"/>
        </w:rPr>
      </w:pPr>
      <w:r>
        <w:rPr>
          <w:rFonts w:cs="Times New Roman"/>
          <w:szCs w:val="24"/>
        </w:rPr>
        <w:t xml:space="preserve"> </w:t>
      </w:r>
      <w:r w:rsidR="00D657FD">
        <w:rPr>
          <w:rFonts w:cs="Times New Roman"/>
          <w:szCs w:val="24"/>
        </w:rPr>
        <w:t>AEP’s current distribution and transmission rates reflect an allocation of costs to each customer class based on AEP’s latest cost of service study.</w:t>
      </w:r>
      <w:r w:rsidR="00140E54">
        <w:rPr>
          <w:rFonts w:cs="Times New Roman"/>
          <w:szCs w:val="24"/>
        </w:rPr>
        <w:t xml:space="preserve"> </w:t>
      </w:r>
      <w:r w:rsidR="00D657FD">
        <w:rPr>
          <w:rFonts w:cs="Times New Roman"/>
          <w:szCs w:val="24"/>
        </w:rPr>
        <w:t xml:space="preserve">That </w:t>
      </w:r>
      <w:proofErr w:type="gramStart"/>
      <w:r w:rsidR="00D657FD">
        <w:rPr>
          <w:rFonts w:cs="Times New Roman"/>
          <w:szCs w:val="24"/>
        </w:rPr>
        <w:t>cost of service</w:t>
      </w:r>
      <w:proofErr w:type="gramEnd"/>
      <w:r w:rsidR="00D657FD">
        <w:rPr>
          <w:rFonts w:cs="Times New Roman"/>
          <w:szCs w:val="24"/>
        </w:rPr>
        <w:t xml:space="preserve"> study was filed in AEP’s last distribution rate case, 20-585-EL-AIR.</w:t>
      </w:r>
      <w:r w:rsidR="00140E54">
        <w:rPr>
          <w:rFonts w:cs="Times New Roman"/>
          <w:szCs w:val="24"/>
        </w:rPr>
        <w:t xml:space="preserve"> </w:t>
      </w:r>
      <w:r w:rsidR="00AF52FA">
        <w:rPr>
          <w:rFonts w:cs="Times New Roman"/>
          <w:szCs w:val="24"/>
        </w:rPr>
        <w:t>AEP’s</w:t>
      </w:r>
      <w:r w:rsidR="00293607" w:rsidRPr="00293607">
        <w:rPr>
          <w:rFonts w:cs="Times New Roman"/>
          <w:szCs w:val="24"/>
        </w:rPr>
        <w:t xml:space="preserve"> study rel</w:t>
      </w:r>
      <w:r w:rsidR="00FE269A">
        <w:rPr>
          <w:rFonts w:cs="Times New Roman"/>
          <w:szCs w:val="24"/>
        </w:rPr>
        <w:t>ies</w:t>
      </w:r>
      <w:r w:rsidR="00293607" w:rsidRPr="00293607">
        <w:rPr>
          <w:rFonts w:cs="Times New Roman"/>
          <w:szCs w:val="24"/>
        </w:rPr>
        <w:t xml:space="preserve"> on</w:t>
      </w:r>
      <w:r w:rsidR="00D657FD">
        <w:rPr>
          <w:rFonts w:cs="Times New Roman"/>
          <w:szCs w:val="24"/>
        </w:rPr>
        <w:t xml:space="preserve"> cost allocation </w:t>
      </w:r>
      <w:r w:rsidR="00293607" w:rsidRPr="00293607">
        <w:rPr>
          <w:rFonts w:cs="Times New Roman"/>
          <w:szCs w:val="24"/>
        </w:rPr>
        <w:t>data from 2019</w:t>
      </w:r>
      <w:r w:rsidR="00D003AF">
        <w:rPr>
          <w:rFonts w:cs="Times New Roman"/>
          <w:szCs w:val="24"/>
        </w:rPr>
        <w:t xml:space="preserve"> (</w:t>
      </w:r>
      <w:r w:rsidR="00D657FD">
        <w:rPr>
          <w:rFonts w:cs="Times New Roman"/>
          <w:szCs w:val="24"/>
        </w:rPr>
        <w:t>historical</w:t>
      </w:r>
      <w:r w:rsidR="00D003AF">
        <w:rPr>
          <w:rFonts w:cs="Times New Roman"/>
          <w:szCs w:val="24"/>
        </w:rPr>
        <w:t>)</w:t>
      </w:r>
      <w:r w:rsidR="00293607" w:rsidRPr="00293607">
        <w:rPr>
          <w:rFonts w:cs="Times New Roman"/>
          <w:szCs w:val="24"/>
        </w:rPr>
        <w:t xml:space="preserve"> </w:t>
      </w:r>
      <w:r w:rsidR="004637D1">
        <w:rPr>
          <w:rFonts w:cs="Times New Roman"/>
          <w:szCs w:val="24"/>
        </w:rPr>
        <w:t xml:space="preserve">that </w:t>
      </w:r>
      <w:r w:rsidR="00D657FD">
        <w:rPr>
          <w:rFonts w:cs="Times New Roman"/>
          <w:szCs w:val="24"/>
        </w:rPr>
        <w:t>was applied to</w:t>
      </w:r>
      <w:r w:rsidR="00D003AF">
        <w:rPr>
          <w:rFonts w:cs="Times New Roman"/>
          <w:szCs w:val="24"/>
        </w:rPr>
        <w:t xml:space="preserve"> </w:t>
      </w:r>
      <w:r w:rsidR="00D657FD">
        <w:rPr>
          <w:rFonts w:cs="Times New Roman"/>
          <w:szCs w:val="24"/>
        </w:rPr>
        <w:t xml:space="preserve">test year investment and expenses in </w:t>
      </w:r>
      <w:r w:rsidR="00293607" w:rsidRPr="00293607">
        <w:rPr>
          <w:rFonts w:cs="Times New Roman"/>
          <w:szCs w:val="24"/>
        </w:rPr>
        <w:t>2020</w:t>
      </w:r>
      <w:r w:rsidR="00D657FD">
        <w:rPr>
          <w:rFonts w:cs="Times New Roman"/>
          <w:szCs w:val="24"/>
        </w:rPr>
        <w:t>.</w:t>
      </w:r>
      <w:r w:rsidR="00140E54">
        <w:rPr>
          <w:rFonts w:cs="Times New Roman"/>
          <w:szCs w:val="24"/>
        </w:rPr>
        <w:t xml:space="preserve"> </w:t>
      </w:r>
      <w:r w:rsidR="00D657FD">
        <w:rPr>
          <w:rFonts w:cs="Times New Roman"/>
          <w:szCs w:val="24"/>
        </w:rPr>
        <w:t xml:space="preserve">At that time there was little if any data center load that was factored into the </w:t>
      </w:r>
      <w:proofErr w:type="gramStart"/>
      <w:r w:rsidR="00D657FD">
        <w:rPr>
          <w:rFonts w:cs="Times New Roman"/>
          <w:szCs w:val="24"/>
        </w:rPr>
        <w:t>cost of service</w:t>
      </w:r>
      <w:proofErr w:type="gramEnd"/>
      <w:r w:rsidR="00D657FD">
        <w:rPr>
          <w:rFonts w:cs="Times New Roman"/>
          <w:szCs w:val="24"/>
        </w:rPr>
        <w:t xml:space="preserve"> study.</w:t>
      </w:r>
      <w:r w:rsidR="00140E54">
        <w:rPr>
          <w:rFonts w:cs="Times New Roman"/>
          <w:szCs w:val="24"/>
        </w:rPr>
        <w:t xml:space="preserve"> </w:t>
      </w:r>
      <w:r w:rsidR="00D657FD">
        <w:rPr>
          <w:rFonts w:cs="Times New Roman"/>
          <w:szCs w:val="24"/>
        </w:rPr>
        <w:t>(There was no separate customer class for data centers as AEP proposes in this case</w:t>
      </w:r>
      <w:r w:rsidR="00CE2C9B">
        <w:rPr>
          <w:rFonts w:cs="Times New Roman"/>
          <w:szCs w:val="24"/>
        </w:rPr>
        <w:t>, and data center growth had not exploded as it has in the last year or so</w:t>
      </w:r>
      <w:r w:rsidR="00D657FD">
        <w:rPr>
          <w:rFonts w:cs="Times New Roman"/>
          <w:szCs w:val="24"/>
        </w:rPr>
        <w:t>)</w:t>
      </w:r>
      <w:r w:rsidR="00293607" w:rsidRPr="00293607">
        <w:rPr>
          <w:rFonts w:cs="Times New Roman"/>
          <w:szCs w:val="24"/>
        </w:rPr>
        <w:t>.</w:t>
      </w:r>
      <w:r>
        <w:rPr>
          <w:rStyle w:val="FootnoteReference"/>
          <w:rFonts w:cs="Times New Roman"/>
          <w:szCs w:val="24"/>
        </w:rPr>
        <w:footnoteReference w:id="16"/>
      </w:r>
      <w:r w:rsidR="00293607" w:rsidRPr="00293607">
        <w:rPr>
          <w:rFonts w:cs="Times New Roman"/>
          <w:szCs w:val="24"/>
        </w:rPr>
        <w:t xml:space="preserve"> </w:t>
      </w:r>
      <w:r>
        <w:rPr>
          <w:rFonts w:cs="Times New Roman"/>
          <w:szCs w:val="24"/>
        </w:rPr>
        <w:t>Given the significant growth in data center load as of April 2024</w:t>
      </w:r>
      <w:r w:rsidR="00293607" w:rsidRPr="00293607">
        <w:rPr>
          <w:rFonts w:cs="Times New Roman"/>
          <w:szCs w:val="24"/>
        </w:rPr>
        <w:t>,</w:t>
      </w:r>
      <w:r w:rsidR="00C311E0">
        <w:rPr>
          <w:rFonts w:cs="Times New Roman"/>
          <w:szCs w:val="24"/>
        </w:rPr>
        <w:t xml:space="preserve"> </w:t>
      </w:r>
      <w:r w:rsidR="00E80C3A">
        <w:rPr>
          <w:rFonts w:cs="Times New Roman"/>
          <w:szCs w:val="24"/>
        </w:rPr>
        <w:t xml:space="preserve">as evidenced by signed agreements for 4,4000 MWs, </w:t>
      </w:r>
      <w:r w:rsidR="00293607" w:rsidRPr="00293607">
        <w:rPr>
          <w:rFonts w:cs="Times New Roman"/>
          <w:szCs w:val="24"/>
        </w:rPr>
        <w:t xml:space="preserve">a new </w:t>
      </w:r>
      <w:r w:rsidR="00CE2C9B">
        <w:rPr>
          <w:rFonts w:cs="Times New Roman"/>
          <w:szCs w:val="24"/>
        </w:rPr>
        <w:t xml:space="preserve">cost of service </w:t>
      </w:r>
      <w:r w:rsidR="00293607" w:rsidRPr="00293607">
        <w:rPr>
          <w:rFonts w:cs="Times New Roman"/>
          <w:szCs w:val="24"/>
        </w:rPr>
        <w:t xml:space="preserve">study is </w:t>
      </w:r>
      <w:r w:rsidR="00CE2C9B">
        <w:rPr>
          <w:rFonts w:cs="Times New Roman"/>
          <w:szCs w:val="24"/>
        </w:rPr>
        <w:t>warranted and necessary</w:t>
      </w:r>
      <w:r w:rsidR="00293607" w:rsidRPr="00293607">
        <w:rPr>
          <w:rFonts w:cs="Times New Roman"/>
          <w:szCs w:val="24"/>
        </w:rPr>
        <w:t xml:space="preserve"> to ensure a fair allocation of current</w:t>
      </w:r>
      <w:r w:rsidR="00D657FD">
        <w:rPr>
          <w:rFonts w:cs="Times New Roman"/>
          <w:szCs w:val="24"/>
        </w:rPr>
        <w:t xml:space="preserve">, ongoing </w:t>
      </w:r>
      <w:r w:rsidR="00293607" w:rsidRPr="00293607">
        <w:rPr>
          <w:rFonts w:cs="Times New Roman"/>
          <w:szCs w:val="24"/>
        </w:rPr>
        <w:t xml:space="preserve">transmission and distribution expenses. This includes factoring in the </w:t>
      </w:r>
      <w:r w:rsidR="00E80C3A">
        <w:rPr>
          <w:rFonts w:cs="Times New Roman"/>
          <w:szCs w:val="24"/>
        </w:rPr>
        <w:t xml:space="preserve">costs to serve </w:t>
      </w:r>
      <w:r w:rsidR="00CE2C9B">
        <w:rPr>
          <w:rFonts w:cs="Times New Roman"/>
          <w:szCs w:val="24"/>
        </w:rPr>
        <w:t xml:space="preserve">existing </w:t>
      </w:r>
      <w:r w:rsidR="00E80C3A">
        <w:rPr>
          <w:rFonts w:cs="Times New Roman"/>
          <w:szCs w:val="24"/>
        </w:rPr>
        <w:t xml:space="preserve">data centers </w:t>
      </w:r>
      <w:r w:rsidR="00CE2C9B">
        <w:rPr>
          <w:rFonts w:cs="Times New Roman"/>
          <w:szCs w:val="24"/>
        </w:rPr>
        <w:lastRenderedPageBreak/>
        <w:t>and data centers with signed service agreements.</w:t>
      </w:r>
      <w:r w:rsidR="00140E54">
        <w:rPr>
          <w:rFonts w:cs="Times New Roman"/>
          <w:szCs w:val="24"/>
        </w:rPr>
        <w:t xml:space="preserve"> </w:t>
      </w:r>
      <w:r w:rsidR="00CE2C9B">
        <w:rPr>
          <w:rFonts w:cs="Times New Roman"/>
          <w:szCs w:val="24"/>
        </w:rPr>
        <w:t xml:space="preserve">In this way there is a check on </w:t>
      </w:r>
      <w:r w:rsidR="00E80C3A">
        <w:rPr>
          <w:rFonts w:cs="Times New Roman"/>
          <w:szCs w:val="24"/>
        </w:rPr>
        <w:t xml:space="preserve">transmission and distribution rates </w:t>
      </w:r>
      <w:r w:rsidR="00CE2C9B">
        <w:rPr>
          <w:rFonts w:cs="Times New Roman"/>
          <w:szCs w:val="24"/>
        </w:rPr>
        <w:t xml:space="preserve">that are being charged to </w:t>
      </w:r>
      <w:r w:rsidR="003914F7">
        <w:rPr>
          <w:rFonts w:cs="Times New Roman"/>
          <w:szCs w:val="24"/>
        </w:rPr>
        <w:t xml:space="preserve">all other </w:t>
      </w:r>
      <w:r w:rsidR="00CE2C9B">
        <w:rPr>
          <w:rFonts w:cs="Times New Roman"/>
          <w:szCs w:val="24"/>
        </w:rPr>
        <w:t>AEP consumers, facilitating the establishment of transmission and distribution rates</w:t>
      </w:r>
      <w:r w:rsidR="00E80C3A">
        <w:rPr>
          <w:rFonts w:cs="Times New Roman"/>
          <w:szCs w:val="24"/>
        </w:rPr>
        <w:t xml:space="preserve"> based on the cost of serving each customer group/class.</w:t>
      </w:r>
      <w:r w:rsidR="00140E54">
        <w:rPr>
          <w:rFonts w:cs="Times New Roman"/>
          <w:szCs w:val="24"/>
        </w:rPr>
        <w:t xml:space="preserve"> </w:t>
      </w:r>
    </w:p>
    <w:p w14:paraId="709F6C51" w14:textId="77777777" w:rsidR="00E84434" w:rsidRDefault="00E84434">
      <w:pPr>
        <w:ind w:left="1440" w:right="720"/>
        <w:rPr>
          <w:rFonts w:cs="Times New Roman"/>
          <w:szCs w:val="24"/>
        </w:rPr>
      </w:pPr>
    </w:p>
    <w:p w14:paraId="238B9647" w14:textId="4CCD5255" w:rsidR="00E80C3A" w:rsidRDefault="001448FC" w:rsidP="00F8593B">
      <w:pPr>
        <w:numPr>
          <w:ilvl w:val="0"/>
          <w:numId w:val="9"/>
        </w:numPr>
        <w:tabs>
          <w:tab w:val="clear" w:pos="720"/>
        </w:tabs>
        <w:ind w:left="1440" w:hanging="720"/>
        <w:rPr>
          <w:rFonts w:cs="Times New Roman"/>
          <w:szCs w:val="24"/>
        </w:rPr>
      </w:pPr>
      <w:r>
        <w:rPr>
          <w:rFonts w:cs="Times New Roman"/>
          <w:b/>
          <w:bCs/>
          <w:szCs w:val="24"/>
        </w:rPr>
        <w:t>There should be future cost allocation studies conducted for new data centers</w:t>
      </w:r>
      <w:r w:rsidR="00F8593B">
        <w:rPr>
          <w:rFonts w:cs="Times New Roman"/>
          <w:b/>
          <w:bCs/>
          <w:szCs w:val="24"/>
        </w:rPr>
        <w:t>.</w:t>
      </w:r>
    </w:p>
    <w:p w14:paraId="2ABF9A60" w14:textId="77777777" w:rsidR="00E80C3A" w:rsidRDefault="00E80C3A" w:rsidP="00AC1D17">
      <w:pPr>
        <w:ind w:left="1440" w:right="720"/>
        <w:rPr>
          <w:rFonts w:cs="Times New Roman"/>
          <w:szCs w:val="24"/>
        </w:rPr>
      </w:pPr>
    </w:p>
    <w:p w14:paraId="0C6B17EB" w14:textId="51E8E7A7" w:rsidR="00293607" w:rsidRPr="00AC1D17" w:rsidRDefault="001448FC" w:rsidP="00F8593B">
      <w:pPr>
        <w:ind w:left="1440"/>
        <w:rPr>
          <w:rFonts w:cs="Times New Roman"/>
          <w:szCs w:val="24"/>
        </w:rPr>
      </w:pPr>
      <w:r>
        <w:rPr>
          <w:rFonts w:cs="Times New Roman"/>
          <w:szCs w:val="24"/>
        </w:rPr>
        <w:t xml:space="preserve">Given the significant </w:t>
      </w:r>
      <w:r w:rsidR="00E80C3A">
        <w:rPr>
          <w:rFonts w:cs="Times New Roman"/>
          <w:szCs w:val="24"/>
        </w:rPr>
        <w:t xml:space="preserve">new load associated with data centers in AEP territory, </w:t>
      </w:r>
      <w:r>
        <w:rPr>
          <w:rFonts w:cs="Times New Roman"/>
          <w:szCs w:val="24"/>
        </w:rPr>
        <w:t>any update</w:t>
      </w:r>
      <w:r w:rsidR="00A00271">
        <w:rPr>
          <w:rFonts w:cs="Times New Roman"/>
          <w:szCs w:val="24"/>
        </w:rPr>
        <w:t>d</w:t>
      </w:r>
      <w:r>
        <w:rPr>
          <w:rFonts w:cs="Times New Roman"/>
          <w:szCs w:val="24"/>
        </w:rPr>
        <w:t xml:space="preserve"> allocation study will quickly become outdated. An updated allocation study should, therefore, be performed every time there is </w:t>
      </w:r>
      <w:r w:rsidR="00E80C3A">
        <w:rPr>
          <w:rFonts w:cs="Times New Roman"/>
          <w:szCs w:val="24"/>
        </w:rPr>
        <w:t xml:space="preserve">significant </w:t>
      </w:r>
      <w:r>
        <w:rPr>
          <w:rFonts w:cs="Times New Roman"/>
          <w:szCs w:val="24"/>
        </w:rPr>
        <w:t>load growth</w:t>
      </w:r>
      <w:r w:rsidR="00E80C3A">
        <w:rPr>
          <w:rFonts w:cs="Times New Roman"/>
          <w:szCs w:val="24"/>
        </w:rPr>
        <w:t>.</w:t>
      </w:r>
      <w:r w:rsidR="00140E54">
        <w:rPr>
          <w:rFonts w:cs="Times New Roman"/>
          <w:szCs w:val="24"/>
        </w:rPr>
        <w:t xml:space="preserve"> </w:t>
      </w:r>
    </w:p>
    <w:p w14:paraId="7050837F" w14:textId="77777777" w:rsidR="00A5596E" w:rsidRPr="00AC1D17" w:rsidRDefault="00A5596E" w:rsidP="00F8593B">
      <w:pPr>
        <w:ind w:left="1440"/>
        <w:rPr>
          <w:rFonts w:cs="Times New Roman"/>
          <w:szCs w:val="24"/>
        </w:rPr>
      </w:pPr>
    </w:p>
    <w:p w14:paraId="65BCD82E" w14:textId="05DED6D3" w:rsidR="00AC1D17" w:rsidRPr="00AC1D17" w:rsidRDefault="001448FC" w:rsidP="00F8593B">
      <w:pPr>
        <w:numPr>
          <w:ilvl w:val="0"/>
          <w:numId w:val="9"/>
        </w:numPr>
        <w:tabs>
          <w:tab w:val="clear" w:pos="720"/>
        </w:tabs>
        <w:ind w:left="1440" w:hanging="720"/>
        <w:rPr>
          <w:rFonts w:cs="Times New Roman"/>
          <w:szCs w:val="24"/>
        </w:rPr>
      </w:pPr>
      <w:r>
        <w:rPr>
          <w:rFonts w:cs="Times New Roman"/>
          <w:b/>
          <w:bCs/>
          <w:szCs w:val="24"/>
        </w:rPr>
        <w:t>There should be a t</w:t>
      </w:r>
      <w:r w:rsidR="006A043E">
        <w:rPr>
          <w:rFonts w:cs="Times New Roman"/>
          <w:b/>
          <w:bCs/>
          <w:szCs w:val="24"/>
        </w:rPr>
        <w:t xml:space="preserve">ransmission </w:t>
      </w:r>
      <w:r>
        <w:rPr>
          <w:rFonts w:cs="Times New Roman"/>
          <w:b/>
          <w:bCs/>
          <w:szCs w:val="24"/>
        </w:rPr>
        <w:t>l</w:t>
      </w:r>
      <w:r w:rsidR="006A043E">
        <w:rPr>
          <w:rFonts w:cs="Times New Roman"/>
          <w:b/>
          <w:bCs/>
          <w:szCs w:val="24"/>
        </w:rPr>
        <w:t xml:space="preserve">ine </w:t>
      </w:r>
      <w:r>
        <w:rPr>
          <w:rFonts w:cs="Times New Roman"/>
          <w:b/>
          <w:bCs/>
          <w:szCs w:val="24"/>
        </w:rPr>
        <w:t>c</w:t>
      </w:r>
      <w:r w:rsidR="006A043E">
        <w:rPr>
          <w:rFonts w:cs="Times New Roman"/>
          <w:b/>
          <w:bCs/>
          <w:szCs w:val="24"/>
        </w:rPr>
        <w:t xml:space="preserve">ost </w:t>
      </w:r>
      <w:r>
        <w:rPr>
          <w:rFonts w:cs="Times New Roman"/>
          <w:b/>
          <w:bCs/>
          <w:szCs w:val="24"/>
        </w:rPr>
        <w:t>a</w:t>
      </w:r>
      <w:r w:rsidR="006A043E">
        <w:rPr>
          <w:rFonts w:cs="Times New Roman"/>
          <w:b/>
          <w:bCs/>
          <w:szCs w:val="24"/>
        </w:rPr>
        <w:t xml:space="preserve">llocation </w:t>
      </w:r>
      <w:r>
        <w:rPr>
          <w:rFonts w:cs="Times New Roman"/>
          <w:b/>
          <w:bCs/>
          <w:szCs w:val="24"/>
        </w:rPr>
        <w:t>s</w:t>
      </w:r>
      <w:r w:rsidR="006A043E">
        <w:rPr>
          <w:rFonts w:cs="Times New Roman"/>
          <w:b/>
          <w:bCs/>
          <w:szCs w:val="24"/>
        </w:rPr>
        <w:t>tudy</w:t>
      </w:r>
      <w:r>
        <w:rPr>
          <w:rFonts w:cs="Times New Roman"/>
          <w:b/>
          <w:bCs/>
          <w:szCs w:val="24"/>
        </w:rPr>
        <w:t xml:space="preserve"> conducted and thoroughly vetted before transmission investment is made to serve new data centers.</w:t>
      </w:r>
      <w:r w:rsidRPr="00AC1D17">
        <w:rPr>
          <w:rStyle w:val="FootnoteReference"/>
          <w:rFonts w:cs="Times New Roman"/>
          <w:szCs w:val="24"/>
        </w:rPr>
        <w:t xml:space="preserve"> </w:t>
      </w:r>
      <w:r>
        <w:rPr>
          <w:rStyle w:val="FootnoteReference"/>
          <w:rFonts w:cs="Times New Roman"/>
          <w:szCs w:val="24"/>
        </w:rPr>
        <w:footnoteReference w:id="17"/>
      </w:r>
    </w:p>
    <w:p w14:paraId="0F35FE41" w14:textId="77777777" w:rsidR="00AC1D17" w:rsidRDefault="00AC1D17" w:rsidP="00AC1D17">
      <w:pPr>
        <w:ind w:left="720" w:right="720"/>
        <w:rPr>
          <w:rFonts w:cs="Times New Roman"/>
          <w:szCs w:val="24"/>
        </w:rPr>
      </w:pPr>
    </w:p>
    <w:p w14:paraId="18A30D57" w14:textId="5ABB5798" w:rsidR="001F75AF" w:rsidRPr="00AC1D17" w:rsidRDefault="001448FC" w:rsidP="00F8593B">
      <w:pPr>
        <w:ind w:left="1440"/>
        <w:rPr>
          <w:rFonts w:cs="Times New Roman"/>
          <w:szCs w:val="24"/>
        </w:rPr>
      </w:pPr>
      <w:r w:rsidRPr="00AC1D17">
        <w:rPr>
          <w:rFonts w:cs="Times New Roman"/>
          <w:szCs w:val="24"/>
        </w:rPr>
        <w:t>This study should consider historical usage patterns</w:t>
      </w:r>
      <w:r w:rsidR="00A70D18" w:rsidRPr="00AC1D17">
        <w:rPr>
          <w:rFonts w:cs="Times New Roman"/>
          <w:szCs w:val="24"/>
        </w:rPr>
        <w:t>,</w:t>
      </w:r>
      <w:r w:rsidRPr="00AC1D17">
        <w:rPr>
          <w:rFonts w:cs="Times New Roman"/>
          <w:szCs w:val="24"/>
        </w:rPr>
        <w:t xml:space="preserve"> projected future demand for all customer classes</w:t>
      </w:r>
      <w:r w:rsidR="00A70D18" w:rsidRPr="00AC1D17">
        <w:rPr>
          <w:rFonts w:cs="Times New Roman"/>
          <w:szCs w:val="24"/>
        </w:rPr>
        <w:t>,</w:t>
      </w:r>
      <w:r w:rsidRPr="00AC1D17">
        <w:rPr>
          <w:rFonts w:cs="Times New Roman"/>
          <w:szCs w:val="24"/>
        </w:rPr>
        <w:t xml:space="preserve"> and the specific benefits each class receives from the new infrastructure. </w:t>
      </w:r>
      <w:r w:rsidR="002B1111" w:rsidRPr="00AC1D17">
        <w:rPr>
          <w:rFonts w:cs="Times New Roman"/>
          <w:szCs w:val="24"/>
        </w:rPr>
        <w:t>In conducting the study, data centers should be treated as a separate class of customers</w:t>
      </w:r>
      <w:r w:rsidR="00CE44BA" w:rsidRPr="00AC1D17">
        <w:rPr>
          <w:rFonts w:cs="Times New Roman"/>
          <w:szCs w:val="24"/>
        </w:rPr>
        <w:t>, consistent with AEP’s filing to create a separate class for these consumers.</w:t>
      </w:r>
      <w:r w:rsidR="002B1111" w:rsidRPr="00AC1D17">
        <w:rPr>
          <w:rFonts w:cs="Times New Roman"/>
          <w:szCs w:val="24"/>
        </w:rPr>
        <w:t xml:space="preserve"> </w:t>
      </w:r>
    </w:p>
    <w:p w14:paraId="66C7361E" w14:textId="77777777" w:rsidR="00992026" w:rsidRPr="00992026" w:rsidRDefault="00992026" w:rsidP="00DA13A6">
      <w:pPr>
        <w:ind w:left="1440" w:right="720"/>
        <w:rPr>
          <w:rFonts w:cs="Times New Roman"/>
          <w:szCs w:val="24"/>
        </w:rPr>
      </w:pPr>
    </w:p>
    <w:p w14:paraId="3DEDC87E" w14:textId="77777777" w:rsidR="002638CA" w:rsidRDefault="002638CA" w:rsidP="00A20F15"/>
    <w:p w14:paraId="452B9CC4" w14:textId="2518419B" w:rsidR="005129CF" w:rsidRDefault="001448FC" w:rsidP="0013102D">
      <w:pPr>
        <w:pStyle w:val="Heading2"/>
        <w:ind w:left="0" w:firstLine="0"/>
      </w:pPr>
      <w:r>
        <w:t>IV.</w:t>
      </w:r>
      <w:r>
        <w:tab/>
        <w:t>CONCLUSION</w:t>
      </w:r>
    </w:p>
    <w:p w14:paraId="0E5FFFE0" w14:textId="1F61DCFF" w:rsidR="002638CA" w:rsidRDefault="001448FC" w:rsidP="005A3993">
      <w:pPr>
        <w:spacing w:line="480" w:lineRule="auto"/>
        <w:ind w:firstLine="720"/>
        <w:rPr>
          <w:rFonts w:eastAsia="Courier New"/>
          <w:szCs w:val="24"/>
        </w:rPr>
      </w:pPr>
      <w:r>
        <w:rPr>
          <w:rFonts w:cs="Times New Roman"/>
          <w:szCs w:val="24"/>
        </w:rPr>
        <w:t xml:space="preserve">AEP has taken a step in the right </w:t>
      </w:r>
      <w:r>
        <w:rPr>
          <w:rFonts w:cs="Times New Roman"/>
          <w:szCs w:val="24"/>
        </w:rPr>
        <w:t>direction in acknowledging that data centers should be treated as a separate class of customers, with specific rates and terms of service.</w:t>
      </w:r>
      <w:r w:rsidR="00140E54">
        <w:rPr>
          <w:rFonts w:cs="Times New Roman"/>
          <w:szCs w:val="24"/>
        </w:rPr>
        <w:t xml:space="preserve"> </w:t>
      </w:r>
      <w:r>
        <w:rPr>
          <w:rFonts w:cs="Times New Roman"/>
          <w:szCs w:val="24"/>
        </w:rPr>
        <w:t>But more is needed to protect the other consumers of AEP, including residential consumers.</w:t>
      </w:r>
      <w:r w:rsidR="00140E54">
        <w:rPr>
          <w:rFonts w:cs="Times New Roman"/>
          <w:szCs w:val="24"/>
        </w:rPr>
        <w:t xml:space="preserve"> </w:t>
      </w:r>
      <w:r w:rsidR="006F43D2" w:rsidRPr="006F43D2">
        <w:rPr>
          <w:rFonts w:cs="Times New Roman"/>
          <w:szCs w:val="24"/>
        </w:rPr>
        <w:t>The proposed tariff</w:t>
      </w:r>
      <w:r w:rsidR="006F43D2">
        <w:rPr>
          <w:rFonts w:cs="Times New Roman"/>
          <w:szCs w:val="24"/>
        </w:rPr>
        <w:t xml:space="preserve"> provisions</w:t>
      </w:r>
      <w:r w:rsidR="006F43D2" w:rsidRPr="006F43D2">
        <w:rPr>
          <w:rFonts w:cs="Times New Roman"/>
          <w:szCs w:val="24"/>
        </w:rPr>
        <w:t xml:space="preserve">, as they stand, risk unfairly burdening residential consumers with the costs of infrastructure upgrades necessitated by data center </w:t>
      </w:r>
      <w:r w:rsidR="006F43D2" w:rsidRPr="006F43D2">
        <w:rPr>
          <w:rFonts w:cs="Times New Roman"/>
          <w:szCs w:val="24"/>
        </w:rPr>
        <w:lastRenderedPageBreak/>
        <w:t xml:space="preserve">expansion. We urge the PUCO to carefully consider the </w:t>
      </w:r>
      <w:r w:rsidR="008F30B3">
        <w:rPr>
          <w:rFonts w:cs="Times New Roman"/>
          <w:szCs w:val="24"/>
        </w:rPr>
        <w:t xml:space="preserve">initial </w:t>
      </w:r>
      <w:r w:rsidR="00AC1D17">
        <w:rPr>
          <w:rFonts w:cs="Times New Roman"/>
          <w:szCs w:val="24"/>
        </w:rPr>
        <w:t xml:space="preserve">recommendations made by OCC </w:t>
      </w:r>
      <w:r w:rsidR="006F43D2" w:rsidRPr="006F43D2">
        <w:rPr>
          <w:rFonts w:cs="Times New Roman"/>
          <w:szCs w:val="24"/>
        </w:rPr>
        <w:t>outlined in these comments to ensure a fair and just outcome for all consumers.</w:t>
      </w:r>
    </w:p>
    <w:p w14:paraId="129BA266" w14:textId="66315A3F" w:rsidR="00C15E63" w:rsidRPr="005B4463" w:rsidRDefault="001448FC" w:rsidP="00C15E6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bCs/>
          <w:szCs w:val="24"/>
        </w:rPr>
      </w:pPr>
      <w:r w:rsidRPr="005B4463">
        <w:rPr>
          <w:rFonts w:eastAsia="Courier New"/>
          <w:szCs w:val="24"/>
        </w:rPr>
        <w:t>Respectfully submitted,</w:t>
      </w:r>
    </w:p>
    <w:p w14:paraId="77B1D2EE" w14:textId="77777777" w:rsidR="00C15E63" w:rsidRPr="005B4463" w:rsidRDefault="00C15E63" w:rsidP="00C15E6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bCs/>
          <w:szCs w:val="24"/>
        </w:rPr>
      </w:pPr>
    </w:p>
    <w:p w14:paraId="7BF5F748" w14:textId="77777777" w:rsidR="00C15E63" w:rsidRPr="005B4463" w:rsidRDefault="001448FC" w:rsidP="00C15E6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bCs/>
          <w:szCs w:val="24"/>
        </w:rPr>
      </w:pPr>
      <w:r w:rsidRPr="005B4463">
        <w:rPr>
          <w:rFonts w:eastAsia="Courier New"/>
          <w:szCs w:val="24"/>
        </w:rPr>
        <w:t>Maureen R. Willis (0020847)</w:t>
      </w:r>
    </w:p>
    <w:p w14:paraId="300F6257" w14:textId="1D3975C7" w:rsidR="00C15E63" w:rsidRDefault="001448FC" w:rsidP="00C15E6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Times New Roman"/>
          <w:szCs w:val="24"/>
        </w:rPr>
      </w:pPr>
      <w:r w:rsidRPr="005B4463">
        <w:rPr>
          <w:rFonts w:eastAsia="Times New Roman"/>
          <w:szCs w:val="24"/>
        </w:rPr>
        <w:t>Ohio Consumers</w:t>
      </w:r>
      <w:r w:rsidR="00D26C34">
        <w:rPr>
          <w:rFonts w:eastAsia="Times New Roman"/>
          <w:szCs w:val="24"/>
        </w:rPr>
        <w:t>’</w:t>
      </w:r>
      <w:r w:rsidRPr="005B4463">
        <w:rPr>
          <w:rFonts w:eastAsia="Times New Roman"/>
          <w:szCs w:val="24"/>
        </w:rPr>
        <w:t xml:space="preserve"> Counsel</w:t>
      </w:r>
    </w:p>
    <w:p w14:paraId="742AEA38" w14:textId="77777777" w:rsidR="00C15E63" w:rsidRPr="005B4463" w:rsidRDefault="00C15E63" w:rsidP="00C15E63">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Times New Roman"/>
          <w:bCs/>
          <w:szCs w:val="24"/>
        </w:rPr>
      </w:pPr>
    </w:p>
    <w:p w14:paraId="593C7DAB" w14:textId="77777777" w:rsidR="00C15E63" w:rsidRPr="005B4463" w:rsidRDefault="001448FC" w:rsidP="00C15E63">
      <w:pPr>
        <w:tabs>
          <w:tab w:val="left" w:pos="4320"/>
        </w:tabs>
        <w:ind w:left="4320"/>
        <w:rPr>
          <w:rFonts w:eastAsia="Times New Roman"/>
          <w:bCs/>
          <w:i/>
          <w:iCs/>
          <w:szCs w:val="24"/>
          <w:u w:val="single"/>
        </w:rPr>
      </w:pPr>
      <w:r w:rsidRPr="005B4463">
        <w:rPr>
          <w:rFonts w:eastAsia="Times New Roman"/>
          <w:i/>
          <w:iCs/>
          <w:szCs w:val="24"/>
          <w:u w:val="single"/>
        </w:rPr>
        <w:t>/s/ Robert Eubanks</w:t>
      </w:r>
      <w:r w:rsidRPr="005B4463">
        <w:rPr>
          <w:rFonts w:eastAsia="Times New Roman"/>
          <w:i/>
          <w:iCs/>
          <w:szCs w:val="24"/>
          <w:u w:val="single"/>
        </w:rPr>
        <w:tab/>
      </w:r>
      <w:r w:rsidRPr="005B4463">
        <w:rPr>
          <w:rFonts w:eastAsia="Times New Roman"/>
          <w:i/>
          <w:iCs/>
          <w:szCs w:val="24"/>
          <w:u w:val="single"/>
        </w:rPr>
        <w:tab/>
      </w:r>
    </w:p>
    <w:p w14:paraId="00ADEFB4" w14:textId="77777777" w:rsidR="00C15E63" w:rsidRPr="005B4463" w:rsidRDefault="001448FC" w:rsidP="00C15E63">
      <w:pPr>
        <w:autoSpaceDE w:val="0"/>
        <w:autoSpaceDN w:val="0"/>
        <w:adjustRightInd w:val="0"/>
        <w:ind w:left="3600" w:firstLine="720"/>
        <w:rPr>
          <w:rFonts w:eastAsia="Times New Roman"/>
          <w:bCs/>
          <w:i/>
          <w:iCs/>
          <w:szCs w:val="24"/>
          <w:u w:val="single"/>
        </w:rPr>
      </w:pPr>
      <w:r w:rsidRPr="005B4463">
        <w:rPr>
          <w:rFonts w:eastAsia="Times New Roman"/>
          <w:szCs w:val="24"/>
        </w:rPr>
        <w:t>Robert Eubanks (0073386)</w:t>
      </w:r>
    </w:p>
    <w:p w14:paraId="2BD1730E" w14:textId="77777777" w:rsidR="00C15E63" w:rsidRPr="005B4463" w:rsidRDefault="001448FC" w:rsidP="00C15E63">
      <w:pPr>
        <w:tabs>
          <w:tab w:val="left" w:pos="4320"/>
        </w:tabs>
        <w:ind w:left="4320"/>
        <w:rPr>
          <w:rFonts w:eastAsia="Times New Roman"/>
          <w:bCs/>
          <w:szCs w:val="24"/>
        </w:rPr>
      </w:pPr>
      <w:r w:rsidRPr="005B4463">
        <w:rPr>
          <w:rFonts w:eastAsia="Times New Roman"/>
          <w:szCs w:val="24"/>
        </w:rPr>
        <w:t>Counsel of Record</w:t>
      </w:r>
    </w:p>
    <w:p w14:paraId="1D37AF70" w14:textId="77777777" w:rsidR="00C15E63" w:rsidRPr="005B4463" w:rsidRDefault="001448FC" w:rsidP="00C15E63">
      <w:pPr>
        <w:tabs>
          <w:tab w:val="left" w:pos="4320"/>
        </w:tabs>
        <w:rPr>
          <w:rFonts w:eastAsia="Times New Roman"/>
          <w:bCs/>
          <w:szCs w:val="24"/>
        </w:rPr>
      </w:pPr>
      <w:r w:rsidRPr="005B4463">
        <w:rPr>
          <w:rFonts w:eastAsia="Times New Roman"/>
          <w:szCs w:val="24"/>
        </w:rPr>
        <w:tab/>
        <w:t>John Varanese (0044176)</w:t>
      </w:r>
    </w:p>
    <w:p w14:paraId="7C522860" w14:textId="4068086B" w:rsidR="00C15E63" w:rsidRPr="005B4463" w:rsidRDefault="001448FC" w:rsidP="00C15E63">
      <w:pPr>
        <w:tabs>
          <w:tab w:val="left" w:pos="4320"/>
        </w:tabs>
        <w:rPr>
          <w:rFonts w:eastAsia="Times New Roman"/>
          <w:bCs/>
          <w:szCs w:val="24"/>
        </w:rPr>
      </w:pPr>
      <w:r w:rsidRPr="005B4463">
        <w:rPr>
          <w:rFonts w:eastAsia="Times New Roman"/>
          <w:szCs w:val="24"/>
        </w:rPr>
        <w:tab/>
        <w:t>Assistant Consumers</w:t>
      </w:r>
      <w:r w:rsidR="00D26C34">
        <w:rPr>
          <w:rFonts w:eastAsia="Times New Roman"/>
          <w:szCs w:val="24"/>
        </w:rPr>
        <w:t>’</w:t>
      </w:r>
      <w:r w:rsidRPr="005B4463">
        <w:rPr>
          <w:rFonts w:eastAsia="Times New Roman"/>
          <w:szCs w:val="24"/>
        </w:rPr>
        <w:t xml:space="preserve"> Counsel</w:t>
      </w:r>
    </w:p>
    <w:p w14:paraId="76E3D469" w14:textId="77777777" w:rsidR="00C15E63" w:rsidRPr="005B4463" w:rsidRDefault="00C15E63" w:rsidP="00C15E63">
      <w:pPr>
        <w:tabs>
          <w:tab w:val="left" w:pos="4320"/>
        </w:tabs>
        <w:ind w:left="4320"/>
        <w:rPr>
          <w:rFonts w:eastAsia="Times New Roman"/>
          <w:bCs/>
          <w:szCs w:val="24"/>
        </w:rPr>
      </w:pPr>
    </w:p>
    <w:p w14:paraId="1D58A72C" w14:textId="7217C264" w:rsidR="00C15E63" w:rsidRPr="005B4463" w:rsidRDefault="001448FC" w:rsidP="00C15E63">
      <w:pPr>
        <w:keepNext/>
        <w:ind w:left="4320" w:right="-648"/>
        <w:outlineLvl w:val="0"/>
        <w:rPr>
          <w:rFonts w:eastAsia="Times New Roman"/>
          <w:b/>
          <w:bCs/>
          <w:szCs w:val="24"/>
        </w:rPr>
      </w:pPr>
      <w:r w:rsidRPr="005B4463">
        <w:rPr>
          <w:rFonts w:eastAsia="Times New Roman"/>
          <w:b/>
          <w:szCs w:val="24"/>
        </w:rPr>
        <w:t>Office of the Ohio Consumers</w:t>
      </w:r>
      <w:r w:rsidR="00D26C34">
        <w:rPr>
          <w:rFonts w:eastAsia="Times New Roman"/>
          <w:b/>
          <w:szCs w:val="24"/>
        </w:rPr>
        <w:t>’</w:t>
      </w:r>
      <w:r w:rsidRPr="005B4463">
        <w:rPr>
          <w:rFonts w:eastAsia="Times New Roman"/>
          <w:b/>
          <w:szCs w:val="24"/>
        </w:rPr>
        <w:t xml:space="preserve"> Counsel</w:t>
      </w:r>
    </w:p>
    <w:p w14:paraId="6D121388" w14:textId="77777777" w:rsidR="00C15E63" w:rsidRPr="005B4463" w:rsidRDefault="001448FC" w:rsidP="00C15E63">
      <w:pPr>
        <w:keepNext/>
        <w:ind w:left="4320" w:right="-648"/>
        <w:outlineLvl w:val="0"/>
        <w:rPr>
          <w:rFonts w:eastAsia="Times New Roman"/>
          <w:bCs/>
          <w:szCs w:val="24"/>
        </w:rPr>
      </w:pPr>
      <w:r w:rsidRPr="005B4463">
        <w:rPr>
          <w:rFonts w:eastAsia="Times New Roman"/>
          <w:szCs w:val="24"/>
        </w:rPr>
        <w:t>65 East State Street, Suite 700</w:t>
      </w:r>
    </w:p>
    <w:p w14:paraId="69842C5C" w14:textId="77777777" w:rsidR="00C15E63" w:rsidRPr="005B4463" w:rsidRDefault="001448FC" w:rsidP="00C15E63">
      <w:pPr>
        <w:keepNext/>
        <w:ind w:left="4320" w:right="-648"/>
        <w:outlineLvl w:val="0"/>
        <w:rPr>
          <w:rFonts w:eastAsia="Times New Roman"/>
          <w:bCs/>
          <w:szCs w:val="24"/>
        </w:rPr>
      </w:pPr>
      <w:r w:rsidRPr="005B4463">
        <w:rPr>
          <w:rFonts w:eastAsia="Times New Roman"/>
          <w:szCs w:val="24"/>
        </w:rPr>
        <w:t>Columbus, Ohio 43215</w:t>
      </w:r>
    </w:p>
    <w:p w14:paraId="0EA6AB41" w14:textId="77777777" w:rsidR="00C15E63" w:rsidRPr="005B4463" w:rsidRDefault="001448FC" w:rsidP="00C15E63">
      <w:pPr>
        <w:autoSpaceDE w:val="0"/>
        <w:autoSpaceDN w:val="0"/>
        <w:adjustRightInd w:val="0"/>
        <w:ind w:left="4320"/>
        <w:rPr>
          <w:rFonts w:eastAsia="Times New Roman"/>
          <w:bCs/>
          <w:szCs w:val="24"/>
        </w:rPr>
      </w:pPr>
      <w:r w:rsidRPr="005B4463">
        <w:rPr>
          <w:rFonts w:eastAsia="Times New Roman"/>
          <w:szCs w:val="24"/>
        </w:rPr>
        <w:t>Telephone [Eubanks]: (614) 466-1292</w:t>
      </w:r>
    </w:p>
    <w:p w14:paraId="2B048A52" w14:textId="77777777" w:rsidR="00C15E63" w:rsidRPr="005B4463" w:rsidRDefault="001448FC" w:rsidP="00C15E63">
      <w:pPr>
        <w:autoSpaceDE w:val="0"/>
        <w:autoSpaceDN w:val="0"/>
        <w:adjustRightInd w:val="0"/>
        <w:ind w:left="4320"/>
        <w:rPr>
          <w:rFonts w:eastAsia="Times New Roman"/>
          <w:bCs/>
          <w:szCs w:val="24"/>
        </w:rPr>
      </w:pPr>
      <w:r w:rsidRPr="005B4463">
        <w:rPr>
          <w:rFonts w:eastAsia="Times New Roman"/>
          <w:szCs w:val="24"/>
        </w:rPr>
        <w:t>Telephone [Varanese]: (614) 387-2965</w:t>
      </w:r>
    </w:p>
    <w:p w14:paraId="683B3DFC" w14:textId="77777777" w:rsidR="00C15E63" w:rsidRPr="005B4463" w:rsidRDefault="001448FC" w:rsidP="00C15E63">
      <w:pPr>
        <w:rPr>
          <w:rFonts w:eastAsia="Times New Roman"/>
          <w:bCs/>
          <w:szCs w:val="24"/>
        </w:rPr>
      </w:pP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hyperlink r:id="rId8" w:history="1">
        <w:r w:rsidRPr="005B4463">
          <w:rPr>
            <w:rFonts w:eastAsia="Times New Roman"/>
            <w:color w:val="0000FF"/>
            <w:szCs w:val="24"/>
            <w:u w:val="single"/>
          </w:rPr>
          <w:t>Robert.eubanks@occ.ohio.gov</w:t>
        </w:r>
      </w:hyperlink>
    </w:p>
    <w:p w14:paraId="43C5D05A" w14:textId="77777777" w:rsidR="00C15E63" w:rsidRPr="005B4463" w:rsidRDefault="001448FC" w:rsidP="00C15E63">
      <w:pPr>
        <w:rPr>
          <w:rFonts w:eastAsia="Times New Roman"/>
          <w:bCs/>
          <w:szCs w:val="24"/>
        </w:rPr>
      </w:pP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hyperlink r:id="rId9" w:history="1">
        <w:r w:rsidRPr="005B4463">
          <w:rPr>
            <w:rFonts w:eastAsia="Times New Roman"/>
            <w:color w:val="0000FF"/>
            <w:szCs w:val="24"/>
            <w:u w:val="single"/>
          </w:rPr>
          <w:t>John.varanese@occ.ohio.gov</w:t>
        </w:r>
      </w:hyperlink>
    </w:p>
    <w:p w14:paraId="0E10EC93" w14:textId="12F3E13F" w:rsidR="00692888" w:rsidRDefault="001448FC" w:rsidP="00C15E63">
      <w:pPr>
        <w:ind w:firstLine="720"/>
        <w:rPr>
          <w:rFonts w:eastAsia="Times New Roman"/>
          <w:szCs w:val="24"/>
        </w:rPr>
      </w:pP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r>
      <w:r w:rsidRPr="005B4463">
        <w:rPr>
          <w:rFonts w:eastAsia="Times New Roman"/>
          <w:szCs w:val="24"/>
        </w:rPr>
        <w:tab/>
        <w:t>(Will accept service via email)</w:t>
      </w:r>
    </w:p>
    <w:p w14:paraId="3986D8FD" w14:textId="2E99AE14" w:rsidR="00C15E63" w:rsidRPr="008C6DDE" w:rsidRDefault="001448FC" w:rsidP="0013102D">
      <w:pPr>
        <w:spacing w:after="160" w:line="259" w:lineRule="auto"/>
        <w:jc w:val="center"/>
        <w:rPr>
          <w:rFonts w:eastAsiaTheme="minorEastAsia"/>
          <w:b/>
          <w:szCs w:val="24"/>
          <w:u w:val="single"/>
        </w:rPr>
      </w:pPr>
      <w:r>
        <w:rPr>
          <w:rFonts w:eastAsia="Times New Roman"/>
          <w:szCs w:val="24"/>
        </w:rPr>
        <w:br w:type="page"/>
      </w:r>
      <w:r w:rsidRPr="008C6DDE">
        <w:rPr>
          <w:rFonts w:eastAsiaTheme="minorEastAsia"/>
          <w:b/>
          <w:szCs w:val="24"/>
          <w:u w:val="single"/>
        </w:rPr>
        <w:lastRenderedPageBreak/>
        <w:t>CERTIFICATE OF SERVICE</w:t>
      </w:r>
    </w:p>
    <w:p w14:paraId="053F2EDE" w14:textId="40CCDDBE" w:rsidR="00C15E63" w:rsidRPr="008C6DDE" w:rsidRDefault="001448FC" w:rsidP="00C15E63">
      <w:pPr>
        <w:spacing w:line="480" w:lineRule="auto"/>
        <w:ind w:firstLine="720"/>
        <w:rPr>
          <w:rFonts w:eastAsiaTheme="minorEastAsia"/>
          <w:szCs w:val="24"/>
        </w:rPr>
      </w:pPr>
      <w:r w:rsidRPr="008C6DDE">
        <w:rPr>
          <w:rFonts w:eastAsiaTheme="minorEastAsia"/>
          <w:szCs w:val="24"/>
        </w:rPr>
        <w:t>I hereby certify that a copy of th</w:t>
      </w:r>
      <w:r>
        <w:rPr>
          <w:rFonts w:eastAsiaTheme="minorEastAsia"/>
          <w:szCs w:val="24"/>
        </w:rPr>
        <w:t>ese</w:t>
      </w:r>
      <w:r w:rsidRPr="008C6DDE">
        <w:rPr>
          <w:rFonts w:eastAsiaTheme="minorEastAsia"/>
          <w:szCs w:val="24"/>
        </w:rPr>
        <w:t xml:space="preserve"> </w:t>
      </w:r>
      <w:r w:rsidR="002638CA">
        <w:rPr>
          <w:rFonts w:eastAsiaTheme="minorEastAsia"/>
          <w:szCs w:val="24"/>
        </w:rPr>
        <w:t xml:space="preserve">Consumer Protection Comments </w:t>
      </w:r>
      <w:r>
        <w:t>were</w:t>
      </w:r>
      <w:r w:rsidRPr="008C6DDE">
        <w:rPr>
          <w:rFonts w:eastAsiaTheme="minorEastAsia"/>
          <w:szCs w:val="24"/>
        </w:rPr>
        <w:t xml:space="preserve"> served on the persons listed below via electronic transmission, this </w:t>
      </w:r>
      <w:r w:rsidR="00697C3D">
        <w:rPr>
          <w:rFonts w:eastAsiaTheme="minorEastAsia"/>
          <w:szCs w:val="24"/>
        </w:rPr>
        <w:t>25</w:t>
      </w:r>
      <w:r w:rsidR="00697C3D" w:rsidRPr="00697C3D">
        <w:rPr>
          <w:rFonts w:eastAsiaTheme="minorEastAsia"/>
          <w:szCs w:val="24"/>
          <w:vertAlign w:val="superscript"/>
        </w:rPr>
        <w:t>th</w:t>
      </w:r>
      <w:r w:rsidR="00697C3D">
        <w:rPr>
          <w:rFonts w:eastAsiaTheme="minorEastAsia"/>
          <w:szCs w:val="24"/>
        </w:rPr>
        <w:t xml:space="preserve"> </w:t>
      </w:r>
      <w:r>
        <w:rPr>
          <w:rFonts w:eastAsiaTheme="minorEastAsia"/>
          <w:szCs w:val="24"/>
        </w:rPr>
        <w:t>day of June 2024.</w:t>
      </w:r>
    </w:p>
    <w:p w14:paraId="63F59CAA" w14:textId="77777777" w:rsidR="00C15E63" w:rsidRPr="005B4463" w:rsidRDefault="001448FC" w:rsidP="00C15E63">
      <w:pPr>
        <w:tabs>
          <w:tab w:val="left" w:pos="4320"/>
        </w:tabs>
        <w:rPr>
          <w:rFonts w:eastAsia="Times New Roman"/>
          <w:bCs/>
          <w:i/>
          <w:iCs/>
          <w:szCs w:val="24"/>
          <w:u w:val="single"/>
        </w:rPr>
      </w:pPr>
      <w:r w:rsidRPr="005B4463">
        <w:rPr>
          <w:rFonts w:eastAsia="Times New Roman"/>
          <w:szCs w:val="24"/>
        </w:rPr>
        <w:tab/>
      </w:r>
      <w:r w:rsidRPr="005B4463">
        <w:rPr>
          <w:rFonts w:eastAsia="Times New Roman"/>
          <w:i/>
          <w:iCs/>
          <w:szCs w:val="24"/>
          <w:u w:val="single"/>
        </w:rPr>
        <w:t>/s/ Robert Eubanks</w:t>
      </w:r>
      <w:r w:rsidRPr="005B4463">
        <w:rPr>
          <w:rFonts w:eastAsia="Times New Roman"/>
          <w:i/>
          <w:iCs/>
          <w:szCs w:val="24"/>
          <w:u w:val="single"/>
        </w:rPr>
        <w:tab/>
      </w:r>
    </w:p>
    <w:p w14:paraId="6088116E" w14:textId="77777777" w:rsidR="00C15E63" w:rsidRPr="005B4463" w:rsidRDefault="001448FC" w:rsidP="00C15E63">
      <w:pPr>
        <w:tabs>
          <w:tab w:val="left" w:pos="4320"/>
        </w:tabs>
        <w:rPr>
          <w:rFonts w:eastAsia="Times New Roman"/>
          <w:bCs/>
          <w:szCs w:val="24"/>
        </w:rPr>
      </w:pPr>
      <w:r w:rsidRPr="005B4463">
        <w:rPr>
          <w:rFonts w:eastAsia="Times New Roman"/>
          <w:szCs w:val="24"/>
        </w:rPr>
        <w:tab/>
        <w:t>Robert Eubanks</w:t>
      </w:r>
    </w:p>
    <w:p w14:paraId="5F118379" w14:textId="14896826" w:rsidR="00C15E63" w:rsidRPr="005B4463" w:rsidRDefault="001448FC" w:rsidP="00C15E63">
      <w:pPr>
        <w:tabs>
          <w:tab w:val="left" w:pos="4320"/>
        </w:tabs>
        <w:rPr>
          <w:rFonts w:eastAsia="Times New Roman"/>
          <w:bCs/>
          <w:szCs w:val="24"/>
        </w:rPr>
      </w:pPr>
      <w:r w:rsidRPr="005B4463">
        <w:rPr>
          <w:rFonts w:eastAsia="Times New Roman"/>
          <w:szCs w:val="24"/>
        </w:rPr>
        <w:tab/>
        <w:t xml:space="preserve">Assistant </w:t>
      </w:r>
      <w:r w:rsidRPr="005B4463">
        <w:rPr>
          <w:rFonts w:eastAsia="Times New Roman"/>
          <w:szCs w:val="24"/>
        </w:rPr>
        <w:t>Consumers</w:t>
      </w:r>
      <w:r w:rsidR="00D26C34">
        <w:rPr>
          <w:rFonts w:eastAsia="Times New Roman"/>
          <w:szCs w:val="24"/>
        </w:rPr>
        <w:t>’</w:t>
      </w:r>
      <w:r w:rsidRPr="005B4463">
        <w:rPr>
          <w:rFonts w:eastAsia="Times New Roman"/>
          <w:szCs w:val="24"/>
        </w:rPr>
        <w:t xml:space="preserve"> Counsel</w:t>
      </w:r>
    </w:p>
    <w:p w14:paraId="3DEDA2FB" w14:textId="77777777" w:rsidR="00C15E63" w:rsidRPr="005B4463" w:rsidRDefault="00C15E63" w:rsidP="00C15E63">
      <w:pPr>
        <w:tabs>
          <w:tab w:val="left" w:pos="4320"/>
        </w:tabs>
        <w:rPr>
          <w:rFonts w:eastAsia="Times New Roman"/>
          <w:bCs/>
          <w:szCs w:val="24"/>
        </w:rPr>
      </w:pPr>
    </w:p>
    <w:p w14:paraId="609251D8" w14:textId="766D29FB" w:rsidR="00C15E63" w:rsidRPr="005B4463" w:rsidRDefault="001448FC" w:rsidP="00C15E63">
      <w:pPr>
        <w:rPr>
          <w:rFonts w:eastAsia="Times New Roman"/>
          <w:bCs/>
          <w:szCs w:val="24"/>
        </w:rPr>
      </w:pPr>
      <w:r w:rsidRPr="005B4463">
        <w:rPr>
          <w:rFonts w:eastAsia="Times New Roman"/>
          <w:szCs w:val="24"/>
        </w:rPr>
        <w:t>The PUCO</w:t>
      </w:r>
      <w:r w:rsidR="00D26C34">
        <w:rPr>
          <w:rFonts w:eastAsia="Times New Roman"/>
          <w:szCs w:val="24"/>
        </w:rPr>
        <w:t>’</w:t>
      </w:r>
      <w:r w:rsidRPr="005B4463">
        <w:rPr>
          <w:rFonts w:eastAsia="Times New Roman"/>
          <w:szCs w:val="24"/>
        </w:rPr>
        <w:t>s e-filing system will electronically serve notice of the filing of this document on the following parties:</w:t>
      </w:r>
    </w:p>
    <w:p w14:paraId="685AC36D" w14:textId="77777777" w:rsidR="00C15E63" w:rsidRPr="005B4463" w:rsidRDefault="00C15E63" w:rsidP="00C15E63">
      <w:pPr>
        <w:tabs>
          <w:tab w:val="left" w:pos="4320"/>
        </w:tabs>
        <w:rPr>
          <w:rFonts w:eastAsia="Times New Roman"/>
          <w:bCs/>
          <w:szCs w:val="24"/>
        </w:rPr>
      </w:pPr>
    </w:p>
    <w:p w14:paraId="7D082561" w14:textId="77777777" w:rsidR="00C15E63" w:rsidRPr="005B4463" w:rsidRDefault="001448FC" w:rsidP="00C15E63">
      <w:pPr>
        <w:jc w:val="center"/>
        <w:rPr>
          <w:rFonts w:eastAsia="Times New Roman"/>
          <w:b/>
          <w:bCs/>
          <w:szCs w:val="24"/>
          <w:u w:val="single"/>
        </w:rPr>
      </w:pPr>
      <w:r w:rsidRPr="005B4463">
        <w:rPr>
          <w:rFonts w:eastAsia="Times New Roman"/>
          <w:b/>
          <w:szCs w:val="24"/>
          <w:u w:val="single"/>
        </w:rPr>
        <w:t>SERVICE LIST</w:t>
      </w:r>
    </w:p>
    <w:p w14:paraId="3C8EF2F3" w14:textId="77777777" w:rsidR="00C15E63" w:rsidRPr="005B4463" w:rsidRDefault="00C15E63" w:rsidP="00C15E63">
      <w:pPr>
        <w:jc w:val="center"/>
        <w:rPr>
          <w:rFonts w:eastAsia="Times New Roman"/>
          <w:b/>
          <w:bCs/>
          <w:szCs w:val="24"/>
          <w:u w:val="single"/>
        </w:rPr>
      </w:pPr>
    </w:p>
    <w:tbl>
      <w:tblPr>
        <w:tblW w:w="8640" w:type="dxa"/>
        <w:tblLook w:val="04A0" w:firstRow="1" w:lastRow="0" w:firstColumn="1" w:lastColumn="0" w:noHBand="0" w:noVBand="1"/>
      </w:tblPr>
      <w:tblGrid>
        <w:gridCol w:w="4320"/>
        <w:gridCol w:w="4320"/>
      </w:tblGrid>
      <w:tr w:rsidR="001C526E" w14:paraId="26629F17" w14:textId="77777777" w:rsidTr="00B81775">
        <w:tc>
          <w:tcPr>
            <w:tcW w:w="4320" w:type="dxa"/>
            <w:shd w:val="clear" w:color="auto" w:fill="auto"/>
          </w:tcPr>
          <w:p w14:paraId="530B1FBB" w14:textId="77777777" w:rsidR="00C15E63" w:rsidRPr="00697C3D" w:rsidRDefault="001448FC" w:rsidP="00B81775">
            <w:pPr>
              <w:rPr>
                <w:rFonts w:eastAsia="Times New Roman"/>
                <w:szCs w:val="24"/>
              </w:rPr>
            </w:pPr>
            <w:r w:rsidRPr="00697C3D">
              <w:rPr>
                <w:rFonts w:eastAsia="Times New Roman"/>
                <w:szCs w:val="24"/>
              </w:rPr>
              <w:t>Attorney General:</w:t>
            </w:r>
          </w:p>
          <w:p w14:paraId="6CCD1F66" w14:textId="77777777" w:rsidR="00C15E63" w:rsidRPr="004A1EEB" w:rsidRDefault="001448FC" w:rsidP="00B81775">
            <w:pPr>
              <w:rPr>
                <w:rFonts w:eastAsia="Times New Roman"/>
                <w:szCs w:val="24"/>
                <w:u w:val="single"/>
              </w:rPr>
            </w:pPr>
            <w:hyperlink r:id="rId10" w:history="1">
              <w:r w:rsidRPr="004A1EEB">
                <w:rPr>
                  <w:rFonts w:eastAsia="Times New Roman"/>
                  <w:szCs w:val="24"/>
                  <w:u w:val="single"/>
                </w:rPr>
                <w:t>Ashley.wnek@ohioago.gov</w:t>
              </w:r>
            </w:hyperlink>
          </w:p>
          <w:p w14:paraId="143A7D6D" w14:textId="77777777" w:rsidR="00C15E63" w:rsidRPr="004A1EEB" w:rsidRDefault="001448FC" w:rsidP="00B81775">
            <w:pPr>
              <w:rPr>
                <w:rFonts w:eastAsia="Times New Roman"/>
                <w:szCs w:val="24"/>
                <w:u w:val="single"/>
              </w:rPr>
            </w:pPr>
            <w:hyperlink r:id="rId11" w:history="1">
              <w:r w:rsidRPr="004A1EEB">
                <w:rPr>
                  <w:rFonts w:eastAsia="Times New Roman"/>
                  <w:szCs w:val="24"/>
                  <w:u w:val="single"/>
                </w:rPr>
                <w:t>Ambrosia.wilson@ohioago.gov</w:t>
              </w:r>
            </w:hyperlink>
          </w:p>
          <w:p w14:paraId="22EA6B55" w14:textId="77777777" w:rsidR="00C15E63" w:rsidRPr="004A1EEB" w:rsidRDefault="00C15E63" w:rsidP="00B81775">
            <w:pPr>
              <w:rPr>
                <w:rFonts w:eastAsia="Times New Roman"/>
                <w:szCs w:val="24"/>
                <w:u w:val="single"/>
              </w:rPr>
            </w:pPr>
          </w:p>
          <w:p w14:paraId="16246037" w14:textId="77777777" w:rsidR="00C15E63" w:rsidRPr="004A1EEB" w:rsidRDefault="00C15E63" w:rsidP="00B81775">
            <w:pPr>
              <w:rPr>
                <w:rFonts w:eastAsia="Times New Roman"/>
                <w:szCs w:val="24"/>
                <w:u w:val="single"/>
              </w:rPr>
            </w:pPr>
          </w:p>
          <w:p w14:paraId="0C8BEAA3" w14:textId="77777777" w:rsidR="00C15E63" w:rsidRPr="00697C3D" w:rsidRDefault="001448FC" w:rsidP="00B81775">
            <w:pPr>
              <w:rPr>
                <w:rFonts w:eastAsia="Times New Roman"/>
                <w:szCs w:val="24"/>
              </w:rPr>
            </w:pPr>
            <w:r w:rsidRPr="00697C3D">
              <w:rPr>
                <w:rFonts w:eastAsia="Times New Roman"/>
                <w:szCs w:val="24"/>
              </w:rPr>
              <w:t>Attorney Examiner:</w:t>
            </w:r>
          </w:p>
          <w:p w14:paraId="6EB51BB8" w14:textId="77777777" w:rsidR="00C15E63" w:rsidRPr="004A1EEB" w:rsidRDefault="001448FC" w:rsidP="00B81775">
            <w:pPr>
              <w:rPr>
                <w:rFonts w:eastAsia="Times New Roman"/>
                <w:szCs w:val="24"/>
                <w:u w:val="single"/>
              </w:rPr>
            </w:pPr>
            <w:hyperlink r:id="rId12" w:history="1">
              <w:r w:rsidRPr="004A1EEB">
                <w:rPr>
                  <w:rFonts w:eastAsia="Times New Roman"/>
                  <w:szCs w:val="24"/>
                  <w:u w:val="single"/>
                </w:rPr>
                <w:t>David.hicks@puco.ohio.gov</w:t>
              </w:r>
            </w:hyperlink>
          </w:p>
          <w:p w14:paraId="34F55E00" w14:textId="77777777" w:rsidR="00C15E63" w:rsidRPr="004A1EEB" w:rsidRDefault="001448FC" w:rsidP="00B81775">
            <w:pPr>
              <w:rPr>
                <w:rFonts w:eastAsia="Times New Roman"/>
                <w:szCs w:val="24"/>
                <w:u w:val="single"/>
              </w:rPr>
            </w:pPr>
            <w:hyperlink r:id="rId13" w:history="1">
              <w:r w:rsidRPr="004A1EEB">
                <w:rPr>
                  <w:rFonts w:eastAsia="Times New Roman"/>
                  <w:szCs w:val="24"/>
                  <w:u w:val="single"/>
                </w:rPr>
                <w:t>Greta.see@puco.ohio.gov</w:t>
              </w:r>
            </w:hyperlink>
          </w:p>
          <w:p w14:paraId="23E0EB44" w14:textId="77777777" w:rsidR="004A1EEB" w:rsidRPr="004A1EEB" w:rsidRDefault="004A1EEB" w:rsidP="00B81775">
            <w:pPr>
              <w:rPr>
                <w:rFonts w:eastAsia="Times New Roman"/>
                <w:szCs w:val="24"/>
                <w:u w:val="single"/>
              </w:rPr>
            </w:pPr>
          </w:p>
          <w:p w14:paraId="6645AE07" w14:textId="77777777" w:rsidR="004A1EEB" w:rsidRPr="004A1EEB" w:rsidRDefault="004A1EEB" w:rsidP="00B81775">
            <w:pPr>
              <w:rPr>
                <w:rFonts w:eastAsia="Times New Roman"/>
                <w:szCs w:val="24"/>
                <w:u w:val="single"/>
              </w:rPr>
            </w:pPr>
          </w:p>
          <w:p w14:paraId="32F2DF61" w14:textId="42136869" w:rsidR="004A1EEB" w:rsidRPr="004A1EEB" w:rsidRDefault="001448FC" w:rsidP="00B81775">
            <w:pPr>
              <w:rPr>
                <w:u w:val="single"/>
              </w:rPr>
            </w:pPr>
            <w:r w:rsidRPr="004A1EEB">
              <w:rPr>
                <w:u w:val="single"/>
              </w:rPr>
              <w:t xml:space="preserve">jdunn@oneenergyllc.com ktreadway@oneenergyllc.com mpritchard@mcneeslaw.com awalke@mcneeslaw.com stephanie.chmiel@thompsonhine.com vanessa.boddy@thompsonhine.com </w:t>
            </w:r>
            <w:hyperlink r:id="rId14" w:history="1">
              <w:r w:rsidRPr="004A1EEB">
                <w:rPr>
                  <w:rStyle w:val="Hyperlink"/>
                  <w:color w:val="auto"/>
                </w:rPr>
                <w:t>khelfrich@ohioec.org</w:t>
              </w:r>
            </w:hyperlink>
            <w:r w:rsidRPr="004A1EEB">
              <w:rPr>
                <w:u w:val="single"/>
              </w:rPr>
              <w:t xml:space="preserve"> </w:t>
            </w:r>
          </w:p>
          <w:p w14:paraId="299CB297" w14:textId="47B2D71A" w:rsidR="004A1EEB" w:rsidRPr="004A1EEB" w:rsidRDefault="001448FC" w:rsidP="00B81775">
            <w:pPr>
              <w:rPr>
                <w:u w:val="single"/>
              </w:rPr>
            </w:pPr>
            <w:r w:rsidRPr="004A1EEB">
              <w:rPr>
                <w:u w:val="single"/>
              </w:rPr>
              <w:t xml:space="preserve">lkaleps@ohioec.org mjsettineri@vorys.com glpetrucci@vorys.com </w:t>
            </w:r>
            <w:hyperlink r:id="rId15" w:history="1">
              <w:r w:rsidRPr="004A1EEB">
                <w:rPr>
                  <w:rStyle w:val="Hyperlink"/>
                  <w:color w:val="auto"/>
                </w:rPr>
                <w:t>jreckert@vorys.com</w:t>
              </w:r>
            </w:hyperlink>
            <w:r w:rsidRPr="004A1EEB">
              <w:rPr>
                <w:u w:val="single"/>
              </w:rPr>
              <w:t xml:space="preserve"> </w:t>
            </w:r>
          </w:p>
          <w:p w14:paraId="1C706E05" w14:textId="609B516C" w:rsidR="004A1EEB" w:rsidRPr="004A1EEB" w:rsidRDefault="001448FC" w:rsidP="00B81775">
            <w:pPr>
              <w:rPr>
                <w:u w:val="single"/>
              </w:rPr>
            </w:pPr>
            <w:hyperlink r:id="rId16" w:history="1">
              <w:r w:rsidRPr="004A1EEB">
                <w:rPr>
                  <w:rStyle w:val="Hyperlink"/>
                  <w:color w:val="auto"/>
                </w:rPr>
                <w:t>jlang@calfee.com</w:t>
              </w:r>
            </w:hyperlink>
            <w:r w:rsidRPr="004A1EEB">
              <w:rPr>
                <w:u w:val="single"/>
              </w:rPr>
              <w:t xml:space="preserve"> </w:t>
            </w:r>
          </w:p>
          <w:p w14:paraId="127CEA7D" w14:textId="0F7BD393" w:rsidR="004A1EEB" w:rsidRPr="004A1EEB" w:rsidRDefault="001448FC" w:rsidP="00B81775">
            <w:pPr>
              <w:rPr>
                <w:rFonts w:eastAsia="Times New Roman"/>
                <w:szCs w:val="24"/>
                <w:u w:val="single"/>
              </w:rPr>
            </w:pPr>
            <w:r w:rsidRPr="004A1EEB">
              <w:rPr>
                <w:u w:val="single"/>
              </w:rPr>
              <w:t>mbarbara@calfee.com</w:t>
            </w:r>
          </w:p>
          <w:p w14:paraId="4423FF17" w14:textId="77777777" w:rsidR="00C15E63" w:rsidRPr="004A1EEB" w:rsidRDefault="00C15E63" w:rsidP="00B81775">
            <w:pPr>
              <w:rPr>
                <w:rFonts w:eastAsia="Times New Roman"/>
                <w:szCs w:val="24"/>
                <w:u w:val="single"/>
              </w:rPr>
            </w:pPr>
          </w:p>
        </w:tc>
        <w:tc>
          <w:tcPr>
            <w:tcW w:w="4320" w:type="dxa"/>
            <w:shd w:val="clear" w:color="auto" w:fill="auto"/>
          </w:tcPr>
          <w:p w14:paraId="7C95CD4F" w14:textId="78C26F64" w:rsidR="004A1EEB" w:rsidRPr="004A1EEB" w:rsidRDefault="001448FC" w:rsidP="00B81775">
            <w:pPr>
              <w:rPr>
                <w:u w:val="single"/>
              </w:rPr>
            </w:pPr>
            <w:hyperlink r:id="rId17" w:history="1">
              <w:r w:rsidRPr="004A1EEB">
                <w:rPr>
                  <w:rStyle w:val="Hyperlink"/>
                  <w:color w:val="auto"/>
                </w:rPr>
                <w:t>stnourse@aep.com</w:t>
              </w:r>
            </w:hyperlink>
            <w:r w:rsidRPr="004A1EEB">
              <w:rPr>
                <w:u w:val="single"/>
              </w:rPr>
              <w:t xml:space="preserve"> </w:t>
            </w:r>
          </w:p>
          <w:p w14:paraId="04358467" w14:textId="7B9775F9" w:rsidR="004A1EEB" w:rsidRPr="004A1EEB" w:rsidRDefault="001448FC" w:rsidP="00B81775">
            <w:pPr>
              <w:rPr>
                <w:u w:val="single"/>
              </w:rPr>
            </w:pPr>
            <w:r w:rsidRPr="004A1EEB">
              <w:rPr>
                <w:u w:val="single"/>
              </w:rPr>
              <w:t xml:space="preserve">mjschuler@aep.com mkurtz@BKLlawfirm.com jkylercohn@BKLlawfirm.com Stacie.Cathcart@igs.com Natalia.Messenger@igs.com dproano@bakerlaw.com cpirik@dickinsonwright.com todonnell@dickinsonwright.com cgrundmann@spilmanlaw.com dwilliamson@spilmanlaw.com slee@spilmanlaw.com dparram@brickergraydon.com dborchers@brickergraydon.com kherrnstein@brickergraydon.com rmains@brickergraydon.com trent@hubaydougherty.com bojko@carpenterlipps.com </w:t>
            </w:r>
            <w:hyperlink r:id="rId18" w:history="1">
              <w:r w:rsidRPr="004A1EEB">
                <w:rPr>
                  <w:rStyle w:val="Hyperlink"/>
                  <w:color w:val="auto"/>
                </w:rPr>
                <w:t>easley@carpenterlipps.com</w:t>
              </w:r>
            </w:hyperlink>
          </w:p>
          <w:p w14:paraId="048D23B2" w14:textId="37E91774" w:rsidR="0013102D" w:rsidRPr="004A1EEB" w:rsidRDefault="001448FC" w:rsidP="00B81775">
            <w:pPr>
              <w:rPr>
                <w:u w:val="single"/>
              </w:rPr>
            </w:pPr>
            <w:hyperlink r:id="rId19" w:history="1">
              <w:r w:rsidRPr="004A1EEB">
                <w:rPr>
                  <w:rStyle w:val="Hyperlink"/>
                  <w:color w:val="auto"/>
                </w:rPr>
                <w:t>kennedy@whitt-sturtevant.com</w:t>
              </w:r>
            </w:hyperlink>
          </w:p>
          <w:p w14:paraId="332F6EA0" w14:textId="13C9D9CF" w:rsidR="0013102D" w:rsidRPr="004A1EEB" w:rsidRDefault="001448FC" w:rsidP="00B81775">
            <w:pPr>
              <w:rPr>
                <w:u w:val="single"/>
              </w:rPr>
            </w:pPr>
            <w:hyperlink r:id="rId20" w:history="1">
              <w:r w:rsidRPr="004A1EEB">
                <w:rPr>
                  <w:rStyle w:val="Hyperlink"/>
                  <w:color w:val="auto"/>
                </w:rPr>
                <w:t>cockrell@whitt-sturtevant.com</w:t>
              </w:r>
            </w:hyperlink>
          </w:p>
          <w:p w14:paraId="0FB6060C" w14:textId="77777777" w:rsidR="0013102D" w:rsidRPr="004A1EEB" w:rsidRDefault="0013102D" w:rsidP="00B81775">
            <w:pPr>
              <w:rPr>
                <w:rFonts w:eastAsia="Times New Roman"/>
                <w:bCs/>
                <w:szCs w:val="24"/>
                <w:u w:val="single"/>
              </w:rPr>
            </w:pPr>
          </w:p>
          <w:p w14:paraId="3E4072A9" w14:textId="77777777" w:rsidR="00C15E63" w:rsidRPr="004A1EEB" w:rsidRDefault="00C15E63" w:rsidP="00B81775">
            <w:pPr>
              <w:rPr>
                <w:rFonts w:eastAsia="Times New Roman"/>
                <w:bCs/>
                <w:szCs w:val="24"/>
                <w:u w:val="single"/>
              </w:rPr>
            </w:pPr>
          </w:p>
          <w:p w14:paraId="497B9DD4" w14:textId="77777777" w:rsidR="00C15E63" w:rsidRPr="004A1EEB" w:rsidRDefault="00C15E63" w:rsidP="00B81775">
            <w:pPr>
              <w:rPr>
                <w:rFonts w:eastAsia="Times New Roman"/>
                <w:szCs w:val="24"/>
                <w:u w:val="single"/>
              </w:rPr>
            </w:pPr>
          </w:p>
        </w:tc>
      </w:tr>
    </w:tbl>
    <w:p w14:paraId="1C51C3C2" w14:textId="77777777" w:rsidR="00C15E63" w:rsidRDefault="00C15E63" w:rsidP="00C15E63">
      <w:pPr>
        <w:ind w:firstLine="720"/>
      </w:pPr>
    </w:p>
    <w:sectPr w:rsidR="00C15E63" w:rsidSect="00A7217E">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DFC16" w14:textId="77777777" w:rsidR="001448FC" w:rsidRDefault="001448FC">
      <w:r>
        <w:separator/>
      </w:r>
    </w:p>
  </w:endnote>
  <w:endnote w:type="continuationSeparator" w:id="0">
    <w:p w14:paraId="68E83839" w14:textId="77777777" w:rsidR="001448FC" w:rsidRDefault="0014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5753" w14:textId="77777777" w:rsidR="00201596" w:rsidRDefault="0020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006465"/>
      <w:docPartObj>
        <w:docPartGallery w:val="Page Numbers (Bottom of Page)"/>
        <w:docPartUnique/>
      </w:docPartObj>
    </w:sdtPr>
    <w:sdtEndPr>
      <w:rPr>
        <w:noProof/>
      </w:rPr>
    </w:sdtEndPr>
    <w:sdtContent>
      <w:p w14:paraId="733BE917" w14:textId="6C0866DA" w:rsidR="002638CA" w:rsidRDefault="00144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3015C" w14:textId="77777777" w:rsidR="002638CA" w:rsidRDefault="00263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49C1" w14:textId="77777777" w:rsidR="00201596" w:rsidRDefault="00201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D088" w14:textId="77777777" w:rsidR="00725FC0" w:rsidRDefault="001448FC" w:rsidP="002638CA">
      <w:r>
        <w:separator/>
      </w:r>
    </w:p>
  </w:footnote>
  <w:footnote w:type="continuationSeparator" w:id="0">
    <w:p w14:paraId="11990385" w14:textId="77777777" w:rsidR="00725FC0" w:rsidRDefault="001448FC" w:rsidP="002638CA">
      <w:r>
        <w:continuationSeparator/>
      </w:r>
    </w:p>
  </w:footnote>
  <w:footnote w:id="1">
    <w:p w14:paraId="061D288A" w14:textId="65FB0E24" w:rsidR="006E743C" w:rsidRDefault="001448FC" w:rsidP="0013102D">
      <w:pPr>
        <w:pStyle w:val="FootnoteText"/>
        <w:spacing w:after="120"/>
      </w:pPr>
      <w:r>
        <w:rPr>
          <w:rStyle w:val="FootnoteReference"/>
        </w:rPr>
        <w:footnoteRef/>
      </w:r>
      <w:r>
        <w:t xml:space="preserve"> Application, at ¶ 12. </w:t>
      </w:r>
    </w:p>
  </w:footnote>
  <w:footnote w:id="2">
    <w:p w14:paraId="0BF402D4" w14:textId="669D14D8" w:rsidR="0091198F" w:rsidRPr="00DA13A6" w:rsidRDefault="001448FC" w:rsidP="0013102D">
      <w:pPr>
        <w:pStyle w:val="FootnoteText"/>
        <w:spacing w:after="120"/>
        <w:rPr>
          <w:i/>
          <w:iCs/>
        </w:rPr>
      </w:pPr>
      <w:r>
        <w:rPr>
          <w:rStyle w:val="FootnoteReference"/>
        </w:rPr>
        <w:footnoteRef/>
      </w:r>
      <w:r>
        <w:t xml:space="preserve"> </w:t>
      </w:r>
      <w:r>
        <w:rPr>
          <w:i/>
          <w:iCs/>
        </w:rPr>
        <w:t>Id.</w:t>
      </w:r>
    </w:p>
  </w:footnote>
  <w:footnote w:id="3">
    <w:p w14:paraId="77195379" w14:textId="77777777" w:rsidR="00351EAB" w:rsidRDefault="001448FC" w:rsidP="00351EAB">
      <w:pPr>
        <w:pStyle w:val="FootnoteText"/>
      </w:pPr>
      <w:r>
        <w:rPr>
          <w:rStyle w:val="FootnoteReference"/>
        </w:rPr>
        <w:footnoteRef/>
      </w:r>
      <w:r>
        <w:t xml:space="preserve"> </w:t>
      </w:r>
      <w:r w:rsidRPr="00F23CA6">
        <w:t>R.C. 4905.22</w:t>
      </w:r>
      <w:r>
        <w:t xml:space="preserve"> – “</w:t>
      </w:r>
      <w:r w:rsidRPr="00F23CA6">
        <w:t xml:space="preserve">Every public utility shall furnish necessary and adequate service and facilities, and every public utility shall furnish and provide </w:t>
      </w:r>
      <w:r w:rsidRPr="00F23CA6">
        <w:t>with respect to its business such instrumentalities and facilities, as are adequate and in all respects just and reasonable.</w:t>
      </w:r>
      <w:r>
        <w:t>”</w:t>
      </w:r>
    </w:p>
  </w:footnote>
  <w:footnote w:id="4">
    <w:p w14:paraId="7F025438" w14:textId="40565D87" w:rsidR="007B13B9" w:rsidRDefault="001448FC" w:rsidP="0013102D">
      <w:pPr>
        <w:pStyle w:val="FootnoteText"/>
        <w:spacing w:after="120"/>
      </w:pPr>
      <w:r>
        <w:rPr>
          <w:rStyle w:val="FootnoteReference"/>
        </w:rPr>
        <w:footnoteRef/>
      </w:r>
      <w:r>
        <w:t xml:space="preserve"> Application at para. 12.</w:t>
      </w:r>
    </w:p>
  </w:footnote>
  <w:footnote w:id="5">
    <w:p w14:paraId="705269E0" w14:textId="2672771C" w:rsidR="007B13B9" w:rsidRDefault="001448FC" w:rsidP="0013102D">
      <w:pPr>
        <w:pStyle w:val="FootnoteText"/>
        <w:spacing w:after="120"/>
      </w:pPr>
      <w:r>
        <w:rPr>
          <w:rStyle w:val="FootnoteReference"/>
        </w:rPr>
        <w:footnoteRef/>
      </w:r>
      <w:r>
        <w:t xml:space="preserve"> Application at para. 16.</w:t>
      </w:r>
    </w:p>
  </w:footnote>
  <w:footnote w:id="6">
    <w:p w14:paraId="67DF0619" w14:textId="3FBA31D1" w:rsidR="007B13B9" w:rsidRDefault="001448FC" w:rsidP="0013102D">
      <w:pPr>
        <w:pStyle w:val="FootnoteText"/>
        <w:spacing w:after="120"/>
      </w:pPr>
      <w:r>
        <w:rPr>
          <w:rStyle w:val="FootnoteReference"/>
        </w:rPr>
        <w:footnoteRef/>
      </w:r>
      <w:r>
        <w:t xml:space="preserve"> </w:t>
      </w:r>
      <w:bookmarkStart w:id="0" w:name="_Hlk169526327"/>
      <w:r w:rsidRPr="00DA13A6">
        <w:rPr>
          <w:i/>
          <w:iCs/>
        </w:rPr>
        <w:t>Id</w:t>
      </w:r>
      <w:r>
        <w:t>.</w:t>
      </w:r>
      <w:bookmarkEnd w:id="0"/>
    </w:p>
  </w:footnote>
  <w:footnote w:id="7">
    <w:p w14:paraId="19B3F779" w14:textId="4DA14269" w:rsidR="007B13B9" w:rsidRDefault="001448FC" w:rsidP="0013102D">
      <w:pPr>
        <w:pStyle w:val="FootnoteText"/>
        <w:spacing w:after="120"/>
      </w:pPr>
      <w:r>
        <w:rPr>
          <w:rStyle w:val="FootnoteReference"/>
        </w:rPr>
        <w:footnoteRef/>
      </w:r>
      <w:r>
        <w:t xml:space="preserve"> </w:t>
      </w:r>
      <w:r w:rsidRPr="007B13B9">
        <w:rPr>
          <w:i/>
          <w:iCs/>
        </w:rPr>
        <w:t>Id</w:t>
      </w:r>
      <w:r w:rsidRPr="007B13B9">
        <w:t>.</w:t>
      </w:r>
    </w:p>
  </w:footnote>
  <w:footnote w:id="8">
    <w:p w14:paraId="2DC5D810" w14:textId="313B118C" w:rsidR="007B13B9" w:rsidRDefault="001448FC" w:rsidP="0013102D">
      <w:pPr>
        <w:pStyle w:val="FootnoteText"/>
        <w:spacing w:after="120"/>
      </w:pPr>
      <w:r>
        <w:rPr>
          <w:rStyle w:val="FootnoteReference"/>
        </w:rPr>
        <w:footnoteRef/>
      </w:r>
      <w:r>
        <w:t xml:space="preserve"> </w:t>
      </w:r>
      <w:r w:rsidRPr="00DA13A6">
        <w:rPr>
          <w:i/>
          <w:iCs/>
        </w:rPr>
        <w:t>Id</w:t>
      </w:r>
      <w:r>
        <w:t>. at para. 17.</w:t>
      </w:r>
    </w:p>
  </w:footnote>
  <w:footnote w:id="9">
    <w:p w14:paraId="5DA16A4E" w14:textId="25319017" w:rsidR="00704FBD" w:rsidRDefault="001448FC" w:rsidP="0013102D">
      <w:pPr>
        <w:pStyle w:val="FootnoteText"/>
        <w:spacing w:after="120"/>
      </w:pPr>
      <w:r>
        <w:rPr>
          <w:rStyle w:val="FootnoteReference"/>
        </w:rPr>
        <w:footnoteRef/>
      </w:r>
      <w:r>
        <w:t xml:space="preserve"> </w:t>
      </w:r>
      <w:r w:rsidRPr="00DA13A6">
        <w:rPr>
          <w:i/>
          <w:iCs/>
        </w:rPr>
        <w:t>Id</w:t>
      </w:r>
      <w:r>
        <w:t>. at para. 16.</w:t>
      </w:r>
    </w:p>
  </w:footnote>
  <w:footnote w:id="10">
    <w:p w14:paraId="44B7511E" w14:textId="55E07680" w:rsidR="006122FC" w:rsidRDefault="001448FC" w:rsidP="0013102D">
      <w:pPr>
        <w:pStyle w:val="FootnoteText"/>
        <w:spacing w:after="120"/>
      </w:pPr>
      <w:r>
        <w:rPr>
          <w:rStyle w:val="FootnoteReference"/>
        </w:rPr>
        <w:footnoteRef/>
      </w:r>
      <w:r>
        <w:t xml:space="preserve"> Application at para. 22.</w:t>
      </w:r>
    </w:p>
  </w:footnote>
  <w:footnote w:id="11">
    <w:p w14:paraId="2660B3D3" w14:textId="0AAA4FED" w:rsidR="00EE0440" w:rsidRPr="00EE0440" w:rsidRDefault="001448FC" w:rsidP="0013102D">
      <w:pPr>
        <w:pStyle w:val="FootnoteText"/>
        <w:spacing w:after="120"/>
      </w:pPr>
      <w:r>
        <w:rPr>
          <w:rStyle w:val="FootnoteReference"/>
        </w:rPr>
        <w:footnoteRef/>
      </w:r>
      <w:r>
        <w:t xml:space="preserve"> AEP </w:t>
      </w:r>
      <w:r w:rsidR="00B40A29">
        <w:t>made proposals that OCC has no objection to currently. They are as follows:</w:t>
      </w:r>
      <w:r w:rsidR="00B40A29" w:rsidRPr="00B40A29">
        <w:t xml:space="preserve"> 1) </w:t>
      </w:r>
      <w:r w:rsidRPr="00DA13A6">
        <w:t>New data centers must participate in the PJM Emergency Demand Response program or AEP-declared emergency event and be subject to disconnection</w:t>
      </w:r>
      <w:r w:rsidR="00B40A29" w:rsidRPr="00B40A29">
        <w:t xml:space="preserve"> and 2) </w:t>
      </w:r>
      <w:r w:rsidRPr="00DA13A6">
        <w:t>New data centers must pay all base rates and rider rates that other General Service customers pay</w:t>
      </w:r>
      <w:r w:rsidR="008F30B3">
        <w:t xml:space="preserve"> for the time being until </w:t>
      </w:r>
      <w:proofErr w:type="gramStart"/>
      <w:r w:rsidR="008F30B3">
        <w:t>cost of service</w:t>
      </w:r>
      <w:proofErr w:type="gramEnd"/>
      <w:r w:rsidR="008F30B3">
        <w:t xml:space="preserve"> studies are conducted establishing an updated basis</w:t>
      </w:r>
      <w:r w:rsidR="00221B05">
        <w:t xml:space="preserve"> for charging these consumers a fair portion of transmission and distribution rates</w:t>
      </w:r>
      <w:r w:rsidRPr="00DA13A6">
        <w:t>.</w:t>
      </w:r>
      <w:r w:rsidRPr="00B40A29">
        <w:t xml:space="preserve"> </w:t>
      </w:r>
    </w:p>
    <w:p w14:paraId="2BE6DEF6" w14:textId="66DF5E12" w:rsidR="00EE0440" w:rsidRDefault="00EE0440" w:rsidP="0013102D">
      <w:pPr>
        <w:pStyle w:val="FootnoteText"/>
        <w:spacing w:after="120"/>
      </w:pPr>
    </w:p>
  </w:footnote>
  <w:footnote w:id="12">
    <w:p w14:paraId="2C764E1A" w14:textId="301715D2" w:rsidR="006A043E" w:rsidRDefault="001448FC">
      <w:pPr>
        <w:pStyle w:val="FootnoteText"/>
      </w:pPr>
      <w:r>
        <w:rPr>
          <w:rStyle w:val="FootnoteReference"/>
        </w:rPr>
        <w:footnoteRef/>
      </w:r>
      <w:r>
        <w:t xml:space="preserve"> </w:t>
      </w:r>
      <w:r w:rsidR="00C311E0" w:rsidRPr="00C311E0">
        <w:rPr>
          <w:i/>
          <w:iCs/>
        </w:rPr>
        <w:t>See</w:t>
      </w:r>
      <w:r w:rsidR="00C311E0" w:rsidRPr="00C311E0">
        <w:t xml:space="preserve"> Lisa Kelso’s Pre-filed Testimony, Q and A 8.</w:t>
      </w:r>
    </w:p>
  </w:footnote>
  <w:footnote w:id="13">
    <w:p w14:paraId="0B429960" w14:textId="266F0ABD" w:rsidR="006A043E" w:rsidRDefault="001448FC" w:rsidP="00AC1D17">
      <w:pPr>
        <w:pStyle w:val="FootnoteText"/>
        <w:spacing w:after="80"/>
        <w:ind w:left="180" w:hanging="180"/>
      </w:pPr>
      <w:r>
        <w:rPr>
          <w:rStyle w:val="FootnoteReference"/>
        </w:rPr>
        <w:footnoteRef/>
      </w:r>
      <w:r>
        <w:t xml:space="preserve"> </w:t>
      </w:r>
      <w:r w:rsidR="00C311E0">
        <w:rPr>
          <w:i/>
          <w:iCs/>
        </w:rPr>
        <w:t>Id.</w:t>
      </w:r>
    </w:p>
  </w:footnote>
  <w:footnote w:id="14">
    <w:p w14:paraId="29410E9E" w14:textId="369791C0" w:rsidR="006A043E" w:rsidRDefault="001448FC" w:rsidP="00AC1D17">
      <w:pPr>
        <w:pStyle w:val="FootnoteText"/>
        <w:spacing w:after="80"/>
        <w:ind w:left="180" w:hanging="180"/>
      </w:pPr>
      <w:r>
        <w:rPr>
          <w:rStyle w:val="FootnoteReference"/>
        </w:rPr>
        <w:footnoteRef/>
      </w:r>
      <w:r>
        <w:t xml:space="preserve"> </w:t>
      </w:r>
      <w:r w:rsidRPr="00AC1D17">
        <w:rPr>
          <w:i/>
          <w:iCs/>
        </w:rPr>
        <w:t>Id</w:t>
      </w:r>
      <w:r>
        <w:t>.</w:t>
      </w:r>
    </w:p>
  </w:footnote>
  <w:footnote w:id="15">
    <w:p w14:paraId="68161216" w14:textId="43A47C61" w:rsidR="006A043E" w:rsidRDefault="001448FC" w:rsidP="00AC1D17">
      <w:pPr>
        <w:pStyle w:val="FootnoteText"/>
        <w:spacing w:after="80"/>
        <w:ind w:left="180" w:hanging="180"/>
      </w:pPr>
      <w:r>
        <w:rPr>
          <w:rStyle w:val="FootnoteReference"/>
        </w:rPr>
        <w:footnoteRef/>
      </w:r>
      <w:r w:rsidRPr="00AC1D17">
        <w:rPr>
          <w:i/>
          <w:iCs/>
        </w:rPr>
        <w:t xml:space="preserve"> Id</w:t>
      </w:r>
      <w:r>
        <w:t>.</w:t>
      </w:r>
    </w:p>
  </w:footnote>
  <w:footnote w:id="16">
    <w:p w14:paraId="5379B31D" w14:textId="061A12AF" w:rsidR="00293607" w:rsidRDefault="001448FC" w:rsidP="00AC1D17">
      <w:pPr>
        <w:pStyle w:val="FootnoteText"/>
        <w:spacing w:after="80"/>
      </w:pPr>
      <w:r>
        <w:rPr>
          <w:rStyle w:val="FootnoteReference"/>
        </w:rPr>
        <w:footnoteRef/>
      </w:r>
      <w:r w:rsidR="006A043E">
        <w:rPr>
          <w:i/>
          <w:iCs/>
        </w:rPr>
        <w:t xml:space="preserve"> </w:t>
      </w:r>
      <w:bookmarkStart w:id="4" w:name="_Hlk170131655"/>
      <w:r w:rsidR="006A043E" w:rsidRPr="00AC1D17">
        <w:rPr>
          <w:i/>
          <w:iCs/>
        </w:rPr>
        <w:t xml:space="preserve">In the Matter of the Application of Ohio Power Company for an Increase in Electric Distribution </w:t>
      </w:r>
      <w:r w:rsidR="006A043E" w:rsidRPr="006A043E">
        <w:rPr>
          <w:i/>
          <w:iCs/>
        </w:rPr>
        <w:t>Rates</w:t>
      </w:r>
      <w:r w:rsidR="006A043E">
        <w:t xml:space="preserve">, </w:t>
      </w:r>
      <w:r w:rsidR="006A043E" w:rsidRPr="006A043E">
        <w:t>Case No. 20-585-EL-AIR</w:t>
      </w:r>
      <w:bookmarkEnd w:id="4"/>
      <w:r w:rsidR="006A043E">
        <w:t>, Schedule E-2</w:t>
      </w:r>
      <w:r w:rsidR="00D003AF">
        <w:t xml:space="preserve"> and </w:t>
      </w:r>
      <w:r w:rsidR="00D003AF" w:rsidRPr="00D003AF">
        <w:t>Douglas R. Buck</w:t>
      </w:r>
      <w:r w:rsidR="00D003AF">
        <w:t xml:space="preserve"> Pre-filed testimony at p.3. </w:t>
      </w:r>
    </w:p>
  </w:footnote>
  <w:footnote w:id="17">
    <w:p w14:paraId="5813ACF3" w14:textId="1231EC59" w:rsidR="00AC1D17" w:rsidRDefault="001448FC" w:rsidP="00AC1D17">
      <w:pPr>
        <w:pStyle w:val="FootnoteText"/>
        <w:spacing w:after="80"/>
      </w:pPr>
      <w:r>
        <w:rPr>
          <w:rStyle w:val="FootnoteReference"/>
        </w:rPr>
        <w:footnoteRef/>
      </w:r>
      <w:r>
        <w:t xml:space="preserve"> Lax transmission line approvals for d</w:t>
      </w:r>
      <w:r w:rsidRPr="00BE7C5E">
        <w:t>ata center projects (e.g., Duke's recent M-3 filing</w:t>
      </w:r>
      <w:r w:rsidRPr="0060753A">
        <w:rPr>
          <w:sz w:val="24"/>
          <w:szCs w:val="22"/>
        </w:rPr>
        <w:t xml:space="preserve"> </w:t>
      </w:r>
      <w:r w:rsidRPr="0060753A">
        <w:t>at the PJM Transmission Expansion Advisory Committee</w:t>
      </w:r>
      <w:r>
        <w:t xml:space="preserve"> Meeting</w:t>
      </w:r>
      <w:r w:rsidRPr="00BE7C5E">
        <w:t xml:space="preserve">) raise concerns about </w:t>
      </w:r>
      <w:r>
        <w:t>future likely</w:t>
      </w:r>
      <w:r w:rsidRPr="00BE7C5E">
        <w:t xml:space="preserve"> consumer </w:t>
      </w:r>
      <w:r>
        <w:t>cost</w:t>
      </w:r>
      <w:r w:rsidRPr="00BE7C5E">
        <w:t xml:space="preserve"> increas</w:t>
      </w:r>
      <w:r>
        <w:t>es</w:t>
      </w:r>
      <w:r w:rsidRPr="00BE7C5E">
        <w:t xml:space="preserve">. The OCC previously </w:t>
      </w:r>
      <w:r w:rsidR="004637D1">
        <w:t>filed a complaint at FERC concerning</w:t>
      </w:r>
      <w:r w:rsidRPr="00BE7C5E">
        <w:t xml:space="preserve"> </w:t>
      </w:r>
      <w:r>
        <w:t xml:space="preserve">the </w:t>
      </w:r>
      <w:r w:rsidR="004637D1">
        <w:t>lack of a stringent approval process for supplemental transmission projects by PJM. The PUCO’s Federal Advocate and the PUCO itself has recognized the harm to consumers under this current regime.</w:t>
      </w:r>
      <w:r>
        <w:t xml:space="preserve"> PJM’s</w:t>
      </w:r>
      <w:r w:rsidRPr="00BE7C5E">
        <w:t xml:space="preserve"> "Do No Harm" </w:t>
      </w:r>
      <w:r>
        <w:t xml:space="preserve">standard </w:t>
      </w:r>
      <w:r w:rsidRPr="00BE7C5E">
        <w:t>prioritizes grid stability over affordability. Ultimately, consumers shoulder these</w:t>
      </w:r>
      <w:r w:rsidR="004637D1">
        <w:t xml:space="preserve"> huge transmission</w:t>
      </w:r>
      <w:r w:rsidRPr="00BE7C5E">
        <w:t xml:space="preserve"> costs</w:t>
      </w:r>
      <w:r>
        <w:t xml:space="preserve"> with</w:t>
      </w:r>
      <w:r w:rsidR="004637D1">
        <w:t xml:space="preserve"> little oversight and with</w:t>
      </w:r>
      <w:r>
        <w:t>out any automatic allocation of cost</w:t>
      </w:r>
      <w:r w:rsidR="000024AB">
        <w:t xml:space="preserve">s through updated cost studies. </w:t>
      </w:r>
      <w:r>
        <w:t>Given the near certa</w:t>
      </w:r>
      <w:r>
        <w:t>inty of approval for a future AEP transmission line, it’s worth the PUCO laying out procedures now to protect against likely future harms to non-data center consumers.</w:t>
      </w:r>
      <w:r w:rsidR="00140E5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187A" w14:textId="77777777" w:rsidR="00201596" w:rsidRDefault="00201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1B01" w14:textId="77777777" w:rsidR="00201596" w:rsidRDefault="00201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1B74" w14:textId="77777777" w:rsidR="00201596" w:rsidRDefault="00201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DC0"/>
    <w:multiLevelType w:val="hybridMultilevel"/>
    <w:tmpl w:val="E10C2DA8"/>
    <w:lvl w:ilvl="0" w:tplc="54D852EA">
      <w:start w:val="1"/>
      <w:numFmt w:val="decimal"/>
      <w:lvlText w:val="%1."/>
      <w:lvlJc w:val="left"/>
      <w:pPr>
        <w:ind w:left="720" w:hanging="360"/>
      </w:pPr>
      <w:rPr>
        <w:rFonts w:hint="default"/>
        <w:i w:val="0"/>
        <w:iCs w:val="0"/>
      </w:rPr>
    </w:lvl>
    <w:lvl w:ilvl="1" w:tplc="5ADC0DBA" w:tentative="1">
      <w:start w:val="1"/>
      <w:numFmt w:val="lowerLetter"/>
      <w:lvlText w:val="%2."/>
      <w:lvlJc w:val="left"/>
      <w:pPr>
        <w:ind w:left="1440" w:hanging="360"/>
      </w:pPr>
    </w:lvl>
    <w:lvl w:ilvl="2" w:tplc="03868652" w:tentative="1">
      <w:start w:val="1"/>
      <w:numFmt w:val="lowerRoman"/>
      <w:lvlText w:val="%3."/>
      <w:lvlJc w:val="right"/>
      <w:pPr>
        <w:ind w:left="2160" w:hanging="180"/>
      </w:pPr>
    </w:lvl>
    <w:lvl w:ilvl="3" w:tplc="6240A702" w:tentative="1">
      <w:start w:val="1"/>
      <w:numFmt w:val="decimal"/>
      <w:lvlText w:val="%4."/>
      <w:lvlJc w:val="left"/>
      <w:pPr>
        <w:ind w:left="2880" w:hanging="360"/>
      </w:pPr>
    </w:lvl>
    <w:lvl w:ilvl="4" w:tplc="AC68C30C" w:tentative="1">
      <w:start w:val="1"/>
      <w:numFmt w:val="lowerLetter"/>
      <w:lvlText w:val="%5."/>
      <w:lvlJc w:val="left"/>
      <w:pPr>
        <w:ind w:left="3600" w:hanging="360"/>
      </w:pPr>
    </w:lvl>
    <w:lvl w:ilvl="5" w:tplc="31001C38" w:tentative="1">
      <w:start w:val="1"/>
      <w:numFmt w:val="lowerRoman"/>
      <w:lvlText w:val="%6."/>
      <w:lvlJc w:val="right"/>
      <w:pPr>
        <w:ind w:left="4320" w:hanging="180"/>
      </w:pPr>
    </w:lvl>
    <w:lvl w:ilvl="6" w:tplc="0B2039B8" w:tentative="1">
      <w:start w:val="1"/>
      <w:numFmt w:val="decimal"/>
      <w:lvlText w:val="%7."/>
      <w:lvlJc w:val="left"/>
      <w:pPr>
        <w:ind w:left="5040" w:hanging="360"/>
      </w:pPr>
    </w:lvl>
    <w:lvl w:ilvl="7" w:tplc="A2D679D8" w:tentative="1">
      <w:start w:val="1"/>
      <w:numFmt w:val="lowerLetter"/>
      <w:lvlText w:val="%8."/>
      <w:lvlJc w:val="left"/>
      <w:pPr>
        <w:ind w:left="5760" w:hanging="360"/>
      </w:pPr>
    </w:lvl>
    <w:lvl w:ilvl="8" w:tplc="B83C6818" w:tentative="1">
      <w:start w:val="1"/>
      <w:numFmt w:val="lowerRoman"/>
      <w:lvlText w:val="%9."/>
      <w:lvlJc w:val="right"/>
      <w:pPr>
        <w:ind w:left="6480" w:hanging="180"/>
      </w:pPr>
    </w:lvl>
  </w:abstractNum>
  <w:abstractNum w:abstractNumId="1" w15:restartNumberingAfterBreak="0">
    <w:nsid w:val="169D4ADC"/>
    <w:multiLevelType w:val="hybridMultilevel"/>
    <w:tmpl w:val="A866CD08"/>
    <w:lvl w:ilvl="0" w:tplc="88906668">
      <w:start w:val="1"/>
      <w:numFmt w:val="upperRoman"/>
      <w:lvlText w:val="%1."/>
      <w:lvlJc w:val="left"/>
      <w:pPr>
        <w:ind w:left="1440" w:hanging="720"/>
      </w:pPr>
      <w:rPr>
        <w:rFonts w:hint="default"/>
      </w:rPr>
    </w:lvl>
    <w:lvl w:ilvl="1" w:tplc="405C5734" w:tentative="1">
      <w:start w:val="1"/>
      <w:numFmt w:val="lowerLetter"/>
      <w:lvlText w:val="%2."/>
      <w:lvlJc w:val="left"/>
      <w:pPr>
        <w:ind w:left="1800" w:hanging="360"/>
      </w:pPr>
    </w:lvl>
    <w:lvl w:ilvl="2" w:tplc="019CFA4C" w:tentative="1">
      <w:start w:val="1"/>
      <w:numFmt w:val="lowerRoman"/>
      <w:lvlText w:val="%3."/>
      <w:lvlJc w:val="right"/>
      <w:pPr>
        <w:ind w:left="2520" w:hanging="180"/>
      </w:pPr>
    </w:lvl>
    <w:lvl w:ilvl="3" w:tplc="D0F846CC" w:tentative="1">
      <w:start w:val="1"/>
      <w:numFmt w:val="decimal"/>
      <w:lvlText w:val="%4."/>
      <w:lvlJc w:val="left"/>
      <w:pPr>
        <w:ind w:left="3240" w:hanging="360"/>
      </w:pPr>
    </w:lvl>
    <w:lvl w:ilvl="4" w:tplc="6CA2175A" w:tentative="1">
      <w:start w:val="1"/>
      <w:numFmt w:val="lowerLetter"/>
      <w:lvlText w:val="%5."/>
      <w:lvlJc w:val="left"/>
      <w:pPr>
        <w:ind w:left="3960" w:hanging="360"/>
      </w:pPr>
    </w:lvl>
    <w:lvl w:ilvl="5" w:tplc="272E9976" w:tentative="1">
      <w:start w:val="1"/>
      <w:numFmt w:val="lowerRoman"/>
      <w:lvlText w:val="%6."/>
      <w:lvlJc w:val="right"/>
      <w:pPr>
        <w:ind w:left="4680" w:hanging="180"/>
      </w:pPr>
    </w:lvl>
    <w:lvl w:ilvl="6" w:tplc="BAF838AE" w:tentative="1">
      <w:start w:val="1"/>
      <w:numFmt w:val="decimal"/>
      <w:lvlText w:val="%7."/>
      <w:lvlJc w:val="left"/>
      <w:pPr>
        <w:ind w:left="5400" w:hanging="360"/>
      </w:pPr>
    </w:lvl>
    <w:lvl w:ilvl="7" w:tplc="BDCA6146" w:tentative="1">
      <w:start w:val="1"/>
      <w:numFmt w:val="lowerLetter"/>
      <w:lvlText w:val="%8."/>
      <w:lvlJc w:val="left"/>
      <w:pPr>
        <w:ind w:left="6120" w:hanging="360"/>
      </w:pPr>
    </w:lvl>
    <w:lvl w:ilvl="8" w:tplc="596E432C" w:tentative="1">
      <w:start w:val="1"/>
      <w:numFmt w:val="lowerRoman"/>
      <w:lvlText w:val="%9."/>
      <w:lvlJc w:val="right"/>
      <w:pPr>
        <w:ind w:left="6840" w:hanging="180"/>
      </w:pPr>
    </w:lvl>
  </w:abstractNum>
  <w:abstractNum w:abstractNumId="2" w15:restartNumberingAfterBreak="0">
    <w:nsid w:val="16A72AD7"/>
    <w:multiLevelType w:val="hybridMultilevel"/>
    <w:tmpl w:val="73866C7A"/>
    <w:lvl w:ilvl="0" w:tplc="FCD2B2E0">
      <w:start w:val="1"/>
      <w:numFmt w:val="bullet"/>
      <w:lvlText w:val=""/>
      <w:lvlJc w:val="left"/>
      <w:pPr>
        <w:ind w:left="1800" w:hanging="360"/>
      </w:pPr>
      <w:rPr>
        <w:rFonts w:ascii="Symbol" w:hAnsi="Symbol" w:hint="default"/>
      </w:rPr>
    </w:lvl>
    <w:lvl w:ilvl="1" w:tplc="C7CC5612" w:tentative="1">
      <w:start w:val="1"/>
      <w:numFmt w:val="bullet"/>
      <w:lvlText w:val="o"/>
      <w:lvlJc w:val="left"/>
      <w:pPr>
        <w:ind w:left="2520" w:hanging="360"/>
      </w:pPr>
      <w:rPr>
        <w:rFonts w:ascii="Courier New" w:hAnsi="Courier New" w:cs="Courier New" w:hint="default"/>
      </w:rPr>
    </w:lvl>
    <w:lvl w:ilvl="2" w:tplc="53A2FCC4" w:tentative="1">
      <w:start w:val="1"/>
      <w:numFmt w:val="bullet"/>
      <w:lvlText w:val=""/>
      <w:lvlJc w:val="left"/>
      <w:pPr>
        <w:ind w:left="3240" w:hanging="360"/>
      </w:pPr>
      <w:rPr>
        <w:rFonts w:ascii="Wingdings" w:hAnsi="Wingdings" w:hint="default"/>
      </w:rPr>
    </w:lvl>
    <w:lvl w:ilvl="3" w:tplc="89786C0E" w:tentative="1">
      <w:start w:val="1"/>
      <w:numFmt w:val="bullet"/>
      <w:lvlText w:val=""/>
      <w:lvlJc w:val="left"/>
      <w:pPr>
        <w:ind w:left="3960" w:hanging="360"/>
      </w:pPr>
      <w:rPr>
        <w:rFonts w:ascii="Symbol" w:hAnsi="Symbol" w:hint="default"/>
      </w:rPr>
    </w:lvl>
    <w:lvl w:ilvl="4" w:tplc="C6D4522E" w:tentative="1">
      <w:start w:val="1"/>
      <w:numFmt w:val="bullet"/>
      <w:lvlText w:val="o"/>
      <w:lvlJc w:val="left"/>
      <w:pPr>
        <w:ind w:left="4680" w:hanging="360"/>
      </w:pPr>
      <w:rPr>
        <w:rFonts w:ascii="Courier New" w:hAnsi="Courier New" w:cs="Courier New" w:hint="default"/>
      </w:rPr>
    </w:lvl>
    <w:lvl w:ilvl="5" w:tplc="14DA2CC0" w:tentative="1">
      <w:start w:val="1"/>
      <w:numFmt w:val="bullet"/>
      <w:lvlText w:val=""/>
      <w:lvlJc w:val="left"/>
      <w:pPr>
        <w:ind w:left="5400" w:hanging="360"/>
      </w:pPr>
      <w:rPr>
        <w:rFonts w:ascii="Wingdings" w:hAnsi="Wingdings" w:hint="default"/>
      </w:rPr>
    </w:lvl>
    <w:lvl w:ilvl="6" w:tplc="2BA236B0" w:tentative="1">
      <w:start w:val="1"/>
      <w:numFmt w:val="bullet"/>
      <w:lvlText w:val=""/>
      <w:lvlJc w:val="left"/>
      <w:pPr>
        <w:ind w:left="6120" w:hanging="360"/>
      </w:pPr>
      <w:rPr>
        <w:rFonts w:ascii="Symbol" w:hAnsi="Symbol" w:hint="default"/>
      </w:rPr>
    </w:lvl>
    <w:lvl w:ilvl="7" w:tplc="46688DC8" w:tentative="1">
      <w:start w:val="1"/>
      <w:numFmt w:val="bullet"/>
      <w:lvlText w:val="o"/>
      <w:lvlJc w:val="left"/>
      <w:pPr>
        <w:ind w:left="6840" w:hanging="360"/>
      </w:pPr>
      <w:rPr>
        <w:rFonts w:ascii="Courier New" w:hAnsi="Courier New" w:cs="Courier New" w:hint="default"/>
      </w:rPr>
    </w:lvl>
    <w:lvl w:ilvl="8" w:tplc="A404A06E" w:tentative="1">
      <w:start w:val="1"/>
      <w:numFmt w:val="bullet"/>
      <w:lvlText w:val=""/>
      <w:lvlJc w:val="left"/>
      <w:pPr>
        <w:ind w:left="7560" w:hanging="360"/>
      </w:pPr>
      <w:rPr>
        <w:rFonts w:ascii="Wingdings" w:hAnsi="Wingdings" w:hint="default"/>
      </w:rPr>
    </w:lvl>
  </w:abstractNum>
  <w:abstractNum w:abstractNumId="3" w15:restartNumberingAfterBreak="0">
    <w:nsid w:val="1C1204BE"/>
    <w:multiLevelType w:val="hybridMultilevel"/>
    <w:tmpl w:val="269A31AC"/>
    <w:lvl w:ilvl="0" w:tplc="8E2A5170">
      <w:start w:val="1"/>
      <w:numFmt w:val="upperRoman"/>
      <w:lvlText w:val="%1."/>
      <w:lvlJc w:val="left"/>
      <w:pPr>
        <w:ind w:left="1080" w:hanging="720"/>
      </w:pPr>
      <w:rPr>
        <w:rFonts w:hint="default"/>
      </w:rPr>
    </w:lvl>
    <w:lvl w:ilvl="1" w:tplc="ABA43F28" w:tentative="1">
      <w:start w:val="1"/>
      <w:numFmt w:val="lowerLetter"/>
      <w:lvlText w:val="%2."/>
      <w:lvlJc w:val="left"/>
      <w:pPr>
        <w:ind w:left="1440" w:hanging="360"/>
      </w:pPr>
    </w:lvl>
    <w:lvl w:ilvl="2" w:tplc="4FD89898" w:tentative="1">
      <w:start w:val="1"/>
      <w:numFmt w:val="lowerRoman"/>
      <w:lvlText w:val="%3."/>
      <w:lvlJc w:val="right"/>
      <w:pPr>
        <w:ind w:left="2160" w:hanging="180"/>
      </w:pPr>
    </w:lvl>
    <w:lvl w:ilvl="3" w:tplc="6590B36C" w:tentative="1">
      <w:start w:val="1"/>
      <w:numFmt w:val="decimal"/>
      <w:lvlText w:val="%4."/>
      <w:lvlJc w:val="left"/>
      <w:pPr>
        <w:ind w:left="2880" w:hanging="360"/>
      </w:pPr>
    </w:lvl>
    <w:lvl w:ilvl="4" w:tplc="DC16EFA0" w:tentative="1">
      <w:start w:val="1"/>
      <w:numFmt w:val="lowerLetter"/>
      <w:lvlText w:val="%5."/>
      <w:lvlJc w:val="left"/>
      <w:pPr>
        <w:ind w:left="3600" w:hanging="360"/>
      </w:pPr>
    </w:lvl>
    <w:lvl w:ilvl="5" w:tplc="4B1AA6CA" w:tentative="1">
      <w:start w:val="1"/>
      <w:numFmt w:val="lowerRoman"/>
      <w:lvlText w:val="%6."/>
      <w:lvlJc w:val="right"/>
      <w:pPr>
        <w:ind w:left="4320" w:hanging="180"/>
      </w:pPr>
    </w:lvl>
    <w:lvl w:ilvl="6" w:tplc="28B28FCC" w:tentative="1">
      <w:start w:val="1"/>
      <w:numFmt w:val="decimal"/>
      <w:lvlText w:val="%7."/>
      <w:lvlJc w:val="left"/>
      <w:pPr>
        <w:ind w:left="5040" w:hanging="360"/>
      </w:pPr>
    </w:lvl>
    <w:lvl w:ilvl="7" w:tplc="F0E42590" w:tentative="1">
      <w:start w:val="1"/>
      <w:numFmt w:val="lowerLetter"/>
      <w:lvlText w:val="%8."/>
      <w:lvlJc w:val="left"/>
      <w:pPr>
        <w:ind w:left="5760" w:hanging="360"/>
      </w:pPr>
    </w:lvl>
    <w:lvl w:ilvl="8" w:tplc="54C43E46" w:tentative="1">
      <w:start w:val="1"/>
      <w:numFmt w:val="lowerRoman"/>
      <w:lvlText w:val="%9."/>
      <w:lvlJc w:val="right"/>
      <w:pPr>
        <w:ind w:left="6480" w:hanging="180"/>
      </w:pPr>
    </w:lvl>
  </w:abstractNum>
  <w:abstractNum w:abstractNumId="4" w15:restartNumberingAfterBreak="0">
    <w:nsid w:val="337F5B5B"/>
    <w:multiLevelType w:val="multilevel"/>
    <w:tmpl w:val="F180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2498E"/>
    <w:multiLevelType w:val="hybridMultilevel"/>
    <w:tmpl w:val="CD802CAE"/>
    <w:lvl w:ilvl="0" w:tplc="B010E3D4">
      <w:start w:val="1"/>
      <w:numFmt w:val="upperLetter"/>
      <w:lvlText w:val="%1."/>
      <w:lvlJc w:val="left"/>
      <w:pPr>
        <w:ind w:left="1080" w:hanging="360"/>
      </w:pPr>
      <w:rPr>
        <w:rFonts w:hint="default"/>
      </w:rPr>
    </w:lvl>
    <w:lvl w:ilvl="1" w:tplc="F5F41622" w:tentative="1">
      <w:start w:val="1"/>
      <w:numFmt w:val="lowerLetter"/>
      <w:lvlText w:val="%2."/>
      <w:lvlJc w:val="left"/>
      <w:pPr>
        <w:ind w:left="1800" w:hanging="360"/>
      </w:pPr>
    </w:lvl>
    <w:lvl w:ilvl="2" w:tplc="63C62206" w:tentative="1">
      <w:start w:val="1"/>
      <w:numFmt w:val="lowerRoman"/>
      <w:lvlText w:val="%3."/>
      <w:lvlJc w:val="right"/>
      <w:pPr>
        <w:ind w:left="2520" w:hanging="180"/>
      </w:pPr>
    </w:lvl>
    <w:lvl w:ilvl="3" w:tplc="B964A144" w:tentative="1">
      <w:start w:val="1"/>
      <w:numFmt w:val="decimal"/>
      <w:lvlText w:val="%4."/>
      <w:lvlJc w:val="left"/>
      <w:pPr>
        <w:ind w:left="3240" w:hanging="360"/>
      </w:pPr>
    </w:lvl>
    <w:lvl w:ilvl="4" w:tplc="1E4456BA" w:tentative="1">
      <w:start w:val="1"/>
      <w:numFmt w:val="lowerLetter"/>
      <w:lvlText w:val="%5."/>
      <w:lvlJc w:val="left"/>
      <w:pPr>
        <w:ind w:left="3960" w:hanging="360"/>
      </w:pPr>
    </w:lvl>
    <w:lvl w:ilvl="5" w:tplc="B4D621D4" w:tentative="1">
      <w:start w:val="1"/>
      <w:numFmt w:val="lowerRoman"/>
      <w:lvlText w:val="%6."/>
      <w:lvlJc w:val="right"/>
      <w:pPr>
        <w:ind w:left="4680" w:hanging="180"/>
      </w:pPr>
    </w:lvl>
    <w:lvl w:ilvl="6" w:tplc="453699F6" w:tentative="1">
      <w:start w:val="1"/>
      <w:numFmt w:val="decimal"/>
      <w:lvlText w:val="%7."/>
      <w:lvlJc w:val="left"/>
      <w:pPr>
        <w:ind w:left="5400" w:hanging="360"/>
      </w:pPr>
    </w:lvl>
    <w:lvl w:ilvl="7" w:tplc="01567796" w:tentative="1">
      <w:start w:val="1"/>
      <w:numFmt w:val="lowerLetter"/>
      <w:lvlText w:val="%8."/>
      <w:lvlJc w:val="left"/>
      <w:pPr>
        <w:ind w:left="6120" w:hanging="360"/>
      </w:pPr>
    </w:lvl>
    <w:lvl w:ilvl="8" w:tplc="42E821AE" w:tentative="1">
      <w:start w:val="1"/>
      <w:numFmt w:val="lowerRoman"/>
      <w:lvlText w:val="%9."/>
      <w:lvlJc w:val="right"/>
      <w:pPr>
        <w:ind w:left="6840" w:hanging="180"/>
      </w:pPr>
    </w:lvl>
  </w:abstractNum>
  <w:abstractNum w:abstractNumId="6" w15:restartNumberingAfterBreak="0">
    <w:nsid w:val="3E155EAC"/>
    <w:multiLevelType w:val="hybridMultilevel"/>
    <w:tmpl w:val="E1F617B6"/>
    <w:lvl w:ilvl="0" w:tplc="C0F06FBC">
      <w:start w:val="1"/>
      <w:numFmt w:val="decimal"/>
      <w:lvlText w:val="%1)"/>
      <w:lvlJc w:val="left"/>
      <w:pPr>
        <w:ind w:left="720" w:hanging="360"/>
      </w:pPr>
      <w:rPr>
        <w:rFonts w:hint="default"/>
      </w:rPr>
    </w:lvl>
    <w:lvl w:ilvl="1" w:tplc="0D70FFC8">
      <w:start w:val="1"/>
      <w:numFmt w:val="lowerLetter"/>
      <w:lvlText w:val="%2."/>
      <w:lvlJc w:val="left"/>
      <w:pPr>
        <w:ind w:left="1440" w:hanging="360"/>
      </w:pPr>
    </w:lvl>
    <w:lvl w:ilvl="2" w:tplc="4E94F404" w:tentative="1">
      <w:start w:val="1"/>
      <w:numFmt w:val="lowerRoman"/>
      <w:lvlText w:val="%3."/>
      <w:lvlJc w:val="right"/>
      <w:pPr>
        <w:ind w:left="2160" w:hanging="180"/>
      </w:pPr>
    </w:lvl>
    <w:lvl w:ilvl="3" w:tplc="F634D904" w:tentative="1">
      <w:start w:val="1"/>
      <w:numFmt w:val="decimal"/>
      <w:lvlText w:val="%4."/>
      <w:lvlJc w:val="left"/>
      <w:pPr>
        <w:ind w:left="2880" w:hanging="360"/>
      </w:pPr>
    </w:lvl>
    <w:lvl w:ilvl="4" w:tplc="FE98A480" w:tentative="1">
      <w:start w:val="1"/>
      <w:numFmt w:val="lowerLetter"/>
      <w:lvlText w:val="%5."/>
      <w:lvlJc w:val="left"/>
      <w:pPr>
        <w:ind w:left="3600" w:hanging="360"/>
      </w:pPr>
    </w:lvl>
    <w:lvl w:ilvl="5" w:tplc="385A32F0" w:tentative="1">
      <w:start w:val="1"/>
      <w:numFmt w:val="lowerRoman"/>
      <w:lvlText w:val="%6."/>
      <w:lvlJc w:val="right"/>
      <w:pPr>
        <w:ind w:left="4320" w:hanging="180"/>
      </w:pPr>
    </w:lvl>
    <w:lvl w:ilvl="6" w:tplc="AAC23FFC" w:tentative="1">
      <w:start w:val="1"/>
      <w:numFmt w:val="decimal"/>
      <w:lvlText w:val="%7."/>
      <w:lvlJc w:val="left"/>
      <w:pPr>
        <w:ind w:left="5040" w:hanging="360"/>
      </w:pPr>
    </w:lvl>
    <w:lvl w:ilvl="7" w:tplc="33245322" w:tentative="1">
      <w:start w:val="1"/>
      <w:numFmt w:val="lowerLetter"/>
      <w:lvlText w:val="%8."/>
      <w:lvlJc w:val="left"/>
      <w:pPr>
        <w:ind w:left="5760" w:hanging="360"/>
      </w:pPr>
    </w:lvl>
    <w:lvl w:ilvl="8" w:tplc="C380A6A6" w:tentative="1">
      <w:start w:val="1"/>
      <w:numFmt w:val="lowerRoman"/>
      <w:lvlText w:val="%9."/>
      <w:lvlJc w:val="right"/>
      <w:pPr>
        <w:ind w:left="6480" w:hanging="180"/>
      </w:pPr>
    </w:lvl>
  </w:abstractNum>
  <w:abstractNum w:abstractNumId="7" w15:restartNumberingAfterBreak="0">
    <w:nsid w:val="4D9921CA"/>
    <w:multiLevelType w:val="hybridMultilevel"/>
    <w:tmpl w:val="8DC8A2A2"/>
    <w:lvl w:ilvl="0" w:tplc="6A746B0A">
      <w:start w:val="1"/>
      <w:numFmt w:val="decimal"/>
      <w:lvlText w:val="%1."/>
      <w:lvlJc w:val="left"/>
      <w:pPr>
        <w:ind w:left="720" w:hanging="360"/>
      </w:pPr>
      <w:rPr>
        <w:rFonts w:hint="default"/>
      </w:rPr>
    </w:lvl>
    <w:lvl w:ilvl="1" w:tplc="DCE01CB0" w:tentative="1">
      <w:start w:val="1"/>
      <w:numFmt w:val="lowerLetter"/>
      <w:lvlText w:val="%2."/>
      <w:lvlJc w:val="left"/>
      <w:pPr>
        <w:ind w:left="1440" w:hanging="360"/>
      </w:pPr>
    </w:lvl>
    <w:lvl w:ilvl="2" w:tplc="CDF27894" w:tentative="1">
      <w:start w:val="1"/>
      <w:numFmt w:val="lowerRoman"/>
      <w:lvlText w:val="%3."/>
      <w:lvlJc w:val="right"/>
      <w:pPr>
        <w:ind w:left="2160" w:hanging="180"/>
      </w:pPr>
    </w:lvl>
    <w:lvl w:ilvl="3" w:tplc="30E8B1A0" w:tentative="1">
      <w:start w:val="1"/>
      <w:numFmt w:val="decimal"/>
      <w:lvlText w:val="%4."/>
      <w:lvlJc w:val="left"/>
      <w:pPr>
        <w:ind w:left="2880" w:hanging="360"/>
      </w:pPr>
    </w:lvl>
    <w:lvl w:ilvl="4" w:tplc="EE9A39BA" w:tentative="1">
      <w:start w:val="1"/>
      <w:numFmt w:val="lowerLetter"/>
      <w:lvlText w:val="%5."/>
      <w:lvlJc w:val="left"/>
      <w:pPr>
        <w:ind w:left="3600" w:hanging="360"/>
      </w:pPr>
    </w:lvl>
    <w:lvl w:ilvl="5" w:tplc="DC6E0E36" w:tentative="1">
      <w:start w:val="1"/>
      <w:numFmt w:val="lowerRoman"/>
      <w:lvlText w:val="%6."/>
      <w:lvlJc w:val="right"/>
      <w:pPr>
        <w:ind w:left="4320" w:hanging="180"/>
      </w:pPr>
    </w:lvl>
    <w:lvl w:ilvl="6" w:tplc="829AEDFA" w:tentative="1">
      <w:start w:val="1"/>
      <w:numFmt w:val="decimal"/>
      <w:lvlText w:val="%7."/>
      <w:lvlJc w:val="left"/>
      <w:pPr>
        <w:ind w:left="5040" w:hanging="360"/>
      </w:pPr>
    </w:lvl>
    <w:lvl w:ilvl="7" w:tplc="2F0C6A0A" w:tentative="1">
      <w:start w:val="1"/>
      <w:numFmt w:val="lowerLetter"/>
      <w:lvlText w:val="%8."/>
      <w:lvlJc w:val="left"/>
      <w:pPr>
        <w:ind w:left="5760" w:hanging="360"/>
      </w:pPr>
    </w:lvl>
    <w:lvl w:ilvl="8" w:tplc="5B9A7A16" w:tentative="1">
      <w:start w:val="1"/>
      <w:numFmt w:val="lowerRoman"/>
      <w:lvlText w:val="%9."/>
      <w:lvlJc w:val="right"/>
      <w:pPr>
        <w:ind w:left="6480" w:hanging="180"/>
      </w:pPr>
    </w:lvl>
  </w:abstractNum>
  <w:abstractNum w:abstractNumId="8" w15:restartNumberingAfterBreak="0">
    <w:nsid w:val="5DB65339"/>
    <w:multiLevelType w:val="hybridMultilevel"/>
    <w:tmpl w:val="C46E60AC"/>
    <w:lvl w:ilvl="0" w:tplc="FE3285FE">
      <w:start w:val="1"/>
      <w:numFmt w:val="upperLetter"/>
      <w:lvlText w:val="%1."/>
      <w:lvlJc w:val="left"/>
      <w:pPr>
        <w:ind w:left="720" w:hanging="360"/>
      </w:pPr>
      <w:rPr>
        <w:rFonts w:hint="default"/>
      </w:rPr>
    </w:lvl>
    <w:lvl w:ilvl="1" w:tplc="02D63CE0" w:tentative="1">
      <w:start w:val="1"/>
      <w:numFmt w:val="lowerLetter"/>
      <w:lvlText w:val="%2."/>
      <w:lvlJc w:val="left"/>
      <w:pPr>
        <w:ind w:left="1440" w:hanging="360"/>
      </w:pPr>
    </w:lvl>
    <w:lvl w:ilvl="2" w:tplc="CAA80854" w:tentative="1">
      <w:start w:val="1"/>
      <w:numFmt w:val="lowerRoman"/>
      <w:lvlText w:val="%3."/>
      <w:lvlJc w:val="right"/>
      <w:pPr>
        <w:ind w:left="2160" w:hanging="180"/>
      </w:pPr>
    </w:lvl>
    <w:lvl w:ilvl="3" w:tplc="E9A4D410" w:tentative="1">
      <w:start w:val="1"/>
      <w:numFmt w:val="decimal"/>
      <w:lvlText w:val="%4."/>
      <w:lvlJc w:val="left"/>
      <w:pPr>
        <w:ind w:left="2880" w:hanging="360"/>
      </w:pPr>
    </w:lvl>
    <w:lvl w:ilvl="4" w:tplc="1CBA59C6" w:tentative="1">
      <w:start w:val="1"/>
      <w:numFmt w:val="lowerLetter"/>
      <w:lvlText w:val="%5."/>
      <w:lvlJc w:val="left"/>
      <w:pPr>
        <w:ind w:left="3600" w:hanging="360"/>
      </w:pPr>
    </w:lvl>
    <w:lvl w:ilvl="5" w:tplc="75E44BA8" w:tentative="1">
      <w:start w:val="1"/>
      <w:numFmt w:val="lowerRoman"/>
      <w:lvlText w:val="%6."/>
      <w:lvlJc w:val="right"/>
      <w:pPr>
        <w:ind w:left="4320" w:hanging="180"/>
      </w:pPr>
    </w:lvl>
    <w:lvl w:ilvl="6" w:tplc="E556D6D6" w:tentative="1">
      <w:start w:val="1"/>
      <w:numFmt w:val="decimal"/>
      <w:lvlText w:val="%7."/>
      <w:lvlJc w:val="left"/>
      <w:pPr>
        <w:ind w:left="5040" w:hanging="360"/>
      </w:pPr>
    </w:lvl>
    <w:lvl w:ilvl="7" w:tplc="612EC018" w:tentative="1">
      <w:start w:val="1"/>
      <w:numFmt w:val="lowerLetter"/>
      <w:lvlText w:val="%8."/>
      <w:lvlJc w:val="left"/>
      <w:pPr>
        <w:ind w:left="5760" w:hanging="360"/>
      </w:pPr>
    </w:lvl>
    <w:lvl w:ilvl="8" w:tplc="E7809ECE" w:tentative="1">
      <w:start w:val="1"/>
      <w:numFmt w:val="lowerRoman"/>
      <w:lvlText w:val="%9."/>
      <w:lvlJc w:val="right"/>
      <w:pPr>
        <w:ind w:left="6480" w:hanging="180"/>
      </w:pPr>
    </w:lvl>
  </w:abstractNum>
  <w:abstractNum w:abstractNumId="9" w15:restartNumberingAfterBreak="0">
    <w:nsid w:val="610720BA"/>
    <w:multiLevelType w:val="hybridMultilevel"/>
    <w:tmpl w:val="3ACC32A4"/>
    <w:lvl w:ilvl="0" w:tplc="4440A4AA">
      <w:start w:val="1"/>
      <w:numFmt w:val="upperRoman"/>
      <w:lvlText w:val="%1."/>
      <w:lvlJc w:val="left"/>
      <w:pPr>
        <w:ind w:left="1080" w:hanging="720"/>
      </w:pPr>
      <w:rPr>
        <w:rFonts w:hint="default"/>
      </w:rPr>
    </w:lvl>
    <w:lvl w:ilvl="1" w:tplc="8B7EDA32" w:tentative="1">
      <w:start w:val="1"/>
      <w:numFmt w:val="lowerLetter"/>
      <w:lvlText w:val="%2."/>
      <w:lvlJc w:val="left"/>
      <w:pPr>
        <w:ind w:left="1440" w:hanging="360"/>
      </w:pPr>
    </w:lvl>
    <w:lvl w:ilvl="2" w:tplc="2EF23F74" w:tentative="1">
      <w:start w:val="1"/>
      <w:numFmt w:val="lowerRoman"/>
      <w:lvlText w:val="%3."/>
      <w:lvlJc w:val="right"/>
      <w:pPr>
        <w:ind w:left="2160" w:hanging="180"/>
      </w:pPr>
    </w:lvl>
    <w:lvl w:ilvl="3" w:tplc="A7D87C62" w:tentative="1">
      <w:start w:val="1"/>
      <w:numFmt w:val="decimal"/>
      <w:lvlText w:val="%4."/>
      <w:lvlJc w:val="left"/>
      <w:pPr>
        <w:ind w:left="2880" w:hanging="360"/>
      </w:pPr>
    </w:lvl>
    <w:lvl w:ilvl="4" w:tplc="37B6952A" w:tentative="1">
      <w:start w:val="1"/>
      <w:numFmt w:val="lowerLetter"/>
      <w:lvlText w:val="%5."/>
      <w:lvlJc w:val="left"/>
      <w:pPr>
        <w:ind w:left="3600" w:hanging="360"/>
      </w:pPr>
    </w:lvl>
    <w:lvl w:ilvl="5" w:tplc="0F4E8CFC" w:tentative="1">
      <w:start w:val="1"/>
      <w:numFmt w:val="lowerRoman"/>
      <w:lvlText w:val="%6."/>
      <w:lvlJc w:val="right"/>
      <w:pPr>
        <w:ind w:left="4320" w:hanging="180"/>
      </w:pPr>
    </w:lvl>
    <w:lvl w:ilvl="6" w:tplc="3B2EE6C4" w:tentative="1">
      <w:start w:val="1"/>
      <w:numFmt w:val="decimal"/>
      <w:lvlText w:val="%7."/>
      <w:lvlJc w:val="left"/>
      <w:pPr>
        <w:ind w:left="5040" w:hanging="360"/>
      </w:pPr>
    </w:lvl>
    <w:lvl w:ilvl="7" w:tplc="789672F2" w:tentative="1">
      <w:start w:val="1"/>
      <w:numFmt w:val="lowerLetter"/>
      <w:lvlText w:val="%8."/>
      <w:lvlJc w:val="left"/>
      <w:pPr>
        <w:ind w:left="5760" w:hanging="360"/>
      </w:pPr>
    </w:lvl>
    <w:lvl w:ilvl="8" w:tplc="361E8480" w:tentative="1">
      <w:start w:val="1"/>
      <w:numFmt w:val="lowerRoman"/>
      <w:lvlText w:val="%9."/>
      <w:lvlJc w:val="right"/>
      <w:pPr>
        <w:ind w:left="6480" w:hanging="180"/>
      </w:pPr>
    </w:lvl>
  </w:abstractNum>
  <w:abstractNum w:abstractNumId="10" w15:restartNumberingAfterBreak="0">
    <w:nsid w:val="73973DAA"/>
    <w:multiLevelType w:val="hybridMultilevel"/>
    <w:tmpl w:val="453EB294"/>
    <w:lvl w:ilvl="0" w:tplc="5C50F55A">
      <w:start w:val="1"/>
      <w:numFmt w:val="upperLetter"/>
      <w:lvlText w:val="%1."/>
      <w:lvlJc w:val="left"/>
      <w:pPr>
        <w:ind w:left="1080" w:hanging="360"/>
      </w:pPr>
      <w:rPr>
        <w:rFonts w:hint="default"/>
      </w:rPr>
    </w:lvl>
    <w:lvl w:ilvl="1" w:tplc="04349B40" w:tentative="1">
      <w:start w:val="1"/>
      <w:numFmt w:val="lowerLetter"/>
      <w:lvlText w:val="%2."/>
      <w:lvlJc w:val="left"/>
      <w:pPr>
        <w:ind w:left="1800" w:hanging="360"/>
      </w:pPr>
    </w:lvl>
    <w:lvl w:ilvl="2" w:tplc="5A640C2E" w:tentative="1">
      <w:start w:val="1"/>
      <w:numFmt w:val="lowerRoman"/>
      <w:lvlText w:val="%3."/>
      <w:lvlJc w:val="right"/>
      <w:pPr>
        <w:ind w:left="2520" w:hanging="180"/>
      </w:pPr>
    </w:lvl>
    <w:lvl w:ilvl="3" w:tplc="B48AA6FA" w:tentative="1">
      <w:start w:val="1"/>
      <w:numFmt w:val="decimal"/>
      <w:lvlText w:val="%4."/>
      <w:lvlJc w:val="left"/>
      <w:pPr>
        <w:ind w:left="3240" w:hanging="360"/>
      </w:pPr>
    </w:lvl>
    <w:lvl w:ilvl="4" w:tplc="65C0E1BE" w:tentative="1">
      <w:start w:val="1"/>
      <w:numFmt w:val="lowerLetter"/>
      <w:lvlText w:val="%5."/>
      <w:lvlJc w:val="left"/>
      <w:pPr>
        <w:ind w:left="3960" w:hanging="360"/>
      </w:pPr>
    </w:lvl>
    <w:lvl w:ilvl="5" w:tplc="B22A9898" w:tentative="1">
      <w:start w:val="1"/>
      <w:numFmt w:val="lowerRoman"/>
      <w:lvlText w:val="%6."/>
      <w:lvlJc w:val="right"/>
      <w:pPr>
        <w:ind w:left="4680" w:hanging="180"/>
      </w:pPr>
    </w:lvl>
    <w:lvl w:ilvl="6" w:tplc="8A4E4876" w:tentative="1">
      <w:start w:val="1"/>
      <w:numFmt w:val="decimal"/>
      <w:lvlText w:val="%7."/>
      <w:lvlJc w:val="left"/>
      <w:pPr>
        <w:ind w:left="5400" w:hanging="360"/>
      </w:pPr>
    </w:lvl>
    <w:lvl w:ilvl="7" w:tplc="2D3A94FA" w:tentative="1">
      <w:start w:val="1"/>
      <w:numFmt w:val="lowerLetter"/>
      <w:lvlText w:val="%8."/>
      <w:lvlJc w:val="left"/>
      <w:pPr>
        <w:ind w:left="6120" w:hanging="360"/>
      </w:pPr>
    </w:lvl>
    <w:lvl w:ilvl="8" w:tplc="DFCE5FFE" w:tentative="1">
      <w:start w:val="1"/>
      <w:numFmt w:val="lowerRoman"/>
      <w:lvlText w:val="%9."/>
      <w:lvlJc w:val="right"/>
      <w:pPr>
        <w:ind w:left="6840" w:hanging="180"/>
      </w:pPr>
    </w:lvl>
  </w:abstractNum>
  <w:abstractNum w:abstractNumId="11" w15:restartNumberingAfterBreak="0">
    <w:nsid w:val="7C82533A"/>
    <w:multiLevelType w:val="hybridMultilevel"/>
    <w:tmpl w:val="498E53C6"/>
    <w:lvl w:ilvl="0" w:tplc="99780158">
      <w:start w:val="1"/>
      <w:numFmt w:val="bullet"/>
      <w:lvlText w:val=""/>
      <w:lvlJc w:val="left"/>
      <w:pPr>
        <w:ind w:left="720" w:hanging="360"/>
      </w:pPr>
      <w:rPr>
        <w:rFonts w:ascii="Symbol" w:hAnsi="Symbol" w:hint="default"/>
      </w:rPr>
    </w:lvl>
    <w:lvl w:ilvl="1" w:tplc="EC9A700A" w:tentative="1">
      <w:start w:val="1"/>
      <w:numFmt w:val="bullet"/>
      <w:lvlText w:val="o"/>
      <w:lvlJc w:val="left"/>
      <w:pPr>
        <w:ind w:left="1440" w:hanging="360"/>
      </w:pPr>
      <w:rPr>
        <w:rFonts w:ascii="Courier New" w:hAnsi="Courier New" w:cs="Courier New" w:hint="default"/>
      </w:rPr>
    </w:lvl>
    <w:lvl w:ilvl="2" w:tplc="C2BC4E86" w:tentative="1">
      <w:start w:val="1"/>
      <w:numFmt w:val="bullet"/>
      <w:lvlText w:val=""/>
      <w:lvlJc w:val="left"/>
      <w:pPr>
        <w:ind w:left="2160" w:hanging="360"/>
      </w:pPr>
      <w:rPr>
        <w:rFonts w:ascii="Wingdings" w:hAnsi="Wingdings" w:hint="default"/>
      </w:rPr>
    </w:lvl>
    <w:lvl w:ilvl="3" w:tplc="CAC22D4C" w:tentative="1">
      <w:start w:val="1"/>
      <w:numFmt w:val="bullet"/>
      <w:lvlText w:val=""/>
      <w:lvlJc w:val="left"/>
      <w:pPr>
        <w:ind w:left="2880" w:hanging="360"/>
      </w:pPr>
      <w:rPr>
        <w:rFonts w:ascii="Symbol" w:hAnsi="Symbol" w:hint="default"/>
      </w:rPr>
    </w:lvl>
    <w:lvl w:ilvl="4" w:tplc="115A151C" w:tentative="1">
      <w:start w:val="1"/>
      <w:numFmt w:val="bullet"/>
      <w:lvlText w:val="o"/>
      <w:lvlJc w:val="left"/>
      <w:pPr>
        <w:ind w:left="3600" w:hanging="360"/>
      </w:pPr>
      <w:rPr>
        <w:rFonts w:ascii="Courier New" w:hAnsi="Courier New" w:cs="Courier New" w:hint="default"/>
      </w:rPr>
    </w:lvl>
    <w:lvl w:ilvl="5" w:tplc="210C39D6" w:tentative="1">
      <w:start w:val="1"/>
      <w:numFmt w:val="bullet"/>
      <w:lvlText w:val=""/>
      <w:lvlJc w:val="left"/>
      <w:pPr>
        <w:ind w:left="4320" w:hanging="360"/>
      </w:pPr>
      <w:rPr>
        <w:rFonts w:ascii="Wingdings" w:hAnsi="Wingdings" w:hint="default"/>
      </w:rPr>
    </w:lvl>
    <w:lvl w:ilvl="6" w:tplc="50EA8D8C" w:tentative="1">
      <w:start w:val="1"/>
      <w:numFmt w:val="bullet"/>
      <w:lvlText w:val=""/>
      <w:lvlJc w:val="left"/>
      <w:pPr>
        <w:ind w:left="5040" w:hanging="360"/>
      </w:pPr>
      <w:rPr>
        <w:rFonts w:ascii="Symbol" w:hAnsi="Symbol" w:hint="default"/>
      </w:rPr>
    </w:lvl>
    <w:lvl w:ilvl="7" w:tplc="9FDC40CE" w:tentative="1">
      <w:start w:val="1"/>
      <w:numFmt w:val="bullet"/>
      <w:lvlText w:val="o"/>
      <w:lvlJc w:val="left"/>
      <w:pPr>
        <w:ind w:left="5760" w:hanging="360"/>
      </w:pPr>
      <w:rPr>
        <w:rFonts w:ascii="Courier New" w:hAnsi="Courier New" w:cs="Courier New" w:hint="default"/>
      </w:rPr>
    </w:lvl>
    <w:lvl w:ilvl="8" w:tplc="88D4994C" w:tentative="1">
      <w:start w:val="1"/>
      <w:numFmt w:val="bullet"/>
      <w:lvlText w:val=""/>
      <w:lvlJc w:val="left"/>
      <w:pPr>
        <w:ind w:left="6480" w:hanging="360"/>
      </w:pPr>
      <w:rPr>
        <w:rFonts w:ascii="Wingdings" w:hAnsi="Wingdings" w:hint="default"/>
      </w:rPr>
    </w:lvl>
  </w:abstractNum>
  <w:num w:numId="1" w16cid:durableId="1561476693">
    <w:abstractNumId w:val="6"/>
  </w:num>
  <w:num w:numId="2" w16cid:durableId="109325914">
    <w:abstractNumId w:val="11"/>
  </w:num>
  <w:num w:numId="3" w16cid:durableId="140271724">
    <w:abstractNumId w:val="7"/>
  </w:num>
  <w:num w:numId="4" w16cid:durableId="2090271940">
    <w:abstractNumId w:val="8"/>
  </w:num>
  <w:num w:numId="5" w16cid:durableId="1262446292">
    <w:abstractNumId w:val="3"/>
  </w:num>
  <w:num w:numId="6" w16cid:durableId="1955406128">
    <w:abstractNumId w:val="10"/>
  </w:num>
  <w:num w:numId="7" w16cid:durableId="179242698">
    <w:abstractNumId w:val="0"/>
  </w:num>
  <w:num w:numId="8" w16cid:durableId="1388216253">
    <w:abstractNumId w:val="5"/>
  </w:num>
  <w:num w:numId="9" w16cid:durableId="1256280331">
    <w:abstractNumId w:val="4"/>
  </w:num>
  <w:num w:numId="10" w16cid:durableId="1330408197">
    <w:abstractNumId w:val="9"/>
  </w:num>
  <w:num w:numId="11" w16cid:durableId="437332127">
    <w:abstractNumId w:val="1"/>
  </w:num>
  <w:num w:numId="12" w16cid:durableId="1945306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3D"/>
    <w:rsid w:val="000024AB"/>
    <w:rsid w:val="00003B52"/>
    <w:rsid w:val="000174E6"/>
    <w:rsid w:val="000347D4"/>
    <w:rsid w:val="00034CE5"/>
    <w:rsid w:val="00061D39"/>
    <w:rsid w:val="00084B64"/>
    <w:rsid w:val="00090CBA"/>
    <w:rsid w:val="000C49D6"/>
    <w:rsid w:val="000E0F22"/>
    <w:rsid w:val="00102888"/>
    <w:rsid w:val="0013102D"/>
    <w:rsid w:val="00137538"/>
    <w:rsid w:val="00140E54"/>
    <w:rsid w:val="001448FC"/>
    <w:rsid w:val="001B4DA0"/>
    <w:rsid w:val="001C526E"/>
    <w:rsid w:val="001F75AF"/>
    <w:rsid w:val="00201596"/>
    <w:rsid w:val="00207C52"/>
    <w:rsid w:val="002130D3"/>
    <w:rsid w:val="00221B05"/>
    <w:rsid w:val="00242F1C"/>
    <w:rsid w:val="00255B48"/>
    <w:rsid w:val="00262D5F"/>
    <w:rsid w:val="002634BE"/>
    <w:rsid w:val="002638CA"/>
    <w:rsid w:val="00263B29"/>
    <w:rsid w:val="002879C3"/>
    <w:rsid w:val="00293607"/>
    <w:rsid w:val="00293FA3"/>
    <w:rsid w:val="002B1111"/>
    <w:rsid w:val="002B5462"/>
    <w:rsid w:val="0033034D"/>
    <w:rsid w:val="00331490"/>
    <w:rsid w:val="00351EAB"/>
    <w:rsid w:val="00357230"/>
    <w:rsid w:val="00366DF5"/>
    <w:rsid w:val="00370D2B"/>
    <w:rsid w:val="003806BF"/>
    <w:rsid w:val="0039128E"/>
    <w:rsid w:val="003914F7"/>
    <w:rsid w:val="003D461F"/>
    <w:rsid w:val="00433B91"/>
    <w:rsid w:val="004637D1"/>
    <w:rsid w:val="00476CFE"/>
    <w:rsid w:val="004A1EEB"/>
    <w:rsid w:val="004B4A3D"/>
    <w:rsid w:val="004B5A72"/>
    <w:rsid w:val="004F610E"/>
    <w:rsid w:val="00503543"/>
    <w:rsid w:val="005129CF"/>
    <w:rsid w:val="005310C2"/>
    <w:rsid w:val="005319EA"/>
    <w:rsid w:val="005424DB"/>
    <w:rsid w:val="005450B4"/>
    <w:rsid w:val="00556141"/>
    <w:rsid w:val="00557783"/>
    <w:rsid w:val="00597116"/>
    <w:rsid w:val="005A3993"/>
    <w:rsid w:val="005B4463"/>
    <w:rsid w:val="005C76F3"/>
    <w:rsid w:val="005D27F9"/>
    <w:rsid w:val="0060474E"/>
    <w:rsid w:val="0060542F"/>
    <w:rsid w:val="006061C4"/>
    <w:rsid w:val="0060753A"/>
    <w:rsid w:val="006122FC"/>
    <w:rsid w:val="00650652"/>
    <w:rsid w:val="006561F5"/>
    <w:rsid w:val="00692888"/>
    <w:rsid w:val="00697C3D"/>
    <w:rsid w:val="006A043E"/>
    <w:rsid w:val="006D38C7"/>
    <w:rsid w:val="006E743C"/>
    <w:rsid w:val="006F0C83"/>
    <w:rsid w:val="006F43D2"/>
    <w:rsid w:val="006F4BDF"/>
    <w:rsid w:val="006F7964"/>
    <w:rsid w:val="00704FBD"/>
    <w:rsid w:val="00714EAE"/>
    <w:rsid w:val="00725FC0"/>
    <w:rsid w:val="00752475"/>
    <w:rsid w:val="0075281D"/>
    <w:rsid w:val="00772CAC"/>
    <w:rsid w:val="007878D4"/>
    <w:rsid w:val="007A25DF"/>
    <w:rsid w:val="007B0293"/>
    <w:rsid w:val="007B13B9"/>
    <w:rsid w:val="007D16FA"/>
    <w:rsid w:val="007D65A9"/>
    <w:rsid w:val="007E4665"/>
    <w:rsid w:val="007F2F3F"/>
    <w:rsid w:val="0085737F"/>
    <w:rsid w:val="008A2B6C"/>
    <w:rsid w:val="008A3452"/>
    <w:rsid w:val="008A57CD"/>
    <w:rsid w:val="008A6E10"/>
    <w:rsid w:val="008C6DDE"/>
    <w:rsid w:val="008D7648"/>
    <w:rsid w:val="008F30B3"/>
    <w:rsid w:val="008F3409"/>
    <w:rsid w:val="0091198F"/>
    <w:rsid w:val="00946E13"/>
    <w:rsid w:val="00950C85"/>
    <w:rsid w:val="00951CC9"/>
    <w:rsid w:val="00953312"/>
    <w:rsid w:val="00992026"/>
    <w:rsid w:val="00992659"/>
    <w:rsid w:val="009971ED"/>
    <w:rsid w:val="009D6ED6"/>
    <w:rsid w:val="009E2B6F"/>
    <w:rsid w:val="009E2C36"/>
    <w:rsid w:val="00A00271"/>
    <w:rsid w:val="00A04EA2"/>
    <w:rsid w:val="00A074A1"/>
    <w:rsid w:val="00A20F15"/>
    <w:rsid w:val="00A51090"/>
    <w:rsid w:val="00A5596E"/>
    <w:rsid w:val="00A65D0A"/>
    <w:rsid w:val="00A67C81"/>
    <w:rsid w:val="00A67C87"/>
    <w:rsid w:val="00A70D18"/>
    <w:rsid w:val="00A7217E"/>
    <w:rsid w:val="00AA47E0"/>
    <w:rsid w:val="00AB0A6D"/>
    <w:rsid w:val="00AC0DF3"/>
    <w:rsid w:val="00AC1D17"/>
    <w:rsid w:val="00AD31A2"/>
    <w:rsid w:val="00AE58F2"/>
    <w:rsid w:val="00AF402C"/>
    <w:rsid w:val="00AF52FA"/>
    <w:rsid w:val="00B04982"/>
    <w:rsid w:val="00B2284D"/>
    <w:rsid w:val="00B240D1"/>
    <w:rsid w:val="00B40A29"/>
    <w:rsid w:val="00B81775"/>
    <w:rsid w:val="00B9705A"/>
    <w:rsid w:val="00BA34A5"/>
    <w:rsid w:val="00BB0F88"/>
    <w:rsid w:val="00BC14E6"/>
    <w:rsid w:val="00BC16BF"/>
    <w:rsid w:val="00BC552A"/>
    <w:rsid w:val="00BD3B68"/>
    <w:rsid w:val="00BE7C5E"/>
    <w:rsid w:val="00C15E63"/>
    <w:rsid w:val="00C22E68"/>
    <w:rsid w:val="00C311E0"/>
    <w:rsid w:val="00C36108"/>
    <w:rsid w:val="00C42B04"/>
    <w:rsid w:val="00C66C9A"/>
    <w:rsid w:val="00C70F64"/>
    <w:rsid w:val="00C74C0E"/>
    <w:rsid w:val="00CA7F92"/>
    <w:rsid w:val="00CC0BC9"/>
    <w:rsid w:val="00CC7626"/>
    <w:rsid w:val="00CE2C9B"/>
    <w:rsid w:val="00CE44BA"/>
    <w:rsid w:val="00CF6786"/>
    <w:rsid w:val="00D003AF"/>
    <w:rsid w:val="00D07F40"/>
    <w:rsid w:val="00D26C34"/>
    <w:rsid w:val="00D45167"/>
    <w:rsid w:val="00D657FD"/>
    <w:rsid w:val="00D77A62"/>
    <w:rsid w:val="00D801DD"/>
    <w:rsid w:val="00DA13A6"/>
    <w:rsid w:val="00DB3331"/>
    <w:rsid w:val="00DC5CEA"/>
    <w:rsid w:val="00DE223C"/>
    <w:rsid w:val="00DE5322"/>
    <w:rsid w:val="00DE7F4B"/>
    <w:rsid w:val="00DF088D"/>
    <w:rsid w:val="00DF255F"/>
    <w:rsid w:val="00E02031"/>
    <w:rsid w:val="00E071E2"/>
    <w:rsid w:val="00E078F3"/>
    <w:rsid w:val="00E165C1"/>
    <w:rsid w:val="00E24C94"/>
    <w:rsid w:val="00E43990"/>
    <w:rsid w:val="00E463BC"/>
    <w:rsid w:val="00E80C3A"/>
    <w:rsid w:val="00E84434"/>
    <w:rsid w:val="00EA2454"/>
    <w:rsid w:val="00EB53EF"/>
    <w:rsid w:val="00ED34E7"/>
    <w:rsid w:val="00ED4FC9"/>
    <w:rsid w:val="00EE0440"/>
    <w:rsid w:val="00EF0EDD"/>
    <w:rsid w:val="00F23CA6"/>
    <w:rsid w:val="00F37C9B"/>
    <w:rsid w:val="00F42039"/>
    <w:rsid w:val="00F624DF"/>
    <w:rsid w:val="00F8593B"/>
    <w:rsid w:val="00F97534"/>
    <w:rsid w:val="00FA0FFA"/>
    <w:rsid w:val="00FA66C6"/>
    <w:rsid w:val="00FC018F"/>
    <w:rsid w:val="00FD07F6"/>
    <w:rsid w:val="00FE269A"/>
    <w:rsid w:val="00FF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0EA34-EF2C-4507-B286-9A80B555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E6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15E63"/>
    <w:pPr>
      <w:keepNext/>
      <w:keepLines/>
      <w:spacing w:after="240"/>
      <w:ind w:left="720" w:hanging="720"/>
      <w:outlineLvl w:val="0"/>
    </w:pPr>
    <w:rPr>
      <w:rFonts w:ascii="Times New Roman Bold" w:eastAsiaTheme="majorEastAsia" w:hAnsi="Times New Roman Bold" w:cstheme="majorBidi"/>
      <w:b/>
      <w:caps/>
      <w:szCs w:val="40"/>
    </w:rPr>
  </w:style>
  <w:style w:type="paragraph" w:styleId="Heading2">
    <w:name w:val="heading 2"/>
    <w:basedOn w:val="Normal"/>
    <w:next w:val="Normal"/>
    <w:link w:val="Heading2Char"/>
    <w:uiPriority w:val="9"/>
    <w:unhideWhenUsed/>
    <w:qFormat/>
    <w:rsid w:val="002638CA"/>
    <w:pPr>
      <w:keepNext/>
      <w:keepLines/>
      <w:spacing w:after="240"/>
      <w:ind w:left="1440" w:hanging="720"/>
      <w:outlineLvl w:val="1"/>
    </w:pPr>
    <w:rPr>
      <w:rFonts w:ascii="Times New Roman Bold" w:eastAsiaTheme="majorEastAsia" w:hAnsi="Times New Roman Bold" w:cstheme="majorBidi"/>
      <w:b/>
      <w:szCs w:val="32"/>
    </w:rPr>
  </w:style>
  <w:style w:type="paragraph" w:styleId="Heading3">
    <w:name w:val="heading 3"/>
    <w:basedOn w:val="Normal"/>
    <w:next w:val="Normal"/>
    <w:link w:val="Heading3Char"/>
    <w:uiPriority w:val="9"/>
    <w:semiHidden/>
    <w:unhideWhenUsed/>
    <w:qFormat/>
    <w:rsid w:val="004B4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A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A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A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A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E63"/>
    <w:rPr>
      <w:rFonts w:ascii="Times New Roman Bold" w:eastAsiaTheme="majorEastAsia" w:hAnsi="Times New Roman Bold" w:cstheme="majorBidi"/>
      <w:b/>
      <w:caps/>
      <w:sz w:val="24"/>
      <w:szCs w:val="40"/>
    </w:rPr>
  </w:style>
  <w:style w:type="character" w:customStyle="1" w:styleId="Heading2Char">
    <w:name w:val="Heading 2 Char"/>
    <w:basedOn w:val="DefaultParagraphFont"/>
    <w:link w:val="Heading2"/>
    <w:uiPriority w:val="9"/>
    <w:rsid w:val="002638CA"/>
    <w:rPr>
      <w:rFonts w:ascii="Times New Roman Bold" w:eastAsiaTheme="majorEastAsia" w:hAnsi="Times New Roman Bold" w:cstheme="majorBidi"/>
      <w:b/>
      <w:sz w:val="24"/>
      <w:szCs w:val="32"/>
    </w:rPr>
  </w:style>
  <w:style w:type="character" w:customStyle="1" w:styleId="Heading3Char">
    <w:name w:val="Heading 3 Char"/>
    <w:basedOn w:val="DefaultParagraphFont"/>
    <w:link w:val="Heading3"/>
    <w:uiPriority w:val="9"/>
    <w:semiHidden/>
    <w:rsid w:val="004B4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A3D"/>
    <w:rPr>
      <w:rFonts w:eastAsiaTheme="majorEastAsia" w:cstheme="majorBidi"/>
      <w:color w:val="272727" w:themeColor="text1" w:themeTint="D8"/>
    </w:rPr>
  </w:style>
  <w:style w:type="paragraph" w:styleId="Title">
    <w:name w:val="Title"/>
    <w:basedOn w:val="Normal"/>
    <w:next w:val="Normal"/>
    <w:link w:val="TitleChar"/>
    <w:uiPriority w:val="10"/>
    <w:qFormat/>
    <w:rsid w:val="004B4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A3D"/>
    <w:pPr>
      <w:spacing w:before="160"/>
      <w:jc w:val="center"/>
    </w:pPr>
    <w:rPr>
      <w:i/>
      <w:iCs/>
      <w:color w:val="404040" w:themeColor="text1" w:themeTint="BF"/>
    </w:rPr>
  </w:style>
  <w:style w:type="character" w:customStyle="1" w:styleId="QuoteChar">
    <w:name w:val="Quote Char"/>
    <w:basedOn w:val="DefaultParagraphFont"/>
    <w:link w:val="Quote"/>
    <w:uiPriority w:val="29"/>
    <w:rsid w:val="004B4A3D"/>
    <w:rPr>
      <w:i/>
      <w:iCs/>
      <w:color w:val="404040" w:themeColor="text1" w:themeTint="BF"/>
    </w:rPr>
  </w:style>
  <w:style w:type="paragraph" w:styleId="ListParagraph">
    <w:name w:val="List Paragraph"/>
    <w:basedOn w:val="Normal"/>
    <w:uiPriority w:val="34"/>
    <w:qFormat/>
    <w:rsid w:val="004B4A3D"/>
    <w:pPr>
      <w:ind w:left="720"/>
      <w:contextualSpacing/>
    </w:pPr>
  </w:style>
  <w:style w:type="character" w:styleId="IntenseEmphasis">
    <w:name w:val="Intense Emphasis"/>
    <w:basedOn w:val="DefaultParagraphFont"/>
    <w:uiPriority w:val="21"/>
    <w:qFormat/>
    <w:rsid w:val="004B4A3D"/>
    <w:rPr>
      <w:i/>
      <w:iCs/>
      <w:color w:val="0F4761" w:themeColor="accent1" w:themeShade="BF"/>
    </w:rPr>
  </w:style>
  <w:style w:type="paragraph" w:styleId="IntenseQuote">
    <w:name w:val="Intense Quote"/>
    <w:basedOn w:val="Normal"/>
    <w:next w:val="Normal"/>
    <w:link w:val="IntenseQuoteChar"/>
    <w:uiPriority w:val="30"/>
    <w:qFormat/>
    <w:rsid w:val="004B4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A3D"/>
    <w:rPr>
      <w:i/>
      <w:iCs/>
      <w:color w:val="0F4761" w:themeColor="accent1" w:themeShade="BF"/>
    </w:rPr>
  </w:style>
  <w:style w:type="character" w:styleId="IntenseReference">
    <w:name w:val="Intense Reference"/>
    <w:basedOn w:val="DefaultParagraphFont"/>
    <w:uiPriority w:val="32"/>
    <w:qFormat/>
    <w:rsid w:val="004B4A3D"/>
    <w:rPr>
      <w:b/>
      <w:bCs/>
      <w:smallCaps/>
      <w:color w:val="0F4761" w:themeColor="accent1" w:themeShade="BF"/>
      <w:spacing w:val="5"/>
    </w:rPr>
  </w:style>
  <w:style w:type="paragraph" w:styleId="Revision">
    <w:name w:val="Revision"/>
    <w:hidden/>
    <w:uiPriority w:val="99"/>
    <w:semiHidden/>
    <w:rsid w:val="00061D39"/>
    <w:pPr>
      <w:spacing w:after="0" w:line="240" w:lineRule="auto"/>
    </w:pPr>
  </w:style>
  <w:style w:type="character" w:styleId="CommentReference">
    <w:name w:val="annotation reference"/>
    <w:basedOn w:val="DefaultParagraphFont"/>
    <w:uiPriority w:val="99"/>
    <w:semiHidden/>
    <w:unhideWhenUsed/>
    <w:rsid w:val="00061D39"/>
    <w:rPr>
      <w:sz w:val="16"/>
      <w:szCs w:val="16"/>
    </w:rPr>
  </w:style>
  <w:style w:type="paragraph" w:styleId="CommentText">
    <w:name w:val="annotation text"/>
    <w:basedOn w:val="Normal"/>
    <w:link w:val="CommentTextChar"/>
    <w:uiPriority w:val="99"/>
    <w:unhideWhenUsed/>
    <w:rsid w:val="00061D39"/>
    <w:rPr>
      <w:sz w:val="20"/>
      <w:szCs w:val="20"/>
    </w:rPr>
  </w:style>
  <w:style w:type="character" w:customStyle="1" w:styleId="CommentTextChar">
    <w:name w:val="Comment Text Char"/>
    <w:basedOn w:val="DefaultParagraphFont"/>
    <w:link w:val="CommentText"/>
    <w:uiPriority w:val="99"/>
    <w:rsid w:val="00061D39"/>
    <w:rPr>
      <w:sz w:val="20"/>
      <w:szCs w:val="20"/>
    </w:rPr>
  </w:style>
  <w:style w:type="paragraph" w:styleId="CommentSubject">
    <w:name w:val="annotation subject"/>
    <w:basedOn w:val="CommentText"/>
    <w:next w:val="CommentText"/>
    <w:link w:val="CommentSubjectChar"/>
    <w:uiPriority w:val="99"/>
    <w:semiHidden/>
    <w:unhideWhenUsed/>
    <w:rsid w:val="00061D39"/>
    <w:rPr>
      <w:b/>
      <w:bCs/>
    </w:rPr>
  </w:style>
  <w:style w:type="character" w:customStyle="1" w:styleId="CommentSubjectChar">
    <w:name w:val="Comment Subject Char"/>
    <w:basedOn w:val="CommentTextChar"/>
    <w:link w:val="CommentSubject"/>
    <w:uiPriority w:val="99"/>
    <w:semiHidden/>
    <w:rsid w:val="00061D39"/>
    <w:rPr>
      <w:b/>
      <w:bCs/>
      <w:sz w:val="20"/>
      <w:szCs w:val="20"/>
    </w:rPr>
  </w:style>
  <w:style w:type="paragraph" w:styleId="Header">
    <w:name w:val="header"/>
    <w:basedOn w:val="Normal"/>
    <w:link w:val="HeaderChar"/>
    <w:uiPriority w:val="99"/>
    <w:unhideWhenUsed/>
    <w:rsid w:val="002638CA"/>
    <w:pPr>
      <w:tabs>
        <w:tab w:val="center" w:pos="4680"/>
        <w:tab w:val="right" w:pos="9360"/>
      </w:tabs>
    </w:pPr>
  </w:style>
  <w:style w:type="character" w:customStyle="1" w:styleId="HeaderChar">
    <w:name w:val="Header Char"/>
    <w:basedOn w:val="DefaultParagraphFont"/>
    <w:link w:val="Header"/>
    <w:uiPriority w:val="99"/>
    <w:rsid w:val="002638CA"/>
    <w:rPr>
      <w:rFonts w:ascii="Times New Roman" w:hAnsi="Times New Roman"/>
      <w:sz w:val="24"/>
    </w:rPr>
  </w:style>
  <w:style w:type="paragraph" w:styleId="Footer">
    <w:name w:val="footer"/>
    <w:basedOn w:val="Normal"/>
    <w:link w:val="FooterChar"/>
    <w:uiPriority w:val="99"/>
    <w:unhideWhenUsed/>
    <w:rsid w:val="002638CA"/>
    <w:pPr>
      <w:tabs>
        <w:tab w:val="center" w:pos="4680"/>
        <w:tab w:val="right" w:pos="9360"/>
      </w:tabs>
    </w:pPr>
  </w:style>
  <w:style w:type="character" w:customStyle="1" w:styleId="FooterChar">
    <w:name w:val="Footer Char"/>
    <w:basedOn w:val="DefaultParagraphFont"/>
    <w:link w:val="Footer"/>
    <w:uiPriority w:val="99"/>
    <w:rsid w:val="002638CA"/>
    <w:rPr>
      <w:rFonts w:ascii="Times New Roman" w:hAnsi="Times New Roman"/>
      <w:sz w:val="24"/>
    </w:rPr>
  </w:style>
  <w:style w:type="paragraph" w:styleId="FootnoteText">
    <w:name w:val="footnote text"/>
    <w:basedOn w:val="Normal"/>
    <w:link w:val="FootnoteTextChar"/>
    <w:uiPriority w:val="99"/>
    <w:semiHidden/>
    <w:unhideWhenUsed/>
    <w:rsid w:val="006E743C"/>
    <w:rPr>
      <w:sz w:val="20"/>
      <w:szCs w:val="20"/>
    </w:rPr>
  </w:style>
  <w:style w:type="character" w:customStyle="1" w:styleId="FootnoteTextChar">
    <w:name w:val="Footnote Text Char"/>
    <w:basedOn w:val="DefaultParagraphFont"/>
    <w:link w:val="FootnoteText"/>
    <w:uiPriority w:val="99"/>
    <w:semiHidden/>
    <w:rsid w:val="006E743C"/>
    <w:rPr>
      <w:rFonts w:ascii="Times New Roman" w:hAnsi="Times New Roman"/>
      <w:sz w:val="20"/>
      <w:szCs w:val="20"/>
    </w:rPr>
  </w:style>
  <w:style w:type="character" w:styleId="FootnoteReference">
    <w:name w:val="footnote reference"/>
    <w:basedOn w:val="DefaultParagraphFont"/>
    <w:uiPriority w:val="99"/>
    <w:semiHidden/>
    <w:unhideWhenUsed/>
    <w:rsid w:val="006E743C"/>
    <w:rPr>
      <w:vertAlign w:val="superscript"/>
    </w:rPr>
  </w:style>
  <w:style w:type="character" w:styleId="Hyperlink">
    <w:name w:val="Hyperlink"/>
    <w:basedOn w:val="DefaultParagraphFont"/>
    <w:uiPriority w:val="99"/>
    <w:unhideWhenUsed/>
    <w:rsid w:val="0013102D"/>
    <w:rPr>
      <w:color w:val="467886" w:themeColor="hyperlink"/>
      <w:u w:val="single"/>
    </w:rPr>
  </w:style>
  <w:style w:type="character" w:customStyle="1" w:styleId="UnresolvedMention1">
    <w:name w:val="Unresolved Mention1"/>
    <w:basedOn w:val="DefaultParagraphFont"/>
    <w:uiPriority w:val="99"/>
    <w:semiHidden/>
    <w:unhideWhenUsed/>
    <w:rsid w:val="0013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eubanks@occ.ohio.gov" TargetMode="External"/><Relationship Id="rId13" Type="http://schemas.openxmlformats.org/officeDocument/2006/relationships/hyperlink" Target="mailto:Greta.see@puco.ohio.gov" TargetMode="External"/><Relationship Id="rId18" Type="http://schemas.openxmlformats.org/officeDocument/2006/relationships/hyperlink" Target="mailto:easley@carpenterlipps.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vid.hicks@puco.ohio.gov" TargetMode="External"/><Relationship Id="rId17" Type="http://schemas.openxmlformats.org/officeDocument/2006/relationships/hyperlink" Target="mailto:stnourse@aep.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yperlink" Target="mailto:cockrell@whitt-sturteva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rosia.wilson@ohioago.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reckert@vory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shley.wnek@ohioago.gov" TargetMode="External"/><Relationship Id="rId19" Type="http://schemas.openxmlformats.org/officeDocument/2006/relationships/hyperlink" Target="mailto:kennedy@whitt-sturtevant.com" TargetMode="External"/><Relationship Id="rId4" Type="http://schemas.openxmlformats.org/officeDocument/2006/relationships/settings" Target="settings.xml"/><Relationship Id="rId9" Type="http://schemas.openxmlformats.org/officeDocument/2006/relationships/hyperlink" Target="mailto:John.varanese@occ.ohio.gov" TargetMode="External"/><Relationship Id="rId14" Type="http://schemas.openxmlformats.org/officeDocument/2006/relationships/hyperlink" Target="mailto:khelfrich@ohioec.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E655-0FDD-4A2B-B1D7-76B7CB14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2019</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2024-06-25T17:40:00Z</dcterms:created>
  <dcterms:modified xsi:type="dcterms:W3CDTF">2024-06-25T17:41:00Z</dcterms:modified>
</cp:coreProperties>
</file>