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14C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614C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614CD5" w:rsidRPr="00376A99" w:rsidP="009D31D8">
            <w:pPr>
              <w:autoSpaceDE w:val="0"/>
              <w:autoSpaceDN w:val="0"/>
              <w:adjustRightInd w:val="0"/>
              <w:rPr>
                <w:rStyle w:val="DefaultParagraphFont"/>
                <w:sz w:val="24"/>
                <w:szCs w:val="24"/>
                <w:lang w:val="en-US" w:eastAsia="en-US" w:bidi="ar-SA"/>
              </w:rPr>
            </w:pPr>
            <w:r>
              <w:rPr>
                <w:sz w:val="24"/>
                <w:szCs w:val="24"/>
                <w:lang w:val="en-US" w:eastAsia="en-US" w:bidi="ar-SA"/>
              </w:rPr>
              <w:t xml:space="preserve">In The Matter of the </w:t>
            </w:r>
            <w:r w:rsidR="009D31D8">
              <w:rPr>
                <w:sz w:val="24"/>
                <w:szCs w:val="24"/>
                <w:lang w:val="en-US" w:eastAsia="en-US" w:bidi="ar-SA"/>
              </w:rPr>
              <w:t>Energy Efficiency and Peak Demand Reduction Program Portfolio Status Report for the Ohio Edison Company, the Cleveland Electric Illuminating Company, and the Toledo Edison Company.</w:t>
            </w:r>
          </w:p>
        </w:tc>
        <w:tc>
          <w:tcPr>
            <w:tcW w:w="36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614CD5"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2686E"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82686E"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9D31D8"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9D31D8" w:rsidRPr="00376A99"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614CD5" w:rsidP="0082686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Case No. 1</w:t>
            </w:r>
            <w:r>
              <w:rPr>
                <w:rFonts w:ascii="Times New Roman" w:eastAsia="Courier New" w:hAnsi="Times New Roman" w:cs="Courier New"/>
                <w:sz w:val="24"/>
                <w:szCs w:val="24"/>
                <w:lang w:val="en-US" w:eastAsia="en-US" w:bidi="ar-SA"/>
              </w:rPr>
              <w:t>7-</w:t>
            </w:r>
            <w:r w:rsidR="009D31D8">
              <w:rPr>
                <w:rFonts w:ascii="Times New Roman" w:eastAsia="Courier New" w:hAnsi="Times New Roman" w:cs="Courier New"/>
                <w:sz w:val="24"/>
                <w:szCs w:val="24"/>
                <w:lang w:val="en-US" w:eastAsia="en-US" w:bidi="ar-SA"/>
              </w:rPr>
              <w:t>1226</w:t>
            </w:r>
            <w:r w:rsidR="0082686E">
              <w:rPr>
                <w:rFonts w:ascii="Times New Roman" w:eastAsia="Courier New" w:hAnsi="Times New Roman" w:cs="Courier New"/>
                <w:sz w:val="24"/>
                <w:szCs w:val="24"/>
                <w:lang w:val="en-US" w:eastAsia="en-US" w:bidi="ar-SA"/>
              </w:rPr>
              <w:t>-EL-EEC</w:t>
            </w:r>
          </w:p>
          <w:p w:rsidR="009D31D8" w:rsidP="0082686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17-1227-EL-EEC</w:t>
            </w:r>
          </w:p>
          <w:p w:rsidR="009D31D8" w:rsidRPr="00376A99" w:rsidP="0082686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17-1228-EL-EEC</w:t>
            </w:r>
          </w:p>
        </w:tc>
      </w:tr>
    </w:tbl>
    <w:p w:rsidR="00614CD5">
      <w:pPr>
        <w:pStyle w:val="HTMLPreformatted"/>
        <w:rPr>
          <w:rFonts w:ascii="Times New Roman" w:hAnsi="Times New Roman"/>
          <w:sz w:val="24"/>
        </w:rPr>
      </w:pPr>
    </w:p>
    <w:p w:rsidR="00614CD5">
      <w:pPr>
        <w:pStyle w:val="HTMLPreformatted"/>
        <w:pBdr>
          <w:top w:val="single" w:sz="12" w:space="1" w:color="auto"/>
        </w:pBdr>
        <w:rPr>
          <w:rFonts w:ascii="Times New Roman" w:hAnsi="Times New Roman"/>
          <w:sz w:val="24"/>
        </w:rPr>
      </w:pPr>
    </w:p>
    <w:p w:rsidR="00614CD5">
      <w:pPr>
        <w:jc w:val="center"/>
        <w:rPr>
          <w:b/>
          <w:bCs/>
        </w:rPr>
      </w:pPr>
      <w:r>
        <w:rPr>
          <w:b/>
          <w:bCs/>
        </w:rPr>
        <w:t>MOTION TO INTERVENE</w:t>
      </w:r>
    </w:p>
    <w:p w:rsidR="00614CD5">
      <w:pPr>
        <w:jc w:val="center"/>
        <w:rPr>
          <w:b/>
          <w:bCs/>
        </w:rPr>
      </w:pPr>
      <w:r>
        <w:rPr>
          <w:b/>
          <w:bCs/>
        </w:rPr>
        <w:t>BY</w:t>
      </w:r>
    </w:p>
    <w:p w:rsidR="00614CD5">
      <w:pPr>
        <w:jc w:val="center"/>
        <w:rPr>
          <w:b/>
          <w:bCs/>
        </w:rPr>
      </w:pPr>
      <w:r>
        <w:rPr>
          <w:b/>
          <w:bCs/>
        </w:rPr>
        <w:t>THE OFFICE OF THE OHIO CONSUMERS' COUNSEL</w:t>
      </w:r>
    </w:p>
    <w:p w:rsidR="00614CD5">
      <w:pPr>
        <w:pBdr>
          <w:bottom w:val="single" w:sz="12" w:space="1" w:color="auto"/>
        </w:pBdr>
        <w:tabs>
          <w:tab w:val="left" w:pos="4320"/>
        </w:tabs>
      </w:pPr>
    </w:p>
    <w:p w:rsidR="00614CD5">
      <w:pPr>
        <w:tabs>
          <w:tab w:val="left" w:pos="4320"/>
        </w:tabs>
      </w:pPr>
    </w:p>
    <w:p w:rsidR="00614CD5" w:rsidP="00614CD5">
      <w:pPr>
        <w:pStyle w:val="BodyTextIndent3"/>
        <w:widowControl w:val="0"/>
        <w:spacing w:line="480" w:lineRule="auto"/>
        <w:ind w:right="-312"/>
      </w:pPr>
      <w:r>
        <w:t xml:space="preserve">In this case, </w:t>
      </w:r>
      <w:r w:rsidR="003409AB">
        <w:t xml:space="preserve">the </w:t>
      </w:r>
      <w:r w:rsidR="009D31D8">
        <w:t>Ohio Edison Company, the Cleveland Electric Illuminating Company, and the Toledo Edison Company</w:t>
      </w:r>
      <w:r>
        <w:t xml:space="preserve"> (</w:t>
      </w:r>
      <w:r w:rsidR="009D31D8">
        <w:t>collectively, the "Utilities</w:t>
      </w:r>
      <w:r>
        <w:t xml:space="preserve">") </w:t>
      </w:r>
      <w:r w:rsidR="00CD034A">
        <w:t xml:space="preserve">submit </w:t>
      </w:r>
      <w:r w:rsidR="009D31D8">
        <w:t>their</w:t>
      </w:r>
      <w:r w:rsidR="00CD034A">
        <w:t xml:space="preserve"> annual report on </w:t>
      </w:r>
      <w:r w:rsidR="00E35C37">
        <w:t>their</w:t>
      </w:r>
      <w:r w:rsidR="00CD034A">
        <w:t xml:space="preserve"> energy efficiency and peak demand reduction programs, which customers pay for. </w:t>
      </w:r>
      <w:r w:rsidR="00A24C0D">
        <w:t>The Office o</w:t>
      </w:r>
      <w:r w:rsidR="00F850AB">
        <w:t>f the Ohio Consumers’ Counsel ("</w:t>
      </w:r>
      <w:r>
        <w:t>OCC</w:t>
      </w:r>
      <w:r w:rsidR="00F850AB">
        <w:t>"</w:t>
      </w:r>
      <w:r w:rsidR="00A24C0D">
        <w:t>)</w:t>
      </w:r>
      <w:r>
        <w:t xml:space="preserve"> files this motion on behalf of </w:t>
      </w:r>
      <w:r w:rsidR="00E35C37">
        <w:t>the Utilities'</w:t>
      </w:r>
      <w:r w:rsidR="0082686E">
        <w:t xml:space="preserve"> 1.</w:t>
      </w:r>
      <w:r w:rsidR="00E35C37">
        <w:t>9</w:t>
      </w:r>
      <w:r w:rsidR="0082686E">
        <w:t xml:space="preserve"> million</w:t>
      </w:r>
      <w:r>
        <w:t xml:space="preserve"> residential electric customers. The Public Utilities Commission of Ohio </w:t>
      </w:r>
      <w:r w:rsidR="00A24C0D">
        <w:t>(</w:t>
      </w:r>
      <w:r w:rsidR="00F850AB">
        <w:t>"PUCO"</w:t>
      </w:r>
      <w:r w:rsidR="00A24C0D">
        <w:t xml:space="preserve">) </w:t>
      </w:r>
      <w:r>
        <w:t>should grant OCC's motion to intervene for the reasons set forth in the attached Memorandum in Support.</w:t>
      </w:r>
    </w:p>
    <w:p w:rsidR="00C055B0">
      <w:pPr>
        <w:rPr>
          <w:szCs w:val="24"/>
        </w:rPr>
      </w:pPr>
      <w:r>
        <w:rPr>
          <w:szCs w:val="24"/>
        </w:rPr>
        <w:br w:type="page"/>
      </w:r>
    </w:p>
    <w:p w:rsidR="00614CD5" w:rsidRPr="00F257DB" w:rsidP="00614CD5">
      <w:pPr>
        <w:pStyle w:val="BodyTextIndent3"/>
        <w:widowControl w:val="0"/>
        <w:spacing w:line="480" w:lineRule="auto"/>
        <w:ind w:left="4320" w:firstLine="0"/>
        <w:rPr>
          <w:szCs w:val="24"/>
        </w:rPr>
      </w:pPr>
      <w:r w:rsidRPr="00F257DB">
        <w:rPr>
          <w:szCs w:val="24"/>
        </w:rPr>
        <w:t>Respectfully submitted,</w:t>
      </w:r>
    </w:p>
    <w:p w:rsidR="00C055B0" w:rsidRPr="00F257DB" w:rsidP="00C055B0">
      <w:pPr>
        <w:ind w:left="4320"/>
        <w:rPr>
          <w:szCs w:val="24"/>
        </w:rPr>
      </w:pPr>
      <w:r w:rsidRPr="00F257DB">
        <w:rPr>
          <w:szCs w:val="24"/>
        </w:rPr>
        <w:t>BRUCE WESTON (0016973)</w:t>
      </w:r>
    </w:p>
    <w:p w:rsidR="00C055B0" w:rsidRPr="00F257DB" w:rsidP="00C055B0">
      <w:pPr>
        <w:tabs>
          <w:tab w:val="left" w:pos="4320"/>
        </w:tabs>
        <w:ind w:left="4320"/>
        <w:rPr>
          <w:szCs w:val="24"/>
        </w:rPr>
      </w:pPr>
      <w:r w:rsidRPr="00F257DB">
        <w:rPr>
          <w:szCs w:val="24"/>
        </w:rPr>
        <w:t>OHIO CONSUMERS</w:t>
      </w:r>
      <w:r>
        <w:rPr>
          <w:szCs w:val="24"/>
        </w:rPr>
        <w:t>'</w:t>
      </w:r>
      <w:r w:rsidRPr="00F257DB">
        <w:rPr>
          <w:szCs w:val="24"/>
        </w:rPr>
        <w:t xml:space="preserve"> COUNSEL</w:t>
      </w:r>
    </w:p>
    <w:p w:rsidR="00C055B0" w:rsidRPr="00F257DB" w:rsidP="00C055B0">
      <w:pPr>
        <w:tabs>
          <w:tab w:val="left" w:pos="4320"/>
        </w:tabs>
        <w:ind w:left="4320"/>
        <w:rPr>
          <w:szCs w:val="24"/>
        </w:rPr>
      </w:pPr>
    </w:p>
    <w:p w:rsidR="00C055B0" w:rsidRPr="00F257DB" w:rsidP="00C055B0">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C055B0" w:rsidP="00C055B0">
      <w:pPr>
        <w:tabs>
          <w:tab w:val="left" w:pos="4320"/>
        </w:tabs>
        <w:ind w:left="4320"/>
        <w:rPr>
          <w:szCs w:val="24"/>
        </w:rPr>
      </w:pPr>
      <w:r>
        <w:rPr>
          <w:szCs w:val="24"/>
        </w:rPr>
        <w:t>Christopher M. Healey (0086027)</w:t>
      </w:r>
    </w:p>
    <w:p w:rsidR="00C055B0" w:rsidP="00C055B0">
      <w:pPr>
        <w:tabs>
          <w:tab w:val="left" w:pos="4320"/>
        </w:tabs>
        <w:ind w:left="4320"/>
        <w:rPr>
          <w:szCs w:val="24"/>
        </w:rPr>
      </w:pPr>
      <w:r>
        <w:rPr>
          <w:szCs w:val="24"/>
        </w:rPr>
        <w:t>Counsel of Record</w:t>
      </w:r>
      <w:r w:rsidRPr="00F257DB">
        <w:rPr>
          <w:szCs w:val="24"/>
        </w:rPr>
        <w:br/>
      </w:r>
      <w:r>
        <w:rPr>
          <w:szCs w:val="24"/>
        </w:rPr>
        <w:t>Ajay Kumar (0092208)</w:t>
      </w:r>
    </w:p>
    <w:p w:rsidR="00C055B0" w:rsidP="00C055B0">
      <w:pPr>
        <w:tabs>
          <w:tab w:val="left" w:pos="4320"/>
        </w:tabs>
        <w:ind w:left="4320"/>
        <w:rPr>
          <w:szCs w:val="24"/>
        </w:rPr>
      </w:pPr>
      <w:r>
        <w:rPr>
          <w:szCs w:val="24"/>
        </w:rPr>
        <w:t>Assistant Consumers' Counsel</w:t>
      </w:r>
    </w:p>
    <w:p w:rsidR="00C055B0" w:rsidP="00C055B0">
      <w:pPr>
        <w:tabs>
          <w:tab w:val="left" w:pos="4320"/>
        </w:tabs>
        <w:ind w:left="4320"/>
        <w:rPr>
          <w:szCs w:val="24"/>
        </w:rPr>
      </w:pPr>
    </w:p>
    <w:p w:rsidR="00C055B0" w:rsidRPr="002C2315" w:rsidP="00C055B0">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C055B0" w:rsidP="00C055B0">
      <w:pPr>
        <w:tabs>
          <w:tab w:val="left" w:pos="4320"/>
        </w:tabs>
        <w:ind w:left="4320"/>
        <w:rPr>
          <w:szCs w:val="24"/>
        </w:rPr>
      </w:pPr>
      <w:r w:rsidRPr="00F257DB">
        <w:rPr>
          <w:szCs w:val="24"/>
        </w:rPr>
        <w:t>10 West Broad Street, Suite 1800</w:t>
      </w:r>
    </w:p>
    <w:p w:rsidR="00C055B0" w:rsidP="00C055B0">
      <w:pPr>
        <w:tabs>
          <w:tab w:val="left" w:pos="4320"/>
        </w:tabs>
        <w:ind w:left="4320"/>
        <w:rPr>
          <w:szCs w:val="24"/>
        </w:rPr>
      </w:pPr>
      <w:r w:rsidRPr="00F257DB">
        <w:rPr>
          <w:szCs w:val="24"/>
        </w:rPr>
        <w:t>Columbus, Ohio 43215-3485</w:t>
      </w:r>
    </w:p>
    <w:p w:rsidR="00C055B0" w:rsidP="00C055B0">
      <w:pPr>
        <w:tabs>
          <w:tab w:val="left" w:pos="4320"/>
        </w:tabs>
        <w:ind w:left="4320"/>
        <w:rPr>
          <w:szCs w:val="24"/>
        </w:rPr>
      </w:pPr>
      <w:r>
        <w:rPr>
          <w:szCs w:val="24"/>
        </w:rPr>
        <w:t xml:space="preserve">Telephone [Healey]: </w:t>
      </w:r>
      <w:r w:rsidRPr="00F257DB">
        <w:rPr>
          <w:szCs w:val="24"/>
        </w:rPr>
        <w:t xml:space="preserve">(614) </w:t>
      </w:r>
      <w:r>
        <w:rPr>
          <w:szCs w:val="24"/>
        </w:rPr>
        <w:t>466-9571</w:t>
      </w:r>
    </w:p>
    <w:p w:rsidR="00C055B0" w:rsidRPr="00F257DB" w:rsidP="00C055B0">
      <w:pPr>
        <w:tabs>
          <w:tab w:val="left" w:pos="4320"/>
        </w:tabs>
        <w:ind w:left="4320"/>
        <w:rPr>
          <w:szCs w:val="24"/>
        </w:rPr>
      </w:pPr>
      <w:r>
        <w:rPr>
          <w:szCs w:val="24"/>
        </w:rPr>
        <w:t>Telephone [Kumar]: (614) 466-1292</w:t>
      </w:r>
      <w:r w:rsidRPr="00F257DB">
        <w:rPr>
          <w:szCs w:val="24"/>
        </w:rPr>
        <w:t xml:space="preserve"> </w:t>
      </w:r>
    </w:p>
    <w:p w:rsidR="00C055B0" w:rsidP="00C055B0">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C055B0" w:rsidRPr="00F257DB" w:rsidP="00C055B0">
      <w:pPr>
        <w:ind w:left="4320"/>
        <w:rPr>
          <w:szCs w:val="24"/>
        </w:rPr>
      </w:pPr>
      <w:r>
        <w:fldChar w:fldCharType="begin"/>
      </w:r>
      <w:r>
        <w:instrText xml:space="preserve"> HYPERLINK "mailto:ajay.kumar@occ.ohio.gov" </w:instrText>
      </w:r>
      <w:r>
        <w:fldChar w:fldCharType="separate"/>
      </w:r>
      <w:r w:rsidRPr="00214F77">
        <w:rPr>
          <w:rStyle w:val="Hyperlink"/>
          <w:szCs w:val="24"/>
        </w:rPr>
        <w:t>ajay.kumar@occ.ohio.gov</w:t>
      </w:r>
      <w:r>
        <w:fldChar w:fldCharType="end"/>
      </w:r>
      <w:r>
        <w:rPr>
          <w:szCs w:val="24"/>
        </w:rPr>
        <w:t xml:space="preserve"> </w:t>
      </w:r>
    </w:p>
    <w:p w:rsidR="00614CD5" w:rsidRPr="00F257DB" w:rsidP="00C055B0">
      <w:pPr>
        <w:ind w:left="4320"/>
        <w:rPr>
          <w:szCs w:val="24"/>
        </w:rPr>
      </w:pPr>
      <w:r w:rsidRPr="00F257DB">
        <w:rPr>
          <w:szCs w:val="24"/>
        </w:rPr>
        <w:t>(</w:t>
      </w:r>
      <w:r w:rsidR="001F59D0">
        <w:rPr>
          <w:szCs w:val="24"/>
        </w:rPr>
        <w:t>Both w</w:t>
      </w:r>
      <w:r>
        <w:rPr>
          <w:szCs w:val="24"/>
        </w:rPr>
        <w:t>ill</w:t>
      </w:r>
      <w:r w:rsidRPr="00F257DB">
        <w:rPr>
          <w:szCs w:val="24"/>
        </w:rPr>
        <w:t xml:space="preserve"> accept service via email)</w:t>
      </w:r>
    </w:p>
    <w:p w:rsidR="00614CD5">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E35C37" w:rsidP="00E35C37">
      <w:pPr>
        <w:pStyle w:val="HTMLPreformatted"/>
        <w:jc w:val="center"/>
        <w:rPr>
          <w:rFonts w:ascii="Times New Roman" w:hAnsi="Times New Roman"/>
          <w:b/>
          <w:bCs/>
          <w:sz w:val="24"/>
        </w:rPr>
      </w:pPr>
      <w:r>
        <w:rPr>
          <w:rFonts w:ascii="Times New Roman" w:hAnsi="Times New Roman"/>
          <w:b/>
          <w:bCs/>
          <w:sz w:val="24"/>
        </w:rPr>
        <w:t>BEFORE</w:t>
      </w:r>
    </w:p>
    <w:p w:rsidR="00E35C37" w:rsidP="00E35C37">
      <w:pPr>
        <w:pStyle w:val="HTMLPreformatted"/>
        <w:jc w:val="center"/>
        <w:rPr>
          <w:rFonts w:ascii="Times New Roman" w:hAnsi="Times New Roman"/>
          <w:sz w:val="24"/>
        </w:rPr>
      </w:pPr>
      <w:r>
        <w:rPr>
          <w:rFonts w:ascii="Times New Roman" w:hAnsi="Times New Roman"/>
          <w:b/>
          <w:bCs/>
          <w:sz w:val="24"/>
        </w:rPr>
        <w:t>THE PUBLIC UTILITIES COMMISSION OF OHIO</w:t>
      </w:r>
    </w:p>
    <w:p w:rsidR="00E35C37" w:rsidP="00E35C37">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FB023B">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E35C37" w:rsidRPr="00376A99" w:rsidP="00FB023B">
            <w:pPr>
              <w:autoSpaceDE w:val="0"/>
              <w:autoSpaceDN w:val="0"/>
              <w:adjustRightInd w:val="0"/>
              <w:rPr>
                <w:rStyle w:val="DefaultParagraphFont"/>
                <w:sz w:val="24"/>
                <w:szCs w:val="24"/>
                <w:lang w:val="en-US" w:eastAsia="en-US" w:bidi="ar-SA"/>
              </w:rPr>
            </w:pPr>
            <w:r>
              <w:rPr>
                <w:sz w:val="24"/>
                <w:szCs w:val="24"/>
                <w:lang w:val="en-US" w:eastAsia="en-US" w:bidi="ar-SA"/>
              </w:rPr>
              <w:t>In The Matter of the Energy Efficiency and Peak Demand Reduction Program Portfolio Status Report for the Ohio Edison Company, the Cleveland Electric Illuminating Company, and the Toledo Edison Company.</w:t>
            </w:r>
          </w:p>
        </w:tc>
        <w:tc>
          <w:tcPr>
            <w:tcW w:w="360" w:type="dxa"/>
            <w:shd w:val="clear" w:color="auto" w:fill="auto"/>
          </w:tcPr>
          <w:p w:rsidR="00E35C37" w:rsidRPr="00376A99"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E35C37"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E35C37"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E35C37"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E35C37"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E35C37" w:rsidRPr="00376A99"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E35C37" w:rsidRPr="00376A99"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E35C37"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Case No. 1</w:t>
            </w:r>
            <w:r>
              <w:rPr>
                <w:rFonts w:ascii="Times New Roman" w:eastAsia="Courier New" w:hAnsi="Times New Roman" w:cs="Courier New"/>
                <w:sz w:val="24"/>
                <w:szCs w:val="24"/>
                <w:lang w:val="en-US" w:eastAsia="en-US" w:bidi="ar-SA"/>
              </w:rPr>
              <w:t>7-1226-EL-EEC</w:t>
            </w:r>
          </w:p>
          <w:p w:rsidR="00E35C37"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17-1227-EL-EEC</w:t>
            </w:r>
          </w:p>
          <w:p w:rsidR="00E35C37" w:rsidRPr="00376A99" w:rsidP="00FB023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17-1228-EL-EEC</w:t>
            </w:r>
          </w:p>
        </w:tc>
      </w:tr>
    </w:tbl>
    <w:p w:rsidR="00E35C37" w:rsidP="00E35C37">
      <w:pPr>
        <w:pStyle w:val="HTMLPreformatted"/>
        <w:rPr>
          <w:rFonts w:ascii="Times New Roman" w:hAnsi="Times New Roman"/>
          <w:sz w:val="24"/>
        </w:rPr>
      </w:pPr>
    </w:p>
    <w:p w:rsidR="00614CD5" w:rsidP="00614CD5">
      <w:pPr>
        <w:pStyle w:val="HTMLPreformatted"/>
        <w:pBdr>
          <w:top w:val="single" w:sz="12" w:space="1" w:color="auto"/>
        </w:pBdr>
        <w:rPr>
          <w:rFonts w:ascii="Times New Roman" w:hAnsi="Times New Roman"/>
          <w:sz w:val="24"/>
        </w:rPr>
      </w:pPr>
    </w:p>
    <w:p w:rsidR="00614CD5" w:rsidP="00614CD5">
      <w:pPr>
        <w:jc w:val="center"/>
        <w:rPr>
          <w:b/>
          <w:bCs/>
        </w:rPr>
      </w:pPr>
      <w:r>
        <w:rPr>
          <w:b/>
          <w:bCs/>
        </w:rPr>
        <w:t>MEMORANDUM IN SUPPORT</w:t>
      </w:r>
    </w:p>
    <w:p w:rsidR="00614CD5" w:rsidP="00614CD5">
      <w:pPr>
        <w:pBdr>
          <w:bottom w:val="single" w:sz="12" w:space="1" w:color="auto"/>
        </w:pBdr>
        <w:tabs>
          <w:tab w:val="left" w:pos="4320"/>
        </w:tabs>
      </w:pPr>
    </w:p>
    <w:p w:rsidR="00614CD5" w:rsidP="00614CD5">
      <w:pPr>
        <w:tabs>
          <w:tab w:val="left" w:pos="4320"/>
        </w:tabs>
      </w:pPr>
    </w:p>
    <w:p w:rsidR="00614CD5" w:rsidP="00614CD5">
      <w:pPr>
        <w:pStyle w:val="BodyTextIndent3"/>
        <w:widowControl w:val="0"/>
        <w:spacing w:line="480" w:lineRule="auto"/>
        <w:ind w:right="-24"/>
      </w:pPr>
      <w:r>
        <w:t xml:space="preserve">In this proceeding, </w:t>
      </w:r>
      <w:r w:rsidR="00E35C37">
        <w:t>the Utilities</w:t>
      </w:r>
      <w:r>
        <w:t xml:space="preserve"> </w:t>
      </w:r>
      <w:r w:rsidR="00CD034A">
        <w:t>ha</w:t>
      </w:r>
      <w:r w:rsidR="00E35C37">
        <w:t>ve</w:t>
      </w:r>
      <w:r w:rsidR="00CD034A">
        <w:t xml:space="preserve"> filed </w:t>
      </w:r>
      <w:r w:rsidR="00E35C37">
        <w:t>their</w:t>
      </w:r>
      <w:r w:rsidR="00CD034A">
        <w:t xml:space="preserve"> annual energy efficiency status report for </w:t>
      </w:r>
      <w:r w:rsidR="00E35C37">
        <w:t>their</w:t>
      </w:r>
      <w:r w:rsidR="00CD034A">
        <w:t xml:space="preserve"> 2016 energy efficiency programs. The report includes information about </w:t>
      </w:r>
      <w:r w:rsidR="00E35C37">
        <w:t>the Utilities'</w:t>
      </w:r>
      <w:r w:rsidR="00CD034A">
        <w:t xml:space="preserve"> compliance with statutory energy efficiency and peak demand reduction requirements, the performance of </w:t>
      </w:r>
      <w:r w:rsidR="00E35C37">
        <w:t>the Utilities'</w:t>
      </w:r>
      <w:r w:rsidR="00CD034A">
        <w:t xml:space="preserve"> programs (including information on energy saved and participation rates), and program cost-effectiveness, among other things. </w:t>
      </w:r>
      <w:r>
        <w:rPr>
          <w:szCs w:val="24"/>
        </w:rPr>
        <w:t xml:space="preserve">OCC has authority under law to represent </w:t>
      </w:r>
      <w:r>
        <w:t xml:space="preserve">the interests of </w:t>
      </w:r>
      <w:r w:rsidR="00E35C37">
        <w:t>the Utilities'</w:t>
      </w:r>
      <w:r>
        <w:t xml:space="preserve"> residential utility customers under R.C. Chapter 4911.</w:t>
      </w:r>
    </w:p>
    <w:p w:rsidR="00614CD5" w:rsidP="00614CD5">
      <w:pPr>
        <w:pStyle w:val="BodyTextIndent3"/>
        <w:widowControl w:val="0"/>
        <w:spacing w:line="480" w:lineRule="auto"/>
        <w:ind w:right="-24"/>
      </w:pPr>
      <w:r>
        <w:t>R.C. 4903.221 provides, in part, that any person "who may be adversely affected" by a PUCO proceeding is entitled to seek intervention in that proceeding. The interests of Ohio's residential customers may be "adversely affected" by this case, especially if the customers were unrepresented i</w:t>
      </w:r>
      <w:r w:rsidR="00E35C37">
        <w:t>n a proceeding where the Utilities are</w:t>
      </w:r>
      <w:r w:rsidR="00CD034A">
        <w:t xml:space="preserve"> required to provide important information about </w:t>
      </w:r>
      <w:r w:rsidR="00E35C37">
        <w:t>their</w:t>
      </w:r>
      <w:r w:rsidR="00CD034A">
        <w:t xml:space="preserve"> energy efficiency programs, which customers pay for</w:t>
      </w:r>
      <w:r w:rsidRPr="00FB09E0">
        <w:t>.</w:t>
      </w:r>
      <w:r>
        <w:t xml:space="preserve"> Thus, this element of the intervention standard in R.C. 4903.221 is satisfied. </w:t>
      </w:r>
    </w:p>
    <w:p w:rsidR="00614CD5">
      <w:pPr>
        <w:spacing w:line="480" w:lineRule="auto"/>
        <w:ind w:firstLine="720"/>
        <w:rPr>
          <w:szCs w:val="24"/>
        </w:rPr>
      </w:pPr>
      <w:r>
        <w:rPr>
          <w:szCs w:val="24"/>
        </w:rPr>
        <w:t>R.C. 4903.221(B) requires the PUCO to consider the following criteria in ruling on motions to intervene:</w:t>
      </w:r>
    </w:p>
    <w:p w:rsidR="00614CD5" w:rsidP="00614CD5">
      <w:pPr>
        <w:ind w:left="2160" w:right="720" w:hanging="720"/>
        <w:rPr>
          <w:szCs w:val="24"/>
        </w:rPr>
      </w:pPr>
      <w:r>
        <w:rPr>
          <w:szCs w:val="24"/>
        </w:rPr>
        <w:t>(1)</w:t>
      </w:r>
      <w:r>
        <w:rPr>
          <w:szCs w:val="24"/>
        </w:rPr>
        <w:tab/>
        <w:t>The nature and extent of the prospective intervenor's interest;</w:t>
      </w:r>
    </w:p>
    <w:p w:rsidR="00614CD5" w:rsidP="00614CD5">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614CD5" w:rsidP="00614CD5">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614CD5" w:rsidP="00614CD5">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614CD5" w:rsidP="00614CD5">
      <w:pPr>
        <w:pStyle w:val="BodyTextIndent3"/>
        <w:spacing w:line="480" w:lineRule="auto"/>
        <w:rPr>
          <w:szCs w:val="24"/>
        </w:rPr>
      </w:pPr>
      <w:r>
        <w:t>First, the nature and extent of OCC's interest is representing the residential customers o</w:t>
      </w:r>
      <w:r>
        <w:rPr>
          <w:szCs w:val="24"/>
        </w:rPr>
        <w:t xml:space="preserve">f </w:t>
      </w:r>
      <w:r w:rsidR="00E35C37">
        <w:rPr>
          <w:szCs w:val="24"/>
        </w:rPr>
        <w:t>the Utilities</w:t>
      </w:r>
      <w:r>
        <w:rPr>
          <w:szCs w:val="24"/>
        </w:rPr>
        <w:t xml:space="preserve"> in this case where </w:t>
      </w:r>
      <w:r w:rsidR="00E35C37">
        <w:rPr>
          <w:szCs w:val="24"/>
        </w:rPr>
        <w:t>they</w:t>
      </w:r>
      <w:r>
        <w:rPr>
          <w:szCs w:val="24"/>
        </w:rPr>
        <w:t xml:space="preserve"> </w:t>
      </w:r>
      <w:r w:rsidR="00CD034A">
        <w:rPr>
          <w:szCs w:val="24"/>
        </w:rPr>
        <w:t xml:space="preserve">provide </w:t>
      </w:r>
      <w:r w:rsidR="00E35C37">
        <w:rPr>
          <w:szCs w:val="24"/>
        </w:rPr>
        <w:t>their</w:t>
      </w:r>
      <w:r w:rsidR="00CD034A">
        <w:rPr>
          <w:szCs w:val="24"/>
        </w:rPr>
        <w:t xml:space="preserve"> required annual report on </w:t>
      </w:r>
      <w:r w:rsidR="00E35C37">
        <w:rPr>
          <w:szCs w:val="24"/>
        </w:rPr>
        <w:t>their</w:t>
      </w:r>
      <w:r w:rsidR="00CD034A">
        <w:rPr>
          <w:szCs w:val="24"/>
        </w:rPr>
        <w:t xml:space="preserve"> energy efficiency programs</w:t>
      </w:r>
      <w:r>
        <w:rPr>
          <w:szCs w:val="24"/>
        </w:rPr>
        <w:t xml:space="preserve">. OCC's interest is different than that of any other party and especially different than that of the </w:t>
      </w:r>
      <w:r w:rsidR="00E35C37">
        <w:rPr>
          <w:szCs w:val="24"/>
        </w:rPr>
        <w:t>U</w:t>
      </w:r>
      <w:r>
        <w:rPr>
          <w:szCs w:val="24"/>
        </w:rPr>
        <w:t>tilit</w:t>
      </w:r>
      <w:r w:rsidR="00E35C37">
        <w:rPr>
          <w:szCs w:val="24"/>
        </w:rPr>
        <w:t>ies</w:t>
      </w:r>
      <w:r>
        <w:rPr>
          <w:szCs w:val="24"/>
        </w:rPr>
        <w:t xml:space="preserve"> whose advocacy includes the financial interest of stockholders.</w:t>
      </w:r>
    </w:p>
    <w:p w:rsidR="00614CD5" w:rsidRPr="00C41457" w:rsidP="00614CD5">
      <w:pPr>
        <w:pStyle w:val="Footer"/>
        <w:spacing w:line="480" w:lineRule="auto"/>
        <w:ind w:firstLine="720"/>
        <w:rPr>
          <w:sz w:val="24"/>
          <w:szCs w:val="24"/>
        </w:rPr>
      </w:pPr>
      <w:r w:rsidRPr="00C41457">
        <w:rPr>
          <w:sz w:val="24"/>
          <w:szCs w:val="24"/>
        </w:rPr>
        <w:t>Second, OCC</w:t>
      </w:r>
      <w:r>
        <w:rPr>
          <w:sz w:val="24"/>
          <w:szCs w:val="24"/>
        </w:rPr>
        <w:t>'</w:t>
      </w:r>
      <w:r w:rsidRPr="00C41457">
        <w:rPr>
          <w:sz w:val="24"/>
          <w:szCs w:val="24"/>
        </w:rPr>
        <w:t>s advocacy for residential customers will include advancing the position that</w:t>
      </w:r>
      <w:r>
        <w:rPr>
          <w:sz w:val="24"/>
          <w:szCs w:val="24"/>
        </w:rPr>
        <w:t xml:space="preserve"> the </w:t>
      </w:r>
      <w:r w:rsidRPr="00C41457">
        <w:rPr>
          <w:sz w:val="24"/>
          <w:szCs w:val="24"/>
        </w:rPr>
        <w:t>rates</w:t>
      </w:r>
      <w:r>
        <w:rPr>
          <w:sz w:val="24"/>
          <w:szCs w:val="24"/>
        </w:rPr>
        <w:t xml:space="preserve"> consumers pay for electric service</w:t>
      </w:r>
      <w:r w:rsidRPr="00C41457">
        <w:rPr>
          <w:sz w:val="24"/>
          <w:szCs w:val="24"/>
        </w:rPr>
        <w:t xml:space="preserve"> </w:t>
      </w:r>
      <w:r>
        <w:rPr>
          <w:sz w:val="24"/>
          <w:szCs w:val="24"/>
        </w:rPr>
        <w:t xml:space="preserve">(including charges for energy efficiency) </w:t>
      </w:r>
      <w:r w:rsidRPr="00C41457">
        <w:rPr>
          <w:sz w:val="24"/>
          <w:szCs w:val="24"/>
        </w:rPr>
        <w:t>should be no more than what is reasonable and lawful under Ohio law</w:t>
      </w:r>
      <w:r>
        <w:rPr>
          <w:sz w:val="24"/>
          <w:szCs w:val="24"/>
        </w:rPr>
        <w:t xml:space="preserve">. </w:t>
      </w:r>
      <w:r w:rsidRPr="00C41457">
        <w:rPr>
          <w:sz w:val="24"/>
          <w:szCs w:val="24"/>
        </w:rPr>
        <w:t>OCC</w:t>
      </w:r>
      <w:r>
        <w:rPr>
          <w:sz w:val="24"/>
          <w:szCs w:val="24"/>
        </w:rPr>
        <w:t>'</w:t>
      </w:r>
      <w:r w:rsidRPr="00C41457">
        <w:rPr>
          <w:sz w:val="24"/>
          <w:szCs w:val="24"/>
        </w:rPr>
        <w:t>s position is therefore directly related to the merits of this case that is pending before the PUCO, the authority with regulatory control of public utilities</w:t>
      </w:r>
      <w:r>
        <w:rPr>
          <w:sz w:val="24"/>
          <w:szCs w:val="24"/>
        </w:rPr>
        <w:t>'</w:t>
      </w:r>
      <w:r w:rsidRPr="00C41457">
        <w:rPr>
          <w:sz w:val="24"/>
          <w:szCs w:val="24"/>
        </w:rPr>
        <w:t xml:space="preserve"> rates and service quality in Ohio. </w:t>
      </w:r>
    </w:p>
    <w:p w:rsidR="00614CD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614CD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614CD5" w:rsidP="00614CD5">
      <w:pPr>
        <w:pStyle w:val="WW-BodyTextIndent3"/>
        <w:spacing w:line="480" w:lineRule="auto"/>
        <w:ind w:right="-29"/>
        <w:rPr>
          <w:szCs w:val="24"/>
        </w:rPr>
      </w:pPr>
      <w:r>
        <w:rPr>
          <w:szCs w:val="24"/>
        </w:rPr>
        <w:t>OCC also satisfies the intervention criteria in the Ohio Administrative Code (which are subordinate to the criteria that OCC satisfies in the Ohio Revised Code). To intervene, a party should have a "real and substantial interest" according to Ohio Adm. Code 4901-1-11(A)(2).</w:t>
      </w:r>
      <w:r w:rsidR="00B8317E">
        <w:rPr>
          <w:szCs w:val="24"/>
        </w:rPr>
        <w:t xml:space="preserve"> </w:t>
      </w:r>
      <w:r>
        <w:rPr>
          <w:szCs w:val="24"/>
        </w:rPr>
        <w:t xml:space="preserve">As the advocate for residential utility customers, OCC has a real and substantial interest in this case </w:t>
      </w:r>
      <w:r w:rsidRPr="00C41457">
        <w:rPr>
          <w:szCs w:val="24"/>
        </w:rPr>
        <w:t xml:space="preserve">involving the </w:t>
      </w:r>
      <w:r>
        <w:rPr>
          <w:szCs w:val="24"/>
        </w:rPr>
        <w:t>Utilit</w:t>
      </w:r>
      <w:r w:rsidR="00E35C37">
        <w:rPr>
          <w:szCs w:val="24"/>
        </w:rPr>
        <w:t>ies'</w:t>
      </w:r>
      <w:r w:rsidRPr="00C41457">
        <w:rPr>
          <w:szCs w:val="24"/>
        </w:rPr>
        <w:t xml:space="preserve"> </w:t>
      </w:r>
      <w:r>
        <w:rPr>
          <w:szCs w:val="24"/>
        </w:rPr>
        <w:t xml:space="preserve">energy efficiency </w:t>
      </w:r>
      <w:r w:rsidR="00B8317E">
        <w:rPr>
          <w:szCs w:val="24"/>
        </w:rPr>
        <w:t>programs</w:t>
      </w:r>
      <w:r w:rsidRPr="00C41457">
        <w:rPr>
          <w:szCs w:val="24"/>
        </w:rPr>
        <w:t xml:space="preserve">, which </w:t>
      </w:r>
      <w:r>
        <w:rPr>
          <w:szCs w:val="24"/>
        </w:rPr>
        <w:t>a</w:t>
      </w:r>
      <w:r w:rsidRPr="00C41457">
        <w:rPr>
          <w:szCs w:val="24"/>
        </w:rPr>
        <w:t>ffect the rates residential customers pay for electric service.</w:t>
      </w:r>
      <w:r>
        <w:rPr>
          <w:szCs w:val="24"/>
        </w:rPr>
        <w:t xml:space="preserve">  </w:t>
      </w:r>
    </w:p>
    <w:p w:rsidR="00614CD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which OCC already has addressed and which OCC satisfies.</w:t>
      </w:r>
    </w:p>
    <w:p w:rsidR="00614CD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614CD5" w:rsidP="00614CD5">
      <w:pPr>
        <w:pStyle w:val="WW-BodyTextIndent3"/>
        <w:spacing w:line="480" w:lineRule="auto"/>
        <w:ind w:right="-29"/>
        <w:rPr>
          <w:szCs w:val="24"/>
        </w:rPr>
      </w:pPr>
      <w:r w:rsidRPr="00710E80">
        <w:rPr>
          <w:szCs w:val="24"/>
        </w:rPr>
        <w:t>Moreover, in deciding two consolidated appeals regarding OCC</w:t>
      </w:r>
      <w:r>
        <w:rPr>
          <w:szCs w:val="24"/>
        </w:rPr>
        <w:t>'</w:t>
      </w:r>
      <w:r w:rsidRPr="00710E80">
        <w:rPr>
          <w:szCs w:val="24"/>
        </w:rPr>
        <w:t xml:space="preserve">s right to intervene, the Supreme Court of Ohio has confirmed that </w:t>
      </w:r>
      <w:r>
        <w:rPr>
          <w:szCs w:val="24"/>
        </w:rPr>
        <w:t>"</w:t>
      </w:r>
      <w:r w:rsidRPr="00710E80">
        <w:rPr>
          <w:szCs w:val="24"/>
        </w:rPr>
        <w:t>intervention ought to be liberally allowed.</w:t>
      </w:r>
      <w:r>
        <w:rPr>
          <w:szCs w:val="24"/>
        </w:rPr>
        <w:t>"</w:t>
      </w:r>
      <w:r>
        <w:rPr>
          <w:rStyle w:val="FootnoteReference"/>
          <w:szCs w:val="24"/>
        </w:rPr>
        <w:footnoteReference w:id="2"/>
      </w:r>
      <w:r>
        <w:t xml:space="preserve"> </w:t>
      </w:r>
      <w:r w:rsidRPr="00710E80">
        <w:t>In those cases, OCC explained in its motion to intervene that the proceeding could negatively impact residential consumers, and OCC established that the interests of consumers would not be represented by existing parties.</w:t>
      </w:r>
      <w:r>
        <w:rPr>
          <w:rStyle w:val="FootnoteReference"/>
        </w:rPr>
        <w:footnoteReference w:id="3"/>
      </w:r>
      <w:r>
        <w:t xml:space="preserve"> </w:t>
      </w:r>
      <w:r w:rsidRPr="00710E80">
        <w:t>Because there was no evidence disputing OCC</w:t>
      </w:r>
      <w:r>
        <w:t>'</w:t>
      </w:r>
      <w:r w:rsidRPr="00710E80">
        <w:t>s position, nor any evidence that OCC</w:t>
      </w:r>
      <w:r>
        <w:t>'</w:t>
      </w:r>
      <w:r w:rsidRPr="00710E80">
        <w:t>s intervention would unduly delay the proceedings, the Supreme Court found that the PUCO could not deny OCC the right to intervene.</w:t>
      </w:r>
      <w:r>
        <w:rPr>
          <w:rStyle w:val="FootnoteReference"/>
        </w:rPr>
        <w:footnoteReference w:id="4"/>
      </w:r>
    </w:p>
    <w:p w:rsidR="00614CD5" w:rsidP="00614CD5">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614CD5" w:rsidRPr="00B86AAD" w:rsidP="00614CD5">
      <w:pPr>
        <w:spacing w:line="480" w:lineRule="auto"/>
        <w:ind w:firstLine="4320"/>
        <w:rPr>
          <w:szCs w:val="24"/>
        </w:rPr>
      </w:pPr>
      <w:r w:rsidRPr="00F257DB">
        <w:rPr>
          <w:szCs w:val="24"/>
        </w:rPr>
        <w:t>Respectfully submitted,</w:t>
      </w:r>
    </w:p>
    <w:p w:rsidR="00C055B0" w:rsidRPr="00F257DB" w:rsidP="00C055B0">
      <w:pPr>
        <w:ind w:left="4320"/>
        <w:rPr>
          <w:szCs w:val="24"/>
        </w:rPr>
      </w:pPr>
      <w:r w:rsidRPr="00F257DB">
        <w:rPr>
          <w:szCs w:val="24"/>
        </w:rPr>
        <w:t>BRUCE WESTON (0016973)</w:t>
      </w:r>
    </w:p>
    <w:p w:rsidR="00C055B0" w:rsidRPr="00F257DB" w:rsidP="00C055B0">
      <w:pPr>
        <w:tabs>
          <w:tab w:val="left" w:pos="4320"/>
        </w:tabs>
        <w:ind w:left="4320"/>
        <w:rPr>
          <w:szCs w:val="24"/>
        </w:rPr>
      </w:pPr>
      <w:r w:rsidRPr="00F257DB">
        <w:rPr>
          <w:szCs w:val="24"/>
        </w:rPr>
        <w:t>OHIO CONSUMERS</w:t>
      </w:r>
      <w:r>
        <w:rPr>
          <w:szCs w:val="24"/>
        </w:rPr>
        <w:t>'</w:t>
      </w:r>
      <w:r w:rsidRPr="00F257DB">
        <w:rPr>
          <w:szCs w:val="24"/>
        </w:rPr>
        <w:t xml:space="preserve"> COUNSEL</w:t>
      </w:r>
    </w:p>
    <w:p w:rsidR="00C055B0" w:rsidRPr="00F257DB" w:rsidP="00C055B0">
      <w:pPr>
        <w:tabs>
          <w:tab w:val="left" w:pos="4320"/>
        </w:tabs>
        <w:ind w:left="4320"/>
        <w:rPr>
          <w:szCs w:val="24"/>
        </w:rPr>
      </w:pPr>
    </w:p>
    <w:p w:rsidR="00C055B0" w:rsidRPr="00F257DB" w:rsidP="00C055B0">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C055B0" w:rsidP="00C055B0">
      <w:pPr>
        <w:tabs>
          <w:tab w:val="left" w:pos="4320"/>
        </w:tabs>
        <w:ind w:left="4320"/>
        <w:rPr>
          <w:szCs w:val="24"/>
        </w:rPr>
      </w:pPr>
      <w:r>
        <w:rPr>
          <w:szCs w:val="24"/>
        </w:rPr>
        <w:t>Christopher M. Healey (0086027)</w:t>
      </w:r>
    </w:p>
    <w:p w:rsidR="00C055B0" w:rsidP="00C055B0">
      <w:pPr>
        <w:tabs>
          <w:tab w:val="left" w:pos="4320"/>
        </w:tabs>
        <w:ind w:left="4320"/>
        <w:rPr>
          <w:szCs w:val="24"/>
        </w:rPr>
      </w:pPr>
      <w:r>
        <w:rPr>
          <w:szCs w:val="24"/>
        </w:rPr>
        <w:t>Counsel of Record</w:t>
      </w:r>
      <w:r w:rsidRPr="00F257DB">
        <w:rPr>
          <w:szCs w:val="24"/>
        </w:rPr>
        <w:br/>
      </w:r>
      <w:r>
        <w:rPr>
          <w:szCs w:val="24"/>
        </w:rPr>
        <w:t>Ajay Kumar (0092208)</w:t>
      </w:r>
    </w:p>
    <w:p w:rsidR="00C055B0" w:rsidP="00C055B0">
      <w:pPr>
        <w:tabs>
          <w:tab w:val="left" w:pos="4320"/>
        </w:tabs>
        <w:ind w:left="4320"/>
        <w:rPr>
          <w:szCs w:val="24"/>
        </w:rPr>
      </w:pPr>
      <w:r>
        <w:rPr>
          <w:szCs w:val="24"/>
        </w:rPr>
        <w:t>Assistant Consumers' Counsel</w:t>
      </w:r>
    </w:p>
    <w:p w:rsidR="00C055B0" w:rsidP="00C055B0">
      <w:pPr>
        <w:tabs>
          <w:tab w:val="left" w:pos="4320"/>
        </w:tabs>
        <w:ind w:left="4320"/>
        <w:rPr>
          <w:szCs w:val="24"/>
        </w:rPr>
      </w:pPr>
    </w:p>
    <w:p w:rsidR="00C055B0" w:rsidRPr="002C2315" w:rsidP="00C055B0">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C055B0" w:rsidP="00C055B0">
      <w:pPr>
        <w:tabs>
          <w:tab w:val="left" w:pos="4320"/>
        </w:tabs>
        <w:ind w:left="4320"/>
        <w:rPr>
          <w:szCs w:val="24"/>
        </w:rPr>
      </w:pPr>
      <w:r w:rsidRPr="00F257DB">
        <w:rPr>
          <w:szCs w:val="24"/>
        </w:rPr>
        <w:t>10 West Broad Street, Suite 1800</w:t>
      </w:r>
    </w:p>
    <w:p w:rsidR="00C055B0" w:rsidP="00C055B0">
      <w:pPr>
        <w:tabs>
          <w:tab w:val="left" w:pos="4320"/>
        </w:tabs>
        <w:ind w:left="4320"/>
        <w:rPr>
          <w:szCs w:val="24"/>
        </w:rPr>
      </w:pPr>
      <w:r w:rsidRPr="00F257DB">
        <w:rPr>
          <w:szCs w:val="24"/>
        </w:rPr>
        <w:t>Columbus, Ohio 43215-3485</w:t>
      </w:r>
    </w:p>
    <w:p w:rsidR="00C055B0" w:rsidP="00C055B0">
      <w:pPr>
        <w:tabs>
          <w:tab w:val="left" w:pos="4320"/>
        </w:tabs>
        <w:ind w:left="4320"/>
        <w:rPr>
          <w:szCs w:val="24"/>
        </w:rPr>
      </w:pPr>
      <w:r>
        <w:rPr>
          <w:szCs w:val="24"/>
        </w:rPr>
        <w:t xml:space="preserve">Telephone [Healey]: </w:t>
      </w:r>
      <w:r w:rsidRPr="00F257DB">
        <w:rPr>
          <w:szCs w:val="24"/>
        </w:rPr>
        <w:t xml:space="preserve">(614) </w:t>
      </w:r>
      <w:r>
        <w:rPr>
          <w:szCs w:val="24"/>
        </w:rPr>
        <w:t>466-9571</w:t>
      </w:r>
    </w:p>
    <w:p w:rsidR="00C055B0" w:rsidRPr="00F257DB" w:rsidP="00C055B0">
      <w:pPr>
        <w:tabs>
          <w:tab w:val="left" w:pos="4320"/>
        </w:tabs>
        <w:ind w:left="4320"/>
        <w:rPr>
          <w:szCs w:val="24"/>
        </w:rPr>
      </w:pPr>
      <w:r>
        <w:rPr>
          <w:szCs w:val="24"/>
        </w:rPr>
        <w:t>Telephone [Kumar]: (614) 466-1292</w:t>
      </w:r>
      <w:r w:rsidRPr="00F257DB">
        <w:rPr>
          <w:szCs w:val="24"/>
        </w:rPr>
        <w:t xml:space="preserve"> </w:t>
      </w:r>
    </w:p>
    <w:p w:rsidR="00C055B0" w:rsidP="00C055B0">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C055B0" w:rsidRPr="00F257DB" w:rsidP="00C055B0">
      <w:pPr>
        <w:ind w:left="4320"/>
        <w:rPr>
          <w:szCs w:val="24"/>
        </w:rPr>
      </w:pPr>
      <w:r>
        <w:fldChar w:fldCharType="begin"/>
      </w:r>
      <w:r>
        <w:instrText xml:space="preserve"> HYPERLINK "mailto:ajay.kumar@occ.ohio.gov" </w:instrText>
      </w:r>
      <w:r>
        <w:fldChar w:fldCharType="separate"/>
      </w:r>
      <w:r w:rsidRPr="00214F77">
        <w:rPr>
          <w:rStyle w:val="Hyperlink"/>
          <w:szCs w:val="24"/>
        </w:rPr>
        <w:t>ajay.kumar@occ.ohio.gov</w:t>
      </w:r>
      <w:r>
        <w:fldChar w:fldCharType="end"/>
      </w:r>
      <w:r>
        <w:rPr>
          <w:szCs w:val="24"/>
        </w:rPr>
        <w:t xml:space="preserve"> </w:t>
      </w:r>
    </w:p>
    <w:p w:rsidR="00614CD5" w:rsidP="00C055B0">
      <w:pPr>
        <w:ind w:left="4320"/>
        <w:rPr>
          <w:szCs w:val="24"/>
        </w:r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r w:rsidRPr="00F257DB">
        <w:rPr>
          <w:szCs w:val="24"/>
        </w:rPr>
        <w:t>(</w:t>
      </w:r>
      <w:r w:rsidR="001F59D0">
        <w:rPr>
          <w:szCs w:val="24"/>
        </w:rPr>
        <w:t>Both w</w:t>
      </w:r>
      <w:r>
        <w:rPr>
          <w:szCs w:val="24"/>
        </w:rPr>
        <w:t>ill</w:t>
      </w:r>
      <w:r w:rsidRPr="00F257DB">
        <w:rPr>
          <w:szCs w:val="24"/>
        </w:rPr>
        <w:t xml:space="preserve"> accept service via email)</w:t>
      </w:r>
    </w:p>
    <w:p w:rsidR="00614CD5" w:rsidP="00614CD5">
      <w:pPr>
        <w:jc w:val="center"/>
        <w:rPr>
          <w:b/>
          <w:bCs/>
          <w:u w:val="single"/>
        </w:rPr>
      </w:pPr>
      <w:r>
        <w:rPr>
          <w:b/>
          <w:bCs/>
          <w:u w:val="single"/>
        </w:rPr>
        <w:t>CERTIFICATE OF SERVICE</w:t>
      </w:r>
    </w:p>
    <w:p w:rsidR="00614CD5" w:rsidRPr="001E4C2F" w:rsidP="00614CD5">
      <w:pPr>
        <w:spacing w:line="480" w:lineRule="atLeast"/>
        <w:ind w:firstLine="720"/>
      </w:pPr>
      <w:r w:rsidRPr="001E4C2F">
        <w:t xml:space="preserve">I hereby certify that a copy of this Motion to Intervene was served on the persons stated below via electronic transmission, this </w:t>
      </w:r>
      <w:r w:rsidR="00C055B0">
        <w:t>23rd</w:t>
      </w:r>
      <w:r w:rsidRPr="001E4C2F">
        <w:t xml:space="preserve"> day of </w:t>
      </w:r>
      <w:r w:rsidR="00B8317E">
        <w:t>May</w:t>
      </w:r>
      <w:r w:rsidRPr="001E4C2F">
        <w:t xml:space="preserve"> 2017.</w:t>
      </w:r>
    </w:p>
    <w:p w:rsidR="00614CD5">
      <w:pPr>
        <w:spacing w:line="480" w:lineRule="atLeast"/>
      </w:pPr>
    </w:p>
    <w:p w:rsidR="00614CD5">
      <w:pPr>
        <w:tabs>
          <w:tab w:val="left" w:pos="4320"/>
        </w:tabs>
      </w:pPr>
      <w:r>
        <w:tab/>
      </w:r>
      <w:r>
        <w:rPr>
          <w:i/>
          <w:u w:val="single"/>
        </w:rPr>
        <w:t>/s/ Christopher M. Healey</w:t>
      </w:r>
      <w:r>
        <w:rPr>
          <w:i/>
          <w:u w:val="single"/>
        </w:rPr>
        <w:tab/>
      </w:r>
    </w:p>
    <w:p w:rsidR="00614CD5">
      <w:pPr>
        <w:tabs>
          <w:tab w:val="left" w:pos="4320"/>
        </w:tabs>
      </w:pPr>
      <w:r>
        <w:tab/>
        <w:t>Christopher M. Healey</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p w:rsidR="00614CD5" w:rsidP="00614CD5">
      <w:pPr>
        <w:pStyle w:val="CommentText"/>
        <w:jc w:val="center"/>
        <w:rPr>
          <w:b/>
          <w:u w:val="single"/>
        </w:rPr>
      </w:pPr>
      <w:r w:rsidRPr="00FB7D74">
        <w:rPr>
          <w:b/>
          <w:u w:val="single"/>
        </w:rPr>
        <w:t>SERVICE LIST</w:t>
      </w:r>
    </w:p>
    <w:p w:rsidR="00614CD5" w:rsidP="00614CD5">
      <w:pPr>
        <w:pStyle w:val="CommentText"/>
        <w:jc w:val="center"/>
        <w:rPr>
          <w:b/>
          <w:u w:val="single"/>
        </w:rPr>
      </w:pPr>
    </w:p>
    <w:p w:rsidR="009E0E49" w:rsidP="009E0E49">
      <w:pPr>
        <w:pStyle w:val="CommentText"/>
        <w:jc w:val="center"/>
        <w:rPr>
          <w:b/>
          <w:u w:val="single"/>
        </w:rPr>
      </w:pPr>
    </w:p>
    <w:p w:rsidR="009E0E49" w:rsidP="009E0E49">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9E0E49">
        <w:tblPrEx>
          <w:tblW w:w="0" w:type="auto"/>
          <w:tblInd w:w="0" w:type="dxa"/>
          <w:tblCellMar>
            <w:top w:w="0" w:type="dxa"/>
            <w:left w:w="108" w:type="dxa"/>
            <w:bottom w:w="0" w:type="dxa"/>
            <w:right w:w="108" w:type="dxa"/>
          </w:tblCellMar>
          <w:tblLook w:val="04A0"/>
        </w:tblPrEx>
        <w:tc>
          <w:tcPr>
            <w:tcW w:w="4428" w:type="dxa"/>
          </w:tcPr>
          <w:p w:rsidR="009E0E49">
            <w:pPr>
              <w:autoSpaceDE w:val="0"/>
              <w:autoSpaceDN w:val="0"/>
              <w:adjustRightInd w:val="0"/>
              <w:rPr>
                <w:rStyle w:val="DefaultParagraphFont"/>
                <w:bCs/>
                <w:sz w:val="24"/>
                <w:lang w:val="en-US" w:eastAsia="en-US" w:bidi="ar-SA"/>
              </w:rPr>
            </w:pPr>
            <w:r>
              <w:rPr>
                <w:bCs/>
                <w:sz w:val="24"/>
                <w:lang w:val="en-US" w:eastAsia="en-US" w:bidi="ar-SA"/>
              </w:rPr>
              <w:t>William Wright</w:t>
            </w:r>
          </w:p>
          <w:p w:rsidR="009E0E49">
            <w:pPr>
              <w:autoSpaceDE w:val="0"/>
              <w:autoSpaceDN w:val="0"/>
              <w:adjustRightInd w:val="0"/>
              <w:rPr>
                <w:rStyle w:val="DefaultParagraphFont"/>
                <w:bCs/>
                <w:sz w:val="24"/>
                <w:lang w:val="en-US" w:eastAsia="en-US" w:bidi="ar-SA"/>
              </w:rPr>
            </w:pPr>
            <w:r>
              <w:rPr>
                <w:bCs/>
                <w:sz w:val="24"/>
                <w:lang w:val="en-US" w:eastAsia="en-US" w:bidi="ar-SA"/>
              </w:rPr>
              <w:t>Public Utilities Commission of Ohio</w:t>
            </w:r>
          </w:p>
          <w:p w:rsidR="009E0E49">
            <w:pPr>
              <w:autoSpaceDE w:val="0"/>
              <w:autoSpaceDN w:val="0"/>
              <w:adjustRightInd w:val="0"/>
              <w:rPr>
                <w:rStyle w:val="DefaultParagraphFont"/>
                <w:bCs/>
                <w:sz w:val="24"/>
                <w:lang w:val="en-US" w:eastAsia="en-US" w:bidi="ar-SA"/>
              </w:rPr>
            </w:pPr>
            <w:r>
              <w:rPr>
                <w:bCs/>
                <w:sz w:val="24"/>
                <w:lang w:val="en-US" w:eastAsia="en-US" w:bidi="ar-SA"/>
              </w:rPr>
              <w:t>30 E. Broad St., 16</w:t>
            </w:r>
            <w:r>
              <w:rPr>
                <w:bCs/>
                <w:sz w:val="24"/>
                <w:vertAlign w:val="superscript"/>
                <w:lang w:val="en-US" w:eastAsia="en-US" w:bidi="ar-SA"/>
              </w:rPr>
              <w:t>th</w:t>
            </w:r>
            <w:r>
              <w:rPr>
                <w:bCs/>
                <w:sz w:val="24"/>
                <w:lang w:val="en-US" w:eastAsia="en-US" w:bidi="ar-SA"/>
              </w:rPr>
              <w:t xml:space="preserve"> Floor</w:t>
            </w:r>
          </w:p>
          <w:p w:rsidR="009E0E49">
            <w:pPr>
              <w:autoSpaceDE w:val="0"/>
              <w:autoSpaceDN w:val="0"/>
              <w:adjustRightInd w:val="0"/>
              <w:rPr>
                <w:rStyle w:val="DefaultParagraphFont"/>
                <w:bCs/>
                <w:sz w:val="24"/>
                <w:lang w:val="en-US" w:eastAsia="en-US" w:bidi="ar-SA"/>
              </w:rPr>
            </w:pPr>
            <w:r>
              <w:rPr>
                <w:bCs/>
                <w:sz w:val="24"/>
                <w:lang w:val="en-US" w:eastAsia="en-US" w:bidi="ar-SA"/>
              </w:rPr>
              <w:t>Columbus, OH 43215</w:t>
            </w:r>
          </w:p>
          <w:p w:rsidR="009E0E49">
            <w:pPr>
              <w:autoSpaceDE w:val="0"/>
              <w:autoSpaceDN w:val="0"/>
              <w:adjustRightInd w:val="0"/>
              <w:rPr>
                <w:rStyle w:val="DefaultParagraphFont"/>
                <w:bCs/>
                <w:sz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Pr>
                <w:rStyle w:val="Hyperlink"/>
                <w:bCs/>
                <w:color w:val="0000FF"/>
                <w:sz w:val="24"/>
                <w:u w:val="single"/>
                <w:lang w:val="en-US" w:eastAsia="en-US" w:bidi="ar-SA"/>
              </w:rPr>
              <w:t>William.wright@ohioattorneygeneral.gov</w:t>
            </w:r>
            <w:r>
              <w:fldChar w:fldCharType="end"/>
            </w:r>
          </w:p>
          <w:p w:rsidR="009E0E49">
            <w:pPr>
              <w:autoSpaceDE w:val="0"/>
              <w:autoSpaceDN w:val="0"/>
              <w:adjustRightInd w:val="0"/>
              <w:rPr>
                <w:rStyle w:val="DefaultParagraphFont"/>
                <w:bCs/>
                <w:sz w:val="24"/>
                <w:lang w:val="en-US" w:eastAsia="en-US" w:bidi="ar-SA"/>
              </w:rPr>
            </w:pPr>
          </w:p>
        </w:tc>
        <w:tc>
          <w:tcPr>
            <w:tcW w:w="4428" w:type="dxa"/>
          </w:tcPr>
          <w:p w:rsidR="009E0E49">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 xml:space="preserve">Carrie M. Dunn </w:t>
            </w:r>
          </w:p>
          <w:p w:rsidR="009E0E49">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FirstEnergy Service Company</w:t>
            </w:r>
          </w:p>
          <w:p w:rsidR="009E0E49">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76 South Main Street</w:t>
            </w:r>
          </w:p>
          <w:p w:rsidR="009E0E49">
            <w:pPr>
              <w:autoSpaceDE w:val="0"/>
              <w:autoSpaceDN w:val="0"/>
              <w:adjustRightInd w:val="0"/>
              <w:ind w:left="612"/>
              <w:rPr>
                <w:rStyle w:val="DefaultParagraphFont"/>
                <w:color w:val="000000"/>
                <w:sz w:val="24"/>
                <w:szCs w:val="24"/>
                <w:lang w:val="en-US" w:eastAsia="en-US" w:bidi="ar-SA"/>
              </w:rPr>
            </w:pPr>
            <w:r>
              <w:rPr>
                <w:color w:val="000000"/>
                <w:sz w:val="24"/>
                <w:szCs w:val="24"/>
                <w:lang w:val="en-US" w:eastAsia="en-US" w:bidi="ar-SA"/>
              </w:rPr>
              <w:t>Akron, OH 44308</w:t>
            </w:r>
          </w:p>
          <w:p w:rsidR="009E0E49">
            <w:pPr>
              <w:pStyle w:val="BodyText"/>
              <w:ind w:left="612"/>
              <w:jc w:val="left"/>
              <w:rPr>
                <w:rStyle w:val="DefaultParagraphFont"/>
                <w:color w:val="0000FF"/>
                <w:sz w:val="24"/>
                <w:szCs w:val="24"/>
                <w:lang w:val="en-US" w:eastAsia="en-US" w:bidi="ar-SA"/>
              </w:rPr>
            </w:pPr>
            <w:r>
              <w:fldChar w:fldCharType="begin"/>
            </w:r>
            <w:r>
              <w:rPr>
                <w:sz w:val="24"/>
                <w:lang w:val="en-US" w:eastAsia="en-US" w:bidi="ar-SA"/>
              </w:rPr>
              <w:instrText xml:space="preserve"> HYPERLINK "mailto:cdunn@firstenergycorp.com" </w:instrText>
            </w:r>
            <w:r>
              <w:fldChar w:fldCharType="separate"/>
            </w:r>
            <w:r>
              <w:rPr>
                <w:rStyle w:val="Hyperlink"/>
                <w:color w:val="0000FF"/>
                <w:sz w:val="24"/>
                <w:szCs w:val="24"/>
                <w:u w:val="single"/>
                <w:lang w:val="en-US" w:eastAsia="en-US" w:bidi="ar-SA"/>
              </w:rPr>
              <w:t>cdunn@firstenergycorp.com</w:t>
            </w:r>
            <w:r>
              <w:fldChar w:fldCharType="end"/>
            </w:r>
          </w:p>
          <w:p w:rsidR="009E0E49">
            <w:pPr>
              <w:pStyle w:val="BodyText"/>
              <w:jc w:val="left"/>
              <w:rPr>
                <w:rStyle w:val="DefaultParagraphFont"/>
                <w:sz w:val="24"/>
                <w:lang w:val="en-US" w:eastAsia="en-US" w:bidi="ar-SA"/>
              </w:rPr>
            </w:pPr>
          </w:p>
        </w:tc>
      </w:tr>
    </w:tbl>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614CD5">
        <w:tblPrEx>
          <w:tblW w:w="0" w:type="auto"/>
          <w:tblInd w:w="0" w:type="dxa"/>
          <w:tblCellMar>
            <w:top w:w="0" w:type="dxa"/>
            <w:left w:w="108" w:type="dxa"/>
            <w:bottom w:w="0" w:type="dxa"/>
            <w:right w:w="108" w:type="dxa"/>
          </w:tblCellMar>
          <w:tblLook w:val="04A0"/>
        </w:tblPrEx>
        <w:tc>
          <w:tcPr>
            <w:tcW w:w="4428" w:type="dxa"/>
            <w:shd w:val="clear" w:color="auto" w:fill="auto"/>
          </w:tcPr>
          <w:p w:rsidR="00614CD5" w:rsidRPr="00F7490A" w:rsidP="00614CD5">
            <w:pPr>
              <w:pStyle w:val="CommentText"/>
              <w:rPr>
                <w:rStyle w:val="DefaultParagraphFont"/>
                <w:sz w:val="24"/>
                <w:szCs w:val="24"/>
                <w:lang w:val="en-US" w:eastAsia="en-US" w:bidi="ar-SA"/>
              </w:rPr>
            </w:pPr>
          </w:p>
        </w:tc>
        <w:tc>
          <w:tcPr>
            <w:tcW w:w="4428" w:type="dxa"/>
            <w:shd w:val="clear" w:color="auto" w:fill="auto"/>
          </w:tcPr>
          <w:p w:rsidR="00614CD5" w:rsidRPr="00F7490A" w:rsidP="00614CD5">
            <w:pPr>
              <w:pStyle w:val="CommentText"/>
              <w:rPr>
                <w:rStyle w:val="DefaultParagraphFont"/>
                <w:sz w:val="24"/>
                <w:szCs w:val="24"/>
                <w:lang w:val="en-US" w:eastAsia="en-US" w:bidi="ar-SA"/>
              </w:rPr>
            </w:pPr>
          </w:p>
        </w:tc>
      </w:tr>
    </w:tbl>
    <w:p w:rsidR="00614CD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C055B0">
    <w:pPr>
      <w:pStyle w:val="Footer"/>
      <w:jc w:val="center"/>
      <w:rPr>
        <w:sz w:val="24"/>
        <w:szCs w:val="24"/>
      </w:rPr>
    </w:pPr>
    <w:r w:rsidRPr="00C055B0">
      <w:rPr>
        <w:rStyle w:val="PageNumber"/>
        <w:sz w:val="24"/>
        <w:szCs w:val="24"/>
      </w:rPr>
      <w:fldChar w:fldCharType="begin"/>
    </w:r>
    <w:r w:rsidRPr="00C055B0">
      <w:rPr>
        <w:rStyle w:val="PageNumber"/>
        <w:sz w:val="24"/>
        <w:szCs w:val="24"/>
      </w:rPr>
      <w:instrText xml:space="preserve"> PAGE </w:instrText>
    </w:r>
    <w:r w:rsidRPr="00C055B0">
      <w:rPr>
        <w:rStyle w:val="PageNumber"/>
        <w:sz w:val="24"/>
        <w:szCs w:val="24"/>
      </w:rPr>
      <w:fldChar w:fldCharType="separate"/>
    </w:r>
    <w:r w:rsidR="0053268E">
      <w:rPr>
        <w:rStyle w:val="PageNumber"/>
        <w:noProof/>
        <w:sz w:val="24"/>
        <w:szCs w:val="24"/>
      </w:rPr>
      <w:t>2</w:t>
    </w:r>
    <w:r w:rsidRPr="00C055B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C055B0">
    <w:pPr>
      <w:pStyle w:val="Footer"/>
      <w:framePr w:wrap="around" w:vAnchor="text" w:hAnchor="margin" w:xAlign="center" w:y="1"/>
      <w:jc w:val="center"/>
      <w:rPr>
        <w:rStyle w:val="PageNumber"/>
        <w:sz w:val="24"/>
        <w:szCs w:val="24"/>
      </w:rPr>
    </w:pPr>
    <w:r w:rsidRPr="00C055B0">
      <w:rPr>
        <w:rStyle w:val="PageNumber"/>
        <w:sz w:val="24"/>
        <w:szCs w:val="24"/>
      </w:rPr>
      <w:fldChar w:fldCharType="begin"/>
    </w:r>
    <w:r w:rsidRPr="00C055B0">
      <w:rPr>
        <w:rStyle w:val="PageNumber"/>
        <w:sz w:val="24"/>
        <w:szCs w:val="24"/>
      </w:rPr>
      <w:instrText xml:space="preserve">PAGE  </w:instrText>
    </w:r>
    <w:r w:rsidRPr="00C055B0">
      <w:rPr>
        <w:rStyle w:val="PageNumber"/>
        <w:sz w:val="24"/>
        <w:szCs w:val="24"/>
      </w:rPr>
      <w:fldChar w:fldCharType="separate"/>
    </w:r>
    <w:r w:rsidR="0053268E">
      <w:rPr>
        <w:rStyle w:val="PageNumber"/>
        <w:noProof/>
        <w:sz w:val="24"/>
        <w:szCs w:val="24"/>
      </w:rPr>
      <w:t>2</w:t>
    </w:r>
    <w:r w:rsidRPr="00C055B0">
      <w:rPr>
        <w:rStyle w:val="PageNumber"/>
        <w:sz w:val="24"/>
        <w:szCs w:val="24"/>
      </w:rPr>
      <w:fldChar w:fldCharType="end"/>
    </w:r>
  </w:p>
  <w:p w:rsidR="00614CD5" w:rsidRPr="00C055B0">
    <w:pPr>
      <w:pStyle w:val="Footer"/>
      <w:framePr w:wrap="around" w:vAnchor="text" w:hAnchor="margin" w:xAlign="center" w:y="1"/>
      <w:rPr>
        <w:rStyle w:val="PageNumber"/>
      </w:rPr>
    </w:pPr>
  </w:p>
  <w:p w:rsidR="00614CD5" w:rsidRPr="00C055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C0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7286">
      <w:r>
        <w:separator/>
      </w:r>
    </w:p>
  </w:footnote>
  <w:footnote w:type="continuationSeparator" w:id="1">
    <w:p w:rsidR="00F17286">
      <w:r>
        <w:continuationSeparator/>
      </w:r>
    </w:p>
  </w:footnote>
  <w:footnote w:id="2">
    <w:p w:rsidR="00614CD5" w:rsidRPr="00D72DC1" w:rsidP="00614CD5">
      <w:pPr>
        <w:pStyle w:val="FootnoteText"/>
        <w:spacing w:after="120"/>
      </w:pPr>
      <w:r>
        <w:rPr>
          <w:rStyle w:val="FootnoteReference"/>
        </w:rPr>
        <w:footnoteRef/>
      </w:r>
      <w:r w:rsidRPr="003F5FD3">
        <w:rPr>
          <w:i/>
        </w:rPr>
        <w:t xml:space="preserve"> </w:t>
      </w:r>
      <w:r w:rsidRPr="00D72DC1">
        <w:t>See Ohio Consumers' Counsel v. Pub. Util. Comm., 111 Ohio St. 3d 384, 2006-Ohio-5853, ¶ 20 (2006).</w:t>
      </w:r>
    </w:p>
  </w:footnote>
  <w:footnote w:id="3">
    <w:p w:rsidR="00614CD5" w:rsidRPr="00D72DC1" w:rsidP="00614CD5">
      <w:pPr>
        <w:pStyle w:val="FootnoteText"/>
        <w:spacing w:after="120"/>
      </w:pPr>
      <w:r w:rsidRPr="00D72DC1">
        <w:rPr>
          <w:rStyle w:val="FootnoteReference"/>
        </w:rPr>
        <w:footnoteRef/>
      </w:r>
      <w:r w:rsidRPr="00D72DC1">
        <w:t xml:space="preserve"> Id. ¶¶ 18-20.</w:t>
      </w:r>
    </w:p>
  </w:footnote>
  <w:footnote w:id="4">
    <w:p w:rsidR="00614CD5" w:rsidRPr="00D72DC1" w:rsidP="00614CD5">
      <w:pPr>
        <w:pStyle w:val="FootnoteText"/>
        <w:spacing w:after="120"/>
      </w:pPr>
      <w:r w:rsidRPr="00D72DC1">
        <w:rPr>
          <w:rStyle w:val="FootnoteReference"/>
        </w:rPr>
        <w:footnoteRef/>
      </w:r>
      <w:r w:rsidRPr="00D72DC1">
        <w:t xml:space="preserve"> Id. ¶¶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 EE Status 17-1226 - OCC MTI  (00043754.DOCX;1)</vt:lpstr>
    </vt:vector>
  </TitlesOfParts>
  <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2017-05-23T13:54:51Z</dcterms:created>
  <dcterms:modified xsi:type="dcterms:W3CDTF">2017-05-23T13:54:51Z</dcterms:modified>
</cp:coreProperties>
</file>