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F6887" w:rsidRPr="004B7144" w:rsidP="000F6887" w14:paraId="4393F277" w14:textId="77777777">
      <w:pPr>
        <w:pStyle w:val="HTMLPreformatted"/>
        <w:jc w:val="center"/>
        <w:rPr>
          <w:rFonts w:ascii="Times New Roman" w:hAnsi="Times New Roman" w:cs="Times New Roman"/>
          <w:b/>
          <w:bCs/>
          <w:sz w:val="24"/>
          <w:szCs w:val="24"/>
        </w:rPr>
      </w:pPr>
      <w:r w:rsidRPr="004B7144">
        <w:rPr>
          <w:rFonts w:ascii="Times New Roman" w:hAnsi="Times New Roman" w:cs="Times New Roman"/>
          <w:b/>
          <w:bCs/>
          <w:sz w:val="24"/>
          <w:szCs w:val="24"/>
        </w:rPr>
        <w:t>BEFORE</w:t>
      </w:r>
    </w:p>
    <w:p w:rsidR="000F6887" w:rsidRPr="004B7144" w:rsidP="000F6887" w14:paraId="1DC9A91B" w14:textId="77777777">
      <w:pPr>
        <w:pStyle w:val="HTMLPreformatted"/>
        <w:jc w:val="center"/>
        <w:rPr>
          <w:rFonts w:ascii="Times New Roman" w:hAnsi="Times New Roman" w:cs="Times New Roman"/>
          <w:b/>
          <w:bCs/>
          <w:sz w:val="24"/>
          <w:szCs w:val="24"/>
        </w:rPr>
      </w:pPr>
      <w:r w:rsidRPr="004B7144">
        <w:rPr>
          <w:rFonts w:ascii="Times New Roman" w:hAnsi="Times New Roman" w:cs="Times New Roman"/>
          <w:b/>
          <w:bCs/>
          <w:sz w:val="24"/>
          <w:szCs w:val="24"/>
        </w:rPr>
        <w:t>THE PUBLIC UTILITIES COMMISSION OF OHIO</w:t>
      </w:r>
    </w:p>
    <w:p w:rsidR="000F6887" w:rsidRPr="004B7144" w:rsidP="000F6887" w14:paraId="5C693D89" w14:textId="77777777">
      <w:pPr>
        <w:pStyle w:val="HTMLPreformatted"/>
        <w:jc w:val="center"/>
        <w:rPr>
          <w:rFonts w:ascii="Times New Roman" w:hAnsi="Times New Roman" w:cs="Times New Roman"/>
          <w:b/>
          <w:bCs/>
          <w:sz w:val="24"/>
          <w:szCs w:val="24"/>
        </w:rPr>
      </w:pPr>
    </w:p>
    <w:p w:rsidR="000F6887" w:rsidRPr="004B7144" w:rsidP="000F6887" w14:paraId="4C6A8A9C"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Duke Energy Ohio, Inc.</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2E545458"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r w:rsidRPr="004B7144">
        <w:rPr>
          <w:rFonts w:ascii="Times New Roman" w:hAnsi="Times New Roman" w:cs="Times New Roman"/>
          <w:sz w:val="24"/>
          <w:szCs w:val="24"/>
        </w:rPr>
        <w:tab/>
        <w:t>Case No. 22-279-EL-CSS</w:t>
      </w:r>
    </w:p>
    <w:p w:rsidR="000F6887" w:rsidRPr="004B7144" w:rsidP="000F6887" w14:paraId="74348D5B"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 xml:space="preserve"> </w:t>
      </w:r>
      <w:r w:rsidRPr="004B7144">
        <w:rPr>
          <w:rFonts w:ascii="Times New Roman" w:hAnsi="Times New Roman" w:cs="Times New Roman"/>
          <w:sz w:val="24"/>
          <w:szCs w:val="24"/>
        </w:rPr>
        <w:tab/>
        <w:t>Complainant,</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1F1FD0A6"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22943C0F"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 xml:space="preserve"> v.</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2BD0D76E"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05E5517C"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Nationwide Energy Partners, LLC</w:t>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4973B034"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763B9088"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t>Respondent.</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0F6887" w:rsidRPr="004B7144" w:rsidP="000F6887" w14:paraId="6624A2D8" w14:textId="77777777">
      <w:pPr>
        <w:pStyle w:val="HTMLPreformatted"/>
        <w:rPr>
          <w:rFonts w:ascii="Times New Roman" w:hAnsi="Times New Roman" w:cs="Times New Roman"/>
          <w:sz w:val="24"/>
          <w:szCs w:val="24"/>
        </w:rPr>
      </w:pPr>
    </w:p>
    <w:p w:rsidR="000F6887" w:rsidRPr="004B7144" w:rsidP="000F6887" w14:paraId="268838F9" w14:textId="77777777">
      <w:pPr>
        <w:pStyle w:val="HTMLPreformatted"/>
        <w:pBdr>
          <w:top w:val="single" w:sz="12" w:space="1" w:color="auto"/>
        </w:pBdr>
        <w:rPr>
          <w:rFonts w:ascii="Times New Roman" w:hAnsi="Times New Roman" w:cs="Times New Roman"/>
          <w:sz w:val="24"/>
          <w:szCs w:val="24"/>
        </w:rPr>
      </w:pPr>
    </w:p>
    <w:p w:rsidR="000F6887" w:rsidRPr="004B7144" w:rsidP="000F6887" w14:paraId="52FE6FA3" w14:textId="77777777">
      <w:pPr>
        <w:jc w:val="center"/>
        <w:rPr>
          <w:b/>
          <w:bCs/>
          <w:szCs w:val="24"/>
        </w:rPr>
      </w:pPr>
      <w:bookmarkStart w:id="0" w:name="_Hlk105077229"/>
      <w:r w:rsidRPr="004B7144">
        <w:rPr>
          <w:b/>
          <w:bCs/>
          <w:szCs w:val="24"/>
        </w:rPr>
        <w:t>REPLY TO NATIONWIDE ENERGY PARTNERS’ MEMORANDUM CONTRA OCC’S MOTION TO INTERVENE</w:t>
      </w:r>
    </w:p>
    <w:p w:rsidR="000F6887" w:rsidRPr="004B7144" w:rsidP="000F6887" w14:paraId="060DAF7D" w14:textId="77777777">
      <w:pPr>
        <w:jc w:val="center"/>
        <w:rPr>
          <w:b/>
          <w:bCs/>
          <w:szCs w:val="24"/>
        </w:rPr>
      </w:pPr>
      <w:r w:rsidRPr="004B7144">
        <w:rPr>
          <w:b/>
          <w:bCs/>
          <w:szCs w:val="24"/>
        </w:rPr>
        <w:t>BY</w:t>
      </w:r>
    </w:p>
    <w:p w:rsidR="000F6887" w:rsidRPr="004B7144" w:rsidP="000F6887" w14:paraId="5611F7C5" w14:textId="77777777">
      <w:pPr>
        <w:jc w:val="center"/>
        <w:rPr>
          <w:b/>
          <w:bCs/>
          <w:szCs w:val="24"/>
        </w:rPr>
      </w:pPr>
      <w:r w:rsidRPr="004B7144">
        <w:rPr>
          <w:b/>
          <w:bCs/>
          <w:szCs w:val="24"/>
        </w:rPr>
        <w:t>OFFICE OF THE OHIO CONSUMERS’ COUNSEL</w:t>
      </w:r>
    </w:p>
    <w:bookmarkEnd w:id="0"/>
    <w:p w:rsidR="000F6887" w:rsidRPr="004B7144" w:rsidP="000F6887" w14:paraId="0A5B2499" w14:textId="2BA97B8E">
      <w:pPr>
        <w:pBdr>
          <w:bottom w:val="single" w:sz="12" w:space="1" w:color="auto"/>
        </w:pBdr>
        <w:tabs>
          <w:tab w:val="left" w:pos="4320"/>
        </w:tabs>
        <w:rPr>
          <w:szCs w:val="24"/>
        </w:rPr>
      </w:pPr>
    </w:p>
    <w:p w:rsidR="000F6887" w:rsidRPr="004B7144" w14:paraId="4B953254" w14:textId="43258363">
      <w:pPr>
        <w:pStyle w:val="HTMLPreformatted"/>
        <w:jc w:val="center"/>
        <w:rPr>
          <w:rFonts w:ascii="Times New Roman" w:hAnsi="Times New Roman" w:cs="Times New Roman"/>
          <w:b/>
          <w:bCs/>
          <w:sz w:val="24"/>
          <w:szCs w:val="24"/>
        </w:rPr>
      </w:pPr>
    </w:p>
    <w:p w:rsidR="00ED7ED0" w:rsidRPr="004B7144" w14:paraId="112E4755" w14:textId="77777777">
      <w:pPr>
        <w:pStyle w:val="HTMLPreformatted"/>
        <w:jc w:val="center"/>
        <w:rPr>
          <w:rFonts w:ascii="Times New Roman" w:hAnsi="Times New Roman" w:cs="Times New Roman"/>
          <w:b/>
          <w:bCs/>
          <w:sz w:val="24"/>
          <w:szCs w:val="24"/>
        </w:rPr>
      </w:pPr>
    </w:p>
    <w:p w:rsidR="00ED7ED0" w:rsidRPr="004B7144" w:rsidP="00ED7ED0" w14:paraId="1FFF14FC" w14:textId="77777777">
      <w:pPr>
        <w:ind w:left="4320"/>
        <w:rPr>
          <w:szCs w:val="24"/>
        </w:rPr>
      </w:pPr>
      <w:r w:rsidRPr="004B7144">
        <w:rPr>
          <w:szCs w:val="24"/>
        </w:rPr>
        <w:t>Bruce Weston (0016973)</w:t>
      </w:r>
    </w:p>
    <w:p w:rsidR="00ED7ED0" w:rsidRPr="004B7144" w:rsidP="00ED7ED0" w14:paraId="17D4BCE6" w14:textId="77777777">
      <w:pPr>
        <w:tabs>
          <w:tab w:val="left" w:pos="4320"/>
        </w:tabs>
        <w:ind w:left="4320" w:hanging="450"/>
        <w:rPr>
          <w:szCs w:val="24"/>
        </w:rPr>
      </w:pPr>
      <w:r w:rsidRPr="004B7144">
        <w:rPr>
          <w:szCs w:val="24"/>
        </w:rPr>
        <w:tab/>
        <w:t>Ohio Consumers’ Counsel</w:t>
      </w:r>
    </w:p>
    <w:p w:rsidR="00ED7ED0" w:rsidRPr="004B7144" w:rsidP="00ED7ED0" w14:paraId="575F839E" w14:textId="77777777">
      <w:pPr>
        <w:tabs>
          <w:tab w:val="left" w:pos="4320"/>
        </w:tabs>
        <w:ind w:left="4320"/>
        <w:rPr>
          <w:szCs w:val="24"/>
        </w:rPr>
      </w:pPr>
    </w:p>
    <w:p w:rsidR="00ED7ED0" w:rsidRPr="004B7144" w:rsidP="00ED7ED0" w14:paraId="3FD767C9" w14:textId="77777777">
      <w:pPr>
        <w:tabs>
          <w:tab w:val="left" w:pos="4320"/>
        </w:tabs>
        <w:ind w:left="4320"/>
        <w:rPr>
          <w:szCs w:val="24"/>
        </w:rPr>
      </w:pPr>
      <w:r w:rsidRPr="004B7144">
        <w:rPr>
          <w:szCs w:val="24"/>
        </w:rPr>
        <w:t>Angela D. O’Brien (0097579)</w:t>
      </w:r>
    </w:p>
    <w:p w:rsidR="00ED7ED0" w:rsidRPr="004B7144" w:rsidP="00ED7ED0" w14:paraId="45B570D2" w14:textId="77777777">
      <w:pPr>
        <w:tabs>
          <w:tab w:val="left" w:pos="4320"/>
        </w:tabs>
        <w:ind w:left="4320"/>
        <w:rPr>
          <w:szCs w:val="24"/>
        </w:rPr>
      </w:pPr>
      <w:r w:rsidRPr="004B7144">
        <w:rPr>
          <w:szCs w:val="24"/>
        </w:rPr>
        <w:t>Counsel of Record</w:t>
      </w:r>
    </w:p>
    <w:p w:rsidR="00ED7ED0" w:rsidRPr="004B7144" w:rsidP="00ED7ED0" w14:paraId="5CB60A38" w14:textId="77777777">
      <w:pPr>
        <w:tabs>
          <w:tab w:val="left" w:pos="3870"/>
          <w:tab w:val="left" w:pos="4320"/>
        </w:tabs>
        <w:ind w:left="4320"/>
        <w:rPr>
          <w:szCs w:val="24"/>
        </w:rPr>
      </w:pPr>
      <w:r w:rsidRPr="004B7144">
        <w:rPr>
          <w:szCs w:val="24"/>
        </w:rPr>
        <w:t>Connor D. Semple (0101102)</w:t>
      </w:r>
    </w:p>
    <w:p w:rsidR="00ED7ED0" w:rsidRPr="004B7144" w:rsidP="00ED7ED0" w14:paraId="4EB2EFB1" w14:textId="77777777">
      <w:pPr>
        <w:tabs>
          <w:tab w:val="left" w:pos="3870"/>
          <w:tab w:val="left" w:pos="4320"/>
        </w:tabs>
        <w:ind w:left="4320"/>
        <w:rPr>
          <w:szCs w:val="24"/>
        </w:rPr>
      </w:pPr>
      <w:r w:rsidRPr="004B7144">
        <w:rPr>
          <w:szCs w:val="24"/>
        </w:rPr>
        <w:t>Assistant Consumers’ Counsel</w:t>
      </w:r>
    </w:p>
    <w:p w:rsidR="00ED7ED0" w:rsidRPr="004B7144" w:rsidP="00ED7ED0" w14:paraId="41A241FA" w14:textId="77777777">
      <w:pPr>
        <w:tabs>
          <w:tab w:val="left" w:pos="3870"/>
          <w:tab w:val="left" w:pos="4320"/>
        </w:tabs>
        <w:ind w:left="4320"/>
        <w:rPr>
          <w:szCs w:val="24"/>
        </w:rPr>
      </w:pPr>
    </w:p>
    <w:p w:rsidR="00ED7ED0" w:rsidRPr="004B7144" w:rsidP="00ED7ED0" w14:paraId="08C9E426" w14:textId="77777777">
      <w:pPr>
        <w:ind w:left="4320"/>
        <w:rPr>
          <w:b/>
          <w:bCs/>
          <w:szCs w:val="24"/>
        </w:rPr>
      </w:pPr>
      <w:r w:rsidRPr="004B7144">
        <w:rPr>
          <w:b/>
          <w:bCs/>
          <w:szCs w:val="24"/>
        </w:rPr>
        <w:t>Office of the Ohio Consumers' Counsel</w:t>
      </w:r>
    </w:p>
    <w:p w:rsidR="00ED7ED0" w:rsidRPr="004B7144" w:rsidP="00ED7ED0" w14:paraId="44422E7E" w14:textId="77777777">
      <w:pPr>
        <w:ind w:left="4320"/>
        <w:rPr>
          <w:szCs w:val="24"/>
        </w:rPr>
      </w:pPr>
      <w:r w:rsidRPr="004B7144">
        <w:rPr>
          <w:szCs w:val="24"/>
        </w:rPr>
        <w:t>65 East State Street, Suite 700</w:t>
      </w:r>
    </w:p>
    <w:p w:rsidR="00ED7ED0" w:rsidRPr="004B7144" w:rsidP="00ED7ED0" w14:paraId="39FE6374" w14:textId="77777777">
      <w:pPr>
        <w:ind w:left="4320"/>
        <w:rPr>
          <w:szCs w:val="24"/>
        </w:rPr>
      </w:pPr>
      <w:r w:rsidRPr="004B7144">
        <w:rPr>
          <w:szCs w:val="24"/>
        </w:rPr>
        <w:t>Columbus, Ohio 43215</w:t>
      </w:r>
    </w:p>
    <w:p w:rsidR="00ED7ED0" w:rsidRPr="004B7144" w:rsidP="00ED7ED0" w14:paraId="6F3A1E26" w14:textId="77777777">
      <w:pPr>
        <w:autoSpaceDE w:val="0"/>
        <w:autoSpaceDN w:val="0"/>
        <w:adjustRightInd w:val="0"/>
        <w:ind w:left="4320"/>
        <w:rPr>
          <w:szCs w:val="24"/>
        </w:rPr>
      </w:pPr>
      <w:r w:rsidRPr="004B7144">
        <w:rPr>
          <w:szCs w:val="24"/>
        </w:rPr>
        <w:t>Telephone: [O’Brien]: (614) 466-9531</w:t>
      </w:r>
    </w:p>
    <w:p w:rsidR="00ED7ED0" w:rsidRPr="004B7144" w:rsidP="00ED7ED0" w14:paraId="23A37CCF" w14:textId="77777777">
      <w:pPr>
        <w:ind w:left="4320"/>
        <w:rPr>
          <w:szCs w:val="24"/>
        </w:rPr>
      </w:pPr>
      <w:r w:rsidRPr="004B7144">
        <w:rPr>
          <w:szCs w:val="24"/>
        </w:rPr>
        <w:t>Telephone [Semple]: (614) 466-9565</w:t>
      </w:r>
    </w:p>
    <w:p w:rsidR="00ED7ED0" w:rsidRPr="004B7144" w:rsidP="00ED7ED0" w14:paraId="51F7E558" w14:textId="77777777">
      <w:pPr>
        <w:ind w:left="4320"/>
        <w:rPr>
          <w:szCs w:val="24"/>
        </w:rPr>
      </w:pPr>
      <w:hyperlink r:id="rId6" w:history="1">
        <w:r w:rsidRPr="004B7144" w:rsidR="00A175D1">
          <w:rPr>
            <w:rStyle w:val="Hyperlink"/>
            <w:szCs w:val="24"/>
          </w:rPr>
          <w:t>angela.obrien@occ.ohio.gov</w:t>
        </w:r>
      </w:hyperlink>
    </w:p>
    <w:p w:rsidR="00ED7ED0" w:rsidRPr="004B7144" w:rsidP="00ED7ED0" w14:paraId="2E263A23" w14:textId="77777777">
      <w:pPr>
        <w:ind w:left="4320"/>
        <w:rPr>
          <w:szCs w:val="24"/>
        </w:rPr>
      </w:pPr>
      <w:hyperlink r:id="rId7" w:history="1">
        <w:r w:rsidRPr="004B7144" w:rsidR="00A175D1">
          <w:rPr>
            <w:rStyle w:val="Hyperlink"/>
            <w:szCs w:val="24"/>
          </w:rPr>
          <w:t>connor.semple@occ.ohio.gov</w:t>
        </w:r>
      </w:hyperlink>
    </w:p>
    <w:p w:rsidR="003153B2" w:rsidRPr="004B7144" w:rsidP="00ED7ED0" w14:paraId="22685FA2" w14:textId="77777777">
      <w:pPr>
        <w:ind w:left="4320" w:hanging="4320"/>
        <w:rPr>
          <w:szCs w:val="24"/>
        </w:rPr>
        <w:sectPr w:rsidSect="00BE789C">
          <w:footerReference w:type="default" r:id="rId8"/>
          <w:pgSz w:w="12240" w:h="15840"/>
          <w:pgMar w:top="1440" w:right="1800" w:bottom="1440" w:left="1800" w:header="720" w:footer="720" w:gutter="0"/>
          <w:pgNumType w:start="2"/>
          <w:cols w:space="720"/>
          <w:titlePg/>
          <w:docGrid w:linePitch="65"/>
        </w:sectPr>
      </w:pPr>
      <w:r w:rsidRPr="004B7144">
        <w:rPr>
          <w:szCs w:val="24"/>
        </w:rPr>
        <w:t>June 2, 2022</w:t>
      </w:r>
      <w:r w:rsidRPr="004B7144">
        <w:rPr>
          <w:szCs w:val="24"/>
        </w:rPr>
        <w:tab/>
        <w:t>(willing to accept service by e-mail)</w:t>
      </w:r>
    </w:p>
    <w:p w:rsidR="003153B2" w:rsidRPr="004B7144" w:rsidP="003153B2" w14:paraId="6A6FB08B" w14:textId="77777777">
      <w:pPr>
        <w:jc w:val="center"/>
        <w:rPr>
          <w:b/>
          <w:caps/>
          <w:szCs w:val="24"/>
          <w:u w:val="single"/>
          <w:lang w:eastAsia="ja-JP"/>
        </w:rPr>
      </w:pPr>
      <w:r w:rsidRPr="004B7144">
        <w:rPr>
          <w:b/>
          <w:caps/>
          <w:szCs w:val="24"/>
          <w:u w:val="single"/>
          <w:lang w:eastAsia="ja-JP"/>
        </w:rPr>
        <w:t>TABLE OF CONTENTS</w:t>
      </w:r>
    </w:p>
    <w:p w:rsidR="003153B2" w:rsidRPr="004B7144" w:rsidP="003153B2" w14:paraId="59D4B2F0" w14:textId="77777777">
      <w:pPr>
        <w:jc w:val="right"/>
        <w:rPr>
          <w:b/>
          <w:caps/>
          <w:szCs w:val="24"/>
          <w:lang w:eastAsia="ja-JP"/>
        </w:rPr>
      </w:pPr>
      <w:r w:rsidRPr="004B7144">
        <w:rPr>
          <w:b/>
          <w:caps/>
          <w:szCs w:val="24"/>
          <w:lang w:eastAsia="ja-JP"/>
        </w:rPr>
        <w:t>PAGE</w:t>
      </w:r>
    </w:p>
    <w:p w:rsidR="003153B2" w:rsidRPr="004B7144" w:rsidP="003153B2" w14:paraId="4FE19759" w14:textId="77777777">
      <w:pPr>
        <w:rPr>
          <w:szCs w:val="24"/>
        </w:rPr>
      </w:pPr>
    </w:p>
    <w:p w:rsidR="003003F2" w14:paraId="20927BD5" w14:textId="6264AE9E">
      <w:pPr>
        <w:pStyle w:val="TOC1"/>
        <w:rPr>
          <w:rFonts w:asciiTheme="minorHAnsi" w:eastAsiaTheme="minorEastAsia" w:hAnsiTheme="minorHAnsi" w:cstheme="minorBidi"/>
          <w:noProof/>
          <w:sz w:val="22"/>
          <w:szCs w:val="22"/>
        </w:rPr>
      </w:pPr>
      <w:r w:rsidRPr="004B7144">
        <w:fldChar w:fldCharType="begin"/>
      </w:r>
      <w:r w:rsidRPr="004B7144">
        <w:instrText xml:space="preserve"> TOC \o "1-3" \h \z \u </w:instrText>
      </w:r>
      <w:r w:rsidRPr="004B7144">
        <w:fldChar w:fldCharType="separate"/>
      </w:r>
      <w:hyperlink w:anchor="_Toc105078576" w:history="1">
        <w:r w:rsidRPr="00BC6222">
          <w:rPr>
            <w:rStyle w:val="Hyperlink"/>
            <w:bCs/>
            <w:noProof/>
          </w:rPr>
          <w:t>I.</w:t>
        </w:r>
        <w:r>
          <w:rPr>
            <w:rFonts w:asciiTheme="minorHAnsi" w:eastAsiaTheme="minorEastAsia" w:hAnsiTheme="minorHAnsi" w:cstheme="minorBidi"/>
            <w:noProof/>
            <w:sz w:val="22"/>
            <w:szCs w:val="22"/>
          </w:rPr>
          <w:tab/>
        </w:r>
        <w:r w:rsidRPr="00BC6222">
          <w:rPr>
            <w:rStyle w:val="Hyperlink"/>
            <w:bCs/>
            <w:noProof/>
          </w:rPr>
          <w:t>INTRODUCTION</w:t>
        </w:r>
        <w:r>
          <w:rPr>
            <w:noProof/>
            <w:webHidden/>
          </w:rPr>
          <w:tab/>
        </w:r>
        <w:r>
          <w:rPr>
            <w:noProof/>
            <w:webHidden/>
          </w:rPr>
          <w:fldChar w:fldCharType="begin"/>
        </w:r>
        <w:r>
          <w:rPr>
            <w:noProof/>
            <w:webHidden/>
          </w:rPr>
          <w:instrText xml:space="preserve"> PAGEREF _Toc105078576 \h </w:instrText>
        </w:r>
        <w:r>
          <w:rPr>
            <w:noProof/>
            <w:webHidden/>
          </w:rPr>
          <w:fldChar w:fldCharType="separate"/>
        </w:r>
        <w:r>
          <w:rPr>
            <w:noProof/>
            <w:webHidden/>
          </w:rPr>
          <w:t>1</w:t>
        </w:r>
        <w:r>
          <w:rPr>
            <w:noProof/>
            <w:webHidden/>
          </w:rPr>
          <w:fldChar w:fldCharType="end"/>
        </w:r>
      </w:hyperlink>
    </w:p>
    <w:p w:rsidR="003003F2" w14:paraId="2EA55367" w14:textId="5FFDDC19">
      <w:pPr>
        <w:pStyle w:val="TOC1"/>
        <w:rPr>
          <w:rFonts w:asciiTheme="minorHAnsi" w:eastAsiaTheme="minorEastAsia" w:hAnsiTheme="minorHAnsi" w:cstheme="minorBidi"/>
          <w:noProof/>
          <w:sz w:val="22"/>
          <w:szCs w:val="22"/>
        </w:rPr>
      </w:pPr>
      <w:hyperlink w:anchor="_Toc105078577" w:history="1">
        <w:r w:rsidRPr="00BC6222">
          <w:rPr>
            <w:rStyle w:val="Hyperlink"/>
            <w:noProof/>
          </w:rPr>
          <w:t>II.</w:t>
        </w:r>
        <w:r>
          <w:rPr>
            <w:rFonts w:asciiTheme="minorHAnsi" w:eastAsiaTheme="minorEastAsia" w:hAnsiTheme="minorHAnsi" w:cstheme="minorBidi"/>
            <w:noProof/>
            <w:sz w:val="22"/>
            <w:szCs w:val="22"/>
          </w:rPr>
          <w:tab/>
        </w:r>
        <w:r w:rsidRPr="00BC6222">
          <w:rPr>
            <w:rStyle w:val="Hyperlink"/>
            <w:noProof/>
          </w:rPr>
          <w:t>ARGUMENT</w:t>
        </w:r>
        <w:r>
          <w:rPr>
            <w:noProof/>
            <w:webHidden/>
          </w:rPr>
          <w:tab/>
        </w:r>
        <w:r>
          <w:rPr>
            <w:noProof/>
            <w:webHidden/>
          </w:rPr>
          <w:fldChar w:fldCharType="begin"/>
        </w:r>
        <w:r>
          <w:rPr>
            <w:noProof/>
            <w:webHidden/>
          </w:rPr>
          <w:instrText xml:space="preserve"> PAGEREF _Toc105078577 \h </w:instrText>
        </w:r>
        <w:r>
          <w:rPr>
            <w:noProof/>
            <w:webHidden/>
          </w:rPr>
          <w:fldChar w:fldCharType="separate"/>
        </w:r>
        <w:r>
          <w:rPr>
            <w:noProof/>
            <w:webHidden/>
          </w:rPr>
          <w:t>2</w:t>
        </w:r>
        <w:r>
          <w:rPr>
            <w:noProof/>
            <w:webHidden/>
          </w:rPr>
          <w:fldChar w:fldCharType="end"/>
        </w:r>
      </w:hyperlink>
    </w:p>
    <w:p w:rsidR="003003F2" w14:paraId="177D52AA" w14:textId="12CEC2AE">
      <w:pPr>
        <w:pStyle w:val="TOC2"/>
        <w:tabs>
          <w:tab w:val="left" w:pos="1440"/>
        </w:tabs>
        <w:rPr>
          <w:rFonts w:asciiTheme="minorHAnsi" w:eastAsiaTheme="minorEastAsia" w:hAnsiTheme="minorHAnsi" w:cstheme="minorBidi"/>
          <w:noProof/>
          <w:sz w:val="22"/>
          <w:szCs w:val="22"/>
        </w:rPr>
      </w:pPr>
      <w:hyperlink w:anchor="_Toc105078578" w:history="1">
        <w:r w:rsidRPr="00BC6222">
          <w:rPr>
            <w:rStyle w:val="Hyperlink"/>
            <w:noProof/>
          </w:rPr>
          <w:t>A.</w:t>
        </w:r>
        <w:r>
          <w:rPr>
            <w:rFonts w:asciiTheme="minorHAnsi" w:eastAsiaTheme="minorEastAsia" w:hAnsiTheme="minorHAnsi" w:cstheme="minorBidi"/>
            <w:noProof/>
            <w:sz w:val="22"/>
            <w:szCs w:val="22"/>
          </w:rPr>
          <w:tab/>
        </w:r>
        <w:r w:rsidRPr="00BC6222">
          <w:rPr>
            <w:rStyle w:val="Hyperlink"/>
            <w:noProof/>
          </w:rPr>
          <w:t xml:space="preserve">The residential consumers NEP wants to submeter electric </w:t>
        </w:r>
        <w:r>
          <w:rPr>
            <w:rStyle w:val="Hyperlink"/>
            <w:noProof/>
          </w:rPr>
          <w:br/>
        </w:r>
        <w:r w:rsidRPr="00BC6222">
          <w:rPr>
            <w:rStyle w:val="Hyperlink"/>
            <w:noProof/>
          </w:rPr>
          <w:t xml:space="preserve">utility service to have real and substantial interests in this </w:t>
        </w:r>
        <w:r>
          <w:rPr>
            <w:rStyle w:val="Hyperlink"/>
            <w:noProof/>
          </w:rPr>
          <w:br/>
        </w:r>
        <w:r w:rsidRPr="00BC6222">
          <w:rPr>
            <w:rStyle w:val="Hyperlink"/>
            <w:noProof/>
          </w:rPr>
          <w:t>complaint, and those interests should be represented by OCC.</w:t>
        </w:r>
        <w:r>
          <w:rPr>
            <w:noProof/>
            <w:webHidden/>
          </w:rPr>
          <w:tab/>
        </w:r>
        <w:r>
          <w:rPr>
            <w:noProof/>
            <w:webHidden/>
          </w:rPr>
          <w:fldChar w:fldCharType="begin"/>
        </w:r>
        <w:r>
          <w:rPr>
            <w:noProof/>
            <w:webHidden/>
          </w:rPr>
          <w:instrText xml:space="preserve"> PAGEREF _Toc105078578 \h </w:instrText>
        </w:r>
        <w:r>
          <w:rPr>
            <w:noProof/>
            <w:webHidden/>
          </w:rPr>
          <w:fldChar w:fldCharType="separate"/>
        </w:r>
        <w:r>
          <w:rPr>
            <w:noProof/>
            <w:webHidden/>
          </w:rPr>
          <w:t>2</w:t>
        </w:r>
        <w:r>
          <w:rPr>
            <w:noProof/>
            <w:webHidden/>
          </w:rPr>
          <w:fldChar w:fldCharType="end"/>
        </w:r>
      </w:hyperlink>
    </w:p>
    <w:p w:rsidR="003003F2" w14:paraId="3DD8F8BC" w14:textId="678BC7B0">
      <w:pPr>
        <w:pStyle w:val="TOC2"/>
        <w:tabs>
          <w:tab w:val="left" w:pos="1440"/>
        </w:tabs>
        <w:rPr>
          <w:rFonts w:asciiTheme="minorHAnsi" w:eastAsiaTheme="minorEastAsia" w:hAnsiTheme="minorHAnsi" w:cstheme="minorBidi"/>
          <w:noProof/>
          <w:sz w:val="22"/>
          <w:szCs w:val="22"/>
        </w:rPr>
      </w:pPr>
      <w:hyperlink w:anchor="_Toc105078579" w:history="1">
        <w:r w:rsidRPr="00BC6222">
          <w:rPr>
            <w:rStyle w:val="Hyperlink"/>
            <w:noProof/>
          </w:rPr>
          <w:t>B.</w:t>
        </w:r>
        <w:r>
          <w:rPr>
            <w:rFonts w:asciiTheme="minorHAnsi" w:eastAsiaTheme="minorEastAsia" w:hAnsiTheme="minorHAnsi" w:cstheme="minorBidi"/>
            <w:noProof/>
            <w:sz w:val="22"/>
            <w:szCs w:val="22"/>
          </w:rPr>
          <w:tab/>
        </w:r>
        <w:r w:rsidRPr="00BC6222">
          <w:rPr>
            <w:rStyle w:val="Hyperlink"/>
            <w:noProof/>
          </w:rPr>
          <w:t xml:space="preserve">The PUCO wrongly denied intervention to OCC in previous </w:t>
        </w:r>
        <w:r>
          <w:rPr>
            <w:rStyle w:val="Hyperlink"/>
            <w:noProof/>
          </w:rPr>
          <w:br/>
        </w:r>
        <w:r w:rsidRPr="00BC6222">
          <w:rPr>
            <w:rStyle w:val="Hyperlink"/>
            <w:noProof/>
          </w:rPr>
          <w:t>cases regarding NEP.</w:t>
        </w:r>
        <w:r w:rsidRPr="00BC6222">
          <w:rPr>
            <w:rStyle w:val="Hyperlink"/>
            <w:i/>
            <w:iCs/>
            <w:noProof/>
          </w:rPr>
          <w:t xml:space="preserve"> </w:t>
        </w:r>
        <w:r w:rsidRPr="00BC6222">
          <w:rPr>
            <w:rStyle w:val="Hyperlink"/>
            <w:noProof/>
          </w:rPr>
          <w:t xml:space="preserve">The PUCO should not deny OCC </w:t>
        </w:r>
        <w:r>
          <w:rPr>
            <w:rStyle w:val="Hyperlink"/>
            <w:noProof/>
          </w:rPr>
          <w:br/>
        </w:r>
        <w:r w:rsidRPr="00BC6222">
          <w:rPr>
            <w:rStyle w:val="Hyperlink"/>
            <w:noProof/>
          </w:rPr>
          <w:t xml:space="preserve">intervention in this case to represent the interests of residential </w:t>
        </w:r>
        <w:r>
          <w:rPr>
            <w:rStyle w:val="Hyperlink"/>
            <w:noProof/>
          </w:rPr>
          <w:br/>
        </w:r>
        <w:r w:rsidRPr="00BC6222">
          <w:rPr>
            <w:rStyle w:val="Hyperlink"/>
            <w:noProof/>
          </w:rPr>
          <w:t>consumers who could lose their Duke electric utility service.</w:t>
        </w:r>
        <w:r>
          <w:rPr>
            <w:noProof/>
            <w:webHidden/>
          </w:rPr>
          <w:tab/>
        </w:r>
        <w:r>
          <w:rPr>
            <w:noProof/>
            <w:webHidden/>
          </w:rPr>
          <w:fldChar w:fldCharType="begin"/>
        </w:r>
        <w:r>
          <w:rPr>
            <w:noProof/>
            <w:webHidden/>
          </w:rPr>
          <w:instrText xml:space="preserve"> PAGEREF _Toc105078579 \h </w:instrText>
        </w:r>
        <w:r>
          <w:rPr>
            <w:noProof/>
            <w:webHidden/>
          </w:rPr>
          <w:fldChar w:fldCharType="separate"/>
        </w:r>
        <w:r>
          <w:rPr>
            <w:noProof/>
            <w:webHidden/>
          </w:rPr>
          <w:t>4</w:t>
        </w:r>
        <w:r>
          <w:rPr>
            <w:noProof/>
            <w:webHidden/>
          </w:rPr>
          <w:fldChar w:fldCharType="end"/>
        </w:r>
      </w:hyperlink>
    </w:p>
    <w:p w:rsidR="003003F2" w14:paraId="47CB07E2" w14:textId="472DC28E">
      <w:pPr>
        <w:pStyle w:val="TOC2"/>
        <w:tabs>
          <w:tab w:val="left" w:pos="1440"/>
        </w:tabs>
        <w:rPr>
          <w:rFonts w:asciiTheme="minorHAnsi" w:eastAsiaTheme="minorEastAsia" w:hAnsiTheme="minorHAnsi" w:cstheme="minorBidi"/>
          <w:noProof/>
          <w:sz w:val="22"/>
          <w:szCs w:val="22"/>
        </w:rPr>
      </w:pPr>
      <w:hyperlink w:anchor="_Toc105078580" w:history="1">
        <w:r w:rsidRPr="00BC6222">
          <w:rPr>
            <w:rStyle w:val="Hyperlink"/>
            <w:noProof/>
          </w:rPr>
          <w:t>C.</w:t>
        </w:r>
        <w:r>
          <w:rPr>
            <w:rFonts w:asciiTheme="minorHAnsi" w:eastAsiaTheme="minorEastAsia" w:hAnsiTheme="minorHAnsi" w:cstheme="minorBidi"/>
            <w:noProof/>
            <w:sz w:val="22"/>
            <w:szCs w:val="22"/>
          </w:rPr>
          <w:tab/>
        </w:r>
        <w:r w:rsidRPr="00BC6222">
          <w:rPr>
            <w:rStyle w:val="Hyperlink"/>
            <w:noProof/>
          </w:rPr>
          <w:t xml:space="preserve">OCC satisfies the remaining criteria for intervention under Ohio </w:t>
        </w:r>
        <w:r>
          <w:rPr>
            <w:rStyle w:val="Hyperlink"/>
            <w:noProof/>
          </w:rPr>
          <w:br/>
        </w:r>
        <w:r w:rsidRPr="00BC6222">
          <w:rPr>
            <w:rStyle w:val="Hyperlink"/>
            <w:noProof/>
          </w:rPr>
          <w:t xml:space="preserve">law and the PUCO’s rules. The PUCO should grant OCC’s </w:t>
        </w:r>
        <w:r>
          <w:rPr>
            <w:rStyle w:val="Hyperlink"/>
            <w:noProof/>
          </w:rPr>
          <w:br/>
        </w:r>
        <w:r w:rsidRPr="00BC6222">
          <w:rPr>
            <w:rStyle w:val="Hyperlink"/>
            <w:noProof/>
          </w:rPr>
          <w:t>motion to intervene.</w:t>
        </w:r>
        <w:r>
          <w:rPr>
            <w:noProof/>
            <w:webHidden/>
          </w:rPr>
          <w:tab/>
        </w:r>
        <w:r>
          <w:rPr>
            <w:noProof/>
            <w:webHidden/>
          </w:rPr>
          <w:fldChar w:fldCharType="begin"/>
        </w:r>
        <w:r>
          <w:rPr>
            <w:noProof/>
            <w:webHidden/>
          </w:rPr>
          <w:instrText xml:space="preserve"> PAGEREF _Toc105078580 \h </w:instrText>
        </w:r>
        <w:r>
          <w:rPr>
            <w:noProof/>
            <w:webHidden/>
          </w:rPr>
          <w:fldChar w:fldCharType="separate"/>
        </w:r>
        <w:r>
          <w:rPr>
            <w:noProof/>
            <w:webHidden/>
          </w:rPr>
          <w:t>7</w:t>
        </w:r>
        <w:r>
          <w:rPr>
            <w:noProof/>
            <w:webHidden/>
          </w:rPr>
          <w:fldChar w:fldCharType="end"/>
        </w:r>
      </w:hyperlink>
    </w:p>
    <w:p w:rsidR="003003F2" w14:paraId="52FA3CCC" w14:textId="5C6CBC16">
      <w:pPr>
        <w:pStyle w:val="TOC1"/>
        <w:rPr>
          <w:rFonts w:asciiTheme="minorHAnsi" w:eastAsiaTheme="minorEastAsia" w:hAnsiTheme="minorHAnsi" w:cstheme="minorBidi"/>
          <w:noProof/>
          <w:sz w:val="22"/>
          <w:szCs w:val="22"/>
        </w:rPr>
      </w:pPr>
      <w:hyperlink w:anchor="_Toc105078581" w:history="1">
        <w:r w:rsidRPr="00BC6222">
          <w:rPr>
            <w:rStyle w:val="Hyperlink"/>
            <w:noProof/>
          </w:rPr>
          <w:t>III.</w:t>
        </w:r>
        <w:r>
          <w:rPr>
            <w:rFonts w:asciiTheme="minorHAnsi" w:eastAsiaTheme="minorEastAsia" w:hAnsiTheme="minorHAnsi" w:cstheme="minorBidi"/>
            <w:noProof/>
            <w:sz w:val="22"/>
            <w:szCs w:val="22"/>
          </w:rPr>
          <w:tab/>
        </w:r>
        <w:r w:rsidRPr="00BC6222">
          <w:rPr>
            <w:rStyle w:val="Hyperlink"/>
            <w:noProof/>
          </w:rPr>
          <w:t>CONCLUSION</w:t>
        </w:r>
        <w:r>
          <w:rPr>
            <w:noProof/>
            <w:webHidden/>
          </w:rPr>
          <w:tab/>
        </w:r>
        <w:r>
          <w:rPr>
            <w:noProof/>
            <w:webHidden/>
          </w:rPr>
          <w:fldChar w:fldCharType="begin"/>
        </w:r>
        <w:r>
          <w:rPr>
            <w:noProof/>
            <w:webHidden/>
          </w:rPr>
          <w:instrText xml:space="preserve"> PAGEREF _Toc105078581 \h </w:instrText>
        </w:r>
        <w:r>
          <w:rPr>
            <w:noProof/>
            <w:webHidden/>
          </w:rPr>
          <w:fldChar w:fldCharType="separate"/>
        </w:r>
        <w:r>
          <w:rPr>
            <w:noProof/>
            <w:webHidden/>
          </w:rPr>
          <w:t>11</w:t>
        </w:r>
        <w:r>
          <w:rPr>
            <w:noProof/>
            <w:webHidden/>
          </w:rPr>
          <w:fldChar w:fldCharType="end"/>
        </w:r>
      </w:hyperlink>
    </w:p>
    <w:p w:rsidR="000F6887" w:rsidRPr="004B7144" w:rsidP="003153B2" w14:paraId="06EC9246" w14:textId="64FB33D3">
      <w:pPr>
        <w:pStyle w:val="HTMLPreformatted"/>
        <w:jc w:val="center"/>
        <w:rPr>
          <w:rFonts w:ascii="Times New Roman" w:hAnsi="Times New Roman" w:cs="Times New Roman"/>
          <w:b/>
          <w:bCs/>
          <w:sz w:val="24"/>
          <w:szCs w:val="24"/>
        </w:rPr>
        <w:sectPr w:rsidSect="00370EF9">
          <w:footerReference w:type="first" r:id="rId9"/>
          <w:pgSz w:w="12240" w:h="15840"/>
          <w:pgMar w:top="1440" w:right="1800" w:bottom="1440" w:left="1800" w:header="720" w:footer="720" w:gutter="0"/>
          <w:pgNumType w:fmt="lowerRoman" w:start="1"/>
          <w:cols w:space="720"/>
          <w:titlePg/>
          <w:docGrid w:linePitch="65"/>
        </w:sectPr>
      </w:pPr>
      <w:r w:rsidRPr="004B7144">
        <w:rPr>
          <w:rFonts w:ascii="Times New Roman" w:hAnsi="Times New Roman" w:cs="Times New Roman"/>
          <w:sz w:val="24"/>
          <w:szCs w:val="24"/>
        </w:rPr>
        <w:fldChar w:fldCharType="end"/>
      </w:r>
    </w:p>
    <w:p w:rsidR="00A044B5" w:rsidRPr="004B7144" w14:paraId="208D1BA8" w14:textId="623236A6">
      <w:pPr>
        <w:pStyle w:val="HTMLPreformatted"/>
        <w:jc w:val="center"/>
        <w:rPr>
          <w:rFonts w:ascii="Times New Roman" w:hAnsi="Times New Roman" w:cs="Times New Roman"/>
          <w:b/>
          <w:bCs/>
          <w:sz w:val="24"/>
          <w:szCs w:val="24"/>
        </w:rPr>
      </w:pPr>
      <w:r w:rsidRPr="004B7144">
        <w:rPr>
          <w:rFonts w:ascii="Times New Roman" w:hAnsi="Times New Roman" w:cs="Times New Roman"/>
          <w:b/>
          <w:bCs/>
          <w:sz w:val="24"/>
          <w:szCs w:val="24"/>
        </w:rPr>
        <w:t>BEFORE</w:t>
      </w:r>
    </w:p>
    <w:p w:rsidR="00A044B5" w:rsidRPr="004B7144" w14:paraId="606ABA4C" w14:textId="77777777">
      <w:pPr>
        <w:pStyle w:val="HTMLPreformatted"/>
        <w:jc w:val="center"/>
        <w:rPr>
          <w:rFonts w:ascii="Times New Roman" w:hAnsi="Times New Roman" w:cs="Times New Roman"/>
          <w:b/>
          <w:bCs/>
          <w:sz w:val="24"/>
          <w:szCs w:val="24"/>
        </w:rPr>
      </w:pPr>
      <w:r w:rsidRPr="004B7144">
        <w:rPr>
          <w:rFonts w:ascii="Times New Roman" w:hAnsi="Times New Roman" w:cs="Times New Roman"/>
          <w:b/>
          <w:bCs/>
          <w:sz w:val="24"/>
          <w:szCs w:val="24"/>
        </w:rPr>
        <w:t>THE PUBLIC UTILITIES COMMISSION OF OHIO</w:t>
      </w:r>
    </w:p>
    <w:p w:rsidR="001D10F6" w:rsidRPr="004B7144" w14:paraId="7979CD46" w14:textId="77777777">
      <w:pPr>
        <w:pStyle w:val="HTMLPreformatted"/>
        <w:jc w:val="center"/>
        <w:rPr>
          <w:rFonts w:ascii="Times New Roman" w:hAnsi="Times New Roman" w:cs="Times New Roman"/>
          <w:b/>
          <w:bCs/>
          <w:sz w:val="24"/>
          <w:szCs w:val="24"/>
        </w:rPr>
      </w:pPr>
    </w:p>
    <w:p w:rsidR="001D10F6" w:rsidRPr="004B7144" w:rsidP="001D10F6" w14:paraId="50C4E433"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Duke Energy Ohio, Inc.</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2C73566A"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r w:rsidRPr="004B7144">
        <w:rPr>
          <w:rFonts w:ascii="Times New Roman" w:hAnsi="Times New Roman" w:cs="Times New Roman"/>
          <w:sz w:val="24"/>
          <w:szCs w:val="24"/>
        </w:rPr>
        <w:tab/>
        <w:t>Case No. 2</w:t>
      </w:r>
      <w:r w:rsidRPr="004B7144" w:rsidR="004D06F2">
        <w:rPr>
          <w:rFonts w:ascii="Times New Roman" w:hAnsi="Times New Roman" w:cs="Times New Roman"/>
          <w:sz w:val="24"/>
          <w:szCs w:val="24"/>
        </w:rPr>
        <w:t>2</w:t>
      </w:r>
      <w:r w:rsidRPr="004B7144">
        <w:rPr>
          <w:rFonts w:ascii="Times New Roman" w:hAnsi="Times New Roman" w:cs="Times New Roman"/>
          <w:sz w:val="24"/>
          <w:szCs w:val="24"/>
        </w:rPr>
        <w:t>-</w:t>
      </w:r>
      <w:r w:rsidRPr="004B7144" w:rsidR="004D06F2">
        <w:rPr>
          <w:rFonts w:ascii="Times New Roman" w:hAnsi="Times New Roman" w:cs="Times New Roman"/>
          <w:sz w:val="24"/>
          <w:szCs w:val="24"/>
        </w:rPr>
        <w:t>279</w:t>
      </w:r>
      <w:r w:rsidRPr="004B7144">
        <w:rPr>
          <w:rFonts w:ascii="Times New Roman" w:hAnsi="Times New Roman" w:cs="Times New Roman"/>
          <w:sz w:val="24"/>
          <w:szCs w:val="24"/>
        </w:rPr>
        <w:t>-EL-CSS</w:t>
      </w:r>
    </w:p>
    <w:p w:rsidR="001D10F6" w:rsidRPr="004B7144" w:rsidP="001D10F6" w14:paraId="5FC6EAD6"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 xml:space="preserve"> </w:t>
      </w:r>
      <w:r w:rsidRPr="004B7144">
        <w:rPr>
          <w:rFonts w:ascii="Times New Roman" w:hAnsi="Times New Roman" w:cs="Times New Roman"/>
          <w:sz w:val="24"/>
          <w:szCs w:val="24"/>
        </w:rPr>
        <w:tab/>
        <w:t>Complainant,</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6D2BF4C6"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4A5A3263" w14:textId="2F7A3D18">
      <w:pPr>
        <w:pStyle w:val="HTMLPreformatted"/>
        <w:rPr>
          <w:rFonts w:ascii="Times New Roman" w:hAnsi="Times New Roman" w:cs="Times New Roman"/>
          <w:sz w:val="24"/>
          <w:szCs w:val="24"/>
        </w:rPr>
      </w:pPr>
      <w:r w:rsidRPr="004B7144">
        <w:rPr>
          <w:rFonts w:ascii="Times New Roman" w:hAnsi="Times New Roman" w:cs="Times New Roman"/>
          <w:sz w:val="24"/>
          <w:szCs w:val="24"/>
        </w:rPr>
        <w:t xml:space="preserve"> v.</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014BCD85"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54181AB7"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Nationwide Energy Partners, LLC</w:t>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rsidP="001D10F6" w14:paraId="3BC5CF8D"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1D10F6" w:rsidRPr="004B7144" w14:paraId="2EB816D6" w14:textId="77777777">
      <w:pPr>
        <w:pStyle w:val="HTMLPreformatted"/>
        <w:rPr>
          <w:rFonts w:ascii="Times New Roman" w:hAnsi="Times New Roman" w:cs="Times New Roman"/>
          <w:sz w:val="24"/>
          <w:szCs w:val="24"/>
        </w:rPr>
      </w:pPr>
      <w:r w:rsidRPr="004B7144">
        <w:rPr>
          <w:rFonts w:ascii="Times New Roman" w:hAnsi="Times New Roman" w:cs="Times New Roman"/>
          <w:sz w:val="24"/>
          <w:szCs w:val="24"/>
        </w:rPr>
        <w:tab/>
        <w:t>Respondent.</w:t>
      </w:r>
      <w:r w:rsidRPr="004B7144">
        <w:rPr>
          <w:rFonts w:ascii="Times New Roman" w:hAnsi="Times New Roman" w:cs="Times New Roman"/>
          <w:sz w:val="24"/>
          <w:szCs w:val="24"/>
        </w:rPr>
        <w:tab/>
      </w:r>
      <w:r w:rsidRPr="004B7144">
        <w:rPr>
          <w:rFonts w:ascii="Times New Roman" w:hAnsi="Times New Roman" w:cs="Times New Roman"/>
          <w:sz w:val="24"/>
          <w:szCs w:val="24"/>
        </w:rPr>
        <w:tab/>
      </w:r>
      <w:r w:rsidRPr="004B7144">
        <w:rPr>
          <w:rFonts w:ascii="Times New Roman" w:hAnsi="Times New Roman" w:cs="Times New Roman"/>
          <w:sz w:val="24"/>
          <w:szCs w:val="24"/>
        </w:rPr>
        <w:tab/>
        <w:t>)</w:t>
      </w:r>
    </w:p>
    <w:p w:rsidR="00A044B5" w:rsidRPr="004B7144" w14:paraId="6750D593" w14:textId="77777777">
      <w:pPr>
        <w:pStyle w:val="HTMLPreformatted"/>
        <w:rPr>
          <w:rFonts w:ascii="Times New Roman" w:hAnsi="Times New Roman" w:cs="Times New Roman"/>
          <w:sz w:val="24"/>
          <w:szCs w:val="24"/>
        </w:rPr>
      </w:pPr>
    </w:p>
    <w:p w:rsidR="00A044B5" w:rsidRPr="004B7144" w14:paraId="231E4D55" w14:textId="77777777">
      <w:pPr>
        <w:pStyle w:val="HTMLPreformatted"/>
        <w:pBdr>
          <w:top w:val="single" w:sz="12" w:space="1" w:color="auto"/>
        </w:pBdr>
        <w:rPr>
          <w:rFonts w:ascii="Times New Roman" w:hAnsi="Times New Roman" w:cs="Times New Roman"/>
          <w:sz w:val="24"/>
          <w:szCs w:val="24"/>
        </w:rPr>
      </w:pPr>
    </w:p>
    <w:p w:rsidR="00A044B5" w:rsidRPr="004B7144" w:rsidP="000F6887" w14:paraId="22758D60" w14:textId="71D251BD">
      <w:pPr>
        <w:jc w:val="center"/>
        <w:rPr>
          <w:b/>
          <w:bCs/>
          <w:szCs w:val="24"/>
        </w:rPr>
      </w:pPr>
      <w:r w:rsidRPr="004B7144">
        <w:rPr>
          <w:b/>
          <w:bCs/>
          <w:szCs w:val="24"/>
        </w:rPr>
        <w:t xml:space="preserve">REPLY TO </w:t>
      </w:r>
      <w:r w:rsidRPr="004B7144" w:rsidR="006A5ED2">
        <w:rPr>
          <w:b/>
          <w:bCs/>
          <w:szCs w:val="24"/>
        </w:rPr>
        <w:t>NATIONWIDE ENERGY PARTNERS</w:t>
      </w:r>
      <w:r w:rsidRPr="004B7144" w:rsidR="00D31438">
        <w:rPr>
          <w:b/>
          <w:bCs/>
          <w:szCs w:val="24"/>
        </w:rPr>
        <w:t>’</w:t>
      </w:r>
      <w:r w:rsidRPr="004B7144" w:rsidR="006A5ED2">
        <w:rPr>
          <w:b/>
          <w:bCs/>
          <w:szCs w:val="24"/>
        </w:rPr>
        <w:t xml:space="preserve"> MEMORANDUM CONT</w:t>
      </w:r>
      <w:r w:rsidRPr="004B7144" w:rsidR="00F86BD5">
        <w:rPr>
          <w:b/>
          <w:bCs/>
          <w:szCs w:val="24"/>
        </w:rPr>
        <w:t>R</w:t>
      </w:r>
      <w:r w:rsidRPr="004B7144" w:rsidR="006A5ED2">
        <w:rPr>
          <w:b/>
          <w:bCs/>
          <w:szCs w:val="24"/>
        </w:rPr>
        <w:t>A</w:t>
      </w:r>
      <w:r w:rsidR="00806A4D">
        <w:rPr>
          <w:b/>
          <w:bCs/>
          <w:szCs w:val="24"/>
        </w:rPr>
        <w:t xml:space="preserve"> </w:t>
      </w:r>
      <w:r w:rsidRPr="004B7144" w:rsidR="006A5ED2">
        <w:rPr>
          <w:b/>
          <w:bCs/>
          <w:szCs w:val="24"/>
        </w:rPr>
        <w:t xml:space="preserve">OCC’S </w:t>
      </w:r>
      <w:r w:rsidRPr="004B7144">
        <w:rPr>
          <w:b/>
          <w:bCs/>
          <w:szCs w:val="24"/>
        </w:rPr>
        <w:t>MOTION TO INTERVENE</w:t>
      </w:r>
    </w:p>
    <w:p w:rsidR="00A044B5" w:rsidRPr="004B7144" w14:paraId="12BD54D3" w14:textId="77777777">
      <w:pPr>
        <w:jc w:val="center"/>
        <w:rPr>
          <w:b/>
          <w:bCs/>
          <w:szCs w:val="24"/>
        </w:rPr>
      </w:pPr>
      <w:r w:rsidRPr="004B7144">
        <w:rPr>
          <w:b/>
          <w:bCs/>
          <w:szCs w:val="24"/>
        </w:rPr>
        <w:t>BY</w:t>
      </w:r>
    </w:p>
    <w:p w:rsidR="00A044B5" w:rsidRPr="004B7144" w14:paraId="046BD7EE" w14:textId="77777777">
      <w:pPr>
        <w:jc w:val="center"/>
        <w:rPr>
          <w:b/>
          <w:bCs/>
          <w:szCs w:val="24"/>
        </w:rPr>
      </w:pPr>
      <w:r w:rsidRPr="004B7144">
        <w:rPr>
          <w:b/>
          <w:bCs/>
          <w:szCs w:val="24"/>
        </w:rPr>
        <w:t>OFFICE OF THE OHIO CONSUMERS’ COUNSEL</w:t>
      </w:r>
    </w:p>
    <w:p w:rsidR="00A044B5" w:rsidRPr="004B7144" w:rsidP="00575A4D" w14:paraId="38477E8F" w14:textId="77777777">
      <w:pPr>
        <w:pBdr>
          <w:bottom w:val="single" w:sz="12" w:space="1" w:color="auto"/>
        </w:pBdr>
        <w:tabs>
          <w:tab w:val="left" w:pos="4320"/>
        </w:tabs>
        <w:spacing w:after="240"/>
        <w:rPr>
          <w:szCs w:val="24"/>
        </w:rPr>
      </w:pPr>
    </w:p>
    <w:p w:rsidR="00197B51" w:rsidRPr="004B7144" w:rsidP="00575A4D" w14:paraId="03ECB71D" w14:textId="3288475F">
      <w:pPr>
        <w:pStyle w:val="Heading1"/>
        <w:rPr>
          <w:bCs/>
        </w:rPr>
      </w:pPr>
      <w:bookmarkStart w:id="1" w:name="_Toc104989115"/>
      <w:bookmarkStart w:id="2" w:name="_Toc105078576"/>
      <w:r w:rsidRPr="004B7144">
        <w:rPr>
          <w:bCs/>
        </w:rPr>
        <w:t>I.</w:t>
      </w:r>
      <w:r w:rsidRPr="004B7144">
        <w:rPr>
          <w:bCs/>
        </w:rPr>
        <w:tab/>
        <w:t>INTRODUCTION</w:t>
      </w:r>
      <w:bookmarkEnd w:id="1"/>
      <w:bookmarkEnd w:id="2"/>
      <w:r w:rsidRPr="004B7144" w:rsidR="004F59C9">
        <w:rPr>
          <w:bCs/>
        </w:rPr>
        <w:tab/>
      </w:r>
    </w:p>
    <w:p w:rsidR="00644899" w:rsidRPr="004B7144" w:rsidP="004A68EF" w14:paraId="2B39977F" w14:textId="0FB35ED1">
      <w:pPr>
        <w:pStyle w:val="BodyTextIndent3"/>
        <w:widowControl w:val="0"/>
        <w:spacing w:line="480" w:lineRule="auto"/>
        <w:ind w:right="-312"/>
        <w:rPr>
          <w:szCs w:val="24"/>
        </w:rPr>
      </w:pPr>
      <w:r w:rsidRPr="004B7144">
        <w:rPr>
          <w:szCs w:val="24"/>
        </w:rPr>
        <w:t>NEP</w:t>
      </w:r>
      <w:r w:rsidRPr="004B7144" w:rsidR="00280ED4">
        <w:rPr>
          <w:szCs w:val="24"/>
        </w:rPr>
        <w:t xml:space="preserve"> – </w:t>
      </w:r>
      <w:r w:rsidRPr="004B7144" w:rsidR="00D07BE5">
        <w:rPr>
          <w:szCs w:val="24"/>
        </w:rPr>
        <w:t>a company which Duke rightly asserts is operating as a public utility without authorization</w:t>
      </w:r>
      <w:r>
        <w:rPr>
          <w:rStyle w:val="FootnoteReference"/>
          <w:szCs w:val="24"/>
        </w:rPr>
        <w:footnoteReference w:id="2"/>
      </w:r>
      <w:r w:rsidRPr="004B7144" w:rsidR="00280ED4">
        <w:rPr>
          <w:szCs w:val="24"/>
        </w:rPr>
        <w:t xml:space="preserve"> –</w:t>
      </w:r>
      <w:r w:rsidRPr="004B7144">
        <w:rPr>
          <w:szCs w:val="24"/>
        </w:rPr>
        <w:t xml:space="preserve"> wants to deny consumers the voice of their state advocate</w:t>
      </w:r>
      <w:r w:rsidRPr="004B7144" w:rsidR="00280ED4">
        <w:rPr>
          <w:szCs w:val="24"/>
        </w:rPr>
        <w:t xml:space="preserve"> (</w:t>
      </w:r>
      <w:r w:rsidRPr="004B7144" w:rsidR="007E6078">
        <w:rPr>
          <w:szCs w:val="24"/>
        </w:rPr>
        <w:t>the Ohio Consumers’ Counsel</w:t>
      </w:r>
      <w:r w:rsidRPr="004B7144" w:rsidR="00280ED4">
        <w:rPr>
          <w:szCs w:val="24"/>
        </w:rPr>
        <w:t>)</w:t>
      </w:r>
      <w:r w:rsidRPr="004B7144">
        <w:rPr>
          <w:szCs w:val="24"/>
        </w:rPr>
        <w:t xml:space="preserve"> on issues affecting their essential electricity service. </w:t>
      </w:r>
      <w:r w:rsidRPr="004B7144" w:rsidR="006B6A97">
        <w:rPr>
          <w:szCs w:val="24"/>
        </w:rPr>
        <w:t>The</w:t>
      </w:r>
      <w:r w:rsidRPr="004B7144">
        <w:rPr>
          <w:szCs w:val="24"/>
        </w:rPr>
        <w:t xml:space="preserve"> PUCO</w:t>
      </w:r>
      <w:r w:rsidRPr="004B7144" w:rsidR="006B6A97">
        <w:rPr>
          <w:szCs w:val="24"/>
        </w:rPr>
        <w:t xml:space="preserve"> </w:t>
      </w:r>
      <w:r w:rsidRPr="004B7144">
        <w:rPr>
          <w:szCs w:val="24"/>
        </w:rPr>
        <w:t>should</w:t>
      </w:r>
      <w:r w:rsidRPr="004B7144" w:rsidR="00E53C68">
        <w:rPr>
          <w:szCs w:val="24"/>
        </w:rPr>
        <w:t xml:space="preserve"> instead</w:t>
      </w:r>
      <w:r w:rsidRPr="004B7144">
        <w:rPr>
          <w:szCs w:val="24"/>
        </w:rPr>
        <w:t xml:space="preserve"> </w:t>
      </w:r>
      <w:r w:rsidRPr="004B7144" w:rsidR="00BA25AE">
        <w:rPr>
          <w:i/>
          <w:iCs/>
          <w:szCs w:val="24"/>
        </w:rPr>
        <w:t>welcome</w:t>
      </w:r>
      <w:r w:rsidRPr="004B7144">
        <w:rPr>
          <w:szCs w:val="24"/>
        </w:rPr>
        <w:t xml:space="preserve"> consumer advocacy </w:t>
      </w:r>
      <w:r w:rsidRPr="004B7144" w:rsidR="00BA25AE">
        <w:rPr>
          <w:szCs w:val="24"/>
        </w:rPr>
        <w:t xml:space="preserve">on </w:t>
      </w:r>
      <w:r w:rsidRPr="004B7144">
        <w:rPr>
          <w:szCs w:val="24"/>
        </w:rPr>
        <w:t xml:space="preserve">submeterer/reseller issues. </w:t>
      </w:r>
      <w:r w:rsidRPr="004B7144" w:rsidR="009878D9">
        <w:rPr>
          <w:color w:val="000000"/>
          <w:szCs w:val="24"/>
        </w:rPr>
        <w:t>The</w:t>
      </w:r>
      <w:r w:rsidRPr="004B7144" w:rsidR="00B2492F">
        <w:rPr>
          <w:color w:val="FF0000"/>
          <w:szCs w:val="24"/>
        </w:rPr>
        <w:t xml:space="preserve"> </w:t>
      </w:r>
      <w:r w:rsidRPr="004B7144" w:rsidR="00B2492F">
        <w:rPr>
          <w:color w:val="000000"/>
          <w:szCs w:val="24"/>
        </w:rPr>
        <w:t>residential consumers</w:t>
      </w:r>
      <w:r w:rsidRPr="004B7144" w:rsidR="00651F16">
        <w:rPr>
          <w:color w:val="000000"/>
          <w:szCs w:val="24"/>
        </w:rPr>
        <w:t xml:space="preserve"> of </w:t>
      </w:r>
      <w:r w:rsidRPr="004B7144" w:rsidR="00597884">
        <w:rPr>
          <w:color w:val="000000"/>
          <w:szCs w:val="24"/>
        </w:rPr>
        <w:t>Duke</w:t>
      </w:r>
      <w:r>
        <w:rPr>
          <w:rStyle w:val="FootnoteReference"/>
          <w:color w:val="000000"/>
          <w:szCs w:val="24"/>
        </w:rPr>
        <w:footnoteReference w:id="3"/>
      </w:r>
      <w:r w:rsidRPr="004B7144" w:rsidR="00597884">
        <w:rPr>
          <w:color w:val="000000"/>
          <w:szCs w:val="24"/>
        </w:rPr>
        <w:t xml:space="preserve"> </w:t>
      </w:r>
      <w:r w:rsidRPr="004B7144" w:rsidR="009878D9">
        <w:rPr>
          <w:color w:val="000000"/>
          <w:szCs w:val="24"/>
        </w:rPr>
        <w:t xml:space="preserve">who are served by NEP </w:t>
      </w:r>
      <w:r w:rsidRPr="004B7144" w:rsidR="00B2492F">
        <w:rPr>
          <w:szCs w:val="24"/>
        </w:rPr>
        <w:t>may be “adversely affected”</w:t>
      </w:r>
      <w:r>
        <w:rPr>
          <w:rStyle w:val="FootnoteReference"/>
          <w:szCs w:val="24"/>
        </w:rPr>
        <w:footnoteReference w:id="4"/>
      </w:r>
      <w:r w:rsidRPr="004B7144" w:rsidR="00B2492F">
        <w:rPr>
          <w:szCs w:val="24"/>
        </w:rPr>
        <w:t xml:space="preserve"> by </w:t>
      </w:r>
      <w:r w:rsidRPr="004B7144" w:rsidR="004F0F2F">
        <w:rPr>
          <w:szCs w:val="24"/>
        </w:rPr>
        <w:t>NEP’s</w:t>
      </w:r>
      <w:r>
        <w:rPr>
          <w:rStyle w:val="FootnoteReference"/>
          <w:szCs w:val="24"/>
        </w:rPr>
        <w:footnoteReference w:id="5"/>
      </w:r>
      <w:r w:rsidRPr="004B7144" w:rsidR="004A6C68">
        <w:rPr>
          <w:szCs w:val="24"/>
        </w:rPr>
        <w:t xml:space="preserve"> demands to resell (submeter) </w:t>
      </w:r>
      <w:r w:rsidRPr="004B7144" w:rsidR="00651F16">
        <w:rPr>
          <w:szCs w:val="24"/>
        </w:rPr>
        <w:t>electric utility</w:t>
      </w:r>
      <w:r w:rsidRPr="004B7144" w:rsidR="00552FA4">
        <w:rPr>
          <w:szCs w:val="24"/>
        </w:rPr>
        <w:t xml:space="preserve"> service</w:t>
      </w:r>
      <w:r w:rsidRPr="004B7144" w:rsidR="00CA6AB8">
        <w:rPr>
          <w:szCs w:val="24"/>
        </w:rPr>
        <w:t xml:space="preserve"> </w:t>
      </w:r>
      <w:r w:rsidRPr="004B7144" w:rsidR="00203728">
        <w:rPr>
          <w:szCs w:val="24"/>
        </w:rPr>
        <w:t>at</w:t>
      </w:r>
      <w:r w:rsidRPr="004B7144" w:rsidR="004A68EF">
        <w:rPr>
          <w:szCs w:val="24"/>
        </w:rPr>
        <w:t xml:space="preserve"> </w:t>
      </w:r>
      <w:r w:rsidRPr="004B7144" w:rsidR="00203728">
        <w:rPr>
          <w:szCs w:val="24"/>
        </w:rPr>
        <w:t>Somerset apartment complex</w:t>
      </w:r>
      <w:r w:rsidRPr="004B7144" w:rsidR="004F0F2F">
        <w:rPr>
          <w:szCs w:val="24"/>
        </w:rPr>
        <w:t>.</w:t>
      </w:r>
      <w:r w:rsidRPr="004B7144" w:rsidR="000C730F">
        <w:rPr>
          <w:szCs w:val="24"/>
        </w:rPr>
        <w:t xml:space="preserve"> </w:t>
      </w:r>
      <w:r w:rsidRPr="004B7144" w:rsidR="004A6C68">
        <w:rPr>
          <w:szCs w:val="24"/>
        </w:rPr>
        <w:t>If NEP</w:t>
      </w:r>
      <w:r w:rsidRPr="004B7144" w:rsidR="005243EA">
        <w:rPr>
          <w:szCs w:val="24"/>
        </w:rPr>
        <w:t xml:space="preserve"> </w:t>
      </w:r>
      <w:r w:rsidRPr="004B7144" w:rsidR="00E737FD">
        <w:rPr>
          <w:szCs w:val="24"/>
        </w:rPr>
        <w:t>prevails</w:t>
      </w:r>
      <w:r w:rsidRPr="004B7144" w:rsidR="004A6C68">
        <w:rPr>
          <w:szCs w:val="24"/>
        </w:rPr>
        <w:t xml:space="preserve">, </w:t>
      </w:r>
      <w:r w:rsidRPr="004B7144" w:rsidR="00ED0CFA">
        <w:rPr>
          <w:szCs w:val="24"/>
        </w:rPr>
        <w:t>apartment complex residents</w:t>
      </w:r>
      <w:r w:rsidRPr="004B7144" w:rsidR="00B42854">
        <w:rPr>
          <w:szCs w:val="24"/>
        </w:rPr>
        <w:t xml:space="preserve"> </w:t>
      </w:r>
      <w:r w:rsidRPr="004B7144" w:rsidR="009878D9">
        <w:rPr>
          <w:szCs w:val="24"/>
        </w:rPr>
        <w:t>could</w:t>
      </w:r>
      <w:r w:rsidRPr="004B7144" w:rsidR="00DB5372">
        <w:rPr>
          <w:szCs w:val="24"/>
        </w:rPr>
        <w:t xml:space="preserve"> pay higher rates and los</w:t>
      </w:r>
      <w:r w:rsidRPr="004B7144" w:rsidR="00ED0CFA">
        <w:rPr>
          <w:szCs w:val="24"/>
        </w:rPr>
        <w:t>e</w:t>
      </w:r>
      <w:r w:rsidRPr="004B7144" w:rsidR="00DB5372">
        <w:rPr>
          <w:szCs w:val="24"/>
        </w:rPr>
        <w:t xml:space="preserve"> </w:t>
      </w:r>
      <w:r w:rsidRPr="004B7144" w:rsidR="00D30688">
        <w:rPr>
          <w:szCs w:val="24"/>
        </w:rPr>
        <w:t>many of</w:t>
      </w:r>
      <w:r w:rsidRPr="004B7144" w:rsidR="00E737FD">
        <w:rPr>
          <w:szCs w:val="24"/>
        </w:rPr>
        <w:t xml:space="preserve"> the</w:t>
      </w:r>
      <w:r w:rsidRPr="004B7144" w:rsidR="00DB5372">
        <w:rPr>
          <w:szCs w:val="24"/>
        </w:rPr>
        <w:t xml:space="preserve"> consumer protections they receive when </w:t>
      </w:r>
      <w:r w:rsidRPr="004B7144" w:rsidR="00E53C68">
        <w:rPr>
          <w:szCs w:val="24"/>
        </w:rPr>
        <w:t>Duke</w:t>
      </w:r>
      <w:r w:rsidRPr="004B7144" w:rsidR="00E737FD">
        <w:rPr>
          <w:szCs w:val="24"/>
        </w:rPr>
        <w:t xml:space="preserve"> </w:t>
      </w:r>
      <w:r w:rsidRPr="004B7144" w:rsidR="00DB5372">
        <w:rPr>
          <w:szCs w:val="24"/>
        </w:rPr>
        <w:t>provide</w:t>
      </w:r>
      <w:r w:rsidRPr="004B7144" w:rsidR="00E737FD">
        <w:rPr>
          <w:szCs w:val="24"/>
        </w:rPr>
        <w:t>s</w:t>
      </w:r>
      <w:r w:rsidRPr="004B7144" w:rsidR="00DB5372">
        <w:rPr>
          <w:szCs w:val="24"/>
        </w:rPr>
        <w:t xml:space="preserve"> service</w:t>
      </w:r>
      <w:r w:rsidRPr="004B7144" w:rsidR="00B42854">
        <w:rPr>
          <w:szCs w:val="24"/>
        </w:rPr>
        <w:t xml:space="preserve"> under PUCO regulation</w:t>
      </w:r>
      <w:r w:rsidRPr="004B7144" w:rsidR="00DB5372">
        <w:rPr>
          <w:szCs w:val="24"/>
        </w:rPr>
        <w:t>.</w:t>
      </w:r>
    </w:p>
    <w:p w:rsidR="00806A4D" w14:paraId="18D65634" w14:textId="77777777">
      <w:pPr>
        <w:rPr>
          <w:szCs w:val="24"/>
        </w:rPr>
      </w:pPr>
      <w:r>
        <w:rPr>
          <w:szCs w:val="24"/>
        </w:rPr>
        <w:br w:type="page"/>
      </w:r>
    </w:p>
    <w:p w:rsidR="00305904" w:rsidRPr="004B7144" w:rsidP="00370EF9" w14:paraId="773642B9" w14:textId="2DE3D7B0">
      <w:pPr>
        <w:pStyle w:val="BodyTextIndent3"/>
        <w:widowControl w:val="0"/>
        <w:spacing w:line="480" w:lineRule="auto"/>
        <w:ind w:right="-312"/>
        <w:rPr>
          <w:szCs w:val="24"/>
        </w:rPr>
      </w:pPr>
      <w:r w:rsidRPr="004B7144">
        <w:rPr>
          <w:szCs w:val="24"/>
        </w:rPr>
        <w:t xml:space="preserve">According to NEP, </w:t>
      </w:r>
      <w:r w:rsidRPr="004B7144" w:rsidR="00B42854">
        <w:rPr>
          <w:szCs w:val="24"/>
        </w:rPr>
        <w:t xml:space="preserve">OCC’s intervention should be denied because </w:t>
      </w:r>
      <w:r w:rsidRPr="004B7144" w:rsidR="00E06BD7">
        <w:rPr>
          <w:szCs w:val="24"/>
        </w:rPr>
        <w:t>residential consumers</w:t>
      </w:r>
      <w:r w:rsidRPr="004B7144">
        <w:rPr>
          <w:szCs w:val="24"/>
        </w:rPr>
        <w:t xml:space="preserve"> </w:t>
      </w:r>
      <w:r w:rsidRPr="004B7144" w:rsidR="00B94D36">
        <w:rPr>
          <w:szCs w:val="24"/>
        </w:rPr>
        <w:t>have no interest in the outcome of this case</w:t>
      </w:r>
      <w:r w:rsidRPr="004B7144" w:rsidR="001F3B0E">
        <w:rPr>
          <w:szCs w:val="24"/>
        </w:rPr>
        <w:t>.</w:t>
      </w:r>
      <w:r>
        <w:rPr>
          <w:rStyle w:val="FootnoteReference"/>
          <w:szCs w:val="24"/>
        </w:rPr>
        <w:footnoteReference w:id="6"/>
      </w:r>
      <w:r w:rsidRPr="004B7144" w:rsidR="00E06BD7">
        <w:rPr>
          <w:szCs w:val="24"/>
        </w:rPr>
        <w:t xml:space="preserve"> </w:t>
      </w:r>
      <w:r w:rsidRPr="004B7144" w:rsidR="00DB5372">
        <w:rPr>
          <w:szCs w:val="24"/>
        </w:rPr>
        <w:t>That i</w:t>
      </w:r>
      <w:r w:rsidRPr="004B7144" w:rsidR="00ED0CFA">
        <w:rPr>
          <w:szCs w:val="24"/>
        </w:rPr>
        <w:t>s</w:t>
      </w:r>
      <w:r w:rsidRPr="004B7144" w:rsidR="00B42854">
        <w:rPr>
          <w:szCs w:val="24"/>
        </w:rPr>
        <w:t xml:space="preserve"> patently</w:t>
      </w:r>
      <w:r w:rsidRPr="004B7144" w:rsidR="00ED0CFA">
        <w:rPr>
          <w:szCs w:val="24"/>
        </w:rPr>
        <w:t xml:space="preserve"> false</w:t>
      </w:r>
      <w:r w:rsidRPr="004B7144" w:rsidR="00DB5372">
        <w:rPr>
          <w:szCs w:val="24"/>
        </w:rPr>
        <w:t>.</w:t>
      </w:r>
      <w:r w:rsidRPr="004B7144" w:rsidR="000F6887">
        <w:rPr>
          <w:szCs w:val="24"/>
        </w:rPr>
        <w:t xml:space="preserve"> </w:t>
      </w:r>
      <w:r w:rsidRPr="004B7144" w:rsidR="00597884">
        <w:rPr>
          <w:szCs w:val="24"/>
        </w:rPr>
        <w:t>The apartment complex residents will be forced to take – and pay for – NEP’s sub</w:t>
      </w:r>
      <w:r w:rsidRPr="004B7144" w:rsidR="00C15096">
        <w:rPr>
          <w:szCs w:val="24"/>
        </w:rPr>
        <w:t>-</w:t>
      </w:r>
      <w:r w:rsidRPr="004B7144" w:rsidR="00597884">
        <w:rPr>
          <w:szCs w:val="24"/>
        </w:rPr>
        <w:t xml:space="preserve">metered electric </w:t>
      </w:r>
      <w:r w:rsidRPr="004B7144" w:rsidR="00E03BEA">
        <w:rPr>
          <w:szCs w:val="24"/>
        </w:rPr>
        <w:t>utility service</w:t>
      </w:r>
      <w:r w:rsidRPr="004B7144" w:rsidR="009C7DF3">
        <w:rPr>
          <w:szCs w:val="24"/>
        </w:rPr>
        <w:t xml:space="preserve">. </w:t>
      </w:r>
      <w:r w:rsidRPr="004B7144" w:rsidR="00C01A9C">
        <w:rPr>
          <w:szCs w:val="24"/>
        </w:rPr>
        <w:t>These c</w:t>
      </w:r>
      <w:r w:rsidRPr="004B7144" w:rsidR="009C7DF3">
        <w:rPr>
          <w:szCs w:val="24"/>
        </w:rPr>
        <w:t>onsumers</w:t>
      </w:r>
      <w:r w:rsidRPr="004B7144" w:rsidR="00ED0CFA">
        <w:rPr>
          <w:szCs w:val="24"/>
        </w:rPr>
        <w:t xml:space="preserve"> </w:t>
      </w:r>
      <w:r w:rsidRPr="004B7144" w:rsidR="004A0113">
        <w:rPr>
          <w:szCs w:val="24"/>
        </w:rPr>
        <w:t xml:space="preserve">have a right </w:t>
      </w:r>
      <w:r w:rsidRPr="004B7144" w:rsidR="00ED0CFA">
        <w:rPr>
          <w:szCs w:val="24"/>
        </w:rPr>
        <w:t>to be heard</w:t>
      </w:r>
      <w:r w:rsidRPr="004B7144" w:rsidR="004A0113">
        <w:rPr>
          <w:szCs w:val="24"/>
        </w:rPr>
        <w:t xml:space="preserve"> under Ohio law, including R.C.</w:t>
      </w:r>
      <w:r w:rsidRPr="004B7144" w:rsidR="00597884">
        <w:rPr>
          <w:szCs w:val="24"/>
        </w:rPr>
        <w:t xml:space="preserve"> </w:t>
      </w:r>
      <w:r w:rsidRPr="004B7144" w:rsidR="004A0113">
        <w:rPr>
          <w:szCs w:val="24"/>
        </w:rPr>
        <w:t>4903.221</w:t>
      </w:r>
      <w:r w:rsidRPr="004B7144" w:rsidR="00E03BEA">
        <w:rPr>
          <w:szCs w:val="24"/>
        </w:rPr>
        <w:t>.</w:t>
      </w:r>
      <w:r w:rsidRPr="004B7144" w:rsidR="00DB5372">
        <w:rPr>
          <w:szCs w:val="24"/>
        </w:rPr>
        <w:t xml:space="preserve"> </w:t>
      </w:r>
      <w:r w:rsidRPr="004B7144" w:rsidR="009C7DF3">
        <w:rPr>
          <w:szCs w:val="24"/>
        </w:rPr>
        <w:t>OCC satisfies the criteria for intervention in this case,</w:t>
      </w:r>
      <w:r>
        <w:rPr>
          <w:rStyle w:val="FootnoteReference"/>
          <w:szCs w:val="24"/>
        </w:rPr>
        <w:footnoteReference w:id="7"/>
      </w:r>
      <w:r w:rsidRPr="004B7144" w:rsidR="009C7DF3">
        <w:rPr>
          <w:szCs w:val="24"/>
        </w:rPr>
        <w:t xml:space="preserve"> and t</w:t>
      </w:r>
      <w:r w:rsidRPr="004B7144" w:rsidR="00DD57F2">
        <w:rPr>
          <w:szCs w:val="24"/>
        </w:rPr>
        <w:t>he</w:t>
      </w:r>
      <w:r w:rsidRPr="004B7144" w:rsidR="001B13CC">
        <w:rPr>
          <w:szCs w:val="24"/>
        </w:rPr>
        <w:t xml:space="preserve"> PUCO should</w:t>
      </w:r>
      <w:r w:rsidRPr="004B7144" w:rsidR="00DD57F2">
        <w:rPr>
          <w:szCs w:val="24"/>
        </w:rPr>
        <w:t xml:space="preserve"> grant OCC’s motion to intervene.</w:t>
      </w:r>
    </w:p>
    <w:p w:rsidR="00150BE2" w:rsidRPr="004B7144" w:rsidP="00150BE2" w14:paraId="60D52344" w14:textId="77777777">
      <w:pPr>
        <w:pStyle w:val="BodyTextIndent3"/>
        <w:widowControl w:val="0"/>
        <w:spacing w:line="240" w:lineRule="auto"/>
        <w:ind w:right="-312"/>
        <w:rPr>
          <w:szCs w:val="24"/>
        </w:rPr>
      </w:pPr>
    </w:p>
    <w:p w:rsidR="006E384A" w:rsidRPr="004B7144" w:rsidP="00B3719F" w14:paraId="6BB6D253" w14:textId="5E264A08">
      <w:pPr>
        <w:pStyle w:val="Heading1"/>
      </w:pPr>
      <w:bookmarkStart w:id="3" w:name="_Toc104989116"/>
      <w:bookmarkStart w:id="4" w:name="_Toc105078577"/>
      <w:r w:rsidRPr="004B7144">
        <w:t>II.</w:t>
      </w:r>
      <w:r w:rsidRPr="004B7144">
        <w:tab/>
        <w:t>ARGUMENT</w:t>
      </w:r>
      <w:bookmarkEnd w:id="3"/>
      <w:bookmarkEnd w:id="4"/>
    </w:p>
    <w:p w:rsidR="00220E1F" w:rsidRPr="004B7144" w:rsidP="00B3719F" w14:paraId="7087C9AB" w14:textId="72ED5102">
      <w:pPr>
        <w:pStyle w:val="Heading2"/>
        <w:rPr>
          <w:szCs w:val="24"/>
        </w:rPr>
      </w:pPr>
      <w:bookmarkStart w:id="5" w:name="_Toc104989117"/>
      <w:bookmarkStart w:id="6" w:name="_Toc105078578"/>
      <w:r w:rsidRPr="004B7144">
        <w:rPr>
          <w:szCs w:val="24"/>
        </w:rPr>
        <w:t>A.</w:t>
      </w:r>
      <w:r w:rsidRPr="004B7144">
        <w:rPr>
          <w:szCs w:val="24"/>
        </w:rPr>
        <w:tab/>
      </w:r>
      <w:r w:rsidRPr="004B7144" w:rsidR="009712EF">
        <w:rPr>
          <w:szCs w:val="24"/>
        </w:rPr>
        <w:t>The</w:t>
      </w:r>
      <w:r w:rsidRPr="004B7144">
        <w:rPr>
          <w:szCs w:val="24"/>
        </w:rPr>
        <w:t xml:space="preserve"> </w:t>
      </w:r>
      <w:r w:rsidRPr="004B7144" w:rsidR="009712EF">
        <w:rPr>
          <w:color w:val="000000"/>
          <w:szCs w:val="24"/>
        </w:rPr>
        <w:t>residential consumers</w:t>
      </w:r>
      <w:r w:rsidRPr="004B7144">
        <w:rPr>
          <w:szCs w:val="24"/>
        </w:rPr>
        <w:t xml:space="preserve"> NEP wants to submeter electric utility service </w:t>
      </w:r>
      <w:r w:rsidR="007670B6">
        <w:rPr>
          <w:szCs w:val="24"/>
        </w:rPr>
        <w:t xml:space="preserve">to </w:t>
      </w:r>
      <w:r w:rsidRPr="004B7144" w:rsidR="009712EF">
        <w:rPr>
          <w:szCs w:val="24"/>
        </w:rPr>
        <w:t xml:space="preserve">have real and </w:t>
      </w:r>
      <w:r w:rsidRPr="004B7144" w:rsidR="00EB1ACD">
        <w:rPr>
          <w:szCs w:val="24"/>
        </w:rPr>
        <w:t>substantial</w:t>
      </w:r>
      <w:r w:rsidRPr="004B7144" w:rsidR="009712EF">
        <w:rPr>
          <w:szCs w:val="24"/>
        </w:rPr>
        <w:t xml:space="preserve"> interest</w:t>
      </w:r>
      <w:r w:rsidRPr="004B7144" w:rsidR="00D13E1B">
        <w:rPr>
          <w:szCs w:val="24"/>
        </w:rPr>
        <w:t>s</w:t>
      </w:r>
      <w:r w:rsidRPr="004B7144" w:rsidR="009712EF">
        <w:rPr>
          <w:szCs w:val="24"/>
        </w:rPr>
        <w:t xml:space="preserve"> in this complaint</w:t>
      </w:r>
      <w:r w:rsidRPr="004B7144">
        <w:rPr>
          <w:szCs w:val="24"/>
        </w:rPr>
        <w:t>, and th</w:t>
      </w:r>
      <w:r w:rsidRPr="004B7144" w:rsidR="00CB6155">
        <w:rPr>
          <w:szCs w:val="24"/>
        </w:rPr>
        <w:t>ose</w:t>
      </w:r>
      <w:r w:rsidRPr="004B7144" w:rsidR="009712EF">
        <w:rPr>
          <w:szCs w:val="24"/>
        </w:rPr>
        <w:t xml:space="preserve"> interest</w:t>
      </w:r>
      <w:r w:rsidRPr="004B7144" w:rsidR="00CB6155">
        <w:rPr>
          <w:szCs w:val="24"/>
        </w:rPr>
        <w:t>s</w:t>
      </w:r>
      <w:r w:rsidRPr="004B7144" w:rsidR="009712EF">
        <w:rPr>
          <w:szCs w:val="24"/>
        </w:rPr>
        <w:t xml:space="preserve"> </w:t>
      </w:r>
      <w:r w:rsidRPr="004B7144">
        <w:rPr>
          <w:szCs w:val="24"/>
        </w:rPr>
        <w:t>should be represented by OCC.</w:t>
      </w:r>
      <w:bookmarkEnd w:id="5"/>
      <w:bookmarkEnd w:id="6"/>
    </w:p>
    <w:p w:rsidR="00EB1ACD" w:rsidRPr="004B7144" w:rsidP="00A55D04" w14:paraId="2450887A" w14:textId="77D725DE">
      <w:pPr>
        <w:pStyle w:val="BodyTextIndent3"/>
        <w:widowControl w:val="0"/>
        <w:spacing w:line="480" w:lineRule="auto"/>
        <w:ind w:right="-312"/>
        <w:rPr>
          <w:szCs w:val="24"/>
        </w:rPr>
      </w:pPr>
      <w:r w:rsidRPr="004B7144">
        <w:rPr>
          <w:szCs w:val="24"/>
        </w:rPr>
        <w:t xml:space="preserve">NEP claims </w:t>
      </w:r>
      <w:r w:rsidRPr="004B7144" w:rsidR="002A776E">
        <w:rPr>
          <w:szCs w:val="24"/>
        </w:rPr>
        <w:t>that OCC cannot demonstrate an interest to justify intervention</w:t>
      </w:r>
      <w:r w:rsidRPr="004B7144" w:rsidR="009712EF">
        <w:rPr>
          <w:b/>
          <w:bCs/>
          <w:szCs w:val="24"/>
        </w:rPr>
        <w:t xml:space="preserve"> </w:t>
      </w:r>
      <w:r w:rsidRPr="004B7144" w:rsidR="002A776E">
        <w:rPr>
          <w:szCs w:val="24"/>
        </w:rPr>
        <w:t xml:space="preserve">because </w:t>
      </w:r>
      <w:r w:rsidRPr="004B7144" w:rsidR="00A20026">
        <w:rPr>
          <w:szCs w:val="24"/>
        </w:rPr>
        <w:t xml:space="preserve">this is a </w:t>
      </w:r>
      <w:r w:rsidRPr="004B7144" w:rsidR="00A20026">
        <w:rPr>
          <w:color w:val="000000"/>
          <w:szCs w:val="24"/>
        </w:rPr>
        <w:t xml:space="preserve">“complaint proceeding </w:t>
      </w:r>
      <w:r w:rsidRPr="004B7144" w:rsidR="00EC6A92">
        <w:rPr>
          <w:color w:val="000000"/>
          <w:szCs w:val="24"/>
        </w:rPr>
        <w:t>over construction requests at a commercial property</w:t>
      </w:r>
      <w:r w:rsidRPr="004B7144" w:rsidR="00A20026">
        <w:rPr>
          <w:color w:val="000000"/>
          <w:szCs w:val="24"/>
        </w:rPr>
        <w:t>.”</w:t>
      </w:r>
      <w:r>
        <w:rPr>
          <w:rStyle w:val="FootnoteReference"/>
          <w:color w:val="000000"/>
          <w:szCs w:val="24"/>
        </w:rPr>
        <w:footnoteReference w:id="8"/>
      </w:r>
      <w:r w:rsidRPr="004B7144" w:rsidR="003F219D">
        <w:rPr>
          <w:color w:val="000000"/>
          <w:szCs w:val="24"/>
        </w:rPr>
        <w:t xml:space="preserve"> </w:t>
      </w:r>
      <w:r w:rsidRPr="004B7144" w:rsidR="00752F63">
        <w:rPr>
          <w:color w:val="000000"/>
          <w:szCs w:val="24"/>
        </w:rPr>
        <w:t xml:space="preserve">According to NEP, residential consumers </w:t>
      </w:r>
      <w:r w:rsidRPr="004B7144" w:rsidR="002A39D5">
        <w:rPr>
          <w:color w:val="000000"/>
          <w:szCs w:val="24"/>
        </w:rPr>
        <w:t>living in the</w:t>
      </w:r>
      <w:r w:rsidRPr="004B7144" w:rsidR="00752F63">
        <w:rPr>
          <w:color w:val="000000"/>
          <w:szCs w:val="24"/>
        </w:rPr>
        <w:t xml:space="preserve"> apartment complexes have no </w:t>
      </w:r>
      <w:r w:rsidRPr="004B7144" w:rsidR="00D561F6">
        <w:rPr>
          <w:color w:val="000000"/>
          <w:szCs w:val="24"/>
        </w:rPr>
        <w:t>“real and direct”</w:t>
      </w:r>
      <w:r>
        <w:rPr>
          <w:rStyle w:val="FootnoteReference"/>
          <w:color w:val="000000"/>
          <w:szCs w:val="24"/>
        </w:rPr>
        <w:footnoteReference w:id="9"/>
      </w:r>
      <w:r w:rsidRPr="004B7144" w:rsidR="00D561F6">
        <w:rPr>
          <w:color w:val="000000"/>
          <w:szCs w:val="24"/>
        </w:rPr>
        <w:t xml:space="preserve"> </w:t>
      </w:r>
      <w:r w:rsidRPr="004B7144" w:rsidR="00752F63">
        <w:rPr>
          <w:color w:val="000000"/>
          <w:szCs w:val="24"/>
        </w:rPr>
        <w:t>interest</w:t>
      </w:r>
      <w:r w:rsidRPr="004B7144" w:rsidR="00D561F6">
        <w:rPr>
          <w:color w:val="000000"/>
          <w:szCs w:val="24"/>
        </w:rPr>
        <w:t xml:space="preserve"> in this case</w:t>
      </w:r>
      <w:r w:rsidRPr="004B7144" w:rsidR="009878D9">
        <w:rPr>
          <w:color w:val="000000"/>
          <w:szCs w:val="24"/>
        </w:rPr>
        <w:t>. NEP</w:t>
      </w:r>
      <w:r w:rsidRPr="004B7144" w:rsidR="002810A7">
        <w:rPr>
          <w:color w:val="000000"/>
          <w:szCs w:val="24"/>
        </w:rPr>
        <w:t xml:space="preserve"> states that because</w:t>
      </w:r>
      <w:r w:rsidRPr="004B7144" w:rsidR="009878D9">
        <w:rPr>
          <w:color w:val="000000"/>
          <w:szCs w:val="24"/>
        </w:rPr>
        <w:t xml:space="preserve"> </w:t>
      </w:r>
      <w:r w:rsidRPr="004B7144" w:rsidR="002A39D5">
        <w:rPr>
          <w:color w:val="000000"/>
          <w:szCs w:val="24"/>
        </w:rPr>
        <w:t xml:space="preserve">“[t]he complaint was filed in response to </w:t>
      </w:r>
      <w:r w:rsidRPr="004B7144" w:rsidR="00BB2CF3">
        <w:rPr>
          <w:color w:val="000000"/>
          <w:szCs w:val="24"/>
        </w:rPr>
        <w:t>construction work order requests to Duke Ohio</w:t>
      </w:r>
      <w:r w:rsidRPr="004B7144" w:rsidR="002A39D5">
        <w:rPr>
          <w:color w:val="000000"/>
          <w:szCs w:val="24"/>
        </w:rPr>
        <w:t xml:space="preserve"> on behalf of </w:t>
      </w:r>
      <w:r w:rsidRPr="004B7144" w:rsidR="00BB2CF3">
        <w:rPr>
          <w:color w:val="000000"/>
          <w:szCs w:val="24"/>
        </w:rPr>
        <w:t xml:space="preserve">a </w:t>
      </w:r>
      <w:r w:rsidRPr="004B7144" w:rsidR="002A39D5">
        <w:rPr>
          <w:color w:val="000000"/>
          <w:szCs w:val="24"/>
        </w:rPr>
        <w:t xml:space="preserve">nonresidential customer who </w:t>
      </w:r>
      <w:r w:rsidRPr="004B7144" w:rsidR="00BB2CF3">
        <w:rPr>
          <w:color w:val="000000"/>
          <w:szCs w:val="24"/>
        </w:rPr>
        <w:t>is the owner of a</w:t>
      </w:r>
      <w:r w:rsidRPr="004B7144" w:rsidR="002A39D5">
        <w:rPr>
          <w:color w:val="000000"/>
          <w:szCs w:val="24"/>
        </w:rPr>
        <w:t xml:space="preserve"> specific location – the </w:t>
      </w:r>
      <w:r w:rsidRPr="004B7144" w:rsidR="00BB2CF3">
        <w:rPr>
          <w:color w:val="000000"/>
          <w:szCs w:val="24"/>
        </w:rPr>
        <w:t>Somerset complex</w:t>
      </w:r>
      <w:r w:rsidRPr="004B7144" w:rsidR="002A39D5">
        <w:rPr>
          <w:color w:val="000000"/>
          <w:szCs w:val="24"/>
        </w:rPr>
        <w:t>.”</w:t>
      </w:r>
      <w:r>
        <w:rPr>
          <w:rStyle w:val="FootnoteReference"/>
          <w:color w:val="000000"/>
          <w:szCs w:val="24"/>
        </w:rPr>
        <w:footnoteReference w:id="10"/>
      </w:r>
      <w:r w:rsidRPr="004B7144" w:rsidR="00E14D84">
        <w:rPr>
          <w:szCs w:val="24"/>
        </w:rPr>
        <w:t xml:space="preserve"> </w:t>
      </w:r>
      <w:r w:rsidRPr="004B7144" w:rsidR="002B1658">
        <w:rPr>
          <w:szCs w:val="24"/>
        </w:rPr>
        <w:t>NEP’s arguments should be rejected.</w:t>
      </w:r>
      <w:r w:rsidRPr="004B7144" w:rsidR="00D87487">
        <w:rPr>
          <w:szCs w:val="24"/>
        </w:rPr>
        <w:t xml:space="preserve"> </w:t>
      </w:r>
      <w:r w:rsidRPr="004B7144" w:rsidR="002B1658">
        <w:rPr>
          <w:szCs w:val="24"/>
        </w:rPr>
        <w:t>T</w:t>
      </w:r>
      <w:r w:rsidRPr="004B7144" w:rsidR="000503BE">
        <w:rPr>
          <w:szCs w:val="24"/>
        </w:rPr>
        <w:t xml:space="preserve">he fact that </w:t>
      </w:r>
      <w:r w:rsidRPr="004B7144" w:rsidR="00754314">
        <w:rPr>
          <w:szCs w:val="24"/>
        </w:rPr>
        <w:t>Duke</w:t>
      </w:r>
      <w:r w:rsidRPr="004B7144" w:rsidR="00B547F1">
        <w:rPr>
          <w:szCs w:val="24"/>
        </w:rPr>
        <w:t xml:space="preserve"> filed its</w:t>
      </w:r>
      <w:r w:rsidRPr="004B7144" w:rsidR="003C22FD">
        <w:rPr>
          <w:szCs w:val="24"/>
        </w:rPr>
        <w:t xml:space="preserve"> complaint </w:t>
      </w:r>
      <w:r w:rsidRPr="004B7144" w:rsidR="00B547F1">
        <w:rPr>
          <w:szCs w:val="24"/>
        </w:rPr>
        <w:t>as</w:t>
      </w:r>
      <w:r w:rsidRPr="004B7144" w:rsidR="003C22FD">
        <w:rPr>
          <w:szCs w:val="24"/>
        </w:rPr>
        <w:t xml:space="preserve"> the result</w:t>
      </w:r>
      <w:r w:rsidRPr="004B7144" w:rsidR="000503BE">
        <w:rPr>
          <w:szCs w:val="24"/>
        </w:rPr>
        <w:t xml:space="preserve"> </w:t>
      </w:r>
      <w:r w:rsidRPr="004B7144" w:rsidR="003C22FD">
        <w:rPr>
          <w:szCs w:val="24"/>
        </w:rPr>
        <w:t xml:space="preserve">of </w:t>
      </w:r>
      <w:r w:rsidRPr="004B7144" w:rsidR="000503BE">
        <w:rPr>
          <w:szCs w:val="24"/>
        </w:rPr>
        <w:t>NEP</w:t>
      </w:r>
      <w:r w:rsidRPr="004B7144" w:rsidR="002B1658">
        <w:rPr>
          <w:szCs w:val="24"/>
        </w:rPr>
        <w:t xml:space="preserve">’s construction requests on behalf of </w:t>
      </w:r>
      <w:r w:rsidRPr="004B7144" w:rsidR="000503BE">
        <w:rPr>
          <w:szCs w:val="24"/>
        </w:rPr>
        <w:t xml:space="preserve">nonresidential </w:t>
      </w:r>
      <w:r w:rsidRPr="004B7144" w:rsidR="003C22FD">
        <w:rPr>
          <w:szCs w:val="24"/>
        </w:rPr>
        <w:t>property owners</w:t>
      </w:r>
      <w:r w:rsidRPr="004B7144" w:rsidR="000503BE">
        <w:rPr>
          <w:szCs w:val="24"/>
        </w:rPr>
        <w:t xml:space="preserve"> </w:t>
      </w:r>
      <w:r w:rsidRPr="004B7144" w:rsidR="002B1658">
        <w:rPr>
          <w:szCs w:val="24"/>
        </w:rPr>
        <w:t>does not negate</w:t>
      </w:r>
      <w:r w:rsidRPr="004B7144" w:rsidR="00B547F1">
        <w:rPr>
          <w:szCs w:val="24"/>
        </w:rPr>
        <w:t xml:space="preserve"> the harm</w:t>
      </w:r>
      <w:r w:rsidRPr="004B7144" w:rsidR="000503BE">
        <w:rPr>
          <w:szCs w:val="24"/>
        </w:rPr>
        <w:t xml:space="preserve"> </w:t>
      </w:r>
      <w:r w:rsidRPr="004B7144" w:rsidR="003C22FD">
        <w:rPr>
          <w:szCs w:val="24"/>
        </w:rPr>
        <w:t xml:space="preserve">the </w:t>
      </w:r>
      <w:r w:rsidRPr="004B7144" w:rsidR="00B547F1">
        <w:rPr>
          <w:szCs w:val="24"/>
        </w:rPr>
        <w:t>apartment complex</w:t>
      </w:r>
      <w:r w:rsidRPr="004B7144" w:rsidR="002B1658">
        <w:rPr>
          <w:szCs w:val="24"/>
        </w:rPr>
        <w:t xml:space="preserve"> residents</w:t>
      </w:r>
      <w:r w:rsidRPr="004B7144" w:rsidR="003C22FD">
        <w:rPr>
          <w:szCs w:val="24"/>
        </w:rPr>
        <w:t xml:space="preserve"> </w:t>
      </w:r>
      <w:r w:rsidRPr="004B7144" w:rsidR="009878D9">
        <w:rPr>
          <w:szCs w:val="24"/>
        </w:rPr>
        <w:t xml:space="preserve">ultimately </w:t>
      </w:r>
      <w:r w:rsidRPr="004B7144" w:rsidR="00B547F1">
        <w:rPr>
          <w:szCs w:val="24"/>
        </w:rPr>
        <w:t xml:space="preserve">may suffer if </w:t>
      </w:r>
      <w:r w:rsidRPr="004B7144" w:rsidR="00EC25DB">
        <w:rPr>
          <w:szCs w:val="24"/>
        </w:rPr>
        <w:t>they can only take</w:t>
      </w:r>
      <w:r w:rsidRPr="004B7144" w:rsidR="002B1658">
        <w:rPr>
          <w:szCs w:val="24"/>
        </w:rPr>
        <w:t xml:space="preserve"> electric utility service</w:t>
      </w:r>
      <w:r w:rsidRPr="004B7144" w:rsidR="00EC25DB">
        <w:rPr>
          <w:szCs w:val="24"/>
        </w:rPr>
        <w:t xml:space="preserve"> provided through </w:t>
      </w:r>
      <w:r w:rsidRPr="004B7144" w:rsidR="00F02D23">
        <w:rPr>
          <w:szCs w:val="24"/>
        </w:rPr>
        <w:t>NEP</w:t>
      </w:r>
      <w:r w:rsidRPr="004B7144" w:rsidR="003C22FD">
        <w:rPr>
          <w:szCs w:val="24"/>
        </w:rPr>
        <w:t>.</w:t>
      </w:r>
      <w:r w:rsidRPr="004B7144" w:rsidR="00B547F1">
        <w:rPr>
          <w:szCs w:val="24"/>
        </w:rPr>
        <w:t xml:space="preserve"> </w:t>
      </w:r>
    </w:p>
    <w:p w:rsidR="005C3516" w:rsidRPr="004B7144" w:rsidP="00A55D04" w14:paraId="409084C4" w14:textId="73310916">
      <w:pPr>
        <w:pStyle w:val="BodyTextIndent3"/>
        <w:widowControl w:val="0"/>
        <w:spacing w:line="480" w:lineRule="auto"/>
        <w:ind w:right="-312"/>
        <w:rPr>
          <w:szCs w:val="24"/>
        </w:rPr>
      </w:pPr>
      <w:r w:rsidRPr="004B7144">
        <w:rPr>
          <w:szCs w:val="24"/>
        </w:rPr>
        <w:t xml:space="preserve">NEP also argues that </w:t>
      </w:r>
      <w:r w:rsidRPr="004B7144" w:rsidR="00747913">
        <w:rPr>
          <w:szCs w:val="24"/>
        </w:rPr>
        <w:t xml:space="preserve">the interests of </w:t>
      </w:r>
      <w:r w:rsidRPr="004B7144" w:rsidR="0020117A">
        <w:rPr>
          <w:szCs w:val="24"/>
        </w:rPr>
        <w:t xml:space="preserve">the </w:t>
      </w:r>
      <w:r w:rsidRPr="004B7144" w:rsidR="00747913">
        <w:rPr>
          <w:szCs w:val="24"/>
        </w:rPr>
        <w:t xml:space="preserve">residential consumers OCC seeks to </w:t>
      </w:r>
      <w:r w:rsidRPr="004B7144" w:rsidR="00747913">
        <w:rPr>
          <w:color w:val="000000"/>
          <w:szCs w:val="24"/>
        </w:rPr>
        <w:t xml:space="preserve">represent “are not grounded in the particular facts set forth in </w:t>
      </w:r>
      <w:r w:rsidRPr="004B7144" w:rsidR="00BB2CF3">
        <w:rPr>
          <w:color w:val="000000"/>
          <w:szCs w:val="24"/>
        </w:rPr>
        <w:t>Duke</w:t>
      </w:r>
      <w:r w:rsidRPr="004B7144" w:rsidR="00456760">
        <w:rPr>
          <w:color w:val="000000"/>
          <w:szCs w:val="24"/>
        </w:rPr>
        <w:t xml:space="preserve"> Ohio’s</w:t>
      </w:r>
      <w:r w:rsidRPr="004B7144" w:rsidR="00747913">
        <w:rPr>
          <w:color w:val="000000"/>
          <w:szCs w:val="24"/>
        </w:rPr>
        <w:t xml:space="preserve"> complaint.”</w:t>
      </w:r>
      <w:r>
        <w:rPr>
          <w:rStyle w:val="FootnoteReference"/>
          <w:color w:val="000000"/>
          <w:szCs w:val="24"/>
        </w:rPr>
        <w:footnoteReference w:id="11"/>
      </w:r>
      <w:r w:rsidRPr="004B7144" w:rsidR="00747913">
        <w:rPr>
          <w:szCs w:val="24"/>
        </w:rPr>
        <w:t xml:space="preserve"> That is </w:t>
      </w:r>
      <w:r w:rsidRPr="004B7144" w:rsidR="002B1658">
        <w:rPr>
          <w:szCs w:val="24"/>
        </w:rPr>
        <w:t>also wrong</w:t>
      </w:r>
      <w:r w:rsidRPr="004B7144" w:rsidR="00747913">
        <w:rPr>
          <w:szCs w:val="24"/>
        </w:rPr>
        <w:t xml:space="preserve">. </w:t>
      </w:r>
      <w:r w:rsidRPr="004B7144" w:rsidR="00BB2CF3">
        <w:rPr>
          <w:color w:val="000000"/>
          <w:szCs w:val="24"/>
        </w:rPr>
        <w:t>Duke’s</w:t>
      </w:r>
      <w:r w:rsidRPr="004B7144" w:rsidR="00747913">
        <w:rPr>
          <w:color w:val="000000"/>
          <w:szCs w:val="24"/>
        </w:rPr>
        <w:t xml:space="preserve"> complaint states that if it</w:t>
      </w:r>
      <w:r w:rsidRPr="004B7144" w:rsidR="00136534">
        <w:rPr>
          <w:color w:val="000000"/>
          <w:szCs w:val="24"/>
        </w:rPr>
        <w:t xml:space="preserve"> is </w:t>
      </w:r>
      <w:r w:rsidRPr="004B7144" w:rsidR="002B1658">
        <w:rPr>
          <w:color w:val="000000"/>
          <w:szCs w:val="24"/>
        </w:rPr>
        <w:t xml:space="preserve">forced </w:t>
      </w:r>
      <w:r w:rsidRPr="004B7144" w:rsidR="00136534">
        <w:rPr>
          <w:color w:val="000000"/>
          <w:szCs w:val="24"/>
        </w:rPr>
        <w:t xml:space="preserve">to </w:t>
      </w:r>
      <w:r w:rsidRPr="004B7144" w:rsidR="002B1658">
        <w:rPr>
          <w:color w:val="000000"/>
          <w:szCs w:val="24"/>
        </w:rPr>
        <w:t xml:space="preserve">abandon service to </w:t>
      </w:r>
      <w:r w:rsidRPr="004B7144" w:rsidR="00BB2CF3">
        <w:rPr>
          <w:color w:val="000000"/>
          <w:szCs w:val="24"/>
        </w:rPr>
        <w:t>Somerset</w:t>
      </w:r>
      <w:r w:rsidRPr="004B7144" w:rsidR="00136534">
        <w:rPr>
          <w:color w:val="000000"/>
          <w:szCs w:val="24"/>
        </w:rPr>
        <w:t xml:space="preserve">, </w:t>
      </w:r>
      <w:r w:rsidRPr="004B7144" w:rsidR="00A55D04">
        <w:rPr>
          <w:color w:val="000000"/>
          <w:szCs w:val="24"/>
        </w:rPr>
        <w:t>NEP</w:t>
      </w:r>
      <w:r w:rsidRPr="004B7144" w:rsidR="00136534">
        <w:rPr>
          <w:color w:val="000000"/>
          <w:szCs w:val="24"/>
        </w:rPr>
        <w:t xml:space="preserve"> will become the provider of</w:t>
      </w:r>
      <w:r w:rsidRPr="004B7144" w:rsidR="00A55D04">
        <w:rPr>
          <w:color w:val="000000"/>
          <w:szCs w:val="24"/>
        </w:rPr>
        <w:t xml:space="preserve"> electric utility service to </w:t>
      </w:r>
      <w:r w:rsidRPr="004B7144" w:rsidR="00F34FC5">
        <w:rPr>
          <w:color w:val="000000"/>
          <w:szCs w:val="24"/>
        </w:rPr>
        <w:t xml:space="preserve">the complex’s </w:t>
      </w:r>
      <w:r w:rsidRPr="004B7144" w:rsidR="00A55D04">
        <w:rPr>
          <w:color w:val="000000"/>
          <w:szCs w:val="24"/>
        </w:rPr>
        <w:t>residential consumers.</w:t>
      </w:r>
      <w:r>
        <w:rPr>
          <w:rStyle w:val="FootnoteReference"/>
          <w:color w:val="000000"/>
          <w:szCs w:val="24"/>
        </w:rPr>
        <w:footnoteReference w:id="12"/>
      </w:r>
      <w:r w:rsidRPr="004B7144" w:rsidR="00136534">
        <w:rPr>
          <w:color w:val="000000"/>
          <w:szCs w:val="24"/>
        </w:rPr>
        <w:t xml:space="preserve"> </w:t>
      </w:r>
      <w:r w:rsidRPr="004B7144" w:rsidR="00136534">
        <w:rPr>
          <w:szCs w:val="24"/>
        </w:rPr>
        <w:t>NEP is a submetering service company</w:t>
      </w:r>
      <w:r w:rsidRPr="004B7144" w:rsidR="00393CBA">
        <w:rPr>
          <w:szCs w:val="24"/>
        </w:rPr>
        <w:t xml:space="preserve"> largely</w:t>
      </w:r>
      <w:r w:rsidRPr="004B7144" w:rsidR="00D561F6">
        <w:rPr>
          <w:szCs w:val="24"/>
        </w:rPr>
        <w:t xml:space="preserve"> unregulated by the </w:t>
      </w:r>
      <w:r w:rsidRPr="004B7144" w:rsidR="00D561F6">
        <w:rPr>
          <w:color w:val="000000"/>
          <w:szCs w:val="24"/>
        </w:rPr>
        <w:t>PUCO</w:t>
      </w:r>
      <w:r w:rsidRPr="004B7144" w:rsidR="00F21E15">
        <w:rPr>
          <w:color w:val="000000"/>
          <w:szCs w:val="24"/>
        </w:rPr>
        <w:t>.</w:t>
      </w:r>
      <w:r>
        <w:rPr>
          <w:rStyle w:val="FootnoteReference"/>
          <w:color w:val="000000"/>
          <w:szCs w:val="24"/>
        </w:rPr>
        <w:footnoteReference w:id="13"/>
      </w:r>
      <w:r w:rsidRPr="004B7144" w:rsidR="00F21E15">
        <w:rPr>
          <w:color w:val="000000"/>
          <w:szCs w:val="24"/>
        </w:rPr>
        <w:t xml:space="preserve"> </w:t>
      </w:r>
      <w:r w:rsidRPr="004B7144" w:rsidR="00F06A04">
        <w:rPr>
          <w:szCs w:val="24"/>
        </w:rPr>
        <w:t>Thus</w:t>
      </w:r>
      <w:r w:rsidRPr="004B7144" w:rsidR="00F21E15">
        <w:rPr>
          <w:szCs w:val="24"/>
        </w:rPr>
        <w:t>, residential consumers who receive submetering service from NEP will lose the protections</w:t>
      </w:r>
      <w:r w:rsidRPr="004B7144" w:rsidR="00A16A71">
        <w:rPr>
          <w:szCs w:val="24"/>
        </w:rPr>
        <w:t xml:space="preserve"> they receive when </w:t>
      </w:r>
      <w:r w:rsidRPr="004B7144" w:rsidR="0020117A">
        <w:rPr>
          <w:szCs w:val="24"/>
        </w:rPr>
        <w:t xml:space="preserve">they are </w:t>
      </w:r>
      <w:r w:rsidRPr="004B7144" w:rsidR="00A16A71">
        <w:rPr>
          <w:szCs w:val="24"/>
        </w:rPr>
        <w:t>served by</w:t>
      </w:r>
      <w:r w:rsidRPr="004B7144" w:rsidR="00F34FC5">
        <w:rPr>
          <w:szCs w:val="24"/>
        </w:rPr>
        <w:t xml:space="preserve"> Duke</w:t>
      </w:r>
      <w:r w:rsidRPr="004B7144" w:rsidR="00D561F6">
        <w:rPr>
          <w:szCs w:val="24"/>
        </w:rPr>
        <w:t>, the PUCO regulated utility</w:t>
      </w:r>
      <w:r w:rsidRPr="004B7144" w:rsidR="00F21E15">
        <w:rPr>
          <w:szCs w:val="24"/>
        </w:rPr>
        <w:t>.</w:t>
      </w:r>
      <w:r>
        <w:rPr>
          <w:rStyle w:val="FootnoteReference"/>
          <w:color w:val="000000"/>
          <w:szCs w:val="24"/>
        </w:rPr>
        <w:footnoteReference w:id="14"/>
      </w:r>
      <w:r w:rsidRPr="004B7144" w:rsidR="00F21E15">
        <w:rPr>
          <w:color w:val="000000"/>
          <w:szCs w:val="24"/>
        </w:rPr>
        <w:t xml:space="preserve"> </w:t>
      </w:r>
    </w:p>
    <w:p w:rsidR="00393CBA" w:rsidRPr="004B7144" w:rsidP="00A67EE0" w14:paraId="034221E2" w14:textId="5212133F">
      <w:pPr>
        <w:pStyle w:val="BodyTextIndent3"/>
        <w:widowControl w:val="0"/>
        <w:spacing w:line="480" w:lineRule="auto"/>
        <w:ind w:right="-312"/>
        <w:rPr>
          <w:szCs w:val="24"/>
        </w:rPr>
      </w:pPr>
      <w:r w:rsidRPr="004B7144">
        <w:rPr>
          <w:color w:val="000000"/>
          <w:szCs w:val="24"/>
        </w:rPr>
        <w:t>Duke’s</w:t>
      </w:r>
      <w:r w:rsidRPr="004B7144" w:rsidR="005C3516">
        <w:rPr>
          <w:color w:val="000000"/>
          <w:szCs w:val="24"/>
        </w:rPr>
        <w:t xml:space="preserve"> complaint states that </w:t>
      </w:r>
      <w:r w:rsidRPr="004B7144">
        <w:rPr>
          <w:color w:val="000000"/>
          <w:szCs w:val="24"/>
        </w:rPr>
        <w:t>515</w:t>
      </w:r>
      <w:r w:rsidRPr="004B7144" w:rsidR="005C3516">
        <w:rPr>
          <w:color w:val="000000"/>
          <w:szCs w:val="24"/>
        </w:rPr>
        <w:t xml:space="preserve"> residential consumers will be </w:t>
      </w:r>
      <w:r w:rsidRPr="004B7144" w:rsidR="00FD78A7">
        <w:rPr>
          <w:color w:val="000000"/>
          <w:szCs w:val="24"/>
        </w:rPr>
        <w:t xml:space="preserve">harmed </w:t>
      </w:r>
      <w:r w:rsidRPr="004B7144" w:rsidR="005C3516">
        <w:rPr>
          <w:color w:val="000000"/>
          <w:szCs w:val="24"/>
        </w:rPr>
        <w:t xml:space="preserve">by NEP’s demands to take over electric utility service to </w:t>
      </w:r>
      <w:r w:rsidRPr="004B7144">
        <w:rPr>
          <w:color w:val="000000"/>
          <w:szCs w:val="24"/>
        </w:rPr>
        <w:t>the Somerset apartment complex</w:t>
      </w:r>
      <w:r w:rsidRPr="004B7144" w:rsidR="005C3516">
        <w:rPr>
          <w:color w:val="000000"/>
          <w:szCs w:val="24"/>
        </w:rPr>
        <w:t>.</w:t>
      </w:r>
      <w:r>
        <w:rPr>
          <w:rStyle w:val="FootnoteReference"/>
          <w:color w:val="000000"/>
          <w:szCs w:val="24"/>
        </w:rPr>
        <w:footnoteReference w:id="15"/>
      </w:r>
      <w:r w:rsidRPr="004B7144" w:rsidR="005C3516">
        <w:rPr>
          <w:color w:val="000000"/>
          <w:szCs w:val="24"/>
        </w:rPr>
        <w:t xml:space="preserve"> </w:t>
      </w:r>
      <w:r w:rsidRPr="004B7144">
        <w:rPr>
          <w:szCs w:val="24"/>
        </w:rPr>
        <w:t>Duke</w:t>
      </w:r>
      <w:r w:rsidRPr="004B7144" w:rsidR="00FD78A7">
        <w:rPr>
          <w:szCs w:val="24"/>
        </w:rPr>
        <w:t xml:space="preserve"> claims that</w:t>
      </w:r>
      <w:r w:rsidRPr="004B7144" w:rsidR="00A16A71">
        <w:rPr>
          <w:szCs w:val="24"/>
        </w:rPr>
        <w:t xml:space="preserve"> </w:t>
      </w:r>
      <w:r w:rsidRPr="004B7144" w:rsidR="00F06A04">
        <w:rPr>
          <w:szCs w:val="24"/>
        </w:rPr>
        <w:t xml:space="preserve">the resulting harms to </w:t>
      </w:r>
      <w:r w:rsidRPr="004B7144" w:rsidR="00A16A71">
        <w:rPr>
          <w:szCs w:val="24"/>
        </w:rPr>
        <w:t xml:space="preserve">residential consumers </w:t>
      </w:r>
      <w:r w:rsidRPr="004B7144" w:rsidR="00F06A04">
        <w:rPr>
          <w:szCs w:val="24"/>
        </w:rPr>
        <w:t>include</w:t>
      </w:r>
      <w:r w:rsidRPr="004B7144" w:rsidR="00A16A71">
        <w:rPr>
          <w:szCs w:val="24"/>
        </w:rPr>
        <w:t xml:space="preserve">: </w:t>
      </w:r>
      <w:r w:rsidRPr="004B7144" w:rsidR="00A16A71">
        <w:rPr>
          <w:color w:val="000000"/>
          <w:szCs w:val="24"/>
        </w:rPr>
        <w:t>higher</w:t>
      </w:r>
      <w:r w:rsidRPr="004B7144" w:rsidR="006F5302">
        <w:rPr>
          <w:color w:val="000000"/>
          <w:szCs w:val="24"/>
        </w:rPr>
        <w:t xml:space="preserve"> charges</w:t>
      </w:r>
      <w:r w:rsidRPr="004B7144" w:rsidR="00A16A71">
        <w:rPr>
          <w:color w:val="000000"/>
          <w:szCs w:val="24"/>
        </w:rPr>
        <w:t>;</w:t>
      </w:r>
      <w:r>
        <w:rPr>
          <w:rStyle w:val="FootnoteReference"/>
          <w:color w:val="000000"/>
          <w:szCs w:val="24"/>
        </w:rPr>
        <w:footnoteReference w:id="16"/>
      </w:r>
      <w:r w:rsidRPr="004B7144" w:rsidR="009841C3">
        <w:rPr>
          <w:color w:val="000000"/>
          <w:szCs w:val="24"/>
        </w:rPr>
        <w:t xml:space="preserve"> </w:t>
      </w:r>
      <w:r w:rsidRPr="004B7144" w:rsidR="00F06A04">
        <w:rPr>
          <w:color w:val="000000"/>
          <w:szCs w:val="24"/>
        </w:rPr>
        <w:t>the inability</w:t>
      </w:r>
      <w:r w:rsidRPr="004B7144" w:rsidR="009841C3">
        <w:rPr>
          <w:color w:val="000000"/>
          <w:szCs w:val="24"/>
        </w:rPr>
        <w:t xml:space="preserve"> to choose a competitive retail supplier;</w:t>
      </w:r>
      <w:r>
        <w:rPr>
          <w:rStyle w:val="FootnoteReference"/>
          <w:color w:val="000000"/>
          <w:szCs w:val="24"/>
        </w:rPr>
        <w:footnoteReference w:id="17"/>
      </w:r>
      <w:r w:rsidRPr="004B7144" w:rsidR="009841C3">
        <w:rPr>
          <w:color w:val="FF0000"/>
          <w:szCs w:val="24"/>
        </w:rPr>
        <w:t xml:space="preserve"> </w:t>
      </w:r>
      <w:r w:rsidRPr="004B7144" w:rsidR="00F06A04">
        <w:rPr>
          <w:color w:val="000000"/>
          <w:szCs w:val="24"/>
        </w:rPr>
        <w:t>no</w:t>
      </w:r>
      <w:r w:rsidRPr="004B7144" w:rsidR="009841C3">
        <w:rPr>
          <w:color w:val="000000"/>
          <w:szCs w:val="24"/>
        </w:rPr>
        <w:t xml:space="preserve"> access to budget plans to help pay bills;</w:t>
      </w:r>
      <w:r>
        <w:rPr>
          <w:rStyle w:val="FootnoteReference"/>
          <w:color w:val="000000"/>
          <w:szCs w:val="24"/>
        </w:rPr>
        <w:footnoteReference w:id="18"/>
      </w:r>
      <w:r w:rsidRPr="004B7144" w:rsidR="00A16A71">
        <w:rPr>
          <w:color w:val="000000"/>
          <w:szCs w:val="24"/>
        </w:rPr>
        <w:t xml:space="preserve"> </w:t>
      </w:r>
      <w:r w:rsidRPr="004B7144" w:rsidR="00850F2C">
        <w:rPr>
          <w:color w:val="000000"/>
          <w:szCs w:val="24"/>
        </w:rPr>
        <w:t>and los</w:t>
      </w:r>
      <w:r w:rsidRPr="004B7144" w:rsidR="00F06A04">
        <w:rPr>
          <w:color w:val="000000"/>
          <w:szCs w:val="24"/>
        </w:rPr>
        <w:t>s of other</w:t>
      </w:r>
      <w:r w:rsidRPr="004B7144" w:rsidR="00850F2C">
        <w:rPr>
          <w:color w:val="000000"/>
          <w:szCs w:val="24"/>
        </w:rPr>
        <w:t xml:space="preserve"> important consumer protections regarding disconnections and service quality </w:t>
      </w:r>
      <w:r w:rsidRPr="004B7144" w:rsidR="00FD78A7">
        <w:rPr>
          <w:color w:val="000000"/>
          <w:szCs w:val="24"/>
        </w:rPr>
        <w:t>set forth</w:t>
      </w:r>
      <w:r w:rsidRPr="004B7144" w:rsidR="00850F2C">
        <w:rPr>
          <w:color w:val="000000"/>
          <w:szCs w:val="24"/>
        </w:rPr>
        <w:t xml:space="preserve"> in the PUCO’s rules and Ohio law.</w:t>
      </w:r>
      <w:r>
        <w:rPr>
          <w:rStyle w:val="FootnoteReference"/>
          <w:color w:val="000000"/>
          <w:szCs w:val="24"/>
        </w:rPr>
        <w:footnoteReference w:id="19"/>
      </w:r>
      <w:r w:rsidRPr="004B7144" w:rsidR="00A67EE0">
        <w:rPr>
          <w:color w:val="FF0000"/>
          <w:szCs w:val="24"/>
        </w:rPr>
        <w:t xml:space="preserve"> </w:t>
      </w:r>
    </w:p>
    <w:p w:rsidR="00766F31" w:rsidRPr="004B7144" w:rsidP="00F34FC5" w14:paraId="3F705A8A" w14:textId="77777777">
      <w:pPr>
        <w:pStyle w:val="BodyTextIndent3"/>
        <w:widowControl w:val="0"/>
        <w:spacing w:line="480" w:lineRule="auto"/>
        <w:ind w:right="-312"/>
        <w:rPr>
          <w:szCs w:val="24"/>
        </w:rPr>
      </w:pPr>
      <w:r w:rsidRPr="004B7144">
        <w:rPr>
          <w:szCs w:val="24"/>
        </w:rPr>
        <w:t xml:space="preserve">Therefore, </w:t>
      </w:r>
      <w:r w:rsidRPr="004B7144" w:rsidR="00203728">
        <w:rPr>
          <w:color w:val="000000"/>
          <w:szCs w:val="24"/>
        </w:rPr>
        <w:t>over 500</w:t>
      </w:r>
      <w:r w:rsidRPr="004B7144" w:rsidR="00203728">
        <w:rPr>
          <w:color w:val="FF0000"/>
          <w:szCs w:val="24"/>
        </w:rPr>
        <w:t xml:space="preserve"> </w:t>
      </w:r>
      <w:r w:rsidRPr="004B7144">
        <w:rPr>
          <w:szCs w:val="24"/>
        </w:rPr>
        <w:t xml:space="preserve">of </w:t>
      </w:r>
      <w:r w:rsidRPr="004B7144" w:rsidR="00ED246F">
        <w:rPr>
          <w:szCs w:val="24"/>
        </w:rPr>
        <w:t xml:space="preserve">Duke’s </w:t>
      </w:r>
      <w:r w:rsidRPr="004B7144">
        <w:rPr>
          <w:szCs w:val="24"/>
        </w:rPr>
        <w:t xml:space="preserve">residential consumers have real and </w:t>
      </w:r>
      <w:r w:rsidRPr="004B7144" w:rsidR="002B2718">
        <w:rPr>
          <w:szCs w:val="24"/>
        </w:rPr>
        <w:t>substantial</w:t>
      </w:r>
      <w:r w:rsidRPr="004B7144">
        <w:rPr>
          <w:szCs w:val="24"/>
        </w:rPr>
        <w:t xml:space="preserve"> interest</w:t>
      </w:r>
      <w:r w:rsidRPr="004B7144" w:rsidR="00FD7C27">
        <w:rPr>
          <w:szCs w:val="24"/>
        </w:rPr>
        <w:t>s firmly grounded in the complaint</w:t>
      </w:r>
      <w:r w:rsidRPr="004B7144" w:rsidR="00D87487">
        <w:rPr>
          <w:szCs w:val="24"/>
        </w:rPr>
        <w:t>. T</w:t>
      </w:r>
      <w:r w:rsidRPr="004B7144">
        <w:rPr>
          <w:szCs w:val="24"/>
        </w:rPr>
        <w:t>heir voice</w:t>
      </w:r>
      <w:r w:rsidRPr="004B7144" w:rsidR="00FD78A7">
        <w:rPr>
          <w:szCs w:val="24"/>
        </w:rPr>
        <w:t>s</w:t>
      </w:r>
      <w:r w:rsidRPr="004B7144">
        <w:rPr>
          <w:szCs w:val="24"/>
        </w:rPr>
        <w:t xml:space="preserve"> should not be silenced by NEP. </w:t>
      </w:r>
    </w:p>
    <w:p w:rsidR="00766F31" w:rsidRPr="004B7144" w14:paraId="555B366D" w14:textId="77777777">
      <w:pPr>
        <w:rPr>
          <w:szCs w:val="24"/>
        </w:rPr>
      </w:pPr>
      <w:r w:rsidRPr="004B7144">
        <w:rPr>
          <w:szCs w:val="24"/>
        </w:rPr>
        <w:br w:type="page"/>
      </w:r>
    </w:p>
    <w:p w:rsidR="00D13E1B" w:rsidRPr="004B7144" w:rsidP="00766F31" w14:paraId="1B1A83F1" w14:textId="544E27D7">
      <w:pPr>
        <w:pStyle w:val="BodyTextIndent3"/>
        <w:widowControl w:val="0"/>
        <w:spacing w:line="480" w:lineRule="auto"/>
        <w:ind w:right="-312" w:firstLine="0"/>
        <w:rPr>
          <w:szCs w:val="24"/>
        </w:rPr>
      </w:pPr>
      <w:r w:rsidRPr="004B7144">
        <w:rPr>
          <w:szCs w:val="24"/>
        </w:rPr>
        <w:t xml:space="preserve">NEP’s </w:t>
      </w:r>
      <w:r w:rsidRPr="004B7144" w:rsidR="00D22AD8">
        <w:rPr>
          <w:szCs w:val="24"/>
        </w:rPr>
        <w:t>claim</w:t>
      </w:r>
      <w:r w:rsidRPr="004B7144">
        <w:rPr>
          <w:szCs w:val="24"/>
        </w:rPr>
        <w:t xml:space="preserve"> that OCC’s </w:t>
      </w:r>
      <w:r w:rsidRPr="004B7144" w:rsidR="00442220">
        <w:rPr>
          <w:szCs w:val="24"/>
        </w:rPr>
        <w:t xml:space="preserve">only interest </w:t>
      </w:r>
      <w:r w:rsidRPr="004B7144" w:rsidR="005F5616">
        <w:rPr>
          <w:szCs w:val="24"/>
        </w:rPr>
        <w:t>is the</w:t>
      </w:r>
      <w:r w:rsidRPr="004B7144" w:rsidR="00442220">
        <w:rPr>
          <w:szCs w:val="24"/>
        </w:rPr>
        <w:t xml:space="preserve"> precedential value</w:t>
      </w:r>
      <w:r w:rsidRPr="004B7144" w:rsidR="005F5616">
        <w:rPr>
          <w:szCs w:val="24"/>
        </w:rPr>
        <w:t xml:space="preserve"> of this case</w:t>
      </w:r>
      <w:r>
        <w:rPr>
          <w:rStyle w:val="FootnoteReference"/>
          <w:szCs w:val="24"/>
        </w:rPr>
        <w:footnoteReference w:id="20"/>
      </w:r>
      <w:r w:rsidRPr="004B7144" w:rsidR="00D22AD8">
        <w:rPr>
          <w:szCs w:val="24"/>
        </w:rPr>
        <w:t xml:space="preserve"> has no merit.</w:t>
      </w:r>
      <w:r w:rsidRPr="004B7144" w:rsidR="00A67EE0">
        <w:rPr>
          <w:szCs w:val="24"/>
        </w:rPr>
        <w:t xml:space="preserve"> OCC’s motion to intervene</w:t>
      </w:r>
      <w:r w:rsidRPr="004B7144" w:rsidR="00D22AD8">
        <w:rPr>
          <w:szCs w:val="24"/>
        </w:rPr>
        <w:t xml:space="preserve"> should be granted</w:t>
      </w:r>
      <w:r w:rsidRPr="004B7144" w:rsidR="00A67EE0">
        <w:rPr>
          <w:szCs w:val="24"/>
        </w:rPr>
        <w:t>.</w:t>
      </w:r>
      <w:r w:rsidRPr="004B7144" w:rsidR="00866E61">
        <w:rPr>
          <w:szCs w:val="24"/>
        </w:rPr>
        <w:t xml:space="preserve"> </w:t>
      </w:r>
    </w:p>
    <w:p w:rsidR="007A3253" w:rsidRPr="004B7144" w:rsidP="00B30FE5" w14:paraId="524F1D9B" w14:textId="1A793F24">
      <w:pPr>
        <w:pStyle w:val="Heading2"/>
        <w:rPr>
          <w:szCs w:val="24"/>
        </w:rPr>
      </w:pPr>
      <w:bookmarkStart w:id="7" w:name="_Toc104989118"/>
      <w:bookmarkStart w:id="8" w:name="_Toc105078579"/>
      <w:r w:rsidRPr="004B7144">
        <w:rPr>
          <w:szCs w:val="24"/>
        </w:rPr>
        <w:t>B.</w:t>
      </w:r>
      <w:r w:rsidRPr="004B7144">
        <w:rPr>
          <w:szCs w:val="24"/>
        </w:rPr>
        <w:tab/>
      </w:r>
      <w:r w:rsidRPr="004B7144" w:rsidR="00AD726C">
        <w:rPr>
          <w:szCs w:val="24"/>
        </w:rPr>
        <w:t>The PUCO</w:t>
      </w:r>
      <w:r w:rsidRPr="004B7144" w:rsidR="00004B5A">
        <w:rPr>
          <w:szCs w:val="24"/>
        </w:rPr>
        <w:t xml:space="preserve"> wrongly </w:t>
      </w:r>
      <w:r w:rsidRPr="004B7144" w:rsidR="00CE66BA">
        <w:rPr>
          <w:szCs w:val="24"/>
        </w:rPr>
        <w:t>deni</w:t>
      </w:r>
      <w:r w:rsidRPr="004B7144" w:rsidR="00004B5A">
        <w:rPr>
          <w:szCs w:val="24"/>
        </w:rPr>
        <w:t>ed</w:t>
      </w:r>
      <w:r w:rsidRPr="004B7144" w:rsidR="00CE66BA">
        <w:rPr>
          <w:szCs w:val="24"/>
        </w:rPr>
        <w:t xml:space="preserve"> </w:t>
      </w:r>
      <w:r w:rsidRPr="004B7144">
        <w:rPr>
          <w:szCs w:val="24"/>
        </w:rPr>
        <w:t>intervention to OCC in</w:t>
      </w:r>
      <w:r w:rsidRPr="004B7144" w:rsidR="00004B5A">
        <w:rPr>
          <w:szCs w:val="24"/>
        </w:rPr>
        <w:t xml:space="preserve"> previous cases regarding NEP.</w:t>
      </w:r>
      <w:r w:rsidRPr="004B7144" w:rsidR="00004B5A">
        <w:rPr>
          <w:i/>
          <w:iCs/>
          <w:szCs w:val="24"/>
        </w:rPr>
        <w:t xml:space="preserve"> </w:t>
      </w:r>
      <w:r w:rsidRPr="004B7144" w:rsidR="00004B5A">
        <w:rPr>
          <w:szCs w:val="24"/>
        </w:rPr>
        <w:t>The PUCO should not deny</w:t>
      </w:r>
      <w:r w:rsidRPr="004B7144">
        <w:rPr>
          <w:szCs w:val="24"/>
        </w:rPr>
        <w:t xml:space="preserve"> OCC intervention in this case to represent the interests of </w:t>
      </w:r>
      <w:r w:rsidRPr="004B7144" w:rsidR="00320741">
        <w:rPr>
          <w:szCs w:val="24"/>
        </w:rPr>
        <w:t xml:space="preserve">residential consumers </w:t>
      </w:r>
      <w:r w:rsidRPr="004B7144">
        <w:rPr>
          <w:szCs w:val="24"/>
        </w:rPr>
        <w:t xml:space="preserve">who </w:t>
      </w:r>
      <w:r w:rsidRPr="004B7144" w:rsidR="00CE66BA">
        <w:rPr>
          <w:szCs w:val="24"/>
        </w:rPr>
        <w:t>could</w:t>
      </w:r>
      <w:r w:rsidRPr="004B7144">
        <w:rPr>
          <w:szCs w:val="24"/>
        </w:rPr>
        <w:t xml:space="preserve"> lose their </w:t>
      </w:r>
      <w:r w:rsidRPr="004B7144" w:rsidR="00DA30F0">
        <w:rPr>
          <w:szCs w:val="24"/>
        </w:rPr>
        <w:t>Duke</w:t>
      </w:r>
      <w:r w:rsidRPr="004B7144">
        <w:rPr>
          <w:szCs w:val="24"/>
        </w:rPr>
        <w:t xml:space="preserve"> electric utility service.</w:t>
      </w:r>
      <w:bookmarkEnd w:id="7"/>
      <w:bookmarkEnd w:id="8"/>
    </w:p>
    <w:p w:rsidR="004A4A45" w:rsidRPr="004B7144" w:rsidP="00A67EE0" w14:paraId="402F9FFF" w14:textId="77777777">
      <w:pPr>
        <w:pStyle w:val="BodyTextIndent3"/>
        <w:widowControl w:val="0"/>
        <w:spacing w:line="480" w:lineRule="auto"/>
        <w:ind w:right="-312"/>
        <w:rPr>
          <w:szCs w:val="24"/>
        </w:rPr>
      </w:pPr>
      <w:r w:rsidRPr="004B7144">
        <w:rPr>
          <w:szCs w:val="24"/>
        </w:rPr>
        <w:t>NEP argues</w:t>
      </w:r>
      <w:r w:rsidRPr="004B7144" w:rsidR="00F5126E">
        <w:rPr>
          <w:szCs w:val="24"/>
        </w:rPr>
        <w:t xml:space="preserve"> that</w:t>
      </w:r>
      <w:r w:rsidRPr="004B7144" w:rsidR="001D2379">
        <w:rPr>
          <w:szCs w:val="24"/>
        </w:rPr>
        <w:t xml:space="preserve"> OCC’s intervention in this case should be denied based on</w:t>
      </w:r>
      <w:r w:rsidRPr="004B7144" w:rsidR="00F5126E">
        <w:rPr>
          <w:szCs w:val="24"/>
        </w:rPr>
        <w:t xml:space="preserve"> </w:t>
      </w:r>
      <w:r w:rsidRPr="004B7144" w:rsidR="00004B5A">
        <w:rPr>
          <w:szCs w:val="24"/>
        </w:rPr>
        <w:t>an Attorney Examiner’s decision to deny OCC intervention in</w:t>
      </w:r>
      <w:r w:rsidRPr="004B7144">
        <w:rPr>
          <w:szCs w:val="24"/>
        </w:rPr>
        <w:t xml:space="preserve"> another submetering case involving NEP,</w:t>
      </w:r>
      <w:r w:rsidRPr="004B7144" w:rsidR="00004B5A">
        <w:rPr>
          <w:szCs w:val="24"/>
        </w:rPr>
        <w:t xml:space="preserve"> </w:t>
      </w:r>
      <w:r w:rsidRPr="004B7144" w:rsidR="00004B5A">
        <w:rPr>
          <w:i/>
          <w:iCs/>
          <w:szCs w:val="24"/>
        </w:rPr>
        <w:t>Ohio Power Company v. Nationwide Energy Partners, LLC</w:t>
      </w:r>
      <w:r w:rsidRPr="004B7144" w:rsidR="00004B5A">
        <w:rPr>
          <w:szCs w:val="24"/>
        </w:rPr>
        <w:t xml:space="preserve">, Case No. 21-990-EL-CSS, Entry, (Jan. 31, 2022). However, </w:t>
      </w:r>
      <w:r w:rsidRPr="004B7144" w:rsidR="00A46A9A">
        <w:rPr>
          <w:szCs w:val="24"/>
        </w:rPr>
        <w:t xml:space="preserve">OCC filed an interlocutory appeal </w:t>
      </w:r>
      <w:r w:rsidRPr="004B7144" w:rsidR="00696DC9">
        <w:rPr>
          <w:i/>
          <w:iCs/>
          <w:szCs w:val="24"/>
        </w:rPr>
        <w:t>directly</w:t>
      </w:r>
      <w:r w:rsidRPr="004B7144" w:rsidR="00A46A9A">
        <w:rPr>
          <w:szCs w:val="24"/>
        </w:rPr>
        <w:t xml:space="preserve"> to the </w:t>
      </w:r>
      <w:r w:rsidRPr="004B7144" w:rsidR="00696DC9">
        <w:rPr>
          <w:szCs w:val="24"/>
        </w:rPr>
        <w:t xml:space="preserve">PUCO </w:t>
      </w:r>
      <w:r w:rsidRPr="004B7144" w:rsidR="00A46A9A">
        <w:rPr>
          <w:szCs w:val="24"/>
        </w:rPr>
        <w:t xml:space="preserve">Commissioners </w:t>
      </w:r>
      <w:r w:rsidRPr="004B7144" w:rsidR="00A02B1C">
        <w:rPr>
          <w:szCs w:val="24"/>
        </w:rPr>
        <w:t xml:space="preserve">(under Ohio Administrative Code 4901-1-15(A)(2)) </w:t>
      </w:r>
      <w:r w:rsidRPr="004B7144" w:rsidR="00A46A9A">
        <w:rPr>
          <w:szCs w:val="24"/>
        </w:rPr>
        <w:t xml:space="preserve">of that </w:t>
      </w:r>
      <w:r w:rsidRPr="004B7144">
        <w:rPr>
          <w:szCs w:val="24"/>
        </w:rPr>
        <w:t xml:space="preserve">unlawful </w:t>
      </w:r>
      <w:r w:rsidRPr="004B7144" w:rsidR="00A46A9A">
        <w:rPr>
          <w:szCs w:val="24"/>
        </w:rPr>
        <w:t>decision by the Attorney Examiner.</w:t>
      </w:r>
      <w:r>
        <w:rPr>
          <w:rStyle w:val="FootnoteReference"/>
          <w:szCs w:val="24"/>
        </w:rPr>
        <w:footnoteReference w:id="21"/>
      </w:r>
      <w:r w:rsidRPr="004B7144">
        <w:rPr>
          <w:szCs w:val="24"/>
        </w:rPr>
        <w:t xml:space="preserve"> The PUCO</w:t>
      </w:r>
      <w:r w:rsidRPr="004B7144" w:rsidR="00696DC9">
        <w:rPr>
          <w:szCs w:val="24"/>
        </w:rPr>
        <w:t xml:space="preserve"> Commissioners</w:t>
      </w:r>
      <w:r w:rsidRPr="004B7144">
        <w:rPr>
          <w:szCs w:val="24"/>
        </w:rPr>
        <w:t xml:space="preserve"> ha</w:t>
      </w:r>
      <w:r w:rsidRPr="004B7144" w:rsidR="00696DC9">
        <w:rPr>
          <w:szCs w:val="24"/>
        </w:rPr>
        <w:t>ve</w:t>
      </w:r>
      <w:r w:rsidRPr="004B7144">
        <w:rPr>
          <w:szCs w:val="24"/>
        </w:rPr>
        <w:t xml:space="preserve"> not yet ruled </w:t>
      </w:r>
      <w:r w:rsidRPr="004B7144" w:rsidR="00696DC9">
        <w:rPr>
          <w:szCs w:val="24"/>
        </w:rPr>
        <w:t xml:space="preserve">on </w:t>
      </w:r>
      <w:r w:rsidRPr="004B7144">
        <w:rPr>
          <w:szCs w:val="24"/>
        </w:rPr>
        <w:t>OCC’s Interlocutory Appeal</w:t>
      </w:r>
      <w:r w:rsidRPr="004B7144" w:rsidR="00696DC9">
        <w:rPr>
          <w:szCs w:val="24"/>
        </w:rPr>
        <w:t>. T</w:t>
      </w:r>
      <w:r w:rsidRPr="004B7144">
        <w:rPr>
          <w:szCs w:val="24"/>
        </w:rPr>
        <w:t xml:space="preserve">hus, NEP’s reliance on the Attorney Examiner’s decision denying OCC intervention in </w:t>
      </w:r>
      <w:r w:rsidRPr="004B7144">
        <w:rPr>
          <w:i/>
          <w:iCs/>
          <w:szCs w:val="24"/>
        </w:rPr>
        <w:t xml:space="preserve">Ohio Power Company </w:t>
      </w:r>
      <w:r w:rsidRPr="004B7144">
        <w:rPr>
          <w:szCs w:val="24"/>
        </w:rPr>
        <w:t>is misplaced</w:t>
      </w:r>
      <w:r w:rsidRPr="004B7144" w:rsidR="00696DC9">
        <w:rPr>
          <w:szCs w:val="24"/>
        </w:rPr>
        <w:t xml:space="preserve"> and premature</w:t>
      </w:r>
      <w:r w:rsidRPr="004B7144">
        <w:rPr>
          <w:szCs w:val="24"/>
        </w:rPr>
        <w:t>.</w:t>
      </w:r>
    </w:p>
    <w:p w:rsidR="00CE5ADB" w:rsidRPr="004B7144" w:rsidP="004A4A45" w14:paraId="7E19C78F" w14:textId="1A0EEEB6">
      <w:pPr>
        <w:pStyle w:val="BodyTextIndent3"/>
        <w:widowControl w:val="0"/>
        <w:spacing w:line="480" w:lineRule="auto"/>
        <w:ind w:right="-312"/>
        <w:rPr>
          <w:szCs w:val="24"/>
        </w:rPr>
      </w:pPr>
      <w:r w:rsidRPr="004B7144">
        <w:rPr>
          <w:szCs w:val="24"/>
        </w:rPr>
        <w:t xml:space="preserve">NEP also relies on the PUCO’s </w:t>
      </w:r>
      <w:r w:rsidRPr="004B7144" w:rsidR="001D2379">
        <w:rPr>
          <w:szCs w:val="24"/>
        </w:rPr>
        <w:t>prior</w:t>
      </w:r>
      <w:r w:rsidRPr="004B7144" w:rsidR="00CE66BA">
        <w:rPr>
          <w:szCs w:val="24"/>
        </w:rPr>
        <w:t xml:space="preserve"> decision to deny OCC </w:t>
      </w:r>
      <w:r w:rsidRPr="004B7144" w:rsidR="005627D9">
        <w:rPr>
          <w:szCs w:val="24"/>
        </w:rPr>
        <w:t>intervention in another</w:t>
      </w:r>
      <w:r w:rsidRPr="004B7144" w:rsidR="00CE66BA">
        <w:rPr>
          <w:szCs w:val="24"/>
        </w:rPr>
        <w:t xml:space="preserve"> complaint case </w:t>
      </w:r>
      <w:r w:rsidRPr="004B7144" w:rsidR="001D2379">
        <w:rPr>
          <w:szCs w:val="24"/>
        </w:rPr>
        <w:t>against</w:t>
      </w:r>
      <w:r w:rsidRPr="004B7144" w:rsidR="005627D9">
        <w:rPr>
          <w:szCs w:val="24"/>
        </w:rPr>
        <w:t xml:space="preserve"> </w:t>
      </w:r>
      <w:r w:rsidRPr="004B7144" w:rsidR="00CE66BA">
        <w:rPr>
          <w:color w:val="000000"/>
          <w:szCs w:val="24"/>
        </w:rPr>
        <w:t>NEP,</w:t>
      </w:r>
      <w:r w:rsidRPr="004B7144" w:rsidR="00FD7C27">
        <w:rPr>
          <w:color w:val="000000"/>
          <w:szCs w:val="24"/>
        </w:rPr>
        <w:t xml:space="preserve"> </w:t>
      </w:r>
      <w:r w:rsidRPr="004B7144" w:rsidR="00FD7C27">
        <w:rPr>
          <w:i/>
          <w:iCs/>
          <w:color w:val="000000"/>
          <w:szCs w:val="24"/>
        </w:rPr>
        <w:t>In re Complaint of Mark Whitt</w:t>
      </w:r>
      <w:r w:rsidRPr="004B7144" w:rsidR="00CE66BA">
        <w:rPr>
          <w:color w:val="000000"/>
          <w:szCs w:val="24"/>
        </w:rPr>
        <w:t>,</w:t>
      </w:r>
      <w:r w:rsidRPr="004B7144" w:rsidR="00FD7C27">
        <w:rPr>
          <w:color w:val="000000"/>
          <w:szCs w:val="24"/>
        </w:rPr>
        <w:t xml:space="preserve"> Case No. 15-697-EL-CSS</w:t>
      </w:r>
      <w:r w:rsidRPr="004B7144" w:rsidR="00F02D23">
        <w:rPr>
          <w:color w:val="000000"/>
          <w:szCs w:val="24"/>
        </w:rPr>
        <w:t xml:space="preserve"> (Whitt Complaint)</w:t>
      </w:r>
      <w:r w:rsidRPr="004B7144" w:rsidR="00CE66BA">
        <w:rPr>
          <w:color w:val="000000"/>
          <w:szCs w:val="24"/>
        </w:rPr>
        <w:t>.</w:t>
      </w:r>
      <w:r>
        <w:rPr>
          <w:rStyle w:val="FootnoteReference"/>
          <w:color w:val="000000"/>
          <w:szCs w:val="24"/>
        </w:rPr>
        <w:footnoteReference w:id="22"/>
      </w:r>
      <w:r w:rsidRPr="004B7144" w:rsidR="00132F1B">
        <w:rPr>
          <w:color w:val="000000"/>
          <w:szCs w:val="24"/>
        </w:rPr>
        <w:t xml:space="preserve"> </w:t>
      </w:r>
      <w:r w:rsidRPr="004B7144">
        <w:rPr>
          <w:color w:val="000000"/>
          <w:szCs w:val="24"/>
        </w:rPr>
        <w:t xml:space="preserve">However, the </w:t>
      </w:r>
      <w:r w:rsidRPr="004B7144" w:rsidR="005627D9">
        <w:rPr>
          <w:color w:val="000000"/>
          <w:szCs w:val="24"/>
        </w:rPr>
        <w:t xml:space="preserve">PUCO’s </w:t>
      </w:r>
      <w:r w:rsidRPr="004B7144" w:rsidR="001D2379">
        <w:rPr>
          <w:color w:val="000000"/>
          <w:szCs w:val="24"/>
        </w:rPr>
        <w:t>November 18, 2015 Entry denying</w:t>
      </w:r>
      <w:r w:rsidRPr="004B7144" w:rsidR="005627D9">
        <w:rPr>
          <w:color w:val="000000"/>
          <w:szCs w:val="24"/>
        </w:rPr>
        <w:t xml:space="preserve"> OCC</w:t>
      </w:r>
      <w:r w:rsidRPr="004B7144" w:rsidR="001D2379">
        <w:rPr>
          <w:color w:val="000000"/>
          <w:szCs w:val="24"/>
        </w:rPr>
        <w:t xml:space="preserve"> intervention</w:t>
      </w:r>
      <w:r w:rsidRPr="004B7144" w:rsidR="005627D9">
        <w:rPr>
          <w:color w:val="000000"/>
          <w:szCs w:val="24"/>
        </w:rPr>
        <w:t xml:space="preserve"> in the Whitt complaint</w:t>
      </w:r>
      <w:r w:rsidRPr="004B7144" w:rsidR="0088606B">
        <w:rPr>
          <w:color w:val="000000"/>
          <w:szCs w:val="24"/>
        </w:rPr>
        <w:t xml:space="preserve"> sho</w:t>
      </w:r>
      <w:r w:rsidRPr="004B7144" w:rsidR="00132F1B">
        <w:rPr>
          <w:color w:val="000000"/>
          <w:szCs w:val="24"/>
        </w:rPr>
        <w:t>uld not control here.</w:t>
      </w:r>
      <w:r w:rsidRPr="004B7144" w:rsidR="00414663">
        <w:rPr>
          <w:color w:val="000000"/>
          <w:szCs w:val="24"/>
        </w:rPr>
        <w:t xml:space="preserve"> </w:t>
      </w:r>
    </w:p>
    <w:p w:rsidR="000079E6" w:rsidRPr="004B7144" w:rsidP="00A67EE0" w14:paraId="3E09B58E" w14:textId="63357E0C">
      <w:pPr>
        <w:pStyle w:val="BodyTextIndent3"/>
        <w:widowControl w:val="0"/>
        <w:spacing w:line="480" w:lineRule="auto"/>
        <w:ind w:right="-312"/>
        <w:rPr>
          <w:szCs w:val="24"/>
        </w:rPr>
      </w:pPr>
      <w:r w:rsidRPr="004B7144">
        <w:rPr>
          <w:szCs w:val="24"/>
        </w:rPr>
        <w:t>Indeed, t</w:t>
      </w:r>
      <w:r w:rsidRPr="004B7144" w:rsidR="00053068">
        <w:rPr>
          <w:szCs w:val="24"/>
        </w:rPr>
        <w:t>h</w:t>
      </w:r>
      <w:r w:rsidRPr="004B7144" w:rsidR="00132F1B">
        <w:rPr>
          <w:szCs w:val="24"/>
        </w:rPr>
        <w:t xml:space="preserve">e Whitt </w:t>
      </w:r>
      <w:r w:rsidRPr="004B7144" w:rsidR="00271BAA">
        <w:rPr>
          <w:szCs w:val="24"/>
        </w:rPr>
        <w:t>c</w:t>
      </w:r>
      <w:r w:rsidRPr="004B7144" w:rsidR="00132F1B">
        <w:rPr>
          <w:szCs w:val="24"/>
        </w:rPr>
        <w:t xml:space="preserve">omplaint </w:t>
      </w:r>
      <w:r w:rsidRPr="004B7144" w:rsidR="00053068">
        <w:rPr>
          <w:szCs w:val="24"/>
        </w:rPr>
        <w:t xml:space="preserve">concerned a </w:t>
      </w:r>
      <w:r w:rsidRPr="004B7144" w:rsidR="00053068">
        <w:rPr>
          <w:i/>
          <w:iCs/>
          <w:szCs w:val="24"/>
        </w:rPr>
        <w:t>single</w:t>
      </w:r>
      <w:r w:rsidRPr="004B7144" w:rsidR="00053068">
        <w:rPr>
          <w:szCs w:val="24"/>
        </w:rPr>
        <w:t xml:space="preserve"> </w:t>
      </w:r>
      <w:r w:rsidRPr="004B7144" w:rsidR="00271BAA">
        <w:rPr>
          <w:szCs w:val="24"/>
        </w:rPr>
        <w:t xml:space="preserve">residential consumer </w:t>
      </w:r>
      <w:r w:rsidRPr="004B7144" w:rsidR="00053068">
        <w:rPr>
          <w:szCs w:val="24"/>
        </w:rPr>
        <w:t>complainant</w:t>
      </w:r>
      <w:r w:rsidRPr="004B7144" w:rsidR="00D22AD8">
        <w:rPr>
          <w:szCs w:val="24"/>
        </w:rPr>
        <w:t xml:space="preserve"> (Mark Whitt)</w:t>
      </w:r>
      <w:r w:rsidRPr="004B7144" w:rsidR="00053068">
        <w:rPr>
          <w:szCs w:val="24"/>
        </w:rPr>
        <w:t xml:space="preserve"> against NEP</w:t>
      </w:r>
      <w:r w:rsidRPr="004B7144" w:rsidR="00132F1B">
        <w:rPr>
          <w:szCs w:val="24"/>
        </w:rPr>
        <w:t>.</w:t>
      </w:r>
      <w:r>
        <w:rPr>
          <w:rStyle w:val="FootnoteReference"/>
          <w:szCs w:val="24"/>
        </w:rPr>
        <w:footnoteReference w:id="23"/>
      </w:r>
      <w:r w:rsidRPr="004B7144" w:rsidR="00BA4E04">
        <w:rPr>
          <w:szCs w:val="24"/>
        </w:rPr>
        <w:t xml:space="preserve"> </w:t>
      </w:r>
      <w:r w:rsidRPr="004B7144" w:rsidR="00132F1B">
        <w:rPr>
          <w:szCs w:val="24"/>
        </w:rPr>
        <w:t>As NEP acknowledged</w:t>
      </w:r>
      <w:r w:rsidRPr="004B7144" w:rsidR="00271BAA">
        <w:rPr>
          <w:szCs w:val="24"/>
        </w:rPr>
        <w:t xml:space="preserve"> in that case</w:t>
      </w:r>
      <w:r w:rsidRPr="004B7144" w:rsidR="00132F1B">
        <w:rPr>
          <w:szCs w:val="24"/>
        </w:rPr>
        <w:t xml:space="preserve">, Mr. Whitt </w:t>
      </w:r>
      <w:r w:rsidRPr="004B7144" w:rsidR="00271BAA">
        <w:rPr>
          <w:szCs w:val="24"/>
        </w:rPr>
        <w:t>was (and still is)</w:t>
      </w:r>
      <w:r w:rsidRPr="004B7144" w:rsidR="00B5081F">
        <w:rPr>
          <w:szCs w:val="24"/>
        </w:rPr>
        <w:t xml:space="preserve"> </w:t>
      </w:r>
      <w:r w:rsidRPr="004B7144" w:rsidR="00BA4E04">
        <w:rPr>
          <w:szCs w:val="24"/>
        </w:rPr>
        <w:t xml:space="preserve">an attorney </w:t>
      </w:r>
      <w:r w:rsidRPr="004B7144" w:rsidR="00271BAA">
        <w:rPr>
          <w:szCs w:val="24"/>
        </w:rPr>
        <w:t>experienced</w:t>
      </w:r>
      <w:r w:rsidRPr="004B7144" w:rsidR="00BA4E04">
        <w:rPr>
          <w:szCs w:val="24"/>
        </w:rPr>
        <w:t xml:space="preserve"> in utility regulatory matters before the PUCO</w:t>
      </w:r>
      <w:r w:rsidRPr="004B7144" w:rsidR="002C2339">
        <w:rPr>
          <w:szCs w:val="24"/>
        </w:rPr>
        <w:t>.</w:t>
      </w:r>
      <w:r>
        <w:rPr>
          <w:rStyle w:val="FootnoteReference"/>
          <w:szCs w:val="24"/>
        </w:rPr>
        <w:footnoteReference w:id="24"/>
      </w:r>
      <w:r w:rsidRPr="004B7144" w:rsidR="00BA4E04">
        <w:rPr>
          <w:szCs w:val="24"/>
        </w:rPr>
        <w:t xml:space="preserve"> </w:t>
      </w:r>
      <w:r w:rsidRPr="004B7144" w:rsidR="002C2339">
        <w:rPr>
          <w:szCs w:val="24"/>
        </w:rPr>
        <w:t>A</w:t>
      </w:r>
      <w:r w:rsidRPr="004B7144" w:rsidR="00BA4E04">
        <w:rPr>
          <w:szCs w:val="24"/>
        </w:rPr>
        <w:t>s such,</w:t>
      </w:r>
      <w:r w:rsidRPr="004B7144" w:rsidR="002C2339">
        <w:rPr>
          <w:szCs w:val="24"/>
        </w:rPr>
        <w:t xml:space="preserve"> Mr. Whitt</w:t>
      </w:r>
      <w:r w:rsidRPr="004B7144" w:rsidR="00BA4E04">
        <w:rPr>
          <w:szCs w:val="24"/>
        </w:rPr>
        <w:t xml:space="preserve"> was </w:t>
      </w:r>
      <w:r w:rsidRPr="004B7144" w:rsidR="00271BAA">
        <w:rPr>
          <w:szCs w:val="24"/>
        </w:rPr>
        <w:t>fully</w:t>
      </w:r>
      <w:r w:rsidRPr="004B7144" w:rsidR="00BA4E04">
        <w:rPr>
          <w:szCs w:val="24"/>
        </w:rPr>
        <w:t xml:space="preserve"> capable of representing his own interests in the matter.</w:t>
      </w:r>
      <w:r w:rsidRPr="004B7144" w:rsidR="002C2339">
        <w:rPr>
          <w:szCs w:val="24"/>
        </w:rPr>
        <w:t xml:space="preserve"> </w:t>
      </w:r>
      <w:r w:rsidRPr="004B7144" w:rsidR="00271BAA">
        <w:rPr>
          <w:szCs w:val="24"/>
        </w:rPr>
        <w:t>Further</w:t>
      </w:r>
      <w:r w:rsidRPr="004B7144" w:rsidR="002C2339">
        <w:rPr>
          <w:szCs w:val="24"/>
        </w:rPr>
        <w:t>, OCC’s motion to inter</w:t>
      </w:r>
      <w:r w:rsidRPr="004B7144" w:rsidR="00E441F5">
        <w:rPr>
          <w:szCs w:val="24"/>
        </w:rPr>
        <w:t xml:space="preserve">vene sought intervention on behalf of all Ohio residential </w:t>
      </w:r>
      <w:r w:rsidRPr="004B7144" w:rsidR="00B228CE">
        <w:rPr>
          <w:szCs w:val="24"/>
        </w:rPr>
        <w:t xml:space="preserve">utility </w:t>
      </w:r>
      <w:r w:rsidRPr="004B7144" w:rsidR="00E441F5">
        <w:rPr>
          <w:szCs w:val="24"/>
        </w:rPr>
        <w:t>consumers.</w:t>
      </w:r>
      <w:r>
        <w:rPr>
          <w:rStyle w:val="FootnoteReference"/>
          <w:szCs w:val="24"/>
        </w:rPr>
        <w:footnoteReference w:id="25"/>
      </w:r>
      <w:r w:rsidRPr="004B7144" w:rsidR="00CE5ADB">
        <w:rPr>
          <w:szCs w:val="24"/>
        </w:rPr>
        <w:t xml:space="preserve"> Because the Whitt </w:t>
      </w:r>
      <w:r w:rsidRPr="004B7144" w:rsidR="00566C97">
        <w:rPr>
          <w:szCs w:val="24"/>
        </w:rPr>
        <w:t>c</w:t>
      </w:r>
      <w:r w:rsidRPr="004B7144" w:rsidR="00CE5ADB">
        <w:rPr>
          <w:szCs w:val="24"/>
        </w:rPr>
        <w:t>omplaint involved a dispute between a single</w:t>
      </w:r>
      <w:r w:rsidRPr="004B7144" w:rsidR="00091831">
        <w:rPr>
          <w:szCs w:val="24"/>
        </w:rPr>
        <w:t xml:space="preserve"> residential</w:t>
      </w:r>
      <w:r w:rsidRPr="004B7144" w:rsidR="00CE5ADB">
        <w:rPr>
          <w:szCs w:val="24"/>
        </w:rPr>
        <w:t xml:space="preserve"> customer and NEP,</w:t>
      </w:r>
      <w:r w:rsidRPr="004B7144" w:rsidR="00FF186A">
        <w:rPr>
          <w:szCs w:val="24"/>
        </w:rPr>
        <w:t xml:space="preserve"> both of whom were represented by experienced counsel,</w:t>
      </w:r>
      <w:r w:rsidRPr="004B7144" w:rsidR="00CE5ADB">
        <w:rPr>
          <w:szCs w:val="24"/>
        </w:rPr>
        <w:t xml:space="preserve"> the PUCO de</w:t>
      </w:r>
      <w:r w:rsidRPr="004B7144" w:rsidR="00091831">
        <w:rPr>
          <w:szCs w:val="24"/>
        </w:rPr>
        <w:t>nied intervention to OCC</w:t>
      </w:r>
      <w:r w:rsidRPr="004B7144" w:rsidR="00566C97">
        <w:rPr>
          <w:szCs w:val="24"/>
        </w:rPr>
        <w:t xml:space="preserve"> and others for failing to demonstrate how they represented the interests of either Mark Whitt or NEP</w:t>
      </w:r>
      <w:r w:rsidRPr="004B7144" w:rsidR="00091831">
        <w:rPr>
          <w:szCs w:val="24"/>
        </w:rPr>
        <w:t>.</w:t>
      </w:r>
      <w:r w:rsidRPr="004B7144" w:rsidR="00BA4E04">
        <w:rPr>
          <w:szCs w:val="24"/>
        </w:rPr>
        <w:t xml:space="preserve"> </w:t>
      </w:r>
    </w:p>
    <w:p w:rsidR="002C2339" w:rsidRPr="004B7144" w:rsidP="00A67EE0" w14:paraId="1586E520" w14:textId="02050736">
      <w:pPr>
        <w:pStyle w:val="BodyTextIndent3"/>
        <w:widowControl w:val="0"/>
        <w:spacing w:line="480" w:lineRule="auto"/>
        <w:ind w:right="-312"/>
        <w:rPr>
          <w:szCs w:val="24"/>
        </w:rPr>
      </w:pPr>
      <w:r w:rsidRPr="004B7144">
        <w:rPr>
          <w:szCs w:val="24"/>
        </w:rPr>
        <w:t xml:space="preserve">By contrast, </w:t>
      </w:r>
      <w:r w:rsidRPr="004B7144" w:rsidR="00DA30F0">
        <w:rPr>
          <w:szCs w:val="24"/>
        </w:rPr>
        <w:t>Duke’s</w:t>
      </w:r>
      <w:r w:rsidRPr="004B7144">
        <w:rPr>
          <w:szCs w:val="24"/>
        </w:rPr>
        <w:t xml:space="preserve"> complaint </w:t>
      </w:r>
      <w:r w:rsidRPr="004B7144" w:rsidR="00566C97">
        <w:rPr>
          <w:szCs w:val="24"/>
        </w:rPr>
        <w:t xml:space="preserve">in this case </w:t>
      </w:r>
      <w:r w:rsidRPr="004B7144">
        <w:rPr>
          <w:szCs w:val="24"/>
        </w:rPr>
        <w:t xml:space="preserve">directly impacts </w:t>
      </w:r>
      <w:r w:rsidRPr="004B7144">
        <w:rPr>
          <w:i/>
          <w:iCs/>
          <w:szCs w:val="24"/>
        </w:rPr>
        <w:t xml:space="preserve">over </w:t>
      </w:r>
      <w:r w:rsidRPr="004B7144" w:rsidR="00CF2F64">
        <w:rPr>
          <w:i/>
          <w:iCs/>
          <w:szCs w:val="24"/>
        </w:rPr>
        <w:t>five hundred</w:t>
      </w:r>
      <w:r w:rsidRPr="004B7144">
        <w:rPr>
          <w:szCs w:val="24"/>
        </w:rPr>
        <w:t xml:space="preserve"> </w:t>
      </w:r>
      <w:r w:rsidRPr="004B7144" w:rsidR="00911BB5">
        <w:rPr>
          <w:szCs w:val="24"/>
        </w:rPr>
        <w:t>apartment complex residential utility consumers</w:t>
      </w:r>
      <w:r w:rsidRPr="004B7144">
        <w:rPr>
          <w:szCs w:val="24"/>
        </w:rPr>
        <w:t xml:space="preserve"> who </w:t>
      </w:r>
      <w:r w:rsidRPr="004B7144" w:rsidR="00566C97">
        <w:rPr>
          <w:szCs w:val="24"/>
        </w:rPr>
        <w:t>are likely inexperienced in</w:t>
      </w:r>
      <w:r w:rsidRPr="004B7144">
        <w:rPr>
          <w:szCs w:val="24"/>
        </w:rPr>
        <w:t xml:space="preserve"> litigating matters before the PUCO.</w:t>
      </w:r>
      <w:r w:rsidRPr="004B7144" w:rsidR="00566C97">
        <w:rPr>
          <w:szCs w:val="24"/>
        </w:rPr>
        <w:t xml:space="preserve"> OCC’s motion to intervene specifically states that </w:t>
      </w:r>
      <w:r w:rsidRPr="004B7144" w:rsidR="00BA0590">
        <w:rPr>
          <w:szCs w:val="24"/>
        </w:rPr>
        <w:t>OCC</w:t>
      </w:r>
      <w:r w:rsidRPr="004B7144" w:rsidR="00316BC2">
        <w:rPr>
          <w:szCs w:val="24"/>
        </w:rPr>
        <w:t xml:space="preserve"> </w:t>
      </w:r>
      <w:r w:rsidRPr="004B7144" w:rsidR="00BA0590">
        <w:rPr>
          <w:szCs w:val="24"/>
        </w:rPr>
        <w:t>seeks intervention “</w:t>
      </w:r>
      <w:r w:rsidRPr="004B7144" w:rsidR="00CF2F64">
        <w:rPr>
          <w:szCs w:val="24"/>
        </w:rPr>
        <w:t xml:space="preserve">on behalf of Duke’s residential utility customers, </w:t>
      </w:r>
      <w:r w:rsidRPr="004B7144" w:rsidR="00CF2F64">
        <w:rPr>
          <w:b/>
          <w:bCs/>
          <w:i/>
          <w:iCs/>
          <w:szCs w:val="24"/>
        </w:rPr>
        <w:t>where NEP is attempting to force these residential consumers to give up Duke’s electric utility service</w:t>
      </w:r>
      <w:r w:rsidRPr="004B7144" w:rsidR="00BA0590">
        <w:rPr>
          <w:szCs w:val="24"/>
        </w:rPr>
        <w:t>.”</w:t>
      </w:r>
      <w:r>
        <w:rPr>
          <w:rStyle w:val="FootnoteReference"/>
          <w:szCs w:val="24"/>
        </w:rPr>
        <w:footnoteReference w:id="26"/>
      </w:r>
      <w:r w:rsidRPr="004B7144" w:rsidR="00BA0590">
        <w:rPr>
          <w:szCs w:val="24"/>
        </w:rPr>
        <w:t xml:space="preserve"> </w:t>
      </w:r>
      <w:r w:rsidRPr="004B7144" w:rsidR="00FF186A">
        <w:rPr>
          <w:szCs w:val="24"/>
        </w:rPr>
        <w:t xml:space="preserve">As set forth in </w:t>
      </w:r>
      <w:r w:rsidRPr="004B7144" w:rsidR="00CF2F64">
        <w:rPr>
          <w:szCs w:val="24"/>
        </w:rPr>
        <w:t>Duke’s</w:t>
      </w:r>
      <w:r w:rsidRPr="004B7144" w:rsidR="00FF186A">
        <w:rPr>
          <w:szCs w:val="24"/>
        </w:rPr>
        <w:t xml:space="preserve"> complaint, t</w:t>
      </w:r>
      <w:r w:rsidRPr="004B7144">
        <w:rPr>
          <w:szCs w:val="24"/>
        </w:rPr>
        <w:t>he</w:t>
      </w:r>
      <w:r w:rsidRPr="004B7144" w:rsidR="00973CF7">
        <w:rPr>
          <w:szCs w:val="24"/>
        </w:rPr>
        <w:t xml:space="preserve"> </w:t>
      </w:r>
      <w:r w:rsidRPr="004B7144" w:rsidR="00911BB5">
        <w:rPr>
          <w:szCs w:val="24"/>
        </w:rPr>
        <w:t>apartment complex residents have</w:t>
      </w:r>
      <w:r w:rsidRPr="004B7144" w:rsidR="002B2BFA">
        <w:rPr>
          <w:szCs w:val="24"/>
        </w:rPr>
        <w:t xml:space="preserve"> </w:t>
      </w:r>
      <w:r w:rsidRPr="004B7144" w:rsidR="00FF186A">
        <w:rPr>
          <w:szCs w:val="24"/>
        </w:rPr>
        <w:t xml:space="preserve">real and </w:t>
      </w:r>
      <w:r w:rsidRPr="004B7144" w:rsidR="002B2BFA">
        <w:rPr>
          <w:szCs w:val="24"/>
        </w:rPr>
        <w:t>substantial</w:t>
      </w:r>
      <w:r w:rsidRPr="004B7144" w:rsidR="00FF186A">
        <w:rPr>
          <w:szCs w:val="24"/>
        </w:rPr>
        <w:t xml:space="preserve"> interest</w:t>
      </w:r>
      <w:r w:rsidRPr="004B7144" w:rsidR="002B2BFA">
        <w:rPr>
          <w:szCs w:val="24"/>
        </w:rPr>
        <w:t>s</w:t>
      </w:r>
      <w:r w:rsidRPr="004B7144" w:rsidR="00FF186A">
        <w:rPr>
          <w:szCs w:val="24"/>
        </w:rPr>
        <w:t xml:space="preserve"> in this case, and they</w:t>
      </w:r>
      <w:r w:rsidRPr="004B7144">
        <w:rPr>
          <w:szCs w:val="24"/>
        </w:rPr>
        <w:t xml:space="preserve"> deserve representation</w:t>
      </w:r>
      <w:r w:rsidRPr="004B7144" w:rsidR="00FF186A">
        <w:rPr>
          <w:szCs w:val="24"/>
        </w:rPr>
        <w:t xml:space="preserve"> </w:t>
      </w:r>
      <w:r w:rsidRPr="004B7144">
        <w:rPr>
          <w:szCs w:val="24"/>
        </w:rPr>
        <w:t>by the statutory residential utility consumer advocate, OCC.</w:t>
      </w:r>
      <w:r w:rsidRPr="004B7144" w:rsidR="00FA2C85">
        <w:rPr>
          <w:szCs w:val="24"/>
        </w:rPr>
        <w:t xml:space="preserve"> </w:t>
      </w:r>
    </w:p>
    <w:p w:rsidR="009A7BC2" w:rsidRPr="004B7144" w:rsidP="005731F1" w14:paraId="7310BC9C" w14:textId="5032235C">
      <w:pPr>
        <w:pStyle w:val="BodyTextIndent3"/>
        <w:widowControl w:val="0"/>
        <w:spacing w:line="480" w:lineRule="auto"/>
        <w:ind w:right="-312"/>
        <w:rPr>
          <w:szCs w:val="24"/>
        </w:rPr>
      </w:pPr>
      <w:r w:rsidRPr="004B7144">
        <w:rPr>
          <w:szCs w:val="24"/>
        </w:rPr>
        <w:t>In addition, although OCC’s intervention in the Whitt complaint case was denied</w:t>
      </w:r>
      <w:r w:rsidRPr="004B7144" w:rsidR="00B87518">
        <w:rPr>
          <w:szCs w:val="24"/>
        </w:rPr>
        <w:t xml:space="preserve"> (</w:t>
      </w:r>
      <w:r w:rsidRPr="004B7144" w:rsidR="006F5302">
        <w:rPr>
          <w:szCs w:val="24"/>
        </w:rPr>
        <w:t>mistakenly</w:t>
      </w:r>
      <w:r w:rsidRPr="004B7144" w:rsidR="00B87518">
        <w:rPr>
          <w:szCs w:val="24"/>
        </w:rPr>
        <w:t xml:space="preserve"> in our view)</w:t>
      </w:r>
      <w:r w:rsidRPr="004B7144">
        <w:rPr>
          <w:szCs w:val="24"/>
        </w:rPr>
        <w:t>,</w:t>
      </w:r>
      <w:r w:rsidRPr="004B7144" w:rsidR="005731F1">
        <w:rPr>
          <w:szCs w:val="24"/>
        </w:rPr>
        <w:t xml:space="preserve"> </w:t>
      </w:r>
      <w:r w:rsidRPr="004B7144">
        <w:rPr>
          <w:szCs w:val="24"/>
        </w:rPr>
        <w:t xml:space="preserve">the </w:t>
      </w:r>
      <w:r w:rsidRPr="004B7144" w:rsidR="005731F1">
        <w:rPr>
          <w:szCs w:val="24"/>
        </w:rPr>
        <w:t xml:space="preserve">PUCO </w:t>
      </w:r>
      <w:r w:rsidRPr="004B7144">
        <w:rPr>
          <w:szCs w:val="24"/>
        </w:rPr>
        <w:t>stated that</w:t>
      </w:r>
      <w:r w:rsidRPr="004B7144" w:rsidR="00CC2F98">
        <w:rPr>
          <w:szCs w:val="24"/>
        </w:rPr>
        <w:t xml:space="preserve"> its</w:t>
      </w:r>
      <w:r w:rsidRPr="004B7144">
        <w:rPr>
          <w:szCs w:val="24"/>
        </w:rPr>
        <w:t xml:space="preserve"> decision did not</w:t>
      </w:r>
      <w:r w:rsidRPr="004B7144" w:rsidR="00AB6756">
        <w:rPr>
          <w:szCs w:val="24"/>
        </w:rPr>
        <w:t xml:space="preserve"> foreclose </w:t>
      </w:r>
      <w:r w:rsidRPr="004B7144" w:rsidR="00A01FB9">
        <w:rPr>
          <w:szCs w:val="24"/>
        </w:rPr>
        <w:t xml:space="preserve">OCC and other parties </w:t>
      </w:r>
      <w:r w:rsidRPr="004B7144" w:rsidR="00AB6756">
        <w:rPr>
          <w:szCs w:val="24"/>
        </w:rPr>
        <w:t xml:space="preserve">from </w:t>
      </w:r>
      <w:r w:rsidRPr="004B7144">
        <w:rPr>
          <w:szCs w:val="24"/>
        </w:rPr>
        <w:t xml:space="preserve">representing consumers’ interests </w:t>
      </w:r>
      <w:r w:rsidRPr="004B7144" w:rsidR="00583043">
        <w:rPr>
          <w:szCs w:val="24"/>
        </w:rPr>
        <w:t>through participat</w:t>
      </w:r>
      <w:r w:rsidRPr="004B7144" w:rsidR="005731F1">
        <w:rPr>
          <w:szCs w:val="24"/>
        </w:rPr>
        <w:t xml:space="preserve">ion </w:t>
      </w:r>
      <w:r w:rsidRPr="004B7144" w:rsidR="00583043">
        <w:rPr>
          <w:szCs w:val="24"/>
        </w:rPr>
        <w:t>in</w:t>
      </w:r>
      <w:r w:rsidRPr="004B7144">
        <w:rPr>
          <w:szCs w:val="24"/>
        </w:rPr>
        <w:t xml:space="preserve"> the PUCO</w:t>
      </w:r>
      <w:r w:rsidRPr="004B7144" w:rsidR="00052DD3">
        <w:rPr>
          <w:szCs w:val="24"/>
        </w:rPr>
        <w:t>-</w:t>
      </w:r>
      <w:r w:rsidRPr="004B7144">
        <w:rPr>
          <w:szCs w:val="24"/>
        </w:rPr>
        <w:t>ordered investigation into submetering in</w:t>
      </w:r>
      <w:r w:rsidRPr="004B7144" w:rsidR="0059527A">
        <w:rPr>
          <w:szCs w:val="24"/>
        </w:rPr>
        <w:t xml:space="preserve"> </w:t>
      </w:r>
      <w:r w:rsidRPr="004B7144" w:rsidR="00583043">
        <w:rPr>
          <w:szCs w:val="24"/>
        </w:rPr>
        <w:t>Case No. 15-1594-AU-COI</w:t>
      </w:r>
      <w:r w:rsidRPr="004B7144" w:rsidR="00CC2F98">
        <w:rPr>
          <w:szCs w:val="24"/>
        </w:rPr>
        <w:t>. There,</w:t>
      </w:r>
      <w:r w:rsidRPr="004B7144" w:rsidR="007B6AAF">
        <w:rPr>
          <w:szCs w:val="24"/>
        </w:rPr>
        <w:t xml:space="preserve"> OCC</w:t>
      </w:r>
      <w:r w:rsidRPr="004B7144" w:rsidR="00CC2F98">
        <w:rPr>
          <w:szCs w:val="24"/>
        </w:rPr>
        <w:t xml:space="preserve"> and other parties</w:t>
      </w:r>
      <w:r w:rsidRPr="004B7144" w:rsidR="007B6AAF">
        <w:rPr>
          <w:szCs w:val="24"/>
        </w:rPr>
        <w:t xml:space="preserve"> </w:t>
      </w:r>
      <w:r w:rsidRPr="004B7144" w:rsidR="005F5616">
        <w:rPr>
          <w:szCs w:val="24"/>
        </w:rPr>
        <w:t>had</w:t>
      </w:r>
      <w:r w:rsidRPr="004B7144" w:rsidR="007B6AAF">
        <w:rPr>
          <w:szCs w:val="24"/>
        </w:rPr>
        <w:t xml:space="preserve"> “an opportunity to contribute to the full development and equitable resolution of the underlying legal issue.”</w:t>
      </w:r>
      <w:r>
        <w:rPr>
          <w:rStyle w:val="FootnoteReference"/>
          <w:szCs w:val="24"/>
        </w:rPr>
        <w:footnoteReference w:id="27"/>
      </w:r>
      <w:r w:rsidRPr="004B7144" w:rsidR="00D475BC">
        <w:rPr>
          <w:szCs w:val="24"/>
        </w:rPr>
        <w:t xml:space="preserve"> </w:t>
      </w:r>
      <w:r w:rsidRPr="004B7144">
        <w:rPr>
          <w:szCs w:val="24"/>
        </w:rPr>
        <w:t>OCC did participate in the PUCO’s submetering investigation, which resulted in</w:t>
      </w:r>
      <w:r w:rsidRPr="004B7144" w:rsidR="00240FC4">
        <w:rPr>
          <w:szCs w:val="24"/>
        </w:rPr>
        <w:t xml:space="preserve"> the</w:t>
      </w:r>
      <w:r w:rsidRPr="004B7144">
        <w:rPr>
          <w:szCs w:val="24"/>
        </w:rPr>
        <w:t xml:space="preserve"> PUCO</w:t>
      </w:r>
      <w:r w:rsidRPr="004B7144" w:rsidR="00240FC4">
        <w:rPr>
          <w:szCs w:val="24"/>
        </w:rPr>
        <w:t>’s</w:t>
      </w:r>
      <w:r w:rsidRPr="004B7144">
        <w:rPr>
          <w:szCs w:val="24"/>
        </w:rPr>
        <w:t xml:space="preserve"> adopt</w:t>
      </w:r>
      <w:r w:rsidRPr="004B7144" w:rsidR="00240FC4">
        <w:rPr>
          <w:szCs w:val="24"/>
        </w:rPr>
        <w:t>ion of</w:t>
      </w:r>
      <w:r w:rsidRPr="004B7144">
        <w:rPr>
          <w:szCs w:val="24"/>
        </w:rPr>
        <w:t xml:space="preserve"> the</w:t>
      </w:r>
      <w:r w:rsidRPr="004B7144" w:rsidR="00CC2F98">
        <w:rPr>
          <w:szCs w:val="24"/>
        </w:rPr>
        <w:t xml:space="preserve"> so-called</w:t>
      </w:r>
      <w:r w:rsidRPr="004B7144">
        <w:rPr>
          <w:szCs w:val="24"/>
        </w:rPr>
        <w:t xml:space="preserve"> “modified </w:t>
      </w:r>
      <w:r w:rsidRPr="004B7144">
        <w:rPr>
          <w:i/>
          <w:iCs/>
          <w:szCs w:val="24"/>
        </w:rPr>
        <w:t>Shroyer</w:t>
      </w:r>
      <w:r w:rsidRPr="004B7144">
        <w:rPr>
          <w:szCs w:val="24"/>
        </w:rPr>
        <w:t xml:space="preserve"> test” to evaluate whether submetering companies like NEP operate as public utilities.</w:t>
      </w:r>
      <w:r>
        <w:rPr>
          <w:rStyle w:val="FootnoteReference"/>
          <w:szCs w:val="24"/>
        </w:rPr>
        <w:footnoteReference w:id="28"/>
      </w:r>
      <w:r w:rsidRPr="004B7144">
        <w:rPr>
          <w:szCs w:val="24"/>
        </w:rPr>
        <w:t xml:space="preserve"> </w:t>
      </w:r>
      <w:r w:rsidRPr="004B7144" w:rsidR="000665BF">
        <w:rPr>
          <w:szCs w:val="24"/>
        </w:rPr>
        <w:t>T</w:t>
      </w:r>
      <w:r w:rsidRPr="004B7144" w:rsidR="00240FC4">
        <w:rPr>
          <w:szCs w:val="24"/>
        </w:rPr>
        <w:t xml:space="preserve">he modified </w:t>
      </w:r>
      <w:r w:rsidRPr="004B7144" w:rsidR="00240FC4">
        <w:rPr>
          <w:i/>
          <w:iCs/>
          <w:szCs w:val="24"/>
        </w:rPr>
        <w:t>Shroyer</w:t>
      </w:r>
      <w:r w:rsidRPr="004B7144" w:rsidR="00240FC4">
        <w:rPr>
          <w:szCs w:val="24"/>
        </w:rPr>
        <w:t xml:space="preserve"> test was</w:t>
      </w:r>
      <w:r w:rsidRPr="004B7144">
        <w:rPr>
          <w:szCs w:val="24"/>
        </w:rPr>
        <w:t xml:space="preserve"> subsequently </w:t>
      </w:r>
      <w:r w:rsidRPr="004B7144" w:rsidR="00240FC4">
        <w:rPr>
          <w:szCs w:val="24"/>
        </w:rPr>
        <w:t>reversed</w:t>
      </w:r>
      <w:r w:rsidRPr="004B7144">
        <w:rPr>
          <w:szCs w:val="24"/>
        </w:rPr>
        <w:t xml:space="preserve"> by the Supreme Court of Ohio </w:t>
      </w:r>
      <w:r w:rsidRPr="004B7144" w:rsidR="000665BF">
        <w:rPr>
          <w:szCs w:val="24"/>
        </w:rPr>
        <w:t xml:space="preserve">(“Court”) </w:t>
      </w:r>
      <w:r w:rsidRPr="004B7144">
        <w:rPr>
          <w:szCs w:val="24"/>
        </w:rPr>
        <w:t xml:space="preserve">in </w:t>
      </w:r>
      <w:r w:rsidRPr="004B7144">
        <w:rPr>
          <w:i/>
          <w:iCs/>
          <w:szCs w:val="24"/>
        </w:rPr>
        <w:t>In re Wingo</w:t>
      </w:r>
      <w:r w:rsidRPr="004B7144">
        <w:rPr>
          <w:szCs w:val="24"/>
        </w:rPr>
        <w:t>, 2020-Ohio-5583.</w:t>
      </w:r>
    </w:p>
    <w:p w:rsidR="00272B7E" w:rsidRPr="004B7144" w:rsidP="000665BF" w14:paraId="6420B185" w14:textId="4F886DB4">
      <w:pPr>
        <w:pStyle w:val="BodyTextIndent3"/>
        <w:widowControl w:val="0"/>
        <w:spacing w:line="480" w:lineRule="auto"/>
        <w:ind w:right="-312"/>
        <w:rPr>
          <w:szCs w:val="24"/>
        </w:rPr>
      </w:pPr>
      <w:r w:rsidRPr="004B7144">
        <w:rPr>
          <w:szCs w:val="24"/>
        </w:rPr>
        <w:t>I</w:t>
      </w:r>
      <w:r w:rsidRPr="004B7144" w:rsidR="000665BF">
        <w:rPr>
          <w:szCs w:val="24"/>
        </w:rPr>
        <w:t>f OCC’s intervention in this case is denied</w:t>
      </w:r>
      <w:r w:rsidRPr="004B7144" w:rsidR="00801EFF">
        <w:rPr>
          <w:szCs w:val="24"/>
        </w:rPr>
        <w:t xml:space="preserve">, </w:t>
      </w:r>
      <w:r w:rsidRPr="004B7144" w:rsidR="005731F1">
        <w:rPr>
          <w:szCs w:val="24"/>
        </w:rPr>
        <w:t xml:space="preserve">there </w:t>
      </w:r>
      <w:r w:rsidRPr="004B7144" w:rsidR="005731F1">
        <w:rPr>
          <w:i/>
          <w:iCs/>
          <w:szCs w:val="24"/>
        </w:rPr>
        <w:t xml:space="preserve">is no </w:t>
      </w:r>
      <w:r w:rsidRPr="004B7144" w:rsidR="009143A0">
        <w:rPr>
          <w:i/>
          <w:iCs/>
          <w:szCs w:val="24"/>
        </w:rPr>
        <w:t>present</w:t>
      </w:r>
      <w:r w:rsidRPr="004B7144" w:rsidR="005731F1">
        <w:rPr>
          <w:i/>
          <w:iCs/>
          <w:szCs w:val="24"/>
        </w:rPr>
        <w:t xml:space="preserve"> opportunity</w:t>
      </w:r>
      <w:r w:rsidRPr="004B7144" w:rsidR="00B52A7F">
        <w:rPr>
          <w:szCs w:val="24"/>
        </w:rPr>
        <w:t xml:space="preserve"> to represent the interests of the residential consumers </w:t>
      </w:r>
      <w:r w:rsidRPr="004B7144" w:rsidR="00801EFF">
        <w:rPr>
          <w:szCs w:val="24"/>
        </w:rPr>
        <w:t>who</w:t>
      </w:r>
      <w:r w:rsidRPr="004B7144" w:rsidR="006F5302">
        <w:rPr>
          <w:szCs w:val="24"/>
        </w:rPr>
        <w:t xml:space="preserve"> have lost</w:t>
      </w:r>
      <w:r w:rsidRPr="004B7144" w:rsidR="001A6B84">
        <w:rPr>
          <w:szCs w:val="24"/>
        </w:rPr>
        <w:t xml:space="preserve"> or</w:t>
      </w:r>
      <w:r w:rsidRPr="004B7144" w:rsidR="00B52A7F">
        <w:rPr>
          <w:szCs w:val="24"/>
        </w:rPr>
        <w:t xml:space="preserve"> will lose their </w:t>
      </w:r>
      <w:r w:rsidRPr="004B7144" w:rsidR="00147726">
        <w:rPr>
          <w:szCs w:val="24"/>
        </w:rPr>
        <w:t>Duke</w:t>
      </w:r>
      <w:r w:rsidRPr="004B7144" w:rsidR="00B52A7F">
        <w:rPr>
          <w:szCs w:val="24"/>
        </w:rPr>
        <w:t xml:space="preserve"> electric utility service </w:t>
      </w:r>
      <w:r w:rsidRPr="004B7144" w:rsidR="00BE3807">
        <w:rPr>
          <w:szCs w:val="24"/>
        </w:rPr>
        <w:t>while this case is pending at the PUCO</w:t>
      </w:r>
      <w:r w:rsidRPr="004B7144" w:rsidR="00933718">
        <w:rPr>
          <w:szCs w:val="24"/>
        </w:rPr>
        <w:t>. Nor will OCC have “an opportunity to</w:t>
      </w:r>
      <w:r w:rsidRPr="004B7144" w:rsidR="007B6AAF">
        <w:rPr>
          <w:szCs w:val="24"/>
        </w:rPr>
        <w:t xml:space="preserve"> contribute to the full development and equitable resolution”</w:t>
      </w:r>
      <w:r>
        <w:rPr>
          <w:rStyle w:val="FootnoteReference"/>
          <w:szCs w:val="24"/>
        </w:rPr>
        <w:footnoteReference w:id="29"/>
      </w:r>
      <w:r w:rsidRPr="004B7144" w:rsidR="007B6AAF">
        <w:rPr>
          <w:szCs w:val="24"/>
        </w:rPr>
        <w:t xml:space="preserve"> of whether NEP acts as a public utility</w:t>
      </w:r>
      <w:r w:rsidRPr="004B7144" w:rsidR="00B52A7F">
        <w:rPr>
          <w:szCs w:val="24"/>
        </w:rPr>
        <w:t xml:space="preserve">. </w:t>
      </w:r>
      <w:r w:rsidRPr="004B7144" w:rsidR="000665BF">
        <w:rPr>
          <w:szCs w:val="24"/>
        </w:rPr>
        <w:t>T</w:t>
      </w:r>
      <w:r w:rsidRPr="004B7144" w:rsidR="00801EFF">
        <w:rPr>
          <w:szCs w:val="24"/>
        </w:rPr>
        <w:t>he PUCO has not settled the jurisdictional issue since</w:t>
      </w:r>
      <w:r w:rsidRPr="004B7144">
        <w:rPr>
          <w:szCs w:val="24"/>
        </w:rPr>
        <w:t xml:space="preserve"> the</w:t>
      </w:r>
      <w:r w:rsidRPr="004B7144" w:rsidR="00801EFF">
        <w:rPr>
          <w:szCs w:val="24"/>
        </w:rPr>
        <w:t xml:space="preserve"> modified </w:t>
      </w:r>
      <w:r w:rsidRPr="004B7144" w:rsidR="00801EFF">
        <w:rPr>
          <w:i/>
          <w:iCs/>
          <w:szCs w:val="24"/>
        </w:rPr>
        <w:t>Shroyer</w:t>
      </w:r>
      <w:r w:rsidRPr="004B7144" w:rsidR="00801EFF">
        <w:rPr>
          <w:szCs w:val="24"/>
        </w:rPr>
        <w:t xml:space="preserve"> test was reversed by the Court.</w:t>
      </w:r>
      <w:r w:rsidRPr="004B7144" w:rsidR="00766F90">
        <w:rPr>
          <w:szCs w:val="24"/>
        </w:rPr>
        <w:t xml:space="preserve"> Th</w:t>
      </w:r>
      <w:r w:rsidRPr="004B7144">
        <w:rPr>
          <w:szCs w:val="24"/>
        </w:rPr>
        <w:t>at</w:t>
      </w:r>
      <w:r w:rsidRPr="004B7144" w:rsidR="00766F90">
        <w:rPr>
          <w:szCs w:val="24"/>
        </w:rPr>
        <w:t xml:space="preserve"> is because on remand to the PUCO, the complainant in </w:t>
      </w:r>
      <w:r w:rsidRPr="004B7144" w:rsidR="00766F90">
        <w:rPr>
          <w:i/>
          <w:iCs/>
          <w:szCs w:val="24"/>
        </w:rPr>
        <w:t xml:space="preserve">Wingo </w:t>
      </w:r>
      <w:r w:rsidRPr="004B7144" w:rsidR="00766F90">
        <w:rPr>
          <w:szCs w:val="24"/>
        </w:rPr>
        <w:t>filed a notice of voluntary dismissal, which was granted by the PUCO.</w:t>
      </w:r>
      <w:r>
        <w:rPr>
          <w:rStyle w:val="FootnoteReference"/>
          <w:szCs w:val="24"/>
        </w:rPr>
        <w:footnoteReference w:id="30"/>
      </w:r>
      <w:r w:rsidRPr="004B7144" w:rsidR="00766F90">
        <w:rPr>
          <w:szCs w:val="24"/>
        </w:rPr>
        <w:t xml:space="preserve"> Thus, the question of </w:t>
      </w:r>
      <w:r w:rsidRPr="004B7144" w:rsidR="007E7BE3">
        <w:rPr>
          <w:szCs w:val="24"/>
        </w:rPr>
        <w:t>whether NEP</w:t>
      </w:r>
      <w:r w:rsidRPr="004B7144" w:rsidR="00766F90">
        <w:rPr>
          <w:szCs w:val="24"/>
        </w:rPr>
        <w:t xml:space="preserve"> act</w:t>
      </w:r>
      <w:r w:rsidRPr="004B7144" w:rsidR="009143A0">
        <w:rPr>
          <w:szCs w:val="24"/>
        </w:rPr>
        <w:t>s</w:t>
      </w:r>
      <w:r w:rsidRPr="004B7144" w:rsidR="00766F90">
        <w:rPr>
          <w:szCs w:val="24"/>
        </w:rPr>
        <w:t xml:space="preserve"> unlawfully as a public utility</w:t>
      </w:r>
      <w:r w:rsidRPr="004B7144" w:rsidR="0047604C">
        <w:rPr>
          <w:szCs w:val="24"/>
        </w:rPr>
        <w:t xml:space="preserve"> is </w:t>
      </w:r>
      <w:r w:rsidRPr="004B7144" w:rsidR="00954D3E">
        <w:rPr>
          <w:szCs w:val="24"/>
        </w:rPr>
        <w:t>not</w:t>
      </w:r>
      <w:r w:rsidRPr="004B7144" w:rsidR="0047604C">
        <w:rPr>
          <w:szCs w:val="24"/>
        </w:rPr>
        <w:t xml:space="preserve"> settled</w:t>
      </w:r>
      <w:r w:rsidRPr="004B7144">
        <w:rPr>
          <w:szCs w:val="24"/>
        </w:rPr>
        <w:t xml:space="preserve">, and there is no other PUCO proceeding </w:t>
      </w:r>
      <w:r w:rsidRPr="004B7144" w:rsidR="004F5837">
        <w:rPr>
          <w:szCs w:val="24"/>
        </w:rPr>
        <w:t xml:space="preserve">to resolve the issue </w:t>
      </w:r>
      <w:r w:rsidRPr="004B7144">
        <w:rPr>
          <w:szCs w:val="24"/>
        </w:rPr>
        <w:t>where the interests of the apartment complex residents will be represented.</w:t>
      </w:r>
    </w:p>
    <w:p w:rsidR="00766F31" w:rsidRPr="004B7144" w:rsidP="000665BF" w14:paraId="3EFCF5DE" w14:textId="7563D2C9">
      <w:pPr>
        <w:pStyle w:val="BodyTextIndent3"/>
        <w:widowControl w:val="0"/>
        <w:spacing w:line="480" w:lineRule="auto"/>
        <w:ind w:right="-312"/>
        <w:rPr>
          <w:szCs w:val="24"/>
        </w:rPr>
      </w:pPr>
      <w:r w:rsidRPr="004B7144">
        <w:rPr>
          <w:szCs w:val="24"/>
        </w:rPr>
        <w:t xml:space="preserve">In sum, the PUCO’s denial </w:t>
      </w:r>
      <w:r w:rsidRPr="004B7144" w:rsidR="005704DF">
        <w:rPr>
          <w:szCs w:val="24"/>
        </w:rPr>
        <w:t xml:space="preserve">of intervention to OCC in the Whitt complaint should have no bearing on OCC’s motion to intervene here. </w:t>
      </w:r>
      <w:r w:rsidRPr="004B7144" w:rsidR="00954D3E">
        <w:rPr>
          <w:szCs w:val="24"/>
        </w:rPr>
        <w:t xml:space="preserve">OCC should be </w:t>
      </w:r>
      <w:r w:rsidRPr="004B7144" w:rsidR="005704DF">
        <w:rPr>
          <w:szCs w:val="24"/>
        </w:rPr>
        <w:t>granted intervention</w:t>
      </w:r>
      <w:r w:rsidRPr="004B7144" w:rsidR="00954D3E">
        <w:rPr>
          <w:szCs w:val="24"/>
        </w:rPr>
        <w:t xml:space="preserve"> in this case to represent the interests of the residential consumers who </w:t>
      </w:r>
      <w:r w:rsidRPr="004B7144" w:rsidR="005704DF">
        <w:rPr>
          <w:szCs w:val="24"/>
        </w:rPr>
        <w:t>will</w:t>
      </w:r>
      <w:r w:rsidRPr="004B7144" w:rsidR="00954D3E">
        <w:rPr>
          <w:szCs w:val="24"/>
        </w:rPr>
        <w:t xml:space="preserve"> be adversely affected if they are forced take electric utility service from NEP.</w:t>
      </w:r>
      <w:r w:rsidRPr="004B7144" w:rsidR="00C44C3C">
        <w:rPr>
          <w:szCs w:val="24"/>
        </w:rPr>
        <w:t xml:space="preserve"> Moreover, as OCC stated in </w:t>
      </w:r>
    </w:p>
    <w:p w:rsidR="00766F31" w:rsidRPr="004B7144" w14:paraId="53B51160" w14:textId="77777777">
      <w:pPr>
        <w:rPr>
          <w:szCs w:val="24"/>
        </w:rPr>
      </w:pPr>
      <w:r w:rsidRPr="004B7144">
        <w:rPr>
          <w:szCs w:val="24"/>
        </w:rPr>
        <w:br w:type="page"/>
      </w:r>
    </w:p>
    <w:p w:rsidR="005731F1" w:rsidRPr="004B7144" w:rsidP="00766F31" w14:paraId="5547171A" w14:textId="09711EBE">
      <w:pPr>
        <w:pStyle w:val="BodyTextIndent3"/>
        <w:widowControl w:val="0"/>
        <w:spacing w:line="480" w:lineRule="auto"/>
        <w:ind w:right="-312" w:firstLine="0"/>
        <w:rPr>
          <w:szCs w:val="24"/>
        </w:rPr>
      </w:pPr>
      <w:r w:rsidRPr="004B7144">
        <w:rPr>
          <w:szCs w:val="24"/>
        </w:rPr>
        <w:t xml:space="preserve">its motion to intervene, the interests of these residential consumers cannot be adequately represented by </w:t>
      </w:r>
      <w:r w:rsidRPr="004B7144" w:rsidR="00147726">
        <w:rPr>
          <w:szCs w:val="24"/>
        </w:rPr>
        <w:t>Duke</w:t>
      </w:r>
      <w:r w:rsidRPr="004B7144">
        <w:rPr>
          <w:szCs w:val="24"/>
        </w:rPr>
        <w:t xml:space="preserve">, as it also represents the interests of its shareholders. </w:t>
      </w:r>
    </w:p>
    <w:p w:rsidR="005704DF" w:rsidRPr="004B7144" w:rsidP="006A7D12" w14:paraId="09417271" w14:textId="1CEA49A6">
      <w:pPr>
        <w:pStyle w:val="Heading2"/>
        <w:rPr>
          <w:szCs w:val="24"/>
        </w:rPr>
      </w:pPr>
      <w:bookmarkStart w:id="9" w:name="_Toc104989119"/>
      <w:bookmarkStart w:id="10" w:name="_Toc105078580"/>
      <w:r w:rsidRPr="004B7144">
        <w:rPr>
          <w:szCs w:val="24"/>
        </w:rPr>
        <w:t>C.</w:t>
      </w:r>
      <w:r w:rsidRPr="004B7144">
        <w:rPr>
          <w:szCs w:val="24"/>
        </w:rPr>
        <w:tab/>
      </w:r>
      <w:r w:rsidRPr="004B7144" w:rsidR="00C44C3C">
        <w:rPr>
          <w:szCs w:val="24"/>
        </w:rPr>
        <w:t xml:space="preserve">OCC satisfies the </w:t>
      </w:r>
      <w:r w:rsidRPr="004B7144" w:rsidR="00272B7E">
        <w:rPr>
          <w:szCs w:val="24"/>
        </w:rPr>
        <w:t>remaining criteria for intervention under Ohio law and the PUCO’s rules. The PUCO should grant OCC’s motion to intervene.</w:t>
      </w:r>
      <w:bookmarkEnd w:id="9"/>
      <w:bookmarkEnd w:id="10"/>
    </w:p>
    <w:p w:rsidR="005704DF" w:rsidRPr="004B7144" w:rsidP="005704DF" w14:paraId="2ED00AA8" w14:textId="77777777">
      <w:pPr>
        <w:pStyle w:val="BodyTextIndent3"/>
        <w:widowControl w:val="0"/>
        <w:spacing w:line="480" w:lineRule="auto"/>
        <w:ind w:right="-312"/>
        <w:rPr>
          <w:szCs w:val="24"/>
        </w:rPr>
      </w:pPr>
      <w:r w:rsidRPr="004B7144">
        <w:rPr>
          <w:szCs w:val="24"/>
        </w:rPr>
        <w:t>As explained in the motion to intervene and memorandum in support</w:t>
      </w:r>
      <w:r w:rsidRPr="004B7144" w:rsidR="00933718">
        <w:rPr>
          <w:szCs w:val="24"/>
        </w:rPr>
        <w:t>,</w:t>
      </w:r>
      <w:r w:rsidRPr="004B7144">
        <w:rPr>
          <w:szCs w:val="24"/>
        </w:rPr>
        <w:t xml:space="preserve"> OCC satisfies </w:t>
      </w:r>
      <w:r w:rsidRPr="004B7144" w:rsidR="00610A33">
        <w:rPr>
          <w:szCs w:val="24"/>
        </w:rPr>
        <w:t xml:space="preserve">all the </w:t>
      </w:r>
      <w:r w:rsidRPr="004B7144">
        <w:rPr>
          <w:szCs w:val="24"/>
        </w:rPr>
        <w:t>cri</w:t>
      </w:r>
      <w:r w:rsidRPr="004B7144" w:rsidR="00933718">
        <w:rPr>
          <w:szCs w:val="24"/>
        </w:rPr>
        <w:t xml:space="preserve">teria </w:t>
      </w:r>
      <w:r w:rsidRPr="004B7144" w:rsidR="00783401">
        <w:rPr>
          <w:szCs w:val="24"/>
        </w:rPr>
        <w:t xml:space="preserve">for intervention </w:t>
      </w:r>
      <w:r w:rsidRPr="004B7144" w:rsidR="00933718">
        <w:rPr>
          <w:szCs w:val="24"/>
        </w:rPr>
        <w:t>in R.C. 4903.221 and Ohio Adm. Code 4901-1-11</w:t>
      </w:r>
      <w:r w:rsidRPr="004B7144" w:rsidR="00783401">
        <w:rPr>
          <w:szCs w:val="24"/>
        </w:rPr>
        <w:t>.</w:t>
      </w:r>
      <w:r>
        <w:rPr>
          <w:rStyle w:val="FootnoteReference"/>
          <w:szCs w:val="24"/>
        </w:rPr>
        <w:footnoteReference w:id="31"/>
      </w:r>
      <w:r w:rsidRPr="004B7144" w:rsidR="00783401">
        <w:rPr>
          <w:szCs w:val="24"/>
        </w:rPr>
        <w:t xml:space="preserve"> NEP’s arguments to the contrary</w:t>
      </w:r>
      <w:r w:rsidRPr="004B7144">
        <w:rPr>
          <w:szCs w:val="24"/>
        </w:rPr>
        <w:t xml:space="preserve"> </w:t>
      </w:r>
      <w:r w:rsidRPr="004B7144" w:rsidR="00783401">
        <w:rPr>
          <w:szCs w:val="24"/>
        </w:rPr>
        <w:t>should be rejected.</w:t>
      </w:r>
    </w:p>
    <w:p w:rsidR="00833587" w:rsidRPr="004B7144" w:rsidP="005704DF" w14:paraId="7E358BF2" w14:textId="77777777">
      <w:pPr>
        <w:pStyle w:val="BodyTextIndent3"/>
        <w:widowControl w:val="0"/>
        <w:spacing w:line="480" w:lineRule="auto"/>
        <w:ind w:right="-312"/>
        <w:rPr>
          <w:szCs w:val="24"/>
        </w:rPr>
      </w:pPr>
      <w:r w:rsidRPr="004B7144">
        <w:rPr>
          <w:color w:val="000000"/>
          <w:szCs w:val="24"/>
        </w:rPr>
        <w:t>NEP claims</w:t>
      </w:r>
      <w:r w:rsidRPr="004B7144">
        <w:rPr>
          <w:szCs w:val="24"/>
        </w:rPr>
        <w:t xml:space="preserve"> that OCC </w:t>
      </w:r>
      <w:r w:rsidRPr="004B7144" w:rsidR="00170D4D">
        <w:rPr>
          <w:szCs w:val="24"/>
        </w:rPr>
        <w:t>cannot demonstrate that its legal position relate</w:t>
      </w:r>
      <w:r w:rsidRPr="004B7144" w:rsidR="004F5837">
        <w:rPr>
          <w:szCs w:val="24"/>
        </w:rPr>
        <w:t>s</w:t>
      </w:r>
      <w:r w:rsidRPr="004B7144" w:rsidR="00170D4D">
        <w:rPr>
          <w:szCs w:val="24"/>
        </w:rPr>
        <w:t xml:space="preserve"> to the merits of the case as required by R.C. 4903.221(B)(2) and Ohio Adm. Code 4901-1-11(B)(2).</w:t>
      </w:r>
      <w:r>
        <w:rPr>
          <w:rStyle w:val="FootnoteReference"/>
          <w:szCs w:val="24"/>
        </w:rPr>
        <w:footnoteReference w:id="32"/>
      </w:r>
      <w:r w:rsidRPr="004B7144" w:rsidR="000B37E0">
        <w:rPr>
          <w:szCs w:val="24"/>
        </w:rPr>
        <w:t xml:space="preserve"> </w:t>
      </w:r>
      <w:r w:rsidRPr="004B7144" w:rsidR="00D966C9">
        <w:rPr>
          <w:szCs w:val="24"/>
        </w:rPr>
        <w:t xml:space="preserve">OCC’s legal position is that the residential consumers in the apartment complexes at issue should not </w:t>
      </w:r>
      <w:r w:rsidRPr="004B7144" w:rsidR="004F5837">
        <w:rPr>
          <w:szCs w:val="24"/>
        </w:rPr>
        <w:t xml:space="preserve">pay unreasonable rates and </w:t>
      </w:r>
      <w:r w:rsidRPr="004B7144" w:rsidR="00D966C9">
        <w:rPr>
          <w:szCs w:val="24"/>
        </w:rPr>
        <w:t xml:space="preserve">lose </w:t>
      </w:r>
      <w:r w:rsidRPr="004B7144" w:rsidR="00D30688">
        <w:rPr>
          <w:szCs w:val="24"/>
        </w:rPr>
        <w:t xml:space="preserve">many of </w:t>
      </w:r>
      <w:r w:rsidRPr="004B7144" w:rsidR="008B370A">
        <w:rPr>
          <w:szCs w:val="24"/>
        </w:rPr>
        <w:t>the consumer protections they normally receive</w:t>
      </w:r>
      <w:r w:rsidRPr="004B7144" w:rsidR="000B37E0">
        <w:rPr>
          <w:szCs w:val="24"/>
        </w:rPr>
        <w:t xml:space="preserve"> </w:t>
      </w:r>
      <w:r w:rsidRPr="004B7144" w:rsidR="00854129">
        <w:rPr>
          <w:szCs w:val="24"/>
        </w:rPr>
        <w:t xml:space="preserve">for adequate service </w:t>
      </w:r>
      <w:r w:rsidRPr="004B7144" w:rsidR="000B37E0">
        <w:rPr>
          <w:szCs w:val="24"/>
        </w:rPr>
        <w:t>under the law</w:t>
      </w:r>
      <w:r w:rsidRPr="004B7144" w:rsidR="00854129">
        <w:rPr>
          <w:szCs w:val="24"/>
        </w:rPr>
        <w:t xml:space="preserve"> (including R.C. 4905.22)</w:t>
      </w:r>
      <w:r w:rsidRPr="004B7144" w:rsidR="008B370A">
        <w:rPr>
          <w:szCs w:val="24"/>
        </w:rPr>
        <w:t xml:space="preserve"> when </w:t>
      </w:r>
      <w:r w:rsidRPr="004B7144" w:rsidR="003E28F0">
        <w:rPr>
          <w:szCs w:val="24"/>
        </w:rPr>
        <w:t>Duke</w:t>
      </w:r>
      <w:r w:rsidRPr="004B7144" w:rsidR="008B370A">
        <w:rPr>
          <w:szCs w:val="24"/>
        </w:rPr>
        <w:t xml:space="preserve"> – the PUCO regulated utility – provides electric service. </w:t>
      </w:r>
    </w:p>
    <w:p w:rsidR="005D6A60" w:rsidRPr="004B7144" w:rsidP="005704DF" w14:paraId="6746B69A" w14:textId="7FD68981">
      <w:pPr>
        <w:pStyle w:val="BodyTextIndent3"/>
        <w:widowControl w:val="0"/>
        <w:spacing w:line="480" w:lineRule="auto"/>
        <w:ind w:right="-312"/>
        <w:rPr>
          <w:szCs w:val="24"/>
        </w:rPr>
      </w:pPr>
      <w:r w:rsidRPr="004B7144">
        <w:rPr>
          <w:color w:val="000000"/>
          <w:szCs w:val="24"/>
        </w:rPr>
        <w:t>NEP</w:t>
      </w:r>
      <w:r w:rsidRPr="004B7144" w:rsidR="004F5837">
        <w:rPr>
          <w:color w:val="000000"/>
          <w:szCs w:val="24"/>
        </w:rPr>
        <w:t xml:space="preserve"> </w:t>
      </w:r>
      <w:r w:rsidRPr="004B7144">
        <w:rPr>
          <w:color w:val="000000"/>
          <w:szCs w:val="24"/>
        </w:rPr>
        <w:t>claim</w:t>
      </w:r>
      <w:r w:rsidRPr="004B7144" w:rsidR="004F5837">
        <w:rPr>
          <w:color w:val="000000"/>
          <w:szCs w:val="24"/>
        </w:rPr>
        <w:t>s</w:t>
      </w:r>
      <w:r w:rsidRPr="004B7144">
        <w:rPr>
          <w:szCs w:val="24"/>
        </w:rPr>
        <w:t xml:space="preserve"> that </w:t>
      </w:r>
      <w:r w:rsidRPr="004B7144" w:rsidR="000B37E0">
        <w:rPr>
          <w:szCs w:val="24"/>
        </w:rPr>
        <w:t>these</w:t>
      </w:r>
      <w:r w:rsidRPr="004B7144">
        <w:rPr>
          <w:szCs w:val="24"/>
        </w:rPr>
        <w:t xml:space="preserve"> issues are not relevant to this complaint case because NEP is acting on behalf of </w:t>
      </w:r>
      <w:r w:rsidRPr="004B7144" w:rsidR="00236259">
        <w:rPr>
          <w:szCs w:val="24"/>
        </w:rPr>
        <w:t>Duke’s</w:t>
      </w:r>
      <w:r w:rsidRPr="004B7144">
        <w:rPr>
          <w:szCs w:val="24"/>
        </w:rPr>
        <w:t xml:space="preserve"> nonresidential property owner customers</w:t>
      </w:r>
      <w:r w:rsidRPr="004B7144" w:rsidR="00DC35B3">
        <w:rPr>
          <w:szCs w:val="24"/>
        </w:rPr>
        <w:t>.</w:t>
      </w:r>
      <w:r>
        <w:rPr>
          <w:rStyle w:val="FootnoteReference"/>
          <w:szCs w:val="24"/>
        </w:rPr>
        <w:footnoteReference w:id="33"/>
      </w:r>
      <w:r w:rsidRPr="004B7144">
        <w:rPr>
          <w:szCs w:val="24"/>
        </w:rPr>
        <w:t xml:space="preserve"> </w:t>
      </w:r>
      <w:r w:rsidRPr="004B7144" w:rsidR="00DC35B3">
        <w:rPr>
          <w:szCs w:val="24"/>
        </w:rPr>
        <w:t>That argument should be rej</w:t>
      </w:r>
      <w:r w:rsidRPr="004B7144" w:rsidR="00CC799F">
        <w:rPr>
          <w:szCs w:val="24"/>
        </w:rPr>
        <w:t>e</w:t>
      </w:r>
      <w:r w:rsidRPr="004B7144" w:rsidR="00DC35B3">
        <w:rPr>
          <w:szCs w:val="24"/>
        </w:rPr>
        <w:t>cted.</w:t>
      </w:r>
      <w:r w:rsidRPr="004B7144" w:rsidR="000B37E0">
        <w:rPr>
          <w:szCs w:val="24"/>
        </w:rPr>
        <w:t xml:space="preserve"> As noted above, </w:t>
      </w:r>
      <w:r w:rsidRPr="004B7144" w:rsidR="00236259">
        <w:rPr>
          <w:szCs w:val="24"/>
        </w:rPr>
        <w:t>Duke’s</w:t>
      </w:r>
      <w:r w:rsidRPr="004B7144" w:rsidR="000B37E0">
        <w:rPr>
          <w:szCs w:val="24"/>
        </w:rPr>
        <w:t xml:space="preserve"> complaint alleges numerous harms to th</w:t>
      </w:r>
      <w:r w:rsidRPr="004B7144" w:rsidR="00AD69AD">
        <w:rPr>
          <w:szCs w:val="24"/>
        </w:rPr>
        <w:t>e residential</w:t>
      </w:r>
      <w:r w:rsidRPr="004B7144" w:rsidR="000B37E0">
        <w:rPr>
          <w:szCs w:val="24"/>
        </w:rPr>
        <w:t xml:space="preserve"> consumers if NEP </w:t>
      </w:r>
      <w:r w:rsidRPr="004B7144" w:rsidR="00DC35B3">
        <w:rPr>
          <w:szCs w:val="24"/>
        </w:rPr>
        <w:t xml:space="preserve">provides submetering </w:t>
      </w:r>
      <w:r w:rsidRPr="004B7144" w:rsidR="000B37E0">
        <w:rPr>
          <w:szCs w:val="24"/>
        </w:rPr>
        <w:t xml:space="preserve">service to the </w:t>
      </w:r>
      <w:r w:rsidRPr="004B7144" w:rsidR="00236259">
        <w:rPr>
          <w:szCs w:val="24"/>
        </w:rPr>
        <w:t>Somerset apartment complex</w:t>
      </w:r>
      <w:r w:rsidRPr="004B7144" w:rsidR="000B37E0">
        <w:rPr>
          <w:szCs w:val="24"/>
        </w:rPr>
        <w:t xml:space="preserve">. </w:t>
      </w:r>
      <w:r w:rsidRPr="004B7144" w:rsidR="00AD69AD">
        <w:rPr>
          <w:szCs w:val="24"/>
        </w:rPr>
        <w:t xml:space="preserve">Further, </w:t>
      </w:r>
      <w:r w:rsidRPr="004B7144" w:rsidR="00DC35B3">
        <w:rPr>
          <w:szCs w:val="24"/>
        </w:rPr>
        <w:t xml:space="preserve">the only reason NEP submitted construction requests to </w:t>
      </w:r>
      <w:r w:rsidRPr="004B7144" w:rsidR="00236259">
        <w:rPr>
          <w:szCs w:val="24"/>
        </w:rPr>
        <w:t>Duke</w:t>
      </w:r>
      <w:r w:rsidRPr="004B7144" w:rsidR="00D30688">
        <w:rPr>
          <w:szCs w:val="24"/>
        </w:rPr>
        <w:t xml:space="preserve"> in the</w:t>
      </w:r>
      <w:r w:rsidRPr="004B7144" w:rsidR="00DC35B3">
        <w:rPr>
          <w:szCs w:val="24"/>
        </w:rPr>
        <w:t xml:space="preserve"> first place was so NEP can submeter service to the apartment complex residents.</w:t>
      </w:r>
      <w:r w:rsidRPr="004B7144" w:rsidR="00B04B13">
        <w:rPr>
          <w:szCs w:val="24"/>
        </w:rPr>
        <w:t xml:space="preserve"> </w:t>
      </w:r>
      <w:r w:rsidRPr="004B7144" w:rsidR="00CC799F">
        <w:rPr>
          <w:szCs w:val="24"/>
        </w:rPr>
        <w:t xml:space="preserve">NEP’s </w:t>
      </w:r>
      <w:r w:rsidRPr="004B7144" w:rsidR="006A07B6">
        <w:rPr>
          <w:szCs w:val="24"/>
        </w:rPr>
        <w:t>claim</w:t>
      </w:r>
      <w:r w:rsidRPr="004B7144" w:rsidR="00CC799F">
        <w:rPr>
          <w:szCs w:val="24"/>
        </w:rPr>
        <w:t xml:space="preserve"> that </w:t>
      </w:r>
      <w:r w:rsidRPr="004B7144" w:rsidR="006A07B6">
        <w:rPr>
          <w:szCs w:val="24"/>
        </w:rPr>
        <w:t xml:space="preserve">consumer protection issues are irrelevant to this case is </w:t>
      </w:r>
      <w:r w:rsidRPr="004B7144" w:rsidR="00AD69AD">
        <w:rPr>
          <w:szCs w:val="24"/>
        </w:rPr>
        <w:t xml:space="preserve">wholly </w:t>
      </w:r>
      <w:r w:rsidRPr="004B7144" w:rsidR="006A07B6">
        <w:rPr>
          <w:szCs w:val="24"/>
        </w:rPr>
        <w:t>disingenuous</w:t>
      </w:r>
      <w:r w:rsidRPr="004B7144">
        <w:rPr>
          <w:szCs w:val="24"/>
        </w:rPr>
        <w:t>.</w:t>
      </w:r>
    </w:p>
    <w:p w:rsidR="00766F31" w:rsidRPr="004B7144" w14:paraId="15085F04" w14:textId="77777777">
      <w:pPr>
        <w:rPr>
          <w:color w:val="000000"/>
          <w:szCs w:val="24"/>
        </w:rPr>
      </w:pPr>
      <w:r w:rsidRPr="004B7144">
        <w:rPr>
          <w:color w:val="000000"/>
          <w:szCs w:val="24"/>
        </w:rPr>
        <w:br w:type="page"/>
      </w:r>
    </w:p>
    <w:p w:rsidR="005D6A60" w:rsidRPr="004B7144" w:rsidP="000F6887" w14:paraId="63E3D1B0" w14:textId="64686C1C">
      <w:pPr>
        <w:pStyle w:val="BodyTextIndent3"/>
        <w:widowControl w:val="0"/>
        <w:spacing w:line="480" w:lineRule="auto"/>
        <w:ind w:right="-312"/>
        <w:rPr>
          <w:szCs w:val="24"/>
        </w:rPr>
      </w:pPr>
      <w:r w:rsidRPr="004B7144">
        <w:rPr>
          <w:color w:val="000000"/>
          <w:szCs w:val="24"/>
        </w:rPr>
        <w:t>NEP argues that OCC’s intervention will unduly prolong and delay the proceedings in violation of R.C. 4903.221(B)(3) and Ohio Adm. Code 4901-1-11(B)(3).</w:t>
      </w:r>
      <w:r>
        <w:rPr>
          <w:rStyle w:val="FootnoteReference"/>
          <w:color w:val="000000"/>
          <w:szCs w:val="24"/>
        </w:rPr>
        <w:footnoteReference w:id="34"/>
      </w:r>
      <w:r w:rsidRPr="004B7144">
        <w:rPr>
          <w:color w:val="000000"/>
          <w:szCs w:val="24"/>
        </w:rPr>
        <w:t xml:space="preserve"> </w:t>
      </w:r>
      <w:r w:rsidRPr="004B7144" w:rsidR="00254B53">
        <w:rPr>
          <w:color w:val="000000"/>
          <w:szCs w:val="24"/>
        </w:rPr>
        <w:t>NEP states that “OCC seeks to expand this proceeding</w:t>
      </w:r>
      <w:r w:rsidRPr="004B7144" w:rsidR="00904ECE">
        <w:rPr>
          <w:color w:val="000000"/>
          <w:szCs w:val="24"/>
        </w:rPr>
        <w:t xml:space="preserve"> to</w:t>
      </w:r>
      <w:r w:rsidRPr="004B7144" w:rsidR="00904ECE">
        <w:rPr>
          <w:szCs w:val="24"/>
        </w:rPr>
        <w:t xml:space="preserve"> include all ‘non-landlord submetering service companies like NEP’</w:t>
      </w:r>
      <w:r w:rsidRPr="004B7144" w:rsidR="00475BFC">
        <w:rPr>
          <w:szCs w:val="24"/>
        </w:rPr>
        <w:t>”</w:t>
      </w:r>
      <w:r w:rsidRPr="004B7144" w:rsidR="00904ECE">
        <w:rPr>
          <w:szCs w:val="24"/>
        </w:rPr>
        <w:t xml:space="preserve"> and </w:t>
      </w:r>
      <w:r w:rsidRPr="004B7144" w:rsidR="00475BFC">
        <w:rPr>
          <w:szCs w:val="24"/>
        </w:rPr>
        <w:t>“</w:t>
      </w:r>
      <w:r w:rsidRPr="004B7144" w:rsidR="00904ECE">
        <w:rPr>
          <w:szCs w:val="24"/>
        </w:rPr>
        <w:t>all</w:t>
      </w:r>
      <w:r w:rsidRPr="004B7144" w:rsidR="00904ECE">
        <w:rPr>
          <w:b/>
          <w:bCs/>
          <w:szCs w:val="24"/>
        </w:rPr>
        <w:t xml:space="preserve"> </w:t>
      </w:r>
      <w:r w:rsidRPr="004B7144" w:rsidR="00475BFC">
        <w:rPr>
          <w:szCs w:val="24"/>
        </w:rPr>
        <w:t>‘700,000’</w:t>
      </w:r>
      <w:r w:rsidRPr="004B7144" w:rsidR="00904ECE">
        <w:rPr>
          <w:szCs w:val="24"/>
        </w:rPr>
        <w:t xml:space="preserve"> </w:t>
      </w:r>
      <w:r w:rsidRPr="004B7144" w:rsidR="00475BFC">
        <w:rPr>
          <w:szCs w:val="24"/>
        </w:rPr>
        <w:t xml:space="preserve">of Duke Ohio’s </w:t>
      </w:r>
      <w:r w:rsidRPr="004B7144" w:rsidR="00904ECE">
        <w:rPr>
          <w:szCs w:val="24"/>
        </w:rPr>
        <w:t>residential utility consumers.’”</w:t>
      </w:r>
      <w:r>
        <w:rPr>
          <w:rStyle w:val="FootnoteReference"/>
          <w:szCs w:val="24"/>
        </w:rPr>
        <w:footnoteReference w:id="35"/>
      </w:r>
      <w:r w:rsidRPr="004B7144" w:rsidR="00904ECE">
        <w:rPr>
          <w:szCs w:val="24"/>
        </w:rPr>
        <w:t xml:space="preserve"> </w:t>
      </w:r>
      <w:r w:rsidRPr="004B7144" w:rsidR="006D1DB7">
        <w:rPr>
          <w:szCs w:val="24"/>
        </w:rPr>
        <w:t>NEP mis</w:t>
      </w:r>
      <w:r w:rsidRPr="004B7144" w:rsidR="006A07B6">
        <w:rPr>
          <w:szCs w:val="24"/>
        </w:rPr>
        <w:t>states</w:t>
      </w:r>
      <w:r w:rsidRPr="004B7144" w:rsidR="006D1DB7">
        <w:rPr>
          <w:szCs w:val="24"/>
        </w:rPr>
        <w:t xml:space="preserve"> OCC’s motion</w:t>
      </w:r>
      <w:r w:rsidRPr="004B7144" w:rsidR="00904ECE">
        <w:rPr>
          <w:szCs w:val="24"/>
        </w:rPr>
        <w:t xml:space="preserve">. </w:t>
      </w:r>
      <w:r w:rsidRPr="004B7144" w:rsidR="00132D70">
        <w:rPr>
          <w:szCs w:val="24"/>
        </w:rPr>
        <w:t xml:space="preserve">OCC’s motion </w:t>
      </w:r>
      <w:r w:rsidRPr="004B7144" w:rsidR="00DB43D3">
        <w:rPr>
          <w:szCs w:val="24"/>
        </w:rPr>
        <w:t>states the following for</w:t>
      </w:r>
      <w:r w:rsidRPr="004B7144" w:rsidR="00132D70">
        <w:rPr>
          <w:szCs w:val="24"/>
        </w:rPr>
        <w:t xml:space="preserve"> background: “</w:t>
      </w:r>
      <w:r w:rsidRPr="004B7144" w:rsidR="00866F48">
        <w:rPr>
          <w:szCs w:val="24"/>
        </w:rPr>
        <w:t>Today’s</w:t>
      </w:r>
      <w:r w:rsidRPr="004B7144" w:rsidR="00132D70">
        <w:rPr>
          <w:szCs w:val="24"/>
        </w:rPr>
        <w:t xml:space="preserve"> non-landlord submetering companies like NEP seek to provide </w:t>
      </w:r>
      <w:r w:rsidRPr="004B7144" w:rsidR="00866F48">
        <w:rPr>
          <w:szCs w:val="24"/>
        </w:rPr>
        <w:t>utility service</w:t>
      </w:r>
      <w:r w:rsidRPr="004B7144" w:rsidR="00132D70">
        <w:rPr>
          <w:szCs w:val="24"/>
        </w:rPr>
        <w:t xml:space="preserve"> and profit from </w:t>
      </w:r>
      <w:r w:rsidRPr="004B7144" w:rsidR="00866F48">
        <w:rPr>
          <w:szCs w:val="24"/>
        </w:rPr>
        <w:t xml:space="preserve">their </w:t>
      </w:r>
      <w:r w:rsidRPr="004B7144" w:rsidR="00132D70">
        <w:rPr>
          <w:szCs w:val="24"/>
        </w:rPr>
        <w:t xml:space="preserve">sales </w:t>
      </w:r>
      <w:r w:rsidRPr="004B7144" w:rsidR="00866F48">
        <w:rPr>
          <w:szCs w:val="24"/>
        </w:rPr>
        <w:t xml:space="preserve">to </w:t>
      </w:r>
      <w:r w:rsidRPr="004B7144" w:rsidR="00132D70">
        <w:rPr>
          <w:szCs w:val="24"/>
        </w:rPr>
        <w:t>consumers</w:t>
      </w:r>
      <w:r w:rsidRPr="004B7144" w:rsidR="00866F48">
        <w:rPr>
          <w:szCs w:val="24"/>
        </w:rPr>
        <w:t>, without providing the consumer protections available from their local utility</w:t>
      </w:r>
      <w:r w:rsidRPr="004B7144" w:rsidR="00132D70">
        <w:rPr>
          <w:szCs w:val="24"/>
        </w:rPr>
        <w:t>.”</w:t>
      </w:r>
      <w:r>
        <w:rPr>
          <w:rStyle w:val="FootnoteReference"/>
          <w:szCs w:val="24"/>
        </w:rPr>
        <w:footnoteReference w:id="36"/>
      </w:r>
      <w:r w:rsidRPr="004B7144" w:rsidR="00132D70">
        <w:rPr>
          <w:szCs w:val="24"/>
        </w:rPr>
        <w:t xml:space="preserve"> </w:t>
      </w:r>
      <w:r w:rsidRPr="004B7144" w:rsidR="00B24E29">
        <w:rPr>
          <w:szCs w:val="24"/>
        </w:rPr>
        <w:t xml:space="preserve">Nowhere </w:t>
      </w:r>
      <w:r w:rsidRPr="004B7144" w:rsidR="006D1DB7">
        <w:rPr>
          <w:szCs w:val="24"/>
        </w:rPr>
        <w:t>in the motion</w:t>
      </w:r>
      <w:r w:rsidRPr="004B7144" w:rsidR="00B24E29">
        <w:rPr>
          <w:szCs w:val="24"/>
        </w:rPr>
        <w:t xml:space="preserve"> </w:t>
      </w:r>
      <w:r w:rsidRPr="004B7144" w:rsidR="006A07B6">
        <w:rPr>
          <w:szCs w:val="24"/>
        </w:rPr>
        <w:t>does OCC ask the</w:t>
      </w:r>
      <w:r w:rsidRPr="004B7144" w:rsidR="00B24E29">
        <w:rPr>
          <w:szCs w:val="24"/>
        </w:rPr>
        <w:t xml:space="preserve"> PUCO </w:t>
      </w:r>
      <w:r w:rsidRPr="004B7144" w:rsidR="006A07B6">
        <w:rPr>
          <w:szCs w:val="24"/>
        </w:rPr>
        <w:t>to</w:t>
      </w:r>
      <w:r w:rsidRPr="004B7144" w:rsidR="00B24E29">
        <w:rPr>
          <w:szCs w:val="24"/>
        </w:rPr>
        <w:t xml:space="preserve"> expand this proceeding to </w:t>
      </w:r>
      <w:r w:rsidRPr="004B7144" w:rsidR="006D1DB7">
        <w:rPr>
          <w:szCs w:val="24"/>
        </w:rPr>
        <w:t xml:space="preserve">include </w:t>
      </w:r>
      <w:r w:rsidRPr="004B7144" w:rsidR="00B24E29">
        <w:rPr>
          <w:szCs w:val="24"/>
        </w:rPr>
        <w:t xml:space="preserve">all non-landlord submetering companies. </w:t>
      </w:r>
      <w:r w:rsidRPr="004B7144" w:rsidR="006D1DB7">
        <w:rPr>
          <w:szCs w:val="24"/>
        </w:rPr>
        <w:t>Likewise, OCC’s</w:t>
      </w:r>
      <w:r w:rsidRPr="004B7144" w:rsidR="00F97AB3">
        <w:rPr>
          <w:szCs w:val="24"/>
        </w:rPr>
        <w:t xml:space="preserve"> state</w:t>
      </w:r>
      <w:r w:rsidRPr="004B7144" w:rsidR="006D1DB7">
        <w:rPr>
          <w:szCs w:val="24"/>
        </w:rPr>
        <w:t>ment</w:t>
      </w:r>
      <w:r w:rsidRPr="004B7144" w:rsidR="00F97AB3">
        <w:rPr>
          <w:szCs w:val="24"/>
        </w:rPr>
        <w:t xml:space="preserve"> that i</w:t>
      </w:r>
      <w:r w:rsidRPr="004B7144" w:rsidR="006A07B6">
        <w:rPr>
          <w:szCs w:val="24"/>
        </w:rPr>
        <w:t xml:space="preserve">t </w:t>
      </w:r>
      <w:r w:rsidRPr="004B7144" w:rsidR="00B8665E">
        <w:rPr>
          <w:szCs w:val="24"/>
        </w:rPr>
        <w:t>fi</w:t>
      </w:r>
      <w:r w:rsidRPr="004B7144" w:rsidR="00095BA3">
        <w:rPr>
          <w:szCs w:val="24"/>
        </w:rPr>
        <w:t>le</w:t>
      </w:r>
      <w:r w:rsidRPr="004B7144" w:rsidR="00B8665E">
        <w:rPr>
          <w:szCs w:val="24"/>
        </w:rPr>
        <w:t>d the motion</w:t>
      </w:r>
      <w:r w:rsidRPr="004B7144" w:rsidR="00F97AB3">
        <w:rPr>
          <w:szCs w:val="24"/>
        </w:rPr>
        <w:t xml:space="preserve"> “on behalf of </w:t>
      </w:r>
      <w:r w:rsidRPr="004B7144" w:rsidR="00866F48">
        <w:rPr>
          <w:szCs w:val="24"/>
        </w:rPr>
        <w:t>Duke’s residential</w:t>
      </w:r>
      <w:r w:rsidRPr="004B7144" w:rsidR="00F97AB3">
        <w:rPr>
          <w:szCs w:val="24"/>
        </w:rPr>
        <w:t xml:space="preserve"> utility customers, </w:t>
      </w:r>
      <w:r w:rsidRPr="004B7144" w:rsidR="00F97AB3">
        <w:rPr>
          <w:b/>
          <w:bCs/>
          <w:i/>
          <w:iCs/>
          <w:szCs w:val="24"/>
        </w:rPr>
        <w:t>w</w:t>
      </w:r>
      <w:r w:rsidRPr="004B7144" w:rsidR="00866F48">
        <w:rPr>
          <w:b/>
          <w:bCs/>
          <w:i/>
          <w:iCs/>
          <w:szCs w:val="24"/>
        </w:rPr>
        <w:t>here NEP is attempting to force these residential consumers to give up Duke’s electric utility service</w:t>
      </w:r>
      <w:r w:rsidRPr="004B7144" w:rsidR="00F97AB3">
        <w:rPr>
          <w:szCs w:val="24"/>
        </w:rPr>
        <w:t>”</w:t>
      </w:r>
      <w:r>
        <w:rPr>
          <w:rStyle w:val="FootnoteReference"/>
          <w:szCs w:val="24"/>
        </w:rPr>
        <w:footnoteReference w:id="37"/>
      </w:r>
      <w:r w:rsidRPr="004B7144" w:rsidR="00E20F1F">
        <w:rPr>
          <w:szCs w:val="24"/>
        </w:rPr>
        <w:t xml:space="preserve"> </w:t>
      </w:r>
      <w:r w:rsidRPr="004B7144" w:rsidR="00B8665E">
        <w:rPr>
          <w:szCs w:val="24"/>
        </w:rPr>
        <w:t xml:space="preserve">merely </w:t>
      </w:r>
      <w:r w:rsidRPr="004B7144" w:rsidR="006D1DB7">
        <w:rPr>
          <w:szCs w:val="24"/>
        </w:rPr>
        <w:t xml:space="preserve">reflects the fact that </w:t>
      </w:r>
      <w:r w:rsidRPr="004B7144" w:rsidR="00E20F1F">
        <w:rPr>
          <w:szCs w:val="24"/>
        </w:rPr>
        <w:t>OCC</w:t>
      </w:r>
      <w:r w:rsidRPr="004B7144" w:rsidR="00D37B47">
        <w:rPr>
          <w:szCs w:val="24"/>
        </w:rPr>
        <w:t xml:space="preserve"> has authority to represent </w:t>
      </w:r>
      <w:r w:rsidRPr="004B7144" w:rsidR="00137A97">
        <w:rPr>
          <w:szCs w:val="24"/>
        </w:rPr>
        <w:t xml:space="preserve">all of </w:t>
      </w:r>
      <w:r w:rsidRPr="004B7144" w:rsidR="00DA30F0">
        <w:rPr>
          <w:szCs w:val="24"/>
        </w:rPr>
        <w:t>Duke’s</w:t>
      </w:r>
      <w:r w:rsidRPr="004B7144" w:rsidR="00D37B47">
        <w:rPr>
          <w:szCs w:val="24"/>
        </w:rPr>
        <w:t xml:space="preserve"> residential consumers under R.C. Chapter 4911</w:t>
      </w:r>
      <w:r w:rsidRPr="004B7144" w:rsidR="00137A97">
        <w:rPr>
          <w:szCs w:val="24"/>
        </w:rPr>
        <w:t>.</w:t>
      </w:r>
      <w:r w:rsidRPr="004B7144" w:rsidR="006D1DB7">
        <w:rPr>
          <w:szCs w:val="24"/>
        </w:rPr>
        <w:t xml:space="preserve"> </w:t>
      </w:r>
      <w:r w:rsidRPr="004B7144" w:rsidR="00565913">
        <w:rPr>
          <w:szCs w:val="24"/>
        </w:rPr>
        <w:t>OCC’s statement does</w:t>
      </w:r>
      <w:r w:rsidRPr="004B7144" w:rsidR="00A2511A">
        <w:rPr>
          <w:szCs w:val="24"/>
        </w:rPr>
        <w:t xml:space="preserve"> not</w:t>
      </w:r>
      <w:r w:rsidRPr="004B7144" w:rsidR="00565913">
        <w:rPr>
          <w:szCs w:val="24"/>
        </w:rPr>
        <w:t xml:space="preserve"> mean </w:t>
      </w:r>
      <w:r w:rsidRPr="004B7144" w:rsidR="00DB43D3">
        <w:rPr>
          <w:szCs w:val="24"/>
        </w:rPr>
        <w:t xml:space="preserve">that </w:t>
      </w:r>
      <w:r w:rsidRPr="004B7144" w:rsidR="00565913">
        <w:rPr>
          <w:szCs w:val="24"/>
        </w:rPr>
        <w:t xml:space="preserve">OCC </w:t>
      </w:r>
      <w:r w:rsidRPr="004B7144" w:rsidR="008069D7">
        <w:rPr>
          <w:szCs w:val="24"/>
        </w:rPr>
        <w:t>intends to broaden the scope of th</w:t>
      </w:r>
      <w:r w:rsidRPr="004B7144" w:rsidR="00137A97">
        <w:rPr>
          <w:szCs w:val="24"/>
        </w:rPr>
        <w:t>is</w:t>
      </w:r>
      <w:r w:rsidRPr="004B7144" w:rsidR="008069D7">
        <w:rPr>
          <w:szCs w:val="24"/>
        </w:rPr>
        <w:t xml:space="preserve"> proceeding to investigate every submetering scenario</w:t>
      </w:r>
      <w:r w:rsidRPr="004B7144" w:rsidR="00137A97">
        <w:rPr>
          <w:szCs w:val="24"/>
        </w:rPr>
        <w:t xml:space="preserve"> in </w:t>
      </w:r>
      <w:r w:rsidRPr="004B7144" w:rsidR="00DA30F0">
        <w:rPr>
          <w:szCs w:val="24"/>
        </w:rPr>
        <w:t>Duke</w:t>
      </w:r>
      <w:r w:rsidRPr="004B7144" w:rsidR="00137A97">
        <w:rPr>
          <w:szCs w:val="24"/>
        </w:rPr>
        <w:t>’s service territory</w:t>
      </w:r>
      <w:r w:rsidRPr="004B7144" w:rsidR="008069D7">
        <w:rPr>
          <w:szCs w:val="24"/>
        </w:rPr>
        <w:t xml:space="preserve"> a</w:t>
      </w:r>
      <w:r w:rsidRPr="004B7144" w:rsidR="00137A97">
        <w:rPr>
          <w:szCs w:val="24"/>
        </w:rPr>
        <w:t xml:space="preserve">s </w:t>
      </w:r>
      <w:r w:rsidRPr="004B7144" w:rsidR="008069D7">
        <w:rPr>
          <w:szCs w:val="24"/>
        </w:rPr>
        <w:t xml:space="preserve">NEP </w:t>
      </w:r>
      <w:r w:rsidRPr="004B7144" w:rsidR="007B27ED">
        <w:rPr>
          <w:szCs w:val="24"/>
        </w:rPr>
        <w:t>claims</w:t>
      </w:r>
      <w:r w:rsidRPr="004B7144" w:rsidR="00565913">
        <w:rPr>
          <w:szCs w:val="24"/>
        </w:rPr>
        <w:t>.</w:t>
      </w:r>
      <w:r>
        <w:rPr>
          <w:rStyle w:val="FootnoteReference"/>
          <w:szCs w:val="24"/>
        </w:rPr>
        <w:footnoteReference w:id="38"/>
      </w:r>
      <w:r w:rsidRPr="004B7144" w:rsidR="00D37B47">
        <w:rPr>
          <w:szCs w:val="24"/>
        </w:rPr>
        <w:t xml:space="preserve"> </w:t>
      </w:r>
    </w:p>
    <w:p w:rsidR="00A33F21" w:rsidRPr="004B7144" w:rsidP="00737178" w14:paraId="35F02953" w14:textId="77777777">
      <w:pPr>
        <w:pStyle w:val="BodyTextIndent3"/>
        <w:widowControl w:val="0"/>
        <w:spacing w:line="480" w:lineRule="auto"/>
        <w:ind w:right="-312"/>
        <w:rPr>
          <w:szCs w:val="24"/>
        </w:rPr>
      </w:pPr>
      <w:r w:rsidRPr="004B7144">
        <w:rPr>
          <w:color w:val="000000"/>
          <w:szCs w:val="24"/>
        </w:rPr>
        <w:t>NEP argues that OCC will not contribute to the full development or equitable resolution of the factual issues in this case, as required by R.C. 4903.221(B)(4) and Ohio Adm. Code 4901-1-11(B)(4).</w:t>
      </w:r>
      <w:r>
        <w:rPr>
          <w:rStyle w:val="FootnoteReference"/>
          <w:color w:val="000000"/>
          <w:szCs w:val="24"/>
        </w:rPr>
        <w:footnoteReference w:id="39"/>
      </w:r>
      <w:r w:rsidRPr="004B7144">
        <w:rPr>
          <w:color w:val="000000"/>
          <w:szCs w:val="24"/>
        </w:rPr>
        <w:t xml:space="preserve"> The PUCO</w:t>
      </w:r>
      <w:r w:rsidRPr="004B7144">
        <w:rPr>
          <w:szCs w:val="24"/>
        </w:rPr>
        <w:t xml:space="preserve"> should reject this argument as well. </w:t>
      </w:r>
    </w:p>
    <w:p w:rsidR="00766F31" w:rsidRPr="004B7144" w14:paraId="7E2D4AA9" w14:textId="77777777">
      <w:pPr>
        <w:rPr>
          <w:szCs w:val="24"/>
        </w:rPr>
      </w:pPr>
      <w:r w:rsidRPr="004B7144">
        <w:rPr>
          <w:szCs w:val="24"/>
        </w:rPr>
        <w:br w:type="page"/>
      </w:r>
    </w:p>
    <w:p w:rsidR="00737178" w:rsidRPr="004B7144" w:rsidP="00737178" w14:paraId="596E2D91" w14:textId="7D31E50E">
      <w:pPr>
        <w:pStyle w:val="BodyTextIndent3"/>
        <w:widowControl w:val="0"/>
        <w:spacing w:line="480" w:lineRule="auto"/>
        <w:ind w:right="-312"/>
        <w:rPr>
          <w:szCs w:val="24"/>
        </w:rPr>
      </w:pPr>
      <w:r w:rsidRPr="004B7144">
        <w:rPr>
          <w:szCs w:val="24"/>
        </w:rPr>
        <w:t>First, i</w:t>
      </w:r>
      <w:r w:rsidRPr="004B7144" w:rsidR="009C76D5">
        <w:rPr>
          <w:szCs w:val="24"/>
        </w:rPr>
        <w:t>t goes without saying that there will be no</w:t>
      </w:r>
      <w:r w:rsidRPr="004B7144" w:rsidR="00BB359A">
        <w:rPr>
          <w:szCs w:val="24"/>
        </w:rPr>
        <w:t xml:space="preserve"> “equitable resolution” of the factual issues in this case</w:t>
      </w:r>
      <w:r w:rsidRPr="004B7144" w:rsidR="009C76D5">
        <w:rPr>
          <w:szCs w:val="24"/>
        </w:rPr>
        <w:t xml:space="preserve"> for </w:t>
      </w:r>
      <w:r w:rsidRPr="004B7144" w:rsidR="00095BA3">
        <w:rPr>
          <w:szCs w:val="24"/>
        </w:rPr>
        <w:t xml:space="preserve">residential </w:t>
      </w:r>
      <w:r w:rsidRPr="004B7144" w:rsidR="009C76D5">
        <w:rPr>
          <w:szCs w:val="24"/>
        </w:rPr>
        <w:t>consumers</w:t>
      </w:r>
      <w:r w:rsidRPr="004B7144" w:rsidR="00BB359A">
        <w:rPr>
          <w:szCs w:val="24"/>
        </w:rPr>
        <w:t xml:space="preserve"> if OCC is denied intervention</w:t>
      </w:r>
      <w:r w:rsidRPr="004B7144" w:rsidR="00732426">
        <w:rPr>
          <w:szCs w:val="24"/>
        </w:rPr>
        <w:t>. OCC’s intervention is needed</w:t>
      </w:r>
      <w:r w:rsidRPr="004B7144" w:rsidR="00BB359A">
        <w:rPr>
          <w:szCs w:val="24"/>
        </w:rPr>
        <w:t xml:space="preserve"> to represent the interests of </w:t>
      </w:r>
      <w:r w:rsidRPr="004B7144" w:rsidR="009C76D5">
        <w:rPr>
          <w:szCs w:val="24"/>
        </w:rPr>
        <w:t xml:space="preserve">those who may be </w:t>
      </w:r>
      <w:r w:rsidRPr="004B7144" w:rsidR="00BB359A">
        <w:rPr>
          <w:szCs w:val="24"/>
        </w:rPr>
        <w:t xml:space="preserve">forced to give up </w:t>
      </w:r>
      <w:r w:rsidRPr="004B7144" w:rsidR="005F2B6F">
        <w:rPr>
          <w:szCs w:val="24"/>
        </w:rPr>
        <w:t xml:space="preserve">Duke’s </w:t>
      </w:r>
      <w:r w:rsidRPr="004B7144" w:rsidR="00BB359A">
        <w:rPr>
          <w:szCs w:val="24"/>
        </w:rPr>
        <w:t>electric utility service and all the consumer protections that go</w:t>
      </w:r>
      <w:r w:rsidRPr="004B7144" w:rsidR="009C76D5">
        <w:rPr>
          <w:szCs w:val="24"/>
        </w:rPr>
        <w:t xml:space="preserve"> with it</w:t>
      </w:r>
      <w:r w:rsidRPr="004B7144" w:rsidR="00BB359A">
        <w:rPr>
          <w:szCs w:val="24"/>
        </w:rPr>
        <w:t xml:space="preserve">. </w:t>
      </w:r>
      <w:r w:rsidRPr="004B7144" w:rsidR="009C76D5">
        <w:rPr>
          <w:szCs w:val="24"/>
        </w:rPr>
        <w:t>According to NEP</w:t>
      </w:r>
      <w:r w:rsidRPr="004B7144" w:rsidR="0081797A">
        <w:rPr>
          <w:szCs w:val="24"/>
        </w:rPr>
        <w:t xml:space="preserve">, </w:t>
      </w:r>
      <w:r w:rsidRPr="004B7144">
        <w:rPr>
          <w:szCs w:val="24"/>
        </w:rPr>
        <w:t xml:space="preserve">these </w:t>
      </w:r>
      <w:r w:rsidRPr="004B7144" w:rsidR="0020327F">
        <w:rPr>
          <w:szCs w:val="24"/>
        </w:rPr>
        <w:t xml:space="preserve">consumer protection </w:t>
      </w:r>
      <w:r w:rsidRPr="004B7144">
        <w:rPr>
          <w:szCs w:val="24"/>
        </w:rPr>
        <w:t xml:space="preserve">“policy” </w:t>
      </w:r>
      <w:r w:rsidRPr="004B7144" w:rsidR="0020327F">
        <w:rPr>
          <w:szCs w:val="24"/>
        </w:rPr>
        <w:t xml:space="preserve">issues </w:t>
      </w:r>
      <w:r w:rsidRPr="004B7144" w:rsidR="0081797A">
        <w:rPr>
          <w:szCs w:val="24"/>
        </w:rPr>
        <w:t xml:space="preserve">are </w:t>
      </w:r>
      <w:r w:rsidRPr="004B7144" w:rsidR="004D0A18">
        <w:rPr>
          <w:szCs w:val="24"/>
        </w:rPr>
        <w:t>irr</w:t>
      </w:r>
      <w:r w:rsidRPr="004B7144">
        <w:rPr>
          <w:szCs w:val="24"/>
        </w:rPr>
        <w:t>elevant</w:t>
      </w:r>
      <w:r w:rsidRPr="004B7144" w:rsidR="0081797A">
        <w:rPr>
          <w:szCs w:val="24"/>
        </w:rPr>
        <w:t>.</w:t>
      </w:r>
      <w:r>
        <w:rPr>
          <w:rStyle w:val="FootnoteReference"/>
          <w:szCs w:val="24"/>
        </w:rPr>
        <w:footnoteReference w:id="40"/>
      </w:r>
      <w:r w:rsidRPr="004B7144" w:rsidR="0020327F">
        <w:rPr>
          <w:szCs w:val="24"/>
        </w:rPr>
        <w:t xml:space="preserve"> But as explained above, </w:t>
      </w:r>
      <w:r w:rsidRPr="004B7144">
        <w:rPr>
          <w:szCs w:val="24"/>
        </w:rPr>
        <w:t xml:space="preserve">and </w:t>
      </w:r>
      <w:r w:rsidRPr="004B7144" w:rsidR="004D0A18">
        <w:rPr>
          <w:szCs w:val="24"/>
        </w:rPr>
        <w:t xml:space="preserve">in </w:t>
      </w:r>
      <w:r w:rsidRPr="004B7144" w:rsidR="005F2B6F">
        <w:rPr>
          <w:szCs w:val="24"/>
        </w:rPr>
        <w:t>Duke’s</w:t>
      </w:r>
      <w:r w:rsidRPr="004B7144">
        <w:rPr>
          <w:szCs w:val="24"/>
        </w:rPr>
        <w:t xml:space="preserve"> complaint, </w:t>
      </w:r>
      <w:r w:rsidRPr="004B7144" w:rsidR="0020327F">
        <w:rPr>
          <w:szCs w:val="24"/>
        </w:rPr>
        <w:t xml:space="preserve">the apartment complex residents have real and </w:t>
      </w:r>
      <w:r w:rsidRPr="004B7144" w:rsidR="00D40393">
        <w:rPr>
          <w:szCs w:val="24"/>
        </w:rPr>
        <w:t>substantial</w:t>
      </w:r>
      <w:r w:rsidRPr="004B7144" w:rsidR="0020327F">
        <w:rPr>
          <w:szCs w:val="24"/>
        </w:rPr>
        <w:t xml:space="preserve"> interest</w:t>
      </w:r>
      <w:r w:rsidRPr="004B7144" w:rsidR="00D40393">
        <w:rPr>
          <w:szCs w:val="24"/>
        </w:rPr>
        <w:t>s</w:t>
      </w:r>
      <w:r w:rsidRPr="004B7144" w:rsidR="0020327F">
        <w:rPr>
          <w:szCs w:val="24"/>
        </w:rPr>
        <w:t xml:space="preserve"> in this case</w:t>
      </w:r>
      <w:r w:rsidRPr="004B7144">
        <w:rPr>
          <w:szCs w:val="24"/>
        </w:rPr>
        <w:t xml:space="preserve">. </w:t>
      </w:r>
      <w:r w:rsidRPr="004B7144" w:rsidR="0020327F">
        <w:rPr>
          <w:szCs w:val="24"/>
        </w:rPr>
        <w:t>OCC</w:t>
      </w:r>
      <w:r w:rsidRPr="004B7144">
        <w:rPr>
          <w:szCs w:val="24"/>
        </w:rPr>
        <w:t xml:space="preserve"> should be granted intervention to</w:t>
      </w:r>
      <w:r w:rsidRPr="004B7144" w:rsidR="00732426">
        <w:rPr>
          <w:szCs w:val="24"/>
        </w:rPr>
        <w:t>ward</w:t>
      </w:r>
      <w:r w:rsidRPr="004B7144">
        <w:rPr>
          <w:szCs w:val="24"/>
        </w:rPr>
        <w:t xml:space="preserve"> an equitable resolution of the factual issues</w:t>
      </w:r>
      <w:r w:rsidRPr="004B7144" w:rsidR="004D0A18">
        <w:rPr>
          <w:szCs w:val="24"/>
        </w:rPr>
        <w:t xml:space="preserve"> for the residential consumers involved</w:t>
      </w:r>
      <w:r w:rsidRPr="004B7144">
        <w:rPr>
          <w:szCs w:val="24"/>
        </w:rPr>
        <w:t xml:space="preserve">. </w:t>
      </w:r>
    </w:p>
    <w:p w:rsidR="000F6887" w:rsidRPr="004B7144" w:rsidP="007567D1" w14:paraId="56ED23E4" w14:textId="77777777">
      <w:pPr>
        <w:pStyle w:val="BodyTextIndent3"/>
        <w:widowControl w:val="0"/>
        <w:spacing w:line="480" w:lineRule="auto"/>
        <w:ind w:right="-312"/>
        <w:rPr>
          <w:szCs w:val="24"/>
        </w:rPr>
      </w:pPr>
      <w:r w:rsidRPr="004B7144">
        <w:rPr>
          <w:szCs w:val="24"/>
        </w:rPr>
        <w:t xml:space="preserve">Second, </w:t>
      </w:r>
      <w:r w:rsidRPr="004B7144" w:rsidR="00737178">
        <w:rPr>
          <w:szCs w:val="24"/>
        </w:rPr>
        <w:t xml:space="preserve">NEP </w:t>
      </w:r>
      <w:r w:rsidRPr="004B7144" w:rsidR="009F4402">
        <w:rPr>
          <w:szCs w:val="24"/>
        </w:rPr>
        <w:t>claims</w:t>
      </w:r>
      <w:r w:rsidRPr="004B7144" w:rsidR="00737178">
        <w:rPr>
          <w:szCs w:val="24"/>
        </w:rPr>
        <w:t xml:space="preserve"> OCC</w:t>
      </w:r>
      <w:r w:rsidRPr="004B7144" w:rsidR="009F4402">
        <w:rPr>
          <w:szCs w:val="24"/>
        </w:rPr>
        <w:t xml:space="preserve"> cannot contribute because it does not</w:t>
      </w:r>
      <w:r w:rsidRPr="004B7144" w:rsidR="00737178">
        <w:rPr>
          <w:szCs w:val="24"/>
        </w:rPr>
        <w:t xml:space="preserve"> provid</w:t>
      </w:r>
      <w:r w:rsidRPr="004B7144" w:rsidR="009F4402">
        <w:rPr>
          <w:szCs w:val="24"/>
        </w:rPr>
        <w:t>e</w:t>
      </w:r>
      <w:r w:rsidRPr="004B7144" w:rsidR="004D0A18">
        <w:rPr>
          <w:szCs w:val="24"/>
        </w:rPr>
        <w:t xml:space="preserve"> any</w:t>
      </w:r>
      <w:r w:rsidRPr="004B7144" w:rsidR="00737178">
        <w:rPr>
          <w:szCs w:val="24"/>
        </w:rPr>
        <w:t xml:space="preserve"> information</w:t>
      </w:r>
      <w:r w:rsidRPr="004B7144" w:rsidR="009F4402">
        <w:rPr>
          <w:szCs w:val="24"/>
        </w:rPr>
        <w:t xml:space="preserve"> in the motion</w:t>
      </w:r>
      <w:r w:rsidRPr="004B7144" w:rsidR="00737178">
        <w:rPr>
          <w:szCs w:val="24"/>
        </w:rPr>
        <w:t xml:space="preserve"> regarding </w:t>
      </w:r>
      <w:r w:rsidRPr="004B7144" w:rsidR="009F4402">
        <w:rPr>
          <w:szCs w:val="24"/>
        </w:rPr>
        <w:t>NEP’s contracts with the</w:t>
      </w:r>
      <w:r w:rsidRPr="004B7144" w:rsidR="00737178">
        <w:rPr>
          <w:szCs w:val="24"/>
        </w:rPr>
        <w:t xml:space="preserve"> apartment complex owners</w:t>
      </w:r>
      <w:r w:rsidRPr="004B7144" w:rsidR="009F4402">
        <w:rPr>
          <w:szCs w:val="24"/>
        </w:rPr>
        <w:t xml:space="preserve"> </w:t>
      </w:r>
      <w:r w:rsidRPr="004B7144" w:rsidR="00737178">
        <w:rPr>
          <w:szCs w:val="24"/>
        </w:rPr>
        <w:t>or NEP’s construction order requests</w:t>
      </w:r>
      <w:r w:rsidRPr="004B7144" w:rsidR="004D0A18">
        <w:rPr>
          <w:szCs w:val="24"/>
        </w:rPr>
        <w:t xml:space="preserve"> to</w:t>
      </w:r>
      <w:r w:rsidRPr="004B7144" w:rsidR="009F4402">
        <w:rPr>
          <w:szCs w:val="24"/>
        </w:rPr>
        <w:t xml:space="preserve"> </w:t>
      </w:r>
      <w:r w:rsidRPr="004B7144" w:rsidR="00DA30F0">
        <w:rPr>
          <w:szCs w:val="24"/>
        </w:rPr>
        <w:t>Duke</w:t>
      </w:r>
      <w:r w:rsidRPr="004B7144" w:rsidR="00737178">
        <w:rPr>
          <w:szCs w:val="24"/>
        </w:rPr>
        <w:t>.</w:t>
      </w:r>
      <w:r>
        <w:rPr>
          <w:rStyle w:val="FootnoteReference"/>
          <w:szCs w:val="24"/>
        </w:rPr>
        <w:footnoteReference w:id="41"/>
      </w:r>
      <w:r w:rsidRPr="004B7144" w:rsidR="00737178">
        <w:rPr>
          <w:szCs w:val="24"/>
        </w:rPr>
        <w:t xml:space="preserve"> NEP’s argument makes no sense. How would OCC have this information before intervening in the case? </w:t>
      </w:r>
      <w:r w:rsidRPr="004B7144">
        <w:rPr>
          <w:szCs w:val="24"/>
        </w:rPr>
        <w:t>The purp</w:t>
      </w:r>
      <w:r w:rsidRPr="004B7144" w:rsidR="009F4402">
        <w:rPr>
          <w:szCs w:val="24"/>
        </w:rPr>
        <w:t xml:space="preserve">ose of OCC’s intervention is to develop and contribute to the record through </w:t>
      </w:r>
      <w:r w:rsidRPr="004B7144" w:rsidR="004D0A18">
        <w:rPr>
          <w:szCs w:val="24"/>
        </w:rPr>
        <w:t xml:space="preserve">information gained in </w:t>
      </w:r>
      <w:r w:rsidRPr="004B7144" w:rsidR="00732426">
        <w:rPr>
          <w:szCs w:val="24"/>
        </w:rPr>
        <w:t>the case</w:t>
      </w:r>
      <w:r w:rsidRPr="004B7144" w:rsidR="009F4402">
        <w:rPr>
          <w:szCs w:val="24"/>
        </w:rPr>
        <w:t>.</w:t>
      </w:r>
      <w:r w:rsidRPr="004B7144" w:rsidR="00737178">
        <w:rPr>
          <w:szCs w:val="24"/>
        </w:rPr>
        <w:t xml:space="preserve"> </w:t>
      </w:r>
    </w:p>
    <w:p w:rsidR="00806A4D" w:rsidP="007567D1" w14:paraId="16E63627" w14:textId="77777777">
      <w:pPr>
        <w:pStyle w:val="BodyTextIndent3"/>
        <w:widowControl w:val="0"/>
        <w:spacing w:line="480" w:lineRule="auto"/>
        <w:ind w:right="-312"/>
        <w:rPr>
          <w:szCs w:val="24"/>
        </w:rPr>
      </w:pPr>
      <w:r w:rsidRPr="004B7144">
        <w:rPr>
          <w:color w:val="000000"/>
          <w:szCs w:val="24"/>
        </w:rPr>
        <w:t>NEP argues that</w:t>
      </w:r>
      <w:r w:rsidRPr="004B7144">
        <w:rPr>
          <w:szCs w:val="24"/>
        </w:rPr>
        <w:t xml:space="preserve"> OCC does not satisfy Ohio Adm. Code 4901-1-11(B)(5) because OCC cannot demonstrate that its interests are not already represented by the parties.</w:t>
      </w:r>
      <w:r>
        <w:rPr>
          <w:rStyle w:val="FootnoteReference"/>
          <w:szCs w:val="24"/>
        </w:rPr>
        <w:footnoteReference w:id="42"/>
      </w:r>
      <w:r w:rsidRPr="004B7144">
        <w:rPr>
          <w:szCs w:val="24"/>
        </w:rPr>
        <w:t xml:space="preserve"> </w:t>
      </w:r>
      <w:r w:rsidRPr="004B7144" w:rsidR="0052535D">
        <w:rPr>
          <w:szCs w:val="24"/>
        </w:rPr>
        <w:t xml:space="preserve">This argument should also be rejected. </w:t>
      </w:r>
      <w:r w:rsidRPr="004B7144" w:rsidR="004D0A18">
        <w:rPr>
          <w:szCs w:val="24"/>
        </w:rPr>
        <w:t>C</w:t>
      </w:r>
      <w:r w:rsidRPr="004B7144" w:rsidR="0052535D">
        <w:rPr>
          <w:szCs w:val="24"/>
        </w:rPr>
        <w:t>urrently</w:t>
      </w:r>
      <w:r w:rsidRPr="004B7144" w:rsidR="004D0A18">
        <w:rPr>
          <w:szCs w:val="24"/>
        </w:rPr>
        <w:t>, the</w:t>
      </w:r>
      <w:r w:rsidRPr="004B7144" w:rsidR="0052535D">
        <w:rPr>
          <w:szCs w:val="24"/>
        </w:rPr>
        <w:t xml:space="preserve"> two parties to th</w:t>
      </w:r>
      <w:r w:rsidRPr="004B7144" w:rsidR="004D0A18">
        <w:rPr>
          <w:szCs w:val="24"/>
        </w:rPr>
        <w:t>e</w:t>
      </w:r>
      <w:r w:rsidRPr="004B7144" w:rsidR="0052535D">
        <w:rPr>
          <w:szCs w:val="24"/>
        </w:rPr>
        <w:t xml:space="preserve"> case</w:t>
      </w:r>
      <w:r w:rsidRPr="004B7144" w:rsidR="004D0A18">
        <w:rPr>
          <w:szCs w:val="24"/>
        </w:rPr>
        <w:t xml:space="preserve"> are</w:t>
      </w:r>
      <w:r w:rsidRPr="004B7144" w:rsidR="0052535D">
        <w:rPr>
          <w:szCs w:val="24"/>
        </w:rPr>
        <w:t xml:space="preserve"> </w:t>
      </w:r>
      <w:r w:rsidRPr="004B7144" w:rsidR="005F2B6F">
        <w:rPr>
          <w:szCs w:val="24"/>
        </w:rPr>
        <w:t>Duke</w:t>
      </w:r>
      <w:r w:rsidRPr="004B7144" w:rsidR="0052535D">
        <w:rPr>
          <w:szCs w:val="24"/>
        </w:rPr>
        <w:t xml:space="preserve"> and NEP. </w:t>
      </w:r>
      <w:r w:rsidRPr="004B7144" w:rsidR="004D0A18">
        <w:rPr>
          <w:szCs w:val="24"/>
        </w:rPr>
        <w:t xml:space="preserve">Of course, </w:t>
      </w:r>
      <w:r w:rsidRPr="004B7144" w:rsidR="0052535D">
        <w:rPr>
          <w:szCs w:val="24"/>
        </w:rPr>
        <w:t xml:space="preserve">NEP </w:t>
      </w:r>
      <w:r w:rsidRPr="004B7144" w:rsidR="00732426">
        <w:rPr>
          <w:szCs w:val="24"/>
        </w:rPr>
        <w:t>does not</w:t>
      </w:r>
      <w:r w:rsidRPr="004B7144" w:rsidR="0052535D">
        <w:rPr>
          <w:szCs w:val="24"/>
        </w:rPr>
        <w:t xml:space="preserve"> represent the interests of the apartment complex residential consumers</w:t>
      </w:r>
      <w:r w:rsidRPr="004B7144" w:rsidR="00732426">
        <w:rPr>
          <w:szCs w:val="24"/>
        </w:rPr>
        <w:t>.</w:t>
      </w:r>
      <w:r w:rsidRPr="004B7144" w:rsidR="0052535D">
        <w:rPr>
          <w:szCs w:val="24"/>
        </w:rPr>
        <w:t xml:space="preserve"> NEP </w:t>
      </w:r>
      <w:r w:rsidRPr="004B7144" w:rsidR="007567D1">
        <w:rPr>
          <w:szCs w:val="24"/>
        </w:rPr>
        <w:t xml:space="preserve">does not </w:t>
      </w:r>
      <w:r w:rsidRPr="004B7144" w:rsidR="00732426">
        <w:rPr>
          <w:szCs w:val="24"/>
        </w:rPr>
        <w:t xml:space="preserve">even </w:t>
      </w:r>
      <w:r w:rsidRPr="004B7144" w:rsidR="007567D1">
        <w:rPr>
          <w:szCs w:val="24"/>
        </w:rPr>
        <w:t xml:space="preserve">believe </w:t>
      </w:r>
      <w:r w:rsidRPr="004B7144" w:rsidR="00732426">
        <w:rPr>
          <w:szCs w:val="24"/>
        </w:rPr>
        <w:t xml:space="preserve">they have an </w:t>
      </w:r>
      <w:r w:rsidRPr="004B7144" w:rsidR="007567D1">
        <w:rPr>
          <w:szCs w:val="24"/>
        </w:rPr>
        <w:t>interest</w:t>
      </w:r>
      <w:r w:rsidRPr="004B7144" w:rsidR="00732426">
        <w:rPr>
          <w:szCs w:val="24"/>
        </w:rPr>
        <w:t xml:space="preserve"> in this</w:t>
      </w:r>
      <w:r w:rsidRPr="004B7144" w:rsidR="00095BA3">
        <w:rPr>
          <w:szCs w:val="24"/>
        </w:rPr>
        <w:t xml:space="preserve"> matter</w:t>
      </w:r>
      <w:r w:rsidRPr="004B7144" w:rsidR="007567D1">
        <w:rPr>
          <w:szCs w:val="24"/>
        </w:rPr>
        <w:t>.</w:t>
      </w:r>
      <w:r>
        <w:rPr>
          <w:rStyle w:val="FootnoteReference"/>
          <w:szCs w:val="24"/>
        </w:rPr>
        <w:footnoteReference w:id="43"/>
      </w:r>
      <w:r w:rsidRPr="004B7144" w:rsidR="000067F1">
        <w:rPr>
          <w:szCs w:val="24"/>
        </w:rPr>
        <w:t xml:space="preserve"> </w:t>
      </w:r>
      <w:r w:rsidRPr="004B7144" w:rsidR="007C022B">
        <w:rPr>
          <w:szCs w:val="24"/>
        </w:rPr>
        <w:t>Duke</w:t>
      </w:r>
      <w:r w:rsidRPr="004B7144" w:rsidR="005D5632">
        <w:rPr>
          <w:szCs w:val="24"/>
        </w:rPr>
        <w:t xml:space="preserve"> also </w:t>
      </w:r>
      <w:r w:rsidRPr="004B7144" w:rsidR="00732426">
        <w:rPr>
          <w:szCs w:val="24"/>
        </w:rPr>
        <w:t xml:space="preserve">does </w:t>
      </w:r>
    </w:p>
    <w:p w:rsidR="00806A4D" w14:paraId="6B5939AA" w14:textId="77777777">
      <w:pPr>
        <w:rPr>
          <w:szCs w:val="24"/>
        </w:rPr>
      </w:pPr>
      <w:r>
        <w:rPr>
          <w:szCs w:val="24"/>
        </w:rPr>
        <w:br w:type="page"/>
      </w:r>
    </w:p>
    <w:p w:rsidR="00ED505F" w:rsidRPr="004B7144" w:rsidP="00806A4D" w14:paraId="7CA77581" w14:textId="18B82467">
      <w:pPr>
        <w:pStyle w:val="BodyTextIndent3"/>
        <w:widowControl w:val="0"/>
        <w:spacing w:line="480" w:lineRule="auto"/>
        <w:ind w:right="-312" w:firstLine="0"/>
        <w:rPr>
          <w:szCs w:val="24"/>
        </w:rPr>
      </w:pPr>
      <w:r w:rsidRPr="004B7144">
        <w:rPr>
          <w:szCs w:val="24"/>
        </w:rPr>
        <w:t xml:space="preserve">not </w:t>
      </w:r>
      <w:r w:rsidRPr="004B7144" w:rsidR="005D5632">
        <w:rPr>
          <w:szCs w:val="24"/>
        </w:rPr>
        <w:t>represent the interests of the apartment complex residents</w:t>
      </w:r>
      <w:r w:rsidRPr="004B7144">
        <w:rPr>
          <w:szCs w:val="24"/>
        </w:rPr>
        <w:t>.</w:t>
      </w:r>
      <w:r w:rsidRPr="004B7144" w:rsidR="007567D1">
        <w:rPr>
          <w:szCs w:val="24"/>
        </w:rPr>
        <w:t xml:space="preserve"> </w:t>
      </w:r>
      <w:r w:rsidRPr="004B7144" w:rsidR="007C022B">
        <w:rPr>
          <w:szCs w:val="24"/>
        </w:rPr>
        <w:t>Duke</w:t>
      </w:r>
      <w:r w:rsidRPr="004B7144" w:rsidR="005D5632">
        <w:rPr>
          <w:szCs w:val="24"/>
        </w:rPr>
        <w:t xml:space="preserve"> </w:t>
      </w:r>
      <w:r w:rsidRPr="004B7144" w:rsidR="004F36F4">
        <w:rPr>
          <w:szCs w:val="24"/>
        </w:rPr>
        <w:t>represents</w:t>
      </w:r>
      <w:r w:rsidRPr="004B7144">
        <w:rPr>
          <w:szCs w:val="24"/>
        </w:rPr>
        <w:t xml:space="preserve"> its</w:t>
      </w:r>
      <w:r w:rsidRPr="004B7144" w:rsidR="005D5632">
        <w:rPr>
          <w:szCs w:val="24"/>
        </w:rPr>
        <w:t xml:space="preserve"> </w:t>
      </w:r>
      <w:r w:rsidRPr="004B7144">
        <w:rPr>
          <w:szCs w:val="24"/>
        </w:rPr>
        <w:t xml:space="preserve">shareholders’ </w:t>
      </w:r>
      <w:r w:rsidRPr="004B7144" w:rsidR="00F8000D">
        <w:rPr>
          <w:szCs w:val="24"/>
        </w:rPr>
        <w:t xml:space="preserve">business </w:t>
      </w:r>
      <w:r w:rsidRPr="004B7144" w:rsidR="005D5632">
        <w:rPr>
          <w:szCs w:val="24"/>
        </w:rPr>
        <w:t>interests</w:t>
      </w:r>
      <w:r w:rsidRPr="004B7144" w:rsidR="007567D1">
        <w:rPr>
          <w:szCs w:val="24"/>
        </w:rPr>
        <w:t xml:space="preserve">. </w:t>
      </w:r>
    </w:p>
    <w:p w:rsidR="007567D1" w:rsidRPr="004B7144" w:rsidP="00766F31" w14:paraId="3C511C62" w14:textId="3F53C941">
      <w:pPr>
        <w:pStyle w:val="BodyTextIndent3"/>
        <w:widowControl w:val="0"/>
        <w:spacing w:line="480" w:lineRule="auto"/>
        <w:ind w:right="-312"/>
        <w:rPr>
          <w:szCs w:val="24"/>
        </w:rPr>
      </w:pPr>
      <w:r w:rsidRPr="004B7144">
        <w:rPr>
          <w:szCs w:val="24"/>
        </w:rPr>
        <w:t xml:space="preserve">Thus, </w:t>
      </w:r>
      <w:r w:rsidRPr="004B7144" w:rsidR="007C022B">
        <w:rPr>
          <w:szCs w:val="24"/>
        </w:rPr>
        <w:t>Duke</w:t>
      </w:r>
      <w:r w:rsidRPr="004B7144" w:rsidR="00A220C0">
        <w:rPr>
          <w:szCs w:val="24"/>
        </w:rPr>
        <w:t xml:space="preserve"> </w:t>
      </w:r>
      <w:r w:rsidRPr="004B7144" w:rsidR="00732426">
        <w:rPr>
          <w:szCs w:val="24"/>
        </w:rPr>
        <w:t xml:space="preserve">does not </w:t>
      </w:r>
      <w:r w:rsidRPr="004B7144" w:rsidR="00A220C0">
        <w:rPr>
          <w:szCs w:val="24"/>
        </w:rPr>
        <w:t>represent the interests of the apartment complex resident</w:t>
      </w:r>
      <w:r w:rsidRPr="004B7144" w:rsidR="008E0F96">
        <w:rPr>
          <w:szCs w:val="24"/>
        </w:rPr>
        <w:t>s</w:t>
      </w:r>
      <w:r w:rsidRPr="004B7144" w:rsidR="00A220C0">
        <w:rPr>
          <w:szCs w:val="24"/>
        </w:rPr>
        <w:t xml:space="preserve"> as NEP contends. </w:t>
      </w:r>
    </w:p>
    <w:p w:rsidR="00737178" w:rsidRPr="004B7144" w:rsidP="007567D1" w14:paraId="0EBAA2DD" w14:textId="77777777">
      <w:pPr>
        <w:pStyle w:val="BodyTextIndent3"/>
        <w:widowControl w:val="0"/>
        <w:spacing w:line="480" w:lineRule="auto"/>
        <w:ind w:right="-312"/>
        <w:rPr>
          <w:szCs w:val="24"/>
        </w:rPr>
      </w:pPr>
      <w:r w:rsidRPr="004B7144">
        <w:rPr>
          <w:szCs w:val="24"/>
        </w:rPr>
        <w:t>OCC</w:t>
      </w:r>
      <w:r w:rsidRPr="004B7144" w:rsidR="007567D1">
        <w:rPr>
          <w:szCs w:val="24"/>
        </w:rPr>
        <w:t>, on the other hand,</w:t>
      </w:r>
      <w:r w:rsidRPr="004B7144">
        <w:rPr>
          <w:szCs w:val="24"/>
        </w:rPr>
        <w:t xml:space="preserve"> is in the unique position of the being the statutory</w:t>
      </w:r>
      <w:r w:rsidRPr="004B7144" w:rsidR="005841AA">
        <w:rPr>
          <w:szCs w:val="24"/>
        </w:rPr>
        <w:t xml:space="preserve"> </w:t>
      </w:r>
      <w:r w:rsidRPr="004B7144" w:rsidR="00220C8F">
        <w:rPr>
          <w:szCs w:val="24"/>
        </w:rPr>
        <w:t xml:space="preserve">legal </w:t>
      </w:r>
      <w:r w:rsidRPr="004B7144" w:rsidR="005841AA">
        <w:rPr>
          <w:szCs w:val="24"/>
        </w:rPr>
        <w:t xml:space="preserve">representative </w:t>
      </w:r>
      <w:r w:rsidRPr="004B7144" w:rsidR="00220C8F">
        <w:rPr>
          <w:szCs w:val="24"/>
        </w:rPr>
        <w:t>for</w:t>
      </w:r>
      <w:r w:rsidRPr="004B7144" w:rsidR="005841AA">
        <w:rPr>
          <w:szCs w:val="24"/>
        </w:rPr>
        <w:t xml:space="preserve"> Ohio’s residential utility consumers. OCC </w:t>
      </w:r>
      <w:r w:rsidRPr="004B7144" w:rsidR="00220C8F">
        <w:rPr>
          <w:szCs w:val="24"/>
        </w:rPr>
        <w:t>represents</w:t>
      </w:r>
      <w:r w:rsidRPr="004B7144" w:rsidR="005841AA">
        <w:rPr>
          <w:szCs w:val="24"/>
        </w:rPr>
        <w:t xml:space="preserve"> </w:t>
      </w:r>
      <w:r w:rsidRPr="004B7144" w:rsidR="005841AA">
        <w:rPr>
          <w:i/>
          <w:iCs/>
          <w:szCs w:val="24"/>
        </w:rPr>
        <w:t>only</w:t>
      </w:r>
      <w:r w:rsidRPr="004B7144" w:rsidR="005841AA">
        <w:rPr>
          <w:szCs w:val="24"/>
        </w:rPr>
        <w:t xml:space="preserve"> residential utility consumers</w:t>
      </w:r>
      <w:r w:rsidRPr="004B7144" w:rsidR="00220C8F">
        <w:rPr>
          <w:szCs w:val="24"/>
        </w:rPr>
        <w:t xml:space="preserve"> without competing interests. Accordingly, the PUCO should grant OCC’s motion to intervene.</w:t>
      </w:r>
    </w:p>
    <w:p w:rsidR="00220C8F" w:rsidRPr="004B7144" w:rsidP="00737178" w14:paraId="2906A1CC" w14:textId="75296057">
      <w:pPr>
        <w:pStyle w:val="BodyTextIndent3"/>
        <w:widowControl w:val="0"/>
        <w:spacing w:line="480" w:lineRule="auto"/>
        <w:ind w:right="-312"/>
        <w:rPr>
          <w:szCs w:val="24"/>
        </w:rPr>
      </w:pPr>
      <w:r w:rsidRPr="004B7144">
        <w:rPr>
          <w:color w:val="000000"/>
          <w:szCs w:val="24"/>
        </w:rPr>
        <w:t>Finally, NEP claims</w:t>
      </w:r>
      <w:r w:rsidRPr="004B7144">
        <w:rPr>
          <w:szCs w:val="24"/>
        </w:rPr>
        <w:t xml:space="preserve"> that OCC </w:t>
      </w:r>
      <w:r w:rsidRPr="004B7144" w:rsidR="00B12B2C">
        <w:rPr>
          <w:szCs w:val="24"/>
        </w:rPr>
        <w:t>cites the</w:t>
      </w:r>
      <w:r w:rsidRPr="004B7144" w:rsidR="00854AFA">
        <w:rPr>
          <w:szCs w:val="24"/>
        </w:rPr>
        <w:t xml:space="preserve"> Court’s decision in </w:t>
      </w:r>
      <w:r w:rsidRPr="004B7144" w:rsidR="00854AFA">
        <w:rPr>
          <w:i/>
          <w:iCs/>
          <w:szCs w:val="24"/>
        </w:rPr>
        <w:t>Ohio Consumers Counsel v. Public Util. Comm.</w:t>
      </w:r>
      <w:r>
        <w:rPr>
          <w:rStyle w:val="FootnoteReference"/>
          <w:szCs w:val="24"/>
        </w:rPr>
        <w:footnoteReference w:id="44"/>
      </w:r>
      <w:r w:rsidRPr="004B7144" w:rsidR="00854AFA">
        <w:rPr>
          <w:szCs w:val="24"/>
        </w:rPr>
        <w:t xml:space="preserve"> as </w:t>
      </w:r>
      <w:r w:rsidRPr="004B7144" w:rsidR="00B12B2C">
        <w:rPr>
          <w:szCs w:val="24"/>
        </w:rPr>
        <w:t>providing a</w:t>
      </w:r>
      <w:r w:rsidRPr="004B7144" w:rsidR="00854AFA">
        <w:rPr>
          <w:szCs w:val="24"/>
        </w:rPr>
        <w:t xml:space="preserve"> “blanket right to intervene in </w:t>
      </w:r>
      <w:r w:rsidRPr="004B7144" w:rsidR="00CF2F64">
        <w:rPr>
          <w:szCs w:val="24"/>
        </w:rPr>
        <w:t>PUCO proceedings</w:t>
      </w:r>
      <w:r w:rsidRPr="004B7144" w:rsidR="00854AFA">
        <w:rPr>
          <w:szCs w:val="24"/>
        </w:rPr>
        <w:t>.”</w:t>
      </w:r>
      <w:r>
        <w:rPr>
          <w:rStyle w:val="FootnoteReference"/>
          <w:szCs w:val="24"/>
        </w:rPr>
        <w:footnoteReference w:id="45"/>
      </w:r>
      <w:r w:rsidRPr="004B7144" w:rsidR="007C6052">
        <w:rPr>
          <w:szCs w:val="24"/>
        </w:rPr>
        <w:t xml:space="preserve"> </w:t>
      </w:r>
      <w:r w:rsidRPr="004B7144" w:rsidR="00ED6ED2">
        <w:rPr>
          <w:szCs w:val="24"/>
        </w:rPr>
        <w:t xml:space="preserve">OCC relies on </w:t>
      </w:r>
      <w:r w:rsidRPr="004B7144" w:rsidR="007C6052">
        <w:rPr>
          <w:i/>
          <w:iCs/>
          <w:szCs w:val="24"/>
        </w:rPr>
        <w:t>Ohio Con</w:t>
      </w:r>
      <w:r w:rsidRPr="004B7144" w:rsidR="00B12B2C">
        <w:rPr>
          <w:i/>
          <w:iCs/>
          <w:szCs w:val="24"/>
        </w:rPr>
        <w:t>s</w:t>
      </w:r>
      <w:r w:rsidRPr="004B7144" w:rsidR="007C6052">
        <w:rPr>
          <w:i/>
          <w:iCs/>
          <w:szCs w:val="24"/>
        </w:rPr>
        <w:t>umers</w:t>
      </w:r>
      <w:r w:rsidRPr="004B7144" w:rsidR="00754784">
        <w:rPr>
          <w:i/>
          <w:iCs/>
          <w:szCs w:val="24"/>
        </w:rPr>
        <w:t>’</w:t>
      </w:r>
      <w:r w:rsidRPr="004B7144" w:rsidR="007C6052">
        <w:rPr>
          <w:i/>
          <w:iCs/>
          <w:szCs w:val="24"/>
        </w:rPr>
        <w:t xml:space="preserve"> Counsel</w:t>
      </w:r>
      <w:r w:rsidRPr="004B7144" w:rsidR="007C6052">
        <w:rPr>
          <w:szCs w:val="24"/>
        </w:rPr>
        <w:t xml:space="preserve"> </w:t>
      </w:r>
      <w:r w:rsidRPr="004B7144" w:rsidR="00ED6ED2">
        <w:rPr>
          <w:szCs w:val="24"/>
        </w:rPr>
        <w:t>for the proposition that OCC</w:t>
      </w:r>
      <w:r w:rsidRPr="004B7144" w:rsidR="00754784">
        <w:rPr>
          <w:szCs w:val="24"/>
        </w:rPr>
        <w:t xml:space="preserve"> has a right to intervene</w:t>
      </w:r>
      <w:r w:rsidRPr="004B7144" w:rsidR="00ED6ED2">
        <w:rPr>
          <w:szCs w:val="24"/>
        </w:rPr>
        <w:t xml:space="preserve"> in cases w</w:t>
      </w:r>
      <w:r w:rsidRPr="004B7144" w:rsidR="00B12B2C">
        <w:rPr>
          <w:szCs w:val="24"/>
        </w:rPr>
        <w:t xml:space="preserve">hen it files </w:t>
      </w:r>
      <w:r w:rsidRPr="004B7144" w:rsidR="00ED6ED2">
        <w:rPr>
          <w:szCs w:val="24"/>
        </w:rPr>
        <w:t xml:space="preserve">a motion addressing </w:t>
      </w:r>
      <w:r w:rsidRPr="004B7144" w:rsidR="00B12B2C">
        <w:rPr>
          <w:szCs w:val="24"/>
        </w:rPr>
        <w:t xml:space="preserve">how it satisfies </w:t>
      </w:r>
      <w:r w:rsidRPr="004B7144" w:rsidR="00946D9E">
        <w:rPr>
          <w:szCs w:val="24"/>
        </w:rPr>
        <w:t xml:space="preserve">the </w:t>
      </w:r>
      <w:r w:rsidRPr="004B7144" w:rsidR="00ED6ED2">
        <w:rPr>
          <w:szCs w:val="24"/>
        </w:rPr>
        <w:t>intervention criteria</w:t>
      </w:r>
      <w:r w:rsidRPr="004B7144" w:rsidR="00754784">
        <w:rPr>
          <w:szCs w:val="24"/>
        </w:rPr>
        <w:t xml:space="preserve"> </w:t>
      </w:r>
      <w:r w:rsidRPr="004B7144" w:rsidR="00946D9E">
        <w:rPr>
          <w:szCs w:val="24"/>
        </w:rPr>
        <w:t>set forth in</w:t>
      </w:r>
      <w:r w:rsidRPr="004B7144" w:rsidR="00754784">
        <w:rPr>
          <w:szCs w:val="24"/>
        </w:rPr>
        <w:t xml:space="preserve"> Ohio law and the PUCO’s rules</w:t>
      </w:r>
      <w:r w:rsidRPr="004B7144" w:rsidR="00ED6ED2">
        <w:rPr>
          <w:szCs w:val="24"/>
        </w:rPr>
        <w:t>.</w:t>
      </w:r>
      <w:r w:rsidRPr="004B7144" w:rsidR="00754784">
        <w:rPr>
          <w:szCs w:val="24"/>
        </w:rPr>
        <w:t xml:space="preserve"> </w:t>
      </w:r>
      <w:r w:rsidRPr="004B7144" w:rsidR="00B12B2C">
        <w:rPr>
          <w:szCs w:val="24"/>
        </w:rPr>
        <w:t>And t</w:t>
      </w:r>
      <w:r w:rsidRPr="004B7144" w:rsidR="00754784">
        <w:rPr>
          <w:szCs w:val="24"/>
        </w:rPr>
        <w:t xml:space="preserve">he Court in </w:t>
      </w:r>
      <w:r w:rsidRPr="004B7144" w:rsidR="00754784">
        <w:rPr>
          <w:i/>
          <w:iCs/>
          <w:szCs w:val="24"/>
        </w:rPr>
        <w:t>Ohio Consumers’ Counsel</w:t>
      </w:r>
      <w:r w:rsidRPr="004B7144" w:rsidR="00754784">
        <w:rPr>
          <w:szCs w:val="24"/>
        </w:rPr>
        <w:t xml:space="preserve"> held that </w:t>
      </w:r>
      <w:r w:rsidRPr="004B7144" w:rsidR="00C86ACD">
        <w:rPr>
          <w:szCs w:val="24"/>
        </w:rPr>
        <w:t xml:space="preserve">“intervention ought to be </w:t>
      </w:r>
      <w:r w:rsidRPr="004B7144" w:rsidR="00C86ACD">
        <w:rPr>
          <w:b/>
          <w:bCs/>
          <w:i/>
          <w:iCs/>
          <w:szCs w:val="24"/>
        </w:rPr>
        <w:t>liberally allowed</w:t>
      </w:r>
      <w:r w:rsidRPr="004B7144" w:rsidR="00C86ACD">
        <w:rPr>
          <w:szCs w:val="24"/>
        </w:rPr>
        <w:t xml:space="preserve"> so that the positions of all persons with a real and substantial interest in the proceedings can be considered by the PUCO.”</w:t>
      </w:r>
      <w:r>
        <w:rPr>
          <w:rStyle w:val="FootnoteReference"/>
          <w:szCs w:val="24"/>
        </w:rPr>
        <w:footnoteReference w:id="46"/>
      </w:r>
      <w:r w:rsidRPr="004B7144" w:rsidR="00754784">
        <w:rPr>
          <w:szCs w:val="24"/>
        </w:rPr>
        <w:t xml:space="preserve"> </w:t>
      </w:r>
      <w:r w:rsidRPr="004B7144" w:rsidR="000D4F1D">
        <w:rPr>
          <w:szCs w:val="24"/>
        </w:rPr>
        <w:t xml:space="preserve">The PUCO </w:t>
      </w:r>
      <w:r w:rsidRPr="004B7144" w:rsidR="006F6E6B">
        <w:rPr>
          <w:szCs w:val="24"/>
        </w:rPr>
        <w:t xml:space="preserve">very </w:t>
      </w:r>
      <w:r w:rsidRPr="004B7144" w:rsidR="000D4F1D">
        <w:rPr>
          <w:szCs w:val="24"/>
        </w:rPr>
        <w:t xml:space="preserve">recently cited </w:t>
      </w:r>
      <w:r w:rsidRPr="004B7144" w:rsidR="006F6E6B">
        <w:rPr>
          <w:szCs w:val="24"/>
        </w:rPr>
        <w:t>this holding when it</w:t>
      </w:r>
      <w:r w:rsidRPr="004B7144" w:rsidR="000D4F1D">
        <w:rPr>
          <w:szCs w:val="24"/>
        </w:rPr>
        <w:t xml:space="preserve"> grant</w:t>
      </w:r>
      <w:r w:rsidRPr="004B7144" w:rsidR="006F6E6B">
        <w:rPr>
          <w:szCs w:val="24"/>
        </w:rPr>
        <w:t>ed</w:t>
      </w:r>
      <w:r w:rsidRPr="004B7144" w:rsidR="000D4F1D">
        <w:rPr>
          <w:szCs w:val="24"/>
        </w:rPr>
        <w:t xml:space="preserve"> OCC’s motion to intervene</w:t>
      </w:r>
      <w:r w:rsidRPr="004B7144" w:rsidR="006F6E6B">
        <w:rPr>
          <w:szCs w:val="24"/>
        </w:rPr>
        <w:t xml:space="preserve"> </w:t>
      </w:r>
      <w:r w:rsidRPr="004B7144" w:rsidR="008B6C73">
        <w:rPr>
          <w:szCs w:val="24"/>
        </w:rPr>
        <w:t>over a</w:t>
      </w:r>
      <w:r w:rsidRPr="004B7144" w:rsidR="006F6E6B">
        <w:rPr>
          <w:szCs w:val="24"/>
        </w:rPr>
        <w:t xml:space="preserve"> party’s opposition</w:t>
      </w:r>
      <w:r w:rsidRPr="004B7144" w:rsidR="008B6C73">
        <w:rPr>
          <w:szCs w:val="24"/>
        </w:rPr>
        <w:t xml:space="preserve"> in another case</w:t>
      </w:r>
      <w:r w:rsidRPr="004B7144" w:rsidR="006F6E6B">
        <w:rPr>
          <w:szCs w:val="24"/>
        </w:rPr>
        <w:t>.</w:t>
      </w:r>
      <w:r>
        <w:rPr>
          <w:rStyle w:val="FootnoteReference"/>
          <w:szCs w:val="24"/>
        </w:rPr>
        <w:footnoteReference w:id="47"/>
      </w:r>
      <w:r w:rsidRPr="004B7144" w:rsidR="000D4F1D">
        <w:rPr>
          <w:szCs w:val="24"/>
        </w:rPr>
        <w:t xml:space="preserve"> </w:t>
      </w:r>
      <w:r w:rsidRPr="004B7144" w:rsidR="00732426">
        <w:rPr>
          <w:szCs w:val="24"/>
        </w:rPr>
        <w:t>The Court’s decision should not be fl</w:t>
      </w:r>
      <w:r w:rsidRPr="004B7144" w:rsidR="009118C4">
        <w:rPr>
          <w:szCs w:val="24"/>
        </w:rPr>
        <w:t>outed</w:t>
      </w:r>
      <w:r w:rsidRPr="004B7144" w:rsidR="00732426">
        <w:rPr>
          <w:szCs w:val="24"/>
        </w:rPr>
        <w:t xml:space="preserve"> by NEP (nor by the PUCO). </w:t>
      </w:r>
      <w:r w:rsidRPr="004B7144" w:rsidR="00C86ACD">
        <w:rPr>
          <w:szCs w:val="24"/>
        </w:rPr>
        <w:t>OCC has demonstrated that it satisfies the criteria for intervention under Ohio law and the PUCO’s rules</w:t>
      </w:r>
      <w:r w:rsidRPr="004B7144" w:rsidR="00240065">
        <w:rPr>
          <w:szCs w:val="24"/>
        </w:rPr>
        <w:t>, and the PUCO should grant OCC’s motion to intervene.</w:t>
      </w:r>
      <w:r w:rsidRPr="004B7144" w:rsidR="00035B93">
        <w:rPr>
          <w:szCs w:val="24"/>
        </w:rPr>
        <w:t xml:space="preserve"> </w:t>
      </w:r>
    </w:p>
    <w:p w:rsidR="00150BE2" w:rsidRPr="004B7144" w:rsidP="00150BE2" w14:paraId="7E79DAB5" w14:textId="77777777">
      <w:pPr>
        <w:pStyle w:val="BodyTextIndent3"/>
        <w:widowControl w:val="0"/>
        <w:spacing w:line="240" w:lineRule="auto"/>
        <w:ind w:right="-312"/>
        <w:rPr>
          <w:szCs w:val="24"/>
        </w:rPr>
      </w:pPr>
    </w:p>
    <w:p w:rsidR="00610A33" w:rsidRPr="004B7144" w:rsidP="00C03CC7" w14:paraId="23C85C86" w14:textId="675EA2BD">
      <w:pPr>
        <w:pStyle w:val="Heading1"/>
      </w:pPr>
      <w:bookmarkStart w:id="11" w:name="_Toc104989120"/>
      <w:bookmarkStart w:id="12" w:name="_Toc105078581"/>
      <w:r w:rsidRPr="004B7144">
        <w:t>III.</w:t>
      </w:r>
      <w:r w:rsidRPr="004B7144">
        <w:tab/>
      </w:r>
      <w:r w:rsidRPr="004B7144" w:rsidR="004C76B8">
        <w:t>CONCLUSION</w:t>
      </w:r>
      <w:bookmarkEnd w:id="11"/>
      <w:bookmarkEnd w:id="12"/>
    </w:p>
    <w:p w:rsidR="004C76B8" w:rsidRPr="004B7144" w:rsidP="00AE4906" w14:paraId="58924371" w14:textId="27D2DAAC">
      <w:pPr>
        <w:pStyle w:val="BodyTextIndent3"/>
        <w:widowControl w:val="0"/>
        <w:spacing w:line="480" w:lineRule="auto"/>
        <w:ind w:right="-312"/>
        <w:rPr>
          <w:szCs w:val="24"/>
        </w:rPr>
      </w:pPr>
      <w:r w:rsidRPr="004B7144">
        <w:rPr>
          <w:szCs w:val="24"/>
        </w:rPr>
        <w:t>R</w:t>
      </w:r>
      <w:r w:rsidRPr="004B7144" w:rsidR="00B12B2C">
        <w:rPr>
          <w:szCs w:val="24"/>
        </w:rPr>
        <w:t xml:space="preserve">esidential consumers </w:t>
      </w:r>
      <w:r w:rsidRPr="004B7144" w:rsidR="00732426">
        <w:rPr>
          <w:szCs w:val="24"/>
        </w:rPr>
        <w:t xml:space="preserve">could be subject to </w:t>
      </w:r>
      <w:r w:rsidRPr="004B7144" w:rsidR="00AE4906">
        <w:rPr>
          <w:szCs w:val="24"/>
        </w:rPr>
        <w:t xml:space="preserve">unreasonable </w:t>
      </w:r>
      <w:r w:rsidRPr="004B7144" w:rsidR="00732426">
        <w:rPr>
          <w:szCs w:val="24"/>
        </w:rPr>
        <w:t xml:space="preserve">electric </w:t>
      </w:r>
      <w:r w:rsidRPr="004B7144" w:rsidR="00AE4906">
        <w:rPr>
          <w:szCs w:val="24"/>
        </w:rPr>
        <w:t xml:space="preserve">rates </w:t>
      </w:r>
      <w:r w:rsidRPr="004B7144" w:rsidR="00732426">
        <w:rPr>
          <w:szCs w:val="24"/>
        </w:rPr>
        <w:t xml:space="preserve">and inadequate </w:t>
      </w:r>
      <w:r w:rsidRPr="004B7144" w:rsidR="00AE4906">
        <w:rPr>
          <w:szCs w:val="24"/>
        </w:rPr>
        <w:t xml:space="preserve">electric service if NEP prevails in this case and provides submetering services to the apartment </w:t>
      </w:r>
      <w:r w:rsidRPr="004B7144" w:rsidR="003E28F0">
        <w:rPr>
          <w:szCs w:val="24"/>
        </w:rPr>
        <w:t xml:space="preserve">complex </w:t>
      </w:r>
      <w:r w:rsidRPr="004B7144" w:rsidR="00AE4906">
        <w:rPr>
          <w:szCs w:val="24"/>
        </w:rPr>
        <w:t xml:space="preserve">at issue. </w:t>
      </w:r>
      <w:r w:rsidRPr="004B7144" w:rsidR="004600FA">
        <w:rPr>
          <w:color w:val="000000"/>
          <w:szCs w:val="24"/>
        </w:rPr>
        <w:t xml:space="preserve">OCC satisfies the standards in R.C. 4903.221 and O.A.C. 4901-1-11 for intervention </w:t>
      </w:r>
      <w:r w:rsidRPr="004B7144" w:rsidR="00685C49">
        <w:rPr>
          <w:color w:val="000000"/>
          <w:szCs w:val="24"/>
        </w:rPr>
        <w:t>in this case</w:t>
      </w:r>
      <w:r w:rsidRPr="004B7144" w:rsidR="004600FA">
        <w:rPr>
          <w:color w:val="000000"/>
          <w:szCs w:val="24"/>
        </w:rPr>
        <w:t>.</w:t>
      </w:r>
      <w:r w:rsidRPr="004B7144" w:rsidR="00685C49">
        <w:rPr>
          <w:color w:val="000000"/>
          <w:szCs w:val="24"/>
        </w:rPr>
        <w:t xml:space="preserve"> </w:t>
      </w:r>
      <w:r w:rsidRPr="004B7144" w:rsidR="004600FA">
        <w:rPr>
          <w:color w:val="000000"/>
          <w:szCs w:val="24"/>
        </w:rPr>
        <w:t xml:space="preserve">Consumers </w:t>
      </w:r>
      <w:r w:rsidRPr="004B7144" w:rsidR="00685C49">
        <w:rPr>
          <w:color w:val="000000"/>
          <w:szCs w:val="24"/>
        </w:rPr>
        <w:t xml:space="preserve">deserve to be heard through OCC, </w:t>
      </w:r>
      <w:r w:rsidRPr="004B7144" w:rsidR="00AE4906">
        <w:rPr>
          <w:color w:val="000000"/>
          <w:szCs w:val="24"/>
        </w:rPr>
        <w:t>the statutory representative of</w:t>
      </w:r>
      <w:r w:rsidRPr="004B7144" w:rsidR="004600FA">
        <w:rPr>
          <w:color w:val="000000"/>
          <w:szCs w:val="24"/>
        </w:rPr>
        <w:t xml:space="preserve"> consumers.</w:t>
      </w:r>
      <w:r w:rsidRPr="004B7144" w:rsidR="00AE4906">
        <w:rPr>
          <w:color w:val="000000"/>
          <w:szCs w:val="24"/>
        </w:rPr>
        <w:t xml:space="preserve"> </w:t>
      </w:r>
      <w:r w:rsidRPr="004B7144" w:rsidR="00685C49">
        <w:rPr>
          <w:color w:val="000000"/>
          <w:szCs w:val="24"/>
        </w:rPr>
        <w:t>To protect consumers, the PUCO should grant OCC’s motion to intervene.</w:t>
      </w:r>
      <w:r w:rsidRPr="004B7144" w:rsidR="00150BE2">
        <w:rPr>
          <w:color w:val="000000"/>
          <w:szCs w:val="24"/>
        </w:rPr>
        <w:t xml:space="preserve"> </w:t>
      </w:r>
    </w:p>
    <w:p w:rsidR="00D04576" w:rsidRPr="004B7144" w:rsidP="00D04576" w14:paraId="0D573ED3" w14:textId="77777777">
      <w:pPr>
        <w:pStyle w:val="BodyTextIndent3"/>
        <w:widowControl w:val="0"/>
        <w:spacing w:line="480" w:lineRule="auto"/>
        <w:ind w:left="3600" w:right="-312"/>
        <w:rPr>
          <w:szCs w:val="24"/>
        </w:rPr>
      </w:pPr>
      <w:r w:rsidRPr="004B7144">
        <w:rPr>
          <w:szCs w:val="24"/>
        </w:rPr>
        <w:t>Respectfully submitted,</w:t>
      </w:r>
    </w:p>
    <w:p w:rsidR="00D04576" w:rsidRPr="004B7144" w:rsidP="00D04576" w14:paraId="6711EAB5" w14:textId="77777777">
      <w:pPr>
        <w:ind w:left="4320"/>
        <w:rPr>
          <w:szCs w:val="24"/>
        </w:rPr>
      </w:pPr>
      <w:r w:rsidRPr="004B7144">
        <w:rPr>
          <w:szCs w:val="24"/>
        </w:rPr>
        <w:t>Bruce Weston (0016973)</w:t>
      </w:r>
    </w:p>
    <w:p w:rsidR="00D04576" w:rsidRPr="004B7144" w:rsidP="00D04576" w14:paraId="35661B97" w14:textId="77777777">
      <w:pPr>
        <w:tabs>
          <w:tab w:val="left" w:pos="4320"/>
        </w:tabs>
        <w:ind w:left="4320" w:hanging="450"/>
        <w:rPr>
          <w:szCs w:val="24"/>
        </w:rPr>
      </w:pPr>
      <w:r w:rsidRPr="004B7144">
        <w:rPr>
          <w:szCs w:val="24"/>
        </w:rPr>
        <w:tab/>
        <w:t>Ohio Consumers’ Counsel</w:t>
      </w:r>
    </w:p>
    <w:p w:rsidR="00D04576" w:rsidRPr="004B7144" w:rsidP="00D04576" w14:paraId="293D30AC" w14:textId="77777777">
      <w:pPr>
        <w:tabs>
          <w:tab w:val="left" w:pos="4320"/>
        </w:tabs>
        <w:ind w:left="4320"/>
        <w:rPr>
          <w:szCs w:val="24"/>
        </w:rPr>
      </w:pPr>
    </w:p>
    <w:p w:rsidR="00D04576" w:rsidRPr="004B7144" w:rsidP="00D04576" w14:paraId="2B80EE88" w14:textId="77777777">
      <w:pPr>
        <w:tabs>
          <w:tab w:val="left" w:pos="4320"/>
        </w:tabs>
        <w:ind w:left="4320"/>
        <w:rPr>
          <w:i/>
          <w:iCs/>
          <w:szCs w:val="24"/>
          <w:u w:val="single"/>
        </w:rPr>
      </w:pPr>
      <w:r w:rsidRPr="004B7144">
        <w:rPr>
          <w:i/>
          <w:iCs/>
          <w:szCs w:val="24"/>
          <w:u w:val="single"/>
        </w:rPr>
        <w:t>/s/ Angela D. O’Brien</w:t>
      </w:r>
      <w:r w:rsidRPr="004B7144">
        <w:rPr>
          <w:i/>
          <w:iCs/>
          <w:szCs w:val="24"/>
          <w:u w:val="single"/>
        </w:rPr>
        <w:tab/>
      </w:r>
    </w:p>
    <w:p w:rsidR="00D04576" w:rsidRPr="004B7144" w:rsidP="00D04576" w14:paraId="0C4BAC27" w14:textId="77777777">
      <w:pPr>
        <w:tabs>
          <w:tab w:val="left" w:pos="4320"/>
        </w:tabs>
        <w:ind w:left="4320"/>
        <w:rPr>
          <w:szCs w:val="24"/>
        </w:rPr>
      </w:pPr>
      <w:r w:rsidRPr="004B7144">
        <w:rPr>
          <w:szCs w:val="24"/>
        </w:rPr>
        <w:t>Angela D. O’Brien (0097579)</w:t>
      </w:r>
    </w:p>
    <w:p w:rsidR="00D04576" w:rsidRPr="004B7144" w:rsidP="00D04576" w14:paraId="4E18185A" w14:textId="77777777">
      <w:pPr>
        <w:tabs>
          <w:tab w:val="left" w:pos="4320"/>
        </w:tabs>
        <w:ind w:left="4320"/>
        <w:rPr>
          <w:szCs w:val="24"/>
        </w:rPr>
      </w:pPr>
      <w:r w:rsidRPr="004B7144">
        <w:rPr>
          <w:szCs w:val="24"/>
        </w:rPr>
        <w:t>Counsel of Record</w:t>
      </w:r>
    </w:p>
    <w:p w:rsidR="00D04576" w:rsidRPr="004B7144" w:rsidP="00D04576" w14:paraId="0D6B19C7" w14:textId="77777777">
      <w:pPr>
        <w:tabs>
          <w:tab w:val="left" w:pos="3870"/>
          <w:tab w:val="left" w:pos="4320"/>
        </w:tabs>
        <w:ind w:left="4320"/>
        <w:rPr>
          <w:szCs w:val="24"/>
        </w:rPr>
      </w:pPr>
      <w:r w:rsidRPr="004B7144">
        <w:rPr>
          <w:szCs w:val="24"/>
        </w:rPr>
        <w:t>Connor D. Semple (0101102)</w:t>
      </w:r>
    </w:p>
    <w:p w:rsidR="00D04576" w:rsidRPr="004B7144" w:rsidP="00D04576" w14:paraId="60C89C0A" w14:textId="77777777">
      <w:pPr>
        <w:tabs>
          <w:tab w:val="left" w:pos="3870"/>
          <w:tab w:val="left" w:pos="4320"/>
        </w:tabs>
        <w:ind w:left="4320"/>
        <w:rPr>
          <w:szCs w:val="24"/>
        </w:rPr>
      </w:pPr>
      <w:r w:rsidRPr="004B7144">
        <w:rPr>
          <w:szCs w:val="24"/>
        </w:rPr>
        <w:t>Assistant Consumers’ Counsel</w:t>
      </w:r>
    </w:p>
    <w:p w:rsidR="00D04576" w:rsidRPr="004B7144" w:rsidP="00D04576" w14:paraId="0B17270B" w14:textId="77777777">
      <w:pPr>
        <w:tabs>
          <w:tab w:val="left" w:pos="3870"/>
          <w:tab w:val="left" w:pos="4320"/>
        </w:tabs>
        <w:ind w:left="4320"/>
        <w:rPr>
          <w:szCs w:val="24"/>
        </w:rPr>
      </w:pPr>
    </w:p>
    <w:p w:rsidR="00D04576" w:rsidRPr="004B7144" w:rsidP="00D04576" w14:paraId="12418AB2" w14:textId="77777777">
      <w:pPr>
        <w:ind w:left="4320"/>
        <w:rPr>
          <w:b/>
          <w:bCs/>
          <w:szCs w:val="24"/>
        </w:rPr>
      </w:pPr>
      <w:r w:rsidRPr="004B7144">
        <w:rPr>
          <w:b/>
          <w:bCs/>
          <w:szCs w:val="24"/>
        </w:rPr>
        <w:t>Office of the Ohio Consumers' Counsel</w:t>
      </w:r>
    </w:p>
    <w:p w:rsidR="00D04576" w:rsidRPr="004B7144" w:rsidP="00D04576" w14:paraId="77727CE4" w14:textId="77777777">
      <w:pPr>
        <w:ind w:left="4320"/>
        <w:rPr>
          <w:szCs w:val="24"/>
        </w:rPr>
      </w:pPr>
      <w:r w:rsidRPr="004B7144">
        <w:rPr>
          <w:szCs w:val="24"/>
        </w:rPr>
        <w:t>65 East State Street, Suite 700</w:t>
      </w:r>
    </w:p>
    <w:p w:rsidR="00D04576" w:rsidRPr="004B7144" w:rsidP="00D04576" w14:paraId="7E2E39CD" w14:textId="77777777">
      <w:pPr>
        <w:ind w:left="4320"/>
        <w:rPr>
          <w:szCs w:val="24"/>
        </w:rPr>
      </w:pPr>
      <w:r w:rsidRPr="004B7144">
        <w:rPr>
          <w:szCs w:val="24"/>
        </w:rPr>
        <w:t>Columbus, Ohio 43215</w:t>
      </w:r>
    </w:p>
    <w:p w:rsidR="00D04576" w:rsidRPr="004B7144" w:rsidP="00D04576" w14:paraId="4E6C5ACB" w14:textId="77777777">
      <w:pPr>
        <w:autoSpaceDE w:val="0"/>
        <w:autoSpaceDN w:val="0"/>
        <w:adjustRightInd w:val="0"/>
        <w:ind w:left="4320"/>
        <w:rPr>
          <w:szCs w:val="24"/>
        </w:rPr>
      </w:pPr>
      <w:r w:rsidRPr="004B7144">
        <w:rPr>
          <w:szCs w:val="24"/>
        </w:rPr>
        <w:t>Telephone: [O’Brien]: (614) 466-9531</w:t>
      </w:r>
    </w:p>
    <w:p w:rsidR="00D04576" w:rsidRPr="004B7144" w:rsidP="00D04576" w14:paraId="2DE3F830" w14:textId="77777777">
      <w:pPr>
        <w:ind w:left="4320"/>
        <w:rPr>
          <w:szCs w:val="24"/>
        </w:rPr>
      </w:pPr>
      <w:r w:rsidRPr="004B7144">
        <w:rPr>
          <w:szCs w:val="24"/>
        </w:rPr>
        <w:t>Telephone [Semple]: (614) 466-9565</w:t>
      </w:r>
    </w:p>
    <w:p w:rsidR="00D04576" w:rsidRPr="004B7144" w:rsidP="00D04576" w14:paraId="1DB50622" w14:textId="77777777">
      <w:pPr>
        <w:ind w:left="4320"/>
        <w:rPr>
          <w:szCs w:val="24"/>
        </w:rPr>
      </w:pPr>
      <w:hyperlink r:id="rId6" w:history="1">
        <w:r w:rsidRPr="004B7144" w:rsidR="00A175D1">
          <w:rPr>
            <w:rStyle w:val="Hyperlink"/>
            <w:szCs w:val="24"/>
          </w:rPr>
          <w:t>angela.obrien@occ.ohio.gov</w:t>
        </w:r>
      </w:hyperlink>
    </w:p>
    <w:p w:rsidR="00D04576" w:rsidRPr="004B7144" w:rsidP="00D04576" w14:paraId="44B8FEC6" w14:textId="77777777">
      <w:pPr>
        <w:ind w:left="4320"/>
        <w:rPr>
          <w:szCs w:val="24"/>
        </w:rPr>
      </w:pPr>
      <w:hyperlink r:id="rId7" w:history="1">
        <w:r w:rsidRPr="004B7144" w:rsidR="00A175D1">
          <w:rPr>
            <w:rStyle w:val="Hyperlink"/>
            <w:szCs w:val="24"/>
          </w:rPr>
          <w:t>connor.semple@occ.ohio.gov</w:t>
        </w:r>
      </w:hyperlink>
    </w:p>
    <w:p w:rsidR="00A044B5" w:rsidRPr="004B7144" w:rsidP="00D04576" w14:paraId="7D9A6C11" w14:textId="00362187">
      <w:pPr>
        <w:ind w:left="4320"/>
        <w:rPr>
          <w:szCs w:val="24"/>
        </w:rPr>
      </w:pPr>
      <w:r w:rsidRPr="004B7144">
        <w:rPr>
          <w:szCs w:val="24"/>
        </w:rPr>
        <w:t>(willing to accept service by e-mail)</w:t>
      </w:r>
      <w:r w:rsidRPr="004B7144">
        <w:rPr>
          <w:szCs w:val="24"/>
        </w:rPr>
        <w:tab/>
      </w:r>
      <w:r w:rsidRPr="004B7144">
        <w:rPr>
          <w:szCs w:val="24"/>
        </w:rPr>
        <w:tab/>
      </w:r>
      <w:r w:rsidRPr="004B7144">
        <w:rPr>
          <w:szCs w:val="24"/>
        </w:rPr>
        <w:tab/>
      </w:r>
      <w:r w:rsidRPr="004B7144">
        <w:rPr>
          <w:szCs w:val="24"/>
        </w:rPr>
        <w:tab/>
      </w:r>
      <w:r w:rsidRPr="004B7144">
        <w:rPr>
          <w:szCs w:val="24"/>
        </w:rPr>
        <w:tab/>
      </w:r>
      <w:r w:rsidRPr="004B7144">
        <w:rPr>
          <w:szCs w:val="24"/>
        </w:rPr>
        <w:tab/>
      </w:r>
    </w:p>
    <w:p w:rsidR="00A044B5" w:rsidRPr="004B7144" w14:paraId="2830B2CD" w14:textId="77777777">
      <w:pPr>
        <w:jc w:val="center"/>
        <w:rPr>
          <w:b/>
          <w:bCs/>
          <w:szCs w:val="24"/>
          <w:u w:val="single"/>
        </w:rPr>
      </w:pPr>
      <w:r w:rsidRPr="004B7144">
        <w:rPr>
          <w:szCs w:val="24"/>
        </w:rPr>
        <w:br w:type="page"/>
      </w:r>
      <w:r w:rsidRPr="004B7144">
        <w:rPr>
          <w:b/>
          <w:bCs/>
          <w:szCs w:val="24"/>
          <w:u w:val="single"/>
        </w:rPr>
        <w:t>CERTIFICATE OF SERVICE</w:t>
      </w:r>
    </w:p>
    <w:p w:rsidR="00A044B5" w:rsidRPr="004B7144" w14:paraId="3E3C3D65" w14:textId="7E41F71A">
      <w:pPr>
        <w:spacing w:line="480" w:lineRule="atLeast"/>
        <w:rPr>
          <w:szCs w:val="24"/>
        </w:rPr>
      </w:pPr>
      <w:r w:rsidRPr="004B7144">
        <w:rPr>
          <w:szCs w:val="24"/>
        </w:rPr>
        <w:tab/>
        <w:t>I hereby certify that a copy of this</w:t>
      </w:r>
      <w:r w:rsidRPr="004B7144" w:rsidR="00C168B2">
        <w:rPr>
          <w:szCs w:val="24"/>
        </w:rPr>
        <w:t xml:space="preserve"> </w:t>
      </w:r>
      <w:r w:rsidRPr="004B7144" w:rsidR="00EC329E">
        <w:rPr>
          <w:szCs w:val="24"/>
        </w:rPr>
        <w:t xml:space="preserve">Reply to Nationwide Energy Partners’ Memorandum Contra OCC’s Motion to Intervene </w:t>
      </w:r>
      <w:r w:rsidRPr="004B7144">
        <w:rPr>
          <w:szCs w:val="24"/>
        </w:rPr>
        <w:t xml:space="preserve">was served on the persons stated below </w:t>
      </w:r>
      <w:r w:rsidRPr="004B7144">
        <w:rPr>
          <w:iCs/>
          <w:szCs w:val="24"/>
        </w:rPr>
        <w:t>via</w:t>
      </w:r>
      <w:r w:rsidRPr="004B7144" w:rsidR="002A4912">
        <w:rPr>
          <w:szCs w:val="24"/>
        </w:rPr>
        <w:t xml:space="preserve"> electronic transmission</w:t>
      </w:r>
      <w:r w:rsidRPr="004B7144">
        <w:rPr>
          <w:szCs w:val="24"/>
        </w:rPr>
        <w:t>, this</w:t>
      </w:r>
      <w:r w:rsidRPr="004B7144" w:rsidR="00A501E8">
        <w:rPr>
          <w:szCs w:val="24"/>
        </w:rPr>
        <w:t xml:space="preserve"> </w:t>
      </w:r>
      <w:r w:rsidRPr="004B7144" w:rsidR="00456760">
        <w:rPr>
          <w:szCs w:val="24"/>
        </w:rPr>
        <w:t>2</w:t>
      </w:r>
      <w:r w:rsidRPr="004B7144" w:rsidR="00456760">
        <w:rPr>
          <w:szCs w:val="24"/>
          <w:vertAlign w:val="superscript"/>
        </w:rPr>
        <w:t>nd</w:t>
      </w:r>
      <w:r w:rsidRPr="004B7144" w:rsidR="00A501E8">
        <w:rPr>
          <w:szCs w:val="24"/>
        </w:rPr>
        <w:t xml:space="preserve"> </w:t>
      </w:r>
      <w:r w:rsidRPr="004B7144">
        <w:rPr>
          <w:szCs w:val="24"/>
        </w:rPr>
        <w:t xml:space="preserve">day of </w:t>
      </w:r>
      <w:r w:rsidRPr="004B7144" w:rsidR="00456760">
        <w:rPr>
          <w:szCs w:val="24"/>
        </w:rPr>
        <w:t>June 202</w:t>
      </w:r>
      <w:r w:rsidRPr="004B7144" w:rsidR="00EC329E">
        <w:rPr>
          <w:szCs w:val="24"/>
        </w:rPr>
        <w:t>2</w:t>
      </w:r>
      <w:r w:rsidRPr="004B7144">
        <w:rPr>
          <w:szCs w:val="24"/>
        </w:rPr>
        <w:t>.</w:t>
      </w:r>
    </w:p>
    <w:p w:rsidR="00EC329E" w:rsidRPr="004B7144" w:rsidP="00EC329E" w14:paraId="43B18B4B" w14:textId="77777777">
      <w:pPr>
        <w:rPr>
          <w:szCs w:val="24"/>
        </w:rPr>
      </w:pPr>
    </w:p>
    <w:p w:rsidR="00A044B5" w:rsidRPr="004B7144" w14:paraId="280C1D24" w14:textId="77777777">
      <w:pPr>
        <w:tabs>
          <w:tab w:val="left" w:pos="4320"/>
        </w:tabs>
        <w:rPr>
          <w:i/>
          <w:iCs/>
          <w:szCs w:val="24"/>
          <w:u w:val="single"/>
        </w:rPr>
      </w:pPr>
      <w:r w:rsidRPr="004B7144">
        <w:rPr>
          <w:szCs w:val="24"/>
        </w:rPr>
        <w:tab/>
      </w:r>
      <w:r w:rsidRPr="004B7144" w:rsidR="002354D4">
        <w:rPr>
          <w:i/>
          <w:iCs/>
          <w:szCs w:val="24"/>
          <w:u w:val="single"/>
        </w:rPr>
        <w:t>/s/ Angela D. O’Brien</w:t>
      </w:r>
      <w:r w:rsidRPr="004B7144" w:rsidR="002354D4">
        <w:rPr>
          <w:i/>
          <w:iCs/>
          <w:szCs w:val="24"/>
          <w:u w:val="single"/>
        </w:rPr>
        <w:tab/>
      </w:r>
      <w:r w:rsidRPr="004B7144" w:rsidR="002354D4">
        <w:rPr>
          <w:i/>
          <w:iCs/>
          <w:szCs w:val="24"/>
          <w:u w:val="single"/>
        </w:rPr>
        <w:tab/>
      </w:r>
    </w:p>
    <w:p w:rsidR="00A044B5" w:rsidRPr="004B7144" w14:paraId="73C6B28F" w14:textId="77777777">
      <w:pPr>
        <w:tabs>
          <w:tab w:val="left" w:pos="4320"/>
        </w:tabs>
        <w:rPr>
          <w:szCs w:val="24"/>
        </w:rPr>
      </w:pPr>
      <w:r w:rsidRPr="004B7144">
        <w:rPr>
          <w:szCs w:val="24"/>
        </w:rPr>
        <w:tab/>
      </w:r>
      <w:r w:rsidRPr="004B7144" w:rsidR="002354D4">
        <w:rPr>
          <w:szCs w:val="24"/>
        </w:rPr>
        <w:t>Angela D. O’Brien</w:t>
      </w:r>
    </w:p>
    <w:p w:rsidR="00A044B5" w:rsidRPr="004B7144" w14:paraId="28BD18E7" w14:textId="77777777">
      <w:pPr>
        <w:tabs>
          <w:tab w:val="left" w:pos="4320"/>
        </w:tabs>
        <w:rPr>
          <w:szCs w:val="24"/>
        </w:rPr>
      </w:pPr>
      <w:r w:rsidRPr="004B7144">
        <w:rPr>
          <w:szCs w:val="24"/>
        </w:rPr>
        <w:tab/>
        <w:t>Assistant Consumers’ Counsel</w:t>
      </w:r>
    </w:p>
    <w:p w:rsidR="001D10F6" w:rsidRPr="004B7144" w14:paraId="7971209E" w14:textId="77777777">
      <w:pPr>
        <w:tabs>
          <w:tab w:val="left" w:pos="4320"/>
        </w:tabs>
        <w:rPr>
          <w:szCs w:val="24"/>
        </w:rPr>
      </w:pPr>
    </w:p>
    <w:p w:rsidR="00A044B5" w:rsidRPr="004B7144" w:rsidP="00561A4B" w14:paraId="7D61716D" w14:textId="6B4094DB">
      <w:pPr>
        <w:pStyle w:val="CommentText"/>
      </w:pPr>
      <w:r w:rsidRPr="004B7144">
        <w:t>The PUCO’s e-filing system will electronically serve notice of the filing of this document on the following parties:</w:t>
      </w:r>
    </w:p>
    <w:p w:rsidR="00A044B5" w:rsidRPr="004B7144" w14:paraId="1E49698C" w14:textId="77777777">
      <w:pPr>
        <w:pStyle w:val="CommentText"/>
      </w:pPr>
    </w:p>
    <w:p w:rsidR="00A044B5" w:rsidRPr="004B7144" w14:paraId="0162D896" w14:textId="77777777">
      <w:pPr>
        <w:pStyle w:val="CommentText"/>
        <w:jc w:val="center"/>
        <w:rPr>
          <w:b/>
          <w:u w:val="single"/>
        </w:rPr>
      </w:pPr>
      <w:r w:rsidRPr="004B7144">
        <w:rPr>
          <w:b/>
          <w:u w:val="single"/>
        </w:rPr>
        <w:t>SERVICE LIST</w:t>
      </w:r>
    </w:p>
    <w:p w:rsidR="008E11BE" w:rsidRPr="004B7144" w14:paraId="481B92DC" w14:textId="77777777">
      <w:pPr>
        <w:pStyle w:val="CommentText"/>
        <w:jc w:val="center"/>
        <w:rPr>
          <w:b/>
          <w:u w:val="single"/>
        </w:rPr>
      </w:pPr>
    </w:p>
    <w:tbl>
      <w:tblPr>
        <w:tblW w:w="0" w:type="auto"/>
        <w:tblLook w:val="04A0"/>
      </w:tblPr>
      <w:tblGrid>
        <w:gridCol w:w="4316"/>
        <w:gridCol w:w="4324"/>
      </w:tblGrid>
      <w:tr w14:paraId="74F2BC7D" w14:textId="77777777" w:rsidTr="009374B5">
        <w:tblPrEx>
          <w:tblW w:w="0" w:type="auto"/>
          <w:tblLook w:val="04A0"/>
        </w:tblPrEx>
        <w:tc>
          <w:tcPr>
            <w:tcW w:w="4428" w:type="dxa"/>
            <w:shd w:val="clear" w:color="auto" w:fill="auto"/>
          </w:tcPr>
          <w:p w:rsidR="004603C9" w:rsidRPr="004B7144" w:rsidP="009374B5" w14:paraId="125DB77F" w14:textId="77777777">
            <w:pPr>
              <w:pStyle w:val="CommentText"/>
            </w:pPr>
            <w:hyperlink r:id="rId10" w:history="1">
              <w:r w:rsidRPr="004B7144" w:rsidR="00A175D1">
                <w:rPr>
                  <w:rStyle w:val="Hyperlink"/>
                </w:rPr>
                <w:t>john.jones@ohioAGO.gov</w:t>
              </w:r>
            </w:hyperlink>
          </w:p>
          <w:p w:rsidR="004603C9" w:rsidRPr="004B7144" w:rsidP="009374B5" w14:paraId="30554320" w14:textId="77777777">
            <w:pPr>
              <w:pStyle w:val="CommentText"/>
            </w:pPr>
            <w:hyperlink r:id="rId11" w:history="1">
              <w:r w:rsidRPr="004B7144" w:rsidR="00A175D1">
                <w:rPr>
                  <w:rStyle w:val="Hyperlink"/>
                </w:rPr>
                <w:t>mjsettineri@vorys.com</w:t>
              </w:r>
            </w:hyperlink>
          </w:p>
          <w:p w:rsidR="004603C9" w:rsidRPr="004B7144" w:rsidP="009374B5" w14:paraId="51FD011C" w14:textId="77777777">
            <w:pPr>
              <w:pStyle w:val="CommentText"/>
            </w:pPr>
            <w:hyperlink r:id="rId12" w:history="1">
              <w:r w:rsidRPr="004B7144" w:rsidR="00A175D1">
                <w:rPr>
                  <w:rStyle w:val="Hyperlink"/>
                </w:rPr>
                <w:t>aasanyal@vorys.com</w:t>
              </w:r>
            </w:hyperlink>
          </w:p>
          <w:p w:rsidR="004603C9" w:rsidRPr="004B7144" w:rsidP="009374B5" w14:paraId="72206AE2" w14:textId="77777777">
            <w:pPr>
              <w:pStyle w:val="CommentText"/>
            </w:pPr>
            <w:hyperlink r:id="rId13" w:history="1">
              <w:r w:rsidRPr="004B7144" w:rsidR="00A175D1">
                <w:rPr>
                  <w:rStyle w:val="Hyperlink"/>
                </w:rPr>
                <w:t>apguran@vorys.com</w:t>
              </w:r>
            </w:hyperlink>
          </w:p>
          <w:p w:rsidR="004603C9" w:rsidRPr="004B7144" w:rsidP="009374B5" w14:paraId="60B14687" w14:textId="77777777">
            <w:pPr>
              <w:pStyle w:val="CommentText"/>
              <w:rPr>
                <w:bCs/>
                <w:u w:val="single"/>
              </w:rPr>
            </w:pPr>
          </w:p>
          <w:p w:rsidR="004603C9" w:rsidRPr="004B7144" w:rsidP="009374B5" w14:paraId="0BEB8E93" w14:textId="77777777">
            <w:pPr>
              <w:pStyle w:val="CommentText"/>
              <w:rPr>
                <w:bCs/>
              </w:rPr>
            </w:pPr>
            <w:r w:rsidRPr="004B7144">
              <w:rPr>
                <w:bCs/>
              </w:rPr>
              <w:t>Attorney Examiners:</w:t>
            </w:r>
          </w:p>
          <w:p w:rsidR="004603C9" w:rsidRPr="004B7144" w:rsidP="009374B5" w14:paraId="66C95599" w14:textId="77777777">
            <w:pPr>
              <w:pStyle w:val="CommentText"/>
              <w:rPr>
                <w:bCs/>
                <w:u w:val="single"/>
              </w:rPr>
            </w:pPr>
            <w:hyperlink r:id="rId14" w:history="1">
              <w:r w:rsidRPr="004B7144" w:rsidR="00A175D1">
                <w:rPr>
                  <w:rStyle w:val="Hyperlink"/>
                  <w:bCs/>
                </w:rPr>
                <w:t>jesse.davis@puco.ohio.gov</w:t>
              </w:r>
            </w:hyperlink>
          </w:p>
          <w:p w:rsidR="004603C9" w:rsidRPr="004B7144" w:rsidP="009374B5" w14:paraId="54E5B143" w14:textId="77777777">
            <w:pPr>
              <w:pStyle w:val="CommentText"/>
              <w:rPr>
                <w:bCs/>
                <w:u w:val="single"/>
              </w:rPr>
            </w:pPr>
            <w:hyperlink r:id="rId15" w:history="1">
              <w:r w:rsidRPr="004B7144" w:rsidR="00A175D1">
                <w:rPr>
                  <w:rStyle w:val="Hyperlink"/>
                  <w:bCs/>
                </w:rPr>
                <w:t>david.hicks@puco.ohio.gov</w:t>
              </w:r>
            </w:hyperlink>
          </w:p>
          <w:p w:rsidR="004603C9" w:rsidRPr="004B7144" w:rsidP="009374B5" w14:paraId="0ACE39A6" w14:textId="77777777">
            <w:pPr>
              <w:pStyle w:val="CommentText"/>
              <w:rPr>
                <w:bCs/>
                <w:u w:val="single"/>
              </w:rPr>
            </w:pPr>
          </w:p>
        </w:tc>
        <w:tc>
          <w:tcPr>
            <w:tcW w:w="4428" w:type="dxa"/>
            <w:shd w:val="clear" w:color="auto" w:fill="auto"/>
          </w:tcPr>
          <w:p w:rsidR="004603C9" w:rsidRPr="004B7144" w:rsidP="009374B5" w14:paraId="248654C5" w14:textId="77777777">
            <w:pPr>
              <w:autoSpaceDE w:val="0"/>
              <w:autoSpaceDN w:val="0"/>
              <w:adjustRightInd w:val="0"/>
              <w:ind w:left="-82"/>
              <w:rPr>
                <w:color w:val="0563C2"/>
                <w:szCs w:val="24"/>
              </w:rPr>
            </w:pPr>
            <w:hyperlink r:id="rId16" w:history="1">
              <w:r w:rsidRPr="004B7144" w:rsidR="00A175D1">
                <w:rPr>
                  <w:rStyle w:val="Hyperlink"/>
                  <w:szCs w:val="24"/>
                </w:rPr>
                <w:t>rocco.dascenzo@duke-energy.com</w:t>
              </w:r>
            </w:hyperlink>
          </w:p>
          <w:p w:rsidR="004603C9" w:rsidRPr="004B7144" w:rsidP="009374B5" w14:paraId="506EDDA3" w14:textId="77777777">
            <w:pPr>
              <w:autoSpaceDE w:val="0"/>
              <w:autoSpaceDN w:val="0"/>
              <w:adjustRightInd w:val="0"/>
              <w:ind w:left="-82"/>
              <w:rPr>
                <w:color w:val="0563C2"/>
                <w:szCs w:val="24"/>
              </w:rPr>
            </w:pPr>
            <w:hyperlink r:id="rId17" w:history="1">
              <w:r w:rsidRPr="004B7144" w:rsidR="00A175D1">
                <w:rPr>
                  <w:rStyle w:val="Hyperlink"/>
                  <w:szCs w:val="24"/>
                </w:rPr>
                <w:t>jeanne.kingery@duke-energy.com</w:t>
              </w:r>
            </w:hyperlink>
          </w:p>
          <w:p w:rsidR="004603C9" w:rsidRPr="004B7144" w:rsidP="009374B5" w14:paraId="48398869" w14:textId="77777777">
            <w:pPr>
              <w:autoSpaceDE w:val="0"/>
              <w:autoSpaceDN w:val="0"/>
              <w:adjustRightInd w:val="0"/>
              <w:ind w:left="-82"/>
              <w:rPr>
                <w:color w:val="0563C2"/>
                <w:szCs w:val="24"/>
              </w:rPr>
            </w:pPr>
            <w:hyperlink r:id="rId18" w:history="1">
              <w:r w:rsidRPr="004B7144" w:rsidR="00A175D1">
                <w:rPr>
                  <w:rStyle w:val="Hyperlink"/>
                  <w:szCs w:val="24"/>
                </w:rPr>
                <w:t>talexander@beneschlaw.com</w:t>
              </w:r>
            </w:hyperlink>
          </w:p>
          <w:p w:rsidR="004603C9" w:rsidRPr="004B7144" w:rsidP="009374B5" w14:paraId="623307F2" w14:textId="77777777">
            <w:pPr>
              <w:autoSpaceDE w:val="0"/>
              <w:autoSpaceDN w:val="0"/>
              <w:adjustRightInd w:val="0"/>
              <w:ind w:left="-82"/>
              <w:rPr>
                <w:color w:val="0563C2"/>
                <w:szCs w:val="24"/>
              </w:rPr>
            </w:pPr>
            <w:hyperlink r:id="rId19" w:history="1">
              <w:r w:rsidRPr="004B7144" w:rsidR="00A175D1">
                <w:rPr>
                  <w:rStyle w:val="Hyperlink"/>
                  <w:szCs w:val="24"/>
                </w:rPr>
                <w:t>mkeaney@beneschlaw.com</w:t>
              </w:r>
            </w:hyperlink>
          </w:p>
          <w:p w:rsidR="004603C9" w:rsidRPr="004B7144" w:rsidP="009374B5" w14:paraId="5AC4CD04" w14:textId="77777777">
            <w:pPr>
              <w:autoSpaceDE w:val="0"/>
              <w:autoSpaceDN w:val="0"/>
              <w:adjustRightInd w:val="0"/>
              <w:ind w:left="-82"/>
              <w:rPr>
                <w:color w:val="0563C2"/>
                <w:szCs w:val="24"/>
              </w:rPr>
            </w:pPr>
            <w:hyperlink r:id="rId20" w:history="1">
              <w:r w:rsidRPr="004B7144" w:rsidR="00A175D1">
                <w:rPr>
                  <w:rStyle w:val="Hyperlink"/>
                  <w:szCs w:val="24"/>
                </w:rPr>
                <w:t>khehmeyer@beneschlaw.com</w:t>
              </w:r>
            </w:hyperlink>
          </w:p>
          <w:p w:rsidR="004603C9" w:rsidRPr="004B7144" w:rsidP="009374B5" w14:paraId="4AFA0731" w14:textId="77777777">
            <w:pPr>
              <w:autoSpaceDE w:val="0"/>
              <w:autoSpaceDN w:val="0"/>
              <w:adjustRightInd w:val="0"/>
              <w:ind w:left="341"/>
              <w:rPr>
                <w:color w:val="0563C2"/>
                <w:szCs w:val="24"/>
              </w:rPr>
            </w:pPr>
          </w:p>
        </w:tc>
      </w:tr>
    </w:tbl>
    <w:p w:rsidR="008E11BE" w:rsidRPr="004B7144" w14:paraId="6098A8DE" w14:textId="77777777">
      <w:pPr>
        <w:pStyle w:val="CommentText"/>
        <w:jc w:val="center"/>
        <w:rPr>
          <w:b/>
          <w:u w:val="single"/>
        </w:rPr>
      </w:pPr>
    </w:p>
    <w:p w:rsidR="00A044B5" w:rsidRPr="004B7144" w14:paraId="5B9337A5" w14:textId="77777777">
      <w:pPr>
        <w:pStyle w:val="BodyText"/>
        <w:rPr>
          <w:b/>
          <w:bCs/>
          <w:szCs w:val="24"/>
        </w:rPr>
      </w:pPr>
    </w:p>
    <w:p w:rsidR="00A044B5" w:rsidRPr="004B7144" w14:paraId="39CA9D78" w14:textId="77777777">
      <w:pPr>
        <w:pStyle w:val="BodyText"/>
        <w:rPr>
          <w:b/>
          <w:bCs/>
          <w:szCs w:val="24"/>
        </w:rPr>
      </w:pPr>
    </w:p>
    <w:sectPr w:rsidSect="003E4CFA">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87" w:rsidRPr="00833587" w14:paraId="1852B7F2" w14:textId="77777777">
    <w:pPr>
      <w:pStyle w:val="Footer"/>
      <w:jc w:val="center"/>
      <w:rPr>
        <w:sz w:val="24"/>
        <w:szCs w:val="24"/>
      </w:rPr>
    </w:pPr>
    <w:r w:rsidRPr="00833587">
      <w:rPr>
        <w:sz w:val="24"/>
        <w:szCs w:val="24"/>
      </w:rPr>
      <w:fldChar w:fldCharType="begin"/>
    </w:r>
    <w:r w:rsidRPr="00833587">
      <w:rPr>
        <w:sz w:val="24"/>
        <w:szCs w:val="24"/>
      </w:rPr>
      <w:instrText xml:space="preserve"> PAGE   \* MERGEFORMAT </w:instrText>
    </w:r>
    <w:r w:rsidRPr="00833587">
      <w:rPr>
        <w:sz w:val="24"/>
        <w:szCs w:val="24"/>
      </w:rPr>
      <w:fldChar w:fldCharType="separate"/>
    </w:r>
    <w:r w:rsidRPr="00833587">
      <w:rPr>
        <w:noProof/>
        <w:sz w:val="24"/>
        <w:szCs w:val="24"/>
      </w:rPr>
      <w:t>2</w:t>
    </w:r>
    <w:r w:rsidRPr="00833587">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699440055"/>
      <w:docPartObj>
        <w:docPartGallery w:val="Page Numbers (Bottom of Page)"/>
        <w:docPartUnique/>
      </w:docPartObj>
    </w:sdtPr>
    <w:sdtEndPr>
      <w:rPr>
        <w:noProof/>
      </w:rPr>
    </w:sdtEndPr>
    <w:sdtContent>
      <w:p w:rsidR="00370EF9" w:rsidRPr="00370EF9" w14:paraId="75EB34DE" w14:textId="624CFC0D">
        <w:pPr>
          <w:pStyle w:val="Footer"/>
          <w:jc w:val="center"/>
          <w:rPr>
            <w:sz w:val="24"/>
            <w:szCs w:val="24"/>
          </w:rPr>
        </w:pPr>
        <w:r w:rsidRPr="00370EF9">
          <w:rPr>
            <w:sz w:val="24"/>
            <w:szCs w:val="24"/>
          </w:rPr>
          <w:fldChar w:fldCharType="begin"/>
        </w:r>
        <w:r w:rsidRPr="00370EF9">
          <w:rPr>
            <w:sz w:val="24"/>
            <w:szCs w:val="24"/>
          </w:rPr>
          <w:instrText xml:space="preserve"> PAGE   \* MERGEFORMAT </w:instrText>
        </w:r>
        <w:r w:rsidRPr="00370EF9">
          <w:rPr>
            <w:sz w:val="24"/>
            <w:szCs w:val="24"/>
          </w:rPr>
          <w:fldChar w:fldCharType="separate"/>
        </w:r>
        <w:r w:rsidRPr="00370EF9">
          <w:rPr>
            <w:noProof/>
            <w:sz w:val="24"/>
            <w:szCs w:val="24"/>
          </w:rPr>
          <w:t>2</w:t>
        </w:r>
        <w:r w:rsidRPr="00370EF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87" w:rsidRPr="00833587" w14:paraId="74CCEA4A" w14:textId="77777777">
    <w:pPr>
      <w:pStyle w:val="Footer"/>
      <w:jc w:val="center"/>
      <w:rPr>
        <w:sz w:val="24"/>
        <w:szCs w:val="24"/>
      </w:rPr>
    </w:pPr>
    <w:r w:rsidRPr="00833587">
      <w:rPr>
        <w:sz w:val="24"/>
        <w:szCs w:val="24"/>
      </w:rPr>
      <w:fldChar w:fldCharType="begin"/>
    </w:r>
    <w:r w:rsidRPr="00833587">
      <w:rPr>
        <w:sz w:val="24"/>
        <w:szCs w:val="24"/>
      </w:rPr>
      <w:instrText xml:space="preserve"> PAGE   \* MERGEFORMAT </w:instrText>
    </w:r>
    <w:r w:rsidRPr="00833587">
      <w:rPr>
        <w:sz w:val="24"/>
        <w:szCs w:val="24"/>
      </w:rPr>
      <w:fldChar w:fldCharType="separate"/>
    </w:r>
    <w:r w:rsidRPr="00833587">
      <w:rPr>
        <w:noProof/>
        <w:sz w:val="24"/>
        <w:szCs w:val="24"/>
      </w:rPr>
      <w:t>2</w:t>
    </w:r>
    <w:r w:rsidRPr="00833587">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75D1" w14:paraId="1F0F08CC" w14:textId="77777777">
      <w:r>
        <w:separator/>
      </w:r>
    </w:p>
  </w:footnote>
  <w:footnote w:type="continuationSeparator" w:id="1">
    <w:p w:rsidR="00A175D1" w14:paraId="599AE77E" w14:textId="77777777">
      <w:r>
        <w:continuationSeparator/>
      </w:r>
    </w:p>
  </w:footnote>
  <w:footnote w:id="2">
    <w:p w:rsidR="00F77EB4" w:rsidP="004B7144" w14:paraId="753E1915" w14:textId="574FFD37">
      <w:pPr>
        <w:pStyle w:val="FootnoteText"/>
        <w:spacing w:after="120"/>
      </w:pPr>
      <w:r>
        <w:rPr>
          <w:rStyle w:val="FootnoteReference"/>
        </w:rPr>
        <w:footnoteRef/>
      </w:r>
      <w:r>
        <w:t xml:space="preserve"> </w:t>
      </w:r>
      <w:r>
        <w:rPr>
          <w:i/>
          <w:iCs/>
        </w:rPr>
        <w:t xml:space="preserve">See </w:t>
      </w:r>
      <w:r w:rsidR="00905CCB">
        <w:t>Complaint of Duke Energy Ohio, Inc. (“Complaint”)</w:t>
      </w:r>
      <w:r>
        <w:t xml:space="preserve"> (Mar</w:t>
      </w:r>
      <w:r w:rsidR="008F01F8">
        <w:t>.</w:t>
      </w:r>
      <w:r>
        <w:t xml:space="preserve"> 30, 2022), at ¶¶ 20-23.</w:t>
      </w:r>
    </w:p>
  </w:footnote>
  <w:footnote w:id="3">
    <w:p w:rsidR="00597884" w:rsidP="004B7144" w14:paraId="68EAFB65" w14:textId="77777777">
      <w:pPr>
        <w:pStyle w:val="FootnoteText"/>
        <w:spacing w:after="120"/>
      </w:pPr>
      <w:r>
        <w:rPr>
          <w:rStyle w:val="FootnoteReference"/>
        </w:rPr>
        <w:footnoteRef/>
      </w:r>
      <w:r>
        <w:t xml:space="preserve"> Duke Energy Ohio, Inc. (“Duke”).</w:t>
      </w:r>
    </w:p>
  </w:footnote>
  <w:footnote w:id="4">
    <w:p w:rsidR="008A6D06" w:rsidRPr="00150BE2" w:rsidP="004B7144" w14:paraId="19BB496E" w14:textId="77777777">
      <w:pPr>
        <w:pStyle w:val="FootnoteText"/>
        <w:spacing w:after="120"/>
      </w:pPr>
      <w:r w:rsidRPr="00150BE2">
        <w:rPr>
          <w:rStyle w:val="FootnoteReference"/>
        </w:rPr>
        <w:footnoteRef/>
      </w:r>
      <w:r w:rsidRPr="00150BE2">
        <w:t xml:space="preserve"> R.C. 4903.</w:t>
      </w:r>
      <w:r w:rsidRPr="00150BE2" w:rsidR="003D625B">
        <w:t>221</w:t>
      </w:r>
      <w:r w:rsidRPr="00150BE2" w:rsidR="00CB35B4">
        <w:t>.</w:t>
      </w:r>
    </w:p>
  </w:footnote>
  <w:footnote w:id="5">
    <w:p w:rsidR="008A6D06" w:rsidRPr="00150BE2" w:rsidP="004B7144" w14:paraId="40FCBE7A" w14:textId="77777777">
      <w:pPr>
        <w:pStyle w:val="FootnoteText"/>
        <w:spacing w:after="120"/>
      </w:pPr>
      <w:r w:rsidRPr="00150BE2">
        <w:rPr>
          <w:rStyle w:val="FootnoteReference"/>
        </w:rPr>
        <w:footnoteRef/>
      </w:r>
      <w:r w:rsidRPr="00150BE2">
        <w:t xml:space="preserve"> Nationwide Energy Partners, LLC (“NEP”).</w:t>
      </w:r>
    </w:p>
  </w:footnote>
  <w:footnote w:id="6">
    <w:p w:rsidR="008A6D06" w:rsidRPr="00150BE2" w:rsidP="004B7144" w14:paraId="3B242D08" w14:textId="652AAB08">
      <w:pPr>
        <w:pStyle w:val="FootnoteText"/>
        <w:spacing w:after="120"/>
      </w:pPr>
      <w:r w:rsidRPr="00150BE2">
        <w:rPr>
          <w:rStyle w:val="FootnoteReference"/>
        </w:rPr>
        <w:footnoteRef/>
      </w:r>
      <w:r w:rsidRPr="00150BE2">
        <w:t xml:space="preserve"> </w:t>
      </w:r>
      <w:r w:rsidRPr="00150BE2" w:rsidR="00A20026">
        <w:rPr>
          <w:i/>
          <w:iCs/>
        </w:rPr>
        <w:t>See e.g.</w:t>
      </w:r>
      <w:r w:rsidR="001D52C7">
        <w:rPr>
          <w:i/>
          <w:iCs/>
        </w:rPr>
        <w:t>,</w:t>
      </w:r>
      <w:r w:rsidRPr="00150BE2" w:rsidR="00A20026">
        <w:rPr>
          <w:i/>
          <w:iCs/>
        </w:rPr>
        <w:t xml:space="preserve"> </w:t>
      </w:r>
      <w:r w:rsidRPr="00150BE2">
        <w:t>NEP Memorandum Contra (</w:t>
      </w:r>
      <w:r w:rsidR="00111404">
        <w:t>May 26, 2022</w:t>
      </w:r>
      <w:r w:rsidRPr="00150BE2">
        <w:t>), at 1</w:t>
      </w:r>
      <w:r w:rsidRPr="00150BE2" w:rsidR="001F3B0E">
        <w:t xml:space="preserve">, </w:t>
      </w:r>
      <w:r w:rsidR="00111404">
        <w:t>5</w:t>
      </w:r>
      <w:r w:rsidRPr="00150BE2" w:rsidR="00752F63">
        <w:t>.</w:t>
      </w:r>
      <w:r w:rsidRPr="00150BE2" w:rsidR="00150BE2">
        <w:t xml:space="preserve"> </w:t>
      </w:r>
    </w:p>
  </w:footnote>
  <w:footnote w:id="7">
    <w:p w:rsidR="009C7DF3" w:rsidRPr="00150BE2" w:rsidP="004B7144" w14:paraId="75E05628" w14:textId="77777777">
      <w:pPr>
        <w:pStyle w:val="FootnoteText"/>
        <w:spacing w:after="120"/>
      </w:pPr>
      <w:r w:rsidRPr="00150BE2">
        <w:rPr>
          <w:rStyle w:val="FootnoteReference"/>
        </w:rPr>
        <w:footnoteRef/>
      </w:r>
      <w:r w:rsidRPr="00150BE2">
        <w:t xml:space="preserve"> R.C. 4903.221; Ohio Adm. Code 4901-1-11.</w:t>
      </w:r>
    </w:p>
  </w:footnote>
  <w:footnote w:id="8">
    <w:p w:rsidR="008A6D06" w:rsidRPr="00150BE2" w:rsidP="004B7144" w14:paraId="3A563CF6" w14:textId="77777777">
      <w:pPr>
        <w:pStyle w:val="FootnoteText"/>
        <w:spacing w:after="120"/>
      </w:pPr>
      <w:r w:rsidRPr="00150BE2">
        <w:rPr>
          <w:rStyle w:val="FootnoteReference"/>
        </w:rPr>
        <w:footnoteRef/>
      </w:r>
      <w:r w:rsidRPr="00150BE2">
        <w:t xml:space="preserve"> NEP Memorandum Contra, at 1</w:t>
      </w:r>
      <w:r w:rsidRPr="00150BE2" w:rsidR="002A39D5">
        <w:t>.</w:t>
      </w:r>
      <w:r w:rsidRPr="00150BE2">
        <w:rPr>
          <w:i/>
          <w:iCs/>
        </w:rPr>
        <w:t xml:space="preserve"> </w:t>
      </w:r>
    </w:p>
  </w:footnote>
  <w:footnote w:id="9">
    <w:p w:rsidR="004C76B8" w:rsidRPr="00150BE2" w:rsidP="004B7144" w14:paraId="196D69BC" w14:textId="77777777">
      <w:pPr>
        <w:pStyle w:val="FootnoteText"/>
        <w:spacing w:after="120"/>
      </w:pPr>
      <w:r w:rsidRPr="00150BE2">
        <w:rPr>
          <w:rStyle w:val="FootnoteReference"/>
        </w:rPr>
        <w:footnoteRef/>
      </w:r>
      <w:r w:rsidRPr="00150BE2">
        <w:t xml:space="preserve"> NEP Memorandum Contra, at </w:t>
      </w:r>
      <w:r w:rsidRPr="00150BE2" w:rsidR="00B94F99">
        <w:t>6.</w:t>
      </w:r>
    </w:p>
  </w:footnote>
  <w:footnote w:id="10">
    <w:p w:rsidR="008A6D06" w:rsidRPr="00150BE2" w:rsidP="004B7144" w14:paraId="157E05E6" w14:textId="77777777">
      <w:pPr>
        <w:pStyle w:val="FootnoteText"/>
        <w:spacing w:after="120"/>
      </w:pPr>
      <w:r w:rsidRPr="00150BE2">
        <w:rPr>
          <w:rStyle w:val="FootnoteReference"/>
        </w:rPr>
        <w:footnoteRef/>
      </w:r>
      <w:r w:rsidRPr="00150BE2">
        <w:t xml:space="preserve"> NEP Memorandum Contra, at 5.</w:t>
      </w:r>
    </w:p>
  </w:footnote>
  <w:footnote w:id="11">
    <w:p w:rsidR="008A6D06" w:rsidRPr="00150BE2" w:rsidP="004B7144" w14:paraId="1EB50FAA" w14:textId="77777777">
      <w:pPr>
        <w:pStyle w:val="FootnoteText"/>
        <w:spacing w:after="120"/>
      </w:pPr>
      <w:r w:rsidRPr="00150BE2">
        <w:rPr>
          <w:rStyle w:val="FootnoteReference"/>
        </w:rPr>
        <w:footnoteRef/>
      </w:r>
      <w:r w:rsidRPr="00150BE2">
        <w:t xml:space="preserve"> NEP Memorandum Contra, at 6.</w:t>
      </w:r>
    </w:p>
  </w:footnote>
  <w:footnote w:id="12">
    <w:p w:rsidR="008A6D06" w:rsidRPr="000B49BF" w:rsidP="004B7144" w14:paraId="2326AEB2" w14:textId="77777777">
      <w:pPr>
        <w:pStyle w:val="FootnoteText"/>
        <w:spacing w:after="120"/>
        <w:rPr>
          <w:color w:val="000000"/>
        </w:rPr>
      </w:pPr>
      <w:r w:rsidRPr="000B49BF">
        <w:rPr>
          <w:rStyle w:val="FootnoteReference"/>
          <w:color w:val="000000"/>
        </w:rPr>
        <w:footnoteRef/>
      </w:r>
      <w:r w:rsidRPr="000B49BF">
        <w:rPr>
          <w:color w:val="000000"/>
        </w:rPr>
        <w:t xml:space="preserve"> </w:t>
      </w:r>
      <w:r w:rsidRPr="000B49BF" w:rsidR="00F34FC5">
        <w:rPr>
          <w:color w:val="000000"/>
        </w:rPr>
        <w:t>Duke</w:t>
      </w:r>
      <w:r w:rsidRPr="000B49BF">
        <w:rPr>
          <w:color w:val="000000"/>
        </w:rPr>
        <w:t xml:space="preserve"> Complaint, at ¶ </w:t>
      </w:r>
      <w:r w:rsidRPr="000B49BF" w:rsidR="00F34FC5">
        <w:rPr>
          <w:color w:val="000000"/>
        </w:rPr>
        <w:t>52.</w:t>
      </w:r>
    </w:p>
  </w:footnote>
  <w:footnote w:id="13">
    <w:p w:rsidR="008A6D06" w:rsidRPr="000B49BF" w:rsidP="004B7144" w14:paraId="1E08B683" w14:textId="77777777">
      <w:pPr>
        <w:pStyle w:val="FootnoteText"/>
        <w:spacing w:after="120"/>
        <w:rPr>
          <w:color w:val="000000"/>
        </w:rPr>
      </w:pPr>
      <w:r w:rsidRPr="000B49BF">
        <w:rPr>
          <w:rStyle w:val="FootnoteReference"/>
          <w:color w:val="000000"/>
        </w:rPr>
        <w:footnoteRef/>
      </w:r>
      <w:r w:rsidRPr="000B49BF">
        <w:rPr>
          <w:color w:val="000000"/>
        </w:rPr>
        <w:t xml:space="preserve"> </w:t>
      </w:r>
      <w:r w:rsidRPr="000B49BF" w:rsidR="004E7895">
        <w:rPr>
          <w:color w:val="000000"/>
        </w:rPr>
        <w:t xml:space="preserve">Duke </w:t>
      </w:r>
      <w:r w:rsidRPr="000B49BF">
        <w:rPr>
          <w:color w:val="000000"/>
        </w:rPr>
        <w:t xml:space="preserve">Complaint, at ¶ </w:t>
      </w:r>
      <w:r w:rsidRPr="000B49BF" w:rsidR="004E7895">
        <w:rPr>
          <w:color w:val="000000"/>
        </w:rPr>
        <w:t>2.</w:t>
      </w:r>
    </w:p>
  </w:footnote>
  <w:footnote w:id="14">
    <w:p w:rsidR="008A6D06" w:rsidRPr="00BB2CF3" w:rsidP="004B7144" w14:paraId="4F4E7CE1" w14:textId="0A03DE58">
      <w:pPr>
        <w:pStyle w:val="FootnoteText"/>
        <w:spacing w:after="120"/>
        <w:rPr>
          <w:color w:val="FF0000"/>
        </w:rPr>
      </w:pPr>
      <w:r w:rsidRPr="000B49BF">
        <w:rPr>
          <w:rStyle w:val="FootnoteReference"/>
          <w:color w:val="000000"/>
        </w:rPr>
        <w:footnoteRef/>
      </w:r>
      <w:r w:rsidRPr="000B49BF">
        <w:rPr>
          <w:color w:val="000000"/>
        </w:rPr>
        <w:t xml:space="preserve"> </w:t>
      </w:r>
      <w:r w:rsidRPr="000B49BF" w:rsidR="00F34FC5">
        <w:rPr>
          <w:color w:val="000000"/>
        </w:rPr>
        <w:t>Duke</w:t>
      </w:r>
      <w:r w:rsidRPr="000B49BF" w:rsidR="002005CB">
        <w:rPr>
          <w:color w:val="000000"/>
        </w:rPr>
        <w:t xml:space="preserve"> Complaint, at </w:t>
      </w:r>
      <w:r w:rsidRPr="000B49BF" w:rsidR="00920CC8">
        <w:rPr>
          <w:color w:val="000000"/>
        </w:rPr>
        <w:t xml:space="preserve">¶ </w:t>
      </w:r>
      <w:r w:rsidRPr="000B49BF" w:rsidR="004E7895">
        <w:rPr>
          <w:color w:val="000000"/>
        </w:rPr>
        <w:t>5</w:t>
      </w:r>
      <w:r w:rsidRPr="000B49BF" w:rsidR="00F34FC5">
        <w:rPr>
          <w:color w:val="000000"/>
        </w:rPr>
        <w:t>5</w:t>
      </w:r>
      <w:r w:rsidRPr="000B49BF" w:rsidR="004E7895">
        <w:rPr>
          <w:color w:val="000000"/>
        </w:rPr>
        <w:t>.</w:t>
      </w:r>
    </w:p>
  </w:footnote>
  <w:footnote w:id="15">
    <w:p w:rsidR="008A6D06" w:rsidRPr="000B49BF" w:rsidP="004B7144" w14:paraId="1119B3E9" w14:textId="5175913C">
      <w:pPr>
        <w:pStyle w:val="FootnoteText"/>
        <w:spacing w:after="120"/>
        <w:rPr>
          <w:color w:val="000000"/>
        </w:rPr>
      </w:pPr>
      <w:r w:rsidRPr="000B49BF">
        <w:rPr>
          <w:rStyle w:val="FootnoteReference"/>
          <w:color w:val="000000"/>
        </w:rPr>
        <w:footnoteRef/>
      </w:r>
      <w:r w:rsidRPr="000B49BF">
        <w:rPr>
          <w:color w:val="000000"/>
        </w:rPr>
        <w:t xml:space="preserve"> </w:t>
      </w:r>
      <w:r w:rsidRPr="000B49BF" w:rsidR="003A3781">
        <w:rPr>
          <w:color w:val="000000"/>
        </w:rPr>
        <w:t>Duke</w:t>
      </w:r>
      <w:r w:rsidRPr="000B49BF">
        <w:rPr>
          <w:color w:val="000000"/>
        </w:rPr>
        <w:t xml:space="preserve"> Complaint, at ¶ </w:t>
      </w:r>
      <w:r w:rsidRPr="000B49BF" w:rsidR="003A3781">
        <w:rPr>
          <w:color w:val="000000"/>
        </w:rPr>
        <w:t>25.</w:t>
      </w:r>
    </w:p>
  </w:footnote>
  <w:footnote w:id="16">
    <w:p w:rsidR="008A6D06" w:rsidRPr="000B49BF" w:rsidP="004B7144" w14:paraId="2217A1E7" w14:textId="26519EA3">
      <w:pPr>
        <w:pStyle w:val="FootnoteText"/>
        <w:spacing w:after="120"/>
        <w:rPr>
          <w:color w:val="000000"/>
        </w:rPr>
      </w:pPr>
      <w:r w:rsidRPr="000B49BF">
        <w:rPr>
          <w:rStyle w:val="FootnoteReference"/>
          <w:color w:val="000000"/>
        </w:rPr>
        <w:footnoteRef/>
      </w:r>
      <w:r w:rsidRPr="000B49BF" w:rsidR="00857B83">
        <w:rPr>
          <w:color w:val="000000"/>
        </w:rPr>
        <w:t xml:space="preserve"> Duke Complaint</w:t>
      </w:r>
      <w:r w:rsidRPr="000B49BF">
        <w:rPr>
          <w:color w:val="000000"/>
        </w:rPr>
        <w:t xml:space="preserve">, at </w:t>
      </w:r>
      <w:r w:rsidRPr="000B49BF" w:rsidR="009841C3">
        <w:rPr>
          <w:color w:val="000000"/>
        </w:rPr>
        <w:t xml:space="preserve">¶ </w:t>
      </w:r>
      <w:r w:rsidRPr="000B49BF" w:rsidR="00857B83">
        <w:rPr>
          <w:color w:val="000000"/>
        </w:rPr>
        <w:t>58</w:t>
      </w:r>
      <w:r w:rsidRPr="000B49BF" w:rsidR="009841C3">
        <w:rPr>
          <w:color w:val="000000"/>
        </w:rPr>
        <w:t>.</w:t>
      </w:r>
    </w:p>
  </w:footnote>
  <w:footnote w:id="17">
    <w:p w:rsidR="00FD78A7" w:rsidRPr="000B49BF" w:rsidP="004B7144" w14:paraId="7FAACD7E" w14:textId="77777777">
      <w:pPr>
        <w:pStyle w:val="FootnoteText"/>
        <w:spacing w:after="120"/>
        <w:rPr>
          <w:color w:val="000000"/>
        </w:rPr>
      </w:pPr>
      <w:r w:rsidRPr="000B49BF">
        <w:rPr>
          <w:rStyle w:val="FootnoteReference"/>
          <w:color w:val="000000"/>
        </w:rPr>
        <w:footnoteRef/>
      </w:r>
      <w:r w:rsidRPr="000B49BF">
        <w:rPr>
          <w:color w:val="000000"/>
        </w:rPr>
        <w:t xml:space="preserve"> </w:t>
      </w:r>
      <w:r w:rsidRPr="000B49BF" w:rsidR="003A3781">
        <w:rPr>
          <w:color w:val="000000"/>
        </w:rPr>
        <w:t>Duke</w:t>
      </w:r>
      <w:r w:rsidRPr="000B49BF">
        <w:rPr>
          <w:color w:val="000000"/>
        </w:rPr>
        <w:t xml:space="preserve"> Complaint, at ¶ 5</w:t>
      </w:r>
      <w:r w:rsidRPr="000B49BF" w:rsidR="003A3781">
        <w:rPr>
          <w:color w:val="000000"/>
        </w:rPr>
        <w:t>3</w:t>
      </w:r>
      <w:r w:rsidRPr="000B49BF">
        <w:rPr>
          <w:color w:val="000000"/>
        </w:rPr>
        <w:t>.</w:t>
      </w:r>
    </w:p>
  </w:footnote>
  <w:footnote w:id="18">
    <w:p w:rsidR="008A6D06" w:rsidRPr="000B49BF" w:rsidP="004B7144" w14:paraId="569A4BEA" w14:textId="243FA603">
      <w:pPr>
        <w:pStyle w:val="FootnoteText"/>
        <w:spacing w:after="120"/>
        <w:rPr>
          <w:color w:val="000000"/>
        </w:rPr>
      </w:pPr>
      <w:r w:rsidRPr="000B49BF">
        <w:rPr>
          <w:rStyle w:val="FootnoteReference"/>
          <w:color w:val="000000"/>
        </w:rPr>
        <w:footnoteRef/>
      </w:r>
      <w:r w:rsidRPr="000B49BF">
        <w:rPr>
          <w:color w:val="000000"/>
        </w:rPr>
        <w:t xml:space="preserve"> </w:t>
      </w:r>
      <w:r w:rsidRPr="000B49BF" w:rsidR="003A3781">
        <w:rPr>
          <w:color w:val="000000"/>
        </w:rPr>
        <w:t>Duke Complaint</w:t>
      </w:r>
      <w:r w:rsidRPr="000B49BF">
        <w:rPr>
          <w:color w:val="000000"/>
        </w:rPr>
        <w:t xml:space="preserve">, at </w:t>
      </w:r>
      <w:r w:rsidRPr="000B49BF" w:rsidR="00850F2C">
        <w:rPr>
          <w:color w:val="000000"/>
        </w:rPr>
        <w:t>¶ 54.</w:t>
      </w:r>
    </w:p>
  </w:footnote>
  <w:footnote w:id="19">
    <w:p w:rsidR="008A6D06" w:rsidRPr="00150BE2" w:rsidP="004B7144" w14:paraId="785F34A2" w14:textId="38D08FEA">
      <w:pPr>
        <w:pStyle w:val="FootnoteText"/>
        <w:spacing w:after="120"/>
      </w:pPr>
      <w:r w:rsidRPr="000B49BF">
        <w:rPr>
          <w:rStyle w:val="FootnoteReference"/>
          <w:color w:val="000000"/>
        </w:rPr>
        <w:footnoteRef/>
      </w:r>
      <w:r w:rsidRPr="000B49BF">
        <w:rPr>
          <w:color w:val="000000"/>
        </w:rPr>
        <w:t xml:space="preserve"> </w:t>
      </w:r>
      <w:r w:rsidRPr="000B49BF" w:rsidR="00F34FC5">
        <w:rPr>
          <w:color w:val="000000"/>
        </w:rPr>
        <w:t>Duke</w:t>
      </w:r>
      <w:r w:rsidRPr="000B49BF">
        <w:rPr>
          <w:color w:val="000000"/>
        </w:rPr>
        <w:t xml:space="preserve"> Complaint, at ¶ 55</w:t>
      </w:r>
      <w:r w:rsidRPr="000B49BF" w:rsidR="003A3781">
        <w:rPr>
          <w:color w:val="000000"/>
        </w:rPr>
        <w:t>.</w:t>
      </w:r>
    </w:p>
  </w:footnote>
  <w:footnote w:id="20">
    <w:p w:rsidR="008A6D06" w:rsidRPr="00150BE2" w:rsidP="004B7144" w14:paraId="777328E1" w14:textId="77777777">
      <w:pPr>
        <w:pStyle w:val="FootnoteText"/>
        <w:spacing w:after="120"/>
      </w:pPr>
      <w:r w:rsidRPr="00150BE2">
        <w:rPr>
          <w:rStyle w:val="FootnoteReference"/>
        </w:rPr>
        <w:footnoteRef/>
      </w:r>
      <w:r w:rsidRPr="00150BE2">
        <w:t xml:space="preserve"> </w:t>
      </w:r>
      <w:r w:rsidRPr="00150BE2">
        <w:rPr>
          <w:i/>
          <w:iCs/>
        </w:rPr>
        <w:t xml:space="preserve">See </w:t>
      </w:r>
      <w:r w:rsidRPr="00150BE2">
        <w:t>NEP Memorandum Contra, at 5-6.</w:t>
      </w:r>
    </w:p>
  </w:footnote>
  <w:footnote w:id="21">
    <w:p w:rsidR="004A4A45" w:rsidRPr="00934D6D" w:rsidP="004B7144" w14:paraId="0D8871DB" w14:textId="6A08BB5C">
      <w:pPr>
        <w:pStyle w:val="FootnoteText"/>
        <w:spacing w:after="120"/>
        <w:rPr>
          <w:szCs w:val="24"/>
        </w:rPr>
      </w:pPr>
      <w:r>
        <w:rPr>
          <w:rStyle w:val="FootnoteReference"/>
        </w:rPr>
        <w:footnoteRef/>
      </w:r>
      <w:r>
        <w:t xml:space="preserve"> </w:t>
      </w:r>
      <w:r>
        <w:rPr>
          <w:i/>
          <w:iCs/>
        </w:rPr>
        <w:t xml:space="preserve">See </w:t>
      </w:r>
      <w:r>
        <w:rPr>
          <w:i/>
          <w:iCs/>
          <w:szCs w:val="24"/>
        </w:rPr>
        <w:t>Ohio Power Company v. Nationwide Energy Partners, LLC</w:t>
      </w:r>
      <w:r>
        <w:rPr>
          <w:szCs w:val="24"/>
        </w:rPr>
        <w:t>, Case No. 21-990-EL-CSS, OCC</w:t>
      </w:r>
      <w:r w:rsidR="004B7144">
        <w:rPr>
          <w:szCs w:val="24"/>
        </w:rPr>
        <w:t>’s</w:t>
      </w:r>
      <w:r>
        <w:rPr>
          <w:szCs w:val="24"/>
        </w:rPr>
        <w:t xml:space="preserve"> Interlocutory Appeal to Commissioners (Feb. 7, 2022).</w:t>
      </w:r>
    </w:p>
  </w:footnote>
  <w:footnote w:id="22">
    <w:p w:rsidR="008A6D06" w:rsidRPr="00150BE2" w:rsidP="004B7144" w14:paraId="4684A0A5" w14:textId="77777777">
      <w:pPr>
        <w:pStyle w:val="FootnoteText"/>
        <w:spacing w:after="120"/>
      </w:pPr>
      <w:r w:rsidRPr="00150BE2">
        <w:rPr>
          <w:rStyle w:val="FootnoteReference"/>
        </w:rPr>
        <w:footnoteRef/>
      </w:r>
      <w:r w:rsidRPr="00150BE2">
        <w:t xml:space="preserve"> NEP Memorandum Contra, at 6.</w:t>
      </w:r>
    </w:p>
  </w:footnote>
  <w:footnote w:id="23">
    <w:p w:rsidR="008A6D06" w:rsidRPr="00150BE2" w:rsidP="004B7144" w14:paraId="6913BBB8" w14:textId="77777777">
      <w:pPr>
        <w:pStyle w:val="FootnoteText"/>
        <w:spacing w:after="120"/>
      </w:pPr>
      <w:r w:rsidRPr="00150BE2">
        <w:rPr>
          <w:rStyle w:val="FootnoteReference"/>
        </w:rPr>
        <w:footnoteRef/>
      </w:r>
      <w:r w:rsidRPr="00150BE2">
        <w:t xml:space="preserve"> </w:t>
      </w:r>
      <w:r w:rsidRPr="00150BE2">
        <w:rPr>
          <w:i/>
          <w:iCs/>
        </w:rPr>
        <w:t xml:space="preserve">See </w:t>
      </w:r>
      <w:r w:rsidRPr="00150BE2">
        <w:t>Case No. 15-697-EL-CSS, Complaint of Mark Whitt (Apr</w:t>
      </w:r>
      <w:r w:rsidR="00C51E3F">
        <w:t>.</w:t>
      </w:r>
      <w:r w:rsidRPr="00150BE2">
        <w:t xml:space="preserve"> 10, 2015).</w:t>
      </w:r>
    </w:p>
  </w:footnote>
  <w:footnote w:id="24">
    <w:p w:rsidR="00A54A0A" w:rsidRPr="00150BE2" w:rsidP="004B7144" w14:paraId="3515839F" w14:textId="7FEDEBEA">
      <w:pPr>
        <w:pStyle w:val="FootnoteText"/>
        <w:spacing w:after="120"/>
      </w:pPr>
      <w:r w:rsidRPr="00150BE2">
        <w:rPr>
          <w:rStyle w:val="FootnoteReference"/>
        </w:rPr>
        <w:footnoteRef/>
      </w:r>
      <w:r w:rsidRPr="00150BE2">
        <w:t xml:space="preserve"> </w:t>
      </w:r>
      <w:r w:rsidRPr="00150BE2" w:rsidR="00132F1B">
        <w:t>Case No. 15-697-EL-CSS, NEP Memorandum Contra to OCC</w:t>
      </w:r>
      <w:r w:rsidR="00A53E20">
        <w:t>’s</w:t>
      </w:r>
      <w:r w:rsidRPr="00150BE2" w:rsidR="00132F1B">
        <w:t xml:space="preserve"> Motion to Intervene (May 21, 2015), at </w:t>
      </w:r>
      <w:r w:rsidRPr="00150BE2" w:rsidR="00CE5ADB">
        <w:t>2.</w:t>
      </w:r>
    </w:p>
  </w:footnote>
  <w:footnote w:id="25">
    <w:p w:rsidR="008A6D06" w:rsidRPr="00150BE2" w:rsidP="004B7144" w14:paraId="15673551" w14:textId="60FD298C">
      <w:pPr>
        <w:pStyle w:val="FootnoteText"/>
        <w:spacing w:after="120"/>
      </w:pPr>
      <w:r w:rsidRPr="00150BE2">
        <w:rPr>
          <w:rStyle w:val="FootnoteReference"/>
        </w:rPr>
        <w:footnoteRef/>
      </w:r>
      <w:r w:rsidRPr="00150BE2">
        <w:t xml:space="preserve"> Case No. 15-697-EL-CSS, OCC</w:t>
      </w:r>
      <w:r w:rsidR="00113D88">
        <w:t>’s</w:t>
      </w:r>
      <w:r w:rsidRPr="00150BE2">
        <w:t xml:space="preserve"> Motion to Intervene (May 6, 2015).</w:t>
      </w:r>
    </w:p>
  </w:footnote>
  <w:footnote w:id="26">
    <w:p w:rsidR="008A6D06" w:rsidRPr="00150BE2" w:rsidP="004B7144" w14:paraId="33753400" w14:textId="1876AB65">
      <w:pPr>
        <w:pStyle w:val="FootnoteText"/>
        <w:spacing w:after="120"/>
      </w:pPr>
      <w:r w:rsidRPr="00150BE2">
        <w:rPr>
          <w:rStyle w:val="FootnoteReference"/>
        </w:rPr>
        <w:footnoteRef/>
      </w:r>
      <w:r w:rsidRPr="00150BE2">
        <w:t xml:space="preserve"> OCC</w:t>
      </w:r>
      <w:r w:rsidR="00FB0644">
        <w:t>’s</w:t>
      </w:r>
      <w:r w:rsidRPr="00150BE2">
        <w:t xml:space="preserve"> Motion to Intervene, at </w:t>
      </w:r>
      <w:r w:rsidR="00CF2F64">
        <w:t>2</w:t>
      </w:r>
      <w:r w:rsidRPr="00150BE2">
        <w:t xml:space="preserve"> (emphasis added).</w:t>
      </w:r>
      <w:r w:rsidRPr="00150BE2" w:rsidR="00911BB5">
        <w:t xml:space="preserve"> </w:t>
      </w:r>
    </w:p>
  </w:footnote>
  <w:footnote w:id="27">
    <w:p w:rsidR="008A6D06" w:rsidRPr="00150BE2" w:rsidP="004B7144" w14:paraId="3258BA18" w14:textId="77777777">
      <w:pPr>
        <w:pStyle w:val="FootnoteText"/>
        <w:spacing w:after="120"/>
        <w:rPr>
          <w:i/>
          <w:iCs/>
        </w:rPr>
      </w:pPr>
      <w:r w:rsidRPr="00150BE2">
        <w:rPr>
          <w:rStyle w:val="FootnoteReference"/>
        </w:rPr>
        <w:footnoteRef/>
      </w:r>
      <w:r w:rsidRPr="00150BE2">
        <w:t xml:space="preserve"> </w:t>
      </w:r>
      <w:r w:rsidRPr="00150BE2" w:rsidR="005731F1">
        <w:t>Case No. 15-697-EL-CSS, PUCO Entry, (Nov. 18, 2015), at ¶ 9.</w:t>
      </w:r>
    </w:p>
  </w:footnote>
  <w:footnote w:id="28">
    <w:p w:rsidR="004F5837" w:rsidRPr="00150BE2" w:rsidP="004B7144" w14:paraId="10E7F93F" w14:textId="5F2319D0">
      <w:pPr>
        <w:pStyle w:val="FootnoteText"/>
        <w:spacing w:after="120"/>
      </w:pPr>
      <w:r w:rsidRPr="00150BE2">
        <w:rPr>
          <w:rStyle w:val="FootnoteReference"/>
        </w:rPr>
        <w:footnoteRef/>
      </w:r>
      <w:r w:rsidRPr="00150BE2">
        <w:t xml:space="preserve"> </w:t>
      </w:r>
      <w:r w:rsidR="00DA30F0">
        <w:t xml:space="preserve">Case No. 17-202-EL-CSS, PUCO Entry (Oct. 24, 2019) at </w:t>
      </w:r>
      <w:r w:rsidRPr="00150BE2" w:rsidR="00DA30F0">
        <w:t>¶</w:t>
      </w:r>
      <w:r w:rsidR="004427AE">
        <w:t xml:space="preserve">¶ </w:t>
      </w:r>
      <w:r w:rsidR="00DA30F0">
        <w:t>64-68, 70-78.</w:t>
      </w:r>
    </w:p>
  </w:footnote>
  <w:footnote w:id="29">
    <w:p w:rsidR="008A6D06" w:rsidRPr="00150BE2" w:rsidP="004B7144" w14:paraId="2E51A727" w14:textId="77777777">
      <w:pPr>
        <w:pStyle w:val="FootnoteText"/>
        <w:spacing w:after="120"/>
      </w:pPr>
      <w:r w:rsidRPr="00150BE2">
        <w:rPr>
          <w:rStyle w:val="FootnoteReference"/>
        </w:rPr>
        <w:footnoteRef/>
      </w:r>
      <w:r w:rsidRPr="00150BE2">
        <w:t xml:space="preserve"> Case No. 15-697-EL-CSS, PUCO Entry, (Nov. 18, 2015), at ¶ 9.</w:t>
      </w:r>
    </w:p>
  </w:footnote>
  <w:footnote w:id="30">
    <w:p w:rsidR="008A6D06" w:rsidRPr="00150BE2" w:rsidP="004B7144" w14:paraId="0D863EAA" w14:textId="31387AE8">
      <w:pPr>
        <w:pStyle w:val="FootnoteText"/>
        <w:spacing w:after="120"/>
      </w:pPr>
      <w:r w:rsidRPr="00150BE2">
        <w:rPr>
          <w:rStyle w:val="FootnoteReference"/>
        </w:rPr>
        <w:footnoteRef/>
      </w:r>
      <w:r w:rsidRPr="00150BE2">
        <w:t xml:space="preserve"> </w:t>
      </w:r>
      <w:r w:rsidRPr="00150BE2">
        <w:rPr>
          <w:i/>
          <w:iCs/>
        </w:rPr>
        <w:t>See In re Complaint of Wingo</w:t>
      </w:r>
      <w:r w:rsidRPr="00150BE2">
        <w:t>,</w:t>
      </w:r>
      <w:r w:rsidRPr="00150BE2">
        <w:rPr>
          <w:i/>
          <w:iCs/>
        </w:rPr>
        <w:t xml:space="preserve"> </w:t>
      </w:r>
      <w:r w:rsidRPr="00150BE2">
        <w:t>Case No. 17-2002-EL-CSS, Entry (Jul</w:t>
      </w:r>
      <w:r w:rsidR="001661B2">
        <w:t>.</w:t>
      </w:r>
      <w:r w:rsidRPr="00150BE2">
        <w:t xml:space="preserve"> 14, 2021).</w:t>
      </w:r>
    </w:p>
  </w:footnote>
  <w:footnote w:id="31">
    <w:p w:rsidR="008A6D06" w:rsidRPr="00150BE2" w:rsidP="004B7144" w14:paraId="721EBBC6" w14:textId="73EFA861">
      <w:pPr>
        <w:pStyle w:val="FootnoteText"/>
        <w:spacing w:after="120"/>
      </w:pPr>
      <w:r w:rsidRPr="00150BE2">
        <w:rPr>
          <w:rStyle w:val="FootnoteReference"/>
        </w:rPr>
        <w:footnoteRef/>
      </w:r>
      <w:r w:rsidRPr="00150BE2">
        <w:t xml:space="preserve"> OCC</w:t>
      </w:r>
      <w:r w:rsidR="00E044BD">
        <w:t>’s</w:t>
      </w:r>
      <w:r w:rsidRPr="00150BE2">
        <w:t xml:space="preserve"> Motion to Intervene, Memorandum in Support, at 1-</w:t>
      </w:r>
      <w:r w:rsidR="003E28F0">
        <w:t>4</w:t>
      </w:r>
      <w:r w:rsidRPr="00150BE2">
        <w:t>.</w:t>
      </w:r>
    </w:p>
  </w:footnote>
  <w:footnote w:id="32">
    <w:p w:rsidR="008A6D06" w:rsidRPr="00150BE2" w:rsidP="004B7144" w14:paraId="201687BA" w14:textId="77777777">
      <w:pPr>
        <w:pStyle w:val="FootnoteText"/>
        <w:spacing w:after="120"/>
      </w:pPr>
      <w:r w:rsidRPr="00150BE2">
        <w:rPr>
          <w:rStyle w:val="FootnoteReference"/>
        </w:rPr>
        <w:footnoteRef/>
      </w:r>
      <w:r w:rsidRPr="00150BE2">
        <w:t xml:space="preserve"> NEP Memorandum Contra, at </w:t>
      </w:r>
      <w:r w:rsidR="005640BD">
        <w:t>7</w:t>
      </w:r>
      <w:r w:rsidRPr="00150BE2">
        <w:t>.</w:t>
      </w:r>
    </w:p>
  </w:footnote>
  <w:footnote w:id="33">
    <w:p w:rsidR="008A6D06" w:rsidRPr="00150BE2" w:rsidP="004B7144" w14:paraId="1B61BA85" w14:textId="77777777">
      <w:pPr>
        <w:pStyle w:val="FootnoteText"/>
        <w:spacing w:after="120"/>
      </w:pPr>
      <w:r w:rsidRPr="00150BE2">
        <w:rPr>
          <w:rStyle w:val="FootnoteReference"/>
        </w:rPr>
        <w:footnoteRef/>
      </w:r>
      <w:r w:rsidRPr="00150BE2">
        <w:t xml:space="preserve"> NEP Memorandum Contra</w:t>
      </w:r>
      <w:r w:rsidRPr="00150BE2" w:rsidR="000B37E0">
        <w:t>,</w:t>
      </w:r>
      <w:r w:rsidRPr="00150BE2">
        <w:t xml:space="preserve"> at </w:t>
      </w:r>
      <w:r w:rsidR="00236259">
        <w:t>5</w:t>
      </w:r>
      <w:r w:rsidRPr="00150BE2" w:rsidR="000B37E0">
        <w:t>.</w:t>
      </w:r>
    </w:p>
  </w:footnote>
  <w:footnote w:id="34">
    <w:p w:rsidR="008A6D06" w:rsidRPr="00150BE2" w:rsidP="004B7144" w14:paraId="0F3D52E4" w14:textId="77777777">
      <w:pPr>
        <w:pStyle w:val="FootnoteText"/>
        <w:spacing w:after="120"/>
      </w:pPr>
      <w:r w:rsidRPr="00150BE2">
        <w:rPr>
          <w:rStyle w:val="FootnoteReference"/>
        </w:rPr>
        <w:footnoteRef/>
      </w:r>
      <w:r w:rsidRPr="00150BE2">
        <w:t xml:space="preserve"> NEP Memorandum Contra, at 7.</w:t>
      </w:r>
    </w:p>
  </w:footnote>
  <w:footnote w:id="35">
    <w:p w:rsidR="006A07B6" w:rsidRPr="00150BE2" w:rsidP="004B7144" w14:paraId="3EA1AEC0" w14:textId="77777777">
      <w:pPr>
        <w:pStyle w:val="FootnoteText"/>
        <w:spacing w:after="120"/>
      </w:pPr>
      <w:r w:rsidRPr="00150BE2">
        <w:rPr>
          <w:rStyle w:val="FootnoteReference"/>
        </w:rPr>
        <w:footnoteRef/>
      </w:r>
      <w:r w:rsidRPr="00150BE2">
        <w:t xml:space="preserve"> NEP Memorandum Contra, at 7 (quoting OCC’s Motion to Intervene, at 1)</w:t>
      </w:r>
      <w:r w:rsidR="00475BFC">
        <w:t>.</w:t>
      </w:r>
    </w:p>
  </w:footnote>
  <w:footnote w:id="36">
    <w:p w:rsidR="008A6D06" w:rsidRPr="00150BE2" w:rsidP="004B7144" w14:paraId="5BB9BEE2" w14:textId="1BD3A781">
      <w:pPr>
        <w:pStyle w:val="FootnoteText"/>
        <w:spacing w:after="120"/>
      </w:pPr>
      <w:r w:rsidRPr="00150BE2">
        <w:rPr>
          <w:rStyle w:val="FootnoteReference"/>
        </w:rPr>
        <w:footnoteRef/>
      </w:r>
      <w:r w:rsidRPr="00150BE2">
        <w:t xml:space="preserve"> OCC</w:t>
      </w:r>
      <w:r w:rsidR="00E044BD">
        <w:t>’s</w:t>
      </w:r>
      <w:r w:rsidRPr="00150BE2">
        <w:t xml:space="preserve"> Motion to Intervene, at 1.</w:t>
      </w:r>
    </w:p>
  </w:footnote>
  <w:footnote w:id="37">
    <w:p w:rsidR="008A6D06" w:rsidRPr="00150BE2" w:rsidP="004B7144" w14:paraId="7FDCDAB6" w14:textId="2DD875E8">
      <w:pPr>
        <w:pStyle w:val="FootnoteText"/>
        <w:spacing w:after="120"/>
      </w:pPr>
      <w:r w:rsidRPr="00150BE2">
        <w:rPr>
          <w:rStyle w:val="FootnoteReference"/>
        </w:rPr>
        <w:footnoteRef/>
      </w:r>
      <w:r w:rsidRPr="00150BE2">
        <w:t xml:space="preserve"> OCC</w:t>
      </w:r>
      <w:r w:rsidR="00E044BD">
        <w:t>’s</w:t>
      </w:r>
      <w:r w:rsidRPr="00150BE2">
        <w:t xml:space="preserve"> Motion to Intervene, at </w:t>
      </w:r>
      <w:r w:rsidR="00866F48">
        <w:t>2</w:t>
      </w:r>
      <w:r w:rsidRPr="00150BE2">
        <w:t xml:space="preserve"> (emphasis added). </w:t>
      </w:r>
    </w:p>
  </w:footnote>
  <w:footnote w:id="38">
    <w:p w:rsidR="008A6D06" w:rsidRPr="00150BE2" w:rsidP="004B7144" w14:paraId="56BF668F" w14:textId="77777777">
      <w:pPr>
        <w:pStyle w:val="FootnoteText"/>
        <w:spacing w:after="120"/>
      </w:pPr>
      <w:r w:rsidRPr="00150BE2">
        <w:rPr>
          <w:rStyle w:val="FootnoteReference"/>
        </w:rPr>
        <w:footnoteRef/>
      </w:r>
      <w:r w:rsidRPr="00150BE2">
        <w:t xml:space="preserve"> NEP Memorandum Contra, at</w:t>
      </w:r>
      <w:r w:rsidRPr="00150BE2" w:rsidR="00974508">
        <w:t xml:space="preserve"> 7.</w:t>
      </w:r>
      <w:r w:rsidRPr="00150BE2">
        <w:t xml:space="preserve"> </w:t>
      </w:r>
    </w:p>
  </w:footnote>
  <w:footnote w:id="39">
    <w:p w:rsidR="004C76B8" w:rsidRPr="00150BE2" w:rsidP="004B7144" w14:paraId="07CE7244" w14:textId="1ECC6B7F">
      <w:pPr>
        <w:pStyle w:val="FootnoteText"/>
        <w:spacing w:after="120"/>
      </w:pPr>
      <w:r w:rsidRPr="00150BE2">
        <w:rPr>
          <w:rStyle w:val="FootnoteReference"/>
        </w:rPr>
        <w:footnoteRef/>
      </w:r>
      <w:r w:rsidRPr="00150BE2">
        <w:t xml:space="preserve"> NEP Memorandum Contra, at 8.</w:t>
      </w:r>
    </w:p>
  </w:footnote>
  <w:footnote w:id="40">
    <w:p w:rsidR="008A6D06" w:rsidRPr="00150BE2" w:rsidP="004B7144" w14:paraId="160246EA" w14:textId="1C4DAF4B">
      <w:pPr>
        <w:pStyle w:val="FootnoteText"/>
        <w:spacing w:after="120"/>
      </w:pPr>
      <w:r w:rsidRPr="00150BE2">
        <w:rPr>
          <w:rStyle w:val="FootnoteReference"/>
        </w:rPr>
        <w:footnoteRef/>
      </w:r>
      <w:r w:rsidRPr="00150BE2">
        <w:t xml:space="preserve"> NEP Memorandum Contra, at </w:t>
      </w:r>
      <w:r w:rsidR="00F2325E">
        <w:t>8</w:t>
      </w:r>
      <w:r w:rsidRPr="00150BE2" w:rsidR="0020327F">
        <w:t>.</w:t>
      </w:r>
    </w:p>
  </w:footnote>
  <w:footnote w:id="41">
    <w:p w:rsidR="004C76B8" w:rsidRPr="00150BE2" w:rsidP="004B7144" w14:paraId="706738ED" w14:textId="25E853A8">
      <w:pPr>
        <w:pStyle w:val="FootnoteText"/>
        <w:spacing w:after="120"/>
      </w:pPr>
      <w:r w:rsidRPr="00150BE2">
        <w:rPr>
          <w:rStyle w:val="FootnoteReference"/>
        </w:rPr>
        <w:footnoteRef/>
      </w:r>
      <w:r w:rsidRPr="00150BE2">
        <w:t xml:space="preserve"> NEP Memorandum Contra, at 8.</w:t>
      </w:r>
    </w:p>
  </w:footnote>
  <w:footnote w:id="42">
    <w:p w:rsidR="00696DC9" w:rsidP="004B7144" w14:paraId="694C4ED4" w14:textId="60353A91">
      <w:pPr>
        <w:pStyle w:val="FootnoteText"/>
        <w:spacing w:after="120"/>
      </w:pPr>
      <w:r>
        <w:rPr>
          <w:rStyle w:val="FootnoteReference"/>
        </w:rPr>
        <w:footnoteRef/>
      </w:r>
      <w:r>
        <w:t xml:space="preserve"> NEP Memorandum Contra</w:t>
      </w:r>
      <w:r w:rsidR="0011634E">
        <w:t>,</w:t>
      </w:r>
      <w:r>
        <w:t xml:space="preserve"> at </w:t>
      </w:r>
      <w:r w:rsidR="00F2325E">
        <w:t>9</w:t>
      </w:r>
      <w:r>
        <w:t>.</w:t>
      </w:r>
    </w:p>
  </w:footnote>
  <w:footnote w:id="43">
    <w:p w:rsidR="004C76B8" w:rsidRPr="00150BE2" w:rsidP="004B7144" w14:paraId="2F790976" w14:textId="0611511C">
      <w:pPr>
        <w:pStyle w:val="FootnoteText"/>
        <w:spacing w:after="120"/>
      </w:pPr>
      <w:r w:rsidRPr="00150BE2">
        <w:rPr>
          <w:rStyle w:val="FootnoteReference"/>
        </w:rPr>
        <w:footnoteRef/>
      </w:r>
      <w:r w:rsidRPr="00150BE2">
        <w:t xml:space="preserve"> </w:t>
      </w:r>
      <w:r w:rsidRPr="00150BE2">
        <w:rPr>
          <w:i/>
          <w:iCs/>
        </w:rPr>
        <w:t>See e.g.</w:t>
      </w:r>
      <w:r w:rsidR="00B50987">
        <w:rPr>
          <w:i/>
          <w:iCs/>
        </w:rPr>
        <w:t>,</w:t>
      </w:r>
      <w:r w:rsidRPr="00150BE2">
        <w:rPr>
          <w:i/>
          <w:iCs/>
        </w:rPr>
        <w:t xml:space="preserve"> </w:t>
      </w:r>
      <w:r w:rsidRPr="00150BE2">
        <w:t xml:space="preserve">NEP Memorandum Contra, at 1, </w:t>
      </w:r>
      <w:r w:rsidR="007C022B">
        <w:t>5</w:t>
      </w:r>
      <w:r w:rsidR="000D4F1D">
        <w:t>-6</w:t>
      </w:r>
      <w:r w:rsidRPr="00150BE2">
        <w:t>.</w:t>
      </w:r>
    </w:p>
  </w:footnote>
  <w:footnote w:id="44">
    <w:p w:rsidR="004C76B8" w:rsidRPr="00150BE2" w:rsidP="004B7144" w14:paraId="516CC3AA" w14:textId="77777777">
      <w:pPr>
        <w:pStyle w:val="FootnoteText"/>
        <w:spacing w:after="120"/>
      </w:pPr>
      <w:r w:rsidRPr="00150BE2">
        <w:rPr>
          <w:rStyle w:val="FootnoteReference"/>
        </w:rPr>
        <w:footnoteRef/>
      </w:r>
      <w:r w:rsidRPr="00150BE2">
        <w:t xml:space="preserve"> 111 Ohio St.3d 384, 2006-Ohio-5853. </w:t>
      </w:r>
    </w:p>
  </w:footnote>
  <w:footnote w:id="45">
    <w:p w:rsidR="004C76B8" w:rsidRPr="00150BE2" w:rsidP="004B7144" w14:paraId="549B3BC1" w14:textId="77777777">
      <w:pPr>
        <w:pStyle w:val="FootnoteText"/>
        <w:spacing w:after="120"/>
      </w:pPr>
      <w:r w:rsidRPr="00150BE2">
        <w:rPr>
          <w:rStyle w:val="FootnoteReference"/>
        </w:rPr>
        <w:footnoteRef/>
      </w:r>
      <w:r w:rsidRPr="00150BE2">
        <w:t xml:space="preserve"> NEP Memorandum Contra, at </w:t>
      </w:r>
      <w:r w:rsidR="00CF2F64">
        <w:t>10</w:t>
      </w:r>
      <w:r w:rsidRPr="00150BE2">
        <w:t>.</w:t>
      </w:r>
    </w:p>
  </w:footnote>
  <w:footnote w:id="46">
    <w:p w:rsidR="00C86ACD" w:rsidRPr="00150BE2" w:rsidP="004B7144" w14:paraId="625043A3" w14:textId="77777777">
      <w:pPr>
        <w:pStyle w:val="FootnoteText"/>
        <w:spacing w:after="120"/>
      </w:pPr>
      <w:r w:rsidRPr="00150BE2">
        <w:rPr>
          <w:rStyle w:val="FootnoteReference"/>
        </w:rPr>
        <w:footnoteRef/>
      </w:r>
      <w:r w:rsidRPr="00150BE2">
        <w:t xml:space="preserve"> 111 Ohio St.3d 384, 2006-Ohio-5853, ¶ 20 (emphasis added).</w:t>
      </w:r>
    </w:p>
  </w:footnote>
  <w:footnote w:id="47">
    <w:p w:rsidR="006F6E6B" w:rsidRPr="006F6E6B" w:rsidP="004B7144" w14:paraId="20854F1A" w14:textId="13C3B6F9">
      <w:pPr>
        <w:pStyle w:val="FootnoteText"/>
        <w:spacing w:after="120"/>
        <w:rPr>
          <w:i/>
          <w:iCs/>
        </w:rPr>
      </w:pPr>
      <w:r>
        <w:rPr>
          <w:rStyle w:val="FootnoteReference"/>
        </w:rPr>
        <w:footnoteRef/>
      </w:r>
      <w:r>
        <w:t xml:space="preserve"> </w:t>
      </w:r>
      <w:r>
        <w:rPr>
          <w:i/>
          <w:iCs/>
        </w:rPr>
        <w:t xml:space="preserve">See </w:t>
      </w:r>
      <w:r w:rsidRPr="001E4E59">
        <w:rPr>
          <w:i/>
          <w:iCs/>
        </w:rPr>
        <w:t>In the Matter of the Commission’s Investigation of XOOM Energy Ohio, LLC’s Compliance with the Ohio Administrative Code and Potential Remedial Actions for Non-Compliance</w:t>
      </w:r>
      <w:r w:rsidRPr="001E4E59">
        <w:t>, Case No. 22-267-GE-COI, Entry (May 20, 2022), ¶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9B3C68"/>
    <w:multiLevelType w:val="hybridMultilevel"/>
    <w:tmpl w:val="53508AFC"/>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0A68D2"/>
    <w:multiLevelType w:val="hybridMultilevel"/>
    <w:tmpl w:val="E0C804E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5E06116"/>
    <w:multiLevelType w:val="hybridMultilevel"/>
    <w:tmpl w:val="A0D46B1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306"/>
    <w:rsid w:val="0000435C"/>
    <w:rsid w:val="00004B5A"/>
    <w:rsid w:val="000067F1"/>
    <w:rsid w:val="000079E6"/>
    <w:rsid w:val="00012154"/>
    <w:rsid w:val="000134AC"/>
    <w:rsid w:val="0003339E"/>
    <w:rsid w:val="00035B93"/>
    <w:rsid w:val="000379AD"/>
    <w:rsid w:val="000503BE"/>
    <w:rsid w:val="0005055C"/>
    <w:rsid w:val="00052DD3"/>
    <w:rsid w:val="00053068"/>
    <w:rsid w:val="000665BF"/>
    <w:rsid w:val="00070418"/>
    <w:rsid w:val="00082870"/>
    <w:rsid w:val="00085CCD"/>
    <w:rsid w:val="00091831"/>
    <w:rsid w:val="00095BA3"/>
    <w:rsid w:val="000A030B"/>
    <w:rsid w:val="000B37E0"/>
    <w:rsid w:val="000B49BF"/>
    <w:rsid w:val="000C730F"/>
    <w:rsid w:val="000D3582"/>
    <w:rsid w:val="000D4F1D"/>
    <w:rsid w:val="000D57E8"/>
    <w:rsid w:val="000E084F"/>
    <w:rsid w:val="000E2547"/>
    <w:rsid w:val="000F6887"/>
    <w:rsid w:val="001049AB"/>
    <w:rsid w:val="00111404"/>
    <w:rsid w:val="00113D88"/>
    <w:rsid w:val="0011634E"/>
    <w:rsid w:val="00124175"/>
    <w:rsid w:val="00132D70"/>
    <w:rsid w:val="00132F1B"/>
    <w:rsid w:val="00136534"/>
    <w:rsid w:val="00137A97"/>
    <w:rsid w:val="00147726"/>
    <w:rsid w:val="00150BE2"/>
    <w:rsid w:val="001661B2"/>
    <w:rsid w:val="00170D4D"/>
    <w:rsid w:val="00174602"/>
    <w:rsid w:val="0018123E"/>
    <w:rsid w:val="0018259B"/>
    <w:rsid w:val="00197B51"/>
    <w:rsid w:val="001A6B84"/>
    <w:rsid w:val="001B13CC"/>
    <w:rsid w:val="001B33FE"/>
    <w:rsid w:val="001C13E9"/>
    <w:rsid w:val="001D0897"/>
    <w:rsid w:val="001D10F6"/>
    <w:rsid w:val="001D2379"/>
    <w:rsid w:val="001D52C7"/>
    <w:rsid w:val="001D70D9"/>
    <w:rsid w:val="001E1205"/>
    <w:rsid w:val="001E4E59"/>
    <w:rsid w:val="001E558A"/>
    <w:rsid w:val="001F08C4"/>
    <w:rsid w:val="001F3B0E"/>
    <w:rsid w:val="001F5AC7"/>
    <w:rsid w:val="001F723E"/>
    <w:rsid w:val="002005CB"/>
    <w:rsid w:val="0020117A"/>
    <w:rsid w:val="00201526"/>
    <w:rsid w:val="0020327F"/>
    <w:rsid w:val="00203728"/>
    <w:rsid w:val="00217354"/>
    <w:rsid w:val="00220C8F"/>
    <w:rsid w:val="00220E1F"/>
    <w:rsid w:val="002218AF"/>
    <w:rsid w:val="00227A97"/>
    <w:rsid w:val="00232A94"/>
    <w:rsid w:val="002354D4"/>
    <w:rsid w:val="00236259"/>
    <w:rsid w:val="00240065"/>
    <w:rsid w:val="00240FC4"/>
    <w:rsid w:val="00254B53"/>
    <w:rsid w:val="00270856"/>
    <w:rsid w:val="00271BAA"/>
    <w:rsid w:val="00272B7E"/>
    <w:rsid w:val="0027470E"/>
    <w:rsid w:val="00280ED4"/>
    <w:rsid w:val="002810A7"/>
    <w:rsid w:val="00291B62"/>
    <w:rsid w:val="00294AE9"/>
    <w:rsid w:val="002968C9"/>
    <w:rsid w:val="002A39D5"/>
    <w:rsid w:val="002A4912"/>
    <w:rsid w:val="002A776E"/>
    <w:rsid w:val="002B1658"/>
    <w:rsid w:val="002B2718"/>
    <w:rsid w:val="002B2BFA"/>
    <w:rsid w:val="002B5B8F"/>
    <w:rsid w:val="002B7A2F"/>
    <w:rsid w:val="002C2339"/>
    <w:rsid w:val="002C2D5F"/>
    <w:rsid w:val="002C374C"/>
    <w:rsid w:val="002C47C7"/>
    <w:rsid w:val="002F740F"/>
    <w:rsid w:val="003003F2"/>
    <w:rsid w:val="00300E0E"/>
    <w:rsid w:val="00305904"/>
    <w:rsid w:val="0031242C"/>
    <w:rsid w:val="003153B2"/>
    <w:rsid w:val="00316BC2"/>
    <w:rsid w:val="00320741"/>
    <w:rsid w:val="00320C4D"/>
    <w:rsid w:val="003330AC"/>
    <w:rsid w:val="003373FC"/>
    <w:rsid w:val="00343E03"/>
    <w:rsid w:val="00346D8E"/>
    <w:rsid w:val="00360A50"/>
    <w:rsid w:val="0036746E"/>
    <w:rsid w:val="00370EF9"/>
    <w:rsid w:val="00382E22"/>
    <w:rsid w:val="00392557"/>
    <w:rsid w:val="00393CBA"/>
    <w:rsid w:val="003A3781"/>
    <w:rsid w:val="003B7CA8"/>
    <w:rsid w:val="003C22FD"/>
    <w:rsid w:val="003D625B"/>
    <w:rsid w:val="003E28F0"/>
    <w:rsid w:val="003E4CFA"/>
    <w:rsid w:val="003F0FBF"/>
    <w:rsid w:val="003F219D"/>
    <w:rsid w:val="003F473F"/>
    <w:rsid w:val="00411104"/>
    <w:rsid w:val="004133D9"/>
    <w:rsid w:val="00414663"/>
    <w:rsid w:val="004211C0"/>
    <w:rsid w:val="00432B89"/>
    <w:rsid w:val="00442220"/>
    <w:rsid w:val="004427AE"/>
    <w:rsid w:val="004466EA"/>
    <w:rsid w:val="00453479"/>
    <w:rsid w:val="00456760"/>
    <w:rsid w:val="004600FA"/>
    <w:rsid w:val="004602C7"/>
    <w:rsid w:val="004603C9"/>
    <w:rsid w:val="00475BFC"/>
    <w:rsid w:val="0047604C"/>
    <w:rsid w:val="00477DE5"/>
    <w:rsid w:val="004854D8"/>
    <w:rsid w:val="004875E4"/>
    <w:rsid w:val="004A0113"/>
    <w:rsid w:val="004A4A45"/>
    <w:rsid w:val="004A68EF"/>
    <w:rsid w:val="004A6C68"/>
    <w:rsid w:val="004B5E17"/>
    <w:rsid w:val="004B7144"/>
    <w:rsid w:val="004B74A7"/>
    <w:rsid w:val="004C76B8"/>
    <w:rsid w:val="004D06F2"/>
    <w:rsid w:val="004D0A18"/>
    <w:rsid w:val="004E7895"/>
    <w:rsid w:val="004F0F2F"/>
    <w:rsid w:val="004F36F4"/>
    <w:rsid w:val="004F5837"/>
    <w:rsid w:val="004F59C9"/>
    <w:rsid w:val="004F5AE6"/>
    <w:rsid w:val="0051520D"/>
    <w:rsid w:val="005243EA"/>
    <w:rsid w:val="0052535D"/>
    <w:rsid w:val="0053639A"/>
    <w:rsid w:val="0054349C"/>
    <w:rsid w:val="005455F5"/>
    <w:rsid w:val="00552FA4"/>
    <w:rsid w:val="00561A4B"/>
    <w:rsid w:val="005627D9"/>
    <w:rsid w:val="00563C49"/>
    <w:rsid w:val="005640BD"/>
    <w:rsid w:val="00565913"/>
    <w:rsid w:val="00566C97"/>
    <w:rsid w:val="005704DF"/>
    <w:rsid w:val="005731F1"/>
    <w:rsid w:val="00575A4D"/>
    <w:rsid w:val="00583043"/>
    <w:rsid w:val="00583256"/>
    <w:rsid w:val="005841AA"/>
    <w:rsid w:val="00586DE9"/>
    <w:rsid w:val="0059527A"/>
    <w:rsid w:val="0059721C"/>
    <w:rsid w:val="00597884"/>
    <w:rsid w:val="005A6744"/>
    <w:rsid w:val="005A7AA2"/>
    <w:rsid w:val="005B0896"/>
    <w:rsid w:val="005C3516"/>
    <w:rsid w:val="005C5B26"/>
    <w:rsid w:val="005D5632"/>
    <w:rsid w:val="005D5D25"/>
    <w:rsid w:val="005D6A60"/>
    <w:rsid w:val="005D6B05"/>
    <w:rsid w:val="005E4CB1"/>
    <w:rsid w:val="005F2B6F"/>
    <w:rsid w:val="005F5616"/>
    <w:rsid w:val="005F740E"/>
    <w:rsid w:val="00610A33"/>
    <w:rsid w:val="00615060"/>
    <w:rsid w:val="0062108F"/>
    <w:rsid w:val="00641070"/>
    <w:rsid w:val="00644899"/>
    <w:rsid w:val="00646528"/>
    <w:rsid w:val="00651F16"/>
    <w:rsid w:val="006602DF"/>
    <w:rsid w:val="00685C49"/>
    <w:rsid w:val="00686C9F"/>
    <w:rsid w:val="00696DC9"/>
    <w:rsid w:val="006A07B6"/>
    <w:rsid w:val="006A16A5"/>
    <w:rsid w:val="006A5ED2"/>
    <w:rsid w:val="006A7D12"/>
    <w:rsid w:val="006A7F5D"/>
    <w:rsid w:val="006B6A97"/>
    <w:rsid w:val="006D1DB7"/>
    <w:rsid w:val="006D71B6"/>
    <w:rsid w:val="006E384A"/>
    <w:rsid w:val="006F3A5F"/>
    <w:rsid w:val="006F5302"/>
    <w:rsid w:val="006F6E6B"/>
    <w:rsid w:val="0070051D"/>
    <w:rsid w:val="0072202B"/>
    <w:rsid w:val="00730C0C"/>
    <w:rsid w:val="00731474"/>
    <w:rsid w:val="00732426"/>
    <w:rsid w:val="00737178"/>
    <w:rsid w:val="0074104C"/>
    <w:rsid w:val="00742403"/>
    <w:rsid w:val="00747913"/>
    <w:rsid w:val="00752F63"/>
    <w:rsid w:val="00753D09"/>
    <w:rsid w:val="00754314"/>
    <w:rsid w:val="00754784"/>
    <w:rsid w:val="007567D1"/>
    <w:rsid w:val="00760DE9"/>
    <w:rsid w:val="007641F7"/>
    <w:rsid w:val="00765338"/>
    <w:rsid w:val="00766F31"/>
    <w:rsid w:val="00766F90"/>
    <w:rsid w:val="007670B6"/>
    <w:rsid w:val="007676F9"/>
    <w:rsid w:val="0078043D"/>
    <w:rsid w:val="0078208A"/>
    <w:rsid w:val="0078270D"/>
    <w:rsid w:val="00782E53"/>
    <w:rsid w:val="00783401"/>
    <w:rsid w:val="00784A74"/>
    <w:rsid w:val="007A3253"/>
    <w:rsid w:val="007B0C92"/>
    <w:rsid w:val="007B27ED"/>
    <w:rsid w:val="007B377A"/>
    <w:rsid w:val="007B6AAF"/>
    <w:rsid w:val="007C0065"/>
    <w:rsid w:val="007C022B"/>
    <w:rsid w:val="007C6052"/>
    <w:rsid w:val="007C6EF7"/>
    <w:rsid w:val="007D75D4"/>
    <w:rsid w:val="007E6078"/>
    <w:rsid w:val="007E64D9"/>
    <w:rsid w:val="007E7BE3"/>
    <w:rsid w:val="00801EFF"/>
    <w:rsid w:val="00806856"/>
    <w:rsid w:val="008069D7"/>
    <w:rsid w:val="00806A4D"/>
    <w:rsid w:val="00816087"/>
    <w:rsid w:val="0081797A"/>
    <w:rsid w:val="00826275"/>
    <w:rsid w:val="00833587"/>
    <w:rsid w:val="00850F2C"/>
    <w:rsid w:val="00854129"/>
    <w:rsid w:val="00854AFA"/>
    <w:rsid w:val="00857B83"/>
    <w:rsid w:val="00866E61"/>
    <w:rsid w:val="00866F48"/>
    <w:rsid w:val="00872A27"/>
    <w:rsid w:val="00884535"/>
    <w:rsid w:val="0088606B"/>
    <w:rsid w:val="00892F51"/>
    <w:rsid w:val="008A6D06"/>
    <w:rsid w:val="008B370A"/>
    <w:rsid w:val="008B4350"/>
    <w:rsid w:val="008B4F63"/>
    <w:rsid w:val="008B6A97"/>
    <w:rsid w:val="008B6C73"/>
    <w:rsid w:val="008D3A4F"/>
    <w:rsid w:val="008E0F96"/>
    <w:rsid w:val="008E11BE"/>
    <w:rsid w:val="008E201B"/>
    <w:rsid w:val="008F01F8"/>
    <w:rsid w:val="008F4272"/>
    <w:rsid w:val="00904ECE"/>
    <w:rsid w:val="00905CCB"/>
    <w:rsid w:val="009118C4"/>
    <w:rsid w:val="00911BB5"/>
    <w:rsid w:val="009143A0"/>
    <w:rsid w:val="00920CC8"/>
    <w:rsid w:val="00931B08"/>
    <w:rsid w:val="00933718"/>
    <w:rsid w:val="00934D6D"/>
    <w:rsid w:val="009374B5"/>
    <w:rsid w:val="00940AF1"/>
    <w:rsid w:val="0094131E"/>
    <w:rsid w:val="00946D9E"/>
    <w:rsid w:val="00954D3E"/>
    <w:rsid w:val="009712EF"/>
    <w:rsid w:val="00973CF7"/>
    <w:rsid w:val="00974508"/>
    <w:rsid w:val="00975A98"/>
    <w:rsid w:val="00980C1E"/>
    <w:rsid w:val="009841C3"/>
    <w:rsid w:val="009878D9"/>
    <w:rsid w:val="009979F5"/>
    <w:rsid w:val="009A7BC2"/>
    <w:rsid w:val="009B6D8B"/>
    <w:rsid w:val="009C3A6A"/>
    <w:rsid w:val="009C76D5"/>
    <w:rsid w:val="009C7DF3"/>
    <w:rsid w:val="009F0AE1"/>
    <w:rsid w:val="009F4402"/>
    <w:rsid w:val="009F578D"/>
    <w:rsid w:val="00A01FB9"/>
    <w:rsid w:val="00A02B1C"/>
    <w:rsid w:val="00A044B5"/>
    <w:rsid w:val="00A06136"/>
    <w:rsid w:val="00A07614"/>
    <w:rsid w:val="00A079CC"/>
    <w:rsid w:val="00A16A71"/>
    <w:rsid w:val="00A175D1"/>
    <w:rsid w:val="00A20026"/>
    <w:rsid w:val="00A220C0"/>
    <w:rsid w:val="00A2511A"/>
    <w:rsid w:val="00A30D87"/>
    <w:rsid w:val="00A31C5D"/>
    <w:rsid w:val="00A3320A"/>
    <w:rsid w:val="00A33F21"/>
    <w:rsid w:val="00A46A9A"/>
    <w:rsid w:val="00A501E8"/>
    <w:rsid w:val="00A52540"/>
    <w:rsid w:val="00A53E20"/>
    <w:rsid w:val="00A54671"/>
    <w:rsid w:val="00A549D7"/>
    <w:rsid w:val="00A54A0A"/>
    <w:rsid w:val="00A5514C"/>
    <w:rsid w:val="00A55D04"/>
    <w:rsid w:val="00A63AC9"/>
    <w:rsid w:val="00A67EE0"/>
    <w:rsid w:val="00A9601D"/>
    <w:rsid w:val="00AA6B5D"/>
    <w:rsid w:val="00AB537D"/>
    <w:rsid w:val="00AB6756"/>
    <w:rsid w:val="00AC102B"/>
    <w:rsid w:val="00AD0401"/>
    <w:rsid w:val="00AD135E"/>
    <w:rsid w:val="00AD69AD"/>
    <w:rsid w:val="00AD726C"/>
    <w:rsid w:val="00AE177A"/>
    <w:rsid w:val="00AE437E"/>
    <w:rsid w:val="00AE4906"/>
    <w:rsid w:val="00B04B13"/>
    <w:rsid w:val="00B0586E"/>
    <w:rsid w:val="00B1056A"/>
    <w:rsid w:val="00B12B2C"/>
    <w:rsid w:val="00B12E1B"/>
    <w:rsid w:val="00B228CE"/>
    <w:rsid w:val="00B2492F"/>
    <w:rsid w:val="00B24E29"/>
    <w:rsid w:val="00B269CF"/>
    <w:rsid w:val="00B30FE5"/>
    <w:rsid w:val="00B36FC9"/>
    <w:rsid w:val="00B3719F"/>
    <w:rsid w:val="00B42854"/>
    <w:rsid w:val="00B5081F"/>
    <w:rsid w:val="00B50987"/>
    <w:rsid w:val="00B52A7F"/>
    <w:rsid w:val="00B547F1"/>
    <w:rsid w:val="00B62206"/>
    <w:rsid w:val="00B8665E"/>
    <w:rsid w:val="00B87518"/>
    <w:rsid w:val="00B94D36"/>
    <w:rsid w:val="00B94F99"/>
    <w:rsid w:val="00BA0590"/>
    <w:rsid w:val="00BA25AE"/>
    <w:rsid w:val="00BA335C"/>
    <w:rsid w:val="00BA4E04"/>
    <w:rsid w:val="00BB2CF3"/>
    <w:rsid w:val="00BB359A"/>
    <w:rsid w:val="00BC42C6"/>
    <w:rsid w:val="00BC6222"/>
    <w:rsid w:val="00BC7AB9"/>
    <w:rsid w:val="00BE28C9"/>
    <w:rsid w:val="00BE3807"/>
    <w:rsid w:val="00BE789C"/>
    <w:rsid w:val="00C00EB8"/>
    <w:rsid w:val="00C01A9C"/>
    <w:rsid w:val="00C03CC7"/>
    <w:rsid w:val="00C05E68"/>
    <w:rsid w:val="00C06DD8"/>
    <w:rsid w:val="00C15096"/>
    <w:rsid w:val="00C168B2"/>
    <w:rsid w:val="00C16E1B"/>
    <w:rsid w:val="00C24148"/>
    <w:rsid w:val="00C242DC"/>
    <w:rsid w:val="00C24B1A"/>
    <w:rsid w:val="00C3548A"/>
    <w:rsid w:val="00C44C3C"/>
    <w:rsid w:val="00C51E3F"/>
    <w:rsid w:val="00C86ACD"/>
    <w:rsid w:val="00C910AC"/>
    <w:rsid w:val="00CA6A3D"/>
    <w:rsid w:val="00CA6AB8"/>
    <w:rsid w:val="00CB35B4"/>
    <w:rsid w:val="00CB6155"/>
    <w:rsid w:val="00CC072E"/>
    <w:rsid w:val="00CC2A6F"/>
    <w:rsid w:val="00CC2F98"/>
    <w:rsid w:val="00CC31DF"/>
    <w:rsid w:val="00CC5721"/>
    <w:rsid w:val="00CC799F"/>
    <w:rsid w:val="00CE5ADB"/>
    <w:rsid w:val="00CE66BA"/>
    <w:rsid w:val="00CF2F64"/>
    <w:rsid w:val="00CF4760"/>
    <w:rsid w:val="00D03562"/>
    <w:rsid w:val="00D04576"/>
    <w:rsid w:val="00D07BE5"/>
    <w:rsid w:val="00D13E1B"/>
    <w:rsid w:val="00D15BBF"/>
    <w:rsid w:val="00D22AD8"/>
    <w:rsid w:val="00D24E4D"/>
    <w:rsid w:val="00D30688"/>
    <w:rsid w:val="00D30EE0"/>
    <w:rsid w:val="00D31438"/>
    <w:rsid w:val="00D37B47"/>
    <w:rsid w:val="00D40393"/>
    <w:rsid w:val="00D475BC"/>
    <w:rsid w:val="00D55177"/>
    <w:rsid w:val="00D561F6"/>
    <w:rsid w:val="00D57504"/>
    <w:rsid w:val="00D74BAB"/>
    <w:rsid w:val="00D84C51"/>
    <w:rsid w:val="00D87487"/>
    <w:rsid w:val="00D92BE0"/>
    <w:rsid w:val="00D93165"/>
    <w:rsid w:val="00D966C9"/>
    <w:rsid w:val="00D967F6"/>
    <w:rsid w:val="00D96E4D"/>
    <w:rsid w:val="00DA0D11"/>
    <w:rsid w:val="00DA30F0"/>
    <w:rsid w:val="00DB43D3"/>
    <w:rsid w:val="00DB5372"/>
    <w:rsid w:val="00DC223B"/>
    <w:rsid w:val="00DC35B3"/>
    <w:rsid w:val="00DD57F2"/>
    <w:rsid w:val="00DE3BDA"/>
    <w:rsid w:val="00E03BEA"/>
    <w:rsid w:val="00E044AC"/>
    <w:rsid w:val="00E044BD"/>
    <w:rsid w:val="00E06BD7"/>
    <w:rsid w:val="00E0742E"/>
    <w:rsid w:val="00E13A29"/>
    <w:rsid w:val="00E14D84"/>
    <w:rsid w:val="00E17461"/>
    <w:rsid w:val="00E20F1F"/>
    <w:rsid w:val="00E4322E"/>
    <w:rsid w:val="00E441F5"/>
    <w:rsid w:val="00E504E1"/>
    <w:rsid w:val="00E53C68"/>
    <w:rsid w:val="00E565F3"/>
    <w:rsid w:val="00E737FD"/>
    <w:rsid w:val="00E8073B"/>
    <w:rsid w:val="00E82ED4"/>
    <w:rsid w:val="00E900A4"/>
    <w:rsid w:val="00E90D2E"/>
    <w:rsid w:val="00E92DCC"/>
    <w:rsid w:val="00EB1ACD"/>
    <w:rsid w:val="00EC2025"/>
    <w:rsid w:val="00EC25DB"/>
    <w:rsid w:val="00EC329E"/>
    <w:rsid w:val="00EC34E3"/>
    <w:rsid w:val="00EC6A92"/>
    <w:rsid w:val="00ED0CFA"/>
    <w:rsid w:val="00ED246F"/>
    <w:rsid w:val="00ED505F"/>
    <w:rsid w:val="00ED6D7B"/>
    <w:rsid w:val="00ED6ED2"/>
    <w:rsid w:val="00ED7ED0"/>
    <w:rsid w:val="00EE35BB"/>
    <w:rsid w:val="00EF3AD6"/>
    <w:rsid w:val="00F017B0"/>
    <w:rsid w:val="00F02D23"/>
    <w:rsid w:val="00F06A04"/>
    <w:rsid w:val="00F11239"/>
    <w:rsid w:val="00F1341B"/>
    <w:rsid w:val="00F21E15"/>
    <w:rsid w:val="00F22A00"/>
    <w:rsid w:val="00F2325E"/>
    <w:rsid w:val="00F27265"/>
    <w:rsid w:val="00F27D4F"/>
    <w:rsid w:val="00F34FC5"/>
    <w:rsid w:val="00F40C28"/>
    <w:rsid w:val="00F5126E"/>
    <w:rsid w:val="00F5282B"/>
    <w:rsid w:val="00F5301F"/>
    <w:rsid w:val="00F64D4A"/>
    <w:rsid w:val="00F661B9"/>
    <w:rsid w:val="00F77EB4"/>
    <w:rsid w:val="00F8000D"/>
    <w:rsid w:val="00F86BD5"/>
    <w:rsid w:val="00F97AB3"/>
    <w:rsid w:val="00FA2C85"/>
    <w:rsid w:val="00FB0644"/>
    <w:rsid w:val="00FC7A04"/>
    <w:rsid w:val="00FD12B3"/>
    <w:rsid w:val="00FD2445"/>
    <w:rsid w:val="00FD78A7"/>
    <w:rsid w:val="00FD7C27"/>
    <w:rsid w:val="00FF186A"/>
    <w:rsid w:val="00FF7195"/>
    <w:rsid w:val="00FF755E"/>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D0"/>
    <w:rPr>
      <w:sz w:val="24"/>
    </w:rPr>
  </w:style>
  <w:style w:type="paragraph" w:styleId="Heading1">
    <w:name w:val="heading 1"/>
    <w:basedOn w:val="Normal"/>
    <w:next w:val="Normal"/>
    <w:qFormat/>
    <w:rsid w:val="00575A4D"/>
    <w:pPr>
      <w:keepNext/>
      <w:spacing w:after="240"/>
      <w:ind w:left="720" w:hanging="720"/>
      <w:outlineLvl w:val="0"/>
    </w:pPr>
    <w:rPr>
      <w:b/>
      <w:szCs w:val="24"/>
    </w:rPr>
  </w:style>
  <w:style w:type="paragraph" w:styleId="Heading2">
    <w:name w:val="heading 2"/>
    <w:basedOn w:val="Normal"/>
    <w:next w:val="Normal"/>
    <w:qFormat/>
    <w:rsid w:val="00B3719F"/>
    <w:pPr>
      <w:keepNext/>
      <w:tabs>
        <w:tab w:val="left" w:pos="4320"/>
      </w:tabs>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CommentTextChar">
    <w:name w:val="Comment Text Char"/>
    <w:link w:val="CommentText"/>
    <w:uiPriority w:val="99"/>
    <w:semiHidden/>
    <w:rsid w:val="001D10F6"/>
    <w:rPr>
      <w:sz w:val="24"/>
      <w:szCs w:val="24"/>
    </w:rPr>
  </w:style>
  <w:style w:type="character" w:customStyle="1" w:styleId="FooterChar">
    <w:name w:val="Footer Char"/>
    <w:basedOn w:val="DefaultParagraphFont"/>
    <w:link w:val="Footer"/>
    <w:uiPriority w:val="99"/>
    <w:rsid w:val="00BE789C"/>
  </w:style>
  <w:style w:type="paragraph" w:styleId="TOC1">
    <w:name w:val="toc 1"/>
    <w:basedOn w:val="Normal"/>
    <w:next w:val="Normal"/>
    <w:autoRedefine/>
    <w:uiPriority w:val="39"/>
    <w:unhideWhenUsed/>
    <w:rsid w:val="003153B2"/>
    <w:pPr>
      <w:tabs>
        <w:tab w:val="decimal" w:leader="dot" w:pos="9360"/>
      </w:tabs>
      <w:spacing w:after="240"/>
      <w:ind w:left="720" w:hanging="720"/>
    </w:pPr>
    <w:rPr>
      <w:rFonts w:eastAsiaTheme="minorHAnsi"/>
      <w:szCs w:val="24"/>
    </w:rPr>
  </w:style>
  <w:style w:type="paragraph" w:styleId="TOC2">
    <w:name w:val="toc 2"/>
    <w:basedOn w:val="Normal"/>
    <w:next w:val="Normal"/>
    <w:autoRedefine/>
    <w:uiPriority w:val="39"/>
    <w:unhideWhenUsed/>
    <w:rsid w:val="003153B2"/>
    <w:pPr>
      <w:tabs>
        <w:tab w:val="decimal" w:leader="dot" w:pos="9360"/>
      </w:tabs>
      <w:spacing w:after="240"/>
      <w:ind w:left="1440" w:hanging="720"/>
    </w:pPr>
    <w:rPr>
      <w:rFonts w:eastAsiaTheme="minorHAnsi"/>
      <w:szCs w:val="24"/>
    </w:rPr>
  </w:style>
  <w:style w:type="paragraph" w:styleId="TOC3">
    <w:name w:val="toc 3"/>
    <w:basedOn w:val="Normal"/>
    <w:next w:val="Normal"/>
    <w:autoRedefine/>
    <w:uiPriority w:val="39"/>
    <w:unhideWhenUsed/>
    <w:rsid w:val="003153B2"/>
    <w:pPr>
      <w:tabs>
        <w:tab w:val="decimal" w:leader="dot" w:pos="9360"/>
      </w:tabs>
      <w:spacing w:after="240"/>
      <w:ind w:left="2160" w:hanging="720"/>
    </w:pPr>
    <w:rPr>
      <w:rFonts w:eastAsiaTheme="minorHAnsi"/>
      <w:szCs w:val="24"/>
    </w:rPr>
  </w:style>
  <w:style w:type="paragraph" w:styleId="Revision">
    <w:name w:val="Revision"/>
    <w:hidden/>
    <w:uiPriority w:val="99"/>
    <w:semiHidden/>
    <w:rsid w:val="000704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GO.gov" TargetMode="External" /><Relationship Id="rId11" Type="http://schemas.openxmlformats.org/officeDocument/2006/relationships/hyperlink" Target="mailto:mjsettineri@vorys.com" TargetMode="External" /><Relationship Id="rId12" Type="http://schemas.openxmlformats.org/officeDocument/2006/relationships/hyperlink" Target="mailto:aasanyal@vorys.com" TargetMode="External" /><Relationship Id="rId13" Type="http://schemas.openxmlformats.org/officeDocument/2006/relationships/hyperlink" Target="mailto:apguran@vorys.com" TargetMode="External" /><Relationship Id="rId14" Type="http://schemas.openxmlformats.org/officeDocument/2006/relationships/hyperlink" Target="mailto:jesse.davis@puco.ohio.gov" TargetMode="External" /><Relationship Id="rId15" Type="http://schemas.openxmlformats.org/officeDocument/2006/relationships/hyperlink" Target="mailto:david.hicks@puco.ohio.gov"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talexander@beneschlaw.com" TargetMode="External" /><Relationship Id="rId19" Type="http://schemas.openxmlformats.org/officeDocument/2006/relationships/hyperlink" Target="mailto:mkeaney@beneschlaw.com" TargetMode="External" /><Relationship Id="rId2" Type="http://schemas.openxmlformats.org/officeDocument/2006/relationships/settings" Target="settings.xml" /><Relationship Id="rId20" Type="http://schemas.openxmlformats.org/officeDocument/2006/relationships/hyperlink" Target="mailto:khehmeyer@beneschlaw.com" TargetMode="Externa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E00E-ECE7-E04B-B685-C44B9273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2022-06-02T20:10:50Z</dcterms:created>
  <dcterms:modified xsi:type="dcterms:W3CDTF">2022-06-02T20:10:50Z</dcterms:modified>
</cp:coreProperties>
</file>