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CE014C">
        <w:rPr>
          <w:rFonts w:ascii="Times New Roman" w:eastAsia="Courier New" w:hAnsi="Times New Roman" w:cs="Times New Roman"/>
          <w:b/>
          <w:bCs/>
          <w:sz w:val="24"/>
          <w:szCs w:val="24"/>
        </w:rPr>
        <w:t>BEFORE</w:t>
      </w: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t>THE PUBLIC UTILITIES COMMISSION OF OHIO</w:t>
      </w: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068"/>
        <w:gridCol w:w="360"/>
        <w:gridCol w:w="4664"/>
      </w:tblGrid>
      <w:tr w:rsidTr="006E437D">
        <w:tblPrEx>
          <w:tblW w:w="9092" w:type="dxa"/>
          <w:tblInd w:w="0" w:type="dxa"/>
          <w:tblCellMar>
            <w:top w:w="0" w:type="dxa"/>
            <w:left w:w="108" w:type="dxa"/>
            <w:bottom w:w="0" w:type="dxa"/>
            <w:right w:w="108" w:type="dxa"/>
          </w:tblCellMar>
          <w:tblLook w:val="01E0"/>
        </w:tblPrEx>
        <w:trPr>
          <w:trHeight w:val="807"/>
        </w:trPr>
        <w:tc>
          <w:tcPr>
            <w:tcW w:w="4068" w:type="dxa"/>
            <w:shd w:val="clear" w:color="auto" w:fill="auto"/>
          </w:tcPr>
          <w:p w:rsidR="00127815" w:rsidRPr="00CE014C" w:rsidP="006E437D">
            <w:pPr>
              <w:spacing w:after="0" w:line="240" w:lineRule="auto"/>
              <w:rPr>
                <w:rStyle w:val="DefaultParagraphFont"/>
                <w:rFonts w:ascii="Times New Roman" w:eastAsia="Times New Roman"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In the Matter of the Application of Ohio Power Company to Update Its gridSMART Rider.</w:t>
            </w:r>
          </w:p>
          <w:p w:rsidR="00127815" w:rsidRPr="00CE014C" w:rsidP="006E437D">
            <w:pPr>
              <w:spacing w:after="0" w:line="240" w:lineRule="auto"/>
              <w:rPr>
                <w:rStyle w:val="DefaultParagraphFont"/>
                <w:rFonts w:ascii="Times New Roman" w:eastAsia="Times New Roman" w:hAnsi="Times New Roman" w:cs="Times New Roman"/>
                <w:sz w:val="24"/>
                <w:szCs w:val="24"/>
                <w:lang w:val="en-US" w:eastAsia="en-US" w:bidi="ar-SA"/>
              </w:rPr>
            </w:pPr>
          </w:p>
          <w:p w:rsidR="00127815" w:rsidRPr="00CE014C" w:rsidP="006E437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shd w:val="clear" w:color="auto" w:fill="auto"/>
          </w:tcPr>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tc>
        <w:tc>
          <w:tcPr>
            <w:tcW w:w="4664" w:type="dxa"/>
            <w:shd w:val="clear" w:color="auto" w:fill="auto"/>
          </w:tcPr>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27815" w:rsidRPr="00CE014C" w:rsidP="006E437D">
            <w:pPr>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Case No. 15-240-EL-RDR</w:t>
            </w:r>
          </w:p>
        </w:tc>
      </w:tr>
      <w:tr w:rsidTr="006E437D">
        <w:tblPrEx>
          <w:tblW w:w="9092" w:type="dxa"/>
          <w:tblInd w:w="0" w:type="dxa"/>
          <w:tblCellMar>
            <w:top w:w="0" w:type="dxa"/>
            <w:left w:w="108" w:type="dxa"/>
            <w:bottom w:w="0" w:type="dxa"/>
            <w:right w:w="108" w:type="dxa"/>
          </w:tblCellMar>
          <w:tblLook w:val="01E0"/>
        </w:tblPrEx>
        <w:trPr>
          <w:trHeight w:val="807"/>
        </w:trPr>
        <w:tc>
          <w:tcPr>
            <w:tcW w:w="4068" w:type="dxa"/>
            <w:shd w:val="clear" w:color="auto" w:fill="auto"/>
          </w:tcPr>
          <w:p w:rsidR="00127815" w:rsidRPr="00CE014C" w:rsidP="006E437D">
            <w:pPr>
              <w:spacing w:after="0" w:line="240" w:lineRule="auto"/>
              <w:rPr>
                <w:rStyle w:val="DefaultParagraphFont"/>
                <w:rFonts w:ascii="Times New Roman" w:eastAsia="Times New Roman"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In the Matter of the Application of Ohio Power Company to Update Its gridSMART Rider.</w:t>
            </w:r>
          </w:p>
        </w:tc>
        <w:tc>
          <w:tcPr>
            <w:tcW w:w="360" w:type="dxa"/>
            <w:shd w:val="clear" w:color="auto" w:fill="auto"/>
          </w:tcPr>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tc>
        <w:tc>
          <w:tcPr>
            <w:tcW w:w="4664" w:type="dxa"/>
            <w:shd w:val="clear" w:color="auto" w:fill="auto"/>
          </w:tcPr>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27815" w:rsidRPr="00CE014C" w:rsidP="006E437D">
            <w:pPr>
              <w:spacing w:after="0" w:line="240" w:lineRule="auto"/>
              <w:rPr>
                <w:rStyle w:val="DefaultParagraphFont"/>
                <w:rFonts w:ascii="Times New Roman" w:eastAsia="Times New Roman" w:hAnsi="Times New Roman" w:cs="Times New Roman"/>
                <w:i/>
                <w:sz w:val="24"/>
                <w:szCs w:val="24"/>
                <w:lang w:val="en-US" w:eastAsia="en-US" w:bidi="ar-SA"/>
              </w:rPr>
            </w:pPr>
            <w:r w:rsidRPr="00CE014C">
              <w:rPr>
                <w:rFonts w:ascii="Times New Roman" w:eastAsia="Times New Roman" w:hAnsi="Times New Roman" w:cs="Times New Roman"/>
                <w:sz w:val="24"/>
                <w:szCs w:val="24"/>
                <w:lang w:val="en-US" w:eastAsia="en-US" w:bidi="ar-SA"/>
              </w:rPr>
              <w:t>Case No. 15-1513-EL-RDR</w:t>
            </w:r>
          </w:p>
          <w:p w:rsidR="00127815"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CE014C">
        <w:rPr>
          <w:rFonts w:ascii="Times New Roman" w:eastAsia="Courier New" w:hAnsi="Times New Roman" w:cs="Times New Roman"/>
          <w:sz w:val="24"/>
          <w:szCs w:val="24"/>
        </w:rPr>
        <w:tab/>
      </w:r>
    </w:p>
    <w:p w:rsidR="00127815" w:rsidRPr="00CE014C" w:rsidP="00127815">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127815" w:rsidRPr="00CE014C" w:rsidP="00127815">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 xml:space="preserve">COMMENTS </w:t>
      </w:r>
    </w:p>
    <w:p w:rsidR="00127815" w:rsidRPr="00CE014C" w:rsidP="00127815">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BY</w:t>
      </w:r>
    </w:p>
    <w:p w:rsidR="00127815" w:rsidRPr="00CE014C" w:rsidP="00127815">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THE OFFICE OF THE OHIO CONSUMERS’ COUNSEL</w:t>
      </w:r>
    </w:p>
    <w:p w:rsidR="00127815" w:rsidRPr="00CE014C" w:rsidP="00127815">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127815" w:rsidRPr="00CE014C" w:rsidP="00127815">
      <w:pPr>
        <w:tabs>
          <w:tab w:val="left" w:pos="4320"/>
        </w:tabs>
        <w:spacing w:after="0" w:line="240" w:lineRule="auto"/>
        <w:rPr>
          <w:rFonts w:ascii="Times New Roman" w:eastAsia="Times New Roman" w:hAnsi="Times New Roman" w:cs="Times New Roman"/>
          <w:sz w:val="24"/>
          <w:szCs w:val="24"/>
        </w:rPr>
      </w:pPr>
    </w:p>
    <w:p w:rsidR="00127815" w:rsidRPr="00CE014C">
      <w:pPr>
        <w:rPr>
          <w:rFonts w:ascii="Times New Roman" w:eastAsia="Courier New" w:hAnsi="Times New Roman" w:cs="Times New Roman"/>
          <w:b/>
          <w:bCs/>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p>
    <w:p w:rsidR="00127815" w:rsidRPr="00CE014C" w:rsidP="00127815">
      <w:pPr>
        <w:tabs>
          <w:tab w:val="left" w:pos="2436"/>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BRUCE WESTON</w:t>
      </w:r>
      <w:r w:rsidRPr="00CE014C">
        <w:rPr>
          <w:rFonts w:ascii="Times New Roman" w:eastAsia="Times New Roman" w:hAnsi="Times New Roman" w:cs="Times New Roman"/>
          <w:sz w:val="24"/>
          <w:szCs w:val="24"/>
        </w:rPr>
        <w:tab/>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OHIO CONSUMERS’ COUNSEL</w:t>
      </w:r>
    </w:p>
    <w:p w:rsidR="00127815" w:rsidRPr="00CE014C" w:rsidP="00127815">
      <w:pPr>
        <w:tabs>
          <w:tab w:val="left" w:pos="4320"/>
        </w:tabs>
        <w:spacing w:after="0" w:line="240" w:lineRule="auto"/>
        <w:rPr>
          <w:rFonts w:ascii="Times New Roman" w:eastAsia="Times New Roman" w:hAnsi="Times New Roman" w:cs="Times New Roman"/>
          <w:sz w:val="24"/>
          <w:szCs w:val="24"/>
        </w:rPr>
      </w:pP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 xml:space="preserve">Jodi Bair, </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Counsel of Record for 15-240-EL-RDR</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(Reg. No. 0062921)</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Terry L. Etter,</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Counsel of Record for 15-1513-EL-RDR</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(Reg. No. 0067445)</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Assistant Consumers’ Counsel</w:t>
      </w:r>
    </w:p>
    <w:p w:rsidR="00127815" w:rsidRPr="00CE014C" w:rsidP="00127815">
      <w:pPr>
        <w:tabs>
          <w:tab w:val="left" w:pos="4320"/>
        </w:tabs>
        <w:spacing w:after="0" w:line="240" w:lineRule="auto"/>
        <w:ind w:left="4320"/>
        <w:rPr>
          <w:rFonts w:ascii="Times New Roman" w:eastAsia="Times New Roman" w:hAnsi="Times New Roman" w:cs="Times New Roman"/>
          <w:sz w:val="24"/>
          <w:szCs w:val="24"/>
        </w:rPr>
      </w:pPr>
    </w:p>
    <w:p w:rsidR="00127815" w:rsidRPr="00CE014C" w:rsidP="00127815">
      <w:pPr>
        <w:spacing w:after="0" w:line="240" w:lineRule="auto"/>
        <w:ind w:left="4320"/>
        <w:rPr>
          <w:rFonts w:ascii="Times New Roman" w:hAnsi="Times New Roman" w:cs="Times New Roman"/>
          <w:b/>
          <w:sz w:val="24"/>
          <w:szCs w:val="24"/>
        </w:rPr>
      </w:pPr>
      <w:r w:rsidRPr="00CE014C">
        <w:rPr>
          <w:rFonts w:ascii="Times New Roman" w:hAnsi="Times New Roman" w:cs="Times New Roman"/>
          <w:b/>
          <w:sz w:val="24"/>
          <w:szCs w:val="24"/>
        </w:rPr>
        <w:t>Office of the Ohio Consumers’ Counsel</w:t>
      </w:r>
    </w:p>
    <w:p w:rsidR="00127815" w:rsidRPr="00CE014C" w:rsidP="00127815">
      <w:pPr>
        <w:spacing w:after="0" w:line="240" w:lineRule="auto"/>
        <w:ind w:left="4320"/>
        <w:rPr>
          <w:rFonts w:ascii="Times New Roman" w:hAnsi="Times New Roman" w:cs="Times New Roman"/>
          <w:sz w:val="24"/>
          <w:szCs w:val="24"/>
        </w:rPr>
      </w:pPr>
      <w:r w:rsidRPr="00CE014C">
        <w:rPr>
          <w:rFonts w:ascii="Times New Roman" w:hAnsi="Times New Roman" w:cs="Times New Roman"/>
          <w:sz w:val="24"/>
          <w:szCs w:val="24"/>
        </w:rPr>
        <w:t>10 West Broad Street, Suite 1800</w:t>
      </w:r>
    </w:p>
    <w:p w:rsidR="00127815" w:rsidRPr="00CE014C" w:rsidP="00127815">
      <w:pPr>
        <w:spacing w:after="0" w:line="240" w:lineRule="auto"/>
        <w:ind w:left="4320"/>
        <w:rPr>
          <w:rFonts w:ascii="Times New Roman" w:hAnsi="Times New Roman" w:cs="Times New Roman"/>
          <w:sz w:val="24"/>
          <w:szCs w:val="24"/>
        </w:rPr>
      </w:pPr>
      <w:r w:rsidRPr="00CE014C">
        <w:rPr>
          <w:rFonts w:ascii="Times New Roman" w:hAnsi="Times New Roman" w:cs="Times New Roman"/>
          <w:sz w:val="24"/>
          <w:szCs w:val="24"/>
        </w:rPr>
        <w:t>Columbus, Ohio 43215-3485</w:t>
      </w:r>
    </w:p>
    <w:p w:rsidR="00127815" w:rsidRPr="00CE014C" w:rsidP="00127815">
      <w:pPr>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(614) 466-9559 (Bair Direct)</w:t>
      </w:r>
    </w:p>
    <w:p w:rsidR="00127815" w:rsidRPr="00CE014C" w:rsidP="00127815">
      <w:pPr>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(614) 466-7964 (Etter Direct)</w:t>
      </w:r>
    </w:p>
    <w:p w:rsidR="00127815" w:rsidRPr="00CE014C" w:rsidP="00127815">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"mailto:jodi.bair@occ.ohio.gov" </w:instrText>
      </w:r>
      <w:r>
        <w:fldChar w:fldCharType="separate"/>
      </w:r>
      <w:r w:rsidRPr="00CE014C">
        <w:rPr>
          <w:rFonts w:ascii="Times New Roman" w:eastAsia="Times New Roman" w:hAnsi="Times New Roman" w:cs="Times New Roman"/>
          <w:color w:val="0000FF"/>
          <w:sz w:val="24"/>
          <w:szCs w:val="24"/>
          <w:u w:val="single"/>
        </w:rPr>
        <w:t>jodi.bair@occ.ohio.gov</w:t>
      </w:r>
      <w:r>
        <w:fldChar w:fldCharType="end"/>
      </w:r>
    </w:p>
    <w:p w:rsidR="00127815" w:rsidRPr="00CE014C" w:rsidP="00127815">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"mailto:terry.etter@occ.ohio.gov" </w:instrText>
      </w:r>
      <w:r>
        <w:fldChar w:fldCharType="separate"/>
      </w:r>
      <w:r w:rsidRPr="00CE014C">
        <w:rPr>
          <w:rStyle w:val="Hyperlink"/>
          <w:rFonts w:ascii="Times New Roman" w:eastAsia="Times New Roman" w:hAnsi="Times New Roman" w:cs="Times New Roman"/>
          <w:sz w:val="24"/>
          <w:szCs w:val="24"/>
        </w:rPr>
        <w:t>terry.etter@occ.ohio.gov</w:t>
      </w:r>
      <w:r>
        <w:fldChar w:fldCharType="end"/>
      </w:r>
    </w:p>
    <w:p w:rsidR="00127815" w:rsidRPr="00CE014C" w:rsidP="00127815">
      <w:pPr>
        <w:autoSpaceDE w:val="0"/>
        <w:autoSpaceDN w:val="0"/>
        <w:adjustRightInd w:val="0"/>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March 6, 2017</w:t>
      </w: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sz w:val="24"/>
          <w:szCs w:val="24"/>
        </w:rPr>
        <w:tab/>
        <w:t>(Both will accept service via email)</w:t>
      </w:r>
    </w:p>
    <w:p w:rsidR="00127815"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sectPr w:rsidSect="00206D9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t>TABLE OF CONTENTS</w:t>
      </w: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r>
      <w:r w:rsidRPr="00CE014C">
        <w:rPr>
          <w:rFonts w:ascii="Times New Roman" w:eastAsia="Courier New" w:hAnsi="Times New Roman" w:cs="Times New Roman"/>
          <w:b/>
          <w:bCs/>
          <w:sz w:val="24"/>
          <w:szCs w:val="24"/>
        </w:rPr>
        <w:tab/>
        <w:t xml:space="preserve">                          PAGE</w:t>
      </w: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127815" w:rsidRPr="00CE014C"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241C4">
      <w:pPr>
        <w:pStyle w:val="TOC1"/>
        <w:rPr>
          <w:rFonts w:asciiTheme="minorHAnsi" w:eastAsiaTheme="minorEastAsia" w:hAnsiTheme="minorHAnsi"/>
          <w:caps w:val="0"/>
          <w:noProof/>
          <w:sz w:val="22"/>
        </w:rPr>
      </w:pPr>
      <w:r w:rsidRPr="00CE014C">
        <w:rPr>
          <w:rFonts w:eastAsia="Courier New" w:cs="Times New Roman"/>
          <w:b/>
          <w:bCs/>
          <w:szCs w:val="24"/>
        </w:rPr>
        <w:fldChar w:fldCharType="begin"/>
      </w:r>
      <w:r w:rsidRPr="00CE014C">
        <w:rPr>
          <w:rFonts w:eastAsia="Courier New" w:cs="Times New Roman"/>
          <w:b/>
          <w:bCs/>
          <w:szCs w:val="24"/>
        </w:rPr>
        <w:instrText xml:space="preserve"> TOC \o "1-2" \h \z \u </w:instrText>
      </w:r>
      <w:r w:rsidRPr="00CE014C">
        <w:rPr>
          <w:rFonts w:eastAsia="Courier New" w:cs="Times New Roman"/>
          <w:b/>
          <w:bCs/>
          <w:szCs w:val="24"/>
        </w:rPr>
        <w:fldChar w:fldCharType="separate"/>
      </w:r>
      <w:r>
        <w:fldChar w:fldCharType="begin"/>
      </w:r>
      <w:r>
        <w:instrText xml:space="preserve"> HYPERLINK \l "_Toc476575475" </w:instrText>
      </w:r>
      <w:r>
        <w:fldChar w:fldCharType="separate"/>
      </w:r>
      <w:r w:rsidRPr="00075099">
        <w:rPr>
          <w:rStyle w:val="Hyperlink"/>
          <w:rFonts w:cs="Times New Roman"/>
          <w:noProof/>
        </w:rPr>
        <w:t>I.</w:t>
      </w:r>
      <w:r>
        <w:rPr>
          <w:rFonts w:asciiTheme="minorHAnsi" w:eastAsiaTheme="minorEastAsia" w:hAnsiTheme="minorHAnsi"/>
          <w:caps w:val="0"/>
          <w:noProof/>
          <w:sz w:val="22"/>
        </w:rPr>
        <w:tab/>
      </w:r>
      <w:r w:rsidRPr="00075099">
        <w:rPr>
          <w:rStyle w:val="Hyperlink"/>
          <w:rFonts w:cs="Times New Roman"/>
          <w:noProof/>
        </w:rPr>
        <w:t>INTRODUCTION</w:t>
      </w:r>
      <w:r>
        <w:rPr>
          <w:noProof/>
          <w:webHidden/>
        </w:rPr>
        <w:tab/>
      </w:r>
      <w:r>
        <w:rPr>
          <w:noProof/>
          <w:webHidden/>
        </w:rPr>
        <w:fldChar w:fldCharType="begin"/>
      </w:r>
      <w:r>
        <w:rPr>
          <w:noProof/>
          <w:webHidden/>
        </w:rPr>
        <w:instrText xml:space="preserve"> PAGEREF _Toc476575475 \h </w:instrText>
      </w:r>
      <w:r>
        <w:rPr>
          <w:noProof/>
          <w:webHidden/>
        </w:rPr>
        <w:fldChar w:fldCharType="separate"/>
      </w:r>
      <w:r>
        <w:rPr>
          <w:noProof/>
          <w:webHidden/>
        </w:rPr>
        <w:t>1</w:t>
      </w:r>
      <w:r>
        <w:rPr>
          <w:noProof/>
          <w:webHidden/>
        </w:rPr>
        <w:fldChar w:fldCharType="end"/>
      </w:r>
      <w:r>
        <w:fldChar w:fldCharType="end"/>
      </w:r>
    </w:p>
    <w:p w:rsidR="009241C4">
      <w:pPr>
        <w:pStyle w:val="TOC1"/>
        <w:rPr>
          <w:rFonts w:asciiTheme="minorHAnsi" w:eastAsiaTheme="minorEastAsia" w:hAnsiTheme="minorHAnsi"/>
          <w:caps w:val="0"/>
          <w:noProof/>
          <w:sz w:val="22"/>
        </w:rPr>
      </w:pPr>
      <w:r>
        <w:fldChar w:fldCharType="begin"/>
      </w:r>
      <w:r>
        <w:instrText xml:space="preserve"> HYPERLINK \l "_Toc476575476" </w:instrText>
      </w:r>
      <w:r>
        <w:fldChar w:fldCharType="separate"/>
      </w:r>
      <w:r w:rsidRPr="00075099">
        <w:rPr>
          <w:rStyle w:val="Hyperlink"/>
          <w:rFonts w:cs="Times New Roman"/>
          <w:noProof/>
        </w:rPr>
        <w:t>II.</w:t>
      </w:r>
      <w:r>
        <w:rPr>
          <w:rFonts w:asciiTheme="minorHAnsi" w:eastAsiaTheme="minorEastAsia" w:hAnsiTheme="minorHAnsi"/>
          <w:caps w:val="0"/>
          <w:noProof/>
          <w:sz w:val="22"/>
        </w:rPr>
        <w:tab/>
      </w:r>
      <w:r w:rsidRPr="00075099">
        <w:rPr>
          <w:rStyle w:val="Hyperlink"/>
          <w:rFonts w:cs="Times New Roman"/>
          <w:noProof/>
        </w:rPr>
        <w:t>PROCEDURAL BACKGROUND</w:t>
      </w:r>
      <w:r>
        <w:rPr>
          <w:noProof/>
          <w:webHidden/>
        </w:rPr>
        <w:tab/>
      </w:r>
      <w:r>
        <w:rPr>
          <w:noProof/>
          <w:webHidden/>
        </w:rPr>
        <w:fldChar w:fldCharType="begin"/>
      </w:r>
      <w:r>
        <w:rPr>
          <w:noProof/>
          <w:webHidden/>
        </w:rPr>
        <w:instrText xml:space="preserve"> PAGEREF _Toc476575476 \h </w:instrText>
      </w:r>
      <w:r>
        <w:rPr>
          <w:noProof/>
          <w:webHidden/>
        </w:rPr>
        <w:fldChar w:fldCharType="separate"/>
      </w:r>
      <w:r>
        <w:rPr>
          <w:noProof/>
          <w:webHidden/>
        </w:rPr>
        <w:t>3</w:t>
      </w:r>
      <w:r>
        <w:rPr>
          <w:noProof/>
          <w:webHidden/>
        </w:rPr>
        <w:fldChar w:fldCharType="end"/>
      </w:r>
      <w:r>
        <w:fldChar w:fldCharType="end"/>
      </w:r>
    </w:p>
    <w:p w:rsidR="009241C4">
      <w:pPr>
        <w:pStyle w:val="TOC1"/>
        <w:rPr>
          <w:rFonts w:asciiTheme="minorHAnsi" w:eastAsiaTheme="minorEastAsia" w:hAnsiTheme="minorHAnsi"/>
          <w:caps w:val="0"/>
          <w:noProof/>
          <w:sz w:val="22"/>
        </w:rPr>
      </w:pPr>
      <w:r>
        <w:fldChar w:fldCharType="begin"/>
      </w:r>
      <w:r>
        <w:instrText xml:space="preserve"> HYPERLINK \l "_Toc476575477" </w:instrText>
      </w:r>
      <w:r>
        <w:fldChar w:fldCharType="separate"/>
      </w:r>
      <w:r w:rsidRPr="00075099">
        <w:rPr>
          <w:rStyle w:val="Hyperlink"/>
          <w:rFonts w:cs="Times New Roman"/>
          <w:noProof/>
        </w:rPr>
        <w:t>III.</w:t>
      </w:r>
      <w:r>
        <w:rPr>
          <w:rFonts w:asciiTheme="minorHAnsi" w:eastAsiaTheme="minorEastAsia" w:hAnsiTheme="minorHAnsi"/>
          <w:caps w:val="0"/>
          <w:noProof/>
          <w:sz w:val="22"/>
        </w:rPr>
        <w:tab/>
      </w:r>
      <w:r w:rsidRPr="00075099">
        <w:rPr>
          <w:rStyle w:val="Hyperlink"/>
          <w:rFonts w:cs="Times New Roman"/>
          <w:noProof/>
        </w:rPr>
        <w:t>RECOMMENDATIONS</w:t>
      </w:r>
      <w:r>
        <w:rPr>
          <w:noProof/>
          <w:webHidden/>
        </w:rPr>
        <w:tab/>
      </w:r>
      <w:r>
        <w:rPr>
          <w:noProof/>
          <w:webHidden/>
        </w:rPr>
        <w:fldChar w:fldCharType="begin"/>
      </w:r>
      <w:r>
        <w:rPr>
          <w:noProof/>
          <w:webHidden/>
        </w:rPr>
        <w:instrText xml:space="preserve"> PAGEREF _Toc476575477 \h </w:instrText>
      </w:r>
      <w:r>
        <w:rPr>
          <w:noProof/>
          <w:webHidden/>
        </w:rPr>
        <w:fldChar w:fldCharType="separate"/>
      </w:r>
      <w:r>
        <w:rPr>
          <w:noProof/>
          <w:webHidden/>
        </w:rPr>
        <w:t>7</w:t>
      </w:r>
      <w:r>
        <w:rPr>
          <w:noProof/>
          <w:webHidden/>
        </w:rPr>
        <w:fldChar w:fldCharType="end"/>
      </w:r>
      <w:r>
        <w:fldChar w:fldCharType="end"/>
      </w:r>
    </w:p>
    <w:p w:rsidR="009241C4">
      <w:pPr>
        <w:pStyle w:val="TOC2"/>
        <w:tabs>
          <w:tab w:val="left" w:pos="1440"/>
        </w:tabs>
        <w:rPr>
          <w:rFonts w:asciiTheme="minorHAnsi" w:eastAsiaTheme="minorEastAsia" w:hAnsiTheme="minorHAnsi"/>
          <w:noProof/>
          <w:sz w:val="22"/>
        </w:rPr>
      </w:pPr>
      <w:r>
        <w:fldChar w:fldCharType="begin"/>
      </w:r>
      <w:r>
        <w:instrText xml:space="preserve"> HYPERLINK \l "_Toc476575478" </w:instrText>
      </w:r>
      <w:r>
        <w:fldChar w:fldCharType="separate"/>
      </w:r>
      <w:r w:rsidRPr="00075099">
        <w:rPr>
          <w:rStyle w:val="Hyperlink"/>
          <w:rFonts w:cs="Times New Roman"/>
          <w:noProof/>
        </w:rPr>
        <w:t>A.</w:t>
      </w:r>
      <w:r>
        <w:rPr>
          <w:rFonts w:asciiTheme="minorHAnsi" w:eastAsiaTheme="minorEastAsia" w:hAnsiTheme="minorHAnsi"/>
          <w:noProof/>
          <w:sz w:val="22"/>
        </w:rPr>
        <w:tab/>
      </w:r>
      <w:r w:rsidRPr="00075099">
        <w:rPr>
          <w:rStyle w:val="Hyperlink"/>
          <w:rFonts w:cs="Times New Roman"/>
          <w:noProof/>
        </w:rPr>
        <w:t>Customers should not continue to pay for gridSMART Phase I investments in the Distribution Investment Rider that have not been found to be used and useful in providing service to customers, consistent with R.C. 4909.15</w:t>
      </w:r>
      <w:r>
        <w:rPr>
          <w:noProof/>
          <w:webHidden/>
        </w:rPr>
        <w:tab/>
      </w:r>
      <w:r>
        <w:rPr>
          <w:noProof/>
          <w:webHidden/>
        </w:rPr>
        <w:fldChar w:fldCharType="begin"/>
      </w:r>
      <w:r>
        <w:rPr>
          <w:noProof/>
          <w:webHidden/>
        </w:rPr>
        <w:instrText xml:space="preserve"> PAGEREF _Toc476575478 \h </w:instrText>
      </w:r>
      <w:r>
        <w:rPr>
          <w:noProof/>
          <w:webHidden/>
        </w:rPr>
        <w:fldChar w:fldCharType="separate"/>
      </w:r>
      <w:r>
        <w:rPr>
          <w:noProof/>
          <w:webHidden/>
        </w:rPr>
        <w:t>7</w:t>
      </w:r>
      <w:r>
        <w:rPr>
          <w:noProof/>
          <w:webHidden/>
        </w:rPr>
        <w:fldChar w:fldCharType="end"/>
      </w:r>
      <w:r>
        <w:fldChar w:fldCharType="end"/>
      </w:r>
    </w:p>
    <w:p w:rsidR="009241C4">
      <w:pPr>
        <w:pStyle w:val="TOC2"/>
        <w:tabs>
          <w:tab w:val="left" w:pos="1440"/>
        </w:tabs>
        <w:rPr>
          <w:rFonts w:asciiTheme="minorHAnsi" w:eastAsiaTheme="minorEastAsia" w:hAnsiTheme="minorHAnsi"/>
          <w:noProof/>
          <w:sz w:val="22"/>
        </w:rPr>
      </w:pPr>
      <w:r>
        <w:fldChar w:fldCharType="begin"/>
      </w:r>
      <w:r>
        <w:instrText xml:space="preserve"> HYPERLINK \l "_Toc476575479" </w:instrText>
      </w:r>
      <w:r>
        <w:fldChar w:fldCharType="separate"/>
      </w:r>
      <w:r w:rsidRPr="00075099">
        <w:rPr>
          <w:rStyle w:val="Hyperlink"/>
          <w:rFonts w:cs="Times New Roman"/>
          <w:noProof/>
        </w:rPr>
        <w:t>B.</w:t>
      </w:r>
      <w:r>
        <w:rPr>
          <w:rFonts w:asciiTheme="minorHAnsi" w:eastAsiaTheme="minorEastAsia" w:hAnsiTheme="minorHAnsi"/>
          <w:noProof/>
          <w:sz w:val="22"/>
        </w:rPr>
        <w:tab/>
      </w:r>
      <w:r w:rsidRPr="00075099">
        <w:rPr>
          <w:rStyle w:val="Hyperlink"/>
          <w:rFonts w:cs="Times New Roman"/>
          <w:noProof/>
        </w:rPr>
        <w:t>An examination of the reliability benefits that customers receive from the gridSMART Phase I is necessary to determine if customers should continue paying for the Distribution Automation capabilities through the DIR.</w:t>
      </w:r>
      <w:r>
        <w:rPr>
          <w:noProof/>
          <w:webHidden/>
        </w:rPr>
        <w:tab/>
      </w:r>
      <w:r>
        <w:rPr>
          <w:noProof/>
          <w:webHidden/>
        </w:rPr>
        <w:fldChar w:fldCharType="begin"/>
      </w:r>
      <w:r>
        <w:rPr>
          <w:noProof/>
          <w:webHidden/>
        </w:rPr>
        <w:instrText xml:space="preserve"> PAGEREF _Toc476575479 \h </w:instrText>
      </w:r>
      <w:r>
        <w:rPr>
          <w:noProof/>
          <w:webHidden/>
        </w:rPr>
        <w:fldChar w:fldCharType="separate"/>
      </w:r>
      <w:r>
        <w:rPr>
          <w:noProof/>
          <w:webHidden/>
        </w:rPr>
        <w:t>9</w:t>
      </w:r>
      <w:r>
        <w:rPr>
          <w:noProof/>
          <w:webHidden/>
        </w:rPr>
        <w:fldChar w:fldCharType="end"/>
      </w:r>
      <w:r>
        <w:fldChar w:fldCharType="end"/>
      </w:r>
    </w:p>
    <w:p w:rsidR="009241C4">
      <w:pPr>
        <w:pStyle w:val="TOC2"/>
        <w:tabs>
          <w:tab w:val="left" w:pos="1440"/>
        </w:tabs>
        <w:rPr>
          <w:rFonts w:asciiTheme="minorHAnsi" w:eastAsiaTheme="minorEastAsia" w:hAnsiTheme="minorHAnsi"/>
          <w:noProof/>
          <w:sz w:val="22"/>
        </w:rPr>
      </w:pPr>
      <w:r>
        <w:fldChar w:fldCharType="begin"/>
      </w:r>
      <w:r>
        <w:instrText xml:space="preserve"> HYPERLINK \l "_Toc476575480" </w:instrText>
      </w:r>
      <w:r>
        <w:fldChar w:fldCharType="separate"/>
      </w:r>
      <w:r w:rsidRPr="00075099">
        <w:rPr>
          <w:rStyle w:val="Hyperlink"/>
          <w:rFonts w:cs="Times New Roman"/>
          <w:noProof/>
        </w:rPr>
        <w:t>C.</w:t>
      </w:r>
      <w:r>
        <w:rPr>
          <w:rFonts w:asciiTheme="minorHAnsi" w:eastAsiaTheme="minorEastAsia" w:hAnsiTheme="minorHAnsi"/>
          <w:noProof/>
          <w:sz w:val="22"/>
        </w:rPr>
        <w:tab/>
      </w:r>
      <w:r w:rsidRPr="00075099">
        <w:rPr>
          <w:rStyle w:val="Hyperlink"/>
          <w:rFonts w:cs="Times New Roman"/>
          <w:noProof/>
        </w:rPr>
        <w:t>An examination of the costs and benefits of the AMI meters that Ohio Power purchased under the gridSMART Phase I program is necessary to justify charging customers for those costs through the DIR.</w:t>
      </w:r>
      <w:r>
        <w:rPr>
          <w:noProof/>
          <w:webHidden/>
        </w:rPr>
        <w:tab/>
      </w:r>
      <w:r>
        <w:rPr>
          <w:noProof/>
          <w:webHidden/>
        </w:rPr>
        <w:fldChar w:fldCharType="begin"/>
      </w:r>
      <w:r>
        <w:rPr>
          <w:noProof/>
          <w:webHidden/>
        </w:rPr>
        <w:instrText xml:space="preserve"> PAGEREF _Toc476575480 \h </w:instrText>
      </w:r>
      <w:r>
        <w:rPr>
          <w:noProof/>
          <w:webHidden/>
        </w:rPr>
        <w:fldChar w:fldCharType="separate"/>
      </w:r>
      <w:r>
        <w:rPr>
          <w:noProof/>
          <w:webHidden/>
        </w:rPr>
        <w:t>11</w:t>
      </w:r>
      <w:r>
        <w:rPr>
          <w:noProof/>
          <w:webHidden/>
        </w:rPr>
        <w:fldChar w:fldCharType="end"/>
      </w:r>
      <w:r>
        <w:fldChar w:fldCharType="end"/>
      </w:r>
    </w:p>
    <w:p w:rsidR="009241C4">
      <w:pPr>
        <w:pStyle w:val="TOC1"/>
        <w:rPr>
          <w:rFonts w:asciiTheme="minorHAnsi" w:eastAsiaTheme="minorEastAsia" w:hAnsiTheme="minorHAnsi"/>
          <w:caps w:val="0"/>
          <w:noProof/>
          <w:sz w:val="22"/>
        </w:rPr>
      </w:pPr>
      <w:r>
        <w:fldChar w:fldCharType="begin"/>
      </w:r>
      <w:r>
        <w:instrText xml:space="preserve"> HYPERLINK \l "_Toc476575481" </w:instrText>
      </w:r>
      <w:r>
        <w:fldChar w:fldCharType="separate"/>
      </w:r>
      <w:r w:rsidRPr="00075099">
        <w:rPr>
          <w:rStyle w:val="Hyperlink"/>
          <w:rFonts w:cs="Times New Roman"/>
          <w:noProof/>
        </w:rPr>
        <w:t>IV.</w:t>
      </w:r>
      <w:r>
        <w:rPr>
          <w:rFonts w:asciiTheme="minorHAnsi" w:eastAsiaTheme="minorEastAsia" w:hAnsiTheme="minorHAnsi"/>
          <w:caps w:val="0"/>
          <w:noProof/>
          <w:sz w:val="22"/>
        </w:rPr>
        <w:tab/>
      </w:r>
      <w:r w:rsidRPr="00075099">
        <w:rPr>
          <w:rStyle w:val="Hyperlink"/>
          <w:rFonts w:cs="Times New Roman"/>
          <w:noProof/>
        </w:rPr>
        <w:t>CONCLUSION</w:t>
      </w:r>
      <w:r>
        <w:rPr>
          <w:noProof/>
          <w:webHidden/>
        </w:rPr>
        <w:tab/>
      </w:r>
      <w:r>
        <w:rPr>
          <w:noProof/>
          <w:webHidden/>
        </w:rPr>
        <w:fldChar w:fldCharType="begin"/>
      </w:r>
      <w:r>
        <w:rPr>
          <w:noProof/>
          <w:webHidden/>
        </w:rPr>
        <w:instrText xml:space="preserve"> PAGEREF _Toc476575481 \h </w:instrText>
      </w:r>
      <w:r>
        <w:rPr>
          <w:noProof/>
          <w:webHidden/>
        </w:rPr>
        <w:fldChar w:fldCharType="separate"/>
      </w:r>
      <w:r>
        <w:rPr>
          <w:noProof/>
          <w:webHidden/>
        </w:rPr>
        <w:t>13</w:t>
      </w:r>
      <w:r>
        <w:rPr>
          <w:noProof/>
          <w:webHidden/>
        </w:rPr>
        <w:fldChar w:fldCharType="end"/>
      </w:r>
      <w:r>
        <w:fldChar w:fldCharType="end"/>
      </w:r>
    </w:p>
    <w:p w:rsidR="00CC0076" w:rsidP="0012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fldChar w:fldCharType="end"/>
      </w:r>
    </w:p>
    <w:p w:rsidR="00CC0076" w:rsidRPr="00CC0076" w:rsidP="00CC0076">
      <w:pPr>
        <w:rPr>
          <w:rFonts w:ascii="Times New Roman" w:eastAsia="Courier New" w:hAnsi="Times New Roman" w:cs="Times New Roman"/>
          <w:sz w:val="24"/>
          <w:szCs w:val="24"/>
        </w:rPr>
      </w:pPr>
    </w:p>
    <w:p w:rsidR="00CC0076" w:rsidRPr="00CC0076" w:rsidP="00CC0076">
      <w:pPr>
        <w:rPr>
          <w:rFonts w:ascii="Times New Roman" w:eastAsia="Courier New" w:hAnsi="Times New Roman" w:cs="Times New Roman"/>
          <w:sz w:val="24"/>
          <w:szCs w:val="24"/>
        </w:rPr>
      </w:pPr>
    </w:p>
    <w:p w:rsidR="00CC0076" w:rsidRPr="00CC0076" w:rsidP="00CC0076">
      <w:pPr>
        <w:rPr>
          <w:rFonts w:ascii="Times New Roman" w:eastAsia="Courier New" w:hAnsi="Times New Roman" w:cs="Times New Roman"/>
          <w:sz w:val="24"/>
          <w:szCs w:val="24"/>
        </w:rPr>
      </w:pPr>
    </w:p>
    <w:p w:rsidR="00CC0076" w:rsidRPr="00CC0076" w:rsidP="00CC0076">
      <w:pPr>
        <w:rPr>
          <w:rFonts w:ascii="Times New Roman" w:eastAsia="Courier New" w:hAnsi="Times New Roman" w:cs="Times New Roman"/>
          <w:sz w:val="24"/>
          <w:szCs w:val="24"/>
        </w:rPr>
      </w:pPr>
    </w:p>
    <w:p w:rsidR="00CC0076" w:rsidP="00CC0076">
      <w:pPr>
        <w:tabs>
          <w:tab w:val="left" w:pos="924"/>
        </w:tabs>
        <w:rPr>
          <w:rFonts w:ascii="Times New Roman" w:eastAsia="Courier New" w:hAnsi="Times New Roman" w:cs="Times New Roman"/>
          <w:sz w:val="24"/>
          <w:szCs w:val="24"/>
        </w:rPr>
      </w:pPr>
      <w:r>
        <w:rPr>
          <w:rFonts w:ascii="Times New Roman" w:eastAsia="Courier New" w:hAnsi="Times New Roman" w:cs="Times New Roman"/>
          <w:sz w:val="24"/>
          <w:szCs w:val="24"/>
        </w:rPr>
        <w:tab/>
      </w:r>
    </w:p>
    <w:p w:rsidR="00CC0076" w:rsidP="00CC0076">
      <w:pPr>
        <w:tabs>
          <w:tab w:val="left" w:pos="1500"/>
        </w:tabs>
        <w:rPr>
          <w:rFonts w:ascii="Times New Roman" w:eastAsia="Courier New" w:hAnsi="Times New Roman" w:cs="Times New Roman"/>
          <w:sz w:val="24"/>
          <w:szCs w:val="24"/>
        </w:rPr>
      </w:pPr>
      <w:r>
        <w:rPr>
          <w:rFonts w:ascii="Times New Roman" w:eastAsia="Courier New" w:hAnsi="Times New Roman" w:cs="Times New Roman"/>
          <w:sz w:val="24"/>
          <w:szCs w:val="24"/>
        </w:rPr>
        <w:tab/>
      </w:r>
    </w:p>
    <w:p w:rsidR="00CC0076" w:rsidP="00CC0076">
      <w:pPr>
        <w:rPr>
          <w:rFonts w:ascii="Times New Roman" w:eastAsia="Courier New" w:hAnsi="Times New Roman" w:cs="Times New Roman"/>
          <w:sz w:val="24"/>
          <w:szCs w:val="24"/>
        </w:rPr>
      </w:pPr>
    </w:p>
    <w:p w:rsidR="00127815" w:rsidRPr="00CC0076" w:rsidP="00CC0076">
      <w:pPr>
        <w:rPr>
          <w:rFonts w:ascii="Times New Roman" w:eastAsia="Courier New" w:hAnsi="Times New Roman" w:cs="Times New Roman"/>
          <w:sz w:val="24"/>
          <w:szCs w:val="24"/>
        </w:rPr>
        <w:sectPr w:rsidSect="00127815">
          <w:headerReference w:type="default" r:id="rId11"/>
          <w:footerReference w:type="default" r:id="rId12"/>
          <w:pgSz w:w="12240" w:h="15840"/>
          <w:pgMar w:top="1440" w:right="1800" w:bottom="1440" w:left="1800" w:header="720" w:footer="720" w:gutter="0"/>
          <w:pgNumType w:fmt="lowerRoman" w:start="1"/>
          <w:cols w:space="720"/>
          <w:docGrid w:linePitch="360"/>
        </w:sectPr>
      </w:pPr>
    </w:p>
    <w:p w:rsidR="00206D90"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t>BEFORE</w:t>
      </w:r>
    </w:p>
    <w:p w:rsidR="001C73AD" w:rsidRPr="00CE014C" w:rsidP="001C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CE014C">
        <w:rPr>
          <w:rFonts w:ascii="Times New Roman" w:eastAsia="Courier New" w:hAnsi="Times New Roman" w:cs="Times New Roman"/>
          <w:b/>
          <w:bCs/>
          <w:sz w:val="24"/>
          <w:szCs w:val="24"/>
        </w:rPr>
        <w:t>THE PUBLIC UTILITIES COMMISSION OF OHIO</w:t>
      </w:r>
    </w:p>
    <w:p w:rsidR="001C73AD" w:rsidRPr="00CE014C" w:rsidP="001C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068"/>
        <w:gridCol w:w="360"/>
        <w:gridCol w:w="4664"/>
      </w:tblGrid>
      <w:tr w:rsidTr="005F3299">
        <w:tblPrEx>
          <w:tblW w:w="9092" w:type="dxa"/>
          <w:tblInd w:w="0" w:type="dxa"/>
          <w:tblCellMar>
            <w:top w:w="0" w:type="dxa"/>
            <w:left w:w="108" w:type="dxa"/>
            <w:bottom w:w="0" w:type="dxa"/>
            <w:right w:w="108" w:type="dxa"/>
          </w:tblCellMar>
          <w:tblLook w:val="01E0"/>
        </w:tblPrEx>
        <w:trPr>
          <w:trHeight w:val="1512"/>
        </w:trPr>
        <w:tc>
          <w:tcPr>
            <w:tcW w:w="4068" w:type="dxa"/>
            <w:shd w:val="clear" w:color="auto" w:fill="auto"/>
          </w:tcPr>
          <w:p w:rsidR="00206D90" w:rsidRPr="00CE014C" w:rsidP="00206D90">
            <w:pPr>
              <w:spacing w:after="0" w:line="240" w:lineRule="auto"/>
              <w:rPr>
                <w:rStyle w:val="DefaultParagraphFont"/>
                <w:rFonts w:ascii="Times New Roman" w:eastAsia="Times New Roman"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In the Matter of the Application of Ohio Power Company to Update Its gridSMART Rider.</w:t>
            </w:r>
          </w:p>
          <w:p w:rsidR="001C73AD" w:rsidRPr="00CE014C" w:rsidP="00206D90">
            <w:pPr>
              <w:spacing w:after="0" w:line="240" w:lineRule="auto"/>
              <w:rPr>
                <w:rStyle w:val="DefaultParagraphFont"/>
                <w:rFonts w:ascii="Times New Roman" w:eastAsia="Times New Roman" w:hAnsi="Times New Roman" w:cs="Times New Roman"/>
                <w:sz w:val="24"/>
                <w:szCs w:val="24"/>
                <w:lang w:val="en-US" w:eastAsia="en-US" w:bidi="ar-SA"/>
              </w:rPr>
            </w:pPr>
          </w:p>
          <w:p w:rsidR="001C73AD" w:rsidRPr="00CE014C" w:rsidP="00206D90">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shd w:val="clear" w:color="auto" w:fill="auto"/>
          </w:tcPr>
          <w:p w:rsidR="00206D90"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206D90"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C73AD" w:rsidRPr="00CE014C" w:rsidP="001C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tc>
        <w:tc>
          <w:tcPr>
            <w:tcW w:w="4664" w:type="dxa"/>
            <w:shd w:val="clear" w:color="auto" w:fill="auto"/>
          </w:tcPr>
          <w:p w:rsidR="00206D90"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06D90" w:rsidRPr="00CE014C" w:rsidP="001C73AD">
            <w:pPr>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Case No. 15-240-EL-RDR</w:t>
            </w:r>
          </w:p>
        </w:tc>
      </w:tr>
      <w:tr w:rsidTr="006E437D">
        <w:tblPrEx>
          <w:tblW w:w="9092" w:type="dxa"/>
          <w:tblInd w:w="0" w:type="dxa"/>
          <w:tblCellMar>
            <w:top w:w="0" w:type="dxa"/>
            <w:left w:w="108" w:type="dxa"/>
            <w:bottom w:w="0" w:type="dxa"/>
            <w:right w:w="108" w:type="dxa"/>
          </w:tblCellMar>
          <w:tblLook w:val="01E0"/>
        </w:tblPrEx>
        <w:trPr>
          <w:trHeight w:val="807"/>
        </w:trPr>
        <w:tc>
          <w:tcPr>
            <w:tcW w:w="4068" w:type="dxa"/>
            <w:shd w:val="clear" w:color="auto" w:fill="auto"/>
          </w:tcPr>
          <w:p w:rsidR="001C73AD" w:rsidRPr="00CE014C" w:rsidP="006E437D">
            <w:pPr>
              <w:spacing w:after="0" w:line="240" w:lineRule="auto"/>
              <w:rPr>
                <w:rStyle w:val="DefaultParagraphFont"/>
                <w:rFonts w:ascii="Times New Roman" w:eastAsia="Times New Roman" w:hAnsi="Times New Roman" w:cs="Times New Roman"/>
                <w:sz w:val="24"/>
                <w:szCs w:val="24"/>
                <w:lang w:val="en-US" w:eastAsia="en-US" w:bidi="ar-SA"/>
              </w:rPr>
            </w:pPr>
            <w:r w:rsidRPr="00CE014C">
              <w:rPr>
                <w:rFonts w:ascii="Times New Roman" w:eastAsia="Times New Roman" w:hAnsi="Times New Roman" w:cs="Times New Roman"/>
                <w:sz w:val="24"/>
                <w:szCs w:val="24"/>
                <w:lang w:val="en-US" w:eastAsia="en-US" w:bidi="ar-SA"/>
              </w:rPr>
              <w:t>In the Matter of the Application of Ohio Power Company to Update Its gridSMART Rider.</w:t>
            </w:r>
          </w:p>
        </w:tc>
        <w:tc>
          <w:tcPr>
            <w:tcW w:w="360" w:type="dxa"/>
            <w:shd w:val="clear" w:color="auto" w:fill="auto"/>
          </w:tcPr>
          <w:p w:rsidR="001C73AD"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C73AD"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p w:rsidR="001C73AD" w:rsidRPr="00CE014C" w:rsidP="001C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E014C">
              <w:rPr>
                <w:rFonts w:ascii="Times New Roman" w:eastAsia="Courier New" w:hAnsi="Times New Roman" w:cs="Times New Roman"/>
                <w:sz w:val="24"/>
                <w:szCs w:val="24"/>
                <w:lang w:val="en-US" w:eastAsia="en-US" w:bidi="ar-SA"/>
              </w:rPr>
              <w:t>)</w:t>
            </w:r>
          </w:p>
        </w:tc>
        <w:tc>
          <w:tcPr>
            <w:tcW w:w="4664" w:type="dxa"/>
            <w:shd w:val="clear" w:color="auto" w:fill="auto"/>
          </w:tcPr>
          <w:p w:rsidR="001C73AD"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C73AD" w:rsidRPr="00CE014C" w:rsidP="006E437D">
            <w:pPr>
              <w:spacing w:after="0" w:line="240" w:lineRule="auto"/>
              <w:rPr>
                <w:rStyle w:val="DefaultParagraphFont"/>
                <w:rFonts w:ascii="Times New Roman" w:eastAsia="Times New Roman" w:hAnsi="Times New Roman" w:cs="Times New Roman"/>
                <w:i/>
                <w:sz w:val="24"/>
                <w:szCs w:val="24"/>
                <w:lang w:val="en-US" w:eastAsia="en-US" w:bidi="ar-SA"/>
              </w:rPr>
            </w:pPr>
            <w:r w:rsidRPr="00CE014C">
              <w:rPr>
                <w:rFonts w:ascii="Times New Roman" w:eastAsia="Times New Roman" w:hAnsi="Times New Roman" w:cs="Times New Roman"/>
                <w:sz w:val="24"/>
                <w:szCs w:val="24"/>
                <w:lang w:val="en-US" w:eastAsia="en-US" w:bidi="ar-SA"/>
              </w:rPr>
              <w:t>Case No. 15-1513-EL-RDR</w:t>
            </w:r>
          </w:p>
          <w:p w:rsidR="001C73AD" w:rsidRPr="00CE014C" w:rsidP="006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206D90" w:rsidRPr="00CE014C" w:rsidP="002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CE014C">
        <w:rPr>
          <w:rFonts w:ascii="Times New Roman" w:eastAsia="Courier New" w:hAnsi="Times New Roman" w:cs="Times New Roman"/>
          <w:sz w:val="24"/>
          <w:szCs w:val="24"/>
        </w:rPr>
        <w:tab/>
      </w:r>
    </w:p>
    <w:p w:rsidR="00206D90" w:rsidRPr="00CE014C" w:rsidP="00206D90">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206D90" w:rsidRPr="00CE014C" w:rsidP="00206D90">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 xml:space="preserve">COMMENTS </w:t>
      </w:r>
    </w:p>
    <w:p w:rsidR="00206D90" w:rsidRPr="00CE014C" w:rsidP="00206D90">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BY</w:t>
      </w:r>
    </w:p>
    <w:p w:rsidR="00206D90" w:rsidRPr="00CE014C" w:rsidP="00206D90">
      <w:pPr>
        <w:spacing w:after="0" w:line="240" w:lineRule="auto"/>
        <w:jc w:val="center"/>
        <w:rPr>
          <w:rFonts w:ascii="Times New Roman" w:eastAsia="Times New Roman" w:hAnsi="Times New Roman" w:cs="Times New Roman"/>
          <w:b/>
          <w:bCs/>
          <w:sz w:val="24"/>
          <w:szCs w:val="24"/>
        </w:rPr>
      </w:pPr>
      <w:r w:rsidRPr="00CE014C">
        <w:rPr>
          <w:rFonts w:ascii="Times New Roman" w:eastAsia="Times New Roman" w:hAnsi="Times New Roman" w:cs="Times New Roman"/>
          <w:b/>
          <w:bCs/>
          <w:sz w:val="24"/>
          <w:szCs w:val="24"/>
        </w:rPr>
        <w:t>THE OFFICE OF THE OHIO CONSUMERS’ COUNSEL</w:t>
      </w:r>
    </w:p>
    <w:p w:rsidR="00206D90" w:rsidRPr="00CE014C" w:rsidP="00206D90">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206D90" w:rsidRPr="00CE014C" w:rsidP="00206D90">
      <w:pPr>
        <w:tabs>
          <w:tab w:val="left" w:pos="4320"/>
        </w:tabs>
        <w:spacing w:after="0" w:line="240" w:lineRule="auto"/>
        <w:rPr>
          <w:rFonts w:ascii="Times New Roman" w:eastAsia="Times New Roman" w:hAnsi="Times New Roman" w:cs="Times New Roman"/>
          <w:sz w:val="24"/>
          <w:szCs w:val="24"/>
        </w:rPr>
      </w:pPr>
    </w:p>
    <w:p w:rsidR="00206D90" w:rsidRPr="00CE014C" w:rsidP="00EC1BBD">
      <w:pPr>
        <w:pStyle w:val="Heading1"/>
        <w:rPr>
          <w:rFonts w:ascii="Times New Roman" w:hAnsi="Times New Roman" w:cs="Times New Roman"/>
          <w:szCs w:val="24"/>
        </w:rPr>
      </w:pPr>
      <w:bookmarkStart w:id="1" w:name="_Toc476575475"/>
      <w:r w:rsidRPr="00CE014C">
        <w:rPr>
          <w:rFonts w:ascii="Times New Roman" w:hAnsi="Times New Roman" w:cs="Times New Roman"/>
          <w:szCs w:val="24"/>
        </w:rPr>
        <w:t>I.</w:t>
      </w:r>
      <w:r w:rsidRPr="00CE014C">
        <w:rPr>
          <w:rFonts w:ascii="Times New Roman" w:hAnsi="Times New Roman" w:cs="Times New Roman"/>
          <w:szCs w:val="24"/>
        </w:rPr>
        <w:tab/>
      </w:r>
      <w:r w:rsidRPr="00CE014C">
        <w:rPr>
          <w:rFonts w:ascii="Times New Roman" w:hAnsi="Times New Roman" w:cs="Times New Roman"/>
          <w:szCs w:val="24"/>
        </w:rPr>
        <w:t>INTRODUCTION</w:t>
      </w:r>
      <w:bookmarkEnd w:id="1"/>
    </w:p>
    <w:p w:rsidR="00EE606E" w:rsidP="00CE014C">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t xml:space="preserve">These cases mark the end of Ohio Power Company’s (“Utility” or “Ohio Power”) Phase I gridSMART project. </w:t>
      </w:r>
      <w:r w:rsidRPr="00CE014C">
        <w:rPr>
          <w:rFonts w:ascii="Times New Roman" w:hAnsi="Times New Roman" w:cs="Times New Roman"/>
          <w:sz w:val="24"/>
          <w:szCs w:val="24"/>
        </w:rPr>
        <w:t>Phase I of gridSMART was approved as part of the Utility’s electric security plan under R.C. 4928.143. The law governing electric security plans requires that gridSMART program</w:t>
      </w:r>
      <w:r w:rsidR="003C632C">
        <w:rPr>
          <w:rFonts w:ascii="Times New Roman" w:hAnsi="Times New Roman" w:cs="Times New Roman"/>
          <w:sz w:val="24"/>
          <w:szCs w:val="24"/>
        </w:rPr>
        <w:t>s</w:t>
      </w:r>
      <w:r w:rsidRPr="00CE014C">
        <w:rPr>
          <w:rFonts w:ascii="Times New Roman" w:hAnsi="Times New Roman" w:cs="Times New Roman"/>
          <w:sz w:val="24"/>
          <w:szCs w:val="24"/>
        </w:rPr>
        <w:t xml:space="preserve"> be cost-effective.</w:t>
      </w:r>
      <w:r>
        <w:rPr>
          <w:rStyle w:val="FootnoteReference"/>
          <w:rFonts w:ascii="Times New Roman" w:hAnsi="Times New Roman" w:cs="Times New Roman"/>
          <w:sz w:val="24"/>
          <w:szCs w:val="24"/>
        </w:rPr>
        <w:footnoteReference w:id="2"/>
      </w:r>
      <w:r w:rsidRPr="00CE014C">
        <w:rPr>
          <w:rFonts w:ascii="Times New Roman" w:hAnsi="Times New Roman" w:cs="Times New Roman"/>
          <w:sz w:val="24"/>
          <w:szCs w:val="24"/>
        </w:rPr>
        <w:t xml:space="preserve"> In order for Ohio Power to legally collect </w:t>
      </w:r>
      <w:r>
        <w:rPr>
          <w:rFonts w:ascii="Times New Roman" w:hAnsi="Times New Roman" w:cs="Times New Roman"/>
          <w:sz w:val="24"/>
          <w:szCs w:val="24"/>
        </w:rPr>
        <w:t>a return on and of</w:t>
      </w:r>
      <w:r w:rsidRPr="00CE014C">
        <w:rPr>
          <w:rFonts w:ascii="Times New Roman" w:hAnsi="Times New Roman" w:cs="Times New Roman"/>
          <w:sz w:val="24"/>
          <w:szCs w:val="24"/>
        </w:rPr>
        <w:t xml:space="preserve"> its </w:t>
      </w:r>
      <w:r>
        <w:rPr>
          <w:rFonts w:ascii="Times New Roman" w:hAnsi="Times New Roman" w:cs="Times New Roman"/>
          <w:sz w:val="24"/>
          <w:szCs w:val="24"/>
        </w:rPr>
        <w:t>gridS</w:t>
      </w:r>
      <w:r w:rsidR="00742DB5">
        <w:rPr>
          <w:rFonts w:ascii="Times New Roman" w:hAnsi="Times New Roman" w:cs="Times New Roman"/>
          <w:sz w:val="24"/>
          <w:szCs w:val="24"/>
        </w:rPr>
        <w:t>MART</w:t>
      </w:r>
      <w:r>
        <w:rPr>
          <w:rFonts w:ascii="Times New Roman" w:hAnsi="Times New Roman" w:cs="Times New Roman"/>
          <w:sz w:val="24"/>
          <w:szCs w:val="24"/>
        </w:rPr>
        <w:t xml:space="preserve"> </w:t>
      </w:r>
      <w:r w:rsidRPr="00CE014C">
        <w:rPr>
          <w:rFonts w:ascii="Times New Roman" w:hAnsi="Times New Roman" w:cs="Times New Roman"/>
          <w:sz w:val="24"/>
          <w:szCs w:val="24"/>
        </w:rPr>
        <w:t xml:space="preserve">capital investments, the law </w:t>
      </w:r>
      <w:r>
        <w:rPr>
          <w:rFonts w:ascii="Times New Roman" w:hAnsi="Times New Roman" w:cs="Times New Roman"/>
          <w:sz w:val="24"/>
          <w:szCs w:val="24"/>
        </w:rPr>
        <w:t xml:space="preserve">also </w:t>
      </w:r>
      <w:r w:rsidRPr="00CE014C">
        <w:rPr>
          <w:rFonts w:ascii="Times New Roman" w:hAnsi="Times New Roman" w:cs="Times New Roman"/>
          <w:sz w:val="24"/>
          <w:szCs w:val="24"/>
        </w:rPr>
        <w:t>requires that “any property sought to be included in the calculation of utility rates must be used and useful in rendering public-utility service.”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CE014C">
        <w:rPr>
          <w:rFonts w:ascii="Times New Roman" w:hAnsi="Times New Roman" w:cs="Times New Roman"/>
          <w:sz w:val="24"/>
          <w:szCs w:val="24"/>
        </w:rPr>
        <w:t>The Utility also has the burden to demonstrate that costs were prudently incurred and reasonable.</w:t>
      </w:r>
      <w:r>
        <w:rPr>
          <w:rStyle w:val="FootnoteReference"/>
          <w:rFonts w:ascii="Times New Roman" w:hAnsi="Times New Roman" w:cs="Times New Roman"/>
          <w:sz w:val="24"/>
          <w:szCs w:val="24"/>
        </w:rPr>
        <w:footnoteReference w:id="4"/>
      </w:r>
      <w:r w:rsidRPr="00CE014C">
        <w:rPr>
          <w:rFonts w:ascii="Times New Roman" w:hAnsi="Times New Roman" w:cs="Times New Roman"/>
          <w:sz w:val="24"/>
          <w:szCs w:val="24"/>
        </w:rPr>
        <w:t xml:space="preserve"> </w:t>
      </w:r>
    </w:p>
    <w:p w:rsidR="003C632C" w:rsidP="000E1F5A">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And yet, after </w:t>
      </w:r>
      <w:r w:rsidR="006337A0">
        <w:rPr>
          <w:rFonts w:ascii="Times New Roman" w:hAnsi="Times New Roman" w:cs="Times New Roman"/>
          <w:sz w:val="24"/>
          <w:szCs w:val="24"/>
        </w:rPr>
        <w:t xml:space="preserve">the expenditure </w:t>
      </w:r>
      <w:r w:rsidR="00F776A3">
        <w:rPr>
          <w:rFonts w:ascii="Times New Roman" w:hAnsi="Times New Roman" w:cs="Times New Roman"/>
          <w:sz w:val="24"/>
          <w:szCs w:val="24"/>
        </w:rPr>
        <w:t>of</w:t>
      </w:r>
      <w:r w:rsidRPr="00CE014C" w:rsidR="00F776A3">
        <w:rPr>
          <w:rFonts w:ascii="Times New Roman" w:hAnsi="Times New Roman" w:cs="Times New Roman"/>
          <w:sz w:val="24"/>
          <w:szCs w:val="24"/>
        </w:rPr>
        <w:t xml:space="preserve"> nearly</w:t>
      </w:r>
      <w:r w:rsidRPr="00CE014C">
        <w:rPr>
          <w:rFonts w:ascii="Times New Roman" w:hAnsi="Times New Roman" w:cs="Times New Roman"/>
          <w:sz w:val="24"/>
          <w:szCs w:val="24"/>
        </w:rPr>
        <w:t xml:space="preserve"> $141 million</w:t>
      </w:r>
      <w:r>
        <w:rPr>
          <w:rStyle w:val="FootnoteReference"/>
          <w:rFonts w:ascii="Times New Roman" w:hAnsi="Times New Roman" w:cs="Times New Roman"/>
          <w:sz w:val="24"/>
          <w:szCs w:val="24"/>
        </w:rPr>
        <w:footnoteReference w:id="5"/>
      </w:r>
      <w:r w:rsidR="006337A0">
        <w:rPr>
          <w:rFonts w:ascii="Times New Roman" w:hAnsi="Times New Roman" w:cs="Times New Roman"/>
          <w:sz w:val="24"/>
          <w:szCs w:val="24"/>
        </w:rPr>
        <w:t>, of which consumers have paid more than $60 million,</w:t>
      </w:r>
      <w:r w:rsidRPr="00CE014C">
        <w:rPr>
          <w:rFonts w:ascii="Times New Roman" w:hAnsi="Times New Roman" w:cs="Times New Roman"/>
          <w:sz w:val="24"/>
          <w:szCs w:val="24"/>
        </w:rPr>
        <w:t xml:space="preserve"> there has been </w:t>
      </w:r>
      <w:r w:rsidR="00EE606E">
        <w:rPr>
          <w:rFonts w:ascii="Times New Roman" w:hAnsi="Times New Roman" w:cs="Times New Roman"/>
          <w:sz w:val="24"/>
          <w:szCs w:val="24"/>
        </w:rPr>
        <w:t>no showing</w:t>
      </w:r>
      <w:r w:rsidRPr="00CE014C">
        <w:rPr>
          <w:rFonts w:ascii="Times New Roman" w:hAnsi="Times New Roman" w:cs="Times New Roman"/>
          <w:sz w:val="24"/>
          <w:szCs w:val="24"/>
        </w:rPr>
        <w:t xml:space="preserve"> that the </w:t>
      </w:r>
      <w:r>
        <w:rPr>
          <w:rFonts w:ascii="Times New Roman" w:hAnsi="Times New Roman" w:cs="Times New Roman"/>
          <w:sz w:val="24"/>
          <w:szCs w:val="24"/>
        </w:rPr>
        <w:t>gridS</w:t>
      </w:r>
      <w:r w:rsidR="00742DB5">
        <w:rPr>
          <w:rFonts w:ascii="Times New Roman" w:hAnsi="Times New Roman" w:cs="Times New Roman"/>
          <w:sz w:val="24"/>
          <w:szCs w:val="24"/>
        </w:rPr>
        <w:t>MART</w:t>
      </w:r>
      <w:r>
        <w:rPr>
          <w:rFonts w:ascii="Times New Roman" w:hAnsi="Times New Roman" w:cs="Times New Roman"/>
          <w:sz w:val="24"/>
          <w:szCs w:val="24"/>
        </w:rPr>
        <w:t xml:space="preserve"> </w:t>
      </w:r>
      <w:r w:rsidR="00742DB5">
        <w:rPr>
          <w:rFonts w:ascii="Times New Roman" w:hAnsi="Times New Roman" w:cs="Times New Roman"/>
          <w:sz w:val="24"/>
          <w:szCs w:val="24"/>
        </w:rPr>
        <w:t>P</w:t>
      </w:r>
      <w:r>
        <w:rPr>
          <w:rFonts w:ascii="Times New Roman" w:hAnsi="Times New Roman" w:cs="Times New Roman"/>
          <w:sz w:val="24"/>
          <w:szCs w:val="24"/>
        </w:rPr>
        <w:t xml:space="preserve">hase I expenditures were cost effective.  And there has been no showing that the </w:t>
      </w:r>
      <w:r w:rsidRPr="00CE014C">
        <w:rPr>
          <w:rFonts w:ascii="Times New Roman" w:hAnsi="Times New Roman" w:cs="Times New Roman"/>
          <w:sz w:val="24"/>
          <w:szCs w:val="24"/>
        </w:rPr>
        <w:t xml:space="preserve">capital investments </w:t>
      </w:r>
      <w:r w:rsidR="00EE606E">
        <w:rPr>
          <w:rFonts w:ascii="Times New Roman" w:hAnsi="Times New Roman" w:cs="Times New Roman"/>
          <w:sz w:val="24"/>
          <w:szCs w:val="24"/>
        </w:rPr>
        <w:t>in grid</w:t>
      </w:r>
      <w:r w:rsidR="00742DB5">
        <w:rPr>
          <w:rFonts w:ascii="Times New Roman" w:hAnsi="Times New Roman" w:cs="Times New Roman"/>
          <w:sz w:val="24"/>
          <w:szCs w:val="24"/>
        </w:rPr>
        <w:t>SMART</w:t>
      </w:r>
      <w:r w:rsidR="00EE606E">
        <w:rPr>
          <w:rFonts w:ascii="Times New Roman" w:hAnsi="Times New Roman" w:cs="Times New Roman"/>
          <w:sz w:val="24"/>
          <w:szCs w:val="24"/>
        </w:rPr>
        <w:t xml:space="preserve"> </w:t>
      </w:r>
      <w:r>
        <w:rPr>
          <w:rFonts w:ascii="Times New Roman" w:hAnsi="Times New Roman" w:cs="Times New Roman"/>
          <w:sz w:val="24"/>
          <w:szCs w:val="24"/>
        </w:rPr>
        <w:t xml:space="preserve">Phase I </w:t>
      </w:r>
      <w:r w:rsidRPr="00CE014C">
        <w:rPr>
          <w:rFonts w:ascii="Times New Roman" w:hAnsi="Times New Roman" w:cs="Times New Roman"/>
          <w:sz w:val="24"/>
          <w:szCs w:val="24"/>
        </w:rPr>
        <w:t>are used and useful</w:t>
      </w:r>
      <w:r>
        <w:rPr>
          <w:rFonts w:ascii="Times New Roman" w:hAnsi="Times New Roman" w:cs="Times New Roman"/>
          <w:sz w:val="24"/>
          <w:szCs w:val="24"/>
        </w:rPr>
        <w:t>.  N</w:t>
      </w:r>
      <w:r w:rsidRPr="00CE014C">
        <w:rPr>
          <w:rFonts w:ascii="Times New Roman" w:hAnsi="Times New Roman" w:cs="Times New Roman"/>
          <w:sz w:val="24"/>
          <w:szCs w:val="24"/>
        </w:rPr>
        <w:t xml:space="preserve">or has there been any </w:t>
      </w:r>
      <w:r w:rsidR="00EE606E">
        <w:rPr>
          <w:rFonts w:ascii="Times New Roman" w:hAnsi="Times New Roman" w:cs="Times New Roman"/>
          <w:sz w:val="24"/>
          <w:szCs w:val="24"/>
        </w:rPr>
        <w:t xml:space="preserve">showing </w:t>
      </w:r>
      <w:r w:rsidRPr="00CE014C">
        <w:rPr>
          <w:rFonts w:ascii="Times New Roman" w:hAnsi="Times New Roman" w:cs="Times New Roman"/>
          <w:sz w:val="24"/>
          <w:szCs w:val="24"/>
        </w:rPr>
        <w:t xml:space="preserve">that the operation and maintenance (“O&amp;M”) costs </w:t>
      </w:r>
      <w:r w:rsidR="00EE606E">
        <w:rPr>
          <w:rFonts w:ascii="Times New Roman" w:hAnsi="Times New Roman" w:cs="Times New Roman"/>
          <w:sz w:val="24"/>
          <w:szCs w:val="24"/>
        </w:rPr>
        <w:t xml:space="preserve">associated with gridSmart </w:t>
      </w:r>
      <w:r w:rsidRPr="00CE014C">
        <w:rPr>
          <w:rFonts w:ascii="Times New Roman" w:hAnsi="Times New Roman" w:cs="Times New Roman"/>
          <w:sz w:val="24"/>
          <w:szCs w:val="24"/>
        </w:rPr>
        <w:t xml:space="preserve">were prudently incurred. </w:t>
      </w:r>
    </w:p>
    <w:p w:rsidR="00D52986" w:rsidRPr="00CE014C" w:rsidP="00CE014C">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The </w:t>
      </w:r>
      <w:r w:rsidRPr="00CE014C" w:rsidR="00497278">
        <w:rPr>
          <w:rFonts w:ascii="Times New Roman" w:hAnsi="Times New Roman" w:cs="Times New Roman"/>
          <w:sz w:val="24"/>
          <w:szCs w:val="24"/>
        </w:rPr>
        <w:t>PUCO S</w:t>
      </w:r>
      <w:r w:rsidRPr="00CE014C">
        <w:rPr>
          <w:rFonts w:ascii="Times New Roman" w:hAnsi="Times New Roman" w:cs="Times New Roman"/>
          <w:sz w:val="24"/>
          <w:szCs w:val="24"/>
        </w:rPr>
        <w:t xml:space="preserve">taff’s review of gridSMART spending has been minimal, at </w:t>
      </w:r>
      <w:r w:rsidR="002D4EA5">
        <w:rPr>
          <w:rFonts w:ascii="Times New Roman" w:hAnsi="Times New Roman" w:cs="Times New Roman"/>
          <w:sz w:val="24"/>
          <w:szCs w:val="24"/>
        </w:rPr>
        <w:t>best</w:t>
      </w:r>
      <w:r w:rsidRPr="00CE014C" w:rsidR="00497278">
        <w:rPr>
          <w:rFonts w:ascii="Times New Roman" w:hAnsi="Times New Roman" w:cs="Times New Roman"/>
          <w:sz w:val="24"/>
          <w:szCs w:val="24"/>
        </w:rPr>
        <w:t>.</w:t>
      </w:r>
      <w:r w:rsidRPr="00CE014C">
        <w:rPr>
          <w:rFonts w:ascii="Times New Roman" w:hAnsi="Times New Roman" w:cs="Times New Roman"/>
          <w:sz w:val="24"/>
          <w:szCs w:val="24"/>
        </w:rPr>
        <w:t xml:space="preserve"> </w:t>
      </w:r>
      <w:r w:rsidRPr="00CE014C" w:rsidR="00497278">
        <w:rPr>
          <w:rFonts w:ascii="Times New Roman" w:hAnsi="Times New Roman" w:cs="Times New Roman"/>
          <w:sz w:val="24"/>
          <w:szCs w:val="24"/>
        </w:rPr>
        <w:t>I</w:t>
      </w:r>
      <w:r w:rsidRPr="00CE014C">
        <w:rPr>
          <w:rFonts w:ascii="Times New Roman" w:hAnsi="Times New Roman" w:cs="Times New Roman"/>
          <w:sz w:val="24"/>
          <w:szCs w:val="24"/>
        </w:rPr>
        <w:t>n fact</w:t>
      </w:r>
      <w:r w:rsidRPr="00CE014C" w:rsidR="00497278">
        <w:rPr>
          <w:rFonts w:ascii="Times New Roman" w:hAnsi="Times New Roman" w:cs="Times New Roman"/>
          <w:sz w:val="24"/>
          <w:szCs w:val="24"/>
        </w:rPr>
        <w:t>,</w:t>
      </w:r>
      <w:r w:rsidRPr="00CE014C">
        <w:rPr>
          <w:rFonts w:ascii="Times New Roman" w:hAnsi="Times New Roman" w:cs="Times New Roman"/>
          <w:sz w:val="24"/>
          <w:szCs w:val="24"/>
        </w:rPr>
        <w:t xml:space="preserve"> this year’s initial review consisted of only a few pages and recommended a $66,000 </w:t>
      </w:r>
      <w:r w:rsidRPr="00CE014C" w:rsidR="00497278">
        <w:rPr>
          <w:rFonts w:ascii="Times New Roman" w:hAnsi="Times New Roman" w:cs="Times New Roman"/>
          <w:sz w:val="24"/>
          <w:szCs w:val="24"/>
        </w:rPr>
        <w:t xml:space="preserve">reduction </w:t>
      </w:r>
      <w:r w:rsidRPr="00CE014C">
        <w:rPr>
          <w:rFonts w:ascii="Times New Roman" w:hAnsi="Times New Roman" w:cs="Times New Roman"/>
          <w:sz w:val="24"/>
          <w:szCs w:val="24"/>
        </w:rPr>
        <w:t xml:space="preserve">to </w:t>
      </w:r>
      <w:r w:rsidRPr="00CE014C" w:rsidR="00497278">
        <w:rPr>
          <w:rFonts w:ascii="Times New Roman" w:hAnsi="Times New Roman" w:cs="Times New Roman"/>
          <w:sz w:val="24"/>
          <w:szCs w:val="24"/>
        </w:rPr>
        <w:t xml:space="preserve">Ohio Power’s </w:t>
      </w:r>
      <w:r w:rsidRPr="00CE014C">
        <w:rPr>
          <w:rFonts w:ascii="Times New Roman" w:hAnsi="Times New Roman" w:cs="Times New Roman"/>
          <w:sz w:val="24"/>
          <w:szCs w:val="24"/>
        </w:rPr>
        <w:t>$47 million revenue request.</w:t>
      </w:r>
      <w:r>
        <w:rPr>
          <w:rStyle w:val="FootnoteReference"/>
          <w:rFonts w:ascii="Times New Roman" w:hAnsi="Times New Roman" w:cs="Times New Roman"/>
          <w:sz w:val="24"/>
          <w:szCs w:val="24"/>
        </w:rPr>
        <w:footnoteReference w:id="6"/>
      </w:r>
      <w:r w:rsidRPr="00CE014C" w:rsidR="00497278">
        <w:rPr>
          <w:rFonts w:ascii="Times New Roman" w:hAnsi="Times New Roman" w:cs="Times New Roman"/>
          <w:sz w:val="24"/>
          <w:szCs w:val="24"/>
        </w:rPr>
        <w:t xml:space="preserve">  This </w:t>
      </w:r>
      <w:r w:rsidRPr="00CE014C">
        <w:rPr>
          <w:rFonts w:ascii="Times New Roman" w:hAnsi="Times New Roman" w:cs="Times New Roman"/>
          <w:sz w:val="24"/>
          <w:szCs w:val="24"/>
        </w:rPr>
        <w:t>is only</w:t>
      </w:r>
      <w:r w:rsidRPr="00CE014C" w:rsidR="00497278">
        <w:rPr>
          <w:rFonts w:ascii="Times New Roman" w:hAnsi="Times New Roman" w:cs="Times New Roman"/>
          <w:sz w:val="24"/>
          <w:szCs w:val="24"/>
        </w:rPr>
        <w:t xml:space="preserve"> a one-tenth of one percent reduction </w:t>
      </w:r>
      <w:r w:rsidRPr="00CE014C">
        <w:rPr>
          <w:rFonts w:ascii="Times New Roman" w:hAnsi="Times New Roman" w:cs="Times New Roman"/>
          <w:sz w:val="24"/>
          <w:szCs w:val="24"/>
        </w:rPr>
        <w:t>in the amount</w:t>
      </w:r>
      <w:r w:rsidRPr="00CE014C" w:rsidR="00497278">
        <w:rPr>
          <w:rFonts w:ascii="Times New Roman" w:hAnsi="Times New Roman" w:cs="Times New Roman"/>
          <w:sz w:val="24"/>
          <w:szCs w:val="24"/>
        </w:rPr>
        <w:t xml:space="preserve"> </w:t>
      </w:r>
      <w:r w:rsidRPr="00CE014C">
        <w:rPr>
          <w:rFonts w:ascii="Times New Roman" w:hAnsi="Times New Roman" w:cs="Times New Roman"/>
          <w:sz w:val="24"/>
          <w:szCs w:val="24"/>
        </w:rPr>
        <w:t>Ohio Power would collect from customers through the gridSMART rider.</w:t>
      </w:r>
      <w:r w:rsidRPr="00CE014C" w:rsidR="00497278">
        <w:rPr>
          <w:rFonts w:ascii="Times New Roman" w:hAnsi="Times New Roman" w:cs="Times New Roman"/>
          <w:sz w:val="24"/>
          <w:szCs w:val="24"/>
        </w:rPr>
        <w:t xml:space="preserve"> </w:t>
      </w:r>
      <w:r w:rsidRPr="00CE014C">
        <w:rPr>
          <w:rFonts w:ascii="Times New Roman" w:hAnsi="Times New Roman" w:cs="Times New Roman"/>
          <w:sz w:val="24"/>
          <w:szCs w:val="24"/>
        </w:rPr>
        <w:t xml:space="preserve"> </w:t>
      </w:r>
      <w:r w:rsidRPr="00CE014C">
        <w:rPr>
          <w:rFonts w:ascii="Times New Roman" w:hAnsi="Times New Roman" w:cs="Times New Roman"/>
          <w:sz w:val="24"/>
          <w:szCs w:val="24"/>
        </w:rPr>
        <w:t xml:space="preserve">The PUCO </w:t>
      </w:r>
      <w:r w:rsidRPr="00CE014C">
        <w:rPr>
          <w:rFonts w:ascii="Times New Roman" w:hAnsi="Times New Roman" w:cs="Times New Roman"/>
          <w:sz w:val="24"/>
          <w:szCs w:val="24"/>
        </w:rPr>
        <w:t>Staff admit</w:t>
      </w:r>
      <w:r w:rsidRPr="00CE014C">
        <w:rPr>
          <w:rFonts w:ascii="Times New Roman" w:hAnsi="Times New Roman" w:cs="Times New Roman"/>
          <w:sz w:val="24"/>
          <w:szCs w:val="24"/>
        </w:rPr>
        <w:t>s</w:t>
      </w:r>
      <w:r w:rsidRPr="00CE014C">
        <w:rPr>
          <w:rFonts w:ascii="Times New Roman" w:hAnsi="Times New Roman" w:cs="Times New Roman"/>
          <w:sz w:val="24"/>
          <w:szCs w:val="24"/>
        </w:rPr>
        <w:t xml:space="preserve"> that it only “examines the as-filed schedules for consistency with previous gridSMART orders to ensure proper accounting and regulatory treatment is applied.”</w:t>
      </w:r>
      <w:r>
        <w:rPr>
          <w:rStyle w:val="FootnoteReference"/>
          <w:rFonts w:ascii="Times New Roman" w:hAnsi="Times New Roman" w:cs="Times New Roman"/>
          <w:sz w:val="24"/>
          <w:szCs w:val="24"/>
        </w:rPr>
        <w:footnoteReference w:id="7"/>
      </w:r>
      <w:r w:rsidRPr="00CE014C">
        <w:rPr>
          <w:rFonts w:ascii="Times New Roman" w:hAnsi="Times New Roman" w:cs="Times New Roman"/>
          <w:sz w:val="24"/>
          <w:szCs w:val="24"/>
        </w:rPr>
        <w:t xml:space="preserve"> </w:t>
      </w:r>
    </w:p>
    <w:p w:rsidR="00206D90" w:rsidP="00497278">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Without a </w:t>
      </w:r>
      <w:r w:rsidR="003C632C">
        <w:rPr>
          <w:rFonts w:ascii="Times New Roman" w:hAnsi="Times New Roman" w:cs="Times New Roman"/>
          <w:sz w:val="24"/>
          <w:szCs w:val="24"/>
        </w:rPr>
        <w:t xml:space="preserve">prudence review to determine if the expenditures are cost-effective and without a determination that </w:t>
      </w:r>
      <w:r w:rsidR="002D4EA5">
        <w:rPr>
          <w:rFonts w:ascii="Times New Roman" w:hAnsi="Times New Roman" w:cs="Times New Roman"/>
          <w:sz w:val="24"/>
          <w:szCs w:val="24"/>
        </w:rPr>
        <w:t>gridS</w:t>
      </w:r>
      <w:r w:rsidR="0070779F">
        <w:rPr>
          <w:rFonts w:ascii="Times New Roman" w:hAnsi="Times New Roman" w:cs="Times New Roman"/>
          <w:sz w:val="24"/>
          <w:szCs w:val="24"/>
        </w:rPr>
        <w:t>MART</w:t>
      </w:r>
      <w:r w:rsidR="002D4EA5">
        <w:rPr>
          <w:rFonts w:ascii="Times New Roman" w:hAnsi="Times New Roman" w:cs="Times New Roman"/>
          <w:sz w:val="24"/>
          <w:szCs w:val="24"/>
        </w:rPr>
        <w:t xml:space="preserve"> </w:t>
      </w:r>
      <w:r w:rsidR="003C632C">
        <w:rPr>
          <w:rFonts w:ascii="Times New Roman" w:hAnsi="Times New Roman" w:cs="Times New Roman"/>
          <w:sz w:val="24"/>
          <w:szCs w:val="24"/>
        </w:rPr>
        <w:t>investment is used and useful and expenditures necessary to render service to customers</w:t>
      </w:r>
      <w:r w:rsidR="004A41AB">
        <w:rPr>
          <w:rFonts w:ascii="Times New Roman" w:hAnsi="Times New Roman" w:cs="Times New Roman"/>
          <w:sz w:val="24"/>
          <w:szCs w:val="24"/>
        </w:rPr>
        <w:t xml:space="preserve"> (as required under R.C. 4909.15(A)(1)(4))</w:t>
      </w:r>
      <w:r w:rsidR="003C632C">
        <w:rPr>
          <w:rFonts w:ascii="Times New Roman" w:hAnsi="Times New Roman" w:cs="Times New Roman"/>
          <w:sz w:val="24"/>
          <w:szCs w:val="24"/>
        </w:rPr>
        <w:t xml:space="preserve">, the PUCO cannot approve the collection of these costs from customers. </w:t>
      </w:r>
      <w:r w:rsidR="0020191E">
        <w:rPr>
          <w:rFonts w:ascii="Times New Roman" w:hAnsi="Times New Roman" w:cs="Times New Roman"/>
          <w:sz w:val="24"/>
          <w:szCs w:val="24"/>
        </w:rPr>
        <w:t>All rates and charges to customers, a</w:t>
      </w:r>
      <w:r w:rsidRPr="00CE014C">
        <w:rPr>
          <w:rFonts w:ascii="Times New Roman" w:hAnsi="Times New Roman" w:cs="Times New Roman"/>
          <w:sz w:val="24"/>
          <w:szCs w:val="24"/>
        </w:rPr>
        <w:t xml:space="preserve">ccording to R.C. 4905.22, </w:t>
      </w:r>
      <w:r w:rsidR="0020191E">
        <w:rPr>
          <w:rFonts w:ascii="Times New Roman" w:hAnsi="Times New Roman" w:cs="Times New Roman"/>
          <w:sz w:val="24"/>
          <w:szCs w:val="24"/>
        </w:rPr>
        <w:t xml:space="preserve">must be </w:t>
      </w:r>
      <w:r w:rsidRPr="00CE014C">
        <w:rPr>
          <w:rFonts w:ascii="Times New Roman" w:hAnsi="Times New Roman" w:cs="Times New Roman"/>
          <w:sz w:val="24"/>
          <w:szCs w:val="24"/>
        </w:rPr>
        <w:t xml:space="preserve">just </w:t>
      </w:r>
      <w:r w:rsidR="0020191E">
        <w:rPr>
          <w:rFonts w:ascii="Times New Roman" w:hAnsi="Times New Roman" w:cs="Times New Roman"/>
          <w:sz w:val="24"/>
          <w:szCs w:val="24"/>
        </w:rPr>
        <w:t>and reasonable</w:t>
      </w:r>
      <w:r w:rsidRPr="00CE014C">
        <w:rPr>
          <w:rFonts w:ascii="Times New Roman" w:hAnsi="Times New Roman" w:cs="Times New Roman"/>
          <w:sz w:val="24"/>
          <w:szCs w:val="24"/>
        </w:rPr>
        <w:t xml:space="preserve">. </w:t>
      </w:r>
      <w:r w:rsidR="003C632C">
        <w:rPr>
          <w:rFonts w:ascii="Times New Roman" w:hAnsi="Times New Roman" w:cs="Times New Roman"/>
          <w:sz w:val="24"/>
          <w:szCs w:val="24"/>
        </w:rPr>
        <w:t>And to date, there has been no showing that the charges are just and reasonable and comply with the law.  The PUCO should deny any further cost collection from custo</w:t>
      </w:r>
      <w:r w:rsidR="003D6B53">
        <w:rPr>
          <w:rFonts w:ascii="Times New Roman" w:hAnsi="Times New Roman" w:cs="Times New Roman"/>
          <w:sz w:val="24"/>
          <w:szCs w:val="24"/>
        </w:rPr>
        <w:t>mers of gridS</w:t>
      </w:r>
      <w:r w:rsidR="0070779F">
        <w:rPr>
          <w:rFonts w:ascii="Times New Roman" w:hAnsi="Times New Roman" w:cs="Times New Roman"/>
          <w:sz w:val="24"/>
          <w:szCs w:val="24"/>
        </w:rPr>
        <w:t>MART</w:t>
      </w:r>
      <w:r w:rsidR="003D6B53">
        <w:rPr>
          <w:rFonts w:ascii="Times New Roman" w:hAnsi="Times New Roman" w:cs="Times New Roman"/>
          <w:sz w:val="24"/>
          <w:szCs w:val="24"/>
        </w:rPr>
        <w:t xml:space="preserve"> Phase I costs </w:t>
      </w:r>
      <w:r w:rsidR="004A41AB">
        <w:rPr>
          <w:rFonts w:ascii="Times New Roman" w:hAnsi="Times New Roman" w:cs="Times New Roman"/>
          <w:sz w:val="24"/>
          <w:szCs w:val="24"/>
        </w:rPr>
        <w:t xml:space="preserve">until and unless it determines that the costs meet the </w:t>
      </w:r>
      <w:r w:rsidR="002D4EA5">
        <w:rPr>
          <w:rFonts w:ascii="Times New Roman" w:hAnsi="Times New Roman" w:cs="Times New Roman"/>
          <w:sz w:val="24"/>
          <w:szCs w:val="24"/>
        </w:rPr>
        <w:t xml:space="preserve">above </w:t>
      </w:r>
      <w:r w:rsidR="004A41AB">
        <w:rPr>
          <w:rFonts w:ascii="Times New Roman" w:hAnsi="Times New Roman" w:cs="Times New Roman"/>
          <w:sz w:val="24"/>
          <w:szCs w:val="24"/>
        </w:rPr>
        <w:t xml:space="preserve">statutory standards.  </w:t>
      </w:r>
      <w:r w:rsidRPr="00CE014C">
        <w:rPr>
          <w:rFonts w:ascii="Times New Roman" w:hAnsi="Times New Roman" w:cs="Times New Roman"/>
          <w:sz w:val="24"/>
          <w:szCs w:val="24"/>
        </w:rPr>
        <w:t xml:space="preserve"> </w:t>
      </w:r>
      <w:r w:rsidRPr="00CE014C">
        <w:rPr>
          <w:rFonts w:ascii="Times New Roman" w:hAnsi="Times New Roman" w:cs="Times New Roman"/>
          <w:sz w:val="24"/>
          <w:szCs w:val="24"/>
        </w:rPr>
        <w:t xml:space="preserve"> </w:t>
      </w:r>
    </w:p>
    <w:p w:rsidR="00206D90" w:rsidRPr="00CE014C" w:rsidP="003821BA">
      <w:pPr>
        <w:pStyle w:val="Heading1"/>
        <w:rPr>
          <w:rFonts w:ascii="Times New Roman" w:hAnsi="Times New Roman" w:cs="Times New Roman"/>
          <w:szCs w:val="24"/>
        </w:rPr>
      </w:pPr>
      <w:bookmarkStart w:id="2" w:name="_Toc476575476"/>
      <w:r w:rsidRPr="00CE014C">
        <w:rPr>
          <w:rFonts w:ascii="Times New Roman" w:hAnsi="Times New Roman" w:cs="Times New Roman"/>
          <w:szCs w:val="24"/>
        </w:rPr>
        <w:t>II.</w:t>
      </w:r>
      <w:r w:rsidRPr="00CE014C">
        <w:rPr>
          <w:rFonts w:ascii="Times New Roman" w:hAnsi="Times New Roman" w:cs="Times New Roman"/>
          <w:szCs w:val="24"/>
        </w:rPr>
        <w:tab/>
      </w:r>
      <w:r w:rsidRPr="00CE014C">
        <w:rPr>
          <w:rFonts w:ascii="Times New Roman" w:hAnsi="Times New Roman" w:cs="Times New Roman"/>
          <w:szCs w:val="24"/>
        </w:rPr>
        <w:t>PROCEDURAL BACKGROUND</w:t>
      </w:r>
      <w:bookmarkEnd w:id="2"/>
    </w:p>
    <w:p w:rsidR="002E071F" w:rsidRPr="00CE014C" w:rsidP="003821BA">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On February 2, 201</w:t>
      </w:r>
      <w:r w:rsidRPr="00CE014C" w:rsidR="00815402">
        <w:rPr>
          <w:rFonts w:ascii="Times New Roman" w:hAnsi="Times New Roman" w:cs="Times New Roman"/>
          <w:sz w:val="24"/>
          <w:szCs w:val="24"/>
        </w:rPr>
        <w:t>5</w:t>
      </w:r>
      <w:r w:rsidRPr="00CE014C">
        <w:rPr>
          <w:rFonts w:ascii="Times New Roman" w:hAnsi="Times New Roman" w:cs="Times New Roman"/>
          <w:sz w:val="24"/>
          <w:szCs w:val="24"/>
        </w:rPr>
        <w:t xml:space="preserve">, Ohio Power </w:t>
      </w:r>
      <w:r w:rsidR="00BC0442">
        <w:rPr>
          <w:rFonts w:ascii="Times New Roman" w:hAnsi="Times New Roman" w:cs="Times New Roman"/>
          <w:sz w:val="24"/>
          <w:szCs w:val="24"/>
        </w:rPr>
        <w:t>initiated</w:t>
      </w:r>
      <w:r w:rsidRPr="00CE014C" w:rsidR="00BC0442">
        <w:rPr>
          <w:rFonts w:ascii="Times New Roman" w:hAnsi="Times New Roman" w:cs="Times New Roman"/>
          <w:sz w:val="24"/>
          <w:szCs w:val="24"/>
        </w:rPr>
        <w:t xml:space="preserve"> </w:t>
      </w:r>
      <w:r w:rsidRPr="00CE014C" w:rsidR="00815402">
        <w:rPr>
          <w:rFonts w:ascii="Times New Roman" w:hAnsi="Times New Roman" w:cs="Times New Roman"/>
          <w:sz w:val="24"/>
          <w:szCs w:val="24"/>
        </w:rPr>
        <w:t>C</w:t>
      </w:r>
      <w:r w:rsidRPr="00CE014C">
        <w:rPr>
          <w:rFonts w:ascii="Times New Roman" w:hAnsi="Times New Roman" w:cs="Times New Roman"/>
          <w:sz w:val="24"/>
          <w:szCs w:val="24"/>
        </w:rPr>
        <w:t>ase</w:t>
      </w:r>
      <w:r w:rsidRPr="00CE014C" w:rsidR="00815402">
        <w:rPr>
          <w:rFonts w:ascii="Times New Roman" w:hAnsi="Times New Roman" w:cs="Times New Roman"/>
          <w:sz w:val="24"/>
          <w:szCs w:val="24"/>
        </w:rPr>
        <w:t xml:space="preserve"> No. 15-240 to review its gridSMART </w:t>
      </w:r>
      <w:r w:rsidRPr="00CE014C" w:rsidR="00D0194F">
        <w:rPr>
          <w:rFonts w:ascii="Times New Roman" w:hAnsi="Times New Roman" w:cs="Times New Roman"/>
          <w:sz w:val="24"/>
          <w:szCs w:val="24"/>
        </w:rPr>
        <w:t xml:space="preserve">Phase I </w:t>
      </w:r>
      <w:r w:rsidRPr="00CE014C" w:rsidR="00815402">
        <w:rPr>
          <w:rFonts w:ascii="Times New Roman" w:hAnsi="Times New Roman" w:cs="Times New Roman"/>
          <w:sz w:val="24"/>
          <w:szCs w:val="24"/>
        </w:rPr>
        <w:t>spending for 2014 and</w:t>
      </w:r>
      <w:r w:rsidRPr="00CE014C">
        <w:rPr>
          <w:rFonts w:ascii="Times New Roman" w:hAnsi="Times New Roman" w:cs="Times New Roman"/>
          <w:sz w:val="24"/>
          <w:szCs w:val="24"/>
        </w:rPr>
        <w:t xml:space="preserve"> the projected revenue and spending for 2015.</w:t>
      </w:r>
      <w:r>
        <w:rPr>
          <w:rStyle w:val="FootnoteReference"/>
          <w:rFonts w:ascii="Times New Roman" w:hAnsi="Times New Roman" w:cs="Times New Roman"/>
          <w:sz w:val="24"/>
          <w:szCs w:val="24"/>
        </w:rPr>
        <w:footnoteReference w:id="8"/>
      </w:r>
      <w:r w:rsidRPr="00CE014C">
        <w:rPr>
          <w:rFonts w:ascii="Times New Roman" w:hAnsi="Times New Roman" w:cs="Times New Roman"/>
          <w:sz w:val="24"/>
          <w:szCs w:val="24"/>
        </w:rPr>
        <w:t xml:space="preserve"> Ohio Power </w:t>
      </w:r>
      <w:r w:rsidRPr="00CE014C">
        <w:rPr>
          <w:rFonts w:ascii="Times New Roman" w:hAnsi="Times New Roman" w:cs="Times New Roman"/>
          <w:sz w:val="24"/>
          <w:szCs w:val="24"/>
        </w:rPr>
        <w:t>request</w:t>
      </w:r>
      <w:r w:rsidRPr="00CE014C">
        <w:rPr>
          <w:rFonts w:ascii="Times New Roman" w:hAnsi="Times New Roman" w:cs="Times New Roman"/>
          <w:sz w:val="24"/>
          <w:szCs w:val="24"/>
        </w:rPr>
        <w:t>ed</w:t>
      </w:r>
      <w:r w:rsidRPr="00CE014C">
        <w:rPr>
          <w:rFonts w:ascii="Times New Roman" w:hAnsi="Times New Roman" w:cs="Times New Roman"/>
          <w:sz w:val="24"/>
          <w:szCs w:val="24"/>
        </w:rPr>
        <w:t xml:space="preserve"> approval to raise the monthly residential customer charge from $0.51 to $1.04.</w:t>
      </w:r>
      <w:r>
        <w:rPr>
          <w:rStyle w:val="FootnoteReference"/>
          <w:rFonts w:ascii="Times New Roman" w:hAnsi="Times New Roman" w:cs="Times New Roman"/>
          <w:sz w:val="24"/>
          <w:szCs w:val="24"/>
        </w:rPr>
        <w:footnoteReference w:id="9"/>
      </w:r>
      <w:r w:rsidRPr="00CE014C">
        <w:rPr>
          <w:rFonts w:ascii="Times New Roman" w:hAnsi="Times New Roman" w:cs="Times New Roman"/>
          <w:sz w:val="24"/>
          <w:szCs w:val="24"/>
        </w:rPr>
        <w:t xml:space="preserve"> At the time the application was filed, the gridSMART rider rate approved by the PUCO for 2013 gridSMART spending </w:t>
      </w:r>
      <w:r w:rsidRPr="00CE014C" w:rsidR="00054B71">
        <w:rPr>
          <w:rFonts w:ascii="Times New Roman" w:hAnsi="Times New Roman" w:cs="Times New Roman"/>
          <w:sz w:val="24"/>
          <w:szCs w:val="24"/>
        </w:rPr>
        <w:t xml:space="preserve">was </w:t>
      </w:r>
      <w:r w:rsidRPr="00CE014C">
        <w:rPr>
          <w:rFonts w:ascii="Times New Roman" w:hAnsi="Times New Roman" w:cs="Times New Roman"/>
          <w:sz w:val="24"/>
          <w:szCs w:val="24"/>
        </w:rPr>
        <w:t>in effect.</w:t>
      </w:r>
      <w:r>
        <w:rPr>
          <w:rStyle w:val="FootnoteReference"/>
          <w:rFonts w:ascii="Times New Roman" w:hAnsi="Times New Roman" w:cs="Times New Roman"/>
          <w:sz w:val="24"/>
          <w:szCs w:val="24"/>
        </w:rPr>
        <w:footnoteReference w:id="10"/>
      </w:r>
      <w:r w:rsidRPr="00CE014C">
        <w:rPr>
          <w:rFonts w:ascii="Times New Roman" w:hAnsi="Times New Roman" w:cs="Times New Roman"/>
          <w:sz w:val="24"/>
          <w:szCs w:val="24"/>
        </w:rPr>
        <w:t xml:space="preserve"> </w:t>
      </w:r>
      <w:r w:rsidRPr="00CE014C" w:rsidR="004147D4">
        <w:rPr>
          <w:rFonts w:ascii="Times New Roman" w:hAnsi="Times New Roman" w:cs="Times New Roman"/>
          <w:sz w:val="24"/>
          <w:szCs w:val="24"/>
        </w:rPr>
        <w:t xml:space="preserve">The PUCO had not issued an order in Case No. 14-192-EL-RDR regarding Ohio Power’s gridSMART </w:t>
      </w:r>
      <w:r w:rsidRPr="00CE014C" w:rsidR="00D0194F">
        <w:rPr>
          <w:rFonts w:ascii="Times New Roman" w:hAnsi="Times New Roman" w:cs="Times New Roman"/>
          <w:sz w:val="24"/>
          <w:szCs w:val="24"/>
        </w:rPr>
        <w:t xml:space="preserve">Phase I </w:t>
      </w:r>
      <w:r w:rsidRPr="00CE014C" w:rsidR="004147D4">
        <w:rPr>
          <w:rFonts w:ascii="Times New Roman" w:hAnsi="Times New Roman" w:cs="Times New Roman"/>
          <w:sz w:val="24"/>
          <w:szCs w:val="24"/>
        </w:rPr>
        <w:t xml:space="preserve">spending for 2014.  </w:t>
      </w:r>
      <w:r w:rsidRPr="00CE014C">
        <w:rPr>
          <w:rFonts w:ascii="Times New Roman" w:hAnsi="Times New Roman" w:cs="Times New Roman"/>
          <w:sz w:val="24"/>
          <w:szCs w:val="24"/>
        </w:rPr>
        <w:t xml:space="preserve">After </w:t>
      </w:r>
      <w:r w:rsidRPr="00CE014C">
        <w:rPr>
          <w:rFonts w:ascii="Times New Roman" w:hAnsi="Times New Roman" w:cs="Times New Roman"/>
          <w:sz w:val="24"/>
          <w:szCs w:val="24"/>
        </w:rPr>
        <w:t xml:space="preserve">Ohio Power </w:t>
      </w:r>
      <w:r w:rsidRPr="00CE014C">
        <w:rPr>
          <w:rFonts w:ascii="Times New Roman" w:hAnsi="Times New Roman" w:cs="Times New Roman"/>
          <w:sz w:val="24"/>
          <w:szCs w:val="24"/>
        </w:rPr>
        <w:t xml:space="preserve">filed its application in </w:t>
      </w:r>
      <w:r w:rsidRPr="00CE014C" w:rsidR="00054B71">
        <w:rPr>
          <w:rFonts w:ascii="Times New Roman" w:hAnsi="Times New Roman" w:cs="Times New Roman"/>
          <w:sz w:val="24"/>
          <w:szCs w:val="24"/>
        </w:rPr>
        <w:t>C</w:t>
      </w:r>
      <w:r w:rsidRPr="00CE014C">
        <w:rPr>
          <w:rFonts w:ascii="Times New Roman" w:hAnsi="Times New Roman" w:cs="Times New Roman"/>
          <w:sz w:val="24"/>
          <w:szCs w:val="24"/>
        </w:rPr>
        <w:t>ase</w:t>
      </w:r>
      <w:r w:rsidRPr="00CE014C" w:rsidR="00054B71">
        <w:rPr>
          <w:rFonts w:ascii="Times New Roman" w:hAnsi="Times New Roman" w:cs="Times New Roman"/>
          <w:sz w:val="24"/>
          <w:szCs w:val="24"/>
        </w:rPr>
        <w:t xml:space="preserve"> No. 15-240</w:t>
      </w:r>
      <w:r w:rsidRPr="00CE014C">
        <w:rPr>
          <w:rFonts w:ascii="Times New Roman" w:hAnsi="Times New Roman" w:cs="Times New Roman"/>
          <w:sz w:val="24"/>
          <w:szCs w:val="24"/>
        </w:rPr>
        <w:t xml:space="preserve">, the PUCO approved a $1.01 per month charge per residential customer for the gridSMART rider. </w:t>
      </w:r>
      <w:r>
        <w:rPr>
          <w:rStyle w:val="FootnoteReference"/>
          <w:rFonts w:ascii="Times New Roman" w:hAnsi="Times New Roman" w:cs="Times New Roman"/>
          <w:sz w:val="24"/>
          <w:szCs w:val="24"/>
        </w:rPr>
        <w:footnoteReference w:id="11"/>
      </w:r>
    </w:p>
    <w:p w:rsidR="00D0194F" w:rsidRPr="00CE014C" w:rsidP="003821BA">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On August 28, 2015, Ohio Power opened Case No. 15-1513, which is the final gridSMART Phase I rider case.</w:t>
      </w:r>
      <w:r>
        <w:rPr>
          <w:rStyle w:val="FootnoteReference"/>
          <w:rFonts w:ascii="Times New Roman" w:hAnsi="Times New Roman" w:cs="Times New Roman"/>
          <w:sz w:val="24"/>
          <w:szCs w:val="24"/>
        </w:rPr>
        <w:footnoteReference w:id="12"/>
      </w:r>
      <w:r w:rsidRPr="00CE014C" w:rsidR="00DE69F0">
        <w:rPr>
          <w:rFonts w:ascii="Times New Roman" w:hAnsi="Times New Roman" w:cs="Times New Roman"/>
          <w:sz w:val="24"/>
          <w:szCs w:val="24"/>
        </w:rPr>
        <w:t xml:space="preserve">  Case No, 15-1513 involves </w:t>
      </w:r>
      <w:r w:rsidRPr="00CE014C" w:rsidR="0006572F">
        <w:rPr>
          <w:rFonts w:ascii="Times New Roman" w:hAnsi="Times New Roman" w:cs="Times New Roman"/>
          <w:sz w:val="24"/>
          <w:szCs w:val="24"/>
        </w:rPr>
        <w:t>Ohio Power’s actual gridSMART Phase I spending and revenue collection from customers for January through May 2015 and capital carrying costs from June through December 2015.</w:t>
      </w:r>
      <w:r>
        <w:rPr>
          <w:rStyle w:val="FootnoteReference"/>
          <w:rFonts w:ascii="Times New Roman" w:hAnsi="Times New Roman" w:cs="Times New Roman"/>
          <w:sz w:val="24"/>
          <w:szCs w:val="24"/>
        </w:rPr>
        <w:footnoteReference w:id="13"/>
      </w:r>
    </w:p>
    <w:p w:rsidR="00472BF0" w:rsidRPr="00CE014C" w:rsidP="003821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Pr="00CE014C" w:rsidR="00206D90">
        <w:rPr>
          <w:rFonts w:ascii="Times New Roman" w:hAnsi="Times New Roman" w:cs="Times New Roman"/>
          <w:sz w:val="24"/>
          <w:szCs w:val="24"/>
        </w:rPr>
        <w:t xml:space="preserve">n January 21, 2016, </w:t>
      </w:r>
      <w:r w:rsidRPr="00CE014C">
        <w:rPr>
          <w:rFonts w:ascii="Times New Roman" w:hAnsi="Times New Roman" w:cs="Times New Roman"/>
          <w:sz w:val="24"/>
          <w:szCs w:val="24"/>
        </w:rPr>
        <w:t xml:space="preserve">the PUCO </w:t>
      </w:r>
      <w:r w:rsidRPr="00CE014C" w:rsidR="00206D90">
        <w:rPr>
          <w:rFonts w:ascii="Times New Roman" w:hAnsi="Times New Roman" w:cs="Times New Roman"/>
          <w:sz w:val="24"/>
          <w:szCs w:val="24"/>
        </w:rPr>
        <w:t>Staff filed a Review in the</w:t>
      </w:r>
      <w:r w:rsidRPr="00CE014C">
        <w:rPr>
          <w:rFonts w:ascii="Times New Roman" w:hAnsi="Times New Roman" w:cs="Times New Roman"/>
          <w:sz w:val="24"/>
          <w:szCs w:val="24"/>
        </w:rPr>
        <w:t>se</w:t>
      </w:r>
      <w:r w:rsidRPr="00CE014C" w:rsidR="00206D90">
        <w:rPr>
          <w:rFonts w:ascii="Times New Roman" w:hAnsi="Times New Roman" w:cs="Times New Roman"/>
          <w:sz w:val="24"/>
          <w:szCs w:val="24"/>
        </w:rPr>
        <w:t xml:space="preserve"> case</w:t>
      </w:r>
      <w:r w:rsidRPr="00CE014C">
        <w:rPr>
          <w:rFonts w:ascii="Times New Roman" w:hAnsi="Times New Roman" w:cs="Times New Roman"/>
          <w:sz w:val="24"/>
          <w:szCs w:val="24"/>
        </w:rPr>
        <w:t xml:space="preserve">s.  The PUCO Staff </w:t>
      </w:r>
      <w:r w:rsidRPr="00CE014C" w:rsidR="00206D90">
        <w:rPr>
          <w:rFonts w:ascii="Times New Roman" w:hAnsi="Times New Roman" w:cs="Times New Roman"/>
          <w:sz w:val="24"/>
          <w:szCs w:val="24"/>
        </w:rPr>
        <w:t>recommend</w:t>
      </w:r>
      <w:r w:rsidRPr="00CE014C">
        <w:rPr>
          <w:rFonts w:ascii="Times New Roman" w:hAnsi="Times New Roman" w:cs="Times New Roman"/>
          <w:sz w:val="24"/>
          <w:szCs w:val="24"/>
        </w:rPr>
        <w:t>ed</w:t>
      </w:r>
      <w:r w:rsidRPr="00CE014C" w:rsidR="00206D90">
        <w:rPr>
          <w:rFonts w:ascii="Times New Roman" w:hAnsi="Times New Roman" w:cs="Times New Roman"/>
          <w:sz w:val="24"/>
          <w:szCs w:val="24"/>
        </w:rPr>
        <w:t xml:space="preserve"> that the gridSMART monthly charge for residential consumers be lowered $0.86, to $0.15.</w:t>
      </w:r>
      <w:r>
        <w:rPr>
          <w:rStyle w:val="FootnoteReference"/>
          <w:rFonts w:ascii="Times New Roman" w:hAnsi="Times New Roman" w:cs="Times New Roman"/>
          <w:sz w:val="24"/>
          <w:szCs w:val="24"/>
        </w:rPr>
        <w:footnoteReference w:id="14"/>
      </w:r>
      <w:r w:rsidRPr="00CE014C" w:rsidR="00206D90">
        <w:rPr>
          <w:rFonts w:ascii="Times New Roman" w:hAnsi="Times New Roman" w:cs="Times New Roman"/>
          <w:sz w:val="24"/>
          <w:szCs w:val="24"/>
        </w:rPr>
        <w:t xml:space="preserve"> </w:t>
      </w:r>
      <w:r w:rsidRPr="00CE014C">
        <w:rPr>
          <w:rFonts w:ascii="Times New Roman" w:hAnsi="Times New Roman" w:cs="Times New Roman"/>
          <w:sz w:val="24"/>
          <w:szCs w:val="24"/>
        </w:rPr>
        <w:t>The PUCO Staff identified reductions totaling $578,137 in Case No. 15-240 and another $128,708 in Case No. 15-1513.</w:t>
      </w:r>
      <w:r>
        <w:rPr>
          <w:rStyle w:val="FootnoteReference"/>
          <w:rFonts w:ascii="Times New Roman" w:hAnsi="Times New Roman" w:cs="Times New Roman"/>
          <w:sz w:val="24"/>
          <w:szCs w:val="24"/>
        </w:rPr>
        <w:footnoteReference w:id="15"/>
      </w:r>
      <w:r w:rsidRPr="00CE014C">
        <w:rPr>
          <w:rFonts w:ascii="Times New Roman" w:hAnsi="Times New Roman" w:cs="Times New Roman"/>
          <w:sz w:val="24"/>
          <w:szCs w:val="24"/>
        </w:rPr>
        <w:t xml:space="preserve">  </w:t>
      </w:r>
    </w:p>
    <w:p w:rsidR="003F7FF8" w:rsidRPr="00CE014C" w:rsidP="003821BA">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Subsequently, Ohio Power filed Reply Comments disputing some of the adjustments that </w:t>
      </w:r>
      <w:r w:rsidRPr="00CE014C" w:rsidR="00472BF0">
        <w:rPr>
          <w:rFonts w:ascii="Times New Roman" w:hAnsi="Times New Roman" w:cs="Times New Roman"/>
          <w:sz w:val="24"/>
          <w:szCs w:val="24"/>
        </w:rPr>
        <w:t xml:space="preserve">the PUCO </w:t>
      </w:r>
      <w:r w:rsidRPr="00CE014C">
        <w:rPr>
          <w:rFonts w:ascii="Times New Roman" w:hAnsi="Times New Roman" w:cs="Times New Roman"/>
          <w:sz w:val="24"/>
          <w:szCs w:val="24"/>
        </w:rPr>
        <w:t>Staff recommended.</w:t>
      </w:r>
      <w:r>
        <w:rPr>
          <w:rStyle w:val="FootnoteReference"/>
          <w:rFonts w:ascii="Times New Roman" w:hAnsi="Times New Roman" w:cs="Times New Roman"/>
          <w:sz w:val="24"/>
          <w:szCs w:val="24"/>
        </w:rPr>
        <w:footnoteReference w:id="16"/>
      </w:r>
      <w:r w:rsidRPr="00CE014C">
        <w:rPr>
          <w:rFonts w:ascii="Times New Roman" w:hAnsi="Times New Roman" w:cs="Times New Roman"/>
          <w:sz w:val="24"/>
          <w:szCs w:val="24"/>
        </w:rPr>
        <w:t xml:space="preserve"> </w:t>
      </w:r>
      <w:r w:rsidRPr="00CE014C" w:rsidR="00472BF0">
        <w:rPr>
          <w:rFonts w:ascii="Times New Roman" w:hAnsi="Times New Roman" w:cs="Times New Roman"/>
          <w:sz w:val="24"/>
          <w:szCs w:val="24"/>
        </w:rPr>
        <w:t>O</w:t>
      </w:r>
      <w:r w:rsidRPr="00CE014C">
        <w:rPr>
          <w:rFonts w:ascii="Times New Roman" w:hAnsi="Times New Roman" w:cs="Times New Roman"/>
          <w:sz w:val="24"/>
          <w:szCs w:val="24"/>
        </w:rPr>
        <w:t xml:space="preserve">n June 20, 2016, </w:t>
      </w:r>
      <w:r w:rsidRPr="00CE014C" w:rsidR="00472BF0">
        <w:rPr>
          <w:rFonts w:ascii="Times New Roman" w:hAnsi="Times New Roman" w:cs="Times New Roman"/>
          <w:sz w:val="24"/>
          <w:szCs w:val="24"/>
        </w:rPr>
        <w:t xml:space="preserve">the PUCO </w:t>
      </w:r>
      <w:r w:rsidRPr="00CE014C">
        <w:rPr>
          <w:rFonts w:ascii="Times New Roman" w:hAnsi="Times New Roman" w:cs="Times New Roman"/>
          <w:sz w:val="24"/>
          <w:szCs w:val="24"/>
        </w:rPr>
        <w:t xml:space="preserve">Staff </w:t>
      </w:r>
      <w:r w:rsidRPr="00CE014C" w:rsidR="00472BF0">
        <w:rPr>
          <w:rFonts w:ascii="Times New Roman" w:hAnsi="Times New Roman" w:cs="Times New Roman"/>
          <w:sz w:val="24"/>
          <w:szCs w:val="24"/>
        </w:rPr>
        <w:t xml:space="preserve">filed an Updated Review that </w:t>
      </w:r>
      <w:r w:rsidRPr="00CE014C">
        <w:rPr>
          <w:rFonts w:ascii="Times New Roman" w:hAnsi="Times New Roman" w:cs="Times New Roman"/>
          <w:sz w:val="24"/>
          <w:szCs w:val="24"/>
        </w:rPr>
        <w:t xml:space="preserve">agreed with some of </w:t>
      </w:r>
      <w:r w:rsidRPr="00CE014C" w:rsidR="00472BF0">
        <w:rPr>
          <w:rFonts w:ascii="Times New Roman" w:hAnsi="Times New Roman" w:cs="Times New Roman"/>
          <w:sz w:val="24"/>
          <w:szCs w:val="24"/>
        </w:rPr>
        <w:t xml:space="preserve">Ohio Power’s </w:t>
      </w:r>
      <w:r w:rsidRPr="00CE014C">
        <w:rPr>
          <w:rFonts w:ascii="Times New Roman" w:hAnsi="Times New Roman" w:cs="Times New Roman"/>
          <w:sz w:val="24"/>
          <w:szCs w:val="24"/>
        </w:rPr>
        <w:t>arguments</w:t>
      </w:r>
      <w:r w:rsidRPr="00CE014C" w:rsidR="00472BF0">
        <w:rPr>
          <w:rFonts w:ascii="Times New Roman" w:hAnsi="Times New Roman" w:cs="Times New Roman"/>
          <w:sz w:val="24"/>
          <w:szCs w:val="24"/>
        </w:rPr>
        <w:t>.</w:t>
      </w:r>
      <w:r w:rsidRPr="00CE014C">
        <w:rPr>
          <w:rFonts w:ascii="Times New Roman" w:hAnsi="Times New Roman" w:cs="Times New Roman"/>
          <w:sz w:val="24"/>
          <w:szCs w:val="24"/>
        </w:rPr>
        <w:t xml:space="preserve">  </w:t>
      </w:r>
      <w:r w:rsidRPr="00CE014C" w:rsidR="00472BF0">
        <w:rPr>
          <w:rFonts w:ascii="Times New Roman" w:hAnsi="Times New Roman" w:cs="Times New Roman"/>
          <w:sz w:val="24"/>
          <w:szCs w:val="24"/>
        </w:rPr>
        <w:t xml:space="preserve">The PUCO Staff </w:t>
      </w:r>
      <w:r w:rsidRPr="00CE014C">
        <w:rPr>
          <w:rFonts w:ascii="Times New Roman" w:hAnsi="Times New Roman" w:cs="Times New Roman"/>
          <w:sz w:val="24"/>
          <w:szCs w:val="24"/>
        </w:rPr>
        <w:t>recommend</w:t>
      </w:r>
      <w:r w:rsidRPr="00CE014C">
        <w:rPr>
          <w:rFonts w:ascii="Times New Roman" w:hAnsi="Times New Roman" w:cs="Times New Roman"/>
          <w:sz w:val="24"/>
          <w:szCs w:val="24"/>
        </w:rPr>
        <w:t>ed</w:t>
      </w:r>
      <w:r w:rsidRPr="00CE014C">
        <w:rPr>
          <w:rFonts w:ascii="Times New Roman" w:hAnsi="Times New Roman" w:cs="Times New Roman"/>
          <w:sz w:val="24"/>
          <w:szCs w:val="24"/>
        </w:rPr>
        <w:t xml:space="preserve"> that </w:t>
      </w:r>
      <w:r w:rsidRPr="00CE014C">
        <w:rPr>
          <w:rFonts w:ascii="Times New Roman" w:hAnsi="Times New Roman" w:cs="Times New Roman"/>
          <w:sz w:val="24"/>
          <w:szCs w:val="24"/>
        </w:rPr>
        <w:t xml:space="preserve">the gridSMART rider be reduced by </w:t>
      </w:r>
      <w:r w:rsidRPr="00CE014C" w:rsidR="00472BF0">
        <w:rPr>
          <w:rFonts w:ascii="Times New Roman" w:hAnsi="Times New Roman" w:cs="Times New Roman"/>
          <w:sz w:val="24"/>
          <w:szCs w:val="24"/>
        </w:rPr>
        <w:t>only $</w:t>
      </w:r>
      <w:r w:rsidRPr="00CE014C">
        <w:rPr>
          <w:rFonts w:ascii="Times New Roman" w:hAnsi="Times New Roman" w:cs="Times New Roman"/>
          <w:sz w:val="24"/>
          <w:szCs w:val="24"/>
        </w:rPr>
        <w:t>62</w:t>
      </w:r>
      <w:r w:rsidRPr="00CE014C" w:rsidR="00472BF0">
        <w:rPr>
          <w:rFonts w:ascii="Times New Roman" w:hAnsi="Times New Roman" w:cs="Times New Roman"/>
          <w:sz w:val="24"/>
          <w:szCs w:val="24"/>
        </w:rPr>
        <w:t>,</w:t>
      </w:r>
      <w:r w:rsidRPr="00CE014C">
        <w:rPr>
          <w:rFonts w:ascii="Times New Roman" w:hAnsi="Times New Roman" w:cs="Times New Roman"/>
          <w:sz w:val="24"/>
          <w:szCs w:val="24"/>
        </w:rPr>
        <w:t>398 in Case No. 15-240 and</w:t>
      </w:r>
      <w:r w:rsidRPr="00CE014C" w:rsidR="00472BF0">
        <w:rPr>
          <w:rFonts w:ascii="Times New Roman" w:hAnsi="Times New Roman" w:cs="Times New Roman"/>
          <w:sz w:val="24"/>
          <w:szCs w:val="24"/>
        </w:rPr>
        <w:t xml:space="preserve"> </w:t>
      </w:r>
      <w:r w:rsidRPr="00CE014C">
        <w:rPr>
          <w:rFonts w:ascii="Times New Roman" w:hAnsi="Times New Roman" w:cs="Times New Roman"/>
          <w:sz w:val="24"/>
          <w:szCs w:val="24"/>
        </w:rPr>
        <w:t>$210 in Case No. 15-1523.</w:t>
      </w:r>
      <w:r>
        <w:rPr>
          <w:rStyle w:val="FootnoteReference"/>
          <w:rFonts w:ascii="Times New Roman" w:hAnsi="Times New Roman" w:cs="Times New Roman"/>
          <w:sz w:val="24"/>
          <w:szCs w:val="24"/>
        </w:rPr>
        <w:footnoteReference w:id="17"/>
      </w:r>
      <w:r w:rsidRPr="00CE014C">
        <w:rPr>
          <w:rFonts w:ascii="Times New Roman" w:hAnsi="Times New Roman" w:cs="Times New Roman"/>
          <w:sz w:val="24"/>
          <w:szCs w:val="24"/>
        </w:rPr>
        <w:t xml:space="preserve">  The PUCO Staff recommended that the </w:t>
      </w:r>
      <w:r w:rsidRPr="00CE014C">
        <w:rPr>
          <w:rFonts w:ascii="Times New Roman" w:hAnsi="Times New Roman" w:cs="Times New Roman"/>
          <w:sz w:val="24"/>
          <w:szCs w:val="24"/>
        </w:rPr>
        <w:t xml:space="preserve">monthly charge </w:t>
      </w:r>
      <w:r w:rsidRPr="00CE014C">
        <w:rPr>
          <w:rFonts w:ascii="Times New Roman" w:hAnsi="Times New Roman" w:cs="Times New Roman"/>
          <w:sz w:val="24"/>
          <w:szCs w:val="24"/>
        </w:rPr>
        <w:t xml:space="preserve">to </w:t>
      </w:r>
      <w:r w:rsidRPr="00CE014C">
        <w:rPr>
          <w:rFonts w:ascii="Times New Roman" w:hAnsi="Times New Roman" w:cs="Times New Roman"/>
          <w:sz w:val="24"/>
          <w:szCs w:val="24"/>
        </w:rPr>
        <w:t xml:space="preserve">residential customers </w:t>
      </w:r>
      <w:r w:rsidRPr="00CE014C">
        <w:rPr>
          <w:rFonts w:ascii="Times New Roman" w:hAnsi="Times New Roman" w:cs="Times New Roman"/>
          <w:sz w:val="24"/>
          <w:szCs w:val="24"/>
        </w:rPr>
        <w:t xml:space="preserve">in the gridSMART rider </w:t>
      </w:r>
      <w:r w:rsidRPr="00CE014C">
        <w:rPr>
          <w:rFonts w:ascii="Times New Roman" w:hAnsi="Times New Roman" w:cs="Times New Roman"/>
          <w:sz w:val="24"/>
          <w:szCs w:val="24"/>
        </w:rPr>
        <w:t>be $0.18.</w:t>
      </w:r>
      <w:r>
        <w:rPr>
          <w:rStyle w:val="FootnoteReference"/>
          <w:rFonts w:ascii="Times New Roman" w:hAnsi="Times New Roman" w:cs="Times New Roman"/>
          <w:sz w:val="24"/>
          <w:szCs w:val="24"/>
        </w:rPr>
        <w:footnoteReference w:id="18"/>
      </w:r>
      <w:r w:rsidRPr="00CE014C">
        <w:rPr>
          <w:rFonts w:ascii="Times New Roman" w:hAnsi="Times New Roman" w:cs="Times New Roman"/>
          <w:sz w:val="24"/>
          <w:szCs w:val="24"/>
        </w:rPr>
        <w:t xml:space="preserve"> </w:t>
      </w:r>
    </w:p>
    <w:p w:rsidR="00206D90" w:rsidRPr="00CE014C" w:rsidP="003821BA">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On February 9, 2017, the Attorney Examiner issued an Entry establishing March 6, 2017 as a deadline for Initial Comments and March 20, 2017 a deadline for filing Reply Comments.</w:t>
      </w:r>
      <w:r>
        <w:rPr>
          <w:rStyle w:val="FootnoteReference"/>
          <w:rFonts w:ascii="Times New Roman" w:hAnsi="Times New Roman" w:cs="Times New Roman"/>
          <w:sz w:val="24"/>
          <w:szCs w:val="24"/>
        </w:rPr>
        <w:footnoteReference w:id="19"/>
      </w:r>
      <w:r w:rsidRPr="00CE014C">
        <w:rPr>
          <w:rFonts w:ascii="Times New Roman" w:hAnsi="Times New Roman" w:cs="Times New Roman"/>
          <w:sz w:val="24"/>
          <w:szCs w:val="24"/>
        </w:rPr>
        <w:t xml:space="preserve"> OCC hereby timely files its Initial Comments.</w:t>
      </w:r>
    </w:p>
    <w:p w:rsidR="003D6B53" w:rsidP="0020191E">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The cost of Ohio Power’s gridSMART </w:t>
      </w:r>
      <w:r w:rsidR="0020191E">
        <w:rPr>
          <w:rFonts w:ascii="Times New Roman" w:hAnsi="Times New Roman" w:cs="Times New Roman"/>
          <w:sz w:val="24"/>
          <w:szCs w:val="24"/>
        </w:rPr>
        <w:t xml:space="preserve">Phase I </w:t>
      </w:r>
      <w:r w:rsidRPr="00CE014C">
        <w:rPr>
          <w:rFonts w:ascii="Times New Roman" w:hAnsi="Times New Roman" w:cs="Times New Roman"/>
          <w:sz w:val="24"/>
          <w:szCs w:val="24"/>
        </w:rPr>
        <w:t xml:space="preserve">project thus far is </w:t>
      </w:r>
      <w:r w:rsidRPr="00CE014C" w:rsidR="00206D90">
        <w:rPr>
          <w:rFonts w:ascii="Times New Roman" w:hAnsi="Times New Roman" w:cs="Times New Roman"/>
          <w:sz w:val="24"/>
          <w:szCs w:val="24"/>
        </w:rPr>
        <w:t>$</w:t>
      </w:r>
      <w:r w:rsidRPr="00CE014C" w:rsidR="005A30E1">
        <w:rPr>
          <w:rFonts w:ascii="Times New Roman" w:hAnsi="Times New Roman" w:cs="Times New Roman"/>
          <w:sz w:val="24"/>
          <w:szCs w:val="24"/>
        </w:rPr>
        <w:t>141.3</w:t>
      </w:r>
      <w:r w:rsidR="002D4EA5">
        <w:rPr>
          <w:rFonts w:ascii="Times New Roman" w:hAnsi="Times New Roman" w:cs="Times New Roman"/>
          <w:sz w:val="24"/>
          <w:szCs w:val="24"/>
        </w:rPr>
        <w:t xml:space="preserve"> million</w:t>
      </w:r>
      <w:r w:rsidRPr="00CE014C" w:rsidR="00206D90">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CE014C" w:rsidR="00206D90">
        <w:rPr>
          <w:rFonts w:ascii="Times New Roman" w:hAnsi="Times New Roman" w:cs="Times New Roman"/>
          <w:sz w:val="24"/>
          <w:szCs w:val="24"/>
        </w:rPr>
        <w:t xml:space="preserve"> </w:t>
      </w:r>
      <w:r w:rsidR="0020191E">
        <w:rPr>
          <w:rFonts w:ascii="Times New Roman" w:hAnsi="Times New Roman" w:cs="Times New Roman"/>
          <w:sz w:val="24"/>
          <w:szCs w:val="24"/>
        </w:rPr>
        <w:t>The PUCO first approved gridS</w:t>
      </w:r>
      <w:r w:rsidR="000C218B">
        <w:rPr>
          <w:rFonts w:ascii="Times New Roman" w:hAnsi="Times New Roman" w:cs="Times New Roman"/>
          <w:sz w:val="24"/>
          <w:szCs w:val="24"/>
        </w:rPr>
        <w:t>MART</w:t>
      </w:r>
      <w:r w:rsidR="0020191E">
        <w:rPr>
          <w:rFonts w:ascii="Times New Roman" w:hAnsi="Times New Roman" w:cs="Times New Roman"/>
          <w:sz w:val="24"/>
          <w:szCs w:val="24"/>
        </w:rPr>
        <w:t xml:space="preserve"> as part of Ohio Power’s initial electric security plan.  Notably at that time OCC as well as the PUCO Staff were skeptical of the program. </w:t>
      </w:r>
      <w:r w:rsidR="004A41AB">
        <w:rPr>
          <w:rFonts w:ascii="Times New Roman" w:hAnsi="Times New Roman" w:cs="Times New Roman"/>
          <w:sz w:val="24"/>
          <w:szCs w:val="24"/>
        </w:rPr>
        <w:t xml:space="preserve">At that time, </w:t>
      </w:r>
      <w:r w:rsidRPr="00CE014C" w:rsidR="0020191E">
        <w:rPr>
          <w:rFonts w:ascii="Times New Roman" w:hAnsi="Times New Roman" w:cs="Times New Roman"/>
          <w:sz w:val="24"/>
          <w:szCs w:val="24"/>
        </w:rPr>
        <w:t>the Staff of the PUCO argued that there should be risk-sharing between the ratepayers and shareholders, and the program should include an operational savings or a cost-benefit analysis.</w:t>
      </w:r>
      <w:r>
        <w:rPr>
          <w:rStyle w:val="FootnoteReference"/>
          <w:rFonts w:ascii="Times New Roman" w:hAnsi="Times New Roman" w:cs="Times New Roman"/>
          <w:sz w:val="24"/>
          <w:szCs w:val="24"/>
        </w:rPr>
        <w:footnoteReference w:id="21"/>
      </w:r>
      <w:r w:rsidRPr="00CE014C" w:rsidR="0020191E">
        <w:rPr>
          <w:rFonts w:ascii="Times New Roman" w:hAnsi="Times New Roman" w:cs="Times New Roman"/>
          <w:sz w:val="24"/>
          <w:szCs w:val="24"/>
        </w:rPr>
        <w:t xml:space="preserve"> The Staff also pointed out that the Utility did not quantify any customer or societal benefits of the proposed gridSMART initiative.</w:t>
      </w:r>
      <w:r>
        <w:rPr>
          <w:rStyle w:val="FootnoteReference"/>
          <w:rFonts w:ascii="Times New Roman" w:hAnsi="Times New Roman" w:cs="Times New Roman"/>
          <w:sz w:val="24"/>
          <w:szCs w:val="24"/>
        </w:rPr>
        <w:footnoteReference w:id="22"/>
      </w:r>
      <w:r w:rsidRPr="00CE014C" w:rsidR="0020191E">
        <w:rPr>
          <w:rFonts w:ascii="Times New Roman" w:hAnsi="Times New Roman" w:cs="Times New Roman"/>
          <w:sz w:val="24"/>
          <w:szCs w:val="24"/>
        </w:rPr>
        <w:t xml:space="preserve"> </w:t>
      </w:r>
      <w:r w:rsidR="0020191E">
        <w:rPr>
          <w:rFonts w:ascii="Times New Roman" w:hAnsi="Times New Roman" w:cs="Times New Roman"/>
          <w:sz w:val="24"/>
          <w:szCs w:val="24"/>
        </w:rPr>
        <w:t xml:space="preserve">The PUCO’s Staff’s arguments were well made, but seemingly ignored by the PUCO.  </w:t>
      </w:r>
    </w:p>
    <w:p w:rsidR="00206D90" w:rsidRPr="00CE014C" w:rsidP="003D6B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did not adopt a</w:t>
      </w:r>
      <w:r w:rsidRPr="00CE014C">
        <w:rPr>
          <w:rFonts w:ascii="Times New Roman" w:hAnsi="Times New Roman" w:cs="Times New Roman"/>
          <w:sz w:val="24"/>
          <w:szCs w:val="24"/>
        </w:rPr>
        <w:t xml:space="preserve"> risk-sharing </w:t>
      </w:r>
      <w:r>
        <w:rPr>
          <w:rFonts w:ascii="Times New Roman" w:hAnsi="Times New Roman" w:cs="Times New Roman"/>
          <w:sz w:val="24"/>
          <w:szCs w:val="24"/>
        </w:rPr>
        <w:t xml:space="preserve">approach </w:t>
      </w:r>
      <w:r w:rsidRPr="00CE014C">
        <w:rPr>
          <w:rFonts w:ascii="Times New Roman" w:hAnsi="Times New Roman" w:cs="Times New Roman"/>
          <w:sz w:val="24"/>
          <w:szCs w:val="24"/>
        </w:rPr>
        <w:t>between the ratepayers and shareholder</w:t>
      </w:r>
      <w:r>
        <w:rPr>
          <w:rFonts w:ascii="Times New Roman" w:hAnsi="Times New Roman" w:cs="Times New Roman"/>
          <w:sz w:val="24"/>
          <w:szCs w:val="24"/>
        </w:rPr>
        <w:t xml:space="preserve">s.  The PUCO did not expressly adopt a </w:t>
      </w:r>
      <w:r w:rsidRPr="00CE014C">
        <w:rPr>
          <w:rFonts w:ascii="Times New Roman" w:hAnsi="Times New Roman" w:cs="Times New Roman"/>
          <w:sz w:val="24"/>
          <w:szCs w:val="24"/>
        </w:rPr>
        <w:t xml:space="preserve">cost-benefit </w:t>
      </w:r>
      <w:r>
        <w:rPr>
          <w:rFonts w:ascii="Times New Roman" w:hAnsi="Times New Roman" w:cs="Times New Roman"/>
          <w:sz w:val="24"/>
          <w:szCs w:val="24"/>
        </w:rPr>
        <w:t>approach.  And the PUCO failed to require Ohio Power to quantify</w:t>
      </w:r>
      <w:r w:rsidRPr="00CE014C">
        <w:rPr>
          <w:rFonts w:ascii="Times New Roman" w:hAnsi="Times New Roman" w:cs="Times New Roman"/>
          <w:sz w:val="24"/>
          <w:szCs w:val="24"/>
        </w:rPr>
        <w:t xml:space="preserve"> any customer or societal benefits of gridSMART.</w:t>
      </w:r>
      <w:r w:rsidR="003D6B53">
        <w:rPr>
          <w:rFonts w:ascii="Times New Roman" w:hAnsi="Times New Roman" w:cs="Times New Roman"/>
          <w:sz w:val="24"/>
          <w:szCs w:val="24"/>
        </w:rPr>
        <w:t xml:space="preserve"> </w:t>
      </w:r>
      <w:r>
        <w:rPr>
          <w:rFonts w:ascii="Times New Roman" w:hAnsi="Times New Roman" w:cs="Times New Roman"/>
          <w:sz w:val="24"/>
          <w:szCs w:val="24"/>
        </w:rPr>
        <w:t xml:space="preserve">Instead, the PUCO seemed focus on the potential long-term benefits to customers and the utility – primarily reliability, and customers’ ability to manage and reduce their energy costs.  </w:t>
      </w:r>
    </w:p>
    <w:p w:rsidR="00206D90" w:rsidRPr="00CE014C" w:rsidP="003821BA">
      <w:pPr>
        <w:spacing w:line="240" w:lineRule="auto"/>
        <w:ind w:left="720" w:right="720"/>
        <w:rPr>
          <w:rFonts w:ascii="Times New Roman" w:hAnsi="Times New Roman" w:cs="Times New Roman"/>
          <w:sz w:val="24"/>
          <w:szCs w:val="24"/>
        </w:rPr>
      </w:pPr>
      <w:r w:rsidRPr="00CE014C">
        <w:rPr>
          <w:rFonts w:ascii="Times New Roman" w:hAnsi="Times New Roman" w:cs="Times New Roman"/>
          <w:sz w:val="24"/>
          <w:szCs w:val="24"/>
        </w:rPr>
        <w:t>[I]t is important that steps be taken by the electric utilities to explore and implement technologies … that will potentially provide long-term benefits to customers and the electric utility. GridSMART Phase 1 will provide CSP with beneficial information as to implementation, equipment preferences, customer expectations, and customer education requirements … More reliable service is clearly beneficial to CSP’s customers. The Commission strongly supports the implementation of AMI [advanced metering infrastructure] and DA [distribution automation i</w:t>
      </w:r>
      <w:r w:rsidRPr="00CE014C" w:rsidR="004D037D">
        <w:rPr>
          <w:rFonts w:ascii="Times New Roman" w:hAnsi="Times New Roman" w:cs="Times New Roman"/>
          <w:sz w:val="24"/>
          <w:szCs w:val="24"/>
        </w:rPr>
        <w:t>n</w:t>
      </w:r>
      <w:r w:rsidRPr="00CE014C">
        <w:rPr>
          <w:rFonts w:ascii="Times New Roman" w:hAnsi="Times New Roman" w:cs="Times New Roman"/>
          <w:sz w:val="24"/>
          <w:szCs w:val="24"/>
        </w:rPr>
        <w:t>it</w:t>
      </w:r>
      <w:r w:rsidRPr="00CE014C" w:rsidR="004D037D">
        <w:rPr>
          <w:rFonts w:ascii="Times New Roman" w:hAnsi="Times New Roman" w:cs="Times New Roman"/>
          <w:sz w:val="24"/>
          <w:szCs w:val="24"/>
        </w:rPr>
        <w:t>i</w:t>
      </w:r>
      <w:r w:rsidRPr="00CE014C">
        <w:rPr>
          <w:rFonts w:ascii="Times New Roman" w:hAnsi="Times New Roman" w:cs="Times New Roman"/>
          <w:sz w:val="24"/>
          <w:szCs w:val="24"/>
        </w:rPr>
        <w:t>ative], with HAN [home area network], as we believe these advanced technologies are the foundation for AEP-Ohio providing its customers the ability to better manage their energy usage and reduce their energy costs.</w:t>
      </w:r>
      <w:r>
        <w:rPr>
          <w:rStyle w:val="FootnoteReference"/>
          <w:rFonts w:ascii="Times New Roman" w:hAnsi="Times New Roman" w:cs="Times New Roman"/>
          <w:sz w:val="24"/>
          <w:szCs w:val="24"/>
        </w:rPr>
        <w:footnoteReference w:id="23"/>
      </w:r>
    </w:p>
    <w:p w:rsidR="003F7FF8" w:rsidRPr="00CE014C" w:rsidP="004D037D">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The PUCO stated that the technologies </w:t>
      </w:r>
      <w:r w:rsidRPr="000E1F5A">
        <w:rPr>
          <w:rFonts w:ascii="Times New Roman" w:hAnsi="Times New Roman" w:cs="Times New Roman"/>
          <w:i/>
          <w:sz w:val="24"/>
          <w:szCs w:val="24"/>
        </w:rPr>
        <w:t>should</w:t>
      </w:r>
      <w:r w:rsidRPr="00CE014C">
        <w:rPr>
          <w:rFonts w:ascii="Times New Roman" w:hAnsi="Times New Roman" w:cs="Times New Roman"/>
          <w:sz w:val="24"/>
          <w:szCs w:val="24"/>
        </w:rPr>
        <w:t xml:space="preserve"> provide long-term benefits to customers and the PUCO expected that more reliable service would clearly </w:t>
      </w:r>
      <w:r w:rsidR="0070779F">
        <w:rPr>
          <w:rFonts w:ascii="Times New Roman" w:hAnsi="Times New Roman" w:cs="Times New Roman"/>
          <w:sz w:val="24"/>
          <w:szCs w:val="24"/>
        </w:rPr>
        <w:t xml:space="preserve">benefit its customers. However, the PUCO's assumptions for gridSMART  have not </w:t>
      </w:r>
      <w:r w:rsidRPr="00CE014C">
        <w:rPr>
          <w:rFonts w:ascii="Times New Roman" w:hAnsi="Times New Roman" w:cs="Times New Roman"/>
          <w:sz w:val="24"/>
          <w:szCs w:val="24"/>
        </w:rPr>
        <w:t xml:space="preserve">come to fruition. </w:t>
      </w:r>
    </w:p>
    <w:p w:rsidR="004A41AB" w:rsidP="004D037D">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Ohio Power makes no pretense of providing more reliable service</w:t>
      </w:r>
      <w:r w:rsidR="0070779F">
        <w:rPr>
          <w:rFonts w:ascii="Times New Roman" w:hAnsi="Times New Roman" w:cs="Times New Roman"/>
          <w:sz w:val="24"/>
          <w:szCs w:val="24"/>
        </w:rPr>
        <w:t xml:space="preserve"> through gridSMART</w:t>
      </w:r>
      <w:r w:rsidRPr="00CE014C">
        <w:rPr>
          <w:rFonts w:ascii="Times New Roman" w:hAnsi="Times New Roman" w:cs="Times New Roman"/>
          <w:sz w:val="24"/>
          <w:szCs w:val="24"/>
        </w:rPr>
        <w:t>. In fact, its most recent reliability standards application requests that the PUCO allow i</w:t>
      </w:r>
      <w:r w:rsidR="002D4EA5">
        <w:rPr>
          <w:rFonts w:ascii="Times New Roman" w:hAnsi="Times New Roman" w:cs="Times New Roman"/>
          <w:sz w:val="24"/>
          <w:szCs w:val="24"/>
        </w:rPr>
        <w:t>t</w:t>
      </w:r>
      <w:r w:rsidRPr="00CE014C">
        <w:rPr>
          <w:rFonts w:ascii="Times New Roman" w:hAnsi="Times New Roman" w:cs="Times New Roman"/>
          <w:sz w:val="24"/>
          <w:szCs w:val="24"/>
        </w:rPr>
        <w:t xml:space="preserve"> to worsen its standards.</w:t>
      </w:r>
      <w:r>
        <w:rPr>
          <w:rStyle w:val="FootnoteReference"/>
          <w:rFonts w:ascii="Times New Roman" w:hAnsi="Times New Roman" w:cs="Times New Roman"/>
          <w:sz w:val="24"/>
          <w:szCs w:val="24"/>
        </w:rPr>
        <w:footnoteReference w:id="24"/>
      </w:r>
      <w:r w:rsidRPr="00CE014C">
        <w:rPr>
          <w:rFonts w:ascii="Times New Roman" w:hAnsi="Times New Roman" w:cs="Times New Roman"/>
          <w:sz w:val="24"/>
          <w:szCs w:val="24"/>
        </w:rPr>
        <w:t xml:space="preserve"> And, an industry trade journal, SNL, reported that “[w]ith about 1.5 million customers in 2015, AEP subsidiary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known legally as Ohio Power </w:t>
      </w:r>
      <w:r w:rsidRPr="00CE014C" w:rsidR="004D037D">
        <w:rPr>
          <w:rFonts w:ascii="Times New Roman" w:hAnsi="Times New Roman" w:cs="Times New Roman"/>
          <w:sz w:val="24"/>
          <w:szCs w:val="24"/>
        </w:rPr>
        <w:t>C</w:t>
      </w:r>
      <w:r w:rsidRPr="00CE014C">
        <w:rPr>
          <w:rFonts w:ascii="Times New Roman" w:hAnsi="Times New Roman" w:cs="Times New Roman"/>
          <w:sz w:val="24"/>
          <w:szCs w:val="24"/>
        </w:rPr>
        <w:t>o., reported the highest SAIDI with MED [major event days] at 202 minutes, well above the industry average of 110 minutes, and SAIFI without MED of 1.32.”</w:t>
      </w:r>
      <w:r>
        <w:rPr>
          <w:rStyle w:val="FootnoteReference"/>
          <w:rFonts w:ascii="Times New Roman" w:hAnsi="Times New Roman" w:cs="Times New Roman"/>
          <w:sz w:val="24"/>
          <w:szCs w:val="24"/>
        </w:rPr>
        <w:footnoteReference w:id="25"/>
      </w:r>
      <w:r w:rsidRPr="00CE014C">
        <w:rPr>
          <w:rFonts w:ascii="Times New Roman" w:hAnsi="Times New Roman" w:cs="Times New Roman"/>
          <w:sz w:val="24"/>
          <w:szCs w:val="24"/>
        </w:rPr>
        <w:t xml:space="preserve"> </w:t>
      </w:r>
    </w:p>
    <w:p w:rsidR="00206D90" w:rsidP="004D037D">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This is a clear indication that customers are not receiving more reliable service</w:t>
      </w:r>
      <w:r w:rsidRPr="00CE014C" w:rsidR="00F67ED7">
        <w:rPr>
          <w:rFonts w:ascii="Times New Roman" w:hAnsi="Times New Roman" w:cs="Times New Roman"/>
          <w:sz w:val="24"/>
          <w:szCs w:val="24"/>
        </w:rPr>
        <w:t xml:space="preserve">, which was </w:t>
      </w:r>
      <w:r w:rsidR="0070779F">
        <w:rPr>
          <w:rFonts w:ascii="Times New Roman" w:hAnsi="Times New Roman" w:cs="Times New Roman"/>
          <w:sz w:val="24"/>
          <w:szCs w:val="24"/>
        </w:rPr>
        <w:t xml:space="preserve">part of </w:t>
      </w:r>
      <w:r w:rsidRPr="00CE014C" w:rsidR="00F67ED7">
        <w:rPr>
          <w:rFonts w:ascii="Times New Roman" w:hAnsi="Times New Roman" w:cs="Times New Roman"/>
          <w:sz w:val="24"/>
          <w:szCs w:val="24"/>
        </w:rPr>
        <w:t>the promise of gridSMART</w:t>
      </w:r>
      <w:r w:rsidRPr="00CE014C">
        <w:rPr>
          <w:rFonts w:ascii="Times New Roman" w:hAnsi="Times New Roman" w:cs="Times New Roman"/>
          <w:sz w:val="24"/>
          <w:szCs w:val="24"/>
        </w:rPr>
        <w:t xml:space="preserve">. Though customers continue to pay more and more for gridSMART, the purported </w:t>
      </w:r>
      <w:r w:rsidRPr="00CE014C" w:rsidR="00F67ED7">
        <w:rPr>
          <w:rFonts w:ascii="Times New Roman" w:hAnsi="Times New Roman" w:cs="Times New Roman"/>
          <w:sz w:val="24"/>
          <w:szCs w:val="24"/>
        </w:rPr>
        <w:t xml:space="preserve">reliability </w:t>
      </w:r>
      <w:r w:rsidRPr="00CE014C">
        <w:rPr>
          <w:rFonts w:ascii="Times New Roman" w:hAnsi="Times New Roman" w:cs="Times New Roman"/>
          <w:sz w:val="24"/>
          <w:szCs w:val="24"/>
        </w:rPr>
        <w:t>benefits</w:t>
      </w:r>
      <w:r w:rsidRPr="00CE014C" w:rsidR="00F67ED7">
        <w:rPr>
          <w:rFonts w:ascii="Times New Roman" w:hAnsi="Times New Roman" w:cs="Times New Roman"/>
          <w:sz w:val="24"/>
          <w:szCs w:val="24"/>
        </w:rPr>
        <w:t xml:space="preserve"> are not being realized</w:t>
      </w:r>
      <w:r w:rsidRPr="00CE014C">
        <w:rPr>
          <w:rFonts w:ascii="Times New Roman" w:hAnsi="Times New Roman" w:cs="Times New Roman"/>
          <w:sz w:val="24"/>
          <w:szCs w:val="24"/>
        </w:rPr>
        <w:t xml:space="preserve">. </w:t>
      </w:r>
      <w:r w:rsidR="003D6B53">
        <w:rPr>
          <w:rFonts w:ascii="Times New Roman" w:hAnsi="Times New Roman" w:cs="Times New Roman"/>
          <w:sz w:val="24"/>
          <w:szCs w:val="24"/>
        </w:rPr>
        <w:t>Before approving the final costs of gridS</w:t>
      </w:r>
      <w:r w:rsidR="000C218B">
        <w:rPr>
          <w:rFonts w:ascii="Times New Roman" w:hAnsi="Times New Roman" w:cs="Times New Roman"/>
          <w:sz w:val="24"/>
          <w:szCs w:val="24"/>
        </w:rPr>
        <w:t>MART</w:t>
      </w:r>
      <w:r w:rsidR="003D6B53">
        <w:rPr>
          <w:rFonts w:ascii="Times New Roman" w:hAnsi="Times New Roman" w:cs="Times New Roman"/>
          <w:sz w:val="24"/>
          <w:szCs w:val="24"/>
        </w:rPr>
        <w:t xml:space="preserve"> Phase I, t</w:t>
      </w:r>
      <w:r w:rsidRPr="00CE014C">
        <w:rPr>
          <w:rFonts w:ascii="Times New Roman" w:hAnsi="Times New Roman" w:cs="Times New Roman"/>
          <w:sz w:val="24"/>
          <w:szCs w:val="24"/>
        </w:rPr>
        <w:t xml:space="preserve">he PUCO </w:t>
      </w:r>
      <w:r w:rsidR="003D6B53">
        <w:rPr>
          <w:rFonts w:ascii="Times New Roman" w:hAnsi="Times New Roman" w:cs="Times New Roman"/>
          <w:sz w:val="24"/>
          <w:szCs w:val="24"/>
        </w:rPr>
        <w:t xml:space="preserve">should </w:t>
      </w:r>
      <w:r w:rsidRPr="00CE014C">
        <w:rPr>
          <w:rFonts w:ascii="Times New Roman" w:hAnsi="Times New Roman" w:cs="Times New Roman"/>
          <w:sz w:val="24"/>
          <w:szCs w:val="24"/>
        </w:rPr>
        <w:t>investigate, audit</w:t>
      </w:r>
      <w:r w:rsidRPr="00CE014C" w:rsidR="003D58F2">
        <w:rPr>
          <w:rFonts w:ascii="Times New Roman" w:hAnsi="Times New Roman" w:cs="Times New Roman"/>
          <w:sz w:val="24"/>
          <w:szCs w:val="24"/>
        </w:rPr>
        <w:t>,</w:t>
      </w:r>
      <w:r w:rsidRPr="00CE014C">
        <w:rPr>
          <w:rFonts w:ascii="Times New Roman" w:hAnsi="Times New Roman" w:cs="Times New Roman"/>
          <w:sz w:val="24"/>
          <w:szCs w:val="24"/>
        </w:rPr>
        <w:t xml:space="preserve"> and determine </w:t>
      </w:r>
      <w:r w:rsidRPr="00CE014C" w:rsidR="00F67ED7">
        <w:rPr>
          <w:rFonts w:ascii="Times New Roman" w:hAnsi="Times New Roman" w:cs="Times New Roman"/>
          <w:sz w:val="24"/>
          <w:szCs w:val="24"/>
        </w:rPr>
        <w:t xml:space="preserve">whether </w:t>
      </w:r>
      <w:r w:rsidRPr="00CE014C">
        <w:rPr>
          <w:rFonts w:ascii="Times New Roman" w:hAnsi="Times New Roman" w:cs="Times New Roman"/>
          <w:sz w:val="24"/>
          <w:szCs w:val="24"/>
        </w:rPr>
        <w:t xml:space="preserve">the </w:t>
      </w:r>
      <w:r w:rsidRPr="00CE014C" w:rsidR="000D61BC">
        <w:rPr>
          <w:rFonts w:ascii="Times New Roman" w:hAnsi="Times New Roman" w:cs="Times New Roman"/>
          <w:sz w:val="24"/>
          <w:szCs w:val="24"/>
        </w:rPr>
        <w:t>costs</w:t>
      </w:r>
      <w:r w:rsidRPr="00CE014C">
        <w:rPr>
          <w:rFonts w:ascii="Times New Roman" w:hAnsi="Times New Roman" w:cs="Times New Roman"/>
          <w:sz w:val="24"/>
          <w:szCs w:val="24"/>
        </w:rPr>
        <w:t xml:space="preserve"> customers are paying </w:t>
      </w:r>
      <w:r w:rsidR="003D6B53">
        <w:rPr>
          <w:rFonts w:ascii="Times New Roman" w:hAnsi="Times New Roman" w:cs="Times New Roman"/>
          <w:sz w:val="24"/>
          <w:szCs w:val="24"/>
        </w:rPr>
        <w:t xml:space="preserve">(and have paid) </w:t>
      </w:r>
      <w:r w:rsidRPr="00CE014C">
        <w:rPr>
          <w:rFonts w:ascii="Times New Roman" w:hAnsi="Times New Roman" w:cs="Times New Roman"/>
          <w:sz w:val="24"/>
          <w:szCs w:val="24"/>
        </w:rPr>
        <w:t>are reasonable</w:t>
      </w:r>
      <w:r w:rsidR="004A41AB">
        <w:rPr>
          <w:rFonts w:ascii="Times New Roman" w:hAnsi="Times New Roman" w:cs="Times New Roman"/>
          <w:sz w:val="24"/>
          <w:szCs w:val="24"/>
        </w:rPr>
        <w:t xml:space="preserve">, meet the standards of R.C. 4909.15, </w:t>
      </w:r>
      <w:r w:rsidRPr="00CE014C">
        <w:rPr>
          <w:rFonts w:ascii="Times New Roman" w:hAnsi="Times New Roman" w:cs="Times New Roman"/>
          <w:sz w:val="24"/>
          <w:szCs w:val="24"/>
        </w:rPr>
        <w:t>and</w:t>
      </w:r>
      <w:r w:rsidRPr="00CE014C" w:rsidR="003D58F2">
        <w:rPr>
          <w:rFonts w:ascii="Times New Roman" w:hAnsi="Times New Roman" w:cs="Times New Roman"/>
          <w:sz w:val="24"/>
          <w:szCs w:val="24"/>
        </w:rPr>
        <w:t>,</w:t>
      </w:r>
      <w:r w:rsidRPr="00CE014C">
        <w:rPr>
          <w:rFonts w:ascii="Times New Roman" w:hAnsi="Times New Roman" w:cs="Times New Roman"/>
          <w:sz w:val="24"/>
          <w:szCs w:val="24"/>
        </w:rPr>
        <w:t xml:space="preserve"> </w:t>
      </w:r>
      <w:r w:rsidR="004A41AB">
        <w:rPr>
          <w:rFonts w:ascii="Times New Roman" w:hAnsi="Times New Roman" w:cs="Times New Roman"/>
          <w:sz w:val="24"/>
          <w:szCs w:val="24"/>
        </w:rPr>
        <w:t xml:space="preserve">are </w:t>
      </w:r>
      <w:r w:rsidRPr="00CE014C">
        <w:rPr>
          <w:rFonts w:ascii="Times New Roman" w:hAnsi="Times New Roman" w:cs="Times New Roman"/>
          <w:sz w:val="24"/>
          <w:szCs w:val="24"/>
        </w:rPr>
        <w:t>cost effective</w:t>
      </w:r>
      <w:r w:rsidR="003D6B53">
        <w:rPr>
          <w:rFonts w:ascii="Times New Roman" w:hAnsi="Times New Roman" w:cs="Times New Roman"/>
          <w:sz w:val="24"/>
          <w:szCs w:val="24"/>
        </w:rPr>
        <w:t>, as required by law</w:t>
      </w:r>
      <w:r w:rsidR="004A41AB">
        <w:rPr>
          <w:rFonts w:ascii="Times New Roman" w:hAnsi="Times New Roman" w:cs="Times New Roman"/>
          <w:sz w:val="24"/>
          <w:szCs w:val="24"/>
        </w:rPr>
        <w:t xml:space="preserve"> (R.C. 4828.02)</w:t>
      </w:r>
      <w:r w:rsidRPr="00CE014C">
        <w:rPr>
          <w:rFonts w:ascii="Times New Roman" w:hAnsi="Times New Roman" w:cs="Times New Roman"/>
          <w:sz w:val="24"/>
          <w:szCs w:val="24"/>
        </w:rPr>
        <w:t>.</w:t>
      </w:r>
      <w:r w:rsidR="004A41AB">
        <w:rPr>
          <w:rFonts w:ascii="Times New Roman" w:hAnsi="Times New Roman" w:cs="Times New Roman"/>
          <w:sz w:val="24"/>
          <w:szCs w:val="24"/>
        </w:rPr>
        <w:t xml:space="preserve"> </w:t>
      </w:r>
    </w:p>
    <w:p w:rsidR="00127815" w:rsidRPr="00CE014C" w:rsidP="00127815">
      <w:pPr>
        <w:spacing w:after="0" w:line="240" w:lineRule="auto"/>
        <w:ind w:firstLine="720"/>
        <w:rPr>
          <w:rFonts w:ascii="Times New Roman" w:hAnsi="Times New Roman" w:cs="Times New Roman"/>
          <w:sz w:val="24"/>
          <w:szCs w:val="24"/>
        </w:rPr>
      </w:pPr>
    </w:p>
    <w:p w:rsidR="003821BA" w:rsidRPr="00CE014C" w:rsidP="00127815">
      <w:pPr>
        <w:pStyle w:val="Heading1"/>
        <w:rPr>
          <w:rFonts w:ascii="Times New Roman" w:hAnsi="Times New Roman" w:cs="Times New Roman"/>
          <w:szCs w:val="24"/>
        </w:rPr>
      </w:pPr>
      <w:bookmarkStart w:id="3" w:name="_Toc476575477"/>
      <w:r w:rsidRPr="00CE014C">
        <w:rPr>
          <w:rFonts w:ascii="Times New Roman" w:hAnsi="Times New Roman" w:cs="Times New Roman"/>
          <w:szCs w:val="24"/>
        </w:rPr>
        <w:t>III.</w:t>
      </w:r>
      <w:r w:rsidRPr="00CE014C">
        <w:rPr>
          <w:rFonts w:ascii="Times New Roman" w:hAnsi="Times New Roman" w:cs="Times New Roman"/>
          <w:szCs w:val="24"/>
        </w:rPr>
        <w:tab/>
      </w:r>
      <w:r w:rsidRPr="00CE014C" w:rsidR="00497278">
        <w:rPr>
          <w:rFonts w:ascii="Times New Roman" w:hAnsi="Times New Roman" w:cs="Times New Roman"/>
          <w:szCs w:val="24"/>
        </w:rPr>
        <w:t>RECOMMENDATIONS</w:t>
      </w:r>
      <w:bookmarkEnd w:id="3"/>
    </w:p>
    <w:p w:rsidR="00206D90" w:rsidRPr="00CE014C" w:rsidP="003821BA">
      <w:pPr>
        <w:pStyle w:val="Heading2"/>
        <w:rPr>
          <w:rFonts w:ascii="Times New Roman" w:hAnsi="Times New Roman" w:cs="Times New Roman"/>
          <w:szCs w:val="24"/>
        </w:rPr>
      </w:pPr>
      <w:bookmarkStart w:id="4" w:name="_Toc476575478"/>
      <w:r w:rsidRPr="00CE014C">
        <w:rPr>
          <w:rFonts w:ascii="Times New Roman" w:hAnsi="Times New Roman" w:cs="Times New Roman"/>
          <w:szCs w:val="24"/>
        </w:rPr>
        <w:t>A.</w:t>
      </w:r>
      <w:r w:rsidRPr="00CE014C">
        <w:rPr>
          <w:rFonts w:ascii="Times New Roman" w:hAnsi="Times New Roman" w:cs="Times New Roman"/>
          <w:szCs w:val="24"/>
        </w:rPr>
        <w:tab/>
      </w:r>
      <w:r w:rsidRPr="00CE014C">
        <w:rPr>
          <w:rFonts w:ascii="Times New Roman" w:hAnsi="Times New Roman" w:cs="Times New Roman"/>
          <w:szCs w:val="24"/>
        </w:rPr>
        <w:t xml:space="preserve">Customers should not continue to pay for gridSMART Phase I investments in the Distribution Investment Rider that </w:t>
      </w:r>
      <w:r w:rsidRPr="00CE014C" w:rsidR="007F748C">
        <w:rPr>
          <w:rFonts w:ascii="Times New Roman" w:hAnsi="Times New Roman" w:cs="Times New Roman"/>
          <w:szCs w:val="24"/>
        </w:rPr>
        <w:t xml:space="preserve">have not </w:t>
      </w:r>
      <w:r w:rsidRPr="00CE014C" w:rsidR="00F770A0">
        <w:rPr>
          <w:rFonts w:ascii="Times New Roman" w:hAnsi="Times New Roman" w:cs="Times New Roman"/>
          <w:szCs w:val="24"/>
        </w:rPr>
        <w:t>been found to be used and useful in providing service</w:t>
      </w:r>
      <w:r w:rsidR="006E437D">
        <w:rPr>
          <w:rFonts w:ascii="Times New Roman" w:hAnsi="Times New Roman" w:cs="Times New Roman"/>
          <w:szCs w:val="24"/>
        </w:rPr>
        <w:t xml:space="preserve"> </w:t>
      </w:r>
      <w:r w:rsidR="004A41AB">
        <w:rPr>
          <w:rFonts w:ascii="Times New Roman" w:hAnsi="Times New Roman" w:cs="Times New Roman"/>
          <w:szCs w:val="24"/>
        </w:rPr>
        <w:t>to customers, consistent with R.C. 4909.15</w:t>
      </w:r>
      <w:bookmarkEnd w:id="4"/>
      <w:r w:rsidRPr="00CE014C">
        <w:rPr>
          <w:rFonts w:ascii="Times New Roman" w:hAnsi="Times New Roman" w:cs="Times New Roman"/>
          <w:szCs w:val="24"/>
        </w:rPr>
        <w:t xml:space="preserve">    </w:t>
      </w:r>
    </w:p>
    <w:p w:rsidR="0070779F"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sidR="00206D90">
        <w:rPr>
          <w:rFonts w:ascii="Times New Roman" w:hAnsi="Times New Roman" w:cs="Times New Roman"/>
          <w:sz w:val="24"/>
          <w:szCs w:val="24"/>
        </w:rPr>
        <w:t xml:space="preserve">Since the </w:t>
      </w:r>
      <w:r w:rsidRPr="00CE014C" w:rsidR="00F67ED7">
        <w:rPr>
          <w:rFonts w:ascii="Times New Roman" w:hAnsi="Times New Roman" w:cs="Times New Roman"/>
          <w:sz w:val="24"/>
          <w:szCs w:val="24"/>
        </w:rPr>
        <w:t xml:space="preserve">PUCO </w:t>
      </w:r>
      <w:r w:rsidRPr="00CE014C" w:rsidR="00206D90">
        <w:rPr>
          <w:rFonts w:ascii="Times New Roman" w:hAnsi="Times New Roman" w:cs="Times New Roman"/>
          <w:sz w:val="24"/>
          <w:szCs w:val="24"/>
        </w:rPr>
        <w:t xml:space="preserve">approved </w:t>
      </w:r>
      <w:r w:rsidRPr="00CE014C" w:rsidR="004E784D">
        <w:rPr>
          <w:rFonts w:ascii="Times New Roman" w:hAnsi="Times New Roman" w:cs="Times New Roman"/>
          <w:sz w:val="24"/>
          <w:szCs w:val="24"/>
        </w:rPr>
        <w:t xml:space="preserve">Ohio Power’s </w:t>
      </w:r>
      <w:r w:rsidRPr="00CE014C" w:rsidR="00206D90">
        <w:rPr>
          <w:rFonts w:ascii="Times New Roman" w:hAnsi="Times New Roman" w:cs="Times New Roman"/>
          <w:sz w:val="24"/>
          <w:szCs w:val="24"/>
        </w:rPr>
        <w:t xml:space="preserve">gridSMART Phase I, the PUCO Staff has performed annual financial reviews of the costs associated with the gridSMART Phase I rider.  These reviews are typically limited to an examination of expenditures from the previous year and projecting revenue needs for the upcoming year.  In Case No. 15-240, the PUCO Staff reviewed the 2014 expenditures related to gridSMART. In Case </w:t>
      </w:r>
      <w:r w:rsidRPr="00CE014C" w:rsidR="00F67ED7">
        <w:rPr>
          <w:rFonts w:ascii="Times New Roman" w:hAnsi="Times New Roman" w:cs="Times New Roman"/>
          <w:sz w:val="24"/>
          <w:szCs w:val="24"/>
        </w:rPr>
        <w:t xml:space="preserve">No. </w:t>
      </w:r>
      <w:r w:rsidRPr="00CE014C" w:rsidR="00206D90">
        <w:rPr>
          <w:rFonts w:ascii="Times New Roman" w:hAnsi="Times New Roman" w:cs="Times New Roman"/>
          <w:sz w:val="24"/>
          <w:szCs w:val="24"/>
        </w:rPr>
        <w:t xml:space="preserve">15-1513, the </w:t>
      </w:r>
      <w:r w:rsidRPr="00CE014C" w:rsidR="00F67ED7">
        <w:rPr>
          <w:rFonts w:ascii="Times New Roman" w:hAnsi="Times New Roman" w:cs="Times New Roman"/>
          <w:sz w:val="24"/>
          <w:szCs w:val="24"/>
        </w:rPr>
        <w:t xml:space="preserve">PUCO </w:t>
      </w:r>
      <w:r w:rsidRPr="00CE014C" w:rsidR="00206D90">
        <w:rPr>
          <w:rFonts w:ascii="Times New Roman" w:hAnsi="Times New Roman" w:cs="Times New Roman"/>
          <w:sz w:val="24"/>
          <w:szCs w:val="24"/>
        </w:rPr>
        <w:t xml:space="preserve">Staff reviewed the 2015 expenditures for the period January </w:t>
      </w:r>
      <w:r w:rsidRPr="00CE014C" w:rsidR="00F67ED7">
        <w:rPr>
          <w:rFonts w:ascii="Times New Roman" w:hAnsi="Times New Roman" w:cs="Times New Roman"/>
          <w:sz w:val="24"/>
          <w:szCs w:val="24"/>
        </w:rPr>
        <w:t xml:space="preserve">through </w:t>
      </w:r>
      <w:r w:rsidRPr="00CE014C" w:rsidR="00206D90">
        <w:rPr>
          <w:rFonts w:ascii="Times New Roman" w:hAnsi="Times New Roman" w:cs="Times New Roman"/>
          <w:sz w:val="24"/>
          <w:szCs w:val="24"/>
        </w:rPr>
        <w:t xml:space="preserve">May 2015.  </w:t>
      </w:r>
      <w:r w:rsidRPr="00CE014C" w:rsidR="003D58F2">
        <w:rPr>
          <w:rFonts w:ascii="Times New Roman" w:hAnsi="Times New Roman" w:cs="Times New Roman"/>
          <w:sz w:val="24"/>
          <w:szCs w:val="24"/>
        </w:rPr>
        <w:t>According to</w:t>
      </w:r>
      <w:r w:rsidRPr="00CE014C" w:rsidR="00206D90">
        <w:rPr>
          <w:rFonts w:ascii="Times New Roman" w:hAnsi="Times New Roman" w:cs="Times New Roman"/>
          <w:sz w:val="24"/>
          <w:szCs w:val="24"/>
        </w:rPr>
        <w:t xml:space="preserve"> the ESP III Order, after June 1, 2015, the collection of gridSMART Phase I capital requirements </w:t>
      </w:r>
      <w:r w:rsidR="004A41AB">
        <w:rPr>
          <w:rFonts w:ascii="Times New Roman" w:hAnsi="Times New Roman" w:cs="Times New Roman"/>
          <w:sz w:val="24"/>
          <w:szCs w:val="24"/>
        </w:rPr>
        <w:t xml:space="preserve">(return on and of investment) </w:t>
      </w:r>
      <w:r w:rsidRPr="00CE014C" w:rsidR="00206D90">
        <w:rPr>
          <w:rFonts w:ascii="Times New Roman" w:hAnsi="Times New Roman" w:cs="Times New Roman"/>
          <w:sz w:val="24"/>
          <w:szCs w:val="24"/>
        </w:rPr>
        <w:t xml:space="preserve">will occur in the </w:t>
      </w:r>
      <w:r w:rsidRPr="00CE014C" w:rsidR="004E784D">
        <w:rPr>
          <w:rFonts w:ascii="Times New Roman" w:hAnsi="Times New Roman" w:cs="Times New Roman"/>
          <w:sz w:val="24"/>
          <w:szCs w:val="24"/>
        </w:rPr>
        <w:t>Ohio Power</w:t>
      </w:r>
      <w:r w:rsidRPr="00CE014C" w:rsidR="003D58F2">
        <w:rPr>
          <w:rFonts w:ascii="Times New Roman" w:hAnsi="Times New Roman" w:cs="Times New Roman"/>
          <w:sz w:val="24"/>
          <w:szCs w:val="24"/>
        </w:rPr>
        <w:t>’s</w:t>
      </w:r>
      <w:r w:rsidRPr="00CE014C" w:rsidR="00206D90">
        <w:rPr>
          <w:rFonts w:ascii="Times New Roman" w:hAnsi="Times New Roman" w:cs="Times New Roman"/>
          <w:sz w:val="24"/>
          <w:szCs w:val="24"/>
        </w:rPr>
        <w:t xml:space="preserve"> </w:t>
      </w:r>
      <w:r w:rsidRPr="00CE014C" w:rsidR="003D58F2">
        <w:rPr>
          <w:rFonts w:ascii="Times New Roman" w:hAnsi="Times New Roman" w:cs="Times New Roman"/>
          <w:sz w:val="24"/>
          <w:szCs w:val="24"/>
        </w:rPr>
        <w:t>Distribution Investment Rider (“DIR”) cases</w:t>
      </w:r>
      <w:r w:rsidRPr="00CE014C" w:rsidR="00206D90">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CE014C" w:rsidR="00206D90">
        <w:rPr>
          <w:rFonts w:ascii="Times New Roman" w:hAnsi="Times New Roman" w:cs="Times New Roman"/>
          <w:sz w:val="24"/>
          <w:szCs w:val="24"/>
        </w:rPr>
        <w:t xml:space="preserve">  Additional </w:t>
      </w:r>
      <w:r w:rsidRPr="00CE014C" w:rsidR="003D58F2">
        <w:rPr>
          <w:rFonts w:ascii="Times New Roman" w:hAnsi="Times New Roman" w:cs="Times New Roman"/>
          <w:sz w:val="24"/>
          <w:szCs w:val="24"/>
        </w:rPr>
        <w:t xml:space="preserve">O&amp;M </w:t>
      </w:r>
      <w:r w:rsidRPr="00CE014C" w:rsidR="00206D90">
        <w:rPr>
          <w:rFonts w:ascii="Times New Roman" w:hAnsi="Times New Roman" w:cs="Times New Roman"/>
          <w:sz w:val="24"/>
          <w:szCs w:val="24"/>
        </w:rPr>
        <w:t>requirements will be collected in the gridSMART Phase II rider.</w:t>
      </w:r>
      <w:r>
        <w:rPr>
          <w:rStyle w:val="FootnoteReference"/>
          <w:rFonts w:ascii="Times New Roman" w:hAnsi="Times New Roman" w:cs="Times New Roman"/>
          <w:sz w:val="24"/>
          <w:szCs w:val="24"/>
        </w:rPr>
        <w:footnoteReference w:id="27"/>
      </w:r>
      <w:r w:rsidRPr="00CE014C" w:rsidR="00206D90">
        <w:rPr>
          <w:rFonts w:ascii="Times New Roman" w:hAnsi="Times New Roman" w:cs="Times New Roman"/>
          <w:sz w:val="24"/>
          <w:szCs w:val="24"/>
        </w:rPr>
        <w:t xml:space="preserve">  </w:t>
      </w:r>
    </w:p>
    <w:p w:rsidR="00206D90" w:rsidRPr="00CE014C" w:rsidP="003821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E014C">
        <w:rPr>
          <w:rFonts w:ascii="Times New Roman" w:hAnsi="Times New Roman" w:cs="Times New Roman"/>
          <w:sz w:val="24"/>
          <w:szCs w:val="24"/>
        </w:rPr>
        <w:t xml:space="preserve">While financial reviews of the gridSMART </w:t>
      </w:r>
      <w:r>
        <w:rPr>
          <w:rFonts w:ascii="Times New Roman" w:hAnsi="Times New Roman" w:cs="Times New Roman"/>
          <w:sz w:val="24"/>
          <w:szCs w:val="24"/>
        </w:rPr>
        <w:t xml:space="preserve">Phase I </w:t>
      </w:r>
      <w:r w:rsidRPr="00CE014C">
        <w:rPr>
          <w:rFonts w:ascii="Times New Roman" w:hAnsi="Times New Roman" w:cs="Times New Roman"/>
          <w:sz w:val="24"/>
          <w:szCs w:val="24"/>
        </w:rPr>
        <w:t xml:space="preserve">rider are important, </w:t>
      </w:r>
      <w:r w:rsidRPr="00CE014C" w:rsidR="000D61BC">
        <w:rPr>
          <w:rFonts w:ascii="Times New Roman" w:hAnsi="Times New Roman" w:cs="Times New Roman"/>
          <w:sz w:val="24"/>
          <w:szCs w:val="24"/>
        </w:rPr>
        <w:t xml:space="preserve">it is even more important that </w:t>
      </w:r>
      <w:r w:rsidRPr="00CE014C">
        <w:rPr>
          <w:rFonts w:ascii="Times New Roman" w:hAnsi="Times New Roman" w:cs="Times New Roman"/>
          <w:sz w:val="24"/>
          <w:szCs w:val="24"/>
        </w:rPr>
        <w:t>gridSMART</w:t>
      </w:r>
      <w:r>
        <w:rPr>
          <w:rFonts w:ascii="Times New Roman" w:hAnsi="Times New Roman" w:cs="Times New Roman"/>
          <w:sz w:val="24"/>
          <w:szCs w:val="24"/>
        </w:rPr>
        <w:t xml:space="preserve"> Phase I</w:t>
      </w:r>
      <w:r w:rsidRPr="00CE014C">
        <w:rPr>
          <w:rFonts w:ascii="Times New Roman" w:hAnsi="Times New Roman" w:cs="Times New Roman"/>
          <w:sz w:val="24"/>
          <w:szCs w:val="24"/>
        </w:rPr>
        <w:t xml:space="preserve"> investments </w:t>
      </w:r>
      <w:r w:rsidR="006E437D">
        <w:rPr>
          <w:rFonts w:ascii="Times New Roman" w:hAnsi="Times New Roman" w:cs="Times New Roman"/>
          <w:sz w:val="24"/>
          <w:szCs w:val="24"/>
        </w:rPr>
        <w:t>be examined according to the standards under the law. Under R.C. 4928.02, the expenses of gridS</w:t>
      </w:r>
      <w:r>
        <w:rPr>
          <w:rFonts w:ascii="Times New Roman" w:hAnsi="Times New Roman" w:cs="Times New Roman"/>
          <w:sz w:val="24"/>
          <w:szCs w:val="24"/>
        </w:rPr>
        <w:t>MART</w:t>
      </w:r>
      <w:r w:rsidR="006E437D">
        <w:rPr>
          <w:rFonts w:ascii="Times New Roman" w:hAnsi="Times New Roman" w:cs="Times New Roman"/>
          <w:sz w:val="24"/>
          <w:szCs w:val="24"/>
        </w:rPr>
        <w:t xml:space="preserve"> </w:t>
      </w:r>
      <w:r>
        <w:rPr>
          <w:rFonts w:ascii="Times New Roman" w:hAnsi="Times New Roman" w:cs="Times New Roman"/>
          <w:sz w:val="24"/>
          <w:szCs w:val="24"/>
        </w:rPr>
        <w:t xml:space="preserve">Phase I </w:t>
      </w:r>
      <w:r w:rsidR="006E437D">
        <w:rPr>
          <w:rFonts w:ascii="Times New Roman" w:hAnsi="Times New Roman" w:cs="Times New Roman"/>
          <w:sz w:val="24"/>
          <w:szCs w:val="24"/>
        </w:rPr>
        <w:t>must be cost effective.  Under R.C. 4909.15(A)(1), the plant investments must be used and useful in providing service to customers.  And under R.C. 4909.15(</w:t>
      </w:r>
      <w:r w:rsidR="009C727D">
        <w:rPr>
          <w:rFonts w:ascii="Times New Roman" w:hAnsi="Times New Roman" w:cs="Times New Roman"/>
          <w:sz w:val="24"/>
          <w:szCs w:val="24"/>
        </w:rPr>
        <w:t>A</w:t>
      </w:r>
      <w:r w:rsidR="006E437D">
        <w:rPr>
          <w:rFonts w:ascii="Times New Roman" w:hAnsi="Times New Roman" w:cs="Times New Roman"/>
          <w:sz w:val="24"/>
          <w:szCs w:val="24"/>
        </w:rPr>
        <w:t xml:space="preserve">)(4), the expenses for gridSmart </w:t>
      </w:r>
      <w:r>
        <w:rPr>
          <w:rFonts w:ascii="Times New Roman" w:hAnsi="Times New Roman" w:cs="Times New Roman"/>
          <w:sz w:val="24"/>
          <w:szCs w:val="24"/>
        </w:rPr>
        <w:t xml:space="preserve">Phase I </w:t>
      </w:r>
      <w:r w:rsidR="006E437D">
        <w:rPr>
          <w:rFonts w:ascii="Times New Roman" w:hAnsi="Times New Roman" w:cs="Times New Roman"/>
          <w:sz w:val="24"/>
          <w:szCs w:val="24"/>
        </w:rPr>
        <w:t xml:space="preserve">must be shown to be necessary for providing service to customers. But </w:t>
      </w:r>
      <w:r w:rsidRPr="00CE014C" w:rsidR="00F770A0">
        <w:rPr>
          <w:rFonts w:ascii="Times New Roman" w:hAnsi="Times New Roman" w:cs="Times New Roman"/>
          <w:sz w:val="24"/>
          <w:szCs w:val="24"/>
        </w:rPr>
        <w:t>Ohio Power has made no such showing</w:t>
      </w:r>
      <w:r w:rsidR="006E437D">
        <w:rPr>
          <w:rFonts w:ascii="Times New Roman" w:hAnsi="Times New Roman" w:cs="Times New Roman"/>
          <w:sz w:val="24"/>
          <w:szCs w:val="24"/>
        </w:rPr>
        <w:t>; nor has the PUCO required such</w:t>
      </w:r>
      <w:r w:rsidRPr="00CE014C" w:rsidR="00F770A0">
        <w:rPr>
          <w:rFonts w:ascii="Times New Roman" w:hAnsi="Times New Roman" w:cs="Times New Roman"/>
          <w:sz w:val="24"/>
          <w:szCs w:val="24"/>
        </w:rPr>
        <w:t>.</w:t>
      </w:r>
      <w:r w:rsidRPr="00CE014C">
        <w:rPr>
          <w:rFonts w:ascii="Times New Roman" w:hAnsi="Times New Roman" w:cs="Times New Roman"/>
          <w:sz w:val="24"/>
          <w:szCs w:val="24"/>
        </w:rPr>
        <w:t xml:space="preserve"> </w:t>
      </w:r>
    </w:p>
    <w:p w:rsidR="00206D90" w:rsidRPr="00CE014C"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006E437D">
        <w:rPr>
          <w:rFonts w:ascii="Times New Roman" w:hAnsi="Times New Roman" w:cs="Times New Roman"/>
          <w:sz w:val="24"/>
          <w:szCs w:val="24"/>
        </w:rPr>
        <w:t xml:space="preserve">Nor has the </w:t>
      </w:r>
      <w:r w:rsidRPr="00CE014C">
        <w:rPr>
          <w:rFonts w:ascii="Times New Roman" w:hAnsi="Times New Roman" w:cs="Times New Roman"/>
          <w:sz w:val="24"/>
          <w:szCs w:val="24"/>
        </w:rPr>
        <w:t>grid</w:t>
      </w:r>
      <w:r w:rsidRPr="00CE014C" w:rsidR="003D58F2">
        <w:rPr>
          <w:rFonts w:ascii="Times New Roman" w:hAnsi="Times New Roman" w:cs="Times New Roman"/>
          <w:sz w:val="24"/>
          <w:szCs w:val="24"/>
        </w:rPr>
        <w:t>SMART</w:t>
      </w:r>
      <w:r w:rsidRPr="00CE014C">
        <w:rPr>
          <w:rFonts w:ascii="Times New Roman" w:hAnsi="Times New Roman" w:cs="Times New Roman"/>
          <w:sz w:val="24"/>
          <w:szCs w:val="24"/>
        </w:rPr>
        <w:t xml:space="preserve"> </w:t>
      </w:r>
      <w:r w:rsidR="006E437D">
        <w:rPr>
          <w:rFonts w:ascii="Times New Roman" w:hAnsi="Times New Roman" w:cs="Times New Roman"/>
          <w:sz w:val="24"/>
          <w:szCs w:val="24"/>
        </w:rPr>
        <w:t xml:space="preserve">Phase I </w:t>
      </w:r>
      <w:r w:rsidR="000C218B">
        <w:rPr>
          <w:rFonts w:ascii="Times New Roman" w:hAnsi="Times New Roman" w:cs="Times New Roman"/>
          <w:sz w:val="24"/>
          <w:szCs w:val="24"/>
        </w:rPr>
        <w:t>program</w:t>
      </w:r>
      <w:r w:rsidRPr="00CE014C">
        <w:rPr>
          <w:rFonts w:ascii="Times New Roman" w:hAnsi="Times New Roman" w:cs="Times New Roman"/>
          <w:sz w:val="24"/>
          <w:szCs w:val="24"/>
        </w:rPr>
        <w:t xml:space="preserve"> </w:t>
      </w:r>
      <w:r w:rsidRPr="00CE014C" w:rsidR="003D58F2">
        <w:rPr>
          <w:rFonts w:ascii="Times New Roman" w:hAnsi="Times New Roman" w:cs="Times New Roman"/>
          <w:sz w:val="24"/>
          <w:szCs w:val="24"/>
        </w:rPr>
        <w:t>me</w:t>
      </w:r>
      <w:r w:rsidR="006E437D">
        <w:rPr>
          <w:rFonts w:ascii="Times New Roman" w:hAnsi="Times New Roman" w:cs="Times New Roman"/>
          <w:sz w:val="24"/>
          <w:szCs w:val="24"/>
        </w:rPr>
        <w:t>t t</w:t>
      </w:r>
      <w:r w:rsidRPr="00CE014C">
        <w:rPr>
          <w:rFonts w:ascii="Times New Roman" w:hAnsi="Times New Roman" w:cs="Times New Roman"/>
          <w:sz w:val="24"/>
          <w:szCs w:val="24"/>
        </w:rPr>
        <w:t xml:space="preserve">he expectations </w:t>
      </w:r>
      <w:r w:rsidR="006E437D">
        <w:rPr>
          <w:rFonts w:ascii="Times New Roman" w:hAnsi="Times New Roman" w:cs="Times New Roman"/>
          <w:sz w:val="24"/>
          <w:szCs w:val="24"/>
        </w:rPr>
        <w:t xml:space="preserve">that the PUCO espoused when first allowing Ohio Power to go forward with its pilot. </w:t>
      </w:r>
      <w:r w:rsidRPr="00CE014C">
        <w:rPr>
          <w:rFonts w:ascii="Times New Roman" w:hAnsi="Times New Roman" w:cs="Times New Roman"/>
          <w:sz w:val="24"/>
          <w:szCs w:val="24"/>
        </w:rPr>
        <w:t xml:space="preserve">For example, when the PUCO approved the gridSMART Phase I program, </w:t>
      </w:r>
      <w:r w:rsidRPr="00CE014C" w:rsidR="003D58F2">
        <w:rPr>
          <w:rFonts w:ascii="Times New Roman" w:hAnsi="Times New Roman" w:cs="Times New Roman"/>
          <w:sz w:val="24"/>
          <w:szCs w:val="24"/>
        </w:rPr>
        <w:t xml:space="preserve">the PUCO </w:t>
      </w:r>
      <w:r w:rsidRPr="00CE014C" w:rsidR="000D61BC">
        <w:rPr>
          <w:rFonts w:ascii="Times New Roman" w:hAnsi="Times New Roman" w:cs="Times New Roman"/>
          <w:sz w:val="24"/>
          <w:szCs w:val="24"/>
        </w:rPr>
        <w:t xml:space="preserve">mistakenly </w:t>
      </w:r>
      <w:r w:rsidRPr="00CE014C" w:rsidR="003D58F2">
        <w:rPr>
          <w:rFonts w:ascii="Times New Roman" w:hAnsi="Times New Roman" w:cs="Times New Roman"/>
          <w:sz w:val="24"/>
          <w:szCs w:val="24"/>
        </w:rPr>
        <w:t>believed</w:t>
      </w:r>
      <w:r w:rsidRPr="00CE014C">
        <w:rPr>
          <w:rFonts w:ascii="Times New Roman" w:hAnsi="Times New Roman" w:cs="Times New Roman"/>
          <w:sz w:val="24"/>
          <w:szCs w:val="24"/>
        </w:rPr>
        <w:t xml:space="preserve"> that the advanced technologies such as </w:t>
      </w:r>
      <w:r w:rsidR="006337A0">
        <w:rPr>
          <w:rFonts w:ascii="Times New Roman" w:hAnsi="Times New Roman" w:cs="Times New Roman"/>
          <w:sz w:val="24"/>
          <w:szCs w:val="24"/>
        </w:rPr>
        <w:t xml:space="preserve">advanced metering </w:t>
      </w:r>
      <w:r w:rsidR="00F776A3">
        <w:rPr>
          <w:rFonts w:ascii="Times New Roman" w:hAnsi="Times New Roman" w:cs="Times New Roman"/>
          <w:sz w:val="24"/>
          <w:szCs w:val="24"/>
        </w:rPr>
        <w:t>infrastructure</w:t>
      </w:r>
      <w:r w:rsidR="006337A0">
        <w:rPr>
          <w:rFonts w:ascii="Times New Roman" w:hAnsi="Times New Roman" w:cs="Times New Roman"/>
          <w:sz w:val="24"/>
          <w:szCs w:val="24"/>
        </w:rPr>
        <w:t xml:space="preserve"> (“</w:t>
      </w:r>
      <w:r w:rsidRPr="00CE014C">
        <w:rPr>
          <w:rFonts w:ascii="Times New Roman" w:hAnsi="Times New Roman" w:cs="Times New Roman"/>
          <w:sz w:val="24"/>
          <w:szCs w:val="24"/>
        </w:rPr>
        <w:t>AMI</w:t>
      </w:r>
      <w:r w:rsidR="006337A0">
        <w:rPr>
          <w:rFonts w:ascii="Times New Roman" w:hAnsi="Times New Roman" w:cs="Times New Roman"/>
          <w:sz w:val="24"/>
          <w:szCs w:val="24"/>
        </w:rPr>
        <w:t>”)</w:t>
      </w:r>
      <w:r w:rsidRPr="00CE014C">
        <w:rPr>
          <w:rFonts w:ascii="Times New Roman" w:hAnsi="Times New Roman" w:cs="Times New Roman"/>
          <w:sz w:val="24"/>
          <w:szCs w:val="24"/>
        </w:rPr>
        <w:t xml:space="preserve"> and </w:t>
      </w:r>
      <w:r w:rsidR="006337A0">
        <w:rPr>
          <w:rFonts w:ascii="Times New Roman" w:hAnsi="Times New Roman" w:cs="Times New Roman"/>
          <w:sz w:val="24"/>
          <w:szCs w:val="24"/>
        </w:rPr>
        <w:t>distribution automation (“</w:t>
      </w:r>
      <w:r w:rsidRPr="00CE014C">
        <w:rPr>
          <w:rFonts w:ascii="Times New Roman" w:hAnsi="Times New Roman" w:cs="Times New Roman"/>
          <w:sz w:val="24"/>
          <w:szCs w:val="24"/>
        </w:rPr>
        <w:t>DA</w:t>
      </w:r>
      <w:r w:rsidR="006337A0">
        <w:rPr>
          <w:rFonts w:ascii="Times New Roman" w:hAnsi="Times New Roman" w:cs="Times New Roman"/>
          <w:sz w:val="24"/>
          <w:szCs w:val="24"/>
        </w:rPr>
        <w:t>”)</w:t>
      </w:r>
      <w:r w:rsidRPr="00CE014C">
        <w:rPr>
          <w:rFonts w:ascii="Times New Roman" w:hAnsi="Times New Roman" w:cs="Times New Roman"/>
          <w:sz w:val="24"/>
          <w:szCs w:val="24"/>
        </w:rPr>
        <w:t xml:space="preserve"> were foundational for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to provide customers with the ability to better manage their energy usage and reduce their energy costs.</w:t>
      </w:r>
      <w:r>
        <w:rPr>
          <w:rStyle w:val="FootnoteReference"/>
          <w:rFonts w:ascii="Times New Roman" w:hAnsi="Times New Roman" w:cs="Times New Roman"/>
          <w:sz w:val="24"/>
          <w:szCs w:val="24"/>
        </w:rPr>
        <w:footnoteReference w:id="28"/>
      </w:r>
      <w:r w:rsidRPr="00CE014C">
        <w:rPr>
          <w:rFonts w:ascii="Times New Roman" w:hAnsi="Times New Roman" w:cs="Times New Roman"/>
          <w:sz w:val="24"/>
          <w:szCs w:val="24"/>
        </w:rPr>
        <w:t xml:space="preserve">  And the </w:t>
      </w:r>
      <w:r w:rsidR="00BF198A">
        <w:rPr>
          <w:rFonts w:ascii="Times New Roman" w:hAnsi="Times New Roman" w:cs="Times New Roman"/>
          <w:sz w:val="24"/>
          <w:szCs w:val="24"/>
        </w:rPr>
        <w:t>PUCO</w:t>
      </w:r>
      <w:r w:rsidRPr="00CE014C" w:rsidR="00BF198A">
        <w:rPr>
          <w:rFonts w:ascii="Times New Roman" w:hAnsi="Times New Roman" w:cs="Times New Roman"/>
          <w:sz w:val="24"/>
          <w:szCs w:val="24"/>
        </w:rPr>
        <w:t xml:space="preserve"> </w:t>
      </w:r>
      <w:r w:rsidRPr="00CE014C" w:rsidR="000D61BC">
        <w:rPr>
          <w:rFonts w:ascii="Times New Roman" w:hAnsi="Times New Roman" w:cs="Times New Roman"/>
          <w:sz w:val="24"/>
          <w:szCs w:val="24"/>
        </w:rPr>
        <w:t>expected</w:t>
      </w:r>
      <w:r w:rsidRPr="00CE014C">
        <w:rPr>
          <w:rFonts w:ascii="Times New Roman" w:hAnsi="Times New Roman" w:cs="Times New Roman"/>
          <w:sz w:val="24"/>
          <w:szCs w:val="24"/>
        </w:rPr>
        <w:t xml:space="preserve"> that a properly designed AMI system and </w:t>
      </w:r>
      <w:r w:rsidR="00BF198A">
        <w:rPr>
          <w:rFonts w:ascii="Times New Roman" w:hAnsi="Times New Roman" w:cs="Times New Roman"/>
          <w:sz w:val="24"/>
          <w:szCs w:val="24"/>
        </w:rPr>
        <w:t>D</w:t>
      </w:r>
      <w:r w:rsidRPr="00CE014C">
        <w:rPr>
          <w:rFonts w:ascii="Times New Roman" w:hAnsi="Times New Roman" w:cs="Times New Roman"/>
          <w:sz w:val="24"/>
          <w:szCs w:val="24"/>
        </w:rPr>
        <w:t>A can decrease the scope and duration of electric outages.</w:t>
      </w:r>
      <w:r>
        <w:rPr>
          <w:rStyle w:val="FootnoteReference"/>
          <w:rFonts w:ascii="Times New Roman" w:hAnsi="Times New Roman" w:cs="Times New Roman"/>
          <w:sz w:val="24"/>
          <w:szCs w:val="24"/>
        </w:rPr>
        <w:footnoteReference w:id="29"/>
      </w:r>
      <w:r w:rsidRPr="00CE014C">
        <w:rPr>
          <w:rFonts w:ascii="Times New Roman" w:hAnsi="Times New Roman" w:cs="Times New Roman"/>
          <w:sz w:val="24"/>
          <w:szCs w:val="24"/>
        </w:rPr>
        <w:t xml:space="preserve">  But the</w:t>
      </w:r>
      <w:r w:rsidR="006E437D">
        <w:rPr>
          <w:rFonts w:ascii="Times New Roman" w:hAnsi="Times New Roman" w:cs="Times New Roman"/>
          <w:sz w:val="24"/>
          <w:szCs w:val="24"/>
        </w:rPr>
        <w:t xml:space="preserve">re has been no showing by Ohio Power that the </w:t>
      </w:r>
      <w:r w:rsidRPr="00CE014C">
        <w:rPr>
          <w:rFonts w:ascii="Times New Roman" w:hAnsi="Times New Roman" w:cs="Times New Roman"/>
          <w:sz w:val="24"/>
          <w:szCs w:val="24"/>
        </w:rPr>
        <w:t xml:space="preserve"> AMI smart meters that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installed have sav</w:t>
      </w:r>
      <w:r w:rsidRPr="00CE014C" w:rsidR="00F67ED7">
        <w:rPr>
          <w:rFonts w:ascii="Times New Roman" w:hAnsi="Times New Roman" w:cs="Times New Roman"/>
          <w:sz w:val="24"/>
          <w:szCs w:val="24"/>
        </w:rPr>
        <w:t>ed</w:t>
      </w:r>
      <w:r w:rsidRPr="00CE014C">
        <w:rPr>
          <w:rFonts w:ascii="Times New Roman" w:hAnsi="Times New Roman" w:cs="Times New Roman"/>
          <w:sz w:val="24"/>
          <w:szCs w:val="24"/>
        </w:rPr>
        <w:t xml:space="preserve"> </w:t>
      </w:r>
      <w:r w:rsidRPr="00CE014C" w:rsidR="00F67ED7">
        <w:rPr>
          <w:rFonts w:ascii="Times New Roman" w:hAnsi="Times New Roman" w:cs="Times New Roman"/>
          <w:sz w:val="24"/>
          <w:szCs w:val="24"/>
        </w:rPr>
        <w:t xml:space="preserve">consumers </w:t>
      </w:r>
      <w:r w:rsidRPr="00CE014C">
        <w:rPr>
          <w:rFonts w:ascii="Times New Roman" w:hAnsi="Times New Roman" w:cs="Times New Roman"/>
          <w:sz w:val="24"/>
          <w:szCs w:val="24"/>
        </w:rPr>
        <w:t>money or provid</w:t>
      </w:r>
      <w:r w:rsidRPr="00CE014C" w:rsidR="00F67ED7">
        <w:rPr>
          <w:rFonts w:ascii="Times New Roman" w:hAnsi="Times New Roman" w:cs="Times New Roman"/>
          <w:sz w:val="24"/>
          <w:szCs w:val="24"/>
        </w:rPr>
        <w:t>ed</w:t>
      </w:r>
      <w:r w:rsidRPr="00CE014C">
        <w:rPr>
          <w:rFonts w:ascii="Times New Roman" w:hAnsi="Times New Roman" w:cs="Times New Roman"/>
          <w:sz w:val="24"/>
          <w:szCs w:val="24"/>
        </w:rPr>
        <w:t xml:space="preserve"> all of the options necessary that could help customers reduce their electric bills.  </w:t>
      </w:r>
      <w:r w:rsidRPr="00CE014C" w:rsidR="003D58F2">
        <w:rPr>
          <w:rFonts w:ascii="Times New Roman" w:hAnsi="Times New Roman" w:cs="Times New Roman"/>
          <w:sz w:val="24"/>
          <w:szCs w:val="24"/>
        </w:rPr>
        <w:t>T</w:t>
      </w:r>
      <w:r w:rsidRPr="00CE014C">
        <w:rPr>
          <w:rFonts w:ascii="Times New Roman" w:hAnsi="Times New Roman" w:cs="Times New Roman"/>
          <w:sz w:val="24"/>
          <w:szCs w:val="24"/>
        </w:rPr>
        <w:t>he reliability improvements associated with DA deployment on 70 circuits have not resulted in improved reliability.  If anything, DA capabilities seem to be contributing to a decline in reliability performance.</w:t>
      </w:r>
      <w:r>
        <w:rPr>
          <w:rStyle w:val="FootnoteReference"/>
          <w:rFonts w:ascii="Times New Roman" w:hAnsi="Times New Roman" w:cs="Times New Roman"/>
          <w:sz w:val="24"/>
          <w:szCs w:val="24"/>
        </w:rPr>
        <w:footnoteReference w:id="30"/>
      </w:r>
      <w:r w:rsidRPr="00CE014C">
        <w:rPr>
          <w:rFonts w:ascii="Times New Roman" w:hAnsi="Times New Roman" w:cs="Times New Roman"/>
          <w:sz w:val="24"/>
          <w:szCs w:val="24"/>
        </w:rPr>
        <w:t xml:space="preserve">  </w:t>
      </w:r>
    </w:p>
    <w:p w:rsidR="00F67ED7" w:rsidRPr="00CE014C" w:rsidP="001C73AD">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006E437D">
        <w:rPr>
          <w:rFonts w:ascii="Times New Roman" w:hAnsi="Times New Roman" w:cs="Times New Roman"/>
          <w:sz w:val="24"/>
          <w:szCs w:val="24"/>
        </w:rPr>
        <w:t xml:space="preserve">And yet despite these facts, customers </w:t>
      </w:r>
      <w:r w:rsidRPr="00CE014C" w:rsidR="00206D90">
        <w:rPr>
          <w:rFonts w:ascii="Times New Roman" w:hAnsi="Times New Roman" w:cs="Times New Roman"/>
          <w:sz w:val="24"/>
          <w:szCs w:val="24"/>
        </w:rPr>
        <w:t xml:space="preserve">continue to shoulder the bill for gridSMART </w:t>
      </w:r>
      <w:r w:rsidRPr="00CE014C" w:rsidR="000D61BC">
        <w:rPr>
          <w:rFonts w:ascii="Times New Roman" w:hAnsi="Times New Roman" w:cs="Times New Roman"/>
          <w:sz w:val="24"/>
          <w:szCs w:val="24"/>
        </w:rPr>
        <w:t xml:space="preserve">Phase I </w:t>
      </w:r>
      <w:r w:rsidRPr="00CE014C" w:rsidR="00206D90">
        <w:rPr>
          <w:rFonts w:ascii="Times New Roman" w:hAnsi="Times New Roman" w:cs="Times New Roman"/>
          <w:sz w:val="24"/>
          <w:szCs w:val="24"/>
        </w:rPr>
        <w:t xml:space="preserve">investments that </w:t>
      </w:r>
      <w:r w:rsidRPr="00CE014C" w:rsidR="000D61BC">
        <w:rPr>
          <w:rFonts w:ascii="Times New Roman" w:hAnsi="Times New Roman" w:cs="Times New Roman"/>
          <w:sz w:val="24"/>
          <w:szCs w:val="24"/>
        </w:rPr>
        <w:t>were never demonstrated to be</w:t>
      </w:r>
      <w:r w:rsidRPr="00CE014C" w:rsidR="00206D90">
        <w:rPr>
          <w:rFonts w:ascii="Times New Roman" w:hAnsi="Times New Roman" w:cs="Times New Roman"/>
          <w:sz w:val="24"/>
          <w:szCs w:val="24"/>
        </w:rPr>
        <w:t xml:space="preserve"> cost effective</w:t>
      </w:r>
      <w:r w:rsidR="006E437D">
        <w:rPr>
          <w:rFonts w:ascii="Times New Roman" w:hAnsi="Times New Roman" w:cs="Times New Roman"/>
          <w:sz w:val="24"/>
          <w:szCs w:val="24"/>
        </w:rPr>
        <w:t>.  Customers will be paying a return on and of th</w:t>
      </w:r>
      <w:r w:rsidR="0070779F">
        <w:rPr>
          <w:rFonts w:ascii="Times New Roman" w:hAnsi="Times New Roman" w:cs="Times New Roman"/>
          <w:sz w:val="24"/>
          <w:szCs w:val="24"/>
        </w:rPr>
        <w:t>e gridS</w:t>
      </w:r>
      <w:r w:rsidR="000C218B">
        <w:rPr>
          <w:rFonts w:ascii="Times New Roman" w:hAnsi="Times New Roman" w:cs="Times New Roman"/>
          <w:sz w:val="24"/>
          <w:szCs w:val="24"/>
        </w:rPr>
        <w:t>MART</w:t>
      </w:r>
      <w:r w:rsidR="0070779F">
        <w:rPr>
          <w:rFonts w:ascii="Times New Roman" w:hAnsi="Times New Roman" w:cs="Times New Roman"/>
          <w:sz w:val="24"/>
          <w:szCs w:val="24"/>
        </w:rPr>
        <w:t xml:space="preserve"> Phase I investments</w:t>
      </w:r>
      <w:r w:rsidRPr="00CE014C" w:rsidR="00206D90">
        <w:rPr>
          <w:rFonts w:ascii="Times New Roman" w:hAnsi="Times New Roman" w:cs="Times New Roman"/>
          <w:sz w:val="24"/>
          <w:szCs w:val="24"/>
        </w:rPr>
        <w:t xml:space="preserve"> for many years through the DIR.</w:t>
      </w:r>
      <w:r w:rsidR="000C218B">
        <w:rPr>
          <w:rFonts w:ascii="Times New Roman" w:hAnsi="Times New Roman" w:cs="Times New Roman"/>
          <w:sz w:val="24"/>
          <w:szCs w:val="24"/>
        </w:rPr>
        <w:t xml:space="preserve"> Customers should not continue to pay for gridSMART investments that have not been found to be used and useful in providing utility service as required by R.C. 4909.15.</w:t>
      </w:r>
    </w:p>
    <w:p w:rsidR="00206D90" w:rsidRPr="00CE014C" w:rsidP="003821BA">
      <w:pPr>
        <w:pStyle w:val="Heading2"/>
        <w:rPr>
          <w:rFonts w:ascii="Times New Roman" w:hAnsi="Times New Roman" w:cs="Times New Roman"/>
          <w:szCs w:val="24"/>
        </w:rPr>
      </w:pPr>
      <w:bookmarkStart w:id="5" w:name="_Toc476575479"/>
      <w:r w:rsidRPr="00CE014C">
        <w:rPr>
          <w:rFonts w:ascii="Times New Roman" w:hAnsi="Times New Roman" w:cs="Times New Roman"/>
          <w:szCs w:val="24"/>
        </w:rPr>
        <w:t>B.</w:t>
      </w:r>
      <w:r w:rsidRPr="00CE014C">
        <w:rPr>
          <w:rFonts w:ascii="Times New Roman" w:hAnsi="Times New Roman" w:cs="Times New Roman"/>
          <w:szCs w:val="24"/>
        </w:rPr>
        <w:tab/>
      </w:r>
      <w:r w:rsidRPr="00CE014C">
        <w:rPr>
          <w:rFonts w:ascii="Times New Roman" w:hAnsi="Times New Roman" w:cs="Times New Roman"/>
          <w:szCs w:val="24"/>
        </w:rPr>
        <w:t>An examination of the reliability benefits that customers receive from the gridSMART Phase I is necessary to determine if customers should continue paying for the Distribution Automation capabilities through the DIR.</w:t>
      </w:r>
      <w:bookmarkEnd w:id="5"/>
    </w:p>
    <w:p w:rsidR="00206D90" w:rsidRPr="00CE014C"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Pr>
          <w:rFonts w:ascii="Times New Roman" w:hAnsi="Times New Roman" w:cs="Times New Roman"/>
          <w:sz w:val="24"/>
          <w:szCs w:val="24"/>
        </w:rPr>
        <w:t xml:space="preserve">The gridSMART Phase I project included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deploying Distribution Automation Circuit Reconfiguration (“DACR”) capabilities on 70 circuits.  When DACR is operating properly, customer interruptions can be avoided because electricity can be automatically rerouted around the location where a fault exists.  As a result, fewer customers </w:t>
      </w:r>
      <w:r w:rsidRPr="00CE014C" w:rsidR="00F67ED7">
        <w:rPr>
          <w:rFonts w:ascii="Times New Roman" w:hAnsi="Times New Roman" w:cs="Times New Roman"/>
          <w:sz w:val="24"/>
          <w:szCs w:val="24"/>
        </w:rPr>
        <w:t xml:space="preserve">should </w:t>
      </w:r>
      <w:r w:rsidRPr="00CE014C">
        <w:rPr>
          <w:rFonts w:ascii="Times New Roman" w:hAnsi="Times New Roman" w:cs="Times New Roman"/>
          <w:sz w:val="24"/>
          <w:szCs w:val="24"/>
        </w:rPr>
        <w:t xml:space="preserve">be interrupted compared to the number of customers who would have lost power had DACR not been installed.  DACR can also assist in identifying fault locations and in expediting restoration efforts.    </w:t>
      </w:r>
    </w:p>
    <w:p w:rsidR="00206D90" w:rsidRPr="00CE014C"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Pr>
          <w:rFonts w:ascii="Times New Roman" w:hAnsi="Times New Roman" w:cs="Times New Roman"/>
          <w:sz w:val="24"/>
          <w:szCs w:val="24"/>
        </w:rPr>
        <w:t>DACR technology is expensive</w:t>
      </w:r>
      <w:r w:rsidRPr="00CE014C" w:rsidR="00F67ED7">
        <w:rPr>
          <w:rFonts w:ascii="Times New Roman" w:hAnsi="Times New Roman" w:cs="Times New Roman"/>
          <w:sz w:val="24"/>
          <w:szCs w:val="24"/>
        </w:rPr>
        <w:t>.</w:t>
      </w:r>
      <w:r w:rsidRPr="00CE014C">
        <w:rPr>
          <w:rFonts w:ascii="Times New Roman" w:hAnsi="Times New Roman" w:cs="Times New Roman"/>
          <w:sz w:val="24"/>
          <w:szCs w:val="24"/>
        </w:rPr>
        <w:t xml:space="preserve"> </w:t>
      </w:r>
      <w:r w:rsidRPr="00CE014C" w:rsidR="00F67ED7">
        <w:rPr>
          <w:rFonts w:ascii="Times New Roman" w:hAnsi="Times New Roman" w:cs="Times New Roman"/>
          <w:sz w:val="24"/>
          <w:szCs w:val="24"/>
        </w:rPr>
        <w:t xml:space="preserve"> I</w:t>
      </w:r>
      <w:r w:rsidRPr="00CE014C">
        <w:rPr>
          <w:rFonts w:ascii="Times New Roman" w:hAnsi="Times New Roman" w:cs="Times New Roman"/>
          <w:sz w:val="24"/>
          <w:szCs w:val="24"/>
        </w:rPr>
        <w:t xml:space="preserve">n fact,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spent approximately $390,000 per circuit</w:t>
      </w:r>
      <w:r w:rsidRPr="00CE014C" w:rsidR="00F67ED7">
        <w:rPr>
          <w:rFonts w:ascii="Times New Roman" w:hAnsi="Times New Roman" w:cs="Times New Roman"/>
          <w:sz w:val="24"/>
          <w:szCs w:val="24"/>
        </w:rPr>
        <w:t>,</w:t>
      </w:r>
      <w:r w:rsidRPr="00CE014C">
        <w:rPr>
          <w:rFonts w:ascii="Times New Roman" w:hAnsi="Times New Roman" w:cs="Times New Roman"/>
          <w:sz w:val="24"/>
          <w:szCs w:val="24"/>
        </w:rPr>
        <w:t xml:space="preserve"> or $27.3 million collectively</w:t>
      </w:r>
      <w:r w:rsidRPr="00CE014C" w:rsidR="00F67ED7">
        <w:rPr>
          <w:rFonts w:ascii="Times New Roman" w:hAnsi="Times New Roman" w:cs="Times New Roman"/>
          <w:sz w:val="24"/>
          <w:szCs w:val="24"/>
        </w:rPr>
        <w:t>,</w:t>
      </w:r>
      <w:r w:rsidRPr="00CE014C">
        <w:rPr>
          <w:rFonts w:ascii="Times New Roman" w:hAnsi="Times New Roman" w:cs="Times New Roman"/>
          <w:sz w:val="24"/>
          <w:szCs w:val="24"/>
        </w:rPr>
        <w:t xml:space="preserve"> in capital costs that are paid by customers to deploy DACR on the 70 circuits.</w:t>
      </w:r>
      <w:r>
        <w:rPr>
          <w:rStyle w:val="FootnoteReference"/>
          <w:rFonts w:ascii="Times New Roman" w:hAnsi="Times New Roman" w:cs="Times New Roman"/>
          <w:sz w:val="24"/>
          <w:szCs w:val="24"/>
        </w:rPr>
        <w:footnoteReference w:id="31"/>
      </w:r>
      <w:r w:rsidRPr="00CE014C">
        <w:rPr>
          <w:rFonts w:ascii="Times New Roman" w:hAnsi="Times New Roman" w:cs="Times New Roman"/>
          <w:sz w:val="24"/>
          <w:szCs w:val="24"/>
        </w:rPr>
        <w:t xml:space="preserve">   In addition, there is an on-going annual O&amp;M cost of about $800,000 that customers must pay associated with the 70 circuits that have DACR capabilities. </w:t>
      </w:r>
      <w:r w:rsidRPr="00CE014C" w:rsidR="00A86F94">
        <w:rPr>
          <w:rFonts w:ascii="Times New Roman" w:hAnsi="Times New Roman" w:cs="Times New Roman"/>
          <w:sz w:val="24"/>
          <w:szCs w:val="24"/>
        </w:rPr>
        <w:t xml:space="preserve">These O&amp;M costs will be collected from customers indefinitely through the gridSMART Phase II rider. </w:t>
      </w:r>
      <w:r w:rsidRPr="00CE014C">
        <w:rPr>
          <w:rFonts w:ascii="Times New Roman" w:hAnsi="Times New Roman" w:cs="Times New Roman"/>
          <w:sz w:val="24"/>
          <w:szCs w:val="24"/>
        </w:rPr>
        <w:t xml:space="preserve">Even though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claims that the gridSMART DACR technology is supposed to improve reliability, </w:t>
      </w:r>
      <w:r w:rsidRPr="00CE014C" w:rsidR="00F67ED7">
        <w:rPr>
          <w:rFonts w:ascii="Times New Roman" w:hAnsi="Times New Roman" w:cs="Times New Roman"/>
          <w:sz w:val="24"/>
          <w:szCs w:val="24"/>
        </w:rPr>
        <w:t xml:space="preserve">it </w:t>
      </w:r>
      <w:r w:rsidRPr="00CE014C">
        <w:rPr>
          <w:rFonts w:ascii="Times New Roman" w:hAnsi="Times New Roman" w:cs="Times New Roman"/>
          <w:sz w:val="24"/>
          <w:szCs w:val="24"/>
        </w:rPr>
        <w:t xml:space="preserve">has proposed </w:t>
      </w:r>
      <w:r w:rsidRPr="00CE014C" w:rsidR="00F67ED7">
        <w:rPr>
          <w:rFonts w:ascii="Times New Roman" w:hAnsi="Times New Roman" w:cs="Times New Roman"/>
          <w:sz w:val="24"/>
          <w:szCs w:val="24"/>
        </w:rPr>
        <w:t xml:space="preserve">lowering its </w:t>
      </w:r>
      <w:r w:rsidRPr="00CE014C">
        <w:rPr>
          <w:rFonts w:ascii="Times New Roman" w:hAnsi="Times New Roman" w:cs="Times New Roman"/>
          <w:sz w:val="24"/>
          <w:szCs w:val="24"/>
        </w:rPr>
        <w:t xml:space="preserve">electric reliability standards.  This comes at the same time that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is also spending hundreds of millions of dollars annually through its DIR for infrastructure modernization through its DIR that is also supposed to improve reliability</w:t>
      </w:r>
    </w:p>
    <w:p w:rsidR="00811499" w:rsidRPr="00CE014C" w:rsidP="001C73AD">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sidR="00206D90">
        <w:rPr>
          <w:rFonts w:ascii="Times New Roman" w:hAnsi="Times New Roman" w:cs="Times New Roman"/>
          <w:sz w:val="24"/>
          <w:szCs w:val="24"/>
        </w:rPr>
        <w:t xml:space="preserve">In </w:t>
      </w:r>
      <w:r w:rsidRPr="00CE014C" w:rsidR="005C1A8E">
        <w:rPr>
          <w:rFonts w:ascii="Times New Roman" w:hAnsi="Times New Roman" w:cs="Times New Roman"/>
          <w:sz w:val="24"/>
          <w:szCs w:val="24"/>
        </w:rPr>
        <w:t xml:space="preserve">Ohio Power’s reliability standards case, </w:t>
      </w:r>
      <w:r w:rsidRPr="00CE014C" w:rsidR="004E784D">
        <w:rPr>
          <w:rFonts w:ascii="Times New Roman" w:hAnsi="Times New Roman" w:cs="Times New Roman"/>
          <w:sz w:val="24"/>
          <w:szCs w:val="24"/>
        </w:rPr>
        <w:t>Ohio Power</w:t>
      </w:r>
      <w:r w:rsidRPr="00CE014C" w:rsidR="00206D90">
        <w:rPr>
          <w:rFonts w:ascii="Times New Roman" w:hAnsi="Times New Roman" w:cs="Times New Roman"/>
          <w:sz w:val="24"/>
          <w:szCs w:val="24"/>
        </w:rPr>
        <w:t xml:space="preserve"> </w:t>
      </w:r>
      <w:r w:rsidRPr="00CE014C" w:rsidR="00A86F94">
        <w:rPr>
          <w:rFonts w:ascii="Times New Roman" w:hAnsi="Times New Roman" w:cs="Times New Roman"/>
          <w:sz w:val="24"/>
          <w:szCs w:val="24"/>
        </w:rPr>
        <w:t xml:space="preserve">now </w:t>
      </w:r>
      <w:r w:rsidRPr="00CE014C" w:rsidR="003C00AF">
        <w:rPr>
          <w:rFonts w:ascii="Times New Roman" w:hAnsi="Times New Roman" w:cs="Times New Roman"/>
          <w:sz w:val="24"/>
          <w:szCs w:val="24"/>
        </w:rPr>
        <w:t xml:space="preserve">requests PUCO approval to </w:t>
      </w:r>
      <w:r w:rsidR="00BF198A">
        <w:rPr>
          <w:rFonts w:ascii="Times New Roman" w:hAnsi="Times New Roman" w:cs="Times New Roman"/>
          <w:sz w:val="24"/>
          <w:szCs w:val="24"/>
        </w:rPr>
        <w:t>lower its</w:t>
      </w:r>
      <w:r w:rsidRPr="00CE014C" w:rsidR="003C00AF">
        <w:rPr>
          <w:rFonts w:ascii="Times New Roman" w:hAnsi="Times New Roman" w:cs="Times New Roman"/>
          <w:sz w:val="24"/>
          <w:szCs w:val="24"/>
        </w:rPr>
        <w:t xml:space="preserve"> electric service reliability standards</w:t>
      </w:r>
      <w:r w:rsidRPr="00CE014C" w:rsidR="00A86F94">
        <w:rPr>
          <w:rFonts w:ascii="Times New Roman" w:hAnsi="Times New Roman" w:cs="Times New Roman"/>
          <w:sz w:val="24"/>
          <w:szCs w:val="24"/>
        </w:rPr>
        <w:t xml:space="preserve"> in a manner that </w:t>
      </w:r>
      <w:r w:rsidR="00BF198A">
        <w:rPr>
          <w:rFonts w:ascii="Times New Roman" w:hAnsi="Times New Roman" w:cs="Times New Roman"/>
          <w:sz w:val="24"/>
          <w:szCs w:val="24"/>
        </w:rPr>
        <w:t>puts</w:t>
      </w:r>
      <w:r w:rsidRPr="00CE014C" w:rsidR="00A86F94">
        <w:rPr>
          <w:rFonts w:ascii="Times New Roman" w:hAnsi="Times New Roman" w:cs="Times New Roman"/>
          <w:sz w:val="24"/>
          <w:szCs w:val="24"/>
        </w:rPr>
        <w:t xml:space="preserve"> all of i</w:t>
      </w:r>
      <w:r w:rsidRPr="00CE014C" w:rsidR="003C00AF">
        <w:rPr>
          <w:rFonts w:ascii="Times New Roman" w:hAnsi="Times New Roman" w:cs="Times New Roman"/>
          <w:sz w:val="24"/>
          <w:szCs w:val="24"/>
        </w:rPr>
        <w:t xml:space="preserve">ts 1.1 </w:t>
      </w:r>
      <w:r w:rsidRPr="00CE014C" w:rsidR="000677F0">
        <w:rPr>
          <w:rFonts w:ascii="Times New Roman" w:hAnsi="Times New Roman" w:cs="Times New Roman"/>
          <w:sz w:val="24"/>
          <w:szCs w:val="24"/>
        </w:rPr>
        <w:t>million</w:t>
      </w:r>
      <w:r w:rsidRPr="00CE014C" w:rsidR="003C00AF">
        <w:rPr>
          <w:rFonts w:ascii="Times New Roman" w:hAnsi="Times New Roman" w:cs="Times New Roman"/>
          <w:sz w:val="24"/>
          <w:szCs w:val="24"/>
        </w:rPr>
        <w:t xml:space="preserve"> customers</w:t>
      </w:r>
      <w:r w:rsidR="00BF198A">
        <w:rPr>
          <w:rFonts w:ascii="Times New Roman" w:hAnsi="Times New Roman" w:cs="Times New Roman"/>
          <w:sz w:val="24"/>
          <w:szCs w:val="24"/>
        </w:rPr>
        <w:t xml:space="preserve"> at risk of more and longer service outages</w:t>
      </w:r>
      <w:r w:rsidRPr="00CE014C" w:rsidR="003C00AF">
        <w:rPr>
          <w:rFonts w:ascii="Times New Roman" w:hAnsi="Times New Roman" w:cs="Times New Roman"/>
          <w:sz w:val="24"/>
          <w:szCs w:val="24"/>
        </w:rPr>
        <w:t xml:space="preserve">. </w:t>
      </w:r>
      <w:r w:rsidRPr="00CE014C" w:rsidR="000677F0">
        <w:rPr>
          <w:rFonts w:ascii="Times New Roman" w:hAnsi="Times New Roman" w:cs="Times New Roman"/>
          <w:sz w:val="24"/>
          <w:szCs w:val="24"/>
        </w:rPr>
        <w:t xml:space="preserve"> This, despite Ohio Power’s claim in its </w:t>
      </w:r>
      <w:r w:rsidRPr="00CE014C" w:rsidR="003C00AF">
        <w:rPr>
          <w:rFonts w:ascii="Times New Roman" w:hAnsi="Times New Roman" w:cs="Times New Roman"/>
          <w:sz w:val="24"/>
          <w:szCs w:val="24"/>
        </w:rPr>
        <w:t>DIR work plan to “positively impact reliability performance to customers across the service territory</w:t>
      </w:r>
      <w:r w:rsidRPr="00CE014C" w:rsidR="000677F0">
        <w:rPr>
          <w:rFonts w:ascii="Times New Roman" w:hAnsi="Times New Roman" w:cs="Times New Roman"/>
          <w:sz w:val="24"/>
          <w:szCs w:val="24"/>
        </w:rPr>
        <w:t>.</w:t>
      </w:r>
      <w:r w:rsidRPr="00CE014C" w:rsidR="003C00AF">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Pr="00CE014C" w:rsidR="003C00AF">
        <w:rPr>
          <w:rFonts w:ascii="Times New Roman" w:hAnsi="Times New Roman" w:cs="Times New Roman"/>
          <w:sz w:val="24"/>
          <w:szCs w:val="24"/>
        </w:rPr>
        <w:t xml:space="preserve"> </w:t>
      </w:r>
      <w:r w:rsidRPr="00CE014C" w:rsidR="000677F0">
        <w:rPr>
          <w:rFonts w:ascii="Times New Roman" w:hAnsi="Times New Roman" w:cs="Times New Roman"/>
          <w:sz w:val="24"/>
          <w:szCs w:val="24"/>
        </w:rPr>
        <w:t xml:space="preserve"> Ohio Power’s </w:t>
      </w:r>
      <w:r w:rsidRPr="00CE014C" w:rsidR="00A86F94">
        <w:rPr>
          <w:rFonts w:ascii="Times New Roman" w:hAnsi="Times New Roman" w:cs="Times New Roman"/>
          <w:sz w:val="24"/>
          <w:szCs w:val="24"/>
        </w:rPr>
        <w:t xml:space="preserve">reliability </w:t>
      </w:r>
      <w:r w:rsidRPr="00CE014C" w:rsidR="003C00AF">
        <w:rPr>
          <w:rFonts w:ascii="Times New Roman" w:hAnsi="Times New Roman" w:cs="Times New Roman"/>
          <w:sz w:val="24"/>
          <w:szCs w:val="24"/>
        </w:rPr>
        <w:t xml:space="preserve">standards Application </w:t>
      </w:r>
      <w:r w:rsidRPr="00CE014C" w:rsidR="00A86F94">
        <w:rPr>
          <w:rFonts w:ascii="Times New Roman" w:hAnsi="Times New Roman" w:cs="Times New Roman"/>
          <w:sz w:val="24"/>
          <w:szCs w:val="24"/>
        </w:rPr>
        <w:t>seeks to allow</w:t>
      </w:r>
      <w:r w:rsidRPr="00CE014C" w:rsidR="000677F0">
        <w:rPr>
          <w:rFonts w:ascii="Times New Roman" w:hAnsi="Times New Roman" w:cs="Times New Roman"/>
          <w:sz w:val="24"/>
          <w:szCs w:val="24"/>
        </w:rPr>
        <w:t xml:space="preserve"> </w:t>
      </w:r>
      <w:r w:rsidRPr="00CE014C" w:rsidR="003C00AF">
        <w:rPr>
          <w:rFonts w:ascii="Times New Roman" w:hAnsi="Times New Roman" w:cs="Times New Roman"/>
          <w:sz w:val="24"/>
          <w:szCs w:val="24"/>
        </w:rPr>
        <w:t xml:space="preserve">longer </w:t>
      </w:r>
      <w:r w:rsidR="00A94292">
        <w:rPr>
          <w:rFonts w:ascii="Times New Roman" w:hAnsi="Times New Roman" w:cs="Times New Roman"/>
          <w:sz w:val="24"/>
          <w:szCs w:val="24"/>
        </w:rPr>
        <w:t xml:space="preserve">customer </w:t>
      </w:r>
      <w:r w:rsidRPr="00CE014C" w:rsidR="003C00AF">
        <w:rPr>
          <w:rFonts w:ascii="Times New Roman" w:hAnsi="Times New Roman" w:cs="Times New Roman"/>
          <w:sz w:val="24"/>
          <w:szCs w:val="24"/>
        </w:rPr>
        <w:t xml:space="preserve">outage times and more interruptions of electric service. </w:t>
      </w:r>
      <w:r w:rsidRPr="00CE014C" w:rsidR="004E784D">
        <w:rPr>
          <w:rFonts w:ascii="Times New Roman" w:hAnsi="Times New Roman" w:cs="Times New Roman"/>
          <w:sz w:val="24"/>
          <w:szCs w:val="24"/>
        </w:rPr>
        <w:t>Ohio Power</w:t>
      </w:r>
      <w:r w:rsidRPr="00CE014C" w:rsidR="00206D90">
        <w:rPr>
          <w:rFonts w:ascii="Times New Roman" w:hAnsi="Times New Roman" w:cs="Times New Roman"/>
          <w:sz w:val="24"/>
          <w:szCs w:val="24"/>
        </w:rPr>
        <w:t xml:space="preserve"> propose</w:t>
      </w:r>
      <w:r w:rsidRPr="00CE014C" w:rsidR="003C00AF">
        <w:rPr>
          <w:rFonts w:ascii="Times New Roman" w:hAnsi="Times New Roman" w:cs="Times New Roman"/>
          <w:sz w:val="24"/>
          <w:szCs w:val="24"/>
        </w:rPr>
        <w:t>s</w:t>
      </w:r>
      <w:r w:rsidRPr="00CE014C" w:rsidR="00206D90">
        <w:rPr>
          <w:rFonts w:ascii="Times New Roman" w:hAnsi="Times New Roman" w:cs="Times New Roman"/>
          <w:sz w:val="24"/>
          <w:szCs w:val="24"/>
        </w:rPr>
        <w:t xml:space="preserve"> increasing both the SAIFI and the CAIDI reliability standards</w:t>
      </w:r>
    </w:p>
    <w:p w:rsidR="00DE5C0E" w:rsidP="00CC0076">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Table 1 provides a comparison of </w:t>
      </w:r>
      <w:r w:rsidRPr="00CE014C" w:rsidR="004E784D">
        <w:rPr>
          <w:rFonts w:ascii="Times New Roman" w:hAnsi="Times New Roman" w:cs="Times New Roman"/>
          <w:sz w:val="24"/>
          <w:szCs w:val="24"/>
        </w:rPr>
        <w:t>Ohio Power</w:t>
      </w:r>
      <w:r w:rsidRPr="00CE014C" w:rsidR="000677F0">
        <w:rPr>
          <w:rFonts w:ascii="Times New Roman" w:hAnsi="Times New Roman" w:cs="Times New Roman"/>
          <w:sz w:val="24"/>
          <w:szCs w:val="24"/>
        </w:rPr>
        <w:t>’s</w:t>
      </w:r>
      <w:r w:rsidRPr="00CE014C">
        <w:rPr>
          <w:rFonts w:ascii="Times New Roman" w:hAnsi="Times New Roman" w:cs="Times New Roman"/>
          <w:sz w:val="24"/>
          <w:szCs w:val="24"/>
        </w:rPr>
        <w:t xml:space="preserve"> reliability for 2013 through 2015 compared with the PUCO Standard</w:t>
      </w:r>
      <w:r w:rsidRPr="00CE014C" w:rsidR="001C73AD">
        <w:rPr>
          <w:rFonts w:ascii="Times New Roman" w:hAnsi="Times New Roman" w:cs="Times New Roman"/>
          <w:sz w:val="24"/>
          <w:szCs w:val="24"/>
        </w:rPr>
        <w:t xml:space="preserve">. </w:t>
      </w:r>
    </w:p>
    <w:p w:rsidR="00206D90" w:rsidRPr="00CE014C" w:rsidP="00206D90">
      <w:pPr>
        <w:spacing w:line="240" w:lineRule="auto"/>
        <w:jc w:val="center"/>
        <w:rPr>
          <w:rFonts w:ascii="Times New Roman" w:hAnsi="Times New Roman" w:cs="Times New Roman"/>
          <w:sz w:val="24"/>
          <w:szCs w:val="24"/>
        </w:rPr>
      </w:pPr>
      <w:r w:rsidRPr="00CE014C">
        <w:rPr>
          <w:rFonts w:ascii="Times New Roman" w:hAnsi="Times New Roman" w:cs="Times New Roman"/>
          <w:sz w:val="24"/>
          <w:szCs w:val="24"/>
        </w:rPr>
        <w:t>Table 1:  AEP Reliability (2013 – 2015)</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280"/>
        <w:gridCol w:w="2192"/>
        <w:gridCol w:w="2192"/>
        <w:gridCol w:w="2192"/>
      </w:tblGrid>
      <w:tr w:rsidTr="000E1F5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Ohio Power</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2013</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2014</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2015</w:t>
            </w: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SAIFI Standard</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1.2</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1.2</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1.2</w:t>
            </w: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CAIDI Standard (minutes)</w:t>
            </w:r>
          </w:p>
        </w:tc>
        <w:tc>
          <w:tcPr>
            <w:tcW w:w="2192" w:type="dxa"/>
          </w:tcPr>
          <w:p w:rsidR="00206D90" w:rsidRPr="00CE014C" w:rsidP="00FA0CB1">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150</w:t>
            </w:r>
          </w:p>
        </w:tc>
        <w:tc>
          <w:tcPr>
            <w:tcW w:w="2192" w:type="dxa"/>
          </w:tcPr>
          <w:p w:rsidR="00206D90" w:rsidRPr="00CE014C" w:rsidP="00FA0CB1">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150</w:t>
            </w:r>
          </w:p>
        </w:tc>
        <w:tc>
          <w:tcPr>
            <w:tcW w:w="2192" w:type="dxa"/>
          </w:tcPr>
          <w:p w:rsidR="00206D90" w:rsidRPr="00CE014C" w:rsidP="00FA0CB1">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150</w:t>
            </w: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SAIFI Performance</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1.03</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1.13</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1.13</w:t>
            </w: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CAIDI Performance</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140</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134</w:t>
            </w:r>
          </w:p>
        </w:tc>
        <w:tc>
          <w:tcPr>
            <w:tcW w:w="2192" w:type="dxa"/>
          </w:tcPr>
          <w:p w:rsidR="00206D90" w:rsidRPr="00CE014C" w:rsidP="00AD4768">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139</w:t>
            </w: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p>
        </w:tc>
      </w:tr>
      <w:tr w:rsidTr="000E1F5A">
        <w:tblPrEx>
          <w:tblW w:w="0" w:type="auto"/>
          <w:tblInd w:w="0" w:type="dxa"/>
          <w:tblCellMar>
            <w:top w:w="0" w:type="dxa"/>
            <w:left w:w="108" w:type="dxa"/>
            <w:bottom w:w="0" w:type="dxa"/>
            <w:right w:w="108" w:type="dxa"/>
          </w:tblCellMar>
          <w:tblLook w:val="04A0"/>
        </w:tblPrEx>
        <w:tc>
          <w:tcPr>
            <w:tcW w:w="2280"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 xml:space="preserve">gridSMART Phase I DACR SAIFI </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0.85</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1.28</w:t>
            </w:r>
          </w:p>
        </w:tc>
        <w:tc>
          <w:tcPr>
            <w:tcW w:w="2192" w:type="dxa"/>
          </w:tcPr>
          <w:p w:rsidR="00206D90" w:rsidRPr="00CE014C" w:rsidP="006E437D">
            <w:pPr>
              <w:spacing w:after="0" w:line="240" w:lineRule="auto"/>
              <w:jc w:val="center"/>
              <w:rPr>
                <w:rStyle w:val="DefaultParagraphFont"/>
                <w:rFonts w:ascii="Times New Roman" w:hAnsi="Times New Roman" w:eastAsiaTheme="minorHAnsi" w:cs="Times New Roman"/>
                <w:sz w:val="24"/>
                <w:szCs w:val="24"/>
                <w:lang w:val="en-US" w:eastAsia="en-US" w:bidi="ar-SA"/>
              </w:rPr>
            </w:pPr>
            <w:r w:rsidRPr="00CE014C">
              <w:rPr>
                <w:rFonts w:ascii="Times New Roman" w:hAnsi="Times New Roman" w:eastAsiaTheme="minorHAnsi" w:cs="Times New Roman"/>
                <w:sz w:val="24"/>
                <w:szCs w:val="24"/>
                <w:lang w:val="en-US" w:eastAsia="en-US" w:bidi="ar-SA"/>
              </w:rPr>
              <w:t>1.36</w:t>
            </w:r>
          </w:p>
        </w:tc>
      </w:tr>
    </w:tbl>
    <w:p w:rsidR="00206D90" w:rsidRPr="00CE014C" w:rsidP="00206D90">
      <w:pPr>
        <w:spacing w:line="240" w:lineRule="auto"/>
        <w:jc w:val="center"/>
        <w:rPr>
          <w:rFonts w:ascii="Times New Roman" w:hAnsi="Times New Roman" w:cs="Times New Roman"/>
          <w:sz w:val="24"/>
          <w:szCs w:val="24"/>
        </w:rPr>
      </w:pPr>
    </w:p>
    <w:p w:rsidR="00206D90" w:rsidP="004D037D">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 xml:space="preserve">While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met the PUCO SAIFI standard of 1.2 and the CAIDI standard of 150 minutes for each year between 2013 and 2015, </w:t>
      </w:r>
      <w:r w:rsidRPr="00CE014C" w:rsidR="00FA0CB1">
        <w:rPr>
          <w:rFonts w:ascii="Times New Roman" w:hAnsi="Times New Roman" w:cs="Times New Roman"/>
          <w:sz w:val="24"/>
          <w:szCs w:val="24"/>
        </w:rPr>
        <w:t xml:space="preserve">its </w:t>
      </w:r>
      <w:r w:rsidRPr="00CE014C">
        <w:rPr>
          <w:rFonts w:ascii="Times New Roman" w:hAnsi="Times New Roman" w:cs="Times New Roman"/>
          <w:sz w:val="24"/>
          <w:szCs w:val="24"/>
        </w:rPr>
        <w:t xml:space="preserve">SAIFI </w:t>
      </w:r>
      <w:r w:rsidRPr="00CE014C" w:rsidR="00FA0CB1">
        <w:rPr>
          <w:rFonts w:ascii="Times New Roman" w:hAnsi="Times New Roman" w:cs="Times New Roman"/>
          <w:sz w:val="24"/>
          <w:szCs w:val="24"/>
        </w:rPr>
        <w:t xml:space="preserve">increased (became less reliable) </w:t>
      </w:r>
      <w:r w:rsidRPr="00CE014C">
        <w:rPr>
          <w:rFonts w:ascii="Times New Roman" w:hAnsi="Times New Roman" w:cs="Times New Roman"/>
          <w:sz w:val="24"/>
          <w:szCs w:val="24"/>
        </w:rPr>
        <w:t>in 201</w:t>
      </w:r>
      <w:r w:rsidR="003C3BFB">
        <w:rPr>
          <w:rFonts w:ascii="Times New Roman" w:hAnsi="Times New Roman" w:cs="Times New Roman"/>
          <w:sz w:val="24"/>
          <w:szCs w:val="24"/>
        </w:rPr>
        <w:t>5</w:t>
      </w:r>
      <w:r w:rsidRPr="00CE014C">
        <w:rPr>
          <w:rFonts w:ascii="Times New Roman" w:hAnsi="Times New Roman" w:cs="Times New Roman"/>
          <w:sz w:val="24"/>
          <w:szCs w:val="24"/>
        </w:rPr>
        <w:t xml:space="preserve"> and 2014 compared with 2013.  This means that the average number of outages </w:t>
      </w:r>
      <w:r w:rsidRPr="00CE014C" w:rsidR="005B00F5">
        <w:rPr>
          <w:rFonts w:ascii="Times New Roman" w:hAnsi="Times New Roman" w:cs="Times New Roman"/>
          <w:sz w:val="24"/>
          <w:szCs w:val="24"/>
        </w:rPr>
        <w:t xml:space="preserve">that </w:t>
      </w:r>
      <w:r w:rsidRPr="00CE014C">
        <w:rPr>
          <w:rFonts w:ascii="Times New Roman" w:hAnsi="Times New Roman" w:cs="Times New Roman"/>
          <w:sz w:val="24"/>
          <w:szCs w:val="24"/>
        </w:rPr>
        <w:t xml:space="preserve">customers are experiencing </w:t>
      </w:r>
      <w:r w:rsidRPr="00CE014C" w:rsidR="005B00F5">
        <w:rPr>
          <w:rFonts w:ascii="Times New Roman" w:hAnsi="Times New Roman" w:cs="Times New Roman"/>
          <w:sz w:val="24"/>
          <w:szCs w:val="24"/>
        </w:rPr>
        <w:t>is</w:t>
      </w:r>
      <w:r w:rsidRPr="00CE014C">
        <w:rPr>
          <w:rFonts w:ascii="Times New Roman" w:hAnsi="Times New Roman" w:cs="Times New Roman"/>
          <w:sz w:val="24"/>
          <w:szCs w:val="24"/>
        </w:rPr>
        <w:t xml:space="preserve"> increasing.  And SAIFI substantially </w:t>
      </w:r>
      <w:r w:rsidRPr="00CE014C" w:rsidR="00FA0CB1">
        <w:rPr>
          <w:rFonts w:ascii="Times New Roman" w:hAnsi="Times New Roman" w:cs="Times New Roman"/>
          <w:sz w:val="24"/>
          <w:szCs w:val="24"/>
        </w:rPr>
        <w:t xml:space="preserve">increased </w:t>
      </w:r>
      <w:r w:rsidRPr="00CE014C" w:rsidR="00092322">
        <w:rPr>
          <w:rFonts w:ascii="Times New Roman" w:hAnsi="Times New Roman" w:cs="Times New Roman"/>
          <w:sz w:val="24"/>
          <w:szCs w:val="24"/>
        </w:rPr>
        <w:t>(became less reliable)</w:t>
      </w:r>
      <w:r w:rsidRPr="00CE014C">
        <w:rPr>
          <w:rFonts w:ascii="Times New Roman" w:hAnsi="Times New Roman" w:cs="Times New Roman"/>
          <w:sz w:val="24"/>
          <w:szCs w:val="24"/>
        </w:rPr>
        <w:t xml:space="preserve"> for the 70 circuits where the DACR was installed as part of the gridSMART Phase I.  In 2013, the average number of outages for customers on the DACR feeder circuits experienced for the year was </w:t>
      </w:r>
      <w:r w:rsidRPr="00CE014C" w:rsidR="00FA0CB1">
        <w:rPr>
          <w:rFonts w:ascii="Times New Roman" w:hAnsi="Times New Roman" w:cs="Times New Roman"/>
          <w:sz w:val="24"/>
          <w:szCs w:val="24"/>
        </w:rPr>
        <w:t>0</w:t>
      </w:r>
      <w:r w:rsidRPr="00CE014C">
        <w:rPr>
          <w:rFonts w:ascii="Times New Roman" w:hAnsi="Times New Roman" w:cs="Times New Roman"/>
          <w:sz w:val="24"/>
          <w:szCs w:val="24"/>
        </w:rPr>
        <w:t xml:space="preserve">.85.  Yet by 2015, the average number of outages customers on the DACR feeder circuits deteriorated to 1.36 (a decline </w:t>
      </w:r>
      <w:r w:rsidRPr="00CE014C" w:rsidR="00FA0CB1">
        <w:rPr>
          <w:rFonts w:ascii="Times New Roman" w:hAnsi="Times New Roman" w:cs="Times New Roman"/>
          <w:sz w:val="24"/>
          <w:szCs w:val="24"/>
        </w:rPr>
        <w:t xml:space="preserve">in performance </w:t>
      </w:r>
      <w:r w:rsidRPr="00CE014C">
        <w:rPr>
          <w:rFonts w:ascii="Times New Roman" w:hAnsi="Times New Roman" w:cs="Times New Roman"/>
          <w:sz w:val="24"/>
          <w:szCs w:val="24"/>
        </w:rPr>
        <w:t>of approximately 63 percent).  Reliability performance data for 2016 will be filed with the PUCO on March 31, 2017.</w:t>
      </w:r>
      <w:r w:rsidRPr="00CE014C" w:rsidR="005C7792">
        <w:rPr>
          <w:rFonts w:ascii="Times New Roman" w:hAnsi="Times New Roman" w:cs="Times New Roman"/>
          <w:sz w:val="24"/>
          <w:szCs w:val="24"/>
        </w:rPr>
        <w:t xml:space="preserve"> </w:t>
      </w:r>
    </w:p>
    <w:p w:rsidR="003C3BFB" w:rsidRPr="00CE014C" w:rsidP="004D03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Ohio Power claims that reliability performance would improve with gridSMART Phase I, the actual data shows something completely different. Customers have more outages and the duration</w:t>
      </w:r>
      <w:r w:rsidR="000E1F5A">
        <w:rPr>
          <w:rFonts w:ascii="Times New Roman" w:hAnsi="Times New Roman" w:cs="Times New Roman"/>
          <w:sz w:val="24"/>
          <w:szCs w:val="24"/>
        </w:rPr>
        <w:t>s</w:t>
      </w:r>
      <w:r>
        <w:rPr>
          <w:rFonts w:ascii="Times New Roman" w:hAnsi="Times New Roman" w:cs="Times New Roman"/>
          <w:sz w:val="24"/>
          <w:szCs w:val="24"/>
        </w:rPr>
        <w:t xml:space="preserve"> </w:t>
      </w:r>
      <w:r w:rsidR="000E1F5A">
        <w:rPr>
          <w:rFonts w:ascii="Times New Roman" w:hAnsi="Times New Roman" w:cs="Times New Roman"/>
          <w:sz w:val="24"/>
          <w:szCs w:val="24"/>
        </w:rPr>
        <w:t>are</w:t>
      </w:r>
      <w:r>
        <w:rPr>
          <w:rFonts w:ascii="Times New Roman" w:hAnsi="Times New Roman" w:cs="Times New Roman"/>
          <w:sz w:val="24"/>
          <w:szCs w:val="24"/>
        </w:rPr>
        <w:t xml:space="preserve"> not substantially decreasing. Therefore, customers should not pay </w:t>
      </w:r>
      <w:r w:rsidR="000E1F5A">
        <w:rPr>
          <w:rFonts w:ascii="Times New Roman" w:hAnsi="Times New Roman" w:cs="Times New Roman"/>
          <w:sz w:val="24"/>
          <w:szCs w:val="24"/>
        </w:rPr>
        <w:t xml:space="preserve">for technology that is not used and useful in </w:t>
      </w:r>
      <w:r w:rsidR="0070779F">
        <w:rPr>
          <w:rFonts w:ascii="Times New Roman" w:hAnsi="Times New Roman" w:cs="Times New Roman"/>
          <w:sz w:val="24"/>
          <w:szCs w:val="24"/>
        </w:rPr>
        <w:t xml:space="preserve">providing the service.  In other words customers should not be required to pay for gridSMART Phase I DACR costs that have not </w:t>
      </w:r>
      <w:r w:rsidR="000E1F5A">
        <w:rPr>
          <w:rFonts w:ascii="Times New Roman" w:hAnsi="Times New Roman" w:cs="Times New Roman"/>
          <w:sz w:val="24"/>
          <w:szCs w:val="24"/>
        </w:rPr>
        <w:t>improv</w:t>
      </w:r>
      <w:r w:rsidR="0070779F">
        <w:rPr>
          <w:rFonts w:ascii="Times New Roman" w:hAnsi="Times New Roman" w:cs="Times New Roman"/>
          <w:sz w:val="24"/>
          <w:szCs w:val="24"/>
        </w:rPr>
        <w:t xml:space="preserve">ed </w:t>
      </w:r>
      <w:r w:rsidR="000E1F5A">
        <w:rPr>
          <w:rFonts w:ascii="Times New Roman" w:hAnsi="Times New Roman" w:cs="Times New Roman"/>
          <w:sz w:val="24"/>
          <w:szCs w:val="24"/>
        </w:rPr>
        <w:t>reliability.</w:t>
      </w:r>
    </w:p>
    <w:p w:rsidR="00206D90" w:rsidRPr="00CE014C" w:rsidP="003821BA">
      <w:pPr>
        <w:pStyle w:val="Heading2"/>
        <w:rPr>
          <w:rFonts w:ascii="Times New Roman" w:hAnsi="Times New Roman" w:cs="Times New Roman"/>
          <w:szCs w:val="24"/>
        </w:rPr>
      </w:pPr>
      <w:bookmarkStart w:id="6" w:name="_Toc476575480"/>
      <w:r w:rsidRPr="00CE014C">
        <w:rPr>
          <w:rFonts w:ascii="Times New Roman" w:hAnsi="Times New Roman" w:cs="Times New Roman"/>
          <w:szCs w:val="24"/>
        </w:rPr>
        <w:t>C.</w:t>
      </w:r>
      <w:r w:rsidRPr="00CE014C">
        <w:rPr>
          <w:rFonts w:ascii="Times New Roman" w:hAnsi="Times New Roman" w:cs="Times New Roman"/>
          <w:szCs w:val="24"/>
        </w:rPr>
        <w:tab/>
      </w:r>
      <w:r w:rsidRPr="00CE014C">
        <w:rPr>
          <w:rFonts w:ascii="Times New Roman" w:hAnsi="Times New Roman" w:cs="Times New Roman"/>
          <w:szCs w:val="24"/>
        </w:rPr>
        <w:t>An examination of the cost</w:t>
      </w:r>
      <w:r w:rsidR="009241C4">
        <w:rPr>
          <w:rFonts w:ascii="Times New Roman" w:hAnsi="Times New Roman" w:cs="Times New Roman"/>
          <w:szCs w:val="24"/>
        </w:rPr>
        <w:t>s</w:t>
      </w:r>
      <w:r w:rsidRPr="00CE014C">
        <w:rPr>
          <w:rFonts w:ascii="Times New Roman" w:hAnsi="Times New Roman" w:cs="Times New Roman"/>
          <w:szCs w:val="24"/>
        </w:rPr>
        <w:t xml:space="preserve"> and benefits of the AMI meters that </w:t>
      </w:r>
      <w:r w:rsidRPr="00CE014C" w:rsidR="004E784D">
        <w:rPr>
          <w:rFonts w:ascii="Times New Roman" w:hAnsi="Times New Roman" w:cs="Times New Roman"/>
          <w:szCs w:val="24"/>
        </w:rPr>
        <w:t>Ohio Power</w:t>
      </w:r>
      <w:r w:rsidRPr="00CE014C">
        <w:rPr>
          <w:rFonts w:ascii="Times New Roman" w:hAnsi="Times New Roman" w:cs="Times New Roman"/>
          <w:szCs w:val="24"/>
        </w:rPr>
        <w:t xml:space="preserve"> purchased under the gridSMART Phase I program is necessary to justify </w:t>
      </w:r>
      <w:r w:rsidR="00A54FBC">
        <w:rPr>
          <w:rFonts w:ascii="Times New Roman" w:hAnsi="Times New Roman" w:cs="Times New Roman"/>
          <w:szCs w:val="24"/>
        </w:rPr>
        <w:t xml:space="preserve">charging customers for those </w:t>
      </w:r>
      <w:r w:rsidRPr="00CE014C">
        <w:rPr>
          <w:rFonts w:ascii="Times New Roman" w:hAnsi="Times New Roman" w:cs="Times New Roman"/>
          <w:szCs w:val="24"/>
        </w:rPr>
        <w:t>costs through the DIR.</w:t>
      </w:r>
      <w:bookmarkEnd w:id="6"/>
    </w:p>
    <w:p w:rsidR="00206D90" w:rsidRPr="00CE014C"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Pr>
          <w:rFonts w:ascii="Times New Roman" w:hAnsi="Times New Roman" w:cs="Times New Roman"/>
          <w:sz w:val="24"/>
          <w:szCs w:val="24"/>
        </w:rPr>
        <w:t xml:space="preserve">The gridSMART Phase I program as approved by the PUCO included the installation of approximately 132,000 AMI meters deployed throughout the </w:t>
      </w:r>
      <w:r w:rsidRPr="00CE014C" w:rsidR="00BC6ED1">
        <w:rPr>
          <w:rFonts w:ascii="Times New Roman" w:hAnsi="Times New Roman" w:cs="Times New Roman"/>
          <w:sz w:val="24"/>
          <w:szCs w:val="24"/>
        </w:rPr>
        <w:t>n</w:t>
      </w:r>
      <w:r w:rsidRPr="00CE014C">
        <w:rPr>
          <w:rFonts w:ascii="Times New Roman" w:hAnsi="Times New Roman" w:cs="Times New Roman"/>
          <w:sz w:val="24"/>
          <w:szCs w:val="24"/>
        </w:rPr>
        <w:t>ortheast quadrant of Franklin County.</w:t>
      </w:r>
      <w:r>
        <w:rPr>
          <w:rStyle w:val="FootnoteReference"/>
          <w:rFonts w:ascii="Times New Roman" w:hAnsi="Times New Roman" w:cs="Times New Roman"/>
          <w:sz w:val="24"/>
          <w:szCs w:val="24"/>
        </w:rPr>
        <w:footnoteReference w:id="33"/>
      </w:r>
      <w:r w:rsidRPr="00CE014C">
        <w:rPr>
          <w:rFonts w:ascii="Times New Roman" w:hAnsi="Times New Roman" w:cs="Times New Roman"/>
          <w:sz w:val="24"/>
          <w:szCs w:val="24"/>
        </w:rPr>
        <w:t xml:space="preserve">  The AMI meters cost approximately $210 each</w:t>
      </w:r>
      <w:r w:rsidRPr="00CE014C" w:rsidR="00BC6ED1">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CE014C">
        <w:rPr>
          <w:rFonts w:ascii="Times New Roman" w:hAnsi="Times New Roman" w:cs="Times New Roman"/>
          <w:sz w:val="24"/>
          <w:szCs w:val="24"/>
        </w:rPr>
        <w:t xml:space="preserve"> or collectively $27.7 million in capital costs</w:t>
      </w:r>
      <w:r w:rsidRPr="00CE014C" w:rsidR="00BC6ED1">
        <w:rPr>
          <w:rFonts w:ascii="Times New Roman" w:hAnsi="Times New Roman" w:cs="Times New Roman"/>
          <w:sz w:val="24"/>
          <w:szCs w:val="24"/>
        </w:rPr>
        <w:t>,</w:t>
      </w:r>
      <w:r w:rsidRPr="00CE014C">
        <w:rPr>
          <w:rFonts w:ascii="Times New Roman" w:hAnsi="Times New Roman" w:cs="Times New Roman"/>
          <w:sz w:val="24"/>
          <w:szCs w:val="24"/>
        </w:rPr>
        <w:t xml:space="preserve"> plus substantial investment in communications infrastructure.  The actual quantifiable annual savings associated with the gridSMART Phase I AMI deployment is approximately $6.50 per meter or $858,000 annually.</w:t>
      </w:r>
      <w:r>
        <w:rPr>
          <w:rStyle w:val="FootnoteReference"/>
          <w:rFonts w:ascii="Times New Roman" w:hAnsi="Times New Roman" w:cs="Times New Roman"/>
          <w:sz w:val="24"/>
          <w:szCs w:val="24"/>
        </w:rPr>
        <w:footnoteReference w:id="35"/>
      </w:r>
      <w:r w:rsidRPr="00CE014C">
        <w:rPr>
          <w:rFonts w:ascii="Times New Roman" w:hAnsi="Times New Roman" w:cs="Times New Roman"/>
          <w:sz w:val="24"/>
          <w:szCs w:val="24"/>
        </w:rPr>
        <w:t xml:space="preserve">  Other benefits of the 132,000 AMI meters have either not been quantified or are unquantifiable.  Regardless, a</w:t>
      </w:r>
      <w:r w:rsidR="00BC0442">
        <w:rPr>
          <w:rFonts w:ascii="Times New Roman" w:hAnsi="Times New Roman" w:cs="Times New Roman"/>
          <w:sz w:val="24"/>
          <w:szCs w:val="24"/>
        </w:rPr>
        <w:t xml:space="preserve"> full</w:t>
      </w:r>
      <w:r w:rsidRPr="00CE014C">
        <w:rPr>
          <w:rFonts w:ascii="Times New Roman" w:hAnsi="Times New Roman" w:cs="Times New Roman"/>
          <w:sz w:val="24"/>
          <w:szCs w:val="24"/>
        </w:rPr>
        <w:t xml:space="preserve"> examination of the AMI deployment is necessary to determine if the benefits that customers receiv</w:t>
      </w:r>
      <w:r w:rsidRPr="00CE014C" w:rsidR="00092322">
        <w:rPr>
          <w:rFonts w:ascii="Times New Roman" w:hAnsi="Times New Roman" w:cs="Times New Roman"/>
          <w:sz w:val="24"/>
          <w:szCs w:val="24"/>
        </w:rPr>
        <w:t>e</w:t>
      </w:r>
      <w:r w:rsidRPr="00CE014C">
        <w:rPr>
          <w:rFonts w:ascii="Times New Roman" w:hAnsi="Times New Roman" w:cs="Times New Roman"/>
          <w:sz w:val="24"/>
          <w:szCs w:val="24"/>
        </w:rPr>
        <w:t xml:space="preserve"> from the AMI meters support the costs. </w:t>
      </w:r>
      <w:r w:rsidRPr="00CE014C" w:rsidR="005C7792">
        <w:rPr>
          <w:rFonts w:ascii="Times New Roman" w:hAnsi="Times New Roman" w:cs="Times New Roman"/>
          <w:sz w:val="24"/>
          <w:szCs w:val="24"/>
        </w:rPr>
        <w:t xml:space="preserve">In other words, the charges that customers pay for gridSMART </w:t>
      </w:r>
      <w:r w:rsidR="00A54FBC">
        <w:rPr>
          <w:rFonts w:ascii="Times New Roman" w:hAnsi="Times New Roman" w:cs="Times New Roman"/>
          <w:sz w:val="24"/>
          <w:szCs w:val="24"/>
        </w:rPr>
        <w:t xml:space="preserve">must be determined to be reasonable.  </w:t>
      </w:r>
      <w:r w:rsidRPr="00CE014C" w:rsidR="005C7792">
        <w:rPr>
          <w:rFonts w:ascii="Times New Roman" w:hAnsi="Times New Roman" w:cs="Times New Roman"/>
          <w:sz w:val="24"/>
          <w:szCs w:val="24"/>
        </w:rPr>
        <w:t xml:space="preserve"> According to Title 49, the PUCO must ensure that utility charges are reasonable, cost-effective and that the property that the customers are paying for is used and useful in the provision of utility service.</w:t>
      </w:r>
      <w:r>
        <w:rPr>
          <w:rStyle w:val="FootnoteReference"/>
          <w:rFonts w:ascii="Times New Roman" w:hAnsi="Times New Roman" w:cs="Times New Roman"/>
          <w:sz w:val="24"/>
          <w:szCs w:val="24"/>
        </w:rPr>
        <w:footnoteReference w:id="36"/>
      </w:r>
      <w:r w:rsidRPr="00CE014C">
        <w:rPr>
          <w:rFonts w:ascii="Times New Roman" w:hAnsi="Times New Roman" w:cs="Times New Roman"/>
          <w:sz w:val="24"/>
          <w:szCs w:val="24"/>
        </w:rPr>
        <w:t xml:space="preserve">  </w:t>
      </w:r>
    </w:p>
    <w:p w:rsidR="00BC6ED1" w:rsidRPr="00CE014C" w:rsidP="003821BA">
      <w:pPr>
        <w:spacing w:after="0" w:line="480" w:lineRule="auto"/>
        <w:rPr>
          <w:rFonts w:ascii="Times New Roman" w:hAnsi="Times New Roman" w:cs="Times New Roman"/>
          <w:sz w:val="24"/>
          <w:szCs w:val="24"/>
        </w:rPr>
      </w:pPr>
      <w:r w:rsidRPr="00CE014C">
        <w:rPr>
          <w:rFonts w:ascii="Times New Roman" w:hAnsi="Times New Roman" w:cs="Times New Roman"/>
          <w:sz w:val="24"/>
          <w:szCs w:val="24"/>
        </w:rPr>
        <w:tab/>
      </w:r>
      <w:r w:rsidRPr="00CE014C" w:rsidR="00206D90">
        <w:rPr>
          <w:rFonts w:ascii="Times New Roman" w:hAnsi="Times New Roman" w:cs="Times New Roman"/>
          <w:sz w:val="24"/>
          <w:szCs w:val="24"/>
        </w:rPr>
        <w:t xml:space="preserve">In considering the costs for the gridSMART Phase I AMI, the review should also consider the additional money </w:t>
      </w:r>
      <w:r w:rsidRPr="00CE014C" w:rsidR="004E784D">
        <w:rPr>
          <w:rFonts w:ascii="Times New Roman" w:hAnsi="Times New Roman" w:cs="Times New Roman"/>
          <w:sz w:val="24"/>
          <w:szCs w:val="24"/>
        </w:rPr>
        <w:t>Ohio Power</w:t>
      </w:r>
      <w:r w:rsidRPr="00CE014C" w:rsidR="00206D90">
        <w:rPr>
          <w:rFonts w:ascii="Times New Roman" w:hAnsi="Times New Roman" w:cs="Times New Roman"/>
          <w:sz w:val="24"/>
          <w:szCs w:val="24"/>
        </w:rPr>
        <w:t xml:space="preserve"> is collecting from customers with AMI meters that are remotely disconnected for non-payment.  </w:t>
      </w:r>
      <w:r w:rsidRPr="00CE014C" w:rsidR="004E784D">
        <w:rPr>
          <w:rFonts w:ascii="Times New Roman" w:hAnsi="Times New Roman" w:cs="Times New Roman"/>
          <w:sz w:val="24"/>
          <w:szCs w:val="24"/>
        </w:rPr>
        <w:t>Ohio Power</w:t>
      </w:r>
      <w:r w:rsidRPr="00CE014C" w:rsidR="00206D90">
        <w:rPr>
          <w:rFonts w:ascii="Times New Roman" w:hAnsi="Times New Roman" w:cs="Times New Roman"/>
          <w:sz w:val="24"/>
          <w:szCs w:val="24"/>
        </w:rPr>
        <w:t xml:space="preserve"> sought and obtained PUCO approval to use the AMI technology to remotely disconnect customers who have gridSMART Phase I AMI meters without actually physically visiting the premises prior to the disconnection.</w:t>
      </w:r>
      <w:r>
        <w:rPr>
          <w:rStyle w:val="FootnoteReference"/>
          <w:rFonts w:ascii="Times New Roman" w:hAnsi="Times New Roman" w:cs="Times New Roman"/>
          <w:sz w:val="24"/>
          <w:szCs w:val="24"/>
        </w:rPr>
        <w:footnoteReference w:id="37"/>
      </w:r>
      <w:r w:rsidRPr="00CE014C" w:rsidR="00206D90">
        <w:rPr>
          <w:rFonts w:ascii="Times New Roman" w:hAnsi="Times New Roman" w:cs="Times New Roman"/>
          <w:sz w:val="24"/>
          <w:szCs w:val="24"/>
        </w:rPr>
        <w:t xml:space="preserve">  </w:t>
      </w:r>
      <w:r w:rsidRPr="00CE014C">
        <w:rPr>
          <w:rFonts w:ascii="Times New Roman" w:hAnsi="Times New Roman" w:cs="Times New Roman"/>
          <w:sz w:val="24"/>
          <w:szCs w:val="24"/>
        </w:rPr>
        <w:t>Remote disconnection/reconnection means that Ohio Power is able to avoid considerable labor and vehicle costs because its personnel do not have to make at least two physical visits to the customer’s home, as required by PUCO rules.  Ohio Power</w:t>
      </w:r>
      <w:r w:rsidRPr="00CE014C" w:rsidR="00665583">
        <w:rPr>
          <w:rFonts w:ascii="Times New Roman" w:hAnsi="Times New Roman" w:cs="Times New Roman"/>
          <w:sz w:val="24"/>
          <w:szCs w:val="24"/>
        </w:rPr>
        <w:t xml:space="preserve"> has not sought to reduce its base rates</w:t>
      </w:r>
      <w:r w:rsidR="00BC0442">
        <w:rPr>
          <w:rFonts w:ascii="Times New Roman" w:hAnsi="Times New Roman" w:cs="Times New Roman"/>
          <w:sz w:val="24"/>
          <w:szCs w:val="24"/>
        </w:rPr>
        <w:t xml:space="preserve"> to customers</w:t>
      </w:r>
      <w:r w:rsidRPr="00CE014C" w:rsidR="00665583">
        <w:rPr>
          <w:rFonts w:ascii="Times New Roman" w:hAnsi="Times New Roman" w:cs="Times New Roman"/>
          <w:sz w:val="24"/>
          <w:szCs w:val="24"/>
        </w:rPr>
        <w:t xml:space="preserve"> to reflect its reduced costs.</w:t>
      </w:r>
      <w:r w:rsidRPr="00CE014C">
        <w:rPr>
          <w:rFonts w:ascii="Times New Roman" w:hAnsi="Times New Roman" w:cs="Times New Roman"/>
          <w:sz w:val="24"/>
          <w:szCs w:val="24"/>
        </w:rPr>
        <w:t xml:space="preserve">  </w:t>
      </w:r>
    </w:p>
    <w:p w:rsidR="00206D90" w:rsidRPr="00CE014C" w:rsidP="004D037D">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Further</w:t>
      </w:r>
      <w:r w:rsidRPr="00CE014C">
        <w:rPr>
          <w:rFonts w:ascii="Times New Roman" w:hAnsi="Times New Roman" w:cs="Times New Roman"/>
          <w:sz w:val="24"/>
          <w:szCs w:val="24"/>
        </w:rPr>
        <w:t xml:space="preserve">,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has not filed an </w:t>
      </w:r>
      <w:r w:rsidRPr="00CE014C" w:rsidR="00BC6ED1">
        <w:rPr>
          <w:rFonts w:ascii="Times New Roman" w:hAnsi="Times New Roman" w:cs="Times New Roman"/>
          <w:sz w:val="24"/>
          <w:szCs w:val="24"/>
        </w:rPr>
        <w:t>a</w:t>
      </w:r>
      <w:r w:rsidRPr="00CE014C">
        <w:rPr>
          <w:rFonts w:ascii="Times New Roman" w:hAnsi="Times New Roman" w:cs="Times New Roman"/>
          <w:sz w:val="24"/>
          <w:szCs w:val="24"/>
        </w:rPr>
        <w:t xml:space="preserve">pplication to reduce the reconnection fee for AMI disconnections to reflect the lower cost of service associated with </w:t>
      </w:r>
      <w:r w:rsidR="00BC0442">
        <w:rPr>
          <w:rFonts w:ascii="Times New Roman" w:hAnsi="Times New Roman" w:cs="Times New Roman"/>
          <w:sz w:val="24"/>
          <w:szCs w:val="24"/>
        </w:rPr>
        <w:t xml:space="preserve">automated </w:t>
      </w:r>
      <w:r w:rsidRPr="00CE014C">
        <w:rPr>
          <w:rFonts w:ascii="Times New Roman" w:hAnsi="Times New Roman" w:cs="Times New Roman"/>
          <w:sz w:val="24"/>
          <w:szCs w:val="24"/>
        </w:rPr>
        <w:t xml:space="preserve">remote disconnections.  </w:t>
      </w:r>
      <w:r w:rsidRPr="00CE014C">
        <w:rPr>
          <w:rFonts w:ascii="Times New Roman" w:hAnsi="Times New Roman" w:cs="Times New Roman"/>
          <w:sz w:val="24"/>
          <w:szCs w:val="24"/>
        </w:rPr>
        <w:t>C</w:t>
      </w:r>
      <w:r w:rsidRPr="00CE014C">
        <w:rPr>
          <w:rFonts w:ascii="Times New Roman" w:hAnsi="Times New Roman" w:cs="Times New Roman"/>
          <w:sz w:val="24"/>
          <w:szCs w:val="24"/>
        </w:rPr>
        <w:t xml:space="preserve">ustomers who have AMI meters and are remotely disconnected for non-payment must still pay the same </w:t>
      </w:r>
      <w:r w:rsidR="00BC0442">
        <w:rPr>
          <w:rFonts w:ascii="Times New Roman" w:hAnsi="Times New Roman" w:cs="Times New Roman"/>
          <w:sz w:val="24"/>
          <w:szCs w:val="24"/>
        </w:rPr>
        <w:t xml:space="preserve">labor intensive </w:t>
      </w:r>
      <w:r w:rsidRPr="00CE014C">
        <w:rPr>
          <w:rFonts w:ascii="Times New Roman" w:hAnsi="Times New Roman" w:cs="Times New Roman"/>
          <w:sz w:val="24"/>
          <w:szCs w:val="24"/>
        </w:rPr>
        <w:t>tariff</w:t>
      </w:r>
      <w:r w:rsidRPr="00CE014C" w:rsidR="00BC6ED1">
        <w:rPr>
          <w:rFonts w:ascii="Times New Roman" w:hAnsi="Times New Roman" w:cs="Times New Roman"/>
          <w:sz w:val="24"/>
          <w:szCs w:val="24"/>
        </w:rPr>
        <w:t>ed</w:t>
      </w:r>
      <w:r w:rsidRPr="00CE014C">
        <w:rPr>
          <w:rFonts w:ascii="Times New Roman" w:hAnsi="Times New Roman" w:cs="Times New Roman"/>
          <w:sz w:val="24"/>
          <w:szCs w:val="24"/>
        </w:rPr>
        <w:t xml:space="preserve"> reconnection fee of $53 that a customer without AMI must pay to have services restored.  Between June 1, 2015 and May 31, 2016,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disconnected a total of 135,872 customers across all of the counties it serves in Ohio.</w:t>
      </w:r>
      <w:r>
        <w:rPr>
          <w:rStyle w:val="FootnoteReference"/>
          <w:rFonts w:ascii="Times New Roman" w:hAnsi="Times New Roman" w:cs="Times New Roman"/>
          <w:sz w:val="24"/>
          <w:szCs w:val="24"/>
        </w:rPr>
        <w:footnoteReference w:id="38"/>
      </w:r>
      <w:r w:rsidRPr="00CE014C">
        <w:rPr>
          <w:rFonts w:ascii="Times New Roman" w:hAnsi="Times New Roman" w:cs="Times New Roman"/>
          <w:sz w:val="24"/>
          <w:szCs w:val="24"/>
        </w:rPr>
        <w:t xml:space="preserve">  </w:t>
      </w:r>
      <w:r w:rsidRPr="00CE014C">
        <w:rPr>
          <w:rFonts w:ascii="Times New Roman" w:hAnsi="Times New Roman" w:cs="Times New Roman"/>
          <w:sz w:val="24"/>
          <w:szCs w:val="24"/>
        </w:rPr>
        <w:t xml:space="preserve">Nearly one third </w:t>
      </w:r>
      <w:r w:rsidRPr="00CE014C">
        <w:rPr>
          <w:rFonts w:ascii="Times New Roman" w:hAnsi="Times New Roman" w:cs="Times New Roman"/>
          <w:sz w:val="24"/>
          <w:szCs w:val="24"/>
        </w:rPr>
        <w:t>of those disconnections</w:t>
      </w:r>
      <w:r w:rsidRPr="00CE014C">
        <w:rPr>
          <w:rFonts w:ascii="Times New Roman" w:hAnsi="Times New Roman" w:cs="Times New Roman"/>
          <w:sz w:val="24"/>
          <w:szCs w:val="24"/>
        </w:rPr>
        <w:t xml:space="preserve"> – 40,299 –</w:t>
      </w:r>
      <w:r w:rsidRPr="00CE014C">
        <w:rPr>
          <w:rFonts w:ascii="Times New Roman" w:hAnsi="Times New Roman" w:cs="Times New Roman"/>
          <w:sz w:val="24"/>
          <w:szCs w:val="24"/>
        </w:rPr>
        <w:t xml:space="preserve"> coincidentally occurred in the gridSMART Phase I service area </w:t>
      </w:r>
      <w:r w:rsidRPr="00CE014C" w:rsidR="00DC5ADF">
        <w:rPr>
          <w:rFonts w:ascii="Times New Roman" w:hAnsi="Times New Roman" w:cs="Times New Roman"/>
          <w:sz w:val="24"/>
          <w:szCs w:val="24"/>
        </w:rPr>
        <w:t xml:space="preserve">(Northeast Franklin County) </w:t>
      </w:r>
      <w:r w:rsidRPr="00CE014C">
        <w:rPr>
          <w:rFonts w:ascii="Times New Roman" w:hAnsi="Times New Roman" w:cs="Times New Roman"/>
          <w:sz w:val="24"/>
          <w:szCs w:val="24"/>
        </w:rPr>
        <w:t>where the AMI meters are deployed.</w:t>
      </w:r>
      <w:r>
        <w:rPr>
          <w:rStyle w:val="FootnoteReference"/>
          <w:rFonts w:ascii="Times New Roman" w:hAnsi="Times New Roman" w:cs="Times New Roman"/>
          <w:sz w:val="24"/>
          <w:szCs w:val="24"/>
        </w:rPr>
        <w:footnoteReference w:id="39"/>
      </w:r>
      <w:r w:rsidRPr="00CE014C">
        <w:rPr>
          <w:rFonts w:ascii="Times New Roman" w:hAnsi="Times New Roman" w:cs="Times New Roman"/>
          <w:sz w:val="24"/>
          <w:szCs w:val="24"/>
        </w:rPr>
        <w:t xml:space="preserve">  The </w:t>
      </w:r>
      <w:r w:rsidR="00BC0442">
        <w:rPr>
          <w:rFonts w:ascii="Times New Roman" w:hAnsi="Times New Roman" w:cs="Times New Roman"/>
          <w:sz w:val="24"/>
          <w:szCs w:val="24"/>
        </w:rPr>
        <w:t xml:space="preserve">PUCO’s </w:t>
      </w:r>
      <w:r w:rsidRPr="00CE014C">
        <w:rPr>
          <w:rFonts w:ascii="Times New Roman" w:hAnsi="Times New Roman" w:cs="Times New Roman"/>
          <w:sz w:val="24"/>
          <w:szCs w:val="24"/>
        </w:rPr>
        <w:t xml:space="preserve">review should ensure that </w:t>
      </w:r>
      <w:r w:rsidRPr="00CE014C" w:rsidR="004E784D">
        <w:rPr>
          <w:rFonts w:ascii="Times New Roman" w:hAnsi="Times New Roman" w:cs="Times New Roman"/>
          <w:sz w:val="24"/>
          <w:szCs w:val="24"/>
        </w:rPr>
        <w:t>Ohio Power</w:t>
      </w:r>
      <w:r w:rsidRPr="00CE014C">
        <w:rPr>
          <w:rFonts w:ascii="Times New Roman" w:hAnsi="Times New Roman" w:cs="Times New Roman"/>
          <w:sz w:val="24"/>
          <w:szCs w:val="24"/>
        </w:rPr>
        <w:t xml:space="preserve"> </w:t>
      </w:r>
      <w:r w:rsidRPr="00CE014C" w:rsidR="00092322">
        <w:rPr>
          <w:rFonts w:ascii="Times New Roman" w:hAnsi="Times New Roman" w:cs="Times New Roman"/>
          <w:sz w:val="24"/>
          <w:szCs w:val="24"/>
        </w:rPr>
        <w:t>cannot</w:t>
      </w:r>
      <w:r w:rsidRPr="00CE014C">
        <w:rPr>
          <w:rFonts w:ascii="Times New Roman" w:hAnsi="Times New Roman" w:cs="Times New Roman"/>
          <w:sz w:val="24"/>
          <w:szCs w:val="24"/>
        </w:rPr>
        <w:t xml:space="preserve"> profit from the remote disconnection of customers who have AMI meters. </w:t>
      </w:r>
      <w:r w:rsidRPr="00CE014C" w:rsidR="00DC5ADF">
        <w:rPr>
          <w:rFonts w:ascii="Times New Roman" w:hAnsi="Times New Roman" w:cs="Times New Roman"/>
          <w:sz w:val="24"/>
          <w:szCs w:val="24"/>
        </w:rPr>
        <w:t xml:space="preserve"> </w:t>
      </w:r>
    </w:p>
    <w:p w:rsidR="00127815" w:rsidRPr="00CE014C" w:rsidP="00127815">
      <w:pPr>
        <w:spacing w:after="0" w:line="240" w:lineRule="auto"/>
        <w:ind w:firstLine="720"/>
        <w:rPr>
          <w:rFonts w:ascii="Times New Roman" w:hAnsi="Times New Roman" w:cs="Times New Roman"/>
          <w:sz w:val="24"/>
          <w:szCs w:val="24"/>
        </w:rPr>
      </w:pPr>
    </w:p>
    <w:p w:rsidR="00993800" w:rsidRPr="00CE014C" w:rsidP="00127815">
      <w:pPr>
        <w:pStyle w:val="Heading1"/>
        <w:rPr>
          <w:rFonts w:ascii="Times New Roman" w:hAnsi="Times New Roman" w:cs="Times New Roman"/>
          <w:szCs w:val="24"/>
        </w:rPr>
      </w:pPr>
      <w:bookmarkStart w:id="7" w:name="_Toc476575481"/>
      <w:r w:rsidRPr="00CE014C">
        <w:rPr>
          <w:rFonts w:ascii="Times New Roman" w:hAnsi="Times New Roman" w:cs="Times New Roman"/>
          <w:szCs w:val="24"/>
        </w:rPr>
        <w:t>IV.</w:t>
      </w:r>
      <w:r w:rsidRPr="00CE014C">
        <w:rPr>
          <w:rFonts w:ascii="Times New Roman" w:hAnsi="Times New Roman" w:cs="Times New Roman"/>
          <w:szCs w:val="24"/>
        </w:rPr>
        <w:tab/>
      </w:r>
      <w:r w:rsidRPr="00CE014C">
        <w:rPr>
          <w:rFonts w:ascii="Times New Roman" w:hAnsi="Times New Roman" w:cs="Times New Roman"/>
          <w:szCs w:val="24"/>
        </w:rPr>
        <w:t>CONCLUSION</w:t>
      </w:r>
      <w:bookmarkEnd w:id="7"/>
    </w:p>
    <w:p w:rsidR="00DE5C0E" w:rsidP="00DE5C0E">
      <w:pPr>
        <w:spacing w:after="0" w:line="480" w:lineRule="auto"/>
        <w:ind w:firstLine="720"/>
        <w:rPr>
          <w:rFonts w:ascii="Times New Roman" w:hAnsi="Times New Roman" w:cs="Times New Roman"/>
          <w:sz w:val="24"/>
          <w:szCs w:val="24"/>
        </w:rPr>
      </w:pPr>
      <w:r w:rsidRPr="00CE014C">
        <w:rPr>
          <w:rFonts w:ascii="Times New Roman" w:hAnsi="Times New Roman" w:cs="Times New Roman"/>
          <w:sz w:val="24"/>
          <w:szCs w:val="24"/>
        </w:rPr>
        <w:t>According to R.C. 4905.22, the PUCO cannot allow utilities to charge customers unjust or unreasonable costs. Therefore, the PUCO must, in following its duties prescribed under R.C. 4905.04, ensure that its orders are in accordance with the law</w:t>
      </w:r>
      <w:r w:rsidRPr="00CE014C" w:rsidR="00665583">
        <w:rPr>
          <w:rFonts w:ascii="Times New Roman" w:hAnsi="Times New Roman" w:cs="Times New Roman"/>
          <w:sz w:val="24"/>
          <w:szCs w:val="24"/>
        </w:rPr>
        <w:t>.</w:t>
      </w:r>
      <w:r w:rsidRPr="00CE014C" w:rsidR="003039FD">
        <w:rPr>
          <w:rFonts w:ascii="Times New Roman" w:hAnsi="Times New Roman" w:cs="Times New Roman"/>
          <w:sz w:val="24"/>
          <w:szCs w:val="24"/>
        </w:rPr>
        <w:t xml:space="preserve"> </w:t>
      </w:r>
      <w:r w:rsidRPr="00CE014C" w:rsidR="00665583">
        <w:rPr>
          <w:rFonts w:ascii="Times New Roman" w:hAnsi="Times New Roman" w:cs="Times New Roman"/>
          <w:sz w:val="24"/>
          <w:szCs w:val="24"/>
        </w:rPr>
        <w:t>However</w:t>
      </w:r>
      <w:r w:rsidRPr="00CE014C">
        <w:rPr>
          <w:rFonts w:ascii="Times New Roman" w:hAnsi="Times New Roman" w:cs="Times New Roman"/>
          <w:sz w:val="24"/>
          <w:szCs w:val="24"/>
        </w:rPr>
        <w:t xml:space="preserve">, the PUCO has never made </w:t>
      </w:r>
      <w:r w:rsidRPr="00CE014C" w:rsidR="00665583">
        <w:rPr>
          <w:rFonts w:ascii="Times New Roman" w:hAnsi="Times New Roman" w:cs="Times New Roman"/>
          <w:sz w:val="24"/>
          <w:szCs w:val="24"/>
        </w:rPr>
        <w:t xml:space="preserve">a reasonableness </w:t>
      </w:r>
      <w:r w:rsidRPr="00CE014C">
        <w:rPr>
          <w:rFonts w:ascii="Times New Roman" w:hAnsi="Times New Roman" w:cs="Times New Roman"/>
          <w:sz w:val="24"/>
          <w:szCs w:val="24"/>
        </w:rPr>
        <w:t xml:space="preserve">determination </w:t>
      </w:r>
      <w:r w:rsidR="00BC0442">
        <w:rPr>
          <w:rFonts w:ascii="Times New Roman" w:hAnsi="Times New Roman" w:cs="Times New Roman"/>
          <w:sz w:val="24"/>
          <w:szCs w:val="24"/>
        </w:rPr>
        <w:t>concerning</w:t>
      </w:r>
      <w:r w:rsidRPr="00CE014C">
        <w:rPr>
          <w:rFonts w:ascii="Times New Roman" w:hAnsi="Times New Roman" w:cs="Times New Roman"/>
          <w:sz w:val="24"/>
          <w:szCs w:val="24"/>
        </w:rPr>
        <w:t xml:space="preserve"> Ohio Power’s gridSMART </w:t>
      </w:r>
      <w:r w:rsidR="00452146">
        <w:rPr>
          <w:rFonts w:ascii="Times New Roman" w:hAnsi="Times New Roman" w:cs="Times New Roman"/>
          <w:sz w:val="24"/>
          <w:szCs w:val="24"/>
        </w:rPr>
        <w:t xml:space="preserve">Phase I </w:t>
      </w:r>
      <w:r w:rsidRPr="00CE014C">
        <w:rPr>
          <w:rFonts w:ascii="Times New Roman" w:hAnsi="Times New Roman" w:cs="Times New Roman"/>
          <w:sz w:val="24"/>
          <w:szCs w:val="24"/>
        </w:rPr>
        <w:t xml:space="preserve">charges to customers. </w:t>
      </w:r>
      <w:r w:rsidRPr="00CE014C" w:rsidR="00665583">
        <w:rPr>
          <w:rFonts w:ascii="Times New Roman" w:hAnsi="Times New Roman" w:cs="Times New Roman"/>
          <w:sz w:val="24"/>
          <w:szCs w:val="24"/>
        </w:rPr>
        <w:t xml:space="preserve"> Because Title 49 requires that customers pay only reasonable charges for gridSMART</w:t>
      </w:r>
      <w:r w:rsidR="00452146">
        <w:rPr>
          <w:rFonts w:ascii="Times New Roman" w:hAnsi="Times New Roman" w:cs="Times New Roman"/>
          <w:sz w:val="24"/>
          <w:szCs w:val="24"/>
        </w:rPr>
        <w:t xml:space="preserve"> Phase I</w:t>
      </w:r>
      <w:r w:rsidRPr="00CE014C" w:rsidR="00665583">
        <w:rPr>
          <w:rFonts w:ascii="Times New Roman" w:hAnsi="Times New Roman" w:cs="Times New Roman"/>
          <w:sz w:val="24"/>
          <w:szCs w:val="24"/>
        </w:rPr>
        <w:t xml:space="preserve">, </w:t>
      </w:r>
      <w:r w:rsidRPr="00CE014C">
        <w:rPr>
          <w:rFonts w:ascii="Times New Roman" w:hAnsi="Times New Roman" w:cs="Times New Roman"/>
          <w:sz w:val="24"/>
          <w:szCs w:val="24"/>
        </w:rPr>
        <w:t xml:space="preserve">OCC asks the PUCO </w:t>
      </w:r>
      <w:r w:rsidR="006337A0">
        <w:rPr>
          <w:rFonts w:ascii="Times New Roman" w:hAnsi="Times New Roman" w:cs="Times New Roman"/>
          <w:sz w:val="24"/>
          <w:szCs w:val="24"/>
        </w:rPr>
        <w:t xml:space="preserve">to </w:t>
      </w:r>
      <w:r w:rsidRPr="00CE014C">
        <w:rPr>
          <w:rFonts w:ascii="Times New Roman" w:hAnsi="Times New Roman" w:cs="Times New Roman"/>
          <w:sz w:val="24"/>
          <w:szCs w:val="24"/>
        </w:rPr>
        <w:t>order a prudency review of gridSMART Phase I capital investments</w:t>
      </w:r>
      <w:r w:rsidR="00C51966">
        <w:rPr>
          <w:rFonts w:ascii="Times New Roman" w:hAnsi="Times New Roman" w:cs="Times New Roman"/>
          <w:sz w:val="24"/>
          <w:szCs w:val="24"/>
        </w:rPr>
        <w:t xml:space="preserve"> and costs charged to customers before allowing Ohio Power to charge its customers any more dollars for the </w:t>
      </w:r>
      <w:r w:rsidR="006337A0">
        <w:rPr>
          <w:rFonts w:ascii="Times New Roman" w:hAnsi="Times New Roman" w:cs="Times New Roman"/>
          <w:sz w:val="24"/>
          <w:szCs w:val="24"/>
        </w:rPr>
        <w:t>gridSMART</w:t>
      </w:r>
      <w:r w:rsidR="00C51966">
        <w:rPr>
          <w:rFonts w:ascii="Times New Roman" w:hAnsi="Times New Roman" w:cs="Times New Roman"/>
          <w:sz w:val="24"/>
          <w:szCs w:val="24"/>
        </w:rPr>
        <w:t xml:space="preserve"> Phase I program</w:t>
      </w:r>
      <w:r w:rsidR="006337A0">
        <w:rPr>
          <w:rFonts w:ascii="Times New Roman" w:hAnsi="Times New Roman" w:cs="Times New Roman"/>
          <w:sz w:val="24"/>
          <w:szCs w:val="24"/>
        </w:rPr>
        <w:t>.</w:t>
      </w:r>
      <w:r w:rsidRPr="00CE014C">
        <w:rPr>
          <w:rFonts w:ascii="Times New Roman" w:hAnsi="Times New Roman" w:cs="Times New Roman"/>
          <w:sz w:val="24"/>
          <w:szCs w:val="24"/>
        </w:rPr>
        <w:t xml:space="preserve"> </w:t>
      </w:r>
      <w:r w:rsidRPr="00CE014C" w:rsidR="00665583">
        <w:rPr>
          <w:rFonts w:ascii="Times New Roman" w:hAnsi="Times New Roman" w:cs="Times New Roman"/>
          <w:sz w:val="24"/>
          <w:szCs w:val="24"/>
        </w:rPr>
        <w:t xml:space="preserve"> </w:t>
      </w:r>
    </w:p>
    <w:p w:rsidR="00CC0076" w:rsidP="00DE5C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0076">
      <w:pPr>
        <w:rPr>
          <w:rFonts w:ascii="Times New Roman" w:hAnsi="Times New Roman" w:cs="Times New Roman"/>
          <w:sz w:val="24"/>
          <w:szCs w:val="24"/>
        </w:rPr>
      </w:pPr>
      <w:r>
        <w:rPr>
          <w:rFonts w:ascii="Times New Roman" w:hAnsi="Times New Roman" w:cs="Times New Roman"/>
          <w:sz w:val="24"/>
          <w:szCs w:val="24"/>
        </w:rPr>
        <w:br w:type="page"/>
      </w:r>
    </w:p>
    <w:p w:rsidR="003821BA" w:rsidRPr="00CE014C" w:rsidP="00DE5C0E">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C0E">
        <w:rPr>
          <w:rFonts w:ascii="Times New Roman" w:hAnsi="Times New Roman" w:cs="Times New Roman"/>
          <w:sz w:val="24"/>
          <w:szCs w:val="24"/>
        </w:rPr>
        <w:t>Resp</w:t>
      </w:r>
      <w:r w:rsidRPr="00CE014C">
        <w:rPr>
          <w:rFonts w:ascii="Times New Roman" w:eastAsia="Times New Roman" w:hAnsi="Times New Roman" w:cs="Times New Roman"/>
          <w:sz w:val="24"/>
          <w:szCs w:val="24"/>
        </w:rPr>
        <w:t>ectfully submitted,</w:t>
      </w:r>
    </w:p>
    <w:p w:rsidR="001C73AD" w:rsidRPr="00CE014C" w:rsidP="00DE5C0E">
      <w:pPr>
        <w:spacing w:after="0" w:line="240" w:lineRule="auto"/>
        <w:rPr>
          <w:rFonts w:ascii="Times New Roman" w:eastAsia="Times New Roman" w:hAnsi="Times New Roman" w:cs="Times New Roman"/>
          <w:sz w:val="24"/>
          <w:szCs w:val="24"/>
        </w:rPr>
      </w:pPr>
    </w:p>
    <w:p w:rsidR="003821BA" w:rsidRPr="00CE014C" w:rsidP="00DE5C0E">
      <w:pPr>
        <w:tabs>
          <w:tab w:val="left" w:pos="2436"/>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BRUCE WESTON</w:t>
      </w:r>
      <w:r w:rsidRPr="00CE014C">
        <w:rPr>
          <w:rFonts w:ascii="Times New Roman" w:eastAsia="Times New Roman" w:hAnsi="Times New Roman" w:cs="Times New Roman"/>
          <w:sz w:val="24"/>
          <w:szCs w:val="24"/>
        </w:rPr>
        <w:tab/>
      </w:r>
    </w:p>
    <w:p w:rsidR="003821BA" w:rsidRPr="00CE014C" w:rsidP="00DE5C0E">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OHIO CONSUMERS’ COUNSEL</w:t>
      </w:r>
    </w:p>
    <w:p w:rsidR="003821BA" w:rsidRPr="00CE014C" w:rsidP="003821BA">
      <w:pPr>
        <w:tabs>
          <w:tab w:val="left" w:pos="4320"/>
        </w:tabs>
        <w:spacing w:after="0" w:line="240" w:lineRule="auto"/>
        <w:rPr>
          <w:rFonts w:ascii="Times New Roman" w:eastAsia="Times New Roman" w:hAnsi="Times New Roman" w:cs="Times New Roman"/>
          <w:sz w:val="24"/>
          <w:szCs w:val="24"/>
        </w:rPr>
      </w:pPr>
    </w:p>
    <w:p w:rsidR="003821BA"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i/>
          <w:sz w:val="24"/>
          <w:szCs w:val="24"/>
          <w:u w:val="single"/>
        </w:rPr>
        <w:t>/s/ Jodi Bair</w:t>
      </w:r>
    </w:p>
    <w:p w:rsidR="001C73AD"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 xml:space="preserve">Jodi Bair, </w:t>
      </w:r>
    </w:p>
    <w:p w:rsidR="003821BA"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Counsel of Record</w:t>
      </w:r>
      <w:r w:rsidRPr="00CE014C" w:rsidR="001C73AD">
        <w:rPr>
          <w:rFonts w:ascii="Times New Roman" w:eastAsia="Times New Roman" w:hAnsi="Times New Roman" w:cs="Times New Roman"/>
          <w:sz w:val="24"/>
          <w:szCs w:val="24"/>
        </w:rPr>
        <w:t xml:space="preserve"> for 15-240-EL-RDR</w:t>
      </w:r>
    </w:p>
    <w:p w:rsidR="003821BA"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(Reg. No. 0062921)</w:t>
      </w:r>
    </w:p>
    <w:p w:rsidR="001C73AD"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Terry L. Etter,</w:t>
      </w:r>
    </w:p>
    <w:p w:rsidR="001C73AD"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Counsel of Record for 15-1513-EL-RDR</w:t>
      </w:r>
    </w:p>
    <w:p w:rsidR="001C73AD"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(Reg. No. 0067445)</w:t>
      </w:r>
    </w:p>
    <w:p w:rsidR="003821BA" w:rsidRPr="00CE014C" w:rsidP="003821BA">
      <w:pPr>
        <w:tabs>
          <w:tab w:val="left" w:pos="4320"/>
        </w:tabs>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Assistant Consumers’ Counsel</w:t>
      </w:r>
    </w:p>
    <w:p w:rsidR="003821BA" w:rsidRPr="00CE014C" w:rsidP="003821BA">
      <w:pPr>
        <w:tabs>
          <w:tab w:val="left" w:pos="4320"/>
        </w:tabs>
        <w:spacing w:after="0" w:line="240" w:lineRule="auto"/>
        <w:ind w:left="4320"/>
        <w:rPr>
          <w:rFonts w:ascii="Times New Roman" w:eastAsia="Times New Roman" w:hAnsi="Times New Roman" w:cs="Times New Roman"/>
          <w:sz w:val="24"/>
          <w:szCs w:val="24"/>
        </w:rPr>
      </w:pPr>
    </w:p>
    <w:p w:rsidR="003821BA" w:rsidRPr="00CE014C" w:rsidP="00127815">
      <w:pPr>
        <w:spacing w:after="0" w:line="240" w:lineRule="auto"/>
        <w:ind w:left="4320"/>
        <w:rPr>
          <w:rFonts w:ascii="Times New Roman" w:hAnsi="Times New Roman" w:cs="Times New Roman"/>
          <w:b/>
          <w:sz w:val="24"/>
          <w:szCs w:val="24"/>
        </w:rPr>
      </w:pPr>
      <w:r w:rsidRPr="00CE014C">
        <w:rPr>
          <w:rFonts w:ascii="Times New Roman" w:hAnsi="Times New Roman" w:cs="Times New Roman"/>
          <w:b/>
          <w:sz w:val="24"/>
          <w:szCs w:val="24"/>
        </w:rPr>
        <w:t>Office of the Ohio Consumers’ Counsel</w:t>
      </w:r>
    </w:p>
    <w:p w:rsidR="003821BA" w:rsidRPr="00CE014C" w:rsidP="00127815">
      <w:pPr>
        <w:spacing w:after="0" w:line="240" w:lineRule="auto"/>
        <w:ind w:left="4320"/>
        <w:rPr>
          <w:rFonts w:ascii="Times New Roman" w:hAnsi="Times New Roman" w:cs="Times New Roman"/>
          <w:sz w:val="24"/>
          <w:szCs w:val="24"/>
        </w:rPr>
      </w:pPr>
      <w:r w:rsidRPr="00CE014C">
        <w:rPr>
          <w:rFonts w:ascii="Times New Roman" w:hAnsi="Times New Roman" w:cs="Times New Roman"/>
          <w:sz w:val="24"/>
          <w:szCs w:val="24"/>
        </w:rPr>
        <w:t>10 West Broad Street, Suite 1800</w:t>
      </w:r>
    </w:p>
    <w:p w:rsidR="003821BA" w:rsidRPr="00CE014C" w:rsidP="00127815">
      <w:pPr>
        <w:spacing w:after="0" w:line="240" w:lineRule="auto"/>
        <w:ind w:left="4320"/>
        <w:rPr>
          <w:rFonts w:ascii="Times New Roman" w:hAnsi="Times New Roman" w:cs="Times New Roman"/>
          <w:sz w:val="24"/>
          <w:szCs w:val="24"/>
        </w:rPr>
      </w:pPr>
      <w:r w:rsidRPr="00CE014C">
        <w:rPr>
          <w:rFonts w:ascii="Times New Roman" w:hAnsi="Times New Roman" w:cs="Times New Roman"/>
          <w:sz w:val="24"/>
          <w:szCs w:val="24"/>
        </w:rPr>
        <w:t>Columbus, Ohio 43215-3485</w:t>
      </w:r>
    </w:p>
    <w:p w:rsidR="003821BA" w:rsidRPr="00CE014C" w:rsidP="00127815">
      <w:pPr>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(614) 466-9559 (Bair Direct)</w:t>
      </w:r>
    </w:p>
    <w:p w:rsidR="001C73AD" w:rsidRPr="00CE014C" w:rsidP="00127815">
      <w:pPr>
        <w:spacing w:after="0" w:line="240" w:lineRule="auto"/>
        <w:ind w:left="43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(614) 466-7964 (Etter Direct)</w:t>
      </w:r>
    </w:p>
    <w:p w:rsidR="003821BA" w:rsidRPr="00CE014C" w:rsidP="00127815">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"mailto:jodi.bair@occ.ohio.gov" </w:instrText>
      </w:r>
      <w:r>
        <w:fldChar w:fldCharType="separate"/>
      </w:r>
      <w:r w:rsidRPr="00CE014C">
        <w:rPr>
          <w:rFonts w:ascii="Times New Roman" w:eastAsia="Times New Roman" w:hAnsi="Times New Roman" w:cs="Times New Roman"/>
          <w:color w:val="0000FF"/>
          <w:sz w:val="24"/>
          <w:szCs w:val="24"/>
          <w:u w:val="single"/>
        </w:rPr>
        <w:t>jodi.bair@occ.ohio.gov</w:t>
      </w:r>
      <w:r>
        <w:fldChar w:fldCharType="end"/>
      </w:r>
    </w:p>
    <w:p w:rsidR="001C73AD" w:rsidRPr="00CE014C" w:rsidP="00127815">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"mailto:terry.etter@occ.ohio.gov" </w:instrText>
      </w:r>
      <w:r>
        <w:fldChar w:fldCharType="separate"/>
      </w:r>
      <w:r w:rsidRPr="00CE014C">
        <w:rPr>
          <w:rStyle w:val="Hyperlink"/>
          <w:rFonts w:ascii="Times New Roman" w:eastAsia="Times New Roman" w:hAnsi="Times New Roman" w:cs="Times New Roman"/>
          <w:sz w:val="24"/>
          <w:szCs w:val="24"/>
        </w:rPr>
        <w:t>terry.etter@occ.ohio.gov</w:t>
      </w:r>
      <w:r>
        <w:fldChar w:fldCharType="end"/>
      </w:r>
    </w:p>
    <w:p w:rsidR="003821BA" w:rsidRPr="00CE014C" w:rsidP="003821BA">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w:t>
      </w:r>
      <w:r w:rsidRPr="00CE014C" w:rsidR="001C73AD">
        <w:rPr>
          <w:rFonts w:ascii="Times New Roman" w:eastAsia="Times New Roman" w:hAnsi="Times New Roman" w:cs="Times New Roman"/>
          <w:sz w:val="24"/>
          <w:szCs w:val="24"/>
        </w:rPr>
        <w:t>Both w</w:t>
      </w:r>
      <w:r w:rsidRPr="00CE014C">
        <w:rPr>
          <w:rFonts w:ascii="Times New Roman" w:eastAsia="Times New Roman" w:hAnsi="Times New Roman" w:cs="Times New Roman"/>
          <w:sz w:val="24"/>
          <w:szCs w:val="24"/>
        </w:rPr>
        <w:t>ill accept service via email)</w:t>
      </w:r>
    </w:p>
    <w:p w:rsidR="003821BA" w:rsidRPr="00CE014C">
      <w:pPr>
        <w:rPr>
          <w:rFonts w:ascii="Times New Roman" w:hAnsi="Times New Roman" w:cs="Times New Roman"/>
          <w:sz w:val="24"/>
          <w:szCs w:val="24"/>
        </w:rPr>
      </w:pPr>
    </w:p>
    <w:p w:rsidR="003821BA" w:rsidRPr="00CE014C">
      <w:pPr>
        <w:rPr>
          <w:rFonts w:ascii="Times New Roman" w:eastAsia="Times New Roman" w:hAnsi="Times New Roman" w:cs="Times New Roman"/>
          <w:b/>
          <w:bCs/>
          <w:sz w:val="24"/>
          <w:szCs w:val="24"/>
          <w:u w:val="single"/>
        </w:rPr>
      </w:pPr>
      <w:r w:rsidRPr="00CE014C">
        <w:rPr>
          <w:rFonts w:ascii="Times New Roman" w:eastAsia="Times New Roman" w:hAnsi="Times New Roman" w:cs="Times New Roman"/>
          <w:b/>
          <w:bCs/>
          <w:sz w:val="24"/>
          <w:szCs w:val="24"/>
          <w:u w:val="single"/>
        </w:rPr>
        <w:br w:type="page"/>
      </w:r>
    </w:p>
    <w:p w:rsidR="003821BA" w:rsidRPr="00CE014C" w:rsidP="003821BA">
      <w:pPr>
        <w:widowControl w:val="0"/>
        <w:spacing w:after="0" w:line="480" w:lineRule="auto"/>
        <w:jc w:val="center"/>
        <w:rPr>
          <w:rFonts w:ascii="Times New Roman" w:eastAsia="Times New Roman" w:hAnsi="Times New Roman" w:cs="Times New Roman"/>
          <w:b/>
          <w:bCs/>
          <w:sz w:val="24"/>
          <w:szCs w:val="24"/>
          <w:u w:val="single"/>
        </w:rPr>
      </w:pPr>
      <w:r w:rsidRPr="00CE014C">
        <w:rPr>
          <w:rFonts w:ascii="Times New Roman" w:eastAsia="Times New Roman" w:hAnsi="Times New Roman" w:cs="Times New Roman"/>
          <w:b/>
          <w:bCs/>
          <w:sz w:val="24"/>
          <w:szCs w:val="24"/>
          <w:u w:val="single"/>
        </w:rPr>
        <w:t>CERTIFICATE OF SERVICE</w:t>
      </w:r>
    </w:p>
    <w:p w:rsidR="003821BA" w:rsidRPr="00CE014C" w:rsidP="003821BA">
      <w:pPr>
        <w:spacing w:after="0" w:line="48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I hereby certify that a copy of these Comments were served on the persons stated below via electronic transmission this 6</w:t>
      </w:r>
      <w:r w:rsidRPr="00CE014C">
        <w:rPr>
          <w:rFonts w:ascii="Times New Roman" w:eastAsia="Times New Roman" w:hAnsi="Times New Roman" w:cs="Times New Roman"/>
          <w:sz w:val="24"/>
          <w:szCs w:val="24"/>
          <w:vertAlign w:val="superscript"/>
        </w:rPr>
        <w:t>th</w:t>
      </w:r>
      <w:r w:rsidRPr="00CE014C">
        <w:rPr>
          <w:rFonts w:ascii="Times New Roman" w:eastAsia="Times New Roman" w:hAnsi="Times New Roman" w:cs="Times New Roman"/>
          <w:sz w:val="24"/>
          <w:szCs w:val="24"/>
        </w:rPr>
        <w:t xml:space="preserve"> day of March 2017.</w:t>
      </w:r>
    </w:p>
    <w:p w:rsidR="003821BA" w:rsidRPr="00CE014C" w:rsidP="003821BA">
      <w:pPr>
        <w:spacing w:after="0" w:line="240" w:lineRule="auto"/>
        <w:rPr>
          <w:rFonts w:ascii="Times New Roman" w:eastAsia="Times New Roman" w:hAnsi="Times New Roman" w:cs="Times New Roman"/>
          <w:sz w:val="24"/>
          <w:szCs w:val="24"/>
        </w:rPr>
      </w:pPr>
    </w:p>
    <w:p w:rsidR="003821BA" w:rsidRPr="00CE014C" w:rsidP="003821BA">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i/>
          <w:sz w:val="24"/>
          <w:szCs w:val="24"/>
          <w:u w:val="single"/>
        </w:rPr>
        <w:t>/s/ Jodi Bair</w:t>
      </w:r>
      <w:r w:rsidRPr="00CE014C">
        <w:rPr>
          <w:rFonts w:ascii="Times New Roman" w:eastAsia="Times New Roman" w:hAnsi="Times New Roman" w:cs="Times New Roman"/>
          <w:sz w:val="24"/>
          <w:szCs w:val="24"/>
        </w:rPr>
        <w:t>__________</w:t>
      </w:r>
    </w:p>
    <w:p w:rsidR="003821BA" w:rsidRPr="00CE014C" w:rsidP="003821BA">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Jodi Bair</w:t>
      </w:r>
    </w:p>
    <w:p w:rsidR="003821BA" w:rsidRPr="00CE014C" w:rsidP="003821BA">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Assistant Consumers’ Counsel</w:t>
      </w:r>
    </w:p>
    <w:p w:rsidR="003821BA" w:rsidRPr="00CE014C" w:rsidP="003821BA">
      <w:pPr>
        <w:spacing w:after="0" w:line="240" w:lineRule="auto"/>
        <w:rPr>
          <w:rFonts w:ascii="Times New Roman" w:eastAsia="Times New Roman" w:hAnsi="Times New Roman" w:cs="Times New Roman"/>
          <w:sz w:val="24"/>
          <w:szCs w:val="24"/>
        </w:rPr>
      </w:pPr>
    </w:p>
    <w:p w:rsidR="003821BA" w:rsidRPr="00CE014C" w:rsidP="003821BA">
      <w:pPr>
        <w:spacing w:after="0" w:line="240" w:lineRule="auto"/>
        <w:rPr>
          <w:rFonts w:ascii="Times New Roman" w:eastAsia="Times New Roman" w:hAnsi="Times New Roman" w:cs="Times New Roman"/>
          <w:sz w:val="24"/>
          <w:szCs w:val="24"/>
        </w:rPr>
      </w:pPr>
    </w:p>
    <w:p w:rsidR="003821BA" w:rsidRPr="00CE014C" w:rsidP="003821BA">
      <w:pPr>
        <w:spacing w:after="0" w:line="240" w:lineRule="auto"/>
        <w:jc w:val="center"/>
        <w:rPr>
          <w:rFonts w:ascii="Times New Roman" w:eastAsia="Times New Roman" w:hAnsi="Times New Roman" w:cs="Times New Roman"/>
          <w:b/>
          <w:sz w:val="24"/>
          <w:szCs w:val="24"/>
          <w:u w:val="single"/>
        </w:rPr>
      </w:pPr>
      <w:r w:rsidRPr="00CE014C">
        <w:rPr>
          <w:rFonts w:ascii="Times New Roman" w:eastAsia="Times New Roman" w:hAnsi="Times New Roman" w:cs="Times New Roman"/>
          <w:b/>
          <w:sz w:val="24"/>
          <w:szCs w:val="24"/>
          <w:u w:val="single"/>
        </w:rPr>
        <w:t>SERVICE LIST</w:t>
      </w:r>
    </w:p>
    <w:p w:rsidR="003821BA" w:rsidRPr="00CE014C" w:rsidP="003821BA">
      <w:pPr>
        <w:spacing w:after="0" w:line="240" w:lineRule="auto"/>
        <w:jc w:val="center"/>
        <w:rPr>
          <w:rFonts w:ascii="Times New Roman" w:eastAsia="Times New Roman" w:hAnsi="Times New Roman" w:cs="Times New Roman"/>
          <w:b/>
          <w:sz w:val="24"/>
          <w:szCs w:val="24"/>
          <w:u w:val="single"/>
        </w:rPr>
      </w:pPr>
    </w:p>
    <w:p w:rsidR="003821BA" w:rsidRPr="00CE014C" w:rsidP="003821BA">
      <w:pPr>
        <w:spacing w:after="0" w:line="240" w:lineRule="auto"/>
        <w:jc w:val="both"/>
        <w:rPr>
          <w:rFonts w:ascii="Times New Roman" w:eastAsia="Times New Roman" w:hAnsi="Times New Roman" w:cs="Times New Roman"/>
          <w:b/>
          <w:bCs/>
          <w:sz w:val="24"/>
          <w:szCs w:val="24"/>
        </w:rPr>
      </w:pPr>
    </w:p>
    <w:tbl>
      <w:tblPr>
        <w:tblW w:w="0" w:type="auto"/>
        <w:tblInd w:w="0" w:type="dxa"/>
        <w:tblCellMar>
          <w:top w:w="0" w:type="dxa"/>
          <w:left w:w="108" w:type="dxa"/>
          <w:bottom w:w="0" w:type="dxa"/>
          <w:right w:w="108" w:type="dxa"/>
        </w:tblCellMar>
        <w:tblLook w:val="01E0"/>
      </w:tblPr>
      <w:tblGrid>
        <w:gridCol w:w="4428"/>
        <w:gridCol w:w="4428"/>
      </w:tblGrid>
      <w:tr w:rsidTr="006E437D">
        <w:tblPrEx>
          <w:tblW w:w="0" w:type="auto"/>
          <w:tblInd w:w="0" w:type="dxa"/>
          <w:tblCellMar>
            <w:top w:w="0" w:type="dxa"/>
            <w:left w:w="108" w:type="dxa"/>
            <w:bottom w:w="0" w:type="dxa"/>
            <w:right w:w="108" w:type="dxa"/>
          </w:tblCellMar>
          <w:tblLook w:val="01E0"/>
        </w:tblPrEx>
        <w:trPr>
          <w:trHeight w:val="2736"/>
        </w:trPr>
        <w:tc>
          <w:tcPr>
            <w:tcW w:w="4428" w:type="dxa"/>
            <w:shd w:val="clear" w:color="auto" w:fill="auto"/>
          </w:tcPr>
          <w:p w:rsidR="003821BA" w:rsidRPr="00CE014C" w:rsidP="003821BA">
            <w:pPr>
              <w:spacing w:after="0" w:line="240" w:lineRule="auto"/>
              <w:jc w:val="both"/>
              <w:rPr>
                <w:rStyle w:val="DefaultParagraphFont"/>
                <w:rFonts w:ascii="Times New Roman" w:eastAsia="Times New Roman" w:hAnsi="Times New Roman" w:cs="Times New Roman"/>
                <w:bCs/>
                <w:color w:val="0000FF"/>
                <w:sz w:val="24"/>
                <w:szCs w:val="24"/>
                <w:u w:val="single"/>
                <w:lang w:val="en-US" w:eastAsia="en-US" w:bidi="ar-SA"/>
              </w:rPr>
            </w:pPr>
            <w:r w:rsidRPr="00CE014C">
              <w:rPr>
                <w:rFonts w:ascii="Times New Roman" w:eastAsia="Times New Roman" w:hAnsi="Times New Roman" w:cs="Times New Roman"/>
                <w:bCs/>
                <w:color w:val="0000FF"/>
                <w:sz w:val="24"/>
                <w:szCs w:val="24"/>
                <w:u w:val="single"/>
              </w:rPr>
              <w:fldChar w:fldCharType="begin"/>
            </w:r>
            <w:r w:rsidRPr="00CE014C">
              <w:rPr>
                <w:rFonts w:ascii="Times New Roman" w:eastAsia="Times New Roman" w:hAnsi="Times New Roman" w:cs="Times New Roman"/>
                <w:bCs/>
                <w:color w:val="0000FF"/>
                <w:sz w:val="24"/>
                <w:szCs w:val="24"/>
                <w:u w:val="single"/>
                <w:lang w:val="en-US" w:eastAsia="en-US" w:bidi="ar-SA"/>
              </w:rPr>
              <w:instrText xml:space="preserve"> HYPERLINK "mailto:William.wright@ohioattorneygeneral.gov</w:instrText>
            </w:r>
          </w:p>
          <w:p w:rsidR="003821BA" w:rsidRPr="00CE014C" w:rsidP="003821BA">
            <w:pPr>
              <w:spacing w:after="0" w:line="240" w:lineRule="auto"/>
              <w:jc w:val="both"/>
              <w:rPr>
                <w:rStyle w:val="Hyperlink"/>
                <w:rFonts w:ascii="Times New Roman" w:eastAsia="Times New Roman" w:hAnsi="Times New Roman" w:cs="Times New Roman"/>
                <w:bCs/>
                <w:color w:val="0000FF" w:themeColor="hyperlink"/>
                <w:sz w:val="24"/>
                <w:szCs w:val="24"/>
                <w:u w:val="single"/>
                <w:lang w:val="en-US" w:eastAsia="en-US" w:bidi="ar-SA"/>
              </w:rPr>
            </w:pPr>
            <w:r w:rsidRPr="00CE014C">
              <w:rPr>
                <w:rFonts w:ascii="Times New Roman" w:eastAsia="Times New Roman" w:hAnsi="Times New Roman" w:cs="Times New Roman"/>
                <w:bCs/>
                <w:color w:val="0000FF"/>
                <w:sz w:val="24"/>
                <w:szCs w:val="24"/>
                <w:u w:val="single"/>
                <w:lang w:val="en-US" w:eastAsia="en-US" w:bidi="ar-SA"/>
              </w:rPr>
              <w:instrText xml:space="preserve">" </w:instrText>
            </w:r>
            <w:r w:rsidRPr="00CE014C">
              <w:rPr>
                <w:rFonts w:ascii="Times New Roman" w:eastAsia="Times New Roman" w:hAnsi="Times New Roman" w:cs="Times New Roman"/>
                <w:bCs/>
                <w:color w:val="0000FF"/>
                <w:sz w:val="24"/>
                <w:szCs w:val="24"/>
                <w:u w:val="single"/>
              </w:rPr>
              <w:fldChar w:fldCharType="separate"/>
            </w:r>
            <w:r w:rsidRPr="00CE014C">
              <w:rPr>
                <w:rStyle w:val="Hyperlink"/>
                <w:rFonts w:ascii="Times New Roman" w:eastAsia="Times New Roman" w:hAnsi="Times New Roman" w:cs="Times New Roman"/>
                <w:bCs/>
                <w:color w:val="0000FF" w:themeColor="hyperlink"/>
                <w:sz w:val="24"/>
                <w:szCs w:val="24"/>
                <w:u w:val="single"/>
                <w:lang w:val="en-US" w:eastAsia="en-US" w:bidi="ar-SA"/>
              </w:rPr>
              <w:t>William.wright@ohioattorneygeneral.gov</w:t>
            </w: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r w:rsidRPr="00CE014C">
              <w:rPr>
                <w:rFonts w:ascii="Times New Roman" w:eastAsia="Times New Roman" w:hAnsi="Times New Roman" w:cs="Times New Roman"/>
                <w:bCs/>
                <w:color w:val="0000FF"/>
                <w:sz w:val="24"/>
                <w:szCs w:val="24"/>
                <w:u w:val="single"/>
              </w:rPr>
              <w:fldChar w:fldCharType="end"/>
            </w: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r w:rsidRPr="00CE014C">
              <w:rPr>
                <w:rFonts w:ascii="Times New Roman" w:eastAsia="Times New Roman" w:hAnsi="Times New Roman" w:cs="Times New Roman"/>
                <w:bCs/>
                <w:sz w:val="24"/>
                <w:szCs w:val="24"/>
                <w:lang w:val="en-US" w:eastAsia="en-US" w:bidi="ar-SA"/>
              </w:rPr>
              <w:t>Attorney Examiner:</w:t>
            </w: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"mailto:Sarah.parrot@puc.state.oh.us" </w:instrText>
            </w:r>
            <w:r>
              <w:fldChar w:fldCharType="separate"/>
            </w:r>
            <w:r w:rsidRPr="00CE014C">
              <w:rPr>
                <w:rFonts w:ascii="Times New Roman" w:eastAsia="Times New Roman" w:hAnsi="Times New Roman" w:cs="Times New Roman"/>
                <w:bCs/>
                <w:color w:val="0000FF"/>
                <w:sz w:val="24"/>
                <w:szCs w:val="24"/>
                <w:u w:val="single"/>
                <w:lang w:val="en-US" w:eastAsia="en-US" w:bidi="ar-SA"/>
              </w:rPr>
              <w:t>Sarah.parrot@puc.state.oh.us</w:t>
            </w:r>
            <w:r>
              <w:fldChar w:fldCharType="end"/>
            </w: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CE014C">
              <w:rPr>
                <w:rFonts w:ascii="Times New Roman" w:eastAsia="Times New Roman" w:hAnsi="Times New Roman" w:cs="Times New Roman"/>
                <w:bCs/>
                <w:color w:val="0000FF"/>
                <w:sz w:val="24"/>
                <w:szCs w:val="24"/>
                <w:u w:val="single"/>
                <w:lang w:val="en-US" w:eastAsia="en-US" w:bidi="ar-SA"/>
              </w:rPr>
              <w:t>Greta.see@puc.state.oh.us</w:t>
            </w:r>
            <w:r>
              <w:fldChar w:fldCharType="end"/>
            </w: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3821BA" w:rsidRPr="00CE014C" w:rsidP="003821BA">
            <w:pPr>
              <w:spacing w:after="0" w:line="240" w:lineRule="auto"/>
              <w:jc w:val="both"/>
              <w:rPr>
                <w:rStyle w:val="DefaultParagraphFont"/>
                <w:rFonts w:ascii="Times New Roman" w:eastAsia="Times New Roman" w:hAnsi="Times New Roman" w:cs="Times New Roman"/>
                <w:bCs/>
                <w:sz w:val="24"/>
                <w:szCs w:val="24"/>
                <w:lang w:val="en-US" w:eastAsia="en-US" w:bidi="ar-SA"/>
              </w:rPr>
            </w:pPr>
          </w:p>
        </w:tc>
        <w:tc>
          <w:tcPr>
            <w:tcW w:w="4428" w:type="dxa"/>
            <w:shd w:val="clear" w:color="auto" w:fill="auto"/>
          </w:tcPr>
          <w:p w:rsidR="003821BA" w:rsidRPr="00CE014C" w:rsidP="003821BA">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CE014C">
              <w:rPr>
                <w:rFonts w:ascii="Times New Roman" w:eastAsia="Times New Roman" w:hAnsi="Times New Roman" w:cs="Times New Roman"/>
                <w:color w:val="0000FF"/>
                <w:sz w:val="24"/>
                <w:szCs w:val="24"/>
                <w:u w:val="single"/>
                <w:lang w:val="en-US" w:eastAsia="en-US" w:bidi="ar-SA"/>
              </w:rPr>
              <w:t>stnourse@aep.com</w:t>
            </w:r>
            <w:r>
              <w:fldChar w:fldCharType="end"/>
            </w:r>
          </w:p>
          <w:p w:rsidR="003821BA" w:rsidRPr="00CE014C" w:rsidP="003821BA">
            <w:pPr>
              <w:autoSpaceDE w:val="0"/>
              <w:autoSpaceDN w:val="0"/>
              <w:adjustRightInd w:val="0"/>
              <w:spacing w:after="0" w:line="240" w:lineRule="auto"/>
              <w:ind w:left="612"/>
              <w:rPr>
                <w:rStyle w:val="DefaultParagraphFont"/>
                <w:rFonts w:ascii="Times New Roman" w:eastAsia="Times New Roman" w:hAnsi="Times New Roman"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"mailto:yalami@aep.com" </w:instrText>
            </w:r>
            <w:r>
              <w:fldChar w:fldCharType="separate"/>
            </w:r>
            <w:r w:rsidRPr="00CE014C">
              <w:rPr>
                <w:rFonts w:ascii="Times New Roman" w:eastAsia="Courier New" w:hAnsi="Times New Roman" w:cs="Times New Roman"/>
                <w:bCs/>
                <w:color w:val="0000FF"/>
                <w:sz w:val="24"/>
                <w:szCs w:val="24"/>
                <w:u w:val="single"/>
                <w:lang w:val="en-US" w:eastAsia="en-US" w:bidi="ar-SA"/>
              </w:rPr>
              <w:t>yalami@aep.com</w:t>
            </w:r>
            <w:r>
              <w:fldChar w:fldCharType="end"/>
            </w:r>
          </w:p>
          <w:p w:rsidR="003821BA" w:rsidRPr="00CE014C" w:rsidP="003821BA">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CE014C">
              <w:rPr>
                <w:rFonts w:ascii="Times New Roman" w:eastAsia="Times New Roman" w:hAnsi="Times New Roman" w:cs="Times New Roman"/>
                <w:color w:val="0000FF"/>
                <w:sz w:val="24"/>
                <w:szCs w:val="24"/>
                <w:u w:val="single"/>
                <w:lang w:val="en-US" w:eastAsia="en-US" w:bidi="ar-SA"/>
              </w:rPr>
              <w:t>mjsatterwhite@aep.com</w:t>
            </w:r>
            <w:r>
              <w:fldChar w:fldCharType="end"/>
            </w:r>
          </w:p>
          <w:p w:rsidR="003821BA" w:rsidRPr="00CE014C" w:rsidP="003821BA">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6E437D" w:rsidRPr="00CE014C" w:rsidP="003821BA">
      <w:pPr>
        <w:spacing w:line="480" w:lineRule="auto"/>
        <w:rPr>
          <w:rFonts w:ascii="Times New Roman" w:hAnsi="Times New Roman" w:cs="Times New Roman"/>
          <w:sz w:val="24"/>
          <w:szCs w:val="24"/>
        </w:rPr>
      </w:pPr>
    </w:p>
    <w:sectPr w:rsidSect="00CE014C">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37D">
    <w:pPr>
      <w:pStyle w:val="Footer"/>
      <w:jc w:val="center"/>
    </w:pPr>
  </w:p>
  <w:p w:rsidR="006E4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D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0959501"/>
      <w:docPartObj>
        <w:docPartGallery w:val="Page Numbers (Bottom of Page)"/>
        <w:docPartUnique/>
      </w:docPartObj>
    </w:sdtPr>
    <w:sdtEndPr>
      <w:rPr>
        <w:noProof/>
      </w:rPr>
    </w:sdtEndPr>
    <w:sdtContent>
      <w:p w:rsidR="006E437D">
        <w:pPr>
          <w:pStyle w:val="Footer"/>
          <w:jc w:val="center"/>
        </w:pPr>
        <w:r>
          <w:fldChar w:fldCharType="begin"/>
        </w:r>
        <w:r>
          <w:instrText xml:space="preserve"> PAGE   \* MERGEFORMAT </w:instrText>
        </w:r>
        <w:r>
          <w:fldChar w:fldCharType="separate"/>
        </w:r>
        <w:r w:rsidR="009241C4">
          <w:rPr>
            <w:noProof/>
          </w:rPr>
          <w:t>i</w:t>
        </w:r>
        <w:r>
          <w:rPr>
            <w:noProof/>
          </w:rPr>
          <w:fldChar w:fldCharType="end"/>
        </w:r>
      </w:p>
    </w:sdtContent>
  </w:sdt>
  <w:p w:rsidR="006E43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6635701"/>
      <w:docPartObj>
        <w:docPartGallery w:val="Page Numbers (Bottom of Page)"/>
        <w:docPartUnique/>
      </w:docPartObj>
    </w:sdtPr>
    <w:sdtEndPr>
      <w:rPr>
        <w:noProof/>
      </w:rPr>
    </w:sdtEndPr>
    <w:sdtContent>
      <w:p w:rsidR="006E437D">
        <w:pPr>
          <w:pStyle w:val="Footer"/>
          <w:jc w:val="center"/>
        </w:pPr>
        <w:r>
          <w:fldChar w:fldCharType="begin"/>
        </w:r>
        <w:r>
          <w:instrText xml:space="preserve"> PAGE   \* MERGEFORMAT </w:instrText>
        </w:r>
        <w:r>
          <w:fldChar w:fldCharType="separate"/>
        </w:r>
        <w:r w:rsidR="009241C4">
          <w:rPr>
            <w:noProof/>
          </w:rPr>
          <w:t>13</w:t>
        </w:r>
        <w:r>
          <w:rPr>
            <w:noProof/>
          </w:rPr>
          <w:fldChar w:fldCharType="end"/>
        </w:r>
      </w:p>
    </w:sdtContent>
  </w:sdt>
  <w:p w:rsidR="006E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36FB" w:rsidP="00206D90">
      <w:pPr>
        <w:spacing w:after="0" w:line="240" w:lineRule="auto"/>
      </w:pPr>
      <w:r>
        <w:separator/>
      </w:r>
    </w:p>
  </w:footnote>
  <w:footnote w:type="continuationSeparator" w:id="1">
    <w:p w:rsidR="000236FB" w:rsidP="00206D90">
      <w:pPr>
        <w:spacing w:after="0" w:line="240" w:lineRule="auto"/>
      </w:pPr>
      <w:r>
        <w:continuationSeparator/>
      </w:r>
    </w:p>
  </w:footnote>
  <w:footnote w:id="2">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R.C. 4928.02(D).</w:t>
      </w:r>
    </w:p>
  </w:footnote>
  <w:footnote w:id="3">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Indus. Energy Users-Ohio v. Pub. Utility Comm</w:t>
      </w:r>
      <w:r w:rsidRPr="00F51B9B">
        <w:rPr>
          <w:rFonts w:cs="Times New Roman"/>
        </w:rPr>
        <w:t xml:space="preserve">., 117 Ohio St.3d 486, 492 (2007), </w:t>
      </w:r>
      <w:r w:rsidRPr="00F51B9B">
        <w:rPr>
          <w:rFonts w:cs="Times New Roman"/>
          <w:i/>
        </w:rPr>
        <w:t>Ohio Consumers’ Counsel v. Pub. Util. Comm.</w:t>
      </w:r>
      <w:r w:rsidRPr="00F51B9B">
        <w:rPr>
          <w:rFonts w:cs="Times New Roman"/>
        </w:rPr>
        <w:t>, 58 Ohio St.2d 449, 453 (1979).</w:t>
      </w:r>
    </w:p>
  </w:footnote>
  <w:footnote w:id="4">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Duke Energy Ohio v. Pub. Util. Comm</w:t>
      </w:r>
      <w:r w:rsidRPr="00F51B9B">
        <w:rPr>
          <w:rFonts w:cs="Times New Roman"/>
        </w:rPr>
        <w:t>., 131 Ohio St.3d 487, 488n (2012).</w:t>
      </w:r>
    </w:p>
  </w:footnote>
  <w:footnote w:id="5">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Application at 4.</w:t>
      </w:r>
    </w:p>
  </w:footnote>
  <w:footnote w:id="6">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Staff’s Updated Review and Recommendations</w:t>
      </w:r>
      <w:r w:rsidRPr="00F51B9B" w:rsidR="00503F8E">
        <w:rPr>
          <w:rFonts w:cs="Times New Roman"/>
        </w:rPr>
        <w:t xml:space="preserve"> at 3 </w:t>
      </w:r>
      <w:r w:rsidRPr="00F51B9B">
        <w:rPr>
          <w:rFonts w:cs="Times New Roman"/>
        </w:rPr>
        <w:t>(June 20, 2016).</w:t>
      </w:r>
    </w:p>
  </w:footnote>
  <w:footnote w:id="7">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w:t>
      </w:r>
    </w:p>
  </w:footnote>
  <w:footnote w:id="8">
    <w:p w:rsidR="00503F8E"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Case No. 15-240-EL-RDR, </w:t>
      </w:r>
      <w:r w:rsidR="00407193">
        <w:rPr>
          <w:rFonts w:cs="Times New Roman"/>
        </w:rPr>
        <w:t>A</w:t>
      </w:r>
      <w:r w:rsidRPr="00F51B9B">
        <w:rPr>
          <w:rFonts w:cs="Times New Roman"/>
        </w:rPr>
        <w:t>pplication at 2 (February 2, 2015).</w:t>
      </w:r>
    </w:p>
  </w:footnote>
  <w:footnote w:id="9">
    <w:p w:rsidR="00503F8E"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407193">
        <w:rPr>
          <w:rFonts w:cs="Times New Roman"/>
          <w:i/>
        </w:rPr>
        <w:t>Id</w:t>
      </w:r>
      <w:r w:rsidRPr="00F51B9B">
        <w:rPr>
          <w:rFonts w:cs="Times New Roman"/>
        </w:rPr>
        <w:t>. at Attachment 4.</w:t>
      </w:r>
    </w:p>
  </w:footnote>
  <w:footnote w:id="10">
    <w:p w:rsidR="00503F8E"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 xml:space="preserve">In the Matter of the Application of Ohio Power Company to Update Its gridSMART Rider, </w:t>
      </w:r>
      <w:r w:rsidRPr="00F51B9B">
        <w:rPr>
          <w:rFonts w:cs="Times New Roman"/>
        </w:rPr>
        <w:t>Case No. 13-345-EL-RDR, Finding and Order (February 19, 2014).</w:t>
      </w:r>
    </w:p>
  </w:footnote>
  <w:footnote w:id="11">
    <w:p w:rsidR="00503F8E"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407193">
        <w:rPr>
          <w:rFonts w:cs="Times New Roman"/>
          <w:i/>
        </w:rPr>
        <w:t>In the Matter of the Application of Ohio Power Company to Update Its gridSMART Rider</w:t>
      </w:r>
      <w:r w:rsidRPr="00F51B9B">
        <w:rPr>
          <w:rFonts w:cs="Times New Roman"/>
        </w:rPr>
        <w:t>, Case No. 14-192-EL-RDR, Finding and Order (March 18, 2015).</w:t>
      </w:r>
    </w:p>
  </w:footnote>
  <w:footnote w:id="12">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In Ohio Power’s second electric security plan case, the PUCO authorized Ohio Power to begin Phase II of gridSMART.  The PUCO also directed Ohio Power to remove Phase I costs from the gridSMART rider to either the Distribution Investment Rider or a new gridSMART rider.  This is because “the gridSMART Phase 1 rider was approved with specific limitations as to the equipment for which recovery could be sought, and a dollar limitation.”  </w:t>
      </w:r>
      <w:r w:rsidRPr="00F51B9B">
        <w:rPr>
          <w:rFonts w:cs="Times New Roman"/>
          <w:i/>
        </w:rPr>
        <w:t>In the Matter of the Application of Columbus Southern Power company and Ohio Power Company for Authority to Establish a Standard Service Offer Pursuant to Section 4928.143, Revised Code, in the Form of an Electric Security Plan</w:t>
      </w:r>
      <w:r w:rsidRPr="00F51B9B">
        <w:rPr>
          <w:rFonts w:cs="Times New Roman"/>
        </w:rPr>
        <w:t>, Case No. 11-346-EL-SSO, Opinion and Order (August 8, 2012) at 62-63 (footnote omitted).</w:t>
      </w:r>
    </w:p>
  </w:footnote>
  <w:footnote w:id="13">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Case No. 15-1513-EL-RDR, Application</w:t>
      </w:r>
      <w:r w:rsidR="00407193">
        <w:rPr>
          <w:rFonts w:cs="Times New Roman"/>
        </w:rPr>
        <w:t xml:space="preserve"> at 3</w:t>
      </w:r>
      <w:r w:rsidRPr="00F51B9B">
        <w:rPr>
          <w:rFonts w:cs="Times New Roman"/>
        </w:rPr>
        <w:t xml:space="preserve"> (August 28, 2015).</w:t>
      </w:r>
    </w:p>
  </w:footnote>
  <w:footnote w:id="14">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Staff Review and Recommendations</w:t>
      </w:r>
      <w:r w:rsidR="00407193">
        <w:rPr>
          <w:rFonts w:cs="Times New Roman"/>
        </w:rPr>
        <w:t xml:space="preserve"> at 3</w:t>
      </w:r>
      <w:r w:rsidRPr="00F51B9B">
        <w:rPr>
          <w:rFonts w:cs="Times New Roman"/>
        </w:rPr>
        <w:t xml:space="preserve"> (January 21, 2016).</w:t>
      </w:r>
    </w:p>
  </w:footnote>
  <w:footnote w:id="15">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 xml:space="preserve"> at 3-4.</w:t>
      </w:r>
    </w:p>
  </w:footnote>
  <w:footnote w:id="16">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Reply Comments 2 – 11.</w:t>
      </w:r>
    </w:p>
  </w:footnote>
  <w:footnote w:id="17">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Updated Review at 1-3.</w:t>
      </w:r>
    </w:p>
  </w:footnote>
  <w:footnote w:id="18">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 xml:space="preserve"> at 4.</w:t>
      </w:r>
    </w:p>
  </w:footnote>
  <w:footnote w:id="19">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Entry at 2.</w:t>
      </w:r>
    </w:p>
  </w:footnote>
  <w:footnote w:id="20">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to update its gridSMART Rider Rates</w:t>
      </w:r>
      <w:r w:rsidRPr="00F51B9B">
        <w:rPr>
          <w:rFonts w:cs="Times New Roman"/>
        </w:rPr>
        <w:t>, Case No. 15-1513-EL-RDR, Application at 4 (Aug. 28, 2015).</w:t>
      </w:r>
    </w:p>
  </w:footnote>
  <w:footnote w:id="21">
    <w:p w:rsidR="006E437D" w:rsidRPr="00F51B9B" w:rsidP="00F51B9B">
      <w:pPr>
        <w:pStyle w:val="FootnoteText"/>
        <w:spacing w:after="120"/>
        <w:rPr>
          <w:rFonts w:cs="Times New Roman"/>
        </w:rPr>
      </w:pPr>
      <w:r w:rsidRPr="00F51B9B">
        <w:rPr>
          <w:rStyle w:val="FootnoteReference"/>
          <w:rFonts w:cs="Times New Roman"/>
          <w:i/>
        </w:rPr>
        <w:footnoteRef/>
      </w:r>
      <w:r w:rsidRPr="00F51B9B">
        <w:rPr>
          <w:rFonts w:cs="Times New Roman"/>
          <w:i/>
        </w:rPr>
        <w:t xml:space="preserve"> In the Matter of the Application of Columbus Southern Power Company for Approval of an Electric Security Plan; an Amendment to its Corporate Separation Plan; and the Sale or Transfer of Certain Generating Assets</w:t>
      </w:r>
      <w:r w:rsidRPr="00F51B9B">
        <w:rPr>
          <w:rFonts w:cs="Times New Roman"/>
        </w:rPr>
        <w:t>, Case No. 08-917-EL-SSO, Order at 36 (March 18, 2009).</w:t>
      </w:r>
    </w:p>
  </w:footnote>
  <w:footnote w:id="22">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w:t>
      </w:r>
    </w:p>
  </w:footnote>
  <w:footnote w:id="23">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Columbus Southern Power company and Ohio Power Company for Authority to Establish a Standard Service Offer Pursuant to Section 4928.143, Revised Code, in the Form of an Electric Security Plan</w:t>
      </w:r>
      <w:r w:rsidRPr="00F51B9B">
        <w:rPr>
          <w:rFonts w:cs="Times New Roman"/>
        </w:rPr>
        <w:t xml:space="preserve">, Case No. 11-346-EL-SSO, Opinion and Order at 62(Aug. 8, 2012), citing </w:t>
      </w:r>
      <w:r w:rsidRPr="00F51B9B">
        <w:rPr>
          <w:rFonts w:cs="Times New Roman"/>
          <w:i/>
        </w:rPr>
        <w:t>In the Matter of the Application of Columbus Southern Power Company for Approval of an Electric Security Plan; an Amendment to its Corporate Separation Plan; and the Sale or Transfer of Certain Generating Assets</w:t>
      </w:r>
      <w:r w:rsidRPr="00F51B9B">
        <w:rPr>
          <w:rFonts w:cs="Times New Roman"/>
        </w:rPr>
        <w:t>, Case No. 08-917-EL-SSO, Opinion and Order at 37 (March 18, 2009).</w:t>
      </w:r>
    </w:p>
  </w:footnote>
  <w:footnote w:id="24">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Establishment of 4901:1-10-10(B) Minimum Reliability Performance Standards for Ohio Power Company</w:t>
      </w:r>
      <w:r w:rsidRPr="00F51B9B">
        <w:rPr>
          <w:rFonts w:cs="Times New Roman"/>
        </w:rPr>
        <w:t>, Case No. 16-1511-EL-ESS, Application (June 30, 2016).</w:t>
      </w:r>
    </w:p>
  </w:footnote>
  <w:footnote w:id="25">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Analysis: Electric utility reliability deteriorated in 2015</w:t>
      </w:r>
      <w:r w:rsidRPr="00F51B9B">
        <w:rPr>
          <w:rFonts w:cs="Times New Roman"/>
        </w:rPr>
        <w:t>, Fawad, SNL, (</w:t>
      </w:r>
      <w:r w:rsidRPr="00F51B9B" w:rsidR="00F776A3">
        <w:rPr>
          <w:rFonts w:cs="Times New Roman"/>
        </w:rPr>
        <w:t>Feb. 23</w:t>
      </w:r>
      <w:r w:rsidRPr="00F51B9B">
        <w:rPr>
          <w:rFonts w:cs="Times New Roman"/>
        </w:rPr>
        <w:t xml:space="preserve">, 2017).  SAIFI and CAIDI are measurements for distribution system reliability.  SAIFI is the system average interruption frequency index.  It represents the average number of interruptions per customer.  CAIDI is the customer average interruption duration index.  It represents the average interruption duration or average time to restore service per interrupted customer.  </w:t>
      </w:r>
      <w:r w:rsidRPr="00F51B9B">
        <w:rPr>
          <w:rFonts w:cs="Times New Roman"/>
          <w:i/>
        </w:rPr>
        <w:t>See</w:t>
      </w:r>
      <w:r w:rsidRPr="00F51B9B">
        <w:rPr>
          <w:rFonts w:cs="Times New Roman"/>
        </w:rPr>
        <w:t xml:space="preserve"> Ohio Adm. Code 4901:1-10-10(B)(1).</w:t>
      </w:r>
    </w:p>
  </w:footnote>
  <w:footnote w:id="26">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Columbus Southern Power company and Ohio Power Company for Authority to Establish a Standard Service Offer Pursuant to Section 4928.143, Revised Code, in the Form of an Electric Security Plan</w:t>
      </w:r>
      <w:r w:rsidRPr="00F51B9B">
        <w:rPr>
          <w:rFonts w:cs="Times New Roman"/>
        </w:rPr>
        <w:t>, Case No. 11-346-EL-SSO, Opinion and Order at 63(Aug. 8, 2012).</w:t>
      </w:r>
    </w:p>
  </w:footnote>
  <w:footnote w:id="27">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w:t>
      </w:r>
    </w:p>
  </w:footnote>
  <w:footnote w:id="28">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Columbus Southern Power Company for Approval of an Electric Security Plan; an Amendment to its Corporate Separation Plan; and the Sale or Transfer of Certain Generating Assets</w:t>
      </w:r>
      <w:r w:rsidRPr="00F51B9B">
        <w:rPr>
          <w:rFonts w:cs="Times New Roman"/>
        </w:rPr>
        <w:t>, Case No. 08-917-EL-SSO, Opinion and Order at 37 (March 18, 2009).</w:t>
      </w:r>
    </w:p>
  </w:footnote>
  <w:footnote w:id="29">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w:t>
      </w:r>
    </w:p>
  </w:footnote>
  <w:footnote w:id="30">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to Initiate Phase 2 of Its gridSMART Project and to Establish the gridSMART Phase 2 Rider</w:t>
      </w:r>
      <w:r w:rsidRPr="00F51B9B">
        <w:rPr>
          <w:rFonts w:cs="Times New Roman"/>
        </w:rPr>
        <w:t>, Case No. 13-1939-EL-RDR, Direct Testimony of P. Lanzalotta at 29 - 32 (July 22, 2016).</w:t>
      </w:r>
    </w:p>
  </w:footnote>
  <w:footnote w:id="31">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to Initiate Phase 2 of its gridSMART project and to Establish the gridSMART Phase 2 Rider</w:t>
      </w:r>
      <w:r w:rsidRPr="00F51B9B">
        <w:rPr>
          <w:rFonts w:cs="Times New Roman"/>
        </w:rPr>
        <w:t>, Case No. 13-1939, Application, Attachment A at 8 (Sept. 13, 2013).</w:t>
      </w:r>
    </w:p>
  </w:footnote>
  <w:footnote w:id="32">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Commission’s Review of the Ohio Power Company’s Distribution Investment Rider Work Plan for 2016</w:t>
      </w:r>
      <w:r w:rsidRPr="00F51B9B">
        <w:rPr>
          <w:rFonts w:cs="Times New Roman"/>
        </w:rPr>
        <w:t xml:space="preserve">, </w:t>
      </w:r>
      <w:r w:rsidR="00407193">
        <w:rPr>
          <w:rFonts w:cs="Times New Roman"/>
        </w:rPr>
        <w:t xml:space="preserve"> Case No. 16-24, </w:t>
      </w:r>
      <w:r w:rsidRPr="00F51B9B">
        <w:rPr>
          <w:rFonts w:cs="Times New Roman"/>
        </w:rPr>
        <w:t>Notice at 2 (Jan. 8, 2016).</w:t>
      </w:r>
    </w:p>
  </w:footnote>
  <w:footnote w:id="33">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to Initiate Phase 2 of its gridSMART Project and to Establish the gridSMART Phase 2 Rider</w:t>
      </w:r>
      <w:r w:rsidRPr="00F51B9B">
        <w:rPr>
          <w:rFonts w:cs="Times New Roman"/>
        </w:rPr>
        <w:t>, Case No. 13-1939-EL-RDR, Application, Attachment A at 2, 5 (Sept. 13, 2013).</w:t>
      </w:r>
    </w:p>
  </w:footnote>
  <w:footnote w:id="34">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 at 8.</w:t>
      </w:r>
    </w:p>
  </w:footnote>
  <w:footnote w:id="35">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Id</w:t>
      </w:r>
      <w:r w:rsidRPr="00F51B9B">
        <w:rPr>
          <w:rFonts w:cs="Times New Roman"/>
        </w:rPr>
        <w:t>. at 5.</w:t>
      </w:r>
    </w:p>
  </w:footnote>
  <w:footnote w:id="36">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R.C. 4905.22, 4909.15, and 4928.02(D).</w:t>
      </w:r>
    </w:p>
  </w:footnote>
  <w:footnote w:id="37">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for a Limited Waiver of Ohio Adm. 4901:1-18(A)(2)</w:t>
      </w:r>
      <w:r w:rsidRPr="00F51B9B">
        <w:rPr>
          <w:rFonts w:cs="Times New Roman"/>
        </w:rPr>
        <w:t>, Case No. 13-1398, Entry (March 18, 2015).</w:t>
      </w:r>
    </w:p>
  </w:footnote>
  <w:footnote w:id="38">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Annual Report of Service Disconnections for Nonpayment Required by 4933.123 Ohio Revised Code</w:t>
      </w:r>
      <w:r w:rsidRPr="00F51B9B">
        <w:rPr>
          <w:rFonts w:cs="Times New Roman"/>
        </w:rPr>
        <w:t>, Case No. 16-1224-GE-UNC, Ohio Power’s Notice at 2 (June 30, 2016).</w:t>
      </w:r>
    </w:p>
  </w:footnote>
  <w:footnote w:id="39">
    <w:p w:rsidR="006E437D" w:rsidRPr="00F51B9B" w:rsidP="00F51B9B">
      <w:pPr>
        <w:pStyle w:val="FootnoteText"/>
        <w:spacing w:after="120"/>
        <w:rPr>
          <w:rFonts w:cs="Times New Roman"/>
        </w:rPr>
      </w:pPr>
      <w:r w:rsidRPr="00F51B9B">
        <w:rPr>
          <w:rStyle w:val="FootnoteReference"/>
          <w:rFonts w:cs="Times New Roman"/>
        </w:rPr>
        <w:footnoteRef/>
      </w:r>
      <w:r w:rsidRPr="00F51B9B">
        <w:rPr>
          <w:rFonts w:cs="Times New Roman"/>
        </w:rPr>
        <w:t xml:space="preserve"> </w:t>
      </w:r>
      <w:r w:rsidRPr="00F51B9B">
        <w:rPr>
          <w:rFonts w:cs="Times New Roman"/>
          <w:i/>
        </w:rPr>
        <w:t>In the Matter of the Application of Ohio Power Company to Initiate Phase 2 of Its gridSMART Project and to Establish the gridSMART Phase 2 Rider</w:t>
      </w:r>
      <w:r w:rsidRPr="00F51B9B">
        <w:rPr>
          <w:rFonts w:cs="Times New Roman"/>
        </w:rPr>
        <w:t>, Case No. 13-1939-EL-RDR, Direct Testimony of J. Williams at 21 (July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D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3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5F5D24"/>
    <w:multiLevelType w:val="hybridMultilevel"/>
    <w:tmpl w:val="62F6D2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5"/>
  </w:style>
  <w:style w:type="paragraph" w:styleId="Heading1">
    <w:name w:val="heading 1"/>
    <w:basedOn w:val="Normal"/>
    <w:next w:val="Normal"/>
    <w:link w:val="Heading1Char"/>
    <w:autoRedefine/>
    <w:uiPriority w:val="9"/>
    <w:qFormat/>
    <w:rsid w:val="00206D90"/>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3821BA"/>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90"/>
    <w:pPr>
      <w:ind w:left="720"/>
      <w:contextualSpacing/>
    </w:pPr>
  </w:style>
  <w:style w:type="paragraph" w:styleId="FootnoteText">
    <w:name w:val="footnote text"/>
    <w:basedOn w:val="Normal"/>
    <w:link w:val="FootnoteTextChar"/>
    <w:uiPriority w:val="99"/>
    <w:semiHidden/>
    <w:unhideWhenUsed/>
    <w:rsid w:val="002E071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E071F"/>
    <w:rPr>
      <w:rFonts w:ascii="Times New Roman" w:hAnsi="Times New Roman"/>
      <w:sz w:val="20"/>
      <w:szCs w:val="20"/>
    </w:rPr>
  </w:style>
  <w:style w:type="character" w:styleId="FootnoteReference">
    <w:name w:val="footnote reference"/>
    <w:basedOn w:val="DefaultParagraphFont"/>
    <w:uiPriority w:val="99"/>
    <w:semiHidden/>
    <w:unhideWhenUsed/>
    <w:rsid w:val="00206D90"/>
    <w:rPr>
      <w:vertAlign w:val="superscript"/>
    </w:rPr>
  </w:style>
  <w:style w:type="table" w:styleId="TableGrid">
    <w:name w:val="Table Grid"/>
    <w:basedOn w:val="TableNormal"/>
    <w:uiPriority w:val="59"/>
    <w:rsid w:val="0020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6D90"/>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3821BA"/>
    <w:rPr>
      <w:rFonts w:ascii="Times New Roman Bold" w:hAnsi="Times New Roman Bold" w:eastAsiaTheme="majorEastAsia" w:cstheme="majorBidi"/>
      <w:b/>
      <w:bCs/>
      <w:sz w:val="24"/>
      <w:szCs w:val="26"/>
    </w:rPr>
  </w:style>
  <w:style w:type="paragraph" w:styleId="BodyTextIndent3">
    <w:name w:val="Body Text Indent 3"/>
    <w:basedOn w:val="Normal"/>
    <w:link w:val="BodyTextIndent3Char"/>
    <w:uiPriority w:val="99"/>
    <w:semiHidden/>
    <w:unhideWhenUsed/>
    <w:rsid w:val="003821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821BA"/>
    <w:rPr>
      <w:sz w:val="16"/>
      <w:szCs w:val="16"/>
    </w:rPr>
  </w:style>
  <w:style w:type="character" w:styleId="Hyperlink">
    <w:name w:val="Hyperlink"/>
    <w:basedOn w:val="DefaultParagraphFont"/>
    <w:uiPriority w:val="99"/>
    <w:unhideWhenUsed/>
    <w:rsid w:val="003821BA"/>
    <w:rPr>
      <w:color w:val="0000FF" w:themeColor="hyperlink"/>
      <w:u w:val="single"/>
    </w:rPr>
  </w:style>
  <w:style w:type="paragraph" w:styleId="HTMLPreformatted">
    <w:name w:val="HTML Preformatted"/>
    <w:basedOn w:val="Normal"/>
    <w:link w:val="HTMLPreformattedChar"/>
    <w:rsid w:val="001C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C73AD"/>
    <w:rPr>
      <w:rFonts w:ascii="Courier New" w:eastAsia="Courier New" w:hAnsi="Courier New" w:cs="Courier New"/>
      <w:sz w:val="20"/>
      <w:szCs w:val="20"/>
    </w:rPr>
  </w:style>
  <w:style w:type="paragraph" w:styleId="Header">
    <w:name w:val="header"/>
    <w:basedOn w:val="Normal"/>
    <w:link w:val="HeaderChar"/>
    <w:uiPriority w:val="99"/>
    <w:unhideWhenUsed/>
    <w:rsid w:val="001C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AD"/>
  </w:style>
  <w:style w:type="paragraph" w:styleId="Footer">
    <w:name w:val="footer"/>
    <w:basedOn w:val="Normal"/>
    <w:link w:val="FooterChar"/>
    <w:uiPriority w:val="99"/>
    <w:unhideWhenUsed/>
    <w:rsid w:val="001C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AD"/>
  </w:style>
  <w:style w:type="paragraph" w:styleId="BalloonText">
    <w:name w:val="Balloon Text"/>
    <w:basedOn w:val="Normal"/>
    <w:link w:val="BalloonTextChar"/>
    <w:uiPriority w:val="99"/>
    <w:semiHidden/>
    <w:unhideWhenUsed/>
    <w:rsid w:val="0049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78"/>
    <w:rPr>
      <w:rFonts w:ascii="Tahoma" w:hAnsi="Tahoma" w:cs="Tahoma"/>
      <w:sz w:val="16"/>
      <w:szCs w:val="16"/>
    </w:rPr>
  </w:style>
  <w:style w:type="character" w:styleId="CommentReference">
    <w:name w:val="annotation reference"/>
    <w:basedOn w:val="DefaultParagraphFont"/>
    <w:uiPriority w:val="99"/>
    <w:semiHidden/>
    <w:unhideWhenUsed/>
    <w:rsid w:val="003F7FF8"/>
    <w:rPr>
      <w:sz w:val="16"/>
      <w:szCs w:val="16"/>
    </w:rPr>
  </w:style>
  <w:style w:type="paragraph" w:styleId="CommentText">
    <w:name w:val="annotation text"/>
    <w:basedOn w:val="Normal"/>
    <w:link w:val="CommentTextChar"/>
    <w:uiPriority w:val="99"/>
    <w:semiHidden/>
    <w:unhideWhenUsed/>
    <w:rsid w:val="003F7FF8"/>
    <w:pPr>
      <w:spacing w:line="240" w:lineRule="auto"/>
    </w:pPr>
    <w:rPr>
      <w:sz w:val="20"/>
      <w:szCs w:val="20"/>
    </w:rPr>
  </w:style>
  <w:style w:type="character" w:customStyle="1" w:styleId="CommentTextChar">
    <w:name w:val="Comment Text Char"/>
    <w:basedOn w:val="DefaultParagraphFont"/>
    <w:link w:val="CommentText"/>
    <w:uiPriority w:val="99"/>
    <w:semiHidden/>
    <w:rsid w:val="003F7FF8"/>
    <w:rPr>
      <w:sz w:val="20"/>
      <w:szCs w:val="20"/>
    </w:rPr>
  </w:style>
  <w:style w:type="paragraph" w:styleId="CommentSubject">
    <w:name w:val="annotation subject"/>
    <w:basedOn w:val="CommentText"/>
    <w:next w:val="CommentText"/>
    <w:link w:val="CommentSubjectChar"/>
    <w:uiPriority w:val="99"/>
    <w:semiHidden/>
    <w:unhideWhenUsed/>
    <w:rsid w:val="003F7FF8"/>
    <w:rPr>
      <w:b/>
      <w:bCs/>
    </w:rPr>
  </w:style>
  <w:style w:type="character" w:customStyle="1" w:styleId="CommentSubjectChar">
    <w:name w:val="Comment Subject Char"/>
    <w:basedOn w:val="CommentTextChar"/>
    <w:link w:val="CommentSubject"/>
    <w:uiPriority w:val="99"/>
    <w:semiHidden/>
    <w:rsid w:val="003F7FF8"/>
    <w:rPr>
      <w:b/>
      <w:bCs/>
      <w:sz w:val="20"/>
      <w:szCs w:val="20"/>
    </w:rPr>
  </w:style>
  <w:style w:type="paragraph" w:styleId="TOC1">
    <w:name w:val="toc 1"/>
    <w:basedOn w:val="Normal"/>
    <w:next w:val="Normal"/>
    <w:autoRedefine/>
    <w:uiPriority w:val="39"/>
    <w:unhideWhenUsed/>
    <w:qFormat/>
    <w:rsid w:val="00127815"/>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127815"/>
    <w:pPr>
      <w:tabs>
        <w:tab w:val="decimal" w:leader="dot" w:pos="8640"/>
      </w:tabs>
      <w:spacing w:after="240" w:line="240" w:lineRule="auto"/>
      <w:ind w:left="144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MARKUP.DOCX</vt:lpstr>
    </vt:vector>
  </TitlesOfParts>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2017-03-06T21:28:15Z</dcterms:created>
  <dcterms:modified xsi:type="dcterms:W3CDTF">2017-03-06T21:28:15Z</dcterms:modified>
</cp:coreProperties>
</file>