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81489" w:rsidRPr="0070059A" w:rsidP="00EC50A9">
      <w:pPr>
        <w:spacing w:after="0" w:line="240" w:lineRule="auto"/>
        <w:jc w:val="center"/>
        <w:rPr>
          <w:rFonts w:cs="Times New Roman"/>
          <w:b/>
          <w:szCs w:val="24"/>
        </w:rPr>
      </w:pPr>
      <w:bookmarkStart w:id="0" w:name="_GoBack"/>
      <w:bookmarkEnd w:id="0"/>
      <w:r w:rsidRPr="0070059A">
        <w:rPr>
          <w:rFonts w:cs="Times New Roman"/>
          <w:b/>
          <w:szCs w:val="24"/>
        </w:rPr>
        <w:t>BEFORE</w:t>
      </w:r>
    </w:p>
    <w:p w:rsidR="00981489" w:rsidRPr="0070059A" w:rsidP="00EC50A9">
      <w:pPr>
        <w:spacing w:after="0" w:line="240" w:lineRule="auto"/>
        <w:jc w:val="center"/>
        <w:rPr>
          <w:rFonts w:cs="Times New Roman"/>
          <w:b/>
          <w:szCs w:val="24"/>
        </w:rPr>
      </w:pPr>
      <w:r w:rsidRPr="0070059A">
        <w:rPr>
          <w:rFonts w:cs="Times New Roman"/>
          <w:b/>
          <w:szCs w:val="24"/>
        </w:rPr>
        <w:t>THE PUBLIC UTILITIES COMMISSION OF OHIO</w:t>
      </w:r>
    </w:p>
    <w:p w:rsidR="00981489" w:rsidRPr="0070059A" w:rsidP="00EC50A9">
      <w:pPr>
        <w:spacing w:after="0" w:line="240" w:lineRule="auto"/>
        <w:jc w:val="center"/>
        <w:rPr>
          <w:rFonts w:cs="Times New Roman"/>
          <w:b/>
          <w:szCs w:val="24"/>
        </w:rPr>
      </w:pPr>
    </w:p>
    <w:tbl>
      <w:tblPr>
        <w:tblW w:w="10358" w:type="dxa"/>
        <w:tblLook w:val="01E0"/>
      </w:tblPr>
      <w:tblGrid>
        <w:gridCol w:w="5238"/>
        <w:gridCol w:w="480"/>
        <w:gridCol w:w="4640"/>
      </w:tblGrid>
      <w:tr w:rsidTr="009B419A">
        <w:tblPrEx>
          <w:tblW w:w="10358" w:type="dxa"/>
          <w:tblLook w:val="01E0"/>
        </w:tblPrEx>
        <w:trPr>
          <w:trHeight w:val="807"/>
        </w:trPr>
        <w:tc>
          <w:tcPr>
            <w:tcW w:w="5238" w:type="dxa"/>
            <w:shd w:val="clear" w:color="auto" w:fill="auto"/>
          </w:tcPr>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an Increase in Electric Distribution Rates.</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Approval to Change Accounting Methods.</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Tariff Approval.</w:t>
            </w:r>
          </w:p>
        </w:tc>
        <w:tc>
          <w:tcPr>
            <w:tcW w:w="480" w:type="dxa"/>
            <w:shd w:val="clear" w:color="auto" w:fill="auto"/>
          </w:tcPr>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tc>
        <w:tc>
          <w:tcPr>
            <w:tcW w:w="4640" w:type="dxa"/>
            <w:shd w:val="clear" w:color="auto" w:fill="auto"/>
          </w:tcPr>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Case No. 15-1830-EL-AIR</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Case No. 15-1831-EL-AAM</w:t>
            </w:r>
          </w:p>
          <w:p w:rsidR="00981489" w:rsidRPr="0070059A" w:rsidP="00EC50A9">
            <w:pPr>
              <w:spacing w:after="0" w:line="240" w:lineRule="auto"/>
              <w:rPr>
                <w:rFonts w:cs="Times New Roman"/>
                <w:szCs w:val="24"/>
              </w:rPr>
            </w:pPr>
          </w:p>
          <w:p w:rsidR="00981489" w:rsidRPr="0070059A" w:rsidP="00EC50A9">
            <w:pPr>
              <w:spacing w:after="0" w:line="240" w:lineRule="auto"/>
              <w:rPr>
                <w:rFonts w:cs="Times New Roman"/>
                <w:szCs w:val="24"/>
              </w:rPr>
            </w:pPr>
          </w:p>
          <w:p w:rsidR="00981489" w:rsidRPr="0070059A" w:rsidP="00EC50A9">
            <w:pPr>
              <w:spacing w:after="0" w:line="240" w:lineRule="auto"/>
              <w:rPr>
                <w:rFonts w:cs="Times New Roman"/>
                <w:szCs w:val="24"/>
              </w:rPr>
            </w:pPr>
            <w:r w:rsidRPr="0070059A">
              <w:rPr>
                <w:rFonts w:cs="Times New Roman"/>
                <w:szCs w:val="24"/>
              </w:rPr>
              <w:t>Case No. 15-1832-EL-ATA</w:t>
            </w:r>
          </w:p>
          <w:p w:rsidR="00981489" w:rsidRPr="0070059A" w:rsidP="00EC50A9">
            <w:pPr>
              <w:pStyle w:val="HTMLPreformatted"/>
              <w:rPr>
                <w:rFonts w:ascii="Times New Roman" w:hAnsi="Times New Roman" w:cs="Times New Roman"/>
                <w:sz w:val="24"/>
                <w:szCs w:val="24"/>
              </w:rPr>
            </w:pPr>
          </w:p>
        </w:tc>
      </w:tr>
    </w:tbl>
    <w:p w:rsidR="00981489" w:rsidRPr="0070059A" w:rsidP="00EC50A9">
      <w:pPr>
        <w:keepNext/>
        <w:pBdr>
          <w:bottom w:val="single" w:sz="12" w:space="1" w:color="auto"/>
        </w:pBdr>
        <w:spacing w:after="0" w:line="240" w:lineRule="auto"/>
        <w:ind w:left="720" w:hanging="720"/>
        <w:outlineLvl w:val="0"/>
        <w:rPr>
          <w:rFonts w:cs="Times New Roman"/>
          <w:b/>
          <w:caps/>
          <w:szCs w:val="24"/>
        </w:rPr>
      </w:pPr>
    </w:p>
    <w:p w:rsidR="009B419A" w:rsidRPr="0070059A" w:rsidP="00EC50A9">
      <w:pPr>
        <w:pStyle w:val="HTMLPreformatted"/>
        <w:rPr>
          <w:rFonts w:ascii="Times New Roman" w:hAnsi="Times New Roman" w:cs="Times New Roman"/>
          <w:b/>
          <w:bCs/>
          <w:i/>
          <w:sz w:val="24"/>
          <w:szCs w:val="24"/>
        </w:rPr>
      </w:pP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POST-HEARING BRIEF</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 xml:space="preserve">BY </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THE OFFICE OF THE OHIO CONSUMERS</w:t>
      </w:r>
      <w:r w:rsidR="003A1E29">
        <w:rPr>
          <w:rFonts w:ascii="Times New Roman" w:hAnsi="Times New Roman" w:cs="Times New Roman"/>
          <w:b/>
          <w:bCs/>
          <w:sz w:val="24"/>
          <w:szCs w:val="24"/>
        </w:rPr>
        <w:t>’</w:t>
      </w:r>
      <w:r w:rsidRPr="0070059A">
        <w:rPr>
          <w:rFonts w:ascii="Times New Roman" w:hAnsi="Times New Roman" w:cs="Times New Roman"/>
          <w:b/>
          <w:bCs/>
          <w:sz w:val="24"/>
          <w:szCs w:val="24"/>
        </w:rPr>
        <w:t xml:space="preserve"> COUNSEL</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r w:rsidRPr="0070059A">
        <w:rPr>
          <w:rFonts w:eastAsiaTheme="minorEastAsia" w:cs="Times New Roman"/>
          <w:szCs w:val="24"/>
        </w:rPr>
        <w:t>BRUCE WESTON (0016973)</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OHIO CONSUMERS' COUNSEL</w:t>
      </w:r>
    </w:p>
    <w:p w:rsidR="009B419A" w:rsidRPr="0070059A" w:rsidP="00EC50A9">
      <w:pPr>
        <w:spacing w:after="0" w:line="240" w:lineRule="auto"/>
        <w:ind w:firstLine="4320"/>
        <w:rPr>
          <w:rFonts w:eastAsiaTheme="minorEastAsia" w:cs="Times New Roman"/>
          <w:szCs w:val="24"/>
        </w:rPr>
      </w:pP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Terry L. Etter (0067445)</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Assistant Consumers' Counsel</w:t>
      </w:r>
    </w:p>
    <w:p w:rsidR="009B419A" w:rsidRPr="0070059A" w:rsidP="00EC50A9">
      <w:pPr>
        <w:spacing w:after="0" w:line="240" w:lineRule="auto"/>
        <w:ind w:firstLine="4320"/>
        <w:rPr>
          <w:rFonts w:eastAsiaTheme="minorEastAsia" w:cs="Times New Roman"/>
          <w:szCs w:val="24"/>
        </w:rPr>
      </w:pPr>
    </w:p>
    <w:p w:rsidR="009B419A" w:rsidRPr="0070059A" w:rsidP="00EC50A9">
      <w:pPr>
        <w:spacing w:after="0" w:line="240" w:lineRule="auto"/>
        <w:ind w:firstLine="4320"/>
        <w:rPr>
          <w:rFonts w:eastAsiaTheme="minorEastAsia" w:cs="Times New Roman"/>
          <w:b/>
          <w:szCs w:val="24"/>
        </w:rPr>
      </w:pPr>
      <w:r w:rsidRPr="0070059A">
        <w:rPr>
          <w:rFonts w:eastAsiaTheme="minorEastAsia" w:cs="Times New Roman"/>
          <w:b/>
          <w:szCs w:val="24"/>
        </w:rPr>
        <w:t>Office of the Ohio Consumers' Counsel</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65 East State Street, 7th Floor</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Columbus, Ohio 43215</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Telephone [Healey]: 614-466-9571</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Telephone [Etter]: 614-466-7964</w:t>
      </w:r>
    </w:p>
    <w:p w:rsidR="009B419A" w:rsidRPr="0070059A" w:rsidP="00EC50A9">
      <w:pPr>
        <w:spacing w:after="0" w:line="240" w:lineRule="auto"/>
        <w:ind w:firstLine="4320"/>
        <w:rPr>
          <w:rStyle w:val="Hyperlink"/>
          <w:rFonts w:eastAsiaTheme="minorEastAsia" w:cs="Times New Roman"/>
          <w:szCs w:val="24"/>
        </w:rPr>
      </w:pPr>
      <w:r w:rsidRPr="0070059A">
        <w:rPr>
          <w:rFonts w:eastAsiaTheme="minorEastAsia" w:cs="Times New Roman"/>
          <w:szCs w:val="24"/>
        </w:rPr>
        <w:t>christopher.healey@occ.ohio.gov</w:t>
      </w:r>
    </w:p>
    <w:p w:rsidR="009F086B" w:rsidP="00EC50A9">
      <w:pPr>
        <w:spacing w:after="0" w:line="240" w:lineRule="auto"/>
        <w:ind w:firstLine="4320"/>
        <w:rPr>
          <w:rStyle w:val="Hyperlink"/>
          <w:rFonts w:eastAsiaTheme="minorEastAsia" w:cs="Times New Roman"/>
          <w:szCs w:val="24"/>
        </w:rPr>
      </w:pPr>
      <w:r w:rsidRPr="00C44056">
        <w:rPr>
          <w:rFonts w:eastAsiaTheme="minorEastAsia" w:cs="Times New Roman"/>
          <w:szCs w:val="24"/>
        </w:rPr>
        <w:t>terry.etter@occ.ohio.gov</w:t>
      </w:r>
    </w:p>
    <w:p w:rsidR="00EE19CA" w:rsidRPr="00EE19CA" w:rsidP="00EC50A9">
      <w:pPr>
        <w:spacing w:after="0" w:line="240" w:lineRule="auto"/>
        <w:ind w:firstLine="4320"/>
        <w:rPr>
          <w:rFonts w:eastAsiaTheme="minorEastAsia" w:cs="Times New Roman"/>
          <w:szCs w:val="24"/>
        </w:rPr>
      </w:pPr>
      <w:r w:rsidRPr="00EE19CA">
        <w:rPr>
          <w:rStyle w:val="Hyperlink"/>
          <w:rFonts w:eastAsiaTheme="minorEastAsia" w:cs="Times New Roman"/>
          <w:color w:val="auto"/>
          <w:szCs w:val="24"/>
          <w:u w:val="none"/>
        </w:rPr>
        <w:t>(will</w:t>
      </w:r>
      <w:r w:rsidR="00E52560">
        <w:rPr>
          <w:rStyle w:val="Hyperlink"/>
          <w:rFonts w:eastAsiaTheme="minorEastAsia" w:cs="Times New Roman"/>
          <w:color w:val="auto"/>
          <w:szCs w:val="24"/>
          <w:u w:val="none"/>
        </w:rPr>
        <w:t>ing to</w:t>
      </w:r>
      <w:r w:rsidRPr="00EE19CA">
        <w:rPr>
          <w:rStyle w:val="Hyperlink"/>
          <w:rFonts w:eastAsiaTheme="minorEastAsia" w:cs="Times New Roman"/>
          <w:color w:val="auto"/>
          <w:szCs w:val="24"/>
          <w:u w:val="none"/>
        </w:rPr>
        <w:t xml:space="preserve"> accept service </w:t>
      </w:r>
      <w:r w:rsidR="00E52560">
        <w:rPr>
          <w:rStyle w:val="Hyperlink"/>
          <w:rFonts w:eastAsiaTheme="minorEastAsia" w:cs="Times New Roman"/>
          <w:color w:val="auto"/>
          <w:szCs w:val="24"/>
          <w:u w:val="none"/>
        </w:rPr>
        <w:t>by</w:t>
      </w:r>
      <w:r w:rsidRPr="00EE19CA">
        <w:rPr>
          <w:rStyle w:val="Hyperlink"/>
          <w:rFonts w:eastAsiaTheme="minorEastAsia" w:cs="Times New Roman"/>
          <w:color w:val="auto"/>
          <w:szCs w:val="24"/>
          <w:u w:val="none"/>
        </w:rPr>
        <w:t xml:space="preserve"> e</w:t>
      </w:r>
      <w:r w:rsidR="00E52560">
        <w:rPr>
          <w:rStyle w:val="Hyperlink"/>
          <w:rFonts w:eastAsiaTheme="minorEastAsia" w:cs="Times New Roman"/>
          <w:color w:val="auto"/>
          <w:szCs w:val="24"/>
          <w:u w:val="none"/>
        </w:rPr>
        <w:t>-</w:t>
      </w:r>
      <w:r w:rsidRPr="00EE19CA">
        <w:rPr>
          <w:rStyle w:val="Hyperlink"/>
          <w:rFonts w:eastAsiaTheme="minorEastAsia" w:cs="Times New Roman"/>
          <w:color w:val="auto"/>
          <w:szCs w:val="24"/>
          <w:u w:val="none"/>
        </w:rPr>
        <w:t>mail)</w:t>
      </w:r>
    </w:p>
    <w:p w:rsidR="009B419A" w:rsidRPr="0070059A" w:rsidP="00D20AE3">
      <w:pPr>
        <w:spacing w:after="0" w:line="240" w:lineRule="auto"/>
        <w:ind w:left="4320" w:hanging="4320"/>
        <w:rPr>
          <w:rFonts w:cs="Times New Roman"/>
          <w:szCs w:val="24"/>
        </w:rPr>
      </w:pPr>
      <w:r>
        <w:rPr>
          <w:rFonts w:cs="Times New Roman"/>
          <w:szCs w:val="24"/>
        </w:rPr>
        <w:t>August 17, 2018</w:t>
      </w:r>
    </w:p>
    <w:p w:rsidR="009B419A" w:rsidRPr="0070059A" w:rsidP="00EC50A9">
      <w:pPr>
        <w:rPr>
          <w:rFonts w:eastAsiaTheme="minorEastAsia" w:cs="Times New Roman"/>
          <w:szCs w:val="24"/>
        </w:rPr>
        <w:sectPr w:rsidSect="009B419A">
          <w:pgSz w:w="12240" w:h="15840"/>
          <w:pgMar w:top="1440" w:right="1800" w:bottom="1440" w:left="1800" w:header="720" w:footer="720" w:gutter="0"/>
          <w:pgNumType w:start="2"/>
          <w:cols w:space="720"/>
          <w:docGrid w:linePitch="360"/>
        </w:sectPr>
      </w:pPr>
    </w:p>
    <w:p w:rsidR="009B419A" w:rsidRPr="0070059A" w:rsidP="00EC50A9">
      <w:pPr>
        <w:jc w:val="center"/>
        <w:rPr>
          <w:rFonts w:eastAsiaTheme="minorEastAsia" w:cs="Times New Roman"/>
          <w:b/>
          <w:szCs w:val="24"/>
          <w:u w:val="single"/>
        </w:rPr>
      </w:pPr>
      <w:r w:rsidRPr="0070059A">
        <w:rPr>
          <w:rFonts w:eastAsiaTheme="minorEastAsia" w:cs="Times New Roman"/>
          <w:b/>
          <w:szCs w:val="24"/>
          <w:u w:val="single"/>
        </w:rPr>
        <w:t>TABLE OF CONTENTS</w:t>
      </w:r>
    </w:p>
    <w:p w:rsidR="009B419A" w:rsidRPr="0070059A" w:rsidP="00EC50A9">
      <w:pPr>
        <w:jc w:val="right"/>
        <w:rPr>
          <w:rFonts w:eastAsiaTheme="minorEastAsia" w:cs="Times New Roman"/>
          <w:szCs w:val="24"/>
        </w:rPr>
      </w:pPr>
      <w:r w:rsidRPr="0070059A">
        <w:rPr>
          <w:rFonts w:eastAsiaTheme="minorEastAsia" w:cs="Times New Roman"/>
          <w:b/>
          <w:szCs w:val="24"/>
        </w:rPr>
        <w:t>PAGE</w:t>
      </w:r>
    </w:p>
    <w:p w:rsidR="000242F7">
      <w:pPr>
        <w:pStyle w:val="TOC2"/>
        <w:rPr>
          <w:rFonts w:asciiTheme="minorHAnsi" w:eastAsiaTheme="minorEastAsia" w:hAnsiTheme="minorHAnsi"/>
          <w:noProof/>
          <w:sz w:val="22"/>
          <w:lang w:bidi="he-IL"/>
        </w:rPr>
      </w:pPr>
      <w:r>
        <w:rPr>
          <w:rFonts w:eastAsiaTheme="minorEastAsia" w:cs="Times New Roman"/>
          <w:szCs w:val="24"/>
        </w:rPr>
        <w:fldChar w:fldCharType="begin"/>
      </w:r>
      <w:r>
        <w:rPr>
          <w:rFonts w:eastAsiaTheme="minorEastAsia" w:cs="Times New Roman"/>
          <w:szCs w:val="24"/>
        </w:rPr>
        <w:instrText xml:space="preserve"> TOC \o "1-3" \h \z \u </w:instrText>
      </w:r>
      <w:r>
        <w:rPr>
          <w:rFonts w:eastAsiaTheme="minorEastAsia" w:cs="Times New Roman"/>
          <w:szCs w:val="24"/>
        </w:rPr>
        <w:fldChar w:fldCharType="separate"/>
      </w:r>
      <w:r>
        <w:fldChar w:fldCharType="begin"/>
      </w:r>
      <w:r>
        <w:instrText xml:space="preserve"> HYPERLINK \l "_Toc522278748" </w:instrText>
      </w:r>
      <w:r>
        <w:fldChar w:fldCharType="separate"/>
      </w:r>
      <w:r w:rsidRPr="00845304">
        <w:rPr>
          <w:rStyle w:val="Hyperlink"/>
          <w:noProof/>
        </w:rPr>
        <w:t>I.</w:t>
      </w:r>
      <w:r>
        <w:rPr>
          <w:rFonts w:asciiTheme="minorHAnsi" w:eastAsiaTheme="minorEastAsia" w:hAnsiTheme="minorHAnsi"/>
          <w:noProof/>
          <w:sz w:val="22"/>
          <w:lang w:bidi="he-IL"/>
        </w:rPr>
        <w:tab/>
      </w:r>
      <w:r w:rsidRPr="00845304">
        <w:rPr>
          <w:rStyle w:val="Hyperlink"/>
          <w:noProof/>
        </w:rPr>
        <w:t>STANDARD OF REVIEW</w:t>
      </w:r>
      <w:r>
        <w:rPr>
          <w:noProof/>
          <w:webHidden/>
        </w:rPr>
        <w:tab/>
      </w:r>
      <w:r>
        <w:rPr>
          <w:noProof/>
          <w:webHidden/>
        </w:rPr>
        <w:fldChar w:fldCharType="begin"/>
      </w:r>
      <w:r>
        <w:rPr>
          <w:noProof/>
          <w:webHidden/>
        </w:rPr>
        <w:instrText xml:space="preserve"> PAGEREF _Toc522278748 \h </w:instrText>
      </w:r>
      <w:r>
        <w:rPr>
          <w:noProof/>
          <w:webHidden/>
        </w:rPr>
        <w:fldChar w:fldCharType="separate"/>
      </w:r>
      <w:r>
        <w:rPr>
          <w:noProof/>
          <w:webHidden/>
        </w:rPr>
        <w:t>1</w:t>
      </w:r>
      <w:r>
        <w:rPr>
          <w:noProof/>
          <w:webHidden/>
        </w:rPr>
        <w:fldChar w:fldCharType="end"/>
      </w:r>
      <w:r>
        <w:fldChar w:fldCharType="end"/>
      </w:r>
    </w:p>
    <w:p w:rsidR="000242F7">
      <w:pPr>
        <w:pStyle w:val="TOC2"/>
        <w:rPr>
          <w:rFonts w:asciiTheme="minorHAnsi" w:eastAsiaTheme="minorEastAsia" w:hAnsiTheme="minorHAnsi"/>
          <w:noProof/>
          <w:sz w:val="22"/>
          <w:lang w:bidi="he-IL"/>
        </w:rPr>
      </w:pPr>
      <w:r>
        <w:fldChar w:fldCharType="begin"/>
      </w:r>
      <w:r>
        <w:instrText xml:space="preserve"> HYPERLINK \l "_Toc522278749" </w:instrText>
      </w:r>
      <w:r>
        <w:fldChar w:fldCharType="separate"/>
      </w:r>
      <w:r w:rsidRPr="00845304">
        <w:rPr>
          <w:rStyle w:val="Hyperlink"/>
          <w:noProof/>
        </w:rPr>
        <w:t>II.</w:t>
      </w:r>
      <w:r>
        <w:rPr>
          <w:rFonts w:asciiTheme="minorHAnsi" w:eastAsiaTheme="minorEastAsia" w:hAnsiTheme="minorHAnsi"/>
          <w:noProof/>
          <w:sz w:val="22"/>
          <w:lang w:bidi="he-IL"/>
        </w:rPr>
        <w:tab/>
      </w:r>
      <w:r w:rsidRPr="00845304">
        <w:rPr>
          <w:rStyle w:val="Hyperlink"/>
          <w:noProof/>
        </w:rPr>
        <w:t>RECOMMENDATIONS</w:t>
      </w:r>
      <w:r>
        <w:rPr>
          <w:noProof/>
          <w:webHidden/>
        </w:rPr>
        <w:tab/>
      </w:r>
      <w:r>
        <w:rPr>
          <w:noProof/>
          <w:webHidden/>
        </w:rPr>
        <w:fldChar w:fldCharType="begin"/>
      </w:r>
      <w:r>
        <w:rPr>
          <w:noProof/>
          <w:webHidden/>
        </w:rPr>
        <w:instrText xml:space="preserve"> PAGEREF _Toc522278749 \h </w:instrText>
      </w:r>
      <w:r>
        <w:rPr>
          <w:noProof/>
          <w:webHidden/>
        </w:rPr>
        <w:fldChar w:fldCharType="separate"/>
      </w:r>
      <w:r>
        <w:rPr>
          <w:noProof/>
          <w:webHidden/>
        </w:rPr>
        <w:t>2</w:t>
      </w:r>
      <w:r>
        <w:rPr>
          <w:noProof/>
          <w:webHidden/>
        </w:rPr>
        <w:fldChar w:fldCharType="end"/>
      </w:r>
      <w:r>
        <w:fldChar w:fldCharType="end"/>
      </w:r>
    </w:p>
    <w:p w:rsidR="000242F7">
      <w:pPr>
        <w:pStyle w:val="TOC3"/>
        <w:tabs>
          <w:tab w:val="left" w:pos="1440"/>
        </w:tabs>
        <w:rPr>
          <w:rFonts w:asciiTheme="minorHAnsi" w:eastAsiaTheme="minorEastAsia" w:hAnsiTheme="minorHAnsi"/>
          <w:noProof/>
          <w:sz w:val="22"/>
          <w:lang w:bidi="he-IL"/>
        </w:rPr>
      </w:pPr>
      <w:r>
        <w:fldChar w:fldCharType="begin"/>
      </w:r>
      <w:r>
        <w:instrText xml:space="preserve"> HYPERLINK \l "_Toc522278750" </w:instrText>
      </w:r>
      <w:r>
        <w:fldChar w:fldCharType="separate"/>
      </w:r>
      <w:r w:rsidRPr="00845304">
        <w:rPr>
          <w:rStyle w:val="Hyperlink"/>
          <w:noProof/>
        </w:rPr>
        <w:t>A.</w:t>
      </w:r>
      <w:r>
        <w:rPr>
          <w:rFonts w:asciiTheme="minorHAnsi" w:eastAsiaTheme="minorEastAsia" w:hAnsiTheme="minorHAnsi"/>
          <w:noProof/>
          <w:sz w:val="22"/>
          <w:lang w:bidi="he-IL"/>
        </w:rPr>
        <w:tab/>
      </w:r>
      <w:r w:rsidRPr="00845304">
        <w:rPr>
          <w:rStyle w:val="Hyperlink"/>
          <w:noProof/>
        </w:rPr>
        <w:t>The Settlement is the product of serious bargaining among capable, knowledgeable parties.</w:t>
      </w:r>
      <w:r>
        <w:rPr>
          <w:noProof/>
          <w:webHidden/>
        </w:rPr>
        <w:tab/>
      </w:r>
      <w:r>
        <w:rPr>
          <w:noProof/>
          <w:webHidden/>
        </w:rPr>
        <w:fldChar w:fldCharType="begin"/>
      </w:r>
      <w:r>
        <w:rPr>
          <w:noProof/>
          <w:webHidden/>
        </w:rPr>
        <w:instrText xml:space="preserve"> PAGEREF _Toc522278750 \h </w:instrText>
      </w:r>
      <w:r>
        <w:rPr>
          <w:noProof/>
          <w:webHidden/>
        </w:rPr>
        <w:fldChar w:fldCharType="separate"/>
      </w:r>
      <w:r>
        <w:rPr>
          <w:noProof/>
          <w:webHidden/>
        </w:rPr>
        <w:t>3</w:t>
      </w:r>
      <w:r>
        <w:rPr>
          <w:noProof/>
          <w:webHidden/>
        </w:rPr>
        <w:fldChar w:fldCharType="end"/>
      </w:r>
      <w:r>
        <w:fldChar w:fldCharType="end"/>
      </w:r>
    </w:p>
    <w:p w:rsidR="000242F7">
      <w:pPr>
        <w:pStyle w:val="TOC3"/>
        <w:tabs>
          <w:tab w:val="left" w:pos="1440"/>
        </w:tabs>
        <w:rPr>
          <w:rFonts w:asciiTheme="minorHAnsi" w:eastAsiaTheme="minorEastAsia" w:hAnsiTheme="minorHAnsi"/>
          <w:noProof/>
          <w:sz w:val="22"/>
          <w:lang w:bidi="he-IL"/>
        </w:rPr>
      </w:pPr>
      <w:r>
        <w:fldChar w:fldCharType="begin"/>
      </w:r>
      <w:r>
        <w:instrText xml:space="preserve"> HYPERLINK \l "_Toc522278751" </w:instrText>
      </w:r>
      <w:r>
        <w:fldChar w:fldCharType="separate"/>
      </w:r>
      <w:r w:rsidRPr="00845304">
        <w:rPr>
          <w:rStyle w:val="Hyperlink"/>
          <w:noProof/>
        </w:rPr>
        <w:t>B.</w:t>
      </w:r>
      <w:r>
        <w:rPr>
          <w:rFonts w:asciiTheme="minorHAnsi" w:eastAsiaTheme="minorEastAsia" w:hAnsiTheme="minorHAnsi"/>
          <w:noProof/>
          <w:sz w:val="22"/>
          <w:lang w:bidi="he-IL"/>
        </w:rPr>
        <w:tab/>
      </w:r>
      <w:r w:rsidRPr="00845304">
        <w:rPr>
          <w:rStyle w:val="Hyperlink"/>
          <w:noProof/>
        </w:rPr>
        <w:t>The Settlement benefits customers and the public interest.</w:t>
      </w:r>
      <w:r>
        <w:rPr>
          <w:noProof/>
          <w:webHidden/>
        </w:rPr>
        <w:tab/>
      </w:r>
      <w:r>
        <w:rPr>
          <w:noProof/>
          <w:webHidden/>
        </w:rPr>
        <w:fldChar w:fldCharType="begin"/>
      </w:r>
      <w:r>
        <w:rPr>
          <w:noProof/>
          <w:webHidden/>
        </w:rPr>
        <w:instrText xml:space="preserve"> PAGEREF _Toc522278751 \h </w:instrText>
      </w:r>
      <w:r>
        <w:rPr>
          <w:noProof/>
          <w:webHidden/>
        </w:rPr>
        <w:fldChar w:fldCharType="separate"/>
      </w:r>
      <w:r>
        <w:rPr>
          <w:noProof/>
          <w:webHidden/>
        </w:rPr>
        <w:t>4</w:t>
      </w:r>
      <w:r>
        <w:rPr>
          <w:noProof/>
          <w:webHidden/>
        </w:rPr>
        <w:fldChar w:fldCharType="end"/>
      </w:r>
      <w:r>
        <w:fldChar w:fldCharType="end"/>
      </w:r>
    </w:p>
    <w:p w:rsidR="000242F7">
      <w:pPr>
        <w:pStyle w:val="TOC3"/>
        <w:tabs>
          <w:tab w:val="left" w:pos="1440"/>
        </w:tabs>
        <w:rPr>
          <w:rFonts w:asciiTheme="minorHAnsi" w:eastAsiaTheme="minorEastAsia" w:hAnsiTheme="minorHAnsi"/>
          <w:noProof/>
          <w:sz w:val="22"/>
          <w:lang w:bidi="he-IL"/>
        </w:rPr>
      </w:pPr>
      <w:r>
        <w:fldChar w:fldCharType="begin"/>
      </w:r>
      <w:r>
        <w:instrText xml:space="preserve"> HYPERLINK \l "_Toc522278752" </w:instrText>
      </w:r>
      <w:r>
        <w:fldChar w:fldCharType="separate"/>
      </w:r>
      <w:r w:rsidRPr="00845304">
        <w:rPr>
          <w:rStyle w:val="Hyperlink"/>
          <w:noProof/>
        </w:rPr>
        <w:t>C.</w:t>
      </w:r>
      <w:r>
        <w:rPr>
          <w:rFonts w:asciiTheme="minorHAnsi" w:eastAsiaTheme="minorEastAsia" w:hAnsiTheme="minorHAnsi"/>
          <w:noProof/>
          <w:sz w:val="22"/>
          <w:lang w:bidi="he-IL"/>
        </w:rPr>
        <w:tab/>
      </w:r>
      <w:r w:rsidRPr="00845304">
        <w:rPr>
          <w:rStyle w:val="Hyperlink"/>
          <w:noProof/>
        </w:rPr>
        <w:t>The Settlement does not violate any regulatory principles or practices.</w:t>
      </w:r>
      <w:r>
        <w:rPr>
          <w:noProof/>
          <w:webHidden/>
        </w:rPr>
        <w:tab/>
      </w:r>
      <w:r>
        <w:rPr>
          <w:noProof/>
          <w:webHidden/>
        </w:rPr>
        <w:fldChar w:fldCharType="begin"/>
      </w:r>
      <w:r>
        <w:rPr>
          <w:noProof/>
          <w:webHidden/>
        </w:rPr>
        <w:instrText xml:space="preserve"> PAGEREF _Toc522278752 \h </w:instrText>
      </w:r>
      <w:r>
        <w:rPr>
          <w:noProof/>
          <w:webHidden/>
        </w:rPr>
        <w:fldChar w:fldCharType="separate"/>
      </w:r>
      <w:r>
        <w:rPr>
          <w:noProof/>
          <w:webHidden/>
        </w:rPr>
        <w:t>6</w:t>
      </w:r>
      <w:r>
        <w:rPr>
          <w:noProof/>
          <w:webHidden/>
        </w:rPr>
        <w:fldChar w:fldCharType="end"/>
      </w:r>
      <w:r>
        <w:fldChar w:fldCharType="end"/>
      </w:r>
    </w:p>
    <w:p w:rsidR="000242F7">
      <w:pPr>
        <w:pStyle w:val="TOC2"/>
        <w:rPr>
          <w:rFonts w:asciiTheme="minorHAnsi" w:eastAsiaTheme="minorEastAsia" w:hAnsiTheme="minorHAnsi"/>
          <w:noProof/>
          <w:sz w:val="22"/>
          <w:lang w:bidi="he-IL"/>
        </w:rPr>
      </w:pPr>
      <w:r>
        <w:fldChar w:fldCharType="begin"/>
      </w:r>
      <w:r>
        <w:instrText xml:space="preserve"> HYPERLINK \l "_Toc522278753" </w:instrText>
      </w:r>
      <w:r>
        <w:fldChar w:fldCharType="separate"/>
      </w:r>
      <w:r w:rsidRPr="00845304">
        <w:rPr>
          <w:rStyle w:val="Hyperlink"/>
          <w:noProof/>
        </w:rPr>
        <w:t>III.</w:t>
      </w:r>
      <w:r>
        <w:rPr>
          <w:rFonts w:asciiTheme="minorHAnsi" w:eastAsiaTheme="minorEastAsia" w:hAnsiTheme="minorHAnsi"/>
          <w:noProof/>
          <w:sz w:val="22"/>
          <w:lang w:bidi="he-IL"/>
        </w:rPr>
        <w:tab/>
      </w:r>
      <w:r w:rsidRPr="00845304">
        <w:rPr>
          <w:rStyle w:val="Hyperlink"/>
          <w:noProof/>
        </w:rPr>
        <w:t>CONCLUSION</w:t>
      </w:r>
      <w:r>
        <w:rPr>
          <w:noProof/>
          <w:webHidden/>
        </w:rPr>
        <w:tab/>
      </w:r>
      <w:r>
        <w:rPr>
          <w:noProof/>
          <w:webHidden/>
        </w:rPr>
        <w:fldChar w:fldCharType="begin"/>
      </w:r>
      <w:r>
        <w:rPr>
          <w:noProof/>
          <w:webHidden/>
        </w:rPr>
        <w:instrText xml:space="preserve"> PAGEREF _Toc522278753 \h </w:instrText>
      </w:r>
      <w:r>
        <w:rPr>
          <w:noProof/>
          <w:webHidden/>
        </w:rPr>
        <w:fldChar w:fldCharType="separate"/>
      </w:r>
      <w:r>
        <w:rPr>
          <w:noProof/>
          <w:webHidden/>
        </w:rPr>
        <w:t>9</w:t>
      </w:r>
      <w:r>
        <w:rPr>
          <w:noProof/>
          <w:webHidden/>
        </w:rPr>
        <w:fldChar w:fldCharType="end"/>
      </w:r>
      <w:r>
        <w:fldChar w:fldCharType="end"/>
      </w:r>
    </w:p>
    <w:p w:rsidR="009B419A" w:rsidRPr="0070059A" w:rsidP="00EC50A9">
      <w:pPr>
        <w:rPr>
          <w:rFonts w:eastAsiaTheme="minorEastAsia" w:cs="Times New Roman"/>
          <w:szCs w:val="24"/>
        </w:rPr>
        <w:sectPr w:rsidSect="009B419A">
          <w:headerReference w:type="default" r:id="rId5"/>
          <w:footerReference w:type="default" r:id="rId6"/>
          <w:pgSz w:w="12240" w:h="15840"/>
          <w:pgMar w:top="1440" w:right="1800" w:bottom="1440" w:left="1800" w:header="720" w:footer="720" w:gutter="0"/>
          <w:pgNumType w:fmt="lowerRoman" w:start="1"/>
          <w:cols w:space="720"/>
          <w:docGrid w:linePitch="360"/>
        </w:sectPr>
      </w:pPr>
      <w:r>
        <w:rPr>
          <w:rFonts w:eastAsiaTheme="minorEastAsia" w:cs="Times New Roman"/>
          <w:szCs w:val="24"/>
        </w:rPr>
        <w:fldChar w:fldCharType="end"/>
      </w:r>
    </w:p>
    <w:p w:rsidR="00981489" w:rsidRPr="0070059A" w:rsidP="00EC50A9">
      <w:pPr>
        <w:spacing w:after="0" w:line="240" w:lineRule="auto"/>
        <w:jc w:val="center"/>
        <w:rPr>
          <w:rFonts w:cs="Times New Roman"/>
          <w:b/>
          <w:szCs w:val="24"/>
        </w:rPr>
      </w:pPr>
      <w:r w:rsidRPr="0070059A">
        <w:rPr>
          <w:rFonts w:cs="Times New Roman"/>
          <w:b/>
          <w:szCs w:val="24"/>
        </w:rPr>
        <w:t>BEFORE</w:t>
      </w:r>
    </w:p>
    <w:p w:rsidR="00981489" w:rsidRPr="0070059A" w:rsidP="00EC50A9">
      <w:pPr>
        <w:spacing w:after="0" w:line="240" w:lineRule="auto"/>
        <w:jc w:val="center"/>
        <w:rPr>
          <w:rFonts w:cs="Times New Roman"/>
          <w:b/>
          <w:szCs w:val="24"/>
        </w:rPr>
      </w:pPr>
      <w:r w:rsidRPr="0070059A">
        <w:rPr>
          <w:rFonts w:cs="Times New Roman"/>
          <w:b/>
          <w:szCs w:val="24"/>
        </w:rPr>
        <w:t>THE PUBLIC UTILITIES COMMISSION OF OHIO</w:t>
      </w:r>
    </w:p>
    <w:p w:rsidR="00981489" w:rsidRPr="0070059A" w:rsidP="00EC50A9">
      <w:pPr>
        <w:spacing w:after="0" w:line="240" w:lineRule="auto"/>
        <w:jc w:val="center"/>
        <w:rPr>
          <w:rFonts w:cs="Times New Roman"/>
          <w:b/>
          <w:szCs w:val="24"/>
        </w:rPr>
      </w:pPr>
    </w:p>
    <w:tbl>
      <w:tblPr>
        <w:tblW w:w="10358" w:type="dxa"/>
        <w:tblLook w:val="01E0"/>
      </w:tblPr>
      <w:tblGrid>
        <w:gridCol w:w="5238"/>
        <w:gridCol w:w="480"/>
        <w:gridCol w:w="4640"/>
      </w:tblGrid>
      <w:tr w:rsidTr="009B419A">
        <w:tblPrEx>
          <w:tblW w:w="10358" w:type="dxa"/>
          <w:tblLook w:val="01E0"/>
        </w:tblPrEx>
        <w:trPr>
          <w:trHeight w:val="807"/>
        </w:trPr>
        <w:tc>
          <w:tcPr>
            <w:tcW w:w="5238" w:type="dxa"/>
            <w:shd w:val="clear" w:color="auto" w:fill="auto"/>
          </w:tcPr>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an Increase in Electric Distribution Rates.</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Approval to Change Accounting Methods.</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Tariff Approval.</w:t>
            </w:r>
          </w:p>
        </w:tc>
        <w:tc>
          <w:tcPr>
            <w:tcW w:w="480" w:type="dxa"/>
            <w:shd w:val="clear" w:color="auto" w:fill="auto"/>
          </w:tcPr>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tc>
        <w:tc>
          <w:tcPr>
            <w:tcW w:w="4640" w:type="dxa"/>
            <w:shd w:val="clear" w:color="auto" w:fill="auto"/>
          </w:tcPr>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Case No. 15-1830-EL-AIR</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Case No. 15-1831-EL-AAM</w:t>
            </w:r>
          </w:p>
          <w:p w:rsidR="00981489" w:rsidRPr="0070059A" w:rsidP="00EC50A9">
            <w:pPr>
              <w:spacing w:after="0" w:line="240" w:lineRule="auto"/>
              <w:rPr>
                <w:rFonts w:cs="Times New Roman"/>
                <w:szCs w:val="24"/>
              </w:rPr>
            </w:pPr>
          </w:p>
          <w:p w:rsidR="00981489" w:rsidRPr="0070059A" w:rsidP="00EC50A9">
            <w:pPr>
              <w:spacing w:after="0" w:line="240" w:lineRule="auto"/>
              <w:rPr>
                <w:rFonts w:cs="Times New Roman"/>
                <w:szCs w:val="24"/>
              </w:rPr>
            </w:pPr>
          </w:p>
          <w:p w:rsidR="00981489" w:rsidRPr="0070059A" w:rsidP="00EC50A9">
            <w:pPr>
              <w:spacing w:after="0" w:line="240" w:lineRule="auto"/>
              <w:rPr>
                <w:rFonts w:cs="Times New Roman"/>
                <w:szCs w:val="24"/>
              </w:rPr>
            </w:pPr>
            <w:r w:rsidRPr="0070059A">
              <w:rPr>
                <w:rFonts w:cs="Times New Roman"/>
                <w:szCs w:val="24"/>
              </w:rPr>
              <w:t>Case No. 15-1832-EL-ATA</w:t>
            </w:r>
          </w:p>
          <w:p w:rsidR="00981489" w:rsidRPr="0070059A" w:rsidP="00EC50A9">
            <w:pPr>
              <w:pStyle w:val="HTMLPreformatted"/>
              <w:rPr>
                <w:rFonts w:ascii="Times New Roman" w:hAnsi="Times New Roman" w:cs="Times New Roman"/>
                <w:sz w:val="24"/>
                <w:szCs w:val="24"/>
              </w:rPr>
            </w:pPr>
          </w:p>
        </w:tc>
      </w:tr>
    </w:tbl>
    <w:p w:rsidR="00981489" w:rsidRPr="0070059A" w:rsidP="00EC50A9">
      <w:pPr>
        <w:keepNext/>
        <w:pBdr>
          <w:bottom w:val="single" w:sz="12" w:space="1" w:color="auto"/>
        </w:pBdr>
        <w:spacing w:after="0"/>
        <w:ind w:left="720" w:hanging="720"/>
        <w:outlineLvl w:val="0"/>
        <w:rPr>
          <w:rFonts w:cs="Times New Roman"/>
          <w:b/>
          <w:caps/>
          <w:szCs w:val="24"/>
        </w:rPr>
      </w:pPr>
    </w:p>
    <w:p w:rsidR="00981489" w:rsidRPr="0070059A" w:rsidP="00EC50A9">
      <w:pPr>
        <w:pStyle w:val="HTMLPreformatted"/>
        <w:rPr>
          <w:rFonts w:ascii="Times New Roman" w:hAnsi="Times New Roman" w:cs="Times New Roman"/>
          <w:b/>
          <w:bCs/>
          <w:i/>
          <w:sz w:val="24"/>
          <w:szCs w:val="24"/>
        </w:rPr>
      </w:pP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POST-HEARING BRIEF</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BY</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THE OFFICE OF THE OHIO CONSUMERS' COUNSEL</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p>
    <w:p w:rsidR="00F62733" w:rsidP="00EA1410">
      <w:pPr>
        <w:spacing w:before="240" w:after="0" w:line="480" w:lineRule="auto"/>
        <w:ind w:firstLine="720"/>
        <w:rPr>
          <w:rFonts w:cs="Times New Roman"/>
          <w:szCs w:val="24"/>
        </w:rPr>
      </w:pPr>
      <w:r>
        <w:rPr>
          <w:rFonts w:cs="Times New Roman"/>
          <w:szCs w:val="24"/>
        </w:rPr>
        <w:t>T</w:t>
      </w:r>
      <w:r w:rsidR="00EA1410">
        <w:rPr>
          <w:rFonts w:cs="Times New Roman"/>
          <w:szCs w:val="24"/>
        </w:rPr>
        <w:t xml:space="preserve">he </w:t>
      </w:r>
      <w:r w:rsidR="00393395">
        <w:rPr>
          <w:rFonts w:cs="Times New Roman"/>
          <w:szCs w:val="24"/>
        </w:rPr>
        <w:t>s</w:t>
      </w:r>
      <w:r w:rsidR="00EA1410">
        <w:rPr>
          <w:rFonts w:cs="Times New Roman"/>
          <w:szCs w:val="24"/>
        </w:rPr>
        <w:t>ettlement</w:t>
      </w:r>
      <w:r>
        <w:rPr>
          <w:rFonts w:cs="Times New Roman"/>
          <w:szCs w:val="24"/>
        </w:rPr>
        <w:t xml:space="preserve"> that was negotiated and signed by Dayton Power &amp; Light (“DP&amp;L”), the Office of the Ohio Consumers’ Counsel (“OCC”), the PUCO Staff</w:t>
      </w:r>
      <w:r w:rsidR="00D20AE3">
        <w:rPr>
          <w:rFonts w:cs="Times New Roman"/>
          <w:szCs w:val="24"/>
        </w:rPr>
        <w:t>,</w:t>
      </w:r>
      <w:r>
        <w:rPr>
          <w:rFonts w:cs="Times New Roman"/>
          <w:szCs w:val="24"/>
        </w:rPr>
        <w:t xml:space="preserve"> and many others should be approved</w:t>
      </w:r>
      <w:r w:rsidR="00EA1410">
        <w:rPr>
          <w:rFonts w:cs="Times New Roman"/>
          <w:szCs w:val="24"/>
        </w:rPr>
        <w:t xml:space="preserve"> </w:t>
      </w:r>
      <w:r>
        <w:rPr>
          <w:rFonts w:cs="Times New Roman"/>
          <w:szCs w:val="24"/>
        </w:rPr>
        <w:t xml:space="preserve">particularly </w:t>
      </w:r>
      <w:r w:rsidR="00EA1410">
        <w:rPr>
          <w:rFonts w:cs="Times New Roman"/>
          <w:szCs w:val="24"/>
        </w:rPr>
        <w:t xml:space="preserve">because it </w:t>
      </w:r>
      <w:r>
        <w:rPr>
          <w:rFonts w:cs="Times New Roman"/>
          <w:szCs w:val="24"/>
        </w:rPr>
        <w:t xml:space="preserve">benefits Dayton-area consumers. Customers will especially benefit from </w:t>
      </w:r>
      <w:r>
        <w:rPr>
          <w:rFonts w:cs="Times New Roman"/>
          <w:szCs w:val="24"/>
        </w:rPr>
        <w:t>the agreement to offset DP&amp;L’s charges to reflect this year’s federal corporate income tax reduction</w:t>
      </w:r>
      <w:r w:rsidR="00EA1410">
        <w:rPr>
          <w:rFonts w:cs="Times New Roman"/>
          <w:szCs w:val="24"/>
        </w:rPr>
        <w:t xml:space="preserve">. </w:t>
      </w:r>
      <w:r w:rsidR="00127238">
        <w:rPr>
          <w:rFonts w:cs="Times New Roman"/>
          <w:szCs w:val="24"/>
        </w:rPr>
        <w:t>In Dayton</w:t>
      </w:r>
      <w:r w:rsidR="00387CD1">
        <w:rPr>
          <w:rFonts w:cs="Times New Roman"/>
          <w:szCs w:val="24"/>
        </w:rPr>
        <w:t>,</w:t>
      </w:r>
      <w:r w:rsidR="00127238">
        <w:rPr>
          <w:rFonts w:cs="Times New Roman"/>
          <w:szCs w:val="24"/>
        </w:rPr>
        <w:t xml:space="preserve"> where consumers are challenged with </w:t>
      </w:r>
      <w:r w:rsidR="005D2E95">
        <w:rPr>
          <w:rFonts w:cs="Times New Roman"/>
          <w:szCs w:val="24"/>
        </w:rPr>
        <w:t>high</w:t>
      </w:r>
      <w:r w:rsidR="00127238">
        <w:rPr>
          <w:rFonts w:cs="Times New Roman"/>
          <w:szCs w:val="24"/>
        </w:rPr>
        <w:t xml:space="preserve"> poverty level</w:t>
      </w:r>
      <w:r w:rsidR="005D2E95">
        <w:rPr>
          <w:rFonts w:cs="Times New Roman"/>
          <w:szCs w:val="24"/>
        </w:rPr>
        <w:t>s</w:t>
      </w:r>
      <w:r w:rsidR="00D20AE3">
        <w:rPr>
          <w:rFonts w:cs="Times New Roman"/>
          <w:szCs w:val="24"/>
        </w:rPr>
        <w:t>,</w:t>
      </w:r>
      <w:r>
        <w:rPr>
          <w:rStyle w:val="FootnoteReference"/>
          <w:rFonts w:cs="Times New Roman"/>
          <w:szCs w:val="24"/>
        </w:rPr>
        <w:footnoteReference w:id="2"/>
      </w:r>
      <w:r w:rsidR="00127238">
        <w:rPr>
          <w:rFonts w:cs="Times New Roman"/>
          <w:szCs w:val="24"/>
        </w:rPr>
        <w:t xml:space="preserve"> t</w:t>
      </w:r>
      <w:r w:rsidR="00387CD1">
        <w:rPr>
          <w:rFonts w:cs="Times New Roman"/>
          <w:szCs w:val="24"/>
        </w:rPr>
        <w:t>his</w:t>
      </w:r>
      <w:r w:rsidR="00127238">
        <w:rPr>
          <w:rFonts w:cs="Times New Roman"/>
          <w:szCs w:val="24"/>
        </w:rPr>
        <w:t xml:space="preserve"> agreement to significantly reduce DP&amp;L’s original proposed rate increase is in the public interest.</w:t>
      </w:r>
    </w:p>
    <w:p w:rsidR="001D547A" w:rsidP="00D20AE3">
      <w:pPr>
        <w:spacing w:after="0" w:line="480" w:lineRule="auto"/>
        <w:ind w:firstLine="720"/>
        <w:rPr>
          <w:rFonts w:cs="Times New Roman"/>
          <w:szCs w:val="24"/>
        </w:rPr>
        <w:sectPr w:rsidSect="009B419A">
          <w:headerReference w:type="default" r:id="rId7"/>
          <w:footerReference w:type="default" r:id="rId8"/>
          <w:pgSz w:w="12240" w:h="15840"/>
          <w:pgMar w:top="1440" w:right="1800" w:bottom="1440" w:left="1800" w:header="720" w:footer="720" w:gutter="0"/>
          <w:pgNumType w:start="1"/>
          <w:cols w:space="720"/>
          <w:docGrid w:linePitch="360"/>
        </w:sectPr>
      </w:pPr>
      <w:r>
        <w:rPr>
          <w:rFonts w:cs="Times New Roman"/>
          <w:szCs w:val="24"/>
        </w:rPr>
        <w:t>The Settlement</w:t>
      </w:r>
      <w:r>
        <w:rPr>
          <w:rStyle w:val="FootnoteReference"/>
          <w:rFonts w:cs="Times New Roman"/>
          <w:szCs w:val="24"/>
        </w:rPr>
        <w:footnoteReference w:id="3"/>
      </w:r>
      <w:r>
        <w:rPr>
          <w:rFonts w:cs="Times New Roman"/>
          <w:szCs w:val="24"/>
        </w:rPr>
        <w:t xml:space="preserve"> is a comprehensive resolution of all issues in this base rate case</w:t>
      </w:r>
      <w:r w:rsidR="000A05C1">
        <w:rPr>
          <w:rFonts w:cs="Times New Roman"/>
          <w:szCs w:val="24"/>
        </w:rPr>
        <w:t xml:space="preserve"> </w:t>
      </w:r>
      <w:r w:rsidR="00D02740">
        <w:rPr>
          <w:rFonts w:cs="Times New Roman"/>
          <w:szCs w:val="24"/>
        </w:rPr>
        <w:t>and satisfies the PUCO’s three-prong test for evaluating settlements</w:t>
      </w:r>
      <w:r>
        <w:rPr>
          <w:rFonts w:cs="Times New Roman"/>
          <w:szCs w:val="24"/>
        </w:rPr>
        <w:t>. Nearly all parties to this case</w:t>
      </w:r>
      <w:r w:rsidR="00D02740">
        <w:rPr>
          <w:rFonts w:cs="Times New Roman"/>
          <w:szCs w:val="24"/>
        </w:rPr>
        <w:t xml:space="preserve"> </w:t>
      </w:r>
      <w:r>
        <w:rPr>
          <w:rFonts w:cs="Times New Roman"/>
          <w:szCs w:val="24"/>
        </w:rPr>
        <w:t xml:space="preserve">either support or do not oppose the Settlement. </w:t>
      </w:r>
    </w:p>
    <w:p w:rsidR="00EA1410" w:rsidP="00EC50A9">
      <w:pPr>
        <w:spacing w:after="0" w:line="480" w:lineRule="auto"/>
        <w:ind w:firstLine="720"/>
        <w:rPr>
          <w:rFonts w:cs="Times New Roman"/>
          <w:szCs w:val="24"/>
        </w:rPr>
      </w:pPr>
      <w:r>
        <w:rPr>
          <w:rFonts w:cs="Times New Roman"/>
          <w:szCs w:val="24"/>
        </w:rPr>
        <w:t>The Settlement was the product of serious bargaining among capable, knowledgeable, and diverse parties.</w:t>
      </w:r>
      <w:r w:rsidR="00D02740">
        <w:rPr>
          <w:rFonts w:cs="Times New Roman"/>
          <w:szCs w:val="24"/>
        </w:rPr>
        <w:t xml:space="preserve"> That diversity includes the utility (DP&amp;L) and the State’s statutory advocate for the utility’s residential consumers</w:t>
      </w:r>
      <w:r w:rsidR="00DD3CB6">
        <w:rPr>
          <w:rFonts w:cs="Times New Roman"/>
          <w:szCs w:val="24"/>
        </w:rPr>
        <w:t xml:space="preserve"> (OCC)</w:t>
      </w:r>
      <w:r w:rsidR="00D02740">
        <w:rPr>
          <w:rFonts w:cs="Times New Roman"/>
          <w:szCs w:val="24"/>
        </w:rPr>
        <w:t>.</w:t>
      </w:r>
      <w:r>
        <w:rPr>
          <w:rFonts w:cs="Times New Roman"/>
          <w:szCs w:val="24"/>
        </w:rPr>
        <w:t xml:space="preserve"> The Settlement benefits customers and the public interest. And the Settlement is consistent with regulatory principles and practices. It passes the PUCO’s three-prong test for settlements. The PUCO should approve it without modification.</w:t>
      </w:r>
    </w:p>
    <w:p w:rsidR="001D547A" w:rsidP="001D547A">
      <w:pPr>
        <w:spacing w:after="0" w:line="240" w:lineRule="auto"/>
        <w:ind w:firstLine="720"/>
        <w:rPr>
          <w:rFonts w:cs="Times New Roman"/>
          <w:szCs w:val="24"/>
        </w:rPr>
      </w:pPr>
    </w:p>
    <w:p w:rsidR="009B419A" w:rsidRPr="0070059A" w:rsidP="001D547A">
      <w:pPr>
        <w:pStyle w:val="Heading2"/>
      </w:pPr>
      <w:bookmarkStart w:id="1" w:name="_Toc496097470"/>
      <w:bookmarkStart w:id="2" w:name="_Toc496786155"/>
      <w:bookmarkStart w:id="3" w:name="_Toc511223215"/>
      <w:bookmarkStart w:id="4" w:name="_Toc522277278"/>
      <w:bookmarkStart w:id="5" w:name="_Toc522278748"/>
      <w:r w:rsidRPr="0070059A">
        <w:t>I.</w:t>
      </w:r>
      <w:r w:rsidRPr="0070059A">
        <w:tab/>
      </w:r>
      <w:bookmarkEnd w:id="1"/>
      <w:bookmarkEnd w:id="2"/>
      <w:bookmarkEnd w:id="3"/>
      <w:r w:rsidR="00B70392">
        <w:t xml:space="preserve">STANDARD OF </w:t>
      </w:r>
      <w:r w:rsidRPr="001D547A" w:rsidR="00B70392">
        <w:t>REVIEW</w:t>
      </w:r>
      <w:bookmarkEnd w:id="4"/>
      <w:bookmarkEnd w:id="5"/>
    </w:p>
    <w:p w:rsidR="00B70392" w:rsidP="00B70392">
      <w:pPr>
        <w:autoSpaceDE w:val="0"/>
        <w:autoSpaceDN w:val="0"/>
        <w:adjustRightInd w:val="0"/>
        <w:spacing w:after="0" w:line="480" w:lineRule="auto"/>
        <w:ind w:firstLine="720"/>
      </w:pPr>
      <w:r>
        <w:t>In PUCO proceedings, the applicant bears the burden of proof.</w:t>
      </w:r>
      <w:r>
        <w:rPr>
          <w:rStyle w:val="FootnoteReference"/>
        </w:rPr>
        <w:footnoteReference w:id="4"/>
      </w:r>
      <w:r>
        <w:t xml:space="preserve"> In the context of a </w:t>
      </w:r>
      <w:r w:rsidR="00EA1410">
        <w:t>stipulation</w:t>
      </w:r>
      <w:r>
        <w:t>, the signatory parties “bear the burden to support the stipulation” and must “demonstrate that the stipulation is reasonable and satisfies the Commission's three-part test.”</w:t>
      </w:r>
      <w:r>
        <w:rPr>
          <w:rStyle w:val="FootnoteReference"/>
        </w:rPr>
        <w:footnoteReference w:id="5"/>
      </w:r>
      <w:r>
        <w:t xml:space="preserve"> A settlement is a recommendation to the PUCO on behalf of the settling parties.</w:t>
      </w:r>
      <w:r>
        <w:rPr>
          <w:rStyle w:val="FootnoteReference"/>
        </w:rPr>
        <w:footnoteReference w:id="6"/>
      </w:r>
      <w:r>
        <w:t xml:space="preserve"> </w:t>
      </w:r>
      <w:r w:rsidR="008F778E">
        <w:t>It</w:t>
      </w:r>
      <w:r>
        <w:t xml:space="preserve"> is not binding on the PUCO,</w:t>
      </w:r>
      <w:r>
        <w:rPr>
          <w:rStyle w:val="FootnoteReference"/>
        </w:rPr>
        <w:footnoteReference w:id="7"/>
      </w:r>
      <w:r>
        <w:t xml:space="preserve"> and ultimately, the PUCO must </w:t>
      </w:r>
      <w:r w:rsidR="008F778E">
        <w:t>“</w:t>
      </w:r>
      <w:r>
        <w:t>determine what is just and reasonable from the evidence presented at the hearing.</w:t>
      </w:r>
      <w:r w:rsidR="008F778E">
        <w:t>”</w:t>
      </w:r>
      <w:r>
        <w:rPr>
          <w:rStyle w:val="FootnoteReference"/>
        </w:rPr>
        <w:footnoteReference w:id="8"/>
      </w:r>
    </w:p>
    <w:p w:rsidR="00B70392" w:rsidRPr="009B66B4" w:rsidP="00B70392">
      <w:pPr>
        <w:autoSpaceDE w:val="0"/>
        <w:autoSpaceDN w:val="0"/>
        <w:adjustRightInd w:val="0"/>
        <w:spacing w:after="0" w:line="480" w:lineRule="auto"/>
        <w:ind w:firstLine="720"/>
      </w:pPr>
      <w:r>
        <w:t xml:space="preserve">In evaluating settlements, the ultimate issue for the PUCO's consideration is whether the agreement </w:t>
      </w:r>
      <w:r w:rsidR="008F778E">
        <w:t>“</w:t>
      </w:r>
      <w:r>
        <w:t>is reasonable and should be adopted.</w:t>
      </w:r>
      <w:r w:rsidR="008F778E">
        <w:t>”</w:t>
      </w:r>
      <w:r>
        <w:rPr>
          <w:rStyle w:val="FootnoteReference"/>
        </w:rPr>
        <w:footnoteReference w:id="9"/>
      </w:r>
      <w:r>
        <w:t xml:space="preserve"> In answering this question, the PUCO has adopted the following three-prong test:</w:t>
      </w:r>
      <w:r>
        <w:rPr>
          <w:vertAlign w:val="superscript"/>
        </w:rPr>
        <w:footnoteReference w:id="10"/>
      </w:r>
    </w:p>
    <w:p w:rsidR="00B70392" w:rsidRPr="00752251" w:rsidP="008277B2">
      <w:pPr>
        <w:numPr>
          <w:ilvl w:val="0"/>
          <w:numId w:val="13"/>
        </w:numPr>
        <w:autoSpaceDE w:val="0"/>
        <w:autoSpaceDN w:val="0"/>
        <w:adjustRightInd w:val="0"/>
        <w:spacing w:after="240" w:line="240" w:lineRule="auto"/>
        <w:ind w:left="1440" w:hanging="720"/>
        <w:rPr>
          <w:szCs w:val="24"/>
        </w:rPr>
      </w:pPr>
      <w:r w:rsidRPr="00752251">
        <w:rPr>
          <w:szCs w:val="24"/>
        </w:rPr>
        <w:t>Is the settlement a product of serious bargaining among capable, knowledgeable parties?</w:t>
      </w:r>
    </w:p>
    <w:p w:rsidR="00B70392" w:rsidRPr="00752251" w:rsidP="008277B2">
      <w:pPr>
        <w:numPr>
          <w:ilvl w:val="0"/>
          <w:numId w:val="13"/>
        </w:numPr>
        <w:autoSpaceDE w:val="0"/>
        <w:autoSpaceDN w:val="0"/>
        <w:adjustRightInd w:val="0"/>
        <w:spacing w:after="240" w:line="240" w:lineRule="auto"/>
        <w:ind w:left="1440" w:hanging="720"/>
        <w:rPr>
          <w:szCs w:val="24"/>
        </w:rPr>
      </w:pPr>
      <w:r w:rsidRPr="00752251">
        <w:rPr>
          <w:szCs w:val="24"/>
        </w:rPr>
        <w:t xml:space="preserve">Does the settlement, as a package, benefit </w:t>
      </w:r>
      <w:r>
        <w:rPr>
          <w:szCs w:val="24"/>
        </w:rPr>
        <w:t>customers</w:t>
      </w:r>
      <w:r w:rsidRPr="00752251">
        <w:rPr>
          <w:szCs w:val="24"/>
        </w:rPr>
        <w:t xml:space="preserve"> and the public interest?</w:t>
      </w:r>
    </w:p>
    <w:p w:rsidR="00B70392" w:rsidRPr="00314CCD" w:rsidP="008277B2">
      <w:pPr>
        <w:numPr>
          <w:ilvl w:val="0"/>
          <w:numId w:val="13"/>
        </w:numPr>
        <w:spacing w:after="240" w:line="240" w:lineRule="auto"/>
        <w:ind w:left="1440" w:hanging="720"/>
      </w:pPr>
      <w:r w:rsidRPr="00752251">
        <w:rPr>
          <w:szCs w:val="24"/>
        </w:rPr>
        <w:t>Does the settlement violate any important regulatory principle or practice?</w:t>
      </w:r>
    </w:p>
    <w:p w:rsidR="00314CCD" w:rsidP="00314CCD">
      <w:pPr>
        <w:spacing w:after="0" w:line="480" w:lineRule="auto"/>
        <w:ind w:firstLine="720"/>
      </w:pPr>
      <w:r>
        <w:t xml:space="preserve">In considering the first prong, the PUCO </w:t>
      </w:r>
      <w:r w:rsidR="00C7232D">
        <w:t>evaluates the</w:t>
      </w:r>
      <w:r>
        <w:t xml:space="preserve"> diversity of the signatory parties, though </w:t>
      </w:r>
      <w:r w:rsidR="00EA3CD6">
        <w:t xml:space="preserve">no </w:t>
      </w:r>
      <w:r w:rsidR="006C6D52">
        <w:t>threshold</w:t>
      </w:r>
      <w:r w:rsidR="00EA3CD6">
        <w:t xml:space="preserve"> level of </w:t>
      </w:r>
      <w:r w:rsidR="00C7232D">
        <w:t xml:space="preserve">diversity is </w:t>
      </w:r>
      <w:r w:rsidR="006C6D52">
        <w:t>mandatory</w:t>
      </w:r>
      <w:r w:rsidR="00C7232D">
        <w:t xml:space="preserve"> for approval</w:t>
      </w:r>
      <w:r>
        <w:t>.</w:t>
      </w:r>
      <w:r>
        <w:rPr>
          <w:rStyle w:val="FootnoteReference"/>
        </w:rPr>
        <w:footnoteReference w:id="11"/>
      </w:r>
    </w:p>
    <w:p w:rsidR="001D547A" w:rsidP="001D547A">
      <w:pPr>
        <w:spacing w:after="0" w:line="240" w:lineRule="auto"/>
        <w:ind w:firstLine="720"/>
      </w:pPr>
    </w:p>
    <w:p w:rsidR="00B70392" w:rsidRPr="00394858" w:rsidP="001D547A">
      <w:pPr>
        <w:pStyle w:val="Heading2"/>
      </w:pPr>
      <w:bookmarkStart w:id="6" w:name="_Toc522277279"/>
      <w:bookmarkStart w:id="7" w:name="_Toc522278749"/>
      <w:r>
        <w:t>II.</w:t>
      </w:r>
      <w:r>
        <w:tab/>
        <w:t>RECOMMENDATIONS</w:t>
      </w:r>
      <w:bookmarkEnd w:id="6"/>
      <w:bookmarkEnd w:id="7"/>
    </w:p>
    <w:p w:rsidR="00394858" w:rsidP="00394858">
      <w:pPr>
        <w:spacing w:after="0" w:line="480" w:lineRule="auto"/>
        <w:ind w:firstLine="720"/>
      </w:pPr>
      <w:r>
        <w:t>The PUCO should approve the Settlement</w:t>
      </w:r>
      <w:r w:rsidR="001D3E74">
        <w:t>.</w:t>
      </w:r>
      <w:r>
        <w:t xml:space="preserve"> </w:t>
      </w:r>
      <w:r w:rsidR="001D3E74">
        <w:t>I</w:t>
      </w:r>
      <w:r>
        <w:t>t satisfies the PUCO’s three-prong test.</w:t>
      </w:r>
    </w:p>
    <w:p w:rsidR="00394858" w:rsidRPr="00394858" w:rsidP="008277B2">
      <w:pPr>
        <w:pStyle w:val="Heading3"/>
      </w:pPr>
      <w:bookmarkStart w:id="8" w:name="_Toc522278750"/>
      <w:r w:rsidRPr="00394858">
        <w:t>A.</w:t>
      </w:r>
      <w:r>
        <w:tab/>
        <w:t>The Settlement is the product of serious bargaining among capable, knowledgeable parties.</w:t>
      </w:r>
      <w:bookmarkEnd w:id="8"/>
    </w:p>
    <w:p w:rsidR="006228C8" w:rsidP="001D3E74">
      <w:pPr>
        <w:spacing w:after="0" w:line="480" w:lineRule="auto"/>
        <w:ind w:firstLine="720"/>
      </w:pPr>
      <w:r>
        <w:t xml:space="preserve">No party </w:t>
      </w:r>
      <w:r w:rsidR="00EB29D5">
        <w:t>introduced</w:t>
      </w:r>
      <w:r>
        <w:t xml:space="preserve"> evidence suggesting</w:t>
      </w:r>
      <w:r w:rsidR="00394858">
        <w:t xml:space="preserve"> that the Settlement </w:t>
      </w:r>
      <w:r>
        <w:t>violates</w:t>
      </w:r>
      <w:r w:rsidR="00394858">
        <w:t xml:space="preserve"> the first prong of the PUCO’s three-prong test. </w:t>
      </w:r>
      <w:r w:rsidR="001D3E74">
        <w:t>OCC witness Willis testified that</w:t>
      </w:r>
      <w:r w:rsidR="00EB29D5">
        <w:t xml:space="preserve"> the first prong of the test is met. He stated that</w:t>
      </w:r>
      <w:r w:rsidR="001D3E74">
        <w:t xml:space="preserve"> (i) the parties to this proceeding have participated in numerous proceedings before the PUCO, (ii) the signatory parties were represented by experienced and competent counsel, (iii) the parties are diverse,</w:t>
      </w:r>
      <w:r>
        <w:rPr>
          <w:rStyle w:val="FootnoteReference"/>
        </w:rPr>
        <w:footnoteReference w:id="12"/>
      </w:r>
      <w:r w:rsidR="001D3E74">
        <w:t xml:space="preserve"> (iv) the parties participated in negotiations that required numerous meetings for many hours, and (v) the settlement negotiations resulted in concessions.</w:t>
      </w:r>
      <w:r>
        <w:rPr>
          <w:rStyle w:val="FootnoteReference"/>
        </w:rPr>
        <w:footnoteReference w:id="13"/>
      </w:r>
      <w:r w:rsidR="00956814">
        <w:t xml:space="preserve"> Mr. Willis</w:t>
      </w:r>
      <w:r w:rsidR="00E25AA8">
        <w:t xml:space="preserve"> noted the diversity brought </w:t>
      </w:r>
      <w:r w:rsidR="00241857">
        <w:t xml:space="preserve">to the Settlement </w:t>
      </w:r>
      <w:r w:rsidR="00E25AA8">
        <w:t>by OCC</w:t>
      </w:r>
      <w:r w:rsidR="00D20AE3">
        <w:t>,</w:t>
      </w:r>
      <w:r w:rsidR="00E25AA8">
        <w:t xml:space="preserve"> </w:t>
      </w:r>
      <w:r w:rsidR="00134321">
        <w:t xml:space="preserve">“which represents DP&amp;L’s 460,000 residential </w:t>
      </w:r>
      <w:r w:rsidR="00660A46">
        <w:t>consumers</w:t>
      </w:r>
      <w:r w:rsidR="00134321">
        <w:t>.”</w:t>
      </w:r>
      <w:r>
        <w:rPr>
          <w:rStyle w:val="FootnoteReference"/>
        </w:rPr>
        <w:footnoteReference w:id="14"/>
      </w:r>
    </w:p>
    <w:p w:rsidR="00394858" w:rsidP="006228C8">
      <w:pPr>
        <w:spacing w:after="0" w:line="480" w:lineRule="auto"/>
        <w:ind w:firstLine="720"/>
      </w:pPr>
      <w:r>
        <w:t>DP&amp;L witness Schroder</w:t>
      </w:r>
      <w:r w:rsidR="006228C8">
        <w:t xml:space="preserve"> similarly</w:t>
      </w:r>
      <w:r>
        <w:t xml:space="preserve"> testified that the Settlement </w:t>
      </w:r>
      <w:r w:rsidR="006228C8">
        <w:t>me</w:t>
      </w:r>
      <w:r w:rsidR="00DD3CB6">
        <w:t>e</w:t>
      </w:r>
      <w:r w:rsidR="006228C8">
        <w:t>t</w:t>
      </w:r>
      <w:r w:rsidR="00DD3CB6">
        <w:t>s</w:t>
      </w:r>
      <w:r w:rsidR="006228C8">
        <w:t xml:space="preserve"> the first prong of the PUCO’s settlement test. H</w:t>
      </w:r>
      <w:r w:rsidR="00DD3CB6">
        <w:t>er</w:t>
      </w:r>
      <w:r w:rsidR="006228C8">
        <w:t xml:space="preserve"> testimony included that </w:t>
      </w:r>
      <w:r w:rsidR="00314CCD">
        <w:t>the parties to the Settlement represent a “wide spectrum of diverse interests.”</w:t>
      </w:r>
      <w:r>
        <w:rPr>
          <w:rStyle w:val="FootnoteReference"/>
        </w:rPr>
        <w:footnoteReference w:id="15"/>
      </w:r>
    </w:p>
    <w:p w:rsidR="00314CCD" w:rsidP="00B70392">
      <w:pPr>
        <w:spacing w:after="0" w:line="480" w:lineRule="auto"/>
        <w:ind w:firstLine="720"/>
      </w:pPr>
      <w:r>
        <w:t>Witnesses for</w:t>
      </w:r>
      <w:r w:rsidR="008142EC">
        <w:t xml:space="preserve"> energy marketers</w:t>
      </w:r>
      <w:r>
        <w:t xml:space="preserve"> </w:t>
      </w:r>
      <w:r w:rsidR="00245D98">
        <w:t xml:space="preserve">RESA and IGS—the only parties opposing the Settlement—said nothing about the first prong. </w:t>
      </w:r>
      <w:r w:rsidR="00EA3CD6">
        <w:t>And neither Ms. Schroder nor Mr. Willis were cross-examined regarding the first prong.</w:t>
      </w:r>
      <w:r>
        <w:rPr>
          <w:rStyle w:val="FootnoteReference"/>
        </w:rPr>
        <w:footnoteReference w:id="16"/>
      </w:r>
      <w:r w:rsidR="00EA3CD6">
        <w:t xml:space="preserve"> </w:t>
      </w:r>
      <w:r w:rsidR="00245D98">
        <w:t>Thus, the testimony of DP&amp;L witness Schroder and OCC witness Willis is unrebutted, and the PUCO should find that the Settlement meets the first prong of the PUCO’s test.</w:t>
      </w:r>
    </w:p>
    <w:p w:rsidR="00B70392" w:rsidP="008277B2">
      <w:pPr>
        <w:pStyle w:val="Heading3"/>
      </w:pPr>
      <w:bookmarkStart w:id="9" w:name="_Toc522278751"/>
      <w:r>
        <w:t>B.</w:t>
      </w:r>
      <w:r>
        <w:tab/>
        <w:t>The Settlement benefits customers and the public interest.</w:t>
      </w:r>
      <w:bookmarkEnd w:id="9"/>
    </w:p>
    <w:p w:rsidR="00EA3CD6" w:rsidRPr="00D20AE3" w:rsidP="006C6D52">
      <w:pPr>
        <w:keepNext/>
        <w:keepLines/>
        <w:spacing w:after="0" w:line="480" w:lineRule="auto"/>
        <w:ind w:firstLine="720"/>
        <w:rPr>
          <w:rFonts w:cs="Times New Roman"/>
          <w:szCs w:val="24"/>
        </w:rPr>
      </w:pPr>
      <w:r>
        <w:t>OCC witn</w:t>
      </w:r>
      <w:r w:rsidRPr="00D20AE3">
        <w:rPr>
          <w:rFonts w:cs="Times New Roman"/>
          <w:szCs w:val="24"/>
        </w:rPr>
        <w:t>ess Ross Willis described the</w:t>
      </w:r>
      <w:r w:rsidRPr="00D20AE3" w:rsidR="00240AD7">
        <w:rPr>
          <w:rFonts w:cs="Times New Roman"/>
          <w:szCs w:val="24"/>
        </w:rPr>
        <w:t xml:space="preserve"> numerous benefits to customers</w:t>
      </w:r>
      <w:r w:rsidRPr="00D20AE3">
        <w:rPr>
          <w:rFonts w:cs="Times New Roman"/>
          <w:szCs w:val="24"/>
        </w:rPr>
        <w:t xml:space="preserve"> under the Settlement</w:t>
      </w:r>
      <w:r w:rsidRPr="00D20AE3" w:rsidR="00240AD7">
        <w:rPr>
          <w:rFonts w:cs="Times New Roman"/>
          <w:szCs w:val="24"/>
        </w:rPr>
        <w:t>:</w:t>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w:t>
      </w:r>
      <w:r w:rsidRPr="00D20AE3" w:rsidR="00240AD7">
        <w:rPr>
          <w:rFonts w:ascii="Times New Roman" w:hAnsi="Times New Roman" w:cs="Times New Roman"/>
          <w:sz w:val="24"/>
          <w:szCs w:val="24"/>
        </w:rPr>
        <w:t xml:space="preserve">The annual increase to the base distribution revenue requirement that customers </w:t>
      </w:r>
      <w:r w:rsidRPr="00D20AE3">
        <w:rPr>
          <w:rFonts w:ascii="Times New Roman" w:hAnsi="Times New Roman" w:cs="Times New Roman"/>
          <w:sz w:val="24"/>
          <w:szCs w:val="24"/>
        </w:rPr>
        <w:t xml:space="preserve">will </w:t>
      </w:r>
      <w:r w:rsidRPr="00D20AE3" w:rsidR="00240AD7">
        <w:rPr>
          <w:rFonts w:ascii="Times New Roman" w:hAnsi="Times New Roman" w:cs="Times New Roman"/>
          <w:sz w:val="24"/>
          <w:szCs w:val="24"/>
        </w:rPr>
        <w:t>pay is reduced from DP&amp;L’s proposed $65.8 million increase to a $29.7 million increase.</w:t>
      </w:r>
      <w:r w:rsidRPr="00D20AE3">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w:t>
      </w:r>
      <w:r w:rsidRPr="00D20AE3" w:rsidR="00240AD7">
        <w:rPr>
          <w:rFonts w:ascii="Times New Roman" w:hAnsi="Times New Roman" w:cs="Times New Roman"/>
          <w:sz w:val="24"/>
          <w:szCs w:val="24"/>
        </w:rPr>
        <w:t xml:space="preserve">DP&amp;L’s new base rates to be charged to customers will reflect a reduction in its federal income tax expense </w:t>
      </w:r>
      <w:r w:rsidRPr="00D20AE3">
        <w:rPr>
          <w:rFonts w:ascii="Times New Roman" w:hAnsi="Times New Roman" w:cs="Times New Roman"/>
          <w:sz w:val="24"/>
          <w:szCs w:val="24"/>
        </w:rPr>
        <w:t xml:space="preserve">to recognize the lowering of the federal income tax rate </w:t>
      </w:r>
      <w:r w:rsidRPr="00D20AE3" w:rsidR="00240AD7">
        <w:rPr>
          <w:rFonts w:ascii="Times New Roman" w:hAnsi="Times New Roman" w:cs="Times New Roman"/>
          <w:sz w:val="24"/>
          <w:szCs w:val="24"/>
        </w:rPr>
        <w:t>from 35% to 21%</w:t>
      </w:r>
      <w:r w:rsidRPr="00D20AE3">
        <w:rPr>
          <w:rFonts w:ascii="Times New Roman" w:hAnsi="Times New Roman" w:cs="Times New Roman"/>
          <w:sz w:val="24"/>
          <w:szCs w:val="24"/>
        </w:rPr>
        <w:t>”</w:t>
      </w:r>
      <w:r w:rsidRPr="00D20AE3" w:rsidR="0033159F">
        <w:rPr>
          <w:rFonts w:ascii="Times New Roman" w:hAnsi="Times New Roman" w:cs="Times New Roman"/>
          <w:sz w:val="24"/>
          <w:szCs w:val="24"/>
        </w:rPr>
        <w:t xml:space="preserve"> resulting from the Tax Cut and Jobs Act (“TCJA”</w:t>
      </w:r>
      <w:r w:rsidRPr="00D20AE3" w:rsidR="00AF7EDF">
        <w:rPr>
          <w:rFonts w:ascii="Times New Roman" w:hAnsi="Times New Roman" w:cs="Times New Roman"/>
          <w:sz w:val="24"/>
          <w:szCs w:val="24"/>
        </w:rPr>
        <w:t xml:space="preserve"> or “federal tax cut”</w:t>
      </w:r>
      <w:r w:rsidRPr="00D20AE3" w:rsidR="0033159F">
        <w:rPr>
          <w:rFonts w:ascii="Times New Roman" w:hAnsi="Times New Roman" w:cs="Times New Roman"/>
          <w:sz w:val="24"/>
          <w:szCs w:val="24"/>
        </w:rPr>
        <w:t>) effective January 1, 2018</w:t>
      </w:r>
      <w:r w:rsidRPr="00D20AE3" w:rsidR="00240AD7">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w:t>
      </w:r>
      <w:r w:rsidRPr="00D20AE3" w:rsidR="00240AD7">
        <w:rPr>
          <w:rFonts w:ascii="Times New Roman" w:hAnsi="Times New Roman" w:cs="Times New Roman"/>
          <w:sz w:val="24"/>
          <w:szCs w:val="24"/>
        </w:rPr>
        <w:t xml:space="preserve">The gross revenue conversion factor reflects the </w:t>
      </w:r>
      <w:r w:rsidRPr="00D20AE3">
        <w:rPr>
          <w:rFonts w:ascii="Times New Roman" w:hAnsi="Times New Roman" w:cs="Times New Roman"/>
          <w:sz w:val="24"/>
          <w:szCs w:val="24"/>
        </w:rPr>
        <w:t xml:space="preserve">lowering </w:t>
      </w:r>
      <w:r w:rsidRPr="00D20AE3" w:rsidR="00240AD7">
        <w:rPr>
          <w:rFonts w:ascii="Times New Roman" w:hAnsi="Times New Roman" w:cs="Times New Roman"/>
          <w:sz w:val="24"/>
          <w:szCs w:val="24"/>
        </w:rPr>
        <w:t>of the federal income tax rate from 35% to 21%, which reduces the base distribution rates charged to customers.</w:t>
      </w:r>
      <w:r w:rsidRPr="00D20AE3">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w:t>
      </w:r>
      <w:r w:rsidRPr="00D20AE3" w:rsidR="00240AD7">
        <w:rPr>
          <w:rFonts w:ascii="Times New Roman" w:hAnsi="Times New Roman" w:cs="Times New Roman"/>
          <w:sz w:val="24"/>
          <w:szCs w:val="24"/>
        </w:rPr>
        <w:t>DP&amp;L will promptly return to customers all excess accumulated deferred income taxes (</w:t>
      </w:r>
      <w:r>
        <w:rPr>
          <w:rFonts w:ascii="Times New Roman" w:hAnsi="Times New Roman" w:cs="Times New Roman"/>
          <w:sz w:val="24"/>
          <w:szCs w:val="24"/>
        </w:rPr>
        <w:t>‘</w:t>
      </w:r>
      <w:r w:rsidRPr="00D20AE3" w:rsidR="00240AD7">
        <w:rPr>
          <w:rFonts w:ascii="Times New Roman" w:hAnsi="Times New Roman" w:cs="Times New Roman"/>
          <w:sz w:val="24"/>
          <w:szCs w:val="24"/>
        </w:rPr>
        <w:t>ADIT</w:t>
      </w:r>
      <w:r>
        <w:rPr>
          <w:rFonts w:ascii="Times New Roman" w:hAnsi="Times New Roman" w:cs="Times New Roman"/>
          <w:sz w:val="24"/>
          <w:szCs w:val="24"/>
        </w:rPr>
        <w:t>’</w:t>
      </w:r>
      <w:r w:rsidRPr="00D20AE3" w:rsidR="00240AD7">
        <w:rPr>
          <w:rFonts w:ascii="Times New Roman" w:hAnsi="Times New Roman" w:cs="Times New Roman"/>
          <w:sz w:val="24"/>
          <w:szCs w:val="24"/>
        </w:rPr>
        <w:t xml:space="preserve">) resulting from </w:t>
      </w:r>
      <w:r w:rsidRPr="00D20AE3">
        <w:rPr>
          <w:rFonts w:ascii="Times New Roman" w:hAnsi="Times New Roman" w:cs="Times New Roman"/>
          <w:sz w:val="24"/>
          <w:szCs w:val="24"/>
        </w:rPr>
        <w:t xml:space="preserve">the Tax Cuts and Jobs Act </w:t>
      </w:r>
      <w:r>
        <w:rPr>
          <w:rFonts w:ascii="Times New Roman" w:hAnsi="Times New Roman" w:cs="Times New Roman"/>
          <w:sz w:val="24"/>
          <w:szCs w:val="24"/>
        </w:rPr>
        <w:t xml:space="preserve">[] </w:t>
      </w:r>
      <w:r w:rsidRPr="00D20AE3" w:rsidR="00240AD7">
        <w:rPr>
          <w:rFonts w:ascii="Times New Roman" w:hAnsi="Times New Roman" w:cs="Times New Roman"/>
          <w:sz w:val="24"/>
          <w:szCs w:val="24"/>
        </w:rPr>
        <w:t xml:space="preserve">and the full balance of the regulatory liability ordered by the PUCO effective January 1, 2018 in Case No. 18-47-AU-COI (the </w:t>
      </w:r>
      <w:r>
        <w:rPr>
          <w:rFonts w:ascii="Times New Roman" w:hAnsi="Times New Roman" w:cs="Times New Roman"/>
          <w:sz w:val="24"/>
          <w:szCs w:val="24"/>
        </w:rPr>
        <w:t>‘</w:t>
      </w:r>
      <w:r w:rsidRPr="00D20AE3" w:rsidR="00240AD7">
        <w:rPr>
          <w:rFonts w:ascii="Times New Roman" w:hAnsi="Times New Roman" w:cs="Times New Roman"/>
          <w:sz w:val="24"/>
          <w:szCs w:val="24"/>
        </w:rPr>
        <w:t>Tax Investigation Case</w:t>
      </w:r>
      <w:r>
        <w:rPr>
          <w:rFonts w:ascii="Times New Roman" w:hAnsi="Times New Roman" w:cs="Times New Roman"/>
          <w:sz w:val="24"/>
          <w:szCs w:val="24"/>
        </w:rPr>
        <w:t>’</w:t>
      </w:r>
      <w:r w:rsidRPr="00D20AE3" w:rsidR="00240AD7">
        <w:rPr>
          <w:rFonts w:ascii="Times New Roman" w:hAnsi="Times New Roman" w:cs="Times New Roman"/>
          <w:sz w:val="24"/>
          <w:szCs w:val="24"/>
        </w:rPr>
        <w:t>).</w:t>
      </w:r>
      <w:r w:rsidRPr="00D20AE3">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w:t>
      </w:r>
      <w:r w:rsidRPr="00D20AE3" w:rsidR="00240AD7">
        <w:rPr>
          <w:rFonts w:ascii="Times New Roman" w:hAnsi="Times New Roman" w:cs="Times New Roman"/>
          <w:sz w:val="24"/>
          <w:szCs w:val="24"/>
        </w:rPr>
        <w:t xml:space="preserve">Regarding the eligible unprotected portion of the excess ADIT </w:t>
      </w:r>
      <w:r w:rsidRPr="00D20AE3">
        <w:rPr>
          <w:rFonts w:ascii="Times New Roman" w:hAnsi="Times New Roman" w:cs="Times New Roman"/>
          <w:sz w:val="24"/>
          <w:szCs w:val="24"/>
        </w:rPr>
        <w:t xml:space="preserve">[] </w:t>
      </w:r>
      <w:r w:rsidRPr="00D20AE3" w:rsidR="00240AD7">
        <w:rPr>
          <w:rFonts w:ascii="Times New Roman" w:hAnsi="Times New Roman" w:cs="Times New Roman"/>
          <w:sz w:val="24"/>
          <w:szCs w:val="24"/>
        </w:rPr>
        <w:t>and the regulatory liability relating to the January 10, 2018 PUCO Order in the Tax Investigation Case, customers will receive a minimum $20 million in tax savings over five years, with the remainder (if any) to be returned over the next five years</w:t>
      </w:r>
      <w:r w:rsidRPr="00D20AE3">
        <w:rPr>
          <w:rFonts w:ascii="Times New Roman" w:hAnsi="Times New Roman" w:cs="Times New Roman"/>
          <w:sz w:val="24"/>
          <w:szCs w:val="24"/>
        </w:rPr>
        <w:t xml:space="preserve"> which reduces the base distribution rates charged to consumers</w:t>
      </w:r>
      <w:r w:rsidRPr="00D20AE3" w:rsidR="00240AD7">
        <w:rPr>
          <w:rFonts w:ascii="Times New Roman" w:hAnsi="Times New Roman" w:cs="Times New Roman"/>
          <w:sz w:val="24"/>
          <w:szCs w:val="24"/>
        </w:rPr>
        <w:t>.</w:t>
      </w:r>
      <w:r w:rsidRPr="00D20AE3">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w:t>
      </w:r>
      <w:r w:rsidRPr="00D20AE3" w:rsidR="00240AD7">
        <w:rPr>
          <w:rFonts w:ascii="Times New Roman" w:hAnsi="Times New Roman" w:cs="Times New Roman"/>
          <w:sz w:val="24"/>
          <w:szCs w:val="24"/>
        </w:rPr>
        <w:t>The distribution-related eligible protected excess ADIT will be returned to customers consistent with federal law.</w:t>
      </w:r>
      <w:r w:rsidRPr="00D20AE3">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 xml:space="preserve">The Settlement prohibits DP&amp;L from </w:t>
      </w:r>
      <w:r w:rsidRPr="00D20AE3" w:rsidR="000A7C65">
        <w:rPr>
          <w:rFonts w:ascii="Times New Roman" w:hAnsi="Times New Roman" w:cs="Times New Roman"/>
          <w:sz w:val="24"/>
          <w:szCs w:val="24"/>
        </w:rPr>
        <w:t xml:space="preserve">opposing the return of tax savings to customers </w:t>
      </w:r>
      <w:r w:rsidRPr="00D20AE3">
        <w:rPr>
          <w:rFonts w:ascii="Times New Roman" w:hAnsi="Times New Roman" w:cs="Times New Roman"/>
          <w:sz w:val="24"/>
          <w:szCs w:val="24"/>
        </w:rPr>
        <w:t xml:space="preserve">in the PUCO’s </w:t>
      </w:r>
      <w:r w:rsidRPr="00D20AE3" w:rsidR="006C6D52">
        <w:rPr>
          <w:rFonts w:ascii="Times New Roman" w:hAnsi="Times New Roman" w:cs="Times New Roman"/>
          <w:sz w:val="24"/>
          <w:szCs w:val="24"/>
        </w:rPr>
        <w:t>T</w:t>
      </w:r>
      <w:r w:rsidRPr="00D20AE3">
        <w:rPr>
          <w:rFonts w:ascii="Times New Roman" w:hAnsi="Times New Roman" w:cs="Times New Roman"/>
          <w:sz w:val="24"/>
          <w:szCs w:val="24"/>
        </w:rPr>
        <w:t xml:space="preserve">ax </w:t>
      </w:r>
      <w:r w:rsidRPr="00D20AE3" w:rsidR="006C6D52">
        <w:rPr>
          <w:rFonts w:ascii="Times New Roman" w:hAnsi="Times New Roman" w:cs="Times New Roman"/>
          <w:sz w:val="24"/>
          <w:szCs w:val="24"/>
        </w:rPr>
        <w:t>I</w:t>
      </w:r>
      <w:r w:rsidRPr="00D20AE3">
        <w:rPr>
          <w:rFonts w:ascii="Times New Roman" w:hAnsi="Times New Roman" w:cs="Times New Roman"/>
          <w:sz w:val="24"/>
          <w:szCs w:val="24"/>
        </w:rPr>
        <w:t xml:space="preserve">nvestigation </w:t>
      </w:r>
      <w:r w:rsidRPr="00D20AE3" w:rsidR="006C6D52">
        <w:rPr>
          <w:rFonts w:ascii="Times New Roman" w:hAnsi="Times New Roman" w:cs="Times New Roman"/>
          <w:sz w:val="24"/>
          <w:szCs w:val="24"/>
        </w:rPr>
        <w:t>C</w:t>
      </w:r>
      <w:r w:rsidRPr="00D20AE3">
        <w:rPr>
          <w:rFonts w:ascii="Times New Roman" w:hAnsi="Times New Roman" w:cs="Times New Roman"/>
          <w:sz w:val="24"/>
          <w:szCs w:val="24"/>
        </w:rPr>
        <w:t>ase and in other proceed</w:t>
      </w:r>
      <w:r w:rsidRPr="00D20AE3" w:rsidR="006C6D52">
        <w:rPr>
          <w:rFonts w:ascii="Times New Roman" w:hAnsi="Times New Roman" w:cs="Times New Roman"/>
          <w:sz w:val="24"/>
          <w:szCs w:val="24"/>
        </w:rPr>
        <w:t>ing</w:t>
      </w:r>
      <w:r w:rsidRPr="00D20AE3">
        <w:rPr>
          <w:rFonts w:ascii="Times New Roman" w:hAnsi="Times New Roman" w:cs="Times New Roman"/>
          <w:sz w:val="24"/>
          <w:szCs w:val="24"/>
        </w:rPr>
        <w:t>s.</w:t>
      </w:r>
      <w:r>
        <w:rPr>
          <w:rStyle w:val="FootnoteReference"/>
          <w:rFonts w:ascii="Times New Roman" w:hAnsi="Times New Roman" w:cs="Times New Roman"/>
          <w:sz w:val="24"/>
          <w:szCs w:val="24"/>
        </w:rPr>
        <w:footnoteReference w:id="23"/>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The Settlement</w:t>
      </w:r>
      <w:r w:rsidRPr="00D20AE3" w:rsidR="00F136CD">
        <w:rPr>
          <w:rFonts w:ascii="Times New Roman" w:hAnsi="Times New Roman" w:cs="Times New Roman"/>
          <w:sz w:val="24"/>
          <w:szCs w:val="24"/>
        </w:rPr>
        <w:t xml:space="preserve"> includes a 7.27% rate of return. This is </w:t>
      </w:r>
      <w:r>
        <w:rPr>
          <w:rFonts w:ascii="Times New Roman" w:hAnsi="Times New Roman" w:cs="Times New Roman"/>
          <w:sz w:val="24"/>
          <w:szCs w:val="24"/>
        </w:rPr>
        <w:t>lower</w:t>
      </w:r>
      <w:r w:rsidRPr="00D20AE3" w:rsidR="00F136CD">
        <w:rPr>
          <w:rFonts w:ascii="Times New Roman" w:hAnsi="Times New Roman" w:cs="Times New Roman"/>
          <w:sz w:val="24"/>
          <w:szCs w:val="24"/>
        </w:rPr>
        <w:t xml:space="preserve"> than </w:t>
      </w:r>
      <w:r w:rsidRPr="00D20AE3" w:rsidR="00A8479D">
        <w:rPr>
          <w:rFonts w:ascii="Times New Roman" w:hAnsi="Times New Roman" w:cs="Times New Roman"/>
          <w:sz w:val="24"/>
          <w:szCs w:val="24"/>
        </w:rPr>
        <w:t xml:space="preserve">the </w:t>
      </w:r>
      <w:r w:rsidRPr="00D20AE3" w:rsidR="00F136CD">
        <w:rPr>
          <w:rFonts w:ascii="Times New Roman" w:hAnsi="Times New Roman" w:cs="Times New Roman"/>
          <w:sz w:val="24"/>
          <w:szCs w:val="24"/>
        </w:rPr>
        <w:t xml:space="preserve">7.86% rate of return </w:t>
      </w:r>
      <w:r w:rsidRPr="00D20AE3" w:rsidR="00A8479D">
        <w:rPr>
          <w:rFonts w:ascii="Times New Roman" w:hAnsi="Times New Roman" w:cs="Times New Roman"/>
          <w:sz w:val="24"/>
          <w:szCs w:val="24"/>
        </w:rPr>
        <w:t xml:space="preserve">that DP&amp;L </w:t>
      </w:r>
      <w:r w:rsidRPr="00D20AE3" w:rsidR="006628EC">
        <w:rPr>
          <w:rFonts w:ascii="Times New Roman" w:hAnsi="Times New Roman" w:cs="Times New Roman"/>
          <w:sz w:val="24"/>
          <w:szCs w:val="24"/>
        </w:rPr>
        <w:t xml:space="preserve">proposed </w:t>
      </w:r>
      <w:r w:rsidRPr="00D20AE3" w:rsidR="00F136CD">
        <w:rPr>
          <w:rFonts w:ascii="Times New Roman" w:hAnsi="Times New Roman" w:cs="Times New Roman"/>
          <w:sz w:val="24"/>
          <w:szCs w:val="24"/>
        </w:rPr>
        <w:t>in its application</w:t>
      </w:r>
      <w:r w:rsidRPr="00D20AE3" w:rsidR="006628EC">
        <w:rPr>
          <w:rFonts w:ascii="Times New Roman" w:hAnsi="Times New Roman" w:cs="Times New Roman"/>
          <w:sz w:val="24"/>
          <w:szCs w:val="24"/>
        </w:rPr>
        <w:t xml:space="preserve">. </w:t>
      </w:r>
      <w:r>
        <w:rPr>
          <w:rFonts w:ascii="Times New Roman" w:hAnsi="Times New Roman" w:cs="Times New Roman"/>
          <w:sz w:val="24"/>
          <w:szCs w:val="24"/>
        </w:rPr>
        <w:t>It</w:t>
      </w:r>
      <w:r w:rsidRPr="00D20AE3" w:rsidR="006628EC">
        <w:rPr>
          <w:rFonts w:ascii="Times New Roman" w:hAnsi="Times New Roman" w:cs="Times New Roman"/>
          <w:sz w:val="24"/>
          <w:szCs w:val="24"/>
        </w:rPr>
        <w:t xml:space="preserve"> </w:t>
      </w:r>
      <w:r w:rsidRPr="00D20AE3" w:rsidR="00F136CD">
        <w:rPr>
          <w:rFonts w:ascii="Times New Roman" w:hAnsi="Times New Roman" w:cs="Times New Roman"/>
          <w:sz w:val="24"/>
          <w:szCs w:val="24"/>
        </w:rPr>
        <w:t xml:space="preserve">is </w:t>
      </w:r>
      <w:r w:rsidRPr="00D20AE3" w:rsidR="00DD3CB6">
        <w:rPr>
          <w:rFonts w:ascii="Times New Roman" w:hAnsi="Times New Roman" w:cs="Times New Roman"/>
          <w:sz w:val="24"/>
          <w:szCs w:val="24"/>
        </w:rPr>
        <w:t xml:space="preserve">lower </w:t>
      </w:r>
      <w:r w:rsidRPr="00D20AE3" w:rsidR="00F136CD">
        <w:rPr>
          <w:rFonts w:ascii="Times New Roman" w:hAnsi="Times New Roman" w:cs="Times New Roman"/>
          <w:sz w:val="24"/>
          <w:szCs w:val="24"/>
        </w:rPr>
        <w:t>than even the low end of the PUCO Staff’s recommended range of 7.33% to 7.82% from the Staff Report.</w:t>
      </w:r>
      <w:r>
        <w:rPr>
          <w:rStyle w:val="FootnoteReference"/>
          <w:rFonts w:ascii="Times New Roman" w:hAnsi="Times New Roman" w:cs="Times New Roman"/>
          <w:sz w:val="24"/>
          <w:szCs w:val="24"/>
        </w:rPr>
        <w:footnoteReference w:id="24"/>
      </w:r>
      <w:r w:rsidRPr="00D20AE3" w:rsidR="00F136CD">
        <w:rPr>
          <w:rFonts w:ascii="Times New Roman" w:hAnsi="Times New Roman" w:cs="Times New Roman"/>
          <w:sz w:val="24"/>
          <w:szCs w:val="24"/>
        </w:rPr>
        <w:t xml:space="preserve"> </w:t>
      </w:r>
      <w:r w:rsidRPr="00D20AE3" w:rsidR="007D0E86">
        <w:rPr>
          <w:rFonts w:ascii="Times New Roman" w:hAnsi="Times New Roman" w:cs="Times New Roman"/>
          <w:sz w:val="24"/>
          <w:szCs w:val="24"/>
        </w:rPr>
        <w:t>As OCC witness Willis explained: “</w:t>
      </w:r>
      <w:r w:rsidRPr="00D20AE3" w:rsidR="00F136CD">
        <w:rPr>
          <w:rFonts w:ascii="Times New Roman" w:hAnsi="Times New Roman" w:cs="Times New Roman"/>
          <w:sz w:val="24"/>
          <w:szCs w:val="24"/>
        </w:rPr>
        <w:t>This reduces the amount that customers will pay in base rates.</w:t>
      </w:r>
      <w:r w:rsidRPr="00D20AE3" w:rsidR="007D0E86">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 xml:space="preserve">DP&amp;L will work with </w:t>
      </w:r>
      <w:r w:rsidRPr="00D20AE3" w:rsidR="006C6D52">
        <w:rPr>
          <w:rFonts w:ascii="Times New Roman" w:hAnsi="Times New Roman" w:cs="Times New Roman"/>
          <w:sz w:val="24"/>
          <w:szCs w:val="24"/>
        </w:rPr>
        <w:t>OCC</w:t>
      </w:r>
      <w:r w:rsidRPr="00D20AE3">
        <w:rPr>
          <w:rFonts w:ascii="Times New Roman" w:hAnsi="Times New Roman" w:cs="Times New Roman"/>
          <w:sz w:val="24"/>
          <w:szCs w:val="24"/>
        </w:rPr>
        <w:t xml:space="preserve"> and the PUCO Staff to develop an annual plan to improve reliability of electric service for </w:t>
      </w:r>
      <w:r w:rsidRPr="00D20AE3" w:rsidR="00A8479D">
        <w:rPr>
          <w:rFonts w:ascii="Times New Roman" w:hAnsi="Times New Roman" w:cs="Times New Roman"/>
          <w:sz w:val="24"/>
          <w:szCs w:val="24"/>
        </w:rPr>
        <w:t xml:space="preserve">Dayton-area </w:t>
      </w:r>
      <w:r w:rsidRPr="00D20AE3">
        <w:rPr>
          <w:rFonts w:ascii="Times New Roman" w:hAnsi="Times New Roman" w:cs="Times New Roman"/>
          <w:sz w:val="24"/>
          <w:szCs w:val="24"/>
        </w:rPr>
        <w:t>customers.</w:t>
      </w:r>
      <w:r>
        <w:rPr>
          <w:rStyle w:val="FootnoteReference"/>
          <w:rFonts w:ascii="Times New Roman" w:hAnsi="Times New Roman" w:cs="Times New Roman"/>
          <w:sz w:val="24"/>
          <w:szCs w:val="24"/>
        </w:rPr>
        <w:footnoteReference w:id="26"/>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w:t>
      </w:r>
      <w:r w:rsidRPr="00D20AE3" w:rsidR="00F136CD">
        <w:rPr>
          <w:rFonts w:ascii="Times New Roman" w:hAnsi="Times New Roman" w:cs="Times New Roman"/>
          <w:sz w:val="24"/>
          <w:szCs w:val="24"/>
        </w:rPr>
        <w:t xml:space="preserve">If DP&amp;L fails to meet certain </w:t>
      </w:r>
      <w:r w:rsidRPr="00D20AE3">
        <w:rPr>
          <w:rFonts w:ascii="Times New Roman" w:hAnsi="Times New Roman" w:cs="Times New Roman"/>
          <w:sz w:val="24"/>
          <w:szCs w:val="24"/>
        </w:rPr>
        <w:t>[</w:t>
      </w:r>
      <w:r w:rsidRPr="00D20AE3" w:rsidR="0017707B">
        <w:rPr>
          <w:rFonts w:ascii="Times New Roman" w:hAnsi="Times New Roman" w:cs="Times New Roman"/>
          <w:sz w:val="24"/>
          <w:szCs w:val="24"/>
        </w:rPr>
        <w:t>service</w:t>
      </w:r>
      <w:r w:rsidRPr="00D20AE3">
        <w:rPr>
          <w:rFonts w:ascii="Times New Roman" w:hAnsi="Times New Roman" w:cs="Times New Roman"/>
          <w:sz w:val="24"/>
          <w:szCs w:val="24"/>
        </w:rPr>
        <w:t>]</w:t>
      </w:r>
      <w:r w:rsidRPr="00D20AE3" w:rsidR="0017707B">
        <w:rPr>
          <w:rFonts w:ascii="Times New Roman" w:hAnsi="Times New Roman" w:cs="Times New Roman"/>
          <w:sz w:val="24"/>
          <w:szCs w:val="24"/>
        </w:rPr>
        <w:t xml:space="preserve"> </w:t>
      </w:r>
      <w:r w:rsidRPr="00D20AE3" w:rsidR="00F136CD">
        <w:rPr>
          <w:rFonts w:ascii="Times New Roman" w:hAnsi="Times New Roman" w:cs="Times New Roman"/>
          <w:sz w:val="24"/>
          <w:szCs w:val="24"/>
        </w:rPr>
        <w:t xml:space="preserve">reliability metrics, </w:t>
      </w:r>
      <w:r w:rsidRPr="00D20AE3" w:rsidR="006C787F">
        <w:rPr>
          <w:rFonts w:ascii="Times New Roman" w:hAnsi="Times New Roman" w:cs="Times New Roman"/>
          <w:sz w:val="24"/>
          <w:szCs w:val="24"/>
        </w:rPr>
        <w:t xml:space="preserve">. . . </w:t>
      </w:r>
      <w:r w:rsidRPr="00D20AE3" w:rsidR="00F136CD">
        <w:rPr>
          <w:rFonts w:ascii="Times New Roman" w:hAnsi="Times New Roman" w:cs="Times New Roman"/>
          <w:sz w:val="24"/>
          <w:szCs w:val="24"/>
        </w:rPr>
        <w:t>then the maximum amount of charges to customers under DP&amp;L’s Distribution Investment Rider will decrease by $2.0 million per year.</w:t>
      </w:r>
      <w:r w:rsidRPr="00D20AE3" w:rsidR="006C787F">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w:t>
      </w:r>
      <w:r w:rsidRPr="00D20AE3" w:rsidR="00F136CD">
        <w:rPr>
          <w:rFonts w:ascii="Times New Roman" w:hAnsi="Times New Roman" w:cs="Times New Roman"/>
          <w:sz w:val="24"/>
          <w:szCs w:val="24"/>
        </w:rPr>
        <w:t xml:space="preserve">Once new base distribution rates go into effect, DP&amp;L will no longer charge customers for so-called </w:t>
      </w:r>
      <w:r w:rsidRPr="00D20AE3">
        <w:rPr>
          <w:rFonts w:ascii="Times New Roman" w:hAnsi="Times New Roman" w:cs="Times New Roman"/>
          <w:sz w:val="24"/>
          <w:szCs w:val="24"/>
        </w:rPr>
        <w:t>‘</w:t>
      </w:r>
      <w:r w:rsidRPr="00D20AE3" w:rsidR="00F136CD">
        <w:rPr>
          <w:rFonts w:ascii="Times New Roman" w:hAnsi="Times New Roman" w:cs="Times New Roman"/>
          <w:sz w:val="24"/>
          <w:szCs w:val="24"/>
        </w:rPr>
        <w:t>lost revenues</w:t>
      </w:r>
      <w:r w:rsidRPr="00D20AE3">
        <w:rPr>
          <w:rFonts w:ascii="Times New Roman" w:hAnsi="Times New Roman" w:cs="Times New Roman"/>
          <w:sz w:val="24"/>
          <w:szCs w:val="24"/>
        </w:rPr>
        <w:t>’</w:t>
      </w:r>
      <w:r w:rsidRPr="00D20AE3" w:rsidR="00F136CD">
        <w:rPr>
          <w:rFonts w:ascii="Times New Roman" w:hAnsi="Times New Roman" w:cs="Times New Roman"/>
          <w:sz w:val="24"/>
          <w:szCs w:val="24"/>
        </w:rPr>
        <w:t xml:space="preserve"> </w:t>
      </w:r>
      <w:r w:rsidRPr="00D20AE3" w:rsidR="00917F3C">
        <w:rPr>
          <w:rFonts w:ascii="Times New Roman" w:hAnsi="Times New Roman" w:cs="Times New Roman"/>
          <w:sz w:val="24"/>
          <w:szCs w:val="24"/>
        </w:rPr>
        <w:t xml:space="preserve">resulting from </w:t>
      </w:r>
      <w:r w:rsidRPr="00D20AE3" w:rsidR="00F136CD">
        <w:rPr>
          <w:rFonts w:ascii="Times New Roman" w:hAnsi="Times New Roman" w:cs="Times New Roman"/>
          <w:sz w:val="24"/>
          <w:szCs w:val="24"/>
        </w:rPr>
        <w:t>its</w:t>
      </w:r>
      <w:r w:rsidRPr="00D20AE3" w:rsidR="006628EC">
        <w:rPr>
          <w:rFonts w:ascii="Times New Roman" w:hAnsi="Times New Roman" w:cs="Times New Roman"/>
          <w:sz w:val="24"/>
          <w:szCs w:val="24"/>
        </w:rPr>
        <w:t xml:space="preserve"> </w:t>
      </w:r>
      <w:r w:rsidRPr="00D20AE3" w:rsidR="00F136CD">
        <w:rPr>
          <w:rFonts w:ascii="Times New Roman" w:hAnsi="Times New Roman" w:cs="Times New Roman"/>
          <w:sz w:val="24"/>
          <w:szCs w:val="24"/>
        </w:rPr>
        <w:t>energy efficiency programs.</w:t>
      </w:r>
      <w:r w:rsidRPr="00D20AE3">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The residential customer charge will be $7.00, which is lower than DP&amp;L’s proposed $13.73 charge, and lower than the PUCO Staff’s recommended $7.88 customer charge.</w:t>
      </w:r>
      <w:r>
        <w:rPr>
          <w:rStyle w:val="FootnoteReference"/>
          <w:rFonts w:ascii="Times New Roman" w:hAnsi="Times New Roman" w:cs="Times New Roman"/>
          <w:sz w:val="24"/>
          <w:szCs w:val="24"/>
        </w:rPr>
        <w:footnoteReference w:id="29"/>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 xml:space="preserve">The Settlement </w:t>
      </w:r>
      <w:r w:rsidRPr="00D20AE3" w:rsidR="009123B0">
        <w:rPr>
          <w:rFonts w:ascii="Times New Roman" w:hAnsi="Times New Roman" w:cs="Times New Roman"/>
          <w:sz w:val="24"/>
          <w:szCs w:val="24"/>
        </w:rPr>
        <w:t>protects</w:t>
      </w:r>
      <w:r w:rsidRPr="00D20AE3" w:rsidR="0037634E">
        <w:rPr>
          <w:rFonts w:ascii="Times New Roman" w:hAnsi="Times New Roman" w:cs="Times New Roman"/>
          <w:sz w:val="24"/>
          <w:szCs w:val="24"/>
        </w:rPr>
        <w:t xml:space="preserve"> the benefit of</w:t>
      </w:r>
      <w:r w:rsidRPr="00D20AE3" w:rsidR="009123B0">
        <w:rPr>
          <w:rFonts w:ascii="Times New Roman" w:hAnsi="Times New Roman" w:cs="Times New Roman"/>
          <w:sz w:val="24"/>
          <w:szCs w:val="24"/>
        </w:rPr>
        <w:t xml:space="preserve"> DP&amp;L’s competitive</w:t>
      </w:r>
      <w:r w:rsidRPr="00D20AE3" w:rsidR="0037634E">
        <w:rPr>
          <w:rFonts w:ascii="Times New Roman" w:hAnsi="Times New Roman" w:cs="Times New Roman"/>
          <w:sz w:val="24"/>
          <w:szCs w:val="24"/>
        </w:rPr>
        <w:t>ly</w:t>
      </w:r>
      <w:r w:rsidR="00A37AD7">
        <w:rPr>
          <w:rFonts w:ascii="Times New Roman" w:hAnsi="Times New Roman" w:cs="Times New Roman"/>
          <w:sz w:val="24"/>
          <w:szCs w:val="24"/>
        </w:rPr>
        <w:t>-</w:t>
      </w:r>
      <w:r w:rsidRPr="00D20AE3" w:rsidR="0037634E">
        <w:rPr>
          <w:rFonts w:ascii="Times New Roman" w:hAnsi="Times New Roman" w:cs="Times New Roman"/>
          <w:sz w:val="24"/>
          <w:szCs w:val="24"/>
        </w:rPr>
        <w:t>bid</w:t>
      </w:r>
      <w:r w:rsidRPr="00D20AE3" w:rsidR="009123B0">
        <w:rPr>
          <w:rFonts w:ascii="Times New Roman" w:hAnsi="Times New Roman" w:cs="Times New Roman"/>
          <w:sz w:val="24"/>
          <w:szCs w:val="24"/>
        </w:rPr>
        <w:t xml:space="preserve"> standard offer </w:t>
      </w:r>
      <w:r w:rsidRPr="00D20AE3" w:rsidR="0037634E">
        <w:rPr>
          <w:rFonts w:ascii="Times New Roman" w:hAnsi="Times New Roman" w:cs="Times New Roman"/>
          <w:sz w:val="24"/>
          <w:szCs w:val="24"/>
        </w:rPr>
        <w:t xml:space="preserve">for consumers, </w:t>
      </w:r>
      <w:r w:rsidRPr="00D20AE3" w:rsidR="009123B0">
        <w:rPr>
          <w:rFonts w:ascii="Times New Roman" w:hAnsi="Times New Roman" w:cs="Times New Roman"/>
          <w:sz w:val="24"/>
          <w:szCs w:val="24"/>
        </w:rPr>
        <w:t xml:space="preserve">which is an important option that consumers have for electric generation service. </w:t>
      </w:r>
      <w:r w:rsidRPr="00D20AE3" w:rsidR="00DD3CB6">
        <w:rPr>
          <w:rFonts w:ascii="Times New Roman" w:hAnsi="Times New Roman" w:cs="Times New Roman"/>
          <w:sz w:val="24"/>
          <w:szCs w:val="24"/>
        </w:rPr>
        <w:t>The PUCO Staff’s</w:t>
      </w:r>
      <w:r w:rsidRPr="00D20AE3" w:rsidR="00782309">
        <w:rPr>
          <w:rFonts w:ascii="Times New Roman" w:hAnsi="Times New Roman" w:cs="Times New Roman"/>
          <w:sz w:val="24"/>
          <w:szCs w:val="24"/>
        </w:rPr>
        <w:t xml:space="preserve"> </w:t>
      </w:r>
      <w:r w:rsidRPr="00D20AE3" w:rsidR="00340C73">
        <w:rPr>
          <w:rFonts w:ascii="Times New Roman" w:hAnsi="Times New Roman" w:cs="Times New Roman"/>
          <w:sz w:val="24"/>
          <w:szCs w:val="24"/>
        </w:rPr>
        <w:t xml:space="preserve">original proposal </w:t>
      </w:r>
      <w:r w:rsidRPr="00D20AE3" w:rsidR="00DD3CB6">
        <w:rPr>
          <w:rFonts w:ascii="Times New Roman" w:hAnsi="Times New Roman" w:cs="Times New Roman"/>
          <w:sz w:val="24"/>
          <w:szCs w:val="24"/>
        </w:rPr>
        <w:t>that</w:t>
      </w:r>
      <w:r w:rsidRPr="00D20AE3" w:rsidR="00AA55CF">
        <w:rPr>
          <w:rFonts w:ascii="Times New Roman" w:hAnsi="Times New Roman" w:cs="Times New Roman"/>
          <w:sz w:val="24"/>
          <w:szCs w:val="24"/>
        </w:rPr>
        <w:t xml:space="preserve"> </w:t>
      </w:r>
      <w:r w:rsidRPr="00D20AE3" w:rsidR="00DD3CB6">
        <w:rPr>
          <w:rFonts w:ascii="Times New Roman" w:hAnsi="Times New Roman" w:cs="Times New Roman"/>
          <w:sz w:val="24"/>
          <w:szCs w:val="24"/>
        </w:rPr>
        <w:t xml:space="preserve">DP&amp;L </w:t>
      </w:r>
      <w:r>
        <w:rPr>
          <w:rFonts w:ascii="Times New Roman" w:hAnsi="Times New Roman" w:cs="Times New Roman"/>
          <w:sz w:val="24"/>
          <w:szCs w:val="24"/>
        </w:rPr>
        <w:t xml:space="preserve">might </w:t>
      </w:r>
      <w:r w:rsidRPr="00D20AE3" w:rsidR="00AA55CF">
        <w:rPr>
          <w:rFonts w:ascii="Times New Roman" w:hAnsi="Times New Roman" w:cs="Times New Roman"/>
          <w:sz w:val="24"/>
          <w:szCs w:val="24"/>
        </w:rPr>
        <w:t xml:space="preserve">collect its </w:t>
      </w:r>
      <w:r w:rsidRPr="00D20AE3">
        <w:rPr>
          <w:rFonts w:ascii="Times New Roman" w:hAnsi="Times New Roman" w:cs="Times New Roman"/>
          <w:sz w:val="24"/>
          <w:szCs w:val="24"/>
        </w:rPr>
        <w:t>PUCO</w:t>
      </w:r>
      <w:r w:rsidRPr="00D20AE3" w:rsidR="009123B0">
        <w:rPr>
          <w:rFonts w:ascii="Times New Roman" w:hAnsi="Times New Roman" w:cs="Times New Roman"/>
          <w:sz w:val="24"/>
          <w:szCs w:val="24"/>
        </w:rPr>
        <w:t xml:space="preserve"> and </w:t>
      </w:r>
      <w:r w:rsidRPr="00D20AE3">
        <w:rPr>
          <w:rFonts w:ascii="Times New Roman" w:hAnsi="Times New Roman" w:cs="Times New Roman"/>
          <w:sz w:val="24"/>
          <w:szCs w:val="24"/>
        </w:rPr>
        <w:t xml:space="preserve">OCC assessment fees </w:t>
      </w:r>
      <w:r w:rsidRPr="00D20AE3" w:rsidR="00AA55CF">
        <w:rPr>
          <w:rFonts w:ascii="Times New Roman" w:hAnsi="Times New Roman" w:cs="Times New Roman"/>
          <w:sz w:val="24"/>
          <w:szCs w:val="24"/>
        </w:rPr>
        <w:t>only from</w:t>
      </w:r>
      <w:r w:rsidRPr="00D20AE3" w:rsidR="009123B0">
        <w:rPr>
          <w:rFonts w:ascii="Times New Roman" w:hAnsi="Times New Roman" w:cs="Times New Roman"/>
          <w:sz w:val="24"/>
          <w:szCs w:val="24"/>
        </w:rPr>
        <w:t xml:space="preserve"> standard offer customers</w:t>
      </w:r>
      <w:r w:rsidRPr="00D20AE3" w:rsidR="00AA55CF">
        <w:rPr>
          <w:rFonts w:ascii="Times New Roman" w:hAnsi="Times New Roman" w:cs="Times New Roman"/>
          <w:sz w:val="24"/>
          <w:szCs w:val="24"/>
        </w:rPr>
        <w:t>—</w:t>
      </w:r>
      <w:r w:rsidRPr="00D20AE3" w:rsidR="0037634E">
        <w:rPr>
          <w:rFonts w:ascii="Times New Roman" w:hAnsi="Times New Roman" w:cs="Times New Roman"/>
          <w:sz w:val="24"/>
          <w:szCs w:val="24"/>
        </w:rPr>
        <w:t>which would have raised</w:t>
      </w:r>
      <w:r w:rsidRPr="00D20AE3" w:rsidR="00AA55CF">
        <w:rPr>
          <w:rFonts w:ascii="Times New Roman" w:hAnsi="Times New Roman" w:cs="Times New Roman"/>
          <w:sz w:val="24"/>
          <w:szCs w:val="24"/>
        </w:rPr>
        <w:t xml:space="preserve"> the price of the standard offer compared to marketer offers—has </w:t>
      </w:r>
      <w:r w:rsidRPr="00D20AE3" w:rsidR="0037634E">
        <w:rPr>
          <w:rFonts w:ascii="Times New Roman" w:hAnsi="Times New Roman" w:cs="Times New Roman"/>
          <w:sz w:val="24"/>
          <w:szCs w:val="24"/>
        </w:rPr>
        <w:t xml:space="preserve">thankfully </w:t>
      </w:r>
      <w:r w:rsidRPr="00D20AE3" w:rsidR="00AA55CF">
        <w:rPr>
          <w:rFonts w:ascii="Times New Roman" w:hAnsi="Times New Roman" w:cs="Times New Roman"/>
          <w:sz w:val="24"/>
          <w:szCs w:val="24"/>
        </w:rPr>
        <w:t xml:space="preserve">been </w:t>
      </w:r>
      <w:r w:rsidRPr="00D20AE3" w:rsidR="00A35C05">
        <w:rPr>
          <w:rFonts w:ascii="Times New Roman" w:hAnsi="Times New Roman" w:cs="Times New Roman"/>
          <w:sz w:val="24"/>
          <w:szCs w:val="24"/>
        </w:rPr>
        <w:t>withdrawn</w:t>
      </w:r>
      <w:r w:rsidRPr="00D20AE3">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hAnsi="Times New Roman" w:cs="Times New Roman"/>
          <w:sz w:val="24"/>
          <w:szCs w:val="24"/>
        </w:rPr>
        <w:t xml:space="preserve">The Settlement </w:t>
      </w:r>
      <w:r w:rsidRPr="00D20AE3" w:rsidR="0037634E">
        <w:rPr>
          <w:rFonts w:ascii="Times New Roman" w:hAnsi="Times New Roman" w:cs="Times New Roman"/>
          <w:sz w:val="24"/>
          <w:szCs w:val="24"/>
        </w:rPr>
        <w:t>also</w:t>
      </w:r>
      <w:r w:rsidRPr="00D20AE3" w:rsidR="00347C3B">
        <w:rPr>
          <w:rFonts w:ascii="Times New Roman" w:hAnsi="Times New Roman" w:cs="Times New Roman"/>
          <w:sz w:val="24"/>
          <w:szCs w:val="24"/>
        </w:rPr>
        <w:t xml:space="preserve"> is commendable for protecting</w:t>
      </w:r>
      <w:r w:rsidRPr="00D20AE3" w:rsidR="0037634E">
        <w:rPr>
          <w:rFonts w:ascii="Times New Roman" w:hAnsi="Times New Roman" w:cs="Times New Roman"/>
          <w:sz w:val="24"/>
          <w:szCs w:val="24"/>
        </w:rPr>
        <w:t xml:space="preserve"> the benefit of DP&amp;L’s competitively bid standard offer for consumers by avoiding a</w:t>
      </w:r>
      <w:r>
        <w:rPr>
          <w:rFonts w:ascii="Times New Roman" w:hAnsi="Times New Roman" w:cs="Times New Roman"/>
          <w:sz w:val="24"/>
          <w:szCs w:val="24"/>
        </w:rPr>
        <w:t>n</w:t>
      </w:r>
      <w:r w:rsidRPr="00D20AE3" w:rsidR="0037634E">
        <w:rPr>
          <w:rFonts w:ascii="Times New Roman" w:hAnsi="Times New Roman" w:cs="Times New Roman"/>
          <w:sz w:val="24"/>
          <w:szCs w:val="24"/>
        </w:rPr>
        <w:t xml:space="preserve"> </w:t>
      </w:r>
      <w:r w:rsidRPr="00D20AE3">
        <w:rPr>
          <w:rFonts w:ascii="Times New Roman" w:hAnsi="Times New Roman" w:cs="Times New Roman"/>
          <w:sz w:val="24"/>
          <w:szCs w:val="24"/>
        </w:rPr>
        <w:t>allocat</w:t>
      </w:r>
      <w:r w:rsidRPr="00D20AE3" w:rsidR="0037634E">
        <w:rPr>
          <w:rFonts w:ascii="Times New Roman" w:hAnsi="Times New Roman" w:cs="Times New Roman"/>
          <w:sz w:val="24"/>
          <w:szCs w:val="24"/>
        </w:rPr>
        <w:t>ion of</w:t>
      </w:r>
      <w:r w:rsidRPr="00D20AE3">
        <w:rPr>
          <w:rFonts w:ascii="Times New Roman" w:hAnsi="Times New Roman" w:cs="Times New Roman"/>
          <w:sz w:val="24"/>
          <w:szCs w:val="24"/>
        </w:rPr>
        <w:t xml:space="preserve"> distribution costs </w:t>
      </w:r>
      <w:r w:rsidRPr="00D20AE3" w:rsidR="0037634E">
        <w:rPr>
          <w:rFonts w:ascii="Times New Roman" w:hAnsi="Times New Roman" w:cs="Times New Roman"/>
          <w:sz w:val="24"/>
          <w:szCs w:val="24"/>
        </w:rPr>
        <w:t xml:space="preserve">only </w:t>
      </w:r>
      <w:r w:rsidRPr="00D20AE3">
        <w:rPr>
          <w:rFonts w:ascii="Times New Roman" w:hAnsi="Times New Roman" w:cs="Times New Roman"/>
          <w:sz w:val="24"/>
          <w:szCs w:val="24"/>
        </w:rPr>
        <w:t>to customers who use DP&amp;L’s standard service offer</w:t>
      </w:r>
      <w:r w:rsidRPr="00D20AE3" w:rsidR="0037634E">
        <w:rPr>
          <w:rFonts w:ascii="Times New Roman" w:hAnsi="Times New Roman" w:cs="Times New Roman"/>
          <w:sz w:val="24"/>
          <w:szCs w:val="24"/>
        </w:rPr>
        <w:t>.</w:t>
      </w:r>
      <w:r w:rsidRPr="00D20AE3">
        <w:rPr>
          <w:rFonts w:ascii="Times New Roman" w:hAnsi="Times New Roman" w:cs="Times New Roman"/>
          <w:sz w:val="24"/>
          <w:szCs w:val="24"/>
        </w:rPr>
        <w:t xml:space="preserve"> </w:t>
      </w:r>
      <w:r w:rsidRPr="00D20AE3" w:rsidR="0037634E">
        <w:rPr>
          <w:rFonts w:ascii="Times New Roman" w:hAnsi="Times New Roman" w:cs="Times New Roman"/>
          <w:sz w:val="24"/>
          <w:szCs w:val="24"/>
        </w:rPr>
        <w:t xml:space="preserve">The reallocation approach would have </w:t>
      </w:r>
      <w:r w:rsidRPr="00D20AE3" w:rsidR="006774CB">
        <w:rPr>
          <w:rFonts w:ascii="Times New Roman" w:hAnsi="Times New Roman" w:cs="Times New Roman"/>
          <w:sz w:val="24"/>
          <w:szCs w:val="24"/>
        </w:rPr>
        <w:t>harmed customers by increasing</w:t>
      </w:r>
      <w:r w:rsidRPr="00D20AE3" w:rsidR="0037634E">
        <w:rPr>
          <w:rFonts w:ascii="Times New Roman" w:hAnsi="Times New Roman" w:cs="Times New Roman"/>
          <w:sz w:val="24"/>
          <w:szCs w:val="24"/>
        </w:rPr>
        <w:t xml:space="preserve"> the price of t</w:t>
      </w:r>
      <w:r w:rsidRPr="00D20AE3" w:rsidR="00347C3B">
        <w:rPr>
          <w:rFonts w:ascii="Times New Roman" w:hAnsi="Times New Roman" w:cs="Times New Roman"/>
          <w:sz w:val="24"/>
          <w:szCs w:val="24"/>
        </w:rPr>
        <w:t>he standard offer for consumers</w:t>
      </w:r>
      <w:r w:rsidRPr="00D20AE3">
        <w:rPr>
          <w:rFonts w:ascii="Times New Roman" w:hAnsi="Times New Roman" w:cs="Times New Roman"/>
          <w:sz w:val="24"/>
          <w:szCs w:val="24"/>
        </w:rPr>
        <w:t>.</w:t>
      </w:r>
      <w:r w:rsidRPr="00D20AE3" w:rsidR="00796DFB">
        <w:rPr>
          <w:rFonts w:ascii="Times New Roman" w:hAnsi="Times New Roman" w:cs="Times New Roman"/>
          <w:sz w:val="24"/>
          <w:szCs w:val="24"/>
        </w:rPr>
        <w:t xml:space="preserve"> </w:t>
      </w:r>
      <w:r w:rsidRPr="00D20AE3" w:rsidR="00DD3CB6">
        <w:rPr>
          <w:rFonts w:ascii="Times New Roman" w:hAnsi="Times New Roman" w:cs="Times New Roman"/>
          <w:sz w:val="24"/>
          <w:szCs w:val="24"/>
        </w:rPr>
        <w:t xml:space="preserve">As </w:t>
      </w:r>
      <w:r w:rsidRPr="00D20AE3" w:rsidR="00796DFB">
        <w:rPr>
          <w:rFonts w:ascii="Times New Roman" w:hAnsi="Times New Roman" w:cs="Times New Roman"/>
          <w:sz w:val="24"/>
          <w:szCs w:val="24"/>
        </w:rPr>
        <w:t>OCC witness Willis testified: “These results are important for the public interest and for preserving for consumers the benefit of the competitively bid standard service offer.</w:t>
      </w:r>
      <w:r>
        <w:rPr>
          <w:rStyle w:val="FootnoteReference"/>
          <w:rFonts w:ascii="Times New Roman" w:hAnsi="Times New Roman" w:cs="Times New Roman"/>
          <w:sz w:val="24"/>
          <w:szCs w:val="24"/>
        </w:rPr>
        <w:footnoteReference w:id="31"/>
      </w:r>
    </w:p>
    <w:p w:rsidR="00D20AE3" w:rsidRPr="00D20AE3" w:rsidP="008277B2">
      <w:pPr>
        <w:pStyle w:val="ListParagraph"/>
        <w:keepLines/>
        <w:numPr>
          <w:ilvl w:val="0"/>
          <w:numId w:val="17"/>
        </w:numPr>
        <w:spacing w:after="240" w:line="240" w:lineRule="auto"/>
        <w:ind w:hanging="720"/>
        <w:contextualSpacing w:val="0"/>
        <w:rPr>
          <w:rFonts w:ascii="Times New Roman" w:hAnsi="Times New Roman" w:cs="Times New Roman"/>
          <w:sz w:val="24"/>
          <w:szCs w:val="24"/>
        </w:rPr>
      </w:pPr>
      <w:r w:rsidRPr="00D20AE3">
        <w:rPr>
          <w:rFonts w:ascii="Times New Roman" w:eastAsia="Times New Roman" w:hAnsi="Times New Roman" w:cs="Times New Roman"/>
          <w:sz w:val="24"/>
          <w:szCs w:val="24"/>
        </w:rPr>
        <w:t>One of the best points of the Settlement is that it avoids efforts, such as by marketers IGS and RESA, to artificially increase the competitively-bid price of DP&amp;L’s standard offer. What the marketers recommend—increasing the standard offer price relative to their prices</w:t>
      </w:r>
      <w:r>
        <w:rPr>
          <w:rStyle w:val="FootnoteReference"/>
          <w:rFonts w:ascii="Times New Roman" w:eastAsia="Times New Roman" w:hAnsi="Times New Roman" w:cs="Times New Roman"/>
          <w:sz w:val="24"/>
          <w:szCs w:val="24"/>
        </w:rPr>
        <w:footnoteReference w:id="32"/>
      </w:r>
      <w:r w:rsidRPr="00D20AE3">
        <w:rPr>
          <w:rFonts w:ascii="Times New Roman" w:eastAsia="Times New Roman" w:hAnsi="Times New Roman" w:cs="Times New Roman"/>
          <w:sz w:val="24"/>
          <w:szCs w:val="24"/>
        </w:rPr>
        <w:t>—is one of the worst things that could be done to consumers. For consumers on the standard offer, it gives them the benefit of a competitively-bid service for their electric generation. For consumers considering a switch to a marketer, the standard offer gives them a good comparison point for analyzing marketer offers. The marketers’ efforts to increase consumer prices for the standard offer should be rejected to protect consumers and the public interest.</w:t>
      </w:r>
    </w:p>
    <w:p w:rsidR="00EA3CD6" w:rsidP="00B70392">
      <w:pPr>
        <w:spacing w:after="0" w:line="480" w:lineRule="auto"/>
        <w:ind w:firstLine="720"/>
      </w:pPr>
      <w:r w:rsidRPr="00D20AE3">
        <w:rPr>
          <w:rFonts w:cs="Times New Roman"/>
          <w:szCs w:val="24"/>
        </w:rPr>
        <w:t xml:space="preserve">In light of these benefits to customers and </w:t>
      </w:r>
      <w:r>
        <w:t>the public interest, the Settlement satisfies the second prong of the PUCO’s test.</w:t>
      </w:r>
    </w:p>
    <w:p w:rsidR="00EA3CD6" w:rsidRPr="006F0B38" w:rsidP="008277B2">
      <w:pPr>
        <w:pStyle w:val="Heading3"/>
      </w:pPr>
      <w:bookmarkStart w:id="10" w:name="_Toc522278752"/>
      <w:r>
        <w:t>C.</w:t>
      </w:r>
      <w:r>
        <w:tab/>
        <w:t>The Settlement does not violate any regulatory principles or practices.</w:t>
      </w:r>
      <w:bookmarkEnd w:id="10"/>
    </w:p>
    <w:p w:rsidR="006F0B38" w:rsidP="00B70392">
      <w:pPr>
        <w:spacing w:after="0" w:line="480" w:lineRule="auto"/>
        <w:ind w:firstLine="720"/>
      </w:pPr>
      <w:r>
        <w:t>As OCC witness Willis explained, b</w:t>
      </w:r>
      <w:r w:rsidR="005D2B53">
        <w:t xml:space="preserve">ecause of the downward adjustments for </w:t>
      </w:r>
      <w:r w:rsidR="006628EC">
        <w:t xml:space="preserve">the </w:t>
      </w:r>
      <w:r w:rsidR="005D2B53">
        <w:t>federal</w:t>
      </w:r>
      <w:r w:rsidR="006628EC">
        <w:t xml:space="preserve"> </w:t>
      </w:r>
      <w:r w:rsidR="00347C3B">
        <w:t>tax cut</w:t>
      </w:r>
      <w:r w:rsidR="005D2B53">
        <w:t>, rate of return, and the lower customer charge, among other things, DP&amp;L’s base distribution rates will be lower under the Settlement than as proposed in DP&amp;L’s application.</w:t>
      </w:r>
      <w:r>
        <w:rPr>
          <w:rStyle w:val="FootnoteReference"/>
        </w:rPr>
        <w:footnoteReference w:id="33"/>
      </w:r>
      <w:r w:rsidR="005D2B53">
        <w:t xml:space="preserve"> This will result in more just and reasonable rates for consumers</w:t>
      </w:r>
      <w:r w:rsidR="007403FD">
        <w:t>, which is consistent with regulatory principles and practices</w:t>
      </w:r>
      <w:r w:rsidR="005D2B53">
        <w:t>.</w:t>
      </w:r>
      <w:r>
        <w:rPr>
          <w:rStyle w:val="FootnoteReference"/>
        </w:rPr>
        <w:footnoteReference w:id="34"/>
      </w:r>
    </w:p>
    <w:p w:rsidR="005F2B7A" w:rsidRPr="0074484D" w:rsidP="005F2B7A">
      <w:pPr>
        <w:pStyle w:val="BodyTextIndent3"/>
        <w:spacing w:line="480" w:lineRule="auto"/>
      </w:pPr>
      <w:r>
        <w:t xml:space="preserve">The Settlement is also consistent with binding </w:t>
      </w:r>
      <w:r w:rsidR="00917F3C">
        <w:t xml:space="preserve">Ohio </w:t>
      </w:r>
      <w:r>
        <w:t>Supreme Court</w:t>
      </w:r>
      <w:r w:rsidR="00DE16DC">
        <w:t xml:space="preserve"> </w:t>
      </w:r>
      <w:r>
        <w:t xml:space="preserve">precedent, which requires the PUCO to account for changes to tax rates under the </w:t>
      </w:r>
      <w:r w:rsidR="00DE16DC">
        <w:t xml:space="preserve">federal tax cut </w:t>
      </w:r>
      <w:r>
        <w:t xml:space="preserve">in this base rate case. In </w:t>
      </w:r>
      <w:r>
        <w:rPr>
          <w:i/>
        </w:rPr>
        <w:t>East Ohio Gas Co. v. PUCO</w:t>
      </w:r>
      <w:r>
        <w:t>,</w:t>
      </w:r>
      <w:r>
        <w:rPr>
          <w:rStyle w:val="FootnoteReference"/>
        </w:rPr>
        <w:footnoteReference w:id="35"/>
      </w:r>
      <w:r>
        <w:t xml:space="preserve"> the PUCO knew that tax rates changed from the time of the test period to the time that new rates would actually be in effect.</w:t>
      </w:r>
      <w:r>
        <w:rPr>
          <w:rStyle w:val="FootnoteReference"/>
        </w:rPr>
        <w:footnoteReference w:id="36"/>
      </w:r>
      <w:r>
        <w:t xml:space="preserve"> The Court found that </w:t>
      </w:r>
      <w:r w:rsidR="00E52560">
        <w:t>“</w:t>
      </w:r>
      <w:r>
        <w:t xml:space="preserve">[i]t was the </w:t>
      </w:r>
      <w:r w:rsidRPr="00E52560">
        <w:t>duty</w:t>
      </w:r>
      <w:r>
        <w:t xml:space="preserve"> of the commission to consider not only the taxes actually assessed during the test period, but to compute what they would be after the test period </w:t>
      </w:r>
      <w:r w:rsidRPr="00E52560">
        <w:t>in view of the change in laws</w:t>
      </w:r>
      <w:r w:rsidR="00E52560">
        <w:t xml:space="preserve"> </w:t>
      </w:r>
      <w:r w:rsidRPr="004B59A2">
        <w:t>.</w:t>
      </w:r>
      <w:r w:rsidR="00A37AD7">
        <w:t> </w:t>
      </w:r>
      <w:r w:rsidRPr="004B59A2">
        <w:t>.</w:t>
      </w:r>
      <w:r w:rsidR="00A37AD7">
        <w:t> </w:t>
      </w:r>
      <w:r w:rsidRPr="004B59A2">
        <w:t>.</w:t>
      </w:r>
      <w:r w:rsidR="00A37AD7">
        <w:t> </w:t>
      </w:r>
      <w:r w:rsidRPr="004B59A2">
        <w:t>.</w:t>
      </w:r>
      <w:r w:rsidR="00E52560">
        <w:t>”</w:t>
      </w:r>
      <w:r>
        <w:rPr>
          <w:rStyle w:val="FootnoteReference"/>
        </w:rPr>
        <w:footnoteReference w:id="37"/>
      </w:r>
      <w:r>
        <w:t xml:space="preserve"> Because the PUCO knew about the change in tax rate at the time of its order, it was required to set new rates based on the new tax rate.</w:t>
      </w:r>
      <w:r>
        <w:rPr>
          <w:rStyle w:val="FootnoteReference"/>
        </w:rPr>
        <w:footnoteReference w:id="38"/>
      </w:r>
    </w:p>
    <w:p w:rsidR="005F2B7A" w:rsidRPr="006568B4" w:rsidP="005F2B7A">
      <w:pPr>
        <w:pStyle w:val="BodyTextIndent3"/>
        <w:spacing w:line="480" w:lineRule="auto"/>
      </w:pPr>
      <w:r>
        <w:t>The PUCO has in past cases followed the Court</w:t>
      </w:r>
      <w:r w:rsidR="00D20AE3">
        <w:t>’</w:t>
      </w:r>
      <w:r>
        <w:t xml:space="preserve">s dictate and made adjustments that reflect </w:t>
      </w:r>
      <w:r w:rsidR="00F65AF6">
        <w:t>post</w:t>
      </w:r>
      <w:r w:rsidR="006603FD">
        <w:t xml:space="preserve">-test year </w:t>
      </w:r>
      <w:r>
        <w:t xml:space="preserve">changes in the actual taxes a utility is liable for. In </w:t>
      </w:r>
      <w:r>
        <w:rPr>
          <w:i/>
        </w:rPr>
        <w:t>In re Application of Ohio Power Co. to Increase Certain of its Filed Schedules Fixing Rates and Charges for Electric Service</w:t>
      </w:r>
      <w:r>
        <w:t>,</w:t>
      </w:r>
      <w:r>
        <w:rPr>
          <w:rStyle w:val="FootnoteReference"/>
        </w:rPr>
        <w:footnoteReference w:id="39"/>
      </w:r>
      <w:r>
        <w:t xml:space="preserve"> for example, the PUCO cited </w:t>
      </w:r>
      <w:r>
        <w:rPr>
          <w:i/>
        </w:rPr>
        <w:t>East Ohio Gas</w:t>
      </w:r>
      <w:r>
        <w:t xml:space="preserve"> and concluded, quite plainly: </w:t>
      </w:r>
      <w:r w:rsidR="00E52560">
        <w:t>“</w:t>
      </w:r>
      <w:r>
        <w:t xml:space="preserve">Ohio law </w:t>
      </w:r>
      <w:r w:rsidRPr="00E52560">
        <w:t>requires</w:t>
      </w:r>
      <w:r>
        <w:t xml:space="preserve"> that all known changes in the tax laws after the test year must be recognized in setting rates.</w:t>
      </w:r>
      <w:r w:rsidR="00E52560">
        <w:t>”</w:t>
      </w:r>
      <w:r>
        <w:rPr>
          <w:rStyle w:val="FootnoteReference"/>
        </w:rPr>
        <w:footnoteReference w:id="40"/>
      </w:r>
      <w:r>
        <w:t xml:space="preserve"> Accordingly, the PUCO approved rates based on a new tax rate that went into effect after the test period ended.</w:t>
      </w:r>
      <w:r>
        <w:rPr>
          <w:rStyle w:val="FootnoteReference"/>
        </w:rPr>
        <w:footnoteReference w:id="41"/>
      </w:r>
    </w:p>
    <w:p w:rsidR="005F2B7A" w:rsidP="005F2B7A">
      <w:pPr>
        <w:spacing w:after="0" w:line="480" w:lineRule="auto"/>
        <w:ind w:firstLine="720"/>
      </w:pPr>
      <w:r>
        <w:t xml:space="preserve">Similarly, in </w:t>
      </w:r>
      <w:r>
        <w:rPr>
          <w:i/>
        </w:rPr>
        <w:t>In re Application of the Cleveland Electric Illuminating Co. for Authority to Amend and Increase its Filed Schedules Fixing Rates and Charges for Electric Service</w:t>
      </w:r>
      <w:r>
        <w:t>,</w:t>
      </w:r>
      <w:r>
        <w:rPr>
          <w:rStyle w:val="FootnoteReference"/>
        </w:rPr>
        <w:footnoteReference w:id="42"/>
      </w:r>
      <w:r>
        <w:t xml:space="preserve"> the PUCO adjusted tax allowances to reflect the lower tax liability of utilities in response to the Tax Reform Act of 1986. There</w:t>
      </w:r>
      <w:r w:rsidRPr="006568B4">
        <w:t>,</w:t>
      </w:r>
      <w:r>
        <w:rPr>
          <w:i/>
        </w:rPr>
        <w:t xml:space="preserve"> </w:t>
      </w:r>
      <w:r>
        <w:t>the PUCO rejected the utility</w:t>
      </w:r>
      <w:r w:rsidR="00A37AD7">
        <w:t>’</w:t>
      </w:r>
      <w:r>
        <w:t>s argument that a higher tax allowance should be approved.</w:t>
      </w:r>
      <w:r>
        <w:rPr>
          <w:rStyle w:val="FootnoteReference"/>
        </w:rPr>
        <w:footnoteReference w:id="43"/>
      </w:r>
      <w:r>
        <w:t xml:space="preserve"> Parties argued that allowing any rate higher than the actual tax rate would cause customers </w:t>
      </w:r>
      <w:r w:rsidR="006603FD">
        <w:t xml:space="preserve">to overpay for utility service </w:t>
      </w:r>
      <w:r>
        <w:t>and that known and measurable tax changes should be recognized.</w:t>
      </w:r>
      <w:r>
        <w:rPr>
          <w:rStyle w:val="FootnoteReference"/>
        </w:rPr>
        <w:footnoteReference w:id="44"/>
      </w:r>
      <w:r>
        <w:t xml:space="preserve"> The PUCO agreed and found that allowing the utility to charge customers utility rates based on outdated, higher tax rates “would, without a doubt, overstate [federal income tax] expense for the period [the utility's] rates approved in this case will be in effect.”</w:t>
      </w:r>
      <w:r>
        <w:rPr>
          <w:rStyle w:val="FootnoteReference"/>
        </w:rPr>
        <w:footnoteReference w:id="45"/>
      </w:r>
    </w:p>
    <w:p w:rsidR="005F2B7A" w:rsidP="005F2B7A">
      <w:pPr>
        <w:spacing w:after="0" w:line="480" w:lineRule="auto"/>
        <w:ind w:firstLine="720"/>
      </w:pPr>
      <w:r>
        <w:t>The binding precedent of the Ohio Supreme Court is unambiguous: when the PUCO has actual knowledge of the tax rate that a utility will be assessed</w:t>
      </w:r>
      <w:r w:rsidR="006603FD">
        <w:t xml:space="preserve"> after the test year</w:t>
      </w:r>
      <w:r>
        <w:t xml:space="preserve">, the PUCO </w:t>
      </w:r>
      <w:r w:rsidRPr="00C81ED7">
        <w:t>must</w:t>
      </w:r>
      <w:r>
        <w:t xml:space="preserve"> account for the actual tax liability when setting rates. Here, the Settlement complies with Supreme Court precedent because it (i) adjusts the test year tax expense to reflect the lower 21% federal income tax rate </w:t>
      </w:r>
      <w:r w:rsidR="006603FD">
        <w:t xml:space="preserve">that became effective January 1, 2018, </w:t>
      </w:r>
      <w:r>
        <w:t xml:space="preserve">and (ii) calculates the gross revenue conversion factor using the </w:t>
      </w:r>
      <w:r w:rsidR="00E52560">
        <w:t>current</w:t>
      </w:r>
      <w:r w:rsidR="006603FD">
        <w:t xml:space="preserve"> </w:t>
      </w:r>
      <w:r>
        <w:t>21% federal income tax rate instead of the old 35% rate.</w:t>
      </w:r>
      <w:r>
        <w:rPr>
          <w:rStyle w:val="FootnoteReference"/>
        </w:rPr>
        <w:footnoteReference w:id="46"/>
      </w:r>
      <w:r>
        <w:t xml:space="preserve"> Thus, for th</w:t>
      </w:r>
      <w:r w:rsidR="006603FD">
        <w:t>ese</w:t>
      </w:r>
      <w:r>
        <w:t xml:space="preserve"> additional reason</w:t>
      </w:r>
      <w:r w:rsidR="006603FD">
        <w:t>s</w:t>
      </w:r>
      <w:r>
        <w:t>, the Settlement is consistent with regulatory principles and practices.</w:t>
      </w:r>
    </w:p>
    <w:p w:rsidR="00106DC3" w:rsidP="00106DC3">
      <w:pPr>
        <w:spacing w:after="0" w:line="240" w:lineRule="auto"/>
        <w:ind w:firstLine="720"/>
      </w:pPr>
    </w:p>
    <w:p w:rsidR="009B419A" w:rsidRPr="0070059A" w:rsidP="001D547A">
      <w:pPr>
        <w:pStyle w:val="Heading2"/>
      </w:pPr>
      <w:bookmarkStart w:id="11" w:name="_Toc496786176"/>
      <w:bookmarkStart w:id="12" w:name="_Toc511223240"/>
      <w:bookmarkStart w:id="13" w:name="_Toc522277280"/>
      <w:bookmarkStart w:id="14" w:name="_Toc522278753"/>
      <w:r w:rsidRPr="0070059A">
        <w:t>III.</w:t>
      </w:r>
      <w:r w:rsidRPr="0070059A">
        <w:tab/>
        <w:t>CONCLUSION</w:t>
      </w:r>
      <w:bookmarkEnd w:id="11"/>
      <w:bookmarkEnd w:id="12"/>
      <w:bookmarkEnd w:id="13"/>
      <w:bookmarkEnd w:id="14"/>
    </w:p>
    <w:p w:rsidR="009B419A" w:rsidP="00EC50A9">
      <w:pPr>
        <w:spacing w:after="0" w:line="480" w:lineRule="auto"/>
        <w:ind w:firstLine="720"/>
        <w:rPr>
          <w:rFonts w:cs="Times New Roman"/>
          <w:szCs w:val="24"/>
        </w:rPr>
      </w:pPr>
      <w:r>
        <w:rPr>
          <w:rFonts w:cs="Times New Roman"/>
          <w:szCs w:val="24"/>
        </w:rPr>
        <w:t>The PUCO should approve the Settlement without modification</w:t>
      </w:r>
      <w:r w:rsidR="00930569">
        <w:rPr>
          <w:rFonts w:cs="Times New Roman"/>
          <w:szCs w:val="24"/>
        </w:rPr>
        <w:t>.</w:t>
      </w:r>
      <w:r>
        <w:rPr>
          <w:rFonts w:cs="Times New Roman"/>
          <w:szCs w:val="24"/>
        </w:rPr>
        <w:t xml:space="preserve"> </w:t>
      </w:r>
      <w:r w:rsidR="00930569">
        <w:rPr>
          <w:rFonts w:cs="Times New Roman"/>
          <w:szCs w:val="24"/>
        </w:rPr>
        <w:t xml:space="preserve">The Settlement </w:t>
      </w:r>
      <w:r w:rsidR="006603FD">
        <w:rPr>
          <w:rFonts w:cs="Times New Roman"/>
          <w:szCs w:val="24"/>
        </w:rPr>
        <w:t>provides significant benefits to</w:t>
      </w:r>
      <w:r w:rsidR="00E52560">
        <w:rPr>
          <w:rFonts w:cs="Times New Roman"/>
          <w:szCs w:val="24"/>
        </w:rPr>
        <w:t xml:space="preserve"> </w:t>
      </w:r>
      <w:r w:rsidR="00D75E04">
        <w:rPr>
          <w:rFonts w:cs="Times New Roman"/>
          <w:szCs w:val="24"/>
        </w:rPr>
        <w:t xml:space="preserve">Dayton-area </w:t>
      </w:r>
      <w:r w:rsidR="00E52560">
        <w:rPr>
          <w:rFonts w:cs="Times New Roman"/>
          <w:szCs w:val="24"/>
        </w:rPr>
        <w:t>consumers</w:t>
      </w:r>
      <w:r w:rsidR="00917F3C">
        <w:rPr>
          <w:rFonts w:cs="Times New Roman"/>
          <w:szCs w:val="24"/>
        </w:rPr>
        <w:t>,</w:t>
      </w:r>
      <w:r w:rsidR="006603FD">
        <w:rPr>
          <w:rFonts w:cs="Times New Roman"/>
          <w:szCs w:val="24"/>
        </w:rPr>
        <w:t xml:space="preserve"> </w:t>
      </w:r>
      <w:r>
        <w:rPr>
          <w:rFonts w:cs="Times New Roman"/>
          <w:szCs w:val="24"/>
        </w:rPr>
        <w:t>is just and reasonable</w:t>
      </w:r>
      <w:r w:rsidR="00917F3C">
        <w:rPr>
          <w:rFonts w:cs="Times New Roman"/>
          <w:szCs w:val="24"/>
        </w:rPr>
        <w:t xml:space="preserve">, and </w:t>
      </w:r>
      <w:r w:rsidR="006628EC">
        <w:rPr>
          <w:rFonts w:cs="Times New Roman"/>
          <w:szCs w:val="24"/>
        </w:rPr>
        <w:t>satisfies each of the PUCO’s three prongs for approval</w:t>
      </w:r>
      <w:r>
        <w:rPr>
          <w:rFonts w:cs="Times New Roman"/>
          <w:szCs w:val="24"/>
        </w:rPr>
        <w:t>.</w:t>
      </w:r>
    </w:p>
    <w:p w:rsidR="004D4F46" w:rsidP="00BC1DD7">
      <w:pPr>
        <w:ind w:firstLine="4320"/>
        <w:rPr>
          <w:rFonts w:cs="Times New Roman"/>
          <w:szCs w:val="24"/>
        </w:rPr>
      </w:pPr>
    </w:p>
    <w:p w:rsidR="004D4F46" w:rsidP="00BC1DD7">
      <w:pPr>
        <w:ind w:firstLine="4320"/>
        <w:rPr>
          <w:rFonts w:cs="Times New Roman"/>
          <w:szCs w:val="24"/>
        </w:rPr>
      </w:pPr>
    </w:p>
    <w:p w:rsidR="009B419A" w:rsidRPr="0070059A" w:rsidP="00BC1DD7">
      <w:pPr>
        <w:ind w:firstLine="4320"/>
        <w:rPr>
          <w:rFonts w:cs="Times New Roman"/>
          <w:szCs w:val="24"/>
        </w:rPr>
      </w:pPr>
      <w:r w:rsidRPr="0070059A">
        <w:rPr>
          <w:rFonts w:cs="Times New Roman"/>
          <w:szCs w:val="24"/>
        </w:rPr>
        <w:t>Respectfully submitted,</w:t>
      </w:r>
    </w:p>
    <w:p w:rsidR="009F086B" w:rsidRPr="0070059A" w:rsidP="00EC50A9">
      <w:pPr>
        <w:spacing w:after="0" w:line="240" w:lineRule="auto"/>
        <w:ind w:left="3600" w:firstLine="720"/>
        <w:rPr>
          <w:rFonts w:eastAsiaTheme="minorEastAsia" w:cs="Times New Roman"/>
          <w:szCs w:val="24"/>
        </w:rPr>
      </w:pPr>
      <w:r w:rsidRPr="0070059A">
        <w:rPr>
          <w:rFonts w:eastAsiaTheme="minorEastAsia" w:cs="Times New Roman"/>
          <w:szCs w:val="24"/>
        </w:rPr>
        <w:t>BRUCE WESTON (0016973)</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OHIO CONSUMERS' COUNSEL</w:t>
      </w:r>
    </w:p>
    <w:p w:rsidR="009F086B" w:rsidRPr="0070059A" w:rsidP="00EC50A9">
      <w:pPr>
        <w:spacing w:after="0" w:line="240" w:lineRule="auto"/>
        <w:ind w:firstLine="4320"/>
        <w:rPr>
          <w:rFonts w:eastAsiaTheme="minorEastAsia" w:cs="Times New Roman"/>
          <w:szCs w:val="24"/>
        </w:rPr>
      </w:pPr>
    </w:p>
    <w:p w:rsidR="00A00BDB" w:rsidRPr="00A00BDB" w:rsidP="00EC50A9">
      <w:pPr>
        <w:spacing w:after="0" w:line="240" w:lineRule="auto"/>
        <w:ind w:firstLine="4320"/>
        <w:rPr>
          <w:rFonts w:eastAsiaTheme="minorEastAsia" w:cs="Times New Roman"/>
          <w:i/>
          <w:szCs w:val="24"/>
          <w:u w:val="single"/>
        </w:rPr>
      </w:pPr>
      <w:r>
        <w:rPr>
          <w:rFonts w:eastAsiaTheme="minorEastAsia" w:cs="Times New Roman"/>
          <w:i/>
          <w:szCs w:val="24"/>
          <w:u w:val="single"/>
        </w:rPr>
        <w:t>/s/ Christopher Healey</w:t>
      </w:r>
      <w:r w:rsidR="000B60A5">
        <w:rPr>
          <w:rFonts w:eastAsiaTheme="minorEastAsia" w:cs="Times New Roman"/>
          <w:i/>
          <w:szCs w:val="24"/>
          <w:u w:val="single"/>
        </w:rPr>
        <w:tab/>
      </w:r>
      <w:r w:rsidR="000B60A5">
        <w:rPr>
          <w:rFonts w:eastAsiaTheme="minorEastAsia" w:cs="Times New Roman"/>
          <w:i/>
          <w:szCs w:val="24"/>
          <w:u w:val="single"/>
        </w:rPr>
        <w:tab/>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Terry L. Etter (0067445)</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Assistant Consumers' Counsel</w:t>
      </w:r>
    </w:p>
    <w:p w:rsidR="009F086B" w:rsidRPr="0070059A" w:rsidP="00EC50A9">
      <w:pPr>
        <w:spacing w:after="0" w:line="240" w:lineRule="auto"/>
        <w:ind w:firstLine="4320"/>
        <w:rPr>
          <w:rFonts w:eastAsiaTheme="minorEastAsia" w:cs="Times New Roman"/>
          <w:szCs w:val="24"/>
        </w:rPr>
      </w:pPr>
    </w:p>
    <w:p w:rsidR="009F086B" w:rsidRPr="0070059A" w:rsidP="00EC50A9">
      <w:pPr>
        <w:spacing w:after="0" w:line="240" w:lineRule="auto"/>
        <w:ind w:firstLine="4320"/>
        <w:rPr>
          <w:rFonts w:eastAsiaTheme="minorEastAsia" w:cs="Times New Roman"/>
          <w:b/>
          <w:szCs w:val="24"/>
        </w:rPr>
      </w:pPr>
      <w:r w:rsidRPr="0070059A">
        <w:rPr>
          <w:rFonts w:eastAsiaTheme="minorEastAsia" w:cs="Times New Roman"/>
          <w:b/>
          <w:szCs w:val="24"/>
        </w:rPr>
        <w:t>Office of the Ohio Consumers' Counsel</w:t>
      </w:r>
    </w:p>
    <w:p w:rsidR="00C26F2B" w:rsidRPr="0070059A" w:rsidP="00C26F2B">
      <w:pPr>
        <w:spacing w:after="0" w:line="240" w:lineRule="auto"/>
        <w:ind w:firstLine="4320"/>
        <w:rPr>
          <w:rFonts w:eastAsiaTheme="minorEastAsia" w:cs="Times New Roman"/>
          <w:szCs w:val="24"/>
        </w:rPr>
      </w:pPr>
      <w:r w:rsidRPr="0070059A">
        <w:rPr>
          <w:rFonts w:eastAsiaTheme="minorEastAsia" w:cs="Times New Roman"/>
          <w:szCs w:val="24"/>
        </w:rPr>
        <w:t>65 East State Street, 7th Floor</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Columbus, Ohio 43215</w:t>
      </w:r>
      <w:r w:rsidR="001D547A">
        <w:rPr>
          <w:rFonts w:eastAsiaTheme="minorEastAsia" w:cs="Times New Roman"/>
          <w:szCs w:val="24"/>
        </w:rPr>
        <w:t>-4213</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Telephone [Healey]: 614-466-9571</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Telephone [Etter]: 614-466-7964</w:t>
      </w:r>
    </w:p>
    <w:p w:rsidR="009F086B" w:rsidRPr="0070059A" w:rsidP="00EC50A9">
      <w:pPr>
        <w:spacing w:after="0" w:line="240" w:lineRule="auto"/>
        <w:ind w:firstLine="4320"/>
        <w:rPr>
          <w:rStyle w:val="Hyperlink"/>
          <w:rFonts w:eastAsiaTheme="minorEastAsia" w:cs="Times New Roman"/>
          <w:szCs w:val="24"/>
        </w:rPr>
      </w:pPr>
      <w:r w:rsidRPr="0070059A">
        <w:rPr>
          <w:rFonts w:eastAsiaTheme="minorEastAsia" w:cs="Times New Roman"/>
          <w:szCs w:val="24"/>
        </w:rPr>
        <w:t>christopher.healey@occ.ohio.gov</w:t>
      </w:r>
    </w:p>
    <w:p w:rsidR="009F086B" w:rsidRPr="0070059A" w:rsidP="00EC50A9">
      <w:pPr>
        <w:spacing w:after="0" w:line="240" w:lineRule="auto"/>
        <w:ind w:firstLine="4320"/>
        <w:rPr>
          <w:rFonts w:eastAsiaTheme="minorEastAsia" w:cs="Times New Roman"/>
          <w:color w:val="0000FF"/>
          <w:szCs w:val="24"/>
          <w:u w:val="single"/>
        </w:rPr>
      </w:pPr>
      <w:r w:rsidRPr="0070059A">
        <w:rPr>
          <w:rFonts w:eastAsiaTheme="minorEastAsia" w:cs="Times New Roman"/>
          <w:szCs w:val="24"/>
        </w:rPr>
        <w:t>terry.etter@occ.ohio.gov</w:t>
      </w:r>
    </w:p>
    <w:p w:rsidR="00EE19CA" w:rsidP="00EE19CA">
      <w:pPr>
        <w:ind w:firstLine="4320"/>
        <w:rPr>
          <w:rFonts w:eastAsiaTheme="minorEastAsia" w:cs="Times New Roman"/>
          <w:szCs w:val="24"/>
        </w:rPr>
        <w:sectPr w:rsidSect="009B419A">
          <w:footerReference w:type="default" r:id="rId9"/>
          <w:pgSz w:w="12240" w:h="15840"/>
          <w:pgMar w:top="1440" w:right="1800" w:bottom="1440" w:left="1800" w:header="720" w:footer="720" w:gutter="0"/>
          <w:pgNumType w:start="1"/>
          <w:cols w:space="720"/>
          <w:docGrid w:linePitch="360"/>
        </w:sectPr>
      </w:pPr>
      <w:r w:rsidRPr="0070059A">
        <w:rPr>
          <w:rFonts w:eastAsiaTheme="minorEastAsia" w:cs="Times New Roman"/>
          <w:szCs w:val="24"/>
        </w:rPr>
        <w:t>(</w:t>
      </w:r>
      <w:r w:rsidR="001D547A">
        <w:rPr>
          <w:rFonts w:eastAsiaTheme="minorEastAsia" w:cs="Times New Roman"/>
          <w:szCs w:val="24"/>
        </w:rPr>
        <w:t>will accept service via email</w:t>
      </w:r>
      <w:r w:rsidRPr="0070059A">
        <w:rPr>
          <w:rFonts w:eastAsiaTheme="minorEastAsia" w:cs="Times New Roman"/>
          <w:szCs w:val="24"/>
        </w:rPr>
        <w:t>)</w:t>
      </w:r>
    </w:p>
    <w:p w:rsidR="009B419A" w:rsidRPr="0070059A" w:rsidP="00EC50A9">
      <w:pPr>
        <w:spacing w:after="0" w:line="480" w:lineRule="auto"/>
        <w:ind w:firstLine="720"/>
        <w:jc w:val="center"/>
        <w:rPr>
          <w:rFonts w:eastAsiaTheme="minorEastAsia" w:cs="Times New Roman"/>
          <w:b/>
          <w:szCs w:val="24"/>
          <w:u w:val="single"/>
        </w:rPr>
      </w:pPr>
      <w:r w:rsidRPr="0070059A">
        <w:rPr>
          <w:rFonts w:eastAsiaTheme="minorEastAsia" w:cs="Times New Roman"/>
          <w:b/>
          <w:szCs w:val="24"/>
          <w:u w:val="single"/>
        </w:rPr>
        <w:t>CERTIFICATE OF SERVICE</w:t>
      </w:r>
    </w:p>
    <w:p w:rsidR="009B419A" w:rsidRPr="0070059A" w:rsidP="00EC50A9">
      <w:pPr>
        <w:spacing w:after="0" w:line="480" w:lineRule="auto"/>
        <w:ind w:firstLine="720"/>
        <w:rPr>
          <w:rFonts w:eastAsiaTheme="minorEastAsia" w:cs="Times New Roman"/>
          <w:szCs w:val="24"/>
        </w:rPr>
      </w:pPr>
      <w:r w:rsidRPr="0070059A">
        <w:rPr>
          <w:rFonts w:eastAsiaTheme="minorEastAsia" w:cs="Times New Roman"/>
          <w:szCs w:val="24"/>
        </w:rPr>
        <w:t>I hereby certify that a copy of th</w:t>
      </w:r>
      <w:r w:rsidR="007403FD">
        <w:rPr>
          <w:rFonts w:eastAsiaTheme="minorEastAsia" w:cs="Times New Roman"/>
          <w:szCs w:val="24"/>
        </w:rPr>
        <w:t>is Post-Hearing Brief</w:t>
      </w:r>
      <w:r w:rsidRPr="0070059A">
        <w:rPr>
          <w:rFonts w:eastAsiaTheme="minorEastAsia" w:cs="Times New Roman"/>
          <w:szCs w:val="24"/>
        </w:rPr>
        <w:t xml:space="preserve"> was served on the persons stated below via electronic transmission, this 1</w:t>
      </w:r>
      <w:r w:rsidR="007403FD">
        <w:rPr>
          <w:rFonts w:eastAsiaTheme="minorEastAsia" w:cs="Times New Roman"/>
          <w:szCs w:val="24"/>
        </w:rPr>
        <w:t>7</w:t>
      </w:r>
      <w:r w:rsidRPr="0070059A">
        <w:rPr>
          <w:rFonts w:eastAsiaTheme="minorEastAsia" w:cs="Times New Roman"/>
          <w:szCs w:val="24"/>
        </w:rPr>
        <w:t xml:space="preserve">th day of </w:t>
      </w:r>
      <w:r w:rsidR="007403FD">
        <w:rPr>
          <w:rFonts w:eastAsiaTheme="minorEastAsia" w:cs="Times New Roman"/>
          <w:szCs w:val="24"/>
        </w:rPr>
        <w:t>August</w:t>
      </w:r>
      <w:r w:rsidRPr="0070059A">
        <w:rPr>
          <w:rFonts w:eastAsiaTheme="minorEastAsia" w:cs="Times New Roman"/>
          <w:szCs w:val="24"/>
        </w:rPr>
        <w:t xml:space="preserve"> 2018.</w:t>
      </w:r>
    </w:p>
    <w:p w:rsidR="009B419A" w:rsidRPr="0070059A" w:rsidP="00EC50A9">
      <w:pPr>
        <w:spacing w:after="0" w:line="240" w:lineRule="auto"/>
        <w:ind w:firstLine="720"/>
        <w:rPr>
          <w:rFonts w:eastAsiaTheme="minorEastAsia" w:cs="Times New Roman"/>
          <w:i/>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i/>
          <w:szCs w:val="24"/>
          <w:u w:val="single"/>
        </w:rPr>
        <w:t>/s/ Christopher Healey</w:t>
      </w:r>
      <w:r w:rsidRPr="0070059A">
        <w:rPr>
          <w:rFonts w:eastAsiaTheme="minorEastAsia" w:cs="Times New Roman"/>
          <w:i/>
          <w:szCs w:val="24"/>
          <w:u w:val="single"/>
        </w:rPr>
        <w:tab/>
      </w:r>
    </w:p>
    <w:p w:rsidR="009B419A" w:rsidRPr="0070059A" w:rsidP="00EC50A9">
      <w:pPr>
        <w:spacing w:after="0" w:line="240" w:lineRule="auto"/>
        <w:ind w:firstLine="720"/>
        <w:rPr>
          <w:rFonts w:eastAsiaTheme="minorEastAsia" w:cs="Times New Roman"/>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t>Christopher Healey</w:t>
      </w:r>
    </w:p>
    <w:p w:rsidR="009B419A" w:rsidRPr="0070059A" w:rsidP="00EC50A9">
      <w:pPr>
        <w:spacing w:after="0" w:line="240" w:lineRule="auto"/>
        <w:ind w:firstLine="720"/>
        <w:rPr>
          <w:rFonts w:eastAsiaTheme="minorEastAsia" w:cs="Times New Roman"/>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t>Counsel of Record</w:t>
      </w:r>
    </w:p>
    <w:p w:rsidR="009B419A" w:rsidRPr="0070059A" w:rsidP="00EC50A9">
      <w:pPr>
        <w:spacing w:after="0" w:line="480" w:lineRule="auto"/>
        <w:ind w:firstLine="720"/>
        <w:jc w:val="center"/>
        <w:rPr>
          <w:rFonts w:eastAsiaTheme="minorEastAsia" w:cs="Times New Roman"/>
          <w:szCs w:val="24"/>
        </w:rPr>
      </w:pPr>
    </w:p>
    <w:p w:rsidR="009B419A" w:rsidRPr="0070059A" w:rsidP="00EC50A9">
      <w:pPr>
        <w:spacing w:after="0" w:line="240" w:lineRule="auto"/>
        <w:ind w:firstLine="720"/>
        <w:jc w:val="center"/>
        <w:rPr>
          <w:rFonts w:eastAsiaTheme="minorEastAsia" w:cs="Times New Roman"/>
          <w:b/>
          <w:szCs w:val="24"/>
        </w:rPr>
      </w:pPr>
      <w:r w:rsidRPr="0070059A">
        <w:rPr>
          <w:rFonts w:eastAsiaTheme="minorEastAsia" w:cs="Times New Roman"/>
          <w:b/>
          <w:szCs w:val="24"/>
        </w:rPr>
        <w:t>SERVICE LIST</w:t>
      </w:r>
    </w:p>
    <w:p w:rsidR="009B419A" w:rsidRPr="0070059A" w:rsidP="00EC50A9">
      <w:pPr>
        <w:pStyle w:val="CommentText"/>
        <w:rPr>
          <w:b/>
          <w:u w:val="single"/>
        </w:rPr>
      </w:pPr>
    </w:p>
    <w:tbl>
      <w:tblPr>
        <w:tblStyle w:val="TableGrid"/>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117"/>
      </w:tblGrid>
      <w:tr w:rsidTr="00D84FE8">
        <w:tblPrEx>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80" w:type="dxa"/>
          </w:tcPr>
          <w:p w:rsidR="004C352B" w:rsidRPr="00E96F6D" w:rsidP="00AF11E1">
            <w:pPr>
              <w:autoSpaceDE w:val="0"/>
              <w:autoSpaceDN w:val="0"/>
              <w:adjustRightInd w:val="0"/>
              <w:rPr>
                <w:rFonts w:cs="Times New Roman"/>
                <w:szCs w:val="24"/>
              </w:rPr>
            </w:pPr>
            <w:r>
              <w:rPr>
                <w:rFonts w:cs="Times New Roman"/>
                <w:szCs w:val="24"/>
              </w:rPr>
              <w:t>Thomas.mcnamee@ohioattorneygeneral.gov</w:t>
            </w:r>
          </w:p>
          <w:p w:rsidR="004C352B" w:rsidRPr="00E96F6D" w:rsidP="00AF11E1">
            <w:pPr>
              <w:autoSpaceDE w:val="0"/>
              <w:autoSpaceDN w:val="0"/>
              <w:adjustRightInd w:val="0"/>
              <w:rPr>
                <w:rFonts w:cs="Times New Roman"/>
                <w:szCs w:val="24"/>
              </w:rPr>
            </w:pPr>
            <w:r w:rsidRPr="00E96F6D">
              <w:rPr>
                <w:rFonts w:cs="Times New Roman"/>
                <w:szCs w:val="24"/>
              </w:rPr>
              <w:t xml:space="preserve">Bojko@carpenterlipps.com </w:t>
            </w:r>
          </w:p>
          <w:p w:rsidR="004C352B" w:rsidRPr="00E96F6D" w:rsidP="00AF11E1">
            <w:pPr>
              <w:autoSpaceDE w:val="0"/>
              <w:autoSpaceDN w:val="0"/>
              <w:adjustRightInd w:val="0"/>
              <w:rPr>
                <w:rFonts w:cs="Times New Roman"/>
                <w:szCs w:val="24"/>
              </w:rPr>
            </w:pPr>
            <w:r w:rsidRPr="00E96F6D">
              <w:rPr>
                <w:rFonts w:cs="Times New Roman"/>
                <w:szCs w:val="24"/>
              </w:rPr>
              <w:t xml:space="preserve">ORourke@carpenterlipps.com </w:t>
            </w:r>
          </w:p>
          <w:p w:rsidR="004C352B" w:rsidRPr="00E96F6D" w:rsidP="00AF11E1">
            <w:pPr>
              <w:autoSpaceDE w:val="0"/>
              <w:autoSpaceDN w:val="0"/>
              <w:adjustRightInd w:val="0"/>
              <w:rPr>
                <w:rFonts w:cs="Times New Roman"/>
                <w:szCs w:val="24"/>
              </w:rPr>
            </w:pPr>
            <w:r w:rsidRPr="00E96F6D">
              <w:rPr>
                <w:rFonts w:cs="Times New Roman"/>
                <w:szCs w:val="24"/>
              </w:rPr>
              <w:t xml:space="preserve">ghiloni@carpenterlipps.com </w:t>
            </w:r>
          </w:p>
          <w:p w:rsidR="004C352B" w:rsidRPr="00E96F6D" w:rsidP="00AF11E1">
            <w:pPr>
              <w:autoSpaceDE w:val="0"/>
              <w:autoSpaceDN w:val="0"/>
              <w:adjustRightInd w:val="0"/>
              <w:rPr>
                <w:rFonts w:cs="Times New Roman"/>
                <w:szCs w:val="24"/>
              </w:rPr>
            </w:pPr>
            <w:r w:rsidRPr="00E96F6D">
              <w:rPr>
                <w:rFonts w:cs="Times New Roman"/>
                <w:szCs w:val="24"/>
              </w:rPr>
              <w:t xml:space="preserve">sechler@carpenterlipps.com   </w:t>
            </w:r>
          </w:p>
          <w:p w:rsidR="004C352B" w:rsidRPr="00E96F6D" w:rsidP="00AF11E1">
            <w:pPr>
              <w:autoSpaceDE w:val="0"/>
              <w:autoSpaceDN w:val="0"/>
              <w:adjustRightInd w:val="0"/>
              <w:rPr>
                <w:rFonts w:cs="Times New Roman"/>
                <w:szCs w:val="24"/>
              </w:rPr>
            </w:pPr>
            <w:r w:rsidRPr="00E96F6D">
              <w:rPr>
                <w:rFonts w:cs="Times New Roman"/>
                <w:szCs w:val="24"/>
              </w:rPr>
              <w:t xml:space="preserve">dboehm@BKLlawfirm.com </w:t>
            </w:r>
          </w:p>
          <w:p w:rsidR="004C352B" w:rsidRPr="00E96F6D" w:rsidP="00AF11E1">
            <w:pPr>
              <w:autoSpaceDE w:val="0"/>
              <w:autoSpaceDN w:val="0"/>
              <w:adjustRightInd w:val="0"/>
              <w:rPr>
                <w:rFonts w:cs="Times New Roman"/>
                <w:szCs w:val="24"/>
              </w:rPr>
            </w:pPr>
            <w:r w:rsidRPr="00E96F6D">
              <w:rPr>
                <w:rFonts w:cs="Times New Roman"/>
                <w:szCs w:val="24"/>
              </w:rPr>
              <w:t xml:space="preserve">mkurtz@BKLlawfirm.com </w:t>
            </w:r>
          </w:p>
          <w:p w:rsidR="004C352B" w:rsidRPr="00E96F6D" w:rsidP="00AF11E1">
            <w:pPr>
              <w:autoSpaceDE w:val="0"/>
              <w:autoSpaceDN w:val="0"/>
              <w:adjustRightInd w:val="0"/>
              <w:rPr>
                <w:rFonts w:cs="Times New Roman"/>
                <w:szCs w:val="24"/>
              </w:rPr>
            </w:pPr>
            <w:r w:rsidRPr="00E96F6D">
              <w:rPr>
                <w:rFonts w:cs="Times New Roman"/>
                <w:szCs w:val="24"/>
              </w:rPr>
              <w:t xml:space="preserve">jkylercohn@BKLlawfirm.com </w:t>
            </w:r>
          </w:p>
          <w:p w:rsidR="004C352B" w:rsidRPr="00E96F6D" w:rsidP="00AF11E1">
            <w:pPr>
              <w:autoSpaceDE w:val="0"/>
              <w:autoSpaceDN w:val="0"/>
              <w:adjustRightInd w:val="0"/>
              <w:rPr>
                <w:rFonts w:cs="Times New Roman"/>
                <w:szCs w:val="24"/>
              </w:rPr>
            </w:pPr>
            <w:r w:rsidRPr="00E96F6D">
              <w:rPr>
                <w:rFonts w:cs="Times New Roman"/>
                <w:szCs w:val="24"/>
              </w:rPr>
              <w:t xml:space="preserve">sam@mwncmh.com </w:t>
            </w:r>
          </w:p>
          <w:p w:rsidR="004C352B" w:rsidRPr="00E96F6D" w:rsidP="00AF11E1">
            <w:pPr>
              <w:autoSpaceDE w:val="0"/>
              <w:autoSpaceDN w:val="0"/>
              <w:adjustRightInd w:val="0"/>
              <w:rPr>
                <w:rFonts w:cs="Times New Roman"/>
                <w:szCs w:val="24"/>
              </w:rPr>
            </w:pPr>
            <w:r w:rsidRPr="00E96F6D">
              <w:rPr>
                <w:rFonts w:cs="Times New Roman"/>
                <w:szCs w:val="24"/>
              </w:rPr>
              <w:t xml:space="preserve">fdarr@mwncmh.com </w:t>
            </w:r>
          </w:p>
          <w:p w:rsidR="004C352B" w:rsidRPr="00E96F6D" w:rsidP="00AF11E1">
            <w:pPr>
              <w:autoSpaceDE w:val="0"/>
              <w:autoSpaceDN w:val="0"/>
              <w:adjustRightInd w:val="0"/>
              <w:rPr>
                <w:rFonts w:cs="Times New Roman"/>
                <w:szCs w:val="24"/>
              </w:rPr>
            </w:pPr>
            <w:r w:rsidRPr="00E96F6D">
              <w:rPr>
                <w:rFonts w:cs="Times New Roman"/>
                <w:szCs w:val="24"/>
              </w:rPr>
              <w:t xml:space="preserve">mpritchard@mwncmh.com </w:t>
            </w:r>
          </w:p>
          <w:p w:rsidR="004C352B" w:rsidRPr="00E96F6D" w:rsidP="00AF11E1">
            <w:pPr>
              <w:autoSpaceDE w:val="0"/>
              <w:autoSpaceDN w:val="0"/>
              <w:adjustRightInd w:val="0"/>
              <w:rPr>
                <w:rFonts w:cs="Times New Roman"/>
                <w:szCs w:val="24"/>
              </w:rPr>
            </w:pPr>
            <w:r w:rsidRPr="00E96F6D">
              <w:rPr>
                <w:rFonts w:cs="Times New Roman"/>
                <w:szCs w:val="24"/>
              </w:rPr>
              <w:t xml:space="preserve">jlang@calfee.com </w:t>
            </w:r>
          </w:p>
          <w:p w:rsidR="004C352B" w:rsidRPr="00E96F6D" w:rsidP="00AF11E1">
            <w:pPr>
              <w:autoSpaceDE w:val="0"/>
              <w:autoSpaceDN w:val="0"/>
              <w:adjustRightInd w:val="0"/>
              <w:rPr>
                <w:rFonts w:cs="Times New Roman"/>
                <w:szCs w:val="24"/>
              </w:rPr>
            </w:pPr>
            <w:r w:rsidRPr="00E96F6D">
              <w:rPr>
                <w:rFonts w:cs="Times New Roman"/>
                <w:szCs w:val="24"/>
              </w:rPr>
              <w:t xml:space="preserve">talexander@calfee.com </w:t>
            </w:r>
          </w:p>
          <w:p w:rsidR="004C352B" w:rsidRPr="00E96F6D" w:rsidP="00AF11E1">
            <w:pPr>
              <w:autoSpaceDE w:val="0"/>
              <w:autoSpaceDN w:val="0"/>
              <w:adjustRightInd w:val="0"/>
              <w:rPr>
                <w:rFonts w:cs="Times New Roman"/>
                <w:szCs w:val="24"/>
              </w:rPr>
            </w:pPr>
            <w:r w:rsidRPr="00E96F6D">
              <w:rPr>
                <w:rFonts w:cs="Times New Roman"/>
                <w:szCs w:val="24"/>
              </w:rPr>
              <w:t xml:space="preserve">slesser@calfee.com </w:t>
            </w:r>
          </w:p>
          <w:p w:rsidR="004C352B" w:rsidRPr="00E96F6D" w:rsidP="00AF11E1">
            <w:pPr>
              <w:autoSpaceDE w:val="0"/>
              <w:autoSpaceDN w:val="0"/>
              <w:adjustRightInd w:val="0"/>
              <w:rPr>
                <w:rFonts w:cs="Times New Roman"/>
                <w:szCs w:val="24"/>
              </w:rPr>
            </w:pPr>
            <w:r w:rsidRPr="00E96F6D">
              <w:rPr>
                <w:rFonts w:cs="Times New Roman"/>
                <w:szCs w:val="24"/>
              </w:rPr>
              <w:t xml:space="preserve">jvickers@elpc.org </w:t>
            </w:r>
          </w:p>
          <w:p w:rsidR="004C352B" w:rsidRPr="00E96F6D" w:rsidP="00AF11E1">
            <w:pPr>
              <w:autoSpaceDE w:val="0"/>
              <w:autoSpaceDN w:val="0"/>
              <w:adjustRightInd w:val="0"/>
              <w:rPr>
                <w:rFonts w:cs="Times New Roman"/>
                <w:szCs w:val="24"/>
              </w:rPr>
            </w:pPr>
            <w:r w:rsidRPr="00E96F6D">
              <w:rPr>
                <w:rFonts w:cs="Times New Roman"/>
                <w:szCs w:val="24"/>
              </w:rPr>
              <w:t xml:space="preserve">tdougherty@theOEC.org </w:t>
            </w:r>
          </w:p>
          <w:p w:rsidR="004C352B" w:rsidRPr="00E96F6D" w:rsidP="00AF11E1">
            <w:pPr>
              <w:autoSpaceDE w:val="0"/>
              <w:autoSpaceDN w:val="0"/>
              <w:adjustRightInd w:val="0"/>
              <w:rPr>
                <w:rFonts w:cs="Times New Roman"/>
                <w:szCs w:val="24"/>
              </w:rPr>
            </w:pPr>
            <w:r w:rsidRPr="00E96F6D">
              <w:rPr>
                <w:rFonts w:cs="Times New Roman"/>
                <w:szCs w:val="24"/>
              </w:rPr>
              <w:t xml:space="preserve">mleppla@theOEC.org </w:t>
            </w:r>
          </w:p>
          <w:p w:rsidR="004C352B" w:rsidRPr="00E96F6D" w:rsidP="00AF11E1">
            <w:pPr>
              <w:autoSpaceDE w:val="0"/>
              <w:autoSpaceDN w:val="0"/>
              <w:adjustRightInd w:val="0"/>
              <w:rPr>
                <w:rFonts w:cs="Times New Roman"/>
                <w:szCs w:val="24"/>
              </w:rPr>
            </w:pPr>
            <w:r w:rsidRPr="00E96F6D">
              <w:rPr>
                <w:rFonts w:cs="Times New Roman"/>
                <w:szCs w:val="24"/>
              </w:rPr>
              <w:t xml:space="preserve">jfinnigan@edf.org </w:t>
            </w:r>
          </w:p>
          <w:p w:rsidR="004C352B" w:rsidRPr="00E96F6D" w:rsidP="00AF11E1">
            <w:pPr>
              <w:autoSpaceDE w:val="0"/>
              <w:autoSpaceDN w:val="0"/>
              <w:adjustRightInd w:val="0"/>
              <w:rPr>
                <w:rFonts w:cs="Times New Roman"/>
                <w:szCs w:val="24"/>
              </w:rPr>
            </w:pPr>
            <w:r w:rsidRPr="00E96F6D">
              <w:rPr>
                <w:rFonts w:cs="Times New Roman"/>
                <w:szCs w:val="24"/>
              </w:rPr>
              <w:t xml:space="preserve">swilliams@nrdc.org </w:t>
            </w:r>
          </w:p>
          <w:p w:rsidR="004C352B" w:rsidRPr="00E96F6D" w:rsidP="00AF11E1">
            <w:pPr>
              <w:rPr>
                <w:rFonts w:cs="Times New Roman"/>
                <w:szCs w:val="24"/>
              </w:rPr>
            </w:pPr>
            <w:r w:rsidRPr="00E96F6D">
              <w:rPr>
                <w:rFonts w:cs="Times New Roman"/>
                <w:szCs w:val="24"/>
              </w:rPr>
              <w:t xml:space="preserve">rdove@attorneydove.com  </w:t>
            </w:r>
          </w:p>
          <w:p w:rsidR="004C352B" w:rsidRPr="00E96F6D" w:rsidP="00AF11E1">
            <w:pPr>
              <w:rPr>
                <w:rFonts w:cs="Times New Roman"/>
                <w:szCs w:val="24"/>
              </w:rPr>
            </w:pPr>
            <w:r w:rsidRPr="00E96F6D">
              <w:rPr>
                <w:rFonts w:cs="Times New Roman"/>
                <w:szCs w:val="24"/>
              </w:rPr>
              <w:t xml:space="preserve">kfield@elpc.org </w:t>
            </w:r>
          </w:p>
          <w:p w:rsidR="004C352B" w:rsidRPr="00E96F6D" w:rsidP="00AF11E1">
            <w:pPr>
              <w:rPr>
                <w:rFonts w:cs="Times New Roman"/>
                <w:szCs w:val="24"/>
              </w:rPr>
            </w:pPr>
            <w:r w:rsidRPr="00E96F6D">
              <w:rPr>
                <w:rFonts w:cs="Times New Roman"/>
                <w:szCs w:val="24"/>
              </w:rPr>
              <w:t xml:space="preserve">mfleisher@elpc.org </w:t>
            </w:r>
          </w:p>
          <w:p w:rsidR="004C352B" w:rsidRPr="00E96F6D" w:rsidP="00AF11E1">
            <w:pPr>
              <w:rPr>
                <w:rFonts w:cs="Times New Roman"/>
                <w:szCs w:val="24"/>
              </w:rPr>
            </w:pPr>
          </w:p>
          <w:p w:rsidR="004C352B" w:rsidRPr="00E96F6D" w:rsidP="00AF11E1">
            <w:pPr>
              <w:autoSpaceDE w:val="0"/>
              <w:autoSpaceDN w:val="0"/>
              <w:adjustRightInd w:val="0"/>
              <w:rPr>
                <w:rFonts w:cs="Times New Roman"/>
                <w:szCs w:val="24"/>
              </w:rPr>
            </w:pPr>
            <w:r w:rsidRPr="00E96F6D">
              <w:rPr>
                <w:rFonts w:cs="Times New Roman"/>
                <w:szCs w:val="24"/>
              </w:rPr>
              <w:t>Attorney Examiners:</w:t>
            </w:r>
          </w:p>
          <w:p w:rsidR="004C352B" w:rsidP="00AF11E1">
            <w:pPr>
              <w:rPr>
                <w:rFonts w:cs="Times New Roman"/>
                <w:szCs w:val="24"/>
              </w:rPr>
            </w:pPr>
            <w:r w:rsidRPr="00E96F6D">
              <w:rPr>
                <w:rFonts w:cs="Times New Roman"/>
                <w:szCs w:val="24"/>
              </w:rPr>
              <w:t xml:space="preserve">gregory.price@puc.state.oh.us </w:t>
            </w:r>
          </w:p>
          <w:p w:rsidR="004C352B" w:rsidRPr="00E96F6D" w:rsidP="00AF11E1">
            <w:pPr>
              <w:rPr>
                <w:rFonts w:cs="Times New Roman"/>
                <w:szCs w:val="24"/>
              </w:rPr>
            </w:pPr>
            <w:r>
              <w:rPr>
                <w:rFonts w:cs="Times New Roman"/>
                <w:szCs w:val="24"/>
              </w:rPr>
              <w:t>patricia.schabo@puc.state.oh.us</w:t>
            </w:r>
          </w:p>
        </w:tc>
        <w:tc>
          <w:tcPr>
            <w:tcW w:w="4114" w:type="dxa"/>
          </w:tcPr>
          <w:p w:rsidR="004C352B" w:rsidRPr="00E96F6D" w:rsidP="00AF11E1">
            <w:pPr>
              <w:autoSpaceDE w:val="0"/>
              <w:autoSpaceDN w:val="0"/>
              <w:adjustRightInd w:val="0"/>
              <w:rPr>
                <w:rFonts w:cs="Times New Roman"/>
                <w:szCs w:val="24"/>
              </w:rPr>
            </w:pPr>
            <w:r w:rsidRPr="00E96F6D">
              <w:rPr>
                <w:rFonts w:cs="Times New Roman"/>
                <w:szCs w:val="24"/>
              </w:rPr>
              <w:t xml:space="preserve">Michael.schuler@aes.com </w:t>
            </w:r>
          </w:p>
          <w:p w:rsidR="004C352B" w:rsidRPr="00E96F6D" w:rsidP="00AF11E1">
            <w:pPr>
              <w:autoSpaceDE w:val="0"/>
              <w:autoSpaceDN w:val="0"/>
              <w:adjustRightInd w:val="0"/>
              <w:rPr>
                <w:rFonts w:cs="Times New Roman"/>
                <w:szCs w:val="24"/>
              </w:rPr>
            </w:pPr>
            <w:r w:rsidRPr="00E96F6D">
              <w:rPr>
                <w:rFonts w:cs="Times New Roman"/>
                <w:szCs w:val="24"/>
              </w:rPr>
              <w:t xml:space="preserve">djireland@ficlaw.com </w:t>
            </w:r>
          </w:p>
          <w:p w:rsidR="004C352B" w:rsidRPr="00E96F6D" w:rsidP="00AF11E1">
            <w:pPr>
              <w:autoSpaceDE w:val="0"/>
              <w:autoSpaceDN w:val="0"/>
              <w:adjustRightInd w:val="0"/>
              <w:rPr>
                <w:rFonts w:cs="Times New Roman"/>
                <w:szCs w:val="24"/>
              </w:rPr>
            </w:pPr>
            <w:r w:rsidRPr="00E96F6D">
              <w:rPr>
                <w:rFonts w:cs="Times New Roman"/>
                <w:szCs w:val="24"/>
              </w:rPr>
              <w:t xml:space="preserve">jsharkey@ficlaw.com </w:t>
            </w:r>
          </w:p>
          <w:p w:rsidR="004C352B" w:rsidRPr="00E96F6D" w:rsidP="00AF11E1">
            <w:pPr>
              <w:autoSpaceDE w:val="0"/>
              <w:autoSpaceDN w:val="0"/>
              <w:adjustRightInd w:val="0"/>
              <w:rPr>
                <w:rFonts w:cs="Times New Roman"/>
                <w:szCs w:val="24"/>
              </w:rPr>
            </w:pPr>
            <w:r w:rsidRPr="00E96F6D">
              <w:rPr>
                <w:rFonts w:cs="Times New Roman"/>
                <w:szCs w:val="24"/>
              </w:rPr>
              <w:t xml:space="preserve">Kurt.Helfrich@ThompsonHine.com </w:t>
            </w:r>
          </w:p>
          <w:p w:rsidR="004C352B" w:rsidRPr="00E96F6D" w:rsidP="00AF11E1">
            <w:pPr>
              <w:autoSpaceDE w:val="0"/>
              <w:autoSpaceDN w:val="0"/>
              <w:adjustRightInd w:val="0"/>
              <w:rPr>
                <w:rFonts w:cs="Times New Roman"/>
                <w:szCs w:val="24"/>
              </w:rPr>
            </w:pPr>
            <w:r w:rsidRPr="00E96F6D">
              <w:rPr>
                <w:rFonts w:cs="Times New Roman"/>
                <w:szCs w:val="24"/>
              </w:rPr>
              <w:t xml:space="preserve">Stephanie.Chmiel@ThompsonHine.com </w:t>
            </w:r>
          </w:p>
          <w:p w:rsidR="004C352B" w:rsidRPr="00E96F6D" w:rsidP="00AF11E1">
            <w:pPr>
              <w:autoSpaceDE w:val="0"/>
              <w:autoSpaceDN w:val="0"/>
              <w:adjustRightInd w:val="0"/>
              <w:rPr>
                <w:rFonts w:cs="Times New Roman"/>
                <w:szCs w:val="24"/>
              </w:rPr>
            </w:pPr>
            <w:r w:rsidRPr="00E96F6D">
              <w:rPr>
                <w:rFonts w:cs="Times New Roman"/>
                <w:szCs w:val="24"/>
              </w:rPr>
              <w:t xml:space="preserve">Michael.Austin@ThompsonHine.com </w:t>
            </w:r>
          </w:p>
          <w:p w:rsidR="004C352B" w:rsidRPr="00E96F6D" w:rsidP="00AF11E1">
            <w:pPr>
              <w:autoSpaceDE w:val="0"/>
              <w:autoSpaceDN w:val="0"/>
              <w:adjustRightInd w:val="0"/>
              <w:rPr>
                <w:rFonts w:cs="Times New Roman"/>
                <w:szCs w:val="24"/>
              </w:rPr>
            </w:pPr>
            <w:r w:rsidRPr="00E96F6D">
              <w:rPr>
                <w:rFonts w:cs="Times New Roman"/>
                <w:szCs w:val="24"/>
              </w:rPr>
              <w:t xml:space="preserve">mfleisher@elpc.org </w:t>
            </w:r>
          </w:p>
          <w:p w:rsidR="004C352B" w:rsidRPr="00E96F6D" w:rsidP="00AF11E1">
            <w:pPr>
              <w:autoSpaceDE w:val="0"/>
              <w:autoSpaceDN w:val="0"/>
              <w:adjustRightInd w:val="0"/>
              <w:rPr>
                <w:rFonts w:cs="Times New Roman"/>
                <w:szCs w:val="24"/>
              </w:rPr>
            </w:pPr>
            <w:r w:rsidRPr="00E96F6D">
              <w:rPr>
                <w:rFonts w:cs="Times New Roman"/>
                <w:szCs w:val="24"/>
              </w:rPr>
              <w:t xml:space="preserve">dparram@taftlaw.com </w:t>
            </w:r>
          </w:p>
          <w:p w:rsidR="004C352B" w:rsidRPr="00E96F6D" w:rsidP="00AF11E1">
            <w:pPr>
              <w:autoSpaceDE w:val="0"/>
              <w:autoSpaceDN w:val="0"/>
              <w:adjustRightInd w:val="0"/>
              <w:rPr>
                <w:rFonts w:cs="Times New Roman"/>
                <w:szCs w:val="24"/>
              </w:rPr>
            </w:pPr>
            <w:r w:rsidRPr="00E96F6D">
              <w:rPr>
                <w:rFonts w:cs="Times New Roman"/>
                <w:szCs w:val="24"/>
              </w:rPr>
              <w:t xml:space="preserve">thomas.jernigan.3@us.af.mil </w:t>
            </w:r>
          </w:p>
          <w:p w:rsidR="004C352B" w:rsidRPr="00E96F6D" w:rsidP="00AF11E1">
            <w:pPr>
              <w:autoSpaceDE w:val="0"/>
              <w:autoSpaceDN w:val="0"/>
              <w:adjustRightInd w:val="0"/>
              <w:rPr>
                <w:rFonts w:cs="Times New Roman"/>
                <w:szCs w:val="24"/>
              </w:rPr>
            </w:pPr>
            <w:r w:rsidRPr="00E96F6D">
              <w:rPr>
                <w:rFonts w:cs="Times New Roman"/>
                <w:szCs w:val="24"/>
              </w:rPr>
              <w:t xml:space="preserve">cmooney@ohiopartners.org </w:t>
            </w:r>
          </w:p>
          <w:p w:rsidR="004C352B" w:rsidRPr="00E96F6D" w:rsidP="00AF11E1">
            <w:pPr>
              <w:autoSpaceDE w:val="0"/>
              <w:autoSpaceDN w:val="0"/>
              <w:adjustRightInd w:val="0"/>
              <w:rPr>
                <w:rFonts w:cs="Times New Roman"/>
                <w:szCs w:val="24"/>
              </w:rPr>
            </w:pPr>
            <w:r w:rsidRPr="00E96F6D">
              <w:rPr>
                <w:rFonts w:cs="Times New Roman"/>
                <w:szCs w:val="24"/>
              </w:rPr>
              <w:t xml:space="preserve">jschlesinger@kfwlaw.com </w:t>
            </w:r>
          </w:p>
          <w:p w:rsidR="004C352B" w:rsidRPr="00E96F6D" w:rsidP="00AF11E1">
            <w:pPr>
              <w:autoSpaceDE w:val="0"/>
              <w:autoSpaceDN w:val="0"/>
              <w:adjustRightInd w:val="0"/>
              <w:rPr>
                <w:rFonts w:cs="Times New Roman"/>
                <w:szCs w:val="24"/>
              </w:rPr>
            </w:pPr>
            <w:r w:rsidRPr="00E96F6D">
              <w:rPr>
                <w:rFonts w:cs="Times New Roman"/>
                <w:szCs w:val="24"/>
              </w:rPr>
              <w:t>dborchers@bricker.com</w:t>
            </w:r>
          </w:p>
          <w:p w:rsidR="004C352B" w:rsidRPr="00E96F6D" w:rsidP="00AF11E1">
            <w:pPr>
              <w:autoSpaceDE w:val="0"/>
              <w:autoSpaceDN w:val="0"/>
              <w:adjustRightInd w:val="0"/>
              <w:rPr>
                <w:rFonts w:cs="Times New Roman"/>
                <w:szCs w:val="24"/>
              </w:rPr>
            </w:pPr>
            <w:r w:rsidRPr="00E96F6D">
              <w:rPr>
                <w:rFonts w:cs="Times New Roman"/>
                <w:szCs w:val="24"/>
              </w:rPr>
              <w:t xml:space="preserve">mwarnock@bricker.com </w:t>
            </w:r>
          </w:p>
          <w:p w:rsidR="004C352B" w:rsidRPr="00E96F6D" w:rsidP="00AF11E1">
            <w:pPr>
              <w:autoSpaceDE w:val="0"/>
              <w:autoSpaceDN w:val="0"/>
              <w:adjustRightInd w:val="0"/>
              <w:rPr>
                <w:rFonts w:cs="Times New Roman"/>
                <w:szCs w:val="24"/>
              </w:rPr>
            </w:pPr>
            <w:r w:rsidRPr="00E96F6D">
              <w:rPr>
                <w:rFonts w:cs="Times New Roman"/>
                <w:szCs w:val="24"/>
              </w:rPr>
              <w:t xml:space="preserve">ejacobs@ablelaw.org </w:t>
            </w:r>
          </w:p>
          <w:p w:rsidR="004C352B" w:rsidRPr="00E96F6D" w:rsidP="00AF11E1">
            <w:pPr>
              <w:autoSpaceDE w:val="0"/>
              <w:autoSpaceDN w:val="0"/>
              <w:adjustRightInd w:val="0"/>
              <w:rPr>
                <w:rFonts w:cs="Times New Roman"/>
                <w:szCs w:val="24"/>
              </w:rPr>
            </w:pPr>
            <w:r w:rsidRPr="00E96F6D">
              <w:rPr>
                <w:rFonts w:cs="Times New Roman"/>
                <w:szCs w:val="24"/>
              </w:rPr>
              <w:t xml:space="preserve">joliker@igsenergy.com </w:t>
            </w:r>
          </w:p>
          <w:p w:rsidR="004C352B" w:rsidRPr="00E96F6D" w:rsidP="00AF11E1">
            <w:pPr>
              <w:autoSpaceDE w:val="0"/>
              <w:autoSpaceDN w:val="0"/>
              <w:adjustRightInd w:val="0"/>
              <w:rPr>
                <w:rFonts w:cs="Times New Roman"/>
                <w:szCs w:val="24"/>
              </w:rPr>
            </w:pPr>
            <w:r w:rsidRPr="00E96F6D">
              <w:rPr>
                <w:rFonts w:cs="Times New Roman"/>
                <w:szCs w:val="24"/>
              </w:rPr>
              <w:t xml:space="preserve">lhawrot@spilmanlaw.com </w:t>
            </w:r>
          </w:p>
          <w:p w:rsidR="004C352B" w:rsidRPr="00E96F6D" w:rsidP="00AF11E1">
            <w:pPr>
              <w:autoSpaceDE w:val="0"/>
              <w:autoSpaceDN w:val="0"/>
              <w:adjustRightInd w:val="0"/>
              <w:rPr>
                <w:rFonts w:cs="Times New Roman"/>
                <w:szCs w:val="24"/>
              </w:rPr>
            </w:pPr>
            <w:r w:rsidRPr="00E96F6D">
              <w:rPr>
                <w:rFonts w:cs="Times New Roman"/>
                <w:szCs w:val="24"/>
              </w:rPr>
              <w:t xml:space="preserve">dwilliamson@spilmanlaw.com </w:t>
            </w:r>
          </w:p>
          <w:p w:rsidR="004C352B" w:rsidRPr="00E96F6D" w:rsidP="00AF11E1">
            <w:pPr>
              <w:autoSpaceDE w:val="0"/>
              <w:autoSpaceDN w:val="0"/>
              <w:adjustRightInd w:val="0"/>
              <w:rPr>
                <w:rFonts w:cs="Times New Roman"/>
                <w:szCs w:val="24"/>
              </w:rPr>
            </w:pPr>
            <w:r w:rsidRPr="00E96F6D">
              <w:rPr>
                <w:rFonts w:cs="Times New Roman"/>
                <w:szCs w:val="24"/>
              </w:rPr>
              <w:t xml:space="preserve">charris@spilmanlaw.com </w:t>
            </w:r>
          </w:p>
          <w:p w:rsidR="004C352B" w:rsidRPr="00E96F6D" w:rsidP="00AF11E1">
            <w:pPr>
              <w:autoSpaceDE w:val="0"/>
              <w:autoSpaceDN w:val="0"/>
              <w:adjustRightInd w:val="0"/>
              <w:rPr>
                <w:rFonts w:cs="Times New Roman"/>
                <w:szCs w:val="24"/>
              </w:rPr>
            </w:pPr>
            <w:r w:rsidRPr="00E96F6D">
              <w:rPr>
                <w:rFonts w:cs="Times New Roman"/>
                <w:szCs w:val="24"/>
              </w:rPr>
              <w:t>mjsettineri@vorys.com</w:t>
            </w:r>
          </w:p>
          <w:p w:rsidR="004C352B" w:rsidRPr="00E96F6D" w:rsidP="00AF11E1">
            <w:pPr>
              <w:rPr>
                <w:rFonts w:cs="Times New Roman"/>
                <w:szCs w:val="24"/>
              </w:rPr>
            </w:pPr>
            <w:r w:rsidRPr="00E96F6D">
              <w:rPr>
                <w:rFonts w:cs="Times New Roman"/>
                <w:szCs w:val="24"/>
              </w:rPr>
              <w:t>glpetrucci@vorys.com</w:t>
            </w:r>
          </w:p>
          <w:p w:rsidR="004C352B" w:rsidRPr="00E96F6D" w:rsidP="00AF11E1">
            <w:pPr>
              <w:autoSpaceDE w:val="0"/>
              <w:autoSpaceDN w:val="0"/>
              <w:adjustRightInd w:val="0"/>
              <w:rPr>
                <w:rFonts w:cs="Times New Roman"/>
                <w:szCs w:val="24"/>
              </w:rPr>
            </w:pPr>
            <w:r w:rsidRPr="00E96F6D">
              <w:rPr>
                <w:rFonts w:cs="Times New Roman"/>
                <w:szCs w:val="24"/>
              </w:rPr>
              <w:t>whitt@whitt-sturtevant.com</w:t>
            </w:r>
          </w:p>
          <w:p w:rsidR="004C352B" w:rsidRPr="00E96F6D" w:rsidP="00AF11E1">
            <w:pPr>
              <w:autoSpaceDE w:val="0"/>
              <w:autoSpaceDN w:val="0"/>
              <w:adjustRightInd w:val="0"/>
              <w:rPr>
                <w:rFonts w:cs="Times New Roman"/>
                <w:szCs w:val="24"/>
              </w:rPr>
            </w:pPr>
            <w:r w:rsidRPr="00E96F6D">
              <w:rPr>
                <w:rFonts w:cs="Times New Roman"/>
                <w:szCs w:val="24"/>
              </w:rPr>
              <w:t>campbell@whitt-sturtevant.com</w:t>
            </w:r>
          </w:p>
          <w:p w:rsidR="004C352B" w:rsidRPr="00E96F6D" w:rsidP="00AF11E1">
            <w:pPr>
              <w:rPr>
                <w:rFonts w:cs="Times New Roman"/>
                <w:szCs w:val="24"/>
              </w:rPr>
            </w:pPr>
            <w:r w:rsidRPr="00E96F6D">
              <w:rPr>
                <w:rFonts w:cs="Times New Roman"/>
                <w:szCs w:val="24"/>
              </w:rPr>
              <w:t>glover@whitt-sturtevant.com</w:t>
            </w:r>
          </w:p>
          <w:p w:rsidR="004C352B" w:rsidRPr="00E96F6D" w:rsidP="00AF11E1">
            <w:pPr>
              <w:rPr>
                <w:rFonts w:cs="Times New Roman"/>
                <w:szCs w:val="24"/>
              </w:rPr>
            </w:pPr>
            <w:r w:rsidRPr="00E96F6D">
              <w:rPr>
                <w:rFonts w:cs="Times New Roman"/>
                <w:szCs w:val="24"/>
              </w:rPr>
              <w:t>jdoll@djflawfirm.com</w:t>
            </w:r>
          </w:p>
          <w:p w:rsidR="004C352B" w:rsidRPr="00E96F6D" w:rsidP="00AF11E1">
            <w:pPr>
              <w:rPr>
                <w:rFonts w:cs="Times New Roman"/>
                <w:szCs w:val="24"/>
              </w:rPr>
            </w:pPr>
            <w:r w:rsidRPr="00E96F6D">
              <w:rPr>
                <w:rFonts w:cs="Times New Roman"/>
                <w:szCs w:val="24"/>
              </w:rPr>
              <w:t xml:space="preserve">mcrawford@gjflawfirm.com </w:t>
            </w:r>
          </w:p>
          <w:p w:rsidR="004C352B" w:rsidRPr="00E96F6D" w:rsidP="00AF11E1">
            <w:pPr>
              <w:rPr>
                <w:rFonts w:cs="Times New Roman"/>
                <w:szCs w:val="24"/>
              </w:rPr>
            </w:pPr>
          </w:p>
          <w:p w:rsidR="004C352B" w:rsidRPr="00E96F6D" w:rsidP="00AF11E1">
            <w:pPr>
              <w:rPr>
                <w:rFonts w:cs="Times New Roman"/>
                <w:szCs w:val="24"/>
              </w:rPr>
            </w:pPr>
          </w:p>
          <w:p w:rsidR="004C352B" w:rsidRPr="00E96F6D" w:rsidP="00AF11E1">
            <w:pPr>
              <w:rPr>
                <w:rFonts w:cs="Times New Roman"/>
                <w:szCs w:val="24"/>
              </w:rPr>
            </w:pPr>
          </w:p>
        </w:tc>
      </w:tr>
    </w:tbl>
    <w:p w:rsidR="009B419A" w:rsidRPr="0070059A" w:rsidP="00EC50A9">
      <w:pPr>
        <w:rPr>
          <w:rFonts w:cs="Times New Roman"/>
          <w:szCs w:val="24"/>
        </w:rPr>
      </w:pPr>
    </w:p>
    <w:sectPr w:rsidSect="009B419A">
      <w:footerReference w:type="default" r:id="rId10"/>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6788345"/>
      <w:docPartObj>
        <w:docPartGallery w:val="Page Numbers (Bottom of Page)"/>
        <w:docPartUnique/>
      </w:docPartObj>
    </w:sdtPr>
    <w:sdtEndPr>
      <w:rPr>
        <w:noProof/>
      </w:rPr>
    </w:sdtEndPr>
    <w:sdtContent>
      <w:p w:rsidR="009C5CD0">
        <w:pPr>
          <w:pStyle w:val="Footer"/>
          <w:jc w:val="center"/>
        </w:pPr>
        <w:r>
          <w:fldChar w:fldCharType="begin"/>
        </w:r>
        <w:r>
          <w:instrText xml:space="preserve"> PAGE   \* MERGEFORMAT </w:instrText>
        </w:r>
        <w:r>
          <w:fldChar w:fldCharType="separate"/>
        </w:r>
        <w:r w:rsidR="00214DB1">
          <w:rPr>
            <w:noProof/>
          </w:rPr>
          <w:t>i</w:t>
        </w:r>
        <w:r>
          <w:rPr>
            <w:noProof/>
          </w:rPr>
          <w:fldChar w:fldCharType="end"/>
        </w:r>
      </w:p>
    </w:sdtContent>
  </w:sdt>
  <w:p w:rsidR="009C5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CD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1253068"/>
      <w:docPartObj>
        <w:docPartGallery w:val="Page Numbers (Bottom of Page)"/>
        <w:docPartUnique/>
      </w:docPartObj>
    </w:sdtPr>
    <w:sdtEndPr>
      <w:rPr>
        <w:noProof/>
      </w:rPr>
    </w:sdtEndPr>
    <w:sdtContent>
      <w:p w:rsidR="001D5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C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5B10" w:rsidP="009B419A">
      <w:pPr>
        <w:spacing w:after="0" w:line="240" w:lineRule="auto"/>
      </w:pPr>
      <w:r>
        <w:separator/>
      </w:r>
    </w:p>
  </w:footnote>
  <w:footnote w:type="continuationSeparator" w:id="1">
    <w:p w:rsidR="00AF5B10" w:rsidP="009B419A">
      <w:pPr>
        <w:spacing w:after="0" w:line="240" w:lineRule="auto"/>
      </w:pPr>
      <w:r>
        <w:continuationSeparator/>
      </w:r>
    </w:p>
  </w:footnote>
  <w:footnote w:id="2">
    <w:p w:rsidR="005D2E95"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See In re Application of Dayton Power &amp; Light Co. to Establish a Standard Service Offer</w:t>
      </w:r>
      <w:r w:rsidRPr="00D20AE3">
        <w:rPr>
          <w:rFonts w:ascii="Times New Roman" w:hAnsi="Times New Roman" w:cs="Times New Roman"/>
        </w:rPr>
        <w:t>, Case No. 16-395-EL-SSO, Opinion &amp; Order ¶ 123 (Oct. 20, 2017) (PUCO finding that “a significant number of people in the DP&amp;L service territory live below the poverty line”).</w:t>
      </w:r>
    </w:p>
  </w:footnote>
  <w:footnote w:id="3">
    <w:p w:rsidR="00393395"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Joint Ex. 1.</w:t>
      </w:r>
    </w:p>
  </w:footnote>
  <w:footnote w:id="4">
    <w:p w:rsidR="00B70392"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In re Application of the Ottoville Mut. Tel. Co.</w:t>
      </w:r>
      <w:r w:rsidRPr="00D20AE3">
        <w:rPr>
          <w:rFonts w:ascii="Times New Roman" w:hAnsi="Times New Roman" w:cs="Times New Roman"/>
        </w:rPr>
        <w:t>, Case No. 73-356-Y, 1973 Ohio PUC LEXIS 3, at *4 (</w:t>
      </w:r>
      <w:r w:rsidRPr="00D20AE3" w:rsidR="005D2B53">
        <w:rPr>
          <w:rFonts w:ascii="Times New Roman" w:hAnsi="Times New Roman" w:cs="Times New Roman"/>
        </w:rPr>
        <w:t>“</w:t>
      </w:r>
      <w:r w:rsidRPr="00D20AE3">
        <w:rPr>
          <w:rFonts w:ascii="Times New Roman" w:hAnsi="Times New Roman" w:cs="Times New Roman"/>
        </w:rPr>
        <w:t>the applicant must shoulder the burden of proof in every application proceeding before the Commission</w:t>
      </w:r>
      <w:r w:rsidRPr="00D20AE3" w:rsidR="005D2B53">
        <w:rPr>
          <w:rFonts w:ascii="Times New Roman" w:hAnsi="Times New Roman" w:cs="Times New Roman"/>
        </w:rPr>
        <w:t>”</w:t>
      </w:r>
      <w:r w:rsidRPr="00D20AE3">
        <w:rPr>
          <w:rFonts w:ascii="Times New Roman" w:hAnsi="Times New Roman" w:cs="Times New Roman"/>
        </w:rPr>
        <w:t xml:space="preserve">); </w:t>
      </w:r>
      <w:r w:rsidRPr="00D20AE3">
        <w:rPr>
          <w:rFonts w:ascii="Times New Roman" w:hAnsi="Times New Roman" w:cs="Times New Roman"/>
          <w:i/>
        </w:rPr>
        <w:t>In re Application of the Ohio Bell Tel. Co.</w:t>
      </w:r>
      <w:r w:rsidRPr="00D20AE3">
        <w:rPr>
          <w:rFonts w:ascii="Times New Roman" w:hAnsi="Times New Roman" w:cs="Times New Roman"/>
        </w:rPr>
        <w:t>, No. 84-1435-TP-AIR, 1985 Ohio PUC LEXIS 7, at *79 (Dec. 10, 1985) (</w:t>
      </w:r>
      <w:r w:rsidRPr="00D20AE3" w:rsidR="005D2B53">
        <w:rPr>
          <w:rFonts w:ascii="Times New Roman" w:hAnsi="Times New Roman" w:cs="Times New Roman"/>
        </w:rPr>
        <w:t>“</w:t>
      </w:r>
      <w:r w:rsidRPr="00D20AE3">
        <w:rPr>
          <w:rFonts w:ascii="Times New Roman" w:hAnsi="Times New Roman" w:cs="Times New Roman"/>
        </w:rPr>
        <w:t>The applicant has the burden of establishing the reasonableness of its proposals.</w:t>
      </w:r>
      <w:r w:rsidRPr="00D20AE3" w:rsidR="005D2B53">
        <w:rPr>
          <w:rFonts w:ascii="Times New Roman" w:hAnsi="Times New Roman" w:cs="Times New Roman"/>
        </w:rPr>
        <w:t>”</w:t>
      </w:r>
      <w:r w:rsidRPr="00D20AE3">
        <w:rPr>
          <w:rFonts w:ascii="Times New Roman" w:hAnsi="Times New Roman" w:cs="Times New Roman"/>
        </w:rPr>
        <w:t>).</w:t>
      </w:r>
    </w:p>
  </w:footnote>
  <w:footnote w:id="5">
    <w:p w:rsidR="00B70392"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In re Application Seeking Approval of Ohio Power Co.'s Proposal to Enter into an Affiliate Power Purchase Agmt. for Inclusion in the Power Purchase Agmt. Rider</w:t>
      </w:r>
      <w:r w:rsidRPr="00D20AE3">
        <w:rPr>
          <w:rFonts w:ascii="Times New Roman" w:hAnsi="Times New Roman" w:cs="Times New Roman"/>
        </w:rPr>
        <w:t xml:space="preserve">, </w:t>
      </w:r>
      <w:r w:rsidRPr="00D20AE3" w:rsidR="005D2B53">
        <w:rPr>
          <w:rFonts w:ascii="Times New Roman" w:hAnsi="Times New Roman" w:cs="Times New Roman"/>
        </w:rPr>
        <w:t xml:space="preserve">Case No. </w:t>
      </w:r>
      <w:r w:rsidRPr="00D20AE3">
        <w:rPr>
          <w:rFonts w:ascii="Times New Roman" w:hAnsi="Times New Roman" w:cs="Times New Roman"/>
        </w:rPr>
        <w:t xml:space="preserve">14-1693-EL-SSO, </w:t>
      </w:r>
      <w:r w:rsidRPr="00D20AE3" w:rsidR="005D2B53">
        <w:rPr>
          <w:rFonts w:ascii="Times New Roman" w:hAnsi="Times New Roman" w:cs="Times New Roman"/>
        </w:rPr>
        <w:t xml:space="preserve">Opinion &amp; Order at 18 </w:t>
      </w:r>
      <w:r w:rsidRPr="00D20AE3">
        <w:rPr>
          <w:rFonts w:ascii="Times New Roman" w:hAnsi="Times New Roman" w:cs="Times New Roman"/>
        </w:rPr>
        <w:t>(Mar. 31, 2016).</w:t>
      </w:r>
    </w:p>
  </w:footnote>
  <w:footnote w:id="6">
    <w:p w:rsidR="00B70392"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Duff v. PUCO</w:t>
      </w:r>
      <w:r w:rsidRPr="00D20AE3">
        <w:rPr>
          <w:rFonts w:ascii="Times New Roman" w:hAnsi="Times New Roman" w:cs="Times New Roman"/>
        </w:rPr>
        <w:t>, 56 Ohio St. 2d 367, 379 (1978).</w:t>
      </w:r>
    </w:p>
  </w:footnote>
  <w:footnote w:id="7">
    <w:p w:rsidR="00B70392"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 See also</w:t>
      </w:r>
      <w:r w:rsidRPr="00D20AE3">
        <w:rPr>
          <w:rFonts w:ascii="Times New Roman" w:hAnsi="Times New Roman" w:cs="Times New Roman"/>
        </w:rPr>
        <w:t xml:space="preserve"> O</w:t>
      </w:r>
      <w:r w:rsidRPr="00D20AE3" w:rsidR="00394858">
        <w:rPr>
          <w:rFonts w:ascii="Times New Roman" w:hAnsi="Times New Roman" w:cs="Times New Roman"/>
        </w:rPr>
        <w:t xml:space="preserve">hio Adm. Code </w:t>
      </w:r>
      <w:r w:rsidRPr="00D20AE3">
        <w:rPr>
          <w:rFonts w:ascii="Times New Roman" w:hAnsi="Times New Roman" w:cs="Times New Roman"/>
        </w:rPr>
        <w:t>4901-1-30(E).</w:t>
      </w:r>
    </w:p>
  </w:footnote>
  <w:footnote w:id="8">
    <w:p w:rsidR="00B70392"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Duff</w:t>
      </w:r>
      <w:r w:rsidRPr="00D20AE3">
        <w:rPr>
          <w:rFonts w:ascii="Times New Roman" w:hAnsi="Times New Roman" w:cs="Times New Roman"/>
        </w:rPr>
        <w:t>, 56 Ohio St. 2d at 379.</w:t>
      </w:r>
    </w:p>
  </w:footnote>
  <w:footnote w:id="9">
    <w:p w:rsidR="00B70392"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In re Application of Vectren Energy Delivery of Ohio, Inc. for Authority to Amend its Tariffs</w:t>
      </w:r>
      <w:r w:rsidRPr="00D20AE3">
        <w:rPr>
          <w:rFonts w:ascii="Times New Roman" w:hAnsi="Times New Roman" w:cs="Times New Roman"/>
        </w:rPr>
        <w:t xml:space="preserve">, Case No. 04-571-GA-AIR, </w:t>
      </w:r>
      <w:r w:rsidRPr="00D20AE3" w:rsidR="00394858">
        <w:rPr>
          <w:rFonts w:ascii="Times New Roman" w:hAnsi="Times New Roman" w:cs="Times New Roman"/>
        </w:rPr>
        <w:t xml:space="preserve">Opinion &amp; Order at 9, </w:t>
      </w:r>
      <w:r w:rsidRPr="00D20AE3">
        <w:rPr>
          <w:rFonts w:ascii="Times New Roman" w:hAnsi="Times New Roman" w:cs="Times New Roman"/>
        </w:rPr>
        <w:t>(Apr. 13, 2015).</w:t>
      </w:r>
    </w:p>
  </w:footnote>
  <w:footnote w:id="10">
    <w:p w:rsidR="00B70392"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Consumers' Counsel v. Pub. Util. Comm.</w:t>
      </w:r>
      <w:r w:rsidRPr="00D20AE3">
        <w:rPr>
          <w:rFonts w:ascii="Times New Roman" w:hAnsi="Times New Roman" w:cs="Times New Roman"/>
        </w:rPr>
        <w:t>, 64 Ohio St. 3d 123, 126 (1992).</w:t>
      </w:r>
    </w:p>
  </w:footnote>
  <w:footnote w:id="11">
    <w:p w:rsidR="00314CCD"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See In re Application of the Dayton Power &amp; Light Co. to Establish a Standard Serv. Offer</w:t>
      </w:r>
      <w:r w:rsidRPr="00D20AE3">
        <w:rPr>
          <w:rFonts w:ascii="Times New Roman" w:hAnsi="Times New Roman" w:cs="Times New Roman"/>
        </w:rPr>
        <w:t xml:space="preserve">, Case No. 16-395-EL-SSO, Opinion &amp; Order ¶ 21 (Oct. 20, 2017) (“Although diversity of interests among signatory parties is not </w:t>
      </w:r>
      <w:r w:rsidRPr="00D20AE3">
        <w:rPr>
          <w:rFonts w:ascii="Times New Roman" w:hAnsi="Times New Roman" w:cs="Times New Roman"/>
          <w:i/>
        </w:rPr>
        <w:t>necessary</w:t>
      </w:r>
      <w:r w:rsidRPr="00D20AE3">
        <w:rPr>
          <w:rFonts w:ascii="Times New Roman" w:hAnsi="Times New Roman" w:cs="Times New Roman"/>
        </w:rPr>
        <w:t xml:space="preserve"> for any stipulation to meet the first prong, it is </w:t>
      </w:r>
      <w:r w:rsidRPr="00D20AE3">
        <w:rPr>
          <w:rFonts w:ascii="Times New Roman" w:hAnsi="Times New Roman" w:cs="Times New Roman"/>
          <w:i/>
        </w:rPr>
        <w:t>helpful</w:t>
      </w:r>
      <w:r w:rsidRPr="00D20AE3">
        <w:rPr>
          <w:rFonts w:ascii="Times New Roman" w:hAnsi="Times New Roman" w:cs="Times New Roman"/>
        </w:rPr>
        <w:t xml:space="preserve"> if the signatory parties do represent a variety of interests.”) (emphasis in original); </w:t>
      </w:r>
      <w:r w:rsidRPr="00D20AE3">
        <w:rPr>
          <w:rFonts w:ascii="Times New Roman" w:hAnsi="Times New Roman" w:cs="Times New Roman"/>
          <w:i/>
        </w:rPr>
        <w:t>In re Application of [FirstEnergy] for Approval of [its] Energy Efficiency &amp; Peak Demand Reduction Program Portfolio Plans for 2017 through 2019</w:t>
      </w:r>
      <w:r w:rsidRPr="00D20AE3">
        <w:rPr>
          <w:rFonts w:ascii="Times New Roman" w:hAnsi="Times New Roman" w:cs="Times New Roman"/>
        </w:rPr>
        <w:t xml:space="preserve">, Case No. 16-743-EL-POR, Opinion &amp; Order ¶ 61 (Nov. 21, 2017) (“While the diversity of the signatory parties may be a consideration in determining whether a settlement is a product of serious bargaining among capable, knowledgeable parties under the first prong of the Commission's test, there is no diversity requirement that the residential customers' statutory representative be a signatory party for agreements which may result in increased costs for the residential class.”); </w:t>
      </w:r>
      <w:r w:rsidRPr="00D20AE3">
        <w:rPr>
          <w:rFonts w:ascii="Times New Roman" w:hAnsi="Times New Roman" w:cs="Times New Roman"/>
          <w:i/>
        </w:rPr>
        <w:t xml:space="preserve">In re Application of Ohio Power Co. to Initiate Phase 2 of its </w:t>
      </w:r>
      <w:r w:rsidRPr="00D20AE3" w:rsidR="00C97D25">
        <w:rPr>
          <w:rFonts w:ascii="Times New Roman" w:hAnsi="Times New Roman" w:cs="Times New Roman"/>
          <w:i/>
        </w:rPr>
        <w:t>g</w:t>
      </w:r>
      <w:r w:rsidRPr="00D20AE3">
        <w:rPr>
          <w:rFonts w:ascii="Times New Roman" w:hAnsi="Times New Roman" w:cs="Times New Roman"/>
          <w:i/>
        </w:rPr>
        <w:t>ridsmart Project</w:t>
      </w:r>
      <w:r w:rsidRPr="00D20AE3">
        <w:rPr>
          <w:rFonts w:ascii="Times New Roman" w:hAnsi="Times New Roman" w:cs="Times New Roman"/>
        </w:rPr>
        <w:t>, Case No. 13-1939-EL-RDR, Opinion &amp; Order ¶ 50 (Feb. 1, 2017) (“In determining whether a settlement is the product of serious bargaining among capable, knowledgeable</w:t>
      </w:r>
      <w:r w:rsidRPr="00D20AE3" w:rsidR="00C7232D">
        <w:rPr>
          <w:rFonts w:ascii="Times New Roman" w:hAnsi="Times New Roman" w:cs="Times New Roman"/>
        </w:rPr>
        <w:t xml:space="preserve"> </w:t>
      </w:r>
      <w:r w:rsidRPr="00D20AE3">
        <w:rPr>
          <w:rFonts w:ascii="Times New Roman" w:hAnsi="Times New Roman" w:cs="Times New Roman"/>
        </w:rPr>
        <w:t>parties, we consider the extent of negotiations and the diversity of the negotiating parties, but there is no requirement that any particular party be a signatory to satisfy this first prong.”).</w:t>
      </w:r>
    </w:p>
  </w:footnote>
  <w:footnote w:id="12">
    <w:p w:rsidR="001D3E74"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The parties to the Settlement are DP&amp;L, OCC, the Kroger Company, the PUCO Staff, Ohio Energy Group, Wal-Mart Stores East, LP, Sam’s East, Inc., Ohio Hospital Association, Ohio Environmental Council, Environmental Defense Fund, Natural Resources Defense Council, Environmental Law &amp; Policy Center, Edgemont Neighborhood Coalition, Ohio Partners for Affordable Energy, and the City of Dayton. The non-opposing parties are Industrial Energy Users-Ohio, Ohio Manufacturers’ Association Energy Group, Buckeye Power, Inc., and One Energy Enterprises, LLC. </w:t>
      </w:r>
      <w:r w:rsidRPr="00D20AE3">
        <w:rPr>
          <w:rFonts w:ascii="Times New Roman" w:hAnsi="Times New Roman" w:cs="Times New Roman"/>
          <w:i/>
        </w:rPr>
        <w:t>See</w:t>
      </w:r>
      <w:r w:rsidRPr="00D20AE3">
        <w:rPr>
          <w:rFonts w:ascii="Times New Roman" w:hAnsi="Times New Roman" w:cs="Times New Roman"/>
        </w:rPr>
        <w:t xml:space="preserve"> Joint Ex. 1 at 17-18; DP&amp;L/City of Dayton Ex. 1 at 4. The only parties opposing the Settlement are the Retail Energy Supply Association (“RESA”) and Interstate Gas Supply, Inc. (“IGS”).</w:t>
      </w:r>
    </w:p>
  </w:footnote>
  <w:footnote w:id="13">
    <w:p w:rsidR="001D3E74"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OCC Ex. 1 at 4-5 (Direct Testimony of Wm. Ross Willis in Support of the Stipulation and Recommendation)</w:t>
      </w:r>
      <w:r w:rsidRPr="00D20AE3" w:rsidR="00D20AE3">
        <w:rPr>
          <w:rFonts w:ascii="Times New Roman" w:hAnsi="Times New Roman" w:cs="Times New Roman"/>
        </w:rPr>
        <w:t xml:space="preserve"> (the “Willis Testimony”)</w:t>
      </w:r>
      <w:r w:rsidRPr="00D20AE3">
        <w:rPr>
          <w:rFonts w:ascii="Times New Roman" w:hAnsi="Times New Roman" w:cs="Times New Roman"/>
        </w:rPr>
        <w:t>.</w:t>
      </w:r>
    </w:p>
  </w:footnote>
  <w:footnote w:id="14">
    <w:p w:rsidR="00134321"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 xml:space="preserve"> </w:t>
      </w:r>
      <w:r w:rsidRPr="00D20AE3" w:rsidR="00E90F61">
        <w:rPr>
          <w:rFonts w:ascii="Times New Roman" w:hAnsi="Times New Roman" w:cs="Times New Roman"/>
        </w:rPr>
        <w:t>a</w:t>
      </w:r>
      <w:r w:rsidRPr="00D20AE3">
        <w:rPr>
          <w:rFonts w:ascii="Times New Roman" w:hAnsi="Times New Roman" w:cs="Times New Roman"/>
        </w:rPr>
        <w:t>t 4.</w:t>
      </w:r>
    </w:p>
  </w:footnote>
  <w:footnote w:id="15">
    <w:p w:rsidR="00314CCD"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DP&amp;L Ex. 1 at 5-6 (Testimony of Sharon R. Schroder in Support of the Stipulation and Recommendation).</w:t>
      </w:r>
    </w:p>
  </w:footnote>
  <w:footnote w:id="16">
    <w:p w:rsidR="00EA3CD6" w:rsidRPr="00D20AE3" w:rsidP="00D20AE3">
      <w:pPr>
        <w:pStyle w:val="FootnoteText"/>
        <w:spacing w:after="120"/>
        <w:rPr>
          <w:rFonts w:ascii="Times New Roman" w:hAnsi="Times New Roman" w:cs="Times New Roman"/>
          <w:b/>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See generally</w:t>
      </w:r>
      <w:r w:rsidRPr="00D20AE3" w:rsidR="006C6D52">
        <w:rPr>
          <w:rFonts w:ascii="Times New Roman" w:hAnsi="Times New Roman" w:cs="Times New Roman"/>
        </w:rPr>
        <w:t xml:space="preserve"> Tr. Vol. I-II.</w:t>
      </w:r>
    </w:p>
  </w:footnote>
  <w:footnote w:id="17">
    <w:p w:rsidR="00240AD7"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sidR="00D20AE3">
        <w:rPr>
          <w:rFonts w:ascii="Times New Roman" w:hAnsi="Times New Roman" w:cs="Times New Roman"/>
        </w:rPr>
        <w:t>Willis Testimony</w:t>
      </w:r>
      <w:r w:rsidRPr="00D20AE3">
        <w:rPr>
          <w:rFonts w:ascii="Times New Roman" w:hAnsi="Times New Roman" w:cs="Times New Roman"/>
        </w:rPr>
        <w:t xml:space="preserve"> at 5</w:t>
      </w:r>
      <w:r w:rsidRPr="00D20AE3" w:rsidR="007D0E86">
        <w:rPr>
          <w:rFonts w:ascii="Times New Roman" w:hAnsi="Times New Roman" w:cs="Times New Roman"/>
        </w:rPr>
        <w:t xml:space="preserve">. </w:t>
      </w:r>
      <w:r w:rsidRPr="00D20AE3" w:rsidR="007D0E86">
        <w:rPr>
          <w:rFonts w:ascii="Times New Roman" w:hAnsi="Times New Roman" w:cs="Times New Roman"/>
          <w:i/>
        </w:rPr>
        <w:t>See also</w:t>
      </w:r>
      <w:r w:rsidRPr="00D20AE3" w:rsidR="00F136CD">
        <w:rPr>
          <w:rFonts w:ascii="Times New Roman" w:hAnsi="Times New Roman" w:cs="Times New Roman"/>
        </w:rPr>
        <w:t xml:space="preserve"> Staff Ex. 6 at 4 (Prepared Testimony of David Lipthratt, Rates and Analysis Department, Research and Policy Division, Public Utilities Commission of Ohio).</w:t>
      </w:r>
    </w:p>
  </w:footnote>
  <w:footnote w:id="18">
    <w:p w:rsidR="00240AD7"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sidR="007D0E86">
        <w:rPr>
          <w:rFonts w:ascii="Times New Roman" w:hAnsi="Times New Roman" w:cs="Times New Roman"/>
        </w:rPr>
        <w:t>Willis Testimony</w:t>
      </w:r>
      <w:r w:rsidRPr="00D20AE3">
        <w:rPr>
          <w:rFonts w:ascii="Times New Roman" w:hAnsi="Times New Roman" w:cs="Times New Roman"/>
        </w:rPr>
        <w:t xml:space="preserve"> at 5-6</w:t>
      </w:r>
      <w:r w:rsidRPr="00D20AE3" w:rsidR="007D0E86">
        <w:rPr>
          <w:rFonts w:ascii="Times New Roman" w:hAnsi="Times New Roman" w:cs="Times New Roman"/>
        </w:rPr>
        <w:t>.</w:t>
      </w:r>
      <w:r w:rsidRPr="00D20AE3" w:rsidR="00F136CD">
        <w:rPr>
          <w:rFonts w:ascii="Times New Roman" w:hAnsi="Times New Roman" w:cs="Times New Roman"/>
        </w:rPr>
        <w:t xml:space="preserve"> </w:t>
      </w:r>
      <w:r w:rsidRPr="00D20AE3" w:rsidR="007D0E86">
        <w:rPr>
          <w:rFonts w:ascii="Times New Roman" w:hAnsi="Times New Roman" w:cs="Times New Roman"/>
          <w:i/>
        </w:rPr>
        <w:t xml:space="preserve">See also </w:t>
      </w:r>
      <w:r w:rsidRPr="00D20AE3" w:rsidR="00F136CD">
        <w:rPr>
          <w:rFonts w:ascii="Times New Roman" w:hAnsi="Times New Roman" w:cs="Times New Roman"/>
        </w:rPr>
        <w:t>Staff Ex. 6 at 4-5.</w:t>
      </w:r>
    </w:p>
  </w:footnote>
  <w:footnote w:id="19">
    <w:p w:rsidR="00240AD7"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sidR="00F136CD">
        <w:rPr>
          <w:rFonts w:ascii="Times New Roman" w:hAnsi="Times New Roman" w:cs="Times New Roman"/>
        </w:rPr>
        <w:t xml:space="preserve"> </w:t>
      </w:r>
      <w:r w:rsidRPr="00D20AE3" w:rsidR="007D0E86">
        <w:rPr>
          <w:rFonts w:ascii="Times New Roman" w:hAnsi="Times New Roman" w:cs="Times New Roman"/>
        </w:rPr>
        <w:t>Willis Testimony</w:t>
      </w:r>
      <w:r w:rsidRPr="00D20AE3">
        <w:rPr>
          <w:rFonts w:ascii="Times New Roman" w:hAnsi="Times New Roman" w:cs="Times New Roman"/>
        </w:rPr>
        <w:t xml:space="preserve"> at 6</w:t>
      </w:r>
      <w:r w:rsidRPr="00D20AE3" w:rsidR="007D0E86">
        <w:rPr>
          <w:rFonts w:ascii="Times New Roman" w:hAnsi="Times New Roman" w:cs="Times New Roman"/>
        </w:rPr>
        <w:t xml:space="preserve">. </w:t>
      </w:r>
      <w:r w:rsidRPr="00D20AE3" w:rsidR="007D0E86">
        <w:rPr>
          <w:rFonts w:ascii="Times New Roman" w:hAnsi="Times New Roman" w:cs="Times New Roman"/>
          <w:i/>
        </w:rPr>
        <w:t>See also</w:t>
      </w:r>
      <w:r w:rsidRPr="00D20AE3" w:rsidR="00F136CD">
        <w:rPr>
          <w:rFonts w:ascii="Times New Roman" w:hAnsi="Times New Roman" w:cs="Times New Roman"/>
        </w:rPr>
        <w:t xml:space="preserve"> Staff Ex. 6 at </w:t>
      </w:r>
      <w:r w:rsidRPr="00D20AE3" w:rsidR="006F0B38">
        <w:rPr>
          <w:rFonts w:ascii="Times New Roman" w:hAnsi="Times New Roman" w:cs="Times New Roman"/>
        </w:rPr>
        <w:t>4-5.</w:t>
      </w:r>
    </w:p>
  </w:footnote>
  <w:footnote w:id="20">
    <w:p w:rsidR="00240AD7"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sidR="007D0E86">
        <w:rPr>
          <w:rFonts w:ascii="Times New Roman" w:hAnsi="Times New Roman" w:cs="Times New Roman"/>
        </w:rPr>
        <w:t>Willis Testimony</w:t>
      </w:r>
      <w:r w:rsidRPr="00D20AE3" w:rsidR="006F0B38">
        <w:rPr>
          <w:rFonts w:ascii="Times New Roman" w:hAnsi="Times New Roman" w:cs="Times New Roman"/>
        </w:rPr>
        <w:t xml:space="preserve"> at 6.</w:t>
      </w:r>
    </w:p>
  </w:footnote>
  <w:footnote w:id="21">
    <w:p w:rsidR="00240AD7"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p>
  </w:footnote>
  <w:footnote w:id="22">
    <w:p w:rsidR="00240AD7"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 xml:space="preserve"> at 7.</w:t>
      </w:r>
    </w:p>
  </w:footnote>
  <w:footnote w:id="23">
    <w:p w:rsidR="00240AD7"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p>
  </w:footnote>
  <w:footnote w:id="24">
    <w:p w:rsidR="006C6D52"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See</w:t>
      </w:r>
      <w:r w:rsidRPr="00D20AE3">
        <w:rPr>
          <w:rFonts w:ascii="Times New Roman" w:hAnsi="Times New Roman" w:cs="Times New Roman"/>
        </w:rPr>
        <w:t xml:space="preserve"> Staff Report </w:t>
      </w:r>
      <w:r w:rsidRPr="00D20AE3" w:rsidR="000A6304">
        <w:rPr>
          <w:rFonts w:ascii="Times New Roman" w:hAnsi="Times New Roman" w:cs="Times New Roman"/>
        </w:rPr>
        <w:t>(Mar</w:t>
      </w:r>
      <w:r w:rsidRPr="00D20AE3" w:rsidR="004D4F46">
        <w:rPr>
          <w:rFonts w:ascii="Times New Roman" w:hAnsi="Times New Roman" w:cs="Times New Roman"/>
        </w:rPr>
        <w:t>.</w:t>
      </w:r>
      <w:r w:rsidRPr="00D20AE3" w:rsidR="000A6304">
        <w:rPr>
          <w:rFonts w:ascii="Times New Roman" w:hAnsi="Times New Roman" w:cs="Times New Roman"/>
        </w:rPr>
        <w:t xml:space="preserve"> 12, 2018) </w:t>
      </w:r>
      <w:r w:rsidRPr="00D20AE3">
        <w:rPr>
          <w:rFonts w:ascii="Times New Roman" w:hAnsi="Times New Roman" w:cs="Times New Roman"/>
        </w:rPr>
        <w:t>at 18.</w:t>
      </w:r>
    </w:p>
  </w:footnote>
  <w:footnote w:id="25">
    <w:p w:rsidR="00F136CD"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sidR="007D0E86">
        <w:rPr>
          <w:rFonts w:ascii="Times New Roman" w:hAnsi="Times New Roman" w:cs="Times New Roman"/>
        </w:rPr>
        <w:t>Willis Testimony</w:t>
      </w:r>
      <w:r w:rsidRPr="00D20AE3" w:rsidR="006F0B38">
        <w:rPr>
          <w:rFonts w:ascii="Times New Roman" w:hAnsi="Times New Roman" w:cs="Times New Roman"/>
        </w:rPr>
        <w:t xml:space="preserve"> at 7</w:t>
      </w:r>
      <w:r w:rsidRPr="00D20AE3" w:rsidR="007D0E86">
        <w:rPr>
          <w:rFonts w:ascii="Times New Roman" w:hAnsi="Times New Roman" w:cs="Times New Roman"/>
        </w:rPr>
        <w:t>.</w:t>
      </w:r>
      <w:r w:rsidRPr="00D20AE3" w:rsidR="006F0B38">
        <w:rPr>
          <w:rFonts w:ascii="Times New Roman" w:hAnsi="Times New Roman" w:cs="Times New Roman"/>
        </w:rPr>
        <w:t xml:space="preserve"> </w:t>
      </w:r>
      <w:r w:rsidRPr="00D20AE3" w:rsidR="007D0E86">
        <w:rPr>
          <w:rFonts w:ascii="Times New Roman" w:hAnsi="Times New Roman" w:cs="Times New Roman"/>
          <w:i/>
        </w:rPr>
        <w:t xml:space="preserve">See also </w:t>
      </w:r>
      <w:r w:rsidRPr="00D20AE3" w:rsidR="006F0B38">
        <w:rPr>
          <w:rFonts w:ascii="Times New Roman" w:hAnsi="Times New Roman" w:cs="Times New Roman"/>
        </w:rPr>
        <w:t>Staff Ex. 6 at 5</w:t>
      </w:r>
      <w:r w:rsidRPr="00D20AE3">
        <w:rPr>
          <w:rFonts w:ascii="Times New Roman" w:hAnsi="Times New Roman" w:cs="Times New Roman"/>
          <w:i/>
        </w:rPr>
        <w:t>.</w:t>
      </w:r>
    </w:p>
  </w:footnote>
  <w:footnote w:id="26">
    <w:p w:rsidR="00F136CD"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sidR="007D0E86">
        <w:rPr>
          <w:rFonts w:ascii="Times New Roman" w:hAnsi="Times New Roman" w:cs="Times New Roman"/>
        </w:rPr>
        <w:t>Willis Testimony</w:t>
      </w:r>
      <w:r w:rsidRPr="00D20AE3" w:rsidR="006F0B38">
        <w:rPr>
          <w:rFonts w:ascii="Times New Roman" w:hAnsi="Times New Roman" w:cs="Times New Roman"/>
        </w:rPr>
        <w:t xml:space="preserve"> at 7</w:t>
      </w:r>
      <w:r w:rsidRPr="00D20AE3">
        <w:rPr>
          <w:rFonts w:ascii="Times New Roman" w:hAnsi="Times New Roman" w:cs="Times New Roman"/>
          <w:i/>
        </w:rPr>
        <w:t>.</w:t>
      </w:r>
    </w:p>
  </w:footnote>
  <w:footnote w:id="27">
    <w:p w:rsidR="00F136CD"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 xml:space="preserve"> at 7-8.</w:t>
      </w:r>
    </w:p>
  </w:footnote>
  <w:footnote w:id="28">
    <w:p w:rsidR="00F136CD"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 xml:space="preserve"> at 8.</w:t>
      </w:r>
    </w:p>
  </w:footnote>
  <w:footnote w:id="29">
    <w:p w:rsidR="00F136CD"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sidR="006C787F">
        <w:rPr>
          <w:rFonts w:ascii="Times New Roman" w:hAnsi="Times New Roman" w:cs="Times New Roman"/>
          <w:i/>
        </w:rPr>
        <w:t>Id.</w:t>
      </w:r>
      <w:r w:rsidRPr="00D20AE3" w:rsidR="006F0B38">
        <w:rPr>
          <w:rFonts w:ascii="Times New Roman" w:hAnsi="Times New Roman" w:cs="Times New Roman"/>
        </w:rPr>
        <w:t>; Staff Ex. 6 at 5</w:t>
      </w:r>
      <w:r w:rsidRPr="00D20AE3">
        <w:rPr>
          <w:rFonts w:ascii="Times New Roman" w:hAnsi="Times New Roman" w:cs="Times New Roman"/>
        </w:rPr>
        <w:t>.</w:t>
      </w:r>
    </w:p>
  </w:footnote>
  <w:footnote w:id="30">
    <w:p w:rsidR="005D2B53" w:rsidRPr="00D20AE3" w:rsidP="00D20AE3">
      <w:pPr>
        <w:pStyle w:val="FootnoteText"/>
        <w:spacing w:after="120"/>
        <w:rPr>
          <w:rFonts w:ascii="Times New Roman" w:hAnsi="Times New Roman" w:cs="Times New Roman"/>
          <w:b/>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sidR="00DD3CB6">
        <w:rPr>
          <w:rFonts w:ascii="Times New Roman" w:hAnsi="Times New Roman" w:cs="Times New Roman"/>
        </w:rPr>
        <w:t>Tr. Vol. II at 307:6-309:22 (PUCO Staff witness Smith explaining that Staff has withdrawn its recommendation to allocate PUCO and OCC assessments only to standard service offer customers)</w:t>
      </w:r>
      <w:r w:rsidRPr="00D20AE3" w:rsidR="00D20AE3">
        <w:rPr>
          <w:rFonts w:ascii="Times New Roman" w:hAnsi="Times New Roman" w:cs="Times New Roman"/>
        </w:rPr>
        <w:t>; Tr. Vol. I at 100:8-17 (OCC witness Willis explaining that this proposal is not part of the Settlement);</w:t>
      </w:r>
    </w:p>
  </w:footnote>
  <w:footnote w:id="31">
    <w:p w:rsidR="00F136CD"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sidR="006C787F">
        <w:rPr>
          <w:rFonts w:ascii="Times New Roman" w:hAnsi="Times New Roman" w:cs="Times New Roman"/>
        </w:rPr>
        <w:t>Willis Testimony</w:t>
      </w:r>
      <w:r w:rsidRPr="00D20AE3">
        <w:rPr>
          <w:rFonts w:ascii="Times New Roman" w:hAnsi="Times New Roman" w:cs="Times New Roman"/>
        </w:rPr>
        <w:t xml:space="preserve"> at 8.</w:t>
      </w:r>
    </w:p>
  </w:footnote>
  <w:footnote w:id="32">
    <w:p w:rsidR="00D20AE3"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RESA/IGS Ex. 2.</w:t>
      </w:r>
    </w:p>
  </w:footnote>
  <w:footnote w:id="33">
    <w:p w:rsidR="005D2B53"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00A37AD7">
        <w:rPr>
          <w:rFonts w:ascii="Times New Roman" w:hAnsi="Times New Roman" w:cs="Times New Roman"/>
        </w:rPr>
        <w:t xml:space="preserve"> Willis Testimony</w:t>
      </w:r>
      <w:r w:rsidRPr="00D20AE3">
        <w:rPr>
          <w:rFonts w:ascii="Times New Roman" w:hAnsi="Times New Roman" w:cs="Times New Roman"/>
        </w:rPr>
        <w:t xml:space="preserve"> at 9.</w:t>
      </w:r>
    </w:p>
  </w:footnote>
  <w:footnote w:id="34">
    <w:p w:rsidR="005D2B53"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p>
  </w:footnote>
  <w:footnote w:id="35">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133 Ohio St. 212 (1938).</w:t>
      </w:r>
    </w:p>
  </w:footnote>
  <w:footnote w:id="36">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 xml:space="preserve"> at 226.</w:t>
      </w:r>
    </w:p>
  </w:footnote>
  <w:footnote w:id="37">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w:t>
      </w:r>
    </w:p>
  </w:footnote>
  <w:footnote w:id="38">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 See also Gen. Tel. Co. v. PUCO</w:t>
      </w:r>
      <w:r w:rsidRPr="00D20AE3">
        <w:rPr>
          <w:rFonts w:ascii="Times New Roman" w:hAnsi="Times New Roman" w:cs="Times New Roman"/>
        </w:rPr>
        <w:t xml:space="preserve">, 174 Ohio St. 575, 576-80 (1963) (citing </w:t>
      </w:r>
      <w:r w:rsidRPr="00D20AE3">
        <w:rPr>
          <w:rFonts w:ascii="Times New Roman" w:hAnsi="Times New Roman" w:cs="Times New Roman"/>
          <w:i/>
        </w:rPr>
        <w:t>East Ohio Gas</w:t>
      </w:r>
      <w:r w:rsidRPr="00D20AE3">
        <w:rPr>
          <w:rFonts w:ascii="Times New Roman" w:hAnsi="Times New Roman" w:cs="Times New Roman"/>
        </w:rPr>
        <w:t xml:space="preserve"> and concluding that the PUCO is required to set rates based on the actual federal taxes that a utility will pay).</w:t>
      </w:r>
    </w:p>
  </w:footnote>
  <w:footnote w:id="39">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PUCO Case No. 78-676-EL-AIR, 1979 Ohio PUC LEXIS 2 (Apr. 16, 1979).</w:t>
      </w:r>
    </w:p>
  </w:footnote>
  <w:footnote w:id="40">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 xml:space="preserve"> at *41.</w:t>
      </w:r>
    </w:p>
  </w:footnote>
  <w:footnote w:id="41">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p>
  </w:footnote>
  <w:footnote w:id="42">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Case No. 86-2025-EL-AIR, 1987 Ohio PUC LEXIS 28 (Dec. 16, 1987).</w:t>
      </w:r>
    </w:p>
  </w:footnote>
  <w:footnote w:id="43">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 xml:space="preserve"> at *194-200.</w:t>
      </w:r>
    </w:p>
  </w:footnote>
  <w:footnote w:id="44">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 xml:space="preserve">Id. </w:t>
      </w:r>
      <w:r w:rsidRPr="00D20AE3">
        <w:rPr>
          <w:rFonts w:ascii="Times New Roman" w:hAnsi="Times New Roman" w:cs="Times New Roman"/>
        </w:rPr>
        <w:t xml:space="preserve">at </w:t>
      </w:r>
      <w:r w:rsidRPr="00D20AE3" w:rsidR="006603FD">
        <w:rPr>
          <w:rFonts w:ascii="Times New Roman" w:hAnsi="Times New Roman" w:cs="Times New Roman"/>
        </w:rPr>
        <w:t>*</w:t>
      </w:r>
      <w:r w:rsidRPr="00D20AE3">
        <w:rPr>
          <w:rFonts w:ascii="Times New Roman" w:hAnsi="Times New Roman" w:cs="Times New Roman"/>
        </w:rPr>
        <w:t>194-96.</w:t>
      </w:r>
    </w:p>
  </w:footnote>
  <w:footnote w:id="45">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Pr="00D20AE3">
        <w:rPr>
          <w:rFonts w:ascii="Times New Roman" w:hAnsi="Times New Roman" w:cs="Times New Roman"/>
          <w:i/>
        </w:rPr>
        <w:t>Id.</w:t>
      </w:r>
      <w:r w:rsidRPr="00D20AE3">
        <w:rPr>
          <w:rFonts w:ascii="Times New Roman" w:hAnsi="Times New Roman" w:cs="Times New Roman"/>
        </w:rPr>
        <w:t xml:space="preserve"> at *197 (citing </w:t>
      </w:r>
      <w:r w:rsidRPr="00D20AE3">
        <w:rPr>
          <w:rFonts w:ascii="Times New Roman" w:hAnsi="Times New Roman" w:cs="Times New Roman"/>
          <w:i/>
        </w:rPr>
        <w:t>Ohio Power</w:t>
      </w:r>
      <w:r w:rsidRPr="00D20AE3">
        <w:rPr>
          <w:rFonts w:ascii="Times New Roman" w:hAnsi="Times New Roman" w:cs="Times New Roman"/>
        </w:rPr>
        <w:t>, Case No. 78-676-EL-AIR (Apr. 16, 1979)).</w:t>
      </w:r>
    </w:p>
  </w:footnote>
  <w:footnote w:id="46">
    <w:p w:rsidR="005F2B7A" w:rsidRPr="00D20AE3" w:rsidP="00D20AE3">
      <w:pPr>
        <w:pStyle w:val="FootnoteText"/>
        <w:spacing w:after="120"/>
        <w:rPr>
          <w:rFonts w:ascii="Times New Roman" w:hAnsi="Times New Roman" w:cs="Times New Roman"/>
        </w:rPr>
      </w:pPr>
      <w:r w:rsidRPr="00D20AE3">
        <w:rPr>
          <w:rStyle w:val="FootnoteReference"/>
          <w:rFonts w:ascii="Times New Roman" w:hAnsi="Times New Roman" w:cs="Times New Roman"/>
        </w:rPr>
        <w:footnoteRef/>
      </w:r>
      <w:r w:rsidRPr="00D20AE3">
        <w:rPr>
          <w:rFonts w:ascii="Times New Roman" w:hAnsi="Times New Roman" w:cs="Times New Roman"/>
        </w:rPr>
        <w:t xml:space="preserve"> </w:t>
      </w:r>
      <w:r w:rsidR="007F678F">
        <w:rPr>
          <w:rFonts w:ascii="Times New Roman" w:hAnsi="Times New Roman" w:cs="Times New Roman"/>
        </w:rPr>
        <w:t>Willis Testimony</w:t>
      </w:r>
      <w:r w:rsidRPr="00D20AE3">
        <w:rPr>
          <w:rFonts w:ascii="Times New Roman" w:hAnsi="Times New Roman" w:cs="Times New Roman"/>
        </w:rPr>
        <w:t xml:space="preserve"> at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CD0" w:rsidRPr="004571C7">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CD0" w:rsidRPr="004571C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434D23"/>
    <w:multiLevelType w:val="hybridMultilevel"/>
    <w:tmpl w:val="4266B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31888"/>
    <w:multiLevelType w:val="hybridMultilevel"/>
    <w:tmpl w:val="3E64036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852F47"/>
    <w:multiLevelType w:val="hybridMultilevel"/>
    <w:tmpl w:val="D8689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341B351C"/>
    <w:multiLevelType w:val="hybridMultilevel"/>
    <w:tmpl w:val="66263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1C49C1"/>
    <w:multiLevelType w:val="hybridMultilevel"/>
    <w:tmpl w:val="80BC26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E434FDA"/>
    <w:multiLevelType w:val="hybridMultilevel"/>
    <w:tmpl w:val="3B28E9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F182D98"/>
    <w:multiLevelType w:val="hybridMultilevel"/>
    <w:tmpl w:val="C1DE05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AE83163"/>
    <w:multiLevelType w:val="hybridMultilevel"/>
    <w:tmpl w:val="CC30DCD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F74287D"/>
    <w:multiLevelType w:val="hybridMultilevel"/>
    <w:tmpl w:val="1760228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6509486F"/>
    <w:multiLevelType w:val="hybridMultilevel"/>
    <w:tmpl w:val="CDE0B5A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EDB64E8"/>
    <w:multiLevelType w:val="hybridMultilevel"/>
    <w:tmpl w:val="DAF81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1"/>
  </w:num>
  <w:num w:numId="4">
    <w:abstractNumId w:val="5"/>
  </w:num>
  <w:num w:numId="5">
    <w:abstractNumId w:val="6"/>
  </w:num>
  <w:num w:numId="6">
    <w:abstractNumId w:val="15"/>
  </w:num>
  <w:num w:numId="7">
    <w:abstractNumId w:val="16"/>
  </w:num>
  <w:num w:numId="8">
    <w:abstractNumId w:val="4"/>
  </w:num>
  <w:num w:numId="9">
    <w:abstractNumId w:val="8"/>
  </w:num>
  <w:num w:numId="10">
    <w:abstractNumId w:val="7"/>
  </w:num>
  <w:num w:numId="11">
    <w:abstractNumId w:val="2"/>
  </w:num>
  <w:num w:numId="12">
    <w:abstractNumId w:val="10"/>
  </w:num>
  <w:num w:numId="13">
    <w:abstractNumId w:val="13"/>
  </w:num>
  <w:num w:numId="14">
    <w:abstractNumId w:val="3"/>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1D547A"/>
    <w:pPr>
      <w:keepNext/>
      <w:keepLines/>
      <w:spacing w:after="240" w:line="240" w:lineRule="auto"/>
      <w:ind w:left="720" w:hanging="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autoRedefine/>
    <w:uiPriority w:val="9"/>
    <w:unhideWhenUsed/>
    <w:qFormat/>
    <w:rsid w:val="001D547A"/>
    <w:pPr>
      <w:keepNext/>
      <w:keepLines/>
      <w:spacing w:after="240" w:line="240" w:lineRule="auto"/>
      <w:ind w:lef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8277B2"/>
    <w:pPr>
      <w:keepNext/>
      <w:spacing w:after="240" w:line="240" w:lineRule="auto"/>
      <w:ind w:left="2160" w:hanging="720"/>
      <w:outlineLvl w:val="2"/>
    </w:pPr>
    <w:rPr>
      <w:rFonts w:eastAsiaTheme="majorEastAsia" w:cs="Times New Roman"/>
      <w:b/>
      <w:bCs/>
      <w:szCs w:val="24"/>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77B2"/>
    <w:rPr>
      <w:rFonts w:ascii="Times New Roman" w:hAnsi="Times New Roman" w:eastAsiaTheme="majorEastAsia" w:cs="Times New Roman"/>
      <w:b/>
      <w:bCs/>
      <w:sz w:val="24"/>
      <w:szCs w:val="24"/>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6F040C"/>
    <w:rPr>
      <w:rFonts w:ascii="Courier New" w:eastAsia="Courier New" w:hAnsi="Courier New" w:cs="Courier New"/>
      <w:sz w:val="20"/>
      <w:szCs w:val="20"/>
    </w:rPr>
  </w:style>
  <w:style w:type="paragraph" w:styleId="FootnoteText">
    <w:name w:val="footnote text"/>
    <w:basedOn w:val="Normal"/>
    <w:link w:val="FootnoteTextChar"/>
    <w:uiPriority w:val="99"/>
    <w:unhideWhenUsed/>
    <w:rsid w:val="00076C6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1D547A"/>
    <w:rPr>
      <w:rFonts w:ascii="Times New Roman Bold" w:hAnsi="Times New Roman Bold" w:eastAsiaTheme="majorEastAsia" w:cstheme="majorBidi"/>
      <w:b/>
      <w:bCs/>
      <w:sz w:val="24"/>
      <w:szCs w:val="28"/>
    </w:rPr>
  </w:style>
  <w:style w:type="character" w:customStyle="1" w:styleId="Heading2Char">
    <w:name w:val="Heading 2 Char"/>
    <w:basedOn w:val="DefaultParagraphFont"/>
    <w:link w:val="Heading2"/>
    <w:uiPriority w:val="9"/>
    <w:rsid w:val="001D547A"/>
    <w:rPr>
      <w:rFonts w:ascii="Times New Roman" w:hAnsi="Times New Roman" w:eastAsiaTheme="majorEastAsia" w:cstheme="majorBidi"/>
      <w:b/>
      <w:bCs/>
      <w:sz w:val="24"/>
      <w:szCs w:val="26"/>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semiHidden/>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106DC3"/>
    <w:pPr>
      <w:tabs>
        <w:tab w:val="decimal" w:leader="dot" w:pos="8640"/>
      </w:tabs>
      <w:spacing w:after="240" w:line="240" w:lineRule="auto"/>
      <w:ind w:left="720" w:hanging="720"/>
      <w:outlineLvl w:val="0"/>
    </w:pPr>
    <w:rPr>
      <w:caps/>
    </w:rPr>
  </w:style>
  <w:style w:type="paragraph" w:styleId="TOC2">
    <w:name w:val="toc 2"/>
    <w:basedOn w:val="Normal"/>
    <w:next w:val="Normal"/>
    <w:autoRedefine/>
    <w:uiPriority w:val="39"/>
    <w:unhideWhenUsed/>
    <w:rsid w:val="001D547A"/>
    <w:pPr>
      <w:tabs>
        <w:tab w:val="decimal" w:leader="dot" w:pos="8640"/>
      </w:tabs>
      <w:spacing w:after="240" w:line="240" w:lineRule="auto"/>
      <w:ind w:left="720" w:hanging="720"/>
      <w:outlineLvl w:val="1"/>
    </w:pPr>
  </w:style>
  <w:style w:type="paragraph" w:styleId="TOC3">
    <w:name w:val="toc 3"/>
    <w:basedOn w:val="Normal"/>
    <w:next w:val="Normal"/>
    <w:autoRedefine/>
    <w:uiPriority w:val="39"/>
    <w:unhideWhenUsed/>
    <w:qFormat/>
    <w:rsid w:val="001D547A"/>
    <w:pPr>
      <w:tabs>
        <w:tab w:val="decimal" w:leader="dot" w:pos="8640"/>
      </w:tabs>
      <w:spacing w:after="240" w:line="240" w:lineRule="auto"/>
      <w:ind w:left="144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paragraph" w:styleId="BodyTextIndent3">
    <w:name w:val="Body Text Indent 3"/>
    <w:basedOn w:val="Normal"/>
    <w:link w:val="BodyTextIndent3Char"/>
    <w:rsid w:val="00467AAD"/>
    <w:pPr>
      <w:spacing w:after="0"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467AA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EE19CA"/>
    <w:rPr>
      <w:color w:val="808080"/>
      <w:shd w:val="clear" w:color="auto" w:fill="E6E6E6"/>
    </w:rPr>
  </w:style>
  <w:style w:type="paragraph" w:styleId="NormalWeb">
    <w:name w:val="Normal (Web)"/>
    <w:basedOn w:val="Normal"/>
    <w:uiPriority w:val="99"/>
    <w:semiHidden/>
    <w:unhideWhenUsed/>
    <w:rsid w:val="00796DF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DP&amp;L 15-1830 - OCC Initial Brief  (00058325.DOCX;3)</vt:lpstr>
    </vt:vector>
  </TitlesOfParts>
  <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2018-08-17T18:38:36Z</dcterms:created>
  <dcterms:modified xsi:type="dcterms:W3CDTF">2018-08-17T18:38:36Z</dcterms:modified>
</cp:coreProperties>
</file>