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90" w:rsidRPr="007420E6" w:rsidRDefault="00292490" w:rsidP="00292490">
      <w:pPr>
        <w:jc w:val="center"/>
        <w:rPr>
          <w:rFonts w:ascii="Times New Roman" w:hAnsi="Times New Roman"/>
          <w:b/>
          <w:bCs/>
          <w:sz w:val="26"/>
          <w:szCs w:val="26"/>
        </w:rPr>
      </w:pPr>
      <w:bookmarkStart w:id="0" w:name="_GoBack"/>
      <w:bookmarkEnd w:id="0"/>
      <w:r w:rsidRPr="007420E6">
        <w:rPr>
          <w:rFonts w:ascii="Times New Roman" w:hAnsi="Times New Roman"/>
          <w:b/>
          <w:bCs/>
          <w:sz w:val="26"/>
          <w:szCs w:val="26"/>
        </w:rPr>
        <w:t>UNITED STATES OF AMERICA</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BEFORE THE</w:t>
      </w:r>
    </w:p>
    <w:p w:rsidR="00292490" w:rsidRPr="007420E6" w:rsidRDefault="00292490" w:rsidP="00292490">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292490" w:rsidRPr="007420E6" w:rsidRDefault="00292490" w:rsidP="00292490">
      <w:pPr>
        <w:jc w:val="center"/>
        <w:rPr>
          <w:rFonts w:ascii="Times New Roman" w:hAnsi="Times New Roman"/>
          <w:bCs/>
          <w:sz w:val="26"/>
          <w:szCs w:val="26"/>
        </w:rPr>
      </w:pPr>
    </w:p>
    <w:p w:rsidR="00292490" w:rsidRPr="007420E6" w:rsidRDefault="00292490" w:rsidP="00292490">
      <w:pPr>
        <w:jc w:val="center"/>
        <w:rPr>
          <w:rFonts w:ascii="Times New Roman" w:hAnsi="Times New Roman"/>
          <w:bCs/>
          <w:sz w:val="26"/>
          <w:szCs w:val="26"/>
        </w:rPr>
      </w:pPr>
    </w:p>
    <w:tbl>
      <w:tblPr>
        <w:tblW w:w="0" w:type="auto"/>
        <w:tblLook w:val="04A0" w:firstRow="1" w:lastRow="0" w:firstColumn="1" w:lastColumn="0" w:noHBand="0" w:noVBand="1"/>
      </w:tblPr>
      <w:tblGrid>
        <w:gridCol w:w="4689"/>
        <w:gridCol w:w="289"/>
        <w:gridCol w:w="4598"/>
      </w:tblGrid>
      <w:tr w:rsidR="009118DC" w:rsidRPr="00673D8A" w:rsidTr="00673D8A">
        <w:tc>
          <w:tcPr>
            <w:tcW w:w="4698" w:type="dxa"/>
            <w:shd w:val="clear" w:color="auto" w:fill="auto"/>
          </w:tcPr>
          <w:p w:rsidR="007420E6" w:rsidRPr="00673D8A" w:rsidRDefault="007420E6" w:rsidP="007420E6">
            <w:pPr>
              <w:rPr>
                <w:rFonts w:ascii="Times New Roman" w:hAnsi="Times New Roman"/>
                <w:bCs/>
                <w:sz w:val="26"/>
                <w:szCs w:val="26"/>
              </w:rPr>
            </w:pPr>
            <w:r w:rsidRPr="00673D8A">
              <w:rPr>
                <w:rFonts w:ascii="Times New Roman" w:hAnsi="Times New Roman"/>
                <w:bCs/>
                <w:sz w:val="26"/>
                <w:szCs w:val="26"/>
              </w:rPr>
              <w:t>American Electric Power Service</w:t>
            </w:r>
            <w:r w:rsidR="00F61CD5">
              <w:rPr>
                <w:rFonts w:ascii="Times New Roman" w:hAnsi="Times New Roman"/>
                <w:bCs/>
                <w:sz w:val="26"/>
                <w:szCs w:val="26"/>
              </w:rPr>
              <w:br/>
              <w:t xml:space="preserve">  </w:t>
            </w:r>
            <w:r w:rsidRPr="00673D8A">
              <w:rPr>
                <w:rFonts w:ascii="Times New Roman" w:hAnsi="Times New Roman"/>
                <w:bCs/>
                <w:sz w:val="26"/>
                <w:szCs w:val="26"/>
              </w:rPr>
              <w:t>Corporation</w:t>
            </w:r>
          </w:p>
          <w:p w:rsidR="007420E6" w:rsidRPr="00673D8A" w:rsidRDefault="007420E6" w:rsidP="007420E6">
            <w:pPr>
              <w:rPr>
                <w:rFonts w:ascii="Times New Roman" w:hAnsi="Times New Roman"/>
                <w:bCs/>
                <w:sz w:val="26"/>
                <w:szCs w:val="26"/>
              </w:rPr>
            </w:pPr>
          </w:p>
          <w:p w:rsidR="007420E6" w:rsidRPr="00673D8A" w:rsidRDefault="007420E6" w:rsidP="00673D8A">
            <w:pPr>
              <w:tabs>
                <w:tab w:val="left" w:pos="2130"/>
              </w:tabs>
              <w:rPr>
                <w:rFonts w:ascii="Times New Roman" w:hAnsi="Times New Roman"/>
                <w:bCs/>
                <w:sz w:val="26"/>
                <w:szCs w:val="26"/>
              </w:rPr>
            </w:pPr>
            <w:r w:rsidRPr="00673D8A">
              <w:rPr>
                <w:rFonts w:ascii="Times New Roman" w:hAnsi="Times New Roman"/>
                <w:bCs/>
                <w:sz w:val="26"/>
                <w:szCs w:val="26"/>
              </w:rPr>
              <w:tab/>
            </w:r>
            <w:proofErr w:type="gramStart"/>
            <w:r w:rsidRPr="00673D8A">
              <w:rPr>
                <w:rFonts w:ascii="Times New Roman" w:hAnsi="Times New Roman"/>
                <w:bCs/>
                <w:sz w:val="26"/>
                <w:szCs w:val="26"/>
              </w:rPr>
              <w:t>v</w:t>
            </w:r>
            <w:proofErr w:type="gramEnd"/>
            <w:r w:rsidRPr="00673D8A">
              <w:rPr>
                <w:rFonts w:ascii="Times New Roman" w:hAnsi="Times New Roman"/>
                <w:bCs/>
                <w:sz w:val="26"/>
                <w:szCs w:val="26"/>
              </w:rPr>
              <w:t>.</w:t>
            </w:r>
          </w:p>
          <w:p w:rsidR="007420E6" w:rsidRPr="00673D8A" w:rsidRDefault="007420E6" w:rsidP="00673D8A">
            <w:pPr>
              <w:tabs>
                <w:tab w:val="left" w:pos="2130"/>
              </w:tabs>
              <w:rPr>
                <w:rFonts w:ascii="Times New Roman" w:hAnsi="Times New Roman"/>
                <w:bCs/>
                <w:sz w:val="26"/>
                <w:szCs w:val="26"/>
              </w:rPr>
            </w:pPr>
          </w:p>
          <w:p w:rsidR="007420E6" w:rsidRPr="00673D8A" w:rsidRDefault="007420E6" w:rsidP="00673D8A">
            <w:pPr>
              <w:tabs>
                <w:tab w:val="left" w:pos="2130"/>
              </w:tabs>
              <w:rPr>
                <w:rFonts w:ascii="Times New Roman" w:hAnsi="Times New Roman"/>
                <w:bCs/>
                <w:sz w:val="26"/>
                <w:szCs w:val="26"/>
              </w:rPr>
            </w:pPr>
            <w:r w:rsidRPr="00673D8A">
              <w:rPr>
                <w:rFonts w:ascii="Times New Roman" w:hAnsi="Times New Roman"/>
                <w:bCs/>
                <w:sz w:val="26"/>
                <w:szCs w:val="26"/>
              </w:rPr>
              <w:t>PJM Interconnection, L.L.C.</w:t>
            </w:r>
          </w:p>
        </w:tc>
        <w:tc>
          <w:tcPr>
            <w:tcW w:w="270" w:type="dxa"/>
            <w:shd w:val="clear" w:color="auto" w:fill="auto"/>
          </w:tcPr>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p w:rsidR="007420E6" w:rsidRPr="00673D8A" w:rsidRDefault="007420E6" w:rsidP="00673D8A">
            <w:pPr>
              <w:jc w:val="center"/>
              <w:rPr>
                <w:rFonts w:ascii="Times New Roman" w:hAnsi="Times New Roman"/>
                <w:bCs/>
                <w:sz w:val="26"/>
                <w:szCs w:val="26"/>
              </w:rPr>
            </w:pPr>
            <w:r w:rsidRPr="00673D8A">
              <w:rPr>
                <w:rFonts w:ascii="Times New Roman" w:hAnsi="Times New Roman"/>
                <w:bCs/>
                <w:sz w:val="26"/>
                <w:szCs w:val="26"/>
              </w:rPr>
              <w:t>:</w:t>
            </w:r>
          </w:p>
        </w:tc>
        <w:tc>
          <w:tcPr>
            <w:tcW w:w="4608" w:type="dxa"/>
            <w:shd w:val="clear" w:color="auto" w:fill="auto"/>
          </w:tcPr>
          <w:p w:rsidR="007420E6" w:rsidRPr="00673D8A" w:rsidRDefault="007420E6" w:rsidP="007420E6">
            <w:pPr>
              <w:rPr>
                <w:rFonts w:ascii="Times New Roman" w:hAnsi="Times New Roman"/>
                <w:bCs/>
                <w:sz w:val="26"/>
                <w:szCs w:val="26"/>
              </w:rPr>
            </w:pPr>
          </w:p>
          <w:p w:rsidR="007420E6" w:rsidRPr="00673D8A" w:rsidRDefault="007420E6" w:rsidP="007420E6">
            <w:pPr>
              <w:rPr>
                <w:rFonts w:ascii="Times New Roman" w:hAnsi="Times New Roman"/>
                <w:bCs/>
                <w:sz w:val="26"/>
                <w:szCs w:val="26"/>
              </w:rPr>
            </w:pPr>
          </w:p>
          <w:p w:rsidR="007420E6" w:rsidRDefault="00B422AF" w:rsidP="00B422AF">
            <w:pPr>
              <w:tabs>
                <w:tab w:val="left" w:pos="1320"/>
              </w:tabs>
              <w:rPr>
                <w:rFonts w:ascii="Times New Roman" w:hAnsi="Times New Roman"/>
                <w:bCs/>
                <w:sz w:val="26"/>
                <w:szCs w:val="26"/>
              </w:rPr>
            </w:pPr>
            <w:r>
              <w:rPr>
                <w:rFonts w:ascii="Times New Roman" w:hAnsi="Times New Roman"/>
                <w:bCs/>
                <w:sz w:val="26"/>
                <w:szCs w:val="26"/>
              </w:rPr>
              <w:t>Docket No.</w:t>
            </w:r>
            <w:r>
              <w:rPr>
                <w:rFonts w:ascii="Times New Roman" w:hAnsi="Times New Roman"/>
                <w:bCs/>
                <w:sz w:val="26"/>
                <w:szCs w:val="26"/>
              </w:rPr>
              <w:tab/>
            </w:r>
            <w:proofErr w:type="spellStart"/>
            <w:r w:rsidR="007420E6" w:rsidRPr="00673D8A">
              <w:rPr>
                <w:rFonts w:ascii="Times New Roman" w:hAnsi="Times New Roman"/>
                <w:bCs/>
                <w:sz w:val="26"/>
                <w:szCs w:val="26"/>
              </w:rPr>
              <w:t>EL11</w:t>
            </w:r>
            <w:proofErr w:type="spellEnd"/>
            <w:r w:rsidR="007420E6" w:rsidRPr="00673D8A">
              <w:rPr>
                <w:rFonts w:ascii="Times New Roman" w:hAnsi="Times New Roman"/>
                <w:bCs/>
                <w:sz w:val="26"/>
                <w:szCs w:val="26"/>
              </w:rPr>
              <w:t>-32-000</w:t>
            </w:r>
          </w:p>
          <w:p w:rsidR="00B422AF" w:rsidRPr="00673D8A" w:rsidRDefault="00B422AF" w:rsidP="00B422AF">
            <w:pPr>
              <w:tabs>
                <w:tab w:val="left" w:pos="1320"/>
              </w:tabs>
              <w:rPr>
                <w:rFonts w:ascii="Times New Roman" w:hAnsi="Times New Roman"/>
                <w:bCs/>
                <w:sz w:val="26"/>
                <w:szCs w:val="26"/>
              </w:rPr>
            </w:pPr>
            <w:r>
              <w:rPr>
                <w:rFonts w:ascii="Times New Roman" w:hAnsi="Times New Roman"/>
                <w:bCs/>
                <w:sz w:val="26"/>
                <w:szCs w:val="26"/>
              </w:rPr>
              <w:tab/>
              <w:t>ER11-2183-000</w:t>
            </w:r>
          </w:p>
        </w:tc>
      </w:tr>
    </w:tbl>
    <w:p w:rsidR="0042772C" w:rsidRPr="007420E6" w:rsidRDefault="0042772C" w:rsidP="00292490">
      <w:pPr>
        <w:jc w:val="center"/>
        <w:rPr>
          <w:rFonts w:ascii="Times New Roman" w:hAnsi="Times New Roman"/>
          <w:bCs/>
          <w:sz w:val="26"/>
          <w:szCs w:val="26"/>
        </w:rPr>
      </w:pPr>
    </w:p>
    <w:p w:rsidR="0042772C" w:rsidRDefault="0042772C"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673D8A" w:rsidRDefault="00673D8A" w:rsidP="0042772C">
      <w:pPr>
        <w:rPr>
          <w:rFonts w:ascii="Times New Roman" w:hAnsi="Times New Roman"/>
          <w:sz w:val="26"/>
          <w:szCs w:val="26"/>
        </w:rPr>
      </w:pPr>
    </w:p>
    <w:p w:rsidR="00853A46" w:rsidRDefault="00853A46" w:rsidP="003753CF">
      <w:pPr>
        <w:tabs>
          <w:tab w:val="left" w:pos="9360"/>
        </w:tabs>
        <w:spacing w:after="240"/>
        <w:rPr>
          <w:rFonts w:ascii="Times New Roman" w:hAnsi="Times New Roman"/>
          <w:sz w:val="26"/>
          <w:szCs w:val="26"/>
          <w:u w:val="single"/>
        </w:rPr>
      </w:pPr>
    </w:p>
    <w:p w:rsidR="00853A46" w:rsidRDefault="00853A46" w:rsidP="003753CF">
      <w:pPr>
        <w:tabs>
          <w:tab w:val="left" w:pos="9360"/>
        </w:tabs>
        <w:spacing w:after="240"/>
        <w:rPr>
          <w:rFonts w:ascii="Times New Roman" w:hAnsi="Times New Roman"/>
          <w:sz w:val="26"/>
          <w:szCs w:val="26"/>
          <w:u w:val="single"/>
        </w:rPr>
      </w:pPr>
    </w:p>
    <w:p w:rsidR="00853A46" w:rsidRDefault="00853A46" w:rsidP="003753CF">
      <w:pPr>
        <w:tabs>
          <w:tab w:val="left" w:pos="9360"/>
        </w:tabs>
        <w:spacing w:after="240"/>
        <w:rPr>
          <w:rFonts w:ascii="Times New Roman" w:hAnsi="Times New Roman"/>
          <w:sz w:val="26"/>
          <w:szCs w:val="26"/>
          <w:u w:val="single"/>
        </w:rPr>
      </w:pP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Pr="003753CF" w:rsidRDefault="00DD1295" w:rsidP="003753CF">
      <w:pPr>
        <w:jc w:val="center"/>
        <w:rPr>
          <w:rFonts w:ascii="Times New Roman" w:hAnsi="Times New Roman"/>
          <w:b/>
          <w:sz w:val="32"/>
          <w:szCs w:val="32"/>
        </w:rPr>
      </w:pPr>
      <w:r>
        <w:rPr>
          <w:rFonts w:ascii="Times New Roman" w:hAnsi="Times New Roman"/>
          <w:b/>
          <w:sz w:val="32"/>
          <w:szCs w:val="32"/>
        </w:rPr>
        <w:t>RESPONSE</w:t>
      </w:r>
    </w:p>
    <w:p w:rsidR="003753CF" w:rsidRPr="00DD1295" w:rsidRDefault="003753CF" w:rsidP="003753CF">
      <w:pPr>
        <w:jc w:val="center"/>
        <w:rPr>
          <w:rFonts w:ascii="Times New Roman" w:hAnsi="Times New Roman"/>
          <w:b/>
          <w:sz w:val="32"/>
          <w:szCs w:val="32"/>
        </w:rPr>
      </w:pPr>
      <w:r w:rsidRPr="00DD1295">
        <w:rPr>
          <w:rFonts w:ascii="Times New Roman" w:hAnsi="Times New Roman"/>
          <w:b/>
          <w:sz w:val="32"/>
          <w:szCs w:val="32"/>
        </w:rPr>
        <w:t>SUBMITTED ON BEHALF OF</w:t>
      </w:r>
    </w:p>
    <w:p w:rsidR="003753CF" w:rsidRPr="00DD1295" w:rsidRDefault="003753CF" w:rsidP="003753CF">
      <w:pPr>
        <w:jc w:val="center"/>
        <w:rPr>
          <w:rFonts w:ascii="Times New Roman" w:hAnsi="Times New Roman"/>
          <w:b/>
          <w:sz w:val="32"/>
          <w:szCs w:val="32"/>
        </w:rPr>
      </w:pPr>
      <w:r w:rsidRPr="00DD1295">
        <w:rPr>
          <w:rFonts w:ascii="Times New Roman" w:hAnsi="Times New Roman"/>
          <w:b/>
          <w:sz w:val="32"/>
          <w:szCs w:val="32"/>
        </w:rPr>
        <w:t>THE PUBLIC UTILITIES COMMISSION OF OHIO</w:t>
      </w:r>
    </w:p>
    <w:p w:rsidR="00DD1295" w:rsidRPr="00DD1295" w:rsidRDefault="00DD1295" w:rsidP="003753CF">
      <w:pPr>
        <w:jc w:val="center"/>
        <w:rPr>
          <w:rFonts w:ascii="Times New Roman" w:hAnsi="Times New Roman"/>
          <w:b/>
          <w:sz w:val="26"/>
          <w:szCs w:val="26"/>
        </w:rPr>
      </w:pPr>
      <w:r w:rsidRPr="00DD1295">
        <w:rPr>
          <w:rFonts w:ascii="Times New Roman" w:hAnsi="Times New Roman"/>
          <w:b/>
          <w:sz w:val="26"/>
          <w:szCs w:val="26"/>
        </w:rPr>
        <w:t>TO</w:t>
      </w:r>
    </w:p>
    <w:p w:rsidR="00DD1295" w:rsidRPr="00DD1295" w:rsidRDefault="00DD1295" w:rsidP="003753CF">
      <w:pPr>
        <w:jc w:val="center"/>
        <w:rPr>
          <w:rFonts w:ascii="Times New Roman" w:hAnsi="Times New Roman"/>
          <w:b/>
          <w:sz w:val="26"/>
          <w:szCs w:val="26"/>
        </w:rPr>
      </w:pPr>
      <w:r w:rsidRPr="00DD1295">
        <w:rPr>
          <w:rFonts w:ascii="Times New Roman" w:hAnsi="Times New Roman"/>
          <w:b/>
          <w:sz w:val="26"/>
          <w:szCs w:val="26"/>
        </w:rPr>
        <w:t>RENEWED MOTION</w:t>
      </w:r>
    </w:p>
    <w:p w:rsidR="00DD1295" w:rsidRPr="00DD1295" w:rsidRDefault="00DD1295" w:rsidP="003753CF">
      <w:pPr>
        <w:jc w:val="center"/>
        <w:rPr>
          <w:rFonts w:ascii="Times New Roman" w:hAnsi="Times New Roman"/>
          <w:b/>
          <w:sz w:val="26"/>
          <w:szCs w:val="26"/>
        </w:rPr>
      </w:pPr>
      <w:r w:rsidRPr="00DD1295">
        <w:rPr>
          <w:rFonts w:ascii="Times New Roman" w:hAnsi="Times New Roman"/>
          <w:b/>
          <w:sz w:val="26"/>
          <w:szCs w:val="26"/>
        </w:rPr>
        <w:t>OF</w:t>
      </w:r>
    </w:p>
    <w:p w:rsidR="00DD1295" w:rsidRPr="00DD1295" w:rsidRDefault="00DD1295" w:rsidP="003753CF">
      <w:pPr>
        <w:jc w:val="center"/>
        <w:rPr>
          <w:rFonts w:ascii="Times New Roman" w:hAnsi="Times New Roman"/>
          <w:b/>
          <w:sz w:val="26"/>
          <w:szCs w:val="26"/>
        </w:rPr>
      </w:pPr>
      <w:r w:rsidRPr="00DD1295">
        <w:rPr>
          <w:rFonts w:ascii="Times New Roman" w:hAnsi="Times New Roman"/>
          <w:b/>
          <w:sz w:val="26"/>
          <w:szCs w:val="26"/>
        </w:rPr>
        <w:t>AMERICAN ELECTRIC POWER SERVICE CORPORATION</w:t>
      </w:r>
    </w:p>
    <w:p w:rsidR="00DD1295" w:rsidRPr="00DD1295" w:rsidRDefault="00DD1295" w:rsidP="003753CF">
      <w:pPr>
        <w:jc w:val="center"/>
        <w:rPr>
          <w:rFonts w:ascii="Times New Roman" w:hAnsi="Times New Roman"/>
          <w:b/>
          <w:sz w:val="26"/>
          <w:szCs w:val="26"/>
        </w:rPr>
      </w:pPr>
      <w:r w:rsidRPr="00DD1295">
        <w:rPr>
          <w:rFonts w:ascii="Times New Roman" w:hAnsi="Times New Roman"/>
          <w:b/>
          <w:sz w:val="26"/>
          <w:szCs w:val="26"/>
        </w:rPr>
        <w:t>FOR EXPEDITED RULING</w:t>
      </w: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3753CF" w:rsidRDefault="003753CF" w:rsidP="00673D8A"/>
    <w:p w:rsidR="003753CF" w:rsidRDefault="003753CF" w:rsidP="00673D8A"/>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Default="00673D8A" w:rsidP="00673D8A">
      <w:pPr>
        <w:jc w:val="center"/>
      </w:pPr>
    </w:p>
    <w:p w:rsidR="00673D8A" w:rsidRPr="00673D8A" w:rsidRDefault="00DD1295" w:rsidP="00673D8A">
      <w:pPr>
        <w:jc w:val="center"/>
        <w:rPr>
          <w:rFonts w:ascii="Times New Roman" w:hAnsi="Times New Roman"/>
          <w:b/>
          <w:sz w:val="26"/>
          <w:szCs w:val="26"/>
        </w:rPr>
      </w:pPr>
      <w:r>
        <w:rPr>
          <w:rFonts w:ascii="Times New Roman" w:hAnsi="Times New Roman"/>
          <w:b/>
          <w:sz w:val="26"/>
          <w:szCs w:val="26"/>
        </w:rPr>
        <w:t>July</w:t>
      </w:r>
      <w:r w:rsidR="00673D8A" w:rsidRPr="00673D8A">
        <w:rPr>
          <w:rFonts w:ascii="Times New Roman" w:hAnsi="Times New Roman"/>
          <w:b/>
          <w:sz w:val="26"/>
          <w:szCs w:val="26"/>
        </w:rPr>
        <w:t xml:space="preserve"> </w:t>
      </w:r>
      <w:r w:rsidR="00852B38">
        <w:rPr>
          <w:rFonts w:ascii="Times New Roman" w:hAnsi="Times New Roman"/>
          <w:b/>
          <w:sz w:val="26"/>
          <w:szCs w:val="26"/>
        </w:rPr>
        <w:t>30</w:t>
      </w:r>
      <w:r>
        <w:rPr>
          <w:rFonts w:ascii="Times New Roman" w:hAnsi="Times New Roman"/>
          <w:b/>
          <w:sz w:val="26"/>
          <w:szCs w:val="26"/>
        </w:rPr>
        <w:t>, 2012</w:t>
      </w:r>
    </w:p>
    <w:p w:rsidR="00673D8A" w:rsidRPr="00673D8A" w:rsidRDefault="00673D8A" w:rsidP="00673D8A">
      <w:pPr>
        <w:jc w:val="center"/>
        <w:sectPr w:rsidR="00673D8A" w:rsidRPr="00673D8A" w:rsidSect="007420E6">
          <w:headerReference w:type="default" r:id="rId9"/>
          <w:footerReference w:type="default" r:id="rId10"/>
          <w:pgSz w:w="12240" w:h="15840"/>
          <w:pgMar w:top="1440" w:right="1440" w:bottom="1440" w:left="1440" w:header="720" w:footer="720" w:gutter="0"/>
          <w:cols w:space="720"/>
          <w:titlePg/>
          <w:docGrid w:linePitch="360"/>
        </w:sectPr>
      </w:pPr>
    </w:p>
    <w:p w:rsidR="003035ED" w:rsidRDefault="00CE0704">
      <w:pPr>
        <w:pStyle w:val="TOC1"/>
        <w:rPr>
          <w:rFonts w:asciiTheme="minorHAnsi" w:eastAsiaTheme="minorEastAsia" w:hAnsiTheme="minorHAnsi" w:cstheme="minorBidi"/>
          <w:noProof/>
          <w:sz w:val="22"/>
          <w:szCs w:val="22"/>
        </w:rPr>
      </w:pPr>
      <w:r>
        <w:rPr>
          <w:szCs w:val="26"/>
        </w:rPr>
        <w:lastRenderedPageBreak/>
        <w:fldChar w:fldCharType="begin"/>
      </w:r>
      <w:r w:rsidR="009118DC">
        <w:rPr>
          <w:szCs w:val="26"/>
        </w:rPr>
        <w:instrText xml:space="preserve"> TOC \o "1-5" \u </w:instrText>
      </w:r>
      <w:r>
        <w:rPr>
          <w:szCs w:val="26"/>
        </w:rPr>
        <w:fldChar w:fldCharType="separate"/>
      </w:r>
      <w:r w:rsidR="003035ED">
        <w:rPr>
          <w:noProof/>
        </w:rPr>
        <w:t>INTRODUCTION</w:t>
      </w:r>
      <w:r w:rsidR="003035ED">
        <w:rPr>
          <w:noProof/>
        </w:rPr>
        <w:tab/>
      </w:r>
      <w:r w:rsidR="003035ED">
        <w:rPr>
          <w:noProof/>
        </w:rPr>
        <w:fldChar w:fldCharType="begin"/>
      </w:r>
      <w:r w:rsidR="003035ED">
        <w:rPr>
          <w:noProof/>
        </w:rPr>
        <w:instrText xml:space="preserve"> PAGEREF _Toc331418219 \h </w:instrText>
      </w:r>
      <w:r w:rsidR="003035ED">
        <w:rPr>
          <w:noProof/>
        </w:rPr>
      </w:r>
      <w:r w:rsidR="003035ED">
        <w:rPr>
          <w:noProof/>
        </w:rPr>
        <w:fldChar w:fldCharType="separate"/>
      </w:r>
      <w:r w:rsidR="00232570">
        <w:rPr>
          <w:noProof/>
        </w:rPr>
        <w:t>1</w:t>
      </w:r>
      <w:r w:rsidR="003035ED">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THE DEAL AEP MADE</w:t>
      </w:r>
      <w:r>
        <w:rPr>
          <w:noProof/>
        </w:rPr>
        <w:tab/>
      </w:r>
      <w:r>
        <w:rPr>
          <w:noProof/>
        </w:rPr>
        <w:fldChar w:fldCharType="begin"/>
      </w:r>
      <w:r>
        <w:rPr>
          <w:noProof/>
        </w:rPr>
        <w:instrText xml:space="preserve"> PAGEREF _Toc331418220 \h </w:instrText>
      </w:r>
      <w:r>
        <w:rPr>
          <w:noProof/>
        </w:rPr>
      </w:r>
      <w:r>
        <w:rPr>
          <w:noProof/>
        </w:rPr>
        <w:fldChar w:fldCharType="separate"/>
      </w:r>
      <w:r w:rsidR="00232570">
        <w:rPr>
          <w:noProof/>
        </w:rPr>
        <w:t>2</w:t>
      </w:r>
      <w:r>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THE OHIO MECHANISM</w:t>
      </w:r>
      <w:r>
        <w:rPr>
          <w:noProof/>
        </w:rPr>
        <w:tab/>
      </w:r>
      <w:r>
        <w:rPr>
          <w:noProof/>
        </w:rPr>
        <w:fldChar w:fldCharType="begin"/>
      </w:r>
      <w:r>
        <w:rPr>
          <w:noProof/>
        </w:rPr>
        <w:instrText xml:space="preserve"> PAGEREF _Toc331418221 \h </w:instrText>
      </w:r>
      <w:r>
        <w:rPr>
          <w:noProof/>
        </w:rPr>
      </w:r>
      <w:r>
        <w:rPr>
          <w:noProof/>
        </w:rPr>
        <w:fldChar w:fldCharType="separate"/>
      </w:r>
      <w:r w:rsidR="00232570">
        <w:rPr>
          <w:noProof/>
        </w:rPr>
        <w:t>4</w:t>
      </w:r>
      <w:r>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STATE LAW RELIEF FOR AEP</w:t>
      </w:r>
      <w:r>
        <w:rPr>
          <w:noProof/>
        </w:rPr>
        <w:tab/>
      </w:r>
      <w:r>
        <w:rPr>
          <w:noProof/>
        </w:rPr>
        <w:fldChar w:fldCharType="begin"/>
      </w:r>
      <w:r>
        <w:rPr>
          <w:noProof/>
        </w:rPr>
        <w:instrText xml:space="preserve"> PAGEREF _Toc331418222 \h </w:instrText>
      </w:r>
      <w:r>
        <w:rPr>
          <w:noProof/>
        </w:rPr>
      </w:r>
      <w:r>
        <w:rPr>
          <w:noProof/>
        </w:rPr>
        <w:fldChar w:fldCharType="separate"/>
      </w:r>
      <w:r w:rsidR="00232570">
        <w:rPr>
          <w:noProof/>
        </w:rPr>
        <w:t>5</w:t>
      </w:r>
      <w:r>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AEP MUST LIVE WITH ITS CONTRACT</w:t>
      </w:r>
      <w:r>
        <w:rPr>
          <w:noProof/>
        </w:rPr>
        <w:tab/>
      </w:r>
      <w:r>
        <w:rPr>
          <w:noProof/>
        </w:rPr>
        <w:fldChar w:fldCharType="begin"/>
      </w:r>
      <w:r>
        <w:rPr>
          <w:noProof/>
        </w:rPr>
        <w:instrText xml:space="preserve"> PAGEREF _Toc331418223 \h </w:instrText>
      </w:r>
      <w:r>
        <w:rPr>
          <w:noProof/>
        </w:rPr>
      </w:r>
      <w:r>
        <w:rPr>
          <w:noProof/>
        </w:rPr>
        <w:fldChar w:fldCharType="separate"/>
      </w:r>
      <w:r w:rsidR="00232570">
        <w:rPr>
          <w:noProof/>
        </w:rPr>
        <w:t>6</w:t>
      </w:r>
      <w:r>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SUMMARY</w:t>
      </w:r>
      <w:r>
        <w:rPr>
          <w:noProof/>
        </w:rPr>
        <w:tab/>
      </w:r>
      <w:r>
        <w:rPr>
          <w:noProof/>
        </w:rPr>
        <w:fldChar w:fldCharType="begin"/>
      </w:r>
      <w:r>
        <w:rPr>
          <w:noProof/>
        </w:rPr>
        <w:instrText xml:space="preserve"> PAGEREF _Toc331418224 \h </w:instrText>
      </w:r>
      <w:r>
        <w:rPr>
          <w:noProof/>
        </w:rPr>
      </w:r>
      <w:r>
        <w:rPr>
          <w:noProof/>
        </w:rPr>
        <w:fldChar w:fldCharType="separate"/>
      </w:r>
      <w:r w:rsidR="00232570">
        <w:rPr>
          <w:noProof/>
        </w:rPr>
        <w:t>9</w:t>
      </w:r>
      <w:r>
        <w:rPr>
          <w:noProof/>
        </w:rPr>
        <w:fldChar w:fldCharType="end"/>
      </w:r>
    </w:p>
    <w:p w:rsidR="003035ED" w:rsidRDefault="003035ED">
      <w:pPr>
        <w:pStyle w:val="TOC1"/>
        <w:rPr>
          <w:rFonts w:asciiTheme="minorHAnsi" w:eastAsiaTheme="minorEastAsia" w:hAnsiTheme="minorHAnsi" w:cstheme="minorBidi"/>
          <w:noProof/>
          <w:sz w:val="22"/>
          <w:szCs w:val="22"/>
        </w:rPr>
      </w:pPr>
      <w:r>
        <w:rPr>
          <w:noProof/>
        </w:rPr>
        <w:t>CERTIFICATE OF SERVICE</w:t>
      </w:r>
      <w:r>
        <w:rPr>
          <w:noProof/>
        </w:rPr>
        <w:tab/>
      </w:r>
      <w:r>
        <w:rPr>
          <w:noProof/>
        </w:rPr>
        <w:fldChar w:fldCharType="begin"/>
      </w:r>
      <w:r>
        <w:rPr>
          <w:noProof/>
        </w:rPr>
        <w:instrText xml:space="preserve"> PAGEREF _Toc331418225 \h </w:instrText>
      </w:r>
      <w:r>
        <w:rPr>
          <w:noProof/>
        </w:rPr>
      </w:r>
      <w:r>
        <w:rPr>
          <w:noProof/>
        </w:rPr>
        <w:fldChar w:fldCharType="separate"/>
      </w:r>
      <w:r w:rsidR="00232570">
        <w:rPr>
          <w:noProof/>
        </w:rPr>
        <w:t>10</w:t>
      </w:r>
      <w:r>
        <w:rPr>
          <w:noProof/>
        </w:rPr>
        <w:fldChar w:fldCharType="end"/>
      </w:r>
    </w:p>
    <w:p w:rsidR="00673D8A" w:rsidRDefault="00CE0704" w:rsidP="003753CF">
      <w:pPr>
        <w:sectPr w:rsidR="00673D8A" w:rsidSect="009118DC">
          <w:headerReference w:type="first" r:id="rId11"/>
          <w:footerReference w:type="first" r:id="rId12"/>
          <w:pgSz w:w="12240" w:h="15840"/>
          <w:pgMar w:top="1440" w:right="1440" w:bottom="1440" w:left="1440" w:header="720" w:footer="720" w:gutter="0"/>
          <w:pgNumType w:fmt="lowerRoman" w:start="1"/>
          <w:cols w:space="720"/>
          <w:titlePg/>
          <w:docGrid w:linePitch="360"/>
        </w:sectPr>
      </w:pPr>
      <w:r>
        <w:fldChar w:fldCharType="end"/>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lastRenderedPageBreak/>
        <w:t>UNITED STATES OF AMERICA</w:t>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t>BEFORE THE</w:t>
      </w:r>
    </w:p>
    <w:p w:rsidR="00673D8A" w:rsidRPr="007420E6" w:rsidRDefault="00673D8A" w:rsidP="00673D8A">
      <w:pPr>
        <w:jc w:val="center"/>
        <w:rPr>
          <w:rFonts w:ascii="Times New Roman" w:hAnsi="Times New Roman"/>
          <w:b/>
          <w:bCs/>
          <w:sz w:val="26"/>
          <w:szCs w:val="26"/>
        </w:rPr>
      </w:pPr>
      <w:r w:rsidRPr="007420E6">
        <w:rPr>
          <w:rFonts w:ascii="Times New Roman" w:hAnsi="Times New Roman"/>
          <w:b/>
          <w:bCs/>
          <w:sz w:val="26"/>
          <w:szCs w:val="26"/>
        </w:rPr>
        <w:t>FEDERAL ENERGY REGULATORY COMMISSION</w:t>
      </w:r>
    </w:p>
    <w:p w:rsidR="00673D8A" w:rsidRPr="007420E6" w:rsidRDefault="00673D8A" w:rsidP="00673D8A">
      <w:pPr>
        <w:jc w:val="center"/>
        <w:rPr>
          <w:rFonts w:ascii="Times New Roman" w:hAnsi="Times New Roman"/>
          <w:bCs/>
          <w:sz w:val="26"/>
          <w:szCs w:val="26"/>
        </w:rPr>
      </w:pPr>
    </w:p>
    <w:p w:rsidR="00673D8A" w:rsidRPr="007420E6" w:rsidRDefault="00673D8A" w:rsidP="00673D8A">
      <w:pPr>
        <w:jc w:val="center"/>
        <w:rPr>
          <w:rFonts w:ascii="Times New Roman" w:hAnsi="Times New Roman"/>
          <w:bCs/>
          <w:sz w:val="26"/>
          <w:szCs w:val="26"/>
        </w:rPr>
      </w:pPr>
    </w:p>
    <w:tbl>
      <w:tblPr>
        <w:tblW w:w="0" w:type="auto"/>
        <w:tblLook w:val="04A0" w:firstRow="1" w:lastRow="0" w:firstColumn="1" w:lastColumn="0" w:noHBand="0" w:noVBand="1"/>
      </w:tblPr>
      <w:tblGrid>
        <w:gridCol w:w="4691"/>
        <w:gridCol w:w="289"/>
        <w:gridCol w:w="4596"/>
      </w:tblGrid>
      <w:tr w:rsidR="009118DC" w:rsidRPr="00673D8A" w:rsidTr="00673D8A">
        <w:tc>
          <w:tcPr>
            <w:tcW w:w="4698" w:type="dxa"/>
            <w:shd w:val="clear" w:color="auto" w:fill="auto"/>
          </w:tcPr>
          <w:p w:rsidR="00673D8A" w:rsidRDefault="00F61CD5" w:rsidP="00703690">
            <w:pPr>
              <w:rPr>
                <w:rFonts w:ascii="Times New Roman" w:hAnsi="Times New Roman"/>
                <w:bCs/>
                <w:sz w:val="26"/>
                <w:szCs w:val="26"/>
              </w:rPr>
            </w:pPr>
            <w:r w:rsidRPr="00673D8A">
              <w:rPr>
                <w:rFonts w:ascii="Times New Roman" w:hAnsi="Times New Roman"/>
                <w:bCs/>
                <w:sz w:val="26"/>
                <w:szCs w:val="26"/>
              </w:rPr>
              <w:t>American Electric Power Service</w:t>
            </w:r>
            <w:r>
              <w:rPr>
                <w:rFonts w:ascii="Times New Roman" w:hAnsi="Times New Roman"/>
                <w:bCs/>
                <w:sz w:val="26"/>
                <w:szCs w:val="26"/>
              </w:rPr>
              <w:br/>
              <w:t xml:space="preserve">  </w:t>
            </w:r>
            <w:r w:rsidRPr="00673D8A">
              <w:rPr>
                <w:rFonts w:ascii="Times New Roman" w:hAnsi="Times New Roman"/>
                <w:bCs/>
                <w:sz w:val="26"/>
                <w:szCs w:val="26"/>
              </w:rPr>
              <w:t>Corporation</w:t>
            </w:r>
          </w:p>
          <w:p w:rsidR="00F61CD5" w:rsidRPr="00673D8A" w:rsidRDefault="00F61CD5" w:rsidP="00703690">
            <w:pPr>
              <w:rPr>
                <w:rFonts w:ascii="Times New Roman" w:hAnsi="Times New Roman"/>
                <w:bCs/>
                <w:sz w:val="26"/>
                <w:szCs w:val="26"/>
              </w:rPr>
            </w:pPr>
          </w:p>
          <w:p w:rsidR="00673D8A" w:rsidRPr="00673D8A" w:rsidRDefault="00673D8A" w:rsidP="00673D8A">
            <w:pPr>
              <w:tabs>
                <w:tab w:val="left" w:pos="2130"/>
              </w:tabs>
              <w:rPr>
                <w:rFonts w:ascii="Times New Roman" w:hAnsi="Times New Roman"/>
                <w:bCs/>
                <w:sz w:val="26"/>
                <w:szCs w:val="26"/>
              </w:rPr>
            </w:pPr>
            <w:r w:rsidRPr="00673D8A">
              <w:rPr>
                <w:rFonts w:ascii="Times New Roman" w:hAnsi="Times New Roman"/>
                <w:bCs/>
                <w:sz w:val="26"/>
                <w:szCs w:val="26"/>
              </w:rPr>
              <w:tab/>
            </w:r>
            <w:proofErr w:type="gramStart"/>
            <w:r w:rsidRPr="00673D8A">
              <w:rPr>
                <w:rFonts w:ascii="Times New Roman" w:hAnsi="Times New Roman"/>
                <w:bCs/>
                <w:sz w:val="26"/>
                <w:szCs w:val="26"/>
              </w:rPr>
              <w:t>v</w:t>
            </w:r>
            <w:proofErr w:type="gramEnd"/>
            <w:r w:rsidRPr="00673D8A">
              <w:rPr>
                <w:rFonts w:ascii="Times New Roman" w:hAnsi="Times New Roman"/>
                <w:bCs/>
                <w:sz w:val="26"/>
                <w:szCs w:val="26"/>
              </w:rPr>
              <w:t>.</w:t>
            </w:r>
          </w:p>
          <w:p w:rsidR="00673D8A" w:rsidRPr="00673D8A" w:rsidRDefault="00673D8A" w:rsidP="00673D8A">
            <w:pPr>
              <w:tabs>
                <w:tab w:val="left" w:pos="2130"/>
              </w:tabs>
              <w:rPr>
                <w:rFonts w:ascii="Times New Roman" w:hAnsi="Times New Roman"/>
                <w:bCs/>
                <w:sz w:val="26"/>
                <w:szCs w:val="26"/>
              </w:rPr>
            </w:pPr>
          </w:p>
          <w:p w:rsidR="00673D8A" w:rsidRPr="00673D8A" w:rsidRDefault="00673D8A" w:rsidP="00673D8A">
            <w:pPr>
              <w:tabs>
                <w:tab w:val="left" w:pos="2130"/>
              </w:tabs>
              <w:rPr>
                <w:rFonts w:ascii="Times New Roman" w:hAnsi="Times New Roman"/>
                <w:bCs/>
                <w:sz w:val="26"/>
                <w:szCs w:val="26"/>
              </w:rPr>
            </w:pPr>
            <w:r w:rsidRPr="00673D8A">
              <w:rPr>
                <w:rFonts w:ascii="Times New Roman" w:hAnsi="Times New Roman"/>
                <w:bCs/>
                <w:sz w:val="26"/>
                <w:szCs w:val="26"/>
              </w:rPr>
              <w:t>PJM Interconnection, L.L.C.</w:t>
            </w:r>
          </w:p>
        </w:tc>
        <w:tc>
          <w:tcPr>
            <w:tcW w:w="270" w:type="dxa"/>
            <w:shd w:val="clear" w:color="auto" w:fill="auto"/>
          </w:tcPr>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p w:rsidR="00673D8A" w:rsidRPr="00673D8A" w:rsidRDefault="00673D8A" w:rsidP="00673D8A">
            <w:pPr>
              <w:jc w:val="center"/>
              <w:rPr>
                <w:rFonts w:ascii="Times New Roman" w:hAnsi="Times New Roman"/>
                <w:bCs/>
                <w:sz w:val="26"/>
                <w:szCs w:val="26"/>
              </w:rPr>
            </w:pPr>
            <w:r w:rsidRPr="00673D8A">
              <w:rPr>
                <w:rFonts w:ascii="Times New Roman" w:hAnsi="Times New Roman"/>
                <w:bCs/>
                <w:sz w:val="26"/>
                <w:szCs w:val="26"/>
              </w:rPr>
              <w:t>:</w:t>
            </w:r>
          </w:p>
        </w:tc>
        <w:tc>
          <w:tcPr>
            <w:tcW w:w="4608" w:type="dxa"/>
            <w:shd w:val="clear" w:color="auto" w:fill="auto"/>
          </w:tcPr>
          <w:p w:rsidR="00673D8A" w:rsidRPr="00673D8A" w:rsidRDefault="00673D8A" w:rsidP="00703690">
            <w:pPr>
              <w:rPr>
                <w:rFonts w:ascii="Times New Roman" w:hAnsi="Times New Roman"/>
                <w:bCs/>
                <w:sz w:val="26"/>
                <w:szCs w:val="26"/>
              </w:rPr>
            </w:pPr>
          </w:p>
          <w:p w:rsidR="00673D8A" w:rsidRPr="00673D8A" w:rsidRDefault="00673D8A" w:rsidP="00703690">
            <w:pPr>
              <w:rPr>
                <w:rFonts w:ascii="Times New Roman" w:hAnsi="Times New Roman"/>
                <w:bCs/>
                <w:sz w:val="26"/>
                <w:szCs w:val="26"/>
              </w:rPr>
            </w:pPr>
          </w:p>
          <w:p w:rsidR="00673D8A" w:rsidRPr="00673D8A" w:rsidRDefault="00673D8A" w:rsidP="00703690">
            <w:pPr>
              <w:rPr>
                <w:rFonts w:ascii="Times New Roman" w:hAnsi="Times New Roman"/>
                <w:bCs/>
                <w:sz w:val="26"/>
                <w:szCs w:val="26"/>
              </w:rPr>
            </w:pPr>
            <w:r w:rsidRPr="00673D8A">
              <w:rPr>
                <w:rFonts w:ascii="Times New Roman" w:hAnsi="Times New Roman"/>
                <w:bCs/>
                <w:sz w:val="26"/>
                <w:szCs w:val="26"/>
              </w:rPr>
              <w:t>Docket No</w:t>
            </w:r>
            <w:proofErr w:type="gramStart"/>
            <w:r w:rsidRPr="00673D8A">
              <w:rPr>
                <w:rFonts w:ascii="Times New Roman" w:hAnsi="Times New Roman"/>
                <w:bCs/>
                <w:sz w:val="26"/>
                <w:szCs w:val="26"/>
              </w:rPr>
              <w:t xml:space="preserve">. </w:t>
            </w:r>
            <w:proofErr w:type="spellStart"/>
            <w:proofErr w:type="gramEnd"/>
            <w:r w:rsidRPr="00673D8A">
              <w:rPr>
                <w:rFonts w:ascii="Times New Roman" w:hAnsi="Times New Roman"/>
                <w:bCs/>
                <w:sz w:val="26"/>
                <w:szCs w:val="26"/>
              </w:rPr>
              <w:t>EL11</w:t>
            </w:r>
            <w:proofErr w:type="spellEnd"/>
            <w:r w:rsidRPr="00673D8A">
              <w:rPr>
                <w:rFonts w:ascii="Times New Roman" w:hAnsi="Times New Roman"/>
                <w:bCs/>
                <w:sz w:val="26"/>
                <w:szCs w:val="26"/>
              </w:rPr>
              <w:t>-32-000</w:t>
            </w:r>
          </w:p>
        </w:tc>
      </w:tr>
    </w:tbl>
    <w:p w:rsidR="00673D8A" w:rsidRPr="007420E6" w:rsidRDefault="00673D8A" w:rsidP="00673D8A">
      <w:pPr>
        <w:jc w:val="center"/>
        <w:rPr>
          <w:rFonts w:ascii="Times New Roman" w:hAnsi="Times New Roman"/>
          <w:bCs/>
          <w:sz w:val="26"/>
          <w:szCs w:val="26"/>
        </w:rPr>
      </w:pPr>
    </w:p>
    <w:p w:rsidR="00673D8A" w:rsidRDefault="00673D8A" w:rsidP="00673D8A">
      <w:pPr>
        <w:rPr>
          <w:rFonts w:ascii="Times New Roman" w:hAnsi="Times New Roman"/>
          <w:sz w:val="26"/>
          <w:szCs w:val="26"/>
        </w:rPr>
      </w:pPr>
    </w:p>
    <w:p w:rsidR="00673D8A"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DD1295" w:rsidRPr="003753CF" w:rsidRDefault="00DD1295" w:rsidP="00DD1295">
      <w:pPr>
        <w:jc w:val="center"/>
        <w:rPr>
          <w:rFonts w:ascii="Times New Roman" w:hAnsi="Times New Roman"/>
          <w:b/>
          <w:sz w:val="32"/>
          <w:szCs w:val="32"/>
        </w:rPr>
      </w:pPr>
      <w:r>
        <w:rPr>
          <w:rFonts w:ascii="Times New Roman" w:hAnsi="Times New Roman"/>
          <w:b/>
          <w:sz w:val="32"/>
          <w:szCs w:val="32"/>
        </w:rPr>
        <w:t>RESPONSE</w:t>
      </w:r>
    </w:p>
    <w:p w:rsidR="00DD1295" w:rsidRPr="00DD1295" w:rsidRDefault="00DD1295" w:rsidP="00DD1295">
      <w:pPr>
        <w:jc w:val="center"/>
        <w:rPr>
          <w:rFonts w:ascii="Times New Roman" w:hAnsi="Times New Roman"/>
          <w:b/>
          <w:sz w:val="32"/>
          <w:szCs w:val="32"/>
        </w:rPr>
      </w:pPr>
      <w:r w:rsidRPr="00DD1295">
        <w:rPr>
          <w:rFonts w:ascii="Times New Roman" w:hAnsi="Times New Roman"/>
          <w:b/>
          <w:sz w:val="32"/>
          <w:szCs w:val="32"/>
        </w:rPr>
        <w:t>SUBMITTED ON BEHALF OF</w:t>
      </w:r>
    </w:p>
    <w:p w:rsidR="00DD1295" w:rsidRPr="00DD1295" w:rsidRDefault="00DD1295" w:rsidP="00DD1295">
      <w:pPr>
        <w:jc w:val="center"/>
        <w:rPr>
          <w:rFonts w:ascii="Times New Roman" w:hAnsi="Times New Roman"/>
          <w:b/>
          <w:sz w:val="32"/>
          <w:szCs w:val="32"/>
        </w:rPr>
      </w:pPr>
      <w:r w:rsidRPr="00DD1295">
        <w:rPr>
          <w:rFonts w:ascii="Times New Roman" w:hAnsi="Times New Roman"/>
          <w:b/>
          <w:sz w:val="32"/>
          <w:szCs w:val="32"/>
        </w:rPr>
        <w:t>THE PUBLIC UTILITIES COMMISSION OF OHIO</w:t>
      </w:r>
    </w:p>
    <w:p w:rsidR="00DD1295" w:rsidRPr="00DD1295" w:rsidRDefault="00DD1295" w:rsidP="00DD1295">
      <w:pPr>
        <w:jc w:val="center"/>
        <w:rPr>
          <w:rFonts w:ascii="Times New Roman" w:hAnsi="Times New Roman"/>
          <w:b/>
          <w:sz w:val="26"/>
          <w:szCs w:val="26"/>
        </w:rPr>
      </w:pPr>
      <w:r w:rsidRPr="00DD1295">
        <w:rPr>
          <w:rFonts w:ascii="Times New Roman" w:hAnsi="Times New Roman"/>
          <w:b/>
          <w:sz w:val="26"/>
          <w:szCs w:val="26"/>
        </w:rPr>
        <w:t>TO</w:t>
      </w:r>
    </w:p>
    <w:p w:rsidR="00DD1295" w:rsidRPr="00DD1295" w:rsidRDefault="00DD1295" w:rsidP="00DD1295">
      <w:pPr>
        <w:jc w:val="center"/>
        <w:rPr>
          <w:rFonts w:ascii="Times New Roman" w:hAnsi="Times New Roman"/>
          <w:b/>
          <w:sz w:val="26"/>
          <w:szCs w:val="26"/>
        </w:rPr>
      </w:pPr>
      <w:r w:rsidRPr="00DD1295">
        <w:rPr>
          <w:rFonts w:ascii="Times New Roman" w:hAnsi="Times New Roman"/>
          <w:b/>
          <w:sz w:val="26"/>
          <w:szCs w:val="26"/>
        </w:rPr>
        <w:t>RENEWED MOTION</w:t>
      </w:r>
    </w:p>
    <w:p w:rsidR="00DD1295" w:rsidRPr="00DD1295" w:rsidRDefault="00DD1295" w:rsidP="00DD1295">
      <w:pPr>
        <w:jc w:val="center"/>
        <w:rPr>
          <w:rFonts w:ascii="Times New Roman" w:hAnsi="Times New Roman"/>
          <w:b/>
          <w:sz w:val="26"/>
          <w:szCs w:val="26"/>
        </w:rPr>
      </w:pPr>
      <w:r w:rsidRPr="00DD1295">
        <w:rPr>
          <w:rFonts w:ascii="Times New Roman" w:hAnsi="Times New Roman"/>
          <w:b/>
          <w:sz w:val="26"/>
          <w:szCs w:val="26"/>
        </w:rPr>
        <w:t>OF</w:t>
      </w:r>
    </w:p>
    <w:p w:rsidR="00DD1295" w:rsidRPr="00DD1295" w:rsidRDefault="00DD1295" w:rsidP="00DD1295">
      <w:pPr>
        <w:jc w:val="center"/>
        <w:rPr>
          <w:rFonts w:ascii="Times New Roman" w:hAnsi="Times New Roman"/>
          <w:b/>
          <w:sz w:val="26"/>
          <w:szCs w:val="26"/>
        </w:rPr>
      </w:pPr>
      <w:r w:rsidRPr="00DD1295">
        <w:rPr>
          <w:rFonts w:ascii="Times New Roman" w:hAnsi="Times New Roman"/>
          <w:b/>
          <w:sz w:val="26"/>
          <w:szCs w:val="26"/>
        </w:rPr>
        <w:t>AMERICAN ELECTRIC POWER SERVICE CORPORATION</w:t>
      </w:r>
    </w:p>
    <w:p w:rsidR="00DD1295" w:rsidRPr="00DD1295" w:rsidRDefault="00DD1295" w:rsidP="00DD1295">
      <w:pPr>
        <w:jc w:val="center"/>
        <w:rPr>
          <w:rFonts w:ascii="Times New Roman" w:hAnsi="Times New Roman"/>
          <w:b/>
          <w:sz w:val="26"/>
          <w:szCs w:val="26"/>
        </w:rPr>
      </w:pPr>
      <w:r w:rsidRPr="00DD1295">
        <w:rPr>
          <w:rFonts w:ascii="Times New Roman" w:hAnsi="Times New Roman"/>
          <w:b/>
          <w:sz w:val="26"/>
          <w:szCs w:val="26"/>
        </w:rPr>
        <w:t>FOR EXPEDITED RULING</w:t>
      </w:r>
    </w:p>
    <w:p w:rsidR="003753CF" w:rsidRPr="003753CF" w:rsidRDefault="003753CF" w:rsidP="003753CF">
      <w:pPr>
        <w:tabs>
          <w:tab w:val="left" w:pos="9360"/>
        </w:tabs>
        <w:spacing w:after="240"/>
        <w:rPr>
          <w:rFonts w:ascii="Times New Roman" w:hAnsi="Times New Roman"/>
          <w:sz w:val="26"/>
          <w:szCs w:val="26"/>
          <w:u w:val="single"/>
        </w:rPr>
      </w:pPr>
      <w:r>
        <w:rPr>
          <w:rFonts w:ascii="Times New Roman" w:hAnsi="Times New Roman"/>
          <w:sz w:val="26"/>
          <w:szCs w:val="26"/>
          <w:u w:val="single"/>
        </w:rPr>
        <w:tab/>
      </w:r>
    </w:p>
    <w:p w:rsidR="00255071" w:rsidRPr="007420E6" w:rsidRDefault="00255071" w:rsidP="00652C07">
      <w:pPr>
        <w:pStyle w:val="Heading1"/>
        <w:rPr>
          <w:sz w:val="26"/>
          <w:szCs w:val="26"/>
        </w:rPr>
      </w:pPr>
      <w:bookmarkStart w:id="1" w:name="_Toc331418219"/>
      <w:r w:rsidRPr="007420E6">
        <w:rPr>
          <w:sz w:val="26"/>
          <w:szCs w:val="26"/>
        </w:rPr>
        <w:t>INTRODUCTION</w:t>
      </w:r>
      <w:bookmarkEnd w:id="1"/>
    </w:p>
    <w:p w:rsidR="00DD1295" w:rsidRDefault="00DD1295" w:rsidP="00DD1295">
      <w:pPr>
        <w:pStyle w:val="Textstyle"/>
      </w:pPr>
      <w:r>
        <w:tab/>
        <w:t>The Federal Energy Regulatory Commission (Commission) is frequently tasked with making complex determinations involving abstruse legal requirements, conflicting economic considerations, and major policy determinations with vast consequences for the industry and the country as a whole.  Thankfully, this is not such a case.</w:t>
      </w:r>
    </w:p>
    <w:p w:rsidR="00DD1295" w:rsidRDefault="00DD1295" w:rsidP="00DD1295">
      <w:pPr>
        <w:pStyle w:val="Textstyle"/>
      </w:pPr>
      <w:r>
        <w:tab/>
        <w:t>This case is quite simple.  Applicants signed a contract.  They now find this con</w:t>
      </w:r>
      <w:r>
        <w:softHyphen/>
        <w:t xml:space="preserve">tract terms not to their liking and ask this Commission to change those terms.  This Commission has ruled previously that it will not reform contracts for parties generally and that it will not reform this contract specifically.  That is all there is to it.  AEP made a </w:t>
      </w:r>
      <w:r>
        <w:lastRenderedPageBreak/>
        <w:t>deal and now it must live with the deal that it has made.  Its motion seeks a way out of the obligation AEP created for itself and this Commission should not allow this out.  The motion should be denied.</w:t>
      </w:r>
    </w:p>
    <w:p w:rsidR="00DD1295" w:rsidRDefault="00DD1295" w:rsidP="00DD1295">
      <w:pPr>
        <w:pStyle w:val="Heading1"/>
      </w:pPr>
      <w:bookmarkStart w:id="2" w:name="_Toc331418220"/>
      <w:r>
        <w:t>THE DEAL AEP MADE</w:t>
      </w:r>
      <w:bookmarkEnd w:id="2"/>
    </w:p>
    <w:p w:rsidR="00DD1295" w:rsidRDefault="00DD1295" w:rsidP="00DD1295">
      <w:pPr>
        <w:pStyle w:val="Textstyle"/>
      </w:pPr>
      <w:r>
        <w:tab/>
        <w:t>As this Commission has previously found, AEP voluntarily entered into the Reliabil</w:t>
      </w:r>
      <w:r>
        <w:softHyphen/>
        <w:t>ity Assurance Agreement (</w:t>
      </w:r>
      <w:proofErr w:type="spellStart"/>
      <w:r>
        <w:t>RAA</w:t>
      </w:r>
      <w:proofErr w:type="spellEnd"/>
      <w:r>
        <w:t>).</w:t>
      </w:r>
      <w:r>
        <w:rPr>
          <w:rStyle w:val="FootnoteReference"/>
          <w:sz w:val="28"/>
          <w:szCs w:val="28"/>
        </w:rPr>
        <w:footnoteReference w:id="1"/>
      </w:r>
      <w:r>
        <w:t xml:space="preserve">  Two portions of that agreement are relevant for present purposes.  </w:t>
      </w:r>
      <w:r w:rsidRPr="00953B59">
        <w:t xml:space="preserve">Section </w:t>
      </w:r>
      <w:proofErr w:type="spellStart"/>
      <w:r w:rsidRPr="00953B59">
        <w:t>D.8</w:t>
      </w:r>
      <w:proofErr w:type="spellEnd"/>
      <w:r w:rsidRPr="00953B59">
        <w:t xml:space="preserve"> of Schedule 8.1 of the </w:t>
      </w:r>
      <w:proofErr w:type="spellStart"/>
      <w:r w:rsidRPr="00953B59">
        <w:t>RAA</w:t>
      </w:r>
      <w:proofErr w:type="spellEnd"/>
      <w:r w:rsidRPr="00953B59">
        <w:t xml:space="preserve"> provides:</w:t>
      </w:r>
    </w:p>
    <w:p w:rsidR="00DD1295" w:rsidRPr="00DD1295" w:rsidRDefault="00DD1295" w:rsidP="00DD1295">
      <w:pPr>
        <w:pStyle w:val="Blockquote"/>
      </w:pPr>
      <w:r w:rsidRPr="00DD1295">
        <w:t xml:space="preserve">In a state regulatory jurisdiction that has implemented retail choice, the </w:t>
      </w:r>
      <w:proofErr w:type="spellStart"/>
      <w:r w:rsidRPr="00DD1295">
        <w:t>FRR</w:t>
      </w:r>
      <w:proofErr w:type="spellEnd"/>
      <w:r w:rsidRPr="00DD1295">
        <w:t xml:space="preserve"> Entity must include in its </w:t>
      </w:r>
      <w:proofErr w:type="spellStart"/>
      <w:r w:rsidRPr="00DD1295">
        <w:t>FRR</w:t>
      </w:r>
      <w:proofErr w:type="spellEnd"/>
      <w:r w:rsidRPr="00DD1295">
        <w:t xml:space="preserve"> Capacity Plan all load, including expected load growth, in the </w:t>
      </w:r>
      <w:proofErr w:type="spellStart"/>
      <w:r w:rsidRPr="00DD1295">
        <w:t>FRR</w:t>
      </w:r>
      <w:proofErr w:type="spellEnd"/>
      <w:r w:rsidRPr="00DD1295">
        <w:t xml:space="preserve"> Service Area, notwithstanding the loss of any such load to or among alternative retail </w:t>
      </w:r>
      <w:proofErr w:type="spellStart"/>
      <w:r w:rsidRPr="00DD1295">
        <w:t>LSEs</w:t>
      </w:r>
      <w:proofErr w:type="spellEnd"/>
      <w:r w:rsidRPr="00DD1295">
        <w:t xml:space="preserve">.  In the case of load reflected in the </w:t>
      </w:r>
      <w:proofErr w:type="spellStart"/>
      <w:r w:rsidRPr="00DD1295">
        <w:t>FRR</w:t>
      </w:r>
      <w:proofErr w:type="spellEnd"/>
      <w:r w:rsidRPr="00DD1295">
        <w:t xml:space="preserve"> Capacity Plan that switches to an alternative LSE, where the state regulatory jurisdiction requires switching customers or the LSE to compensate the </w:t>
      </w:r>
      <w:proofErr w:type="spellStart"/>
      <w:r w:rsidRPr="00DD1295">
        <w:t>FRR</w:t>
      </w:r>
      <w:proofErr w:type="spellEnd"/>
      <w:r w:rsidRPr="00DD1295">
        <w:t xml:space="preserve"> Entity for its </w:t>
      </w:r>
      <w:proofErr w:type="spellStart"/>
      <w:r w:rsidRPr="00DD1295">
        <w:t>FRR</w:t>
      </w:r>
      <w:proofErr w:type="spellEnd"/>
      <w:r w:rsidRPr="00DD1295">
        <w:t xml:space="preserve"> capac</w:t>
      </w:r>
      <w:r>
        <w:softHyphen/>
      </w:r>
      <w:r w:rsidRPr="00DD1295">
        <w:t xml:space="preserve">ity obligations, </w:t>
      </w:r>
      <w:r w:rsidRPr="00DD1295">
        <w:rPr>
          <w:i/>
        </w:rPr>
        <w:t>such state comp</w:t>
      </w:r>
      <w:r>
        <w:rPr>
          <w:i/>
        </w:rPr>
        <w:t>ensation mechanism will pre</w:t>
      </w:r>
      <w:r>
        <w:rPr>
          <w:i/>
        </w:rPr>
        <w:softHyphen/>
        <w:t>vail.</w:t>
      </w:r>
      <w:r w:rsidRPr="00DD1295">
        <w:rPr>
          <w:rStyle w:val="FootnoteReference"/>
        </w:rPr>
        <w:footnoteReference w:id="2"/>
      </w:r>
    </w:p>
    <w:p w:rsidR="00DD1295" w:rsidRDefault="00DD1295" w:rsidP="00DD1295">
      <w:pPr>
        <w:pStyle w:val="Textstyle"/>
      </w:pPr>
      <w:r w:rsidRPr="00953B59">
        <w:t xml:space="preserve">Section </w:t>
      </w:r>
      <w:proofErr w:type="spellStart"/>
      <w:r w:rsidRPr="00953B59">
        <w:t>D.8</w:t>
      </w:r>
      <w:proofErr w:type="spellEnd"/>
      <w:r w:rsidRPr="00953B59">
        <w:t xml:space="preserve"> of Schedule 8.1 of the </w:t>
      </w:r>
      <w:proofErr w:type="spellStart"/>
      <w:r w:rsidRPr="00953B59">
        <w:t>RAA</w:t>
      </w:r>
      <w:proofErr w:type="spellEnd"/>
      <w:r w:rsidRPr="00953B59">
        <w:t xml:space="preserve"> further provides:</w:t>
      </w:r>
    </w:p>
    <w:p w:rsidR="00DD1295" w:rsidRDefault="00DD1295" w:rsidP="00DD1295">
      <w:pPr>
        <w:pStyle w:val="Blockquote"/>
      </w:pPr>
      <w:r w:rsidRPr="0056560C">
        <w:rPr>
          <w:i/>
        </w:rPr>
        <w:t>In the absence of a state compensation mechanism</w:t>
      </w:r>
      <w:r w:rsidRPr="00953B59">
        <w:t>, the appli</w:t>
      </w:r>
      <w:r>
        <w:softHyphen/>
      </w:r>
      <w:r w:rsidRPr="00953B59">
        <w:t xml:space="preserve">cable alternative retail LSE shall compensate the </w:t>
      </w:r>
      <w:proofErr w:type="spellStart"/>
      <w:r w:rsidRPr="00953B59">
        <w:t>FRR</w:t>
      </w:r>
      <w:proofErr w:type="spellEnd"/>
      <w:r w:rsidRPr="00953B59">
        <w:t xml:space="preserve"> Entity at the capacity price in the unconstrained portions of the PJM Region, as determined in accordance with Attachment DD to the PJM Tariff, provided that the </w:t>
      </w:r>
      <w:proofErr w:type="spellStart"/>
      <w:r w:rsidRPr="00953B59">
        <w:t>FRR</w:t>
      </w:r>
      <w:proofErr w:type="spellEnd"/>
      <w:r w:rsidRPr="00953B59">
        <w:t xml:space="preserve"> Entity may, at any </w:t>
      </w:r>
      <w:r w:rsidRPr="00953B59">
        <w:lastRenderedPageBreak/>
        <w:t>time, make a filing with FERC under Sections 205 of the Federal Power Act proposing to change the basis for comp</w:t>
      </w:r>
      <w:r>
        <w:softHyphen/>
      </w:r>
      <w:r w:rsidRPr="00953B59">
        <w:t xml:space="preserve">ensation to a method based on the </w:t>
      </w:r>
      <w:proofErr w:type="spellStart"/>
      <w:r w:rsidRPr="00953B59">
        <w:t>FRR</w:t>
      </w:r>
      <w:proofErr w:type="spellEnd"/>
      <w:r w:rsidRPr="00953B59">
        <w:t xml:space="preserve"> Entity’s cost or such other basis shown to be just and reasonable, and a retail LSE may at any time exercise its rights under Section 206 of the </w:t>
      </w:r>
      <w:proofErr w:type="spellStart"/>
      <w:r w:rsidRPr="00953B59">
        <w:t>FPA</w:t>
      </w:r>
      <w:proofErr w:type="spellEnd"/>
      <w:r w:rsidRPr="00953B59">
        <w:t>.</w:t>
      </w:r>
      <w:r>
        <w:rPr>
          <w:rStyle w:val="FootnoteReference"/>
          <w:sz w:val="28"/>
          <w:szCs w:val="28"/>
        </w:rPr>
        <w:footnoteReference w:id="3"/>
      </w:r>
    </w:p>
    <w:p w:rsidR="00DD1295" w:rsidRDefault="00DD1295" w:rsidP="00DD1295">
      <w:pPr>
        <w:pStyle w:val="Textstyle"/>
      </w:pPr>
      <w:r>
        <w:t>These provisions are unambiguous.  The words say what they say and mean what they mean.</w:t>
      </w:r>
    </w:p>
    <w:p w:rsidR="00DD1295" w:rsidRDefault="00DD1295" w:rsidP="00DD1295">
      <w:pPr>
        <w:pStyle w:val="Textstyle"/>
      </w:pPr>
      <w:r>
        <w:tab/>
        <w:t xml:space="preserve">These provisions of the </w:t>
      </w:r>
      <w:proofErr w:type="spellStart"/>
      <w:r>
        <w:t>RAA</w:t>
      </w:r>
      <w:proofErr w:type="spellEnd"/>
      <w:r>
        <w:t xml:space="preserve"> establish a bifurcated system for establishing capac</w:t>
      </w:r>
      <w:r>
        <w:softHyphen/>
        <w:t xml:space="preserve">ity rates.  In a state which has implemented retail choice, either the state has a mechanism to compensate the </w:t>
      </w:r>
      <w:proofErr w:type="spellStart"/>
      <w:r>
        <w:t>FRR</w:t>
      </w:r>
      <w:proofErr w:type="spellEnd"/>
      <w:r>
        <w:t xml:space="preserve"> entity for </w:t>
      </w:r>
      <w:proofErr w:type="spellStart"/>
      <w:r>
        <w:t>FRR</w:t>
      </w:r>
      <w:proofErr w:type="spellEnd"/>
      <w:r>
        <w:t xml:space="preserve"> capacity obligations by switching customers or it does not.  If the state has such a mechanism, the </w:t>
      </w:r>
      <w:proofErr w:type="spellStart"/>
      <w:r>
        <w:t>RAA</w:t>
      </w:r>
      <w:proofErr w:type="spellEnd"/>
      <w:r>
        <w:t xml:space="preserve"> provides</w:t>
      </w:r>
      <w:r w:rsidRPr="0056560C">
        <w:t xml:space="preserve"> </w:t>
      </w:r>
      <w:r>
        <w:t>“…</w:t>
      </w:r>
      <w:r w:rsidRPr="0056560C">
        <w:rPr>
          <w:i/>
        </w:rPr>
        <w:t>such state compensa</w:t>
      </w:r>
      <w:r>
        <w:rPr>
          <w:i/>
        </w:rPr>
        <w:softHyphen/>
      </w:r>
      <w:r w:rsidRPr="0056560C">
        <w:rPr>
          <w:i/>
        </w:rPr>
        <w:t>tion mechanism will prevail</w:t>
      </w:r>
      <w:r>
        <w:t xml:space="preserve">.”  If the state has no such mechanism, the </w:t>
      </w:r>
      <w:proofErr w:type="spellStart"/>
      <w:r>
        <w:t>FRR</w:t>
      </w:r>
      <w:proofErr w:type="spellEnd"/>
      <w:r>
        <w:t xml:space="preserve"> entity faces a choice.  It may either collect charges at the auction price in the unconstrained portions of the region or it may petition this Commission under Sections 205 or 206.</w:t>
      </w:r>
    </w:p>
    <w:p w:rsidR="00DD1295" w:rsidRDefault="00DD1295" w:rsidP="00DD1295">
      <w:pPr>
        <w:pStyle w:val="Textstyle"/>
      </w:pPr>
      <w:r>
        <w:tab/>
        <w:t xml:space="preserve">The structure of the </w:t>
      </w:r>
      <w:proofErr w:type="spellStart"/>
      <w:r>
        <w:t>RAA</w:t>
      </w:r>
      <w:proofErr w:type="spellEnd"/>
      <w:r>
        <w:t xml:space="preserve"> is perfectly clear.  As Ohio is a retail choice state</w:t>
      </w:r>
      <w:r w:rsidR="00852B38">
        <w:t>,</w:t>
      </w:r>
      <w:r>
        <w:rPr>
          <w:rStyle w:val="FootnoteReference"/>
          <w:sz w:val="28"/>
          <w:szCs w:val="28"/>
        </w:rPr>
        <w:footnoteReference w:id="4"/>
      </w:r>
      <w:r>
        <w:t xml:space="preserve"> AEP’s rights under the sections turn on whether or not the state has a mechanism to compensate AEP for capacity provided to switching customers.  Ohio has such a mecha</w:t>
      </w:r>
      <w:r>
        <w:softHyphen/>
        <w:t xml:space="preserve">nism and, under terms of the </w:t>
      </w:r>
      <w:proofErr w:type="spellStart"/>
      <w:r>
        <w:t>RAA</w:t>
      </w:r>
      <w:proofErr w:type="spellEnd"/>
      <w:r>
        <w:t xml:space="preserve">, that mechanism prevails.  AEP agreed to give up its ability to access this Commission through Section 205 or 206 in such circumstances.  To grant AEP’s renewed motion is to change the terms of the voluntary agreement embodied in the </w:t>
      </w:r>
      <w:proofErr w:type="spellStart"/>
      <w:r>
        <w:t>RAA</w:t>
      </w:r>
      <w:proofErr w:type="spellEnd"/>
      <w:r>
        <w:t>.  This the Commission should not do and the motion should be denied.</w:t>
      </w:r>
    </w:p>
    <w:p w:rsidR="00DD1295" w:rsidRDefault="00DD1295" w:rsidP="00DD1295">
      <w:pPr>
        <w:pStyle w:val="Heading1"/>
      </w:pPr>
      <w:bookmarkStart w:id="3" w:name="_Toc331418221"/>
      <w:r>
        <w:lastRenderedPageBreak/>
        <w:t>THE OHIO MECHANISM</w:t>
      </w:r>
      <w:bookmarkEnd w:id="3"/>
    </w:p>
    <w:p w:rsidR="00DD1295" w:rsidRPr="008D2549" w:rsidRDefault="00DD1295" w:rsidP="00DD1295">
      <w:pPr>
        <w:pStyle w:val="Textstyle"/>
      </w:pPr>
      <w:r>
        <w:tab/>
        <w:t>Currently the capacity payment mechanism in force in Ohio is what is termed the “interim capacity pricing mechanism” proposed by AEP and adopted by the Ohio Com</w:t>
      </w:r>
      <w:r>
        <w:softHyphen/>
        <w:t>mission on March 7, 2012</w:t>
      </w:r>
      <w:r w:rsidR="00852B38">
        <w:t>,</w:t>
      </w:r>
      <w:r>
        <w:t xml:space="preserve"> as a replacement for yet another, earlier mechanism.  </w:t>
      </w:r>
      <w:r w:rsidRPr="008D2549">
        <w:t xml:space="preserve">Under the two-tier </w:t>
      </w:r>
      <w:r>
        <w:t xml:space="preserve">capacity pricing mechanism, the </w:t>
      </w:r>
      <w:r w:rsidRPr="008D2549">
        <w:t>first 21 percent o</w:t>
      </w:r>
      <w:r>
        <w:t>f each customer class was entitl</w:t>
      </w:r>
      <w:r w:rsidRPr="008D2549">
        <w:t>ed to tier-o</w:t>
      </w:r>
      <w:r>
        <w:t xml:space="preserve">ne, RPM-based capacity pricing.  </w:t>
      </w:r>
      <w:r w:rsidRPr="008D2549">
        <w:t>All customers of governmental aggre</w:t>
      </w:r>
      <w:r>
        <w:softHyphen/>
      </w:r>
      <w:r w:rsidRPr="008D2549">
        <w:t>gations approved on or before November 8,</w:t>
      </w:r>
      <w:r>
        <w:t xml:space="preserve"> 2011, were </w:t>
      </w:r>
      <w:r w:rsidRPr="008D2549">
        <w:t>also entitled to receive tier-one, RPM-based capacity pricin</w:t>
      </w:r>
      <w:r>
        <w:t xml:space="preserve">g.  For all other customers, the </w:t>
      </w:r>
      <w:r w:rsidRPr="008D2549">
        <w:t>second-tier charge for capacity was $255/megawatt-day (MW-day).</w:t>
      </w:r>
      <w:r>
        <w:t xml:space="preserve">  This structure is in force today but will be super</w:t>
      </w:r>
      <w:r>
        <w:softHyphen/>
        <w:t xml:space="preserve">seded by a permanent mechanism which resulting from the Ohio Commission’s decision in its case number 10-2929 which is attached as attachment A to AEP’s renewed motion. </w:t>
      </w:r>
    </w:p>
    <w:p w:rsidR="00DD1295" w:rsidRDefault="00DD1295" w:rsidP="00DD1295">
      <w:pPr>
        <w:pStyle w:val="Textstyle"/>
      </w:pPr>
      <w:r>
        <w:tab/>
        <w:t>Determining a permanent compensation mechanism which strikes the right bal</w:t>
      </w:r>
      <w:r>
        <w:softHyphen/>
        <w:t xml:space="preserve">ance was no simple task.  The Public Utilities Commission of Ohio (Ohio Commission) needed to find a level which would allow AEP a reasonable opportunity to earn a fair return on its investment while simultaneously allowing the development of a competitive market in the state.  The Ohio Commission struggled long and hard to </w:t>
      </w:r>
      <w:r w:rsidR="00852B38">
        <w:t>thread the needle</w:t>
      </w:r>
      <w:r>
        <w:t>.  A full history of this effort can be found in the Ohio Commission’s order in its case 10-2929, which is attached to AEP’s renewed motion as attachment A, and that history will not be recounted here.  Suffice it to say that the Ohio Commission held a month long (April 17 to May 15, 2012) live hearing with twenty five parties represented, and twenty five witnesses cross examined.  Briefs and reply briefs were submitted and a decision ultimately reached on July 2, 2012.</w:t>
      </w:r>
    </w:p>
    <w:p w:rsidR="00DD1295" w:rsidRDefault="00DD1295" w:rsidP="00DD1295">
      <w:pPr>
        <w:pStyle w:val="Textstyle"/>
      </w:pPr>
      <w:r>
        <w:lastRenderedPageBreak/>
        <w:tab/>
        <w:t xml:space="preserve">The permanent mechanism set by the Ohio Commission is somewhat simpler.  AEP will be permitted to charge the adjusted final zonal PJM RPM rate in effect for the rest of the region as that rate adjusts in June of 2013 and 2014.  The Ohio Commission further determined that a compensatory rate for AEP would be $188.88 per MW day and that the difference between this value and the amount being charged currently should be deferred on the company’s books until a mechanism is established to collect that deferred differential.  This collection mechanism will be established in another Ohio Commission case specifically 11-346.  A decision in the Ohio Commission’s 11-346 case will be made on </w:t>
      </w:r>
      <w:r w:rsidR="00852B38">
        <w:t xml:space="preserve">or about </w:t>
      </w:r>
      <w:r>
        <w:t>August 8, 2012</w:t>
      </w:r>
      <w:r w:rsidR="00852B38">
        <w:t>,</w:t>
      </w:r>
      <w:r>
        <w:t xml:space="preserve"> at which time the permanent mechanism will replace the interim.  In this way the Ohio Commission has struck the balance, both fully compensat</w:t>
      </w:r>
      <w:r w:rsidR="00852B38">
        <w:softHyphen/>
      </w:r>
      <w:r>
        <w:t xml:space="preserve">ing AEP for its actual costs and allowing the development of a competitive market. </w:t>
      </w:r>
    </w:p>
    <w:p w:rsidR="00DD1295" w:rsidRDefault="00DD1295" w:rsidP="00DD1295">
      <w:pPr>
        <w:pStyle w:val="Textstyle"/>
      </w:pPr>
      <w:r>
        <w:tab/>
        <w:t>In sum, the Ohio Commission has devoted great resources to this endeavor.  At all times relevant, there has been, is currently, and will continue to be a state mecha</w:t>
      </w:r>
      <w:r>
        <w:softHyphen/>
        <w:t>nism to allow recovery of capacity costs.</w:t>
      </w:r>
    </w:p>
    <w:p w:rsidR="00DD1295" w:rsidRPr="007546B2" w:rsidRDefault="00852B38" w:rsidP="00852B38">
      <w:pPr>
        <w:pStyle w:val="Heading1"/>
      </w:pPr>
      <w:bookmarkStart w:id="4" w:name="_Toc331418222"/>
      <w:r>
        <w:t>STATE LAW RELIEF FOR AEP</w:t>
      </w:r>
      <w:bookmarkEnd w:id="4"/>
    </w:p>
    <w:p w:rsidR="00DD1295" w:rsidRDefault="00DD1295" w:rsidP="00DD1295">
      <w:pPr>
        <w:pStyle w:val="Textstyle"/>
      </w:pPr>
      <w:r>
        <w:tab/>
        <w:t>AEP may be dissatisfied with the Ohio Commission’s actions.  Should it wish to challenge the Ohio Commission’s actions, whether its power to act, or the procedure it used or the conclusions it reached, these are matters of state law and state law provides efficient and expeditious means to address these questions.  Under state law all dec</w:t>
      </w:r>
      <w:r w:rsidR="007546B2">
        <w:t>isions of the Ohio Commission are</w:t>
      </w:r>
      <w:r>
        <w:t xml:space="preserve"> subject to an appeal as of right to the highest Court in the </w:t>
      </w:r>
      <w:r>
        <w:lastRenderedPageBreak/>
        <w:t>state, the Ohio Supreme Court.</w:t>
      </w:r>
      <w:r>
        <w:rPr>
          <w:rStyle w:val="FootnoteReference"/>
          <w:sz w:val="28"/>
          <w:szCs w:val="28"/>
        </w:rPr>
        <w:footnoteReference w:id="5"/>
      </w:r>
      <w:r>
        <w:t xml:space="preserve">  By statute, appeals of Ohio Commission decisions are to be heard out of order on the docket of the Supreme Court of Ohio.</w:t>
      </w:r>
      <w:r>
        <w:rPr>
          <w:rStyle w:val="FootnoteReference"/>
          <w:sz w:val="28"/>
          <w:szCs w:val="28"/>
        </w:rPr>
        <w:footnoteReference w:id="6"/>
      </w:r>
      <w:r>
        <w:t xml:space="preserve">  AEP has available to it the means to challenge the validity of the Ohio Commission’s actions.  Indeed it has already taken the first set in this process by filing an application for rehearing, a jurisdic</w:t>
      </w:r>
      <w:r>
        <w:softHyphen/>
        <w:t>tional prerequisite to taking an appeal.</w:t>
      </w:r>
      <w:r>
        <w:rPr>
          <w:rStyle w:val="FootnoteReference"/>
          <w:sz w:val="28"/>
          <w:szCs w:val="28"/>
        </w:rPr>
        <w:footnoteReference w:id="7"/>
      </w:r>
    </w:p>
    <w:p w:rsidR="00DD1295" w:rsidRDefault="00DD1295" w:rsidP="00DD1295">
      <w:pPr>
        <w:pStyle w:val="Textstyle"/>
      </w:pPr>
      <w:r>
        <w:tab/>
        <w:t>In sum, if AEP has concerns about the state-law proceedings at the Ohio Commis</w:t>
      </w:r>
      <w:r>
        <w:softHyphen/>
        <w:t>sion, it has access to, and is taking the steps necessary to protect its interests in, these state-law matters.  State law provides an efficient, speedy, and final means to resolve whatever concerns AEP has with the Ohio Commission’s actions.</w:t>
      </w:r>
    </w:p>
    <w:p w:rsidR="00DD1295" w:rsidRDefault="00DD1295" w:rsidP="00DD1295">
      <w:pPr>
        <w:pStyle w:val="Heading1"/>
      </w:pPr>
      <w:bookmarkStart w:id="5" w:name="_Toc331418223"/>
      <w:r>
        <w:t>AEP MUST LIVE WITH ITS CONTRACT</w:t>
      </w:r>
      <w:bookmarkEnd w:id="5"/>
    </w:p>
    <w:p w:rsidR="00DD1295" w:rsidRDefault="00DD1295" w:rsidP="00DD1295">
      <w:pPr>
        <w:pStyle w:val="Textstyle"/>
      </w:pPr>
      <w:r>
        <w:tab/>
        <w:t>It has long been a feature of Commission ratemaking that parties must live with the rates to which they have agreed by contract.</w:t>
      </w:r>
      <w:r>
        <w:rPr>
          <w:rStyle w:val="FootnoteReference"/>
          <w:sz w:val="28"/>
          <w:szCs w:val="28"/>
        </w:rPr>
        <w:footnoteReference w:id="8"/>
      </w:r>
      <w:r>
        <w:t xml:space="preserve">  This Commission is only empowered to change the terms of a freely entered agreement when required to protect the public inter</w:t>
      </w:r>
      <w:r>
        <w:softHyphen/>
        <w:t>est.  This is true even in circumstances where the Commission did not have the oppor</w:t>
      </w:r>
      <w:r>
        <w:softHyphen/>
        <w:t>tunity to review the rates established.</w:t>
      </w:r>
      <w:r>
        <w:rPr>
          <w:rStyle w:val="FootnoteReference"/>
          <w:sz w:val="28"/>
          <w:szCs w:val="28"/>
        </w:rPr>
        <w:footnoteReference w:id="9"/>
      </w:r>
      <w:r>
        <w:t xml:space="preserve">  Manifestly the public interest is served by </w:t>
      </w:r>
      <w:r>
        <w:lastRenderedPageBreak/>
        <w:t>preserv</w:t>
      </w:r>
      <w:r>
        <w:softHyphen/>
        <w:t xml:space="preserve">ing the </w:t>
      </w:r>
      <w:proofErr w:type="spellStart"/>
      <w:r>
        <w:t>RAA</w:t>
      </w:r>
      <w:proofErr w:type="spellEnd"/>
      <w:r>
        <w:t xml:space="preserve"> not by altering it.  Even a cursory review of the Ohio Commission’s order shows that it was quite intentionally crafted to simultaneously provide AEP with sufficient revenues to maintain its financial health and provide a payment level that will allow the development of a competitive market.  As noted in the Ohio Commission deci</w:t>
      </w:r>
      <w:r>
        <w:softHyphen/>
        <w:t>sion, even at the $145.79 level that was in force for AEP in the prior year, AEP was able to achieve an adjusted rate of return or over 11%.</w:t>
      </w:r>
      <w:r>
        <w:rPr>
          <w:rStyle w:val="FootnoteReference"/>
          <w:sz w:val="28"/>
          <w:szCs w:val="28"/>
        </w:rPr>
        <w:footnoteReference w:id="10"/>
      </w:r>
      <w:r>
        <w:t xml:space="preserve">  The permanent mechanism would provide AEP with compensation at the $188.88 level, certainly assuring the company of adequate return on its investment.  The Mobile-Sierra doctrine does not even require that contract rates be compensatory, rather they must merely be freely entered at arms length, but the Ohio Commission, in fulfilling its obligations, has assured that the rates do fully compensate AEP.  As also noted in the Ohio Commission decision, this level should also provide sufficient headroom for competitors to enter.  In short, the </w:t>
      </w:r>
      <w:proofErr w:type="spellStart"/>
      <w:r>
        <w:t>RAA</w:t>
      </w:r>
      <w:proofErr w:type="spellEnd"/>
      <w:r>
        <w:t xml:space="preserve"> is working exactly as it should.  The public interest is protected.  The Mobile-Sierra doctrine requires that AEP live with its own bargain.  The Ohio Commission has assured that AEP’s bar</w:t>
      </w:r>
      <w:r>
        <w:softHyphen/>
        <w:t>gain is compensatory.</w:t>
      </w:r>
    </w:p>
    <w:p w:rsidR="00DD1295" w:rsidRDefault="00DD1295" w:rsidP="00DD1295">
      <w:pPr>
        <w:pStyle w:val="Textstyle"/>
      </w:pPr>
      <w:r>
        <w:tab/>
        <w:t>This Commission has already spoken on the matter as regards a Section 205 filing:</w:t>
      </w:r>
    </w:p>
    <w:p w:rsidR="00DD1295" w:rsidRPr="002C557A" w:rsidRDefault="00DD1295" w:rsidP="00DD1295">
      <w:pPr>
        <w:pStyle w:val="Blockquote"/>
        <w:tabs>
          <w:tab w:val="left" w:pos="1800"/>
        </w:tabs>
      </w:pPr>
      <w:r w:rsidRPr="002C557A">
        <w:t>12.</w:t>
      </w:r>
      <w:r>
        <w:t xml:space="preserve">  </w:t>
      </w:r>
      <w:r>
        <w:tab/>
      </w:r>
      <w:r w:rsidRPr="002C557A">
        <w:t xml:space="preserve">The AEP Ohio Companies, however, voluntarily signed the </w:t>
      </w:r>
      <w:proofErr w:type="spellStart"/>
      <w:r w:rsidRPr="002C557A">
        <w:t>RAA</w:t>
      </w:r>
      <w:proofErr w:type="spellEnd"/>
      <w:r w:rsidR="00852B38" w:rsidRPr="002C557A">
        <w:t>, and</w:t>
      </w:r>
      <w:r w:rsidRPr="002C557A">
        <w:t xml:space="preserve">, therefore, in fact, they have voluntarily relinquished such rights under </w:t>
      </w:r>
      <w:r w:rsidRPr="007546B2">
        <w:rPr>
          <w:i/>
        </w:rPr>
        <w:t>Atlantic City</w:t>
      </w:r>
      <w:r w:rsidRPr="002C557A">
        <w:t xml:space="preserve">, and the AEP Ohio Companies made this filing pursuant to the PJM </w:t>
      </w:r>
      <w:proofErr w:type="spellStart"/>
      <w:r w:rsidRPr="002C557A">
        <w:t>RAA</w:t>
      </w:r>
      <w:proofErr w:type="spellEnd"/>
      <w:r w:rsidRPr="002C557A">
        <w:t xml:space="preserve">.  Since the PJM </w:t>
      </w:r>
      <w:proofErr w:type="spellStart"/>
      <w:r w:rsidRPr="002C557A">
        <w:t>RAA</w:t>
      </w:r>
      <w:proofErr w:type="spellEnd"/>
      <w:r w:rsidRPr="002C557A">
        <w:t xml:space="preserve"> does not permit AEP to change a state imposed allocation mechanism, and AEP is a signatory to the </w:t>
      </w:r>
      <w:proofErr w:type="spellStart"/>
      <w:r w:rsidRPr="002C557A">
        <w:t>RAA</w:t>
      </w:r>
      <w:proofErr w:type="spellEnd"/>
      <w:r w:rsidRPr="002C557A">
        <w:t xml:space="preserve"> and does not have the right to change the PJM </w:t>
      </w:r>
      <w:proofErr w:type="spellStart"/>
      <w:r w:rsidRPr="002C557A">
        <w:t>RAA</w:t>
      </w:r>
      <w:proofErr w:type="spellEnd"/>
      <w:r w:rsidRPr="002C557A">
        <w:t xml:space="preserve"> unilaterally through a section 205 filing, this section 205 fil</w:t>
      </w:r>
      <w:r>
        <w:softHyphen/>
      </w:r>
      <w:r w:rsidRPr="002C557A">
        <w:lastRenderedPageBreak/>
        <w:t xml:space="preserve">ing is not the appropriate vehicle for challenging the justness and reasonableness of Section </w:t>
      </w:r>
      <w:proofErr w:type="spellStart"/>
      <w:r w:rsidRPr="002C557A">
        <w:t>D.8</w:t>
      </w:r>
      <w:proofErr w:type="spellEnd"/>
      <w:r w:rsidRPr="002C557A">
        <w:t xml:space="preserve"> of Schedule 8.1 of the PJM </w:t>
      </w:r>
      <w:proofErr w:type="spellStart"/>
      <w:r w:rsidRPr="002C557A">
        <w:t>RAA</w:t>
      </w:r>
      <w:proofErr w:type="spellEnd"/>
      <w:r w:rsidRPr="002C557A">
        <w:t xml:space="preserve">.   </w:t>
      </w:r>
    </w:p>
    <w:p w:rsidR="00DD1295" w:rsidRDefault="00DD1295" w:rsidP="00DD1295">
      <w:pPr>
        <w:pStyle w:val="Blockquote"/>
      </w:pPr>
      <w:r w:rsidRPr="002C557A">
        <w:t>13.</w:t>
      </w:r>
      <w:r w:rsidRPr="002C557A">
        <w:tab/>
        <w:t xml:space="preserve">Therefore, we find that, pursuant to the </w:t>
      </w:r>
      <w:proofErr w:type="spellStart"/>
      <w:r w:rsidRPr="002C557A">
        <w:t>RAA</w:t>
      </w:r>
      <w:proofErr w:type="spellEnd"/>
      <w:r w:rsidRPr="002C557A">
        <w:t>, the AEP Ohio Companies are not permitted to submit their proposed formula rate, given the existence of a state compensation mechanism, and we will reject this filing.</w:t>
      </w:r>
      <w:r>
        <w:rPr>
          <w:rStyle w:val="FootnoteReference"/>
          <w:sz w:val="28"/>
          <w:szCs w:val="28"/>
        </w:rPr>
        <w:footnoteReference w:id="11"/>
      </w:r>
    </w:p>
    <w:p w:rsidR="00DD1295" w:rsidRPr="009E2703" w:rsidRDefault="00DD1295" w:rsidP="00DD1295">
      <w:pPr>
        <w:pStyle w:val="Textstyle"/>
      </w:pPr>
      <w:r>
        <w:t>While this Commission’s decision in ER11-2183 did not reach the Section 206 question (it did not have to), the logic and conclusion is just the same.  The Mobile-Sierra doctrine applies to Section 206 as well as Section 205.</w:t>
      </w:r>
      <w:r>
        <w:rPr>
          <w:rStyle w:val="FootnoteReference"/>
          <w:sz w:val="28"/>
          <w:szCs w:val="28"/>
        </w:rPr>
        <w:footnoteReference w:id="12"/>
      </w:r>
      <w:r>
        <w:t xml:space="preserve">  </w:t>
      </w:r>
      <w:r w:rsidRPr="009E2703">
        <w:t xml:space="preserve">Section </w:t>
      </w:r>
      <w:proofErr w:type="spellStart"/>
      <w:r w:rsidRPr="009E2703">
        <w:t>D.8</w:t>
      </w:r>
      <w:proofErr w:type="spellEnd"/>
      <w:r w:rsidRPr="009E2703">
        <w:t xml:space="preserve"> of Schedule 8.1 of the </w:t>
      </w:r>
      <w:proofErr w:type="spellStart"/>
      <w:r w:rsidRPr="009E2703">
        <w:t>RAA</w:t>
      </w:r>
      <w:proofErr w:type="spellEnd"/>
      <w:r w:rsidRPr="009E2703">
        <w:t xml:space="preserve"> provides:</w:t>
      </w:r>
    </w:p>
    <w:p w:rsidR="00DD1295" w:rsidRDefault="00DD1295" w:rsidP="00DD1295">
      <w:pPr>
        <w:pStyle w:val="Blockquote"/>
      </w:pPr>
      <w:r w:rsidRPr="009E2703">
        <w:t>In the absence of a state compensation mechanism, the appli</w:t>
      </w:r>
      <w:r>
        <w:softHyphen/>
      </w:r>
      <w:r w:rsidRPr="009E2703">
        <w:t xml:space="preserve">cable alternative retail LSE shall compensate the </w:t>
      </w:r>
      <w:proofErr w:type="spellStart"/>
      <w:r w:rsidRPr="009E2703">
        <w:t>FRR</w:t>
      </w:r>
      <w:proofErr w:type="spellEnd"/>
      <w:r w:rsidRPr="009E2703">
        <w:t xml:space="preserve"> Entity at the capacity price in the unconstrained portions of the PJM Region, as determined in accordance with Attachment DD to the PJM Tariff, provided that the </w:t>
      </w:r>
      <w:proofErr w:type="spellStart"/>
      <w:r w:rsidRPr="009E2703">
        <w:t>FRR</w:t>
      </w:r>
      <w:proofErr w:type="spellEnd"/>
      <w:r w:rsidRPr="009E2703">
        <w:t xml:space="preserve"> Entity may, at any time, make a filing with FERC under Sections 205 of the Federal Power Act proposing to change the basis for compen</w:t>
      </w:r>
      <w:r>
        <w:softHyphen/>
      </w:r>
      <w:r w:rsidRPr="009E2703">
        <w:t xml:space="preserve">sation to a method based on the </w:t>
      </w:r>
      <w:proofErr w:type="spellStart"/>
      <w:r w:rsidRPr="009E2703">
        <w:t>FRR</w:t>
      </w:r>
      <w:proofErr w:type="spellEnd"/>
      <w:r w:rsidRPr="009E2703">
        <w:t xml:space="preserve"> Entity’s cost or such other basis shown to be just and reasonable, and a retail LSE may at any time exercise its rights</w:t>
      </w:r>
      <w:r>
        <w:t xml:space="preserve"> under Section 206 of the </w:t>
      </w:r>
      <w:proofErr w:type="spellStart"/>
      <w:r>
        <w:t>FPA</w:t>
      </w:r>
      <w:proofErr w:type="spellEnd"/>
      <w:r>
        <w:t>.</w:t>
      </w:r>
      <w:r>
        <w:rPr>
          <w:rStyle w:val="FootnoteReference"/>
          <w:sz w:val="28"/>
          <w:szCs w:val="28"/>
        </w:rPr>
        <w:footnoteReference w:id="13"/>
      </w:r>
    </w:p>
    <w:p w:rsidR="00DD1295" w:rsidRDefault="00DD1295" w:rsidP="00DD1295">
      <w:pPr>
        <w:pStyle w:val="Textstyle"/>
      </w:pPr>
      <w:r>
        <w:t xml:space="preserve">Again, the words of the single sentence of the section are clear.  If there is no state compensation mechanism, the </w:t>
      </w:r>
      <w:proofErr w:type="spellStart"/>
      <w:r>
        <w:t>FRR</w:t>
      </w:r>
      <w:proofErr w:type="spellEnd"/>
      <w:r>
        <w:t xml:space="preserve"> entity has the choice of three things.  It may accept the auction result, or file under Section 205, or file under Section 206.  Just as this Com</w:t>
      </w:r>
      <w:r>
        <w:softHyphen/>
        <w:t xml:space="preserve">mission has already found that this sentence indicates that AEP waived its ability to make </w:t>
      </w:r>
      <w:r>
        <w:lastRenderedPageBreak/>
        <w:t>a Section 205 filing (because there is a state compensation mechanism) the Commission should now find that, under the same sentence, AEP has waived the ability to make a Section 206 filing.  The logic is exactly the same.  That is what the sentence says.</w:t>
      </w:r>
    </w:p>
    <w:p w:rsidR="00DD1295" w:rsidRDefault="00DD1295" w:rsidP="00DD1295">
      <w:pPr>
        <w:pStyle w:val="Textstyle"/>
      </w:pPr>
      <w:r>
        <w:tab/>
        <w:t>In sum, AEP made a deal.  Now it must, under this Commission’s precedent, live with that deal.</w:t>
      </w:r>
    </w:p>
    <w:p w:rsidR="00DD1295" w:rsidRPr="007546B2" w:rsidRDefault="00852B38" w:rsidP="00852B38">
      <w:pPr>
        <w:pStyle w:val="Heading1"/>
      </w:pPr>
      <w:bookmarkStart w:id="6" w:name="_Toc331418224"/>
      <w:r>
        <w:t>SUMMARY</w:t>
      </w:r>
      <w:bookmarkEnd w:id="6"/>
    </w:p>
    <w:p w:rsidR="00DD1295" w:rsidRDefault="00DD1295" w:rsidP="00DD1295">
      <w:pPr>
        <w:pStyle w:val="Textstyle"/>
      </w:pPr>
      <w:r>
        <w:tab/>
        <w:t xml:space="preserve">Within a very short time of the filing of this pleading, there will be a permanent state level compensation mechanism for AEP’s provision of capacity to customers who shop for their energy supply.  Under terms of the </w:t>
      </w:r>
      <w:proofErr w:type="spellStart"/>
      <w:r>
        <w:t>RAA</w:t>
      </w:r>
      <w:proofErr w:type="spellEnd"/>
      <w:r>
        <w:t xml:space="preserve"> that AEP voluntarily bargained for, this state established mechanism prevails.  That was what AEP bargained for, that is what it must be given.  AEP has had second thoughts.  It no longer likes the terms it negotiated.  That provides it no basis for relief from this Commission.  As discussed above, the state compensation mechanism benefits the public, indeed it benefits AEP too.  Under this Commission’s precedent, the </w:t>
      </w:r>
      <w:proofErr w:type="spellStart"/>
      <w:r>
        <w:t>RAA</w:t>
      </w:r>
      <w:proofErr w:type="spellEnd"/>
      <w:r>
        <w:t xml:space="preserve"> must stand and AEP’s motion be denied.  </w:t>
      </w:r>
    </w:p>
    <w:p w:rsidR="00DD1295" w:rsidRDefault="00DD1295" w:rsidP="00DD1295">
      <w:pPr>
        <w:pStyle w:val="Textstyle"/>
        <w:ind w:left="4320"/>
      </w:pPr>
      <w:r>
        <w:t>Respectfully submitted,</w:t>
      </w:r>
    </w:p>
    <w:p w:rsidR="00F352E6" w:rsidRPr="00DD0BFC" w:rsidRDefault="00F352E6" w:rsidP="00F352E6">
      <w:pPr>
        <w:tabs>
          <w:tab w:val="left" w:pos="9360"/>
        </w:tabs>
        <w:ind w:left="432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9118DC" w:rsidRPr="00F352E6" w:rsidRDefault="009118DC" w:rsidP="009118DC">
      <w:pPr>
        <w:pStyle w:val="BodyTextIndent2"/>
        <w:ind w:left="4320" w:firstLine="0"/>
        <w:rPr>
          <w:b/>
          <w:sz w:val="26"/>
          <w:szCs w:val="26"/>
        </w:rPr>
      </w:pPr>
      <w:r w:rsidRPr="00F352E6">
        <w:rPr>
          <w:b/>
          <w:sz w:val="26"/>
          <w:szCs w:val="26"/>
        </w:rPr>
        <w:t>Thomas W. McNamee</w:t>
      </w:r>
    </w:p>
    <w:p w:rsidR="009118DC" w:rsidRPr="00F352E6" w:rsidRDefault="009118DC" w:rsidP="009118DC">
      <w:pPr>
        <w:pStyle w:val="BodyTextIndent2"/>
        <w:ind w:left="4320" w:firstLine="0"/>
        <w:rPr>
          <w:sz w:val="26"/>
          <w:szCs w:val="26"/>
        </w:rPr>
      </w:pPr>
      <w:r w:rsidRPr="00F352E6">
        <w:rPr>
          <w:sz w:val="26"/>
          <w:szCs w:val="26"/>
        </w:rPr>
        <w:t>Public Utilities Section</w:t>
      </w:r>
    </w:p>
    <w:p w:rsidR="009118DC" w:rsidRPr="00F352E6" w:rsidRDefault="009118DC" w:rsidP="009118DC">
      <w:pPr>
        <w:pStyle w:val="BodyTextIndent2"/>
        <w:ind w:left="4320" w:firstLine="0"/>
        <w:rPr>
          <w:sz w:val="26"/>
          <w:szCs w:val="26"/>
        </w:rPr>
      </w:pPr>
      <w:r w:rsidRPr="00F352E6">
        <w:rPr>
          <w:sz w:val="26"/>
          <w:szCs w:val="26"/>
        </w:rPr>
        <w:t>180 East Broad Street</w:t>
      </w:r>
    </w:p>
    <w:p w:rsidR="009118DC" w:rsidRPr="00F352E6" w:rsidRDefault="009118DC" w:rsidP="009118DC">
      <w:pPr>
        <w:pStyle w:val="BodyTextIndent2"/>
        <w:ind w:left="4320" w:firstLine="0"/>
        <w:rPr>
          <w:sz w:val="26"/>
          <w:szCs w:val="26"/>
        </w:rPr>
      </w:pPr>
      <w:r w:rsidRPr="00F352E6">
        <w:rPr>
          <w:sz w:val="26"/>
          <w:szCs w:val="26"/>
        </w:rPr>
        <w:t>Columbus, OH 43215-3793</w:t>
      </w:r>
    </w:p>
    <w:p w:rsidR="009118DC" w:rsidRPr="00F352E6" w:rsidRDefault="009118DC" w:rsidP="009118DC">
      <w:pPr>
        <w:pStyle w:val="BodyTextIndent2"/>
        <w:ind w:left="4320" w:firstLine="0"/>
        <w:rPr>
          <w:sz w:val="26"/>
          <w:szCs w:val="26"/>
        </w:rPr>
      </w:pPr>
      <w:r w:rsidRPr="00F352E6">
        <w:rPr>
          <w:sz w:val="26"/>
          <w:szCs w:val="26"/>
        </w:rPr>
        <w:t>614.466.4396 (telephone)</w:t>
      </w:r>
    </w:p>
    <w:p w:rsidR="009118DC" w:rsidRPr="00F352E6" w:rsidRDefault="009118DC" w:rsidP="009118DC">
      <w:pPr>
        <w:pStyle w:val="BodyTextIndent2"/>
        <w:ind w:left="4320" w:firstLine="0"/>
        <w:rPr>
          <w:sz w:val="26"/>
          <w:szCs w:val="26"/>
        </w:rPr>
      </w:pPr>
      <w:r w:rsidRPr="00F352E6">
        <w:rPr>
          <w:sz w:val="26"/>
          <w:szCs w:val="26"/>
        </w:rPr>
        <w:t>614.644.8764 (fax)</w:t>
      </w:r>
    </w:p>
    <w:p w:rsidR="009118DC" w:rsidRPr="00F352E6" w:rsidRDefault="00232570" w:rsidP="009118DC">
      <w:pPr>
        <w:pStyle w:val="BodyTextIndent2"/>
        <w:ind w:left="4320" w:firstLine="0"/>
        <w:rPr>
          <w:sz w:val="26"/>
          <w:szCs w:val="26"/>
        </w:rPr>
      </w:pPr>
      <w:hyperlink r:id="rId13" w:history="1">
        <w:r w:rsidR="009118DC" w:rsidRPr="00F352E6">
          <w:rPr>
            <w:rStyle w:val="Hyperlink"/>
            <w:sz w:val="26"/>
            <w:szCs w:val="26"/>
          </w:rPr>
          <w:t>thomas.mcnamee@puc.state.oh.us</w:t>
        </w:r>
      </w:hyperlink>
    </w:p>
    <w:p w:rsidR="009118DC" w:rsidRPr="00F352E6" w:rsidRDefault="009118DC" w:rsidP="009118DC">
      <w:pPr>
        <w:pStyle w:val="BodyTextIndent2"/>
        <w:ind w:left="4320" w:firstLine="0"/>
        <w:rPr>
          <w:sz w:val="26"/>
          <w:szCs w:val="26"/>
        </w:rPr>
      </w:pPr>
    </w:p>
    <w:p w:rsidR="009118DC" w:rsidRPr="00F352E6" w:rsidRDefault="009118DC" w:rsidP="009118DC">
      <w:pPr>
        <w:pStyle w:val="BodyTextIndent2"/>
        <w:ind w:left="4320" w:firstLine="0"/>
        <w:rPr>
          <w:b/>
          <w:sz w:val="26"/>
          <w:szCs w:val="26"/>
        </w:rPr>
      </w:pPr>
      <w:r w:rsidRPr="00F352E6">
        <w:rPr>
          <w:b/>
          <w:sz w:val="26"/>
          <w:szCs w:val="26"/>
        </w:rPr>
        <w:t xml:space="preserve">On behalf of </w:t>
      </w:r>
    </w:p>
    <w:p w:rsidR="009118DC" w:rsidRPr="00F352E6" w:rsidRDefault="009118DC" w:rsidP="009118DC">
      <w:pPr>
        <w:pStyle w:val="BodyTextIndent2"/>
        <w:ind w:left="4320" w:firstLine="0"/>
        <w:rPr>
          <w:sz w:val="26"/>
          <w:szCs w:val="26"/>
        </w:rPr>
      </w:pPr>
      <w:r w:rsidRPr="00F352E6">
        <w:rPr>
          <w:sz w:val="26"/>
          <w:szCs w:val="26"/>
        </w:rPr>
        <w:t>The Public Utilities Commission of Ohio</w:t>
      </w:r>
    </w:p>
    <w:p w:rsidR="00673D8A" w:rsidRPr="00292490" w:rsidRDefault="00673D8A" w:rsidP="00673D8A">
      <w:pPr>
        <w:pStyle w:val="Heading1"/>
      </w:pPr>
      <w:bookmarkStart w:id="7" w:name="_Toc331418225"/>
      <w:r w:rsidRPr="00292490">
        <w:lastRenderedPageBreak/>
        <w:t>CERTIFICATE OF SERVICE</w:t>
      </w:r>
      <w:bookmarkEnd w:id="7"/>
    </w:p>
    <w:p w:rsidR="00673D8A" w:rsidRPr="00292490" w:rsidRDefault="00673D8A" w:rsidP="00CC48A2">
      <w:pPr>
        <w:pStyle w:val="Textstyle"/>
      </w:pPr>
      <w:r w:rsidRPr="00292490">
        <w:tab/>
        <w:t>I hereby certify that the foregoing have been served in accordance with 18 C.F.R. Sec. 385.2010 upon each person designated on the official service list compiled by the Secretary in this proceeding.</w:t>
      </w:r>
    </w:p>
    <w:p w:rsidR="00673D8A" w:rsidRPr="00DD0BFC" w:rsidRDefault="00673D8A" w:rsidP="00673D8A">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673D8A" w:rsidRPr="00292490" w:rsidRDefault="00673D8A" w:rsidP="00673D8A">
      <w:pPr>
        <w:tabs>
          <w:tab w:val="left" w:pos="9360"/>
        </w:tabs>
        <w:ind w:left="4760"/>
        <w:rPr>
          <w:rFonts w:ascii="Times New Roman" w:hAnsi="Times New Roman"/>
          <w:b/>
          <w:sz w:val="26"/>
          <w:szCs w:val="26"/>
        </w:rPr>
      </w:pPr>
      <w:r w:rsidRPr="00292490">
        <w:rPr>
          <w:rFonts w:ascii="Times New Roman" w:hAnsi="Times New Roman"/>
          <w:b/>
          <w:sz w:val="26"/>
          <w:szCs w:val="26"/>
        </w:rPr>
        <w:t>Thomas W. McNamee</w:t>
      </w:r>
    </w:p>
    <w:p w:rsidR="00673D8A" w:rsidRPr="00292490" w:rsidRDefault="00673D8A" w:rsidP="00673D8A">
      <w:pPr>
        <w:tabs>
          <w:tab w:val="left" w:pos="9360"/>
        </w:tabs>
        <w:ind w:left="4760"/>
        <w:rPr>
          <w:rFonts w:ascii="Times New Roman" w:hAnsi="Times New Roman"/>
          <w:sz w:val="26"/>
          <w:szCs w:val="26"/>
        </w:rPr>
      </w:pPr>
    </w:p>
    <w:p w:rsidR="00673D8A" w:rsidRPr="00292490" w:rsidRDefault="00673D8A" w:rsidP="00673D8A">
      <w:pPr>
        <w:rPr>
          <w:rFonts w:ascii="Times New Roman" w:hAnsi="Times New Roman"/>
          <w:sz w:val="26"/>
          <w:szCs w:val="26"/>
        </w:rPr>
      </w:pPr>
    </w:p>
    <w:p w:rsidR="00673D8A" w:rsidRPr="00673D8A" w:rsidRDefault="00673D8A" w:rsidP="00673D8A">
      <w:pPr>
        <w:rPr>
          <w:rFonts w:ascii="Times New Roman" w:hAnsi="Times New Roman"/>
          <w:sz w:val="26"/>
          <w:szCs w:val="26"/>
        </w:rPr>
      </w:pPr>
      <w:proofErr w:type="gramStart"/>
      <w:r w:rsidRPr="00292490">
        <w:rPr>
          <w:rFonts w:ascii="Times New Roman" w:hAnsi="Times New Roman"/>
          <w:sz w:val="26"/>
          <w:szCs w:val="26"/>
        </w:rPr>
        <w:t>Dated at</w:t>
      </w:r>
      <w:r>
        <w:rPr>
          <w:rFonts w:ascii="Times New Roman" w:hAnsi="Times New Roman"/>
          <w:sz w:val="26"/>
          <w:szCs w:val="26"/>
        </w:rPr>
        <w:t xml:space="preserve"> Columbus, Ohio this </w:t>
      </w:r>
      <w:r w:rsidR="00DD1295">
        <w:rPr>
          <w:rFonts w:ascii="Times New Roman" w:hAnsi="Times New Roman"/>
          <w:sz w:val="26"/>
          <w:szCs w:val="26"/>
        </w:rPr>
        <w:t xml:space="preserve">July </w:t>
      </w:r>
      <w:r w:rsidR="004B29B2">
        <w:rPr>
          <w:rFonts w:ascii="Times New Roman" w:hAnsi="Times New Roman"/>
          <w:sz w:val="26"/>
          <w:szCs w:val="26"/>
        </w:rPr>
        <w:t>30</w:t>
      </w:r>
      <w:r w:rsidR="00DD1295">
        <w:rPr>
          <w:rFonts w:ascii="Times New Roman" w:hAnsi="Times New Roman"/>
          <w:sz w:val="26"/>
          <w:szCs w:val="26"/>
        </w:rPr>
        <w:t>, 2012</w:t>
      </w:r>
      <w:r>
        <w:rPr>
          <w:rFonts w:ascii="Times New Roman" w:hAnsi="Times New Roman"/>
          <w:sz w:val="26"/>
          <w:szCs w:val="26"/>
        </w:rPr>
        <w:t>.</w:t>
      </w:r>
      <w:proofErr w:type="gramEnd"/>
    </w:p>
    <w:sectPr w:rsidR="00673D8A" w:rsidRPr="00673D8A" w:rsidSect="009118DC">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69" w:rsidRDefault="002B3069" w:rsidP="00597170">
      <w:r>
        <w:separator/>
      </w:r>
    </w:p>
  </w:endnote>
  <w:endnote w:type="continuationSeparator" w:id="0">
    <w:p w:rsidR="002B3069" w:rsidRDefault="002B3069" w:rsidP="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673D8A" w:rsidRDefault="002B3069">
    <w:pPr>
      <w:pStyle w:val="Footer"/>
      <w:jc w:val="center"/>
      <w:rPr>
        <w:rFonts w:ascii="Times New Roman" w:hAnsi="Times New Roman"/>
        <w:sz w:val="24"/>
        <w:szCs w:val="24"/>
      </w:rPr>
    </w:pPr>
    <w:r w:rsidRPr="00673D8A">
      <w:rPr>
        <w:rFonts w:ascii="Times New Roman" w:hAnsi="Times New Roman"/>
        <w:sz w:val="24"/>
        <w:szCs w:val="24"/>
      </w:rPr>
      <w:fldChar w:fldCharType="begin"/>
    </w:r>
    <w:r w:rsidRPr="00673D8A">
      <w:rPr>
        <w:rFonts w:ascii="Times New Roman" w:hAnsi="Times New Roman"/>
        <w:sz w:val="24"/>
        <w:szCs w:val="24"/>
      </w:rPr>
      <w:instrText xml:space="preserve"> PAGE   \* MERGEFORMAT </w:instrText>
    </w:r>
    <w:r w:rsidRPr="00673D8A">
      <w:rPr>
        <w:rFonts w:ascii="Times New Roman" w:hAnsi="Times New Roman"/>
        <w:sz w:val="24"/>
        <w:szCs w:val="24"/>
      </w:rPr>
      <w:fldChar w:fldCharType="separate"/>
    </w:r>
    <w:r>
      <w:rPr>
        <w:rFonts w:ascii="Times New Roman" w:hAnsi="Times New Roman"/>
        <w:noProof/>
        <w:sz w:val="24"/>
        <w:szCs w:val="24"/>
      </w:rPr>
      <w:t>2</w:t>
    </w:r>
    <w:r w:rsidRPr="00673D8A">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9118DC" w:rsidRDefault="002B3069" w:rsidP="009118DC">
    <w:pPr>
      <w:pStyle w:val="Footer"/>
      <w:jc w:val="center"/>
      <w:rPr>
        <w:rFonts w:ascii="Times New Roman" w:hAnsi="Times New Roman"/>
        <w:sz w:val="24"/>
        <w:szCs w:val="24"/>
      </w:rPr>
    </w:pPr>
    <w:r w:rsidRPr="009118DC">
      <w:rPr>
        <w:rFonts w:ascii="Times New Roman" w:hAnsi="Times New Roman"/>
        <w:sz w:val="24"/>
        <w:szCs w:val="24"/>
      </w:rPr>
      <w:fldChar w:fldCharType="begin"/>
    </w:r>
    <w:r w:rsidRPr="009118DC">
      <w:rPr>
        <w:rFonts w:ascii="Times New Roman" w:hAnsi="Times New Roman"/>
        <w:sz w:val="24"/>
        <w:szCs w:val="24"/>
      </w:rPr>
      <w:instrText xml:space="preserve"> PAGE   \* MERGEFORMAT </w:instrText>
    </w:r>
    <w:r w:rsidRPr="009118DC">
      <w:rPr>
        <w:rFonts w:ascii="Times New Roman" w:hAnsi="Times New Roman"/>
        <w:sz w:val="24"/>
        <w:szCs w:val="24"/>
      </w:rPr>
      <w:fldChar w:fldCharType="separate"/>
    </w:r>
    <w:r w:rsidR="00232570">
      <w:rPr>
        <w:rFonts w:ascii="Times New Roman" w:hAnsi="Times New Roman"/>
        <w:noProof/>
        <w:sz w:val="24"/>
        <w:szCs w:val="24"/>
      </w:rPr>
      <w:t>i</w:t>
    </w:r>
    <w:r w:rsidRPr="009118DC">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673D8A" w:rsidRDefault="002B3069">
    <w:pPr>
      <w:pStyle w:val="Footer"/>
      <w:jc w:val="center"/>
      <w:rPr>
        <w:rFonts w:ascii="Times New Roman" w:hAnsi="Times New Roman"/>
        <w:sz w:val="24"/>
        <w:szCs w:val="24"/>
      </w:rPr>
    </w:pPr>
    <w:r w:rsidRPr="00673D8A">
      <w:rPr>
        <w:rFonts w:ascii="Times New Roman" w:hAnsi="Times New Roman"/>
        <w:sz w:val="24"/>
        <w:szCs w:val="24"/>
      </w:rPr>
      <w:fldChar w:fldCharType="begin"/>
    </w:r>
    <w:r w:rsidRPr="00673D8A">
      <w:rPr>
        <w:rFonts w:ascii="Times New Roman" w:hAnsi="Times New Roman"/>
        <w:sz w:val="24"/>
        <w:szCs w:val="24"/>
      </w:rPr>
      <w:instrText xml:space="preserve"> PAGE   \* MERGEFORMAT </w:instrText>
    </w:r>
    <w:r w:rsidRPr="00673D8A">
      <w:rPr>
        <w:rFonts w:ascii="Times New Roman" w:hAnsi="Times New Roman"/>
        <w:sz w:val="24"/>
        <w:szCs w:val="24"/>
      </w:rPr>
      <w:fldChar w:fldCharType="separate"/>
    </w:r>
    <w:r w:rsidR="00232570">
      <w:rPr>
        <w:rFonts w:ascii="Times New Roman" w:hAnsi="Times New Roman"/>
        <w:noProof/>
        <w:sz w:val="24"/>
        <w:szCs w:val="24"/>
      </w:rPr>
      <w:t>10</w:t>
    </w:r>
    <w:r w:rsidRPr="00673D8A">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9118DC" w:rsidRDefault="002B3069" w:rsidP="0091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69" w:rsidRDefault="002B3069" w:rsidP="00597170">
      <w:r>
        <w:separator/>
      </w:r>
    </w:p>
  </w:footnote>
  <w:footnote w:type="continuationSeparator" w:id="0">
    <w:p w:rsidR="002B3069" w:rsidRDefault="002B3069" w:rsidP="00597170">
      <w:r>
        <w:continuationSeparator/>
      </w:r>
    </w:p>
  </w:footnote>
  <w:footnote w:id="1">
    <w:p w:rsidR="002B3069" w:rsidRDefault="002B3069" w:rsidP="00DD1295">
      <w:pPr>
        <w:pStyle w:val="FootnoteText"/>
      </w:pPr>
      <w:r>
        <w:rPr>
          <w:rStyle w:val="FootnoteReference"/>
        </w:rPr>
        <w:footnoteRef/>
      </w:r>
      <w:r>
        <w:t xml:space="preserve"> </w:t>
      </w:r>
      <w:r>
        <w:tab/>
      </w:r>
      <w:r>
        <w:tab/>
      </w:r>
      <w:r w:rsidRPr="00953B59">
        <w:t xml:space="preserve">The Commission approved a settlement agreement, which the AEP Ohio Companies signed, of the PJM RPM, which included the </w:t>
      </w:r>
      <w:proofErr w:type="spellStart"/>
      <w:r w:rsidRPr="00953B59">
        <w:t>RAA</w:t>
      </w:r>
      <w:proofErr w:type="spellEnd"/>
      <w:r w:rsidRPr="00953B59">
        <w:t xml:space="preserve"> and </w:t>
      </w:r>
      <w:proofErr w:type="spellStart"/>
      <w:r w:rsidRPr="00953B59">
        <w:t>FRR</w:t>
      </w:r>
      <w:proofErr w:type="spellEnd"/>
      <w:r w:rsidRPr="00953B59">
        <w:t xml:space="preserve"> Alternative.</w:t>
      </w:r>
      <w:r>
        <w:t xml:space="preserve">  </w:t>
      </w:r>
      <w:r w:rsidRPr="00953B59">
        <w:t xml:space="preserve">See </w:t>
      </w:r>
      <w:r w:rsidRPr="002C557A">
        <w:rPr>
          <w:i/>
        </w:rPr>
        <w:t>PJM Interconnection, L.L.C.,</w:t>
      </w:r>
      <w:r w:rsidRPr="00953B59">
        <w:t xml:space="preserve"> 117 FERC ¶ 61,331, at 75-78 (2006), order on </w:t>
      </w:r>
      <w:proofErr w:type="spellStart"/>
      <w:r w:rsidRPr="00953B59">
        <w:t>reh'g</w:t>
      </w:r>
      <w:proofErr w:type="spellEnd"/>
      <w:r w:rsidRPr="00953B59">
        <w:t>,</w:t>
      </w:r>
      <w:r>
        <w:t xml:space="preserve"> </w:t>
      </w:r>
      <w:r w:rsidRPr="00953B59">
        <w:t xml:space="preserve">119 FERC ¶ 61,318, </w:t>
      </w:r>
      <w:proofErr w:type="spellStart"/>
      <w:r w:rsidRPr="00953B59">
        <w:t>reh'g</w:t>
      </w:r>
      <w:proofErr w:type="spellEnd"/>
      <w:r w:rsidRPr="00953B59">
        <w:t xml:space="preserve"> denied, 121 FERC ¶ 61,173 (2007), </w:t>
      </w:r>
      <w:proofErr w:type="spellStart"/>
      <w:r w:rsidRPr="00DD1295">
        <w:t>aff'd</w:t>
      </w:r>
      <w:proofErr w:type="spellEnd"/>
      <w:r w:rsidRPr="00DD1295">
        <w:rPr>
          <w:i/>
        </w:rPr>
        <w:t xml:space="preserve"> sub nom</w:t>
      </w:r>
      <w:r w:rsidRPr="00953B59">
        <w:t xml:space="preserve">. </w:t>
      </w:r>
      <w:r w:rsidRPr="009E2703">
        <w:rPr>
          <w:i/>
        </w:rPr>
        <w:t>Pub</w:t>
      </w:r>
      <w:proofErr w:type="gramStart"/>
      <w:r w:rsidRPr="009E2703">
        <w:rPr>
          <w:i/>
        </w:rPr>
        <w:t>. Serv.</w:t>
      </w:r>
      <w:r w:rsidRPr="00953B59">
        <w:t xml:space="preserve"> </w:t>
      </w:r>
      <w:r w:rsidRPr="009E2703">
        <w:rPr>
          <w:i/>
        </w:rPr>
        <w:t>Elec. &amp; Gas Co. v. FERC</w:t>
      </w:r>
      <w:r>
        <w:t xml:space="preserve">, </w:t>
      </w:r>
      <w:r w:rsidRPr="00953B59">
        <w:t>D.C. Circuit Case No. 07- 1336 (Mar. 17, 2009) (unpublished).</w:t>
      </w:r>
      <w:proofErr w:type="gramEnd"/>
      <w:r w:rsidRPr="00953B59">
        <w:t xml:space="preserve">  See also PJM </w:t>
      </w:r>
      <w:proofErr w:type="spellStart"/>
      <w:r w:rsidRPr="00953B59">
        <w:t>RAA</w:t>
      </w:r>
      <w:proofErr w:type="spellEnd"/>
      <w:r w:rsidRPr="00953B59">
        <w:t xml:space="preserve"> Schedule 17.</w:t>
      </w:r>
    </w:p>
  </w:footnote>
  <w:footnote w:id="2">
    <w:p w:rsidR="002B3069" w:rsidRDefault="002B3069" w:rsidP="00DD1295">
      <w:pPr>
        <w:pStyle w:val="FootnoteText"/>
      </w:pPr>
      <w:r>
        <w:rPr>
          <w:rStyle w:val="FootnoteReference"/>
        </w:rPr>
        <w:footnoteRef/>
      </w:r>
      <w:r>
        <w:t xml:space="preserve"> </w:t>
      </w:r>
      <w:r>
        <w:tab/>
      </w:r>
      <w:r>
        <w:tab/>
      </w:r>
      <w:r w:rsidRPr="002E0A7A">
        <w:rPr>
          <w:i/>
        </w:rPr>
        <w:t xml:space="preserve">American Electric Power Service </w:t>
      </w:r>
      <w:r>
        <w:rPr>
          <w:i/>
        </w:rPr>
        <w:t>Corp.</w:t>
      </w:r>
      <w:r>
        <w:t xml:space="preserve">, </w:t>
      </w:r>
      <w:r w:rsidRPr="002E0A7A">
        <w:t>134 FERC ¶ 61,039</w:t>
      </w:r>
      <w:r w:rsidRPr="00DD1295">
        <w:t xml:space="preserve"> (</w:t>
      </w:r>
      <w:r>
        <w:t>e</w:t>
      </w:r>
      <w:r w:rsidRPr="00DD1295">
        <w:t>mphasis added)</w:t>
      </w:r>
      <w:r>
        <w:t>.</w:t>
      </w:r>
    </w:p>
  </w:footnote>
  <w:footnote w:id="3">
    <w:p w:rsidR="002B3069" w:rsidRPr="00DD1295" w:rsidRDefault="002B3069" w:rsidP="00DD1295">
      <w:pPr>
        <w:pStyle w:val="FootnoteText"/>
      </w:pPr>
      <w:r>
        <w:rPr>
          <w:rStyle w:val="FootnoteReference"/>
        </w:rPr>
        <w:footnoteRef/>
      </w:r>
      <w:r>
        <w:t xml:space="preserve"> </w:t>
      </w:r>
      <w:r>
        <w:tab/>
      </w:r>
      <w:r>
        <w:tab/>
      </w:r>
      <w:r w:rsidRPr="002E0A7A">
        <w:rPr>
          <w:i/>
        </w:rPr>
        <w:t xml:space="preserve">American Electric Power Service </w:t>
      </w:r>
      <w:r>
        <w:rPr>
          <w:i/>
        </w:rPr>
        <w:t>Corp.</w:t>
      </w:r>
      <w:r>
        <w:t>,</w:t>
      </w:r>
      <w:r w:rsidRPr="00DD1295">
        <w:t xml:space="preserve"> 134 FERC ¶ 61,039</w:t>
      </w:r>
      <w:r>
        <w:t xml:space="preserve"> (emphasis added</w:t>
      </w:r>
      <w:r w:rsidRPr="00953B59">
        <w:t>)</w:t>
      </w:r>
      <w:r>
        <w:t>.</w:t>
      </w:r>
    </w:p>
  </w:footnote>
  <w:footnote w:id="4">
    <w:p w:rsidR="002B3069" w:rsidRDefault="002B3069" w:rsidP="00DD1295">
      <w:pPr>
        <w:pStyle w:val="FootnoteText"/>
      </w:pPr>
      <w:r>
        <w:rPr>
          <w:rStyle w:val="FootnoteReference"/>
        </w:rPr>
        <w:footnoteRef/>
      </w:r>
      <w:r>
        <w:t xml:space="preserve"> </w:t>
      </w:r>
      <w:r>
        <w:tab/>
      </w:r>
      <w:r>
        <w:tab/>
        <w:t>Ohio Revised Code Chapter 4928.</w:t>
      </w:r>
    </w:p>
  </w:footnote>
  <w:footnote w:id="5">
    <w:p w:rsidR="002B3069" w:rsidRDefault="002B3069" w:rsidP="00DD1295">
      <w:pPr>
        <w:pStyle w:val="FootnoteText"/>
      </w:pPr>
      <w:r>
        <w:rPr>
          <w:rStyle w:val="FootnoteReference"/>
        </w:rPr>
        <w:footnoteRef/>
      </w:r>
      <w:r>
        <w:t xml:space="preserve"> </w:t>
      </w:r>
      <w:r>
        <w:tab/>
      </w:r>
      <w:r>
        <w:tab/>
        <w:t>Ohio Revised Code Section 4903.12.</w:t>
      </w:r>
    </w:p>
  </w:footnote>
  <w:footnote w:id="6">
    <w:p w:rsidR="002B3069" w:rsidRDefault="002B3069" w:rsidP="00DD1295">
      <w:pPr>
        <w:pStyle w:val="FootnoteText"/>
      </w:pPr>
      <w:r>
        <w:rPr>
          <w:rStyle w:val="FootnoteReference"/>
        </w:rPr>
        <w:footnoteRef/>
      </w:r>
      <w:r>
        <w:t xml:space="preserve"> </w:t>
      </w:r>
      <w:r>
        <w:tab/>
      </w:r>
      <w:r>
        <w:tab/>
        <w:t>Ohio Revised Code Section 4903.20.</w:t>
      </w:r>
    </w:p>
  </w:footnote>
  <w:footnote w:id="7">
    <w:p w:rsidR="002B3069" w:rsidRDefault="002B3069" w:rsidP="00DD1295">
      <w:pPr>
        <w:pStyle w:val="FootnoteText"/>
      </w:pPr>
      <w:r>
        <w:rPr>
          <w:rStyle w:val="FootnoteReference"/>
        </w:rPr>
        <w:footnoteRef/>
      </w:r>
      <w:r>
        <w:t xml:space="preserve"> </w:t>
      </w:r>
      <w:r>
        <w:tab/>
      </w:r>
      <w:r>
        <w:tab/>
        <w:t>Ohio Revised Code Section 4903.11.</w:t>
      </w:r>
    </w:p>
  </w:footnote>
  <w:footnote w:id="8">
    <w:p w:rsidR="002B3069" w:rsidRDefault="002B3069" w:rsidP="00DD1295">
      <w:pPr>
        <w:pStyle w:val="FootnoteText"/>
      </w:pPr>
      <w:r>
        <w:rPr>
          <w:rStyle w:val="FootnoteReference"/>
        </w:rPr>
        <w:footnoteRef/>
      </w:r>
      <w:r>
        <w:t xml:space="preserve"> </w:t>
      </w:r>
      <w:r>
        <w:tab/>
      </w:r>
      <w:r>
        <w:tab/>
      </w:r>
      <w:r w:rsidRPr="00540091">
        <w:rPr>
          <w:i/>
        </w:rPr>
        <w:t xml:space="preserve">United Gas Pipeline </w:t>
      </w:r>
      <w:r>
        <w:rPr>
          <w:i/>
        </w:rPr>
        <w:t>Co.</w:t>
      </w:r>
      <w:r w:rsidRPr="00540091">
        <w:rPr>
          <w:i/>
        </w:rPr>
        <w:t xml:space="preserve"> v. Mobile Gas Service Corp</w:t>
      </w:r>
      <w:r>
        <w:t xml:space="preserve">. 350 U.S. 332 (1956) (for Section 205 cases); </w:t>
      </w:r>
      <w:r>
        <w:rPr>
          <w:i/>
        </w:rPr>
        <w:t xml:space="preserve">Federal Power Comm’n </w:t>
      </w:r>
      <w:r w:rsidRPr="00540091">
        <w:rPr>
          <w:i/>
        </w:rPr>
        <w:t xml:space="preserve"> v. Sierra Pacific Power </w:t>
      </w:r>
      <w:r>
        <w:rPr>
          <w:i/>
        </w:rPr>
        <w:t>Co.</w:t>
      </w:r>
      <w:r w:rsidRPr="00540091">
        <w:rPr>
          <w:i/>
        </w:rPr>
        <w:t xml:space="preserve"> </w:t>
      </w:r>
      <w:r>
        <w:t>350 U.S. 348 (1956) (for Section 206 cases).</w:t>
      </w:r>
    </w:p>
  </w:footnote>
  <w:footnote w:id="9">
    <w:p w:rsidR="002B3069" w:rsidRDefault="002B3069" w:rsidP="00DD1295">
      <w:pPr>
        <w:pStyle w:val="FootnoteText"/>
      </w:pPr>
      <w:r>
        <w:rPr>
          <w:rStyle w:val="FootnoteReference"/>
        </w:rPr>
        <w:footnoteRef/>
      </w:r>
      <w:r>
        <w:t xml:space="preserve"> </w:t>
      </w:r>
      <w:r>
        <w:tab/>
      </w:r>
      <w:r>
        <w:tab/>
      </w:r>
      <w:proofErr w:type="gramStart"/>
      <w:r w:rsidRPr="002C557A">
        <w:rPr>
          <w:i/>
        </w:rPr>
        <w:t>Morgan Stanley Capital Group v. Public Utility District #1</w:t>
      </w:r>
      <w:r>
        <w:t xml:space="preserve"> 554 U.S. 527 (2008).</w:t>
      </w:r>
      <w:proofErr w:type="gramEnd"/>
    </w:p>
  </w:footnote>
  <w:footnote w:id="10">
    <w:p w:rsidR="002B3069" w:rsidRDefault="002B3069" w:rsidP="00DD1295">
      <w:pPr>
        <w:pStyle w:val="FootnoteText"/>
      </w:pPr>
      <w:r>
        <w:rPr>
          <w:rStyle w:val="FootnoteReference"/>
        </w:rPr>
        <w:footnoteRef/>
      </w:r>
      <w:r>
        <w:t xml:space="preserve"> </w:t>
      </w:r>
      <w:r>
        <w:tab/>
      </w:r>
      <w:r>
        <w:tab/>
      </w:r>
      <w:proofErr w:type="gramStart"/>
      <w:r>
        <w:t>Attachment A to the Renewed Motion at page 35.</w:t>
      </w:r>
      <w:proofErr w:type="gramEnd"/>
    </w:p>
  </w:footnote>
  <w:footnote w:id="11">
    <w:p w:rsidR="002B3069" w:rsidRDefault="002B3069" w:rsidP="00DD1295">
      <w:pPr>
        <w:pStyle w:val="FootnoteText"/>
      </w:pPr>
      <w:r>
        <w:rPr>
          <w:rStyle w:val="FootnoteReference"/>
        </w:rPr>
        <w:footnoteRef/>
      </w:r>
      <w:r>
        <w:t xml:space="preserve"> </w:t>
      </w:r>
      <w:r>
        <w:tab/>
      </w:r>
      <w:r>
        <w:tab/>
      </w:r>
      <w:r w:rsidRPr="002C557A">
        <w:rPr>
          <w:i/>
        </w:rPr>
        <w:t xml:space="preserve">American Electric Power Service </w:t>
      </w:r>
      <w:r>
        <w:rPr>
          <w:i/>
        </w:rPr>
        <w:t>Corp.</w:t>
      </w:r>
      <w:r>
        <w:t xml:space="preserve">, </w:t>
      </w:r>
      <w:r w:rsidRPr="00DD1295">
        <w:t>134</w:t>
      </w:r>
      <w:r w:rsidRPr="002C557A">
        <w:t xml:space="preserve"> FERC ¶ 61,039</w:t>
      </w:r>
      <w:r>
        <w:t>.</w:t>
      </w:r>
    </w:p>
  </w:footnote>
  <w:footnote w:id="12">
    <w:p w:rsidR="002B3069" w:rsidRDefault="002B3069" w:rsidP="00DD1295">
      <w:pPr>
        <w:pStyle w:val="FootnoteText"/>
      </w:pPr>
      <w:r>
        <w:rPr>
          <w:rStyle w:val="FootnoteReference"/>
        </w:rPr>
        <w:footnoteRef/>
      </w:r>
      <w:r w:rsidRPr="009E2703">
        <w:t xml:space="preserve"> </w:t>
      </w:r>
      <w:r>
        <w:tab/>
      </w:r>
      <w:r>
        <w:tab/>
      </w:r>
      <w:proofErr w:type="gramStart"/>
      <w:r>
        <w:rPr>
          <w:i/>
        </w:rPr>
        <w:t>Federal Power Comm’n</w:t>
      </w:r>
      <w:r w:rsidRPr="009E2703">
        <w:rPr>
          <w:i/>
        </w:rPr>
        <w:t xml:space="preserve"> v. Sierra Pacific Power </w:t>
      </w:r>
      <w:r>
        <w:rPr>
          <w:i/>
        </w:rPr>
        <w:t>Co.</w:t>
      </w:r>
      <w:r>
        <w:t>,</w:t>
      </w:r>
      <w:r w:rsidRPr="009E2703">
        <w:t xml:space="preserve"> 350 U.S. 348 (1956)</w:t>
      </w:r>
      <w:r>
        <w:t>.</w:t>
      </w:r>
      <w:proofErr w:type="gramEnd"/>
    </w:p>
  </w:footnote>
  <w:footnote w:id="13">
    <w:p w:rsidR="002B3069" w:rsidRDefault="002B3069" w:rsidP="00DD1295">
      <w:pPr>
        <w:pStyle w:val="FootnoteText"/>
      </w:pPr>
      <w:r>
        <w:rPr>
          <w:rStyle w:val="FootnoteReference"/>
        </w:rPr>
        <w:footnoteRef/>
      </w:r>
      <w:r>
        <w:t xml:space="preserve"> </w:t>
      </w:r>
      <w:r>
        <w:tab/>
      </w:r>
      <w:r>
        <w:tab/>
      </w:r>
      <w:r w:rsidRPr="009E2703">
        <w:rPr>
          <w:i/>
        </w:rPr>
        <w:t xml:space="preserve">American Electric Power Service </w:t>
      </w:r>
      <w:r>
        <w:rPr>
          <w:i/>
        </w:rPr>
        <w:t>Corp</w:t>
      </w:r>
      <w:r>
        <w:t>., 134</w:t>
      </w:r>
      <w:r w:rsidRPr="009E2703">
        <w:t xml:space="preserve"> FERC ¶ 61,039</w:t>
      </w:r>
      <w:r>
        <w:t xml:space="preserve"> </w:t>
      </w:r>
      <w:r w:rsidRPr="009E2703">
        <w:t>(</w:t>
      </w:r>
      <w:r>
        <w:t>e</w:t>
      </w:r>
      <w:r w:rsidRPr="009E2703">
        <w:t>mphasis added.)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673D8A" w:rsidRDefault="002B3069" w:rsidP="00673D8A">
    <w:pPr>
      <w:pStyle w:val="Header"/>
      <w:jc w:val="center"/>
      <w:rPr>
        <w:rFonts w:cs="Arial"/>
        <w:b/>
        <w:color w:val="FF0000"/>
        <w:sz w:val="20"/>
      </w:rPr>
    </w:pPr>
    <w:r>
      <w:rPr>
        <w:rFonts w:cs="Arial"/>
        <w:b/>
        <w:color w:val="FF0000"/>
        <w:sz w:val="20"/>
      </w:rPr>
      <w:t xml:space="preserve">DRAFT - </w:t>
    </w:r>
    <w:r>
      <w:rPr>
        <w:rFonts w:cs="Arial"/>
        <w:b/>
        <w:color w:val="FF0000"/>
        <w:sz w:val="20"/>
      </w:rPr>
      <w:fldChar w:fldCharType="begin"/>
    </w:r>
    <w:r>
      <w:rPr>
        <w:rFonts w:cs="Arial"/>
        <w:b/>
        <w:color w:val="FF0000"/>
        <w:sz w:val="20"/>
      </w:rPr>
      <w:instrText xml:space="preserve"> DATE \@ "M/d/yyyy h:mm am/pm" </w:instrText>
    </w:r>
    <w:r>
      <w:rPr>
        <w:rFonts w:cs="Arial"/>
        <w:b/>
        <w:color w:val="FF0000"/>
        <w:sz w:val="20"/>
      </w:rPr>
      <w:fldChar w:fldCharType="separate"/>
    </w:r>
    <w:r w:rsidR="00232570">
      <w:rPr>
        <w:rFonts w:cs="Arial"/>
        <w:b/>
        <w:noProof/>
        <w:color w:val="FF0000"/>
        <w:sz w:val="20"/>
      </w:rPr>
      <w:t>7/30/2012 4:26 PM</w:t>
    </w:r>
    <w:r>
      <w:rPr>
        <w:rFonts w:cs="Arial"/>
        <w:b/>
        <w:color w:val="FF0000"/>
        <w:sz w:val="20"/>
      </w:rPr>
      <w:fldChar w:fldCharType="end"/>
    </w:r>
    <w:r>
      <w:rPr>
        <w:rFonts w:cs="Arial"/>
        <w:b/>
        <w:color w:val="FF0000"/>
        <w:sz w:val="20"/>
      </w:rPr>
      <w:t xml:space="preserve"> - </w:t>
    </w:r>
    <w:r w:rsidR="00232570">
      <w:fldChar w:fldCharType="begin"/>
    </w:r>
    <w:r w:rsidR="00232570">
      <w:instrText xml:space="preserve"> FILENAME  \* Lower \p  \* MERGEFORMAT </w:instrText>
    </w:r>
    <w:r w:rsidR="00232570">
      <w:fldChar w:fldCharType="separate"/>
    </w:r>
    <w:r w:rsidR="00232570" w:rsidRPr="00232570">
      <w:rPr>
        <w:rFonts w:cs="Arial"/>
        <w:b/>
        <w:noProof/>
        <w:color w:val="FF0000"/>
        <w:sz w:val="20"/>
      </w:rPr>
      <w:t>\\puc\shares\departments\attorney general\attorneys\mcnamee\ferc\el11-32\puco response</w:t>
    </w:r>
    <w:r w:rsidR="00232570">
      <w:rPr>
        <w:noProof/>
      </w:rPr>
      <w:t xml:space="preserve"> 073012.docx</w:t>
    </w:r>
    <w:r w:rsidR="00232570">
      <w:rPr>
        <w:rFonts w:cs="Arial"/>
        <w:b/>
        <w:noProof/>
        <w:color w:val="FF0000"/>
        <w:sz w:val="20"/>
      </w:rPr>
      <w:fldChar w:fldCharType="end"/>
    </w:r>
    <w:r w:rsidRPr="00673D8A">
      <w:rPr>
        <w:rFonts w:cs="Arial"/>
        <w:b/>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Default="002B3069" w:rsidP="00673D8A">
    <w:pPr>
      <w:pStyle w:val="Header"/>
      <w:jc w:val="center"/>
      <w:rPr>
        <w:rFonts w:ascii="Times New Roman" w:hAnsi="Times New Roman"/>
        <w:b/>
        <w:sz w:val="28"/>
        <w:szCs w:val="28"/>
      </w:rPr>
    </w:pPr>
    <w:r>
      <w:rPr>
        <w:rFonts w:ascii="Times New Roman" w:hAnsi="Times New Roman"/>
        <w:b/>
        <w:sz w:val="28"/>
        <w:szCs w:val="28"/>
      </w:rPr>
      <w:t>TABLE OF CONTENTS</w:t>
    </w:r>
  </w:p>
  <w:p w:rsidR="002B3069" w:rsidRDefault="002B3069" w:rsidP="009118DC">
    <w:pPr>
      <w:pStyle w:val="Header"/>
      <w:jc w:val="right"/>
      <w:rPr>
        <w:rFonts w:ascii="Times New Roman" w:hAnsi="Times New Roman"/>
        <w:b/>
        <w:sz w:val="28"/>
        <w:szCs w:val="28"/>
      </w:rPr>
    </w:pPr>
    <w:r>
      <w:rPr>
        <w:rFonts w:ascii="Times New Roman" w:hAnsi="Times New Roman"/>
        <w:b/>
        <w:sz w:val="28"/>
        <w:szCs w:val="28"/>
      </w:rPr>
      <w:t>Page</w:t>
    </w:r>
  </w:p>
  <w:p w:rsidR="002B3069" w:rsidRPr="009118DC" w:rsidRDefault="002B3069" w:rsidP="009118DC">
    <w:pPr>
      <w:pStyle w:val="Header"/>
      <w:jc w:val="right"/>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F352E6" w:rsidRDefault="002B3069" w:rsidP="00F35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69" w:rsidRPr="00F352E6" w:rsidRDefault="002B3069" w:rsidP="00F3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397F"/>
    <w:multiLevelType w:val="hybridMultilevel"/>
    <w:tmpl w:val="EB42C0A8"/>
    <w:lvl w:ilvl="0" w:tplc="22DCDD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4E4C6B"/>
    <w:multiLevelType w:val="hybridMultilevel"/>
    <w:tmpl w:val="E4E0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51DB3"/>
    <w:rsid w:val="000030EC"/>
    <w:rsid w:val="00012A40"/>
    <w:rsid w:val="00027AF0"/>
    <w:rsid w:val="00051BD0"/>
    <w:rsid w:val="00066074"/>
    <w:rsid w:val="00071F0A"/>
    <w:rsid w:val="00076791"/>
    <w:rsid w:val="00087B4E"/>
    <w:rsid w:val="00090C7B"/>
    <w:rsid w:val="000972C7"/>
    <w:rsid w:val="000A35D1"/>
    <w:rsid w:val="000C16D5"/>
    <w:rsid w:val="000D0E61"/>
    <w:rsid w:val="000F03D5"/>
    <w:rsid w:val="00103CAF"/>
    <w:rsid w:val="00133826"/>
    <w:rsid w:val="00134F16"/>
    <w:rsid w:val="00166B86"/>
    <w:rsid w:val="001734CC"/>
    <w:rsid w:val="00183B8F"/>
    <w:rsid w:val="0019393D"/>
    <w:rsid w:val="0019649C"/>
    <w:rsid w:val="001A3E2C"/>
    <w:rsid w:val="001A58CC"/>
    <w:rsid w:val="001B7161"/>
    <w:rsid w:val="001C0F81"/>
    <w:rsid w:val="001D2BCF"/>
    <w:rsid w:val="001D4A1B"/>
    <w:rsid w:val="001D4A56"/>
    <w:rsid w:val="00221CD0"/>
    <w:rsid w:val="00232570"/>
    <w:rsid w:val="00232828"/>
    <w:rsid w:val="00233A37"/>
    <w:rsid w:val="0024427A"/>
    <w:rsid w:val="00255071"/>
    <w:rsid w:val="00260EBE"/>
    <w:rsid w:val="002659D5"/>
    <w:rsid w:val="00266C57"/>
    <w:rsid w:val="00267680"/>
    <w:rsid w:val="002761B8"/>
    <w:rsid w:val="002774F4"/>
    <w:rsid w:val="00280FBA"/>
    <w:rsid w:val="00292490"/>
    <w:rsid w:val="00294B17"/>
    <w:rsid w:val="002B3069"/>
    <w:rsid w:val="002D3DF3"/>
    <w:rsid w:val="002F0CE5"/>
    <w:rsid w:val="002F46AC"/>
    <w:rsid w:val="003035ED"/>
    <w:rsid w:val="00327046"/>
    <w:rsid w:val="003547E1"/>
    <w:rsid w:val="003753CF"/>
    <w:rsid w:val="00386FC7"/>
    <w:rsid w:val="00395BAE"/>
    <w:rsid w:val="003C3698"/>
    <w:rsid w:val="003F3B30"/>
    <w:rsid w:val="0041761D"/>
    <w:rsid w:val="00424BDC"/>
    <w:rsid w:val="0042772C"/>
    <w:rsid w:val="00430568"/>
    <w:rsid w:val="00460962"/>
    <w:rsid w:val="00467768"/>
    <w:rsid w:val="004754BD"/>
    <w:rsid w:val="00480EA9"/>
    <w:rsid w:val="00494980"/>
    <w:rsid w:val="004B29B2"/>
    <w:rsid w:val="004C60AF"/>
    <w:rsid w:val="004E7484"/>
    <w:rsid w:val="0051462F"/>
    <w:rsid w:val="0052638A"/>
    <w:rsid w:val="005351EB"/>
    <w:rsid w:val="00544B2B"/>
    <w:rsid w:val="0054715F"/>
    <w:rsid w:val="00555549"/>
    <w:rsid w:val="00556E36"/>
    <w:rsid w:val="00573CDD"/>
    <w:rsid w:val="00593CC2"/>
    <w:rsid w:val="00597170"/>
    <w:rsid w:val="005B3950"/>
    <w:rsid w:val="005C0505"/>
    <w:rsid w:val="005D569F"/>
    <w:rsid w:val="005E23F9"/>
    <w:rsid w:val="005F3F7A"/>
    <w:rsid w:val="00607C17"/>
    <w:rsid w:val="00615C72"/>
    <w:rsid w:val="00636C69"/>
    <w:rsid w:val="00647CB3"/>
    <w:rsid w:val="0065230A"/>
    <w:rsid w:val="00652C07"/>
    <w:rsid w:val="006619D7"/>
    <w:rsid w:val="00673D8A"/>
    <w:rsid w:val="006775DC"/>
    <w:rsid w:val="00677FC9"/>
    <w:rsid w:val="006A0DE6"/>
    <w:rsid w:val="006E07C2"/>
    <w:rsid w:val="006E0C52"/>
    <w:rsid w:val="006E3B1D"/>
    <w:rsid w:val="006F0C0C"/>
    <w:rsid w:val="00701C41"/>
    <w:rsid w:val="00703690"/>
    <w:rsid w:val="00706A38"/>
    <w:rsid w:val="00721A69"/>
    <w:rsid w:val="00725A0E"/>
    <w:rsid w:val="00735B69"/>
    <w:rsid w:val="007420CF"/>
    <w:rsid w:val="007420E6"/>
    <w:rsid w:val="007546B2"/>
    <w:rsid w:val="00756863"/>
    <w:rsid w:val="007726F5"/>
    <w:rsid w:val="00783481"/>
    <w:rsid w:val="00786B44"/>
    <w:rsid w:val="007901F9"/>
    <w:rsid w:val="00795C75"/>
    <w:rsid w:val="007A6E41"/>
    <w:rsid w:val="007C6B7C"/>
    <w:rsid w:val="008048F0"/>
    <w:rsid w:val="008066FE"/>
    <w:rsid w:val="00821C6D"/>
    <w:rsid w:val="00822FB1"/>
    <w:rsid w:val="00852B38"/>
    <w:rsid w:val="00853A46"/>
    <w:rsid w:val="00854104"/>
    <w:rsid w:val="008652B0"/>
    <w:rsid w:val="008739DD"/>
    <w:rsid w:val="00880BB8"/>
    <w:rsid w:val="00886193"/>
    <w:rsid w:val="00894775"/>
    <w:rsid w:val="008A17F7"/>
    <w:rsid w:val="008C6C8A"/>
    <w:rsid w:val="008D504B"/>
    <w:rsid w:val="008D7F05"/>
    <w:rsid w:val="0090706F"/>
    <w:rsid w:val="009118DC"/>
    <w:rsid w:val="009134D4"/>
    <w:rsid w:val="009362BA"/>
    <w:rsid w:val="00937358"/>
    <w:rsid w:val="0094572F"/>
    <w:rsid w:val="0094684B"/>
    <w:rsid w:val="009740BE"/>
    <w:rsid w:val="00990A7A"/>
    <w:rsid w:val="0099529E"/>
    <w:rsid w:val="009A0A03"/>
    <w:rsid w:val="009A12C9"/>
    <w:rsid w:val="009B6A18"/>
    <w:rsid w:val="009D4367"/>
    <w:rsid w:val="009D7B29"/>
    <w:rsid w:val="009E2C8A"/>
    <w:rsid w:val="009E413A"/>
    <w:rsid w:val="009F20EF"/>
    <w:rsid w:val="009F38DB"/>
    <w:rsid w:val="00A14F45"/>
    <w:rsid w:val="00A21E31"/>
    <w:rsid w:val="00A35DEA"/>
    <w:rsid w:val="00A3672C"/>
    <w:rsid w:val="00A403DC"/>
    <w:rsid w:val="00A41D35"/>
    <w:rsid w:val="00A52E3B"/>
    <w:rsid w:val="00A61FD1"/>
    <w:rsid w:val="00A75508"/>
    <w:rsid w:val="00A756D4"/>
    <w:rsid w:val="00A75D64"/>
    <w:rsid w:val="00A81295"/>
    <w:rsid w:val="00A86424"/>
    <w:rsid w:val="00A86EFD"/>
    <w:rsid w:val="00A923D2"/>
    <w:rsid w:val="00AA134F"/>
    <w:rsid w:val="00AA44C3"/>
    <w:rsid w:val="00AB7423"/>
    <w:rsid w:val="00AC1092"/>
    <w:rsid w:val="00AC4940"/>
    <w:rsid w:val="00AD51F6"/>
    <w:rsid w:val="00AD5C85"/>
    <w:rsid w:val="00B168F8"/>
    <w:rsid w:val="00B21D96"/>
    <w:rsid w:val="00B40D85"/>
    <w:rsid w:val="00B422AF"/>
    <w:rsid w:val="00B67654"/>
    <w:rsid w:val="00B74282"/>
    <w:rsid w:val="00B77010"/>
    <w:rsid w:val="00BA712D"/>
    <w:rsid w:val="00BC39D5"/>
    <w:rsid w:val="00BC3FDA"/>
    <w:rsid w:val="00BE0A0D"/>
    <w:rsid w:val="00BF32A1"/>
    <w:rsid w:val="00BF39C3"/>
    <w:rsid w:val="00C02977"/>
    <w:rsid w:val="00C05CC8"/>
    <w:rsid w:val="00C07E4B"/>
    <w:rsid w:val="00C24691"/>
    <w:rsid w:val="00C264E8"/>
    <w:rsid w:val="00C26CB4"/>
    <w:rsid w:val="00C26E6D"/>
    <w:rsid w:val="00C3273E"/>
    <w:rsid w:val="00C336F6"/>
    <w:rsid w:val="00C51DB3"/>
    <w:rsid w:val="00C539CE"/>
    <w:rsid w:val="00C6290C"/>
    <w:rsid w:val="00C643E6"/>
    <w:rsid w:val="00C82355"/>
    <w:rsid w:val="00C8666C"/>
    <w:rsid w:val="00CB38D4"/>
    <w:rsid w:val="00CB3C6D"/>
    <w:rsid w:val="00CC48A2"/>
    <w:rsid w:val="00CD26E7"/>
    <w:rsid w:val="00CE0704"/>
    <w:rsid w:val="00CE2B88"/>
    <w:rsid w:val="00CE3843"/>
    <w:rsid w:val="00CE3E01"/>
    <w:rsid w:val="00CE456B"/>
    <w:rsid w:val="00CF469B"/>
    <w:rsid w:val="00D07195"/>
    <w:rsid w:val="00D47B31"/>
    <w:rsid w:val="00D54543"/>
    <w:rsid w:val="00D550A4"/>
    <w:rsid w:val="00D6720B"/>
    <w:rsid w:val="00D71870"/>
    <w:rsid w:val="00D90619"/>
    <w:rsid w:val="00DB2797"/>
    <w:rsid w:val="00DC5BC7"/>
    <w:rsid w:val="00DD0BFC"/>
    <w:rsid w:val="00DD1295"/>
    <w:rsid w:val="00DD4716"/>
    <w:rsid w:val="00DE0596"/>
    <w:rsid w:val="00DF6DF1"/>
    <w:rsid w:val="00E249CA"/>
    <w:rsid w:val="00E26472"/>
    <w:rsid w:val="00E27E91"/>
    <w:rsid w:val="00E3354C"/>
    <w:rsid w:val="00E36DF8"/>
    <w:rsid w:val="00E40E46"/>
    <w:rsid w:val="00E47C4E"/>
    <w:rsid w:val="00E528C9"/>
    <w:rsid w:val="00E529F0"/>
    <w:rsid w:val="00E608CB"/>
    <w:rsid w:val="00E70B50"/>
    <w:rsid w:val="00E71E97"/>
    <w:rsid w:val="00E85457"/>
    <w:rsid w:val="00E914A7"/>
    <w:rsid w:val="00E94759"/>
    <w:rsid w:val="00E958E2"/>
    <w:rsid w:val="00E95D38"/>
    <w:rsid w:val="00EA0DB8"/>
    <w:rsid w:val="00EA2FEA"/>
    <w:rsid w:val="00EC2F61"/>
    <w:rsid w:val="00EC3786"/>
    <w:rsid w:val="00EC3B80"/>
    <w:rsid w:val="00ED41FA"/>
    <w:rsid w:val="00EE43F1"/>
    <w:rsid w:val="00EF02E5"/>
    <w:rsid w:val="00EF48D9"/>
    <w:rsid w:val="00F263BB"/>
    <w:rsid w:val="00F352E6"/>
    <w:rsid w:val="00F41573"/>
    <w:rsid w:val="00F61CD5"/>
    <w:rsid w:val="00F86617"/>
    <w:rsid w:val="00F92536"/>
    <w:rsid w:val="00FA3692"/>
    <w:rsid w:val="00FA39E1"/>
    <w:rsid w:val="00FC72AA"/>
    <w:rsid w:val="00FE21AA"/>
    <w:rsid w:val="00FE6DF9"/>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95"/>
    <w:rPr>
      <w:rFonts w:ascii="Arial" w:hAnsi="Arial"/>
      <w:sz w:val="23"/>
    </w:rPr>
  </w:style>
  <w:style w:type="paragraph" w:styleId="Heading1">
    <w:name w:val="heading 1"/>
    <w:basedOn w:val="Normal"/>
    <w:next w:val="Normal"/>
    <w:link w:val="Heading1Char"/>
    <w:autoRedefine/>
    <w:uiPriority w:val="9"/>
    <w:qFormat/>
    <w:rsid w:val="007420E6"/>
    <w:pPr>
      <w:keepNext/>
      <w:spacing w:before="360" w:after="240"/>
      <w:jc w:val="center"/>
      <w:outlineLvl w:val="0"/>
    </w:pPr>
    <w:rPr>
      <w:rFonts w:ascii="Times New Roman" w:hAnsi="Times New Roman"/>
      <w:b/>
      <w:bCs/>
      <w:kern w:val="32"/>
      <w:sz w:val="24"/>
      <w:szCs w:val="24"/>
    </w:rPr>
  </w:style>
  <w:style w:type="paragraph" w:styleId="Heading2">
    <w:name w:val="heading 2"/>
    <w:basedOn w:val="Normal"/>
    <w:next w:val="Normal"/>
    <w:link w:val="Heading2Char"/>
    <w:autoRedefine/>
    <w:uiPriority w:val="9"/>
    <w:unhideWhenUsed/>
    <w:qFormat/>
    <w:rsid w:val="007420E6"/>
    <w:pPr>
      <w:keepNext/>
      <w:spacing w:before="360" w:after="240"/>
      <w:ind w:left="1440" w:right="720" w:hanging="720"/>
      <w:outlineLvl w:val="1"/>
    </w:pPr>
    <w:rPr>
      <w:rFonts w:ascii="Times New Roman" w:hAnsi="Times New Roman"/>
      <w:b/>
      <w:bCs/>
      <w:iCs/>
      <w:sz w:val="26"/>
      <w:szCs w:val="28"/>
    </w:rPr>
  </w:style>
  <w:style w:type="paragraph" w:styleId="Heading7">
    <w:name w:val="heading 7"/>
    <w:basedOn w:val="Normal"/>
    <w:next w:val="Normal"/>
    <w:link w:val="Heading7Char"/>
    <w:qFormat/>
    <w:rsid w:val="00C51DB3"/>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51DB3"/>
    <w:rPr>
      <w:rFonts w:ascii="Arial" w:eastAsia="Times New Roman" w:hAnsi="Arial" w:cs="Arial"/>
      <w:b/>
      <w:sz w:val="24"/>
      <w:szCs w:val="24"/>
    </w:rPr>
  </w:style>
  <w:style w:type="paragraph" w:customStyle="1" w:styleId="PARA-NORM">
    <w:name w:val="PARA-NORM"/>
    <w:basedOn w:val="Normal"/>
    <w:rsid w:val="00C51DB3"/>
    <w:pPr>
      <w:overflowPunct w:val="0"/>
      <w:autoSpaceDE w:val="0"/>
      <w:autoSpaceDN w:val="0"/>
      <w:adjustRightInd w:val="0"/>
      <w:spacing w:before="240" w:line="480" w:lineRule="auto"/>
      <w:jc w:val="both"/>
      <w:textAlignment w:val="baseline"/>
    </w:pPr>
    <w:rPr>
      <w:rFonts w:ascii="CG Times" w:hAnsi="CG Times"/>
      <w:sz w:val="24"/>
    </w:rPr>
  </w:style>
  <w:style w:type="paragraph" w:styleId="FootnoteText">
    <w:name w:val="footnote text"/>
    <w:basedOn w:val="Normal"/>
    <w:link w:val="FootnoteTextChar"/>
    <w:autoRedefine/>
    <w:uiPriority w:val="99"/>
    <w:unhideWhenUsed/>
    <w:rsid w:val="00DD1295"/>
    <w:pPr>
      <w:spacing w:before="240" w:after="240"/>
      <w:ind w:left="720" w:hanging="720"/>
    </w:pPr>
    <w:rPr>
      <w:rFonts w:ascii="Times New Roman" w:hAnsi="Times New Roman"/>
      <w:sz w:val="24"/>
    </w:rPr>
  </w:style>
  <w:style w:type="character" w:customStyle="1" w:styleId="FootnoteTextChar">
    <w:name w:val="Footnote Text Char"/>
    <w:link w:val="FootnoteText"/>
    <w:uiPriority w:val="99"/>
    <w:rsid w:val="00DD1295"/>
    <w:rPr>
      <w:rFonts w:ascii="Times New Roman" w:hAnsi="Times New Roman"/>
      <w:sz w:val="24"/>
    </w:rPr>
  </w:style>
  <w:style w:type="character" w:styleId="FootnoteReference">
    <w:name w:val="footnote reference"/>
    <w:uiPriority w:val="99"/>
    <w:semiHidden/>
    <w:unhideWhenUsed/>
    <w:rsid w:val="00597170"/>
    <w:rPr>
      <w:vertAlign w:val="superscript"/>
    </w:rPr>
  </w:style>
  <w:style w:type="paragraph" w:styleId="Header">
    <w:name w:val="header"/>
    <w:basedOn w:val="Normal"/>
    <w:link w:val="HeaderChar"/>
    <w:uiPriority w:val="99"/>
    <w:unhideWhenUsed/>
    <w:rsid w:val="00C539CE"/>
    <w:pPr>
      <w:tabs>
        <w:tab w:val="center" w:pos="4680"/>
        <w:tab w:val="right" w:pos="9360"/>
      </w:tabs>
    </w:pPr>
  </w:style>
  <w:style w:type="character" w:customStyle="1" w:styleId="HeaderChar">
    <w:name w:val="Header Char"/>
    <w:link w:val="Header"/>
    <w:uiPriority w:val="99"/>
    <w:rsid w:val="00C539CE"/>
    <w:rPr>
      <w:rFonts w:ascii="Arial" w:hAnsi="Arial"/>
      <w:sz w:val="23"/>
    </w:rPr>
  </w:style>
  <w:style w:type="paragraph" w:styleId="Footer">
    <w:name w:val="footer"/>
    <w:basedOn w:val="Normal"/>
    <w:link w:val="FooterChar"/>
    <w:uiPriority w:val="99"/>
    <w:unhideWhenUsed/>
    <w:rsid w:val="00C539CE"/>
    <w:pPr>
      <w:tabs>
        <w:tab w:val="center" w:pos="4680"/>
        <w:tab w:val="right" w:pos="9360"/>
      </w:tabs>
    </w:pPr>
  </w:style>
  <w:style w:type="character" w:customStyle="1" w:styleId="FooterChar">
    <w:name w:val="Footer Char"/>
    <w:link w:val="Footer"/>
    <w:uiPriority w:val="99"/>
    <w:rsid w:val="00C539CE"/>
    <w:rPr>
      <w:rFonts w:ascii="Arial" w:hAnsi="Arial"/>
      <w:sz w:val="23"/>
    </w:rPr>
  </w:style>
  <w:style w:type="paragraph" w:styleId="BalloonText">
    <w:name w:val="Balloon Text"/>
    <w:basedOn w:val="Normal"/>
    <w:link w:val="BalloonTextChar"/>
    <w:uiPriority w:val="99"/>
    <w:semiHidden/>
    <w:unhideWhenUsed/>
    <w:rsid w:val="00C539CE"/>
    <w:rPr>
      <w:rFonts w:ascii="Tahoma" w:hAnsi="Tahoma"/>
      <w:sz w:val="16"/>
      <w:szCs w:val="16"/>
    </w:rPr>
  </w:style>
  <w:style w:type="character" w:customStyle="1" w:styleId="BalloonTextChar">
    <w:name w:val="Balloon Text Char"/>
    <w:link w:val="BalloonText"/>
    <w:uiPriority w:val="99"/>
    <w:semiHidden/>
    <w:rsid w:val="00C539CE"/>
    <w:rPr>
      <w:rFonts w:ascii="Tahoma" w:hAnsi="Tahoma" w:cs="Tahoma"/>
      <w:sz w:val="16"/>
      <w:szCs w:val="16"/>
    </w:rPr>
  </w:style>
  <w:style w:type="paragraph" w:customStyle="1" w:styleId="Textstyle">
    <w:name w:val="Text style"/>
    <w:basedOn w:val="Normal"/>
    <w:link w:val="TextstyleChar"/>
    <w:autoRedefine/>
    <w:rsid w:val="00DD1295"/>
    <w:pPr>
      <w:tabs>
        <w:tab w:val="left" w:pos="720"/>
      </w:tabs>
      <w:spacing w:line="480" w:lineRule="auto"/>
    </w:pPr>
    <w:rPr>
      <w:rFonts w:ascii="Times New Roman" w:hAnsi="Times New Roman"/>
      <w:sz w:val="26"/>
      <w:szCs w:val="24"/>
    </w:rPr>
  </w:style>
  <w:style w:type="character" w:customStyle="1" w:styleId="TextstyleChar">
    <w:name w:val="Text style Char"/>
    <w:link w:val="Textstyle"/>
    <w:rsid w:val="00DD1295"/>
    <w:rPr>
      <w:rFonts w:ascii="Times New Roman" w:hAnsi="Times New Roman"/>
      <w:sz w:val="26"/>
      <w:szCs w:val="24"/>
    </w:rPr>
  </w:style>
  <w:style w:type="paragraph" w:styleId="BodyTextIndent2">
    <w:name w:val="Body Text Indent 2"/>
    <w:basedOn w:val="Normal"/>
    <w:link w:val="BodyTextIndent2Char"/>
    <w:rsid w:val="00EC2F61"/>
    <w:pPr>
      <w:ind w:left="3600" w:hanging="90"/>
    </w:pPr>
    <w:rPr>
      <w:rFonts w:ascii="Times New Roman" w:hAnsi="Times New Roman"/>
      <w:sz w:val="24"/>
    </w:rPr>
  </w:style>
  <w:style w:type="character" w:customStyle="1" w:styleId="BodyTextIndent2Char">
    <w:name w:val="Body Text Indent 2 Char"/>
    <w:link w:val="BodyTextIndent2"/>
    <w:rsid w:val="00EC2F61"/>
    <w:rPr>
      <w:rFonts w:ascii="Times New Roman" w:hAnsi="Times New Roman"/>
      <w:sz w:val="24"/>
    </w:rPr>
  </w:style>
  <w:style w:type="character" w:styleId="CommentReference">
    <w:name w:val="annotation reference"/>
    <w:uiPriority w:val="99"/>
    <w:semiHidden/>
    <w:unhideWhenUsed/>
    <w:rsid w:val="00A3672C"/>
    <w:rPr>
      <w:sz w:val="16"/>
      <w:szCs w:val="16"/>
    </w:rPr>
  </w:style>
  <w:style w:type="paragraph" w:styleId="CommentText">
    <w:name w:val="annotation text"/>
    <w:basedOn w:val="Normal"/>
    <w:link w:val="CommentTextChar"/>
    <w:uiPriority w:val="99"/>
    <w:semiHidden/>
    <w:unhideWhenUsed/>
    <w:rsid w:val="00A3672C"/>
    <w:rPr>
      <w:sz w:val="20"/>
    </w:rPr>
  </w:style>
  <w:style w:type="character" w:customStyle="1" w:styleId="CommentTextChar">
    <w:name w:val="Comment Text Char"/>
    <w:link w:val="CommentText"/>
    <w:uiPriority w:val="99"/>
    <w:semiHidden/>
    <w:rsid w:val="00A3672C"/>
    <w:rPr>
      <w:rFonts w:ascii="Arial" w:hAnsi="Arial"/>
    </w:rPr>
  </w:style>
  <w:style w:type="paragraph" w:styleId="CommentSubject">
    <w:name w:val="annotation subject"/>
    <w:basedOn w:val="CommentText"/>
    <w:next w:val="CommentText"/>
    <w:link w:val="CommentSubjectChar"/>
    <w:uiPriority w:val="99"/>
    <w:semiHidden/>
    <w:unhideWhenUsed/>
    <w:rsid w:val="00A3672C"/>
    <w:rPr>
      <w:b/>
      <w:bCs/>
    </w:rPr>
  </w:style>
  <w:style w:type="character" w:customStyle="1" w:styleId="CommentSubjectChar">
    <w:name w:val="Comment Subject Char"/>
    <w:link w:val="CommentSubject"/>
    <w:uiPriority w:val="99"/>
    <w:semiHidden/>
    <w:rsid w:val="00A3672C"/>
    <w:rPr>
      <w:rFonts w:ascii="Arial" w:hAnsi="Arial"/>
      <w:b/>
      <w:bCs/>
    </w:rPr>
  </w:style>
  <w:style w:type="character" w:customStyle="1" w:styleId="Heading1Char">
    <w:name w:val="Heading 1 Char"/>
    <w:link w:val="Heading1"/>
    <w:uiPriority w:val="9"/>
    <w:rsid w:val="007420E6"/>
    <w:rPr>
      <w:rFonts w:ascii="Times New Roman" w:hAnsi="Times New Roman"/>
      <w:b/>
      <w:bCs/>
      <w:kern w:val="32"/>
      <w:sz w:val="24"/>
      <w:szCs w:val="24"/>
    </w:rPr>
  </w:style>
  <w:style w:type="character" w:styleId="Hyperlink">
    <w:name w:val="Hyperlink"/>
    <w:uiPriority w:val="99"/>
    <w:unhideWhenUsed/>
    <w:rsid w:val="00821C6D"/>
    <w:rPr>
      <w:color w:val="0000FF"/>
      <w:u w:val="single"/>
    </w:rPr>
  </w:style>
  <w:style w:type="table" w:styleId="TableGrid">
    <w:name w:val="Table Grid"/>
    <w:basedOn w:val="TableNormal"/>
    <w:uiPriority w:val="59"/>
    <w:rsid w:val="0074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420E6"/>
    <w:rPr>
      <w:rFonts w:ascii="Times New Roman" w:eastAsia="Times New Roman" w:hAnsi="Times New Roman" w:cs="Times New Roman"/>
      <w:b/>
      <w:bCs/>
      <w:iCs/>
      <w:sz w:val="26"/>
      <w:szCs w:val="28"/>
    </w:rPr>
  </w:style>
  <w:style w:type="paragraph" w:styleId="TOC1">
    <w:name w:val="toc 1"/>
    <w:basedOn w:val="Normal"/>
    <w:next w:val="Normal"/>
    <w:autoRedefine/>
    <w:uiPriority w:val="39"/>
    <w:unhideWhenUsed/>
    <w:rsid w:val="009118DC"/>
    <w:pPr>
      <w:tabs>
        <w:tab w:val="right" w:leader="dot" w:pos="9346"/>
      </w:tabs>
      <w:spacing w:before="240" w:after="240"/>
      <w:ind w:left="720" w:hanging="720"/>
    </w:pPr>
    <w:rPr>
      <w:rFonts w:ascii="Times New Roman" w:hAnsi="Times New Roman"/>
      <w:sz w:val="26"/>
    </w:rPr>
  </w:style>
  <w:style w:type="paragraph" w:styleId="TOC2">
    <w:name w:val="toc 2"/>
    <w:basedOn w:val="Normal"/>
    <w:next w:val="Normal"/>
    <w:autoRedefine/>
    <w:uiPriority w:val="39"/>
    <w:unhideWhenUsed/>
    <w:rsid w:val="009118DC"/>
    <w:pPr>
      <w:tabs>
        <w:tab w:val="right" w:leader="dot" w:pos="9350"/>
      </w:tabs>
      <w:spacing w:before="240" w:after="240"/>
      <w:ind w:left="1440" w:right="1440" w:hanging="720"/>
    </w:pPr>
    <w:rPr>
      <w:rFonts w:ascii="Times New Roman" w:hAnsi="Times New Roman"/>
      <w:sz w:val="26"/>
    </w:rPr>
  </w:style>
  <w:style w:type="paragraph" w:customStyle="1" w:styleId="Blockquote">
    <w:name w:val="Block quote"/>
    <w:basedOn w:val="Normal"/>
    <w:rsid w:val="00DD1295"/>
    <w:pPr>
      <w:spacing w:after="240"/>
      <w:ind w:left="1440" w:right="144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9E59-577C-4DCA-AD87-831FC2BC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14387</CharactersWithSpaces>
  <SharedDoc>false</SharedDoc>
  <HLinks>
    <vt:vector size="6" baseType="variant">
      <vt:variant>
        <vt:i4>7929874</vt:i4>
      </vt:variant>
      <vt:variant>
        <vt:i4>27</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2012-07-26T11:53:00Z</dcterms:created>
  <dcterms:modified xsi:type="dcterms:W3CDTF">2012-07-30T20:26:00Z</dcterms:modified>
</cp:coreProperties>
</file>