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6D2B7" w14:textId="77777777" w:rsidR="00545F29" w:rsidRPr="00514B39" w:rsidRDefault="0056270F" w:rsidP="00514B39">
      <w:pPr>
        <w:widowControl w:val="0"/>
        <w:spacing w:after="0"/>
        <w:jc w:val="center"/>
        <w:rPr>
          <w:rFonts w:ascii="Arial" w:hAnsi="Arial" w:cs="Arial"/>
          <w:b/>
        </w:rPr>
      </w:pPr>
      <w:r w:rsidRPr="00514B39">
        <w:rPr>
          <w:rFonts w:ascii="Arial" w:hAnsi="Arial" w:cs="Arial"/>
          <w:b/>
        </w:rPr>
        <w:t>THE PUBLIC UTILITIES COMMISSION OF OHIO</w:t>
      </w:r>
    </w:p>
    <w:tbl>
      <w:tblPr>
        <w:tblW w:w="0" w:type="auto"/>
        <w:jc w:val="center"/>
        <w:tblLook w:val="01E0" w:firstRow="1" w:lastRow="1" w:firstColumn="1" w:lastColumn="1" w:noHBand="0" w:noVBand="0"/>
      </w:tblPr>
      <w:tblGrid>
        <w:gridCol w:w="4739"/>
        <w:gridCol w:w="630"/>
        <w:gridCol w:w="3928"/>
      </w:tblGrid>
      <w:tr w:rsidR="00BE3B88" w:rsidRPr="00514B39" w14:paraId="7176D2C6" w14:textId="77777777">
        <w:trPr>
          <w:trHeight w:val="873"/>
          <w:jc w:val="center"/>
        </w:trPr>
        <w:tc>
          <w:tcPr>
            <w:tcW w:w="4739" w:type="dxa"/>
          </w:tcPr>
          <w:p w14:paraId="614A7EEA" w14:textId="4A7C929C" w:rsidR="00BE3B88" w:rsidRPr="00514B39" w:rsidRDefault="00C81C96" w:rsidP="00514B39">
            <w:pPr>
              <w:spacing w:after="0" w:line="240" w:lineRule="auto"/>
              <w:rPr>
                <w:rFonts w:ascii="Arial" w:hAnsi="Arial" w:cs="Arial"/>
              </w:rPr>
            </w:pPr>
            <w:r w:rsidRPr="00514B39">
              <w:rPr>
                <w:rFonts w:ascii="Arial" w:hAnsi="Arial" w:cs="Arial"/>
              </w:rPr>
              <w:t xml:space="preserve">In the Matter of the Application of Duke Energy Ohio, Inc. for an Increase in Electric Distribution Rates. </w:t>
            </w:r>
          </w:p>
          <w:p w14:paraId="7AECBC24" w14:textId="77777777" w:rsidR="00C81C96" w:rsidRPr="00514B39" w:rsidRDefault="00C81C96" w:rsidP="00514B39">
            <w:pPr>
              <w:spacing w:after="0" w:line="240" w:lineRule="auto"/>
              <w:rPr>
                <w:rFonts w:ascii="Arial" w:hAnsi="Arial" w:cs="Arial"/>
              </w:rPr>
            </w:pPr>
          </w:p>
          <w:p w14:paraId="79BB3CED" w14:textId="3EAEC575" w:rsidR="00C81C96" w:rsidRPr="00514B39" w:rsidRDefault="00C81C96" w:rsidP="00514B39">
            <w:pPr>
              <w:autoSpaceDE w:val="0"/>
              <w:autoSpaceDN w:val="0"/>
              <w:adjustRightInd w:val="0"/>
              <w:spacing w:after="0" w:line="240" w:lineRule="auto"/>
              <w:rPr>
                <w:rFonts w:ascii="Arial" w:hAnsi="Arial" w:cs="Arial"/>
              </w:rPr>
            </w:pPr>
            <w:r w:rsidRPr="00514B39">
              <w:rPr>
                <w:rFonts w:ascii="Arial" w:hAnsi="Arial" w:cs="Arial"/>
              </w:rPr>
              <w:t>In the Matter of</w:t>
            </w:r>
            <w:r w:rsidR="00ED1193" w:rsidRPr="00514B39">
              <w:rPr>
                <w:rFonts w:ascii="Arial" w:hAnsi="Arial" w:cs="Arial"/>
              </w:rPr>
              <w:t xml:space="preserve"> the</w:t>
            </w:r>
            <w:r w:rsidRPr="00514B39">
              <w:rPr>
                <w:rFonts w:ascii="Arial" w:hAnsi="Arial" w:cs="Arial"/>
              </w:rPr>
              <w:t xml:space="preserve"> Application of Duke Energy Ohio, Inc. for Tariff Approval.</w:t>
            </w:r>
          </w:p>
          <w:p w14:paraId="3F31B33D" w14:textId="77777777" w:rsidR="00C81C96" w:rsidRPr="00514B39" w:rsidRDefault="00C81C96" w:rsidP="00514B39">
            <w:pPr>
              <w:autoSpaceDE w:val="0"/>
              <w:autoSpaceDN w:val="0"/>
              <w:adjustRightInd w:val="0"/>
              <w:spacing w:after="0" w:line="240" w:lineRule="auto"/>
              <w:rPr>
                <w:rFonts w:ascii="Arial" w:hAnsi="Arial" w:cs="Arial"/>
              </w:rPr>
            </w:pPr>
            <w:bookmarkStart w:id="0" w:name="_GoBack"/>
            <w:bookmarkEnd w:id="0"/>
          </w:p>
          <w:p w14:paraId="7176D2BB" w14:textId="59727397" w:rsidR="00BE3B88" w:rsidRPr="00514B39" w:rsidRDefault="00C81C96" w:rsidP="00514B39">
            <w:pPr>
              <w:autoSpaceDE w:val="0"/>
              <w:autoSpaceDN w:val="0"/>
              <w:adjustRightInd w:val="0"/>
              <w:spacing w:after="0" w:line="240" w:lineRule="auto"/>
              <w:rPr>
                <w:rFonts w:ascii="Arial" w:hAnsi="Arial" w:cs="Arial"/>
              </w:rPr>
            </w:pPr>
            <w:r w:rsidRPr="00514B39">
              <w:rPr>
                <w:rFonts w:ascii="Arial" w:hAnsi="Arial" w:cs="Arial"/>
              </w:rPr>
              <w:t xml:space="preserve">In the Matter of the Application of Duke Energy Ohio, Inc. for Approval to Change Accounting Methods. </w:t>
            </w:r>
          </w:p>
        </w:tc>
        <w:tc>
          <w:tcPr>
            <w:tcW w:w="630" w:type="dxa"/>
          </w:tcPr>
          <w:p w14:paraId="7EA031CF" w14:textId="77777777" w:rsidR="00BE3B88" w:rsidRPr="00514B39" w:rsidRDefault="00BE3B88" w:rsidP="00514B39">
            <w:pPr>
              <w:widowControl w:val="0"/>
              <w:spacing w:after="0" w:line="240" w:lineRule="auto"/>
              <w:jc w:val="center"/>
              <w:rPr>
                <w:rFonts w:ascii="Arial" w:hAnsi="Arial" w:cs="Arial"/>
              </w:rPr>
            </w:pPr>
            <w:r w:rsidRPr="00514B39">
              <w:rPr>
                <w:rFonts w:ascii="Arial" w:hAnsi="Arial" w:cs="Arial"/>
              </w:rPr>
              <w:t>)</w:t>
            </w:r>
          </w:p>
          <w:p w14:paraId="62A3CAC2" w14:textId="77777777" w:rsidR="00BE3B88" w:rsidRPr="00514B39" w:rsidRDefault="00BE3B88" w:rsidP="00514B39">
            <w:pPr>
              <w:widowControl w:val="0"/>
              <w:spacing w:after="0" w:line="240" w:lineRule="auto"/>
              <w:jc w:val="center"/>
              <w:rPr>
                <w:rFonts w:ascii="Arial" w:hAnsi="Arial" w:cs="Arial"/>
              </w:rPr>
            </w:pPr>
            <w:r w:rsidRPr="00514B39">
              <w:rPr>
                <w:rFonts w:ascii="Arial" w:hAnsi="Arial" w:cs="Arial"/>
              </w:rPr>
              <w:t>)</w:t>
            </w:r>
          </w:p>
          <w:p w14:paraId="40A66F49" w14:textId="77777777" w:rsidR="00BE3B88" w:rsidRPr="00514B39" w:rsidRDefault="00BE3B88" w:rsidP="00514B39">
            <w:pPr>
              <w:widowControl w:val="0"/>
              <w:spacing w:after="0" w:line="240" w:lineRule="auto"/>
              <w:jc w:val="center"/>
              <w:rPr>
                <w:rFonts w:ascii="Arial" w:hAnsi="Arial" w:cs="Arial"/>
              </w:rPr>
            </w:pPr>
            <w:r w:rsidRPr="00514B39">
              <w:rPr>
                <w:rFonts w:ascii="Arial" w:hAnsi="Arial" w:cs="Arial"/>
              </w:rPr>
              <w:t>)</w:t>
            </w:r>
          </w:p>
          <w:p w14:paraId="4C081232" w14:textId="07CABFF1" w:rsidR="00BE3B88" w:rsidRPr="00514B39" w:rsidRDefault="00BE3B88" w:rsidP="00514B39">
            <w:pPr>
              <w:widowControl w:val="0"/>
              <w:spacing w:after="0" w:line="240" w:lineRule="auto"/>
              <w:jc w:val="center"/>
              <w:rPr>
                <w:rFonts w:ascii="Arial" w:hAnsi="Arial" w:cs="Arial"/>
              </w:rPr>
            </w:pPr>
          </w:p>
          <w:p w14:paraId="6CAED75C" w14:textId="77777777" w:rsidR="00BE3B88" w:rsidRPr="00514B39" w:rsidRDefault="00BE3B88" w:rsidP="00514B39">
            <w:pPr>
              <w:widowControl w:val="0"/>
              <w:spacing w:after="0" w:line="240" w:lineRule="auto"/>
              <w:jc w:val="center"/>
              <w:rPr>
                <w:rFonts w:ascii="Arial" w:hAnsi="Arial" w:cs="Arial"/>
              </w:rPr>
            </w:pPr>
            <w:r w:rsidRPr="00514B39">
              <w:rPr>
                <w:rFonts w:ascii="Arial" w:hAnsi="Arial" w:cs="Arial"/>
              </w:rPr>
              <w:t>)</w:t>
            </w:r>
          </w:p>
          <w:p w14:paraId="0A88E467" w14:textId="77777777" w:rsidR="00BE3B88" w:rsidRPr="00514B39" w:rsidRDefault="00BE3B88" w:rsidP="00514B39">
            <w:pPr>
              <w:widowControl w:val="0"/>
              <w:spacing w:after="0" w:line="240" w:lineRule="auto"/>
              <w:jc w:val="center"/>
              <w:rPr>
                <w:rFonts w:ascii="Arial" w:hAnsi="Arial" w:cs="Arial"/>
              </w:rPr>
            </w:pPr>
            <w:r w:rsidRPr="00514B39">
              <w:rPr>
                <w:rFonts w:ascii="Arial" w:hAnsi="Arial" w:cs="Arial"/>
              </w:rPr>
              <w:t>)</w:t>
            </w:r>
          </w:p>
          <w:p w14:paraId="40AF002F" w14:textId="77777777" w:rsidR="00BE3B88" w:rsidRPr="00514B39" w:rsidRDefault="00BE3B88" w:rsidP="00514B39">
            <w:pPr>
              <w:widowControl w:val="0"/>
              <w:spacing w:after="0" w:line="240" w:lineRule="auto"/>
              <w:jc w:val="center"/>
              <w:rPr>
                <w:rFonts w:ascii="Arial" w:hAnsi="Arial" w:cs="Arial"/>
              </w:rPr>
            </w:pPr>
          </w:p>
          <w:p w14:paraId="14A6F0D4" w14:textId="77777777" w:rsidR="00BE3B88" w:rsidRPr="00514B39" w:rsidRDefault="00BE3B88" w:rsidP="00514B39">
            <w:pPr>
              <w:widowControl w:val="0"/>
              <w:spacing w:after="0" w:line="240" w:lineRule="auto"/>
              <w:jc w:val="center"/>
              <w:rPr>
                <w:rFonts w:ascii="Arial" w:hAnsi="Arial" w:cs="Arial"/>
              </w:rPr>
            </w:pPr>
            <w:r w:rsidRPr="00514B39">
              <w:rPr>
                <w:rFonts w:ascii="Arial" w:hAnsi="Arial" w:cs="Arial"/>
              </w:rPr>
              <w:t>)</w:t>
            </w:r>
          </w:p>
          <w:p w14:paraId="6371C21D" w14:textId="77777777" w:rsidR="00BE3B88" w:rsidRPr="00514B39" w:rsidRDefault="00BE3B88" w:rsidP="00514B39">
            <w:pPr>
              <w:widowControl w:val="0"/>
              <w:spacing w:after="0" w:line="240" w:lineRule="auto"/>
              <w:jc w:val="center"/>
              <w:rPr>
                <w:rFonts w:ascii="Arial" w:hAnsi="Arial" w:cs="Arial"/>
              </w:rPr>
            </w:pPr>
            <w:r w:rsidRPr="00514B39">
              <w:rPr>
                <w:rFonts w:ascii="Arial" w:hAnsi="Arial" w:cs="Arial"/>
              </w:rPr>
              <w:t>)</w:t>
            </w:r>
          </w:p>
          <w:p w14:paraId="7176D2C0" w14:textId="1C35B4B2" w:rsidR="00BE3B88" w:rsidRPr="00514B39" w:rsidRDefault="00BE3B88" w:rsidP="00514B39">
            <w:pPr>
              <w:widowControl w:val="0"/>
              <w:spacing w:after="0" w:line="240" w:lineRule="auto"/>
              <w:jc w:val="center"/>
              <w:rPr>
                <w:rFonts w:ascii="Arial" w:hAnsi="Arial" w:cs="Arial"/>
              </w:rPr>
            </w:pPr>
            <w:r w:rsidRPr="00514B39">
              <w:rPr>
                <w:rFonts w:ascii="Arial" w:hAnsi="Arial" w:cs="Arial"/>
              </w:rPr>
              <w:t>)</w:t>
            </w:r>
          </w:p>
        </w:tc>
        <w:tc>
          <w:tcPr>
            <w:tcW w:w="3928" w:type="dxa"/>
          </w:tcPr>
          <w:p w14:paraId="42D51B68" w14:textId="77777777" w:rsidR="00BE3B88" w:rsidRPr="00514B39" w:rsidRDefault="00BE3B88" w:rsidP="00514B39">
            <w:pPr>
              <w:widowControl w:val="0"/>
              <w:spacing w:after="0" w:line="240" w:lineRule="auto"/>
              <w:rPr>
                <w:rFonts w:ascii="Arial" w:hAnsi="Arial" w:cs="Arial"/>
              </w:rPr>
            </w:pPr>
          </w:p>
          <w:p w14:paraId="448D9CF2" w14:textId="161C3BF1" w:rsidR="00C81C96" w:rsidRPr="00514B39" w:rsidRDefault="00C81C96" w:rsidP="00514B39">
            <w:pPr>
              <w:widowControl w:val="0"/>
              <w:spacing w:after="0" w:line="240" w:lineRule="auto"/>
              <w:rPr>
                <w:rFonts w:ascii="Arial" w:hAnsi="Arial" w:cs="Arial"/>
              </w:rPr>
            </w:pPr>
            <w:r w:rsidRPr="00514B39">
              <w:rPr>
                <w:rFonts w:ascii="Arial" w:hAnsi="Arial" w:cs="Arial"/>
              </w:rPr>
              <w:t>Case No. 17-32-EL-AIR</w:t>
            </w:r>
          </w:p>
          <w:p w14:paraId="1A019161" w14:textId="77777777" w:rsidR="00BE3B88" w:rsidRPr="00514B39" w:rsidRDefault="00BE3B88" w:rsidP="00514B39">
            <w:pPr>
              <w:widowControl w:val="0"/>
              <w:spacing w:after="0" w:line="240" w:lineRule="auto"/>
              <w:rPr>
                <w:rFonts w:ascii="Arial" w:hAnsi="Arial" w:cs="Arial"/>
              </w:rPr>
            </w:pPr>
          </w:p>
          <w:p w14:paraId="4932E571" w14:textId="77777777" w:rsidR="00BE3B88" w:rsidRPr="00514B39" w:rsidRDefault="00BE3B88" w:rsidP="00514B39">
            <w:pPr>
              <w:widowControl w:val="0"/>
              <w:spacing w:after="0" w:line="240" w:lineRule="auto"/>
              <w:rPr>
                <w:rFonts w:ascii="Arial" w:hAnsi="Arial" w:cs="Arial"/>
              </w:rPr>
            </w:pPr>
          </w:p>
          <w:p w14:paraId="08F742BC" w14:textId="7A5DE749" w:rsidR="00C81C96" w:rsidRPr="00514B39" w:rsidRDefault="00C81C96" w:rsidP="00514B39">
            <w:pPr>
              <w:widowControl w:val="0"/>
              <w:spacing w:after="0" w:line="240" w:lineRule="auto"/>
              <w:rPr>
                <w:rFonts w:ascii="Arial" w:hAnsi="Arial" w:cs="Arial"/>
              </w:rPr>
            </w:pPr>
            <w:r w:rsidRPr="00514B39">
              <w:rPr>
                <w:rFonts w:ascii="Arial" w:hAnsi="Arial" w:cs="Arial"/>
              </w:rPr>
              <w:t>Case No. 17-33-EL-ATA</w:t>
            </w:r>
          </w:p>
          <w:p w14:paraId="40990A86" w14:textId="77777777" w:rsidR="00BE3B88" w:rsidRPr="00514B39" w:rsidRDefault="00BE3B88" w:rsidP="00514B39">
            <w:pPr>
              <w:widowControl w:val="0"/>
              <w:spacing w:after="0" w:line="240" w:lineRule="auto"/>
              <w:rPr>
                <w:rFonts w:ascii="Arial" w:hAnsi="Arial" w:cs="Arial"/>
              </w:rPr>
            </w:pPr>
          </w:p>
          <w:p w14:paraId="4A3594CA" w14:textId="77777777" w:rsidR="00BE3B88" w:rsidRPr="00514B39" w:rsidRDefault="00BE3B88" w:rsidP="00514B39">
            <w:pPr>
              <w:widowControl w:val="0"/>
              <w:spacing w:after="0" w:line="240" w:lineRule="auto"/>
              <w:rPr>
                <w:rFonts w:ascii="Arial" w:hAnsi="Arial" w:cs="Arial"/>
              </w:rPr>
            </w:pPr>
          </w:p>
          <w:p w14:paraId="0499E89F" w14:textId="77777777" w:rsidR="00BE3B88" w:rsidRPr="00514B39" w:rsidRDefault="00BE3B88" w:rsidP="00514B39">
            <w:pPr>
              <w:widowControl w:val="0"/>
              <w:spacing w:after="0" w:line="240" w:lineRule="auto"/>
              <w:rPr>
                <w:rFonts w:ascii="Arial" w:hAnsi="Arial" w:cs="Arial"/>
              </w:rPr>
            </w:pPr>
          </w:p>
          <w:p w14:paraId="7176D2C5" w14:textId="1482E726" w:rsidR="0073266C" w:rsidRPr="00514B39" w:rsidRDefault="00BE3B88" w:rsidP="00514B39">
            <w:pPr>
              <w:widowControl w:val="0"/>
              <w:spacing w:after="0" w:line="240" w:lineRule="auto"/>
              <w:rPr>
                <w:rFonts w:ascii="Arial" w:hAnsi="Arial" w:cs="Arial"/>
              </w:rPr>
            </w:pPr>
            <w:r w:rsidRPr="00514B39">
              <w:rPr>
                <w:rFonts w:ascii="Arial" w:hAnsi="Arial" w:cs="Arial"/>
              </w:rPr>
              <w:t xml:space="preserve">Case No. </w:t>
            </w:r>
            <w:r w:rsidR="00C81C96" w:rsidRPr="00514B39">
              <w:rPr>
                <w:rFonts w:ascii="Arial" w:hAnsi="Arial" w:cs="Arial"/>
              </w:rPr>
              <w:t>17-34-EL-AAM</w:t>
            </w:r>
          </w:p>
        </w:tc>
      </w:tr>
      <w:tr w:rsidR="000955F3" w:rsidRPr="00514B39" w14:paraId="706A0040" w14:textId="77777777">
        <w:trPr>
          <w:trHeight w:val="873"/>
          <w:jc w:val="center"/>
        </w:trPr>
        <w:tc>
          <w:tcPr>
            <w:tcW w:w="4739" w:type="dxa"/>
          </w:tcPr>
          <w:p w14:paraId="06681F0C" w14:textId="77777777" w:rsidR="000955F3" w:rsidRPr="00514B39" w:rsidRDefault="000955F3" w:rsidP="00514B39">
            <w:pPr>
              <w:spacing w:after="0" w:line="240" w:lineRule="auto"/>
              <w:rPr>
                <w:rFonts w:ascii="Arial" w:hAnsi="Arial" w:cs="Arial"/>
              </w:rPr>
            </w:pPr>
          </w:p>
          <w:p w14:paraId="391F23D5" w14:textId="77777777" w:rsidR="000955F3" w:rsidRPr="00514B39" w:rsidRDefault="000955F3" w:rsidP="00514B39">
            <w:pPr>
              <w:spacing w:after="0" w:line="240" w:lineRule="auto"/>
              <w:rPr>
                <w:rFonts w:ascii="Arial" w:hAnsi="Arial" w:cs="Arial"/>
              </w:rPr>
            </w:pPr>
            <w:r w:rsidRPr="00514B39">
              <w:rPr>
                <w:rFonts w:ascii="Arial" w:hAnsi="Arial" w:cs="Arial"/>
              </w:rPr>
              <w:t>In the Matter of the Application of Duke Energy Ohio, Inc., for Approval to Modify Rider PSR.</w:t>
            </w:r>
          </w:p>
          <w:p w14:paraId="422CEF37" w14:textId="77777777" w:rsidR="000955F3" w:rsidRPr="00514B39" w:rsidRDefault="000955F3" w:rsidP="00514B39">
            <w:pPr>
              <w:spacing w:after="0" w:line="240" w:lineRule="auto"/>
              <w:rPr>
                <w:rFonts w:ascii="Arial" w:hAnsi="Arial" w:cs="Arial"/>
              </w:rPr>
            </w:pPr>
          </w:p>
          <w:p w14:paraId="72875145" w14:textId="77777777" w:rsidR="000955F3" w:rsidRPr="00514B39" w:rsidRDefault="000955F3" w:rsidP="00514B39">
            <w:pPr>
              <w:spacing w:after="0" w:line="240" w:lineRule="auto"/>
              <w:rPr>
                <w:rFonts w:ascii="Arial" w:hAnsi="Arial" w:cs="Arial"/>
              </w:rPr>
            </w:pPr>
            <w:r w:rsidRPr="00514B39">
              <w:rPr>
                <w:rFonts w:ascii="Arial" w:hAnsi="Arial" w:cs="Arial"/>
              </w:rPr>
              <w:t>In the Matter of the Application</w:t>
            </w:r>
            <w:r w:rsidR="00D92767" w:rsidRPr="00514B39">
              <w:rPr>
                <w:rFonts w:ascii="Arial" w:hAnsi="Arial" w:cs="Arial"/>
              </w:rPr>
              <w:t xml:space="preserve"> of Duke Energy Ohio, Inc., for Approval to Amend Rider PSR.</w:t>
            </w:r>
          </w:p>
          <w:p w14:paraId="3417CA0C" w14:textId="77777777" w:rsidR="007355CC" w:rsidRPr="00514B39" w:rsidRDefault="007355CC" w:rsidP="00514B39">
            <w:pPr>
              <w:spacing w:after="0" w:line="240" w:lineRule="auto"/>
              <w:rPr>
                <w:rFonts w:ascii="Arial" w:hAnsi="Arial" w:cs="Arial"/>
              </w:rPr>
            </w:pPr>
          </w:p>
          <w:p w14:paraId="66605691" w14:textId="77777777" w:rsidR="007355CC" w:rsidRPr="00514B39" w:rsidRDefault="007355CC" w:rsidP="00514B39">
            <w:pPr>
              <w:spacing w:after="0" w:line="240" w:lineRule="auto"/>
              <w:rPr>
                <w:rFonts w:ascii="Arial" w:hAnsi="Arial" w:cs="Arial"/>
              </w:rPr>
            </w:pPr>
            <w:r w:rsidRPr="00514B39">
              <w:rPr>
                <w:rFonts w:ascii="Arial" w:hAnsi="Arial" w:cs="Arial"/>
              </w:rPr>
              <w:t>In the Matter of the Application of Duke Energy Ohio Inc., for Approval to Change Accounting Methods.</w:t>
            </w:r>
          </w:p>
          <w:p w14:paraId="3935E6E1" w14:textId="77777777" w:rsidR="007355CC" w:rsidRPr="00514B39" w:rsidRDefault="007355CC" w:rsidP="00514B39">
            <w:pPr>
              <w:spacing w:after="0" w:line="240" w:lineRule="auto"/>
              <w:rPr>
                <w:rFonts w:ascii="Arial" w:hAnsi="Arial" w:cs="Arial"/>
              </w:rPr>
            </w:pPr>
          </w:p>
          <w:p w14:paraId="284BA2E4" w14:textId="77777777" w:rsidR="007355CC" w:rsidRPr="00514B39" w:rsidRDefault="007355CC" w:rsidP="00514B39">
            <w:pPr>
              <w:spacing w:after="0" w:line="240" w:lineRule="auto"/>
              <w:rPr>
                <w:rFonts w:ascii="Arial" w:hAnsi="Arial" w:cs="Arial"/>
              </w:rPr>
            </w:pPr>
            <w:r w:rsidRPr="00514B39">
              <w:rPr>
                <w:rFonts w:ascii="Arial" w:hAnsi="Arial" w:cs="Arial"/>
              </w:rPr>
              <w:t>In the Matter of the Application of Duke Energy Ohio Inc., for Authority to Establish a Standard Service Offer Pursuant to Section 4928.143, Revised Code, in the Form of an Electric Security Plan, Accounting Modifications</w:t>
            </w:r>
            <w:r w:rsidR="00D5231A" w:rsidRPr="00514B39">
              <w:rPr>
                <w:rFonts w:ascii="Arial" w:hAnsi="Arial" w:cs="Arial"/>
              </w:rPr>
              <w:t xml:space="preserve"> and Tariffs for Generation Service.</w:t>
            </w:r>
          </w:p>
          <w:p w14:paraId="5D305676" w14:textId="77777777" w:rsidR="00D5231A" w:rsidRPr="00514B39" w:rsidRDefault="00D5231A" w:rsidP="00514B39">
            <w:pPr>
              <w:spacing w:after="0" w:line="240" w:lineRule="auto"/>
              <w:rPr>
                <w:rFonts w:ascii="Arial" w:hAnsi="Arial" w:cs="Arial"/>
              </w:rPr>
            </w:pPr>
          </w:p>
          <w:p w14:paraId="229F041C" w14:textId="77777777" w:rsidR="00D5231A" w:rsidRPr="00514B39" w:rsidRDefault="00D5231A" w:rsidP="00514B39">
            <w:pPr>
              <w:spacing w:after="0" w:line="240" w:lineRule="auto"/>
              <w:rPr>
                <w:rFonts w:ascii="Arial" w:hAnsi="Arial" w:cs="Arial"/>
              </w:rPr>
            </w:pPr>
            <w:r w:rsidRPr="00514B39">
              <w:rPr>
                <w:rFonts w:ascii="Arial" w:hAnsi="Arial" w:cs="Arial"/>
              </w:rPr>
              <w:t>In the Matter of the Application of Duke Energy Ohio, Inc., for Authority to Amend its Certified Supplier Tariff, P.U.C.O. No. 20.</w:t>
            </w:r>
          </w:p>
          <w:p w14:paraId="6D42DDDA" w14:textId="77777777" w:rsidR="00D5231A" w:rsidRPr="00514B39" w:rsidRDefault="00D5231A" w:rsidP="00514B39">
            <w:pPr>
              <w:spacing w:after="0" w:line="240" w:lineRule="auto"/>
              <w:rPr>
                <w:rFonts w:ascii="Arial" w:hAnsi="Arial" w:cs="Arial"/>
              </w:rPr>
            </w:pPr>
          </w:p>
          <w:p w14:paraId="342FF628" w14:textId="77777777" w:rsidR="00D5231A" w:rsidRPr="00514B39" w:rsidRDefault="0073266C" w:rsidP="00514B39">
            <w:pPr>
              <w:spacing w:after="0" w:line="240" w:lineRule="auto"/>
              <w:rPr>
                <w:rFonts w:ascii="Arial" w:hAnsi="Arial" w:cs="Arial"/>
              </w:rPr>
            </w:pPr>
            <w:r w:rsidRPr="00514B39">
              <w:rPr>
                <w:rFonts w:ascii="Arial" w:hAnsi="Arial" w:cs="Arial"/>
              </w:rPr>
              <w:t>In the Matter of the Application of Duke Energy Ohio, Inc. for Authority to Defer Vegetation Management Costs.</w:t>
            </w:r>
          </w:p>
          <w:p w14:paraId="302A1032" w14:textId="77777777" w:rsidR="0073266C" w:rsidRPr="00514B39" w:rsidRDefault="0073266C" w:rsidP="00514B39">
            <w:pPr>
              <w:spacing w:after="0" w:line="240" w:lineRule="auto"/>
              <w:rPr>
                <w:rFonts w:ascii="Arial" w:hAnsi="Arial" w:cs="Arial"/>
              </w:rPr>
            </w:pPr>
          </w:p>
          <w:p w14:paraId="4DC32004" w14:textId="5CA64580" w:rsidR="0073266C" w:rsidRPr="00514B39" w:rsidRDefault="0073266C" w:rsidP="00514B39">
            <w:pPr>
              <w:spacing w:after="0" w:line="240" w:lineRule="auto"/>
              <w:rPr>
                <w:rFonts w:ascii="Arial" w:hAnsi="Arial" w:cs="Arial"/>
              </w:rPr>
            </w:pPr>
            <w:r w:rsidRPr="00514B39">
              <w:rPr>
                <w:rFonts w:ascii="Arial" w:hAnsi="Arial" w:cs="Arial"/>
              </w:rPr>
              <w:t>In the Matter of the Application of Duke Energy Ohio, Inc., to Establish Minimum Reliability Performance Standards Pursuant to Chapter 4901:1-10, Ohio Administrative Code.</w:t>
            </w:r>
          </w:p>
        </w:tc>
        <w:tc>
          <w:tcPr>
            <w:tcW w:w="630" w:type="dxa"/>
          </w:tcPr>
          <w:p w14:paraId="4AA55AC5" w14:textId="34A6FFD1" w:rsidR="000955F3" w:rsidRPr="00514B39" w:rsidRDefault="000955F3" w:rsidP="00514B39">
            <w:pPr>
              <w:widowControl w:val="0"/>
              <w:spacing w:after="0" w:line="240" w:lineRule="auto"/>
              <w:jc w:val="center"/>
              <w:rPr>
                <w:rFonts w:ascii="Arial" w:hAnsi="Arial" w:cs="Arial"/>
              </w:rPr>
            </w:pPr>
          </w:p>
          <w:p w14:paraId="38B4F48D" w14:textId="77777777" w:rsidR="000955F3" w:rsidRPr="00514B39" w:rsidRDefault="000955F3" w:rsidP="00514B39">
            <w:pPr>
              <w:widowControl w:val="0"/>
              <w:spacing w:after="0" w:line="240" w:lineRule="auto"/>
              <w:jc w:val="center"/>
              <w:rPr>
                <w:rFonts w:ascii="Arial" w:hAnsi="Arial" w:cs="Arial"/>
              </w:rPr>
            </w:pPr>
            <w:r w:rsidRPr="00514B39">
              <w:rPr>
                <w:rFonts w:ascii="Arial" w:hAnsi="Arial" w:cs="Arial"/>
              </w:rPr>
              <w:t>)</w:t>
            </w:r>
          </w:p>
          <w:p w14:paraId="4E5C099B" w14:textId="768CFD1D" w:rsidR="000955F3" w:rsidRPr="00514B39" w:rsidRDefault="000955F3" w:rsidP="00514B39">
            <w:pPr>
              <w:widowControl w:val="0"/>
              <w:spacing w:after="0" w:line="240" w:lineRule="auto"/>
              <w:jc w:val="center"/>
              <w:rPr>
                <w:rFonts w:ascii="Arial" w:hAnsi="Arial" w:cs="Arial"/>
              </w:rPr>
            </w:pPr>
            <w:r w:rsidRPr="00514B39">
              <w:rPr>
                <w:rFonts w:ascii="Arial" w:hAnsi="Arial" w:cs="Arial"/>
              </w:rPr>
              <w:t>)</w:t>
            </w:r>
          </w:p>
          <w:p w14:paraId="538F978A" w14:textId="77777777" w:rsidR="000955F3" w:rsidRPr="00514B39" w:rsidRDefault="000955F3" w:rsidP="00514B39">
            <w:pPr>
              <w:widowControl w:val="0"/>
              <w:spacing w:after="0" w:line="240" w:lineRule="auto"/>
              <w:jc w:val="center"/>
              <w:rPr>
                <w:rFonts w:ascii="Arial" w:hAnsi="Arial" w:cs="Arial"/>
              </w:rPr>
            </w:pPr>
            <w:r w:rsidRPr="00514B39">
              <w:rPr>
                <w:rFonts w:ascii="Arial" w:hAnsi="Arial" w:cs="Arial"/>
              </w:rPr>
              <w:t>)</w:t>
            </w:r>
          </w:p>
          <w:p w14:paraId="227CC425" w14:textId="77777777" w:rsidR="00D92767" w:rsidRPr="00514B39" w:rsidRDefault="00D92767" w:rsidP="00514B39">
            <w:pPr>
              <w:widowControl w:val="0"/>
              <w:spacing w:after="0" w:line="240" w:lineRule="auto"/>
              <w:jc w:val="center"/>
              <w:rPr>
                <w:rFonts w:ascii="Arial" w:hAnsi="Arial" w:cs="Arial"/>
              </w:rPr>
            </w:pPr>
          </w:p>
          <w:p w14:paraId="3685A728" w14:textId="77777777" w:rsidR="00D92767" w:rsidRPr="00514B39" w:rsidRDefault="00D92767" w:rsidP="00514B39">
            <w:pPr>
              <w:widowControl w:val="0"/>
              <w:spacing w:after="0" w:line="240" w:lineRule="auto"/>
              <w:jc w:val="center"/>
              <w:rPr>
                <w:rFonts w:ascii="Arial" w:hAnsi="Arial" w:cs="Arial"/>
              </w:rPr>
            </w:pPr>
            <w:r w:rsidRPr="00514B39">
              <w:rPr>
                <w:rFonts w:ascii="Arial" w:hAnsi="Arial" w:cs="Arial"/>
              </w:rPr>
              <w:t>)</w:t>
            </w:r>
          </w:p>
          <w:p w14:paraId="36EE53CE" w14:textId="77777777" w:rsidR="00D92767" w:rsidRPr="00514B39" w:rsidRDefault="00D92767" w:rsidP="00514B39">
            <w:pPr>
              <w:widowControl w:val="0"/>
              <w:spacing w:after="0" w:line="240" w:lineRule="auto"/>
              <w:jc w:val="center"/>
              <w:rPr>
                <w:rFonts w:ascii="Arial" w:hAnsi="Arial" w:cs="Arial"/>
              </w:rPr>
            </w:pPr>
            <w:r w:rsidRPr="00514B39">
              <w:rPr>
                <w:rFonts w:ascii="Arial" w:hAnsi="Arial" w:cs="Arial"/>
              </w:rPr>
              <w:t>)</w:t>
            </w:r>
          </w:p>
          <w:p w14:paraId="715CD395" w14:textId="77777777" w:rsidR="00D92767" w:rsidRPr="00514B39" w:rsidRDefault="00D92767" w:rsidP="00514B39">
            <w:pPr>
              <w:widowControl w:val="0"/>
              <w:spacing w:after="0" w:line="240" w:lineRule="auto"/>
              <w:jc w:val="center"/>
              <w:rPr>
                <w:rFonts w:ascii="Arial" w:hAnsi="Arial" w:cs="Arial"/>
              </w:rPr>
            </w:pPr>
            <w:r w:rsidRPr="00514B39">
              <w:rPr>
                <w:rFonts w:ascii="Arial" w:hAnsi="Arial" w:cs="Arial"/>
              </w:rPr>
              <w:t>)</w:t>
            </w:r>
          </w:p>
          <w:p w14:paraId="1C8EE103" w14:textId="77777777" w:rsidR="0073266C" w:rsidRPr="00514B39" w:rsidRDefault="0073266C" w:rsidP="00514B39">
            <w:pPr>
              <w:widowControl w:val="0"/>
              <w:spacing w:after="0" w:line="240" w:lineRule="auto"/>
              <w:jc w:val="center"/>
              <w:rPr>
                <w:rFonts w:ascii="Arial" w:hAnsi="Arial" w:cs="Arial"/>
              </w:rPr>
            </w:pPr>
          </w:p>
          <w:p w14:paraId="62F838AE" w14:textId="77777777" w:rsidR="0073266C" w:rsidRPr="00514B39" w:rsidRDefault="0073266C" w:rsidP="00514B39">
            <w:pPr>
              <w:widowControl w:val="0"/>
              <w:spacing w:after="0" w:line="240" w:lineRule="auto"/>
              <w:jc w:val="center"/>
              <w:rPr>
                <w:rFonts w:ascii="Arial" w:hAnsi="Arial" w:cs="Arial"/>
              </w:rPr>
            </w:pPr>
            <w:r w:rsidRPr="00514B39">
              <w:rPr>
                <w:rFonts w:ascii="Arial" w:hAnsi="Arial" w:cs="Arial"/>
              </w:rPr>
              <w:t>)</w:t>
            </w:r>
          </w:p>
          <w:p w14:paraId="45C941A9" w14:textId="77777777" w:rsidR="0073266C" w:rsidRPr="00514B39" w:rsidRDefault="0073266C" w:rsidP="00514B39">
            <w:pPr>
              <w:widowControl w:val="0"/>
              <w:spacing w:after="0" w:line="240" w:lineRule="auto"/>
              <w:jc w:val="center"/>
              <w:rPr>
                <w:rFonts w:ascii="Arial" w:hAnsi="Arial" w:cs="Arial"/>
              </w:rPr>
            </w:pPr>
            <w:r w:rsidRPr="00514B39">
              <w:rPr>
                <w:rFonts w:ascii="Arial" w:hAnsi="Arial" w:cs="Arial"/>
              </w:rPr>
              <w:t>)</w:t>
            </w:r>
          </w:p>
          <w:p w14:paraId="164834B8" w14:textId="77777777" w:rsidR="0073266C" w:rsidRPr="00514B39" w:rsidRDefault="0073266C" w:rsidP="00514B39">
            <w:pPr>
              <w:widowControl w:val="0"/>
              <w:spacing w:after="0" w:line="240" w:lineRule="auto"/>
              <w:jc w:val="center"/>
              <w:rPr>
                <w:rFonts w:ascii="Arial" w:hAnsi="Arial" w:cs="Arial"/>
              </w:rPr>
            </w:pPr>
            <w:r w:rsidRPr="00514B39">
              <w:rPr>
                <w:rFonts w:ascii="Arial" w:hAnsi="Arial" w:cs="Arial"/>
              </w:rPr>
              <w:t>)</w:t>
            </w:r>
          </w:p>
          <w:p w14:paraId="154EBE15" w14:textId="77777777" w:rsidR="0073266C" w:rsidRPr="00514B39" w:rsidRDefault="0073266C" w:rsidP="00514B39">
            <w:pPr>
              <w:widowControl w:val="0"/>
              <w:spacing w:after="0" w:line="240" w:lineRule="auto"/>
              <w:jc w:val="center"/>
              <w:rPr>
                <w:rFonts w:ascii="Arial" w:hAnsi="Arial" w:cs="Arial"/>
              </w:rPr>
            </w:pPr>
          </w:p>
          <w:p w14:paraId="52E614A5" w14:textId="77777777" w:rsidR="0073266C" w:rsidRPr="00514B39" w:rsidRDefault="0073266C" w:rsidP="00514B39">
            <w:pPr>
              <w:widowControl w:val="0"/>
              <w:spacing w:after="0" w:line="240" w:lineRule="auto"/>
              <w:jc w:val="center"/>
              <w:rPr>
                <w:rFonts w:ascii="Arial" w:hAnsi="Arial" w:cs="Arial"/>
              </w:rPr>
            </w:pPr>
            <w:r w:rsidRPr="00514B39">
              <w:rPr>
                <w:rFonts w:ascii="Arial" w:hAnsi="Arial" w:cs="Arial"/>
              </w:rPr>
              <w:t>)</w:t>
            </w:r>
          </w:p>
          <w:p w14:paraId="0AEC3006" w14:textId="77777777" w:rsidR="0073266C" w:rsidRPr="00514B39" w:rsidRDefault="0073266C" w:rsidP="00514B39">
            <w:pPr>
              <w:widowControl w:val="0"/>
              <w:spacing w:after="0" w:line="240" w:lineRule="auto"/>
              <w:jc w:val="center"/>
              <w:rPr>
                <w:rFonts w:ascii="Arial" w:hAnsi="Arial" w:cs="Arial"/>
              </w:rPr>
            </w:pPr>
            <w:r w:rsidRPr="00514B39">
              <w:rPr>
                <w:rFonts w:ascii="Arial" w:hAnsi="Arial" w:cs="Arial"/>
              </w:rPr>
              <w:t>)</w:t>
            </w:r>
          </w:p>
          <w:p w14:paraId="5C3BF314" w14:textId="77777777" w:rsidR="0073266C" w:rsidRPr="00514B39" w:rsidRDefault="0073266C" w:rsidP="00514B39">
            <w:pPr>
              <w:widowControl w:val="0"/>
              <w:spacing w:after="0" w:line="240" w:lineRule="auto"/>
              <w:jc w:val="center"/>
              <w:rPr>
                <w:rFonts w:ascii="Arial" w:hAnsi="Arial" w:cs="Arial"/>
              </w:rPr>
            </w:pPr>
            <w:r w:rsidRPr="00514B39">
              <w:rPr>
                <w:rFonts w:ascii="Arial" w:hAnsi="Arial" w:cs="Arial"/>
              </w:rPr>
              <w:t>)</w:t>
            </w:r>
          </w:p>
          <w:p w14:paraId="47BBEEBD" w14:textId="77777777" w:rsidR="0073266C" w:rsidRPr="00514B39" w:rsidRDefault="0073266C" w:rsidP="00514B39">
            <w:pPr>
              <w:widowControl w:val="0"/>
              <w:spacing w:after="0" w:line="240" w:lineRule="auto"/>
              <w:jc w:val="center"/>
              <w:rPr>
                <w:rFonts w:ascii="Arial" w:hAnsi="Arial" w:cs="Arial"/>
              </w:rPr>
            </w:pPr>
            <w:r w:rsidRPr="00514B39">
              <w:rPr>
                <w:rFonts w:ascii="Arial" w:hAnsi="Arial" w:cs="Arial"/>
              </w:rPr>
              <w:t>)</w:t>
            </w:r>
          </w:p>
          <w:p w14:paraId="6A6241C9" w14:textId="77777777" w:rsidR="0073266C" w:rsidRPr="00514B39" w:rsidRDefault="0073266C" w:rsidP="00514B39">
            <w:pPr>
              <w:widowControl w:val="0"/>
              <w:spacing w:after="0" w:line="240" w:lineRule="auto"/>
              <w:jc w:val="center"/>
              <w:rPr>
                <w:rFonts w:ascii="Arial" w:hAnsi="Arial" w:cs="Arial"/>
              </w:rPr>
            </w:pPr>
            <w:r w:rsidRPr="00514B39">
              <w:rPr>
                <w:rFonts w:ascii="Arial" w:hAnsi="Arial" w:cs="Arial"/>
              </w:rPr>
              <w:t>)</w:t>
            </w:r>
          </w:p>
          <w:p w14:paraId="7DB07540" w14:textId="77777777" w:rsidR="0073266C" w:rsidRPr="00514B39" w:rsidRDefault="0073266C" w:rsidP="00514B39">
            <w:pPr>
              <w:widowControl w:val="0"/>
              <w:spacing w:after="0" w:line="240" w:lineRule="auto"/>
              <w:jc w:val="center"/>
              <w:rPr>
                <w:rFonts w:ascii="Arial" w:hAnsi="Arial" w:cs="Arial"/>
              </w:rPr>
            </w:pPr>
            <w:r w:rsidRPr="00514B39">
              <w:rPr>
                <w:rFonts w:ascii="Arial" w:hAnsi="Arial" w:cs="Arial"/>
              </w:rPr>
              <w:t>)</w:t>
            </w:r>
          </w:p>
          <w:p w14:paraId="0F7B5977" w14:textId="77777777" w:rsidR="0073266C" w:rsidRPr="00514B39" w:rsidRDefault="0073266C" w:rsidP="00514B39">
            <w:pPr>
              <w:widowControl w:val="0"/>
              <w:spacing w:after="0" w:line="240" w:lineRule="auto"/>
              <w:jc w:val="center"/>
              <w:rPr>
                <w:rFonts w:ascii="Arial" w:hAnsi="Arial" w:cs="Arial"/>
              </w:rPr>
            </w:pPr>
            <w:r w:rsidRPr="00514B39">
              <w:rPr>
                <w:rFonts w:ascii="Arial" w:hAnsi="Arial" w:cs="Arial"/>
              </w:rPr>
              <w:t>)</w:t>
            </w:r>
          </w:p>
          <w:p w14:paraId="2BDBE07A" w14:textId="77777777" w:rsidR="0073266C" w:rsidRPr="00514B39" w:rsidRDefault="0073266C" w:rsidP="00514B39">
            <w:pPr>
              <w:widowControl w:val="0"/>
              <w:spacing w:after="0" w:line="240" w:lineRule="auto"/>
              <w:jc w:val="center"/>
              <w:rPr>
                <w:rFonts w:ascii="Arial" w:hAnsi="Arial" w:cs="Arial"/>
              </w:rPr>
            </w:pPr>
          </w:p>
          <w:p w14:paraId="455AC4F9" w14:textId="77777777" w:rsidR="0073266C" w:rsidRPr="00514B39" w:rsidRDefault="0073266C" w:rsidP="00514B39">
            <w:pPr>
              <w:widowControl w:val="0"/>
              <w:spacing w:after="0" w:line="240" w:lineRule="auto"/>
              <w:jc w:val="center"/>
              <w:rPr>
                <w:rFonts w:ascii="Arial" w:hAnsi="Arial" w:cs="Arial"/>
              </w:rPr>
            </w:pPr>
            <w:r w:rsidRPr="00514B39">
              <w:rPr>
                <w:rFonts w:ascii="Arial" w:hAnsi="Arial" w:cs="Arial"/>
              </w:rPr>
              <w:t>)</w:t>
            </w:r>
          </w:p>
          <w:p w14:paraId="6DC708CC" w14:textId="77777777" w:rsidR="0073266C" w:rsidRPr="00514B39" w:rsidRDefault="0073266C" w:rsidP="00514B39">
            <w:pPr>
              <w:widowControl w:val="0"/>
              <w:spacing w:after="0" w:line="240" w:lineRule="auto"/>
              <w:jc w:val="center"/>
              <w:rPr>
                <w:rFonts w:ascii="Arial" w:hAnsi="Arial" w:cs="Arial"/>
              </w:rPr>
            </w:pPr>
            <w:r w:rsidRPr="00514B39">
              <w:rPr>
                <w:rFonts w:ascii="Arial" w:hAnsi="Arial" w:cs="Arial"/>
              </w:rPr>
              <w:t>)</w:t>
            </w:r>
          </w:p>
          <w:p w14:paraId="08E13531" w14:textId="77777777" w:rsidR="0073266C" w:rsidRPr="00514B39" w:rsidRDefault="0073266C" w:rsidP="00514B39">
            <w:pPr>
              <w:widowControl w:val="0"/>
              <w:spacing w:after="0" w:line="240" w:lineRule="auto"/>
              <w:jc w:val="center"/>
              <w:rPr>
                <w:rFonts w:ascii="Arial" w:hAnsi="Arial" w:cs="Arial"/>
              </w:rPr>
            </w:pPr>
            <w:r w:rsidRPr="00514B39">
              <w:rPr>
                <w:rFonts w:ascii="Arial" w:hAnsi="Arial" w:cs="Arial"/>
              </w:rPr>
              <w:t>)</w:t>
            </w:r>
          </w:p>
          <w:p w14:paraId="56E888B4" w14:textId="77777777" w:rsidR="0073266C" w:rsidRPr="00514B39" w:rsidRDefault="0073266C" w:rsidP="00514B39">
            <w:pPr>
              <w:widowControl w:val="0"/>
              <w:spacing w:after="0" w:line="240" w:lineRule="auto"/>
              <w:jc w:val="center"/>
              <w:rPr>
                <w:rFonts w:ascii="Arial" w:hAnsi="Arial" w:cs="Arial"/>
              </w:rPr>
            </w:pPr>
            <w:r w:rsidRPr="00514B39">
              <w:rPr>
                <w:rFonts w:ascii="Arial" w:hAnsi="Arial" w:cs="Arial"/>
              </w:rPr>
              <w:t>)</w:t>
            </w:r>
          </w:p>
          <w:p w14:paraId="49DEA3B7" w14:textId="77777777" w:rsidR="0073266C" w:rsidRPr="00514B39" w:rsidRDefault="0073266C" w:rsidP="00514B39">
            <w:pPr>
              <w:widowControl w:val="0"/>
              <w:spacing w:after="0" w:line="240" w:lineRule="auto"/>
              <w:jc w:val="center"/>
              <w:rPr>
                <w:rFonts w:ascii="Arial" w:hAnsi="Arial" w:cs="Arial"/>
              </w:rPr>
            </w:pPr>
          </w:p>
          <w:p w14:paraId="44C8D1D4" w14:textId="77777777" w:rsidR="0073266C" w:rsidRPr="00514B39" w:rsidRDefault="0073266C" w:rsidP="00514B39">
            <w:pPr>
              <w:widowControl w:val="0"/>
              <w:spacing w:after="0" w:line="240" w:lineRule="auto"/>
              <w:jc w:val="center"/>
              <w:rPr>
                <w:rFonts w:ascii="Arial" w:hAnsi="Arial" w:cs="Arial"/>
              </w:rPr>
            </w:pPr>
            <w:r w:rsidRPr="00514B39">
              <w:rPr>
                <w:rFonts w:ascii="Arial" w:hAnsi="Arial" w:cs="Arial"/>
              </w:rPr>
              <w:t>)</w:t>
            </w:r>
          </w:p>
          <w:p w14:paraId="15421656" w14:textId="77777777" w:rsidR="0073266C" w:rsidRPr="00514B39" w:rsidRDefault="0073266C" w:rsidP="00514B39">
            <w:pPr>
              <w:widowControl w:val="0"/>
              <w:spacing w:after="0" w:line="240" w:lineRule="auto"/>
              <w:jc w:val="center"/>
              <w:rPr>
                <w:rFonts w:ascii="Arial" w:hAnsi="Arial" w:cs="Arial"/>
              </w:rPr>
            </w:pPr>
            <w:r w:rsidRPr="00514B39">
              <w:rPr>
                <w:rFonts w:ascii="Arial" w:hAnsi="Arial" w:cs="Arial"/>
              </w:rPr>
              <w:t>)</w:t>
            </w:r>
          </w:p>
          <w:p w14:paraId="6CBF7CDD" w14:textId="77777777" w:rsidR="0073266C" w:rsidRPr="00514B39" w:rsidRDefault="0073266C" w:rsidP="00514B39">
            <w:pPr>
              <w:widowControl w:val="0"/>
              <w:spacing w:after="0" w:line="240" w:lineRule="auto"/>
              <w:jc w:val="center"/>
              <w:rPr>
                <w:rFonts w:ascii="Arial" w:hAnsi="Arial" w:cs="Arial"/>
              </w:rPr>
            </w:pPr>
            <w:r w:rsidRPr="00514B39">
              <w:rPr>
                <w:rFonts w:ascii="Arial" w:hAnsi="Arial" w:cs="Arial"/>
              </w:rPr>
              <w:t>)</w:t>
            </w:r>
          </w:p>
          <w:p w14:paraId="1D3C144E" w14:textId="77777777" w:rsidR="0073266C" w:rsidRPr="00514B39" w:rsidRDefault="0073266C" w:rsidP="00514B39">
            <w:pPr>
              <w:widowControl w:val="0"/>
              <w:spacing w:after="0" w:line="240" w:lineRule="auto"/>
              <w:jc w:val="center"/>
              <w:rPr>
                <w:rFonts w:ascii="Arial" w:hAnsi="Arial" w:cs="Arial"/>
              </w:rPr>
            </w:pPr>
          </w:p>
          <w:p w14:paraId="5D695419" w14:textId="77777777" w:rsidR="0073266C" w:rsidRPr="00514B39" w:rsidRDefault="0073266C" w:rsidP="00514B39">
            <w:pPr>
              <w:widowControl w:val="0"/>
              <w:spacing w:after="0" w:line="240" w:lineRule="auto"/>
              <w:jc w:val="center"/>
              <w:rPr>
                <w:rFonts w:ascii="Arial" w:hAnsi="Arial" w:cs="Arial"/>
              </w:rPr>
            </w:pPr>
            <w:r w:rsidRPr="00514B39">
              <w:rPr>
                <w:rFonts w:ascii="Arial" w:hAnsi="Arial" w:cs="Arial"/>
              </w:rPr>
              <w:t>)</w:t>
            </w:r>
          </w:p>
          <w:p w14:paraId="6948C0AD" w14:textId="77777777" w:rsidR="0073266C" w:rsidRPr="00514B39" w:rsidRDefault="0073266C" w:rsidP="00514B39">
            <w:pPr>
              <w:widowControl w:val="0"/>
              <w:spacing w:after="0" w:line="240" w:lineRule="auto"/>
              <w:jc w:val="center"/>
              <w:rPr>
                <w:rFonts w:ascii="Arial" w:hAnsi="Arial" w:cs="Arial"/>
              </w:rPr>
            </w:pPr>
            <w:r w:rsidRPr="00514B39">
              <w:rPr>
                <w:rFonts w:ascii="Arial" w:hAnsi="Arial" w:cs="Arial"/>
              </w:rPr>
              <w:t>)</w:t>
            </w:r>
          </w:p>
          <w:p w14:paraId="51B02367" w14:textId="6D36459E" w:rsidR="0073266C" w:rsidRPr="00514B39" w:rsidRDefault="0073266C" w:rsidP="00514B39">
            <w:pPr>
              <w:widowControl w:val="0"/>
              <w:spacing w:after="0" w:line="240" w:lineRule="auto"/>
              <w:jc w:val="center"/>
              <w:rPr>
                <w:rFonts w:ascii="Arial" w:hAnsi="Arial" w:cs="Arial"/>
              </w:rPr>
            </w:pPr>
            <w:r w:rsidRPr="00514B39">
              <w:rPr>
                <w:rFonts w:ascii="Arial" w:hAnsi="Arial" w:cs="Arial"/>
              </w:rPr>
              <w:t>)</w:t>
            </w:r>
          </w:p>
        </w:tc>
        <w:tc>
          <w:tcPr>
            <w:tcW w:w="3928" w:type="dxa"/>
          </w:tcPr>
          <w:p w14:paraId="69772E00" w14:textId="77777777" w:rsidR="00DB54B4" w:rsidRPr="00514B39" w:rsidRDefault="00DB54B4" w:rsidP="00514B39">
            <w:pPr>
              <w:widowControl w:val="0"/>
              <w:spacing w:after="0" w:line="240" w:lineRule="auto"/>
              <w:rPr>
                <w:rFonts w:ascii="Arial" w:hAnsi="Arial" w:cs="Arial"/>
              </w:rPr>
            </w:pPr>
          </w:p>
          <w:p w14:paraId="3F501041" w14:textId="77777777" w:rsidR="00DB54B4" w:rsidRPr="00514B39" w:rsidRDefault="00DB54B4" w:rsidP="00514B39">
            <w:pPr>
              <w:widowControl w:val="0"/>
              <w:spacing w:after="0" w:line="240" w:lineRule="auto"/>
              <w:rPr>
                <w:rFonts w:ascii="Arial" w:hAnsi="Arial" w:cs="Arial"/>
              </w:rPr>
            </w:pPr>
          </w:p>
          <w:p w14:paraId="4F8ED91E" w14:textId="77777777" w:rsidR="00DB54B4" w:rsidRPr="00514B39" w:rsidRDefault="00DB54B4" w:rsidP="00514B39">
            <w:pPr>
              <w:widowControl w:val="0"/>
              <w:spacing w:after="0" w:line="240" w:lineRule="auto"/>
              <w:rPr>
                <w:rFonts w:ascii="Arial" w:hAnsi="Arial" w:cs="Arial"/>
              </w:rPr>
            </w:pPr>
            <w:r w:rsidRPr="00514B39">
              <w:rPr>
                <w:rFonts w:ascii="Arial" w:hAnsi="Arial" w:cs="Arial"/>
              </w:rPr>
              <w:t>Case No. 17-872-EL-RDR</w:t>
            </w:r>
          </w:p>
          <w:p w14:paraId="7662DD39" w14:textId="77777777" w:rsidR="00DB54B4" w:rsidRPr="00514B39" w:rsidRDefault="00DB54B4" w:rsidP="00514B39">
            <w:pPr>
              <w:widowControl w:val="0"/>
              <w:spacing w:after="0" w:line="240" w:lineRule="auto"/>
              <w:rPr>
                <w:rFonts w:ascii="Arial" w:hAnsi="Arial" w:cs="Arial"/>
              </w:rPr>
            </w:pPr>
          </w:p>
          <w:p w14:paraId="54170F48" w14:textId="77777777" w:rsidR="00DB54B4" w:rsidRPr="00514B39" w:rsidRDefault="00DB54B4" w:rsidP="00514B39">
            <w:pPr>
              <w:widowControl w:val="0"/>
              <w:spacing w:after="0" w:line="240" w:lineRule="auto"/>
              <w:rPr>
                <w:rFonts w:ascii="Arial" w:hAnsi="Arial" w:cs="Arial"/>
              </w:rPr>
            </w:pPr>
          </w:p>
          <w:p w14:paraId="350DA17A" w14:textId="77777777" w:rsidR="00DB54B4" w:rsidRPr="00514B39" w:rsidRDefault="00DB54B4" w:rsidP="00514B39">
            <w:pPr>
              <w:widowControl w:val="0"/>
              <w:spacing w:after="0" w:line="240" w:lineRule="auto"/>
              <w:rPr>
                <w:rFonts w:ascii="Arial" w:hAnsi="Arial" w:cs="Arial"/>
              </w:rPr>
            </w:pPr>
          </w:p>
          <w:p w14:paraId="57D17A3E" w14:textId="77777777" w:rsidR="00DB54B4" w:rsidRPr="00514B39" w:rsidRDefault="00DB54B4" w:rsidP="00514B39">
            <w:pPr>
              <w:widowControl w:val="0"/>
              <w:spacing w:after="0" w:line="240" w:lineRule="auto"/>
              <w:rPr>
                <w:rFonts w:ascii="Arial" w:hAnsi="Arial" w:cs="Arial"/>
              </w:rPr>
            </w:pPr>
            <w:r w:rsidRPr="00514B39">
              <w:rPr>
                <w:rFonts w:ascii="Arial" w:hAnsi="Arial" w:cs="Arial"/>
              </w:rPr>
              <w:t>Case No. 17-873-EL-ATA</w:t>
            </w:r>
          </w:p>
          <w:p w14:paraId="72432F57" w14:textId="77777777" w:rsidR="00DB54B4" w:rsidRPr="00514B39" w:rsidRDefault="00DB54B4" w:rsidP="00514B39">
            <w:pPr>
              <w:widowControl w:val="0"/>
              <w:spacing w:after="0" w:line="240" w:lineRule="auto"/>
              <w:rPr>
                <w:rFonts w:ascii="Arial" w:hAnsi="Arial" w:cs="Arial"/>
              </w:rPr>
            </w:pPr>
          </w:p>
          <w:p w14:paraId="13E1B679" w14:textId="77777777" w:rsidR="00DB54B4" w:rsidRPr="00514B39" w:rsidRDefault="00DB54B4" w:rsidP="00514B39">
            <w:pPr>
              <w:widowControl w:val="0"/>
              <w:spacing w:after="0" w:line="240" w:lineRule="auto"/>
              <w:rPr>
                <w:rFonts w:ascii="Arial" w:hAnsi="Arial" w:cs="Arial"/>
              </w:rPr>
            </w:pPr>
          </w:p>
          <w:p w14:paraId="7058F6F2" w14:textId="77777777" w:rsidR="00DB54B4" w:rsidRPr="00514B39" w:rsidRDefault="00DB54B4" w:rsidP="00514B39">
            <w:pPr>
              <w:widowControl w:val="0"/>
              <w:spacing w:after="0" w:line="240" w:lineRule="auto"/>
              <w:rPr>
                <w:rFonts w:ascii="Arial" w:hAnsi="Arial" w:cs="Arial"/>
              </w:rPr>
            </w:pPr>
          </w:p>
          <w:p w14:paraId="11053681" w14:textId="77777777" w:rsidR="00DB54B4" w:rsidRPr="00514B39" w:rsidRDefault="00DB54B4" w:rsidP="00514B39">
            <w:pPr>
              <w:widowControl w:val="0"/>
              <w:spacing w:after="0" w:line="240" w:lineRule="auto"/>
              <w:rPr>
                <w:rFonts w:ascii="Arial" w:hAnsi="Arial" w:cs="Arial"/>
              </w:rPr>
            </w:pPr>
            <w:r w:rsidRPr="00514B39">
              <w:rPr>
                <w:rFonts w:ascii="Arial" w:hAnsi="Arial" w:cs="Arial"/>
              </w:rPr>
              <w:t>Case No. 17-874-EL-AAM</w:t>
            </w:r>
          </w:p>
          <w:p w14:paraId="0F9962BA" w14:textId="77777777" w:rsidR="00DB54B4" w:rsidRPr="00514B39" w:rsidRDefault="00DB54B4" w:rsidP="00514B39">
            <w:pPr>
              <w:widowControl w:val="0"/>
              <w:spacing w:after="0" w:line="240" w:lineRule="auto"/>
              <w:rPr>
                <w:rFonts w:ascii="Arial" w:hAnsi="Arial" w:cs="Arial"/>
              </w:rPr>
            </w:pPr>
          </w:p>
          <w:p w14:paraId="606B8481" w14:textId="77777777" w:rsidR="00DB54B4" w:rsidRPr="00514B39" w:rsidRDefault="00DB54B4" w:rsidP="00514B39">
            <w:pPr>
              <w:widowControl w:val="0"/>
              <w:spacing w:after="0" w:line="240" w:lineRule="auto"/>
              <w:rPr>
                <w:rFonts w:ascii="Arial" w:hAnsi="Arial" w:cs="Arial"/>
              </w:rPr>
            </w:pPr>
          </w:p>
          <w:p w14:paraId="42C77304" w14:textId="77777777" w:rsidR="00DB54B4" w:rsidRPr="00514B39" w:rsidRDefault="00DB54B4" w:rsidP="00514B39">
            <w:pPr>
              <w:widowControl w:val="0"/>
              <w:spacing w:after="0" w:line="240" w:lineRule="auto"/>
              <w:rPr>
                <w:rFonts w:ascii="Arial" w:hAnsi="Arial" w:cs="Arial"/>
              </w:rPr>
            </w:pPr>
          </w:p>
          <w:p w14:paraId="3768B4FD" w14:textId="77777777" w:rsidR="00DB54B4" w:rsidRPr="00514B39" w:rsidRDefault="00DB54B4" w:rsidP="00514B39">
            <w:pPr>
              <w:widowControl w:val="0"/>
              <w:spacing w:after="0" w:line="240" w:lineRule="auto"/>
              <w:rPr>
                <w:rFonts w:ascii="Arial" w:hAnsi="Arial" w:cs="Arial"/>
              </w:rPr>
            </w:pPr>
          </w:p>
          <w:p w14:paraId="2F2664FC" w14:textId="77777777" w:rsidR="00DB54B4" w:rsidRPr="00514B39" w:rsidRDefault="00DB54B4" w:rsidP="00514B39">
            <w:pPr>
              <w:widowControl w:val="0"/>
              <w:spacing w:after="0" w:line="240" w:lineRule="auto"/>
              <w:rPr>
                <w:rFonts w:ascii="Arial" w:hAnsi="Arial" w:cs="Arial"/>
              </w:rPr>
            </w:pPr>
          </w:p>
          <w:p w14:paraId="15B8B576" w14:textId="77777777" w:rsidR="00DB54B4" w:rsidRPr="00514B39" w:rsidRDefault="00DB54B4" w:rsidP="00514B39">
            <w:pPr>
              <w:widowControl w:val="0"/>
              <w:spacing w:after="0" w:line="240" w:lineRule="auto"/>
              <w:rPr>
                <w:rFonts w:ascii="Arial" w:hAnsi="Arial" w:cs="Arial"/>
              </w:rPr>
            </w:pPr>
            <w:r w:rsidRPr="00514B39">
              <w:rPr>
                <w:rFonts w:ascii="Arial" w:hAnsi="Arial" w:cs="Arial"/>
              </w:rPr>
              <w:t>Case No. 17-1263-EL-SSO</w:t>
            </w:r>
          </w:p>
          <w:p w14:paraId="41219D3D" w14:textId="77777777" w:rsidR="00DB54B4" w:rsidRPr="00514B39" w:rsidRDefault="00DB54B4" w:rsidP="00514B39">
            <w:pPr>
              <w:widowControl w:val="0"/>
              <w:spacing w:after="0" w:line="240" w:lineRule="auto"/>
              <w:rPr>
                <w:rFonts w:ascii="Arial" w:hAnsi="Arial" w:cs="Arial"/>
              </w:rPr>
            </w:pPr>
          </w:p>
          <w:p w14:paraId="5C6F729E" w14:textId="77777777" w:rsidR="00DB54B4" w:rsidRPr="00514B39" w:rsidRDefault="00DB54B4" w:rsidP="00514B39">
            <w:pPr>
              <w:widowControl w:val="0"/>
              <w:spacing w:after="0" w:line="240" w:lineRule="auto"/>
              <w:rPr>
                <w:rFonts w:ascii="Arial" w:hAnsi="Arial" w:cs="Arial"/>
              </w:rPr>
            </w:pPr>
          </w:p>
          <w:p w14:paraId="6AE4D891" w14:textId="77777777" w:rsidR="00DB54B4" w:rsidRPr="00514B39" w:rsidRDefault="00DB54B4" w:rsidP="00514B39">
            <w:pPr>
              <w:widowControl w:val="0"/>
              <w:spacing w:after="0" w:line="240" w:lineRule="auto"/>
              <w:rPr>
                <w:rFonts w:ascii="Arial" w:hAnsi="Arial" w:cs="Arial"/>
              </w:rPr>
            </w:pPr>
          </w:p>
          <w:p w14:paraId="4BC97DF1" w14:textId="77777777" w:rsidR="00DB54B4" w:rsidRPr="00514B39" w:rsidRDefault="00DB54B4" w:rsidP="00514B39">
            <w:pPr>
              <w:widowControl w:val="0"/>
              <w:spacing w:after="0" w:line="240" w:lineRule="auto"/>
              <w:rPr>
                <w:rFonts w:ascii="Arial" w:hAnsi="Arial" w:cs="Arial"/>
              </w:rPr>
            </w:pPr>
          </w:p>
          <w:p w14:paraId="35E14A6E" w14:textId="77777777" w:rsidR="00DB54B4" w:rsidRPr="00514B39" w:rsidRDefault="00DB54B4" w:rsidP="00514B39">
            <w:pPr>
              <w:widowControl w:val="0"/>
              <w:spacing w:after="0" w:line="240" w:lineRule="auto"/>
              <w:rPr>
                <w:rFonts w:ascii="Arial" w:hAnsi="Arial" w:cs="Arial"/>
              </w:rPr>
            </w:pPr>
          </w:p>
          <w:p w14:paraId="22794E91" w14:textId="77777777" w:rsidR="00DB54B4" w:rsidRPr="00514B39" w:rsidRDefault="00DB54B4" w:rsidP="00514B39">
            <w:pPr>
              <w:widowControl w:val="0"/>
              <w:spacing w:after="0" w:line="240" w:lineRule="auto"/>
              <w:rPr>
                <w:rFonts w:ascii="Arial" w:hAnsi="Arial" w:cs="Arial"/>
              </w:rPr>
            </w:pPr>
            <w:r w:rsidRPr="00514B39">
              <w:rPr>
                <w:rFonts w:ascii="Arial" w:hAnsi="Arial" w:cs="Arial"/>
              </w:rPr>
              <w:t>Case No. 17-1264-EL-ATA</w:t>
            </w:r>
          </w:p>
          <w:p w14:paraId="6C6E2D18" w14:textId="77777777" w:rsidR="00DB54B4" w:rsidRPr="00514B39" w:rsidRDefault="00DB54B4" w:rsidP="00514B39">
            <w:pPr>
              <w:widowControl w:val="0"/>
              <w:spacing w:after="0" w:line="240" w:lineRule="auto"/>
              <w:rPr>
                <w:rFonts w:ascii="Arial" w:hAnsi="Arial" w:cs="Arial"/>
              </w:rPr>
            </w:pPr>
          </w:p>
          <w:p w14:paraId="3B424558" w14:textId="77777777" w:rsidR="00DB54B4" w:rsidRPr="00514B39" w:rsidRDefault="00DB54B4" w:rsidP="00514B39">
            <w:pPr>
              <w:widowControl w:val="0"/>
              <w:spacing w:after="0" w:line="240" w:lineRule="auto"/>
              <w:rPr>
                <w:rFonts w:ascii="Arial" w:hAnsi="Arial" w:cs="Arial"/>
              </w:rPr>
            </w:pPr>
          </w:p>
          <w:p w14:paraId="7D6D041A" w14:textId="77777777" w:rsidR="00DB54B4" w:rsidRPr="00514B39" w:rsidRDefault="00DB54B4" w:rsidP="00514B39">
            <w:pPr>
              <w:widowControl w:val="0"/>
              <w:spacing w:after="0" w:line="240" w:lineRule="auto"/>
              <w:rPr>
                <w:rFonts w:ascii="Arial" w:hAnsi="Arial" w:cs="Arial"/>
              </w:rPr>
            </w:pPr>
          </w:p>
          <w:p w14:paraId="018D16B1" w14:textId="77777777" w:rsidR="00DB54B4" w:rsidRPr="00514B39" w:rsidRDefault="00DB54B4" w:rsidP="00514B39">
            <w:pPr>
              <w:widowControl w:val="0"/>
              <w:spacing w:after="0" w:line="240" w:lineRule="auto"/>
              <w:rPr>
                <w:rFonts w:ascii="Arial" w:hAnsi="Arial" w:cs="Arial"/>
              </w:rPr>
            </w:pPr>
          </w:p>
          <w:p w14:paraId="7E921399" w14:textId="77777777" w:rsidR="00DB54B4" w:rsidRPr="00514B39" w:rsidRDefault="00DB54B4" w:rsidP="00514B39">
            <w:pPr>
              <w:widowControl w:val="0"/>
              <w:spacing w:after="0" w:line="240" w:lineRule="auto"/>
              <w:rPr>
                <w:rFonts w:ascii="Arial" w:hAnsi="Arial" w:cs="Arial"/>
              </w:rPr>
            </w:pPr>
            <w:r w:rsidRPr="00514B39">
              <w:rPr>
                <w:rFonts w:ascii="Arial" w:hAnsi="Arial" w:cs="Arial"/>
              </w:rPr>
              <w:t>Case No. 17-1265-EL-AAM</w:t>
            </w:r>
          </w:p>
          <w:p w14:paraId="4067A6AA" w14:textId="77777777" w:rsidR="00DB54B4" w:rsidRPr="00514B39" w:rsidRDefault="00DB54B4" w:rsidP="00514B39">
            <w:pPr>
              <w:widowControl w:val="0"/>
              <w:spacing w:after="0" w:line="240" w:lineRule="auto"/>
              <w:rPr>
                <w:rFonts w:ascii="Arial" w:hAnsi="Arial" w:cs="Arial"/>
              </w:rPr>
            </w:pPr>
          </w:p>
          <w:p w14:paraId="302B0332" w14:textId="77777777" w:rsidR="00DB54B4" w:rsidRPr="00514B39" w:rsidRDefault="00DB54B4" w:rsidP="00514B39">
            <w:pPr>
              <w:widowControl w:val="0"/>
              <w:spacing w:after="0" w:line="240" w:lineRule="auto"/>
              <w:rPr>
                <w:rFonts w:ascii="Arial" w:hAnsi="Arial" w:cs="Arial"/>
              </w:rPr>
            </w:pPr>
          </w:p>
          <w:p w14:paraId="12B39628" w14:textId="77777777" w:rsidR="00DB54B4" w:rsidRPr="00514B39" w:rsidRDefault="00DB54B4" w:rsidP="00514B39">
            <w:pPr>
              <w:widowControl w:val="0"/>
              <w:spacing w:after="0" w:line="240" w:lineRule="auto"/>
              <w:rPr>
                <w:rFonts w:ascii="Arial" w:hAnsi="Arial" w:cs="Arial"/>
              </w:rPr>
            </w:pPr>
          </w:p>
          <w:p w14:paraId="2DFDBE41" w14:textId="77777777" w:rsidR="00DB54B4" w:rsidRPr="00514B39" w:rsidRDefault="00DB54B4" w:rsidP="00514B39">
            <w:pPr>
              <w:widowControl w:val="0"/>
              <w:spacing w:after="0" w:line="240" w:lineRule="auto"/>
              <w:rPr>
                <w:rFonts w:ascii="Arial" w:hAnsi="Arial" w:cs="Arial"/>
              </w:rPr>
            </w:pPr>
          </w:p>
          <w:p w14:paraId="6D4AFA1C" w14:textId="2EC19E52" w:rsidR="000955F3" w:rsidRPr="00514B39" w:rsidRDefault="00DB54B4" w:rsidP="00514B39">
            <w:pPr>
              <w:widowControl w:val="0"/>
              <w:spacing w:after="0" w:line="240" w:lineRule="auto"/>
              <w:rPr>
                <w:rFonts w:ascii="Arial" w:hAnsi="Arial" w:cs="Arial"/>
              </w:rPr>
            </w:pPr>
            <w:r w:rsidRPr="00514B39">
              <w:rPr>
                <w:rFonts w:ascii="Arial" w:hAnsi="Arial" w:cs="Arial"/>
              </w:rPr>
              <w:t>Case No. 16-1602-EL-E</w:t>
            </w:r>
            <w:r w:rsidR="00E150AB" w:rsidRPr="00514B39">
              <w:rPr>
                <w:rFonts w:ascii="Arial" w:hAnsi="Arial" w:cs="Arial"/>
              </w:rPr>
              <w:t>SS</w:t>
            </w:r>
            <w:r w:rsidRPr="00514B39">
              <w:rPr>
                <w:rFonts w:ascii="Arial" w:hAnsi="Arial" w:cs="Arial"/>
              </w:rPr>
              <w:t xml:space="preserve">  </w:t>
            </w:r>
          </w:p>
        </w:tc>
      </w:tr>
    </w:tbl>
    <w:p w14:paraId="3ADA41D2" w14:textId="61047D8F" w:rsidR="000955F3" w:rsidRPr="00514B39" w:rsidRDefault="000955F3" w:rsidP="00514B39">
      <w:pPr>
        <w:widowControl w:val="0"/>
        <w:pBdr>
          <w:bottom w:val="single" w:sz="12" w:space="0" w:color="auto"/>
        </w:pBdr>
        <w:spacing w:after="0" w:line="240" w:lineRule="auto"/>
        <w:rPr>
          <w:rFonts w:ascii="Arial" w:hAnsi="Arial" w:cs="Arial"/>
        </w:rPr>
      </w:pPr>
    </w:p>
    <w:p w14:paraId="6E0DCC2E" w14:textId="77777777" w:rsidR="00280A2E" w:rsidRPr="00514B39" w:rsidRDefault="00280A2E" w:rsidP="00514B39">
      <w:pPr>
        <w:widowControl w:val="0"/>
        <w:spacing w:after="0" w:line="240" w:lineRule="auto"/>
        <w:jc w:val="center"/>
        <w:rPr>
          <w:rFonts w:ascii="Arial" w:hAnsi="Arial" w:cs="Arial"/>
          <w:b/>
          <w:bCs/>
        </w:rPr>
      </w:pPr>
    </w:p>
    <w:p w14:paraId="7176D2CB" w14:textId="5A43919E" w:rsidR="00545F29" w:rsidRPr="00514B39" w:rsidRDefault="001507E5" w:rsidP="00514B39">
      <w:pPr>
        <w:widowControl w:val="0"/>
        <w:spacing w:after="0" w:line="240" w:lineRule="auto"/>
        <w:jc w:val="center"/>
        <w:rPr>
          <w:rFonts w:ascii="Arial" w:hAnsi="Arial" w:cs="Arial"/>
          <w:b/>
          <w:bCs/>
        </w:rPr>
      </w:pPr>
      <w:r w:rsidRPr="00514B39">
        <w:rPr>
          <w:rFonts w:ascii="Arial" w:hAnsi="Arial" w:cs="Arial"/>
          <w:b/>
          <w:bCs/>
        </w:rPr>
        <w:t xml:space="preserve">MEMORANDUM CONTRA MOTION TO </w:t>
      </w:r>
      <w:r w:rsidR="004F420A" w:rsidRPr="00514B39">
        <w:rPr>
          <w:rFonts w:ascii="Arial" w:hAnsi="Arial" w:cs="Arial"/>
          <w:b/>
          <w:bCs/>
        </w:rPr>
        <w:t>CONSOLIDATE CASES</w:t>
      </w:r>
      <w:r w:rsidR="00166A2D" w:rsidRPr="00514B39">
        <w:rPr>
          <w:rFonts w:ascii="Arial" w:hAnsi="Arial" w:cs="Arial"/>
          <w:b/>
          <w:bCs/>
        </w:rPr>
        <w:t xml:space="preserve"> OF INTERSTATE GAS SUPPLY, INC.</w:t>
      </w:r>
    </w:p>
    <w:p w14:paraId="5D9477CE" w14:textId="71EF13E0" w:rsidR="00971C05" w:rsidRPr="00514B39" w:rsidRDefault="00514B39" w:rsidP="00514B39">
      <w:pPr>
        <w:tabs>
          <w:tab w:val="left" w:pos="360"/>
        </w:tabs>
        <w:spacing w:after="0" w:line="240" w:lineRule="auto"/>
        <w:ind w:left="360" w:hanging="360"/>
        <w:jc w:val="both"/>
        <w:rPr>
          <w:rFonts w:ascii="Arial" w:hAnsi="Arial" w:cs="Arial"/>
          <w:b/>
        </w:rPr>
      </w:pPr>
      <w:r w:rsidRPr="00514B39">
        <w:rPr>
          <w:rFonts w:ascii="Arial" w:hAnsi="Arial" w:cs="Arial"/>
          <w:b/>
        </w:rPr>
        <w:t>___________________________________________________________________________</w:t>
      </w:r>
      <w:r>
        <w:rPr>
          <w:rFonts w:ascii="Arial" w:hAnsi="Arial" w:cs="Arial"/>
          <w:b/>
        </w:rPr>
        <w:t>_</w:t>
      </w:r>
    </w:p>
    <w:p w14:paraId="31317229" w14:textId="77777777" w:rsidR="00237730" w:rsidRPr="009D71F6" w:rsidRDefault="00237730" w:rsidP="00514B39">
      <w:pPr>
        <w:tabs>
          <w:tab w:val="left" w:pos="360"/>
        </w:tabs>
        <w:spacing w:after="0" w:line="240" w:lineRule="auto"/>
        <w:jc w:val="both"/>
        <w:rPr>
          <w:rFonts w:ascii="Arial" w:hAnsi="Arial" w:cs="Arial"/>
          <w:sz w:val="24"/>
          <w:szCs w:val="24"/>
        </w:rPr>
      </w:pPr>
    </w:p>
    <w:p w14:paraId="6D49FB03" w14:textId="4CF085AD" w:rsidR="00785F0D" w:rsidRDefault="00514B39" w:rsidP="00785F0D">
      <w:pPr>
        <w:pStyle w:val="ListParagraph"/>
        <w:numPr>
          <w:ilvl w:val="0"/>
          <w:numId w:val="8"/>
        </w:numPr>
        <w:autoSpaceDE w:val="0"/>
        <w:autoSpaceDN w:val="0"/>
        <w:adjustRightInd w:val="0"/>
        <w:spacing w:after="120" w:line="480" w:lineRule="auto"/>
        <w:jc w:val="both"/>
        <w:rPr>
          <w:rFonts w:ascii="Arial" w:hAnsi="Arial" w:cs="Arial"/>
          <w:b/>
          <w:sz w:val="24"/>
          <w:szCs w:val="24"/>
        </w:rPr>
      </w:pPr>
      <w:r>
        <w:rPr>
          <w:rFonts w:ascii="Arial" w:hAnsi="Arial" w:cs="Arial"/>
          <w:b/>
          <w:sz w:val="24"/>
          <w:szCs w:val="24"/>
        </w:rPr>
        <w:lastRenderedPageBreak/>
        <w:t>INTRO</w:t>
      </w:r>
      <w:r w:rsidR="00576F6C">
        <w:rPr>
          <w:rFonts w:ascii="Arial" w:hAnsi="Arial" w:cs="Arial"/>
          <w:b/>
          <w:sz w:val="24"/>
          <w:szCs w:val="24"/>
        </w:rPr>
        <w:t>D</w:t>
      </w:r>
      <w:r w:rsidR="00785F0D">
        <w:rPr>
          <w:rFonts w:ascii="Arial" w:hAnsi="Arial" w:cs="Arial"/>
          <w:b/>
          <w:sz w:val="24"/>
          <w:szCs w:val="24"/>
        </w:rPr>
        <w:t>UCTION</w:t>
      </w:r>
    </w:p>
    <w:p w14:paraId="64432D93" w14:textId="4C61EABC" w:rsidR="00C6294B" w:rsidRDefault="00E20D65" w:rsidP="00C6294B">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On </w:t>
      </w:r>
      <w:r w:rsidR="00CF79AA">
        <w:rPr>
          <w:rFonts w:ascii="Arial" w:hAnsi="Arial" w:cs="Arial"/>
          <w:sz w:val="24"/>
          <w:szCs w:val="24"/>
        </w:rPr>
        <w:t>April 13,</w:t>
      </w:r>
      <w:r>
        <w:rPr>
          <w:rFonts w:ascii="Arial" w:hAnsi="Arial" w:cs="Arial"/>
          <w:sz w:val="24"/>
          <w:szCs w:val="24"/>
        </w:rPr>
        <w:t xml:space="preserve"> 2018, Duke Energy Ohio, Inc.</w:t>
      </w:r>
      <w:r w:rsidR="00CF79AA">
        <w:rPr>
          <w:rFonts w:ascii="Arial" w:hAnsi="Arial" w:cs="Arial"/>
          <w:sz w:val="24"/>
          <w:szCs w:val="24"/>
        </w:rPr>
        <w:t xml:space="preserve"> (“Duke”) and parties to the above-captioned proceedings entered into a partial stipulation and recommendation</w:t>
      </w:r>
      <w:r w:rsidR="001B72DD">
        <w:rPr>
          <w:rFonts w:ascii="Arial" w:hAnsi="Arial" w:cs="Arial"/>
          <w:sz w:val="24"/>
          <w:szCs w:val="24"/>
        </w:rPr>
        <w:t xml:space="preserve"> (“Stipulation”)</w:t>
      </w:r>
      <w:r w:rsidR="00CF79AA">
        <w:rPr>
          <w:rFonts w:ascii="Arial" w:hAnsi="Arial" w:cs="Arial"/>
          <w:sz w:val="24"/>
          <w:szCs w:val="24"/>
        </w:rPr>
        <w:t xml:space="preserve">.  On that same day, Duke </w:t>
      </w:r>
      <w:r>
        <w:rPr>
          <w:rFonts w:ascii="Arial" w:hAnsi="Arial" w:cs="Arial"/>
          <w:sz w:val="24"/>
          <w:szCs w:val="24"/>
        </w:rPr>
        <w:t>filed a mot</w:t>
      </w:r>
      <w:r w:rsidR="00CF79AA">
        <w:rPr>
          <w:rFonts w:ascii="Arial" w:hAnsi="Arial" w:cs="Arial"/>
          <w:sz w:val="24"/>
          <w:szCs w:val="24"/>
        </w:rPr>
        <w:t>ion t</w:t>
      </w:r>
      <w:r w:rsidR="001B72DD">
        <w:rPr>
          <w:rFonts w:ascii="Arial" w:hAnsi="Arial" w:cs="Arial"/>
          <w:sz w:val="24"/>
          <w:szCs w:val="24"/>
        </w:rPr>
        <w:t>o consolidate</w:t>
      </w:r>
      <w:r w:rsidR="0030664C">
        <w:rPr>
          <w:rFonts w:ascii="Arial" w:hAnsi="Arial" w:cs="Arial"/>
          <w:sz w:val="24"/>
          <w:szCs w:val="24"/>
        </w:rPr>
        <w:t>.</w:t>
      </w:r>
      <w:r w:rsidR="001B72DD">
        <w:rPr>
          <w:rFonts w:ascii="Arial" w:hAnsi="Arial" w:cs="Arial"/>
          <w:sz w:val="24"/>
          <w:szCs w:val="24"/>
        </w:rPr>
        <w:t xml:space="preserve"> </w:t>
      </w:r>
    </w:p>
    <w:p w14:paraId="200651F0" w14:textId="3DE9AC3A" w:rsidR="00AB5F66" w:rsidRDefault="00AB5F66" w:rsidP="00AB5F66">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The </w:t>
      </w:r>
      <w:r w:rsidR="0030664C">
        <w:rPr>
          <w:rFonts w:ascii="Arial" w:hAnsi="Arial" w:cs="Arial"/>
          <w:sz w:val="24"/>
          <w:szCs w:val="24"/>
        </w:rPr>
        <w:t>cases proposed</w:t>
      </w:r>
      <w:r w:rsidR="001B72DD">
        <w:rPr>
          <w:rFonts w:ascii="Arial" w:hAnsi="Arial" w:cs="Arial"/>
          <w:sz w:val="24"/>
          <w:szCs w:val="24"/>
        </w:rPr>
        <w:t xml:space="preserve"> to be resolved by the S</w:t>
      </w:r>
      <w:r w:rsidR="00F46B29">
        <w:rPr>
          <w:rFonts w:ascii="Arial" w:hAnsi="Arial" w:cs="Arial"/>
          <w:sz w:val="24"/>
          <w:szCs w:val="24"/>
        </w:rPr>
        <w:t>tipulation</w:t>
      </w:r>
      <w:r>
        <w:rPr>
          <w:rFonts w:ascii="Arial" w:hAnsi="Arial" w:cs="Arial"/>
          <w:sz w:val="24"/>
          <w:szCs w:val="24"/>
        </w:rPr>
        <w:t xml:space="preserve"> are lengthy and the issues voluminous. </w:t>
      </w:r>
      <w:r w:rsidR="00F46B29">
        <w:rPr>
          <w:rFonts w:ascii="Arial" w:hAnsi="Arial" w:cs="Arial"/>
          <w:sz w:val="24"/>
          <w:szCs w:val="24"/>
        </w:rPr>
        <w:t xml:space="preserve">Requiring all these cases to be considered together will </w:t>
      </w:r>
      <w:r>
        <w:rPr>
          <w:rFonts w:ascii="Arial" w:hAnsi="Arial" w:cs="Arial"/>
          <w:sz w:val="24"/>
          <w:szCs w:val="24"/>
        </w:rPr>
        <w:t xml:space="preserve">deny due process </w:t>
      </w:r>
      <w:r w:rsidR="00F46B29">
        <w:rPr>
          <w:rFonts w:ascii="Arial" w:hAnsi="Arial" w:cs="Arial"/>
          <w:sz w:val="24"/>
          <w:szCs w:val="24"/>
        </w:rPr>
        <w:t>and gloss over important issues that have a great impact on Duke’s customers</w:t>
      </w:r>
      <w:r>
        <w:rPr>
          <w:rFonts w:ascii="Arial" w:hAnsi="Arial" w:cs="Arial"/>
          <w:sz w:val="24"/>
          <w:szCs w:val="24"/>
        </w:rPr>
        <w:t>. Further, there are separate requirements applicable to</w:t>
      </w:r>
      <w:r w:rsidR="00D40F95">
        <w:rPr>
          <w:rFonts w:ascii="Arial" w:hAnsi="Arial" w:cs="Arial"/>
          <w:sz w:val="24"/>
          <w:szCs w:val="24"/>
        </w:rPr>
        <w:t xml:space="preserve"> electric security plan</w:t>
      </w:r>
      <w:r w:rsidR="008A1B84">
        <w:rPr>
          <w:rFonts w:ascii="Arial" w:hAnsi="Arial" w:cs="Arial"/>
          <w:sz w:val="24"/>
          <w:szCs w:val="24"/>
        </w:rPr>
        <w:t xml:space="preserve"> </w:t>
      </w:r>
      <w:r w:rsidR="00D40F95">
        <w:rPr>
          <w:rFonts w:ascii="Arial" w:hAnsi="Arial" w:cs="Arial"/>
          <w:sz w:val="24"/>
          <w:szCs w:val="24"/>
        </w:rPr>
        <w:t xml:space="preserve">(“ESP”) and distribution cases </w:t>
      </w:r>
      <w:r>
        <w:rPr>
          <w:rFonts w:ascii="Arial" w:hAnsi="Arial" w:cs="Arial"/>
          <w:sz w:val="24"/>
          <w:szCs w:val="24"/>
        </w:rPr>
        <w:t xml:space="preserve">under Chapters 4909 and 4928 that </w:t>
      </w:r>
      <w:r w:rsidR="00F46B29">
        <w:rPr>
          <w:rFonts w:ascii="Arial" w:hAnsi="Arial" w:cs="Arial"/>
          <w:sz w:val="24"/>
          <w:szCs w:val="24"/>
        </w:rPr>
        <w:t>cannot be adhered to</w:t>
      </w:r>
      <w:r>
        <w:rPr>
          <w:rFonts w:ascii="Arial" w:hAnsi="Arial" w:cs="Arial"/>
          <w:sz w:val="24"/>
          <w:szCs w:val="24"/>
        </w:rPr>
        <w:t xml:space="preserve"> </w:t>
      </w:r>
      <w:r w:rsidR="00F46B29">
        <w:rPr>
          <w:rFonts w:ascii="Arial" w:hAnsi="Arial" w:cs="Arial"/>
          <w:sz w:val="24"/>
          <w:szCs w:val="24"/>
        </w:rPr>
        <w:t>by conducting</w:t>
      </w:r>
      <w:r>
        <w:rPr>
          <w:rFonts w:ascii="Arial" w:hAnsi="Arial" w:cs="Arial"/>
          <w:sz w:val="24"/>
          <w:szCs w:val="24"/>
        </w:rPr>
        <w:t xml:space="preserve"> a consolidated proceeding.</w:t>
      </w:r>
      <w:r w:rsidRPr="00AB5F66">
        <w:rPr>
          <w:rFonts w:ascii="Arial" w:hAnsi="Arial" w:cs="Arial"/>
          <w:sz w:val="24"/>
          <w:szCs w:val="24"/>
        </w:rPr>
        <w:t xml:space="preserve"> </w:t>
      </w:r>
    </w:p>
    <w:p w14:paraId="5065D29C" w14:textId="2DADFCAA" w:rsidR="00AB5F66" w:rsidRDefault="00F46B29" w:rsidP="008A1B84">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For these reasons</w:t>
      </w:r>
      <w:r w:rsidR="00AB5F66">
        <w:rPr>
          <w:rFonts w:ascii="Arial" w:hAnsi="Arial" w:cs="Arial"/>
          <w:sz w:val="24"/>
          <w:szCs w:val="24"/>
        </w:rPr>
        <w:t xml:space="preserve">, IGS recommends that the distribution case be severed and the motion be denied, in part. </w:t>
      </w:r>
    </w:p>
    <w:p w14:paraId="6F9B144D" w14:textId="22C3DD4D" w:rsidR="00E93520" w:rsidRDefault="00E93520" w:rsidP="00CF79AA">
      <w:pPr>
        <w:pStyle w:val="ListParagraph"/>
        <w:numPr>
          <w:ilvl w:val="0"/>
          <w:numId w:val="8"/>
        </w:numPr>
        <w:autoSpaceDE w:val="0"/>
        <w:autoSpaceDN w:val="0"/>
        <w:adjustRightInd w:val="0"/>
        <w:spacing w:after="120" w:line="480" w:lineRule="auto"/>
        <w:jc w:val="both"/>
        <w:rPr>
          <w:rFonts w:ascii="Arial" w:hAnsi="Arial" w:cs="Arial"/>
          <w:b/>
          <w:sz w:val="24"/>
          <w:szCs w:val="24"/>
        </w:rPr>
      </w:pPr>
      <w:r>
        <w:rPr>
          <w:rFonts w:ascii="Arial" w:hAnsi="Arial" w:cs="Arial"/>
          <w:b/>
          <w:sz w:val="24"/>
          <w:szCs w:val="24"/>
        </w:rPr>
        <w:t>BACKGROUND</w:t>
      </w:r>
    </w:p>
    <w:p w14:paraId="2CF32493" w14:textId="524B801B" w:rsidR="00536222" w:rsidRDefault="00F46B29" w:rsidP="006648F8">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Given the sheer number of cases and issues </w:t>
      </w:r>
      <w:r w:rsidR="0094727D">
        <w:rPr>
          <w:rFonts w:ascii="Arial" w:hAnsi="Arial" w:cs="Arial"/>
          <w:sz w:val="24"/>
          <w:szCs w:val="24"/>
        </w:rPr>
        <w:t>that</w:t>
      </w:r>
      <w:r>
        <w:rPr>
          <w:rFonts w:ascii="Arial" w:hAnsi="Arial" w:cs="Arial"/>
          <w:sz w:val="24"/>
          <w:szCs w:val="24"/>
        </w:rPr>
        <w:t xml:space="preserve"> are being considered, a brief summary is due.</w:t>
      </w:r>
      <w:r w:rsidR="00AB5F66">
        <w:rPr>
          <w:rFonts w:ascii="Arial" w:hAnsi="Arial" w:cs="Arial"/>
          <w:sz w:val="24"/>
          <w:szCs w:val="24"/>
        </w:rPr>
        <w:t xml:space="preserve"> </w:t>
      </w:r>
      <w:r>
        <w:rPr>
          <w:rFonts w:ascii="Arial" w:hAnsi="Arial" w:cs="Arial"/>
          <w:sz w:val="24"/>
          <w:szCs w:val="24"/>
        </w:rPr>
        <w:t>O</w:t>
      </w:r>
      <w:r w:rsidR="00536222">
        <w:rPr>
          <w:rFonts w:ascii="Arial" w:hAnsi="Arial" w:cs="Arial"/>
          <w:sz w:val="24"/>
          <w:szCs w:val="24"/>
        </w:rPr>
        <w:t>n July 22, 2016, Duke filed</w:t>
      </w:r>
      <w:r w:rsidR="000D0651">
        <w:rPr>
          <w:rFonts w:ascii="Arial" w:hAnsi="Arial" w:cs="Arial"/>
          <w:sz w:val="24"/>
          <w:szCs w:val="24"/>
        </w:rPr>
        <w:t xml:space="preserve"> an application in Case Number 16-1602-EL-ESS to establish new reliability standards t</w:t>
      </w:r>
      <w:r w:rsidR="001C5F90">
        <w:rPr>
          <w:rFonts w:ascii="Arial" w:hAnsi="Arial" w:cs="Arial"/>
          <w:sz w:val="24"/>
          <w:szCs w:val="24"/>
        </w:rPr>
        <w:t xml:space="preserve">hat would be </w:t>
      </w:r>
      <w:r w:rsidR="00CD7E33">
        <w:rPr>
          <w:rFonts w:ascii="Arial" w:hAnsi="Arial" w:cs="Arial"/>
          <w:sz w:val="24"/>
          <w:szCs w:val="24"/>
        </w:rPr>
        <w:t>effective</w:t>
      </w:r>
      <w:r w:rsidR="000D0651">
        <w:rPr>
          <w:rFonts w:ascii="Arial" w:hAnsi="Arial" w:cs="Arial"/>
          <w:sz w:val="24"/>
          <w:szCs w:val="24"/>
        </w:rPr>
        <w:t xml:space="preserve"> in 2017</w:t>
      </w:r>
      <w:r w:rsidR="001C5F90">
        <w:rPr>
          <w:rFonts w:ascii="Arial" w:hAnsi="Arial" w:cs="Arial"/>
          <w:sz w:val="24"/>
          <w:szCs w:val="24"/>
        </w:rPr>
        <w:t>, and thereafter</w:t>
      </w:r>
      <w:r w:rsidR="000D0651">
        <w:rPr>
          <w:rFonts w:ascii="Arial" w:hAnsi="Arial" w:cs="Arial"/>
          <w:sz w:val="24"/>
          <w:szCs w:val="24"/>
        </w:rPr>
        <w:t>.</w:t>
      </w:r>
      <w:r w:rsidR="00E05A44">
        <w:rPr>
          <w:rFonts w:ascii="Arial" w:hAnsi="Arial" w:cs="Arial"/>
          <w:sz w:val="24"/>
          <w:szCs w:val="24"/>
        </w:rPr>
        <w:t xml:space="preserve">  The filing included statistical measurements </w:t>
      </w:r>
      <w:r w:rsidR="009C1A13">
        <w:rPr>
          <w:rFonts w:ascii="Arial" w:hAnsi="Arial" w:cs="Arial"/>
          <w:sz w:val="24"/>
          <w:szCs w:val="24"/>
        </w:rPr>
        <w:t>to indicate whether</w:t>
      </w:r>
      <w:r w:rsidR="0030664C">
        <w:rPr>
          <w:rFonts w:ascii="Arial" w:hAnsi="Arial" w:cs="Arial"/>
          <w:sz w:val="24"/>
          <w:szCs w:val="24"/>
        </w:rPr>
        <w:t xml:space="preserve"> Duke had the appropriate</w:t>
      </w:r>
      <w:r w:rsidR="009C1A13">
        <w:rPr>
          <w:rFonts w:ascii="Arial" w:hAnsi="Arial" w:cs="Arial"/>
          <w:sz w:val="24"/>
          <w:szCs w:val="24"/>
        </w:rPr>
        <w:t xml:space="preserve"> </w:t>
      </w:r>
      <w:r w:rsidR="00E05A44">
        <w:rPr>
          <w:rFonts w:ascii="Arial" w:hAnsi="Arial" w:cs="Arial"/>
          <w:sz w:val="24"/>
          <w:szCs w:val="24"/>
        </w:rPr>
        <w:t xml:space="preserve">processes in place to ensure the delivery of safe and reliable service.   </w:t>
      </w:r>
    </w:p>
    <w:p w14:paraId="001468B2" w14:textId="2AEACB19" w:rsidR="007473BF" w:rsidRDefault="006648F8" w:rsidP="00AB5F66">
      <w:pPr>
        <w:autoSpaceDE w:val="0"/>
        <w:autoSpaceDN w:val="0"/>
        <w:adjustRightInd w:val="0"/>
        <w:spacing w:after="120" w:line="480" w:lineRule="auto"/>
        <w:ind w:firstLine="720"/>
        <w:jc w:val="both"/>
        <w:rPr>
          <w:rFonts w:ascii="Arial" w:hAnsi="Arial" w:cs="Arial"/>
          <w:sz w:val="24"/>
          <w:szCs w:val="24"/>
        </w:rPr>
      </w:pPr>
      <w:r w:rsidRPr="006648F8">
        <w:rPr>
          <w:rFonts w:ascii="Arial" w:hAnsi="Arial" w:cs="Arial"/>
          <w:sz w:val="24"/>
          <w:szCs w:val="24"/>
        </w:rPr>
        <w:t>On March 2, 2017, Duke filed an application</w:t>
      </w:r>
      <w:r>
        <w:rPr>
          <w:rFonts w:ascii="Arial" w:hAnsi="Arial" w:cs="Arial"/>
          <w:sz w:val="24"/>
          <w:szCs w:val="24"/>
        </w:rPr>
        <w:t xml:space="preserve"> in Case Numbers 17-32-EL-AIR, 17-33-EL-ATA, and 17-34-EL-AAM to increase its electric distribution rates and establish new riders</w:t>
      </w:r>
      <w:r w:rsidR="005D627C">
        <w:rPr>
          <w:rFonts w:ascii="Arial" w:hAnsi="Arial" w:cs="Arial"/>
          <w:sz w:val="24"/>
          <w:szCs w:val="24"/>
        </w:rPr>
        <w:t xml:space="preserve"> </w:t>
      </w:r>
      <w:r w:rsidR="005268F4">
        <w:rPr>
          <w:rFonts w:ascii="Arial" w:hAnsi="Arial" w:cs="Arial"/>
          <w:sz w:val="24"/>
          <w:szCs w:val="24"/>
        </w:rPr>
        <w:t xml:space="preserve">that would </w:t>
      </w:r>
      <w:r w:rsidR="00BF3ED9">
        <w:rPr>
          <w:rFonts w:ascii="Arial" w:hAnsi="Arial" w:cs="Arial"/>
          <w:sz w:val="24"/>
          <w:szCs w:val="24"/>
        </w:rPr>
        <w:t>be effective</w:t>
      </w:r>
      <w:r w:rsidR="00211F6D">
        <w:rPr>
          <w:rFonts w:ascii="Arial" w:hAnsi="Arial" w:cs="Arial"/>
          <w:sz w:val="24"/>
          <w:szCs w:val="24"/>
        </w:rPr>
        <w:t xml:space="preserve"> </w:t>
      </w:r>
      <w:r w:rsidR="002B1C8B">
        <w:rPr>
          <w:rFonts w:ascii="Arial" w:hAnsi="Arial" w:cs="Arial"/>
          <w:sz w:val="24"/>
          <w:szCs w:val="24"/>
        </w:rPr>
        <w:t>in</w:t>
      </w:r>
      <w:r w:rsidR="003F66D2">
        <w:rPr>
          <w:rFonts w:ascii="Arial" w:hAnsi="Arial" w:cs="Arial"/>
          <w:sz w:val="24"/>
          <w:szCs w:val="24"/>
        </w:rPr>
        <w:t xml:space="preserve"> </w:t>
      </w:r>
      <w:r w:rsidR="00BF3ED9">
        <w:rPr>
          <w:rFonts w:ascii="Arial" w:hAnsi="Arial" w:cs="Arial"/>
          <w:sz w:val="24"/>
          <w:szCs w:val="24"/>
        </w:rPr>
        <w:t xml:space="preserve">January </w:t>
      </w:r>
      <w:r w:rsidR="005D627C">
        <w:rPr>
          <w:rFonts w:ascii="Arial" w:hAnsi="Arial" w:cs="Arial"/>
          <w:sz w:val="24"/>
          <w:szCs w:val="24"/>
        </w:rPr>
        <w:t>2018</w:t>
      </w:r>
      <w:r>
        <w:rPr>
          <w:rFonts w:ascii="Arial" w:hAnsi="Arial" w:cs="Arial"/>
          <w:sz w:val="24"/>
          <w:szCs w:val="24"/>
        </w:rPr>
        <w:t xml:space="preserve">.  </w:t>
      </w:r>
      <w:r w:rsidR="00DB05CD">
        <w:rPr>
          <w:rFonts w:ascii="Arial" w:hAnsi="Arial" w:cs="Arial"/>
          <w:sz w:val="24"/>
          <w:szCs w:val="24"/>
        </w:rPr>
        <w:t>As part of its application, Duke sought to</w:t>
      </w:r>
      <w:r w:rsidR="00A11674">
        <w:rPr>
          <w:rFonts w:ascii="Arial" w:hAnsi="Arial" w:cs="Arial"/>
          <w:sz w:val="24"/>
          <w:szCs w:val="24"/>
        </w:rPr>
        <w:t xml:space="preserve"> not only</w:t>
      </w:r>
      <w:r w:rsidR="00DB05CD">
        <w:rPr>
          <w:rFonts w:ascii="Arial" w:hAnsi="Arial" w:cs="Arial"/>
          <w:sz w:val="24"/>
          <w:szCs w:val="24"/>
        </w:rPr>
        <w:t xml:space="preserve"> incorporate the </w:t>
      </w:r>
      <w:proofErr w:type="spellStart"/>
      <w:r w:rsidR="00DB05CD">
        <w:rPr>
          <w:rFonts w:ascii="Arial" w:hAnsi="Arial" w:cs="Arial"/>
          <w:sz w:val="24"/>
          <w:szCs w:val="24"/>
        </w:rPr>
        <w:t>SmartGrid</w:t>
      </w:r>
      <w:proofErr w:type="spellEnd"/>
      <w:r w:rsidR="00DB05CD">
        <w:rPr>
          <w:rFonts w:ascii="Arial" w:hAnsi="Arial" w:cs="Arial"/>
          <w:sz w:val="24"/>
          <w:szCs w:val="24"/>
        </w:rPr>
        <w:t xml:space="preserve"> revenue requirement into </w:t>
      </w:r>
      <w:r w:rsidR="00766968">
        <w:rPr>
          <w:rFonts w:ascii="Arial" w:hAnsi="Arial" w:cs="Arial"/>
          <w:sz w:val="24"/>
          <w:szCs w:val="24"/>
        </w:rPr>
        <w:t xml:space="preserve">its </w:t>
      </w:r>
      <w:r w:rsidR="00DB05CD">
        <w:rPr>
          <w:rFonts w:ascii="Arial" w:hAnsi="Arial" w:cs="Arial"/>
          <w:sz w:val="24"/>
          <w:szCs w:val="24"/>
        </w:rPr>
        <w:t>base rates</w:t>
      </w:r>
      <w:r w:rsidR="000B1831">
        <w:rPr>
          <w:rFonts w:ascii="Arial" w:hAnsi="Arial" w:cs="Arial"/>
          <w:sz w:val="24"/>
          <w:szCs w:val="24"/>
        </w:rPr>
        <w:t xml:space="preserve">, </w:t>
      </w:r>
      <w:r w:rsidR="00A11674">
        <w:rPr>
          <w:rFonts w:ascii="Arial" w:hAnsi="Arial" w:cs="Arial"/>
          <w:sz w:val="24"/>
          <w:szCs w:val="24"/>
        </w:rPr>
        <w:t>but also to</w:t>
      </w:r>
      <w:r w:rsidR="000B1831">
        <w:rPr>
          <w:rFonts w:ascii="Arial" w:hAnsi="Arial" w:cs="Arial"/>
          <w:sz w:val="24"/>
          <w:szCs w:val="24"/>
        </w:rPr>
        <w:t xml:space="preserve"> </w:t>
      </w:r>
      <w:r w:rsidR="000B1831">
        <w:rPr>
          <w:rFonts w:ascii="Arial" w:hAnsi="Arial" w:cs="Arial"/>
          <w:sz w:val="24"/>
          <w:szCs w:val="24"/>
        </w:rPr>
        <w:lastRenderedPageBreak/>
        <w:t>extend its Rider DCI, modify the rider’s recoverable costs, and adjust the basis for the rider’s calculation</w:t>
      </w:r>
      <w:r w:rsidR="00DB05CD">
        <w:rPr>
          <w:rFonts w:ascii="Arial" w:hAnsi="Arial" w:cs="Arial"/>
          <w:sz w:val="24"/>
          <w:szCs w:val="24"/>
        </w:rPr>
        <w:t>.</w:t>
      </w:r>
      <w:r w:rsidR="00DB05CD">
        <w:rPr>
          <w:rStyle w:val="FootnoteReference"/>
          <w:rFonts w:ascii="Arial" w:hAnsi="Arial" w:cs="Arial"/>
          <w:sz w:val="24"/>
          <w:szCs w:val="24"/>
        </w:rPr>
        <w:footnoteReference w:id="1"/>
      </w:r>
      <w:r w:rsidR="008F1F6A">
        <w:rPr>
          <w:rFonts w:ascii="Arial" w:hAnsi="Arial" w:cs="Arial"/>
          <w:sz w:val="24"/>
          <w:szCs w:val="24"/>
        </w:rPr>
        <w:t xml:space="preserve">  Duke</w:t>
      </w:r>
      <w:r w:rsidR="00E63028">
        <w:rPr>
          <w:rFonts w:ascii="Arial" w:hAnsi="Arial" w:cs="Arial"/>
          <w:sz w:val="24"/>
          <w:szCs w:val="24"/>
        </w:rPr>
        <w:t xml:space="preserve"> </w:t>
      </w:r>
      <w:r w:rsidR="008F1F6A">
        <w:rPr>
          <w:rFonts w:ascii="Arial" w:hAnsi="Arial" w:cs="Arial"/>
          <w:sz w:val="24"/>
          <w:szCs w:val="24"/>
        </w:rPr>
        <w:t>indicated that it made the filing</w:t>
      </w:r>
      <w:r w:rsidR="00EE0826">
        <w:rPr>
          <w:rFonts w:ascii="Arial" w:hAnsi="Arial" w:cs="Arial"/>
          <w:sz w:val="24"/>
          <w:szCs w:val="24"/>
        </w:rPr>
        <w:t>, in part,</w:t>
      </w:r>
      <w:r w:rsidR="008F1F6A">
        <w:rPr>
          <w:rFonts w:ascii="Arial" w:hAnsi="Arial" w:cs="Arial"/>
          <w:sz w:val="24"/>
          <w:szCs w:val="24"/>
        </w:rPr>
        <w:t xml:space="preserve"> to</w:t>
      </w:r>
      <w:r w:rsidR="00766968">
        <w:rPr>
          <w:rFonts w:ascii="Arial" w:hAnsi="Arial" w:cs="Arial"/>
          <w:sz w:val="24"/>
          <w:szCs w:val="24"/>
        </w:rPr>
        <w:t xml:space="preserve"> generate sufficient revenues to pay its distribution-related operating</w:t>
      </w:r>
      <w:r w:rsidR="006460B3">
        <w:rPr>
          <w:rFonts w:ascii="Arial" w:hAnsi="Arial" w:cs="Arial"/>
          <w:sz w:val="24"/>
          <w:szCs w:val="24"/>
        </w:rPr>
        <w:t xml:space="preserve"> expenses</w:t>
      </w:r>
      <w:r w:rsidR="00DC605D">
        <w:rPr>
          <w:rFonts w:ascii="Arial" w:hAnsi="Arial" w:cs="Arial"/>
          <w:sz w:val="24"/>
          <w:szCs w:val="24"/>
        </w:rPr>
        <w:t xml:space="preserve">, including taxes and depreciation; to service its debt; and to provide an adequate rate of return on its property used in the </w:t>
      </w:r>
      <w:r w:rsidR="006460B3">
        <w:rPr>
          <w:rFonts w:ascii="Arial" w:hAnsi="Arial" w:cs="Arial"/>
          <w:sz w:val="24"/>
          <w:szCs w:val="24"/>
        </w:rPr>
        <w:t xml:space="preserve">provision </w:t>
      </w:r>
      <w:r w:rsidR="00DC605D">
        <w:rPr>
          <w:rFonts w:ascii="Arial" w:hAnsi="Arial" w:cs="Arial"/>
          <w:sz w:val="24"/>
          <w:szCs w:val="24"/>
        </w:rPr>
        <w:t>of electric distribution service to its customers.</w:t>
      </w:r>
      <w:r w:rsidR="00501051">
        <w:rPr>
          <w:rFonts w:ascii="Arial" w:hAnsi="Arial" w:cs="Arial"/>
          <w:sz w:val="24"/>
          <w:szCs w:val="24"/>
        </w:rPr>
        <w:t xml:space="preserve">  </w:t>
      </w:r>
    </w:p>
    <w:p w14:paraId="2B66D346" w14:textId="1771CB37" w:rsidR="00E93520" w:rsidRDefault="008B3C44" w:rsidP="006648F8">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Later that month,</w:t>
      </w:r>
      <w:r w:rsidR="001C7CF1">
        <w:rPr>
          <w:rFonts w:ascii="Arial" w:hAnsi="Arial" w:cs="Arial"/>
          <w:sz w:val="24"/>
          <w:szCs w:val="24"/>
        </w:rPr>
        <w:t xml:space="preserve"> on March 31, 2017,</w:t>
      </w:r>
      <w:r>
        <w:rPr>
          <w:rFonts w:ascii="Arial" w:hAnsi="Arial" w:cs="Arial"/>
          <w:sz w:val="24"/>
          <w:szCs w:val="24"/>
        </w:rPr>
        <w:t xml:space="preserve"> Duke filed </w:t>
      </w:r>
      <w:r w:rsidR="007100E4">
        <w:rPr>
          <w:rFonts w:ascii="Arial" w:hAnsi="Arial" w:cs="Arial"/>
          <w:sz w:val="24"/>
          <w:szCs w:val="24"/>
        </w:rPr>
        <w:t>a separate</w:t>
      </w:r>
      <w:r>
        <w:rPr>
          <w:rFonts w:ascii="Arial" w:hAnsi="Arial" w:cs="Arial"/>
          <w:sz w:val="24"/>
          <w:szCs w:val="24"/>
        </w:rPr>
        <w:t xml:space="preserve"> application in Case Numbers </w:t>
      </w:r>
      <w:r w:rsidR="004B0EA5">
        <w:rPr>
          <w:rFonts w:ascii="Arial" w:hAnsi="Arial" w:cs="Arial"/>
          <w:sz w:val="24"/>
          <w:szCs w:val="24"/>
        </w:rPr>
        <w:t xml:space="preserve">17-872-EL-RDR, 17-873-EL-ATA, and 17-874-EL-AAM seeking </w:t>
      </w:r>
      <w:r w:rsidR="00246507">
        <w:rPr>
          <w:rFonts w:ascii="Arial" w:hAnsi="Arial" w:cs="Arial"/>
          <w:sz w:val="24"/>
          <w:szCs w:val="24"/>
        </w:rPr>
        <w:t xml:space="preserve">approval to make several modifications </w:t>
      </w:r>
      <w:r w:rsidR="004B0EA5">
        <w:rPr>
          <w:rFonts w:ascii="Arial" w:hAnsi="Arial" w:cs="Arial"/>
          <w:sz w:val="24"/>
          <w:szCs w:val="24"/>
        </w:rPr>
        <w:t xml:space="preserve">to </w:t>
      </w:r>
      <w:r w:rsidR="00246507">
        <w:rPr>
          <w:rFonts w:ascii="Arial" w:hAnsi="Arial" w:cs="Arial"/>
          <w:sz w:val="24"/>
          <w:szCs w:val="24"/>
        </w:rPr>
        <w:t>its</w:t>
      </w:r>
      <w:r w:rsidR="006D47F7">
        <w:rPr>
          <w:rFonts w:ascii="Arial" w:hAnsi="Arial" w:cs="Arial"/>
          <w:sz w:val="24"/>
          <w:szCs w:val="24"/>
        </w:rPr>
        <w:t xml:space="preserve"> existing Price Stabilization Rider (“Rider PSR”).</w:t>
      </w:r>
      <w:r w:rsidR="007100E4">
        <w:rPr>
          <w:rFonts w:ascii="Arial" w:hAnsi="Arial" w:cs="Arial"/>
          <w:sz w:val="24"/>
          <w:szCs w:val="24"/>
        </w:rPr>
        <w:t xml:space="preserve">  </w:t>
      </w:r>
      <w:r w:rsidR="00777481">
        <w:rPr>
          <w:rFonts w:ascii="Arial" w:hAnsi="Arial" w:cs="Arial"/>
          <w:sz w:val="24"/>
          <w:szCs w:val="24"/>
        </w:rPr>
        <w:t xml:space="preserve">Specifically, </w:t>
      </w:r>
      <w:r w:rsidR="00246507">
        <w:rPr>
          <w:rFonts w:ascii="Arial" w:hAnsi="Arial" w:cs="Arial"/>
          <w:sz w:val="24"/>
          <w:szCs w:val="24"/>
        </w:rPr>
        <w:t xml:space="preserve">Duke’s </w:t>
      </w:r>
      <w:r w:rsidR="00F40B37">
        <w:rPr>
          <w:rFonts w:ascii="Arial" w:hAnsi="Arial" w:cs="Arial"/>
          <w:sz w:val="24"/>
          <w:szCs w:val="24"/>
        </w:rPr>
        <w:t>application</w:t>
      </w:r>
      <w:r w:rsidR="00246507">
        <w:rPr>
          <w:rFonts w:ascii="Arial" w:hAnsi="Arial" w:cs="Arial"/>
          <w:sz w:val="24"/>
          <w:szCs w:val="24"/>
        </w:rPr>
        <w:t xml:space="preserve"> sought to modify its accounting practices to </w:t>
      </w:r>
      <w:r w:rsidR="00D16131">
        <w:rPr>
          <w:rFonts w:ascii="Arial" w:hAnsi="Arial" w:cs="Arial"/>
          <w:sz w:val="24"/>
          <w:szCs w:val="24"/>
        </w:rPr>
        <w:t xml:space="preserve">defer </w:t>
      </w:r>
      <w:r w:rsidR="00A32858">
        <w:rPr>
          <w:rFonts w:ascii="Arial" w:hAnsi="Arial" w:cs="Arial"/>
          <w:sz w:val="24"/>
          <w:szCs w:val="24"/>
        </w:rPr>
        <w:t xml:space="preserve">net costs related to its ownership share in </w:t>
      </w:r>
      <w:r w:rsidR="00246507">
        <w:rPr>
          <w:rFonts w:ascii="Arial" w:hAnsi="Arial" w:cs="Arial"/>
          <w:sz w:val="24"/>
          <w:szCs w:val="24"/>
        </w:rPr>
        <w:t>Ohio Valley Electric Corporation</w:t>
      </w:r>
      <w:r w:rsidR="00BF639F">
        <w:rPr>
          <w:rFonts w:ascii="Arial" w:hAnsi="Arial" w:cs="Arial"/>
          <w:sz w:val="24"/>
          <w:szCs w:val="24"/>
        </w:rPr>
        <w:t xml:space="preserve"> (“OVEC”) </w:t>
      </w:r>
      <w:r w:rsidR="0037318F">
        <w:rPr>
          <w:rFonts w:ascii="Arial" w:hAnsi="Arial" w:cs="Arial"/>
          <w:sz w:val="24"/>
          <w:szCs w:val="24"/>
        </w:rPr>
        <w:t>generating facilities</w:t>
      </w:r>
      <w:r w:rsidR="0000378F">
        <w:rPr>
          <w:rFonts w:ascii="Arial" w:hAnsi="Arial" w:cs="Arial"/>
          <w:sz w:val="24"/>
          <w:szCs w:val="24"/>
        </w:rPr>
        <w:t>, as of April 1, 201</w:t>
      </w:r>
      <w:r w:rsidR="009A3206">
        <w:rPr>
          <w:rFonts w:ascii="Arial" w:hAnsi="Arial" w:cs="Arial"/>
          <w:sz w:val="24"/>
          <w:szCs w:val="24"/>
        </w:rPr>
        <w:t>7</w:t>
      </w:r>
      <w:r w:rsidR="0000378F">
        <w:rPr>
          <w:rFonts w:ascii="Arial" w:hAnsi="Arial" w:cs="Arial"/>
          <w:sz w:val="24"/>
          <w:szCs w:val="24"/>
        </w:rPr>
        <w:t>;</w:t>
      </w:r>
      <w:r w:rsidR="00A32858">
        <w:rPr>
          <w:rFonts w:ascii="Arial" w:hAnsi="Arial" w:cs="Arial"/>
          <w:sz w:val="24"/>
          <w:szCs w:val="24"/>
        </w:rPr>
        <w:t xml:space="preserve"> </w:t>
      </w:r>
      <w:r w:rsidR="00BF639F">
        <w:rPr>
          <w:rFonts w:ascii="Arial" w:hAnsi="Arial" w:cs="Arial"/>
          <w:sz w:val="24"/>
          <w:szCs w:val="24"/>
        </w:rPr>
        <w:t xml:space="preserve">and to permit recovery of </w:t>
      </w:r>
      <w:r w:rsidR="0037318F">
        <w:rPr>
          <w:rFonts w:ascii="Arial" w:hAnsi="Arial" w:cs="Arial"/>
          <w:sz w:val="24"/>
          <w:szCs w:val="24"/>
        </w:rPr>
        <w:t>those deferred amounts via Rider PSR</w:t>
      </w:r>
      <w:r w:rsidR="00246507">
        <w:rPr>
          <w:rFonts w:ascii="Arial" w:hAnsi="Arial" w:cs="Arial"/>
          <w:sz w:val="24"/>
          <w:szCs w:val="24"/>
        </w:rPr>
        <w:t>.</w:t>
      </w:r>
      <w:r w:rsidR="00246507">
        <w:rPr>
          <w:rStyle w:val="FootnoteReference"/>
          <w:rFonts w:ascii="Arial" w:hAnsi="Arial" w:cs="Arial"/>
          <w:sz w:val="24"/>
          <w:szCs w:val="24"/>
        </w:rPr>
        <w:footnoteReference w:id="2"/>
      </w:r>
      <w:r w:rsidR="001A134A">
        <w:rPr>
          <w:rFonts w:ascii="Arial" w:hAnsi="Arial" w:cs="Arial"/>
          <w:sz w:val="24"/>
          <w:szCs w:val="24"/>
        </w:rPr>
        <w:t xml:space="preserve">  The application also included a proposal to modify the term of Rider PSR to continue</w:t>
      </w:r>
      <w:r w:rsidR="00286005">
        <w:rPr>
          <w:rFonts w:ascii="Arial" w:hAnsi="Arial" w:cs="Arial"/>
          <w:sz w:val="24"/>
          <w:szCs w:val="24"/>
        </w:rPr>
        <w:t xml:space="preserve"> </w:t>
      </w:r>
      <w:r w:rsidR="001A134A">
        <w:rPr>
          <w:rFonts w:ascii="Arial" w:hAnsi="Arial" w:cs="Arial"/>
          <w:sz w:val="24"/>
          <w:szCs w:val="24"/>
        </w:rPr>
        <w:t>through June 30, 2040.</w:t>
      </w:r>
      <w:r w:rsidR="007D5C5E">
        <w:rPr>
          <w:rFonts w:ascii="Arial" w:hAnsi="Arial" w:cs="Arial"/>
          <w:sz w:val="24"/>
          <w:szCs w:val="24"/>
        </w:rPr>
        <w:t xml:space="preserve"> </w:t>
      </w:r>
    </w:p>
    <w:p w14:paraId="7CE375FD" w14:textId="2D39A4BE" w:rsidR="00E93520" w:rsidRDefault="00974626" w:rsidP="000D0651">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On June 1, 2017, Duke filed an application to establish a standard service offer (“SSO”) in the form of an </w:t>
      </w:r>
      <w:r w:rsidR="001B72DD">
        <w:rPr>
          <w:rFonts w:ascii="Arial" w:hAnsi="Arial" w:cs="Arial"/>
          <w:sz w:val="24"/>
          <w:szCs w:val="24"/>
        </w:rPr>
        <w:t>ESP</w:t>
      </w:r>
      <w:r w:rsidR="00800E45">
        <w:rPr>
          <w:rFonts w:ascii="Arial" w:hAnsi="Arial" w:cs="Arial"/>
          <w:sz w:val="24"/>
          <w:szCs w:val="24"/>
        </w:rPr>
        <w:t xml:space="preserve"> in Case Numbers 17-1263-EL-SSO, 17-1264-EL-ATA, and 17-1265-EL-AAM.</w:t>
      </w:r>
      <w:r w:rsidR="003E7D04">
        <w:rPr>
          <w:rFonts w:ascii="Arial" w:hAnsi="Arial" w:cs="Arial"/>
          <w:sz w:val="24"/>
          <w:szCs w:val="24"/>
        </w:rPr>
        <w:t xml:space="preserve">  </w:t>
      </w:r>
      <w:r w:rsidR="00997A8F">
        <w:rPr>
          <w:rFonts w:ascii="Arial" w:hAnsi="Arial" w:cs="Arial"/>
          <w:sz w:val="24"/>
          <w:szCs w:val="24"/>
        </w:rPr>
        <w:t xml:space="preserve">The crux of Duke’s application </w:t>
      </w:r>
      <w:r w:rsidR="00A015EA">
        <w:rPr>
          <w:rFonts w:ascii="Arial" w:hAnsi="Arial" w:cs="Arial"/>
          <w:sz w:val="24"/>
          <w:szCs w:val="24"/>
        </w:rPr>
        <w:t>was</w:t>
      </w:r>
      <w:r w:rsidR="00997A8F">
        <w:rPr>
          <w:rFonts w:ascii="Arial" w:hAnsi="Arial" w:cs="Arial"/>
          <w:sz w:val="24"/>
          <w:szCs w:val="24"/>
        </w:rPr>
        <w:t xml:space="preserve"> i</w:t>
      </w:r>
      <w:r w:rsidR="000F4C29">
        <w:rPr>
          <w:rFonts w:ascii="Arial" w:hAnsi="Arial" w:cs="Arial"/>
          <w:sz w:val="24"/>
          <w:szCs w:val="24"/>
        </w:rPr>
        <w:t>ts competitive bid process plan for procuring capacity, energy, and ancillary services; however, Duke also proposed to</w:t>
      </w:r>
      <w:r w:rsidR="00CC4140">
        <w:rPr>
          <w:rFonts w:ascii="Arial" w:hAnsi="Arial" w:cs="Arial"/>
          <w:sz w:val="24"/>
          <w:szCs w:val="24"/>
        </w:rPr>
        <w:t xml:space="preserve"> conduct </w:t>
      </w:r>
      <w:r w:rsidR="00762FEF">
        <w:rPr>
          <w:rFonts w:ascii="Arial" w:hAnsi="Arial" w:cs="Arial"/>
          <w:sz w:val="24"/>
          <w:szCs w:val="24"/>
        </w:rPr>
        <w:t>separate requests for proposals to procure supply for percentage of income payment plan customers</w:t>
      </w:r>
      <w:r w:rsidR="001C0F40">
        <w:rPr>
          <w:rFonts w:ascii="Arial" w:hAnsi="Arial" w:cs="Arial"/>
          <w:sz w:val="24"/>
          <w:szCs w:val="24"/>
        </w:rPr>
        <w:t>,</w:t>
      </w:r>
      <w:r w:rsidR="000D3C0C">
        <w:rPr>
          <w:rFonts w:ascii="Arial" w:hAnsi="Arial" w:cs="Arial"/>
          <w:sz w:val="24"/>
          <w:szCs w:val="24"/>
        </w:rPr>
        <w:t xml:space="preserve"> </w:t>
      </w:r>
      <w:r w:rsidR="000F4C29">
        <w:rPr>
          <w:rFonts w:ascii="Arial" w:hAnsi="Arial" w:cs="Arial"/>
          <w:sz w:val="24"/>
          <w:szCs w:val="24"/>
        </w:rPr>
        <w:t xml:space="preserve">and </w:t>
      </w:r>
      <w:r w:rsidR="004921FF">
        <w:rPr>
          <w:rFonts w:ascii="Arial" w:hAnsi="Arial" w:cs="Arial"/>
          <w:sz w:val="24"/>
          <w:szCs w:val="24"/>
        </w:rPr>
        <w:t xml:space="preserve">to </w:t>
      </w:r>
      <w:r w:rsidR="00091A33">
        <w:rPr>
          <w:rFonts w:ascii="Arial" w:hAnsi="Arial" w:cs="Arial"/>
          <w:sz w:val="24"/>
          <w:szCs w:val="24"/>
        </w:rPr>
        <w:t>expand Rider DCI to include distribution-related general, intangible, and common plant</w:t>
      </w:r>
      <w:r w:rsidR="006B7990">
        <w:rPr>
          <w:rFonts w:ascii="Arial" w:hAnsi="Arial" w:cs="Arial"/>
          <w:sz w:val="24"/>
          <w:szCs w:val="24"/>
        </w:rPr>
        <w:t xml:space="preserve"> costs in its incremental revenue recovery</w:t>
      </w:r>
      <w:r w:rsidR="001C0F40">
        <w:rPr>
          <w:rFonts w:ascii="Arial" w:hAnsi="Arial" w:cs="Arial"/>
          <w:sz w:val="24"/>
          <w:szCs w:val="24"/>
        </w:rPr>
        <w:t xml:space="preserve">.  </w:t>
      </w:r>
      <w:r w:rsidR="00684830">
        <w:rPr>
          <w:rFonts w:ascii="Arial" w:hAnsi="Arial" w:cs="Arial"/>
          <w:sz w:val="24"/>
          <w:szCs w:val="24"/>
        </w:rPr>
        <w:t xml:space="preserve">The filing also </w:t>
      </w:r>
      <w:r w:rsidR="00684830">
        <w:rPr>
          <w:rFonts w:ascii="Arial" w:hAnsi="Arial" w:cs="Arial"/>
          <w:sz w:val="24"/>
          <w:szCs w:val="24"/>
        </w:rPr>
        <w:lastRenderedPageBreak/>
        <w:t>included a proposal</w:t>
      </w:r>
      <w:r w:rsidR="000F4C29">
        <w:rPr>
          <w:rFonts w:ascii="Arial" w:hAnsi="Arial" w:cs="Arial"/>
          <w:sz w:val="24"/>
          <w:szCs w:val="24"/>
        </w:rPr>
        <w:t xml:space="preserve"> </w:t>
      </w:r>
      <w:r w:rsidR="00091A33">
        <w:rPr>
          <w:rFonts w:ascii="Arial" w:hAnsi="Arial" w:cs="Arial"/>
          <w:sz w:val="24"/>
          <w:szCs w:val="24"/>
        </w:rPr>
        <w:t xml:space="preserve">to </w:t>
      </w:r>
      <w:r w:rsidR="00D413D5">
        <w:rPr>
          <w:rFonts w:ascii="Arial" w:hAnsi="Arial" w:cs="Arial"/>
          <w:sz w:val="24"/>
          <w:szCs w:val="24"/>
        </w:rPr>
        <w:t>implement</w:t>
      </w:r>
      <w:r w:rsidR="00091A33">
        <w:rPr>
          <w:rFonts w:ascii="Arial" w:hAnsi="Arial" w:cs="Arial"/>
          <w:sz w:val="24"/>
          <w:szCs w:val="24"/>
        </w:rPr>
        <w:t xml:space="preserve"> a new </w:t>
      </w:r>
      <w:proofErr w:type="spellStart"/>
      <w:r w:rsidR="00091A33">
        <w:rPr>
          <w:rFonts w:ascii="Arial" w:hAnsi="Arial" w:cs="Arial"/>
          <w:sz w:val="24"/>
          <w:szCs w:val="24"/>
        </w:rPr>
        <w:t>PowerForward</w:t>
      </w:r>
      <w:proofErr w:type="spellEnd"/>
      <w:r w:rsidR="00091A33">
        <w:rPr>
          <w:rFonts w:ascii="Arial" w:hAnsi="Arial" w:cs="Arial"/>
          <w:sz w:val="24"/>
          <w:szCs w:val="24"/>
        </w:rPr>
        <w:t xml:space="preserve"> Rider that </w:t>
      </w:r>
      <w:r w:rsidR="00D413D5">
        <w:rPr>
          <w:rFonts w:ascii="Arial" w:hAnsi="Arial" w:cs="Arial"/>
          <w:sz w:val="24"/>
          <w:szCs w:val="24"/>
        </w:rPr>
        <w:t>will be used</w:t>
      </w:r>
      <w:r w:rsidR="00CC4140">
        <w:rPr>
          <w:rFonts w:ascii="Arial" w:hAnsi="Arial" w:cs="Arial"/>
          <w:sz w:val="24"/>
          <w:szCs w:val="24"/>
        </w:rPr>
        <w:t xml:space="preserve"> to </w:t>
      </w:r>
      <w:r w:rsidR="000F4C29">
        <w:rPr>
          <w:rFonts w:ascii="Arial" w:hAnsi="Arial" w:cs="Arial"/>
          <w:sz w:val="24"/>
          <w:szCs w:val="24"/>
        </w:rPr>
        <w:t>facilitate</w:t>
      </w:r>
      <w:r w:rsidR="0026094C">
        <w:rPr>
          <w:rFonts w:ascii="Arial" w:hAnsi="Arial" w:cs="Arial"/>
          <w:sz w:val="24"/>
          <w:szCs w:val="24"/>
        </w:rPr>
        <w:t xml:space="preserve"> </w:t>
      </w:r>
      <w:r w:rsidR="00D413D5">
        <w:rPr>
          <w:rFonts w:ascii="Arial" w:hAnsi="Arial" w:cs="Arial"/>
          <w:sz w:val="24"/>
          <w:szCs w:val="24"/>
        </w:rPr>
        <w:t xml:space="preserve">enhancements to </w:t>
      </w:r>
      <w:r w:rsidR="00684830">
        <w:rPr>
          <w:rFonts w:ascii="Arial" w:hAnsi="Arial" w:cs="Arial"/>
          <w:sz w:val="24"/>
          <w:szCs w:val="24"/>
        </w:rPr>
        <w:t>Duke’s</w:t>
      </w:r>
      <w:r w:rsidR="00091A33">
        <w:rPr>
          <w:rFonts w:ascii="Arial" w:hAnsi="Arial" w:cs="Arial"/>
          <w:sz w:val="24"/>
          <w:szCs w:val="24"/>
        </w:rPr>
        <w:t xml:space="preserve"> distribution grid</w:t>
      </w:r>
      <w:r w:rsidR="003E7D04">
        <w:rPr>
          <w:rFonts w:ascii="Arial" w:hAnsi="Arial" w:cs="Arial"/>
          <w:sz w:val="24"/>
          <w:szCs w:val="24"/>
        </w:rPr>
        <w:t>.</w:t>
      </w:r>
      <w:r w:rsidR="00800E45">
        <w:rPr>
          <w:rFonts w:ascii="Arial" w:hAnsi="Arial" w:cs="Arial"/>
          <w:sz w:val="24"/>
          <w:szCs w:val="24"/>
        </w:rPr>
        <w:t xml:space="preserve">  </w:t>
      </w:r>
    </w:p>
    <w:p w14:paraId="02C14A9A" w14:textId="75BA6514" w:rsidR="00566D6A" w:rsidRDefault="001E09C1" w:rsidP="000D0651">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On April 12, 2018, Duke entered into </w:t>
      </w:r>
      <w:r w:rsidR="001B72DD">
        <w:rPr>
          <w:rFonts w:ascii="Arial" w:hAnsi="Arial" w:cs="Arial"/>
          <w:sz w:val="24"/>
          <w:szCs w:val="24"/>
        </w:rPr>
        <w:t xml:space="preserve">a Stipulation </w:t>
      </w:r>
      <w:r w:rsidR="00A86767">
        <w:rPr>
          <w:rFonts w:ascii="Arial" w:hAnsi="Arial" w:cs="Arial"/>
          <w:sz w:val="24"/>
          <w:szCs w:val="24"/>
        </w:rPr>
        <w:t xml:space="preserve">with parties to the above-captioned proceedings to address issues and concerns raised by Duke’s application for approval of its ESP </w:t>
      </w:r>
      <w:r w:rsidR="00C3263F">
        <w:rPr>
          <w:rFonts w:ascii="Arial" w:hAnsi="Arial" w:cs="Arial"/>
          <w:sz w:val="24"/>
          <w:szCs w:val="24"/>
        </w:rPr>
        <w:t>a</w:t>
      </w:r>
      <w:r w:rsidR="00D66E90">
        <w:rPr>
          <w:rFonts w:ascii="Arial" w:hAnsi="Arial" w:cs="Arial"/>
          <w:sz w:val="24"/>
          <w:szCs w:val="24"/>
        </w:rPr>
        <w:t>s well as its</w:t>
      </w:r>
      <w:r w:rsidR="00A86767">
        <w:rPr>
          <w:rFonts w:ascii="Arial" w:hAnsi="Arial" w:cs="Arial"/>
          <w:sz w:val="24"/>
          <w:szCs w:val="24"/>
        </w:rPr>
        <w:t xml:space="preserve"> applications to adjust its base distribution rates, Rider PSR, and minimum reliability performance standards.</w:t>
      </w:r>
    </w:p>
    <w:p w14:paraId="1B1AED33" w14:textId="2C7BD9D0" w:rsidR="001E09C1" w:rsidRPr="00E93520" w:rsidRDefault="00A86767" w:rsidP="000D0651">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The following day, Duke</w:t>
      </w:r>
      <w:r w:rsidR="001E09C1">
        <w:rPr>
          <w:rFonts w:ascii="Arial" w:hAnsi="Arial" w:cs="Arial"/>
          <w:sz w:val="24"/>
          <w:szCs w:val="24"/>
        </w:rPr>
        <w:t xml:space="preserve"> filed a motion to consolidate those ten cases into a single proceeding </w:t>
      </w:r>
      <w:r w:rsidR="00D66E90">
        <w:rPr>
          <w:rFonts w:ascii="Arial" w:hAnsi="Arial" w:cs="Arial"/>
          <w:sz w:val="24"/>
          <w:szCs w:val="24"/>
        </w:rPr>
        <w:t xml:space="preserve">for the purpose of considering adoption of the Stipulation.  </w:t>
      </w:r>
      <w:r w:rsidR="0058288F">
        <w:rPr>
          <w:rFonts w:ascii="Arial" w:hAnsi="Arial" w:cs="Arial"/>
          <w:sz w:val="24"/>
          <w:szCs w:val="24"/>
        </w:rPr>
        <w:t>Duke contends that consolidation of those ten cases is appropriate “as there are common issues between the proceedings and consolidation will enable their efficient administration.”</w:t>
      </w:r>
      <w:r w:rsidR="0058288F">
        <w:rPr>
          <w:rStyle w:val="FootnoteReference"/>
          <w:rFonts w:ascii="Arial" w:hAnsi="Arial" w:cs="Arial"/>
          <w:sz w:val="24"/>
          <w:szCs w:val="24"/>
        </w:rPr>
        <w:footnoteReference w:id="3"/>
      </w:r>
      <w:r w:rsidR="0058288F">
        <w:rPr>
          <w:rFonts w:ascii="Arial" w:hAnsi="Arial" w:cs="Arial"/>
          <w:sz w:val="24"/>
          <w:szCs w:val="24"/>
        </w:rPr>
        <w:t xml:space="preserve"> </w:t>
      </w:r>
    </w:p>
    <w:p w14:paraId="43E38207" w14:textId="39FD0F81" w:rsidR="00CF79AA" w:rsidRDefault="00CF79AA" w:rsidP="00CF79AA">
      <w:pPr>
        <w:pStyle w:val="ListParagraph"/>
        <w:numPr>
          <w:ilvl w:val="0"/>
          <w:numId w:val="8"/>
        </w:numPr>
        <w:autoSpaceDE w:val="0"/>
        <w:autoSpaceDN w:val="0"/>
        <w:adjustRightInd w:val="0"/>
        <w:spacing w:after="120" w:line="480" w:lineRule="auto"/>
        <w:jc w:val="both"/>
        <w:rPr>
          <w:rFonts w:ascii="Arial" w:hAnsi="Arial" w:cs="Arial"/>
          <w:b/>
          <w:sz w:val="24"/>
          <w:szCs w:val="24"/>
        </w:rPr>
      </w:pPr>
      <w:r>
        <w:rPr>
          <w:rFonts w:ascii="Arial" w:hAnsi="Arial" w:cs="Arial"/>
          <w:b/>
          <w:sz w:val="24"/>
          <w:szCs w:val="24"/>
        </w:rPr>
        <w:t>ARGUMENT</w:t>
      </w:r>
    </w:p>
    <w:p w14:paraId="431C775A" w14:textId="6AFE1BAD" w:rsidR="00E91030" w:rsidRPr="00E91030" w:rsidRDefault="00C517BC" w:rsidP="00C517BC">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The General Assembly did not provide the Commission with specifi</w:t>
      </w:r>
      <w:r w:rsidR="0030664C">
        <w:rPr>
          <w:rFonts w:ascii="Arial" w:hAnsi="Arial" w:cs="Arial"/>
          <w:sz w:val="24"/>
          <w:szCs w:val="24"/>
        </w:rPr>
        <w:t>c guidelines with respect to</w:t>
      </w:r>
      <w:r>
        <w:rPr>
          <w:rFonts w:ascii="Arial" w:hAnsi="Arial" w:cs="Arial"/>
          <w:sz w:val="24"/>
          <w:szCs w:val="24"/>
        </w:rPr>
        <w:t xml:space="preserve"> </w:t>
      </w:r>
      <w:r w:rsidR="00E91030" w:rsidRPr="00E91030">
        <w:rPr>
          <w:rFonts w:ascii="Arial" w:hAnsi="Arial" w:cs="Arial"/>
          <w:sz w:val="24"/>
          <w:szCs w:val="24"/>
        </w:rPr>
        <w:t>consolid</w:t>
      </w:r>
      <w:r>
        <w:rPr>
          <w:rFonts w:ascii="Arial" w:hAnsi="Arial" w:cs="Arial"/>
          <w:sz w:val="24"/>
          <w:szCs w:val="24"/>
        </w:rPr>
        <w:t>ation in Commission proceedings.  Moreover,</w:t>
      </w:r>
      <w:r w:rsidR="00E91030" w:rsidRPr="00E91030">
        <w:rPr>
          <w:rFonts w:ascii="Arial" w:hAnsi="Arial" w:cs="Arial"/>
          <w:sz w:val="24"/>
          <w:szCs w:val="24"/>
        </w:rPr>
        <w:t xml:space="preserve"> the Co</w:t>
      </w:r>
      <w:r w:rsidR="00E91030">
        <w:rPr>
          <w:rFonts w:ascii="Arial" w:hAnsi="Arial" w:cs="Arial"/>
          <w:sz w:val="24"/>
          <w:szCs w:val="24"/>
        </w:rPr>
        <w:t xml:space="preserve">mmission has no procedural rule </w:t>
      </w:r>
      <w:r w:rsidR="00E91030" w:rsidRPr="00E91030">
        <w:rPr>
          <w:rFonts w:ascii="Arial" w:hAnsi="Arial" w:cs="Arial"/>
          <w:sz w:val="24"/>
          <w:szCs w:val="24"/>
        </w:rPr>
        <w:t>regarding consolidation. The Commission, however, has followed the standard set out</w:t>
      </w:r>
      <w:r>
        <w:rPr>
          <w:rFonts w:ascii="Arial" w:hAnsi="Arial" w:cs="Arial"/>
          <w:sz w:val="24"/>
          <w:szCs w:val="24"/>
        </w:rPr>
        <w:t xml:space="preserve"> </w:t>
      </w:r>
      <w:r w:rsidR="00E91030" w:rsidRPr="00E91030">
        <w:rPr>
          <w:rFonts w:ascii="Arial" w:hAnsi="Arial" w:cs="Arial"/>
          <w:sz w:val="24"/>
          <w:szCs w:val="24"/>
        </w:rPr>
        <w:t>in Civil Rule 42 of ordering consolidation when c</w:t>
      </w:r>
      <w:r w:rsidR="00E91030">
        <w:rPr>
          <w:rFonts w:ascii="Arial" w:hAnsi="Arial" w:cs="Arial"/>
          <w:sz w:val="24"/>
          <w:szCs w:val="24"/>
        </w:rPr>
        <w:t xml:space="preserve">ommon issues of law or fact are </w:t>
      </w:r>
      <w:r w:rsidR="00E91030" w:rsidRPr="00E91030">
        <w:rPr>
          <w:rFonts w:ascii="Arial" w:hAnsi="Arial" w:cs="Arial"/>
          <w:sz w:val="24"/>
          <w:szCs w:val="24"/>
        </w:rPr>
        <w:t>pres</w:t>
      </w:r>
      <w:r>
        <w:rPr>
          <w:rFonts w:ascii="Arial" w:hAnsi="Arial" w:cs="Arial"/>
          <w:sz w:val="24"/>
          <w:szCs w:val="24"/>
        </w:rPr>
        <w:t>ented by multiple applications.  Under that section,</w:t>
      </w:r>
      <w:r w:rsidRPr="00C517BC">
        <w:t xml:space="preserve"> </w:t>
      </w:r>
      <w:r>
        <w:rPr>
          <w:rFonts w:ascii="Arial" w:hAnsi="Arial" w:cs="Arial"/>
          <w:sz w:val="24"/>
          <w:szCs w:val="24"/>
        </w:rPr>
        <w:t>when actions “</w:t>
      </w:r>
      <w:r w:rsidRPr="00C517BC">
        <w:rPr>
          <w:rFonts w:ascii="Arial" w:hAnsi="Arial" w:cs="Arial"/>
          <w:sz w:val="24"/>
          <w:szCs w:val="24"/>
        </w:rPr>
        <w:t>involve a common question of law or fact</w:t>
      </w:r>
      <w:r>
        <w:rPr>
          <w:rFonts w:ascii="Arial" w:hAnsi="Arial" w:cs="Arial"/>
          <w:sz w:val="24"/>
          <w:szCs w:val="24"/>
        </w:rPr>
        <w:t>” the court may “join for hearing or trial any or all matters at issue in the actions” or “consolidate the actions” or “issue other orders to avoid unnecessary cost or delay.”  As discussed below, the Commission should deny the motion in part</w:t>
      </w:r>
      <w:r w:rsidR="00514B39">
        <w:rPr>
          <w:rFonts w:ascii="Arial" w:hAnsi="Arial" w:cs="Arial"/>
          <w:sz w:val="24"/>
          <w:szCs w:val="24"/>
        </w:rPr>
        <w:t>.</w:t>
      </w:r>
    </w:p>
    <w:p w14:paraId="3AF255BE" w14:textId="3FBB4AF6" w:rsidR="00E32622" w:rsidRDefault="0030664C" w:rsidP="005C46FF">
      <w:pPr>
        <w:tabs>
          <w:tab w:val="left" w:pos="6210"/>
        </w:tabs>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lastRenderedPageBreak/>
        <w:t xml:space="preserve">IGS </w:t>
      </w:r>
      <w:r w:rsidR="00E32622">
        <w:rPr>
          <w:rFonts w:ascii="Arial" w:hAnsi="Arial" w:cs="Arial"/>
          <w:sz w:val="24"/>
          <w:szCs w:val="24"/>
        </w:rPr>
        <w:t xml:space="preserve">supports efforts to streamline </w:t>
      </w:r>
      <w:r>
        <w:rPr>
          <w:rFonts w:ascii="Arial" w:hAnsi="Arial" w:cs="Arial"/>
          <w:sz w:val="24"/>
          <w:szCs w:val="24"/>
        </w:rPr>
        <w:t xml:space="preserve">to more efficiently manage Commission </w:t>
      </w:r>
      <w:r w:rsidR="00E32622">
        <w:rPr>
          <w:rFonts w:ascii="Arial" w:hAnsi="Arial" w:cs="Arial"/>
          <w:sz w:val="24"/>
          <w:szCs w:val="24"/>
        </w:rPr>
        <w:t>pro</w:t>
      </w:r>
      <w:r>
        <w:rPr>
          <w:rFonts w:ascii="Arial" w:hAnsi="Arial" w:cs="Arial"/>
          <w:sz w:val="24"/>
          <w:szCs w:val="24"/>
        </w:rPr>
        <w:t>ceedings</w:t>
      </w:r>
      <w:r w:rsidR="00E32622">
        <w:rPr>
          <w:rFonts w:ascii="Arial" w:hAnsi="Arial" w:cs="Arial"/>
          <w:sz w:val="24"/>
          <w:szCs w:val="24"/>
        </w:rPr>
        <w:t xml:space="preserve">.  </w:t>
      </w:r>
      <w:r>
        <w:rPr>
          <w:rFonts w:ascii="Arial" w:hAnsi="Arial" w:cs="Arial"/>
          <w:sz w:val="24"/>
          <w:szCs w:val="24"/>
        </w:rPr>
        <w:t>But</w:t>
      </w:r>
      <w:r w:rsidR="00E32622">
        <w:rPr>
          <w:rFonts w:ascii="Arial" w:hAnsi="Arial" w:cs="Arial"/>
          <w:sz w:val="24"/>
          <w:szCs w:val="24"/>
        </w:rPr>
        <w:t xml:space="preserve"> Duke’s motion will not achieve that result, given the inherent</w:t>
      </w:r>
      <w:r>
        <w:rPr>
          <w:rFonts w:ascii="Arial" w:hAnsi="Arial" w:cs="Arial"/>
          <w:sz w:val="24"/>
          <w:szCs w:val="24"/>
        </w:rPr>
        <w:t xml:space="preserve"> legal and factual</w:t>
      </w:r>
      <w:r w:rsidR="00E32622">
        <w:rPr>
          <w:rFonts w:ascii="Arial" w:hAnsi="Arial" w:cs="Arial"/>
          <w:sz w:val="24"/>
          <w:szCs w:val="24"/>
        </w:rPr>
        <w:t xml:space="preserve"> differences </w:t>
      </w:r>
      <w:r>
        <w:rPr>
          <w:rFonts w:ascii="Arial" w:hAnsi="Arial" w:cs="Arial"/>
          <w:sz w:val="24"/>
          <w:szCs w:val="24"/>
        </w:rPr>
        <w:t>applicable to the proceedings the motion</w:t>
      </w:r>
      <w:r w:rsidR="00E32622">
        <w:rPr>
          <w:rFonts w:ascii="Arial" w:hAnsi="Arial" w:cs="Arial"/>
          <w:sz w:val="24"/>
          <w:szCs w:val="24"/>
        </w:rPr>
        <w:t xml:space="preserve"> seeks to combine.  Rather, a more likely outcome is a plethora of legal appeals related to the violation of procedural and legal requirements.  As discussed below, the difficulty of combining a distribution rate case and an electric security plan is quickly evident by examining the statutory frameworks applicable to both proceedings.</w:t>
      </w:r>
      <w:r w:rsidR="00F46B29">
        <w:rPr>
          <w:rFonts w:ascii="Arial" w:hAnsi="Arial" w:cs="Arial"/>
          <w:sz w:val="24"/>
          <w:szCs w:val="24"/>
        </w:rPr>
        <w:t xml:space="preserve"> Moreover, consolidating </w:t>
      </w:r>
      <w:r>
        <w:rPr>
          <w:rFonts w:ascii="Arial" w:hAnsi="Arial" w:cs="Arial"/>
          <w:sz w:val="24"/>
          <w:szCs w:val="24"/>
        </w:rPr>
        <w:t xml:space="preserve">traditional </w:t>
      </w:r>
      <w:r w:rsidR="00D40F95">
        <w:rPr>
          <w:rFonts w:ascii="Arial" w:hAnsi="Arial" w:cs="Arial"/>
          <w:sz w:val="24"/>
          <w:szCs w:val="24"/>
        </w:rPr>
        <w:t>distribution</w:t>
      </w:r>
      <w:r>
        <w:rPr>
          <w:rFonts w:ascii="Arial" w:hAnsi="Arial" w:cs="Arial"/>
          <w:sz w:val="24"/>
          <w:szCs w:val="24"/>
        </w:rPr>
        <w:t xml:space="preserve"> ratemaking</w:t>
      </w:r>
      <w:r w:rsidR="00D40F95">
        <w:rPr>
          <w:rFonts w:ascii="Arial" w:hAnsi="Arial" w:cs="Arial"/>
          <w:sz w:val="24"/>
          <w:szCs w:val="24"/>
        </w:rPr>
        <w:t xml:space="preserve"> and </w:t>
      </w:r>
      <w:r>
        <w:rPr>
          <w:rFonts w:ascii="Arial" w:hAnsi="Arial" w:cs="Arial"/>
          <w:sz w:val="24"/>
          <w:szCs w:val="24"/>
        </w:rPr>
        <w:t xml:space="preserve">post-restructuring </w:t>
      </w:r>
      <w:r w:rsidR="00D40F95">
        <w:rPr>
          <w:rFonts w:ascii="Arial" w:hAnsi="Arial" w:cs="Arial"/>
          <w:sz w:val="24"/>
          <w:szCs w:val="24"/>
        </w:rPr>
        <w:t>generation issues</w:t>
      </w:r>
      <w:r w:rsidR="00F46B29">
        <w:rPr>
          <w:rFonts w:ascii="Arial" w:hAnsi="Arial" w:cs="Arial"/>
          <w:sz w:val="24"/>
          <w:szCs w:val="24"/>
        </w:rPr>
        <w:t xml:space="preserve"> into a single proceeding </w:t>
      </w:r>
      <w:r w:rsidR="00886267">
        <w:rPr>
          <w:rFonts w:ascii="Arial" w:hAnsi="Arial" w:cs="Arial"/>
          <w:sz w:val="24"/>
          <w:szCs w:val="24"/>
        </w:rPr>
        <w:t xml:space="preserve">will likely cause lessened scrutiny on issues </w:t>
      </w:r>
      <w:r w:rsidR="00D40F95">
        <w:rPr>
          <w:rFonts w:ascii="Arial" w:hAnsi="Arial" w:cs="Arial"/>
          <w:sz w:val="24"/>
          <w:szCs w:val="24"/>
        </w:rPr>
        <w:t>of great importance to</w:t>
      </w:r>
      <w:r w:rsidR="00886267">
        <w:rPr>
          <w:rFonts w:ascii="Arial" w:hAnsi="Arial" w:cs="Arial"/>
          <w:sz w:val="24"/>
          <w:szCs w:val="24"/>
        </w:rPr>
        <w:t xml:space="preserve"> Duke </w:t>
      </w:r>
      <w:proofErr w:type="gramStart"/>
      <w:r w:rsidR="00886267">
        <w:rPr>
          <w:rFonts w:ascii="Arial" w:hAnsi="Arial" w:cs="Arial"/>
          <w:sz w:val="24"/>
          <w:szCs w:val="24"/>
        </w:rPr>
        <w:t>customers</w:t>
      </w:r>
      <w:proofErr w:type="gramEnd"/>
      <w:r w:rsidR="00886267">
        <w:rPr>
          <w:rFonts w:ascii="Arial" w:hAnsi="Arial" w:cs="Arial"/>
          <w:sz w:val="24"/>
          <w:szCs w:val="24"/>
        </w:rPr>
        <w:t>.</w:t>
      </w:r>
      <w:r>
        <w:rPr>
          <w:rFonts w:ascii="Arial" w:hAnsi="Arial" w:cs="Arial"/>
          <w:sz w:val="24"/>
          <w:szCs w:val="24"/>
        </w:rPr>
        <w:t xml:space="preserve"> </w:t>
      </w:r>
    </w:p>
    <w:p w14:paraId="67D179DA" w14:textId="77777777" w:rsidR="00E93520" w:rsidRDefault="00C6294B" w:rsidP="00FC388E">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Chapter 4909, applicable to applications for distribution rate increases, represents a form of traditional cost-based regulation that has existed in its current form</w:t>
      </w:r>
      <w:r w:rsidR="00E93520">
        <w:rPr>
          <w:rFonts w:ascii="Arial" w:hAnsi="Arial" w:cs="Arial"/>
          <w:sz w:val="24"/>
          <w:szCs w:val="24"/>
        </w:rPr>
        <w:t xml:space="preserve"> since 1983, with concepts dating back over</w:t>
      </w:r>
      <w:r>
        <w:rPr>
          <w:rFonts w:ascii="Arial" w:hAnsi="Arial" w:cs="Arial"/>
          <w:sz w:val="24"/>
          <w:szCs w:val="24"/>
        </w:rPr>
        <w:t xml:space="preserve"> 100 years.  It is only through Chapter 4909 that the Commission may establish base distribution rates.  The process is </w:t>
      </w:r>
      <w:r w:rsidR="00E93520">
        <w:rPr>
          <w:rFonts w:ascii="Arial" w:hAnsi="Arial" w:cs="Arial"/>
          <w:sz w:val="24"/>
          <w:szCs w:val="24"/>
        </w:rPr>
        <w:t xml:space="preserve">based upon a statutory formula that is </w:t>
      </w:r>
      <w:r>
        <w:rPr>
          <w:rFonts w:ascii="Arial" w:hAnsi="Arial" w:cs="Arial"/>
          <w:sz w:val="24"/>
          <w:szCs w:val="24"/>
        </w:rPr>
        <w:t xml:space="preserve">mechanical, methodical, and long-established.  </w:t>
      </w:r>
    </w:p>
    <w:p w14:paraId="15E6EEB2" w14:textId="3F5B042E" w:rsidR="00FC388E" w:rsidRDefault="00E93520" w:rsidP="00FC388E">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There is a clear process that must be followed under Chapter 4909</w:t>
      </w:r>
      <w:r w:rsidR="0030664C">
        <w:rPr>
          <w:rFonts w:ascii="Arial" w:hAnsi="Arial" w:cs="Arial"/>
          <w:sz w:val="24"/>
          <w:szCs w:val="24"/>
        </w:rPr>
        <w:t>.  Specifically,</w:t>
      </w:r>
      <w:r w:rsidR="00C6294B">
        <w:rPr>
          <w:rFonts w:ascii="Arial" w:hAnsi="Arial" w:cs="Arial"/>
          <w:sz w:val="24"/>
          <w:szCs w:val="24"/>
        </w:rPr>
        <w:t xml:space="preserve"> </w:t>
      </w:r>
      <w:r w:rsidR="00FC388E">
        <w:rPr>
          <w:rFonts w:ascii="Arial" w:hAnsi="Arial" w:cs="Arial"/>
          <w:sz w:val="24"/>
          <w:szCs w:val="24"/>
        </w:rPr>
        <w:t>“t</w:t>
      </w:r>
      <w:r w:rsidR="00FC388E" w:rsidRPr="00FC388E">
        <w:rPr>
          <w:rFonts w:ascii="Arial" w:hAnsi="Arial" w:cs="Arial"/>
          <w:sz w:val="24"/>
          <w:szCs w:val="24"/>
        </w:rPr>
        <w:t>he commission shall at once cause an investigation to be made of the facts set forth in said application and the exhibits attached thereto, and of the matters connected therewith. Within a reasonable time as determined by the commission after the filing of such application, a written report shall be made and filed with the commission</w:t>
      </w:r>
      <w:r w:rsidR="00FC388E">
        <w:rPr>
          <w:rFonts w:ascii="Arial" w:hAnsi="Arial" w:cs="Arial"/>
          <w:sz w:val="24"/>
          <w:szCs w:val="24"/>
        </w:rPr>
        <w:t>.”</w:t>
      </w:r>
      <w:r w:rsidR="0030664C">
        <w:rPr>
          <w:rStyle w:val="FootnoteReference"/>
          <w:rFonts w:ascii="Arial" w:hAnsi="Arial" w:cs="Arial"/>
          <w:sz w:val="24"/>
          <w:szCs w:val="24"/>
        </w:rPr>
        <w:footnoteReference w:id="4"/>
      </w:r>
      <w:r w:rsidR="00FC388E">
        <w:rPr>
          <w:rFonts w:ascii="Arial" w:hAnsi="Arial" w:cs="Arial"/>
          <w:sz w:val="24"/>
          <w:szCs w:val="24"/>
        </w:rPr>
        <w:t xml:space="preserve">  This report is commonly referred to as the “Staff Report.”  Following the issuance of the Staff Report, </w:t>
      </w:r>
      <w:r w:rsidR="00204EF9">
        <w:rPr>
          <w:rFonts w:ascii="Arial" w:hAnsi="Arial" w:cs="Arial"/>
          <w:sz w:val="24"/>
          <w:szCs w:val="24"/>
        </w:rPr>
        <w:t>intervenors may file objections.</w:t>
      </w:r>
      <w:r w:rsidR="0030664C">
        <w:rPr>
          <w:rStyle w:val="FootnoteReference"/>
          <w:rFonts w:ascii="Arial" w:hAnsi="Arial" w:cs="Arial"/>
          <w:sz w:val="24"/>
          <w:szCs w:val="24"/>
        </w:rPr>
        <w:footnoteReference w:id="5"/>
      </w:r>
      <w:r w:rsidR="00FC388E">
        <w:rPr>
          <w:rFonts w:ascii="Arial" w:hAnsi="Arial" w:cs="Arial"/>
          <w:sz w:val="24"/>
          <w:szCs w:val="24"/>
        </w:rPr>
        <w:t xml:space="preserve">   “</w:t>
      </w:r>
      <w:r w:rsidR="00FC388E" w:rsidRPr="00FC388E">
        <w:rPr>
          <w:rFonts w:ascii="Arial" w:hAnsi="Arial" w:cs="Arial"/>
          <w:sz w:val="24"/>
          <w:szCs w:val="24"/>
        </w:rPr>
        <w:t xml:space="preserve">Such objections may relate to the findings, </w:t>
      </w:r>
      <w:proofErr w:type="gramStart"/>
      <w:r w:rsidR="00FC388E" w:rsidRPr="00FC388E">
        <w:rPr>
          <w:rFonts w:ascii="Arial" w:hAnsi="Arial" w:cs="Arial"/>
          <w:sz w:val="24"/>
          <w:szCs w:val="24"/>
        </w:rPr>
        <w:lastRenderedPageBreak/>
        <w:t>conclusions</w:t>
      </w:r>
      <w:proofErr w:type="gramEnd"/>
      <w:r w:rsidR="00FC388E" w:rsidRPr="00FC388E">
        <w:rPr>
          <w:rFonts w:ascii="Arial" w:hAnsi="Arial" w:cs="Arial"/>
          <w:sz w:val="24"/>
          <w:szCs w:val="24"/>
        </w:rPr>
        <w:t>, or recommendations contained in the report, or to the failure of the report to address one or more specific items.</w:t>
      </w:r>
      <w:r w:rsidR="00FC388E">
        <w:rPr>
          <w:rFonts w:ascii="Arial" w:hAnsi="Arial" w:cs="Arial"/>
          <w:sz w:val="24"/>
          <w:szCs w:val="24"/>
        </w:rPr>
        <w:t>”</w:t>
      </w:r>
      <w:r w:rsidR="0030664C">
        <w:rPr>
          <w:rStyle w:val="FootnoteReference"/>
          <w:rFonts w:ascii="Arial" w:hAnsi="Arial" w:cs="Arial"/>
          <w:sz w:val="24"/>
          <w:szCs w:val="24"/>
        </w:rPr>
        <w:footnoteReference w:id="6"/>
      </w:r>
      <w:r w:rsidR="00FC388E">
        <w:rPr>
          <w:rFonts w:ascii="Arial" w:hAnsi="Arial" w:cs="Arial"/>
          <w:sz w:val="24"/>
          <w:szCs w:val="24"/>
        </w:rPr>
        <w:t xml:space="preserve">  “</w:t>
      </w:r>
      <w:r w:rsidR="00FC388E" w:rsidRPr="00FC388E">
        <w:rPr>
          <w:rFonts w:ascii="Arial" w:hAnsi="Arial" w:cs="Arial"/>
          <w:sz w:val="24"/>
          <w:szCs w:val="24"/>
        </w:rPr>
        <w:t>The objections to the report described in paragraph (A) of this rule, shall frame the issues in the proceeding</w:t>
      </w:r>
      <w:r w:rsidR="00FC388E">
        <w:rPr>
          <w:rFonts w:ascii="Arial" w:hAnsi="Arial" w:cs="Arial"/>
          <w:sz w:val="24"/>
          <w:szCs w:val="24"/>
        </w:rPr>
        <w:t xml:space="preserve"> . . . .”</w:t>
      </w:r>
      <w:r w:rsidR="0030664C">
        <w:rPr>
          <w:rStyle w:val="FootnoteReference"/>
          <w:rFonts w:ascii="Arial" w:hAnsi="Arial" w:cs="Arial"/>
          <w:sz w:val="24"/>
          <w:szCs w:val="24"/>
        </w:rPr>
        <w:footnoteReference w:id="7"/>
      </w:r>
      <w:r w:rsidR="0030664C">
        <w:rPr>
          <w:rFonts w:ascii="Arial" w:hAnsi="Arial" w:cs="Arial"/>
          <w:sz w:val="24"/>
          <w:szCs w:val="24"/>
        </w:rPr>
        <w:t xml:space="preserve"> </w:t>
      </w:r>
      <w:r w:rsidR="00FC388E">
        <w:rPr>
          <w:rFonts w:ascii="Arial" w:hAnsi="Arial" w:cs="Arial"/>
          <w:sz w:val="24"/>
          <w:szCs w:val="24"/>
        </w:rPr>
        <w:t xml:space="preserve"> </w:t>
      </w:r>
      <w:r>
        <w:rPr>
          <w:rFonts w:ascii="Arial" w:hAnsi="Arial" w:cs="Arial"/>
          <w:sz w:val="24"/>
          <w:szCs w:val="24"/>
        </w:rPr>
        <w:t>Parties may also file rebuttal testimony per Commission rule.</w:t>
      </w:r>
      <w:r w:rsidR="0030664C">
        <w:rPr>
          <w:rStyle w:val="FootnoteReference"/>
          <w:rFonts w:ascii="Arial" w:hAnsi="Arial" w:cs="Arial"/>
          <w:sz w:val="24"/>
          <w:szCs w:val="24"/>
        </w:rPr>
        <w:footnoteReference w:id="8"/>
      </w:r>
      <w:r>
        <w:rPr>
          <w:rFonts w:ascii="Arial" w:hAnsi="Arial" w:cs="Arial"/>
          <w:sz w:val="24"/>
          <w:szCs w:val="24"/>
        </w:rPr>
        <w:t xml:space="preserve">  Following a hearing, the staff report or portions of the staff report may be stricken in any order authorizing distribution rates.</w:t>
      </w:r>
      <w:r w:rsidR="0030664C">
        <w:rPr>
          <w:rStyle w:val="FootnoteReference"/>
          <w:rFonts w:ascii="Arial" w:hAnsi="Arial" w:cs="Arial"/>
          <w:sz w:val="24"/>
          <w:szCs w:val="24"/>
        </w:rPr>
        <w:footnoteReference w:id="9"/>
      </w:r>
    </w:p>
    <w:p w14:paraId="4413785B" w14:textId="18282ED5" w:rsidR="00CF79AA" w:rsidRDefault="00FC388E" w:rsidP="00BD7223">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Under Chapter 49</w:t>
      </w:r>
      <w:r w:rsidR="00CF2845">
        <w:rPr>
          <w:rFonts w:ascii="Arial" w:hAnsi="Arial" w:cs="Arial"/>
          <w:sz w:val="24"/>
          <w:szCs w:val="24"/>
        </w:rPr>
        <w:t>28, particularly section 143, the law is very different.  The Commission must evaluate whether the propose</w:t>
      </w:r>
      <w:r w:rsidR="00E93520">
        <w:rPr>
          <w:rFonts w:ascii="Arial" w:hAnsi="Arial" w:cs="Arial"/>
          <w:sz w:val="24"/>
          <w:szCs w:val="24"/>
        </w:rPr>
        <w:t xml:space="preserve">d electric security plan proposing a default offering of competitive retail electric services is authorized by the statute and will provide an outcome more favorable than what would otherwise occur under a </w:t>
      </w:r>
      <w:r w:rsidR="00766968">
        <w:rPr>
          <w:rFonts w:ascii="Arial" w:hAnsi="Arial" w:cs="Arial"/>
          <w:sz w:val="24"/>
          <w:szCs w:val="24"/>
        </w:rPr>
        <w:t xml:space="preserve">market rate under, as that term </w:t>
      </w:r>
      <w:r w:rsidR="00E93520">
        <w:rPr>
          <w:rFonts w:ascii="Arial" w:hAnsi="Arial" w:cs="Arial"/>
          <w:sz w:val="24"/>
          <w:szCs w:val="24"/>
        </w:rPr>
        <w:t xml:space="preserve">is defined under R.C. 4928.142. </w:t>
      </w:r>
      <w:r w:rsidR="00BD7223">
        <w:rPr>
          <w:rFonts w:ascii="Arial" w:hAnsi="Arial" w:cs="Arial"/>
          <w:sz w:val="24"/>
          <w:szCs w:val="24"/>
        </w:rPr>
        <w:t xml:space="preserve"> </w:t>
      </w:r>
      <w:r w:rsidR="00E93520">
        <w:rPr>
          <w:rFonts w:ascii="Arial" w:hAnsi="Arial" w:cs="Arial"/>
          <w:sz w:val="24"/>
          <w:szCs w:val="24"/>
        </w:rPr>
        <w:t xml:space="preserve">Under an ESP, </w:t>
      </w:r>
      <w:r w:rsidR="005C46FF">
        <w:rPr>
          <w:rFonts w:ascii="Arial" w:hAnsi="Arial" w:cs="Arial"/>
          <w:sz w:val="24"/>
          <w:szCs w:val="24"/>
        </w:rPr>
        <w:t>the Staff’s role is very different.  T</w:t>
      </w:r>
      <w:r w:rsidR="00E93520">
        <w:rPr>
          <w:rFonts w:ascii="Arial" w:hAnsi="Arial" w:cs="Arial"/>
          <w:sz w:val="24"/>
          <w:szCs w:val="24"/>
        </w:rPr>
        <w:t>here is no Staff Report.  There are no objections.</w:t>
      </w:r>
      <w:r w:rsidR="005C46FF">
        <w:rPr>
          <w:rFonts w:ascii="Arial" w:hAnsi="Arial" w:cs="Arial"/>
          <w:sz w:val="24"/>
          <w:szCs w:val="24"/>
        </w:rPr>
        <w:t xml:space="preserve">  Procedurally, t</w:t>
      </w:r>
      <w:r w:rsidR="00E93520">
        <w:rPr>
          <w:rFonts w:ascii="Arial" w:hAnsi="Arial" w:cs="Arial"/>
          <w:sz w:val="24"/>
          <w:szCs w:val="24"/>
        </w:rPr>
        <w:t xml:space="preserve">here is merely an application and testimony from intervening parties. Rebuttal testimony is rarely granted. </w:t>
      </w:r>
      <w:r w:rsidR="005C46FF">
        <w:rPr>
          <w:rFonts w:ascii="Arial" w:hAnsi="Arial" w:cs="Arial"/>
          <w:sz w:val="24"/>
          <w:szCs w:val="24"/>
        </w:rPr>
        <w:t xml:space="preserve">The Commission often relies upon “qualitative factors” that have no place in a distribution rate case.  </w:t>
      </w:r>
      <w:r w:rsidR="00E93520">
        <w:rPr>
          <w:rFonts w:ascii="Arial" w:hAnsi="Arial" w:cs="Arial"/>
          <w:sz w:val="24"/>
          <w:szCs w:val="24"/>
        </w:rPr>
        <w:t xml:space="preserve"> While an ESP may include riders related to distribution rates, an ESP</w:t>
      </w:r>
      <w:r w:rsidR="00D21624">
        <w:rPr>
          <w:rFonts w:ascii="Arial" w:hAnsi="Arial" w:cs="Arial"/>
          <w:sz w:val="24"/>
          <w:szCs w:val="24"/>
        </w:rPr>
        <w:t xml:space="preserve"> does not establish base distribution rates</w:t>
      </w:r>
      <w:r w:rsidR="00E93520">
        <w:rPr>
          <w:rFonts w:ascii="Arial" w:hAnsi="Arial" w:cs="Arial"/>
          <w:sz w:val="24"/>
          <w:szCs w:val="24"/>
        </w:rPr>
        <w:t>.</w:t>
      </w:r>
      <w:r w:rsidR="00D21624">
        <w:rPr>
          <w:rFonts w:ascii="Arial" w:hAnsi="Arial" w:cs="Arial"/>
          <w:sz w:val="24"/>
          <w:szCs w:val="24"/>
        </w:rPr>
        <w:t xml:space="preserve">  That power is left</w:t>
      </w:r>
      <w:r w:rsidR="00E93520">
        <w:rPr>
          <w:rFonts w:ascii="Arial" w:hAnsi="Arial" w:cs="Arial"/>
          <w:sz w:val="24"/>
          <w:szCs w:val="24"/>
        </w:rPr>
        <w:t xml:space="preserve"> </w:t>
      </w:r>
      <w:r w:rsidR="00D21624">
        <w:rPr>
          <w:rFonts w:ascii="Arial" w:hAnsi="Arial" w:cs="Arial"/>
          <w:sz w:val="24"/>
          <w:szCs w:val="24"/>
        </w:rPr>
        <w:t xml:space="preserve">to </w:t>
      </w:r>
      <w:r w:rsidR="00E93520">
        <w:rPr>
          <w:rFonts w:ascii="Arial" w:hAnsi="Arial" w:cs="Arial"/>
          <w:sz w:val="24"/>
          <w:szCs w:val="24"/>
        </w:rPr>
        <w:t>Chapter 4909.</w:t>
      </w:r>
    </w:p>
    <w:p w14:paraId="39BBB05C" w14:textId="17F69ACF" w:rsidR="00E93520" w:rsidRDefault="00E93520" w:rsidP="00E93520">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Duke’s motion claims that combining these proceedings will streamline legal and factual issues.  That is simply not true.  Trying to combine a base distributi</w:t>
      </w:r>
      <w:r w:rsidR="00675CF0">
        <w:rPr>
          <w:rFonts w:ascii="Arial" w:hAnsi="Arial" w:cs="Arial"/>
          <w:sz w:val="24"/>
          <w:szCs w:val="24"/>
        </w:rPr>
        <w:t>on case and ESP is</w:t>
      </w:r>
      <w:r w:rsidR="00266F86">
        <w:rPr>
          <w:rFonts w:ascii="Arial" w:hAnsi="Arial" w:cs="Arial"/>
          <w:sz w:val="24"/>
          <w:szCs w:val="24"/>
        </w:rPr>
        <w:t xml:space="preserve"> akin to</w:t>
      </w:r>
      <w:r w:rsidR="00675CF0">
        <w:rPr>
          <w:rFonts w:ascii="Arial" w:hAnsi="Arial" w:cs="Arial"/>
          <w:sz w:val="24"/>
          <w:szCs w:val="24"/>
        </w:rPr>
        <w:t xml:space="preserve"> using an Apple hard drive in</w:t>
      </w:r>
      <w:r w:rsidR="000440CA">
        <w:rPr>
          <w:rFonts w:ascii="Arial" w:hAnsi="Arial" w:cs="Arial"/>
          <w:sz w:val="24"/>
          <w:szCs w:val="24"/>
        </w:rPr>
        <w:t xml:space="preserve"> a</w:t>
      </w:r>
      <w:r w:rsidR="00675CF0">
        <w:rPr>
          <w:rFonts w:ascii="Arial" w:hAnsi="Arial" w:cs="Arial"/>
          <w:sz w:val="24"/>
          <w:szCs w:val="24"/>
        </w:rPr>
        <w:t xml:space="preserve"> Microsoft computer.  It might sound </w:t>
      </w:r>
      <w:r w:rsidR="00675CF0">
        <w:rPr>
          <w:rFonts w:ascii="Arial" w:hAnsi="Arial" w:cs="Arial"/>
          <w:sz w:val="24"/>
          <w:szCs w:val="24"/>
        </w:rPr>
        <w:lastRenderedPageBreak/>
        <w:t xml:space="preserve">innovative, but you are not likely to get the results you want. The rules for the devices are simply too different to function properly together.  </w:t>
      </w:r>
    </w:p>
    <w:p w14:paraId="6F479B72" w14:textId="6DCDD96D" w:rsidR="00675CF0" w:rsidRDefault="00675CF0" w:rsidP="00E93520">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For example, in the distribution rate case, parties have submitted objections to the Staff Report. Normally, testimony is submitted by parties to support objections.  Then, the Staff must submit its own testimony to defend the Staff Report.  How will the Staff achieve that end in a combined hearing? Also, in areas where the Stipulation proposes to modify the Staff Report, who will provide testimony to support the modified Staff Report?</w:t>
      </w:r>
      <w:r w:rsidR="00DC709F">
        <w:rPr>
          <w:rFonts w:ascii="Arial" w:hAnsi="Arial" w:cs="Arial"/>
          <w:sz w:val="24"/>
          <w:szCs w:val="24"/>
        </w:rPr>
        <w:t xml:space="preserve">  Further, if the Staff fails to address individual objections with testimony, will the Commission strike the Staff </w:t>
      </w:r>
      <w:proofErr w:type="gramStart"/>
      <w:r w:rsidR="00DC709F">
        <w:rPr>
          <w:rFonts w:ascii="Arial" w:hAnsi="Arial" w:cs="Arial"/>
          <w:sz w:val="24"/>
          <w:szCs w:val="24"/>
        </w:rPr>
        <w:t>Report.</w:t>
      </w:r>
      <w:proofErr w:type="gramEnd"/>
      <w:r w:rsidR="00DC709F">
        <w:rPr>
          <w:rFonts w:ascii="Arial" w:hAnsi="Arial" w:cs="Arial"/>
          <w:sz w:val="24"/>
          <w:szCs w:val="24"/>
        </w:rPr>
        <w:t xml:space="preserve">  Will there be one order and will such order properly adhere to the separate requirements of Chapters 4909 and 4928?</w:t>
      </w:r>
    </w:p>
    <w:p w14:paraId="0D1B2230" w14:textId="65FBAA4B" w:rsidR="00886267" w:rsidRDefault="00886267" w:rsidP="00E93520">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Further, there are very important issues that are being addressed</w:t>
      </w:r>
      <w:r w:rsidR="00D40F95">
        <w:rPr>
          <w:rFonts w:ascii="Arial" w:hAnsi="Arial" w:cs="Arial"/>
          <w:sz w:val="24"/>
          <w:szCs w:val="24"/>
        </w:rPr>
        <w:t xml:space="preserve"> by </w:t>
      </w:r>
      <w:r>
        <w:rPr>
          <w:rFonts w:ascii="Arial" w:hAnsi="Arial" w:cs="Arial"/>
          <w:sz w:val="24"/>
          <w:szCs w:val="24"/>
        </w:rPr>
        <w:t xml:space="preserve">a single stipulation that do not appear to be related. For </w:t>
      </w:r>
      <w:r w:rsidR="00D40F95">
        <w:rPr>
          <w:rFonts w:ascii="Arial" w:hAnsi="Arial" w:cs="Arial"/>
          <w:sz w:val="24"/>
          <w:szCs w:val="24"/>
        </w:rPr>
        <w:t>instance,</w:t>
      </w:r>
      <w:r>
        <w:rPr>
          <w:rFonts w:ascii="Arial" w:hAnsi="Arial" w:cs="Arial"/>
          <w:sz w:val="24"/>
          <w:szCs w:val="24"/>
        </w:rPr>
        <w:t xml:space="preserve"> the Stipulation would approve OVEC cost recovery and a standard service offer for default customers while at the same time setting new distribution rates for customers. </w:t>
      </w:r>
      <w:r w:rsidR="00D40F95">
        <w:rPr>
          <w:rFonts w:ascii="Arial" w:hAnsi="Arial" w:cs="Arial"/>
          <w:sz w:val="24"/>
          <w:szCs w:val="24"/>
        </w:rPr>
        <w:t>The intent of electric restructuring is to legally separate electric distribution from the electric generation of the utility. Consolidating a distribution case and a generation cases muddies the water between utility distribution and generation, opening up any decision on the proceeding to be attacked on appeal.</w:t>
      </w:r>
    </w:p>
    <w:p w14:paraId="46CCFD7A" w14:textId="2F4A3A68" w:rsidR="00514B39" w:rsidRDefault="00514B39" w:rsidP="00514B39">
      <w:pPr>
        <w:pStyle w:val="ListParagraph"/>
        <w:numPr>
          <w:ilvl w:val="0"/>
          <w:numId w:val="8"/>
        </w:numPr>
        <w:autoSpaceDE w:val="0"/>
        <w:autoSpaceDN w:val="0"/>
        <w:adjustRightInd w:val="0"/>
        <w:spacing w:after="120" w:line="480" w:lineRule="auto"/>
        <w:jc w:val="both"/>
        <w:rPr>
          <w:rFonts w:ascii="Arial" w:hAnsi="Arial" w:cs="Arial"/>
          <w:b/>
          <w:sz w:val="24"/>
          <w:szCs w:val="24"/>
        </w:rPr>
      </w:pPr>
      <w:r>
        <w:rPr>
          <w:rFonts w:ascii="Arial" w:hAnsi="Arial" w:cs="Arial"/>
          <w:b/>
          <w:sz w:val="24"/>
          <w:szCs w:val="24"/>
        </w:rPr>
        <w:t>CONCLUSION</w:t>
      </w:r>
    </w:p>
    <w:p w14:paraId="67D9F2F3" w14:textId="49AB01B3" w:rsidR="00514B39" w:rsidRPr="00514B39" w:rsidRDefault="00514B39" w:rsidP="00514B39">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For the reasons stated herein, IGS recommends that the Commission deny, in part, the motion to consolidate. </w:t>
      </w:r>
    </w:p>
    <w:p w14:paraId="589962A4" w14:textId="77777777" w:rsidR="00D21624" w:rsidRDefault="00D21624">
      <w:pPr>
        <w:spacing w:after="0" w:line="240" w:lineRule="auto"/>
        <w:ind w:left="5040"/>
        <w:rPr>
          <w:rFonts w:ascii="Arial" w:eastAsia="Calibri" w:hAnsi="Arial" w:cs="Arial"/>
          <w:sz w:val="24"/>
          <w:szCs w:val="24"/>
        </w:rPr>
      </w:pPr>
    </w:p>
    <w:p w14:paraId="0F6A0F70" w14:textId="77777777" w:rsidR="00D21624" w:rsidRDefault="00D21624">
      <w:pPr>
        <w:spacing w:after="0" w:line="240" w:lineRule="auto"/>
        <w:ind w:left="5040"/>
        <w:rPr>
          <w:rFonts w:ascii="Arial" w:eastAsia="Calibri" w:hAnsi="Arial" w:cs="Arial"/>
          <w:sz w:val="24"/>
          <w:szCs w:val="24"/>
        </w:rPr>
      </w:pPr>
    </w:p>
    <w:p w14:paraId="7176D2F7" w14:textId="77777777" w:rsidR="00545F29" w:rsidRDefault="0056270F">
      <w:pPr>
        <w:spacing w:after="0" w:line="240" w:lineRule="auto"/>
        <w:ind w:left="5040"/>
        <w:rPr>
          <w:rFonts w:ascii="Arial" w:eastAsia="Calibri" w:hAnsi="Arial" w:cs="Arial"/>
          <w:sz w:val="24"/>
          <w:szCs w:val="24"/>
        </w:rPr>
      </w:pPr>
      <w:r>
        <w:rPr>
          <w:rFonts w:ascii="Arial" w:eastAsia="Calibri" w:hAnsi="Arial" w:cs="Arial"/>
          <w:sz w:val="24"/>
          <w:szCs w:val="24"/>
        </w:rPr>
        <w:lastRenderedPageBreak/>
        <w:t>Respectfully submitted,</w:t>
      </w:r>
    </w:p>
    <w:p w14:paraId="7176D2F9" w14:textId="77777777" w:rsidR="00545F29" w:rsidRDefault="00545F29" w:rsidP="00D13280">
      <w:pPr>
        <w:spacing w:after="0" w:line="240" w:lineRule="auto"/>
        <w:rPr>
          <w:rFonts w:ascii="Arial" w:eastAsia="Calibri" w:hAnsi="Arial" w:cs="Arial"/>
          <w:sz w:val="24"/>
          <w:szCs w:val="24"/>
        </w:rPr>
      </w:pPr>
    </w:p>
    <w:p w14:paraId="7176D2FA" w14:textId="77777777" w:rsidR="00545F29" w:rsidRDefault="00545F29">
      <w:pPr>
        <w:spacing w:after="0" w:line="240" w:lineRule="auto"/>
        <w:ind w:left="5040"/>
        <w:rPr>
          <w:rFonts w:ascii="Arial" w:eastAsia="Calibri" w:hAnsi="Arial" w:cs="Arial"/>
          <w:sz w:val="24"/>
          <w:szCs w:val="24"/>
          <w:u w:val="single"/>
        </w:rPr>
      </w:pPr>
    </w:p>
    <w:p w14:paraId="79CA8D10" w14:textId="77777777" w:rsidR="009B3BB3" w:rsidRPr="00D65A08" w:rsidRDefault="009B3BB3" w:rsidP="009B3BB3">
      <w:pPr>
        <w:spacing w:after="0" w:line="240" w:lineRule="auto"/>
        <w:ind w:left="5040"/>
        <w:rPr>
          <w:rFonts w:ascii="Arial" w:eastAsia="Calibri" w:hAnsi="Arial" w:cs="Arial"/>
          <w:sz w:val="24"/>
          <w:szCs w:val="24"/>
          <w:u w:val="single"/>
        </w:rPr>
      </w:pPr>
      <w:r w:rsidRPr="00D51198">
        <w:rPr>
          <w:rFonts w:ascii="Arial" w:eastAsia="Arial" w:hAnsi="Arial" w:cs="Arial"/>
          <w:i/>
          <w:sz w:val="24"/>
          <w:szCs w:val="24"/>
          <w:u w:val="single"/>
        </w:rPr>
        <w:t xml:space="preserve">/s/ </w:t>
      </w:r>
      <w:r>
        <w:rPr>
          <w:rFonts w:ascii="Arial" w:eastAsia="Arial" w:hAnsi="Arial" w:cs="Arial"/>
          <w:i/>
          <w:sz w:val="24"/>
          <w:szCs w:val="24"/>
          <w:u w:val="single"/>
        </w:rPr>
        <w:t>Joseph Oliker_________</w:t>
      </w:r>
    </w:p>
    <w:p w14:paraId="6A929A71" w14:textId="77777777" w:rsidR="009B3BB3" w:rsidRPr="00526ADC" w:rsidRDefault="009B3BB3" w:rsidP="009B3BB3">
      <w:pPr>
        <w:spacing w:after="0" w:line="240" w:lineRule="auto"/>
        <w:ind w:left="5040"/>
        <w:rPr>
          <w:rFonts w:ascii="Arial" w:hAnsi="Arial" w:cs="Arial"/>
          <w:sz w:val="24"/>
          <w:szCs w:val="24"/>
        </w:rPr>
      </w:pPr>
      <w:r w:rsidRPr="00526ADC">
        <w:rPr>
          <w:rFonts w:ascii="Arial" w:hAnsi="Arial" w:cs="Arial"/>
          <w:sz w:val="24"/>
          <w:szCs w:val="24"/>
        </w:rPr>
        <w:t>Joseph Oliker (0086088)</w:t>
      </w:r>
    </w:p>
    <w:p w14:paraId="153BD62B" w14:textId="77777777" w:rsidR="009B3BB3" w:rsidRPr="00526ADC" w:rsidRDefault="009B3BB3" w:rsidP="009B3BB3">
      <w:pPr>
        <w:spacing w:after="0" w:line="240" w:lineRule="auto"/>
        <w:ind w:left="5040"/>
        <w:rPr>
          <w:rFonts w:ascii="Arial" w:hAnsi="Arial" w:cs="Arial"/>
          <w:sz w:val="24"/>
          <w:szCs w:val="24"/>
        </w:rPr>
      </w:pPr>
      <w:r w:rsidRPr="00526ADC">
        <w:rPr>
          <w:rFonts w:ascii="Arial" w:hAnsi="Arial" w:cs="Arial"/>
          <w:sz w:val="24"/>
          <w:szCs w:val="24"/>
        </w:rPr>
        <w:t xml:space="preserve">Email: </w:t>
      </w:r>
      <w:hyperlink r:id="rId8" w:history="1">
        <w:r w:rsidRPr="00526ADC">
          <w:rPr>
            <w:rStyle w:val="Hyperlink"/>
            <w:rFonts w:ascii="Arial" w:hAnsi="Arial" w:cs="Arial"/>
            <w:color w:val="auto"/>
            <w:sz w:val="24"/>
            <w:szCs w:val="24"/>
            <w:u w:val="none"/>
          </w:rPr>
          <w:t>joliker@igsenergy.com</w:t>
        </w:r>
      </w:hyperlink>
    </w:p>
    <w:p w14:paraId="3393DF6D" w14:textId="77777777" w:rsidR="009B3BB3" w:rsidRPr="00526ADC" w:rsidRDefault="009B3BB3" w:rsidP="009B3BB3">
      <w:pPr>
        <w:spacing w:after="0" w:line="240" w:lineRule="auto"/>
        <w:ind w:left="5040"/>
        <w:rPr>
          <w:rFonts w:ascii="Arial" w:hAnsi="Arial" w:cs="Arial"/>
          <w:sz w:val="24"/>
          <w:szCs w:val="24"/>
        </w:rPr>
      </w:pPr>
      <w:r w:rsidRPr="00526ADC">
        <w:rPr>
          <w:rFonts w:ascii="Arial" w:hAnsi="Arial" w:cs="Arial"/>
          <w:sz w:val="24"/>
          <w:szCs w:val="24"/>
        </w:rPr>
        <w:t>Counsel of Record</w:t>
      </w:r>
    </w:p>
    <w:p w14:paraId="796D46E9" w14:textId="52F12F6D" w:rsidR="00526ADC" w:rsidRPr="00526ADC" w:rsidRDefault="00526ADC" w:rsidP="009B3BB3">
      <w:pPr>
        <w:spacing w:after="0" w:line="240" w:lineRule="auto"/>
        <w:ind w:left="5040"/>
        <w:rPr>
          <w:rFonts w:ascii="Arial" w:hAnsi="Arial" w:cs="Arial"/>
          <w:sz w:val="24"/>
          <w:szCs w:val="24"/>
        </w:rPr>
      </w:pPr>
      <w:r w:rsidRPr="00526ADC">
        <w:rPr>
          <w:rFonts w:ascii="Arial" w:hAnsi="Arial" w:cs="Arial"/>
          <w:sz w:val="24"/>
          <w:szCs w:val="24"/>
        </w:rPr>
        <w:t>Michael Nugent</w:t>
      </w:r>
    </w:p>
    <w:p w14:paraId="704645D0" w14:textId="09B553F9" w:rsidR="00526ADC" w:rsidRPr="00526ADC" w:rsidRDefault="00526ADC" w:rsidP="009B3BB3">
      <w:pPr>
        <w:spacing w:after="0" w:line="240" w:lineRule="auto"/>
        <w:ind w:left="5040"/>
        <w:rPr>
          <w:rFonts w:ascii="Arial" w:hAnsi="Arial" w:cs="Arial"/>
          <w:sz w:val="24"/>
          <w:szCs w:val="24"/>
        </w:rPr>
      </w:pPr>
      <w:r w:rsidRPr="00526ADC">
        <w:rPr>
          <w:rFonts w:ascii="Arial" w:hAnsi="Arial" w:cs="Arial"/>
          <w:sz w:val="24"/>
          <w:szCs w:val="24"/>
        </w:rPr>
        <w:t>Mnugent@igsenergy.com</w:t>
      </w:r>
    </w:p>
    <w:p w14:paraId="4AEF2E17" w14:textId="77777777" w:rsidR="009B3BB3" w:rsidRPr="00526ADC" w:rsidRDefault="009B3BB3" w:rsidP="009B3BB3">
      <w:pPr>
        <w:spacing w:after="0" w:line="240" w:lineRule="auto"/>
        <w:ind w:left="5040"/>
        <w:rPr>
          <w:rFonts w:ascii="Arial" w:hAnsi="Arial" w:cs="Arial"/>
          <w:sz w:val="24"/>
          <w:szCs w:val="24"/>
        </w:rPr>
      </w:pPr>
      <w:r w:rsidRPr="00526ADC">
        <w:rPr>
          <w:rFonts w:ascii="Arial" w:hAnsi="Arial" w:cs="Arial"/>
          <w:sz w:val="24"/>
          <w:szCs w:val="24"/>
        </w:rPr>
        <w:t>IGS Energy</w:t>
      </w:r>
    </w:p>
    <w:p w14:paraId="54C80BDC" w14:textId="77777777" w:rsidR="009B3BB3" w:rsidRPr="00526ADC" w:rsidRDefault="009B3BB3" w:rsidP="009B3BB3">
      <w:pPr>
        <w:spacing w:after="0" w:line="240" w:lineRule="auto"/>
        <w:ind w:left="5040"/>
        <w:rPr>
          <w:rFonts w:ascii="Arial" w:hAnsi="Arial" w:cs="Arial"/>
          <w:sz w:val="24"/>
          <w:szCs w:val="24"/>
        </w:rPr>
      </w:pPr>
      <w:r w:rsidRPr="00526ADC">
        <w:rPr>
          <w:rFonts w:ascii="Arial" w:hAnsi="Arial" w:cs="Arial"/>
          <w:sz w:val="24"/>
          <w:szCs w:val="24"/>
        </w:rPr>
        <w:t>6100 Emerald Parkway</w:t>
      </w:r>
    </w:p>
    <w:p w14:paraId="197BD928" w14:textId="77777777" w:rsidR="009B3BB3" w:rsidRPr="00526ADC" w:rsidRDefault="009B3BB3" w:rsidP="009B3BB3">
      <w:pPr>
        <w:spacing w:after="0" w:line="240" w:lineRule="auto"/>
        <w:ind w:left="5040"/>
        <w:rPr>
          <w:rFonts w:ascii="Arial" w:hAnsi="Arial" w:cs="Arial"/>
          <w:sz w:val="24"/>
          <w:szCs w:val="24"/>
        </w:rPr>
      </w:pPr>
      <w:r w:rsidRPr="00526ADC">
        <w:rPr>
          <w:rFonts w:ascii="Arial" w:hAnsi="Arial" w:cs="Arial"/>
          <w:sz w:val="24"/>
          <w:szCs w:val="24"/>
        </w:rPr>
        <w:t>Dublin, Ohio 43016</w:t>
      </w:r>
    </w:p>
    <w:p w14:paraId="3F468C07" w14:textId="77777777" w:rsidR="009B3BB3" w:rsidRPr="00526ADC" w:rsidRDefault="009B3BB3" w:rsidP="009B3BB3">
      <w:pPr>
        <w:spacing w:after="0" w:line="240" w:lineRule="auto"/>
        <w:ind w:left="5040"/>
        <w:rPr>
          <w:rFonts w:ascii="Arial" w:hAnsi="Arial" w:cs="Arial"/>
          <w:sz w:val="24"/>
          <w:szCs w:val="24"/>
        </w:rPr>
      </w:pPr>
      <w:r w:rsidRPr="00526ADC">
        <w:rPr>
          <w:rFonts w:ascii="Arial" w:hAnsi="Arial" w:cs="Arial"/>
          <w:sz w:val="24"/>
          <w:szCs w:val="24"/>
        </w:rPr>
        <w:t>Telephone:</w:t>
      </w:r>
      <w:r w:rsidRPr="00526ADC">
        <w:rPr>
          <w:rFonts w:ascii="Arial" w:hAnsi="Arial" w:cs="Arial"/>
          <w:sz w:val="24"/>
          <w:szCs w:val="24"/>
        </w:rPr>
        <w:tab/>
        <w:t>(614) 659-5000</w:t>
      </w:r>
    </w:p>
    <w:p w14:paraId="1076C0BD" w14:textId="77777777" w:rsidR="009B3BB3" w:rsidRPr="00526ADC" w:rsidRDefault="009B3BB3" w:rsidP="009B3BB3">
      <w:pPr>
        <w:spacing w:after="0" w:line="240" w:lineRule="auto"/>
        <w:ind w:left="5040"/>
        <w:rPr>
          <w:rFonts w:ascii="Arial" w:hAnsi="Arial" w:cs="Arial"/>
          <w:sz w:val="24"/>
          <w:szCs w:val="24"/>
        </w:rPr>
      </w:pPr>
      <w:r w:rsidRPr="00526ADC">
        <w:rPr>
          <w:rFonts w:ascii="Arial" w:hAnsi="Arial" w:cs="Arial"/>
          <w:sz w:val="24"/>
          <w:szCs w:val="24"/>
        </w:rPr>
        <w:t>Facsimile:</w:t>
      </w:r>
      <w:r w:rsidRPr="00526ADC">
        <w:rPr>
          <w:rFonts w:ascii="Arial" w:hAnsi="Arial" w:cs="Arial"/>
          <w:sz w:val="24"/>
          <w:szCs w:val="24"/>
        </w:rPr>
        <w:tab/>
        <w:t>(614) 659-5073</w:t>
      </w:r>
    </w:p>
    <w:p w14:paraId="7176D306" w14:textId="77777777" w:rsidR="00545F29" w:rsidRDefault="00545F29">
      <w:pPr>
        <w:spacing w:after="0" w:line="240" w:lineRule="auto"/>
        <w:ind w:left="5040"/>
        <w:rPr>
          <w:rFonts w:ascii="Arial" w:hAnsi="Arial" w:cs="Arial"/>
          <w:sz w:val="24"/>
          <w:szCs w:val="24"/>
        </w:rPr>
      </w:pPr>
    </w:p>
    <w:p w14:paraId="7176D308" w14:textId="0C63361A" w:rsidR="00545F29" w:rsidRPr="00237730" w:rsidRDefault="00E9019F" w:rsidP="00237730">
      <w:pPr>
        <w:spacing w:after="0" w:line="240" w:lineRule="auto"/>
        <w:ind w:left="5040"/>
        <w:rPr>
          <w:rFonts w:ascii="Arial" w:hAnsi="Arial" w:cs="Arial"/>
          <w:b/>
          <w:i/>
          <w:sz w:val="24"/>
          <w:szCs w:val="24"/>
        </w:rPr>
      </w:pPr>
      <w:r>
        <w:rPr>
          <w:rFonts w:ascii="Arial" w:hAnsi="Arial" w:cs="Arial"/>
          <w:b/>
          <w:i/>
          <w:sz w:val="24"/>
          <w:szCs w:val="24"/>
        </w:rPr>
        <w:t>Attorney</w:t>
      </w:r>
      <w:r w:rsidR="00526ADC">
        <w:rPr>
          <w:rFonts w:ascii="Arial" w:hAnsi="Arial" w:cs="Arial"/>
          <w:b/>
          <w:i/>
          <w:sz w:val="24"/>
          <w:szCs w:val="24"/>
        </w:rPr>
        <w:t>s</w:t>
      </w:r>
      <w:r w:rsidR="0056270F">
        <w:rPr>
          <w:rFonts w:ascii="Arial" w:hAnsi="Arial" w:cs="Arial"/>
          <w:b/>
          <w:i/>
          <w:sz w:val="24"/>
          <w:szCs w:val="24"/>
        </w:rPr>
        <w:t xml:space="preserve"> for </w:t>
      </w:r>
      <w:r w:rsidR="00237730">
        <w:rPr>
          <w:rFonts w:ascii="Arial" w:hAnsi="Arial" w:cs="Arial"/>
          <w:b/>
          <w:i/>
          <w:sz w:val="24"/>
          <w:szCs w:val="24"/>
        </w:rPr>
        <w:t>IGS Energy</w:t>
      </w:r>
    </w:p>
    <w:p w14:paraId="7176D309" w14:textId="77777777" w:rsidR="00545F29" w:rsidRDefault="0056270F">
      <w:pPr>
        <w:spacing w:after="0" w:line="240" w:lineRule="auto"/>
        <w:ind w:left="4230"/>
        <w:rPr>
          <w:rFonts w:ascii="Arial" w:eastAsia="Calibri" w:hAnsi="Arial" w:cs="Arial"/>
          <w:b/>
          <w:sz w:val="24"/>
          <w:szCs w:val="24"/>
          <w:u w:val="single"/>
        </w:rPr>
      </w:pPr>
      <w:r>
        <w:rPr>
          <w:rFonts w:ascii="Arial" w:eastAsia="Calibri" w:hAnsi="Arial" w:cs="Arial"/>
          <w:b/>
          <w:sz w:val="24"/>
          <w:szCs w:val="24"/>
          <w:u w:val="single"/>
        </w:rPr>
        <w:br w:type="page"/>
      </w:r>
    </w:p>
    <w:p w14:paraId="7176D30A" w14:textId="77777777" w:rsidR="00545F29" w:rsidRPr="009D71F6" w:rsidRDefault="0056270F">
      <w:pPr>
        <w:spacing w:after="0" w:line="240" w:lineRule="auto"/>
        <w:jc w:val="center"/>
        <w:rPr>
          <w:rFonts w:ascii="Arial" w:eastAsia="Arial" w:hAnsi="Arial" w:cs="Arial"/>
          <w:b/>
          <w:sz w:val="24"/>
          <w:szCs w:val="24"/>
          <w:u w:val="single"/>
        </w:rPr>
      </w:pPr>
      <w:r w:rsidRPr="009D71F6">
        <w:rPr>
          <w:rFonts w:ascii="Arial" w:eastAsia="Arial" w:hAnsi="Arial" w:cs="Arial"/>
          <w:b/>
          <w:sz w:val="24"/>
          <w:szCs w:val="24"/>
          <w:u w:val="single"/>
        </w:rPr>
        <w:lastRenderedPageBreak/>
        <w:t>CERTIFICATE OF SERVICE</w:t>
      </w:r>
    </w:p>
    <w:p w14:paraId="7176D30B" w14:textId="77777777" w:rsidR="00545F29" w:rsidRPr="009D71F6" w:rsidRDefault="00545F29">
      <w:pPr>
        <w:spacing w:after="0" w:line="240" w:lineRule="auto"/>
        <w:jc w:val="center"/>
        <w:rPr>
          <w:rFonts w:ascii="Arial" w:eastAsia="Arial" w:hAnsi="Arial" w:cs="Arial"/>
          <w:b/>
          <w:sz w:val="24"/>
          <w:szCs w:val="24"/>
          <w:u w:val="single"/>
        </w:rPr>
      </w:pPr>
    </w:p>
    <w:p w14:paraId="7176D30C" w14:textId="4F3C9A55" w:rsidR="00545F29" w:rsidRPr="009D71F6" w:rsidRDefault="0056270F" w:rsidP="008A2C5B">
      <w:pPr>
        <w:spacing w:after="0" w:line="240" w:lineRule="auto"/>
        <w:jc w:val="both"/>
        <w:rPr>
          <w:rFonts w:ascii="Arial" w:eastAsia="Calibri" w:hAnsi="Arial" w:cs="Arial"/>
          <w:sz w:val="24"/>
          <w:szCs w:val="24"/>
        </w:rPr>
      </w:pPr>
      <w:r w:rsidRPr="009D71F6">
        <w:rPr>
          <w:rFonts w:ascii="Arial" w:eastAsia="Arial" w:hAnsi="Arial" w:cs="Arial"/>
          <w:sz w:val="24"/>
          <w:szCs w:val="24"/>
        </w:rPr>
        <w:tab/>
      </w:r>
      <w:r w:rsidR="008A2C5B" w:rsidRPr="008A2C5B">
        <w:rPr>
          <w:rFonts w:ascii="Arial" w:eastAsia="Calibri" w:hAnsi="Arial" w:cs="Arial"/>
          <w:sz w:val="24"/>
          <w:szCs w:val="24"/>
        </w:rPr>
        <w:t>I certify that this</w:t>
      </w:r>
      <w:r w:rsidR="004B7E09">
        <w:rPr>
          <w:rFonts w:ascii="Arial" w:eastAsia="Calibri" w:hAnsi="Arial" w:cs="Arial"/>
          <w:sz w:val="24"/>
          <w:szCs w:val="24"/>
        </w:rPr>
        <w:t xml:space="preserve"> </w:t>
      </w:r>
      <w:r w:rsidR="00166A2D">
        <w:rPr>
          <w:rFonts w:ascii="Arial" w:eastAsia="Calibri" w:hAnsi="Arial" w:cs="Arial"/>
          <w:i/>
          <w:sz w:val="24"/>
          <w:szCs w:val="24"/>
        </w:rPr>
        <w:t xml:space="preserve">Memorandum Contra Motion to </w:t>
      </w:r>
      <w:r w:rsidR="00BD7223">
        <w:rPr>
          <w:rFonts w:ascii="Arial" w:eastAsia="Calibri" w:hAnsi="Arial" w:cs="Arial"/>
          <w:i/>
          <w:sz w:val="24"/>
          <w:szCs w:val="24"/>
        </w:rPr>
        <w:t>Consolidate Cases</w:t>
      </w:r>
      <w:r w:rsidR="006E5083">
        <w:rPr>
          <w:rFonts w:ascii="Arial" w:eastAsia="Calibri" w:hAnsi="Arial" w:cs="Arial"/>
          <w:sz w:val="24"/>
          <w:szCs w:val="24"/>
        </w:rPr>
        <w:t xml:space="preserve"> </w:t>
      </w:r>
      <w:r w:rsidR="008A2C5B" w:rsidRPr="008A2C5B">
        <w:rPr>
          <w:rFonts w:ascii="Arial" w:eastAsia="Calibri" w:hAnsi="Arial" w:cs="Arial"/>
          <w:sz w:val="24"/>
          <w:szCs w:val="24"/>
        </w:rPr>
        <w:t>was filed electronically through the Docketing Information System of the Public Utilities</w:t>
      </w:r>
      <w:r w:rsidR="006E5083">
        <w:rPr>
          <w:rFonts w:ascii="Arial" w:eastAsia="Calibri" w:hAnsi="Arial" w:cs="Arial"/>
          <w:sz w:val="24"/>
          <w:szCs w:val="24"/>
        </w:rPr>
        <w:t xml:space="preserve"> </w:t>
      </w:r>
      <w:r w:rsidR="008A2C5B" w:rsidRPr="008A2C5B">
        <w:rPr>
          <w:rFonts w:ascii="Arial" w:eastAsia="Calibri" w:hAnsi="Arial" w:cs="Arial"/>
          <w:sz w:val="24"/>
          <w:szCs w:val="24"/>
        </w:rPr>
        <w:t>Commiss</w:t>
      </w:r>
      <w:r w:rsidR="00166A2D">
        <w:rPr>
          <w:rFonts w:ascii="Arial" w:eastAsia="Calibri" w:hAnsi="Arial" w:cs="Arial"/>
          <w:sz w:val="24"/>
          <w:szCs w:val="24"/>
        </w:rPr>
        <w:t xml:space="preserve">ion of Ohio </w:t>
      </w:r>
      <w:r w:rsidR="00295125">
        <w:rPr>
          <w:rFonts w:ascii="Arial" w:eastAsia="Calibri" w:hAnsi="Arial" w:cs="Arial"/>
          <w:sz w:val="24"/>
          <w:szCs w:val="24"/>
        </w:rPr>
        <w:t xml:space="preserve">and served </w:t>
      </w:r>
      <w:r w:rsidR="001B72DD">
        <w:rPr>
          <w:rFonts w:ascii="Arial" w:eastAsia="Calibri" w:hAnsi="Arial" w:cs="Arial"/>
          <w:sz w:val="24"/>
          <w:szCs w:val="24"/>
        </w:rPr>
        <w:t>this 30</w:t>
      </w:r>
      <w:r w:rsidR="00ED1193">
        <w:rPr>
          <w:rFonts w:ascii="Arial" w:eastAsia="Calibri" w:hAnsi="Arial" w:cs="Arial"/>
          <w:sz w:val="24"/>
          <w:szCs w:val="24"/>
          <w:vertAlign w:val="superscript"/>
        </w:rPr>
        <w:t>th</w:t>
      </w:r>
      <w:r w:rsidR="006E5083">
        <w:rPr>
          <w:rFonts w:ascii="Arial" w:eastAsia="Calibri" w:hAnsi="Arial" w:cs="Arial"/>
          <w:sz w:val="24"/>
          <w:szCs w:val="24"/>
        </w:rPr>
        <w:t xml:space="preserve"> day of </w:t>
      </w:r>
      <w:r w:rsidR="00BD7223">
        <w:rPr>
          <w:rFonts w:ascii="Arial" w:eastAsia="Calibri" w:hAnsi="Arial" w:cs="Arial"/>
          <w:sz w:val="24"/>
          <w:szCs w:val="24"/>
        </w:rPr>
        <w:t xml:space="preserve">April </w:t>
      </w:r>
      <w:r w:rsidR="001B72DD">
        <w:rPr>
          <w:rFonts w:ascii="Arial" w:eastAsia="Calibri" w:hAnsi="Arial" w:cs="Arial"/>
          <w:sz w:val="24"/>
          <w:szCs w:val="24"/>
        </w:rPr>
        <w:t>2018</w:t>
      </w:r>
      <w:r w:rsidR="00295125">
        <w:rPr>
          <w:rFonts w:ascii="Arial" w:eastAsia="Calibri" w:hAnsi="Arial" w:cs="Arial"/>
          <w:sz w:val="24"/>
          <w:szCs w:val="24"/>
        </w:rPr>
        <w:t xml:space="preserve"> via electronic mail upon the following:</w:t>
      </w:r>
    </w:p>
    <w:p w14:paraId="7176D30F" w14:textId="77777777" w:rsidR="00545F29" w:rsidRPr="00060C1F" w:rsidRDefault="00545F29">
      <w:pPr>
        <w:spacing w:after="0" w:line="240" w:lineRule="auto"/>
        <w:jc w:val="both"/>
        <w:rPr>
          <w:rFonts w:ascii="Arial" w:eastAsia="Arial" w:hAnsi="Arial" w:cs="Arial"/>
          <w:sz w:val="24"/>
          <w:szCs w:val="24"/>
        </w:rPr>
      </w:pPr>
    </w:p>
    <w:p w14:paraId="6FCF01CA" w14:textId="77777777" w:rsidR="00B270B3" w:rsidRPr="00060C1F" w:rsidRDefault="00B270B3" w:rsidP="00B270B3">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714"/>
        <w:gridCol w:w="4636"/>
      </w:tblGrid>
      <w:tr w:rsidR="00005033" w:rsidRPr="00060C1F" w14:paraId="498F860B" w14:textId="77777777" w:rsidTr="00005033">
        <w:tc>
          <w:tcPr>
            <w:tcW w:w="4714" w:type="dxa"/>
          </w:tcPr>
          <w:p w14:paraId="54372CF0" w14:textId="77777777" w:rsidR="00005033" w:rsidRPr="00B90DC2" w:rsidRDefault="00005033" w:rsidP="00005033">
            <w:pPr>
              <w:rPr>
                <w:rFonts w:ascii="Arial" w:hAnsi="Arial" w:cs="Arial"/>
                <w:sz w:val="24"/>
                <w:szCs w:val="24"/>
              </w:rPr>
            </w:pPr>
            <w:r w:rsidRPr="00B90DC2">
              <w:rPr>
                <w:rFonts w:ascii="Arial" w:hAnsi="Arial" w:cs="Arial"/>
                <w:sz w:val="24"/>
                <w:szCs w:val="24"/>
              </w:rPr>
              <w:t xml:space="preserve">amy.spiller@duke-energy.com jeanne.kinger@duke-energy.com elizabeth.watts@duke-energy.com rocco.d’ascenzo@duke-energy.com mkurtz@bkllawfirm.com jkylercohn@bkllawfirm.com fdarr@mwncmh.com mpritchard@mwncmh.com cmooney@ohiopartners.org </w:t>
            </w:r>
          </w:p>
          <w:p w14:paraId="63C3C468" w14:textId="77777777" w:rsidR="00005033" w:rsidRPr="00B90DC2" w:rsidRDefault="0075256F" w:rsidP="00005033">
            <w:pPr>
              <w:rPr>
                <w:rFonts w:ascii="Arial" w:hAnsi="Arial" w:cs="Arial"/>
                <w:sz w:val="24"/>
                <w:szCs w:val="24"/>
              </w:rPr>
            </w:pPr>
            <w:hyperlink r:id="rId9" w:history="1">
              <w:r w:rsidR="00005033" w:rsidRPr="00B90DC2">
                <w:rPr>
                  <w:rFonts w:ascii="Arial" w:hAnsi="Arial" w:cs="Arial"/>
                  <w:sz w:val="24"/>
                  <w:szCs w:val="24"/>
                </w:rPr>
                <w:t>mfleisher@elpc.org</w:t>
              </w:r>
            </w:hyperlink>
            <w:r w:rsidR="00005033" w:rsidRPr="00B90DC2">
              <w:rPr>
                <w:rFonts w:ascii="Arial" w:hAnsi="Arial" w:cs="Arial"/>
                <w:sz w:val="24"/>
                <w:szCs w:val="24"/>
              </w:rPr>
              <w:t xml:space="preserve"> </w:t>
            </w:r>
          </w:p>
          <w:p w14:paraId="6852C616" w14:textId="77777777" w:rsidR="00005033" w:rsidRPr="00B90DC2" w:rsidRDefault="0075256F" w:rsidP="00005033">
            <w:pPr>
              <w:rPr>
                <w:rFonts w:ascii="Arial" w:hAnsi="Arial" w:cs="Arial"/>
                <w:sz w:val="24"/>
                <w:szCs w:val="24"/>
              </w:rPr>
            </w:pPr>
            <w:hyperlink r:id="rId10" w:history="1">
              <w:r w:rsidR="00005033" w:rsidRPr="00B90DC2">
                <w:rPr>
                  <w:rFonts w:ascii="Arial" w:hAnsi="Arial" w:cs="Arial"/>
                  <w:sz w:val="24"/>
                  <w:szCs w:val="24"/>
                </w:rPr>
                <w:t>paul@carpenterlipps.com</w:t>
              </w:r>
            </w:hyperlink>
          </w:p>
          <w:p w14:paraId="4A8620F1" w14:textId="77777777" w:rsidR="00005033" w:rsidRPr="00B90DC2" w:rsidRDefault="0075256F" w:rsidP="00005033">
            <w:pPr>
              <w:rPr>
                <w:rFonts w:ascii="Arial" w:hAnsi="Arial" w:cs="Arial"/>
                <w:sz w:val="24"/>
                <w:szCs w:val="24"/>
              </w:rPr>
            </w:pPr>
            <w:hyperlink r:id="rId11" w:history="1">
              <w:r w:rsidR="00005033" w:rsidRPr="00B90DC2">
                <w:rPr>
                  <w:rStyle w:val="Hyperlink"/>
                  <w:rFonts w:ascii="Arial" w:hAnsi="Arial" w:cs="Arial"/>
                  <w:color w:val="auto"/>
                  <w:sz w:val="24"/>
                  <w:szCs w:val="24"/>
                  <w:u w:val="none"/>
                </w:rPr>
                <w:t>William.Michael@occ.ohio.gov</w:t>
              </w:r>
            </w:hyperlink>
          </w:p>
          <w:p w14:paraId="16AAAD6C" w14:textId="77777777" w:rsidR="00005033" w:rsidRPr="00B90DC2" w:rsidRDefault="0075256F" w:rsidP="00005033">
            <w:pPr>
              <w:rPr>
                <w:rFonts w:ascii="Arial" w:hAnsi="Arial" w:cs="Arial"/>
                <w:sz w:val="24"/>
                <w:szCs w:val="24"/>
              </w:rPr>
            </w:pPr>
            <w:hyperlink r:id="rId12" w:history="1">
              <w:r w:rsidR="00005033" w:rsidRPr="00B90DC2">
                <w:rPr>
                  <w:rStyle w:val="Hyperlink"/>
                  <w:rFonts w:ascii="Arial" w:hAnsi="Arial" w:cs="Arial"/>
                  <w:color w:val="auto"/>
                  <w:sz w:val="24"/>
                  <w:szCs w:val="24"/>
                  <w:u w:val="none"/>
                </w:rPr>
                <w:t>Christopher.Healey@occ.ohio.gov</w:t>
              </w:r>
            </w:hyperlink>
          </w:p>
          <w:p w14:paraId="2CCBC2FB" w14:textId="77777777" w:rsidR="00005033" w:rsidRPr="00B90DC2" w:rsidRDefault="0075256F" w:rsidP="00005033">
            <w:pPr>
              <w:rPr>
                <w:rFonts w:ascii="Arial" w:hAnsi="Arial" w:cs="Arial"/>
                <w:sz w:val="24"/>
                <w:szCs w:val="24"/>
              </w:rPr>
            </w:pPr>
            <w:hyperlink r:id="rId13" w:history="1">
              <w:r w:rsidR="00005033" w:rsidRPr="00B90DC2">
                <w:rPr>
                  <w:rStyle w:val="Hyperlink"/>
                  <w:rFonts w:ascii="Arial" w:hAnsi="Arial" w:cs="Arial"/>
                  <w:color w:val="auto"/>
                  <w:sz w:val="24"/>
                  <w:szCs w:val="24"/>
                  <w:u w:val="none"/>
                </w:rPr>
                <w:t>daltman@environlaw.com</w:t>
              </w:r>
            </w:hyperlink>
          </w:p>
          <w:p w14:paraId="2003DA3F" w14:textId="77777777" w:rsidR="00005033" w:rsidRPr="00B90DC2" w:rsidRDefault="0075256F" w:rsidP="00005033">
            <w:pPr>
              <w:rPr>
                <w:rFonts w:ascii="Arial" w:hAnsi="Arial" w:cs="Arial"/>
                <w:sz w:val="24"/>
                <w:szCs w:val="24"/>
              </w:rPr>
            </w:pPr>
            <w:hyperlink r:id="rId14" w:history="1">
              <w:r w:rsidR="00005033" w:rsidRPr="00B90DC2">
                <w:rPr>
                  <w:rStyle w:val="Hyperlink"/>
                  <w:rFonts w:ascii="Arial" w:hAnsi="Arial" w:cs="Arial"/>
                  <w:color w:val="auto"/>
                  <w:sz w:val="24"/>
                  <w:szCs w:val="24"/>
                  <w:u w:val="none"/>
                </w:rPr>
                <w:t>jnewman@environlaw.com</w:t>
              </w:r>
            </w:hyperlink>
          </w:p>
          <w:p w14:paraId="4ED86C2A" w14:textId="77777777" w:rsidR="00005033" w:rsidRPr="00B90DC2" w:rsidRDefault="00005033" w:rsidP="00005033">
            <w:pPr>
              <w:rPr>
                <w:rFonts w:ascii="Arial" w:hAnsi="Arial" w:cs="Arial"/>
                <w:sz w:val="24"/>
                <w:szCs w:val="24"/>
              </w:rPr>
            </w:pPr>
            <w:r w:rsidRPr="00B90DC2">
              <w:rPr>
                <w:rFonts w:ascii="Arial" w:hAnsi="Arial" w:cs="Arial"/>
                <w:sz w:val="24"/>
                <w:szCs w:val="24"/>
              </w:rPr>
              <w:t>jweber@environlaw.com</w:t>
            </w:r>
          </w:p>
          <w:p w14:paraId="1B1E4E30" w14:textId="706B9FD9" w:rsidR="00005033" w:rsidRPr="00B90DC2" w:rsidRDefault="0075256F" w:rsidP="00005033">
            <w:pPr>
              <w:rPr>
                <w:rFonts w:ascii="Arial" w:hAnsi="Arial" w:cs="Arial"/>
                <w:sz w:val="24"/>
                <w:szCs w:val="24"/>
              </w:rPr>
            </w:pPr>
            <w:hyperlink r:id="rId15" w:history="1">
              <w:r w:rsidR="00D77989" w:rsidRPr="00B90DC2">
                <w:rPr>
                  <w:rStyle w:val="Hyperlink"/>
                  <w:rFonts w:ascii="Arial" w:hAnsi="Arial" w:cs="Arial"/>
                  <w:color w:val="auto"/>
                  <w:sz w:val="24"/>
                  <w:szCs w:val="24"/>
                  <w:u w:val="none"/>
                </w:rPr>
                <w:t>swilliams@nrdc.org</w:t>
              </w:r>
            </w:hyperlink>
          </w:p>
          <w:p w14:paraId="41E1AC37" w14:textId="025B175A" w:rsidR="00D77989" w:rsidRPr="00B90DC2" w:rsidRDefault="0075256F" w:rsidP="00005033">
            <w:pPr>
              <w:rPr>
                <w:rFonts w:ascii="Arial" w:hAnsi="Arial" w:cs="Arial"/>
                <w:sz w:val="24"/>
                <w:szCs w:val="24"/>
              </w:rPr>
            </w:pPr>
            <w:hyperlink r:id="rId16" w:history="1">
              <w:r w:rsidR="00B90DC2" w:rsidRPr="00B90DC2">
                <w:rPr>
                  <w:rStyle w:val="Hyperlink"/>
                  <w:rFonts w:ascii="Arial" w:hAnsi="Arial" w:cs="Arial"/>
                  <w:color w:val="auto"/>
                  <w:sz w:val="24"/>
                  <w:szCs w:val="24"/>
                  <w:u w:val="none"/>
                </w:rPr>
                <w:t>mjsettineri@vorys.com</w:t>
              </w:r>
            </w:hyperlink>
          </w:p>
          <w:p w14:paraId="28CCDE87" w14:textId="6C6B77F3" w:rsidR="00B90DC2" w:rsidRPr="00B90DC2" w:rsidRDefault="0075256F" w:rsidP="00005033">
            <w:pPr>
              <w:rPr>
                <w:rFonts w:ascii="Arial" w:hAnsi="Arial" w:cs="Arial"/>
                <w:sz w:val="24"/>
                <w:szCs w:val="24"/>
              </w:rPr>
            </w:pPr>
            <w:hyperlink r:id="rId17" w:history="1">
              <w:r w:rsidR="00B90DC2" w:rsidRPr="00B90DC2">
                <w:rPr>
                  <w:rStyle w:val="Hyperlink"/>
                  <w:rFonts w:ascii="Arial" w:hAnsi="Arial" w:cs="Arial"/>
                  <w:color w:val="auto"/>
                  <w:sz w:val="24"/>
                  <w:szCs w:val="24"/>
                  <w:u w:val="none"/>
                </w:rPr>
                <w:t>Terry.Etter@occ.ohio.gov</w:t>
              </w:r>
            </w:hyperlink>
          </w:p>
          <w:p w14:paraId="7744DC08" w14:textId="71FC11CB" w:rsidR="00B90DC2" w:rsidRPr="00B90DC2" w:rsidRDefault="0075256F" w:rsidP="00005033">
            <w:pPr>
              <w:rPr>
                <w:rFonts w:ascii="Arial" w:hAnsi="Arial" w:cs="Arial"/>
                <w:sz w:val="24"/>
                <w:szCs w:val="24"/>
              </w:rPr>
            </w:pPr>
            <w:hyperlink r:id="rId18" w:history="1">
              <w:r w:rsidR="00B90DC2" w:rsidRPr="00B90DC2">
                <w:rPr>
                  <w:rStyle w:val="Hyperlink"/>
                  <w:rFonts w:ascii="Arial" w:hAnsi="Arial" w:cs="Arial"/>
                  <w:color w:val="auto"/>
                  <w:sz w:val="24"/>
                  <w:szCs w:val="24"/>
                  <w:u w:val="none"/>
                </w:rPr>
                <w:t>DWilliamson@spilmanlaw.com</w:t>
              </w:r>
            </w:hyperlink>
          </w:p>
          <w:p w14:paraId="157D70ED" w14:textId="1ACF2156" w:rsidR="00B90DC2" w:rsidRPr="00B90DC2" w:rsidRDefault="0075256F" w:rsidP="00005033">
            <w:pPr>
              <w:rPr>
                <w:rFonts w:ascii="Arial" w:hAnsi="Arial" w:cs="Arial"/>
                <w:sz w:val="24"/>
                <w:szCs w:val="24"/>
              </w:rPr>
            </w:pPr>
            <w:hyperlink r:id="rId19" w:history="1">
              <w:r w:rsidR="00B90DC2" w:rsidRPr="00B90DC2">
                <w:rPr>
                  <w:rStyle w:val="Hyperlink"/>
                  <w:rFonts w:ascii="Arial" w:hAnsi="Arial" w:cs="Arial"/>
                  <w:color w:val="auto"/>
                  <w:sz w:val="24"/>
                  <w:szCs w:val="24"/>
                  <w:u w:val="none"/>
                </w:rPr>
                <w:t>lbrandfass@spilmanlaw.com</w:t>
              </w:r>
            </w:hyperlink>
          </w:p>
          <w:p w14:paraId="213E9171" w14:textId="6D4466FE" w:rsidR="00B90DC2" w:rsidRPr="00B90DC2" w:rsidRDefault="0075256F" w:rsidP="00005033">
            <w:pPr>
              <w:rPr>
                <w:rFonts w:ascii="Arial" w:hAnsi="Arial" w:cs="Arial"/>
                <w:sz w:val="24"/>
                <w:szCs w:val="24"/>
              </w:rPr>
            </w:pPr>
            <w:hyperlink r:id="rId20" w:history="1">
              <w:r w:rsidR="00B90DC2" w:rsidRPr="00B90DC2">
                <w:rPr>
                  <w:rStyle w:val="Hyperlink"/>
                  <w:rFonts w:ascii="Arial" w:hAnsi="Arial" w:cs="Arial"/>
                  <w:color w:val="auto"/>
                  <w:sz w:val="24"/>
                  <w:szCs w:val="24"/>
                  <w:u w:val="none"/>
                </w:rPr>
                <w:t>JLang@Calfee.com</w:t>
              </w:r>
            </w:hyperlink>
          </w:p>
          <w:p w14:paraId="4CAFF77A" w14:textId="700B602D" w:rsidR="00B90DC2" w:rsidRPr="00B90DC2" w:rsidRDefault="0075256F" w:rsidP="00005033">
            <w:pPr>
              <w:rPr>
                <w:rFonts w:ascii="Arial" w:hAnsi="Arial" w:cs="Arial"/>
                <w:sz w:val="24"/>
                <w:szCs w:val="24"/>
              </w:rPr>
            </w:pPr>
            <w:hyperlink r:id="rId21" w:history="1">
              <w:r w:rsidR="00B90DC2" w:rsidRPr="00B90DC2">
                <w:rPr>
                  <w:rStyle w:val="Hyperlink"/>
                  <w:rFonts w:ascii="Arial" w:hAnsi="Arial" w:cs="Arial"/>
                  <w:color w:val="auto"/>
                  <w:sz w:val="24"/>
                  <w:szCs w:val="24"/>
                  <w:u w:val="none"/>
                </w:rPr>
                <w:t>rsahli@columbus.rr.com</w:t>
              </w:r>
            </w:hyperlink>
          </w:p>
          <w:p w14:paraId="4AE95117" w14:textId="2CFF7817" w:rsidR="00B90DC2" w:rsidRPr="00B90DC2" w:rsidRDefault="0075256F" w:rsidP="00005033">
            <w:pPr>
              <w:rPr>
                <w:rFonts w:ascii="Arial" w:hAnsi="Arial" w:cs="Arial"/>
                <w:sz w:val="24"/>
                <w:szCs w:val="24"/>
              </w:rPr>
            </w:pPr>
            <w:hyperlink r:id="rId22" w:history="1">
              <w:r w:rsidR="00B90DC2" w:rsidRPr="00B90DC2">
                <w:rPr>
                  <w:rStyle w:val="Hyperlink"/>
                  <w:rFonts w:ascii="Arial" w:hAnsi="Arial" w:cs="Arial"/>
                  <w:color w:val="auto"/>
                  <w:sz w:val="24"/>
                  <w:szCs w:val="24"/>
                  <w:u w:val="none"/>
                </w:rPr>
                <w:t>tony.mendoza@sierraclub.org</w:t>
              </w:r>
            </w:hyperlink>
          </w:p>
          <w:p w14:paraId="0BA9736B" w14:textId="7370D6B2" w:rsidR="00B90DC2" w:rsidRPr="00B90DC2" w:rsidRDefault="00B90DC2" w:rsidP="00005033">
            <w:pPr>
              <w:rPr>
                <w:rFonts w:ascii="Arial" w:hAnsi="Arial" w:cs="Arial"/>
                <w:sz w:val="24"/>
                <w:szCs w:val="24"/>
              </w:rPr>
            </w:pPr>
          </w:p>
        </w:tc>
        <w:tc>
          <w:tcPr>
            <w:tcW w:w="4636" w:type="dxa"/>
          </w:tcPr>
          <w:p w14:paraId="2E45BE6C" w14:textId="77777777" w:rsidR="00005033" w:rsidRPr="00B90DC2" w:rsidRDefault="00005033" w:rsidP="00005033">
            <w:pPr>
              <w:rPr>
                <w:rFonts w:ascii="Arial" w:hAnsi="Arial" w:cs="Arial"/>
                <w:sz w:val="24"/>
                <w:szCs w:val="24"/>
              </w:rPr>
            </w:pPr>
            <w:r w:rsidRPr="00B90DC2">
              <w:rPr>
                <w:rFonts w:ascii="Arial" w:hAnsi="Arial" w:cs="Arial"/>
                <w:sz w:val="24"/>
                <w:szCs w:val="24"/>
              </w:rPr>
              <w:t xml:space="preserve">whitt@whitt-sturtevant.com </w:t>
            </w:r>
          </w:p>
          <w:p w14:paraId="44A70C00" w14:textId="77777777" w:rsidR="00005033" w:rsidRPr="00B90DC2" w:rsidRDefault="0075256F" w:rsidP="00005033">
            <w:pPr>
              <w:rPr>
                <w:rFonts w:ascii="Arial" w:hAnsi="Arial" w:cs="Arial"/>
                <w:sz w:val="24"/>
                <w:szCs w:val="24"/>
              </w:rPr>
            </w:pPr>
            <w:hyperlink r:id="rId23" w:history="1">
              <w:r w:rsidR="00005033" w:rsidRPr="00B90DC2">
                <w:rPr>
                  <w:rFonts w:ascii="Arial" w:hAnsi="Arial" w:cs="Arial"/>
                  <w:sz w:val="24"/>
                  <w:szCs w:val="24"/>
                </w:rPr>
                <w:t>campbell@whitt-sturtevant.com</w:t>
              </w:r>
            </w:hyperlink>
            <w:r w:rsidR="00005033" w:rsidRPr="00B90DC2">
              <w:rPr>
                <w:rFonts w:ascii="Arial" w:hAnsi="Arial" w:cs="Arial"/>
                <w:sz w:val="24"/>
                <w:szCs w:val="24"/>
              </w:rPr>
              <w:t xml:space="preserve"> </w:t>
            </w:r>
          </w:p>
          <w:p w14:paraId="578442E0" w14:textId="77777777" w:rsidR="00005033" w:rsidRPr="00B90DC2" w:rsidRDefault="0075256F" w:rsidP="00005033">
            <w:pPr>
              <w:rPr>
                <w:rFonts w:ascii="Arial" w:hAnsi="Arial" w:cs="Arial"/>
                <w:sz w:val="24"/>
                <w:szCs w:val="24"/>
              </w:rPr>
            </w:pPr>
            <w:hyperlink r:id="rId24" w:history="1">
              <w:r w:rsidR="00005033" w:rsidRPr="00B90DC2">
                <w:rPr>
                  <w:rFonts w:ascii="Arial" w:hAnsi="Arial" w:cs="Arial"/>
                  <w:sz w:val="24"/>
                  <w:szCs w:val="24"/>
                </w:rPr>
                <w:t>glover@whitt-sturtevant.com</w:t>
              </w:r>
            </w:hyperlink>
          </w:p>
          <w:p w14:paraId="08067447" w14:textId="77777777" w:rsidR="00005033" w:rsidRPr="00B90DC2" w:rsidRDefault="0075256F" w:rsidP="00005033">
            <w:pPr>
              <w:rPr>
                <w:rFonts w:ascii="Arial" w:hAnsi="Arial" w:cs="Arial"/>
                <w:sz w:val="24"/>
                <w:szCs w:val="24"/>
              </w:rPr>
            </w:pPr>
            <w:hyperlink r:id="rId25" w:history="1">
              <w:r w:rsidR="00005033" w:rsidRPr="00B90DC2">
                <w:rPr>
                  <w:rFonts w:ascii="Arial" w:hAnsi="Arial" w:cs="Arial"/>
                  <w:sz w:val="24"/>
                  <w:szCs w:val="24"/>
                </w:rPr>
                <w:t>tdougherty@theoec.org</w:t>
              </w:r>
            </w:hyperlink>
            <w:r w:rsidR="00005033" w:rsidRPr="00B90DC2">
              <w:rPr>
                <w:rFonts w:ascii="Arial" w:hAnsi="Arial" w:cs="Arial"/>
                <w:sz w:val="24"/>
                <w:szCs w:val="24"/>
              </w:rPr>
              <w:t xml:space="preserve"> </w:t>
            </w:r>
          </w:p>
          <w:p w14:paraId="7AA786A8" w14:textId="77777777" w:rsidR="00005033" w:rsidRPr="00B90DC2" w:rsidRDefault="00005033" w:rsidP="00005033">
            <w:pPr>
              <w:rPr>
                <w:rFonts w:ascii="Arial" w:hAnsi="Arial" w:cs="Arial"/>
                <w:sz w:val="24"/>
                <w:szCs w:val="24"/>
              </w:rPr>
            </w:pPr>
            <w:r w:rsidRPr="00B90DC2">
              <w:rPr>
                <w:rFonts w:ascii="Arial" w:hAnsi="Arial" w:cs="Arial"/>
                <w:sz w:val="24"/>
                <w:szCs w:val="24"/>
              </w:rPr>
              <w:t xml:space="preserve">eakhbari@bricker.com rick.sites@ohiohospitals.org </w:t>
            </w:r>
            <w:hyperlink r:id="rId26" w:history="1">
              <w:r w:rsidRPr="00B90DC2">
                <w:rPr>
                  <w:rFonts w:ascii="Arial" w:hAnsi="Arial" w:cs="Arial"/>
                  <w:sz w:val="24"/>
                  <w:szCs w:val="24"/>
                </w:rPr>
                <w:t>dborchers@bricker.com</w:t>
              </w:r>
            </w:hyperlink>
            <w:r w:rsidRPr="00B90DC2">
              <w:rPr>
                <w:rFonts w:ascii="Arial" w:hAnsi="Arial" w:cs="Arial"/>
                <w:sz w:val="24"/>
                <w:szCs w:val="24"/>
              </w:rPr>
              <w:t xml:space="preserve"> </w:t>
            </w:r>
          </w:p>
          <w:p w14:paraId="07E5C416" w14:textId="77777777" w:rsidR="00005033" w:rsidRPr="00B90DC2" w:rsidRDefault="0075256F" w:rsidP="00005033">
            <w:pPr>
              <w:rPr>
                <w:rFonts w:ascii="Arial" w:hAnsi="Arial" w:cs="Arial"/>
                <w:sz w:val="24"/>
                <w:szCs w:val="24"/>
              </w:rPr>
            </w:pPr>
            <w:hyperlink r:id="rId27" w:history="1">
              <w:r w:rsidR="00005033" w:rsidRPr="00B90DC2">
                <w:rPr>
                  <w:rFonts w:ascii="Arial" w:hAnsi="Arial" w:cs="Arial"/>
                  <w:sz w:val="24"/>
                  <w:szCs w:val="24"/>
                </w:rPr>
                <w:t>dparram@bricker.com</w:t>
              </w:r>
            </w:hyperlink>
            <w:r w:rsidR="00005033" w:rsidRPr="00B90DC2">
              <w:rPr>
                <w:rFonts w:ascii="Arial" w:hAnsi="Arial" w:cs="Arial"/>
                <w:sz w:val="24"/>
                <w:szCs w:val="24"/>
              </w:rPr>
              <w:t xml:space="preserve"> </w:t>
            </w:r>
          </w:p>
          <w:p w14:paraId="14A02695" w14:textId="77777777" w:rsidR="00005033" w:rsidRPr="00B90DC2" w:rsidRDefault="00005033" w:rsidP="00005033">
            <w:pPr>
              <w:rPr>
                <w:rFonts w:ascii="Arial" w:hAnsi="Arial" w:cs="Arial"/>
                <w:sz w:val="24"/>
                <w:szCs w:val="24"/>
              </w:rPr>
            </w:pPr>
            <w:r w:rsidRPr="00B90DC2">
              <w:rPr>
                <w:rFonts w:ascii="Arial" w:hAnsi="Arial" w:cs="Arial"/>
                <w:sz w:val="24"/>
                <w:szCs w:val="24"/>
              </w:rPr>
              <w:t xml:space="preserve">mdortch@kravitzllc.com </w:t>
            </w:r>
            <w:hyperlink r:id="rId28" w:history="1">
              <w:r w:rsidRPr="00B90DC2">
                <w:rPr>
                  <w:rStyle w:val="Hyperlink"/>
                  <w:rFonts w:ascii="Arial" w:hAnsi="Arial" w:cs="Arial"/>
                  <w:color w:val="auto"/>
                  <w:sz w:val="24"/>
                  <w:szCs w:val="24"/>
                  <w:u w:val="none"/>
                </w:rPr>
                <w:t>dboehm@bkllawfirm.com</w:t>
              </w:r>
            </w:hyperlink>
          </w:p>
          <w:p w14:paraId="5EF4EA82" w14:textId="77777777" w:rsidR="00005033" w:rsidRPr="00B90DC2" w:rsidRDefault="00005033" w:rsidP="00005033">
            <w:pPr>
              <w:rPr>
                <w:rFonts w:ascii="Arial" w:hAnsi="Arial" w:cs="Arial"/>
                <w:sz w:val="24"/>
                <w:szCs w:val="24"/>
              </w:rPr>
            </w:pPr>
            <w:r w:rsidRPr="00B90DC2">
              <w:rPr>
                <w:rFonts w:ascii="Arial" w:hAnsi="Arial" w:cs="Arial"/>
                <w:sz w:val="24"/>
                <w:szCs w:val="24"/>
              </w:rPr>
              <w:t xml:space="preserve">kboehm@bkllawfirm.com bojko@carpenterlipps.com perko@carpenterlipps.com </w:t>
            </w:r>
            <w:hyperlink r:id="rId29" w:history="1">
              <w:r w:rsidRPr="00B90DC2">
                <w:rPr>
                  <w:rFonts w:ascii="Arial" w:hAnsi="Arial" w:cs="Arial"/>
                  <w:sz w:val="24"/>
                  <w:szCs w:val="24"/>
                </w:rPr>
                <w:t>mleppla@theoec.org</w:t>
              </w:r>
            </w:hyperlink>
          </w:p>
          <w:p w14:paraId="74D568E5" w14:textId="77777777" w:rsidR="00005033" w:rsidRPr="00B90DC2" w:rsidRDefault="00005033" w:rsidP="00005033">
            <w:pPr>
              <w:rPr>
                <w:rFonts w:ascii="Arial" w:hAnsi="Arial" w:cs="Arial"/>
                <w:sz w:val="24"/>
                <w:szCs w:val="24"/>
              </w:rPr>
            </w:pPr>
            <w:r w:rsidRPr="00B90DC2">
              <w:rPr>
                <w:rFonts w:ascii="Arial" w:hAnsi="Arial" w:cs="Arial"/>
                <w:sz w:val="24"/>
                <w:szCs w:val="24"/>
              </w:rPr>
              <w:t>steven.beeler@ohioattorneygeneral.gov</w:t>
            </w:r>
          </w:p>
          <w:p w14:paraId="3A261A12" w14:textId="77777777" w:rsidR="00005033" w:rsidRPr="00B90DC2" w:rsidRDefault="00005033" w:rsidP="00005033">
            <w:pPr>
              <w:rPr>
                <w:rFonts w:ascii="Arial" w:hAnsi="Arial" w:cs="Arial"/>
                <w:sz w:val="24"/>
                <w:szCs w:val="24"/>
              </w:rPr>
            </w:pPr>
            <w:r w:rsidRPr="00B90DC2">
              <w:rPr>
                <w:rFonts w:ascii="Arial" w:hAnsi="Arial" w:cs="Arial"/>
                <w:sz w:val="24"/>
                <w:szCs w:val="24"/>
              </w:rPr>
              <w:t>robert.eubanks@ohioattorneygeneral.gov</w:t>
            </w:r>
          </w:p>
          <w:p w14:paraId="4FB8CBA4" w14:textId="56655893" w:rsidR="00005033" w:rsidRPr="00B90DC2" w:rsidRDefault="0075256F" w:rsidP="00005033">
            <w:pPr>
              <w:rPr>
                <w:rFonts w:ascii="Arial" w:hAnsi="Arial" w:cs="Arial"/>
                <w:sz w:val="24"/>
                <w:szCs w:val="24"/>
              </w:rPr>
            </w:pPr>
            <w:hyperlink r:id="rId30" w:history="1">
              <w:r w:rsidR="00D77989" w:rsidRPr="00B90DC2">
                <w:rPr>
                  <w:rStyle w:val="Hyperlink"/>
                  <w:rFonts w:ascii="Arial" w:hAnsi="Arial" w:cs="Arial"/>
                  <w:color w:val="auto"/>
                  <w:sz w:val="24"/>
                  <w:szCs w:val="24"/>
                  <w:u w:val="none"/>
                </w:rPr>
                <w:t>glpetrucci@vorys.com</w:t>
              </w:r>
            </w:hyperlink>
          </w:p>
          <w:p w14:paraId="45AAD7BD" w14:textId="68A56CA6" w:rsidR="00B90DC2" w:rsidRPr="00B90DC2" w:rsidRDefault="0075256F" w:rsidP="00B90DC2">
            <w:pPr>
              <w:rPr>
                <w:rFonts w:ascii="Arial" w:hAnsi="Arial" w:cs="Arial"/>
                <w:sz w:val="24"/>
                <w:szCs w:val="24"/>
              </w:rPr>
            </w:pPr>
            <w:hyperlink r:id="rId31" w:history="1">
              <w:r w:rsidR="00B90DC2" w:rsidRPr="00B90DC2">
                <w:rPr>
                  <w:rStyle w:val="Hyperlink"/>
                  <w:rFonts w:ascii="Arial" w:hAnsi="Arial" w:cs="Arial"/>
                  <w:color w:val="auto"/>
                  <w:sz w:val="24"/>
                  <w:szCs w:val="24"/>
                  <w:u w:val="none"/>
                </w:rPr>
                <w:t>Kevin.Moore@occ.ohio.gov</w:t>
              </w:r>
            </w:hyperlink>
          </w:p>
          <w:p w14:paraId="2D460DE6" w14:textId="0AB04ED4" w:rsidR="00B90DC2" w:rsidRPr="00B90DC2" w:rsidRDefault="0075256F" w:rsidP="00B90DC2">
            <w:pPr>
              <w:rPr>
                <w:rFonts w:ascii="Arial" w:hAnsi="Arial" w:cs="Arial"/>
                <w:sz w:val="24"/>
                <w:szCs w:val="24"/>
              </w:rPr>
            </w:pPr>
            <w:hyperlink r:id="rId32" w:history="1">
              <w:r w:rsidR="00B90DC2" w:rsidRPr="00B90DC2">
                <w:rPr>
                  <w:rStyle w:val="Hyperlink"/>
                  <w:rFonts w:ascii="Arial" w:hAnsi="Arial" w:cs="Arial"/>
                  <w:color w:val="auto"/>
                  <w:sz w:val="24"/>
                  <w:szCs w:val="24"/>
                  <w:u w:val="none"/>
                </w:rPr>
                <w:t>CHarris@spilmanlaw.com</w:t>
              </w:r>
            </w:hyperlink>
          </w:p>
          <w:p w14:paraId="1316447A" w14:textId="15F2E6F1" w:rsidR="00B90DC2" w:rsidRPr="00B90DC2" w:rsidRDefault="0075256F" w:rsidP="00B90DC2">
            <w:pPr>
              <w:rPr>
                <w:rFonts w:ascii="Arial" w:hAnsi="Arial" w:cs="Arial"/>
                <w:sz w:val="24"/>
                <w:szCs w:val="24"/>
              </w:rPr>
            </w:pPr>
            <w:hyperlink r:id="rId33" w:history="1">
              <w:r w:rsidR="00B90DC2" w:rsidRPr="00B90DC2">
                <w:rPr>
                  <w:rStyle w:val="Hyperlink"/>
                  <w:rFonts w:ascii="Arial" w:hAnsi="Arial" w:cs="Arial"/>
                  <w:color w:val="auto"/>
                  <w:sz w:val="24"/>
                  <w:szCs w:val="24"/>
                  <w:u w:val="none"/>
                </w:rPr>
                <w:t>SLesser@Calfee.com</w:t>
              </w:r>
            </w:hyperlink>
          </w:p>
          <w:p w14:paraId="55D172AF" w14:textId="14997CBE" w:rsidR="00B90DC2" w:rsidRPr="00B90DC2" w:rsidRDefault="0075256F" w:rsidP="00B90DC2">
            <w:pPr>
              <w:rPr>
                <w:rFonts w:ascii="Arial" w:hAnsi="Arial" w:cs="Arial"/>
                <w:sz w:val="24"/>
                <w:szCs w:val="24"/>
              </w:rPr>
            </w:pPr>
            <w:hyperlink r:id="rId34" w:history="1">
              <w:r w:rsidR="00B90DC2" w:rsidRPr="00B90DC2">
                <w:rPr>
                  <w:rStyle w:val="Hyperlink"/>
                  <w:rFonts w:ascii="Arial" w:hAnsi="Arial" w:cs="Arial"/>
                  <w:color w:val="auto"/>
                  <w:sz w:val="24"/>
                  <w:szCs w:val="24"/>
                  <w:u w:val="none"/>
                </w:rPr>
                <w:t>TAlexander@Calfee.com</w:t>
              </w:r>
            </w:hyperlink>
          </w:p>
          <w:p w14:paraId="70958809" w14:textId="4E861780" w:rsidR="00B90DC2" w:rsidRPr="00B90DC2" w:rsidRDefault="0075256F" w:rsidP="00B90DC2">
            <w:pPr>
              <w:rPr>
                <w:rFonts w:ascii="Arial" w:hAnsi="Arial" w:cs="Arial"/>
                <w:sz w:val="24"/>
                <w:szCs w:val="24"/>
              </w:rPr>
            </w:pPr>
            <w:hyperlink r:id="rId35" w:history="1">
              <w:r w:rsidR="00B90DC2" w:rsidRPr="00B90DC2">
                <w:rPr>
                  <w:rStyle w:val="Hyperlink"/>
                  <w:rFonts w:ascii="Arial" w:hAnsi="Arial" w:cs="Arial"/>
                  <w:color w:val="auto"/>
                  <w:sz w:val="24"/>
                  <w:szCs w:val="24"/>
                  <w:u w:val="none"/>
                </w:rPr>
                <w:t>mkeaney@calfee.com</w:t>
              </w:r>
            </w:hyperlink>
          </w:p>
          <w:p w14:paraId="1DFDD54E" w14:textId="46051865" w:rsidR="00B90DC2" w:rsidRPr="00B90DC2" w:rsidRDefault="0075256F" w:rsidP="00B90DC2">
            <w:pPr>
              <w:rPr>
                <w:rFonts w:ascii="Arial" w:hAnsi="Arial" w:cs="Arial"/>
                <w:sz w:val="24"/>
                <w:szCs w:val="24"/>
              </w:rPr>
            </w:pPr>
            <w:hyperlink r:id="rId36" w:history="1">
              <w:r w:rsidR="00B90DC2" w:rsidRPr="00B90DC2">
                <w:rPr>
                  <w:rStyle w:val="Hyperlink"/>
                  <w:rFonts w:ascii="Arial" w:hAnsi="Arial" w:cs="Arial"/>
                  <w:color w:val="auto"/>
                  <w:sz w:val="24"/>
                  <w:szCs w:val="24"/>
                  <w:u w:val="none"/>
                </w:rPr>
                <w:t>EAkhbari@bricker.com</w:t>
              </w:r>
            </w:hyperlink>
          </w:p>
          <w:p w14:paraId="7EBD91CE" w14:textId="2B899492" w:rsidR="00B90DC2" w:rsidRPr="00B90DC2" w:rsidRDefault="00B90DC2" w:rsidP="00B90DC2">
            <w:pPr>
              <w:rPr>
                <w:rFonts w:ascii="Arial" w:hAnsi="Arial" w:cs="Arial"/>
                <w:sz w:val="24"/>
                <w:szCs w:val="24"/>
              </w:rPr>
            </w:pPr>
            <w:r w:rsidRPr="00B90DC2">
              <w:rPr>
                <w:rFonts w:ascii="Arial" w:hAnsi="Arial" w:cs="Arial"/>
                <w:sz w:val="24"/>
                <w:szCs w:val="24"/>
              </w:rPr>
              <w:t>William.wright@ohioattorneygeneral.gov</w:t>
            </w:r>
          </w:p>
        </w:tc>
      </w:tr>
    </w:tbl>
    <w:p w14:paraId="23337FA1" w14:textId="584DC287" w:rsidR="008A2C5B" w:rsidRPr="00060C1F" w:rsidRDefault="008A2C5B" w:rsidP="008A2C5B">
      <w:pPr>
        <w:spacing w:after="0" w:line="240" w:lineRule="auto"/>
        <w:ind w:left="5040" w:firstLine="720"/>
        <w:rPr>
          <w:rFonts w:ascii="Arial" w:eastAsia="Arial" w:hAnsi="Arial" w:cs="Arial"/>
          <w:i/>
          <w:sz w:val="24"/>
          <w:szCs w:val="24"/>
        </w:rPr>
      </w:pPr>
    </w:p>
    <w:p w14:paraId="65B7DFCE" w14:textId="6C27526E" w:rsidR="006E5083" w:rsidRPr="00FB7409" w:rsidRDefault="00FB7409" w:rsidP="006E5083">
      <w:pPr>
        <w:spacing w:after="0" w:line="240" w:lineRule="auto"/>
        <w:ind w:left="5040"/>
        <w:rPr>
          <w:rFonts w:ascii="Arial" w:eastAsia="Calibri" w:hAnsi="Arial" w:cs="Arial"/>
          <w:sz w:val="24"/>
          <w:szCs w:val="24"/>
          <w:u w:val="single"/>
        </w:rPr>
      </w:pPr>
      <w:r w:rsidRPr="00FB7409">
        <w:rPr>
          <w:rFonts w:ascii="Arial" w:eastAsia="Arial" w:hAnsi="Arial" w:cs="Arial"/>
          <w:i/>
          <w:sz w:val="24"/>
          <w:szCs w:val="24"/>
          <w:u w:val="single"/>
        </w:rPr>
        <w:t>/s/ Joseph Oliker</w:t>
      </w:r>
    </w:p>
    <w:p w14:paraId="7176D312" w14:textId="5A11D0F4" w:rsidR="00545F29" w:rsidRPr="00060C1F" w:rsidRDefault="006E5083" w:rsidP="006E5083">
      <w:pPr>
        <w:spacing w:after="0" w:line="240" w:lineRule="auto"/>
        <w:ind w:left="4320" w:firstLine="720"/>
        <w:rPr>
          <w:rFonts w:ascii="Arial" w:hAnsi="Arial" w:cs="Arial"/>
          <w:sz w:val="24"/>
          <w:szCs w:val="24"/>
        </w:rPr>
      </w:pPr>
      <w:r w:rsidRPr="00060C1F">
        <w:rPr>
          <w:rFonts w:ascii="Arial" w:hAnsi="Arial" w:cs="Arial"/>
          <w:sz w:val="24"/>
          <w:szCs w:val="24"/>
        </w:rPr>
        <w:t>Joseph Oliker</w:t>
      </w:r>
    </w:p>
    <w:sectPr w:rsidR="00545F29" w:rsidRPr="00060C1F">
      <w:footerReference w:type="default" r:id="rId37"/>
      <w:headerReference w:type="first" r:id="rId3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E5080" w14:textId="77777777" w:rsidR="000E3BDE" w:rsidRDefault="000E3BDE">
      <w:pPr>
        <w:spacing w:after="0" w:line="240" w:lineRule="auto"/>
      </w:pPr>
      <w:r>
        <w:separator/>
      </w:r>
    </w:p>
  </w:endnote>
  <w:endnote w:type="continuationSeparator" w:id="0">
    <w:p w14:paraId="0BB5FCDE" w14:textId="77777777" w:rsidR="000E3BDE" w:rsidRDefault="000E3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5860"/>
      <w:docPartObj>
        <w:docPartGallery w:val="Page Numbers (Bottom of Page)"/>
        <w:docPartUnique/>
      </w:docPartObj>
    </w:sdtPr>
    <w:sdtEndPr>
      <w:rPr>
        <w:rFonts w:ascii="Arial" w:hAnsi="Arial" w:cs="Arial"/>
        <w:sz w:val="20"/>
        <w:szCs w:val="20"/>
      </w:rPr>
    </w:sdtEndPr>
    <w:sdtContent>
      <w:p w14:paraId="7176D32E" w14:textId="1F9A254C" w:rsidR="00F46B29" w:rsidRPr="00127783" w:rsidRDefault="00F46B29">
        <w:pPr>
          <w:pStyle w:val="Footer"/>
          <w:jc w:val="center"/>
          <w:rPr>
            <w:rFonts w:ascii="Arial" w:hAnsi="Arial" w:cs="Arial"/>
            <w:sz w:val="20"/>
            <w:szCs w:val="20"/>
          </w:rPr>
        </w:pPr>
        <w:r w:rsidRPr="00127783">
          <w:rPr>
            <w:rFonts w:ascii="Arial" w:hAnsi="Arial" w:cs="Arial"/>
            <w:sz w:val="20"/>
            <w:szCs w:val="20"/>
          </w:rPr>
          <w:fldChar w:fldCharType="begin"/>
        </w:r>
        <w:r w:rsidRPr="00127783">
          <w:rPr>
            <w:rFonts w:ascii="Arial" w:hAnsi="Arial" w:cs="Arial"/>
            <w:sz w:val="20"/>
            <w:szCs w:val="20"/>
          </w:rPr>
          <w:instrText xml:space="preserve"> PAGE   \* MERGEFORMAT </w:instrText>
        </w:r>
        <w:r w:rsidRPr="00127783">
          <w:rPr>
            <w:rFonts w:ascii="Arial" w:hAnsi="Arial" w:cs="Arial"/>
            <w:sz w:val="20"/>
            <w:szCs w:val="20"/>
          </w:rPr>
          <w:fldChar w:fldCharType="separate"/>
        </w:r>
        <w:r w:rsidR="0075256F">
          <w:rPr>
            <w:rFonts w:ascii="Arial" w:hAnsi="Arial" w:cs="Arial"/>
            <w:noProof/>
            <w:sz w:val="20"/>
            <w:szCs w:val="20"/>
          </w:rPr>
          <w:t>9</w:t>
        </w:r>
        <w:r w:rsidRPr="00127783">
          <w:rPr>
            <w:rFonts w:ascii="Arial" w:hAnsi="Arial" w:cs="Arial"/>
            <w:noProof/>
            <w:sz w:val="20"/>
            <w:szCs w:val="20"/>
          </w:rPr>
          <w:fldChar w:fldCharType="end"/>
        </w:r>
      </w:p>
    </w:sdtContent>
  </w:sdt>
  <w:p w14:paraId="7176D32F" w14:textId="77777777" w:rsidR="00F46B29" w:rsidRDefault="00F46B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6C768" w14:textId="77777777" w:rsidR="000E3BDE" w:rsidRDefault="000E3BDE">
      <w:pPr>
        <w:spacing w:after="0" w:line="240" w:lineRule="auto"/>
      </w:pPr>
      <w:r>
        <w:separator/>
      </w:r>
    </w:p>
  </w:footnote>
  <w:footnote w:type="continuationSeparator" w:id="0">
    <w:p w14:paraId="3BC6316A" w14:textId="77777777" w:rsidR="000E3BDE" w:rsidRDefault="000E3BDE">
      <w:pPr>
        <w:spacing w:after="0" w:line="240" w:lineRule="auto"/>
      </w:pPr>
      <w:r>
        <w:continuationSeparator/>
      </w:r>
    </w:p>
  </w:footnote>
  <w:footnote w:id="1">
    <w:p w14:paraId="038DCDAF" w14:textId="1C84888F" w:rsidR="001B72DD" w:rsidRPr="00204EF9" w:rsidRDefault="00F46B29" w:rsidP="00204EF9">
      <w:pPr>
        <w:pStyle w:val="FootnoteText"/>
        <w:jc w:val="both"/>
        <w:rPr>
          <w:rFonts w:ascii="Arial" w:hAnsi="Arial" w:cs="Arial"/>
        </w:rPr>
      </w:pPr>
      <w:r w:rsidRPr="00E55DF8">
        <w:rPr>
          <w:rStyle w:val="FootnoteReference"/>
          <w:rFonts w:ascii="Arial" w:hAnsi="Arial" w:cs="Arial"/>
        </w:rPr>
        <w:footnoteRef/>
      </w:r>
      <w:r w:rsidRPr="00E55DF8">
        <w:rPr>
          <w:rFonts w:ascii="Arial" w:hAnsi="Arial" w:cs="Arial"/>
        </w:rPr>
        <w:t xml:space="preserve"> </w:t>
      </w:r>
      <w:r w:rsidRPr="00204EF9">
        <w:rPr>
          <w:rFonts w:ascii="Arial" w:hAnsi="Arial" w:cs="Arial"/>
          <w:i/>
        </w:rPr>
        <w:t>In the Matter of the Application of Duke Energy Ohio, Inc. for an Increase in Electric Distribution Rates</w:t>
      </w:r>
      <w:r w:rsidR="001B72DD" w:rsidRPr="00204EF9">
        <w:rPr>
          <w:rFonts w:ascii="Arial" w:hAnsi="Arial" w:cs="Arial"/>
        </w:rPr>
        <w:t>,</w:t>
      </w:r>
      <w:r w:rsidR="00204EF9">
        <w:rPr>
          <w:rFonts w:ascii="Arial" w:hAnsi="Arial" w:cs="Arial"/>
        </w:rPr>
        <w:t xml:space="preserve"> </w:t>
      </w:r>
      <w:r w:rsidRPr="00204EF9">
        <w:rPr>
          <w:rFonts w:ascii="Arial" w:hAnsi="Arial" w:cs="Arial"/>
        </w:rPr>
        <w:t xml:space="preserve">Case Nos. 17-32-EL-AIR, </w:t>
      </w:r>
      <w:r w:rsidRPr="00204EF9">
        <w:rPr>
          <w:rFonts w:ascii="Arial" w:hAnsi="Arial" w:cs="Arial"/>
          <w:i/>
        </w:rPr>
        <w:t>et al.</w:t>
      </w:r>
      <w:r w:rsidRPr="00204EF9">
        <w:rPr>
          <w:rFonts w:ascii="Arial" w:hAnsi="Arial" w:cs="Arial"/>
        </w:rPr>
        <w:t>,</w:t>
      </w:r>
      <w:r w:rsidR="001B72DD" w:rsidRPr="00204EF9">
        <w:rPr>
          <w:rFonts w:ascii="Arial" w:hAnsi="Arial" w:cs="Arial"/>
        </w:rPr>
        <w:t xml:space="preserve"> Application</w:t>
      </w:r>
      <w:r w:rsidRPr="00204EF9">
        <w:rPr>
          <w:rFonts w:ascii="Arial" w:hAnsi="Arial" w:cs="Arial"/>
        </w:rPr>
        <w:t xml:space="preserve"> at 4</w:t>
      </w:r>
      <w:r w:rsidR="001B72DD" w:rsidRPr="00204EF9">
        <w:rPr>
          <w:rFonts w:ascii="Arial" w:hAnsi="Arial" w:cs="Arial"/>
        </w:rPr>
        <w:t xml:space="preserve"> (Mar. 2, 2017)</w:t>
      </w:r>
      <w:r w:rsidRPr="00204EF9">
        <w:rPr>
          <w:rFonts w:ascii="Arial" w:hAnsi="Arial" w:cs="Arial"/>
        </w:rPr>
        <w:t>.</w:t>
      </w:r>
    </w:p>
    <w:p w14:paraId="0C7E450B" w14:textId="77777777" w:rsidR="001B72DD" w:rsidRPr="00204EF9" w:rsidRDefault="001B72DD" w:rsidP="00204EF9">
      <w:pPr>
        <w:pStyle w:val="FootnoteText"/>
        <w:jc w:val="both"/>
        <w:rPr>
          <w:rFonts w:ascii="Arial" w:hAnsi="Arial" w:cs="Arial"/>
        </w:rPr>
      </w:pPr>
    </w:p>
  </w:footnote>
  <w:footnote w:id="2">
    <w:p w14:paraId="1D7A16AC" w14:textId="43B25102" w:rsidR="00F46B29" w:rsidRPr="00204EF9" w:rsidRDefault="00F46B29" w:rsidP="00204EF9">
      <w:pPr>
        <w:pStyle w:val="FootnoteText"/>
        <w:jc w:val="both"/>
        <w:rPr>
          <w:rFonts w:ascii="Arial" w:hAnsi="Arial" w:cs="Arial"/>
        </w:rPr>
      </w:pPr>
      <w:r w:rsidRPr="00204EF9">
        <w:rPr>
          <w:rStyle w:val="FootnoteReference"/>
          <w:rFonts w:ascii="Arial" w:hAnsi="Arial" w:cs="Arial"/>
        </w:rPr>
        <w:footnoteRef/>
      </w:r>
      <w:r w:rsidRPr="00204EF9">
        <w:rPr>
          <w:rFonts w:ascii="Arial" w:hAnsi="Arial" w:cs="Arial"/>
        </w:rPr>
        <w:t xml:space="preserve"> </w:t>
      </w:r>
      <w:r w:rsidRPr="00204EF9">
        <w:rPr>
          <w:rFonts w:ascii="Arial" w:hAnsi="Arial" w:cs="Arial"/>
          <w:i/>
        </w:rPr>
        <w:t>In the Matter of the Application of Duke Energy Ohio, Inc. for Approval to Modify Rider PSR</w:t>
      </w:r>
      <w:r w:rsidR="00204EF9">
        <w:rPr>
          <w:rFonts w:ascii="Arial" w:hAnsi="Arial" w:cs="Arial"/>
        </w:rPr>
        <w:t>, Case No</w:t>
      </w:r>
      <w:r w:rsidRPr="00204EF9">
        <w:rPr>
          <w:rFonts w:ascii="Arial" w:hAnsi="Arial" w:cs="Arial"/>
        </w:rPr>
        <w:t xml:space="preserve">s 17-872-EL-RDR, </w:t>
      </w:r>
      <w:r w:rsidRPr="00204EF9">
        <w:rPr>
          <w:rFonts w:ascii="Arial" w:hAnsi="Arial" w:cs="Arial"/>
          <w:i/>
        </w:rPr>
        <w:t>et al</w:t>
      </w:r>
      <w:r w:rsidR="001B72DD" w:rsidRPr="00204EF9">
        <w:rPr>
          <w:rFonts w:ascii="Arial" w:hAnsi="Arial" w:cs="Arial"/>
        </w:rPr>
        <w:t xml:space="preserve">., Application </w:t>
      </w:r>
      <w:r w:rsidRPr="00204EF9">
        <w:rPr>
          <w:rFonts w:ascii="Arial" w:hAnsi="Arial" w:cs="Arial"/>
        </w:rPr>
        <w:t>at 2</w:t>
      </w:r>
      <w:r w:rsidR="001B72DD" w:rsidRPr="00204EF9">
        <w:rPr>
          <w:rFonts w:ascii="Arial" w:hAnsi="Arial" w:cs="Arial"/>
        </w:rPr>
        <w:t xml:space="preserve"> (Mar. 31, 2017)</w:t>
      </w:r>
      <w:r w:rsidRPr="00204EF9">
        <w:rPr>
          <w:rFonts w:ascii="Arial" w:hAnsi="Arial" w:cs="Arial"/>
        </w:rPr>
        <w:t xml:space="preserve">.  </w:t>
      </w:r>
    </w:p>
  </w:footnote>
  <w:footnote w:id="3">
    <w:p w14:paraId="265FC50D" w14:textId="3379C262" w:rsidR="00F46B29" w:rsidRPr="00C21189" w:rsidRDefault="00F46B29">
      <w:pPr>
        <w:pStyle w:val="FootnoteText"/>
        <w:rPr>
          <w:rFonts w:ascii="Arial" w:hAnsi="Arial" w:cs="Arial"/>
        </w:rPr>
      </w:pPr>
      <w:r w:rsidRPr="00C21189">
        <w:rPr>
          <w:rStyle w:val="FootnoteReference"/>
          <w:rFonts w:ascii="Arial" w:hAnsi="Arial" w:cs="Arial"/>
        </w:rPr>
        <w:footnoteRef/>
      </w:r>
      <w:r w:rsidRPr="00C21189">
        <w:rPr>
          <w:rFonts w:ascii="Arial" w:hAnsi="Arial" w:cs="Arial"/>
        </w:rPr>
        <w:t xml:space="preserve"> Duke Energy Ohio, I</w:t>
      </w:r>
      <w:r w:rsidR="001B72DD">
        <w:rPr>
          <w:rFonts w:ascii="Arial" w:hAnsi="Arial" w:cs="Arial"/>
        </w:rPr>
        <w:t>nc. Motion to Consolidate Cases</w:t>
      </w:r>
      <w:r w:rsidRPr="00C21189">
        <w:rPr>
          <w:rFonts w:ascii="Arial" w:hAnsi="Arial" w:cs="Arial"/>
        </w:rPr>
        <w:t xml:space="preserve"> at 2.</w:t>
      </w:r>
    </w:p>
  </w:footnote>
  <w:footnote w:id="4">
    <w:p w14:paraId="634AF46F" w14:textId="7B9FF73D" w:rsidR="0030664C" w:rsidRDefault="0030664C">
      <w:pPr>
        <w:pStyle w:val="FootnoteText"/>
        <w:rPr>
          <w:rFonts w:ascii="Arial" w:hAnsi="Arial" w:cs="Arial"/>
          <w:i/>
        </w:rPr>
      </w:pPr>
      <w:r w:rsidRPr="0030664C">
        <w:rPr>
          <w:rStyle w:val="FootnoteReference"/>
          <w:rFonts w:ascii="Arial" w:hAnsi="Arial" w:cs="Arial"/>
        </w:rPr>
        <w:footnoteRef/>
      </w:r>
      <w:r w:rsidRPr="0030664C">
        <w:rPr>
          <w:rFonts w:ascii="Arial" w:hAnsi="Arial" w:cs="Arial"/>
        </w:rPr>
        <w:t xml:space="preserve"> R.C. 4909.19(C).  </w:t>
      </w:r>
      <w:r w:rsidRPr="0030664C">
        <w:rPr>
          <w:rFonts w:ascii="Arial" w:hAnsi="Arial" w:cs="Arial"/>
          <w:i/>
        </w:rPr>
        <w:t xml:space="preserve">See </w:t>
      </w:r>
      <w:r w:rsidRPr="0030664C">
        <w:rPr>
          <w:rFonts w:ascii="Arial" w:hAnsi="Arial" w:cs="Arial"/>
        </w:rPr>
        <w:t xml:space="preserve">also R.C. 4909.15 </w:t>
      </w:r>
      <w:proofErr w:type="gramStart"/>
      <w:r w:rsidRPr="0030664C">
        <w:rPr>
          <w:rFonts w:ascii="Arial" w:hAnsi="Arial" w:cs="Arial"/>
          <w:i/>
        </w:rPr>
        <w:t>et</w:t>
      </w:r>
      <w:proofErr w:type="gramEnd"/>
      <w:r w:rsidRPr="0030664C">
        <w:rPr>
          <w:rFonts w:ascii="Arial" w:hAnsi="Arial" w:cs="Arial"/>
          <w:i/>
        </w:rPr>
        <w:t xml:space="preserve"> sec.</w:t>
      </w:r>
    </w:p>
    <w:p w14:paraId="089853A0" w14:textId="77777777" w:rsidR="0030664C" w:rsidRPr="0030664C" w:rsidRDefault="0030664C">
      <w:pPr>
        <w:pStyle w:val="FootnoteText"/>
        <w:rPr>
          <w:rFonts w:ascii="Arial" w:hAnsi="Arial" w:cs="Arial"/>
        </w:rPr>
      </w:pPr>
    </w:p>
  </w:footnote>
  <w:footnote w:id="5">
    <w:p w14:paraId="28C7E7A3" w14:textId="21BC2690" w:rsidR="0030664C" w:rsidRDefault="0030664C">
      <w:pPr>
        <w:pStyle w:val="FootnoteText"/>
      </w:pPr>
      <w:r w:rsidRPr="0030664C">
        <w:rPr>
          <w:rStyle w:val="FootnoteReference"/>
          <w:rFonts w:ascii="Arial" w:hAnsi="Arial" w:cs="Arial"/>
        </w:rPr>
        <w:footnoteRef/>
      </w:r>
      <w:r w:rsidRPr="0030664C">
        <w:rPr>
          <w:rFonts w:ascii="Arial" w:hAnsi="Arial" w:cs="Arial"/>
        </w:rPr>
        <w:t xml:space="preserve"> R.C. 4909.19</w:t>
      </w:r>
      <w:r w:rsidR="00204EF9">
        <w:rPr>
          <w:rFonts w:ascii="Arial" w:hAnsi="Arial" w:cs="Arial"/>
        </w:rPr>
        <w:t>(C)</w:t>
      </w:r>
      <w:r w:rsidRPr="0030664C">
        <w:rPr>
          <w:rFonts w:ascii="Arial" w:hAnsi="Arial" w:cs="Arial"/>
        </w:rPr>
        <w:t>.</w:t>
      </w:r>
      <w:r>
        <w:t xml:space="preserve">  </w:t>
      </w:r>
    </w:p>
  </w:footnote>
  <w:footnote w:id="6">
    <w:p w14:paraId="206F8492" w14:textId="1280D9E8" w:rsidR="0030664C" w:rsidRPr="00204EF9" w:rsidRDefault="0030664C">
      <w:pPr>
        <w:pStyle w:val="FootnoteText"/>
        <w:rPr>
          <w:rFonts w:ascii="Arial" w:hAnsi="Arial" w:cs="Arial"/>
        </w:rPr>
      </w:pPr>
      <w:r w:rsidRPr="00204EF9">
        <w:rPr>
          <w:rStyle w:val="FootnoteReference"/>
          <w:rFonts w:ascii="Arial" w:hAnsi="Arial" w:cs="Arial"/>
        </w:rPr>
        <w:footnoteRef/>
      </w:r>
      <w:r w:rsidRPr="00204EF9">
        <w:rPr>
          <w:rFonts w:ascii="Arial" w:hAnsi="Arial" w:cs="Arial"/>
        </w:rPr>
        <w:t xml:space="preserve"> OAC 4901-1-28(B).  </w:t>
      </w:r>
    </w:p>
    <w:p w14:paraId="142F8EA3" w14:textId="77777777" w:rsidR="0030664C" w:rsidRPr="00204EF9" w:rsidRDefault="0030664C">
      <w:pPr>
        <w:pStyle w:val="FootnoteText"/>
        <w:rPr>
          <w:rFonts w:ascii="Arial" w:hAnsi="Arial" w:cs="Arial"/>
        </w:rPr>
      </w:pPr>
    </w:p>
  </w:footnote>
  <w:footnote w:id="7">
    <w:p w14:paraId="1CC5892A" w14:textId="45426D7F" w:rsidR="0030664C" w:rsidRPr="00204EF9" w:rsidRDefault="0030664C">
      <w:pPr>
        <w:pStyle w:val="FootnoteText"/>
        <w:rPr>
          <w:rFonts w:ascii="Arial" w:hAnsi="Arial" w:cs="Arial"/>
        </w:rPr>
      </w:pPr>
      <w:r w:rsidRPr="00204EF9">
        <w:rPr>
          <w:rStyle w:val="FootnoteReference"/>
          <w:rFonts w:ascii="Arial" w:hAnsi="Arial" w:cs="Arial"/>
        </w:rPr>
        <w:footnoteRef/>
      </w:r>
      <w:r w:rsidRPr="00204EF9">
        <w:rPr>
          <w:rFonts w:ascii="Arial" w:hAnsi="Arial" w:cs="Arial"/>
        </w:rPr>
        <w:t xml:space="preserve"> OAC 4901-1-28(C).</w:t>
      </w:r>
    </w:p>
    <w:p w14:paraId="7434445D" w14:textId="77777777" w:rsidR="0030664C" w:rsidRPr="00204EF9" w:rsidRDefault="0030664C">
      <w:pPr>
        <w:pStyle w:val="FootnoteText"/>
        <w:rPr>
          <w:rFonts w:ascii="Arial" w:hAnsi="Arial" w:cs="Arial"/>
        </w:rPr>
      </w:pPr>
    </w:p>
  </w:footnote>
  <w:footnote w:id="8">
    <w:p w14:paraId="778FFFC3" w14:textId="2957A1B0" w:rsidR="0030664C" w:rsidRPr="00204EF9" w:rsidRDefault="0030664C">
      <w:pPr>
        <w:pStyle w:val="FootnoteText"/>
        <w:rPr>
          <w:rFonts w:ascii="Arial" w:hAnsi="Arial" w:cs="Arial"/>
          <w:i/>
        </w:rPr>
      </w:pPr>
      <w:r w:rsidRPr="00204EF9">
        <w:rPr>
          <w:rStyle w:val="FootnoteReference"/>
          <w:rFonts w:ascii="Arial" w:hAnsi="Arial" w:cs="Arial"/>
        </w:rPr>
        <w:footnoteRef/>
      </w:r>
      <w:r w:rsidRPr="00204EF9">
        <w:rPr>
          <w:rFonts w:ascii="Arial" w:hAnsi="Arial" w:cs="Arial"/>
        </w:rPr>
        <w:t xml:space="preserve"> </w:t>
      </w:r>
      <w:r w:rsidRPr="00204EF9">
        <w:rPr>
          <w:rFonts w:ascii="Arial" w:hAnsi="Arial" w:cs="Arial"/>
          <w:i/>
        </w:rPr>
        <w:t>Id.</w:t>
      </w:r>
    </w:p>
    <w:p w14:paraId="0B35BEC1" w14:textId="77777777" w:rsidR="0030664C" w:rsidRPr="00204EF9" w:rsidRDefault="0030664C">
      <w:pPr>
        <w:pStyle w:val="FootnoteText"/>
        <w:rPr>
          <w:rFonts w:ascii="Arial" w:hAnsi="Arial" w:cs="Arial"/>
        </w:rPr>
      </w:pPr>
    </w:p>
  </w:footnote>
  <w:footnote w:id="9">
    <w:p w14:paraId="0CD0986A" w14:textId="70567771" w:rsidR="0030664C" w:rsidRDefault="0030664C">
      <w:pPr>
        <w:pStyle w:val="FootnoteText"/>
      </w:pPr>
      <w:r w:rsidRPr="00204EF9">
        <w:rPr>
          <w:rStyle w:val="FootnoteReference"/>
          <w:rFonts w:ascii="Arial" w:hAnsi="Arial" w:cs="Arial"/>
        </w:rPr>
        <w:footnoteRef/>
      </w:r>
      <w:r w:rsidRPr="00204EF9">
        <w:rPr>
          <w:rFonts w:ascii="Arial" w:hAnsi="Arial" w:cs="Arial"/>
        </w:rPr>
        <w:t xml:space="preserve"> OAC 4901-1-28(A)</w:t>
      </w:r>
      <w:r w:rsidR="00204EF9">
        <w:rPr>
          <w:rFonts w:ascii="Arial" w:hAnsi="Arial"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6D330" w14:textId="77777777" w:rsidR="00F46B29" w:rsidRDefault="00F46B29">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3191"/>
    <w:multiLevelType w:val="hybridMultilevel"/>
    <w:tmpl w:val="C9F2E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C62E7"/>
    <w:multiLevelType w:val="hybridMultilevel"/>
    <w:tmpl w:val="FB24402E"/>
    <w:lvl w:ilvl="0" w:tplc="02364310">
      <w:start w:val="1"/>
      <w:numFmt w:val="decimal"/>
      <w:lvlText w:val="(%1)"/>
      <w:lvlJc w:val="left"/>
      <w:pPr>
        <w:ind w:left="1170" w:hanging="360"/>
      </w:pPr>
      <w:rPr>
        <w:rFonts w:hint="default"/>
        <w:w w:val="1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9A667C"/>
    <w:multiLevelType w:val="hybridMultilevel"/>
    <w:tmpl w:val="40B6E02E"/>
    <w:lvl w:ilvl="0" w:tplc="79AE7D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C00231"/>
    <w:multiLevelType w:val="hybridMultilevel"/>
    <w:tmpl w:val="F2740ACC"/>
    <w:lvl w:ilvl="0" w:tplc="B9CC38BC">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89601D"/>
    <w:multiLevelType w:val="hybridMultilevel"/>
    <w:tmpl w:val="725CD0FA"/>
    <w:lvl w:ilvl="0" w:tplc="8942479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2564D"/>
    <w:multiLevelType w:val="hybridMultilevel"/>
    <w:tmpl w:val="56020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02FE9"/>
    <w:multiLevelType w:val="hybridMultilevel"/>
    <w:tmpl w:val="546AD14C"/>
    <w:lvl w:ilvl="0" w:tplc="2708E36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AA67BD"/>
    <w:multiLevelType w:val="hybridMultilevel"/>
    <w:tmpl w:val="0F54584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7F7371B"/>
    <w:multiLevelType w:val="hybridMultilevel"/>
    <w:tmpl w:val="CC021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13193B"/>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37690"/>
    <w:multiLevelType w:val="hybridMultilevel"/>
    <w:tmpl w:val="EC5C1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734FD3"/>
    <w:multiLevelType w:val="hybridMultilevel"/>
    <w:tmpl w:val="9162E3BA"/>
    <w:lvl w:ilvl="0" w:tplc="D1B46C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8F50537"/>
    <w:multiLevelType w:val="hybridMultilevel"/>
    <w:tmpl w:val="55ACFFCC"/>
    <w:lvl w:ilvl="0" w:tplc="1BF4DA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DA3273"/>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E75776"/>
    <w:multiLevelType w:val="hybridMultilevel"/>
    <w:tmpl w:val="D3062A22"/>
    <w:lvl w:ilvl="0" w:tplc="1D14F1B2">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855EA9"/>
    <w:multiLevelType w:val="hybridMultilevel"/>
    <w:tmpl w:val="9B0E09D6"/>
    <w:lvl w:ilvl="0" w:tplc="D5A471D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0"/>
  </w:num>
  <w:num w:numId="3">
    <w:abstractNumId w:val="13"/>
  </w:num>
  <w:num w:numId="4">
    <w:abstractNumId w:val="9"/>
  </w:num>
  <w:num w:numId="5">
    <w:abstractNumId w:val="5"/>
  </w:num>
  <w:num w:numId="6">
    <w:abstractNumId w:val="10"/>
  </w:num>
  <w:num w:numId="7">
    <w:abstractNumId w:val="3"/>
  </w:num>
  <w:num w:numId="8">
    <w:abstractNumId w:val="14"/>
  </w:num>
  <w:num w:numId="9">
    <w:abstractNumId w:val="15"/>
  </w:num>
  <w:num w:numId="10">
    <w:abstractNumId w:val="2"/>
  </w:num>
  <w:num w:numId="11">
    <w:abstractNumId w:val="7"/>
  </w:num>
  <w:num w:numId="12">
    <w:abstractNumId w:val="6"/>
  </w:num>
  <w:num w:numId="13">
    <w:abstractNumId w:val="11"/>
  </w:num>
  <w:num w:numId="14">
    <w:abstractNumId w:val="1"/>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F29"/>
    <w:rsid w:val="0000378F"/>
    <w:rsid w:val="00004E6B"/>
    <w:rsid w:val="00005033"/>
    <w:rsid w:val="000054B4"/>
    <w:rsid w:val="00010D1C"/>
    <w:rsid w:val="0001157C"/>
    <w:rsid w:val="000130CE"/>
    <w:rsid w:val="000134CC"/>
    <w:rsid w:val="000176D8"/>
    <w:rsid w:val="00017A97"/>
    <w:rsid w:val="00032BAE"/>
    <w:rsid w:val="00042B87"/>
    <w:rsid w:val="000440CA"/>
    <w:rsid w:val="000469CF"/>
    <w:rsid w:val="00054ADC"/>
    <w:rsid w:val="00060C1F"/>
    <w:rsid w:val="00065307"/>
    <w:rsid w:val="00091A13"/>
    <w:rsid w:val="00091A33"/>
    <w:rsid w:val="000955F3"/>
    <w:rsid w:val="000A045F"/>
    <w:rsid w:val="000B0438"/>
    <w:rsid w:val="000B1831"/>
    <w:rsid w:val="000B223F"/>
    <w:rsid w:val="000B5141"/>
    <w:rsid w:val="000B5246"/>
    <w:rsid w:val="000B70E5"/>
    <w:rsid w:val="000D0651"/>
    <w:rsid w:val="000D2057"/>
    <w:rsid w:val="000D3C0C"/>
    <w:rsid w:val="000E0403"/>
    <w:rsid w:val="000E3BDE"/>
    <w:rsid w:val="000F00CC"/>
    <w:rsid w:val="000F4C29"/>
    <w:rsid w:val="001144C4"/>
    <w:rsid w:val="00121836"/>
    <w:rsid w:val="001267D8"/>
    <w:rsid w:val="00127783"/>
    <w:rsid w:val="0013316D"/>
    <w:rsid w:val="001507E5"/>
    <w:rsid w:val="001513A6"/>
    <w:rsid w:val="001660D6"/>
    <w:rsid w:val="00166A2D"/>
    <w:rsid w:val="0017028D"/>
    <w:rsid w:val="001704AC"/>
    <w:rsid w:val="00173D7E"/>
    <w:rsid w:val="00181B58"/>
    <w:rsid w:val="001A127E"/>
    <w:rsid w:val="001A134A"/>
    <w:rsid w:val="001A327D"/>
    <w:rsid w:val="001A61A9"/>
    <w:rsid w:val="001B1912"/>
    <w:rsid w:val="001B72DD"/>
    <w:rsid w:val="001C0F40"/>
    <w:rsid w:val="001C5F90"/>
    <w:rsid w:val="001C7CF1"/>
    <w:rsid w:val="001E09C1"/>
    <w:rsid w:val="001E7587"/>
    <w:rsid w:val="00204EF9"/>
    <w:rsid w:val="00211F6D"/>
    <w:rsid w:val="00227C04"/>
    <w:rsid w:val="00231B62"/>
    <w:rsid w:val="00232C93"/>
    <w:rsid w:val="00237730"/>
    <w:rsid w:val="002410B3"/>
    <w:rsid w:val="00244AA3"/>
    <w:rsid w:val="00246507"/>
    <w:rsid w:val="00251945"/>
    <w:rsid w:val="0025719F"/>
    <w:rsid w:val="0026046D"/>
    <w:rsid w:val="0026094C"/>
    <w:rsid w:val="002610E3"/>
    <w:rsid w:val="00265CD1"/>
    <w:rsid w:val="00266F86"/>
    <w:rsid w:val="00280A2E"/>
    <w:rsid w:val="00286005"/>
    <w:rsid w:val="00295125"/>
    <w:rsid w:val="002B1C8B"/>
    <w:rsid w:val="002B285B"/>
    <w:rsid w:val="002C39B6"/>
    <w:rsid w:val="002E2896"/>
    <w:rsid w:val="002F05DC"/>
    <w:rsid w:val="002F1329"/>
    <w:rsid w:val="003005D8"/>
    <w:rsid w:val="0030156F"/>
    <w:rsid w:val="0030664C"/>
    <w:rsid w:val="00307D81"/>
    <w:rsid w:val="00313FE5"/>
    <w:rsid w:val="00314A32"/>
    <w:rsid w:val="00332D28"/>
    <w:rsid w:val="00335A4A"/>
    <w:rsid w:val="00347D69"/>
    <w:rsid w:val="00355B90"/>
    <w:rsid w:val="00360E99"/>
    <w:rsid w:val="00364832"/>
    <w:rsid w:val="0037318F"/>
    <w:rsid w:val="00394379"/>
    <w:rsid w:val="003963BC"/>
    <w:rsid w:val="003A08BA"/>
    <w:rsid w:val="003A51CC"/>
    <w:rsid w:val="003A7774"/>
    <w:rsid w:val="003D01DA"/>
    <w:rsid w:val="003D1EB6"/>
    <w:rsid w:val="003D6622"/>
    <w:rsid w:val="003E170D"/>
    <w:rsid w:val="003E7D04"/>
    <w:rsid w:val="003F66D2"/>
    <w:rsid w:val="0040267C"/>
    <w:rsid w:val="00405979"/>
    <w:rsid w:val="00413918"/>
    <w:rsid w:val="00413EE0"/>
    <w:rsid w:val="00421792"/>
    <w:rsid w:val="0043225D"/>
    <w:rsid w:val="004417DE"/>
    <w:rsid w:val="00446914"/>
    <w:rsid w:val="00474257"/>
    <w:rsid w:val="00483963"/>
    <w:rsid w:val="0048474A"/>
    <w:rsid w:val="00486FF1"/>
    <w:rsid w:val="004921FF"/>
    <w:rsid w:val="00492AD6"/>
    <w:rsid w:val="004A51B4"/>
    <w:rsid w:val="004B061E"/>
    <w:rsid w:val="004B0EA5"/>
    <w:rsid w:val="004B7E09"/>
    <w:rsid w:val="004D04AF"/>
    <w:rsid w:val="004D2533"/>
    <w:rsid w:val="004D5629"/>
    <w:rsid w:val="004D5FAA"/>
    <w:rsid w:val="004D65EC"/>
    <w:rsid w:val="004E70B2"/>
    <w:rsid w:val="004F0D2F"/>
    <w:rsid w:val="004F2E86"/>
    <w:rsid w:val="004F420A"/>
    <w:rsid w:val="00501051"/>
    <w:rsid w:val="005139B4"/>
    <w:rsid w:val="00514B39"/>
    <w:rsid w:val="0052310A"/>
    <w:rsid w:val="005268F4"/>
    <w:rsid w:val="00526ADC"/>
    <w:rsid w:val="00533AC8"/>
    <w:rsid w:val="00536222"/>
    <w:rsid w:val="0054191F"/>
    <w:rsid w:val="00542A3B"/>
    <w:rsid w:val="00544336"/>
    <w:rsid w:val="00545F29"/>
    <w:rsid w:val="00550FBC"/>
    <w:rsid w:val="00551BAD"/>
    <w:rsid w:val="0055339D"/>
    <w:rsid w:val="00554C89"/>
    <w:rsid w:val="0056270F"/>
    <w:rsid w:val="00566D6A"/>
    <w:rsid w:val="00571CC0"/>
    <w:rsid w:val="00576F6C"/>
    <w:rsid w:val="00577375"/>
    <w:rsid w:val="0057737B"/>
    <w:rsid w:val="005809B7"/>
    <w:rsid w:val="00580F3D"/>
    <w:rsid w:val="0058288F"/>
    <w:rsid w:val="00587FD5"/>
    <w:rsid w:val="005901D9"/>
    <w:rsid w:val="00593487"/>
    <w:rsid w:val="005948BC"/>
    <w:rsid w:val="005A0BD9"/>
    <w:rsid w:val="005B34D0"/>
    <w:rsid w:val="005B37CC"/>
    <w:rsid w:val="005B5CAF"/>
    <w:rsid w:val="005B63F0"/>
    <w:rsid w:val="005C46FF"/>
    <w:rsid w:val="005C74A8"/>
    <w:rsid w:val="005D3042"/>
    <w:rsid w:val="005D627C"/>
    <w:rsid w:val="005E5012"/>
    <w:rsid w:val="005F25EB"/>
    <w:rsid w:val="005F3574"/>
    <w:rsid w:val="005F44B7"/>
    <w:rsid w:val="00613140"/>
    <w:rsid w:val="0061450C"/>
    <w:rsid w:val="00614A5D"/>
    <w:rsid w:val="00623213"/>
    <w:rsid w:val="00630DDE"/>
    <w:rsid w:val="006406C1"/>
    <w:rsid w:val="00643FB2"/>
    <w:rsid w:val="00645F8B"/>
    <w:rsid w:val="006460B3"/>
    <w:rsid w:val="006648F8"/>
    <w:rsid w:val="00665B61"/>
    <w:rsid w:val="00675CF0"/>
    <w:rsid w:val="00684830"/>
    <w:rsid w:val="006860E6"/>
    <w:rsid w:val="006930E8"/>
    <w:rsid w:val="006B7990"/>
    <w:rsid w:val="006C1C40"/>
    <w:rsid w:val="006C4EEB"/>
    <w:rsid w:val="006D25E7"/>
    <w:rsid w:val="006D47F7"/>
    <w:rsid w:val="006D60A4"/>
    <w:rsid w:val="006D7348"/>
    <w:rsid w:val="006E5083"/>
    <w:rsid w:val="00700210"/>
    <w:rsid w:val="0070041F"/>
    <w:rsid w:val="007100E4"/>
    <w:rsid w:val="0071088A"/>
    <w:rsid w:val="007171AA"/>
    <w:rsid w:val="007233DD"/>
    <w:rsid w:val="0073266C"/>
    <w:rsid w:val="00734998"/>
    <w:rsid w:val="007355CC"/>
    <w:rsid w:val="007473BF"/>
    <w:rsid w:val="0075256F"/>
    <w:rsid w:val="00762110"/>
    <w:rsid w:val="00762FEF"/>
    <w:rsid w:val="00766968"/>
    <w:rsid w:val="00777481"/>
    <w:rsid w:val="00785B62"/>
    <w:rsid w:val="00785F0D"/>
    <w:rsid w:val="0078764E"/>
    <w:rsid w:val="00795C25"/>
    <w:rsid w:val="00796ADC"/>
    <w:rsid w:val="007A0222"/>
    <w:rsid w:val="007A1112"/>
    <w:rsid w:val="007A5C5A"/>
    <w:rsid w:val="007A7F57"/>
    <w:rsid w:val="007B0F84"/>
    <w:rsid w:val="007B3399"/>
    <w:rsid w:val="007B7D38"/>
    <w:rsid w:val="007C0F96"/>
    <w:rsid w:val="007C4910"/>
    <w:rsid w:val="007C7441"/>
    <w:rsid w:val="007D11D2"/>
    <w:rsid w:val="007D2210"/>
    <w:rsid w:val="007D5C5E"/>
    <w:rsid w:val="007F1373"/>
    <w:rsid w:val="00800E45"/>
    <w:rsid w:val="008029C2"/>
    <w:rsid w:val="00804303"/>
    <w:rsid w:val="008044DE"/>
    <w:rsid w:val="00813BFB"/>
    <w:rsid w:val="008148E8"/>
    <w:rsid w:val="0082422E"/>
    <w:rsid w:val="00824A9B"/>
    <w:rsid w:val="0082522C"/>
    <w:rsid w:val="00831E75"/>
    <w:rsid w:val="00831F4B"/>
    <w:rsid w:val="00832866"/>
    <w:rsid w:val="008361FD"/>
    <w:rsid w:val="00850402"/>
    <w:rsid w:val="00861A12"/>
    <w:rsid w:val="0087388C"/>
    <w:rsid w:val="00886267"/>
    <w:rsid w:val="00887174"/>
    <w:rsid w:val="00893213"/>
    <w:rsid w:val="0089342E"/>
    <w:rsid w:val="00897C15"/>
    <w:rsid w:val="008A1275"/>
    <w:rsid w:val="008A1B84"/>
    <w:rsid w:val="008A2C5B"/>
    <w:rsid w:val="008A46BC"/>
    <w:rsid w:val="008A6CA9"/>
    <w:rsid w:val="008B14A1"/>
    <w:rsid w:val="008B2E8D"/>
    <w:rsid w:val="008B3C44"/>
    <w:rsid w:val="008B5076"/>
    <w:rsid w:val="008C1FD0"/>
    <w:rsid w:val="008C40A6"/>
    <w:rsid w:val="008C45A7"/>
    <w:rsid w:val="008C5A5D"/>
    <w:rsid w:val="008C7097"/>
    <w:rsid w:val="008D33F3"/>
    <w:rsid w:val="008E20CA"/>
    <w:rsid w:val="008F1F6A"/>
    <w:rsid w:val="009069D4"/>
    <w:rsid w:val="00914144"/>
    <w:rsid w:val="0091455E"/>
    <w:rsid w:val="009319D0"/>
    <w:rsid w:val="00935347"/>
    <w:rsid w:val="0094129E"/>
    <w:rsid w:val="00942AB4"/>
    <w:rsid w:val="00942FF9"/>
    <w:rsid w:val="00946BC1"/>
    <w:rsid w:val="0094727D"/>
    <w:rsid w:val="00953619"/>
    <w:rsid w:val="00955F86"/>
    <w:rsid w:val="009562B3"/>
    <w:rsid w:val="00961ABF"/>
    <w:rsid w:val="009631C9"/>
    <w:rsid w:val="00965D61"/>
    <w:rsid w:val="00971C05"/>
    <w:rsid w:val="009726CF"/>
    <w:rsid w:val="00972956"/>
    <w:rsid w:val="00974626"/>
    <w:rsid w:val="00976674"/>
    <w:rsid w:val="00976CF5"/>
    <w:rsid w:val="0098338B"/>
    <w:rsid w:val="00983BD2"/>
    <w:rsid w:val="0098755F"/>
    <w:rsid w:val="00997A8F"/>
    <w:rsid w:val="009A3206"/>
    <w:rsid w:val="009B3BB3"/>
    <w:rsid w:val="009B4EBD"/>
    <w:rsid w:val="009B71AA"/>
    <w:rsid w:val="009C1A13"/>
    <w:rsid w:val="009D15D9"/>
    <w:rsid w:val="009D1C4B"/>
    <w:rsid w:val="009D39EE"/>
    <w:rsid w:val="009D40E0"/>
    <w:rsid w:val="009D5434"/>
    <w:rsid w:val="009D6A6E"/>
    <w:rsid w:val="009D71F6"/>
    <w:rsid w:val="009F4632"/>
    <w:rsid w:val="009F6674"/>
    <w:rsid w:val="00A015EA"/>
    <w:rsid w:val="00A067A6"/>
    <w:rsid w:val="00A11674"/>
    <w:rsid w:val="00A14FA4"/>
    <w:rsid w:val="00A2549D"/>
    <w:rsid w:val="00A25C42"/>
    <w:rsid w:val="00A32433"/>
    <w:rsid w:val="00A32858"/>
    <w:rsid w:val="00A61B99"/>
    <w:rsid w:val="00A71E20"/>
    <w:rsid w:val="00A73E37"/>
    <w:rsid w:val="00A75711"/>
    <w:rsid w:val="00A75F7D"/>
    <w:rsid w:val="00A834D8"/>
    <w:rsid w:val="00A86767"/>
    <w:rsid w:val="00A91BE0"/>
    <w:rsid w:val="00A940AD"/>
    <w:rsid w:val="00A9619E"/>
    <w:rsid w:val="00AA4D15"/>
    <w:rsid w:val="00AA5352"/>
    <w:rsid w:val="00AA75B4"/>
    <w:rsid w:val="00AB3645"/>
    <w:rsid w:val="00AB5F66"/>
    <w:rsid w:val="00AC1CAA"/>
    <w:rsid w:val="00AD5E1E"/>
    <w:rsid w:val="00AE1FDC"/>
    <w:rsid w:val="00AE57B1"/>
    <w:rsid w:val="00AE71A9"/>
    <w:rsid w:val="00AF7730"/>
    <w:rsid w:val="00B270B3"/>
    <w:rsid w:val="00B368F6"/>
    <w:rsid w:val="00B552D9"/>
    <w:rsid w:val="00B66363"/>
    <w:rsid w:val="00B727CC"/>
    <w:rsid w:val="00B80141"/>
    <w:rsid w:val="00B8090E"/>
    <w:rsid w:val="00B82DA1"/>
    <w:rsid w:val="00B85924"/>
    <w:rsid w:val="00B90DC2"/>
    <w:rsid w:val="00B91B4E"/>
    <w:rsid w:val="00B92A76"/>
    <w:rsid w:val="00BA162D"/>
    <w:rsid w:val="00BA6835"/>
    <w:rsid w:val="00BB088F"/>
    <w:rsid w:val="00BD7223"/>
    <w:rsid w:val="00BD74EA"/>
    <w:rsid w:val="00BE366E"/>
    <w:rsid w:val="00BE3B88"/>
    <w:rsid w:val="00BF020B"/>
    <w:rsid w:val="00BF3E58"/>
    <w:rsid w:val="00BF3ED9"/>
    <w:rsid w:val="00BF505A"/>
    <w:rsid w:val="00BF639F"/>
    <w:rsid w:val="00C0210F"/>
    <w:rsid w:val="00C02EFC"/>
    <w:rsid w:val="00C07ADB"/>
    <w:rsid w:val="00C20F96"/>
    <w:rsid w:val="00C21189"/>
    <w:rsid w:val="00C3263F"/>
    <w:rsid w:val="00C3637A"/>
    <w:rsid w:val="00C37789"/>
    <w:rsid w:val="00C42ED0"/>
    <w:rsid w:val="00C517BC"/>
    <w:rsid w:val="00C51B26"/>
    <w:rsid w:val="00C6294B"/>
    <w:rsid w:val="00C63BA4"/>
    <w:rsid w:val="00C70E4A"/>
    <w:rsid w:val="00C738E8"/>
    <w:rsid w:val="00C81C96"/>
    <w:rsid w:val="00C84BD1"/>
    <w:rsid w:val="00C91B0D"/>
    <w:rsid w:val="00CA6E41"/>
    <w:rsid w:val="00CC4140"/>
    <w:rsid w:val="00CD1784"/>
    <w:rsid w:val="00CD7E33"/>
    <w:rsid w:val="00CE5079"/>
    <w:rsid w:val="00CE654B"/>
    <w:rsid w:val="00CF2845"/>
    <w:rsid w:val="00CF79AA"/>
    <w:rsid w:val="00D13280"/>
    <w:rsid w:val="00D16131"/>
    <w:rsid w:val="00D21624"/>
    <w:rsid w:val="00D32605"/>
    <w:rsid w:val="00D33E10"/>
    <w:rsid w:val="00D357A3"/>
    <w:rsid w:val="00D40F95"/>
    <w:rsid w:val="00D413D5"/>
    <w:rsid w:val="00D51948"/>
    <w:rsid w:val="00D51C79"/>
    <w:rsid w:val="00D5231A"/>
    <w:rsid w:val="00D5560A"/>
    <w:rsid w:val="00D57E21"/>
    <w:rsid w:val="00D60915"/>
    <w:rsid w:val="00D66E90"/>
    <w:rsid w:val="00D77989"/>
    <w:rsid w:val="00D86DE5"/>
    <w:rsid w:val="00D926B6"/>
    <w:rsid w:val="00D92767"/>
    <w:rsid w:val="00DA5950"/>
    <w:rsid w:val="00DA59AA"/>
    <w:rsid w:val="00DA7931"/>
    <w:rsid w:val="00DB05CD"/>
    <w:rsid w:val="00DB2C1F"/>
    <w:rsid w:val="00DB4B79"/>
    <w:rsid w:val="00DB54B4"/>
    <w:rsid w:val="00DC605D"/>
    <w:rsid w:val="00DC699C"/>
    <w:rsid w:val="00DC709F"/>
    <w:rsid w:val="00DD2A51"/>
    <w:rsid w:val="00DD33CD"/>
    <w:rsid w:val="00DE4973"/>
    <w:rsid w:val="00E04E5F"/>
    <w:rsid w:val="00E05A44"/>
    <w:rsid w:val="00E150AB"/>
    <w:rsid w:val="00E20D65"/>
    <w:rsid w:val="00E214E9"/>
    <w:rsid w:val="00E32622"/>
    <w:rsid w:val="00E405C1"/>
    <w:rsid w:val="00E46AFA"/>
    <w:rsid w:val="00E508F1"/>
    <w:rsid w:val="00E51F60"/>
    <w:rsid w:val="00E55133"/>
    <w:rsid w:val="00E55DF8"/>
    <w:rsid w:val="00E63028"/>
    <w:rsid w:val="00E666B0"/>
    <w:rsid w:val="00E67980"/>
    <w:rsid w:val="00E77910"/>
    <w:rsid w:val="00E802C2"/>
    <w:rsid w:val="00E834BE"/>
    <w:rsid w:val="00E866C3"/>
    <w:rsid w:val="00E86999"/>
    <w:rsid w:val="00E9019F"/>
    <w:rsid w:val="00E91030"/>
    <w:rsid w:val="00E93520"/>
    <w:rsid w:val="00E9359B"/>
    <w:rsid w:val="00E93D1C"/>
    <w:rsid w:val="00EA0431"/>
    <w:rsid w:val="00EA0C60"/>
    <w:rsid w:val="00EA59D3"/>
    <w:rsid w:val="00EC019F"/>
    <w:rsid w:val="00ED1193"/>
    <w:rsid w:val="00ED277E"/>
    <w:rsid w:val="00ED5FE0"/>
    <w:rsid w:val="00EE0826"/>
    <w:rsid w:val="00EE0C04"/>
    <w:rsid w:val="00F10F9B"/>
    <w:rsid w:val="00F111C7"/>
    <w:rsid w:val="00F142D6"/>
    <w:rsid w:val="00F2285A"/>
    <w:rsid w:val="00F22F39"/>
    <w:rsid w:val="00F24087"/>
    <w:rsid w:val="00F243BB"/>
    <w:rsid w:val="00F26BDE"/>
    <w:rsid w:val="00F40B37"/>
    <w:rsid w:val="00F46B29"/>
    <w:rsid w:val="00F5720A"/>
    <w:rsid w:val="00F70ACF"/>
    <w:rsid w:val="00F828DC"/>
    <w:rsid w:val="00F845D4"/>
    <w:rsid w:val="00F958A0"/>
    <w:rsid w:val="00F96AFB"/>
    <w:rsid w:val="00F97A8C"/>
    <w:rsid w:val="00FA2C78"/>
    <w:rsid w:val="00FA4A29"/>
    <w:rsid w:val="00FA7136"/>
    <w:rsid w:val="00FB34B7"/>
    <w:rsid w:val="00FB38D5"/>
    <w:rsid w:val="00FB7409"/>
    <w:rsid w:val="00FC22EE"/>
    <w:rsid w:val="00FC388E"/>
    <w:rsid w:val="00FC4227"/>
    <w:rsid w:val="00FE0D23"/>
    <w:rsid w:val="00FE125F"/>
    <w:rsid w:val="00FE2DE0"/>
    <w:rsid w:val="00FE5EB4"/>
    <w:rsid w:val="00FE6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76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A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unhideWhenUsed/>
    <w:rPr>
      <w:vertAlign w:val="superscript"/>
    </w:rPr>
  </w:style>
  <w:style w:type="character" w:customStyle="1" w:styleId="apple-style-span">
    <w:name w:val="apple-style-span"/>
    <w:basedOn w:val="DefaultParagraphFont"/>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Hyperlink">
    <w:name w:val="Hyperlink"/>
    <w:basedOn w:val="DefaultParagraphFont"/>
    <w:rPr>
      <w:color w:val="0000FF"/>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groupheading5">
    <w:name w:val="groupheading5"/>
    <w:basedOn w:val="DefaultParagraphFont"/>
    <w:rPr>
      <w:rFonts w:ascii="Verdana" w:hAnsi="Verdana" w:hint="default"/>
      <w:b/>
      <w:bCs/>
      <w:sz w:val="19"/>
      <w:szCs w:val="19"/>
    </w:rPr>
  </w:style>
  <w:style w:type="character" w:customStyle="1" w:styleId="informationalsmall4">
    <w:name w:val="informationalsmall4"/>
    <w:basedOn w:val="DefaultParagraphFont"/>
    <w:rPr>
      <w:rFonts w:ascii="Verdana" w:hAnsi="Verdana" w:hint="default"/>
      <w:sz w:val="14"/>
      <w:szCs w:val="14"/>
    </w:rPr>
  </w:style>
  <w:style w:type="paragraph" w:styleId="BodyTextIndent">
    <w:name w:val="Body Text Indent"/>
    <w:basedOn w:val="Normal"/>
    <w:link w:val="BodyTextIndentChar"/>
    <w:pPr>
      <w:spacing w:after="0" w:line="48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
    <w:name w:val="Body Text"/>
    <w:basedOn w:val="Normal"/>
    <w:link w:val="BodyTextChar"/>
    <w:uiPriority w:val="99"/>
    <w:semiHidden/>
    <w:unhideWhenUsed/>
    <w:rsid w:val="00824A9B"/>
    <w:pPr>
      <w:spacing w:after="120"/>
    </w:pPr>
  </w:style>
  <w:style w:type="character" w:customStyle="1" w:styleId="BodyTextChar">
    <w:name w:val="Body Text Char"/>
    <w:basedOn w:val="DefaultParagraphFont"/>
    <w:link w:val="BodyText"/>
    <w:uiPriority w:val="99"/>
    <w:semiHidden/>
    <w:rsid w:val="00824A9B"/>
  </w:style>
  <w:style w:type="paragraph" w:customStyle="1" w:styleId="Level1">
    <w:name w:val="Level 1"/>
    <w:basedOn w:val="TOC1"/>
    <w:link w:val="Level1Char"/>
    <w:qFormat/>
    <w:rsid w:val="005948BC"/>
    <w:pPr>
      <w:tabs>
        <w:tab w:val="right" w:leader="dot" w:pos="8630"/>
      </w:tabs>
      <w:spacing w:before="120" w:after="120" w:line="240" w:lineRule="auto"/>
    </w:pPr>
    <w:rPr>
      <w:rFonts w:asciiTheme="majorHAnsi" w:eastAsia="Times New Roman" w:hAnsiTheme="majorHAnsi" w:cs="Times New Roman"/>
      <w:b/>
      <w:bCs/>
      <w:caps/>
      <w:sz w:val="20"/>
      <w:szCs w:val="20"/>
    </w:rPr>
  </w:style>
  <w:style w:type="character" w:customStyle="1" w:styleId="Level1Char">
    <w:name w:val="Level 1 Char"/>
    <w:basedOn w:val="DefaultParagraphFont"/>
    <w:link w:val="Level1"/>
    <w:rsid w:val="005948BC"/>
    <w:rPr>
      <w:rFonts w:asciiTheme="majorHAnsi" w:eastAsia="Times New Roman" w:hAnsiTheme="majorHAnsi" w:cs="Times New Roman"/>
      <w:b/>
      <w:bCs/>
      <w:caps/>
      <w:sz w:val="20"/>
      <w:szCs w:val="20"/>
    </w:rPr>
  </w:style>
  <w:style w:type="paragraph" w:styleId="TOC1">
    <w:name w:val="toc 1"/>
    <w:basedOn w:val="Normal"/>
    <w:next w:val="Normal"/>
    <w:autoRedefine/>
    <w:uiPriority w:val="39"/>
    <w:semiHidden/>
    <w:unhideWhenUsed/>
    <w:rsid w:val="005948B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26483">
      <w:bodyDiv w:val="1"/>
      <w:marLeft w:val="0"/>
      <w:marRight w:val="0"/>
      <w:marTop w:val="0"/>
      <w:marBottom w:val="0"/>
      <w:divBdr>
        <w:top w:val="none" w:sz="0" w:space="0" w:color="auto"/>
        <w:left w:val="none" w:sz="0" w:space="0" w:color="auto"/>
        <w:bottom w:val="none" w:sz="0" w:space="0" w:color="auto"/>
        <w:right w:val="none" w:sz="0" w:space="0" w:color="auto"/>
      </w:divBdr>
    </w:div>
    <w:div w:id="482551368">
      <w:bodyDiv w:val="1"/>
      <w:marLeft w:val="0"/>
      <w:marRight w:val="0"/>
      <w:marTop w:val="0"/>
      <w:marBottom w:val="0"/>
      <w:divBdr>
        <w:top w:val="none" w:sz="0" w:space="0" w:color="auto"/>
        <w:left w:val="none" w:sz="0" w:space="0" w:color="auto"/>
        <w:bottom w:val="none" w:sz="0" w:space="0" w:color="auto"/>
        <w:right w:val="none" w:sz="0" w:space="0" w:color="auto"/>
      </w:divBdr>
      <w:divsChild>
        <w:div w:id="356734965">
          <w:marLeft w:val="0"/>
          <w:marRight w:val="0"/>
          <w:marTop w:val="0"/>
          <w:marBottom w:val="0"/>
          <w:divBdr>
            <w:top w:val="none" w:sz="0" w:space="0" w:color="auto"/>
            <w:left w:val="none" w:sz="0" w:space="0" w:color="auto"/>
            <w:bottom w:val="none" w:sz="0" w:space="0" w:color="auto"/>
            <w:right w:val="none" w:sz="0" w:space="0" w:color="auto"/>
          </w:divBdr>
        </w:div>
        <w:div w:id="392047661">
          <w:marLeft w:val="0"/>
          <w:marRight w:val="0"/>
          <w:marTop w:val="0"/>
          <w:marBottom w:val="0"/>
          <w:divBdr>
            <w:top w:val="none" w:sz="0" w:space="0" w:color="auto"/>
            <w:left w:val="none" w:sz="0" w:space="0" w:color="auto"/>
            <w:bottom w:val="none" w:sz="0" w:space="0" w:color="auto"/>
            <w:right w:val="none" w:sz="0" w:space="0" w:color="auto"/>
          </w:divBdr>
        </w:div>
        <w:div w:id="667636263">
          <w:marLeft w:val="0"/>
          <w:marRight w:val="0"/>
          <w:marTop w:val="0"/>
          <w:marBottom w:val="0"/>
          <w:divBdr>
            <w:top w:val="none" w:sz="0" w:space="0" w:color="auto"/>
            <w:left w:val="none" w:sz="0" w:space="0" w:color="auto"/>
            <w:bottom w:val="none" w:sz="0" w:space="0" w:color="auto"/>
            <w:right w:val="none" w:sz="0" w:space="0" w:color="auto"/>
          </w:divBdr>
        </w:div>
        <w:div w:id="794908096">
          <w:marLeft w:val="0"/>
          <w:marRight w:val="0"/>
          <w:marTop w:val="0"/>
          <w:marBottom w:val="0"/>
          <w:divBdr>
            <w:top w:val="none" w:sz="0" w:space="0" w:color="auto"/>
            <w:left w:val="none" w:sz="0" w:space="0" w:color="auto"/>
            <w:bottom w:val="none" w:sz="0" w:space="0" w:color="auto"/>
            <w:right w:val="none" w:sz="0" w:space="0" w:color="auto"/>
          </w:divBdr>
        </w:div>
        <w:div w:id="893542688">
          <w:marLeft w:val="0"/>
          <w:marRight w:val="0"/>
          <w:marTop w:val="0"/>
          <w:marBottom w:val="0"/>
          <w:divBdr>
            <w:top w:val="none" w:sz="0" w:space="0" w:color="auto"/>
            <w:left w:val="none" w:sz="0" w:space="0" w:color="auto"/>
            <w:bottom w:val="none" w:sz="0" w:space="0" w:color="auto"/>
            <w:right w:val="none" w:sz="0" w:space="0" w:color="auto"/>
          </w:divBdr>
        </w:div>
        <w:div w:id="941912553">
          <w:marLeft w:val="0"/>
          <w:marRight w:val="0"/>
          <w:marTop w:val="0"/>
          <w:marBottom w:val="0"/>
          <w:divBdr>
            <w:top w:val="none" w:sz="0" w:space="0" w:color="auto"/>
            <w:left w:val="none" w:sz="0" w:space="0" w:color="auto"/>
            <w:bottom w:val="none" w:sz="0" w:space="0" w:color="auto"/>
            <w:right w:val="none" w:sz="0" w:space="0" w:color="auto"/>
          </w:divBdr>
        </w:div>
        <w:div w:id="963850134">
          <w:marLeft w:val="0"/>
          <w:marRight w:val="0"/>
          <w:marTop w:val="0"/>
          <w:marBottom w:val="0"/>
          <w:divBdr>
            <w:top w:val="none" w:sz="0" w:space="0" w:color="auto"/>
            <w:left w:val="none" w:sz="0" w:space="0" w:color="auto"/>
            <w:bottom w:val="none" w:sz="0" w:space="0" w:color="auto"/>
            <w:right w:val="none" w:sz="0" w:space="0" w:color="auto"/>
          </w:divBdr>
        </w:div>
        <w:div w:id="1013337914">
          <w:marLeft w:val="0"/>
          <w:marRight w:val="0"/>
          <w:marTop w:val="0"/>
          <w:marBottom w:val="0"/>
          <w:divBdr>
            <w:top w:val="none" w:sz="0" w:space="0" w:color="auto"/>
            <w:left w:val="none" w:sz="0" w:space="0" w:color="auto"/>
            <w:bottom w:val="none" w:sz="0" w:space="0" w:color="auto"/>
            <w:right w:val="none" w:sz="0" w:space="0" w:color="auto"/>
          </w:divBdr>
        </w:div>
        <w:div w:id="1047953127">
          <w:marLeft w:val="0"/>
          <w:marRight w:val="0"/>
          <w:marTop w:val="0"/>
          <w:marBottom w:val="0"/>
          <w:divBdr>
            <w:top w:val="none" w:sz="0" w:space="0" w:color="auto"/>
            <w:left w:val="none" w:sz="0" w:space="0" w:color="auto"/>
            <w:bottom w:val="none" w:sz="0" w:space="0" w:color="auto"/>
            <w:right w:val="none" w:sz="0" w:space="0" w:color="auto"/>
          </w:divBdr>
        </w:div>
        <w:div w:id="1063024580">
          <w:marLeft w:val="0"/>
          <w:marRight w:val="0"/>
          <w:marTop w:val="0"/>
          <w:marBottom w:val="0"/>
          <w:divBdr>
            <w:top w:val="none" w:sz="0" w:space="0" w:color="auto"/>
            <w:left w:val="none" w:sz="0" w:space="0" w:color="auto"/>
            <w:bottom w:val="none" w:sz="0" w:space="0" w:color="auto"/>
            <w:right w:val="none" w:sz="0" w:space="0" w:color="auto"/>
          </w:divBdr>
        </w:div>
        <w:div w:id="1117022135">
          <w:marLeft w:val="0"/>
          <w:marRight w:val="0"/>
          <w:marTop w:val="0"/>
          <w:marBottom w:val="0"/>
          <w:divBdr>
            <w:top w:val="none" w:sz="0" w:space="0" w:color="auto"/>
            <w:left w:val="none" w:sz="0" w:space="0" w:color="auto"/>
            <w:bottom w:val="none" w:sz="0" w:space="0" w:color="auto"/>
            <w:right w:val="none" w:sz="0" w:space="0" w:color="auto"/>
          </w:divBdr>
        </w:div>
        <w:div w:id="1467044011">
          <w:marLeft w:val="0"/>
          <w:marRight w:val="0"/>
          <w:marTop w:val="0"/>
          <w:marBottom w:val="0"/>
          <w:divBdr>
            <w:top w:val="none" w:sz="0" w:space="0" w:color="auto"/>
            <w:left w:val="none" w:sz="0" w:space="0" w:color="auto"/>
            <w:bottom w:val="none" w:sz="0" w:space="0" w:color="auto"/>
            <w:right w:val="none" w:sz="0" w:space="0" w:color="auto"/>
          </w:divBdr>
        </w:div>
        <w:div w:id="1505853408">
          <w:marLeft w:val="0"/>
          <w:marRight w:val="0"/>
          <w:marTop w:val="0"/>
          <w:marBottom w:val="0"/>
          <w:divBdr>
            <w:top w:val="none" w:sz="0" w:space="0" w:color="auto"/>
            <w:left w:val="none" w:sz="0" w:space="0" w:color="auto"/>
            <w:bottom w:val="none" w:sz="0" w:space="0" w:color="auto"/>
            <w:right w:val="none" w:sz="0" w:space="0" w:color="auto"/>
          </w:divBdr>
        </w:div>
        <w:div w:id="1506478763">
          <w:marLeft w:val="0"/>
          <w:marRight w:val="0"/>
          <w:marTop w:val="0"/>
          <w:marBottom w:val="0"/>
          <w:divBdr>
            <w:top w:val="none" w:sz="0" w:space="0" w:color="auto"/>
            <w:left w:val="none" w:sz="0" w:space="0" w:color="auto"/>
            <w:bottom w:val="none" w:sz="0" w:space="0" w:color="auto"/>
            <w:right w:val="none" w:sz="0" w:space="0" w:color="auto"/>
          </w:divBdr>
        </w:div>
        <w:div w:id="1523937029">
          <w:marLeft w:val="0"/>
          <w:marRight w:val="0"/>
          <w:marTop w:val="0"/>
          <w:marBottom w:val="0"/>
          <w:divBdr>
            <w:top w:val="none" w:sz="0" w:space="0" w:color="auto"/>
            <w:left w:val="none" w:sz="0" w:space="0" w:color="auto"/>
            <w:bottom w:val="none" w:sz="0" w:space="0" w:color="auto"/>
            <w:right w:val="none" w:sz="0" w:space="0" w:color="auto"/>
          </w:divBdr>
        </w:div>
        <w:div w:id="1605530184">
          <w:marLeft w:val="0"/>
          <w:marRight w:val="0"/>
          <w:marTop w:val="0"/>
          <w:marBottom w:val="0"/>
          <w:divBdr>
            <w:top w:val="none" w:sz="0" w:space="0" w:color="auto"/>
            <w:left w:val="none" w:sz="0" w:space="0" w:color="auto"/>
            <w:bottom w:val="none" w:sz="0" w:space="0" w:color="auto"/>
            <w:right w:val="none" w:sz="0" w:space="0" w:color="auto"/>
          </w:divBdr>
        </w:div>
        <w:div w:id="1648244697">
          <w:marLeft w:val="0"/>
          <w:marRight w:val="0"/>
          <w:marTop w:val="0"/>
          <w:marBottom w:val="0"/>
          <w:divBdr>
            <w:top w:val="none" w:sz="0" w:space="0" w:color="auto"/>
            <w:left w:val="none" w:sz="0" w:space="0" w:color="auto"/>
            <w:bottom w:val="none" w:sz="0" w:space="0" w:color="auto"/>
            <w:right w:val="none" w:sz="0" w:space="0" w:color="auto"/>
          </w:divBdr>
        </w:div>
        <w:div w:id="1678461065">
          <w:marLeft w:val="0"/>
          <w:marRight w:val="0"/>
          <w:marTop w:val="0"/>
          <w:marBottom w:val="0"/>
          <w:divBdr>
            <w:top w:val="none" w:sz="0" w:space="0" w:color="auto"/>
            <w:left w:val="none" w:sz="0" w:space="0" w:color="auto"/>
            <w:bottom w:val="none" w:sz="0" w:space="0" w:color="auto"/>
            <w:right w:val="none" w:sz="0" w:space="0" w:color="auto"/>
          </w:divBdr>
        </w:div>
        <w:div w:id="1872064995">
          <w:marLeft w:val="0"/>
          <w:marRight w:val="0"/>
          <w:marTop w:val="0"/>
          <w:marBottom w:val="0"/>
          <w:divBdr>
            <w:top w:val="none" w:sz="0" w:space="0" w:color="auto"/>
            <w:left w:val="none" w:sz="0" w:space="0" w:color="auto"/>
            <w:bottom w:val="none" w:sz="0" w:space="0" w:color="auto"/>
            <w:right w:val="none" w:sz="0" w:space="0" w:color="auto"/>
          </w:divBdr>
        </w:div>
        <w:div w:id="2128112257">
          <w:marLeft w:val="0"/>
          <w:marRight w:val="0"/>
          <w:marTop w:val="0"/>
          <w:marBottom w:val="0"/>
          <w:divBdr>
            <w:top w:val="none" w:sz="0" w:space="0" w:color="auto"/>
            <w:left w:val="none" w:sz="0" w:space="0" w:color="auto"/>
            <w:bottom w:val="none" w:sz="0" w:space="0" w:color="auto"/>
            <w:right w:val="none" w:sz="0" w:space="0" w:color="auto"/>
          </w:divBdr>
        </w:div>
        <w:div w:id="2136096212">
          <w:marLeft w:val="0"/>
          <w:marRight w:val="0"/>
          <w:marTop w:val="0"/>
          <w:marBottom w:val="0"/>
          <w:divBdr>
            <w:top w:val="none" w:sz="0" w:space="0" w:color="auto"/>
            <w:left w:val="none" w:sz="0" w:space="0" w:color="auto"/>
            <w:bottom w:val="none" w:sz="0" w:space="0" w:color="auto"/>
            <w:right w:val="none" w:sz="0" w:space="0" w:color="auto"/>
          </w:divBdr>
        </w:div>
      </w:divsChild>
    </w:div>
    <w:div w:id="664666755">
      <w:bodyDiv w:val="1"/>
      <w:marLeft w:val="30"/>
      <w:marRight w:val="30"/>
      <w:marTop w:val="30"/>
      <w:marBottom w:val="30"/>
      <w:divBdr>
        <w:top w:val="none" w:sz="0" w:space="0" w:color="auto"/>
        <w:left w:val="none" w:sz="0" w:space="0" w:color="auto"/>
        <w:bottom w:val="none" w:sz="0" w:space="0" w:color="auto"/>
        <w:right w:val="none" w:sz="0" w:space="0" w:color="auto"/>
      </w:divBdr>
      <w:divsChild>
        <w:div w:id="328758408">
          <w:marLeft w:val="0"/>
          <w:marRight w:val="0"/>
          <w:marTop w:val="0"/>
          <w:marBottom w:val="0"/>
          <w:divBdr>
            <w:top w:val="none" w:sz="0" w:space="0" w:color="auto"/>
            <w:left w:val="none" w:sz="0" w:space="0" w:color="auto"/>
            <w:bottom w:val="none" w:sz="0" w:space="0" w:color="auto"/>
            <w:right w:val="none" w:sz="0" w:space="0" w:color="auto"/>
          </w:divBdr>
          <w:divsChild>
            <w:div w:id="1073889298">
              <w:marLeft w:val="45"/>
              <w:marRight w:val="45"/>
              <w:marTop w:val="45"/>
              <w:marBottom w:val="45"/>
              <w:divBdr>
                <w:top w:val="none" w:sz="0" w:space="0" w:color="auto"/>
                <w:left w:val="none" w:sz="0" w:space="0" w:color="auto"/>
                <w:bottom w:val="none" w:sz="0" w:space="0" w:color="auto"/>
                <w:right w:val="none" w:sz="0" w:space="0" w:color="auto"/>
              </w:divBdr>
              <w:divsChild>
                <w:div w:id="710110451">
                  <w:marLeft w:val="0"/>
                  <w:marRight w:val="0"/>
                  <w:marTop w:val="0"/>
                  <w:marBottom w:val="0"/>
                  <w:divBdr>
                    <w:top w:val="none" w:sz="0" w:space="0" w:color="auto"/>
                    <w:left w:val="none" w:sz="0" w:space="0" w:color="auto"/>
                    <w:bottom w:val="none" w:sz="0" w:space="0" w:color="auto"/>
                    <w:right w:val="none" w:sz="0" w:space="0" w:color="auto"/>
                  </w:divBdr>
                  <w:divsChild>
                    <w:div w:id="1796750528">
                      <w:marLeft w:val="0"/>
                      <w:marRight w:val="0"/>
                      <w:marTop w:val="0"/>
                      <w:marBottom w:val="0"/>
                      <w:divBdr>
                        <w:top w:val="none" w:sz="0" w:space="0" w:color="auto"/>
                        <w:left w:val="none" w:sz="0" w:space="0" w:color="auto"/>
                        <w:bottom w:val="none" w:sz="0" w:space="0" w:color="auto"/>
                        <w:right w:val="none" w:sz="0" w:space="0" w:color="auto"/>
                      </w:divBdr>
                      <w:divsChild>
                        <w:div w:id="3433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601664">
      <w:bodyDiv w:val="1"/>
      <w:marLeft w:val="0"/>
      <w:marRight w:val="0"/>
      <w:marTop w:val="0"/>
      <w:marBottom w:val="0"/>
      <w:divBdr>
        <w:top w:val="none" w:sz="0" w:space="0" w:color="auto"/>
        <w:left w:val="none" w:sz="0" w:space="0" w:color="auto"/>
        <w:bottom w:val="none" w:sz="0" w:space="0" w:color="auto"/>
        <w:right w:val="none" w:sz="0" w:space="0" w:color="auto"/>
      </w:divBdr>
    </w:div>
    <w:div w:id="735126895">
      <w:bodyDiv w:val="1"/>
      <w:marLeft w:val="0"/>
      <w:marRight w:val="0"/>
      <w:marTop w:val="0"/>
      <w:marBottom w:val="0"/>
      <w:divBdr>
        <w:top w:val="none" w:sz="0" w:space="0" w:color="auto"/>
        <w:left w:val="none" w:sz="0" w:space="0" w:color="auto"/>
        <w:bottom w:val="none" w:sz="0" w:space="0" w:color="auto"/>
        <w:right w:val="none" w:sz="0" w:space="0" w:color="auto"/>
      </w:divBdr>
      <w:divsChild>
        <w:div w:id="133842048">
          <w:marLeft w:val="0"/>
          <w:marRight w:val="0"/>
          <w:marTop w:val="0"/>
          <w:marBottom w:val="0"/>
          <w:divBdr>
            <w:top w:val="none" w:sz="0" w:space="0" w:color="auto"/>
            <w:left w:val="none" w:sz="0" w:space="0" w:color="auto"/>
            <w:bottom w:val="none" w:sz="0" w:space="0" w:color="auto"/>
            <w:right w:val="none" w:sz="0" w:space="0" w:color="auto"/>
          </w:divBdr>
        </w:div>
        <w:div w:id="172840572">
          <w:marLeft w:val="0"/>
          <w:marRight w:val="0"/>
          <w:marTop w:val="0"/>
          <w:marBottom w:val="0"/>
          <w:divBdr>
            <w:top w:val="none" w:sz="0" w:space="0" w:color="auto"/>
            <w:left w:val="none" w:sz="0" w:space="0" w:color="auto"/>
            <w:bottom w:val="none" w:sz="0" w:space="0" w:color="auto"/>
            <w:right w:val="none" w:sz="0" w:space="0" w:color="auto"/>
          </w:divBdr>
        </w:div>
        <w:div w:id="250048605">
          <w:marLeft w:val="0"/>
          <w:marRight w:val="0"/>
          <w:marTop w:val="0"/>
          <w:marBottom w:val="0"/>
          <w:divBdr>
            <w:top w:val="none" w:sz="0" w:space="0" w:color="auto"/>
            <w:left w:val="none" w:sz="0" w:space="0" w:color="auto"/>
            <w:bottom w:val="none" w:sz="0" w:space="0" w:color="auto"/>
            <w:right w:val="none" w:sz="0" w:space="0" w:color="auto"/>
          </w:divBdr>
        </w:div>
        <w:div w:id="505632320">
          <w:marLeft w:val="0"/>
          <w:marRight w:val="0"/>
          <w:marTop w:val="0"/>
          <w:marBottom w:val="0"/>
          <w:divBdr>
            <w:top w:val="none" w:sz="0" w:space="0" w:color="auto"/>
            <w:left w:val="none" w:sz="0" w:space="0" w:color="auto"/>
            <w:bottom w:val="none" w:sz="0" w:space="0" w:color="auto"/>
            <w:right w:val="none" w:sz="0" w:space="0" w:color="auto"/>
          </w:divBdr>
        </w:div>
        <w:div w:id="976880053">
          <w:marLeft w:val="0"/>
          <w:marRight w:val="0"/>
          <w:marTop w:val="0"/>
          <w:marBottom w:val="0"/>
          <w:divBdr>
            <w:top w:val="none" w:sz="0" w:space="0" w:color="auto"/>
            <w:left w:val="none" w:sz="0" w:space="0" w:color="auto"/>
            <w:bottom w:val="none" w:sz="0" w:space="0" w:color="auto"/>
            <w:right w:val="none" w:sz="0" w:space="0" w:color="auto"/>
          </w:divBdr>
        </w:div>
        <w:div w:id="1123887199">
          <w:marLeft w:val="0"/>
          <w:marRight w:val="0"/>
          <w:marTop w:val="0"/>
          <w:marBottom w:val="0"/>
          <w:divBdr>
            <w:top w:val="none" w:sz="0" w:space="0" w:color="auto"/>
            <w:left w:val="none" w:sz="0" w:space="0" w:color="auto"/>
            <w:bottom w:val="none" w:sz="0" w:space="0" w:color="auto"/>
            <w:right w:val="none" w:sz="0" w:space="0" w:color="auto"/>
          </w:divBdr>
        </w:div>
        <w:div w:id="1331762422">
          <w:marLeft w:val="0"/>
          <w:marRight w:val="0"/>
          <w:marTop w:val="0"/>
          <w:marBottom w:val="0"/>
          <w:divBdr>
            <w:top w:val="none" w:sz="0" w:space="0" w:color="auto"/>
            <w:left w:val="none" w:sz="0" w:space="0" w:color="auto"/>
            <w:bottom w:val="none" w:sz="0" w:space="0" w:color="auto"/>
            <w:right w:val="none" w:sz="0" w:space="0" w:color="auto"/>
          </w:divBdr>
        </w:div>
        <w:div w:id="1353725056">
          <w:marLeft w:val="0"/>
          <w:marRight w:val="0"/>
          <w:marTop w:val="0"/>
          <w:marBottom w:val="0"/>
          <w:divBdr>
            <w:top w:val="none" w:sz="0" w:space="0" w:color="auto"/>
            <w:left w:val="none" w:sz="0" w:space="0" w:color="auto"/>
            <w:bottom w:val="none" w:sz="0" w:space="0" w:color="auto"/>
            <w:right w:val="none" w:sz="0" w:space="0" w:color="auto"/>
          </w:divBdr>
        </w:div>
        <w:div w:id="1399091745">
          <w:marLeft w:val="0"/>
          <w:marRight w:val="0"/>
          <w:marTop w:val="0"/>
          <w:marBottom w:val="0"/>
          <w:divBdr>
            <w:top w:val="none" w:sz="0" w:space="0" w:color="auto"/>
            <w:left w:val="none" w:sz="0" w:space="0" w:color="auto"/>
            <w:bottom w:val="none" w:sz="0" w:space="0" w:color="auto"/>
            <w:right w:val="none" w:sz="0" w:space="0" w:color="auto"/>
          </w:divBdr>
        </w:div>
        <w:div w:id="1545024154">
          <w:marLeft w:val="0"/>
          <w:marRight w:val="0"/>
          <w:marTop w:val="0"/>
          <w:marBottom w:val="0"/>
          <w:divBdr>
            <w:top w:val="none" w:sz="0" w:space="0" w:color="auto"/>
            <w:left w:val="none" w:sz="0" w:space="0" w:color="auto"/>
            <w:bottom w:val="none" w:sz="0" w:space="0" w:color="auto"/>
            <w:right w:val="none" w:sz="0" w:space="0" w:color="auto"/>
          </w:divBdr>
        </w:div>
        <w:div w:id="1572883364">
          <w:marLeft w:val="0"/>
          <w:marRight w:val="0"/>
          <w:marTop w:val="0"/>
          <w:marBottom w:val="0"/>
          <w:divBdr>
            <w:top w:val="none" w:sz="0" w:space="0" w:color="auto"/>
            <w:left w:val="none" w:sz="0" w:space="0" w:color="auto"/>
            <w:bottom w:val="none" w:sz="0" w:space="0" w:color="auto"/>
            <w:right w:val="none" w:sz="0" w:space="0" w:color="auto"/>
          </w:divBdr>
        </w:div>
        <w:div w:id="1654676657">
          <w:marLeft w:val="0"/>
          <w:marRight w:val="0"/>
          <w:marTop w:val="0"/>
          <w:marBottom w:val="0"/>
          <w:divBdr>
            <w:top w:val="none" w:sz="0" w:space="0" w:color="auto"/>
            <w:left w:val="none" w:sz="0" w:space="0" w:color="auto"/>
            <w:bottom w:val="none" w:sz="0" w:space="0" w:color="auto"/>
            <w:right w:val="none" w:sz="0" w:space="0" w:color="auto"/>
          </w:divBdr>
        </w:div>
        <w:div w:id="1688408157">
          <w:marLeft w:val="0"/>
          <w:marRight w:val="0"/>
          <w:marTop w:val="0"/>
          <w:marBottom w:val="0"/>
          <w:divBdr>
            <w:top w:val="none" w:sz="0" w:space="0" w:color="auto"/>
            <w:left w:val="none" w:sz="0" w:space="0" w:color="auto"/>
            <w:bottom w:val="none" w:sz="0" w:space="0" w:color="auto"/>
            <w:right w:val="none" w:sz="0" w:space="0" w:color="auto"/>
          </w:divBdr>
        </w:div>
        <w:div w:id="1918250853">
          <w:marLeft w:val="0"/>
          <w:marRight w:val="0"/>
          <w:marTop w:val="0"/>
          <w:marBottom w:val="0"/>
          <w:divBdr>
            <w:top w:val="none" w:sz="0" w:space="0" w:color="auto"/>
            <w:left w:val="none" w:sz="0" w:space="0" w:color="auto"/>
            <w:bottom w:val="none" w:sz="0" w:space="0" w:color="auto"/>
            <w:right w:val="none" w:sz="0" w:space="0" w:color="auto"/>
          </w:divBdr>
        </w:div>
        <w:div w:id="1986350858">
          <w:marLeft w:val="0"/>
          <w:marRight w:val="0"/>
          <w:marTop w:val="0"/>
          <w:marBottom w:val="0"/>
          <w:divBdr>
            <w:top w:val="none" w:sz="0" w:space="0" w:color="auto"/>
            <w:left w:val="none" w:sz="0" w:space="0" w:color="auto"/>
            <w:bottom w:val="none" w:sz="0" w:space="0" w:color="auto"/>
            <w:right w:val="none" w:sz="0" w:space="0" w:color="auto"/>
          </w:divBdr>
        </w:div>
        <w:div w:id="2045325725">
          <w:marLeft w:val="0"/>
          <w:marRight w:val="0"/>
          <w:marTop w:val="0"/>
          <w:marBottom w:val="0"/>
          <w:divBdr>
            <w:top w:val="none" w:sz="0" w:space="0" w:color="auto"/>
            <w:left w:val="none" w:sz="0" w:space="0" w:color="auto"/>
            <w:bottom w:val="none" w:sz="0" w:space="0" w:color="auto"/>
            <w:right w:val="none" w:sz="0" w:space="0" w:color="auto"/>
          </w:divBdr>
        </w:div>
        <w:div w:id="2055812599">
          <w:marLeft w:val="0"/>
          <w:marRight w:val="0"/>
          <w:marTop w:val="0"/>
          <w:marBottom w:val="0"/>
          <w:divBdr>
            <w:top w:val="none" w:sz="0" w:space="0" w:color="auto"/>
            <w:left w:val="none" w:sz="0" w:space="0" w:color="auto"/>
            <w:bottom w:val="none" w:sz="0" w:space="0" w:color="auto"/>
            <w:right w:val="none" w:sz="0" w:space="0" w:color="auto"/>
          </w:divBdr>
        </w:div>
        <w:div w:id="2079550988">
          <w:marLeft w:val="0"/>
          <w:marRight w:val="0"/>
          <w:marTop w:val="0"/>
          <w:marBottom w:val="0"/>
          <w:divBdr>
            <w:top w:val="none" w:sz="0" w:space="0" w:color="auto"/>
            <w:left w:val="none" w:sz="0" w:space="0" w:color="auto"/>
            <w:bottom w:val="none" w:sz="0" w:space="0" w:color="auto"/>
            <w:right w:val="none" w:sz="0" w:space="0" w:color="auto"/>
          </w:divBdr>
        </w:div>
        <w:div w:id="2103525427">
          <w:marLeft w:val="0"/>
          <w:marRight w:val="0"/>
          <w:marTop w:val="0"/>
          <w:marBottom w:val="0"/>
          <w:divBdr>
            <w:top w:val="none" w:sz="0" w:space="0" w:color="auto"/>
            <w:left w:val="none" w:sz="0" w:space="0" w:color="auto"/>
            <w:bottom w:val="none" w:sz="0" w:space="0" w:color="auto"/>
            <w:right w:val="none" w:sz="0" w:space="0" w:color="auto"/>
          </w:divBdr>
        </w:div>
        <w:div w:id="2111850504">
          <w:marLeft w:val="0"/>
          <w:marRight w:val="0"/>
          <w:marTop w:val="0"/>
          <w:marBottom w:val="0"/>
          <w:divBdr>
            <w:top w:val="none" w:sz="0" w:space="0" w:color="auto"/>
            <w:left w:val="none" w:sz="0" w:space="0" w:color="auto"/>
            <w:bottom w:val="none" w:sz="0" w:space="0" w:color="auto"/>
            <w:right w:val="none" w:sz="0" w:space="0" w:color="auto"/>
          </w:divBdr>
        </w:div>
      </w:divsChild>
    </w:div>
    <w:div w:id="885988532">
      <w:bodyDiv w:val="1"/>
      <w:marLeft w:val="0"/>
      <w:marRight w:val="0"/>
      <w:marTop w:val="0"/>
      <w:marBottom w:val="0"/>
      <w:divBdr>
        <w:top w:val="none" w:sz="0" w:space="0" w:color="auto"/>
        <w:left w:val="none" w:sz="0" w:space="0" w:color="auto"/>
        <w:bottom w:val="none" w:sz="0" w:space="0" w:color="auto"/>
        <w:right w:val="none" w:sz="0" w:space="0" w:color="auto"/>
      </w:divBdr>
      <w:divsChild>
        <w:div w:id="2081977874">
          <w:marLeft w:val="0"/>
          <w:marRight w:val="0"/>
          <w:marTop w:val="0"/>
          <w:marBottom w:val="0"/>
          <w:divBdr>
            <w:top w:val="none" w:sz="0" w:space="0" w:color="auto"/>
            <w:left w:val="none" w:sz="0" w:space="0" w:color="auto"/>
            <w:bottom w:val="none" w:sz="0" w:space="0" w:color="auto"/>
            <w:right w:val="none" w:sz="0" w:space="0" w:color="auto"/>
          </w:divBdr>
        </w:div>
      </w:divsChild>
    </w:div>
    <w:div w:id="1250693972">
      <w:bodyDiv w:val="1"/>
      <w:marLeft w:val="0"/>
      <w:marRight w:val="0"/>
      <w:marTop w:val="0"/>
      <w:marBottom w:val="0"/>
      <w:divBdr>
        <w:top w:val="none" w:sz="0" w:space="0" w:color="auto"/>
        <w:left w:val="none" w:sz="0" w:space="0" w:color="auto"/>
        <w:bottom w:val="none" w:sz="0" w:space="0" w:color="auto"/>
        <w:right w:val="none" w:sz="0" w:space="0" w:color="auto"/>
      </w:divBdr>
      <w:divsChild>
        <w:div w:id="146240840">
          <w:marLeft w:val="0"/>
          <w:marRight w:val="0"/>
          <w:marTop w:val="0"/>
          <w:marBottom w:val="0"/>
          <w:divBdr>
            <w:top w:val="none" w:sz="0" w:space="0" w:color="auto"/>
            <w:left w:val="none" w:sz="0" w:space="0" w:color="auto"/>
            <w:bottom w:val="none" w:sz="0" w:space="0" w:color="auto"/>
            <w:right w:val="none" w:sz="0" w:space="0" w:color="auto"/>
          </w:divBdr>
        </w:div>
        <w:div w:id="196821476">
          <w:marLeft w:val="0"/>
          <w:marRight w:val="0"/>
          <w:marTop w:val="0"/>
          <w:marBottom w:val="0"/>
          <w:divBdr>
            <w:top w:val="none" w:sz="0" w:space="0" w:color="auto"/>
            <w:left w:val="none" w:sz="0" w:space="0" w:color="auto"/>
            <w:bottom w:val="none" w:sz="0" w:space="0" w:color="auto"/>
            <w:right w:val="none" w:sz="0" w:space="0" w:color="auto"/>
          </w:divBdr>
        </w:div>
        <w:div w:id="233971418">
          <w:marLeft w:val="0"/>
          <w:marRight w:val="0"/>
          <w:marTop w:val="0"/>
          <w:marBottom w:val="0"/>
          <w:divBdr>
            <w:top w:val="none" w:sz="0" w:space="0" w:color="auto"/>
            <w:left w:val="none" w:sz="0" w:space="0" w:color="auto"/>
            <w:bottom w:val="none" w:sz="0" w:space="0" w:color="auto"/>
            <w:right w:val="none" w:sz="0" w:space="0" w:color="auto"/>
          </w:divBdr>
        </w:div>
        <w:div w:id="572203489">
          <w:marLeft w:val="0"/>
          <w:marRight w:val="0"/>
          <w:marTop w:val="0"/>
          <w:marBottom w:val="0"/>
          <w:divBdr>
            <w:top w:val="none" w:sz="0" w:space="0" w:color="auto"/>
            <w:left w:val="none" w:sz="0" w:space="0" w:color="auto"/>
            <w:bottom w:val="none" w:sz="0" w:space="0" w:color="auto"/>
            <w:right w:val="none" w:sz="0" w:space="0" w:color="auto"/>
          </w:divBdr>
        </w:div>
        <w:div w:id="787243762">
          <w:marLeft w:val="0"/>
          <w:marRight w:val="0"/>
          <w:marTop w:val="0"/>
          <w:marBottom w:val="0"/>
          <w:divBdr>
            <w:top w:val="none" w:sz="0" w:space="0" w:color="auto"/>
            <w:left w:val="none" w:sz="0" w:space="0" w:color="auto"/>
            <w:bottom w:val="none" w:sz="0" w:space="0" w:color="auto"/>
            <w:right w:val="none" w:sz="0" w:space="0" w:color="auto"/>
          </w:divBdr>
        </w:div>
        <w:div w:id="790170626">
          <w:marLeft w:val="0"/>
          <w:marRight w:val="0"/>
          <w:marTop w:val="0"/>
          <w:marBottom w:val="0"/>
          <w:divBdr>
            <w:top w:val="none" w:sz="0" w:space="0" w:color="auto"/>
            <w:left w:val="none" w:sz="0" w:space="0" w:color="auto"/>
            <w:bottom w:val="none" w:sz="0" w:space="0" w:color="auto"/>
            <w:right w:val="none" w:sz="0" w:space="0" w:color="auto"/>
          </w:divBdr>
        </w:div>
        <w:div w:id="836654477">
          <w:marLeft w:val="0"/>
          <w:marRight w:val="0"/>
          <w:marTop w:val="0"/>
          <w:marBottom w:val="0"/>
          <w:divBdr>
            <w:top w:val="none" w:sz="0" w:space="0" w:color="auto"/>
            <w:left w:val="none" w:sz="0" w:space="0" w:color="auto"/>
            <w:bottom w:val="none" w:sz="0" w:space="0" w:color="auto"/>
            <w:right w:val="none" w:sz="0" w:space="0" w:color="auto"/>
          </w:divBdr>
        </w:div>
        <w:div w:id="1119031839">
          <w:marLeft w:val="0"/>
          <w:marRight w:val="0"/>
          <w:marTop w:val="0"/>
          <w:marBottom w:val="0"/>
          <w:divBdr>
            <w:top w:val="none" w:sz="0" w:space="0" w:color="auto"/>
            <w:left w:val="none" w:sz="0" w:space="0" w:color="auto"/>
            <w:bottom w:val="none" w:sz="0" w:space="0" w:color="auto"/>
            <w:right w:val="none" w:sz="0" w:space="0" w:color="auto"/>
          </w:divBdr>
        </w:div>
        <w:div w:id="1230457063">
          <w:marLeft w:val="0"/>
          <w:marRight w:val="0"/>
          <w:marTop w:val="0"/>
          <w:marBottom w:val="0"/>
          <w:divBdr>
            <w:top w:val="none" w:sz="0" w:space="0" w:color="auto"/>
            <w:left w:val="none" w:sz="0" w:space="0" w:color="auto"/>
            <w:bottom w:val="none" w:sz="0" w:space="0" w:color="auto"/>
            <w:right w:val="none" w:sz="0" w:space="0" w:color="auto"/>
          </w:divBdr>
        </w:div>
        <w:div w:id="1329476904">
          <w:marLeft w:val="0"/>
          <w:marRight w:val="0"/>
          <w:marTop w:val="0"/>
          <w:marBottom w:val="0"/>
          <w:divBdr>
            <w:top w:val="none" w:sz="0" w:space="0" w:color="auto"/>
            <w:left w:val="none" w:sz="0" w:space="0" w:color="auto"/>
            <w:bottom w:val="none" w:sz="0" w:space="0" w:color="auto"/>
            <w:right w:val="none" w:sz="0" w:space="0" w:color="auto"/>
          </w:divBdr>
        </w:div>
        <w:div w:id="1355767990">
          <w:marLeft w:val="0"/>
          <w:marRight w:val="0"/>
          <w:marTop w:val="0"/>
          <w:marBottom w:val="0"/>
          <w:divBdr>
            <w:top w:val="none" w:sz="0" w:space="0" w:color="auto"/>
            <w:left w:val="none" w:sz="0" w:space="0" w:color="auto"/>
            <w:bottom w:val="none" w:sz="0" w:space="0" w:color="auto"/>
            <w:right w:val="none" w:sz="0" w:space="0" w:color="auto"/>
          </w:divBdr>
        </w:div>
        <w:div w:id="1554849910">
          <w:marLeft w:val="0"/>
          <w:marRight w:val="0"/>
          <w:marTop w:val="0"/>
          <w:marBottom w:val="0"/>
          <w:divBdr>
            <w:top w:val="none" w:sz="0" w:space="0" w:color="auto"/>
            <w:left w:val="none" w:sz="0" w:space="0" w:color="auto"/>
            <w:bottom w:val="none" w:sz="0" w:space="0" w:color="auto"/>
            <w:right w:val="none" w:sz="0" w:space="0" w:color="auto"/>
          </w:divBdr>
        </w:div>
        <w:div w:id="1728534177">
          <w:marLeft w:val="0"/>
          <w:marRight w:val="0"/>
          <w:marTop w:val="0"/>
          <w:marBottom w:val="0"/>
          <w:divBdr>
            <w:top w:val="none" w:sz="0" w:space="0" w:color="auto"/>
            <w:left w:val="none" w:sz="0" w:space="0" w:color="auto"/>
            <w:bottom w:val="none" w:sz="0" w:space="0" w:color="auto"/>
            <w:right w:val="none" w:sz="0" w:space="0" w:color="auto"/>
          </w:divBdr>
        </w:div>
        <w:div w:id="1755741714">
          <w:marLeft w:val="0"/>
          <w:marRight w:val="0"/>
          <w:marTop w:val="0"/>
          <w:marBottom w:val="0"/>
          <w:divBdr>
            <w:top w:val="none" w:sz="0" w:space="0" w:color="auto"/>
            <w:left w:val="none" w:sz="0" w:space="0" w:color="auto"/>
            <w:bottom w:val="none" w:sz="0" w:space="0" w:color="auto"/>
            <w:right w:val="none" w:sz="0" w:space="0" w:color="auto"/>
          </w:divBdr>
        </w:div>
        <w:div w:id="1763601915">
          <w:marLeft w:val="0"/>
          <w:marRight w:val="0"/>
          <w:marTop w:val="0"/>
          <w:marBottom w:val="0"/>
          <w:divBdr>
            <w:top w:val="none" w:sz="0" w:space="0" w:color="auto"/>
            <w:left w:val="none" w:sz="0" w:space="0" w:color="auto"/>
            <w:bottom w:val="none" w:sz="0" w:space="0" w:color="auto"/>
            <w:right w:val="none" w:sz="0" w:space="0" w:color="auto"/>
          </w:divBdr>
        </w:div>
        <w:div w:id="1764106632">
          <w:marLeft w:val="0"/>
          <w:marRight w:val="0"/>
          <w:marTop w:val="0"/>
          <w:marBottom w:val="0"/>
          <w:divBdr>
            <w:top w:val="none" w:sz="0" w:space="0" w:color="auto"/>
            <w:left w:val="none" w:sz="0" w:space="0" w:color="auto"/>
            <w:bottom w:val="none" w:sz="0" w:space="0" w:color="auto"/>
            <w:right w:val="none" w:sz="0" w:space="0" w:color="auto"/>
          </w:divBdr>
        </w:div>
        <w:div w:id="1865747482">
          <w:marLeft w:val="0"/>
          <w:marRight w:val="0"/>
          <w:marTop w:val="0"/>
          <w:marBottom w:val="0"/>
          <w:divBdr>
            <w:top w:val="none" w:sz="0" w:space="0" w:color="auto"/>
            <w:left w:val="none" w:sz="0" w:space="0" w:color="auto"/>
            <w:bottom w:val="none" w:sz="0" w:space="0" w:color="auto"/>
            <w:right w:val="none" w:sz="0" w:space="0" w:color="auto"/>
          </w:divBdr>
        </w:div>
        <w:div w:id="1929192778">
          <w:marLeft w:val="0"/>
          <w:marRight w:val="0"/>
          <w:marTop w:val="0"/>
          <w:marBottom w:val="0"/>
          <w:divBdr>
            <w:top w:val="none" w:sz="0" w:space="0" w:color="auto"/>
            <w:left w:val="none" w:sz="0" w:space="0" w:color="auto"/>
            <w:bottom w:val="none" w:sz="0" w:space="0" w:color="auto"/>
            <w:right w:val="none" w:sz="0" w:space="0" w:color="auto"/>
          </w:divBdr>
        </w:div>
        <w:div w:id="1950120258">
          <w:marLeft w:val="0"/>
          <w:marRight w:val="0"/>
          <w:marTop w:val="0"/>
          <w:marBottom w:val="0"/>
          <w:divBdr>
            <w:top w:val="none" w:sz="0" w:space="0" w:color="auto"/>
            <w:left w:val="none" w:sz="0" w:space="0" w:color="auto"/>
            <w:bottom w:val="none" w:sz="0" w:space="0" w:color="auto"/>
            <w:right w:val="none" w:sz="0" w:space="0" w:color="auto"/>
          </w:divBdr>
        </w:div>
        <w:div w:id="1982035304">
          <w:marLeft w:val="0"/>
          <w:marRight w:val="0"/>
          <w:marTop w:val="0"/>
          <w:marBottom w:val="0"/>
          <w:divBdr>
            <w:top w:val="none" w:sz="0" w:space="0" w:color="auto"/>
            <w:left w:val="none" w:sz="0" w:space="0" w:color="auto"/>
            <w:bottom w:val="none" w:sz="0" w:space="0" w:color="auto"/>
            <w:right w:val="none" w:sz="0" w:space="0" w:color="auto"/>
          </w:divBdr>
        </w:div>
      </w:divsChild>
    </w:div>
    <w:div w:id="13625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liker@igsenergy.com" TargetMode="External"/><Relationship Id="rId13" Type="http://schemas.openxmlformats.org/officeDocument/2006/relationships/hyperlink" Target="mailto:daltman@environlaw.com" TargetMode="External"/><Relationship Id="rId18" Type="http://schemas.openxmlformats.org/officeDocument/2006/relationships/hyperlink" Target="mailto:DWilliamson@spilmanlaw.com" TargetMode="External"/><Relationship Id="rId26" Type="http://schemas.openxmlformats.org/officeDocument/2006/relationships/hyperlink" Target="mailto:dborchers@bricker.co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rsahli@columbus.rr.com" TargetMode="External"/><Relationship Id="rId34" Type="http://schemas.openxmlformats.org/officeDocument/2006/relationships/hyperlink" Target="mailto:TAlexander@Calfee.com" TargetMode="External"/><Relationship Id="rId7" Type="http://schemas.openxmlformats.org/officeDocument/2006/relationships/endnotes" Target="endnotes.xml"/><Relationship Id="rId12" Type="http://schemas.openxmlformats.org/officeDocument/2006/relationships/hyperlink" Target="mailto:Christopher.Healey@occ.ohio.gov" TargetMode="External"/><Relationship Id="rId17" Type="http://schemas.openxmlformats.org/officeDocument/2006/relationships/hyperlink" Target="mailto:Terry.Etter@occ.ohio.gov" TargetMode="External"/><Relationship Id="rId25" Type="http://schemas.openxmlformats.org/officeDocument/2006/relationships/hyperlink" Target="mailto:tdougherty@theoec.org" TargetMode="External"/><Relationship Id="rId33" Type="http://schemas.openxmlformats.org/officeDocument/2006/relationships/hyperlink" Target="mailto:SLesser@Calfee.com"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jsettineri@vorys.com" TargetMode="External"/><Relationship Id="rId20" Type="http://schemas.openxmlformats.org/officeDocument/2006/relationships/hyperlink" Target="mailto:JLang@Calfee.com" TargetMode="External"/><Relationship Id="rId29" Type="http://schemas.openxmlformats.org/officeDocument/2006/relationships/hyperlink" Target="mailto:mleppla@theoe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lliam.Michael@occ.ohio.gov" TargetMode="External"/><Relationship Id="rId24" Type="http://schemas.openxmlformats.org/officeDocument/2006/relationships/hyperlink" Target="mailto:glover@whitt-sturtevant.com" TargetMode="External"/><Relationship Id="rId32" Type="http://schemas.openxmlformats.org/officeDocument/2006/relationships/hyperlink" Target="mailto:CHarris@spilmanlaw.com"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williams@nrdc.org" TargetMode="External"/><Relationship Id="rId23" Type="http://schemas.openxmlformats.org/officeDocument/2006/relationships/hyperlink" Target="mailto:campbell@whitt-sturtevant.com" TargetMode="External"/><Relationship Id="rId28" Type="http://schemas.openxmlformats.org/officeDocument/2006/relationships/hyperlink" Target="mailto:dboehm@bkllawfirm.com" TargetMode="External"/><Relationship Id="rId36" Type="http://schemas.openxmlformats.org/officeDocument/2006/relationships/hyperlink" Target="mailto:EAkhbari@bricker.com" TargetMode="External"/><Relationship Id="rId10" Type="http://schemas.openxmlformats.org/officeDocument/2006/relationships/hyperlink" Target="mailto:paul@carpenterlipps.com" TargetMode="External"/><Relationship Id="rId19" Type="http://schemas.openxmlformats.org/officeDocument/2006/relationships/hyperlink" Target="mailto:lbrandfass@spilmanlaw.com" TargetMode="External"/><Relationship Id="rId31" Type="http://schemas.openxmlformats.org/officeDocument/2006/relationships/hyperlink" Target="mailto:Kevin.Moore@occ.ohio.gov" TargetMode="External"/><Relationship Id="rId4" Type="http://schemas.openxmlformats.org/officeDocument/2006/relationships/settings" Target="settings.xml"/><Relationship Id="rId9" Type="http://schemas.openxmlformats.org/officeDocument/2006/relationships/hyperlink" Target="mailto:mfleisher@elpc.org" TargetMode="External"/><Relationship Id="rId14" Type="http://schemas.openxmlformats.org/officeDocument/2006/relationships/hyperlink" Target="mailto:jnewman@environlaw.com" TargetMode="External"/><Relationship Id="rId22" Type="http://schemas.openxmlformats.org/officeDocument/2006/relationships/hyperlink" Target="mailto:tony.mendoza@sierraclub.org" TargetMode="External"/><Relationship Id="rId27" Type="http://schemas.openxmlformats.org/officeDocument/2006/relationships/hyperlink" Target="mailto:dparram@bricker.com" TargetMode="External"/><Relationship Id="rId30" Type="http://schemas.openxmlformats.org/officeDocument/2006/relationships/hyperlink" Target="mailto:glpetrucci@vorys.com" TargetMode="External"/><Relationship Id="rId35" Type="http://schemas.openxmlformats.org/officeDocument/2006/relationships/hyperlink" Target="mailto:mkeaney@calfe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8E9E7-3482-4966-A516-A0A66E92A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2157</Words>
  <Characters>12468</Characters>
  <Application>Microsoft Office Word</Application>
  <DocSecurity>0</DocSecurity>
  <Lines>479</Lines>
  <Paragraphs>235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2018-04-30T20:54:00Z</dcterms:created>
  <dcterms:modified xsi:type="dcterms:W3CDTF">2018-04-30T20:54:00Z</dcterms:modified>
</cp:coreProperties>
</file>