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36BDA" w:rsidRPr="00B012A9" w:rsidP="00D4185C" w14:paraId="0FDE94D0" w14:textId="77777777">
      <w:pPr>
        <w:pStyle w:val="HTMLPreformatted"/>
        <w:jc w:val="center"/>
        <w:rPr>
          <w:rFonts w:ascii="Times New Roman" w:hAnsi="Times New Roman" w:cs="Times New Roman"/>
          <w:b/>
          <w:bCs/>
          <w:sz w:val="24"/>
          <w:szCs w:val="24"/>
        </w:rPr>
      </w:pPr>
      <w:r w:rsidRPr="00B012A9">
        <w:rPr>
          <w:rFonts w:ascii="Times New Roman" w:hAnsi="Times New Roman" w:cs="Times New Roman"/>
          <w:b/>
          <w:bCs/>
          <w:sz w:val="24"/>
          <w:szCs w:val="24"/>
        </w:rPr>
        <w:t>BEFORE</w:t>
      </w:r>
    </w:p>
    <w:p w:rsidR="00836BDA" w:rsidRPr="00B012A9" w:rsidP="00D4185C" w14:paraId="68FF964C" w14:textId="77777777">
      <w:pPr>
        <w:pStyle w:val="HTMLPreformatted"/>
        <w:jc w:val="center"/>
        <w:rPr>
          <w:rFonts w:ascii="Times New Roman" w:hAnsi="Times New Roman" w:cs="Times New Roman"/>
          <w:sz w:val="24"/>
          <w:szCs w:val="24"/>
        </w:rPr>
      </w:pPr>
      <w:r w:rsidRPr="00B012A9">
        <w:rPr>
          <w:rFonts w:ascii="Times New Roman" w:hAnsi="Times New Roman" w:cs="Times New Roman"/>
          <w:b/>
          <w:bCs/>
          <w:sz w:val="24"/>
          <w:szCs w:val="24"/>
        </w:rPr>
        <w:t>THE PUBLIC UTILITIES COMMISSION OF OHIO</w:t>
      </w:r>
    </w:p>
    <w:p w:rsidR="00836BDA" w:rsidRPr="00B012A9" w:rsidP="00D4185C" w14:paraId="3035DE4B" w14:textId="77777777">
      <w:pPr>
        <w:pStyle w:val="HTMLPreformatted"/>
        <w:rPr>
          <w:rFonts w:ascii="Times New Roman" w:hAnsi="Times New Roman" w:cs="Times New Roman"/>
          <w:sz w:val="24"/>
          <w:szCs w:val="24"/>
        </w:rPr>
      </w:pPr>
    </w:p>
    <w:tbl>
      <w:tblPr>
        <w:tblW w:w="8730" w:type="dxa"/>
        <w:tblLook w:val="01E0"/>
      </w:tblPr>
      <w:tblGrid>
        <w:gridCol w:w="4122"/>
        <w:gridCol w:w="720"/>
        <w:gridCol w:w="3888"/>
      </w:tblGrid>
      <w:tr w14:paraId="3FDA18C2" w14:textId="77777777" w:rsidTr="00961305">
        <w:tblPrEx>
          <w:tblW w:w="8730" w:type="dxa"/>
          <w:tblLook w:val="01E0"/>
        </w:tblPrEx>
        <w:trPr>
          <w:trHeight w:val="807"/>
        </w:trPr>
        <w:tc>
          <w:tcPr>
            <w:tcW w:w="4122" w:type="dxa"/>
            <w:shd w:val="clear" w:color="auto" w:fill="auto"/>
          </w:tcPr>
          <w:p w:rsidR="001E7EA9" w:rsidRPr="00B012A9" w:rsidP="00961305" w14:paraId="6DAD0F86" w14:textId="05115FC4">
            <w:pPr>
              <w:autoSpaceDE w:val="0"/>
              <w:autoSpaceDN w:val="0"/>
              <w:adjustRightInd w:val="0"/>
              <w:ind w:left="-37" w:right="82"/>
              <w:rPr>
                <w:szCs w:val="24"/>
              </w:rPr>
            </w:pPr>
            <w:r w:rsidRPr="00B012A9">
              <w:rPr>
                <w:szCs w:val="24"/>
              </w:rPr>
              <w:t xml:space="preserve">In the Matter of the Application of </w:t>
            </w:r>
            <w:r w:rsidR="00074A83">
              <w:rPr>
                <w:szCs w:val="24"/>
              </w:rPr>
              <w:t>T</w:t>
            </w:r>
            <w:r w:rsidRPr="00B012A9">
              <w:rPr>
                <w:szCs w:val="24"/>
              </w:rPr>
              <w:t xml:space="preserve">he East Ohio Gas Company d/b/a Dominion Energy Ohio </w:t>
            </w:r>
            <w:r w:rsidR="00074A83">
              <w:rPr>
                <w:szCs w:val="24"/>
              </w:rPr>
              <w:t>to Adjust its</w:t>
            </w:r>
            <w:r w:rsidR="00FE1F41">
              <w:rPr>
                <w:szCs w:val="24"/>
              </w:rPr>
              <w:t xml:space="preserve"> </w:t>
            </w:r>
            <w:r w:rsidRPr="00B012A9">
              <w:rPr>
                <w:szCs w:val="24"/>
              </w:rPr>
              <w:t xml:space="preserve">Pipeline Infrastructure </w:t>
            </w:r>
            <w:r w:rsidR="00074A83">
              <w:rPr>
                <w:szCs w:val="24"/>
              </w:rPr>
              <w:t>Cost Recovery Charge and Related Matters</w:t>
            </w:r>
            <w:r w:rsidRPr="00B012A9">
              <w:rPr>
                <w:szCs w:val="24"/>
              </w:rPr>
              <w:t>.</w:t>
            </w:r>
          </w:p>
        </w:tc>
        <w:tc>
          <w:tcPr>
            <w:tcW w:w="720" w:type="dxa"/>
            <w:shd w:val="clear" w:color="auto" w:fill="auto"/>
          </w:tcPr>
          <w:p w:rsidR="001E7EA9" w:rsidRPr="00B012A9" w:rsidP="00961305" w14:paraId="23396C76"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1E7EA9" w:rsidRPr="00B012A9" w:rsidP="00961305" w14:paraId="6D02AA2E"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1E7EA9" w:rsidRPr="00B012A9" w:rsidP="00961305" w14:paraId="1A479336"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1E7EA9" w:rsidRPr="00B012A9" w:rsidP="00961305" w14:paraId="46E732B1"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1E7EA9" w:rsidRPr="00B012A9" w:rsidP="00961305" w14:paraId="7B71E8D7"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tc>
        <w:tc>
          <w:tcPr>
            <w:tcW w:w="3888" w:type="dxa"/>
            <w:shd w:val="clear" w:color="auto" w:fill="auto"/>
          </w:tcPr>
          <w:p w:rsidR="001E7EA9" w:rsidRPr="00B012A9" w:rsidP="00961305" w14:paraId="5BFE77B1" w14:textId="77777777">
            <w:pPr>
              <w:pStyle w:val="HTMLPreformatted"/>
              <w:rPr>
                <w:rFonts w:ascii="Times New Roman" w:hAnsi="Times New Roman" w:cs="Times New Roman"/>
                <w:sz w:val="24"/>
                <w:szCs w:val="24"/>
              </w:rPr>
            </w:pPr>
          </w:p>
          <w:p w:rsidR="001E7EA9" w:rsidRPr="00B012A9" w:rsidP="00961305" w14:paraId="4C42973E" w14:textId="77777777">
            <w:pPr>
              <w:pStyle w:val="HTMLPreformatted"/>
              <w:rPr>
                <w:rFonts w:ascii="Times New Roman" w:hAnsi="Times New Roman" w:cs="Times New Roman"/>
                <w:sz w:val="24"/>
                <w:szCs w:val="24"/>
              </w:rPr>
            </w:pPr>
          </w:p>
          <w:p w:rsidR="001E7EA9" w:rsidRPr="00B012A9" w:rsidP="00961305" w14:paraId="31B10C7A" w14:textId="2038B49D">
            <w:pPr>
              <w:pStyle w:val="HTMLPreformatted"/>
              <w:rPr>
                <w:rFonts w:ascii="Times New Roman" w:hAnsi="Times New Roman" w:cs="Times New Roman"/>
                <w:sz w:val="24"/>
                <w:szCs w:val="24"/>
              </w:rPr>
            </w:pPr>
            <w:r w:rsidRPr="00B012A9">
              <w:rPr>
                <w:rFonts w:ascii="Times New Roman" w:hAnsi="Times New Roman" w:cs="Times New Roman"/>
                <w:sz w:val="24"/>
                <w:szCs w:val="24"/>
              </w:rPr>
              <w:t>Case No. 2</w:t>
            </w:r>
            <w:r w:rsidR="00074A83">
              <w:rPr>
                <w:rFonts w:ascii="Times New Roman" w:hAnsi="Times New Roman" w:cs="Times New Roman"/>
                <w:sz w:val="24"/>
                <w:szCs w:val="24"/>
              </w:rPr>
              <w:t>1-1095</w:t>
            </w:r>
            <w:r w:rsidRPr="00B012A9">
              <w:rPr>
                <w:rFonts w:ascii="Times New Roman" w:hAnsi="Times New Roman" w:cs="Times New Roman"/>
                <w:sz w:val="24"/>
                <w:szCs w:val="24"/>
              </w:rPr>
              <w:t>-GA-</w:t>
            </w:r>
            <w:r>
              <w:rPr>
                <w:rFonts w:ascii="Times New Roman" w:hAnsi="Times New Roman" w:cs="Times New Roman"/>
                <w:sz w:val="24"/>
                <w:szCs w:val="24"/>
              </w:rPr>
              <w:t>RDR</w:t>
            </w:r>
          </w:p>
          <w:p w:rsidR="001E7EA9" w:rsidRPr="00B012A9" w:rsidP="00961305" w14:paraId="70386DD3" w14:textId="77777777">
            <w:pPr>
              <w:pStyle w:val="HTMLPreformatted"/>
              <w:rPr>
                <w:rFonts w:ascii="Times New Roman" w:hAnsi="Times New Roman" w:cs="Times New Roman"/>
                <w:sz w:val="24"/>
                <w:szCs w:val="24"/>
              </w:rPr>
            </w:pPr>
          </w:p>
        </w:tc>
      </w:tr>
    </w:tbl>
    <w:p w:rsidR="00836BDA" w:rsidRPr="00B012A9" w:rsidP="00D4185C" w14:paraId="01168CE6" w14:textId="77777777">
      <w:pPr>
        <w:pStyle w:val="HTMLPreformatted"/>
        <w:rPr>
          <w:rFonts w:ascii="Times New Roman" w:hAnsi="Times New Roman" w:cs="Times New Roman"/>
          <w:sz w:val="24"/>
          <w:szCs w:val="24"/>
        </w:rPr>
      </w:pPr>
    </w:p>
    <w:p w:rsidR="00836BDA" w:rsidRPr="00B012A9" w:rsidP="00D4185C" w14:paraId="592801EF" w14:textId="77777777">
      <w:pPr>
        <w:pStyle w:val="HTMLPreformatted"/>
        <w:pBdr>
          <w:top w:val="single" w:sz="12" w:space="1" w:color="auto"/>
        </w:pBdr>
        <w:rPr>
          <w:rFonts w:ascii="Times New Roman" w:hAnsi="Times New Roman" w:cs="Times New Roman"/>
          <w:sz w:val="24"/>
          <w:szCs w:val="24"/>
        </w:rPr>
      </w:pPr>
    </w:p>
    <w:p w:rsidR="00B20BB6" w:rsidRPr="00B012A9" w:rsidP="00B20BB6" w14:paraId="3474001A" w14:textId="0CAE2C92">
      <w:pPr>
        <w:jc w:val="center"/>
        <w:rPr>
          <w:b/>
          <w:bCs/>
          <w:szCs w:val="24"/>
        </w:rPr>
      </w:pPr>
      <w:r w:rsidRPr="00B012A9">
        <w:rPr>
          <w:b/>
          <w:bCs/>
          <w:szCs w:val="24"/>
        </w:rPr>
        <w:t>APPLICATION FOR REHEARING</w:t>
      </w:r>
    </w:p>
    <w:p w:rsidR="00836BDA" w:rsidRPr="00B012A9" w:rsidP="00D4185C" w14:paraId="7FB6E50D" w14:textId="77777777">
      <w:pPr>
        <w:jc w:val="center"/>
        <w:rPr>
          <w:b/>
          <w:bCs/>
          <w:szCs w:val="24"/>
        </w:rPr>
      </w:pPr>
      <w:r w:rsidRPr="00B012A9">
        <w:rPr>
          <w:b/>
          <w:bCs/>
          <w:szCs w:val="24"/>
        </w:rPr>
        <w:t>BY</w:t>
      </w:r>
    </w:p>
    <w:p w:rsidR="00836BDA" w:rsidRPr="00B012A9" w:rsidP="00D4185C" w14:paraId="267E1D55" w14:textId="43EF8A2A">
      <w:pPr>
        <w:jc w:val="center"/>
        <w:rPr>
          <w:b/>
          <w:bCs/>
          <w:szCs w:val="24"/>
        </w:rPr>
      </w:pPr>
      <w:r w:rsidRPr="00B012A9">
        <w:rPr>
          <w:b/>
          <w:bCs/>
          <w:szCs w:val="24"/>
        </w:rPr>
        <w:t>OFFICE OF THE OHIO CONSUMERS’ COUNSEL</w:t>
      </w:r>
    </w:p>
    <w:p w:rsidR="00836BDA" w:rsidRPr="00B012A9" w:rsidP="00D4185C" w14:paraId="4F381839" w14:textId="77777777">
      <w:pPr>
        <w:pBdr>
          <w:bottom w:val="single" w:sz="12" w:space="1" w:color="auto"/>
        </w:pBdr>
        <w:tabs>
          <w:tab w:val="left" w:pos="4320"/>
        </w:tabs>
        <w:rPr>
          <w:szCs w:val="24"/>
        </w:rPr>
      </w:pPr>
    </w:p>
    <w:p w:rsidR="00FA44E5" w:rsidRPr="00B012A9" w:rsidP="00FA44E5" w14:paraId="52EE639F" w14:textId="77777777">
      <w:pPr>
        <w:pStyle w:val="Footer"/>
        <w:tabs>
          <w:tab w:val="left" w:pos="4320"/>
          <w:tab w:val="clear" w:pos="8640"/>
        </w:tabs>
        <w:spacing w:before="240"/>
        <w:ind w:firstLine="4320"/>
        <w:rPr>
          <w:sz w:val="24"/>
          <w:szCs w:val="24"/>
        </w:rPr>
      </w:pPr>
    </w:p>
    <w:p w:rsidR="008633E2" w:rsidRPr="00B012A9" w:rsidP="00AD0B1F" w14:paraId="08AC9A8E" w14:textId="414A1AAE">
      <w:pPr>
        <w:pStyle w:val="Footer"/>
        <w:tabs>
          <w:tab w:val="left" w:pos="4320"/>
          <w:tab w:val="clear" w:pos="8640"/>
        </w:tabs>
        <w:spacing w:before="240"/>
        <w:ind w:firstLine="3870"/>
        <w:rPr>
          <w:sz w:val="24"/>
          <w:szCs w:val="24"/>
        </w:rPr>
      </w:pPr>
      <w:r w:rsidRPr="00B012A9">
        <w:rPr>
          <w:sz w:val="24"/>
          <w:szCs w:val="24"/>
        </w:rPr>
        <w:t>Bruce Weston (0016973)</w:t>
      </w:r>
    </w:p>
    <w:p w:rsidR="008633E2" w:rsidRPr="00B012A9" w:rsidP="00AD0B1F" w14:paraId="60B1FBF9" w14:textId="74682CF4">
      <w:pPr>
        <w:tabs>
          <w:tab w:val="left" w:pos="4320"/>
        </w:tabs>
        <w:ind w:firstLine="3870"/>
        <w:rPr>
          <w:szCs w:val="24"/>
        </w:rPr>
      </w:pPr>
      <w:r w:rsidRPr="00B012A9">
        <w:rPr>
          <w:szCs w:val="24"/>
        </w:rPr>
        <w:t>Ohio Consumers’ Counsel</w:t>
      </w:r>
    </w:p>
    <w:p w:rsidR="008633E2" w:rsidRPr="00B012A9" w:rsidP="00AD0B1F" w14:paraId="271C56C0" w14:textId="77777777">
      <w:pPr>
        <w:tabs>
          <w:tab w:val="left" w:pos="4320"/>
        </w:tabs>
        <w:ind w:firstLine="3870"/>
        <w:rPr>
          <w:szCs w:val="24"/>
        </w:rPr>
      </w:pPr>
      <w:r w:rsidRPr="00B012A9">
        <w:rPr>
          <w:szCs w:val="24"/>
        </w:rPr>
        <w:tab/>
      </w:r>
    </w:p>
    <w:p w:rsidR="008633E2" w:rsidRPr="00B012A9" w:rsidP="00AD0B1F" w14:paraId="0538CEAF" w14:textId="422C28E2">
      <w:pPr>
        <w:tabs>
          <w:tab w:val="left" w:pos="4320"/>
        </w:tabs>
        <w:ind w:firstLine="3870"/>
        <w:rPr>
          <w:szCs w:val="24"/>
        </w:rPr>
      </w:pPr>
      <w:r w:rsidRPr="00B012A9">
        <w:rPr>
          <w:szCs w:val="24"/>
        </w:rPr>
        <w:t>Amy Botschner O’Brien</w:t>
      </w:r>
      <w:r w:rsidRPr="00B012A9" w:rsidR="00DB58A9">
        <w:rPr>
          <w:szCs w:val="24"/>
        </w:rPr>
        <w:t xml:space="preserve"> </w:t>
      </w:r>
      <w:r w:rsidRPr="00AF5B95" w:rsidR="00DB58A9">
        <w:rPr>
          <w:szCs w:val="24"/>
        </w:rPr>
        <w:t>(007</w:t>
      </w:r>
      <w:r w:rsidRPr="00AF5B95" w:rsidR="00997258">
        <w:rPr>
          <w:szCs w:val="24"/>
        </w:rPr>
        <w:t>4423</w:t>
      </w:r>
      <w:r w:rsidRPr="00B012A9" w:rsidR="00DB58A9">
        <w:rPr>
          <w:szCs w:val="24"/>
        </w:rPr>
        <w:t>)</w:t>
      </w:r>
    </w:p>
    <w:p w:rsidR="008633E2" w:rsidRPr="00B012A9" w:rsidP="00AD0B1F" w14:paraId="6F5DB543" w14:textId="77777777">
      <w:pPr>
        <w:tabs>
          <w:tab w:val="left" w:pos="4320"/>
        </w:tabs>
        <w:ind w:firstLine="3870"/>
        <w:rPr>
          <w:szCs w:val="24"/>
        </w:rPr>
      </w:pPr>
      <w:r w:rsidRPr="00B012A9">
        <w:rPr>
          <w:szCs w:val="24"/>
        </w:rPr>
        <w:t>Counsel of Record</w:t>
      </w:r>
    </w:p>
    <w:p w:rsidR="008633E2" w:rsidRPr="00B012A9" w:rsidP="00AD0B1F" w14:paraId="78FFB330" w14:textId="78B59925">
      <w:pPr>
        <w:tabs>
          <w:tab w:val="left" w:pos="4320"/>
        </w:tabs>
        <w:ind w:firstLine="3870"/>
        <w:rPr>
          <w:szCs w:val="24"/>
        </w:rPr>
      </w:pPr>
      <w:r w:rsidRPr="00B012A9">
        <w:rPr>
          <w:szCs w:val="24"/>
        </w:rPr>
        <w:t>Ambrosia E. Wilson (0096598)</w:t>
      </w:r>
    </w:p>
    <w:p w:rsidR="008633E2" w:rsidRPr="00B012A9" w:rsidP="00AD0B1F" w14:paraId="44474D5D" w14:textId="69C11D45">
      <w:pPr>
        <w:tabs>
          <w:tab w:val="left" w:pos="4320"/>
        </w:tabs>
        <w:ind w:firstLine="3870"/>
        <w:rPr>
          <w:szCs w:val="24"/>
        </w:rPr>
      </w:pPr>
      <w:r w:rsidRPr="00B012A9">
        <w:rPr>
          <w:szCs w:val="24"/>
        </w:rPr>
        <w:t>Assistant Consumers’ Counsel</w:t>
      </w:r>
    </w:p>
    <w:p w:rsidR="008633E2" w:rsidRPr="00B012A9" w:rsidP="00AD0B1F" w14:paraId="7E6FAF10" w14:textId="77777777">
      <w:pPr>
        <w:ind w:firstLine="3870"/>
        <w:rPr>
          <w:szCs w:val="24"/>
        </w:rPr>
      </w:pPr>
      <w:r w:rsidRPr="00B012A9">
        <w:rPr>
          <w:szCs w:val="24"/>
        </w:rPr>
        <w:tab/>
      </w:r>
    </w:p>
    <w:p w:rsidR="008633E2" w:rsidRPr="00B012A9" w:rsidP="00AD0B1F" w14:paraId="1D9C078E" w14:textId="4A150739">
      <w:pPr>
        <w:ind w:firstLine="3870"/>
        <w:rPr>
          <w:b/>
          <w:bCs/>
          <w:szCs w:val="24"/>
        </w:rPr>
      </w:pPr>
      <w:r w:rsidRPr="00B012A9">
        <w:rPr>
          <w:b/>
          <w:bCs/>
          <w:szCs w:val="24"/>
        </w:rPr>
        <w:t>Office of the Ohio Consumers’ Counsel</w:t>
      </w:r>
    </w:p>
    <w:p w:rsidR="008633E2" w:rsidRPr="00B012A9" w:rsidP="00AD0B1F" w14:paraId="05DA871D" w14:textId="51D46A73">
      <w:pPr>
        <w:ind w:firstLine="3870"/>
        <w:rPr>
          <w:b/>
          <w:szCs w:val="24"/>
        </w:rPr>
      </w:pPr>
      <w:r w:rsidRPr="00B012A9">
        <w:rPr>
          <w:szCs w:val="24"/>
        </w:rPr>
        <w:t xml:space="preserve">65 East State Street, </w:t>
      </w:r>
      <w:r w:rsidRPr="00B012A9" w:rsidR="00B771EF">
        <w:rPr>
          <w:szCs w:val="24"/>
        </w:rPr>
        <w:t>Suite 700</w:t>
      </w:r>
    </w:p>
    <w:p w:rsidR="008633E2" w:rsidRPr="00B012A9" w:rsidP="00AD0B1F" w14:paraId="2B7E23AD" w14:textId="22ED3D19">
      <w:pPr>
        <w:ind w:firstLine="3870"/>
        <w:rPr>
          <w:b/>
          <w:szCs w:val="24"/>
        </w:rPr>
      </w:pPr>
      <w:r w:rsidRPr="00B012A9">
        <w:rPr>
          <w:szCs w:val="24"/>
        </w:rPr>
        <w:t>Columbus, Ohio 43215</w:t>
      </w:r>
    </w:p>
    <w:p w:rsidR="00AD0B1F" w:rsidP="00AD0B1F" w14:paraId="77A0DB1A" w14:textId="77777777">
      <w:pPr>
        <w:tabs>
          <w:tab w:val="left" w:pos="3690"/>
        </w:tabs>
        <w:autoSpaceDE w:val="0"/>
        <w:autoSpaceDN w:val="0"/>
        <w:adjustRightInd w:val="0"/>
        <w:ind w:left="3870"/>
        <w:rPr>
          <w:szCs w:val="24"/>
        </w:rPr>
      </w:pPr>
      <w:r w:rsidRPr="00B012A9">
        <w:rPr>
          <w:szCs w:val="24"/>
        </w:rPr>
        <w:t>Telephone [</w:t>
      </w:r>
      <w:r w:rsidRPr="00B012A9" w:rsidR="00D069CE">
        <w:rPr>
          <w:szCs w:val="24"/>
        </w:rPr>
        <w:t>Botschner O’Brien</w:t>
      </w:r>
      <w:r w:rsidRPr="00B012A9">
        <w:rPr>
          <w:szCs w:val="24"/>
        </w:rPr>
        <w:t>]: (614) 466-</w:t>
      </w:r>
      <w:r w:rsidRPr="00B012A9" w:rsidR="00D069CE">
        <w:rPr>
          <w:szCs w:val="24"/>
        </w:rPr>
        <w:t>9575</w:t>
      </w:r>
    </w:p>
    <w:p w:rsidR="008633E2" w:rsidRPr="00B012A9" w:rsidP="00AD0B1F" w14:paraId="212B69E8" w14:textId="456CBD24">
      <w:pPr>
        <w:tabs>
          <w:tab w:val="left" w:pos="3690"/>
        </w:tabs>
        <w:autoSpaceDE w:val="0"/>
        <w:autoSpaceDN w:val="0"/>
        <w:adjustRightInd w:val="0"/>
        <w:ind w:left="3870"/>
        <w:rPr>
          <w:szCs w:val="24"/>
        </w:rPr>
      </w:pPr>
      <w:r w:rsidRPr="00B012A9">
        <w:rPr>
          <w:szCs w:val="24"/>
        </w:rPr>
        <w:t>Telephone [Wilson]: (614) 466-1292</w:t>
      </w:r>
    </w:p>
    <w:p w:rsidR="00D069CE" w:rsidRPr="00B012A9" w:rsidP="00AD0B1F" w14:paraId="4F16F347" w14:textId="22762ADA">
      <w:pPr>
        <w:ind w:firstLine="3870"/>
        <w:rPr>
          <w:szCs w:val="24"/>
        </w:rPr>
      </w:pPr>
      <w:hyperlink r:id="rId6" w:history="1">
        <w:r w:rsidRPr="000E0E6E" w:rsidR="00AD0B1F">
          <w:rPr>
            <w:rStyle w:val="Hyperlink"/>
            <w:szCs w:val="24"/>
          </w:rPr>
          <w:t>amy.botschner.obrien@occ.ohio.gov</w:t>
        </w:r>
      </w:hyperlink>
    </w:p>
    <w:p w:rsidR="008633E2" w:rsidRPr="00B012A9" w:rsidP="00AD0B1F" w14:paraId="7A77F8EC" w14:textId="6D52DD98">
      <w:pPr>
        <w:ind w:firstLine="3870"/>
        <w:rPr>
          <w:szCs w:val="24"/>
        </w:rPr>
      </w:pPr>
      <w:hyperlink r:id="rId7" w:history="1">
        <w:r w:rsidRPr="000E0E6E" w:rsidR="00AD0B1F">
          <w:rPr>
            <w:rStyle w:val="Hyperlink"/>
            <w:szCs w:val="24"/>
          </w:rPr>
          <w:t>ambrosia.wilson@occ.ohio.gov</w:t>
        </w:r>
      </w:hyperlink>
    </w:p>
    <w:p w:rsidR="00B771EF" w:rsidRPr="00B012A9" w:rsidP="00AD0B1F" w14:paraId="71020F51" w14:textId="21C2AC45">
      <w:pPr>
        <w:ind w:left="3870" w:hanging="3870"/>
        <w:rPr>
          <w:szCs w:val="24"/>
        </w:rPr>
        <w:sectPr w:rsidSect="00B012A9">
          <w:footerReference w:type="default" r:id="rId8"/>
          <w:footerReference w:type="first" r:id="rId9"/>
          <w:pgSz w:w="12240" w:h="15840"/>
          <w:pgMar w:top="1440" w:right="1800" w:bottom="1440" w:left="1800" w:header="720" w:footer="720" w:gutter="0"/>
          <w:pgNumType w:start="2"/>
          <w:cols w:space="720"/>
          <w:titlePg/>
          <w:docGrid w:linePitch="326"/>
        </w:sectPr>
      </w:pPr>
      <w:r>
        <w:rPr>
          <w:szCs w:val="24"/>
        </w:rPr>
        <w:t>July 1</w:t>
      </w:r>
      <w:r w:rsidRPr="00B012A9" w:rsidR="00D134C8">
        <w:rPr>
          <w:szCs w:val="24"/>
        </w:rPr>
        <w:t>, 2022</w:t>
      </w:r>
      <w:r w:rsidRPr="00B012A9" w:rsidR="00D134C8">
        <w:rPr>
          <w:szCs w:val="24"/>
        </w:rPr>
        <w:tab/>
      </w:r>
      <w:r w:rsidRPr="00B012A9" w:rsidR="008633E2">
        <w:rPr>
          <w:szCs w:val="24"/>
        </w:rPr>
        <w:t>(willing to accept service by email)</w:t>
      </w:r>
    </w:p>
    <w:p w:rsidR="00D8474B" w:rsidRPr="00B012A9" w:rsidP="00D8474B" w14:paraId="72F1483F" w14:textId="3C81F86A">
      <w:pPr>
        <w:pStyle w:val="HTMLPreformatted"/>
        <w:jc w:val="center"/>
        <w:rPr>
          <w:rFonts w:ascii="Times New Roman" w:hAnsi="Times New Roman" w:cs="Times New Roman"/>
          <w:b/>
          <w:bCs/>
          <w:sz w:val="24"/>
          <w:szCs w:val="24"/>
        </w:rPr>
      </w:pPr>
      <w:r w:rsidRPr="00B012A9">
        <w:rPr>
          <w:rFonts w:ascii="Times New Roman" w:hAnsi="Times New Roman" w:cs="Times New Roman"/>
          <w:b/>
          <w:bCs/>
          <w:sz w:val="24"/>
          <w:szCs w:val="24"/>
        </w:rPr>
        <w:t>BEFORE</w:t>
      </w:r>
    </w:p>
    <w:p w:rsidR="00D8474B" w:rsidRPr="00B012A9" w:rsidP="00D8474B" w14:paraId="2D6D8516" w14:textId="77777777">
      <w:pPr>
        <w:pStyle w:val="HTMLPreformatted"/>
        <w:jc w:val="center"/>
        <w:rPr>
          <w:rFonts w:ascii="Times New Roman" w:hAnsi="Times New Roman" w:cs="Times New Roman"/>
          <w:sz w:val="24"/>
          <w:szCs w:val="24"/>
        </w:rPr>
      </w:pPr>
      <w:r w:rsidRPr="00B012A9">
        <w:rPr>
          <w:rFonts w:ascii="Times New Roman" w:hAnsi="Times New Roman" w:cs="Times New Roman"/>
          <w:b/>
          <w:bCs/>
          <w:sz w:val="24"/>
          <w:szCs w:val="24"/>
        </w:rPr>
        <w:t>THE PUBLIC UTILITIES COMMISSION OF OHIO</w:t>
      </w:r>
    </w:p>
    <w:p w:rsidR="00D8474B" w:rsidRPr="00B012A9" w:rsidP="00D8474B" w14:paraId="5D975B8E" w14:textId="77777777">
      <w:pPr>
        <w:pStyle w:val="HTMLPreformatted"/>
        <w:rPr>
          <w:rFonts w:ascii="Times New Roman" w:hAnsi="Times New Roman" w:cs="Times New Roman"/>
          <w:sz w:val="24"/>
          <w:szCs w:val="24"/>
        </w:rPr>
      </w:pPr>
    </w:p>
    <w:tbl>
      <w:tblPr>
        <w:tblW w:w="8730" w:type="dxa"/>
        <w:tblLook w:val="01E0"/>
      </w:tblPr>
      <w:tblGrid>
        <w:gridCol w:w="4122"/>
        <w:gridCol w:w="720"/>
        <w:gridCol w:w="3888"/>
      </w:tblGrid>
      <w:tr w14:paraId="27886B6D" w14:textId="77777777" w:rsidTr="00961305">
        <w:tblPrEx>
          <w:tblW w:w="8730" w:type="dxa"/>
          <w:tblLook w:val="01E0"/>
        </w:tblPrEx>
        <w:trPr>
          <w:trHeight w:val="807"/>
        </w:trPr>
        <w:tc>
          <w:tcPr>
            <w:tcW w:w="4122" w:type="dxa"/>
            <w:shd w:val="clear" w:color="auto" w:fill="auto"/>
          </w:tcPr>
          <w:p w:rsidR="001E7EA9" w:rsidRPr="00B012A9" w:rsidP="00961305" w14:paraId="61D82ED3" w14:textId="5F38D172">
            <w:pPr>
              <w:autoSpaceDE w:val="0"/>
              <w:autoSpaceDN w:val="0"/>
              <w:adjustRightInd w:val="0"/>
              <w:ind w:left="-37" w:right="82"/>
              <w:rPr>
                <w:szCs w:val="24"/>
              </w:rPr>
            </w:pPr>
            <w:r w:rsidRPr="00B012A9">
              <w:rPr>
                <w:szCs w:val="24"/>
              </w:rPr>
              <w:t xml:space="preserve">In the Matter of the Application of </w:t>
            </w:r>
            <w:r w:rsidR="00074A83">
              <w:rPr>
                <w:szCs w:val="24"/>
              </w:rPr>
              <w:t>T</w:t>
            </w:r>
            <w:r w:rsidRPr="00B012A9">
              <w:rPr>
                <w:szCs w:val="24"/>
              </w:rPr>
              <w:t xml:space="preserve">he East Ohio Gas Company d/b/a Dominion Energy Ohio </w:t>
            </w:r>
            <w:r w:rsidR="00074A83">
              <w:rPr>
                <w:szCs w:val="24"/>
              </w:rPr>
              <w:t>to Adjust its</w:t>
            </w:r>
            <w:r w:rsidRPr="00B012A9">
              <w:rPr>
                <w:szCs w:val="24"/>
              </w:rPr>
              <w:t xml:space="preserve"> Pipeline Infrastructure </w:t>
            </w:r>
            <w:r w:rsidR="00074A83">
              <w:rPr>
                <w:szCs w:val="24"/>
              </w:rPr>
              <w:t>Cost Recovery Charge and Related Matters.</w:t>
            </w:r>
          </w:p>
        </w:tc>
        <w:tc>
          <w:tcPr>
            <w:tcW w:w="720" w:type="dxa"/>
            <w:shd w:val="clear" w:color="auto" w:fill="auto"/>
          </w:tcPr>
          <w:p w:rsidR="001E7EA9" w:rsidRPr="00B012A9" w:rsidP="00961305" w14:paraId="3D893995"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1E7EA9" w:rsidRPr="00B012A9" w:rsidP="00961305" w14:paraId="5472D64E"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1E7EA9" w:rsidRPr="00B012A9" w:rsidP="00961305" w14:paraId="54944B9F"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1E7EA9" w:rsidRPr="00B012A9" w:rsidP="00961305" w14:paraId="5825F212"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1E7EA9" w:rsidRPr="00B012A9" w:rsidP="00961305" w14:paraId="064335CF"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tc>
        <w:tc>
          <w:tcPr>
            <w:tcW w:w="3888" w:type="dxa"/>
            <w:shd w:val="clear" w:color="auto" w:fill="auto"/>
          </w:tcPr>
          <w:p w:rsidR="001E7EA9" w:rsidRPr="00B012A9" w:rsidP="00961305" w14:paraId="5B740969" w14:textId="77777777">
            <w:pPr>
              <w:pStyle w:val="HTMLPreformatted"/>
              <w:rPr>
                <w:rFonts w:ascii="Times New Roman" w:hAnsi="Times New Roman" w:cs="Times New Roman"/>
                <w:sz w:val="24"/>
                <w:szCs w:val="24"/>
              </w:rPr>
            </w:pPr>
          </w:p>
          <w:p w:rsidR="001E7EA9" w:rsidRPr="00B012A9" w:rsidP="00961305" w14:paraId="0D99D85D" w14:textId="77777777">
            <w:pPr>
              <w:pStyle w:val="HTMLPreformatted"/>
              <w:rPr>
                <w:rFonts w:ascii="Times New Roman" w:hAnsi="Times New Roman" w:cs="Times New Roman"/>
                <w:sz w:val="24"/>
                <w:szCs w:val="24"/>
              </w:rPr>
            </w:pPr>
          </w:p>
          <w:p w:rsidR="001E7EA9" w:rsidRPr="00B012A9" w:rsidP="00961305" w14:paraId="620E2BBE" w14:textId="6EA07791">
            <w:pPr>
              <w:pStyle w:val="HTMLPreformatted"/>
              <w:rPr>
                <w:rFonts w:ascii="Times New Roman" w:hAnsi="Times New Roman" w:cs="Times New Roman"/>
                <w:sz w:val="24"/>
                <w:szCs w:val="24"/>
              </w:rPr>
            </w:pPr>
            <w:r w:rsidRPr="00B012A9">
              <w:rPr>
                <w:rFonts w:ascii="Times New Roman" w:hAnsi="Times New Roman" w:cs="Times New Roman"/>
                <w:sz w:val="24"/>
                <w:szCs w:val="24"/>
              </w:rPr>
              <w:t>Case No. 2</w:t>
            </w:r>
            <w:r w:rsidR="00074A83">
              <w:rPr>
                <w:rFonts w:ascii="Times New Roman" w:hAnsi="Times New Roman" w:cs="Times New Roman"/>
                <w:sz w:val="24"/>
                <w:szCs w:val="24"/>
              </w:rPr>
              <w:t>1-1095</w:t>
            </w:r>
            <w:r w:rsidRPr="00B012A9">
              <w:rPr>
                <w:rFonts w:ascii="Times New Roman" w:hAnsi="Times New Roman" w:cs="Times New Roman"/>
                <w:sz w:val="24"/>
                <w:szCs w:val="24"/>
              </w:rPr>
              <w:t>-GA-</w:t>
            </w:r>
            <w:r>
              <w:rPr>
                <w:rFonts w:ascii="Times New Roman" w:hAnsi="Times New Roman" w:cs="Times New Roman"/>
                <w:sz w:val="24"/>
                <w:szCs w:val="24"/>
              </w:rPr>
              <w:t>RDR</w:t>
            </w:r>
          </w:p>
          <w:p w:rsidR="001E7EA9" w:rsidRPr="00B012A9" w:rsidP="00961305" w14:paraId="54B10E8F" w14:textId="77777777">
            <w:pPr>
              <w:pStyle w:val="HTMLPreformatted"/>
              <w:rPr>
                <w:rFonts w:ascii="Times New Roman" w:hAnsi="Times New Roman" w:cs="Times New Roman"/>
                <w:sz w:val="24"/>
                <w:szCs w:val="24"/>
              </w:rPr>
            </w:pPr>
          </w:p>
        </w:tc>
      </w:tr>
    </w:tbl>
    <w:p w:rsidR="00D8474B" w:rsidRPr="00B012A9" w:rsidP="00D8474B" w14:paraId="60455277" w14:textId="77777777">
      <w:pPr>
        <w:pStyle w:val="HTMLPreformatted"/>
        <w:rPr>
          <w:rFonts w:ascii="Times New Roman" w:hAnsi="Times New Roman" w:cs="Times New Roman"/>
          <w:sz w:val="24"/>
          <w:szCs w:val="24"/>
        </w:rPr>
      </w:pPr>
    </w:p>
    <w:p w:rsidR="00D8474B" w:rsidRPr="00B012A9" w:rsidP="00D8474B" w14:paraId="5E798774" w14:textId="77777777">
      <w:pPr>
        <w:pStyle w:val="HTMLPreformatted"/>
        <w:pBdr>
          <w:top w:val="single" w:sz="12" w:space="1" w:color="auto"/>
        </w:pBdr>
        <w:rPr>
          <w:rFonts w:ascii="Times New Roman" w:hAnsi="Times New Roman" w:cs="Times New Roman"/>
          <w:sz w:val="24"/>
          <w:szCs w:val="24"/>
        </w:rPr>
      </w:pPr>
    </w:p>
    <w:p w:rsidR="00545D7B" w:rsidRPr="00B012A9" w:rsidP="00D8474B" w14:paraId="6054E4CC" w14:textId="77777777">
      <w:pPr>
        <w:jc w:val="center"/>
        <w:rPr>
          <w:b/>
          <w:bCs/>
          <w:szCs w:val="24"/>
        </w:rPr>
      </w:pPr>
      <w:r w:rsidRPr="00B012A9">
        <w:rPr>
          <w:b/>
          <w:bCs/>
          <w:szCs w:val="24"/>
        </w:rPr>
        <w:t>APPLICATION FOR REHEARING</w:t>
      </w:r>
    </w:p>
    <w:p w:rsidR="00D8474B" w:rsidRPr="00B012A9" w:rsidP="00D8474B" w14:paraId="14D45104" w14:textId="33DA438C">
      <w:pPr>
        <w:jc w:val="center"/>
        <w:rPr>
          <w:b/>
          <w:bCs/>
          <w:szCs w:val="24"/>
        </w:rPr>
      </w:pPr>
      <w:r w:rsidRPr="00B012A9">
        <w:rPr>
          <w:b/>
          <w:bCs/>
          <w:szCs w:val="24"/>
        </w:rPr>
        <w:t>B</w:t>
      </w:r>
      <w:r w:rsidRPr="00B012A9" w:rsidR="00DB58A9">
        <w:rPr>
          <w:b/>
          <w:bCs/>
          <w:szCs w:val="24"/>
        </w:rPr>
        <w:t>Y</w:t>
      </w:r>
    </w:p>
    <w:p w:rsidR="00D8474B" w:rsidRPr="00B012A9" w:rsidP="00D8474B" w14:paraId="3034CFF6" w14:textId="77777777">
      <w:pPr>
        <w:jc w:val="center"/>
        <w:rPr>
          <w:b/>
          <w:bCs/>
          <w:szCs w:val="24"/>
        </w:rPr>
      </w:pPr>
      <w:r w:rsidRPr="00B012A9">
        <w:rPr>
          <w:b/>
          <w:bCs/>
          <w:szCs w:val="24"/>
        </w:rPr>
        <w:t>OFFICE OF THE OHIO CONSUMERS’ COUNSEL</w:t>
      </w:r>
    </w:p>
    <w:p w:rsidR="00D8474B" w:rsidRPr="00B012A9" w:rsidP="004014B1" w14:paraId="751ACB1C" w14:textId="77777777">
      <w:pPr>
        <w:pBdr>
          <w:bottom w:val="single" w:sz="12" w:space="1" w:color="auto"/>
        </w:pBdr>
        <w:tabs>
          <w:tab w:val="left" w:pos="4320"/>
        </w:tabs>
        <w:spacing w:after="240"/>
        <w:rPr>
          <w:szCs w:val="24"/>
        </w:rPr>
      </w:pPr>
    </w:p>
    <w:p w:rsidR="007F5926" w:rsidP="005D5BD4" w14:paraId="3A2FAFE9" w14:textId="7E398F13">
      <w:pPr>
        <w:kinsoku w:val="0"/>
        <w:overflowPunct w:val="0"/>
        <w:autoSpaceDE w:val="0"/>
        <w:autoSpaceDN w:val="0"/>
        <w:adjustRightInd w:val="0"/>
        <w:spacing w:line="480" w:lineRule="auto"/>
        <w:ind w:firstLine="720"/>
        <w:rPr>
          <w:szCs w:val="24"/>
        </w:rPr>
      </w:pPr>
      <w:r w:rsidRPr="00B012A9">
        <w:rPr>
          <w:szCs w:val="24"/>
        </w:rPr>
        <w:t>The PUCO</w:t>
      </w:r>
      <w:r w:rsidRPr="00B012A9" w:rsidR="005D5BD4">
        <w:rPr>
          <w:szCs w:val="24"/>
        </w:rPr>
        <w:t xml:space="preserve">’s </w:t>
      </w:r>
      <w:r w:rsidRPr="00B012A9">
        <w:rPr>
          <w:szCs w:val="24"/>
        </w:rPr>
        <w:t xml:space="preserve">Opinion and Order </w:t>
      </w:r>
      <w:r w:rsidR="00F1227E">
        <w:rPr>
          <w:szCs w:val="24"/>
        </w:rPr>
        <w:t>allows</w:t>
      </w:r>
      <w:r w:rsidRPr="00B012A9">
        <w:rPr>
          <w:szCs w:val="24"/>
        </w:rPr>
        <w:t xml:space="preserve"> Dominion to c</w:t>
      </w:r>
      <w:r w:rsidRPr="00B012A9" w:rsidR="005D5BD4">
        <w:rPr>
          <w:szCs w:val="24"/>
        </w:rPr>
        <w:t>ontinue to charge</w:t>
      </w:r>
      <w:r w:rsidRPr="00B012A9">
        <w:rPr>
          <w:szCs w:val="24"/>
        </w:rPr>
        <w:t xml:space="preserve"> consumers tens of millions of dollars for </w:t>
      </w:r>
      <w:r w:rsidRPr="00B012A9" w:rsidR="005D5BD4">
        <w:rPr>
          <w:szCs w:val="24"/>
        </w:rPr>
        <w:t xml:space="preserve">the utility’s </w:t>
      </w:r>
      <w:r w:rsidR="00605808">
        <w:rPr>
          <w:szCs w:val="24"/>
        </w:rPr>
        <w:t xml:space="preserve">investments in its </w:t>
      </w:r>
      <w:r w:rsidRPr="00B012A9" w:rsidR="005D5BD4">
        <w:rPr>
          <w:szCs w:val="24"/>
        </w:rPr>
        <w:t xml:space="preserve">pipeline infrastructure replacement </w:t>
      </w:r>
      <w:r w:rsidR="00997258">
        <w:rPr>
          <w:szCs w:val="24"/>
        </w:rPr>
        <w:t>(“</w:t>
      </w:r>
      <w:r w:rsidRPr="00B012A9" w:rsidR="003C7D4D">
        <w:rPr>
          <w:szCs w:val="24"/>
        </w:rPr>
        <w:t>PIR</w:t>
      </w:r>
      <w:r w:rsidR="00997258">
        <w:rPr>
          <w:szCs w:val="24"/>
        </w:rPr>
        <w:t>”)</w:t>
      </w:r>
      <w:r w:rsidRPr="00B012A9" w:rsidR="003C7D4D">
        <w:rPr>
          <w:szCs w:val="24"/>
        </w:rPr>
        <w:t xml:space="preserve"> </w:t>
      </w:r>
      <w:r w:rsidRPr="00B012A9" w:rsidR="005D5BD4">
        <w:rPr>
          <w:szCs w:val="24"/>
        </w:rPr>
        <w:t>program.</w:t>
      </w:r>
      <w:r>
        <w:rPr>
          <w:rStyle w:val="FootnoteReference"/>
          <w:szCs w:val="24"/>
        </w:rPr>
        <w:footnoteReference w:id="2"/>
      </w:r>
      <w:r w:rsidR="0025636B">
        <w:rPr>
          <w:szCs w:val="24"/>
        </w:rPr>
        <w:t xml:space="preserve"> Underlying that program are charges for profits </w:t>
      </w:r>
      <w:r>
        <w:rPr>
          <w:szCs w:val="24"/>
        </w:rPr>
        <w:t xml:space="preserve">that are excessive, based on </w:t>
      </w:r>
      <w:r w:rsidRPr="00B012A9" w:rsidR="0088064C">
        <w:rPr>
          <w:szCs w:val="24"/>
        </w:rPr>
        <w:t>an outdated, too-high 13-year-old rate of return</w:t>
      </w:r>
      <w:r w:rsidR="00C57E44">
        <w:rPr>
          <w:szCs w:val="24"/>
        </w:rPr>
        <w:t xml:space="preserve">, </w:t>
      </w:r>
      <w:r>
        <w:rPr>
          <w:szCs w:val="24"/>
        </w:rPr>
        <w:t>and a too</w:t>
      </w:r>
      <w:r w:rsidR="00C57E44">
        <w:rPr>
          <w:szCs w:val="24"/>
        </w:rPr>
        <w:t>-</w:t>
      </w:r>
      <w:r>
        <w:rPr>
          <w:szCs w:val="24"/>
        </w:rPr>
        <w:t xml:space="preserve">high </w:t>
      </w:r>
      <w:r w:rsidR="005B07D1">
        <w:rPr>
          <w:szCs w:val="24"/>
        </w:rPr>
        <w:t xml:space="preserve">cost of </w:t>
      </w:r>
      <w:r w:rsidRPr="00B012A9" w:rsidR="0088064C">
        <w:rPr>
          <w:szCs w:val="24"/>
        </w:rPr>
        <w:t>long-term debt. Th</w:t>
      </w:r>
      <w:r w:rsidRPr="00B012A9" w:rsidR="005D5BD4">
        <w:rPr>
          <w:szCs w:val="24"/>
        </w:rPr>
        <w:t xml:space="preserve">e </w:t>
      </w:r>
      <w:r>
        <w:rPr>
          <w:szCs w:val="24"/>
        </w:rPr>
        <w:t xml:space="preserve">use of outdated, excessive profits </w:t>
      </w:r>
      <w:r w:rsidRPr="00B012A9" w:rsidR="005D5BD4">
        <w:rPr>
          <w:szCs w:val="24"/>
        </w:rPr>
        <w:t xml:space="preserve">rate </w:t>
      </w:r>
      <w:r w:rsidR="005B07D1">
        <w:rPr>
          <w:szCs w:val="24"/>
        </w:rPr>
        <w:t xml:space="preserve">and cost of long-term debt </w:t>
      </w:r>
      <w:r w:rsidRPr="00B012A9" w:rsidR="005D5BD4">
        <w:rPr>
          <w:szCs w:val="24"/>
        </w:rPr>
        <w:t>has</w:t>
      </w:r>
      <w:r w:rsidRPr="00B012A9" w:rsidR="0088064C">
        <w:rPr>
          <w:szCs w:val="24"/>
        </w:rPr>
        <w:t xml:space="preserve"> no record support and was contrary to law. </w:t>
      </w:r>
    </w:p>
    <w:p w:rsidR="0042350A" w:rsidRPr="00B012A9" w:rsidP="0042350A" w14:paraId="53B7406D" w14:textId="06386B3D">
      <w:pPr>
        <w:kinsoku w:val="0"/>
        <w:overflowPunct w:val="0"/>
        <w:autoSpaceDE w:val="0"/>
        <w:autoSpaceDN w:val="0"/>
        <w:adjustRightInd w:val="0"/>
        <w:spacing w:line="480" w:lineRule="auto"/>
        <w:ind w:firstLine="720"/>
        <w:rPr>
          <w:szCs w:val="24"/>
        </w:rPr>
      </w:pPr>
      <w:r w:rsidRPr="00B012A9">
        <w:rPr>
          <w:szCs w:val="24"/>
        </w:rPr>
        <w:t>The Opinion and Order is unreasonable and unlawful</w:t>
      </w:r>
      <w:r w:rsidR="00031788">
        <w:rPr>
          <w:szCs w:val="24"/>
        </w:rPr>
        <w:t>.</w:t>
      </w:r>
      <w:r w:rsidRPr="00B012A9" w:rsidR="00E20EB4">
        <w:rPr>
          <w:szCs w:val="24"/>
        </w:rPr>
        <w:t xml:space="preserve"> </w:t>
      </w:r>
      <w:r w:rsidRPr="00B012A9">
        <w:rPr>
          <w:szCs w:val="24"/>
        </w:rPr>
        <w:t xml:space="preserve">Accordingly, under R.C. 4903.10, OCC applies for rehearing of the Order. </w:t>
      </w:r>
    </w:p>
    <w:p w:rsidR="0042350A" w:rsidRPr="00B012A9" w:rsidP="0042350A" w14:paraId="382F8072" w14:textId="77777777">
      <w:pPr>
        <w:kinsoku w:val="0"/>
        <w:overflowPunct w:val="0"/>
        <w:autoSpaceDE w:val="0"/>
        <w:autoSpaceDN w:val="0"/>
        <w:adjustRightInd w:val="0"/>
        <w:spacing w:line="480" w:lineRule="auto"/>
        <w:ind w:firstLine="720"/>
        <w:rPr>
          <w:szCs w:val="24"/>
        </w:rPr>
      </w:pPr>
      <w:r w:rsidRPr="00B012A9">
        <w:rPr>
          <w:szCs w:val="24"/>
        </w:rPr>
        <w:t xml:space="preserve">As explained more fully in the following memorandum in support, the PUCO’s Order was unlawful and unreasonable in the following respects: </w:t>
      </w:r>
    </w:p>
    <w:p w:rsidR="0042350A" w:rsidP="0042350A" w14:paraId="444DD794" w14:textId="52334F24">
      <w:pPr>
        <w:widowControl w:val="0"/>
        <w:ind w:left="720"/>
        <w:rPr>
          <w:szCs w:val="24"/>
        </w:rPr>
      </w:pPr>
      <w:bookmarkStart w:id="0" w:name="_Hlk98511697"/>
      <w:r w:rsidRPr="00B012A9">
        <w:rPr>
          <w:szCs w:val="24"/>
        </w:rPr>
        <w:t xml:space="preserve">ASSIGNMENT OF ERROR NO. 1: </w:t>
      </w:r>
      <w:bookmarkEnd w:id="0"/>
      <w:r w:rsidRPr="00B012A9">
        <w:rPr>
          <w:szCs w:val="24"/>
        </w:rPr>
        <w:t>The PUCO erred because it</w:t>
      </w:r>
      <w:r w:rsidR="00865360">
        <w:rPr>
          <w:szCs w:val="24"/>
        </w:rPr>
        <w:t xml:space="preserve"> failed to make a finding based on the record evidence that </w:t>
      </w:r>
      <w:r w:rsidRPr="00B012A9">
        <w:rPr>
          <w:szCs w:val="24"/>
        </w:rPr>
        <w:t>Dominion’s 13-year</w:t>
      </w:r>
      <w:r w:rsidRPr="00B012A9" w:rsidR="003C7D4D">
        <w:rPr>
          <w:szCs w:val="24"/>
        </w:rPr>
        <w:t>-</w:t>
      </w:r>
      <w:r w:rsidRPr="00B012A9">
        <w:rPr>
          <w:szCs w:val="24"/>
        </w:rPr>
        <w:t xml:space="preserve">old rate of return (including both return on equity and cost of debt) </w:t>
      </w:r>
      <w:r w:rsidR="009A09CC">
        <w:rPr>
          <w:szCs w:val="24"/>
        </w:rPr>
        <w:t>is</w:t>
      </w:r>
      <w:r w:rsidR="00865360">
        <w:rPr>
          <w:szCs w:val="24"/>
        </w:rPr>
        <w:t xml:space="preserve"> </w:t>
      </w:r>
      <w:r w:rsidRPr="00B012A9">
        <w:rPr>
          <w:szCs w:val="24"/>
        </w:rPr>
        <w:t>just and reasonable</w:t>
      </w:r>
      <w:r w:rsidR="00865360">
        <w:rPr>
          <w:szCs w:val="24"/>
        </w:rPr>
        <w:t>, thus violating</w:t>
      </w:r>
      <w:r w:rsidR="00604C2F">
        <w:rPr>
          <w:szCs w:val="24"/>
        </w:rPr>
        <w:t xml:space="preserve"> </w:t>
      </w:r>
      <w:r w:rsidRPr="00B012A9" w:rsidR="00373F1D">
        <w:rPr>
          <w:szCs w:val="24"/>
        </w:rPr>
        <w:t xml:space="preserve">R.C. 4905.22, </w:t>
      </w:r>
      <w:r w:rsidRPr="00B012A9">
        <w:rPr>
          <w:szCs w:val="24"/>
        </w:rPr>
        <w:t>R.C. 4929.05(A)(3) and R.C. 49</w:t>
      </w:r>
      <w:r w:rsidRPr="00B012A9" w:rsidR="003C7D4D">
        <w:rPr>
          <w:szCs w:val="24"/>
        </w:rPr>
        <w:t>09.18</w:t>
      </w:r>
      <w:r w:rsidR="00865360">
        <w:rPr>
          <w:szCs w:val="24"/>
        </w:rPr>
        <w:t>.</w:t>
      </w:r>
    </w:p>
    <w:p w:rsidR="00865360" w:rsidRPr="00B012A9" w:rsidP="0042350A" w14:paraId="77E97E23" w14:textId="77777777">
      <w:pPr>
        <w:widowControl w:val="0"/>
        <w:ind w:left="720"/>
        <w:rPr>
          <w:szCs w:val="24"/>
        </w:rPr>
      </w:pPr>
    </w:p>
    <w:p w:rsidR="0042350A" w:rsidRPr="00B012A9" w:rsidP="0042350A" w14:paraId="79541DA8" w14:textId="7C7B1512">
      <w:pPr>
        <w:widowControl w:val="0"/>
        <w:ind w:left="720"/>
        <w:rPr>
          <w:szCs w:val="24"/>
        </w:rPr>
      </w:pPr>
      <w:r w:rsidRPr="00B012A9">
        <w:rPr>
          <w:szCs w:val="24"/>
        </w:rPr>
        <w:t xml:space="preserve">ASSIGNMENT OF ERROR NO. 2: The PUCO erred by </w:t>
      </w:r>
      <w:r w:rsidR="00604C2F">
        <w:rPr>
          <w:szCs w:val="24"/>
        </w:rPr>
        <w:t xml:space="preserve">charging </w:t>
      </w:r>
      <w:r w:rsidR="00865360">
        <w:rPr>
          <w:szCs w:val="24"/>
        </w:rPr>
        <w:t xml:space="preserve">consumers </w:t>
      </w:r>
      <w:r w:rsidRPr="00B012A9" w:rsidR="00865360">
        <w:rPr>
          <w:szCs w:val="24"/>
        </w:rPr>
        <w:t>Dominion’s</w:t>
      </w:r>
      <w:r w:rsidRPr="00B012A9">
        <w:rPr>
          <w:szCs w:val="24"/>
        </w:rPr>
        <w:t xml:space="preserve"> </w:t>
      </w:r>
      <w:r w:rsidRPr="00B012A9" w:rsidR="003C7D4D">
        <w:rPr>
          <w:szCs w:val="24"/>
        </w:rPr>
        <w:t>13-year-old</w:t>
      </w:r>
      <w:r w:rsidRPr="00B012A9">
        <w:rPr>
          <w:szCs w:val="24"/>
        </w:rPr>
        <w:t xml:space="preserve"> rate of return (including both return on equity and cost of debt) </w:t>
      </w:r>
      <w:r w:rsidR="002D1023">
        <w:rPr>
          <w:szCs w:val="24"/>
        </w:rPr>
        <w:t>without record support</w:t>
      </w:r>
      <w:r w:rsidRPr="00B012A9">
        <w:rPr>
          <w:szCs w:val="24"/>
        </w:rPr>
        <w:t xml:space="preserve">. The PUCO thereby violated R.C. 4903.09 and </w:t>
      </w:r>
      <w:r w:rsidRPr="00B012A9">
        <w:rPr>
          <w:szCs w:val="24"/>
        </w:rPr>
        <w:t xml:space="preserve">binding Ohio Supreme Court precedent in </w:t>
      </w:r>
      <w:r w:rsidRPr="00B012A9">
        <w:rPr>
          <w:i/>
          <w:iCs/>
          <w:szCs w:val="24"/>
        </w:rPr>
        <w:t>Tongren</w:t>
      </w:r>
      <w:r w:rsidRPr="00B012A9">
        <w:rPr>
          <w:szCs w:val="24"/>
        </w:rPr>
        <w:t xml:space="preserve"> and </w:t>
      </w:r>
      <w:r w:rsidRPr="00B012A9">
        <w:rPr>
          <w:i/>
          <w:iCs/>
          <w:szCs w:val="24"/>
        </w:rPr>
        <w:t>Suvon</w:t>
      </w:r>
      <w:r w:rsidRPr="00B012A9">
        <w:rPr>
          <w:szCs w:val="24"/>
        </w:rPr>
        <w:t>,</w:t>
      </w:r>
      <w:r>
        <w:rPr>
          <w:rStyle w:val="FootnoteReference"/>
          <w:szCs w:val="24"/>
        </w:rPr>
        <w:footnoteReference w:id="3"/>
      </w:r>
      <w:r w:rsidRPr="00B012A9">
        <w:rPr>
          <w:szCs w:val="24"/>
        </w:rPr>
        <w:t xml:space="preserve"> resulting in an unreasonable and unlawful decision.</w:t>
      </w:r>
    </w:p>
    <w:p w:rsidR="0042350A" w:rsidRPr="00B012A9" w:rsidP="0042350A" w14:paraId="2B02AE84" w14:textId="77777777">
      <w:pPr>
        <w:widowControl w:val="0"/>
        <w:ind w:left="720"/>
        <w:rPr>
          <w:szCs w:val="24"/>
        </w:rPr>
      </w:pPr>
    </w:p>
    <w:p w:rsidR="0042350A" w:rsidP="005220D9" w14:paraId="20EDDACB" w14:textId="0220F4F3">
      <w:pPr>
        <w:widowControl w:val="0"/>
        <w:ind w:left="720"/>
        <w:rPr>
          <w:szCs w:val="24"/>
        </w:rPr>
      </w:pPr>
      <w:r>
        <w:rPr>
          <w:szCs w:val="24"/>
        </w:rPr>
        <w:t xml:space="preserve">ASSIGNMENT OF ERROR NO. 3: </w:t>
      </w:r>
      <w:r w:rsidRPr="00B012A9" w:rsidR="00D134C8">
        <w:rPr>
          <w:szCs w:val="24"/>
        </w:rPr>
        <w:t xml:space="preserve">The PUCO erred by </w:t>
      </w:r>
      <w:r>
        <w:rPr>
          <w:szCs w:val="24"/>
        </w:rPr>
        <w:t xml:space="preserve">relying on “precedent” </w:t>
      </w:r>
      <w:r w:rsidR="006C7C65">
        <w:rPr>
          <w:szCs w:val="24"/>
        </w:rPr>
        <w:t xml:space="preserve">instead of its obligation to take into account changes in facts and circumstances in approving </w:t>
      </w:r>
      <w:r>
        <w:rPr>
          <w:szCs w:val="24"/>
        </w:rPr>
        <w:t>Dominion’s charges to consumers</w:t>
      </w:r>
      <w:r w:rsidR="008C7F2E">
        <w:rPr>
          <w:szCs w:val="24"/>
        </w:rPr>
        <w:t xml:space="preserve"> </w:t>
      </w:r>
      <w:r>
        <w:rPr>
          <w:szCs w:val="24"/>
        </w:rPr>
        <w:t>embedded with a</w:t>
      </w:r>
      <w:r w:rsidR="008C7F2E">
        <w:rPr>
          <w:szCs w:val="24"/>
        </w:rPr>
        <w:t>n inflated</w:t>
      </w:r>
      <w:r>
        <w:rPr>
          <w:szCs w:val="24"/>
        </w:rPr>
        <w:t xml:space="preserve"> 13-year-old rate of return </w:t>
      </w:r>
      <w:r w:rsidR="009A09CC">
        <w:rPr>
          <w:szCs w:val="24"/>
        </w:rPr>
        <w:t xml:space="preserve">and </w:t>
      </w:r>
      <w:r>
        <w:rPr>
          <w:szCs w:val="24"/>
        </w:rPr>
        <w:t xml:space="preserve">instead of evaluating the </w:t>
      </w:r>
      <w:r w:rsidR="009A09CC">
        <w:rPr>
          <w:szCs w:val="24"/>
        </w:rPr>
        <w:t>application</w:t>
      </w:r>
      <w:r w:rsidR="0081698E">
        <w:rPr>
          <w:szCs w:val="24"/>
        </w:rPr>
        <w:t xml:space="preserve"> </w:t>
      </w:r>
      <w:r>
        <w:rPr>
          <w:szCs w:val="24"/>
        </w:rPr>
        <w:t>un</w:t>
      </w:r>
      <w:r w:rsidR="00A70E20">
        <w:rPr>
          <w:szCs w:val="24"/>
        </w:rPr>
        <w:t>der applicable Ohio law</w:t>
      </w:r>
      <w:r w:rsidR="0081698E">
        <w:rPr>
          <w:szCs w:val="24"/>
        </w:rPr>
        <w:t xml:space="preserve"> (</w:t>
      </w:r>
      <w:r w:rsidR="00A70E20">
        <w:rPr>
          <w:szCs w:val="24"/>
        </w:rPr>
        <w:t>R.C. 4929.05(A)(3); 4905.22 and 4909.18</w:t>
      </w:r>
      <w:r w:rsidR="0081698E">
        <w:rPr>
          <w:szCs w:val="24"/>
        </w:rPr>
        <w:t>)</w:t>
      </w:r>
      <w:r w:rsidR="00A70E20">
        <w:rPr>
          <w:szCs w:val="24"/>
        </w:rPr>
        <w:t>, resulting in an unreasonable and unlawful decision.</w:t>
      </w:r>
    </w:p>
    <w:p w:rsidR="0042350A" w:rsidRPr="00B012A9" w:rsidP="0042350A" w14:paraId="5FEF533E" w14:textId="77777777">
      <w:pPr>
        <w:widowControl w:val="0"/>
        <w:ind w:left="720"/>
        <w:rPr>
          <w:szCs w:val="24"/>
        </w:rPr>
      </w:pPr>
    </w:p>
    <w:p w:rsidR="0042350A" w:rsidP="00A70E20" w14:paraId="7B5965E2" w14:textId="4FD91B76">
      <w:pPr>
        <w:widowControl w:val="0"/>
        <w:ind w:left="720"/>
        <w:rPr>
          <w:szCs w:val="24"/>
        </w:rPr>
      </w:pPr>
      <w:r w:rsidRPr="00B012A9">
        <w:rPr>
          <w:szCs w:val="24"/>
        </w:rPr>
        <w:t xml:space="preserve">ASSIGNMENT OF ERROR NO. 4: The PUCO erred by </w:t>
      </w:r>
      <w:r w:rsidRPr="00B012A9" w:rsidR="00865360">
        <w:rPr>
          <w:szCs w:val="24"/>
        </w:rPr>
        <w:t>approving</w:t>
      </w:r>
      <w:r w:rsidR="00865360">
        <w:rPr>
          <w:szCs w:val="24"/>
        </w:rPr>
        <w:t xml:space="preserve"> the</w:t>
      </w:r>
      <w:r w:rsidR="003F590D">
        <w:rPr>
          <w:szCs w:val="24"/>
        </w:rPr>
        <w:t xml:space="preserve"> use of </w:t>
      </w:r>
      <w:r w:rsidR="00A70E20">
        <w:rPr>
          <w:szCs w:val="24"/>
        </w:rPr>
        <w:t xml:space="preserve">an outdated rate of return justified by </w:t>
      </w:r>
      <w:r w:rsidR="00DC0F6A">
        <w:rPr>
          <w:szCs w:val="24"/>
        </w:rPr>
        <w:t>administrative</w:t>
      </w:r>
      <w:r w:rsidR="00A70E20">
        <w:rPr>
          <w:szCs w:val="24"/>
        </w:rPr>
        <w:t xml:space="preserve"> efficiency instead of evaluating the program under applicable Ohio law, R.C. 4929.05(A)(3), 4905.22 and 4909.18</w:t>
      </w:r>
      <w:r w:rsidR="0073069E">
        <w:rPr>
          <w:szCs w:val="24"/>
        </w:rPr>
        <w:t>,</w:t>
      </w:r>
      <w:r w:rsidR="00A70E20">
        <w:rPr>
          <w:szCs w:val="24"/>
        </w:rPr>
        <w:t xml:space="preserve"> resulting in an unreasonable and unlawful decision.</w:t>
      </w:r>
    </w:p>
    <w:p w:rsidR="0073069E" w:rsidP="00A70E20" w14:paraId="2D96F346" w14:textId="12FFA16B">
      <w:pPr>
        <w:widowControl w:val="0"/>
        <w:ind w:left="720"/>
        <w:rPr>
          <w:szCs w:val="24"/>
        </w:rPr>
      </w:pPr>
    </w:p>
    <w:p w:rsidR="0073069E" w:rsidRPr="002544C1" w:rsidP="00D93B21" w14:paraId="7E692174" w14:textId="080F37A4">
      <w:pPr>
        <w:widowControl w:val="0"/>
        <w:ind w:left="720"/>
        <w:rPr>
          <w:rStyle w:val="Heading2Char"/>
        </w:rPr>
      </w:pPr>
      <w:r w:rsidRPr="002544C1">
        <w:t xml:space="preserve">ASSIGNMENT OF ERROR NO. 5: The PUCO’s Order was unreasonable because it used the potential for an increase in the cost of capital as </w:t>
      </w:r>
      <w:r w:rsidRPr="002544C1" w:rsidR="0067472B">
        <w:t>a</w:t>
      </w:r>
      <w:r w:rsidRPr="002544C1">
        <w:t xml:space="preserve"> </w:t>
      </w:r>
      <w:r w:rsidR="0081698E">
        <w:t>reason</w:t>
      </w:r>
      <w:r w:rsidRPr="002544C1">
        <w:t xml:space="preserve"> to not apply Dominion’s current and actual cost of capital components in setting the PIR charges</w:t>
      </w:r>
      <w:r w:rsidRPr="002544C1">
        <w:rPr>
          <w:rStyle w:val="Heading2Char"/>
        </w:rPr>
        <w:t>.</w:t>
      </w:r>
    </w:p>
    <w:p w:rsidR="0073069E" w:rsidP="0073069E" w14:paraId="2235638B" w14:textId="77777777"/>
    <w:p w:rsidR="0042350A" w:rsidRPr="00B012A9" w:rsidP="00160662" w14:paraId="17519B36" w14:textId="77D4722E">
      <w:pPr>
        <w:ind w:left="3600" w:firstLine="270"/>
        <w:rPr>
          <w:szCs w:val="24"/>
        </w:rPr>
      </w:pPr>
      <w:r>
        <w:rPr>
          <w:szCs w:val="24"/>
        </w:rPr>
        <w:t>R</w:t>
      </w:r>
      <w:r w:rsidRPr="00B012A9" w:rsidR="00D134C8">
        <w:rPr>
          <w:szCs w:val="24"/>
        </w:rPr>
        <w:t>espectfully submitted,</w:t>
      </w:r>
    </w:p>
    <w:p w:rsidR="0042350A" w:rsidRPr="00B012A9" w:rsidP="0042350A" w14:paraId="30BC294E" w14:textId="77777777">
      <w:pPr>
        <w:widowControl w:val="0"/>
        <w:ind w:left="3600"/>
        <w:rPr>
          <w:szCs w:val="24"/>
        </w:rPr>
      </w:pPr>
    </w:p>
    <w:p w:rsidR="00160662" w:rsidRPr="00B012A9" w:rsidP="00160662" w14:paraId="1DCA255E" w14:textId="77777777">
      <w:pPr>
        <w:pStyle w:val="Footer"/>
        <w:tabs>
          <w:tab w:val="left" w:pos="4320"/>
          <w:tab w:val="clear" w:pos="8640"/>
        </w:tabs>
        <w:ind w:firstLine="3870"/>
        <w:rPr>
          <w:sz w:val="24"/>
          <w:szCs w:val="24"/>
        </w:rPr>
      </w:pPr>
      <w:r w:rsidRPr="00B012A9">
        <w:rPr>
          <w:sz w:val="24"/>
          <w:szCs w:val="24"/>
        </w:rPr>
        <w:t>Bruce Weston (0016973)</w:t>
      </w:r>
    </w:p>
    <w:p w:rsidR="00160662" w:rsidRPr="00B012A9" w:rsidP="00160662" w14:paraId="6F08451D" w14:textId="77777777">
      <w:pPr>
        <w:tabs>
          <w:tab w:val="left" w:pos="4320"/>
        </w:tabs>
        <w:ind w:firstLine="3870"/>
        <w:rPr>
          <w:szCs w:val="24"/>
        </w:rPr>
      </w:pPr>
      <w:r w:rsidRPr="00B012A9">
        <w:rPr>
          <w:szCs w:val="24"/>
        </w:rPr>
        <w:t>Ohio Consumers’ Counsel</w:t>
      </w:r>
    </w:p>
    <w:p w:rsidR="00160662" w:rsidRPr="00B012A9" w:rsidP="00160662" w14:paraId="2B504BB1" w14:textId="77777777">
      <w:pPr>
        <w:tabs>
          <w:tab w:val="left" w:pos="4320"/>
        </w:tabs>
        <w:ind w:firstLine="3870"/>
        <w:rPr>
          <w:szCs w:val="24"/>
        </w:rPr>
      </w:pPr>
      <w:r w:rsidRPr="00B012A9">
        <w:rPr>
          <w:szCs w:val="24"/>
        </w:rPr>
        <w:tab/>
      </w:r>
    </w:p>
    <w:p w:rsidR="004401DA" w:rsidRPr="004401DA" w:rsidP="00160662" w14:paraId="78F9B8F3" w14:textId="77215550">
      <w:pPr>
        <w:tabs>
          <w:tab w:val="left" w:pos="4320"/>
        </w:tabs>
        <w:ind w:firstLine="3870"/>
        <w:rPr>
          <w:i/>
          <w:iCs/>
          <w:szCs w:val="24"/>
          <w:u w:val="single"/>
        </w:rPr>
      </w:pPr>
      <w:r>
        <w:rPr>
          <w:i/>
          <w:iCs/>
          <w:szCs w:val="24"/>
          <w:u w:val="single"/>
        </w:rPr>
        <w:t>/s/ Amy Botschner O’Brien</w:t>
      </w:r>
      <w:r>
        <w:rPr>
          <w:i/>
          <w:iCs/>
          <w:szCs w:val="24"/>
          <w:u w:val="single"/>
        </w:rPr>
        <w:tab/>
      </w:r>
      <w:r>
        <w:rPr>
          <w:i/>
          <w:iCs/>
          <w:szCs w:val="24"/>
          <w:u w:val="single"/>
        </w:rPr>
        <w:tab/>
      </w:r>
    </w:p>
    <w:p w:rsidR="00160662" w:rsidRPr="00B012A9" w:rsidP="00160662" w14:paraId="42749D57" w14:textId="121676CF">
      <w:pPr>
        <w:tabs>
          <w:tab w:val="left" w:pos="4320"/>
        </w:tabs>
        <w:ind w:firstLine="3870"/>
        <w:rPr>
          <w:szCs w:val="24"/>
        </w:rPr>
      </w:pPr>
      <w:r w:rsidRPr="00B012A9">
        <w:rPr>
          <w:szCs w:val="24"/>
        </w:rPr>
        <w:t>Amy Botschner O’Brien (</w:t>
      </w:r>
      <w:r w:rsidR="009910CC">
        <w:rPr>
          <w:szCs w:val="24"/>
        </w:rPr>
        <w:t>0074423</w:t>
      </w:r>
      <w:r w:rsidRPr="00B012A9">
        <w:rPr>
          <w:szCs w:val="24"/>
        </w:rPr>
        <w:t>)</w:t>
      </w:r>
    </w:p>
    <w:p w:rsidR="00160662" w:rsidRPr="00B012A9" w:rsidP="00160662" w14:paraId="0EC4FCDB" w14:textId="77777777">
      <w:pPr>
        <w:tabs>
          <w:tab w:val="left" w:pos="4320"/>
        </w:tabs>
        <w:ind w:firstLine="3870"/>
        <w:rPr>
          <w:szCs w:val="24"/>
        </w:rPr>
      </w:pPr>
      <w:r w:rsidRPr="00B012A9">
        <w:rPr>
          <w:szCs w:val="24"/>
        </w:rPr>
        <w:t>Counsel of Record</w:t>
      </w:r>
    </w:p>
    <w:p w:rsidR="00160662" w:rsidRPr="00B012A9" w:rsidP="00160662" w14:paraId="362526C4" w14:textId="77777777">
      <w:pPr>
        <w:tabs>
          <w:tab w:val="left" w:pos="4320"/>
        </w:tabs>
        <w:ind w:firstLine="3870"/>
        <w:rPr>
          <w:szCs w:val="24"/>
        </w:rPr>
      </w:pPr>
      <w:r w:rsidRPr="00B012A9">
        <w:rPr>
          <w:szCs w:val="24"/>
        </w:rPr>
        <w:t>Ambrosia E. Wilson (0096598)</w:t>
      </w:r>
    </w:p>
    <w:p w:rsidR="00160662" w:rsidRPr="00B012A9" w:rsidP="00160662" w14:paraId="4A4CF270" w14:textId="77777777">
      <w:pPr>
        <w:tabs>
          <w:tab w:val="left" w:pos="4320"/>
        </w:tabs>
        <w:ind w:firstLine="3870"/>
        <w:rPr>
          <w:szCs w:val="24"/>
        </w:rPr>
      </w:pPr>
      <w:r w:rsidRPr="00B012A9">
        <w:rPr>
          <w:szCs w:val="24"/>
        </w:rPr>
        <w:t>Assistant Consumers’ Counsel</w:t>
      </w:r>
    </w:p>
    <w:p w:rsidR="00160662" w:rsidRPr="00B012A9" w:rsidP="00160662" w14:paraId="04FD863D" w14:textId="77777777">
      <w:pPr>
        <w:ind w:firstLine="3870"/>
        <w:rPr>
          <w:szCs w:val="24"/>
        </w:rPr>
      </w:pPr>
      <w:r w:rsidRPr="00B012A9">
        <w:rPr>
          <w:szCs w:val="24"/>
        </w:rPr>
        <w:tab/>
      </w:r>
    </w:p>
    <w:p w:rsidR="00160662" w:rsidRPr="00B012A9" w:rsidP="00160662" w14:paraId="0D137395" w14:textId="77777777">
      <w:pPr>
        <w:ind w:firstLine="3870"/>
        <w:rPr>
          <w:b/>
          <w:bCs/>
          <w:szCs w:val="24"/>
        </w:rPr>
      </w:pPr>
      <w:r w:rsidRPr="00B012A9">
        <w:rPr>
          <w:b/>
          <w:bCs/>
          <w:szCs w:val="24"/>
        </w:rPr>
        <w:t>Office of the Ohio Consumers’ Counsel</w:t>
      </w:r>
    </w:p>
    <w:p w:rsidR="00160662" w:rsidRPr="00B012A9" w:rsidP="00160662" w14:paraId="3E45CF0E" w14:textId="77777777">
      <w:pPr>
        <w:ind w:firstLine="3870"/>
        <w:rPr>
          <w:b/>
          <w:szCs w:val="24"/>
        </w:rPr>
      </w:pPr>
      <w:r w:rsidRPr="00B012A9">
        <w:rPr>
          <w:szCs w:val="24"/>
        </w:rPr>
        <w:t>65 East State Street, Suite 700</w:t>
      </w:r>
    </w:p>
    <w:p w:rsidR="00160662" w:rsidRPr="00B012A9" w:rsidP="00160662" w14:paraId="17252135" w14:textId="77777777">
      <w:pPr>
        <w:ind w:firstLine="3870"/>
        <w:rPr>
          <w:b/>
          <w:szCs w:val="24"/>
        </w:rPr>
      </w:pPr>
      <w:r w:rsidRPr="00B012A9">
        <w:rPr>
          <w:szCs w:val="24"/>
        </w:rPr>
        <w:t>Columbus, Ohio 43215</w:t>
      </w:r>
    </w:p>
    <w:p w:rsidR="00160662" w:rsidP="00160662" w14:paraId="0677AEEC" w14:textId="77777777">
      <w:pPr>
        <w:tabs>
          <w:tab w:val="left" w:pos="3690"/>
        </w:tabs>
        <w:autoSpaceDE w:val="0"/>
        <w:autoSpaceDN w:val="0"/>
        <w:adjustRightInd w:val="0"/>
        <w:ind w:left="3870"/>
        <w:rPr>
          <w:szCs w:val="24"/>
        </w:rPr>
      </w:pPr>
      <w:r w:rsidRPr="00B012A9">
        <w:rPr>
          <w:szCs w:val="24"/>
        </w:rPr>
        <w:t>Telephone [Botschner O’Brien]: (614) 466-9575</w:t>
      </w:r>
    </w:p>
    <w:p w:rsidR="00160662" w:rsidRPr="00B012A9" w:rsidP="00160662" w14:paraId="387E3DD8" w14:textId="77777777">
      <w:pPr>
        <w:tabs>
          <w:tab w:val="left" w:pos="3690"/>
        </w:tabs>
        <w:autoSpaceDE w:val="0"/>
        <w:autoSpaceDN w:val="0"/>
        <w:adjustRightInd w:val="0"/>
        <w:ind w:left="3870"/>
        <w:rPr>
          <w:szCs w:val="24"/>
        </w:rPr>
      </w:pPr>
      <w:r w:rsidRPr="00B012A9">
        <w:rPr>
          <w:szCs w:val="24"/>
        </w:rPr>
        <w:t>Telephone [Wilson]: (614) 466-1292</w:t>
      </w:r>
    </w:p>
    <w:p w:rsidR="00160662" w:rsidRPr="00B012A9" w:rsidP="00160662" w14:paraId="5E176474" w14:textId="77777777">
      <w:pPr>
        <w:ind w:firstLine="3870"/>
        <w:rPr>
          <w:szCs w:val="24"/>
        </w:rPr>
      </w:pPr>
      <w:hyperlink r:id="rId6" w:history="1">
        <w:r w:rsidRPr="000E0E6E" w:rsidR="009C22D1">
          <w:rPr>
            <w:rStyle w:val="Hyperlink"/>
            <w:szCs w:val="24"/>
          </w:rPr>
          <w:t>amy.botschner.obrien@occ.ohio.gov</w:t>
        </w:r>
      </w:hyperlink>
    </w:p>
    <w:p w:rsidR="00160662" w:rsidRPr="00B012A9" w:rsidP="00160662" w14:paraId="42759FF1" w14:textId="77777777">
      <w:pPr>
        <w:ind w:firstLine="3870"/>
        <w:rPr>
          <w:szCs w:val="24"/>
        </w:rPr>
      </w:pPr>
      <w:hyperlink r:id="rId7" w:history="1">
        <w:r w:rsidRPr="000E0E6E" w:rsidR="009C22D1">
          <w:rPr>
            <w:rStyle w:val="Hyperlink"/>
            <w:szCs w:val="24"/>
          </w:rPr>
          <w:t>ambrosia.wilson@occ.ohio.gov</w:t>
        </w:r>
      </w:hyperlink>
    </w:p>
    <w:p w:rsidR="00160662" w:rsidRPr="00B012A9" w:rsidP="00160662" w14:paraId="3585A64F" w14:textId="7C9CD643">
      <w:pPr>
        <w:ind w:left="3870"/>
        <w:rPr>
          <w:szCs w:val="24"/>
        </w:rPr>
        <w:sectPr w:rsidSect="00732F30">
          <w:footerReference w:type="default" r:id="rId10"/>
          <w:footerReference w:type="first" r:id="rId11"/>
          <w:pgSz w:w="12240" w:h="15840"/>
          <w:pgMar w:top="1440" w:right="1800" w:bottom="1440" w:left="1800" w:header="720" w:footer="720" w:gutter="0"/>
          <w:pgNumType w:start="1"/>
          <w:cols w:space="720"/>
          <w:titlePg/>
          <w:docGrid w:linePitch="326"/>
        </w:sectPr>
      </w:pPr>
      <w:r w:rsidRPr="00B012A9">
        <w:rPr>
          <w:szCs w:val="24"/>
        </w:rPr>
        <w:t>(willing to accept service by email)</w:t>
      </w:r>
    </w:p>
    <w:p w:rsidR="00453ABC" w:rsidRPr="00B012A9" w:rsidP="00453ABC" w14:paraId="6BF379BF" w14:textId="77777777">
      <w:pPr>
        <w:jc w:val="center"/>
        <w:rPr>
          <w:b/>
          <w:bCs/>
          <w:szCs w:val="24"/>
          <w:u w:val="single"/>
        </w:rPr>
      </w:pPr>
      <w:r w:rsidRPr="00B012A9">
        <w:rPr>
          <w:b/>
          <w:bCs/>
          <w:szCs w:val="24"/>
          <w:u w:val="single"/>
        </w:rPr>
        <w:t>TABLE OF CONTENTS</w:t>
      </w:r>
    </w:p>
    <w:p w:rsidR="00453ABC" w:rsidP="00453ABC" w14:paraId="769276B1" w14:textId="14C28534">
      <w:pPr>
        <w:tabs>
          <w:tab w:val="left" w:pos="4320"/>
        </w:tabs>
        <w:jc w:val="right"/>
        <w:rPr>
          <w:b/>
          <w:bCs/>
          <w:szCs w:val="24"/>
        </w:rPr>
      </w:pPr>
      <w:r w:rsidRPr="00B012A9">
        <w:rPr>
          <w:b/>
          <w:bCs/>
          <w:szCs w:val="24"/>
        </w:rPr>
        <w:t>PAGE</w:t>
      </w:r>
    </w:p>
    <w:p w:rsidR="00E018CC" w:rsidRPr="00B012A9" w:rsidP="00453ABC" w14:paraId="057CCCD3" w14:textId="77777777">
      <w:pPr>
        <w:tabs>
          <w:tab w:val="left" w:pos="4320"/>
        </w:tabs>
        <w:jc w:val="right"/>
        <w:rPr>
          <w:b/>
          <w:bCs/>
          <w:szCs w:val="24"/>
        </w:rPr>
      </w:pPr>
    </w:p>
    <w:p w:rsidR="00EF4A38" w14:paraId="1BA7DCC2" w14:textId="270ED216">
      <w:pPr>
        <w:pStyle w:val="TOC1"/>
        <w:rPr>
          <w:rFonts w:asciiTheme="minorHAnsi" w:eastAsiaTheme="minorEastAsia" w:hAnsiTheme="minorHAnsi" w:cstheme="minorBidi"/>
          <w:noProof/>
          <w:sz w:val="22"/>
          <w:szCs w:val="22"/>
        </w:rPr>
      </w:pPr>
      <w:r>
        <w:rPr>
          <w:szCs w:val="24"/>
        </w:rPr>
        <w:fldChar w:fldCharType="begin"/>
      </w:r>
      <w:r>
        <w:rPr>
          <w:szCs w:val="24"/>
        </w:rPr>
        <w:instrText xml:space="preserve"> TOC \o "1-3" \h \z \u </w:instrText>
      </w:r>
      <w:r>
        <w:rPr>
          <w:szCs w:val="24"/>
        </w:rPr>
        <w:fldChar w:fldCharType="separate"/>
      </w:r>
      <w:hyperlink w:anchor="_Toc107583682" w:history="1">
        <w:r w:rsidRPr="009427D7">
          <w:rPr>
            <w:rStyle w:val="Hyperlink"/>
            <w:noProof/>
          </w:rPr>
          <w:t>I.</w:t>
        </w:r>
        <w:r>
          <w:rPr>
            <w:rFonts w:asciiTheme="minorHAnsi" w:eastAsiaTheme="minorEastAsia" w:hAnsiTheme="minorHAnsi" w:cstheme="minorBidi"/>
            <w:noProof/>
            <w:sz w:val="22"/>
            <w:szCs w:val="22"/>
          </w:rPr>
          <w:tab/>
        </w:r>
        <w:r w:rsidRPr="009427D7">
          <w:rPr>
            <w:rStyle w:val="Hyperlink"/>
            <w:noProof/>
          </w:rPr>
          <w:t>INTRODUCTION</w:t>
        </w:r>
        <w:r>
          <w:rPr>
            <w:noProof/>
            <w:webHidden/>
          </w:rPr>
          <w:tab/>
        </w:r>
        <w:r>
          <w:rPr>
            <w:noProof/>
            <w:webHidden/>
          </w:rPr>
          <w:fldChar w:fldCharType="begin"/>
        </w:r>
        <w:r>
          <w:rPr>
            <w:noProof/>
            <w:webHidden/>
          </w:rPr>
          <w:instrText xml:space="preserve"> PAGEREF _Toc107583682 \h </w:instrText>
        </w:r>
        <w:r>
          <w:rPr>
            <w:noProof/>
            <w:webHidden/>
          </w:rPr>
          <w:fldChar w:fldCharType="separate"/>
        </w:r>
        <w:r>
          <w:rPr>
            <w:noProof/>
            <w:webHidden/>
          </w:rPr>
          <w:t>1</w:t>
        </w:r>
        <w:r>
          <w:rPr>
            <w:noProof/>
            <w:webHidden/>
          </w:rPr>
          <w:fldChar w:fldCharType="end"/>
        </w:r>
      </w:hyperlink>
    </w:p>
    <w:p w:rsidR="00EF4A38" w14:paraId="11CCC92F" w14:textId="5B3C097F">
      <w:pPr>
        <w:pStyle w:val="TOC1"/>
        <w:rPr>
          <w:rFonts w:asciiTheme="minorHAnsi" w:eastAsiaTheme="minorEastAsia" w:hAnsiTheme="minorHAnsi" w:cstheme="minorBidi"/>
          <w:noProof/>
          <w:sz w:val="22"/>
          <w:szCs w:val="22"/>
        </w:rPr>
      </w:pPr>
      <w:hyperlink w:anchor="_Toc107583683" w:history="1">
        <w:r w:rsidRPr="009427D7" w:rsidR="00DA4C5B">
          <w:rPr>
            <w:rStyle w:val="Hyperlink"/>
            <w:noProof/>
          </w:rPr>
          <w:t>II.</w:t>
        </w:r>
        <w:r w:rsidR="00DA4C5B">
          <w:rPr>
            <w:rFonts w:asciiTheme="minorHAnsi" w:eastAsiaTheme="minorEastAsia" w:hAnsiTheme="minorHAnsi" w:cstheme="minorBidi"/>
            <w:noProof/>
            <w:sz w:val="22"/>
            <w:szCs w:val="22"/>
          </w:rPr>
          <w:tab/>
        </w:r>
        <w:r w:rsidRPr="009427D7" w:rsidR="00DA4C5B">
          <w:rPr>
            <w:rStyle w:val="Hyperlink"/>
            <w:noProof/>
          </w:rPr>
          <w:t>MATTERS FOR CONSIDERATION</w:t>
        </w:r>
        <w:r w:rsidR="00DA4C5B">
          <w:rPr>
            <w:noProof/>
            <w:webHidden/>
          </w:rPr>
          <w:tab/>
        </w:r>
        <w:r w:rsidR="00DA4C5B">
          <w:rPr>
            <w:noProof/>
            <w:webHidden/>
          </w:rPr>
          <w:fldChar w:fldCharType="begin"/>
        </w:r>
        <w:r w:rsidR="00DA4C5B">
          <w:rPr>
            <w:noProof/>
            <w:webHidden/>
          </w:rPr>
          <w:instrText xml:space="preserve"> PAGEREF _Toc107583683 \h </w:instrText>
        </w:r>
        <w:r w:rsidR="00DA4C5B">
          <w:rPr>
            <w:noProof/>
            <w:webHidden/>
          </w:rPr>
          <w:fldChar w:fldCharType="separate"/>
        </w:r>
        <w:r w:rsidR="00DA4C5B">
          <w:rPr>
            <w:noProof/>
            <w:webHidden/>
          </w:rPr>
          <w:t>2</w:t>
        </w:r>
        <w:r w:rsidR="00DA4C5B">
          <w:rPr>
            <w:noProof/>
            <w:webHidden/>
          </w:rPr>
          <w:fldChar w:fldCharType="end"/>
        </w:r>
      </w:hyperlink>
    </w:p>
    <w:p w:rsidR="00EF4A38" w14:paraId="784EC738" w14:textId="1B59BCD8">
      <w:pPr>
        <w:pStyle w:val="TOC2"/>
        <w:rPr>
          <w:rFonts w:asciiTheme="minorHAnsi" w:eastAsiaTheme="minorEastAsia" w:hAnsiTheme="minorHAnsi" w:cstheme="minorBidi"/>
          <w:noProof/>
          <w:sz w:val="22"/>
          <w:szCs w:val="22"/>
        </w:rPr>
      </w:pPr>
      <w:hyperlink w:anchor="_Toc107583684" w:history="1">
        <w:r w:rsidRPr="009427D7" w:rsidR="00DA4C5B">
          <w:rPr>
            <w:rStyle w:val="Hyperlink"/>
            <w:noProof/>
          </w:rPr>
          <w:t>A.</w:t>
        </w:r>
        <w:r w:rsidR="00DA4C5B">
          <w:rPr>
            <w:rFonts w:asciiTheme="minorHAnsi" w:eastAsiaTheme="minorEastAsia" w:hAnsiTheme="minorHAnsi" w:cstheme="minorBidi"/>
            <w:noProof/>
            <w:sz w:val="22"/>
            <w:szCs w:val="22"/>
          </w:rPr>
          <w:tab/>
        </w:r>
        <w:r w:rsidRPr="009427D7" w:rsidR="00DA4C5B">
          <w:rPr>
            <w:rStyle w:val="Hyperlink"/>
            <w:noProof/>
          </w:rPr>
          <w:t xml:space="preserve">ASSIGNMENT OF ERROR NO. 1: The PUCO erred because it </w:t>
        </w:r>
        <w:r w:rsidR="00DA4C5B">
          <w:rPr>
            <w:rStyle w:val="Hyperlink"/>
            <w:noProof/>
          </w:rPr>
          <w:br/>
        </w:r>
        <w:r w:rsidRPr="009427D7" w:rsidR="00DA4C5B">
          <w:rPr>
            <w:rStyle w:val="Hyperlink"/>
            <w:noProof/>
          </w:rPr>
          <w:t xml:space="preserve">failed to make a finding based on the record evidence that Dominion’s </w:t>
        </w:r>
        <w:r w:rsidR="00DA4C5B">
          <w:rPr>
            <w:rStyle w:val="Hyperlink"/>
            <w:noProof/>
          </w:rPr>
          <w:br/>
        </w:r>
        <w:r w:rsidRPr="009427D7" w:rsidR="00DA4C5B">
          <w:rPr>
            <w:rStyle w:val="Hyperlink"/>
            <w:noProof/>
          </w:rPr>
          <w:t>13-year-old rate of return (including both return on equity and cost of debt) is just and reasonable, thus violating R.C. 4905.22, R.C. 4929.05(A)(3) and R.C. 4909.18.</w:t>
        </w:r>
        <w:r w:rsidR="00DA4C5B">
          <w:rPr>
            <w:noProof/>
            <w:webHidden/>
          </w:rPr>
          <w:tab/>
        </w:r>
        <w:r w:rsidR="00DA4C5B">
          <w:rPr>
            <w:noProof/>
            <w:webHidden/>
          </w:rPr>
          <w:fldChar w:fldCharType="begin"/>
        </w:r>
        <w:r w:rsidR="00DA4C5B">
          <w:rPr>
            <w:noProof/>
            <w:webHidden/>
          </w:rPr>
          <w:instrText xml:space="preserve"> PAGEREF _Toc107583684 \h </w:instrText>
        </w:r>
        <w:r w:rsidR="00DA4C5B">
          <w:rPr>
            <w:noProof/>
            <w:webHidden/>
          </w:rPr>
          <w:fldChar w:fldCharType="separate"/>
        </w:r>
        <w:r w:rsidR="00DA4C5B">
          <w:rPr>
            <w:noProof/>
            <w:webHidden/>
          </w:rPr>
          <w:t>2</w:t>
        </w:r>
        <w:r w:rsidR="00DA4C5B">
          <w:rPr>
            <w:noProof/>
            <w:webHidden/>
          </w:rPr>
          <w:fldChar w:fldCharType="end"/>
        </w:r>
      </w:hyperlink>
    </w:p>
    <w:p w:rsidR="00EF4A38" w14:paraId="013DA390" w14:textId="2B987915">
      <w:pPr>
        <w:pStyle w:val="TOC2"/>
        <w:rPr>
          <w:rFonts w:asciiTheme="minorHAnsi" w:eastAsiaTheme="minorEastAsia" w:hAnsiTheme="minorHAnsi" w:cstheme="minorBidi"/>
          <w:noProof/>
          <w:sz w:val="22"/>
          <w:szCs w:val="22"/>
        </w:rPr>
      </w:pPr>
      <w:hyperlink w:anchor="_Toc107583685" w:history="1">
        <w:r w:rsidRPr="009427D7" w:rsidR="00DA4C5B">
          <w:rPr>
            <w:rStyle w:val="Hyperlink"/>
            <w:noProof/>
          </w:rPr>
          <w:t>B.</w:t>
        </w:r>
        <w:r w:rsidR="00DA4C5B">
          <w:rPr>
            <w:rFonts w:asciiTheme="minorHAnsi" w:eastAsiaTheme="minorEastAsia" w:hAnsiTheme="minorHAnsi" w:cstheme="minorBidi"/>
            <w:noProof/>
            <w:sz w:val="22"/>
            <w:szCs w:val="22"/>
          </w:rPr>
          <w:tab/>
        </w:r>
        <w:r w:rsidRPr="009427D7" w:rsidR="00DA4C5B">
          <w:rPr>
            <w:rStyle w:val="Hyperlink"/>
            <w:noProof/>
          </w:rPr>
          <w:t xml:space="preserve">ASSIGNMENT OF ERROR NO. 2: The PUCO erred by charging consumers Dominion’s 13-year-old rate of return (including both </w:t>
        </w:r>
        <w:r w:rsidR="00DA4C5B">
          <w:rPr>
            <w:rStyle w:val="Hyperlink"/>
            <w:noProof/>
          </w:rPr>
          <w:br/>
        </w:r>
        <w:r w:rsidRPr="009427D7" w:rsidR="00DA4C5B">
          <w:rPr>
            <w:rStyle w:val="Hyperlink"/>
            <w:noProof/>
          </w:rPr>
          <w:t xml:space="preserve">return on equity and cost of debt) without record support. The PUCO thereby violated R.C. 4903.09 and binding Ohio Supreme Court </w:t>
        </w:r>
        <w:r w:rsidR="00DA4C5B">
          <w:rPr>
            <w:rStyle w:val="Hyperlink"/>
            <w:noProof/>
          </w:rPr>
          <w:br/>
        </w:r>
        <w:r w:rsidRPr="009427D7" w:rsidR="00DA4C5B">
          <w:rPr>
            <w:rStyle w:val="Hyperlink"/>
            <w:noProof/>
          </w:rPr>
          <w:t xml:space="preserve">precedent in </w:t>
        </w:r>
        <w:r w:rsidRPr="009427D7" w:rsidR="00DA4C5B">
          <w:rPr>
            <w:rStyle w:val="Hyperlink"/>
            <w:i/>
            <w:iCs/>
            <w:noProof/>
          </w:rPr>
          <w:t>Tongren</w:t>
        </w:r>
        <w:r w:rsidRPr="009427D7" w:rsidR="00DA4C5B">
          <w:rPr>
            <w:rStyle w:val="Hyperlink"/>
            <w:noProof/>
          </w:rPr>
          <w:t xml:space="preserve"> and </w:t>
        </w:r>
        <w:r w:rsidRPr="009427D7" w:rsidR="00DA4C5B">
          <w:rPr>
            <w:rStyle w:val="Hyperlink"/>
            <w:i/>
            <w:iCs/>
            <w:noProof/>
          </w:rPr>
          <w:t>Suvon</w:t>
        </w:r>
        <w:r w:rsidRPr="009427D7" w:rsidR="00DA4C5B">
          <w:rPr>
            <w:rStyle w:val="Hyperlink"/>
            <w:noProof/>
          </w:rPr>
          <w:t>, resulting in an unreasonable and unlawful decision.</w:t>
        </w:r>
        <w:r w:rsidR="00DA4C5B">
          <w:rPr>
            <w:noProof/>
            <w:webHidden/>
          </w:rPr>
          <w:tab/>
        </w:r>
        <w:r w:rsidR="00DA4C5B">
          <w:rPr>
            <w:noProof/>
            <w:webHidden/>
          </w:rPr>
          <w:fldChar w:fldCharType="begin"/>
        </w:r>
        <w:r w:rsidR="00DA4C5B">
          <w:rPr>
            <w:noProof/>
            <w:webHidden/>
          </w:rPr>
          <w:instrText xml:space="preserve"> PAGEREF _Toc107583685 \h </w:instrText>
        </w:r>
        <w:r w:rsidR="00DA4C5B">
          <w:rPr>
            <w:noProof/>
            <w:webHidden/>
          </w:rPr>
          <w:fldChar w:fldCharType="separate"/>
        </w:r>
        <w:r w:rsidR="00DA4C5B">
          <w:rPr>
            <w:noProof/>
            <w:webHidden/>
          </w:rPr>
          <w:t>5</w:t>
        </w:r>
        <w:r w:rsidR="00DA4C5B">
          <w:rPr>
            <w:noProof/>
            <w:webHidden/>
          </w:rPr>
          <w:fldChar w:fldCharType="end"/>
        </w:r>
      </w:hyperlink>
    </w:p>
    <w:p w:rsidR="00EF4A38" w14:paraId="34B8744D" w14:textId="5BEF5847">
      <w:pPr>
        <w:pStyle w:val="TOC2"/>
        <w:rPr>
          <w:rFonts w:asciiTheme="minorHAnsi" w:eastAsiaTheme="minorEastAsia" w:hAnsiTheme="minorHAnsi" w:cstheme="minorBidi"/>
          <w:noProof/>
          <w:sz w:val="22"/>
          <w:szCs w:val="22"/>
        </w:rPr>
      </w:pPr>
      <w:hyperlink w:anchor="_Toc107583686" w:history="1">
        <w:r w:rsidRPr="009427D7" w:rsidR="00DA4C5B">
          <w:rPr>
            <w:rStyle w:val="Hyperlink"/>
            <w:noProof/>
          </w:rPr>
          <w:t>C.</w:t>
        </w:r>
        <w:r w:rsidR="00DA4C5B">
          <w:rPr>
            <w:rFonts w:asciiTheme="minorHAnsi" w:eastAsiaTheme="minorEastAsia" w:hAnsiTheme="minorHAnsi" w:cstheme="minorBidi"/>
            <w:noProof/>
            <w:sz w:val="22"/>
            <w:szCs w:val="22"/>
          </w:rPr>
          <w:tab/>
        </w:r>
        <w:r w:rsidRPr="009427D7" w:rsidR="00DA4C5B">
          <w:rPr>
            <w:rStyle w:val="Hyperlink"/>
            <w:noProof/>
          </w:rPr>
          <w:t xml:space="preserve">ASSIGNMENT OF ERROR NO. 3: The PUCO erred by relying on “precedent” instead of its obligation to take into account changes </w:t>
        </w:r>
        <w:r w:rsidR="00DA4C5B">
          <w:rPr>
            <w:rStyle w:val="Hyperlink"/>
            <w:noProof/>
          </w:rPr>
          <w:br/>
        </w:r>
        <w:r w:rsidRPr="009427D7" w:rsidR="00DA4C5B">
          <w:rPr>
            <w:rStyle w:val="Hyperlink"/>
            <w:noProof/>
          </w:rPr>
          <w:t xml:space="preserve">in facts and circumstances in approving Dominion’s charges to </w:t>
        </w:r>
        <w:r w:rsidR="00DA4C5B">
          <w:rPr>
            <w:rStyle w:val="Hyperlink"/>
            <w:noProof/>
          </w:rPr>
          <w:br/>
        </w:r>
        <w:r w:rsidRPr="009427D7" w:rsidR="00DA4C5B">
          <w:rPr>
            <w:rStyle w:val="Hyperlink"/>
            <w:noProof/>
          </w:rPr>
          <w:t xml:space="preserve">consumers embedded with an inflated 13-year-old rate of return and instead of evaluating the application under applicable Ohio law (R.C. 4929.05(A)(3); 4905.22 and 4909.18), resulting in an unreasonable </w:t>
        </w:r>
        <w:r w:rsidR="00DA4C5B">
          <w:rPr>
            <w:rStyle w:val="Hyperlink"/>
            <w:noProof/>
          </w:rPr>
          <w:br/>
        </w:r>
        <w:r w:rsidRPr="009427D7" w:rsidR="00DA4C5B">
          <w:rPr>
            <w:rStyle w:val="Hyperlink"/>
            <w:noProof/>
          </w:rPr>
          <w:t>and unlawful decision.</w:t>
        </w:r>
        <w:r w:rsidR="00DA4C5B">
          <w:rPr>
            <w:noProof/>
            <w:webHidden/>
          </w:rPr>
          <w:tab/>
        </w:r>
        <w:r w:rsidR="00DA4C5B">
          <w:rPr>
            <w:noProof/>
            <w:webHidden/>
          </w:rPr>
          <w:fldChar w:fldCharType="begin"/>
        </w:r>
        <w:r w:rsidR="00DA4C5B">
          <w:rPr>
            <w:noProof/>
            <w:webHidden/>
          </w:rPr>
          <w:instrText xml:space="preserve"> PAGEREF _Toc107583686 \h </w:instrText>
        </w:r>
        <w:r w:rsidR="00DA4C5B">
          <w:rPr>
            <w:noProof/>
            <w:webHidden/>
          </w:rPr>
          <w:fldChar w:fldCharType="separate"/>
        </w:r>
        <w:r w:rsidR="00DA4C5B">
          <w:rPr>
            <w:noProof/>
            <w:webHidden/>
          </w:rPr>
          <w:t>8</w:t>
        </w:r>
        <w:r w:rsidR="00DA4C5B">
          <w:rPr>
            <w:noProof/>
            <w:webHidden/>
          </w:rPr>
          <w:fldChar w:fldCharType="end"/>
        </w:r>
      </w:hyperlink>
    </w:p>
    <w:p w:rsidR="00EF4A38" w14:paraId="23526F2A" w14:textId="796A81AB">
      <w:pPr>
        <w:pStyle w:val="TOC2"/>
        <w:rPr>
          <w:rFonts w:asciiTheme="minorHAnsi" w:eastAsiaTheme="minorEastAsia" w:hAnsiTheme="minorHAnsi" w:cstheme="minorBidi"/>
          <w:noProof/>
          <w:sz w:val="22"/>
          <w:szCs w:val="22"/>
        </w:rPr>
      </w:pPr>
      <w:hyperlink w:anchor="_Toc107583687" w:history="1">
        <w:r w:rsidRPr="009427D7" w:rsidR="00DA4C5B">
          <w:rPr>
            <w:rStyle w:val="Hyperlink"/>
            <w:noProof/>
          </w:rPr>
          <w:t xml:space="preserve">D. </w:t>
        </w:r>
        <w:r w:rsidR="00DA4C5B">
          <w:rPr>
            <w:rFonts w:asciiTheme="minorHAnsi" w:eastAsiaTheme="minorEastAsia" w:hAnsiTheme="minorHAnsi" w:cstheme="minorBidi"/>
            <w:noProof/>
            <w:sz w:val="22"/>
            <w:szCs w:val="22"/>
          </w:rPr>
          <w:tab/>
        </w:r>
        <w:r w:rsidRPr="009427D7" w:rsidR="00DA4C5B">
          <w:rPr>
            <w:rStyle w:val="Hyperlink"/>
            <w:noProof/>
          </w:rPr>
          <w:t xml:space="preserve">ASSIGNMENT OF ERROR NO. 4: The PUCO erred by approving </w:t>
        </w:r>
        <w:r w:rsidR="00DA4C5B">
          <w:rPr>
            <w:rStyle w:val="Hyperlink"/>
            <w:noProof/>
          </w:rPr>
          <w:br/>
        </w:r>
        <w:r w:rsidRPr="009427D7" w:rsidR="00DA4C5B">
          <w:rPr>
            <w:rStyle w:val="Hyperlink"/>
            <w:noProof/>
          </w:rPr>
          <w:t xml:space="preserve">the use of an outdated rate of return justified by administrative efficiency instead of evaluating the program under applicable Ohio law, R.C. 4929.05(A)(3), 4905.22 and 4909.18, resulting in an unreasonable </w:t>
        </w:r>
        <w:r w:rsidR="00DA4C5B">
          <w:rPr>
            <w:rStyle w:val="Hyperlink"/>
            <w:noProof/>
          </w:rPr>
          <w:br/>
        </w:r>
        <w:r w:rsidRPr="009427D7" w:rsidR="00DA4C5B">
          <w:rPr>
            <w:rStyle w:val="Hyperlink"/>
            <w:noProof/>
          </w:rPr>
          <w:t>and unlawful decision.</w:t>
        </w:r>
        <w:r w:rsidR="00DA4C5B">
          <w:rPr>
            <w:noProof/>
            <w:webHidden/>
          </w:rPr>
          <w:tab/>
        </w:r>
        <w:r w:rsidR="00DA4C5B">
          <w:rPr>
            <w:noProof/>
            <w:webHidden/>
          </w:rPr>
          <w:fldChar w:fldCharType="begin"/>
        </w:r>
        <w:r w:rsidR="00DA4C5B">
          <w:rPr>
            <w:noProof/>
            <w:webHidden/>
          </w:rPr>
          <w:instrText xml:space="preserve"> PAGEREF _Toc107583687 \h </w:instrText>
        </w:r>
        <w:r w:rsidR="00DA4C5B">
          <w:rPr>
            <w:noProof/>
            <w:webHidden/>
          </w:rPr>
          <w:fldChar w:fldCharType="separate"/>
        </w:r>
        <w:r w:rsidR="00DA4C5B">
          <w:rPr>
            <w:noProof/>
            <w:webHidden/>
          </w:rPr>
          <w:t>11</w:t>
        </w:r>
        <w:r w:rsidR="00DA4C5B">
          <w:rPr>
            <w:noProof/>
            <w:webHidden/>
          </w:rPr>
          <w:fldChar w:fldCharType="end"/>
        </w:r>
      </w:hyperlink>
    </w:p>
    <w:p w:rsidR="00EF4A38" w14:paraId="2C7F5E49" w14:textId="44323193">
      <w:pPr>
        <w:pStyle w:val="TOC2"/>
        <w:rPr>
          <w:rFonts w:asciiTheme="minorHAnsi" w:eastAsiaTheme="minorEastAsia" w:hAnsiTheme="minorHAnsi" w:cstheme="minorBidi"/>
          <w:noProof/>
          <w:sz w:val="22"/>
          <w:szCs w:val="22"/>
        </w:rPr>
      </w:pPr>
      <w:hyperlink w:anchor="_Toc107583688" w:history="1">
        <w:r w:rsidRPr="009427D7" w:rsidR="00DA4C5B">
          <w:rPr>
            <w:rStyle w:val="Hyperlink"/>
            <w:noProof/>
          </w:rPr>
          <w:t>E.</w:t>
        </w:r>
        <w:r w:rsidR="00DA4C5B">
          <w:rPr>
            <w:rFonts w:asciiTheme="minorHAnsi" w:eastAsiaTheme="minorEastAsia" w:hAnsiTheme="minorHAnsi" w:cstheme="minorBidi"/>
            <w:noProof/>
            <w:sz w:val="22"/>
            <w:szCs w:val="22"/>
          </w:rPr>
          <w:tab/>
        </w:r>
        <w:r w:rsidRPr="009427D7" w:rsidR="00DA4C5B">
          <w:rPr>
            <w:rStyle w:val="Hyperlink"/>
            <w:noProof/>
          </w:rPr>
          <w:t>ASSIGNMENT OF ERROR NO. 5: The PUCO’s Order was unreasonable because it used the potential for an increase in the cost of capital as a reason to not apply Dominion’s current and actual cost of capital components in setting the PIR charges.</w:t>
        </w:r>
        <w:r w:rsidR="00DA4C5B">
          <w:rPr>
            <w:noProof/>
            <w:webHidden/>
          </w:rPr>
          <w:tab/>
        </w:r>
        <w:r w:rsidR="00DA4C5B">
          <w:rPr>
            <w:noProof/>
            <w:webHidden/>
          </w:rPr>
          <w:fldChar w:fldCharType="begin"/>
        </w:r>
        <w:r w:rsidR="00DA4C5B">
          <w:rPr>
            <w:noProof/>
            <w:webHidden/>
          </w:rPr>
          <w:instrText xml:space="preserve"> PAGEREF _Toc107583688 \h </w:instrText>
        </w:r>
        <w:r w:rsidR="00DA4C5B">
          <w:rPr>
            <w:noProof/>
            <w:webHidden/>
          </w:rPr>
          <w:fldChar w:fldCharType="separate"/>
        </w:r>
        <w:r w:rsidR="00DA4C5B">
          <w:rPr>
            <w:noProof/>
            <w:webHidden/>
          </w:rPr>
          <w:t>13</w:t>
        </w:r>
        <w:r w:rsidR="00DA4C5B">
          <w:rPr>
            <w:noProof/>
            <w:webHidden/>
          </w:rPr>
          <w:fldChar w:fldCharType="end"/>
        </w:r>
      </w:hyperlink>
    </w:p>
    <w:p w:rsidR="00EF4A38" w14:paraId="2D50E54F" w14:textId="17EFB6A8">
      <w:pPr>
        <w:pStyle w:val="TOC1"/>
        <w:rPr>
          <w:rFonts w:asciiTheme="minorHAnsi" w:eastAsiaTheme="minorEastAsia" w:hAnsiTheme="minorHAnsi" w:cstheme="minorBidi"/>
          <w:noProof/>
          <w:sz w:val="22"/>
          <w:szCs w:val="22"/>
        </w:rPr>
      </w:pPr>
      <w:hyperlink w:anchor="_Toc107583689" w:history="1">
        <w:r w:rsidRPr="009427D7" w:rsidR="00DA4C5B">
          <w:rPr>
            <w:rStyle w:val="Hyperlink"/>
            <w:noProof/>
          </w:rPr>
          <w:t>III.</w:t>
        </w:r>
        <w:r w:rsidR="00DA4C5B">
          <w:rPr>
            <w:rFonts w:asciiTheme="minorHAnsi" w:eastAsiaTheme="minorEastAsia" w:hAnsiTheme="minorHAnsi" w:cstheme="minorBidi"/>
            <w:noProof/>
            <w:sz w:val="22"/>
            <w:szCs w:val="22"/>
          </w:rPr>
          <w:tab/>
        </w:r>
        <w:r w:rsidRPr="009427D7" w:rsidR="00DA4C5B">
          <w:rPr>
            <w:rStyle w:val="Hyperlink"/>
            <w:noProof/>
          </w:rPr>
          <w:t>CONCLUSION</w:t>
        </w:r>
        <w:r w:rsidR="00DA4C5B">
          <w:rPr>
            <w:noProof/>
            <w:webHidden/>
          </w:rPr>
          <w:tab/>
        </w:r>
        <w:r w:rsidR="00DA4C5B">
          <w:rPr>
            <w:noProof/>
            <w:webHidden/>
          </w:rPr>
          <w:fldChar w:fldCharType="begin"/>
        </w:r>
        <w:r w:rsidR="00DA4C5B">
          <w:rPr>
            <w:noProof/>
            <w:webHidden/>
          </w:rPr>
          <w:instrText xml:space="preserve"> PAGEREF _Toc107583689 \h </w:instrText>
        </w:r>
        <w:r w:rsidR="00DA4C5B">
          <w:rPr>
            <w:noProof/>
            <w:webHidden/>
          </w:rPr>
          <w:fldChar w:fldCharType="separate"/>
        </w:r>
        <w:r w:rsidR="00DA4C5B">
          <w:rPr>
            <w:noProof/>
            <w:webHidden/>
          </w:rPr>
          <w:t>15</w:t>
        </w:r>
        <w:r w:rsidR="00DA4C5B">
          <w:rPr>
            <w:noProof/>
            <w:webHidden/>
          </w:rPr>
          <w:fldChar w:fldCharType="end"/>
        </w:r>
      </w:hyperlink>
    </w:p>
    <w:p w:rsidR="00453ABC" w:rsidP="00453ABC" w14:paraId="13A6F998" w14:textId="1379CE2C">
      <w:pPr>
        <w:rPr>
          <w:szCs w:val="24"/>
        </w:rPr>
      </w:pPr>
      <w:r>
        <w:rPr>
          <w:szCs w:val="24"/>
        </w:rPr>
        <w:fldChar w:fldCharType="end"/>
      </w:r>
    </w:p>
    <w:p w:rsidR="00E018CC" w:rsidRPr="00B012A9" w:rsidP="00453ABC" w14:paraId="4F7008C7" w14:textId="77777777">
      <w:pPr>
        <w:rPr>
          <w:szCs w:val="24"/>
        </w:rPr>
      </w:pPr>
    </w:p>
    <w:p w:rsidR="00D76819" w:rsidRPr="00B012A9" w:rsidP="00D76819" w14:paraId="788E1BC2" w14:textId="3FDEE78A">
      <w:pPr>
        <w:rPr>
          <w:szCs w:val="24"/>
        </w:rPr>
        <w:sectPr w:rsidSect="00453ABC">
          <w:footerReference w:type="first" r:id="rId12"/>
          <w:pgSz w:w="12240" w:h="15840"/>
          <w:pgMar w:top="1440" w:right="1800" w:bottom="1440" w:left="1800" w:header="720" w:footer="720" w:gutter="0"/>
          <w:pgNumType w:fmt="lowerRoman" w:start="1"/>
          <w:cols w:space="720"/>
          <w:titlePg/>
          <w:docGrid w:linePitch="326"/>
        </w:sectPr>
      </w:pPr>
    </w:p>
    <w:p w:rsidR="0042350A" w:rsidRPr="00B012A9" w:rsidP="0042350A" w14:paraId="3EB242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Cs w:val="24"/>
        </w:rPr>
      </w:pPr>
      <w:r w:rsidRPr="00B012A9">
        <w:rPr>
          <w:rFonts w:eastAsia="Calibri"/>
          <w:b/>
          <w:bCs/>
          <w:szCs w:val="24"/>
        </w:rPr>
        <w:t>BEFORE</w:t>
      </w:r>
    </w:p>
    <w:p w:rsidR="0042350A" w:rsidRPr="00B012A9" w:rsidP="0042350A" w14:paraId="57C0510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Cs w:val="24"/>
        </w:rPr>
      </w:pPr>
      <w:r w:rsidRPr="00B012A9">
        <w:rPr>
          <w:rFonts w:eastAsia="Calibri"/>
          <w:b/>
          <w:bCs/>
          <w:szCs w:val="24"/>
        </w:rPr>
        <w:t>THE PUBLIC UTILITIES COMMISSION OF OHIO</w:t>
      </w:r>
    </w:p>
    <w:p w:rsidR="0042350A" w:rsidRPr="00B012A9" w:rsidP="0042350A" w14:paraId="07F15C1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Cs w:val="24"/>
        </w:rPr>
      </w:pPr>
    </w:p>
    <w:tbl>
      <w:tblPr>
        <w:tblW w:w="8730" w:type="dxa"/>
        <w:tblLook w:val="01E0"/>
      </w:tblPr>
      <w:tblGrid>
        <w:gridCol w:w="4122"/>
        <w:gridCol w:w="720"/>
        <w:gridCol w:w="3888"/>
      </w:tblGrid>
      <w:tr w14:paraId="23C407A9" w14:textId="77777777" w:rsidTr="00EA1F23">
        <w:tblPrEx>
          <w:tblW w:w="8730" w:type="dxa"/>
          <w:tblLook w:val="01E0"/>
        </w:tblPrEx>
        <w:trPr>
          <w:trHeight w:val="807"/>
        </w:trPr>
        <w:tc>
          <w:tcPr>
            <w:tcW w:w="4122" w:type="dxa"/>
            <w:shd w:val="clear" w:color="auto" w:fill="auto"/>
          </w:tcPr>
          <w:p w:rsidR="00B43911" w:rsidRPr="00B012A9" w:rsidP="00EA1F23" w14:paraId="088D485A" w14:textId="77777777">
            <w:pPr>
              <w:autoSpaceDE w:val="0"/>
              <w:autoSpaceDN w:val="0"/>
              <w:adjustRightInd w:val="0"/>
              <w:ind w:left="-37" w:right="82"/>
              <w:rPr>
                <w:szCs w:val="24"/>
              </w:rPr>
            </w:pPr>
            <w:r w:rsidRPr="00B012A9">
              <w:rPr>
                <w:szCs w:val="24"/>
              </w:rPr>
              <w:t xml:space="preserve">In the Matter of the Application of </w:t>
            </w:r>
            <w:r>
              <w:rPr>
                <w:szCs w:val="24"/>
              </w:rPr>
              <w:t>T</w:t>
            </w:r>
            <w:r w:rsidRPr="00B012A9">
              <w:rPr>
                <w:szCs w:val="24"/>
              </w:rPr>
              <w:t xml:space="preserve">he East Ohio Gas Company d/b/a Dominion Energy Ohio </w:t>
            </w:r>
            <w:r>
              <w:rPr>
                <w:szCs w:val="24"/>
              </w:rPr>
              <w:t>to Adjust its</w:t>
            </w:r>
            <w:r w:rsidRPr="00B012A9">
              <w:rPr>
                <w:szCs w:val="24"/>
              </w:rPr>
              <w:t xml:space="preserve"> Pipeline Infrastructure </w:t>
            </w:r>
            <w:r>
              <w:rPr>
                <w:szCs w:val="24"/>
              </w:rPr>
              <w:t>Cost Recovery Charge and Related Matters.</w:t>
            </w:r>
          </w:p>
        </w:tc>
        <w:tc>
          <w:tcPr>
            <w:tcW w:w="720" w:type="dxa"/>
            <w:shd w:val="clear" w:color="auto" w:fill="auto"/>
          </w:tcPr>
          <w:p w:rsidR="00B43911" w:rsidRPr="00B012A9" w:rsidP="00EA1F23" w14:paraId="2F1D619D"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B43911" w:rsidRPr="00B012A9" w:rsidP="00EA1F23" w14:paraId="1536915D"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B43911" w:rsidRPr="00B012A9" w:rsidP="00EA1F23" w14:paraId="697361A4"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B43911" w:rsidRPr="00B012A9" w:rsidP="00EA1F23" w14:paraId="0A75CE03" w14:textId="77777777">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p w:rsidR="00B43911" w:rsidRPr="00B012A9" w:rsidP="00B43911" w14:paraId="4483D3F3" w14:textId="03098578">
            <w:pPr>
              <w:pStyle w:val="HTMLPreformatted"/>
              <w:rPr>
                <w:rFonts w:ascii="Times New Roman" w:hAnsi="Times New Roman" w:cs="Times New Roman"/>
                <w:sz w:val="24"/>
                <w:szCs w:val="24"/>
              </w:rPr>
            </w:pPr>
            <w:r w:rsidRPr="00B012A9">
              <w:rPr>
                <w:rFonts w:ascii="Times New Roman" w:hAnsi="Times New Roman" w:cs="Times New Roman"/>
                <w:sz w:val="24"/>
                <w:szCs w:val="24"/>
              </w:rPr>
              <w:t>)</w:t>
            </w:r>
          </w:p>
        </w:tc>
        <w:tc>
          <w:tcPr>
            <w:tcW w:w="3888" w:type="dxa"/>
            <w:shd w:val="clear" w:color="auto" w:fill="auto"/>
          </w:tcPr>
          <w:p w:rsidR="00B43911" w:rsidRPr="00B012A9" w:rsidP="00EA1F23" w14:paraId="1066F802" w14:textId="77777777">
            <w:pPr>
              <w:pStyle w:val="HTMLPreformatted"/>
              <w:rPr>
                <w:rFonts w:ascii="Times New Roman" w:hAnsi="Times New Roman" w:cs="Times New Roman"/>
                <w:sz w:val="24"/>
                <w:szCs w:val="24"/>
              </w:rPr>
            </w:pPr>
          </w:p>
          <w:p w:rsidR="00B43911" w:rsidRPr="00B012A9" w:rsidP="00EA1F23" w14:paraId="59451953" w14:textId="77777777">
            <w:pPr>
              <w:pStyle w:val="HTMLPreformatted"/>
              <w:rPr>
                <w:rFonts w:ascii="Times New Roman" w:hAnsi="Times New Roman" w:cs="Times New Roman"/>
                <w:sz w:val="24"/>
                <w:szCs w:val="24"/>
              </w:rPr>
            </w:pPr>
          </w:p>
          <w:p w:rsidR="00B43911" w:rsidRPr="00B012A9" w:rsidP="00EA1F23" w14:paraId="4AE9729F" w14:textId="16F185A0">
            <w:pPr>
              <w:pStyle w:val="HTMLPreformatted"/>
              <w:rPr>
                <w:rFonts w:ascii="Times New Roman" w:hAnsi="Times New Roman" w:cs="Times New Roman"/>
                <w:sz w:val="24"/>
                <w:szCs w:val="24"/>
              </w:rPr>
            </w:pPr>
            <w:r w:rsidRPr="00B012A9">
              <w:rPr>
                <w:rFonts w:ascii="Times New Roman" w:hAnsi="Times New Roman" w:cs="Times New Roman"/>
                <w:sz w:val="24"/>
                <w:szCs w:val="24"/>
              </w:rPr>
              <w:t>Case No. 2</w:t>
            </w:r>
            <w:r>
              <w:rPr>
                <w:rFonts w:ascii="Times New Roman" w:hAnsi="Times New Roman" w:cs="Times New Roman"/>
                <w:sz w:val="24"/>
                <w:szCs w:val="24"/>
              </w:rPr>
              <w:t>1-1095</w:t>
            </w:r>
            <w:r w:rsidRPr="00B012A9">
              <w:rPr>
                <w:rFonts w:ascii="Times New Roman" w:hAnsi="Times New Roman" w:cs="Times New Roman"/>
                <w:sz w:val="24"/>
                <w:szCs w:val="24"/>
              </w:rPr>
              <w:t>-GA-</w:t>
            </w:r>
            <w:r>
              <w:rPr>
                <w:rFonts w:ascii="Times New Roman" w:hAnsi="Times New Roman" w:cs="Times New Roman"/>
                <w:sz w:val="24"/>
                <w:szCs w:val="24"/>
              </w:rPr>
              <w:t>RDR</w:t>
            </w:r>
          </w:p>
          <w:p w:rsidR="00B43911" w:rsidRPr="00B012A9" w:rsidP="00EA1F23" w14:paraId="78DF260F" w14:textId="77777777">
            <w:pPr>
              <w:pStyle w:val="HTMLPreformatted"/>
              <w:rPr>
                <w:rFonts w:ascii="Times New Roman" w:hAnsi="Times New Roman" w:cs="Times New Roman"/>
                <w:sz w:val="24"/>
                <w:szCs w:val="24"/>
              </w:rPr>
            </w:pPr>
          </w:p>
        </w:tc>
      </w:tr>
    </w:tbl>
    <w:p w:rsidR="0042350A" w:rsidRPr="00B012A9" w:rsidP="0042350A" w14:paraId="06C50579" w14:textId="77777777">
      <w:pPr>
        <w:pBdr>
          <w:bottom w:val="single" w:sz="12" w:space="1" w:color="auto"/>
        </w:pBdr>
        <w:autoSpaceDE w:val="0"/>
        <w:autoSpaceDN w:val="0"/>
        <w:adjustRightInd w:val="0"/>
        <w:rPr>
          <w:rFonts w:eastAsia="Calibri"/>
          <w:szCs w:val="24"/>
        </w:rPr>
      </w:pPr>
    </w:p>
    <w:p w:rsidR="0042350A" w:rsidRPr="00B012A9" w:rsidP="0042350A" w14:paraId="4F6FB4D2" w14:textId="77777777">
      <w:pPr>
        <w:autoSpaceDE w:val="0"/>
        <w:autoSpaceDN w:val="0"/>
        <w:adjustRightInd w:val="0"/>
        <w:rPr>
          <w:rFonts w:eastAsia="Calibri"/>
          <w:szCs w:val="24"/>
        </w:rPr>
      </w:pPr>
    </w:p>
    <w:p w:rsidR="0042350A" w:rsidRPr="00B012A9" w:rsidP="0042350A" w14:paraId="0B78A92B" w14:textId="77777777">
      <w:pPr>
        <w:widowControl w:val="0"/>
        <w:jc w:val="center"/>
        <w:rPr>
          <w:b/>
          <w:szCs w:val="24"/>
        </w:rPr>
      </w:pPr>
      <w:r w:rsidRPr="00B012A9">
        <w:rPr>
          <w:b/>
          <w:szCs w:val="24"/>
        </w:rPr>
        <w:t xml:space="preserve">MEMORANDUM IN SUPPORT OF APPLICATION FOR REHEARING </w:t>
      </w:r>
    </w:p>
    <w:p w:rsidR="0042350A" w:rsidRPr="00B012A9" w:rsidP="0042350A" w14:paraId="2EFE9809" w14:textId="77777777">
      <w:pPr>
        <w:widowControl w:val="0"/>
        <w:jc w:val="center"/>
        <w:rPr>
          <w:b/>
          <w:szCs w:val="24"/>
        </w:rPr>
      </w:pPr>
      <w:r w:rsidRPr="00B012A9">
        <w:rPr>
          <w:b/>
          <w:szCs w:val="24"/>
        </w:rPr>
        <w:t>BY</w:t>
      </w:r>
    </w:p>
    <w:p w:rsidR="0042350A" w:rsidRPr="00B012A9" w:rsidP="0042350A" w14:paraId="781B5AB2" w14:textId="77777777">
      <w:pPr>
        <w:jc w:val="center"/>
        <w:rPr>
          <w:b/>
          <w:szCs w:val="24"/>
        </w:rPr>
      </w:pPr>
      <w:r w:rsidRPr="00B012A9">
        <w:rPr>
          <w:b/>
          <w:szCs w:val="24"/>
        </w:rPr>
        <w:t>OFFICE OF THE OHIO CONSUMERS’ COUNSEL</w:t>
      </w:r>
    </w:p>
    <w:p w:rsidR="0042350A" w:rsidRPr="00B012A9" w:rsidP="00145118" w14:paraId="4C735F2A" w14:textId="77777777">
      <w:pPr>
        <w:pBdr>
          <w:bottom w:val="single" w:sz="12" w:space="1" w:color="auto"/>
        </w:pBdr>
        <w:autoSpaceDE w:val="0"/>
        <w:autoSpaceDN w:val="0"/>
        <w:adjustRightInd w:val="0"/>
        <w:spacing w:after="240"/>
        <w:jc w:val="center"/>
        <w:rPr>
          <w:rFonts w:eastAsia="Calibri"/>
          <w:b/>
          <w:bCs/>
          <w:szCs w:val="24"/>
        </w:rPr>
      </w:pPr>
    </w:p>
    <w:p w:rsidR="0042350A" w:rsidRPr="00B012A9" w:rsidP="00145118" w14:paraId="0116BBE2" w14:textId="437C959B">
      <w:pPr>
        <w:pStyle w:val="Heading1"/>
        <w:numPr>
          <w:ilvl w:val="0"/>
          <w:numId w:val="36"/>
        </w:numPr>
        <w:spacing w:after="0"/>
        <w:ind w:left="720"/>
      </w:pPr>
      <w:bookmarkStart w:id="1" w:name="_Toc103939972"/>
      <w:bookmarkStart w:id="2" w:name="_Toc107583682"/>
      <w:r w:rsidRPr="00B012A9">
        <w:t>INTRO</w:t>
      </w:r>
      <w:r w:rsidRPr="00B012A9" w:rsidR="00A94103">
        <w:t>DUC</w:t>
      </w:r>
      <w:r w:rsidRPr="00B012A9">
        <w:t>TION</w:t>
      </w:r>
      <w:bookmarkEnd w:id="1"/>
      <w:bookmarkEnd w:id="2"/>
    </w:p>
    <w:p w:rsidR="00831560" w:rsidRPr="00B012A9" w:rsidP="00831560" w14:paraId="33B70BEF" w14:textId="77777777">
      <w:pPr>
        <w:rPr>
          <w:szCs w:val="24"/>
        </w:rPr>
      </w:pPr>
    </w:p>
    <w:p w:rsidR="0042350A" w:rsidRPr="00B012A9" w:rsidP="005220D9" w14:paraId="6C77EDFF" w14:textId="6CE3E247">
      <w:pPr>
        <w:pStyle w:val="BodyTextIndent3"/>
        <w:widowControl w:val="0"/>
        <w:spacing w:line="480" w:lineRule="auto"/>
        <w:rPr>
          <w:rFonts w:eastAsiaTheme="minorHAnsi"/>
          <w:szCs w:val="24"/>
        </w:rPr>
      </w:pPr>
      <w:r w:rsidRPr="00B012A9">
        <w:rPr>
          <w:rFonts w:eastAsiaTheme="minorHAnsi"/>
          <w:szCs w:val="24"/>
        </w:rPr>
        <w:t>The P</w:t>
      </w:r>
      <w:r w:rsidR="0081698E">
        <w:rPr>
          <w:rFonts w:eastAsiaTheme="minorHAnsi"/>
          <w:szCs w:val="24"/>
        </w:rPr>
        <w:t>ublic Utilities Commission of Ohio</w:t>
      </w:r>
      <w:r w:rsidR="00B31145">
        <w:rPr>
          <w:rFonts w:eastAsiaTheme="minorHAnsi"/>
          <w:szCs w:val="24"/>
        </w:rPr>
        <w:t xml:space="preserve"> (“PUCO”) </w:t>
      </w:r>
      <w:r w:rsidRPr="00B012A9">
        <w:rPr>
          <w:rFonts w:eastAsiaTheme="minorHAnsi"/>
          <w:szCs w:val="24"/>
        </w:rPr>
        <w:t>fails consumers</w:t>
      </w:r>
      <w:r w:rsidR="00B31145">
        <w:rPr>
          <w:rFonts w:eastAsiaTheme="minorHAnsi"/>
          <w:szCs w:val="24"/>
        </w:rPr>
        <w:t xml:space="preserve"> in this case</w:t>
      </w:r>
      <w:r w:rsidRPr="00B012A9">
        <w:rPr>
          <w:rFonts w:eastAsiaTheme="minorHAnsi"/>
          <w:szCs w:val="24"/>
        </w:rPr>
        <w:t xml:space="preserve">. First, R.C. 4903.09 requires that PUCO decisions must be based on </w:t>
      </w:r>
      <w:r w:rsidRPr="003B1EFC">
        <w:rPr>
          <w:rFonts w:eastAsiaTheme="minorHAnsi"/>
          <w:szCs w:val="24"/>
        </w:rPr>
        <w:t>findings of fact</w:t>
      </w:r>
      <w:r w:rsidRPr="00B012A9">
        <w:rPr>
          <w:rFonts w:eastAsiaTheme="minorHAnsi"/>
          <w:szCs w:val="24"/>
        </w:rPr>
        <w:t xml:space="preserve"> and written opinions setting forth the reasons prompting the decisions arrived at, based upon said </w:t>
      </w:r>
      <w:r w:rsidRPr="003B1EFC">
        <w:rPr>
          <w:rFonts w:eastAsiaTheme="minorHAnsi"/>
          <w:szCs w:val="24"/>
        </w:rPr>
        <w:t>findings of fact</w:t>
      </w:r>
      <w:r w:rsidRPr="00B012A9">
        <w:rPr>
          <w:rFonts w:eastAsiaTheme="minorHAnsi"/>
          <w:szCs w:val="24"/>
        </w:rPr>
        <w:t>.</w:t>
      </w:r>
      <w:r>
        <w:rPr>
          <w:rStyle w:val="FootnoteReference"/>
          <w:rFonts w:eastAsiaTheme="minorHAnsi"/>
          <w:szCs w:val="24"/>
        </w:rPr>
        <w:footnoteReference w:id="4"/>
      </w:r>
      <w:r w:rsidRPr="00B012A9">
        <w:rPr>
          <w:rFonts w:eastAsiaTheme="minorHAnsi"/>
          <w:szCs w:val="24"/>
        </w:rPr>
        <w:t xml:space="preserve"> The PUCO’s decision in this case allows Dominion to continue using a </w:t>
      </w:r>
      <w:r w:rsidRPr="00B012A9" w:rsidR="003C7D4D">
        <w:rPr>
          <w:rFonts w:eastAsiaTheme="minorHAnsi"/>
          <w:szCs w:val="24"/>
        </w:rPr>
        <w:t>13-year-old</w:t>
      </w:r>
      <w:r w:rsidRPr="00B012A9">
        <w:rPr>
          <w:rFonts w:eastAsiaTheme="minorHAnsi"/>
          <w:szCs w:val="24"/>
        </w:rPr>
        <w:t xml:space="preserve"> rate of return (that includes both the return on equity (profits) and cost of long-term debt) </w:t>
      </w:r>
      <w:r w:rsidR="00D41C72">
        <w:rPr>
          <w:rFonts w:eastAsiaTheme="minorHAnsi"/>
          <w:szCs w:val="24"/>
        </w:rPr>
        <w:t xml:space="preserve">that </w:t>
      </w:r>
      <w:r w:rsidR="00E03B4E">
        <w:rPr>
          <w:rFonts w:eastAsiaTheme="minorHAnsi"/>
          <w:szCs w:val="24"/>
        </w:rPr>
        <w:t>is</w:t>
      </w:r>
      <w:r w:rsidRPr="00B012A9">
        <w:rPr>
          <w:rFonts w:eastAsiaTheme="minorHAnsi"/>
          <w:szCs w:val="24"/>
        </w:rPr>
        <w:t xml:space="preserve"> not based on record evidence. </w:t>
      </w:r>
    </w:p>
    <w:p w:rsidR="005220D9" w:rsidP="00A17CD2" w14:paraId="6C0C43F2" w14:textId="6BFECF3B">
      <w:pPr>
        <w:pStyle w:val="BodyTextIndent3"/>
        <w:widowControl w:val="0"/>
        <w:spacing w:line="480" w:lineRule="auto"/>
        <w:ind w:right="-312"/>
        <w:rPr>
          <w:rFonts w:eastAsiaTheme="minorHAnsi"/>
          <w:szCs w:val="24"/>
        </w:rPr>
      </w:pPr>
      <w:r w:rsidRPr="00B012A9">
        <w:rPr>
          <w:rFonts w:eastAsiaTheme="minorHAnsi"/>
          <w:szCs w:val="24"/>
        </w:rPr>
        <w:t>T</w:t>
      </w:r>
      <w:r w:rsidRPr="00B012A9" w:rsidR="00831560">
        <w:rPr>
          <w:rFonts w:eastAsiaTheme="minorHAnsi"/>
          <w:szCs w:val="24"/>
        </w:rPr>
        <w:t>he PUCO failed to find (and could not find based on the record</w:t>
      </w:r>
      <w:r w:rsidR="0042783A">
        <w:rPr>
          <w:rFonts w:eastAsiaTheme="minorHAnsi"/>
          <w:szCs w:val="24"/>
        </w:rPr>
        <w:t xml:space="preserve"> in this case</w:t>
      </w:r>
      <w:r w:rsidRPr="00B012A9" w:rsidR="00831560">
        <w:rPr>
          <w:rFonts w:eastAsiaTheme="minorHAnsi"/>
          <w:szCs w:val="24"/>
        </w:rPr>
        <w:t xml:space="preserve">) that using Dominion’s </w:t>
      </w:r>
      <w:r w:rsidRPr="00B012A9" w:rsidR="003C7D4D">
        <w:rPr>
          <w:rFonts w:eastAsiaTheme="minorHAnsi"/>
          <w:szCs w:val="24"/>
        </w:rPr>
        <w:t>13-year-old</w:t>
      </w:r>
      <w:r w:rsidRPr="00B012A9" w:rsidR="00831560">
        <w:rPr>
          <w:rFonts w:eastAsiaTheme="minorHAnsi"/>
          <w:szCs w:val="24"/>
        </w:rPr>
        <w:t xml:space="preserve"> rate of return is “just and reasonable” as required under R.C. 4929.05(A)(3) and R.C. 49</w:t>
      </w:r>
      <w:r w:rsidRPr="00B012A9" w:rsidR="003C7D4D">
        <w:rPr>
          <w:rFonts w:eastAsiaTheme="minorHAnsi"/>
          <w:szCs w:val="24"/>
        </w:rPr>
        <w:t>09.18</w:t>
      </w:r>
      <w:r w:rsidRPr="00B012A9" w:rsidR="00831560">
        <w:rPr>
          <w:rFonts w:eastAsiaTheme="minorHAnsi"/>
          <w:szCs w:val="24"/>
        </w:rPr>
        <w:t>.</w:t>
      </w:r>
      <w:r w:rsidRPr="00B012A9" w:rsidR="00A314DB">
        <w:rPr>
          <w:rFonts w:eastAsiaTheme="minorHAnsi"/>
          <w:szCs w:val="24"/>
        </w:rPr>
        <w:t xml:space="preserve"> </w:t>
      </w:r>
      <w:r w:rsidRPr="00B012A9">
        <w:rPr>
          <w:rFonts w:eastAsiaTheme="minorHAnsi"/>
          <w:szCs w:val="24"/>
        </w:rPr>
        <w:t xml:space="preserve">Consumers </w:t>
      </w:r>
      <w:r w:rsidR="00584FD3">
        <w:rPr>
          <w:rFonts w:eastAsiaTheme="minorHAnsi"/>
          <w:szCs w:val="24"/>
        </w:rPr>
        <w:t>unlawfully and unreasonably are required to</w:t>
      </w:r>
      <w:r w:rsidRPr="00B012A9">
        <w:rPr>
          <w:rFonts w:eastAsiaTheme="minorHAnsi"/>
          <w:szCs w:val="24"/>
        </w:rPr>
        <w:t xml:space="preserve"> pay more than they should for the PIR program. Dominion gets a windfall </w:t>
      </w:r>
      <w:r w:rsidR="00584FD3">
        <w:rPr>
          <w:rFonts w:eastAsiaTheme="minorHAnsi"/>
          <w:szCs w:val="24"/>
        </w:rPr>
        <w:t xml:space="preserve">profit </w:t>
      </w:r>
      <w:r w:rsidRPr="00B012A9">
        <w:rPr>
          <w:rFonts w:eastAsiaTheme="minorHAnsi"/>
          <w:szCs w:val="24"/>
        </w:rPr>
        <w:t>and consumers get a higher bill.</w:t>
      </w:r>
      <w:r w:rsidR="006737BF">
        <w:rPr>
          <w:rFonts w:eastAsiaTheme="minorHAnsi"/>
          <w:szCs w:val="24"/>
        </w:rPr>
        <w:t xml:space="preserve"> The PUCO also erred in elevating</w:t>
      </w:r>
      <w:r w:rsidR="00B31145">
        <w:rPr>
          <w:rFonts w:eastAsiaTheme="minorHAnsi"/>
          <w:szCs w:val="24"/>
        </w:rPr>
        <w:t xml:space="preserve"> </w:t>
      </w:r>
      <w:r w:rsidR="006737BF">
        <w:rPr>
          <w:rFonts w:eastAsiaTheme="minorHAnsi"/>
          <w:szCs w:val="24"/>
        </w:rPr>
        <w:t>“precedent” and administrative efficiency above the just and reasonable standards of Ohio law.</w:t>
      </w:r>
    </w:p>
    <w:p w:rsidR="005220D9" w14:paraId="29610086" w14:textId="77777777">
      <w:pPr>
        <w:rPr>
          <w:rFonts w:eastAsiaTheme="minorHAnsi"/>
          <w:szCs w:val="24"/>
        </w:rPr>
      </w:pPr>
      <w:r>
        <w:rPr>
          <w:rFonts w:eastAsiaTheme="minorHAnsi"/>
          <w:szCs w:val="24"/>
        </w:rPr>
        <w:br w:type="page"/>
      </w:r>
    </w:p>
    <w:p w:rsidR="00831560" w:rsidP="006737BF" w14:paraId="1A9BCC49" w14:textId="7E2BA956">
      <w:pPr>
        <w:pStyle w:val="BodyTextIndent3"/>
        <w:widowControl w:val="0"/>
        <w:spacing w:line="480" w:lineRule="auto"/>
        <w:ind w:right="-312"/>
        <w:rPr>
          <w:rFonts w:eastAsiaTheme="minorHAnsi"/>
          <w:szCs w:val="24"/>
        </w:rPr>
      </w:pPr>
      <w:r w:rsidRPr="00B012A9">
        <w:rPr>
          <w:rFonts w:eastAsiaTheme="minorHAnsi"/>
          <w:szCs w:val="24"/>
        </w:rPr>
        <w:t>The PUCO should grant OCC’s Application for Rehearing as further explained below to protect consumers from overpaying for gas utility service.</w:t>
      </w:r>
    </w:p>
    <w:p w:rsidR="000768B2" w:rsidRPr="00B012A9" w:rsidP="000768B2" w14:paraId="7CAE9E1E" w14:textId="77777777">
      <w:pPr>
        <w:pStyle w:val="BodyTextIndent3"/>
        <w:widowControl w:val="0"/>
        <w:spacing w:line="240" w:lineRule="auto"/>
        <w:ind w:right="-312"/>
        <w:rPr>
          <w:rFonts w:eastAsiaTheme="minorHAnsi"/>
          <w:szCs w:val="24"/>
        </w:rPr>
      </w:pPr>
    </w:p>
    <w:p w:rsidR="00492393" w:rsidRPr="00B012A9" w:rsidP="00187C07" w14:paraId="00BF8AE7" w14:textId="7229E515">
      <w:pPr>
        <w:pStyle w:val="Heading1"/>
        <w:numPr>
          <w:ilvl w:val="0"/>
          <w:numId w:val="0"/>
        </w:numPr>
        <w:rPr>
          <w:rFonts w:eastAsiaTheme="minorHAnsi"/>
        </w:rPr>
      </w:pPr>
      <w:bookmarkStart w:id="3" w:name="_Toc103939973"/>
      <w:bookmarkStart w:id="4" w:name="_Toc107583683"/>
      <w:r>
        <w:t>II.</w:t>
      </w:r>
      <w:r>
        <w:tab/>
      </w:r>
      <w:r w:rsidRPr="00B012A9" w:rsidR="002813E0">
        <w:t>M</w:t>
      </w:r>
      <w:r w:rsidRPr="00B012A9">
        <w:t>ATTERS FOR CONSIDERATION</w:t>
      </w:r>
      <w:bookmarkEnd w:id="3"/>
      <w:bookmarkEnd w:id="4"/>
    </w:p>
    <w:p w:rsidR="00C57E44" w:rsidRPr="009F6E64" w:rsidP="005220D9" w14:paraId="5A2F23B8" w14:textId="370F542C">
      <w:pPr>
        <w:widowControl w:val="0"/>
        <w:ind w:left="1440" w:hanging="720"/>
        <w:rPr>
          <w:b/>
          <w:bCs/>
          <w:szCs w:val="24"/>
        </w:rPr>
      </w:pPr>
      <w:bookmarkStart w:id="5" w:name="_Toc103939974"/>
      <w:bookmarkStart w:id="6" w:name="_Toc107583684"/>
      <w:bookmarkStart w:id="7" w:name="_Toc98520149"/>
      <w:bookmarkStart w:id="8" w:name="_Toc99108384"/>
      <w:r w:rsidRPr="002F6874">
        <w:rPr>
          <w:rStyle w:val="Heading2Char"/>
        </w:rPr>
        <w:t>A.</w:t>
      </w:r>
      <w:r w:rsidRPr="002F6874">
        <w:rPr>
          <w:rStyle w:val="Heading2Char"/>
        </w:rPr>
        <w:tab/>
        <w:t xml:space="preserve">ASSIGNMENT OF ERROR NO. 1: The PUCO erred because it failed to make a finding </w:t>
      </w:r>
      <w:r w:rsidR="00C77C76">
        <w:rPr>
          <w:rStyle w:val="Heading2Char"/>
        </w:rPr>
        <w:t xml:space="preserve">based on the record evidence </w:t>
      </w:r>
      <w:r w:rsidRPr="002F6874">
        <w:rPr>
          <w:rStyle w:val="Heading2Char"/>
        </w:rPr>
        <w:t xml:space="preserve">that Dominion’s 13-year-old rate of return (including both return on equity and cost of debt) </w:t>
      </w:r>
      <w:r w:rsidR="009A09CC">
        <w:rPr>
          <w:rStyle w:val="Heading2Char"/>
        </w:rPr>
        <w:t>is</w:t>
      </w:r>
      <w:r w:rsidRPr="002F6874" w:rsidR="009A09CC">
        <w:rPr>
          <w:rStyle w:val="Heading2Char"/>
        </w:rPr>
        <w:t xml:space="preserve"> just</w:t>
      </w:r>
      <w:r w:rsidRPr="002F6874">
        <w:rPr>
          <w:rStyle w:val="Heading2Char"/>
        </w:rPr>
        <w:t xml:space="preserve"> and reasonable</w:t>
      </w:r>
      <w:r w:rsidR="00A17CD2">
        <w:rPr>
          <w:rStyle w:val="Heading2Char"/>
        </w:rPr>
        <w:t xml:space="preserve">, thus violating </w:t>
      </w:r>
      <w:r w:rsidRPr="002F6874">
        <w:rPr>
          <w:rStyle w:val="Heading2Char"/>
        </w:rPr>
        <w:t>R.C. 4905.22, R.C. 4929.05(A)(3) and R.C. 4909.18</w:t>
      </w:r>
      <w:r w:rsidR="00A17CD2">
        <w:rPr>
          <w:rStyle w:val="Heading2Char"/>
        </w:rPr>
        <w:t>.</w:t>
      </w:r>
      <w:bookmarkEnd w:id="5"/>
      <w:bookmarkEnd w:id="6"/>
    </w:p>
    <w:bookmarkEnd w:id="7"/>
    <w:bookmarkEnd w:id="8"/>
    <w:p w:rsidR="002F6874" w:rsidP="002F6874" w14:paraId="69052F36" w14:textId="77777777">
      <w:pPr>
        <w:pStyle w:val="BodyTextIndent3"/>
        <w:spacing w:line="240" w:lineRule="auto"/>
        <w:rPr>
          <w:szCs w:val="24"/>
        </w:rPr>
      </w:pPr>
    </w:p>
    <w:p w:rsidR="00D41C72" w:rsidP="002A3CFA" w14:paraId="4BDC1CCC" w14:textId="72F6F4F9">
      <w:pPr>
        <w:pStyle w:val="BodyTextIndent3"/>
        <w:spacing w:line="480" w:lineRule="auto"/>
        <w:rPr>
          <w:szCs w:val="24"/>
        </w:rPr>
      </w:pPr>
      <w:r w:rsidRPr="00B012A9">
        <w:rPr>
          <w:szCs w:val="24"/>
        </w:rPr>
        <w:t xml:space="preserve">In order to approve Dominion’s PIR Program </w:t>
      </w:r>
      <w:r w:rsidR="008B10E7">
        <w:rPr>
          <w:szCs w:val="24"/>
        </w:rPr>
        <w:t xml:space="preserve">investments </w:t>
      </w:r>
      <w:r w:rsidRPr="00B012A9">
        <w:rPr>
          <w:szCs w:val="24"/>
        </w:rPr>
        <w:t xml:space="preserve">for a new five-year period, the PUCO must find that the </w:t>
      </w:r>
      <w:r>
        <w:rPr>
          <w:szCs w:val="24"/>
        </w:rPr>
        <w:t>p</w:t>
      </w:r>
      <w:r w:rsidRPr="00B012A9">
        <w:rPr>
          <w:szCs w:val="24"/>
        </w:rPr>
        <w:t xml:space="preserve">rogram is just and reasonable </w:t>
      </w:r>
      <w:r w:rsidR="00A17CD2">
        <w:rPr>
          <w:szCs w:val="24"/>
        </w:rPr>
        <w:t xml:space="preserve">under </w:t>
      </w:r>
      <w:r w:rsidRPr="00B012A9" w:rsidR="00A17CD2">
        <w:rPr>
          <w:szCs w:val="24"/>
        </w:rPr>
        <w:t>R.C.</w:t>
      </w:r>
      <w:r w:rsidRPr="00B012A9">
        <w:rPr>
          <w:szCs w:val="24"/>
        </w:rPr>
        <w:t xml:space="preserve"> 4929.05(A)(3). And it must make this finding based on the record in </w:t>
      </w:r>
      <w:r w:rsidR="008B10E7">
        <w:rPr>
          <w:szCs w:val="24"/>
        </w:rPr>
        <w:t>this</w:t>
      </w:r>
      <w:r w:rsidRPr="00B012A9">
        <w:rPr>
          <w:szCs w:val="24"/>
        </w:rPr>
        <w:t xml:space="preserve"> case.</w:t>
      </w:r>
      <w:r>
        <w:rPr>
          <w:rStyle w:val="FootnoteReference"/>
          <w:szCs w:val="24"/>
        </w:rPr>
        <w:footnoteReference w:id="5"/>
      </w:r>
      <w:r w:rsidRPr="00B012A9">
        <w:rPr>
          <w:szCs w:val="24"/>
        </w:rPr>
        <w:t xml:space="preserve"> </w:t>
      </w:r>
    </w:p>
    <w:p w:rsidR="006C13E9" w:rsidRPr="00B012A9" w:rsidP="002A3CFA" w14:paraId="14F6F33C" w14:textId="65CB85E2">
      <w:pPr>
        <w:pStyle w:val="BodyTextIndent3"/>
        <w:spacing w:line="480" w:lineRule="auto"/>
        <w:rPr>
          <w:szCs w:val="24"/>
        </w:rPr>
      </w:pPr>
      <w:r w:rsidRPr="00B012A9">
        <w:rPr>
          <w:szCs w:val="24"/>
        </w:rPr>
        <w:t xml:space="preserve">The PUCO stated in its Order that </w:t>
      </w:r>
      <w:r w:rsidR="008B10E7">
        <w:rPr>
          <w:szCs w:val="24"/>
        </w:rPr>
        <w:t>“Dominion’s application to adjust its PIR cost recovery charge is reasonable and should be approved.”</w:t>
      </w:r>
      <w:r>
        <w:rPr>
          <w:rStyle w:val="FootnoteReference"/>
          <w:szCs w:val="24"/>
        </w:rPr>
        <w:footnoteReference w:id="6"/>
      </w:r>
      <w:r w:rsidRPr="00B012A9">
        <w:rPr>
          <w:szCs w:val="24"/>
        </w:rPr>
        <w:t xml:space="preserve"> </w:t>
      </w:r>
      <w:r w:rsidR="00C77C76">
        <w:rPr>
          <w:szCs w:val="24"/>
        </w:rPr>
        <w:t>However, the record evidence in this case proved otherwise. Dominion’s application, embedded with an outdated and inflated rate of return, will result in unreasonable rates and charges and is thus unjust and unreasonable.</w:t>
      </w:r>
      <w:r w:rsidR="00FE1F41">
        <w:rPr>
          <w:szCs w:val="24"/>
        </w:rPr>
        <w:t xml:space="preserve"> </w:t>
      </w:r>
    </w:p>
    <w:p w:rsidR="0096579B" w:rsidRPr="00B012A9" w:rsidP="002A3CFA" w14:paraId="31FFCBB6" w14:textId="4F0D42BD">
      <w:pPr>
        <w:pStyle w:val="BodyTextIndent3"/>
        <w:spacing w:line="480" w:lineRule="auto"/>
        <w:rPr>
          <w:szCs w:val="24"/>
        </w:rPr>
      </w:pPr>
      <w:r w:rsidRPr="00B012A9">
        <w:rPr>
          <w:szCs w:val="24"/>
        </w:rPr>
        <w:t xml:space="preserve">Specifically, for the PUCO to approve the PIR for a new five-year period in </w:t>
      </w:r>
      <w:r w:rsidRPr="00B012A9">
        <w:rPr>
          <w:i/>
          <w:iCs/>
          <w:szCs w:val="24"/>
        </w:rPr>
        <w:t>this</w:t>
      </w:r>
      <w:r w:rsidRPr="00B012A9">
        <w:rPr>
          <w:szCs w:val="24"/>
        </w:rPr>
        <w:t xml:space="preserve"> case it must determine that the outdated and inflated rate of return is just and reasonable</w:t>
      </w:r>
      <w:r w:rsidR="00C77C76">
        <w:rPr>
          <w:szCs w:val="24"/>
        </w:rPr>
        <w:t xml:space="preserve"> at this time under current market conditions and Dominion’s current financial and business risks. The 13-year-old rate of return is not just and reasonable, and indeed, the </w:t>
      </w:r>
      <w:r w:rsidR="00ED5828">
        <w:rPr>
          <w:szCs w:val="24"/>
        </w:rPr>
        <w:t xml:space="preserve">PUCO did not make any finding about Dominion’s rate of return. </w:t>
      </w:r>
      <w:r w:rsidR="0020028C">
        <w:rPr>
          <w:szCs w:val="24"/>
        </w:rPr>
        <w:t>The PUCO’s reliance on so-called “</w:t>
      </w:r>
      <w:r w:rsidR="004E32E8">
        <w:rPr>
          <w:szCs w:val="24"/>
        </w:rPr>
        <w:t>long-standing</w:t>
      </w:r>
      <w:r w:rsidR="0020028C">
        <w:rPr>
          <w:szCs w:val="24"/>
        </w:rPr>
        <w:t xml:space="preserve"> practice”</w:t>
      </w:r>
      <w:r>
        <w:rPr>
          <w:rStyle w:val="FootnoteReference"/>
          <w:szCs w:val="24"/>
        </w:rPr>
        <w:footnoteReference w:id="7"/>
      </w:r>
      <w:r w:rsidR="0020028C">
        <w:rPr>
          <w:szCs w:val="24"/>
        </w:rPr>
        <w:t xml:space="preserve"> is not </w:t>
      </w:r>
      <w:r w:rsidRPr="004E32E8" w:rsidR="0020028C">
        <w:rPr>
          <w:szCs w:val="24"/>
        </w:rPr>
        <w:t>a finding of fact</w:t>
      </w:r>
      <w:r w:rsidR="0020028C">
        <w:rPr>
          <w:szCs w:val="24"/>
        </w:rPr>
        <w:t xml:space="preserve"> and is not based on the </w:t>
      </w:r>
      <w:r w:rsidRPr="004E32E8" w:rsidR="0020028C">
        <w:rPr>
          <w:szCs w:val="24"/>
        </w:rPr>
        <w:t>evidence record of this proceeding.</w:t>
      </w:r>
      <w:r w:rsidR="00FE29FC">
        <w:rPr>
          <w:szCs w:val="24"/>
        </w:rPr>
        <w:t xml:space="preserve"> </w:t>
      </w:r>
    </w:p>
    <w:p w:rsidR="00CD02CA" w:rsidRPr="00B012A9" w:rsidP="002A3CFA" w14:paraId="213F3434" w14:textId="77777777">
      <w:pPr>
        <w:pStyle w:val="BodyTextIndent3"/>
        <w:spacing w:line="480" w:lineRule="auto"/>
        <w:rPr>
          <w:szCs w:val="24"/>
        </w:rPr>
      </w:pPr>
      <w:r w:rsidRPr="00B012A9">
        <w:rPr>
          <w:szCs w:val="24"/>
        </w:rPr>
        <w:t>There is no dispute that Dominion’s rate of return—set more than 13 years ago in Case No. 07-829-GA-AIR—is outdated and inflated.</w:t>
      </w:r>
      <w:r>
        <w:rPr>
          <w:rStyle w:val="FootnoteReference"/>
          <w:szCs w:val="24"/>
        </w:rPr>
        <w:footnoteReference w:id="8"/>
      </w:r>
      <w:r w:rsidRPr="00B012A9">
        <w:rPr>
          <w:szCs w:val="24"/>
        </w:rPr>
        <w:t xml:space="preserve"> No party challenged OCC’s expert witness Dr. Daniel Duann’s testimony that the rate of return includes a 6.5% cost of debt component when Dominion’s current actual cost of debt is 2.9%.</w:t>
      </w:r>
      <w:r>
        <w:rPr>
          <w:rStyle w:val="FootnoteReference"/>
          <w:szCs w:val="24"/>
        </w:rPr>
        <w:footnoteReference w:id="9"/>
      </w:r>
      <w:r w:rsidRPr="00B012A9">
        <w:rPr>
          <w:szCs w:val="24"/>
        </w:rPr>
        <w:t xml:space="preserve"> Similarly, no party challenged or disputed Dr. Duann’s testimony that the proposed PIR rate of return includes a 10.38% return on equity</w:t>
      </w:r>
      <w:r>
        <w:rPr>
          <w:rStyle w:val="FootnoteReference"/>
          <w:szCs w:val="24"/>
        </w:rPr>
        <w:footnoteReference w:id="10"/>
      </w:r>
      <w:r w:rsidRPr="00B012A9">
        <w:rPr>
          <w:szCs w:val="24"/>
        </w:rPr>
        <w:t xml:space="preserve"> that no longer reflects Dominion’s current business risk or return on equities attained by utilities comparable to Dominion in today’s business climate</w:t>
      </w:r>
      <w:r>
        <w:rPr>
          <w:rStyle w:val="FootnoteReference"/>
          <w:szCs w:val="24"/>
        </w:rPr>
        <w:footnoteReference w:id="11"/>
      </w:r>
      <w:r w:rsidRPr="00B012A9">
        <w:rPr>
          <w:szCs w:val="24"/>
        </w:rPr>
        <w:t xml:space="preserve"> (as required by the U.S. Supreme Court’s </w:t>
      </w:r>
      <w:r w:rsidRPr="00B012A9">
        <w:rPr>
          <w:i/>
          <w:iCs/>
          <w:szCs w:val="24"/>
        </w:rPr>
        <w:t>Bluefield</w:t>
      </w:r>
      <w:r>
        <w:rPr>
          <w:rStyle w:val="FootnoteReference"/>
          <w:szCs w:val="24"/>
        </w:rPr>
        <w:footnoteReference w:id="12"/>
      </w:r>
      <w:r w:rsidRPr="00B012A9">
        <w:rPr>
          <w:szCs w:val="24"/>
        </w:rPr>
        <w:t xml:space="preserve"> decision). And nobody challenged Dr. Duann’s conclusion that Dominion’s rate of return in this case should be no higher than 7.2% based on Dominion’s current actual cost of debt and current business risk and business climate.</w:t>
      </w:r>
      <w:r>
        <w:rPr>
          <w:rStyle w:val="FootnoteReference"/>
          <w:szCs w:val="24"/>
        </w:rPr>
        <w:footnoteReference w:id="13"/>
      </w:r>
      <w:r w:rsidRPr="00B012A9">
        <w:rPr>
          <w:szCs w:val="24"/>
        </w:rPr>
        <w:t xml:space="preserve"> </w:t>
      </w:r>
    </w:p>
    <w:p w:rsidR="00D41C72" w:rsidP="002A3CFA" w14:paraId="6659D721" w14:textId="77777777">
      <w:pPr>
        <w:pStyle w:val="BodyTextIndent3"/>
        <w:spacing w:line="480" w:lineRule="auto"/>
        <w:rPr>
          <w:szCs w:val="24"/>
        </w:rPr>
      </w:pPr>
      <w:r w:rsidRPr="00B012A9">
        <w:rPr>
          <w:szCs w:val="24"/>
        </w:rPr>
        <w:t>The parties waived cross-examination in this case. No party other than OCC sponsored any rate of return witnesses of their own in this case</w:t>
      </w:r>
      <w:r w:rsidR="00ED5828">
        <w:rPr>
          <w:szCs w:val="24"/>
        </w:rPr>
        <w:t>.</w:t>
      </w:r>
      <w:r w:rsidRPr="00B012A9">
        <w:rPr>
          <w:szCs w:val="24"/>
        </w:rPr>
        <w:t xml:space="preserve"> No party </w:t>
      </w:r>
      <w:r w:rsidR="00ED5828">
        <w:rPr>
          <w:szCs w:val="24"/>
        </w:rPr>
        <w:t>was</w:t>
      </w:r>
      <w:r w:rsidRPr="00B012A9">
        <w:rPr>
          <w:szCs w:val="24"/>
        </w:rPr>
        <w:t xml:space="preserve"> able to support using a rate of return set more than 13 years ago in Dominion’s base rate case </w:t>
      </w:r>
      <w:r w:rsidR="00DC0F6A">
        <w:rPr>
          <w:szCs w:val="24"/>
        </w:rPr>
        <w:t xml:space="preserve">in 2008 </w:t>
      </w:r>
      <w:r w:rsidRPr="00B012A9">
        <w:rPr>
          <w:szCs w:val="24"/>
        </w:rPr>
        <w:t>(Case No. 07-829-GA-AIR).</w:t>
      </w:r>
    </w:p>
    <w:p w:rsidR="00CD02CA" w:rsidRPr="00B012A9" w:rsidP="002A3CFA" w14:paraId="09E609E7" w14:textId="095DD259">
      <w:pPr>
        <w:pStyle w:val="BodyTextIndent3"/>
        <w:spacing w:line="480" w:lineRule="auto"/>
        <w:rPr>
          <w:szCs w:val="24"/>
        </w:rPr>
      </w:pPr>
      <w:r w:rsidRPr="00B012A9">
        <w:rPr>
          <w:szCs w:val="24"/>
        </w:rPr>
        <w:t xml:space="preserve">And yet, the </w:t>
      </w:r>
      <w:r w:rsidR="00D41C72">
        <w:rPr>
          <w:szCs w:val="24"/>
        </w:rPr>
        <w:t xml:space="preserve">PUCO </w:t>
      </w:r>
      <w:r w:rsidR="00B5156E">
        <w:rPr>
          <w:szCs w:val="24"/>
        </w:rPr>
        <w:t>approved</w:t>
      </w:r>
      <w:r w:rsidR="00D82BE5">
        <w:rPr>
          <w:szCs w:val="24"/>
        </w:rPr>
        <w:t xml:space="preserve"> a </w:t>
      </w:r>
      <w:r w:rsidRPr="00B012A9">
        <w:rPr>
          <w:szCs w:val="24"/>
        </w:rPr>
        <w:t xml:space="preserve">rate of return </w:t>
      </w:r>
      <w:r w:rsidR="00D82BE5">
        <w:rPr>
          <w:szCs w:val="24"/>
        </w:rPr>
        <w:t xml:space="preserve">that </w:t>
      </w:r>
      <w:r w:rsidRPr="00B012A9">
        <w:rPr>
          <w:szCs w:val="24"/>
        </w:rPr>
        <w:t>includes a cost of debt that is nearly three times higher than Dominion</w:t>
      </w:r>
      <w:r w:rsidR="00164C5C">
        <w:rPr>
          <w:szCs w:val="24"/>
        </w:rPr>
        <w:t>’</w:t>
      </w:r>
      <w:r w:rsidRPr="00B012A9">
        <w:rPr>
          <w:szCs w:val="24"/>
        </w:rPr>
        <w:t>s actual cost of debt</w:t>
      </w:r>
      <w:r w:rsidR="00B5156E">
        <w:rPr>
          <w:szCs w:val="24"/>
        </w:rPr>
        <w:t xml:space="preserve">. And </w:t>
      </w:r>
      <w:r w:rsidRPr="00B012A9" w:rsidR="00B5156E">
        <w:rPr>
          <w:szCs w:val="24"/>
        </w:rPr>
        <w:t>the</w:t>
      </w:r>
      <w:r w:rsidR="00D41C72">
        <w:rPr>
          <w:szCs w:val="24"/>
        </w:rPr>
        <w:t xml:space="preserve"> PUCO approved a </w:t>
      </w:r>
      <w:r w:rsidRPr="00B012A9">
        <w:rPr>
          <w:szCs w:val="24"/>
        </w:rPr>
        <w:t>10.38% return on equity that is much higher than the return on equity earned by comparable utilities and no longer reflects Dominion’s business risk.</w:t>
      </w:r>
      <w:r>
        <w:rPr>
          <w:rStyle w:val="FootnoteReference"/>
          <w:szCs w:val="24"/>
        </w:rPr>
        <w:footnoteReference w:id="14"/>
      </w:r>
    </w:p>
    <w:p w:rsidR="00CD02CA" w:rsidRPr="00B012A9" w:rsidP="00CD02CA" w14:paraId="04194573" w14:textId="45B68FAC">
      <w:pPr>
        <w:spacing w:line="480" w:lineRule="auto"/>
        <w:ind w:firstLine="720"/>
        <w:rPr>
          <w:szCs w:val="24"/>
        </w:rPr>
      </w:pPr>
      <w:r w:rsidRPr="00B012A9">
        <w:rPr>
          <w:szCs w:val="24"/>
        </w:rPr>
        <w:t xml:space="preserve">Under R.C. 4909.18, the proposals in any application for establishment of change in rate must be shown by the public utility to be just and reasonable. </w:t>
      </w:r>
      <w:r w:rsidRPr="00B012A9" w:rsidR="00D134C8">
        <w:rPr>
          <w:szCs w:val="24"/>
        </w:rPr>
        <w:t xml:space="preserve">The </w:t>
      </w:r>
      <w:r w:rsidR="00E05114">
        <w:rPr>
          <w:szCs w:val="24"/>
        </w:rPr>
        <w:t>PUCO’s Order adopting the Application’s</w:t>
      </w:r>
      <w:r w:rsidRPr="00B012A9" w:rsidR="00D134C8">
        <w:rPr>
          <w:szCs w:val="24"/>
        </w:rPr>
        <w:t xml:space="preserve"> use of an outdated and inflated pre-tax rate of return leads to rates that are unjust and unreasonable for consumers, thus violating Ohio law. </w:t>
      </w:r>
    </w:p>
    <w:p w:rsidR="005D3E69" w:rsidRPr="00B012A9" w:rsidP="00EA119C" w14:paraId="45713057" w14:textId="2EAE52B8">
      <w:pPr>
        <w:widowControl w:val="0"/>
        <w:spacing w:line="480" w:lineRule="auto"/>
        <w:ind w:firstLine="720"/>
        <w:rPr>
          <w:szCs w:val="24"/>
        </w:rPr>
      </w:pPr>
      <w:r w:rsidRPr="00B012A9">
        <w:rPr>
          <w:szCs w:val="24"/>
        </w:rPr>
        <w:t xml:space="preserve">The PUCO’s decision to </w:t>
      </w:r>
      <w:r w:rsidRPr="00B012A9" w:rsidR="00EA119C">
        <w:rPr>
          <w:szCs w:val="24"/>
        </w:rPr>
        <w:t xml:space="preserve">authorize Dominion to use its 13-year-old rate of return </w:t>
      </w:r>
      <w:r w:rsidR="008D56BC">
        <w:rPr>
          <w:szCs w:val="24"/>
        </w:rPr>
        <w:t xml:space="preserve">is based </w:t>
      </w:r>
      <w:r w:rsidR="00B5156E">
        <w:rPr>
          <w:szCs w:val="24"/>
        </w:rPr>
        <w:t xml:space="preserve">on </w:t>
      </w:r>
      <w:r w:rsidRPr="00B012A9" w:rsidR="00B5156E">
        <w:rPr>
          <w:szCs w:val="24"/>
        </w:rPr>
        <w:t>“</w:t>
      </w:r>
      <w:r w:rsidRPr="00B012A9">
        <w:rPr>
          <w:szCs w:val="24"/>
        </w:rPr>
        <w:t>the Commission’s long-standing practice to utilize the cost of capital</w:t>
      </w:r>
      <w:r w:rsidR="00E05114">
        <w:rPr>
          <w:szCs w:val="24"/>
        </w:rPr>
        <w:t>, and other cost of capital components, approved</w:t>
      </w:r>
      <w:r w:rsidRPr="00B012A9">
        <w:rPr>
          <w:szCs w:val="24"/>
        </w:rPr>
        <w:t xml:space="preserve"> in the utility’s last rate case in subsequent alternative rate plan and rider proceedings.”</w:t>
      </w:r>
      <w:r>
        <w:rPr>
          <w:rStyle w:val="FootnoteReference"/>
          <w:szCs w:val="24"/>
        </w:rPr>
        <w:footnoteReference w:id="15"/>
      </w:r>
      <w:r w:rsidR="005220D9">
        <w:rPr>
          <w:szCs w:val="24"/>
        </w:rPr>
        <w:t xml:space="preserve"> </w:t>
      </w:r>
      <w:r w:rsidRPr="00B012A9">
        <w:rPr>
          <w:szCs w:val="24"/>
        </w:rPr>
        <w:t>But the PUCO’s past practice is not a substitute for the legal standard under Ohio law, R.C. 4929.05(A)(3)</w:t>
      </w:r>
      <w:r w:rsidRPr="00B012A9" w:rsidR="00C139A6">
        <w:rPr>
          <w:szCs w:val="24"/>
        </w:rPr>
        <w:t xml:space="preserve"> and R.C. 4909.18</w:t>
      </w:r>
      <w:r w:rsidRPr="00B012A9">
        <w:rPr>
          <w:szCs w:val="24"/>
        </w:rPr>
        <w:t>.</w:t>
      </w:r>
      <w:r w:rsidR="00B012A9">
        <w:rPr>
          <w:szCs w:val="24"/>
        </w:rPr>
        <w:t xml:space="preserve"> </w:t>
      </w:r>
    </w:p>
    <w:p w:rsidR="005D3E69" w:rsidRPr="00B012A9" w:rsidP="005D3E69" w14:paraId="225858D7" w14:textId="7DB0C705">
      <w:pPr>
        <w:spacing w:line="480" w:lineRule="auto"/>
        <w:ind w:firstLine="720"/>
        <w:rPr>
          <w:szCs w:val="24"/>
        </w:rPr>
      </w:pPr>
      <w:r w:rsidRPr="00B012A9">
        <w:rPr>
          <w:szCs w:val="24"/>
        </w:rPr>
        <w:t xml:space="preserve">Under these statutes, the PUCO must find that </w:t>
      </w:r>
      <w:r w:rsidRPr="00B012A9" w:rsidR="00C139A6">
        <w:rPr>
          <w:szCs w:val="24"/>
        </w:rPr>
        <w:t xml:space="preserve">this </w:t>
      </w:r>
      <w:r w:rsidRPr="00B012A9" w:rsidR="00440F37">
        <w:rPr>
          <w:szCs w:val="24"/>
        </w:rPr>
        <w:t xml:space="preserve">five-year </w:t>
      </w:r>
      <w:r w:rsidRPr="00B012A9" w:rsidR="00C139A6">
        <w:rPr>
          <w:szCs w:val="24"/>
        </w:rPr>
        <w:t xml:space="preserve">pipeline infrastructure replacement </w:t>
      </w:r>
      <w:r w:rsidR="00B5156E">
        <w:rPr>
          <w:szCs w:val="24"/>
        </w:rPr>
        <w:t xml:space="preserve">application </w:t>
      </w:r>
      <w:r w:rsidRPr="00B012A9" w:rsidR="00C139A6">
        <w:rPr>
          <w:szCs w:val="24"/>
        </w:rPr>
        <w:t xml:space="preserve">is </w:t>
      </w:r>
      <w:r w:rsidRPr="00B012A9">
        <w:rPr>
          <w:szCs w:val="24"/>
        </w:rPr>
        <w:t>just and reasonable</w:t>
      </w:r>
      <w:r w:rsidRPr="00B012A9" w:rsidR="00DF1CD4">
        <w:rPr>
          <w:szCs w:val="24"/>
        </w:rPr>
        <w:t>, which includes the embedded rate of return.</w:t>
      </w:r>
      <w:r w:rsidRPr="00B012A9">
        <w:rPr>
          <w:szCs w:val="24"/>
        </w:rPr>
        <w:t xml:space="preserve"> Using the outdated and inflated rate of return that was set more than 13 years ago, without any supporting evidence, </w:t>
      </w:r>
      <w:r w:rsidR="008D56BC">
        <w:rPr>
          <w:szCs w:val="24"/>
        </w:rPr>
        <w:t xml:space="preserve">is not just or reasonable. </w:t>
      </w:r>
      <w:r w:rsidRPr="00B012A9">
        <w:rPr>
          <w:szCs w:val="24"/>
        </w:rPr>
        <w:t xml:space="preserve">Using an outdated and inflated rate of return in setting rates means that consumers pay more than they should for Dominion’s </w:t>
      </w:r>
      <w:r w:rsidRPr="00B012A9" w:rsidR="00440F37">
        <w:rPr>
          <w:szCs w:val="24"/>
        </w:rPr>
        <w:t>pipeline infrastructure replacement</w:t>
      </w:r>
      <w:r w:rsidRPr="00B012A9">
        <w:rPr>
          <w:szCs w:val="24"/>
        </w:rPr>
        <w:t xml:space="preserve"> expenditures. Dominion gets a windfall and consumers get a higher bill. </w:t>
      </w:r>
    </w:p>
    <w:p w:rsidR="005D3E69" w:rsidRPr="00B012A9" w:rsidP="005D3E69" w14:paraId="02A50383" w14:textId="77777777">
      <w:pPr>
        <w:spacing w:line="480" w:lineRule="auto"/>
        <w:ind w:firstLine="720"/>
        <w:rPr>
          <w:szCs w:val="24"/>
        </w:rPr>
      </w:pPr>
      <w:r w:rsidRPr="00B012A9">
        <w:rPr>
          <w:szCs w:val="24"/>
        </w:rPr>
        <w:t>The PUCO should grant rehearing on Assignment of Error No. 1.</w:t>
      </w:r>
    </w:p>
    <w:p w:rsidR="00956052" w:rsidRPr="00682FF8" w:rsidP="005220D9" w14:paraId="71F49175" w14:textId="1094E154">
      <w:pPr>
        <w:widowControl w:val="0"/>
        <w:ind w:left="1440" w:hanging="720"/>
        <w:rPr>
          <w:b/>
          <w:bCs/>
          <w:szCs w:val="24"/>
        </w:rPr>
      </w:pPr>
      <w:bookmarkStart w:id="9" w:name="_Toc103939975"/>
      <w:bookmarkStart w:id="10" w:name="_Toc107583685"/>
      <w:bookmarkStart w:id="11" w:name="_Toc99108385"/>
      <w:r w:rsidRPr="002F6874">
        <w:rPr>
          <w:rStyle w:val="Heading2Char"/>
        </w:rPr>
        <w:t>B.</w:t>
      </w:r>
      <w:r w:rsidRPr="002F6874">
        <w:rPr>
          <w:rStyle w:val="Heading2Char"/>
        </w:rPr>
        <w:tab/>
        <w:t>ASSIGNMENT OF ERROR NO. 2:</w:t>
      </w:r>
      <w:r w:rsidR="00DA500D">
        <w:rPr>
          <w:rStyle w:val="Heading2Char"/>
        </w:rPr>
        <w:t xml:space="preserve"> </w:t>
      </w:r>
      <w:r w:rsidRPr="002F6874">
        <w:rPr>
          <w:rStyle w:val="Heading2Char"/>
        </w:rPr>
        <w:t xml:space="preserve">The PUCO erred by </w:t>
      </w:r>
      <w:r w:rsidR="00DA500D">
        <w:rPr>
          <w:rStyle w:val="Heading2Char"/>
        </w:rPr>
        <w:t xml:space="preserve">charging consumers </w:t>
      </w:r>
      <w:r w:rsidRPr="002F6874">
        <w:rPr>
          <w:rStyle w:val="Heading2Char"/>
        </w:rPr>
        <w:t xml:space="preserve">Dominion’s 13-year-old rate of return (including both return on equity and cost of debt) </w:t>
      </w:r>
      <w:r w:rsidR="00DA500D">
        <w:rPr>
          <w:rStyle w:val="Heading2Char"/>
        </w:rPr>
        <w:t xml:space="preserve">without </w:t>
      </w:r>
      <w:r w:rsidRPr="002F6874">
        <w:rPr>
          <w:rStyle w:val="Heading2Char"/>
        </w:rPr>
        <w:t xml:space="preserve">record support. The PUCO thereby violated R.C. 4903.09 and binding Ohio Supreme Court precedent in </w:t>
      </w:r>
      <w:r w:rsidRPr="009910CC">
        <w:rPr>
          <w:rStyle w:val="Heading2Char"/>
          <w:i/>
          <w:iCs/>
        </w:rPr>
        <w:t>Tongren</w:t>
      </w:r>
      <w:r w:rsidRPr="002F6874">
        <w:rPr>
          <w:rStyle w:val="Heading2Char"/>
        </w:rPr>
        <w:t xml:space="preserve"> and </w:t>
      </w:r>
      <w:r w:rsidRPr="009910CC">
        <w:rPr>
          <w:rStyle w:val="Heading2Char"/>
          <w:i/>
          <w:iCs/>
        </w:rPr>
        <w:t>Suvon</w:t>
      </w:r>
      <w:r w:rsidRPr="002F6874">
        <w:rPr>
          <w:rStyle w:val="Heading2Char"/>
        </w:rPr>
        <w:t>,</w:t>
      </w:r>
      <w:r>
        <w:rPr>
          <w:rStyle w:val="Heading2Char"/>
          <w:vertAlign w:val="superscript"/>
        </w:rPr>
        <w:footnoteReference w:id="16"/>
      </w:r>
      <w:r w:rsidRPr="002F6874">
        <w:rPr>
          <w:rStyle w:val="Heading2Char"/>
        </w:rPr>
        <w:t xml:space="preserve"> resulting in an unreasonable and unlawful decision.</w:t>
      </w:r>
      <w:bookmarkEnd w:id="9"/>
      <w:bookmarkEnd w:id="10"/>
    </w:p>
    <w:bookmarkEnd w:id="11"/>
    <w:p w:rsidR="00186D39" w:rsidRPr="00682FF8" w:rsidP="002A1308" w14:paraId="33E7EE1A" w14:textId="31D5A1C0">
      <w:pPr>
        <w:pStyle w:val="Heading2"/>
        <w:spacing w:after="0"/>
        <w:rPr>
          <w:bCs/>
        </w:rPr>
      </w:pPr>
    </w:p>
    <w:p w:rsidR="00455F27" w:rsidP="00455F27" w14:paraId="2B9A48BC" w14:textId="4ACF66EE">
      <w:pPr>
        <w:pStyle w:val="ListParagraph"/>
        <w:spacing w:line="480" w:lineRule="auto"/>
        <w:ind w:left="0" w:firstLine="720"/>
      </w:pPr>
      <w:r>
        <w:t>OCC is the only party in this case to address and quantify issues related to a proper pre-tax rate of return applicable to Dominion’s pipeline infrastructure replacement program.</w:t>
      </w:r>
      <w:r>
        <w:rPr>
          <w:rStyle w:val="FootnoteReference"/>
        </w:rPr>
        <w:footnoteReference w:id="17"/>
      </w:r>
      <w:r>
        <w:t xml:space="preserve"> OCC’s testimony is undisputed</w:t>
      </w:r>
      <w:r w:rsidR="00ED5828">
        <w:t xml:space="preserve"> and </w:t>
      </w:r>
      <w:r w:rsidR="00C25BB7">
        <w:t xml:space="preserve">is </w:t>
      </w:r>
      <w:r w:rsidR="00ED5828">
        <w:t>the only evidence on the record regarding Dominion’s current cost of debt and return on equity.</w:t>
      </w:r>
      <w:r>
        <w:t xml:space="preserve"> OCC demonstrated that a reasonable pre-tax rate of return for Dominion should be no higher than 7.20% based on Dominion’s actual cost of debt of 2.29% and cost of equity of 9.36%.</w:t>
      </w:r>
      <w:r>
        <w:rPr>
          <w:rStyle w:val="FootnoteReference"/>
        </w:rPr>
        <w:footnoteReference w:id="18"/>
      </w:r>
      <w:r>
        <w:t xml:space="preserve"> More importantly, the PUCO has also concluded that “the Company’s </w:t>
      </w:r>
      <w:r w:rsidR="00D82D09">
        <w:t xml:space="preserve">[Dominion] </w:t>
      </w:r>
      <w:r>
        <w:t>current cost of debt rate has significantly decreased since its last rate case “</w:t>
      </w:r>
      <w:r>
        <w:rPr>
          <w:rStyle w:val="FootnoteReference"/>
        </w:rPr>
        <w:footnoteReference w:id="19"/>
      </w:r>
      <w:r>
        <w:t xml:space="preserve"> and that the cost of capital has recently fallen.</w:t>
      </w:r>
      <w:r>
        <w:rPr>
          <w:rStyle w:val="FootnoteReference"/>
        </w:rPr>
        <w:footnoteReference w:id="20"/>
      </w:r>
      <w:r>
        <w:t xml:space="preserve"> </w:t>
      </w:r>
    </w:p>
    <w:p w:rsidR="00186D39" w:rsidRPr="00B012A9" w:rsidP="00B13C44" w14:paraId="63A61B0F" w14:textId="47307041">
      <w:pPr>
        <w:spacing w:line="480" w:lineRule="auto"/>
        <w:ind w:firstLine="720"/>
        <w:rPr>
          <w:i/>
          <w:iCs/>
          <w:szCs w:val="24"/>
        </w:rPr>
      </w:pPr>
      <w:r>
        <w:rPr>
          <w:szCs w:val="24"/>
        </w:rPr>
        <w:t>The PUCO disregard</w:t>
      </w:r>
      <w:r w:rsidR="008D56BC">
        <w:rPr>
          <w:szCs w:val="24"/>
        </w:rPr>
        <w:t xml:space="preserve">ed Dr. Duann’s </w:t>
      </w:r>
      <w:r>
        <w:rPr>
          <w:szCs w:val="24"/>
        </w:rPr>
        <w:t>testimony</w:t>
      </w:r>
      <w:r w:rsidR="00ED5828">
        <w:rPr>
          <w:szCs w:val="24"/>
        </w:rPr>
        <w:t xml:space="preserve"> without explanation</w:t>
      </w:r>
      <w:r>
        <w:rPr>
          <w:szCs w:val="24"/>
        </w:rPr>
        <w:t xml:space="preserve">. </w:t>
      </w:r>
      <w:r w:rsidR="00ED5828">
        <w:rPr>
          <w:szCs w:val="24"/>
        </w:rPr>
        <w:t>The PUCO’s Order never identified any methodology or data errors that would make OCC’s recommend</w:t>
      </w:r>
      <w:r w:rsidR="00DA500D">
        <w:rPr>
          <w:szCs w:val="24"/>
        </w:rPr>
        <w:t>ed</w:t>
      </w:r>
      <w:r w:rsidR="008D56BC">
        <w:rPr>
          <w:szCs w:val="24"/>
        </w:rPr>
        <w:t xml:space="preserve"> rate of return </w:t>
      </w:r>
      <w:r w:rsidR="00ED5828">
        <w:rPr>
          <w:szCs w:val="24"/>
        </w:rPr>
        <w:t xml:space="preserve">unreliable or unreasonable. </w:t>
      </w:r>
      <w:r w:rsidRPr="00B012A9" w:rsidR="00D134C8">
        <w:rPr>
          <w:szCs w:val="24"/>
        </w:rPr>
        <w:t xml:space="preserve">The PUCO’s decision authorizing </w:t>
      </w:r>
      <w:r w:rsidR="00DA500D">
        <w:rPr>
          <w:szCs w:val="24"/>
        </w:rPr>
        <w:t>Dominion to use its 13-year-old rate of return (including both return on equity and cost of debt</w:t>
      </w:r>
      <w:r w:rsidR="005C2248">
        <w:rPr>
          <w:szCs w:val="24"/>
        </w:rPr>
        <w:t xml:space="preserve">) </w:t>
      </w:r>
      <w:r w:rsidR="00DA500D">
        <w:rPr>
          <w:szCs w:val="24"/>
        </w:rPr>
        <w:t xml:space="preserve">without any record support, </w:t>
      </w:r>
      <w:r w:rsidRPr="00B012A9" w:rsidR="00D134C8">
        <w:rPr>
          <w:szCs w:val="24"/>
        </w:rPr>
        <w:t xml:space="preserve">is unreasonable and unlawful. It violates R.C. 4903.09 and is inconsistent with Ohio Supreme Court (“Court”) precedent in </w:t>
      </w:r>
      <w:r w:rsidRPr="00B012A9" w:rsidR="00D134C8">
        <w:rPr>
          <w:i/>
          <w:iCs/>
          <w:szCs w:val="24"/>
        </w:rPr>
        <w:t xml:space="preserve">Tongren </w:t>
      </w:r>
      <w:r w:rsidRPr="00B012A9" w:rsidR="00D134C8">
        <w:rPr>
          <w:szCs w:val="24"/>
        </w:rPr>
        <w:t xml:space="preserve">and </w:t>
      </w:r>
      <w:r w:rsidRPr="00B012A9" w:rsidR="00D134C8">
        <w:rPr>
          <w:i/>
          <w:iCs/>
          <w:szCs w:val="24"/>
        </w:rPr>
        <w:t>Suvon</w:t>
      </w:r>
      <w:r w:rsidRPr="00B012A9" w:rsidR="00D134C8">
        <w:rPr>
          <w:szCs w:val="24"/>
        </w:rPr>
        <w:t>.</w:t>
      </w:r>
      <w:r>
        <w:rPr>
          <w:rStyle w:val="FootnoteReference"/>
          <w:szCs w:val="24"/>
        </w:rPr>
        <w:footnoteReference w:id="21"/>
      </w:r>
      <w:r w:rsidRPr="00B012A9" w:rsidR="00D134C8">
        <w:rPr>
          <w:i/>
          <w:iCs/>
          <w:szCs w:val="24"/>
        </w:rPr>
        <w:t xml:space="preserve"> </w:t>
      </w:r>
    </w:p>
    <w:p w:rsidR="00186D39" w:rsidRPr="00B012A9" w:rsidP="00186D39" w14:paraId="7668F074" w14:textId="77777777">
      <w:pPr>
        <w:spacing w:line="480" w:lineRule="auto"/>
        <w:rPr>
          <w:szCs w:val="24"/>
        </w:rPr>
      </w:pPr>
      <w:r w:rsidRPr="00B012A9">
        <w:rPr>
          <w:i/>
          <w:iCs/>
          <w:szCs w:val="24"/>
        </w:rPr>
        <w:tab/>
      </w:r>
      <w:r w:rsidRPr="00B012A9">
        <w:rPr>
          <w:szCs w:val="24"/>
        </w:rPr>
        <w:t xml:space="preserve">Under R.C. 4903.09, PUCO decisions must be based on </w:t>
      </w:r>
      <w:r w:rsidRPr="00E05114">
        <w:rPr>
          <w:szCs w:val="24"/>
        </w:rPr>
        <w:t>findings of fact</w:t>
      </w:r>
      <w:r w:rsidRPr="00B012A9">
        <w:rPr>
          <w:szCs w:val="24"/>
        </w:rPr>
        <w:t xml:space="preserve"> and written opinions setting forth the reasons prompting the decisions arrived at, based upon said </w:t>
      </w:r>
      <w:r w:rsidRPr="00E05114">
        <w:rPr>
          <w:szCs w:val="24"/>
        </w:rPr>
        <w:t>findings of fact</w:t>
      </w:r>
      <w:r w:rsidRPr="00B012A9">
        <w:rPr>
          <w:szCs w:val="24"/>
        </w:rPr>
        <w:t>.</w:t>
      </w:r>
      <w:r>
        <w:rPr>
          <w:rStyle w:val="FootnoteReference"/>
          <w:szCs w:val="24"/>
        </w:rPr>
        <w:footnoteReference w:id="22"/>
      </w:r>
      <w:r w:rsidRPr="00B012A9">
        <w:rPr>
          <w:szCs w:val="24"/>
        </w:rPr>
        <w:t xml:space="preserve"> This requirement was confirmed by the Ohio Supreme Court in </w:t>
      </w:r>
      <w:r w:rsidRPr="00B012A9">
        <w:rPr>
          <w:i/>
          <w:iCs/>
          <w:szCs w:val="24"/>
        </w:rPr>
        <w:t>Tongren</w:t>
      </w:r>
      <w:r w:rsidRPr="00B012A9">
        <w:rPr>
          <w:szCs w:val="24"/>
        </w:rPr>
        <w:t>,</w:t>
      </w:r>
      <w:r>
        <w:rPr>
          <w:rStyle w:val="FootnoteReference"/>
          <w:szCs w:val="24"/>
        </w:rPr>
        <w:footnoteReference w:id="23"/>
      </w:r>
      <w:r w:rsidRPr="00B012A9">
        <w:rPr>
          <w:szCs w:val="24"/>
        </w:rPr>
        <w:t xml:space="preserve"> and most recently in </w:t>
      </w:r>
      <w:r w:rsidRPr="00B012A9">
        <w:rPr>
          <w:i/>
          <w:iCs/>
          <w:szCs w:val="24"/>
        </w:rPr>
        <w:t>Suvon</w:t>
      </w:r>
      <w:r w:rsidRPr="00B012A9">
        <w:rPr>
          <w:szCs w:val="24"/>
        </w:rPr>
        <w:t>.</w:t>
      </w:r>
      <w:r>
        <w:rPr>
          <w:rStyle w:val="FootnoteReference"/>
          <w:szCs w:val="24"/>
        </w:rPr>
        <w:footnoteReference w:id="24"/>
      </w:r>
    </w:p>
    <w:p w:rsidR="00186D39" w:rsidRPr="00B012A9" w:rsidP="00186D39" w14:paraId="32DD8276" w14:textId="0E08678F">
      <w:pPr>
        <w:spacing w:line="480" w:lineRule="auto"/>
        <w:ind w:firstLine="720"/>
        <w:rPr>
          <w:szCs w:val="24"/>
        </w:rPr>
      </w:pPr>
      <w:r w:rsidRPr="00B012A9">
        <w:rPr>
          <w:szCs w:val="24"/>
        </w:rPr>
        <w:t xml:space="preserve">In </w:t>
      </w:r>
      <w:r w:rsidRPr="00B012A9">
        <w:rPr>
          <w:i/>
          <w:iCs/>
          <w:szCs w:val="24"/>
        </w:rPr>
        <w:t>Tongren</w:t>
      </w:r>
      <w:r w:rsidRPr="00B012A9">
        <w:rPr>
          <w:szCs w:val="24"/>
        </w:rPr>
        <w:t xml:space="preserve"> and </w:t>
      </w:r>
      <w:r w:rsidRPr="00B012A9">
        <w:rPr>
          <w:i/>
          <w:iCs/>
          <w:szCs w:val="24"/>
        </w:rPr>
        <w:t>Suvon</w:t>
      </w:r>
      <w:r w:rsidRPr="00B012A9">
        <w:rPr>
          <w:szCs w:val="24"/>
        </w:rPr>
        <w:t>, the Court determined that a PUCO order must provide “in sufficient detail, the facts in the record upon which the order is based, and the reasoning followed by the PUCO in reaching its conclusion.”</w:t>
      </w:r>
      <w:r>
        <w:rPr>
          <w:rStyle w:val="FootnoteReference"/>
          <w:szCs w:val="24"/>
        </w:rPr>
        <w:footnoteReference w:id="25"/>
      </w:r>
      <w:r w:rsidRPr="00B012A9">
        <w:rPr>
          <w:szCs w:val="24"/>
        </w:rPr>
        <w:t xml:space="preserve"> The Court also clarified that some </w:t>
      </w:r>
      <w:r w:rsidR="00455F27">
        <w:rPr>
          <w:szCs w:val="24"/>
        </w:rPr>
        <w:t>f</w:t>
      </w:r>
      <w:r w:rsidRPr="00B012A9">
        <w:rPr>
          <w:szCs w:val="24"/>
        </w:rPr>
        <w:t>actual support for PUCO determinations must exist in the record – an obligation that the PUCO itself has recognized in its orders.</w:t>
      </w:r>
      <w:r>
        <w:rPr>
          <w:rStyle w:val="FootnoteReference"/>
          <w:szCs w:val="24"/>
        </w:rPr>
        <w:footnoteReference w:id="26"/>
      </w:r>
      <w:r w:rsidRPr="00B012A9">
        <w:rPr>
          <w:szCs w:val="24"/>
        </w:rPr>
        <w:t xml:space="preserve"> </w:t>
      </w:r>
    </w:p>
    <w:p w:rsidR="00407D98" w:rsidRPr="00B012A9" w:rsidP="00186D39" w14:paraId="4375F346" w14:textId="623917F4">
      <w:pPr>
        <w:spacing w:line="480" w:lineRule="auto"/>
        <w:ind w:firstLine="720"/>
        <w:rPr>
          <w:szCs w:val="24"/>
        </w:rPr>
      </w:pPr>
      <w:r w:rsidRPr="00B012A9">
        <w:rPr>
          <w:szCs w:val="24"/>
        </w:rPr>
        <w:t xml:space="preserve">The PUCO’s decision violates R.C. 4903.09, </w:t>
      </w:r>
      <w:r w:rsidRPr="00B012A9">
        <w:rPr>
          <w:i/>
          <w:iCs/>
          <w:szCs w:val="24"/>
        </w:rPr>
        <w:t>Tongren</w:t>
      </w:r>
      <w:r w:rsidRPr="00B012A9">
        <w:rPr>
          <w:szCs w:val="24"/>
        </w:rPr>
        <w:t>,</w:t>
      </w:r>
      <w:r w:rsidRPr="00B012A9">
        <w:rPr>
          <w:i/>
          <w:iCs/>
          <w:szCs w:val="24"/>
        </w:rPr>
        <w:t xml:space="preserve"> </w:t>
      </w:r>
      <w:r w:rsidRPr="00B012A9">
        <w:rPr>
          <w:szCs w:val="24"/>
        </w:rPr>
        <w:t xml:space="preserve">and </w:t>
      </w:r>
      <w:r w:rsidRPr="00B012A9">
        <w:rPr>
          <w:i/>
          <w:iCs/>
          <w:szCs w:val="24"/>
        </w:rPr>
        <w:t>Suvon</w:t>
      </w:r>
      <w:r w:rsidRPr="00B012A9">
        <w:rPr>
          <w:szCs w:val="24"/>
        </w:rPr>
        <w:t xml:space="preserve"> because it approved </w:t>
      </w:r>
      <w:r w:rsidR="002B5ECD">
        <w:rPr>
          <w:szCs w:val="24"/>
        </w:rPr>
        <w:t>Dominion’s application without c</w:t>
      </w:r>
      <w:r w:rsidRPr="00B012A9">
        <w:rPr>
          <w:szCs w:val="24"/>
        </w:rPr>
        <w:t xml:space="preserve">iting to </w:t>
      </w:r>
      <w:r w:rsidRPr="00B012A9">
        <w:rPr>
          <w:i/>
          <w:iCs/>
          <w:szCs w:val="24"/>
        </w:rPr>
        <w:t>evidence</w:t>
      </w:r>
      <w:r w:rsidRPr="00B012A9">
        <w:rPr>
          <w:szCs w:val="24"/>
        </w:rPr>
        <w:t xml:space="preserve"> in the record that the rates are just and reasonable. (In point of fact, it could not have. The </w:t>
      </w:r>
      <w:r w:rsidRPr="00B012A9">
        <w:rPr>
          <w:i/>
          <w:iCs/>
          <w:szCs w:val="24"/>
        </w:rPr>
        <w:t>only</w:t>
      </w:r>
      <w:r w:rsidRPr="00B012A9">
        <w:rPr>
          <w:szCs w:val="24"/>
        </w:rPr>
        <w:t xml:space="preserve"> evidence in the record, was the uncontroverted testimony of OCC Witness Dr. Duann that the rates were </w:t>
      </w:r>
      <w:r w:rsidRPr="00B012A9">
        <w:rPr>
          <w:i/>
          <w:iCs/>
          <w:szCs w:val="24"/>
        </w:rPr>
        <w:t>un</w:t>
      </w:r>
      <w:r w:rsidRPr="00B012A9">
        <w:rPr>
          <w:szCs w:val="24"/>
        </w:rPr>
        <w:t xml:space="preserve">just and </w:t>
      </w:r>
      <w:r w:rsidRPr="00B012A9">
        <w:rPr>
          <w:i/>
          <w:iCs/>
          <w:szCs w:val="24"/>
        </w:rPr>
        <w:t>un</w:t>
      </w:r>
      <w:r w:rsidRPr="00B012A9">
        <w:rPr>
          <w:szCs w:val="24"/>
        </w:rPr>
        <w:t>reasonable.)</w:t>
      </w:r>
      <w:r>
        <w:rPr>
          <w:rStyle w:val="FootnoteReference"/>
          <w:szCs w:val="24"/>
        </w:rPr>
        <w:footnoteReference w:id="27"/>
      </w:r>
      <w:r w:rsidRPr="00B012A9">
        <w:rPr>
          <w:szCs w:val="24"/>
        </w:rPr>
        <w:t xml:space="preserve"> Instead, the PUCO simply adopted Dominion’s 13-year-old rate of return in setting the rates charged to consumers.</w:t>
      </w:r>
      <w:r>
        <w:rPr>
          <w:rStyle w:val="FootnoteReference"/>
          <w:szCs w:val="24"/>
        </w:rPr>
        <w:footnoteReference w:id="28"/>
      </w:r>
      <w:r w:rsidRPr="00B012A9">
        <w:rPr>
          <w:szCs w:val="24"/>
        </w:rPr>
        <w:t xml:space="preserve"> </w:t>
      </w:r>
    </w:p>
    <w:p w:rsidR="00186D39" w:rsidRPr="00B012A9" w:rsidP="00186D39" w14:paraId="76E2A721" w14:textId="26E6C5C9">
      <w:pPr>
        <w:spacing w:line="480" w:lineRule="auto"/>
        <w:ind w:firstLine="720"/>
        <w:rPr>
          <w:szCs w:val="24"/>
        </w:rPr>
      </w:pPr>
      <w:r w:rsidRPr="00B012A9">
        <w:rPr>
          <w:szCs w:val="24"/>
        </w:rPr>
        <w:t>To support this, the PUCO</w:t>
      </w:r>
      <w:r w:rsidRPr="00B012A9" w:rsidR="00773DDC">
        <w:rPr>
          <w:szCs w:val="24"/>
        </w:rPr>
        <w:t xml:space="preserve"> concluded that</w:t>
      </w:r>
      <w:r w:rsidRPr="00B012A9">
        <w:rPr>
          <w:szCs w:val="24"/>
        </w:rPr>
        <w:t xml:space="preserve"> “i</w:t>
      </w:r>
      <w:r w:rsidRPr="00B012A9" w:rsidR="00773DDC">
        <w:rPr>
          <w:szCs w:val="24"/>
        </w:rPr>
        <w:t>t</w:t>
      </w:r>
      <w:r w:rsidRPr="00B012A9">
        <w:rPr>
          <w:szCs w:val="24"/>
        </w:rPr>
        <w:t xml:space="preserve"> has been the Commission’s long</w:t>
      </w:r>
      <w:r w:rsidRPr="00B012A9" w:rsidR="00407D98">
        <w:rPr>
          <w:szCs w:val="24"/>
        </w:rPr>
        <w:t>-</w:t>
      </w:r>
      <w:r w:rsidRPr="00B012A9">
        <w:rPr>
          <w:szCs w:val="24"/>
        </w:rPr>
        <w:t xml:space="preserve">standing practice to utilize the </w:t>
      </w:r>
      <w:r w:rsidR="000532FB">
        <w:rPr>
          <w:szCs w:val="24"/>
        </w:rPr>
        <w:t xml:space="preserve">cost of capital, and other cost of capital components, </w:t>
      </w:r>
      <w:r w:rsidRPr="00B012A9">
        <w:rPr>
          <w:szCs w:val="24"/>
        </w:rPr>
        <w:t>approved rate of return from a utility’s last rate case in subsequent alternative regulation and rider proceedings.”</w:t>
      </w:r>
      <w:r>
        <w:rPr>
          <w:rStyle w:val="FootnoteReference"/>
          <w:szCs w:val="24"/>
        </w:rPr>
        <w:footnoteReference w:id="29"/>
      </w:r>
      <w:r w:rsidRPr="00B012A9">
        <w:rPr>
          <w:szCs w:val="24"/>
        </w:rPr>
        <w:t xml:space="preserve"> But the PUCO’s declaration that it is doing what it always has done is no substitute for record support (which is what the law requires). The PUCO still has to determine that rates charged to consumers now (in 2022) by using a rate of return set in a rate case 13 years ago (2008) is just and reasonable. Without record support, the PUCO’s decision is unreasonable and unlawful.</w:t>
      </w:r>
    </w:p>
    <w:p w:rsidR="00102FCE" w:rsidRPr="00B012A9" w:rsidP="00102FCE" w14:paraId="3C4BEAA7" w14:textId="67292F22">
      <w:pPr>
        <w:spacing w:line="480" w:lineRule="auto"/>
        <w:ind w:firstLine="720"/>
        <w:rPr>
          <w:szCs w:val="24"/>
        </w:rPr>
      </w:pPr>
      <w:r w:rsidRPr="00B012A9">
        <w:rPr>
          <w:szCs w:val="24"/>
        </w:rPr>
        <w:t xml:space="preserve">The PUCO does not cite to record </w:t>
      </w:r>
      <w:r w:rsidRPr="00B012A9">
        <w:rPr>
          <w:i/>
          <w:iCs/>
          <w:szCs w:val="24"/>
        </w:rPr>
        <w:t>evidence</w:t>
      </w:r>
      <w:r w:rsidRPr="00B012A9">
        <w:rPr>
          <w:szCs w:val="24"/>
        </w:rPr>
        <w:t xml:space="preserve"> in this case</w:t>
      </w:r>
      <w:r w:rsidRPr="00B012A9">
        <w:rPr>
          <w:i/>
          <w:iCs/>
          <w:szCs w:val="24"/>
        </w:rPr>
        <w:t xml:space="preserve"> </w:t>
      </w:r>
      <w:r w:rsidRPr="00B012A9">
        <w:rPr>
          <w:szCs w:val="24"/>
        </w:rPr>
        <w:t xml:space="preserve">to support its decision. </w:t>
      </w:r>
      <w:r w:rsidR="000532FB">
        <w:rPr>
          <w:szCs w:val="24"/>
        </w:rPr>
        <w:t>The PUCO concludes that “is obligated to follow its precedent.”</w:t>
      </w:r>
      <w:r>
        <w:rPr>
          <w:rStyle w:val="FootnoteReference"/>
          <w:szCs w:val="24"/>
        </w:rPr>
        <w:footnoteReference w:id="30"/>
      </w:r>
      <w:r w:rsidR="00D5233D">
        <w:rPr>
          <w:szCs w:val="24"/>
        </w:rPr>
        <w:t xml:space="preserve"> </w:t>
      </w:r>
      <w:r w:rsidRPr="00B012A9">
        <w:rPr>
          <w:szCs w:val="24"/>
        </w:rPr>
        <w:t xml:space="preserve">Past precedent is not sufficient to meet the requirements of R.C. 4903.09, </w:t>
      </w:r>
      <w:r w:rsidRPr="00B012A9">
        <w:rPr>
          <w:i/>
          <w:iCs/>
          <w:szCs w:val="24"/>
        </w:rPr>
        <w:t xml:space="preserve">Tongren, </w:t>
      </w:r>
      <w:r w:rsidRPr="00B012A9">
        <w:rPr>
          <w:szCs w:val="24"/>
        </w:rPr>
        <w:t xml:space="preserve">and </w:t>
      </w:r>
      <w:r w:rsidRPr="00B012A9">
        <w:rPr>
          <w:i/>
          <w:iCs/>
          <w:szCs w:val="24"/>
        </w:rPr>
        <w:t xml:space="preserve">Suvon </w:t>
      </w:r>
      <w:r w:rsidRPr="00B012A9">
        <w:rPr>
          <w:szCs w:val="24"/>
        </w:rPr>
        <w:t>for record evidence</w:t>
      </w:r>
      <w:r w:rsidRPr="00B012A9">
        <w:rPr>
          <w:i/>
          <w:iCs/>
          <w:szCs w:val="24"/>
        </w:rPr>
        <w:t xml:space="preserve">. </w:t>
      </w:r>
    </w:p>
    <w:p w:rsidR="00F82347" w:rsidP="00102FCE" w14:paraId="4775CD01" w14:textId="107CD04C">
      <w:pPr>
        <w:spacing w:line="480" w:lineRule="auto"/>
        <w:ind w:firstLine="720"/>
        <w:rPr>
          <w:szCs w:val="24"/>
        </w:rPr>
      </w:pPr>
      <w:r w:rsidRPr="00B012A9">
        <w:rPr>
          <w:szCs w:val="24"/>
        </w:rPr>
        <w:t>The PUCO should grant rehearing on Assignment of Error No. 2.</w:t>
      </w:r>
    </w:p>
    <w:p w:rsidR="00F82347" w14:paraId="1F4FBCAB" w14:textId="77777777">
      <w:pPr>
        <w:rPr>
          <w:szCs w:val="24"/>
        </w:rPr>
      </w:pPr>
      <w:r>
        <w:rPr>
          <w:szCs w:val="24"/>
        </w:rPr>
        <w:br w:type="page"/>
      </w:r>
    </w:p>
    <w:p w:rsidR="00682FF8" w:rsidRPr="00682FF8" w:rsidP="002F6874" w14:paraId="338CF772" w14:textId="7A44FBB0">
      <w:pPr>
        <w:widowControl w:val="0"/>
        <w:ind w:left="1440" w:hanging="720"/>
        <w:rPr>
          <w:b/>
          <w:bCs/>
          <w:szCs w:val="24"/>
        </w:rPr>
      </w:pPr>
      <w:bookmarkStart w:id="12" w:name="_Toc103939976"/>
      <w:bookmarkStart w:id="13" w:name="_Toc107583686"/>
      <w:bookmarkStart w:id="14" w:name="_Toc99108386"/>
      <w:r w:rsidRPr="002F6874">
        <w:rPr>
          <w:rStyle w:val="Heading2Char"/>
        </w:rPr>
        <w:t>C.</w:t>
      </w:r>
      <w:r w:rsidRPr="002F6874">
        <w:rPr>
          <w:rStyle w:val="Heading2Char"/>
        </w:rPr>
        <w:tab/>
        <w:t xml:space="preserve">ASSIGNMENT OF ERROR NO. 3: The PUCO erred by </w:t>
      </w:r>
      <w:r w:rsidR="00D5233D">
        <w:rPr>
          <w:rStyle w:val="Heading2Char"/>
        </w:rPr>
        <w:t xml:space="preserve">relying on “precedent” </w:t>
      </w:r>
      <w:r w:rsidR="00391F02">
        <w:rPr>
          <w:rStyle w:val="Heading2Char"/>
        </w:rPr>
        <w:t>instead of its obligation to take into account changes in facts and circumstances</w:t>
      </w:r>
      <w:r w:rsidR="00C25BB7">
        <w:rPr>
          <w:rStyle w:val="Heading2Char"/>
        </w:rPr>
        <w:t xml:space="preserve"> </w:t>
      </w:r>
      <w:r w:rsidR="00D5233D">
        <w:rPr>
          <w:rStyle w:val="Heading2Char"/>
        </w:rPr>
        <w:t xml:space="preserve">in approving </w:t>
      </w:r>
      <w:r w:rsidR="008C7F2E">
        <w:rPr>
          <w:rStyle w:val="Heading2Char"/>
        </w:rPr>
        <w:t xml:space="preserve">Dominion’s </w:t>
      </w:r>
      <w:r w:rsidR="00614B9E">
        <w:rPr>
          <w:rStyle w:val="Heading2Char"/>
        </w:rPr>
        <w:t>charges to consumers</w:t>
      </w:r>
      <w:r w:rsidR="008C7F2E">
        <w:rPr>
          <w:rStyle w:val="Heading2Char"/>
        </w:rPr>
        <w:t xml:space="preserve"> </w:t>
      </w:r>
      <w:r w:rsidR="00614B9E">
        <w:rPr>
          <w:rStyle w:val="Heading2Char"/>
        </w:rPr>
        <w:t xml:space="preserve">embedded </w:t>
      </w:r>
      <w:r w:rsidR="00D5233D">
        <w:rPr>
          <w:rStyle w:val="Heading2Char"/>
        </w:rPr>
        <w:t>with a</w:t>
      </w:r>
      <w:r w:rsidR="008C7F2E">
        <w:rPr>
          <w:rStyle w:val="Heading2Char"/>
        </w:rPr>
        <w:t>n inflated</w:t>
      </w:r>
      <w:r w:rsidR="00D5233D">
        <w:rPr>
          <w:rStyle w:val="Heading2Char"/>
        </w:rPr>
        <w:t xml:space="preserve"> 13-year-old rate of return </w:t>
      </w:r>
      <w:r w:rsidR="00C11203">
        <w:rPr>
          <w:rStyle w:val="Heading2Char"/>
        </w:rPr>
        <w:t xml:space="preserve">and </w:t>
      </w:r>
      <w:r w:rsidR="00D5233D">
        <w:rPr>
          <w:rStyle w:val="Heading2Char"/>
        </w:rPr>
        <w:t>instead of</w:t>
      </w:r>
      <w:r w:rsidR="00614B9E">
        <w:rPr>
          <w:rStyle w:val="Heading2Char"/>
        </w:rPr>
        <w:t xml:space="preserve"> </w:t>
      </w:r>
      <w:r w:rsidR="00BA0249">
        <w:rPr>
          <w:rStyle w:val="Heading2Char"/>
        </w:rPr>
        <w:t xml:space="preserve">evaluating the </w:t>
      </w:r>
      <w:r w:rsidR="009A09CC">
        <w:rPr>
          <w:rStyle w:val="Heading2Char"/>
        </w:rPr>
        <w:t>application</w:t>
      </w:r>
      <w:r w:rsidR="00BA0249">
        <w:rPr>
          <w:rStyle w:val="Heading2Char"/>
        </w:rPr>
        <w:t xml:space="preserve"> under applicable </w:t>
      </w:r>
      <w:r w:rsidR="00614B9E">
        <w:rPr>
          <w:rStyle w:val="Heading2Char"/>
        </w:rPr>
        <w:t>Ohio law</w:t>
      </w:r>
      <w:r w:rsidR="00A844B4">
        <w:rPr>
          <w:rStyle w:val="Heading2Char"/>
        </w:rPr>
        <w:t xml:space="preserve"> (</w:t>
      </w:r>
      <w:r w:rsidR="00BA0249">
        <w:rPr>
          <w:rStyle w:val="Heading2Char"/>
        </w:rPr>
        <w:t>R.C. 4929.05(A)(3)</w:t>
      </w:r>
      <w:r w:rsidR="001E3FFD">
        <w:rPr>
          <w:rStyle w:val="Heading2Char"/>
        </w:rPr>
        <w:t xml:space="preserve">; </w:t>
      </w:r>
      <w:r w:rsidR="00BA0249">
        <w:rPr>
          <w:rStyle w:val="Heading2Char"/>
        </w:rPr>
        <w:t>4905.22</w:t>
      </w:r>
      <w:r w:rsidR="001E3FFD">
        <w:rPr>
          <w:rStyle w:val="Heading2Char"/>
        </w:rPr>
        <w:t xml:space="preserve"> and 4909.18</w:t>
      </w:r>
      <w:bookmarkEnd w:id="12"/>
      <w:r w:rsidR="00A844B4">
        <w:rPr>
          <w:rStyle w:val="Heading2Char"/>
        </w:rPr>
        <w:t>)</w:t>
      </w:r>
      <w:r w:rsidR="00A70E20">
        <w:rPr>
          <w:rStyle w:val="Heading2Char"/>
        </w:rPr>
        <w:t>, resulting in an unreasonable and unlawful decision.</w:t>
      </w:r>
      <w:bookmarkEnd w:id="13"/>
    </w:p>
    <w:p w:rsidR="00682FF8" w:rsidRPr="00682FF8" w:rsidP="00682FF8" w14:paraId="41FD9114" w14:textId="77777777">
      <w:pPr>
        <w:widowControl w:val="0"/>
        <w:ind w:left="720"/>
        <w:rPr>
          <w:b/>
          <w:bCs/>
          <w:szCs w:val="24"/>
        </w:rPr>
      </w:pPr>
    </w:p>
    <w:bookmarkEnd w:id="14"/>
    <w:p w:rsidR="002A1308" w:rsidP="00C11203" w14:paraId="4D1CD82E" w14:textId="73304188">
      <w:pPr>
        <w:widowControl w:val="0"/>
        <w:spacing w:line="480" w:lineRule="auto"/>
        <w:ind w:firstLine="720"/>
        <w:rPr>
          <w:szCs w:val="24"/>
        </w:rPr>
      </w:pPr>
      <w:r>
        <w:rPr>
          <w:szCs w:val="24"/>
        </w:rPr>
        <w:t>Under Ohio law, utility rates, including alternative rate plans, must be just and reasonable.</w:t>
      </w:r>
      <w:r>
        <w:rPr>
          <w:rStyle w:val="FootnoteReference"/>
          <w:szCs w:val="24"/>
        </w:rPr>
        <w:footnoteReference w:id="31"/>
      </w:r>
      <w:r>
        <w:rPr>
          <w:szCs w:val="24"/>
        </w:rPr>
        <w:t xml:space="preserve"> The PUCO has an obligation to make a determination whether Dominion’s use of the outdated rate of return is just and reasonable based on the facts of this case.</w:t>
      </w:r>
    </w:p>
    <w:p w:rsidR="002322FA" w:rsidP="00396717" w14:paraId="2760893C" w14:textId="669E35F3">
      <w:pPr>
        <w:widowControl w:val="0"/>
        <w:spacing w:line="480" w:lineRule="auto"/>
        <w:ind w:firstLine="720"/>
        <w:rPr>
          <w:szCs w:val="24"/>
        </w:rPr>
      </w:pPr>
      <w:r>
        <w:rPr>
          <w:szCs w:val="24"/>
        </w:rPr>
        <w:t>The PUCO erred in concluding that it is obligated to follow its precedent</w:t>
      </w:r>
      <w:r w:rsidR="00F1227E">
        <w:rPr>
          <w:szCs w:val="24"/>
        </w:rPr>
        <w:t xml:space="preserve">. </w:t>
      </w:r>
      <w:r w:rsidR="008C7F2E">
        <w:rPr>
          <w:szCs w:val="24"/>
        </w:rPr>
        <w:t>Following</w:t>
      </w:r>
      <w:r w:rsidR="006737BF">
        <w:rPr>
          <w:szCs w:val="24"/>
        </w:rPr>
        <w:t xml:space="preserve"> “</w:t>
      </w:r>
      <w:r w:rsidR="00EA119C">
        <w:rPr>
          <w:szCs w:val="24"/>
        </w:rPr>
        <w:t>precedent” in</w:t>
      </w:r>
      <w:r w:rsidR="00582849">
        <w:rPr>
          <w:szCs w:val="24"/>
        </w:rPr>
        <w:t xml:space="preserve"> this case </w:t>
      </w:r>
      <w:r>
        <w:rPr>
          <w:szCs w:val="24"/>
        </w:rPr>
        <w:t xml:space="preserve">results in unjust and unreasonable rates in violation of Ohio law. </w:t>
      </w:r>
    </w:p>
    <w:p w:rsidR="002322FA" w:rsidP="002322FA" w14:paraId="389C374E" w14:textId="55ED29AE">
      <w:pPr>
        <w:widowControl w:val="0"/>
        <w:spacing w:line="480" w:lineRule="auto"/>
        <w:ind w:firstLine="720"/>
        <w:rPr>
          <w:szCs w:val="24"/>
        </w:rPr>
      </w:pPr>
      <w:r>
        <w:rPr>
          <w:szCs w:val="24"/>
        </w:rPr>
        <w:t>A</w:t>
      </w:r>
      <w:r w:rsidR="00614B9E">
        <w:rPr>
          <w:szCs w:val="24"/>
        </w:rPr>
        <w:t>s the facts or applica</w:t>
      </w:r>
      <w:r w:rsidR="00BA0249">
        <w:rPr>
          <w:szCs w:val="24"/>
        </w:rPr>
        <w:t xml:space="preserve">ble law of a case changes, such as the significant decline of the cost of long-term debt and cost of equity for Dominion, the PUCO is obligated to examine </w:t>
      </w:r>
      <w:r w:rsidR="001F52BC">
        <w:rPr>
          <w:szCs w:val="24"/>
        </w:rPr>
        <w:t xml:space="preserve">the facts and applicable </w:t>
      </w:r>
      <w:r>
        <w:rPr>
          <w:szCs w:val="24"/>
        </w:rPr>
        <w:t>law and</w:t>
      </w:r>
      <w:r w:rsidR="001F52BC">
        <w:rPr>
          <w:szCs w:val="24"/>
        </w:rPr>
        <w:t xml:space="preserve"> make decisions accordingly</w:t>
      </w:r>
      <w:r>
        <w:rPr>
          <w:szCs w:val="24"/>
        </w:rPr>
        <w:t xml:space="preserve">. </w:t>
      </w:r>
      <w:r w:rsidR="00E74917">
        <w:rPr>
          <w:szCs w:val="24"/>
        </w:rPr>
        <w:t>Administrative agencies have an ongoing regulatory responsibility to take into account changes in facts and circumstances in determining what is in the public interest at a particular point in time.</w:t>
      </w:r>
      <w:r>
        <w:rPr>
          <w:rStyle w:val="FootnoteReference"/>
          <w:szCs w:val="24"/>
        </w:rPr>
        <w:footnoteReference w:id="32"/>
      </w:r>
      <w:r w:rsidR="00E74917">
        <w:rPr>
          <w:szCs w:val="24"/>
        </w:rPr>
        <w:t xml:space="preserve"> </w:t>
      </w:r>
      <w:r>
        <w:rPr>
          <w:szCs w:val="24"/>
        </w:rPr>
        <w:t>The PUCO cannot simply go on autopilot</w:t>
      </w:r>
      <w:r w:rsidR="009B4B81">
        <w:rPr>
          <w:szCs w:val="24"/>
        </w:rPr>
        <w:t xml:space="preserve"> and say that its policy or precedent </w:t>
      </w:r>
      <w:r w:rsidR="00770345">
        <w:rPr>
          <w:szCs w:val="24"/>
        </w:rPr>
        <w:t xml:space="preserve">is </w:t>
      </w:r>
      <w:r w:rsidR="009B4B81">
        <w:rPr>
          <w:szCs w:val="24"/>
        </w:rPr>
        <w:t>to use the rate of return set in that last rate case.</w:t>
      </w:r>
      <w:r>
        <w:rPr>
          <w:rStyle w:val="FootnoteReference"/>
          <w:szCs w:val="24"/>
        </w:rPr>
        <w:footnoteReference w:id="33"/>
      </w:r>
      <w:r w:rsidR="005220D9">
        <w:rPr>
          <w:szCs w:val="24"/>
        </w:rPr>
        <w:t xml:space="preserve"> </w:t>
      </w:r>
      <w:r w:rsidR="001F52BC">
        <w:rPr>
          <w:szCs w:val="24"/>
        </w:rPr>
        <w:t xml:space="preserve">The PUCO must determine if its past policy and precedent </w:t>
      </w:r>
      <w:r w:rsidR="00012FBF">
        <w:rPr>
          <w:szCs w:val="24"/>
        </w:rPr>
        <w:t xml:space="preserve">of using the outdated rate of return </w:t>
      </w:r>
      <w:r w:rsidR="001F52BC">
        <w:rPr>
          <w:szCs w:val="24"/>
        </w:rPr>
        <w:t xml:space="preserve">is still just and reasonable in this case based on the facts </w:t>
      </w:r>
      <w:r w:rsidR="006C7C65">
        <w:rPr>
          <w:szCs w:val="24"/>
        </w:rPr>
        <w:t xml:space="preserve">and circumstances </w:t>
      </w:r>
      <w:r w:rsidR="001F52BC">
        <w:rPr>
          <w:szCs w:val="24"/>
        </w:rPr>
        <w:t>of this case.</w:t>
      </w:r>
      <w:r w:rsidRPr="002322FA">
        <w:rPr>
          <w:szCs w:val="24"/>
        </w:rPr>
        <w:t xml:space="preserve"> </w:t>
      </w:r>
    </w:p>
    <w:p w:rsidR="00CD60DA" w:rsidP="00CD60DA" w14:paraId="4E09152C" w14:textId="6F8D8E1A">
      <w:pPr>
        <w:spacing w:line="480" w:lineRule="auto"/>
        <w:ind w:firstLine="720"/>
      </w:pPr>
      <w:r>
        <w:rPr>
          <w:szCs w:val="24"/>
        </w:rPr>
        <w:t xml:space="preserve">The PUCO did not do that </w:t>
      </w:r>
      <w:r w:rsidR="00770345">
        <w:rPr>
          <w:szCs w:val="24"/>
        </w:rPr>
        <w:t>here, but it should have</w:t>
      </w:r>
      <w:r w:rsidR="00A922D3">
        <w:rPr>
          <w:szCs w:val="24"/>
        </w:rPr>
        <w:t>.</w:t>
      </w:r>
      <w:r>
        <w:rPr>
          <w:szCs w:val="24"/>
        </w:rPr>
        <w:t xml:space="preserve"> </w:t>
      </w:r>
      <w:r w:rsidR="00012FBF">
        <w:rPr>
          <w:szCs w:val="24"/>
        </w:rPr>
        <w:t xml:space="preserve">It is well-established that </w:t>
      </w:r>
      <w:r>
        <w:rPr>
          <w:szCs w:val="24"/>
        </w:rPr>
        <w:t>the PUCO can change its past practice as long as it explain</w:t>
      </w:r>
      <w:r w:rsidR="00770345">
        <w:rPr>
          <w:szCs w:val="24"/>
        </w:rPr>
        <w:t>s</w:t>
      </w:r>
      <w:r>
        <w:rPr>
          <w:szCs w:val="24"/>
        </w:rPr>
        <w:t xml:space="preserve"> its decision</w:t>
      </w:r>
      <w:r w:rsidR="00FC7BA0">
        <w:rPr>
          <w:szCs w:val="24"/>
        </w:rPr>
        <w:t xml:space="preserve"> and the decision is lawful. </w:t>
      </w:r>
      <w:r w:rsidR="009E43DF">
        <w:rPr>
          <w:szCs w:val="24"/>
        </w:rPr>
        <w:t>T</w:t>
      </w:r>
      <w:r w:rsidR="00770345">
        <w:rPr>
          <w:szCs w:val="24"/>
        </w:rPr>
        <w:t>he</w:t>
      </w:r>
      <w:r w:rsidR="00FC7BA0">
        <w:rPr>
          <w:szCs w:val="24"/>
        </w:rPr>
        <w:t xml:space="preserve"> Court has confirmed that the PUCO’s </w:t>
      </w:r>
      <w:r>
        <w:rPr>
          <w:szCs w:val="24"/>
        </w:rPr>
        <w:t>“</w:t>
      </w:r>
      <w:r w:rsidR="00FC7BA0">
        <w:rPr>
          <w:szCs w:val="24"/>
        </w:rPr>
        <w:t>explanatory hurdle in doing so is not particularly high</w:t>
      </w:r>
      <w:r>
        <w:rPr>
          <w:szCs w:val="24"/>
        </w:rPr>
        <w:t>.”</w:t>
      </w:r>
      <w:r>
        <w:rPr>
          <w:rStyle w:val="FootnoteReference"/>
          <w:szCs w:val="24"/>
        </w:rPr>
        <w:footnoteReference w:id="34"/>
      </w:r>
      <w:r>
        <w:rPr>
          <w:szCs w:val="24"/>
        </w:rPr>
        <w:t xml:space="preserve"> </w:t>
      </w:r>
      <w:r>
        <w:t xml:space="preserve">The PUCO’s “precedent,” in its role as judge, should change with the times to provide justice, and the legal standard involving precedent allows for that. An assessment of this point of law recently was provided by the Ohio Supreme Court in </w:t>
      </w:r>
      <w:r w:rsidRPr="00934677">
        <w:rPr>
          <w:i/>
          <w:iCs/>
        </w:rPr>
        <w:t>In re Complaint of Suburban Gas Company</w:t>
      </w:r>
      <w:r>
        <w:t>,</w:t>
      </w:r>
      <w:r>
        <w:rPr>
          <w:rStyle w:val="FootnoteReference"/>
        </w:rPr>
        <w:footnoteReference w:id="35"/>
      </w:r>
      <w:r>
        <w:t xml:space="preserve"> in which the Court stated: </w:t>
      </w:r>
    </w:p>
    <w:p w:rsidR="00CD60DA" w:rsidP="00CD60DA" w14:paraId="4D7E1B5D" w14:textId="77777777">
      <w:pPr>
        <w:ind w:left="720"/>
      </w:pPr>
      <w:r>
        <w:t xml:space="preserve">We have instructed the commission to “respect its own precedents in its decisions to assure the predictability, which is essential in all areas of the law, including administrative law.” If the commission departs from precedent, it must explain why, though the explanatory hurdle is not particularly high. </w:t>
      </w:r>
      <w:r w:rsidRPr="00934677">
        <w:rPr>
          <w:i/>
          <w:iCs/>
        </w:rPr>
        <w:t>See In re Application of Columbus S. Power Co</w:t>
      </w:r>
      <w:r>
        <w:t xml:space="preserve">., 128 Ohio St.3d 512, 2011-Ohio-1788, 947 N.E.2d 655, ¶ 52 [quoting </w:t>
      </w:r>
      <w:r w:rsidRPr="00934677">
        <w:rPr>
          <w:i/>
          <w:iCs/>
        </w:rPr>
        <w:t>Office of Consumers' Counsel v. Pub. Util. Comm</w:t>
      </w:r>
      <w:r>
        <w:t xml:space="preserve">. (1985), 16 Ohio St.3d 21, 21–22, 16 OBR 371, 475 N.E.2d 786 (“‘A few simple sentences in </w:t>
      </w:r>
    </w:p>
    <w:p w:rsidR="00CD60DA" w:rsidP="00CD60DA" w14:paraId="79ECAB94" w14:textId="77777777">
      <w:pPr>
        <w:ind w:left="720"/>
      </w:pPr>
      <w:r>
        <w:t>the commission's order in this case would have sufficed’ to explain why a previous order had been overruled”)].</w:t>
      </w:r>
    </w:p>
    <w:p w:rsidR="00CD60DA" w:rsidP="00CD60DA" w14:paraId="077F4315" w14:textId="77777777">
      <w:pPr>
        <w:ind w:left="720"/>
      </w:pPr>
    </w:p>
    <w:p w:rsidR="00CD60DA" w:rsidP="00CD60DA" w14:paraId="3B208B92" w14:textId="3E08B8E7">
      <w:pPr>
        <w:spacing w:line="480" w:lineRule="auto"/>
        <w:ind w:firstLine="720"/>
        <w:rPr>
          <w:szCs w:val="24"/>
        </w:rPr>
      </w:pPr>
      <w:r>
        <w:t>The PUCO clearly has the authority to depart from past precedent as long as it explains its reasoning.</w:t>
      </w:r>
      <w:r>
        <w:rPr>
          <w:rStyle w:val="FootnoteReference"/>
        </w:rPr>
        <w:footnoteReference w:id="36"/>
      </w:r>
      <w:r>
        <w:t xml:space="preserve"> That is part of the PUCO’s role in administering justice. In this case, the reasoning is simple: (1) Dominion’s existing 6.5% cost of debt used for ratemaking purposes is 13 years old, (2) Dominion’s current cost of debt is 2.29%, (3) Dominion still is charging its customers 6.5% for the cost of debt through base rates, and (4) by doing so, </w:t>
      </w:r>
      <w:r>
        <w:rPr>
          <w:bCs/>
          <w:iCs/>
        </w:rPr>
        <w:t>Dominion is enriched by windfall profits and debt costs that far exceed current obligations</w:t>
      </w:r>
      <w:r>
        <w:rPr>
          <w:szCs w:val="24"/>
        </w:rPr>
        <w:t>.</w:t>
      </w:r>
      <w:r w:rsidR="00FE1F41">
        <w:rPr>
          <w:szCs w:val="24"/>
        </w:rPr>
        <w:t xml:space="preserve"> </w:t>
      </w:r>
    </w:p>
    <w:p w:rsidR="00A922D3" w:rsidP="00A922D3" w14:paraId="5853C99A" w14:textId="4F3E396F">
      <w:pPr>
        <w:spacing w:line="480" w:lineRule="auto"/>
        <w:ind w:firstLine="720"/>
      </w:pPr>
      <w:r>
        <w:rPr>
          <w:szCs w:val="24"/>
        </w:rPr>
        <w:t xml:space="preserve">The PUCO is </w:t>
      </w:r>
      <w:r w:rsidR="00770345">
        <w:rPr>
          <w:szCs w:val="24"/>
        </w:rPr>
        <w:t xml:space="preserve">thus </w:t>
      </w:r>
      <w:r>
        <w:rPr>
          <w:szCs w:val="24"/>
        </w:rPr>
        <w:t>not required to use t</w:t>
      </w:r>
      <w:r>
        <w:t>he rate of return decided in the last rate case for subsequent rider cases or any other proceedings that involve a return on rate base.</w:t>
      </w:r>
      <w:r>
        <w:rPr>
          <w:rStyle w:val="FootnoteReference"/>
        </w:rPr>
        <w:footnoteReference w:id="37"/>
      </w:r>
      <w:r>
        <w:t xml:space="preserve"> </w:t>
      </w:r>
      <w:r w:rsidR="00214A9A">
        <w:t>Reliance</w:t>
      </w:r>
      <w:r>
        <w:t xml:space="preserve"> on past practice is not a substitute for exercising sound policy and regulatory judgment</w:t>
      </w:r>
      <w:r w:rsidR="006C7C65">
        <w:t xml:space="preserve"> that takes into account changes in facts and circumstances in determining what is in the public interest.</w:t>
      </w:r>
      <w:r>
        <w:t xml:space="preserve"> </w:t>
      </w:r>
    </w:p>
    <w:p w:rsidR="00A922D3" w:rsidP="00A922D3" w14:paraId="216A0239" w14:textId="77777777">
      <w:pPr>
        <w:spacing w:line="480" w:lineRule="auto"/>
        <w:ind w:firstLine="720"/>
      </w:pPr>
      <w:r>
        <w:t>No law, rule, or PUCO precedent requires that the PUCO apply the rate of return from a utility’s most recent base rate case to determine a rider rate. Instead, the proper policy and regulatory standards for the PUCO in ratemaking should always be:</w:t>
      </w:r>
    </w:p>
    <w:p w:rsidR="00A922D3" w:rsidP="00A922D3" w14:paraId="7AE4000C" w14:textId="356FE6DE">
      <w:pPr>
        <w:pStyle w:val="ListParagraph"/>
        <w:numPr>
          <w:ilvl w:val="0"/>
          <w:numId w:val="39"/>
        </w:numPr>
        <w:spacing w:line="480" w:lineRule="auto"/>
        <w:ind w:left="1440" w:hanging="720"/>
        <w:rPr>
          <w:bCs/>
          <w:iCs/>
        </w:rPr>
      </w:pPr>
      <w:r>
        <w:t xml:space="preserve">Ohio’s </w:t>
      </w:r>
      <w:r w:rsidRPr="001A3446">
        <w:rPr>
          <w:bCs/>
          <w:iCs/>
        </w:rPr>
        <w:t>statutory requirements (that is</w:t>
      </w:r>
      <w:r>
        <w:rPr>
          <w:bCs/>
          <w:iCs/>
        </w:rPr>
        <w:t>,</w:t>
      </w:r>
      <w:r w:rsidRPr="001A3446">
        <w:rPr>
          <w:bCs/>
          <w:iCs/>
        </w:rPr>
        <w:t xml:space="preserve"> an alternative rate plan such as Dominion’s </w:t>
      </w:r>
      <w:r>
        <w:rPr>
          <w:bCs/>
          <w:iCs/>
        </w:rPr>
        <w:t>infrastructure replacement program must be just and reasonable.)</w:t>
      </w:r>
      <w:r>
        <w:rPr>
          <w:rStyle w:val="FootnoteReference"/>
          <w:bCs/>
          <w:iCs/>
        </w:rPr>
        <w:footnoteReference w:id="38"/>
      </w:r>
    </w:p>
    <w:p w:rsidR="00A922D3" w:rsidP="00A922D3" w14:paraId="17E2C72B" w14:textId="77777777">
      <w:pPr>
        <w:pStyle w:val="ListParagraph"/>
        <w:numPr>
          <w:ilvl w:val="0"/>
          <w:numId w:val="39"/>
        </w:numPr>
        <w:spacing w:line="480" w:lineRule="auto"/>
        <w:ind w:left="1440" w:hanging="720"/>
        <w:rPr>
          <w:bCs/>
          <w:iCs/>
        </w:rPr>
      </w:pPr>
      <w:r>
        <w:rPr>
          <w:bCs/>
          <w:iCs/>
        </w:rPr>
        <w:t>The</w:t>
      </w:r>
      <w:r w:rsidRPr="001A3446">
        <w:rPr>
          <w:bCs/>
          <w:iCs/>
        </w:rPr>
        <w:t xml:space="preserve"> public interest (such as </w:t>
      </w:r>
      <w:r>
        <w:rPr>
          <w:bCs/>
          <w:iCs/>
        </w:rPr>
        <w:t>utility</w:t>
      </w:r>
      <w:r w:rsidRPr="001A3446">
        <w:rPr>
          <w:bCs/>
          <w:iCs/>
        </w:rPr>
        <w:t xml:space="preserve"> consumers, especially those at-risk population, should have adequate and affordable utility services)</w:t>
      </w:r>
      <w:r>
        <w:rPr>
          <w:rStyle w:val="FootnoteReference"/>
          <w:bCs/>
          <w:iCs/>
        </w:rPr>
        <w:footnoteReference w:id="39"/>
      </w:r>
      <w:r>
        <w:rPr>
          <w:bCs/>
          <w:iCs/>
        </w:rPr>
        <w:t xml:space="preserve"> </w:t>
      </w:r>
    </w:p>
    <w:p w:rsidR="00A922D3" w:rsidRPr="001A3446" w:rsidP="00A922D3" w14:paraId="71FF8B5E" w14:textId="77777777">
      <w:pPr>
        <w:pStyle w:val="ListParagraph"/>
        <w:numPr>
          <w:ilvl w:val="0"/>
          <w:numId w:val="39"/>
        </w:numPr>
        <w:spacing w:line="480" w:lineRule="auto"/>
        <w:ind w:left="1440" w:hanging="720"/>
        <w:rPr>
          <w:bCs/>
          <w:iCs/>
        </w:rPr>
      </w:pPr>
      <w:r>
        <w:rPr>
          <w:bCs/>
          <w:iCs/>
        </w:rPr>
        <w:t>Es</w:t>
      </w:r>
      <w:r w:rsidRPr="001A3446">
        <w:rPr>
          <w:bCs/>
          <w:iCs/>
        </w:rPr>
        <w:t xml:space="preserve">tablished </w:t>
      </w:r>
      <w:r>
        <w:rPr>
          <w:bCs/>
          <w:iCs/>
        </w:rPr>
        <w:t xml:space="preserve">case law and </w:t>
      </w:r>
      <w:r w:rsidRPr="001A3446">
        <w:rPr>
          <w:bCs/>
          <w:iCs/>
        </w:rPr>
        <w:t>regulatory principles (such as the rate of return should be based on current market conditions and returns available to other entities with comparable risks)</w:t>
      </w:r>
      <w:r>
        <w:rPr>
          <w:bCs/>
          <w:iCs/>
        </w:rPr>
        <w:t>.</w:t>
      </w:r>
      <w:r>
        <w:rPr>
          <w:rStyle w:val="FootnoteReference"/>
          <w:bCs/>
          <w:iCs/>
        </w:rPr>
        <w:footnoteReference w:id="40"/>
      </w:r>
      <w:r>
        <w:rPr>
          <w:bCs/>
          <w:iCs/>
        </w:rPr>
        <w:t xml:space="preserve"> </w:t>
      </w:r>
    </w:p>
    <w:p w:rsidR="00AB7F80" w:rsidP="00AB7F80" w14:paraId="4D17F912" w14:textId="77777777">
      <w:pPr>
        <w:spacing w:line="480" w:lineRule="auto"/>
        <w:ind w:firstLine="720"/>
      </w:pPr>
      <w:r>
        <w:t xml:space="preserve">Use of the utility’s most recently approved base rate case rate of return might make sense when the utility’s most recent base rate case </w:t>
      </w:r>
      <w:r w:rsidRPr="00A6492A">
        <w:rPr>
          <w:i/>
          <w:iCs/>
        </w:rPr>
        <w:t>was in fact recent</w:t>
      </w:r>
      <w:r>
        <w:t xml:space="preserve">. But here, Dominion’s approved rate of return was approved 13 years ago in a substantially different financial climate. </w:t>
      </w:r>
    </w:p>
    <w:p w:rsidR="00A922D3" w:rsidP="00A922D3" w14:paraId="739291AD" w14:textId="31A93BD2">
      <w:pPr>
        <w:spacing w:line="480" w:lineRule="auto"/>
        <w:ind w:firstLine="720"/>
        <w:rPr>
          <w:bCs/>
          <w:iCs/>
        </w:rPr>
      </w:pPr>
      <w:r>
        <w:rPr>
          <w:bCs/>
          <w:iCs/>
        </w:rPr>
        <w:t>Adherence to</w:t>
      </w:r>
      <w:r w:rsidRPr="001A3446">
        <w:rPr>
          <w:bCs/>
          <w:iCs/>
        </w:rPr>
        <w:t xml:space="preserve"> PUCO past practice should not be used as an excuse for ignoring important legal and regulatory requirements and responsibility in ratemaking.</w:t>
      </w:r>
      <w:r>
        <w:rPr>
          <w:bCs/>
          <w:iCs/>
        </w:rPr>
        <w:t xml:space="preserve"> Especially when applying past practice will </w:t>
      </w:r>
      <w:r w:rsidR="00770345">
        <w:rPr>
          <w:bCs/>
          <w:iCs/>
        </w:rPr>
        <w:t>clearly</w:t>
      </w:r>
      <w:r>
        <w:rPr>
          <w:bCs/>
          <w:iCs/>
        </w:rPr>
        <w:t xml:space="preserve"> lead to unjust and unreasonable outcomes for consumers. As demonstrated by OCC in several recent cases, a rate of return of 9.91% based on cost of capital components set 13 years ago under vastly different market conditions is outdated and unreasonable.</w:t>
      </w:r>
      <w:r>
        <w:rPr>
          <w:rStyle w:val="FootnoteReference"/>
          <w:bCs/>
          <w:iCs/>
        </w:rPr>
        <w:footnoteReference w:id="41"/>
      </w:r>
      <w:r>
        <w:rPr>
          <w:bCs/>
          <w:iCs/>
        </w:rPr>
        <w:t xml:space="preserve"> </w:t>
      </w:r>
    </w:p>
    <w:p w:rsidR="00A922D3" w:rsidP="00A922D3" w14:paraId="58EB95DA" w14:textId="00AFD45B">
      <w:pPr>
        <w:spacing w:line="480" w:lineRule="auto"/>
        <w:ind w:firstLine="720"/>
      </w:pPr>
      <w:r>
        <w:t>The PUCO should grant rehearing on Assignment of Error</w:t>
      </w:r>
      <w:r w:rsidR="006737BF">
        <w:t xml:space="preserve"> No. 3</w:t>
      </w:r>
      <w:r>
        <w:t xml:space="preserve">. </w:t>
      </w:r>
    </w:p>
    <w:p w:rsidR="00B26657" w:rsidRPr="0073069E" w:rsidP="002A1308" w14:paraId="782D6A61" w14:textId="40138DC3">
      <w:pPr>
        <w:widowControl w:val="0"/>
        <w:ind w:left="1440" w:hanging="720"/>
        <w:rPr>
          <w:b/>
          <w:bCs/>
          <w:szCs w:val="24"/>
        </w:rPr>
      </w:pPr>
      <w:bookmarkStart w:id="15" w:name="_Toc107583687"/>
      <w:r w:rsidRPr="002A1308">
        <w:rPr>
          <w:rStyle w:val="Heading2Char"/>
        </w:rPr>
        <w:t>D.</w:t>
      </w:r>
      <w:r w:rsidRPr="002A1308" w:rsidR="0073069E">
        <w:rPr>
          <w:rStyle w:val="Heading2Char"/>
        </w:rPr>
        <w:t xml:space="preserve"> </w:t>
      </w:r>
      <w:r w:rsidR="002A1308">
        <w:rPr>
          <w:rStyle w:val="Heading2Char"/>
        </w:rPr>
        <w:tab/>
      </w:r>
      <w:r w:rsidRPr="002A1308">
        <w:rPr>
          <w:rStyle w:val="Heading2Char"/>
        </w:rPr>
        <w:t xml:space="preserve">ASSIGNMENT OF ERROR NO. 4: </w:t>
      </w:r>
      <w:r w:rsidRPr="002A1308" w:rsidR="0073069E">
        <w:rPr>
          <w:rStyle w:val="Heading2Char"/>
        </w:rPr>
        <w:t xml:space="preserve">The PUCO erred by approving </w:t>
      </w:r>
      <w:r w:rsidR="00C11203">
        <w:rPr>
          <w:rStyle w:val="Heading2Char"/>
        </w:rPr>
        <w:t xml:space="preserve">the use of an </w:t>
      </w:r>
      <w:r w:rsidRPr="002A1308" w:rsidR="0073069E">
        <w:rPr>
          <w:rStyle w:val="Heading2Char"/>
        </w:rPr>
        <w:t>outdated rate of return justified by administrative efficiency</w:t>
      </w:r>
      <w:r w:rsidRPr="002A1308" w:rsidR="00C25BB7">
        <w:rPr>
          <w:rStyle w:val="Heading2Char"/>
        </w:rPr>
        <w:t xml:space="preserve"> </w:t>
      </w:r>
      <w:r w:rsidRPr="002A1308" w:rsidR="0073069E">
        <w:rPr>
          <w:rStyle w:val="Heading2Char"/>
        </w:rPr>
        <w:t>instead of evaluating the program under applicable Ohio law, R.C. 4929.05(A)(3), 4905.22 and 4909.18, resulting in an unreasonable and unlawful decision.</w:t>
      </w:r>
      <w:bookmarkEnd w:id="15"/>
    </w:p>
    <w:p w:rsidR="00A6492A" w:rsidP="002A1308" w14:paraId="4BB7B319" w14:textId="77777777">
      <w:pPr>
        <w:ind w:firstLine="720"/>
      </w:pPr>
    </w:p>
    <w:p w:rsidR="00F40CA4" w:rsidP="00A922D3" w14:paraId="0E852DE5" w14:textId="6EF29778">
      <w:pPr>
        <w:spacing w:line="480" w:lineRule="auto"/>
        <w:ind w:firstLine="720"/>
      </w:pPr>
      <w:r>
        <w:t>The PUCO’s reliance on “long-standing practice”</w:t>
      </w:r>
      <w:r>
        <w:rPr>
          <w:rStyle w:val="FootnoteReference"/>
        </w:rPr>
        <w:footnoteReference w:id="42"/>
      </w:r>
      <w:r>
        <w:t xml:space="preserve"> </w:t>
      </w:r>
      <w:r w:rsidR="00B26657">
        <w:t xml:space="preserve">in using the </w:t>
      </w:r>
      <w:r w:rsidR="007279DE">
        <w:t xml:space="preserve">outdated </w:t>
      </w:r>
      <w:r w:rsidR="00B26657">
        <w:t xml:space="preserve">rate of return embedded in Dominion’s PIR charge to consumers </w:t>
      </w:r>
      <w:r>
        <w:t>appear</w:t>
      </w:r>
      <w:r w:rsidR="00AB7F80">
        <w:t>s</w:t>
      </w:r>
      <w:r>
        <w:t xml:space="preserve"> to be </w:t>
      </w:r>
      <w:r w:rsidR="0073069E">
        <w:t xml:space="preserve">justified by administrative </w:t>
      </w:r>
      <w:r>
        <w:t>efficiency.</w:t>
      </w:r>
      <w:r w:rsidR="00B26657">
        <w:t xml:space="preserve"> </w:t>
      </w:r>
      <w:r w:rsidR="007279DE">
        <w:t>But the</w:t>
      </w:r>
      <w:r w:rsidR="00B26657">
        <w:t xml:space="preserve"> PUCO has an obligation to</w:t>
      </w:r>
      <w:r w:rsidR="0073069E">
        <w:t xml:space="preserve"> determine</w:t>
      </w:r>
      <w:r w:rsidR="00B26657">
        <w:t xml:space="preserve"> if Dominion’s use of the outdated rate of return is just and reasonable based on the facts of this case</w:t>
      </w:r>
      <w:r w:rsidR="001A1B9C">
        <w:t>.</w:t>
      </w:r>
      <w:r w:rsidR="00B26657">
        <w:t xml:space="preserve"> </w:t>
      </w:r>
      <w:r>
        <w:t xml:space="preserve">The PUCO did not do so here. </w:t>
      </w:r>
    </w:p>
    <w:p w:rsidR="00174864" w:rsidP="00A922D3" w14:paraId="6C98E6DE" w14:textId="75E4BE93">
      <w:pPr>
        <w:spacing w:line="480" w:lineRule="auto"/>
        <w:ind w:firstLine="720"/>
      </w:pPr>
      <w:r>
        <w:t xml:space="preserve">The PUCO noted that one reason for not updating or resetting the rate of return </w:t>
      </w:r>
      <w:r w:rsidR="001A1B9C">
        <w:t xml:space="preserve">in Dominion’s PIR charge or </w:t>
      </w:r>
      <w:r>
        <w:t xml:space="preserve">for riders </w:t>
      </w:r>
      <w:r w:rsidR="001A1B9C">
        <w:t xml:space="preserve">generally </w:t>
      </w:r>
      <w:r>
        <w:t>is because of the “significant time and resources that go into litigating a new rate of return and the numerous updates to the rate of return that would be required for every rider update case.”</w:t>
      </w:r>
      <w:r>
        <w:rPr>
          <w:rStyle w:val="FootnoteReference"/>
        </w:rPr>
        <w:footnoteReference w:id="43"/>
      </w:r>
      <w:r w:rsidR="00FE1F41">
        <w:t xml:space="preserve"> </w:t>
      </w:r>
      <w:r>
        <w:t xml:space="preserve">But </w:t>
      </w:r>
      <w:r w:rsidR="00F9147C">
        <w:t xml:space="preserve">administrative convenience is a poor rationale for charging consumers more than they otherwise should pay. </w:t>
      </w:r>
      <w:r>
        <w:t xml:space="preserve">The PUCO’s rationale for not updating or resetting the rate of return for riders is puzzling and unreasonable, and unlawful. </w:t>
      </w:r>
    </w:p>
    <w:p w:rsidR="00462950" w:rsidP="00A922D3" w14:paraId="6E19C663" w14:textId="77777777">
      <w:pPr>
        <w:spacing w:line="480" w:lineRule="auto"/>
        <w:ind w:firstLine="720"/>
        <w:rPr>
          <w:szCs w:val="24"/>
        </w:rPr>
      </w:pPr>
      <w:r>
        <w:t>N</w:t>
      </w:r>
      <w:r w:rsidR="00F9147C">
        <w:t>umerous items are audited, verified, and re-set in calculating the revenue requirement</w:t>
      </w:r>
      <w:r>
        <w:t xml:space="preserve"> in the PIR Rider proceeding</w:t>
      </w:r>
      <w:r w:rsidR="00F9147C">
        <w:t xml:space="preserve">. They include the amounts of capital investment, depreciation, operation and maintenance expenses, property taxes, and the federal income tax rate. </w:t>
      </w:r>
      <w:r w:rsidRPr="00B012A9" w:rsidR="00CF6B7D">
        <w:rPr>
          <w:szCs w:val="24"/>
        </w:rPr>
        <w:t>The PIR charge is calculated by using the updated amount of PIR capital investments, the updated operating and maintenance expenses, the updated depreciation expenses, and the updated tax expenses. Only here, the rate of return was not updated. Essentially, the PIR charge updates every component of the program (the amounts of PIR investments, the O&amp;M expenses, and taxes) --except the stale and unreasonably high rate of return.</w:t>
      </w:r>
      <w:r w:rsidR="00CF6B7D">
        <w:rPr>
          <w:szCs w:val="24"/>
        </w:rPr>
        <w:t xml:space="preserve"> </w:t>
      </w:r>
    </w:p>
    <w:p w:rsidR="00174864" w:rsidP="00A922D3" w14:paraId="34A45C4A" w14:textId="1E4DE3CB">
      <w:pPr>
        <w:spacing w:line="480" w:lineRule="auto"/>
        <w:ind w:firstLine="720"/>
      </w:pPr>
      <w:r>
        <w:rPr>
          <w:szCs w:val="24"/>
        </w:rPr>
        <w:t>T</w:t>
      </w:r>
      <w:r w:rsidR="00F9147C">
        <w:t>hese adjustments and associated litigation require considerable efforts and resources</w:t>
      </w:r>
      <w:r w:rsidR="00B16425">
        <w:t>.</w:t>
      </w:r>
      <w:r w:rsidR="00F9147C">
        <w:t xml:space="preserve"> The efforts required to re-set a reasonable rate of return are no greater than the efforts and resources spend in analyzing other items. More importantly, </w:t>
      </w:r>
      <w:r>
        <w:t xml:space="preserve">the benefits to consumers and to the regulatory effectiveness of the PUCO for obtaining a just and reasonable rate of return far outweighs the time and resources in doing so. </w:t>
      </w:r>
    </w:p>
    <w:p w:rsidR="000F33D4" w:rsidP="005F58CC" w14:paraId="6C798ED4" w14:textId="46AB8540">
      <w:pPr>
        <w:spacing w:line="480" w:lineRule="auto"/>
        <w:ind w:firstLine="720"/>
      </w:pPr>
      <w:r>
        <w:t xml:space="preserve">OCC Witness Duann </w:t>
      </w:r>
      <w:r w:rsidR="00120251">
        <w:t>was</w:t>
      </w:r>
      <w:r>
        <w:t xml:space="preserve"> able to calculate a reasonable updated rate of return</w:t>
      </w:r>
      <w:r w:rsidR="005F58CC">
        <w:t xml:space="preserve">. </w:t>
      </w:r>
      <w:r w:rsidR="00677ACA">
        <w:t xml:space="preserve">The PUCO would not necessarily have to update the rate of return every year. It could update the </w:t>
      </w:r>
      <w:r w:rsidR="00120251">
        <w:t>rate of return only if there are significant changes in market conditions that would substantially impact the rates. But waiting more than 14 years to make an update—as the PUCO has proposed</w:t>
      </w:r>
      <w:r>
        <w:rPr>
          <w:rStyle w:val="FootnoteReference"/>
        </w:rPr>
        <w:footnoteReference w:id="44"/>
      </w:r>
      <w:r>
        <w:t xml:space="preserve">--cannot be just or reasonable because market conditions and Dominion’s cost of debt have changed dramatically. This results in consumers paying much more than they should in exchange for nothing of extra value. </w:t>
      </w:r>
    </w:p>
    <w:p w:rsidR="005F58CC" w:rsidP="005F58CC" w14:paraId="425895B8" w14:textId="22F8D529">
      <w:pPr>
        <w:spacing w:line="480" w:lineRule="auto"/>
        <w:ind w:firstLine="720"/>
      </w:pPr>
      <w:r>
        <w:rPr>
          <w:bCs/>
          <w:iCs/>
        </w:rPr>
        <w:t>Moreover, Dominion as the applicant has the burden of proof. T</w:t>
      </w:r>
      <w:r>
        <w:t xml:space="preserve">he </w:t>
      </w:r>
      <w:r w:rsidR="001A1B9C">
        <w:t>pipeline infrastructure replacement program</w:t>
      </w:r>
      <w:r>
        <w:t xml:space="preserve"> (and similar rider programs</w:t>
      </w:r>
      <w:r w:rsidR="001A1B9C">
        <w:t>)</w:t>
      </w:r>
      <w:r>
        <w:t xml:space="preserve"> </w:t>
      </w:r>
      <w:r w:rsidR="00E6664E">
        <w:t>is</w:t>
      </w:r>
      <w:r>
        <w:t xml:space="preserve"> generous and beneficial to Dominion </w:t>
      </w:r>
      <w:r w:rsidR="008A3745">
        <w:t>(</w:t>
      </w:r>
      <w:r>
        <w:t xml:space="preserve">and </w:t>
      </w:r>
      <w:r w:rsidR="008A3745">
        <w:t>o</w:t>
      </w:r>
      <w:r>
        <w:t>ther utilities</w:t>
      </w:r>
      <w:r w:rsidR="008A3745">
        <w:t>)</w:t>
      </w:r>
      <w:r>
        <w:t>.</w:t>
      </w:r>
      <w:r w:rsidR="00FE1F41">
        <w:t xml:space="preserve"> </w:t>
      </w:r>
      <w:r w:rsidR="00E6664E">
        <w:t xml:space="preserve">It should not be too much to ask for Dominion to sponsor a witness to provide </w:t>
      </w:r>
      <w:r w:rsidR="00B16425">
        <w:t>a</w:t>
      </w:r>
      <w:r w:rsidR="00E6664E">
        <w:t xml:space="preserve"> rate of return in setting rider rates that reflects current market conditions</w:t>
      </w:r>
      <w:r w:rsidR="00687DFE">
        <w:t>. D</w:t>
      </w:r>
      <w:r w:rsidR="00E6664E">
        <w:t xml:space="preserve">ominion has had </w:t>
      </w:r>
      <w:r w:rsidR="00B16425">
        <w:t xml:space="preserve">several </w:t>
      </w:r>
      <w:r w:rsidR="00E6664E">
        <w:t>opportunities over the past two years to do so.</w:t>
      </w:r>
      <w:r>
        <w:rPr>
          <w:rStyle w:val="FootnoteReference"/>
        </w:rPr>
        <w:footnoteReference w:id="45"/>
      </w:r>
    </w:p>
    <w:p w:rsidR="007279DE" w:rsidP="005F58CC" w14:paraId="138E5A09" w14:textId="72A255B8">
      <w:pPr>
        <w:spacing w:line="480" w:lineRule="auto"/>
        <w:ind w:firstLine="720"/>
        <w:rPr>
          <w:bCs/>
          <w:iCs/>
        </w:rPr>
      </w:pPr>
      <w:r>
        <w:rPr>
          <w:bCs/>
          <w:iCs/>
        </w:rPr>
        <w:t>The PUCO should grant rehearing on Assignment of Error No. 4.</w:t>
      </w:r>
      <w:r w:rsidR="00FE1F41">
        <w:rPr>
          <w:bCs/>
          <w:iCs/>
        </w:rPr>
        <w:t xml:space="preserve"> </w:t>
      </w:r>
    </w:p>
    <w:p w:rsidR="008A3745" w:rsidP="008A3745" w14:paraId="6324B511" w14:textId="6270B9CE">
      <w:pPr>
        <w:widowControl w:val="0"/>
        <w:ind w:left="1440" w:hanging="720"/>
        <w:rPr>
          <w:rStyle w:val="Heading2Char"/>
        </w:rPr>
      </w:pPr>
      <w:bookmarkStart w:id="16" w:name="_Toc107583688"/>
      <w:r w:rsidRPr="002A1308">
        <w:rPr>
          <w:rStyle w:val="Heading2Char"/>
        </w:rPr>
        <w:t>E.</w:t>
      </w:r>
      <w:r w:rsidRPr="002A1308">
        <w:rPr>
          <w:rStyle w:val="Heading2Char"/>
        </w:rPr>
        <w:tab/>
        <w:t xml:space="preserve">ASSIGNMENT OF ERROR NO. 5: The PUCO’s Order was unreasonable </w:t>
      </w:r>
      <w:r w:rsidRPr="002A1308" w:rsidR="0073069E">
        <w:rPr>
          <w:rStyle w:val="Heading2Char"/>
        </w:rPr>
        <w:t>because it used the potential for</w:t>
      </w:r>
      <w:r w:rsidRPr="002A1308">
        <w:rPr>
          <w:rStyle w:val="Heading2Char"/>
        </w:rPr>
        <w:t xml:space="preserve"> an increase in the cost of capital as a</w:t>
      </w:r>
      <w:r w:rsidRPr="002A1308" w:rsidR="00C25BB7">
        <w:rPr>
          <w:rStyle w:val="Heading2Char"/>
        </w:rPr>
        <w:t xml:space="preserve"> reason</w:t>
      </w:r>
      <w:r w:rsidRPr="002A1308">
        <w:rPr>
          <w:rStyle w:val="Heading2Char"/>
        </w:rPr>
        <w:t xml:space="preserve"> to not apply Dominion’s current and actual cost of capital components in setting the PIR charges.</w:t>
      </w:r>
      <w:bookmarkEnd w:id="16"/>
    </w:p>
    <w:p w:rsidR="005F58CC" w:rsidP="00462950" w14:paraId="69E27BBF" w14:textId="69940816"/>
    <w:p w:rsidR="005307D5" w:rsidP="00A922D3" w14:paraId="3211D2C1" w14:textId="7F1D8762">
      <w:pPr>
        <w:spacing w:line="480" w:lineRule="auto"/>
        <w:ind w:firstLine="720"/>
      </w:pPr>
      <w:r>
        <w:t>The PUCO warned that if it used an updated rate of return, it “would be obligated to also recognize the cost of capital may increase, just as it has recently fallen, resulting in an adverse impact to consumers’ bills.”</w:t>
      </w:r>
      <w:r>
        <w:rPr>
          <w:rStyle w:val="FootnoteReference"/>
        </w:rPr>
        <w:footnoteReference w:id="46"/>
      </w:r>
      <w:r>
        <w:t xml:space="preserve"> In fact, the cost of capital may increase or decrease in the future and its direction will be and should be decided by the financial market conditions. It is unreasonable for the PUCO to use a possible increase in the cost of capital as an excuse to not apply the current and actual cost of Dominion’s capital components in setting the PIR charges</w:t>
      </w:r>
      <w:r w:rsidR="00960D88">
        <w:t xml:space="preserve"> in this case</w:t>
      </w:r>
      <w:r>
        <w:t xml:space="preserve">. OCC recognizes that rate of return could potentially swing the other way. </w:t>
      </w:r>
    </w:p>
    <w:p w:rsidR="00755006" w:rsidP="00A922D3" w14:paraId="3DFDBE86" w14:textId="56E43B31">
      <w:pPr>
        <w:spacing w:line="480" w:lineRule="auto"/>
        <w:ind w:firstLine="720"/>
      </w:pPr>
      <w:r>
        <w:t>T</w:t>
      </w:r>
      <w:r w:rsidR="00322AFC">
        <w:t xml:space="preserve">he PUCO, in adhering to an unreasonably high cost of capital set 13 years ago, is imposing </w:t>
      </w:r>
      <w:r>
        <w:t xml:space="preserve">an </w:t>
      </w:r>
      <w:r w:rsidR="00322AFC">
        <w:t xml:space="preserve">adverse impact on consumers’ monthly bills. According to OCC’s Witness </w:t>
      </w:r>
      <w:r w:rsidR="004653B8">
        <w:t xml:space="preserve">Dr. Duann </w:t>
      </w:r>
      <w:r w:rsidR="00322AFC">
        <w:t>in this case, the use of the outdated and overstated rate of return will increase the annual PIR revenue requirement by approximately $45.8 million.</w:t>
      </w:r>
      <w:r>
        <w:rPr>
          <w:rStyle w:val="FootnoteReference"/>
        </w:rPr>
        <w:footnoteReference w:id="47"/>
      </w:r>
      <w:r w:rsidR="00322AFC">
        <w:t xml:space="preserve"> Cost of capital components decided 13 years ago should not </w:t>
      </w:r>
      <w:r w:rsidR="00B13C44">
        <w:t xml:space="preserve">continue to </w:t>
      </w:r>
      <w:r w:rsidR="00322AFC">
        <w:t xml:space="preserve">be used </w:t>
      </w:r>
      <w:r>
        <w:t>in calculating the Rider PIR charge when there is undisputed and overwhelming evidence that these components have overstated Dominion’s current and real cost of capital.</w:t>
      </w:r>
    </w:p>
    <w:p w:rsidR="0058702C" w:rsidP="00CF6B7D" w14:paraId="23599B93" w14:textId="08808C62">
      <w:pPr>
        <w:spacing w:line="480" w:lineRule="auto"/>
        <w:ind w:firstLine="720"/>
        <w:rPr>
          <w:szCs w:val="24"/>
        </w:rPr>
      </w:pPr>
      <w:r>
        <w:t xml:space="preserve">Moreover, the PUCO </w:t>
      </w:r>
      <w:r w:rsidR="00462950">
        <w:t xml:space="preserve">must </w:t>
      </w:r>
      <w:r>
        <w:t>recognize that if market conditions do change and Dominion needs to update its rate of return to recognize the new market conditions</w:t>
      </w:r>
      <w:r w:rsidR="00462950">
        <w:t>,</w:t>
      </w:r>
      <w:r>
        <w:t xml:space="preserve"> it has a remedy—it can file a rate case. Consumers do not have such a remedy. </w:t>
      </w:r>
      <w:r w:rsidR="005103D4">
        <w:t xml:space="preserve">The PUCO’s use </w:t>
      </w:r>
      <w:r w:rsidR="00BF60DF">
        <w:t>of precedent</w:t>
      </w:r>
      <w:r w:rsidR="00C84D94">
        <w:t xml:space="preserve"> and administrative convenience </w:t>
      </w:r>
      <w:r w:rsidR="00CF6B7D">
        <w:t>in exchange for</w:t>
      </w:r>
      <w:r w:rsidR="00C84D94">
        <w:t xml:space="preserve"> not</w:t>
      </w:r>
      <w:r w:rsidR="00CF6B7D">
        <w:t xml:space="preserve"> determining the rate of return for each case</w:t>
      </w:r>
      <w:r w:rsidR="00C84D94">
        <w:t xml:space="preserve"> is poor public policy and is not just and reasonable.</w:t>
      </w:r>
      <w:r>
        <w:rPr>
          <w:szCs w:val="24"/>
        </w:rPr>
        <w:t xml:space="preserve"> </w:t>
      </w:r>
    </w:p>
    <w:p w:rsidR="00900FE9" w:rsidRPr="00B012A9" w:rsidP="00900FE9" w14:paraId="14AFAB5E" w14:textId="370C1AB8">
      <w:pPr>
        <w:widowControl w:val="0"/>
        <w:spacing w:line="480" w:lineRule="auto"/>
        <w:ind w:firstLine="720"/>
        <w:rPr>
          <w:szCs w:val="24"/>
        </w:rPr>
      </w:pPr>
      <w:r w:rsidRPr="00B012A9">
        <w:rPr>
          <w:szCs w:val="24"/>
        </w:rPr>
        <w:t>Ohio law governing this case – R.C. 4905.22, 4929.05(A)(3), and R.C. 4909.18– requires that the rates Dominion charges consumers for its pipeline infrastructure replacement program be just and reasonable. OCC Witness Dr. Duann testified that the 13-year-old rate</w:t>
      </w:r>
      <w:r w:rsidRPr="00B012A9" w:rsidR="00315EFD">
        <w:rPr>
          <w:szCs w:val="24"/>
        </w:rPr>
        <w:t xml:space="preserve"> o</w:t>
      </w:r>
      <w:r w:rsidR="00AF5B95">
        <w:rPr>
          <w:szCs w:val="24"/>
        </w:rPr>
        <w:t>f</w:t>
      </w:r>
      <w:r w:rsidRPr="00B012A9" w:rsidR="00315EFD">
        <w:rPr>
          <w:szCs w:val="24"/>
        </w:rPr>
        <w:t xml:space="preserve"> return</w:t>
      </w:r>
      <w:r w:rsidRPr="00B012A9">
        <w:rPr>
          <w:szCs w:val="24"/>
        </w:rPr>
        <w:t xml:space="preserve"> authorized by the PUCO </w:t>
      </w:r>
      <w:r w:rsidR="005103D4">
        <w:rPr>
          <w:szCs w:val="24"/>
        </w:rPr>
        <w:t>is</w:t>
      </w:r>
      <w:r w:rsidRPr="00B012A9">
        <w:rPr>
          <w:szCs w:val="24"/>
        </w:rPr>
        <w:t xml:space="preserve"> </w:t>
      </w:r>
      <w:r w:rsidRPr="00B012A9">
        <w:rPr>
          <w:i/>
          <w:iCs/>
          <w:szCs w:val="24"/>
        </w:rPr>
        <w:t>un</w:t>
      </w:r>
      <w:r w:rsidRPr="00B012A9">
        <w:rPr>
          <w:szCs w:val="24"/>
        </w:rPr>
        <w:t xml:space="preserve">just and </w:t>
      </w:r>
      <w:r w:rsidRPr="00B012A9">
        <w:rPr>
          <w:i/>
          <w:iCs/>
          <w:szCs w:val="24"/>
        </w:rPr>
        <w:t>un</w:t>
      </w:r>
      <w:r w:rsidRPr="00B012A9">
        <w:rPr>
          <w:szCs w:val="24"/>
        </w:rPr>
        <w:t>reasonable.</w:t>
      </w:r>
      <w:r>
        <w:rPr>
          <w:rStyle w:val="FootnoteReference"/>
          <w:szCs w:val="24"/>
        </w:rPr>
        <w:footnoteReference w:id="48"/>
      </w:r>
      <w:r w:rsidRPr="00B012A9">
        <w:rPr>
          <w:szCs w:val="24"/>
        </w:rPr>
        <w:t xml:space="preserve"> OCC Witness Duann’s testimony was uncontroverted. </w:t>
      </w:r>
      <w:r w:rsidRPr="00B012A9" w:rsidR="00F73341">
        <w:rPr>
          <w:szCs w:val="24"/>
        </w:rPr>
        <w:t xml:space="preserve">Overcharging consumers for utility services violates Ohio law which requires that all utility rates </w:t>
      </w:r>
      <w:r w:rsidR="00AF5B95">
        <w:rPr>
          <w:szCs w:val="24"/>
        </w:rPr>
        <w:t>be</w:t>
      </w:r>
      <w:r w:rsidRPr="00B012A9" w:rsidR="00F73341">
        <w:rPr>
          <w:szCs w:val="24"/>
        </w:rPr>
        <w:t xml:space="preserve"> just and reasonable.</w:t>
      </w:r>
      <w:r>
        <w:rPr>
          <w:rStyle w:val="FootnoteReference"/>
          <w:szCs w:val="24"/>
        </w:rPr>
        <w:footnoteReference w:id="49"/>
      </w:r>
      <w:r w:rsidRPr="00B012A9" w:rsidR="00F73341">
        <w:rPr>
          <w:szCs w:val="24"/>
        </w:rPr>
        <w:t xml:space="preserve"> </w:t>
      </w:r>
    </w:p>
    <w:p w:rsidR="00900FE9" w:rsidRPr="00B012A9" w:rsidP="00900FE9" w14:paraId="70CE2036" w14:textId="0668730F">
      <w:pPr>
        <w:widowControl w:val="0"/>
        <w:spacing w:line="480" w:lineRule="auto"/>
        <w:ind w:firstLine="720"/>
        <w:rPr>
          <w:szCs w:val="24"/>
        </w:rPr>
      </w:pPr>
      <w:r w:rsidRPr="00B012A9">
        <w:rPr>
          <w:szCs w:val="24"/>
        </w:rPr>
        <w:t xml:space="preserve">The PUCO should grant rehearing on Assignment of Error No. </w:t>
      </w:r>
      <w:r w:rsidR="005103D4">
        <w:rPr>
          <w:szCs w:val="24"/>
        </w:rPr>
        <w:t>5</w:t>
      </w:r>
      <w:r w:rsidRPr="00B012A9">
        <w:rPr>
          <w:szCs w:val="24"/>
        </w:rPr>
        <w:t xml:space="preserve">. </w:t>
      </w:r>
    </w:p>
    <w:p w:rsidR="00900FE9" w:rsidRPr="00B012A9" w:rsidP="00900FE9" w14:paraId="2EB69CFF" w14:textId="77777777">
      <w:pPr>
        <w:widowControl w:val="0"/>
        <w:ind w:firstLine="720"/>
        <w:rPr>
          <w:szCs w:val="24"/>
        </w:rPr>
      </w:pPr>
    </w:p>
    <w:p w:rsidR="00900FE9" w:rsidRPr="00B012A9" w:rsidP="004B1E3B" w14:paraId="2EB1B356" w14:textId="2B3EBBDC">
      <w:pPr>
        <w:pStyle w:val="Heading1"/>
        <w:numPr>
          <w:ilvl w:val="0"/>
          <w:numId w:val="37"/>
        </w:numPr>
        <w:ind w:left="720"/>
      </w:pPr>
      <w:bookmarkStart w:id="17" w:name="_Toc534639773"/>
      <w:bookmarkStart w:id="18" w:name="_Toc53576259"/>
      <w:bookmarkStart w:id="19" w:name="_Toc53576324"/>
      <w:bookmarkStart w:id="20" w:name="_Toc92365892"/>
      <w:bookmarkStart w:id="21" w:name="_Toc98520150"/>
      <w:bookmarkStart w:id="22" w:name="_Toc99108388"/>
      <w:bookmarkStart w:id="23" w:name="_Toc103939978"/>
      <w:bookmarkStart w:id="24" w:name="_Toc107583689"/>
      <w:r w:rsidRPr="00B012A9">
        <w:t>CONCLUSION</w:t>
      </w:r>
      <w:bookmarkEnd w:id="17"/>
      <w:bookmarkEnd w:id="18"/>
      <w:bookmarkEnd w:id="19"/>
      <w:bookmarkEnd w:id="20"/>
      <w:bookmarkEnd w:id="21"/>
      <w:bookmarkEnd w:id="22"/>
      <w:bookmarkEnd w:id="23"/>
      <w:bookmarkEnd w:id="24"/>
      <w:r w:rsidRPr="00B012A9">
        <w:t xml:space="preserve"> </w:t>
      </w:r>
    </w:p>
    <w:p w:rsidR="002A1308" w:rsidP="00900FE9" w14:paraId="7239B5C4" w14:textId="1ADD1B8C">
      <w:pPr>
        <w:spacing w:line="480" w:lineRule="auto"/>
        <w:ind w:firstLine="720"/>
        <w:rPr>
          <w:szCs w:val="24"/>
        </w:rPr>
      </w:pPr>
      <w:r w:rsidRPr="00B012A9">
        <w:rPr>
          <w:szCs w:val="24"/>
        </w:rPr>
        <w:t>“[T]he purpose of the PUCO * * * is to protect the customers of public utilities.”</w:t>
      </w:r>
      <w:r>
        <w:rPr>
          <w:rStyle w:val="FootnoteReference"/>
          <w:szCs w:val="24"/>
        </w:rPr>
        <w:footnoteReference w:id="50"/>
      </w:r>
      <w:r w:rsidRPr="00B012A9">
        <w:rPr>
          <w:szCs w:val="24"/>
        </w:rPr>
        <w:t xml:space="preserve"> The PUCO can protect consumers by granting rehearing and adopting OCC’s consumer-protection recommendations. </w:t>
      </w:r>
    </w:p>
    <w:p w:rsidR="000966A5" w14:paraId="0FE7329B" w14:textId="77777777">
      <w:pPr>
        <w:rPr>
          <w:szCs w:val="24"/>
        </w:rPr>
      </w:pPr>
    </w:p>
    <w:p w:rsidR="00B97813" w:rsidRPr="00B012A9" w:rsidP="00B97813" w14:paraId="2995B3EA" w14:textId="77777777">
      <w:pPr>
        <w:ind w:left="3600" w:firstLine="270"/>
        <w:rPr>
          <w:szCs w:val="24"/>
        </w:rPr>
      </w:pPr>
      <w:r w:rsidRPr="00B012A9">
        <w:rPr>
          <w:szCs w:val="24"/>
        </w:rPr>
        <w:t>Respectfully submitted,</w:t>
      </w:r>
    </w:p>
    <w:p w:rsidR="00B97813" w:rsidRPr="00B012A9" w:rsidP="00B97813" w14:paraId="6F23E688" w14:textId="77777777">
      <w:pPr>
        <w:widowControl w:val="0"/>
        <w:ind w:left="3600"/>
        <w:rPr>
          <w:szCs w:val="24"/>
        </w:rPr>
      </w:pPr>
    </w:p>
    <w:p w:rsidR="00B97813" w:rsidRPr="00B012A9" w:rsidP="00B97813" w14:paraId="4F4FD708" w14:textId="77777777">
      <w:pPr>
        <w:pStyle w:val="Footer"/>
        <w:tabs>
          <w:tab w:val="left" w:pos="4320"/>
          <w:tab w:val="clear" w:pos="8640"/>
        </w:tabs>
        <w:ind w:firstLine="3870"/>
        <w:rPr>
          <w:sz w:val="24"/>
          <w:szCs w:val="24"/>
        </w:rPr>
      </w:pPr>
      <w:r w:rsidRPr="00B012A9">
        <w:rPr>
          <w:sz w:val="24"/>
          <w:szCs w:val="24"/>
        </w:rPr>
        <w:t>Bruce Weston (0016973)</w:t>
      </w:r>
    </w:p>
    <w:p w:rsidR="00B97813" w:rsidRPr="00B012A9" w:rsidP="00B97813" w14:paraId="44F92FD6" w14:textId="77777777">
      <w:pPr>
        <w:tabs>
          <w:tab w:val="left" w:pos="4320"/>
        </w:tabs>
        <w:ind w:firstLine="3870"/>
        <w:rPr>
          <w:szCs w:val="24"/>
        </w:rPr>
      </w:pPr>
      <w:r w:rsidRPr="00B012A9">
        <w:rPr>
          <w:szCs w:val="24"/>
        </w:rPr>
        <w:t>Ohio Consumers’ Counsel</w:t>
      </w:r>
    </w:p>
    <w:p w:rsidR="00B97813" w:rsidRPr="00B012A9" w:rsidP="00B97813" w14:paraId="26AD0E18" w14:textId="77777777">
      <w:pPr>
        <w:tabs>
          <w:tab w:val="left" w:pos="4320"/>
        </w:tabs>
        <w:ind w:firstLine="3870"/>
        <w:rPr>
          <w:szCs w:val="24"/>
        </w:rPr>
      </w:pPr>
      <w:r w:rsidRPr="00B012A9">
        <w:rPr>
          <w:szCs w:val="24"/>
        </w:rPr>
        <w:tab/>
      </w:r>
    </w:p>
    <w:p w:rsidR="00B97813" w:rsidRPr="004401DA" w:rsidP="00B97813" w14:paraId="58027107" w14:textId="77777777">
      <w:pPr>
        <w:tabs>
          <w:tab w:val="left" w:pos="4320"/>
        </w:tabs>
        <w:ind w:firstLine="3870"/>
        <w:rPr>
          <w:i/>
          <w:iCs/>
          <w:szCs w:val="24"/>
          <w:u w:val="single"/>
        </w:rPr>
      </w:pPr>
      <w:r>
        <w:rPr>
          <w:i/>
          <w:iCs/>
          <w:szCs w:val="24"/>
          <w:u w:val="single"/>
        </w:rPr>
        <w:t>/s/ Amy Botschner O’Brien</w:t>
      </w:r>
      <w:r>
        <w:rPr>
          <w:i/>
          <w:iCs/>
          <w:szCs w:val="24"/>
          <w:u w:val="single"/>
        </w:rPr>
        <w:tab/>
      </w:r>
      <w:r>
        <w:rPr>
          <w:i/>
          <w:iCs/>
          <w:szCs w:val="24"/>
          <w:u w:val="single"/>
        </w:rPr>
        <w:tab/>
      </w:r>
    </w:p>
    <w:p w:rsidR="00B97813" w:rsidRPr="00B012A9" w:rsidP="00B97813" w14:paraId="70B7103A" w14:textId="700AEA43">
      <w:pPr>
        <w:tabs>
          <w:tab w:val="left" w:pos="4320"/>
        </w:tabs>
        <w:ind w:firstLine="3870"/>
        <w:rPr>
          <w:szCs w:val="24"/>
        </w:rPr>
      </w:pPr>
      <w:r w:rsidRPr="00B012A9">
        <w:rPr>
          <w:szCs w:val="24"/>
        </w:rPr>
        <w:t>Amy Botschner O’Brien (</w:t>
      </w:r>
      <w:r w:rsidR="00AF5B95">
        <w:rPr>
          <w:szCs w:val="24"/>
        </w:rPr>
        <w:t>0074423</w:t>
      </w:r>
      <w:r w:rsidRPr="00B012A9">
        <w:rPr>
          <w:szCs w:val="24"/>
        </w:rPr>
        <w:t>)</w:t>
      </w:r>
    </w:p>
    <w:p w:rsidR="00B97813" w:rsidRPr="00B012A9" w:rsidP="00B97813" w14:paraId="39F6767C" w14:textId="0E3B4DAC">
      <w:pPr>
        <w:tabs>
          <w:tab w:val="left" w:pos="4320"/>
        </w:tabs>
        <w:ind w:firstLine="3870"/>
        <w:rPr>
          <w:szCs w:val="24"/>
        </w:rPr>
      </w:pPr>
      <w:r w:rsidRPr="00B012A9">
        <w:rPr>
          <w:szCs w:val="24"/>
        </w:rPr>
        <w:t>Counsel o</w:t>
      </w:r>
      <w:r w:rsidR="0025775F">
        <w:rPr>
          <w:szCs w:val="24"/>
        </w:rPr>
        <w:t>f R</w:t>
      </w:r>
      <w:r w:rsidRPr="00B012A9">
        <w:rPr>
          <w:szCs w:val="24"/>
        </w:rPr>
        <w:t>ecord</w:t>
      </w:r>
    </w:p>
    <w:p w:rsidR="00B97813" w:rsidRPr="00B012A9" w:rsidP="00B97813" w14:paraId="3F2C3ECD" w14:textId="77777777">
      <w:pPr>
        <w:tabs>
          <w:tab w:val="left" w:pos="4320"/>
        </w:tabs>
        <w:ind w:firstLine="3870"/>
        <w:rPr>
          <w:szCs w:val="24"/>
        </w:rPr>
      </w:pPr>
      <w:r w:rsidRPr="00B012A9">
        <w:rPr>
          <w:szCs w:val="24"/>
        </w:rPr>
        <w:t>Ambrosia E. Wilson (0096598)</w:t>
      </w:r>
    </w:p>
    <w:p w:rsidR="00B97813" w:rsidRPr="00B012A9" w:rsidP="00B97813" w14:paraId="1F720A74" w14:textId="77777777">
      <w:pPr>
        <w:tabs>
          <w:tab w:val="left" w:pos="4320"/>
        </w:tabs>
        <w:ind w:firstLine="3870"/>
        <w:rPr>
          <w:szCs w:val="24"/>
        </w:rPr>
      </w:pPr>
      <w:r w:rsidRPr="00B012A9">
        <w:rPr>
          <w:szCs w:val="24"/>
        </w:rPr>
        <w:t>Assistant Consumers’ Counsel</w:t>
      </w:r>
    </w:p>
    <w:p w:rsidR="00B97813" w:rsidRPr="00B012A9" w:rsidP="00B97813" w14:paraId="7507BEA8" w14:textId="77777777">
      <w:pPr>
        <w:ind w:firstLine="3870"/>
        <w:rPr>
          <w:szCs w:val="24"/>
        </w:rPr>
      </w:pPr>
      <w:r w:rsidRPr="00B012A9">
        <w:rPr>
          <w:szCs w:val="24"/>
        </w:rPr>
        <w:tab/>
      </w:r>
    </w:p>
    <w:p w:rsidR="00B97813" w:rsidRPr="00B012A9" w:rsidP="00B97813" w14:paraId="452A2DEA" w14:textId="77777777">
      <w:pPr>
        <w:ind w:firstLine="3870"/>
        <w:rPr>
          <w:b/>
          <w:bCs/>
          <w:szCs w:val="24"/>
        </w:rPr>
      </w:pPr>
      <w:r w:rsidRPr="00B012A9">
        <w:rPr>
          <w:b/>
          <w:bCs/>
          <w:szCs w:val="24"/>
        </w:rPr>
        <w:t>Office of the Ohio Consumers’ Counsel</w:t>
      </w:r>
    </w:p>
    <w:p w:rsidR="00B97813" w:rsidRPr="00B012A9" w:rsidP="00B97813" w14:paraId="7E303FA6" w14:textId="77777777">
      <w:pPr>
        <w:ind w:firstLine="3870"/>
        <w:rPr>
          <w:b/>
          <w:szCs w:val="24"/>
        </w:rPr>
      </w:pPr>
      <w:r w:rsidRPr="00B012A9">
        <w:rPr>
          <w:szCs w:val="24"/>
        </w:rPr>
        <w:t>65 East State Street, Suite 700</w:t>
      </w:r>
    </w:p>
    <w:p w:rsidR="00B97813" w:rsidRPr="00B012A9" w:rsidP="00B97813" w14:paraId="1C06B4C0" w14:textId="77777777">
      <w:pPr>
        <w:ind w:firstLine="3870"/>
        <w:rPr>
          <w:b/>
          <w:szCs w:val="24"/>
        </w:rPr>
      </w:pPr>
      <w:r w:rsidRPr="00B012A9">
        <w:rPr>
          <w:szCs w:val="24"/>
        </w:rPr>
        <w:t>Columbus, Ohio 43215</w:t>
      </w:r>
    </w:p>
    <w:p w:rsidR="00B97813" w:rsidP="00B97813" w14:paraId="4850DD86" w14:textId="77777777">
      <w:pPr>
        <w:tabs>
          <w:tab w:val="left" w:pos="3690"/>
        </w:tabs>
        <w:autoSpaceDE w:val="0"/>
        <w:autoSpaceDN w:val="0"/>
        <w:adjustRightInd w:val="0"/>
        <w:ind w:left="3870"/>
        <w:rPr>
          <w:szCs w:val="24"/>
        </w:rPr>
      </w:pPr>
      <w:r w:rsidRPr="00B012A9">
        <w:rPr>
          <w:szCs w:val="24"/>
        </w:rPr>
        <w:t>Telephone [Botschner O’Brien]: (614) 466-9575</w:t>
      </w:r>
    </w:p>
    <w:p w:rsidR="00B97813" w:rsidRPr="00B012A9" w:rsidP="00B97813" w14:paraId="614F4B39" w14:textId="77777777">
      <w:pPr>
        <w:tabs>
          <w:tab w:val="left" w:pos="3690"/>
        </w:tabs>
        <w:autoSpaceDE w:val="0"/>
        <w:autoSpaceDN w:val="0"/>
        <w:adjustRightInd w:val="0"/>
        <w:ind w:left="3870"/>
        <w:rPr>
          <w:szCs w:val="24"/>
        </w:rPr>
      </w:pPr>
      <w:r w:rsidRPr="00B012A9">
        <w:rPr>
          <w:szCs w:val="24"/>
        </w:rPr>
        <w:t>Telephone [Wilson]: (614) 466-1292</w:t>
      </w:r>
    </w:p>
    <w:p w:rsidR="00B97813" w:rsidRPr="00B012A9" w:rsidP="00B97813" w14:paraId="3A05B8FA" w14:textId="77777777">
      <w:pPr>
        <w:ind w:firstLine="3870"/>
        <w:rPr>
          <w:szCs w:val="24"/>
        </w:rPr>
      </w:pPr>
      <w:hyperlink r:id="rId6" w:history="1">
        <w:r w:rsidRPr="000E0E6E" w:rsidR="009C22D1">
          <w:rPr>
            <w:rStyle w:val="Hyperlink"/>
            <w:szCs w:val="24"/>
          </w:rPr>
          <w:t>amy.botschner.obrien@occ.ohio.gov</w:t>
        </w:r>
      </w:hyperlink>
    </w:p>
    <w:p w:rsidR="00B97813" w:rsidRPr="00B012A9" w:rsidP="00B97813" w14:paraId="08961E8C" w14:textId="77777777">
      <w:pPr>
        <w:ind w:firstLine="3870"/>
        <w:rPr>
          <w:szCs w:val="24"/>
        </w:rPr>
      </w:pPr>
      <w:hyperlink r:id="rId7" w:history="1">
        <w:r w:rsidRPr="000E0E6E" w:rsidR="009C22D1">
          <w:rPr>
            <w:rStyle w:val="Hyperlink"/>
            <w:szCs w:val="24"/>
          </w:rPr>
          <w:t>ambrosia.wilson@occ.ohio.gov</w:t>
        </w:r>
      </w:hyperlink>
    </w:p>
    <w:p w:rsidR="00CB5D16" w:rsidRPr="00B012A9" w:rsidP="00B97813" w14:paraId="57293913" w14:textId="4EB613D9">
      <w:pPr>
        <w:ind w:left="3870"/>
        <w:rPr>
          <w:b/>
          <w:bCs/>
          <w:szCs w:val="24"/>
          <w:u w:val="single"/>
        </w:rPr>
      </w:pPr>
      <w:r w:rsidRPr="00B012A9">
        <w:rPr>
          <w:szCs w:val="24"/>
        </w:rPr>
        <w:t>(willing to accept service by email)</w:t>
      </w:r>
      <w:r w:rsidRPr="00B012A9" w:rsidR="001008CF">
        <w:rPr>
          <w:b/>
          <w:bCs/>
          <w:szCs w:val="24"/>
          <w:u w:val="single"/>
        </w:rPr>
        <w:br w:type="page"/>
      </w:r>
    </w:p>
    <w:p w:rsidR="00CD2C14" w:rsidRPr="00B012A9" w:rsidP="00423DF6" w14:paraId="637F8051" w14:textId="77777777">
      <w:pPr>
        <w:pStyle w:val="ANSWER"/>
        <w:suppressLineNumbers/>
        <w:ind w:left="720"/>
        <w:jc w:val="center"/>
        <w:rPr>
          <w:b/>
          <w:szCs w:val="24"/>
          <w:u w:val="single"/>
        </w:rPr>
      </w:pPr>
      <w:r w:rsidRPr="00B012A9">
        <w:rPr>
          <w:b/>
          <w:szCs w:val="24"/>
          <w:u w:val="single"/>
        </w:rPr>
        <w:t>CERTIFICATE OF SERVICE</w:t>
      </w:r>
    </w:p>
    <w:p w:rsidR="00CD2C14" w:rsidRPr="00B012A9" w:rsidP="00423DF6" w14:paraId="6B6DF330" w14:textId="7152F3B1">
      <w:pPr>
        <w:spacing w:line="480" w:lineRule="auto"/>
        <w:ind w:firstLine="720"/>
        <w:rPr>
          <w:szCs w:val="24"/>
        </w:rPr>
      </w:pPr>
      <w:r w:rsidRPr="00B012A9">
        <w:rPr>
          <w:szCs w:val="24"/>
        </w:rPr>
        <w:t xml:space="preserve">I hereby certify that a copy of this </w:t>
      </w:r>
      <w:r w:rsidR="003F1B06">
        <w:rPr>
          <w:szCs w:val="24"/>
        </w:rPr>
        <w:t>Application for Rehearing</w:t>
      </w:r>
      <w:r w:rsidRPr="00B012A9">
        <w:rPr>
          <w:szCs w:val="24"/>
        </w:rPr>
        <w:t xml:space="preserve"> was served on the persons stated below via electronic transmission, this </w:t>
      </w:r>
      <w:r w:rsidR="006E07E0">
        <w:rPr>
          <w:szCs w:val="24"/>
        </w:rPr>
        <w:t>1</w:t>
      </w:r>
      <w:r w:rsidRPr="006E07E0" w:rsidR="006E07E0">
        <w:rPr>
          <w:szCs w:val="24"/>
          <w:vertAlign w:val="superscript"/>
        </w:rPr>
        <w:t>st</w:t>
      </w:r>
      <w:r w:rsidR="006E07E0">
        <w:rPr>
          <w:szCs w:val="24"/>
        </w:rPr>
        <w:t xml:space="preserve"> </w:t>
      </w:r>
      <w:r w:rsidRPr="00B012A9">
        <w:rPr>
          <w:szCs w:val="24"/>
        </w:rPr>
        <w:t xml:space="preserve">day of </w:t>
      </w:r>
      <w:r w:rsidR="006E07E0">
        <w:rPr>
          <w:szCs w:val="24"/>
        </w:rPr>
        <w:t xml:space="preserve">July </w:t>
      </w:r>
      <w:r w:rsidRPr="00B012A9" w:rsidR="00D76819">
        <w:rPr>
          <w:szCs w:val="24"/>
        </w:rPr>
        <w:t>2022</w:t>
      </w:r>
      <w:r w:rsidRPr="00B012A9">
        <w:rPr>
          <w:szCs w:val="24"/>
        </w:rPr>
        <w:t>.</w:t>
      </w:r>
    </w:p>
    <w:p w:rsidR="00CD2C14" w:rsidRPr="00B012A9" w:rsidP="00CD2C14" w14:paraId="741774D1" w14:textId="63216E29">
      <w:pPr>
        <w:suppressLineNumbers/>
        <w:tabs>
          <w:tab w:val="left" w:pos="4320"/>
        </w:tabs>
        <w:rPr>
          <w:i/>
          <w:szCs w:val="24"/>
          <w:u w:val="single"/>
        </w:rPr>
      </w:pPr>
      <w:r w:rsidRPr="00B012A9">
        <w:rPr>
          <w:i/>
          <w:szCs w:val="24"/>
        </w:rPr>
        <w:tab/>
      </w:r>
      <w:r w:rsidRPr="00B012A9">
        <w:rPr>
          <w:i/>
          <w:szCs w:val="24"/>
          <w:u w:val="single"/>
        </w:rPr>
        <w:t xml:space="preserve">/s/ </w:t>
      </w:r>
      <w:r w:rsidRPr="00B012A9" w:rsidR="00F6776F">
        <w:rPr>
          <w:i/>
          <w:szCs w:val="24"/>
          <w:u w:val="single"/>
        </w:rPr>
        <w:t>Amy Botschner O’Brien</w:t>
      </w:r>
      <w:r w:rsidRPr="00B012A9">
        <w:rPr>
          <w:i/>
          <w:szCs w:val="24"/>
          <w:u w:val="single"/>
        </w:rPr>
        <w:tab/>
      </w:r>
    </w:p>
    <w:p w:rsidR="00CD2C14" w:rsidRPr="00B012A9" w:rsidP="00CD2C14" w14:paraId="42E963D9" w14:textId="29B5C72C">
      <w:pPr>
        <w:suppressLineNumbers/>
        <w:tabs>
          <w:tab w:val="left" w:pos="4320"/>
        </w:tabs>
        <w:rPr>
          <w:szCs w:val="24"/>
        </w:rPr>
      </w:pPr>
      <w:r w:rsidRPr="00B012A9">
        <w:rPr>
          <w:szCs w:val="24"/>
        </w:rPr>
        <w:tab/>
      </w:r>
      <w:r w:rsidRPr="00B012A9" w:rsidR="00F6776F">
        <w:rPr>
          <w:szCs w:val="24"/>
        </w:rPr>
        <w:t>Amy Botschner O’Brien</w:t>
      </w:r>
    </w:p>
    <w:p w:rsidR="00CD2C14" w:rsidP="00001D4B" w14:paraId="67DD9C55" w14:textId="115C3F87">
      <w:pPr>
        <w:suppressLineNumbers/>
        <w:tabs>
          <w:tab w:val="left" w:pos="4320"/>
        </w:tabs>
        <w:rPr>
          <w:szCs w:val="24"/>
        </w:rPr>
      </w:pPr>
      <w:r w:rsidRPr="00B012A9">
        <w:rPr>
          <w:szCs w:val="24"/>
        </w:rPr>
        <w:tab/>
        <w:t>Assistant Consumers’ Counsel</w:t>
      </w:r>
    </w:p>
    <w:p w:rsidR="00001D4B" w:rsidRPr="00B012A9" w:rsidP="00001D4B" w14:paraId="1AFDD75E" w14:textId="77777777">
      <w:pPr>
        <w:suppressLineNumbers/>
        <w:tabs>
          <w:tab w:val="left" w:pos="4320"/>
        </w:tabs>
        <w:rPr>
          <w:szCs w:val="24"/>
        </w:rPr>
      </w:pPr>
    </w:p>
    <w:p w:rsidR="006B5EC6" w:rsidRPr="00B012A9" w:rsidP="006B5EC6" w14:paraId="3E70E495" w14:textId="77777777">
      <w:pPr>
        <w:rPr>
          <w:szCs w:val="24"/>
        </w:rPr>
      </w:pPr>
      <w:r w:rsidRPr="00B012A9">
        <w:rPr>
          <w:szCs w:val="24"/>
        </w:rPr>
        <w:t>The PUCO’s e-filing system will electronically serve notice of the filing of this document on the following parties:</w:t>
      </w:r>
    </w:p>
    <w:p w:rsidR="006B5EC6" w:rsidRPr="00B012A9" w:rsidP="006B5EC6" w14:paraId="0BFE0AF6" w14:textId="77777777">
      <w:pPr>
        <w:pStyle w:val="CommentText"/>
        <w:jc w:val="center"/>
        <w:rPr>
          <w:b/>
          <w:u w:val="single"/>
        </w:rPr>
      </w:pPr>
    </w:p>
    <w:p w:rsidR="006B5EC6" w:rsidRPr="00B012A9" w:rsidP="006B5EC6" w14:paraId="2BF7493F" w14:textId="77777777">
      <w:pPr>
        <w:pStyle w:val="CommentText"/>
        <w:jc w:val="center"/>
        <w:rPr>
          <w:b/>
          <w:u w:val="single"/>
        </w:rPr>
      </w:pPr>
      <w:r w:rsidRPr="00B012A9">
        <w:rPr>
          <w:b/>
          <w:u w:val="single"/>
        </w:rPr>
        <w:t>SERVICE LIST</w:t>
      </w:r>
    </w:p>
    <w:p w:rsidR="006B5EC6" w:rsidRPr="00B012A9" w:rsidP="006B5EC6" w14:paraId="4EDA9DC6" w14:textId="77777777">
      <w:pPr>
        <w:pStyle w:val="BodyText"/>
        <w:rPr>
          <w:b/>
          <w:bCs/>
          <w:szCs w:val="24"/>
        </w:rPr>
      </w:pPr>
    </w:p>
    <w:tbl>
      <w:tblPr>
        <w:tblW w:w="9180" w:type="dxa"/>
        <w:tblLayout w:type="fixed"/>
        <w:tblLook w:val="01E0"/>
      </w:tblPr>
      <w:tblGrid>
        <w:gridCol w:w="4338"/>
        <w:gridCol w:w="4842"/>
      </w:tblGrid>
      <w:tr w14:paraId="298DA538" w14:textId="77777777" w:rsidTr="00701AFA">
        <w:tblPrEx>
          <w:tblW w:w="9180" w:type="dxa"/>
          <w:tblLayout w:type="fixed"/>
          <w:tblLook w:val="01E0"/>
        </w:tblPrEx>
        <w:tc>
          <w:tcPr>
            <w:tcW w:w="4338" w:type="dxa"/>
            <w:shd w:val="clear" w:color="auto" w:fill="auto"/>
          </w:tcPr>
          <w:p w:rsidR="00701AFA" w:rsidRPr="00701AFA" w:rsidP="007A2A18" w14:paraId="1A2BE064" w14:textId="2997A45C">
            <w:hyperlink r:id="rId13" w:history="1">
              <w:r w:rsidRPr="009465BE" w:rsidR="00E018CC">
                <w:rPr>
                  <w:rStyle w:val="Hyperlink"/>
                </w:rPr>
                <w:t>sarah.feldkamp@ohioAGO.gov</w:t>
              </w:r>
            </w:hyperlink>
          </w:p>
          <w:p w:rsidR="00701AFA" w:rsidRPr="00701AFA" w:rsidP="007A2A18" w14:paraId="204C2948" w14:textId="77F224B8">
            <w:hyperlink r:id="rId14" w:history="1">
              <w:r w:rsidRPr="009465BE" w:rsidR="00E018CC">
                <w:rPr>
                  <w:rStyle w:val="Hyperlink"/>
                </w:rPr>
                <w:t>jodi.bair@ohioAGO.gov</w:t>
              </w:r>
            </w:hyperlink>
          </w:p>
          <w:p w:rsidR="00701AFA" w:rsidRPr="00701AFA" w:rsidP="007A2A18" w14:paraId="24D8778A" w14:textId="77777777"/>
          <w:p w:rsidR="00701AFA" w:rsidRPr="00701AFA" w:rsidP="007A2A18" w14:paraId="1F6EAE72" w14:textId="77777777">
            <w:r w:rsidRPr="00701AFA">
              <w:t>Attorney Examiner:</w:t>
            </w:r>
          </w:p>
          <w:p w:rsidR="00701AFA" w:rsidRPr="00701AFA" w:rsidP="00701AFA" w14:paraId="7426FF90" w14:textId="1333310E">
            <w:hyperlink r:id="rId15" w:history="1">
              <w:r w:rsidRPr="009465BE" w:rsidR="00E018CC">
                <w:rPr>
                  <w:rStyle w:val="Hyperlink"/>
                </w:rPr>
                <w:t>greta.see@puco.ohio.gov</w:t>
              </w:r>
            </w:hyperlink>
          </w:p>
        </w:tc>
        <w:tc>
          <w:tcPr>
            <w:tcW w:w="4842" w:type="dxa"/>
            <w:shd w:val="clear" w:color="auto" w:fill="auto"/>
          </w:tcPr>
          <w:p w:rsidR="00701AFA" w:rsidRPr="00701AFA" w:rsidP="00701AFA" w14:paraId="17272157" w14:textId="77777777">
            <w:pPr>
              <w:autoSpaceDE w:val="0"/>
              <w:autoSpaceDN w:val="0"/>
              <w:adjustRightInd w:val="0"/>
              <w:ind w:left="430"/>
            </w:pPr>
            <w:hyperlink r:id="rId16" w:history="1">
              <w:r w:rsidRPr="00701AFA" w:rsidR="00DA4C5B">
                <w:rPr>
                  <w:rStyle w:val="Hyperlink"/>
                </w:rPr>
                <w:t>whitt@whitt-sturtevant.com</w:t>
              </w:r>
            </w:hyperlink>
          </w:p>
          <w:p w:rsidR="00701AFA" w:rsidRPr="00701AFA" w:rsidP="00701AFA" w14:paraId="5336BAFB" w14:textId="77777777">
            <w:pPr>
              <w:autoSpaceDE w:val="0"/>
              <w:autoSpaceDN w:val="0"/>
              <w:adjustRightInd w:val="0"/>
              <w:ind w:left="430"/>
            </w:pPr>
            <w:hyperlink r:id="rId17" w:history="1">
              <w:r w:rsidRPr="00701AFA" w:rsidR="00DA4C5B">
                <w:rPr>
                  <w:rStyle w:val="Hyperlink"/>
                </w:rPr>
                <w:t>kennedy@whitt-sturtevant.com</w:t>
              </w:r>
            </w:hyperlink>
          </w:p>
          <w:p w:rsidR="00701AFA" w:rsidRPr="00701AFA" w:rsidP="00701AFA" w14:paraId="7D261F0C" w14:textId="77777777">
            <w:pPr>
              <w:autoSpaceDE w:val="0"/>
              <w:autoSpaceDN w:val="0"/>
              <w:adjustRightInd w:val="0"/>
              <w:ind w:left="430"/>
            </w:pPr>
            <w:hyperlink r:id="rId18" w:history="1">
              <w:r w:rsidRPr="00701AFA" w:rsidR="00DA4C5B">
                <w:rPr>
                  <w:rStyle w:val="Hyperlink"/>
                </w:rPr>
                <w:t>andrew.j.campbell@dominionenergy.com</w:t>
              </w:r>
            </w:hyperlink>
          </w:p>
          <w:p w:rsidR="00701AFA" w:rsidRPr="00701AFA" w:rsidP="00701AFA" w14:paraId="3A820885" w14:textId="77777777">
            <w:pPr>
              <w:autoSpaceDE w:val="0"/>
              <w:autoSpaceDN w:val="0"/>
              <w:adjustRightInd w:val="0"/>
              <w:ind w:left="430"/>
            </w:pPr>
          </w:p>
        </w:tc>
      </w:tr>
    </w:tbl>
    <w:p w:rsidR="00D4185C" w:rsidRPr="00B012A9" w:rsidP="006B5EC6" w14:paraId="72AC3DF8" w14:textId="77777777">
      <w:pPr>
        <w:rPr>
          <w:b/>
          <w:bCs/>
          <w:szCs w:val="24"/>
        </w:rPr>
      </w:pPr>
    </w:p>
    <w:sectPr w:rsidSect="00B012A9">
      <w:footerReference w:type="first" r:id="rId19"/>
      <w:pgSz w:w="12240" w:h="15840"/>
      <w:pgMar w:top="1440" w:right="1800" w:bottom="1440" w:left="180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1146061"/>
      <w:docPartObj>
        <w:docPartGallery w:val="Page Numbers (Bottom of Page)"/>
        <w:docPartUnique/>
      </w:docPartObj>
    </w:sdtPr>
    <w:sdtEndPr>
      <w:rPr>
        <w:noProof/>
        <w:sz w:val="24"/>
        <w:szCs w:val="24"/>
      </w:rPr>
    </w:sdtEndPr>
    <w:sdtContent>
      <w:p w:rsidR="002665B0" w:rsidRPr="002644BF" w14:paraId="644A096A" w14:textId="57B3F3EF">
        <w:pPr>
          <w:pStyle w:val="Footer"/>
          <w:jc w:val="center"/>
          <w:rPr>
            <w:sz w:val="24"/>
            <w:szCs w:val="24"/>
          </w:rPr>
        </w:pPr>
        <w:r w:rsidRPr="002644BF">
          <w:rPr>
            <w:sz w:val="24"/>
            <w:szCs w:val="24"/>
          </w:rPr>
          <w:fldChar w:fldCharType="begin"/>
        </w:r>
        <w:r w:rsidRPr="002644BF">
          <w:rPr>
            <w:sz w:val="24"/>
            <w:szCs w:val="24"/>
          </w:rPr>
          <w:instrText xml:space="preserve"> PAGE   \* MERGEFORMAT </w:instrText>
        </w:r>
        <w:r w:rsidRPr="002644BF">
          <w:rPr>
            <w:sz w:val="24"/>
            <w:szCs w:val="24"/>
          </w:rPr>
          <w:fldChar w:fldCharType="separate"/>
        </w:r>
        <w:r w:rsidRPr="002644BF">
          <w:rPr>
            <w:noProof/>
            <w:sz w:val="24"/>
            <w:szCs w:val="24"/>
          </w:rPr>
          <w:t>2</w:t>
        </w:r>
        <w:r w:rsidRPr="002644B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5B0" w:rsidRPr="00A603F0" w14:paraId="437F90C3" w14:textId="6AAACC09">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3423575"/>
      <w:docPartObj>
        <w:docPartGallery w:val="Page Numbers (Bottom of Page)"/>
        <w:docPartUnique/>
      </w:docPartObj>
    </w:sdtPr>
    <w:sdtEndPr>
      <w:rPr>
        <w:noProof/>
        <w:sz w:val="24"/>
        <w:szCs w:val="24"/>
      </w:rPr>
    </w:sdtEndPr>
    <w:sdtContent>
      <w:p w:rsidR="00160662" w:rsidRPr="002644BF" w14:paraId="37F00936" w14:textId="77777777">
        <w:pPr>
          <w:pStyle w:val="Footer"/>
          <w:jc w:val="center"/>
          <w:rPr>
            <w:sz w:val="24"/>
            <w:szCs w:val="24"/>
          </w:rPr>
        </w:pPr>
        <w:r w:rsidRPr="002644BF">
          <w:rPr>
            <w:sz w:val="24"/>
            <w:szCs w:val="24"/>
          </w:rPr>
          <w:fldChar w:fldCharType="begin"/>
        </w:r>
        <w:r w:rsidRPr="002644BF">
          <w:rPr>
            <w:sz w:val="24"/>
            <w:szCs w:val="24"/>
          </w:rPr>
          <w:instrText xml:space="preserve"> PAGE   \* MERGEFORMAT </w:instrText>
        </w:r>
        <w:r w:rsidRPr="002644BF">
          <w:rPr>
            <w:sz w:val="24"/>
            <w:szCs w:val="24"/>
          </w:rPr>
          <w:fldChar w:fldCharType="separate"/>
        </w:r>
        <w:r w:rsidRPr="002644BF">
          <w:rPr>
            <w:noProof/>
            <w:sz w:val="24"/>
            <w:szCs w:val="24"/>
          </w:rPr>
          <w:t>2</w:t>
        </w:r>
        <w:r w:rsidRPr="002644BF">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919249879"/>
      <w:docPartObj>
        <w:docPartGallery w:val="Page Numbers (Bottom of Page)"/>
        <w:docPartUnique/>
      </w:docPartObj>
    </w:sdtPr>
    <w:sdtEndPr>
      <w:rPr>
        <w:noProof/>
      </w:rPr>
    </w:sdtEndPr>
    <w:sdtContent>
      <w:p w:rsidR="00732F30" w:rsidRPr="00732F30" w14:paraId="2668C451" w14:textId="44394865">
        <w:pPr>
          <w:pStyle w:val="Footer"/>
          <w:jc w:val="center"/>
          <w:rPr>
            <w:sz w:val="24"/>
            <w:szCs w:val="24"/>
          </w:rPr>
        </w:pPr>
        <w:r w:rsidRPr="00732F30">
          <w:rPr>
            <w:sz w:val="24"/>
            <w:szCs w:val="24"/>
          </w:rPr>
          <w:fldChar w:fldCharType="begin"/>
        </w:r>
        <w:r w:rsidRPr="00732F30">
          <w:rPr>
            <w:sz w:val="24"/>
            <w:szCs w:val="24"/>
          </w:rPr>
          <w:instrText xml:space="preserve"> PAGE   \* MERGEFORMAT </w:instrText>
        </w:r>
        <w:r w:rsidRPr="00732F30">
          <w:rPr>
            <w:sz w:val="24"/>
            <w:szCs w:val="24"/>
          </w:rPr>
          <w:fldChar w:fldCharType="separate"/>
        </w:r>
        <w:r w:rsidRPr="00732F30">
          <w:rPr>
            <w:noProof/>
            <w:sz w:val="24"/>
            <w:szCs w:val="24"/>
          </w:rPr>
          <w:t>2</w:t>
        </w:r>
        <w:r w:rsidRPr="00732F30">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2677827"/>
      <w:docPartObj>
        <w:docPartGallery w:val="Page Numbers (Bottom of Page)"/>
        <w:docPartUnique/>
      </w:docPartObj>
    </w:sdtPr>
    <w:sdtEndPr>
      <w:rPr>
        <w:noProof/>
        <w:sz w:val="24"/>
        <w:szCs w:val="24"/>
      </w:rPr>
    </w:sdtEndPr>
    <w:sdtContent>
      <w:p w:rsidR="00453ABC" w:rsidRPr="00453ABC" w14:paraId="271DD0C2" w14:textId="39449C97">
        <w:pPr>
          <w:pStyle w:val="Footer"/>
          <w:jc w:val="center"/>
          <w:rPr>
            <w:sz w:val="24"/>
            <w:szCs w:val="24"/>
          </w:rPr>
        </w:pPr>
        <w:r w:rsidRPr="00453ABC">
          <w:rPr>
            <w:sz w:val="24"/>
            <w:szCs w:val="24"/>
          </w:rPr>
          <w:fldChar w:fldCharType="begin"/>
        </w:r>
        <w:r w:rsidRPr="00453ABC">
          <w:rPr>
            <w:sz w:val="24"/>
            <w:szCs w:val="24"/>
          </w:rPr>
          <w:instrText xml:space="preserve"> PAGE   \* MERGEFORMAT </w:instrText>
        </w:r>
        <w:r w:rsidRPr="00453ABC">
          <w:rPr>
            <w:sz w:val="24"/>
            <w:szCs w:val="24"/>
          </w:rPr>
          <w:fldChar w:fldCharType="separate"/>
        </w:r>
        <w:r w:rsidRPr="00453ABC">
          <w:rPr>
            <w:noProof/>
            <w:sz w:val="24"/>
            <w:szCs w:val="24"/>
          </w:rPr>
          <w:t>2</w:t>
        </w:r>
        <w:r w:rsidRPr="00453ABC">
          <w:rPr>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6250831"/>
      <w:docPartObj>
        <w:docPartGallery w:val="Page Numbers (Bottom of Page)"/>
        <w:docPartUnique/>
      </w:docPartObj>
    </w:sdtPr>
    <w:sdtEndPr>
      <w:rPr>
        <w:noProof/>
        <w:sz w:val="24"/>
        <w:szCs w:val="24"/>
      </w:rPr>
    </w:sdtEndPr>
    <w:sdtContent>
      <w:p w:rsidR="002665B0" w:rsidRPr="002644BF" w14:paraId="13E4B3CD" w14:textId="700680A5">
        <w:pPr>
          <w:pStyle w:val="Footer"/>
          <w:jc w:val="center"/>
          <w:rPr>
            <w:sz w:val="24"/>
            <w:szCs w:val="24"/>
          </w:rPr>
        </w:pPr>
        <w:r w:rsidRPr="002644BF">
          <w:rPr>
            <w:sz w:val="24"/>
            <w:szCs w:val="24"/>
          </w:rPr>
          <w:fldChar w:fldCharType="begin"/>
        </w:r>
        <w:r w:rsidRPr="002644BF">
          <w:rPr>
            <w:sz w:val="24"/>
            <w:szCs w:val="24"/>
          </w:rPr>
          <w:instrText xml:space="preserve"> PAGE   \* MERGEFORMAT </w:instrText>
        </w:r>
        <w:r w:rsidRPr="002644BF">
          <w:rPr>
            <w:sz w:val="24"/>
            <w:szCs w:val="24"/>
          </w:rPr>
          <w:fldChar w:fldCharType="separate"/>
        </w:r>
        <w:r w:rsidRPr="002644BF">
          <w:rPr>
            <w:noProof/>
            <w:sz w:val="24"/>
            <w:szCs w:val="24"/>
          </w:rPr>
          <w:t>2</w:t>
        </w:r>
        <w:r w:rsidRPr="002644BF">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5402" w14:paraId="0A289758" w14:textId="77777777">
      <w:r>
        <w:separator/>
      </w:r>
    </w:p>
  </w:footnote>
  <w:footnote w:type="continuationSeparator" w:id="1">
    <w:p w:rsidR="00AC5402" w14:paraId="66D5BE78" w14:textId="77777777">
      <w:r>
        <w:continuationSeparator/>
      </w:r>
    </w:p>
  </w:footnote>
  <w:footnote w:id="2">
    <w:p w:rsidR="0088064C" w:rsidRPr="00FE1F41" w:rsidP="00F82347" w14:paraId="622F5567" w14:textId="603B8E84">
      <w:pPr>
        <w:pStyle w:val="FootnoteText"/>
        <w:widowControl w:val="0"/>
        <w:spacing w:after="120"/>
      </w:pPr>
      <w:r w:rsidRPr="00FE1F41">
        <w:rPr>
          <w:rStyle w:val="FootnoteReference"/>
        </w:rPr>
        <w:footnoteRef/>
      </w:r>
      <w:r w:rsidRPr="00FE1F41">
        <w:t xml:space="preserve"> </w:t>
      </w:r>
      <w:r w:rsidRPr="00FE1F41" w:rsidR="005D5BD4">
        <w:t>Case No. 2</w:t>
      </w:r>
      <w:r w:rsidRPr="00FE1F41" w:rsidR="00F1227E">
        <w:t xml:space="preserve">1-1095-GA-ALT, Opinion and </w:t>
      </w:r>
      <w:r w:rsidRPr="00FE1F41">
        <w:t>Order (</w:t>
      </w:r>
      <w:r w:rsidRPr="00FE1F41" w:rsidR="00F1227E">
        <w:t>June 1, 2022</w:t>
      </w:r>
      <w:r w:rsidRPr="00FE1F41" w:rsidR="005D5BD4">
        <w:t>)</w:t>
      </w:r>
      <w:r w:rsidRPr="00FE1F41">
        <w:t xml:space="preserve"> (“Order”).</w:t>
      </w:r>
    </w:p>
  </w:footnote>
  <w:footnote w:id="3">
    <w:p w:rsidR="0042350A" w:rsidRPr="00FE1F41" w:rsidP="00F82347" w14:paraId="2455CF31" w14:textId="3DD5D0FC">
      <w:pPr>
        <w:pStyle w:val="FootnoteText"/>
        <w:widowControl w:val="0"/>
        <w:spacing w:after="120"/>
      </w:pPr>
      <w:r w:rsidRPr="00FE1F41">
        <w:rPr>
          <w:rStyle w:val="FootnoteReference"/>
        </w:rPr>
        <w:footnoteRef/>
      </w:r>
      <w:r w:rsidRPr="00FE1F41">
        <w:t xml:space="preserve"> </w:t>
      </w:r>
      <w:r w:rsidRPr="00FE1F41">
        <w:rPr>
          <w:i/>
        </w:rPr>
        <w:t>See</w:t>
      </w:r>
      <w:r w:rsidRPr="00FE1F41">
        <w:rPr>
          <w:i/>
          <w:spacing w:val="-2"/>
        </w:rPr>
        <w:t xml:space="preserve"> </w:t>
      </w:r>
      <w:r w:rsidRPr="00FE1F41">
        <w:rPr>
          <w:i/>
        </w:rPr>
        <w:t>Tongren</w:t>
      </w:r>
      <w:r w:rsidRPr="00FE1F41">
        <w:rPr>
          <w:i/>
          <w:spacing w:val="-1"/>
        </w:rPr>
        <w:t xml:space="preserve"> </w:t>
      </w:r>
      <w:r w:rsidRPr="00FE1F41">
        <w:rPr>
          <w:i/>
        </w:rPr>
        <w:t>v.</w:t>
      </w:r>
      <w:r w:rsidRPr="00FE1F41">
        <w:rPr>
          <w:i/>
          <w:spacing w:val="-1"/>
        </w:rPr>
        <w:t xml:space="preserve"> </w:t>
      </w:r>
      <w:r w:rsidRPr="00FE1F41">
        <w:rPr>
          <w:i/>
        </w:rPr>
        <w:t>PUC</w:t>
      </w:r>
      <w:r w:rsidRPr="00FE1F41">
        <w:t>,</w:t>
      </w:r>
      <w:r w:rsidRPr="00FE1F41">
        <w:rPr>
          <w:spacing w:val="-1"/>
        </w:rPr>
        <w:t xml:space="preserve"> </w:t>
      </w:r>
      <w:r w:rsidRPr="00FE1F41">
        <w:t>85</w:t>
      </w:r>
      <w:r w:rsidRPr="00FE1F41">
        <w:rPr>
          <w:spacing w:val="-1"/>
        </w:rPr>
        <w:t xml:space="preserve"> </w:t>
      </w:r>
      <w:r w:rsidRPr="00FE1F41">
        <w:t>Ohio</w:t>
      </w:r>
      <w:r w:rsidRPr="00FE1F41">
        <w:rPr>
          <w:spacing w:val="-3"/>
        </w:rPr>
        <w:t xml:space="preserve"> </w:t>
      </w:r>
      <w:r w:rsidRPr="00FE1F41">
        <w:t>St.3d</w:t>
      </w:r>
      <w:r w:rsidRPr="00FE1F41">
        <w:rPr>
          <w:spacing w:val="-1"/>
        </w:rPr>
        <w:t xml:space="preserve"> </w:t>
      </w:r>
      <w:r w:rsidRPr="00FE1F41">
        <w:t>87,</w:t>
      </w:r>
      <w:r w:rsidRPr="00FE1F41">
        <w:rPr>
          <w:spacing w:val="-4"/>
        </w:rPr>
        <w:t xml:space="preserve"> </w:t>
      </w:r>
      <w:r w:rsidRPr="00FE1F41">
        <w:t>1999-Ohio-206,</w:t>
      </w:r>
      <w:r w:rsidRPr="00FE1F41">
        <w:rPr>
          <w:spacing w:val="-1"/>
        </w:rPr>
        <w:t xml:space="preserve"> </w:t>
      </w:r>
      <w:r w:rsidRPr="00FE1F41">
        <w:t>706</w:t>
      </w:r>
      <w:r w:rsidRPr="00FE1F41">
        <w:rPr>
          <w:spacing w:val="-3"/>
        </w:rPr>
        <w:t xml:space="preserve"> </w:t>
      </w:r>
      <w:r w:rsidRPr="00FE1F41">
        <w:t>N.E.2d</w:t>
      </w:r>
      <w:r w:rsidRPr="00FE1F41">
        <w:rPr>
          <w:spacing w:val="-3"/>
        </w:rPr>
        <w:t xml:space="preserve"> </w:t>
      </w:r>
      <w:r w:rsidRPr="00FE1F41">
        <w:t>1255 (“</w:t>
      </w:r>
      <w:r w:rsidRPr="00FE1F41">
        <w:rPr>
          <w:i/>
          <w:iCs/>
        </w:rPr>
        <w:t>Tongren</w:t>
      </w:r>
      <w:r w:rsidRPr="00FE1F41">
        <w:t xml:space="preserve">”); </w:t>
      </w:r>
      <w:r w:rsidRPr="00FE1F41">
        <w:rPr>
          <w:i/>
          <w:iCs/>
        </w:rPr>
        <w:t xml:space="preserve">See </w:t>
      </w:r>
      <w:r w:rsidRPr="00FE1F41" w:rsidR="00045D0F">
        <w:rPr>
          <w:i/>
          <w:iCs/>
          <w:bdr w:val="none" w:sz="0" w:space="0" w:color="auto" w:frame="1"/>
          <w:shd w:val="clear" w:color="auto" w:fill="FFFFFF"/>
        </w:rPr>
        <w:t>I</w:t>
      </w:r>
      <w:r w:rsidRPr="00FE1F41">
        <w:rPr>
          <w:i/>
          <w:iCs/>
          <w:bdr w:val="none" w:sz="0" w:space="0" w:color="auto" w:frame="1"/>
          <w:shd w:val="clear" w:color="auto" w:fill="FFFFFF"/>
        </w:rPr>
        <w:t>n re Suvon, L.L.C</w:t>
      </w:r>
      <w:r w:rsidRPr="00FE1F41">
        <w:rPr>
          <w:bdr w:val="none" w:sz="0" w:space="0" w:color="auto" w:frame="1"/>
          <w:shd w:val="clear" w:color="auto" w:fill="FFFFFF"/>
        </w:rPr>
        <w:t>., 2021-Ohio-3630 (“</w:t>
      </w:r>
      <w:r w:rsidRPr="00FE1F41">
        <w:rPr>
          <w:i/>
          <w:iCs/>
          <w:bdr w:val="none" w:sz="0" w:space="0" w:color="auto" w:frame="1"/>
          <w:shd w:val="clear" w:color="auto" w:fill="FFFFFF"/>
        </w:rPr>
        <w:t>Suvon</w:t>
      </w:r>
      <w:r w:rsidRPr="00FE1F41">
        <w:rPr>
          <w:bdr w:val="none" w:sz="0" w:space="0" w:color="auto" w:frame="1"/>
          <w:shd w:val="clear" w:color="auto" w:fill="FFFFFF"/>
        </w:rPr>
        <w:t>”).</w:t>
      </w:r>
    </w:p>
  </w:footnote>
  <w:footnote w:id="4">
    <w:p w:rsidR="0042350A" w:rsidRPr="00FE1F41" w:rsidP="00F82347" w14:paraId="4FF252FC" w14:textId="77777777">
      <w:pPr>
        <w:pStyle w:val="FootnoteText"/>
        <w:spacing w:after="120"/>
      </w:pPr>
      <w:r w:rsidRPr="00FE1F41">
        <w:rPr>
          <w:rStyle w:val="FootnoteReference"/>
        </w:rPr>
        <w:footnoteRef/>
      </w:r>
      <w:r w:rsidRPr="00FE1F41">
        <w:t xml:space="preserve"> R.C. 4903.09.</w:t>
      </w:r>
    </w:p>
  </w:footnote>
  <w:footnote w:id="5">
    <w:p w:rsidR="0096579B" w:rsidRPr="00FE1F41" w:rsidP="00F82347" w14:paraId="3D36E134" w14:textId="61D13176">
      <w:pPr>
        <w:pStyle w:val="FootnoteText"/>
        <w:spacing w:after="120"/>
      </w:pPr>
      <w:r w:rsidRPr="00FE1F41">
        <w:rPr>
          <w:rStyle w:val="FootnoteReference"/>
        </w:rPr>
        <w:footnoteRef/>
      </w:r>
      <w:r w:rsidRPr="00FE1F41">
        <w:t xml:space="preserve"> </w:t>
      </w:r>
      <w:r w:rsidRPr="00FE1F41">
        <w:rPr>
          <w:i/>
          <w:iCs/>
        </w:rPr>
        <w:t>See</w:t>
      </w:r>
      <w:r w:rsidRPr="00FE1F41">
        <w:t xml:space="preserve">, </w:t>
      </w:r>
      <w:r w:rsidRPr="00FE1F41">
        <w:rPr>
          <w:i/>
          <w:iCs/>
        </w:rPr>
        <w:t>Tongren v. Pub. Util. Comm</w:t>
      </w:r>
      <w:r w:rsidRPr="00FE1F41">
        <w:t xml:space="preserve">., 85 Ohio St.3d 87, 89-91, 706 N.E.2d 1255 (1999); </w:t>
      </w:r>
      <w:r w:rsidRPr="00FE1F41">
        <w:rPr>
          <w:i/>
          <w:iCs/>
        </w:rPr>
        <w:t>In re Application of FirstEnergy Advisors for Certification as a Competitive Retail Elec. Serv. Power Broker &amp; Aggregator</w:t>
      </w:r>
      <w:r w:rsidRPr="00FE1F41">
        <w:t xml:space="preserve">, Slip Opinion No. 2021-Ohio-3630. </w:t>
      </w:r>
    </w:p>
  </w:footnote>
  <w:footnote w:id="6">
    <w:p w:rsidR="0096579B" w:rsidRPr="00FE1F41" w:rsidP="00F82347" w14:paraId="0B381CC4" w14:textId="15299A92">
      <w:pPr>
        <w:pStyle w:val="FootnoteText"/>
        <w:spacing w:after="120"/>
      </w:pPr>
      <w:r w:rsidRPr="00FE1F41">
        <w:rPr>
          <w:rStyle w:val="FootnoteReference"/>
        </w:rPr>
        <w:footnoteRef/>
      </w:r>
      <w:r w:rsidRPr="00FE1F41">
        <w:t xml:space="preserve"> Order at </w:t>
      </w:r>
      <w:r w:rsidRPr="00FE1F41" w:rsidR="00D900C1">
        <w:t>¶</w:t>
      </w:r>
      <w:r w:rsidRPr="00FE1F41" w:rsidR="000A2386">
        <w:t xml:space="preserve"> </w:t>
      </w:r>
      <w:r w:rsidRPr="00FE1F41" w:rsidR="008B10E7">
        <w:t>35</w:t>
      </w:r>
      <w:r w:rsidRPr="00FE1F41" w:rsidR="00D900C1">
        <w:t>.</w:t>
      </w:r>
    </w:p>
  </w:footnote>
  <w:footnote w:id="7">
    <w:p w:rsidR="004E32E8" w:rsidRPr="00FE1F41" w:rsidP="00F82347" w14:paraId="5DA50867" w14:textId="50C88412">
      <w:pPr>
        <w:pStyle w:val="FootnoteText"/>
        <w:spacing w:after="120"/>
      </w:pPr>
      <w:r w:rsidRPr="00FE1F41">
        <w:rPr>
          <w:rStyle w:val="FootnoteReference"/>
        </w:rPr>
        <w:footnoteRef/>
      </w:r>
      <w:r w:rsidRPr="00FE1F41">
        <w:t xml:space="preserve"> Order at ¶ 33.</w:t>
      </w:r>
    </w:p>
  </w:footnote>
  <w:footnote w:id="8">
    <w:p w:rsidR="00CD02CA" w:rsidRPr="00FE1F41" w:rsidP="00F82347" w14:paraId="0FD698B3" w14:textId="72ABF72D">
      <w:pPr>
        <w:pStyle w:val="FootnoteText"/>
        <w:spacing w:after="120"/>
      </w:pPr>
      <w:r w:rsidRPr="00FE1F41">
        <w:rPr>
          <w:rStyle w:val="FootnoteReference"/>
        </w:rPr>
        <w:footnoteRef/>
      </w:r>
      <w:r w:rsidRPr="00FE1F41">
        <w:t xml:space="preserve"> OCC Ex. 1 (</w:t>
      </w:r>
      <w:r w:rsidRPr="00FE1F41" w:rsidR="00CC433D">
        <w:t xml:space="preserve">Testimony </w:t>
      </w:r>
      <w:r w:rsidR="00F21BDE">
        <w:t xml:space="preserve">of </w:t>
      </w:r>
      <w:r w:rsidRPr="00FE1F41" w:rsidR="00CC433D">
        <w:t>Daniel J. Duann</w:t>
      </w:r>
      <w:r w:rsidR="0094463F">
        <w:t>, Ph.D.</w:t>
      </w:r>
      <w:r w:rsidR="00F21BDE">
        <w:t xml:space="preserve"> on Behalf of the Office of the Ohio Consumers’ Counsel</w:t>
      </w:r>
      <w:r w:rsidR="0094463F">
        <w:t>, March 31, 2022)</w:t>
      </w:r>
      <w:r w:rsidRPr="00FE1F41">
        <w:t xml:space="preserve"> at </w:t>
      </w:r>
      <w:r w:rsidR="0094463F">
        <w:t>5</w:t>
      </w:r>
      <w:r w:rsidRPr="00FE1F41">
        <w:t xml:space="preserve">-12; </w:t>
      </w:r>
      <w:r w:rsidR="0094463F">
        <w:t xml:space="preserve">OCC Ex. 2 </w:t>
      </w:r>
      <w:r w:rsidR="00C92945">
        <w:t xml:space="preserve">(Consumer Protection Comments by Office of the Ohio Consumers’ Counsel, March 23, 2022) at 1-4; </w:t>
      </w:r>
      <w:r w:rsidRPr="00FE1F41">
        <w:t xml:space="preserve">OCC Initial Brief </w:t>
      </w:r>
      <w:r w:rsidR="0094463F">
        <w:t xml:space="preserve">for Consumer Protection (April 20, 2022) </w:t>
      </w:r>
      <w:r w:rsidRPr="00FE1F41">
        <w:t>at 4-8.</w:t>
      </w:r>
    </w:p>
  </w:footnote>
  <w:footnote w:id="9">
    <w:p w:rsidR="00CD02CA" w:rsidRPr="00FE1F41" w:rsidP="00F82347" w14:paraId="36ACB7E9" w14:textId="07EC5513">
      <w:pPr>
        <w:pStyle w:val="FootnoteText"/>
        <w:spacing w:after="120"/>
      </w:pPr>
      <w:r w:rsidRPr="00FE1F41">
        <w:rPr>
          <w:rStyle w:val="FootnoteReference"/>
        </w:rPr>
        <w:footnoteRef/>
      </w:r>
      <w:r w:rsidRPr="00FE1F41">
        <w:t xml:space="preserve"> </w:t>
      </w:r>
      <w:r w:rsidRPr="00FE1F41">
        <w:rPr>
          <w:i/>
          <w:iCs/>
        </w:rPr>
        <w:t>Id</w:t>
      </w:r>
      <w:r w:rsidRPr="00FE1F41">
        <w:t xml:space="preserve">.; </w:t>
      </w:r>
      <w:r w:rsidRPr="00FE1F41">
        <w:rPr>
          <w:i/>
          <w:iCs/>
        </w:rPr>
        <w:t xml:space="preserve">see </w:t>
      </w:r>
      <w:r w:rsidRPr="00FE1F41" w:rsidR="00595F01">
        <w:t xml:space="preserve">OCC Ex. 1 </w:t>
      </w:r>
      <w:r w:rsidRPr="00FE1F41">
        <w:t xml:space="preserve">at </w:t>
      </w:r>
      <w:r w:rsidRPr="00FE1F41" w:rsidR="005F3923">
        <w:t>9</w:t>
      </w:r>
      <w:r w:rsidRPr="00FE1F41">
        <w:t>.</w:t>
      </w:r>
    </w:p>
  </w:footnote>
  <w:footnote w:id="10">
    <w:p w:rsidR="00CD02CA" w:rsidRPr="00FE1F41" w:rsidP="00F82347" w14:paraId="1B1837EB" w14:textId="16B417AA">
      <w:pPr>
        <w:pStyle w:val="FootnoteText"/>
        <w:spacing w:after="120"/>
      </w:pPr>
      <w:r w:rsidRPr="00FE1F41">
        <w:rPr>
          <w:rStyle w:val="FootnoteReference"/>
        </w:rPr>
        <w:footnoteRef/>
      </w:r>
      <w:r w:rsidRPr="00FE1F41">
        <w:rPr>
          <w:i/>
          <w:iCs/>
        </w:rPr>
        <w:t xml:space="preserve"> Id</w:t>
      </w:r>
      <w:r w:rsidRPr="00FE1F41">
        <w:t xml:space="preserve">.; </w:t>
      </w:r>
      <w:r w:rsidRPr="00FE1F41">
        <w:rPr>
          <w:i/>
          <w:iCs/>
        </w:rPr>
        <w:t xml:space="preserve">see </w:t>
      </w:r>
      <w:r w:rsidRPr="00FE1F41" w:rsidR="00595F01">
        <w:t>OCC Ex. 1</w:t>
      </w:r>
      <w:r w:rsidRPr="00FE1F41">
        <w:t xml:space="preserve"> at </w:t>
      </w:r>
      <w:r w:rsidR="00C92945">
        <w:t>6, 8</w:t>
      </w:r>
      <w:r w:rsidRPr="00FE1F41" w:rsidR="005F3923">
        <w:t>-10</w:t>
      </w:r>
      <w:r w:rsidRPr="00FE1F41">
        <w:t>.</w:t>
      </w:r>
    </w:p>
  </w:footnote>
  <w:footnote w:id="11">
    <w:p w:rsidR="00CD02CA" w:rsidRPr="00FE1F41" w:rsidP="00F82347" w14:paraId="0B25F6C9" w14:textId="73463FF1">
      <w:pPr>
        <w:pStyle w:val="FootnoteText"/>
        <w:spacing w:after="120"/>
      </w:pPr>
      <w:r w:rsidRPr="00FE1F41">
        <w:rPr>
          <w:rStyle w:val="FootnoteReference"/>
        </w:rPr>
        <w:footnoteRef/>
      </w:r>
      <w:r w:rsidRPr="00FE1F41">
        <w:t xml:space="preserve"> OCC Initial Brief at </w:t>
      </w:r>
      <w:r w:rsidRPr="00FE1F41" w:rsidR="005F3923">
        <w:t xml:space="preserve">8-11; </w:t>
      </w:r>
      <w:r w:rsidRPr="00FE1F41">
        <w:rPr>
          <w:i/>
          <w:iCs/>
        </w:rPr>
        <w:t>see also</w:t>
      </w:r>
      <w:r w:rsidRPr="00FE1F41">
        <w:t xml:space="preserve"> </w:t>
      </w:r>
      <w:r w:rsidRPr="00FE1F41" w:rsidR="00595F01">
        <w:t xml:space="preserve">OCC Ex. 1 </w:t>
      </w:r>
      <w:r w:rsidRPr="00FE1F41">
        <w:t xml:space="preserve">at </w:t>
      </w:r>
      <w:r w:rsidR="003E37BA">
        <w:t>7</w:t>
      </w:r>
      <w:r w:rsidR="00C92945">
        <w:t>-1</w:t>
      </w:r>
      <w:r w:rsidR="00B5156E">
        <w:t>3</w:t>
      </w:r>
      <w:r w:rsidR="00C92945">
        <w:t>.</w:t>
      </w:r>
    </w:p>
  </w:footnote>
  <w:footnote w:id="12">
    <w:p w:rsidR="00CD02CA" w:rsidRPr="00FE1F41" w:rsidP="00F82347" w14:paraId="4A792A47" w14:textId="77777777">
      <w:pPr>
        <w:pStyle w:val="FootnoteText"/>
        <w:spacing w:after="120"/>
      </w:pPr>
      <w:r w:rsidRPr="00FE1F41">
        <w:rPr>
          <w:rStyle w:val="FootnoteReference"/>
        </w:rPr>
        <w:footnoteRef/>
      </w:r>
      <w:r w:rsidRPr="00FE1F41">
        <w:t xml:space="preserve"> </w:t>
      </w:r>
      <w:r w:rsidRPr="00FE1F41">
        <w:rPr>
          <w:i/>
          <w:iCs/>
        </w:rPr>
        <w:t>Bluefield Water Works v. Public Service Comm’n</w:t>
      </w:r>
      <w:r w:rsidRPr="00FE1F41">
        <w:t>, 262 U.S. 679, 692 (1923).</w:t>
      </w:r>
    </w:p>
  </w:footnote>
  <w:footnote w:id="13">
    <w:p w:rsidR="003E37BA" w:rsidRPr="00FE1F41" w:rsidP="003E37BA" w14:paraId="1BAA65FF" w14:textId="77777777">
      <w:pPr>
        <w:pStyle w:val="FootnoteText"/>
        <w:spacing w:after="120"/>
      </w:pPr>
      <w:r w:rsidRPr="00FE1F41">
        <w:rPr>
          <w:rStyle w:val="FootnoteReference"/>
        </w:rPr>
        <w:footnoteRef/>
      </w:r>
      <w:r w:rsidRPr="00FE1F41">
        <w:t xml:space="preserve"> OCC Initial Brief at </w:t>
      </w:r>
      <w:r w:rsidRPr="00FE1F41" w:rsidR="00D82BE5">
        <w:t>9-11;</w:t>
      </w:r>
      <w:r w:rsidRPr="00FE1F41">
        <w:t xml:space="preserve"> </w:t>
      </w:r>
      <w:r w:rsidRPr="00FE1F41" w:rsidR="00595F01">
        <w:t>OCC Ex. 1</w:t>
      </w:r>
      <w:r w:rsidRPr="00FE1F41">
        <w:t xml:space="preserve"> at 1</w:t>
      </w:r>
      <w:r w:rsidRPr="00FE1F41" w:rsidR="00D82BE5">
        <w:t>0-1</w:t>
      </w:r>
      <w:r w:rsidR="00B5156E">
        <w:t>3</w:t>
      </w:r>
      <w:r w:rsidRPr="00FE1F41">
        <w:t>.</w:t>
      </w:r>
      <w:r>
        <w:t xml:space="preserve"> </w:t>
      </w:r>
      <w:r w:rsidRPr="00FE1F41">
        <w:t>And neither Staff nor Dominion (or anyone else) challenged Dr. Duann when he made the same recommendation and took the witness stand in Case No. 19-468-GA-ALT concerning Dominion’s Capital Expenditure Program—a very similar proceeding. In that proceeding nobody asked Dr. Duann any questions at all regarding his recommendations.</w:t>
      </w:r>
    </w:p>
    <w:p w:rsidR="00CD02CA" w:rsidRPr="00FE1F41" w:rsidP="00F82347" w14:paraId="2557B48B" w14:textId="73179E42">
      <w:pPr>
        <w:pStyle w:val="FootnoteText"/>
        <w:spacing w:after="120"/>
      </w:pPr>
    </w:p>
  </w:footnote>
  <w:footnote w:id="14">
    <w:p w:rsidR="00CD02CA" w:rsidRPr="00FE1F41" w:rsidP="00F82347" w14:paraId="504CEC9E" w14:textId="1BECC6BA">
      <w:pPr>
        <w:pStyle w:val="FootnoteText"/>
        <w:spacing w:after="120"/>
      </w:pPr>
      <w:r w:rsidRPr="00FE1F41">
        <w:rPr>
          <w:rStyle w:val="FootnoteReference"/>
        </w:rPr>
        <w:footnoteRef/>
      </w:r>
      <w:r w:rsidRPr="00FE1F41">
        <w:t xml:space="preserve"> </w:t>
      </w:r>
      <w:r w:rsidR="003E37BA">
        <w:t>OCC Ex. 1 at 4-13.</w:t>
      </w:r>
    </w:p>
  </w:footnote>
  <w:footnote w:id="15">
    <w:p w:rsidR="005D3E69" w:rsidRPr="00FE1F41" w:rsidP="00F82347" w14:paraId="687FDF56" w14:textId="4D20BE3A">
      <w:pPr>
        <w:pStyle w:val="FootnoteText"/>
        <w:spacing w:after="120"/>
      </w:pPr>
      <w:r w:rsidRPr="00FE1F41">
        <w:rPr>
          <w:rStyle w:val="FootnoteReference"/>
        </w:rPr>
        <w:footnoteRef/>
      </w:r>
      <w:r w:rsidRPr="00FE1F41">
        <w:t xml:space="preserve"> Order at ¶</w:t>
      </w:r>
      <w:r w:rsidRPr="00FE1F41" w:rsidR="00A050BC">
        <w:t xml:space="preserve"> </w:t>
      </w:r>
      <w:r w:rsidRPr="00FE1F41" w:rsidR="00E05114">
        <w:t>33</w:t>
      </w:r>
      <w:r w:rsidRPr="00FE1F41">
        <w:t>.</w:t>
      </w:r>
    </w:p>
  </w:footnote>
  <w:footnote w:id="16">
    <w:p w:rsidR="00956052" w:rsidRPr="00FE1F41" w:rsidP="00F82347" w14:paraId="3196D420" w14:textId="77777777">
      <w:pPr>
        <w:pStyle w:val="FootnoteText"/>
        <w:widowControl w:val="0"/>
        <w:spacing w:after="120"/>
      </w:pPr>
      <w:r w:rsidRPr="00FE1F41">
        <w:rPr>
          <w:rStyle w:val="FootnoteReference"/>
        </w:rPr>
        <w:footnoteRef/>
      </w:r>
      <w:r w:rsidRPr="00FE1F41">
        <w:t xml:space="preserve"> </w:t>
      </w:r>
      <w:r w:rsidRPr="00FE1F41">
        <w:rPr>
          <w:i/>
        </w:rPr>
        <w:t>See</w:t>
      </w:r>
      <w:r w:rsidRPr="00FE1F41">
        <w:rPr>
          <w:i/>
          <w:spacing w:val="-2"/>
        </w:rPr>
        <w:t xml:space="preserve"> </w:t>
      </w:r>
      <w:r w:rsidRPr="00FE1F41">
        <w:rPr>
          <w:i/>
        </w:rPr>
        <w:t>Tongren</w:t>
      </w:r>
      <w:r w:rsidRPr="00FE1F41">
        <w:rPr>
          <w:i/>
          <w:spacing w:val="-1"/>
        </w:rPr>
        <w:t xml:space="preserve"> </w:t>
      </w:r>
      <w:r w:rsidRPr="00FE1F41">
        <w:rPr>
          <w:i/>
        </w:rPr>
        <w:t>v.</w:t>
      </w:r>
      <w:r w:rsidRPr="00FE1F41">
        <w:rPr>
          <w:i/>
          <w:spacing w:val="-1"/>
        </w:rPr>
        <w:t xml:space="preserve"> </w:t>
      </w:r>
      <w:r w:rsidRPr="00FE1F41">
        <w:rPr>
          <w:i/>
        </w:rPr>
        <w:t>PUC</w:t>
      </w:r>
      <w:r w:rsidRPr="00FE1F41">
        <w:t>,</w:t>
      </w:r>
      <w:r w:rsidRPr="00FE1F41">
        <w:rPr>
          <w:spacing w:val="-1"/>
        </w:rPr>
        <w:t xml:space="preserve"> </w:t>
      </w:r>
      <w:r w:rsidRPr="00FE1F41">
        <w:t>85</w:t>
      </w:r>
      <w:r w:rsidRPr="00FE1F41">
        <w:rPr>
          <w:spacing w:val="-1"/>
        </w:rPr>
        <w:t xml:space="preserve"> </w:t>
      </w:r>
      <w:r w:rsidRPr="00FE1F41">
        <w:t>Ohio</w:t>
      </w:r>
      <w:r w:rsidRPr="00FE1F41">
        <w:rPr>
          <w:spacing w:val="-3"/>
        </w:rPr>
        <w:t xml:space="preserve"> </w:t>
      </w:r>
      <w:r w:rsidRPr="00FE1F41">
        <w:t>St.3d</w:t>
      </w:r>
      <w:r w:rsidRPr="00FE1F41">
        <w:rPr>
          <w:spacing w:val="-1"/>
        </w:rPr>
        <w:t xml:space="preserve"> </w:t>
      </w:r>
      <w:r w:rsidRPr="00FE1F41">
        <w:t>87,</w:t>
      </w:r>
      <w:r w:rsidRPr="00FE1F41">
        <w:rPr>
          <w:spacing w:val="-4"/>
        </w:rPr>
        <w:t xml:space="preserve"> </w:t>
      </w:r>
      <w:r w:rsidRPr="00FE1F41">
        <w:t>1999-Ohio-206,</w:t>
      </w:r>
      <w:r w:rsidRPr="00FE1F41">
        <w:rPr>
          <w:spacing w:val="-1"/>
        </w:rPr>
        <w:t xml:space="preserve"> </w:t>
      </w:r>
      <w:r w:rsidRPr="00FE1F41">
        <w:t>706</w:t>
      </w:r>
      <w:r w:rsidRPr="00FE1F41">
        <w:rPr>
          <w:spacing w:val="-3"/>
        </w:rPr>
        <w:t xml:space="preserve"> </w:t>
      </w:r>
      <w:r w:rsidRPr="00FE1F41">
        <w:t>N.E.2d</w:t>
      </w:r>
      <w:r w:rsidRPr="00FE1F41">
        <w:rPr>
          <w:spacing w:val="-3"/>
        </w:rPr>
        <w:t xml:space="preserve"> </w:t>
      </w:r>
      <w:r w:rsidRPr="00FE1F41">
        <w:t>1255 (“</w:t>
      </w:r>
      <w:r w:rsidRPr="00FE1F41">
        <w:rPr>
          <w:i/>
          <w:iCs/>
        </w:rPr>
        <w:t>Tongren</w:t>
      </w:r>
      <w:r w:rsidRPr="00FE1F41">
        <w:t xml:space="preserve">”); </w:t>
      </w:r>
      <w:r w:rsidRPr="00FE1F41">
        <w:rPr>
          <w:i/>
          <w:iCs/>
        </w:rPr>
        <w:t xml:space="preserve">See </w:t>
      </w:r>
      <w:r w:rsidRPr="00FE1F41">
        <w:rPr>
          <w:i/>
          <w:iCs/>
          <w:bdr w:val="none" w:sz="0" w:space="0" w:color="auto" w:frame="1"/>
          <w:shd w:val="clear" w:color="auto" w:fill="FFFFFF"/>
        </w:rPr>
        <w:t>In re Suvon, L.L.C</w:t>
      </w:r>
      <w:r w:rsidRPr="00FE1F41">
        <w:rPr>
          <w:bdr w:val="none" w:sz="0" w:space="0" w:color="auto" w:frame="1"/>
          <w:shd w:val="clear" w:color="auto" w:fill="FFFFFF"/>
        </w:rPr>
        <w:t>., 2021-Ohio-3630 (“</w:t>
      </w:r>
      <w:r w:rsidRPr="00FE1F41">
        <w:rPr>
          <w:i/>
          <w:iCs/>
          <w:bdr w:val="none" w:sz="0" w:space="0" w:color="auto" w:frame="1"/>
          <w:shd w:val="clear" w:color="auto" w:fill="FFFFFF"/>
        </w:rPr>
        <w:t>Suvon</w:t>
      </w:r>
      <w:r w:rsidRPr="00FE1F41">
        <w:rPr>
          <w:bdr w:val="none" w:sz="0" w:space="0" w:color="auto" w:frame="1"/>
          <w:shd w:val="clear" w:color="auto" w:fill="FFFFFF"/>
        </w:rPr>
        <w:t>”).</w:t>
      </w:r>
    </w:p>
  </w:footnote>
  <w:footnote w:id="17">
    <w:p w:rsidR="00455F27" w:rsidRPr="00FE1F41" w:rsidP="00F82347" w14:paraId="58E50C0B" w14:textId="0A7C1CFA">
      <w:pPr>
        <w:pStyle w:val="FootnoteText"/>
        <w:spacing w:after="120"/>
      </w:pPr>
      <w:r w:rsidRPr="00FE1F41">
        <w:rPr>
          <w:rStyle w:val="FootnoteReference"/>
        </w:rPr>
        <w:footnoteRef/>
      </w:r>
      <w:r w:rsidRPr="00FE1F41">
        <w:t xml:space="preserve"> OCC Ex. 1 (Duann Testimony).</w:t>
      </w:r>
    </w:p>
  </w:footnote>
  <w:footnote w:id="18">
    <w:p w:rsidR="00455F27" w:rsidRPr="00FE1F41" w:rsidP="00F82347" w14:paraId="660BE13A" w14:textId="68603206">
      <w:pPr>
        <w:pStyle w:val="FootnoteText"/>
        <w:spacing w:after="120"/>
      </w:pPr>
      <w:r w:rsidRPr="00FE1F41">
        <w:rPr>
          <w:rStyle w:val="FootnoteReference"/>
        </w:rPr>
        <w:footnoteRef/>
      </w:r>
      <w:r w:rsidRPr="00FE1F41">
        <w:t xml:space="preserve"> OCC Ex. 1 (Duann Testimony) at </w:t>
      </w:r>
      <w:r w:rsidR="005C2248">
        <w:t>9-13</w:t>
      </w:r>
      <w:r w:rsidRPr="00FE1F41">
        <w:t>.</w:t>
      </w:r>
    </w:p>
  </w:footnote>
  <w:footnote w:id="19">
    <w:p w:rsidR="00455F27" w:rsidRPr="00FE1F41" w:rsidP="00F82347" w14:paraId="70CC691A" w14:textId="77777777">
      <w:pPr>
        <w:pStyle w:val="FootnoteText"/>
        <w:spacing w:after="120"/>
      </w:pPr>
      <w:r w:rsidRPr="00FE1F41">
        <w:rPr>
          <w:rStyle w:val="FootnoteReference"/>
        </w:rPr>
        <w:footnoteRef/>
      </w:r>
      <w:r w:rsidRPr="00FE1F41">
        <w:t xml:space="preserve"> PUCO Case No. 21-619-GA-RDR, Opinion and Order at 28 (February 23, 2022). </w:t>
      </w:r>
      <w:r w:rsidRPr="00FE1F41">
        <w:rPr>
          <w:i/>
          <w:iCs/>
        </w:rPr>
        <w:t>See also</w:t>
      </w:r>
      <w:r w:rsidRPr="00FE1F41">
        <w:t>, the PUCO’s Opinion and Order in Case No. 19-468-GA-ALT at 41, where the PUCO recognized Dominion’s “decrease in the cost of debt and the resultant impact on the [rider] revenue requirement” (December 30, 2020).</w:t>
      </w:r>
    </w:p>
  </w:footnote>
  <w:footnote w:id="20">
    <w:p w:rsidR="00455F27" w:rsidRPr="00FE1F41" w:rsidP="00F82347" w14:paraId="6CE8EE06" w14:textId="77777777">
      <w:pPr>
        <w:pStyle w:val="FootnoteText"/>
        <w:spacing w:after="120"/>
      </w:pPr>
      <w:r w:rsidRPr="00FE1F41">
        <w:rPr>
          <w:rStyle w:val="FootnoteReference"/>
        </w:rPr>
        <w:footnoteRef/>
      </w:r>
      <w:r w:rsidRPr="00FE1F41">
        <w:t xml:space="preserve"> PUCO Case No. 21-619-GA-RDR, Opinion and Order at 21.</w:t>
      </w:r>
    </w:p>
  </w:footnote>
  <w:footnote w:id="21">
    <w:p w:rsidR="00186D39" w:rsidRPr="00FE1F41" w:rsidP="00D82D09" w14:paraId="6071D65F" w14:textId="74C581CA">
      <w:pPr>
        <w:pStyle w:val="FootnoteText"/>
        <w:widowControl w:val="0"/>
        <w:spacing w:after="120"/>
        <w:rPr>
          <w:i/>
          <w:iCs/>
        </w:rPr>
      </w:pPr>
      <w:r w:rsidRPr="00FE1F41">
        <w:rPr>
          <w:rStyle w:val="FootnoteReference"/>
        </w:rPr>
        <w:footnoteRef/>
      </w:r>
      <w:r w:rsidRPr="00FE1F41">
        <w:t xml:space="preserve"> </w:t>
      </w:r>
      <w:r w:rsidRPr="00FE1F41" w:rsidR="00D82D09">
        <w:rPr>
          <w:i/>
        </w:rPr>
        <w:t>See</w:t>
      </w:r>
      <w:r w:rsidRPr="00FE1F41" w:rsidR="00D82D09">
        <w:rPr>
          <w:i/>
          <w:spacing w:val="-2"/>
        </w:rPr>
        <w:t xml:space="preserve"> </w:t>
      </w:r>
      <w:r w:rsidRPr="00FE1F41" w:rsidR="00D82D09">
        <w:rPr>
          <w:i/>
        </w:rPr>
        <w:t>Tongren</w:t>
      </w:r>
      <w:r w:rsidRPr="00FE1F41" w:rsidR="00D82D09">
        <w:rPr>
          <w:i/>
          <w:spacing w:val="-1"/>
        </w:rPr>
        <w:t xml:space="preserve"> </w:t>
      </w:r>
      <w:r w:rsidRPr="00FE1F41" w:rsidR="00D82D09">
        <w:rPr>
          <w:i/>
        </w:rPr>
        <w:t>v.</w:t>
      </w:r>
      <w:r w:rsidRPr="00FE1F41" w:rsidR="00D82D09">
        <w:rPr>
          <w:i/>
          <w:spacing w:val="-1"/>
        </w:rPr>
        <w:t xml:space="preserve"> </w:t>
      </w:r>
      <w:r w:rsidRPr="00FE1F41" w:rsidR="00D82D09">
        <w:rPr>
          <w:i/>
        </w:rPr>
        <w:t>PUC</w:t>
      </w:r>
      <w:r w:rsidRPr="00FE1F41" w:rsidR="00D82D09">
        <w:t>,</w:t>
      </w:r>
      <w:r w:rsidRPr="00FE1F41" w:rsidR="00D82D09">
        <w:rPr>
          <w:spacing w:val="-1"/>
        </w:rPr>
        <w:t xml:space="preserve"> </w:t>
      </w:r>
      <w:r w:rsidRPr="00FE1F41" w:rsidR="00D82D09">
        <w:t>85</w:t>
      </w:r>
      <w:r w:rsidRPr="00FE1F41" w:rsidR="00D82D09">
        <w:rPr>
          <w:spacing w:val="-1"/>
        </w:rPr>
        <w:t xml:space="preserve"> </w:t>
      </w:r>
      <w:r w:rsidRPr="00FE1F41" w:rsidR="00D82D09">
        <w:t>Ohio</w:t>
      </w:r>
      <w:r w:rsidRPr="00FE1F41" w:rsidR="00D82D09">
        <w:rPr>
          <w:spacing w:val="-3"/>
        </w:rPr>
        <w:t xml:space="preserve"> </w:t>
      </w:r>
      <w:r w:rsidRPr="00FE1F41" w:rsidR="00D82D09">
        <w:t>St.3d</w:t>
      </w:r>
      <w:r w:rsidRPr="00FE1F41" w:rsidR="00D82D09">
        <w:rPr>
          <w:spacing w:val="-1"/>
        </w:rPr>
        <w:t xml:space="preserve"> </w:t>
      </w:r>
      <w:r w:rsidRPr="00FE1F41" w:rsidR="00D82D09">
        <w:t>87,</w:t>
      </w:r>
      <w:r w:rsidRPr="00FE1F41" w:rsidR="00D82D09">
        <w:rPr>
          <w:spacing w:val="-4"/>
        </w:rPr>
        <w:t xml:space="preserve"> </w:t>
      </w:r>
      <w:r w:rsidRPr="00FE1F41" w:rsidR="00D82D09">
        <w:t>1999-Ohio-206,</w:t>
      </w:r>
      <w:r w:rsidRPr="00FE1F41" w:rsidR="00D82D09">
        <w:rPr>
          <w:spacing w:val="-1"/>
        </w:rPr>
        <w:t xml:space="preserve"> </w:t>
      </w:r>
      <w:r w:rsidRPr="00FE1F41" w:rsidR="00D82D09">
        <w:t>706</w:t>
      </w:r>
      <w:r w:rsidRPr="00FE1F41" w:rsidR="00D82D09">
        <w:rPr>
          <w:spacing w:val="-3"/>
        </w:rPr>
        <w:t xml:space="preserve"> </w:t>
      </w:r>
      <w:r w:rsidRPr="00FE1F41" w:rsidR="00D82D09">
        <w:t>N.E.2d</w:t>
      </w:r>
      <w:r w:rsidRPr="00FE1F41" w:rsidR="00D82D09">
        <w:rPr>
          <w:spacing w:val="-3"/>
        </w:rPr>
        <w:t xml:space="preserve"> </w:t>
      </w:r>
      <w:r w:rsidRPr="00FE1F41" w:rsidR="00D82D09">
        <w:t>1255 (“</w:t>
      </w:r>
      <w:r w:rsidRPr="00FE1F41" w:rsidR="00D82D09">
        <w:rPr>
          <w:i/>
          <w:iCs/>
        </w:rPr>
        <w:t>Tongren</w:t>
      </w:r>
      <w:r w:rsidRPr="00FE1F41" w:rsidR="00D82D09">
        <w:t xml:space="preserve">”); </w:t>
      </w:r>
      <w:r w:rsidRPr="00FE1F41" w:rsidR="00D82D09">
        <w:rPr>
          <w:i/>
          <w:iCs/>
        </w:rPr>
        <w:t xml:space="preserve">See </w:t>
      </w:r>
      <w:r w:rsidRPr="00FE1F41" w:rsidR="00D82D09">
        <w:rPr>
          <w:i/>
          <w:iCs/>
          <w:bdr w:val="none" w:sz="0" w:space="0" w:color="auto" w:frame="1"/>
          <w:shd w:val="clear" w:color="auto" w:fill="FFFFFF"/>
        </w:rPr>
        <w:t>In re Suvon, L.L.C</w:t>
      </w:r>
      <w:r w:rsidRPr="00FE1F41" w:rsidR="00D82D09">
        <w:rPr>
          <w:bdr w:val="none" w:sz="0" w:space="0" w:color="auto" w:frame="1"/>
          <w:shd w:val="clear" w:color="auto" w:fill="FFFFFF"/>
        </w:rPr>
        <w:t>., 2021-Ohio-3630 (“</w:t>
      </w:r>
      <w:r w:rsidRPr="00FE1F41" w:rsidR="00D82D09">
        <w:rPr>
          <w:i/>
          <w:iCs/>
          <w:bdr w:val="none" w:sz="0" w:space="0" w:color="auto" w:frame="1"/>
          <w:shd w:val="clear" w:color="auto" w:fill="FFFFFF"/>
        </w:rPr>
        <w:t>Suvon</w:t>
      </w:r>
      <w:r w:rsidRPr="00FE1F41" w:rsidR="00D82D09">
        <w:rPr>
          <w:bdr w:val="none" w:sz="0" w:space="0" w:color="auto" w:frame="1"/>
          <w:shd w:val="clear" w:color="auto" w:fill="FFFFFF"/>
        </w:rPr>
        <w:t>”).</w:t>
      </w:r>
    </w:p>
  </w:footnote>
  <w:footnote w:id="22">
    <w:p w:rsidR="00186D39" w:rsidRPr="00FE1F41" w:rsidP="00F82347" w14:paraId="0A39E656" w14:textId="77777777">
      <w:pPr>
        <w:pStyle w:val="FootnoteText"/>
        <w:spacing w:after="120"/>
        <w:rPr>
          <w:i/>
          <w:iCs/>
        </w:rPr>
      </w:pPr>
      <w:r w:rsidRPr="00FE1F41">
        <w:rPr>
          <w:rStyle w:val="FootnoteReference"/>
        </w:rPr>
        <w:footnoteRef/>
      </w:r>
      <w:r w:rsidRPr="00FE1F41">
        <w:t xml:space="preserve"> </w:t>
      </w:r>
      <w:r w:rsidRPr="00FE1F41">
        <w:rPr>
          <w:i/>
          <w:iCs/>
        </w:rPr>
        <w:t>Id.</w:t>
      </w:r>
    </w:p>
  </w:footnote>
  <w:footnote w:id="23">
    <w:p w:rsidR="00186D39" w:rsidRPr="00FE1F41" w:rsidP="00F82347" w14:paraId="6A463354" w14:textId="77777777">
      <w:pPr>
        <w:pStyle w:val="FootnoteText"/>
        <w:spacing w:after="120"/>
      </w:pPr>
      <w:r w:rsidRPr="00FE1F41">
        <w:rPr>
          <w:rStyle w:val="FootnoteReference"/>
        </w:rPr>
        <w:footnoteRef/>
      </w:r>
      <w:r w:rsidRPr="00FE1F41">
        <w:t xml:space="preserve"> </w:t>
      </w:r>
      <w:r w:rsidRPr="00FE1F41">
        <w:rPr>
          <w:i/>
          <w:iCs/>
        </w:rPr>
        <w:t>Tongren</w:t>
      </w:r>
      <w:r w:rsidRPr="00FE1F41">
        <w:t xml:space="preserve"> at 89-90.</w:t>
      </w:r>
    </w:p>
  </w:footnote>
  <w:footnote w:id="24">
    <w:p w:rsidR="00186D39" w:rsidRPr="00FE1F41" w:rsidP="00F82347" w14:paraId="222BFF4D" w14:textId="77777777">
      <w:pPr>
        <w:pStyle w:val="FootnoteText"/>
        <w:spacing w:after="120"/>
        <w:rPr>
          <w:i/>
          <w:iCs/>
        </w:rPr>
      </w:pPr>
      <w:r w:rsidRPr="00FE1F41">
        <w:rPr>
          <w:rStyle w:val="FootnoteReference"/>
        </w:rPr>
        <w:footnoteRef/>
      </w:r>
      <w:r w:rsidRPr="00FE1F41">
        <w:t xml:space="preserve"> </w:t>
      </w:r>
      <w:r w:rsidRPr="00FE1F41">
        <w:rPr>
          <w:i/>
          <w:iCs/>
        </w:rPr>
        <w:t xml:space="preserve">Suvon </w:t>
      </w:r>
      <w:r w:rsidRPr="00FE1F41">
        <w:t>at 2-3, 9-10 (By statute, PUCO must file “findings of fact and written opinions setting forth the reasons prompting the decisions arrived at”).</w:t>
      </w:r>
    </w:p>
  </w:footnote>
  <w:footnote w:id="25">
    <w:p w:rsidR="00186D39" w:rsidRPr="00FE1F41" w:rsidP="00F82347" w14:paraId="0CEDE206" w14:textId="77777777">
      <w:pPr>
        <w:pStyle w:val="FootnoteText"/>
        <w:spacing w:after="120"/>
      </w:pPr>
      <w:r w:rsidRPr="00FE1F41">
        <w:rPr>
          <w:rStyle w:val="FootnoteReference"/>
        </w:rPr>
        <w:footnoteRef/>
      </w:r>
      <w:r w:rsidRPr="00FE1F41">
        <w:t xml:space="preserve"> </w:t>
      </w:r>
      <w:r w:rsidRPr="00FE1F41">
        <w:rPr>
          <w:i/>
          <w:iCs/>
        </w:rPr>
        <w:t>Tongren</w:t>
      </w:r>
      <w:r w:rsidRPr="00FE1F41">
        <w:t xml:space="preserve"> at 89-90; </w:t>
      </w:r>
      <w:r w:rsidRPr="00FE1F41">
        <w:rPr>
          <w:i/>
          <w:iCs/>
        </w:rPr>
        <w:t>Suvon</w:t>
      </w:r>
      <w:r w:rsidRPr="00FE1F41">
        <w:t xml:space="preserve"> at 2-3, 9-10; </w:t>
      </w:r>
      <w:r w:rsidRPr="00FE1F41">
        <w:rPr>
          <w:i/>
          <w:iCs/>
        </w:rPr>
        <w:t>see also MCI Telecommunications Corp. v. Pub. Util. Comm.</w:t>
      </w:r>
      <w:r w:rsidRPr="00FE1F41">
        <w:t xml:space="preserve"> (1987), 32 Ohio St.3d 306, 311, 513 N.E.2d 337, 344; </w:t>
      </w:r>
      <w:r w:rsidRPr="00FE1F41">
        <w:rPr>
          <w:i/>
          <w:iCs/>
        </w:rPr>
        <w:t>Allnet Communications Serv., Inc. v. Pub. Util. Comm.</w:t>
      </w:r>
      <w:r w:rsidRPr="00FE1F41">
        <w:t xml:space="preserve"> (1994), 70 Ohio St.3d 202, 209, 638 N.E.2d 516, 521.</w:t>
      </w:r>
    </w:p>
  </w:footnote>
  <w:footnote w:id="26">
    <w:p w:rsidR="00186D39" w:rsidRPr="00FE1F41" w:rsidP="00F82347" w14:paraId="1D04CABC" w14:textId="77777777">
      <w:pPr>
        <w:pStyle w:val="FootnoteText"/>
        <w:spacing w:after="120"/>
      </w:pPr>
      <w:r w:rsidRPr="00FE1F41">
        <w:rPr>
          <w:rStyle w:val="FootnoteReference"/>
        </w:rPr>
        <w:footnoteRef/>
      </w:r>
      <w:r w:rsidRPr="00FE1F41">
        <w:t xml:space="preserve"> </w:t>
      </w:r>
      <w:r w:rsidRPr="00FE1F41">
        <w:rPr>
          <w:i/>
          <w:iCs/>
        </w:rPr>
        <w:t>See Tongren</w:t>
      </w:r>
      <w:r w:rsidRPr="00FE1F41">
        <w:t xml:space="preserve"> at 89-90; </w:t>
      </w:r>
      <w:r w:rsidRPr="00FE1F41">
        <w:rPr>
          <w:i/>
          <w:iCs/>
        </w:rPr>
        <w:t>Suvon</w:t>
      </w:r>
      <w:r w:rsidRPr="00FE1F41">
        <w:t xml:space="preserve"> at 9-10; </w:t>
      </w:r>
      <w:r w:rsidRPr="00FE1F41">
        <w:rPr>
          <w:i/>
          <w:iCs/>
        </w:rPr>
        <w:t>see, e.g., In re Petition of Studer &amp; Numerous Other Subscribers of Neapolis Exchange of ALLTEL Ohio</w:t>
      </w:r>
      <w:r w:rsidRPr="00FE1F41">
        <w:t>, PUCO Case No. 88-481-TP-PEX, Entry on Rehearing (September 6, 1990).</w:t>
      </w:r>
    </w:p>
  </w:footnote>
  <w:footnote w:id="27">
    <w:p w:rsidR="00186D39" w:rsidRPr="00FE1F41" w:rsidP="00F82347" w14:paraId="5BE25DDF" w14:textId="425098B8">
      <w:pPr>
        <w:pStyle w:val="FootnoteText"/>
        <w:spacing w:after="120"/>
      </w:pPr>
      <w:r w:rsidRPr="00FE1F41">
        <w:rPr>
          <w:rStyle w:val="FootnoteReference"/>
        </w:rPr>
        <w:footnoteRef/>
      </w:r>
      <w:r w:rsidRPr="00FE1F41">
        <w:t xml:space="preserve"> OCC Ex. </w:t>
      </w:r>
      <w:r w:rsidRPr="00FE1F41" w:rsidR="00407D98">
        <w:t>1</w:t>
      </w:r>
      <w:r w:rsidRPr="00FE1F41">
        <w:t>.</w:t>
      </w:r>
    </w:p>
  </w:footnote>
  <w:footnote w:id="28">
    <w:p w:rsidR="00186D39" w:rsidRPr="00FE1F41" w:rsidP="00F82347" w14:paraId="16380A1B" w14:textId="530B4282">
      <w:pPr>
        <w:pStyle w:val="FootnoteText"/>
        <w:widowControl w:val="0"/>
        <w:spacing w:after="120"/>
      </w:pPr>
      <w:r w:rsidRPr="00FE1F41">
        <w:rPr>
          <w:rStyle w:val="FootnoteReference"/>
        </w:rPr>
        <w:footnoteRef/>
      </w:r>
      <w:r w:rsidRPr="00FE1F41">
        <w:t xml:space="preserve"> </w:t>
      </w:r>
      <w:r w:rsidRPr="00FE1F41" w:rsidR="00D426F3">
        <w:t>Order at</w:t>
      </w:r>
      <w:r w:rsidRPr="00FE1F41">
        <w:t xml:space="preserve"> ¶</w:t>
      </w:r>
      <w:r w:rsidRPr="00FE1F41" w:rsidR="00C8315A">
        <w:t xml:space="preserve"> </w:t>
      </w:r>
      <w:r w:rsidRPr="00FE1F41" w:rsidR="000532FB">
        <w:t>35</w:t>
      </w:r>
      <w:r w:rsidRPr="00FE1F41">
        <w:t>.</w:t>
      </w:r>
    </w:p>
  </w:footnote>
  <w:footnote w:id="29">
    <w:p w:rsidR="00186D39" w:rsidRPr="00FE1F41" w:rsidP="00F82347" w14:paraId="7EE87C54" w14:textId="5AFCCAA8">
      <w:pPr>
        <w:pStyle w:val="FootnoteText"/>
        <w:spacing w:after="120"/>
      </w:pPr>
      <w:r w:rsidRPr="00FE1F41">
        <w:rPr>
          <w:rStyle w:val="FootnoteReference"/>
        </w:rPr>
        <w:footnoteRef/>
      </w:r>
      <w:r w:rsidRPr="00FE1F41">
        <w:t xml:space="preserve"> </w:t>
      </w:r>
      <w:r w:rsidRPr="00FE1F41" w:rsidR="000532FB">
        <w:t>Order at ¶ 33.</w:t>
      </w:r>
    </w:p>
  </w:footnote>
  <w:footnote w:id="30">
    <w:p w:rsidR="000532FB" w:rsidRPr="00FE1F41" w:rsidP="00F82347" w14:paraId="325AE1EF" w14:textId="5A055C87">
      <w:pPr>
        <w:pStyle w:val="FootnoteText"/>
        <w:spacing w:after="120"/>
      </w:pPr>
      <w:r w:rsidRPr="00FE1F41">
        <w:rPr>
          <w:rStyle w:val="FootnoteReference"/>
        </w:rPr>
        <w:footnoteRef/>
      </w:r>
      <w:r w:rsidRPr="00FE1F41">
        <w:t xml:space="preserve"> </w:t>
      </w:r>
      <w:r w:rsidRPr="00FE1F41" w:rsidR="00D5233D">
        <w:t>Order at ¶ 34.</w:t>
      </w:r>
    </w:p>
  </w:footnote>
  <w:footnote w:id="31">
    <w:p w:rsidR="002322FA" w:rsidRPr="00FE1F41" w:rsidP="00F82347" w14:paraId="3E515261" w14:textId="77777777">
      <w:pPr>
        <w:pStyle w:val="FootnoteText"/>
        <w:spacing w:after="120"/>
      </w:pPr>
      <w:r w:rsidRPr="00FE1F41">
        <w:rPr>
          <w:rStyle w:val="FootnoteReference"/>
        </w:rPr>
        <w:footnoteRef/>
      </w:r>
      <w:r w:rsidRPr="00FE1F41">
        <w:t xml:space="preserve"> R.C. 4929.05(A)(3); </w:t>
      </w:r>
      <w:r w:rsidRPr="00FE1F41">
        <w:rPr>
          <w:i/>
          <w:iCs/>
        </w:rPr>
        <w:t>see also</w:t>
      </w:r>
      <w:r w:rsidRPr="00FE1F41">
        <w:t xml:space="preserve"> 4905.22 and 4909.18.</w:t>
      </w:r>
    </w:p>
  </w:footnote>
  <w:footnote w:id="32">
    <w:p w:rsidR="00E74917" w:rsidP="00F82347" w14:paraId="7AD87FCA" w14:textId="4B471C10">
      <w:pPr>
        <w:pStyle w:val="FootnoteText"/>
        <w:spacing w:after="120"/>
      </w:pPr>
      <w:r>
        <w:rPr>
          <w:rStyle w:val="FootnoteReference"/>
        </w:rPr>
        <w:footnoteRef/>
      </w:r>
      <w:r>
        <w:t xml:space="preserve"> </w:t>
      </w:r>
      <w:r w:rsidRPr="00E74917">
        <w:rPr>
          <w:i/>
          <w:iCs/>
        </w:rPr>
        <w:t>See, In the Matter of the Complaint of Union Rural Electric Cooperative, Inc. v. The Dayton Power and Light</w:t>
      </w:r>
      <w:r>
        <w:t>, Case No. 88-947-EL-CSS, 1988 Ohio PUC LEXIS 776 at 7 (</w:t>
      </w:r>
      <w:r w:rsidR="00AB7F80">
        <w:t xml:space="preserve">Ohio P.U.C. </w:t>
      </w:r>
      <w:r>
        <w:t>Aug</w:t>
      </w:r>
      <w:r w:rsidR="00137817">
        <w:t>ust</w:t>
      </w:r>
      <w:r>
        <w:t xml:space="preserve"> 16, 1988). </w:t>
      </w:r>
    </w:p>
  </w:footnote>
  <w:footnote w:id="33">
    <w:p w:rsidR="009B4B81" w:rsidRPr="00FE1F41" w:rsidP="00F82347" w14:paraId="0704E961" w14:textId="1ABB8920">
      <w:pPr>
        <w:pStyle w:val="FootnoteText"/>
        <w:spacing w:after="120"/>
      </w:pPr>
      <w:r w:rsidRPr="00FE1F41">
        <w:rPr>
          <w:rStyle w:val="FootnoteReference"/>
        </w:rPr>
        <w:footnoteRef/>
      </w:r>
      <w:r w:rsidRPr="00FE1F41">
        <w:t xml:space="preserve"> Order at ¶ 33, ¶35.</w:t>
      </w:r>
    </w:p>
  </w:footnote>
  <w:footnote w:id="34">
    <w:p w:rsidR="00CD60DA" w:rsidRPr="00FE1F41" w:rsidP="00F82347" w14:paraId="7CFA5FCD" w14:textId="36A830BD">
      <w:pPr>
        <w:pStyle w:val="FootnoteText"/>
        <w:spacing w:after="120"/>
      </w:pPr>
      <w:r w:rsidRPr="00FE1F41">
        <w:rPr>
          <w:rStyle w:val="FootnoteReference"/>
        </w:rPr>
        <w:footnoteRef/>
      </w:r>
      <w:r w:rsidRPr="00FE1F41">
        <w:t xml:space="preserve"> </w:t>
      </w:r>
      <w:r w:rsidRPr="00FE1F41">
        <w:rPr>
          <w:i/>
          <w:iCs/>
        </w:rPr>
        <w:t>In re Complaint of Suburban Gas Company</w:t>
      </w:r>
      <w:r w:rsidRPr="00FE1F41">
        <w:t>, 162 Ohio St.3d 162, 169, 2020-Ohio-5221 ¶ 29, 164 N.E.3d 425 (2020) (internal citations omitted).</w:t>
      </w:r>
    </w:p>
  </w:footnote>
  <w:footnote w:id="35">
    <w:p w:rsidR="00CD60DA" w:rsidRPr="00FE1F41" w:rsidP="00F82347" w14:paraId="6A9730A9" w14:textId="4E99CF62">
      <w:pPr>
        <w:pStyle w:val="FootnoteText"/>
        <w:spacing w:after="120"/>
      </w:pPr>
      <w:r w:rsidRPr="00FE1F41">
        <w:rPr>
          <w:rStyle w:val="FootnoteReference"/>
        </w:rPr>
        <w:footnoteRef/>
      </w:r>
      <w:r w:rsidRPr="00FE1F41">
        <w:t xml:space="preserve"> </w:t>
      </w:r>
      <w:r w:rsidRPr="00FE1F41">
        <w:rPr>
          <w:i/>
          <w:iCs/>
        </w:rPr>
        <w:t>Id</w:t>
      </w:r>
      <w:r w:rsidRPr="00FE1F41">
        <w:t xml:space="preserve">. </w:t>
      </w:r>
    </w:p>
  </w:footnote>
  <w:footnote w:id="36">
    <w:p w:rsidR="00CD60DA" w:rsidRPr="00FE1F41" w:rsidP="00F82347" w14:paraId="4532AE51" w14:textId="77777777">
      <w:pPr>
        <w:pStyle w:val="FootnoteText"/>
        <w:spacing w:after="120"/>
      </w:pPr>
      <w:r w:rsidRPr="00FE1F41">
        <w:rPr>
          <w:rStyle w:val="FootnoteReference"/>
        </w:rPr>
        <w:footnoteRef/>
      </w:r>
      <w:r w:rsidRPr="00FE1F41">
        <w:t xml:space="preserve"> </w:t>
      </w:r>
      <w:r w:rsidRPr="00FE1F41">
        <w:rPr>
          <w:i/>
          <w:iCs/>
        </w:rPr>
        <w:t xml:space="preserve">See, In re Complaint of Suburban Natural Gas Company, </w:t>
      </w:r>
      <w:r w:rsidRPr="00FE1F41">
        <w:t>162 Ohio St.3d 162, 2020-Ohio-5221, 164 N.E.3d 425</w:t>
      </w:r>
      <w:r w:rsidRPr="00FE1F41">
        <w:rPr>
          <w:i/>
          <w:iCs/>
        </w:rPr>
        <w:t>; In re Application of Columbus S. Power Co</w:t>
      </w:r>
      <w:r w:rsidRPr="00FE1F41">
        <w:t xml:space="preserve">., 128 Ohio St.3d 512, 2011-Ohio-1788, 947 N.E.2d 655, ¶ 52 and </w:t>
      </w:r>
      <w:r w:rsidRPr="00FE1F41">
        <w:rPr>
          <w:i/>
          <w:iCs/>
        </w:rPr>
        <w:t>Office of Consumers' Counsel v. Pub. Util. Comm</w:t>
      </w:r>
      <w:r w:rsidRPr="00FE1F41">
        <w:t>., 16 Ohio St.3d 21, 21–22, 16 OBR 371, 475 N.E.2d 786 (1985).</w:t>
      </w:r>
    </w:p>
  </w:footnote>
  <w:footnote w:id="37">
    <w:p w:rsidR="00A922D3" w:rsidRPr="00FE1F41" w:rsidP="00F82347" w14:paraId="04F4BFF0" w14:textId="77777777">
      <w:pPr>
        <w:pStyle w:val="FootnoteText"/>
        <w:spacing w:after="120"/>
      </w:pPr>
      <w:r w:rsidRPr="00FE1F41">
        <w:rPr>
          <w:rStyle w:val="FootnoteReference"/>
        </w:rPr>
        <w:footnoteRef/>
      </w:r>
      <w:r w:rsidRPr="00FE1F41">
        <w:t xml:space="preserve"> OCC Ex. 1.0 (Duann Testimony) at 8. </w:t>
      </w:r>
      <w:r w:rsidRPr="00FE1F41">
        <w:rPr>
          <w:i/>
          <w:iCs/>
        </w:rPr>
        <w:t xml:space="preserve">See, In re Complaint of Suburban Natural Gas Company, </w:t>
      </w:r>
      <w:r w:rsidRPr="00FE1F41">
        <w:t>162 Ohio St.3d 162, 2020-Ohio-5221, 164 N.E.3d 425</w:t>
      </w:r>
      <w:r w:rsidRPr="00FE1F41">
        <w:rPr>
          <w:i/>
          <w:iCs/>
        </w:rPr>
        <w:t>; In re Application of Columbus S. Power Co</w:t>
      </w:r>
      <w:r w:rsidRPr="00FE1F41">
        <w:t xml:space="preserve">., 128 Ohio St.3d 512, 2011-Ohio-1788, 947 N.E.2d 655, ¶ 52 and </w:t>
      </w:r>
      <w:r w:rsidRPr="00FE1F41">
        <w:rPr>
          <w:i/>
          <w:iCs/>
        </w:rPr>
        <w:t>Office of Consumers' Counsel v. Pub. Util. Comm</w:t>
      </w:r>
      <w:r w:rsidRPr="00FE1F41">
        <w:t xml:space="preserve">., 16 Ohio St.3d 21, 21–22, 16 OBR 371, 475 N.E.2d 786 (1985). </w:t>
      </w:r>
    </w:p>
  </w:footnote>
  <w:footnote w:id="38">
    <w:p w:rsidR="00A922D3" w:rsidRPr="00FE1F41" w:rsidP="00F82347" w14:paraId="3C7406D8" w14:textId="612DF065">
      <w:pPr>
        <w:pStyle w:val="FootnoteText"/>
        <w:spacing w:after="120"/>
      </w:pPr>
      <w:r w:rsidRPr="00FE1F41">
        <w:rPr>
          <w:rStyle w:val="FootnoteReference"/>
        </w:rPr>
        <w:footnoteRef/>
      </w:r>
      <w:r w:rsidRPr="00FE1F41">
        <w:t xml:space="preserve"> R.C. 4929.05(A)(3), expressly providing that alternative rate plans must be just and reasonable.</w:t>
      </w:r>
    </w:p>
  </w:footnote>
  <w:footnote w:id="39">
    <w:p w:rsidR="00A922D3" w:rsidRPr="00FE1F41" w:rsidP="00F82347" w14:paraId="4A377033" w14:textId="77777777">
      <w:pPr>
        <w:pStyle w:val="FootnoteText"/>
        <w:spacing w:after="120"/>
      </w:pPr>
      <w:r w:rsidRPr="00FE1F41">
        <w:rPr>
          <w:rStyle w:val="FootnoteReference"/>
        </w:rPr>
        <w:footnoteRef/>
      </w:r>
      <w:r w:rsidRPr="00FE1F41">
        <w:t xml:space="preserve"> R.C. 4905.22.</w:t>
      </w:r>
    </w:p>
  </w:footnote>
  <w:footnote w:id="40">
    <w:p w:rsidR="00A922D3" w:rsidRPr="00FE1F41" w:rsidP="00F82347" w14:paraId="4BD8254D" w14:textId="1F259240">
      <w:pPr>
        <w:pStyle w:val="FootnoteText"/>
        <w:spacing w:after="120"/>
      </w:pPr>
      <w:r w:rsidRPr="00FE1F41">
        <w:rPr>
          <w:rStyle w:val="FootnoteReference"/>
        </w:rPr>
        <w:footnoteRef/>
      </w:r>
      <w:r w:rsidRPr="00FE1F41">
        <w:t xml:space="preserve"> </w:t>
      </w:r>
      <w:r w:rsidRPr="00FE1F41">
        <w:rPr>
          <w:i/>
          <w:iCs/>
        </w:rPr>
        <w:t>Bluefield Water Works v. Public Service Comm’n</w:t>
      </w:r>
      <w:r w:rsidRPr="00FE1F41">
        <w:t xml:space="preserve">, 262 U.S. 679 (1923): “ 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w:t>
      </w:r>
      <w:r w:rsidRPr="00FE1F41">
        <w:rPr>
          <w:i/>
          <w:iCs/>
        </w:rPr>
        <w:t>See also</w:t>
      </w:r>
      <w:r w:rsidRPr="00FE1F41">
        <w:t xml:space="preserve">, </w:t>
      </w:r>
      <w:r w:rsidRPr="00FE1F41">
        <w:rPr>
          <w:i/>
          <w:iCs/>
        </w:rPr>
        <w:t>In re Application of Dayton Power &amp; Light Co</w:t>
      </w:r>
      <w:r w:rsidRPr="00FE1F41">
        <w:t>., Case No. 78-92-EL-AIR, Opinion &amp; Order (March 9, 1979) (“It is not the function of this Commission to guarantee a particular rate of return to an applicant utility but merely to afford the company an opportunity to earn a fair rate of return.”) (</w:t>
      </w:r>
      <w:r w:rsidR="00B16425">
        <w:t>q</w:t>
      </w:r>
      <w:r w:rsidRPr="00FE1F41" w:rsidR="00B16425">
        <w:t>uoting</w:t>
      </w:r>
      <w:r w:rsidRPr="00FE1F41">
        <w:t xml:space="preserve"> Case No. 76-704-GA-CMR (June 29, 1977))</w:t>
      </w:r>
      <w:r w:rsidRPr="00FE1F41">
        <w:rPr>
          <w:color w:val="000000"/>
        </w:rPr>
        <w:t xml:space="preserve">. </w:t>
      </w:r>
      <w:r w:rsidRPr="00FE1F41">
        <w:rPr>
          <w:i/>
          <w:iCs/>
          <w:color w:val="000000"/>
        </w:rPr>
        <w:t>See also</w:t>
      </w:r>
      <w:r w:rsidRPr="00FE1F41">
        <w:rPr>
          <w:color w:val="000000"/>
        </w:rPr>
        <w:t>, OCC Ex. 1.0 (</w:t>
      </w:r>
      <w:r w:rsidRPr="00FE1F41">
        <w:t>Duann Testimony) at 7-8.</w:t>
      </w:r>
    </w:p>
  </w:footnote>
  <w:footnote w:id="41">
    <w:p w:rsidR="00A922D3" w:rsidRPr="00FE1F41" w:rsidP="00F82347" w14:paraId="3E1BCD78" w14:textId="77FFC5F7">
      <w:pPr>
        <w:pStyle w:val="FootnoteText"/>
        <w:spacing w:after="120"/>
      </w:pPr>
      <w:r w:rsidRPr="00FE1F41">
        <w:rPr>
          <w:rStyle w:val="FootnoteReference"/>
        </w:rPr>
        <w:footnoteRef/>
      </w:r>
      <w:r w:rsidRPr="00FE1F41">
        <w:t xml:space="preserve"> </w:t>
      </w:r>
      <w:r w:rsidRPr="00FE1F41">
        <w:rPr>
          <w:i/>
          <w:iCs/>
        </w:rPr>
        <w:t>See, e.g</w:t>
      </w:r>
      <w:r w:rsidRPr="00FE1F41">
        <w:t>., PUCO Case Nos. 19-468-GA-ALT</w:t>
      </w:r>
      <w:r w:rsidR="00523DE2">
        <w:t>,</w:t>
      </w:r>
      <w:r w:rsidRPr="00FE1F41">
        <w:t xml:space="preserve"> 20-1634-GA-ALT</w:t>
      </w:r>
      <w:r w:rsidR="00523DE2">
        <w:t xml:space="preserve"> and 21-619-GA-RDR</w:t>
      </w:r>
      <w:r w:rsidRPr="00FE1F41">
        <w:t xml:space="preserve">. </w:t>
      </w:r>
    </w:p>
  </w:footnote>
  <w:footnote w:id="42">
    <w:p w:rsidR="00A6492A" w:rsidRPr="00FE1F41" w:rsidP="00F82347" w14:paraId="01CE8649" w14:textId="77777777">
      <w:pPr>
        <w:pStyle w:val="FootnoteText"/>
        <w:spacing w:after="120"/>
      </w:pPr>
      <w:r w:rsidRPr="00FE1F41">
        <w:rPr>
          <w:rStyle w:val="FootnoteReference"/>
        </w:rPr>
        <w:footnoteRef/>
      </w:r>
      <w:r w:rsidRPr="00FE1F41">
        <w:t xml:space="preserve"> Order at ¶ 33.</w:t>
      </w:r>
    </w:p>
  </w:footnote>
  <w:footnote w:id="43">
    <w:p w:rsidR="00F40CA4" w:rsidRPr="00FE1F41" w:rsidP="00F82347" w14:paraId="335E98C1" w14:textId="3931CE7D">
      <w:pPr>
        <w:pStyle w:val="FootnoteText"/>
        <w:spacing w:after="120"/>
      </w:pPr>
      <w:r w:rsidRPr="00FE1F41">
        <w:rPr>
          <w:rStyle w:val="FootnoteReference"/>
        </w:rPr>
        <w:footnoteRef/>
      </w:r>
      <w:r w:rsidRPr="00FE1F41">
        <w:t xml:space="preserve"> Order at ¶ 35.</w:t>
      </w:r>
    </w:p>
  </w:footnote>
  <w:footnote w:id="44">
    <w:p w:rsidR="00120251" w:rsidRPr="00FE1F41" w:rsidP="00F82347" w14:paraId="6720D3CC" w14:textId="45D2F68A">
      <w:pPr>
        <w:pStyle w:val="FootnoteText"/>
        <w:spacing w:after="120"/>
      </w:pPr>
      <w:r w:rsidRPr="00FE1F41">
        <w:rPr>
          <w:rStyle w:val="FootnoteReference"/>
        </w:rPr>
        <w:footnoteRef/>
      </w:r>
      <w:r w:rsidRPr="00FE1F41">
        <w:t xml:space="preserve"> </w:t>
      </w:r>
      <w:r w:rsidRPr="00834E37">
        <w:rPr>
          <w:i/>
          <w:iCs/>
        </w:rPr>
        <w:t>See, e.g.,</w:t>
      </w:r>
      <w:r w:rsidRPr="00FE1F41">
        <w:t xml:space="preserve"> PUCO </w:t>
      </w:r>
      <w:r w:rsidRPr="00FE1F41" w:rsidR="000F33D4">
        <w:t xml:space="preserve">Case No. 20-1634-GA-ALT (The PUCO directed that Dominion file a base rate case no later than October 2023). </w:t>
      </w:r>
    </w:p>
  </w:footnote>
  <w:footnote w:id="45">
    <w:p w:rsidR="00E6664E" w:rsidP="00F82347" w14:paraId="21E45D2A" w14:textId="4A06AB6B">
      <w:pPr>
        <w:pStyle w:val="FootnoteText"/>
        <w:spacing w:after="120"/>
      </w:pPr>
      <w:r>
        <w:rPr>
          <w:rStyle w:val="FootnoteReference"/>
        </w:rPr>
        <w:footnoteRef/>
      </w:r>
      <w:r>
        <w:t xml:space="preserve"> </w:t>
      </w:r>
      <w:r w:rsidRPr="00B16425">
        <w:rPr>
          <w:i/>
          <w:iCs/>
        </w:rPr>
        <w:t>See, e.g</w:t>
      </w:r>
      <w:r>
        <w:t>., PUCO Case Nos. 19-468-GA-ALT</w:t>
      </w:r>
      <w:r w:rsidR="00B16425">
        <w:t>,</w:t>
      </w:r>
      <w:r>
        <w:t xml:space="preserve"> 20-1634-GA-ALT</w:t>
      </w:r>
      <w:r w:rsidR="00523DE2">
        <w:t>, 21-619-GA-RDR</w:t>
      </w:r>
      <w:r w:rsidR="00B16425">
        <w:t xml:space="preserve"> and 21-1095-GA-RDR</w:t>
      </w:r>
      <w:r>
        <w:t>.</w:t>
      </w:r>
    </w:p>
  </w:footnote>
  <w:footnote w:id="46">
    <w:p w:rsidR="00CB666D" w:rsidRPr="00FE1F41" w:rsidP="00F82347" w14:paraId="4E15BF14" w14:textId="129E73FC">
      <w:pPr>
        <w:pStyle w:val="FootnoteText"/>
        <w:spacing w:after="120"/>
      </w:pPr>
      <w:r w:rsidRPr="00FE1F41">
        <w:rPr>
          <w:rStyle w:val="FootnoteReference"/>
        </w:rPr>
        <w:footnoteRef/>
      </w:r>
      <w:r w:rsidRPr="00FE1F41">
        <w:t xml:space="preserve"> Order at ¶ 35.</w:t>
      </w:r>
    </w:p>
  </w:footnote>
  <w:footnote w:id="47">
    <w:p w:rsidR="00322AFC" w:rsidRPr="00FE1F41" w:rsidP="00F82347" w14:paraId="7C5F8D79" w14:textId="6230557C">
      <w:pPr>
        <w:pStyle w:val="FootnoteText"/>
        <w:spacing w:after="120"/>
      </w:pPr>
      <w:r w:rsidRPr="00FE1F41">
        <w:rPr>
          <w:rStyle w:val="FootnoteReference"/>
        </w:rPr>
        <w:footnoteRef/>
      </w:r>
      <w:r w:rsidRPr="00FE1F41">
        <w:t xml:space="preserve"> OCC Ex. 1 at 6.</w:t>
      </w:r>
    </w:p>
  </w:footnote>
  <w:footnote w:id="48">
    <w:p w:rsidR="00900FE9" w:rsidRPr="00FE1F41" w:rsidP="00F82347" w14:paraId="19150153" w14:textId="5E930521">
      <w:pPr>
        <w:pStyle w:val="FootnoteText"/>
        <w:spacing w:after="120"/>
      </w:pPr>
      <w:r w:rsidRPr="00FE1F41">
        <w:rPr>
          <w:rStyle w:val="FootnoteReference"/>
        </w:rPr>
        <w:footnoteRef/>
      </w:r>
      <w:r w:rsidRPr="00FE1F41">
        <w:t xml:space="preserve"> OCC Ex. </w:t>
      </w:r>
      <w:r w:rsidRPr="00FE1F41" w:rsidR="00A26106">
        <w:t>1</w:t>
      </w:r>
      <w:r w:rsidRPr="00FE1F41">
        <w:t>.</w:t>
      </w:r>
    </w:p>
  </w:footnote>
  <w:footnote w:id="49">
    <w:p w:rsidR="00F73341" w:rsidRPr="00FE1F41" w:rsidP="00F82347" w14:paraId="4069FE26" w14:textId="77777777">
      <w:pPr>
        <w:pStyle w:val="FootnoteText"/>
        <w:spacing w:after="120"/>
      </w:pPr>
      <w:r w:rsidRPr="00FE1F41">
        <w:rPr>
          <w:rStyle w:val="FootnoteReference"/>
        </w:rPr>
        <w:footnoteRef/>
      </w:r>
      <w:r w:rsidRPr="00FE1F41">
        <w:t xml:space="preserve"> R.C. 4905.22; R.C. 4929.05(A)(3). </w:t>
      </w:r>
      <w:r w:rsidRPr="00FE1F41">
        <w:rPr>
          <w:i/>
          <w:iCs/>
        </w:rPr>
        <w:t>See</w:t>
      </w:r>
      <w:r w:rsidRPr="00FE1F41">
        <w:t>, OCC Initial Brief at 2-3.</w:t>
      </w:r>
    </w:p>
  </w:footnote>
  <w:footnote w:id="50">
    <w:p w:rsidR="00900FE9" w:rsidRPr="00FE1F41" w:rsidP="00F82347" w14:paraId="0FD6B82B" w14:textId="77777777">
      <w:pPr>
        <w:pStyle w:val="FootnoteText"/>
        <w:spacing w:after="120"/>
      </w:pPr>
      <w:r w:rsidRPr="00FE1F41">
        <w:rPr>
          <w:rStyle w:val="FootnoteReference"/>
        </w:rPr>
        <w:footnoteRef/>
      </w:r>
      <w:r w:rsidRPr="00FE1F41">
        <w:t xml:space="preserve"> </w:t>
      </w:r>
      <w:r w:rsidRPr="00FE1F41">
        <w:rPr>
          <w:i/>
          <w:iCs/>
        </w:rPr>
        <w:t>Ohio Consumers’ Counsel v. Pub. Util. Comm</w:t>
      </w:r>
      <w:r w:rsidRPr="00FE1F41">
        <w:t>., 121 Ohio St.3d 362, 372 (2009) (Pfeifer, J. dissenting).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9B385C"/>
    <w:multiLevelType w:val="hybridMultilevel"/>
    <w:tmpl w:val="9E8255B0"/>
    <w:lvl w:ilvl="0">
      <w:start w:val="3"/>
      <w:numFmt w:val="upperRoman"/>
      <w:lvlText w:val="%1."/>
      <w:lvlJc w:val="left"/>
      <w:pPr>
        <w:ind w:left="1350" w:hanging="720"/>
      </w:pPr>
      <w:rPr>
        <w:rFonts w:eastAsia="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89476B4"/>
    <w:multiLevelType w:val="hybridMultilevel"/>
    <w:tmpl w:val="4E1030A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B567E4"/>
    <w:multiLevelType w:val="hybridMultilevel"/>
    <w:tmpl w:val="437ECC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6651E9"/>
    <w:multiLevelType w:val="hybridMultilevel"/>
    <w:tmpl w:val="FC747EE6"/>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
    <w:nsid w:val="39C04C7F"/>
    <w:multiLevelType w:val="hybridMultilevel"/>
    <w:tmpl w:val="88B05E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8A641DA"/>
    <w:multiLevelType w:val="hybridMultilevel"/>
    <w:tmpl w:val="FA4E335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EC81354"/>
    <w:multiLevelType w:val="hybridMultilevel"/>
    <w:tmpl w:val="6B22636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9">
    <w:nsid w:val="4FCA3353"/>
    <w:multiLevelType w:val="hybridMultilevel"/>
    <w:tmpl w:val="E80C915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595E3538"/>
    <w:multiLevelType w:val="multilevel"/>
    <w:tmpl w:val="314A5F60"/>
    <w:lvl w:ilvl="0">
      <w:start w:val="1"/>
      <w:numFmt w:val="upperRoman"/>
      <w:pStyle w:val="Heading1"/>
      <w:lvlText w:val="%1."/>
      <w:lvlJc w:val="left"/>
      <w:pPr>
        <w:ind w:left="0" w:firstLine="0"/>
      </w:pPr>
      <w:rPr>
        <w:rFonts w:hint="default"/>
      </w:rPr>
    </w:lvl>
    <w:lvl w:ilvl="1">
      <w:start w:val="1"/>
      <w:numFmt w:val="upperLetter"/>
      <w:lvlText w:val="%2."/>
      <w:lvlJc w:val="left"/>
      <w:pPr>
        <w:ind w:left="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CAA370C"/>
    <w:multiLevelType w:val="hybridMultilevel"/>
    <w:tmpl w:val="E6A610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DCD5030"/>
    <w:multiLevelType w:val="hybridMultilevel"/>
    <w:tmpl w:val="59DCDDF4"/>
    <w:lvl w:ilvl="0">
      <w:start w:val="1"/>
      <w:numFmt w:val="decimal"/>
      <w:lvlText w:val="(%1)"/>
      <w:lvlJc w:val="left"/>
      <w:pPr>
        <w:ind w:left="1800" w:hanging="360"/>
      </w:pPr>
      <w:rPr>
        <w:rFonts w:ascii="Times New Roman" w:hAnsi="Times New Roman"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FA912FB"/>
    <w:multiLevelType w:val="hybridMultilevel"/>
    <w:tmpl w:val="A0DECB12"/>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2AD4054"/>
    <w:multiLevelType w:val="hybridMultilevel"/>
    <w:tmpl w:val="0D4EC9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6BFE42E8"/>
    <w:multiLevelType w:val="hybridMultilevel"/>
    <w:tmpl w:val="F97A58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7B34CA"/>
    <w:multiLevelType w:val="hybridMultilevel"/>
    <w:tmpl w:val="FC98E29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3"/>
  </w:num>
  <w:num w:numId="2">
    <w:abstractNumId w:val="10"/>
  </w:num>
  <w:num w:numId="3">
    <w:abstractNumId w:val="19"/>
  </w:num>
  <w:num w:numId="4">
    <w:abstractNumId w:val="16"/>
  </w:num>
  <w:num w:numId="5">
    <w:abstractNumId w:val="0"/>
  </w:num>
  <w:num w:numId="6">
    <w:abstractNumId w:val="22"/>
  </w:num>
  <w:num w:numId="7">
    <w:abstractNumId w:val="7"/>
  </w:num>
  <w:num w:numId="8">
    <w:abstractNumId w:val="6"/>
  </w:num>
  <w:num w:numId="9">
    <w:abstractNumId w:val="17"/>
  </w:num>
  <w:num w:numId="10">
    <w:abstractNumId w:val="20"/>
  </w:num>
  <w:num w:numId="11">
    <w:abstractNumId w:val="18"/>
  </w:num>
  <w:num w:numId="12">
    <w:abstractNumId w:val="3"/>
  </w:num>
  <w:num w:numId="13">
    <w:abstractNumId w:val="9"/>
  </w:num>
  <w:num w:numId="14">
    <w:abstractNumId w:val="9"/>
    <w:lvlOverride w:ilvl="0">
      <w:startOverride w:val="1"/>
    </w:lvlOverride>
  </w:num>
  <w:num w:numId="15">
    <w:abstractNumId w:val="9"/>
    <w:lvlOverride w:ilvl="0">
      <w:startOverride w:val="1"/>
    </w:lvlOverride>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9"/>
  </w:num>
  <w:num w:numId="21">
    <w:abstractNumId w:val="12"/>
  </w:num>
  <w:num w:numId="22">
    <w:abstractNumId w:val="5"/>
  </w:num>
  <w:num w:numId="23">
    <w:abstractNumId w:val="9"/>
    <w:lvlOverride w:ilvl="0">
      <w:startOverride w:val="1"/>
    </w:lvlOverride>
  </w:num>
  <w:num w:numId="24">
    <w:abstractNumId w:val="9"/>
  </w:num>
  <w:num w:numId="25">
    <w:abstractNumId w:val="9"/>
  </w:num>
  <w:num w:numId="26">
    <w:abstractNumId w:val="12"/>
    <w:lvlOverride w:ilvl="0">
      <w:startOverride w:val="1"/>
    </w:lvlOverride>
  </w:num>
  <w:num w:numId="27">
    <w:abstractNumId w:val="1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
  </w:num>
  <w:num w:numId="31">
    <w:abstractNumId w:val="15"/>
  </w:num>
  <w:num w:numId="32">
    <w:abstractNumId w:val="12"/>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1"/>
  </w:num>
  <w:num w:numId="37">
    <w:abstractNumId w:val="1"/>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04A9"/>
    <w:rsid w:val="00000655"/>
    <w:rsid w:val="00001258"/>
    <w:rsid w:val="00001D4B"/>
    <w:rsid w:val="000020B1"/>
    <w:rsid w:val="00003256"/>
    <w:rsid w:val="00003362"/>
    <w:rsid w:val="0000400B"/>
    <w:rsid w:val="00004E6E"/>
    <w:rsid w:val="000052F7"/>
    <w:rsid w:val="00005B10"/>
    <w:rsid w:val="000069F5"/>
    <w:rsid w:val="00007BE4"/>
    <w:rsid w:val="0001049D"/>
    <w:rsid w:val="0001114A"/>
    <w:rsid w:val="0001155F"/>
    <w:rsid w:val="000124EC"/>
    <w:rsid w:val="000127D5"/>
    <w:rsid w:val="00012FBF"/>
    <w:rsid w:val="000130D3"/>
    <w:rsid w:val="00013757"/>
    <w:rsid w:val="000140A7"/>
    <w:rsid w:val="0001515B"/>
    <w:rsid w:val="000163F6"/>
    <w:rsid w:val="00017099"/>
    <w:rsid w:val="000170B1"/>
    <w:rsid w:val="00017DF3"/>
    <w:rsid w:val="000202A4"/>
    <w:rsid w:val="00022C03"/>
    <w:rsid w:val="00023779"/>
    <w:rsid w:val="00023E2B"/>
    <w:rsid w:val="000251B3"/>
    <w:rsid w:val="000256A7"/>
    <w:rsid w:val="0002599B"/>
    <w:rsid w:val="00025DD2"/>
    <w:rsid w:val="00025FC8"/>
    <w:rsid w:val="000265E4"/>
    <w:rsid w:val="00030C2F"/>
    <w:rsid w:val="0003106F"/>
    <w:rsid w:val="00031788"/>
    <w:rsid w:val="00033389"/>
    <w:rsid w:val="000348AC"/>
    <w:rsid w:val="00034AEC"/>
    <w:rsid w:val="00034BE7"/>
    <w:rsid w:val="000350C4"/>
    <w:rsid w:val="00035497"/>
    <w:rsid w:val="000370D2"/>
    <w:rsid w:val="00041185"/>
    <w:rsid w:val="00041413"/>
    <w:rsid w:val="00041C64"/>
    <w:rsid w:val="00041E9D"/>
    <w:rsid w:val="000427E1"/>
    <w:rsid w:val="00042FA3"/>
    <w:rsid w:val="000432ED"/>
    <w:rsid w:val="00043DF6"/>
    <w:rsid w:val="00043E1A"/>
    <w:rsid w:val="00044903"/>
    <w:rsid w:val="000453B2"/>
    <w:rsid w:val="00045D0F"/>
    <w:rsid w:val="000470C7"/>
    <w:rsid w:val="00047396"/>
    <w:rsid w:val="000503C1"/>
    <w:rsid w:val="0005111E"/>
    <w:rsid w:val="0005145B"/>
    <w:rsid w:val="000520C5"/>
    <w:rsid w:val="00052217"/>
    <w:rsid w:val="000532FB"/>
    <w:rsid w:val="000533CB"/>
    <w:rsid w:val="0005455D"/>
    <w:rsid w:val="000553C5"/>
    <w:rsid w:val="00055B47"/>
    <w:rsid w:val="00055C96"/>
    <w:rsid w:val="00055DF9"/>
    <w:rsid w:val="00056A1A"/>
    <w:rsid w:val="000573DD"/>
    <w:rsid w:val="000575B2"/>
    <w:rsid w:val="0006002D"/>
    <w:rsid w:val="000607D9"/>
    <w:rsid w:val="000609D6"/>
    <w:rsid w:val="00060BD8"/>
    <w:rsid w:val="00061367"/>
    <w:rsid w:val="000614DD"/>
    <w:rsid w:val="00061BAD"/>
    <w:rsid w:val="000623A7"/>
    <w:rsid w:val="000626AC"/>
    <w:rsid w:val="0006279D"/>
    <w:rsid w:val="00062F9A"/>
    <w:rsid w:val="0006316B"/>
    <w:rsid w:val="000633B5"/>
    <w:rsid w:val="00064835"/>
    <w:rsid w:val="00064C81"/>
    <w:rsid w:val="00064C85"/>
    <w:rsid w:val="000651DF"/>
    <w:rsid w:val="00065D2D"/>
    <w:rsid w:val="000665F9"/>
    <w:rsid w:val="00070FF6"/>
    <w:rsid w:val="0007167D"/>
    <w:rsid w:val="000726E7"/>
    <w:rsid w:val="00072F26"/>
    <w:rsid w:val="00074039"/>
    <w:rsid w:val="000745C8"/>
    <w:rsid w:val="00074A83"/>
    <w:rsid w:val="00074B5E"/>
    <w:rsid w:val="00074C12"/>
    <w:rsid w:val="00074CC9"/>
    <w:rsid w:val="00075735"/>
    <w:rsid w:val="000768B2"/>
    <w:rsid w:val="00076C96"/>
    <w:rsid w:val="000810E1"/>
    <w:rsid w:val="000844F0"/>
    <w:rsid w:val="00084DD4"/>
    <w:rsid w:val="00085763"/>
    <w:rsid w:val="00087268"/>
    <w:rsid w:val="00090FDC"/>
    <w:rsid w:val="00091365"/>
    <w:rsid w:val="000932BF"/>
    <w:rsid w:val="00093A89"/>
    <w:rsid w:val="00093E59"/>
    <w:rsid w:val="000940D6"/>
    <w:rsid w:val="000966A5"/>
    <w:rsid w:val="00096830"/>
    <w:rsid w:val="00096CAE"/>
    <w:rsid w:val="000A02FB"/>
    <w:rsid w:val="000A0D04"/>
    <w:rsid w:val="000A1934"/>
    <w:rsid w:val="000A1CA9"/>
    <w:rsid w:val="000A2304"/>
    <w:rsid w:val="000A2386"/>
    <w:rsid w:val="000A3240"/>
    <w:rsid w:val="000A3649"/>
    <w:rsid w:val="000A4BD4"/>
    <w:rsid w:val="000A5613"/>
    <w:rsid w:val="000A56B0"/>
    <w:rsid w:val="000A6315"/>
    <w:rsid w:val="000A651A"/>
    <w:rsid w:val="000A6C2F"/>
    <w:rsid w:val="000A7362"/>
    <w:rsid w:val="000A791D"/>
    <w:rsid w:val="000A7B2E"/>
    <w:rsid w:val="000A7EA6"/>
    <w:rsid w:val="000B0EF2"/>
    <w:rsid w:val="000B1CEE"/>
    <w:rsid w:val="000B2FC4"/>
    <w:rsid w:val="000B2FF8"/>
    <w:rsid w:val="000B3316"/>
    <w:rsid w:val="000B3907"/>
    <w:rsid w:val="000B3D25"/>
    <w:rsid w:val="000B4F7D"/>
    <w:rsid w:val="000B5600"/>
    <w:rsid w:val="000B591F"/>
    <w:rsid w:val="000B6682"/>
    <w:rsid w:val="000C02C1"/>
    <w:rsid w:val="000C16B2"/>
    <w:rsid w:val="000C1CF9"/>
    <w:rsid w:val="000C2218"/>
    <w:rsid w:val="000C257E"/>
    <w:rsid w:val="000C2B8B"/>
    <w:rsid w:val="000C4587"/>
    <w:rsid w:val="000C473D"/>
    <w:rsid w:val="000C5B5E"/>
    <w:rsid w:val="000C5DB7"/>
    <w:rsid w:val="000C6514"/>
    <w:rsid w:val="000C7798"/>
    <w:rsid w:val="000C7F39"/>
    <w:rsid w:val="000D1BA7"/>
    <w:rsid w:val="000D29BB"/>
    <w:rsid w:val="000D2DF7"/>
    <w:rsid w:val="000D3CB7"/>
    <w:rsid w:val="000D3FB6"/>
    <w:rsid w:val="000D48A4"/>
    <w:rsid w:val="000D4A0C"/>
    <w:rsid w:val="000D4DDC"/>
    <w:rsid w:val="000D6056"/>
    <w:rsid w:val="000E04DA"/>
    <w:rsid w:val="000E07C6"/>
    <w:rsid w:val="000E0D0D"/>
    <w:rsid w:val="000E0DA2"/>
    <w:rsid w:val="000E0E6E"/>
    <w:rsid w:val="000E11E3"/>
    <w:rsid w:val="000E2FCF"/>
    <w:rsid w:val="000E3362"/>
    <w:rsid w:val="000E3423"/>
    <w:rsid w:val="000E46C0"/>
    <w:rsid w:val="000E4954"/>
    <w:rsid w:val="000E4979"/>
    <w:rsid w:val="000E4A32"/>
    <w:rsid w:val="000E4ABF"/>
    <w:rsid w:val="000E4CD1"/>
    <w:rsid w:val="000E51BB"/>
    <w:rsid w:val="000E56DB"/>
    <w:rsid w:val="000E62DA"/>
    <w:rsid w:val="000E6B41"/>
    <w:rsid w:val="000E72BD"/>
    <w:rsid w:val="000E7610"/>
    <w:rsid w:val="000E7D1A"/>
    <w:rsid w:val="000F0355"/>
    <w:rsid w:val="000F09A3"/>
    <w:rsid w:val="000F1144"/>
    <w:rsid w:val="000F33D4"/>
    <w:rsid w:val="000F3A80"/>
    <w:rsid w:val="000F3C7E"/>
    <w:rsid w:val="000F3D8D"/>
    <w:rsid w:val="000F55E4"/>
    <w:rsid w:val="000F566D"/>
    <w:rsid w:val="000F5768"/>
    <w:rsid w:val="000F57AF"/>
    <w:rsid w:val="000F6BF3"/>
    <w:rsid w:val="000F6E94"/>
    <w:rsid w:val="000F7B77"/>
    <w:rsid w:val="000F7E3A"/>
    <w:rsid w:val="00100295"/>
    <w:rsid w:val="001008CF"/>
    <w:rsid w:val="00100B5A"/>
    <w:rsid w:val="00101991"/>
    <w:rsid w:val="00101DC9"/>
    <w:rsid w:val="00102009"/>
    <w:rsid w:val="00102660"/>
    <w:rsid w:val="00102FCE"/>
    <w:rsid w:val="00103132"/>
    <w:rsid w:val="00103FB9"/>
    <w:rsid w:val="001053B0"/>
    <w:rsid w:val="00106ED6"/>
    <w:rsid w:val="00107E50"/>
    <w:rsid w:val="00110041"/>
    <w:rsid w:val="00110AAF"/>
    <w:rsid w:val="00111A9E"/>
    <w:rsid w:val="00111C81"/>
    <w:rsid w:val="00112B46"/>
    <w:rsid w:val="00112C55"/>
    <w:rsid w:val="001135F5"/>
    <w:rsid w:val="00113C2A"/>
    <w:rsid w:val="00115106"/>
    <w:rsid w:val="001151DA"/>
    <w:rsid w:val="00120251"/>
    <w:rsid w:val="001219F1"/>
    <w:rsid w:val="001225ED"/>
    <w:rsid w:val="0012289F"/>
    <w:rsid w:val="00122BA6"/>
    <w:rsid w:val="0012327B"/>
    <w:rsid w:val="00123FCE"/>
    <w:rsid w:val="001245A2"/>
    <w:rsid w:val="00124BC2"/>
    <w:rsid w:val="00126A6B"/>
    <w:rsid w:val="001277C8"/>
    <w:rsid w:val="00127F40"/>
    <w:rsid w:val="00131442"/>
    <w:rsid w:val="001316C1"/>
    <w:rsid w:val="001319E8"/>
    <w:rsid w:val="00131DB5"/>
    <w:rsid w:val="00131E2B"/>
    <w:rsid w:val="00132670"/>
    <w:rsid w:val="00132DD1"/>
    <w:rsid w:val="00134110"/>
    <w:rsid w:val="00134FB0"/>
    <w:rsid w:val="001352CC"/>
    <w:rsid w:val="0013572E"/>
    <w:rsid w:val="00136437"/>
    <w:rsid w:val="00136B47"/>
    <w:rsid w:val="00136CA4"/>
    <w:rsid w:val="00136D39"/>
    <w:rsid w:val="0013705B"/>
    <w:rsid w:val="00137637"/>
    <w:rsid w:val="00137817"/>
    <w:rsid w:val="0014195E"/>
    <w:rsid w:val="001421A7"/>
    <w:rsid w:val="00142C05"/>
    <w:rsid w:val="00143B32"/>
    <w:rsid w:val="00144ED9"/>
    <w:rsid w:val="001450FB"/>
    <w:rsid w:val="00145118"/>
    <w:rsid w:val="00145C24"/>
    <w:rsid w:val="00145E28"/>
    <w:rsid w:val="00146B35"/>
    <w:rsid w:val="00146EBD"/>
    <w:rsid w:val="00147CF4"/>
    <w:rsid w:val="00150108"/>
    <w:rsid w:val="001506EB"/>
    <w:rsid w:val="00150D7F"/>
    <w:rsid w:val="001510DD"/>
    <w:rsid w:val="0015165F"/>
    <w:rsid w:val="00151D22"/>
    <w:rsid w:val="00152119"/>
    <w:rsid w:val="00152446"/>
    <w:rsid w:val="0015279D"/>
    <w:rsid w:val="0015340C"/>
    <w:rsid w:val="00154734"/>
    <w:rsid w:val="00154EC9"/>
    <w:rsid w:val="00155F6C"/>
    <w:rsid w:val="001565C4"/>
    <w:rsid w:val="00156EFB"/>
    <w:rsid w:val="00156FFC"/>
    <w:rsid w:val="001572D1"/>
    <w:rsid w:val="00157400"/>
    <w:rsid w:val="001576C9"/>
    <w:rsid w:val="001579E7"/>
    <w:rsid w:val="001605D3"/>
    <w:rsid w:val="00160662"/>
    <w:rsid w:val="00160958"/>
    <w:rsid w:val="00161F1B"/>
    <w:rsid w:val="00163725"/>
    <w:rsid w:val="00163DD0"/>
    <w:rsid w:val="001643AC"/>
    <w:rsid w:val="001645C7"/>
    <w:rsid w:val="00164C5C"/>
    <w:rsid w:val="0016508A"/>
    <w:rsid w:val="001654C2"/>
    <w:rsid w:val="00166062"/>
    <w:rsid w:val="00171323"/>
    <w:rsid w:val="0017233A"/>
    <w:rsid w:val="00174864"/>
    <w:rsid w:val="00175AE2"/>
    <w:rsid w:val="001762F6"/>
    <w:rsid w:val="001777EC"/>
    <w:rsid w:val="00177FC3"/>
    <w:rsid w:val="00181164"/>
    <w:rsid w:val="00181428"/>
    <w:rsid w:val="00181727"/>
    <w:rsid w:val="00181D2D"/>
    <w:rsid w:val="001826DE"/>
    <w:rsid w:val="0018279B"/>
    <w:rsid w:val="00182E06"/>
    <w:rsid w:val="0018413B"/>
    <w:rsid w:val="00184833"/>
    <w:rsid w:val="00186C0F"/>
    <w:rsid w:val="00186D39"/>
    <w:rsid w:val="00186DB1"/>
    <w:rsid w:val="00187C07"/>
    <w:rsid w:val="00190507"/>
    <w:rsid w:val="0019116F"/>
    <w:rsid w:val="001914FA"/>
    <w:rsid w:val="001917B4"/>
    <w:rsid w:val="00191CBE"/>
    <w:rsid w:val="00191D4F"/>
    <w:rsid w:val="00192878"/>
    <w:rsid w:val="001928AF"/>
    <w:rsid w:val="001948F0"/>
    <w:rsid w:val="00194E09"/>
    <w:rsid w:val="001951B4"/>
    <w:rsid w:val="001956FF"/>
    <w:rsid w:val="00195AB7"/>
    <w:rsid w:val="00196274"/>
    <w:rsid w:val="001965C5"/>
    <w:rsid w:val="001A0328"/>
    <w:rsid w:val="001A05E4"/>
    <w:rsid w:val="001A09CE"/>
    <w:rsid w:val="001A1B9C"/>
    <w:rsid w:val="001A275E"/>
    <w:rsid w:val="001A3192"/>
    <w:rsid w:val="001A3446"/>
    <w:rsid w:val="001A3F56"/>
    <w:rsid w:val="001A5BC6"/>
    <w:rsid w:val="001A5C4B"/>
    <w:rsid w:val="001A620E"/>
    <w:rsid w:val="001A6299"/>
    <w:rsid w:val="001A644E"/>
    <w:rsid w:val="001B0AD4"/>
    <w:rsid w:val="001B0AEC"/>
    <w:rsid w:val="001B0C84"/>
    <w:rsid w:val="001B17D4"/>
    <w:rsid w:val="001B2408"/>
    <w:rsid w:val="001B29DD"/>
    <w:rsid w:val="001B2F27"/>
    <w:rsid w:val="001B308F"/>
    <w:rsid w:val="001B3177"/>
    <w:rsid w:val="001B392D"/>
    <w:rsid w:val="001C295D"/>
    <w:rsid w:val="001C3F54"/>
    <w:rsid w:val="001C635F"/>
    <w:rsid w:val="001C6545"/>
    <w:rsid w:val="001C6CF1"/>
    <w:rsid w:val="001C76BB"/>
    <w:rsid w:val="001C79E5"/>
    <w:rsid w:val="001C7A4A"/>
    <w:rsid w:val="001C7F5A"/>
    <w:rsid w:val="001D0559"/>
    <w:rsid w:val="001D058C"/>
    <w:rsid w:val="001D0B5B"/>
    <w:rsid w:val="001D10A0"/>
    <w:rsid w:val="001D215F"/>
    <w:rsid w:val="001D285F"/>
    <w:rsid w:val="001D36F7"/>
    <w:rsid w:val="001D3914"/>
    <w:rsid w:val="001D4E5F"/>
    <w:rsid w:val="001D52E1"/>
    <w:rsid w:val="001D5363"/>
    <w:rsid w:val="001D542B"/>
    <w:rsid w:val="001D563C"/>
    <w:rsid w:val="001D56C5"/>
    <w:rsid w:val="001D64DE"/>
    <w:rsid w:val="001D6D76"/>
    <w:rsid w:val="001D6E99"/>
    <w:rsid w:val="001D7B86"/>
    <w:rsid w:val="001E02AE"/>
    <w:rsid w:val="001E0885"/>
    <w:rsid w:val="001E1374"/>
    <w:rsid w:val="001E1D70"/>
    <w:rsid w:val="001E3AC1"/>
    <w:rsid w:val="001E3B09"/>
    <w:rsid w:val="001E3FF9"/>
    <w:rsid w:val="001E3FFD"/>
    <w:rsid w:val="001E4CD6"/>
    <w:rsid w:val="001E560A"/>
    <w:rsid w:val="001E570F"/>
    <w:rsid w:val="001E5CD8"/>
    <w:rsid w:val="001E62A2"/>
    <w:rsid w:val="001E686E"/>
    <w:rsid w:val="001E763C"/>
    <w:rsid w:val="001E76D2"/>
    <w:rsid w:val="001E7860"/>
    <w:rsid w:val="001E79F9"/>
    <w:rsid w:val="001E7EA9"/>
    <w:rsid w:val="001F0801"/>
    <w:rsid w:val="001F0BC8"/>
    <w:rsid w:val="001F1302"/>
    <w:rsid w:val="001F1355"/>
    <w:rsid w:val="001F1826"/>
    <w:rsid w:val="001F1F96"/>
    <w:rsid w:val="001F2A7E"/>
    <w:rsid w:val="001F3527"/>
    <w:rsid w:val="001F52BC"/>
    <w:rsid w:val="001F53CA"/>
    <w:rsid w:val="001F6225"/>
    <w:rsid w:val="001F6786"/>
    <w:rsid w:val="001F7611"/>
    <w:rsid w:val="001F7949"/>
    <w:rsid w:val="001F7CBF"/>
    <w:rsid w:val="0020028C"/>
    <w:rsid w:val="00201CB9"/>
    <w:rsid w:val="0020276E"/>
    <w:rsid w:val="00202AA2"/>
    <w:rsid w:val="00203CA3"/>
    <w:rsid w:val="00203EE6"/>
    <w:rsid w:val="0020483F"/>
    <w:rsid w:val="00204FFC"/>
    <w:rsid w:val="00205248"/>
    <w:rsid w:val="002054C3"/>
    <w:rsid w:val="00205BBE"/>
    <w:rsid w:val="00206263"/>
    <w:rsid w:val="0020664D"/>
    <w:rsid w:val="00210B64"/>
    <w:rsid w:val="00211B15"/>
    <w:rsid w:val="0021252C"/>
    <w:rsid w:val="00212563"/>
    <w:rsid w:val="00212930"/>
    <w:rsid w:val="00212B0D"/>
    <w:rsid w:val="00213C9B"/>
    <w:rsid w:val="00213E63"/>
    <w:rsid w:val="0021477D"/>
    <w:rsid w:val="00214A22"/>
    <w:rsid w:val="00214A9A"/>
    <w:rsid w:val="00215132"/>
    <w:rsid w:val="00215F8B"/>
    <w:rsid w:val="002178BD"/>
    <w:rsid w:val="00221266"/>
    <w:rsid w:val="00221324"/>
    <w:rsid w:val="002214E3"/>
    <w:rsid w:val="0022158C"/>
    <w:rsid w:val="00221B46"/>
    <w:rsid w:val="00222321"/>
    <w:rsid w:val="00222B29"/>
    <w:rsid w:val="00223013"/>
    <w:rsid w:val="00223A55"/>
    <w:rsid w:val="00223D08"/>
    <w:rsid w:val="002242D1"/>
    <w:rsid w:val="0022439D"/>
    <w:rsid w:val="00224A2D"/>
    <w:rsid w:val="002266F5"/>
    <w:rsid w:val="00226742"/>
    <w:rsid w:val="002272E3"/>
    <w:rsid w:val="00227542"/>
    <w:rsid w:val="00227B63"/>
    <w:rsid w:val="00227CC0"/>
    <w:rsid w:val="0023199D"/>
    <w:rsid w:val="00231CC7"/>
    <w:rsid w:val="00231EB6"/>
    <w:rsid w:val="002322FA"/>
    <w:rsid w:val="00232F90"/>
    <w:rsid w:val="002333AD"/>
    <w:rsid w:val="00233766"/>
    <w:rsid w:val="002342AF"/>
    <w:rsid w:val="00237852"/>
    <w:rsid w:val="0024060D"/>
    <w:rsid w:val="00240DD1"/>
    <w:rsid w:val="0024290E"/>
    <w:rsid w:val="00243094"/>
    <w:rsid w:val="00243529"/>
    <w:rsid w:val="002435B6"/>
    <w:rsid w:val="002435C1"/>
    <w:rsid w:val="00243D57"/>
    <w:rsid w:val="002450F8"/>
    <w:rsid w:val="00245F60"/>
    <w:rsid w:val="002463CC"/>
    <w:rsid w:val="002464CF"/>
    <w:rsid w:val="002465F2"/>
    <w:rsid w:val="002470E7"/>
    <w:rsid w:val="00247D22"/>
    <w:rsid w:val="0025017D"/>
    <w:rsid w:val="00250A22"/>
    <w:rsid w:val="00250ACB"/>
    <w:rsid w:val="00250DC6"/>
    <w:rsid w:val="00250DFB"/>
    <w:rsid w:val="00251079"/>
    <w:rsid w:val="00251CD7"/>
    <w:rsid w:val="00252385"/>
    <w:rsid w:val="00252FC2"/>
    <w:rsid w:val="002543E8"/>
    <w:rsid w:val="002544C1"/>
    <w:rsid w:val="00254901"/>
    <w:rsid w:val="0025583B"/>
    <w:rsid w:val="002559C8"/>
    <w:rsid w:val="00255E9E"/>
    <w:rsid w:val="0025636B"/>
    <w:rsid w:val="00257602"/>
    <w:rsid w:val="0025775F"/>
    <w:rsid w:val="002602D6"/>
    <w:rsid w:val="00260AFF"/>
    <w:rsid w:val="00260E04"/>
    <w:rsid w:val="00262485"/>
    <w:rsid w:val="00263E6E"/>
    <w:rsid w:val="0026401B"/>
    <w:rsid w:val="002644BF"/>
    <w:rsid w:val="002645C5"/>
    <w:rsid w:val="00265856"/>
    <w:rsid w:val="00266528"/>
    <w:rsid w:val="0026658C"/>
    <w:rsid w:val="002665B0"/>
    <w:rsid w:val="002669E1"/>
    <w:rsid w:val="00267E67"/>
    <w:rsid w:val="00270636"/>
    <w:rsid w:val="00272DD3"/>
    <w:rsid w:val="00273193"/>
    <w:rsid w:val="00273C98"/>
    <w:rsid w:val="0027533F"/>
    <w:rsid w:val="0027542A"/>
    <w:rsid w:val="0027555F"/>
    <w:rsid w:val="00275F4A"/>
    <w:rsid w:val="00276019"/>
    <w:rsid w:val="00280058"/>
    <w:rsid w:val="0028035C"/>
    <w:rsid w:val="0028122D"/>
    <w:rsid w:val="00281258"/>
    <w:rsid w:val="002812E4"/>
    <w:rsid w:val="002813E0"/>
    <w:rsid w:val="002815B6"/>
    <w:rsid w:val="00282774"/>
    <w:rsid w:val="00283754"/>
    <w:rsid w:val="00284377"/>
    <w:rsid w:val="00285164"/>
    <w:rsid w:val="00286904"/>
    <w:rsid w:val="00286BA8"/>
    <w:rsid w:val="00286F58"/>
    <w:rsid w:val="002871BB"/>
    <w:rsid w:val="00290726"/>
    <w:rsid w:val="0029454B"/>
    <w:rsid w:val="002946CB"/>
    <w:rsid w:val="00295187"/>
    <w:rsid w:val="00296226"/>
    <w:rsid w:val="00296830"/>
    <w:rsid w:val="00296900"/>
    <w:rsid w:val="00296970"/>
    <w:rsid w:val="00297971"/>
    <w:rsid w:val="00297DFB"/>
    <w:rsid w:val="002A081C"/>
    <w:rsid w:val="002A1308"/>
    <w:rsid w:val="002A18E6"/>
    <w:rsid w:val="002A1E0A"/>
    <w:rsid w:val="002A2D5C"/>
    <w:rsid w:val="002A2D87"/>
    <w:rsid w:val="002A365A"/>
    <w:rsid w:val="002A3940"/>
    <w:rsid w:val="002A3BF0"/>
    <w:rsid w:val="002A3BF6"/>
    <w:rsid w:val="002A3CFA"/>
    <w:rsid w:val="002A4DB0"/>
    <w:rsid w:val="002A505A"/>
    <w:rsid w:val="002A53E7"/>
    <w:rsid w:val="002A5621"/>
    <w:rsid w:val="002A5622"/>
    <w:rsid w:val="002A5DBB"/>
    <w:rsid w:val="002A663B"/>
    <w:rsid w:val="002A67D5"/>
    <w:rsid w:val="002A69AE"/>
    <w:rsid w:val="002A71F0"/>
    <w:rsid w:val="002B16DB"/>
    <w:rsid w:val="002B1B70"/>
    <w:rsid w:val="002B1BAB"/>
    <w:rsid w:val="002B1F0E"/>
    <w:rsid w:val="002B2801"/>
    <w:rsid w:val="002B34DA"/>
    <w:rsid w:val="002B4445"/>
    <w:rsid w:val="002B481E"/>
    <w:rsid w:val="002B5102"/>
    <w:rsid w:val="002B54B9"/>
    <w:rsid w:val="002B5BDD"/>
    <w:rsid w:val="002B5ECD"/>
    <w:rsid w:val="002B6A29"/>
    <w:rsid w:val="002B6B40"/>
    <w:rsid w:val="002B7A27"/>
    <w:rsid w:val="002C099C"/>
    <w:rsid w:val="002C0C6E"/>
    <w:rsid w:val="002C243C"/>
    <w:rsid w:val="002C25A2"/>
    <w:rsid w:val="002C2D5A"/>
    <w:rsid w:val="002C41DA"/>
    <w:rsid w:val="002C4584"/>
    <w:rsid w:val="002C47A2"/>
    <w:rsid w:val="002C5855"/>
    <w:rsid w:val="002C5BF4"/>
    <w:rsid w:val="002C5CE9"/>
    <w:rsid w:val="002C5D6B"/>
    <w:rsid w:val="002C6022"/>
    <w:rsid w:val="002C61BA"/>
    <w:rsid w:val="002C64F5"/>
    <w:rsid w:val="002C65B4"/>
    <w:rsid w:val="002C6643"/>
    <w:rsid w:val="002C7320"/>
    <w:rsid w:val="002C7B00"/>
    <w:rsid w:val="002C7EBA"/>
    <w:rsid w:val="002D1023"/>
    <w:rsid w:val="002D229E"/>
    <w:rsid w:val="002D35CB"/>
    <w:rsid w:val="002D36B6"/>
    <w:rsid w:val="002D3B14"/>
    <w:rsid w:val="002D4CFE"/>
    <w:rsid w:val="002D524A"/>
    <w:rsid w:val="002D697B"/>
    <w:rsid w:val="002D74B3"/>
    <w:rsid w:val="002D7CE6"/>
    <w:rsid w:val="002E02F0"/>
    <w:rsid w:val="002E0F2F"/>
    <w:rsid w:val="002E119C"/>
    <w:rsid w:val="002E1520"/>
    <w:rsid w:val="002E1B39"/>
    <w:rsid w:val="002E1EE2"/>
    <w:rsid w:val="002E2195"/>
    <w:rsid w:val="002E2899"/>
    <w:rsid w:val="002E2C3F"/>
    <w:rsid w:val="002E379B"/>
    <w:rsid w:val="002E4D54"/>
    <w:rsid w:val="002E4DCF"/>
    <w:rsid w:val="002E508F"/>
    <w:rsid w:val="002E6DBD"/>
    <w:rsid w:val="002F0A48"/>
    <w:rsid w:val="002F0CDB"/>
    <w:rsid w:val="002F1E58"/>
    <w:rsid w:val="002F251E"/>
    <w:rsid w:val="002F2D3A"/>
    <w:rsid w:val="002F2E5C"/>
    <w:rsid w:val="002F3104"/>
    <w:rsid w:val="002F329A"/>
    <w:rsid w:val="002F42B8"/>
    <w:rsid w:val="002F487D"/>
    <w:rsid w:val="002F4C0B"/>
    <w:rsid w:val="002F67F3"/>
    <w:rsid w:val="002F67FB"/>
    <w:rsid w:val="002F6874"/>
    <w:rsid w:val="00300915"/>
    <w:rsid w:val="0030104A"/>
    <w:rsid w:val="00302394"/>
    <w:rsid w:val="003024FB"/>
    <w:rsid w:val="0030298B"/>
    <w:rsid w:val="0030330C"/>
    <w:rsid w:val="00303D8A"/>
    <w:rsid w:val="00303DD9"/>
    <w:rsid w:val="00304692"/>
    <w:rsid w:val="00304D9A"/>
    <w:rsid w:val="003066CF"/>
    <w:rsid w:val="00307D71"/>
    <w:rsid w:val="0031035E"/>
    <w:rsid w:val="00310E97"/>
    <w:rsid w:val="0031118E"/>
    <w:rsid w:val="003112F7"/>
    <w:rsid w:val="0031141D"/>
    <w:rsid w:val="003121E7"/>
    <w:rsid w:val="00312A55"/>
    <w:rsid w:val="00313037"/>
    <w:rsid w:val="00315455"/>
    <w:rsid w:val="00315EFD"/>
    <w:rsid w:val="0031601F"/>
    <w:rsid w:val="003167B0"/>
    <w:rsid w:val="00317014"/>
    <w:rsid w:val="00317113"/>
    <w:rsid w:val="00317534"/>
    <w:rsid w:val="00321D45"/>
    <w:rsid w:val="003224C9"/>
    <w:rsid w:val="003226A0"/>
    <w:rsid w:val="00322AFC"/>
    <w:rsid w:val="0032303E"/>
    <w:rsid w:val="003248FA"/>
    <w:rsid w:val="00325170"/>
    <w:rsid w:val="00325BF9"/>
    <w:rsid w:val="00326C1E"/>
    <w:rsid w:val="00326FA5"/>
    <w:rsid w:val="00327162"/>
    <w:rsid w:val="00327AD4"/>
    <w:rsid w:val="00330001"/>
    <w:rsid w:val="0033124E"/>
    <w:rsid w:val="0033131A"/>
    <w:rsid w:val="00332A57"/>
    <w:rsid w:val="00332BB9"/>
    <w:rsid w:val="003338A1"/>
    <w:rsid w:val="00334859"/>
    <w:rsid w:val="00334AE3"/>
    <w:rsid w:val="00334EAD"/>
    <w:rsid w:val="00335161"/>
    <w:rsid w:val="0033621F"/>
    <w:rsid w:val="00337218"/>
    <w:rsid w:val="0033793E"/>
    <w:rsid w:val="00337FDE"/>
    <w:rsid w:val="00340405"/>
    <w:rsid w:val="00342D8E"/>
    <w:rsid w:val="00343457"/>
    <w:rsid w:val="003434E1"/>
    <w:rsid w:val="00344C76"/>
    <w:rsid w:val="00345110"/>
    <w:rsid w:val="00345515"/>
    <w:rsid w:val="00345867"/>
    <w:rsid w:val="00345FED"/>
    <w:rsid w:val="003461EE"/>
    <w:rsid w:val="00346565"/>
    <w:rsid w:val="00347BCC"/>
    <w:rsid w:val="00351175"/>
    <w:rsid w:val="0035122A"/>
    <w:rsid w:val="00351ACC"/>
    <w:rsid w:val="00351B66"/>
    <w:rsid w:val="00351C71"/>
    <w:rsid w:val="00352592"/>
    <w:rsid w:val="00352A8B"/>
    <w:rsid w:val="0035322E"/>
    <w:rsid w:val="00353281"/>
    <w:rsid w:val="00353FE7"/>
    <w:rsid w:val="003602EA"/>
    <w:rsid w:val="00361E43"/>
    <w:rsid w:val="00362B28"/>
    <w:rsid w:val="00363674"/>
    <w:rsid w:val="00363E89"/>
    <w:rsid w:val="0036446E"/>
    <w:rsid w:val="003648A7"/>
    <w:rsid w:val="003666A6"/>
    <w:rsid w:val="00367582"/>
    <w:rsid w:val="00367D12"/>
    <w:rsid w:val="00367E9C"/>
    <w:rsid w:val="00367EB9"/>
    <w:rsid w:val="00370912"/>
    <w:rsid w:val="00370DEF"/>
    <w:rsid w:val="003719B7"/>
    <w:rsid w:val="00372BC4"/>
    <w:rsid w:val="00372DFE"/>
    <w:rsid w:val="00372E01"/>
    <w:rsid w:val="0037300A"/>
    <w:rsid w:val="003734EF"/>
    <w:rsid w:val="0037360C"/>
    <w:rsid w:val="00373F1D"/>
    <w:rsid w:val="00373FBF"/>
    <w:rsid w:val="0037423F"/>
    <w:rsid w:val="003755CD"/>
    <w:rsid w:val="00375904"/>
    <w:rsid w:val="00375A86"/>
    <w:rsid w:val="003765E4"/>
    <w:rsid w:val="00376A33"/>
    <w:rsid w:val="00377818"/>
    <w:rsid w:val="00377EB4"/>
    <w:rsid w:val="00381396"/>
    <w:rsid w:val="00382058"/>
    <w:rsid w:val="003821EF"/>
    <w:rsid w:val="00383AE6"/>
    <w:rsid w:val="003847CB"/>
    <w:rsid w:val="00384C49"/>
    <w:rsid w:val="00385335"/>
    <w:rsid w:val="003858A3"/>
    <w:rsid w:val="003860B1"/>
    <w:rsid w:val="00386194"/>
    <w:rsid w:val="0038687F"/>
    <w:rsid w:val="0038752E"/>
    <w:rsid w:val="00387EAE"/>
    <w:rsid w:val="003901CC"/>
    <w:rsid w:val="003901E0"/>
    <w:rsid w:val="00390A39"/>
    <w:rsid w:val="003911C2"/>
    <w:rsid w:val="003916C0"/>
    <w:rsid w:val="00391F02"/>
    <w:rsid w:val="003923D8"/>
    <w:rsid w:val="00395327"/>
    <w:rsid w:val="00395C3F"/>
    <w:rsid w:val="003962BB"/>
    <w:rsid w:val="0039644B"/>
    <w:rsid w:val="00396717"/>
    <w:rsid w:val="00396A2A"/>
    <w:rsid w:val="00397098"/>
    <w:rsid w:val="00397330"/>
    <w:rsid w:val="003973D7"/>
    <w:rsid w:val="00397E7C"/>
    <w:rsid w:val="003A1A81"/>
    <w:rsid w:val="003A1B6D"/>
    <w:rsid w:val="003A26C9"/>
    <w:rsid w:val="003A31C5"/>
    <w:rsid w:val="003A44E2"/>
    <w:rsid w:val="003A54FA"/>
    <w:rsid w:val="003A5E1D"/>
    <w:rsid w:val="003A5FB6"/>
    <w:rsid w:val="003A6C5D"/>
    <w:rsid w:val="003A7323"/>
    <w:rsid w:val="003A79BC"/>
    <w:rsid w:val="003A7E8D"/>
    <w:rsid w:val="003B15C6"/>
    <w:rsid w:val="003B1EFC"/>
    <w:rsid w:val="003B1F57"/>
    <w:rsid w:val="003B2503"/>
    <w:rsid w:val="003B2C15"/>
    <w:rsid w:val="003B31AB"/>
    <w:rsid w:val="003B3D29"/>
    <w:rsid w:val="003B3E36"/>
    <w:rsid w:val="003B4855"/>
    <w:rsid w:val="003B591D"/>
    <w:rsid w:val="003B5A48"/>
    <w:rsid w:val="003B6781"/>
    <w:rsid w:val="003B71B3"/>
    <w:rsid w:val="003B78B3"/>
    <w:rsid w:val="003B791E"/>
    <w:rsid w:val="003B7CB1"/>
    <w:rsid w:val="003C039D"/>
    <w:rsid w:val="003C04D1"/>
    <w:rsid w:val="003C2F1E"/>
    <w:rsid w:val="003C4E5B"/>
    <w:rsid w:val="003C54B7"/>
    <w:rsid w:val="003C5E89"/>
    <w:rsid w:val="003C6CA5"/>
    <w:rsid w:val="003C7D4D"/>
    <w:rsid w:val="003C7D83"/>
    <w:rsid w:val="003D0C51"/>
    <w:rsid w:val="003D0DDE"/>
    <w:rsid w:val="003D1CC3"/>
    <w:rsid w:val="003D2494"/>
    <w:rsid w:val="003D2DA9"/>
    <w:rsid w:val="003D30A5"/>
    <w:rsid w:val="003D3241"/>
    <w:rsid w:val="003D3A21"/>
    <w:rsid w:val="003D5071"/>
    <w:rsid w:val="003D54A3"/>
    <w:rsid w:val="003D5536"/>
    <w:rsid w:val="003D5FAA"/>
    <w:rsid w:val="003D6749"/>
    <w:rsid w:val="003D6EC8"/>
    <w:rsid w:val="003D767E"/>
    <w:rsid w:val="003E05BE"/>
    <w:rsid w:val="003E1203"/>
    <w:rsid w:val="003E1C21"/>
    <w:rsid w:val="003E1C3B"/>
    <w:rsid w:val="003E23B1"/>
    <w:rsid w:val="003E2833"/>
    <w:rsid w:val="003E2A67"/>
    <w:rsid w:val="003E37BA"/>
    <w:rsid w:val="003E3849"/>
    <w:rsid w:val="003E3BEE"/>
    <w:rsid w:val="003E42F4"/>
    <w:rsid w:val="003E4768"/>
    <w:rsid w:val="003E4BA4"/>
    <w:rsid w:val="003E4CDE"/>
    <w:rsid w:val="003E66CB"/>
    <w:rsid w:val="003E6D22"/>
    <w:rsid w:val="003E7E14"/>
    <w:rsid w:val="003F002C"/>
    <w:rsid w:val="003F0B1C"/>
    <w:rsid w:val="003F0B7B"/>
    <w:rsid w:val="003F1978"/>
    <w:rsid w:val="003F19D6"/>
    <w:rsid w:val="003F1B06"/>
    <w:rsid w:val="003F1D60"/>
    <w:rsid w:val="003F42DB"/>
    <w:rsid w:val="003F590D"/>
    <w:rsid w:val="003F5E85"/>
    <w:rsid w:val="003F7472"/>
    <w:rsid w:val="003F74B7"/>
    <w:rsid w:val="004014B1"/>
    <w:rsid w:val="00402DE1"/>
    <w:rsid w:val="00403AA3"/>
    <w:rsid w:val="00403CEC"/>
    <w:rsid w:val="00404022"/>
    <w:rsid w:val="00404F5B"/>
    <w:rsid w:val="00406DDB"/>
    <w:rsid w:val="00406E47"/>
    <w:rsid w:val="004072E0"/>
    <w:rsid w:val="00407D98"/>
    <w:rsid w:val="00410201"/>
    <w:rsid w:val="00412148"/>
    <w:rsid w:val="00412806"/>
    <w:rsid w:val="00412DD1"/>
    <w:rsid w:val="00413010"/>
    <w:rsid w:val="00413DD0"/>
    <w:rsid w:val="00413EE5"/>
    <w:rsid w:val="0041458C"/>
    <w:rsid w:val="00414BDE"/>
    <w:rsid w:val="00420FB6"/>
    <w:rsid w:val="004217C6"/>
    <w:rsid w:val="00421A9E"/>
    <w:rsid w:val="00421C36"/>
    <w:rsid w:val="0042213C"/>
    <w:rsid w:val="0042326F"/>
    <w:rsid w:val="0042350A"/>
    <w:rsid w:val="00423968"/>
    <w:rsid w:val="00423B34"/>
    <w:rsid w:val="00423DF6"/>
    <w:rsid w:val="00424105"/>
    <w:rsid w:val="00425E9D"/>
    <w:rsid w:val="004267F5"/>
    <w:rsid w:val="00426F61"/>
    <w:rsid w:val="00427823"/>
    <w:rsid w:val="0042783A"/>
    <w:rsid w:val="0043109A"/>
    <w:rsid w:val="00431A64"/>
    <w:rsid w:val="00431A82"/>
    <w:rsid w:val="00432A9F"/>
    <w:rsid w:val="00432D47"/>
    <w:rsid w:val="00433849"/>
    <w:rsid w:val="0043420E"/>
    <w:rsid w:val="00434347"/>
    <w:rsid w:val="00434AFC"/>
    <w:rsid w:val="004356B0"/>
    <w:rsid w:val="004379A4"/>
    <w:rsid w:val="00437A1E"/>
    <w:rsid w:val="00437D55"/>
    <w:rsid w:val="00437ECC"/>
    <w:rsid w:val="00437FD8"/>
    <w:rsid w:val="004401DA"/>
    <w:rsid w:val="004406F3"/>
    <w:rsid w:val="00440F37"/>
    <w:rsid w:val="004410C5"/>
    <w:rsid w:val="00442E0A"/>
    <w:rsid w:val="00443261"/>
    <w:rsid w:val="0044502A"/>
    <w:rsid w:val="0044516D"/>
    <w:rsid w:val="00445594"/>
    <w:rsid w:val="00445959"/>
    <w:rsid w:val="00446079"/>
    <w:rsid w:val="00446123"/>
    <w:rsid w:val="00446A1F"/>
    <w:rsid w:val="0044715E"/>
    <w:rsid w:val="00450186"/>
    <w:rsid w:val="00450AE8"/>
    <w:rsid w:val="004515C4"/>
    <w:rsid w:val="004515F8"/>
    <w:rsid w:val="00451C9E"/>
    <w:rsid w:val="0045291B"/>
    <w:rsid w:val="00453ABC"/>
    <w:rsid w:val="00455BF1"/>
    <w:rsid w:val="00455F27"/>
    <w:rsid w:val="004560C6"/>
    <w:rsid w:val="004567C8"/>
    <w:rsid w:val="00456C56"/>
    <w:rsid w:val="004570D7"/>
    <w:rsid w:val="0045757A"/>
    <w:rsid w:val="00457D38"/>
    <w:rsid w:val="00460648"/>
    <w:rsid w:val="00460D90"/>
    <w:rsid w:val="00460DC5"/>
    <w:rsid w:val="00461D53"/>
    <w:rsid w:val="00462950"/>
    <w:rsid w:val="00464EFA"/>
    <w:rsid w:val="004653B8"/>
    <w:rsid w:val="004675D6"/>
    <w:rsid w:val="0047017D"/>
    <w:rsid w:val="00470E07"/>
    <w:rsid w:val="00471C8B"/>
    <w:rsid w:val="004722CF"/>
    <w:rsid w:val="00472A7B"/>
    <w:rsid w:val="00472C3F"/>
    <w:rsid w:val="00473C06"/>
    <w:rsid w:val="00474101"/>
    <w:rsid w:val="00474815"/>
    <w:rsid w:val="00474E0E"/>
    <w:rsid w:val="00475920"/>
    <w:rsid w:val="00475DBF"/>
    <w:rsid w:val="004772E5"/>
    <w:rsid w:val="0047730F"/>
    <w:rsid w:val="004778AF"/>
    <w:rsid w:val="00481650"/>
    <w:rsid w:val="00482004"/>
    <w:rsid w:val="00483CE7"/>
    <w:rsid w:val="004869EE"/>
    <w:rsid w:val="00486E96"/>
    <w:rsid w:val="004878AF"/>
    <w:rsid w:val="0049010B"/>
    <w:rsid w:val="00490564"/>
    <w:rsid w:val="00492393"/>
    <w:rsid w:val="00493C33"/>
    <w:rsid w:val="00493ECE"/>
    <w:rsid w:val="00494AF6"/>
    <w:rsid w:val="004952F1"/>
    <w:rsid w:val="00495512"/>
    <w:rsid w:val="00495AF3"/>
    <w:rsid w:val="00495C2F"/>
    <w:rsid w:val="0049615E"/>
    <w:rsid w:val="004965C0"/>
    <w:rsid w:val="00497238"/>
    <w:rsid w:val="00497410"/>
    <w:rsid w:val="004978C5"/>
    <w:rsid w:val="004A0253"/>
    <w:rsid w:val="004A2CB0"/>
    <w:rsid w:val="004A445B"/>
    <w:rsid w:val="004A44C0"/>
    <w:rsid w:val="004A4814"/>
    <w:rsid w:val="004A66C2"/>
    <w:rsid w:val="004A6798"/>
    <w:rsid w:val="004A6D4E"/>
    <w:rsid w:val="004A6E22"/>
    <w:rsid w:val="004A7CBB"/>
    <w:rsid w:val="004B1C4C"/>
    <w:rsid w:val="004B1E3B"/>
    <w:rsid w:val="004B2A53"/>
    <w:rsid w:val="004B341B"/>
    <w:rsid w:val="004B37C2"/>
    <w:rsid w:val="004B3D59"/>
    <w:rsid w:val="004B41CD"/>
    <w:rsid w:val="004B4543"/>
    <w:rsid w:val="004B4DFA"/>
    <w:rsid w:val="004B522B"/>
    <w:rsid w:val="004B6809"/>
    <w:rsid w:val="004C04FA"/>
    <w:rsid w:val="004C0E68"/>
    <w:rsid w:val="004C110F"/>
    <w:rsid w:val="004C1162"/>
    <w:rsid w:val="004C28EF"/>
    <w:rsid w:val="004C32A3"/>
    <w:rsid w:val="004C375D"/>
    <w:rsid w:val="004C3C36"/>
    <w:rsid w:val="004C444C"/>
    <w:rsid w:val="004C4F63"/>
    <w:rsid w:val="004C765D"/>
    <w:rsid w:val="004C7C23"/>
    <w:rsid w:val="004D37ED"/>
    <w:rsid w:val="004D4AF0"/>
    <w:rsid w:val="004D4C6D"/>
    <w:rsid w:val="004D5702"/>
    <w:rsid w:val="004D73B3"/>
    <w:rsid w:val="004E0A36"/>
    <w:rsid w:val="004E0B86"/>
    <w:rsid w:val="004E13A1"/>
    <w:rsid w:val="004E1BEF"/>
    <w:rsid w:val="004E1F68"/>
    <w:rsid w:val="004E2AE3"/>
    <w:rsid w:val="004E3259"/>
    <w:rsid w:val="004E32E8"/>
    <w:rsid w:val="004E349D"/>
    <w:rsid w:val="004E3A86"/>
    <w:rsid w:val="004E3E3C"/>
    <w:rsid w:val="004E45EA"/>
    <w:rsid w:val="004E5E89"/>
    <w:rsid w:val="004E5EA9"/>
    <w:rsid w:val="004E5EBB"/>
    <w:rsid w:val="004E6413"/>
    <w:rsid w:val="004E6ED2"/>
    <w:rsid w:val="004E7837"/>
    <w:rsid w:val="004E7BEA"/>
    <w:rsid w:val="004F049F"/>
    <w:rsid w:val="004F22BB"/>
    <w:rsid w:val="004F3292"/>
    <w:rsid w:val="004F3298"/>
    <w:rsid w:val="004F35FB"/>
    <w:rsid w:val="004F55D8"/>
    <w:rsid w:val="004F5BDC"/>
    <w:rsid w:val="004F5C33"/>
    <w:rsid w:val="004F6745"/>
    <w:rsid w:val="004F74AA"/>
    <w:rsid w:val="0050020B"/>
    <w:rsid w:val="00501E3D"/>
    <w:rsid w:val="005034C5"/>
    <w:rsid w:val="0050367E"/>
    <w:rsid w:val="0050504E"/>
    <w:rsid w:val="005057A9"/>
    <w:rsid w:val="00506DBE"/>
    <w:rsid w:val="005103D4"/>
    <w:rsid w:val="00510B05"/>
    <w:rsid w:val="00510C8C"/>
    <w:rsid w:val="00510EBA"/>
    <w:rsid w:val="00512101"/>
    <w:rsid w:val="00513C9C"/>
    <w:rsid w:val="00516354"/>
    <w:rsid w:val="00517420"/>
    <w:rsid w:val="00517A4A"/>
    <w:rsid w:val="00517B27"/>
    <w:rsid w:val="00520E56"/>
    <w:rsid w:val="0052135C"/>
    <w:rsid w:val="005218A9"/>
    <w:rsid w:val="00521B8C"/>
    <w:rsid w:val="005220D9"/>
    <w:rsid w:val="00523DDE"/>
    <w:rsid w:val="00523DE2"/>
    <w:rsid w:val="00523F4C"/>
    <w:rsid w:val="00524818"/>
    <w:rsid w:val="00524A1E"/>
    <w:rsid w:val="0052576D"/>
    <w:rsid w:val="005268C4"/>
    <w:rsid w:val="00526CA5"/>
    <w:rsid w:val="0052730A"/>
    <w:rsid w:val="00527663"/>
    <w:rsid w:val="005301C7"/>
    <w:rsid w:val="005307D5"/>
    <w:rsid w:val="005311B2"/>
    <w:rsid w:val="00531C9B"/>
    <w:rsid w:val="00531F46"/>
    <w:rsid w:val="00532CCD"/>
    <w:rsid w:val="005335B7"/>
    <w:rsid w:val="00533B43"/>
    <w:rsid w:val="0053471F"/>
    <w:rsid w:val="005363EA"/>
    <w:rsid w:val="005364D8"/>
    <w:rsid w:val="00536F7F"/>
    <w:rsid w:val="00540CDD"/>
    <w:rsid w:val="005425A2"/>
    <w:rsid w:val="00543380"/>
    <w:rsid w:val="005437A7"/>
    <w:rsid w:val="00543826"/>
    <w:rsid w:val="00543D64"/>
    <w:rsid w:val="00543D9F"/>
    <w:rsid w:val="005442AD"/>
    <w:rsid w:val="0054437C"/>
    <w:rsid w:val="00544580"/>
    <w:rsid w:val="00544A11"/>
    <w:rsid w:val="00544AC8"/>
    <w:rsid w:val="00545D7B"/>
    <w:rsid w:val="00547630"/>
    <w:rsid w:val="00547A3B"/>
    <w:rsid w:val="00547C2F"/>
    <w:rsid w:val="00547E5C"/>
    <w:rsid w:val="00547F60"/>
    <w:rsid w:val="005508B7"/>
    <w:rsid w:val="005529E1"/>
    <w:rsid w:val="005529E8"/>
    <w:rsid w:val="00554219"/>
    <w:rsid w:val="0055527A"/>
    <w:rsid w:val="00555314"/>
    <w:rsid w:val="00555CEC"/>
    <w:rsid w:val="00555ECC"/>
    <w:rsid w:val="00557F50"/>
    <w:rsid w:val="00561F8E"/>
    <w:rsid w:val="00562F25"/>
    <w:rsid w:val="005632C0"/>
    <w:rsid w:val="00563C8D"/>
    <w:rsid w:val="00564463"/>
    <w:rsid w:val="00564611"/>
    <w:rsid w:val="00564F2C"/>
    <w:rsid w:val="00565FA7"/>
    <w:rsid w:val="005674E0"/>
    <w:rsid w:val="00567C7E"/>
    <w:rsid w:val="00567F30"/>
    <w:rsid w:val="0057057C"/>
    <w:rsid w:val="00570637"/>
    <w:rsid w:val="0057094C"/>
    <w:rsid w:val="00570C9E"/>
    <w:rsid w:val="00570E3C"/>
    <w:rsid w:val="00571257"/>
    <w:rsid w:val="0057149E"/>
    <w:rsid w:val="00571E39"/>
    <w:rsid w:val="005727F2"/>
    <w:rsid w:val="005775AC"/>
    <w:rsid w:val="00577A6E"/>
    <w:rsid w:val="00580FDC"/>
    <w:rsid w:val="00581D9B"/>
    <w:rsid w:val="00582849"/>
    <w:rsid w:val="00583506"/>
    <w:rsid w:val="00583891"/>
    <w:rsid w:val="00583C27"/>
    <w:rsid w:val="00584FD3"/>
    <w:rsid w:val="005858A0"/>
    <w:rsid w:val="00585C41"/>
    <w:rsid w:val="00586A6E"/>
    <w:rsid w:val="0058702C"/>
    <w:rsid w:val="005900A9"/>
    <w:rsid w:val="005926F2"/>
    <w:rsid w:val="00592AE3"/>
    <w:rsid w:val="00592D12"/>
    <w:rsid w:val="00592F22"/>
    <w:rsid w:val="0059389D"/>
    <w:rsid w:val="00593901"/>
    <w:rsid w:val="005943BF"/>
    <w:rsid w:val="00594D4F"/>
    <w:rsid w:val="00595F01"/>
    <w:rsid w:val="005978AF"/>
    <w:rsid w:val="005A07F0"/>
    <w:rsid w:val="005A111A"/>
    <w:rsid w:val="005A144F"/>
    <w:rsid w:val="005A2A37"/>
    <w:rsid w:val="005A30D0"/>
    <w:rsid w:val="005A5A4E"/>
    <w:rsid w:val="005A5C1C"/>
    <w:rsid w:val="005A644B"/>
    <w:rsid w:val="005A6DC0"/>
    <w:rsid w:val="005B07D1"/>
    <w:rsid w:val="005B1F42"/>
    <w:rsid w:val="005B2C7E"/>
    <w:rsid w:val="005B3677"/>
    <w:rsid w:val="005B38DA"/>
    <w:rsid w:val="005B599D"/>
    <w:rsid w:val="005B6625"/>
    <w:rsid w:val="005B67E8"/>
    <w:rsid w:val="005B6CE3"/>
    <w:rsid w:val="005B7403"/>
    <w:rsid w:val="005B7AC0"/>
    <w:rsid w:val="005C039B"/>
    <w:rsid w:val="005C1A15"/>
    <w:rsid w:val="005C1B62"/>
    <w:rsid w:val="005C1EDE"/>
    <w:rsid w:val="005C2248"/>
    <w:rsid w:val="005C2D46"/>
    <w:rsid w:val="005C2D8C"/>
    <w:rsid w:val="005C3E8C"/>
    <w:rsid w:val="005C43B9"/>
    <w:rsid w:val="005C47DC"/>
    <w:rsid w:val="005C50B1"/>
    <w:rsid w:val="005C5346"/>
    <w:rsid w:val="005C5690"/>
    <w:rsid w:val="005C73B4"/>
    <w:rsid w:val="005C740C"/>
    <w:rsid w:val="005C74FC"/>
    <w:rsid w:val="005D0E73"/>
    <w:rsid w:val="005D17DD"/>
    <w:rsid w:val="005D1C42"/>
    <w:rsid w:val="005D25EA"/>
    <w:rsid w:val="005D3E69"/>
    <w:rsid w:val="005D455D"/>
    <w:rsid w:val="005D5BD4"/>
    <w:rsid w:val="005D6B2F"/>
    <w:rsid w:val="005D76AF"/>
    <w:rsid w:val="005D7802"/>
    <w:rsid w:val="005D7B37"/>
    <w:rsid w:val="005D7E7C"/>
    <w:rsid w:val="005E07C4"/>
    <w:rsid w:val="005E0921"/>
    <w:rsid w:val="005E153C"/>
    <w:rsid w:val="005E1A52"/>
    <w:rsid w:val="005E23DC"/>
    <w:rsid w:val="005E2B5C"/>
    <w:rsid w:val="005E5BD9"/>
    <w:rsid w:val="005E6471"/>
    <w:rsid w:val="005F08B4"/>
    <w:rsid w:val="005F146A"/>
    <w:rsid w:val="005F1D1F"/>
    <w:rsid w:val="005F2334"/>
    <w:rsid w:val="005F28B3"/>
    <w:rsid w:val="005F34E0"/>
    <w:rsid w:val="005F3923"/>
    <w:rsid w:val="005F5405"/>
    <w:rsid w:val="005F58CC"/>
    <w:rsid w:val="005F68AF"/>
    <w:rsid w:val="005F6E34"/>
    <w:rsid w:val="005F7281"/>
    <w:rsid w:val="005F7BC5"/>
    <w:rsid w:val="0060150F"/>
    <w:rsid w:val="00601775"/>
    <w:rsid w:val="00601C0E"/>
    <w:rsid w:val="006026F9"/>
    <w:rsid w:val="00602CD0"/>
    <w:rsid w:val="0060363D"/>
    <w:rsid w:val="00604C2F"/>
    <w:rsid w:val="00604E6F"/>
    <w:rsid w:val="00605808"/>
    <w:rsid w:val="00605C87"/>
    <w:rsid w:val="0060622E"/>
    <w:rsid w:val="006062CE"/>
    <w:rsid w:val="00606E67"/>
    <w:rsid w:val="00607A42"/>
    <w:rsid w:val="00610314"/>
    <w:rsid w:val="00610512"/>
    <w:rsid w:val="00610B63"/>
    <w:rsid w:val="00611EFB"/>
    <w:rsid w:val="00612D62"/>
    <w:rsid w:val="0061365F"/>
    <w:rsid w:val="00613ED8"/>
    <w:rsid w:val="0061484A"/>
    <w:rsid w:val="00614B46"/>
    <w:rsid w:val="00614B9E"/>
    <w:rsid w:val="00614C5A"/>
    <w:rsid w:val="00615138"/>
    <w:rsid w:val="00616E9E"/>
    <w:rsid w:val="0061707C"/>
    <w:rsid w:val="006172C8"/>
    <w:rsid w:val="00617470"/>
    <w:rsid w:val="00620150"/>
    <w:rsid w:val="0062034B"/>
    <w:rsid w:val="0062083B"/>
    <w:rsid w:val="00620F9B"/>
    <w:rsid w:val="006211CF"/>
    <w:rsid w:val="00621A3E"/>
    <w:rsid w:val="00622500"/>
    <w:rsid w:val="00622AAC"/>
    <w:rsid w:val="00623FDE"/>
    <w:rsid w:val="0062437C"/>
    <w:rsid w:val="0062634A"/>
    <w:rsid w:val="006278F1"/>
    <w:rsid w:val="00630779"/>
    <w:rsid w:val="00630969"/>
    <w:rsid w:val="0063143B"/>
    <w:rsid w:val="00631719"/>
    <w:rsid w:val="006319E7"/>
    <w:rsid w:val="00632A00"/>
    <w:rsid w:val="00632A3C"/>
    <w:rsid w:val="0063339D"/>
    <w:rsid w:val="00633BFE"/>
    <w:rsid w:val="00634080"/>
    <w:rsid w:val="006343E4"/>
    <w:rsid w:val="00636BE5"/>
    <w:rsid w:val="00637208"/>
    <w:rsid w:val="00637B9C"/>
    <w:rsid w:val="00640D0B"/>
    <w:rsid w:val="00641180"/>
    <w:rsid w:val="00641F6D"/>
    <w:rsid w:val="0064215B"/>
    <w:rsid w:val="00642606"/>
    <w:rsid w:val="0064281F"/>
    <w:rsid w:val="0064298C"/>
    <w:rsid w:val="006453ED"/>
    <w:rsid w:val="00645CEA"/>
    <w:rsid w:val="0065052C"/>
    <w:rsid w:val="00650B98"/>
    <w:rsid w:val="00650F07"/>
    <w:rsid w:val="0065139A"/>
    <w:rsid w:val="006516B6"/>
    <w:rsid w:val="00651A77"/>
    <w:rsid w:val="00651A7C"/>
    <w:rsid w:val="00651F0D"/>
    <w:rsid w:val="00652332"/>
    <w:rsid w:val="006524B8"/>
    <w:rsid w:val="00653E2F"/>
    <w:rsid w:val="00654E6C"/>
    <w:rsid w:val="00655016"/>
    <w:rsid w:val="006559E8"/>
    <w:rsid w:val="00656E9C"/>
    <w:rsid w:val="00657100"/>
    <w:rsid w:val="00657524"/>
    <w:rsid w:val="0065789C"/>
    <w:rsid w:val="00657982"/>
    <w:rsid w:val="006609E8"/>
    <w:rsid w:val="00661572"/>
    <w:rsid w:val="006615B0"/>
    <w:rsid w:val="0066284A"/>
    <w:rsid w:val="00662B08"/>
    <w:rsid w:val="00662EB4"/>
    <w:rsid w:val="00663196"/>
    <w:rsid w:val="0066370A"/>
    <w:rsid w:val="00664067"/>
    <w:rsid w:val="006647DC"/>
    <w:rsid w:val="00664C56"/>
    <w:rsid w:val="00664E57"/>
    <w:rsid w:val="00667078"/>
    <w:rsid w:val="00667778"/>
    <w:rsid w:val="00667D7D"/>
    <w:rsid w:val="00670488"/>
    <w:rsid w:val="00670963"/>
    <w:rsid w:val="00670F2F"/>
    <w:rsid w:val="0067226A"/>
    <w:rsid w:val="0067324A"/>
    <w:rsid w:val="00673450"/>
    <w:rsid w:val="006735B3"/>
    <w:rsid w:val="006737BF"/>
    <w:rsid w:val="00673871"/>
    <w:rsid w:val="00673E71"/>
    <w:rsid w:val="00674668"/>
    <w:rsid w:val="0067472B"/>
    <w:rsid w:val="00674AAA"/>
    <w:rsid w:val="00674D24"/>
    <w:rsid w:val="00676897"/>
    <w:rsid w:val="006777FB"/>
    <w:rsid w:val="00677ACA"/>
    <w:rsid w:val="00677F9A"/>
    <w:rsid w:val="00680680"/>
    <w:rsid w:val="006818E0"/>
    <w:rsid w:val="00681A03"/>
    <w:rsid w:val="00681FBC"/>
    <w:rsid w:val="00682615"/>
    <w:rsid w:val="00682FF8"/>
    <w:rsid w:val="006840FA"/>
    <w:rsid w:val="006844AE"/>
    <w:rsid w:val="00684A53"/>
    <w:rsid w:val="00684C66"/>
    <w:rsid w:val="00685424"/>
    <w:rsid w:val="00685675"/>
    <w:rsid w:val="00685786"/>
    <w:rsid w:val="006861E2"/>
    <w:rsid w:val="00687244"/>
    <w:rsid w:val="006876E1"/>
    <w:rsid w:val="00687C99"/>
    <w:rsid w:val="00687DFE"/>
    <w:rsid w:val="00690203"/>
    <w:rsid w:val="00690416"/>
    <w:rsid w:val="00690567"/>
    <w:rsid w:val="00690BF3"/>
    <w:rsid w:val="00691CF4"/>
    <w:rsid w:val="006923D1"/>
    <w:rsid w:val="00692AFF"/>
    <w:rsid w:val="00692EB0"/>
    <w:rsid w:val="006935F8"/>
    <w:rsid w:val="0069402D"/>
    <w:rsid w:val="00694321"/>
    <w:rsid w:val="00694684"/>
    <w:rsid w:val="0069492D"/>
    <w:rsid w:val="006954C9"/>
    <w:rsid w:val="00695939"/>
    <w:rsid w:val="006962C6"/>
    <w:rsid w:val="00696B64"/>
    <w:rsid w:val="00696F3B"/>
    <w:rsid w:val="00697023"/>
    <w:rsid w:val="006977D1"/>
    <w:rsid w:val="006A0077"/>
    <w:rsid w:val="006A0987"/>
    <w:rsid w:val="006A0E37"/>
    <w:rsid w:val="006A1ED0"/>
    <w:rsid w:val="006A2070"/>
    <w:rsid w:val="006A314F"/>
    <w:rsid w:val="006A4BFB"/>
    <w:rsid w:val="006A5587"/>
    <w:rsid w:val="006A6F7F"/>
    <w:rsid w:val="006A7C4D"/>
    <w:rsid w:val="006A7EE3"/>
    <w:rsid w:val="006B00BB"/>
    <w:rsid w:val="006B0315"/>
    <w:rsid w:val="006B031B"/>
    <w:rsid w:val="006B067F"/>
    <w:rsid w:val="006B13A8"/>
    <w:rsid w:val="006B1AD4"/>
    <w:rsid w:val="006B1C30"/>
    <w:rsid w:val="006B1F37"/>
    <w:rsid w:val="006B1FC1"/>
    <w:rsid w:val="006B1FE5"/>
    <w:rsid w:val="006B2D4D"/>
    <w:rsid w:val="006B2F6B"/>
    <w:rsid w:val="006B321A"/>
    <w:rsid w:val="006B33D0"/>
    <w:rsid w:val="006B38A6"/>
    <w:rsid w:val="006B3FF6"/>
    <w:rsid w:val="006B3FFE"/>
    <w:rsid w:val="006B418E"/>
    <w:rsid w:val="006B45D4"/>
    <w:rsid w:val="006B4A74"/>
    <w:rsid w:val="006B4E1A"/>
    <w:rsid w:val="006B4F8D"/>
    <w:rsid w:val="006B5EC6"/>
    <w:rsid w:val="006B6838"/>
    <w:rsid w:val="006B6E52"/>
    <w:rsid w:val="006C03EB"/>
    <w:rsid w:val="006C0BC7"/>
    <w:rsid w:val="006C13E9"/>
    <w:rsid w:val="006C187E"/>
    <w:rsid w:val="006C2064"/>
    <w:rsid w:val="006C2DAE"/>
    <w:rsid w:val="006C2EF7"/>
    <w:rsid w:val="006C3BC4"/>
    <w:rsid w:val="006C3C9D"/>
    <w:rsid w:val="006C45B3"/>
    <w:rsid w:val="006C4A36"/>
    <w:rsid w:val="006C528C"/>
    <w:rsid w:val="006C6311"/>
    <w:rsid w:val="006C7B70"/>
    <w:rsid w:val="006C7C65"/>
    <w:rsid w:val="006D00A9"/>
    <w:rsid w:val="006D0503"/>
    <w:rsid w:val="006D0BCE"/>
    <w:rsid w:val="006D17B3"/>
    <w:rsid w:val="006D235F"/>
    <w:rsid w:val="006D29B1"/>
    <w:rsid w:val="006D2C82"/>
    <w:rsid w:val="006D3966"/>
    <w:rsid w:val="006D3B58"/>
    <w:rsid w:val="006D3D5C"/>
    <w:rsid w:val="006D3EED"/>
    <w:rsid w:val="006D4898"/>
    <w:rsid w:val="006D5389"/>
    <w:rsid w:val="006D54B0"/>
    <w:rsid w:val="006D6624"/>
    <w:rsid w:val="006D6689"/>
    <w:rsid w:val="006D7383"/>
    <w:rsid w:val="006D7569"/>
    <w:rsid w:val="006E041C"/>
    <w:rsid w:val="006E07E0"/>
    <w:rsid w:val="006E08F4"/>
    <w:rsid w:val="006E2004"/>
    <w:rsid w:val="006E2831"/>
    <w:rsid w:val="006E3F2E"/>
    <w:rsid w:val="006E48BC"/>
    <w:rsid w:val="006E4CF0"/>
    <w:rsid w:val="006E5A3A"/>
    <w:rsid w:val="006E6809"/>
    <w:rsid w:val="006E6AF3"/>
    <w:rsid w:val="006E7113"/>
    <w:rsid w:val="006E75D3"/>
    <w:rsid w:val="006F0279"/>
    <w:rsid w:val="006F0ABA"/>
    <w:rsid w:val="006F11BF"/>
    <w:rsid w:val="006F15A8"/>
    <w:rsid w:val="006F1A6A"/>
    <w:rsid w:val="006F1E51"/>
    <w:rsid w:val="006F243B"/>
    <w:rsid w:val="006F2CC9"/>
    <w:rsid w:val="006F3F48"/>
    <w:rsid w:val="006F4218"/>
    <w:rsid w:val="006F4841"/>
    <w:rsid w:val="006F560A"/>
    <w:rsid w:val="006F57E5"/>
    <w:rsid w:val="006F6B22"/>
    <w:rsid w:val="006F7548"/>
    <w:rsid w:val="006F7E92"/>
    <w:rsid w:val="00701AFA"/>
    <w:rsid w:val="00702FFD"/>
    <w:rsid w:val="00703E38"/>
    <w:rsid w:val="00703E8B"/>
    <w:rsid w:val="0070442F"/>
    <w:rsid w:val="00705BB3"/>
    <w:rsid w:val="0070618D"/>
    <w:rsid w:val="00706B10"/>
    <w:rsid w:val="00707830"/>
    <w:rsid w:val="007102D6"/>
    <w:rsid w:val="00710E70"/>
    <w:rsid w:val="00710EA8"/>
    <w:rsid w:val="0071172D"/>
    <w:rsid w:val="00711BC4"/>
    <w:rsid w:val="00711C5C"/>
    <w:rsid w:val="00712669"/>
    <w:rsid w:val="007134B1"/>
    <w:rsid w:val="00713BCB"/>
    <w:rsid w:val="00714356"/>
    <w:rsid w:val="007143B9"/>
    <w:rsid w:val="00714911"/>
    <w:rsid w:val="00715205"/>
    <w:rsid w:val="00715ABF"/>
    <w:rsid w:val="007177F0"/>
    <w:rsid w:val="00717A2D"/>
    <w:rsid w:val="00717CA0"/>
    <w:rsid w:val="00720564"/>
    <w:rsid w:val="00720F7B"/>
    <w:rsid w:val="0072151A"/>
    <w:rsid w:val="00721C46"/>
    <w:rsid w:val="00722153"/>
    <w:rsid w:val="00722C99"/>
    <w:rsid w:val="00723872"/>
    <w:rsid w:val="0072615D"/>
    <w:rsid w:val="00726376"/>
    <w:rsid w:val="0072664D"/>
    <w:rsid w:val="007266FC"/>
    <w:rsid w:val="0072719D"/>
    <w:rsid w:val="007279DE"/>
    <w:rsid w:val="00730061"/>
    <w:rsid w:val="0073069E"/>
    <w:rsid w:val="00731821"/>
    <w:rsid w:val="0073238F"/>
    <w:rsid w:val="0073286C"/>
    <w:rsid w:val="00732917"/>
    <w:rsid w:val="00732F30"/>
    <w:rsid w:val="0073318A"/>
    <w:rsid w:val="00733348"/>
    <w:rsid w:val="00733B6F"/>
    <w:rsid w:val="00733C63"/>
    <w:rsid w:val="00734DB9"/>
    <w:rsid w:val="00735734"/>
    <w:rsid w:val="00735E7C"/>
    <w:rsid w:val="007360B0"/>
    <w:rsid w:val="00736C88"/>
    <w:rsid w:val="00737701"/>
    <w:rsid w:val="00737A00"/>
    <w:rsid w:val="00740659"/>
    <w:rsid w:val="007409F6"/>
    <w:rsid w:val="00740A76"/>
    <w:rsid w:val="00741212"/>
    <w:rsid w:val="0074186D"/>
    <w:rsid w:val="0074246A"/>
    <w:rsid w:val="00742532"/>
    <w:rsid w:val="00742DDD"/>
    <w:rsid w:val="00743354"/>
    <w:rsid w:val="007433F6"/>
    <w:rsid w:val="00743819"/>
    <w:rsid w:val="00744EC8"/>
    <w:rsid w:val="0074512F"/>
    <w:rsid w:val="0074632E"/>
    <w:rsid w:val="0074679C"/>
    <w:rsid w:val="0074700C"/>
    <w:rsid w:val="00751596"/>
    <w:rsid w:val="007524F6"/>
    <w:rsid w:val="00755006"/>
    <w:rsid w:val="007552CC"/>
    <w:rsid w:val="007574D3"/>
    <w:rsid w:val="00760330"/>
    <w:rsid w:val="0076355D"/>
    <w:rsid w:val="00763852"/>
    <w:rsid w:val="00764425"/>
    <w:rsid w:val="007644B2"/>
    <w:rsid w:val="007644ED"/>
    <w:rsid w:val="00764D1A"/>
    <w:rsid w:val="007652C5"/>
    <w:rsid w:val="00765745"/>
    <w:rsid w:val="00766453"/>
    <w:rsid w:val="00767ADF"/>
    <w:rsid w:val="00770345"/>
    <w:rsid w:val="00770563"/>
    <w:rsid w:val="00770F28"/>
    <w:rsid w:val="00771135"/>
    <w:rsid w:val="00771605"/>
    <w:rsid w:val="007719A6"/>
    <w:rsid w:val="00773DDC"/>
    <w:rsid w:val="00774303"/>
    <w:rsid w:val="0077602F"/>
    <w:rsid w:val="00776962"/>
    <w:rsid w:val="007773DD"/>
    <w:rsid w:val="00777674"/>
    <w:rsid w:val="0078042E"/>
    <w:rsid w:val="007826AF"/>
    <w:rsid w:val="007830C4"/>
    <w:rsid w:val="00783A68"/>
    <w:rsid w:val="00783BF7"/>
    <w:rsid w:val="007857D0"/>
    <w:rsid w:val="00785ABD"/>
    <w:rsid w:val="0078602A"/>
    <w:rsid w:val="0078620B"/>
    <w:rsid w:val="00786F58"/>
    <w:rsid w:val="00787E80"/>
    <w:rsid w:val="00792C59"/>
    <w:rsid w:val="00793423"/>
    <w:rsid w:val="007938B2"/>
    <w:rsid w:val="00795DA5"/>
    <w:rsid w:val="007961EA"/>
    <w:rsid w:val="007976CC"/>
    <w:rsid w:val="007A0195"/>
    <w:rsid w:val="007A0AE3"/>
    <w:rsid w:val="007A0E68"/>
    <w:rsid w:val="007A135D"/>
    <w:rsid w:val="007A1367"/>
    <w:rsid w:val="007A1910"/>
    <w:rsid w:val="007A28C4"/>
    <w:rsid w:val="007A2A18"/>
    <w:rsid w:val="007A2E0E"/>
    <w:rsid w:val="007A3797"/>
    <w:rsid w:val="007A42D8"/>
    <w:rsid w:val="007A45FF"/>
    <w:rsid w:val="007A4EAF"/>
    <w:rsid w:val="007A5CC1"/>
    <w:rsid w:val="007A6C83"/>
    <w:rsid w:val="007A7DA6"/>
    <w:rsid w:val="007A7FD4"/>
    <w:rsid w:val="007B0321"/>
    <w:rsid w:val="007B1CE9"/>
    <w:rsid w:val="007B35B9"/>
    <w:rsid w:val="007B4E77"/>
    <w:rsid w:val="007B5AF9"/>
    <w:rsid w:val="007B631E"/>
    <w:rsid w:val="007B6376"/>
    <w:rsid w:val="007B6F2C"/>
    <w:rsid w:val="007B750D"/>
    <w:rsid w:val="007C182E"/>
    <w:rsid w:val="007C21FE"/>
    <w:rsid w:val="007C2350"/>
    <w:rsid w:val="007C2BC9"/>
    <w:rsid w:val="007C334B"/>
    <w:rsid w:val="007C368A"/>
    <w:rsid w:val="007C3C96"/>
    <w:rsid w:val="007C434F"/>
    <w:rsid w:val="007C4ADB"/>
    <w:rsid w:val="007C4C4A"/>
    <w:rsid w:val="007C51A4"/>
    <w:rsid w:val="007C5F01"/>
    <w:rsid w:val="007C6B73"/>
    <w:rsid w:val="007C7432"/>
    <w:rsid w:val="007C7FA7"/>
    <w:rsid w:val="007D0388"/>
    <w:rsid w:val="007D0642"/>
    <w:rsid w:val="007D227B"/>
    <w:rsid w:val="007D359D"/>
    <w:rsid w:val="007D4908"/>
    <w:rsid w:val="007D4CC0"/>
    <w:rsid w:val="007D5B5E"/>
    <w:rsid w:val="007D6758"/>
    <w:rsid w:val="007D7A79"/>
    <w:rsid w:val="007D7CBD"/>
    <w:rsid w:val="007D7DA6"/>
    <w:rsid w:val="007D7DB4"/>
    <w:rsid w:val="007E1820"/>
    <w:rsid w:val="007E183E"/>
    <w:rsid w:val="007E1AF0"/>
    <w:rsid w:val="007E4746"/>
    <w:rsid w:val="007E4866"/>
    <w:rsid w:val="007E4EA0"/>
    <w:rsid w:val="007E53D2"/>
    <w:rsid w:val="007E5466"/>
    <w:rsid w:val="007E5FF2"/>
    <w:rsid w:val="007E6F62"/>
    <w:rsid w:val="007F0AC4"/>
    <w:rsid w:val="007F0B15"/>
    <w:rsid w:val="007F0CC7"/>
    <w:rsid w:val="007F1440"/>
    <w:rsid w:val="007F15F5"/>
    <w:rsid w:val="007F316D"/>
    <w:rsid w:val="007F345C"/>
    <w:rsid w:val="007F3E81"/>
    <w:rsid w:val="007F40F4"/>
    <w:rsid w:val="007F479E"/>
    <w:rsid w:val="007F4ACB"/>
    <w:rsid w:val="007F5926"/>
    <w:rsid w:val="007F5A95"/>
    <w:rsid w:val="007F5B3C"/>
    <w:rsid w:val="007F72D1"/>
    <w:rsid w:val="00800189"/>
    <w:rsid w:val="00800247"/>
    <w:rsid w:val="0080038A"/>
    <w:rsid w:val="008012BF"/>
    <w:rsid w:val="008023CA"/>
    <w:rsid w:val="00803667"/>
    <w:rsid w:val="00803E3A"/>
    <w:rsid w:val="00804C78"/>
    <w:rsid w:val="00805109"/>
    <w:rsid w:val="0080512C"/>
    <w:rsid w:val="00805843"/>
    <w:rsid w:val="00805B9D"/>
    <w:rsid w:val="00805D0A"/>
    <w:rsid w:val="00805E00"/>
    <w:rsid w:val="00805E8A"/>
    <w:rsid w:val="00806696"/>
    <w:rsid w:val="00806F6A"/>
    <w:rsid w:val="00807B53"/>
    <w:rsid w:val="0081102F"/>
    <w:rsid w:val="00811286"/>
    <w:rsid w:val="008113FD"/>
    <w:rsid w:val="00811476"/>
    <w:rsid w:val="00812D19"/>
    <w:rsid w:val="0081302A"/>
    <w:rsid w:val="00813401"/>
    <w:rsid w:val="00814B8B"/>
    <w:rsid w:val="00814BD8"/>
    <w:rsid w:val="00814FDE"/>
    <w:rsid w:val="008152A7"/>
    <w:rsid w:val="00815E09"/>
    <w:rsid w:val="0081698E"/>
    <w:rsid w:val="00817F15"/>
    <w:rsid w:val="00820661"/>
    <w:rsid w:val="00820F85"/>
    <w:rsid w:val="008214B9"/>
    <w:rsid w:val="00821F0E"/>
    <w:rsid w:val="00822156"/>
    <w:rsid w:val="008221D8"/>
    <w:rsid w:val="00822B05"/>
    <w:rsid w:val="00822C26"/>
    <w:rsid w:val="00823318"/>
    <w:rsid w:val="00823B23"/>
    <w:rsid w:val="00824146"/>
    <w:rsid w:val="00824D53"/>
    <w:rsid w:val="00824E19"/>
    <w:rsid w:val="00825126"/>
    <w:rsid w:val="00827BAA"/>
    <w:rsid w:val="008300E2"/>
    <w:rsid w:val="008311D2"/>
    <w:rsid w:val="0083155B"/>
    <w:rsid w:val="00831560"/>
    <w:rsid w:val="00831D37"/>
    <w:rsid w:val="00832B2F"/>
    <w:rsid w:val="00834122"/>
    <w:rsid w:val="0083461E"/>
    <w:rsid w:val="008349D9"/>
    <w:rsid w:val="00834B0F"/>
    <w:rsid w:val="00834DA4"/>
    <w:rsid w:val="00834E37"/>
    <w:rsid w:val="00835A69"/>
    <w:rsid w:val="008368D0"/>
    <w:rsid w:val="008369CD"/>
    <w:rsid w:val="00836BDA"/>
    <w:rsid w:val="0083745E"/>
    <w:rsid w:val="008375BB"/>
    <w:rsid w:val="00837AD3"/>
    <w:rsid w:val="00837B4B"/>
    <w:rsid w:val="00837DC3"/>
    <w:rsid w:val="0084046B"/>
    <w:rsid w:val="00840538"/>
    <w:rsid w:val="00840E34"/>
    <w:rsid w:val="00841E5F"/>
    <w:rsid w:val="0084265D"/>
    <w:rsid w:val="008426DF"/>
    <w:rsid w:val="00842C20"/>
    <w:rsid w:val="00844F7B"/>
    <w:rsid w:val="0084528D"/>
    <w:rsid w:val="008452E7"/>
    <w:rsid w:val="008453B9"/>
    <w:rsid w:val="00845592"/>
    <w:rsid w:val="00846631"/>
    <w:rsid w:val="00846D9A"/>
    <w:rsid w:val="00847BD0"/>
    <w:rsid w:val="00847E6A"/>
    <w:rsid w:val="008512AB"/>
    <w:rsid w:val="008513BF"/>
    <w:rsid w:val="00852D28"/>
    <w:rsid w:val="00853134"/>
    <w:rsid w:val="008539FB"/>
    <w:rsid w:val="00853B6B"/>
    <w:rsid w:val="00854BEE"/>
    <w:rsid w:val="00855149"/>
    <w:rsid w:val="0085592C"/>
    <w:rsid w:val="00856168"/>
    <w:rsid w:val="008562DA"/>
    <w:rsid w:val="008564B9"/>
    <w:rsid w:val="008564FE"/>
    <w:rsid w:val="0085693F"/>
    <w:rsid w:val="00856AAB"/>
    <w:rsid w:val="00857402"/>
    <w:rsid w:val="008574C0"/>
    <w:rsid w:val="00857C61"/>
    <w:rsid w:val="00857EFF"/>
    <w:rsid w:val="008601F7"/>
    <w:rsid w:val="008608A0"/>
    <w:rsid w:val="008612E3"/>
    <w:rsid w:val="008633E2"/>
    <w:rsid w:val="00863826"/>
    <w:rsid w:val="0086489F"/>
    <w:rsid w:val="008649E1"/>
    <w:rsid w:val="00865360"/>
    <w:rsid w:val="0086594D"/>
    <w:rsid w:val="0086689D"/>
    <w:rsid w:val="0086728E"/>
    <w:rsid w:val="00867768"/>
    <w:rsid w:val="00870F26"/>
    <w:rsid w:val="0087142E"/>
    <w:rsid w:val="008715CF"/>
    <w:rsid w:val="008729C4"/>
    <w:rsid w:val="00872BB3"/>
    <w:rsid w:val="00873123"/>
    <w:rsid w:val="00875757"/>
    <w:rsid w:val="008765DC"/>
    <w:rsid w:val="00876AA0"/>
    <w:rsid w:val="0087780D"/>
    <w:rsid w:val="0088064C"/>
    <w:rsid w:val="00880C10"/>
    <w:rsid w:val="00880F0C"/>
    <w:rsid w:val="0088121A"/>
    <w:rsid w:val="008816CB"/>
    <w:rsid w:val="00881872"/>
    <w:rsid w:val="008818D2"/>
    <w:rsid w:val="00881BD7"/>
    <w:rsid w:val="008820C5"/>
    <w:rsid w:val="00882304"/>
    <w:rsid w:val="00882E2D"/>
    <w:rsid w:val="008840DF"/>
    <w:rsid w:val="008842B5"/>
    <w:rsid w:val="00884BFB"/>
    <w:rsid w:val="0088606A"/>
    <w:rsid w:val="008860A3"/>
    <w:rsid w:val="00886172"/>
    <w:rsid w:val="00886911"/>
    <w:rsid w:val="00886EDD"/>
    <w:rsid w:val="00886F71"/>
    <w:rsid w:val="0088753C"/>
    <w:rsid w:val="00887AFA"/>
    <w:rsid w:val="00887D3B"/>
    <w:rsid w:val="00890AFE"/>
    <w:rsid w:val="00890BEE"/>
    <w:rsid w:val="0089133A"/>
    <w:rsid w:val="00891520"/>
    <w:rsid w:val="00893781"/>
    <w:rsid w:val="008947CD"/>
    <w:rsid w:val="00894FB0"/>
    <w:rsid w:val="00895479"/>
    <w:rsid w:val="008959A6"/>
    <w:rsid w:val="008961FD"/>
    <w:rsid w:val="008976C9"/>
    <w:rsid w:val="008A21A4"/>
    <w:rsid w:val="008A3745"/>
    <w:rsid w:val="008A45B6"/>
    <w:rsid w:val="008A49A5"/>
    <w:rsid w:val="008A539A"/>
    <w:rsid w:val="008A584B"/>
    <w:rsid w:val="008A5D66"/>
    <w:rsid w:val="008A76CB"/>
    <w:rsid w:val="008A7F5D"/>
    <w:rsid w:val="008B063C"/>
    <w:rsid w:val="008B07EA"/>
    <w:rsid w:val="008B10E7"/>
    <w:rsid w:val="008B1298"/>
    <w:rsid w:val="008B1429"/>
    <w:rsid w:val="008B15B7"/>
    <w:rsid w:val="008B182C"/>
    <w:rsid w:val="008B1916"/>
    <w:rsid w:val="008B3514"/>
    <w:rsid w:val="008B3A1E"/>
    <w:rsid w:val="008B3E53"/>
    <w:rsid w:val="008B3F4A"/>
    <w:rsid w:val="008B45EE"/>
    <w:rsid w:val="008B5229"/>
    <w:rsid w:val="008B54A7"/>
    <w:rsid w:val="008B5F8D"/>
    <w:rsid w:val="008B689C"/>
    <w:rsid w:val="008B7286"/>
    <w:rsid w:val="008B7533"/>
    <w:rsid w:val="008B7B63"/>
    <w:rsid w:val="008C0311"/>
    <w:rsid w:val="008C1D8A"/>
    <w:rsid w:val="008C2556"/>
    <w:rsid w:val="008C27FD"/>
    <w:rsid w:val="008C3C8B"/>
    <w:rsid w:val="008C3E8C"/>
    <w:rsid w:val="008C3EAB"/>
    <w:rsid w:val="008C445B"/>
    <w:rsid w:val="008C4D86"/>
    <w:rsid w:val="008C52DC"/>
    <w:rsid w:val="008C5690"/>
    <w:rsid w:val="008C669D"/>
    <w:rsid w:val="008C6B4D"/>
    <w:rsid w:val="008C7159"/>
    <w:rsid w:val="008C7E54"/>
    <w:rsid w:val="008C7F2E"/>
    <w:rsid w:val="008D0A39"/>
    <w:rsid w:val="008D0C49"/>
    <w:rsid w:val="008D2D08"/>
    <w:rsid w:val="008D35BD"/>
    <w:rsid w:val="008D4207"/>
    <w:rsid w:val="008D4365"/>
    <w:rsid w:val="008D4FF4"/>
    <w:rsid w:val="008D56BC"/>
    <w:rsid w:val="008D64AB"/>
    <w:rsid w:val="008D66FB"/>
    <w:rsid w:val="008D6EBF"/>
    <w:rsid w:val="008E0E5E"/>
    <w:rsid w:val="008E0F6B"/>
    <w:rsid w:val="008E153E"/>
    <w:rsid w:val="008E177E"/>
    <w:rsid w:val="008E1F42"/>
    <w:rsid w:val="008E2499"/>
    <w:rsid w:val="008E26A5"/>
    <w:rsid w:val="008E3811"/>
    <w:rsid w:val="008E3B31"/>
    <w:rsid w:val="008E3D14"/>
    <w:rsid w:val="008E3EEE"/>
    <w:rsid w:val="008E4AD9"/>
    <w:rsid w:val="008E4E01"/>
    <w:rsid w:val="008E652D"/>
    <w:rsid w:val="008E7358"/>
    <w:rsid w:val="008E7B6F"/>
    <w:rsid w:val="008F06F7"/>
    <w:rsid w:val="008F0E2E"/>
    <w:rsid w:val="008F1B0B"/>
    <w:rsid w:val="008F1C4A"/>
    <w:rsid w:val="008F2EBE"/>
    <w:rsid w:val="008F3451"/>
    <w:rsid w:val="008F3F3D"/>
    <w:rsid w:val="00900FE9"/>
    <w:rsid w:val="00903BFC"/>
    <w:rsid w:val="009040D9"/>
    <w:rsid w:val="00904B1F"/>
    <w:rsid w:val="00905488"/>
    <w:rsid w:val="0090621B"/>
    <w:rsid w:val="00906B63"/>
    <w:rsid w:val="009100A4"/>
    <w:rsid w:val="0091023A"/>
    <w:rsid w:val="00911C11"/>
    <w:rsid w:val="00912D68"/>
    <w:rsid w:val="009133EA"/>
    <w:rsid w:val="009138DC"/>
    <w:rsid w:val="00913C29"/>
    <w:rsid w:val="009149A0"/>
    <w:rsid w:val="0091552F"/>
    <w:rsid w:val="00915F30"/>
    <w:rsid w:val="009165CF"/>
    <w:rsid w:val="009167C1"/>
    <w:rsid w:val="00916C0B"/>
    <w:rsid w:val="00916F91"/>
    <w:rsid w:val="009175D9"/>
    <w:rsid w:val="00920B1D"/>
    <w:rsid w:val="00922397"/>
    <w:rsid w:val="0092354C"/>
    <w:rsid w:val="00925273"/>
    <w:rsid w:val="009270DF"/>
    <w:rsid w:val="00927548"/>
    <w:rsid w:val="00931066"/>
    <w:rsid w:val="009322B8"/>
    <w:rsid w:val="00932457"/>
    <w:rsid w:val="00932D82"/>
    <w:rsid w:val="00932E58"/>
    <w:rsid w:val="00932FDA"/>
    <w:rsid w:val="00933AB8"/>
    <w:rsid w:val="0093407C"/>
    <w:rsid w:val="00934355"/>
    <w:rsid w:val="00934677"/>
    <w:rsid w:val="00934AD6"/>
    <w:rsid w:val="009353F3"/>
    <w:rsid w:val="0093599C"/>
    <w:rsid w:val="00937325"/>
    <w:rsid w:val="009374DA"/>
    <w:rsid w:val="009406C4"/>
    <w:rsid w:val="00940CD2"/>
    <w:rsid w:val="009427D7"/>
    <w:rsid w:val="0094295E"/>
    <w:rsid w:val="00942BCA"/>
    <w:rsid w:val="00942E22"/>
    <w:rsid w:val="00943A01"/>
    <w:rsid w:val="0094463F"/>
    <w:rsid w:val="00945792"/>
    <w:rsid w:val="009465BE"/>
    <w:rsid w:val="009468BB"/>
    <w:rsid w:val="009479F4"/>
    <w:rsid w:val="00951282"/>
    <w:rsid w:val="009512B5"/>
    <w:rsid w:val="0095261D"/>
    <w:rsid w:val="00952669"/>
    <w:rsid w:val="00955926"/>
    <w:rsid w:val="00955E87"/>
    <w:rsid w:val="00955F2A"/>
    <w:rsid w:val="00956052"/>
    <w:rsid w:val="00957261"/>
    <w:rsid w:val="0095742D"/>
    <w:rsid w:val="00960422"/>
    <w:rsid w:val="0096053B"/>
    <w:rsid w:val="00960D88"/>
    <w:rsid w:val="00960F8A"/>
    <w:rsid w:val="0096114A"/>
    <w:rsid w:val="00961305"/>
    <w:rsid w:val="009617A4"/>
    <w:rsid w:val="00961B18"/>
    <w:rsid w:val="009624CE"/>
    <w:rsid w:val="0096330A"/>
    <w:rsid w:val="009634F8"/>
    <w:rsid w:val="009639FA"/>
    <w:rsid w:val="00963D90"/>
    <w:rsid w:val="009647B0"/>
    <w:rsid w:val="009649D5"/>
    <w:rsid w:val="00964C72"/>
    <w:rsid w:val="00964D8D"/>
    <w:rsid w:val="0096530F"/>
    <w:rsid w:val="009656A7"/>
    <w:rsid w:val="0096579B"/>
    <w:rsid w:val="009657BB"/>
    <w:rsid w:val="00965995"/>
    <w:rsid w:val="00965B3A"/>
    <w:rsid w:val="00965DD5"/>
    <w:rsid w:val="0096720E"/>
    <w:rsid w:val="00970348"/>
    <w:rsid w:val="00972944"/>
    <w:rsid w:val="00972B04"/>
    <w:rsid w:val="009730FD"/>
    <w:rsid w:val="00974448"/>
    <w:rsid w:val="00975692"/>
    <w:rsid w:val="00975BB5"/>
    <w:rsid w:val="00976A5E"/>
    <w:rsid w:val="00977638"/>
    <w:rsid w:val="00977DF3"/>
    <w:rsid w:val="0098108F"/>
    <w:rsid w:val="0098140E"/>
    <w:rsid w:val="009827F5"/>
    <w:rsid w:val="00983B2E"/>
    <w:rsid w:val="009844AD"/>
    <w:rsid w:val="00984A8B"/>
    <w:rsid w:val="00985222"/>
    <w:rsid w:val="00985BEC"/>
    <w:rsid w:val="00985D50"/>
    <w:rsid w:val="009866AC"/>
    <w:rsid w:val="00986790"/>
    <w:rsid w:val="00987347"/>
    <w:rsid w:val="00987D45"/>
    <w:rsid w:val="009909FB"/>
    <w:rsid w:val="009910CC"/>
    <w:rsid w:val="009910F8"/>
    <w:rsid w:val="009913AB"/>
    <w:rsid w:val="00992A4D"/>
    <w:rsid w:val="00993225"/>
    <w:rsid w:val="009957CB"/>
    <w:rsid w:val="00996B1B"/>
    <w:rsid w:val="00997258"/>
    <w:rsid w:val="009A0366"/>
    <w:rsid w:val="009A0444"/>
    <w:rsid w:val="009A047F"/>
    <w:rsid w:val="009A09CC"/>
    <w:rsid w:val="009A1985"/>
    <w:rsid w:val="009A1A62"/>
    <w:rsid w:val="009A27E5"/>
    <w:rsid w:val="009A2BD4"/>
    <w:rsid w:val="009A2C6B"/>
    <w:rsid w:val="009A404C"/>
    <w:rsid w:val="009A43A8"/>
    <w:rsid w:val="009A48D9"/>
    <w:rsid w:val="009A50AF"/>
    <w:rsid w:val="009A79B6"/>
    <w:rsid w:val="009B17A3"/>
    <w:rsid w:val="009B1E0C"/>
    <w:rsid w:val="009B23BA"/>
    <w:rsid w:val="009B24DC"/>
    <w:rsid w:val="009B3EF7"/>
    <w:rsid w:val="009B4A76"/>
    <w:rsid w:val="009B4B81"/>
    <w:rsid w:val="009B513C"/>
    <w:rsid w:val="009B5D1B"/>
    <w:rsid w:val="009C22D1"/>
    <w:rsid w:val="009C3B2E"/>
    <w:rsid w:val="009C3DC7"/>
    <w:rsid w:val="009C4222"/>
    <w:rsid w:val="009C49EA"/>
    <w:rsid w:val="009C5CE1"/>
    <w:rsid w:val="009C6524"/>
    <w:rsid w:val="009C6B0D"/>
    <w:rsid w:val="009C7FA2"/>
    <w:rsid w:val="009D2252"/>
    <w:rsid w:val="009D2E64"/>
    <w:rsid w:val="009D328C"/>
    <w:rsid w:val="009D3373"/>
    <w:rsid w:val="009D37EA"/>
    <w:rsid w:val="009D389E"/>
    <w:rsid w:val="009D391F"/>
    <w:rsid w:val="009D420C"/>
    <w:rsid w:val="009D5191"/>
    <w:rsid w:val="009D5C1F"/>
    <w:rsid w:val="009D5C6B"/>
    <w:rsid w:val="009D64D2"/>
    <w:rsid w:val="009D6844"/>
    <w:rsid w:val="009D6CA9"/>
    <w:rsid w:val="009E05F6"/>
    <w:rsid w:val="009E06A5"/>
    <w:rsid w:val="009E1326"/>
    <w:rsid w:val="009E296C"/>
    <w:rsid w:val="009E4336"/>
    <w:rsid w:val="009E43DF"/>
    <w:rsid w:val="009E59CD"/>
    <w:rsid w:val="009E5DC4"/>
    <w:rsid w:val="009E6190"/>
    <w:rsid w:val="009E6541"/>
    <w:rsid w:val="009E6D6B"/>
    <w:rsid w:val="009F0AD1"/>
    <w:rsid w:val="009F0E8C"/>
    <w:rsid w:val="009F2641"/>
    <w:rsid w:val="009F2F3E"/>
    <w:rsid w:val="009F3686"/>
    <w:rsid w:val="009F3910"/>
    <w:rsid w:val="009F61EE"/>
    <w:rsid w:val="009F66ED"/>
    <w:rsid w:val="009F6979"/>
    <w:rsid w:val="009F6E64"/>
    <w:rsid w:val="00A00ECF"/>
    <w:rsid w:val="00A01CB3"/>
    <w:rsid w:val="00A021B5"/>
    <w:rsid w:val="00A02C71"/>
    <w:rsid w:val="00A037BF"/>
    <w:rsid w:val="00A03FD5"/>
    <w:rsid w:val="00A044B5"/>
    <w:rsid w:val="00A04873"/>
    <w:rsid w:val="00A04977"/>
    <w:rsid w:val="00A04C14"/>
    <w:rsid w:val="00A050BC"/>
    <w:rsid w:val="00A058DA"/>
    <w:rsid w:val="00A059C9"/>
    <w:rsid w:val="00A06281"/>
    <w:rsid w:val="00A06F57"/>
    <w:rsid w:val="00A07D9A"/>
    <w:rsid w:val="00A106FB"/>
    <w:rsid w:val="00A114C5"/>
    <w:rsid w:val="00A124DF"/>
    <w:rsid w:val="00A12CE6"/>
    <w:rsid w:val="00A134F7"/>
    <w:rsid w:val="00A13860"/>
    <w:rsid w:val="00A14554"/>
    <w:rsid w:val="00A14D97"/>
    <w:rsid w:val="00A15242"/>
    <w:rsid w:val="00A162D5"/>
    <w:rsid w:val="00A169AB"/>
    <w:rsid w:val="00A179DF"/>
    <w:rsid w:val="00A17CD2"/>
    <w:rsid w:val="00A21585"/>
    <w:rsid w:val="00A225E1"/>
    <w:rsid w:val="00A22C3C"/>
    <w:rsid w:val="00A2332D"/>
    <w:rsid w:val="00A24041"/>
    <w:rsid w:val="00A24253"/>
    <w:rsid w:val="00A25F4B"/>
    <w:rsid w:val="00A26106"/>
    <w:rsid w:val="00A26534"/>
    <w:rsid w:val="00A314DB"/>
    <w:rsid w:val="00A342E4"/>
    <w:rsid w:val="00A3485B"/>
    <w:rsid w:val="00A34C66"/>
    <w:rsid w:val="00A35DB7"/>
    <w:rsid w:val="00A36F0B"/>
    <w:rsid w:val="00A37783"/>
    <w:rsid w:val="00A37932"/>
    <w:rsid w:val="00A37A13"/>
    <w:rsid w:val="00A40046"/>
    <w:rsid w:val="00A41BE3"/>
    <w:rsid w:val="00A423E6"/>
    <w:rsid w:val="00A4271B"/>
    <w:rsid w:val="00A428C9"/>
    <w:rsid w:val="00A43EC4"/>
    <w:rsid w:val="00A448AB"/>
    <w:rsid w:val="00A44AF7"/>
    <w:rsid w:val="00A45537"/>
    <w:rsid w:val="00A456B7"/>
    <w:rsid w:val="00A457B3"/>
    <w:rsid w:val="00A45A0F"/>
    <w:rsid w:val="00A46FE0"/>
    <w:rsid w:val="00A4732D"/>
    <w:rsid w:val="00A47714"/>
    <w:rsid w:val="00A47754"/>
    <w:rsid w:val="00A4799C"/>
    <w:rsid w:val="00A47CF8"/>
    <w:rsid w:val="00A47D3E"/>
    <w:rsid w:val="00A5013B"/>
    <w:rsid w:val="00A50AAF"/>
    <w:rsid w:val="00A51FFC"/>
    <w:rsid w:val="00A525D2"/>
    <w:rsid w:val="00A53EDA"/>
    <w:rsid w:val="00A548D4"/>
    <w:rsid w:val="00A5512D"/>
    <w:rsid w:val="00A55581"/>
    <w:rsid w:val="00A556D5"/>
    <w:rsid w:val="00A57578"/>
    <w:rsid w:val="00A575C5"/>
    <w:rsid w:val="00A578EC"/>
    <w:rsid w:val="00A578FB"/>
    <w:rsid w:val="00A57A0C"/>
    <w:rsid w:val="00A603F0"/>
    <w:rsid w:val="00A6087D"/>
    <w:rsid w:val="00A60F2C"/>
    <w:rsid w:val="00A613B9"/>
    <w:rsid w:val="00A61AFF"/>
    <w:rsid w:val="00A61ED4"/>
    <w:rsid w:val="00A646DF"/>
    <w:rsid w:val="00A6492A"/>
    <w:rsid w:val="00A655CE"/>
    <w:rsid w:val="00A65EF0"/>
    <w:rsid w:val="00A66D17"/>
    <w:rsid w:val="00A66E8D"/>
    <w:rsid w:val="00A66EDE"/>
    <w:rsid w:val="00A677C0"/>
    <w:rsid w:val="00A70E20"/>
    <w:rsid w:val="00A71D97"/>
    <w:rsid w:val="00A721DF"/>
    <w:rsid w:val="00A7221E"/>
    <w:rsid w:val="00A725CF"/>
    <w:rsid w:val="00A72F2D"/>
    <w:rsid w:val="00A736BE"/>
    <w:rsid w:val="00A737DF"/>
    <w:rsid w:val="00A742CC"/>
    <w:rsid w:val="00A75BB0"/>
    <w:rsid w:val="00A75FC5"/>
    <w:rsid w:val="00A766C1"/>
    <w:rsid w:val="00A76A6E"/>
    <w:rsid w:val="00A76BF2"/>
    <w:rsid w:val="00A76E36"/>
    <w:rsid w:val="00A77D5B"/>
    <w:rsid w:val="00A80EDB"/>
    <w:rsid w:val="00A810B7"/>
    <w:rsid w:val="00A81B1E"/>
    <w:rsid w:val="00A837AD"/>
    <w:rsid w:val="00A83EE0"/>
    <w:rsid w:val="00A844B4"/>
    <w:rsid w:val="00A847D5"/>
    <w:rsid w:val="00A85150"/>
    <w:rsid w:val="00A85520"/>
    <w:rsid w:val="00A865EC"/>
    <w:rsid w:val="00A87788"/>
    <w:rsid w:val="00A9040A"/>
    <w:rsid w:val="00A91671"/>
    <w:rsid w:val="00A922D3"/>
    <w:rsid w:val="00A92360"/>
    <w:rsid w:val="00A933D0"/>
    <w:rsid w:val="00A93439"/>
    <w:rsid w:val="00A937B2"/>
    <w:rsid w:val="00A93963"/>
    <w:rsid w:val="00A94103"/>
    <w:rsid w:val="00A94640"/>
    <w:rsid w:val="00A9505D"/>
    <w:rsid w:val="00A950B7"/>
    <w:rsid w:val="00A96867"/>
    <w:rsid w:val="00AA027A"/>
    <w:rsid w:val="00AA0FF1"/>
    <w:rsid w:val="00AA179F"/>
    <w:rsid w:val="00AA2466"/>
    <w:rsid w:val="00AA25C1"/>
    <w:rsid w:val="00AA34AA"/>
    <w:rsid w:val="00AA387C"/>
    <w:rsid w:val="00AA3CF7"/>
    <w:rsid w:val="00AA453B"/>
    <w:rsid w:val="00AA507A"/>
    <w:rsid w:val="00AA50AE"/>
    <w:rsid w:val="00AA6491"/>
    <w:rsid w:val="00AA684A"/>
    <w:rsid w:val="00AA6D5E"/>
    <w:rsid w:val="00AA727C"/>
    <w:rsid w:val="00AA7752"/>
    <w:rsid w:val="00AB04D3"/>
    <w:rsid w:val="00AB1D41"/>
    <w:rsid w:val="00AB22E0"/>
    <w:rsid w:val="00AB2F6B"/>
    <w:rsid w:val="00AB30A8"/>
    <w:rsid w:val="00AB3867"/>
    <w:rsid w:val="00AB3F64"/>
    <w:rsid w:val="00AB4685"/>
    <w:rsid w:val="00AB6985"/>
    <w:rsid w:val="00AB7B58"/>
    <w:rsid w:val="00AB7F80"/>
    <w:rsid w:val="00AC0274"/>
    <w:rsid w:val="00AC03B0"/>
    <w:rsid w:val="00AC0983"/>
    <w:rsid w:val="00AC0C17"/>
    <w:rsid w:val="00AC1C05"/>
    <w:rsid w:val="00AC26A7"/>
    <w:rsid w:val="00AC2F9B"/>
    <w:rsid w:val="00AC37FB"/>
    <w:rsid w:val="00AC3882"/>
    <w:rsid w:val="00AC3BB4"/>
    <w:rsid w:val="00AC5402"/>
    <w:rsid w:val="00AC54A7"/>
    <w:rsid w:val="00AC5B41"/>
    <w:rsid w:val="00AC5D87"/>
    <w:rsid w:val="00AC5E1E"/>
    <w:rsid w:val="00AC75DE"/>
    <w:rsid w:val="00AD05F8"/>
    <w:rsid w:val="00AD0B1F"/>
    <w:rsid w:val="00AD1B42"/>
    <w:rsid w:val="00AD27E3"/>
    <w:rsid w:val="00AD2AAF"/>
    <w:rsid w:val="00AD332C"/>
    <w:rsid w:val="00AD44CB"/>
    <w:rsid w:val="00AD47B2"/>
    <w:rsid w:val="00AD4B3C"/>
    <w:rsid w:val="00AD5761"/>
    <w:rsid w:val="00AD6EF7"/>
    <w:rsid w:val="00AD738C"/>
    <w:rsid w:val="00AD7499"/>
    <w:rsid w:val="00AD79D9"/>
    <w:rsid w:val="00AD7F74"/>
    <w:rsid w:val="00AE1A76"/>
    <w:rsid w:val="00AE219A"/>
    <w:rsid w:val="00AE2337"/>
    <w:rsid w:val="00AE25B3"/>
    <w:rsid w:val="00AE4390"/>
    <w:rsid w:val="00AE4BB2"/>
    <w:rsid w:val="00AE4F96"/>
    <w:rsid w:val="00AE5D19"/>
    <w:rsid w:val="00AE63DF"/>
    <w:rsid w:val="00AF1261"/>
    <w:rsid w:val="00AF1AFE"/>
    <w:rsid w:val="00AF200B"/>
    <w:rsid w:val="00AF2302"/>
    <w:rsid w:val="00AF2428"/>
    <w:rsid w:val="00AF2909"/>
    <w:rsid w:val="00AF2AE8"/>
    <w:rsid w:val="00AF5B95"/>
    <w:rsid w:val="00AF6906"/>
    <w:rsid w:val="00AF6908"/>
    <w:rsid w:val="00AF6A22"/>
    <w:rsid w:val="00AF7F4B"/>
    <w:rsid w:val="00B00277"/>
    <w:rsid w:val="00B00D01"/>
    <w:rsid w:val="00B01249"/>
    <w:rsid w:val="00B012A9"/>
    <w:rsid w:val="00B05093"/>
    <w:rsid w:val="00B05C2E"/>
    <w:rsid w:val="00B05CB9"/>
    <w:rsid w:val="00B067CD"/>
    <w:rsid w:val="00B06DD2"/>
    <w:rsid w:val="00B07156"/>
    <w:rsid w:val="00B077BE"/>
    <w:rsid w:val="00B07AFA"/>
    <w:rsid w:val="00B07D5C"/>
    <w:rsid w:val="00B109F4"/>
    <w:rsid w:val="00B12E69"/>
    <w:rsid w:val="00B1357D"/>
    <w:rsid w:val="00B139CE"/>
    <w:rsid w:val="00B13A30"/>
    <w:rsid w:val="00B13C44"/>
    <w:rsid w:val="00B147C1"/>
    <w:rsid w:val="00B1551F"/>
    <w:rsid w:val="00B15EA0"/>
    <w:rsid w:val="00B16425"/>
    <w:rsid w:val="00B16E5C"/>
    <w:rsid w:val="00B20BB6"/>
    <w:rsid w:val="00B20C87"/>
    <w:rsid w:val="00B21C39"/>
    <w:rsid w:val="00B21D29"/>
    <w:rsid w:val="00B21E64"/>
    <w:rsid w:val="00B226BA"/>
    <w:rsid w:val="00B227EE"/>
    <w:rsid w:val="00B2469B"/>
    <w:rsid w:val="00B2586C"/>
    <w:rsid w:val="00B259E1"/>
    <w:rsid w:val="00B25CBB"/>
    <w:rsid w:val="00B26200"/>
    <w:rsid w:val="00B26204"/>
    <w:rsid w:val="00B26520"/>
    <w:rsid w:val="00B26657"/>
    <w:rsid w:val="00B301F9"/>
    <w:rsid w:val="00B307CA"/>
    <w:rsid w:val="00B30AFF"/>
    <w:rsid w:val="00B30B83"/>
    <w:rsid w:val="00B31145"/>
    <w:rsid w:val="00B31F0D"/>
    <w:rsid w:val="00B327DE"/>
    <w:rsid w:val="00B32AC9"/>
    <w:rsid w:val="00B32F23"/>
    <w:rsid w:val="00B34579"/>
    <w:rsid w:val="00B34685"/>
    <w:rsid w:val="00B348CE"/>
    <w:rsid w:val="00B35495"/>
    <w:rsid w:val="00B359CE"/>
    <w:rsid w:val="00B35E2A"/>
    <w:rsid w:val="00B36294"/>
    <w:rsid w:val="00B36B99"/>
    <w:rsid w:val="00B37AE7"/>
    <w:rsid w:val="00B37FA9"/>
    <w:rsid w:val="00B404DE"/>
    <w:rsid w:val="00B41227"/>
    <w:rsid w:val="00B41B6B"/>
    <w:rsid w:val="00B42519"/>
    <w:rsid w:val="00B4299E"/>
    <w:rsid w:val="00B43911"/>
    <w:rsid w:val="00B44DD9"/>
    <w:rsid w:val="00B44DF2"/>
    <w:rsid w:val="00B5034C"/>
    <w:rsid w:val="00B50ED6"/>
    <w:rsid w:val="00B5156E"/>
    <w:rsid w:val="00B515B2"/>
    <w:rsid w:val="00B51FE2"/>
    <w:rsid w:val="00B538D6"/>
    <w:rsid w:val="00B53EE4"/>
    <w:rsid w:val="00B5427B"/>
    <w:rsid w:val="00B55114"/>
    <w:rsid w:val="00B56A7B"/>
    <w:rsid w:val="00B572BF"/>
    <w:rsid w:val="00B57609"/>
    <w:rsid w:val="00B57876"/>
    <w:rsid w:val="00B5798C"/>
    <w:rsid w:val="00B60AE0"/>
    <w:rsid w:val="00B62269"/>
    <w:rsid w:val="00B63317"/>
    <w:rsid w:val="00B63422"/>
    <w:rsid w:val="00B638EB"/>
    <w:rsid w:val="00B63E6B"/>
    <w:rsid w:val="00B64C53"/>
    <w:rsid w:val="00B652E1"/>
    <w:rsid w:val="00B65836"/>
    <w:rsid w:val="00B65FA1"/>
    <w:rsid w:val="00B666CA"/>
    <w:rsid w:val="00B66C53"/>
    <w:rsid w:val="00B6757C"/>
    <w:rsid w:val="00B70182"/>
    <w:rsid w:val="00B70A07"/>
    <w:rsid w:val="00B70C33"/>
    <w:rsid w:val="00B70EEB"/>
    <w:rsid w:val="00B71464"/>
    <w:rsid w:val="00B71A59"/>
    <w:rsid w:val="00B72018"/>
    <w:rsid w:val="00B72F0C"/>
    <w:rsid w:val="00B72FFD"/>
    <w:rsid w:val="00B73CFE"/>
    <w:rsid w:val="00B7455E"/>
    <w:rsid w:val="00B74BBE"/>
    <w:rsid w:val="00B75F8C"/>
    <w:rsid w:val="00B765BE"/>
    <w:rsid w:val="00B76E7C"/>
    <w:rsid w:val="00B76EB1"/>
    <w:rsid w:val="00B76F7F"/>
    <w:rsid w:val="00B771EF"/>
    <w:rsid w:val="00B80026"/>
    <w:rsid w:val="00B82213"/>
    <w:rsid w:val="00B8301A"/>
    <w:rsid w:val="00B8331D"/>
    <w:rsid w:val="00B84303"/>
    <w:rsid w:val="00B847A0"/>
    <w:rsid w:val="00B84853"/>
    <w:rsid w:val="00B85170"/>
    <w:rsid w:val="00B85570"/>
    <w:rsid w:val="00B85C06"/>
    <w:rsid w:val="00B8645F"/>
    <w:rsid w:val="00B869B8"/>
    <w:rsid w:val="00B900F3"/>
    <w:rsid w:val="00B90230"/>
    <w:rsid w:val="00B9053E"/>
    <w:rsid w:val="00B90727"/>
    <w:rsid w:val="00B9184D"/>
    <w:rsid w:val="00B9194E"/>
    <w:rsid w:val="00B9204F"/>
    <w:rsid w:val="00B935DB"/>
    <w:rsid w:val="00B93A22"/>
    <w:rsid w:val="00B94479"/>
    <w:rsid w:val="00B94C76"/>
    <w:rsid w:val="00B94E6B"/>
    <w:rsid w:val="00B94FA0"/>
    <w:rsid w:val="00B956FA"/>
    <w:rsid w:val="00B95982"/>
    <w:rsid w:val="00B96BA1"/>
    <w:rsid w:val="00B972CB"/>
    <w:rsid w:val="00B97813"/>
    <w:rsid w:val="00B978F5"/>
    <w:rsid w:val="00B97DAF"/>
    <w:rsid w:val="00B97EE1"/>
    <w:rsid w:val="00BA01A4"/>
    <w:rsid w:val="00BA0249"/>
    <w:rsid w:val="00BA02E6"/>
    <w:rsid w:val="00BA0756"/>
    <w:rsid w:val="00BA10C6"/>
    <w:rsid w:val="00BA15C2"/>
    <w:rsid w:val="00BA253E"/>
    <w:rsid w:val="00BA2B49"/>
    <w:rsid w:val="00BA3539"/>
    <w:rsid w:val="00BA4089"/>
    <w:rsid w:val="00BA4D9B"/>
    <w:rsid w:val="00BA53E8"/>
    <w:rsid w:val="00BA6157"/>
    <w:rsid w:val="00BA6957"/>
    <w:rsid w:val="00BA7F7E"/>
    <w:rsid w:val="00BB1719"/>
    <w:rsid w:val="00BB1C9C"/>
    <w:rsid w:val="00BB1E6C"/>
    <w:rsid w:val="00BB2B3D"/>
    <w:rsid w:val="00BB2EB1"/>
    <w:rsid w:val="00BB2FD1"/>
    <w:rsid w:val="00BB351E"/>
    <w:rsid w:val="00BB3D1A"/>
    <w:rsid w:val="00BB60CB"/>
    <w:rsid w:val="00BB6368"/>
    <w:rsid w:val="00BB6930"/>
    <w:rsid w:val="00BB7916"/>
    <w:rsid w:val="00BB7920"/>
    <w:rsid w:val="00BB796B"/>
    <w:rsid w:val="00BC05C0"/>
    <w:rsid w:val="00BC12E1"/>
    <w:rsid w:val="00BC14E5"/>
    <w:rsid w:val="00BC170B"/>
    <w:rsid w:val="00BC2120"/>
    <w:rsid w:val="00BC25A7"/>
    <w:rsid w:val="00BC27FD"/>
    <w:rsid w:val="00BC3614"/>
    <w:rsid w:val="00BC46F5"/>
    <w:rsid w:val="00BC4AB4"/>
    <w:rsid w:val="00BC54C6"/>
    <w:rsid w:val="00BC6563"/>
    <w:rsid w:val="00BC6DE4"/>
    <w:rsid w:val="00BC7A15"/>
    <w:rsid w:val="00BD0049"/>
    <w:rsid w:val="00BD1909"/>
    <w:rsid w:val="00BD2060"/>
    <w:rsid w:val="00BD207B"/>
    <w:rsid w:val="00BD3849"/>
    <w:rsid w:val="00BD4138"/>
    <w:rsid w:val="00BD45F8"/>
    <w:rsid w:val="00BD4B9A"/>
    <w:rsid w:val="00BD53A8"/>
    <w:rsid w:val="00BD6B9A"/>
    <w:rsid w:val="00BD710E"/>
    <w:rsid w:val="00BE027E"/>
    <w:rsid w:val="00BE0735"/>
    <w:rsid w:val="00BE1BB1"/>
    <w:rsid w:val="00BE2B5C"/>
    <w:rsid w:val="00BE3744"/>
    <w:rsid w:val="00BE37F0"/>
    <w:rsid w:val="00BE4729"/>
    <w:rsid w:val="00BE4974"/>
    <w:rsid w:val="00BE538D"/>
    <w:rsid w:val="00BE65B6"/>
    <w:rsid w:val="00BE6DEF"/>
    <w:rsid w:val="00BE765E"/>
    <w:rsid w:val="00BE7D0D"/>
    <w:rsid w:val="00BF1920"/>
    <w:rsid w:val="00BF2D35"/>
    <w:rsid w:val="00BF3890"/>
    <w:rsid w:val="00BF4253"/>
    <w:rsid w:val="00BF4934"/>
    <w:rsid w:val="00BF49A4"/>
    <w:rsid w:val="00BF5BF5"/>
    <w:rsid w:val="00BF60DF"/>
    <w:rsid w:val="00BF6EBE"/>
    <w:rsid w:val="00BF6F01"/>
    <w:rsid w:val="00BF74B4"/>
    <w:rsid w:val="00C001CF"/>
    <w:rsid w:val="00C002F0"/>
    <w:rsid w:val="00C0060E"/>
    <w:rsid w:val="00C010DD"/>
    <w:rsid w:val="00C0125F"/>
    <w:rsid w:val="00C0147B"/>
    <w:rsid w:val="00C0161F"/>
    <w:rsid w:val="00C0186B"/>
    <w:rsid w:val="00C02AB0"/>
    <w:rsid w:val="00C02BE5"/>
    <w:rsid w:val="00C0313C"/>
    <w:rsid w:val="00C03DF6"/>
    <w:rsid w:val="00C04DEF"/>
    <w:rsid w:val="00C04EDF"/>
    <w:rsid w:val="00C054DB"/>
    <w:rsid w:val="00C05F88"/>
    <w:rsid w:val="00C06536"/>
    <w:rsid w:val="00C06685"/>
    <w:rsid w:val="00C06B6A"/>
    <w:rsid w:val="00C072B2"/>
    <w:rsid w:val="00C0739A"/>
    <w:rsid w:val="00C07D11"/>
    <w:rsid w:val="00C07D3C"/>
    <w:rsid w:val="00C100BF"/>
    <w:rsid w:val="00C10425"/>
    <w:rsid w:val="00C104B7"/>
    <w:rsid w:val="00C10A2A"/>
    <w:rsid w:val="00C10CC9"/>
    <w:rsid w:val="00C10E5D"/>
    <w:rsid w:val="00C11203"/>
    <w:rsid w:val="00C118E9"/>
    <w:rsid w:val="00C1232C"/>
    <w:rsid w:val="00C12B05"/>
    <w:rsid w:val="00C12D4B"/>
    <w:rsid w:val="00C13015"/>
    <w:rsid w:val="00C13106"/>
    <w:rsid w:val="00C134EC"/>
    <w:rsid w:val="00C139A6"/>
    <w:rsid w:val="00C155A7"/>
    <w:rsid w:val="00C15CB8"/>
    <w:rsid w:val="00C16DFB"/>
    <w:rsid w:val="00C16E14"/>
    <w:rsid w:val="00C17233"/>
    <w:rsid w:val="00C17250"/>
    <w:rsid w:val="00C17BE6"/>
    <w:rsid w:val="00C20CEA"/>
    <w:rsid w:val="00C214D6"/>
    <w:rsid w:val="00C222D8"/>
    <w:rsid w:val="00C2290B"/>
    <w:rsid w:val="00C23559"/>
    <w:rsid w:val="00C243DD"/>
    <w:rsid w:val="00C25159"/>
    <w:rsid w:val="00C25BB7"/>
    <w:rsid w:val="00C26AC4"/>
    <w:rsid w:val="00C30218"/>
    <w:rsid w:val="00C30A30"/>
    <w:rsid w:val="00C3140D"/>
    <w:rsid w:val="00C31946"/>
    <w:rsid w:val="00C31E64"/>
    <w:rsid w:val="00C3242C"/>
    <w:rsid w:val="00C3254F"/>
    <w:rsid w:val="00C32F0E"/>
    <w:rsid w:val="00C345F4"/>
    <w:rsid w:val="00C34AEA"/>
    <w:rsid w:val="00C35647"/>
    <w:rsid w:val="00C3634D"/>
    <w:rsid w:val="00C36354"/>
    <w:rsid w:val="00C36553"/>
    <w:rsid w:val="00C37C9F"/>
    <w:rsid w:val="00C405CE"/>
    <w:rsid w:val="00C408C8"/>
    <w:rsid w:val="00C410BE"/>
    <w:rsid w:val="00C413BD"/>
    <w:rsid w:val="00C418BD"/>
    <w:rsid w:val="00C423C2"/>
    <w:rsid w:val="00C43026"/>
    <w:rsid w:val="00C43E0C"/>
    <w:rsid w:val="00C44460"/>
    <w:rsid w:val="00C4447F"/>
    <w:rsid w:val="00C445C0"/>
    <w:rsid w:val="00C4476F"/>
    <w:rsid w:val="00C451E1"/>
    <w:rsid w:val="00C45233"/>
    <w:rsid w:val="00C45664"/>
    <w:rsid w:val="00C45B0E"/>
    <w:rsid w:val="00C45D96"/>
    <w:rsid w:val="00C45E25"/>
    <w:rsid w:val="00C4666B"/>
    <w:rsid w:val="00C51263"/>
    <w:rsid w:val="00C5173B"/>
    <w:rsid w:val="00C5213E"/>
    <w:rsid w:val="00C522BD"/>
    <w:rsid w:val="00C5337F"/>
    <w:rsid w:val="00C53762"/>
    <w:rsid w:val="00C53A92"/>
    <w:rsid w:val="00C540E2"/>
    <w:rsid w:val="00C54709"/>
    <w:rsid w:val="00C55625"/>
    <w:rsid w:val="00C56060"/>
    <w:rsid w:val="00C56932"/>
    <w:rsid w:val="00C56A32"/>
    <w:rsid w:val="00C57E44"/>
    <w:rsid w:val="00C61770"/>
    <w:rsid w:val="00C61DFF"/>
    <w:rsid w:val="00C621CA"/>
    <w:rsid w:val="00C62C8E"/>
    <w:rsid w:val="00C62D40"/>
    <w:rsid w:val="00C6360D"/>
    <w:rsid w:val="00C63E38"/>
    <w:rsid w:val="00C659CB"/>
    <w:rsid w:val="00C65CC3"/>
    <w:rsid w:val="00C673F0"/>
    <w:rsid w:val="00C70B61"/>
    <w:rsid w:val="00C71785"/>
    <w:rsid w:val="00C7186C"/>
    <w:rsid w:val="00C71BB7"/>
    <w:rsid w:val="00C71E0F"/>
    <w:rsid w:val="00C7229D"/>
    <w:rsid w:val="00C7326E"/>
    <w:rsid w:val="00C73819"/>
    <w:rsid w:val="00C74046"/>
    <w:rsid w:val="00C74C60"/>
    <w:rsid w:val="00C74EAA"/>
    <w:rsid w:val="00C75C1F"/>
    <w:rsid w:val="00C76911"/>
    <w:rsid w:val="00C77355"/>
    <w:rsid w:val="00C77544"/>
    <w:rsid w:val="00C77C76"/>
    <w:rsid w:val="00C82A3B"/>
    <w:rsid w:val="00C8315A"/>
    <w:rsid w:val="00C83236"/>
    <w:rsid w:val="00C848C5"/>
    <w:rsid w:val="00C84D94"/>
    <w:rsid w:val="00C84E04"/>
    <w:rsid w:val="00C85200"/>
    <w:rsid w:val="00C8544C"/>
    <w:rsid w:val="00C85687"/>
    <w:rsid w:val="00C85D6F"/>
    <w:rsid w:val="00C90C4D"/>
    <w:rsid w:val="00C92945"/>
    <w:rsid w:val="00C92F61"/>
    <w:rsid w:val="00C93953"/>
    <w:rsid w:val="00C9675A"/>
    <w:rsid w:val="00C972B7"/>
    <w:rsid w:val="00C9731F"/>
    <w:rsid w:val="00CA04C2"/>
    <w:rsid w:val="00CA0E89"/>
    <w:rsid w:val="00CA120E"/>
    <w:rsid w:val="00CA138F"/>
    <w:rsid w:val="00CA42B9"/>
    <w:rsid w:val="00CA47CF"/>
    <w:rsid w:val="00CA6EA1"/>
    <w:rsid w:val="00CA73E7"/>
    <w:rsid w:val="00CA74E0"/>
    <w:rsid w:val="00CA7AAC"/>
    <w:rsid w:val="00CB02D4"/>
    <w:rsid w:val="00CB085D"/>
    <w:rsid w:val="00CB0CC1"/>
    <w:rsid w:val="00CB1B2F"/>
    <w:rsid w:val="00CB2878"/>
    <w:rsid w:val="00CB3939"/>
    <w:rsid w:val="00CB48A3"/>
    <w:rsid w:val="00CB5D16"/>
    <w:rsid w:val="00CB6314"/>
    <w:rsid w:val="00CB666D"/>
    <w:rsid w:val="00CC0D74"/>
    <w:rsid w:val="00CC1693"/>
    <w:rsid w:val="00CC1B87"/>
    <w:rsid w:val="00CC22C3"/>
    <w:rsid w:val="00CC287A"/>
    <w:rsid w:val="00CC2AAE"/>
    <w:rsid w:val="00CC433D"/>
    <w:rsid w:val="00CC4E28"/>
    <w:rsid w:val="00CC4E4C"/>
    <w:rsid w:val="00CC5258"/>
    <w:rsid w:val="00CC574E"/>
    <w:rsid w:val="00CC5872"/>
    <w:rsid w:val="00CC79DD"/>
    <w:rsid w:val="00CC7CC4"/>
    <w:rsid w:val="00CD02CA"/>
    <w:rsid w:val="00CD063E"/>
    <w:rsid w:val="00CD0C46"/>
    <w:rsid w:val="00CD0D7A"/>
    <w:rsid w:val="00CD1194"/>
    <w:rsid w:val="00CD181A"/>
    <w:rsid w:val="00CD204E"/>
    <w:rsid w:val="00CD2460"/>
    <w:rsid w:val="00CD2819"/>
    <w:rsid w:val="00CD29E4"/>
    <w:rsid w:val="00CD2C14"/>
    <w:rsid w:val="00CD4B19"/>
    <w:rsid w:val="00CD55A0"/>
    <w:rsid w:val="00CD60DA"/>
    <w:rsid w:val="00CD63B1"/>
    <w:rsid w:val="00CD6642"/>
    <w:rsid w:val="00CD6C25"/>
    <w:rsid w:val="00CD6F70"/>
    <w:rsid w:val="00CD7136"/>
    <w:rsid w:val="00CE0805"/>
    <w:rsid w:val="00CE15CA"/>
    <w:rsid w:val="00CE2506"/>
    <w:rsid w:val="00CE2F47"/>
    <w:rsid w:val="00CE2F7B"/>
    <w:rsid w:val="00CE33A2"/>
    <w:rsid w:val="00CE576F"/>
    <w:rsid w:val="00CE69A6"/>
    <w:rsid w:val="00CE6FD8"/>
    <w:rsid w:val="00CE726E"/>
    <w:rsid w:val="00CF005E"/>
    <w:rsid w:val="00CF0CC2"/>
    <w:rsid w:val="00CF1A9D"/>
    <w:rsid w:val="00CF1C2F"/>
    <w:rsid w:val="00CF1CE4"/>
    <w:rsid w:val="00CF2120"/>
    <w:rsid w:val="00CF2E85"/>
    <w:rsid w:val="00CF30AE"/>
    <w:rsid w:val="00CF3990"/>
    <w:rsid w:val="00CF4919"/>
    <w:rsid w:val="00CF5A7A"/>
    <w:rsid w:val="00CF5B38"/>
    <w:rsid w:val="00CF6B7D"/>
    <w:rsid w:val="00CF7C43"/>
    <w:rsid w:val="00D000C8"/>
    <w:rsid w:val="00D0082C"/>
    <w:rsid w:val="00D01562"/>
    <w:rsid w:val="00D01A0B"/>
    <w:rsid w:val="00D02794"/>
    <w:rsid w:val="00D02B48"/>
    <w:rsid w:val="00D04A39"/>
    <w:rsid w:val="00D04A3A"/>
    <w:rsid w:val="00D050DB"/>
    <w:rsid w:val="00D05CA4"/>
    <w:rsid w:val="00D06195"/>
    <w:rsid w:val="00D069CE"/>
    <w:rsid w:val="00D06F02"/>
    <w:rsid w:val="00D070A6"/>
    <w:rsid w:val="00D1227E"/>
    <w:rsid w:val="00D128D6"/>
    <w:rsid w:val="00D134C8"/>
    <w:rsid w:val="00D13FE4"/>
    <w:rsid w:val="00D14C3E"/>
    <w:rsid w:val="00D14D20"/>
    <w:rsid w:val="00D1502C"/>
    <w:rsid w:val="00D15527"/>
    <w:rsid w:val="00D1575B"/>
    <w:rsid w:val="00D1700D"/>
    <w:rsid w:val="00D17557"/>
    <w:rsid w:val="00D17EE1"/>
    <w:rsid w:val="00D20047"/>
    <w:rsid w:val="00D2022E"/>
    <w:rsid w:val="00D20262"/>
    <w:rsid w:val="00D20841"/>
    <w:rsid w:val="00D20D20"/>
    <w:rsid w:val="00D245C3"/>
    <w:rsid w:val="00D24C19"/>
    <w:rsid w:val="00D25B00"/>
    <w:rsid w:val="00D26177"/>
    <w:rsid w:val="00D26578"/>
    <w:rsid w:val="00D26696"/>
    <w:rsid w:val="00D27C07"/>
    <w:rsid w:val="00D30114"/>
    <w:rsid w:val="00D30117"/>
    <w:rsid w:val="00D30E56"/>
    <w:rsid w:val="00D313C6"/>
    <w:rsid w:val="00D32B1D"/>
    <w:rsid w:val="00D33E54"/>
    <w:rsid w:val="00D33E96"/>
    <w:rsid w:val="00D33F62"/>
    <w:rsid w:val="00D3440C"/>
    <w:rsid w:val="00D34F1C"/>
    <w:rsid w:val="00D35CF6"/>
    <w:rsid w:val="00D36269"/>
    <w:rsid w:val="00D37351"/>
    <w:rsid w:val="00D37F70"/>
    <w:rsid w:val="00D4029F"/>
    <w:rsid w:val="00D41371"/>
    <w:rsid w:val="00D4185C"/>
    <w:rsid w:val="00D4198E"/>
    <w:rsid w:val="00D41C72"/>
    <w:rsid w:val="00D41FCB"/>
    <w:rsid w:val="00D42255"/>
    <w:rsid w:val="00D426F3"/>
    <w:rsid w:val="00D46076"/>
    <w:rsid w:val="00D4630F"/>
    <w:rsid w:val="00D47ECF"/>
    <w:rsid w:val="00D50F10"/>
    <w:rsid w:val="00D512D9"/>
    <w:rsid w:val="00D51E89"/>
    <w:rsid w:val="00D5233D"/>
    <w:rsid w:val="00D52604"/>
    <w:rsid w:val="00D5353D"/>
    <w:rsid w:val="00D53DD8"/>
    <w:rsid w:val="00D53F0A"/>
    <w:rsid w:val="00D53FF2"/>
    <w:rsid w:val="00D54880"/>
    <w:rsid w:val="00D55226"/>
    <w:rsid w:val="00D55AC2"/>
    <w:rsid w:val="00D55BC8"/>
    <w:rsid w:val="00D55FA0"/>
    <w:rsid w:val="00D576D7"/>
    <w:rsid w:val="00D57A0A"/>
    <w:rsid w:val="00D60798"/>
    <w:rsid w:val="00D607D0"/>
    <w:rsid w:val="00D6115F"/>
    <w:rsid w:val="00D61261"/>
    <w:rsid w:val="00D614E0"/>
    <w:rsid w:val="00D620B8"/>
    <w:rsid w:val="00D623E3"/>
    <w:rsid w:val="00D643ED"/>
    <w:rsid w:val="00D646BB"/>
    <w:rsid w:val="00D66867"/>
    <w:rsid w:val="00D66A51"/>
    <w:rsid w:val="00D6741A"/>
    <w:rsid w:val="00D67734"/>
    <w:rsid w:val="00D679FA"/>
    <w:rsid w:val="00D707A1"/>
    <w:rsid w:val="00D70887"/>
    <w:rsid w:val="00D712DE"/>
    <w:rsid w:val="00D72AFE"/>
    <w:rsid w:val="00D72E87"/>
    <w:rsid w:val="00D73090"/>
    <w:rsid w:val="00D74073"/>
    <w:rsid w:val="00D74569"/>
    <w:rsid w:val="00D74612"/>
    <w:rsid w:val="00D76128"/>
    <w:rsid w:val="00D76819"/>
    <w:rsid w:val="00D7695E"/>
    <w:rsid w:val="00D7729E"/>
    <w:rsid w:val="00D772F7"/>
    <w:rsid w:val="00D77C4D"/>
    <w:rsid w:val="00D80965"/>
    <w:rsid w:val="00D80AB9"/>
    <w:rsid w:val="00D817C3"/>
    <w:rsid w:val="00D821DE"/>
    <w:rsid w:val="00D82BE5"/>
    <w:rsid w:val="00D82D09"/>
    <w:rsid w:val="00D83403"/>
    <w:rsid w:val="00D8474B"/>
    <w:rsid w:val="00D84EC3"/>
    <w:rsid w:val="00D862C8"/>
    <w:rsid w:val="00D86317"/>
    <w:rsid w:val="00D86902"/>
    <w:rsid w:val="00D875C7"/>
    <w:rsid w:val="00D879B3"/>
    <w:rsid w:val="00D900C1"/>
    <w:rsid w:val="00D91905"/>
    <w:rsid w:val="00D91919"/>
    <w:rsid w:val="00D923E3"/>
    <w:rsid w:val="00D926EE"/>
    <w:rsid w:val="00D92E7D"/>
    <w:rsid w:val="00D937B0"/>
    <w:rsid w:val="00D93B21"/>
    <w:rsid w:val="00D94EA7"/>
    <w:rsid w:val="00D952DC"/>
    <w:rsid w:val="00D95ACF"/>
    <w:rsid w:val="00D961B0"/>
    <w:rsid w:val="00D96D4C"/>
    <w:rsid w:val="00DA1E67"/>
    <w:rsid w:val="00DA20DF"/>
    <w:rsid w:val="00DA2706"/>
    <w:rsid w:val="00DA3E0E"/>
    <w:rsid w:val="00DA3F83"/>
    <w:rsid w:val="00DA40E5"/>
    <w:rsid w:val="00DA4C5B"/>
    <w:rsid w:val="00DA500D"/>
    <w:rsid w:val="00DA5782"/>
    <w:rsid w:val="00DA5A1F"/>
    <w:rsid w:val="00DB0BA1"/>
    <w:rsid w:val="00DB0EF7"/>
    <w:rsid w:val="00DB1367"/>
    <w:rsid w:val="00DB1C53"/>
    <w:rsid w:val="00DB273F"/>
    <w:rsid w:val="00DB2909"/>
    <w:rsid w:val="00DB3BBC"/>
    <w:rsid w:val="00DB49CA"/>
    <w:rsid w:val="00DB4B19"/>
    <w:rsid w:val="00DB5164"/>
    <w:rsid w:val="00DB56BB"/>
    <w:rsid w:val="00DB58A9"/>
    <w:rsid w:val="00DB6AED"/>
    <w:rsid w:val="00DB6F1A"/>
    <w:rsid w:val="00DB7173"/>
    <w:rsid w:val="00DB723A"/>
    <w:rsid w:val="00DC055C"/>
    <w:rsid w:val="00DC0BD3"/>
    <w:rsid w:val="00DC0F6A"/>
    <w:rsid w:val="00DC4AD5"/>
    <w:rsid w:val="00DC52DD"/>
    <w:rsid w:val="00DC5737"/>
    <w:rsid w:val="00DC5F76"/>
    <w:rsid w:val="00DC61DF"/>
    <w:rsid w:val="00DC6F51"/>
    <w:rsid w:val="00DC739C"/>
    <w:rsid w:val="00DC7AD6"/>
    <w:rsid w:val="00DD12A9"/>
    <w:rsid w:val="00DD2FAC"/>
    <w:rsid w:val="00DD3746"/>
    <w:rsid w:val="00DD4DEA"/>
    <w:rsid w:val="00DD50DC"/>
    <w:rsid w:val="00DD5DD9"/>
    <w:rsid w:val="00DD5EEB"/>
    <w:rsid w:val="00DD6950"/>
    <w:rsid w:val="00DD6AAD"/>
    <w:rsid w:val="00DD7A19"/>
    <w:rsid w:val="00DD7B9E"/>
    <w:rsid w:val="00DD7C23"/>
    <w:rsid w:val="00DE0FE3"/>
    <w:rsid w:val="00DE26BF"/>
    <w:rsid w:val="00DE2867"/>
    <w:rsid w:val="00DE5658"/>
    <w:rsid w:val="00DE5B18"/>
    <w:rsid w:val="00DE7C69"/>
    <w:rsid w:val="00DF1CD4"/>
    <w:rsid w:val="00DF443C"/>
    <w:rsid w:val="00DF5A63"/>
    <w:rsid w:val="00DF6691"/>
    <w:rsid w:val="00DF6B06"/>
    <w:rsid w:val="00DF7945"/>
    <w:rsid w:val="00DF7EAF"/>
    <w:rsid w:val="00E00C9C"/>
    <w:rsid w:val="00E018CC"/>
    <w:rsid w:val="00E02F99"/>
    <w:rsid w:val="00E035B2"/>
    <w:rsid w:val="00E03B4E"/>
    <w:rsid w:val="00E04D51"/>
    <w:rsid w:val="00E05114"/>
    <w:rsid w:val="00E05201"/>
    <w:rsid w:val="00E06006"/>
    <w:rsid w:val="00E074E5"/>
    <w:rsid w:val="00E11A68"/>
    <w:rsid w:val="00E12194"/>
    <w:rsid w:val="00E123F6"/>
    <w:rsid w:val="00E12912"/>
    <w:rsid w:val="00E13371"/>
    <w:rsid w:val="00E14456"/>
    <w:rsid w:val="00E16A3A"/>
    <w:rsid w:val="00E17331"/>
    <w:rsid w:val="00E1759B"/>
    <w:rsid w:val="00E177B3"/>
    <w:rsid w:val="00E20CA2"/>
    <w:rsid w:val="00E20EB4"/>
    <w:rsid w:val="00E21DA9"/>
    <w:rsid w:val="00E223CC"/>
    <w:rsid w:val="00E23B77"/>
    <w:rsid w:val="00E240BB"/>
    <w:rsid w:val="00E241B3"/>
    <w:rsid w:val="00E24E4B"/>
    <w:rsid w:val="00E2531C"/>
    <w:rsid w:val="00E25786"/>
    <w:rsid w:val="00E26F24"/>
    <w:rsid w:val="00E2799C"/>
    <w:rsid w:val="00E3108C"/>
    <w:rsid w:val="00E316BB"/>
    <w:rsid w:val="00E32609"/>
    <w:rsid w:val="00E332B2"/>
    <w:rsid w:val="00E34A1D"/>
    <w:rsid w:val="00E351CB"/>
    <w:rsid w:val="00E35963"/>
    <w:rsid w:val="00E36221"/>
    <w:rsid w:val="00E36F69"/>
    <w:rsid w:val="00E3733A"/>
    <w:rsid w:val="00E376F7"/>
    <w:rsid w:val="00E37AEE"/>
    <w:rsid w:val="00E37BDC"/>
    <w:rsid w:val="00E41939"/>
    <w:rsid w:val="00E41D87"/>
    <w:rsid w:val="00E41E2A"/>
    <w:rsid w:val="00E41E4C"/>
    <w:rsid w:val="00E429B2"/>
    <w:rsid w:val="00E43FC4"/>
    <w:rsid w:val="00E44386"/>
    <w:rsid w:val="00E448FD"/>
    <w:rsid w:val="00E449B4"/>
    <w:rsid w:val="00E45027"/>
    <w:rsid w:val="00E455FE"/>
    <w:rsid w:val="00E46133"/>
    <w:rsid w:val="00E46471"/>
    <w:rsid w:val="00E46BBD"/>
    <w:rsid w:val="00E473A7"/>
    <w:rsid w:val="00E47744"/>
    <w:rsid w:val="00E5046B"/>
    <w:rsid w:val="00E50749"/>
    <w:rsid w:val="00E516CB"/>
    <w:rsid w:val="00E52145"/>
    <w:rsid w:val="00E522A9"/>
    <w:rsid w:val="00E534C9"/>
    <w:rsid w:val="00E53B79"/>
    <w:rsid w:val="00E54D41"/>
    <w:rsid w:val="00E550B3"/>
    <w:rsid w:val="00E550CC"/>
    <w:rsid w:val="00E55D3E"/>
    <w:rsid w:val="00E560CD"/>
    <w:rsid w:val="00E56451"/>
    <w:rsid w:val="00E56CC8"/>
    <w:rsid w:val="00E56E79"/>
    <w:rsid w:val="00E57B6F"/>
    <w:rsid w:val="00E601D7"/>
    <w:rsid w:val="00E604BC"/>
    <w:rsid w:val="00E60B0D"/>
    <w:rsid w:val="00E60B7E"/>
    <w:rsid w:val="00E60B89"/>
    <w:rsid w:val="00E60C8F"/>
    <w:rsid w:val="00E61238"/>
    <w:rsid w:val="00E61FA9"/>
    <w:rsid w:val="00E620E9"/>
    <w:rsid w:val="00E62F22"/>
    <w:rsid w:val="00E631C5"/>
    <w:rsid w:val="00E632A2"/>
    <w:rsid w:val="00E6336B"/>
    <w:rsid w:val="00E635EE"/>
    <w:rsid w:val="00E63943"/>
    <w:rsid w:val="00E641BA"/>
    <w:rsid w:val="00E64E45"/>
    <w:rsid w:val="00E64E9D"/>
    <w:rsid w:val="00E6534B"/>
    <w:rsid w:val="00E658AA"/>
    <w:rsid w:val="00E6621C"/>
    <w:rsid w:val="00E6664E"/>
    <w:rsid w:val="00E6672D"/>
    <w:rsid w:val="00E6681B"/>
    <w:rsid w:val="00E67914"/>
    <w:rsid w:val="00E67ACD"/>
    <w:rsid w:val="00E70248"/>
    <w:rsid w:val="00E705C3"/>
    <w:rsid w:val="00E71D03"/>
    <w:rsid w:val="00E7255E"/>
    <w:rsid w:val="00E729CA"/>
    <w:rsid w:val="00E73C9E"/>
    <w:rsid w:val="00E745A7"/>
    <w:rsid w:val="00E74917"/>
    <w:rsid w:val="00E758EC"/>
    <w:rsid w:val="00E77B89"/>
    <w:rsid w:val="00E77BC9"/>
    <w:rsid w:val="00E81522"/>
    <w:rsid w:val="00E825EA"/>
    <w:rsid w:val="00E835D5"/>
    <w:rsid w:val="00E8403F"/>
    <w:rsid w:val="00E84146"/>
    <w:rsid w:val="00E84625"/>
    <w:rsid w:val="00E857DC"/>
    <w:rsid w:val="00E8588A"/>
    <w:rsid w:val="00E86590"/>
    <w:rsid w:val="00E90A07"/>
    <w:rsid w:val="00E9119A"/>
    <w:rsid w:val="00E91397"/>
    <w:rsid w:val="00E919F3"/>
    <w:rsid w:val="00E91FB8"/>
    <w:rsid w:val="00E91FED"/>
    <w:rsid w:val="00E928E1"/>
    <w:rsid w:val="00E934E6"/>
    <w:rsid w:val="00E93580"/>
    <w:rsid w:val="00E94638"/>
    <w:rsid w:val="00E94B6C"/>
    <w:rsid w:val="00E951E7"/>
    <w:rsid w:val="00E951E8"/>
    <w:rsid w:val="00E95278"/>
    <w:rsid w:val="00EA0AD7"/>
    <w:rsid w:val="00EA0DE9"/>
    <w:rsid w:val="00EA119C"/>
    <w:rsid w:val="00EA19F1"/>
    <w:rsid w:val="00EA1F23"/>
    <w:rsid w:val="00EA2B92"/>
    <w:rsid w:val="00EA2F7C"/>
    <w:rsid w:val="00EA3704"/>
    <w:rsid w:val="00EA4384"/>
    <w:rsid w:val="00EA4AF1"/>
    <w:rsid w:val="00EA4EE7"/>
    <w:rsid w:val="00EA60BA"/>
    <w:rsid w:val="00EA628C"/>
    <w:rsid w:val="00EA6C58"/>
    <w:rsid w:val="00EA6F81"/>
    <w:rsid w:val="00EA7B0A"/>
    <w:rsid w:val="00EB03BA"/>
    <w:rsid w:val="00EB0C76"/>
    <w:rsid w:val="00EB0E52"/>
    <w:rsid w:val="00EB1544"/>
    <w:rsid w:val="00EB177B"/>
    <w:rsid w:val="00EB1DCB"/>
    <w:rsid w:val="00EB3603"/>
    <w:rsid w:val="00EB4020"/>
    <w:rsid w:val="00EB46A3"/>
    <w:rsid w:val="00EB58AF"/>
    <w:rsid w:val="00EB664A"/>
    <w:rsid w:val="00EB6BCA"/>
    <w:rsid w:val="00EC0CF1"/>
    <w:rsid w:val="00EC1F50"/>
    <w:rsid w:val="00EC221F"/>
    <w:rsid w:val="00EC2700"/>
    <w:rsid w:val="00EC28A7"/>
    <w:rsid w:val="00EC2BB9"/>
    <w:rsid w:val="00EC41C6"/>
    <w:rsid w:val="00EC4689"/>
    <w:rsid w:val="00EC4AD4"/>
    <w:rsid w:val="00EC5573"/>
    <w:rsid w:val="00EC5869"/>
    <w:rsid w:val="00EC5D44"/>
    <w:rsid w:val="00EC69C0"/>
    <w:rsid w:val="00EC7183"/>
    <w:rsid w:val="00EC7E9F"/>
    <w:rsid w:val="00ED056B"/>
    <w:rsid w:val="00ED0783"/>
    <w:rsid w:val="00ED1AA0"/>
    <w:rsid w:val="00ED1BDE"/>
    <w:rsid w:val="00ED43DD"/>
    <w:rsid w:val="00ED53FC"/>
    <w:rsid w:val="00ED5828"/>
    <w:rsid w:val="00ED72CC"/>
    <w:rsid w:val="00ED7BE9"/>
    <w:rsid w:val="00EE21A6"/>
    <w:rsid w:val="00EE2710"/>
    <w:rsid w:val="00EE3BDC"/>
    <w:rsid w:val="00EE3E8A"/>
    <w:rsid w:val="00EE48DB"/>
    <w:rsid w:val="00EE5600"/>
    <w:rsid w:val="00EE5973"/>
    <w:rsid w:val="00EE5A33"/>
    <w:rsid w:val="00EE6015"/>
    <w:rsid w:val="00EE6532"/>
    <w:rsid w:val="00EE715F"/>
    <w:rsid w:val="00EE75BA"/>
    <w:rsid w:val="00EE783B"/>
    <w:rsid w:val="00EF069B"/>
    <w:rsid w:val="00EF2697"/>
    <w:rsid w:val="00EF39FE"/>
    <w:rsid w:val="00EF4251"/>
    <w:rsid w:val="00EF49E1"/>
    <w:rsid w:val="00EF4A38"/>
    <w:rsid w:val="00EF6F20"/>
    <w:rsid w:val="00EF7252"/>
    <w:rsid w:val="00EF7525"/>
    <w:rsid w:val="00F00347"/>
    <w:rsid w:val="00F00B90"/>
    <w:rsid w:val="00F02048"/>
    <w:rsid w:val="00F0270A"/>
    <w:rsid w:val="00F027EB"/>
    <w:rsid w:val="00F0300B"/>
    <w:rsid w:val="00F03F20"/>
    <w:rsid w:val="00F04C5F"/>
    <w:rsid w:val="00F04C90"/>
    <w:rsid w:val="00F05736"/>
    <w:rsid w:val="00F0608D"/>
    <w:rsid w:val="00F0630F"/>
    <w:rsid w:val="00F071E5"/>
    <w:rsid w:val="00F07DCC"/>
    <w:rsid w:val="00F07E93"/>
    <w:rsid w:val="00F10005"/>
    <w:rsid w:val="00F1088E"/>
    <w:rsid w:val="00F10A9F"/>
    <w:rsid w:val="00F10C1E"/>
    <w:rsid w:val="00F1227E"/>
    <w:rsid w:val="00F1253A"/>
    <w:rsid w:val="00F12D31"/>
    <w:rsid w:val="00F131C7"/>
    <w:rsid w:val="00F13341"/>
    <w:rsid w:val="00F134FB"/>
    <w:rsid w:val="00F1443A"/>
    <w:rsid w:val="00F14CF6"/>
    <w:rsid w:val="00F156B5"/>
    <w:rsid w:val="00F157D8"/>
    <w:rsid w:val="00F175A7"/>
    <w:rsid w:val="00F177C5"/>
    <w:rsid w:val="00F17A39"/>
    <w:rsid w:val="00F17B52"/>
    <w:rsid w:val="00F21029"/>
    <w:rsid w:val="00F210FF"/>
    <w:rsid w:val="00F21BDE"/>
    <w:rsid w:val="00F21FEE"/>
    <w:rsid w:val="00F22829"/>
    <w:rsid w:val="00F236C1"/>
    <w:rsid w:val="00F23947"/>
    <w:rsid w:val="00F23C8D"/>
    <w:rsid w:val="00F24554"/>
    <w:rsid w:val="00F24CC2"/>
    <w:rsid w:val="00F251BD"/>
    <w:rsid w:val="00F25383"/>
    <w:rsid w:val="00F25AAE"/>
    <w:rsid w:val="00F26A1A"/>
    <w:rsid w:val="00F26D51"/>
    <w:rsid w:val="00F30024"/>
    <w:rsid w:val="00F30438"/>
    <w:rsid w:val="00F30672"/>
    <w:rsid w:val="00F306DC"/>
    <w:rsid w:val="00F306EA"/>
    <w:rsid w:val="00F313D4"/>
    <w:rsid w:val="00F31F80"/>
    <w:rsid w:val="00F3255E"/>
    <w:rsid w:val="00F334AB"/>
    <w:rsid w:val="00F341E7"/>
    <w:rsid w:val="00F34FF6"/>
    <w:rsid w:val="00F35742"/>
    <w:rsid w:val="00F35848"/>
    <w:rsid w:val="00F35D54"/>
    <w:rsid w:val="00F36645"/>
    <w:rsid w:val="00F37869"/>
    <w:rsid w:val="00F37F33"/>
    <w:rsid w:val="00F40096"/>
    <w:rsid w:val="00F400DE"/>
    <w:rsid w:val="00F40885"/>
    <w:rsid w:val="00F40954"/>
    <w:rsid w:val="00F40CA4"/>
    <w:rsid w:val="00F41175"/>
    <w:rsid w:val="00F41590"/>
    <w:rsid w:val="00F43078"/>
    <w:rsid w:val="00F436A0"/>
    <w:rsid w:val="00F45FD4"/>
    <w:rsid w:val="00F46179"/>
    <w:rsid w:val="00F46555"/>
    <w:rsid w:val="00F46887"/>
    <w:rsid w:val="00F473B5"/>
    <w:rsid w:val="00F4752D"/>
    <w:rsid w:val="00F5057F"/>
    <w:rsid w:val="00F51703"/>
    <w:rsid w:val="00F51883"/>
    <w:rsid w:val="00F51E5C"/>
    <w:rsid w:val="00F51F30"/>
    <w:rsid w:val="00F52054"/>
    <w:rsid w:val="00F5256A"/>
    <w:rsid w:val="00F527F7"/>
    <w:rsid w:val="00F52A20"/>
    <w:rsid w:val="00F53F07"/>
    <w:rsid w:val="00F54794"/>
    <w:rsid w:val="00F54BD2"/>
    <w:rsid w:val="00F54E67"/>
    <w:rsid w:val="00F54EFA"/>
    <w:rsid w:val="00F555CD"/>
    <w:rsid w:val="00F55FD2"/>
    <w:rsid w:val="00F5628F"/>
    <w:rsid w:val="00F564E5"/>
    <w:rsid w:val="00F56D0C"/>
    <w:rsid w:val="00F57CF6"/>
    <w:rsid w:val="00F618CC"/>
    <w:rsid w:val="00F61E20"/>
    <w:rsid w:val="00F62A9F"/>
    <w:rsid w:val="00F63189"/>
    <w:rsid w:val="00F63201"/>
    <w:rsid w:val="00F642D6"/>
    <w:rsid w:val="00F6453A"/>
    <w:rsid w:val="00F645A6"/>
    <w:rsid w:val="00F64F14"/>
    <w:rsid w:val="00F64F30"/>
    <w:rsid w:val="00F6589D"/>
    <w:rsid w:val="00F659CF"/>
    <w:rsid w:val="00F65EB4"/>
    <w:rsid w:val="00F662A1"/>
    <w:rsid w:val="00F66CC4"/>
    <w:rsid w:val="00F6776F"/>
    <w:rsid w:val="00F67B0F"/>
    <w:rsid w:val="00F707F3"/>
    <w:rsid w:val="00F71141"/>
    <w:rsid w:val="00F71929"/>
    <w:rsid w:val="00F72206"/>
    <w:rsid w:val="00F73341"/>
    <w:rsid w:val="00F73A49"/>
    <w:rsid w:val="00F74D0C"/>
    <w:rsid w:val="00F75171"/>
    <w:rsid w:val="00F752BF"/>
    <w:rsid w:val="00F75F1B"/>
    <w:rsid w:val="00F76269"/>
    <w:rsid w:val="00F77F63"/>
    <w:rsid w:val="00F800B1"/>
    <w:rsid w:val="00F807C0"/>
    <w:rsid w:val="00F80D9B"/>
    <w:rsid w:val="00F80FED"/>
    <w:rsid w:val="00F810DC"/>
    <w:rsid w:val="00F82347"/>
    <w:rsid w:val="00F82A07"/>
    <w:rsid w:val="00F83D32"/>
    <w:rsid w:val="00F85625"/>
    <w:rsid w:val="00F85654"/>
    <w:rsid w:val="00F87C07"/>
    <w:rsid w:val="00F900EB"/>
    <w:rsid w:val="00F9036D"/>
    <w:rsid w:val="00F906CF"/>
    <w:rsid w:val="00F908B5"/>
    <w:rsid w:val="00F9131B"/>
    <w:rsid w:val="00F9147C"/>
    <w:rsid w:val="00F92B8E"/>
    <w:rsid w:val="00F92C18"/>
    <w:rsid w:val="00F92DDA"/>
    <w:rsid w:val="00F93681"/>
    <w:rsid w:val="00F94BA0"/>
    <w:rsid w:val="00F94DA2"/>
    <w:rsid w:val="00F95410"/>
    <w:rsid w:val="00F95D1F"/>
    <w:rsid w:val="00F95FDE"/>
    <w:rsid w:val="00F96D42"/>
    <w:rsid w:val="00F96DFF"/>
    <w:rsid w:val="00F97963"/>
    <w:rsid w:val="00F97F62"/>
    <w:rsid w:val="00FA0FEB"/>
    <w:rsid w:val="00FA1483"/>
    <w:rsid w:val="00FA280C"/>
    <w:rsid w:val="00FA2B9C"/>
    <w:rsid w:val="00FA34B6"/>
    <w:rsid w:val="00FA37FA"/>
    <w:rsid w:val="00FA44E5"/>
    <w:rsid w:val="00FA5FDA"/>
    <w:rsid w:val="00FA6E62"/>
    <w:rsid w:val="00FA7472"/>
    <w:rsid w:val="00FB00E6"/>
    <w:rsid w:val="00FB145D"/>
    <w:rsid w:val="00FB1A9E"/>
    <w:rsid w:val="00FB1CEF"/>
    <w:rsid w:val="00FB21B2"/>
    <w:rsid w:val="00FB30BF"/>
    <w:rsid w:val="00FB34D5"/>
    <w:rsid w:val="00FB3734"/>
    <w:rsid w:val="00FB4771"/>
    <w:rsid w:val="00FB48D3"/>
    <w:rsid w:val="00FB4EC9"/>
    <w:rsid w:val="00FB4F67"/>
    <w:rsid w:val="00FB4F80"/>
    <w:rsid w:val="00FB59E0"/>
    <w:rsid w:val="00FB5BDD"/>
    <w:rsid w:val="00FB5F34"/>
    <w:rsid w:val="00FB69E4"/>
    <w:rsid w:val="00FB711E"/>
    <w:rsid w:val="00FB754E"/>
    <w:rsid w:val="00FC0B73"/>
    <w:rsid w:val="00FC0F0B"/>
    <w:rsid w:val="00FC0F87"/>
    <w:rsid w:val="00FC102F"/>
    <w:rsid w:val="00FC1470"/>
    <w:rsid w:val="00FC166C"/>
    <w:rsid w:val="00FC2355"/>
    <w:rsid w:val="00FC3827"/>
    <w:rsid w:val="00FC4183"/>
    <w:rsid w:val="00FC4287"/>
    <w:rsid w:val="00FC44A5"/>
    <w:rsid w:val="00FC456D"/>
    <w:rsid w:val="00FC622B"/>
    <w:rsid w:val="00FC7BA0"/>
    <w:rsid w:val="00FC7EEF"/>
    <w:rsid w:val="00FD0673"/>
    <w:rsid w:val="00FD1401"/>
    <w:rsid w:val="00FD1530"/>
    <w:rsid w:val="00FD1686"/>
    <w:rsid w:val="00FD2A77"/>
    <w:rsid w:val="00FD3794"/>
    <w:rsid w:val="00FD387E"/>
    <w:rsid w:val="00FD4715"/>
    <w:rsid w:val="00FD48A5"/>
    <w:rsid w:val="00FD4D53"/>
    <w:rsid w:val="00FD4F6E"/>
    <w:rsid w:val="00FD5500"/>
    <w:rsid w:val="00FD58D5"/>
    <w:rsid w:val="00FD7258"/>
    <w:rsid w:val="00FE09DD"/>
    <w:rsid w:val="00FE0BA6"/>
    <w:rsid w:val="00FE131B"/>
    <w:rsid w:val="00FE1F02"/>
    <w:rsid w:val="00FE1F41"/>
    <w:rsid w:val="00FE29CB"/>
    <w:rsid w:val="00FE29FC"/>
    <w:rsid w:val="00FE5246"/>
    <w:rsid w:val="00FE5380"/>
    <w:rsid w:val="00FE6095"/>
    <w:rsid w:val="00FE6132"/>
    <w:rsid w:val="00FE6D4E"/>
    <w:rsid w:val="00FE6F4B"/>
    <w:rsid w:val="00FE7727"/>
    <w:rsid w:val="00FE7830"/>
    <w:rsid w:val="00FE7C4E"/>
    <w:rsid w:val="00FE7F0A"/>
    <w:rsid w:val="00FF1261"/>
    <w:rsid w:val="00FF12B4"/>
    <w:rsid w:val="00FF18D3"/>
    <w:rsid w:val="00FF1F28"/>
    <w:rsid w:val="00FF246B"/>
    <w:rsid w:val="00FF25BF"/>
    <w:rsid w:val="00FF34D8"/>
    <w:rsid w:val="00FF47C1"/>
    <w:rsid w:val="00FF5356"/>
    <w:rsid w:val="00FF5A99"/>
    <w:rsid w:val="00FF651C"/>
    <w:rsid w:val="00FF7706"/>
    <w:rsid w:val="00FF7868"/>
    <w:rsid w:val="00FF7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911"/>
    <w:rPr>
      <w:sz w:val="24"/>
    </w:rPr>
  </w:style>
  <w:style w:type="paragraph" w:styleId="Heading1">
    <w:name w:val="heading 1"/>
    <w:basedOn w:val="Normal"/>
    <w:next w:val="Normal"/>
    <w:link w:val="Heading1Char"/>
    <w:qFormat/>
    <w:rsid w:val="008B1429"/>
    <w:pPr>
      <w:keepNext/>
      <w:numPr>
        <w:numId w:val="21"/>
      </w:numPr>
      <w:spacing w:after="240"/>
      <w:ind w:left="720" w:hanging="720"/>
      <w:outlineLvl w:val="0"/>
    </w:pPr>
    <w:rPr>
      <w:b/>
      <w:szCs w:val="24"/>
    </w:rPr>
  </w:style>
  <w:style w:type="paragraph" w:styleId="Heading2">
    <w:name w:val="heading 2"/>
    <w:basedOn w:val="Normal"/>
    <w:next w:val="Normal"/>
    <w:link w:val="Heading2Char"/>
    <w:qFormat/>
    <w:rsid w:val="00592D12"/>
    <w:pPr>
      <w:keepNext/>
      <w:spacing w:after="240"/>
      <w:ind w:left="1440" w:hanging="720"/>
      <w:outlineLvl w:val="1"/>
    </w:pPr>
    <w:rPr>
      <w:b/>
    </w:rPr>
  </w:style>
  <w:style w:type="paragraph" w:styleId="Heading3">
    <w:name w:val="heading 3"/>
    <w:basedOn w:val="Normal"/>
    <w:next w:val="Normal"/>
    <w:link w:val="Heading3Char"/>
    <w:autoRedefine/>
    <w:qFormat/>
    <w:rsid w:val="002644BF"/>
    <w:pPr>
      <w:keepNext/>
      <w:keepLines/>
      <w:numPr>
        <w:ilvl w:val="2"/>
        <w:numId w:val="21"/>
      </w:numPr>
      <w:ind w:left="2160" w:hanging="720"/>
      <w:outlineLvl w:val="2"/>
    </w:pPr>
    <w:rPr>
      <w:b/>
      <w:bCs/>
      <w:iCs/>
    </w:rPr>
  </w:style>
  <w:style w:type="paragraph" w:styleId="Heading4">
    <w:name w:val="heading 4"/>
    <w:basedOn w:val="Normal"/>
    <w:next w:val="Normal"/>
    <w:link w:val="Heading4Char"/>
    <w:unhideWhenUsed/>
    <w:qFormat/>
    <w:rsid w:val="00547A3B"/>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47A3B"/>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547A3B"/>
    <w:pPr>
      <w:keepNext/>
      <w:keepLines/>
      <w:numPr>
        <w:ilvl w:val="5"/>
        <w:numId w:val="21"/>
      </w:numPr>
      <w:tabs>
        <w:tab w:val="num" w:pos="360"/>
      </w:tabs>
      <w:spacing w:before="40"/>
      <w:ind w:left="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547A3B"/>
    <w:pPr>
      <w:keepNext/>
      <w:keepLines/>
      <w:numPr>
        <w:ilvl w:val="6"/>
        <w:numId w:val="21"/>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547A3B"/>
    <w:pPr>
      <w:keepNext/>
      <w:keepLines/>
      <w:numPr>
        <w:ilvl w:val="7"/>
        <w:numId w:val="21"/>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47A3B"/>
    <w:pPr>
      <w:keepNext/>
      <w:keepLines/>
      <w:numPr>
        <w:ilvl w:val="8"/>
        <w:numId w:val="21"/>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Char"/>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qFormat/>
    <w:rsid w:val="009138DC"/>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uiPriority w:val="99"/>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uiPriority w:val="59"/>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aliases w:val=" Char Char,Char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8B1429"/>
    <w:rPr>
      <w:b/>
      <w:sz w:val="24"/>
      <w:szCs w:val="24"/>
    </w:rPr>
  </w:style>
  <w:style w:type="paragraph" w:styleId="TOC1">
    <w:name w:val="toc 1"/>
    <w:basedOn w:val="Normal"/>
    <w:next w:val="Normal"/>
    <w:autoRedefine/>
    <w:uiPriority w:val="39"/>
    <w:unhideWhenUsed/>
    <w:rsid w:val="00E018CC"/>
    <w:pPr>
      <w:tabs>
        <w:tab w:val="decimal" w:leader="dot" w:pos="9360"/>
      </w:tabs>
      <w:spacing w:after="240"/>
      <w:ind w:left="720" w:hanging="720"/>
    </w:pPr>
  </w:style>
  <w:style w:type="paragraph" w:styleId="TOC2">
    <w:name w:val="toc 2"/>
    <w:basedOn w:val="Normal"/>
    <w:next w:val="Normal"/>
    <w:autoRedefine/>
    <w:uiPriority w:val="39"/>
    <w:unhideWhenUsed/>
    <w:rsid w:val="00E018CC"/>
    <w:pPr>
      <w:tabs>
        <w:tab w:val="left" w:pos="2126"/>
        <w:tab w:val="decimal" w:leader="dot" w:pos="9360"/>
      </w:tabs>
      <w:spacing w:after="240"/>
      <w:ind w:left="1440" w:hanging="720"/>
    </w:p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D2C14"/>
    <w:pPr>
      <w:spacing w:after="240"/>
      <w:ind w:left="2160" w:hanging="720"/>
      <w:outlineLvl w:val="2"/>
    </w:pPr>
  </w:style>
  <w:style w:type="character" w:customStyle="1" w:styleId="UnresolvedMention3">
    <w:name w:val="Unresolved Mention3"/>
    <w:basedOn w:val="DefaultParagraphFont"/>
    <w:rsid w:val="00033389"/>
    <w:rPr>
      <w:color w:val="605E5C"/>
      <w:shd w:val="clear" w:color="auto" w:fill="E1DFDD"/>
    </w:rPr>
  </w:style>
  <w:style w:type="table" w:customStyle="1" w:styleId="TableGrid1">
    <w:name w:val="Table Grid1"/>
    <w:basedOn w:val="TableNormal"/>
    <w:next w:val="TableGrid"/>
    <w:uiPriority w:val="59"/>
    <w:rsid w:val="00FC44A5"/>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uiPriority w:val="99"/>
    <w:locked/>
    <w:rsid w:val="00DC055C"/>
  </w:style>
  <w:style w:type="character" w:styleId="Strong">
    <w:name w:val="Strong"/>
    <w:basedOn w:val="DefaultParagraphFont"/>
    <w:uiPriority w:val="22"/>
    <w:qFormat/>
    <w:rsid w:val="00711C5C"/>
    <w:rPr>
      <w:b/>
      <w:bCs/>
    </w:rPr>
  </w:style>
  <w:style w:type="paragraph" w:styleId="ListParagraph">
    <w:name w:val="List Paragraph"/>
    <w:basedOn w:val="Normal"/>
    <w:uiPriority w:val="34"/>
    <w:qFormat/>
    <w:rsid w:val="00375A86"/>
    <w:pPr>
      <w:ind w:left="720"/>
      <w:contextualSpacing/>
    </w:pPr>
    <w:rPr>
      <w:szCs w:val="24"/>
    </w:rPr>
  </w:style>
  <w:style w:type="paragraph" w:styleId="NoSpacing">
    <w:name w:val="No Spacing"/>
    <w:uiPriority w:val="1"/>
    <w:qFormat/>
    <w:rsid w:val="008C5690"/>
    <w:rPr>
      <w:rFonts w:asciiTheme="minorHAnsi" w:eastAsiaTheme="minorHAnsi" w:hAnsiTheme="minorHAnsi" w:cstheme="minorBidi"/>
      <w:sz w:val="22"/>
      <w:szCs w:val="22"/>
    </w:rPr>
  </w:style>
  <w:style w:type="paragraph" w:customStyle="1" w:styleId="DirectQuestion">
    <w:name w:val="Direct Question"/>
    <w:next w:val="Normal"/>
    <w:rsid w:val="00421C36"/>
    <w:pPr>
      <w:pBdr>
        <w:top w:val="nil"/>
        <w:left w:val="nil"/>
        <w:bottom w:val="nil"/>
        <w:right w:val="nil"/>
        <w:between w:val="nil"/>
        <w:bar w:val="nil"/>
      </w:pBdr>
      <w:tabs>
        <w:tab w:val="left" w:pos="1440"/>
      </w:tabs>
      <w:spacing w:line="480" w:lineRule="auto"/>
      <w:ind w:left="1440" w:hanging="1440"/>
    </w:pPr>
    <w:rPr>
      <w:rFonts w:eastAsia="Arial Unicode MS" w:hAnsi="Arial Unicode MS" w:cs="Arial Unicode MS"/>
      <w:b/>
      <w:bCs/>
      <w:i/>
      <w:iCs/>
      <w:caps/>
      <w:color w:val="000000"/>
      <w:sz w:val="24"/>
      <w:szCs w:val="24"/>
      <w:u w:color="000000"/>
      <w:bdr w:val="nil"/>
    </w:rPr>
  </w:style>
  <w:style w:type="paragraph" w:customStyle="1" w:styleId="DirectAnswer">
    <w:name w:val="Direct Answer"/>
    <w:next w:val="DirectNext"/>
    <w:rsid w:val="00421C36"/>
    <w:pPr>
      <w:pBdr>
        <w:top w:val="nil"/>
        <w:left w:val="nil"/>
        <w:bottom w:val="nil"/>
        <w:right w:val="nil"/>
        <w:between w:val="nil"/>
        <w:bar w:val="nil"/>
      </w:pBdr>
      <w:spacing w:line="480" w:lineRule="auto"/>
      <w:ind w:left="720" w:hanging="720"/>
    </w:pPr>
    <w:rPr>
      <w:rFonts w:eastAsia="Arial Unicode MS" w:hAnsi="Arial Unicode MS" w:cs="Arial Unicode MS"/>
      <w:color w:val="000000"/>
      <w:sz w:val="24"/>
      <w:szCs w:val="24"/>
      <w:u w:color="000000"/>
      <w:bdr w:val="nil"/>
    </w:rPr>
  </w:style>
  <w:style w:type="paragraph" w:customStyle="1" w:styleId="DirectNext">
    <w:name w:val="Direct Next"/>
    <w:rsid w:val="00421C36"/>
    <w:pPr>
      <w:pBdr>
        <w:top w:val="nil"/>
        <w:left w:val="nil"/>
        <w:bottom w:val="nil"/>
        <w:right w:val="nil"/>
        <w:between w:val="nil"/>
        <w:bar w:val="nil"/>
      </w:pBdr>
      <w:spacing w:line="504" w:lineRule="exact"/>
      <w:ind w:left="720"/>
    </w:pPr>
    <w:rPr>
      <w:rFonts w:eastAsia="Arial Unicode MS" w:hAnsi="Arial Unicode MS" w:cs="Arial Unicode MS"/>
      <w:color w:val="000000"/>
      <w:sz w:val="24"/>
      <w:szCs w:val="24"/>
      <w:u w:color="000000"/>
      <w:bdr w:val="nil"/>
    </w:rPr>
  </w:style>
  <w:style w:type="paragraph" w:customStyle="1" w:styleId="BodyA">
    <w:name w:val="Body A"/>
    <w:rsid w:val="003D0C5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sssh">
    <w:name w:val="ss_sh"/>
    <w:basedOn w:val="DefaultParagraphFont"/>
    <w:rsid w:val="0070618D"/>
  </w:style>
  <w:style w:type="character" w:customStyle="1" w:styleId="Heading4Char">
    <w:name w:val="Heading 4 Char"/>
    <w:basedOn w:val="DefaultParagraphFont"/>
    <w:link w:val="Heading4"/>
    <w:rsid w:val="00547A3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rsid w:val="00547A3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547A3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547A3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547A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47A3B"/>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rsid w:val="006B5EC6"/>
    <w:rPr>
      <w:sz w:val="24"/>
    </w:rPr>
  </w:style>
  <w:style w:type="paragraph" w:styleId="TOCHeading">
    <w:name w:val="TOC Heading"/>
    <w:basedOn w:val="Heading1"/>
    <w:next w:val="Normal"/>
    <w:uiPriority w:val="39"/>
    <w:unhideWhenUsed/>
    <w:qFormat/>
    <w:rsid w:val="00A85520"/>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character" w:customStyle="1" w:styleId="UnresolvedMention4">
    <w:name w:val="Unresolved Mention4"/>
    <w:basedOn w:val="DefaultParagraphFont"/>
    <w:rsid w:val="0013572E"/>
    <w:rPr>
      <w:color w:val="605E5C"/>
      <w:shd w:val="clear" w:color="auto" w:fill="E1DFDD"/>
    </w:rPr>
  </w:style>
  <w:style w:type="character" w:customStyle="1" w:styleId="Heading3Char">
    <w:name w:val="Heading 3 Char"/>
    <w:basedOn w:val="DefaultParagraphFont"/>
    <w:link w:val="Heading3"/>
    <w:rsid w:val="005B6625"/>
    <w:rPr>
      <w:b/>
      <w:bCs/>
      <w:iCs/>
      <w:sz w:val="24"/>
    </w:rPr>
  </w:style>
  <w:style w:type="character" w:customStyle="1" w:styleId="UnresolvedMention5">
    <w:name w:val="Unresolved Mention5"/>
    <w:basedOn w:val="DefaultParagraphFont"/>
    <w:rsid w:val="00AA7752"/>
    <w:rPr>
      <w:color w:val="605E5C"/>
      <w:shd w:val="clear" w:color="auto" w:fill="E1DFDD"/>
    </w:rPr>
  </w:style>
  <w:style w:type="paragraph" w:styleId="Revision">
    <w:name w:val="Revision"/>
    <w:hidden/>
    <w:uiPriority w:val="99"/>
    <w:semiHidden/>
    <w:rsid w:val="00437FD8"/>
    <w:rPr>
      <w:sz w:val="24"/>
    </w:rPr>
  </w:style>
  <w:style w:type="character" w:customStyle="1" w:styleId="UnresolvedMention6">
    <w:name w:val="Unresolved Mention6"/>
    <w:basedOn w:val="DefaultParagraphFont"/>
    <w:rsid w:val="00D51E89"/>
    <w:rPr>
      <w:color w:val="605E5C"/>
      <w:shd w:val="clear" w:color="auto" w:fill="E1DFDD"/>
    </w:rPr>
  </w:style>
  <w:style w:type="character" w:customStyle="1" w:styleId="Heading2Char">
    <w:name w:val="Heading 2 Char"/>
    <w:basedOn w:val="DefaultParagraphFont"/>
    <w:link w:val="Heading2"/>
    <w:rsid w:val="00592D12"/>
    <w:rPr>
      <w:b/>
      <w:sz w:val="24"/>
    </w:rPr>
  </w:style>
  <w:style w:type="character" w:customStyle="1" w:styleId="UnresolvedMention7">
    <w:name w:val="Unresolved Mention7"/>
    <w:basedOn w:val="DefaultParagraphFont"/>
    <w:rsid w:val="00AD0B1F"/>
    <w:rPr>
      <w:color w:val="605E5C"/>
      <w:shd w:val="clear" w:color="auto" w:fill="E1DFDD"/>
    </w:rPr>
  </w:style>
  <w:style w:type="paragraph" w:customStyle="1" w:styleId="pf0">
    <w:name w:val="pf0"/>
    <w:basedOn w:val="Normal"/>
    <w:rsid w:val="00D82BE5"/>
    <w:pPr>
      <w:spacing w:before="100" w:beforeAutospacing="1" w:after="100" w:afterAutospacing="1"/>
    </w:pPr>
    <w:rPr>
      <w:szCs w:val="24"/>
    </w:rPr>
  </w:style>
  <w:style w:type="character" w:customStyle="1" w:styleId="cf01">
    <w:name w:val="cf01"/>
    <w:basedOn w:val="DefaultParagraphFont"/>
    <w:rsid w:val="00D82BE5"/>
    <w:rPr>
      <w:rFonts w:ascii="Segoe UI" w:hAnsi="Segoe UI" w:cs="Segoe UI" w:hint="default"/>
      <w:sz w:val="18"/>
      <w:szCs w:val="18"/>
    </w:rPr>
  </w:style>
  <w:style w:type="character" w:customStyle="1" w:styleId="UnresolvedMention8">
    <w:name w:val="Unresolved Mention8"/>
    <w:basedOn w:val="DefaultParagraphFont"/>
    <w:rsid w:val="00701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yperlink" Target="mailto:sarah.feldkamp@ohioAGO.gov" TargetMode="External" /><Relationship Id="rId14" Type="http://schemas.openxmlformats.org/officeDocument/2006/relationships/hyperlink" Target="mailto:jodi.bair@ohioAGO.gov" TargetMode="External" /><Relationship Id="rId15" Type="http://schemas.openxmlformats.org/officeDocument/2006/relationships/hyperlink" Target="mailto:greta.see@puco.ohio.gov" TargetMode="External" /><Relationship Id="rId16" Type="http://schemas.openxmlformats.org/officeDocument/2006/relationships/hyperlink" Target="mailto:whitt@whitt-sturtevant.com" TargetMode="External" /><Relationship Id="rId17" Type="http://schemas.openxmlformats.org/officeDocument/2006/relationships/hyperlink" Target="mailto:kennedy@whitt-sturtevant.com" TargetMode="External" /><Relationship Id="rId18" Type="http://schemas.openxmlformats.org/officeDocument/2006/relationships/hyperlink" Target="mailto:andrew.j.campbell@dominionenergy.com" TargetMode="External" /><Relationship Id="rId19" Type="http://schemas.openxmlformats.org/officeDocument/2006/relationships/footer" Target="footer6.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32010-9BCA-479D-BF22-D55C2018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4288</Words>
  <Characters>24445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2022-07-01T20:52:33Z</dcterms:created>
  <dcterms:modified xsi:type="dcterms:W3CDTF">2022-07-01T20:52:33Z</dcterms:modified>
</cp:coreProperties>
</file>