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P="00B70CBC" w14:paraId="629A6AC5"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P="00B70CBC" w14:paraId="58FEFBA1"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P="00B70CBC" w14:paraId="49083730" w14:textId="77777777">
      <w:pPr>
        <w:pStyle w:val="HTMLPreformatted"/>
        <w:rPr>
          <w:rFonts w:ascii="Times New Roman" w:hAnsi="Times New Roman"/>
          <w:sz w:val="24"/>
        </w:rPr>
      </w:pPr>
    </w:p>
    <w:tbl>
      <w:tblPr>
        <w:tblW w:w="9360" w:type="dxa"/>
        <w:tblLook w:val="01E0"/>
      </w:tblPr>
      <w:tblGrid>
        <w:gridCol w:w="4567"/>
        <w:gridCol w:w="296"/>
        <w:gridCol w:w="4497"/>
      </w:tblGrid>
      <w:tr w14:paraId="11681825" w14:textId="77777777" w:rsidTr="00BE1BB7">
        <w:tblPrEx>
          <w:tblW w:w="9360" w:type="dxa"/>
          <w:tblLook w:val="01E0"/>
        </w:tblPrEx>
        <w:trPr>
          <w:trHeight w:val="807"/>
        </w:trPr>
        <w:tc>
          <w:tcPr>
            <w:tcW w:w="4569" w:type="dxa"/>
            <w:shd w:val="clear" w:color="auto" w:fill="auto"/>
          </w:tcPr>
          <w:p w:rsidR="00A044B5" w:rsidRPr="00A044B5" w:rsidP="00B70CBC" w14:paraId="5B3A1543"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Ohio Edison Company, The Cleveland Electric Illuminating Company, and The Toledo Edison Company for Approval of a Decoupling Mechanism.</w:t>
            </w:r>
          </w:p>
        </w:tc>
        <w:tc>
          <w:tcPr>
            <w:tcW w:w="291" w:type="dxa"/>
            <w:shd w:val="clear" w:color="auto" w:fill="auto"/>
          </w:tcPr>
          <w:p w:rsidR="00A044B5" w:rsidRPr="00A044B5" w:rsidP="00B70CBC" w14:paraId="5E4E8999" w14:textId="77777777">
            <w:pPr>
              <w:pStyle w:val="HTMLPreformatted"/>
              <w:rPr>
                <w:rFonts w:ascii="Times New Roman" w:hAnsi="Times New Roman"/>
                <w:sz w:val="24"/>
              </w:rPr>
            </w:pPr>
            <w:r w:rsidRPr="00A044B5">
              <w:rPr>
                <w:rFonts w:ascii="Times New Roman" w:hAnsi="Times New Roman"/>
                <w:sz w:val="24"/>
              </w:rPr>
              <w:t>)</w:t>
            </w:r>
          </w:p>
          <w:p w:rsidR="00A044B5" w:rsidRPr="00A044B5" w:rsidP="00B70CBC" w14:paraId="06019FC2" w14:textId="77777777">
            <w:pPr>
              <w:pStyle w:val="HTMLPreformatted"/>
              <w:rPr>
                <w:rFonts w:ascii="Times New Roman" w:hAnsi="Times New Roman"/>
                <w:sz w:val="24"/>
              </w:rPr>
            </w:pPr>
            <w:r w:rsidRPr="00A044B5">
              <w:rPr>
                <w:rFonts w:ascii="Times New Roman" w:hAnsi="Times New Roman"/>
                <w:sz w:val="24"/>
              </w:rPr>
              <w:t>)</w:t>
            </w:r>
          </w:p>
          <w:p w:rsidR="00A044B5" w:rsidRPr="00A044B5" w:rsidP="00B70CBC" w14:paraId="075A7B8B" w14:textId="77777777">
            <w:pPr>
              <w:pStyle w:val="HTMLPreformatted"/>
              <w:rPr>
                <w:rFonts w:ascii="Times New Roman" w:hAnsi="Times New Roman"/>
                <w:sz w:val="24"/>
              </w:rPr>
            </w:pPr>
            <w:r w:rsidRPr="00A044B5">
              <w:rPr>
                <w:rFonts w:ascii="Times New Roman" w:hAnsi="Times New Roman"/>
                <w:sz w:val="24"/>
              </w:rPr>
              <w:t>)</w:t>
            </w:r>
          </w:p>
          <w:p w:rsidR="00A044B5" w:rsidP="00B70CBC" w14:paraId="35424176" w14:textId="77777777">
            <w:pPr>
              <w:pStyle w:val="HTMLPreformatted"/>
              <w:rPr>
                <w:rFonts w:ascii="Times New Roman" w:hAnsi="Times New Roman"/>
                <w:sz w:val="24"/>
              </w:rPr>
            </w:pPr>
            <w:r w:rsidRPr="00A044B5">
              <w:rPr>
                <w:rFonts w:ascii="Times New Roman" w:hAnsi="Times New Roman"/>
                <w:sz w:val="24"/>
              </w:rPr>
              <w:t>)</w:t>
            </w:r>
          </w:p>
          <w:p w:rsidR="00D30729" w:rsidRPr="00A044B5" w:rsidP="00B70CBC" w14:paraId="49D62E06" w14:textId="77777777">
            <w:pPr>
              <w:pStyle w:val="HTMLPreformatted"/>
              <w:rPr>
                <w:rFonts w:ascii="Times New Roman" w:hAnsi="Times New Roman"/>
                <w:sz w:val="24"/>
              </w:rPr>
            </w:pPr>
            <w:r>
              <w:rPr>
                <w:rFonts w:ascii="Times New Roman" w:hAnsi="Times New Roman"/>
                <w:sz w:val="24"/>
              </w:rPr>
              <w:t>)</w:t>
            </w:r>
          </w:p>
        </w:tc>
        <w:tc>
          <w:tcPr>
            <w:tcW w:w="4500" w:type="dxa"/>
            <w:shd w:val="clear" w:color="auto" w:fill="auto"/>
          </w:tcPr>
          <w:p w:rsidR="00A044B5" w:rsidRPr="00A044B5" w:rsidP="00B70CBC" w14:paraId="38B07412" w14:textId="77777777">
            <w:pPr>
              <w:pStyle w:val="HTMLPreformatted"/>
              <w:rPr>
                <w:rFonts w:ascii="Times New Roman" w:hAnsi="Times New Roman"/>
                <w:sz w:val="24"/>
              </w:rPr>
            </w:pPr>
          </w:p>
          <w:p w:rsidR="00A044B5" w:rsidP="00B70CBC" w14:paraId="6461B2D9"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19-2080-EL-ATA</w:t>
            </w:r>
          </w:p>
          <w:p w:rsidR="00D30729" w:rsidRPr="00A044B5" w:rsidP="00B70CBC" w14:paraId="131726A5" w14:textId="77777777">
            <w:pPr>
              <w:pStyle w:val="HTMLPreformatted"/>
              <w:rPr>
                <w:rFonts w:ascii="Times New Roman" w:hAnsi="Times New Roman"/>
                <w:sz w:val="24"/>
              </w:rPr>
            </w:pPr>
            <w:r>
              <w:rPr>
                <w:rFonts w:ascii="Times New Roman" w:hAnsi="Times New Roman"/>
                <w:sz w:val="24"/>
              </w:rPr>
              <w:t>Case No. 19-2081-EL-AAM</w:t>
            </w:r>
          </w:p>
          <w:p w:rsidR="00A044B5" w:rsidRPr="00A044B5" w:rsidP="00B70CBC" w14:paraId="7A324C6C" w14:textId="77777777">
            <w:pPr>
              <w:pStyle w:val="HTMLPreformatted"/>
              <w:rPr>
                <w:rFonts w:ascii="Times New Roman" w:hAnsi="Times New Roman"/>
                <w:sz w:val="24"/>
              </w:rPr>
            </w:pPr>
          </w:p>
          <w:p w:rsidR="00A044B5" w:rsidRPr="00A044B5" w:rsidP="00B70CBC" w14:paraId="76AACC2F" w14:textId="77777777">
            <w:pPr>
              <w:pStyle w:val="HTMLPreformatted"/>
              <w:rPr>
                <w:rFonts w:ascii="Times New Roman" w:hAnsi="Times New Roman"/>
                <w:sz w:val="24"/>
              </w:rPr>
            </w:pPr>
          </w:p>
        </w:tc>
      </w:tr>
    </w:tbl>
    <w:p w:rsidR="00A044B5" w:rsidP="00B70CBC" w14:paraId="6172FAA9" w14:textId="77777777">
      <w:pPr>
        <w:pStyle w:val="HTMLPreformatted"/>
        <w:rPr>
          <w:rFonts w:ascii="Times New Roman" w:hAnsi="Times New Roman"/>
          <w:sz w:val="24"/>
        </w:rPr>
      </w:pPr>
    </w:p>
    <w:p w:rsidR="00A044B5" w:rsidP="00B70CBC" w14:paraId="13072094" w14:textId="77777777">
      <w:pPr>
        <w:pStyle w:val="HTMLPreformatted"/>
        <w:pBdr>
          <w:top w:val="single" w:sz="12" w:space="1" w:color="auto"/>
        </w:pBdr>
        <w:rPr>
          <w:rFonts w:ascii="Times New Roman" w:hAnsi="Times New Roman"/>
          <w:sz w:val="24"/>
        </w:rPr>
      </w:pPr>
    </w:p>
    <w:p w:rsidR="00A044B5" w:rsidP="00B70CBC" w14:paraId="137998EC" w14:textId="05262DE6">
      <w:pPr>
        <w:jc w:val="center"/>
        <w:rPr>
          <w:b/>
          <w:bCs/>
        </w:rPr>
      </w:pPr>
      <w:r>
        <w:rPr>
          <w:b/>
          <w:bCs/>
        </w:rPr>
        <w:t xml:space="preserve">REPLY IN SUPPORT OF </w:t>
      </w:r>
      <w:r w:rsidR="00537B94">
        <w:rPr>
          <w:b/>
          <w:bCs/>
        </w:rPr>
        <w:t>MOTION TO MODIFY COMPLIANCE TARIFFS CONSISTENT WITH COMMISSION FINDING AND ORDER</w:t>
      </w:r>
    </w:p>
    <w:p w:rsidR="00A044B5" w:rsidP="00B70CBC" w14:paraId="3AEC5054" w14:textId="77777777">
      <w:pPr>
        <w:jc w:val="center"/>
        <w:rPr>
          <w:b/>
          <w:bCs/>
        </w:rPr>
      </w:pPr>
      <w:r>
        <w:rPr>
          <w:b/>
          <w:bCs/>
        </w:rPr>
        <w:t>BY</w:t>
      </w:r>
    </w:p>
    <w:p w:rsidR="00A044B5" w:rsidP="00B70CBC" w14:paraId="16D28202" w14:textId="77777777">
      <w:pPr>
        <w:jc w:val="center"/>
        <w:rPr>
          <w:b/>
          <w:bCs/>
        </w:rPr>
      </w:pPr>
      <w:r>
        <w:rPr>
          <w:b/>
          <w:bCs/>
        </w:rPr>
        <w:t>THE OFFICE OF THE OHIO CONSUMERS’ COUNSEL</w:t>
      </w:r>
    </w:p>
    <w:p w:rsidR="00A044B5" w:rsidP="00B70CBC" w14:paraId="24D231E3" w14:textId="77777777">
      <w:pPr>
        <w:pBdr>
          <w:bottom w:val="single" w:sz="12" w:space="1" w:color="auto"/>
        </w:pBdr>
        <w:tabs>
          <w:tab w:val="left" w:pos="4320"/>
        </w:tabs>
      </w:pPr>
    </w:p>
    <w:p w:rsidR="00A044B5" w:rsidP="00B70CBC" w14:paraId="2ED09CEB" w14:textId="77777777">
      <w:pPr>
        <w:tabs>
          <w:tab w:val="left" w:pos="4320"/>
        </w:tabs>
      </w:pPr>
    </w:p>
    <w:p w:rsidR="00FB6917" w:rsidP="00E420E7" w14:paraId="0AA5EA30" w14:textId="77777777">
      <w:pPr>
        <w:pStyle w:val="BodyTextIndent3"/>
        <w:spacing w:line="480" w:lineRule="auto"/>
        <w:sectPr w:rsidSect="0049458F">
          <w:footerReference w:type="default" r:id="rId6"/>
          <w:footerReference w:type="first" r:id="rId7"/>
          <w:pgSz w:w="12240" w:h="15840"/>
          <w:pgMar w:top="1440" w:right="1440" w:bottom="1440" w:left="1440" w:header="720" w:footer="720" w:gutter="0"/>
          <w:pgNumType w:start="2"/>
          <w:cols w:space="720"/>
          <w:titlePg/>
          <w:docGrid w:linePitch="326"/>
        </w:sectPr>
      </w:pPr>
      <w:r>
        <w:t>FirstEnergy’s decoupling rider tariffs should include broad language guaranteeing customers refunds if a subsequent audit shows that customers were overcharged. But FirstEnergy wants to limit the scope of such audits to a single issue: whether charges to customers will result in “double recovery” for the utility.</w:t>
      </w:r>
      <w:r>
        <w:rPr>
          <w:rStyle w:val="FootnoteReference"/>
        </w:rPr>
        <w:footnoteReference w:id="2"/>
      </w:r>
      <w:r>
        <w:t xml:space="preserve"> The Public Utilities Commission of Ohio (“PUCO”) should not adopt FirstEnergy’s </w:t>
      </w:r>
      <w:r w:rsidR="00E01F5C">
        <w:t>narrow</w:t>
      </w:r>
      <w:r>
        <w:t xml:space="preserve"> approach, which limits necessary consumer protections.</w:t>
      </w:r>
      <w:r w:rsidR="00CF7629">
        <w:t xml:space="preserve"> Instead, the decoupling rider tariff should remove the reference to “double recovery” as follows: “The credits or charges contained in this Rider shall be updated on an annual basis, and this Rider shall be adjusted annually to reconcile any over recovery or under recovery from the prior year, with additional reconciliation based upon the result of any future audit ordered by the Commission</w:t>
      </w:r>
      <w:r w:rsidRPr="00D529A3" w:rsidR="00CF7629">
        <w:rPr>
          <w:strike/>
        </w:rPr>
        <w:t xml:space="preserve"> </w:t>
      </w:r>
      <w:r w:rsidRPr="00D529A3" w:rsidR="00CF7629">
        <w:rPr>
          <w:b/>
          <w:bCs/>
          <w:strike/>
        </w:rPr>
        <w:t>that finds this Rider will result in a double recovery</w:t>
      </w:r>
      <w:r w:rsidR="00CF7629">
        <w:t>.”</w:t>
      </w:r>
    </w:p>
    <w:p w:rsidR="0098768E" w:rsidRPr="006737AD" w:rsidP="006737AD" w14:paraId="6DA32C0A" w14:textId="4A53F715">
      <w:pPr>
        <w:pStyle w:val="BodyTextIndent3"/>
        <w:keepNext/>
        <w:keepLines/>
        <w:spacing w:after="240" w:line="240" w:lineRule="auto"/>
        <w:ind w:firstLine="0"/>
        <w:rPr>
          <w:b/>
          <w:bCs/>
        </w:rPr>
      </w:pPr>
      <w:r>
        <w:rPr>
          <w:b/>
          <w:bCs/>
        </w:rPr>
        <w:t>I.</w:t>
      </w:r>
      <w:r>
        <w:rPr>
          <w:b/>
          <w:bCs/>
        </w:rPr>
        <w:tab/>
        <w:t>REPLY</w:t>
      </w:r>
    </w:p>
    <w:p w:rsidR="0098768E" w:rsidRPr="006737AD" w:rsidP="006737AD" w14:paraId="0B780773" w14:textId="4CC2452D">
      <w:pPr>
        <w:pStyle w:val="BodyTextIndent3"/>
        <w:keepNext/>
        <w:keepLines/>
        <w:spacing w:after="240" w:line="240" w:lineRule="auto"/>
        <w:ind w:left="1440" w:hanging="720"/>
        <w:rPr>
          <w:b/>
          <w:bCs/>
        </w:rPr>
      </w:pPr>
      <w:r>
        <w:rPr>
          <w:b/>
          <w:bCs/>
        </w:rPr>
        <w:t>A.</w:t>
      </w:r>
      <w:r>
        <w:rPr>
          <w:b/>
          <w:bCs/>
        </w:rPr>
        <w:tab/>
        <w:t>The Order did not say that customers will only be entitled to a refund if charges under the decoupling rider would result in “double recovery” to the utility.</w:t>
      </w:r>
    </w:p>
    <w:p w:rsidR="006737AD" w:rsidP="00E420E7" w14:paraId="25D590F4" w14:textId="4B19B80E">
      <w:pPr>
        <w:pStyle w:val="BodyTextIndent3"/>
        <w:spacing w:line="480" w:lineRule="auto"/>
      </w:pPr>
      <w:r>
        <w:t>Although FirstEnergy accuses the Office of the Ohio Consumers’ Counsel (“OCC”) of misstating the PUCO’s Order</w:t>
      </w:r>
      <w:r>
        <w:rPr>
          <w:rStyle w:val="FootnoteReference"/>
        </w:rPr>
        <w:footnoteReference w:id="3"/>
      </w:r>
      <w:r>
        <w:t xml:space="preserve"> (with inflammatory and false claims that OCC did so “appallingly” and “recklessly”), it is in fact FirstEnergy who distorts the Order for its own benefit. It is true that paragraph 30 of the Order addresses the issue of potential double-charges to consumers under FirstEnergy’s decoupling rider and energy efficiency rider. But the critical language in this paragraph is that the refund language in the tariff is to address refunds for “</w:t>
      </w:r>
      <w:r>
        <w:rPr>
          <w:i/>
          <w:iCs/>
        </w:rPr>
        <w:t>any</w:t>
      </w:r>
      <w:r>
        <w:t xml:space="preserve"> future audit ordered by the Commission and conducted by Staff or a third-party consultant of the Companies’ Rider CSR and/or Rider DSE.”</w:t>
      </w:r>
      <w:r>
        <w:rPr>
          <w:rStyle w:val="FootnoteReference"/>
        </w:rPr>
        <w:footnoteReference w:id="4"/>
      </w:r>
    </w:p>
    <w:p w:rsidR="006737AD" w:rsidP="00E420E7" w14:paraId="34B6DB7C" w14:textId="6DF061B4">
      <w:pPr>
        <w:pStyle w:val="BodyTextIndent3"/>
        <w:spacing w:line="480" w:lineRule="auto"/>
      </w:pPr>
      <w:r>
        <w:t>This language is important</w:t>
      </w:r>
      <w:r w:rsidR="00CF7629">
        <w:t xml:space="preserve"> </w:t>
      </w:r>
      <w:r>
        <w:t xml:space="preserve">and refutes FirstEnergy’s interpretation. </w:t>
      </w:r>
      <w:r w:rsidR="00CF7629">
        <w:t>B</w:t>
      </w:r>
      <w:r>
        <w:t>y using the phrase “any future audit,” the PUCO intended refunds for consumers based on “any” audit, not just an audit of the “double recovery” issue. As OCC explained in the Motion,</w:t>
      </w:r>
      <w:r>
        <w:rPr>
          <w:rStyle w:val="FootnoteReference"/>
        </w:rPr>
        <w:footnoteReference w:id="5"/>
      </w:r>
      <w:r>
        <w:t xml:space="preserve"> an audit could uncover any number of overcharges—errors, omissions, miscalculations—many of which would not be considered “double recovery.”</w:t>
      </w:r>
      <w:r>
        <w:rPr>
          <w:rStyle w:val="FootnoteReference"/>
        </w:rPr>
        <w:footnoteReference w:id="6"/>
      </w:r>
      <w:r>
        <w:t xml:space="preserve"> For the PUCO to give effect to the phrase “</w:t>
      </w:r>
      <w:r w:rsidRPr="006737AD">
        <w:rPr>
          <w:i/>
          <w:iCs/>
        </w:rPr>
        <w:t>any</w:t>
      </w:r>
      <w:r>
        <w:t xml:space="preserve"> future audit,” the refund language cannot be limited solely to audits related to </w:t>
      </w:r>
      <w:r w:rsidR="00537B94">
        <w:t xml:space="preserve">the </w:t>
      </w:r>
      <w:r>
        <w:t>“double recovery” issue.</w:t>
      </w:r>
      <w:r w:rsidR="00CF7629">
        <w:t xml:space="preserve"> The PUCO should reject FirstEnergy’s attempt to narrow the scope of potential refunds to customers, which is contrary to the plain language of the Order.</w:t>
      </w:r>
    </w:p>
    <w:p w:rsidR="00CF7629" w:rsidRPr="00CF7629" w:rsidP="00CF7629" w14:paraId="5F405EB6" w14:textId="4A702940">
      <w:pPr>
        <w:pStyle w:val="BodyTextIndent3"/>
        <w:keepNext/>
        <w:keepLines/>
        <w:spacing w:after="240" w:line="240" w:lineRule="auto"/>
        <w:ind w:left="1440" w:hanging="720"/>
        <w:rPr>
          <w:b/>
          <w:bCs/>
        </w:rPr>
      </w:pPr>
      <w:r>
        <w:rPr>
          <w:b/>
          <w:bCs/>
        </w:rPr>
        <w:t>B.</w:t>
      </w:r>
      <w:r>
        <w:rPr>
          <w:b/>
          <w:bCs/>
        </w:rPr>
        <w:tab/>
        <w:t>FirstEnergy concedes that customers should receive refunds in precisely the manner that OCC recommends, so there is no reason for its opposition to OCC’s proposed tariff language.</w:t>
      </w:r>
    </w:p>
    <w:p w:rsidR="00CF7629" w:rsidP="00E420E7" w14:paraId="61F7AF84" w14:textId="73D5B76B">
      <w:pPr>
        <w:pStyle w:val="BodyTextIndent3"/>
        <w:spacing w:line="480" w:lineRule="auto"/>
      </w:pPr>
      <w:r>
        <w:t xml:space="preserve">In its memorandum contra, FirstEnergy concedes that R.C. 4928.471(B) requires refunds to customers if a subsequent review of the rider charges uncovers </w:t>
      </w:r>
      <w:r w:rsidRPr="00537B94">
        <w:rPr>
          <w:i/>
          <w:iCs/>
        </w:rPr>
        <w:t>any</w:t>
      </w:r>
      <w:r>
        <w:t xml:space="preserve"> over-charges</w:t>
      </w:r>
      <w:r w:rsidR="00537B94">
        <w:t xml:space="preserve">, </w:t>
      </w:r>
      <w:r>
        <w:t>including those based on errors, omissions, or miscalculations.</w:t>
      </w:r>
      <w:r>
        <w:rPr>
          <w:rStyle w:val="FootnoteReference"/>
        </w:rPr>
        <w:footnoteReference w:id="7"/>
      </w:r>
      <w:r>
        <w:t xml:space="preserve"> OCC’s proposed modification to the tariff refund language precisely achieves this result</w:t>
      </w:r>
      <w:r w:rsidR="00537B94">
        <w:t>, consistent with the Order</w:t>
      </w:r>
      <w:r>
        <w:t>. That being the case, there is no basis for FirstEnergy’s continued opposition to OCC’s proposed refund language.</w:t>
      </w:r>
      <w:r w:rsidR="00537B94">
        <w:t xml:space="preserve"> And there would be no reason to adopt FirstEnergy’s more limited refund language, which is designed to </w:t>
      </w:r>
      <w:r w:rsidR="00537B94">
        <w:rPr>
          <w:i/>
          <w:iCs/>
        </w:rPr>
        <w:t>not</w:t>
      </w:r>
      <w:r w:rsidR="00537B94">
        <w:t xml:space="preserve"> provide customers refunds unless the overcharge is a “double recovery.”</w:t>
      </w:r>
    </w:p>
    <w:p w:rsidR="005709C2" w:rsidP="00E420E7" w14:paraId="191B6B33" w14:textId="11D12F91">
      <w:pPr>
        <w:pStyle w:val="BodyTextIndent3"/>
        <w:spacing w:line="480" w:lineRule="auto"/>
      </w:pPr>
      <w:r>
        <w:t xml:space="preserve">FirstEnergy also points out that the tariff </w:t>
      </w:r>
      <w:r w:rsidR="002E223F">
        <w:t>states that the rider “shall be adjusted annually to reconcile any over recovery or under recovery from the prior year.”</w:t>
      </w:r>
      <w:r>
        <w:rPr>
          <w:rStyle w:val="FootnoteReference"/>
        </w:rPr>
        <w:footnoteReference w:id="8"/>
      </w:r>
      <w:r w:rsidR="002E223F">
        <w:t xml:space="preserve"> According to FirstEnergy, this language is all that is needed. But this language refers to the annual reconciliation process, where FirstEnergy will file new tariff sheets, and those rates will be automatically approved 60 days later. That is not the same as an audit, where overcharges might be discovered at a later date. Thus, to adequately protect consumers, the refund language must be broad enough to cover a subsequent audit that occurs after the 60-day automatic annual approval.</w:t>
      </w:r>
    </w:p>
    <w:p w:rsidR="0049458F" w:rsidRPr="00537B94" w:rsidP="0049458F" w14:paraId="1E11D0D5" w14:textId="77777777">
      <w:pPr>
        <w:pStyle w:val="BodyTextIndent3"/>
        <w:spacing w:line="240" w:lineRule="auto"/>
      </w:pPr>
    </w:p>
    <w:p w:rsidR="00CF7629" w:rsidRPr="00CF7629" w:rsidP="00CF7629" w14:paraId="1CDC6BF9" w14:textId="2B9D776E">
      <w:pPr>
        <w:pStyle w:val="BodyTextIndent3"/>
        <w:keepNext/>
        <w:keepLines/>
        <w:spacing w:after="240" w:line="240" w:lineRule="auto"/>
        <w:ind w:firstLine="0"/>
        <w:rPr>
          <w:b/>
          <w:bCs/>
        </w:rPr>
      </w:pPr>
      <w:r>
        <w:rPr>
          <w:b/>
          <w:bCs/>
        </w:rPr>
        <w:t>II.</w:t>
      </w:r>
      <w:r>
        <w:rPr>
          <w:b/>
          <w:bCs/>
        </w:rPr>
        <w:tab/>
        <w:t>CONCLUSION</w:t>
      </w:r>
    </w:p>
    <w:p w:rsidR="00CF7629" w:rsidP="00E420E7" w14:paraId="46146CED" w14:textId="6F8FF874">
      <w:pPr>
        <w:pStyle w:val="BodyTextIndent3"/>
        <w:spacing w:line="480" w:lineRule="auto"/>
      </w:pPr>
      <w:r>
        <w:t xml:space="preserve">Based on </w:t>
      </w:r>
      <w:r>
        <w:t>OCC</w:t>
      </w:r>
      <w:r>
        <w:t>’s Motion</w:t>
      </w:r>
      <w:r>
        <w:t xml:space="preserve"> and FirstEnergy</w:t>
      </w:r>
      <w:r>
        <w:t>’s Memo Contra, the parties</w:t>
      </w:r>
      <w:r>
        <w:t xml:space="preserve"> seem to agree that if customers are overcharged under FirstEnergy’s decoupling rider, they should receive a refund, regardless of the</w:t>
      </w:r>
      <w:r>
        <w:t xml:space="preserve"> </w:t>
      </w:r>
      <w:r w:rsidR="00E01F5C">
        <w:t>reason for</w:t>
      </w:r>
      <w:r>
        <w:t xml:space="preserve"> the overcharges. OCC</w:t>
      </w:r>
      <w:r w:rsidR="003274AA">
        <w:t>’s</w:t>
      </w:r>
      <w:r>
        <w:t xml:space="preserve"> proposed refund language achieves this result. FirstEnergy’s proposed refund language does not because it limit</w:t>
      </w:r>
      <w:r w:rsidR="00E01F5C">
        <w:t>s</w:t>
      </w:r>
      <w:r>
        <w:t xml:space="preserve"> refunds</w:t>
      </w:r>
      <w:r w:rsidR="00E01F5C">
        <w:t xml:space="preserve"> to circumstances</w:t>
      </w:r>
      <w:r>
        <w:t xml:space="preserve"> resulting from “double recovery.” OCC respectfully requests that the PUCO order FirstEnergy to modify its compliance tariffs to include OCC’s refund language. OCC’s proposed language, unlike FirstEnergy’s, provides adequate protection to consumers.</w:t>
      </w:r>
    </w:p>
    <w:p w:rsidR="00153877" w14:paraId="12A3E8E1" w14:textId="013B6CDC">
      <w:pPr>
        <w:rPr>
          <w:szCs w:val="24"/>
        </w:rPr>
      </w:pPr>
    </w:p>
    <w:p w:rsidR="007335D5" w:rsidP="00B70CBC" w14:paraId="2D02FF86" w14:textId="77777777">
      <w:pPr>
        <w:ind w:firstLine="4320"/>
        <w:rPr>
          <w:szCs w:val="24"/>
        </w:rPr>
      </w:pPr>
    </w:p>
    <w:p w:rsidR="006F5FAD" w:rsidP="00B70CBC" w14:paraId="6605814E" w14:textId="5FCBEAFE">
      <w:pPr>
        <w:ind w:firstLine="4320"/>
        <w:rPr>
          <w:szCs w:val="24"/>
        </w:rPr>
      </w:pPr>
      <w:r w:rsidRPr="00F257DB">
        <w:rPr>
          <w:szCs w:val="24"/>
        </w:rPr>
        <w:t>Respectfully submitted,</w:t>
      </w:r>
    </w:p>
    <w:p w:rsidR="006F5FAD" w:rsidRPr="00F257DB" w:rsidP="00B70CBC" w14:paraId="7C3E6DFD" w14:textId="77777777">
      <w:pPr>
        <w:rPr>
          <w:szCs w:val="24"/>
        </w:rPr>
      </w:pPr>
    </w:p>
    <w:p w:rsidR="006F5FAD" w:rsidRPr="00F257DB" w:rsidP="00B70CBC" w14:paraId="020E8F41" w14:textId="77777777">
      <w:pPr>
        <w:ind w:left="4320"/>
        <w:rPr>
          <w:szCs w:val="24"/>
        </w:rPr>
      </w:pPr>
      <w:r>
        <w:rPr>
          <w:szCs w:val="24"/>
        </w:rPr>
        <w:t>Bruce Weston</w:t>
      </w:r>
      <w:r w:rsidRPr="00F257DB">
        <w:rPr>
          <w:szCs w:val="24"/>
        </w:rPr>
        <w:t xml:space="preserve"> (0016973)</w:t>
      </w:r>
    </w:p>
    <w:p w:rsidR="006F5FAD" w:rsidRPr="00F257DB" w:rsidP="00B70CBC" w14:paraId="039A6C56" w14:textId="77777777">
      <w:pPr>
        <w:tabs>
          <w:tab w:val="left" w:pos="4320"/>
        </w:tabs>
        <w:ind w:left="4320"/>
        <w:rPr>
          <w:szCs w:val="24"/>
        </w:rPr>
      </w:pPr>
      <w:r>
        <w:rPr>
          <w:szCs w:val="24"/>
        </w:rPr>
        <w:t>Ohio Consumers’ Counsel</w:t>
      </w:r>
    </w:p>
    <w:p w:rsidR="006F5FAD" w:rsidRPr="00F257DB" w:rsidP="00B70CBC" w14:paraId="563AC9CE" w14:textId="77777777">
      <w:pPr>
        <w:tabs>
          <w:tab w:val="left" w:pos="4320"/>
        </w:tabs>
        <w:ind w:left="4320"/>
        <w:rPr>
          <w:szCs w:val="24"/>
        </w:rPr>
      </w:pPr>
    </w:p>
    <w:p w:rsidR="006F5FAD" w:rsidRPr="00F257DB" w:rsidP="00B70CBC" w14:paraId="285CB4E7" w14:textId="77777777">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Pr>
          <w:i/>
          <w:szCs w:val="24"/>
          <w:u w:val="single"/>
        </w:rPr>
        <w:tab/>
      </w:r>
      <w:r>
        <w:rPr>
          <w:i/>
          <w:szCs w:val="24"/>
          <w:u w:val="single"/>
        </w:rPr>
        <w:tab/>
      </w:r>
    </w:p>
    <w:p w:rsidR="006F5FAD" w:rsidP="00B70CBC" w14:paraId="0794BAA4" w14:textId="77777777">
      <w:pPr>
        <w:tabs>
          <w:tab w:val="left" w:pos="4320"/>
        </w:tabs>
        <w:ind w:left="4320"/>
        <w:rPr>
          <w:szCs w:val="24"/>
        </w:rPr>
      </w:pPr>
      <w:r>
        <w:rPr>
          <w:szCs w:val="24"/>
        </w:rPr>
        <w:t>Christopher Healey (0086027)</w:t>
      </w:r>
    </w:p>
    <w:p w:rsidR="006F5FAD" w:rsidP="00B70CBC" w14:paraId="6FC8EC4F" w14:textId="77777777">
      <w:pPr>
        <w:tabs>
          <w:tab w:val="left" w:pos="4320"/>
        </w:tabs>
        <w:ind w:left="4320"/>
        <w:rPr>
          <w:szCs w:val="24"/>
        </w:rPr>
      </w:pPr>
      <w:r>
        <w:rPr>
          <w:szCs w:val="24"/>
        </w:rPr>
        <w:t>Counsel of Record</w:t>
      </w:r>
    </w:p>
    <w:p w:rsidR="006F5FAD" w:rsidP="00B70CBC" w14:paraId="0A1E7E86" w14:textId="371708F8">
      <w:pPr>
        <w:tabs>
          <w:tab w:val="left" w:pos="4320"/>
        </w:tabs>
        <w:ind w:left="4320"/>
        <w:rPr>
          <w:szCs w:val="24"/>
        </w:rPr>
      </w:pPr>
      <w:r>
        <w:rPr>
          <w:szCs w:val="24"/>
        </w:rPr>
        <w:t xml:space="preserve">Angela </w:t>
      </w:r>
      <w:r w:rsidR="00E96466">
        <w:rPr>
          <w:szCs w:val="24"/>
        </w:rPr>
        <w:t xml:space="preserve">D. </w:t>
      </w:r>
      <w:r>
        <w:rPr>
          <w:szCs w:val="24"/>
        </w:rPr>
        <w:t>O’Brien (0097579)</w:t>
      </w:r>
    </w:p>
    <w:p w:rsidR="006F5FAD" w:rsidP="00B70CBC" w14:paraId="4CD5CCDB" w14:textId="77777777">
      <w:pPr>
        <w:tabs>
          <w:tab w:val="left" w:pos="4320"/>
        </w:tabs>
        <w:ind w:left="4320"/>
        <w:rPr>
          <w:szCs w:val="24"/>
        </w:rPr>
      </w:pPr>
      <w:r>
        <w:rPr>
          <w:szCs w:val="24"/>
        </w:rPr>
        <w:t>Assistant Consumers’ Counsel</w:t>
      </w:r>
      <w:r w:rsidRPr="00F257DB">
        <w:rPr>
          <w:szCs w:val="24"/>
        </w:rPr>
        <w:br/>
      </w:r>
    </w:p>
    <w:p w:rsidR="006F5FAD" w:rsidRPr="002C2315" w:rsidP="00B70CBC" w14:paraId="4120C4DA" w14:textId="77777777">
      <w:pPr>
        <w:tabs>
          <w:tab w:val="left" w:pos="4320"/>
        </w:tabs>
        <w:ind w:left="4320"/>
        <w:rPr>
          <w:b/>
          <w:szCs w:val="24"/>
        </w:rPr>
      </w:pPr>
      <w:r w:rsidRPr="002C2315">
        <w:rPr>
          <w:b/>
          <w:szCs w:val="24"/>
        </w:rPr>
        <w:t>Office of the Ohio Consumers' Counsel</w:t>
      </w:r>
    </w:p>
    <w:p w:rsidR="006F5FAD" w:rsidP="00B70CBC" w14:paraId="212CAA20" w14:textId="77777777">
      <w:pPr>
        <w:tabs>
          <w:tab w:val="left" w:pos="4320"/>
        </w:tabs>
        <w:ind w:left="4320"/>
        <w:rPr>
          <w:szCs w:val="24"/>
        </w:rPr>
      </w:pPr>
      <w:r>
        <w:rPr>
          <w:szCs w:val="24"/>
        </w:rPr>
        <w:t>65 East State Street, 7th Floor</w:t>
      </w:r>
    </w:p>
    <w:p w:rsidR="006F5FAD" w:rsidP="00B70CBC" w14:paraId="498759AD" w14:textId="77777777">
      <w:pPr>
        <w:tabs>
          <w:tab w:val="left" w:pos="4320"/>
        </w:tabs>
        <w:ind w:left="4320"/>
        <w:rPr>
          <w:szCs w:val="24"/>
        </w:rPr>
      </w:pPr>
      <w:r w:rsidRPr="00F257DB">
        <w:rPr>
          <w:szCs w:val="24"/>
        </w:rPr>
        <w:t>Columbus, Ohio 43215</w:t>
      </w:r>
      <w:r>
        <w:rPr>
          <w:szCs w:val="24"/>
        </w:rPr>
        <w:t>-4213</w:t>
      </w:r>
    </w:p>
    <w:p w:rsidR="006F5FAD" w:rsidP="00B70CBC" w14:paraId="688829B2" w14:textId="77777777">
      <w:pPr>
        <w:tabs>
          <w:tab w:val="left" w:pos="4320"/>
        </w:tabs>
        <w:ind w:left="4320"/>
        <w:rPr>
          <w:szCs w:val="24"/>
        </w:rPr>
      </w:pPr>
      <w:r>
        <w:rPr>
          <w:szCs w:val="24"/>
        </w:rPr>
        <w:t xml:space="preserve">Telephone [Healey]: </w:t>
      </w:r>
      <w:r w:rsidRPr="00F257DB">
        <w:rPr>
          <w:szCs w:val="24"/>
        </w:rPr>
        <w:t xml:space="preserve">(614) </w:t>
      </w:r>
      <w:r>
        <w:rPr>
          <w:szCs w:val="24"/>
        </w:rPr>
        <w:t>466-9571</w:t>
      </w:r>
      <w:r w:rsidRPr="00F257DB">
        <w:rPr>
          <w:szCs w:val="24"/>
        </w:rPr>
        <w:t xml:space="preserve"> </w:t>
      </w:r>
    </w:p>
    <w:p w:rsidR="006F5FAD" w:rsidP="00B70CBC" w14:paraId="4AB4886D" w14:textId="77777777">
      <w:pPr>
        <w:tabs>
          <w:tab w:val="left" w:pos="4320"/>
        </w:tabs>
        <w:ind w:left="4320"/>
        <w:rPr>
          <w:szCs w:val="24"/>
        </w:rPr>
      </w:pPr>
      <w:r>
        <w:rPr>
          <w:szCs w:val="24"/>
        </w:rPr>
        <w:t>Telephone [O’Brien]: (614) 466-9531</w:t>
      </w:r>
    </w:p>
    <w:p w:rsidR="006F5FAD" w:rsidP="00B70CBC" w14:paraId="3145DBF5" w14:textId="77777777">
      <w:pPr>
        <w:ind w:left="4320"/>
        <w:rPr>
          <w:rStyle w:val="Hyperlink"/>
          <w:color w:val="auto"/>
          <w:szCs w:val="24"/>
          <w:u w:val="none"/>
        </w:rPr>
      </w:pPr>
      <w:hyperlink r:id="rId8" w:history="1">
        <w:r w:rsidRPr="00B2656D" w:rsidR="001137F1">
          <w:rPr>
            <w:rStyle w:val="Hyperlink"/>
            <w:szCs w:val="24"/>
          </w:rPr>
          <w:t>christopher.healey@occ.ohio.gov</w:t>
        </w:r>
      </w:hyperlink>
    </w:p>
    <w:p w:rsidR="006F5FAD" w:rsidP="00B70CBC" w14:paraId="60140B63" w14:textId="77777777">
      <w:pPr>
        <w:ind w:left="4320"/>
      </w:pPr>
      <w:hyperlink r:id="rId9" w:history="1">
        <w:r w:rsidRPr="00B2656D" w:rsidR="001137F1">
          <w:rPr>
            <w:rStyle w:val="Hyperlink"/>
            <w:szCs w:val="24"/>
          </w:rPr>
          <w:t>angela.obrien@occ.ohio.gov</w:t>
        </w:r>
      </w:hyperlink>
    </w:p>
    <w:p w:rsidR="006F5FAD" w:rsidRPr="00F257DB" w:rsidP="00B70CBC" w14:paraId="02351952" w14:textId="24B95A20">
      <w:pPr>
        <w:ind w:left="4320"/>
        <w:rPr>
          <w:szCs w:val="24"/>
        </w:rPr>
      </w:pPr>
      <w:r w:rsidRPr="00F257DB">
        <w:rPr>
          <w:szCs w:val="24"/>
        </w:rPr>
        <w:t>(</w:t>
      </w:r>
      <w:r>
        <w:rPr>
          <w:szCs w:val="24"/>
        </w:rPr>
        <w:t>willing to accept service by e-mail)</w:t>
      </w:r>
    </w:p>
    <w:p w:rsidR="00A044B5" w:rsidP="00B70CBC" w14:paraId="4A191377" w14:textId="77777777">
      <w:pPr>
        <w:pStyle w:val="HTMLPreformatted"/>
        <w:jc w:val="center"/>
        <w:rPr>
          <w:rFonts w:ascii="Times New Roman" w:hAnsi="Times New Roman"/>
          <w:b/>
          <w:bCs/>
          <w:sz w:val="24"/>
        </w:rPr>
      </w:pPr>
    </w:p>
    <w:p w:rsidR="00935FF4" w:rsidP="00B70CBC" w14:paraId="3F0C8A4F" w14:textId="77777777">
      <w:pPr>
        <w:pStyle w:val="HTMLPreformatted"/>
        <w:jc w:val="center"/>
        <w:rPr>
          <w:rFonts w:ascii="Times New Roman" w:hAnsi="Times New Roman"/>
          <w:b/>
          <w:bCs/>
          <w:sz w:val="24"/>
        </w:rPr>
      </w:pPr>
    </w:p>
    <w:p w:rsidR="00935FF4" w:rsidP="00B70CBC" w14:paraId="5F22CD84" w14:textId="77777777">
      <w:pPr>
        <w:pStyle w:val="HTMLPreformatted"/>
        <w:jc w:val="center"/>
        <w:rPr>
          <w:rFonts w:ascii="Times New Roman" w:hAnsi="Times New Roman"/>
          <w:b/>
          <w:bCs/>
          <w:sz w:val="24"/>
        </w:rPr>
      </w:pPr>
    </w:p>
    <w:p w:rsidR="006F5FAD" w:rsidP="00B70CBC" w14:paraId="55333278" w14:textId="77777777">
      <w:pPr>
        <w:rPr>
          <w:b/>
          <w:bCs/>
          <w:u w:val="single"/>
        </w:rPr>
      </w:pPr>
    </w:p>
    <w:p w:rsidR="00935FF4" w:rsidP="00B70CBC" w14:paraId="2824068E" w14:textId="77777777">
      <w:pPr>
        <w:rPr>
          <w:b/>
          <w:bCs/>
          <w:u w:val="single"/>
        </w:rPr>
      </w:pPr>
      <w:r>
        <w:rPr>
          <w:b/>
          <w:bCs/>
          <w:u w:val="single"/>
        </w:rPr>
        <w:br w:type="page"/>
      </w:r>
    </w:p>
    <w:p w:rsidR="00A044B5" w:rsidP="00B70CBC" w14:paraId="091C2AB7" w14:textId="77777777">
      <w:pPr>
        <w:jc w:val="center"/>
        <w:rPr>
          <w:b/>
          <w:bCs/>
          <w:u w:val="single"/>
        </w:rPr>
      </w:pPr>
      <w:r>
        <w:rPr>
          <w:b/>
          <w:bCs/>
          <w:u w:val="single"/>
        </w:rPr>
        <w:t>CERTIFICATE OF SERVICE</w:t>
      </w:r>
    </w:p>
    <w:p w:rsidR="00A044B5" w:rsidP="00B70CBC" w14:paraId="189F59A4" w14:textId="2309468A">
      <w:pPr>
        <w:spacing w:line="480" w:lineRule="atLeast"/>
      </w:pPr>
      <w:r>
        <w:tab/>
        <w:t xml:space="preserve">I hereby certify that a copy of </w:t>
      </w:r>
      <w:r w:rsidR="004D3902">
        <w:t xml:space="preserve">this </w:t>
      </w:r>
      <w:r w:rsidR="00153877">
        <w:t>Reply</w:t>
      </w:r>
      <w:r w:rsidR="004D3902">
        <w:t xml:space="preserve"> </w:t>
      </w:r>
      <w:r>
        <w:t>was served on the persons stated below</w:t>
      </w:r>
      <w:r w:rsidRPr="006F5FAD">
        <w:rPr>
          <w:iCs/>
        </w:rPr>
        <w:t xml:space="preserve"> via </w:t>
      </w:r>
      <w:r>
        <w:t xml:space="preserve">electronic transmission, this </w:t>
      </w:r>
      <w:r w:rsidR="00153877">
        <w:t>2</w:t>
      </w:r>
      <w:r w:rsidR="007335D5">
        <w:t>6</w:t>
      </w:r>
      <w:r w:rsidR="00153877">
        <w:t xml:space="preserve">th </w:t>
      </w:r>
      <w:r>
        <w:t xml:space="preserve">day of </w:t>
      </w:r>
      <w:r w:rsidR="004D3902">
        <w:t>February 2020</w:t>
      </w:r>
      <w:r>
        <w:t>.</w:t>
      </w:r>
    </w:p>
    <w:p w:rsidR="00A044B5" w:rsidP="00B70CBC" w14:paraId="343EB408" w14:textId="77777777">
      <w:pPr>
        <w:spacing w:line="480" w:lineRule="atLeast"/>
      </w:pPr>
    </w:p>
    <w:p w:rsidR="00A044B5" w:rsidRPr="0076297D" w:rsidP="00B70CBC" w14:paraId="648D6D5F" w14:textId="77777777">
      <w:pPr>
        <w:tabs>
          <w:tab w:val="left" w:pos="4320"/>
        </w:tabs>
        <w:rPr>
          <w:i/>
          <w:iCs/>
          <w:u w:val="single"/>
        </w:rPr>
      </w:pPr>
      <w:r>
        <w:tab/>
      </w:r>
      <w:r>
        <w:rPr>
          <w:i/>
          <w:iCs/>
          <w:u w:val="single"/>
        </w:rPr>
        <w:t>/s/ Christopher Healey</w:t>
      </w:r>
      <w:r>
        <w:rPr>
          <w:i/>
          <w:iCs/>
          <w:u w:val="single"/>
        </w:rPr>
        <w:tab/>
      </w:r>
      <w:r>
        <w:rPr>
          <w:i/>
          <w:iCs/>
          <w:u w:val="single"/>
        </w:rPr>
        <w:tab/>
      </w:r>
    </w:p>
    <w:p w:rsidR="00A044B5" w:rsidP="00B70CBC" w14:paraId="20A9C6E1" w14:textId="77777777">
      <w:pPr>
        <w:tabs>
          <w:tab w:val="left" w:pos="4320"/>
        </w:tabs>
      </w:pPr>
      <w:r>
        <w:tab/>
        <w:t>Christopher Healey</w:t>
      </w:r>
    </w:p>
    <w:p w:rsidR="00A044B5" w:rsidP="00B70CBC" w14:paraId="2C3F78C3" w14:textId="77777777">
      <w:pPr>
        <w:tabs>
          <w:tab w:val="left" w:pos="4320"/>
        </w:tabs>
      </w:pPr>
      <w:r>
        <w:tab/>
        <w:t>Assistant Consumers’ Counsel</w:t>
      </w:r>
    </w:p>
    <w:p w:rsidR="005E1591" w:rsidP="00B70CBC" w14:paraId="1A088E35" w14:textId="77777777">
      <w:pPr>
        <w:tabs>
          <w:tab w:val="left" w:pos="4320"/>
        </w:tabs>
      </w:pPr>
    </w:p>
    <w:p w:rsidR="005E1591" w:rsidRPr="00DC09DE" w:rsidP="005E1591" w14:paraId="55445807" w14:textId="77777777">
      <w:pPr>
        <w:pStyle w:val="CommentText"/>
      </w:pPr>
    </w:p>
    <w:p w:rsidR="005E1591" w:rsidRPr="00DC09DE" w:rsidP="005E1591" w14:paraId="39F1D70A" w14:textId="77777777">
      <w:pPr>
        <w:pStyle w:val="CommentText"/>
      </w:pPr>
      <w:r w:rsidRPr="00DC09DE">
        <w:t>The PUCO’s e-filing system will electronically serve notice of the filing of this document on the following parties:</w:t>
      </w:r>
    </w:p>
    <w:p w:rsidR="005E1591" w:rsidP="00B70CBC" w14:paraId="0DD373F3" w14:textId="77777777">
      <w:pPr>
        <w:tabs>
          <w:tab w:val="left" w:pos="4320"/>
        </w:tabs>
      </w:pPr>
    </w:p>
    <w:p w:rsidR="00A044B5" w:rsidP="00B70CBC" w14:paraId="0413F88A" w14:textId="77777777">
      <w:pPr>
        <w:pStyle w:val="CommentSubject"/>
      </w:pPr>
    </w:p>
    <w:p w:rsidR="00A044B5" w:rsidP="00B70CBC" w14:paraId="62F1D88B" w14:textId="77777777">
      <w:pPr>
        <w:pStyle w:val="CommentText"/>
        <w:jc w:val="center"/>
        <w:rPr>
          <w:b/>
          <w:u w:val="single"/>
        </w:rPr>
      </w:pPr>
      <w:r>
        <w:rPr>
          <w:b/>
          <w:u w:val="single"/>
        </w:rPr>
        <w:t>SERVICE LIST</w:t>
      </w:r>
    </w:p>
    <w:p w:rsidR="006F5FAD" w:rsidP="00B70CBC" w14:paraId="730D30E6" w14:textId="77777777">
      <w:pPr>
        <w:pStyle w:val="CommentText"/>
        <w:jc w:val="center"/>
        <w:rPr>
          <w:b/>
          <w:u w:val="single"/>
        </w:rPr>
      </w:pPr>
    </w:p>
    <w:p w:rsidR="006F5FAD" w:rsidP="00B70CBC" w14:paraId="5C19D0A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8314DE4" w14:textId="77777777" w:rsidTr="00B25DD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6F5FAD" w:rsidP="00B70CBC" w14:paraId="6567770E" w14:textId="77777777">
            <w:pPr>
              <w:pStyle w:val="CommentText"/>
              <w:rPr>
                <w:bCs/>
              </w:rPr>
            </w:pPr>
            <w:hyperlink r:id="rId10" w:history="1">
              <w:r w:rsidRPr="00343969" w:rsidR="00891217">
                <w:rPr>
                  <w:rStyle w:val="Hyperlink"/>
                  <w:bCs/>
                </w:rPr>
                <w:t>steven.beeler@ohioattorneygeneral.gov</w:t>
              </w:r>
            </w:hyperlink>
          </w:p>
          <w:p w:rsidR="00891217" w:rsidP="00B70CBC" w14:paraId="4D4F37BD" w14:textId="77777777">
            <w:pPr>
              <w:pStyle w:val="CommentText"/>
              <w:rPr>
                <w:bCs/>
              </w:rPr>
            </w:pPr>
            <w:hyperlink r:id="rId11" w:history="1">
              <w:r w:rsidRPr="00343969" w:rsidR="00537B94">
                <w:rPr>
                  <w:rStyle w:val="Hyperlink"/>
                  <w:bCs/>
                </w:rPr>
                <w:t>Thomas.mcnamee@ohioattorneygeneral.gov</w:t>
              </w:r>
            </w:hyperlink>
          </w:p>
          <w:p w:rsidR="00891217" w:rsidP="00B70CBC" w14:paraId="731A3DD3" w14:textId="77777777">
            <w:pPr>
              <w:pStyle w:val="CommentText"/>
              <w:rPr>
                <w:bCs/>
              </w:rPr>
            </w:pPr>
          </w:p>
          <w:p w:rsidR="006F5FAD" w:rsidP="00B70CBC" w14:paraId="075DD8AE" w14:textId="77777777">
            <w:pPr>
              <w:pStyle w:val="CommentText"/>
              <w:rPr>
                <w:bCs/>
              </w:rPr>
            </w:pPr>
            <w:r>
              <w:rPr>
                <w:bCs/>
              </w:rPr>
              <w:t>Attorney Examiners:</w:t>
            </w:r>
          </w:p>
          <w:p w:rsidR="006C2789" w:rsidP="00B70CBC" w14:paraId="756E1916" w14:textId="77777777">
            <w:pPr>
              <w:pStyle w:val="CommentText"/>
              <w:rPr>
                <w:bCs/>
              </w:rPr>
            </w:pPr>
          </w:p>
          <w:p w:rsidR="006C2789" w:rsidRPr="006C2789" w:rsidP="006C2789" w14:paraId="2E87AF55" w14:textId="77777777">
            <w:pPr>
              <w:rPr>
                <w:color w:val="0000FF"/>
                <w:szCs w:val="24"/>
                <w:u w:val="single"/>
              </w:rPr>
            </w:pPr>
            <w:hyperlink r:id="rId12" w:history="1">
              <w:r w:rsidRPr="006C2789" w:rsidR="00537B94">
                <w:rPr>
                  <w:color w:val="0000FF"/>
                  <w:szCs w:val="24"/>
                  <w:u w:val="single"/>
                </w:rPr>
                <w:t>Megan.addison@puco.ohio.gov</w:t>
              </w:r>
            </w:hyperlink>
          </w:p>
          <w:p w:rsidR="006C2789" w:rsidRPr="006C2789" w:rsidP="006C2789" w14:paraId="22AB2BCA" w14:textId="77777777">
            <w:pPr>
              <w:adjustRightInd w:val="0"/>
              <w:rPr>
                <w:color w:val="0000FF"/>
                <w:szCs w:val="24"/>
                <w:u w:val="single"/>
              </w:rPr>
            </w:pPr>
            <w:hyperlink r:id="rId13" w:history="1">
              <w:r w:rsidRPr="006C2789" w:rsidR="00537B94">
                <w:rPr>
                  <w:color w:val="0000FF"/>
                  <w:szCs w:val="24"/>
                  <w:u w:val="single"/>
                </w:rPr>
                <w:t>gregory.price@puco.ohio.gov</w:t>
              </w:r>
            </w:hyperlink>
          </w:p>
          <w:p w:rsidR="006C2789" w:rsidRPr="006F5FAD" w:rsidP="00B70CBC" w14:paraId="50C2C4A2" w14:textId="364E505F">
            <w:pPr>
              <w:pStyle w:val="CommentText"/>
              <w:rPr>
                <w:bCs/>
              </w:rPr>
            </w:pPr>
          </w:p>
        </w:tc>
        <w:tc>
          <w:tcPr>
            <w:tcW w:w="4675" w:type="dxa"/>
          </w:tcPr>
          <w:p w:rsidR="006F5FAD" w:rsidRPr="006C2789" w:rsidP="00B70CBC" w14:paraId="5AFE53CA" w14:textId="77777777">
            <w:pPr>
              <w:autoSpaceDE w:val="0"/>
              <w:autoSpaceDN w:val="0"/>
              <w:adjustRightInd w:val="0"/>
              <w:rPr>
                <w:rFonts w:ascii="TimesNewRomanPSMT" w:hAnsi="TimesNewRomanPSMT" w:cs="TimesNewRomanPSMT"/>
                <w:color w:val="0000FF"/>
                <w:szCs w:val="24"/>
                <w:u w:val="single"/>
              </w:rPr>
            </w:pPr>
            <w:r w:rsidRPr="006C2789">
              <w:rPr>
                <w:rFonts w:ascii="TimesNewRomanPSMT" w:hAnsi="TimesNewRomanPSMT" w:cs="TimesNewRomanPSMT"/>
                <w:color w:val="0000FF"/>
                <w:szCs w:val="24"/>
                <w:u w:val="single"/>
              </w:rPr>
              <w:t>bknipe@firstenergycorp.com</w:t>
            </w:r>
          </w:p>
          <w:p w:rsidR="006F5FAD" w:rsidP="00B70CBC" w14:paraId="69E15D86" w14:textId="77777777">
            <w:pPr>
              <w:pStyle w:val="CommentText"/>
              <w:rPr>
                <w:rFonts w:ascii="TimesNewRomanPSMT" w:hAnsi="TimesNewRomanPSMT" w:cs="TimesNewRomanPSMT"/>
                <w:color w:val="0000FF"/>
              </w:rPr>
            </w:pPr>
            <w:hyperlink r:id="rId14" w:history="1">
              <w:r w:rsidRPr="00343969" w:rsidR="00891217">
                <w:rPr>
                  <w:rStyle w:val="Hyperlink"/>
                  <w:rFonts w:ascii="TimesNewRomanPSMT" w:hAnsi="TimesNewRomanPSMT" w:cs="TimesNewRomanPSMT"/>
                </w:rPr>
                <w:t>edanford@firstenergycorp.com</w:t>
              </w:r>
            </w:hyperlink>
          </w:p>
          <w:p w:rsidR="006F5FAD" w:rsidP="00B70CBC" w14:paraId="05CDC22A" w14:textId="77777777">
            <w:pPr>
              <w:pStyle w:val="CommentText"/>
              <w:rPr>
                <w:rFonts w:ascii="TimesNewRomanPSMT" w:hAnsi="TimesNewRomanPSMT" w:cs="TimesNewRomanPSMT"/>
                <w:color w:val="0000FF"/>
              </w:rPr>
            </w:pPr>
            <w:hyperlink r:id="rId15" w:history="1">
              <w:r w:rsidRPr="00C84293" w:rsidR="001137F1">
                <w:rPr>
                  <w:rStyle w:val="Hyperlink"/>
                  <w:rFonts w:ascii="TimesNewRomanPSMT" w:hAnsi="TimesNewRomanPSMT" w:cs="TimesNewRomanPSMT"/>
                </w:rPr>
                <w:t>cwatchorn@firstenergycorp.com</w:t>
              </w:r>
            </w:hyperlink>
          </w:p>
          <w:p w:rsidR="006F5FAD" w:rsidP="00B70CBC" w14:paraId="419E68A0" w14:textId="77777777">
            <w:pPr>
              <w:pStyle w:val="CommentText"/>
              <w:rPr>
                <w:rStyle w:val="Hyperlink"/>
                <w:rFonts w:ascii="TimesNewRomanPSMT" w:hAnsi="TimesNewRomanPSMT" w:cs="TimesNewRomanPSMT"/>
              </w:rPr>
            </w:pPr>
            <w:hyperlink r:id="rId16" w:history="1">
              <w:r w:rsidRPr="00C84293" w:rsidR="001137F1">
                <w:rPr>
                  <w:rStyle w:val="Hyperlink"/>
                  <w:rFonts w:ascii="TimesNewRomanPSMT" w:hAnsi="TimesNewRomanPSMT" w:cs="TimesNewRomanPSMT"/>
                </w:rPr>
                <w:t>jlang@calfee.com</w:t>
              </w:r>
            </w:hyperlink>
          </w:p>
          <w:p w:rsidR="008A18D6" w:rsidP="00B70CBC" w14:paraId="752091C5" w14:textId="77777777">
            <w:pPr>
              <w:pStyle w:val="CommentText"/>
              <w:rPr>
                <w:rStyle w:val="Hyperlink"/>
                <w:rFonts w:ascii="TimesNewRomanPSMT" w:hAnsi="TimesNewRomanPSMT" w:cs="TimesNewRomanPSMT"/>
              </w:rPr>
            </w:pPr>
            <w:hyperlink r:id="rId17" w:history="1">
              <w:r w:rsidRPr="008A5C97" w:rsidR="001137F1">
                <w:rPr>
                  <w:rStyle w:val="Hyperlink"/>
                  <w:rFonts w:ascii="TimesNewRomanPSMT" w:hAnsi="TimesNewRomanPSMT" w:cs="TimesNewRomanPSMT"/>
                </w:rPr>
                <w:t>dborchers@bricker.com</w:t>
              </w:r>
            </w:hyperlink>
          </w:p>
          <w:p w:rsidR="008A18D6" w:rsidP="00B70CBC" w14:paraId="7D8535FD" w14:textId="77777777">
            <w:pPr>
              <w:pStyle w:val="CommentText"/>
              <w:rPr>
                <w:rStyle w:val="Hyperlink"/>
              </w:rPr>
            </w:pPr>
            <w:hyperlink r:id="rId18" w:history="1">
              <w:r w:rsidRPr="008A5C97" w:rsidR="001137F1">
                <w:rPr>
                  <w:rStyle w:val="Hyperlink"/>
                </w:rPr>
                <w:t>dparram@bricker.com</w:t>
              </w:r>
            </w:hyperlink>
          </w:p>
          <w:p w:rsidR="008A18D6" w:rsidP="00B70CBC" w14:paraId="7A751BD3" w14:textId="564CD5B2">
            <w:pPr>
              <w:pStyle w:val="CommentText"/>
              <w:rPr>
                <w:rFonts w:ascii="TimesNewRomanPSMT" w:hAnsi="TimesNewRomanPSMT" w:cs="TimesNewRomanPSMT"/>
                <w:color w:val="0000FF"/>
              </w:rPr>
            </w:pPr>
            <w:hyperlink r:id="rId19" w:history="1">
              <w:r w:rsidRPr="00EA0962" w:rsidR="00BE1BB7">
                <w:rPr>
                  <w:rStyle w:val="Hyperlink"/>
                  <w:rFonts w:ascii="TimesNewRomanPSMT" w:hAnsi="TimesNewRomanPSMT" w:cs="TimesNewRomanPSMT"/>
                </w:rPr>
                <w:t>bojko@carpenterlipps.com</w:t>
              </w:r>
            </w:hyperlink>
          </w:p>
          <w:p w:rsidR="00BE1BB7" w:rsidP="00B70CBC" w14:paraId="6FFBBF6B" w14:textId="625FD59B">
            <w:pPr>
              <w:pStyle w:val="CommentText"/>
              <w:rPr>
                <w:rFonts w:ascii="TimesNewRomanPSMT" w:hAnsi="TimesNewRomanPSMT" w:cs="TimesNewRomanPSMT"/>
                <w:color w:val="0000FF"/>
              </w:rPr>
            </w:pPr>
            <w:hyperlink r:id="rId20" w:history="1">
              <w:r w:rsidRPr="00EA0962" w:rsidR="00537B94">
                <w:rPr>
                  <w:rStyle w:val="Hyperlink"/>
                  <w:rFonts w:ascii="TimesNewRomanPSMT" w:hAnsi="TimesNewRomanPSMT" w:cs="TimesNewRomanPSMT"/>
                </w:rPr>
                <w:t>gkrassen@bricker.com</w:t>
              </w:r>
            </w:hyperlink>
          </w:p>
          <w:p w:rsidR="00BE1BB7" w:rsidP="00B70CBC" w14:paraId="37604E82" w14:textId="66355EC8">
            <w:pPr>
              <w:pStyle w:val="CommentText"/>
              <w:rPr>
                <w:rFonts w:ascii="TimesNewRomanPSMT" w:hAnsi="TimesNewRomanPSMT" w:cs="TimesNewRomanPSMT"/>
                <w:color w:val="0000FF"/>
              </w:rPr>
            </w:pPr>
            <w:hyperlink r:id="rId21" w:history="1">
              <w:r w:rsidRPr="00EA0962" w:rsidR="00537B94">
                <w:rPr>
                  <w:rStyle w:val="Hyperlink"/>
                  <w:rFonts w:ascii="TimesNewRomanPSMT" w:hAnsi="TimesNewRomanPSMT" w:cs="TimesNewRomanPSMT"/>
                </w:rPr>
                <w:t>dstinson@bricker.com</w:t>
              </w:r>
            </w:hyperlink>
          </w:p>
          <w:p w:rsidR="00BE1BB7" w:rsidP="00B70CBC" w14:paraId="1F7CEA07" w14:textId="77777777">
            <w:pPr>
              <w:pStyle w:val="CommentText"/>
              <w:rPr>
                <w:rFonts w:ascii="TimesNewRomanPSMT" w:hAnsi="TimesNewRomanPSMT" w:cs="TimesNewRomanPSMT"/>
                <w:color w:val="0000FF"/>
              </w:rPr>
            </w:pPr>
          </w:p>
          <w:p w:rsidR="006F5FAD" w:rsidP="00B70CBC" w14:paraId="79B963A9" w14:textId="77777777">
            <w:pPr>
              <w:pStyle w:val="CommentText"/>
              <w:rPr>
                <w:b/>
                <w:u w:val="single"/>
              </w:rPr>
            </w:pPr>
          </w:p>
        </w:tc>
      </w:tr>
    </w:tbl>
    <w:p w:rsidR="006F5FAD" w:rsidP="00B70CBC" w14:paraId="76861BA3" w14:textId="77777777">
      <w:pPr>
        <w:pStyle w:val="CommentText"/>
        <w:jc w:val="center"/>
        <w:rPr>
          <w:b/>
          <w:u w:val="single"/>
        </w:rPr>
      </w:pPr>
    </w:p>
    <w:p w:rsidR="00A044B5" w:rsidP="00B70CBC" w14:paraId="11DF2711" w14:textId="77777777">
      <w:pPr>
        <w:pStyle w:val="BodyText"/>
        <w:rPr>
          <w:b/>
          <w:bCs/>
        </w:rPr>
      </w:pPr>
    </w:p>
    <w:p w:rsidR="00A044B5" w:rsidP="00B70CBC" w14:paraId="38EA6B8D" w14:textId="77777777">
      <w:pPr>
        <w:pStyle w:val="BodyText"/>
        <w:rPr>
          <w:b/>
          <w:bCs/>
        </w:rPr>
      </w:pPr>
    </w:p>
    <w:sectPr w:rsidSect="0049458F">
      <w:footerReference w:type="first" r:id="rId22"/>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4275716"/>
      <w:docPartObj>
        <w:docPartGallery w:val="Page Numbers (Bottom of Page)"/>
        <w:docPartUnique/>
      </w:docPartObj>
    </w:sdtPr>
    <w:sdtEndPr>
      <w:rPr>
        <w:noProof/>
        <w:sz w:val="24"/>
        <w:szCs w:val="24"/>
      </w:rPr>
    </w:sdtEndPr>
    <w:sdtContent>
      <w:p w:rsidR="0049458F" w:rsidRPr="0049458F" w14:paraId="756FE2AC" w14:textId="77777777">
        <w:pPr>
          <w:pStyle w:val="Footer"/>
          <w:jc w:val="center"/>
          <w:rPr>
            <w:sz w:val="24"/>
            <w:szCs w:val="24"/>
          </w:rPr>
        </w:pPr>
        <w:r w:rsidRPr="0049458F">
          <w:rPr>
            <w:sz w:val="24"/>
            <w:szCs w:val="24"/>
          </w:rPr>
          <w:fldChar w:fldCharType="begin"/>
        </w:r>
        <w:r w:rsidRPr="0049458F">
          <w:rPr>
            <w:sz w:val="24"/>
            <w:szCs w:val="24"/>
          </w:rPr>
          <w:instrText xml:space="preserve"> PAGE   \* MERGEFORMAT </w:instrText>
        </w:r>
        <w:r w:rsidRPr="0049458F">
          <w:rPr>
            <w:sz w:val="24"/>
            <w:szCs w:val="24"/>
          </w:rPr>
          <w:fldChar w:fldCharType="separate"/>
        </w:r>
        <w:r w:rsidRPr="0049458F">
          <w:rPr>
            <w:noProof/>
            <w:sz w:val="24"/>
            <w:szCs w:val="24"/>
          </w:rPr>
          <w:t>2</w:t>
        </w:r>
        <w:r w:rsidRPr="0049458F">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58F" w:rsidRPr="006C2789" w14:paraId="20BDC1B4" w14:textId="7777777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5508886"/>
      <w:docPartObj>
        <w:docPartGallery w:val="Page Numbers (Bottom of Page)"/>
        <w:docPartUnique/>
      </w:docPartObj>
    </w:sdtPr>
    <w:sdtEndPr>
      <w:rPr>
        <w:noProof/>
        <w:sz w:val="24"/>
        <w:szCs w:val="24"/>
      </w:rPr>
    </w:sdtEndPr>
    <w:sdtContent>
      <w:p w:rsidR="00FB6917" w:rsidRPr="00FB6917" w14:paraId="2FA45DEF" w14:textId="58057B18">
        <w:pPr>
          <w:pStyle w:val="Footer"/>
          <w:jc w:val="center"/>
          <w:rPr>
            <w:sz w:val="24"/>
            <w:szCs w:val="24"/>
          </w:rPr>
        </w:pPr>
        <w:r w:rsidRPr="00FB6917">
          <w:rPr>
            <w:sz w:val="24"/>
            <w:szCs w:val="24"/>
          </w:rPr>
          <w:fldChar w:fldCharType="begin"/>
        </w:r>
        <w:r w:rsidRPr="00FB6917">
          <w:rPr>
            <w:sz w:val="24"/>
            <w:szCs w:val="24"/>
          </w:rPr>
          <w:instrText xml:space="preserve"> PAGE   \* MERGEFORMAT </w:instrText>
        </w:r>
        <w:r w:rsidRPr="00FB6917">
          <w:rPr>
            <w:sz w:val="24"/>
            <w:szCs w:val="24"/>
          </w:rPr>
          <w:fldChar w:fldCharType="separate"/>
        </w:r>
        <w:r w:rsidRPr="00FB6917">
          <w:rPr>
            <w:noProof/>
            <w:sz w:val="24"/>
            <w:szCs w:val="24"/>
          </w:rPr>
          <w:t>2</w:t>
        </w:r>
        <w:r w:rsidRPr="00FB6917">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3B54" w14:paraId="4F1C75C1" w14:textId="77777777">
      <w:r>
        <w:separator/>
      </w:r>
    </w:p>
  </w:footnote>
  <w:footnote w:type="continuationSeparator" w:id="1">
    <w:p w:rsidR="00683B54" w14:paraId="198B16D7" w14:textId="77777777">
      <w:r>
        <w:continuationSeparator/>
      </w:r>
    </w:p>
  </w:footnote>
  <w:footnote w:id="2">
    <w:p w:rsidR="0098768E" w:rsidRPr="00153877" w:rsidP="007335D5" w14:paraId="3098CCB4" w14:textId="02AD9B13">
      <w:pPr>
        <w:pStyle w:val="FootnoteText"/>
        <w:spacing w:after="120"/>
      </w:pPr>
      <w:r>
        <w:rPr>
          <w:rStyle w:val="FootnoteReference"/>
        </w:rPr>
        <w:footnoteRef/>
      </w:r>
      <w:r>
        <w:t xml:space="preserve"> </w:t>
      </w:r>
      <w:r>
        <w:rPr>
          <w:i/>
          <w:iCs/>
        </w:rPr>
        <w:t>See</w:t>
      </w:r>
      <w:r>
        <w:t xml:space="preserve"> Compliance Tariffs filed in this docket at </w:t>
      </w:r>
      <w:hyperlink r:id="rId1" w:history="1">
        <w:r>
          <w:rPr>
            <w:rStyle w:val="Hyperlink"/>
          </w:rPr>
          <w:t>http://dis.puc.state.oh.us/DocumentRecord.aspx?DocID=0bdf562b-f516-4ef2-b29e-9b78ec1673a6</w:t>
        </w:r>
      </w:hyperlink>
      <w:r>
        <w:t xml:space="preserve">, </w:t>
      </w:r>
      <w:hyperlink r:id="rId2" w:history="1">
        <w:r>
          <w:rPr>
            <w:rStyle w:val="Hyperlink"/>
          </w:rPr>
          <w:t>http://dis.puc.state.oh.us/DocumentRecord.aspx?DocID=6fe58987-8a83-4588-a5b5-aa1c64f40f9d</w:t>
        </w:r>
      </w:hyperlink>
      <w:r>
        <w:t xml:space="preserve">, and </w:t>
      </w:r>
      <w:hyperlink r:id="rId3" w:history="1">
        <w:r>
          <w:rPr>
            <w:rStyle w:val="Hyperlink"/>
          </w:rPr>
          <w:t>http://dis.puc.state.oh.us/DocumentRecord.aspx?DocID=4a191fd9-8543-4a9f-bd33-42bf9914f60d</w:t>
        </w:r>
      </w:hyperlink>
      <w:r>
        <w:t>.</w:t>
      </w:r>
      <w:r w:rsidR="00153877">
        <w:t xml:space="preserve"> </w:t>
      </w:r>
    </w:p>
  </w:footnote>
  <w:footnote w:id="3">
    <w:p w:rsidR="006737AD" w:rsidP="007335D5" w14:paraId="6CC4ABE2" w14:textId="3242D19C">
      <w:pPr>
        <w:pStyle w:val="FootnoteText"/>
        <w:spacing w:after="120"/>
      </w:pPr>
      <w:r>
        <w:rPr>
          <w:rStyle w:val="FootnoteReference"/>
        </w:rPr>
        <w:footnoteRef/>
      </w:r>
      <w:r>
        <w:t xml:space="preserve"> Finding &amp; Order (Jan. 15, 2020) (the “Order”).</w:t>
      </w:r>
    </w:p>
  </w:footnote>
  <w:footnote w:id="4">
    <w:p w:rsidR="006737AD" w:rsidP="007335D5" w14:paraId="2AD53142" w14:textId="2942C6B5">
      <w:pPr>
        <w:pStyle w:val="FootnoteText"/>
        <w:spacing w:after="120"/>
      </w:pPr>
      <w:r>
        <w:rPr>
          <w:rStyle w:val="FootnoteReference"/>
        </w:rPr>
        <w:footnoteRef/>
      </w:r>
      <w:r>
        <w:t xml:space="preserve"> Order ¶ 30 (emphasis added).</w:t>
      </w:r>
    </w:p>
  </w:footnote>
  <w:footnote w:id="5">
    <w:p w:rsidR="006737AD" w:rsidP="007335D5" w14:paraId="3F8FF2CD" w14:textId="41ED3BD7">
      <w:pPr>
        <w:pStyle w:val="FootnoteText"/>
        <w:spacing w:after="120"/>
      </w:pPr>
      <w:r>
        <w:rPr>
          <w:rStyle w:val="FootnoteReference"/>
        </w:rPr>
        <w:footnoteRef/>
      </w:r>
      <w:r>
        <w:t xml:space="preserve"> Motion to Modify Compliance Tariffs Consistent with Commission Finding and Order (Feb. 6, 2020) (the “Motion”).</w:t>
      </w:r>
    </w:p>
  </w:footnote>
  <w:footnote w:id="6">
    <w:p w:rsidR="006737AD" w:rsidP="007335D5" w14:paraId="2E519FA3" w14:textId="1DD589BC">
      <w:pPr>
        <w:pStyle w:val="FootnoteText"/>
        <w:spacing w:after="120"/>
      </w:pPr>
      <w:r>
        <w:rPr>
          <w:rStyle w:val="FootnoteReference"/>
        </w:rPr>
        <w:footnoteRef/>
      </w:r>
      <w:r>
        <w:t xml:space="preserve"> Motion at </w:t>
      </w:r>
      <w:r w:rsidR="00CF7629">
        <w:t>2.</w:t>
      </w:r>
    </w:p>
  </w:footnote>
  <w:footnote w:id="7">
    <w:p w:rsidR="00CF7629" w:rsidP="007335D5" w14:paraId="0D8326C9" w14:textId="3C79C677">
      <w:pPr>
        <w:pStyle w:val="FootnoteText"/>
        <w:spacing w:after="120"/>
      </w:pPr>
      <w:r>
        <w:rPr>
          <w:rStyle w:val="FootnoteReference"/>
        </w:rPr>
        <w:footnoteRef/>
      </w:r>
      <w:r>
        <w:t xml:space="preserve"> Memorandum Contra of [FirstEnergy] to Motion to Modify Compliance Tariffs by the Office of the Ohio Consumers’ Counsel at 4-5 (Feb. 21, 2020) (the “Memo Contra”).</w:t>
      </w:r>
    </w:p>
  </w:footnote>
  <w:footnote w:id="8">
    <w:p w:rsidR="002E223F" w:rsidP="007335D5" w14:paraId="6F825438" w14:textId="08590E6E">
      <w:pPr>
        <w:pStyle w:val="FootnoteText"/>
        <w:spacing w:after="120"/>
      </w:pPr>
      <w:r>
        <w:rPr>
          <w:rStyle w:val="FootnoteReference"/>
        </w:rPr>
        <w:footnoteRef/>
      </w:r>
      <w:r>
        <w:t xml:space="preserve"> Memo Contra at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3821C45"/>
    <w:multiLevelType w:val="hybridMultilevel"/>
    <w:tmpl w:val="853481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DA"/>
    <w:rsid w:val="0006519B"/>
    <w:rsid w:val="000A2B01"/>
    <w:rsid w:val="000C435E"/>
    <w:rsid w:val="001137F1"/>
    <w:rsid w:val="00127C39"/>
    <w:rsid w:val="00153877"/>
    <w:rsid w:val="00171D6A"/>
    <w:rsid w:val="00185514"/>
    <w:rsid w:val="001A71D3"/>
    <w:rsid w:val="001E6073"/>
    <w:rsid w:val="00222B38"/>
    <w:rsid w:val="00225D68"/>
    <w:rsid w:val="0022699B"/>
    <w:rsid w:val="00227C15"/>
    <w:rsid w:val="002935BC"/>
    <w:rsid w:val="002C2315"/>
    <w:rsid w:val="002D5924"/>
    <w:rsid w:val="002E223F"/>
    <w:rsid w:val="003204A4"/>
    <w:rsid w:val="00323DB3"/>
    <w:rsid w:val="003274AA"/>
    <w:rsid w:val="003309CF"/>
    <w:rsid w:val="00343969"/>
    <w:rsid w:val="0038101A"/>
    <w:rsid w:val="00461DEE"/>
    <w:rsid w:val="0049458F"/>
    <w:rsid w:val="004C7079"/>
    <w:rsid w:val="004D3902"/>
    <w:rsid w:val="00536B17"/>
    <w:rsid w:val="00537B94"/>
    <w:rsid w:val="005709C2"/>
    <w:rsid w:val="005E1591"/>
    <w:rsid w:val="005E2E75"/>
    <w:rsid w:val="005F4498"/>
    <w:rsid w:val="006438D9"/>
    <w:rsid w:val="006737AD"/>
    <w:rsid w:val="00683B54"/>
    <w:rsid w:val="006C2789"/>
    <w:rsid w:val="006D2E73"/>
    <w:rsid w:val="006E6AD6"/>
    <w:rsid w:val="006F5FAD"/>
    <w:rsid w:val="007335D5"/>
    <w:rsid w:val="0076297D"/>
    <w:rsid w:val="00773F96"/>
    <w:rsid w:val="007F2BF7"/>
    <w:rsid w:val="008128FD"/>
    <w:rsid w:val="0088451A"/>
    <w:rsid w:val="00891217"/>
    <w:rsid w:val="008A18D6"/>
    <w:rsid w:val="008A5C97"/>
    <w:rsid w:val="008E127E"/>
    <w:rsid w:val="00935FF4"/>
    <w:rsid w:val="0098768E"/>
    <w:rsid w:val="00997BB1"/>
    <w:rsid w:val="009B491D"/>
    <w:rsid w:val="009C02EC"/>
    <w:rsid w:val="00A044B5"/>
    <w:rsid w:val="00A666B8"/>
    <w:rsid w:val="00A96C68"/>
    <w:rsid w:val="00B25DD4"/>
    <w:rsid w:val="00B2656D"/>
    <w:rsid w:val="00B57FDA"/>
    <w:rsid w:val="00B6418E"/>
    <w:rsid w:val="00B70CBC"/>
    <w:rsid w:val="00BE1BB7"/>
    <w:rsid w:val="00C069B5"/>
    <w:rsid w:val="00C34EC2"/>
    <w:rsid w:val="00C818A1"/>
    <w:rsid w:val="00C84293"/>
    <w:rsid w:val="00C87F6B"/>
    <w:rsid w:val="00CF7629"/>
    <w:rsid w:val="00D1692A"/>
    <w:rsid w:val="00D30729"/>
    <w:rsid w:val="00D42DC8"/>
    <w:rsid w:val="00D513FB"/>
    <w:rsid w:val="00D529A3"/>
    <w:rsid w:val="00D91C26"/>
    <w:rsid w:val="00DC09DE"/>
    <w:rsid w:val="00DC1C9C"/>
    <w:rsid w:val="00DC6665"/>
    <w:rsid w:val="00E01F5C"/>
    <w:rsid w:val="00E420E7"/>
    <w:rsid w:val="00E96466"/>
    <w:rsid w:val="00EA0962"/>
    <w:rsid w:val="00ED1F7B"/>
    <w:rsid w:val="00EE05CA"/>
    <w:rsid w:val="00F22DCD"/>
    <w:rsid w:val="00F23FDE"/>
    <w:rsid w:val="00F257DB"/>
    <w:rsid w:val="00F50DF9"/>
    <w:rsid w:val="00F768D7"/>
    <w:rsid w:val="00FA4D98"/>
    <w:rsid w:val="00FB152A"/>
    <w:rsid w:val="00FB69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E74"/>
    <w:rPr>
      <w:sz w:val="24"/>
    </w:rPr>
  </w:style>
  <w:style w:type="paragraph" w:styleId="Heading1">
    <w:name w:val="heading 1"/>
    <w:basedOn w:val="Normal"/>
    <w:next w:val="Normal"/>
    <w:qFormat/>
    <w:rsid w:val="00831E74"/>
    <w:pPr>
      <w:keepNext/>
      <w:outlineLvl w:val="0"/>
    </w:pPr>
    <w:rPr>
      <w:b/>
      <w:szCs w:val="24"/>
      <w:u w:val="single"/>
    </w:rPr>
  </w:style>
  <w:style w:type="paragraph" w:styleId="Heading2">
    <w:name w:val="heading 2"/>
    <w:basedOn w:val="Normal"/>
    <w:next w:val="Normal"/>
    <w:qFormat/>
    <w:rsid w:val="00831E74"/>
    <w:pPr>
      <w:keepNext/>
      <w:tabs>
        <w:tab w:val="left" w:pos="4320"/>
      </w:tabs>
      <w:jc w:val="center"/>
      <w:outlineLvl w:val="1"/>
    </w:pPr>
    <w:rPr>
      <w:b/>
    </w:rPr>
  </w:style>
  <w:style w:type="paragraph" w:styleId="Heading3">
    <w:name w:val="heading 3"/>
    <w:basedOn w:val="Normal"/>
    <w:next w:val="Normal"/>
    <w:qFormat/>
    <w:rsid w:val="00831E7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83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831E74"/>
    <w:pPr>
      <w:tabs>
        <w:tab w:val="center" w:pos="4320"/>
        <w:tab w:val="right" w:pos="8640"/>
      </w:tabs>
    </w:pPr>
    <w:rPr>
      <w:sz w:val="20"/>
    </w:rPr>
  </w:style>
  <w:style w:type="character" w:styleId="Hyperlink">
    <w:name w:val="Hyperlink"/>
    <w:rsid w:val="00831E74"/>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sid w:val="00831E74"/>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831E74"/>
    <w:rPr>
      <w:vertAlign w:val="superscript"/>
    </w:rPr>
  </w:style>
  <w:style w:type="paragraph" w:styleId="BodyTextIndent">
    <w:name w:val="Body Text Indent"/>
    <w:basedOn w:val="Normal"/>
    <w:rsid w:val="00831E74"/>
    <w:pPr>
      <w:spacing w:line="480" w:lineRule="auto"/>
      <w:ind w:firstLine="720"/>
    </w:pPr>
  </w:style>
  <w:style w:type="paragraph" w:styleId="BodyTextIndent3">
    <w:name w:val="Body Text Indent 3"/>
    <w:basedOn w:val="Normal"/>
    <w:link w:val="BodyTextIndent3Char"/>
    <w:rsid w:val="00831E74"/>
    <w:pPr>
      <w:spacing w:line="480" w:lineRule="atLeast"/>
      <w:ind w:firstLine="720"/>
    </w:pPr>
  </w:style>
  <w:style w:type="paragraph" w:styleId="BodyTextIndent2">
    <w:name w:val="Body Text Indent 2"/>
    <w:basedOn w:val="Normal"/>
    <w:rsid w:val="00831E74"/>
    <w:pPr>
      <w:tabs>
        <w:tab w:val="left" w:pos="720"/>
      </w:tabs>
      <w:spacing w:before="240" w:after="240"/>
      <w:ind w:left="1464" w:hanging="744"/>
    </w:pPr>
  </w:style>
  <w:style w:type="character" w:styleId="PageNumber">
    <w:name w:val="page number"/>
    <w:basedOn w:val="DefaultParagraphFont"/>
    <w:rsid w:val="00831E74"/>
  </w:style>
  <w:style w:type="paragraph" w:styleId="BodyText">
    <w:name w:val="Body Text"/>
    <w:basedOn w:val="Normal"/>
    <w:rsid w:val="00831E74"/>
    <w:pPr>
      <w:jc w:val="both"/>
    </w:pPr>
  </w:style>
  <w:style w:type="paragraph" w:styleId="BlockText">
    <w:name w:val="Block Text"/>
    <w:basedOn w:val="Normal"/>
    <w:rsid w:val="00831E74"/>
    <w:pPr>
      <w:ind w:left="1440" w:right="720"/>
    </w:pPr>
  </w:style>
  <w:style w:type="paragraph" w:styleId="EndnoteText">
    <w:name w:val="endnote text"/>
    <w:basedOn w:val="Normal"/>
    <w:semiHidden/>
    <w:rsid w:val="00831E74"/>
    <w:rPr>
      <w:sz w:val="20"/>
    </w:rPr>
  </w:style>
  <w:style w:type="character" w:styleId="EndnoteReference">
    <w:name w:val="endnote reference"/>
    <w:semiHidden/>
    <w:rsid w:val="00831E74"/>
    <w:rPr>
      <w:vertAlign w:val="superscript"/>
    </w:rPr>
  </w:style>
  <w:style w:type="paragraph" w:styleId="BodyText2">
    <w:name w:val="Body Text 2"/>
    <w:basedOn w:val="Normal"/>
    <w:rsid w:val="00831E74"/>
    <w:pPr>
      <w:spacing w:line="480" w:lineRule="auto"/>
      <w:ind w:right="1440"/>
    </w:pPr>
  </w:style>
  <w:style w:type="paragraph" w:styleId="Header">
    <w:name w:val="header"/>
    <w:basedOn w:val="Normal"/>
    <w:rsid w:val="00831E74"/>
    <w:pPr>
      <w:tabs>
        <w:tab w:val="center" w:pos="4320"/>
        <w:tab w:val="right" w:pos="8640"/>
      </w:tabs>
    </w:pPr>
  </w:style>
  <w:style w:type="paragraph" w:styleId="BalloonText">
    <w:name w:val="Balloon Text"/>
    <w:basedOn w:val="Normal"/>
    <w:semiHidden/>
    <w:rsid w:val="00831E74"/>
    <w:rPr>
      <w:rFonts w:ascii="Lucida Grande" w:hAnsi="Lucida Grande"/>
      <w:sz w:val="18"/>
      <w:szCs w:val="18"/>
    </w:rPr>
  </w:style>
  <w:style w:type="character" w:styleId="CommentReference">
    <w:name w:val="annotation reference"/>
    <w:semiHidden/>
    <w:rsid w:val="00831E74"/>
    <w:rPr>
      <w:sz w:val="18"/>
    </w:rPr>
  </w:style>
  <w:style w:type="paragraph" w:styleId="CommentText">
    <w:name w:val="annotation text"/>
    <w:basedOn w:val="Normal"/>
    <w:link w:val="CommentTextChar"/>
    <w:uiPriority w:val="99"/>
    <w:semiHidden/>
    <w:rsid w:val="00831E74"/>
    <w:rPr>
      <w:szCs w:val="24"/>
    </w:rPr>
  </w:style>
  <w:style w:type="paragraph" w:styleId="CommentSubject">
    <w:name w:val="annotation subject"/>
    <w:basedOn w:val="CommentText"/>
    <w:next w:val="CommentText"/>
    <w:semiHidden/>
    <w:rsid w:val="00831E74"/>
    <w:rPr>
      <w:szCs w:val="20"/>
    </w:rPr>
  </w:style>
  <w:style w:type="character" w:styleId="FollowedHyperlink">
    <w:name w:val="FollowedHyperlink"/>
    <w:rsid w:val="00831E74"/>
    <w:rPr>
      <w:color w:val="800080"/>
      <w:u w:val="single"/>
    </w:rPr>
  </w:style>
  <w:style w:type="character" w:customStyle="1" w:styleId="term1">
    <w:name w:val="term1"/>
    <w:rsid w:val="00831E74"/>
    <w:rPr>
      <w:b/>
      <w:bCs/>
    </w:rPr>
  </w:style>
  <w:style w:type="table" w:styleId="TableGrid">
    <w:name w:val="Table Grid"/>
    <w:basedOn w:val="TableNormal"/>
    <w:rsid w:val="0083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831E74"/>
    <w:pPr>
      <w:suppressAutoHyphens/>
      <w:spacing w:line="480" w:lineRule="atLeast"/>
      <w:ind w:firstLine="720"/>
    </w:pPr>
    <w:rPr>
      <w:lang w:eastAsia="ar-SA"/>
    </w:rPr>
  </w:style>
  <w:style w:type="character" w:customStyle="1" w:styleId="BodyTextIndent3Char">
    <w:name w:val="Body Text Indent 3 Char"/>
    <w:basedOn w:val="DefaultParagraphFont"/>
    <w:link w:val="BodyTextIndent3"/>
    <w:rsid w:val="006F5FAD"/>
    <w:rPr>
      <w:sz w:val="24"/>
    </w:rPr>
  </w:style>
  <w:style w:type="character" w:customStyle="1" w:styleId="UnresolvedMention1">
    <w:name w:val="Unresolved Mention1"/>
    <w:basedOn w:val="DefaultParagraphFont"/>
    <w:uiPriority w:val="99"/>
    <w:semiHidden/>
    <w:unhideWhenUsed/>
    <w:rsid w:val="006F5FAD"/>
    <w:rPr>
      <w:color w:val="605E5C"/>
      <w:shd w:val="clear" w:color="auto" w:fill="E1DFDD"/>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link w:val="FootnoteText"/>
    <w:rsid w:val="00F03007"/>
  </w:style>
  <w:style w:type="character" w:customStyle="1" w:styleId="CommentTextChar">
    <w:name w:val="Comment Text Char"/>
    <w:basedOn w:val="DefaultParagraphFont"/>
    <w:link w:val="CommentText"/>
    <w:uiPriority w:val="99"/>
    <w:semiHidden/>
    <w:rsid w:val="005E1591"/>
    <w:rPr>
      <w:sz w:val="24"/>
      <w:szCs w:val="24"/>
    </w:rPr>
  </w:style>
  <w:style w:type="character" w:customStyle="1" w:styleId="UnresolvedMention2">
    <w:name w:val="Unresolved Mention2"/>
    <w:basedOn w:val="DefaultParagraphFont"/>
    <w:uiPriority w:val="99"/>
    <w:semiHidden/>
    <w:unhideWhenUsed/>
    <w:rsid w:val="008A18D6"/>
    <w:rPr>
      <w:color w:val="605E5C"/>
      <w:shd w:val="clear" w:color="auto" w:fill="E1DFDD"/>
    </w:rPr>
  </w:style>
  <w:style w:type="character" w:customStyle="1" w:styleId="UnresolvedMention3">
    <w:name w:val="Unresolved Mention3"/>
    <w:basedOn w:val="DefaultParagraphFont"/>
    <w:rsid w:val="00891217"/>
    <w:rPr>
      <w:color w:val="605E5C"/>
      <w:shd w:val="clear" w:color="auto" w:fill="E1DFDD"/>
    </w:rPr>
  </w:style>
  <w:style w:type="character" w:customStyle="1" w:styleId="FooterChar">
    <w:name w:val="Footer Char"/>
    <w:basedOn w:val="DefaultParagraphFont"/>
    <w:link w:val="Footer"/>
    <w:uiPriority w:val="99"/>
    <w:rsid w:val="006C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even.beeler@ohioattorneygeneral.gov" TargetMode="External" /><Relationship Id="rId11" Type="http://schemas.openxmlformats.org/officeDocument/2006/relationships/hyperlink" Target="mailto:Thomas.mcnamee@ohioattorneygeneral.gov" TargetMode="External" /><Relationship Id="rId12" Type="http://schemas.openxmlformats.org/officeDocument/2006/relationships/hyperlink" Target="mailto:Megan.addison@puco.ohio.gov" TargetMode="External" /><Relationship Id="rId13" Type="http://schemas.openxmlformats.org/officeDocument/2006/relationships/hyperlink" Target="mailto:gregory.price@puco.ohio.gov" TargetMode="External" /><Relationship Id="rId14" Type="http://schemas.openxmlformats.org/officeDocument/2006/relationships/hyperlink" Target="mailto:edanford@firstenergycorp.com" TargetMode="External" /><Relationship Id="rId15" Type="http://schemas.openxmlformats.org/officeDocument/2006/relationships/hyperlink" Target="mailto:cwatchorn@firstenergycorp.com" TargetMode="External" /><Relationship Id="rId16" Type="http://schemas.openxmlformats.org/officeDocument/2006/relationships/hyperlink" Target="mailto:jlang@calfee.com" TargetMode="External" /><Relationship Id="rId17" Type="http://schemas.openxmlformats.org/officeDocument/2006/relationships/hyperlink" Target="mailto:dborchers@bricker.com" TargetMode="External" /><Relationship Id="rId18" Type="http://schemas.openxmlformats.org/officeDocument/2006/relationships/hyperlink" Target="mailto:dparram@bricker.com" TargetMode="External" /><Relationship Id="rId19" Type="http://schemas.openxmlformats.org/officeDocument/2006/relationships/hyperlink" Target="mailto:bojko@carpenterlipps.com" TargetMode="External" /><Relationship Id="rId2" Type="http://schemas.openxmlformats.org/officeDocument/2006/relationships/settings" Target="settings.xml" /><Relationship Id="rId20" Type="http://schemas.openxmlformats.org/officeDocument/2006/relationships/hyperlink" Target="mailto:gkrassen@bricker.com" TargetMode="External" /><Relationship Id="rId21" Type="http://schemas.openxmlformats.org/officeDocument/2006/relationships/hyperlink" Target="mailto:dstinson@bricker.com" TargetMode="Externa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christopher.healey@occ.ohio.gov" TargetMode="External" /><Relationship Id="rId9" Type="http://schemas.openxmlformats.org/officeDocument/2006/relationships/hyperlink" Target="mailto:angela.obrien@occ.ohi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dis.puc.state.oh.us/DocumentRecord.aspx?DocID=0bdf562b-f516-4ef2-b29e-9b78ec1673a6" TargetMode="External" /><Relationship Id="rId2" Type="http://schemas.openxmlformats.org/officeDocument/2006/relationships/hyperlink" Target="http://dis.puc.state.oh.us/DocumentRecord.aspx?DocID=6fe58987-8a83-4588-a5b5-aa1c64f40f9d" TargetMode="External" /><Relationship Id="rId3" Type="http://schemas.openxmlformats.org/officeDocument/2006/relationships/hyperlink" Target="http://dis.puc.state.oh.us/DocumentRecord.aspx?DocID=4a191fd9-8543-4a9f-bd33-42bf9914f60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E85C-A21C-4ECC-80CB-68CB34DE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FE 19-2089 - Reply ISO Motion.mrw.dfs  (00142330.DOCX;1)</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2020-02-26T14:26:10Z</dcterms:created>
  <dcterms:modified xsi:type="dcterms:W3CDTF">2020-02-26T14:26:10Z</dcterms:modified>
</cp:coreProperties>
</file>