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D310A7" w:rsidRPr="004534E8">
      <w:pPr>
        <w:pStyle w:val="HTMLPreformatted"/>
        <w:jc w:val="center"/>
        <w:rPr>
          <w:rFonts w:ascii="Times New Roman" w:hAnsi="Times New Roman"/>
          <w:b/>
          <w:bCs/>
          <w:sz w:val="24"/>
        </w:rPr>
      </w:pPr>
      <w:bookmarkStart w:id="0" w:name="_GoBack"/>
      <w:bookmarkEnd w:id="0"/>
      <w:r w:rsidRPr="004534E8">
        <w:rPr>
          <w:rFonts w:ascii="Times New Roman" w:hAnsi="Times New Roman"/>
          <w:b/>
          <w:bCs/>
          <w:sz w:val="24"/>
        </w:rPr>
        <w:t>BEFORE</w:t>
      </w:r>
    </w:p>
    <w:p w:rsidR="00D310A7" w:rsidRPr="004534E8">
      <w:pPr>
        <w:pStyle w:val="HTMLPreformatted"/>
        <w:jc w:val="center"/>
        <w:rPr>
          <w:rFonts w:ascii="Times New Roman" w:hAnsi="Times New Roman"/>
          <w:b/>
          <w:bCs/>
          <w:sz w:val="24"/>
        </w:rPr>
      </w:pPr>
      <w:r w:rsidRPr="004534E8">
        <w:rPr>
          <w:rFonts w:ascii="Times New Roman" w:hAnsi="Times New Roman"/>
          <w:b/>
          <w:bCs/>
          <w:sz w:val="24"/>
        </w:rPr>
        <w:t>THE PUBLIC UTILITIES COMMISSION OF OHIO</w:t>
      </w:r>
    </w:p>
    <w:p w:rsidR="00D310A7" w:rsidRPr="004534E8">
      <w:pPr>
        <w:pStyle w:val="HTMLPreformatted"/>
        <w:jc w:val="center"/>
        <w:rPr>
          <w:rFonts w:ascii="Times New Roman" w:hAnsi="Times New Roman"/>
          <w:b/>
          <w:bCs/>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D310A7">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6E06C3" w:rsidRPr="004534E8" w:rsidP="00D310A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4534E8">
              <w:rPr>
                <w:rFonts w:ascii="Times New Roman" w:eastAsia="Courier New" w:hAnsi="Times New Roman" w:cs="Times New Roman"/>
                <w:sz w:val="24"/>
                <w:szCs w:val="24"/>
                <w:lang w:val="en-US" w:eastAsia="en-US" w:bidi="ar-SA"/>
              </w:rPr>
              <w:t>In the Matter of the 2011 through 2016 Review of the Energy Efficiency Rider Contained in the Tariffs of Ohio Power Company</w:t>
            </w:r>
            <w:r>
              <w:rPr>
                <w:rFonts w:ascii="Times New Roman" w:eastAsia="Courier New" w:hAnsi="Times New Roman" w:cs="Times New Roman"/>
                <w:sz w:val="24"/>
                <w:szCs w:val="24"/>
                <w:lang w:val="en-US" w:eastAsia="en-US" w:bidi="ar-SA"/>
              </w:rPr>
              <w:t>.</w:t>
            </w:r>
          </w:p>
          <w:p w:rsidR="002263B0" w:rsidRPr="004534E8" w:rsidP="00D310A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tc>
        <w:tc>
          <w:tcPr>
            <w:tcW w:w="360" w:type="dxa"/>
            <w:shd w:val="clear" w:color="auto" w:fill="auto"/>
          </w:tcPr>
          <w:p w:rsidR="00D310A7" w:rsidRPr="004534E8" w:rsidP="00D310A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4534E8">
              <w:rPr>
                <w:rFonts w:ascii="Times New Roman" w:eastAsia="Courier New" w:hAnsi="Times New Roman" w:cs="Courier New"/>
                <w:sz w:val="24"/>
                <w:lang w:val="en-US" w:eastAsia="en-US" w:bidi="ar-SA"/>
              </w:rPr>
              <w:t>)</w:t>
            </w:r>
          </w:p>
          <w:p w:rsidR="00D310A7" w:rsidRPr="004534E8" w:rsidP="00D310A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4534E8">
              <w:rPr>
                <w:rFonts w:ascii="Times New Roman" w:eastAsia="Courier New" w:hAnsi="Times New Roman" w:cs="Courier New"/>
                <w:sz w:val="24"/>
                <w:lang w:val="en-US" w:eastAsia="en-US" w:bidi="ar-SA"/>
              </w:rPr>
              <w:t>)</w:t>
            </w:r>
          </w:p>
          <w:p w:rsidR="00D310A7" w:rsidRPr="004534E8" w:rsidP="00D310A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4534E8">
              <w:rPr>
                <w:rFonts w:ascii="Times New Roman" w:eastAsia="Courier New" w:hAnsi="Times New Roman" w:cs="Courier New"/>
                <w:sz w:val="24"/>
                <w:lang w:val="en-US" w:eastAsia="en-US" w:bidi="ar-SA"/>
              </w:rPr>
              <w:t>)</w:t>
            </w:r>
          </w:p>
          <w:p w:rsidR="002263B0" w:rsidRPr="004534E8" w:rsidP="00D310A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4534E8">
              <w:rPr>
                <w:rFonts w:ascii="Times New Roman" w:eastAsia="Courier New" w:hAnsi="Times New Roman" w:cs="Courier New"/>
                <w:sz w:val="24"/>
                <w:lang w:val="en-US" w:eastAsia="en-US" w:bidi="ar-SA"/>
              </w:rPr>
              <w:t>)</w:t>
            </w:r>
          </w:p>
        </w:tc>
        <w:tc>
          <w:tcPr>
            <w:tcW w:w="4400" w:type="dxa"/>
            <w:shd w:val="clear" w:color="auto" w:fill="auto"/>
          </w:tcPr>
          <w:p w:rsidR="00D310A7" w:rsidRPr="004534E8" w:rsidP="00D310A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D310A7" w:rsidRPr="004534E8" w:rsidP="00D310A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4534E8">
              <w:rPr>
                <w:rFonts w:ascii="Times New Roman" w:eastAsia="Courier New" w:hAnsi="Times New Roman" w:cs="Courier New"/>
                <w:sz w:val="24"/>
                <w:lang w:val="en-US" w:eastAsia="en-US" w:bidi="ar-SA"/>
              </w:rPr>
              <w:t>Case No. 17-0030-EL-RDR</w:t>
            </w:r>
          </w:p>
          <w:p w:rsidR="00D310A7" w:rsidRPr="004534E8" w:rsidP="00D310A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D310A7" w:rsidRPr="004534E8">
      <w:pPr>
        <w:pStyle w:val="HTMLPreformatted"/>
        <w:pBdr>
          <w:top w:val="single" w:sz="12" w:space="1" w:color="auto"/>
        </w:pBdr>
        <w:rPr>
          <w:rFonts w:ascii="Times New Roman" w:hAnsi="Times New Roman"/>
          <w:sz w:val="24"/>
        </w:rPr>
      </w:pPr>
    </w:p>
    <w:p w:rsidR="00D310A7" w:rsidRPr="004534E8">
      <w:pPr>
        <w:jc w:val="center"/>
        <w:rPr>
          <w:b/>
          <w:bCs/>
        </w:rPr>
      </w:pPr>
      <w:r>
        <w:rPr>
          <w:b/>
          <w:bCs/>
        </w:rPr>
        <w:t xml:space="preserve">REPLY </w:t>
      </w:r>
      <w:r w:rsidRPr="004534E8">
        <w:rPr>
          <w:b/>
          <w:bCs/>
        </w:rPr>
        <w:t>COMMENTS</w:t>
      </w:r>
    </w:p>
    <w:p w:rsidR="00D310A7" w:rsidRPr="004534E8">
      <w:pPr>
        <w:jc w:val="center"/>
        <w:rPr>
          <w:b/>
          <w:bCs/>
        </w:rPr>
      </w:pPr>
      <w:r w:rsidRPr="004534E8">
        <w:rPr>
          <w:b/>
          <w:bCs/>
        </w:rPr>
        <w:t>BY</w:t>
      </w:r>
    </w:p>
    <w:p w:rsidR="00D310A7" w:rsidRPr="004534E8">
      <w:pPr>
        <w:jc w:val="center"/>
        <w:rPr>
          <w:b/>
          <w:bCs/>
        </w:rPr>
      </w:pPr>
      <w:r w:rsidRPr="004534E8">
        <w:rPr>
          <w:b/>
          <w:bCs/>
        </w:rPr>
        <w:t>THE OFFICE OF THE OHIO CONSUMERS’ COUNSEL</w:t>
      </w:r>
    </w:p>
    <w:p w:rsidR="00D310A7" w:rsidRPr="004534E8">
      <w:pPr>
        <w:pBdr>
          <w:bottom w:val="single" w:sz="12" w:space="1" w:color="auto"/>
        </w:pBdr>
        <w:tabs>
          <w:tab w:val="left" w:pos="4320"/>
        </w:tabs>
      </w:pPr>
    </w:p>
    <w:p w:rsidR="00D310A7" w:rsidRPr="004534E8">
      <w:pPr>
        <w:tabs>
          <w:tab w:val="left" w:pos="4320"/>
        </w:tabs>
      </w:pPr>
    </w:p>
    <w:p w:rsidR="00A83884" w:rsidP="00653D75">
      <w:pPr>
        <w:pStyle w:val="BodyTextIndent3"/>
        <w:spacing w:line="480" w:lineRule="auto"/>
        <w:ind w:right="-317"/>
      </w:pPr>
      <w:r>
        <w:t>The Public Utilities Commission of Ohio (“PUCO”) should adopt the recommendations that the Office of the Ohio Consumers’ Counsel (“OCC”) made in its initial comments in this case.</w:t>
      </w:r>
      <w:r>
        <w:rPr>
          <w:rStyle w:val="FootnoteReference"/>
        </w:rPr>
        <w:footnoteReference w:id="2"/>
      </w:r>
      <w:r>
        <w:t xml:space="preserve"> It should reject AEP’s comments, which seek to charge customers for energy efficiency costs that an independent auditor (the “Auditor”) found to be imprudent.</w:t>
      </w:r>
      <w:r>
        <w:rPr>
          <w:rStyle w:val="FootnoteReference"/>
        </w:rPr>
        <w:footnoteReference w:id="3"/>
      </w:r>
    </w:p>
    <w:p w:rsidR="005A38AD" w:rsidP="005A38AD">
      <w:pPr>
        <w:pStyle w:val="BodyTextIndent3"/>
        <w:spacing w:line="240" w:lineRule="auto"/>
        <w:ind w:right="-317"/>
      </w:pPr>
    </w:p>
    <w:p w:rsidR="00A04039" w:rsidRPr="00B83802" w:rsidP="00B83802">
      <w:pPr>
        <w:pStyle w:val="BodyTextIndent3"/>
        <w:keepNext/>
        <w:keepLines/>
        <w:spacing w:after="240" w:line="240" w:lineRule="auto"/>
        <w:ind w:right="-317" w:firstLine="0"/>
        <w:rPr>
          <w:b/>
        </w:rPr>
      </w:pPr>
      <w:r>
        <w:rPr>
          <w:b/>
        </w:rPr>
        <w:t>I.</w:t>
      </w:r>
      <w:r>
        <w:rPr>
          <w:b/>
        </w:rPr>
        <w:tab/>
        <w:t>REPLY TO AEP’S COMMENTS</w:t>
      </w:r>
    </w:p>
    <w:p w:rsidR="00FC71D9" w:rsidRPr="00FC71D9" w:rsidP="005A38AD">
      <w:pPr>
        <w:pStyle w:val="BodyTextIndent3"/>
        <w:keepNext/>
        <w:keepLines/>
        <w:spacing w:after="240" w:line="240" w:lineRule="auto"/>
        <w:ind w:left="1440" w:right="720" w:hanging="720"/>
        <w:rPr>
          <w:b/>
        </w:rPr>
      </w:pPr>
      <w:r>
        <w:rPr>
          <w:b/>
        </w:rPr>
        <w:t>A.</w:t>
      </w:r>
      <w:r>
        <w:rPr>
          <w:b/>
        </w:rPr>
        <w:tab/>
        <w:t>The PUCO should reject AEP’s plea to double-charge customers for energy efficiency labor costs.</w:t>
      </w:r>
    </w:p>
    <w:p w:rsidR="00171E17" w:rsidP="00653D75">
      <w:pPr>
        <w:pStyle w:val="BodyTextIndent3"/>
        <w:spacing w:line="480" w:lineRule="auto"/>
        <w:ind w:right="-317"/>
      </w:pPr>
      <w:r>
        <w:t>The Auditor recommended that AEP not be allowed to charge customers twice for the same labor.</w:t>
      </w:r>
      <w:r>
        <w:rPr>
          <w:rStyle w:val="FootnoteReference"/>
        </w:rPr>
        <w:footnoteReference w:id="4"/>
      </w:r>
      <w:r>
        <w:t xml:space="preserve"> One need not be a regulatory expert to understand that this recommendation makes sense. Yet AEP argues that it should, in fact, be allowed to charge customers for energy efficiency labor </w:t>
      </w:r>
      <w:r>
        <w:rPr>
          <w:i/>
        </w:rPr>
        <w:t>both</w:t>
      </w:r>
      <w:r>
        <w:t xml:space="preserve"> in base rates </w:t>
      </w:r>
      <w:r>
        <w:rPr>
          <w:i/>
        </w:rPr>
        <w:t>and</w:t>
      </w:r>
      <w:r>
        <w:t xml:space="preserve"> through the energy efficiency rider.</w:t>
      </w:r>
      <w:r>
        <w:rPr>
          <w:rStyle w:val="FootnoteReference"/>
        </w:rPr>
        <w:footnoteReference w:id="5"/>
      </w:r>
      <w:r>
        <w:t xml:space="preserve"> </w:t>
      </w:r>
      <w:r>
        <w:t>According to AEP, it should be allowed to include an employee’s labor costs in the test year for its base rates, charge customers for those labor costs through base rates, and then charge customers again for those same costs through the energy efficiency rider.</w:t>
      </w:r>
      <w:r>
        <w:rPr>
          <w:rStyle w:val="FootnoteReference"/>
        </w:rPr>
        <w:footnoteReference w:id="6"/>
      </w:r>
      <w:r>
        <w:t xml:space="preserve"> The PUCO should waste little effort evaluating AEP’s facially unfair proposal. It should be rejected.</w:t>
      </w:r>
    </w:p>
    <w:p w:rsidR="00A04039" w:rsidRPr="00A04039" w:rsidP="005A38AD">
      <w:pPr>
        <w:pStyle w:val="BodyTextIndent3"/>
        <w:keepNext/>
        <w:keepLines/>
        <w:spacing w:after="240" w:line="240" w:lineRule="auto"/>
        <w:ind w:left="1440" w:right="720" w:hanging="720"/>
        <w:rPr>
          <w:b/>
        </w:rPr>
      </w:pPr>
      <w:r>
        <w:rPr>
          <w:b/>
        </w:rPr>
        <w:t>B.</w:t>
      </w:r>
      <w:r>
        <w:rPr>
          <w:b/>
        </w:rPr>
        <w:tab/>
        <w:t>AEP’s shareholders benefit from AEP’s financial success, so they should pay for employee incentives that are tied to AEP’s financial success.</w:t>
      </w:r>
    </w:p>
    <w:p w:rsidR="00A04039" w:rsidRPr="00A04039" w:rsidP="00653D75">
      <w:pPr>
        <w:pStyle w:val="BodyTextIndent3"/>
        <w:spacing w:line="480" w:lineRule="auto"/>
        <w:ind w:right="-317"/>
        <w:rPr>
          <w:i/>
        </w:rPr>
      </w:pPr>
      <w:r>
        <w:t>The Auditor recommended disallowing certain charges to customers for employee incentive pay, and OCC recommended additional disallowances beyond those that the Auditor proposed.</w:t>
      </w:r>
      <w:r>
        <w:rPr>
          <w:rStyle w:val="FootnoteReference"/>
        </w:rPr>
        <w:footnoteReference w:id="7"/>
      </w:r>
      <w:r>
        <w:t xml:space="preserve"> In its comments, AEP defends these charges to consumers on the grounds that, according to AEP, these financial incentives are necessary to retain top employees.</w:t>
      </w:r>
      <w:r>
        <w:rPr>
          <w:rStyle w:val="FootnoteReference"/>
        </w:rPr>
        <w:footnoteReference w:id="8"/>
      </w:r>
      <w:r>
        <w:t xml:space="preserve"> AEP should want to retain its best employees. But consistent with PUCO precedent,</w:t>
      </w:r>
      <w:r>
        <w:rPr>
          <w:rStyle w:val="FootnoteReference"/>
        </w:rPr>
        <w:footnoteReference w:id="9"/>
      </w:r>
      <w:r>
        <w:t xml:space="preserve"> incentivizing employees to stay by rewarding them for AEP’s financial performance benefits AEP’s shareholders, not its customers, so it makes sense that shareholders should pay for those incentives.</w:t>
      </w:r>
    </w:p>
    <w:p w:rsidR="00A04039" w:rsidRPr="00A04039" w:rsidP="00A70541">
      <w:pPr>
        <w:pStyle w:val="BodyTextIndent3"/>
        <w:keepNext/>
        <w:keepLines/>
        <w:spacing w:after="240" w:line="240" w:lineRule="auto"/>
        <w:ind w:left="1440" w:right="720" w:hanging="720"/>
        <w:rPr>
          <w:b/>
        </w:rPr>
      </w:pPr>
      <w:r>
        <w:rPr>
          <w:b/>
        </w:rPr>
        <w:t>C.</w:t>
      </w:r>
      <w:r>
        <w:rPr>
          <w:b/>
        </w:rPr>
        <w:tab/>
        <w:t>The PUCO’s PowerForward initiative has nothing to do with incentives to AEP employees for improving AEP’s bottom line.</w:t>
      </w:r>
    </w:p>
    <w:p w:rsidR="00A04039" w:rsidP="00653D75">
      <w:pPr>
        <w:pStyle w:val="BodyTextIndent3"/>
        <w:spacing w:line="480" w:lineRule="auto"/>
        <w:ind w:right="-317"/>
      </w:pPr>
      <w:r>
        <w:t xml:space="preserve">In an attempt to justify charging customers for incentive pay to AEP employees, AEP makes a strained comparison between the PUCO’s PowerForward initiative and AEP employee incentives. According to AEP, because the PUCO mentioned performance-based </w:t>
      </w:r>
      <w:r>
        <w:t xml:space="preserve">in PowerForward, customers should pay when AEP decides to give a bonus to its employees based on AEP’s profits. But AEP ignores the fact that the energy efficiency rider being audited already provides a huge performance-based incentive for AEP: during the audit period, AEP charged customers over </w:t>
      </w:r>
      <w:r>
        <w:rPr>
          <w:i/>
        </w:rPr>
        <w:t>$170 million</w:t>
      </w:r>
      <w:r>
        <w:t xml:space="preserve"> in utility profits (shared savings).</w:t>
      </w:r>
      <w:r>
        <w:rPr>
          <w:rStyle w:val="FootnoteReference"/>
        </w:rPr>
        <w:footnoteReference w:id="10"/>
      </w:r>
      <w:r>
        <w:t xml:space="preserve"> If AEP wants to reward its employees for their contribution to the success of its energy efficiency programs, it should share some of that $170 million with its employees, rather than asking customers to pay even more to reward AEP’s employees.</w:t>
      </w:r>
    </w:p>
    <w:p w:rsidR="00633282" w:rsidRPr="00633282" w:rsidP="005A38AD">
      <w:pPr>
        <w:pStyle w:val="BodyTextIndent3"/>
        <w:keepNext/>
        <w:keepLines/>
        <w:spacing w:after="240" w:line="240" w:lineRule="auto"/>
        <w:ind w:left="1440" w:right="720" w:hanging="720"/>
        <w:rPr>
          <w:b/>
        </w:rPr>
      </w:pPr>
      <w:r>
        <w:rPr>
          <w:b/>
        </w:rPr>
        <w:t>D.</w:t>
      </w:r>
      <w:r>
        <w:rPr>
          <w:b/>
        </w:rPr>
        <w:tab/>
        <w:t xml:space="preserve">The PUCO should reject AEP’s frivolous argument that customers, and not shareholders, are the ones who benefit when AEP increases its profits. </w:t>
      </w:r>
    </w:p>
    <w:p w:rsidR="00A04039" w:rsidRPr="00633282" w:rsidP="00653D75">
      <w:pPr>
        <w:pStyle w:val="BodyTextIndent3"/>
        <w:spacing w:line="480" w:lineRule="auto"/>
        <w:ind w:right="-317"/>
      </w:pPr>
      <w:r>
        <w:t>In what is becoming a recurring theme in Ohio utility filings, AEP suggests that the PUCO should make customers pay for utility employees’ financial bonuses because of concerns for AEP’s credit ratings.</w:t>
      </w:r>
      <w:r>
        <w:rPr>
          <w:rStyle w:val="FootnoteReference"/>
        </w:rPr>
        <w:footnoteReference w:id="11"/>
      </w:r>
      <w:r>
        <w:t xml:space="preserve"> By AEP’s logic, anything that improves the utility’s shareholders’ profits (return on equity) is good for consumers because it could conceivably improve the utility’s credit ratings, which could conceivably lower the rate that the utility pays for debt, which could conceivably eventually find its way back to customers through lower base rates. The connection between a utility’s improved ROE and the benefits to customers through lower base rates is tenuous, if it exists at all. But improvements to a utility’s ROE are the very definition of shareholder profits. AEP’s suggestion that customers, and not shareholders, are the primary beneficiaries of AEP’s increased profits, is frivolous.</w:t>
      </w:r>
    </w:p>
    <w:p w:rsidR="00A04039" w:rsidRPr="00171E17" w:rsidP="005A38AD">
      <w:pPr>
        <w:pStyle w:val="BodyTextIndent3"/>
        <w:keepNext/>
        <w:keepLines/>
        <w:spacing w:after="240" w:line="240" w:lineRule="auto"/>
        <w:ind w:left="1440" w:right="720" w:hanging="720"/>
        <w:rPr>
          <w:b/>
        </w:rPr>
      </w:pPr>
      <w:r>
        <w:rPr>
          <w:b/>
        </w:rPr>
        <w:t>E.</w:t>
      </w:r>
      <w:r>
        <w:rPr>
          <w:b/>
        </w:rPr>
        <w:tab/>
        <w:t>The PUCO should reject AEP’s request to charge customers for gift cards distributed during out-of-state seminars.</w:t>
      </w:r>
    </w:p>
    <w:p w:rsidR="00FC71D9" w:rsidP="00653D75">
      <w:pPr>
        <w:pStyle w:val="BodyTextIndent3"/>
        <w:spacing w:line="480" w:lineRule="auto"/>
        <w:ind w:right="-317"/>
      </w:pPr>
      <w:r>
        <w:t>AEP argues that it should be allowed to charge customers for gift cards that it gave out during conferences because, according to AEP, they were “used to attract customers to the Company’s booth at conferences, trade shows and seminars.”</w:t>
      </w:r>
      <w:r>
        <w:rPr>
          <w:rStyle w:val="FootnoteReference"/>
        </w:rPr>
        <w:footnoteReference w:id="12"/>
      </w:r>
      <w:r>
        <w:t xml:space="preserve"> As OCC explained in its initial comments, these gift cards were distributed outside the state of Ohio.</w:t>
      </w:r>
      <w:r>
        <w:rPr>
          <w:rStyle w:val="FootnoteReference"/>
        </w:rPr>
        <w:footnoteReference w:id="13"/>
      </w:r>
      <w:r>
        <w:t xml:space="preserve"> It is unreasonable to assume that any of AEP’s Ohio customers are traveling out of state to attend energy efficiency conferences, trade shows, and seminars, and thus in any way benefit from these gift cards. Customers should not pay for them.</w:t>
      </w:r>
    </w:p>
    <w:p w:rsidR="00171E17" w:rsidRPr="00171E17" w:rsidP="005A38AD">
      <w:pPr>
        <w:pStyle w:val="BodyTextIndent3"/>
        <w:keepNext/>
        <w:keepLines/>
        <w:spacing w:after="240" w:line="240" w:lineRule="auto"/>
        <w:ind w:left="1440" w:right="720" w:hanging="720"/>
        <w:rPr>
          <w:b/>
        </w:rPr>
      </w:pPr>
      <w:r>
        <w:rPr>
          <w:b/>
        </w:rPr>
        <w:t>F.</w:t>
      </w:r>
      <w:r>
        <w:rPr>
          <w:b/>
        </w:rPr>
        <w:tab/>
        <w:t>Customers should not pay for AEP employees to attend sporting events, even if those events were not “lavish” or “elaborate.”</w:t>
      </w:r>
    </w:p>
    <w:p w:rsidR="00FC71D9" w:rsidP="00653D75">
      <w:pPr>
        <w:pStyle w:val="BodyTextIndent3"/>
        <w:spacing w:line="480" w:lineRule="auto"/>
        <w:ind w:right="-317"/>
      </w:pPr>
      <w:r>
        <w:t>AEP wants to charge customers the cost for its employees to attend sporting and other entertainment events. The only defense that AEP can muster for these charges is that the events were “not lavish, elaborate or unreasonable.”</w:t>
      </w:r>
      <w:r>
        <w:rPr>
          <w:rStyle w:val="FootnoteReference"/>
        </w:rPr>
        <w:footnoteReference w:id="14"/>
      </w:r>
      <w:r>
        <w:t xml:space="preserve"> Customers should not pay for AEP employees to watch basketball, even if watching basketball falls short of being “lavish” or “elaborate.”</w:t>
      </w:r>
    </w:p>
    <w:p w:rsidR="00FC71D9" w:rsidRPr="00B83802" w:rsidP="005A38AD">
      <w:pPr>
        <w:pStyle w:val="BodyTextIndent3"/>
        <w:keepNext/>
        <w:keepLines/>
        <w:spacing w:after="240" w:line="240" w:lineRule="auto"/>
        <w:ind w:left="1440" w:right="720" w:hanging="720"/>
        <w:rPr>
          <w:b/>
        </w:rPr>
      </w:pPr>
      <w:r>
        <w:rPr>
          <w:b/>
        </w:rPr>
        <w:t>G.</w:t>
      </w:r>
      <w:r>
        <w:rPr>
          <w:b/>
        </w:rPr>
        <w:tab/>
        <w:t>OCC agrees with AEP’s view that the Ohio technical reference manual should be updated periodically.</w:t>
      </w:r>
    </w:p>
    <w:p w:rsidR="00FC71D9" w:rsidP="00653D75">
      <w:pPr>
        <w:pStyle w:val="BodyTextIndent3"/>
        <w:spacing w:line="480" w:lineRule="auto"/>
        <w:ind w:right="-317"/>
      </w:pPr>
      <w:r>
        <w:t>In its comments, AEP states that the Ohio technical reference manual (“TRM”), which provides assumptions for evaluating the cost-effectiveness of energy efficiency programs, “should be updated on a regular basis to incorporate [] new information.”</w:t>
      </w:r>
      <w:r>
        <w:rPr>
          <w:rStyle w:val="FootnoteReference"/>
        </w:rPr>
        <w:footnoteReference w:id="15"/>
      </w:r>
      <w:r>
        <w:t xml:space="preserve"> OCC agrees that the TRM should be updated periodically so that assumptions regarding measure lives and energy savings are more accurate.</w:t>
      </w:r>
    </w:p>
    <w:p w:rsidR="00A70541" w:rsidP="00A70541">
      <w:pPr>
        <w:pStyle w:val="BodyTextIndent3"/>
        <w:spacing w:line="240" w:lineRule="auto"/>
        <w:ind w:right="-317"/>
      </w:pPr>
    </w:p>
    <w:p w:rsidR="00D310A7" w:rsidRPr="004534E8" w:rsidP="00030121">
      <w:pPr>
        <w:keepNext/>
        <w:keepLines/>
        <w:spacing w:after="240"/>
        <w:ind w:left="720" w:hanging="720"/>
      </w:pPr>
      <w:r w:rsidRPr="004534E8">
        <w:rPr>
          <w:b/>
        </w:rPr>
        <w:t>II.</w:t>
      </w:r>
      <w:r w:rsidRPr="004534E8">
        <w:rPr>
          <w:b/>
        </w:rPr>
        <w:tab/>
        <w:t>CONCLUSION</w:t>
      </w:r>
    </w:p>
    <w:p w:rsidR="00FC0C83" w:rsidP="00D02933">
      <w:pPr>
        <w:pStyle w:val="BodyTextIndent3"/>
        <w:spacing w:line="480" w:lineRule="auto"/>
        <w:ind w:right="-317"/>
      </w:pPr>
      <w:r>
        <w:t>The Auditor in this case found that certain charges to consumers were imprudent. The PUCO should adopt the Auditor’s recommendations, as supplemented by OCC’s Initial Comments. The PUCO should reject AEP’s request to charge customers for the imprudent expenses.</w:t>
      </w:r>
    </w:p>
    <w:p w:rsidR="00F10409" w:rsidRPr="004534E8" w:rsidP="00F10409">
      <w:pPr>
        <w:pStyle w:val="BodyTextIndent3"/>
        <w:widowControl w:val="0"/>
        <w:spacing w:line="480" w:lineRule="auto"/>
        <w:ind w:left="3600"/>
        <w:rPr>
          <w:szCs w:val="24"/>
        </w:rPr>
      </w:pPr>
      <w:r w:rsidRPr="004534E8">
        <w:rPr>
          <w:szCs w:val="24"/>
        </w:rPr>
        <w:t>Respectfully submitted,</w:t>
      </w:r>
    </w:p>
    <w:p w:rsidR="00F10409" w:rsidRPr="004534E8" w:rsidP="00F10409">
      <w:pPr>
        <w:ind w:left="4320"/>
      </w:pPr>
      <w:r w:rsidRPr="004534E8">
        <w:t>Bruce Weston (0016973)</w:t>
      </w:r>
    </w:p>
    <w:p w:rsidR="00F10409" w:rsidRPr="004534E8" w:rsidP="00F10409">
      <w:pPr>
        <w:tabs>
          <w:tab w:val="left" w:pos="4320"/>
        </w:tabs>
        <w:ind w:left="4320"/>
      </w:pPr>
      <w:r w:rsidRPr="004534E8">
        <w:t>Ohio Consumers' Counsel</w:t>
      </w:r>
    </w:p>
    <w:p w:rsidR="00F10409" w:rsidRPr="004534E8" w:rsidP="00F10409">
      <w:pPr>
        <w:tabs>
          <w:tab w:val="left" w:pos="4320"/>
        </w:tabs>
        <w:ind w:left="4320"/>
      </w:pPr>
    </w:p>
    <w:p w:rsidR="00F10409" w:rsidRPr="004534E8" w:rsidP="00F10409">
      <w:pPr>
        <w:autoSpaceDE w:val="0"/>
        <w:autoSpaceDN w:val="0"/>
        <w:adjustRightInd w:val="0"/>
        <w:ind w:left="4320"/>
        <w:rPr>
          <w:i/>
        </w:rPr>
      </w:pPr>
      <w:r>
        <w:rPr>
          <w:i/>
          <w:u w:val="single"/>
        </w:rPr>
        <w:t>/s/ Christopher Healey</w:t>
      </w:r>
      <w:r w:rsidRPr="004534E8">
        <w:rPr>
          <w:i/>
          <w:u w:val="single"/>
        </w:rPr>
        <w:tab/>
      </w:r>
      <w:r>
        <w:rPr>
          <w:i/>
          <w:u w:val="single"/>
        </w:rPr>
        <w:tab/>
      </w:r>
    </w:p>
    <w:p w:rsidR="00F10409" w:rsidRPr="004534E8" w:rsidP="00F10409">
      <w:pPr>
        <w:tabs>
          <w:tab w:val="left" w:pos="4320"/>
        </w:tabs>
        <w:ind w:left="4320"/>
      </w:pPr>
      <w:r w:rsidRPr="004534E8">
        <w:t>Christopher Healey (0086027)</w:t>
      </w:r>
    </w:p>
    <w:p w:rsidR="00F10409" w:rsidRPr="004534E8" w:rsidP="00F10409">
      <w:pPr>
        <w:tabs>
          <w:tab w:val="left" w:pos="4320"/>
        </w:tabs>
        <w:ind w:left="4320"/>
      </w:pPr>
      <w:r w:rsidRPr="004534E8">
        <w:t>Counsel of Record</w:t>
      </w:r>
    </w:p>
    <w:p w:rsidR="00F10409" w:rsidRPr="004534E8" w:rsidP="00F10409">
      <w:pPr>
        <w:tabs>
          <w:tab w:val="left" w:pos="4320"/>
        </w:tabs>
        <w:ind w:left="4320"/>
      </w:pPr>
      <w:r w:rsidRPr="004534E8">
        <w:t>Bryce McKenney (0088203)</w:t>
      </w:r>
    </w:p>
    <w:p w:rsidR="00F10409" w:rsidRPr="004534E8" w:rsidP="00F10409">
      <w:pPr>
        <w:tabs>
          <w:tab w:val="left" w:pos="4320"/>
        </w:tabs>
        <w:ind w:left="4320"/>
      </w:pPr>
      <w:r w:rsidRPr="004534E8">
        <w:t>Assistant Consumers’ Counsel</w:t>
      </w:r>
      <w:r w:rsidRPr="004534E8">
        <w:br/>
      </w:r>
    </w:p>
    <w:p w:rsidR="00F10409" w:rsidRPr="004534E8" w:rsidP="00F10409">
      <w:pPr>
        <w:tabs>
          <w:tab w:val="left" w:pos="4320"/>
        </w:tabs>
        <w:ind w:left="4320"/>
        <w:rPr>
          <w:b/>
        </w:rPr>
      </w:pPr>
      <w:r w:rsidRPr="004534E8">
        <w:rPr>
          <w:b/>
        </w:rPr>
        <w:t>Office of the Ohio Consumers' Counsel</w:t>
      </w:r>
    </w:p>
    <w:p w:rsidR="00F10409" w:rsidRPr="004534E8" w:rsidP="00F10409">
      <w:pPr>
        <w:tabs>
          <w:tab w:val="left" w:pos="4320"/>
        </w:tabs>
        <w:ind w:left="4320"/>
      </w:pPr>
      <w:r w:rsidRPr="004534E8">
        <w:t>65 E. State Street, 7</w:t>
      </w:r>
      <w:r w:rsidRPr="004534E8">
        <w:rPr>
          <w:vertAlign w:val="superscript"/>
        </w:rPr>
        <w:t>th</w:t>
      </w:r>
      <w:r w:rsidRPr="004534E8">
        <w:t xml:space="preserve"> Floor</w:t>
      </w:r>
    </w:p>
    <w:p w:rsidR="00F10409" w:rsidRPr="004534E8" w:rsidP="00F10409">
      <w:pPr>
        <w:tabs>
          <w:tab w:val="left" w:pos="4320"/>
        </w:tabs>
        <w:ind w:left="4320"/>
      </w:pPr>
      <w:r w:rsidRPr="004534E8">
        <w:t>Columbus, Ohio 43215</w:t>
      </w:r>
      <w:r>
        <w:t>-4213</w:t>
      </w:r>
    </w:p>
    <w:p w:rsidR="00F10409" w:rsidRPr="004534E8" w:rsidP="00F10409">
      <w:pPr>
        <w:tabs>
          <w:tab w:val="left" w:pos="4320"/>
        </w:tabs>
        <w:ind w:left="4320"/>
      </w:pPr>
      <w:r w:rsidRPr="004534E8">
        <w:t>Telephone: (614) 466-9571 (Healey)</w:t>
      </w:r>
    </w:p>
    <w:p w:rsidR="00F10409" w:rsidRPr="004534E8" w:rsidP="00F10409">
      <w:pPr>
        <w:tabs>
          <w:tab w:val="left" w:pos="4320"/>
        </w:tabs>
        <w:ind w:left="4320"/>
      </w:pPr>
      <w:r w:rsidRPr="004534E8">
        <w:t xml:space="preserve">Telephone: (614) 466-9585 (McKenney) </w:t>
      </w:r>
    </w:p>
    <w:p w:rsidR="00F10409" w:rsidP="00F10409">
      <w:pPr>
        <w:ind w:left="4320"/>
      </w:pPr>
      <w:r>
        <w:fldChar w:fldCharType="begin"/>
      </w:r>
      <w:r>
        <w:instrText xml:space="preserve"> HYPERLINK "mailto:christopher.healey@occ.ohio.gov" </w:instrText>
      </w:r>
      <w:r>
        <w:fldChar w:fldCharType="separate"/>
      </w:r>
      <w:r w:rsidRPr="000657F3" w:rsidR="00CD1616">
        <w:rPr>
          <w:rStyle w:val="Hyperlink"/>
        </w:rPr>
        <w:t>christopher.healey@occ.ohio.gov</w:t>
      </w:r>
      <w:r>
        <w:fldChar w:fldCharType="end"/>
      </w:r>
    </w:p>
    <w:p w:rsidR="00F10409" w:rsidP="00F10409">
      <w:pPr>
        <w:ind w:left="4320"/>
      </w:pPr>
      <w:r>
        <w:fldChar w:fldCharType="begin"/>
      </w:r>
      <w:r>
        <w:instrText xml:space="preserve"> HYPERLINK "mailto:Bryce.mckenney@occ.ohio.gov" </w:instrText>
      </w:r>
      <w:r>
        <w:fldChar w:fldCharType="separate"/>
      </w:r>
      <w:r w:rsidRPr="000657F3" w:rsidR="00CD1616">
        <w:rPr>
          <w:rStyle w:val="Hyperlink"/>
        </w:rPr>
        <w:t>Bryce.mckenney@occ.ohio.gov</w:t>
      </w:r>
      <w:r>
        <w:fldChar w:fldCharType="end"/>
      </w:r>
    </w:p>
    <w:p w:rsidR="00F10409" w:rsidRPr="004534E8" w:rsidP="00F10409">
      <w:pPr>
        <w:spacing w:line="480" w:lineRule="auto"/>
        <w:ind w:firstLine="4320"/>
      </w:pPr>
      <w:r w:rsidRPr="004534E8">
        <w:t>(Both will accept service via e-mail)</w:t>
      </w:r>
    </w:p>
    <w:p w:rsidR="0099786E" w:rsidP="00D310A7">
      <w:pPr>
        <w:jc w:val="center"/>
        <w:rPr>
          <w:b/>
          <w:bCs/>
          <w:u w:val="single"/>
        </w:rPr>
        <w:sectPr w:rsidSect="00A70541">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65"/>
        </w:sectPr>
      </w:pPr>
    </w:p>
    <w:p w:rsidR="00D310A7" w:rsidRPr="004534E8" w:rsidP="00D310A7">
      <w:pPr>
        <w:jc w:val="center"/>
        <w:rPr>
          <w:b/>
          <w:bCs/>
          <w:u w:val="single"/>
        </w:rPr>
      </w:pPr>
      <w:r w:rsidRPr="004534E8">
        <w:rPr>
          <w:b/>
          <w:bCs/>
          <w:u w:val="single"/>
        </w:rPr>
        <w:t>CERTIFICATE OF SERVICE</w:t>
      </w:r>
    </w:p>
    <w:p w:rsidR="00D310A7" w:rsidRPr="004534E8" w:rsidP="00D310A7">
      <w:pPr>
        <w:spacing w:line="480" w:lineRule="atLeast"/>
        <w:ind w:firstLine="720"/>
      </w:pPr>
      <w:r w:rsidRPr="004534E8">
        <w:t xml:space="preserve">I hereby certify that a copy of these </w:t>
      </w:r>
      <w:r>
        <w:t xml:space="preserve">Reply </w:t>
      </w:r>
      <w:r w:rsidRPr="004534E8">
        <w:t xml:space="preserve">Comments was served on the persons stated below via electronic transmission, this </w:t>
      </w:r>
      <w:r>
        <w:t>9th</w:t>
      </w:r>
      <w:r w:rsidRPr="004534E8">
        <w:t xml:space="preserve"> day of </w:t>
      </w:r>
      <w:r>
        <w:t>November</w:t>
      </w:r>
      <w:r w:rsidRPr="004534E8">
        <w:t xml:space="preserve"> 2018.</w:t>
      </w:r>
    </w:p>
    <w:p w:rsidR="00D310A7" w:rsidRPr="004534E8">
      <w:pPr>
        <w:spacing w:line="480" w:lineRule="atLeast"/>
      </w:pPr>
    </w:p>
    <w:p w:rsidR="00D310A7" w:rsidRPr="004534E8">
      <w:pPr>
        <w:tabs>
          <w:tab w:val="left" w:pos="4320"/>
        </w:tabs>
      </w:pPr>
      <w:r w:rsidRPr="004534E8">
        <w:tab/>
      </w:r>
      <w:r w:rsidRPr="004534E8">
        <w:rPr>
          <w:i/>
          <w:u w:val="single"/>
        </w:rPr>
        <w:t>/s/ Christopher Healey</w:t>
      </w:r>
      <w:r w:rsidRPr="004534E8">
        <w:rPr>
          <w:i/>
          <w:u w:val="single"/>
        </w:rPr>
        <w:tab/>
      </w:r>
    </w:p>
    <w:p w:rsidR="00D310A7" w:rsidRPr="004534E8">
      <w:pPr>
        <w:tabs>
          <w:tab w:val="left" w:pos="4320"/>
        </w:tabs>
      </w:pPr>
      <w:r w:rsidRPr="004534E8">
        <w:tab/>
        <w:t>Christopher Healey</w:t>
      </w:r>
    </w:p>
    <w:p w:rsidR="00D310A7" w:rsidRPr="004534E8">
      <w:pPr>
        <w:tabs>
          <w:tab w:val="left" w:pos="4320"/>
        </w:tabs>
      </w:pPr>
      <w:r w:rsidRPr="004534E8">
        <w:tab/>
        <w:t>Counsel of Record</w:t>
      </w:r>
    </w:p>
    <w:p w:rsidR="00D310A7" w:rsidRPr="004534E8">
      <w:pPr>
        <w:pStyle w:val="CommentSubject"/>
      </w:pPr>
    </w:p>
    <w:p w:rsidR="00D310A7" w:rsidRPr="004534E8">
      <w:pPr>
        <w:pStyle w:val="CommentText"/>
      </w:pPr>
    </w:p>
    <w:p w:rsidR="00F10409" w:rsidRPr="004534E8" w:rsidP="00F10409">
      <w:pPr>
        <w:pStyle w:val="CommentText"/>
        <w:jc w:val="center"/>
        <w:rPr>
          <w:b/>
          <w:u w:val="single"/>
        </w:rPr>
      </w:pPr>
      <w:r w:rsidRPr="004534E8">
        <w:rPr>
          <w:b/>
          <w:u w:val="single"/>
        </w:rPr>
        <w:t>SERVICE LIST</w:t>
      </w:r>
    </w:p>
    <w:p w:rsidR="00F10409" w:rsidRPr="004534E8" w:rsidP="00F10409">
      <w:pPr>
        <w:pStyle w:val="CommentText"/>
        <w:jc w:val="center"/>
        <w:rPr>
          <w:b/>
          <w:u w:val="single"/>
        </w:rPr>
      </w:pPr>
    </w:p>
    <w:p w:rsidR="00F10409" w:rsidRPr="004534E8" w:rsidP="00F10409">
      <w:pPr>
        <w:pStyle w:val="CommentText"/>
        <w:jc w:val="center"/>
        <w:rPr>
          <w:b/>
          <w:u w:val="single"/>
        </w:rPr>
      </w:pPr>
    </w:p>
    <w:p w:rsidR="00F10409" w:rsidRPr="004534E8" w:rsidP="00F10409">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79"/>
        <w:gridCol w:w="4261"/>
      </w:tblGrid>
      <w:tr w:rsidTr="00252493">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F10409" w:rsidP="00252493">
            <w:pPr>
              <w:pStyle w:val="CommentText"/>
              <w:rPr>
                <w:rStyle w:val="DefaultParagraphFont"/>
                <w:sz w:val="24"/>
                <w:szCs w:val="24"/>
                <w:lang w:val="en-US" w:eastAsia="en-US" w:bidi="ar-SA"/>
              </w:rPr>
            </w:pPr>
            <w:r>
              <w:fldChar w:fldCharType="begin"/>
            </w:r>
            <w:r>
              <w:rPr>
                <w:sz w:val="24"/>
                <w:szCs w:val="24"/>
                <w:lang w:val="en-US" w:eastAsia="en-US" w:bidi="ar-SA"/>
              </w:rPr>
              <w:instrText xml:space="preserve"> HYPERLINK "mailto:John.jones@ohioattorneygeneral.gov" </w:instrText>
            </w:r>
            <w:r>
              <w:fldChar w:fldCharType="separate"/>
            </w:r>
            <w:r w:rsidRPr="000657F3" w:rsidR="00CD1616">
              <w:rPr>
                <w:rStyle w:val="Hyperlink"/>
                <w:color w:val="0000FF"/>
                <w:sz w:val="24"/>
                <w:szCs w:val="24"/>
                <w:u w:val="single"/>
                <w:lang w:val="en-US" w:eastAsia="en-US" w:bidi="ar-SA"/>
              </w:rPr>
              <w:t>John.jones@ohioattorneygeneral.gov</w:t>
            </w:r>
            <w:r>
              <w:fldChar w:fldCharType="end"/>
            </w:r>
          </w:p>
          <w:p w:rsidR="005A38AD" w:rsidRPr="0099786E" w:rsidP="00252493">
            <w:pPr>
              <w:pStyle w:val="CommentText"/>
              <w:rPr>
                <w:rStyle w:val="DefaultParagraphFont"/>
                <w:sz w:val="24"/>
                <w:szCs w:val="24"/>
                <w:lang w:val="en-US" w:eastAsia="en-US" w:bidi="ar-SA"/>
              </w:rPr>
            </w:pPr>
          </w:p>
          <w:p w:rsidR="00F10409" w:rsidRPr="0099786E" w:rsidP="00252493">
            <w:pPr>
              <w:pStyle w:val="CommentText"/>
              <w:jc w:val="center"/>
              <w:rPr>
                <w:rStyle w:val="DefaultParagraphFont"/>
                <w:b/>
                <w:sz w:val="24"/>
                <w:szCs w:val="24"/>
                <w:lang w:val="en-US" w:eastAsia="en-US" w:bidi="ar-SA"/>
              </w:rPr>
            </w:pPr>
          </w:p>
        </w:tc>
        <w:tc>
          <w:tcPr>
            <w:tcW w:w="4428" w:type="dxa"/>
          </w:tcPr>
          <w:p w:rsidR="00F10409" w:rsidP="00252493">
            <w:pPr>
              <w:ind w:left="224"/>
              <w:rPr>
                <w:rStyle w:val="DefaultParagraphFont"/>
                <w:sz w:val="24"/>
                <w:lang w:val="en-US" w:eastAsia="en-US" w:bidi="ar-SA"/>
              </w:rPr>
            </w:pPr>
            <w:r>
              <w:fldChar w:fldCharType="begin"/>
            </w:r>
            <w:r>
              <w:rPr>
                <w:sz w:val="24"/>
                <w:lang w:val="en-US" w:eastAsia="en-US" w:bidi="ar-SA"/>
              </w:rPr>
              <w:instrText xml:space="preserve"> HYPERLINK "mailto:stnourse@aep.com" </w:instrText>
            </w:r>
            <w:r>
              <w:fldChar w:fldCharType="separate"/>
            </w:r>
            <w:r w:rsidRPr="000657F3" w:rsidR="00CD1616">
              <w:rPr>
                <w:rStyle w:val="Hyperlink"/>
                <w:color w:val="0000FF"/>
                <w:sz w:val="24"/>
                <w:szCs w:val="24"/>
                <w:u w:val="single"/>
                <w:lang w:val="en-US" w:eastAsia="en-US" w:bidi="ar-SA"/>
              </w:rPr>
              <w:t>stnourse@aep.com</w:t>
            </w:r>
            <w:r>
              <w:fldChar w:fldCharType="end"/>
            </w:r>
          </w:p>
          <w:p w:rsidR="00CD1616" w:rsidP="00252493">
            <w:pPr>
              <w:ind w:left="224"/>
              <w:rPr>
                <w:rStyle w:val="DefaultParagraphFont"/>
                <w:sz w:val="24"/>
                <w:szCs w:val="24"/>
                <w:lang w:val="en-US" w:eastAsia="en-US" w:bidi="ar-SA"/>
              </w:rPr>
            </w:pPr>
            <w:r>
              <w:fldChar w:fldCharType="begin"/>
            </w:r>
            <w:r>
              <w:rPr>
                <w:sz w:val="24"/>
                <w:lang w:val="en-US" w:eastAsia="en-US" w:bidi="ar-SA"/>
              </w:rPr>
              <w:instrText xml:space="preserve"> HYPERLINK "mailto:cmblend@aep.com" </w:instrText>
            </w:r>
            <w:r>
              <w:fldChar w:fldCharType="separate"/>
            </w:r>
            <w:r w:rsidRPr="00715644">
              <w:rPr>
                <w:rStyle w:val="Hyperlink"/>
                <w:color w:val="0000FF"/>
                <w:sz w:val="24"/>
                <w:szCs w:val="24"/>
                <w:u w:val="single"/>
                <w:lang w:val="en-US" w:eastAsia="en-US" w:bidi="ar-SA"/>
              </w:rPr>
              <w:t>cmblend@aep.com</w:t>
            </w:r>
            <w:r>
              <w:fldChar w:fldCharType="end"/>
            </w:r>
          </w:p>
          <w:p w:rsidR="00CD1616" w:rsidP="00252493">
            <w:pPr>
              <w:ind w:left="224"/>
              <w:rPr>
                <w:rStyle w:val="DefaultParagraphFont"/>
                <w:sz w:val="24"/>
                <w:szCs w:val="24"/>
                <w:lang w:val="en-US" w:eastAsia="en-US" w:bidi="ar-SA"/>
              </w:rPr>
            </w:pPr>
          </w:p>
          <w:p w:rsidR="005A38AD" w:rsidRPr="0099786E" w:rsidP="00252493">
            <w:pPr>
              <w:ind w:left="224"/>
              <w:rPr>
                <w:rStyle w:val="DefaultParagraphFont"/>
                <w:sz w:val="24"/>
                <w:lang w:val="en-US" w:eastAsia="en-US" w:bidi="ar-SA"/>
              </w:rPr>
            </w:pPr>
          </w:p>
          <w:p w:rsidR="00F10409" w:rsidRPr="0099786E" w:rsidP="00252493">
            <w:pPr>
              <w:ind w:left="1332"/>
              <w:rPr>
                <w:rStyle w:val="DefaultParagraphFont"/>
                <w:sz w:val="24"/>
                <w:lang w:val="en-US" w:eastAsia="en-US" w:bidi="ar-SA"/>
              </w:rPr>
            </w:pPr>
          </w:p>
          <w:p w:rsidR="00F10409" w:rsidRPr="0099786E" w:rsidP="00252493">
            <w:pPr>
              <w:ind w:left="1332"/>
              <w:rPr>
                <w:rStyle w:val="DefaultParagraphFont"/>
                <w:b/>
                <w:sz w:val="24"/>
                <w:lang w:val="en-US" w:eastAsia="en-US" w:bidi="ar-SA"/>
              </w:rPr>
            </w:pPr>
          </w:p>
        </w:tc>
      </w:tr>
    </w:tbl>
    <w:p w:rsidR="00F10409" w:rsidP="0099786E">
      <w:pPr>
        <w:pStyle w:val="CommentText"/>
      </w:pPr>
      <w:r w:rsidRPr="0099786E">
        <w:t>Attorney Examiner:</w:t>
      </w:r>
    </w:p>
    <w:p w:rsidR="005A38AD" w:rsidRPr="0099786E" w:rsidP="0099786E">
      <w:pPr>
        <w:pStyle w:val="CommentText"/>
      </w:pPr>
    </w:p>
    <w:p w:rsidR="00F10409" w:rsidP="00F10409">
      <w:pPr>
        <w:pStyle w:val="CommentText"/>
      </w:pPr>
      <w:r>
        <w:fldChar w:fldCharType="begin"/>
      </w:r>
      <w:r>
        <w:instrText xml:space="preserve"> HYPERLINK "mailto:Sarah.parrot@puc.state.oh.us" </w:instrText>
      </w:r>
      <w:r>
        <w:fldChar w:fldCharType="separate"/>
      </w:r>
      <w:r w:rsidRPr="000657F3" w:rsidR="00CD1616">
        <w:rPr>
          <w:rStyle w:val="Hyperlink"/>
        </w:rPr>
        <w:t>Sarah.parrot@puc.state.oh.us</w:t>
      </w:r>
      <w:r>
        <w:fldChar w:fldCharType="end"/>
      </w:r>
    </w:p>
    <w:p w:rsidR="00F10409" w:rsidP="00F10409">
      <w:pPr>
        <w:pStyle w:val="CommentText"/>
      </w:pPr>
      <w:r>
        <w:fldChar w:fldCharType="begin"/>
      </w:r>
      <w:r>
        <w:instrText xml:space="preserve"> HYPERLINK "mailto:Greta.see@puc.state.oh.us" </w:instrText>
      </w:r>
      <w:r>
        <w:fldChar w:fldCharType="separate"/>
      </w:r>
      <w:r w:rsidRPr="000657F3" w:rsidR="00CD1616">
        <w:rPr>
          <w:rStyle w:val="Hyperlink"/>
        </w:rPr>
        <w:t>Greta.see@puc.state.oh.us</w:t>
      </w:r>
      <w:r>
        <w:fldChar w:fldCharType="end"/>
      </w:r>
    </w:p>
    <w:p w:rsidR="005A38AD" w:rsidRPr="0099786E" w:rsidP="00F10409">
      <w:pPr>
        <w:pStyle w:val="CommentText"/>
      </w:pPr>
    </w:p>
    <w:p w:rsidR="00D310A7">
      <w:pPr>
        <w:pStyle w:val="BodyText"/>
        <w:rPr>
          <w:b/>
          <w:bCs/>
        </w:rPr>
      </w:pPr>
    </w:p>
    <w:sectPr w:rsidSect="00A70541">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6A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A7" w:rsidRPr="0099786E" w:rsidP="0099786E">
    <w:pPr>
      <w:pStyle w:val="Footer"/>
      <w:framePr w:wrap="around" w:vAnchor="text" w:hAnchor="margin" w:xAlign="center" w:y="1"/>
      <w:jc w:val="center"/>
      <w:rPr>
        <w:rStyle w:val="PageNumber"/>
        <w:sz w:val="24"/>
        <w:szCs w:val="24"/>
      </w:rPr>
    </w:pPr>
    <w:r w:rsidRPr="00322D13">
      <w:rPr>
        <w:rStyle w:val="PageNumber"/>
        <w:sz w:val="24"/>
        <w:szCs w:val="24"/>
      </w:rPr>
      <w:fldChar w:fldCharType="begin"/>
    </w:r>
    <w:r w:rsidRPr="00322D13">
      <w:rPr>
        <w:rStyle w:val="PageNumber"/>
        <w:sz w:val="24"/>
        <w:szCs w:val="24"/>
      </w:rPr>
      <w:instrText xml:space="preserve">PAGE  </w:instrText>
    </w:r>
    <w:r w:rsidRPr="00322D13">
      <w:rPr>
        <w:rStyle w:val="PageNumber"/>
        <w:sz w:val="24"/>
        <w:szCs w:val="24"/>
      </w:rPr>
      <w:fldChar w:fldCharType="separate"/>
    </w:r>
    <w:r w:rsidRPr="00322D13">
      <w:rPr>
        <w:rStyle w:val="PageNumber"/>
        <w:sz w:val="24"/>
        <w:szCs w:val="24"/>
      </w:rPr>
      <w:t>8</w:t>
    </w:r>
    <w:r w:rsidRPr="00322D13">
      <w:rPr>
        <w:rStyle w:val="PageNumber"/>
        <w:sz w:val="24"/>
        <w:szCs w:val="24"/>
      </w:rPr>
      <w:fldChar w:fldCharType="end"/>
    </w:r>
  </w:p>
  <w:p w:rsidR="00D310A7" w:rsidRPr="00322D13" w:rsidP="009978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6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2452">
      <w:r>
        <w:separator/>
      </w:r>
    </w:p>
  </w:footnote>
  <w:footnote w:type="continuationSeparator" w:id="1">
    <w:p w:rsidR="00B92452">
      <w:r>
        <w:continuationSeparator/>
      </w:r>
    </w:p>
  </w:footnote>
  <w:footnote w:id="2">
    <w:p w:rsidR="00B83802" w:rsidP="00FC0C83">
      <w:pPr>
        <w:pStyle w:val="FootnoteText"/>
        <w:spacing w:after="120"/>
      </w:pPr>
      <w:r>
        <w:rPr>
          <w:rStyle w:val="FootnoteReference"/>
        </w:rPr>
        <w:footnoteRef/>
      </w:r>
      <w:r>
        <w:t xml:space="preserve"> Comments on the Audit of AEP’s Charges to Consumers for Energy Efficiency Programs by the Office of the Ohio Consumers’ Counsel at 2-4 (Oct. 19, 2018) (the “OCC Initial Comments”).</w:t>
      </w:r>
    </w:p>
  </w:footnote>
  <w:footnote w:id="3">
    <w:p w:rsidR="00B83802" w:rsidP="00FC0C83">
      <w:pPr>
        <w:pStyle w:val="FootnoteText"/>
        <w:spacing w:after="120"/>
      </w:pPr>
      <w:r>
        <w:rPr>
          <w:rStyle w:val="FootnoteReference"/>
        </w:rPr>
        <w:footnoteRef/>
      </w:r>
      <w:r>
        <w:t xml:space="preserve"> Report of the Review of the Energy Efficiency &amp; Peak Demand Reduction Rider of Ohio Power Company (Apr. 13, 2018) (the “Audit Report”).</w:t>
      </w:r>
    </w:p>
  </w:footnote>
  <w:footnote w:id="4">
    <w:p w:rsidR="00FC71D9" w:rsidP="00FC0C83">
      <w:pPr>
        <w:pStyle w:val="FootnoteText"/>
        <w:spacing w:after="120"/>
      </w:pPr>
      <w:r>
        <w:rPr>
          <w:rStyle w:val="FootnoteReference"/>
        </w:rPr>
        <w:footnoteRef/>
      </w:r>
      <w:r>
        <w:t xml:space="preserve"> Audit Report at 1-77.</w:t>
      </w:r>
    </w:p>
  </w:footnote>
  <w:footnote w:id="5">
    <w:p w:rsidR="00171E17" w:rsidP="00FC0C83">
      <w:pPr>
        <w:pStyle w:val="FootnoteText"/>
        <w:spacing w:after="120"/>
      </w:pPr>
      <w:r>
        <w:rPr>
          <w:rStyle w:val="FootnoteReference"/>
        </w:rPr>
        <w:footnoteRef/>
      </w:r>
      <w:r>
        <w:t xml:space="preserve"> AEP Comments at 1-2 (arguing that AEP should not be required to track its labor costs to avoid double-counting).</w:t>
      </w:r>
    </w:p>
  </w:footnote>
  <w:footnote w:id="6">
    <w:p w:rsidR="00171E17" w:rsidP="00FC0C83">
      <w:pPr>
        <w:pStyle w:val="FootnoteText"/>
        <w:spacing w:after="120"/>
      </w:pPr>
      <w:r>
        <w:rPr>
          <w:rStyle w:val="FootnoteReference"/>
        </w:rPr>
        <w:footnoteRef/>
      </w:r>
      <w:r>
        <w:t xml:space="preserve"> AEP Comments at 2.</w:t>
      </w:r>
    </w:p>
  </w:footnote>
  <w:footnote w:id="7">
    <w:p w:rsidR="00A04039" w:rsidP="00FC0C83">
      <w:pPr>
        <w:pStyle w:val="FootnoteText"/>
        <w:spacing w:after="120"/>
      </w:pPr>
      <w:r>
        <w:rPr>
          <w:rStyle w:val="FootnoteReference"/>
        </w:rPr>
        <w:footnoteRef/>
      </w:r>
      <w:r>
        <w:t xml:space="preserve"> </w:t>
      </w:r>
      <w:r>
        <w:rPr>
          <w:i/>
        </w:rPr>
        <w:t>See</w:t>
      </w:r>
      <w:r>
        <w:t xml:space="preserve"> Comments on the Audit of AEP’s Charges to Consumers for Energy Efficiency Programs by the Office of the Ohio Consumers’ Counsel at 2-4 (Oct. 19, 2018) (the “OCC Comments”).</w:t>
      </w:r>
    </w:p>
  </w:footnote>
  <w:footnote w:id="8">
    <w:p w:rsidR="00A04039" w:rsidP="00FC0C83">
      <w:pPr>
        <w:pStyle w:val="FootnoteText"/>
        <w:spacing w:after="120"/>
      </w:pPr>
      <w:r>
        <w:rPr>
          <w:rStyle w:val="FootnoteReference"/>
        </w:rPr>
        <w:footnoteRef/>
      </w:r>
      <w:r>
        <w:t xml:space="preserve"> Initial Comments of Ohio Power Company in Response to April 13, 2018 Audit Report (Oct. 19, 2018) (the “AEP Comments”).</w:t>
      </w:r>
    </w:p>
  </w:footnote>
  <w:footnote w:id="9">
    <w:p w:rsidR="00A04039" w:rsidRPr="00A04039" w:rsidP="00FC0C83">
      <w:pPr>
        <w:pStyle w:val="FootnoteText"/>
        <w:spacing w:after="120"/>
      </w:pPr>
      <w:r>
        <w:rPr>
          <w:rStyle w:val="FootnoteReference"/>
        </w:rPr>
        <w:footnoteRef/>
      </w:r>
      <w:r>
        <w:t xml:space="preserve"> </w:t>
      </w:r>
      <w:r>
        <w:rPr>
          <w:i/>
        </w:rPr>
        <w:t>See, e.g., In re Application of Duke Energy Ohio, Inc. for Recovery of Program Costs, Lost Distribution Revenues, &amp; Performance Incentives Related to its Energy Efficiency &amp; Remand Response Programs</w:t>
      </w:r>
      <w:r>
        <w:t>, Case Non. 15-534-EL-RDR, Opinion &amp; Order ¶ 44 (Oct. 26, 2016).</w:t>
      </w:r>
    </w:p>
  </w:footnote>
  <w:footnote w:id="10">
    <w:p w:rsidR="00633282" w:rsidP="00FC0C83">
      <w:pPr>
        <w:pStyle w:val="FootnoteText"/>
        <w:spacing w:after="120"/>
      </w:pPr>
      <w:r>
        <w:rPr>
          <w:rStyle w:val="FootnoteReference"/>
        </w:rPr>
        <w:footnoteRef/>
      </w:r>
      <w:r>
        <w:t xml:space="preserve"> Audit Report at 1-17.</w:t>
      </w:r>
    </w:p>
  </w:footnote>
  <w:footnote w:id="11">
    <w:p w:rsidR="00633282" w:rsidP="00FC0C83">
      <w:pPr>
        <w:pStyle w:val="FootnoteText"/>
        <w:spacing w:after="120"/>
      </w:pPr>
      <w:r>
        <w:rPr>
          <w:rStyle w:val="FootnoteReference"/>
        </w:rPr>
        <w:footnoteRef/>
      </w:r>
      <w:r>
        <w:t xml:space="preserve"> AEP Comments at 4-5.</w:t>
      </w:r>
    </w:p>
  </w:footnote>
  <w:footnote w:id="12">
    <w:p w:rsidR="00171E17" w:rsidP="00FC0C83">
      <w:pPr>
        <w:pStyle w:val="FootnoteText"/>
        <w:spacing w:after="120"/>
      </w:pPr>
      <w:r>
        <w:rPr>
          <w:rStyle w:val="FootnoteReference"/>
        </w:rPr>
        <w:footnoteRef/>
      </w:r>
      <w:r>
        <w:t xml:space="preserve"> AEP Comments at 6.</w:t>
      </w:r>
    </w:p>
  </w:footnote>
  <w:footnote w:id="13">
    <w:p w:rsidR="00171E17" w:rsidP="00FC0C83">
      <w:pPr>
        <w:pStyle w:val="FootnoteText"/>
        <w:spacing w:after="120"/>
      </w:pPr>
      <w:r>
        <w:rPr>
          <w:rStyle w:val="FootnoteReference"/>
        </w:rPr>
        <w:footnoteRef/>
      </w:r>
      <w:r>
        <w:t xml:space="preserve"> OCC Initial Comments at 4-5.</w:t>
      </w:r>
    </w:p>
  </w:footnote>
  <w:footnote w:id="14">
    <w:p w:rsidR="00B83802" w:rsidP="00FC0C83">
      <w:pPr>
        <w:pStyle w:val="FootnoteText"/>
        <w:spacing w:after="120"/>
      </w:pPr>
      <w:r>
        <w:rPr>
          <w:rStyle w:val="FootnoteReference"/>
        </w:rPr>
        <w:footnoteRef/>
      </w:r>
      <w:r>
        <w:t xml:space="preserve"> AEP Comments at 7.</w:t>
      </w:r>
    </w:p>
  </w:footnote>
  <w:footnote w:id="15">
    <w:p w:rsidR="00B83802" w:rsidP="00FC0C83">
      <w:pPr>
        <w:pStyle w:val="FootnoteText"/>
        <w:spacing w:after="120"/>
      </w:pPr>
      <w:r>
        <w:rPr>
          <w:rStyle w:val="FootnoteReference"/>
        </w:rPr>
        <w:footnoteRef/>
      </w:r>
      <w:r>
        <w:t xml:space="preserve"> AEP Comments at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6A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6A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6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C885B3F"/>
    <w:multiLevelType w:val="hybridMultilevel"/>
    <w:tmpl w:val="7E96A1E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50A87E2A"/>
    <w:multiLevelType w:val="hybridMultilevel"/>
    <w:tmpl w:val="AED22352"/>
    <w:lvl w:ilvl="0">
      <w:start w:val="1"/>
      <w:numFmt w:val="upp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6D494D40"/>
    <w:multiLevelType w:val="hybridMultilevel"/>
    <w:tmpl w:val="F77251EE"/>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4"/>
  </w:num>
  <w:num w:numId="2">
    <w:abstractNumId w:val="3"/>
  </w:num>
  <w:num w:numId="3">
    <w:abstractNumId w:val="6"/>
  </w:num>
  <w:num w:numId="4">
    <w:abstractNumId w:val="5"/>
  </w:num>
  <w:num w:numId="5">
    <w:abstractNumId w:val="0"/>
  </w:num>
  <w:num w:numId="6">
    <w:abstractNumId w:val="8"/>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rPr>
      <w:sz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Char">
    <w:name w:val="Body Text Char"/>
    <w:link w:val="BodyText"/>
    <w:rsid w:val="00AE4499"/>
    <w:rPr>
      <w:sz w:val="24"/>
    </w:rPr>
  </w:style>
  <w:style w:type="character" w:customStyle="1" w:styleId="BodyTextIndent3Char">
    <w:name w:val="Body Text Indent 3 Char"/>
    <w:link w:val="BodyTextIndent3"/>
    <w:rsid w:val="002C118E"/>
    <w:rPr>
      <w:sz w:val="24"/>
    </w:rPr>
  </w:style>
  <w:style w:type="character" w:customStyle="1" w:styleId="CommentTextChar">
    <w:name w:val="Comment Text Char"/>
    <w:link w:val="CommentText"/>
    <w:semiHidden/>
    <w:rsid w:val="002C118E"/>
    <w:rPr>
      <w:sz w:val="24"/>
      <w:szCs w:val="24"/>
    </w:rPr>
  </w:style>
  <w:style w:type="character" w:customStyle="1" w:styleId="HTMLPreformattedChar">
    <w:name w:val="HTML Preformatted Char"/>
    <w:link w:val="HTMLPreformatted"/>
    <w:locked/>
    <w:rsid w:val="00E3485F"/>
    <w:rPr>
      <w:rFonts w:ascii="Courier New" w:eastAsia="Courier New" w:hAnsi="Courier New" w:cs="Courier New"/>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link w:val="FootnoteText"/>
    <w:uiPriority w:val="99"/>
    <w:rsid w:val="00DA5728"/>
  </w:style>
  <w:style w:type="character" w:customStyle="1" w:styleId="UnresolvedMention1">
    <w:name w:val="Unresolved Mention1"/>
    <w:uiPriority w:val="99"/>
    <w:semiHidden/>
    <w:unhideWhenUsed/>
    <w:rsid w:val="00F20D06"/>
    <w:rPr>
      <w:color w:val="605E5C"/>
      <w:shd w:val="clear" w:color="auto" w:fill="E1DFDD"/>
    </w:rPr>
  </w:style>
  <w:style w:type="character" w:customStyle="1" w:styleId="UnresolvedMention2">
    <w:name w:val="Unresolved Mention2"/>
    <w:basedOn w:val="DefaultParagraphFont"/>
    <w:rsid w:val="005A38AD"/>
    <w:rPr>
      <w:color w:val="605E5C"/>
      <w:shd w:val="clear" w:color="auto" w:fill="E1DFDD"/>
    </w:rPr>
  </w:style>
  <w:style w:type="character" w:customStyle="1" w:styleId="UnresolvedMention">
    <w:name w:val="Unresolved Mention"/>
    <w:basedOn w:val="DefaultParagraphFont"/>
    <w:rsid w:val="00CD1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AEP 17-30 OCC Replies w/dfs  (00061698.DOCX;1)</vt:lpstr>
    </vt:vector>
  </TitlesOfParts>
  <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2018-11-09T20:08:51Z</dcterms:created>
  <dcterms:modified xsi:type="dcterms:W3CDTF">2018-11-09T20:08:51Z</dcterms:modified>
</cp:coreProperties>
</file>