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08D" w:rsidRDefault="00F9208D" w:rsidP="00F9208D">
      <w:pPr>
        <w:spacing w:after="0" w:line="240" w:lineRule="auto"/>
        <w:jc w:val="center"/>
        <w:rPr>
          <w:b/>
        </w:rPr>
      </w:pPr>
      <w:bookmarkStart w:id="0" w:name="_GoBack"/>
      <w:bookmarkEnd w:id="0"/>
      <w:r>
        <w:rPr>
          <w:b/>
        </w:rPr>
        <w:t>BEFORE</w:t>
      </w:r>
    </w:p>
    <w:p w:rsidR="00F9208D" w:rsidRDefault="00F9208D" w:rsidP="00F9208D">
      <w:pPr>
        <w:spacing w:after="0" w:line="240" w:lineRule="auto"/>
        <w:jc w:val="center"/>
        <w:rPr>
          <w:b/>
        </w:rPr>
      </w:pPr>
      <w:r>
        <w:rPr>
          <w:b/>
        </w:rPr>
        <w:t>THE PUBLIC UTILITIES COMMISSION OF OHIO</w:t>
      </w:r>
    </w:p>
    <w:p w:rsidR="00F9208D" w:rsidRDefault="00F9208D" w:rsidP="00F9208D">
      <w:pPr>
        <w:spacing w:after="0" w:line="240" w:lineRule="auto"/>
        <w:jc w:val="center"/>
        <w:rPr>
          <w:b/>
        </w:rPr>
      </w:pPr>
    </w:p>
    <w:p w:rsidR="00F9208D" w:rsidRDefault="00F9208D" w:rsidP="00F9208D">
      <w:pPr>
        <w:spacing w:after="0" w:line="240" w:lineRule="auto"/>
        <w:jc w:val="center"/>
        <w:rPr>
          <w:b/>
        </w:rPr>
      </w:pPr>
    </w:p>
    <w:p w:rsidR="00F9208D" w:rsidRDefault="00F9208D" w:rsidP="00F9208D">
      <w:pPr>
        <w:spacing w:after="0" w:line="240" w:lineRule="auto"/>
        <w:jc w:val="center"/>
        <w:rPr>
          <w:b/>
        </w:rPr>
      </w:pPr>
    </w:p>
    <w:p w:rsidR="00F9208D" w:rsidRDefault="00F9208D" w:rsidP="00F9208D">
      <w:pPr>
        <w:spacing w:after="0" w:line="240" w:lineRule="auto"/>
        <w:jc w:val="center"/>
        <w:rPr>
          <w:b/>
        </w:rPr>
      </w:pPr>
    </w:p>
    <w:p w:rsidR="00F9208D" w:rsidRDefault="00F9208D" w:rsidP="00F9208D">
      <w:pPr>
        <w:spacing w:after="0" w:line="240" w:lineRule="auto"/>
      </w:pPr>
      <w:r>
        <w:t>In the Matter of the Commission Review of</w:t>
      </w:r>
      <w:r>
        <w:tab/>
        <w:t>)</w:t>
      </w:r>
    </w:p>
    <w:p w:rsidR="00F9208D" w:rsidRDefault="00692ED5" w:rsidP="00F9208D">
      <w:pPr>
        <w:spacing w:after="0" w:line="240" w:lineRule="auto"/>
      </w:pPr>
      <w:proofErr w:type="gramStart"/>
      <w:r>
        <w:t>t</w:t>
      </w:r>
      <w:r w:rsidR="00F9208D">
        <w:t>he</w:t>
      </w:r>
      <w:proofErr w:type="gramEnd"/>
      <w:r w:rsidR="00F9208D">
        <w:t xml:space="preserve"> Capacity Charges of Ohio Power</w:t>
      </w:r>
      <w:r w:rsidR="00F9208D">
        <w:tab/>
      </w:r>
      <w:r w:rsidR="00F9208D">
        <w:tab/>
        <w:t>)</w:t>
      </w:r>
      <w:r w:rsidR="00F9208D">
        <w:tab/>
        <w:t>Case No. 10-2929-EL-UNC</w:t>
      </w:r>
    </w:p>
    <w:p w:rsidR="00F9208D" w:rsidRDefault="00F9208D" w:rsidP="00F9208D">
      <w:pPr>
        <w:spacing w:after="0" w:line="240" w:lineRule="auto"/>
      </w:pPr>
      <w:r>
        <w:t>Company and Columbus Southern Power</w:t>
      </w:r>
      <w:r>
        <w:tab/>
        <w:t>)</w:t>
      </w:r>
    </w:p>
    <w:p w:rsidR="00F9208D" w:rsidRDefault="00F9208D" w:rsidP="00F9208D">
      <w:pPr>
        <w:spacing w:after="0" w:line="240" w:lineRule="auto"/>
      </w:pPr>
      <w:r>
        <w:t>Company</w:t>
      </w:r>
      <w:r>
        <w:tab/>
      </w:r>
      <w:r>
        <w:tab/>
      </w:r>
      <w:r>
        <w:tab/>
      </w:r>
      <w:r>
        <w:tab/>
      </w:r>
      <w:r>
        <w:tab/>
      </w:r>
      <w:r>
        <w:tab/>
        <w:t>)</w:t>
      </w:r>
    </w:p>
    <w:p w:rsidR="00F9208D" w:rsidRDefault="00F9208D" w:rsidP="00F9208D">
      <w:pPr>
        <w:spacing w:after="0" w:line="240" w:lineRule="auto"/>
      </w:pPr>
    </w:p>
    <w:p w:rsidR="00F9208D" w:rsidRDefault="00F9208D" w:rsidP="00F9208D">
      <w:pPr>
        <w:spacing w:after="0" w:line="240" w:lineRule="auto"/>
      </w:pPr>
    </w:p>
    <w:p w:rsidR="00F9208D" w:rsidRPr="00F9208D" w:rsidRDefault="00F9208D" w:rsidP="00F9208D">
      <w:pPr>
        <w:spacing w:after="0" w:line="240" w:lineRule="auto"/>
        <w:rPr>
          <w:b/>
        </w:rPr>
      </w:pPr>
      <w:r w:rsidRPr="00F9208D">
        <w:rPr>
          <w:b/>
        </w:rPr>
        <w:t>______________________________________________________________________</w:t>
      </w:r>
    </w:p>
    <w:p w:rsidR="00F9208D" w:rsidRPr="00F9208D" w:rsidRDefault="00F9208D" w:rsidP="00F9208D">
      <w:pPr>
        <w:spacing w:after="0" w:line="240" w:lineRule="auto"/>
        <w:rPr>
          <w:b/>
        </w:rPr>
      </w:pPr>
    </w:p>
    <w:p w:rsidR="00F9208D" w:rsidRPr="0049575D" w:rsidRDefault="00F345E5" w:rsidP="009D5E30">
      <w:pPr>
        <w:spacing w:after="0" w:line="240" w:lineRule="auto"/>
        <w:jc w:val="center"/>
        <w:rPr>
          <w:rFonts w:cs="Arial"/>
          <w:b/>
          <w:caps/>
        </w:rPr>
      </w:pPr>
      <w:r w:rsidRPr="0049575D">
        <w:rPr>
          <w:rFonts w:cs="Arial"/>
          <w:b/>
          <w:caps/>
        </w:rPr>
        <w:t>Industrial Energy Users-Ohio’s Memorandum Contra Ohio Power Company’s February 27, 2012 Motion for Relief and Request for Expedited Ruling</w:t>
      </w:r>
    </w:p>
    <w:p w:rsidR="00F9208D" w:rsidRDefault="00F9208D" w:rsidP="00F9208D">
      <w:pPr>
        <w:spacing w:after="0" w:line="240" w:lineRule="auto"/>
        <w:rPr>
          <w:b/>
        </w:rPr>
      </w:pPr>
      <w:r w:rsidRPr="00F9208D">
        <w:rPr>
          <w:b/>
        </w:rPr>
        <w:t>______________________________________________________________________</w:t>
      </w:r>
    </w:p>
    <w:p w:rsidR="00F9208D" w:rsidRDefault="00F9208D" w:rsidP="00F9208D">
      <w:pPr>
        <w:spacing w:after="0" w:line="240" w:lineRule="auto"/>
        <w:rPr>
          <w:b/>
        </w:rPr>
      </w:pPr>
    </w:p>
    <w:p w:rsidR="00F9208D" w:rsidRDefault="00F9208D" w:rsidP="00F9208D">
      <w:pPr>
        <w:spacing w:after="0" w:line="240" w:lineRule="auto"/>
        <w:rPr>
          <w:b/>
        </w:rPr>
      </w:pPr>
    </w:p>
    <w:p w:rsidR="00F9208D" w:rsidRDefault="00F9208D" w:rsidP="00F9208D">
      <w:pPr>
        <w:spacing w:after="0" w:line="240" w:lineRule="auto"/>
        <w:rPr>
          <w:b/>
        </w:rPr>
      </w:pPr>
    </w:p>
    <w:p w:rsidR="00F9208D" w:rsidRDefault="00F9208D" w:rsidP="00F9208D">
      <w:pPr>
        <w:spacing w:after="0" w:line="240" w:lineRule="auto"/>
        <w:rPr>
          <w:b/>
        </w:rPr>
      </w:pPr>
    </w:p>
    <w:p w:rsidR="00F9208D" w:rsidRDefault="00F9208D" w:rsidP="00F9208D">
      <w:pPr>
        <w:spacing w:after="0" w:line="240" w:lineRule="auto"/>
        <w:rPr>
          <w:b/>
        </w:rPr>
      </w:pPr>
    </w:p>
    <w:p w:rsidR="00F9208D" w:rsidRDefault="00F9208D" w:rsidP="00F9208D">
      <w:pPr>
        <w:spacing w:after="0" w:line="240" w:lineRule="auto"/>
        <w:rPr>
          <w:b/>
        </w:rPr>
      </w:pPr>
    </w:p>
    <w:p w:rsidR="00F9208D" w:rsidRDefault="00F9208D" w:rsidP="00F9208D">
      <w:pPr>
        <w:spacing w:after="0" w:line="240" w:lineRule="auto"/>
        <w:rPr>
          <w:b/>
        </w:rPr>
      </w:pPr>
    </w:p>
    <w:p w:rsidR="00F9208D" w:rsidRDefault="00F9208D" w:rsidP="00F9208D">
      <w:pPr>
        <w:spacing w:after="0" w:line="240" w:lineRule="auto"/>
        <w:rPr>
          <w:b/>
        </w:rPr>
      </w:pPr>
    </w:p>
    <w:p w:rsidR="00F9208D" w:rsidRDefault="00F9208D" w:rsidP="00F9208D">
      <w:pPr>
        <w:spacing w:after="0" w:line="240" w:lineRule="auto"/>
        <w:rPr>
          <w:b/>
        </w:rPr>
      </w:pPr>
    </w:p>
    <w:p w:rsidR="00F9208D" w:rsidRDefault="00F9208D" w:rsidP="00F9208D">
      <w:pPr>
        <w:spacing w:after="0" w:line="240" w:lineRule="auto"/>
        <w:rPr>
          <w:b/>
        </w:rPr>
      </w:pPr>
    </w:p>
    <w:p w:rsidR="00F9208D" w:rsidRDefault="00F9208D" w:rsidP="00F9208D">
      <w:pPr>
        <w:spacing w:after="0" w:line="240" w:lineRule="auto"/>
        <w:rPr>
          <w:b/>
        </w:rPr>
      </w:pPr>
    </w:p>
    <w:p w:rsidR="00F9208D" w:rsidRDefault="00F9208D" w:rsidP="00F9208D">
      <w:pPr>
        <w:spacing w:after="0" w:line="240" w:lineRule="auto"/>
        <w:rPr>
          <w:b/>
        </w:rPr>
      </w:pPr>
    </w:p>
    <w:p w:rsidR="00F9208D" w:rsidRDefault="00F9208D" w:rsidP="00F9208D">
      <w:pPr>
        <w:spacing w:after="0" w:line="240" w:lineRule="auto"/>
      </w:pPr>
      <w:r>
        <w:rPr>
          <w:b/>
        </w:rPr>
        <w:tab/>
      </w:r>
      <w:r>
        <w:rPr>
          <w:b/>
        </w:rPr>
        <w:tab/>
      </w:r>
      <w:r>
        <w:rPr>
          <w:b/>
        </w:rPr>
        <w:tab/>
      </w:r>
      <w:r>
        <w:rPr>
          <w:b/>
        </w:rPr>
        <w:tab/>
      </w:r>
      <w:r>
        <w:rPr>
          <w:b/>
        </w:rPr>
        <w:tab/>
      </w:r>
      <w:r>
        <w:rPr>
          <w:b/>
        </w:rPr>
        <w:tab/>
      </w:r>
      <w:r w:rsidRPr="00F9208D">
        <w:t>Samuel C. Randazzo (Counsel of Record</w:t>
      </w:r>
      <w:r>
        <w:t>)</w:t>
      </w:r>
    </w:p>
    <w:p w:rsidR="00F9208D" w:rsidRDefault="00F9208D" w:rsidP="00F9208D">
      <w:pPr>
        <w:spacing w:after="0" w:line="240" w:lineRule="auto"/>
      </w:pPr>
      <w:r>
        <w:tab/>
      </w:r>
      <w:r>
        <w:tab/>
      </w:r>
      <w:r>
        <w:tab/>
      </w:r>
      <w:r>
        <w:tab/>
      </w:r>
      <w:r>
        <w:tab/>
      </w:r>
      <w:r>
        <w:tab/>
        <w:t>Frank P. Darr</w:t>
      </w:r>
    </w:p>
    <w:p w:rsidR="00F9208D" w:rsidRDefault="00F9208D" w:rsidP="00F9208D">
      <w:pPr>
        <w:spacing w:after="0" w:line="240" w:lineRule="auto"/>
      </w:pPr>
      <w:r>
        <w:tab/>
      </w:r>
      <w:r>
        <w:tab/>
      </w:r>
      <w:r>
        <w:tab/>
      </w:r>
      <w:r>
        <w:tab/>
      </w:r>
      <w:r>
        <w:tab/>
      </w:r>
      <w:r>
        <w:tab/>
        <w:t>Joseph Oliker</w:t>
      </w:r>
    </w:p>
    <w:p w:rsidR="00F9208D" w:rsidRPr="00F9208D" w:rsidRDefault="00F9208D" w:rsidP="00F9208D">
      <w:pPr>
        <w:spacing w:after="0" w:line="240" w:lineRule="auto"/>
        <w:rPr>
          <w:smallCaps/>
        </w:rPr>
      </w:pPr>
      <w:r>
        <w:tab/>
      </w:r>
      <w:r>
        <w:tab/>
      </w:r>
      <w:r>
        <w:tab/>
      </w:r>
      <w:r>
        <w:tab/>
      </w:r>
      <w:r>
        <w:tab/>
      </w:r>
      <w:r>
        <w:tab/>
      </w:r>
      <w:proofErr w:type="spellStart"/>
      <w:r w:rsidRPr="00F9208D">
        <w:rPr>
          <w:smallCaps/>
        </w:rPr>
        <w:t>NcNees</w:t>
      </w:r>
      <w:proofErr w:type="spellEnd"/>
      <w:r w:rsidRPr="00F9208D">
        <w:rPr>
          <w:smallCaps/>
        </w:rPr>
        <w:t xml:space="preserve"> Wallace &amp; </w:t>
      </w:r>
      <w:proofErr w:type="spellStart"/>
      <w:r w:rsidRPr="00F9208D">
        <w:rPr>
          <w:smallCaps/>
        </w:rPr>
        <w:t>Nurick</w:t>
      </w:r>
      <w:proofErr w:type="spellEnd"/>
      <w:r w:rsidRPr="00F9208D">
        <w:rPr>
          <w:smallCaps/>
        </w:rPr>
        <w:t xml:space="preserve"> LLC</w:t>
      </w:r>
    </w:p>
    <w:p w:rsidR="00F9208D" w:rsidRDefault="00F9208D" w:rsidP="00F9208D">
      <w:pPr>
        <w:spacing w:after="0" w:line="240" w:lineRule="auto"/>
      </w:pPr>
      <w:r>
        <w:tab/>
      </w:r>
      <w:r>
        <w:tab/>
      </w:r>
      <w:r>
        <w:tab/>
      </w:r>
      <w:r>
        <w:tab/>
      </w:r>
      <w:r>
        <w:tab/>
      </w:r>
      <w:r>
        <w:tab/>
        <w:t>21 East State Street, 17</w:t>
      </w:r>
      <w:r w:rsidRPr="00F9208D">
        <w:rPr>
          <w:vertAlign w:val="superscript"/>
        </w:rPr>
        <w:t>th</w:t>
      </w:r>
      <w:r>
        <w:t xml:space="preserve"> Floor</w:t>
      </w:r>
    </w:p>
    <w:p w:rsidR="00F9208D" w:rsidRDefault="00F9208D" w:rsidP="00F9208D">
      <w:pPr>
        <w:spacing w:after="0" w:line="240" w:lineRule="auto"/>
      </w:pPr>
      <w:r>
        <w:tab/>
      </w:r>
      <w:r>
        <w:tab/>
      </w:r>
      <w:r>
        <w:tab/>
      </w:r>
      <w:r>
        <w:tab/>
      </w:r>
      <w:r>
        <w:tab/>
      </w:r>
      <w:r>
        <w:tab/>
        <w:t>Columbus, OH  43215</w:t>
      </w:r>
    </w:p>
    <w:p w:rsidR="00F9208D" w:rsidRDefault="00F9208D" w:rsidP="00F9208D">
      <w:pPr>
        <w:spacing w:after="0" w:line="240" w:lineRule="auto"/>
      </w:pPr>
      <w:r>
        <w:tab/>
      </w:r>
      <w:r>
        <w:tab/>
      </w:r>
      <w:r>
        <w:tab/>
      </w:r>
      <w:r>
        <w:tab/>
      </w:r>
      <w:r>
        <w:tab/>
      </w:r>
      <w:r>
        <w:tab/>
        <w:t>Telephone:  (614) 469-8000</w:t>
      </w:r>
    </w:p>
    <w:p w:rsidR="00F9208D" w:rsidRDefault="00F9208D" w:rsidP="00F9208D">
      <w:pPr>
        <w:spacing w:after="0" w:line="240" w:lineRule="auto"/>
      </w:pPr>
      <w:r>
        <w:tab/>
      </w:r>
      <w:r>
        <w:tab/>
      </w:r>
      <w:r>
        <w:tab/>
      </w:r>
      <w:r>
        <w:tab/>
      </w:r>
      <w:r>
        <w:tab/>
      </w:r>
      <w:r>
        <w:tab/>
      </w:r>
      <w:proofErr w:type="spellStart"/>
      <w:r>
        <w:t>Telecopier</w:t>
      </w:r>
      <w:proofErr w:type="spellEnd"/>
      <w:r>
        <w:t>:  (614) 469-4653</w:t>
      </w:r>
    </w:p>
    <w:p w:rsidR="00F9208D" w:rsidRDefault="00F9208D" w:rsidP="00F9208D">
      <w:pPr>
        <w:spacing w:after="0" w:line="240" w:lineRule="auto"/>
      </w:pPr>
      <w:r>
        <w:tab/>
      </w:r>
      <w:r>
        <w:tab/>
      </w:r>
      <w:r>
        <w:tab/>
      </w:r>
      <w:r>
        <w:tab/>
      </w:r>
      <w:r>
        <w:tab/>
      </w:r>
      <w:r>
        <w:tab/>
      </w:r>
      <w:r w:rsidRPr="00F9208D">
        <w:t>sam@mwncmh.com</w:t>
      </w:r>
    </w:p>
    <w:p w:rsidR="00F9208D" w:rsidRDefault="00F9208D" w:rsidP="00F9208D">
      <w:pPr>
        <w:spacing w:after="0" w:line="240" w:lineRule="auto"/>
      </w:pPr>
      <w:r>
        <w:tab/>
      </w:r>
      <w:r>
        <w:tab/>
      </w:r>
      <w:r>
        <w:tab/>
      </w:r>
      <w:r>
        <w:tab/>
      </w:r>
      <w:r>
        <w:tab/>
      </w:r>
      <w:r>
        <w:tab/>
        <w:t>fdarr@mwncmh.com</w:t>
      </w:r>
    </w:p>
    <w:p w:rsidR="00F9208D" w:rsidRDefault="00F9208D" w:rsidP="00F9208D">
      <w:pPr>
        <w:spacing w:after="0" w:line="240" w:lineRule="auto"/>
      </w:pPr>
      <w:r>
        <w:tab/>
      </w:r>
      <w:r>
        <w:tab/>
      </w:r>
      <w:r>
        <w:tab/>
      </w:r>
      <w:r>
        <w:tab/>
      </w:r>
      <w:r>
        <w:tab/>
      </w:r>
      <w:r>
        <w:tab/>
      </w:r>
      <w:r w:rsidRPr="00F9208D">
        <w:t>joliker@mwncmh.com</w:t>
      </w:r>
    </w:p>
    <w:p w:rsidR="00F9208D" w:rsidRDefault="00F9208D" w:rsidP="00F9208D">
      <w:pPr>
        <w:spacing w:after="0" w:line="240" w:lineRule="auto"/>
      </w:pPr>
    </w:p>
    <w:p w:rsidR="007A22C7" w:rsidRDefault="00D76156" w:rsidP="00F9208D">
      <w:pPr>
        <w:spacing w:after="0" w:line="240" w:lineRule="auto"/>
        <w:rPr>
          <w:b/>
        </w:rPr>
      </w:pPr>
      <w:r>
        <w:rPr>
          <w:b/>
        </w:rPr>
        <w:t xml:space="preserve">March </w:t>
      </w:r>
      <w:r w:rsidR="000502E2">
        <w:rPr>
          <w:b/>
        </w:rPr>
        <w:t>2</w:t>
      </w:r>
      <w:r w:rsidR="00F9208D" w:rsidRPr="00F9208D">
        <w:rPr>
          <w:b/>
        </w:rPr>
        <w:t>, 2012</w:t>
      </w:r>
      <w:r w:rsidR="00F9208D" w:rsidRPr="00F9208D">
        <w:rPr>
          <w:b/>
        </w:rPr>
        <w:tab/>
      </w:r>
      <w:r w:rsidR="00F9208D" w:rsidRPr="00F9208D">
        <w:rPr>
          <w:b/>
        </w:rPr>
        <w:tab/>
      </w:r>
      <w:r w:rsidR="00F9208D" w:rsidRPr="00F9208D">
        <w:rPr>
          <w:b/>
        </w:rPr>
        <w:tab/>
      </w:r>
      <w:r w:rsidR="00F9208D" w:rsidRPr="00F9208D">
        <w:rPr>
          <w:b/>
        </w:rPr>
        <w:tab/>
        <w:t>Attorneys for Industrial Energy Users-Ohio</w:t>
      </w:r>
    </w:p>
    <w:p w:rsidR="007A22C7" w:rsidRDefault="007A22C7" w:rsidP="00F9208D">
      <w:pPr>
        <w:spacing w:after="0" w:line="240" w:lineRule="auto"/>
        <w:rPr>
          <w:b/>
        </w:rPr>
      </w:pPr>
    </w:p>
    <w:p w:rsidR="007A22C7" w:rsidRDefault="007A22C7" w:rsidP="00F9208D">
      <w:pPr>
        <w:spacing w:after="0" w:line="240" w:lineRule="auto"/>
        <w:rPr>
          <w:b/>
        </w:rPr>
        <w:sectPr w:rsidR="007A22C7" w:rsidSect="005B117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141" w:left="1440" w:header="720" w:footer="720" w:gutter="0"/>
          <w:pgNumType w:fmt="lowerRoman" w:start="1"/>
          <w:cols w:space="720"/>
          <w:titlePg/>
          <w:docGrid w:linePitch="326"/>
        </w:sectPr>
      </w:pPr>
    </w:p>
    <w:sdt>
      <w:sdtPr>
        <w:rPr>
          <w:rFonts w:ascii="Arial" w:eastAsiaTheme="minorHAnsi" w:hAnsi="Arial" w:cstheme="minorBidi"/>
          <w:b w:val="0"/>
          <w:bCs w:val="0"/>
          <w:color w:val="auto"/>
          <w:sz w:val="24"/>
          <w:szCs w:val="22"/>
          <w:lang w:eastAsia="en-US"/>
        </w:rPr>
        <w:id w:val="-1746952429"/>
        <w:docPartObj>
          <w:docPartGallery w:val="Table of Contents"/>
          <w:docPartUnique/>
        </w:docPartObj>
      </w:sdtPr>
      <w:sdtEndPr>
        <w:rPr>
          <w:noProof/>
        </w:rPr>
      </w:sdtEndPr>
      <w:sdtContent>
        <w:p w:rsidR="00730B73" w:rsidRPr="000000A2" w:rsidRDefault="00730B73" w:rsidP="007A22C7">
          <w:pPr>
            <w:pStyle w:val="TOCHeading"/>
            <w:jc w:val="center"/>
            <w:rPr>
              <w:rFonts w:ascii="Arial" w:hAnsi="Arial" w:cs="Arial"/>
              <w:caps/>
              <w:color w:val="auto"/>
            </w:rPr>
          </w:pPr>
          <w:r w:rsidRPr="000000A2">
            <w:rPr>
              <w:rFonts w:ascii="Arial" w:hAnsi="Arial" w:cs="Arial"/>
              <w:caps/>
              <w:color w:val="auto"/>
            </w:rPr>
            <w:t>Table of Contents</w:t>
          </w:r>
        </w:p>
        <w:p w:rsidR="00730B73" w:rsidRPr="00730B73" w:rsidRDefault="00730B73" w:rsidP="00730B73">
          <w:pPr>
            <w:rPr>
              <w:lang w:eastAsia="ja-JP"/>
            </w:rPr>
          </w:pPr>
        </w:p>
        <w:p w:rsidR="00CC0846" w:rsidRDefault="00730B73">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318455725" w:history="1">
            <w:r w:rsidR="00CC0846" w:rsidRPr="003B0F86">
              <w:rPr>
                <w:rStyle w:val="Hyperlink"/>
                <w:rFonts w:cs="Arial"/>
                <w:caps/>
                <w:noProof/>
              </w:rPr>
              <w:t>Industrial Energy Users-Ohio’s Memorandum Contra Ohio Power Company’s February 27, 2012 Motion for Relief and Request for Expedited Ruling</w:t>
            </w:r>
            <w:r w:rsidR="00CC0846">
              <w:rPr>
                <w:noProof/>
                <w:webHidden/>
              </w:rPr>
              <w:tab/>
            </w:r>
            <w:r w:rsidR="00CC0846">
              <w:rPr>
                <w:noProof/>
                <w:webHidden/>
              </w:rPr>
              <w:fldChar w:fldCharType="begin"/>
            </w:r>
            <w:r w:rsidR="00CC0846">
              <w:rPr>
                <w:noProof/>
                <w:webHidden/>
              </w:rPr>
              <w:instrText xml:space="preserve"> PAGEREF _Toc318455725 \h </w:instrText>
            </w:r>
            <w:r w:rsidR="00CC0846">
              <w:rPr>
                <w:noProof/>
                <w:webHidden/>
              </w:rPr>
            </w:r>
            <w:r w:rsidR="00CC0846">
              <w:rPr>
                <w:noProof/>
                <w:webHidden/>
              </w:rPr>
              <w:fldChar w:fldCharType="separate"/>
            </w:r>
            <w:r w:rsidR="008F30A5">
              <w:rPr>
                <w:noProof/>
                <w:webHidden/>
              </w:rPr>
              <w:t>1</w:t>
            </w:r>
            <w:r w:rsidR="00CC0846">
              <w:rPr>
                <w:noProof/>
                <w:webHidden/>
              </w:rPr>
              <w:fldChar w:fldCharType="end"/>
            </w:r>
          </w:hyperlink>
        </w:p>
        <w:p w:rsidR="00CC0846" w:rsidRDefault="008F30A5">
          <w:pPr>
            <w:pStyle w:val="TOC1"/>
            <w:rPr>
              <w:rFonts w:asciiTheme="minorHAnsi" w:eastAsiaTheme="minorEastAsia" w:hAnsiTheme="minorHAnsi"/>
              <w:noProof/>
              <w:sz w:val="22"/>
            </w:rPr>
          </w:pPr>
          <w:hyperlink w:anchor="_Toc318455726" w:history="1">
            <w:r w:rsidR="00CC0846" w:rsidRPr="003B0F86">
              <w:rPr>
                <w:rStyle w:val="Hyperlink"/>
                <w:rFonts w:cs="Arial"/>
                <w:caps/>
                <w:noProof/>
              </w:rPr>
              <w:t>I.</w:t>
            </w:r>
            <w:r w:rsidR="00CC0846">
              <w:rPr>
                <w:rFonts w:asciiTheme="minorHAnsi" w:eastAsiaTheme="minorEastAsia" w:hAnsiTheme="minorHAnsi"/>
                <w:noProof/>
                <w:sz w:val="22"/>
              </w:rPr>
              <w:tab/>
            </w:r>
            <w:r w:rsidR="00CC0846" w:rsidRPr="003B0F86">
              <w:rPr>
                <w:rStyle w:val="Hyperlink"/>
                <w:rFonts w:cs="Arial"/>
                <w:caps/>
                <w:noProof/>
              </w:rPr>
              <w:t>Introduction</w:t>
            </w:r>
            <w:r w:rsidR="00CC0846">
              <w:rPr>
                <w:noProof/>
                <w:webHidden/>
              </w:rPr>
              <w:tab/>
            </w:r>
            <w:r w:rsidR="00CC0846">
              <w:rPr>
                <w:noProof/>
                <w:webHidden/>
              </w:rPr>
              <w:fldChar w:fldCharType="begin"/>
            </w:r>
            <w:r w:rsidR="00CC0846">
              <w:rPr>
                <w:noProof/>
                <w:webHidden/>
              </w:rPr>
              <w:instrText xml:space="preserve"> PAGEREF _Toc318455726 \h </w:instrText>
            </w:r>
            <w:r w:rsidR="00CC0846">
              <w:rPr>
                <w:noProof/>
                <w:webHidden/>
              </w:rPr>
            </w:r>
            <w:r w:rsidR="00CC0846">
              <w:rPr>
                <w:noProof/>
                <w:webHidden/>
              </w:rPr>
              <w:fldChar w:fldCharType="separate"/>
            </w:r>
            <w:r>
              <w:rPr>
                <w:noProof/>
                <w:webHidden/>
              </w:rPr>
              <w:t>1</w:t>
            </w:r>
            <w:r w:rsidR="00CC0846">
              <w:rPr>
                <w:noProof/>
                <w:webHidden/>
              </w:rPr>
              <w:fldChar w:fldCharType="end"/>
            </w:r>
          </w:hyperlink>
        </w:p>
        <w:p w:rsidR="00CC0846" w:rsidRDefault="008F30A5">
          <w:pPr>
            <w:pStyle w:val="TOC1"/>
            <w:rPr>
              <w:rFonts w:asciiTheme="minorHAnsi" w:eastAsiaTheme="minorEastAsia" w:hAnsiTheme="minorHAnsi"/>
              <w:noProof/>
              <w:sz w:val="22"/>
            </w:rPr>
          </w:pPr>
          <w:hyperlink w:anchor="_Toc318455727" w:history="1">
            <w:r w:rsidR="00CC0846" w:rsidRPr="003B0F86">
              <w:rPr>
                <w:rStyle w:val="Hyperlink"/>
                <w:rFonts w:cs="Arial"/>
                <w:caps/>
                <w:noProof/>
              </w:rPr>
              <w:t>II.</w:t>
            </w:r>
            <w:r w:rsidR="00CC0846">
              <w:rPr>
                <w:rFonts w:asciiTheme="minorHAnsi" w:eastAsiaTheme="minorEastAsia" w:hAnsiTheme="minorHAnsi"/>
                <w:noProof/>
                <w:sz w:val="22"/>
              </w:rPr>
              <w:tab/>
            </w:r>
            <w:r w:rsidR="00CC0846" w:rsidRPr="003B0F86">
              <w:rPr>
                <w:rStyle w:val="Hyperlink"/>
                <w:rFonts w:cs="Arial"/>
                <w:caps/>
                <w:noProof/>
              </w:rPr>
              <w:t>Background</w:t>
            </w:r>
            <w:r w:rsidR="00CC0846">
              <w:rPr>
                <w:noProof/>
                <w:webHidden/>
              </w:rPr>
              <w:tab/>
            </w:r>
            <w:r w:rsidR="00CC0846">
              <w:rPr>
                <w:noProof/>
                <w:webHidden/>
              </w:rPr>
              <w:fldChar w:fldCharType="begin"/>
            </w:r>
            <w:r w:rsidR="00CC0846">
              <w:rPr>
                <w:noProof/>
                <w:webHidden/>
              </w:rPr>
              <w:instrText xml:space="preserve"> PAGEREF _Toc318455727 \h </w:instrText>
            </w:r>
            <w:r w:rsidR="00CC0846">
              <w:rPr>
                <w:noProof/>
                <w:webHidden/>
              </w:rPr>
            </w:r>
            <w:r w:rsidR="00CC0846">
              <w:rPr>
                <w:noProof/>
                <w:webHidden/>
              </w:rPr>
              <w:fldChar w:fldCharType="separate"/>
            </w:r>
            <w:r>
              <w:rPr>
                <w:noProof/>
                <w:webHidden/>
              </w:rPr>
              <w:t>1</w:t>
            </w:r>
            <w:r w:rsidR="00CC0846">
              <w:rPr>
                <w:noProof/>
                <w:webHidden/>
              </w:rPr>
              <w:fldChar w:fldCharType="end"/>
            </w:r>
          </w:hyperlink>
        </w:p>
        <w:p w:rsidR="00CC0846" w:rsidRDefault="008F30A5">
          <w:pPr>
            <w:pStyle w:val="TOC1"/>
            <w:rPr>
              <w:rFonts w:asciiTheme="minorHAnsi" w:eastAsiaTheme="minorEastAsia" w:hAnsiTheme="minorHAnsi"/>
              <w:noProof/>
              <w:sz w:val="22"/>
            </w:rPr>
          </w:pPr>
          <w:hyperlink w:anchor="_Toc318455728" w:history="1">
            <w:r w:rsidR="00CC0846" w:rsidRPr="003B0F86">
              <w:rPr>
                <w:rStyle w:val="Hyperlink"/>
                <w:rFonts w:cs="Arial"/>
                <w:noProof/>
              </w:rPr>
              <w:t>III.</w:t>
            </w:r>
            <w:r w:rsidR="00CC0846">
              <w:rPr>
                <w:rFonts w:asciiTheme="minorHAnsi" w:eastAsiaTheme="minorEastAsia" w:hAnsiTheme="minorHAnsi"/>
                <w:noProof/>
                <w:sz w:val="22"/>
              </w:rPr>
              <w:tab/>
            </w:r>
            <w:r w:rsidR="00CC0846" w:rsidRPr="003B0F86">
              <w:rPr>
                <w:rStyle w:val="Hyperlink"/>
                <w:rFonts w:cs="Arial"/>
                <w:noProof/>
              </w:rPr>
              <w:t>ARGUMENT</w:t>
            </w:r>
            <w:r w:rsidR="00CC0846">
              <w:rPr>
                <w:noProof/>
                <w:webHidden/>
              </w:rPr>
              <w:tab/>
            </w:r>
            <w:r w:rsidR="00CC0846">
              <w:rPr>
                <w:noProof/>
                <w:webHidden/>
              </w:rPr>
              <w:fldChar w:fldCharType="begin"/>
            </w:r>
            <w:r w:rsidR="00CC0846">
              <w:rPr>
                <w:noProof/>
                <w:webHidden/>
              </w:rPr>
              <w:instrText xml:space="preserve"> PAGEREF _Toc318455728 \h </w:instrText>
            </w:r>
            <w:r w:rsidR="00CC0846">
              <w:rPr>
                <w:noProof/>
                <w:webHidden/>
              </w:rPr>
            </w:r>
            <w:r w:rsidR="00CC0846">
              <w:rPr>
                <w:noProof/>
                <w:webHidden/>
              </w:rPr>
              <w:fldChar w:fldCharType="separate"/>
            </w:r>
            <w:r>
              <w:rPr>
                <w:noProof/>
                <w:webHidden/>
              </w:rPr>
              <w:t>8</w:t>
            </w:r>
            <w:r w:rsidR="00CC0846">
              <w:rPr>
                <w:noProof/>
                <w:webHidden/>
              </w:rPr>
              <w:fldChar w:fldCharType="end"/>
            </w:r>
          </w:hyperlink>
        </w:p>
        <w:p w:rsidR="00CC0846" w:rsidRDefault="008F30A5">
          <w:pPr>
            <w:pStyle w:val="TOC2"/>
            <w:rPr>
              <w:rFonts w:asciiTheme="minorHAnsi" w:eastAsiaTheme="minorEastAsia" w:hAnsiTheme="minorHAnsi"/>
              <w:noProof/>
              <w:sz w:val="22"/>
            </w:rPr>
          </w:pPr>
          <w:hyperlink w:anchor="_Toc318455729" w:history="1">
            <w:r w:rsidR="00CC0846" w:rsidRPr="003B0F86">
              <w:rPr>
                <w:rStyle w:val="Hyperlink"/>
                <w:rFonts w:cs="Arial"/>
                <w:noProof/>
              </w:rPr>
              <w:t>1.</w:t>
            </w:r>
            <w:r w:rsidR="00CC0846">
              <w:rPr>
                <w:rFonts w:asciiTheme="minorHAnsi" w:eastAsiaTheme="minorEastAsia" w:hAnsiTheme="minorHAnsi"/>
                <w:noProof/>
                <w:sz w:val="22"/>
              </w:rPr>
              <w:tab/>
            </w:r>
            <w:r w:rsidR="00CC0846" w:rsidRPr="003B0F86">
              <w:rPr>
                <w:rStyle w:val="Hyperlink"/>
                <w:rFonts w:cs="Arial"/>
                <w:noProof/>
              </w:rPr>
              <w:t>RPM Pricing Applies as a Matter of Law</w:t>
            </w:r>
            <w:r w:rsidR="00CC0846">
              <w:rPr>
                <w:noProof/>
                <w:webHidden/>
              </w:rPr>
              <w:tab/>
            </w:r>
            <w:r w:rsidR="00CC0846">
              <w:rPr>
                <w:noProof/>
                <w:webHidden/>
              </w:rPr>
              <w:fldChar w:fldCharType="begin"/>
            </w:r>
            <w:r w:rsidR="00CC0846">
              <w:rPr>
                <w:noProof/>
                <w:webHidden/>
              </w:rPr>
              <w:instrText xml:space="preserve"> PAGEREF _Toc318455729 \h </w:instrText>
            </w:r>
            <w:r w:rsidR="00CC0846">
              <w:rPr>
                <w:noProof/>
                <w:webHidden/>
              </w:rPr>
            </w:r>
            <w:r w:rsidR="00CC0846">
              <w:rPr>
                <w:noProof/>
                <w:webHidden/>
              </w:rPr>
              <w:fldChar w:fldCharType="separate"/>
            </w:r>
            <w:r>
              <w:rPr>
                <w:noProof/>
                <w:webHidden/>
              </w:rPr>
              <w:t>8</w:t>
            </w:r>
            <w:r w:rsidR="00CC0846">
              <w:rPr>
                <w:noProof/>
                <w:webHidden/>
              </w:rPr>
              <w:fldChar w:fldCharType="end"/>
            </w:r>
          </w:hyperlink>
        </w:p>
        <w:p w:rsidR="00CC0846" w:rsidRDefault="008F30A5">
          <w:pPr>
            <w:pStyle w:val="TOC2"/>
            <w:rPr>
              <w:rFonts w:asciiTheme="minorHAnsi" w:eastAsiaTheme="minorEastAsia" w:hAnsiTheme="minorHAnsi"/>
              <w:noProof/>
              <w:sz w:val="22"/>
            </w:rPr>
          </w:pPr>
          <w:hyperlink w:anchor="_Toc318455730" w:history="1">
            <w:r w:rsidR="00CC0846" w:rsidRPr="003B0F86">
              <w:rPr>
                <w:rStyle w:val="Hyperlink"/>
                <w:rFonts w:cs="Arial"/>
                <w:noProof/>
              </w:rPr>
              <w:t>2.</w:t>
            </w:r>
            <w:r w:rsidR="00CC0846">
              <w:rPr>
                <w:rFonts w:asciiTheme="minorHAnsi" w:eastAsiaTheme="minorEastAsia" w:hAnsiTheme="minorHAnsi"/>
                <w:noProof/>
                <w:sz w:val="22"/>
              </w:rPr>
              <w:tab/>
            </w:r>
            <w:r w:rsidR="00CC0846" w:rsidRPr="003B0F86">
              <w:rPr>
                <w:rStyle w:val="Hyperlink"/>
                <w:rFonts w:cs="Arial"/>
                <w:noProof/>
              </w:rPr>
              <w:t>OP Proposes an Illegal Rate Structure</w:t>
            </w:r>
            <w:r w:rsidR="00CC0846">
              <w:rPr>
                <w:noProof/>
                <w:webHidden/>
              </w:rPr>
              <w:tab/>
            </w:r>
            <w:r w:rsidR="00CC0846">
              <w:rPr>
                <w:noProof/>
                <w:webHidden/>
              </w:rPr>
              <w:fldChar w:fldCharType="begin"/>
            </w:r>
            <w:r w:rsidR="00CC0846">
              <w:rPr>
                <w:noProof/>
                <w:webHidden/>
              </w:rPr>
              <w:instrText xml:space="preserve"> PAGEREF _Toc318455730 \h </w:instrText>
            </w:r>
            <w:r w:rsidR="00CC0846">
              <w:rPr>
                <w:noProof/>
                <w:webHidden/>
              </w:rPr>
            </w:r>
            <w:r w:rsidR="00CC0846">
              <w:rPr>
                <w:noProof/>
                <w:webHidden/>
              </w:rPr>
              <w:fldChar w:fldCharType="separate"/>
            </w:r>
            <w:r>
              <w:rPr>
                <w:noProof/>
                <w:webHidden/>
              </w:rPr>
              <w:t>9</w:t>
            </w:r>
            <w:r w:rsidR="00CC0846">
              <w:rPr>
                <w:noProof/>
                <w:webHidden/>
              </w:rPr>
              <w:fldChar w:fldCharType="end"/>
            </w:r>
          </w:hyperlink>
        </w:p>
        <w:p w:rsidR="00CC0846" w:rsidRDefault="008F30A5">
          <w:pPr>
            <w:pStyle w:val="TOC2"/>
            <w:rPr>
              <w:rFonts w:asciiTheme="minorHAnsi" w:eastAsiaTheme="minorEastAsia" w:hAnsiTheme="minorHAnsi"/>
              <w:noProof/>
              <w:sz w:val="22"/>
            </w:rPr>
          </w:pPr>
          <w:hyperlink w:anchor="_Toc318455731" w:history="1">
            <w:r w:rsidR="00CC0846" w:rsidRPr="003B0F86">
              <w:rPr>
                <w:rStyle w:val="Hyperlink"/>
                <w:noProof/>
              </w:rPr>
              <w:t>3.</w:t>
            </w:r>
            <w:r w:rsidR="00CC0846">
              <w:rPr>
                <w:rFonts w:asciiTheme="minorHAnsi" w:eastAsiaTheme="minorEastAsia" w:hAnsiTheme="minorHAnsi"/>
                <w:noProof/>
                <w:sz w:val="22"/>
              </w:rPr>
              <w:tab/>
            </w:r>
            <w:r w:rsidR="00CC0846" w:rsidRPr="003B0F86">
              <w:rPr>
                <w:rStyle w:val="Hyperlink"/>
                <w:rFonts w:cs="Arial"/>
                <w:noProof/>
              </w:rPr>
              <w:t>OP Fails to Provide Any Basis for Staying the Commission’s Orders Regarding Capacity Charges</w:t>
            </w:r>
            <w:r w:rsidR="00CC0846">
              <w:rPr>
                <w:noProof/>
                <w:webHidden/>
              </w:rPr>
              <w:tab/>
            </w:r>
            <w:r w:rsidR="00CC0846">
              <w:rPr>
                <w:noProof/>
                <w:webHidden/>
              </w:rPr>
              <w:fldChar w:fldCharType="begin"/>
            </w:r>
            <w:r w:rsidR="00CC0846">
              <w:rPr>
                <w:noProof/>
                <w:webHidden/>
              </w:rPr>
              <w:instrText xml:space="preserve"> PAGEREF _Toc318455731 \h </w:instrText>
            </w:r>
            <w:r w:rsidR="00CC0846">
              <w:rPr>
                <w:noProof/>
                <w:webHidden/>
              </w:rPr>
            </w:r>
            <w:r w:rsidR="00CC0846">
              <w:rPr>
                <w:noProof/>
                <w:webHidden/>
              </w:rPr>
              <w:fldChar w:fldCharType="separate"/>
            </w:r>
            <w:r>
              <w:rPr>
                <w:noProof/>
                <w:webHidden/>
              </w:rPr>
              <w:t>11</w:t>
            </w:r>
            <w:r w:rsidR="00CC0846">
              <w:rPr>
                <w:noProof/>
                <w:webHidden/>
              </w:rPr>
              <w:fldChar w:fldCharType="end"/>
            </w:r>
          </w:hyperlink>
        </w:p>
        <w:p w:rsidR="00CC0846" w:rsidRDefault="008F30A5">
          <w:pPr>
            <w:pStyle w:val="TOC3"/>
            <w:rPr>
              <w:rFonts w:asciiTheme="minorHAnsi" w:eastAsiaTheme="minorEastAsia" w:hAnsiTheme="minorHAnsi"/>
              <w:noProof/>
              <w:sz w:val="22"/>
            </w:rPr>
          </w:pPr>
          <w:hyperlink w:anchor="_Toc318455732" w:history="1">
            <w:r w:rsidR="00CC0846" w:rsidRPr="003B0F86">
              <w:rPr>
                <w:rStyle w:val="Hyperlink"/>
                <w:rFonts w:cs="Arial"/>
                <w:noProof/>
              </w:rPr>
              <w:t>A.</w:t>
            </w:r>
            <w:r w:rsidR="00CC0846">
              <w:rPr>
                <w:rFonts w:asciiTheme="minorHAnsi" w:eastAsiaTheme="minorEastAsia" w:hAnsiTheme="minorHAnsi"/>
                <w:noProof/>
                <w:sz w:val="22"/>
              </w:rPr>
              <w:tab/>
            </w:r>
            <w:r w:rsidR="00CC0846" w:rsidRPr="003B0F86">
              <w:rPr>
                <w:rStyle w:val="Hyperlink"/>
                <w:rFonts w:cs="Arial"/>
                <w:noProof/>
              </w:rPr>
              <w:t>A Claim of Irreparable Harm Does Not Permit OP to Secure Approval, Interim or Otherwise, of a New Capacity Pricing Scheme in this Proceeding</w:t>
            </w:r>
            <w:r w:rsidR="00CC0846">
              <w:rPr>
                <w:noProof/>
                <w:webHidden/>
              </w:rPr>
              <w:tab/>
            </w:r>
            <w:r w:rsidR="00CC0846">
              <w:rPr>
                <w:noProof/>
                <w:webHidden/>
              </w:rPr>
              <w:fldChar w:fldCharType="begin"/>
            </w:r>
            <w:r w:rsidR="00CC0846">
              <w:rPr>
                <w:noProof/>
                <w:webHidden/>
              </w:rPr>
              <w:instrText xml:space="preserve"> PAGEREF _Toc318455732 \h </w:instrText>
            </w:r>
            <w:r w:rsidR="00CC0846">
              <w:rPr>
                <w:noProof/>
                <w:webHidden/>
              </w:rPr>
            </w:r>
            <w:r w:rsidR="00CC0846">
              <w:rPr>
                <w:noProof/>
                <w:webHidden/>
              </w:rPr>
              <w:fldChar w:fldCharType="separate"/>
            </w:r>
            <w:r>
              <w:rPr>
                <w:noProof/>
                <w:webHidden/>
              </w:rPr>
              <w:t>12</w:t>
            </w:r>
            <w:r w:rsidR="00CC0846">
              <w:rPr>
                <w:noProof/>
                <w:webHidden/>
              </w:rPr>
              <w:fldChar w:fldCharType="end"/>
            </w:r>
          </w:hyperlink>
        </w:p>
        <w:p w:rsidR="00CC0846" w:rsidRDefault="008F30A5">
          <w:pPr>
            <w:pStyle w:val="TOC3"/>
            <w:rPr>
              <w:rFonts w:asciiTheme="minorHAnsi" w:eastAsiaTheme="minorEastAsia" w:hAnsiTheme="minorHAnsi"/>
              <w:noProof/>
              <w:sz w:val="22"/>
            </w:rPr>
          </w:pPr>
          <w:hyperlink w:anchor="_Toc318455733" w:history="1">
            <w:r w:rsidR="00CC0846" w:rsidRPr="003B0F86">
              <w:rPr>
                <w:rStyle w:val="Hyperlink"/>
                <w:rFonts w:cs="Arial"/>
                <w:noProof/>
              </w:rPr>
              <w:t>B.</w:t>
            </w:r>
            <w:r w:rsidR="00CC0846">
              <w:rPr>
                <w:rFonts w:asciiTheme="minorHAnsi" w:eastAsiaTheme="minorEastAsia" w:hAnsiTheme="minorHAnsi"/>
                <w:noProof/>
                <w:sz w:val="22"/>
              </w:rPr>
              <w:tab/>
            </w:r>
            <w:r w:rsidR="00CC0846" w:rsidRPr="003B0F86">
              <w:rPr>
                <w:rStyle w:val="Hyperlink"/>
                <w:rFonts w:cs="Arial"/>
                <w:noProof/>
              </w:rPr>
              <w:t>OP Has Created Additional Uncertainty with this Unwarranted Motion to Stay the Commission’s Order</w:t>
            </w:r>
            <w:r w:rsidR="00CC0846">
              <w:rPr>
                <w:noProof/>
                <w:webHidden/>
              </w:rPr>
              <w:tab/>
            </w:r>
            <w:r w:rsidR="00CC0846">
              <w:rPr>
                <w:noProof/>
                <w:webHidden/>
              </w:rPr>
              <w:fldChar w:fldCharType="begin"/>
            </w:r>
            <w:r w:rsidR="00CC0846">
              <w:rPr>
                <w:noProof/>
                <w:webHidden/>
              </w:rPr>
              <w:instrText xml:space="preserve"> PAGEREF _Toc318455733 \h </w:instrText>
            </w:r>
            <w:r w:rsidR="00CC0846">
              <w:rPr>
                <w:noProof/>
                <w:webHidden/>
              </w:rPr>
            </w:r>
            <w:r w:rsidR="00CC0846">
              <w:rPr>
                <w:noProof/>
                <w:webHidden/>
              </w:rPr>
              <w:fldChar w:fldCharType="separate"/>
            </w:r>
            <w:r>
              <w:rPr>
                <w:noProof/>
                <w:webHidden/>
              </w:rPr>
              <w:t>16</w:t>
            </w:r>
            <w:r w:rsidR="00CC0846">
              <w:rPr>
                <w:noProof/>
                <w:webHidden/>
              </w:rPr>
              <w:fldChar w:fldCharType="end"/>
            </w:r>
          </w:hyperlink>
        </w:p>
        <w:p w:rsidR="00CC0846" w:rsidRDefault="008F30A5">
          <w:pPr>
            <w:pStyle w:val="TOC3"/>
            <w:rPr>
              <w:rFonts w:asciiTheme="minorHAnsi" w:eastAsiaTheme="minorEastAsia" w:hAnsiTheme="minorHAnsi"/>
              <w:noProof/>
              <w:sz w:val="22"/>
            </w:rPr>
          </w:pPr>
          <w:hyperlink w:anchor="_Toc318455734" w:history="1">
            <w:r w:rsidR="00CC0846" w:rsidRPr="003B0F86">
              <w:rPr>
                <w:rStyle w:val="Hyperlink"/>
                <w:rFonts w:cs="Arial"/>
                <w:noProof/>
              </w:rPr>
              <w:t>C.</w:t>
            </w:r>
            <w:r w:rsidR="00CC0846">
              <w:rPr>
                <w:rFonts w:asciiTheme="minorHAnsi" w:eastAsiaTheme="minorEastAsia" w:hAnsiTheme="minorHAnsi"/>
                <w:noProof/>
                <w:sz w:val="22"/>
              </w:rPr>
              <w:tab/>
            </w:r>
            <w:r w:rsidR="00CC0846" w:rsidRPr="003B0F86">
              <w:rPr>
                <w:rStyle w:val="Hyperlink"/>
                <w:rFonts w:cs="Arial"/>
                <w:noProof/>
              </w:rPr>
              <w:t>OP’s Requested Relief Is Illegal and Unreasonable</w:t>
            </w:r>
            <w:r w:rsidR="00CC0846">
              <w:rPr>
                <w:noProof/>
                <w:webHidden/>
              </w:rPr>
              <w:tab/>
            </w:r>
            <w:r w:rsidR="00CC0846">
              <w:rPr>
                <w:noProof/>
                <w:webHidden/>
              </w:rPr>
              <w:fldChar w:fldCharType="begin"/>
            </w:r>
            <w:r w:rsidR="00CC0846">
              <w:rPr>
                <w:noProof/>
                <w:webHidden/>
              </w:rPr>
              <w:instrText xml:space="preserve"> PAGEREF _Toc318455734 \h </w:instrText>
            </w:r>
            <w:r w:rsidR="00CC0846">
              <w:rPr>
                <w:noProof/>
                <w:webHidden/>
              </w:rPr>
            </w:r>
            <w:r w:rsidR="00CC0846">
              <w:rPr>
                <w:noProof/>
                <w:webHidden/>
              </w:rPr>
              <w:fldChar w:fldCharType="separate"/>
            </w:r>
            <w:r>
              <w:rPr>
                <w:noProof/>
                <w:webHidden/>
              </w:rPr>
              <w:t>19</w:t>
            </w:r>
            <w:r w:rsidR="00CC0846">
              <w:rPr>
                <w:noProof/>
                <w:webHidden/>
              </w:rPr>
              <w:fldChar w:fldCharType="end"/>
            </w:r>
          </w:hyperlink>
        </w:p>
        <w:p w:rsidR="00CC0846" w:rsidRDefault="008F30A5">
          <w:pPr>
            <w:pStyle w:val="TOC3"/>
            <w:rPr>
              <w:rFonts w:asciiTheme="minorHAnsi" w:eastAsiaTheme="minorEastAsia" w:hAnsiTheme="minorHAnsi"/>
              <w:noProof/>
              <w:sz w:val="22"/>
            </w:rPr>
          </w:pPr>
          <w:hyperlink w:anchor="_Toc318455735" w:history="1">
            <w:r w:rsidR="00CC0846" w:rsidRPr="003B0F86">
              <w:rPr>
                <w:rStyle w:val="Hyperlink"/>
                <w:rFonts w:cs="Arial"/>
                <w:noProof/>
              </w:rPr>
              <w:t>D.</w:t>
            </w:r>
            <w:r w:rsidR="00CC0846">
              <w:rPr>
                <w:rFonts w:asciiTheme="minorHAnsi" w:eastAsiaTheme="minorEastAsia" w:hAnsiTheme="minorHAnsi"/>
                <w:noProof/>
                <w:sz w:val="22"/>
              </w:rPr>
              <w:tab/>
            </w:r>
            <w:r w:rsidR="00CC0846" w:rsidRPr="003B0F86">
              <w:rPr>
                <w:rStyle w:val="Hyperlink"/>
                <w:rFonts w:cs="Arial"/>
                <w:noProof/>
              </w:rPr>
              <w:t>The Commission’s Order to Reset Capacity Charges Is Clear and Certain</w:t>
            </w:r>
            <w:r w:rsidR="00CC0846">
              <w:rPr>
                <w:noProof/>
                <w:webHidden/>
              </w:rPr>
              <w:tab/>
            </w:r>
            <w:r w:rsidR="00CC0846">
              <w:rPr>
                <w:noProof/>
                <w:webHidden/>
              </w:rPr>
              <w:fldChar w:fldCharType="begin"/>
            </w:r>
            <w:r w:rsidR="00CC0846">
              <w:rPr>
                <w:noProof/>
                <w:webHidden/>
              </w:rPr>
              <w:instrText xml:space="preserve"> PAGEREF _Toc318455735 \h </w:instrText>
            </w:r>
            <w:r w:rsidR="00CC0846">
              <w:rPr>
                <w:noProof/>
                <w:webHidden/>
              </w:rPr>
            </w:r>
            <w:r w:rsidR="00CC0846">
              <w:rPr>
                <w:noProof/>
                <w:webHidden/>
              </w:rPr>
              <w:fldChar w:fldCharType="separate"/>
            </w:r>
            <w:r>
              <w:rPr>
                <w:noProof/>
                <w:webHidden/>
              </w:rPr>
              <w:t>21</w:t>
            </w:r>
            <w:r w:rsidR="00CC0846">
              <w:rPr>
                <w:noProof/>
                <w:webHidden/>
              </w:rPr>
              <w:fldChar w:fldCharType="end"/>
            </w:r>
          </w:hyperlink>
        </w:p>
        <w:p w:rsidR="00CC0846" w:rsidRDefault="008F30A5">
          <w:pPr>
            <w:pStyle w:val="TOC1"/>
            <w:rPr>
              <w:rFonts w:asciiTheme="minorHAnsi" w:eastAsiaTheme="minorEastAsia" w:hAnsiTheme="minorHAnsi"/>
              <w:noProof/>
              <w:sz w:val="22"/>
            </w:rPr>
          </w:pPr>
          <w:hyperlink w:anchor="_Toc318455736" w:history="1">
            <w:r w:rsidR="00CC0846" w:rsidRPr="003B0F86">
              <w:rPr>
                <w:rStyle w:val="Hyperlink"/>
                <w:rFonts w:cs="Arial"/>
                <w:caps/>
                <w:noProof/>
              </w:rPr>
              <w:t>IV.</w:t>
            </w:r>
            <w:r w:rsidR="00CC0846">
              <w:rPr>
                <w:rFonts w:asciiTheme="minorHAnsi" w:eastAsiaTheme="minorEastAsia" w:hAnsiTheme="minorHAnsi"/>
                <w:noProof/>
                <w:sz w:val="22"/>
              </w:rPr>
              <w:tab/>
            </w:r>
            <w:r w:rsidR="00CC0846" w:rsidRPr="003B0F86">
              <w:rPr>
                <w:rStyle w:val="Hyperlink"/>
                <w:rFonts w:cs="Arial"/>
                <w:caps/>
                <w:noProof/>
              </w:rPr>
              <w:t>Conclusion</w:t>
            </w:r>
            <w:r w:rsidR="00CC0846">
              <w:rPr>
                <w:noProof/>
                <w:webHidden/>
              </w:rPr>
              <w:tab/>
            </w:r>
            <w:r w:rsidR="00CC0846">
              <w:rPr>
                <w:noProof/>
                <w:webHidden/>
              </w:rPr>
              <w:fldChar w:fldCharType="begin"/>
            </w:r>
            <w:r w:rsidR="00CC0846">
              <w:rPr>
                <w:noProof/>
                <w:webHidden/>
              </w:rPr>
              <w:instrText xml:space="preserve"> PAGEREF _Toc318455736 \h </w:instrText>
            </w:r>
            <w:r w:rsidR="00CC0846">
              <w:rPr>
                <w:noProof/>
                <w:webHidden/>
              </w:rPr>
            </w:r>
            <w:r w:rsidR="00CC0846">
              <w:rPr>
                <w:noProof/>
                <w:webHidden/>
              </w:rPr>
              <w:fldChar w:fldCharType="separate"/>
            </w:r>
            <w:r>
              <w:rPr>
                <w:noProof/>
                <w:webHidden/>
              </w:rPr>
              <w:t>23</w:t>
            </w:r>
            <w:r w:rsidR="00CC0846">
              <w:rPr>
                <w:noProof/>
                <w:webHidden/>
              </w:rPr>
              <w:fldChar w:fldCharType="end"/>
            </w:r>
          </w:hyperlink>
        </w:p>
        <w:p w:rsidR="00CC0846" w:rsidRDefault="008F30A5">
          <w:pPr>
            <w:pStyle w:val="TOC1"/>
            <w:rPr>
              <w:rFonts w:asciiTheme="minorHAnsi" w:eastAsiaTheme="minorEastAsia" w:hAnsiTheme="minorHAnsi"/>
              <w:noProof/>
              <w:sz w:val="22"/>
            </w:rPr>
          </w:pPr>
          <w:hyperlink w:anchor="_Toc318455737" w:history="1">
            <w:r w:rsidR="00CC0846" w:rsidRPr="003B0F86">
              <w:rPr>
                <w:rStyle w:val="Hyperlink"/>
                <w:rFonts w:eastAsia="Times New Roman" w:cs="Arial"/>
                <w:caps/>
                <w:noProof/>
              </w:rPr>
              <w:t>Certificate of Service</w:t>
            </w:r>
            <w:r w:rsidR="00CC0846">
              <w:rPr>
                <w:noProof/>
                <w:webHidden/>
              </w:rPr>
              <w:tab/>
            </w:r>
            <w:r w:rsidR="00CC0846">
              <w:rPr>
                <w:noProof/>
                <w:webHidden/>
              </w:rPr>
              <w:fldChar w:fldCharType="begin"/>
            </w:r>
            <w:r w:rsidR="00CC0846">
              <w:rPr>
                <w:noProof/>
                <w:webHidden/>
              </w:rPr>
              <w:instrText xml:space="preserve"> PAGEREF _Toc318455737 \h </w:instrText>
            </w:r>
            <w:r w:rsidR="00CC0846">
              <w:rPr>
                <w:noProof/>
                <w:webHidden/>
              </w:rPr>
            </w:r>
            <w:r w:rsidR="00CC0846">
              <w:rPr>
                <w:noProof/>
                <w:webHidden/>
              </w:rPr>
              <w:fldChar w:fldCharType="separate"/>
            </w:r>
            <w:r>
              <w:rPr>
                <w:noProof/>
                <w:webHidden/>
              </w:rPr>
              <w:t>24</w:t>
            </w:r>
            <w:r w:rsidR="00CC0846">
              <w:rPr>
                <w:noProof/>
                <w:webHidden/>
              </w:rPr>
              <w:fldChar w:fldCharType="end"/>
            </w:r>
          </w:hyperlink>
        </w:p>
        <w:p w:rsidR="00730B73" w:rsidRDefault="00730B73">
          <w:r>
            <w:rPr>
              <w:b/>
              <w:bCs/>
              <w:noProof/>
            </w:rPr>
            <w:fldChar w:fldCharType="end"/>
          </w:r>
        </w:p>
      </w:sdtContent>
    </w:sdt>
    <w:p w:rsidR="00730B73" w:rsidRDefault="00730B73" w:rsidP="00730B73">
      <w:pPr>
        <w:spacing w:after="0" w:line="240" w:lineRule="auto"/>
        <w:rPr>
          <w:b/>
        </w:rPr>
        <w:sectPr w:rsidR="00730B73" w:rsidSect="005B117D">
          <w:pgSz w:w="12240" w:h="15840" w:code="1"/>
          <w:pgMar w:top="1440" w:right="1440" w:bottom="1141" w:left="1440" w:header="720" w:footer="720" w:gutter="0"/>
          <w:pgNumType w:fmt="lowerRoman" w:start="1"/>
          <w:cols w:space="720"/>
          <w:titlePg/>
          <w:docGrid w:linePitch="326"/>
        </w:sectPr>
      </w:pPr>
    </w:p>
    <w:p w:rsidR="00730B73" w:rsidRDefault="00730B73" w:rsidP="00730B73">
      <w:pPr>
        <w:spacing w:after="0" w:line="240" w:lineRule="auto"/>
        <w:rPr>
          <w:b/>
        </w:rPr>
      </w:pPr>
    </w:p>
    <w:p w:rsidR="009D5E30" w:rsidRDefault="009D5E30" w:rsidP="009D5E30">
      <w:pPr>
        <w:spacing w:after="0" w:line="240" w:lineRule="auto"/>
        <w:jc w:val="center"/>
        <w:rPr>
          <w:b/>
        </w:rPr>
      </w:pPr>
      <w:r>
        <w:rPr>
          <w:b/>
        </w:rPr>
        <w:t>BEFORE</w:t>
      </w:r>
    </w:p>
    <w:p w:rsidR="009D5E30" w:rsidRDefault="009D5E30" w:rsidP="009D5E30">
      <w:pPr>
        <w:spacing w:after="0" w:line="240" w:lineRule="auto"/>
        <w:jc w:val="center"/>
        <w:rPr>
          <w:b/>
        </w:rPr>
      </w:pPr>
      <w:r>
        <w:rPr>
          <w:b/>
        </w:rPr>
        <w:t>THE PUBLIC UTILITIES COMMISSION OF OHIO</w:t>
      </w:r>
    </w:p>
    <w:p w:rsidR="009D5E30" w:rsidRDefault="009D5E30" w:rsidP="009D5E30">
      <w:pPr>
        <w:spacing w:after="0" w:line="240" w:lineRule="auto"/>
        <w:jc w:val="center"/>
        <w:rPr>
          <w:b/>
        </w:rPr>
      </w:pPr>
    </w:p>
    <w:p w:rsidR="009D5E30" w:rsidRDefault="009D5E30" w:rsidP="009D5E30">
      <w:pPr>
        <w:spacing w:after="0" w:line="240" w:lineRule="auto"/>
        <w:jc w:val="center"/>
        <w:rPr>
          <w:b/>
        </w:rPr>
      </w:pPr>
    </w:p>
    <w:p w:rsidR="009D5E30" w:rsidRDefault="009D5E30" w:rsidP="009D5E30">
      <w:pPr>
        <w:spacing w:after="0" w:line="240" w:lineRule="auto"/>
        <w:jc w:val="center"/>
        <w:rPr>
          <w:b/>
        </w:rPr>
      </w:pPr>
    </w:p>
    <w:p w:rsidR="009D5E30" w:rsidRDefault="009D5E30" w:rsidP="009D5E30">
      <w:pPr>
        <w:spacing w:after="0" w:line="240" w:lineRule="auto"/>
        <w:jc w:val="center"/>
        <w:rPr>
          <w:b/>
        </w:rPr>
      </w:pPr>
    </w:p>
    <w:p w:rsidR="009D5E30" w:rsidRDefault="009D5E30" w:rsidP="009D5E30">
      <w:pPr>
        <w:spacing w:after="0" w:line="240" w:lineRule="auto"/>
      </w:pPr>
      <w:r>
        <w:t>In the Matter of the Commission Review of</w:t>
      </w:r>
      <w:r>
        <w:tab/>
        <w:t>)</w:t>
      </w:r>
    </w:p>
    <w:p w:rsidR="009D5E30" w:rsidRDefault="00795E00" w:rsidP="009D5E30">
      <w:pPr>
        <w:spacing w:after="0" w:line="240" w:lineRule="auto"/>
      </w:pPr>
      <w:proofErr w:type="gramStart"/>
      <w:r>
        <w:t>t</w:t>
      </w:r>
      <w:r w:rsidR="009D5E30">
        <w:t>he</w:t>
      </w:r>
      <w:proofErr w:type="gramEnd"/>
      <w:r w:rsidR="009D5E30">
        <w:t xml:space="preserve"> Capacity Charges of Ohio Power</w:t>
      </w:r>
      <w:r w:rsidR="009D5E30">
        <w:tab/>
      </w:r>
      <w:r w:rsidR="009D5E30">
        <w:tab/>
        <w:t>)</w:t>
      </w:r>
      <w:r w:rsidR="009D5E30">
        <w:tab/>
        <w:t>Case No. 10-2929-EL-UNC</w:t>
      </w:r>
    </w:p>
    <w:p w:rsidR="009D5E30" w:rsidRDefault="009D5E30" w:rsidP="009D5E30">
      <w:pPr>
        <w:spacing w:after="0" w:line="240" w:lineRule="auto"/>
      </w:pPr>
      <w:r>
        <w:t>Company and Columbus Southern Power</w:t>
      </w:r>
      <w:r>
        <w:tab/>
        <w:t>)</w:t>
      </w:r>
    </w:p>
    <w:p w:rsidR="009D5E30" w:rsidRDefault="009D5E30" w:rsidP="009D5E30">
      <w:pPr>
        <w:spacing w:after="0" w:line="240" w:lineRule="auto"/>
      </w:pPr>
      <w:r>
        <w:t>Company</w:t>
      </w:r>
      <w:r>
        <w:tab/>
      </w:r>
      <w:r>
        <w:tab/>
      </w:r>
      <w:r>
        <w:tab/>
      </w:r>
      <w:r>
        <w:tab/>
      </w:r>
      <w:r>
        <w:tab/>
      </w:r>
      <w:r>
        <w:tab/>
        <w:t>)</w:t>
      </w:r>
    </w:p>
    <w:p w:rsidR="009D5E30" w:rsidRDefault="009D5E30" w:rsidP="009D5E30">
      <w:pPr>
        <w:spacing w:after="0" w:line="240" w:lineRule="auto"/>
      </w:pPr>
    </w:p>
    <w:p w:rsidR="009D5E30" w:rsidRDefault="009D5E30" w:rsidP="009D5E30">
      <w:pPr>
        <w:spacing w:after="0" w:line="240" w:lineRule="auto"/>
      </w:pPr>
    </w:p>
    <w:p w:rsidR="009D5E30" w:rsidRDefault="009D5E30" w:rsidP="009D5E30">
      <w:pPr>
        <w:spacing w:after="0" w:line="240" w:lineRule="auto"/>
        <w:rPr>
          <w:b/>
        </w:rPr>
      </w:pPr>
      <w:r w:rsidRPr="00F9208D">
        <w:rPr>
          <w:b/>
        </w:rPr>
        <w:t>______________________________________________________________________</w:t>
      </w:r>
    </w:p>
    <w:p w:rsidR="009D5E30" w:rsidRDefault="009D5E30" w:rsidP="009D5E30">
      <w:pPr>
        <w:spacing w:after="0" w:line="240" w:lineRule="auto"/>
        <w:rPr>
          <w:b/>
        </w:rPr>
      </w:pPr>
    </w:p>
    <w:p w:rsidR="009D5E30" w:rsidRPr="007A22C7" w:rsidRDefault="009D5E30" w:rsidP="00730B73">
      <w:pPr>
        <w:pStyle w:val="Heading1"/>
        <w:spacing w:before="0" w:line="240" w:lineRule="auto"/>
        <w:jc w:val="center"/>
        <w:rPr>
          <w:rFonts w:ascii="Arial" w:hAnsi="Arial" w:cs="Arial"/>
          <w:caps/>
          <w:color w:val="auto"/>
          <w:sz w:val="24"/>
          <w:szCs w:val="24"/>
        </w:rPr>
      </w:pPr>
      <w:bookmarkStart w:id="1" w:name="_Toc318455725"/>
      <w:r w:rsidRPr="007A22C7">
        <w:rPr>
          <w:rFonts w:ascii="Arial" w:hAnsi="Arial" w:cs="Arial"/>
          <w:caps/>
          <w:color w:val="auto"/>
          <w:sz w:val="24"/>
          <w:szCs w:val="24"/>
        </w:rPr>
        <w:t>Industrial Energy Users-Ohio’s Memorandum Contra Ohio Power Company’s February 27, 2012 Motion for Relief and Request for Expedited Ruling</w:t>
      </w:r>
      <w:bookmarkEnd w:id="1"/>
    </w:p>
    <w:p w:rsidR="009D5E30" w:rsidRDefault="009D5E30" w:rsidP="009D5E30">
      <w:pPr>
        <w:spacing w:after="0" w:line="240" w:lineRule="auto"/>
        <w:rPr>
          <w:b/>
        </w:rPr>
      </w:pPr>
      <w:r w:rsidRPr="00F9208D">
        <w:rPr>
          <w:b/>
        </w:rPr>
        <w:t>______________________________________________________________________</w:t>
      </w:r>
    </w:p>
    <w:p w:rsidR="009D5E30" w:rsidRDefault="009D5E30" w:rsidP="00F345E5">
      <w:pPr>
        <w:spacing w:after="0" w:line="480" w:lineRule="auto"/>
        <w:jc w:val="both"/>
        <w:rPr>
          <w:b/>
        </w:rPr>
      </w:pPr>
    </w:p>
    <w:p w:rsidR="009D5E30" w:rsidRPr="009D5E30" w:rsidRDefault="00F345E5" w:rsidP="006E789D">
      <w:pPr>
        <w:pStyle w:val="Heading1"/>
        <w:numPr>
          <w:ilvl w:val="0"/>
          <w:numId w:val="2"/>
        </w:numPr>
        <w:spacing w:before="240" w:line="480" w:lineRule="auto"/>
        <w:ind w:hanging="630"/>
        <w:rPr>
          <w:rFonts w:ascii="Arial" w:hAnsi="Arial" w:cs="Arial"/>
          <w:caps/>
          <w:color w:val="auto"/>
          <w:sz w:val="24"/>
          <w:szCs w:val="24"/>
        </w:rPr>
      </w:pPr>
      <w:bookmarkStart w:id="2" w:name="_Toc318455726"/>
      <w:r w:rsidRPr="009D5E30">
        <w:rPr>
          <w:rFonts w:ascii="Arial" w:hAnsi="Arial" w:cs="Arial"/>
          <w:caps/>
          <w:color w:val="auto"/>
          <w:sz w:val="24"/>
          <w:szCs w:val="24"/>
        </w:rPr>
        <w:t>Introduction</w:t>
      </w:r>
      <w:bookmarkEnd w:id="2"/>
    </w:p>
    <w:p w:rsidR="00F345E5" w:rsidRDefault="00795E00" w:rsidP="00F345E5">
      <w:pPr>
        <w:spacing w:after="0" w:line="480" w:lineRule="auto"/>
        <w:ind w:firstLine="720"/>
        <w:jc w:val="both"/>
      </w:pPr>
      <w:r>
        <w:t xml:space="preserve">For the benefit of </w:t>
      </w:r>
      <w:r w:rsidR="00C9115B">
        <w:t xml:space="preserve">the </w:t>
      </w:r>
      <w:r>
        <w:t>sole shareholder</w:t>
      </w:r>
      <w:r w:rsidR="00C9115B">
        <w:t xml:space="preserve"> of the Ohio Power Company (“OP”)</w:t>
      </w:r>
      <w:r>
        <w:t>, American Electric Power (“AEP”)</w:t>
      </w:r>
      <w:r w:rsidR="00F345E5">
        <w:t xml:space="preserve">, </w:t>
      </w:r>
      <w:r w:rsidR="00C9115B">
        <w:t>OP</w:t>
      </w:r>
      <w:r w:rsidR="00F345E5">
        <w:t xml:space="preserve"> filed a Motion for Relief </w:t>
      </w:r>
      <w:r w:rsidR="002C53F7">
        <w:t>(</w:t>
      </w:r>
      <w:r w:rsidR="000028AF">
        <w:t xml:space="preserve">“Motion” or </w:t>
      </w:r>
      <w:r w:rsidR="002C53F7">
        <w:t xml:space="preserve">“OP Motion”) </w:t>
      </w:r>
      <w:r w:rsidR="00F345E5">
        <w:t xml:space="preserve">that </w:t>
      </w:r>
      <w:r w:rsidR="007D742D">
        <w:t>proposes to reintroduce its scheme to block customer choice</w:t>
      </w:r>
      <w:r w:rsidRPr="00795E00">
        <w:t xml:space="preserve"> </w:t>
      </w:r>
      <w:r>
        <w:t>on February 27, 2012</w:t>
      </w:r>
      <w:r w:rsidR="00F345E5">
        <w:t xml:space="preserve">.  </w:t>
      </w:r>
      <w:r w:rsidR="007D742D">
        <w:t xml:space="preserve">If </w:t>
      </w:r>
      <w:r>
        <w:t>the M</w:t>
      </w:r>
      <w:r w:rsidR="007D742D">
        <w:t>otion</w:t>
      </w:r>
      <w:r w:rsidR="001E7BF9">
        <w:t xml:space="preserve"> is granted</w:t>
      </w:r>
      <w:r w:rsidR="007D742D">
        <w:t xml:space="preserve">, </w:t>
      </w:r>
      <w:r w:rsidR="001E7BF9">
        <w:t xml:space="preserve">the Public Utilities Commission of Ohio (“Commission”) </w:t>
      </w:r>
      <w:r>
        <w:t>will authorize</w:t>
      </w:r>
      <w:r w:rsidR="00692ED5">
        <w:t xml:space="preserve"> </w:t>
      </w:r>
      <w:r w:rsidR="007D742D">
        <w:t>arbitrary, illegal, and unreasonabl</w:t>
      </w:r>
      <w:r w:rsidR="001E7BF9">
        <w:t>e barriers to customer shopping and</w:t>
      </w:r>
      <w:r w:rsidR="007D742D">
        <w:t xml:space="preserve"> </w:t>
      </w:r>
      <w:r w:rsidR="001E7BF9">
        <w:t>preclude</w:t>
      </w:r>
      <w:r w:rsidR="00692ED5">
        <w:t xml:space="preserve"> </w:t>
      </w:r>
      <w:r w:rsidR="007D742D">
        <w:t xml:space="preserve">consumers </w:t>
      </w:r>
      <w:r w:rsidR="00692ED5">
        <w:t>from</w:t>
      </w:r>
      <w:r w:rsidR="007D742D">
        <w:t xml:space="preserve"> re</w:t>
      </w:r>
      <w:r w:rsidR="00692ED5">
        <w:t>ducing</w:t>
      </w:r>
      <w:r w:rsidR="007D742D">
        <w:t xml:space="preserve"> electric bills </w:t>
      </w:r>
      <w:r w:rsidR="00692ED5">
        <w:t>through contracts with</w:t>
      </w:r>
      <w:r w:rsidR="007D742D">
        <w:t xml:space="preserve"> Competitive Retail Electric Supply (“CRES”) providers.</w:t>
      </w:r>
      <w:r w:rsidR="0086560B">
        <w:t xml:space="preserve"> </w:t>
      </w:r>
      <w:r w:rsidR="007D742D">
        <w:t xml:space="preserve"> Because the Motion seeks relief that is illegal and unreasonable, the Commission should deny the Mot</w:t>
      </w:r>
      <w:r w:rsidR="00692ED5">
        <w:t xml:space="preserve">ion and approve </w:t>
      </w:r>
      <w:r w:rsidR="001E7BF9">
        <w:t>a capacity charge mechanism</w:t>
      </w:r>
      <w:r w:rsidR="00692ED5">
        <w:t xml:space="preserve"> that </w:t>
      </w:r>
      <w:r w:rsidR="001E7BF9">
        <w:t>is</w:t>
      </w:r>
      <w:r w:rsidR="00692ED5">
        <w:t xml:space="preserve"> in accordance with the applicable law.</w:t>
      </w:r>
    </w:p>
    <w:p w:rsidR="00F345E5" w:rsidRPr="0049575D" w:rsidRDefault="00F345E5" w:rsidP="006E789D">
      <w:pPr>
        <w:pStyle w:val="Heading1"/>
        <w:numPr>
          <w:ilvl w:val="0"/>
          <w:numId w:val="2"/>
        </w:numPr>
        <w:spacing w:before="240" w:line="480" w:lineRule="auto"/>
        <w:ind w:hanging="540"/>
        <w:rPr>
          <w:rFonts w:ascii="Arial" w:hAnsi="Arial" w:cs="Arial"/>
          <w:caps/>
          <w:color w:val="auto"/>
          <w:sz w:val="24"/>
          <w:szCs w:val="24"/>
        </w:rPr>
      </w:pPr>
      <w:bookmarkStart w:id="3" w:name="_Toc318455727"/>
      <w:r w:rsidRPr="0049575D">
        <w:rPr>
          <w:rFonts w:ascii="Arial" w:hAnsi="Arial" w:cs="Arial"/>
          <w:caps/>
          <w:color w:val="auto"/>
          <w:sz w:val="24"/>
          <w:szCs w:val="24"/>
        </w:rPr>
        <w:t>Background</w:t>
      </w:r>
      <w:bookmarkEnd w:id="3"/>
    </w:p>
    <w:p w:rsidR="00A605E3" w:rsidRDefault="001E7BF9" w:rsidP="00A605E3">
      <w:pPr>
        <w:spacing w:line="480" w:lineRule="auto"/>
        <w:ind w:firstLine="720"/>
        <w:jc w:val="both"/>
        <w:rPr>
          <w:rFonts w:cs="Arial"/>
        </w:rPr>
      </w:pPr>
      <w:r>
        <w:rPr>
          <w:rFonts w:cs="Arial"/>
        </w:rPr>
        <w:t>The capacity charges that OP seeks to impose through this Motion are governed by t</w:t>
      </w:r>
      <w:r w:rsidR="00A605E3">
        <w:rPr>
          <w:rFonts w:cs="Arial"/>
        </w:rPr>
        <w:t xml:space="preserve">he rules </w:t>
      </w:r>
      <w:r w:rsidR="00530FF2">
        <w:rPr>
          <w:rFonts w:cs="Arial"/>
        </w:rPr>
        <w:t>of</w:t>
      </w:r>
      <w:r w:rsidR="00A605E3">
        <w:rPr>
          <w:rFonts w:cs="Arial"/>
        </w:rPr>
        <w:t xml:space="preserve"> </w:t>
      </w:r>
      <w:r w:rsidR="00657158">
        <w:rPr>
          <w:rFonts w:cs="Arial"/>
        </w:rPr>
        <w:t>PJM Interconnection, LLC (“</w:t>
      </w:r>
      <w:r w:rsidR="00A605E3">
        <w:rPr>
          <w:rFonts w:cs="Arial"/>
        </w:rPr>
        <w:t>PJM</w:t>
      </w:r>
      <w:r w:rsidR="00657158">
        <w:rPr>
          <w:rFonts w:cs="Arial"/>
        </w:rPr>
        <w:t>”)</w:t>
      </w:r>
      <w:r>
        <w:rPr>
          <w:rFonts w:cs="Arial"/>
        </w:rPr>
        <w:t>.  The rules create an</w:t>
      </w:r>
      <w:r w:rsidR="00A605E3">
        <w:rPr>
          <w:rFonts w:cs="Arial"/>
        </w:rPr>
        <w:t xml:space="preserve"> organized </w:t>
      </w:r>
      <w:r w:rsidR="00A605E3">
        <w:rPr>
          <w:rFonts w:cs="Arial"/>
        </w:rPr>
        <w:lastRenderedPageBreak/>
        <w:t xml:space="preserve">capacity market generally referred to as the Reliability Pricing Model (“RPM”) and </w:t>
      </w:r>
      <w:r>
        <w:rPr>
          <w:rFonts w:cs="Arial"/>
        </w:rPr>
        <w:t>are embodied in</w:t>
      </w:r>
      <w:r w:rsidR="00A605E3">
        <w:rPr>
          <w:rFonts w:cs="Arial"/>
        </w:rPr>
        <w:t xml:space="preserve"> PJM’s open access transmission tariff.  </w:t>
      </w:r>
      <w:r w:rsidR="00657158">
        <w:rPr>
          <w:rFonts w:cs="Arial"/>
        </w:rPr>
        <w:t xml:space="preserve">The </w:t>
      </w:r>
      <w:r w:rsidR="00A605E3">
        <w:rPr>
          <w:rFonts w:cs="Arial"/>
        </w:rPr>
        <w:t xml:space="preserve">RPM rules require load-serving entities (“LSE”) to obtain or arrange for adequate capacity (in the form of qualifying generation or demand response resources) to meet PJM’s forecasted peak demand, including a reserve margin.  </w:t>
      </w:r>
      <w:r>
        <w:rPr>
          <w:rFonts w:cs="Arial"/>
        </w:rPr>
        <w:t xml:space="preserve">To price capacity resources, </w:t>
      </w:r>
      <w:r w:rsidR="00A605E3">
        <w:rPr>
          <w:rFonts w:cs="Arial"/>
        </w:rPr>
        <w:t xml:space="preserve">RPM </w:t>
      </w:r>
      <w:r>
        <w:rPr>
          <w:rFonts w:cs="Arial"/>
        </w:rPr>
        <w:t xml:space="preserve">also </w:t>
      </w:r>
      <w:r w:rsidR="00A605E3">
        <w:rPr>
          <w:rFonts w:cs="Arial"/>
        </w:rPr>
        <w:t>features a centralized capacity auction in which generation and demand response resources are cleared or matched to forecasted load based upon prices offered by qualifying resources three years prior to a delivery year, which is a twelve-month period from June through May.</w:t>
      </w:r>
    </w:p>
    <w:p w:rsidR="00A605E3" w:rsidRDefault="00A605E3" w:rsidP="006E789D">
      <w:pPr>
        <w:autoSpaceDE w:val="0"/>
        <w:autoSpaceDN w:val="0"/>
        <w:adjustRightInd w:val="0"/>
        <w:spacing w:line="480" w:lineRule="auto"/>
        <w:jc w:val="both"/>
        <w:rPr>
          <w:rFonts w:cs="Arial"/>
        </w:rPr>
      </w:pPr>
      <w:r>
        <w:rPr>
          <w:rFonts w:cs="Arial"/>
        </w:rPr>
        <w:tab/>
        <w:t xml:space="preserve">RPM provides for an alternative method for LSEs to satisfy their capacity or resource adequacy obligation, known as the </w:t>
      </w:r>
      <w:r w:rsidR="00657158">
        <w:rPr>
          <w:rFonts w:cs="Arial"/>
        </w:rPr>
        <w:t>Fixed Resource Requirement (“</w:t>
      </w:r>
      <w:r>
        <w:rPr>
          <w:rFonts w:cs="Arial"/>
        </w:rPr>
        <w:t>FRR</w:t>
      </w:r>
      <w:r w:rsidR="00657158">
        <w:rPr>
          <w:rFonts w:cs="Arial"/>
        </w:rPr>
        <w:t>”)</w:t>
      </w:r>
      <w:r>
        <w:rPr>
          <w:rFonts w:cs="Arial"/>
        </w:rPr>
        <w:t xml:space="preserve"> Alternative.  The FRR Alternative allows an LSE</w:t>
      </w:r>
      <w:r w:rsidR="001E7BF9">
        <w:rPr>
          <w:rFonts w:cs="Arial"/>
        </w:rPr>
        <w:t>, the FRR Entity,</w:t>
      </w:r>
      <w:r>
        <w:rPr>
          <w:rFonts w:cs="Arial"/>
        </w:rPr>
        <w:t xml:space="preserve"> to submit an FRR </w:t>
      </w:r>
      <w:r w:rsidR="00657158">
        <w:rPr>
          <w:rFonts w:cs="Arial"/>
        </w:rPr>
        <w:t xml:space="preserve">capacity plan </w:t>
      </w:r>
      <w:r>
        <w:rPr>
          <w:rFonts w:cs="Arial"/>
        </w:rPr>
        <w:t xml:space="preserve">with a fixed capacity resource requirement </w:t>
      </w:r>
      <w:r w:rsidR="00692ED5">
        <w:rPr>
          <w:rFonts w:cs="Arial"/>
        </w:rPr>
        <w:t>in lieu of</w:t>
      </w:r>
      <w:r>
        <w:rPr>
          <w:rFonts w:cs="Arial"/>
        </w:rPr>
        <w:t xml:space="preserve"> satisfying the capacity resource obligation through PJM’s RPM capacity auction process.  The </w:t>
      </w:r>
      <w:r w:rsidR="00657158">
        <w:rPr>
          <w:rFonts w:cs="Arial"/>
        </w:rPr>
        <w:t>Reliability Assurance Agreement (“</w:t>
      </w:r>
      <w:r>
        <w:rPr>
          <w:rFonts w:cs="Arial"/>
        </w:rPr>
        <w:t>RAA</w:t>
      </w:r>
      <w:r w:rsidR="00657158">
        <w:rPr>
          <w:rFonts w:cs="Arial"/>
        </w:rPr>
        <w:t>”)</w:t>
      </w:r>
      <w:r>
        <w:rPr>
          <w:rFonts w:cs="Arial"/>
        </w:rPr>
        <w:t xml:space="preserve"> includes the rules that an LSE must satisfy under an FRR Alternative.  </w:t>
      </w:r>
      <w:r w:rsidR="001E7BF9">
        <w:rPr>
          <w:rFonts w:cs="Arial"/>
        </w:rPr>
        <w:t xml:space="preserve">To establish the compensation paid by CRES providers to the FRR Entity, </w:t>
      </w:r>
      <w:r>
        <w:rPr>
          <w:rFonts w:cs="Arial"/>
        </w:rPr>
        <w:t>Section D.8 of the RAA provides, in relevant part:</w:t>
      </w:r>
    </w:p>
    <w:p w:rsidR="006E789D" w:rsidRDefault="00A605E3" w:rsidP="00261CE3">
      <w:pPr>
        <w:autoSpaceDE w:val="0"/>
        <w:autoSpaceDN w:val="0"/>
        <w:adjustRightInd w:val="0"/>
        <w:ind w:left="720" w:right="720"/>
        <w:jc w:val="both"/>
        <w:rPr>
          <w:rFonts w:cs="Arial"/>
        </w:rPr>
      </w:pPr>
      <w:r>
        <w:rPr>
          <w:rFonts w:cs="Arial"/>
        </w:rPr>
        <w:t xml:space="preserve">In a state regulatory jurisdiction that has implemented retail choice, the FRR Entity must include in its FRR Capacity Plan all load, including expected load growth, in the FRR Service Area, notwithstanding the loss of any such load to or among alternative retail LSEs.  In the case of load reflected in the FRR Capacity Plan that switches to an alternative retail LSE, </w:t>
      </w:r>
      <w:r w:rsidRPr="00DC0220">
        <w:rPr>
          <w:rFonts w:cs="Arial"/>
        </w:rPr>
        <w:t>where the state regulatory jurisdiction requires switching customers or the LSE to compensate the FRR Entity for its FRR capacity obligations, such state compensation mechanism will prevail.</w:t>
      </w:r>
      <w:r>
        <w:rPr>
          <w:rFonts w:cs="Arial"/>
        </w:rPr>
        <w:t xml:space="preserve">  In the absence of a state compensation mechanism, the applicable alternative retail LSE shall compensate the FRR Entity at the capacity price in the unconstrained </w:t>
      </w:r>
      <w:r>
        <w:rPr>
          <w:rFonts w:cs="Arial"/>
        </w:rPr>
        <w:lastRenderedPageBreak/>
        <w:t>portions of the PJM Region, as determined in accordance with Attachment DD to the PJM Tariff, provided that the FRR Entity may, at any time, make a filing with FERC under Sections 205 of the Federal Power Act proposing to change the basis for compensation to a method based on the FRR Entity’s cost or such other basis shown to be just and reasonable, and a retail LSE may at any time exercise its rights under Section 206 of the FPA.</w:t>
      </w:r>
      <w:r>
        <w:rPr>
          <w:rStyle w:val="FootnoteReference"/>
          <w:rFonts w:cs="Arial"/>
        </w:rPr>
        <w:footnoteReference w:id="1"/>
      </w:r>
    </w:p>
    <w:p w:rsidR="00A605E3" w:rsidRDefault="00692ED5" w:rsidP="006E789D">
      <w:pPr>
        <w:autoSpaceDE w:val="0"/>
        <w:autoSpaceDN w:val="0"/>
        <w:adjustRightInd w:val="0"/>
        <w:spacing w:before="240" w:line="480" w:lineRule="auto"/>
        <w:ind w:firstLine="720"/>
        <w:jc w:val="both"/>
        <w:rPr>
          <w:rFonts w:cs="Arial"/>
        </w:rPr>
      </w:pPr>
      <w:r>
        <w:rPr>
          <w:rFonts w:cs="Arial"/>
        </w:rPr>
        <w:t>OP</w:t>
      </w:r>
      <w:r w:rsidR="00A605E3">
        <w:rPr>
          <w:rFonts w:cs="Arial"/>
        </w:rPr>
        <w:t xml:space="preserve"> operate</w:t>
      </w:r>
      <w:r w:rsidR="001E7BF9">
        <w:rPr>
          <w:rFonts w:cs="Arial"/>
        </w:rPr>
        <w:t>d</w:t>
      </w:r>
      <w:r w:rsidR="00A605E3">
        <w:rPr>
          <w:rFonts w:cs="Arial"/>
        </w:rPr>
        <w:t xml:space="preserve"> under an FRR Alternative and </w:t>
      </w:r>
      <w:r w:rsidR="001E7BF9">
        <w:rPr>
          <w:rFonts w:cs="Arial"/>
        </w:rPr>
        <w:t>was</w:t>
      </w:r>
      <w:r w:rsidR="00A605E3">
        <w:rPr>
          <w:rFonts w:cs="Arial"/>
        </w:rPr>
        <w:t xml:space="preserve"> doing so prior to the time that </w:t>
      </w:r>
      <w:r w:rsidR="00937406">
        <w:rPr>
          <w:rFonts w:cs="Arial"/>
        </w:rPr>
        <w:t>Columbus Southern Power Company (“</w:t>
      </w:r>
      <w:r w:rsidR="00A605E3">
        <w:rPr>
          <w:rFonts w:cs="Arial"/>
        </w:rPr>
        <w:t>CSP</w:t>
      </w:r>
      <w:r w:rsidR="00937406">
        <w:rPr>
          <w:rFonts w:cs="Arial"/>
        </w:rPr>
        <w:t>”)</w:t>
      </w:r>
      <w:r w:rsidR="00A605E3">
        <w:rPr>
          <w:rFonts w:cs="Arial"/>
        </w:rPr>
        <w:t xml:space="preserve"> and OP filed an application for approval of the </w:t>
      </w:r>
      <w:r>
        <w:rPr>
          <w:rFonts w:cs="Arial"/>
        </w:rPr>
        <w:t xml:space="preserve">first </w:t>
      </w:r>
      <w:r w:rsidR="00A605E3">
        <w:rPr>
          <w:rFonts w:cs="Arial"/>
        </w:rPr>
        <w:t>electric security plan (“ESP”) which the Commission ultimately modified and approved</w:t>
      </w:r>
      <w:r w:rsidR="00C9115B">
        <w:rPr>
          <w:rFonts w:cs="Arial"/>
        </w:rPr>
        <w:t xml:space="preserve"> in 2009</w:t>
      </w:r>
      <w:r w:rsidR="00A605E3">
        <w:rPr>
          <w:rFonts w:cs="Arial"/>
        </w:rPr>
        <w:t>.</w:t>
      </w:r>
      <w:r w:rsidR="00A605E3">
        <w:rPr>
          <w:rStyle w:val="FootnoteReference"/>
          <w:rFonts w:cs="Arial"/>
        </w:rPr>
        <w:footnoteReference w:id="2"/>
      </w:r>
      <w:r w:rsidR="00A605E3">
        <w:rPr>
          <w:rFonts w:cs="Arial"/>
        </w:rPr>
        <w:t xml:space="preserve">  In its Application, AEP alleged that Ohio </w:t>
      </w:r>
      <w:r w:rsidR="001E7BF9">
        <w:rPr>
          <w:rFonts w:cs="Arial"/>
        </w:rPr>
        <w:t>had</w:t>
      </w:r>
      <w:r w:rsidR="00A605E3">
        <w:rPr>
          <w:rFonts w:cs="Arial"/>
        </w:rPr>
        <w:t xml:space="preserve"> not established a compensation mecha</w:t>
      </w:r>
      <w:r w:rsidR="00C9115B">
        <w:rPr>
          <w:rFonts w:cs="Arial"/>
        </w:rPr>
        <w:t>nism for capacity sales,</w:t>
      </w:r>
      <w:r w:rsidR="00A605E3">
        <w:rPr>
          <w:rStyle w:val="FootnoteReference"/>
          <w:rFonts w:cs="Arial"/>
        </w:rPr>
        <w:footnoteReference w:id="3"/>
      </w:r>
      <w:r w:rsidR="00A605E3">
        <w:rPr>
          <w:rFonts w:cs="Arial"/>
        </w:rPr>
        <w:t xml:space="preserve"> </w:t>
      </w:r>
      <w:r w:rsidR="00C9115B">
        <w:rPr>
          <w:rFonts w:cs="Arial"/>
        </w:rPr>
        <w:t xml:space="preserve">but the Commission </w:t>
      </w:r>
      <w:r w:rsidR="00CC0846">
        <w:rPr>
          <w:rFonts w:cs="Arial"/>
        </w:rPr>
        <w:t xml:space="preserve">has </w:t>
      </w:r>
      <w:r w:rsidR="00C9115B">
        <w:rPr>
          <w:rFonts w:cs="Arial"/>
        </w:rPr>
        <w:t>recognized that CSP and OP were using the RPM pricing mechanism to set capacity charges.</w:t>
      </w:r>
      <w:r w:rsidR="00C9115B">
        <w:rPr>
          <w:rStyle w:val="FootnoteReference"/>
          <w:rFonts w:cs="Arial"/>
        </w:rPr>
        <w:footnoteReference w:id="4"/>
      </w:r>
      <w:r w:rsidR="00A605E3">
        <w:rPr>
          <w:rFonts w:cs="Arial"/>
        </w:rPr>
        <w:t xml:space="preserve"> </w:t>
      </w:r>
    </w:p>
    <w:p w:rsidR="00A605E3" w:rsidRDefault="00530FF2" w:rsidP="00A605E3">
      <w:pPr>
        <w:autoSpaceDE w:val="0"/>
        <w:autoSpaceDN w:val="0"/>
        <w:adjustRightInd w:val="0"/>
        <w:spacing w:line="480" w:lineRule="auto"/>
        <w:ind w:firstLine="720"/>
        <w:jc w:val="both"/>
        <w:rPr>
          <w:rFonts w:cs="Arial"/>
        </w:rPr>
      </w:pPr>
      <w:r>
        <w:rPr>
          <w:rFonts w:cs="Arial"/>
        </w:rPr>
        <w:t>In late 2010</w:t>
      </w:r>
      <w:r w:rsidR="001E7BF9">
        <w:rPr>
          <w:rFonts w:cs="Arial"/>
        </w:rPr>
        <w:t xml:space="preserve">, </w:t>
      </w:r>
      <w:r w:rsidR="000E39F2">
        <w:rPr>
          <w:rFonts w:cs="Arial"/>
        </w:rPr>
        <w:t>American Electric Power Service Corp. (“AEPSC”), on behalf of OP,</w:t>
      </w:r>
      <w:r w:rsidR="000E39F2">
        <w:rPr>
          <w:rStyle w:val="FootnoteReference"/>
        </w:rPr>
        <w:footnoteReference w:id="5"/>
      </w:r>
      <w:r w:rsidR="000E39F2">
        <w:rPr>
          <w:rFonts w:cs="Arial"/>
        </w:rPr>
        <w:t xml:space="preserve"> </w:t>
      </w:r>
      <w:r w:rsidR="00A605E3">
        <w:rPr>
          <w:rFonts w:cs="Arial"/>
        </w:rPr>
        <w:t xml:space="preserve">requested that </w:t>
      </w:r>
      <w:r w:rsidR="00514840">
        <w:rPr>
          <w:rFonts w:cs="Arial"/>
        </w:rPr>
        <w:t>the Federal Energy Regulatory Commission (“</w:t>
      </w:r>
      <w:r w:rsidR="00A605E3">
        <w:rPr>
          <w:rFonts w:cs="Arial"/>
        </w:rPr>
        <w:t>FERC</w:t>
      </w:r>
      <w:r w:rsidR="00514840">
        <w:rPr>
          <w:rFonts w:cs="Arial"/>
        </w:rPr>
        <w:t>”)</w:t>
      </w:r>
      <w:r w:rsidR="00A605E3">
        <w:rPr>
          <w:rFonts w:cs="Arial"/>
        </w:rPr>
        <w:t xml:space="preserve"> approve formula rates as the basis for establishing the capacity charges that CSP and OP would levy upon CRES suppliers in Ohio.  The proposed move to a formula rate approach </w:t>
      </w:r>
      <w:r w:rsidR="001E7BF9">
        <w:rPr>
          <w:rFonts w:cs="Arial"/>
        </w:rPr>
        <w:lastRenderedPageBreak/>
        <w:t xml:space="preserve">from an auction-based clearing price approach </w:t>
      </w:r>
      <w:r w:rsidR="00A605E3">
        <w:rPr>
          <w:rFonts w:cs="Arial"/>
        </w:rPr>
        <w:t xml:space="preserve">would </w:t>
      </w:r>
      <w:r w:rsidR="000E39F2">
        <w:rPr>
          <w:rFonts w:cs="Arial"/>
        </w:rPr>
        <w:t xml:space="preserve">have </w:t>
      </w:r>
      <w:r w:rsidR="00A605E3">
        <w:rPr>
          <w:rFonts w:cs="Arial"/>
        </w:rPr>
        <w:t>significantly increase</w:t>
      </w:r>
      <w:r w:rsidR="000E39F2">
        <w:rPr>
          <w:rFonts w:cs="Arial"/>
        </w:rPr>
        <w:t>d</w:t>
      </w:r>
      <w:r w:rsidR="00A605E3">
        <w:rPr>
          <w:rFonts w:cs="Arial"/>
        </w:rPr>
        <w:t xml:space="preserve"> capacity charges to CRES suppliers.</w:t>
      </w:r>
      <w:r w:rsidR="00C9115B">
        <w:rPr>
          <w:rStyle w:val="FootnoteReference"/>
          <w:rFonts w:cs="Arial"/>
        </w:rPr>
        <w:footnoteReference w:id="6"/>
      </w:r>
      <w:r w:rsidR="00A605E3">
        <w:rPr>
          <w:rFonts w:cs="Arial"/>
        </w:rPr>
        <w:t xml:space="preserve">  </w:t>
      </w:r>
    </w:p>
    <w:p w:rsidR="00F345E5" w:rsidRDefault="00F345E5" w:rsidP="00891C56">
      <w:pPr>
        <w:spacing w:line="480" w:lineRule="auto"/>
        <w:jc w:val="both"/>
      </w:pPr>
      <w:r>
        <w:tab/>
      </w:r>
      <w:r w:rsidR="001E7BF9">
        <w:t>In response to OP’s FERC filing, t</w:t>
      </w:r>
      <w:r>
        <w:t>he Commission initiated this proceeding in December 2010.</w:t>
      </w:r>
      <w:r>
        <w:rPr>
          <w:rStyle w:val="FootnoteReference"/>
        </w:rPr>
        <w:footnoteReference w:id="7"/>
      </w:r>
      <w:r>
        <w:t xml:space="preserve">  </w:t>
      </w:r>
      <w:r w:rsidR="00F3110D">
        <w:t>In the initiating entry, t</w:t>
      </w:r>
      <w:r w:rsidR="00DE2E84">
        <w:t xml:space="preserve">he </w:t>
      </w:r>
      <w:r>
        <w:t xml:space="preserve">Commission </w:t>
      </w:r>
      <w:r w:rsidR="00DE2E84">
        <w:t xml:space="preserve">noted that it </w:t>
      </w:r>
      <w:r>
        <w:t xml:space="preserve">had approved retail rates including the recovery of capacity costs </w:t>
      </w:r>
      <w:r w:rsidR="00530FF2">
        <w:t xml:space="preserve">in </w:t>
      </w:r>
      <w:r w:rsidR="00530FF2" w:rsidRPr="00530FF2">
        <w:rPr>
          <w:i/>
        </w:rPr>
        <w:t>ESP 1</w:t>
      </w:r>
      <w:r w:rsidR="00530FF2">
        <w:t xml:space="preserve"> </w:t>
      </w:r>
      <w:r>
        <w:t xml:space="preserve">based on the continuation of capacity charges established by the three-year capacity auction conducted by PJM </w:t>
      </w:r>
      <w:r w:rsidR="007F15FB">
        <w:t xml:space="preserve">(“RPM-priced capacity”) </w:t>
      </w:r>
      <w:r>
        <w:t>under the current fixed</w:t>
      </w:r>
      <w:r w:rsidR="00DE2E84">
        <w:t xml:space="preserve"> resource requirement mechanism</w:t>
      </w:r>
      <w:r w:rsidR="00152791">
        <w:t>.</w:t>
      </w:r>
      <w:r>
        <w:rPr>
          <w:rStyle w:val="FootnoteReference"/>
        </w:rPr>
        <w:footnoteReference w:id="8"/>
      </w:r>
      <w:r w:rsidR="00DE2E84">
        <w:t xml:space="preserve">  T</w:t>
      </w:r>
      <w:r>
        <w:t xml:space="preserve">he Commission then “expressly </w:t>
      </w:r>
      <w:proofErr w:type="gramStart"/>
      <w:r>
        <w:t>adopt[</w:t>
      </w:r>
      <w:proofErr w:type="spellStart"/>
      <w:proofErr w:type="gramEnd"/>
      <w:r>
        <w:t>ed</w:t>
      </w:r>
      <w:proofErr w:type="spellEnd"/>
      <w:r>
        <w:t xml:space="preserve">] as the </w:t>
      </w:r>
      <w:r w:rsidR="007F15FB">
        <w:t>state compensation mechanism fo</w:t>
      </w:r>
      <w:r>
        <w:t>r</w:t>
      </w:r>
      <w:r w:rsidR="007F15FB">
        <w:t xml:space="preserve"> th</w:t>
      </w:r>
      <w:r>
        <w:t>e</w:t>
      </w:r>
      <w:r w:rsidR="007F15FB">
        <w:t xml:space="preserve"> </w:t>
      </w:r>
      <w:r>
        <w:t>companies the current capacity charges established by the three-year capacity auction by PJM, Inc. during the pendency of this review.”</w:t>
      </w:r>
      <w:r>
        <w:rPr>
          <w:rStyle w:val="FootnoteReference"/>
        </w:rPr>
        <w:footnoteReference w:id="9"/>
      </w:r>
    </w:p>
    <w:p w:rsidR="001E7BF9" w:rsidRDefault="001E7BF9" w:rsidP="001E7BF9">
      <w:pPr>
        <w:autoSpaceDE w:val="0"/>
        <w:autoSpaceDN w:val="0"/>
        <w:adjustRightInd w:val="0"/>
        <w:spacing w:line="480" w:lineRule="auto"/>
        <w:ind w:firstLine="720"/>
        <w:jc w:val="both"/>
        <w:rPr>
          <w:rFonts w:cs="Arial"/>
        </w:rPr>
      </w:pPr>
      <w:r>
        <w:rPr>
          <w:rFonts w:cs="Arial"/>
        </w:rPr>
        <w:t>Thus, since June 2007 when RPM was implemented, Ohio CRES providers were charged for capacity based upon the prevailing RPM auction price for capacity in the unconstrained portion of the PJM region.</w:t>
      </w:r>
      <w:r>
        <w:rPr>
          <w:rStyle w:val="FootnoteReference"/>
          <w:rFonts w:cs="Arial"/>
        </w:rPr>
        <w:footnoteReference w:id="10"/>
      </w:r>
      <w:r>
        <w:rPr>
          <w:rFonts w:cs="Arial"/>
        </w:rPr>
        <w:t xml:space="preserve">  That approach remained in effect until the Commission approved a Stipulation and Recommendation (“Stipulation”)</w:t>
      </w:r>
      <w:r>
        <w:rPr>
          <w:rStyle w:val="FootnoteReference"/>
          <w:rFonts w:cs="Arial"/>
        </w:rPr>
        <w:footnoteReference w:id="11"/>
      </w:r>
      <w:r>
        <w:rPr>
          <w:rFonts w:cs="Arial"/>
        </w:rPr>
        <w:t xml:space="preserve"> in this case and related cases that sought to establish a new ESP</w:t>
      </w:r>
      <w:r w:rsidR="00C9115B">
        <w:rPr>
          <w:rFonts w:cs="Arial"/>
        </w:rPr>
        <w:t>, as discussed below</w:t>
      </w:r>
      <w:r>
        <w:rPr>
          <w:rFonts w:cs="Arial"/>
        </w:rPr>
        <w:t>.</w:t>
      </w:r>
      <w:r>
        <w:rPr>
          <w:rStyle w:val="FootnoteReference"/>
          <w:rFonts w:cs="Arial"/>
        </w:rPr>
        <w:footnoteReference w:id="12"/>
      </w:r>
      <w:r>
        <w:rPr>
          <w:rFonts w:cs="Arial"/>
        </w:rPr>
        <w:t xml:space="preserve"> </w:t>
      </w:r>
    </w:p>
    <w:p w:rsidR="00F345E5" w:rsidRDefault="00F345E5" w:rsidP="00891C56">
      <w:pPr>
        <w:spacing w:line="480" w:lineRule="auto"/>
        <w:jc w:val="both"/>
      </w:pPr>
      <w:r>
        <w:lastRenderedPageBreak/>
        <w:tab/>
        <w:t>As part of the Stipulation filed on September 7, 2011, OP proposed to substitute a two-tiered generation cap</w:t>
      </w:r>
      <w:r w:rsidR="00DE2E84">
        <w:t>acity service pricing scheme (“P</w:t>
      </w:r>
      <w:r>
        <w:t xml:space="preserve">ricing </w:t>
      </w:r>
      <w:r w:rsidR="00DE2E84">
        <w:t>S</w:t>
      </w:r>
      <w:r>
        <w:t xml:space="preserve">cheme”).  </w:t>
      </w:r>
      <w:r w:rsidR="00F3110D">
        <w:t>As proposed</w:t>
      </w:r>
      <w:r>
        <w:t xml:space="preserve">, OP would have been permitted to charge CRES </w:t>
      </w:r>
      <w:proofErr w:type="gramStart"/>
      <w:r>
        <w:t>providers</w:t>
      </w:r>
      <w:proofErr w:type="gramEnd"/>
      <w:r>
        <w:t xml:space="preserve"> $255/megawatt-day</w:t>
      </w:r>
      <w:r w:rsidR="00F3110D">
        <w:t xml:space="preserve"> (“MW-day”)</w:t>
      </w:r>
      <w:r>
        <w:t xml:space="preserve"> for all capacity provided for shopping customers that were outside pre-determined shopping caps.</w:t>
      </w:r>
      <w:r>
        <w:rPr>
          <w:rStyle w:val="FootnoteReference"/>
        </w:rPr>
        <w:footnoteReference w:id="13"/>
      </w:r>
      <w:r>
        <w:t xml:space="preserve">  CRES providers serving customers within the shopping caps would be charged the RPM price for capacity.</w:t>
      </w:r>
      <w:r>
        <w:rPr>
          <w:rStyle w:val="FootnoteReference"/>
        </w:rPr>
        <w:footnoteReference w:id="14"/>
      </w:r>
      <w:r>
        <w:t xml:space="preserve">  Following an extended hearing, the Commission initially approved the</w:t>
      </w:r>
      <w:r w:rsidR="00C2754A">
        <w:t xml:space="preserve"> Pricing Scheme </w:t>
      </w:r>
      <w:r>
        <w:t>with two modifications.</w:t>
      </w:r>
      <w:r>
        <w:rPr>
          <w:rStyle w:val="FootnoteReference"/>
        </w:rPr>
        <w:footnoteReference w:id="15"/>
      </w:r>
      <w:r>
        <w:t xml:space="preserve">  First, the Commission determined that governmental aggregation programs should have access to RPM-priced capacity outside the shopping caps.</w:t>
      </w:r>
      <w:r>
        <w:rPr>
          <w:rStyle w:val="FootnoteReference"/>
        </w:rPr>
        <w:footnoteReference w:id="16"/>
      </w:r>
      <w:r>
        <w:t xml:space="preserve">  Second, the Commission rejected a provision of the Stipulation that permitted a reallocation of a customer class’s unused allotments to other customer classes.</w:t>
      </w:r>
      <w:r>
        <w:rPr>
          <w:rStyle w:val="FootnoteReference"/>
        </w:rPr>
        <w:footnoteReference w:id="17"/>
      </w:r>
      <w:r>
        <w:t xml:space="preserve">  </w:t>
      </w:r>
    </w:p>
    <w:p w:rsidR="00B41A1C" w:rsidRDefault="00F345E5" w:rsidP="00891C56">
      <w:pPr>
        <w:spacing w:line="480" w:lineRule="auto"/>
        <w:jc w:val="both"/>
      </w:pPr>
      <w:r>
        <w:tab/>
      </w:r>
      <w:r w:rsidR="00121A1D">
        <w:t xml:space="preserve">In </w:t>
      </w:r>
      <w:r w:rsidR="00F3110D">
        <w:t xml:space="preserve">a </w:t>
      </w:r>
      <w:r>
        <w:t>December 29, 2011</w:t>
      </w:r>
      <w:r w:rsidR="00F3110D">
        <w:t xml:space="preserve"> filing containing a revised Detailed Implementation Plan </w:t>
      </w:r>
      <w:r w:rsidR="00530FF2">
        <w:t xml:space="preserve">(“DIP”) </w:t>
      </w:r>
      <w:r w:rsidR="00F3110D">
        <w:t>that OP represented reflected the modifications the Commission had ordered</w:t>
      </w:r>
      <w:r>
        <w:t>, OP made clear that it had no intention</w:t>
      </w:r>
      <w:r w:rsidR="00F3110D">
        <w:t xml:space="preserve"> of complying with the Commission’s Opinion and Order</w:t>
      </w:r>
      <w:r>
        <w:t>.</w:t>
      </w:r>
      <w:r>
        <w:rPr>
          <w:rStyle w:val="FootnoteReference"/>
        </w:rPr>
        <w:footnoteReference w:id="18"/>
      </w:r>
      <w:r>
        <w:t xml:space="preserve">  First, </w:t>
      </w:r>
      <w:r w:rsidR="00F3110D">
        <w:t>OP</w:t>
      </w:r>
      <w:r>
        <w:t xml:space="preserve"> sought to reduce the reallocation of capacity to industrial and residential customers</w:t>
      </w:r>
      <w:r w:rsidR="00F3110D">
        <w:t xml:space="preserve"> by imposing an artificial reading on the Commission’s decision to </w:t>
      </w:r>
      <w:r w:rsidR="00F3110D">
        <w:lastRenderedPageBreak/>
        <w:t>afford all customer classes their full percentage of access to capacity</w:t>
      </w:r>
      <w:r>
        <w:t>.</w:t>
      </w:r>
      <w:r>
        <w:rPr>
          <w:rStyle w:val="FootnoteReference"/>
        </w:rPr>
        <w:footnoteReference w:id="19"/>
      </w:r>
      <w:r>
        <w:t xml:space="preserve">  Second, it sought to treat governmental aggregation programs as subject to the shopping caps.</w:t>
      </w:r>
      <w:r>
        <w:rPr>
          <w:rStyle w:val="FootnoteReference"/>
        </w:rPr>
        <w:footnoteReference w:id="20"/>
      </w:r>
      <w:r>
        <w:t xml:space="preserve">  Third, it included a provision that would have excluded mercantile customers from </w:t>
      </w:r>
      <w:r w:rsidR="00F3110D">
        <w:t>securing access to RPM-priced capacity by participating</w:t>
      </w:r>
      <w:r>
        <w:t xml:space="preserve"> in governmental aggregation programs.</w:t>
      </w:r>
      <w:r>
        <w:rPr>
          <w:rStyle w:val="FootnoteReference"/>
        </w:rPr>
        <w:footnoteReference w:id="21"/>
      </w:r>
      <w:r>
        <w:t xml:space="preserve">  Fourth, it would </w:t>
      </w:r>
      <w:r w:rsidR="00C2754A">
        <w:t xml:space="preserve">have limited the governmental aggregation programs that could have access to RPM-priced capacity to only those </w:t>
      </w:r>
      <w:r w:rsidR="00F3110D">
        <w:t xml:space="preserve">communities </w:t>
      </w:r>
      <w:r w:rsidR="00C2754A">
        <w:t>that a</w:t>
      </w:r>
      <w:r>
        <w:t>pproved governmental aggregation in the November 2011 elections.</w:t>
      </w:r>
      <w:r>
        <w:rPr>
          <w:rStyle w:val="FootnoteReference"/>
        </w:rPr>
        <w:footnoteReference w:id="22"/>
      </w:r>
      <w:r>
        <w:t xml:space="preserve">  </w:t>
      </w:r>
      <w:r w:rsidR="00B35745">
        <w:t>Industrial Energy Users-Ohio (“</w:t>
      </w:r>
      <w:r>
        <w:t>IEU-Ohio</w:t>
      </w:r>
      <w:r w:rsidR="00B35745">
        <w:t>”)</w:t>
      </w:r>
      <w:r>
        <w:rPr>
          <w:rStyle w:val="FootnoteReference"/>
        </w:rPr>
        <w:footnoteReference w:id="23"/>
      </w:r>
      <w:r>
        <w:t xml:space="preserve"> and FirstEnergy Solutions Corp. (“FES”)</w:t>
      </w:r>
      <w:r>
        <w:rPr>
          <w:rStyle w:val="FootnoteReference"/>
        </w:rPr>
        <w:footnoteReference w:id="24"/>
      </w:r>
      <w:r>
        <w:t xml:space="preserve"> imm</w:t>
      </w:r>
      <w:r w:rsidR="00B41A1C">
        <w:t xml:space="preserve">ediately protested OP’s filing.  </w:t>
      </w:r>
      <w:r w:rsidR="00702408">
        <w:t xml:space="preserve">In response to the objections raised by </w:t>
      </w:r>
      <w:r w:rsidR="00B41A1C">
        <w:t xml:space="preserve">IEU-Ohio and FES, the Commission determined that the </w:t>
      </w:r>
      <w:r w:rsidR="006347A4">
        <w:t>R</w:t>
      </w:r>
      <w:r w:rsidR="00B41A1C">
        <w:t>evised DIP was not in compliance with the Commission’s Opinion and Order</w:t>
      </w:r>
      <w:r>
        <w:t xml:space="preserve"> on January 23, 2012.</w:t>
      </w:r>
      <w:r>
        <w:rPr>
          <w:rStyle w:val="FootnoteReference"/>
        </w:rPr>
        <w:footnoteReference w:id="25"/>
      </w:r>
      <w:r>
        <w:t xml:space="preserve">  </w:t>
      </w:r>
    </w:p>
    <w:p w:rsidR="00F345E5" w:rsidRDefault="00530FF2" w:rsidP="00B41A1C">
      <w:pPr>
        <w:spacing w:line="480" w:lineRule="auto"/>
        <w:ind w:firstLine="720"/>
        <w:jc w:val="both"/>
      </w:pPr>
      <w:r>
        <w:t>Subsequently</w:t>
      </w:r>
      <w:r w:rsidR="00B41A1C">
        <w:t>, t</w:t>
      </w:r>
      <w:r w:rsidR="00F345E5">
        <w:t>he Commission rejected the Stipulation, finding in an Entry on Rehearing on February 23, 2012 that the Stipulation did not benefit ratepayers and the public interest.</w:t>
      </w:r>
      <w:r w:rsidR="00F345E5">
        <w:rPr>
          <w:rStyle w:val="FootnoteReference"/>
        </w:rPr>
        <w:footnoteReference w:id="26"/>
      </w:r>
      <w:r w:rsidR="00F345E5">
        <w:t xml:space="preserve">  As a result of its decision to reject the Stipulation, the Commission ordered OP “to file, no later than February 28, 2012, new proposed tariffs to continue </w:t>
      </w:r>
      <w:r w:rsidR="00F345E5">
        <w:lastRenderedPageBreak/>
        <w:t>the provisions, terms, and conditions of its previous electric security plan … and an appropriate application of capacity charges under the approved state compensation mechanism established in the Capacity Charge Case.”</w:t>
      </w:r>
      <w:r w:rsidR="00F345E5">
        <w:rPr>
          <w:rStyle w:val="FootnoteReference"/>
        </w:rPr>
        <w:footnoteReference w:id="27"/>
      </w:r>
    </w:p>
    <w:p w:rsidR="00F345E5" w:rsidRDefault="00F345E5" w:rsidP="00891C56">
      <w:pPr>
        <w:spacing w:line="480" w:lineRule="auto"/>
        <w:jc w:val="both"/>
      </w:pPr>
      <w:r>
        <w:tab/>
      </w:r>
      <w:r w:rsidR="00F3110D">
        <w:t>OP</w:t>
      </w:r>
      <w:r w:rsidR="009C173D">
        <w:t>,</w:t>
      </w:r>
      <w:r w:rsidR="00F3110D">
        <w:t xml:space="preserve"> </w:t>
      </w:r>
      <w:r w:rsidR="009C173D">
        <w:t xml:space="preserve">however, </w:t>
      </w:r>
      <w:r>
        <w:t xml:space="preserve">has failed </w:t>
      </w:r>
      <w:r w:rsidR="009C173D">
        <w:t xml:space="preserve">repeatedly </w:t>
      </w:r>
      <w:r>
        <w:t xml:space="preserve">to </w:t>
      </w:r>
      <w:r w:rsidR="000028AF">
        <w:t>bring its treatment of capacity pricing into compliance</w:t>
      </w:r>
      <w:r w:rsidR="009C173D">
        <w:t xml:space="preserve"> with Commission orders</w:t>
      </w:r>
      <w:r>
        <w:t xml:space="preserve">.  In response to the Commission’s determination that the </w:t>
      </w:r>
      <w:r w:rsidR="006347A4">
        <w:t>R</w:t>
      </w:r>
      <w:r>
        <w:t>evised DIP filed on December 29, 2011 was not in compliance with the Opinion and Order, OP filed a motion to stay the Commission’s orders</w:t>
      </w:r>
      <w:r>
        <w:rPr>
          <w:rStyle w:val="FootnoteReference"/>
        </w:rPr>
        <w:footnoteReference w:id="28"/>
      </w:r>
      <w:r>
        <w:t xml:space="preserve"> which the Commission granted, ruling that its </w:t>
      </w:r>
      <w:r w:rsidR="000028AF">
        <w:t xml:space="preserve">January 23, 2012 </w:t>
      </w:r>
      <w:r w:rsidR="009D36AE">
        <w:t>Entry</w:t>
      </w:r>
      <w:r>
        <w:t xml:space="preserve"> would be stayed until the Commission issued an Entry on Rehearing.</w:t>
      </w:r>
      <w:r>
        <w:rPr>
          <w:rStyle w:val="FootnoteReference"/>
        </w:rPr>
        <w:footnoteReference w:id="29"/>
      </w:r>
      <w:r w:rsidR="00152791">
        <w:t xml:space="preserve"> </w:t>
      </w:r>
      <w:r>
        <w:t xml:space="preserve"> Then, in response to the Commission’s rejection of the Stipulation</w:t>
      </w:r>
      <w:r w:rsidR="009D36AE">
        <w:t xml:space="preserve"> in the Entry on Rehearing</w:t>
      </w:r>
      <w:r>
        <w:t xml:space="preserve">, OP filed </w:t>
      </w:r>
      <w:r w:rsidR="000028AF">
        <w:t>the currently pending Motion</w:t>
      </w:r>
      <w:r>
        <w:t xml:space="preserve"> seeking Commission approval to continue the</w:t>
      </w:r>
      <w:r w:rsidR="000028AF">
        <w:t xml:space="preserve"> Pricing Scheme as implemented under the December 29, 2011 version of the DIP or some modification of it</w:t>
      </w:r>
      <w:r>
        <w:t>.</w:t>
      </w:r>
      <w:r>
        <w:rPr>
          <w:rStyle w:val="FootnoteReference"/>
        </w:rPr>
        <w:footnoteReference w:id="30"/>
      </w:r>
      <w:r>
        <w:t xml:space="preserve">  </w:t>
      </w:r>
      <w:r w:rsidR="000028AF">
        <w:t>While this Motion is pending</w:t>
      </w:r>
      <w:r w:rsidR="009D36AE">
        <w:t xml:space="preserve">, </w:t>
      </w:r>
      <w:r w:rsidR="000028AF">
        <w:t>moreover, OP</w:t>
      </w:r>
      <w:r w:rsidR="009D36AE">
        <w:t xml:space="preserve"> has stated that it will continue to operate as if the Commission had not rejected</w:t>
      </w:r>
      <w:r w:rsidR="00934B85">
        <w:t xml:space="preserve"> </w:t>
      </w:r>
      <w:r w:rsidR="009D36AE">
        <w:t>OP’s attempts to restrict customer choice</w:t>
      </w:r>
      <w:r w:rsidR="00934B85" w:rsidRPr="00934B85">
        <w:t xml:space="preserve"> </w:t>
      </w:r>
      <w:r w:rsidR="00934B85">
        <w:t>on several occasions</w:t>
      </w:r>
      <w:r w:rsidR="009D36AE">
        <w:t>.</w:t>
      </w:r>
      <w:r w:rsidR="009D36AE">
        <w:rPr>
          <w:rStyle w:val="FootnoteReference"/>
        </w:rPr>
        <w:footnoteReference w:id="31"/>
      </w:r>
    </w:p>
    <w:p w:rsidR="00E67B5F" w:rsidRPr="00E67B5F" w:rsidRDefault="00136AB7" w:rsidP="00E67B5F">
      <w:pPr>
        <w:spacing w:after="0" w:line="480" w:lineRule="auto"/>
        <w:jc w:val="both"/>
      </w:pPr>
      <w:r>
        <w:lastRenderedPageBreak/>
        <w:tab/>
        <w:t>OP’s M</w:t>
      </w:r>
      <w:r w:rsidR="00F345E5">
        <w:t xml:space="preserve">otion is one more example of OP’s long-evident desire to </w:t>
      </w:r>
      <w:r w:rsidR="00B41A1C">
        <w:t>block</w:t>
      </w:r>
      <w:r w:rsidR="00F345E5">
        <w:t xml:space="preserve"> customer choice by limiting access to RPM-priced capacity.</w:t>
      </w:r>
      <w:r w:rsidR="00F345E5">
        <w:rPr>
          <w:rStyle w:val="FootnoteReference"/>
        </w:rPr>
        <w:footnoteReference w:id="32"/>
      </w:r>
      <w:r w:rsidR="000028AF">
        <w:t xml:space="preserve">  Though l</w:t>
      </w:r>
      <w:r w:rsidR="00F345E5">
        <w:t xml:space="preserve">ong an advocate of the PJM </w:t>
      </w:r>
      <w:r w:rsidR="00B41A1C">
        <w:t xml:space="preserve">market-based </w:t>
      </w:r>
      <w:r w:rsidR="00F345E5">
        <w:t>pricing mechanism</w:t>
      </w:r>
      <w:r w:rsidR="00B41A1C">
        <w:t>s</w:t>
      </w:r>
      <w:r w:rsidR="00F345E5">
        <w:t xml:space="preserve"> until customers actually started to shop,</w:t>
      </w:r>
      <w:r w:rsidR="00F345E5">
        <w:rPr>
          <w:rStyle w:val="FootnoteReference"/>
        </w:rPr>
        <w:footnoteReference w:id="33"/>
      </w:r>
      <w:r w:rsidR="00F345E5">
        <w:t xml:space="preserve"> OP now seeks to raise the cost of shopping by imposing the arbitrary $255/</w:t>
      </w:r>
      <w:r w:rsidR="000028AF">
        <w:t>MW</w:t>
      </w:r>
      <w:r w:rsidR="00F345E5">
        <w:t xml:space="preserve">-day capacity price on all customers that have not found their way under the </w:t>
      </w:r>
      <w:r>
        <w:t>shopping</w:t>
      </w:r>
      <w:r w:rsidR="00F345E5">
        <w:t xml:space="preserve"> cap</w:t>
      </w:r>
      <w:r>
        <w:t>s</w:t>
      </w:r>
      <w:r w:rsidR="00F345E5">
        <w:rPr>
          <w:rStyle w:val="FootnoteReference"/>
        </w:rPr>
        <w:footnoteReference w:id="34"/>
      </w:r>
      <w:r>
        <w:t xml:space="preserve"> and impose additional restrictions on access to RPM-priced capacity</w:t>
      </w:r>
      <w:r w:rsidR="000028AF">
        <w:t xml:space="preserve"> as if the Commission had not </w:t>
      </w:r>
      <w:r w:rsidR="000116EB">
        <w:t>rejected the Stipulation</w:t>
      </w:r>
      <w:r w:rsidR="00F345E5">
        <w:t>.</w:t>
      </w:r>
      <w:r w:rsidR="00F345E5">
        <w:rPr>
          <w:rStyle w:val="FootnoteReference"/>
        </w:rPr>
        <w:footnoteReference w:id="35"/>
      </w:r>
      <w:r w:rsidR="00E67B5F">
        <w:t xml:space="preserve"> </w:t>
      </w:r>
      <w:r w:rsidR="002756D8">
        <w:t xml:space="preserve"> </w:t>
      </w:r>
      <w:r w:rsidR="000116EB">
        <w:t>The</w:t>
      </w:r>
      <w:r w:rsidR="00E67B5F" w:rsidRPr="00E67B5F">
        <w:t xml:space="preserve"> Commission</w:t>
      </w:r>
      <w:r w:rsidR="000116EB">
        <w:t>, however,</w:t>
      </w:r>
      <w:r w:rsidR="00E67B5F" w:rsidRPr="00E67B5F">
        <w:t xml:space="preserve"> has rejected the Stipulation</w:t>
      </w:r>
      <w:r w:rsidR="002756D8">
        <w:t>, and with it the Pricing Scheme,</w:t>
      </w:r>
      <w:r w:rsidR="00E67B5F" w:rsidRPr="00E67B5F">
        <w:t xml:space="preserve"> </w:t>
      </w:r>
      <w:r w:rsidR="000116EB">
        <w:t>by pressing the “reset button.</w:t>
      </w:r>
      <w:r w:rsidR="00E67B5F">
        <w:t>”</w:t>
      </w:r>
      <w:r w:rsidR="00E67B5F" w:rsidRPr="00E67B5F">
        <w:rPr>
          <w:vertAlign w:val="superscript"/>
        </w:rPr>
        <w:footnoteReference w:id="36"/>
      </w:r>
      <w:r w:rsidR="00E67B5F">
        <w:t xml:space="preserve"> </w:t>
      </w:r>
      <w:r w:rsidR="000116EB">
        <w:t xml:space="preserve"> Despite clear orders to bring its capacity pricing into compliance with prior Commission orders in this case, </w:t>
      </w:r>
      <w:r w:rsidR="00E67B5F">
        <w:t xml:space="preserve">OP’s </w:t>
      </w:r>
      <w:r w:rsidR="00E67B5F" w:rsidRPr="00E67B5F">
        <w:t>behavior indicates that it believes that it controls the size and shape of what happens next</w:t>
      </w:r>
      <w:r w:rsidR="00190FC1">
        <w:t xml:space="preserve"> by</w:t>
      </w:r>
      <w:r w:rsidR="002756D8">
        <w:t xml:space="preserve"> </w:t>
      </w:r>
      <w:r w:rsidR="00190FC1" w:rsidRPr="00E67B5F">
        <w:t xml:space="preserve">repeatedly </w:t>
      </w:r>
      <w:r w:rsidR="002756D8">
        <w:t xml:space="preserve">attempting to </w:t>
      </w:r>
      <w:r w:rsidR="00E67B5F" w:rsidRPr="00E67B5F">
        <w:t>stymie the Commission’s efforts to eliminate rate shock and reopen the door to shopping</w:t>
      </w:r>
      <w:r w:rsidR="00190FC1">
        <w:t>.</w:t>
      </w:r>
      <w:r w:rsidR="00E67B5F" w:rsidRPr="00E67B5F">
        <w:t xml:space="preserve"> </w:t>
      </w:r>
      <w:r w:rsidR="00190FC1">
        <w:t xml:space="preserve"> </w:t>
      </w:r>
    </w:p>
    <w:p w:rsidR="000116EB" w:rsidRPr="006E789D" w:rsidRDefault="000116EB" w:rsidP="00261CE3">
      <w:pPr>
        <w:pStyle w:val="Heading1"/>
        <w:numPr>
          <w:ilvl w:val="0"/>
          <w:numId w:val="2"/>
        </w:numPr>
        <w:spacing w:before="240" w:after="200" w:line="480" w:lineRule="auto"/>
        <w:rPr>
          <w:rFonts w:ascii="Arial" w:hAnsi="Arial" w:cs="Arial"/>
          <w:color w:val="auto"/>
          <w:sz w:val="24"/>
          <w:szCs w:val="24"/>
        </w:rPr>
      </w:pPr>
      <w:bookmarkStart w:id="4" w:name="_Toc318455728"/>
      <w:r w:rsidRPr="005B117D">
        <w:rPr>
          <w:rFonts w:ascii="Arial" w:hAnsi="Arial" w:cs="Arial"/>
          <w:color w:val="auto"/>
          <w:sz w:val="24"/>
          <w:szCs w:val="24"/>
        </w:rPr>
        <w:t>ARGUMENT</w:t>
      </w:r>
      <w:bookmarkEnd w:id="4"/>
    </w:p>
    <w:p w:rsidR="009D5E30" w:rsidRPr="009D5E30" w:rsidRDefault="00190FC1" w:rsidP="00261CE3">
      <w:pPr>
        <w:pStyle w:val="Heading2"/>
        <w:numPr>
          <w:ilvl w:val="0"/>
          <w:numId w:val="3"/>
        </w:numPr>
        <w:tabs>
          <w:tab w:val="left" w:pos="1440"/>
        </w:tabs>
        <w:spacing w:after="200" w:line="480" w:lineRule="auto"/>
        <w:ind w:firstLine="0"/>
        <w:jc w:val="both"/>
        <w:rPr>
          <w:rFonts w:ascii="Arial" w:hAnsi="Arial" w:cs="Arial"/>
          <w:color w:val="auto"/>
          <w:sz w:val="24"/>
          <w:szCs w:val="24"/>
        </w:rPr>
      </w:pPr>
      <w:bookmarkStart w:id="5" w:name="_Toc318455729"/>
      <w:r>
        <w:rPr>
          <w:rFonts w:ascii="Arial" w:hAnsi="Arial" w:cs="Arial"/>
          <w:color w:val="auto"/>
          <w:sz w:val="24"/>
          <w:szCs w:val="24"/>
        </w:rPr>
        <w:t>RPM Pricing Applies as a Matter of Law</w:t>
      </w:r>
      <w:bookmarkEnd w:id="5"/>
    </w:p>
    <w:p w:rsidR="00190FC1" w:rsidRDefault="00190FC1" w:rsidP="00190FC1">
      <w:pPr>
        <w:spacing w:line="480" w:lineRule="auto"/>
        <w:ind w:firstLine="720"/>
        <w:jc w:val="both"/>
      </w:pPr>
      <w:r>
        <w:t xml:space="preserve">As a result of the Commission’s decisions in this case, the “approved” state compensation mechanism for capacity to be paid by CRES providers is based on the RPM pricing mechanism that relies </w:t>
      </w:r>
      <w:r w:rsidR="00121A1D">
        <w:t xml:space="preserve">on </w:t>
      </w:r>
      <w:r>
        <w:t xml:space="preserve">periodic three-year forward capacity auctions to </w:t>
      </w:r>
      <w:r>
        <w:lastRenderedPageBreak/>
        <w:t xml:space="preserve">establish the price for capacity.  As this Commission made clear in December 2010, it based the </w:t>
      </w:r>
      <w:r w:rsidRPr="00190FC1">
        <w:rPr>
          <w:i/>
        </w:rPr>
        <w:t>ESP I</w:t>
      </w:r>
      <w:r>
        <w:t xml:space="preserve"> rates on the assumption that the capacity price would be set by the RPM pricing mechanism.  </w:t>
      </w:r>
      <w:r w:rsidR="00DB23E1">
        <w:t>Based on the Commission’s determination, t</w:t>
      </w:r>
      <w:r>
        <w:t xml:space="preserve">he FERC dismissed </w:t>
      </w:r>
      <w:r w:rsidR="00DB23E1">
        <w:t>the AEPSC</w:t>
      </w:r>
      <w:r>
        <w:t xml:space="preserve"> FERC proceeding</w:t>
      </w:r>
      <w:r w:rsidR="00DB23E1">
        <w:t xml:space="preserve"> seeking to establish </w:t>
      </w:r>
      <w:r w:rsidR="000116EB">
        <w:t>a</w:t>
      </w:r>
      <w:r w:rsidR="00DB23E1">
        <w:t xml:space="preserve"> formula rate</w:t>
      </w:r>
      <w:r>
        <w:t>.</w:t>
      </w:r>
      <w:r>
        <w:rPr>
          <w:rStyle w:val="FootnoteReference"/>
        </w:rPr>
        <w:footnoteReference w:id="37"/>
      </w:r>
      <w:r>
        <w:t xml:space="preserve">  </w:t>
      </w:r>
      <w:r w:rsidR="00DB23E1">
        <w:t>Instead of prosecuting the proceeding before the Commission,</w:t>
      </w:r>
      <w:r w:rsidR="00841B9F">
        <w:rPr>
          <w:rStyle w:val="FootnoteReference"/>
        </w:rPr>
        <w:footnoteReference w:id="38"/>
      </w:r>
      <w:r w:rsidR="00DB23E1">
        <w:t xml:space="preserve"> OP filed t</w:t>
      </w:r>
      <w:r>
        <w:t xml:space="preserve">he Stipulation </w:t>
      </w:r>
      <w:r w:rsidR="00DB23E1">
        <w:t>and therein sought approval of the Pricing S</w:t>
      </w:r>
      <w:r>
        <w:t>cheme</w:t>
      </w:r>
      <w:r w:rsidR="00DB23E1">
        <w:t>.</w:t>
      </w:r>
      <w:r>
        <w:t xml:space="preserve"> </w:t>
      </w:r>
      <w:r w:rsidR="00BE24C5">
        <w:t xml:space="preserve"> </w:t>
      </w:r>
      <w:r w:rsidR="00DB23E1">
        <w:t>In response, however, the Commission has rejected the Stipulation, and with it, the Pricing S</w:t>
      </w:r>
      <w:r>
        <w:t>cheme.  Thus, the “</w:t>
      </w:r>
      <w:r w:rsidRPr="00190FC1">
        <w:rPr>
          <w:i/>
        </w:rPr>
        <w:t>status quo</w:t>
      </w:r>
      <w:r>
        <w:t xml:space="preserve">” price for capacity is dictated by the RPM pricing mechanism.  </w:t>
      </w:r>
    </w:p>
    <w:p w:rsidR="00923679" w:rsidRDefault="00923679" w:rsidP="000502E2">
      <w:pPr>
        <w:pStyle w:val="Heading2"/>
        <w:numPr>
          <w:ilvl w:val="0"/>
          <w:numId w:val="3"/>
        </w:numPr>
        <w:ind w:firstLine="0"/>
        <w:jc w:val="both"/>
        <w:rPr>
          <w:rFonts w:ascii="Arial" w:hAnsi="Arial" w:cs="Arial"/>
          <w:color w:val="auto"/>
          <w:sz w:val="24"/>
          <w:szCs w:val="24"/>
        </w:rPr>
      </w:pPr>
      <w:bookmarkStart w:id="6" w:name="_Toc318455730"/>
      <w:r w:rsidRPr="000502E2">
        <w:rPr>
          <w:rFonts w:ascii="Arial" w:hAnsi="Arial" w:cs="Arial"/>
          <w:color w:val="auto"/>
          <w:sz w:val="24"/>
          <w:szCs w:val="24"/>
        </w:rPr>
        <w:t>OP Proposes an Illegal Rate Structure</w:t>
      </w:r>
      <w:bookmarkEnd w:id="6"/>
    </w:p>
    <w:p w:rsidR="000502E2" w:rsidRPr="000502E2" w:rsidRDefault="000502E2" w:rsidP="000502E2">
      <w:pPr>
        <w:spacing w:line="240" w:lineRule="auto"/>
      </w:pPr>
    </w:p>
    <w:p w:rsidR="001A0500" w:rsidRPr="001A0500" w:rsidRDefault="000116EB" w:rsidP="001A0500">
      <w:pPr>
        <w:autoSpaceDE w:val="0"/>
        <w:autoSpaceDN w:val="0"/>
        <w:adjustRightInd w:val="0"/>
        <w:spacing w:line="480" w:lineRule="auto"/>
        <w:ind w:firstLine="720"/>
        <w:jc w:val="both"/>
        <w:rPr>
          <w:rFonts w:eastAsia="Times New Roman" w:cs="Arial"/>
          <w:color w:val="000000"/>
          <w:szCs w:val="24"/>
        </w:rPr>
      </w:pPr>
      <w:r>
        <w:rPr>
          <w:rFonts w:eastAsia="Times New Roman" w:cs="Arial"/>
          <w:szCs w:val="24"/>
        </w:rPr>
        <w:t xml:space="preserve">Not only does OP seek to upset the </w:t>
      </w:r>
      <w:r w:rsidRPr="002C526C">
        <w:rPr>
          <w:rFonts w:eastAsia="Times New Roman" w:cs="Arial"/>
          <w:i/>
          <w:szCs w:val="24"/>
        </w:rPr>
        <w:t>status quo</w:t>
      </w:r>
      <w:r>
        <w:rPr>
          <w:rFonts w:eastAsia="Times New Roman" w:cs="Arial"/>
          <w:szCs w:val="24"/>
        </w:rPr>
        <w:t xml:space="preserve"> through this Motion, it also seeks to have the Commission approve a capacity pricing scheme that violates Ohio law. </w:t>
      </w:r>
      <w:r w:rsidR="001A0500" w:rsidRPr="001A0500">
        <w:rPr>
          <w:rFonts w:eastAsia="Times New Roman" w:cs="Arial"/>
          <w:szCs w:val="24"/>
        </w:rPr>
        <w:t xml:space="preserve">Section 4928.02, Revised Code, various </w:t>
      </w:r>
      <w:r>
        <w:rPr>
          <w:rFonts w:eastAsia="Times New Roman" w:cs="Arial"/>
          <w:szCs w:val="24"/>
        </w:rPr>
        <w:t xml:space="preserve">other </w:t>
      </w:r>
      <w:r w:rsidR="001A0500" w:rsidRPr="001A0500">
        <w:rPr>
          <w:rFonts w:eastAsia="Times New Roman" w:cs="Arial"/>
          <w:szCs w:val="24"/>
        </w:rPr>
        <w:t xml:space="preserve">sections in Chapter 4928, including Sections 4928.06, and 4928.15, Revised Code, </w:t>
      </w:r>
      <w:r>
        <w:rPr>
          <w:rFonts w:eastAsia="Times New Roman" w:cs="Arial"/>
          <w:szCs w:val="24"/>
        </w:rPr>
        <w:t xml:space="preserve">and Commission rules </w:t>
      </w:r>
      <w:r w:rsidR="001A0500" w:rsidRPr="001A0500">
        <w:rPr>
          <w:rFonts w:eastAsia="Times New Roman" w:cs="Arial"/>
          <w:szCs w:val="24"/>
        </w:rPr>
        <w:t>require the Commission to ensure that rates, services</w:t>
      </w:r>
      <w:r w:rsidR="003A24C4">
        <w:rPr>
          <w:rFonts w:eastAsia="Times New Roman" w:cs="Arial"/>
          <w:szCs w:val="24"/>
        </w:rPr>
        <w:t>,</w:t>
      </w:r>
      <w:r w:rsidR="001A0500" w:rsidRPr="001A0500">
        <w:rPr>
          <w:rFonts w:eastAsia="Times New Roman" w:cs="Arial"/>
          <w:szCs w:val="24"/>
        </w:rPr>
        <w:t xml:space="preserve"> and practices associated with competitive and non-competitive retail electric service rates are comparable and non-discriminatory.  </w:t>
      </w:r>
      <w:r>
        <w:rPr>
          <w:rFonts w:eastAsia="Times New Roman" w:cs="Arial"/>
          <w:szCs w:val="24"/>
        </w:rPr>
        <w:t xml:space="preserve">For example, </w:t>
      </w:r>
      <w:r w:rsidR="003A24C4" w:rsidRPr="001A0500">
        <w:rPr>
          <w:rFonts w:eastAsia="Times New Roman" w:cs="Arial"/>
          <w:szCs w:val="24"/>
        </w:rPr>
        <w:t>Section 4928.02(A), Revised Code, provides that it is the State’s policy to “[e]</w:t>
      </w:r>
      <w:proofErr w:type="spellStart"/>
      <w:r w:rsidR="003A24C4" w:rsidRPr="001A0500">
        <w:rPr>
          <w:rFonts w:eastAsia="Times New Roman" w:cs="Arial"/>
          <w:szCs w:val="24"/>
        </w:rPr>
        <w:t>nsure</w:t>
      </w:r>
      <w:proofErr w:type="spellEnd"/>
      <w:r w:rsidR="003A24C4" w:rsidRPr="001A0500">
        <w:rPr>
          <w:rFonts w:eastAsia="Times New Roman" w:cs="Arial"/>
          <w:szCs w:val="24"/>
        </w:rPr>
        <w:t xml:space="preserve"> the availability to consumers of … nondiscriminatory … retail electric service.”  </w:t>
      </w:r>
      <w:r w:rsidRPr="001A0500">
        <w:rPr>
          <w:rFonts w:eastAsia="Times New Roman" w:cs="Arial"/>
          <w:szCs w:val="24"/>
        </w:rPr>
        <w:t>Similarly, Section 4928.40(D), Revised Code, states that “</w:t>
      </w:r>
      <w:r w:rsidRPr="001A0500">
        <w:rPr>
          <w:rFonts w:eastAsia="Times New Roman" w:cs="Arial"/>
          <w:color w:val="000000"/>
          <w:szCs w:val="24"/>
        </w:rPr>
        <w:t xml:space="preserve">no electric utility in this state shall prohibit the resale of electric generation service or impose unreasonable or discriminatory conditions or limitations on the resale of electric generation service.”  </w:t>
      </w:r>
      <w:r>
        <w:rPr>
          <w:rFonts w:eastAsia="Times New Roman" w:cs="Arial"/>
          <w:color w:val="000000"/>
          <w:szCs w:val="24"/>
        </w:rPr>
        <w:lastRenderedPageBreak/>
        <w:t>Likewise, t</w:t>
      </w:r>
      <w:r w:rsidR="003A24C4" w:rsidRPr="001A0500">
        <w:rPr>
          <w:rFonts w:eastAsia="Times New Roman" w:cs="Arial"/>
          <w:szCs w:val="24"/>
        </w:rPr>
        <w:t xml:space="preserve">he definition of “standard service offer” in Rule 4901:1-35-01(L), </w:t>
      </w:r>
      <w:r w:rsidR="003A24C4">
        <w:rPr>
          <w:rFonts w:eastAsia="Times New Roman" w:cs="Arial"/>
          <w:szCs w:val="24"/>
        </w:rPr>
        <w:t>Ohio Administrative Code (“</w:t>
      </w:r>
      <w:r w:rsidR="003A24C4" w:rsidRPr="001A0500">
        <w:rPr>
          <w:rFonts w:eastAsia="Times New Roman" w:cs="Arial"/>
          <w:szCs w:val="24"/>
        </w:rPr>
        <w:t>OAC</w:t>
      </w:r>
      <w:r w:rsidR="003A24C4">
        <w:rPr>
          <w:rFonts w:eastAsia="Times New Roman" w:cs="Arial"/>
          <w:szCs w:val="24"/>
        </w:rPr>
        <w:t>”)</w:t>
      </w:r>
      <w:r w:rsidR="003A24C4" w:rsidRPr="001A0500">
        <w:rPr>
          <w:rFonts w:eastAsia="Times New Roman" w:cs="Arial"/>
          <w:szCs w:val="24"/>
        </w:rPr>
        <w:t xml:space="preserve">, highlights the importance of the role of the nondiscriminatory and comparable requirements that are imposed by Chapter 4928, Revised Code: “‘Standard service offer’ means an electric utility offer to provide consumers, on a comparable and nondiscriminatory basis within its certified territory, all competitive retail electric services necessary to maintain essential electric service to consumers, including a firm supply of electric generation service.”  </w:t>
      </w:r>
      <w:r>
        <w:rPr>
          <w:rFonts w:eastAsia="Times New Roman" w:cs="Arial"/>
          <w:szCs w:val="24"/>
        </w:rPr>
        <w:t>Moreover, statutory</w:t>
      </w:r>
      <w:r w:rsidR="003A24C4">
        <w:rPr>
          <w:rFonts w:eastAsia="Times New Roman" w:cs="Arial"/>
          <w:szCs w:val="24"/>
        </w:rPr>
        <w:t xml:space="preserve"> requirements</w:t>
      </w:r>
      <w:r w:rsidR="005D091B">
        <w:rPr>
          <w:rFonts w:eastAsia="Times New Roman" w:cs="Arial"/>
          <w:szCs w:val="24"/>
        </w:rPr>
        <w:t xml:space="preserve"> </w:t>
      </w:r>
      <w:r w:rsidR="0026017C">
        <w:rPr>
          <w:rFonts w:eastAsia="Times New Roman" w:cs="Arial"/>
          <w:szCs w:val="24"/>
        </w:rPr>
        <w:t xml:space="preserve">for nondiscriminatory and comparable rates </w:t>
      </w:r>
      <w:r w:rsidR="003A24C4">
        <w:rPr>
          <w:rFonts w:eastAsia="Times New Roman" w:cs="Arial"/>
          <w:szCs w:val="24"/>
        </w:rPr>
        <w:t>extend</w:t>
      </w:r>
      <w:r w:rsidR="001A0500" w:rsidRPr="001A0500">
        <w:rPr>
          <w:rFonts w:eastAsia="Times New Roman" w:cs="Arial"/>
          <w:szCs w:val="24"/>
        </w:rPr>
        <w:t xml:space="preserve"> to </w:t>
      </w:r>
      <w:r w:rsidR="003A24C4">
        <w:rPr>
          <w:rFonts w:eastAsia="Times New Roman" w:cs="Arial"/>
          <w:szCs w:val="24"/>
        </w:rPr>
        <w:t xml:space="preserve">both customers and </w:t>
      </w:r>
      <w:r w:rsidR="001A0500" w:rsidRPr="001A0500">
        <w:rPr>
          <w:rFonts w:eastAsia="Times New Roman" w:cs="Arial"/>
          <w:szCs w:val="24"/>
        </w:rPr>
        <w:t>suppliers.</w:t>
      </w:r>
      <w:r w:rsidR="001A0500" w:rsidRPr="001A0500">
        <w:rPr>
          <w:rFonts w:eastAsia="Times New Roman" w:cs="Times New Roman"/>
          <w:szCs w:val="24"/>
          <w:vertAlign w:val="superscript"/>
        </w:rPr>
        <w:footnoteReference w:id="39"/>
      </w:r>
      <w:r w:rsidR="001A0500" w:rsidRPr="001A0500">
        <w:rPr>
          <w:rFonts w:eastAsia="Times New Roman" w:cs="Arial"/>
          <w:szCs w:val="24"/>
        </w:rPr>
        <w:t xml:space="preserve">  </w:t>
      </w:r>
    </w:p>
    <w:p w:rsidR="001A0500" w:rsidRPr="001A0500" w:rsidRDefault="00804752" w:rsidP="001A0500">
      <w:pPr>
        <w:autoSpaceDE w:val="0"/>
        <w:autoSpaceDN w:val="0"/>
        <w:adjustRightInd w:val="0"/>
        <w:spacing w:line="480" w:lineRule="auto"/>
        <w:ind w:firstLine="720"/>
        <w:jc w:val="both"/>
        <w:rPr>
          <w:rFonts w:eastAsia="Times New Roman" w:cs="Arial"/>
          <w:szCs w:val="24"/>
        </w:rPr>
      </w:pPr>
      <w:r>
        <w:rPr>
          <w:rFonts w:eastAsia="Times New Roman" w:cs="Arial"/>
          <w:color w:val="000000"/>
          <w:szCs w:val="24"/>
        </w:rPr>
        <w:t xml:space="preserve">In </w:t>
      </w:r>
      <w:r w:rsidR="0026017C">
        <w:rPr>
          <w:rFonts w:eastAsia="Times New Roman" w:cs="Arial"/>
          <w:color w:val="000000"/>
          <w:szCs w:val="24"/>
        </w:rPr>
        <w:t xml:space="preserve">violation of these requirements, however, </w:t>
      </w:r>
      <w:r w:rsidR="00530FF2">
        <w:rPr>
          <w:rFonts w:eastAsia="Times New Roman" w:cs="Arial"/>
          <w:color w:val="000000"/>
          <w:szCs w:val="24"/>
        </w:rPr>
        <w:t>OP proposes three</w:t>
      </w:r>
      <w:r>
        <w:rPr>
          <w:rFonts w:eastAsia="Times New Roman" w:cs="Arial"/>
          <w:color w:val="000000"/>
          <w:szCs w:val="24"/>
        </w:rPr>
        <w:t xml:space="preserve"> alternatives </w:t>
      </w:r>
      <w:r w:rsidR="00530FF2">
        <w:rPr>
          <w:rFonts w:eastAsia="Times New Roman" w:cs="Arial"/>
          <w:color w:val="000000"/>
          <w:szCs w:val="24"/>
        </w:rPr>
        <w:t>that</w:t>
      </w:r>
      <w:r w:rsidR="0026017C">
        <w:rPr>
          <w:rFonts w:eastAsia="Times New Roman" w:cs="Arial"/>
          <w:szCs w:val="24"/>
        </w:rPr>
        <w:t xml:space="preserve"> would result </w:t>
      </w:r>
      <w:r w:rsidR="000116EB">
        <w:rPr>
          <w:rFonts w:eastAsia="Times New Roman" w:cs="Arial"/>
          <w:szCs w:val="24"/>
        </w:rPr>
        <w:t xml:space="preserve">in </w:t>
      </w:r>
      <w:r w:rsidR="001A0500" w:rsidRPr="001A0500">
        <w:rPr>
          <w:rFonts w:eastAsia="Times New Roman" w:cs="Arial"/>
          <w:szCs w:val="24"/>
        </w:rPr>
        <w:t xml:space="preserve">some capacity </w:t>
      </w:r>
      <w:r w:rsidR="000116EB">
        <w:rPr>
          <w:rFonts w:eastAsia="Times New Roman" w:cs="Arial"/>
          <w:szCs w:val="24"/>
        </w:rPr>
        <w:t>being</w:t>
      </w:r>
      <w:r w:rsidR="001A0500" w:rsidRPr="001A0500">
        <w:rPr>
          <w:rFonts w:eastAsia="Times New Roman" w:cs="Arial"/>
          <w:szCs w:val="24"/>
        </w:rPr>
        <w:t xml:space="preserve"> </w:t>
      </w:r>
      <w:r w:rsidR="0026017C">
        <w:rPr>
          <w:rFonts w:eastAsia="Times New Roman" w:cs="Arial"/>
          <w:szCs w:val="24"/>
        </w:rPr>
        <w:t xml:space="preserve">charged at the lower RPM price with </w:t>
      </w:r>
      <w:r w:rsidR="001A0500" w:rsidRPr="001A0500">
        <w:rPr>
          <w:rFonts w:eastAsia="Times New Roman" w:cs="Arial"/>
          <w:szCs w:val="24"/>
        </w:rPr>
        <w:t xml:space="preserve">the balance </w:t>
      </w:r>
      <w:r w:rsidR="0026017C">
        <w:rPr>
          <w:rFonts w:eastAsia="Times New Roman" w:cs="Arial"/>
          <w:szCs w:val="24"/>
        </w:rPr>
        <w:t>priced</w:t>
      </w:r>
      <w:r w:rsidR="001A0500" w:rsidRPr="001A0500">
        <w:rPr>
          <w:rFonts w:eastAsia="Times New Roman" w:cs="Arial"/>
          <w:szCs w:val="24"/>
        </w:rPr>
        <w:t xml:space="preserve"> at </w:t>
      </w:r>
      <w:r w:rsidR="005D371C">
        <w:rPr>
          <w:rFonts w:eastAsia="Times New Roman" w:cs="Arial"/>
          <w:szCs w:val="24"/>
        </w:rPr>
        <w:t>a significantly higher $255/</w:t>
      </w:r>
      <w:r w:rsidR="001A0500" w:rsidRPr="001A0500">
        <w:rPr>
          <w:rFonts w:eastAsia="Times New Roman" w:cs="Arial"/>
          <w:szCs w:val="24"/>
        </w:rPr>
        <w:t>MW-day price.</w:t>
      </w:r>
      <w:r w:rsidR="001A0500" w:rsidRPr="001A0500">
        <w:rPr>
          <w:rFonts w:eastAsia="Times New Roman" w:cs="Times New Roman"/>
          <w:szCs w:val="24"/>
          <w:vertAlign w:val="superscript"/>
        </w:rPr>
        <w:footnoteReference w:id="40"/>
      </w:r>
      <w:r w:rsidR="001A0500" w:rsidRPr="001A0500">
        <w:rPr>
          <w:rFonts w:eastAsia="Times New Roman" w:cs="Arial"/>
          <w:szCs w:val="24"/>
        </w:rPr>
        <w:t xml:space="preserve">  </w:t>
      </w:r>
      <w:r w:rsidR="0026017C">
        <w:rPr>
          <w:rFonts w:eastAsia="Times New Roman" w:cs="Arial"/>
          <w:szCs w:val="24"/>
        </w:rPr>
        <w:t xml:space="preserve">The </w:t>
      </w:r>
      <w:r w:rsidR="00530FF2">
        <w:rPr>
          <w:rFonts w:eastAsia="Times New Roman" w:cs="Arial"/>
          <w:szCs w:val="24"/>
        </w:rPr>
        <w:t>difference</w:t>
      </w:r>
      <w:r w:rsidR="0026017C">
        <w:rPr>
          <w:rFonts w:eastAsia="Times New Roman" w:cs="Arial"/>
          <w:szCs w:val="24"/>
        </w:rPr>
        <w:t>, however, is not based on cost</w:t>
      </w:r>
      <w:r w:rsidR="001A0500" w:rsidRPr="001A0500">
        <w:rPr>
          <w:rFonts w:eastAsia="Times New Roman" w:cs="Arial"/>
          <w:szCs w:val="24"/>
        </w:rPr>
        <w:t>,</w:t>
      </w:r>
      <w:r w:rsidR="001A0500" w:rsidRPr="001A0500">
        <w:rPr>
          <w:rFonts w:eastAsia="Times New Roman" w:cs="Times New Roman"/>
          <w:szCs w:val="24"/>
          <w:vertAlign w:val="superscript"/>
        </w:rPr>
        <w:footnoteReference w:id="41"/>
      </w:r>
      <w:r w:rsidR="001A0500" w:rsidRPr="001A0500">
        <w:rPr>
          <w:rFonts w:eastAsia="Times New Roman" w:cs="Arial"/>
          <w:szCs w:val="24"/>
        </w:rPr>
        <w:t xml:space="preserve"> and it clearly is not based on market.  </w:t>
      </w:r>
      <w:r w:rsidR="00530FF2">
        <w:rPr>
          <w:rFonts w:eastAsia="Times New Roman" w:cs="Arial"/>
          <w:szCs w:val="24"/>
        </w:rPr>
        <w:t>In fact</w:t>
      </w:r>
      <w:r w:rsidR="001A0500" w:rsidRPr="001A0500">
        <w:rPr>
          <w:rFonts w:eastAsia="Times New Roman" w:cs="Arial"/>
          <w:szCs w:val="24"/>
        </w:rPr>
        <w:t>, whether a CRES supplier is charge</w:t>
      </w:r>
      <w:r w:rsidR="005D371C">
        <w:rPr>
          <w:rFonts w:eastAsia="Times New Roman" w:cs="Arial"/>
          <w:szCs w:val="24"/>
        </w:rPr>
        <w:t>d the RPM price or the $255/</w:t>
      </w:r>
      <w:r w:rsidR="001A0500" w:rsidRPr="001A0500">
        <w:rPr>
          <w:rFonts w:eastAsia="Times New Roman" w:cs="Arial"/>
          <w:szCs w:val="24"/>
        </w:rPr>
        <w:t>MW-day price depends only on where and when its customer stands in the line created by the Stipulation</w:t>
      </w:r>
      <w:r w:rsidR="000116EB">
        <w:rPr>
          <w:rFonts w:eastAsia="Times New Roman" w:cs="Arial"/>
          <w:szCs w:val="24"/>
        </w:rPr>
        <w:t>,</w:t>
      </w:r>
      <w:r w:rsidR="001A0500" w:rsidRPr="001A0500">
        <w:rPr>
          <w:rFonts w:eastAsia="Times New Roman" w:cs="Arial"/>
          <w:szCs w:val="24"/>
        </w:rPr>
        <w:t xml:space="preserve"> Appendix</w:t>
      </w:r>
      <w:r w:rsidR="000116EB">
        <w:rPr>
          <w:rFonts w:eastAsia="Times New Roman" w:cs="Arial"/>
          <w:szCs w:val="24"/>
        </w:rPr>
        <w:t xml:space="preserve"> C,</w:t>
      </w:r>
      <w:r w:rsidR="000116EB" w:rsidRPr="000116EB">
        <w:rPr>
          <w:rFonts w:eastAsia="Times New Roman" w:cs="Arial"/>
          <w:szCs w:val="24"/>
        </w:rPr>
        <w:t xml:space="preserve"> </w:t>
      </w:r>
      <w:r w:rsidR="000116EB" w:rsidRPr="001A0500">
        <w:rPr>
          <w:rFonts w:eastAsia="Times New Roman" w:cs="Arial"/>
          <w:szCs w:val="24"/>
        </w:rPr>
        <w:t>and</w:t>
      </w:r>
      <w:r w:rsidR="000116EB">
        <w:rPr>
          <w:rFonts w:eastAsia="Times New Roman" w:cs="Arial"/>
          <w:szCs w:val="24"/>
        </w:rPr>
        <w:t xml:space="preserve"> the DIP</w:t>
      </w:r>
      <w:r w:rsidR="001A0500" w:rsidRPr="001A0500">
        <w:rPr>
          <w:rFonts w:eastAsia="Times New Roman" w:cs="Arial"/>
          <w:szCs w:val="24"/>
        </w:rPr>
        <w:t>.</w:t>
      </w:r>
      <w:r w:rsidR="001A0500" w:rsidRPr="001A0500">
        <w:rPr>
          <w:rFonts w:eastAsia="Times New Roman" w:cs="Times New Roman"/>
          <w:szCs w:val="24"/>
          <w:vertAlign w:val="superscript"/>
        </w:rPr>
        <w:footnoteReference w:id="42"/>
      </w:r>
      <w:r w:rsidR="001A0500" w:rsidRPr="001A0500">
        <w:rPr>
          <w:rFonts w:eastAsia="Times New Roman" w:cs="Arial"/>
          <w:szCs w:val="24"/>
        </w:rPr>
        <w:t xml:space="preserve">  In all other respects, the capacity generation service supplied by </w:t>
      </w:r>
      <w:r w:rsidR="002C53F7">
        <w:rPr>
          <w:rFonts w:eastAsia="Times New Roman" w:cs="Arial"/>
          <w:szCs w:val="24"/>
        </w:rPr>
        <w:t>OP</w:t>
      </w:r>
      <w:r w:rsidR="001A0500" w:rsidRPr="001A0500">
        <w:rPr>
          <w:rFonts w:eastAsia="Times New Roman" w:cs="Arial"/>
          <w:szCs w:val="24"/>
        </w:rPr>
        <w:t xml:space="preserve"> is identical.</w:t>
      </w:r>
      <w:r w:rsidR="001A0500" w:rsidRPr="001A0500">
        <w:rPr>
          <w:rFonts w:eastAsia="Times New Roman" w:cs="Times New Roman"/>
          <w:szCs w:val="24"/>
          <w:vertAlign w:val="superscript"/>
        </w:rPr>
        <w:footnoteReference w:id="43"/>
      </w:r>
      <w:r w:rsidR="001A0500" w:rsidRPr="001A0500">
        <w:rPr>
          <w:rFonts w:eastAsia="Times New Roman" w:cs="Arial"/>
          <w:szCs w:val="24"/>
        </w:rPr>
        <w:t xml:space="preserve">  </w:t>
      </w:r>
    </w:p>
    <w:p w:rsidR="001A0500" w:rsidRPr="001A0500" w:rsidRDefault="001A0500" w:rsidP="001A0500">
      <w:pPr>
        <w:autoSpaceDE w:val="0"/>
        <w:autoSpaceDN w:val="0"/>
        <w:adjustRightInd w:val="0"/>
        <w:spacing w:line="480" w:lineRule="auto"/>
        <w:ind w:firstLine="720"/>
        <w:jc w:val="both"/>
        <w:rPr>
          <w:rFonts w:eastAsia="Times New Roman" w:cs="Arial"/>
          <w:szCs w:val="24"/>
        </w:rPr>
      </w:pPr>
      <w:r w:rsidRPr="001A0500">
        <w:rPr>
          <w:rFonts w:eastAsia="Times New Roman" w:cs="Arial"/>
          <w:szCs w:val="24"/>
        </w:rPr>
        <w:t xml:space="preserve">Neither </w:t>
      </w:r>
      <w:r w:rsidR="002C53F7">
        <w:rPr>
          <w:rFonts w:eastAsia="Times New Roman" w:cs="Arial"/>
          <w:szCs w:val="24"/>
        </w:rPr>
        <w:t>OP</w:t>
      </w:r>
      <w:r w:rsidRPr="001A0500">
        <w:rPr>
          <w:rFonts w:eastAsia="Times New Roman" w:cs="Arial"/>
          <w:szCs w:val="24"/>
        </w:rPr>
        <w:t xml:space="preserve"> nor any party supporting the Stipulation offered any evidence to demonstrate that the bifurcated generation service capacity charge structure and the </w:t>
      </w:r>
      <w:r w:rsidRPr="001A0500">
        <w:rPr>
          <w:rFonts w:eastAsia="Times New Roman" w:cs="Arial"/>
          <w:szCs w:val="24"/>
        </w:rPr>
        <w:lastRenderedPageBreak/>
        <w:t>significantly increased, discriminatory</w:t>
      </w:r>
      <w:r w:rsidR="000116EB">
        <w:rPr>
          <w:rFonts w:eastAsia="Times New Roman" w:cs="Arial"/>
          <w:szCs w:val="24"/>
        </w:rPr>
        <w:t>,</w:t>
      </w:r>
      <w:r w:rsidRPr="001A0500">
        <w:rPr>
          <w:rFonts w:eastAsia="Times New Roman" w:cs="Arial"/>
          <w:szCs w:val="24"/>
        </w:rPr>
        <w:t xml:space="preserve"> and non-comparable capacity charge is lawful.  As Mr. Fein offered during cross-examination:</w:t>
      </w:r>
    </w:p>
    <w:p w:rsidR="001A0500" w:rsidRPr="001A0500" w:rsidRDefault="001A0500" w:rsidP="001A0500">
      <w:pPr>
        <w:autoSpaceDE w:val="0"/>
        <w:autoSpaceDN w:val="0"/>
        <w:adjustRightInd w:val="0"/>
        <w:spacing w:line="240" w:lineRule="auto"/>
        <w:ind w:left="720" w:right="720"/>
        <w:jc w:val="both"/>
        <w:rPr>
          <w:rFonts w:eastAsia="Times New Roman" w:cs="Arial"/>
          <w:szCs w:val="24"/>
        </w:rPr>
      </w:pPr>
      <w:r w:rsidRPr="001A0500">
        <w:rPr>
          <w:rFonts w:eastAsia="Times New Roman" w:cs="Arial"/>
          <w:szCs w:val="24"/>
        </w:rPr>
        <w:t>Q. You also believe that the Commission should avoid discriminatory pricing policies; do you not?</w:t>
      </w:r>
    </w:p>
    <w:p w:rsidR="001A0500" w:rsidRPr="001A0500" w:rsidRDefault="001A0500" w:rsidP="001A0500">
      <w:pPr>
        <w:autoSpaceDE w:val="0"/>
        <w:autoSpaceDN w:val="0"/>
        <w:adjustRightInd w:val="0"/>
        <w:spacing w:line="240" w:lineRule="auto"/>
        <w:ind w:left="720" w:right="720"/>
        <w:jc w:val="both"/>
        <w:rPr>
          <w:rFonts w:eastAsia="Times New Roman" w:cs="Arial"/>
          <w:szCs w:val="24"/>
        </w:rPr>
      </w:pPr>
      <w:r w:rsidRPr="001A0500">
        <w:rPr>
          <w:rFonts w:eastAsia="Times New Roman" w:cs="Arial"/>
          <w:szCs w:val="24"/>
        </w:rPr>
        <w:t>A. I do.</w:t>
      </w:r>
    </w:p>
    <w:p w:rsidR="001A0500" w:rsidRPr="001A0500" w:rsidRDefault="001A0500" w:rsidP="001A0500">
      <w:pPr>
        <w:autoSpaceDE w:val="0"/>
        <w:autoSpaceDN w:val="0"/>
        <w:adjustRightInd w:val="0"/>
        <w:spacing w:line="240" w:lineRule="auto"/>
        <w:ind w:left="720" w:right="720"/>
        <w:jc w:val="both"/>
        <w:rPr>
          <w:rFonts w:eastAsia="Times New Roman" w:cs="Arial"/>
          <w:szCs w:val="24"/>
        </w:rPr>
      </w:pPr>
      <w:r w:rsidRPr="001A0500">
        <w:rPr>
          <w:rFonts w:eastAsia="Times New Roman" w:cs="Arial"/>
          <w:szCs w:val="24"/>
        </w:rPr>
        <w:t>Q. So similarly situated customers receiving the same service shouldn’t be required to pay different prices for that service, correct?</w:t>
      </w:r>
    </w:p>
    <w:p w:rsidR="001A0500" w:rsidRPr="001A0500" w:rsidRDefault="001A0500" w:rsidP="001A0500">
      <w:pPr>
        <w:autoSpaceDE w:val="0"/>
        <w:autoSpaceDN w:val="0"/>
        <w:adjustRightInd w:val="0"/>
        <w:spacing w:line="240" w:lineRule="auto"/>
        <w:ind w:left="720" w:right="720"/>
        <w:jc w:val="both"/>
        <w:rPr>
          <w:rFonts w:eastAsia="Times New Roman" w:cs="Arial"/>
          <w:szCs w:val="24"/>
        </w:rPr>
      </w:pPr>
      <w:r w:rsidRPr="001A0500">
        <w:rPr>
          <w:rFonts w:eastAsia="Times New Roman" w:cs="Arial"/>
          <w:szCs w:val="24"/>
        </w:rPr>
        <w:t>A. That’s correct.</w:t>
      </w:r>
      <w:r w:rsidRPr="001A0500">
        <w:rPr>
          <w:rFonts w:eastAsia="Times New Roman" w:cs="Times New Roman"/>
          <w:szCs w:val="24"/>
          <w:vertAlign w:val="superscript"/>
        </w:rPr>
        <w:footnoteReference w:id="44"/>
      </w:r>
    </w:p>
    <w:p w:rsidR="001A0500" w:rsidRPr="001A0500" w:rsidRDefault="001A0500" w:rsidP="001A0500">
      <w:pPr>
        <w:autoSpaceDE w:val="0"/>
        <w:autoSpaceDN w:val="0"/>
        <w:adjustRightInd w:val="0"/>
        <w:spacing w:after="0" w:line="240" w:lineRule="auto"/>
        <w:ind w:left="1440" w:right="1440"/>
        <w:jc w:val="both"/>
        <w:rPr>
          <w:rFonts w:eastAsia="Times New Roman" w:cs="Arial"/>
          <w:szCs w:val="24"/>
        </w:rPr>
      </w:pPr>
    </w:p>
    <w:p w:rsidR="001A0500" w:rsidRDefault="001A0500" w:rsidP="00891C56">
      <w:pPr>
        <w:spacing w:line="480" w:lineRule="auto"/>
        <w:jc w:val="both"/>
      </w:pPr>
      <w:r w:rsidRPr="001A0500">
        <w:rPr>
          <w:rFonts w:eastAsia="Times New Roman" w:cs="Arial"/>
          <w:szCs w:val="24"/>
        </w:rPr>
        <w:t xml:space="preserve">Yet, </w:t>
      </w:r>
      <w:r w:rsidR="00804752">
        <w:rPr>
          <w:rFonts w:eastAsia="Times New Roman" w:cs="Arial"/>
          <w:szCs w:val="24"/>
        </w:rPr>
        <w:t xml:space="preserve">under OP’s </w:t>
      </w:r>
      <w:r w:rsidR="0026017C">
        <w:rPr>
          <w:rFonts w:eastAsia="Times New Roman" w:cs="Arial"/>
          <w:szCs w:val="24"/>
        </w:rPr>
        <w:t>Motion</w:t>
      </w:r>
      <w:r w:rsidRPr="001A0500">
        <w:rPr>
          <w:rFonts w:eastAsia="Times New Roman" w:cs="Arial"/>
          <w:szCs w:val="24"/>
        </w:rPr>
        <w:t xml:space="preserve">, discrimination and non-comparability are guaranteed: similarly situated customers and suppliers will see two different prices for generation capacity service based on nothing more than whether </w:t>
      </w:r>
      <w:r w:rsidR="00530FF2">
        <w:rPr>
          <w:rFonts w:eastAsia="Times New Roman" w:cs="Arial"/>
          <w:szCs w:val="24"/>
        </w:rPr>
        <w:t>customers</w:t>
      </w:r>
      <w:r w:rsidRPr="001A0500">
        <w:rPr>
          <w:rFonts w:eastAsia="Times New Roman" w:cs="Arial"/>
          <w:szCs w:val="24"/>
        </w:rPr>
        <w:t xml:space="preserve"> took or signed up for competitive retail electric service soon enough.</w:t>
      </w:r>
    </w:p>
    <w:p w:rsidR="00D86B3D" w:rsidRPr="00D86B3D" w:rsidRDefault="00D86B3D" w:rsidP="006E789D">
      <w:pPr>
        <w:pStyle w:val="ListParagraph"/>
        <w:numPr>
          <w:ilvl w:val="0"/>
          <w:numId w:val="3"/>
        </w:numPr>
        <w:tabs>
          <w:tab w:val="left" w:pos="1440"/>
        </w:tabs>
        <w:spacing w:after="200" w:line="240" w:lineRule="auto"/>
        <w:ind w:left="1440" w:hanging="720"/>
      </w:pPr>
      <w:bookmarkStart w:id="7" w:name="_Toc318455731"/>
      <w:r w:rsidRPr="000502E2">
        <w:rPr>
          <w:rStyle w:val="Heading2Char"/>
          <w:rFonts w:ascii="Arial" w:hAnsi="Arial" w:cs="Arial"/>
          <w:color w:val="auto"/>
          <w:sz w:val="24"/>
          <w:szCs w:val="24"/>
        </w:rPr>
        <w:t>OP Fails to Provide Any Basis for Staying the Commission’s Orders Regarding Capacity Charges</w:t>
      </w:r>
      <w:bookmarkEnd w:id="7"/>
    </w:p>
    <w:p w:rsidR="00D86B3D" w:rsidRDefault="00D86B3D" w:rsidP="006E789D">
      <w:pPr>
        <w:pStyle w:val="ListParagraph"/>
        <w:spacing w:after="200" w:line="240" w:lineRule="auto"/>
      </w:pPr>
    </w:p>
    <w:p w:rsidR="00D86B3D" w:rsidRPr="00D86B3D" w:rsidRDefault="00D86B3D" w:rsidP="006E789D">
      <w:pPr>
        <w:spacing w:line="480" w:lineRule="auto"/>
        <w:ind w:firstLine="720"/>
        <w:jc w:val="both"/>
      </w:pPr>
      <w:r>
        <w:t xml:space="preserve">Despite the Commission’s order to bring capacity charges into compliance with the Commission’s prior orders in this case, </w:t>
      </w:r>
      <w:r w:rsidR="00F345E5">
        <w:t>OP</w:t>
      </w:r>
      <w:r>
        <w:t xml:space="preserve"> </w:t>
      </w:r>
      <w:r w:rsidR="00136AB7">
        <w:t xml:space="preserve">has sought to </w:t>
      </w:r>
      <w:r w:rsidR="00F345E5">
        <w:t>retain the rejected</w:t>
      </w:r>
      <w:r w:rsidR="00C2754A">
        <w:t xml:space="preserve"> Pricing Scheme </w:t>
      </w:r>
      <w:r w:rsidR="00F345E5">
        <w:t xml:space="preserve">by suggesting it will be financially harmed and that customers are seeking certainty through the maintenance of the </w:t>
      </w:r>
      <w:r w:rsidR="005B117D">
        <w:t>Pricing Scheme</w:t>
      </w:r>
      <w:r w:rsidR="00F345E5">
        <w:t xml:space="preserve">.  </w:t>
      </w:r>
      <w:r w:rsidR="00136AB7">
        <w:t>Additionally, it proposes several “solutions” which would effectively impose either the</w:t>
      </w:r>
      <w:r w:rsidR="00C2754A">
        <w:t xml:space="preserve"> </w:t>
      </w:r>
      <w:r>
        <w:t xml:space="preserve">terms of the </w:t>
      </w:r>
      <w:r w:rsidR="00530FF2">
        <w:t xml:space="preserve">rejected </w:t>
      </w:r>
      <w:r>
        <w:t>DIP</w:t>
      </w:r>
      <w:r w:rsidR="00C2754A">
        <w:t xml:space="preserve"> </w:t>
      </w:r>
      <w:r w:rsidR="00136AB7">
        <w:t xml:space="preserve">or something nearly as restrictive.  None of these arguments or proposals </w:t>
      </w:r>
      <w:r>
        <w:t>has any legal merit.</w:t>
      </w:r>
    </w:p>
    <w:p w:rsidR="009D5E30" w:rsidRDefault="0026017C" w:rsidP="006E789D">
      <w:pPr>
        <w:pStyle w:val="Heading3"/>
        <w:numPr>
          <w:ilvl w:val="0"/>
          <w:numId w:val="10"/>
        </w:numPr>
        <w:spacing w:after="200" w:line="240" w:lineRule="auto"/>
        <w:ind w:left="1440" w:right="720" w:hanging="720"/>
        <w:jc w:val="both"/>
        <w:rPr>
          <w:rFonts w:ascii="Arial" w:hAnsi="Arial" w:cs="Arial"/>
          <w:color w:val="auto"/>
        </w:rPr>
      </w:pPr>
      <w:bookmarkStart w:id="8" w:name="_Toc318455732"/>
      <w:r w:rsidRPr="005B117D">
        <w:rPr>
          <w:rFonts w:ascii="Arial" w:hAnsi="Arial" w:cs="Arial"/>
          <w:color w:val="auto"/>
        </w:rPr>
        <w:lastRenderedPageBreak/>
        <w:t>A Claim of Irreparable Harm Does Not Permit OP to Secure Approval, Interim or Otherwise, of a New Capacity Pricing Scheme in this Proceeding</w:t>
      </w:r>
      <w:bookmarkEnd w:id="8"/>
    </w:p>
    <w:p w:rsidR="00A0573C" w:rsidRPr="00A0573C" w:rsidRDefault="00A0573C" w:rsidP="00A0573C">
      <w:pPr>
        <w:spacing w:after="0" w:line="240" w:lineRule="auto"/>
      </w:pPr>
    </w:p>
    <w:p w:rsidR="00F345E5" w:rsidRDefault="00F345E5" w:rsidP="006E789D">
      <w:pPr>
        <w:spacing w:line="480" w:lineRule="auto"/>
        <w:ind w:firstLine="720"/>
        <w:jc w:val="both"/>
      </w:pPr>
      <w:r>
        <w:t>OP initially argues that it will suffer “immediate and irreparable harm” if it is required to provide capacity to CRES providers</w:t>
      </w:r>
      <w:r w:rsidR="00646363">
        <w:t xml:space="preserve"> </w:t>
      </w:r>
      <w:r w:rsidR="00530FF2">
        <w:t xml:space="preserve">at RPM prices </w:t>
      </w:r>
      <w:r w:rsidR="00646363">
        <w:t xml:space="preserve">which </w:t>
      </w:r>
      <w:r w:rsidR="00530FF2">
        <w:t>OP</w:t>
      </w:r>
      <w:r w:rsidR="00646363">
        <w:t xml:space="preserve"> describes as confiscatory</w:t>
      </w:r>
      <w:r>
        <w:t>.</w:t>
      </w:r>
      <w:r>
        <w:rPr>
          <w:rStyle w:val="FootnoteReference"/>
        </w:rPr>
        <w:footnoteReference w:id="45"/>
      </w:r>
      <w:r>
        <w:t xml:space="preserve">  In support of its claim of </w:t>
      </w:r>
      <w:r w:rsidR="00646363">
        <w:t>confiscation</w:t>
      </w:r>
      <w:r>
        <w:t xml:space="preserve">, </w:t>
      </w:r>
      <w:r w:rsidR="00530FF2">
        <w:t>OP</w:t>
      </w:r>
      <w:r>
        <w:t xml:space="preserve"> offers that its projected earnings will drop and that its stock price has declined.</w:t>
      </w:r>
      <w:r>
        <w:rPr>
          <w:rStyle w:val="FootnoteReference"/>
        </w:rPr>
        <w:footnoteReference w:id="46"/>
      </w:r>
      <w:r>
        <w:t xml:space="preserve">  It then argues that it had an expectation that it would be permitted to establish a cost-based </w:t>
      </w:r>
      <w:r w:rsidR="0026017C">
        <w:t>capacity charge</w:t>
      </w:r>
      <w:r>
        <w:t xml:space="preserve"> and threatens additional litigation if it does not have its way.</w:t>
      </w:r>
      <w:r>
        <w:rPr>
          <w:rStyle w:val="FootnoteReference"/>
        </w:rPr>
        <w:footnoteReference w:id="47"/>
      </w:r>
      <w:r>
        <w:t xml:space="preserve">  </w:t>
      </w:r>
    </w:p>
    <w:p w:rsidR="00B74185" w:rsidRDefault="00B74185" w:rsidP="000D1BAB">
      <w:pPr>
        <w:spacing w:line="480" w:lineRule="auto"/>
        <w:ind w:firstLine="720"/>
        <w:jc w:val="both"/>
      </w:pPr>
      <w:r w:rsidRPr="00B74185">
        <w:t xml:space="preserve">While claims of financial distress and confiscation can, in the proper circumstances, give rise to regulatory relief, none of those circumstances </w:t>
      </w:r>
      <w:r>
        <w:t>is</w:t>
      </w:r>
      <w:r w:rsidRPr="00B74185">
        <w:t xml:space="preserve"> present in this proceeding.  </w:t>
      </w:r>
      <w:r>
        <w:t>Even</w:t>
      </w:r>
      <w:r w:rsidRPr="00B74185">
        <w:t xml:space="preserve"> if this proceeding could be used as a proper vehicle to advance claims for relief to avoid financial distress or confiscation, OP has not demonstrated anything approaching a constitutional claim</w:t>
      </w:r>
      <w:r>
        <w:t xml:space="preserve">. </w:t>
      </w:r>
      <w:r w:rsidRPr="00B74185">
        <w:t xml:space="preserve"> </w:t>
      </w:r>
      <w:r>
        <w:t>Thus</w:t>
      </w:r>
      <w:r w:rsidRPr="00B74185">
        <w:t xml:space="preserve">, the first basis asserted </w:t>
      </w:r>
      <w:r w:rsidR="002C53F7">
        <w:t>in the</w:t>
      </w:r>
      <w:r w:rsidRPr="00B74185">
        <w:t xml:space="preserve"> OP Motion for permitting</w:t>
      </w:r>
      <w:r w:rsidR="00D86B3D">
        <w:t xml:space="preserve"> the unlawful and unreasonable P</w:t>
      </w:r>
      <w:r w:rsidRPr="00B74185">
        <w:t xml:space="preserve">ricing </w:t>
      </w:r>
      <w:r w:rsidR="00D86B3D">
        <w:t>S</w:t>
      </w:r>
      <w:r w:rsidRPr="00B74185">
        <w:t>cheme should be rejected</w:t>
      </w:r>
      <w:r w:rsidR="000D1BAB">
        <w:t>.</w:t>
      </w:r>
    </w:p>
    <w:p w:rsidR="00B74185" w:rsidRDefault="00B74185" w:rsidP="006E789D">
      <w:pPr>
        <w:spacing w:line="480" w:lineRule="auto"/>
        <w:ind w:firstLine="720"/>
        <w:jc w:val="both"/>
      </w:pPr>
      <w:r w:rsidRPr="00B74185">
        <w:t>If there were a real emergency</w:t>
      </w:r>
      <w:r w:rsidR="00530FF2">
        <w:t>,</w:t>
      </w:r>
      <w:r w:rsidRPr="00B74185">
        <w:t xml:space="preserve"> </w:t>
      </w:r>
      <w:r w:rsidR="006F4409">
        <w:t>OP could seek relief under Section 4909.16, Revised Code.</w:t>
      </w:r>
      <w:r w:rsidRPr="00B74185">
        <w:t xml:space="preserve"> </w:t>
      </w:r>
      <w:r w:rsidR="001274D8">
        <w:t xml:space="preserve"> </w:t>
      </w:r>
      <w:r w:rsidR="006F4409">
        <w:t xml:space="preserve">That </w:t>
      </w:r>
      <w:r w:rsidRPr="00B74185">
        <w:t xml:space="preserve">Section </w:t>
      </w:r>
      <w:r w:rsidR="006F4409">
        <w:t>provides</w:t>
      </w:r>
      <w:r w:rsidRPr="00B74185">
        <w:t xml:space="preserve"> the Commission </w:t>
      </w:r>
      <w:r w:rsidR="006F4409">
        <w:t>with authority</w:t>
      </w:r>
      <w:r w:rsidRPr="00B74185">
        <w:t xml:space="preserve"> to address, on an interim basis and subject to refund, financial emergencies.  </w:t>
      </w:r>
      <w:r w:rsidR="006F4409">
        <w:t>In addressing such emergencies, however, t</w:t>
      </w:r>
      <w:r w:rsidRPr="00B74185">
        <w:t>he Commission has long-standing precedent and criteria that must be applied, after a hearing, to determine if emergency relief is a</w:t>
      </w:r>
      <w:r w:rsidR="002C53F7">
        <w:t xml:space="preserve">ppropriate and, if </w:t>
      </w:r>
      <w:r w:rsidR="002C53F7">
        <w:lastRenderedPageBreak/>
        <w:t xml:space="preserve">so, to what </w:t>
      </w:r>
      <w:r w:rsidRPr="00B74185">
        <w:t>extent.</w:t>
      </w:r>
      <w:r w:rsidR="00530FF2">
        <w:rPr>
          <w:rStyle w:val="FootnoteReference"/>
        </w:rPr>
        <w:footnoteReference w:id="48"/>
      </w:r>
      <w:r w:rsidRPr="00B74185">
        <w:t xml:space="preserve">  OP, however, has not invoked that authority, </w:t>
      </w:r>
      <w:r w:rsidR="006F4409">
        <w:t>and thus it has no basis for claiming any interim relief based on its alleged financial distress.</w:t>
      </w:r>
      <w:r>
        <w:t xml:space="preserve">  </w:t>
      </w:r>
    </w:p>
    <w:p w:rsidR="00F345E5" w:rsidRDefault="00B74185" w:rsidP="006E789D">
      <w:pPr>
        <w:spacing w:line="480" w:lineRule="auto"/>
        <w:ind w:firstLine="720"/>
        <w:jc w:val="both"/>
      </w:pPr>
      <w:r>
        <w:t xml:space="preserve">Even if the Commission could properly consider OP’s </w:t>
      </w:r>
      <w:r w:rsidR="006F4409">
        <w:t>concern that it may incur harm if the Commission does not provide interim financial relief</w:t>
      </w:r>
      <w:r>
        <w:t>, OP’s</w:t>
      </w:r>
      <w:r w:rsidR="00646363">
        <w:t xml:space="preserve"> claim </w:t>
      </w:r>
      <w:r w:rsidR="006F4409">
        <w:t xml:space="preserve">that it will suffer confiscation </w:t>
      </w:r>
      <w:r w:rsidR="00646363">
        <w:t xml:space="preserve">also is without merit.  </w:t>
      </w:r>
      <w:r w:rsidR="009463DA">
        <w:t>To support a claim of confiscation</w:t>
      </w:r>
      <w:r w:rsidR="00F345E5">
        <w:t xml:space="preserve">, </w:t>
      </w:r>
      <w:r w:rsidR="009463DA">
        <w:t>OP must demonstrate</w:t>
      </w:r>
      <w:r w:rsidR="00F345E5">
        <w:t xml:space="preserve"> that the rate is “so</w:t>
      </w:r>
      <w:r w:rsidR="009463DA">
        <w:t xml:space="preserve"> ‘unjust’ as to be confiscatory,</w:t>
      </w:r>
      <w:r w:rsidR="00F345E5">
        <w:t>”</w:t>
      </w:r>
      <w:r w:rsidR="00F345E5">
        <w:rPr>
          <w:rStyle w:val="FootnoteReference"/>
        </w:rPr>
        <w:footnoteReference w:id="49"/>
      </w:r>
      <w:r w:rsidR="00F345E5">
        <w:t xml:space="preserve"> </w:t>
      </w:r>
      <w:r w:rsidR="009463DA">
        <w:t>but a</w:t>
      </w:r>
      <w:r w:rsidR="00F345E5">
        <w:t xml:space="preserve"> review of a rate, standing alone, is not a basis for determining if a confiscation has occurred.  </w:t>
      </w:r>
      <w:r w:rsidR="009463DA">
        <w:t>Before the Commission may find that rates are confiscatory, it must assess “all relevant co</w:t>
      </w:r>
      <w:r w:rsidR="0033427F">
        <w:t>s</w:t>
      </w:r>
      <w:r w:rsidR="009463DA">
        <w:t>ts and expenditures made by [the electric distribution utility]</w:t>
      </w:r>
      <w:r w:rsidR="00D8653D">
        <w:t>.”</w:t>
      </w:r>
      <w:r w:rsidR="009463DA">
        <w:rPr>
          <w:rStyle w:val="FootnoteReference"/>
        </w:rPr>
        <w:footnoteReference w:id="50"/>
      </w:r>
      <w:r w:rsidR="009463DA">
        <w:t xml:space="preserve">  </w:t>
      </w:r>
      <w:r w:rsidR="00F345E5">
        <w:t>“It is not the theory but the impact of the rate order which counts.  If the total effect of the rate order cannot be said to be unreasonable, judicial inquiry … is at an end.”</w:t>
      </w:r>
      <w:r w:rsidR="00F345E5">
        <w:rPr>
          <w:rStyle w:val="FootnoteReference"/>
        </w:rPr>
        <w:footnoteReference w:id="51"/>
      </w:r>
      <w:r w:rsidR="00F345E5">
        <w:t xml:space="preserve">  </w:t>
      </w:r>
      <w:r w:rsidR="006F4409">
        <w:t>Relying on this well-understood test for determining if rates are confiscatory</w:t>
      </w:r>
      <w:r w:rsidR="00F345E5">
        <w:t xml:space="preserve">, </w:t>
      </w:r>
      <w:r w:rsidR="006F4409">
        <w:t>the Commission has held that it</w:t>
      </w:r>
      <w:r w:rsidR="00F345E5">
        <w:t xml:space="preserve"> must “consider the total effect of the [EDU’s] rates.”</w:t>
      </w:r>
      <w:r w:rsidR="00F345E5">
        <w:rPr>
          <w:rStyle w:val="FootnoteReference"/>
        </w:rPr>
        <w:footnoteReference w:id="52"/>
      </w:r>
      <w:r w:rsidR="00F345E5">
        <w:t xml:space="preserve">  </w:t>
      </w:r>
      <w:r w:rsidR="006F4409">
        <w:t xml:space="preserve">Applying </w:t>
      </w:r>
      <w:r w:rsidR="00F345E5">
        <w:t xml:space="preserve">this </w:t>
      </w:r>
      <w:r w:rsidR="009463DA">
        <w:t>comprehensive</w:t>
      </w:r>
      <w:r w:rsidR="00F345E5">
        <w:t xml:space="preserve"> review</w:t>
      </w:r>
      <w:r w:rsidR="006F4409">
        <w:t xml:space="preserve"> standard</w:t>
      </w:r>
      <w:r w:rsidR="00F345E5">
        <w:t>, the Commission has found that an 8% return based on net operating income (along with other factors) was sufficient to support a determination that rates were not confiscatory.</w:t>
      </w:r>
      <w:r w:rsidR="00F345E5">
        <w:rPr>
          <w:rStyle w:val="FootnoteReference"/>
        </w:rPr>
        <w:footnoteReference w:id="53"/>
      </w:r>
      <w:r w:rsidR="00F345E5">
        <w:t xml:space="preserve">  </w:t>
      </w:r>
    </w:p>
    <w:p w:rsidR="00F345E5" w:rsidRDefault="00F345E5" w:rsidP="00891C56">
      <w:pPr>
        <w:spacing w:line="480" w:lineRule="auto"/>
        <w:ind w:firstLine="720"/>
        <w:jc w:val="both"/>
      </w:pPr>
      <w:r>
        <w:lastRenderedPageBreak/>
        <w:t xml:space="preserve">In light of this high hurdle to establish a </w:t>
      </w:r>
      <w:r w:rsidR="009463DA">
        <w:t>constitutional claim</w:t>
      </w:r>
      <w:r>
        <w:t>, OP’s asserti</w:t>
      </w:r>
      <w:r w:rsidR="009463DA">
        <w:t>on that requiring it to provide</w:t>
      </w:r>
      <w:r>
        <w:t xml:space="preserve"> RPM-priced capacity will result in </w:t>
      </w:r>
      <w:r w:rsidR="009463DA">
        <w:t>confiscation</w:t>
      </w:r>
      <w:r>
        <w:t xml:space="preserve"> is unsupported.  OP rests its argument on a lower return on equity that has no basis in the current record and would still return, by OP’s own analysis, a positive return in both 2012 and 2013.</w:t>
      </w:r>
      <w:r>
        <w:rPr>
          <w:rStyle w:val="FootnoteReference"/>
        </w:rPr>
        <w:footnoteReference w:id="54"/>
      </w:r>
      <w:r>
        <w:t xml:space="preserve">  Its additional claim </w:t>
      </w:r>
      <w:r w:rsidR="00D8653D">
        <w:t>that the stock value has declined</w:t>
      </w:r>
      <w:r>
        <w:t xml:space="preserve"> likewise is outside the record available to the Commission and does not demonstrate anything other than that OP’s value was overstated on the assumption that it could continue to extract excessive returns from customers.</w:t>
      </w:r>
      <w:r w:rsidR="006F4409">
        <w:rPr>
          <w:rStyle w:val="FootnoteReference"/>
        </w:rPr>
        <w:footnoteReference w:id="55"/>
      </w:r>
      <w:r>
        <w:t xml:space="preserve">  </w:t>
      </w:r>
      <w:r w:rsidR="009463DA">
        <w:t xml:space="preserve">Moreover, OP ignores recent Commission and Staff findings that </w:t>
      </w:r>
      <w:r w:rsidR="00E6089B">
        <w:t>its first</w:t>
      </w:r>
      <w:r w:rsidR="009463DA">
        <w:t xml:space="preserve"> ESP </w:t>
      </w:r>
      <w:r w:rsidR="007A4B95">
        <w:t>is</w:t>
      </w:r>
      <w:r w:rsidR="009463DA">
        <w:t xml:space="preserve"> producing significantly excessive returns.  </w:t>
      </w:r>
      <w:r w:rsidR="00C9115B">
        <w:t>The</w:t>
      </w:r>
      <w:r>
        <w:t xml:space="preserve"> Commission determined</w:t>
      </w:r>
      <w:r w:rsidR="00C9115B">
        <w:t xml:space="preserve"> that</w:t>
      </w:r>
      <w:r>
        <w:t xml:space="preserve"> the CSP ESP resulted in significantly excessive earnings</w:t>
      </w:r>
      <w:r w:rsidR="00C9115B" w:rsidRPr="00C9115B">
        <w:t xml:space="preserve"> </w:t>
      </w:r>
      <w:r w:rsidR="00C9115B">
        <w:t>in 2009</w:t>
      </w:r>
      <w:r w:rsidR="009463DA">
        <w:t>,</w:t>
      </w:r>
      <w:r>
        <w:rPr>
          <w:rStyle w:val="FootnoteReference"/>
        </w:rPr>
        <w:footnoteReference w:id="56"/>
      </w:r>
      <w:r>
        <w:t xml:space="preserve"> and the Staff of the Commission has raised a </w:t>
      </w:r>
      <w:r w:rsidR="002C53F7">
        <w:t xml:space="preserve">similar concern with </w:t>
      </w:r>
      <w:r w:rsidR="00747E7F">
        <w:t>CSP</w:t>
      </w:r>
      <w:r w:rsidR="002C53F7">
        <w:t>’s total</w:t>
      </w:r>
      <w:r w:rsidR="00D8653D">
        <w:t>-</w:t>
      </w:r>
      <w:r>
        <w:t>EDU earned return on common equity for 2010.</w:t>
      </w:r>
      <w:r>
        <w:rPr>
          <w:rStyle w:val="FootnoteReference"/>
        </w:rPr>
        <w:footnoteReference w:id="57"/>
      </w:r>
      <w:r>
        <w:t xml:space="preserve">  </w:t>
      </w:r>
      <w:r w:rsidR="000D002A">
        <w:t>Given that their returns occurred while OP was charging the same SSO rates and under the same capacity mechanism the Commission has required OP to implement on February 23, 2012, OP has failed to demonstrate any basis to believe the Commission’s Entry on Rehearing will result in confiscation.</w:t>
      </w:r>
    </w:p>
    <w:p w:rsidR="007A4B95" w:rsidRDefault="00BA7D27" w:rsidP="003432D9">
      <w:pPr>
        <w:spacing w:line="480" w:lineRule="auto"/>
        <w:ind w:firstLine="720"/>
        <w:jc w:val="both"/>
      </w:pPr>
      <w:r>
        <w:lastRenderedPageBreak/>
        <w:t>Furthermore, OP is seeking relief from the Commission for the alleged effects of a FERC-approved capacity pricing mechanism</w:t>
      </w:r>
      <w:r w:rsidR="007A4B95">
        <w:t xml:space="preserve">.  If there is any legitimate confiscation claim (and there is none), it is FERC’s actions, not the actions of the Commission, that should be getting OP’s attention and OP’s threats </w:t>
      </w:r>
      <w:r w:rsidR="000D002A">
        <w:t xml:space="preserve">to sue, </w:t>
      </w:r>
      <w:r w:rsidR="007A4B95">
        <w:t>to not invest</w:t>
      </w:r>
      <w:r w:rsidR="000D002A">
        <w:t>,</w:t>
      </w:r>
      <w:r w:rsidR="007A4B95">
        <w:t xml:space="preserve"> and </w:t>
      </w:r>
      <w:r w:rsidR="000D002A">
        <w:t xml:space="preserve">to </w:t>
      </w:r>
      <w:r w:rsidR="007A4B95">
        <w:t xml:space="preserve">reduce employment.  </w:t>
      </w:r>
    </w:p>
    <w:p w:rsidR="007A4B95" w:rsidRDefault="00F345E5" w:rsidP="006E789D">
      <w:pPr>
        <w:spacing w:line="480" w:lineRule="auto"/>
        <w:ind w:firstLine="720"/>
        <w:jc w:val="both"/>
      </w:pPr>
      <w:r>
        <w:t xml:space="preserve">Moreover, OP’s suggestion that it has some expectation to recover transition revenues from customers through an arbitrary </w:t>
      </w:r>
      <w:r w:rsidR="007A4B95">
        <w:t xml:space="preserve">and excessive </w:t>
      </w:r>
      <w:r>
        <w:t xml:space="preserve">capacity </w:t>
      </w:r>
      <w:r w:rsidR="007A4B95">
        <w:t>charge</w:t>
      </w:r>
      <w:r>
        <w:t xml:space="preserve"> once again highlights the illegal nature of OP’s claim.</w:t>
      </w:r>
      <w:r>
        <w:rPr>
          <w:rStyle w:val="FootnoteReference"/>
        </w:rPr>
        <w:footnoteReference w:id="58"/>
      </w:r>
      <w:r w:rsidR="00747E7F">
        <w:t xml:space="preserve">  As OP explains</w:t>
      </w:r>
      <w:r>
        <w:t>, it believes it has some “expected ability to establish costs-based rates,” but now complains that it will be forced to move to RPM-priced capacity “without a reasonable transition mechanism” for “a transition period.”</w:t>
      </w:r>
      <w:r>
        <w:rPr>
          <w:rStyle w:val="FootnoteReference"/>
        </w:rPr>
        <w:footnoteReference w:id="59"/>
      </w:r>
      <w:r>
        <w:t xml:space="preserve">  OP’s claim that it has some expectation to additional transition revenues, however, </w:t>
      </w:r>
      <w:r w:rsidR="007A4B95">
        <w:t xml:space="preserve">flies in the face of Ohio’s controlling statutory provisions governing the opportunity for a utility to seek and obtain transition revenue recovery.  These controlling statutory provisions, very much part of the </w:t>
      </w:r>
      <w:r w:rsidR="007A4B95">
        <w:rPr>
          <w:i/>
        </w:rPr>
        <w:t>status quo</w:t>
      </w:r>
      <w:r w:rsidR="007A4B95">
        <w:t xml:space="preserve">, went into effect in 2001, more than a decade ago.  </w:t>
      </w:r>
    </w:p>
    <w:p w:rsidR="00F345E5" w:rsidRDefault="00F345E5" w:rsidP="00747E7F">
      <w:pPr>
        <w:spacing w:line="480" w:lineRule="auto"/>
        <w:ind w:firstLine="720"/>
        <w:jc w:val="both"/>
      </w:pPr>
      <w:r>
        <w:t>As provided by S</w:t>
      </w:r>
      <w:r w:rsidR="007A4B95">
        <w:t>ection 4928.38, Revised Code, “[t]</w:t>
      </w:r>
      <w:r>
        <w:t xml:space="preserve">he utility’s receipt of transition revenues shall terminate at the end of the market development period. With the </w:t>
      </w:r>
      <w:r>
        <w:lastRenderedPageBreak/>
        <w:t xml:space="preserve">termination of that approved revenue source, the utility shall be fully on its own </w:t>
      </w:r>
      <w:r w:rsidR="00527A4E">
        <w:t>in the competitive market. The c</w:t>
      </w:r>
      <w:r>
        <w:t>ommission shall not authorize the receipt of transition revenues or any equivalent revenues by an electric utility except as expressly authorized in section</w:t>
      </w:r>
      <w:r w:rsidR="00527A4E">
        <w:t>s</w:t>
      </w:r>
      <w:r>
        <w:t xml:space="preserve"> 4928.31 to 4928.40 of the Revised Code.”  Section 4928.141, Revised Code, further prohibits the continued receipt of transition revenues: “A standard service offer under section 4928.142 or 4928.143 of the Revised Code shall exclude any previously authorized allowances for transition costs, with such exclusion being eff</w:t>
      </w:r>
      <w:r w:rsidR="009463DA">
        <w:t>ective on and after the date th</w:t>
      </w:r>
      <w:r>
        <w:t xml:space="preserve">at the allowance is scheduled to end under the utility’s rate plan.”  In short, </w:t>
      </w:r>
      <w:r w:rsidR="00BA7D27">
        <w:t xml:space="preserve">OP bases </w:t>
      </w:r>
      <w:r>
        <w:t xml:space="preserve">its </w:t>
      </w:r>
      <w:r w:rsidR="00BA7D27">
        <w:t>“</w:t>
      </w:r>
      <w:r>
        <w:t>expectation</w:t>
      </w:r>
      <w:r w:rsidR="00BA7D27">
        <w:t>”</w:t>
      </w:r>
      <w:r>
        <w:t xml:space="preserve"> that it </w:t>
      </w:r>
      <w:r w:rsidR="003432D9">
        <w:t>should receive</w:t>
      </w:r>
      <w:r>
        <w:t xml:space="preserve"> a cost-based rate for capacity on an assumption that it is entitled to </w:t>
      </w:r>
      <w:r w:rsidR="00EB5134">
        <w:t xml:space="preserve">another opportunity to recover </w:t>
      </w:r>
      <w:r>
        <w:t>transition cost</w:t>
      </w:r>
      <w:r w:rsidR="00527A4E">
        <w:t>s</w:t>
      </w:r>
      <w:r>
        <w:t xml:space="preserve"> that the Commis</w:t>
      </w:r>
      <w:r w:rsidR="00747E7F">
        <w:t>sion cannot legally authorize.</w:t>
      </w:r>
      <w:r>
        <w:rPr>
          <w:rStyle w:val="FootnoteReference"/>
        </w:rPr>
        <w:footnoteReference w:id="60"/>
      </w:r>
    </w:p>
    <w:p w:rsidR="00D34E57" w:rsidRDefault="00F345E5" w:rsidP="000502E2">
      <w:pPr>
        <w:pStyle w:val="Heading3"/>
        <w:numPr>
          <w:ilvl w:val="0"/>
          <w:numId w:val="10"/>
        </w:numPr>
        <w:spacing w:after="200" w:line="240" w:lineRule="auto"/>
        <w:ind w:left="1440" w:right="720" w:hanging="720"/>
        <w:jc w:val="both"/>
        <w:rPr>
          <w:rFonts w:ascii="Arial" w:hAnsi="Arial" w:cs="Arial"/>
          <w:color w:val="auto"/>
        </w:rPr>
      </w:pPr>
      <w:bookmarkStart w:id="9" w:name="_Toc318455733"/>
      <w:r w:rsidRPr="00A0573C">
        <w:rPr>
          <w:rFonts w:ascii="Arial" w:hAnsi="Arial" w:cs="Arial"/>
          <w:color w:val="auto"/>
        </w:rPr>
        <w:t xml:space="preserve">OP </w:t>
      </w:r>
      <w:r w:rsidR="003B5E6F" w:rsidRPr="00A0573C">
        <w:rPr>
          <w:rFonts w:ascii="Arial" w:hAnsi="Arial" w:cs="Arial"/>
          <w:color w:val="auto"/>
        </w:rPr>
        <w:t xml:space="preserve">Has Created Additional Uncertainty </w:t>
      </w:r>
      <w:r w:rsidRPr="00A0573C">
        <w:rPr>
          <w:rFonts w:ascii="Arial" w:hAnsi="Arial" w:cs="Arial"/>
          <w:color w:val="auto"/>
        </w:rPr>
        <w:t xml:space="preserve">with this </w:t>
      </w:r>
      <w:r w:rsidR="003B5E6F" w:rsidRPr="00A0573C">
        <w:rPr>
          <w:rFonts w:ascii="Arial" w:hAnsi="Arial" w:cs="Arial"/>
          <w:color w:val="auto"/>
        </w:rPr>
        <w:t xml:space="preserve">Unwarranted Motion </w:t>
      </w:r>
      <w:r w:rsidRPr="00A0573C">
        <w:rPr>
          <w:rFonts w:ascii="Arial" w:hAnsi="Arial" w:cs="Arial"/>
          <w:color w:val="auto"/>
        </w:rPr>
        <w:t xml:space="preserve">to </w:t>
      </w:r>
      <w:r w:rsidR="003B5E6F" w:rsidRPr="00A0573C">
        <w:rPr>
          <w:rFonts w:ascii="Arial" w:hAnsi="Arial" w:cs="Arial"/>
          <w:color w:val="auto"/>
        </w:rPr>
        <w:t xml:space="preserve">Stay </w:t>
      </w:r>
      <w:r w:rsidRPr="00A0573C">
        <w:rPr>
          <w:rFonts w:ascii="Arial" w:hAnsi="Arial" w:cs="Arial"/>
          <w:color w:val="auto"/>
        </w:rPr>
        <w:t>the Commission’s Order</w:t>
      </w:r>
      <w:bookmarkEnd w:id="9"/>
    </w:p>
    <w:p w:rsidR="000502E2" w:rsidRPr="000502E2" w:rsidRDefault="000502E2" w:rsidP="000502E2">
      <w:pPr>
        <w:spacing w:after="0" w:line="240" w:lineRule="auto"/>
      </w:pPr>
    </w:p>
    <w:p w:rsidR="00F345E5" w:rsidRDefault="00F345E5" w:rsidP="00891C56">
      <w:pPr>
        <w:pStyle w:val="NormalWeb"/>
        <w:spacing w:before="0" w:beforeAutospacing="0" w:after="200" w:afterAutospacing="0" w:line="480" w:lineRule="auto"/>
        <w:jc w:val="both"/>
        <w:rPr>
          <w:rFonts w:ascii="Arial" w:hAnsi="Arial" w:cs="Arial"/>
        </w:rPr>
      </w:pPr>
      <w:r>
        <w:rPr>
          <w:rFonts w:ascii="Arial" w:hAnsi="Arial" w:cs="Arial"/>
        </w:rPr>
        <w:tab/>
        <w:t xml:space="preserve">OP </w:t>
      </w:r>
      <w:r w:rsidR="00A349C6">
        <w:rPr>
          <w:rFonts w:ascii="Arial" w:hAnsi="Arial" w:cs="Arial"/>
        </w:rPr>
        <w:t>further</w:t>
      </w:r>
      <w:r>
        <w:rPr>
          <w:rFonts w:ascii="Arial" w:hAnsi="Arial" w:cs="Arial"/>
        </w:rPr>
        <w:t xml:space="preserve"> states that reverting to the previously authorized RPM price will create uncertainty and instability</w:t>
      </w:r>
      <w:r w:rsidR="00A349C6">
        <w:rPr>
          <w:rFonts w:ascii="Arial" w:hAnsi="Arial" w:cs="Arial"/>
        </w:rPr>
        <w:t xml:space="preserve"> for customers</w:t>
      </w:r>
      <w:r>
        <w:rPr>
          <w:rFonts w:ascii="Arial" w:hAnsi="Arial" w:cs="Arial"/>
        </w:rPr>
        <w:t>.  In rejecting the Stipulation</w:t>
      </w:r>
      <w:r w:rsidR="00A349C6">
        <w:rPr>
          <w:rFonts w:ascii="Arial" w:hAnsi="Arial" w:cs="Arial"/>
        </w:rPr>
        <w:t>, however,</w:t>
      </w:r>
      <w:r>
        <w:rPr>
          <w:rFonts w:ascii="Arial" w:hAnsi="Arial" w:cs="Arial"/>
        </w:rPr>
        <w:t xml:space="preserve"> the Commission recognized that the state compensation mechanism reverted to the level authorized prior to the Stipulation, </w:t>
      </w:r>
      <w:r>
        <w:rPr>
          <w:rFonts w:ascii="Arial" w:hAnsi="Arial" w:cs="Arial"/>
          <w:i/>
        </w:rPr>
        <w:t>i.e.</w:t>
      </w:r>
      <w:r>
        <w:rPr>
          <w:rFonts w:ascii="Arial" w:hAnsi="Arial" w:cs="Arial"/>
        </w:rPr>
        <w:t xml:space="preserve"> the state compensation mechanism was again the RPM price.</w:t>
      </w:r>
      <w:r>
        <w:rPr>
          <w:rStyle w:val="FootnoteReference"/>
          <w:rFonts w:ascii="Arial" w:hAnsi="Arial" w:cs="Arial"/>
        </w:rPr>
        <w:footnoteReference w:id="61"/>
      </w:r>
      <w:r>
        <w:rPr>
          <w:rFonts w:ascii="Arial" w:hAnsi="Arial" w:cs="Arial"/>
        </w:rPr>
        <w:t xml:space="preserve">  Nothing about the RPM price is confusing to customers or CRES </w:t>
      </w:r>
      <w:r>
        <w:rPr>
          <w:rFonts w:ascii="Arial" w:hAnsi="Arial" w:cs="Arial"/>
        </w:rPr>
        <w:lastRenderedPageBreak/>
        <w:t xml:space="preserve">providers; the only confusion </w:t>
      </w:r>
      <w:r w:rsidR="00A349C6">
        <w:rPr>
          <w:rFonts w:ascii="Arial" w:hAnsi="Arial" w:cs="Arial"/>
        </w:rPr>
        <w:t>concerning</w:t>
      </w:r>
      <w:r>
        <w:rPr>
          <w:rFonts w:ascii="Arial" w:hAnsi="Arial" w:cs="Arial"/>
        </w:rPr>
        <w:t xml:space="preserve"> capacity charges has </w:t>
      </w:r>
      <w:r w:rsidR="00A349C6">
        <w:rPr>
          <w:rFonts w:ascii="Arial" w:hAnsi="Arial" w:cs="Arial"/>
        </w:rPr>
        <w:t>resulted from OP’s</w:t>
      </w:r>
      <w:r>
        <w:rPr>
          <w:rFonts w:ascii="Arial" w:hAnsi="Arial" w:cs="Arial"/>
        </w:rPr>
        <w:t xml:space="preserve"> continued efforts to block shopping in Ohio.  </w:t>
      </w:r>
    </w:p>
    <w:p w:rsidR="00F345E5" w:rsidRDefault="00F345E5" w:rsidP="00891C56">
      <w:pPr>
        <w:pStyle w:val="NormalWeb"/>
        <w:spacing w:before="0" w:beforeAutospacing="0" w:after="200" w:afterAutospacing="0" w:line="480" w:lineRule="auto"/>
        <w:jc w:val="both"/>
        <w:rPr>
          <w:rFonts w:ascii="Arial" w:hAnsi="Arial" w:cs="Arial"/>
        </w:rPr>
      </w:pPr>
      <w:r>
        <w:rPr>
          <w:rFonts w:ascii="Arial" w:hAnsi="Arial" w:cs="Arial"/>
        </w:rPr>
        <w:tab/>
        <w:t>OP also incorrectl</w:t>
      </w:r>
      <w:r w:rsidR="00527A4E">
        <w:rPr>
          <w:rFonts w:ascii="Arial" w:hAnsi="Arial" w:cs="Arial"/>
        </w:rPr>
        <w:t>y alleges that reverting to RPM-</w:t>
      </w:r>
      <w:r>
        <w:rPr>
          <w:rFonts w:ascii="Arial" w:hAnsi="Arial" w:cs="Arial"/>
        </w:rPr>
        <w:t>priced capacity will prejudge and prejudice the outcome and r</w:t>
      </w:r>
      <w:r w:rsidR="00BA7D27">
        <w:rPr>
          <w:rFonts w:ascii="Arial" w:hAnsi="Arial" w:cs="Arial"/>
        </w:rPr>
        <w:t>esolution of this proceeding.</w:t>
      </w:r>
      <w:r w:rsidR="00AD4DC3">
        <w:rPr>
          <w:rStyle w:val="FootnoteReference"/>
          <w:rFonts w:ascii="Arial" w:hAnsi="Arial" w:cs="Arial"/>
        </w:rPr>
        <w:footnoteReference w:id="62"/>
      </w:r>
      <w:r w:rsidR="00BA7D27">
        <w:rPr>
          <w:rFonts w:ascii="Arial" w:hAnsi="Arial" w:cs="Arial"/>
        </w:rPr>
        <w:t xml:space="preserve">  While t</w:t>
      </w:r>
      <w:r>
        <w:rPr>
          <w:rFonts w:ascii="Arial" w:hAnsi="Arial" w:cs="Arial"/>
        </w:rPr>
        <w:t xml:space="preserve">he Commission has held that the state compensation mechanism is </w:t>
      </w:r>
      <w:r w:rsidR="00BA7D27">
        <w:rPr>
          <w:rFonts w:ascii="Arial" w:hAnsi="Arial" w:cs="Arial"/>
        </w:rPr>
        <w:t>based on the RPM pricing mechanism</w:t>
      </w:r>
      <w:r>
        <w:rPr>
          <w:rFonts w:ascii="Arial" w:hAnsi="Arial" w:cs="Arial"/>
        </w:rPr>
        <w:t xml:space="preserve"> on an interim basis</w:t>
      </w:r>
      <w:r w:rsidR="00A349C6">
        <w:rPr>
          <w:rFonts w:ascii="Arial" w:hAnsi="Arial" w:cs="Arial"/>
        </w:rPr>
        <w:t xml:space="preserve">, </w:t>
      </w:r>
      <w:r w:rsidR="00BA7D27">
        <w:rPr>
          <w:rFonts w:ascii="Arial" w:hAnsi="Arial" w:cs="Arial"/>
        </w:rPr>
        <w:t>it</w:t>
      </w:r>
      <w:r w:rsidR="00A349C6">
        <w:rPr>
          <w:rFonts w:ascii="Arial" w:hAnsi="Arial" w:cs="Arial"/>
        </w:rPr>
        <w:t xml:space="preserve"> also established a review process to address OP’s and other parties</w:t>
      </w:r>
      <w:r w:rsidR="002C526C">
        <w:rPr>
          <w:rFonts w:ascii="Arial" w:hAnsi="Arial" w:cs="Arial"/>
        </w:rPr>
        <w:t>’</w:t>
      </w:r>
      <w:r w:rsidR="00A349C6">
        <w:rPr>
          <w:rFonts w:ascii="Arial" w:hAnsi="Arial" w:cs="Arial"/>
        </w:rPr>
        <w:t xml:space="preserve"> concerns with a change in capacity pricing</w:t>
      </w:r>
      <w:r>
        <w:rPr>
          <w:rFonts w:ascii="Arial" w:hAnsi="Arial" w:cs="Arial"/>
        </w:rPr>
        <w:t>.</w:t>
      </w:r>
      <w:r>
        <w:rPr>
          <w:rStyle w:val="FootnoteReference"/>
          <w:rFonts w:ascii="Arial" w:hAnsi="Arial" w:cs="Arial"/>
        </w:rPr>
        <w:footnoteReference w:id="63"/>
      </w:r>
      <w:r>
        <w:rPr>
          <w:rFonts w:ascii="Arial" w:hAnsi="Arial" w:cs="Arial"/>
        </w:rPr>
        <w:t xml:space="preserve">  </w:t>
      </w:r>
      <w:r w:rsidR="00A349C6">
        <w:rPr>
          <w:rFonts w:ascii="Arial" w:hAnsi="Arial" w:cs="Arial"/>
        </w:rPr>
        <w:t xml:space="preserve">OP’s speculation that the Commission has prejudged its request to reset the capacity rate is simply that: </w:t>
      </w:r>
      <w:r w:rsidR="00E42F8D">
        <w:rPr>
          <w:rFonts w:ascii="Arial" w:hAnsi="Arial" w:cs="Arial"/>
        </w:rPr>
        <w:t xml:space="preserve">self-serving </w:t>
      </w:r>
      <w:r w:rsidR="00A349C6">
        <w:rPr>
          <w:rFonts w:ascii="Arial" w:hAnsi="Arial" w:cs="Arial"/>
        </w:rPr>
        <w:t xml:space="preserve">speculation.  That speculation does not warrant restrictions on customer choice while the Commission </w:t>
      </w:r>
      <w:r w:rsidR="00E42F8D">
        <w:rPr>
          <w:rFonts w:ascii="Arial" w:hAnsi="Arial" w:cs="Arial"/>
        </w:rPr>
        <w:t>follows the law</w:t>
      </w:r>
      <w:r w:rsidR="00A349C6">
        <w:rPr>
          <w:rFonts w:ascii="Arial" w:hAnsi="Arial" w:cs="Arial"/>
        </w:rPr>
        <w:t>.</w:t>
      </w:r>
    </w:p>
    <w:p w:rsidR="00F345E5" w:rsidRDefault="00F345E5" w:rsidP="00891C56">
      <w:pPr>
        <w:pStyle w:val="NormalWeb"/>
        <w:spacing w:before="0" w:beforeAutospacing="0" w:after="200" w:afterAutospacing="0" w:line="480" w:lineRule="auto"/>
        <w:jc w:val="both"/>
        <w:rPr>
          <w:rFonts w:ascii="Arial" w:hAnsi="Arial" w:cs="Arial"/>
        </w:rPr>
      </w:pPr>
      <w:r>
        <w:rPr>
          <w:rFonts w:ascii="Arial" w:hAnsi="Arial" w:cs="Arial"/>
        </w:rPr>
        <w:tab/>
      </w:r>
      <w:r w:rsidR="00366DB6">
        <w:rPr>
          <w:rFonts w:ascii="Arial" w:hAnsi="Arial" w:cs="Arial"/>
        </w:rPr>
        <w:t xml:space="preserve">Not even willing to abide with the Commission’s now-rejected modification of the Stipulation, OP further argues that the need for stability justifies even further restrictions on customer choice than those the Commission approved in the Opinion and Order.  </w:t>
      </w:r>
      <w:r w:rsidR="00BA7D27">
        <w:rPr>
          <w:rFonts w:ascii="Arial" w:hAnsi="Arial" w:cs="Arial"/>
        </w:rPr>
        <w:t>In a mislabeled attempt to maintain the “</w:t>
      </w:r>
      <w:r w:rsidR="00BA7D27" w:rsidRPr="002C526C">
        <w:rPr>
          <w:rFonts w:ascii="Arial" w:hAnsi="Arial" w:cs="Arial"/>
          <w:i/>
        </w:rPr>
        <w:t>status quo</w:t>
      </w:r>
      <w:r w:rsidR="00BA7D27">
        <w:rPr>
          <w:rFonts w:ascii="Arial" w:hAnsi="Arial" w:cs="Arial"/>
        </w:rPr>
        <w:t xml:space="preserve">,” OP requests that the Commission allow it to operate under the </w:t>
      </w:r>
      <w:r w:rsidR="00152791">
        <w:rPr>
          <w:rFonts w:ascii="Arial" w:hAnsi="Arial" w:cs="Arial"/>
        </w:rPr>
        <w:t xml:space="preserve">terms of the </w:t>
      </w:r>
      <w:r w:rsidR="00BA7D27">
        <w:rPr>
          <w:rFonts w:ascii="Arial" w:hAnsi="Arial" w:cs="Arial"/>
        </w:rPr>
        <w:t>January 23, 2012 Entry (which rejected the various limitations OP sought to impose when it filed the Revised DIP), but only if it can continue to refuse to allow mercantile customers access to RPM-priced capacity.</w:t>
      </w:r>
      <w:r w:rsidR="00AD4DC3">
        <w:rPr>
          <w:rStyle w:val="FootnoteReference"/>
          <w:rFonts w:ascii="Arial" w:hAnsi="Arial" w:cs="Arial"/>
        </w:rPr>
        <w:footnoteReference w:id="64"/>
      </w:r>
      <w:r w:rsidR="00BA7D27">
        <w:rPr>
          <w:rFonts w:ascii="Arial" w:hAnsi="Arial" w:cs="Arial"/>
        </w:rPr>
        <w:t xml:space="preserve">  </w:t>
      </w:r>
      <w:r>
        <w:rPr>
          <w:rFonts w:ascii="Arial" w:hAnsi="Arial" w:cs="Arial"/>
        </w:rPr>
        <w:t>On January 23, 2012</w:t>
      </w:r>
      <w:r w:rsidR="00E42F8D">
        <w:rPr>
          <w:rFonts w:ascii="Arial" w:hAnsi="Arial" w:cs="Arial"/>
        </w:rPr>
        <w:t>,</w:t>
      </w:r>
      <w:r>
        <w:rPr>
          <w:rFonts w:ascii="Arial" w:hAnsi="Arial" w:cs="Arial"/>
        </w:rPr>
        <w:t xml:space="preserve"> </w:t>
      </w:r>
      <w:r w:rsidR="00BA7D27">
        <w:rPr>
          <w:rFonts w:ascii="Arial" w:hAnsi="Arial" w:cs="Arial"/>
        </w:rPr>
        <w:t xml:space="preserve">however, </w:t>
      </w:r>
      <w:r>
        <w:rPr>
          <w:rFonts w:ascii="Arial" w:hAnsi="Arial" w:cs="Arial"/>
        </w:rPr>
        <w:t xml:space="preserve">the Commission </w:t>
      </w:r>
      <w:r w:rsidR="00366DB6">
        <w:rPr>
          <w:rFonts w:ascii="Arial" w:hAnsi="Arial" w:cs="Arial"/>
        </w:rPr>
        <w:t xml:space="preserve">rejected OP’s </w:t>
      </w:r>
      <w:r w:rsidR="00BA7D27">
        <w:rPr>
          <w:rFonts w:ascii="Arial" w:hAnsi="Arial" w:cs="Arial"/>
        </w:rPr>
        <w:t xml:space="preserve">attempt to exclude mercantile customers from accessing RPM-priced capacity through participation in </w:t>
      </w:r>
      <w:r w:rsidR="00BA7D27">
        <w:rPr>
          <w:rFonts w:ascii="Arial" w:hAnsi="Arial" w:cs="Arial"/>
        </w:rPr>
        <w:lastRenderedPageBreak/>
        <w:t>governmental aggregation programs</w:t>
      </w:r>
      <w:r>
        <w:rPr>
          <w:rFonts w:ascii="Arial" w:hAnsi="Arial" w:cs="Arial"/>
        </w:rPr>
        <w:t>.</w:t>
      </w:r>
      <w:r>
        <w:rPr>
          <w:rStyle w:val="FootnoteReference"/>
          <w:rFonts w:ascii="Arial" w:hAnsi="Arial" w:cs="Arial"/>
        </w:rPr>
        <w:footnoteReference w:id="65"/>
      </w:r>
      <w:r>
        <w:rPr>
          <w:rFonts w:ascii="Arial" w:hAnsi="Arial" w:cs="Arial"/>
        </w:rPr>
        <w:t xml:space="preserve">  </w:t>
      </w:r>
      <w:r w:rsidR="00CC0846">
        <w:rPr>
          <w:rFonts w:ascii="Arial" w:hAnsi="Arial" w:cs="Arial"/>
        </w:rPr>
        <w:t xml:space="preserve">The Commission correctly found that it could not approve this </w:t>
      </w:r>
      <w:r w:rsidR="001E21A6">
        <w:rPr>
          <w:rFonts w:ascii="Arial" w:hAnsi="Arial" w:cs="Arial"/>
        </w:rPr>
        <w:t xml:space="preserve">illegal and unreasonable </w:t>
      </w:r>
      <w:r w:rsidR="00CC0846">
        <w:rPr>
          <w:rFonts w:ascii="Arial" w:hAnsi="Arial" w:cs="Arial"/>
        </w:rPr>
        <w:t>restriction on access to capacity.</w:t>
      </w:r>
    </w:p>
    <w:p w:rsidR="00F345E5" w:rsidRPr="00A01D2A" w:rsidRDefault="002A055A" w:rsidP="000502E2">
      <w:pPr>
        <w:pStyle w:val="NormalWeb"/>
        <w:spacing w:before="0" w:beforeAutospacing="0" w:after="200" w:afterAutospacing="0" w:line="480" w:lineRule="auto"/>
        <w:ind w:firstLine="720"/>
        <w:jc w:val="both"/>
        <w:rPr>
          <w:rFonts w:ascii="Arial" w:hAnsi="Arial" w:cs="Arial"/>
        </w:rPr>
      </w:pPr>
      <w:r>
        <w:rPr>
          <w:rFonts w:ascii="Arial" w:hAnsi="Arial" w:cs="Arial"/>
        </w:rPr>
        <w:t xml:space="preserve">As part of its attempt to convince the Commission that it should be permitted to reinstate the </w:t>
      </w:r>
      <w:r w:rsidR="005B117D">
        <w:rPr>
          <w:rFonts w:ascii="Arial" w:hAnsi="Arial" w:cs="Arial"/>
        </w:rPr>
        <w:t>Pricing Scheme</w:t>
      </w:r>
      <w:r>
        <w:rPr>
          <w:rFonts w:ascii="Arial" w:hAnsi="Arial" w:cs="Arial"/>
        </w:rPr>
        <w:t>, OP also misstates its relationship</w:t>
      </w:r>
      <w:r w:rsidR="00A21C31">
        <w:rPr>
          <w:rFonts w:ascii="Arial" w:hAnsi="Arial" w:cs="Arial"/>
        </w:rPr>
        <w:t xml:space="preserve"> to CRES providers in a way that demonstrates that its primary goal is </w:t>
      </w:r>
      <w:r w:rsidR="003B5E6F">
        <w:rPr>
          <w:rFonts w:ascii="Arial" w:hAnsi="Arial" w:cs="Arial"/>
        </w:rPr>
        <w:t xml:space="preserve">to </w:t>
      </w:r>
      <w:r w:rsidR="00A21C31">
        <w:rPr>
          <w:rFonts w:ascii="Arial" w:hAnsi="Arial" w:cs="Arial"/>
        </w:rPr>
        <w:t xml:space="preserve">protect its position providing default service. </w:t>
      </w:r>
      <w:r w:rsidR="00F345E5">
        <w:rPr>
          <w:rFonts w:ascii="Arial" w:hAnsi="Arial" w:cs="Arial"/>
        </w:rPr>
        <w:t xml:space="preserve"> </w:t>
      </w:r>
      <w:r w:rsidR="00D03564">
        <w:rPr>
          <w:rFonts w:ascii="Arial" w:hAnsi="Arial" w:cs="Arial"/>
        </w:rPr>
        <w:t>According to OP,</w:t>
      </w:r>
      <w:r w:rsidR="00A21C31">
        <w:rPr>
          <w:rFonts w:ascii="Arial" w:hAnsi="Arial" w:cs="Arial"/>
        </w:rPr>
        <w:t xml:space="preserve"> </w:t>
      </w:r>
      <w:r w:rsidR="00A21C31" w:rsidRPr="00A21C31">
        <w:rPr>
          <w:rFonts w:ascii="Arial" w:hAnsi="Arial" w:cs="Arial"/>
        </w:rPr>
        <w:t>“[r]</w:t>
      </w:r>
      <w:proofErr w:type="spellStart"/>
      <w:r w:rsidR="00A21C31" w:rsidRPr="00A21C31">
        <w:rPr>
          <w:rFonts w:ascii="Arial" w:hAnsi="Arial" w:cs="Arial"/>
        </w:rPr>
        <w:t>equiring</w:t>
      </w:r>
      <w:proofErr w:type="spellEnd"/>
      <w:r w:rsidR="00A21C31" w:rsidRPr="00A21C31">
        <w:rPr>
          <w:rFonts w:ascii="Arial" w:hAnsi="Arial" w:cs="Arial"/>
        </w:rPr>
        <w:t xml:space="preserve"> AEP Ohio to provide below-cost capacity to its competitors upon rejecting the Stipulation is unreasonable and unlawful.”</w:t>
      </w:r>
      <w:r w:rsidR="00F345E5">
        <w:rPr>
          <w:rStyle w:val="FootnoteReference"/>
          <w:rFonts w:ascii="Arial" w:hAnsi="Arial" w:cs="Arial"/>
        </w:rPr>
        <w:footnoteReference w:id="66"/>
      </w:r>
      <w:r w:rsidR="00F345E5">
        <w:rPr>
          <w:rFonts w:ascii="Arial" w:hAnsi="Arial" w:cs="Arial"/>
        </w:rPr>
        <w:t xml:space="preserve">  OP</w:t>
      </w:r>
      <w:r w:rsidR="00A21C31">
        <w:rPr>
          <w:rFonts w:ascii="Arial" w:hAnsi="Arial" w:cs="Arial"/>
        </w:rPr>
        <w:t>, however,</w:t>
      </w:r>
      <w:r w:rsidR="00F345E5">
        <w:rPr>
          <w:rFonts w:ascii="Arial" w:hAnsi="Arial" w:cs="Arial"/>
        </w:rPr>
        <w:t xml:space="preserve"> can only supply generation service within its service area as the default supplier.  OP is not authorized under Ohio law to compete with the CRES providers to provide service to retail customers.</w:t>
      </w:r>
      <w:r w:rsidR="00F345E5">
        <w:rPr>
          <w:rStyle w:val="FootnoteReference"/>
          <w:rFonts w:ascii="Arial" w:hAnsi="Arial" w:cs="Arial"/>
        </w:rPr>
        <w:footnoteReference w:id="67"/>
      </w:r>
      <w:r w:rsidR="00F345E5">
        <w:rPr>
          <w:rFonts w:ascii="Arial" w:hAnsi="Arial" w:cs="Arial"/>
        </w:rPr>
        <w:t xml:space="preserve">  </w:t>
      </w:r>
      <w:r w:rsidR="00A21C31">
        <w:rPr>
          <w:rFonts w:ascii="Arial" w:hAnsi="Arial" w:cs="Arial"/>
        </w:rPr>
        <w:t>Yet, OP’s management made evident that the</w:t>
      </w:r>
      <w:r w:rsidR="00C2754A">
        <w:rPr>
          <w:rFonts w:ascii="Arial" w:hAnsi="Arial" w:cs="Arial"/>
        </w:rPr>
        <w:t xml:space="preserve"> Pricing Scheme </w:t>
      </w:r>
      <w:r w:rsidR="00A21C31">
        <w:rPr>
          <w:rFonts w:ascii="Arial" w:hAnsi="Arial" w:cs="Arial"/>
        </w:rPr>
        <w:t>is designed to prevent customers from shopping</w:t>
      </w:r>
      <w:r w:rsidR="00693E84">
        <w:rPr>
          <w:rFonts w:ascii="Arial" w:hAnsi="Arial" w:cs="Arial"/>
        </w:rPr>
        <w:t xml:space="preserve"> for retail electric generation service</w:t>
      </w:r>
      <w:r w:rsidR="00A21C31">
        <w:rPr>
          <w:rFonts w:ascii="Arial" w:hAnsi="Arial" w:cs="Arial"/>
        </w:rPr>
        <w:t>.</w:t>
      </w:r>
      <w:r w:rsidR="00F345E5">
        <w:rPr>
          <w:rFonts w:ascii="Arial" w:hAnsi="Arial" w:cs="Arial"/>
        </w:rPr>
        <w:t xml:space="preserve">  </w:t>
      </w:r>
      <w:r w:rsidR="00A21C31">
        <w:rPr>
          <w:rFonts w:ascii="Arial" w:hAnsi="Arial" w:cs="Arial"/>
        </w:rPr>
        <w:t>As</w:t>
      </w:r>
      <w:r w:rsidR="00F345E5" w:rsidRPr="00A01D2A">
        <w:rPr>
          <w:rFonts w:ascii="Arial" w:hAnsi="Arial" w:cs="Arial"/>
        </w:rPr>
        <w:t xml:space="preserve"> Richard </w:t>
      </w:r>
      <w:proofErr w:type="spellStart"/>
      <w:r w:rsidR="00F345E5" w:rsidRPr="00A01D2A">
        <w:rPr>
          <w:rFonts w:ascii="Arial" w:hAnsi="Arial" w:cs="Arial"/>
        </w:rPr>
        <w:t>Munczinski</w:t>
      </w:r>
      <w:proofErr w:type="spellEnd"/>
      <w:r w:rsidR="00FF1A06">
        <w:rPr>
          <w:rFonts w:ascii="Arial" w:hAnsi="Arial" w:cs="Arial"/>
        </w:rPr>
        <w:t xml:space="preserve"> </w:t>
      </w:r>
      <w:r w:rsidR="00A21C31">
        <w:rPr>
          <w:rFonts w:ascii="Arial" w:hAnsi="Arial" w:cs="Arial"/>
        </w:rPr>
        <w:t>explained to investment analysts</w:t>
      </w:r>
      <w:r w:rsidR="00693E84">
        <w:rPr>
          <w:rFonts w:ascii="Arial" w:hAnsi="Arial" w:cs="Arial"/>
        </w:rPr>
        <w:t xml:space="preserve"> on September 7, 2011, the day the Stipulation was filed</w:t>
      </w:r>
      <w:r w:rsidR="00F345E5" w:rsidRPr="00A01D2A">
        <w:rPr>
          <w:rFonts w:ascii="Arial" w:hAnsi="Arial" w:cs="Arial"/>
        </w:rPr>
        <w:t>:</w:t>
      </w:r>
    </w:p>
    <w:p w:rsidR="00F345E5" w:rsidRDefault="00F345E5" w:rsidP="000502E2">
      <w:pPr>
        <w:autoSpaceDE w:val="0"/>
        <w:autoSpaceDN w:val="0"/>
        <w:adjustRightInd w:val="0"/>
        <w:spacing w:line="240" w:lineRule="auto"/>
        <w:ind w:left="1440" w:right="1440"/>
        <w:jc w:val="both"/>
        <w:rPr>
          <w:rFonts w:cs="Arial"/>
        </w:rPr>
      </w:pPr>
      <w:r>
        <w:rPr>
          <w:rFonts w:cs="Arial"/>
        </w:rPr>
        <w:t>What happens is those customers that get the discount as Brian [</w:t>
      </w:r>
      <w:proofErr w:type="spellStart"/>
      <w:r>
        <w:rPr>
          <w:rFonts w:cs="Arial"/>
        </w:rPr>
        <w:t>Tierny</w:t>
      </w:r>
      <w:proofErr w:type="spellEnd"/>
      <w:r>
        <w:rPr>
          <w:rFonts w:cs="Arial"/>
        </w:rPr>
        <w:t>] mentioned are allowed—are priced out at the RPM prices. So the $100, the $16, and I think the $26 going forward. Over those percentages, if you want to shop, you pay the full cost of $255 per megawatt day. So the thought and the theory is that the shopping will be constrained to the RPM price.</w:t>
      </w:r>
      <w:r>
        <w:rPr>
          <w:rStyle w:val="FootnoteReference"/>
          <w:rFonts w:cs="Arial"/>
        </w:rPr>
        <w:footnoteReference w:id="68"/>
      </w:r>
    </w:p>
    <w:p w:rsidR="00FF1A06" w:rsidRDefault="00FF1A06" w:rsidP="00F345E5">
      <w:pPr>
        <w:autoSpaceDE w:val="0"/>
        <w:autoSpaceDN w:val="0"/>
        <w:adjustRightInd w:val="0"/>
        <w:spacing w:after="0" w:line="240" w:lineRule="auto"/>
        <w:ind w:left="1440" w:right="1440"/>
        <w:jc w:val="both"/>
        <w:rPr>
          <w:rFonts w:cs="Arial"/>
        </w:rPr>
      </w:pPr>
    </w:p>
    <w:p w:rsidR="00F345E5" w:rsidRDefault="00FF1A06" w:rsidP="00481196">
      <w:pPr>
        <w:autoSpaceDE w:val="0"/>
        <w:autoSpaceDN w:val="0"/>
        <w:adjustRightInd w:val="0"/>
        <w:spacing w:line="480" w:lineRule="auto"/>
        <w:jc w:val="both"/>
        <w:rPr>
          <w:rFonts w:cs="Arial"/>
        </w:rPr>
      </w:pPr>
      <w:r>
        <w:rPr>
          <w:rFonts w:cs="Arial"/>
        </w:rPr>
        <w:lastRenderedPageBreak/>
        <w:t>Based on OP’s understanding of the Pricing Scheme, one thing will be certain if the Commission grants OP’s request to maintain the Pricing Scheme or some variation of it: customers will lose.</w:t>
      </w:r>
    </w:p>
    <w:p w:rsidR="00F345E5" w:rsidRPr="000502E2" w:rsidRDefault="00F345E5" w:rsidP="00D34E57">
      <w:pPr>
        <w:pStyle w:val="Heading3"/>
        <w:numPr>
          <w:ilvl w:val="0"/>
          <w:numId w:val="10"/>
        </w:numPr>
        <w:spacing w:after="200"/>
        <w:ind w:left="1440" w:right="720" w:hanging="720"/>
        <w:jc w:val="both"/>
        <w:rPr>
          <w:rFonts w:ascii="Arial" w:hAnsi="Arial" w:cs="Arial"/>
          <w:color w:val="auto"/>
        </w:rPr>
      </w:pPr>
      <w:bookmarkStart w:id="10" w:name="_Toc318455734"/>
      <w:r w:rsidRPr="00A0573C">
        <w:rPr>
          <w:rFonts w:ascii="Arial" w:hAnsi="Arial" w:cs="Arial"/>
          <w:color w:val="auto"/>
        </w:rPr>
        <w:t xml:space="preserve">OP’s </w:t>
      </w:r>
      <w:r w:rsidR="00747E7F">
        <w:rPr>
          <w:rFonts w:ascii="Arial" w:hAnsi="Arial" w:cs="Arial"/>
          <w:color w:val="auto"/>
        </w:rPr>
        <w:t>Requested Relief Is</w:t>
      </w:r>
      <w:r w:rsidRPr="00A0573C">
        <w:rPr>
          <w:rFonts w:ascii="Arial" w:hAnsi="Arial" w:cs="Arial"/>
          <w:color w:val="auto"/>
        </w:rPr>
        <w:t xml:space="preserve"> </w:t>
      </w:r>
      <w:r w:rsidR="00FF1A06" w:rsidRPr="00A0573C">
        <w:rPr>
          <w:rFonts w:ascii="Arial" w:hAnsi="Arial" w:cs="Arial"/>
          <w:color w:val="auto"/>
        </w:rPr>
        <w:t>Illegal</w:t>
      </w:r>
      <w:r w:rsidR="005232E1" w:rsidRPr="00A0573C">
        <w:rPr>
          <w:rFonts w:ascii="Arial" w:hAnsi="Arial" w:cs="Arial"/>
          <w:color w:val="auto"/>
        </w:rPr>
        <w:t xml:space="preserve"> </w:t>
      </w:r>
      <w:r w:rsidR="00D03564">
        <w:rPr>
          <w:rFonts w:ascii="Arial" w:hAnsi="Arial" w:cs="Arial"/>
          <w:color w:val="auto"/>
        </w:rPr>
        <w:t>and</w:t>
      </w:r>
      <w:r w:rsidRPr="00A0573C">
        <w:rPr>
          <w:rFonts w:ascii="Arial" w:hAnsi="Arial" w:cs="Arial"/>
          <w:color w:val="auto"/>
        </w:rPr>
        <w:t xml:space="preserve"> </w:t>
      </w:r>
      <w:r w:rsidR="00FF1A06" w:rsidRPr="00A0573C">
        <w:rPr>
          <w:rFonts w:ascii="Arial" w:hAnsi="Arial" w:cs="Arial"/>
          <w:color w:val="auto"/>
        </w:rPr>
        <w:t>Unr</w:t>
      </w:r>
      <w:r w:rsidR="005232E1" w:rsidRPr="00A0573C">
        <w:rPr>
          <w:rFonts w:ascii="Arial" w:hAnsi="Arial" w:cs="Arial"/>
          <w:color w:val="auto"/>
        </w:rPr>
        <w:t>easonable</w:t>
      </w:r>
      <w:bookmarkEnd w:id="10"/>
    </w:p>
    <w:p w:rsidR="0049575D" w:rsidRPr="0049575D" w:rsidRDefault="0049575D" w:rsidP="0049575D">
      <w:pPr>
        <w:spacing w:after="0" w:line="240" w:lineRule="auto"/>
      </w:pPr>
    </w:p>
    <w:p w:rsidR="00F345E5" w:rsidRDefault="00F345E5" w:rsidP="00F345E5">
      <w:pPr>
        <w:spacing w:line="480" w:lineRule="auto"/>
        <w:ind w:firstLine="720"/>
        <w:jc w:val="both"/>
      </w:pPr>
      <w:r>
        <w:t xml:space="preserve">In its third </w:t>
      </w:r>
      <w:r w:rsidR="00FF1A06">
        <w:t xml:space="preserve">and </w:t>
      </w:r>
      <w:r w:rsidR="003878F0">
        <w:t xml:space="preserve">fourth </w:t>
      </w:r>
      <w:r>
        <w:t>argument</w:t>
      </w:r>
      <w:r w:rsidR="003878F0">
        <w:t>s</w:t>
      </w:r>
      <w:r>
        <w:t xml:space="preserve"> supporting the continuation of </w:t>
      </w:r>
      <w:r w:rsidR="005232E1">
        <w:t xml:space="preserve">the </w:t>
      </w:r>
      <w:r w:rsidR="00FF1A06">
        <w:t>P</w:t>
      </w:r>
      <w:r>
        <w:t xml:space="preserve">ricing </w:t>
      </w:r>
      <w:r w:rsidR="00FF1A06">
        <w:t>S</w:t>
      </w:r>
      <w:r>
        <w:t xml:space="preserve">cheme, OP asserts that it would be reasonable for the Commission to authorize </w:t>
      </w:r>
      <w:r w:rsidR="00FF1A06">
        <w:t xml:space="preserve">one of three alternatives that would maintain a two-tiered pricing scheme: (1) </w:t>
      </w:r>
      <w:r>
        <w:t xml:space="preserve">the DIP, which the Commission found did not comply with the Opinion and Order on January 23, 2012, </w:t>
      </w:r>
      <w:r w:rsidR="00FF1A06">
        <w:t xml:space="preserve">(2) </w:t>
      </w:r>
      <w:r>
        <w:t>an “interim mechanism that conforms to the January 23, 2012 Entry’s new and enhanced obligations (without including the mercantile customer load in the RPM-priced ca</w:t>
      </w:r>
      <w:r w:rsidR="003878F0">
        <w:t>pacity set aside</w:t>
      </w:r>
      <w:r w:rsidR="00693E84">
        <w:t>)</w:t>
      </w:r>
      <w:r w:rsidR="003878F0">
        <w:t>,</w:t>
      </w:r>
      <w:r w:rsidR="00747E7F">
        <w:t>”</w:t>
      </w:r>
      <w:r>
        <w:rPr>
          <w:rStyle w:val="FootnoteReference"/>
        </w:rPr>
        <w:footnoteReference w:id="69"/>
      </w:r>
      <w:r w:rsidR="003878F0">
        <w:t xml:space="preserve"> or </w:t>
      </w:r>
      <w:r w:rsidR="00477175">
        <w:t xml:space="preserve">(3) </w:t>
      </w:r>
      <w:r w:rsidR="00747E7F">
        <w:t>an</w:t>
      </w:r>
      <w:r w:rsidR="003878F0">
        <w:t xml:space="preserve"> alternative that would apply the $255/</w:t>
      </w:r>
      <w:r w:rsidR="00693E84">
        <w:t>MW</w:t>
      </w:r>
      <w:r w:rsidR="003878F0">
        <w:t xml:space="preserve">-day </w:t>
      </w:r>
      <w:r w:rsidR="00477175">
        <w:t xml:space="preserve">rate </w:t>
      </w:r>
      <w:r w:rsidR="003878F0">
        <w:t>to any customer that shopped after February 23, 2012.</w:t>
      </w:r>
      <w:r w:rsidR="003878F0">
        <w:rPr>
          <w:rStyle w:val="FootnoteReference"/>
        </w:rPr>
        <w:footnoteReference w:id="70"/>
      </w:r>
      <w:r>
        <w:t xml:space="preserve">  </w:t>
      </w:r>
      <w:r w:rsidR="00693E84">
        <w:t xml:space="preserve">To support these restrictions, OP relies on </w:t>
      </w:r>
      <w:r w:rsidR="00D03564">
        <w:t xml:space="preserve">the </w:t>
      </w:r>
      <w:proofErr w:type="spellStart"/>
      <w:r w:rsidR="00D03564">
        <w:t>prefiled</w:t>
      </w:r>
      <w:proofErr w:type="spellEnd"/>
      <w:r w:rsidR="00D03564">
        <w:t xml:space="preserve"> testimony in this case,</w:t>
      </w:r>
      <w:r w:rsidR="00D03564">
        <w:rPr>
          <w:rStyle w:val="FootnoteReference"/>
        </w:rPr>
        <w:footnoteReference w:id="71"/>
      </w:r>
      <w:r w:rsidR="00D03564">
        <w:t xml:space="preserve"> testimony supporting the Stipulation,</w:t>
      </w:r>
      <w:r w:rsidR="00D03564">
        <w:rPr>
          <w:rStyle w:val="FootnoteReference"/>
        </w:rPr>
        <w:footnoteReference w:id="72"/>
      </w:r>
      <w:r w:rsidR="00D03564">
        <w:t xml:space="preserve"> and the now reversed </w:t>
      </w:r>
      <w:r w:rsidR="00693E84">
        <w:t>Opinion and Order.</w:t>
      </w:r>
      <w:r w:rsidR="00080197">
        <w:rPr>
          <w:rStyle w:val="FootnoteReference"/>
        </w:rPr>
        <w:footnoteReference w:id="73"/>
      </w:r>
      <w:r w:rsidR="00693E84">
        <w:t xml:space="preserve">  Because these interim solutions are not based on any </w:t>
      </w:r>
      <w:r w:rsidR="00747E7F">
        <w:t xml:space="preserve">proper </w:t>
      </w:r>
      <w:r w:rsidR="00693E84">
        <w:t xml:space="preserve">record and would </w:t>
      </w:r>
      <w:r w:rsidR="00923679">
        <w:t>unreasonably</w:t>
      </w:r>
      <w:r w:rsidR="00693E84">
        <w:t xml:space="preserve"> restrict customer choice, a Commission order granting OP the requested relief would be illegal and unreasonable. </w:t>
      </w:r>
    </w:p>
    <w:p w:rsidR="00F345E5" w:rsidRDefault="001E21A6" w:rsidP="00F345E5">
      <w:pPr>
        <w:spacing w:line="480" w:lineRule="auto"/>
        <w:ind w:firstLine="720"/>
        <w:jc w:val="both"/>
      </w:pPr>
      <w:r>
        <w:t>Initially</w:t>
      </w:r>
      <w:r w:rsidR="00693E84">
        <w:t xml:space="preserve">, OP </w:t>
      </w:r>
      <w:r w:rsidR="00080197">
        <w:t>seeks to rely</w:t>
      </w:r>
      <w:r w:rsidR="00693E84">
        <w:t xml:space="preserve"> on the </w:t>
      </w:r>
      <w:r w:rsidR="00F345E5">
        <w:t>pre-filed testimony in this case.  That testimony</w:t>
      </w:r>
      <w:r w:rsidR="00747E7F">
        <w:t>, however,</w:t>
      </w:r>
      <w:r w:rsidR="00F345E5">
        <w:t xml:space="preserve"> has not been subjected to any process of discovery or cross-examination. </w:t>
      </w:r>
      <w:r w:rsidR="00080197">
        <w:t xml:space="preserve"> </w:t>
      </w:r>
      <w:r w:rsidR="00080197">
        <w:lastRenderedPageBreak/>
        <w:t>Thus,</w:t>
      </w:r>
      <w:r w:rsidR="00F345E5">
        <w:t xml:space="preserve"> </w:t>
      </w:r>
      <w:r w:rsidR="00080197">
        <w:t>t</w:t>
      </w:r>
      <w:r w:rsidR="00F345E5">
        <w:t xml:space="preserve">here is no “record” on which the Commission can act to impose rate increases on CRES providers and ultimately </w:t>
      </w:r>
      <w:r w:rsidR="00747E7F">
        <w:t xml:space="preserve">retail </w:t>
      </w:r>
      <w:r w:rsidR="00F345E5">
        <w:t>customers in a contested case.</w:t>
      </w:r>
      <w:r w:rsidR="00F345E5">
        <w:rPr>
          <w:rStyle w:val="FootnoteReference"/>
        </w:rPr>
        <w:footnoteReference w:id="74"/>
      </w:r>
    </w:p>
    <w:p w:rsidR="00F345E5" w:rsidRDefault="00F345E5" w:rsidP="00F345E5">
      <w:pPr>
        <w:spacing w:line="480" w:lineRule="auto"/>
        <w:ind w:firstLine="720"/>
        <w:jc w:val="both"/>
      </w:pPr>
      <w:r>
        <w:t xml:space="preserve">Reliance on the record supporting the Stipulation </w:t>
      </w:r>
      <w:r w:rsidR="00477175">
        <w:t xml:space="preserve">and the Opinion and Order </w:t>
      </w:r>
      <w:r>
        <w:t>is also unreasonable.</w:t>
      </w:r>
      <w:r>
        <w:rPr>
          <w:rStyle w:val="FootnoteReference"/>
        </w:rPr>
        <w:footnoteReference w:id="75"/>
      </w:r>
      <w:r>
        <w:t xml:space="preserve">  The Commission has determined that the parties failed to demonstrate that the Stipulation provides benefits to customers and is in the public interest and rejected the Stipulation.</w:t>
      </w:r>
      <w:r>
        <w:rPr>
          <w:rStyle w:val="FootnoteReference"/>
        </w:rPr>
        <w:footnoteReference w:id="76"/>
      </w:r>
      <w:r>
        <w:t xml:space="preserve">  It has further determined to restart proceedings in this case.</w:t>
      </w:r>
      <w:r>
        <w:rPr>
          <w:rStyle w:val="FootnoteReference"/>
        </w:rPr>
        <w:footnoteReference w:id="77"/>
      </w:r>
      <w:r>
        <w:t xml:space="preserve"> </w:t>
      </w:r>
      <w:r w:rsidRPr="0090513A">
        <w:rPr>
          <w:i/>
        </w:rPr>
        <w:t xml:space="preserve"> </w:t>
      </w:r>
      <w:r w:rsidRPr="0090513A">
        <w:t>If this proceeding is truly “reset” to the point in time when the Stipulation was</w:t>
      </w:r>
      <w:r w:rsidRPr="0090513A">
        <w:rPr>
          <w:i/>
        </w:rPr>
        <w:t xml:space="preserve"> </w:t>
      </w:r>
      <w:r>
        <w:t>filed, then the evidence cannot support continuing the</w:t>
      </w:r>
      <w:r w:rsidR="00C2754A">
        <w:t xml:space="preserve"> Pricing Scheme </w:t>
      </w:r>
      <w:r>
        <w:t>the Commission has now rejected.</w:t>
      </w:r>
      <w:r w:rsidRPr="0090513A">
        <w:rPr>
          <w:rStyle w:val="FootnoteReference"/>
          <w:i/>
        </w:rPr>
        <w:footnoteReference w:id="78"/>
      </w:r>
    </w:p>
    <w:p w:rsidR="00F345E5" w:rsidRDefault="00FA1851" w:rsidP="00693E84">
      <w:pPr>
        <w:spacing w:line="480" w:lineRule="auto"/>
        <w:ind w:firstLine="720"/>
        <w:jc w:val="both"/>
      </w:pPr>
      <w:r>
        <w:t>Second</w:t>
      </w:r>
      <w:r w:rsidR="00F345E5">
        <w:t xml:space="preserve">, </w:t>
      </w:r>
      <w:r w:rsidR="00693E84">
        <w:t>t</w:t>
      </w:r>
      <w:r w:rsidR="00802BA0">
        <w:t xml:space="preserve">he </w:t>
      </w:r>
      <w:r>
        <w:t>interim solutions OP proposes are themselves unrea</w:t>
      </w:r>
      <w:r w:rsidR="0020013E">
        <w:t>s</w:t>
      </w:r>
      <w:r>
        <w:t>onable</w:t>
      </w:r>
      <w:r w:rsidR="00802BA0">
        <w:t xml:space="preserve">.  </w:t>
      </w:r>
      <w:r w:rsidR="00F40D6F">
        <w:t xml:space="preserve">The first proposal, maintaining </w:t>
      </w:r>
      <w:r>
        <w:t>a</w:t>
      </w:r>
      <w:r w:rsidR="00133DCC">
        <w:t xml:space="preserve"> </w:t>
      </w:r>
      <w:r w:rsidR="00F345E5">
        <w:t>Revised DIP</w:t>
      </w:r>
      <w:r w:rsidR="00F40D6F">
        <w:t>,</w:t>
      </w:r>
      <w:r w:rsidR="00F345E5">
        <w:t xml:space="preserve"> would result in significant restrictions on customer access to RPM-priced capacity</w:t>
      </w:r>
      <w:r w:rsidR="00133DCC">
        <w:t xml:space="preserve"> beyond what the Commission required in the </w:t>
      </w:r>
      <w:r w:rsidR="00133DCC">
        <w:lastRenderedPageBreak/>
        <w:t>Opinion and Order</w:t>
      </w:r>
      <w:r w:rsidR="00F345E5">
        <w:t>.</w:t>
      </w:r>
      <w:r w:rsidR="00F345E5">
        <w:rPr>
          <w:rStyle w:val="FootnoteReference"/>
        </w:rPr>
        <w:footnoteReference w:id="79"/>
      </w:r>
      <w:r w:rsidR="00F345E5">
        <w:t xml:space="preserve">  OP’s </w:t>
      </w:r>
      <w:r w:rsidR="00442565">
        <w:t>second</w:t>
      </w:r>
      <w:r w:rsidR="00F345E5">
        <w:t xml:space="preserve"> proposal</w:t>
      </w:r>
      <w:r w:rsidR="00747E7F">
        <w:t>,</w:t>
      </w:r>
      <w:r w:rsidR="00F345E5">
        <w:t xml:space="preserve"> </w:t>
      </w:r>
      <w:r w:rsidR="00080197">
        <w:t>that it be permitted to implement</w:t>
      </w:r>
      <w:r w:rsidR="00F345E5">
        <w:t xml:space="preserve"> the </w:t>
      </w:r>
      <w:r w:rsidR="00080197">
        <w:t>R</w:t>
      </w:r>
      <w:r w:rsidR="00F40D6F">
        <w:t xml:space="preserve">evised DIP in compliance with </w:t>
      </w:r>
      <w:r w:rsidR="00152791">
        <w:t xml:space="preserve">the </w:t>
      </w:r>
      <w:r w:rsidR="00F345E5">
        <w:t>January 23, 2012 Entry</w:t>
      </w:r>
      <w:r w:rsidR="00747E7F">
        <w:t>,</w:t>
      </w:r>
      <w:r w:rsidR="00F345E5">
        <w:t xml:space="preserve"> comes with </w:t>
      </w:r>
      <w:r>
        <w:t>a</w:t>
      </w:r>
      <w:r w:rsidR="00F345E5">
        <w:t xml:space="preserve"> caveat</w:t>
      </w:r>
      <w:r w:rsidR="00F40D6F">
        <w:t xml:space="preserve">.  </w:t>
      </w:r>
      <w:r w:rsidR="00080197">
        <w:t xml:space="preserve">In the caveat, </w:t>
      </w:r>
      <w:r w:rsidR="00F40D6F">
        <w:t>OP proposes to exclude</w:t>
      </w:r>
      <w:r w:rsidR="00F345E5">
        <w:t xml:space="preserve"> mercantile customers </w:t>
      </w:r>
      <w:r w:rsidR="00F40D6F">
        <w:t>from accessing RPM-priced capacity through governmental aggregation programs</w:t>
      </w:r>
      <w:r w:rsidR="001E21A6">
        <w:t>. As noted previously, t</w:t>
      </w:r>
      <w:r w:rsidR="00747E7F">
        <w:t>he Commission rejected this</w:t>
      </w:r>
      <w:r w:rsidR="00F345E5">
        <w:t xml:space="preserve"> limitation </w:t>
      </w:r>
      <w:r w:rsidR="00747E7F">
        <w:t>because it</w:t>
      </w:r>
      <w:r w:rsidR="00F345E5">
        <w:t xml:space="preserve"> </w:t>
      </w:r>
      <w:r w:rsidR="00F40D6F">
        <w:t>is</w:t>
      </w:r>
      <w:r w:rsidR="00F345E5">
        <w:t xml:space="preserve"> inconsistent with Ohio law regarding the treatment of mercantile customers that elect to participate in governmental aggregation programs.</w:t>
      </w:r>
      <w:r w:rsidR="00F345E5">
        <w:rPr>
          <w:rStyle w:val="FootnoteReference"/>
        </w:rPr>
        <w:footnoteReference w:id="80"/>
      </w:r>
      <w:r w:rsidR="00F345E5">
        <w:t xml:space="preserve">  </w:t>
      </w:r>
      <w:r w:rsidR="00442565">
        <w:t>The third</w:t>
      </w:r>
      <w:r w:rsidR="00F345E5">
        <w:t xml:space="preserve"> proposal </w:t>
      </w:r>
      <w:r>
        <w:t>which would</w:t>
      </w:r>
      <w:r w:rsidR="00F40D6F">
        <w:t xml:space="preserve"> set an arbitrary cut-off date to determine which customers have access to RPM-priced capacity </w:t>
      </w:r>
      <w:r w:rsidR="00442565">
        <w:t>is impossible to assess in terms of its effect on shopping because OP offers nothing to support its claim that it would result in substantial shopping.</w:t>
      </w:r>
      <w:r w:rsidR="00442565">
        <w:rPr>
          <w:rStyle w:val="FootnoteReference"/>
        </w:rPr>
        <w:footnoteReference w:id="81"/>
      </w:r>
      <w:r w:rsidR="00442565">
        <w:t xml:space="preserve">  Nonetheless, the proposal </w:t>
      </w:r>
      <w:r w:rsidR="00133DCC">
        <w:t>verges on</w:t>
      </w:r>
      <w:r w:rsidR="00442565">
        <w:t xml:space="preserve"> silliness</w:t>
      </w:r>
      <w:r w:rsidR="00802BA0">
        <w:t xml:space="preserve"> </w:t>
      </w:r>
      <w:r w:rsidR="00442565">
        <w:t xml:space="preserve">because it arbitrarily back-dates access to RPM-priced capacity to </w:t>
      </w:r>
      <w:r w:rsidR="00F345E5">
        <w:t>February 23, 2012</w:t>
      </w:r>
      <w:r w:rsidR="00802BA0">
        <w:t>.</w:t>
      </w:r>
      <w:r w:rsidR="00F345E5">
        <w:t xml:space="preserve"> </w:t>
      </w:r>
      <w:r w:rsidR="00802BA0">
        <w:t xml:space="preserve"> </w:t>
      </w:r>
      <w:r>
        <w:t>T</w:t>
      </w:r>
      <w:r w:rsidR="001E21A6">
        <w:t>hough t</w:t>
      </w:r>
      <w:r>
        <w:t>hat date was meaningless to customers u</w:t>
      </w:r>
      <w:r w:rsidR="00F40D6F">
        <w:t xml:space="preserve">ntil the Commission issued its Entry on Rehearing directing that the capacity charge be set by the RPM-pricing mechanism, OP would use it to discriminate between customers that wish to shop.  </w:t>
      </w:r>
      <w:r w:rsidR="00442565">
        <w:t xml:space="preserve">Nothing good </w:t>
      </w:r>
      <w:r w:rsidR="00A76E53">
        <w:t>will</w:t>
      </w:r>
      <w:r w:rsidR="00442565">
        <w:t xml:space="preserve"> </w:t>
      </w:r>
      <w:r w:rsidR="00A76E53">
        <w:t xml:space="preserve">emerge from approving such </w:t>
      </w:r>
      <w:r w:rsidR="00F40D6F">
        <w:t xml:space="preserve">an </w:t>
      </w:r>
      <w:r w:rsidR="00D072C3">
        <w:t>unreasonable and arbitrarily applied</w:t>
      </w:r>
      <w:r w:rsidR="00A76E53">
        <w:t xml:space="preserve"> restriction.</w:t>
      </w:r>
      <w:r w:rsidR="00080197">
        <w:t xml:space="preserve">  Thus, none of OP’s proposed “solutions” merits Commission approval.</w:t>
      </w:r>
    </w:p>
    <w:p w:rsidR="0049575D" w:rsidRDefault="00F345E5" w:rsidP="00934B85">
      <w:pPr>
        <w:pStyle w:val="Heading3"/>
        <w:numPr>
          <w:ilvl w:val="0"/>
          <w:numId w:val="10"/>
        </w:numPr>
        <w:spacing w:line="240" w:lineRule="auto"/>
        <w:ind w:left="1440" w:right="720" w:hanging="720"/>
        <w:jc w:val="both"/>
        <w:rPr>
          <w:rFonts w:ascii="Arial" w:hAnsi="Arial" w:cs="Arial"/>
          <w:color w:val="auto"/>
        </w:rPr>
      </w:pPr>
      <w:bookmarkStart w:id="11" w:name="_Toc318455735"/>
      <w:r w:rsidRPr="00A0573C">
        <w:rPr>
          <w:rFonts w:ascii="Arial" w:hAnsi="Arial" w:cs="Arial"/>
          <w:color w:val="auto"/>
        </w:rPr>
        <w:t>The Commission’s Order to Reset Capacity Charges Is Clear and Certain</w:t>
      </w:r>
      <w:bookmarkEnd w:id="11"/>
    </w:p>
    <w:p w:rsidR="00D34E57" w:rsidRPr="00D34E57" w:rsidRDefault="00D34E57" w:rsidP="00D34E57">
      <w:pPr>
        <w:spacing w:line="240" w:lineRule="auto"/>
      </w:pPr>
    </w:p>
    <w:p w:rsidR="00F345E5" w:rsidRDefault="00F345E5" w:rsidP="00891C56">
      <w:pPr>
        <w:pStyle w:val="NormalWeb"/>
        <w:spacing w:before="0" w:beforeAutospacing="0" w:after="200" w:afterAutospacing="0" w:line="480" w:lineRule="auto"/>
        <w:ind w:firstLine="720"/>
        <w:jc w:val="both"/>
        <w:rPr>
          <w:rFonts w:ascii="Arial" w:hAnsi="Arial" w:cs="Arial"/>
        </w:rPr>
      </w:pPr>
      <w:r>
        <w:rPr>
          <w:rFonts w:ascii="Arial" w:hAnsi="Arial" w:cs="Arial"/>
        </w:rPr>
        <w:t xml:space="preserve">In its final argument, OP spends three and a half pages dissecting the Commission’s punctuation and sentence structure in an attempt to demonstrate that the </w:t>
      </w:r>
      <w:r>
        <w:rPr>
          <w:rFonts w:ascii="Arial" w:hAnsi="Arial" w:cs="Arial"/>
        </w:rPr>
        <w:lastRenderedPageBreak/>
        <w:t>Entry on Rehearing is unclear.</w:t>
      </w:r>
      <w:r>
        <w:rPr>
          <w:rStyle w:val="FootnoteReference"/>
          <w:rFonts w:ascii="Arial" w:hAnsi="Arial" w:cs="Arial"/>
        </w:rPr>
        <w:footnoteReference w:id="82"/>
      </w:r>
      <w:r>
        <w:rPr>
          <w:rFonts w:ascii="Arial" w:hAnsi="Arial" w:cs="Arial"/>
        </w:rPr>
        <w:t xml:space="preserve">  This extended grammar discussion should be rejected as a basis for </w:t>
      </w:r>
      <w:r w:rsidR="00174FAA">
        <w:rPr>
          <w:rFonts w:ascii="Arial" w:hAnsi="Arial" w:cs="Arial"/>
        </w:rPr>
        <w:t>delaying</w:t>
      </w:r>
      <w:r>
        <w:rPr>
          <w:rFonts w:ascii="Arial" w:hAnsi="Arial" w:cs="Arial"/>
        </w:rPr>
        <w:t xml:space="preserve"> </w:t>
      </w:r>
      <w:r w:rsidR="00174FAA">
        <w:rPr>
          <w:rFonts w:ascii="Arial" w:hAnsi="Arial" w:cs="Arial"/>
        </w:rPr>
        <w:t>the restoration of RPM-priced capacity for all customers</w:t>
      </w:r>
      <w:r>
        <w:rPr>
          <w:rFonts w:ascii="Arial" w:hAnsi="Arial" w:cs="Arial"/>
        </w:rPr>
        <w:t xml:space="preserve">. </w:t>
      </w:r>
    </w:p>
    <w:p w:rsidR="00F345E5" w:rsidRDefault="00174FAA" w:rsidP="00891C56">
      <w:pPr>
        <w:pStyle w:val="NormalWeb"/>
        <w:spacing w:before="0" w:beforeAutospacing="0" w:after="200" w:afterAutospacing="0" w:line="480" w:lineRule="auto"/>
        <w:ind w:firstLine="720"/>
        <w:jc w:val="both"/>
        <w:rPr>
          <w:rFonts w:ascii="Arial" w:hAnsi="Arial" w:cs="Arial"/>
          <w:szCs w:val="26"/>
        </w:rPr>
      </w:pPr>
      <w:r>
        <w:rPr>
          <w:rFonts w:ascii="Arial" w:hAnsi="Arial" w:cs="Arial"/>
        </w:rPr>
        <w:t xml:space="preserve">There is nothing unclear about the Commission’s Entry on Rehearing in regard to capacity pricing. </w:t>
      </w:r>
      <w:r w:rsidR="00F345E5">
        <w:rPr>
          <w:rFonts w:ascii="Arial" w:hAnsi="Arial" w:cs="Arial"/>
        </w:rPr>
        <w:t xml:space="preserve"> </w:t>
      </w:r>
      <w:r>
        <w:rPr>
          <w:rFonts w:ascii="Arial" w:hAnsi="Arial" w:cs="Arial"/>
        </w:rPr>
        <w:t>The</w:t>
      </w:r>
      <w:r w:rsidR="00F345E5">
        <w:rPr>
          <w:rFonts w:ascii="Arial" w:hAnsi="Arial" w:cs="Arial"/>
        </w:rPr>
        <w:t xml:space="preserve"> Commission directed OP “to file new proposed tariffs” based on the rates approved in </w:t>
      </w:r>
      <w:r w:rsidR="00F345E5" w:rsidRPr="00174FAA">
        <w:rPr>
          <w:rFonts w:ascii="Arial" w:hAnsi="Arial" w:cs="Arial"/>
          <w:i/>
        </w:rPr>
        <w:t>ESP I</w:t>
      </w:r>
      <w:r w:rsidR="00F345E5">
        <w:rPr>
          <w:rFonts w:ascii="Arial" w:hAnsi="Arial" w:cs="Arial"/>
        </w:rPr>
        <w:t xml:space="preserve"> and “an appropriate application of capacity charges under the approved state compensation mechanism established in the Capacity Charge Case.”</w:t>
      </w:r>
      <w:r w:rsidR="00F345E5">
        <w:rPr>
          <w:rStyle w:val="FootnoteReference"/>
          <w:rFonts w:ascii="Arial" w:hAnsi="Arial" w:cs="Arial"/>
        </w:rPr>
        <w:footnoteReference w:id="83"/>
      </w:r>
      <w:r w:rsidR="00F345E5">
        <w:rPr>
          <w:rFonts w:ascii="Arial" w:hAnsi="Arial" w:cs="Arial"/>
        </w:rPr>
        <w:t xml:space="preserve">  </w:t>
      </w:r>
      <w:r w:rsidR="00FA1851">
        <w:rPr>
          <w:rFonts w:ascii="Arial" w:hAnsi="Arial" w:cs="Arial"/>
        </w:rPr>
        <w:t>Under this order, it</w:t>
      </w:r>
      <w:r w:rsidR="00F345E5">
        <w:rPr>
          <w:rFonts w:ascii="Arial" w:hAnsi="Arial" w:cs="Arial"/>
          <w:szCs w:val="26"/>
        </w:rPr>
        <w:t xml:space="preserve"> is clear that Commission </w:t>
      </w:r>
      <w:r w:rsidR="00747E7F">
        <w:rPr>
          <w:rFonts w:ascii="Arial" w:hAnsi="Arial" w:cs="Arial"/>
          <w:szCs w:val="26"/>
        </w:rPr>
        <w:t>ordered OP to implement</w:t>
      </w:r>
      <w:r w:rsidR="00F345E5">
        <w:rPr>
          <w:rFonts w:ascii="Arial" w:hAnsi="Arial" w:cs="Arial"/>
          <w:szCs w:val="26"/>
        </w:rPr>
        <w:t xml:space="preserve"> </w:t>
      </w:r>
      <w:r w:rsidR="00747E7F">
        <w:rPr>
          <w:rFonts w:ascii="Arial" w:hAnsi="Arial" w:cs="Arial"/>
          <w:szCs w:val="26"/>
        </w:rPr>
        <w:t>the RPM pricing mechanism to set capacity prices</w:t>
      </w:r>
      <w:r w:rsidR="00F345E5">
        <w:rPr>
          <w:rFonts w:ascii="Arial" w:hAnsi="Arial" w:cs="Arial"/>
          <w:szCs w:val="26"/>
        </w:rPr>
        <w:t>.</w:t>
      </w:r>
      <w:r w:rsidR="00F345E5">
        <w:rPr>
          <w:rStyle w:val="FootnoteReference"/>
          <w:rFonts w:ascii="Arial" w:hAnsi="Arial" w:cs="Arial"/>
          <w:szCs w:val="26"/>
        </w:rPr>
        <w:footnoteReference w:id="84"/>
      </w:r>
      <w:r w:rsidR="00F345E5">
        <w:rPr>
          <w:rFonts w:ascii="Arial" w:hAnsi="Arial" w:cs="Arial"/>
          <w:szCs w:val="26"/>
        </w:rPr>
        <w:t xml:space="preserve">  </w:t>
      </w:r>
      <w:r w:rsidR="00080197">
        <w:rPr>
          <w:rFonts w:ascii="Arial" w:hAnsi="Arial" w:cs="Arial"/>
          <w:szCs w:val="26"/>
        </w:rPr>
        <w:t>OP’s</w:t>
      </w:r>
      <w:r w:rsidR="00F345E5">
        <w:rPr>
          <w:rFonts w:ascii="Arial" w:hAnsi="Arial" w:cs="Arial"/>
          <w:szCs w:val="26"/>
        </w:rPr>
        <w:t xml:space="preserve"> grammatical games do not change </w:t>
      </w:r>
      <w:r w:rsidR="00FA1851">
        <w:rPr>
          <w:rFonts w:ascii="Arial" w:hAnsi="Arial" w:cs="Arial"/>
          <w:szCs w:val="26"/>
        </w:rPr>
        <w:t>this result</w:t>
      </w:r>
      <w:r w:rsidR="00F345E5">
        <w:rPr>
          <w:rFonts w:ascii="Arial" w:hAnsi="Arial" w:cs="Arial"/>
          <w:szCs w:val="26"/>
        </w:rPr>
        <w:t>.</w:t>
      </w:r>
    </w:p>
    <w:p w:rsidR="00A76E53" w:rsidRPr="00934B85" w:rsidRDefault="00FA1851" w:rsidP="00080197">
      <w:pPr>
        <w:pStyle w:val="PlainText"/>
        <w:spacing w:line="480" w:lineRule="auto"/>
        <w:ind w:firstLine="720"/>
        <w:jc w:val="both"/>
      </w:pPr>
      <w:r>
        <w:rPr>
          <w:rFonts w:cs="Arial"/>
          <w:szCs w:val="26"/>
        </w:rPr>
        <w:t xml:space="preserve">Not only is the Commission’s order clear, OP’s claim that the Entry on Rehearing </w:t>
      </w:r>
      <w:r w:rsidR="00747E7F">
        <w:rPr>
          <w:rFonts w:cs="Arial"/>
          <w:szCs w:val="26"/>
        </w:rPr>
        <w:t>needs clarification</w:t>
      </w:r>
      <w:r>
        <w:rPr>
          <w:rFonts w:cs="Arial"/>
          <w:szCs w:val="26"/>
        </w:rPr>
        <w:t xml:space="preserve"> is inconsistent with representations </w:t>
      </w:r>
      <w:r w:rsidR="00747E7F">
        <w:rPr>
          <w:rFonts w:cs="Arial"/>
          <w:szCs w:val="26"/>
        </w:rPr>
        <w:t xml:space="preserve">made by OP and AEPSC regarding the effect that </w:t>
      </w:r>
      <w:r w:rsidR="00AD4DC3">
        <w:rPr>
          <w:rFonts w:cs="Arial"/>
          <w:szCs w:val="26"/>
        </w:rPr>
        <w:t>an order rejecting the Stipulation would have on capacity pricing</w:t>
      </w:r>
      <w:r>
        <w:rPr>
          <w:rFonts w:cs="Arial"/>
          <w:szCs w:val="26"/>
        </w:rPr>
        <w:t xml:space="preserve">.  </w:t>
      </w:r>
      <w:r w:rsidR="00AD4DC3">
        <w:rPr>
          <w:rFonts w:cs="Arial"/>
          <w:szCs w:val="26"/>
        </w:rPr>
        <w:t>In response to cross-examination</w:t>
      </w:r>
      <w:r w:rsidR="001E21A6">
        <w:rPr>
          <w:rFonts w:cs="Arial"/>
          <w:szCs w:val="26"/>
        </w:rPr>
        <w:t xml:space="preserve"> during the hearing on the Stipulation</w:t>
      </w:r>
      <w:r w:rsidR="00AD4DC3">
        <w:rPr>
          <w:rFonts w:cs="Arial"/>
          <w:szCs w:val="26"/>
        </w:rPr>
        <w:t xml:space="preserve">, the president of OP stated </w:t>
      </w:r>
      <w:r w:rsidR="00AD4DC3" w:rsidRPr="00A14480">
        <w:rPr>
          <w:rFonts w:cs="Arial"/>
          <w:szCs w:val="26"/>
        </w:rPr>
        <w:t>that</w:t>
      </w:r>
      <w:r w:rsidR="00AD4DC3" w:rsidRPr="00A14480">
        <w:rPr>
          <w:rFonts w:eastAsia="SimSun" w:cs="Arial"/>
          <w:lang w:eastAsia="zh-CN"/>
        </w:rPr>
        <w:t xml:space="preserve"> the existing RPM-based pricing would remain in effect </w:t>
      </w:r>
      <w:r w:rsidR="00AD4DC3">
        <w:rPr>
          <w:rFonts w:eastAsia="SimSun" w:cs="Arial"/>
          <w:lang w:eastAsia="zh-CN"/>
        </w:rPr>
        <w:t>if the Stipulation were rejected.</w:t>
      </w:r>
      <w:r w:rsidR="00AD4DC3" w:rsidRPr="00A14480">
        <w:rPr>
          <w:rFonts w:eastAsia="SimSun" w:cs="Arial"/>
          <w:vertAlign w:val="superscript"/>
          <w:lang w:eastAsia="zh-CN"/>
        </w:rPr>
        <w:footnoteReference w:id="85"/>
      </w:r>
      <w:r w:rsidR="00AD4DC3" w:rsidRPr="00A14480">
        <w:rPr>
          <w:rFonts w:eastAsia="SimSun" w:cs="Arial"/>
          <w:lang w:eastAsia="zh-CN"/>
        </w:rPr>
        <w:t xml:space="preserve">  </w:t>
      </w:r>
      <w:r>
        <w:rPr>
          <w:rFonts w:cs="Arial"/>
          <w:szCs w:val="26"/>
        </w:rPr>
        <w:t xml:space="preserve">In </w:t>
      </w:r>
      <w:r w:rsidR="00080197">
        <w:rPr>
          <w:rFonts w:cs="Arial"/>
          <w:szCs w:val="26"/>
        </w:rPr>
        <w:t>its</w:t>
      </w:r>
      <w:r>
        <w:rPr>
          <w:rFonts w:cs="Arial"/>
          <w:szCs w:val="26"/>
        </w:rPr>
        <w:t xml:space="preserve"> February 29, 2012 </w:t>
      </w:r>
      <w:r w:rsidR="00080197">
        <w:rPr>
          <w:rFonts w:cs="Arial"/>
          <w:szCs w:val="26"/>
        </w:rPr>
        <w:t xml:space="preserve">FERC </w:t>
      </w:r>
      <w:r>
        <w:rPr>
          <w:rFonts w:cs="Arial"/>
          <w:szCs w:val="26"/>
        </w:rPr>
        <w:t>filing, AEPSC state</w:t>
      </w:r>
      <w:r w:rsidR="00152791">
        <w:rPr>
          <w:rFonts w:cs="Arial"/>
          <w:szCs w:val="26"/>
        </w:rPr>
        <w:t>d</w:t>
      </w:r>
      <w:r>
        <w:rPr>
          <w:rFonts w:cs="Arial"/>
          <w:szCs w:val="26"/>
        </w:rPr>
        <w:t>, “</w:t>
      </w:r>
      <w:r w:rsidR="001E6E6C">
        <w:t xml:space="preserve">By rejecting the Stipulation, the Ohio Commission has reverted to capacity prices established through the RPM auction that were (and still are) dramatically below Ohio Power’s capacity costs under any reasonable ratemaking assumptions, thereby obligating Ohio Power to make FRR capacity available to CRES Providers at a </w:t>
      </w:r>
      <w:r w:rsidR="001E6E6C">
        <w:lastRenderedPageBreak/>
        <w:t>substantial subsidy."</w:t>
      </w:r>
      <w:r w:rsidR="001E6E6C">
        <w:rPr>
          <w:rStyle w:val="FootnoteReference"/>
        </w:rPr>
        <w:footnoteReference w:id="86"/>
      </w:r>
      <w:r w:rsidR="00934B85">
        <w:t xml:space="preserve">  </w:t>
      </w:r>
      <w:r w:rsidR="00A76E53">
        <w:rPr>
          <w:rFonts w:eastAsia="SimSun" w:cs="Arial"/>
          <w:lang w:eastAsia="zh-CN"/>
        </w:rPr>
        <w:t xml:space="preserve">Despite </w:t>
      </w:r>
      <w:r w:rsidR="00AD4DC3">
        <w:rPr>
          <w:rFonts w:eastAsia="SimSun" w:cs="Arial"/>
          <w:lang w:eastAsia="zh-CN"/>
        </w:rPr>
        <w:t>these statements</w:t>
      </w:r>
      <w:r w:rsidR="00A76E53">
        <w:rPr>
          <w:rFonts w:eastAsia="SimSun" w:cs="Arial"/>
          <w:lang w:eastAsia="zh-CN"/>
        </w:rPr>
        <w:t xml:space="preserve">, OP </w:t>
      </w:r>
      <w:r w:rsidR="00AD4DC3">
        <w:rPr>
          <w:rFonts w:eastAsia="SimSun" w:cs="Arial"/>
          <w:lang w:eastAsia="zh-CN"/>
        </w:rPr>
        <w:t>has represented in this Motion</w:t>
      </w:r>
      <w:r w:rsidR="00A76E53">
        <w:rPr>
          <w:rFonts w:eastAsia="SimSun" w:cs="Arial"/>
          <w:lang w:eastAsia="zh-CN"/>
        </w:rPr>
        <w:t xml:space="preserve"> that it </w:t>
      </w:r>
      <w:r w:rsidR="00080197">
        <w:rPr>
          <w:rFonts w:eastAsia="SimSun" w:cs="Arial"/>
          <w:lang w:eastAsia="zh-CN"/>
        </w:rPr>
        <w:t>needs clarification of the Entry on Rehearing</w:t>
      </w:r>
      <w:r w:rsidR="00A76E53">
        <w:rPr>
          <w:rFonts w:eastAsia="SimSun" w:cs="Arial"/>
          <w:lang w:eastAsia="zh-CN"/>
        </w:rPr>
        <w:t>.</w:t>
      </w:r>
      <w:r w:rsidR="00080197">
        <w:rPr>
          <w:rStyle w:val="FootnoteReference"/>
          <w:rFonts w:eastAsia="SimSun" w:cs="Arial"/>
          <w:lang w:eastAsia="zh-CN"/>
        </w:rPr>
        <w:footnoteReference w:id="87"/>
      </w:r>
      <w:r w:rsidR="00A76E53">
        <w:rPr>
          <w:rFonts w:eastAsia="SimSun" w:cs="Arial"/>
          <w:lang w:eastAsia="zh-CN"/>
        </w:rPr>
        <w:t xml:space="preserve">  OP’s position is not credible.</w:t>
      </w:r>
    </w:p>
    <w:p w:rsidR="00F345E5" w:rsidRPr="0049575D" w:rsidRDefault="00F345E5" w:rsidP="00080197">
      <w:pPr>
        <w:pStyle w:val="Heading1"/>
        <w:numPr>
          <w:ilvl w:val="0"/>
          <w:numId w:val="13"/>
        </w:numPr>
        <w:spacing w:before="120"/>
        <w:rPr>
          <w:rFonts w:ascii="Arial" w:hAnsi="Arial" w:cs="Arial"/>
          <w:caps/>
          <w:color w:val="auto"/>
          <w:sz w:val="24"/>
          <w:szCs w:val="24"/>
        </w:rPr>
      </w:pPr>
      <w:bookmarkStart w:id="12" w:name="_Toc318455736"/>
      <w:r w:rsidRPr="0049575D">
        <w:rPr>
          <w:rFonts w:ascii="Arial" w:hAnsi="Arial" w:cs="Arial"/>
          <w:caps/>
          <w:color w:val="auto"/>
          <w:sz w:val="24"/>
          <w:szCs w:val="24"/>
        </w:rPr>
        <w:t>Conclusion</w:t>
      </w:r>
      <w:bookmarkEnd w:id="12"/>
    </w:p>
    <w:p w:rsidR="0049575D" w:rsidRPr="0049575D" w:rsidRDefault="0049575D" w:rsidP="00DC0064">
      <w:pPr>
        <w:spacing w:line="240" w:lineRule="auto"/>
      </w:pPr>
    </w:p>
    <w:p w:rsidR="00F345E5" w:rsidRDefault="00F345E5" w:rsidP="00FD2E08">
      <w:pPr>
        <w:spacing w:line="480" w:lineRule="auto"/>
        <w:jc w:val="both"/>
      </w:pPr>
      <w:r>
        <w:tab/>
      </w:r>
      <w:r w:rsidR="00934B85">
        <w:t>In this Motion, OP once again seeks approval to continue its</w:t>
      </w:r>
      <w:r w:rsidR="00934B85" w:rsidRPr="00E67B5F">
        <w:t xml:space="preserve"> unlawful and unreasonable </w:t>
      </w:r>
      <w:r w:rsidR="001E21A6">
        <w:t>Pricing Scheme</w:t>
      </w:r>
      <w:r w:rsidR="00934B85" w:rsidRPr="00E67B5F">
        <w:t xml:space="preserve">; </w:t>
      </w:r>
      <w:r w:rsidR="001E21A6">
        <w:t>it is part of OP’s</w:t>
      </w:r>
      <w:r w:rsidR="00934B85" w:rsidRPr="00E67B5F">
        <w:t xml:space="preserve"> wish list that will keep customers in it</w:t>
      </w:r>
      <w:r w:rsidR="00934B85">
        <w:t>s</w:t>
      </w:r>
      <w:r w:rsidR="00934B85" w:rsidRPr="00E67B5F">
        <w:t xml:space="preserve"> service area captive while OP and its affiliates reap the benefits of “competition” in other service areas.  Nothing in OP’s </w:t>
      </w:r>
      <w:r w:rsidR="00D83F54">
        <w:t>M</w:t>
      </w:r>
      <w:r w:rsidR="00934B85" w:rsidRPr="00E67B5F">
        <w:t xml:space="preserve">otion, </w:t>
      </w:r>
      <w:r w:rsidR="00934B85">
        <w:t>however</w:t>
      </w:r>
      <w:r w:rsidR="00934B85" w:rsidRPr="00E67B5F">
        <w:t xml:space="preserve">, requires </w:t>
      </w:r>
      <w:r w:rsidR="00934B85">
        <w:t>the Commission to allow OP to continue to defy</w:t>
      </w:r>
      <w:r w:rsidR="00934B85" w:rsidRPr="00E67B5F">
        <w:t xml:space="preserve"> </w:t>
      </w:r>
      <w:r w:rsidR="00934B85">
        <w:t>the Commission’s directives and make</w:t>
      </w:r>
      <w:r w:rsidR="00934B85" w:rsidRPr="00E67B5F">
        <w:t xml:space="preserve"> a mockery of the Commission’s effort to restore law and order.</w:t>
      </w:r>
      <w:r w:rsidR="00A76E53" w:rsidRPr="00A76E53">
        <w:t xml:space="preserve"> </w:t>
      </w:r>
    </w:p>
    <w:p w:rsidR="0049575D" w:rsidRPr="0049575D" w:rsidRDefault="0049575D" w:rsidP="0049575D">
      <w:pPr>
        <w:spacing w:after="0" w:line="480" w:lineRule="auto"/>
        <w:ind w:left="4320"/>
        <w:jc w:val="both"/>
      </w:pPr>
      <w:r w:rsidRPr="0049575D">
        <w:t>Respectfully submitted,</w:t>
      </w:r>
    </w:p>
    <w:p w:rsidR="0049575D" w:rsidRPr="0049575D" w:rsidRDefault="0049575D" w:rsidP="0049575D">
      <w:pPr>
        <w:tabs>
          <w:tab w:val="left" w:pos="4320"/>
          <w:tab w:val="right" w:pos="8640"/>
        </w:tabs>
        <w:spacing w:after="0" w:line="240" w:lineRule="auto"/>
        <w:ind w:left="4320" w:hanging="4320"/>
        <w:jc w:val="both"/>
      </w:pPr>
      <w:r w:rsidRPr="0049575D">
        <w:tab/>
      </w:r>
    </w:p>
    <w:p w:rsidR="0049575D" w:rsidRPr="00447179" w:rsidRDefault="0049575D" w:rsidP="0049575D">
      <w:pPr>
        <w:tabs>
          <w:tab w:val="left" w:pos="4320"/>
          <w:tab w:val="right" w:pos="8640"/>
        </w:tabs>
        <w:spacing w:after="0" w:line="240" w:lineRule="auto"/>
        <w:ind w:left="4320" w:hanging="4320"/>
        <w:jc w:val="both"/>
        <w:rPr>
          <w:u w:val="single"/>
        </w:rPr>
      </w:pPr>
      <w:r w:rsidRPr="0049575D">
        <w:tab/>
      </w:r>
      <w:r w:rsidR="00447179" w:rsidRPr="00447179">
        <w:rPr>
          <w:u w:val="single"/>
        </w:rPr>
        <w:t>/s/ Frank P. Darr</w:t>
      </w:r>
      <w:r w:rsidRPr="00447179">
        <w:rPr>
          <w:u w:val="single"/>
        </w:rPr>
        <w:tab/>
      </w:r>
    </w:p>
    <w:p w:rsidR="0049575D" w:rsidRPr="0049575D" w:rsidRDefault="0049575D" w:rsidP="0049575D">
      <w:pPr>
        <w:tabs>
          <w:tab w:val="left" w:pos="4320"/>
          <w:tab w:val="right" w:pos="8640"/>
        </w:tabs>
        <w:spacing w:after="0" w:line="240" w:lineRule="auto"/>
        <w:ind w:left="4320" w:hanging="4320"/>
        <w:jc w:val="both"/>
      </w:pPr>
      <w:r w:rsidRPr="0049575D">
        <w:tab/>
        <w:t>Samuel C. Randazzo</w:t>
      </w:r>
    </w:p>
    <w:p w:rsidR="0049575D" w:rsidRPr="0049575D" w:rsidRDefault="0049575D" w:rsidP="0049575D">
      <w:pPr>
        <w:widowControl w:val="0"/>
        <w:tabs>
          <w:tab w:val="left" w:pos="4320"/>
        </w:tabs>
        <w:spacing w:after="0" w:line="240" w:lineRule="auto"/>
        <w:ind w:left="4320" w:hanging="4320"/>
        <w:jc w:val="both"/>
        <w:rPr>
          <w:rFonts w:eastAsia="Times New Roman" w:cs="Arial"/>
          <w:bCs/>
          <w:szCs w:val="24"/>
          <w:lang w:val="fr-FR"/>
        </w:rPr>
      </w:pPr>
      <w:r w:rsidRPr="0049575D">
        <w:rPr>
          <w:rFonts w:eastAsia="Times New Roman" w:cs="Arial"/>
          <w:bCs/>
          <w:szCs w:val="24"/>
        </w:rPr>
        <w:tab/>
      </w:r>
      <w:r w:rsidRPr="0049575D">
        <w:rPr>
          <w:rFonts w:eastAsia="Times New Roman" w:cs="Arial"/>
          <w:bCs/>
          <w:szCs w:val="24"/>
          <w:lang w:val="fr-FR"/>
        </w:rPr>
        <w:t>Frank P. Darr</w:t>
      </w:r>
    </w:p>
    <w:p w:rsidR="0049575D" w:rsidRPr="0049575D" w:rsidRDefault="0049575D" w:rsidP="0049575D">
      <w:pPr>
        <w:widowControl w:val="0"/>
        <w:tabs>
          <w:tab w:val="left" w:pos="4320"/>
        </w:tabs>
        <w:spacing w:after="0" w:line="240" w:lineRule="auto"/>
        <w:ind w:left="4320" w:hanging="4320"/>
        <w:jc w:val="both"/>
        <w:rPr>
          <w:rFonts w:eastAsia="Times New Roman" w:cs="Arial"/>
          <w:bCs/>
          <w:szCs w:val="24"/>
          <w:lang w:val="fr-FR"/>
        </w:rPr>
      </w:pPr>
      <w:r w:rsidRPr="0049575D">
        <w:rPr>
          <w:rFonts w:eastAsia="Times New Roman" w:cs="Arial"/>
          <w:bCs/>
          <w:szCs w:val="24"/>
          <w:lang w:val="fr-FR"/>
        </w:rPr>
        <w:tab/>
        <w:t>Joseph Oliker</w:t>
      </w:r>
    </w:p>
    <w:p w:rsidR="0049575D" w:rsidRPr="0049575D" w:rsidRDefault="0049575D" w:rsidP="0049575D">
      <w:pPr>
        <w:widowControl w:val="0"/>
        <w:tabs>
          <w:tab w:val="left" w:pos="4320"/>
        </w:tabs>
        <w:spacing w:after="0" w:line="240" w:lineRule="auto"/>
        <w:ind w:left="4320" w:hanging="4320"/>
        <w:jc w:val="both"/>
        <w:rPr>
          <w:rFonts w:eastAsia="Times New Roman" w:cs="Arial"/>
          <w:bCs/>
          <w:smallCaps/>
          <w:szCs w:val="24"/>
        </w:rPr>
      </w:pPr>
      <w:r w:rsidRPr="0049575D">
        <w:rPr>
          <w:rFonts w:eastAsia="Times New Roman" w:cs="Arial"/>
          <w:bCs/>
          <w:szCs w:val="24"/>
          <w:lang w:val="fr-FR"/>
        </w:rPr>
        <w:tab/>
      </w:r>
      <w:proofErr w:type="spellStart"/>
      <w:r w:rsidRPr="0049575D">
        <w:rPr>
          <w:rFonts w:eastAsia="Times New Roman" w:cs="Arial"/>
          <w:bCs/>
          <w:smallCaps/>
          <w:szCs w:val="24"/>
        </w:rPr>
        <w:t>McNees</w:t>
      </w:r>
      <w:proofErr w:type="spellEnd"/>
      <w:r w:rsidRPr="0049575D">
        <w:rPr>
          <w:rFonts w:eastAsia="Times New Roman" w:cs="Arial"/>
          <w:bCs/>
          <w:smallCaps/>
          <w:szCs w:val="24"/>
        </w:rPr>
        <w:t xml:space="preserve"> Wallace &amp; </w:t>
      </w:r>
      <w:proofErr w:type="spellStart"/>
      <w:r w:rsidRPr="0049575D">
        <w:rPr>
          <w:rFonts w:eastAsia="Times New Roman" w:cs="Arial"/>
          <w:bCs/>
          <w:smallCaps/>
          <w:szCs w:val="24"/>
        </w:rPr>
        <w:t>Nurick</w:t>
      </w:r>
      <w:proofErr w:type="spellEnd"/>
      <w:r w:rsidRPr="0049575D">
        <w:rPr>
          <w:rFonts w:eastAsia="Times New Roman" w:cs="Arial"/>
          <w:bCs/>
          <w:smallCaps/>
          <w:szCs w:val="24"/>
        </w:rPr>
        <w:t xml:space="preserve"> LLC</w:t>
      </w:r>
    </w:p>
    <w:p w:rsidR="0049575D" w:rsidRPr="0049575D" w:rsidRDefault="0049575D" w:rsidP="0049575D">
      <w:pPr>
        <w:widowControl w:val="0"/>
        <w:tabs>
          <w:tab w:val="left" w:pos="4320"/>
        </w:tabs>
        <w:spacing w:after="0" w:line="240" w:lineRule="auto"/>
        <w:ind w:left="4320" w:hanging="4320"/>
        <w:jc w:val="both"/>
        <w:rPr>
          <w:rFonts w:eastAsia="Times New Roman" w:cs="Arial"/>
          <w:bCs/>
          <w:szCs w:val="24"/>
        </w:rPr>
      </w:pPr>
      <w:r w:rsidRPr="0049575D">
        <w:rPr>
          <w:rFonts w:eastAsia="Times New Roman" w:cs="Arial"/>
          <w:bCs/>
          <w:szCs w:val="24"/>
        </w:rPr>
        <w:tab/>
        <w:t>21 East State Street, 17</w:t>
      </w:r>
      <w:r w:rsidRPr="0049575D">
        <w:rPr>
          <w:rFonts w:eastAsia="Times New Roman" w:cs="Arial"/>
          <w:bCs/>
          <w:szCs w:val="24"/>
          <w:vertAlign w:val="superscript"/>
        </w:rPr>
        <w:t>TH</w:t>
      </w:r>
      <w:r w:rsidRPr="0049575D">
        <w:rPr>
          <w:rFonts w:eastAsia="Times New Roman" w:cs="Arial"/>
          <w:bCs/>
          <w:szCs w:val="24"/>
        </w:rPr>
        <w:t xml:space="preserve"> Floor</w:t>
      </w:r>
    </w:p>
    <w:p w:rsidR="0049575D" w:rsidRPr="0049575D" w:rsidRDefault="00080197" w:rsidP="00080197">
      <w:pPr>
        <w:tabs>
          <w:tab w:val="left" w:pos="4320"/>
        </w:tabs>
        <w:spacing w:after="0" w:line="240" w:lineRule="auto"/>
        <w:ind w:left="4320" w:hanging="4320"/>
        <w:jc w:val="both"/>
        <w:rPr>
          <w:rFonts w:eastAsia="Calibri" w:cs="Arial"/>
          <w:szCs w:val="24"/>
        </w:rPr>
      </w:pPr>
      <w:r>
        <w:rPr>
          <w:rFonts w:eastAsia="Calibri" w:cs="Arial"/>
          <w:szCs w:val="24"/>
        </w:rPr>
        <w:tab/>
        <w:t>Columbus, OH  43215</w:t>
      </w:r>
    </w:p>
    <w:p w:rsidR="0049575D" w:rsidRPr="0049575D" w:rsidRDefault="0049575D" w:rsidP="0049575D">
      <w:pPr>
        <w:spacing w:after="0" w:line="240" w:lineRule="auto"/>
        <w:ind w:left="4320" w:hanging="4320"/>
        <w:jc w:val="both"/>
        <w:rPr>
          <w:rFonts w:eastAsia="Calibri" w:cs="Arial"/>
          <w:szCs w:val="24"/>
        </w:rPr>
      </w:pPr>
      <w:r w:rsidRPr="0049575D">
        <w:rPr>
          <w:rFonts w:eastAsia="Calibri" w:cs="Arial"/>
          <w:szCs w:val="24"/>
        </w:rPr>
        <w:tab/>
        <w:t>sam@mwncmh.com</w:t>
      </w:r>
    </w:p>
    <w:p w:rsidR="0049575D" w:rsidRPr="0049575D" w:rsidRDefault="0049575D" w:rsidP="0049575D">
      <w:pPr>
        <w:spacing w:after="0" w:line="240" w:lineRule="auto"/>
        <w:ind w:left="4320" w:hanging="4320"/>
        <w:jc w:val="both"/>
        <w:rPr>
          <w:rFonts w:eastAsia="Calibri" w:cs="Arial"/>
          <w:szCs w:val="24"/>
        </w:rPr>
      </w:pPr>
      <w:r w:rsidRPr="0049575D">
        <w:rPr>
          <w:rFonts w:eastAsia="Calibri" w:cs="Arial"/>
          <w:szCs w:val="24"/>
        </w:rPr>
        <w:tab/>
        <w:t>fdarr@mwncmh.com</w:t>
      </w:r>
    </w:p>
    <w:p w:rsidR="0049575D" w:rsidRPr="0049575D" w:rsidRDefault="0049575D" w:rsidP="0049575D">
      <w:pPr>
        <w:spacing w:after="0" w:line="240" w:lineRule="auto"/>
        <w:ind w:left="4320" w:hanging="4320"/>
        <w:jc w:val="both"/>
        <w:rPr>
          <w:rFonts w:eastAsia="Calibri" w:cs="Arial"/>
          <w:szCs w:val="24"/>
        </w:rPr>
      </w:pPr>
      <w:r w:rsidRPr="0049575D">
        <w:rPr>
          <w:rFonts w:eastAsia="Calibri" w:cs="Arial"/>
          <w:szCs w:val="24"/>
        </w:rPr>
        <w:tab/>
        <w:t>joliker@mwncmh.com</w:t>
      </w:r>
    </w:p>
    <w:p w:rsidR="0049575D" w:rsidRPr="0049575D" w:rsidRDefault="0049575D" w:rsidP="0049575D">
      <w:pPr>
        <w:spacing w:after="0" w:line="240" w:lineRule="auto"/>
        <w:ind w:left="4320" w:hanging="4320"/>
        <w:jc w:val="both"/>
        <w:rPr>
          <w:rFonts w:eastAsia="Calibri" w:cs="Arial"/>
          <w:szCs w:val="24"/>
        </w:rPr>
      </w:pPr>
    </w:p>
    <w:p w:rsidR="0049575D" w:rsidRDefault="0049575D" w:rsidP="0049575D">
      <w:pPr>
        <w:spacing w:after="0" w:line="240" w:lineRule="auto"/>
        <w:ind w:left="4320" w:hanging="4320"/>
        <w:jc w:val="both"/>
        <w:rPr>
          <w:rFonts w:eastAsia="Calibri" w:cs="Arial"/>
          <w:b/>
          <w:szCs w:val="24"/>
        </w:rPr>
      </w:pPr>
      <w:r w:rsidRPr="0049575D">
        <w:rPr>
          <w:rFonts w:eastAsia="Calibri" w:cs="Arial"/>
          <w:b/>
          <w:szCs w:val="24"/>
        </w:rPr>
        <w:tab/>
        <w:t xml:space="preserve">Attorneys </w:t>
      </w:r>
      <w:r>
        <w:rPr>
          <w:rFonts w:eastAsia="Calibri" w:cs="Arial"/>
          <w:b/>
          <w:szCs w:val="24"/>
        </w:rPr>
        <w:t>for Industrial Energy Users-Ohio</w:t>
      </w:r>
    </w:p>
    <w:p w:rsidR="0049575D" w:rsidRPr="0049575D" w:rsidRDefault="0049575D" w:rsidP="0049575D">
      <w:pPr>
        <w:spacing w:after="0" w:line="240" w:lineRule="auto"/>
        <w:ind w:left="4320" w:hanging="4320"/>
        <w:jc w:val="both"/>
        <w:rPr>
          <w:rFonts w:eastAsia="Calibri" w:cs="Arial"/>
          <w:b/>
          <w:szCs w:val="24"/>
        </w:rPr>
        <w:sectPr w:rsidR="0049575D" w:rsidRPr="0049575D" w:rsidSect="007A22C7">
          <w:pgSz w:w="12240" w:h="15840" w:code="1"/>
          <w:pgMar w:top="1440" w:right="1440" w:bottom="1141" w:left="1440" w:header="720" w:footer="720" w:gutter="0"/>
          <w:pgNumType w:start="1"/>
          <w:cols w:space="720"/>
          <w:titlePg/>
          <w:docGrid w:linePitch="326"/>
        </w:sectPr>
      </w:pPr>
    </w:p>
    <w:p w:rsidR="00152087" w:rsidRPr="000000A2" w:rsidRDefault="00152087" w:rsidP="000000A2">
      <w:pPr>
        <w:pStyle w:val="Heading1"/>
        <w:jc w:val="center"/>
        <w:rPr>
          <w:rFonts w:ascii="Arial" w:eastAsia="Times New Roman" w:hAnsi="Arial" w:cs="Arial"/>
          <w:caps/>
          <w:sz w:val="24"/>
          <w:szCs w:val="24"/>
        </w:rPr>
      </w:pPr>
      <w:bookmarkStart w:id="13" w:name="_Toc318455737"/>
      <w:r w:rsidRPr="000000A2">
        <w:rPr>
          <w:rFonts w:ascii="Arial" w:eastAsia="Times New Roman" w:hAnsi="Arial" w:cs="Arial"/>
          <w:caps/>
          <w:color w:val="auto"/>
          <w:sz w:val="24"/>
          <w:szCs w:val="24"/>
        </w:rPr>
        <w:lastRenderedPageBreak/>
        <w:t>Certificate of Service</w:t>
      </w:r>
      <w:bookmarkEnd w:id="13"/>
    </w:p>
    <w:p w:rsidR="00152087" w:rsidRPr="00152087" w:rsidRDefault="00152087" w:rsidP="00152087">
      <w:pPr>
        <w:spacing w:after="0" w:line="240" w:lineRule="auto"/>
        <w:rPr>
          <w:rFonts w:ascii="Times New Roman" w:eastAsia="Times New Roman" w:hAnsi="Times New Roman" w:cs="Times New Roman"/>
          <w:szCs w:val="24"/>
        </w:rPr>
      </w:pPr>
    </w:p>
    <w:p w:rsidR="00152087" w:rsidRPr="00152087" w:rsidRDefault="00152087" w:rsidP="00152087">
      <w:pPr>
        <w:spacing w:after="0" w:line="240" w:lineRule="auto"/>
        <w:jc w:val="both"/>
        <w:rPr>
          <w:rFonts w:eastAsia="Times New Roman" w:cs="Times New Roman"/>
          <w:szCs w:val="24"/>
        </w:rPr>
      </w:pPr>
    </w:p>
    <w:p w:rsidR="00152087" w:rsidRPr="00152087" w:rsidRDefault="00152087" w:rsidP="00152087">
      <w:pPr>
        <w:spacing w:after="0" w:line="480" w:lineRule="auto"/>
        <w:ind w:firstLine="720"/>
        <w:jc w:val="both"/>
        <w:rPr>
          <w:rFonts w:eastAsia="Times New Roman" w:cs="Arial"/>
          <w:b/>
          <w:smallCaps/>
          <w:szCs w:val="24"/>
        </w:rPr>
      </w:pPr>
      <w:r w:rsidRPr="00152087">
        <w:rPr>
          <w:rFonts w:eastAsia="Times New Roman" w:cs="Arial"/>
          <w:szCs w:val="24"/>
        </w:rPr>
        <w:t>I hereby certify that a copy of the foregoing</w:t>
      </w:r>
      <w:r w:rsidRPr="00152087">
        <w:rPr>
          <w:rFonts w:eastAsia="Times New Roman" w:cs="Arial"/>
          <w:i/>
          <w:iCs/>
          <w:szCs w:val="24"/>
        </w:rPr>
        <w:t xml:space="preserve"> Industrial Energy Users-Ohio’s </w:t>
      </w:r>
      <w:r w:rsidR="00730B73">
        <w:rPr>
          <w:rFonts w:eastAsia="Times New Roman" w:cs="Arial"/>
          <w:i/>
          <w:iCs/>
          <w:szCs w:val="24"/>
        </w:rPr>
        <w:t xml:space="preserve">Memorandum </w:t>
      </w:r>
      <w:r w:rsidR="00D76156">
        <w:rPr>
          <w:rFonts w:eastAsia="Times New Roman" w:cs="Arial"/>
          <w:i/>
          <w:iCs/>
          <w:szCs w:val="24"/>
        </w:rPr>
        <w:t>C</w:t>
      </w:r>
      <w:r w:rsidR="00730B73">
        <w:rPr>
          <w:rFonts w:eastAsia="Times New Roman" w:cs="Arial"/>
          <w:i/>
          <w:iCs/>
          <w:szCs w:val="24"/>
        </w:rPr>
        <w:t xml:space="preserve">ontra Ohio Power Company’s February 27, 2012 Motion for Relief and Request for Expedited Ruling </w:t>
      </w:r>
      <w:r w:rsidRPr="00152087">
        <w:rPr>
          <w:rFonts w:eastAsia="Times New Roman" w:cs="Arial"/>
          <w:szCs w:val="24"/>
        </w:rPr>
        <w:t xml:space="preserve">was served upon the following parties of record this </w:t>
      </w:r>
      <w:r w:rsidR="000502E2">
        <w:rPr>
          <w:rFonts w:eastAsia="Times New Roman" w:cs="Arial"/>
          <w:szCs w:val="24"/>
        </w:rPr>
        <w:t>2</w:t>
      </w:r>
      <w:r w:rsidR="000502E2" w:rsidRPr="000502E2">
        <w:rPr>
          <w:rFonts w:eastAsia="Times New Roman" w:cs="Arial"/>
          <w:szCs w:val="24"/>
          <w:vertAlign w:val="superscript"/>
        </w:rPr>
        <w:t>nd</w:t>
      </w:r>
      <w:r w:rsidRPr="00152087">
        <w:rPr>
          <w:rFonts w:eastAsia="Times New Roman" w:cs="Arial"/>
          <w:szCs w:val="24"/>
        </w:rPr>
        <w:t xml:space="preserve"> day of </w:t>
      </w:r>
      <w:r w:rsidR="000502E2">
        <w:rPr>
          <w:rFonts w:eastAsia="Times New Roman" w:cs="Arial"/>
          <w:szCs w:val="24"/>
        </w:rPr>
        <w:t>March</w:t>
      </w:r>
      <w:r w:rsidRPr="00152087">
        <w:rPr>
          <w:rFonts w:eastAsia="Times New Roman" w:cs="Arial"/>
          <w:szCs w:val="24"/>
        </w:rPr>
        <w:t xml:space="preserve"> 201</w:t>
      </w:r>
      <w:r>
        <w:rPr>
          <w:rFonts w:eastAsia="Times New Roman" w:cs="Arial"/>
          <w:szCs w:val="24"/>
        </w:rPr>
        <w:t>2</w:t>
      </w:r>
      <w:r w:rsidRPr="00152087">
        <w:rPr>
          <w:rFonts w:eastAsia="Times New Roman" w:cs="Arial"/>
          <w:szCs w:val="24"/>
        </w:rPr>
        <w:t xml:space="preserve">, </w:t>
      </w:r>
      <w:r w:rsidRPr="00152087">
        <w:rPr>
          <w:rFonts w:eastAsia="Times New Roman" w:cs="Arial"/>
          <w:i/>
          <w:szCs w:val="24"/>
        </w:rPr>
        <w:t>via</w:t>
      </w:r>
      <w:r w:rsidRPr="00152087">
        <w:rPr>
          <w:rFonts w:eastAsia="Times New Roman" w:cs="Arial"/>
          <w:szCs w:val="24"/>
        </w:rPr>
        <w:t xml:space="preserve"> electronic transmission, hand-delivery or first class U.S. mail, postage prepaid.</w:t>
      </w:r>
    </w:p>
    <w:p w:rsidR="00152087" w:rsidRPr="00152087" w:rsidRDefault="00152087" w:rsidP="00152087">
      <w:pPr>
        <w:tabs>
          <w:tab w:val="left" w:pos="-1440"/>
          <w:tab w:val="left" w:pos="-720"/>
          <w:tab w:val="left" w:pos="5040"/>
          <w:tab w:val="center" w:pos="7200"/>
        </w:tabs>
        <w:spacing w:after="0" w:line="240" w:lineRule="auto"/>
        <w:jc w:val="both"/>
        <w:rPr>
          <w:rFonts w:eastAsia="Times New Roman" w:cs="Arial"/>
          <w:szCs w:val="24"/>
        </w:rPr>
      </w:pPr>
    </w:p>
    <w:p w:rsidR="00152087" w:rsidRPr="00152087" w:rsidRDefault="00447179" w:rsidP="00152087">
      <w:pPr>
        <w:tabs>
          <w:tab w:val="left" w:pos="-1440"/>
          <w:tab w:val="left" w:pos="-720"/>
          <w:tab w:val="left" w:pos="5040"/>
          <w:tab w:val="center" w:pos="7200"/>
          <w:tab w:val="right" w:pos="9360"/>
        </w:tabs>
        <w:spacing w:after="0" w:line="240" w:lineRule="auto"/>
        <w:ind w:firstLine="5040"/>
        <w:jc w:val="both"/>
        <w:rPr>
          <w:rFonts w:eastAsia="Times New Roman" w:cs="Arial"/>
          <w:szCs w:val="24"/>
        </w:rPr>
      </w:pPr>
      <w:r>
        <w:rPr>
          <w:rFonts w:eastAsia="Times New Roman" w:cs="Arial"/>
          <w:szCs w:val="24"/>
          <w:u w:val="single"/>
        </w:rPr>
        <w:t>/s/ Frank P. Darr</w:t>
      </w:r>
      <w:r w:rsidR="00152087" w:rsidRPr="00152087">
        <w:rPr>
          <w:rFonts w:eastAsia="Times New Roman" w:cs="Arial"/>
          <w:szCs w:val="24"/>
          <w:u w:val="single"/>
        </w:rPr>
        <w:tab/>
      </w:r>
      <w:r w:rsidR="00152087" w:rsidRPr="00152087">
        <w:rPr>
          <w:rFonts w:eastAsia="Times New Roman" w:cs="Arial"/>
          <w:szCs w:val="24"/>
          <w:u w:val="single"/>
        </w:rPr>
        <w:tab/>
      </w:r>
    </w:p>
    <w:p w:rsidR="00152087" w:rsidRPr="00152087" w:rsidRDefault="00152087" w:rsidP="00152087">
      <w:pPr>
        <w:tabs>
          <w:tab w:val="left" w:pos="-1440"/>
          <w:tab w:val="left" w:pos="-720"/>
          <w:tab w:val="left" w:pos="5040"/>
          <w:tab w:val="center" w:pos="7200"/>
        </w:tabs>
        <w:spacing w:after="0" w:line="240" w:lineRule="auto"/>
        <w:ind w:firstLine="5040"/>
        <w:rPr>
          <w:rFonts w:eastAsia="Times New Roman" w:cs="Arial"/>
          <w:szCs w:val="24"/>
        </w:rPr>
      </w:pPr>
      <w:r w:rsidRPr="00152087">
        <w:rPr>
          <w:rFonts w:eastAsia="Times New Roman" w:cs="Arial"/>
          <w:szCs w:val="24"/>
        </w:rPr>
        <w:t>Frank P. Darr</w:t>
      </w:r>
    </w:p>
    <w:p w:rsidR="00152087" w:rsidRPr="00152087" w:rsidRDefault="00152087" w:rsidP="00152087">
      <w:pPr>
        <w:tabs>
          <w:tab w:val="left" w:pos="-1440"/>
          <w:tab w:val="left" w:pos="-720"/>
          <w:tab w:val="left" w:pos="5040"/>
          <w:tab w:val="center" w:pos="7200"/>
        </w:tabs>
        <w:spacing w:after="0" w:line="240" w:lineRule="auto"/>
        <w:ind w:firstLine="5040"/>
        <w:rPr>
          <w:rFonts w:eastAsia="Times New Roman" w:cs="Arial"/>
          <w:szCs w:val="24"/>
        </w:rPr>
      </w:pPr>
    </w:p>
    <w:p w:rsidR="00152087" w:rsidRPr="00152087" w:rsidRDefault="00152087" w:rsidP="00152087">
      <w:pPr>
        <w:tabs>
          <w:tab w:val="left" w:pos="-1440"/>
          <w:tab w:val="left" w:pos="-720"/>
          <w:tab w:val="left" w:pos="5040"/>
          <w:tab w:val="center" w:pos="7200"/>
        </w:tabs>
        <w:spacing w:after="0" w:line="240" w:lineRule="auto"/>
        <w:ind w:firstLine="5040"/>
        <w:rPr>
          <w:rFonts w:eastAsia="Times New Roman" w:cs="Arial"/>
          <w:szCs w:val="24"/>
        </w:rPr>
        <w:sectPr w:rsidR="00152087" w:rsidRPr="00152087" w:rsidSect="0092367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41" w:left="1440" w:header="720" w:footer="720" w:gutter="0"/>
          <w:cols w:space="720"/>
          <w:titlePg/>
          <w:docGrid w:linePitch="326"/>
        </w:sectPr>
      </w:pPr>
    </w:p>
    <w:p w:rsidR="00152087" w:rsidRPr="00152087" w:rsidRDefault="00152087" w:rsidP="00152087">
      <w:pPr>
        <w:tabs>
          <w:tab w:val="left" w:pos="-1440"/>
          <w:tab w:val="left" w:pos="-720"/>
          <w:tab w:val="left" w:pos="5040"/>
          <w:tab w:val="center" w:pos="7200"/>
        </w:tabs>
        <w:spacing w:after="0" w:line="240" w:lineRule="auto"/>
        <w:ind w:firstLine="5040"/>
        <w:rPr>
          <w:rFonts w:eastAsia="Times New Roman" w:cs="Arial"/>
          <w:szCs w:val="24"/>
        </w:rPr>
      </w:pP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 xml:space="preserve">Matthew J. </w:t>
      </w:r>
      <w:proofErr w:type="spellStart"/>
      <w:r w:rsidRPr="00152087">
        <w:rPr>
          <w:rFonts w:eastAsia="Times New Roman" w:cs="Arial"/>
          <w:sz w:val="22"/>
        </w:rPr>
        <w:t>Satterwhite</w:t>
      </w:r>
      <w:proofErr w:type="spellEnd"/>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 xml:space="preserve">Steven T. </w:t>
      </w:r>
      <w:proofErr w:type="spellStart"/>
      <w:r w:rsidRPr="00152087">
        <w:rPr>
          <w:rFonts w:eastAsia="Times New Roman" w:cs="Arial"/>
          <w:sz w:val="22"/>
        </w:rPr>
        <w:t>Nourse</w:t>
      </w:r>
      <w:proofErr w:type="spellEnd"/>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Anne M. Vogel</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American Electric Power Service Corporation</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1 Riverside Plaza, 29</w:t>
      </w:r>
      <w:r w:rsidRPr="00152087">
        <w:rPr>
          <w:rFonts w:eastAsia="Times New Roman" w:cs="Arial"/>
          <w:sz w:val="22"/>
          <w:vertAlign w:val="superscript"/>
        </w:rPr>
        <w:t>th</w:t>
      </w:r>
      <w:r w:rsidRPr="00152087">
        <w:rPr>
          <w:rFonts w:eastAsia="Times New Roman" w:cs="Arial"/>
          <w:sz w:val="22"/>
        </w:rPr>
        <w:t xml:space="preserve"> Floor</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Columbus, OH  43215</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mjsatterwhite@aep.com</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stnourse@aep.com</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amvogel@aep.com</w:t>
      </w:r>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Daniel R. Conway</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Porter Wright Morris &amp; Arthur</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Huntington Center</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41 S. High Street</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Columbus, OH  43215</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dconway@porterwright.com</w:t>
      </w:r>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b/>
          <w:smallCaps/>
          <w:sz w:val="22"/>
        </w:rPr>
      </w:pPr>
      <w:r w:rsidRPr="00152087">
        <w:rPr>
          <w:rFonts w:eastAsia="Times New Roman" w:cs="Arial"/>
          <w:b/>
          <w:smallCaps/>
          <w:sz w:val="22"/>
        </w:rPr>
        <w:t>On Behalf of Columbus Southern Power Company and Ohio Power Company</w:t>
      </w:r>
    </w:p>
    <w:p w:rsidR="00152087" w:rsidRPr="00152087" w:rsidRDefault="00152087" w:rsidP="00152087">
      <w:pPr>
        <w:tabs>
          <w:tab w:val="left" w:pos="2160"/>
          <w:tab w:val="left" w:pos="2280"/>
        </w:tabs>
        <w:spacing w:after="0" w:line="240" w:lineRule="auto"/>
        <w:rPr>
          <w:rFonts w:eastAsia="Times New Roman" w:cs="Arial"/>
          <w:sz w:val="22"/>
        </w:rPr>
      </w:pPr>
    </w:p>
    <w:p w:rsidR="00106688" w:rsidRDefault="00106688" w:rsidP="00152087">
      <w:pPr>
        <w:tabs>
          <w:tab w:val="left" w:pos="2160"/>
          <w:tab w:val="left" w:pos="2280"/>
        </w:tabs>
        <w:spacing w:after="0" w:line="240" w:lineRule="auto"/>
        <w:rPr>
          <w:rFonts w:eastAsia="Times New Roman" w:cs="Arial"/>
          <w:sz w:val="22"/>
        </w:rPr>
      </w:pPr>
      <w:r>
        <w:rPr>
          <w:rFonts w:eastAsia="Times New Roman" w:cs="Arial"/>
          <w:sz w:val="22"/>
        </w:rPr>
        <w:t xml:space="preserve">Jeanne W. </w:t>
      </w:r>
      <w:proofErr w:type="spellStart"/>
      <w:r>
        <w:rPr>
          <w:rFonts w:eastAsia="Times New Roman" w:cs="Arial"/>
          <w:sz w:val="22"/>
        </w:rPr>
        <w:t>Kingery</w:t>
      </w:r>
      <w:proofErr w:type="spellEnd"/>
    </w:p>
    <w:p w:rsidR="00106688" w:rsidRDefault="00106688" w:rsidP="00152087">
      <w:pPr>
        <w:tabs>
          <w:tab w:val="left" w:pos="2160"/>
          <w:tab w:val="left" w:pos="2280"/>
        </w:tabs>
        <w:spacing w:after="0" w:line="240" w:lineRule="auto"/>
        <w:rPr>
          <w:rFonts w:eastAsia="Times New Roman" w:cs="Arial"/>
          <w:sz w:val="22"/>
        </w:rPr>
      </w:pPr>
      <w:r>
        <w:rPr>
          <w:rFonts w:eastAsia="Times New Roman" w:cs="Arial"/>
          <w:sz w:val="22"/>
        </w:rPr>
        <w:t>Associated General Counsel</w:t>
      </w:r>
    </w:p>
    <w:p w:rsidR="00106688" w:rsidRDefault="00106688" w:rsidP="00152087">
      <w:pPr>
        <w:tabs>
          <w:tab w:val="left" w:pos="2160"/>
          <w:tab w:val="left" w:pos="2280"/>
        </w:tabs>
        <w:spacing w:after="0" w:line="240" w:lineRule="auto"/>
        <w:rPr>
          <w:rFonts w:eastAsia="Times New Roman" w:cs="Arial"/>
          <w:sz w:val="22"/>
        </w:rPr>
      </w:pPr>
      <w:r>
        <w:rPr>
          <w:rFonts w:eastAsia="Times New Roman" w:cs="Arial"/>
          <w:sz w:val="22"/>
        </w:rPr>
        <w:t>155 East Broad Street, 21</w:t>
      </w:r>
      <w:r w:rsidRPr="00106688">
        <w:rPr>
          <w:rFonts w:eastAsia="Times New Roman" w:cs="Arial"/>
          <w:sz w:val="22"/>
          <w:vertAlign w:val="superscript"/>
        </w:rPr>
        <w:t>st</w:t>
      </w:r>
      <w:r>
        <w:rPr>
          <w:rFonts w:eastAsia="Times New Roman" w:cs="Arial"/>
          <w:sz w:val="22"/>
        </w:rPr>
        <w:t xml:space="preserve"> Floor</w:t>
      </w:r>
    </w:p>
    <w:p w:rsidR="00106688" w:rsidRDefault="00106688" w:rsidP="00152087">
      <w:pPr>
        <w:tabs>
          <w:tab w:val="left" w:pos="2160"/>
          <w:tab w:val="left" w:pos="2280"/>
        </w:tabs>
        <w:spacing w:after="0" w:line="240" w:lineRule="auto"/>
        <w:rPr>
          <w:rFonts w:eastAsia="Times New Roman" w:cs="Arial"/>
          <w:sz w:val="22"/>
        </w:rPr>
      </w:pPr>
      <w:r>
        <w:rPr>
          <w:rFonts w:eastAsia="Times New Roman" w:cs="Arial"/>
          <w:sz w:val="22"/>
        </w:rPr>
        <w:t>Columbus, OH  43215</w:t>
      </w:r>
    </w:p>
    <w:p w:rsidR="00106688" w:rsidRDefault="00106688" w:rsidP="00152087">
      <w:pPr>
        <w:tabs>
          <w:tab w:val="left" w:pos="2160"/>
          <w:tab w:val="left" w:pos="2280"/>
        </w:tabs>
        <w:spacing w:after="0" w:line="240" w:lineRule="auto"/>
        <w:rPr>
          <w:rFonts w:eastAsia="Times New Roman" w:cs="Arial"/>
          <w:sz w:val="22"/>
        </w:rPr>
      </w:pPr>
      <w:r>
        <w:rPr>
          <w:rFonts w:eastAsia="Times New Roman" w:cs="Arial"/>
          <w:sz w:val="22"/>
        </w:rPr>
        <w:t>Jeanne.Kingery@duke-energy.com</w:t>
      </w:r>
    </w:p>
    <w:p w:rsidR="00106688" w:rsidRDefault="00106688" w:rsidP="00152087">
      <w:pPr>
        <w:tabs>
          <w:tab w:val="left" w:pos="2160"/>
          <w:tab w:val="left" w:pos="2280"/>
        </w:tabs>
        <w:spacing w:after="0" w:line="240" w:lineRule="auto"/>
        <w:rPr>
          <w:rFonts w:eastAsia="Times New Roman" w:cs="Arial"/>
          <w:sz w:val="22"/>
        </w:rPr>
      </w:pPr>
      <w:r>
        <w:rPr>
          <w:rFonts w:eastAsia="Times New Roman" w:cs="Arial"/>
          <w:sz w:val="22"/>
        </w:rPr>
        <w:br w:type="column"/>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Dorothy K. Corbett</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Amy Spiller</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139 East Fourth Street</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1303-Main</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Cincinnati, OH  45202</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Dorothy.Corbett@duke-energy.com</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Amy.spiller@duke-energy.com</w:t>
      </w:r>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 xml:space="preserve">Philip B. </w:t>
      </w:r>
      <w:proofErr w:type="spellStart"/>
      <w:r w:rsidRPr="00152087">
        <w:rPr>
          <w:rFonts w:eastAsia="Times New Roman" w:cs="Arial"/>
          <w:sz w:val="22"/>
        </w:rPr>
        <w:t>Sineneng</w:t>
      </w:r>
      <w:proofErr w:type="spellEnd"/>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Terrance A. Mebane</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THOMPSON HINE LLP</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41 S. High St., Suite 1700</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Columbus, OH  43215</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Philip.Sineneng@ThompsonHine.com</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Terrance.Mebane@ThompsonHine.com</w:t>
      </w:r>
    </w:p>
    <w:p w:rsidR="00106688" w:rsidRPr="00152087" w:rsidRDefault="00106688"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b/>
          <w:smallCaps/>
          <w:sz w:val="22"/>
        </w:rPr>
      </w:pPr>
      <w:r w:rsidRPr="00152087">
        <w:rPr>
          <w:rFonts w:eastAsia="Times New Roman" w:cs="Arial"/>
          <w:b/>
          <w:smallCaps/>
          <w:sz w:val="22"/>
        </w:rPr>
        <w:t>On Behalf of Duke Energy Retail Sales, LLC</w:t>
      </w:r>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David F. Boehm</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Michael L. Kurtz</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Boehm, Kurtz &amp; Lowry</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36 East Seventh Street Suite 1510</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Cincinnati, OH  45202</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dboehm@BKLlawfirm.com</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mkurtz@BKLlawfirm.com</w:t>
      </w:r>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b/>
          <w:smallCaps/>
          <w:sz w:val="22"/>
        </w:rPr>
      </w:pPr>
      <w:r w:rsidRPr="00152087">
        <w:rPr>
          <w:rFonts w:eastAsia="Times New Roman" w:cs="Arial"/>
          <w:b/>
          <w:smallCaps/>
          <w:sz w:val="22"/>
        </w:rPr>
        <w:t>On Behalf of the Ohio Energy Group</w:t>
      </w:r>
    </w:p>
    <w:p w:rsidR="00106688" w:rsidRDefault="00106688" w:rsidP="00152087">
      <w:pPr>
        <w:tabs>
          <w:tab w:val="left" w:pos="2160"/>
          <w:tab w:val="left" w:pos="2280"/>
        </w:tabs>
        <w:spacing w:after="0" w:line="240" w:lineRule="auto"/>
        <w:rPr>
          <w:rFonts w:eastAsia="Times New Roman" w:cs="Arial"/>
          <w:sz w:val="22"/>
        </w:rPr>
        <w:sectPr w:rsidR="00106688" w:rsidSect="00F345E5">
          <w:type w:val="continuous"/>
          <w:pgSz w:w="12240" w:h="15840" w:code="1"/>
          <w:pgMar w:top="1440" w:right="1440" w:bottom="1141" w:left="1440" w:header="720" w:footer="720" w:gutter="0"/>
          <w:pgNumType w:start="1"/>
          <w:cols w:num="2" w:space="720"/>
          <w:titlePg/>
          <w:docGrid w:linePitch="326"/>
        </w:sectPr>
      </w:pP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lastRenderedPageBreak/>
        <w:t xml:space="preserve">Gregory J. </w:t>
      </w:r>
      <w:proofErr w:type="spellStart"/>
      <w:r w:rsidRPr="00152087">
        <w:rPr>
          <w:rFonts w:eastAsia="Times New Roman" w:cs="Arial"/>
          <w:sz w:val="22"/>
        </w:rPr>
        <w:t>Poulos</w:t>
      </w:r>
      <w:proofErr w:type="spellEnd"/>
    </w:p>
    <w:p w:rsidR="00152087" w:rsidRPr="00152087" w:rsidRDefault="00152087" w:rsidP="00152087">
      <w:pPr>
        <w:tabs>
          <w:tab w:val="left" w:pos="2160"/>
          <w:tab w:val="left" w:pos="2280"/>
        </w:tabs>
        <w:spacing w:after="0" w:line="240" w:lineRule="auto"/>
        <w:rPr>
          <w:rFonts w:eastAsia="Times New Roman" w:cs="Arial"/>
          <w:sz w:val="22"/>
        </w:rPr>
      </w:pPr>
      <w:proofErr w:type="spellStart"/>
      <w:r w:rsidRPr="00152087">
        <w:rPr>
          <w:rFonts w:eastAsia="Times New Roman" w:cs="Arial"/>
          <w:sz w:val="22"/>
        </w:rPr>
        <w:t>EnerNOC</w:t>
      </w:r>
      <w:proofErr w:type="spellEnd"/>
      <w:r w:rsidRPr="00152087">
        <w:rPr>
          <w:rFonts w:eastAsia="Times New Roman" w:cs="Arial"/>
          <w:sz w:val="22"/>
        </w:rPr>
        <w:t>, Inc.</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101 Federal Street, Suite 1100</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Boston, MA  02110</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gpoulos@enernoc.com</w:t>
      </w:r>
    </w:p>
    <w:p w:rsidR="00152087" w:rsidRPr="00152087" w:rsidRDefault="00152087" w:rsidP="00152087">
      <w:pPr>
        <w:tabs>
          <w:tab w:val="left" w:pos="2160"/>
          <w:tab w:val="left" w:pos="2280"/>
        </w:tabs>
        <w:spacing w:after="0" w:line="240" w:lineRule="auto"/>
        <w:rPr>
          <w:rFonts w:eastAsia="Times New Roman" w:cs="Arial"/>
          <w:sz w:val="22"/>
        </w:rPr>
      </w:pPr>
    </w:p>
    <w:p w:rsidR="00152087" w:rsidRDefault="00152087" w:rsidP="00152087">
      <w:pPr>
        <w:tabs>
          <w:tab w:val="left" w:pos="2160"/>
          <w:tab w:val="left" w:pos="2280"/>
        </w:tabs>
        <w:spacing w:after="0" w:line="240" w:lineRule="auto"/>
        <w:rPr>
          <w:rFonts w:ascii="Arial Bold" w:eastAsia="Times New Roman" w:hAnsi="Arial Bold" w:cs="Arial"/>
          <w:b/>
          <w:smallCaps/>
          <w:sz w:val="22"/>
        </w:rPr>
      </w:pPr>
      <w:proofErr w:type="gramStart"/>
      <w:r w:rsidRPr="00152087">
        <w:rPr>
          <w:rFonts w:ascii="Arial Bold" w:eastAsia="Times New Roman" w:hAnsi="Arial Bold" w:cs="Arial"/>
          <w:b/>
          <w:smallCaps/>
          <w:sz w:val="22"/>
        </w:rPr>
        <w:t xml:space="preserve">On Behalf of </w:t>
      </w:r>
      <w:proofErr w:type="spellStart"/>
      <w:r w:rsidRPr="00152087">
        <w:rPr>
          <w:rFonts w:ascii="Arial Bold" w:eastAsia="Times New Roman" w:hAnsi="Arial Bold" w:cs="Arial"/>
          <w:b/>
          <w:smallCaps/>
          <w:sz w:val="22"/>
        </w:rPr>
        <w:t>EnerNOC</w:t>
      </w:r>
      <w:proofErr w:type="spellEnd"/>
      <w:r w:rsidRPr="00152087">
        <w:rPr>
          <w:rFonts w:ascii="Arial Bold" w:eastAsia="Times New Roman" w:hAnsi="Arial Bold" w:cs="Arial"/>
          <w:b/>
          <w:smallCaps/>
          <w:sz w:val="22"/>
        </w:rPr>
        <w:t>, Inc.</w:t>
      </w:r>
      <w:proofErr w:type="gramEnd"/>
    </w:p>
    <w:p w:rsidR="00106688" w:rsidRPr="00152087" w:rsidRDefault="00106688" w:rsidP="00152087">
      <w:pPr>
        <w:tabs>
          <w:tab w:val="left" w:pos="2160"/>
          <w:tab w:val="left" w:pos="2280"/>
        </w:tabs>
        <w:spacing w:after="0" w:line="240" w:lineRule="auto"/>
        <w:rPr>
          <w:rFonts w:ascii="Arial Bold" w:eastAsia="Times New Roman" w:hAnsi="Arial Bold" w:cs="Arial"/>
          <w:b/>
          <w:smallCaps/>
          <w:sz w:val="22"/>
        </w:rPr>
      </w:pP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 xml:space="preserve">Terry L. </w:t>
      </w:r>
      <w:proofErr w:type="spellStart"/>
      <w:r w:rsidRPr="00152087">
        <w:rPr>
          <w:rFonts w:eastAsia="Times New Roman" w:cs="Arial"/>
          <w:sz w:val="22"/>
        </w:rPr>
        <w:t>Etter</w:t>
      </w:r>
      <w:proofErr w:type="spellEnd"/>
      <w:r w:rsidRPr="00152087">
        <w:rPr>
          <w:rFonts w:eastAsia="Times New Roman" w:cs="Arial"/>
          <w:sz w:val="22"/>
        </w:rPr>
        <w:t xml:space="preserve"> </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Maureen R. Grady</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Office of the Ohio Consumers’ Counsel</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10 W. Broad Street, 18</w:t>
      </w:r>
      <w:r w:rsidRPr="00152087">
        <w:rPr>
          <w:rFonts w:eastAsia="Times New Roman" w:cs="Arial"/>
          <w:sz w:val="22"/>
          <w:vertAlign w:val="superscript"/>
        </w:rPr>
        <w:t>th</w:t>
      </w:r>
      <w:r w:rsidRPr="00152087">
        <w:rPr>
          <w:rFonts w:eastAsia="Times New Roman" w:cs="Arial"/>
          <w:sz w:val="22"/>
        </w:rPr>
        <w:t xml:space="preserve"> Floor</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Columbus, OH  43215-3485</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etter@occ.state.oh.us</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grady@occ.state.oh.us</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small@occ.state.oh.us</w:t>
      </w:r>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b/>
          <w:smallCaps/>
          <w:sz w:val="22"/>
        </w:rPr>
      </w:pPr>
      <w:r w:rsidRPr="00152087">
        <w:rPr>
          <w:rFonts w:eastAsia="Times New Roman" w:cs="Arial"/>
          <w:b/>
          <w:smallCaps/>
          <w:sz w:val="22"/>
        </w:rPr>
        <w:t>On Behalf of the Office of the Ohio</w:t>
      </w:r>
    </w:p>
    <w:p w:rsidR="00152087" w:rsidRPr="00152087" w:rsidRDefault="00152087" w:rsidP="00152087">
      <w:pPr>
        <w:tabs>
          <w:tab w:val="left" w:pos="2160"/>
          <w:tab w:val="left" w:pos="2280"/>
        </w:tabs>
        <w:spacing w:after="0" w:line="240" w:lineRule="auto"/>
        <w:rPr>
          <w:rFonts w:eastAsia="Times New Roman" w:cs="Arial"/>
          <w:b/>
          <w:smallCaps/>
          <w:sz w:val="22"/>
        </w:rPr>
      </w:pPr>
      <w:r w:rsidRPr="00152087">
        <w:rPr>
          <w:rFonts w:eastAsia="Times New Roman" w:cs="Arial"/>
          <w:b/>
          <w:smallCaps/>
          <w:sz w:val="22"/>
        </w:rPr>
        <w:t>Consumers’ Counsel</w:t>
      </w:r>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Richard L. Sites</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General Counsel &amp; Senior Director of Health Policy</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Ohio Hospital Association</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155 East Broad Street, 15</w:t>
      </w:r>
      <w:r w:rsidRPr="00152087">
        <w:rPr>
          <w:rFonts w:eastAsia="Times New Roman" w:cs="Arial"/>
          <w:sz w:val="22"/>
          <w:vertAlign w:val="superscript"/>
        </w:rPr>
        <w:t>th</w:t>
      </w:r>
      <w:r w:rsidRPr="00152087">
        <w:rPr>
          <w:rFonts w:eastAsia="Times New Roman" w:cs="Arial"/>
          <w:sz w:val="22"/>
        </w:rPr>
        <w:t xml:space="preserve"> Floor</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Columbus, OH  43215-3620</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ricks@ohanet.org</w:t>
      </w:r>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Thomas J. O’Brien</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caps/>
          <w:sz w:val="22"/>
        </w:rPr>
        <w:t>Bricker &amp; Eckler</w:t>
      </w:r>
      <w:r w:rsidRPr="00152087">
        <w:rPr>
          <w:rFonts w:eastAsia="Times New Roman" w:cs="Arial"/>
          <w:sz w:val="22"/>
        </w:rPr>
        <w:t>, LLP</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100 South Third Street</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Columbus, OH  43215-4291</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tobrien@bricker.com</w:t>
      </w:r>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b/>
          <w:smallCaps/>
          <w:sz w:val="22"/>
        </w:rPr>
      </w:pPr>
      <w:r w:rsidRPr="00152087">
        <w:rPr>
          <w:rFonts w:eastAsia="Times New Roman" w:cs="Arial"/>
          <w:b/>
          <w:smallCaps/>
          <w:sz w:val="22"/>
        </w:rPr>
        <w:t>Oh Behalf of Ohio Hospital Association</w:t>
      </w:r>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 xml:space="preserve">John W. </w:t>
      </w:r>
      <w:proofErr w:type="spellStart"/>
      <w:r w:rsidRPr="00152087">
        <w:rPr>
          <w:rFonts w:eastAsia="Times New Roman" w:cs="Arial"/>
          <w:sz w:val="22"/>
        </w:rPr>
        <w:t>Bentine</w:t>
      </w:r>
      <w:proofErr w:type="spellEnd"/>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 xml:space="preserve">Mark S. </w:t>
      </w:r>
      <w:proofErr w:type="spellStart"/>
      <w:r w:rsidRPr="00152087">
        <w:rPr>
          <w:rFonts w:eastAsia="Times New Roman" w:cs="Arial"/>
          <w:sz w:val="22"/>
        </w:rPr>
        <w:t>Yurick</w:t>
      </w:r>
      <w:proofErr w:type="spellEnd"/>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 xml:space="preserve">Zachary D. </w:t>
      </w:r>
      <w:proofErr w:type="spellStart"/>
      <w:r w:rsidRPr="00152087">
        <w:rPr>
          <w:rFonts w:eastAsia="Times New Roman" w:cs="Arial"/>
          <w:sz w:val="22"/>
        </w:rPr>
        <w:t>Kravitz</w:t>
      </w:r>
      <w:proofErr w:type="spellEnd"/>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 xml:space="preserve">Chester </w:t>
      </w:r>
      <w:proofErr w:type="spellStart"/>
      <w:r w:rsidRPr="00152087">
        <w:rPr>
          <w:rFonts w:eastAsia="Times New Roman" w:cs="Arial"/>
          <w:sz w:val="22"/>
        </w:rPr>
        <w:t>Willcox</w:t>
      </w:r>
      <w:proofErr w:type="spellEnd"/>
      <w:r w:rsidRPr="00152087">
        <w:rPr>
          <w:rFonts w:eastAsia="Times New Roman" w:cs="Arial"/>
          <w:sz w:val="22"/>
        </w:rPr>
        <w:t xml:space="preserve"> &amp; </w:t>
      </w:r>
      <w:proofErr w:type="spellStart"/>
      <w:r w:rsidRPr="00152087">
        <w:rPr>
          <w:rFonts w:eastAsia="Times New Roman" w:cs="Arial"/>
          <w:sz w:val="22"/>
        </w:rPr>
        <w:t>Saxbe</w:t>
      </w:r>
      <w:proofErr w:type="spellEnd"/>
      <w:r w:rsidRPr="00152087">
        <w:rPr>
          <w:rFonts w:eastAsia="Times New Roman" w:cs="Arial"/>
          <w:sz w:val="22"/>
        </w:rPr>
        <w:t>, LLP</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65 East State Street, Suite 1000</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Columbus, OH  43215</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jbentine@cwslaw.com</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myurick@cwslaw.com</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zkravitz@cwslaw.com</w:t>
      </w:r>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b/>
          <w:smallCaps/>
          <w:sz w:val="22"/>
        </w:rPr>
      </w:pPr>
      <w:proofErr w:type="gramStart"/>
      <w:r w:rsidRPr="00152087">
        <w:rPr>
          <w:rFonts w:eastAsia="Times New Roman" w:cs="Arial"/>
          <w:b/>
          <w:smallCaps/>
          <w:sz w:val="22"/>
        </w:rPr>
        <w:t>On Behalf of The Kroger Co.</w:t>
      </w:r>
      <w:proofErr w:type="gramEnd"/>
    </w:p>
    <w:p w:rsidR="00152087" w:rsidRPr="00106688" w:rsidRDefault="00106688" w:rsidP="00152087">
      <w:pPr>
        <w:tabs>
          <w:tab w:val="left" w:pos="2160"/>
          <w:tab w:val="left" w:pos="2280"/>
        </w:tabs>
        <w:spacing w:after="0" w:line="240" w:lineRule="auto"/>
        <w:rPr>
          <w:rFonts w:eastAsia="Times New Roman" w:cs="Arial"/>
          <w:smallCaps/>
          <w:sz w:val="22"/>
        </w:rPr>
      </w:pPr>
      <w:r>
        <w:rPr>
          <w:rFonts w:eastAsia="Times New Roman" w:cs="Arial"/>
          <w:smallCaps/>
          <w:sz w:val="22"/>
        </w:rPr>
        <w:br w:type="column"/>
      </w:r>
      <w:r w:rsidR="00152087" w:rsidRPr="00152087">
        <w:rPr>
          <w:rFonts w:eastAsia="Times New Roman" w:cs="Arial"/>
          <w:sz w:val="22"/>
        </w:rPr>
        <w:lastRenderedPageBreak/>
        <w:t>Terrence O’Donnell</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Christopher Montgomery</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caps/>
          <w:sz w:val="22"/>
        </w:rPr>
        <w:t>Bricker &amp; Eckler</w:t>
      </w:r>
      <w:r w:rsidRPr="00152087">
        <w:rPr>
          <w:rFonts w:eastAsia="Times New Roman" w:cs="Arial"/>
          <w:sz w:val="22"/>
        </w:rPr>
        <w:t xml:space="preserve"> LLP</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100 South Third Street</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Columbus, OH  43215-4291</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todonnell@bricker.com</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cmontgomery@bricker.com</w:t>
      </w:r>
    </w:p>
    <w:p w:rsidR="00152087" w:rsidRPr="00152087" w:rsidRDefault="00152087" w:rsidP="00152087">
      <w:pPr>
        <w:tabs>
          <w:tab w:val="left" w:pos="2160"/>
          <w:tab w:val="left" w:pos="2280"/>
        </w:tabs>
        <w:spacing w:after="0" w:line="240" w:lineRule="auto"/>
        <w:rPr>
          <w:rFonts w:eastAsia="Times New Roman" w:cs="Arial"/>
          <w:sz w:val="22"/>
        </w:rPr>
      </w:pPr>
    </w:p>
    <w:p w:rsidR="00106688" w:rsidRDefault="00152087" w:rsidP="00152087">
      <w:pPr>
        <w:tabs>
          <w:tab w:val="left" w:pos="2160"/>
          <w:tab w:val="left" w:pos="2280"/>
        </w:tabs>
        <w:spacing w:after="0" w:line="240" w:lineRule="auto"/>
        <w:rPr>
          <w:rFonts w:eastAsia="Times New Roman" w:cs="Arial"/>
          <w:b/>
          <w:smallCaps/>
          <w:sz w:val="22"/>
        </w:rPr>
      </w:pPr>
      <w:r w:rsidRPr="00152087">
        <w:rPr>
          <w:rFonts w:eastAsia="Times New Roman" w:cs="Arial"/>
          <w:b/>
          <w:smallCaps/>
          <w:sz w:val="22"/>
        </w:rPr>
        <w:t xml:space="preserve">On Behalf of Paulding Wind Farm II LLC </w:t>
      </w:r>
    </w:p>
    <w:p w:rsidR="00106688" w:rsidRDefault="00106688" w:rsidP="00152087">
      <w:pPr>
        <w:tabs>
          <w:tab w:val="left" w:pos="2160"/>
          <w:tab w:val="left" w:pos="2280"/>
        </w:tabs>
        <w:spacing w:after="0" w:line="240" w:lineRule="auto"/>
        <w:rPr>
          <w:rFonts w:eastAsia="Times New Roman" w:cs="Arial"/>
          <w:b/>
          <w:smallCaps/>
          <w:sz w:val="22"/>
        </w:rPr>
      </w:pPr>
    </w:p>
    <w:p w:rsidR="00152087" w:rsidRPr="00152087" w:rsidRDefault="00152087" w:rsidP="00152087">
      <w:pPr>
        <w:tabs>
          <w:tab w:val="left" w:pos="2160"/>
          <w:tab w:val="left" w:pos="2280"/>
        </w:tabs>
        <w:spacing w:after="0" w:line="240" w:lineRule="auto"/>
        <w:rPr>
          <w:rFonts w:eastAsia="Times New Roman" w:cs="Arial"/>
          <w:b/>
          <w:smallCaps/>
          <w:sz w:val="22"/>
        </w:rPr>
      </w:pPr>
      <w:r w:rsidRPr="00152087">
        <w:rPr>
          <w:rFonts w:eastAsia="Times New Roman" w:cs="Arial"/>
          <w:sz w:val="22"/>
        </w:rPr>
        <w:t>Mark A. Hayden</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FirstEnergy Service Company</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76 South Main Street</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Akron, OH  44308</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haydenm@firstenergycorp.com</w:t>
      </w:r>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James F Lang</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Laura C. McBride</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N. Trevor Alexander</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caps/>
          <w:sz w:val="22"/>
        </w:rPr>
        <w:t>Calfee, Halter &amp; Griswold</w:t>
      </w:r>
      <w:r w:rsidRPr="00152087">
        <w:rPr>
          <w:rFonts w:eastAsia="Times New Roman" w:cs="Arial"/>
          <w:sz w:val="22"/>
        </w:rPr>
        <w:t xml:space="preserve"> LLP</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1400 KeyBank Center</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800 Superior Ave.</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Cleveland, OH  44114</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jlang@calfee.com</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lmcbride@calfee.com</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talexander@calfee.com</w:t>
      </w:r>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 xml:space="preserve">David A. </w:t>
      </w:r>
      <w:proofErr w:type="spellStart"/>
      <w:r w:rsidRPr="00152087">
        <w:rPr>
          <w:rFonts w:eastAsia="Times New Roman" w:cs="Arial"/>
          <w:sz w:val="22"/>
        </w:rPr>
        <w:t>Kutik</w:t>
      </w:r>
      <w:proofErr w:type="spellEnd"/>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Jones Day</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North Point</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901 Lakeside Avenue</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Cleveland, OH  44114</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dakutik@jonesday.com</w:t>
      </w:r>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 xml:space="preserve">Allison E. </w:t>
      </w:r>
      <w:proofErr w:type="spellStart"/>
      <w:r w:rsidRPr="00152087">
        <w:rPr>
          <w:rFonts w:eastAsia="Times New Roman" w:cs="Arial"/>
          <w:sz w:val="22"/>
        </w:rPr>
        <w:t>Haedt</w:t>
      </w:r>
      <w:proofErr w:type="spellEnd"/>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Jones Day</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P.O. Box 165017</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Columbus, OH  43216-5017</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aehaedt@jonesday.com</w:t>
      </w:r>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John N. Estes III</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Paul F. Wight</w:t>
      </w:r>
    </w:p>
    <w:p w:rsidR="00152087" w:rsidRPr="00152087" w:rsidRDefault="00152087" w:rsidP="00152087">
      <w:pPr>
        <w:tabs>
          <w:tab w:val="left" w:pos="2160"/>
          <w:tab w:val="left" w:pos="2280"/>
        </w:tabs>
        <w:spacing w:after="0" w:line="240" w:lineRule="auto"/>
        <w:rPr>
          <w:rFonts w:eastAsia="Times New Roman" w:cs="Arial"/>
          <w:sz w:val="22"/>
        </w:rPr>
      </w:pPr>
      <w:proofErr w:type="spellStart"/>
      <w:r w:rsidRPr="00152087">
        <w:rPr>
          <w:rFonts w:eastAsia="Times New Roman" w:cs="Arial"/>
          <w:sz w:val="22"/>
        </w:rPr>
        <w:t>Skadden</w:t>
      </w:r>
      <w:proofErr w:type="spellEnd"/>
      <w:r w:rsidRPr="00152087">
        <w:rPr>
          <w:rFonts w:eastAsia="Times New Roman" w:cs="Arial"/>
          <w:sz w:val="22"/>
        </w:rPr>
        <w:t xml:space="preserve">, </w:t>
      </w:r>
      <w:proofErr w:type="spellStart"/>
      <w:r w:rsidRPr="00152087">
        <w:rPr>
          <w:rFonts w:eastAsia="Times New Roman" w:cs="Arial"/>
          <w:sz w:val="22"/>
        </w:rPr>
        <w:t>Arps</w:t>
      </w:r>
      <w:proofErr w:type="spellEnd"/>
      <w:r w:rsidRPr="00152087">
        <w:rPr>
          <w:rFonts w:eastAsia="Times New Roman" w:cs="Arial"/>
          <w:sz w:val="22"/>
        </w:rPr>
        <w:t xml:space="preserve">, Slate, Meagher &amp; </w:t>
      </w:r>
      <w:proofErr w:type="spellStart"/>
      <w:r w:rsidRPr="00152087">
        <w:rPr>
          <w:rFonts w:eastAsia="Times New Roman" w:cs="Arial"/>
          <w:sz w:val="22"/>
        </w:rPr>
        <w:t>Flom</w:t>
      </w:r>
      <w:proofErr w:type="spellEnd"/>
      <w:r w:rsidRPr="00152087">
        <w:rPr>
          <w:rFonts w:eastAsia="Times New Roman" w:cs="Arial"/>
          <w:sz w:val="22"/>
        </w:rPr>
        <w:t xml:space="preserve"> LLP</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1440 New York Ave., N.W.</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Washington, DC  20005</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jestes@skadden.com</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paul.wight@skadden.com</w:t>
      </w:r>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b/>
          <w:smallCaps/>
          <w:sz w:val="22"/>
        </w:rPr>
      </w:pPr>
      <w:proofErr w:type="gramStart"/>
      <w:r w:rsidRPr="00152087">
        <w:rPr>
          <w:rFonts w:eastAsia="Times New Roman" w:cs="Arial"/>
          <w:b/>
          <w:smallCaps/>
          <w:sz w:val="22"/>
        </w:rPr>
        <w:t>On Behalf of FirstEnergy Solutions Corp.</w:t>
      </w:r>
      <w:proofErr w:type="gramEnd"/>
    </w:p>
    <w:p w:rsidR="00152087" w:rsidRPr="00152087" w:rsidRDefault="00152087" w:rsidP="00152087">
      <w:pPr>
        <w:tabs>
          <w:tab w:val="left" w:pos="2160"/>
          <w:tab w:val="left" w:pos="2280"/>
        </w:tabs>
        <w:spacing w:after="0" w:line="240" w:lineRule="auto"/>
        <w:rPr>
          <w:rFonts w:eastAsia="Times New Roman" w:cs="Arial"/>
          <w:b/>
          <w:smallCaps/>
          <w:sz w:val="22"/>
        </w:rPr>
      </w:pP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 xml:space="preserve">Michael R. </w:t>
      </w:r>
      <w:proofErr w:type="spellStart"/>
      <w:r w:rsidRPr="00152087">
        <w:rPr>
          <w:rFonts w:eastAsia="Times New Roman" w:cs="Arial"/>
          <w:sz w:val="22"/>
        </w:rPr>
        <w:t>Smalz</w:t>
      </w:r>
      <w:proofErr w:type="spellEnd"/>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lastRenderedPageBreak/>
        <w:t xml:space="preserve">Joseph V. </w:t>
      </w:r>
      <w:proofErr w:type="spellStart"/>
      <w:r w:rsidRPr="00152087">
        <w:rPr>
          <w:rFonts w:eastAsia="Times New Roman" w:cs="Arial"/>
          <w:sz w:val="22"/>
        </w:rPr>
        <w:t>Maskovyak</w:t>
      </w:r>
      <w:proofErr w:type="spellEnd"/>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Ohio Poverty Law Center</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 xml:space="preserve">555 </w:t>
      </w:r>
      <w:proofErr w:type="spellStart"/>
      <w:r w:rsidRPr="00152087">
        <w:rPr>
          <w:rFonts w:eastAsia="Times New Roman" w:cs="Arial"/>
          <w:sz w:val="22"/>
        </w:rPr>
        <w:t>Buttles</w:t>
      </w:r>
      <w:proofErr w:type="spellEnd"/>
      <w:r w:rsidRPr="00152087">
        <w:rPr>
          <w:rFonts w:eastAsia="Times New Roman" w:cs="Arial"/>
          <w:sz w:val="22"/>
        </w:rPr>
        <w:t xml:space="preserve"> Avenue</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Columbus, OH  43215</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msmalz@ohiopovertylaw.org</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jmaskovyak@ohiopovertylaw.org</w:t>
      </w:r>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b/>
          <w:smallCaps/>
          <w:sz w:val="22"/>
        </w:rPr>
      </w:pPr>
      <w:r w:rsidRPr="00152087">
        <w:rPr>
          <w:rFonts w:eastAsia="Times New Roman" w:cs="Arial"/>
          <w:b/>
          <w:smallCaps/>
          <w:sz w:val="22"/>
        </w:rPr>
        <w:t>On Behalf of the Appalachian Peace and Justice Network</w:t>
      </w:r>
    </w:p>
    <w:p w:rsidR="00152087" w:rsidRPr="00152087" w:rsidRDefault="00152087" w:rsidP="00152087">
      <w:pPr>
        <w:autoSpaceDE w:val="0"/>
        <w:autoSpaceDN w:val="0"/>
        <w:adjustRightInd w:val="0"/>
        <w:spacing w:after="0" w:line="240" w:lineRule="auto"/>
        <w:rPr>
          <w:rFonts w:eastAsia="Calibri" w:cs="Arial"/>
          <w:sz w:val="22"/>
        </w:rPr>
      </w:pPr>
    </w:p>
    <w:p w:rsidR="00152087" w:rsidRPr="00152087" w:rsidRDefault="00152087" w:rsidP="00152087">
      <w:pPr>
        <w:autoSpaceDE w:val="0"/>
        <w:autoSpaceDN w:val="0"/>
        <w:adjustRightInd w:val="0"/>
        <w:spacing w:after="0" w:line="240" w:lineRule="auto"/>
        <w:rPr>
          <w:rFonts w:eastAsia="Calibri" w:cs="Arial"/>
          <w:sz w:val="22"/>
        </w:rPr>
      </w:pPr>
      <w:r w:rsidRPr="00152087">
        <w:rPr>
          <w:rFonts w:eastAsia="Calibri" w:cs="Arial"/>
          <w:sz w:val="22"/>
        </w:rPr>
        <w:t>Lisa G. McAlister</w:t>
      </w:r>
    </w:p>
    <w:p w:rsidR="00152087" w:rsidRPr="00152087" w:rsidRDefault="00152087" w:rsidP="00152087">
      <w:pPr>
        <w:autoSpaceDE w:val="0"/>
        <w:autoSpaceDN w:val="0"/>
        <w:adjustRightInd w:val="0"/>
        <w:spacing w:after="0" w:line="240" w:lineRule="auto"/>
        <w:rPr>
          <w:rFonts w:eastAsia="Calibri" w:cs="Arial"/>
          <w:sz w:val="22"/>
        </w:rPr>
      </w:pPr>
      <w:r w:rsidRPr="00152087">
        <w:rPr>
          <w:rFonts w:eastAsia="Calibri" w:cs="Arial"/>
          <w:sz w:val="22"/>
        </w:rPr>
        <w:t>Matthew W. Warnock</w:t>
      </w:r>
    </w:p>
    <w:p w:rsidR="00152087" w:rsidRPr="00152087" w:rsidRDefault="00152087" w:rsidP="00152087">
      <w:pPr>
        <w:autoSpaceDE w:val="0"/>
        <w:autoSpaceDN w:val="0"/>
        <w:adjustRightInd w:val="0"/>
        <w:spacing w:after="0" w:line="240" w:lineRule="auto"/>
        <w:rPr>
          <w:rFonts w:eastAsia="Calibri" w:cs="Arial"/>
          <w:sz w:val="22"/>
        </w:rPr>
      </w:pPr>
      <w:r w:rsidRPr="00152087">
        <w:rPr>
          <w:rFonts w:eastAsia="Calibri" w:cs="Arial"/>
          <w:sz w:val="22"/>
        </w:rPr>
        <w:t>Thomas O’Brien</w:t>
      </w:r>
    </w:p>
    <w:p w:rsidR="00152087" w:rsidRPr="00152087" w:rsidRDefault="00152087" w:rsidP="00152087">
      <w:pPr>
        <w:autoSpaceDE w:val="0"/>
        <w:autoSpaceDN w:val="0"/>
        <w:adjustRightInd w:val="0"/>
        <w:spacing w:after="0" w:line="240" w:lineRule="auto"/>
        <w:rPr>
          <w:rFonts w:eastAsia="Calibri" w:cs="Arial"/>
          <w:sz w:val="22"/>
        </w:rPr>
      </w:pPr>
      <w:r w:rsidRPr="00152087">
        <w:rPr>
          <w:rFonts w:eastAsia="Calibri" w:cs="Arial"/>
          <w:sz w:val="22"/>
        </w:rPr>
        <w:t>BRICKER &amp; ECKLER LLP</w:t>
      </w:r>
    </w:p>
    <w:p w:rsidR="00152087" w:rsidRPr="00152087" w:rsidRDefault="00152087" w:rsidP="00152087">
      <w:pPr>
        <w:autoSpaceDE w:val="0"/>
        <w:autoSpaceDN w:val="0"/>
        <w:adjustRightInd w:val="0"/>
        <w:spacing w:after="0" w:line="240" w:lineRule="auto"/>
        <w:rPr>
          <w:rFonts w:eastAsia="Calibri" w:cs="Arial"/>
          <w:sz w:val="22"/>
        </w:rPr>
      </w:pPr>
      <w:r w:rsidRPr="00152087">
        <w:rPr>
          <w:rFonts w:eastAsia="Calibri" w:cs="Arial"/>
          <w:sz w:val="22"/>
        </w:rPr>
        <w:t>100 South Third Street</w:t>
      </w:r>
    </w:p>
    <w:p w:rsidR="00152087" w:rsidRPr="00152087" w:rsidRDefault="00152087" w:rsidP="00152087">
      <w:pPr>
        <w:tabs>
          <w:tab w:val="left" w:pos="2160"/>
          <w:tab w:val="left" w:pos="2280"/>
        </w:tabs>
        <w:spacing w:after="0" w:line="240" w:lineRule="auto"/>
        <w:rPr>
          <w:rFonts w:eastAsia="Calibri" w:cs="Arial"/>
          <w:sz w:val="22"/>
        </w:rPr>
      </w:pPr>
      <w:r w:rsidRPr="00152087">
        <w:rPr>
          <w:rFonts w:eastAsia="Calibri" w:cs="Arial"/>
          <w:sz w:val="22"/>
        </w:rPr>
        <w:t>Columbus, OH 43215-4291</w:t>
      </w:r>
    </w:p>
    <w:p w:rsidR="00152087" w:rsidRPr="00152087" w:rsidRDefault="00152087" w:rsidP="00152087">
      <w:pPr>
        <w:tabs>
          <w:tab w:val="left" w:pos="2160"/>
          <w:tab w:val="left" w:pos="2280"/>
        </w:tabs>
        <w:spacing w:after="0" w:line="240" w:lineRule="auto"/>
        <w:rPr>
          <w:rFonts w:eastAsia="Calibri" w:cs="Arial"/>
          <w:sz w:val="22"/>
        </w:rPr>
      </w:pPr>
      <w:r w:rsidRPr="00152087">
        <w:rPr>
          <w:rFonts w:eastAsia="Calibri" w:cs="Arial"/>
          <w:sz w:val="22"/>
        </w:rPr>
        <w:t>lmcalister@bricker.com</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mwarnock@bricker.com</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tobrien@bricker.com</w:t>
      </w:r>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b/>
          <w:smallCaps/>
          <w:sz w:val="22"/>
        </w:rPr>
      </w:pPr>
      <w:r w:rsidRPr="00152087">
        <w:rPr>
          <w:rFonts w:eastAsia="Times New Roman" w:cs="Arial"/>
          <w:b/>
          <w:smallCaps/>
          <w:sz w:val="22"/>
        </w:rPr>
        <w:t>On Behalf of OMA Energy Group</w:t>
      </w:r>
    </w:p>
    <w:p w:rsidR="00152087" w:rsidRPr="00152087" w:rsidRDefault="00152087" w:rsidP="00152087">
      <w:pPr>
        <w:tabs>
          <w:tab w:val="left" w:pos="2160"/>
          <w:tab w:val="left" w:pos="2280"/>
        </w:tabs>
        <w:spacing w:after="0" w:line="240" w:lineRule="auto"/>
        <w:rPr>
          <w:rFonts w:eastAsia="Times New Roman" w:cs="Arial"/>
          <w:b/>
          <w:smallCaps/>
          <w:sz w:val="22"/>
        </w:rPr>
      </w:pPr>
    </w:p>
    <w:p w:rsidR="00152087" w:rsidRPr="00152087" w:rsidRDefault="00152087" w:rsidP="00152087">
      <w:pPr>
        <w:tabs>
          <w:tab w:val="left" w:pos="2160"/>
          <w:tab w:val="left" w:pos="2280"/>
        </w:tabs>
        <w:spacing w:after="0" w:line="240" w:lineRule="auto"/>
        <w:rPr>
          <w:rFonts w:eastAsia="Times New Roman" w:cs="Arial"/>
          <w:b/>
          <w:smallCaps/>
          <w:sz w:val="22"/>
        </w:rPr>
      </w:pPr>
      <w:r w:rsidRPr="00152087">
        <w:rPr>
          <w:rFonts w:eastAsia="Times New Roman" w:cs="Arial"/>
          <w:sz w:val="22"/>
        </w:rPr>
        <w:t xml:space="preserve">Jay E. </w:t>
      </w:r>
      <w:proofErr w:type="spellStart"/>
      <w:r w:rsidRPr="00152087">
        <w:rPr>
          <w:rFonts w:eastAsia="Times New Roman" w:cs="Arial"/>
          <w:sz w:val="22"/>
        </w:rPr>
        <w:t>Jadwin</w:t>
      </w:r>
      <w:proofErr w:type="spellEnd"/>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American Electric Power Service Corporation</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1 Riverside Plaza, 29</w:t>
      </w:r>
      <w:r w:rsidRPr="00152087">
        <w:rPr>
          <w:rFonts w:eastAsia="Times New Roman" w:cs="Arial"/>
          <w:sz w:val="22"/>
          <w:vertAlign w:val="superscript"/>
        </w:rPr>
        <w:t>th</w:t>
      </w:r>
      <w:r w:rsidRPr="00152087">
        <w:rPr>
          <w:rFonts w:eastAsia="Times New Roman" w:cs="Arial"/>
          <w:sz w:val="22"/>
        </w:rPr>
        <w:t xml:space="preserve"> Floor</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Columbus, OH  43215</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jejadwin@aep.com</w:t>
      </w:r>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b/>
          <w:smallCaps/>
          <w:sz w:val="22"/>
        </w:rPr>
      </w:pPr>
      <w:r w:rsidRPr="00152087">
        <w:rPr>
          <w:rFonts w:eastAsia="Times New Roman" w:cs="Arial"/>
          <w:b/>
          <w:smallCaps/>
          <w:sz w:val="22"/>
        </w:rPr>
        <w:t>On Behalf of AEP Retail Energy Partners LLC</w:t>
      </w:r>
    </w:p>
    <w:p w:rsidR="00152087" w:rsidRPr="00152087" w:rsidRDefault="00152087" w:rsidP="00152087">
      <w:pPr>
        <w:tabs>
          <w:tab w:val="left" w:pos="2160"/>
          <w:tab w:val="left" w:pos="2280"/>
        </w:tabs>
        <w:spacing w:after="0" w:line="240" w:lineRule="auto"/>
        <w:rPr>
          <w:rFonts w:eastAsia="Times New Roman" w:cs="Arial"/>
          <w:b/>
          <w:smallCaps/>
          <w:sz w:val="22"/>
        </w:rPr>
      </w:pP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 xml:space="preserve">M. Howard </w:t>
      </w:r>
      <w:proofErr w:type="spellStart"/>
      <w:r w:rsidRPr="00152087">
        <w:rPr>
          <w:rFonts w:eastAsia="Times New Roman" w:cs="Arial"/>
          <w:sz w:val="22"/>
        </w:rPr>
        <w:t>Petricoff</w:t>
      </w:r>
      <w:proofErr w:type="spellEnd"/>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Stephen M. Howard</w:t>
      </w:r>
    </w:p>
    <w:p w:rsidR="00152087" w:rsidRPr="00152087" w:rsidRDefault="00152087" w:rsidP="00152087">
      <w:pPr>
        <w:tabs>
          <w:tab w:val="left" w:pos="2160"/>
          <w:tab w:val="left" w:pos="2280"/>
        </w:tabs>
        <w:spacing w:after="0" w:line="240" w:lineRule="auto"/>
        <w:rPr>
          <w:rFonts w:eastAsia="Times New Roman" w:cs="Arial"/>
          <w:sz w:val="22"/>
        </w:rPr>
      </w:pPr>
      <w:proofErr w:type="spellStart"/>
      <w:r w:rsidRPr="00152087">
        <w:rPr>
          <w:rFonts w:eastAsia="Times New Roman" w:cs="Arial"/>
          <w:sz w:val="22"/>
        </w:rPr>
        <w:t>Vorys</w:t>
      </w:r>
      <w:proofErr w:type="spellEnd"/>
      <w:r w:rsidRPr="00152087">
        <w:rPr>
          <w:rFonts w:eastAsia="Times New Roman" w:cs="Arial"/>
          <w:sz w:val="22"/>
        </w:rPr>
        <w:t xml:space="preserve">, </w:t>
      </w:r>
      <w:proofErr w:type="spellStart"/>
      <w:r w:rsidRPr="00152087">
        <w:rPr>
          <w:rFonts w:eastAsia="Times New Roman" w:cs="Arial"/>
          <w:sz w:val="22"/>
        </w:rPr>
        <w:t>Sater</w:t>
      </w:r>
      <w:proofErr w:type="spellEnd"/>
      <w:r w:rsidRPr="00152087">
        <w:rPr>
          <w:rFonts w:eastAsia="Times New Roman" w:cs="Arial"/>
          <w:sz w:val="22"/>
        </w:rPr>
        <w:t>, Seymour and Pease LLP</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52 E. Gay Street</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P.O. Box 1008</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Columbus, OH  43215-1008</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mhpetricoff@vorys.com</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smhoward@vorys.com</w:t>
      </w:r>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b/>
          <w:smallCaps/>
          <w:sz w:val="22"/>
        </w:rPr>
      </w:pPr>
      <w:r w:rsidRPr="00152087">
        <w:rPr>
          <w:rFonts w:eastAsia="Times New Roman" w:cs="Arial"/>
          <w:b/>
          <w:smallCaps/>
          <w:sz w:val="22"/>
        </w:rPr>
        <w:t>On Behalf of PJM Power Providers Group and the Retail Energy Supply Association</w:t>
      </w:r>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Glen Thomas</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1060 First Avenue, Ste. 400</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King of Prussia, PA  19406</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gthomas@gtpowergroup.com</w:t>
      </w:r>
    </w:p>
    <w:p w:rsidR="00152087" w:rsidRPr="00152087" w:rsidRDefault="00106688" w:rsidP="00152087">
      <w:pPr>
        <w:tabs>
          <w:tab w:val="left" w:pos="2160"/>
          <w:tab w:val="left" w:pos="2280"/>
        </w:tabs>
        <w:spacing w:after="0" w:line="240" w:lineRule="auto"/>
        <w:rPr>
          <w:rFonts w:eastAsia="Times New Roman" w:cs="Arial"/>
          <w:sz w:val="22"/>
        </w:rPr>
      </w:pPr>
      <w:r>
        <w:rPr>
          <w:rFonts w:eastAsia="Times New Roman" w:cs="Arial"/>
          <w:sz w:val="22"/>
        </w:rPr>
        <w:br w:type="column"/>
      </w:r>
      <w:r w:rsidR="00152087" w:rsidRPr="00152087">
        <w:rPr>
          <w:rFonts w:eastAsia="Times New Roman" w:cs="Arial"/>
          <w:sz w:val="22"/>
        </w:rPr>
        <w:lastRenderedPageBreak/>
        <w:t>Laura Chappelle</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4218 Jacob Meadows</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Okemos, MI  48864</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laurac@chappelleconsulting.net</w:t>
      </w:r>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b/>
          <w:smallCaps/>
          <w:sz w:val="22"/>
        </w:rPr>
      </w:pPr>
      <w:r w:rsidRPr="00152087">
        <w:rPr>
          <w:rFonts w:eastAsia="Times New Roman" w:cs="Arial"/>
          <w:b/>
          <w:smallCaps/>
          <w:sz w:val="22"/>
        </w:rPr>
        <w:t>On Behalf of PJM Power Providers Group</w:t>
      </w:r>
    </w:p>
    <w:p w:rsidR="00106688" w:rsidRDefault="00106688"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b/>
          <w:smallCaps/>
          <w:sz w:val="22"/>
        </w:rPr>
      </w:pPr>
      <w:r w:rsidRPr="00152087">
        <w:rPr>
          <w:rFonts w:eastAsia="Times New Roman" w:cs="Arial"/>
          <w:sz w:val="22"/>
        </w:rPr>
        <w:t xml:space="preserve">M. Howard </w:t>
      </w:r>
      <w:proofErr w:type="spellStart"/>
      <w:r w:rsidRPr="00152087">
        <w:rPr>
          <w:rFonts w:eastAsia="Times New Roman" w:cs="Arial"/>
          <w:sz w:val="22"/>
        </w:rPr>
        <w:t>Petricoff</w:t>
      </w:r>
      <w:proofErr w:type="spellEnd"/>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 xml:space="preserve">Michael </w:t>
      </w:r>
      <w:proofErr w:type="spellStart"/>
      <w:r w:rsidRPr="00152087">
        <w:rPr>
          <w:rFonts w:eastAsia="Times New Roman" w:cs="Arial"/>
          <w:sz w:val="22"/>
        </w:rPr>
        <w:t>Settineri</w:t>
      </w:r>
      <w:proofErr w:type="spellEnd"/>
    </w:p>
    <w:p w:rsidR="00152087" w:rsidRPr="00152087" w:rsidRDefault="00152087" w:rsidP="00152087">
      <w:pPr>
        <w:tabs>
          <w:tab w:val="left" w:pos="2160"/>
          <w:tab w:val="left" w:pos="2280"/>
        </w:tabs>
        <w:spacing w:after="0" w:line="240" w:lineRule="auto"/>
        <w:rPr>
          <w:rFonts w:eastAsia="Times New Roman" w:cs="Arial"/>
          <w:sz w:val="22"/>
        </w:rPr>
      </w:pPr>
      <w:proofErr w:type="spellStart"/>
      <w:r w:rsidRPr="00152087">
        <w:rPr>
          <w:rFonts w:eastAsia="Times New Roman" w:cs="Arial"/>
          <w:sz w:val="22"/>
        </w:rPr>
        <w:t>Vorys</w:t>
      </w:r>
      <w:proofErr w:type="spellEnd"/>
      <w:r w:rsidRPr="00152087">
        <w:rPr>
          <w:rFonts w:eastAsia="Times New Roman" w:cs="Arial"/>
          <w:sz w:val="22"/>
        </w:rPr>
        <w:t xml:space="preserve">, </w:t>
      </w:r>
      <w:proofErr w:type="spellStart"/>
      <w:r w:rsidRPr="00152087">
        <w:rPr>
          <w:rFonts w:eastAsia="Times New Roman" w:cs="Arial"/>
          <w:sz w:val="22"/>
        </w:rPr>
        <w:t>Sater</w:t>
      </w:r>
      <w:proofErr w:type="spellEnd"/>
      <w:r w:rsidRPr="00152087">
        <w:rPr>
          <w:rFonts w:eastAsia="Times New Roman" w:cs="Arial"/>
          <w:sz w:val="22"/>
        </w:rPr>
        <w:t>, Seymour and Pease LLP</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52 E. Gay Street</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P.O. Box 1008</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Columbus, OH  43215-1008</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mhpetricoff@vorys.com</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mjsettineri@vorys.com</w:t>
      </w:r>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William L. Massey</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Covington &amp; Burling, LLP</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1201 Pennsylvania Ave., NW</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Washington, DC  20004</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wmassey@cov.com</w:t>
      </w:r>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 xml:space="preserve">Joel </w:t>
      </w:r>
      <w:proofErr w:type="spellStart"/>
      <w:r w:rsidRPr="00152087">
        <w:rPr>
          <w:rFonts w:eastAsia="Times New Roman" w:cs="Arial"/>
          <w:sz w:val="22"/>
        </w:rPr>
        <w:t>Malina</w:t>
      </w:r>
      <w:proofErr w:type="spellEnd"/>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Executive Director</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COMPLETE Coalition</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1317 F Street, NW</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Suite 600</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Washington, DC  20004</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malina@wexlerwalker.com</w:t>
      </w:r>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b/>
          <w:smallCaps/>
          <w:sz w:val="22"/>
        </w:rPr>
      </w:pPr>
      <w:r w:rsidRPr="00152087">
        <w:rPr>
          <w:rFonts w:eastAsia="Times New Roman" w:cs="Arial"/>
          <w:b/>
          <w:smallCaps/>
          <w:sz w:val="22"/>
        </w:rPr>
        <w:t>On Behalf of the COMPETE Coalition</w:t>
      </w:r>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Henry W. Eckhart</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1200 Chambers Road, Suite 106</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Columbus, OH  43212</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henryeckhart@aol.com</w:t>
      </w:r>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 xml:space="preserve">Christopher J. </w:t>
      </w:r>
      <w:proofErr w:type="spellStart"/>
      <w:r w:rsidRPr="00152087">
        <w:rPr>
          <w:rFonts w:eastAsia="Times New Roman" w:cs="Arial"/>
          <w:sz w:val="22"/>
        </w:rPr>
        <w:t>Allwein</w:t>
      </w:r>
      <w:proofErr w:type="spellEnd"/>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 xml:space="preserve">Williams, </w:t>
      </w:r>
      <w:proofErr w:type="spellStart"/>
      <w:r w:rsidRPr="00152087">
        <w:rPr>
          <w:rFonts w:eastAsia="Times New Roman" w:cs="Arial"/>
          <w:sz w:val="22"/>
        </w:rPr>
        <w:t>Allwein</w:t>
      </w:r>
      <w:proofErr w:type="spellEnd"/>
      <w:r w:rsidRPr="00152087">
        <w:rPr>
          <w:rFonts w:eastAsia="Times New Roman" w:cs="Arial"/>
          <w:sz w:val="22"/>
        </w:rPr>
        <w:t xml:space="preserve"> and Moser, LLC</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1373 Grandview Ave., Suite 212</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Columbus, OH  43212</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callwein@williamsandmoser.com</w:t>
      </w:r>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b/>
          <w:smallCaps/>
          <w:sz w:val="22"/>
        </w:rPr>
      </w:pPr>
      <w:r w:rsidRPr="00152087">
        <w:rPr>
          <w:rFonts w:eastAsia="Times New Roman" w:cs="Arial"/>
          <w:b/>
          <w:smallCaps/>
          <w:sz w:val="22"/>
        </w:rPr>
        <w:t>On Behalf of the Natural Resources Defense Council and the Sierra Club</w:t>
      </w:r>
    </w:p>
    <w:p w:rsidR="00152087" w:rsidRPr="00152087" w:rsidRDefault="00152087" w:rsidP="00152087">
      <w:pPr>
        <w:tabs>
          <w:tab w:val="left" w:pos="2160"/>
          <w:tab w:val="left" w:pos="2280"/>
        </w:tabs>
        <w:spacing w:after="0" w:line="240" w:lineRule="auto"/>
        <w:rPr>
          <w:rFonts w:eastAsia="Times New Roman" w:cs="Arial"/>
          <w:sz w:val="22"/>
        </w:rPr>
        <w:sectPr w:rsidR="00152087" w:rsidRPr="00152087" w:rsidSect="00F345E5">
          <w:pgSz w:w="12240" w:h="15840" w:code="1"/>
          <w:pgMar w:top="1440" w:right="1440" w:bottom="1141" w:left="1440" w:header="720" w:footer="720" w:gutter="0"/>
          <w:pgNumType w:start="1"/>
          <w:cols w:num="2" w:space="720"/>
          <w:titlePg/>
          <w:docGrid w:linePitch="326"/>
        </w:sectPr>
      </w:pPr>
    </w:p>
    <w:p w:rsidR="00152087" w:rsidRPr="00152087" w:rsidRDefault="00152087" w:rsidP="00152087">
      <w:pPr>
        <w:tabs>
          <w:tab w:val="left" w:pos="2160"/>
          <w:tab w:val="left" w:pos="2280"/>
        </w:tabs>
        <w:spacing w:after="0" w:line="240" w:lineRule="auto"/>
        <w:rPr>
          <w:rFonts w:eastAsia="Times New Roman" w:cs="Arial"/>
          <w:b/>
          <w:smallCaps/>
          <w:sz w:val="22"/>
        </w:rPr>
      </w:pPr>
      <w:r w:rsidRPr="00152087">
        <w:rPr>
          <w:rFonts w:eastAsia="Times New Roman" w:cs="Arial"/>
          <w:sz w:val="22"/>
        </w:rPr>
        <w:lastRenderedPageBreak/>
        <w:t xml:space="preserve">M. Howard </w:t>
      </w:r>
      <w:proofErr w:type="spellStart"/>
      <w:r w:rsidRPr="00152087">
        <w:rPr>
          <w:rFonts w:eastAsia="Times New Roman" w:cs="Arial"/>
          <w:sz w:val="22"/>
        </w:rPr>
        <w:t>Petricoff</w:t>
      </w:r>
      <w:proofErr w:type="spellEnd"/>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 xml:space="preserve">Michael J. </w:t>
      </w:r>
      <w:proofErr w:type="spellStart"/>
      <w:r w:rsidRPr="00152087">
        <w:rPr>
          <w:rFonts w:eastAsia="Times New Roman" w:cs="Arial"/>
          <w:sz w:val="22"/>
        </w:rPr>
        <w:t>Settineri</w:t>
      </w:r>
      <w:proofErr w:type="spellEnd"/>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Stephen M. Howard</w:t>
      </w:r>
    </w:p>
    <w:p w:rsidR="00152087" w:rsidRPr="00152087" w:rsidRDefault="00152087" w:rsidP="00152087">
      <w:pPr>
        <w:tabs>
          <w:tab w:val="left" w:pos="2160"/>
          <w:tab w:val="left" w:pos="2280"/>
        </w:tabs>
        <w:spacing w:after="0" w:line="240" w:lineRule="auto"/>
        <w:rPr>
          <w:rFonts w:eastAsia="Times New Roman" w:cs="Arial"/>
          <w:sz w:val="22"/>
        </w:rPr>
      </w:pPr>
      <w:proofErr w:type="spellStart"/>
      <w:r w:rsidRPr="00152087">
        <w:rPr>
          <w:rFonts w:eastAsia="Times New Roman" w:cs="Arial"/>
          <w:sz w:val="22"/>
        </w:rPr>
        <w:t>Vorys</w:t>
      </w:r>
      <w:proofErr w:type="spellEnd"/>
      <w:r w:rsidRPr="00152087">
        <w:rPr>
          <w:rFonts w:eastAsia="Times New Roman" w:cs="Arial"/>
          <w:sz w:val="22"/>
        </w:rPr>
        <w:t xml:space="preserve">, </w:t>
      </w:r>
      <w:proofErr w:type="spellStart"/>
      <w:r w:rsidRPr="00152087">
        <w:rPr>
          <w:rFonts w:eastAsia="Times New Roman" w:cs="Arial"/>
          <w:sz w:val="22"/>
        </w:rPr>
        <w:t>Sater</w:t>
      </w:r>
      <w:proofErr w:type="spellEnd"/>
      <w:r w:rsidRPr="00152087">
        <w:rPr>
          <w:rFonts w:eastAsia="Times New Roman" w:cs="Arial"/>
          <w:sz w:val="22"/>
        </w:rPr>
        <w:t>, Seymour and Pease LLP</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52 East Gay Street</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P.O. Box 1008</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Columbus, OH  43216-1008</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mhpetricoff@vorys.com</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mjsettineri@vorys.com</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smhoward@vorys.com</w:t>
      </w:r>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b/>
          <w:smallCaps/>
          <w:sz w:val="22"/>
        </w:rPr>
      </w:pPr>
      <w:r w:rsidRPr="00152087">
        <w:rPr>
          <w:rFonts w:eastAsia="Times New Roman" w:cs="Arial"/>
          <w:b/>
          <w:smallCaps/>
          <w:sz w:val="22"/>
        </w:rPr>
        <w:t xml:space="preserve">On Behalf of Constellation </w:t>
      </w:r>
      <w:proofErr w:type="spellStart"/>
      <w:r w:rsidRPr="00152087">
        <w:rPr>
          <w:rFonts w:eastAsia="Times New Roman" w:cs="Arial"/>
          <w:b/>
          <w:smallCaps/>
          <w:sz w:val="22"/>
        </w:rPr>
        <w:t>NewEnergy</w:t>
      </w:r>
      <w:proofErr w:type="spellEnd"/>
      <w:r w:rsidRPr="00152087">
        <w:rPr>
          <w:rFonts w:eastAsia="Times New Roman" w:cs="Arial"/>
          <w:b/>
          <w:smallCaps/>
          <w:sz w:val="22"/>
        </w:rPr>
        <w:t>, Inc., Constellation Energy Commodities Group, Inc. , Direct Energy Services, LLC</w:t>
      </w:r>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David I. Fein</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Vice President, Energy Policy – Midwest</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Constellation Energy Group, Inc.</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 xml:space="preserve">Cynthia </w:t>
      </w:r>
      <w:proofErr w:type="spellStart"/>
      <w:r w:rsidRPr="00152087">
        <w:rPr>
          <w:rFonts w:eastAsia="Times New Roman" w:cs="Arial"/>
          <w:sz w:val="22"/>
        </w:rPr>
        <w:t>Fonner</w:t>
      </w:r>
      <w:proofErr w:type="spellEnd"/>
      <w:r w:rsidRPr="00152087">
        <w:rPr>
          <w:rFonts w:eastAsia="Times New Roman" w:cs="Arial"/>
          <w:sz w:val="22"/>
        </w:rPr>
        <w:t xml:space="preserve"> Brady</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Senior Counsel</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Constellation Energy Resources LLC</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550 West Washington Blvd., Suite 300</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Chicago, IL  60661</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david.fein@constellation.com</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cynthia.brady@constellation.com</w:t>
      </w:r>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b/>
          <w:smallCaps/>
          <w:sz w:val="22"/>
        </w:rPr>
      </w:pPr>
      <w:proofErr w:type="gramStart"/>
      <w:r w:rsidRPr="00152087">
        <w:rPr>
          <w:rFonts w:eastAsia="Times New Roman" w:cs="Arial"/>
          <w:b/>
          <w:smallCaps/>
          <w:sz w:val="22"/>
        </w:rPr>
        <w:t xml:space="preserve">On Behalf of Constellation </w:t>
      </w:r>
      <w:proofErr w:type="spellStart"/>
      <w:r w:rsidRPr="00152087">
        <w:rPr>
          <w:rFonts w:eastAsia="Times New Roman" w:cs="Arial"/>
          <w:b/>
          <w:smallCaps/>
          <w:sz w:val="22"/>
        </w:rPr>
        <w:t>NewEnergy</w:t>
      </w:r>
      <w:proofErr w:type="spellEnd"/>
      <w:r w:rsidRPr="00152087">
        <w:rPr>
          <w:rFonts w:eastAsia="Times New Roman" w:cs="Arial"/>
          <w:b/>
          <w:smallCaps/>
          <w:sz w:val="22"/>
        </w:rPr>
        <w:t>, Inc. and Constellation Energy Commodities Group, Inc.</w:t>
      </w:r>
      <w:proofErr w:type="gramEnd"/>
    </w:p>
    <w:p w:rsidR="00152087" w:rsidRPr="00152087" w:rsidRDefault="00152087" w:rsidP="00152087">
      <w:pPr>
        <w:tabs>
          <w:tab w:val="left" w:pos="2160"/>
          <w:tab w:val="left" w:pos="2280"/>
        </w:tabs>
        <w:spacing w:after="0" w:line="240" w:lineRule="auto"/>
        <w:rPr>
          <w:rFonts w:eastAsia="Times New Roman" w:cs="Arial"/>
          <w:b/>
          <w:smallCaps/>
          <w:sz w:val="22"/>
        </w:rPr>
      </w:pP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Pamela A. Fox</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C. Todd Jones,</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Christopher L. Miller,</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Gregory H. Dunn</w:t>
      </w:r>
    </w:p>
    <w:p w:rsidR="00152087" w:rsidRPr="00152087" w:rsidRDefault="00152087" w:rsidP="00152087">
      <w:pPr>
        <w:tabs>
          <w:tab w:val="left" w:pos="2160"/>
          <w:tab w:val="left" w:pos="2280"/>
        </w:tabs>
        <w:spacing w:after="0" w:line="240" w:lineRule="auto"/>
        <w:rPr>
          <w:rFonts w:eastAsia="Times New Roman" w:cs="Arial"/>
          <w:sz w:val="22"/>
        </w:rPr>
      </w:pPr>
      <w:proofErr w:type="spellStart"/>
      <w:r w:rsidRPr="00152087">
        <w:rPr>
          <w:rFonts w:eastAsia="Times New Roman" w:cs="Arial"/>
          <w:sz w:val="22"/>
        </w:rPr>
        <w:t>Asim</w:t>
      </w:r>
      <w:proofErr w:type="spellEnd"/>
      <w:r w:rsidRPr="00152087">
        <w:rPr>
          <w:rFonts w:eastAsia="Times New Roman" w:cs="Arial"/>
          <w:sz w:val="22"/>
        </w:rPr>
        <w:t xml:space="preserve"> Z. </w:t>
      </w:r>
      <w:proofErr w:type="spellStart"/>
      <w:r w:rsidRPr="00152087">
        <w:rPr>
          <w:rFonts w:eastAsia="Times New Roman" w:cs="Arial"/>
          <w:sz w:val="22"/>
        </w:rPr>
        <w:t>Haque</w:t>
      </w:r>
      <w:proofErr w:type="spellEnd"/>
    </w:p>
    <w:p w:rsidR="00152087" w:rsidRPr="00152087" w:rsidRDefault="00152087" w:rsidP="00152087">
      <w:pPr>
        <w:tabs>
          <w:tab w:val="left" w:pos="2160"/>
          <w:tab w:val="left" w:pos="2280"/>
        </w:tabs>
        <w:spacing w:after="0" w:line="240" w:lineRule="auto"/>
        <w:rPr>
          <w:rFonts w:eastAsia="Times New Roman" w:cs="Arial"/>
          <w:sz w:val="22"/>
        </w:rPr>
      </w:pPr>
      <w:proofErr w:type="spellStart"/>
      <w:r w:rsidRPr="00152087">
        <w:rPr>
          <w:rFonts w:eastAsia="Times New Roman" w:cs="Arial"/>
          <w:sz w:val="22"/>
        </w:rPr>
        <w:t>Schottenstein</w:t>
      </w:r>
      <w:proofErr w:type="spellEnd"/>
      <w:r w:rsidRPr="00152087">
        <w:rPr>
          <w:rFonts w:eastAsia="Times New Roman" w:cs="Arial"/>
          <w:sz w:val="22"/>
        </w:rPr>
        <w:t xml:space="preserve"> </w:t>
      </w:r>
      <w:proofErr w:type="spellStart"/>
      <w:r w:rsidRPr="00152087">
        <w:rPr>
          <w:rFonts w:eastAsia="Times New Roman" w:cs="Arial"/>
          <w:sz w:val="22"/>
        </w:rPr>
        <w:t>Zox</w:t>
      </w:r>
      <w:proofErr w:type="spellEnd"/>
      <w:r w:rsidRPr="00152087">
        <w:rPr>
          <w:rFonts w:eastAsia="Times New Roman" w:cs="Arial"/>
          <w:sz w:val="22"/>
        </w:rPr>
        <w:t xml:space="preserve"> and Dunn Co., LPA</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250 West Street</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Columbus, OH  43215</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pfox@hillardohio.gov</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cmiller@szd.com</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gdunn@szd.com</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ahaque@szd.com</w:t>
      </w:r>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b/>
          <w:smallCaps/>
          <w:sz w:val="22"/>
        </w:rPr>
      </w:pPr>
      <w:r w:rsidRPr="00152087">
        <w:rPr>
          <w:rFonts w:eastAsia="Times New Roman" w:cs="Arial"/>
          <w:b/>
          <w:smallCaps/>
          <w:sz w:val="22"/>
        </w:rPr>
        <w:t>On Behalf of the City of Hilliard, Ohio, the City of Grove City, Ohio and the Association of Independent Colleges and Universities of Ohio</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br w:type="column"/>
      </w:r>
      <w:r w:rsidRPr="00152087">
        <w:rPr>
          <w:rFonts w:eastAsia="Times New Roman" w:cs="Arial"/>
          <w:sz w:val="22"/>
        </w:rPr>
        <w:lastRenderedPageBreak/>
        <w:t>Sandy I-</w:t>
      </w:r>
      <w:proofErr w:type="spellStart"/>
      <w:proofErr w:type="gramStart"/>
      <w:r w:rsidRPr="00152087">
        <w:rPr>
          <w:rFonts w:eastAsia="Times New Roman" w:cs="Arial"/>
          <w:sz w:val="22"/>
        </w:rPr>
        <w:t>ru</w:t>
      </w:r>
      <w:proofErr w:type="spellEnd"/>
      <w:proofErr w:type="gramEnd"/>
      <w:r w:rsidRPr="00152087">
        <w:rPr>
          <w:rFonts w:eastAsia="Times New Roman" w:cs="Arial"/>
          <w:sz w:val="22"/>
        </w:rPr>
        <w:t xml:space="preserve"> Grace</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Assistant General Counsel</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Exelon Business Services Company</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101 Constitution Ave., NW</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Suite 400 East</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Washington, DC  20001</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sandy.grace@exeloncorp.com</w:t>
      </w:r>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 xml:space="preserve">M. Howard </w:t>
      </w:r>
      <w:proofErr w:type="spellStart"/>
      <w:r w:rsidRPr="00152087">
        <w:rPr>
          <w:rFonts w:eastAsia="Times New Roman" w:cs="Arial"/>
          <w:sz w:val="22"/>
        </w:rPr>
        <w:t>Petricoff</w:t>
      </w:r>
      <w:proofErr w:type="spellEnd"/>
      <w:r w:rsidRPr="00152087">
        <w:rPr>
          <w:rFonts w:eastAsia="Times New Roman" w:cs="Arial"/>
          <w:sz w:val="22"/>
        </w:rPr>
        <w:t xml:space="preserve"> </w:t>
      </w:r>
    </w:p>
    <w:p w:rsidR="00152087" w:rsidRPr="00152087" w:rsidRDefault="00152087" w:rsidP="00152087">
      <w:pPr>
        <w:tabs>
          <w:tab w:val="left" w:pos="2160"/>
          <w:tab w:val="left" w:pos="2280"/>
        </w:tabs>
        <w:spacing w:after="0" w:line="240" w:lineRule="auto"/>
        <w:rPr>
          <w:rFonts w:eastAsia="Times New Roman" w:cs="Arial"/>
          <w:sz w:val="22"/>
        </w:rPr>
      </w:pPr>
      <w:proofErr w:type="spellStart"/>
      <w:r w:rsidRPr="00152087">
        <w:rPr>
          <w:rFonts w:eastAsia="Times New Roman" w:cs="Arial"/>
          <w:sz w:val="22"/>
        </w:rPr>
        <w:t>Vorys</w:t>
      </w:r>
      <w:proofErr w:type="spellEnd"/>
      <w:r w:rsidRPr="00152087">
        <w:rPr>
          <w:rFonts w:eastAsia="Times New Roman" w:cs="Arial"/>
          <w:sz w:val="22"/>
        </w:rPr>
        <w:t xml:space="preserve">, </w:t>
      </w:r>
      <w:proofErr w:type="spellStart"/>
      <w:r w:rsidRPr="00152087">
        <w:rPr>
          <w:rFonts w:eastAsia="Times New Roman" w:cs="Arial"/>
          <w:sz w:val="22"/>
        </w:rPr>
        <w:t>Sater</w:t>
      </w:r>
      <w:proofErr w:type="spellEnd"/>
      <w:r w:rsidRPr="00152087">
        <w:rPr>
          <w:rFonts w:eastAsia="Times New Roman" w:cs="Arial"/>
          <w:sz w:val="22"/>
        </w:rPr>
        <w:t>, Seymour and Pease LLP</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52 East Gay Street</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P.O. Box 1008</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Columbus, OH  43216-1008</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mhpetricoff@vorys.com</w:t>
      </w:r>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David M. Stahl</w:t>
      </w:r>
    </w:p>
    <w:p w:rsidR="00152087" w:rsidRPr="00152087" w:rsidRDefault="00152087" w:rsidP="00152087">
      <w:pPr>
        <w:tabs>
          <w:tab w:val="left" w:pos="2160"/>
          <w:tab w:val="left" w:pos="2280"/>
        </w:tabs>
        <w:spacing w:after="0" w:line="240" w:lineRule="auto"/>
        <w:rPr>
          <w:rFonts w:eastAsia="Times New Roman" w:cs="Arial"/>
          <w:sz w:val="22"/>
        </w:rPr>
      </w:pPr>
      <w:proofErr w:type="spellStart"/>
      <w:r w:rsidRPr="00152087">
        <w:rPr>
          <w:rFonts w:eastAsia="Times New Roman" w:cs="Arial"/>
          <w:sz w:val="22"/>
        </w:rPr>
        <w:t>Eimer</w:t>
      </w:r>
      <w:proofErr w:type="spellEnd"/>
      <w:r w:rsidRPr="00152087">
        <w:rPr>
          <w:rFonts w:eastAsia="Times New Roman" w:cs="Arial"/>
          <w:sz w:val="22"/>
        </w:rPr>
        <w:t xml:space="preserve"> Stahl </w:t>
      </w:r>
      <w:proofErr w:type="spellStart"/>
      <w:r w:rsidRPr="00152087">
        <w:rPr>
          <w:rFonts w:eastAsia="Times New Roman" w:cs="Arial"/>
          <w:sz w:val="22"/>
        </w:rPr>
        <w:t>Klevorn</w:t>
      </w:r>
      <w:proofErr w:type="spellEnd"/>
      <w:r w:rsidRPr="00152087">
        <w:rPr>
          <w:rFonts w:eastAsia="Times New Roman" w:cs="Arial"/>
          <w:sz w:val="22"/>
        </w:rPr>
        <w:t xml:space="preserve"> &amp; Solberg LLP</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224 South Michigan Avenue, Suite 1100</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Chicago, IL  60604</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dstahl@eimerstahl.com</w:t>
      </w:r>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b/>
          <w:smallCaps/>
          <w:sz w:val="22"/>
        </w:rPr>
      </w:pPr>
      <w:r w:rsidRPr="00152087">
        <w:rPr>
          <w:rFonts w:eastAsia="Times New Roman" w:cs="Arial"/>
          <w:b/>
          <w:smallCaps/>
          <w:sz w:val="22"/>
        </w:rPr>
        <w:t>On Behalf of Exelon Generation Company, LLC</w:t>
      </w:r>
    </w:p>
    <w:p w:rsidR="00152087" w:rsidRPr="00152087" w:rsidRDefault="00152087" w:rsidP="00152087">
      <w:pPr>
        <w:tabs>
          <w:tab w:val="left" w:pos="2160"/>
          <w:tab w:val="left" w:pos="2280"/>
        </w:tabs>
        <w:spacing w:after="0" w:line="240" w:lineRule="auto"/>
        <w:rPr>
          <w:rFonts w:eastAsia="Times New Roman" w:cs="Arial"/>
          <w:b/>
          <w:smallCaps/>
          <w:sz w:val="22"/>
        </w:rPr>
      </w:pP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Gary A Jeffries</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Assistant General Counsel</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Dominion Resources Services, Inc.</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501 Martindale Street, Suite 400</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Pittsburgh, PA  15212-5817</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Gary.A.Jeffries@aol.com</w:t>
      </w:r>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b/>
          <w:smallCaps/>
          <w:sz w:val="22"/>
        </w:rPr>
      </w:pPr>
      <w:proofErr w:type="gramStart"/>
      <w:r w:rsidRPr="00152087">
        <w:rPr>
          <w:rFonts w:eastAsia="Times New Roman" w:cs="Arial"/>
          <w:b/>
          <w:smallCaps/>
          <w:sz w:val="22"/>
        </w:rPr>
        <w:t>On Behalf of Dominion Retail, Inc.</w:t>
      </w:r>
      <w:proofErr w:type="gramEnd"/>
    </w:p>
    <w:p w:rsidR="00152087" w:rsidRPr="00152087" w:rsidRDefault="00152087" w:rsidP="00152087">
      <w:pPr>
        <w:tabs>
          <w:tab w:val="left" w:pos="2160"/>
          <w:tab w:val="left" w:pos="2280"/>
        </w:tabs>
        <w:spacing w:after="0" w:line="240" w:lineRule="auto"/>
        <w:rPr>
          <w:rFonts w:eastAsia="Times New Roman" w:cs="Arial"/>
          <w:b/>
          <w:smallCaps/>
          <w:sz w:val="22"/>
        </w:rPr>
        <w:sectPr w:rsidR="00152087" w:rsidRPr="00152087" w:rsidSect="00F345E5">
          <w:pgSz w:w="12240" w:h="15840" w:code="1"/>
          <w:pgMar w:top="1440" w:right="1440" w:bottom="1141" w:left="1440" w:header="720" w:footer="720" w:gutter="0"/>
          <w:pgNumType w:start="1"/>
          <w:cols w:num="2" w:space="720"/>
          <w:titlePg/>
          <w:docGrid w:linePitch="326"/>
        </w:sectPr>
      </w:pP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lastRenderedPageBreak/>
        <w:t xml:space="preserve">Kenneth P. </w:t>
      </w:r>
      <w:proofErr w:type="spellStart"/>
      <w:r w:rsidRPr="00152087">
        <w:rPr>
          <w:rFonts w:eastAsia="Times New Roman" w:cs="Arial"/>
          <w:sz w:val="22"/>
        </w:rPr>
        <w:t>Kreider</w:t>
      </w:r>
      <w:proofErr w:type="spellEnd"/>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David A. Meyer</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 xml:space="preserve">Keating </w:t>
      </w:r>
      <w:proofErr w:type="spellStart"/>
      <w:r w:rsidRPr="00152087">
        <w:rPr>
          <w:rFonts w:eastAsia="Times New Roman" w:cs="Arial"/>
          <w:sz w:val="22"/>
        </w:rPr>
        <w:t>Muething</w:t>
      </w:r>
      <w:proofErr w:type="spellEnd"/>
      <w:r w:rsidRPr="00152087">
        <w:rPr>
          <w:rFonts w:eastAsia="Times New Roman" w:cs="Arial"/>
          <w:sz w:val="22"/>
        </w:rPr>
        <w:t xml:space="preserve"> &amp; </w:t>
      </w:r>
      <w:proofErr w:type="spellStart"/>
      <w:r w:rsidRPr="00152087">
        <w:rPr>
          <w:rFonts w:eastAsia="Times New Roman" w:cs="Arial"/>
          <w:sz w:val="22"/>
        </w:rPr>
        <w:t>Klekamp</w:t>
      </w:r>
      <w:proofErr w:type="spellEnd"/>
      <w:r w:rsidRPr="00152087">
        <w:rPr>
          <w:rFonts w:eastAsia="Times New Roman" w:cs="Arial"/>
          <w:sz w:val="22"/>
        </w:rPr>
        <w:t xml:space="preserve"> PLL</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One East Fourth Street</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Suite 1400</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Cincinnati, OH  45202</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kpkreider@kmklaw.com</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dmeyer@kmklaw.com</w:t>
      </w:r>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Holly Rachel Smith</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Holly Rachel Smith, PLLC</w:t>
      </w:r>
    </w:p>
    <w:p w:rsidR="00152087" w:rsidRPr="00152087" w:rsidRDefault="00152087" w:rsidP="00152087">
      <w:pPr>
        <w:tabs>
          <w:tab w:val="left" w:pos="2160"/>
          <w:tab w:val="left" w:pos="2280"/>
        </w:tabs>
        <w:spacing w:after="0" w:line="240" w:lineRule="auto"/>
        <w:rPr>
          <w:rFonts w:eastAsia="Times New Roman" w:cs="Arial"/>
          <w:sz w:val="22"/>
        </w:rPr>
      </w:pPr>
      <w:proofErr w:type="spellStart"/>
      <w:r w:rsidRPr="00152087">
        <w:rPr>
          <w:rFonts w:eastAsia="Times New Roman" w:cs="Arial"/>
          <w:sz w:val="22"/>
        </w:rPr>
        <w:t>Hitt</w:t>
      </w:r>
      <w:proofErr w:type="spellEnd"/>
      <w:r w:rsidRPr="00152087">
        <w:rPr>
          <w:rFonts w:eastAsia="Times New Roman" w:cs="Arial"/>
          <w:sz w:val="22"/>
        </w:rPr>
        <w:t xml:space="preserve"> Business Center</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 xml:space="preserve">3803 </w:t>
      </w:r>
      <w:proofErr w:type="spellStart"/>
      <w:r w:rsidRPr="00152087">
        <w:rPr>
          <w:rFonts w:eastAsia="Times New Roman" w:cs="Arial"/>
          <w:sz w:val="22"/>
        </w:rPr>
        <w:t>Rectortown</w:t>
      </w:r>
      <w:proofErr w:type="spellEnd"/>
      <w:r w:rsidRPr="00152087">
        <w:rPr>
          <w:rFonts w:eastAsia="Times New Roman" w:cs="Arial"/>
          <w:sz w:val="22"/>
        </w:rPr>
        <w:t xml:space="preserve"> Road</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Marshall, VA  20115</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holly@raysmithlaw.com</w:t>
      </w:r>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 xml:space="preserve">Steve W. </w:t>
      </w:r>
      <w:proofErr w:type="spellStart"/>
      <w:r w:rsidRPr="00152087">
        <w:rPr>
          <w:rFonts w:eastAsia="Times New Roman" w:cs="Arial"/>
          <w:sz w:val="22"/>
        </w:rPr>
        <w:t>Chriss</w:t>
      </w:r>
      <w:proofErr w:type="spellEnd"/>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Manager, State Rate Proceedings</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Wal-Mart Stores, Inc.</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Bentonville, AR  72716-0550</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Stephen.Chriss@wal-mart.com</w:t>
      </w:r>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b/>
          <w:smallCaps/>
          <w:sz w:val="22"/>
        </w:rPr>
      </w:pPr>
      <w:proofErr w:type="gramStart"/>
      <w:r w:rsidRPr="00152087">
        <w:rPr>
          <w:rFonts w:eastAsia="Times New Roman" w:cs="Arial"/>
          <w:b/>
          <w:smallCaps/>
          <w:sz w:val="22"/>
        </w:rPr>
        <w:t>On Behalf of Wal-Mart Stores East, LP and Sam’s East, Inc.</w:t>
      </w:r>
      <w:proofErr w:type="gramEnd"/>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Barth E. Royer (Counsel of Record)</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Bell &amp; Royer Co., LPA</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33 South Grant Avenue</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Columbus, OH  43215-3927</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BarthRoyer@aol.com</w:t>
      </w:r>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 xml:space="preserve">Tara C. </w:t>
      </w:r>
      <w:proofErr w:type="spellStart"/>
      <w:r w:rsidRPr="00152087">
        <w:rPr>
          <w:rFonts w:eastAsia="Times New Roman" w:cs="Arial"/>
          <w:sz w:val="22"/>
        </w:rPr>
        <w:t>Santarelli</w:t>
      </w:r>
      <w:proofErr w:type="spellEnd"/>
      <w:r w:rsidRPr="00152087">
        <w:rPr>
          <w:rFonts w:eastAsia="Times New Roman" w:cs="Arial"/>
          <w:sz w:val="22"/>
        </w:rPr>
        <w:t xml:space="preserve"> </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Environmental Law &amp; Policy Center</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1207 Grandview Ave., Suite 201</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Columbus, OH  43212</w:t>
      </w:r>
    </w:p>
    <w:p w:rsidR="00152087" w:rsidRPr="00152087" w:rsidRDefault="008F30A5" w:rsidP="00152087">
      <w:pPr>
        <w:tabs>
          <w:tab w:val="left" w:pos="2160"/>
          <w:tab w:val="left" w:pos="2280"/>
        </w:tabs>
        <w:spacing w:after="0" w:line="240" w:lineRule="auto"/>
        <w:rPr>
          <w:rFonts w:eastAsia="Times New Roman" w:cs="Arial"/>
          <w:sz w:val="22"/>
        </w:rPr>
      </w:pPr>
      <w:hyperlink r:id="rId21" w:history="1">
        <w:r w:rsidR="00152087" w:rsidRPr="00152087">
          <w:rPr>
            <w:rFonts w:eastAsia="Times New Roman" w:cs="Arial"/>
            <w:sz w:val="22"/>
          </w:rPr>
          <w:t>tsantarelli@elpc.org</w:t>
        </w:r>
      </w:hyperlink>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b/>
          <w:smallCaps/>
          <w:sz w:val="22"/>
        </w:rPr>
      </w:pPr>
      <w:r w:rsidRPr="00152087">
        <w:rPr>
          <w:rFonts w:eastAsia="Times New Roman" w:cs="Arial"/>
          <w:b/>
          <w:smallCaps/>
          <w:sz w:val="22"/>
        </w:rPr>
        <w:t>On Behalf of the Environmental Law &amp;</w:t>
      </w:r>
    </w:p>
    <w:p w:rsidR="00152087" w:rsidRPr="00152087" w:rsidRDefault="00152087" w:rsidP="00152087">
      <w:pPr>
        <w:tabs>
          <w:tab w:val="left" w:pos="2160"/>
          <w:tab w:val="left" w:pos="2280"/>
        </w:tabs>
        <w:spacing w:after="0" w:line="240" w:lineRule="auto"/>
        <w:rPr>
          <w:rFonts w:eastAsia="Times New Roman" w:cs="Arial"/>
          <w:b/>
          <w:smallCaps/>
          <w:sz w:val="22"/>
        </w:rPr>
      </w:pPr>
      <w:r w:rsidRPr="00152087">
        <w:rPr>
          <w:rFonts w:eastAsia="Times New Roman" w:cs="Arial"/>
          <w:b/>
          <w:smallCaps/>
          <w:sz w:val="22"/>
        </w:rPr>
        <w:t>Policy Center</w:t>
      </w:r>
    </w:p>
    <w:p w:rsidR="00152087" w:rsidRPr="00152087" w:rsidRDefault="00152087" w:rsidP="00152087">
      <w:pPr>
        <w:tabs>
          <w:tab w:val="left" w:pos="2160"/>
          <w:tab w:val="left" w:pos="2280"/>
        </w:tabs>
        <w:spacing w:after="0" w:line="240" w:lineRule="auto"/>
        <w:rPr>
          <w:rFonts w:eastAsia="Times New Roman" w:cs="Arial"/>
          <w:b/>
          <w:smallCaps/>
          <w:sz w:val="22"/>
        </w:rPr>
      </w:pPr>
      <w:r w:rsidRPr="00152087">
        <w:rPr>
          <w:rFonts w:eastAsia="Times New Roman" w:cs="Arial"/>
          <w:b/>
          <w:smallCaps/>
          <w:sz w:val="22"/>
        </w:rPr>
        <w:br w:type="column"/>
      </w:r>
      <w:r w:rsidRPr="00152087">
        <w:rPr>
          <w:rFonts w:eastAsia="Times New Roman" w:cs="Arial"/>
          <w:sz w:val="22"/>
        </w:rPr>
        <w:lastRenderedPageBreak/>
        <w:t>Nolan Moser</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 xml:space="preserve">Trent A. Dougherty </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 xml:space="preserve">Camille </w:t>
      </w:r>
      <w:proofErr w:type="spellStart"/>
      <w:r w:rsidRPr="00152087">
        <w:rPr>
          <w:rFonts w:eastAsia="Times New Roman" w:cs="Arial"/>
          <w:sz w:val="22"/>
        </w:rPr>
        <w:t>Yancy</w:t>
      </w:r>
      <w:proofErr w:type="spellEnd"/>
    </w:p>
    <w:p w:rsidR="00152087" w:rsidRPr="00152087" w:rsidRDefault="00152087" w:rsidP="00152087">
      <w:pPr>
        <w:tabs>
          <w:tab w:val="left" w:pos="2160"/>
          <w:tab w:val="left" w:pos="2280"/>
        </w:tabs>
        <w:spacing w:after="0" w:line="240" w:lineRule="auto"/>
        <w:rPr>
          <w:rFonts w:eastAsia="Times New Roman" w:cs="Arial"/>
          <w:sz w:val="22"/>
        </w:rPr>
      </w:pPr>
      <w:proofErr w:type="spellStart"/>
      <w:r w:rsidRPr="00152087">
        <w:rPr>
          <w:rFonts w:eastAsia="Times New Roman" w:cs="Arial"/>
          <w:sz w:val="22"/>
        </w:rPr>
        <w:t>Cathryn</w:t>
      </w:r>
      <w:proofErr w:type="spellEnd"/>
      <w:r w:rsidRPr="00152087">
        <w:rPr>
          <w:rFonts w:eastAsia="Times New Roman" w:cs="Arial"/>
          <w:sz w:val="22"/>
        </w:rPr>
        <w:t xml:space="preserve"> </w:t>
      </w:r>
      <w:proofErr w:type="spellStart"/>
      <w:r w:rsidRPr="00152087">
        <w:rPr>
          <w:rFonts w:eastAsia="Times New Roman" w:cs="Arial"/>
          <w:sz w:val="22"/>
        </w:rPr>
        <w:t>Loucas</w:t>
      </w:r>
      <w:proofErr w:type="spellEnd"/>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Ohio Environmental Council</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1207 Grandview Avenue, Suite 201</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Columbus, OH  43212-3449</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nolan@theoec.org</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trent@theoec.org</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camille@theoec.org</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cathy@theoec.org.</w:t>
      </w:r>
    </w:p>
    <w:p w:rsidR="00152087" w:rsidRPr="00152087" w:rsidRDefault="00152087" w:rsidP="00152087">
      <w:pPr>
        <w:tabs>
          <w:tab w:val="left" w:pos="2160"/>
          <w:tab w:val="left" w:pos="2280"/>
        </w:tabs>
        <w:spacing w:after="0" w:line="240" w:lineRule="auto"/>
        <w:rPr>
          <w:rFonts w:eastAsia="Times New Roman" w:cs="Arial"/>
          <w:b/>
          <w:bCs/>
          <w:sz w:val="22"/>
        </w:rPr>
      </w:pPr>
    </w:p>
    <w:p w:rsidR="00152087" w:rsidRPr="00152087" w:rsidRDefault="00152087" w:rsidP="00152087">
      <w:pPr>
        <w:tabs>
          <w:tab w:val="left" w:pos="2160"/>
          <w:tab w:val="left" w:pos="2280"/>
        </w:tabs>
        <w:spacing w:after="0" w:line="240" w:lineRule="auto"/>
        <w:rPr>
          <w:rFonts w:eastAsia="Times New Roman" w:cs="Arial"/>
          <w:b/>
          <w:bCs/>
          <w:smallCaps/>
          <w:sz w:val="22"/>
        </w:rPr>
      </w:pPr>
      <w:r w:rsidRPr="00152087">
        <w:rPr>
          <w:rFonts w:eastAsia="Times New Roman" w:cs="Arial"/>
          <w:b/>
          <w:bCs/>
          <w:smallCaps/>
          <w:sz w:val="22"/>
        </w:rPr>
        <w:t>On Behalf of the Ohio Environmental Council</w:t>
      </w:r>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Douglas G. Bonner</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Emma F. Hand</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 xml:space="preserve">Keith C. </w:t>
      </w:r>
      <w:proofErr w:type="spellStart"/>
      <w:r w:rsidRPr="00152087">
        <w:rPr>
          <w:rFonts w:eastAsia="Times New Roman" w:cs="Arial"/>
          <w:sz w:val="22"/>
        </w:rPr>
        <w:t>Nusbaum</w:t>
      </w:r>
      <w:proofErr w:type="spellEnd"/>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Clinton A. Vince</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 xml:space="preserve">Daniel D. </w:t>
      </w:r>
      <w:proofErr w:type="spellStart"/>
      <w:r w:rsidRPr="00152087">
        <w:rPr>
          <w:rFonts w:eastAsia="Times New Roman" w:cs="Arial"/>
          <w:sz w:val="22"/>
        </w:rPr>
        <w:t>Barnowski</w:t>
      </w:r>
      <w:proofErr w:type="spellEnd"/>
      <w:r w:rsidRPr="00152087">
        <w:rPr>
          <w:rFonts w:eastAsia="Times New Roman" w:cs="Arial"/>
          <w:sz w:val="22"/>
        </w:rPr>
        <w:t xml:space="preserve"> </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SNR Denton US LLP</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1301 K Street NW</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Suite 600, East Tower</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Washington, DC 20005</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doug.bonner@snrdenton.com</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emma.hand@snrdenton.com</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keith.nusbaum@snrdenton.com</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clinton.vince@snrdenton.com</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daniel.barnowski@snrdenton.con</w:t>
      </w:r>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b/>
          <w:smallCaps/>
          <w:sz w:val="22"/>
        </w:rPr>
      </w:pPr>
      <w:r w:rsidRPr="00152087">
        <w:rPr>
          <w:rFonts w:eastAsia="Times New Roman" w:cs="Arial"/>
          <w:b/>
          <w:smallCaps/>
          <w:sz w:val="22"/>
        </w:rPr>
        <w:t xml:space="preserve">On Behalf of </w:t>
      </w:r>
      <w:proofErr w:type="spellStart"/>
      <w:r w:rsidRPr="00152087">
        <w:rPr>
          <w:rFonts w:eastAsia="Times New Roman" w:cs="Arial"/>
          <w:b/>
          <w:smallCaps/>
          <w:sz w:val="22"/>
        </w:rPr>
        <w:t>Ormet</w:t>
      </w:r>
      <w:proofErr w:type="spellEnd"/>
      <w:r w:rsidRPr="00152087">
        <w:rPr>
          <w:rFonts w:eastAsia="Times New Roman" w:cs="Arial"/>
          <w:b/>
          <w:smallCaps/>
          <w:sz w:val="22"/>
        </w:rPr>
        <w:t xml:space="preserve"> Primary Aluminum Corporation</w:t>
      </w:r>
    </w:p>
    <w:p w:rsidR="00152087" w:rsidRPr="00152087" w:rsidRDefault="00152087" w:rsidP="00152087">
      <w:pPr>
        <w:tabs>
          <w:tab w:val="left" w:pos="2160"/>
          <w:tab w:val="left" w:pos="2280"/>
        </w:tabs>
        <w:spacing w:after="0" w:line="240" w:lineRule="auto"/>
        <w:rPr>
          <w:rFonts w:eastAsia="Times New Roman" w:cs="Arial"/>
          <w:b/>
          <w:smallCaps/>
          <w:sz w:val="22"/>
        </w:rPr>
      </w:pP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 xml:space="preserve">Jay L. </w:t>
      </w:r>
      <w:proofErr w:type="spellStart"/>
      <w:r w:rsidRPr="00152087">
        <w:rPr>
          <w:rFonts w:eastAsia="Times New Roman" w:cs="Arial"/>
          <w:sz w:val="22"/>
        </w:rPr>
        <w:t>Kooper</w:t>
      </w:r>
      <w:proofErr w:type="spellEnd"/>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 xml:space="preserve">Katherine </w:t>
      </w:r>
      <w:proofErr w:type="spellStart"/>
      <w:r w:rsidRPr="00152087">
        <w:rPr>
          <w:rFonts w:eastAsia="Times New Roman" w:cs="Arial"/>
          <w:sz w:val="22"/>
        </w:rPr>
        <w:t>Guerry</w:t>
      </w:r>
      <w:proofErr w:type="spellEnd"/>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Hess Corporation</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One Hess Plaza</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Woodbridge, NJ  07095</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jkooper@hess.com</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kguerry@hess.com</w:t>
      </w:r>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ascii="Arial Bold" w:eastAsia="Times New Roman" w:hAnsi="Arial Bold" w:cs="Arial"/>
          <w:b/>
          <w:smallCaps/>
          <w:sz w:val="22"/>
        </w:rPr>
      </w:pPr>
      <w:r w:rsidRPr="00152087">
        <w:rPr>
          <w:rFonts w:ascii="Arial Bold" w:eastAsia="Times New Roman" w:hAnsi="Arial Bold" w:cs="Arial"/>
          <w:b/>
          <w:smallCaps/>
          <w:sz w:val="22"/>
        </w:rPr>
        <w:t>On Behalf of Hess Corporation</w:t>
      </w:r>
    </w:p>
    <w:p w:rsidR="00152087" w:rsidRPr="00152087" w:rsidRDefault="00152087" w:rsidP="00152087">
      <w:pPr>
        <w:tabs>
          <w:tab w:val="left" w:pos="2160"/>
          <w:tab w:val="left" w:pos="2280"/>
        </w:tabs>
        <w:spacing w:after="0" w:line="240" w:lineRule="auto"/>
        <w:rPr>
          <w:rFonts w:eastAsia="Calibri" w:cs="Arial"/>
          <w:color w:val="000000"/>
          <w:sz w:val="22"/>
        </w:rPr>
      </w:pPr>
      <w:r w:rsidRPr="00152087">
        <w:rPr>
          <w:rFonts w:eastAsia="Times New Roman" w:cs="Arial"/>
          <w:sz w:val="22"/>
        </w:rPr>
        <w:br w:type="column"/>
      </w:r>
      <w:r w:rsidRPr="00152087">
        <w:rPr>
          <w:rFonts w:eastAsia="Calibri" w:cs="Arial"/>
          <w:color w:val="000000"/>
          <w:sz w:val="22"/>
        </w:rPr>
        <w:lastRenderedPageBreak/>
        <w:t xml:space="preserve">Allen </w:t>
      </w:r>
      <w:proofErr w:type="spellStart"/>
      <w:r w:rsidRPr="00152087">
        <w:rPr>
          <w:rFonts w:eastAsia="Calibri" w:cs="Arial"/>
          <w:color w:val="000000"/>
          <w:sz w:val="22"/>
        </w:rPr>
        <w:t>Freifeld</w:t>
      </w:r>
      <w:proofErr w:type="spellEnd"/>
    </w:p>
    <w:p w:rsidR="00152087" w:rsidRPr="00152087" w:rsidRDefault="00152087" w:rsidP="00152087">
      <w:pPr>
        <w:autoSpaceDE w:val="0"/>
        <w:autoSpaceDN w:val="0"/>
        <w:adjustRightInd w:val="0"/>
        <w:spacing w:after="0" w:line="240" w:lineRule="auto"/>
        <w:rPr>
          <w:rFonts w:eastAsia="Calibri" w:cs="Arial"/>
          <w:color w:val="000000"/>
          <w:sz w:val="22"/>
        </w:rPr>
      </w:pPr>
      <w:r w:rsidRPr="00152087">
        <w:rPr>
          <w:rFonts w:eastAsia="Calibri" w:cs="Arial"/>
          <w:color w:val="000000"/>
          <w:sz w:val="22"/>
        </w:rPr>
        <w:t>Samuel A. Wolfe</w:t>
      </w:r>
    </w:p>
    <w:p w:rsidR="00152087" w:rsidRPr="00152087" w:rsidRDefault="00152087" w:rsidP="00152087">
      <w:pPr>
        <w:autoSpaceDE w:val="0"/>
        <w:autoSpaceDN w:val="0"/>
        <w:adjustRightInd w:val="0"/>
        <w:spacing w:after="0" w:line="240" w:lineRule="auto"/>
        <w:rPr>
          <w:rFonts w:eastAsia="Calibri" w:cs="Arial"/>
          <w:color w:val="000000"/>
          <w:sz w:val="22"/>
        </w:rPr>
      </w:pPr>
      <w:proofErr w:type="spellStart"/>
      <w:r w:rsidRPr="00152087">
        <w:rPr>
          <w:rFonts w:eastAsia="Calibri" w:cs="Arial"/>
          <w:color w:val="000000"/>
          <w:sz w:val="22"/>
        </w:rPr>
        <w:t>Viridity</w:t>
      </w:r>
      <w:proofErr w:type="spellEnd"/>
      <w:r w:rsidRPr="00152087">
        <w:rPr>
          <w:rFonts w:eastAsia="Calibri" w:cs="Arial"/>
          <w:color w:val="000000"/>
          <w:sz w:val="22"/>
        </w:rPr>
        <w:t xml:space="preserve"> Energy, Inc.</w:t>
      </w:r>
    </w:p>
    <w:p w:rsidR="00152087" w:rsidRPr="00152087" w:rsidRDefault="00152087" w:rsidP="00152087">
      <w:pPr>
        <w:autoSpaceDE w:val="0"/>
        <w:autoSpaceDN w:val="0"/>
        <w:adjustRightInd w:val="0"/>
        <w:spacing w:after="0" w:line="240" w:lineRule="auto"/>
        <w:rPr>
          <w:rFonts w:eastAsia="Calibri" w:cs="Arial"/>
          <w:color w:val="000000"/>
          <w:sz w:val="22"/>
        </w:rPr>
      </w:pPr>
      <w:r w:rsidRPr="00152087">
        <w:rPr>
          <w:rFonts w:eastAsia="Calibri" w:cs="Arial"/>
          <w:color w:val="000000"/>
          <w:sz w:val="22"/>
        </w:rPr>
        <w:t>100 West Elm Street, Suite 410</w:t>
      </w:r>
    </w:p>
    <w:p w:rsidR="00152087" w:rsidRPr="00152087" w:rsidRDefault="00152087" w:rsidP="00152087">
      <w:pPr>
        <w:autoSpaceDE w:val="0"/>
        <w:autoSpaceDN w:val="0"/>
        <w:adjustRightInd w:val="0"/>
        <w:spacing w:after="0" w:line="240" w:lineRule="auto"/>
        <w:rPr>
          <w:rFonts w:eastAsia="Calibri" w:cs="Arial"/>
          <w:color w:val="000000"/>
          <w:sz w:val="22"/>
        </w:rPr>
      </w:pPr>
      <w:r w:rsidRPr="00152087">
        <w:rPr>
          <w:rFonts w:eastAsia="Calibri" w:cs="Arial"/>
          <w:color w:val="000000"/>
          <w:sz w:val="22"/>
        </w:rPr>
        <w:t>Conshohocken, PA 19428</w:t>
      </w:r>
    </w:p>
    <w:p w:rsidR="00152087" w:rsidRPr="00152087" w:rsidRDefault="00152087" w:rsidP="00152087">
      <w:pPr>
        <w:autoSpaceDE w:val="0"/>
        <w:autoSpaceDN w:val="0"/>
        <w:adjustRightInd w:val="0"/>
        <w:spacing w:after="0" w:line="240" w:lineRule="auto"/>
        <w:rPr>
          <w:rFonts w:eastAsia="Calibri" w:cs="Arial"/>
          <w:sz w:val="22"/>
        </w:rPr>
      </w:pPr>
      <w:r w:rsidRPr="00152087">
        <w:rPr>
          <w:rFonts w:eastAsia="Calibri" w:cs="Arial"/>
          <w:sz w:val="22"/>
        </w:rPr>
        <w:t>afreifeld@viridityenergy.com</w:t>
      </w:r>
    </w:p>
    <w:p w:rsidR="00152087" w:rsidRPr="00152087" w:rsidRDefault="00152087" w:rsidP="00152087">
      <w:pPr>
        <w:autoSpaceDE w:val="0"/>
        <w:autoSpaceDN w:val="0"/>
        <w:adjustRightInd w:val="0"/>
        <w:spacing w:after="0" w:line="240" w:lineRule="auto"/>
        <w:rPr>
          <w:rFonts w:eastAsia="Calibri" w:cs="Arial"/>
          <w:sz w:val="22"/>
        </w:rPr>
      </w:pPr>
      <w:r w:rsidRPr="00152087">
        <w:rPr>
          <w:rFonts w:eastAsia="Calibri" w:cs="Arial"/>
          <w:sz w:val="22"/>
        </w:rPr>
        <w:t>swolfe@viridityenergy.com</w:t>
      </w:r>
    </w:p>
    <w:p w:rsidR="00152087" w:rsidRPr="00152087" w:rsidRDefault="00152087" w:rsidP="00152087">
      <w:pPr>
        <w:autoSpaceDE w:val="0"/>
        <w:autoSpaceDN w:val="0"/>
        <w:adjustRightInd w:val="0"/>
        <w:spacing w:after="0" w:line="240" w:lineRule="auto"/>
        <w:rPr>
          <w:rFonts w:eastAsia="Calibri" w:cs="Arial"/>
          <w:sz w:val="22"/>
        </w:rPr>
      </w:pPr>
    </w:p>
    <w:p w:rsidR="00152087" w:rsidRPr="00152087" w:rsidRDefault="00152087" w:rsidP="00152087">
      <w:pPr>
        <w:autoSpaceDE w:val="0"/>
        <w:autoSpaceDN w:val="0"/>
        <w:adjustRightInd w:val="0"/>
        <w:spacing w:after="0" w:line="240" w:lineRule="auto"/>
        <w:rPr>
          <w:rFonts w:eastAsia="Calibri" w:cs="Arial"/>
          <w:sz w:val="22"/>
        </w:rPr>
      </w:pPr>
      <w:r w:rsidRPr="00152087">
        <w:rPr>
          <w:rFonts w:eastAsia="Calibri" w:cs="Arial"/>
          <w:sz w:val="22"/>
        </w:rPr>
        <w:t xml:space="preserve">Jacqueline Lake Roberts, </w:t>
      </w:r>
    </w:p>
    <w:p w:rsidR="00152087" w:rsidRPr="00152087" w:rsidRDefault="00152087" w:rsidP="00152087">
      <w:pPr>
        <w:autoSpaceDE w:val="0"/>
        <w:autoSpaceDN w:val="0"/>
        <w:adjustRightInd w:val="0"/>
        <w:spacing w:after="0" w:line="240" w:lineRule="auto"/>
        <w:rPr>
          <w:rFonts w:eastAsia="Calibri" w:cs="Arial"/>
          <w:sz w:val="22"/>
        </w:rPr>
      </w:pPr>
      <w:r w:rsidRPr="00152087">
        <w:rPr>
          <w:rFonts w:eastAsia="Calibri" w:cs="Arial"/>
          <w:sz w:val="22"/>
        </w:rPr>
        <w:t>Counsel of Record</w:t>
      </w:r>
    </w:p>
    <w:p w:rsidR="00152087" w:rsidRPr="00152087" w:rsidRDefault="00152087" w:rsidP="00152087">
      <w:pPr>
        <w:autoSpaceDE w:val="0"/>
        <w:autoSpaceDN w:val="0"/>
        <w:adjustRightInd w:val="0"/>
        <w:spacing w:after="0" w:line="240" w:lineRule="auto"/>
        <w:rPr>
          <w:rFonts w:eastAsia="Calibri" w:cs="Arial"/>
          <w:sz w:val="22"/>
        </w:rPr>
      </w:pPr>
      <w:r w:rsidRPr="00152087">
        <w:rPr>
          <w:rFonts w:eastAsia="Calibri" w:cs="Arial"/>
          <w:sz w:val="22"/>
        </w:rPr>
        <w:t>101 Federal Street, Suite 1100</w:t>
      </w:r>
    </w:p>
    <w:p w:rsidR="00152087" w:rsidRPr="00152087" w:rsidRDefault="00152087" w:rsidP="00152087">
      <w:pPr>
        <w:autoSpaceDE w:val="0"/>
        <w:autoSpaceDN w:val="0"/>
        <w:adjustRightInd w:val="0"/>
        <w:spacing w:after="0" w:line="240" w:lineRule="auto"/>
        <w:rPr>
          <w:rFonts w:eastAsia="Calibri" w:cs="Arial"/>
          <w:sz w:val="22"/>
        </w:rPr>
      </w:pPr>
      <w:r w:rsidRPr="00152087">
        <w:rPr>
          <w:rFonts w:eastAsia="Calibri" w:cs="Arial"/>
          <w:sz w:val="22"/>
        </w:rPr>
        <w:t>Boston, MA 02110</w:t>
      </w:r>
    </w:p>
    <w:p w:rsidR="00152087" w:rsidRPr="00152087" w:rsidRDefault="00152087" w:rsidP="00152087">
      <w:pPr>
        <w:autoSpaceDE w:val="0"/>
        <w:autoSpaceDN w:val="0"/>
        <w:adjustRightInd w:val="0"/>
        <w:spacing w:after="0" w:line="240" w:lineRule="auto"/>
        <w:rPr>
          <w:rFonts w:eastAsia="Calibri" w:cs="Arial"/>
          <w:sz w:val="22"/>
        </w:rPr>
      </w:pPr>
      <w:r w:rsidRPr="00152087">
        <w:rPr>
          <w:rFonts w:eastAsia="Calibri" w:cs="Arial"/>
          <w:sz w:val="22"/>
        </w:rPr>
        <w:t>jroberts@enernoc.com</w:t>
      </w:r>
    </w:p>
    <w:p w:rsidR="00152087" w:rsidRPr="00152087" w:rsidRDefault="00152087" w:rsidP="00152087">
      <w:pPr>
        <w:autoSpaceDE w:val="0"/>
        <w:autoSpaceDN w:val="0"/>
        <w:adjustRightInd w:val="0"/>
        <w:spacing w:after="0" w:line="240" w:lineRule="auto"/>
        <w:rPr>
          <w:rFonts w:eastAsia="Calibri" w:cs="Arial"/>
          <w:sz w:val="22"/>
        </w:rPr>
      </w:pPr>
    </w:p>
    <w:p w:rsidR="00152087" w:rsidRPr="00152087" w:rsidRDefault="00152087" w:rsidP="00152087">
      <w:pPr>
        <w:spacing w:after="0" w:line="240" w:lineRule="auto"/>
        <w:rPr>
          <w:rFonts w:eastAsia="Calibri" w:cs="Arial"/>
          <w:b/>
          <w:smallCaps/>
          <w:sz w:val="22"/>
        </w:rPr>
      </w:pPr>
      <w:r w:rsidRPr="00152087">
        <w:rPr>
          <w:rFonts w:eastAsia="Times New Roman" w:cs="Arial"/>
          <w:b/>
          <w:smallCaps/>
          <w:sz w:val="22"/>
        </w:rPr>
        <w:t xml:space="preserve">On Behalf of </w:t>
      </w:r>
      <w:proofErr w:type="spellStart"/>
      <w:r w:rsidRPr="00152087">
        <w:rPr>
          <w:rFonts w:eastAsia="Times New Roman" w:cs="Arial"/>
          <w:b/>
          <w:smallCaps/>
          <w:sz w:val="22"/>
        </w:rPr>
        <w:t>CPower</w:t>
      </w:r>
      <w:proofErr w:type="spellEnd"/>
      <w:r w:rsidRPr="00152087">
        <w:rPr>
          <w:rFonts w:eastAsia="Times New Roman" w:cs="Arial"/>
          <w:b/>
          <w:smallCaps/>
          <w:sz w:val="22"/>
        </w:rPr>
        <w:t xml:space="preserve">, Inc., </w:t>
      </w:r>
      <w:proofErr w:type="spellStart"/>
      <w:r w:rsidRPr="00152087">
        <w:rPr>
          <w:rFonts w:eastAsia="Times New Roman" w:cs="Arial"/>
          <w:b/>
          <w:smallCaps/>
          <w:sz w:val="22"/>
        </w:rPr>
        <w:t>Viridity</w:t>
      </w:r>
      <w:proofErr w:type="spellEnd"/>
      <w:r w:rsidRPr="00152087">
        <w:rPr>
          <w:rFonts w:eastAsia="Times New Roman" w:cs="Arial"/>
          <w:b/>
          <w:smallCaps/>
          <w:sz w:val="22"/>
        </w:rPr>
        <w:t xml:space="preserve"> Energy, Inc., </w:t>
      </w:r>
      <w:proofErr w:type="spellStart"/>
      <w:r w:rsidRPr="00152087">
        <w:rPr>
          <w:rFonts w:eastAsia="Times New Roman" w:cs="Arial"/>
          <w:b/>
          <w:smallCaps/>
          <w:sz w:val="22"/>
        </w:rPr>
        <w:t>EnergyConnect</w:t>
      </w:r>
      <w:proofErr w:type="spellEnd"/>
      <w:r w:rsidRPr="00152087">
        <w:rPr>
          <w:rFonts w:eastAsia="Times New Roman" w:cs="Arial"/>
          <w:b/>
          <w:smallCaps/>
          <w:sz w:val="22"/>
        </w:rPr>
        <w:t xml:space="preserve"> Inc., </w:t>
      </w:r>
      <w:proofErr w:type="spellStart"/>
      <w:r w:rsidRPr="00152087">
        <w:rPr>
          <w:rFonts w:eastAsia="Times New Roman" w:cs="Arial"/>
          <w:b/>
          <w:smallCaps/>
          <w:sz w:val="22"/>
        </w:rPr>
        <w:t>Comverge</w:t>
      </w:r>
      <w:proofErr w:type="spellEnd"/>
      <w:r w:rsidRPr="00152087">
        <w:rPr>
          <w:rFonts w:eastAsia="Times New Roman" w:cs="Arial"/>
          <w:b/>
          <w:smallCaps/>
          <w:sz w:val="22"/>
        </w:rPr>
        <w:t xml:space="preserve"> Inc., </w:t>
      </w:r>
      <w:proofErr w:type="spellStart"/>
      <w:r w:rsidRPr="00152087">
        <w:rPr>
          <w:rFonts w:eastAsia="Times New Roman" w:cs="Arial"/>
          <w:b/>
          <w:smallCaps/>
          <w:sz w:val="22"/>
        </w:rPr>
        <w:t>Enerwise</w:t>
      </w:r>
      <w:proofErr w:type="spellEnd"/>
      <w:r w:rsidRPr="00152087">
        <w:rPr>
          <w:rFonts w:eastAsia="Times New Roman" w:cs="Arial"/>
          <w:b/>
          <w:smallCaps/>
          <w:sz w:val="22"/>
        </w:rPr>
        <w:t xml:space="preserve"> Global Technologies, Inc., and Energy Curtailment Specialists, Inc.</w:t>
      </w:r>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 xml:space="preserve">Robert </w:t>
      </w:r>
      <w:proofErr w:type="spellStart"/>
      <w:r w:rsidRPr="00152087">
        <w:rPr>
          <w:rFonts w:eastAsia="Times New Roman" w:cs="Arial"/>
          <w:sz w:val="22"/>
        </w:rPr>
        <w:t>Korandovich</w:t>
      </w:r>
      <w:proofErr w:type="spellEnd"/>
    </w:p>
    <w:p w:rsidR="00152087" w:rsidRPr="00152087" w:rsidRDefault="00152087" w:rsidP="00152087">
      <w:pPr>
        <w:spacing w:after="0" w:line="240" w:lineRule="auto"/>
        <w:rPr>
          <w:rFonts w:eastAsia="Times New Roman" w:cs="Arial"/>
          <w:sz w:val="22"/>
        </w:rPr>
      </w:pPr>
      <w:proofErr w:type="spellStart"/>
      <w:r w:rsidRPr="00152087">
        <w:rPr>
          <w:rFonts w:eastAsia="Times New Roman" w:cs="Arial"/>
          <w:sz w:val="22"/>
        </w:rPr>
        <w:t>KOREnergy</w:t>
      </w:r>
      <w:proofErr w:type="spellEnd"/>
    </w:p>
    <w:p w:rsidR="00152087" w:rsidRPr="00152087" w:rsidRDefault="00152087" w:rsidP="00152087">
      <w:pPr>
        <w:spacing w:after="0" w:line="240" w:lineRule="auto"/>
        <w:rPr>
          <w:rFonts w:eastAsia="Times New Roman" w:cs="Arial"/>
          <w:sz w:val="22"/>
        </w:rPr>
      </w:pPr>
      <w:r w:rsidRPr="00152087">
        <w:rPr>
          <w:rFonts w:eastAsia="Times New Roman" w:cs="Arial"/>
          <w:sz w:val="22"/>
        </w:rPr>
        <w:t>P.O. Box 148</w:t>
      </w:r>
    </w:p>
    <w:p w:rsidR="00152087" w:rsidRPr="00152087" w:rsidRDefault="00152087" w:rsidP="00152087">
      <w:pPr>
        <w:spacing w:after="0" w:line="240" w:lineRule="auto"/>
        <w:rPr>
          <w:rFonts w:eastAsia="Times New Roman" w:cs="Arial"/>
          <w:sz w:val="22"/>
        </w:rPr>
      </w:pPr>
      <w:r w:rsidRPr="00152087">
        <w:rPr>
          <w:rFonts w:eastAsia="Times New Roman" w:cs="Arial"/>
          <w:sz w:val="22"/>
        </w:rPr>
        <w:t>Sunbury, OH  43074</w:t>
      </w:r>
    </w:p>
    <w:p w:rsidR="00152087" w:rsidRPr="00152087" w:rsidRDefault="008F30A5" w:rsidP="00152087">
      <w:pPr>
        <w:spacing w:after="0" w:line="240" w:lineRule="auto"/>
        <w:rPr>
          <w:rFonts w:eastAsia="Times New Roman" w:cs="Arial"/>
          <w:sz w:val="22"/>
        </w:rPr>
      </w:pPr>
      <w:hyperlink r:id="rId22" w:history="1">
        <w:r w:rsidR="00152087" w:rsidRPr="00152087">
          <w:rPr>
            <w:rFonts w:eastAsia="Times New Roman" w:cs="Arial"/>
            <w:sz w:val="22"/>
          </w:rPr>
          <w:t>korenergy@insight.rr.com</w:t>
        </w:r>
      </w:hyperlink>
    </w:p>
    <w:p w:rsidR="00152087" w:rsidRPr="00152087" w:rsidRDefault="00152087" w:rsidP="00152087">
      <w:pPr>
        <w:spacing w:after="0" w:line="240" w:lineRule="auto"/>
        <w:rPr>
          <w:rFonts w:eastAsia="Times New Roman" w:cs="Arial"/>
          <w:sz w:val="22"/>
        </w:rPr>
      </w:pPr>
    </w:p>
    <w:p w:rsidR="00152087" w:rsidRPr="00152087" w:rsidRDefault="00152087" w:rsidP="00152087">
      <w:pPr>
        <w:spacing w:after="0" w:line="240" w:lineRule="auto"/>
        <w:rPr>
          <w:rFonts w:eastAsia="Calibri" w:cs="Arial"/>
          <w:b/>
          <w:smallCaps/>
          <w:sz w:val="22"/>
        </w:rPr>
      </w:pPr>
      <w:r w:rsidRPr="00152087">
        <w:rPr>
          <w:rFonts w:eastAsia="Calibri" w:cs="Arial"/>
          <w:b/>
          <w:smallCaps/>
          <w:sz w:val="22"/>
        </w:rPr>
        <w:t xml:space="preserve">On Behalf of </w:t>
      </w:r>
      <w:proofErr w:type="spellStart"/>
      <w:r w:rsidRPr="00152087">
        <w:rPr>
          <w:rFonts w:eastAsia="Calibri" w:cs="Arial"/>
          <w:b/>
          <w:smallCaps/>
          <w:sz w:val="22"/>
        </w:rPr>
        <w:t>KOREnergy</w:t>
      </w:r>
      <w:proofErr w:type="spellEnd"/>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Benita Kahn</w:t>
      </w:r>
    </w:p>
    <w:p w:rsidR="00152087" w:rsidRPr="00152087" w:rsidRDefault="00152087" w:rsidP="00152087">
      <w:pPr>
        <w:tabs>
          <w:tab w:val="left" w:pos="2160"/>
          <w:tab w:val="left" w:pos="2280"/>
        </w:tabs>
        <w:spacing w:after="0" w:line="240" w:lineRule="auto"/>
        <w:rPr>
          <w:rFonts w:eastAsia="Times New Roman" w:cs="Arial"/>
          <w:sz w:val="22"/>
        </w:rPr>
      </w:pPr>
      <w:proofErr w:type="spellStart"/>
      <w:r w:rsidRPr="00152087">
        <w:rPr>
          <w:rFonts w:eastAsia="Times New Roman" w:cs="Arial"/>
          <w:sz w:val="22"/>
        </w:rPr>
        <w:t>Lija</w:t>
      </w:r>
      <w:proofErr w:type="spellEnd"/>
      <w:r w:rsidRPr="00152087">
        <w:rPr>
          <w:rFonts w:eastAsia="Times New Roman" w:cs="Arial"/>
          <w:sz w:val="22"/>
        </w:rPr>
        <w:t xml:space="preserve"> </w:t>
      </w:r>
      <w:proofErr w:type="spellStart"/>
      <w:r w:rsidRPr="00152087">
        <w:rPr>
          <w:rFonts w:eastAsia="Times New Roman" w:cs="Arial"/>
          <w:sz w:val="22"/>
        </w:rPr>
        <w:t>Kaleps</w:t>
      </w:r>
      <w:proofErr w:type="spellEnd"/>
      <w:r w:rsidRPr="00152087">
        <w:rPr>
          <w:rFonts w:eastAsia="Times New Roman" w:cs="Arial"/>
          <w:sz w:val="22"/>
        </w:rPr>
        <w:t>-Clark</w:t>
      </w:r>
    </w:p>
    <w:p w:rsidR="00152087" w:rsidRPr="00152087" w:rsidRDefault="00152087" w:rsidP="00152087">
      <w:pPr>
        <w:tabs>
          <w:tab w:val="left" w:pos="2160"/>
          <w:tab w:val="left" w:pos="2280"/>
        </w:tabs>
        <w:spacing w:after="0" w:line="240" w:lineRule="auto"/>
        <w:rPr>
          <w:rFonts w:eastAsia="Times New Roman" w:cs="Arial"/>
          <w:sz w:val="22"/>
        </w:rPr>
      </w:pPr>
      <w:proofErr w:type="spellStart"/>
      <w:r w:rsidRPr="00152087">
        <w:rPr>
          <w:rFonts w:eastAsia="Times New Roman" w:cs="Arial"/>
          <w:sz w:val="22"/>
        </w:rPr>
        <w:t>Vorys</w:t>
      </w:r>
      <w:proofErr w:type="spellEnd"/>
      <w:r w:rsidRPr="00152087">
        <w:rPr>
          <w:rFonts w:eastAsia="Times New Roman" w:cs="Arial"/>
          <w:sz w:val="22"/>
        </w:rPr>
        <w:t xml:space="preserve"> </w:t>
      </w:r>
      <w:proofErr w:type="spellStart"/>
      <w:r w:rsidRPr="00152087">
        <w:rPr>
          <w:rFonts w:eastAsia="Times New Roman" w:cs="Arial"/>
          <w:sz w:val="22"/>
        </w:rPr>
        <w:t>Sater</w:t>
      </w:r>
      <w:proofErr w:type="spellEnd"/>
      <w:r w:rsidRPr="00152087">
        <w:rPr>
          <w:rFonts w:eastAsia="Times New Roman" w:cs="Arial"/>
          <w:sz w:val="22"/>
        </w:rPr>
        <w:t>, Seymour and Pease LLC</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52 East Gay Street, P.O. Box 1008</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Columbus, OH  43216-1008</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bakahn@vorys.com</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lkalepsclark@vorys.com</w:t>
      </w:r>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William Wright</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 xml:space="preserve">Werner </w:t>
      </w:r>
      <w:proofErr w:type="spellStart"/>
      <w:r w:rsidRPr="00152087">
        <w:rPr>
          <w:rFonts w:eastAsia="Times New Roman" w:cs="Arial"/>
          <w:sz w:val="22"/>
        </w:rPr>
        <w:t>Margard</w:t>
      </w:r>
      <w:proofErr w:type="spellEnd"/>
    </w:p>
    <w:p w:rsidR="00152087" w:rsidRPr="00152087" w:rsidRDefault="00152087" w:rsidP="00152087">
      <w:pPr>
        <w:tabs>
          <w:tab w:val="left" w:pos="2160"/>
          <w:tab w:val="left" w:pos="2280"/>
        </w:tabs>
        <w:spacing w:after="0" w:line="240" w:lineRule="auto"/>
        <w:rPr>
          <w:rFonts w:eastAsia="Times New Roman" w:cs="Arial"/>
          <w:b/>
          <w:smallCaps/>
          <w:sz w:val="22"/>
        </w:rPr>
      </w:pPr>
      <w:r w:rsidRPr="00152087">
        <w:rPr>
          <w:rFonts w:eastAsia="Times New Roman" w:cs="Arial"/>
          <w:sz w:val="22"/>
        </w:rPr>
        <w:t>Thomas Lindgren</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John H. Jones</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Assistant Attorneys’ General</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Public Utilities Section</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180 East Broad Street, 6</w:t>
      </w:r>
      <w:r w:rsidRPr="00152087">
        <w:rPr>
          <w:rFonts w:eastAsia="Times New Roman" w:cs="Arial"/>
          <w:sz w:val="22"/>
          <w:vertAlign w:val="superscript"/>
        </w:rPr>
        <w:t>th</w:t>
      </w:r>
      <w:r w:rsidRPr="00152087">
        <w:rPr>
          <w:rFonts w:eastAsia="Times New Roman" w:cs="Arial"/>
          <w:sz w:val="22"/>
        </w:rPr>
        <w:t xml:space="preserve"> Floor</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Columbus, OH  43215</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john.jones@puc.state.oh.us</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werner.margard@puc.state.oh.us</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thomas.lindgren@puc.state.oh.us</w:t>
      </w:r>
    </w:p>
    <w:p w:rsidR="00152087" w:rsidRPr="00152087" w:rsidRDefault="00152087" w:rsidP="00152087">
      <w:pPr>
        <w:tabs>
          <w:tab w:val="left" w:pos="2160"/>
          <w:tab w:val="left" w:pos="2280"/>
        </w:tabs>
        <w:spacing w:after="0" w:line="240" w:lineRule="auto"/>
        <w:rPr>
          <w:rFonts w:eastAsia="Times New Roman" w:cs="Arial"/>
          <w:sz w:val="22"/>
        </w:rPr>
      </w:pPr>
      <w:r w:rsidRPr="00152087">
        <w:rPr>
          <w:rFonts w:eastAsia="Times New Roman" w:cs="Arial"/>
          <w:sz w:val="22"/>
        </w:rPr>
        <w:t>william.wright@puc.state.oh.us</w:t>
      </w:r>
    </w:p>
    <w:p w:rsidR="00152087" w:rsidRPr="00152087" w:rsidRDefault="00152087" w:rsidP="00152087">
      <w:pPr>
        <w:tabs>
          <w:tab w:val="left" w:pos="2160"/>
          <w:tab w:val="left" w:pos="2280"/>
        </w:tabs>
        <w:spacing w:after="0" w:line="240" w:lineRule="auto"/>
        <w:rPr>
          <w:rFonts w:eastAsia="Times New Roman" w:cs="Arial"/>
          <w:sz w:val="22"/>
        </w:rPr>
      </w:pPr>
    </w:p>
    <w:p w:rsidR="00152087" w:rsidRPr="00152087" w:rsidRDefault="00152087" w:rsidP="00152087">
      <w:pPr>
        <w:tabs>
          <w:tab w:val="left" w:pos="2160"/>
          <w:tab w:val="left" w:pos="2280"/>
        </w:tabs>
        <w:spacing w:after="0" w:line="240" w:lineRule="auto"/>
        <w:rPr>
          <w:rFonts w:eastAsia="Times New Roman" w:cs="Arial"/>
          <w:b/>
          <w:smallCaps/>
          <w:sz w:val="22"/>
        </w:rPr>
      </w:pPr>
      <w:r w:rsidRPr="00152087">
        <w:rPr>
          <w:rFonts w:eastAsia="Times New Roman" w:cs="Arial"/>
          <w:b/>
          <w:smallCaps/>
          <w:sz w:val="22"/>
        </w:rPr>
        <w:t>On Behalf of the Public Utilities Commission of Ohio</w:t>
      </w:r>
    </w:p>
    <w:p w:rsidR="00152087" w:rsidRPr="00152087" w:rsidRDefault="00152087" w:rsidP="00152087">
      <w:pPr>
        <w:tabs>
          <w:tab w:val="left" w:pos="4680"/>
        </w:tabs>
        <w:spacing w:after="0" w:line="240" w:lineRule="auto"/>
        <w:rPr>
          <w:rFonts w:eastAsia="Times New Roman" w:cs="Arial"/>
          <w:color w:val="000000"/>
          <w:sz w:val="22"/>
        </w:rPr>
      </w:pPr>
    </w:p>
    <w:p w:rsidR="00F03E9E" w:rsidRPr="00F03E9E" w:rsidRDefault="00F03E9E" w:rsidP="00F03E9E">
      <w:pPr>
        <w:tabs>
          <w:tab w:val="left" w:pos="2160"/>
          <w:tab w:val="left" w:pos="2280"/>
        </w:tabs>
        <w:spacing w:after="0" w:line="240" w:lineRule="auto"/>
        <w:rPr>
          <w:rFonts w:eastAsia="Times New Roman" w:cs="Arial"/>
          <w:sz w:val="22"/>
        </w:rPr>
      </w:pPr>
      <w:r w:rsidRPr="00F03E9E">
        <w:rPr>
          <w:rFonts w:eastAsia="Times New Roman" w:cs="Arial"/>
          <w:sz w:val="22"/>
        </w:rPr>
        <w:lastRenderedPageBreak/>
        <w:t>Mark A. Whitt</w:t>
      </w:r>
    </w:p>
    <w:p w:rsidR="00F03E9E" w:rsidRPr="00F03E9E" w:rsidRDefault="00F03E9E" w:rsidP="00F03E9E">
      <w:pPr>
        <w:tabs>
          <w:tab w:val="left" w:pos="2160"/>
          <w:tab w:val="left" w:pos="2280"/>
        </w:tabs>
        <w:spacing w:after="0" w:line="240" w:lineRule="auto"/>
        <w:rPr>
          <w:rFonts w:eastAsia="Times New Roman" w:cs="Arial"/>
          <w:sz w:val="22"/>
        </w:rPr>
      </w:pPr>
      <w:r w:rsidRPr="00F03E9E">
        <w:rPr>
          <w:rFonts w:eastAsia="Times New Roman" w:cs="Arial"/>
          <w:sz w:val="22"/>
        </w:rPr>
        <w:t>Melissa L. Thompson</w:t>
      </w:r>
    </w:p>
    <w:p w:rsidR="00F03E9E" w:rsidRPr="00F03E9E" w:rsidRDefault="00F03E9E" w:rsidP="00F03E9E">
      <w:pPr>
        <w:tabs>
          <w:tab w:val="left" w:pos="2160"/>
          <w:tab w:val="left" w:pos="2280"/>
        </w:tabs>
        <w:spacing w:after="0" w:line="240" w:lineRule="auto"/>
        <w:rPr>
          <w:rFonts w:eastAsia="Times New Roman" w:cs="Arial"/>
          <w:sz w:val="22"/>
        </w:rPr>
      </w:pPr>
      <w:r w:rsidRPr="00F03E9E">
        <w:rPr>
          <w:rFonts w:eastAsia="Times New Roman" w:cs="Arial"/>
          <w:sz w:val="22"/>
        </w:rPr>
        <w:t>Whitt Sturtevant LLP</w:t>
      </w:r>
    </w:p>
    <w:p w:rsidR="00F03E9E" w:rsidRPr="00F03E9E" w:rsidRDefault="00F03E9E" w:rsidP="00F03E9E">
      <w:pPr>
        <w:tabs>
          <w:tab w:val="left" w:pos="2160"/>
          <w:tab w:val="left" w:pos="2280"/>
        </w:tabs>
        <w:spacing w:after="0" w:line="240" w:lineRule="auto"/>
        <w:rPr>
          <w:rFonts w:eastAsia="Times New Roman" w:cs="Arial"/>
          <w:sz w:val="22"/>
        </w:rPr>
      </w:pPr>
      <w:r w:rsidRPr="00F03E9E">
        <w:rPr>
          <w:rFonts w:eastAsia="Times New Roman" w:cs="Arial"/>
          <w:sz w:val="22"/>
        </w:rPr>
        <w:t>PNC Plaza, Suite 2020</w:t>
      </w:r>
    </w:p>
    <w:p w:rsidR="00F03E9E" w:rsidRPr="00F03E9E" w:rsidRDefault="00F03E9E" w:rsidP="00F03E9E">
      <w:pPr>
        <w:tabs>
          <w:tab w:val="left" w:pos="2160"/>
          <w:tab w:val="left" w:pos="2280"/>
        </w:tabs>
        <w:spacing w:after="0" w:line="240" w:lineRule="auto"/>
        <w:rPr>
          <w:rFonts w:eastAsia="Times New Roman" w:cs="Arial"/>
          <w:sz w:val="22"/>
        </w:rPr>
      </w:pPr>
      <w:r w:rsidRPr="00F03E9E">
        <w:rPr>
          <w:rFonts w:eastAsia="Times New Roman" w:cs="Arial"/>
          <w:sz w:val="22"/>
        </w:rPr>
        <w:t>155 East Broad Street</w:t>
      </w:r>
    </w:p>
    <w:p w:rsidR="00F03E9E" w:rsidRPr="00F03E9E" w:rsidRDefault="00F03E9E" w:rsidP="00F03E9E">
      <w:pPr>
        <w:tabs>
          <w:tab w:val="left" w:pos="2160"/>
          <w:tab w:val="left" w:pos="2280"/>
        </w:tabs>
        <w:spacing w:after="0" w:line="240" w:lineRule="auto"/>
        <w:rPr>
          <w:rFonts w:eastAsia="Times New Roman" w:cs="Arial"/>
          <w:sz w:val="22"/>
        </w:rPr>
      </w:pPr>
      <w:r w:rsidRPr="00F03E9E">
        <w:rPr>
          <w:rFonts w:eastAsia="Times New Roman" w:cs="Arial"/>
          <w:sz w:val="22"/>
        </w:rPr>
        <w:t>Columbus, OH  43215</w:t>
      </w:r>
    </w:p>
    <w:p w:rsidR="00F03E9E" w:rsidRPr="00F03E9E" w:rsidRDefault="00F03E9E" w:rsidP="00F03E9E">
      <w:pPr>
        <w:tabs>
          <w:tab w:val="left" w:pos="2160"/>
          <w:tab w:val="left" w:pos="2280"/>
        </w:tabs>
        <w:spacing w:after="0" w:line="240" w:lineRule="auto"/>
        <w:rPr>
          <w:rFonts w:eastAsia="Times New Roman" w:cs="Arial"/>
          <w:sz w:val="22"/>
        </w:rPr>
      </w:pPr>
      <w:r w:rsidRPr="00F03E9E">
        <w:rPr>
          <w:rFonts w:eastAsia="Times New Roman" w:cs="Arial"/>
          <w:sz w:val="22"/>
        </w:rPr>
        <w:t>whit</w:t>
      </w:r>
      <w:r>
        <w:rPr>
          <w:rFonts w:eastAsia="Times New Roman" w:cs="Arial"/>
          <w:sz w:val="22"/>
        </w:rPr>
        <w:t>t</w:t>
      </w:r>
      <w:r w:rsidRPr="00F03E9E">
        <w:rPr>
          <w:rFonts w:eastAsia="Times New Roman" w:cs="Arial"/>
          <w:sz w:val="22"/>
        </w:rPr>
        <w:t>@whitt-sturtevant.com</w:t>
      </w:r>
    </w:p>
    <w:p w:rsidR="00F03E9E" w:rsidRPr="00F03E9E" w:rsidRDefault="00F03E9E" w:rsidP="00F03E9E">
      <w:pPr>
        <w:tabs>
          <w:tab w:val="left" w:pos="2160"/>
          <w:tab w:val="left" w:pos="2280"/>
        </w:tabs>
        <w:spacing w:after="0" w:line="240" w:lineRule="auto"/>
        <w:rPr>
          <w:rFonts w:eastAsia="Times New Roman" w:cs="Arial"/>
          <w:sz w:val="22"/>
        </w:rPr>
      </w:pPr>
      <w:r w:rsidRPr="00F03E9E">
        <w:rPr>
          <w:rFonts w:eastAsia="Times New Roman" w:cs="Arial"/>
          <w:sz w:val="22"/>
        </w:rPr>
        <w:t>thompson@whitt-sturtevant.com</w:t>
      </w:r>
    </w:p>
    <w:p w:rsidR="00F03E9E" w:rsidRPr="00F03E9E" w:rsidRDefault="00F03E9E" w:rsidP="00F03E9E">
      <w:pPr>
        <w:tabs>
          <w:tab w:val="left" w:pos="2160"/>
          <w:tab w:val="left" w:pos="2280"/>
        </w:tabs>
        <w:spacing w:after="0" w:line="240" w:lineRule="auto"/>
        <w:rPr>
          <w:rFonts w:eastAsia="Times New Roman" w:cs="Arial"/>
          <w:sz w:val="22"/>
        </w:rPr>
      </w:pPr>
    </w:p>
    <w:p w:rsidR="00F03E9E" w:rsidRPr="00F03E9E" w:rsidRDefault="00F03E9E" w:rsidP="00F03E9E">
      <w:pPr>
        <w:tabs>
          <w:tab w:val="left" w:pos="2160"/>
          <w:tab w:val="left" w:pos="2280"/>
        </w:tabs>
        <w:spacing w:after="0" w:line="240" w:lineRule="auto"/>
        <w:rPr>
          <w:rFonts w:eastAsia="Times New Roman" w:cs="Arial"/>
          <w:sz w:val="22"/>
        </w:rPr>
      </w:pPr>
      <w:r w:rsidRPr="00F03E9E">
        <w:rPr>
          <w:rFonts w:eastAsia="Times New Roman" w:cs="Arial"/>
          <w:sz w:val="22"/>
        </w:rPr>
        <w:t xml:space="preserve">Vincent </w:t>
      </w:r>
      <w:proofErr w:type="spellStart"/>
      <w:r w:rsidRPr="00F03E9E">
        <w:rPr>
          <w:rFonts w:eastAsia="Times New Roman" w:cs="Arial"/>
          <w:sz w:val="22"/>
        </w:rPr>
        <w:t>Parisi</w:t>
      </w:r>
      <w:proofErr w:type="spellEnd"/>
    </w:p>
    <w:p w:rsidR="00F03E9E" w:rsidRPr="00F03E9E" w:rsidRDefault="00F03E9E" w:rsidP="00F03E9E">
      <w:pPr>
        <w:tabs>
          <w:tab w:val="left" w:pos="2160"/>
          <w:tab w:val="left" w:pos="2280"/>
        </w:tabs>
        <w:spacing w:after="0" w:line="240" w:lineRule="auto"/>
        <w:rPr>
          <w:rFonts w:eastAsia="Times New Roman" w:cs="Arial"/>
          <w:sz w:val="22"/>
        </w:rPr>
      </w:pPr>
      <w:r w:rsidRPr="00F03E9E">
        <w:rPr>
          <w:rFonts w:eastAsia="Times New Roman" w:cs="Arial"/>
          <w:sz w:val="22"/>
        </w:rPr>
        <w:t>Matthew White</w:t>
      </w:r>
    </w:p>
    <w:p w:rsidR="00F03E9E" w:rsidRPr="00F03E9E" w:rsidRDefault="00F03E9E" w:rsidP="00F03E9E">
      <w:pPr>
        <w:tabs>
          <w:tab w:val="left" w:pos="2160"/>
          <w:tab w:val="left" w:pos="2280"/>
        </w:tabs>
        <w:spacing w:after="0" w:line="240" w:lineRule="auto"/>
        <w:rPr>
          <w:rFonts w:eastAsia="Times New Roman" w:cs="Arial"/>
          <w:sz w:val="22"/>
        </w:rPr>
      </w:pPr>
      <w:r w:rsidRPr="00F03E9E">
        <w:rPr>
          <w:rFonts w:eastAsia="Times New Roman" w:cs="Arial"/>
          <w:sz w:val="22"/>
        </w:rPr>
        <w:t>Interstate Gas Supply, Inc.</w:t>
      </w:r>
    </w:p>
    <w:p w:rsidR="00F03E9E" w:rsidRPr="00F03E9E" w:rsidRDefault="00F03E9E" w:rsidP="00F03E9E">
      <w:pPr>
        <w:tabs>
          <w:tab w:val="left" w:pos="2160"/>
          <w:tab w:val="left" w:pos="2280"/>
        </w:tabs>
        <w:spacing w:after="0" w:line="240" w:lineRule="auto"/>
        <w:rPr>
          <w:rFonts w:eastAsia="Times New Roman" w:cs="Arial"/>
          <w:sz w:val="22"/>
        </w:rPr>
      </w:pPr>
      <w:r w:rsidRPr="00F03E9E">
        <w:rPr>
          <w:rFonts w:eastAsia="Times New Roman" w:cs="Arial"/>
          <w:sz w:val="22"/>
        </w:rPr>
        <w:t>6100 Emerald Parkway</w:t>
      </w:r>
    </w:p>
    <w:p w:rsidR="00F03E9E" w:rsidRPr="00F03E9E" w:rsidRDefault="00F03E9E" w:rsidP="00F03E9E">
      <w:pPr>
        <w:tabs>
          <w:tab w:val="left" w:pos="2160"/>
          <w:tab w:val="left" w:pos="2280"/>
        </w:tabs>
        <w:spacing w:after="0" w:line="240" w:lineRule="auto"/>
        <w:rPr>
          <w:rFonts w:eastAsia="Times New Roman" w:cs="Arial"/>
          <w:sz w:val="22"/>
        </w:rPr>
      </w:pPr>
      <w:r w:rsidRPr="00F03E9E">
        <w:rPr>
          <w:rFonts w:eastAsia="Times New Roman" w:cs="Arial"/>
          <w:sz w:val="22"/>
        </w:rPr>
        <w:t>Dublin, OH  43016</w:t>
      </w:r>
    </w:p>
    <w:p w:rsidR="00F03E9E" w:rsidRPr="00F03E9E" w:rsidRDefault="00F03E9E" w:rsidP="00F03E9E">
      <w:pPr>
        <w:tabs>
          <w:tab w:val="left" w:pos="2160"/>
          <w:tab w:val="left" w:pos="2280"/>
        </w:tabs>
        <w:spacing w:after="0" w:line="240" w:lineRule="auto"/>
        <w:rPr>
          <w:rFonts w:eastAsia="Times New Roman" w:cs="Arial"/>
          <w:sz w:val="22"/>
        </w:rPr>
      </w:pPr>
      <w:r w:rsidRPr="00F03E9E">
        <w:rPr>
          <w:rFonts w:eastAsia="Times New Roman" w:cs="Arial"/>
          <w:sz w:val="22"/>
        </w:rPr>
        <w:t>vparisi@igsenergy.com</w:t>
      </w:r>
    </w:p>
    <w:p w:rsidR="00F03E9E" w:rsidRPr="00F03E9E" w:rsidRDefault="008F30A5" w:rsidP="00F03E9E">
      <w:pPr>
        <w:tabs>
          <w:tab w:val="left" w:pos="2160"/>
          <w:tab w:val="left" w:pos="2280"/>
        </w:tabs>
        <w:spacing w:after="0" w:line="240" w:lineRule="auto"/>
        <w:rPr>
          <w:rFonts w:eastAsia="Times New Roman" w:cs="Arial"/>
          <w:sz w:val="22"/>
        </w:rPr>
      </w:pPr>
      <w:hyperlink r:id="rId23" w:history="1">
        <w:r w:rsidR="00F03E9E" w:rsidRPr="00F03E9E">
          <w:rPr>
            <w:rFonts w:eastAsia="Times New Roman" w:cs="Arial"/>
            <w:color w:val="0000FF"/>
            <w:sz w:val="22"/>
            <w:u w:val="single"/>
          </w:rPr>
          <w:t>mswhite@igsenergy.com</w:t>
        </w:r>
      </w:hyperlink>
    </w:p>
    <w:p w:rsidR="00F03E9E" w:rsidRPr="00F03E9E" w:rsidRDefault="00F03E9E" w:rsidP="00F03E9E">
      <w:pPr>
        <w:tabs>
          <w:tab w:val="left" w:pos="2160"/>
          <w:tab w:val="left" w:pos="2280"/>
        </w:tabs>
        <w:spacing w:after="0" w:line="240" w:lineRule="auto"/>
        <w:rPr>
          <w:rFonts w:eastAsia="Times New Roman" w:cs="Arial"/>
          <w:sz w:val="22"/>
        </w:rPr>
      </w:pPr>
    </w:p>
    <w:p w:rsidR="00F03E9E" w:rsidRPr="00F03E9E" w:rsidRDefault="00F03E9E" w:rsidP="00F03E9E">
      <w:pPr>
        <w:tabs>
          <w:tab w:val="left" w:pos="2160"/>
          <w:tab w:val="left" w:pos="2280"/>
        </w:tabs>
        <w:spacing w:after="0" w:line="240" w:lineRule="auto"/>
        <w:rPr>
          <w:rFonts w:ascii="Arial Bold" w:eastAsia="Times New Roman" w:hAnsi="Arial Bold" w:cs="Arial"/>
          <w:b/>
          <w:smallCaps/>
          <w:sz w:val="22"/>
        </w:rPr>
      </w:pPr>
      <w:proofErr w:type="gramStart"/>
      <w:r w:rsidRPr="00F03E9E">
        <w:rPr>
          <w:rFonts w:ascii="Arial Bold" w:eastAsia="Times New Roman" w:hAnsi="Arial Bold" w:cs="Arial"/>
          <w:b/>
          <w:smallCaps/>
          <w:sz w:val="22"/>
        </w:rPr>
        <w:t>On Behalf of Interstate Gas Supply, Inc.</w:t>
      </w:r>
      <w:proofErr w:type="gramEnd"/>
    </w:p>
    <w:p w:rsidR="00F03E9E" w:rsidRDefault="00F03E9E" w:rsidP="00152087">
      <w:pPr>
        <w:tabs>
          <w:tab w:val="left" w:pos="4680"/>
        </w:tabs>
        <w:spacing w:after="0" w:line="240" w:lineRule="auto"/>
        <w:rPr>
          <w:rFonts w:eastAsia="Times New Roman" w:cs="Arial"/>
          <w:color w:val="000000"/>
          <w:sz w:val="22"/>
        </w:rPr>
      </w:pPr>
    </w:p>
    <w:p w:rsidR="00152087" w:rsidRPr="00152087" w:rsidRDefault="00152087" w:rsidP="00152087">
      <w:pPr>
        <w:tabs>
          <w:tab w:val="left" w:pos="4680"/>
        </w:tabs>
        <w:spacing w:after="0" w:line="240" w:lineRule="auto"/>
        <w:rPr>
          <w:rFonts w:eastAsia="Times New Roman" w:cs="Arial"/>
          <w:color w:val="000000"/>
          <w:sz w:val="22"/>
        </w:rPr>
      </w:pPr>
      <w:r w:rsidRPr="00152087">
        <w:rPr>
          <w:rFonts w:eastAsia="Times New Roman" w:cs="Arial"/>
          <w:color w:val="000000"/>
          <w:sz w:val="22"/>
        </w:rPr>
        <w:t>Greta See</w:t>
      </w:r>
    </w:p>
    <w:p w:rsidR="00152087" w:rsidRPr="00152087" w:rsidRDefault="00152087" w:rsidP="00152087">
      <w:pPr>
        <w:tabs>
          <w:tab w:val="left" w:pos="4680"/>
        </w:tabs>
        <w:spacing w:after="0" w:line="240" w:lineRule="auto"/>
        <w:rPr>
          <w:rFonts w:eastAsia="Times New Roman" w:cs="Arial"/>
          <w:color w:val="000000"/>
          <w:sz w:val="22"/>
        </w:rPr>
      </w:pPr>
      <w:r w:rsidRPr="00152087">
        <w:rPr>
          <w:rFonts w:eastAsia="Times New Roman" w:cs="Arial"/>
          <w:color w:val="000000"/>
          <w:sz w:val="22"/>
        </w:rPr>
        <w:t xml:space="preserve">Jon </w:t>
      </w:r>
      <w:proofErr w:type="spellStart"/>
      <w:r w:rsidRPr="00152087">
        <w:rPr>
          <w:rFonts w:eastAsia="Times New Roman" w:cs="Arial"/>
          <w:color w:val="000000"/>
          <w:sz w:val="22"/>
        </w:rPr>
        <w:t>Tauber</w:t>
      </w:r>
      <w:proofErr w:type="spellEnd"/>
    </w:p>
    <w:p w:rsidR="00152087" w:rsidRPr="00152087" w:rsidRDefault="00152087" w:rsidP="00152087">
      <w:pPr>
        <w:tabs>
          <w:tab w:val="left" w:pos="4680"/>
        </w:tabs>
        <w:spacing w:after="0" w:line="240" w:lineRule="auto"/>
        <w:rPr>
          <w:rFonts w:eastAsia="Times New Roman" w:cs="Arial"/>
          <w:color w:val="000000"/>
          <w:sz w:val="22"/>
        </w:rPr>
      </w:pPr>
      <w:r w:rsidRPr="00152087">
        <w:rPr>
          <w:rFonts w:eastAsia="Times New Roman" w:cs="Arial"/>
          <w:color w:val="000000"/>
          <w:sz w:val="22"/>
        </w:rPr>
        <w:t>Attorney Examiner</w:t>
      </w:r>
    </w:p>
    <w:p w:rsidR="00152087" w:rsidRPr="00152087" w:rsidRDefault="00152087" w:rsidP="00152087">
      <w:pPr>
        <w:tabs>
          <w:tab w:val="left" w:pos="4680"/>
        </w:tabs>
        <w:spacing w:after="0" w:line="240" w:lineRule="auto"/>
        <w:rPr>
          <w:rFonts w:eastAsia="Times New Roman" w:cs="Arial"/>
          <w:color w:val="000000"/>
          <w:sz w:val="22"/>
        </w:rPr>
      </w:pPr>
      <w:r w:rsidRPr="00152087">
        <w:rPr>
          <w:rFonts w:eastAsia="Times New Roman" w:cs="Arial"/>
          <w:color w:val="000000"/>
          <w:sz w:val="22"/>
        </w:rPr>
        <w:t>Public Utilities Commission of Ohio</w:t>
      </w:r>
    </w:p>
    <w:p w:rsidR="00152087" w:rsidRPr="00152087" w:rsidRDefault="00152087" w:rsidP="00152087">
      <w:pPr>
        <w:tabs>
          <w:tab w:val="left" w:pos="4680"/>
        </w:tabs>
        <w:spacing w:after="0" w:line="240" w:lineRule="auto"/>
        <w:rPr>
          <w:rFonts w:eastAsia="Times New Roman" w:cs="Arial"/>
          <w:color w:val="000000"/>
          <w:sz w:val="22"/>
        </w:rPr>
      </w:pPr>
      <w:r w:rsidRPr="00152087">
        <w:rPr>
          <w:rFonts w:eastAsia="Times New Roman" w:cs="Arial"/>
          <w:color w:val="000000"/>
          <w:sz w:val="22"/>
        </w:rPr>
        <w:t>180 East Broad Street, 12</w:t>
      </w:r>
      <w:r w:rsidRPr="00152087">
        <w:rPr>
          <w:rFonts w:eastAsia="Times New Roman" w:cs="Arial"/>
          <w:color w:val="000000"/>
          <w:sz w:val="22"/>
          <w:vertAlign w:val="superscript"/>
        </w:rPr>
        <w:t>th</w:t>
      </w:r>
      <w:r w:rsidRPr="00152087">
        <w:rPr>
          <w:rFonts w:eastAsia="Times New Roman" w:cs="Arial"/>
          <w:color w:val="000000"/>
          <w:sz w:val="22"/>
        </w:rPr>
        <w:t xml:space="preserve"> Floor</w:t>
      </w:r>
    </w:p>
    <w:p w:rsidR="00152087" w:rsidRPr="00152087" w:rsidRDefault="00152087" w:rsidP="00152087">
      <w:pPr>
        <w:tabs>
          <w:tab w:val="left" w:pos="4680"/>
        </w:tabs>
        <w:spacing w:after="0" w:line="240" w:lineRule="auto"/>
        <w:rPr>
          <w:rFonts w:eastAsia="Times New Roman" w:cs="Arial"/>
          <w:color w:val="000000"/>
          <w:sz w:val="22"/>
        </w:rPr>
      </w:pPr>
      <w:r w:rsidRPr="00152087">
        <w:rPr>
          <w:rFonts w:eastAsia="Times New Roman" w:cs="Arial"/>
          <w:color w:val="000000"/>
          <w:sz w:val="22"/>
        </w:rPr>
        <w:t>Columbus, OH  43215</w:t>
      </w:r>
    </w:p>
    <w:p w:rsidR="00152087" w:rsidRPr="00152087" w:rsidRDefault="00152087" w:rsidP="00152087">
      <w:pPr>
        <w:tabs>
          <w:tab w:val="left" w:pos="4680"/>
        </w:tabs>
        <w:spacing w:after="0" w:line="240" w:lineRule="auto"/>
        <w:rPr>
          <w:rFonts w:eastAsia="Times New Roman" w:cs="Arial"/>
          <w:color w:val="000000"/>
          <w:sz w:val="22"/>
        </w:rPr>
      </w:pPr>
    </w:p>
    <w:p w:rsidR="00152087" w:rsidRPr="00152087" w:rsidRDefault="00152087" w:rsidP="00152087">
      <w:pPr>
        <w:tabs>
          <w:tab w:val="left" w:pos="4680"/>
        </w:tabs>
        <w:spacing w:after="0" w:line="240" w:lineRule="auto"/>
        <w:rPr>
          <w:rFonts w:eastAsia="Times New Roman" w:cs="Arial"/>
          <w:b/>
          <w:smallCaps/>
          <w:color w:val="000000"/>
          <w:sz w:val="22"/>
        </w:rPr>
      </w:pPr>
      <w:r w:rsidRPr="00152087">
        <w:rPr>
          <w:rFonts w:eastAsia="Times New Roman" w:cs="Arial"/>
          <w:b/>
          <w:smallCaps/>
          <w:color w:val="000000"/>
          <w:sz w:val="22"/>
        </w:rPr>
        <w:t>Attorney Examiners</w:t>
      </w:r>
    </w:p>
    <w:p w:rsidR="00152087" w:rsidRPr="00152087" w:rsidRDefault="00152087" w:rsidP="00152087">
      <w:pPr>
        <w:tabs>
          <w:tab w:val="left" w:pos="2160"/>
          <w:tab w:val="left" w:pos="2280"/>
        </w:tabs>
        <w:spacing w:after="0" w:line="240" w:lineRule="auto"/>
        <w:rPr>
          <w:rFonts w:ascii="Arial Bold" w:eastAsia="Times New Roman" w:hAnsi="Arial Bold" w:cs="Arial"/>
          <w:b/>
          <w:smallCaps/>
          <w:sz w:val="22"/>
        </w:rPr>
      </w:pPr>
    </w:p>
    <w:p w:rsidR="00152087" w:rsidRPr="00152087" w:rsidRDefault="00152087" w:rsidP="00152087">
      <w:pPr>
        <w:tabs>
          <w:tab w:val="left" w:pos="2160"/>
          <w:tab w:val="left" w:pos="2280"/>
        </w:tabs>
        <w:spacing w:after="0" w:line="240" w:lineRule="auto"/>
        <w:rPr>
          <w:rFonts w:eastAsia="Times New Roman" w:cs="Arial"/>
          <w:sz w:val="22"/>
        </w:rPr>
      </w:pPr>
    </w:p>
    <w:p w:rsidR="00F9208D" w:rsidRPr="00F9208D" w:rsidRDefault="00F9208D" w:rsidP="00F9208D">
      <w:pPr>
        <w:spacing w:after="0" w:line="240" w:lineRule="auto"/>
        <w:rPr>
          <w:b/>
        </w:rPr>
      </w:pPr>
    </w:p>
    <w:sectPr w:rsidR="00F9208D" w:rsidRPr="00F9208D" w:rsidSect="00F345E5">
      <w:pgSz w:w="12240" w:h="15840" w:code="1"/>
      <w:pgMar w:top="1440" w:right="1440" w:bottom="1141" w:left="1440" w:header="720" w:footer="720" w:gutter="0"/>
      <w:pgNumType w:start="1"/>
      <w:cols w:num="2"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846" w:rsidRDefault="00CC0846" w:rsidP="00152087">
      <w:pPr>
        <w:spacing w:after="0" w:line="240" w:lineRule="auto"/>
      </w:pPr>
      <w:r>
        <w:separator/>
      </w:r>
    </w:p>
  </w:endnote>
  <w:endnote w:type="continuationSeparator" w:id="0">
    <w:p w:rsidR="00CC0846" w:rsidRDefault="00CC0846" w:rsidP="00152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846" w:rsidRDefault="00CC08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846" w:rsidRPr="007A22C7" w:rsidRDefault="001E21A6" w:rsidP="00121A1D">
    <w:pPr>
      <w:pStyle w:val="Footer"/>
    </w:pPr>
    <w:r w:rsidRPr="001E21A6">
      <w:rPr>
        <w:rFonts w:ascii="Arial" w:hAnsi="Arial" w:cs="Arial"/>
        <w:noProof/>
        <w:sz w:val="16"/>
      </w:rPr>
      <w:t>{C36829:3 }</w:t>
    </w:r>
    <w:sdt>
      <w:sdtPr>
        <w:id w:val="148095441"/>
        <w:docPartObj>
          <w:docPartGallery w:val="Page Numbers (Bottom of Page)"/>
          <w:docPartUnique/>
        </w:docPartObj>
      </w:sdtPr>
      <w:sdtEndPr>
        <w:rPr>
          <w:noProof/>
        </w:rPr>
      </w:sdtEndPr>
      <w:sdtContent>
        <w:r w:rsidR="00CC0846">
          <w:tab/>
        </w:r>
        <w:r w:rsidR="00CC0846" w:rsidRPr="000502E2">
          <w:rPr>
            <w:rFonts w:ascii="Arial" w:hAnsi="Arial" w:cs="Arial"/>
          </w:rPr>
          <w:fldChar w:fldCharType="begin"/>
        </w:r>
        <w:r w:rsidR="00CC0846" w:rsidRPr="000502E2">
          <w:rPr>
            <w:rFonts w:ascii="Arial" w:hAnsi="Arial" w:cs="Arial"/>
          </w:rPr>
          <w:instrText xml:space="preserve"> PAGE   \* MERGEFORMAT </w:instrText>
        </w:r>
        <w:r w:rsidR="00CC0846" w:rsidRPr="000502E2">
          <w:rPr>
            <w:rFonts w:ascii="Arial" w:hAnsi="Arial" w:cs="Arial"/>
          </w:rPr>
          <w:fldChar w:fldCharType="separate"/>
        </w:r>
        <w:r w:rsidR="008F30A5">
          <w:rPr>
            <w:rFonts w:ascii="Arial" w:hAnsi="Arial" w:cs="Arial"/>
            <w:noProof/>
          </w:rPr>
          <w:t>23</w:t>
        </w:r>
        <w:r w:rsidR="00CC0846" w:rsidRPr="000502E2">
          <w:rPr>
            <w:rFonts w:ascii="Arial" w:hAnsi="Arial" w:cs="Arial"/>
            <w:noProof/>
          </w:rPr>
          <w:fldChar w:fldCharType="end"/>
        </w:r>
      </w:sdtContent>
    </w:sdt>
  </w:p>
  <w:p w:rsidR="00CC0846" w:rsidRPr="007A22C7" w:rsidRDefault="00CC08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846" w:rsidRPr="00121A1D" w:rsidRDefault="001E21A6" w:rsidP="00121A1D">
    <w:pPr>
      <w:pStyle w:val="Footer"/>
      <w:rPr>
        <w:rFonts w:ascii="Arial" w:hAnsi="Arial" w:cs="Arial"/>
      </w:rPr>
    </w:pPr>
    <w:r w:rsidRPr="001E21A6">
      <w:rPr>
        <w:rFonts w:ascii="Arial" w:hAnsi="Arial" w:cs="Arial"/>
        <w:noProof/>
        <w:sz w:val="16"/>
      </w:rPr>
      <w:t>{C36829:3 }</w:t>
    </w:r>
  </w:p>
  <w:p w:rsidR="00CC0846" w:rsidRPr="007A22C7" w:rsidRDefault="00CC084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846" w:rsidRDefault="00CC084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846" w:rsidRDefault="001E21A6">
    <w:pPr>
      <w:pStyle w:val="Footer"/>
    </w:pPr>
    <w:r w:rsidRPr="001E21A6">
      <w:rPr>
        <w:noProof/>
        <w:sz w:val="16"/>
      </w:rPr>
      <w:t>{C36829:3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846" w:rsidRDefault="001E21A6">
    <w:pPr>
      <w:pStyle w:val="Footer"/>
    </w:pPr>
    <w:r w:rsidRPr="001E21A6">
      <w:rPr>
        <w:noProof/>
        <w:sz w:val="16"/>
      </w:rPr>
      <w:t>{C36829:3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846" w:rsidRDefault="00CC0846" w:rsidP="00152087">
      <w:pPr>
        <w:spacing w:after="0" w:line="240" w:lineRule="auto"/>
        <w:rPr>
          <w:noProof/>
        </w:rPr>
      </w:pPr>
      <w:r>
        <w:rPr>
          <w:noProof/>
        </w:rPr>
        <w:separator/>
      </w:r>
    </w:p>
  </w:footnote>
  <w:footnote w:type="continuationSeparator" w:id="0">
    <w:p w:rsidR="00CC0846" w:rsidRDefault="00CC0846" w:rsidP="00152087">
      <w:pPr>
        <w:spacing w:after="0" w:line="240" w:lineRule="auto"/>
      </w:pPr>
      <w:r>
        <w:continuationSeparator/>
      </w:r>
    </w:p>
  </w:footnote>
  <w:footnote w:id="1">
    <w:p w:rsidR="00CC0846" w:rsidRDefault="00CC0846" w:rsidP="00A605E3">
      <w:pPr>
        <w:pStyle w:val="FootnoteText"/>
        <w:rPr>
          <w:rFonts w:cs="Arial"/>
        </w:rPr>
      </w:pPr>
      <w:r>
        <w:rPr>
          <w:rStyle w:val="FootnoteReference"/>
          <w:rFonts w:cs="Arial"/>
        </w:rPr>
        <w:footnoteRef/>
      </w:r>
      <w:r>
        <w:rPr>
          <w:rFonts w:cs="Arial"/>
        </w:rPr>
        <w:t xml:space="preserve"> PJM Open Access Transmission Tariff, Attachment D, Schedule 8.1 (“Fixed Resource Requirement Alternative”) (emphasis added).</w:t>
      </w:r>
    </w:p>
    <w:p w:rsidR="00CC0846" w:rsidRDefault="00CC0846" w:rsidP="00A605E3">
      <w:pPr>
        <w:pStyle w:val="FootnoteText"/>
        <w:rPr>
          <w:rFonts w:cs="Arial"/>
        </w:rPr>
      </w:pPr>
    </w:p>
  </w:footnote>
  <w:footnote w:id="2">
    <w:p w:rsidR="00CC0846" w:rsidRDefault="00CC0846">
      <w:pPr>
        <w:pStyle w:val="FootnoteText"/>
      </w:pPr>
      <w:r>
        <w:rPr>
          <w:rStyle w:val="FootnoteReference"/>
        </w:rPr>
        <w:footnoteRef/>
      </w:r>
      <w:r>
        <w:t xml:space="preserve"> </w:t>
      </w:r>
      <w:r w:rsidRPr="00A76E53">
        <w:rPr>
          <w:i/>
        </w:rPr>
        <w:t>In the Matter of the Application of Columbus Southern Power Company for Approval of an Electric Security Plan; an Amendment to its Corporate Separation Plan; and the Sale or Transfer of Certain Generating Assets</w:t>
      </w:r>
      <w:r>
        <w:t xml:space="preserve">, Case Nos. 08-917-EL-SSO </w:t>
      </w:r>
      <w:r w:rsidRPr="00E6089B">
        <w:rPr>
          <w:i/>
        </w:rPr>
        <w:t>et al</w:t>
      </w:r>
      <w:r>
        <w:t>., Opinion and Order (Mar. 18, 2009) (“ESP I”).</w:t>
      </w:r>
    </w:p>
    <w:p w:rsidR="00CC0846" w:rsidRDefault="00CC0846">
      <w:pPr>
        <w:pStyle w:val="FootnoteText"/>
      </w:pPr>
    </w:p>
  </w:footnote>
  <w:footnote w:id="3">
    <w:p w:rsidR="00CC0846" w:rsidRDefault="00CC0846" w:rsidP="00A605E3">
      <w:pPr>
        <w:pStyle w:val="FootnoteText"/>
        <w:rPr>
          <w:rFonts w:cs="Arial"/>
        </w:rPr>
      </w:pPr>
      <w:r>
        <w:rPr>
          <w:rStyle w:val="FootnoteReference"/>
          <w:rFonts w:cs="Arial"/>
        </w:rPr>
        <w:footnoteRef/>
      </w:r>
      <w:r>
        <w:rPr>
          <w:rFonts w:cs="Arial"/>
        </w:rPr>
        <w:t xml:space="preserve"> </w:t>
      </w:r>
      <w:proofErr w:type="gramStart"/>
      <w:r>
        <w:rPr>
          <w:rFonts w:cs="Arial"/>
        </w:rPr>
        <w:t>Transmittal Letter at 3.</w:t>
      </w:r>
      <w:proofErr w:type="gramEnd"/>
      <w:r>
        <w:rPr>
          <w:rFonts w:cs="Arial"/>
        </w:rPr>
        <w:t xml:space="preserve"> </w:t>
      </w:r>
    </w:p>
    <w:p w:rsidR="00CC0846" w:rsidRDefault="00CC0846" w:rsidP="00A605E3">
      <w:pPr>
        <w:pStyle w:val="FootnoteText"/>
        <w:rPr>
          <w:rFonts w:cs="Arial"/>
        </w:rPr>
      </w:pPr>
    </w:p>
  </w:footnote>
  <w:footnote w:id="4">
    <w:p w:rsidR="00CC0846" w:rsidRDefault="00CC0846">
      <w:pPr>
        <w:pStyle w:val="FootnoteText"/>
      </w:pPr>
      <w:r>
        <w:rPr>
          <w:rStyle w:val="FootnoteReference"/>
        </w:rPr>
        <w:footnoteRef/>
      </w:r>
      <w:r>
        <w:t xml:space="preserve"> Entry at 2 (Dec. 8, 2010).</w:t>
      </w:r>
    </w:p>
    <w:p w:rsidR="00CC0846" w:rsidRDefault="00CC0846">
      <w:pPr>
        <w:pStyle w:val="FootnoteText"/>
      </w:pPr>
    </w:p>
  </w:footnote>
  <w:footnote w:id="5">
    <w:p w:rsidR="00CC0846" w:rsidRDefault="00CC0846" w:rsidP="000E39F2">
      <w:pPr>
        <w:pStyle w:val="FootnoteText"/>
      </w:pPr>
      <w:r>
        <w:rPr>
          <w:rStyle w:val="FootnoteReference"/>
        </w:rPr>
        <w:footnoteRef/>
      </w:r>
      <w:r>
        <w:t xml:space="preserve"> Since the initiation of this proceeding, OP and CSP have merged.  For purposes of this pleading, references are to the surviving legal entity, OP, unless the context requires a designation of the individual company.</w:t>
      </w:r>
    </w:p>
    <w:p w:rsidR="00CC0846" w:rsidRDefault="00CC0846" w:rsidP="000E39F2">
      <w:pPr>
        <w:pStyle w:val="FootnoteText"/>
      </w:pPr>
    </w:p>
  </w:footnote>
  <w:footnote w:id="6">
    <w:p w:rsidR="00CC0846" w:rsidRDefault="00CC0846">
      <w:pPr>
        <w:pStyle w:val="FootnoteText"/>
      </w:pPr>
      <w:r>
        <w:rPr>
          <w:rStyle w:val="FootnoteReference"/>
        </w:rPr>
        <w:footnoteRef/>
      </w:r>
      <w:r>
        <w:t xml:space="preserve"> Comments of Industrial Energy Users-Ohio at 4 (Jan. 7, 2011).</w:t>
      </w:r>
    </w:p>
    <w:p w:rsidR="00CC0846" w:rsidRDefault="00CC0846">
      <w:pPr>
        <w:pStyle w:val="FootnoteText"/>
      </w:pPr>
    </w:p>
  </w:footnote>
  <w:footnote w:id="7">
    <w:p w:rsidR="00CC0846" w:rsidRDefault="00CC0846">
      <w:pPr>
        <w:pStyle w:val="FootnoteText"/>
      </w:pPr>
      <w:r>
        <w:rPr>
          <w:rStyle w:val="FootnoteReference"/>
        </w:rPr>
        <w:footnoteRef/>
      </w:r>
      <w:r>
        <w:t xml:space="preserve"> Entry at 1 (Dec. 8, 2010).</w:t>
      </w:r>
    </w:p>
    <w:p w:rsidR="00CC0846" w:rsidRDefault="00CC0846">
      <w:pPr>
        <w:pStyle w:val="FootnoteText"/>
      </w:pPr>
    </w:p>
  </w:footnote>
  <w:footnote w:id="8">
    <w:p w:rsidR="00CC0846" w:rsidRDefault="00CC0846">
      <w:pPr>
        <w:pStyle w:val="FootnoteText"/>
      </w:pPr>
      <w:r>
        <w:rPr>
          <w:rStyle w:val="FootnoteReference"/>
        </w:rPr>
        <w:footnoteRef/>
      </w:r>
      <w:r>
        <w:t xml:space="preserve"> </w:t>
      </w:r>
      <w:r w:rsidRPr="00A76E53">
        <w:rPr>
          <w:i/>
        </w:rPr>
        <w:t>Id</w:t>
      </w:r>
      <w:r>
        <w:t>. at 1-2.</w:t>
      </w:r>
    </w:p>
    <w:p w:rsidR="00CC0846" w:rsidRDefault="00CC0846">
      <w:pPr>
        <w:pStyle w:val="FootnoteText"/>
      </w:pPr>
    </w:p>
  </w:footnote>
  <w:footnote w:id="9">
    <w:p w:rsidR="00CC0846" w:rsidRDefault="00CC0846">
      <w:pPr>
        <w:pStyle w:val="FootnoteText"/>
      </w:pPr>
      <w:r>
        <w:rPr>
          <w:rStyle w:val="FootnoteReference"/>
        </w:rPr>
        <w:footnoteRef/>
      </w:r>
      <w:r>
        <w:t xml:space="preserve"> </w:t>
      </w:r>
      <w:proofErr w:type="gramStart"/>
      <w:r w:rsidRPr="00A76E53">
        <w:rPr>
          <w:i/>
        </w:rPr>
        <w:t>Id</w:t>
      </w:r>
      <w:r>
        <w:t>. at 2.</w:t>
      </w:r>
      <w:proofErr w:type="gramEnd"/>
    </w:p>
    <w:p w:rsidR="00CC0846" w:rsidRDefault="00CC0846">
      <w:pPr>
        <w:pStyle w:val="FootnoteText"/>
      </w:pPr>
    </w:p>
  </w:footnote>
  <w:footnote w:id="10">
    <w:p w:rsidR="00CC0846" w:rsidRDefault="00CC0846" w:rsidP="001E7BF9">
      <w:pPr>
        <w:pStyle w:val="FootnoteText"/>
        <w:rPr>
          <w:rFonts w:cs="Arial"/>
        </w:rPr>
      </w:pPr>
      <w:r>
        <w:rPr>
          <w:rStyle w:val="FootnoteReference"/>
          <w:rFonts w:cs="Arial"/>
        </w:rPr>
        <w:footnoteRef/>
      </w:r>
      <w:r>
        <w:rPr>
          <w:rFonts w:cs="Arial"/>
        </w:rPr>
        <w:t xml:space="preserve"> </w:t>
      </w:r>
      <w:r>
        <w:rPr>
          <w:rFonts w:cs="Arial"/>
          <w:i/>
        </w:rPr>
        <w:t>Id</w:t>
      </w:r>
      <w:r>
        <w:rPr>
          <w:rFonts w:cs="Arial"/>
        </w:rPr>
        <w:t>.</w:t>
      </w:r>
    </w:p>
    <w:p w:rsidR="00CC0846" w:rsidRDefault="00CC0846" w:rsidP="001E7BF9">
      <w:pPr>
        <w:pStyle w:val="FootnoteText"/>
        <w:rPr>
          <w:rFonts w:cs="Arial"/>
        </w:rPr>
      </w:pPr>
    </w:p>
  </w:footnote>
  <w:footnote w:id="11">
    <w:p w:rsidR="00CC0846" w:rsidRDefault="00CC0846" w:rsidP="001E7BF9">
      <w:pPr>
        <w:pStyle w:val="FootnoteText"/>
      </w:pPr>
      <w:r>
        <w:rPr>
          <w:rStyle w:val="FootnoteReference"/>
        </w:rPr>
        <w:footnoteRef/>
      </w:r>
      <w:r>
        <w:t xml:space="preserve"> </w:t>
      </w:r>
      <w:proofErr w:type="gramStart"/>
      <w:r>
        <w:t>Stipulation and Recommendation (Sept. 7, 2011) (“Stipulation”).</w:t>
      </w:r>
      <w:proofErr w:type="gramEnd"/>
    </w:p>
    <w:p w:rsidR="00CC0846" w:rsidRDefault="00CC0846" w:rsidP="001E7BF9">
      <w:pPr>
        <w:pStyle w:val="FootnoteText"/>
      </w:pPr>
    </w:p>
  </w:footnote>
  <w:footnote w:id="12">
    <w:p w:rsidR="00CC0846" w:rsidRDefault="00CC0846" w:rsidP="001E7BF9">
      <w:pPr>
        <w:pStyle w:val="FootnoteText"/>
      </w:pPr>
      <w:r>
        <w:rPr>
          <w:rStyle w:val="FootnoteReference"/>
        </w:rPr>
        <w:footnoteRef/>
      </w:r>
      <w:r>
        <w:t xml:space="preserve"> </w:t>
      </w:r>
      <w:r w:rsidRPr="000E39F2">
        <w:rPr>
          <w:i/>
        </w:rPr>
        <w:t>See In the Matter of the Application of Columbus Southern Power Company and Ohio Power Company for Authority to Establish a Standard Service Offer Pursuant to Section 4928.143, Revised Code, in the Form of an Electric Security Plan</w:t>
      </w:r>
      <w:r>
        <w:t xml:space="preserve">, Case Nos. 11-346-EL-SSO </w:t>
      </w:r>
      <w:r w:rsidRPr="00E6089B">
        <w:rPr>
          <w:i/>
        </w:rPr>
        <w:t>et al</w:t>
      </w:r>
      <w:r>
        <w:t>., Opinion and Order at 54-55 (Dec. 14, 2011) (“Opinion and Order”).</w:t>
      </w:r>
    </w:p>
    <w:p w:rsidR="00CC0846" w:rsidRDefault="00CC0846" w:rsidP="001E7BF9">
      <w:pPr>
        <w:pStyle w:val="FootnoteText"/>
      </w:pPr>
    </w:p>
  </w:footnote>
  <w:footnote w:id="13">
    <w:p w:rsidR="00CC0846" w:rsidRDefault="00CC0846">
      <w:pPr>
        <w:pStyle w:val="FootnoteText"/>
      </w:pPr>
      <w:r>
        <w:rPr>
          <w:rStyle w:val="FootnoteReference"/>
        </w:rPr>
        <w:footnoteRef/>
      </w:r>
      <w:r>
        <w:t xml:space="preserve"> Stipulation at 20-22 (Sept. 7, 2011).</w:t>
      </w:r>
    </w:p>
    <w:p w:rsidR="00CC0846" w:rsidRDefault="00CC0846">
      <w:pPr>
        <w:pStyle w:val="FootnoteText"/>
      </w:pPr>
    </w:p>
  </w:footnote>
  <w:footnote w:id="14">
    <w:p w:rsidR="00CC0846" w:rsidRDefault="00CC0846">
      <w:pPr>
        <w:pStyle w:val="FootnoteText"/>
      </w:pPr>
      <w:r>
        <w:rPr>
          <w:rStyle w:val="FootnoteReference"/>
        </w:rPr>
        <w:footnoteRef/>
      </w:r>
      <w:r>
        <w:t xml:space="preserve"> </w:t>
      </w:r>
      <w:proofErr w:type="gramStart"/>
      <w:r w:rsidRPr="00A76E53">
        <w:rPr>
          <w:i/>
        </w:rPr>
        <w:t>Id</w:t>
      </w:r>
      <w:r>
        <w:t>. at 21.</w:t>
      </w:r>
      <w:proofErr w:type="gramEnd"/>
    </w:p>
    <w:p w:rsidR="00CC0846" w:rsidRDefault="00CC0846">
      <w:pPr>
        <w:pStyle w:val="FootnoteText"/>
      </w:pPr>
    </w:p>
  </w:footnote>
  <w:footnote w:id="15">
    <w:p w:rsidR="00CC0846" w:rsidRDefault="00CC0846">
      <w:pPr>
        <w:pStyle w:val="FootnoteText"/>
      </w:pPr>
      <w:r>
        <w:rPr>
          <w:rStyle w:val="FootnoteReference"/>
        </w:rPr>
        <w:footnoteRef/>
      </w:r>
      <w:r>
        <w:t xml:space="preserve"> Opinion and Order at 54-55 (Dec. 14, 2011).</w:t>
      </w:r>
    </w:p>
    <w:p w:rsidR="00CC0846" w:rsidRDefault="00CC0846">
      <w:pPr>
        <w:pStyle w:val="FootnoteText"/>
      </w:pPr>
    </w:p>
  </w:footnote>
  <w:footnote w:id="16">
    <w:p w:rsidR="00CC0846" w:rsidRDefault="00CC0846">
      <w:pPr>
        <w:pStyle w:val="FootnoteText"/>
      </w:pPr>
      <w:r>
        <w:rPr>
          <w:rStyle w:val="FootnoteReference"/>
        </w:rPr>
        <w:footnoteRef/>
      </w:r>
      <w:r>
        <w:t xml:space="preserve"> </w:t>
      </w:r>
      <w:proofErr w:type="gramStart"/>
      <w:r w:rsidRPr="00A76E53">
        <w:rPr>
          <w:i/>
        </w:rPr>
        <w:t>Id.</w:t>
      </w:r>
      <w:r>
        <w:t xml:space="preserve"> at 54.</w:t>
      </w:r>
      <w:proofErr w:type="gramEnd"/>
    </w:p>
    <w:p w:rsidR="00CC0846" w:rsidRDefault="00CC0846">
      <w:pPr>
        <w:pStyle w:val="FootnoteText"/>
      </w:pPr>
    </w:p>
  </w:footnote>
  <w:footnote w:id="17">
    <w:p w:rsidR="00CC0846" w:rsidRDefault="00CC0846">
      <w:pPr>
        <w:pStyle w:val="FootnoteText"/>
      </w:pPr>
      <w:r>
        <w:rPr>
          <w:rStyle w:val="FootnoteReference"/>
        </w:rPr>
        <w:footnoteRef/>
      </w:r>
      <w:r>
        <w:t xml:space="preserve"> </w:t>
      </w:r>
      <w:proofErr w:type="gramStart"/>
      <w:r w:rsidRPr="00A76E53">
        <w:rPr>
          <w:i/>
        </w:rPr>
        <w:t>Id</w:t>
      </w:r>
      <w:r>
        <w:t>. at 55.</w:t>
      </w:r>
      <w:proofErr w:type="gramEnd"/>
      <w:r>
        <w:t xml:space="preserve">  The Stipulation established a priority list, or queue, that was based on when the customer shopped.  </w:t>
      </w:r>
      <w:proofErr w:type="gramStart"/>
      <w:r>
        <w:t>Stipulation, Appendix C.</w:t>
      </w:r>
      <w:proofErr w:type="gramEnd"/>
      <w:r>
        <w:t xml:space="preserve">  The shopping caps limited access to RPM priced capacity based on a percentage of total megawatt hours sold.  </w:t>
      </w:r>
      <w:r w:rsidRPr="00A76E53">
        <w:rPr>
          <w:i/>
        </w:rPr>
        <w:t>Id</w:t>
      </w:r>
      <w:r>
        <w:t>.  Appendix C was further “operationalized” through a document filed with the Commission called the Detailed Implementation Plan (“DIP”) which OP filed on October 5, 2011, one day after hearings on the Stipulation commenced.</w:t>
      </w:r>
    </w:p>
    <w:p w:rsidR="00CC0846" w:rsidRDefault="00CC0846">
      <w:pPr>
        <w:pStyle w:val="FootnoteText"/>
      </w:pPr>
    </w:p>
  </w:footnote>
  <w:footnote w:id="18">
    <w:p w:rsidR="00CC0846" w:rsidRDefault="00CC0846">
      <w:pPr>
        <w:pStyle w:val="FootnoteText"/>
      </w:pPr>
      <w:r>
        <w:rPr>
          <w:rStyle w:val="FootnoteReference"/>
        </w:rPr>
        <w:footnoteRef/>
      </w:r>
      <w:r>
        <w:t xml:space="preserve"> RPM Set-Aside Allotment Rules; Detailed Implementation Plan (Dec. 29, 2011).</w:t>
      </w:r>
    </w:p>
    <w:p w:rsidR="00CC0846" w:rsidRDefault="00CC0846">
      <w:pPr>
        <w:pStyle w:val="FootnoteText"/>
      </w:pPr>
    </w:p>
  </w:footnote>
  <w:footnote w:id="19">
    <w:p w:rsidR="00CC0846" w:rsidRDefault="00CC0846">
      <w:pPr>
        <w:pStyle w:val="FootnoteText"/>
        <w:rPr>
          <w:rFonts w:cs="Arial"/>
        </w:rPr>
      </w:pPr>
      <w:r>
        <w:rPr>
          <w:rStyle w:val="FootnoteReference"/>
        </w:rPr>
        <w:footnoteRef/>
      </w:r>
      <w:r>
        <w:t xml:space="preserve"> </w:t>
      </w:r>
      <w:proofErr w:type="gramStart"/>
      <w:r w:rsidRPr="00A76E53">
        <w:rPr>
          <w:i/>
        </w:rPr>
        <w:t>Id</w:t>
      </w:r>
      <w:r>
        <w:t xml:space="preserve">., </w:t>
      </w:r>
      <w:r>
        <w:rPr>
          <w:rFonts w:cs="Arial"/>
        </w:rPr>
        <w:t>§ 4(a).</w:t>
      </w:r>
      <w:proofErr w:type="gramEnd"/>
    </w:p>
    <w:p w:rsidR="00CC0846" w:rsidRDefault="00CC0846">
      <w:pPr>
        <w:pStyle w:val="FootnoteText"/>
      </w:pPr>
    </w:p>
  </w:footnote>
  <w:footnote w:id="20">
    <w:p w:rsidR="00CC0846" w:rsidRDefault="00CC0846">
      <w:pPr>
        <w:pStyle w:val="FootnoteText"/>
      </w:pPr>
      <w:r>
        <w:rPr>
          <w:rStyle w:val="FootnoteReference"/>
        </w:rPr>
        <w:footnoteRef/>
      </w:r>
      <w:r>
        <w:t xml:space="preserve"> </w:t>
      </w:r>
      <w:proofErr w:type="gramStart"/>
      <w:r w:rsidRPr="00A76E53">
        <w:rPr>
          <w:i/>
        </w:rPr>
        <w:t>Id</w:t>
      </w:r>
      <w:r>
        <w:t xml:space="preserve">., </w:t>
      </w:r>
      <w:r>
        <w:rPr>
          <w:rFonts w:cs="Arial"/>
        </w:rPr>
        <w:t>§</w:t>
      </w:r>
      <w:r>
        <w:t xml:space="preserve"> 4(g).</w:t>
      </w:r>
      <w:proofErr w:type="gramEnd"/>
    </w:p>
    <w:p w:rsidR="00CC0846" w:rsidRDefault="00CC0846">
      <w:pPr>
        <w:pStyle w:val="FootnoteText"/>
      </w:pPr>
    </w:p>
  </w:footnote>
  <w:footnote w:id="21">
    <w:p w:rsidR="00CC0846" w:rsidRDefault="00CC0846">
      <w:pPr>
        <w:pStyle w:val="FootnoteText"/>
      </w:pPr>
      <w:r>
        <w:rPr>
          <w:rStyle w:val="FootnoteReference"/>
        </w:rPr>
        <w:footnoteRef/>
      </w:r>
      <w:r>
        <w:t xml:space="preserve"> </w:t>
      </w:r>
      <w:r w:rsidRPr="00A76E53">
        <w:rPr>
          <w:i/>
        </w:rPr>
        <w:t>Id</w:t>
      </w:r>
      <w:r>
        <w:t xml:space="preserve">. </w:t>
      </w:r>
    </w:p>
    <w:p w:rsidR="00CC0846" w:rsidRDefault="00CC0846">
      <w:pPr>
        <w:pStyle w:val="FootnoteText"/>
      </w:pPr>
    </w:p>
  </w:footnote>
  <w:footnote w:id="22">
    <w:p w:rsidR="00CC0846" w:rsidRDefault="00CC0846">
      <w:pPr>
        <w:pStyle w:val="FootnoteText"/>
      </w:pPr>
      <w:r>
        <w:rPr>
          <w:rStyle w:val="FootnoteReference"/>
        </w:rPr>
        <w:footnoteRef/>
      </w:r>
      <w:r>
        <w:t xml:space="preserve"> </w:t>
      </w:r>
      <w:r w:rsidRPr="00A76E53">
        <w:rPr>
          <w:i/>
        </w:rPr>
        <w:t>Id</w:t>
      </w:r>
      <w:r>
        <w:t>.</w:t>
      </w:r>
    </w:p>
    <w:p w:rsidR="00CC0846" w:rsidRDefault="00CC0846">
      <w:pPr>
        <w:pStyle w:val="FootnoteText"/>
      </w:pPr>
    </w:p>
  </w:footnote>
  <w:footnote w:id="23">
    <w:p w:rsidR="00CC0846" w:rsidRDefault="00CC0846">
      <w:pPr>
        <w:pStyle w:val="FootnoteText"/>
      </w:pPr>
      <w:r>
        <w:rPr>
          <w:rStyle w:val="FootnoteReference"/>
        </w:rPr>
        <w:footnoteRef/>
      </w:r>
      <w:r>
        <w:t xml:space="preserve"> Motion of Industrial Energy User-Ohio for Orders Modifying the Ohio Power Company’s and Columbus Southern Power Company’s Revised Implementation Plan and Request for Expedited Ruling (Dec. 30, 2011).</w:t>
      </w:r>
    </w:p>
    <w:p w:rsidR="00CC0846" w:rsidRDefault="00CC0846">
      <w:pPr>
        <w:pStyle w:val="FootnoteText"/>
      </w:pPr>
    </w:p>
  </w:footnote>
  <w:footnote w:id="24">
    <w:p w:rsidR="00CC0846" w:rsidRDefault="00CC0846">
      <w:pPr>
        <w:pStyle w:val="FootnoteText"/>
      </w:pPr>
      <w:r>
        <w:rPr>
          <w:rStyle w:val="FootnoteReference"/>
        </w:rPr>
        <w:footnoteRef/>
      </w:r>
      <w:r>
        <w:t xml:space="preserve"> </w:t>
      </w:r>
      <w:proofErr w:type="gramStart"/>
      <w:r>
        <w:t>FirstEnergy Solutions Corp.’s Objections to AEP Ohio’s Proposed Compliance Filing and Request for Expedited Commission Action (Dec. 30, 2011).</w:t>
      </w:r>
      <w:proofErr w:type="gramEnd"/>
    </w:p>
    <w:p w:rsidR="00CC0846" w:rsidRDefault="00CC0846">
      <w:pPr>
        <w:pStyle w:val="FootnoteText"/>
      </w:pPr>
    </w:p>
  </w:footnote>
  <w:footnote w:id="25">
    <w:p w:rsidR="00CC0846" w:rsidRDefault="00CC0846">
      <w:pPr>
        <w:pStyle w:val="FootnoteText"/>
      </w:pPr>
      <w:r>
        <w:rPr>
          <w:rStyle w:val="FootnoteReference"/>
        </w:rPr>
        <w:footnoteRef/>
      </w:r>
      <w:r>
        <w:t xml:space="preserve"> Entry (Jan. 23, 2012).</w:t>
      </w:r>
    </w:p>
    <w:p w:rsidR="00CC0846" w:rsidRDefault="00CC0846">
      <w:pPr>
        <w:pStyle w:val="FootnoteText"/>
      </w:pPr>
    </w:p>
  </w:footnote>
  <w:footnote w:id="26">
    <w:p w:rsidR="00CC0846" w:rsidRDefault="00CC0846">
      <w:pPr>
        <w:pStyle w:val="FootnoteText"/>
      </w:pPr>
      <w:r>
        <w:rPr>
          <w:rStyle w:val="FootnoteReference"/>
        </w:rPr>
        <w:footnoteRef/>
      </w:r>
      <w:r>
        <w:t xml:space="preserve"> Entry on Rehearing at 12 (Feb. 23, 2012).</w:t>
      </w:r>
    </w:p>
    <w:p w:rsidR="00CC0846" w:rsidRDefault="00CC0846">
      <w:pPr>
        <w:pStyle w:val="FootnoteText"/>
      </w:pPr>
    </w:p>
  </w:footnote>
  <w:footnote w:id="27">
    <w:p w:rsidR="00CC0846" w:rsidRDefault="00CC0846">
      <w:pPr>
        <w:pStyle w:val="FootnoteText"/>
      </w:pPr>
      <w:r>
        <w:rPr>
          <w:rStyle w:val="FootnoteReference"/>
        </w:rPr>
        <w:footnoteRef/>
      </w:r>
      <w:r>
        <w:t xml:space="preserve"> </w:t>
      </w:r>
      <w:r w:rsidRPr="00A76E53">
        <w:rPr>
          <w:i/>
        </w:rPr>
        <w:t>Id</w:t>
      </w:r>
      <w:r>
        <w:t xml:space="preserve">. </w:t>
      </w:r>
    </w:p>
    <w:p w:rsidR="00CC0846" w:rsidRDefault="00CC0846">
      <w:pPr>
        <w:pStyle w:val="FootnoteText"/>
      </w:pPr>
    </w:p>
  </w:footnote>
  <w:footnote w:id="28">
    <w:p w:rsidR="00CC0846" w:rsidRDefault="00CC0846">
      <w:pPr>
        <w:pStyle w:val="FootnoteText"/>
      </w:pPr>
      <w:r>
        <w:rPr>
          <w:rStyle w:val="FootnoteReference"/>
        </w:rPr>
        <w:footnoteRef/>
      </w:r>
      <w:r>
        <w:t xml:space="preserve"> Ohio Power Company’s Motion and Request for Expedited Ruling (Jan. 25, 2012).</w:t>
      </w:r>
    </w:p>
    <w:p w:rsidR="00CC0846" w:rsidRDefault="00CC0846">
      <w:pPr>
        <w:pStyle w:val="FootnoteText"/>
      </w:pPr>
    </w:p>
  </w:footnote>
  <w:footnote w:id="29">
    <w:p w:rsidR="00CC0846" w:rsidRDefault="00CC0846">
      <w:pPr>
        <w:pStyle w:val="FootnoteText"/>
      </w:pPr>
      <w:r>
        <w:rPr>
          <w:rStyle w:val="FootnoteReference"/>
        </w:rPr>
        <w:footnoteRef/>
      </w:r>
      <w:r>
        <w:t xml:space="preserve"> Entry (Feb. 3, 2012).</w:t>
      </w:r>
    </w:p>
    <w:p w:rsidR="00CC0846" w:rsidRDefault="00CC0846">
      <w:pPr>
        <w:pStyle w:val="FootnoteText"/>
      </w:pPr>
    </w:p>
  </w:footnote>
  <w:footnote w:id="30">
    <w:p w:rsidR="00CC0846" w:rsidRDefault="00CC0846">
      <w:pPr>
        <w:pStyle w:val="FootnoteText"/>
      </w:pPr>
      <w:r>
        <w:rPr>
          <w:rStyle w:val="FootnoteReference"/>
        </w:rPr>
        <w:footnoteRef/>
      </w:r>
      <w:r>
        <w:t xml:space="preserve"> Motion for Relief and Request for Expedited Ruling (Feb. 27, 2012) (“OP Motion”).</w:t>
      </w:r>
    </w:p>
    <w:p w:rsidR="00CC0846" w:rsidRDefault="00CC0846">
      <w:pPr>
        <w:pStyle w:val="FootnoteText"/>
      </w:pPr>
    </w:p>
  </w:footnote>
  <w:footnote w:id="31">
    <w:p w:rsidR="00CC0846" w:rsidRDefault="00CC0846">
      <w:pPr>
        <w:pStyle w:val="FootnoteText"/>
      </w:pPr>
      <w:r>
        <w:rPr>
          <w:rStyle w:val="FootnoteReference"/>
        </w:rPr>
        <w:footnoteRef/>
      </w:r>
      <w:r>
        <w:t xml:space="preserve"> In its cover letter accompanying the tariffs filed on February 28, 2012, OP continued to maintain that it needed “clarification” of the Commission’s Entry on Rehearing and would “await further direction based on the disposition of its Motion for Relief filed yesterday (February 27, 2012) in Case No. 10-2929-EL-UNC.”  Letter from Steven T. </w:t>
      </w:r>
      <w:proofErr w:type="spellStart"/>
      <w:r>
        <w:t>Nourse</w:t>
      </w:r>
      <w:proofErr w:type="spellEnd"/>
      <w:r>
        <w:t xml:space="preserve"> to Betty McCauley (Feb. 28, 2012).</w:t>
      </w:r>
    </w:p>
    <w:p w:rsidR="00CC0846" w:rsidRDefault="00CC0846">
      <w:pPr>
        <w:pStyle w:val="FootnoteText"/>
      </w:pPr>
    </w:p>
  </w:footnote>
  <w:footnote w:id="32">
    <w:p w:rsidR="00CC0846" w:rsidRDefault="00CC0846">
      <w:pPr>
        <w:pStyle w:val="FootnoteText"/>
      </w:pPr>
      <w:r>
        <w:rPr>
          <w:rStyle w:val="FootnoteReference"/>
        </w:rPr>
        <w:footnoteRef/>
      </w:r>
      <w:r>
        <w:t xml:space="preserve"> As OP has made clear since September 7, 2011, the point of the Pricing Scheme is to prevent customer migration.  FES Ex. 1, TCB Ex. 7-9.</w:t>
      </w:r>
    </w:p>
    <w:p w:rsidR="00CC0846" w:rsidRDefault="00CC0846">
      <w:pPr>
        <w:pStyle w:val="FootnoteText"/>
      </w:pPr>
    </w:p>
  </w:footnote>
  <w:footnote w:id="33">
    <w:p w:rsidR="00CC0846" w:rsidRDefault="00CC0846">
      <w:pPr>
        <w:pStyle w:val="FootnoteText"/>
      </w:pPr>
      <w:r>
        <w:rPr>
          <w:rStyle w:val="FootnoteReference"/>
        </w:rPr>
        <w:footnoteRef/>
      </w:r>
      <w:r>
        <w:t xml:space="preserve"> </w:t>
      </w:r>
      <w:proofErr w:type="gramStart"/>
      <w:r w:rsidRPr="00B41A1C">
        <w:t>Tr. Vol. V at 796-97.</w:t>
      </w:r>
      <w:proofErr w:type="gramEnd"/>
    </w:p>
    <w:p w:rsidR="00CC0846" w:rsidRDefault="00CC0846">
      <w:pPr>
        <w:pStyle w:val="FootnoteText"/>
      </w:pPr>
    </w:p>
  </w:footnote>
  <w:footnote w:id="34">
    <w:p w:rsidR="00CC0846" w:rsidRDefault="00CC0846" w:rsidP="00F345E5">
      <w:pPr>
        <w:pStyle w:val="FootnoteText"/>
      </w:pPr>
      <w:r>
        <w:rPr>
          <w:rStyle w:val="FootnoteReference"/>
        </w:rPr>
        <w:footnoteRef/>
      </w:r>
      <w:r>
        <w:t xml:space="preserve"> </w:t>
      </w:r>
      <w:proofErr w:type="gramStart"/>
      <w:r>
        <w:t>OP Motion at 3 &amp; 7.</w:t>
      </w:r>
      <w:proofErr w:type="gramEnd"/>
    </w:p>
    <w:p w:rsidR="00CC0846" w:rsidRDefault="00CC0846" w:rsidP="00F345E5">
      <w:pPr>
        <w:pStyle w:val="FootnoteText"/>
      </w:pPr>
    </w:p>
  </w:footnote>
  <w:footnote w:id="35">
    <w:p w:rsidR="00CC0846" w:rsidRDefault="00CC0846">
      <w:pPr>
        <w:pStyle w:val="FootnoteText"/>
      </w:pPr>
      <w:r>
        <w:rPr>
          <w:rStyle w:val="FootnoteReference"/>
        </w:rPr>
        <w:footnoteRef/>
      </w:r>
      <w:r>
        <w:t xml:space="preserve"> </w:t>
      </w:r>
      <w:proofErr w:type="gramStart"/>
      <w:r w:rsidRPr="00A76E53">
        <w:rPr>
          <w:i/>
        </w:rPr>
        <w:t>Id.</w:t>
      </w:r>
      <w:r>
        <w:t xml:space="preserve"> at 7, 9, &amp; 15.</w:t>
      </w:r>
      <w:proofErr w:type="gramEnd"/>
    </w:p>
    <w:p w:rsidR="00CC0846" w:rsidRDefault="00CC0846">
      <w:pPr>
        <w:pStyle w:val="FootnoteText"/>
      </w:pPr>
    </w:p>
  </w:footnote>
  <w:footnote w:id="36">
    <w:p w:rsidR="00CC0846" w:rsidRDefault="00CC0846" w:rsidP="00E67B5F">
      <w:pPr>
        <w:pStyle w:val="FootnoteText"/>
      </w:pPr>
      <w:r>
        <w:rPr>
          <w:rStyle w:val="FootnoteReference"/>
        </w:rPr>
        <w:footnoteRef/>
      </w:r>
      <w:r>
        <w:t xml:space="preserve"> </w:t>
      </w:r>
      <w:proofErr w:type="gramStart"/>
      <w:r>
        <w:t xml:space="preserve">Press Release (Feb. 23, 2012) (viewed at </w:t>
      </w:r>
      <w:r w:rsidRPr="00190FC1">
        <w:t>http://www.puco.ohio.gov/puco/index.cfm/media-room/media-releases/puco-revokes-aep-ohio-electric-security-plan-settlement-agreement/</w:t>
      </w:r>
      <w:r>
        <w:t>).</w:t>
      </w:r>
      <w:proofErr w:type="gramEnd"/>
    </w:p>
    <w:p w:rsidR="00CC0846" w:rsidRDefault="00CC0846" w:rsidP="00E67B5F">
      <w:pPr>
        <w:pStyle w:val="FootnoteText"/>
      </w:pPr>
    </w:p>
  </w:footnote>
  <w:footnote w:id="37">
    <w:p w:rsidR="00CC0846" w:rsidRDefault="00CC0846" w:rsidP="00190FC1">
      <w:pPr>
        <w:pStyle w:val="FootnoteText"/>
      </w:pPr>
      <w:r>
        <w:rPr>
          <w:rStyle w:val="FootnoteReference"/>
        </w:rPr>
        <w:footnoteRef/>
      </w:r>
      <w:r>
        <w:t xml:space="preserve"> </w:t>
      </w:r>
      <w:proofErr w:type="gramStart"/>
      <w:r w:rsidRPr="00934B85">
        <w:rPr>
          <w:i/>
        </w:rPr>
        <w:t>American Electric Power Serv. Corp.</w:t>
      </w:r>
      <w:r>
        <w:t xml:space="preserve">, 134 FERC </w:t>
      </w:r>
      <w:r>
        <w:rPr>
          <w:rFonts w:cs="Arial"/>
        </w:rPr>
        <w:t>¶</w:t>
      </w:r>
      <w:r>
        <w:t xml:space="preserve"> 61,039 (2011).</w:t>
      </w:r>
      <w:proofErr w:type="gramEnd"/>
    </w:p>
    <w:p w:rsidR="00CC0846" w:rsidRDefault="00CC0846" w:rsidP="00190FC1">
      <w:pPr>
        <w:pStyle w:val="FootnoteText"/>
      </w:pPr>
    </w:p>
  </w:footnote>
  <w:footnote w:id="38">
    <w:p w:rsidR="00CC0846" w:rsidRDefault="00CC0846">
      <w:pPr>
        <w:pStyle w:val="FootnoteText"/>
      </w:pPr>
      <w:r>
        <w:rPr>
          <w:rStyle w:val="FootnoteReference"/>
        </w:rPr>
        <w:footnoteRef/>
      </w:r>
      <w:r>
        <w:t xml:space="preserve"> In its Application for Rehearing, IEU-Ohio has raised its concerns about the federal-state jurisdictional problems raised in this proceeding.  </w:t>
      </w:r>
      <w:r w:rsidRPr="00934B85">
        <w:rPr>
          <w:i/>
        </w:rPr>
        <w:t xml:space="preserve">See </w:t>
      </w:r>
      <w:r>
        <w:t>Application for Rehearing and Memorandum in Support of Industrial Energy Users-Ohio at 25-29 (Jan. 13, 2012.)  Those arguments are incorporated by reference.</w:t>
      </w:r>
    </w:p>
    <w:p w:rsidR="00CC0846" w:rsidRDefault="00CC0846">
      <w:pPr>
        <w:pStyle w:val="FootnoteText"/>
      </w:pPr>
    </w:p>
  </w:footnote>
  <w:footnote w:id="39">
    <w:p w:rsidR="00CC0846" w:rsidRDefault="00CC0846" w:rsidP="001A0500">
      <w:pPr>
        <w:pStyle w:val="FootnoteText"/>
      </w:pPr>
      <w:r>
        <w:rPr>
          <w:rStyle w:val="FootnoteReference"/>
        </w:rPr>
        <w:footnoteRef/>
      </w:r>
      <w:r>
        <w:t xml:space="preserve"> For example, Sections 4928.15 and 4928.35(C), </w:t>
      </w:r>
      <w:r w:rsidRPr="00980182">
        <w:t>Revised Code</w:t>
      </w:r>
      <w:r>
        <w:t>, require electric distribution service to be available to all consumers and suppliers on a non-discriminatory and comparable basis.</w:t>
      </w:r>
    </w:p>
    <w:p w:rsidR="00CC0846" w:rsidRDefault="00CC0846" w:rsidP="001A0500">
      <w:pPr>
        <w:pStyle w:val="FootnoteText"/>
      </w:pPr>
    </w:p>
  </w:footnote>
  <w:footnote w:id="40">
    <w:p w:rsidR="00CC0846" w:rsidRDefault="00CC0846" w:rsidP="001A0500">
      <w:pPr>
        <w:pStyle w:val="FootnoteText"/>
      </w:pPr>
      <w:r>
        <w:rPr>
          <w:rStyle w:val="FootnoteReference"/>
        </w:rPr>
        <w:footnoteRef/>
      </w:r>
      <w:r>
        <w:t xml:space="preserve"> </w:t>
      </w:r>
      <w:proofErr w:type="gramStart"/>
      <w:r>
        <w:t>OP Motion at 7, 9, &amp; 15.</w:t>
      </w:r>
      <w:proofErr w:type="gramEnd"/>
    </w:p>
    <w:p w:rsidR="00CC0846" w:rsidRDefault="00CC0846" w:rsidP="001A0500">
      <w:pPr>
        <w:pStyle w:val="FootnoteText"/>
      </w:pPr>
    </w:p>
  </w:footnote>
  <w:footnote w:id="41">
    <w:p w:rsidR="00CC0846" w:rsidRDefault="00CC0846" w:rsidP="001A0500">
      <w:pPr>
        <w:pStyle w:val="FootnoteText"/>
      </w:pPr>
      <w:r>
        <w:rPr>
          <w:rStyle w:val="FootnoteReference"/>
        </w:rPr>
        <w:footnoteRef/>
      </w:r>
      <w:r>
        <w:t xml:space="preserve"> </w:t>
      </w:r>
      <w:proofErr w:type="gramStart"/>
      <w:r>
        <w:t xml:space="preserve">Tr. Vol. II at 191 (Cross-examination of Kelly Pearce); Tr. Vol. V at 737 (Cross-examination of Philip Nelson); Tr. Vol. V at 810, 845 (Cross-examination of Joseph </w:t>
      </w:r>
      <w:proofErr w:type="spellStart"/>
      <w:r>
        <w:t>Hamrock</w:t>
      </w:r>
      <w:proofErr w:type="spellEnd"/>
      <w:r>
        <w:t>).</w:t>
      </w:r>
      <w:proofErr w:type="gramEnd"/>
    </w:p>
    <w:p w:rsidR="00CC0846" w:rsidRDefault="00CC0846" w:rsidP="001A0500">
      <w:pPr>
        <w:pStyle w:val="FootnoteText"/>
      </w:pPr>
    </w:p>
  </w:footnote>
  <w:footnote w:id="42">
    <w:p w:rsidR="00CC0846" w:rsidRDefault="00CC0846" w:rsidP="001A0500">
      <w:pPr>
        <w:pStyle w:val="FootnoteText"/>
      </w:pPr>
      <w:r>
        <w:rPr>
          <w:rStyle w:val="FootnoteReference"/>
        </w:rPr>
        <w:footnoteRef/>
      </w:r>
      <w:r>
        <w:t xml:space="preserve"> </w:t>
      </w:r>
      <w:proofErr w:type="gramStart"/>
      <w:r>
        <w:t>Tr. Vol. VI at 973 (Cross-examination of David Fein).</w:t>
      </w:r>
      <w:proofErr w:type="gramEnd"/>
    </w:p>
    <w:p w:rsidR="00CC0846" w:rsidRDefault="00CC0846" w:rsidP="001A0500">
      <w:pPr>
        <w:pStyle w:val="FootnoteText"/>
      </w:pPr>
    </w:p>
  </w:footnote>
  <w:footnote w:id="43">
    <w:p w:rsidR="00CC0846" w:rsidRDefault="00CC0846" w:rsidP="001A0500">
      <w:pPr>
        <w:pStyle w:val="FootnoteText"/>
      </w:pPr>
      <w:r>
        <w:rPr>
          <w:rStyle w:val="FootnoteReference"/>
        </w:rPr>
        <w:footnoteRef/>
      </w:r>
      <w:r>
        <w:t xml:space="preserve"> </w:t>
      </w:r>
      <w:proofErr w:type="gramStart"/>
      <w:r w:rsidRPr="00590648">
        <w:rPr>
          <w:i/>
        </w:rPr>
        <w:t>Id</w:t>
      </w:r>
      <w:r>
        <w:t>. at 972 (Cross-examination of David Fein).</w:t>
      </w:r>
      <w:proofErr w:type="gramEnd"/>
    </w:p>
    <w:p w:rsidR="00CC0846" w:rsidRDefault="00CC0846" w:rsidP="001A0500">
      <w:pPr>
        <w:pStyle w:val="FootnoteText"/>
      </w:pPr>
    </w:p>
  </w:footnote>
  <w:footnote w:id="44">
    <w:p w:rsidR="00CC0846" w:rsidRDefault="00CC0846" w:rsidP="001A0500">
      <w:pPr>
        <w:pStyle w:val="FootnoteText"/>
      </w:pPr>
      <w:r>
        <w:rPr>
          <w:rStyle w:val="FootnoteReference"/>
        </w:rPr>
        <w:footnoteRef/>
      </w:r>
      <w:r>
        <w:t xml:space="preserve"> </w:t>
      </w:r>
      <w:proofErr w:type="gramStart"/>
      <w:r w:rsidRPr="002C53F7">
        <w:rPr>
          <w:i/>
        </w:rPr>
        <w:t>Id</w:t>
      </w:r>
      <w:r>
        <w:t>. at 971 (Cross-examination of David Fein).</w:t>
      </w:r>
      <w:proofErr w:type="gramEnd"/>
    </w:p>
    <w:p w:rsidR="00CC0846" w:rsidRDefault="00CC0846" w:rsidP="001A0500">
      <w:pPr>
        <w:pStyle w:val="FootnoteText"/>
      </w:pPr>
    </w:p>
  </w:footnote>
  <w:footnote w:id="45">
    <w:p w:rsidR="00CC0846" w:rsidRDefault="00CC0846">
      <w:pPr>
        <w:pStyle w:val="FootnoteText"/>
      </w:pPr>
      <w:r>
        <w:rPr>
          <w:rStyle w:val="FootnoteReference"/>
        </w:rPr>
        <w:footnoteRef/>
      </w:r>
      <w:r>
        <w:t xml:space="preserve"> </w:t>
      </w:r>
      <w:proofErr w:type="gramStart"/>
      <w:r>
        <w:t>OP Motion at 4.</w:t>
      </w:r>
      <w:proofErr w:type="gramEnd"/>
    </w:p>
    <w:p w:rsidR="00CC0846" w:rsidRDefault="00CC0846">
      <w:pPr>
        <w:pStyle w:val="FootnoteText"/>
      </w:pPr>
    </w:p>
  </w:footnote>
  <w:footnote w:id="46">
    <w:p w:rsidR="00CC0846" w:rsidRDefault="00CC0846">
      <w:pPr>
        <w:pStyle w:val="FootnoteText"/>
      </w:pPr>
      <w:r>
        <w:rPr>
          <w:rStyle w:val="FootnoteReference"/>
        </w:rPr>
        <w:footnoteRef/>
      </w:r>
      <w:r>
        <w:t xml:space="preserve"> </w:t>
      </w:r>
      <w:proofErr w:type="gramStart"/>
      <w:r w:rsidRPr="00A76E53">
        <w:rPr>
          <w:i/>
        </w:rPr>
        <w:t>Id</w:t>
      </w:r>
      <w:r>
        <w:t>. at 5.</w:t>
      </w:r>
      <w:proofErr w:type="gramEnd"/>
    </w:p>
    <w:p w:rsidR="00CC0846" w:rsidRDefault="00CC0846">
      <w:pPr>
        <w:pStyle w:val="FootnoteText"/>
      </w:pPr>
    </w:p>
  </w:footnote>
  <w:footnote w:id="47">
    <w:p w:rsidR="00CC0846" w:rsidRDefault="00CC0846">
      <w:pPr>
        <w:pStyle w:val="FootnoteText"/>
      </w:pPr>
      <w:r>
        <w:rPr>
          <w:rStyle w:val="FootnoteReference"/>
        </w:rPr>
        <w:footnoteRef/>
      </w:r>
      <w:r>
        <w:t xml:space="preserve"> </w:t>
      </w:r>
      <w:r w:rsidRPr="00A76E53">
        <w:rPr>
          <w:i/>
        </w:rPr>
        <w:t>Id</w:t>
      </w:r>
      <w:r>
        <w:t>. at 5-6.</w:t>
      </w:r>
    </w:p>
    <w:p w:rsidR="00CC0846" w:rsidRDefault="00CC0846">
      <w:pPr>
        <w:pStyle w:val="FootnoteText"/>
      </w:pPr>
    </w:p>
  </w:footnote>
  <w:footnote w:id="48">
    <w:p w:rsidR="00CC0846" w:rsidRPr="00530FF2" w:rsidRDefault="00CC0846">
      <w:pPr>
        <w:pStyle w:val="FootnoteText"/>
      </w:pPr>
      <w:r>
        <w:rPr>
          <w:rStyle w:val="FootnoteReference"/>
        </w:rPr>
        <w:footnoteRef/>
      </w:r>
      <w:r>
        <w:t xml:space="preserve"> </w:t>
      </w:r>
      <w:r>
        <w:rPr>
          <w:i/>
        </w:rPr>
        <w:t xml:space="preserve">In the Matter of the Application of Akron Thermal, Limited Partnership for an Emergency Increase in its Steam and Hot Water Rates and Charges, </w:t>
      </w:r>
      <w:r>
        <w:t>Case No. 00-2260-HT-AEM, Opinion and Order at 3 (Jan. 25, 2001).</w:t>
      </w:r>
    </w:p>
  </w:footnote>
  <w:footnote w:id="49">
    <w:p w:rsidR="00CC0846" w:rsidRDefault="00CC0846">
      <w:pPr>
        <w:pStyle w:val="FootnoteText"/>
      </w:pPr>
      <w:r>
        <w:rPr>
          <w:rStyle w:val="FootnoteReference"/>
        </w:rPr>
        <w:footnoteRef/>
      </w:r>
      <w:r>
        <w:t xml:space="preserve"> </w:t>
      </w:r>
      <w:proofErr w:type="gramStart"/>
      <w:r w:rsidRPr="00A76E53">
        <w:rPr>
          <w:i/>
        </w:rPr>
        <w:t xml:space="preserve">Duquesne Light Co. v. </w:t>
      </w:r>
      <w:proofErr w:type="spellStart"/>
      <w:r w:rsidRPr="00A76E53">
        <w:rPr>
          <w:i/>
        </w:rPr>
        <w:t>Barasch</w:t>
      </w:r>
      <w:proofErr w:type="spellEnd"/>
      <w:r>
        <w:t>, 488 U.S. 299, 307 (1989).</w:t>
      </w:r>
      <w:proofErr w:type="gramEnd"/>
    </w:p>
    <w:p w:rsidR="00CC0846" w:rsidRDefault="00CC0846">
      <w:pPr>
        <w:pStyle w:val="FootnoteText"/>
      </w:pPr>
    </w:p>
  </w:footnote>
  <w:footnote w:id="50">
    <w:p w:rsidR="00CC0846" w:rsidRDefault="00CC0846" w:rsidP="009463DA">
      <w:pPr>
        <w:pStyle w:val="FootnoteText"/>
      </w:pPr>
      <w:r>
        <w:rPr>
          <w:rStyle w:val="FootnoteReference"/>
        </w:rPr>
        <w:footnoteRef/>
      </w:r>
      <w:r>
        <w:t xml:space="preserve"> </w:t>
      </w:r>
      <w:proofErr w:type="gramStart"/>
      <w:r w:rsidRPr="00A76E53">
        <w:rPr>
          <w:i/>
        </w:rPr>
        <w:t xml:space="preserve">Monongahela Power Co. v. </w:t>
      </w:r>
      <w:proofErr w:type="spellStart"/>
      <w:r w:rsidRPr="00A76E53">
        <w:rPr>
          <w:i/>
        </w:rPr>
        <w:t>Schriber</w:t>
      </w:r>
      <w:proofErr w:type="spellEnd"/>
      <w:r>
        <w:t>, 322 F. Supp. 2d 902, 924 (S.D. Ohio 2004).</w:t>
      </w:r>
      <w:proofErr w:type="gramEnd"/>
    </w:p>
    <w:p w:rsidR="00CC0846" w:rsidRDefault="00CC0846" w:rsidP="009463DA">
      <w:pPr>
        <w:pStyle w:val="FootnoteText"/>
      </w:pPr>
    </w:p>
  </w:footnote>
  <w:footnote w:id="51">
    <w:p w:rsidR="00CC0846" w:rsidRDefault="00CC0846">
      <w:pPr>
        <w:pStyle w:val="FootnoteText"/>
      </w:pPr>
      <w:r>
        <w:rPr>
          <w:rStyle w:val="FootnoteReference"/>
        </w:rPr>
        <w:footnoteRef/>
      </w:r>
      <w:r>
        <w:t xml:space="preserve"> </w:t>
      </w:r>
      <w:proofErr w:type="gramStart"/>
      <w:r w:rsidRPr="00A76E53">
        <w:rPr>
          <w:i/>
        </w:rPr>
        <w:t>Id</w:t>
      </w:r>
      <w:r>
        <w:t>. at 921.</w:t>
      </w:r>
      <w:proofErr w:type="gramEnd"/>
    </w:p>
    <w:p w:rsidR="00CC0846" w:rsidRDefault="00CC0846">
      <w:pPr>
        <w:pStyle w:val="FootnoteText"/>
      </w:pPr>
    </w:p>
  </w:footnote>
  <w:footnote w:id="52">
    <w:p w:rsidR="00CC0846" w:rsidRDefault="00CC0846">
      <w:pPr>
        <w:pStyle w:val="FootnoteText"/>
      </w:pPr>
      <w:r>
        <w:rPr>
          <w:rStyle w:val="FootnoteReference"/>
        </w:rPr>
        <w:footnoteRef/>
      </w:r>
      <w:r>
        <w:t xml:space="preserve"> </w:t>
      </w:r>
      <w:r w:rsidRPr="00A76E53">
        <w:rPr>
          <w:i/>
        </w:rPr>
        <w:t xml:space="preserve">In the Matter of the Continuation of the Rate Freeze and Extension of </w:t>
      </w:r>
      <w:r>
        <w:rPr>
          <w:i/>
        </w:rPr>
        <w:t>t</w:t>
      </w:r>
      <w:r w:rsidRPr="00A76E53">
        <w:rPr>
          <w:i/>
        </w:rPr>
        <w:t>he Market Development Period for Monongahela Power Company</w:t>
      </w:r>
      <w:r>
        <w:t>, Case No. 04-880-EL-UNC, Opinion and Order at 16 (Dec. 8, 2004).</w:t>
      </w:r>
    </w:p>
    <w:p w:rsidR="00CC0846" w:rsidRDefault="00CC0846">
      <w:pPr>
        <w:pStyle w:val="FootnoteText"/>
      </w:pPr>
    </w:p>
  </w:footnote>
  <w:footnote w:id="53">
    <w:p w:rsidR="00CC0846" w:rsidRDefault="00CC0846">
      <w:pPr>
        <w:pStyle w:val="FootnoteText"/>
      </w:pPr>
      <w:r>
        <w:rPr>
          <w:rStyle w:val="FootnoteReference"/>
        </w:rPr>
        <w:footnoteRef/>
      </w:r>
      <w:r>
        <w:t xml:space="preserve"> </w:t>
      </w:r>
      <w:proofErr w:type="gramStart"/>
      <w:r w:rsidRPr="00A76E53">
        <w:rPr>
          <w:i/>
        </w:rPr>
        <w:t>Id</w:t>
      </w:r>
      <w:r>
        <w:t>. at 20.</w:t>
      </w:r>
      <w:proofErr w:type="gramEnd"/>
    </w:p>
    <w:p w:rsidR="00CC0846" w:rsidRDefault="00CC0846">
      <w:pPr>
        <w:pStyle w:val="FootnoteText"/>
      </w:pPr>
    </w:p>
  </w:footnote>
  <w:footnote w:id="54">
    <w:p w:rsidR="00CC0846" w:rsidRDefault="00CC0846">
      <w:pPr>
        <w:pStyle w:val="FootnoteText"/>
      </w:pPr>
      <w:r>
        <w:rPr>
          <w:rStyle w:val="FootnoteReference"/>
        </w:rPr>
        <w:footnoteRef/>
      </w:r>
      <w:r>
        <w:t xml:space="preserve"> </w:t>
      </w:r>
      <w:proofErr w:type="gramStart"/>
      <w:r>
        <w:t>OP Motion at 5.</w:t>
      </w:r>
      <w:proofErr w:type="gramEnd"/>
    </w:p>
    <w:p w:rsidR="00CC0846" w:rsidRDefault="00CC0846">
      <w:pPr>
        <w:pStyle w:val="FootnoteText"/>
      </w:pPr>
    </w:p>
  </w:footnote>
  <w:footnote w:id="55">
    <w:p w:rsidR="00CC0846" w:rsidRDefault="00CC0846">
      <w:pPr>
        <w:pStyle w:val="FootnoteText"/>
      </w:pPr>
      <w:r>
        <w:rPr>
          <w:rStyle w:val="FootnoteReference"/>
        </w:rPr>
        <w:footnoteRef/>
      </w:r>
      <w:r>
        <w:t xml:space="preserve"> The current price of AEP’s stock is well within the twelve-month range of prices.  See </w:t>
      </w:r>
      <w:r w:rsidRPr="00E6089B">
        <w:t>http://finance.yahoo.com/echarts?s=AEP+Interactive#chart1:symbol=aep;range=20070305,20120229;indicator=volume;charttype=line;crosshair=on;ohlcvalues=0;logscale=on</w:t>
      </w:r>
      <w:r>
        <w:t>.</w:t>
      </w:r>
    </w:p>
    <w:p w:rsidR="00CC0846" w:rsidRDefault="00CC0846">
      <w:pPr>
        <w:pStyle w:val="FootnoteText"/>
      </w:pPr>
    </w:p>
  </w:footnote>
  <w:footnote w:id="56">
    <w:p w:rsidR="00CC0846" w:rsidRDefault="00CC0846">
      <w:pPr>
        <w:pStyle w:val="FootnoteText"/>
      </w:pPr>
      <w:r>
        <w:rPr>
          <w:rStyle w:val="FootnoteReference"/>
        </w:rPr>
        <w:footnoteRef/>
      </w:r>
      <w:r>
        <w:t xml:space="preserve"> </w:t>
      </w:r>
      <w:r w:rsidRPr="00A76E53">
        <w:rPr>
          <w:i/>
        </w:rPr>
        <w:t>In the Matter of the Application of Columbus Southern Power Company and Ohio Power Company for Administration of the Significantly Excessive Earnings Test under Section</w:t>
      </w:r>
      <w:r>
        <w:rPr>
          <w:i/>
        </w:rPr>
        <w:t xml:space="preserve"> </w:t>
      </w:r>
      <w:r w:rsidRPr="00A76E53">
        <w:rPr>
          <w:i/>
        </w:rPr>
        <w:t>4928.143(F), Revised Code, and Rule 4901:1-35-10, Ohio Administrative Code,</w:t>
      </w:r>
      <w:r>
        <w:t xml:space="preserve"> Case No. 10-1261-EL-UNC, Opinion and Order (Jan. 11, 2011).</w:t>
      </w:r>
    </w:p>
    <w:p w:rsidR="00CC0846" w:rsidRDefault="00CC0846">
      <w:pPr>
        <w:pStyle w:val="FootnoteText"/>
      </w:pPr>
    </w:p>
  </w:footnote>
  <w:footnote w:id="57">
    <w:p w:rsidR="00CC0846" w:rsidRDefault="00CC0846">
      <w:pPr>
        <w:pStyle w:val="FootnoteText"/>
      </w:pPr>
      <w:r>
        <w:rPr>
          <w:rStyle w:val="FootnoteReference"/>
        </w:rPr>
        <w:footnoteRef/>
      </w:r>
      <w:r>
        <w:t xml:space="preserve"> </w:t>
      </w:r>
      <w:r w:rsidRPr="00A76E53">
        <w:rPr>
          <w:i/>
        </w:rPr>
        <w:t>In the matter of the 2010 Annual Filing of Columbus Southern Power Company and Ohio Power Company Required by Rule 4901:1-35-10, Ohio Administrative Code</w:t>
      </w:r>
      <w:r>
        <w:t xml:space="preserve">, Case Nos. 11-4571-EL-UNC, </w:t>
      </w:r>
      <w:r w:rsidRPr="00A76E53">
        <w:rPr>
          <w:i/>
        </w:rPr>
        <w:t>et al.</w:t>
      </w:r>
      <w:r>
        <w:t>, Post-Hearing Brief Submitted on Behalf of the Staff of the Public Utilities Commission of Ohio (Jan. 31, 2012).</w:t>
      </w:r>
    </w:p>
    <w:p w:rsidR="00CC0846" w:rsidRDefault="00CC0846" w:rsidP="001B0F90">
      <w:pPr>
        <w:pStyle w:val="FootnoteText"/>
      </w:pPr>
    </w:p>
  </w:footnote>
  <w:footnote w:id="58">
    <w:p w:rsidR="00CC0846" w:rsidRDefault="00CC0846" w:rsidP="001B0F90">
      <w:pPr>
        <w:pStyle w:val="NormalWeb"/>
        <w:spacing w:before="0" w:beforeAutospacing="0" w:after="0" w:afterAutospacing="0"/>
        <w:jc w:val="both"/>
      </w:pPr>
      <w:r>
        <w:rPr>
          <w:rStyle w:val="FootnoteReference"/>
        </w:rPr>
        <w:footnoteRef/>
      </w:r>
      <w:r>
        <w:t xml:space="preserve"> </w:t>
      </w:r>
      <w:r w:rsidRPr="007E0209">
        <w:rPr>
          <w:rFonts w:ascii="Arial" w:hAnsi="Arial" w:cs="Arial"/>
          <w:sz w:val="20"/>
          <w:szCs w:val="20"/>
        </w:rPr>
        <w:t xml:space="preserve">Throughout these proceedings, OP has argued that it has some entitlement to transition costs to support its move to an SSO based on a competitive bidding process (“CBP”).  In a press release issued on February 27, 2012, the parent </w:t>
      </w:r>
      <w:r>
        <w:rPr>
          <w:rFonts w:ascii="Arial" w:hAnsi="Arial" w:cs="Arial"/>
          <w:sz w:val="20"/>
          <w:szCs w:val="20"/>
        </w:rPr>
        <w:t xml:space="preserve">company </w:t>
      </w:r>
      <w:r w:rsidRPr="007E0209">
        <w:rPr>
          <w:rFonts w:ascii="Arial" w:hAnsi="Arial" w:cs="Arial"/>
          <w:sz w:val="20"/>
          <w:szCs w:val="20"/>
        </w:rPr>
        <w:t xml:space="preserve">of OP once again indicated that the purpose of OP’s request for arbitrary capacity charge was to provide recovery </w:t>
      </w:r>
      <w:r>
        <w:rPr>
          <w:rFonts w:ascii="Arial" w:hAnsi="Arial" w:cs="Arial"/>
          <w:sz w:val="20"/>
          <w:szCs w:val="20"/>
        </w:rPr>
        <w:t>of generation-related assets.  ‘</w:t>
      </w:r>
      <w:r w:rsidRPr="007E0209">
        <w:rPr>
          <w:rFonts w:ascii="Arial" w:hAnsi="Arial" w:cs="Arial"/>
          <w:sz w:val="20"/>
          <w:szCs w:val="20"/>
        </w:rPr>
        <w:t>AEP Ohio has committed significant capital investment in its Ohio generation fleet under what was a regulated environment to serve our customers'</w:t>
      </w:r>
      <w:r>
        <w:rPr>
          <w:rFonts w:ascii="Arial" w:hAnsi="Arial" w:cs="Arial"/>
          <w:sz w:val="20"/>
          <w:szCs w:val="20"/>
        </w:rPr>
        <w:t xml:space="preserve"> generation needs,’</w:t>
      </w:r>
      <w:r w:rsidRPr="007E0209">
        <w:rPr>
          <w:rFonts w:ascii="Arial" w:hAnsi="Arial" w:cs="Arial"/>
          <w:sz w:val="20"/>
          <w:szCs w:val="20"/>
        </w:rPr>
        <w:t xml:space="preserve"> said Nicholas K. Akins, AEP presiden</w:t>
      </w:r>
      <w:r>
        <w:rPr>
          <w:rFonts w:ascii="Arial" w:hAnsi="Arial" w:cs="Arial"/>
          <w:sz w:val="20"/>
          <w:szCs w:val="20"/>
        </w:rPr>
        <w:t>t and chief executive officer. ‘</w:t>
      </w:r>
      <w:r w:rsidRPr="007E0209">
        <w:rPr>
          <w:rFonts w:ascii="Arial" w:hAnsi="Arial" w:cs="Arial"/>
          <w:sz w:val="20"/>
          <w:szCs w:val="20"/>
        </w:rPr>
        <w:t>The settlement agreement allowed AEP Ohio a reasonable transition to market over a period of time. Without that transition, we will basically be giving the capacity we built to competitive suppliers for the taking.</w:t>
      </w:r>
      <w:r>
        <w:rPr>
          <w:rFonts w:ascii="Arial" w:hAnsi="Arial" w:cs="Arial"/>
          <w:sz w:val="20"/>
          <w:szCs w:val="20"/>
        </w:rPr>
        <w:t>’</w:t>
      </w:r>
      <w:r w:rsidRPr="007E0209">
        <w:rPr>
          <w:rFonts w:ascii="Arial" w:hAnsi="Arial" w:cs="Arial"/>
          <w:sz w:val="20"/>
          <w:szCs w:val="20"/>
        </w:rPr>
        <w:t>"</w:t>
      </w:r>
      <w:r>
        <w:rPr>
          <w:rFonts w:ascii="Arial" w:hAnsi="Arial" w:cs="Arial"/>
          <w:sz w:val="20"/>
          <w:szCs w:val="20"/>
        </w:rPr>
        <w:t xml:space="preserve">  Press Release (Feb. 27, 2012) (viewed at </w:t>
      </w:r>
      <w:r w:rsidRPr="007E0209">
        <w:rPr>
          <w:rFonts w:ascii="Arial" w:hAnsi="Arial" w:cs="Arial"/>
          <w:sz w:val="20"/>
          <w:szCs w:val="20"/>
        </w:rPr>
        <w:t>https://www.aepohio.com/info/news/viewRelease.aspx?releaseID=1203</w:t>
      </w:r>
      <w:r>
        <w:rPr>
          <w:rFonts w:ascii="Arial" w:hAnsi="Arial" w:cs="Arial"/>
          <w:sz w:val="20"/>
          <w:szCs w:val="20"/>
        </w:rPr>
        <w:t>)</w:t>
      </w:r>
    </w:p>
    <w:p w:rsidR="00CC0846" w:rsidRDefault="00CC0846">
      <w:pPr>
        <w:pStyle w:val="FootnoteText"/>
      </w:pPr>
    </w:p>
  </w:footnote>
  <w:footnote w:id="59">
    <w:p w:rsidR="00CC0846" w:rsidRDefault="00CC0846">
      <w:pPr>
        <w:pStyle w:val="FootnoteText"/>
      </w:pPr>
      <w:r>
        <w:rPr>
          <w:rStyle w:val="FootnoteReference"/>
        </w:rPr>
        <w:footnoteRef/>
      </w:r>
      <w:r>
        <w:t xml:space="preserve"> </w:t>
      </w:r>
      <w:proofErr w:type="gramStart"/>
      <w:r>
        <w:t>OP Motion at 5.</w:t>
      </w:r>
      <w:proofErr w:type="gramEnd"/>
    </w:p>
    <w:p w:rsidR="00CC0846" w:rsidRDefault="00CC0846">
      <w:pPr>
        <w:pStyle w:val="FootnoteText"/>
      </w:pPr>
    </w:p>
  </w:footnote>
  <w:footnote w:id="60">
    <w:p w:rsidR="00CC0846" w:rsidRDefault="00CC0846">
      <w:pPr>
        <w:pStyle w:val="FootnoteText"/>
      </w:pPr>
      <w:r>
        <w:rPr>
          <w:rStyle w:val="FootnoteReference"/>
        </w:rPr>
        <w:footnoteRef/>
      </w:r>
      <w:r>
        <w:t xml:space="preserve"> </w:t>
      </w:r>
      <w:r w:rsidRPr="00934B85">
        <w:rPr>
          <w:i/>
        </w:rPr>
        <w:t>See</w:t>
      </w:r>
      <w:r>
        <w:t xml:space="preserve"> </w:t>
      </w:r>
      <w:r w:rsidRPr="005B4D4E">
        <w:rPr>
          <w:i/>
        </w:rPr>
        <w:t xml:space="preserve">Dayton Power and Light Co. v. Pub. </w:t>
      </w:r>
      <w:proofErr w:type="gramStart"/>
      <w:r w:rsidRPr="005B4D4E">
        <w:rPr>
          <w:i/>
        </w:rPr>
        <w:t xml:space="preserve">Util. </w:t>
      </w:r>
      <w:proofErr w:type="spellStart"/>
      <w:r w:rsidRPr="005B4D4E">
        <w:rPr>
          <w:i/>
        </w:rPr>
        <w:t>Comm’n</w:t>
      </w:r>
      <w:proofErr w:type="spellEnd"/>
      <w:r w:rsidRPr="005B4D4E">
        <w:rPr>
          <w:i/>
        </w:rPr>
        <w:t xml:space="preserve"> of Ohio</w:t>
      </w:r>
      <w:r>
        <w:t>, 4 Ohio St. 3d 91 (1983).</w:t>
      </w:r>
      <w:proofErr w:type="gramEnd"/>
      <w:r>
        <w:t xml:space="preserve">  OP also threatens protracted litigation if it does not have its way.  OP Motion at 5-6.  These sorts of threats do not constitute a legitimate basis for the Commission to engage in the illegal and unreasonable rate setting that OP has demanded the Commission to undertake.</w:t>
      </w:r>
    </w:p>
    <w:p w:rsidR="00CC0846" w:rsidRDefault="00CC0846">
      <w:pPr>
        <w:pStyle w:val="FootnoteText"/>
      </w:pPr>
    </w:p>
  </w:footnote>
  <w:footnote w:id="61">
    <w:p w:rsidR="00CC0846" w:rsidRDefault="00CC0846" w:rsidP="00F345E5">
      <w:pPr>
        <w:pStyle w:val="FootnoteText"/>
      </w:pPr>
      <w:r>
        <w:rPr>
          <w:rStyle w:val="FootnoteReference"/>
        </w:rPr>
        <w:footnoteRef/>
      </w:r>
      <w:r>
        <w:t xml:space="preserve"> The Commission directed OP to file the appropriate application regarding the state compensation mechanism as approved in this case.  Entry on Rehearing at 12 (Feb. 23, 2012).  Previously, the Commission adopted the RPM price as the state compensation mechanism.  Entry at 2 (Dec. 8, 2010).</w:t>
      </w:r>
    </w:p>
    <w:p w:rsidR="00CC0846" w:rsidRDefault="00CC0846" w:rsidP="00F345E5">
      <w:pPr>
        <w:pStyle w:val="FootnoteText"/>
      </w:pPr>
    </w:p>
  </w:footnote>
  <w:footnote w:id="62">
    <w:p w:rsidR="00CC0846" w:rsidRDefault="00CC0846">
      <w:pPr>
        <w:pStyle w:val="FootnoteText"/>
      </w:pPr>
      <w:r>
        <w:rPr>
          <w:rStyle w:val="FootnoteReference"/>
        </w:rPr>
        <w:footnoteRef/>
      </w:r>
      <w:r>
        <w:t xml:space="preserve"> </w:t>
      </w:r>
      <w:proofErr w:type="gramStart"/>
      <w:r>
        <w:t>OP Motion at 8.</w:t>
      </w:r>
      <w:proofErr w:type="gramEnd"/>
    </w:p>
    <w:p w:rsidR="00CC0846" w:rsidRDefault="00CC0846">
      <w:pPr>
        <w:pStyle w:val="FootnoteText"/>
      </w:pPr>
    </w:p>
  </w:footnote>
  <w:footnote w:id="63">
    <w:p w:rsidR="00CC0846" w:rsidRDefault="00CC0846" w:rsidP="00F345E5">
      <w:pPr>
        <w:pStyle w:val="FootnoteText"/>
      </w:pPr>
      <w:r>
        <w:rPr>
          <w:rStyle w:val="FootnoteReference"/>
        </w:rPr>
        <w:footnoteRef/>
      </w:r>
      <w:r>
        <w:t xml:space="preserve"> Entry at 2 (Dec. 8, 2010).</w:t>
      </w:r>
    </w:p>
    <w:p w:rsidR="00CC0846" w:rsidRDefault="00CC0846" w:rsidP="00F345E5">
      <w:pPr>
        <w:pStyle w:val="FootnoteText"/>
      </w:pPr>
    </w:p>
  </w:footnote>
  <w:footnote w:id="64">
    <w:p w:rsidR="00CC0846" w:rsidRDefault="00CC0846">
      <w:pPr>
        <w:pStyle w:val="FootnoteText"/>
      </w:pPr>
      <w:r>
        <w:rPr>
          <w:rStyle w:val="FootnoteReference"/>
        </w:rPr>
        <w:footnoteRef/>
      </w:r>
      <w:r>
        <w:t xml:space="preserve"> </w:t>
      </w:r>
      <w:proofErr w:type="gramStart"/>
      <w:r>
        <w:t>OP Motion at 7.</w:t>
      </w:r>
      <w:proofErr w:type="gramEnd"/>
    </w:p>
    <w:p w:rsidR="00CC0846" w:rsidRDefault="00CC0846">
      <w:pPr>
        <w:pStyle w:val="FootnoteText"/>
      </w:pPr>
    </w:p>
  </w:footnote>
  <w:footnote w:id="65">
    <w:p w:rsidR="00CC0846" w:rsidRDefault="00CC0846" w:rsidP="00F345E5">
      <w:pPr>
        <w:pStyle w:val="FootnoteText"/>
      </w:pPr>
      <w:r>
        <w:rPr>
          <w:rStyle w:val="FootnoteReference"/>
        </w:rPr>
        <w:footnoteRef/>
      </w:r>
      <w:r>
        <w:t xml:space="preserve"> Entry at 6 (Jan. 23, 2012).</w:t>
      </w:r>
    </w:p>
    <w:p w:rsidR="00CC0846" w:rsidRDefault="00CC0846" w:rsidP="00F345E5">
      <w:pPr>
        <w:pStyle w:val="FootnoteText"/>
      </w:pPr>
    </w:p>
  </w:footnote>
  <w:footnote w:id="66">
    <w:p w:rsidR="00CC0846" w:rsidRDefault="00CC0846" w:rsidP="00F345E5">
      <w:pPr>
        <w:pStyle w:val="FootnoteText"/>
      </w:pPr>
      <w:r>
        <w:rPr>
          <w:rStyle w:val="FootnoteReference"/>
        </w:rPr>
        <w:footnoteRef/>
      </w:r>
      <w:r>
        <w:t xml:space="preserve"> </w:t>
      </w:r>
      <w:proofErr w:type="gramStart"/>
      <w:r>
        <w:t>OP Motion at 4.</w:t>
      </w:r>
      <w:proofErr w:type="gramEnd"/>
    </w:p>
  </w:footnote>
  <w:footnote w:id="67">
    <w:p w:rsidR="00CC0846" w:rsidRDefault="00CC0846" w:rsidP="00F345E5">
      <w:pPr>
        <w:pStyle w:val="FootnoteText"/>
        <w:spacing w:before="240"/>
        <w:rPr>
          <w:rFonts w:cs="Arial"/>
        </w:rPr>
      </w:pPr>
      <w:r>
        <w:rPr>
          <w:rStyle w:val="FootnoteReference"/>
          <w:rFonts w:cs="Arial"/>
        </w:rPr>
        <w:footnoteRef/>
      </w:r>
      <w:r>
        <w:rPr>
          <w:rFonts w:cs="Arial"/>
        </w:rPr>
        <w:t xml:space="preserve"> Section 4928.17(A), Revised Code: “Except as otherwise provided </w:t>
      </w:r>
      <w:r w:rsidRPr="002A055A">
        <w:rPr>
          <w:rFonts w:cs="Arial"/>
        </w:rPr>
        <w:t xml:space="preserve">… no electric utility shall engage in this state, either directly or through an affiliate, in the businesses of supplying a noncompetitive retail electric service and supplying a competitive retail electric service </w:t>
      </w:r>
      <w:proofErr w:type="gramStart"/>
      <w:r w:rsidRPr="002A055A">
        <w:rPr>
          <w:rFonts w:cs="Arial"/>
        </w:rPr>
        <w:t>… .”</w:t>
      </w:r>
      <w:proofErr w:type="gramEnd"/>
      <w:r>
        <w:rPr>
          <w:rFonts w:cs="Arial"/>
        </w:rPr>
        <w:t xml:space="preserve"> </w:t>
      </w:r>
      <w:r>
        <w:rPr>
          <w:rFonts w:cs="Arial"/>
          <w:i/>
        </w:rPr>
        <w:t>Id.</w:t>
      </w:r>
      <w:r>
        <w:rPr>
          <w:rFonts w:cs="Arial"/>
        </w:rPr>
        <w:t xml:space="preserve"> </w:t>
      </w:r>
    </w:p>
    <w:p w:rsidR="00CC0846" w:rsidRDefault="00CC0846" w:rsidP="00F345E5">
      <w:pPr>
        <w:pStyle w:val="FootnoteText"/>
        <w:rPr>
          <w:rFonts w:cs="Arial"/>
        </w:rPr>
      </w:pPr>
    </w:p>
  </w:footnote>
  <w:footnote w:id="68">
    <w:p w:rsidR="00CC0846" w:rsidRDefault="00CC0846" w:rsidP="00F345E5">
      <w:pPr>
        <w:pStyle w:val="FootnoteText"/>
        <w:rPr>
          <w:rFonts w:cs="Arial"/>
        </w:rPr>
      </w:pPr>
      <w:r>
        <w:rPr>
          <w:rStyle w:val="FootnoteReference"/>
        </w:rPr>
        <w:footnoteRef/>
      </w:r>
      <w:r>
        <w:t xml:space="preserve"> </w:t>
      </w:r>
      <w:proofErr w:type="gramStart"/>
      <w:r>
        <w:rPr>
          <w:rFonts w:cs="Arial"/>
        </w:rPr>
        <w:t>FES Ex. 1, TCB-8.</w:t>
      </w:r>
      <w:proofErr w:type="gramEnd"/>
    </w:p>
    <w:p w:rsidR="00CC0846" w:rsidRDefault="00CC0846" w:rsidP="00F345E5">
      <w:pPr>
        <w:pStyle w:val="FootnoteText"/>
      </w:pPr>
    </w:p>
  </w:footnote>
  <w:footnote w:id="69">
    <w:p w:rsidR="00CC0846" w:rsidRDefault="00CC0846">
      <w:pPr>
        <w:pStyle w:val="FootnoteText"/>
      </w:pPr>
      <w:r>
        <w:rPr>
          <w:rStyle w:val="FootnoteReference"/>
        </w:rPr>
        <w:footnoteRef/>
      </w:r>
      <w:r>
        <w:t xml:space="preserve"> </w:t>
      </w:r>
      <w:proofErr w:type="gramStart"/>
      <w:r>
        <w:t>OP Motion at 9.</w:t>
      </w:r>
      <w:proofErr w:type="gramEnd"/>
    </w:p>
    <w:p w:rsidR="00CC0846" w:rsidRDefault="00CC0846">
      <w:pPr>
        <w:pStyle w:val="FootnoteText"/>
      </w:pPr>
    </w:p>
  </w:footnote>
  <w:footnote w:id="70">
    <w:p w:rsidR="00CC0846" w:rsidRDefault="00CC0846">
      <w:pPr>
        <w:pStyle w:val="FootnoteText"/>
      </w:pPr>
      <w:r>
        <w:rPr>
          <w:rStyle w:val="FootnoteReference"/>
        </w:rPr>
        <w:footnoteRef/>
      </w:r>
      <w:r>
        <w:t xml:space="preserve"> </w:t>
      </w:r>
      <w:proofErr w:type="gramStart"/>
      <w:r w:rsidRPr="00A76E53">
        <w:rPr>
          <w:i/>
        </w:rPr>
        <w:t>Id</w:t>
      </w:r>
      <w:r>
        <w:t>. at 15.</w:t>
      </w:r>
      <w:proofErr w:type="gramEnd"/>
    </w:p>
    <w:p w:rsidR="00CC0846" w:rsidRDefault="00CC0846">
      <w:pPr>
        <w:pStyle w:val="FootnoteText"/>
      </w:pPr>
    </w:p>
  </w:footnote>
  <w:footnote w:id="71">
    <w:p w:rsidR="00CC0846" w:rsidRDefault="00CC0846">
      <w:pPr>
        <w:pStyle w:val="FootnoteText"/>
      </w:pPr>
      <w:r>
        <w:rPr>
          <w:rStyle w:val="FootnoteReference"/>
        </w:rPr>
        <w:footnoteRef/>
      </w:r>
      <w:r>
        <w:t xml:space="preserve"> OP Motion at 9-13.</w:t>
      </w:r>
    </w:p>
    <w:p w:rsidR="00CC0846" w:rsidRDefault="00CC0846">
      <w:pPr>
        <w:pStyle w:val="FootnoteText"/>
      </w:pPr>
    </w:p>
  </w:footnote>
  <w:footnote w:id="72">
    <w:p w:rsidR="00CC0846" w:rsidRDefault="00CC0846">
      <w:pPr>
        <w:pStyle w:val="FootnoteText"/>
      </w:pPr>
      <w:r>
        <w:rPr>
          <w:rStyle w:val="FootnoteReference"/>
        </w:rPr>
        <w:footnoteRef/>
      </w:r>
      <w:r>
        <w:t xml:space="preserve"> </w:t>
      </w:r>
      <w:r w:rsidRPr="00D03564">
        <w:rPr>
          <w:i/>
        </w:rPr>
        <w:t>Id.</w:t>
      </w:r>
      <w:r>
        <w:t xml:space="preserve"> at 10-13.</w:t>
      </w:r>
    </w:p>
    <w:p w:rsidR="00CC0846" w:rsidRDefault="00CC0846">
      <w:pPr>
        <w:pStyle w:val="FootnoteText"/>
      </w:pPr>
    </w:p>
  </w:footnote>
  <w:footnote w:id="73">
    <w:p w:rsidR="00CC0846" w:rsidRDefault="00CC0846">
      <w:pPr>
        <w:pStyle w:val="FootnoteText"/>
      </w:pPr>
      <w:r>
        <w:rPr>
          <w:rStyle w:val="FootnoteReference"/>
        </w:rPr>
        <w:footnoteRef/>
      </w:r>
      <w:r>
        <w:t xml:space="preserve"> </w:t>
      </w:r>
      <w:r w:rsidRPr="00080197">
        <w:rPr>
          <w:i/>
        </w:rPr>
        <w:t>Id</w:t>
      </w:r>
      <w:r>
        <w:t>. at 13-14.</w:t>
      </w:r>
    </w:p>
  </w:footnote>
  <w:footnote w:id="74">
    <w:p w:rsidR="00CC0846" w:rsidRDefault="00CC0846">
      <w:pPr>
        <w:pStyle w:val="FootnoteText"/>
      </w:pPr>
      <w:r>
        <w:rPr>
          <w:rStyle w:val="FootnoteReference"/>
        </w:rPr>
        <w:footnoteRef/>
      </w:r>
      <w:r>
        <w:t xml:space="preserve"> </w:t>
      </w:r>
      <w:proofErr w:type="gramStart"/>
      <w:r>
        <w:t>Section 4903.09, Revised Code.</w:t>
      </w:r>
      <w:proofErr w:type="gramEnd"/>
    </w:p>
    <w:p w:rsidR="00CC0846" w:rsidRDefault="00CC0846">
      <w:pPr>
        <w:pStyle w:val="FootnoteText"/>
      </w:pPr>
    </w:p>
  </w:footnote>
  <w:footnote w:id="75">
    <w:p w:rsidR="00CC0846" w:rsidRDefault="00CC0846">
      <w:pPr>
        <w:pStyle w:val="FootnoteText"/>
      </w:pPr>
      <w:r>
        <w:rPr>
          <w:rStyle w:val="FootnoteReference"/>
        </w:rPr>
        <w:footnoteRef/>
      </w:r>
      <w:r>
        <w:t xml:space="preserve"> As a separate matter, the appropriateness of setting the rates at anything other than RPM levels was heavily debated in the hearing on the Stipulation.  Setting the rate at some arbitrary level raised serious questions regarding whether the rate was consistent with proper costing principles and the requirements for setting cost-based rates set by PJM under limited circumstances.  FES Ex. 14 at 9-11.  As argued elsewhere, the legal validity of the arbitrarily set $255/MW-day rate was also disputed.  Application for Rehearing and Memorandum in Support of Industrial Energy Users-Ohio at 25-45 (Jan. 13, 2012).</w:t>
      </w:r>
    </w:p>
    <w:p w:rsidR="00CC0846" w:rsidRDefault="00CC0846">
      <w:pPr>
        <w:pStyle w:val="FootnoteText"/>
      </w:pPr>
    </w:p>
  </w:footnote>
  <w:footnote w:id="76">
    <w:p w:rsidR="00CC0846" w:rsidRDefault="00CC0846">
      <w:pPr>
        <w:pStyle w:val="FootnoteText"/>
      </w:pPr>
      <w:r>
        <w:rPr>
          <w:rStyle w:val="FootnoteReference"/>
        </w:rPr>
        <w:footnoteRef/>
      </w:r>
      <w:r>
        <w:t xml:space="preserve"> </w:t>
      </w:r>
      <w:proofErr w:type="gramStart"/>
      <w:r>
        <w:t>Entry on Rehearing at 12.</w:t>
      </w:r>
      <w:proofErr w:type="gramEnd"/>
    </w:p>
    <w:p w:rsidR="00CC0846" w:rsidRDefault="00CC0846">
      <w:pPr>
        <w:pStyle w:val="FootnoteText"/>
      </w:pPr>
    </w:p>
  </w:footnote>
  <w:footnote w:id="77">
    <w:p w:rsidR="00CC0846" w:rsidRDefault="00CC0846">
      <w:pPr>
        <w:pStyle w:val="FootnoteText"/>
      </w:pPr>
      <w:r>
        <w:rPr>
          <w:rStyle w:val="FootnoteReference"/>
        </w:rPr>
        <w:footnoteRef/>
      </w:r>
      <w:r>
        <w:t xml:space="preserve"> </w:t>
      </w:r>
      <w:proofErr w:type="gramStart"/>
      <w:r w:rsidRPr="00A76E53">
        <w:rPr>
          <w:i/>
        </w:rPr>
        <w:t>Id</w:t>
      </w:r>
      <w:r>
        <w:t>. at 13.</w:t>
      </w:r>
      <w:proofErr w:type="gramEnd"/>
    </w:p>
    <w:p w:rsidR="00CC0846" w:rsidRDefault="00CC0846">
      <w:pPr>
        <w:pStyle w:val="FootnoteText"/>
      </w:pPr>
    </w:p>
  </w:footnote>
  <w:footnote w:id="78">
    <w:p w:rsidR="00CC0846" w:rsidRDefault="00CC0846" w:rsidP="00F345E5">
      <w:pPr>
        <w:pStyle w:val="FootnoteText"/>
      </w:pPr>
      <w:r>
        <w:rPr>
          <w:rStyle w:val="FootnoteReference"/>
        </w:rPr>
        <w:footnoteRef/>
      </w:r>
      <w:r>
        <w:t xml:space="preserve"> Although a provision of the Stipulation concerning the withdrawal of a party did not contemplate the exact circumstances that have occurred here, i.e. the Commission’s rejection of the Stipulation through an Entry on Rehearing</w:t>
      </w:r>
      <w:r w:rsidRPr="0090513A">
        <w:t xml:space="preserve">, </w:t>
      </w:r>
      <w:r>
        <w:t>the Signatory Parties also understood that the record would not bind further proceedings if the Commission rejected the Stipulation.  T</w:t>
      </w:r>
      <w:r w:rsidRPr="0090513A">
        <w:t>he Signatory Parties including OP agreed that “this proceeding shall go forward at the procedural point at which the Stipulation was filed, and the parties will be afforded the opportunity to present evidence through witnesses, to cross-examine all witnesses, to present rebuttal testimony, and to brief all issues which shall be decided based upon the record and briefs, as if the Stipulation had never been executed.”</w:t>
      </w:r>
      <w:r>
        <w:t xml:space="preserve">  </w:t>
      </w:r>
      <w:proofErr w:type="gramStart"/>
      <w:r>
        <w:t>Stipulation at 30.</w:t>
      </w:r>
      <w:proofErr w:type="gramEnd"/>
    </w:p>
    <w:p w:rsidR="00CC0846" w:rsidRDefault="00CC0846" w:rsidP="00F345E5">
      <w:pPr>
        <w:pStyle w:val="FootnoteText"/>
      </w:pPr>
    </w:p>
  </w:footnote>
  <w:footnote w:id="79">
    <w:p w:rsidR="00CC0846" w:rsidRDefault="00CC0846">
      <w:pPr>
        <w:pStyle w:val="FootnoteText"/>
      </w:pPr>
      <w:r>
        <w:rPr>
          <w:rStyle w:val="FootnoteReference"/>
        </w:rPr>
        <w:footnoteRef/>
      </w:r>
      <w:r>
        <w:t xml:space="preserve"> Entry (Jan. 23, 2012).</w:t>
      </w:r>
    </w:p>
    <w:p w:rsidR="00CC0846" w:rsidRDefault="00CC0846">
      <w:pPr>
        <w:pStyle w:val="FootnoteText"/>
      </w:pPr>
    </w:p>
  </w:footnote>
  <w:footnote w:id="80">
    <w:p w:rsidR="00CC0846" w:rsidRDefault="00CC0846">
      <w:pPr>
        <w:pStyle w:val="FootnoteText"/>
      </w:pPr>
      <w:r>
        <w:rPr>
          <w:rStyle w:val="FootnoteReference"/>
        </w:rPr>
        <w:footnoteRef/>
      </w:r>
      <w:r>
        <w:t xml:space="preserve"> </w:t>
      </w:r>
      <w:proofErr w:type="gramStart"/>
      <w:r w:rsidRPr="00A76E53">
        <w:rPr>
          <w:i/>
        </w:rPr>
        <w:t>Id</w:t>
      </w:r>
      <w:r>
        <w:t>. at 6, citing Section 4928.20, Revised Code.</w:t>
      </w:r>
      <w:proofErr w:type="gramEnd"/>
    </w:p>
    <w:p w:rsidR="00CC0846" w:rsidRDefault="00CC0846">
      <w:pPr>
        <w:pStyle w:val="FootnoteText"/>
      </w:pPr>
    </w:p>
  </w:footnote>
  <w:footnote w:id="81">
    <w:p w:rsidR="00CC0846" w:rsidRDefault="00CC0846" w:rsidP="00442565">
      <w:pPr>
        <w:pStyle w:val="FootnoteText"/>
      </w:pPr>
      <w:r>
        <w:rPr>
          <w:rStyle w:val="FootnoteReference"/>
        </w:rPr>
        <w:footnoteRef/>
      </w:r>
      <w:r>
        <w:t xml:space="preserve"> Without any explanation, OP states that the alternative will provide “substantial shopping.”  </w:t>
      </w:r>
      <w:proofErr w:type="gramStart"/>
      <w:r>
        <w:t>OP Motion at 15.</w:t>
      </w:r>
      <w:proofErr w:type="gramEnd"/>
    </w:p>
    <w:p w:rsidR="00CC0846" w:rsidRDefault="00CC0846" w:rsidP="00442565">
      <w:pPr>
        <w:pStyle w:val="FootnoteText"/>
      </w:pPr>
    </w:p>
  </w:footnote>
  <w:footnote w:id="82">
    <w:p w:rsidR="00CC0846" w:rsidRDefault="00CC0846" w:rsidP="00F345E5">
      <w:pPr>
        <w:pStyle w:val="FootnoteText"/>
      </w:pPr>
      <w:r>
        <w:rPr>
          <w:rStyle w:val="FootnoteReference"/>
        </w:rPr>
        <w:footnoteRef/>
      </w:r>
      <w:r>
        <w:t xml:space="preserve"> </w:t>
      </w:r>
      <w:proofErr w:type="gramStart"/>
      <w:r>
        <w:t>OP Motion at 16-19 (Feb.27, 2012).</w:t>
      </w:r>
      <w:proofErr w:type="gramEnd"/>
    </w:p>
    <w:p w:rsidR="00CC0846" w:rsidRDefault="00CC0846" w:rsidP="00F345E5">
      <w:pPr>
        <w:pStyle w:val="FootnoteText"/>
      </w:pPr>
    </w:p>
  </w:footnote>
  <w:footnote w:id="83">
    <w:p w:rsidR="00CC0846" w:rsidRDefault="00CC0846" w:rsidP="00F345E5">
      <w:pPr>
        <w:pStyle w:val="FootnoteText"/>
      </w:pPr>
      <w:r>
        <w:rPr>
          <w:rStyle w:val="FootnoteReference"/>
        </w:rPr>
        <w:footnoteRef/>
      </w:r>
      <w:r>
        <w:t xml:space="preserve"> Entry on Rehearing at 12 (Feb. 23, 2012).</w:t>
      </w:r>
    </w:p>
    <w:p w:rsidR="00CC0846" w:rsidRDefault="00CC0846" w:rsidP="00F345E5">
      <w:pPr>
        <w:pStyle w:val="FootnoteText"/>
      </w:pPr>
    </w:p>
  </w:footnote>
  <w:footnote w:id="84">
    <w:p w:rsidR="00CC0846" w:rsidRDefault="00CC0846">
      <w:pPr>
        <w:pStyle w:val="FootnoteText"/>
      </w:pPr>
      <w:r>
        <w:rPr>
          <w:rStyle w:val="FootnoteReference"/>
        </w:rPr>
        <w:footnoteRef/>
      </w:r>
      <w:r>
        <w:t xml:space="preserve"> </w:t>
      </w:r>
      <w:proofErr w:type="gramStart"/>
      <w:r>
        <w:t>Entry at 2 (Dec. 8, 2010.).</w:t>
      </w:r>
      <w:proofErr w:type="gramEnd"/>
    </w:p>
    <w:p w:rsidR="00CC0846" w:rsidRDefault="00CC0846">
      <w:pPr>
        <w:pStyle w:val="FootnoteText"/>
      </w:pPr>
    </w:p>
  </w:footnote>
  <w:footnote w:id="85">
    <w:p w:rsidR="00CC0846" w:rsidRDefault="00CC0846" w:rsidP="00AD4DC3">
      <w:pPr>
        <w:pStyle w:val="FootnoteText"/>
      </w:pPr>
      <w:r>
        <w:rPr>
          <w:rStyle w:val="FootnoteReference"/>
        </w:rPr>
        <w:footnoteRef/>
      </w:r>
      <w:r>
        <w:t xml:space="preserve"> </w:t>
      </w:r>
      <w:proofErr w:type="gramStart"/>
      <w:r>
        <w:t>Tr. Vol. V at 811.</w:t>
      </w:r>
      <w:proofErr w:type="gramEnd"/>
    </w:p>
    <w:p w:rsidR="00CC0846" w:rsidRDefault="00CC0846" w:rsidP="00AD4DC3">
      <w:pPr>
        <w:pStyle w:val="FootnoteText"/>
      </w:pPr>
    </w:p>
  </w:footnote>
  <w:footnote w:id="86">
    <w:p w:rsidR="00CC0846" w:rsidRDefault="00CC0846">
      <w:pPr>
        <w:pStyle w:val="FootnoteText"/>
      </w:pPr>
      <w:r>
        <w:rPr>
          <w:rStyle w:val="FootnoteReference"/>
        </w:rPr>
        <w:footnoteRef/>
      </w:r>
      <w:r>
        <w:t xml:space="preserve"> American Electric Power Service Corporation, Docket No. ER11-2183-001, Motion of American Electric Power Service Corporation for Expedited Rulings at 7 (Feb. 29, 2012) (viewed at: </w:t>
      </w:r>
      <w:r w:rsidRPr="001E6E6C">
        <w:t>http://elibrary.ferc.gov/idmws/file_list.asp?accession_num=20120229-5250</w:t>
      </w:r>
      <w:r>
        <w:t>).</w:t>
      </w:r>
    </w:p>
    <w:p w:rsidR="00CC0846" w:rsidRDefault="00CC0846">
      <w:pPr>
        <w:pStyle w:val="FootnoteText"/>
      </w:pPr>
    </w:p>
  </w:footnote>
  <w:footnote w:id="87">
    <w:p w:rsidR="00CC0846" w:rsidRDefault="00CC0846">
      <w:pPr>
        <w:pStyle w:val="FootnoteText"/>
      </w:pPr>
      <w:r>
        <w:rPr>
          <w:rStyle w:val="FootnoteReference"/>
        </w:rPr>
        <w:footnoteRef/>
      </w:r>
      <w:r>
        <w:t xml:space="preserve"> </w:t>
      </w:r>
      <w:proofErr w:type="gramStart"/>
      <w:r>
        <w:t>OP Motion at 16.</w:t>
      </w:r>
      <w:proofErr w:type="gramEnd"/>
    </w:p>
    <w:p w:rsidR="00CC0846" w:rsidRDefault="00CC084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846" w:rsidRDefault="00CC08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846" w:rsidRDefault="00CC08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846" w:rsidRDefault="00CC084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846" w:rsidRDefault="00CC084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846" w:rsidRDefault="00CC084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846" w:rsidRDefault="00CC08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56DFF"/>
    <w:multiLevelType w:val="hybridMultilevel"/>
    <w:tmpl w:val="3ACADD20"/>
    <w:lvl w:ilvl="0" w:tplc="992CBC86">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7D0EC8"/>
    <w:multiLevelType w:val="hybridMultilevel"/>
    <w:tmpl w:val="88A48F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1421C1"/>
    <w:multiLevelType w:val="hybridMultilevel"/>
    <w:tmpl w:val="88A48F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E818B0"/>
    <w:multiLevelType w:val="hybridMultilevel"/>
    <w:tmpl w:val="96245C5A"/>
    <w:lvl w:ilvl="0" w:tplc="37E4AC2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83C3D0A"/>
    <w:multiLevelType w:val="hybridMultilevel"/>
    <w:tmpl w:val="BB183F8C"/>
    <w:lvl w:ilvl="0" w:tplc="00A875F8">
      <w:start w:val="4"/>
      <w:numFmt w:val="upperRoman"/>
      <w:lvlText w:val="%1."/>
      <w:lvlJc w:val="righ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AE0264"/>
    <w:multiLevelType w:val="hybridMultilevel"/>
    <w:tmpl w:val="604A571E"/>
    <w:lvl w:ilvl="0" w:tplc="A5485332">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C03A43"/>
    <w:multiLevelType w:val="hybridMultilevel"/>
    <w:tmpl w:val="84DA45FE"/>
    <w:lvl w:ilvl="0" w:tplc="87B6C40E">
      <w:start w:val="3"/>
      <w:numFmt w:val="upperRoman"/>
      <w:lvlText w:val="%1."/>
      <w:lvlJc w:val="righ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447821"/>
    <w:multiLevelType w:val="hybridMultilevel"/>
    <w:tmpl w:val="D510778E"/>
    <w:lvl w:ilvl="0" w:tplc="37E4AC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FC2A3A"/>
    <w:multiLevelType w:val="hybridMultilevel"/>
    <w:tmpl w:val="21725A8C"/>
    <w:lvl w:ilvl="0" w:tplc="74DA3FB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DB5789"/>
    <w:multiLevelType w:val="hybridMultilevel"/>
    <w:tmpl w:val="B7D62D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D73C23"/>
    <w:multiLevelType w:val="hybridMultilevel"/>
    <w:tmpl w:val="E7344686"/>
    <w:lvl w:ilvl="0" w:tplc="0096F586">
      <w:start w:val="1"/>
      <w:numFmt w:val="upperRoman"/>
      <w:lvlText w:val="%1."/>
      <w:lvlJc w:val="righ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A2023"/>
    <w:multiLevelType w:val="hybridMultilevel"/>
    <w:tmpl w:val="207463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206132"/>
    <w:multiLevelType w:val="hybridMultilevel"/>
    <w:tmpl w:val="CE80B46E"/>
    <w:lvl w:ilvl="0" w:tplc="300E0E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0"/>
  </w:num>
  <w:num w:numId="3">
    <w:abstractNumId w:val="8"/>
  </w:num>
  <w:num w:numId="4">
    <w:abstractNumId w:val="11"/>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
  </w:num>
  <w:num w:numId="9">
    <w:abstractNumId w:val="2"/>
  </w:num>
  <w:num w:numId="10">
    <w:abstractNumId w:val="0"/>
  </w:num>
  <w:num w:numId="11">
    <w:abstractNumId w:val="9"/>
  </w:num>
  <w:num w:numId="12">
    <w:abstractNumId w:val="5"/>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08D"/>
    <w:rsid w:val="000000A2"/>
    <w:rsid w:val="000028AF"/>
    <w:rsid w:val="000116EB"/>
    <w:rsid w:val="000165DD"/>
    <w:rsid w:val="000502E2"/>
    <w:rsid w:val="00080197"/>
    <w:rsid w:val="000A2C50"/>
    <w:rsid w:val="000D002A"/>
    <w:rsid w:val="000D1BAB"/>
    <w:rsid w:val="000E39F2"/>
    <w:rsid w:val="00106688"/>
    <w:rsid w:val="00121A1D"/>
    <w:rsid w:val="00124A94"/>
    <w:rsid w:val="001274D8"/>
    <w:rsid w:val="00133DCC"/>
    <w:rsid w:val="00136AB7"/>
    <w:rsid w:val="00152087"/>
    <w:rsid w:val="00152791"/>
    <w:rsid w:val="00174FAA"/>
    <w:rsid w:val="00181F82"/>
    <w:rsid w:val="00190FC1"/>
    <w:rsid w:val="001A0500"/>
    <w:rsid w:val="001B0F90"/>
    <w:rsid w:val="001E21A6"/>
    <w:rsid w:val="001E6E6C"/>
    <w:rsid w:val="001E7BF9"/>
    <w:rsid w:val="0020013E"/>
    <w:rsid w:val="002466E2"/>
    <w:rsid w:val="0026017C"/>
    <w:rsid w:val="00261CE3"/>
    <w:rsid w:val="002756D8"/>
    <w:rsid w:val="002A055A"/>
    <w:rsid w:val="002B4575"/>
    <w:rsid w:val="002B6D30"/>
    <w:rsid w:val="002C526C"/>
    <w:rsid w:val="002C53F7"/>
    <w:rsid w:val="002E2069"/>
    <w:rsid w:val="00320FCB"/>
    <w:rsid w:val="0033427F"/>
    <w:rsid w:val="003432D9"/>
    <w:rsid w:val="00366DB6"/>
    <w:rsid w:val="003878F0"/>
    <w:rsid w:val="003A24C4"/>
    <w:rsid w:val="003B5E6F"/>
    <w:rsid w:val="003E14FC"/>
    <w:rsid w:val="00442565"/>
    <w:rsid w:val="00447179"/>
    <w:rsid w:val="00477175"/>
    <w:rsid w:val="00481196"/>
    <w:rsid w:val="0049575D"/>
    <w:rsid w:val="004C191B"/>
    <w:rsid w:val="00514840"/>
    <w:rsid w:val="005232E1"/>
    <w:rsid w:val="00527A4E"/>
    <w:rsid w:val="00530FF2"/>
    <w:rsid w:val="00586B7F"/>
    <w:rsid w:val="005B117D"/>
    <w:rsid w:val="005B4D4E"/>
    <w:rsid w:val="005D091B"/>
    <w:rsid w:val="005D371C"/>
    <w:rsid w:val="00625E40"/>
    <w:rsid w:val="006347A4"/>
    <w:rsid w:val="00646363"/>
    <w:rsid w:val="00657158"/>
    <w:rsid w:val="00692ED5"/>
    <w:rsid w:val="00693E84"/>
    <w:rsid w:val="006C3EF4"/>
    <w:rsid w:val="006E789D"/>
    <w:rsid w:val="006F085C"/>
    <w:rsid w:val="006F4409"/>
    <w:rsid w:val="00702408"/>
    <w:rsid w:val="00730B73"/>
    <w:rsid w:val="00747E7F"/>
    <w:rsid w:val="00795E00"/>
    <w:rsid w:val="007A22C7"/>
    <w:rsid w:val="007A4B95"/>
    <w:rsid w:val="007D742D"/>
    <w:rsid w:val="007F15FB"/>
    <w:rsid w:val="00802BA0"/>
    <w:rsid w:val="00804752"/>
    <w:rsid w:val="00841B9F"/>
    <w:rsid w:val="0086560B"/>
    <w:rsid w:val="00891C56"/>
    <w:rsid w:val="00892DEE"/>
    <w:rsid w:val="008F30A5"/>
    <w:rsid w:val="00923679"/>
    <w:rsid w:val="00934B85"/>
    <w:rsid w:val="00937406"/>
    <w:rsid w:val="009463DA"/>
    <w:rsid w:val="00946BCA"/>
    <w:rsid w:val="00950F8D"/>
    <w:rsid w:val="009C173D"/>
    <w:rsid w:val="009D36AE"/>
    <w:rsid w:val="009D5E30"/>
    <w:rsid w:val="009E3901"/>
    <w:rsid w:val="00A019E2"/>
    <w:rsid w:val="00A0573C"/>
    <w:rsid w:val="00A06D5C"/>
    <w:rsid w:val="00A100D1"/>
    <w:rsid w:val="00A21C31"/>
    <w:rsid w:val="00A264E6"/>
    <w:rsid w:val="00A349C6"/>
    <w:rsid w:val="00A605E3"/>
    <w:rsid w:val="00A76E53"/>
    <w:rsid w:val="00AD4DC3"/>
    <w:rsid w:val="00B35745"/>
    <w:rsid w:val="00B41A1C"/>
    <w:rsid w:val="00B74185"/>
    <w:rsid w:val="00B92251"/>
    <w:rsid w:val="00BA7D27"/>
    <w:rsid w:val="00BE24C5"/>
    <w:rsid w:val="00C2754A"/>
    <w:rsid w:val="00C9115B"/>
    <w:rsid w:val="00CC0846"/>
    <w:rsid w:val="00CD0A74"/>
    <w:rsid w:val="00D03564"/>
    <w:rsid w:val="00D072C3"/>
    <w:rsid w:val="00D174CF"/>
    <w:rsid w:val="00D34E57"/>
    <w:rsid w:val="00D76156"/>
    <w:rsid w:val="00D83F54"/>
    <w:rsid w:val="00D8653D"/>
    <w:rsid w:val="00D86B3D"/>
    <w:rsid w:val="00DB23E1"/>
    <w:rsid w:val="00DC0064"/>
    <w:rsid w:val="00DC0220"/>
    <w:rsid w:val="00DE2E84"/>
    <w:rsid w:val="00DE6800"/>
    <w:rsid w:val="00E22068"/>
    <w:rsid w:val="00E42F8D"/>
    <w:rsid w:val="00E6089B"/>
    <w:rsid w:val="00E67B5F"/>
    <w:rsid w:val="00EB5134"/>
    <w:rsid w:val="00F03E9E"/>
    <w:rsid w:val="00F3110D"/>
    <w:rsid w:val="00F345E5"/>
    <w:rsid w:val="00F40D6F"/>
    <w:rsid w:val="00F9208D"/>
    <w:rsid w:val="00FA1851"/>
    <w:rsid w:val="00FD2E08"/>
    <w:rsid w:val="00FF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56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5E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11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208D"/>
    <w:rPr>
      <w:color w:val="0000FF" w:themeColor="hyperlink"/>
      <w:u w:val="single"/>
    </w:rPr>
  </w:style>
  <w:style w:type="paragraph" w:styleId="Header">
    <w:name w:val="header"/>
    <w:basedOn w:val="Normal"/>
    <w:link w:val="HeaderChar"/>
    <w:uiPriority w:val="99"/>
    <w:unhideWhenUsed/>
    <w:rsid w:val="00152087"/>
    <w:pPr>
      <w:tabs>
        <w:tab w:val="center" w:pos="4680"/>
        <w:tab w:val="right" w:pos="9360"/>
      </w:tabs>
      <w:spacing w:after="0" w:line="240" w:lineRule="auto"/>
    </w:pPr>
    <w:rPr>
      <w:rFonts w:ascii="Times New Roman" w:eastAsia="Times New Roman" w:hAnsi="Times New Roman" w:cs="Times New Roman"/>
      <w:szCs w:val="24"/>
    </w:rPr>
  </w:style>
  <w:style w:type="character" w:customStyle="1" w:styleId="HeaderChar">
    <w:name w:val="Header Char"/>
    <w:basedOn w:val="DefaultParagraphFont"/>
    <w:link w:val="Header"/>
    <w:uiPriority w:val="99"/>
    <w:rsid w:val="00152087"/>
    <w:rPr>
      <w:rFonts w:ascii="Times New Roman" w:eastAsia="Times New Roman" w:hAnsi="Times New Roman" w:cs="Times New Roman"/>
      <w:szCs w:val="24"/>
    </w:rPr>
  </w:style>
  <w:style w:type="paragraph" w:styleId="Footer">
    <w:name w:val="footer"/>
    <w:basedOn w:val="Normal"/>
    <w:link w:val="FooterChar"/>
    <w:uiPriority w:val="99"/>
    <w:unhideWhenUsed/>
    <w:rsid w:val="00152087"/>
    <w:pPr>
      <w:tabs>
        <w:tab w:val="center" w:pos="4680"/>
        <w:tab w:val="right" w:pos="9360"/>
      </w:tabs>
      <w:spacing w:after="0" w:line="240" w:lineRule="auto"/>
    </w:pPr>
    <w:rPr>
      <w:rFonts w:ascii="Times New Roman" w:eastAsia="Times New Roman" w:hAnsi="Times New Roman" w:cs="Times New Roman"/>
      <w:szCs w:val="24"/>
    </w:rPr>
  </w:style>
  <w:style w:type="character" w:customStyle="1" w:styleId="FooterChar">
    <w:name w:val="Footer Char"/>
    <w:basedOn w:val="DefaultParagraphFont"/>
    <w:link w:val="Footer"/>
    <w:uiPriority w:val="99"/>
    <w:rsid w:val="00152087"/>
    <w:rPr>
      <w:rFonts w:ascii="Times New Roman" w:eastAsia="Times New Roman" w:hAnsi="Times New Roman" w:cs="Times New Roman"/>
      <w:szCs w:val="24"/>
    </w:r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
    <w:basedOn w:val="Normal"/>
    <w:link w:val="FootnoteTextChar"/>
    <w:uiPriority w:val="99"/>
    <w:unhideWhenUsed/>
    <w:rsid w:val="00F345E5"/>
    <w:pPr>
      <w:spacing w:after="0" w:line="240" w:lineRule="auto"/>
      <w:jc w:val="both"/>
    </w:pPr>
    <w:rPr>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
    <w:basedOn w:val="DefaultParagraphFont"/>
    <w:link w:val="FootnoteText"/>
    <w:uiPriority w:val="99"/>
    <w:rsid w:val="00F345E5"/>
    <w:rPr>
      <w:sz w:val="20"/>
      <w:szCs w:val="20"/>
    </w:rPr>
  </w:style>
  <w:style w:type="character" w:styleId="FootnoteReference">
    <w:name w:val="footnote reference"/>
    <w:aliases w:val="Style 42,o,fr,(NECG) Footnote Reference,Style 17,Style 20,Style 13,Style 12,o1,fr1,o2,fr2,o3,fr3,Style 15,Style 8,Style 9,Style 18,Style 7,Style 19,Style 28"/>
    <w:basedOn w:val="DefaultParagraphFont"/>
    <w:unhideWhenUsed/>
    <w:rsid w:val="00F345E5"/>
    <w:rPr>
      <w:vertAlign w:val="superscript"/>
    </w:rPr>
  </w:style>
  <w:style w:type="paragraph" w:styleId="ListParagraph">
    <w:name w:val="List Paragraph"/>
    <w:basedOn w:val="Normal"/>
    <w:uiPriority w:val="34"/>
    <w:qFormat/>
    <w:rsid w:val="00F345E5"/>
    <w:pPr>
      <w:spacing w:after="0" w:line="480" w:lineRule="auto"/>
      <w:ind w:left="720"/>
      <w:contextualSpacing/>
      <w:jc w:val="both"/>
    </w:pPr>
  </w:style>
  <w:style w:type="paragraph" w:styleId="NormalWeb">
    <w:name w:val="Normal (Web)"/>
    <w:basedOn w:val="Normal"/>
    <w:uiPriority w:val="99"/>
    <w:unhideWhenUsed/>
    <w:rsid w:val="00F345E5"/>
    <w:pPr>
      <w:spacing w:before="100" w:beforeAutospacing="1" w:after="100" w:afterAutospacing="1" w:line="240" w:lineRule="auto"/>
    </w:pPr>
    <w:rPr>
      <w:rFonts w:ascii="Times New Roman" w:hAnsi="Times New Roman" w:cs="Times New Roman"/>
      <w:szCs w:val="24"/>
    </w:rPr>
  </w:style>
  <w:style w:type="character" w:styleId="CommentReference">
    <w:name w:val="annotation reference"/>
    <w:basedOn w:val="DefaultParagraphFont"/>
    <w:uiPriority w:val="99"/>
    <w:semiHidden/>
    <w:unhideWhenUsed/>
    <w:rsid w:val="00F345E5"/>
    <w:rPr>
      <w:sz w:val="16"/>
      <w:szCs w:val="16"/>
    </w:rPr>
  </w:style>
  <w:style w:type="paragraph" w:styleId="CommentText">
    <w:name w:val="annotation text"/>
    <w:basedOn w:val="Normal"/>
    <w:link w:val="CommentTextChar"/>
    <w:uiPriority w:val="99"/>
    <w:semiHidden/>
    <w:unhideWhenUsed/>
    <w:rsid w:val="00F345E5"/>
    <w:pPr>
      <w:spacing w:after="0" w:line="240" w:lineRule="auto"/>
      <w:jc w:val="both"/>
    </w:pPr>
    <w:rPr>
      <w:sz w:val="20"/>
      <w:szCs w:val="20"/>
    </w:rPr>
  </w:style>
  <w:style w:type="character" w:customStyle="1" w:styleId="CommentTextChar">
    <w:name w:val="Comment Text Char"/>
    <w:basedOn w:val="DefaultParagraphFont"/>
    <w:link w:val="CommentText"/>
    <w:uiPriority w:val="99"/>
    <w:semiHidden/>
    <w:rsid w:val="00F345E5"/>
    <w:rPr>
      <w:sz w:val="20"/>
      <w:szCs w:val="20"/>
    </w:rPr>
  </w:style>
  <w:style w:type="paragraph" w:styleId="BalloonText">
    <w:name w:val="Balloon Text"/>
    <w:basedOn w:val="Normal"/>
    <w:link w:val="BalloonTextChar"/>
    <w:uiPriority w:val="99"/>
    <w:semiHidden/>
    <w:unhideWhenUsed/>
    <w:rsid w:val="00F34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5E5"/>
    <w:rPr>
      <w:rFonts w:ascii="Tahoma" w:hAnsi="Tahoma" w:cs="Tahoma"/>
      <w:sz w:val="16"/>
      <w:szCs w:val="16"/>
    </w:rPr>
  </w:style>
  <w:style w:type="character" w:customStyle="1" w:styleId="Heading1Char">
    <w:name w:val="Heading 1 Char"/>
    <w:basedOn w:val="DefaultParagraphFont"/>
    <w:link w:val="Heading1"/>
    <w:uiPriority w:val="9"/>
    <w:rsid w:val="008656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D5E30"/>
    <w:rPr>
      <w:rFonts w:asciiTheme="majorHAnsi" w:eastAsiaTheme="majorEastAsia" w:hAnsiTheme="majorHAnsi" w:cstheme="majorBidi"/>
      <w:b/>
      <w:bCs/>
      <w:color w:val="4F81BD" w:themeColor="accent1"/>
      <w:sz w:val="26"/>
      <w:szCs w:val="26"/>
    </w:rPr>
  </w:style>
  <w:style w:type="paragraph" w:styleId="CommentSubject">
    <w:name w:val="annotation subject"/>
    <w:basedOn w:val="CommentText"/>
    <w:next w:val="CommentText"/>
    <w:link w:val="CommentSubjectChar"/>
    <w:uiPriority w:val="99"/>
    <w:semiHidden/>
    <w:unhideWhenUsed/>
    <w:rsid w:val="00937406"/>
    <w:pPr>
      <w:spacing w:after="200"/>
      <w:jc w:val="left"/>
    </w:pPr>
    <w:rPr>
      <w:b/>
      <w:bCs/>
    </w:rPr>
  </w:style>
  <w:style w:type="character" w:customStyle="1" w:styleId="CommentSubjectChar">
    <w:name w:val="Comment Subject Char"/>
    <w:basedOn w:val="CommentTextChar"/>
    <w:link w:val="CommentSubject"/>
    <w:uiPriority w:val="99"/>
    <w:semiHidden/>
    <w:rsid w:val="00937406"/>
    <w:rPr>
      <w:b/>
      <w:bCs/>
      <w:sz w:val="20"/>
      <w:szCs w:val="20"/>
    </w:rPr>
  </w:style>
  <w:style w:type="paragraph" w:styleId="TOCHeading">
    <w:name w:val="TOC Heading"/>
    <w:basedOn w:val="Heading1"/>
    <w:next w:val="Normal"/>
    <w:uiPriority w:val="39"/>
    <w:semiHidden/>
    <w:unhideWhenUsed/>
    <w:qFormat/>
    <w:rsid w:val="00730B73"/>
    <w:pPr>
      <w:outlineLvl w:val="9"/>
    </w:pPr>
    <w:rPr>
      <w:lang w:eastAsia="ja-JP"/>
    </w:rPr>
  </w:style>
  <w:style w:type="paragraph" w:styleId="TOC1">
    <w:name w:val="toc 1"/>
    <w:basedOn w:val="Normal"/>
    <w:next w:val="Normal"/>
    <w:autoRedefine/>
    <w:uiPriority w:val="39"/>
    <w:unhideWhenUsed/>
    <w:rsid w:val="00625E40"/>
    <w:pPr>
      <w:tabs>
        <w:tab w:val="left" w:pos="540"/>
        <w:tab w:val="right" w:leader="dot" w:pos="9350"/>
      </w:tabs>
      <w:spacing w:after="100"/>
    </w:pPr>
  </w:style>
  <w:style w:type="paragraph" w:styleId="TOC2">
    <w:name w:val="toc 2"/>
    <w:basedOn w:val="Normal"/>
    <w:next w:val="Normal"/>
    <w:autoRedefine/>
    <w:uiPriority w:val="39"/>
    <w:unhideWhenUsed/>
    <w:rsid w:val="00586B7F"/>
    <w:pPr>
      <w:tabs>
        <w:tab w:val="left" w:pos="880"/>
        <w:tab w:val="right" w:leader="dot" w:pos="9360"/>
      </w:tabs>
      <w:spacing w:after="100"/>
      <w:ind w:left="900" w:right="720" w:hanging="360"/>
    </w:pPr>
  </w:style>
  <w:style w:type="paragraph" w:styleId="PlainText">
    <w:name w:val="Plain Text"/>
    <w:basedOn w:val="Normal"/>
    <w:link w:val="PlainTextChar"/>
    <w:uiPriority w:val="99"/>
    <w:unhideWhenUsed/>
    <w:rsid w:val="001E6E6C"/>
    <w:pPr>
      <w:spacing w:after="0" w:line="240" w:lineRule="auto"/>
    </w:pPr>
    <w:rPr>
      <w:szCs w:val="21"/>
    </w:rPr>
  </w:style>
  <w:style w:type="character" w:customStyle="1" w:styleId="PlainTextChar">
    <w:name w:val="Plain Text Char"/>
    <w:basedOn w:val="DefaultParagraphFont"/>
    <w:link w:val="PlainText"/>
    <w:uiPriority w:val="99"/>
    <w:rsid w:val="001E6E6C"/>
    <w:rPr>
      <w:szCs w:val="21"/>
    </w:rPr>
  </w:style>
  <w:style w:type="character" w:customStyle="1" w:styleId="Heading3Char">
    <w:name w:val="Heading 3 Char"/>
    <w:basedOn w:val="DefaultParagraphFont"/>
    <w:link w:val="Heading3"/>
    <w:uiPriority w:val="9"/>
    <w:rsid w:val="005B117D"/>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586B7F"/>
    <w:pPr>
      <w:tabs>
        <w:tab w:val="left" w:pos="1170"/>
        <w:tab w:val="right" w:leader="dot" w:pos="9360"/>
      </w:tabs>
      <w:spacing w:after="100"/>
      <w:ind w:left="1170" w:right="720" w:hanging="45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56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5E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11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208D"/>
    <w:rPr>
      <w:color w:val="0000FF" w:themeColor="hyperlink"/>
      <w:u w:val="single"/>
    </w:rPr>
  </w:style>
  <w:style w:type="paragraph" w:styleId="Header">
    <w:name w:val="header"/>
    <w:basedOn w:val="Normal"/>
    <w:link w:val="HeaderChar"/>
    <w:uiPriority w:val="99"/>
    <w:unhideWhenUsed/>
    <w:rsid w:val="00152087"/>
    <w:pPr>
      <w:tabs>
        <w:tab w:val="center" w:pos="4680"/>
        <w:tab w:val="right" w:pos="9360"/>
      </w:tabs>
      <w:spacing w:after="0" w:line="240" w:lineRule="auto"/>
    </w:pPr>
    <w:rPr>
      <w:rFonts w:ascii="Times New Roman" w:eastAsia="Times New Roman" w:hAnsi="Times New Roman" w:cs="Times New Roman"/>
      <w:szCs w:val="24"/>
    </w:rPr>
  </w:style>
  <w:style w:type="character" w:customStyle="1" w:styleId="HeaderChar">
    <w:name w:val="Header Char"/>
    <w:basedOn w:val="DefaultParagraphFont"/>
    <w:link w:val="Header"/>
    <w:uiPriority w:val="99"/>
    <w:rsid w:val="00152087"/>
    <w:rPr>
      <w:rFonts w:ascii="Times New Roman" w:eastAsia="Times New Roman" w:hAnsi="Times New Roman" w:cs="Times New Roman"/>
      <w:szCs w:val="24"/>
    </w:rPr>
  </w:style>
  <w:style w:type="paragraph" w:styleId="Footer">
    <w:name w:val="footer"/>
    <w:basedOn w:val="Normal"/>
    <w:link w:val="FooterChar"/>
    <w:uiPriority w:val="99"/>
    <w:unhideWhenUsed/>
    <w:rsid w:val="00152087"/>
    <w:pPr>
      <w:tabs>
        <w:tab w:val="center" w:pos="4680"/>
        <w:tab w:val="right" w:pos="9360"/>
      </w:tabs>
      <w:spacing w:after="0" w:line="240" w:lineRule="auto"/>
    </w:pPr>
    <w:rPr>
      <w:rFonts w:ascii="Times New Roman" w:eastAsia="Times New Roman" w:hAnsi="Times New Roman" w:cs="Times New Roman"/>
      <w:szCs w:val="24"/>
    </w:rPr>
  </w:style>
  <w:style w:type="character" w:customStyle="1" w:styleId="FooterChar">
    <w:name w:val="Footer Char"/>
    <w:basedOn w:val="DefaultParagraphFont"/>
    <w:link w:val="Footer"/>
    <w:uiPriority w:val="99"/>
    <w:rsid w:val="00152087"/>
    <w:rPr>
      <w:rFonts w:ascii="Times New Roman" w:eastAsia="Times New Roman" w:hAnsi="Times New Roman" w:cs="Times New Roman"/>
      <w:szCs w:val="24"/>
    </w:r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
    <w:basedOn w:val="Normal"/>
    <w:link w:val="FootnoteTextChar"/>
    <w:uiPriority w:val="99"/>
    <w:unhideWhenUsed/>
    <w:rsid w:val="00F345E5"/>
    <w:pPr>
      <w:spacing w:after="0" w:line="240" w:lineRule="auto"/>
      <w:jc w:val="both"/>
    </w:pPr>
    <w:rPr>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
    <w:basedOn w:val="DefaultParagraphFont"/>
    <w:link w:val="FootnoteText"/>
    <w:uiPriority w:val="99"/>
    <w:rsid w:val="00F345E5"/>
    <w:rPr>
      <w:sz w:val="20"/>
      <w:szCs w:val="20"/>
    </w:rPr>
  </w:style>
  <w:style w:type="character" w:styleId="FootnoteReference">
    <w:name w:val="footnote reference"/>
    <w:aliases w:val="Style 42,o,fr,(NECG) Footnote Reference,Style 17,Style 20,Style 13,Style 12,o1,fr1,o2,fr2,o3,fr3,Style 15,Style 8,Style 9,Style 18,Style 7,Style 19,Style 28"/>
    <w:basedOn w:val="DefaultParagraphFont"/>
    <w:unhideWhenUsed/>
    <w:rsid w:val="00F345E5"/>
    <w:rPr>
      <w:vertAlign w:val="superscript"/>
    </w:rPr>
  </w:style>
  <w:style w:type="paragraph" w:styleId="ListParagraph">
    <w:name w:val="List Paragraph"/>
    <w:basedOn w:val="Normal"/>
    <w:uiPriority w:val="34"/>
    <w:qFormat/>
    <w:rsid w:val="00F345E5"/>
    <w:pPr>
      <w:spacing w:after="0" w:line="480" w:lineRule="auto"/>
      <w:ind w:left="720"/>
      <w:contextualSpacing/>
      <w:jc w:val="both"/>
    </w:pPr>
  </w:style>
  <w:style w:type="paragraph" w:styleId="NormalWeb">
    <w:name w:val="Normal (Web)"/>
    <w:basedOn w:val="Normal"/>
    <w:uiPriority w:val="99"/>
    <w:unhideWhenUsed/>
    <w:rsid w:val="00F345E5"/>
    <w:pPr>
      <w:spacing w:before="100" w:beforeAutospacing="1" w:after="100" w:afterAutospacing="1" w:line="240" w:lineRule="auto"/>
    </w:pPr>
    <w:rPr>
      <w:rFonts w:ascii="Times New Roman" w:hAnsi="Times New Roman" w:cs="Times New Roman"/>
      <w:szCs w:val="24"/>
    </w:rPr>
  </w:style>
  <w:style w:type="character" w:styleId="CommentReference">
    <w:name w:val="annotation reference"/>
    <w:basedOn w:val="DefaultParagraphFont"/>
    <w:uiPriority w:val="99"/>
    <w:semiHidden/>
    <w:unhideWhenUsed/>
    <w:rsid w:val="00F345E5"/>
    <w:rPr>
      <w:sz w:val="16"/>
      <w:szCs w:val="16"/>
    </w:rPr>
  </w:style>
  <w:style w:type="paragraph" w:styleId="CommentText">
    <w:name w:val="annotation text"/>
    <w:basedOn w:val="Normal"/>
    <w:link w:val="CommentTextChar"/>
    <w:uiPriority w:val="99"/>
    <w:semiHidden/>
    <w:unhideWhenUsed/>
    <w:rsid w:val="00F345E5"/>
    <w:pPr>
      <w:spacing w:after="0" w:line="240" w:lineRule="auto"/>
      <w:jc w:val="both"/>
    </w:pPr>
    <w:rPr>
      <w:sz w:val="20"/>
      <w:szCs w:val="20"/>
    </w:rPr>
  </w:style>
  <w:style w:type="character" w:customStyle="1" w:styleId="CommentTextChar">
    <w:name w:val="Comment Text Char"/>
    <w:basedOn w:val="DefaultParagraphFont"/>
    <w:link w:val="CommentText"/>
    <w:uiPriority w:val="99"/>
    <w:semiHidden/>
    <w:rsid w:val="00F345E5"/>
    <w:rPr>
      <w:sz w:val="20"/>
      <w:szCs w:val="20"/>
    </w:rPr>
  </w:style>
  <w:style w:type="paragraph" w:styleId="BalloonText">
    <w:name w:val="Balloon Text"/>
    <w:basedOn w:val="Normal"/>
    <w:link w:val="BalloonTextChar"/>
    <w:uiPriority w:val="99"/>
    <w:semiHidden/>
    <w:unhideWhenUsed/>
    <w:rsid w:val="00F34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5E5"/>
    <w:rPr>
      <w:rFonts w:ascii="Tahoma" w:hAnsi="Tahoma" w:cs="Tahoma"/>
      <w:sz w:val="16"/>
      <w:szCs w:val="16"/>
    </w:rPr>
  </w:style>
  <w:style w:type="character" w:customStyle="1" w:styleId="Heading1Char">
    <w:name w:val="Heading 1 Char"/>
    <w:basedOn w:val="DefaultParagraphFont"/>
    <w:link w:val="Heading1"/>
    <w:uiPriority w:val="9"/>
    <w:rsid w:val="008656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D5E30"/>
    <w:rPr>
      <w:rFonts w:asciiTheme="majorHAnsi" w:eastAsiaTheme="majorEastAsia" w:hAnsiTheme="majorHAnsi" w:cstheme="majorBidi"/>
      <w:b/>
      <w:bCs/>
      <w:color w:val="4F81BD" w:themeColor="accent1"/>
      <w:sz w:val="26"/>
      <w:szCs w:val="26"/>
    </w:rPr>
  </w:style>
  <w:style w:type="paragraph" w:styleId="CommentSubject">
    <w:name w:val="annotation subject"/>
    <w:basedOn w:val="CommentText"/>
    <w:next w:val="CommentText"/>
    <w:link w:val="CommentSubjectChar"/>
    <w:uiPriority w:val="99"/>
    <w:semiHidden/>
    <w:unhideWhenUsed/>
    <w:rsid w:val="00937406"/>
    <w:pPr>
      <w:spacing w:after="200"/>
      <w:jc w:val="left"/>
    </w:pPr>
    <w:rPr>
      <w:b/>
      <w:bCs/>
    </w:rPr>
  </w:style>
  <w:style w:type="character" w:customStyle="1" w:styleId="CommentSubjectChar">
    <w:name w:val="Comment Subject Char"/>
    <w:basedOn w:val="CommentTextChar"/>
    <w:link w:val="CommentSubject"/>
    <w:uiPriority w:val="99"/>
    <w:semiHidden/>
    <w:rsid w:val="00937406"/>
    <w:rPr>
      <w:b/>
      <w:bCs/>
      <w:sz w:val="20"/>
      <w:szCs w:val="20"/>
    </w:rPr>
  </w:style>
  <w:style w:type="paragraph" w:styleId="TOCHeading">
    <w:name w:val="TOC Heading"/>
    <w:basedOn w:val="Heading1"/>
    <w:next w:val="Normal"/>
    <w:uiPriority w:val="39"/>
    <w:semiHidden/>
    <w:unhideWhenUsed/>
    <w:qFormat/>
    <w:rsid w:val="00730B73"/>
    <w:pPr>
      <w:outlineLvl w:val="9"/>
    </w:pPr>
    <w:rPr>
      <w:lang w:eastAsia="ja-JP"/>
    </w:rPr>
  </w:style>
  <w:style w:type="paragraph" w:styleId="TOC1">
    <w:name w:val="toc 1"/>
    <w:basedOn w:val="Normal"/>
    <w:next w:val="Normal"/>
    <w:autoRedefine/>
    <w:uiPriority w:val="39"/>
    <w:unhideWhenUsed/>
    <w:rsid w:val="00625E40"/>
    <w:pPr>
      <w:tabs>
        <w:tab w:val="left" w:pos="540"/>
        <w:tab w:val="right" w:leader="dot" w:pos="9350"/>
      </w:tabs>
      <w:spacing w:after="100"/>
    </w:pPr>
  </w:style>
  <w:style w:type="paragraph" w:styleId="TOC2">
    <w:name w:val="toc 2"/>
    <w:basedOn w:val="Normal"/>
    <w:next w:val="Normal"/>
    <w:autoRedefine/>
    <w:uiPriority w:val="39"/>
    <w:unhideWhenUsed/>
    <w:rsid w:val="00586B7F"/>
    <w:pPr>
      <w:tabs>
        <w:tab w:val="left" w:pos="880"/>
        <w:tab w:val="right" w:leader="dot" w:pos="9360"/>
      </w:tabs>
      <w:spacing w:after="100"/>
      <w:ind w:left="900" w:right="720" w:hanging="360"/>
    </w:pPr>
  </w:style>
  <w:style w:type="paragraph" w:styleId="PlainText">
    <w:name w:val="Plain Text"/>
    <w:basedOn w:val="Normal"/>
    <w:link w:val="PlainTextChar"/>
    <w:uiPriority w:val="99"/>
    <w:unhideWhenUsed/>
    <w:rsid w:val="001E6E6C"/>
    <w:pPr>
      <w:spacing w:after="0" w:line="240" w:lineRule="auto"/>
    </w:pPr>
    <w:rPr>
      <w:szCs w:val="21"/>
    </w:rPr>
  </w:style>
  <w:style w:type="character" w:customStyle="1" w:styleId="PlainTextChar">
    <w:name w:val="Plain Text Char"/>
    <w:basedOn w:val="DefaultParagraphFont"/>
    <w:link w:val="PlainText"/>
    <w:uiPriority w:val="99"/>
    <w:rsid w:val="001E6E6C"/>
    <w:rPr>
      <w:szCs w:val="21"/>
    </w:rPr>
  </w:style>
  <w:style w:type="character" w:customStyle="1" w:styleId="Heading3Char">
    <w:name w:val="Heading 3 Char"/>
    <w:basedOn w:val="DefaultParagraphFont"/>
    <w:link w:val="Heading3"/>
    <w:uiPriority w:val="9"/>
    <w:rsid w:val="005B117D"/>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586B7F"/>
    <w:pPr>
      <w:tabs>
        <w:tab w:val="left" w:pos="1170"/>
        <w:tab w:val="right" w:leader="dot" w:pos="9360"/>
      </w:tabs>
      <w:spacing w:after="100"/>
      <w:ind w:left="1170" w:right="720" w:hanging="4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364993">
      <w:bodyDiv w:val="1"/>
      <w:marLeft w:val="0"/>
      <w:marRight w:val="0"/>
      <w:marTop w:val="0"/>
      <w:marBottom w:val="0"/>
      <w:divBdr>
        <w:top w:val="none" w:sz="0" w:space="0" w:color="auto"/>
        <w:left w:val="none" w:sz="0" w:space="0" w:color="auto"/>
        <w:bottom w:val="none" w:sz="0" w:space="0" w:color="auto"/>
        <w:right w:val="none" w:sz="0" w:space="0" w:color="auto"/>
      </w:divBdr>
    </w:div>
    <w:div w:id="1735083533">
      <w:bodyDiv w:val="1"/>
      <w:marLeft w:val="0"/>
      <w:marRight w:val="0"/>
      <w:marTop w:val="0"/>
      <w:marBottom w:val="0"/>
      <w:divBdr>
        <w:top w:val="none" w:sz="0" w:space="0" w:color="auto"/>
        <w:left w:val="none" w:sz="0" w:space="0" w:color="auto"/>
        <w:bottom w:val="none" w:sz="0" w:space="0" w:color="auto"/>
        <w:right w:val="none" w:sz="0" w:space="0" w:color="auto"/>
      </w:divBdr>
    </w:div>
    <w:div w:id="212148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tsantarelli@elpc.org"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mailto:mswhite@igsenergy.com" TargetMode="Externa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korenergy@insight.r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0A12E-C85E-4566-A913-DB01BAD55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6343</Words>
  <Characters>36320</Characters>
  <Application>Microsoft Office Word</Application>
  <DocSecurity>0</DocSecurity>
  <PresentationFormat/>
  <Lines>1028</Lines>
  <Paragraphs>503</Paragraphs>
  <ScaleCrop>false</ScaleCrop>
  <HeadingPairs>
    <vt:vector size="2" baseType="variant">
      <vt:variant>
        <vt:lpstr>Title</vt:lpstr>
      </vt:variant>
      <vt:variant>
        <vt:i4>1</vt:i4>
      </vt:variant>
    </vt:vector>
  </HeadingPairs>
  <TitlesOfParts>
    <vt:vector size="1" baseType="lpstr">
      <vt:lpstr>Capacity Charge Case Template 10-2929-EL-UNC (C36829-3).DOCX</vt:lpstr>
    </vt:vector>
  </TitlesOfParts>
  <Company>Some Company, Inc.</Company>
  <LinksUpToDate>false</LinksUpToDate>
  <CharactersWithSpaces>42457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Capacity Charge Case Template 10-2929-EL-UNC (C36829-3).DOCX</dc:title>
  <dc:subject>C36829:3 /font=8</dc:subject>
  <dc:creator>Karen Bowman</dc:creator>
  <cp:lastModifiedBy>Karen Bowman</cp:lastModifiedBy>
  <cp:revision>2</cp:revision>
  <cp:lastPrinted>2012-03-02T18:01:00Z</cp:lastPrinted>
  <dcterms:created xsi:type="dcterms:W3CDTF">2012-03-02T18:06:00Z</dcterms:created>
  <dcterms:modified xsi:type="dcterms:W3CDTF">2012-03-02T18:06:00Z</dcterms:modified>
</cp:coreProperties>
</file>