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3D32A2" w:rsidRPr="005076FB" w:rsidP="003D32A2" w14:paraId="2C0CDF6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4"/>
          <w:szCs w:val="24"/>
        </w:rPr>
      </w:pPr>
      <w:bookmarkStart w:id="0" w:name="_GoBack"/>
      <w:bookmarkEnd w:id="0"/>
      <w:r w:rsidRPr="005076FB">
        <w:rPr>
          <w:rFonts w:ascii="Times New Roman" w:eastAsia="Calibri" w:hAnsi="Times New Roman" w:cs="Times New Roman"/>
          <w:b/>
          <w:bCs/>
          <w:sz w:val="24"/>
          <w:szCs w:val="24"/>
        </w:rPr>
        <w:t>BEFORE</w:t>
      </w:r>
    </w:p>
    <w:p w:rsidR="003D32A2" w:rsidRPr="005076FB" w:rsidP="003D32A2" w14:paraId="04E374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4"/>
          <w:szCs w:val="24"/>
        </w:rPr>
      </w:pPr>
      <w:r w:rsidRPr="005076FB">
        <w:rPr>
          <w:rFonts w:ascii="Times New Roman" w:eastAsia="Calibri" w:hAnsi="Times New Roman" w:cs="Times New Roman"/>
          <w:b/>
          <w:bCs/>
          <w:sz w:val="24"/>
          <w:szCs w:val="24"/>
        </w:rPr>
        <w:t>THE PUBLIC UTILITIES COMMISSION OF OHIO</w:t>
      </w:r>
    </w:p>
    <w:p w:rsidR="003D32A2" w:rsidRPr="005076FB" w:rsidP="003D32A2" w14:paraId="24FEABF2" w14:textId="77777777">
      <w:pPr>
        <w:pStyle w:val="HTMLPreformatted"/>
        <w:rPr>
          <w:rFonts w:ascii="Times New Roman" w:hAnsi="Times New Roman" w:cs="Times New Roman"/>
          <w:sz w:val="24"/>
          <w:szCs w:val="24"/>
        </w:rPr>
      </w:pPr>
    </w:p>
    <w:tbl>
      <w:tblPr>
        <w:tblW w:w="9638" w:type="dxa"/>
        <w:tblLook w:val="01E0"/>
      </w:tblPr>
      <w:tblGrid>
        <w:gridCol w:w="4878"/>
        <w:gridCol w:w="360"/>
        <w:gridCol w:w="4400"/>
      </w:tblGrid>
      <w:tr w14:paraId="1D8C9E38" w14:textId="77777777" w:rsidTr="003249A7">
        <w:tblPrEx>
          <w:tblW w:w="9638" w:type="dxa"/>
          <w:tblLook w:val="01E0"/>
        </w:tblPrEx>
        <w:trPr>
          <w:trHeight w:val="807"/>
        </w:trPr>
        <w:tc>
          <w:tcPr>
            <w:tcW w:w="4878" w:type="dxa"/>
            <w:shd w:val="clear" w:color="auto" w:fill="auto"/>
          </w:tcPr>
          <w:p w:rsidR="003D32A2" w:rsidRPr="005076FB" w:rsidP="003249A7" w14:paraId="591719C3"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In the Matter of the Review of The Ohio Edison Company, The Cleveland Electric Illuminating Company, and The Toledo Edison Company’s Compliance with R.C. 4928.17 and the Ohio Adm. Code Chapter 4901:1-37.</w:t>
            </w:r>
          </w:p>
        </w:tc>
        <w:tc>
          <w:tcPr>
            <w:tcW w:w="360" w:type="dxa"/>
            <w:shd w:val="clear" w:color="auto" w:fill="auto"/>
          </w:tcPr>
          <w:p w:rsidR="003D32A2" w:rsidRPr="005076FB" w:rsidP="003249A7" w14:paraId="6644262E"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w:t>
            </w:r>
          </w:p>
          <w:p w:rsidR="003D32A2" w:rsidRPr="005076FB" w:rsidP="003249A7" w14:paraId="5F799278"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w:t>
            </w:r>
          </w:p>
          <w:p w:rsidR="003D32A2" w:rsidRPr="005076FB" w:rsidP="003249A7" w14:paraId="55F4E4AD"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w:t>
            </w:r>
          </w:p>
          <w:p w:rsidR="003D32A2" w:rsidRPr="005076FB" w:rsidP="003249A7" w14:paraId="2EF5ADF2"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w:t>
            </w:r>
          </w:p>
          <w:p w:rsidR="003D32A2" w:rsidRPr="005076FB" w:rsidP="003249A7" w14:paraId="221EE260"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w:t>
            </w:r>
          </w:p>
        </w:tc>
        <w:tc>
          <w:tcPr>
            <w:tcW w:w="4400" w:type="dxa"/>
            <w:shd w:val="clear" w:color="auto" w:fill="auto"/>
          </w:tcPr>
          <w:p w:rsidR="003D32A2" w:rsidRPr="005076FB" w:rsidP="003249A7" w14:paraId="15DF3EF7" w14:textId="77777777">
            <w:pPr>
              <w:pStyle w:val="HTMLPreformatted"/>
              <w:rPr>
                <w:rFonts w:ascii="Times New Roman" w:hAnsi="Times New Roman" w:cs="Times New Roman"/>
                <w:sz w:val="24"/>
                <w:szCs w:val="24"/>
              </w:rPr>
            </w:pPr>
          </w:p>
          <w:p w:rsidR="003D32A2" w:rsidRPr="005076FB" w:rsidP="003249A7" w14:paraId="307F4526"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Case No. 17-974-EL-UNC</w:t>
            </w:r>
          </w:p>
        </w:tc>
      </w:tr>
    </w:tbl>
    <w:p w:rsidR="003D32A2" w:rsidRPr="005076FB" w:rsidP="003D32A2" w14:paraId="369E94E6" w14:textId="77777777">
      <w:pPr>
        <w:pBdr>
          <w:bottom w:val="single" w:sz="12" w:space="1" w:color="auto"/>
        </w:pBdr>
        <w:autoSpaceDE w:val="0"/>
        <w:autoSpaceDN w:val="0"/>
        <w:adjustRightInd w:val="0"/>
        <w:spacing w:after="0"/>
        <w:rPr>
          <w:rFonts w:ascii="Times New Roman" w:eastAsia="Calibri" w:hAnsi="Times New Roman" w:cs="Times New Roman"/>
          <w:sz w:val="24"/>
          <w:szCs w:val="24"/>
        </w:rPr>
      </w:pPr>
    </w:p>
    <w:p w:rsidR="003D32A2" w:rsidRPr="005076FB" w:rsidP="003D32A2" w14:paraId="7CC30B20" w14:textId="77777777">
      <w:pPr>
        <w:autoSpaceDE w:val="0"/>
        <w:autoSpaceDN w:val="0"/>
        <w:adjustRightInd w:val="0"/>
        <w:spacing w:after="0"/>
        <w:rPr>
          <w:rFonts w:ascii="Times New Roman" w:eastAsia="Calibri" w:hAnsi="Times New Roman" w:cs="Times New Roman"/>
          <w:sz w:val="24"/>
          <w:szCs w:val="24"/>
        </w:rPr>
      </w:pPr>
    </w:p>
    <w:p w:rsidR="003D32A2" w:rsidRPr="005076FB" w:rsidP="00F4165D" w14:paraId="3287917F" w14:textId="26974F5C">
      <w:pPr>
        <w:widowControl w:val="0"/>
        <w:spacing w:after="0"/>
        <w:jc w:val="center"/>
        <w:rPr>
          <w:rFonts w:ascii="Times New Roman" w:hAnsi="Times New Roman" w:cs="Times New Roman"/>
          <w:b/>
          <w:sz w:val="24"/>
          <w:szCs w:val="24"/>
        </w:rPr>
      </w:pPr>
      <w:r w:rsidRPr="005076FB">
        <w:rPr>
          <w:rFonts w:ascii="Times New Roman" w:hAnsi="Times New Roman" w:cs="Times New Roman"/>
          <w:b/>
          <w:sz w:val="24"/>
          <w:szCs w:val="24"/>
        </w:rPr>
        <w:t xml:space="preserve">APPLICATION FOR REHEARING </w:t>
      </w:r>
      <w:r w:rsidRPr="005076FB" w:rsidR="00F4165D">
        <w:rPr>
          <w:rFonts w:ascii="Times New Roman" w:hAnsi="Times New Roman" w:cs="Times New Roman"/>
          <w:b/>
          <w:sz w:val="24"/>
          <w:szCs w:val="24"/>
        </w:rPr>
        <w:t xml:space="preserve">RELATED TO </w:t>
      </w:r>
      <w:r w:rsidRPr="005076FB" w:rsidR="00134847">
        <w:rPr>
          <w:rFonts w:ascii="Times New Roman" w:hAnsi="Times New Roman" w:cs="Times New Roman"/>
          <w:b/>
          <w:sz w:val="24"/>
          <w:szCs w:val="24"/>
        </w:rPr>
        <w:t>FIRSTENERGY’S H</w:t>
      </w:r>
      <w:r w:rsidRPr="005076FB" w:rsidR="00F4165D">
        <w:rPr>
          <w:rFonts w:ascii="Times New Roman" w:hAnsi="Times New Roman" w:cs="Times New Roman"/>
          <w:b/>
          <w:sz w:val="24"/>
          <w:szCs w:val="24"/>
        </w:rPr>
        <w:t>OUSE BILL</w:t>
      </w:r>
      <w:r w:rsidRPr="005076FB" w:rsidR="00134847">
        <w:rPr>
          <w:rFonts w:ascii="Times New Roman" w:hAnsi="Times New Roman" w:cs="Times New Roman"/>
          <w:b/>
          <w:sz w:val="24"/>
          <w:szCs w:val="24"/>
        </w:rPr>
        <w:t xml:space="preserve"> 6 ACTIVITIES</w:t>
      </w:r>
      <w:r w:rsidRPr="005076FB" w:rsidR="00F4165D">
        <w:rPr>
          <w:rFonts w:ascii="Times New Roman" w:hAnsi="Times New Roman" w:cs="Times New Roman"/>
          <w:b/>
          <w:sz w:val="24"/>
          <w:szCs w:val="24"/>
        </w:rPr>
        <w:t xml:space="preserve"> AND OTHER MATTERS</w:t>
      </w:r>
    </w:p>
    <w:p w:rsidR="003D32A2" w:rsidRPr="005076FB" w:rsidP="003D32A2" w14:paraId="15E57188" w14:textId="77777777">
      <w:pPr>
        <w:widowControl w:val="0"/>
        <w:spacing w:after="0"/>
        <w:jc w:val="center"/>
        <w:rPr>
          <w:rFonts w:ascii="Times New Roman" w:hAnsi="Times New Roman" w:cs="Times New Roman"/>
          <w:b/>
          <w:sz w:val="24"/>
          <w:szCs w:val="24"/>
        </w:rPr>
      </w:pPr>
      <w:r w:rsidRPr="005076FB">
        <w:rPr>
          <w:rFonts w:ascii="Times New Roman" w:hAnsi="Times New Roman" w:cs="Times New Roman"/>
          <w:b/>
          <w:sz w:val="24"/>
          <w:szCs w:val="24"/>
        </w:rPr>
        <w:t>BY</w:t>
      </w:r>
    </w:p>
    <w:p w:rsidR="003D32A2" w:rsidRPr="005076FB" w:rsidP="003D32A2" w14:paraId="1E413152" w14:textId="77777777">
      <w:pPr>
        <w:spacing w:after="0"/>
        <w:jc w:val="center"/>
        <w:rPr>
          <w:rFonts w:ascii="Times New Roman" w:hAnsi="Times New Roman" w:cs="Times New Roman"/>
          <w:b/>
          <w:sz w:val="24"/>
          <w:szCs w:val="24"/>
        </w:rPr>
      </w:pPr>
      <w:r w:rsidRPr="005076FB">
        <w:rPr>
          <w:rFonts w:ascii="Times New Roman" w:hAnsi="Times New Roman" w:cs="Times New Roman"/>
          <w:b/>
          <w:sz w:val="24"/>
          <w:szCs w:val="24"/>
        </w:rPr>
        <w:t>OFFICE OF THE OHIO CONSUMERS’ COUNSEL</w:t>
      </w:r>
    </w:p>
    <w:p w:rsidR="003D32A2" w:rsidRPr="005076FB" w:rsidP="003D32A2" w14:paraId="460DD222" w14:textId="77777777">
      <w:pPr>
        <w:pBdr>
          <w:bottom w:val="single" w:sz="12" w:space="1" w:color="auto"/>
        </w:pBdr>
        <w:autoSpaceDE w:val="0"/>
        <w:autoSpaceDN w:val="0"/>
        <w:adjustRightInd w:val="0"/>
        <w:spacing w:after="0"/>
        <w:jc w:val="center"/>
        <w:rPr>
          <w:rFonts w:ascii="Times New Roman" w:eastAsia="Calibri" w:hAnsi="Times New Roman" w:cs="Times New Roman"/>
          <w:b/>
          <w:bCs/>
          <w:sz w:val="24"/>
          <w:szCs w:val="24"/>
        </w:rPr>
      </w:pPr>
    </w:p>
    <w:p w:rsidR="003D32A2" w:rsidRPr="005076FB" w:rsidP="003D32A2" w14:paraId="1B4336CC" w14:textId="77777777">
      <w:pPr>
        <w:pStyle w:val="Heading1"/>
        <w:rPr>
          <w:rFonts w:ascii="Times New Roman" w:hAnsi="Times New Roman"/>
        </w:rPr>
      </w:pPr>
    </w:p>
    <w:p w:rsidR="003D32A2" w:rsidRPr="005076FB" w:rsidP="00152A74" w14:paraId="4D63FEE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4"/>
          <w:szCs w:val="24"/>
        </w:rPr>
      </w:pPr>
    </w:p>
    <w:p w:rsidR="003D32A2" w:rsidRPr="005076FB" w:rsidP="00152A74" w14:paraId="1E0F39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4"/>
          <w:szCs w:val="24"/>
        </w:rPr>
      </w:pPr>
    </w:p>
    <w:p w:rsidR="003D32A2" w:rsidRPr="005076FB" w:rsidP="00152A74" w14:paraId="37AB5D8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4"/>
          <w:szCs w:val="24"/>
        </w:rPr>
      </w:pPr>
    </w:p>
    <w:p w:rsidR="003D32A2" w:rsidRPr="005076FB" w:rsidP="00152A74" w14:paraId="0219CB5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4"/>
          <w:szCs w:val="24"/>
        </w:rPr>
      </w:pPr>
    </w:p>
    <w:p w:rsidR="003D32A2" w:rsidRPr="005076FB" w:rsidP="00152A74" w14:paraId="414ACA7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4"/>
          <w:szCs w:val="24"/>
        </w:rPr>
      </w:pPr>
    </w:p>
    <w:p w:rsidR="003D32A2" w:rsidRPr="005076FB" w:rsidP="00152A74" w14:paraId="40F35C7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4"/>
          <w:szCs w:val="24"/>
        </w:rPr>
      </w:pPr>
    </w:p>
    <w:p w:rsidR="003D32A2" w:rsidRPr="005076FB" w:rsidP="003D32A2" w14:paraId="532FEC45" w14:textId="6158D674">
      <w:pPr>
        <w:pStyle w:val="Footer"/>
        <w:tabs>
          <w:tab w:val="left" w:pos="4320"/>
        </w:tabs>
        <w:rPr>
          <w:rFonts w:ascii="Times New Roman" w:hAnsi="Times New Roman" w:cs="Times New Roman"/>
          <w:sz w:val="24"/>
          <w:szCs w:val="24"/>
        </w:rPr>
      </w:pPr>
      <w:r w:rsidRPr="005076FB">
        <w:rPr>
          <w:rFonts w:ascii="Times New Roman" w:hAnsi="Times New Roman" w:cs="Times New Roman"/>
          <w:sz w:val="24"/>
          <w:szCs w:val="24"/>
        </w:rPr>
        <w:tab/>
        <w:t>Bruce Weston (#0016973)</w:t>
      </w:r>
    </w:p>
    <w:p w:rsidR="003D32A2" w:rsidRPr="005076FB" w:rsidP="003D32A2" w14:paraId="7087EA21"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t>Ohio Consumers’ Counsel</w:t>
      </w:r>
    </w:p>
    <w:p w:rsidR="003D32A2" w:rsidRPr="005076FB" w:rsidP="003D32A2" w14:paraId="292DF6BD"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r>
    </w:p>
    <w:p w:rsidR="003D32A2" w:rsidRPr="005076FB" w:rsidP="003D32A2" w14:paraId="631D647F" w14:textId="140493E0">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t>Maureen R. Willis, Senior Counsel</w:t>
      </w:r>
    </w:p>
    <w:p w:rsidR="003D32A2" w:rsidRPr="005076FB" w:rsidP="003D32A2" w14:paraId="79A55957"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t>Counsel of Record  (#0020847)</w:t>
      </w:r>
    </w:p>
    <w:p w:rsidR="003D32A2" w:rsidRPr="005076FB" w:rsidP="003D32A2" w14:paraId="57614C73"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t>Angela D. O’Brien (#0097579)</w:t>
      </w:r>
    </w:p>
    <w:p w:rsidR="003D32A2" w:rsidRPr="005076FB" w:rsidP="003D32A2" w14:paraId="4ABEBCB5"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t>Assistant Consumers’ Counsel</w:t>
      </w:r>
    </w:p>
    <w:p w:rsidR="003D32A2" w:rsidRPr="005076FB" w:rsidP="003D32A2" w14:paraId="125A38EF" w14:textId="77777777">
      <w:pPr>
        <w:spacing w:after="0"/>
        <w:rPr>
          <w:rFonts w:ascii="Times New Roman" w:hAnsi="Times New Roman" w:cs="Times New Roman"/>
          <w:sz w:val="24"/>
          <w:szCs w:val="24"/>
        </w:rPr>
      </w:pPr>
      <w:r w:rsidRPr="005076FB">
        <w:rPr>
          <w:rFonts w:ascii="Times New Roman" w:hAnsi="Times New Roman" w:cs="Times New Roman"/>
          <w:sz w:val="24"/>
          <w:szCs w:val="24"/>
        </w:rPr>
        <w:tab/>
      </w:r>
    </w:p>
    <w:p w:rsidR="003D32A2" w:rsidRPr="005076FB" w:rsidP="003D32A2" w14:paraId="2A46DFC0" w14:textId="77777777">
      <w:pPr>
        <w:spacing w:after="0"/>
        <w:ind w:left="4320"/>
        <w:rPr>
          <w:rFonts w:ascii="Times New Roman" w:hAnsi="Times New Roman" w:cs="Times New Roman"/>
          <w:b/>
          <w:bCs/>
          <w:sz w:val="24"/>
          <w:szCs w:val="24"/>
        </w:rPr>
      </w:pPr>
      <w:r w:rsidRPr="005076FB">
        <w:rPr>
          <w:rFonts w:ascii="Times New Roman" w:hAnsi="Times New Roman" w:cs="Times New Roman"/>
          <w:b/>
          <w:bCs/>
          <w:sz w:val="24"/>
          <w:szCs w:val="24"/>
        </w:rPr>
        <w:t>Office of the Ohio Consumers’ Counsel</w:t>
      </w:r>
    </w:p>
    <w:p w:rsidR="003D32A2" w:rsidRPr="005076FB" w:rsidP="003D32A2" w14:paraId="7C0281B1" w14:textId="77777777">
      <w:pPr>
        <w:spacing w:after="0"/>
        <w:ind w:left="4320"/>
        <w:rPr>
          <w:rFonts w:ascii="Times New Roman" w:hAnsi="Times New Roman" w:cs="Times New Roman"/>
          <w:bCs/>
          <w:sz w:val="24"/>
          <w:szCs w:val="24"/>
        </w:rPr>
      </w:pPr>
      <w:r w:rsidRPr="005076FB">
        <w:rPr>
          <w:rFonts w:ascii="Times New Roman" w:hAnsi="Times New Roman" w:cs="Times New Roman"/>
          <w:bCs/>
          <w:sz w:val="24"/>
          <w:szCs w:val="24"/>
        </w:rPr>
        <w:t>65 East State Street, 7</w:t>
      </w:r>
      <w:r w:rsidRPr="005076FB">
        <w:rPr>
          <w:rFonts w:ascii="Times New Roman" w:hAnsi="Times New Roman" w:cs="Times New Roman"/>
          <w:bCs/>
          <w:sz w:val="24"/>
          <w:szCs w:val="24"/>
          <w:vertAlign w:val="superscript"/>
        </w:rPr>
        <w:t>th</w:t>
      </w:r>
      <w:r w:rsidRPr="005076FB">
        <w:rPr>
          <w:rFonts w:ascii="Times New Roman" w:hAnsi="Times New Roman" w:cs="Times New Roman"/>
          <w:bCs/>
          <w:sz w:val="24"/>
          <w:szCs w:val="24"/>
        </w:rPr>
        <w:t xml:space="preserve"> Floor</w:t>
      </w:r>
    </w:p>
    <w:p w:rsidR="003D32A2" w:rsidRPr="005076FB" w:rsidP="003D32A2" w14:paraId="0736654E" w14:textId="77777777">
      <w:pPr>
        <w:spacing w:after="0"/>
        <w:rPr>
          <w:rFonts w:ascii="Times New Roman" w:hAnsi="Times New Roman" w:cs="Times New Roman"/>
          <w:bCs/>
          <w:sz w:val="24"/>
          <w:szCs w:val="24"/>
        </w:rPr>
      </w:pP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bCs/>
          <w:sz w:val="24"/>
          <w:szCs w:val="24"/>
        </w:rPr>
        <w:t>Columbus, Ohio 43215</w:t>
      </w:r>
    </w:p>
    <w:p w:rsidR="003D32A2" w:rsidRPr="005076FB" w:rsidP="003D32A2" w14:paraId="4CD91A81" w14:textId="77777777">
      <w:pPr>
        <w:autoSpaceDE w:val="0"/>
        <w:autoSpaceDN w:val="0"/>
        <w:adjustRightInd w:val="0"/>
        <w:spacing w:after="0"/>
        <w:ind w:left="3600" w:firstLine="720"/>
        <w:rPr>
          <w:rFonts w:ascii="Times New Roman" w:hAnsi="Times New Roman" w:cs="Times New Roman"/>
          <w:sz w:val="24"/>
          <w:szCs w:val="24"/>
        </w:rPr>
      </w:pPr>
      <w:r w:rsidRPr="005076FB">
        <w:rPr>
          <w:rFonts w:ascii="Times New Roman" w:hAnsi="Times New Roman" w:cs="Times New Roman"/>
          <w:sz w:val="24"/>
          <w:szCs w:val="24"/>
        </w:rPr>
        <w:t xml:space="preserve">Telephone: (614) 466-9567 (Willis) </w:t>
      </w:r>
    </w:p>
    <w:p w:rsidR="003D32A2" w:rsidRPr="005076FB" w:rsidP="003D32A2" w14:paraId="3FDAB768" w14:textId="77777777">
      <w:pPr>
        <w:autoSpaceDE w:val="0"/>
        <w:autoSpaceDN w:val="0"/>
        <w:adjustRightInd w:val="0"/>
        <w:spacing w:after="0"/>
        <w:ind w:left="3600" w:firstLine="720"/>
        <w:rPr>
          <w:rFonts w:ascii="Times New Roman" w:hAnsi="Times New Roman" w:cs="Times New Roman"/>
          <w:sz w:val="24"/>
          <w:szCs w:val="24"/>
        </w:rPr>
      </w:pPr>
      <w:r w:rsidRPr="005076FB">
        <w:rPr>
          <w:rFonts w:ascii="Times New Roman" w:hAnsi="Times New Roman" w:cs="Times New Roman"/>
          <w:sz w:val="24"/>
          <w:szCs w:val="24"/>
        </w:rPr>
        <w:t xml:space="preserve">Telephone: (614) 466-9531 (O’Brien) </w:t>
      </w:r>
    </w:p>
    <w:p w:rsidR="003D32A2" w:rsidRPr="005076FB" w:rsidP="003D32A2" w14:paraId="44BAE3E0" w14:textId="77777777">
      <w:pPr>
        <w:autoSpaceDE w:val="0"/>
        <w:autoSpaceDN w:val="0"/>
        <w:adjustRightInd w:val="0"/>
        <w:spacing w:after="0"/>
        <w:ind w:left="3600" w:firstLine="720"/>
        <w:rPr>
          <w:rFonts w:ascii="Times New Roman" w:hAnsi="Times New Roman" w:cs="Times New Roman"/>
          <w:sz w:val="24"/>
          <w:szCs w:val="24"/>
        </w:rPr>
      </w:pPr>
      <w:hyperlink r:id="rId6" w:history="1">
        <w:r w:rsidRPr="005076FB" w:rsidR="00E52500">
          <w:rPr>
            <w:rStyle w:val="Hyperlink"/>
            <w:rFonts w:ascii="Times New Roman" w:hAnsi="Times New Roman" w:cs="Times New Roman"/>
            <w:sz w:val="24"/>
            <w:szCs w:val="24"/>
          </w:rPr>
          <w:t>Maureen.willis@occ.ohio.gov</w:t>
        </w:r>
      </w:hyperlink>
    </w:p>
    <w:p w:rsidR="003D32A2" w:rsidRPr="005076FB" w:rsidP="003D32A2" w14:paraId="50C4F312" w14:textId="77777777">
      <w:pPr>
        <w:autoSpaceDE w:val="0"/>
        <w:autoSpaceDN w:val="0"/>
        <w:adjustRightInd w:val="0"/>
        <w:spacing w:after="0"/>
        <w:ind w:left="3600" w:firstLine="720"/>
        <w:rPr>
          <w:rFonts w:ascii="Times New Roman" w:hAnsi="Times New Roman" w:cs="Times New Roman"/>
          <w:sz w:val="24"/>
          <w:szCs w:val="24"/>
        </w:rPr>
      </w:pPr>
      <w:hyperlink r:id="rId7" w:history="1">
        <w:r w:rsidRPr="005076FB" w:rsidR="00E52500">
          <w:rPr>
            <w:rStyle w:val="Hyperlink"/>
            <w:rFonts w:ascii="Times New Roman" w:hAnsi="Times New Roman" w:cs="Times New Roman"/>
            <w:sz w:val="24"/>
            <w:szCs w:val="24"/>
          </w:rPr>
          <w:t>Angela.obrien@occ.ohio.gov</w:t>
        </w:r>
      </w:hyperlink>
    </w:p>
    <w:p w:rsidR="003D32A2" w:rsidRPr="005076FB" w:rsidP="003D32A2" w14:paraId="2EADEC8E" w14:textId="37485D8C">
      <w:pPr>
        <w:autoSpaceDE w:val="0"/>
        <w:autoSpaceDN w:val="0"/>
        <w:adjustRightInd w:val="0"/>
        <w:spacing w:after="0"/>
        <w:rPr>
          <w:rFonts w:ascii="Times New Roman" w:hAnsi="Times New Roman" w:cs="Times New Roman"/>
          <w:sz w:val="24"/>
          <w:szCs w:val="24"/>
        </w:rPr>
      </w:pPr>
      <w:r w:rsidRPr="005076FB">
        <w:rPr>
          <w:rFonts w:ascii="Times New Roman" w:hAnsi="Times New Roman" w:cs="Times New Roman"/>
          <w:sz w:val="24"/>
          <w:szCs w:val="24"/>
        </w:rPr>
        <w:t xml:space="preserve">December </w:t>
      </w:r>
      <w:r w:rsidRPr="005076FB" w:rsidR="009E00F7">
        <w:rPr>
          <w:rFonts w:ascii="Times New Roman" w:hAnsi="Times New Roman" w:cs="Times New Roman"/>
          <w:sz w:val="24"/>
          <w:szCs w:val="24"/>
        </w:rPr>
        <w:t>4</w:t>
      </w:r>
      <w:r w:rsidRPr="005076FB">
        <w:rPr>
          <w:rFonts w:ascii="Times New Roman" w:hAnsi="Times New Roman" w:cs="Times New Roman"/>
          <w:sz w:val="24"/>
          <w:szCs w:val="24"/>
        </w:rPr>
        <w:t>,  2020</w:t>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t>(willing to accept service by e-mail)</w:t>
      </w:r>
    </w:p>
    <w:p w:rsidR="003D32A2" w:rsidRPr="005076FB" w:rsidP="00152A74" w14:paraId="16626A6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4"/>
          <w:szCs w:val="24"/>
        </w:rPr>
      </w:pPr>
    </w:p>
    <w:p w:rsidR="003D32A2" w:rsidRPr="005076FB" w:rsidP="00152A74" w14:paraId="19673C5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4"/>
          <w:szCs w:val="24"/>
        </w:rPr>
      </w:pPr>
    </w:p>
    <w:p w:rsidR="003D32A2" w:rsidRPr="005076FB" w:rsidP="00152A74" w14:paraId="0CD271F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4"/>
          <w:szCs w:val="24"/>
        </w:rPr>
        <w:sectPr w:rsidSect="007E32B9">
          <w:footerReference w:type="default" r:id="rId8"/>
          <w:pgSz w:w="12240" w:h="15840"/>
          <w:pgMar w:top="1440" w:right="1800" w:bottom="1440" w:left="1800" w:header="720" w:footer="720" w:gutter="0"/>
          <w:cols w:space="720"/>
          <w:docGrid w:linePitch="360"/>
        </w:sectPr>
      </w:pPr>
    </w:p>
    <w:p w:rsidR="00152A74" w:rsidRPr="005076FB" w:rsidP="00152A74" w14:paraId="10AF7151" w14:textId="1D4AF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4"/>
          <w:szCs w:val="24"/>
        </w:rPr>
      </w:pPr>
      <w:r w:rsidRPr="005076FB">
        <w:rPr>
          <w:rFonts w:ascii="Times New Roman" w:eastAsia="Calibri" w:hAnsi="Times New Roman" w:cs="Times New Roman"/>
          <w:b/>
          <w:bCs/>
          <w:sz w:val="24"/>
          <w:szCs w:val="24"/>
        </w:rPr>
        <w:t>BEFORE</w:t>
      </w:r>
    </w:p>
    <w:p w:rsidR="00AD677D" w:rsidRPr="005076FB" w:rsidP="00152A74" w14:paraId="67B71915" w14:textId="3DF1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4"/>
          <w:szCs w:val="24"/>
        </w:rPr>
      </w:pPr>
      <w:r w:rsidRPr="005076FB">
        <w:rPr>
          <w:rFonts w:ascii="Times New Roman" w:eastAsia="Calibri" w:hAnsi="Times New Roman" w:cs="Times New Roman"/>
          <w:b/>
          <w:bCs/>
          <w:sz w:val="24"/>
          <w:szCs w:val="24"/>
        </w:rPr>
        <w:t>THE PUBLIC UTILITIES COMMISSION OF OHIO</w:t>
      </w:r>
    </w:p>
    <w:p w:rsidR="00FE0028" w:rsidRPr="005076FB" w:rsidP="00FE0028" w14:paraId="3EDB4CD7" w14:textId="77777777">
      <w:pPr>
        <w:pStyle w:val="HTMLPreformatted"/>
        <w:rPr>
          <w:rFonts w:ascii="Times New Roman" w:hAnsi="Times New Roman" w:cs="Times New Roman"/>
          <w:sz w:val="24"/>
          <w:szCs w:val="24"/>
        </w:rPr>
      </w:pPr>
    </w:p>
    <w:tbl>
      <w:tblPr>
        <w:tblW w:w="9638" w:type="dxa"/>
        <w:tblLook w:val="01E0"/>
      </w:tblPr>
      <w:tblGrid>
        <w:gridCol w:w="4878"/>
        <w:gridCol w:w="360"/>
        <w:gridCol w:w="4400"/>
      </w:tblGrid>
      <w:tr w14:paraId="4C7B2230" w14:textId="77777777" w:rsidTr="004C6B06">
        <w:tblPrEx>
          <w:tblW w:w="9638" w:type="dxa"/>
          <w:tblLook w:val="01E0"/>
        </w:tblPrEx>
        <w:trPr>
          <w:trHeight w:val="807"/>
        </w:trPr>
        <w:tc>
          <w:tcPr>
            <w:tcW w:w="4878" w:type="dxa"/>
            <w:shd w:val="clear" w:color="auto" w:fill="auto"/>
          </w:tcPr>
          <w:p w:rsidR="00FE0028" w:rsidRPr="005076FB" w:rsidP="004C6B06" w14:paraId="7E1FA4F3"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In the Matter of the Review of The Ohio Edison Company, The Cleveland Electric Illuminating Company, and The Toledo Edison Company’s Compliance with R.C. 4928.17 and the Ohio Adm. Code Chapter 4901:1-37.</w:t>
            </w:r>
          </w:p>
        </w:tc>
        <w:tc>
          <w:tcPr>
            <w:tcW w:w="360" w:type="dxa"/>
            <w:shd w:val="clear" w:color="auto" w:fill="auto"/>
          </w:tcPr>
          <w:p w:rsidR="00FE0028" w:rsidRPr="005076FB" w:rsidP="004C6B06" w14:paraId="1F07FE1B"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w:t>
            </w:r>
          </w:p>
          <w:p w:rsidR="00FE0028" w:rsidRPr="005076FB" w:rsidP="004C6B06" w14:paraId="10AC2728"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w:t>
            </w:r>
          </w:p>
          <w:p w:rsidR="00FE0028" w:rsidRPr="005076FB" w:rsidP="004C6B06" w14:paraId="3766D8BD"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w:t>
            </w:r>
          </w:p>
          <w:p w:rsidR="00FE0028" w:rsidRPr="005076FB" w:rsidP="004C6B06" w14:paraId="7F958EC4"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w:t>
            </w:r>
          </w:p>
          <w:p w:rsidR="00FE0028" w:rsidRPr="005076FB" w:rsidP="004C6B06" w14:paraId="2792F9AE"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w:t>
            </w:r>
          </w:p>
        </w:tc>
        <w:tc>
          <w:tcPr>
            <w:tcW w:w="4400" w:type="dxa"/>
            <w:shd w:val="clear" w:color="auto" w:fill="auto"/>
          </w:tcPr>
          <w:p w:rsidR="00FE0028" w:rsidRPr="005076FB" w:rsidP="004C6B06" w14:paraId="4C814115" w14:textId="77777777">
            <w:pPr>
              <w:pStyle w:val="HTMLPreformatted"/>
              <w:rPr>
                <w:rFonts w:ascii="Times New Roman" w:hAnsi="Times New Roman" w:cs="Times New Roman"/>
                <w:sz w:val="24"/>
                <w:szCs w:val="24"/>
              </w:rPr>
            </w:pPr>
          </w:p>
          <w:p w:rsidR="00FE0028" w:rsidRPr="005076FB" w:rsidP="004C6B06" w14:paraId="15AA974D"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Case No. 17-974-EL-UNC</w:t>
            </w:r>
          </w:p>
        </w:tc>
      </w:tr>
    </w:tbl>
    <w:p w:rsidR="00152A74" w:rsidRPr="005076FB" w:rsidP="00152A74" w14:paraId="6724AE52" w14:textId="77777777">
      <w:pPr>
        <w:pBdr>
          <w:bottom w:val="single" w:sz="12" w:space="1" w:color="auto"/>
        </w:pBdr>
        <w:autoSpaceDE w:val="0"/>
        <w:autoSpaceDN w:val="0"/>
        <w:adjustRightInd w:val="0"/>
        <w:spacing w:after="0"/>
        <w:rPr>
          <w:rFonts w:ascii="Times New Roman" w:eastAsia="Calibri" w:hAnsi="Times New Roman" w:cs="Times New Roman"/>
          <w:sz w:val="24"/>
          <w:szCs w:val="24"/>
        </w:rPr>
      </w:pPr>
    </w:p>
    <w:p w:rsidR="00152A74" w:rsidRPr="005076FB" w:rsidP="00152A74" w14:paraId="05405E47" w14:textId="77777777">
      <w:pPr>
        <w:autoSpaceDE w:val="0"/>
        <w:autoSpaceDN w:val="0"/>
        <w:adjustRightInd w:val="0"/>
        <w:spacing w:after="0"/>
        <w:rPr>
          <w:rFonts w:ascii="Times New Roman" w:eastAsia="Calibri" w:hAnsi="Times New Roman" w:cs="Times New Roman"/>
          <w:sz w:val="24"/>
          <w:szCs w:val="24"/>
        </w:rPr>
      </w:pPr>
    </w:p>
    <w:p w:rsidR="00F928F3" w:rsidRPr="005076FB" w:rsidP="00F928F3" w14:paraId="487D4733" w14:textId="77777777">
      <w:pPr>
        <w:widowControl w:val="0"/>
        <w:spacing w:after="0"/>
        <w:jc w:val="center"/>
        <w:rPr>
          <w:rFonts w:ascii="Times New Roman" w:hAnsi="Times New Roman" w:cs="Times New Roman"/>
          <w:b/>
          <w:sz w:val="24"/>
          <w:szCs w:val="24"/>
        </w:rPr>
      </w:pPr>
      <w:r w:rsidRPr="005076FB">
        <w:rPr>
          <w:rFonts w:ascii="Times New Roman" w:hAnsi="Times New Roman" w:cs="Times New Roman"/>
          <w:b/>
          <w:sz w:val="24"/>
          <w:szCs w:val="24"/>
        </w:rPr>
        <w:t>APPLICATION FOR REHEARING RELATED TO FIRSTENERGY’S HOUSE BILL 6 ACTIVITIES AND OTHER MATTERS</w:t>
      </w:r>
    </w:p>
    <w:p w:rsidR="00F928F3" w:rsidRPr="005076FB" w:rsidP="00F928F3" w14:paraId="0921415A" w14:textId="77777777">
      <w:pPr>
        <w:widowControl w:val="0"/>
        <w:spacing w:after="0"/>
        <w:jc w:val="center"/>
        <w:rPr>
          <w:rFonts w:ascii="Times New Roman" w:hAnsi="Times New Roman" w:cs="Times New Roman"/>
          <w:b/>
          <w:sz w:val="24"/>
          <w:szCs w:val="24"/>
        </w:rPr>
      </w:pPr>
      <w:r w:rsidRPr="005076FB">
        <w:rPr>
          <w:rFonts w:ascii="Times New Roman" w:hAnsi="Times New Roman" w:cs="Times New Roman"/>
          <w:b/>
          <w:sz w:val="24"/>
          <w:szCs w:val="24"/>
        </w:rPr>
        <w:t>BY</w:t>
      </w:r>
    </w:p>
    <w:p w:rsidR="00F928F3" w:rsidRPr="005076FB" w:rsidP="00F928F3" w14:paraId="5BD4DAA8" w14:textId="77777777">
      <w:pPr>
        <w:spacing w:after="0"/>
        <w:jc w:val="center"/>
        <w:rPr>
          <w:rFonts w:ascii="Times New Roman" w:hAnsi="Times New Roman" w:cs="Times New Roman"/>
          <w:b/>
          <w:sz w:val="24"/>
          <w:szCs w:val="24"/>
        </w:rPr>
      </w:pPr>
      <w:r w:rsidRPr="005076FB">
        <w:rPr>
          <w:rFonts w:ascii="Times New Roman" w:hAnsi="Times New Roman" w:cs="Times New Roman"/>
          <w:b/>
          <w:sz w:val="24"/>
          <w:szCs w:val="24"/>
        </w:rPr>
        <w:t>OFFICE OF THE OHIO CONSUMERS’ COUNSEL</w:t>
      </w:r>
    </w:p>
    <w:p w:rsidR="00152A74" w:rsidRPr="005076FB" w:rsidP="007633FA" w14:paraId="6EA33050" w14:textId="77777777">
      <w:pPr>
        <w:pBdr>
          <w:bottom w:val="single" w:sz="12" w:space="1" w:color="auto"/>
        </w:pBdr>
        <w:autoSpaceDE w:val="0"/>
        <w:autoSpaceDN w:val="0"/>
        <w:adjustRightInd w:val="0"/>
        <w:spacing w:after="0"/>
        <w:jc w:val="center"/>
        <w:rPr>
          <w:rFonts w:ascii="Times New Roman" w:eastAsia="Calibri" w:hAnsi="Times New Roman" w:cs="Times New Roman"/>
          <w:b/>
          <w:bCs/>
          <w:sz w:val="24"/>
          <w:szCs w:val="24"/>
        </w:rPr>
      </w:pPr>
    </w:p>
    <w:p w:rsidR="00391F0E" w:rsidRPr="005076FB" w:rsidP="003D32A2" w14:paraId="05816B05" w14:textId="77777777">
      <w:pPr>
        <w:pStyle w:val="Heading1"/>
        <w:spacing w:after="0"/>
        <w:rPr>
          <w:rFonts w:ascii="Times New Roman" w:hAnsi="Times New Roman"/>
        </w:rPr>
      </w:pPr>
      <w:bookmarkStart w:id="1" w:name="_Toc534639762"/>
    </w:p>
    <w:bookmarkEnd w:id="1"/>
    <w:p w:rsidR="00BE72BF" w:rsidRPr="005076FB" w:rsidP="003D32A2" w14:paraId="47D2935A" w14:textId="4DDC506E">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T</w:t>
      </w:r>
      <w:r w:rsidRPr="005076FB" w:rsidR="007D03E8">
        <w:rPr>
          <w:rFonts w:ascii="Times New Roman" w:hAnsi="Times New Roman" w:cs="Times New Roman"/>
          <w:sz w:val="24"/>
          <w:szCs w:val="24"/>
        </w:rPr>
        <w:t>he Office of the Ohio Consumers’ Counsel (“OCC”)</w:t>
      </w:r>
      <w:r w:rsidRPr="005076FB">
        <w:rPr>
          <w:rFonts w:ascii="Times New Roman" w:hAnsi="Times New Roman" w:cs="Times New Roman"/>
          <w:sz w:val="24"/>
          <w:szCs w:val="24"/>
        </w:rPr>
        <w:t xml:space="preserve"> files this Application for Rehearing to seek consumer protection</w:t>
      </w:r>
      <w:r w:rsidRPr="005076FB" w:rsidR="000C5866">
        <w:rPr>
          <w:rFonts w:ascii="Times New Roman" w:hAnsi="Times New Roman" w:cs="Times New Roman"/>
          <w:sz w:val="24"/>
          <w:szCs w:val="24"/>
        </w:rPr>
        <w:t>s</w:t>
      </w:r>
      <w:r w:rsidRPr="005076FB">
        <w:rPr>
          <w:rFonts w:ascii="Times New Roman" w:hAnsi="Times New Roman" w:cs="Times New Roman"/>
          <w:sz w:val="24"/>
          <w:szCs w:val="24"/>
        </w:rPr>
        <w:t xml:space="preserve"> </w:t>
      </w:r>
      <w:r w:rsidRPr="005076FB" w:rsidR="000C5866">
        <w:rPr>
          <w:rFonts w:ascii="Times New Roman" w:hAnsi="Times New Roman" w:cs="Times New Roman"/>
          <w:sz w:val="24"/>
          <w:szCs w:val="24"/>
        </w:rPr>
        <w:t xml:space="preserve">that </w:t>
      </w:r>
      <w:r w:rsidRPr="005076FB" w:rsidR="007E0A71">
        <w:rPr>
          <w:rFonts w:ascii="Times New Roman" w:hAnsi="Times New Roman" w:cs="Times New Roman"/>
          <w:sz w:val="24"/>
          <w:szCs w:val="24"/>
        </w:rPr>
        <w:t xml:space="preserve">the PUCO did </w:t>
      </w:r>
      <w:r w:rsidRPr="005076FB" w:rsidR="000C5866">
        <w:rPr>
          <w:rFonts w:ascii="Times New Roman" w:hAnsi="Times New Roman" w:cs="Times New Roman"/>
          <w:sz w:val="24"/>
          <w:szCs w:val="24"/>
        </w:rPr>
        <w:t>not order</w:t>
      </w:r>
      <w:r w:rsidRPr="005076FB" w:rsidR="007E0A71">
        <w:rPr>
          <w:rFonts w:ascii="Times New Roman" w:hAnsi="Times New Roman" w:cs="Times New Roman"/>
          <w:sz w:val="24"/>
          <w:szCs w:val="24"/>
        </w:rPr>
        <w:t xml:space="preserve">, in its </w:t>
      </w:r>
      <w:r w:rsidRPr="005076FB" w:rsidR="00D84E74">
        <w:rPr>
          <w:rFonts w:ascii="Times New Roman" w:hAnsi="Times New Roman" w:cs="Times New Roman"/>
          <w:sz w:val="24"/>
          <w:szCs w:val="24"/>
        </w:rPr>
        <w:t>November 4</w:t>
      </w:r>
      <w:r w:rsidRPr="005076FB" w:rsidR="007E0A71">
        <w:rPr>
          <w:rFonts w:ascii="Times New Roman" w:hAnsi="Times New Roman" w:cs="Times New Roman"/>
          <w:sz w:val="24"/>
          <w:szCs w:val="24"/>
        </w:rPr>
        <w:t xml:space="preserve">th Entry </w:t>
      </w:r>
      <w:r w:rsidRPr="005076FB" w:rsidR="000C5866">
        <w:rPr>
          <w:rFonts w:ascii="Times New Roman" w:hAnsi="Times New Roman" w:cs="Times New Roman"/>
          <w:sz w:val="24"/>
          <w:szCs w:val="24"/>
        </w:rPr>
        <w:t>respon</w:t>
      </w:r>
      <w:r w:rsidRPr="005076FB" w:rsidR="007E0A71">
        <w:rPr>
          <w:rFonts w:ascii="Times New Roman" w:hAnsi="Times New Roman" w:cs="Times New Roman"/>
          <w:sz w:val="24"/>
          <w:szCs w:val="24"/>
        </w:rPr>
        <w:t>ding</w:t>
      </w:r>
      <w:r w:rsidRPr="005076FB" w:rsidR="000C5866">
        <w:rPr>
          <w:rFonts w:ascii="Times New Roman" w:hAnsi="Times New Roman" w:cs="Times New Roman"/>
          <w:sz w:val="24"/>
          <w:szCs w:val="24"/>
        </w:rPr>
        <w:t xml:space="preserve"> to OCC’s September 8</w:t>
      </w:r>
      <w:r w:rsidRPr="005076FB" w:rsidR="000C5866">
        <w:rPr>
          <w:rFonts w:ascii="Times New Roman" w:hAnsi="Times New Roman" w:cs="Times New Roman"/>
          <w:sz w:val="24"/>
          <w:szCs w:val="24"/>
          <w:vertAlign w:val="superscript"/>
        </w:rPr>
        <w:t>th</w:t>
      </w:r>
      <w:r w:rsidRPr="005076FB" w:rsidR="000C5866">
        <w:rPr>
          <w:rFonts w:ascii="Times New Roman" w:hAnsi="Times New Roman" w:cs="Times New Roman"/>
          <w:sz w:val="24"/>
          <w:szCs w:val="24"/>
        </w:rPr>
        <w:t xml:space="preserve"> Motions</w:t>
      </w:r>
      <w:r w:rsidRPr="005076FB" w:rsidR="003B1AEF">
        <w:rPr>
          <w:rFonts w:ascii="Times New Roman" w:hAnsi="Times New Roman" w:cs="Times New Roman"/>
          <w:sz w:val="24"/>
          <w:szCs w:val="24"/>
        </w:rPr>
        <w:t xml:space="preserve"> regarding the House Bill 6 scandal</w:t>
      </w:r>
      <w:r w:rsidRPr="005076FB" w:rsidR="000C5866">
        <w:rPr>
          <w:rFonts w:ascii="Times New Roman" w:hAnsi="Times New Roman" w:cs="Times New Roman"/>
          <w:sz w:val="24"/>
          <w:szCs w:val="24"/>
        </w:rPr>
        <w:t>. This Application is filed with</w:t>
      </w:r>
      <w:r w:rsidRPr="005076FB">
        <w:rPr>
          <w:rFonts w:ascii="Times New Roman" w:hAnsi="Times New Roman" w:cs="Times New Roman"/>
          <w:sz w:val="24"/>
          <w:szCs w:val="24"/>
        </w:rPr>
        <w:t xml:space="preserve"> the backdrop of FirstEnergy’s alleged activities as described in a federal Criminal Complaint against former Ohio House Speaker Householder and </w:t>
      </w:r>
      <w:r w:rsidRPr="005076FB" w:rsidR="000A7402">
        <w:rPr>
          <w:rFonts w:ascii="Times New Roman" w:hAnsi="Times New Roman" w:cs="Times New Roman"/>
          <w:sz w:val="24"/>
          <w:szCs w:val="24"/>
        </w:rPr>
        <w:t xml:space="preserve">certain </w:t>
      </w:r>
      <w:r w:rsidRPr="005076FB">
        <w:rPr>
          <w:rFonts w:ascii="Times New Roman" w:hAnsi="Times New Roman" w:cs="Times New Roman"/>
          <w:sz w:val="24"/>
          <w:szCs w:val="24"/>
        </w:rPr>
        <w:t>others involved in House Bill 6.</w:t>
      </w:r>
      <w:r>
        <w:rPr>
          <w:rStyle w:val="FootnoteReference"/>
          <w:rFonts w:ascii="Times New Roman" w:hAnsi="Times New Roman" w:cs="Times New Roman"/>
          <w:sz w:val="24"/>
          <w:szCs w:val="24"/>
        </w:rPr>
        <w:footnoteReference w:id="2"/>
      </w:r>
      <w:r w:rsidRPr="005076FB">
        <w:rPr>
          <w:rFonts w:ascii="Times New Roman" w:hAnsi="Times New Roman" w:cs="Times New Roman"/>
          <w:sz w:val="24"/>
          <w:szCs w:val="24"/>
        </w:rPr>
        <w:t xml:space="preserve"> Since OCC’s </w:t>
      </w:r>
      <w:r w:rsidRPr="005076FB" w:rsidR="000C5866">
        <w:rPr>
          <w:rFonts w:ascii="Times New Roman" w:hAnsi="Times New Roman" w:cs="Times New Roman"/>
          <w:sz w:val="24"/>
          <w:szCs w:val="24"/>
        </w:rPr>
        <w:t xml:space="preserve">original </w:t>
      </w:r>
      <w:r w:rsidRPr="005076FB">
        <w:rPr>
          <w:rFonts w:ascii="Times New Roman" w:hAnsi="Times New Roman" w:cs="Times New Roman"/>
          <w:sz w:val="24"/>
          <w:szCs w:val="24"/>
        </w:rPr>
        <w:t xml:space="preserve">filing, FirstEnergy Corp. fired its most senior executives including CEO Chuck Jones, two of the indicted individuals </w:t>
      </w:r>
      <w:r w:rsidRPr="005076FB" w:rsidR="00FF3F61">
        <w:rPr>
          <w:rFonts w:ascii="Times New Roman" w:hAnsi="Times New Roman" w:cs="Times New Roman"/>
          <w:sz w:val="24"/>
          <w:szCs w:val="24"/>
        </w:rPr>
        <w:t>pleaded guilty to crimes, and the PUCO Chair resigned.</w:t>
      </w:r>
    </w:p>
    <w:p w:rsidR="001D57AD" w:rsidRPr="005076FB" w:rsidP="00BE72BF" w14:paraId="223EC67D" w14:textId="77777777">
      <w:pPr>
        <w:spacing w:after="0" w:line="480" w:lineRule="auto"/>
        <w:ind w:firstLine="720"/>
        <w:rPr>
          <w:rFonts w:ascii="Times New Roman" w:hAnsi="Times New Roman" w:cs="Times New Roman"/>
          <w:sz w:val="24"/>
          <w:szCs w:val="24"/>
        </w:rPr>
        <w:sectPr w:rsidSect="007E32B9">
          <w:headerReference w:type="default" r:id="rId9"/>
          <w:footerReference w:type="default" r:id="rId10"/>
          <w:pgSz w:w="12240" w:h="15840"/>
          <w:pgMar w:top="1440" w:right="1800" w:bottom="1440" w:left="1800" w:header="720" w:footer="720" w:gutter="0"/>
          <w:cols w:space="720"/>
          <w:docGrid w:linePitch="360"/>
        </w:sectPr>
      </w:pPr>
      <w:r w:rsidRPr="005076FB">
        <w:rPr>
          <w:rFonts w:ascii="Times New Roman" w:hAnsi="Times New Roman" w:cs="Times New Roman"/>
          <w:sz w:val="24"/>
          <w:szCs w:val="24"/>
        </w:rPr>
        <w:t xml:space="preserve">Standard &amp; Poor’s recently wrote that: “We believe these violations at the highest level of the company are demonstrative of insufficient internal controls and a cultural weakness.  We view the severity of these violations as significantly outside of industry </w:t>
      </w:r>
    </w:p>
    <w:p w:rsidR="00BE72BF" w:rsidRPr="005076FB" w:rsidP="00193B85" w14:paraId="746BBC42" w14:textId="28207954">
      <w:pPr>
        <w:spacing w:after="0" w:line="480" w:lineRule="auto"/>
        <w:rPr>
          <w:rFonts w:ascii="Times New Roman" w:hAnsi="Times New Roman" w:cs="Times New Roman"/>
          <w:sz w:val="24"/>
          <w:szCs w:val="24"/>
        </w:rPr>
      </w:pPr>
      <w:r w:rsidRPr="005076FB">
        <w:rPr>
          <w:rFonts w:ascii="Times New Roman" w:hAnsi="Times New Roman" w:cs="Times New Roman"/>
          <w:sz w:val="24"/>
          <w:szCs w:val="24"/>
        </w:rPr>
        <w:t>norms and, in our view, they represent a material deficiency in the company’s governance.”</w:t>
      </w:r>
      <w:r>
        <w:rPr>
          <w:rStyle w:val="FootnoteReference"/>
          <w:rFonts w:ascii="Times New Roman" w:hAnsi="Times New Roman" w:cs="Times New Roman"/>
          <w:sz w:val="24"/>
          <w:szCs w:val="24"/>
        </w:rPr>
        <w:footnoteReference w:id="3"/>
      </w:r>
    </w:p>
    <w:p w:rsidR="00DF4081" w:rsidRPr="005076FB" w:rsidP="00DF4081" w14:paraId="1054C88D" w14:textId="2302CF1D">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In light of the </w:t>
      </w:r>
      <w:r w:rsidRPr="005076FB" w:rsidR="008D7956">
        <w:rPr>
          <w:rFonts w:ascii="Times New Roman" w:hAnsi="Times New Roman" w:cs="Times New Roman"/>
          <w:sz w:val="24"/>
          <w:szCs w:val="24"/>
        </w:rPr>
        <w:t>House Bill 6 scandal</w:t>
      </w:r>
      <w:r w:rsidRPr="005076FB">
        <w:rPr>
          <w:rFonts w:ascii="Times New Roman" w:hAnsi="Times New Roman" w:cs="Times New Roman"/>
          <w:sz w:val="24"/>
          <w:szCs w:val="24"/>
        </w:rPr>
        <w:t xml:space="preserve">, OCC </w:t>
      </w:r>
      <w:r w:rsidRPr="005076FB" w:rsidR="00A26486">
        <w:rPr>
          <w:rFonts w:ascii="Times New Roman" w:hAnsi="Times New Roman" w:cs="Times New Roman"/>
          <w:sz w:val="24"/>
          <w:szCs w:val="24"/>
        </w:rPr>
        <w:t xml:space="preserve">asked the </w:t>
      </w:r>
      <w:r w:rsidRPr="005076FB" w:rsidR="001872B3">
        <w:rPr>
          <w:rFonts w:ascii="Times New Roman" w:hAnsi="Times New Roman" w:cs="Times New Roman"/>
          <w:sz w:val="24"/>
          <w:szCs w:val="24"/>
        </w:rPr>
        <w:t>Public Utilities Commission of Ohio (“</w:t>
      </w:r>
      <w:r w:rsidRPr="005076FB" w:rsidR="00A26486">
        <w:rPr>
          <w:rFonts w:ascii="Times New Roman" w:hAnsi="Times New Roman" w:cs="Times New Roman"/>
          <w:sz w:val="24"/>
          <w:szCs w:val="24"/>
        </w:rPr>
        <w:t>PUCO</w:t>
      </w:r>
      <w:r w:rsidRPr="005076FB" w:rsidR="001872B3">
        <w:rPr>
          <w:rFonts w:ascii="Times New Roman" w:hAnsi="Times New Roman" w:cs="Times New Roman"/>
          <w:sz w:val="24"/>
          <w:szCs w:val="24"/>
        </w:rPr>
        <w:t>”)</w:t>
      </w:r>
      <w:r w:rsidRPr="005076FB" w:rsidR="00A26486">
        <w:rPr>
          <w:rFonts w:ascii="Times New Roman" w:hAnsi="Times New Roman" w:cs="Times New Roman"/>
          <w:sz w:val="24"/>
          <w:szCs w:val="24"/>
        </w:rPr>
        <w:t xml:space="preserve"> to</w:t>
      </w:r>
      <w:r w:rsidRPr="005076FB" w:rsidR="00697F2A">
        <w:rPr>
          <w:rFonts w:ascii="Times New Roman" w:hAnsi="Times New Roman" w:cs="Times New Roman"/>
          <w:sz w:val="24"/>
          <w:szCs w:val="24"/>
        </w:rPr>
        <w:t>, among other things,</w:t>
      </w:r>
      <w:r w:rsidRPr="005076FB" w:rsidR="00A26486">
        <w:rPr>
          <w:rFonts w:ascii="Times New Roman" w:hAnsi="Times New Roman" w:cs="Times New Roman"/>
          <w:sz w:val="24"/>
          <w:szCs w:val="24"/>
        </w:rPr>
        <w:t xml:space="preserve"> </w:t>
      </w:r>
      <w:r w:rsidRPr="005076FB" w:rsidR="008C324B">
        <w:rPr>
          <w:rFonts w:ascii="Times New Roman" w:hAnsi="Times New Roman" w:cs="Times New Roman"/>
          <w:sz w:val="24"/>
          <w:szCs w:val="24"/>
        </w:rPr>
        <w:t xml:space="preserve">conduct an independent management audit and investigation of FirstEnergy to </w:t>
      </w:r>
      <w:r w:rsidRPr="005076FB" w:rsidR="005F3F5E">
        <w:rPr>
          <w:rFonts w:ascii="Times New Roman" w:hAnsi="Times New Roman" w:cs="Times New Roman"/>
          <w:sz w:val="24"/>
          <w:szCs w:val="24"/>
        </w:rPr>
        <w:t xml:space="preserve">address matters including </w:t>
      </w:r>
      <w:r w:rsidRPr="005076FB" w:rsidR="001B21A7">
        <w:rPr>
          <w:rFonts w:ascii="Times New Roman" w:hAnsi="Times New Roman" w:cs="Times New Roman"/>
          <w:sz w:val="24"/>
          <w:szCs w:val="24"/>
        </w:rPr>
        <w:t xml:space="preserve">whether its </w:t>
      </w:r>
      <w:r w:rsidRPr="005076FB" w:rsidR="00BA75D1">
        <w:rPr>
          <w:rFonts w:ascii="Times New Roman" w:hAnsi="Times New Roman" w:cs="Times New Roman"/>
          <w:sz w:val="24"/>
          <w:szCs w:val="24"/>
        </w:rPr>
        <w:t xml:space="preserve">activities related to House Bill 6 violated </w:t>
      </w:r>
      <w:r w:rsidRPr="005076FB" w:rsidR="00C04591">
        <w:rPr>
          <w:rFonts w:ascii="Times New Roman" w:hAnsi="Times New Roman" w:cs="Times New Roman"/>
          <w:sz w:val="24"/>
          <w:szCs w:val="24"/>
        </w:rPr>
        <w:t xml:space="preserve">Ohio’s </w:t>
      </w:r>
      <w:r w:rsidRPr="005076FB" w:rsidR="00BA75D1">
        <w:rPr>
          <w:rFonts w:ascii="Times New Roman" w:hAnsi="Times New Roman" w:cs="Times New Roman"/>
          <w:sz w:val="24"/>
          <w:szCs w:val="24"/>
        </w:rPr>
        <w:t>corporate separation law</w:t>
      </w:r>
      <w:r>
        <w:rPr>
          <w:rStyle w:val="FootnoteReference"/>
          <w:rFonts w:ascii="Times New Roman" w:hAnsi="Times New Roman" w:cs="Times New Roman"/>
          <w:sz w:val="24"/>
          <w:szCs w:val="24"/>
        </w:rPr>
        <w:footnoteReference w:id="4"/>
      </w:r>
      <w:r w:rsidRPr="005076FB" w:rsidR="00BA75D1">
        <w:rPr>
          <w:rFonts w:ascii="Times New Roman" w:hAnsi="Times New Roman" w:cs="Times New Roman"/>
          <w:sz w:val="24"/>
          <w:szCs w:val="24"/>
        </w:rPr>
        <w:t>, state policy</w:t>
      </w:r>
      <w:r w:rsidRPr="005076FB" w:rsidR="00E75D8F">
        <w:rPr>
          <w:rFonts w:ascii="Times New Roman" w:hAnsi="Times New Roman" w:cs="Times New Roman"/>
          <w:sz w:val="24"/>
          <w:szCs w:val="24"/>
        </w:rPr>
        <w:t xml:space="preserve"> prohibiting subsidies of </w:t>
      </w:r>
      <w:r w:rsidRPr="005076FB" w:rsidR="0058235E">
        <w:rPr>
          <w:rFonts w:ascii="Times New Roman" w:hAnsi="Times New Roman" w:cs="Times New Roman"/>
          <w:sz w:val="24"/>
          <w:szCs w:val="24"/>
        </w:rPr>
        <w:t xml:space="preserve">utility </w:t>
      </w:r>
      <w:r w:rsidRPr="005076FB" w:rsidR="00E75D8F">
        <w:rPr>
          <w:rFonts w:ascii="Times New Roman" w:hAnsi="Times New Roman" w:cs="Times New Roman"/>
          <w:sz w:val="24"/>
          <w:szCs w:val="24"/>
        </w:rPr>
        <w:t>affiliates by utility customers</w:t>
      </w:r>
      <w:r>
        <w:rPr>
          <w:rStyle w:val="FootnoteReference"/>
          <w:rFonts w:ascii="Times New Roman" w:hAnsi="Times New Roman" w:cs="Times New Roman"/>
          <w:sz w:val="24"/>
          <w:szCs w:val="24"/>
        </w:rPr>
        <w:footnoteReference w:id="5"/>
      </w:r>
      <w:r w:rsidRPr="005076FB" w:rsidR="00C04591">
        <w:rPr>
          <w:rFonts w:ascii="Times New Roman" w:hAnsi="Times New Roman" w:cs="Times New Roman"/>
          <w:sz w:val="24"/>
          <w:szCs w:val="24"/>
        </w:rPr>
        <w:t xml:space="preserve"> and PUCO rulings</w:t>
      </w:r>
      <w:r w:rsidRPr="005076FB" w:rsidR="0058235E">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Pr="005076FB" w:rsidR="00C04591">
        <w:rPr>
          <w:rFonts w:ascii="Times New Roman" w:hAnsi="Times New Roman" w:cs="Times New Roman"/>
          <w:sz w:val="24"/>
          <w:szCs w:val="24"/>
        </w:rPr>
        <w:t xml:space="preserve">  </w:t>
      </w:r>
      <w:r w:rsidRPr="005076FB" w:rsidR="00CA4B29">
        <w:rPr>
          <w:rFonts w:ascii="Times New Roman" w:hAnsi="Times New Roman" w:cs="Times New Roman"/>
          <w:sz w:val="24"/>
          <w:szCs w:val="24"/>
        </w:rPr>
        <w:t xml:space="preserve">OCC </w:t>
      </w:r>
      <w:r w:rsidRPr="005076FB" w:rsidR="003332EB">
        <w:rPr>
          <w:rFonts w:ascii="Times New Roman" w:hAnsi="Times New Roman" w:cs="Times New Roman"/>
          <w:sz w:val="24"/>
          <w:szCs w:val="24"/>
        </w:rPr>
        <w:t>asked the PUCO to</w:t>
      </w:r>
      <w:r w:rsidRPr="005076FB" w:rsidR="00CA4B29">
        <w:rPr>
          <w:rFonts w:ascii="Times New Roman" w:hAnsi="Times New Roman" w:cs="Times New Roman"/>
          <w:sz w:val="24"/>
          <w:szCs w:val="24"/>
        </w:rPr>
        <w:t xml:space="preserve"> protect Ohio consumers </w:t>
      </w:r>
      <w:r w:rsidRPr="005076FB" w:rsidR="005B64C9">
        <w:rPr>
          <w:rFonts w:ascii="Times New Roman" w:hAnsi="Times New Roman" w:cs="Times New Roman"/>
          <w:sz w:val="24"/>
          <w:szCs w:val="24"/>
        </w:rPr>
        <w:t>through</w:t>
      </w:r>
      <w:r w:rsidRPr="005076FB" w:rsidR="005F3F5E">
        <w:rPr>
          <w:rFonts w:ascii="Times New Roman" w:hAnsi="Times New Roman" w:cs="Times New Roman"/>
          <w:sz w:val="24"/>
          <w:szCs w:val="24"/>
        </w:rPr>
        <w:t>, among other things,</w:t>
      </w:r>
      <w:r w:rsidRPr="005076FB" w:rsidR="005B64C9">
        <w:rPr>
          <w:rFonts w:ascii="Times New Roman" w:hAnsi="Times New Roman" w:cs="Times New Roman"/>
          <w:sz w:val="24"/>
          <w:szCs w:val="24"/>
        </w:rPr>
        <w:t xml:space="preserve"> an</w:t>
      </w:r>
      <w:r w:rsidRPr="005076FB" w:rsidR="00CA4B29">
        <w:rPr>
          <w:rFonts w:ascii="Times New Roman" w:hAnsi="Times New Roman" w:cs="Times New Roman"/>
          <w:sz w:val="24"/>
          <w:szCs w:val="24"/>
        </w:rPr>
        <w:t xml:space="preserve"> investigati</w:t>
      </w:r>
      <w:r w:rsidRPr="005076FB" w:rsidR="005B64C9">
        <w:rPr>
          <w:rFonts w:ascii="Times New Roman" w:hAnsi="Times New Roman" w:cs="Times New Roman"/>
          <w:sz w:val="24"/>
          <w:szCs w:val="24"/>
        </w:rPr>
        <w:t>on of</w:t>
      </w:r>
      <w:r w:rsidRPr="005076FB" w:rsidR="00CA4B29">
        <w:rPr>
          <w:rFonts w:ascii="Times New Roman" w:hAnsi="Times New Roman" w:cs="Times New Roman"/>
          <w:sz w:val="24"/>
          <w:szCs w:val="24"/>
        </w:rPr>
        <w:t xml:space="preserve"> the source of FirstEnergy</w:t>
      </w:r>
      <w:r w:rsidRPr="005076FB" w:rsidR="006C3FF6">
        <w:rPr>
          <w:rFonts w:ascii="Times New Roman" w:hAnsi="Times New Roman" w:cs="Times New Roman"/>
          <w:sz w:val="24"/>
          <w:szCs w:val="24"/>
        </w:rPr>
        <w:t xml:space="preserve"> Corp.</w:t>
      </w:r>
      <w:r w:rsidRPr="005076FB" w:rsidR="00CA4B29">
        <w:rPr>
          <w:rFonts w:ascii="Times New Roman" w:hAnsi="Times New Roman" w:cs="Times New Roman"/>
          <w:sz w:val="24"/>
          <w:szCs w:val="24"/>
        </w:rPr>
        <w:t>’s money used for political purposes</w:t>
      </w:r>
      <w:r w:rsidRPr="005076FB" w:rsidR="005F3F5E">
        <w:rPr>
          <w:rFonts w:ascii="Times New Roman" w:hAnsi="Times New Roman" w:cs="Times New Roman"/>
          <w:sz w:val="24"/>
          <w:szCs w:val="24"/>
        </w:rPr>
        <w:t xml:space="preserve"> so as </w:t>
      </w:r>
      <w:r w:rsidRPr="005076FB" w:rsidR="00CA4B29">
        <w:rPr>
          <w:rFonts w:ascii="Times New Roman" w:hAnsi="Times New Roman" w:cs="Times New Roman"/>
          <w:sz w:val="24"/>
          <w:szCs w:val="24"/>
        </w:rPr>
        <w:t xml:space="preserve">to </w:t>
      </w:r>
      <w:r w:rsidRPr="005076FB" w:rsidR="005F3F5E">
        <w:rPr>
          <w:rFonts w:ascii="Times New Roman" w:hAnsi="Times New Roman" w:cs="Times New Roman"/>
          <w:sz w:val="24"/>
          <w:szCs w:val="24"/>
        </w:rPr>
        <w:t>ascertain if</w:t>
      </w:r>
      <w:r w:rsidRPr="005076FB" w:rsidR="00CA4B29">
        <w:rPr>
          <w:rFonts w:ascii="Times New Roman" w:hAnsi="Times New Roman" w:cs="Times New Roman"/>
          <w:sz w:val="24"/>
          <w:szCs w:val="24"/>
        </w:rPr>
        <w:t xml:space="preserve"> </w:t>
      </w:r>
      <w:r w:rsidRPr="005076FB" w:rsidR="003332EB">
        <w:rPr>
          <w:rFonts w:ascii="Times New Roman" w:hAnsi="Times New Roman" w:cs="Times New Roman"/>
          <w:sz w:val="24"/>
          <w:szCs w:val="24"/>
        </w:rPr>
        <w:t xml:space="preserve">the </w:t>
      </w:r>
      <w:r w:rsidRPr="005076FB" w:rsidR="00CA4B29">
        <w:rPr>
          <w:rFonts w:ascii="Times New Roman" w:hAnsi="Times New Roman" w:cs="Times New Roman"/>
          <w:sz w:val="24"/>
          <w:szCs w:val="24"/>
        </w:rPr>
        <w:t>money c</w:t>
      </w:r>
      <w:r w:rsidRPr="005076FB" w:rsidR="00D9185A">
        <w:rPr>
          <w:rFonts w:ascii="Times New Roman" w:hAnsi="Times New Roman" w:cs="Times New Roman"/>
          <w:sz w:val="24"/>
          <w:szCs w:val="24"/>
        </w:rPr>
        <w:t>a</w:t>
      </w:r>
      <w:r w:rsidRPr="005076FB" w:rsidR="00CA4B29">
        <w:rPr>
          <w:rFonts w:ascii="Times New Roman" w:hAnsi="Times New Roman" w:cs="Times New Roman"/>
          <w:sz w:val="24"/>
          <w:szCs w:val="24"/>
        </w:rPr>
        <w:t xml:space="preserve">me from consumers’ pockets through </w:t>
      </w:r>
      <w:r w:rsidRPr="005076FB" w:rsidR="008C324B">
        <w:rPr>
          <w:rFonts w:ascii="Times New Roman" w:hAnsi="Times New Roman" w:cs="Times New Roman"/>
          <w:sz w:val="24"/>
          <w:szCs w:val="24"/>
        </w:rPr>
        <w:t xml:space="preserve">rates </w:t>
      </w:r>
      <w:r w:rsidRPr="005076FB" w:rsidR="00CA4B29">
        <w:rPr>
          <w:rFonts w:ascii="Times New Roman" w:hAnsi="Times New Roman" w:cs="Times New Roman"/>
          <w:sz w:val="24"/>
          <w:szCs w:val="24"/>
        </w:rPr>
        <w:t>they pay for electric utility service.</w:t>
      </w:r>
      <w:r w:rsidRPr="005076FB" w:rsidR="00706E44">
        <w:rPr>
          <w:rFonts w:ascii="Times New Roman" w:hAnsi="Times New Roman" w:cs="Times New Roman"/>
          <w:sz w:val="24"/>
          <w:szCs w:val="24"/>
        </w:rPr>
        <w:t xml:space="preserve"> </w:t>
      </w:r>
    </w:p>
    <w:p w:rsidR="003B33FF" w:rsidRPr="005076FB" w:rsidP="00BD5E0C" w14:paraId="0EDF9AB2" w14:textId="7CEDDB24">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In</w:t>
      </w:r>
      <w:r w:rsidRPr="005076FB" w:rsidR="00CA4B29">
        <w:rPr>
          <w:rFonts w:ascii="Times New Roman" w:hAnsi="Times New Roman" w:cs="Times New Roman"/>
          <w:sz w:val="24"/>
          <w:szCs w:val="24"/>
        </w:rPr>
        <w:t>stead of granting OCC’s motions, the PUCO</w:t>
      </w:r>
      <w:r w:rsidRPr="005076FB" w:rsidR="004C6B06">
        <w:rPr>
          <w:rFonts w:ascii="Times New Roman" w:hAnsi="Times New Roman" w:cs="Times New Roman"/>
          <w:sz w:val="24"/>
          <w:szCs w:val="24"/>
        </w:rPr>
        <w:t xml:space="preserve"> ordered</w:t>
      </w:r>
      <w:r w:rsidRPr="005076FB" w:rsidR="00134847">
        <w:rPr>
          <w:rFonts w:ascii="Times New Roman" w:hAnsi="Times New Roman" w:cs="Times New Roman"/>
          <w:sz w:val="24"/>
          <w:szCs w:val="24"/>
        </w:rPr>
        <w:t xml:space="preserve"> something else – an </w:t>
      </w:r>
      <w:r w:rsidRPr="005076FB" w:rsidR="00F75D34">
        <w:rPr>
          <w:rFonts w:ascii="Times New Roman" w:hAnsi="Times New Roman" w:cs="Times New Roman"/>
          <w:sz w:val="24"/>
          <w:szCs w:val="24"/>
        </w:rPr>
        <w:t xml:space="preserve">“additional corporate separation </w:t>
      </w:r>
      <w:r w:rsidRPr="005076FB" w:rsidR="003347F2">
        <w:rPr>
          <w:rFonts w:ascii="Times New Roman" w:hAnsi="Times New Roman" w:cs="Times New Roman"/>
          <w:sz w:val="24"/>
          <w:szCs w:val="24"/>
        </w:rPr>
        <w:t>audit</w:t>
      </w:r>
      <w:r w:rsidRPr="005076FB" w:rsidR="00134847">
        <w:rPr>
          <w:rFonts w:ascii="Times New Roman" w:hAnsi="Times New Roman" w:cs="Times New Roman"/>
          <w:sz w:val="24"/>
          <w:szCs w:val="24"/>
        </w:rPr>
        <w:t>.</w:t>
      </w:r>
      <w:r w:rsidRPr="005076FB" w:rsidR="00F75D34">
        <w:rPr>
          <w:rFonts w:ascii="Times New Roman" w:hAnsi="Times New Roman" w:cs="Times New Roman"/>
          <w:sz w:val="24"/>
          <w:szCs w:val="24"/>
        </w:rPr>
        <w:t>”</w:t>
      </w:r>
      <w:r w:rsidRPr="005076FB" w:rsidR="00FD1F78">
        <w:rPr>
          <w:rFonts w:ascii="Times New Roman" w:hAnsi="Times New Roman" w:cs="Times New Roman"/>
          <w:sz w:val="24"/>
          <w:szCs w:val="24"/>
        </w:rPr>
        <w:t xml:space="preserve"> </w:t>
      </w:r>
      <w:r w:rsidRPr="005076FB" w:rsidR="00134847">
        <w:rPr>
          <w:rFonts w:ascii="Times New Roman" w:hAnsi="Times New Roman" w:cs="Times New Roman"/>
          <w:sz w:val="24"/>
          <w:szCs w:val="24"/>
        </w:rPr>
        <w:t>The PUCO then issued a request for proposal</w:t>
      </w:r>
      <w:r w:rsidRPr="005076FB" w:rsidR="003332EB">
        <w:rPr>
          <w:rFonts w:ascii="Times New Roman" w:hAnsi="Times New Roman" w:cs="Times New Roman"/>
          <w:sz w:val="24"/>
          <w:szCs w:val="24"/>
        </w:rPr>
        <w:t xml:space="preserve"> (“R</w:t>
      </w:r>
      <w:r w:rsidRPr="005076FB" w:rsidR="00290707">
        <w:rPr>
          <w:rFonts w:ascii="Times New Roman" w:hAnsi="Times New Roman" w:cs="Times New Roman"/>
          <w:sz w:val="24"/>
          <w:szCs w:val="24"/>
        </w:rPr>
        <w:t>F</w:t>
      </w:r>
      <w:r w:rsidRPr="005076FB" w:rsidR="003332EB">
        <w:rPr>
          <w:rFonts w:ascii="Times New Roman" w:hAnsi="Times New Roman" w:cs="Times New Roman"/>
          <w:sz w:val="24"/>
          <w:szCs w:val="24"/>
        </w:rPr>
        <w:t>P”)</w:t>
      </w:r>
      <w:r w:rsidRPr="005076FB" w:rsidR="00134847">
        <w:rPr>
          <w:rFonts w:ascii="Times New Roman" w:hAnsi="Times New Roman" w:cs="Times New Roman"/>
          <w:sz w:val="24"/>
          <w:szCs w:val="24"/>
        </w:rPr>
        <w:t xml:space="preserve"> that sets the scope of the additional audit</w:t>
      </w:r>
      <w:r w:rsidRPr="005076FB" w:rsidR="003332EB">
        <w:rPr>
          <w:rFonts w:ascii="Times New Roman" w:hAnsi="Times New Roman" w:cs="Times New Roman"/>
          <w:sz w:val="24"/>
          <w:szCs w:val="24"/>
        </w:rPr>
        <w:t>. Interestingly, the R</w:t>
      </w:r>
      <w:r w:rsidRPr="005076FB" w:rsidR="00F928F3">
        <w:rPr>
          <w:rFonts w:ascii="Times New Roman" w:hAnsi="Times New Roman" w:cs="Times New Roman"/>
          <w:sz w:val="24"/>
          <w:szCs w:val="24"/>
        </w:rPr>
        <w:t>F</w:t>
      </w:r>
      <w:r w:rsidRPr="005076FB" w:rsidR="003332EB">
        <w:rPr>
          <w:rFonts w:ascii="Times New Roman" w:hAnsi="Times New Roman" w:cs="Times New Roman"/>
          <w:sz w:val="24"/>
          <w:szCs w:val="24"/>
        </w:rPr>
        <w:t>P lacks a</w:t>
      </w:r>
      <w:r w:rsidRPr="005076FB" w:rsidR="006B7B47">
        <w:rPr>
          <w:rFonts w:ascii="Times New Roman" w:hAnsi="Times New Roman" w:cs="Times New Roman"/>
          <w:sz w:val="24"/>
          <w:szCs w:val="24"/>
        </w:rPr>
        <w:t>n express</w:t>
      </w:r>
      <w:r w:rsidRPr="005076FB" w:rsidR="003332EB">
        <w:rPr>
          <w:rFonts w:ascii="Times New Roman" w:hAnsi="Times New Roman" w:cs="Times New Roman"/>
          <w:sz w:val="24"/>
          <w:szCs w:val="24"/>
        </w:rPr>
        <w:t xml:space="preserve"> </w:t>
      </w:r>
      <w:r w:rsidRPr="005076FB" w:rsidR="004C6B06">
        <w:rPr>
          <w:rFonts w:ascii="Times New Roman" w:hAnsi="Times New Roman" w:cs="Times New Roman"/>
          <w:sz w:val="24"/>
          <w:szCs w:val="24"/>
        </w:rPr>
        <w:t xml:space="preserve">reference to </w:t>
      </w:r>
      <w:r w:rsidRPr="005076FB" w:rsidR="00FD1F78">
        <w:rPr>
          <w:rFonts w:ascii="Times New Roman" w:hAnsi="Times New Roman" w:cs="Times New Roman"/>
          <w:sz w:val="24"/>
          <w:szCs w:val="24"/>
        </w:rPr>
        <w:t>H</w:t>
      </w:r>
      <w:r w:rsidRPr="005076FB" w:rsidR="00F856BA">
        <w:rPr>
          <w:rFonts w:ascii="Times New Roman" w:hAnsi="Times New Roman" w:cs="Times New Roman"/>
          <w:sz w:val="24"/>
          <w:szCs w:val="24"/>
        </w:rPr>
        <w:t xml:space="preserve">ouse </w:t>
      </w:r>
      <w:r w:rsidRPr="005076FB" w:rsidR="00FD1F78">
        <w:rPr>
          <w:rFonts w:ascii="Times New Roman" w:hAnsi="Times New Roman" w:cs="Times New Roman"/>
          <w:sz w:val="24"/>
          <w:szCs w:val="24"/>
        </w:rPr>
        <w:t>B</w:t>
      </w:r>
      <w:r w:rsidRPr="005076FB" w:rsidR="00F856BA">
        <w:rPr>
          <w:rFonts w:ascii="Times New Roman" w:hAnsi="Times New Roman" w:cs="Times New Roman"/>
          <w:sz w:val="24"/>
          <w:szCs w:val="24"/>
        </w:rPr>
        <w:t>ill</w:t>
      </w:r>
      <w:r w:rsidRPr="005076FB" w:rsidR="00FD1F78">
        <w:rPr>
          <w:rFonts w:ascii="Times New Roman" w:hAnsi="Times New Roman" w:cs="Times New Roman"/>
          <w:sz w:val="24"/>
          <w:szCs w:val="24"/>
        </w:rPr>
        <w:t xml:space="preserve"> 6</w:t>
      </w:r>
      <w:r w:rsidRPr="005076FB" w:rsidR="003332EB">
        <w:rPr>
          <w:rFonts w:ascii="Times New Roman" w:hAnsi="Times New Roman" w:cs="Times New Roman"/>
          <w:sz w:val="24"/>
          <w:szCs w:val="24"/>
        </w:rPr>
        <w:t xml:space="preserve"> and for the most part was </w:t>
      </w:r>
      <w:r w:rsidRPr="005076FB" w:rsidR="00DF4081">
        <w:rPr>
          <w:rFonts w:ascii="Times New Roman" w:hAnsi="Times New Roman" w:cs="Times New Roman"/>
          <w:sz w:val="24"/>
          <w:szCs w:val="24"/>
        </w:rPr>
        <w:t>a copy of a</w:t>
      </w:r>
      <w:r w:rsidRPr="005076FB">
        <w:rPr>
          <w:rFonts w:ascii="Times New Roman" w:hAnsi="Times New Roman" w:cs="Times New Roman"/>
          <w:sz w:val="24"/>
          <w:szCs w:val="24"/>
        </w:rPr>
        <w:t xml:space="preserve"> pre-H</w:t>
      </w:r>
      <w:r w:rsidRPr="005076FB" w:rsidR="00F928F3">
        <w:rPr>
          <w:rFonts w:ascii="Times New Roman" w:hAnsi="Times New Roman" w:cs="Times New Roman"/>
          <w:sz w:val="24"/>
          <w:szCs w:val="24"/>
        </w:rPr>
        <w:t xml:space="preserve">ouse </w:t>
      </w:r>
      <w:r w:rsidRPr="005076FB">
        <w:rPr>
          <w:rFonts w:ascii="Times New Roman" w:hAnsi="Times New Roman" w:cs="Times New Roman"/>
          <w:sz w:val="24"/>
          <w:szCs w:val="24"/>
        </w:rPr>
        <w:t>B</w:t>
      </w:r>
      <w:r w:rsidRPr="005076FB" w:rsidR="00F928F3">
        <w:rPr>
          <w:rFonts w:ascii="Times New Roman" w:hAnsi="Times New Roman" w:cs="Times New Roman"/>
          <w:sz w:val="24"/>
          <w:szCs w:val="24"/>
        </w:rPr>
        <w:t>ill</w:t>
      </w:r>
      <w:r w:rsidRPr="005076FB">
        <w:rPr>
          <w:rFonts w:ascii="Times New Roman" w:hAnsi="Times New Roman" w:cs="Times New Roman"/>
          <w:sz w:val="24"/>
          <w:szCs w:val="24"/>
        </w:rPr>
        <w:t xml:space="preserve"> 6</w:t>
      </w:r>
      <w:r w:rsidRPr="005076FB" w:rsidR="00DF4081">
        <w:rPr>
          <w:rFonts w:ascii="Times New Roman" w:hAnsi="Times New Roman" w:cs="Times New Roman"/>
          <w:sz w:val="24"/>
          <w:szCs w:val="24"/>
        </w:rPr>
        <w:t xml:space="preserve"> R</w:t>
      </w:r>
      <w:r w:rsidRPr="005076FB" w:rsidR="00F928F3">
        <w:rPr>
          <w:rFonts w:ascii="Times New Roman" w:hAnsi="Times New Roman" w:cs="Times New Roman"/>
          <w:sz w:val="24"/>
          <w:szCs w:val="24"/>
        </w:rPr>
        <w:t>F</w:t>
      </w:r>
      <w:r w:rsidRPr="005076FB" w:rsidR="00DF4081">
        <w:rPr>
          <w:rFonts w:ascii="Times New Roman" w:hAnsi="Times New Roman" w:cs="Times New Roman"/>
          <w:sz w:val="24"/>
          <w:szCs w:val="24"/>
        </w:rPr>
        <w:t xml:space="preserve">P that the PUCO issued on </w:t>
      </w:r>
      <w:r w:rsidRPr="005076FB" w:rsidR="00F856BA">
        <w:rPr>
          <w:rFonts w:ascii="Times New Roman" w:hAnsi="Times New Roman" w:cs="Times New Roman"/>
          <w:sz w:val="24"/>
          <w:szCs w:val="24"/>
        </w:rPr>
        <w:t>May 17, 2017</w:t>
      </w:r>
      <w:r w:rsidRPr="005076FB" w:rsidR="006B7B47">
        <w:rPr>
          <w:rFonts w:ascii="Times New Roman" w:hAnsi="Times New Roman" w:cs="Times New Roman"/>
          <w:sz w:val="24"/>
          <w:szCs w:val="24"/>
        </w:rPr>
        <w:t>, other than having a relevant timeline etc</w:t>
      </w:r>
      <w:r w:rsidRPr="005076FB" w:rsidR="00F856BA">
        <w:rPr>
          <w:rFonts w:ascii="Times New Roman" w:hAnsi="Times New Roman" w:cs="Times New Roman"/>
          <w:sz w:val="24"/>
          <w:szCs w:val="24"/>
        </w:rPr>
        <w:t xml:space="preserve">. </w:t>
      </w:r>
    </w:p>
    <w:p w:rsidR="00D9185A" w:rsidRPr="005076FB" w:rsidP="003B33FF" w14:paraId="40A473D3" w14:textId="448BC484">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The PUCO’s limited response to OCC’s motions does not </w:t>
      </w:r>
      <w:r w:rsidRPr="005076FB" w:rsidR="00573794">
        <w:rPr>
          <w:rFonts w:ascii="Times New Roman" w:hAnsi="Times New Roman" w:cs="Times New Roman"/>
          <w:sz w:val="24"/>
          <w:szCs w:val="24"/>
        </w:rPr>
        <w:t>correlate with the</w:t>
      </w:r>
      <w:r w:rsidRPr="005076FB">
        <w:rPr>
          <w:rFonts w:ascii="Times New Roman" w:hAnsi="Times New Roman" w:cs="Times New Roman"/>
          <w:sz w:val="24"/>
          <w:szCs w:val="24"/>
        </w:rPr>
        <w:t xml:space="preserve"> severity of the situation </w:t>
      </w:r>
      <w:r w:rsidRPr="005076FB" w:rsidR="00573794">
        <w:rPr>
          <w:rFonts w:ascii="Times New Roman" w:hAnsi="Times New Roman" w:cs="Times New Roman"/>
          <w:sz w:val="24"/>
          <w:szCs w:val="24"/>
        </w:rPr>
        <w:t>for</w:t>
      </w:r>
      <w:r w:rsidRPr="005076FB">
        <w:rPr>
          <w:rFonts w:ascii="Times New Roman" w:hAnsi="Times New Roman" w:cs="Times New Roman"/>
          <w:sz w:val="24"/>
          <w:szCs w:val="24"/>
        </w:rPr>
        <w:t xml:space="preserve"> FirstEnergy’s </w:t>
      </w:r>
      <w:r w:rsidRPr="005076FB" w:rsidR="00573794">
        <w:rPr>
          <w:rFonts w:ascii="Times New Roman" w:hAnsi="Times New Roman" w:cs="Times New Roman"/>
          <w:sz w:val="24"/>
          <w:szCs w:val="24"/>
        </w:rPr>
        <w:t>involvement in the scandal of tainted House Bill 6 and its issues with corporate governance</w:t>
      </w:r>
      <w:r w:rsidRPr="005076FB" w:rsidR="00116B30">
        <w:rPr>
          <w:rFonts w:ascii="Times New Roman" w:hAnsi="Times New Roman" w:cs="Times New Roman"/>
          <w:sz w:val="24"/>
          <w:szCs w:val="24"/>
        </w:rPr>
        <w:t>.</w:t>
      </w:r>
      <w:r w:rsidRPr="005076FB" w:rsidR="00F35AE7">
        <w:rPr>
          <w:rFonts w:ascii="Times New Roman" w:hAnsi="Times New Roman" w:cs="Times New Roman"/>
          <w:sz w:val="24"/>
          <w:szCs w:val="24"/>
        </w:rPr>
        <w:t xml:space="preserve"> But it should.</w:t>
      </w:r>
      <w:r w:rsidRPr="005076FB" w:rsidR="00116B30">
        <w:rPr>
          <w:rFonts w:ascii="Times New Roman" w:hAnsi="Times New Roman" w:cs="Times New Roman"/>
          <w:sz w:val="24"/>
          <w:szCs w:val="24"/>
        </w:rPr>
        <w:t xml:space="preserve"> </w:t>
      </w:r>
      <w:r w:rsidRPr="005076FB" w:rsidR="00F35AE7">
        <w:rPr>
          <w:rFonts w:ascii="Times New Roman" w:hAnsi="Times New Roman" w:cs="Times New Roman"/>
          <w:sz w:val="24"/>
          <w:szCs w:val="24"/>
        </w:rPr>
        <w:t xml:space="preserve">Otherwise, the PUCO may merely go through the motions without ever getting close to the truth that is needed for a corporation that bears the high responsibility of serving about half the </w:t>
      </w:r>
      <w:r w:rsidRPr="005076FB" w:rsidR="00706E44">
        <w:rPr>
          <w:rFonts w:ascii="Times New Roman" w:hAnsi="Times New Roman" w:cs="Times New Roman"/>
          <w:sz w:val="24"/>
          <w:szCs w:val="24"/>
        </w:rPr>
        <w:t xml:space="preserve">electric </w:t>
      </w:r>
      <w:r w:rsidRPr="005076FB" w:rsidR="00F35AE7">
        <w:rPr>
          <w:rFonts w:ascii="Times New Roman" w:hAnsi="Times New Roman" w:cs="Times New Roman"/>
          <w:sz w:val="24"/>
          <w:szCs w:val="24"/>
        </w:rPr>
        <w:t xml:space="preserve">consumers </w:t>
      </w:r>
      <w:r w:rsidRPr="005076FB" w:rsidR="009514C4">
        <w:rPr>
          <w:rFonts w:ascii="Times New Roman" w:hAnsi="Times New Roman" w:cs="Times New Roman"/>
          <w:sz w:val="24"/>
          <w:szCs w:val="24"/>
        </w:rPr>
        <w:t>(</w:t>
      </w:r>
      <w:r w:rsidRPr="005076FB" w:rsidR="006D536D">
        <w:rPr>
          <w:rFonts w:ascii="Times New Roman" w:hAnsi="Times New Roman" w:cs="Times New Roman"/>
          <w:sz w:val="24"/>
          <w:szCs w:val="24"/>
        </w:rPr>
        <w:t>two</w:t>
      </w:r>
      <w:r w:rsidRPr="005076FB" w:rsidR="009514C4">
        <w:rPr>
          <w:rFonts w:ascii="Times New Roman" w:hAnsi="Times New Roman" w:cs="Times New Roman"/>
          <w:sz w:val="24"/>
          <w:szCs w:val="24"/>
        </w:rPr>
        <w:t xml:space="preserve"> million) </w:t>
      </w:r>
      <w:r w:rsidRPr="005076FB" w:rsidR="00F35AE7">
        <w:rPr>
          <w:rFonts w:ascii="Times New Roman" w:hAnsi="Times New Roman" w:cs="Times New Roman"/>
          <w:sz w:val="24"/>
          <w:szCs w:val="24"/>
        </w:rPr>
        <w:t>in the state.</w:t>
      </w:r>
      <w:r w:rsidRPr="005076FB" w:rsidR="00573794">
        <w:rPr>
          <w:rFonts w:ascii="Times New Roman" w:hAnsi="Times New Roman" w:cs="Times New Roman"/>
          <w:sz w:val="24"/>
          <w:szCs w:val="24"/>
        </w:rPr>
        <w:t xml:space="preserve"> </w:t>
      </w:r>
    </w:p>
    <w:p w:rsidR="004C6B06" w:rsidRPr="005076FB" w:rsidP="003B33FF" w14:paraId="227F42AD" w14:textId="7B2D1148">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Per</w:t>
      </w:r>
      <w:r w:rsidRPr="005076FB" w:rsidR="002B7E70">
        <w:rPr>
          <w:rFonts w:ascii="Times New Roman" w:hAnsi="Times New Roman" w:cs="Times New Roman"/>
          <w:sz w:val="24"/>
          <w:szCs w:val="24"/>
        </w:rPr>
        <w:t xml:space="preserve"> R.C. 4903.10, </w:t>
      </w:r>
      <w:r w:rsidRPr="005076FB">
        <w:rPr>
          <w:rFonts w:ascii="Times New Roman" w:hAnsi="Times New Roman" w:cs="Times New Roman"/>
          <w:sz w:val="24"/>
          <w:szCs w:val="24"/>
        </w:rPr>
        <w:t>OCC seeks rehearing of the PUCO’s November 4, 2020 Entry</w:t>
      </w:r>
      <w:r w:rsidRPr="005076FB" w:rsidR="006E5C9C">
        <w:rPr>
          <w:rFonts w:ascii="Times New Roman" w:hAnsi="Times New Roman" w:cs="Times New Roman"/>
          <w:sz w:val="24"/>
          <w:szCs w:val="24"/>
        </w:rPr>
        <w:t>, as being</w:t>
      </w:r>
      <w:r w:rsidRPr="005076FB">
        <w:rPr>
          <w:rFonts w:ascii="Times New Roman" w:hAnsi="Times New Roman" w:cs="Times New Roman"/>
          <w:sz w:val="24"/>
          <w:szCs w:val="24"/>
        </w:rPr>
        <w:t xml:space="preserve"> unreasonable </w:t>
      </w:r>
      <w:r w:rsidRPr="005076FB" w:rsidR="00F25DB3">
        <w:rPr>
          <w:rFonts w:ascii="Times New Roman" w:hAnsi="Times New Roman" w:cs="Times New Roman"/>
          <w:sz w:val="24"/>
          <w:szCs w:val="24"/>
        </w:rPr>
        <w:t xml:space="preserve">and unlawful </w:t>
      </w:r>
      <w:r w:rsidRPr="005076FB">
        <w:rPr>
          <w:rFonts w:ascii="Times New Roman" w:hAnsi="Times New Roman" w:cs="Times New Roman"/>
          <w:sz w:val="24"/>
          <w:szCs w:val="24"/>
        </w:rPr>
        <w:t xml:space="preserve">in the following respects: </w:t>
      </w:r>
    </w:p>
    <w:p w:rsidR="00603EDB" w:rsidRPr="005076FB" w:rsidP="00D65C0A" w14:paraId="0831F925" w14:textId="23FFFCA4">
      <w:pPr>
        <w:pStyle w:val="ListParagraph"/>
        <w:widowControl w:val="0"/>
        <w:numPr>
          <w:ilvl w:val="0"/>
          <w:numId w:val="37"/>
        </w:numPr>
        <w:spacing w:after="0"/>
        <w:ind w:left="1440" w:hanging="720"/>
        <w:rPr>
          <w:rFonts w:ascii="Times New Roman" w:hAnsi="Times New Roman" w:cs="Times New Roman"/>
          <w:sz w:val="24"/>
          <w:szCs w:val="24"/>
        </w:rPr>
      </w:pPr>
      <w:r w:rsidRPr="005076FB">
        <w:rPr>
          <w:rFonts w:ascii="Times New Roman" w:hAnsi="Times New Roman" w:cs="Times New Roman"/>
          <w:sz w:val="24"/>
          <w:szCs w:val="24"/>
        </w:rPr>
        <w:t xml:space="preserve">The PUCO </w:t>
      </w:r>
      <w:r w:rsidRPr="005076FB" w:rsidR="006A238C">
        <w:rPr>
          <w:rFonts w:ascii="Times New Roman" w:hAnsi="Times New Roman" w:cs="Times New Roman"/>
          <w:sz w:val="24"/>
          <w:szCs w:val="24"/>
        </w:rPr>
        <w:t xml:space="preserve">erred by </w:t>
      </w:r>
      <w:r w:rsidRPr="005076FB">
        <w:rPr>
          <w:rFonts w:ascii="Times New Roman" w:hAnsi="Times New Roman" w:cs="Times New Roman"/>
          <w:sz w:val="24"/>
          <w:szCs w:val="24"/>
        </w:rPr>
        <w:t>fail</w:t>
      </w:r>
      <w:r w:rsidRPr="005076FB" w:rsidR="006A238C">
        <w:rPr>
          <w:rFonts w:ascii="Times New Roman" w:hAnsi="Times New Roman" w:cs="Times New Roman"/>
          <w:sz w:val="24"/>
          <w:szCs w:val="24"/>
        </w:rPr>
        <w:t>ing</w:t>
      </w:r>
      <w:r w:rsidRPr="005076FB">
        <w:rPr>
          <w:rFonts w:ascii="Times New Roman" w:hAnsi="Times New Roman" w:cs="Times New Roman"/>
          <w:sz w:val="24"/>
          <w:szCs w:val="24"/>
        </w:rPr>
        <w:t xml:space="preserve"> to order </w:t>
      </w:r>
      <w:r w:rsidRPr="005076FB" w:rsidR="006A238C">
        <w:rPr>
          <w:rFonts w:ascii="Times New Roman" w:hAnsi="Times New Roman" w:cs="Times New Roman"/>
          <w:sz w:val="24"/>
          <w:szCs w:val="24"/>
        </w:rPr>
        <w:t xml:space="preserve">FirstEnergy to </w:t>
      </w:r>
      <w:r w:rsidRPr="005076FB">
        <w:rPr>
          <w:rFonts w:ascii="Times New Roman" w:hAnsi="Times New Roman" w:cs="Times New Roman"/>
          <w:sz w:val="24"/>
          <w:szCs w:val="24"/>
        </w:rPr>
        <w:t>produc</w:t>
      </w:r>
      <w:r w:rsidRPr="005076FB" w:rsidR="006A238C">
        <w:rPr>
          <w:rFonts w:ascii="Times New Roman" w:hAnsi="Times New Roman" w:cs="Times New Roman"/>
          <w:sz w:val="24"/>
          <w:szCs w:val="24"/>
        </w:rPr>
        <w:t>e</w:t>
      </w:r>
      <w:r w:rsidRPr="005076FB" w:rsidR="00F60C9B">
        <w:rPr>
          <w:rFonts w:ascii="Times New Roman" w:hAnsi="Times New Roman" w:cs="Times New Roman"/>
          <w:sz w:val="24"/>
          <w:szCs w:val="24"/>
        </w:rPr>
        <w:t xml:space="preserve"> to the PUCO and parties</w:t>
      </w:r>
      <w:r w:rsidRPr="005076FB">
        <w:rPr>
          <w:rFonts w:ascii="Times New Roman" w:hAnsi="Times New Roman" w:cs="Times New Roman"/>
          <w:sz w:val="24"/>
          <w:szCs w:val="24"/>
        </w:rPr>
        <w:t xml:space="preserve"> all documents pertaining to investigations that are underway concerning </w:t>
      </w:r>
      <w:r w:rsidRPr="005076FB" w:rsidR="006B5F9D">
        <w:rPr>
          <w:rFonts w:ascii="Times New Roman" w:hAnsi="Times New Roman" w:cs="Times New Roman"/>
          <w:sz w:val="24"/>
          <w:szCs w:val="24"/>
        </w:rPr>
        <w:t xml:space="preserve">FirstEnergy’s </w:t>
      </w:r>
      <w:r w:rsidRPr="005076FB">
        <w:rPr>
          <w:rFonts w:ascii="Times New Roman" w:hAnsi="Times New Roman" w:cs="Times New Roman"/>
          <w:sz w:val="24"/>
          <w:szCs w:val="24"/>
        </w:rPr>
        <w:t>H</w:t>
      </w:r>
      <w:r w:rsidRPr="005076FB" w:rsidR="00F928F3">
        <w:rPr>
          <w:rFonts w:ascii="Times New Roman" w:hAnsi="Times New Roman" w:cs="Times New Roman"/>
          <w:sz w:val="24"/>
          <w:szCs w:val="24"/>
        </w:rPr>
        <w:t xml:space="preserve">ouse </w:t>
      </w:r>
      <w:r w:rsidRPr="005076FB">
        <w:rPr>
          <w:rFonts w:ascii="Times New Roman" w:hAnsi="Times New Roman" w:cs="Times New Roman"/>
          <w:sz w:val="24"/>
          <w:szCs w:val="24"/>
        </w:rPr>
        <w:t>B</w:t>
      </w:r>
      <w:r w:rsidRPr="005076FB" w:rsidR="00F928F3">
        <w:rPr>
          <w:rFonts w:ascii="Times New Roman" w:hAnsi="Times New Roman" w:cs="Times New Roman"/>
          <w:sz w:val="24"/>
          <w:szCs w:val="24"/>
        </w:rPr>
        <w:t xml:space="preserve">ill </w:t>
      </w:r>
      <w:r w:rsidRPr="005076FB">
        <w:rPr>
          <w:rFonts w:ascii="Times New Roman" w:hAnsi="Times New Roman" w:cs="Times New Roman"/>
          <w:sz w:val="24"/>
          <w:szCs w:val="24"/>
        </w:rPr>
        <w:t>6 activities, including the</w:t>
      </w:r>
      <w:r w:rsidRPr="005076FB" w:rsidR="006A238C">
        <w:rPr>
          <w:rFonts w:ascii="Times New Roman" w:hAnsi="Times New Roman" w:cs="Times New Roman"/>
          <w:sz w:val="24"/>
          <w:szCs w:val="24"/>
        </w:rPr>
        <w:t xml:space="preserve"> internal investigation by the</w:t>
      </w:r>
      <w:r w:rsidRPr="005076FB">
        <w:rPr>
          <w:rFonts w:ascii="Times New Roman" w:hAnsi="Times New Roman" w:cs="Times New Roman"/>
          <w:sz w:val="24"/>
          <w:szCs w:val="24"/>
        </w:rPr>
        <w:t xml:space="preserve"> FirstEnergy Corp. Independent Board of Directors</w:t>
      </w:r>
      <w:r w:rsidRPr="005076FB" w:rsidR="001B21A7">
        <w:rPr>
          <w:rFonts w:ascii="Times New Roman" w:hAnsi="Times New Roman" w:cs="Times New Roman"/>
          <w:sz w:val="24"/>
          <w:szCs w:val="24"/>
        </w:rPr>
        <w:t xml:space="preserve">, which </w:t>
      </w:r>
      <w:r w:rsidRPr="005076FB" w:rsidR="006A238C">
        <w:rPr>
          <w:rFonts w:ascii="Times New Roman" w:hAnsi="Times New Roman" w:cs="Times New Roman"/>
          <w:sz w:val="24"/>
          <w:szCs w:val="24"/>
        </w:rPr>
        <w:t xml:space="preserve">apparently </w:t>
      </w:r>
      <w:r w:rsidRPr="005076FB" w:rsidR="001B21A7">
        <w:rPr>
          <w:rFonts w:ascii="Times New Roman" w:hAnsi="Times New Roman" w:cs="Times New Roman"/>
          <w:sz w:val="24"/>
          <w:szCs w:val="24"/>
        </w:rPr>
        <w:t xml:space="preserve">resulted in the </w:t>
      </w:r>
      <w:r w:rsidRPr="005076FB" w:rsidR="006A238C">
        <w:rPr>
          <w:rFonts w:ascii="Times New Roman" w:hAnsi="Times New Roman" w:cs="Times New Roman"/>
          <w:sz w:val="24"/>
          <w:szCs w:val="24"/>
        </w:rPr>
        <w:t xml:space="preserve">termination </w:t>
      </w:r>
      <w:r w:rsidRPr="005076FB" w:rsidR="0005183F">
        <w:rPr>
          <w:rFonts w:ascii="Times New Roman" w:hAnsi="Times New Roman" w:cs="Times New Roman"/>
          <w:sz w:val="24"/>
          <w:szCs w:val="24"/>
        </w:rPr>
        <w:t xml:space="preserve">of </w:t>
      </w:r>
      <w:r w:rsidRPr="005076FB" w:rsidR="001B21A7">
        <w:rPr>
          <w:rFonts w:ascii="Times New Roman" w:hAnsi="Times New Roman" w:cs="Times New Roman"/>
          <w:sz w:val="24"/>
          <w:szCs w:val="24"/>
        </w:rPr>
        <w:t>FirstEnergy Corp. executive</w:t>
      </w:r>
      <w:r w:rsidRPr="005076FB" w:rsidR="0026625A">
        <w:rPr>
          <w:rFonts w:ascii="Times New Roman" w:hAnsi="Times New Roman" w:cs="Times New Roman"/>
          <w:sz w:val="24"/>
          <w:szCs w:val="24"/>
        </w:rPr>
        <w:t>s</w:t>
      </w:r>
      <w:r>
        <w:rPr>
          <w:rStyle w:val="FootnoteReference"/>
          <w:rFonts w:ascii="Times New Roman" w:hAnsi="Times New Roman" w:cs="Times New Roman"/>
          <w:sz w:val="24"/>
          <w:szCs w:val="24"/>
        </w:rPr>
        <w:footnoteReference w:id="7"/>
      </w:r>
      <w:r w:rsidRPr="005076FB" w:rsidR="0005183F">
        <w:rPr>
          <w:rFonts w:ascii="Times New Roman" w:hAnsi="Times New Roman" w:cs="Times New Roman"/>
          <w:sz w:val="24"/>
          <w:szCs w:val="24"/>
        </w:rPr>
        <w:t xml:space="preserve"> including its CEO</w:t>
      </w:r>
      <w:r w:rsidRPr="005076FB" w:rsidR="001B21A7">
        <w:rPr>
          <w:rFonts w:ascii="Times New Roman" w:hAnsi="Times New Roman" w:cs="Times New Roman"/>
          <w:sz w:val="24"/>
          <w:szCs w:val="24"/>
        </w:rPr>
        <w:t xml:space="preserve"> and led to the resignation of the PUCO Chair.</w:t>
      </w:r>
      <w:r>
        <w:rPr>
          <w:rStyle w:val="FootnoteReference"/>
          <w:rFonts w:ascii="Times New Roman" w:hAnsi="Times New Roman" w:cs="Times New Roman"/>
          <w:sz w:val="24"/>
          <w:szCs w:val="24"/>
        </w:rPr>
        <w:footnoteReference w:id="8"/>
      </w:r>
      <w:r w:rsidRPr="005076FB" w:rsidR="001B21A7">
        <w:rPr>
          <w:rFonts w:ascii="Times New Roman" w:hAnsi="Times New Roman" w:cs="Times New Roman"/>
          <w:sz w:val="24"/>
          <w:szCs w:val="24"/>
        </w:rPr>
        <w:t xml:space="preserve">   </w:t>
      </w:r>
    </w:p>
    <w:p w:rsidR="00603EDB" w:rsidRPr="005076FB" w:rsidP="001B21A7" w14:paraId="43BF5CE5" w14:textId="77777777">
      <w:pPr>
        <w:pStyle w:val="ListParagraph"/>
        <w:widowControl w:val="0"/>
        <w:spacing w:after="0"/>
        <w:ind w:left="1440"/>
        <w:rPr>
          <w:rFonts w:ascii="Times New Roman" w:hAnsi="Times New Roman" w:cs="Times New Roman"/>
          <w:sz w:val="24"/>
          <w:szCs w:val="24"/>
        </w:rPr>
      </w:pPr>
    </w:p>
    <w:p w:rsidR="00A157DF" w:rsidRPr="005076FB" w:rsidP="00D65C0A" w14:paraId="10392E56" w14:textId="62982066">
      <w:pPr>
        <w:pStyle w:val="ListParagraph"/>
        <w:widowControl w:val="0"/>
        <w:numPr>
          <w:ilvl w:val="0"/>
          <w:numId w:val="37"/>
        </w:numPr>
        <w:spacing w:after="0"/>
        <w:ind w:left="1440" w:hanging="720"/>
        <w:rPr>
          <w:rFonts w:ascii="Times New Roman" w:hAnsi="Times New Roman" w:cs="Times New Roman"/>
          <w:sz w:val="24"/>
          <w:szCs w:val="24"/>
        </w:rPr>
        <w:sectPr w:rsidSect="001D57AD">
          <w:footerReference w:type="default" r:id="rId11"/>
          <w:pgSz w:w="12240" w:h="15840"/>
          <w:pgMar w:top="1440" w:right="1800" w:bottom="1440" w:left="1800" w:header="720" w:footer="720" w:gutter="0"/>
          <w:pgNumType w:start="2"/>
          <w:cols w:space="720"/>
          <w:docGrid w:linePitch="360"/>
        </w:sectPr>
      </w:pPr>
      <w:r w:rsidRPr="005076FB">
        <w:rPr>
          <w:rFonts w:ascii="Times New Roman" w:hAnsi="Times New Roman" w:cs="Times New Roman"/>
          <w:sz w:val="24"/>
          <w:szCs w:val="24"/>
        </w:rPr>
        <w:t xml:space="preserve">The PUCO </w:t>
      </w:r>
      <w:r w:rsidRPr="005076FB" w:rsidR="006A238C">
        <w:rPr>
          <w:rFonts w:ascii="Times New Roman" w:hAnsi="Times New Roman" w:cs="Times New Roman"/>
          <w:sz w:val="24"/>
          <w:szCs w:val="24"/>
        </w:rPr>
        <w:t xml:space="preserve">erred by </w:t>
      </w:r>
      <w:r w:rsidRPr="005076FB">
        <w:rPr>
          <w:rFonts w:ascii="Times New Roman" w:hAnsi="Times New Roman" w:cs="Times New Roman"/>
          <w:sz w:val="24"/>
          <w:szCs w:val="24"/>
        </w:rPr>
        <w:t>fail</w:t>
      </w:r>
      <w:r w:rsidRPr="005076FB" w:rsidR="006A238C">
        <w:rPr>
          <w:rFonts w:ascii="Times New Roman" w:hAnsi="Times New Roman" w:cs="Times New Roman"/>
          <w:sz w:val="24"/>
          <w:szCs w:val="24"/>
        </w:rPr>
        <w:t>ing</w:t>
      </w:r>
      <w:r w:rsidRPr="005076FB">
        <w:rPr>
          <w:rFonts w:ascii="Times New Roman" w:hAnsi="Times New Roman" w:cs="Times New Roman"/>
          <w:sz w:val="24"/>
          <w:szCs w:val="24"/>
        </w:rPr>
        <w:t xml:space="preserve"> to </w:t>
      </w:r>
      <w:r w:rsidRPr="005076FB" w:rsidR="00E87533">
        <w:rPr>
          <w:rFonts w:ascii="Times New Roman" w:hAnsi="Times New Roman" w:cs="Times New Roman"/>
          <w:sz w:val="24"/>
          <w:szCs w:val="24"/>
        </w:rPr>
        <w:t xml:space="preserve">establish </w:t>
      </w:r>
      <w:r w:rsidRPr="005076FB">
        <w:rPr>
          <w:rFonts w:ascii="Times New Roman" w:hAnsi="Times New Roman" w:cs="Times New Roman"/>
          <w:sz w:val="24"/>
          <w:szCs w:val="24"/>
        </w:rPr>
        <w:t>an</w:t>
      </w:r>
      <w:r w:rsidRPr="005076FB" w:rsidR="001B21A7">
        <w:rPr>
          <w:rFonts w:ascii="Times New Roman" w:hAnsi="Times New Roman" w:cs="Times New Roman"/>
          <w:sz w:val="24"/>
          <w:szCs w:val="24"/>
        </w:rPr>
        <w:t xml:space="preserve"> </w:t>
      </w:r>
      <w:r w:rsidRPr="005076FB" w:rsidR="00E268FE">
        <w:rPr>
          <w:rFonts w:ascii="Times New Roman" w:hAnsi="Times New Roman" w:cs="Times New Roman"/>
          <w:i/>
          <w:iCs/>
          <w:sz w:val="24"/>
          <w:szCs w:val="24"/>
        </w:rPr>
        <w:t>independent audit committee</w:t>
      </w:r>
      <w:r w:rsidRPr="005076FB" w:rsidR="00F9361D">
        <w:rPr>
          <w:rFonts w:ascii="Times New Roman" w:hAnsi="Times New Roman" w:cs="Times New Roman"/>
          <w:i/>
          <w:iCs/>
          <w:sz w:val="24"/>
          <w:szCs w:val="24"/>
        </w:rPr>
        <w:t xml:space="preserve"> </w:t>
      </w:r>
      <w:r w:rsidRPr="005076FB" w:rsidR="00F9361D">
        <w:rPr>
          <w:rFonts w:ascii="Times New Roman" w:hAnsi="Times New Roman" w:cs="Times New Roman"/>
          <w:sz w:val="24"/>
          <w:szCs w:val="24"/>
        </w:rPr>
        <w:t>(which in variation the PUCO has used in the past</w:t>
      </w:r>
      <w:r>
        <w:rPr>
          <w:rStyle w:val="FootnoteReference"/>
          <w:rFonts w:ascii="Times New Roman" w:hAnsi="Times New Roman" w:cs="Times New Roman"/>
          <w:sz w:val="24"/>
          <w:szCs w:val="24"/>
        </w:rPr>
        <w:footnoteReference w:id="9"/>
      </w:r>
      <w:r w:rsidRPr="005076FB" w:rsidR="00F9361D">
        <w:rPr>
          <w:rFonts w:ascii="Times New Roman" w:hAnsi="Times New Roman" w:cs="Times New Roman"/>
          <w:sz w:val="24"/>
          <w:szCs w:val="24"/>
        </w:rPr>
        <w:t>)</w:t>
      </w:r>
      <w:r w:rsidRPr="005076FB" w:rsidR="003249A7">
        <w:rPr>
          <w:rFonts w:ascii="Times New Roman" w:hAnsi="Times New Roman" w:cs="Times New Roman"/>
          <w:sz w:val="24"/>
          <w:szCs w:val="24"/>
        </w:rPr>
        <w:t xml:space="preserve"> </w:t>
      </w:r>
      <w:r w:rsidRPr="005076FB" w:rsidR="00154F62">
        <w:rPr>
          <w:rFonts w:ascii="Times New Roman" w:hAnsi="Times New Roman" w:cs="Times New Roman"/>
          <w:sz w:val="24"/>
          <w:szCs w:val="24"/>
        </w:rPr>
        <w:t xml:space="preserve">to oversee </w:t>
      </w:r>
      <w:r w:rsidRPr="005076FB" w:rsidR="0005183F">
        <w:rPr>
          <w:rFonts w:ascii="Times New Roman" w:hAnsi="Times New Roman" w:cs="Times New Roman"/>
          <w:sz w:val="24"/>
          <w:szCs w:val="24"/>
        </w:rPr>
        <w:t xml:space="preserve">its ordered audit </w:t>
      </w:r>
      <w:r w:rsidRPr="005076FB" w:rsidR="001B21A7">
        <w:rPr>
          <w:rFonts w:ascii="Times New Roman" w:hAnsi="Times New Roman" w:cs="Times New Roman"/>
          <w:sz w:val="24"/>
          <w:szCs w:val="24"/>
        </w:rPr>
        <w:t xml:space="preserve">of </w:t>
      </w:r>
      <w:r w:rsidRPr="005076FB" w:rsidR="0005183F">
        <w:rPr>
          <w:rFonts w:ascii="Times New Roman" w:hAnsi="Times New Roman" w:cs="Times New Roman"/>
          <w:sz w:val="24"/>
          <w:szCs w:val="24"/>
        </w:rPr>
        <w:t xml:space="preserve">any </w:t>
      </w:r>
      <w:r w:rsidRPr="005076FB" w:rsidR="001B21A7">
        <w:rPr>
          <w:rFonts w:ascii="Times New Roman" w:hAnsi="Times New Roman" w:cs="Times New Roman"/>
          <w:sz w:val="24"/>
          <w:szCs w:val="24"/>
        </w:rPr>
        <w:t>H</w:t>
      </w:r>
      <w:r w:rsidRPr="005076FB" w:rsidR="00F928F3">
        <w:rPr>
          <w:rFonts w:ascii="Times New Roman" w:hAnsi="Times New Roman" w:cs="Times New Roman"/>
          <w:sz w:val="24"/>
          <w:szCs w:val="24"/>
        </w:rPr>
        <w:t xml:space="preserve">ouse </w:t>
      </w:r>
      <w:r w:rsidRPr="005076FB" w:rsidR="001B21A7">
        <w:rPr>
          <w:rFonts w:ascii="Times New Roman" w:hAnsi="Times New Roman" w:cs="Times New Roman"/>
          <w:sz w:val="24"/>
          <w:szCs w:val="24"/>
        </w:rPr>
        <w:t>B</w:t>
      </w:r>
      <w:r w:rsidRPr="005076FB" w:rsidR="00F928F3">
        <w:rPr>
          <w:rFonts w:ascii="Times New Roman" w:hAnsi="Times New Roman" w:cs="Times New Roman"/>
          <w:sz w:val="24"/>
          <w:szCs w:val="24"/>
        </w:rPr>
        <w:t>ill</w:t>
      </w:r>
      <w:r w:rsidRPr="005076FB" w:rsidR="001B21A7">
        <w:rPr>
          <w:rFonts w:ascii="Times New Roman" w:hAnsi="Times New Roman" w:cs="Times New Roman"/>
          <w:sz w:val="24"/>
          <w:szCs w:val="24"/>
        </w:rPr>
        <w:t xml:space="preserve"> 6</w:t>
      </w:r>
      <w:r w:rsidRPr="005076FB" w:rsidR="0005183F">
        <w:rPr>
          <w:rFonts w:ascii="Times New Roman" w:hAnsi="Times New Roman" w:cs="Times New Roman"/>
          <w:sz w:val="24"/>
          <w:szCs w:val="24"/>
        </w:rPr>
        <w:t>-related</w:t>
      </w:r>
      <w:r w:rsidRPr="005076FB" w:rsidR="001B21A7">
        <w:rPr>
          <w:rFonts w:ascii="Times New Roman" w:hAnsi="Times New Roman" w:cs="Times New Roman"/>
          <w:sz w:val="24"/>
          <w:szCs w:val="24"/>
        </w:rPr>
        <w:t xml:space="preserve"> spending by FirstEnergy and its affiliates.  </w:t>
      </w:r>
      <w:r w:rsidRPr="005076FB" w:rsidR="0073699B">
        <w:rPr>
          <w:rFonts w:ascii="Times New Roman" w:hAnsi="Times New Roman" w:cs="Times New Roman"/>
          <w:sz w:val="24"/>
          <w:szCs w:val="24"/>
        </w:rPr>
        <w:t>The</w:t>
      </w:r>
      <w:r w:rsidRPr="005076FB" w:rsidR="0026625A">
        <w:rPr>
          <w:rFonts w:ascii="Times New Roman" w:hAnsi="Times New Roman" w:cs="Times New Roman"/>
          <w:sz w:val="24"/>
          <w:szCs w:val="24"/>
        </w:rPr>
        <w:t xml:space="preserve"> </w:t>
      </w:r>
      <w:r w:rsidRPr="005076FB" w:rsidR="00F9361D">
        <w:rPr>
          <w:rFonts w:ascii="Times New Roman" w:hAnsi="Times New Roman" w:cs="Times New Roman"/>
          <w:sz w:val="24"/>
          <w:szCs w:val="24"/>
        </w:rPr>
        <w:t xml:space="preserve">purpose of the </w:t>
      </w:r>
      <w:r w:rsidRPr="005076FB" w:rsidR="001B21A7">
        <w:rPr>
          <w:rFonts w:ascii="Times New Roman" w:hAnsi="Times New Roman" w:cs="Times New Roman"/>
          <w:sz w:val="24"/>
          <w:szCs w:val="24"/>
        </w:rPr>
        <w:t>audit committee</w:t>
      </w:r>
      <w:r w:rsidRPr="005076FB" w:rsidR="0073699B">
        <w:rPr>
          <w:rFonts w:ascii="Times New Roman" w:hAnsi="Times New Roman" w:cs="Times New Roman"/>
          <w:sz w:val="24"/>
          <w:szCs w:val="24"/>
        </w:rPr>
        <w:t xml:space="preserve"> and its structure</w:t>
      </w:r>
      <w:r w:rsidRPr="005076FB" w:rsidR="0026625A">
        <w:rPr>
          <w:rFonts w:ascii="Times New Roman" w:hAnsi="Times New Roman" w:cs="Times New Roman"/>
          <w:sz w:val="24"/>
          <w:szCs w:val="24"/>
        </w:rPr>
        <w:t xml:space="preserve"> </w:t>
      </w:r>
      <w:r w:rsidRPr="005076FB" w:rsidR="00EF5326">
        <w:rPr>
          <w:rFonts w:ascii="Times New Roman" w:hAnsi="Times New Roman" w:cs="Times New Roman"/>
          <w:sz w:val="24"/>
          <w:szCs w:val="24"/>
        </w:rPr>
        <w:t>should</w:t>
      </w:r>
      <w:r w:rsidRPr="005076FB" w:rsidR="0026625A">
        <w:rPr>
          <w:rFonts w:ascii="Times New Roman" w:hAnsi="Times New Roman" w:cs="Times New Roman"/>
          <w:sz w:val="24"/>
          <w:szCs w:val="24"/>
        </w:rPr>
        <w:t xml:space="preserve"> </w:t>
      </w:r>
      <w:r w:rsidRPr="005076FB" w:rsidR="00F9361D">
        <w:rPr>
          <w:rFonts w:ascii="Times New Roman" w:hAnsi="Times New Roman" w:cs="Times New Roman"/>
          <w:sz w:val="24"/>
          <w:szCs w:val="24"/>
        </w:rPr>
        <w:t xml:space="preserve">be, among other things, to provide </w:t>
      </w:r>
      <w:r w:rsidRPr="005076FB" w:rsidR="00EF5326">
        <w:rPr>
          <w:rFonts w:ascii="Times New Roman" w:hAnsi="Times New Roman" w:cs="Times New Roman"/>
          <w:sz w:val="24"/>
          <w:szCs w:val="24"/>
        </w:rPr>
        <w:t>independen</w:t>
      </w:r>
      <w:r w:rsidRPr="005076FB" w:rsidR="00F9361D">
        <w:rPr>
          <w:rFonts w:ascii="Times New Roman" w:hAnsi="Times New Roman" w:cs="Times New Roman"/>
          <w:sz w:val="24"/>
          <w:szCs w:val="24"/>
        </w:rPr>
        <w:t>t guidance</w:t>
      </w:r>
      <w:r w:rsidRPr="005076FB" w:rsidR="0026625A">
        <w:rPr>
          <w:rFonts w:ascii="Times New Roman" w:hAnsi="Times New Roman" w:cs="Times New Roman"/>
          <w:sz w:val="24"/>
          <w:szCs w:val="24"/>
        </w:rPr>
        <w:t xml:space="preserve"> </w:t>
      </w:r>
      <w:r w:rsidRPr="005076FB" w:rsidR="00F9361D">
        <w:rPr>
          <w:rFonts w:ascii="Times New Roman" w:hAnsi="Times New Roman" w:cs="Times New Roman"/>
          <w:sz w:val="24"/>
          <w:szCs w:val="24"/>
        </w:rPr>
        <w:t xml:space="preserve">for </w:t>
      </w:r>
      <w:r w:rsidRPr="005076FB" w:rsidR="0026625A">
        <w:rPr>
          <w:rFonts w:ascii="Times New Roman" w:hAnsi="Times New Roman" w:cs="Times New Roman"/>
          <w:sz w:val="24"/>
          <w:szCs w:val="24"/>
        </w:rPr>
        <w:t>the audit process</w:t>
      </w:r>
      <w:r w:rsidRPr="005076FB" w:rsidR="005952E4">
        <w:rPr>
          <w:rFonts w:ascii="Times New Roman" w:hAnsi="Times New Roman" w:cs="Times New Roman"/>
          <w:sz w:val="24"/>
          <w:szCs w:val="24"/>
        </w:rPr>
        <w:t xml:space="preserve"> (separate from the PUCO)</w:t>
      </w:r>
      <w:r w:rsidRPr="005076FB" w:rsidR="0026625A">
        <w:rPr>
          <w:rFonts w:ascii="Times New Roman" w:hAnsi="Times New Roman" w:cs="Times New Roman"/>
          <w:sz w:val="24"/>
          <w:szCs w:val="24"/>
        </w:rPr>
        <w:t>.  This is</w:t>
      </w:r>
      <w:r w:rsidRPr="005076FB">
        <w:rPr>
          <w:rFonts w:ascii="Times New Roman" w:hAnsi="Times New Roman" w:cs="Times New Roman"/>
          <w:sz w:val="24"/>
          <w:szCs w:val="24"/>
        </w:rPr>
        <w:t xml:space="preserve"> </w:t>
      </w:r>
      <w:r w:rsidRPr="005076FB" w:rsidR="004D2D69">
        <w:rPr>
          <w:rFonts w:ascii="Times New Roman" w:hAnsi="Times New Roman" w:cs="Times New Roman"/>
          <w:sz w:val="24"/>
          <w:szCs w:val="24"/>
        </w:rPr>
        <w:t>appropriate in the context of but not limited to the circumstance of</w:t>
      </w:r>
      <w:r w:rsidRPr="005076FB" w:rsidR="00FE35B9">
        <w:rPr>
          <w:rFonts w:ascii="Times New Roman" w:hAnsi="Times New Roman" w:cs="Times New Roman"/>
          <w:sz w:val="24"/>
          <w:szCs w:val="24"/>
        </w:rPr>
        <w:t xml:space="preserve"> the</w:t>
      </w:r>
      <w:r w:rsidRPr="005076FB" w:rsidR="004D2D69">
        <w:rPr>
          <w:rFonts w:ascii="Times New Roman" w:hAnsi="Times New Roman" w:cs="Times New Roman"/>
          <w:sz w:val="24"/>
          <w:szCs w:val="24"/>
        </w:rPr>
        <w:t xml:space="preserve"> former </w:t>
      </w:r>
      <w:r w:rsidRPr="005076FB" w:rsidR="00FE35B9">
        <w:rPr>
          <w:rFonts w:ascii="Times New Roman" w:hAnsi="Times New Roman" w:cs="Times New Roman"/>
          <w:sz w:val="24"/>
          <w:szCs w:val="24"/>
        </w:rPr>
        <w:t xml:space="preserve">PUCO </w:t>
      </w:r>
      <w:r w:rsidRPr="005076FB" w:rsidR="004D2D69">
        <w:rPr>
          <w:rFonts w:ascii="Times New Roman" w:hAnsi="Times New Roman" w:cs="Times New Roman"/>
          <w:sz w:val="24"/>
          <w:szCs w:val="24"/>
        </w:rPr>
        <w:t xml:space="preserve">Chair’s potential relationship with FirstEnergy as </w:t>
      </w:r>
      <w:r w:rsidRPr="005076FB" w:rsidR="00FE35B9">
        <w:rPr>
          <w:rFonts w:ascii="Times New Roman" w:hAnsi="Times New Roman" w:cs="Times New Roman"/>
          <w:sz w:val="24"/>
          <w:szCs w:val="24"/>
        </w:rPr>
        <w:t>(obscurely) alluded to</w:t>
      </w:r>
      <w:r w:rsidRPr="005076FB" w:rsidR="004D2D69">
        <w:rPr>
          <w:rFonts w:ascii="Times New Roman" w:hAnsi="Times New Roman" w:cs="Times New Roman"/>
          <w:sz w:val="24"/>
          <w:szCs w:val="24"/>
        </w:rPr>
        <w:t xml:space="preserve"> in the S.E.C. Form 10-Q that </w:t>
      </w:r>
      <w:r w:rsidRPr="005076FB" w:rsidR="00C06551">
        <w:rPr>
          <w:rFonts w:ascii="Times New Roman" w:hAnsi="Times New Roman" w:cs="Times New Roman"/>
          <w:sz w:val="24"/>
          <w:szCs w:val="24"/>
        </w:rPr>
        <w:t>FirstEnergy</w:t>
      </w:r>
      <w:r w:rsidRPr="005076FB" w:rsidR="004D2D69">
        <w:rPr>
          <w:rFonts w:ascii="Times New Roman" w:hAnsi="Times New Roman" w:cs="Times New Roman"/>
          <w:sz w:val="24"/>
          <w:szCs w:val="24"/>
        </w:rPr>
        <w:t xml:space="preserve"> filed on </w:t>
      </w:r>
      <w:r w:rsidRPr="005076FB" w:rsidR="00290707">
        <w:rPr>
          <w:rFonts w:ascii="Times New Roman" w:hAnsi="Times New Roman" w:cs="Times New Roman"/>
          <w:sz w:val="24"/>
          <w:szCs w:val="24"/>
        </w:rPr>
        <w:t>November 19</w:t>
      </w:r>
      <w:r w:rsidRPr="005076FB" w:rsidR="004D2D69">
        <w:rPr>
          <w:rFonts w:ascii="Times New Roman" w:hAnsi="Times New Roman" w:cs="Times New Roman"/>
          <w:sz w:val="24"/>
          <w:szCs w:val="24"/>
        </w:rPr>
        <w:t>, 2020</w:t>
      </w:r>
      <w:r w:rsidRPr="005076FB" w:rsidR="0038009B">
        <w:rPr>
          <w:rFonts w:ascii="Times New Roman" w:hAnsi="Times New Roman" w:cs="Times New Roman"/>
          <w:sz w:val="24"/>
          <w:szCs w:val="24"/>
        </w:rPr>
        <w:t>.</w:t>
      </w:r>
    </w:p>
    <w:p w:rsidR="0073699B" w:rsidRPr="005076FB" w:rsidP="00E918F3" w14:paraId="239BB6A0" w14:textId="4C32C4EF">
      <w:pPr>
        <w:pStyle w:val="ListParagraph"/>
        <w:widowControl w:val="0"/>
        <w:numPr>
          <w:ilvl w:val="0"/>
          <w:numId w:val="37"/>
        </w:numPr>
        <w:spacing w:after="0"/>
        <w:ind w:left="1440" w:hanging="720"/>
        <w:rPr>
          <w:rFonts w:ascii="Times New Roman" w:hAnsi="Times New Roman" w:cs="Times New Roman"/>
          <w:sz w:val="24"/>
          <w:szCs w:val="24"/>
        </w:rPr>
      </w:pPr>
      <w:r w:rsidRPr="005076FB">
        <w:rPr>
          <w:rFonts w:ascii="Times New Roman" w:hAnsi="Times New Roman" w:cs="Times New Roman"/>
          <w:sz w:val="24"/>
          <w:szCs w:val="24"/>
        </w:rPr>
        <w:t>The PUCO erred by</w:t>
      </w:r>
      <w:r w:rsidRPr="005076FB" w:rsidR="00FE35B9">
        <w:rPr>
          <w:rFonts w:ascii="Times New Roman" w:hAnsi="Times New Roman" w:cs="Times New Roman"/>
          <w:sz w:val="24"/>
          <w:szCs w:val="24"/>
        </w:rPr>
        <w:t>, respectively,</w:t>
      </w:r>
      <w:r w:rsidRPr="005076FB">
        <w:rPr>
          <w:rFonts w:ascii="Times New Roman" w:hAnsi="Times New Roman" w:cs="Times New Roman"/>
          <w:sz w:val="24"/>
          <w:szCs w:val="24"/>
        </w:rPr>
        <w:t xml:space="preserve"> </w:t>
      </w:r>
      <w:r w:rsidRPr="005076FB" w:rsidR="00116B30">
        <w:rPr>
          <w:rFonts w:ascii="Times New Roman" w:hAnsi="Times New Roman" w:cs="Times New Roman"/>
          <w:sz w:val="24"/>
          <w:szCs w:val="24"/>
        </w:rPr>
        <w:t xml:space="preserve">issuing its ruling and then </w:t>
      </w:r>
      <w:r w:rsidRPr="005076FB" w:rsidR="00FE35B9">
        <w:rPr>
          <w:rFonts w:ascii="Times New Roman" w:hAnsi="Times New Roman" w:cs="Times New Roman"/>
          <w:sz w:val="24"/>
          <w:szCs w:val="24"/>
        </w:rPr>
        <w:t xml:space="preserve">not </w:t>
      </w:r>
      <w:r w:rsidRPr="005076FB" w:rsidR="00D36FCC">
        <w:rPr>
          <w:rFonts w:ascii="Times New Roman" w:hAnsi="Times New Roman" w:cs="Times New Roman"/>
          <w:sz w:val="24"/>
          <w:szCs w:val="24"/>
        </w:rPr>
        <w:t xml:space="preserve">vacating </w:t>
      </w:r>
      <w:r w:rsidRPr="005076FB" w:rsidR="00CB28D0">
        <w:rPr>
          <w:rFonts w:ascii="Times New Roman" w:hAnsi="Times New Roman" w:cs="Times New Roman"/>
          <w:sz w:val="24"/>
          <w:szCs w:val="24"/>
        </w:rPr>
        <w:t>and revisiting its ruling</w:t>
      </w:r>
      <w:r w:rsidRPr="005076FB" w:rsidR="00D36FCC">
        <w:rPr>
          <w:rFonts w:ascii="Times New Roman" w:hAnsi="Times New Roman" w:cs="Times New Roman"/>
          <w:sz w:val="24"/>
          <w:szCs w:val="24"/>
        </w:rPr>
        <w:t xml:space="preserve"> on the</w:t>
      </w:r>
      <w:r w:rsidRPr="005076FB" w:rsidR="00860958">
        <w:rPr>
          <w:rFonts w:ascii="Times New Roman" w:hAnsi="Times New Roman" w:cs="Times New Roman"/>
          <w:sz w:val="24"/>
          <w:szCs w:val="24"/>
        </w:rPr>
        <w:t xml:space="preserve"> OCC’s motions and related issues, in the context of</w:t>
      </w:r>
      <w:r w:rsidRPr="005076FB" w:rsidR="004D2D69">
        <w:rPr>
          <w:rFonts w:ascii="Times New Roman" w:hAnsi="Times New Roman" w:cs="Times New Roman"/>
          <w:sz w:val="24"/>
          <w:szCs w:val="24"/>
        </w:rPr>
        <w:t xml:space="preserve"> but not limited to</w:t>
      </w:r>
      <w:r w:rsidRPr="005076FB" w:rsidR="00860958">
        <w:rPr>
          <w:rFonts w:ascii="Times New Roman" w:hAnsi="Times New Roman" w:cs="Times New Roman"/>
          <w:sz w:val="24"/>
          <w:szCs w:val="24"/>
        </w:rPr>
        <w:t xml:space="preserve"> </w:t>
      </w:r>
      <w:r w:rsidRPr="005076FB" w:rsidR="00C06551">
        <w:rPr>
          <w:rFonts w:ascii="Times New Roman" w:hAnsi="Times New Roman" w:cs="Times New Roman"/>
          <w:sz w:val="24"/>
          <w:szCs w:val="24"/>
        </w:rPr>
        <w:t xml:space="preserve">the circumstance of </w:t>
      </w:r>
      <w:r w:rsidRPr="005076FB" w:rsidR="00FE35B9">
        <w:rPr>
          <w:rFonts w:ascii="Times New Roman" w:hAnsi="Times New Roman" w:cs="Times New Roman"/>
          <w:sz w:val="24"/>
          <w:szCs w:val="24"/>
        </w:rPr>
        <w:t>the</w:t>
      </w:r>
      <w:r w:rsidRPr="005076FB" w:rsidR="00860958">
        <w:rPr>
          <w:rFonts w:ascii="Times New Roman" w:hAnsi="Times New Roman" w:cs="Times New Roman"/>
          <w:sz w:val="24"/>
          <w:szCs w:val="24"/>
        </w:rPr>
        <w:t xml:space="preserve"> former </w:t>
      </w:r>
      <w:r w:rsidRPr="005076FB" w:rsidR="00FE35B9">
        <w:rPr>
          <w:rFonts w:ascii="Times New Roman" w:hAnsi="Times New Roman" w:cs="Times New Roman"/>
          <w:sz w:val="24"/>
          <w:szCs w:val="24"/>
        </w:rPr>
        <w:t xml:space="preserve">PUCO </w:t>
      </w:r>
      <w:r w:rsidRPr="005076FB" w:rsidR="00860958">
        <w:rPr>
          <w:rFonts w:ascii="Times New Roman" w:hAnsi="Times New Roman" w:cs="Times New Roman"/>
          <w:sz w:val="24"/>
          <w:szCs w:val="24"/>
        </w:rPr>
        <w:t xml:space="preserve">Chair’s potential relationship with FirstEnergy as </w:t>
      </w:r>
      <w:r w:rsidRPr="005076FB" w:rsidR="00FE35B9">
        <w:rPr>
          <w:rFonts w:ascii="Times New Roman" w:hAnsi="Times New Roman" w:cs="Times New Roman"/>
          <w:sz w:val="24"/>
          <w:szCs w:val="24"/>
        </w:rPr>
        <w:t xml:space="preserve">(obscurely) </w:t>
      </w:r>
      <w:r w:rsidRPr="005076FB" w:rsidR="00116B30">
        <w:rPr>
          <w:rFonts w:ascii="Times New Roman" w:hAnsi="Times New Roman" w:cs="Times New Roman"/>
          <w:sz w:val="24"/>
          <w:szCs w:val="24"/>
        </w:rPr>
        <w:t>alluded to</w:t>
      </w:r>
      <w:r w:rsidRPr="005076FB" w:rsidR="00860958">
        <w:rPr>
          <w:rFonts w:ascii="Times New Roman" w:hAnsi="Times New Roman" w:cs="Times New Roman"/>
          <w:sz w:val="24"/>
          <w:szCs w:val="24"/>
        </w:rPr>
        <w:t xml:space="preserve"> in the S.E.C. Form 10-Q that </w:t>
      </w:r>
      <w:r w:rsidRPr="005076FB" w:rsidR="00C06551">
        <w:rPr>
          <w:rFonts w:ascii="Times New Roman" w:hAnsi="Times New Roman" w:cs="Times New Roman"/>
          <w:sz w:val="24"/>
          <w:szCs w:val="24"/>
        </w:rPr>
        <w:t>FirstEnergy</w:t>
      </w:r>
      <w:r w:rsidRPr="005076FB" w:rsidR="00860958">
        <w:rPr>
          <w:rFonts w:ascii="Times New Roman" w:hAnsi="Times New Roman" w:cs="Times New Roman"/>
          <w:sz w:val="24"/>
          <w:szCs w:val="24"/>
        </w:rPr>
        <w:t xml:space="preserve"> filed on </w:t>
      </w:r>
      <w:r w:rsidRPr="005076FB" w:rsidR="00290707">
        <w:rPr>
          <w:rFonts w:ascii="Times New Roman" w:hAnsi="Times New Roman" w:cs="Times New Roman"/>
          <w:sz w:val="24"/>
          <w:szCs w:val="24"/>
        </w:rPr>
        <w:t>November 19,</w:t>
      </w:r>
      <w:r w:rsidRPr="005076FB" w:rsidR="00860958">
        <w:rPr>
          <w:rFonts w:ascii="Times New Roman" w:hAnsi="Times New Roman" w:cs="Times New Roman"/>
          <w:sz w:val="24"/>
          <w:szCs w:val="24"/>
        </w:rPr>
        <w:t xml:space="preserve"> 2020</w:t>
      </w:r>
      <w:r w:rsidRPr="005076FB" w:rsidR="0038009B">
        <w:rPr>
          <w:rFonts w:ascii="Times New Roman" w:hAnsi="Times New Roman" w:cs="Times New Roman"/>
          <w:sz w:val="24"/>
          <w:szCs w:val="24"/>
        </w:rPr>
        <w:t>.</w:t>
      </w:r>
    </w:p>
    <w:p w:rsidR="00A157DF" w:rsidRPr="005076FB" w:rsidP="00A157DF" w14:paraId="6F375A49" w14:textId="2AA0CBCA">
      <w:pPr>
        <w:widowControl w:val="0"/>
        <w:spacing w:after="0"/>
        <w:rPr>
          <w:rFonts w:ascii="Times New Roman" w:hAnsi="Times New Roman" w:cs="Times New Roman"/>
          <w:sz w:val="24"/>
          <w:szCs w:val="24"/>
        </w:rPr>
      </w:pPr>
    </w:p>
    <w:p w:rsidR="003C61B5" w:rsidRPr="005076FB" w:rsidP="00A157DF" w14:paraId="5E287745" w14:textId="28F79DD0">
      <w:pPr>
        <w:pStyle w:val="ListParagraph"/>
        <w:widowControl w:val="0"/>
        <w:numPr>
          <w:ilvl w:val="0"/>
          <w:numId w:val="37"/>
        </w:numPr>
        <w:spacing w:after="0"/>
        <w:ind w:left="1440" w:hanging="720"/>
        <w:rPr>
          <w:rFonts w:ascii="Times New Roman" w:hAnsi="Times New Roman" w:cs="Times New Roman"/>
          <w:sz w:val="24"/>
          <w:szCs w:val="24"/>
        </w:rPr>
      </w:pPr>
      <w:r w:rsidRPr="005076FB">
        <w:rPr>
          <w:rFonts w:ascii="Times New Roman" w:hAnsi="Times New Roman" w:cs="Times New Roman"/>
          <w:sz w:val="24"/>
          <w:szCs w:val="24"/>
        </w:rPr>
        <w:t>T</w:t>
      </w:r>
      <w:r w:rsidRPr="005076FB" w:rsidR="002B7E70">
        <w:rPr>
          <w:rFonts w:ascii="Times New Roman" w:hAnsi="Times New Roman" w:cs="Times New Roman"/>
          <w:sz w:val="24"/>
          <w:szCs w:val="24"/>
        </w:rPr>
        <w:t xml:space="preserve">he PUCO </w:t>
      </w:r>
      <w:r w:rsidRPr="005076FB" w:rsidR="006D2D32">
        <w:rPr>
          <w:rFonts w:ascii="Times New Roman" w:hAnsi="Times New Roman" w:cs="Times New Roman"/>
          <w:sz w:val="24"/>
          <w:szCs w:val="24"/>
        </w:rPr>
        <w:t xml:space="preserve">erred by </w:t>
      </w:r>
      <w:r w:rsidRPr="005076FB" w:rsidR="00661BC8">
        <w:rPr>
          <w:rFonts w:ascii="Times New Roman" w:hAnsi="Times New Roman" w:cs="Times New Roman"/>
          <w:sz w:val="24"/>
          <w:szCs w:val="24"/>
        </w:rPr>
        <w:t xml:space="preserve">stating and acting on unjustified concerns about alleged limits on its jurisdiction over FirstEnergy Corp. and </w:t>
      </w:r>
      <w:r w:rsidRPr="005076FB">
        <w:rPr>
          <w:rFonts w:ascii="Times New Roman" w:hAnsi="Times New Roman" w:cs="Times New Roman"/>
          <w:sz w:val="24"/>
          <w:szCs w:val="24"/>
        </w:rPr>
        <w:t xml:space="preserve">its </w:t>
      </w:r>
      <w:r w:rsidRPr="005076FB" w:rsidR="00661BC8">
        <w:rPr>
          <w:rFonts w:ascii="Times New Roman" w:hAnsi="Times New Roman" w:cs="Times New Roman"/>
          <w:sz w:val="24"/>
          <w:szCs w:val="24"/>
        </w:rPr>
        <w:t>affiliates for</w:t>
      </w:r>
      <w:r w:rsidRPr="005076FB">
        <w:rPr>
          <w:rFonts w:ascii="Times New Roman" w:hAnsi="Times New Roman" w:cs="Times New Roman"/>
          <w:sz w:val="24"/>
          <w:szCs w:val="24"/>
        </w:rPr>
        <w:t xml:space="preserve"> purposes of</w:t>
      </w:r>
      <w:r w:rsidRPr="005076FB" w:rsidR="00661BC8">
        <w:rPr>
          <w:rFonts w:ascii="Times New Roman" w:hAnsi="Times New Roman" w:cs="Times New Roman"/>
          <w:sz w:val="24"/>
          <w:szCs w:val="24"/>
        </w:rPr>
        <w:t xml:space="preserve"> investigations etc.</w:t>
      </w:r>
      <w:r w:rsidRPr="005076FB" w:rsidR="0038009B">
        <w:rPr>
          <w:rFonts w:ascii="Times New Roman" w:hAnsi="Times New Roman" w:cs="Times New Roman"/>
          <w:sz w:val="24"/>
          <w:szCs w:val="24"/>
        </w:rPr>
        <w:t>, despite there being ample statutory authority for its purposes.</w:t>
      </w:r>
      <w:r>
        <w:rPr>
          <w:rStyle w:val="FootnoteReference"/>
          <w:rFonts w:ascii="Times New Roman" w:hAnsi="Times New Roman" w:cs="Times New Roman"/>
          <w:sz w:val="24"/>
          <w:szCs w:val="24"/>
        </w:rPr>
        <w:footnoteReference w:id="10"/>
      </w:r>
      <w:r w:rsidRPr="005076FB" w:rsidR="00661BC8">
        <w:rPr>
          <w:rFonts w:ascii="Times New Roman" w:hAnsi="Times New Roman" w:cs="Times New Roman"/>
          <w:sz w:val="24"/>
          <w:szCs w:val="24"/>
        </w:rPr>
        <w:t xml:space="preserve"> </w:t>
      </w:r>
      <w:r w:rsidRPr="005076FB" w:rsidR="002B7E70">
        <w:rPr>
          <w:rFonts w:ascii="Times New Roman" w:hAnsi="Times New Roman" w:cs="Times New Roman"/>
          <w:sz w:val="24"/>
          <w:szCs w:val="24"/>
        </w:rPr>
        <w:t xml:space="preserve"> </w:t>
      </w:r>
    </w:p>
    <w:p w:rsidR="00ED36A3" w:rsidRPr="005076FB" w:rsidP="00BD5E0C" w14:paraId="1FE6A290" w14:textId="77777777">
      <w:pPr>
        <w:pStyle w:val="ListParagraph"/>
        <w:widowControl w:val="0"/>
        <w:spacing w:after="0"/>
        <w:ind w:left="1440"/>
        <w:rPr>
          <w:rFonts w:ascii="Times New Roman" w:hAnsi="Times New Roman" w:cs="Times New Roman"/>
          <w:sz w:val="24"/>
          <w:szCs w:val="24"/>
        </w:rPr>
      </w:pPr>
    </w:p>
    <w:p w:rsidR="008C5D5B" w:rsidRPr="005076FB" w:rsidP="009E00F7" w14:paraId="66537E00" w14:textId="1526D204">
      <w:pPr>
        <w:pStyle w:val="ListParagraph"/>
        <w:widowControl w:val="0"/>
        <w:numPr>
          <w:ilvl w:val="0"/>
          <w:numId w:val="37"/>
        </w:numPr>
        <w:spacing w:after="0"/>
        <w:ind w:left="1440" w:hanging="720"/>
        <w:rPr>
          <w:rFonts w:ascii="Times New Roman" w:hAnsi="Times New Roman" w:cs="Times New Roman"/>
          <w:sz w:val="24"/>
          <w:szCs w:val="24"/>
        </w:rPr>
      </w:pPr>
      <w:r w:rsidRPr="005076FB">
        <w:rPr>
          <w:rFonts w:ascii="Times New Roman" w:hAnsi="Times New Roman" w:cs="Times New Roman"/>
          <w:sz w:val="24"/>
          <w:szCs w:val="24"/>
        </w:rPr>
        <w:t xml:space="preserve">The PUCO erred by not </w:t>
      </w:r>
      <w:r w:rsidRPr="005076FB" w:rsidR="004703F4">
        <w:rPr>
          <w:rFonts w:ascii="Times New Roman" w:hAnsi="Times New Roman" w:cs="Times New Roman"/>
          <w:sz w:val="24"/>
          <w:szCs w:val="24"/>
        </w:rPr>
        <w:t>initiat</w:t>
      </w:r>
      <w:r w:rsidRPr="005076FB">
        <w:rPr>
          <w:rFonts w:ascii="Times New Roman" w:hAnsi="Times New Roman" w:cs="Times New Roman"/>
          <w:sz w:val="24"/>
          <w:szCs w:val="24"/>
        </w:rPr>
        <w:t>ing</w:t>
      </w:r>
      <w:r w:rsidRPr="005076FB" w:rsidR="004703F4">
        <w:rPr>
          <w:rFonts w:ascii="Times New Roman" w:hAnsi="Times New Roman" w:cs="Times New Roman"/>
          <w:sz w:val="24"/>
          <w:szCs w:val="24"/>
        </w:rPr>
        <w:t xml:space="preserve"> a complaint or investigation</w:t>
      </w:r>
      <w:r w:rsidRPr="005076FB" w:rsidR="009845A6">
        <w:rPr>
          <w:rFonts w:ascii="Times New Roman" w:hAnsi="Times New Roman" w:cs="Times New Roman"/>
          <w:sz w:val="24"/>
          <w:szCs w:val="24"/>
        </w:rPr>
        <w:t xml:space="preserve"> </w:t>
      </w:r>
      <w:r w:rsidRPr="005076FB" w:rsidR="004703F4">
        <w:rPr>
          <w:rFonts w:ascii="Times New Roman" w:hAnsi="Times New Roman" w:cs="Times New Roman"/>
          <w:sz w:val="24"/>
          <w:szCs w:val="24"/>
        </w:rPr>
        <w:t xml:space="preserve">under R.C. 4928.18 and 4905.26 </w:t>
      </w:r>
      <w:r w:rsidRPr="005076FB" w:rsidR="005304B5">
        <w:rPr>
          <w:rFonts w:ascii="Times New Roman" w:hAnsi="Times New Roman" w:cs="Times New Roman"/>
          <w:sz w:val="24"/>
          <w:szCs w:val="24"/>
        </w:rPr>
        <w:t>that include</w:t>
      </w:r>
      <w:r w:rsidRPr="005076FB" w:rsidR="004F23A7">
        <w:rPr>
          <w:rFonts w:ascii="Times New Roman" w:hAnsi="Times New Roman" w:cs="Times New Roman"/>
          <w:sz w:val="24"/>
          <w:szCs w:val="24"/>
        </w:rPr>
        <w:t>s</w:t>
      </w:r>
      <w:r w:rsidRPr="005076FB" w:rsidR="005304B5">
        <w:rPr>
          <w:rFonts w:ascii="Times New Roman" w:hAnsi="Times New Roman" w:cs="Times New Roman"/>
          <w:sz w:val="24"/>
          <w:szCs w:val="24"/>
        </w:rPr>
        <w:t xml:space="preserve"> a full </w:t>
      </w:r>
      <w:r w:rsidRPr="005076FB" w:rsidR="004F23A7">
        <w:rPr>
          <w:rFonts w:ascii="Times New Roman" w:hAnsi="Times New Roman" w:cs="Times New Roman"/>
          <w:sz w:val="24"/>
          <w:szCs w:val="24"/>
        </w:rPr>
        <w:t xml:space="preserve">independent </w:t>
      </w:r>
      <w:r w:rsidRPr="005076FB" w:rsidR="005304B5">
        <w:rPr>
          <w:rFonts w:ascii="Times New Roman" w:hAnsi="Times New Roman" w:cs="Times New Roman"/>
          <w:sz w:val="24"/>
          <w:szCs w:val="24"/>
        </w:rPr>
        <w:t xml:space="preserve">management audit </w:t>
      </w:r>
      <w:r w:rsidRPr="005076FB" w:rsidR="006B3527">
        <w:rPr>
          <w:rFonts w:ascii="Times New Roman" w:hAnsi="Times New Roman" w:cs="Times New Roman"/>
          <w:sz w:val="24"/>
          <w:szCs w:val="24"/>
        </w:rPr>
        <w:t xml:space="preserve">and investigation </w:t>
      </w:r>
      <w:r w:rsidRPr="005076FB" w:rsidR="005304B5">
        <w:rPr>
          <w:rFonts w:ascii="Times New Roman" w:hAnsi="Times New Roman" w:cs="Times New Roman"/>
          <w:sz w:val="24"/>
          <w:szCs w:val="24"/>
        </w:rPr>
        <w:t>as requested by OCC</w:t>
      </w:r>
      <w:r w:rsidRPr="005076FB">
        <w:rPr>
          <w:rFonts w:ascii="Times New Roman" w:hAnsi="Times New Roman" w:cs="Times New Roman"/>
          <w:sz w:val="24"/>
          <w:szCs w:val="24"/>
        </w:rPr>
        <w:t xml:space="preserve">, including an investigation of the use of distribution modernization charge funds, </w:t>
      </w:r>
      <w:r w:rsidRPr="005076FB" w:rsidR="0038009B">
        <w:rPr>
          <w:rFonts w:ascii="Times New Roman" w:hAnsi="Times New Roman" w:cs="Times New Roman"/>
          <w:sz w:val="24"/>
          <w:szCs w:val="24"/>
        </w:rPr>
        <w:t>instead of</w:t>
      </w:r>
      <w:r w:rsidRPr="005076FB">
        <w:rPr>
          <w:rFonts w:ascii="Times New Roman" w:hAnsi="Times New Roman" w:cs="Times New Roman"/>
          <w:sz w:val="24"/>
          <w:szCs w:val="24"/>
        </w:rPr>
        <w:t xml:space="preserve"> </w:t>
      </w:r>
      <w:r w:rsidRPr="005076FB" w:rsidR="0038009B">
        <w:rPr>
          <w:rFonts w:ascii="Times New Roman" w:hAnsi="Times New Roman" w:cs="Times New Roman"/>
          <w:sz w:val="24"/>
          <w:szCs w:val="24"/>
        </w:rPr>
        <w:t>merely initiating</w:t>
      </w:r>
      <w:r w:rsidRPr="005076FB">
        <w:rPr>
          <w:rFonts w:ascii="Times New Roman" w:hAnsi="Times New Roman" w:cs="Times New Roman"/>
          <w:sz w:val="24"/>
          <w:szCs w:val="24"/>
        </w:rPr>
        <w:t xml:space="preserve"> the corporate separation audit</w:t>
      </w:r>
      <w:r w:rsidRPr="005076FB" w:rsidR="005304B5">
        <w:rPr>
          <w:rFonts w:ascii="Times New Roman" w:hAnsi="Times New Roman" w:cs="Times New Roman"/>
          <w:sz w:val="24"/>
          <w:szCs w:val="24"/>
        </w:rPr>
        <w:t>.</w:t>
      </w:r>
    </w:p>
    <w:p w:rsidR="008C5D5B" w:rsidRPr="005076FB" w:rsidP="008C5D5B" w14:paraId="14A4D5CB" w14:textId="77777777">
      <w:pPr>
        <w:pStyle w:val="ListParagraph"/>
        <w:widowControl w:val="0"/>
        <w:spacing w:after="0"/>
        <w:ind w:left="1440"/>
        <w:rPr>
          <w:rFonts w:ascii="Times New Roman" w:hAnsi="Times New Roman" w:cs="Times New Roman"/>
          <w:sz w:val="24"/>
          <w:szCs w:val="24"/>
        </w:rPr>
      </w:pPr>
    </w:p>
    <w:p w:rsidR="00683A44" w:rsidRPr="005076FB" w:rsidP="00BD5E0C" w14:paraId="7C60A5BC" w14:textId="58498393">
      <w:pPr>
        <w:ind w:left="1440" w:hanging="720"/>
        <w:rPr>
          <w:rFonts w:ascii="Times New Roman" w:hAnsi="Times New Roman" w:cs="Times New Roman"/>
          <w:sz w:val="24"/>
          <w:szCs w:val="24"/>
        </w:rPr>
      </w:pPr>
      <w:r w:rsidRPr="005076FB">
        <w:rPr>
          <w:rFonts w:ascii="Times New Roman" w:hAnsi="Times New Roman" w:cs="Times New Roman"/>
          <w:sz w:val="24"/>
          <w:szCs w:val="24"/>
        </w:rPr>
        <w:t xml:space="preserve"> </w:t>
      </w:r>
      <w:r w:rsidRPr="005076FB" w:rsidR="00E9084C">
        <w:rPr>
          <w:rFonts w:ascii="Times New Roman" w:hAnsi="Times New Roman" w:cs="Times New Roman"/>
          <w:sz w:val="24"/>
          <w:szCs w:val="24"/>
        </w:rPr>
        <w:t>6</w:t>
      </w:r>
      <w:r w:rsidRPr="005076FB" w:rsidR="008C5D5B">
        <w:rPr>
          <w:rFonts w:ascii="Times New Roman" w:hAnsi="Times New Roman" w:cs="Times New Roman"/>
          <w:sz w:val="24"/>
          <w:szCs w:val="24"/>
        </w:rPr>
        <w:t>.</w:t>
      </w:r>
      <w:r w:rsidRPr="005076FB" w:rsidR="008C5D5B">
        <w:rPr>
          <w:rFonts w:ascii="Times New Roman" w:hAnsi="Times New Roman" w:cs="Times New Roman"/>
          <w:sz w:val="24"/>
          <w:szCs w:val="24"/>
        </w:rPr>
        <w:tab/>
      </w:r>
      <w:r w:rsidRPr="005076FB" w:rsidR="00D25F95">
        <w:rPr>
          <w:rFonts w:ascii="Times New Roman" w:hAnsi="Times New Roman" w:cs="Times New Roman"/>
          <w:sz w:val="24"/>
          <w:szCs w:val="24"/>
        </w:rPr>
        <w:t xml:space="preserve">The PUCO erred </w:t>
      </w:r>
      <w:r w:rsidRPr="005076FB" w:rsidR="002B26D2">
        <w:rPr>
          <w:rFonts w:ascii="Times New Roman" w:hAnsi="Times New Roman" w:cs="Times New Roman"/>
          <w:sz w:val="24"/>
          <w:szCs w:val="24"/>
        </w:rPr>
        <w:t xml:space="preserve">by setting an audit scope for the </w:t>
      </w:r>
      <w:r w:rsidRPr="005076FB" w:rsidR="00D25F95">
        <w:rPr>
          <w:rFonts w:ascii="Times New Roman" w:hAnsi="Times New Roman" w:cs="Times New Roman"/>
          <w:sz w:val="24"/>
          <w:szCs w:val="24"/>
        </w:rPr>
        <w:t xml:space="preserve">“additional corporate separation audit” </w:t>
      </w:r>
      <w:r w:rsidRPr="005076FB" w:rsidR="002B26D2">
        <w:rPr>
          <w:rFonts w:ascii="Times New Roman" w:hAnsi="Times New Roman" w:cs="Times New Roman"/>
          <w:sz w:val="24"/>
          <w:szCs w:val="24"/>
        </w:rPr>
        <w:t>that</w:t>
      </w:r>
      <w:r w:rsidRPr="005076FB" w:rsidR="00A8436C">
        <w:rPr>
          <w:rFonts w:ascii="Times New Roman" w:hAnsi="Times New Roman" w:cs="Times New Roman"/>
          <w:sz w:val="24"/>
          <w:szCs w:val="24"/>
        </w:rPr>
        <w:t xml:space="preserve"> for consumer protection should more broadly address corporate separation issues.</w:t>
      </w:r>
      <w:r w:rsidRPr="005076FB" w:rsidR="00D25F95">
        <w:rPr>
          <w:rFonts w:ascii="Times New Roman" w:hAnsi="Times New Roman" w:cs="Times New Roman"/>
          <w:sz w:val="24"/>
          <w:szCs w:val="24"/>
        </w:rPr>
        <w:t xml:space="preserve"> The PUCO should expand the</w:t>
      </w:r>
      <w:r w:rsidRPr="005076FB" w:rsidR="002B26D2">
        <w:rPr>
          <w:rFonts w:ascii="Times New Roman" w:hAnsi="Times New Roman" w:cs="Times New Roman"/>
          <w:sz w:val="24"/>
          <w:szCs w:val="24"/>
        </w:rPr>
        <w:t xml:space="preserve"> scope of the</w:t>
      </w:r>
      <w:r w:rsidRPr="005076FB" w:rsidR="00D25F95">
        <w:rPr>
          <w:rFonts w:ascii="Times New Roman" w:hAnsi="Times New Roman" w:cs="Times New Roman"/>
          <w:sz w:val="24"/>
          <w:szCs w:val="24"/>
        </w:rPr>
        <w:t xml:space="preserve"> corporate separation audit after initiating a complaint or investigation under R.C. 4905.26 and 4928.18. </w:t>
      </w:r>
      <w:r w:rsidRPr="005076FB" w:rsidR="00745F56">
        <w:rPr>
          <w:rFonts w:ascii="Times New Roman" w:hAnsi="Times New Roman" w:cs="Times New Roman"/>
          <w:sz w:val="24"/>
          <w:szCs w:val="24"/>
        </w:rPr>
        <w:t xml:space="preserve"> </w:t>
      </w:r>
    </w:p>
    <w:p w:rsidR="00671C2A" w:rsidRPr="005076FB" w:rsidP="00DD5F98" w14:paraId="02F87974" w14:textId="1CE65E94">
      <w:pPr>
        <w:widowControl w:val="0"/>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The</w:t>
      </w:r>
      <w:r w:rsidRPr="005076FB" w:rsidR="00B32F08">
        <w:rPr>
          <w:rFonts w:ascii="Times New Roman" w:hAnsi="Times New Roman" w:cs="Times New Roman"/>
          <w:sz w:val="24"/>
          <w:szCs w:val="24"/>
        </w:rPr>
        <w:t xml:space="preserve"> reasons in support of this </w:t>
      </w:r>
      <w:r w:rsidRPr="005076FB" w:rsidR="00F74E73">
        <w:rPr>
          <w:rFonts w:ascii="Times New Roman" w:hAnsi="Times New Roman" w:cs="Times New Roman"/>
          <w:sz w:val="24"/>
          <w:szCs w:val="24"/>
        </w:rPr>
        <w:t>A</w:t>
      </w:r>
      <w:r w:rsidRPr="005076FB" w:rsidR="00B32F08">
        <w:rPr>
          <w:rFonts w:ascii="Times New Roman" w:hAnsi="Times New Roman" w:cs="Times New Roman"/>
          <w:sz w:val="24"/>
          <w:szCs w:val="24"/>
        </w:rPr>
        <w:t xml:space="preserve">pplication for </w:t>
      </w:r>
      <w:r w:rsidRPr="005076FB" w:rsidR="00F74E73">
        <w:rPr>
          <w:rFonts w:ascii="Times New Roman" w:hAnsi="Times New Roman" w:cs="Times New Roman"/>
          <w:sz w:val="24"/>
          <w:szCs w:val="24"/>
        </w:rPr>
        <w:t>R</w:t>
      </w:r>
      <w:r w:rsidRPr="005076FB" w:rsidR="00B32F08">
        <w:rPr>
          <w:rFonts w:ascii="Times New Roman" w:hAnsi="Times New Roman" w:cs="Times New Roman"/>
          <w:sz w:val="24"/>
          <w:szCs w:val="24"/>
        </w:rPr>
        <w:t xml:space="preserve">ehearing are </w:t>
      </w:r>
      <w:r w:rsidRPr="005076FB" w:rsidR="004F6497">
        <w:rPr>
          <w:rFonts w:ascii="Times New Roman" w:hAnsi="Times New Roman" w:cs="Times New Roman"/>
          <w:sz w:val="24"/>
          <w:szCs w:val="24"/>
        </w:rPr>
        <w:t xml:space="preserve">more fully </w:t>
      </w:r>
      <w:r w:rsidRPr="005076FB" w:rsidR="00B32F08">
        <w:rPr>
          <w:rFonts w:ascii="Times New Roman" w:hAnsi="Times New Roman" w:cs="Times New Roman"/>
          <w:sz w:val="24"/>
          <w:szCs w:val="24"/>
        </w:rPr>
        <w:t xml:space="preserve">set forth in the accompanying Memorandum in Support.  The PUCO should protect FirstEnergy’s consumers by granting rehearing and abrogating or modifying its </w:t>
      </w:r>
      <w:r w:rsidRPr="005076FB" w:rsidR="00CB7B32">
        <w:rPr>
          <w:rFonts w:ascii="Times New Roman" w:hAnsi="Times New Roman" w:cs="Times New Roman"/>
          <w:sz w:val="24"/>
          <w:szCs w:val="24"/>
        </w:rPr>
        <w:t xml:space="preserve">Entry </w:t>
      </w:r>
      <w:r w:rsidRPr="005076FB" w:rsidR="00B32F08">
        <w:rPr>
          <w:rFonts w:ascii="Times New Roman" w:hAnsi="Times New Roman" w:cs="Times New Roman"/>
          <w:sz w:val="24"/>
          <w:szCs w:val="24"/>
        </w:rPr>
        <w:t xml:space="preserve">as proposed by OCC.  </w:t>
      </w:r>
    </w:p>
    <w:p w:rsidR="00A157DF" w:rsidRPr="005076FB" w:rsidP="00FE0028" w14:paraId="199239B1" w14:textId="77777777">
      <w:pPr>
        <w:pStyle w:val="Footer"/>
        <w:tabs>
          <w:tab w:val="left" w:pos="4320"/>
        </w:tabs>
        <w:ind w:firstLine="4320"/>
        <w:rPr>
          <w:rFonts w:ascii="Times New Roman" w:hAnsi="Times New Roman" w:cs="Times New Roman"/>
          <w:sz w:val="24"/>
          <w:szCs w:val="24"/>
        </w:rPr>
        <w:sectPr w:rsidSect="00A157DF">
          <w:headerReference w:type="default" r:id="rId12"/>
          <w:footerReference w:type="default" r:id="rId13"/>
          <w:pgSz w:w="12240" w:h="15840"/>
          <w:pgMar w:top="1440" w:right="1800" w:bottom="1440" w:left="1800" w:header="720" w:footer="720" w:gutter="0"/>
          <w:cols w:space="720"/>
          <w:docGrid w:linePitch="360"/>
        </w:sectPr>
      </w:pPr>
    </w:p>
    <w:p w:rsidR="00FE0028" w:rsidRPr="005076FB" w:rsidP="00FE0028" w14:paraId="46F3295A" w14:textId="43EA963B">
      <w:pPr>
        <w:pStyle w:val="Footer"/>
        <w:tabs>
          <w:tab w:val="left" w:pos="4320"/>
        </w:tabs>
        <w:ind w:firstLine="4320"/>
        <w:rPr>
          <w:rFonts w:ascii="Times New Roman" w:hAnsi="Times New Roman" w:cs="Times New Roman"/>
          <w:sz w:val="24"/>
          <w:szCs w:val="24"/>
        </w:rPr>
      </w:pPr>
      <w:r w:rsidRPr="005076FB">
        <w:rPr>
          <w:rFonts w:ascii="Times New Roman" w:hAnsi="Times New Roman" w:cs="Times New Roman"/>
          <w:sz w:val="24"/>
          <w:szCs w:val="24"/>
        </w:rPr>
        <w:t>Respectfully submitted,</w:t>
      </w:r>
    </w:p>
    <w:p w:rsidR="00FE0028" w:rsidRPr="005076FB" w:rsidP="00FE0028" w14:paraId="7682A6C8" w14:textId="77777777">
      <w:pPr>
        <w:pStyle w:val="Footer"/>
        <w:tabs>
          <w:tab w:val="left" w:pos="4320"/>
        </w:tabs>
        <w:rPr>
          <w:rFonts w:ascii="Times New Roman" w:hAnsi="Times New Roman" w:cs="Times New Roman"/>
          <w:sz w:val="24"/>
          <w:szCs w:val="24"/>
        </w:rPr>
      </w:pPr>
      <w:r w:rsidRPr="005076FB">
        <w:rPr>
          <w:rFonts w:ascii="Times New Roman" w:hAnsi="Times New Roman" w:cs="Times New Roman"/>
          <w:sz w:val="24"/>
          <w:szCs w:val="24"/>
        </w:rPr>
        <w:tab/>
      </w:r>
    </w:p>
    <w:p w:rsidR="00FE0028" w:rsidRPr="005076FB" w:rsidP="00FE0028" w14:paraId="7986316A" w14:textId="0D4549B6">
      <w:pPr>
        <w:pStyle w:val="Footer"/>
        <w:tabs>
          <w:tab w:val="left" w:pos="4320"/>
        </w:tabs>
        <w:rPr>
          <w:rFonts w:ascii="Times New Roman" w:hAnsi="Times New Roman" w:cs="Times New Roman"/>
          <w:sz w:val="24"/>
          <w:szCs w:val="24"/>
        </w:rPr>
      </w:pPr>
      <w:r w:rsidRPr="005076FB">
        <w:rPr>
          <w:rFonts w:ascii="Times New Roman" w:hAnsi="Times New Roman" w:cs="Times New Roman"/>
          <w:sz w:val="24"/>
          <w:szCs w:val="24"/>
        </w:rPr>
        <w:tab/>
        <w:t>Bruce Weston (#0016973)</w:t>
      </w:r>
    </w:p>
    <w:p w:rsidR="00FE0028" w:rsidRPr="005076FB" w:rsidP="00FE0028" w14:paraId="2C22B9E7"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t>Ohio Consumers’ Counsel</w:t>
      </w:r>
    </w:p>
    <w:p w:rsidR="00FE0028" w:rsidRPr="005076FB" w:rsidP="00FE0028" w14:paraId="4B429946"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r>
    </w:p>
    <w:p w:rsidR="00FE0028" w:rsidRPr="005076FB" w:rsidP="00FE0028" w14:paraId="54FF01C6" w14:textId="77777777">
      <w:pPr>
        <w:tabs>
          <w:tab w:val="left" w:pos="4320"/>
        </w:tabs>
        <w:spacing w:after="0"/>
        <w:rPr>
          <w:rFonts w:ascii="Times New Roman" w:hAnsi="Times New Roman" w:cs="Times New Roman"/>
          <w:i/>
          <w:iCs/>
          <w:sz w:val="24"/>
          <w:szCs w:val="24"/>
          <w:u w:val="single"/>
        </w:rPr>
      </w:pPr>
      <w:r w:rsidRPr="005076FB">
        <w:rPr>
          <w:rFonts w:ascii="Times New Roman" w:hAnsi="Times New Roman" w:cs="Times New Roman"/>
          <w:sz w:val="24"/>
          <w:szCs w:val="24"/>
        </w:rPr>
        <w:tab/>
      </w:r>
      <w:r w:rsidRPr="005076FB">
        <w:rPr>
          <w:rFonts w:ascii="Times New Roman" w:hAnsi="Times New Roman" w:cs="Times New Roman"/>
          <w:i/>
          <w:iCs/>
          <w:sz w:val="24"/>
          <w:szCs w:val="24"/>
          <w:u w:val="single"/>
        </w:rPr>
        <w:t>/s/ Maureen R. Willis</w:t>
      </w:r>
    </w:p>
    <w:p w:rsidR="00FE0028" w:rsidRPr="005076FB" w:rsidP="00FE0028" w14:paraId="55F3DF9F"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t>Maureen R. Willis, Senior Counsel</w:t>
      </w:r>
    </w:p>
    <w:p w:rsidR="00FE0028" w:rsidRPr="005076FB" w:rsidP="00FE0028" w14:paraId="07D6B6AC"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t>Counsel of Record  (#0020847)</w:t>
      </w:r>
    </w:p>
    <w:p w:rsidR="00FE0028" w:rsidRPr="005076FB" w:rsidP="00FE0028" w14:paraId="26F468EF" w14:textId="312D82A8">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t>Angela D. O’Brien (#0097579)</w:t>
      </w:r>
    </w:p>
    <w:p w:rsidR="00FE0028" w:rsidRPr="005076FB" w:rsidP="00FE0028" w14:paraId="096A5F09"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t>Assistant Consumers’ Counsel</w:t>
      </w:r>
    </w:p>
    <w:p w:rsidR="00FE0028" w:rsidRPr="005076FB" w:rsidP="00FE0028" w14:paraId="50CC9750" w14:textId="77777777">
      <w:pPr>
        <w:spacing w:after="0"/>
        <w:rPr>
          <w:rFonts w:ascii="Times New Roman" w:hAnsi="Times New Roman" w:cs="Times New Roman"/>
          <w:sz w:val="24"/>
          <w:szCs w:val="24"/>
        </w:rPr>
      </w:pPr>
      <w:r w:rsidRPr="005076FB">
        <w:rPr>
          <w:rFonts w:ascii="Times New Roman" w:hAnsi="Times New Roman" w:cs="Times New Roman"/>
          <w:sz w:val="24"/>
          <w:szCs w:val="24"/>
        </w:rPr>
        <w:tab/>
      </w:r>
    </w:p>
    <w:p w:rsidR="00FE0028" w:rsidRPr="005076FB" w:rsidP="00FE0028" w14:paraId="53D5B6FF" w14:textId="77777777">
      <w:pPr>
        <w:spacing w:after="0"/>
        <w:ind w:left="4320"/>
        <w:rPr>
          <w:rFonts w:ascii="Times New Roman" w:hAnsi="Times New Roman" w:cs="Times New Roman"/>
          <w:b/>
          <w:bCs/>
          <w:sz w:val="24"/>
          <w:szCs w:val="24"/>
        </w:rPr>
      </w:pPr>
      <w:r w:rsidRPr="005076FB">
        <w:rPr>
          <w:rFonts w:ascii="Times New Roman" w:hAnsi="Times New Roman" w:cs="Times New Roman"/>
          <w:b/>
          <w:bCs/>
          <w:sz w:val="24"/>
          <w:szCs w:val="24"/>
        </w:rPr>
        <w:t>Office of the Ohio Consumers’ Counsel</w:t>
      </w:r>
    </w:p>
    <w:p w:rsidR="00FE0028" w:rsidRPr="005076FB" w:rsidP="00FE0028" w14:paraId="48DA33CC" w14:textId="77777777">
      <w:pPr>
        <w:spacing w:after="0"/>
        <w:ind w:left="4320"/>
        <w:rPr>
          <w:rFonts w:ascii="Times New Roman" w:hAnsi="Times New Roman" w:cs="Times New Roman"/>
          <w:bCs/>
          <w:sz w:val="24"/>
          <w:szCs w:val="24"/>
        </w:rPr>
      </w:pPr>
      <w:r w:rsidRPr="005076FB">
        <w:rPr>
          <w:rFonts w:ascii="Times New Roman" w:hAnsi="Times New Roman" w:cs="Times New Roman"/>
          <w:bCs/>
          <w:sz w:val="24"/>
          <w:szCs w:val="24"/>
        </w:rPr>
        <w:t>65 East State Street, 7</w:t>
      </w:r>
      <w:r w:rsidRPr="005076FB">
        <w:rPr>
          <w:rFonts w:ascii="Times New Roman" w:hAnsi="Times New Roman" w:cs="Times New Roman"/>
          <w:bCs/>
          <w:sz w:val="24"/>
          <w:szCs w:val="24"/>
          <w:vertAlign w:val="superscript"/>
        </w:rPr>
        <w:t>th</w:t>
      </w:r>
      <w:r w:rsidRPr="005076FB">
        <w:rPr>
          <w:rFonts w:ascii="Times New Roman" w:hAnsi="Times New Roman" w:cs="Times New Roman"/>
          <w:bCs/>
          <w:sz w:val="24"/>
          <w:szCs w:val="24"/>
        </w:rPr>
        <w:t xml:space="preserve"> Floor</w:t>
      </w:r>
    </w:p>
    <w:p w:rsidR="00FE0028" w:rsidRPr="005076FB" w:rsidP="00FE0028" w14:paraId="7601E6CF" w14:textId="77777777">
      <w:pPr>
        <w:spacing w:after="0"/>
        <w:rPr>
          <w:rFonts w:ascii="Times New Roman" w:hAnsi="Times New Roman" w:cs="Times New Roman"/>
          <w:bCs/>
          <w:sz w:val="24"/>
          <w:szCs w:val="24"/>
        </w:rPr>
      </w:pP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bCs/>
          <w:sz w:val="24"/>
          <w:szCs w:val="24"/>
        </w:rPr>
        <w:t>Columbus, Ohio 43215</w:t>
      </w:r>
    </w:p>
    <w:p w:rsidR="00FE0028" w:rsidRPr="005076FB" w:rsidP="00FE0028" w14:paraId="42007AE6" w14:textId="77777777">
      <w:pPr>
        <w:autoSpaceDE w:val="0"/>
        <w:autoSpaceDN w:val="0"/>
        <w:adjustRightInd w:val="0"/>
        <w:spacing w:after="0"/>
        <w:ind w:left="3600" w:firstLine="720"/>
        <w:rPr>
          <w:rFonts w:ascii="Times New Roman" w:hAnsi="Times New Roman" w:cs="Times New Roman"/>
          <w:sz w:val="24"/>
          <w:szCs w:val="24"/>
        </w:rPr>
      </w:pPr>
      <w:r w:rsidRPr="005076FB">
        <w:rPr>
          <w:rFonts w:ascii="Times New Roman" w:hAnsi="Times New Roman" w:cs="Times New Roman"/>
          <w:sz w:val="24"/>
          <w:szCs w:val="24"/>
        </w:rPr>
        <w:t xml:space="preserve">Telephone: (614) 466-9567 (Willis) </w:t>
      </w:r>
    </w:p>
    <w:p w:rsidR="00FE0028" w:rsidRPr="005076FB" w:rsidP="00FE0028" w14:paraId="2777B262" w14:textId="77777777">
      <w:pPr>
        <w:autoSpaceDE w:val="0"/>
        <w:autoSpaceDN w:val="0"/>
        <w:adjustRightInd w:val="0"/>
        <w:spacing w:after="0"/>
        <w:ind w:left="3600" w:firstLine="720"/>
        <w:rPr>
          <w:rFonts w:ascii="Times New Roman" w:hAnsi="Times New Roman" w:cs="Times New Roman"/>
          <w:sz w:val="24"/>
          <w:szCs w:val="24"/>
        </w:rPr>
      </w:pPr>
      <w:r w:rsidRPr="005076FB">
        <w:rPr>
          <w:rFonts w:ascii="Times New Roman" w:hAnsi="Times New Roman" w:cs="Times New Roman"/>
          <w:sz w:val="24"/>
          <w:szCs w:val="24"/>
        </w:rPr>
        <w:t xml:space="preserve">Telephone: (614) 466-9531 (O’Brien) </w:t>
      </w:r>
    </w:p>
    <w:p w:rsidR="00FE0028" w:rsidRPr="005076FB" w:rsidP="00FE0028" w14:paraId="2EC3224F" w14:textId="77777777">
      <w:pPr>
        <w:autoSpaceDE w:val="0"/>
        <w:autoSpaceDN w:val="0"/>
        <w:adjustRightInd w:val="0"/>
        <w:spacing w:after="0"/>
        <w:ind w:left="3600" w:firstLine="720"/>
        <w:rPr>
          <w:rFonts w:ascii="Times New Roman" w:hAnsi="Times New Roman" w:cs="Times New Roman"/>
          <w:sz w:val="24"/>
          <w:szCs w:val="24"/>
        </w:rPr>
      </w:pPr>
      <w:hyperlink r:id="rId6" w:history="1">
        <w:r w:rsidRPr="005076FB" w:rsidR="00E52500">
          <w:rPr>
            <w:rStyle w:val="Hyperlink"/>
            <w:rFonts w:ascii="Times New Roman" w:hAnsi="Times New Roman" w:cs="Times New Roman"/>
            <w:sz w:val="24"/>
            <w:szCs w:val="24"/>
          </w:rPr>
          <w:t>Maureen.willis@occ.ohio.gov</w:t>
        </w:r>
      </w:hyperlink>
    </w:p>
    <w:p w:rsidR="00FE0028" w:rsidRPr="005076FB" w:rsidP="00FE0028" w14:paraId="408698F4" w14:textId="77777777">
      <w:pPr>
        <w:autoSpaceDE w:val="0"/>
        <w:autoSpaceDN w:val="0"/>
        <w:adjustRightInd w:val="0"/>
        <w:spacing w:after="0"/>
        <w:ind w:left="3600" w:firstLine="720"/>
        <w:rPr>
          <w:rFonts w:ascii="Times New Roman" w:hAnsi="Times New Roman" w:cs="Times New Roman"/>
          <w:sz w:val="24"/>
          <w:szCs w:val="24"/>
        </w:rPr>
      </w:pPr>
      <w:hyperlink r:id="rId7" w:history="1">
        <w:r w:rsidRPr="005076FB" w:rsidR="00E52500">
          <w:rPr>
            <w:rStyle w:val="Hyperlink"/>
            <w:rFonts w:ascii="Times New Roman" w:hAnsi="Times New Roman" w:cs="Times New Roman"/>
            <w:sz w:val="24"/>
            <w:szCs w:val="24"/>
          </w:rPr>
          <w:t>Angela.obrien@occ.ohio.gov</w:t>
        </w:r>
      </w:hyperlink>
    </w:p>
    <w:p w:rsidR="00FE0028" w:rsidRPr="005076FB" w:rsidP="00FE0028" w14:paraId="06A6AACD" w14:textId="033A35A6">
      <w:pPr>
        <w:autoSpaceDE w:val="0"/>
        <w:autoSpaceDN w:val="0"/>
        <w:adjustRightInd w:val="0"/>
        <w:spacing w:after="0"/>
        <w:rPr>
          <w:rFonts w:ascii="Times New Roman" w:hAnsi="Times New Roman" w:cs="Times New Roman"/>
          <w:sz w:val="24"/>
          <w:szCs w:val="24"/>
        </w:rPr>
      </w:pP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t>(willing to accept service by e-mail)</w:t>
      </w:r>
    </w:p>
    <w:p w:rsidR="001D4AFA" w:rsidRPr="005076FB" w:rsidP="00FB6402" w14:paraId="5C6EF131" w14:textId="77777777">
      <w:pPr>
        <w:autoSpaceDE w:val="0"/>
        <w:autoSpaceDN w:val="0"/>
        <w:adjustRightInd w:val="0"/>
        <w:spacing w:after="0"/>
        <w:ind w:left="4320"/>
        <w:rPr>
          <w:rFonts w:ascii="Times New Roman" w:hAnsi="Times New Roman" w:cs="Times New Roman"/>
          <w:color w:val="000000"/>
          <w:sz w:val="24"/>
          <w:szCs w:val="24"/>
        </w:rPr>
        <w:sectPr w:rsidSect="00A157DF">
          <w:pgSz w:w="12240" w:h="15840"/>
          <w:pgMar w:top="1440" w:right="1800" w:bottom="1440" w:left="1800" w:header="720" w:footer="720" w:gutter="0"/>
          <w:cols w:space="720"/>
          <w:docGrid w:linePitch="360"/>
        </w:sectPr>
      </w:pPr>
    </w:p>
    <w:p w:rsidR="00461179" w:rsidP="00461179" w14:paraId="0CDCA04D" w14:textId="3F23EC55">
      <w:pPr>
        <w:jc w:val="center"/>
        <w:rPr>
          <w:rFonts w:ascii="Times New Roman" w:hAnsi="Times New Roman" w:cs="Times New Roman"/>
          <w:b/>
          <w:bCs/>
          <w:sz w:val="24"/>
          <w:szCs w:val="24"/>
          <w:u w:val="single"/>
        </w:rPr>
      </w:pPr>
      <w:r w:rsidRPr="005076FB">
        <w:rPr>
          <w:rFonts w:ascii="Times New Roman" w:hAnsi="Times New Roman" w:cs="Times New Roman"/>
          <w:b/>
          <w:bCs/>
          <w:sz w:val="24"/>
          <w:szCs w:val="24"/>
          <w:u w:val="single"/>
        </w:rPr>
        <w:t>TABLE OF CONTENTS</w:t>
      </w:r>
    </w:p>
    <w:p w:rsidR="007A3B04" w:rsidRPr="007A3B04" w:rsidP="00461179" w14:paraId="602E3DBD" w14:textId="3F0AFDAC">
      <w:pPr>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PAGE</w:t>
      </w:r>
    </w:p>
    <w:p w:rsidR="007A3B04" w14:paraId="0CBE2D39" w14:textId="0B992AE2">
      <w:pPr>
        <w:pStyle w:val="TOC1"/>
        <w:rPr>
          <w:rFonts w:asciiTheme="minorHAnsi" w:eastAsiaTheme="minorEastAsia" w:hAnsiTheme="minorHAnsi"/>
          <w:noProof/>
          <w:sz w:val="22"/>
        </w:rPr>
      </w:pPr>
      <w:r w:rsidRPr="005076FB">
        <w:rPr>
          <w:rFonts w:cs="Times New Roman"/>
          <w:szCs w:val="24"/>
        </w:rPr>
        <w:fldChar w:fldCharType="begin"/>
      </w:r>
      <w:r w:rsidRPr="005076FB">
        <w:rPr>
          <w:rFonts w:cs="Times New Roman"/>
          <w:szCs w:val="24"/>
        </w:rPr>
        <w:instrText xml:space="preserve"> TOC \o "1-2" \h \z \u </w:instrText>
      </w:r>
      <w:r w:rsidRPr="005076FB">
        <w:rPr>
          <w:rFonts w:cs="Times New Roman"/>
          <w:szCs w:val="24"/>
        </w:rPr>
        <w:fldChar w:fldCharType="separate"/>
      </w:r>
      <w:hyperlink w:anchor="_Toc57991029" w:history="1">
        <w:r w:rsidRPr="00E42BC7">
          <w:rPr>
            <w:rStyle w:val="Hyperlink"/>
            <w:noProof/>
          </w:rPr>
          <w:t>I.</w:t>
        </w:r>
        <w:r>
          <w:rPr>
            <w:rFonts w:asciiTheme="minorHAnsi" w:eastAsiaTheme="minorEastAsia" w:hAnsiTheme="minorHAnsi"/>
            <w:noProof/>
            <w:sz w:val="22"/>
          </w:rPr>
          <w:tab/>
        </w:r>
        <w:r w:rsidRPr="00E42BC7">
          <w:rPr>
            <w:rStyle w:val="Hyperlink"/>
            <w:noProof/>
          </w:rPr>
          <w:t>INTRODUCTION</w:t>
        </w:r>
        <w:r>
          <w:rPr>
            <w:noProof/>
            <w:webHidden/>
          </w:rPr>
          <w:tab/>
        </w:r>
        <w:r>
          <w:rPr>
            <w:noProof/>
            <w:webHidden/>
          </w:rPr>
          <w:fldChar w:fldCharType="begin"/>
        </w:r>
        <w:r>
          <w:rPr>
            <w:noProof/>
            <w:webHidden/>
          </w:rPr>
          <w:instrText xml:space="preserve"> PAGEREF _Toc57991029 \h </w:instrText>
        </w:r>
        <w:r>
          <w:rPr>
            <w:noProof/>
            <w:webHidden/>
          </w:rPr>
          <w:fldChar w:fldCharType="separate"/>
        </w:r>
        <w:r>
          <w:rPr>
            <w:noProof/>
            <w:webHidden/>
          </w:rPr>
          <w:t>1</w:t>
        </w:r>
        <w:r>
          <w:rPr>
            <w:noProof/>
            <w:webHidden/>
          </w:rPr>
          <w:fldChar w:fldCharType="end"/>
        </w:r>
      </w:hyperlink>
    </w:p>
    <w:p w:rsidR="007A3B04" w14:paraId="76D98A84" w14:textId="13FD0474">
      <w:pPr>
        <w:pStyle w:val="TOC1"/>
        <w:rPr>
          <w:rFonts w:asciiTheme="minorHAnsi" w:eastAsiaTheme="minorEastAsia" w:hAnsiTheme="minorHAnsi"/>
          <w:noProof/>
          <w:sz w:val="22"/>
        </w:rPr>
      </w:pPr>
      <w:hyperlink w:anchor="_Toc57991030" w:history="1">
        <w:r w:rsidRPr="00E42BC7">
          <w:rPr>
            <w:rStyle w:val="Hyperlink"/>
            <w:noProof/>
          </w:rPr>
          <w:t>II.</w:t>
        </w:r>
        <w:r>
          <w:rPr>
            <w:rFonts w:asciiTheme="minorHAnsi" w:eastAsiaTheme="minorEastAsia" w:hAnsiTheme="minorHAnsi"/>
            <w:noProof/>
            <w:sz w:val="22"/>
          </w:rPr>
          <w:tab/>
        </w:r>
        <w:r w:rsidRPr="00E42BC7">
          <w:rPr>
            <w:rStyle w:val="Hyperlink"/>
            <w:noProof/>
          </w:rPr>
          <w:t>MATTERS FOR CONSIDERATION</w:t>
        </w:r>
        <w:r>
          <w:rPr>
            <w:noProof/>
            <w:webHidden/>
          </w:rPr>
          <w:tab/>
        </w:r>
        <w:r>
          <w:rPr>
            <w:noProof/>
            <w:webHidden/>
          </w:rPr>
          <w:fldChar w:fldCharType="begin"/>
        </w:r>
        <w:r>
          <w:rPr>
            <w:noProof/>
            <w:webHidden/>
          </w:rPr>
          <w:instrText xml:space="preserve"> PAGEREF _Toc57991030 \h </w:instrText>
        </w:r>
        <w:r>
          <w:rPr>
            <w:noProof/>
            <w:webHidden/>
          </w:rPr>
          <w:fldChar w:fldCharType="separate"/>
        </w:r>
        <w:r>
          <w:rPr>
            <w:noProof/>
            <w:webHidden/>
          </w:rPr>
          <w:t>2</w:t>
        </w:r>
        <w:r>
          <w:rPr>
            <w:noProof/>
            <w:webHidden/>
          </w:rPr>
          <w:fldChar w:fldCharType="end"/>
        </w:r>
      </w:hyperlink>
    </w:p>
    <w:p w:rsidR="007A3B04" w14:paraId="12A3ED9B" w14:textId="11FB0F82">
      <w:pPr>
        <w:pStyle w:val="TOC2"/>
        <w:tabs>
          <w:tab w:val="right" w:leader="dot" w:pos="8630"/>
        </w:tabs>
        <w:rPr>
          <w:rFonts w:asciiTheme="minorHAnsi" w:eastAsiaTheme="minorEastAsia" w:hAnsiTheme="minorHAnsi"/>
          <w:noProof/>
          <w:sz w:val="22"/>
        </w:rPr>
      </w:pPr>
      <w:hyperlink w:anchor="_Toc57991031" w:history="1">
        <w:r w:rsidRPr="00E42BC7">
          <w:rPr>
            <w:rStyle w:val="Hyperlink"/>
            <w:noProof/>
          </w:rPr>
          <w:t>ASSIGNMENT OF ERROR NO. 1:  The PUCO erred by failing to order FirstEnergy to produce to the PUCO and parties all documents pertaining to investigations that are underway concerning FirstEnergy’s House Bill 6 activities, including the internal investigation by the FirstEnergy Corp. Independent Board of Directors, which apparently resulted in the termination of FirstEnergy Corp. executives including its CEO and led to the resignation of the PUCO Chair</w:t>
        </w:r>
        <w:r>
          <w:rPr>
            <w:noProof/>
            <w:webHidden/>
          </w:rPr>
          <w:tab/>
        </w:r>
        <w:r>
          <w:rPr>
            <w:noProof/>
            <w:webHidden/>
          </w:rPr>
          <w:fldChar w:fldCharType="begin"/>
        </w:r>
        <w:r>
          <w:rPr>
            <w:noProof/>
            <w:webHidden/>
          </w:rPr>
          <w:instrText xml:space="preserve"> PAGEREF _Toc57991031 \h </w:instrText>
        </w:r>
        <w:r>
          <w:rPr>
            <w:noProof/>
            <w:webHidden/>
          </w:rPr>
          <w:fldChar w:fldCharType="separate"/>
        </w:r>
        <w:r>
          <w:rPr>
            <w:noProof/>
            <w:webHidden/>
          </w:rPr>
          <w:t>2</w:t>
        </w:r>
        <w:r>
          <w:rPr>
            <w:noProof/>
            <w:webHidden/>
          </w:rPr>
          <w:fldChar w:fldCharType="end"/>
        </w:r>
      </w:hyperlink>
    </w:p>
    <w:p w:rsidR="007A3B04" w14:paraId="35DF0C54" w14:textId="299B9A55">
      <w:pPr>
        <w:pStyle w:val="TOC2"/>
        <w:tabs>
          <w:tab w:val="right" w:leader="dot" w:pos="8630"/>
        </w:tabs>
        <w:rPr>
          <w:rFonts w:asciiTheme="minorHAnsi" w:eastAsiaTheme="minorEastAsia" w:hAnsiTheme="minorHAnsi"/>
          <w:noProof/>
          <w:sz w:val="22"/>
        </w:rPr>
      </w:pPr>
      <w:hyperlink w:anchor="_Toc57991032" w:history="1">
        <w:r w:rsidRPr="00E42BC7">
          <w:rPr>
            <w:rStyle w:val="Hyperlink"/>
            <w:noProof/>
          </w:rPr>
          <w:t xml:space="preserve">ASSIGNMENT OF ERROR NO. 2:  The PUCO erred by failing to establish an </w:t>
        </w:r>
        <w:r w:rsidRPr="00E42BC7">
          <w:rPr>
            <w:rStyle w:val="Hyperlink"/>
            <w:i/>
            <w:iCs/>
            <w:noProof/>
          </w:rPr>
          <w:t xml:space="preserve">independent audit committee </w:t>
        </w:r>
        <w:r w:rsidRPr="00E42BC7">
          <w:rPr>
            <w:rStyle w:val="Hyperlink"/>
            <w:noProof/>
          </w:rPr>
          <w:t>(which in variation the PUCO has used in the past) to oversee its ordered audit of any House Bill 6-related spending by FirstEnergy and its affiliates.  The purpose of the audit committee and its structure should be, among other things, to provide independent guidance for the audit process (separate from the PUCO).  This is appropriate in the context of but not limited to the circumstance of the former PUCO Chair’s potential relationship with FirstEnergy as (obscurely) alluded to in the S.E.C. Form 10-Q that FirstEnergy filed on November 19, 2020.</w:t>
        </w:r>
        <w:r>
          <w:rPr>
            <w:noProof/>
            <w:webHidden/>
          </w:rPr>
          <w:tab/>
        </w:r>
        <w:r>
          <w:rPr>
            <w:noProof/>
            <w:webHidden/>
          </w:rPr>
          <w:fldChar w:fldCharType="begin"/>
        </w:r>
        <w:r>
          <w:rPr>
            <w:noProof/>
            <w:webHidden/>
          </w:rPr>
          <w:instrText xml:space="preserve"> PAGEREF _Toc57991032 \h </w:instrText>
        </w:r>
        <w:r>
          <w:rPr>
            <w:noProof/>
            <w:webHidden/>
          </w:rPr>
          <w:fldChar w:fldCharType="separate"/>
        </w:r>
        <w:r>
          <w:rPr>
            <w:noProof/>
            <w:webHidden/>
          </w:rPr>
          <w:t>3</w:t>
        </w:r>
        <w:r>
          <w:rPr>
            <w:noProof/>
            <w:webHidden/>
          </w:rPr>
          <w:fldChar w:fldCharType="end"/>
        </w:r>
      </w:hyperlink>
    </w:p>
    <w:p w:rsidR="007A3B04" w14:paraId="48E8D51F" w14:textId="528B5DDE">
      <w:pPr>
        <w:pStyle w:val="TOC2"/>
        <w:tabs>
          <w:tab w:val="right" w:leader="dot" w:pos="8630"/>
        </w:tabs>
        <w:rPr>
          <w:rFonts w:asciiTheme="minorHAnsi" w:eastAsiaTheme="minorEastAsia" w:hAnsiTheme="minorHAnsi"/>
          <w:noProof/>
          <w:sz w:val="22"/>
        </w:rPr>
      </w:pPr>
      <w:hyperlink w:anchor="_Toc57991033" w:history="1">
        <w:r w:rsidRPr="00E42BC7">
          <w:rPr>
            <w:rStyle w:val="Hyperlink"/>
            <w:noProof/>
          </w:rPr>
          <w:t>ASSIGNMENT OF ERROR NO. 3: The PUCO erred by, respectively, issuing its ruling and then not vacating and revisiting its ruling on the OCC’s motions and related issues, in the context of but not limited to the circumstance of the former PUCO Chair’s potential relationship with FirstEnergy as (obscurely) alluded to in the S.E.C. Form 10-Q that FirstEnergy filed on November 19, 2020.</w:t>
        </w:r>
        <w:r>
          <w:rPr>
            <w:noProof/>
            <w:webHidden/>
          </w:rPr>
          <w:tab/>
        </w:r>
        <w:r>
          <w:rPr>
            <w:noProof/>
            <w:webHidden/>
          </w:rPr>
          <w:fldChar w:fldCharType="begin"/>
        </w:r>
        <w:r>
          <w:rPr>
            <w:noProof/>
            <w:webHidden/>
          </w:rPr>
          <w:instrText xml:space="preserve"> PAGEREF _Toc57991033 \h </w:instrText>
        </w:r>
        <w:r>
          <w:rPr>
            <w:noProof/>
            <w:webHidden/>
          </w:rPr>
          <w:fldChar w:fldCharType="separate"/>
        </w:r>
        <w:r>
          <w:rPr>
            <w:noProof/>
            <w:webHidden/>
          </w:rPr>
          <w:t>5</w:t>
        </w:r>
        <w:r>
          <w:rPr>
            <w:noProof/>
            <w:webHidden/>
          </w:rPr>
          <w:fldChar w:fldCharType="end"/>
        </w:r>
      </w:hyperlink>
    </w:p>
    <w:p w:rsidR="007A3B04" w14:paraId="2744E19A" w14:textId="38525D6C">
      <w:pPr>
        <w:pStyle w:val="TOC2"/>
        <w:tabs>
          <w:tab w:val="right" w:leader="dot" w:pos="8630"/>
        </w:tabs>
        <w:rPr>
          <w:rFonts w:asciiTheme="minorHAnsi" w:eastAsiaTheme="minorEastAsia" w:hAnsiTheme="minorHAnsi"/>
          <w:noProof/>
          <w:sz w:val="22"/>
        </w:rPr>
      </w:pPr>
      <w:hyperlink w:anchor="_Toc57991034" w:history="1">
        <w:r w:rsidRPr="00E42BC7">
          <w:rPr>
            <w:rStyle w:val="Hyperlink"/>
            <w:noProof/>
          </w:rPr>
          <w:t>ASSIGNMENT OF ERROR NO. 4:  The PUCO erred by stating and acting on unjustified concerns about alleged limits on its jurisdiction over FirstEnergy Corp. and its affiliates for purposes of investigations etc., despite there being ample statutory authority for its purposes.</w:t>
        </w:r>
        <w:r>
          <w:rPr>
            <w:noProof/>
            <w:webHidden/>
          </w:rPr>
          <w:tab/>
        </w:r>
        <w:r>
          <w:rPr>
            <w:noProof/>
            <w:webHidden/>
          </w:rPr>
          <w:fldChar w:fldCharType="begin"/>
        </w:r>
        <w:r>
          <w:rPr>
            <w:noProof/>
            <w:webHidden/>
          </w:rPr>
          <w:instrText xml:space="preserve"> PAGEREF _Toc57991034 \h </w:instrText>
        </w:r>
        <w:r>
          <w:rPr>
            <w:noProof/>
            <w:webHidden/>
          </w:rPr>
          <w:fldChar w:fldCharType="separate"/>
        </w:r>
        <w:r>
          <w:rPr>
            <w:noProof/>
            <w:webHidden/>
          </w:rPr>
          <w:t>7</w:t>
        </w:r>
        <w:r>
          <w:rPr>
            <w:noProof/>
            <w:webHidden/>
          </w:rPr>
          <w:fldChar w:fldCharType="end"/>
        </w:r>
      </w:hyperlink>
    </w:p>
    <w:p w:rsidR="007A3B04" w14:paraId="188F9489" w14:textId="04231F78">
      <w:pPr>
        <w:pStyle w:val="TOC2"/>
        <w:tabs>
          <w:tab w:val="right" w:leader="dot" w:pos="8630"/>
        </w:tabs>
        <w:rPr>
          <w:rFonts w:asciiTheme="minorHAnsi" w:eastAsiaTheme="minorEastAsia" w:hAnsiTheme="minorHAnsi"/>
          <w:noProof/>
          <w:sz w:val="22"/>
        </w:rPr>
      </w:pPr>
      <w:hyperlink w:anchor="_Toc57991035" w:history="1">
        <w:r w:rsidRPr="00E42BC7">
          <w:rPr>
            <w:rStyle w:val="Hyperlink"/>
            <w:noProof/>
          </w:rPr>
          <w:t>ASSIGNMENT OF ERROR 5:  The PUCO erred by not initiating a complaint or investigation under R.C. 4928.18 and 4905.26 that includes a full independent management audit and investigation as requested by OCC, including an investigation of the use of distribution modernization charge funds, instead of merely initiating the corporate separation audit.</w:t>
        </w:r>
        <w:r>
          <w:rPr>
            <w:noProof/>
            <w:webHidden/>
          </w:rPr>
          <w:tab/>
        </w:r>
        <w:r>
          <w:rPr>
            <w:noProof/>
            <w:webHidden/>
          </w:rPr>
          <w:fldChar w:fldCharType="begin"/>
        </w:r>
        <w:r>
          <w:rPr>
            <w:noProof/>
            <w:webHidden/>
          </w:rPr>
          <w:instrText xml:space="preserve"> PAGEREF _Toc57991035 \h </w:instrText>
        </w:r>
        <w:r>
          <w:rPr>
            <w:noProof/>
            <w:webHidden/>
          </w:rPr>
          <w:fldChar w:fldCharType="separate"/>
        </w:r>
        <w:r>
          <w:rPr>
            <w:noProof/>
            <w:webHidden/>
          </w:rPr>
          <w:t>11</w:t>
        </w:r>
        <w:r>
          <w:rPr>
            <w:noProof/>
            <w:webHidden/>
          </w:rPr>
          <w:fldChar w:fldCharType="end"/>
        </w:r>
      </w:hyperlink>
    </w:p>
    <w:p w:rsidR="007A3B04" w14:paraId="5741F91A" w14:textId="60A85209">
      <w:pPr>
        <w:pStyle w:val="TOC2"/>
        <w:tabs>
          <w:tab w:val="right" w:leader="dot" w:pos="8630"/>
        </w:tabs>
        <w:rPr>
          <w:rFonts w:asciiTheme="minorHAnsi" w:eastAsiaTheme="minorEastAsia" w:hAnsiTheme="minorHAnsi"/>
          <w:noProof/>
          <w:sz w:val="22"/>
        </w:rPr>
      </w:pPr>
      <w:hyperlink w:anchor="_Toc57991036" w:history="1">
        <w:r w:rsidRPr="00E42BC7">
          <w:rPr>
            <w:rStyle w:val="Hyperlink"/>
            <w:noProof/>
          </w:rPr>
          <w:t>ASSIGNMENT OF ERROR 6: The PUCO erred by setting an audit scope for the “additional corporate separation audit” that for consumer protection should more broadly address corporate separation issues. The PUCO should expand the scope of the corporate separation audit after initiating a complaint or investigation under R.C. 4905.26 and 4928.18.</w:t>
        </w:r>
        <w:r>
          <w:rPr>
            <w:noProof/>
            <w:webHidden/>
          </w:rPr>
          <w:tab/>
        </w:r>
        <w:r>
          <w:rPr>
            <w:noProof/>
            <w:webHidden/>
          </w:rPr>
          <w:fldChar w:fldCharType="begin"/>
        </w:r>
        <w:r>
          <w:rPr>
            <w:noProof/>
            <w:webHidden/>
          </w:rPr>
          <w:instrText xml:space="preserve"> PAGEREF _Toc57991036 \h </w:instrText>
        </w:r>
        <w:r>
          <w:rPr>
            <w:noProof/>
            <w:webHidden/>
          </w:rPr>
          <w:fldChar w:fldCharType="separate"/>
        </w:r>
        <w:r>
          <w:rPr>
            <w:noProof/>
            <w:webHidden/>
          </w:rPr>
          <w:t>11</w:t>
        </w:r>
        <w:r>
          <w:rPr>
            <w:noProof/>
            <w:webHidden/>
          </w:rPr>
          <w:fldChar w:fldCharType="end"/>
        </w:r>
      </w:hyperlink>
    </w:p>
    <w:p w:rsidR="007A3B04" w14:paraId="18FE302A" w14:textId="6F9B9805">
      <w:pPr>
        <w:pStyle w:val="TOC1"/>
        <w:rPr>
          <w:rFonts w:asciiTheme="minorHAnsi" w:eastAsiaTheme="minorEastAsia" w:hAnsiTheme="minorHAnsi"/>
          <w:noProof/>
          <w:sz w:val="22"/>
        </w:rPr>
      </w:pPr>
      <w:hyperlink w:anchor="_Toc57991037" w:history="1">
        <w:r w:rsidRPr="00E42BC7">
          <w:rPr>
            <w:rStyle w:val="Hyperlink"/>
            <w:noProof/>
          </w:rPr>
          <w:t>III.</w:t>
        </w:r>
        <w:r>
          <w:rPr>
            <w:rFonts w:asciiTheme="minorHAnsi" w:eastAsiaTheme="minorEastAsia" w:hAnsiTheme="minorHAnsi"/>
            <w:noProof/>
            <w:sz w:val="22"/>
          </w:rPr>
          <w:tab/>
        </w:r>
        <w:r w:rsidRPr="00E42BC7">
          <w:rPr>
            <w:rStyle w:val="Hyperlink"/>
            <w:noProof/>
          </w:rPr>
          <w:t>CONCLUSION</w:t>
        </w:r>
        <w:r>
          <w:rPr>
            <w:noProof/>
            <w:webHidden/>
          </w:rPr>
          <w:tab/>
        </w:r>
        <w:r>
          <w:rPr>
            <w:noProof/>
            <w:webHidden/>
          </w:rPr>
          <w:fldChar w:fldCharType="begin"/>
        </w:r>
        <w:r>
          <w:rPr>
            <w:noProof/>
            <w:webHidden/>
          </w:rPr>
          <w:instrText xml:space="preserve"> PAGEREF _Toc57991037 \h </w:instrText>
        </w:r>
        <w:r>
          <w:rPr>
            <w:noProof/>
            <w:webHidden/>
          </w:rPr>
          <w:fldChar w:fldCharType="separate"/>
        </w:r>
        <w:r>
          <w:rPr>
            <w:noProof/>
            <w:webHidden/>
          </w:rPr>
          <w:t>15</w:t>
        </w:r>
        <w:r>
          <w:rPr>
            <w:noProof/>
            <w:webHidden/>
          </w:rPr>
          <w:fldChar w:fldCharType="end"/>
        </w:r>
      </w:hyperlink>
    </w:p>
    <w:p w:rsidR="00461179" w:rsidRPr="005076FB" w:rsidP="005571F6" w14:paraId="66396574" w14:textId="6A8A8D4D">
      <w:pPr>
        <w:jc w:val="center"/>
        <w:rPr>
          <w:rFonts w:ascii="Times New Roman" w:hAnsi="Times New Roman" w:cs="Times New Roman"/>
          <w:sz w:val="24"/>
          <w:szCs w:val="24"/>
        </w:rPr>
        <w:sectPr w:rsidSect="00F314DF">
          <w:headerReference w:type="default" r:id="rId14"/>
          <w:footerReference w:type="default" r:id="rId15"/>
          <w:pgSz w:w="12240" w:h="15840"/>
          <w:pgMar w:top="1440" w:right="1800" w:bottom="1440" w:left="1800" w:header="720" w:footer="720" w:gutter="0"/>
          <w:pgNumType w:fmt="lowerRoman" w:start="1"/>
          <w:cols w:space="720"/>
          <w:docGrid w:linePitch="360"/>
        </w:sectPr>
      </w:pPr>
      <w:r w:rsidRPr="005076FB">
        <w:rPr>
          <w:rFonts w:ascii="Times New Roman" w:hAnsi="Times New Roman" w:cs="Times New Roman"/>
          <w:sz w:val="24"/>
          <w:szCs w:val="24"/>
        </w:rPr>
        <w:fldChar w:fldCharType="end"/>
      </w:r>
    </w:p>
    <w:p w:rsidR="0099412E" w:rsidRPr="005076FB" w:rsidP="0099412E" w14:paraId="0847F65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4"/>
          <w:szCs w:val="24"/>
        </w:rPr>
      </w:pPr>
      <w:r w:rsidRPr="005076FB">
        <w:rPr>
          <w:rFonts w:ascii="Times New Roman" w:eastAsia="Calibri" w:hAnsi="Times New Roman" w:cs="Times New Roman"/>
          <w:b/>
          <w:bCs/>
          <w:sz w:val="24"/>
          <w:szCs w:val="24"/>
        </w:rPr>
        <w:t>BEFORE</w:t>
      </w:r>
    </w:p>
    <w:p w:rsidR="0099412E" w:rsidRPr="005076FB" w:rsidP="0099412E" w14:paraId="4BC1933C" w14:textId="37384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4"/>
          <w:szCs w:val="24"/>
        </w:rPr>
      </w:pPr>
      <w:r w:rsidRPr="005076FB">
        <w:rPr>
          <w:rFonts w:ascii="Times New Roman" w:eastAsia="Calibri" w:hAnsi="Times New Roman" w:cs="Times New Roman"/>
          <w:b/>
          <w:bCs/>
          <w:sz w:val="24"/>
          <w:szCs w:val="24"/>
        </w:rPr>
        <w:t>THE PUBLIC UTILITIES COMMISSION OF OHIO</w:t>
      </w:r>
    </w:p>
    <w:p w:rsidR="00FE0028" w:rsidRPr="005076FB" w:rsidP="00FE0028" w14:paraId="265E054F" w14:textId="77777777">
      <w:pPr>
        <w:pStyle w:val="HTMLPreformatted"/>
        <w:rPr>
          <w:rFonts w:ascii="Times New Roman" w:hAnsi="Times New Roman" w:cs="Times New Roman"/>
          <w:sz w:val="24"/>
          <w:szCs w:val="24"/>
        </w:rPr>
      </w:pPr>
    </w:p>
    <w:tbl>
      <w:tblPr>
        <w:tblW w:w="9638" w:type="dxa"/>
        <w:tblLook w:val="01E0"/>
      </w:tblPr>
      <w:tblGrid>
        <w:gridCol w:w="4878"/>
        <w:gridCol w:w="360"/>
        <w:gridCol w:w="4400"/>
      </w:tblGrid>
      <w:tr w14:paraId="08759CEB" w14:textId="77777777" w:rsidTr="004C6B06">
        <w:tblPrEx>
          <w:tblW w:w="9638" w:type="dxa"/>
          <w:tblLook w:val="01E0"/>
        </w:tblPrEx>
        <w:trPr>
          <w:trHeight w:val="807"/>
        </w:trPr>
        <w:tc>
          <w:tcPr>
            <w:tcW w:w="4878" w:type="dxa"/>
            <w:shd w:val="clear" w:color="auto" w:fill="auto"/>
          </w:tcPr>
          <w:p w:rsidR="00FE0028" w:rsidRPr="005076FB" w:rsidP="004C6B06" w14:paraId="7FFE6F8D"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In the Matter of the Review of The Ohio Edison Company, The Cleveland Electric Illuminating Company, and The Toledo Edison Company’s Compliance with R.C. 4928.17 and the Ohio Adm. Code Chapter 4901:1-37.</w:t>
            </w:r>
          </w:p>
        </w:tc>
        <w:tc>
          <w:tcPr>
            <w:tcW w:w="360" w:type="dxa"/>
            <w:shd w:val="clear" w:color="auto" w:fill="auto"/>
          </w:tcPr>
          <w:p w:rsidR="00FE0028" w:rsidRPr="005076FB" w:rsidP="004C6B06" w14:paraId="5F0A7BD7"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w:t>
            </w:r>
          </w:p>
          <w:p w:rsidR="00FE0028" w:rsidRPr="005076FB" w:rsidP="004C6B06" w14:paraId="303DDE9E"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w:t>
            </w:r>
          </w:p>
          <w:p w:rsidR="00FE0028" w:rsidRPr="005076FB" w:rsidP="004C6B06" w14:paraId="5092225F"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w:t>
            </w:r>
          </w:p>
          <w:p w:rsidR="00FE0028" w:rsidRPr="005076FB" w:rsidP="004C6B06" w14:paraId="113D8196"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w:t>
            </w:r>
          </w:p>
          <w:p w:rsidR="00FE0028" w:rsidRPr="005076FB" w:rsidP="004C6B06" w14:paraId="7FA1209E"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w:t>
            </w:r>
          </w:p>
        </w:tc>
        <w:tc>
          <w:tcPr>
            <w:tcW w:w="4400" w:type="dxa"/>
            <w:shd w:val="clear" w:color="auto" w:fill="auto"/>
          </w:tcPr>
          <w:p w:rsidR="00FE0028" w:rsidRPr="005076FB" w:rsidP="004C6B06" w14:paraId="636D5863" w14:textId="77777777">
            <w:pPr>
              <w:pStyle w:val="HTMLPreformatted"/>
              <w:rPr>
                <w:rFonts w:ascii="Times New Roman" w:hAnsi="Times New Roman" w:cs="Times New Roman"/>
                <w:sz w:val="24"/>
                <w:szCs w:val="24"/>
              </w:rPr>
            </w:pPr>
          </w:p>
          <w:p w:rsidR="00FE0028" w:rsidRPr="005076FB" w:rsidP="004C6B06" w14:paraId="74E4CC11" w14:textId="77777777">
            <w:pPr>
              <w:pStyle w:val="HTMLPreformatted"/>
              <w:rPr>
                <w:rFonts w:ascii="Times New Roman" w:hAnsi="Times New Roman" w:cs="Times New Roman"/>
                <w:sz w:val="24"/>
                <w:szCs w:val="24"/>
              </w:rPr>
            </w:pPr>
            <w:r w:rsidRPr="005076FB">
              <w:rPr>
                <w:rFonts w:ascii="Times New Roman" w:hAnsi="Times New Roman" w:cs="Times New Roman"/>
                <w:sz w:val="24"/>
                <w:szCs w:val="24"/>
              </w:rPr>
              <w:t>Case No. 17-974-EL-UNC</w:t>
            </w:r>
          </w:p>
        </w:tc>
      </w:tr>
    </w:tbl>
    <w:p w:rsidR="0099412E" w:rsidRPr="005076FB" w:rsidP="0099412E" w14:paraId="0E13689A" w14:textId="77777777">
      <w:pPr>
        <w:pBdr>
          <w:bottom w:val="single" w:sz="12" w:space="1" w:color="auto"/>
        </w:pBdr>
        <w:autoSpaceDE w:val="0"/>
        <w:autoSpaceDN w:val="0"/>
        <w:adjustRightInd w:val="0"/>
        <w:spacing w:after="0"/>
        <w:rPr>
          <w:rFonts w:ascii="Times New Roman" w:eastAsia="Calibri" w:hAnsi="Times New Roman" w:cs="Times New Roman"/>
          <w:sz w:val="24"/>
          <w:szCs w:val="24"/>
        </w:rPr>
      </w:pPr>
    </w:p>
    <w:p w:rsidR="0099412E" w:rsidRPr="005076FB" w:rsidP="0099412E" w14:paraId="19A08442" w14:textId="77777777">
      <w:pPr>
        <w:autoSpaceDE w:val="0"/>
        <w:autoSpaceDN w:val="0"/>
        <w:adjustRightInd w:val="0"/>
        <w:spacing w:after="0"/>
        <w:rPr>
          <w:rFonts w:ascii="Times New Roman" w:eastAsia="Calibri" w:hAnsi="Times New Roman" w:cs="Times New Roman"/>
          <w:sz w:val="24"/>
          <w:szCs w:val="24"/>
        </w:rPr>
      </w:pPr>
    </w:p>
    <w:p w:rsidR="00EE266E" w:rsidRPr="005076FB" w14:paraId="782674D1" w14:textId="1C225605">
      <w:pPr>
        <w:widowControl w:val="0"/>
        <w:spacing w:after="0"/>
        <w:jc w:val="center"/>
        <w:rPr>
          <w:rFonts w:ascii="Times New Roman" w:hAnsi="Times New Roman" w:cs="Times New Roman"/>
          <w:b/>
          <w:sz w:val="24"/>
          <w:szCs w:val="24"/>
        </w:rPr>
      </w:pPr>
      <w:r w:rsidRPr="005076FB">
        <w:rPr>
          <w:rFonts w:ascii="Times New Roman" w:hAnsi="Times New Roman" w:cs="Times New Roman"/>
          <w:b/>
          <w:sz w:val="24"/>
          <w:szCs w:val="24"/>
        </w:rPr>
        <w:t xml:space="preserve">MEMORANDUM IN SUPPORT OF APPLICATION FOR </w:t>
      </w:r>
      <w:r w:rsidRPr="005076FB" w:rsidR="0030403E">
        <w:rPr>
          <w:rFonts w:ascii="Times New Roman" w:hAnsi="Times New Roman" w:cs="Times New Roman"/>
          <w:b/>
          <w:sz w:val="24"/>
          <w:szCs w:val="24"/>
        </w:rPr>
        <w:t>REHEARING RELATED TO FIRSTENERGY’S HOUSE BILL 6 ACTIVITIES AND OTHER MATTERS</w:t>
      </w:r>
    </w:p>
    <w:p w:rsidR="0099412E" w:rsidRPr="005076FB" w:rsidP="0099412E" w14:paraId="6D6042F6" w14:textId="77777777">
      <w:pPr>
        <w:pBdr>
          <w:bottom w:val="single" w:sz="12" w:space="1" w:color="auto"/>
        </w:pBdr>
        <w:autoSpaceDE w:val="0"/>
        <w:autoSpaceDN w:val="0"/>
        <w:adjustRightInd w:val="0"/>
        <w:spacing w:after="0"/>
        <w:jc w:val="center"/>
        <w:rPr>
          <w:rFonts w:ascii="Times New Roman" w:eastAsia="Calibri" w:hAnsi="Times New Roman" w:cs="Times New Roman"/>
          <w:b/>
          <w:bCs/>
          <w:sz w:val="24"/>
          <w:szCs w:val="24"/>
        </w:rPr>
      </w:pPr>
    </w:p>
    <w:p w:rsidR="00AE446D" w:rsidRPr="005076FB" w:rsidP="00C93F0A" w14:paraId="1050B3DD" w14:textId="77777777">
      <w:pPr>
        <w:pStyle w:val="Heading1"/>
        <w:rPr>
          <w:rFonts w:ascii="Times New Roman" w:hAnsi="Times New Roman"/>
        </w:rPr>
      </w:pPr>
      <w:bookmarkStart w:id="2" w:name="_Toc53576253"/>
    </w:p>
    <w:p w:rsidR="00141BD6" w:rsidRPr="005076FB" w:rsidP="00C93F0A" w14:paraId="0E007FF8" w14:textId="0C956797">
      <w:pPr>
        <w:pStyle w:val="Heading1"/>
        <w:rPr>
          <w:rFonts w:ascii="Times New Roman" w:hAnsi="Times New Roman"/>
        </w:rPr>
      </w:pPr>
      <w:bookmarkStart w:id="3" w:name="_Toc56780166"/>
      <w:bookmarkStart w:id="4" w:name="_Toc57991029"/>
      <w:r w:rsidRPr="005076FB">
        <w:rPr>
          <w:rFonts w:ascii="Times New Roman" w:hAnsi="Times New Roman"/>
        </w:rPr>
        <w:t>I.</w:t>
      </w:r>
      <w:r w:rsidRPr="005076FB">
        <w:rPr>
          <w:rFonts w:ascii="Times New Roman" w:hAnsi="Times New Roman"/>
        </w:rPr>
        <w:tab/>
      </w:r>
      <w:r w:rsidRPr="005076FB" w:rsidR="001D2205">
        <w:rPr>
          <w:rFonts w:ascii="Times New Roman" w:hAnsi="Times New Roman"/>
        </w:rPr>
        <w:t>INTRODUCTION</w:t>
      </w:r>
      <w:bookmarkEnd w:id="2"/>
      <w:bookmarkEnd w:id="3"/>
      <w:bookmarkEnd w:id="4"/>
      <w:r w:rsidRPr="005076FB" w:rsidR="001D2205">
        <w:rPr>
          <w:rFonts w:ascii="Times New Roman" w:hAnsi="Times New Roman"/>
        </w:rPr>
        <w:t xml:space="preserve"> </w:t>
      </w:r>
    </w:p>
    <w:p w:rsidR="003A2326" w:rsidRPr="005076FB" w:rsidP="003A2326" w14:paraId="618D41C5" w14:textId="45791B01">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Three </w:t>
      </w:r>
      <w:r w:rsidRPr="005076FB" w:rsidR="00D33BA9">
        <w:rPr>
          <w:rFonts w:ascii="Times New Roman" w:hAnsi="Times New Roman" w:cs="Times New Roman"/>
          <w:sz w:val="24"/>
          <w:szCs w:val="24"/>
        </w:rPr>
        <w:t>months ago OCC filed motions asking the PUCO to investigate</w:t>
      </w:r>
      <w:r w:rsidRPr="005076FB" w:rsidR="003C11FF">
        <w:rPr>
          <w:rFonts w:ascii="Times New Roman" w:hAnsi="Times New Roman" w:cs="Times New Roman"/>
          <w:sz w:val="24"/>
          <w:szCs w:val="24"/>
        </w:rPr>
        <w:t xml:space="preserve"> </w:t>
      </w:r>
      <w:r w:rsidRPr="005076FB" w:rsidR="00D33BA9">
        <w:rPr>
          <w:rFonts w:ascii="Times New Roman" w:hAnsi="Times New Roman" w:cs="Times New Roman"/>
          <w:sz w:val="24"/>
          <w:szCs w:val="24"/>
        </w:rPr>
        <w:t xml:space="preserve">any violations of </w:t>
      </w:r>
      <w:r w:rsidRPr="005076FB" w:rsidR="003C11FF">
        <w:rPr>
          <w:rFonts w:ascii="Times New Roman" w:hAnsi="Times New Roman" w:cs="Times New Roman"/>
          <w:sz w:val="24"/>
          <w:szCs w:val="24"/>
        </w:rPr>
        <w:t xml:space="preserve">utility </w:t>
      </w:r>
      <w:r w:rsidRPr="005076FB" w:rsidR="00D33BA9">
        <w:rPr>
          <w:rFonts w:ascii="Times New Roman" w:hAnsi="Times New Roman" w:cs="Times New Roman"/>
          <w:sz w:val="24"/>
          <w:szCs w:val="24"/>
        </w:rPr>
        <w:t xml:space="preserve">regulatory principles and practices by FirstEnergy Corp. and FirstEnergy Utilities associated with the passage of </w:t>
      </w:r>
      <w:r w:rsidRPr="005076FB" w:rsidR="0005425A">
        <w:rPr>
          <w:rFonts w:ascii="Times New Roman" w:hAnsi="Times New Roman" w:cs="Times New Roman"/>
          <w:sz w:val="24"/>
          <w:szCs w:val="24"/>
        </w:rPr>
        <w:t xml:space="preserve">tainted </w:t>
      </w:r>
      <w:r w:rsidRPr="005076FB" w:rsidR="00D33BA9">
        <w:rPr>
          <w:rFonts w:ascii="Times New Roman" w:hAnsi="Times New Roman" w:cs="Times New Roman"/>
          <w:sz w:val="24"/>
          <w:szCs w:val="24"/>
        </w:rPr>
        <w:t>House Bill 6</w:t>
      </w:r>
      <w:r w:rsidRPr="005076FB" w:rsidR="00DF4D2F">
        <w:rPr>
          <w:rFonts w:ascii="Times New Roman" w:hAnsi="Times New Roman" w:cs="Times New Roman"/>
          <w:sz w:val="24"/>
          <w:szCs w:val="24"/>
        </w:rPr>
        <w:t xml:space="preserve"> and the ensuing House Bill 6 scandal</w:t>
      </w:r>
      <w:r w:rsidRPr="005076FB" w:rsidR="00D33BA9">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sidRPr="005076FB" w:rsidR="00D33BA9">
        <w:rPr>
          <w:rFonts w:ascii="Times New Roman" w:hAnsi="Times New Roman" w:cs="Times New Roman"/>
          <w:sz w:val="24"/>
          <w:szCs w:val="24"/>
        </w:rPr>
        <w:t xml:space="preserve">  </w:t>
      </w:r>
      <w:r w:rsidRPr="005076FB" w:rsidR="00A47168">
        <w:rPr>
          <w:rFonts w:ascii="Times New Roman" w:hAnsi="Times New Roman" w:cs="Times New Roman"/>
          <w:sz w:val="24"/>
          <w:szCs w:val="24"/>
        </w:rPr>
        <w:t xml:space="preserve">But the PUCO’s </w:t>
      </w:r>
      <w:r w:rsidRPr="005076FB" w:rsidR="00952898">
        <w:rPr>
          <w:rFonts w:ascii="Times New Roman" w:hAnsi="Times New Roman" w:cs="Times New Roman"/>
          <w:sz w:val="24"/>
          <w:szCs w:val="24"/>
        </w:rPr>
        <w:t xml:space="preserve">later </w:t>
      </w:r>
      <w:r w:rsidRPr="005076FB" w:rsidR="00A47168">
        <w:rPr>
          <w:rFonts w:ascii="Times New Roman" w:hAnsi="Times New Roman" w:cs="Times New Roman"/>
          <w:sz w:val="24"/>
          <w:szCs w:val="24"/>
        </w:rPr>
        <w:t>response—calling for an additional corporate separation audit</w:t>
      </w:r>
      <w:r w:rsidRPr="005076FB" w:rsidR="00A6151D">
        <w:rPr>
          <w:rFonts w:ascii="Times New Roman" w:hAnsi="Times New Roman" w:cs="Times New Roman"/>
          <w:sz w:val="24"/>
          <w:szCs w:val="24"/>
        </w:rPr>
        <w:t xml:space="preserve"> </w:t>
      </w:r>
      <w:r w:rsidRPr="005076FB" w:rsidR="00A26C11">
        <w:rPr>
          <w:rFonts w:ascii="Times New Roman" w:hAnsi="Times New Roman" w:cs="Times New Roman"/>
          <w:sz w:val="24"/>
          <w:szCs w:val="24"/>
        </w:rPr>
        <w:t xml:space="preserve">with a severely limited </w:t>
      </w:r>
      <w:r w:rsidRPr="005076FB" w:rsidR="00A6151D">
        <w:rPr>
          <w:rFonts w:ascii="Times New Roman" w:hAnsi="Times New Roman" w:cs="Times New Roman"/>
          <w:sz w:val="24"/>
          <w:szCs w:val="24"/>
        </w:rPr>
        <w:t>scope</w:t>
      </w:r>
      <w:r w:rsidRPr="005076FB" w:rsidR="00A26C11">
        <w:rPr>
          <w:rFonts w:ascii="Times New Roman" w:hAnsi="Times New Roman" w:cs="Times New Roman"/>
          <w:sz w:val="24"/>
          <w:szCs w:val="24"/>
        </w:rPr>
        <w:t xml:space="preserve"> </w:t>
      </w:r>
      <w:r w:rsidRPr="005076FB" w:rsidR="00A47168">
        <w:rPr>
          <w:rFonts w:ascii="Times New Roman" w:hAnsi="Times New Roman" w:cs="Times New Roman"/>
          <w:sz w:val="24"/>
          <w:szCs w:val="24"/>
        </w:rPr>
        <w:t>-- falls short</w:t>
      </w:r>
      <w:r w:rsidRPr="005076FB" w:rsidR="00AE7F31">
        <w:rPr>
          <w:rFonts w:ascii="Times New Roman" w:hAnsi="Times New Roman" w:cs="Times New Roman"/>
          <w:sz w:val="24"/>
          <w:szCs w:val="24"/>
        </w:rPr>
        <w:t xml:space="preserve"> of consumer protection</w:t>
      </w:r>
      <w:r w:rsidRPr="005076FB" w:rsidR="0005425A">
        <w:rPr>
          <w:rFonts w:ascii="Times New Roman" w:hAnsi="Times New Roman" w:cs="Times New Roman"/>
          <w:sz w:val="24"/>
          <w:szCs w:val="24"/>
        </w:rPr>
        <w:t xml:space="preserve"> in light of the House Bill 6 scandal</w:t>
      </w:r>
      <w:r w:rsidRPr="005076FB" w:rsidR="00B32F08">
        <w:rPr>
          <w:rFonts w:ascii="Times New Roman" w:hAnsi="Times New Roman" w:cs="Times New Roman"/>
          <w:sz w:val="24"/>
          <w:szCs w:val="24"/>
        </w:rPr>
        <w:t xml:space="preserve">.  </w:t>
      </w:r>
    </w:p>
    <w:p w:rsidR="003A2326" w:rsidRPr="005076FB" w:rsidP="003A2326" w14:paraId="72008311" w14:textId="70B81868">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Standard &amp; Poor’s recently wrote that: “We believe these violations at the highest level of the company are demonstrative of insufficient internal controls and a cultural weakness.  We view the severity of these violations as significantly outside of industry norms and, in our view, they represent a material deficiency in the company’s governance.”</w:t>
      </w:r>
      <w:r>
        <w:rPr>
          <w:rStyle w:val="FootnoteReference"/>
          <w:rFonts w:ascii="Times New Roman" w:hAnsi="Times New Roman" w:cs="Times New Roman"/>
          <w:sz w:val="24"/>
          <w:szCs w:val="24"/>
        </w:rPr>
        <w:footnoteReference w:id="12"/>
      </w:r>
    </w:p>
    <w:p w:rsidR="00B57E3E" w:rsidRPr="005076FB" w:rsidP="004F2080" w14:paraId="3B471383" w14:textId="1C72438F">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Also, t</w:t>
      </w:r>
      <w:r w:rsidRPr="005076FB" w:rsidR="00B32F08">
        <w:rPr>
          <w:rFonts w:ascii="Times New Roman" w:hAnsi="Times New Roman" w:cs="Times New Roman"/>
          <w:sz w:val="24"/>
          <w:szCs w:val="24"/>
        </w:rPr>
        <w:t xml:space="preserve">he PUCO appears to </w:t>
      </w:r>
      <w:r w:rsidRPr="005076FB">
        <w:rPr>
          <w:rFonts w:ascii="Times New Roman" w:hAnsi="Times New Roman" w:cs="Times New Roman"/>
          <w:sz w:val="24"/>
          <w:szCs w:val="24"/>
        </w:rPr>
        <w:t>be limiting</w:t>
      </w:r>
      <w:r w:rsidRPr="005076FB" w:rsidR="00A571EC">
        <w:rPr>
          <w:rFonts w:ascii="Times New Roman" w:hAnsi="Times New Roman" w:cs="Times New Roman"/>
          <w:sz w:val="24"/>
          <w:szCs w:val="24"/>
        </w:rPr>
        <w:t xml:space="preserve"> i</w:t>
      </w:r>
      <w:r w:rsidRPr="005076FB" w:rsidR="00B32F08">
        <w:rPr>
          <w:rFonts w:ascii="Times New Roman" w:hAnsi="Times New Roman" w:cs="Times New Roman"/>
          <w:sz w:val="24"/>
          <w:szCs w:val="24"/>
        </w:rPr>
        <w:t xml:space="preserve">ts jurisdiction even before an auditor is chosen for </w:t>
      </w:r>
      <w:r w:rsidRPr="005076FB" w:rsidR="009E00F7">
        <w:rPr>
          <w:rFonts w:ascii="Times New Roman" w:hAnsi="Times New Roman" w:cs="Times New Roman"/>
          <w:sz w:val="24"/>
          <w:szCs w:val="24"/>
        </w:rPr>
        <w:t xml:space="preserve">the </w:t>
      </w:r>
      <w:r w:rsidRPr="005076FB" w:rsidR="00B32F08">
        <w:rPr>
          <w:rFonts w:ascii="Times New Roman" w:hAnsi="Times New Roman" w:cs="Times New Roman"/>
          <w:sz w:val="24"/>
          <w:szCs w:val="24"/>
        </w:rPr>
        <w:t xml:space="preserve">corporate separation audit.  And the </w:t>
      </w:r>
      <w:r w:rsidRPr="005076FB" w:rsidR="009E00F7">
        <w:rPr>
          <w:rFonts w:ascii="Times New Roman" w:hAnsi="Times New Roman" w:cs="Times New Roman"/>
          <w:sz w:val="24"/>
          <w:szCs w:val="24"/>
        </w:rPr>
        <w:t xml:space="preserve">limited </w:t>
      </w:r>
      <w:r w:rsidRPr="005076FB" w:rsidR="00B32F08">
        <w:rPr>
          <w:rFonts w:ascii="Times New Roman" w:hAnsi="Times New Roman" w:cs="Times New Roman"/>
          <w:sz w:val="24"/>
          <w:szCs w:val="24"/>
        </w:rPr>
        <w:t xml:space="preserve">scope of the audit </w:t>
      </w:r>
      <w:r w:rsidRPr="005076FB" w:rsidR="00A47168">
        <w:rPr>
          <w:rFonts w:ascii="Times New Roman" w:hAnsi="Times New Roman" w:cs="Times New Roman"/>
          <w:sz w:val="24"/>
          <w:szCs w:val="24"/>
        </w:rPr>
        <w:t xml:space="preserve">will not </w:t>
      </w:r>
      <w:r w:rsidRPr="005076FB" w:rsidR="0042517A">
        <w:rPr>
          <w:rFonts w:ascii="Times New Roman" w:hAnsi="Times New Roman" w:cs="Times New Roman"/>
          <w:sz w:val="24"/>
          <w:szCs w:val="24"/>
        </w:rPr>
        <w:t xml:space="preserve">determine if </w:t>
      </w:r>
      <w:r w:rsidRPr="005076FB" w:rsidR="00A47168">
        <w:rPr>
          <w:rFonts w:ascii="Times New Roman" w:hAnsi="Times New Roman" w:cs="Times New Roman"/>
          <w:sz w:val="24"/>
          <w:szCs w:val="24"/>
        </w:rPr>
        <w:t xml:space="preserve">consumers funded the alleged illegal </w:t>
      </w:r>
      <w:r w:rsidRPr="005076FB" w:rsidR="00B32F08">
        <w:rPr>
          <w:rFonts w:ascii="Times New Roman" w:hAnsi="Times New Roman" w:cs="Times New Roman"/>
          <w:sz w:val="24"/>
          <w:szCs w:val="24"/>
        </w:rPr>
        <w:t>H</w:t>
      </w:r>
      <w:r w:rsidRPr="005076FB" w:rsidR="00F928F3">
        <w:rPr>
          <w:rFonts w:ascii="Times New Roman" w:hAnsi="Times New Roman" w:cs="Times New Roman"/>
          <w:sz w:val="24"/>
          <w:szCs w:val="24"/>
        </w:rPr>
        <w:t xml:space="preserve">ouse </w:t>
      </w:r>
      <w:r w:rsidRPr="005076FB" w:rsidR="00B32F08">
        <w:rPr>
          <w:rFonts w:ascii="Times New Roman" w:hAnsi="Times New Roman" w:cs="Times New Roman"/>
          <w:sz w:val="24"/>
          <w:szCs w:val="24"/>
        </w:rPr>
        <w:t>B</w:t>
      </w:r>
      <w:r w:rsidRPr="005076FB" w:rsidR="00F928F3">
        <w:rPr>
          <w:rFonts w:ascii="Times New Roman" w:hAnsi="Times New Roman" w:cs="Times New Roman"/>
          <w:sz w:val="24"/>
          <w:szCs w:val="24"/>
        </w:rPr>
        <w:t>ill</w:t>
      </w:r>
      <w:r w:rsidRPr="005076FB" w:rsidR="00B32F08">
        <w:rPr>
          <w:rFonts w:ascii="Times New Roman" w:hAnsi="Times New Roman" w:cs="Times New Roman"/>
          <w:sz w:val="24"/>
          <w:szCs w:val="24"/>
        </w:rPr>
        <w:t xml:space="preserve"> 6 </w:t>
      </w:r>
      <w:r w:rsidRPr="005076FB" w:rsidR="00A47168">
        <w:rPr>
          <w:rFonts w:ascii="Times New Roman" w:hAnsi="Times New Roman" w:cs="Times New Roman"/>
          <w:sz w:val="24"/>
          <w:szCs w:val="24"/>
        </w:rPr>
        <w:t xml:space="preserve">activities through the </w:t>
      </w:r>
      <w:r w:rsidRPr="005076FB" w:rsidR="0030259E">
        <w:rPr>
          <w:rFonts w:ascii="Times New Roman" w:hAnsi="Times New Roman" w:cs="Times New Roman"/>
          <w:sz w:val="24"/>
          <w:szCs w:val="24"/>
        </w:rPr>
        <w:t xml:space="preserve">money </w:t>
      </w:r>
      <w:r w:rsidRPr="005076FB" w:rsidR="00A47168">
        <w:rPr>
          <w:rFonts w:ascii="Times New Roman" w:hAnsi="Times New Roman" w:cs="Times New Roman"/>
          <w:sz w:val="24"/>
          <w:szCs w:val="24"/>
        </w:rPr>
        <w:t xml:space="preserve">they paid to FirstEnergy utilities.  </w:t>
      </w:r>
      <w:r w:rsidRPr="005076FB" w:rsidR="0005425A">
        <w:rPr>
          <w:rFonts w:ascii="Times New Roman" w:hAnsi="Times New Roman" w:cs="Times New Roman"/>
          <w:sz w:val="24"/>
          <w:szCs w:val="24"/>
        </w:rPr>
        <w:t>All t</w:t>
      </w:r>
      <w:r w:rsidRPr="005076FB" w:rsidR="00FA3CEA">
        <w:rPr>
          <w:rFonts w:ascii="Times New Roman" w:hAnsi="Times New Roman" w:cs="Times New Roman"/>
          <w:sz w:val="24"/>
          <w:szCs w:val="24"/>
        </w:rPr>
        <w:t>hat should change.</w:t>
      </w:r>
    </w:p>
    <w:p w:rsidR="00E95F3D" w:rsidRPr="005076FB" w:rsidP="00C93F0A" w14:paraId="67FDAEC9" w14:textId="3D24661C">
      <w:pPr>
        <w:pStyle w:val="Heading1"/>
        <w:rPr>
          <w:rFonts w:ascii="Times New Roman" w:hAnsi="Times New Roman"/>
        </w:rPr>
      </w:pPr>
      <w:bookmarkStart w:id="5" w:name="_Toc53576255"/>
      <w:bookmarkStart w:id="6" w:name="_Toc56780167"/>
      <w:bookmarkStart w:id="7" w:name="_Toc57991030"/>
      <w:r w:rsidRPr="005076FB">
        <w:rPr>
          <w:rFonts w:ascii="Times New Roman" w:hAnsi="Times New Roman"/>
        </w:rPr>
        <w:t>II.</w:t>
      </w:r>
      <w:r w:rsidRPr="005076FB">
        <w:rPr>
          <w:rFonts w:ascii="Times New Roman" w:hAnsi="Times New Roman"/>
        </w:rPr>
        <w:tab/>
        <w:t>MATTERS FOR CONSIDERATION</w:t>
      </w:r>
      <w:bookmarkEnd w:id="5"/>
      <w:bookmarkEnd w:id="6"/>
      <w:bookmarkEnd w:id="7"/>
    </w:p>
    <w:p w:rsidR="00DD5F98" w:rsidRPr="005076FB" w:rsidP="00DD5F98" w14:paraId="386E0CF9" w14:textId="2D226AB5">
      <w:pPr>
        <w:ind w:left="720"/>
        <w:rPr>
          <w:rFonts w:ascii="Times New Roman" w:hAnsi="Times New Roman" w:cs="Times New Roman"/>
          <w:sz w:val="24"/>
          <w:szCs w:val="24"/>
        </w:rPr>
      </w:pPr>
      <w:bookmarkStart w:id="8" w:name="_Toc57991031"/>
      <w:r w:rsidRPr="005076FB">
        <w:rPr>
          <w:rStyle w:val="Heading2Char"/>
        </w:rPr>
        <w:t>ASSIGNMENT OF ERROR NO. 1:  The PUCO erred by failing to order FirstEnergy to produce to the PUCO and parties all documents pertaining to investigations that are underway concerning FirstEnergy’s House Bill 6 activities, including the internal investigation by the FirstEnergy Corp. Independent Board of Directors, which apparently resulted in the termination of FirstEnergy Corp. executives</w:t>
      </w:r>
      <w:r>
        <w:rPr>
          <w:rStyle w:val="Heading2Char"/>
          <w:vertAlign w:val="superscript"/>
        </w:rPr>
        <w:footnoteReference w:id="13"/>
      </w:r>
      <w:r w:rsidRPr="005076FB">
        <w:rPr>
          <w:rStyle w:val="Heading2Char"/>
        </w:rPr>
        <w:t xml:space="preserve"> including its CEO and led to the resignation of the PUCO Chair</w:t>
      </w:r>
      <w:bookmarkEnd w:id="8"/>
      <w:r w:rsidRPr="005076FB">
        <w:rPr>
          <w:rFonts w:ascii="Times New Roman" w:hAnsi="Times New Roman" w:cs="Times New Roman"/>
          <w:sz w:val="24"/>
          <w:szCs w:val="24"/>
        </w:rPr>
        <w:t>.</w:t>
      </w:r>
      <w:r>
        <w:rPr>
          <w:rStyle w:val="FootnoteReference"/>
          <w:rFonts w:ascii="Times New Roman" w:hAnsi="Times New Roman" w:cs="Times New Roman"/>
          <w:b/>
          <w:bCs/>
          <w:sz w:val="24"/>
          <w:szCs w:val="24"/>
        </w:rPr>
        <w:footnoteReference w:id="14"/>
      </w:r>
      <w:r w:rsidRPr="005076FB">
        <w:rPr>
          <w:rFonts w:ascii="Times New Roman" w:hAnsi="Times New Roman" w:cs="Times New Roman"/>
          <w:b/>
          <w:bCs/>
          <w:sz w:val="24"/>
          <w:szCs w:val="24"/>
        </w:rPr>
        <w:t xml:space="preserve"> </w:t>
      </w:r>
      <w:r w:rsidRPr="005076FB">
        <w:rPr>
          <w:rFonts w:ascii="Times New Roman" w:hAnsi="Times New Roman" w:cs="Times New Roman"/>
          <w:sz w:val="24"/>
          <w:szCs w:val="24"/>
        </w:rPr>
        <w:t xml:space="preserve">  </w:t>
      </w:r>
    </w:p>
    <w:p w:rsidR="00FF1CF4" w:rsidRPr="005076FB" w:rsidP="0024008E" w14:paraId="19A83296" w14:textId="200076D3">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 </w:t>
      </w:r>
      <w:bookmarkStart w:id="9" w:name="_Toc53576256"/>
      <w:r w:rsidRPr="005076FB" w:rsidR="00D4643E">
        <w:rPr>
          <w:rFonts w:ascii="Times New Roman" w:hAnsi="Times New Roman" w:cs="Times New Roman"/>
          <w:sz w:val="24"/>
          <w:szCs w:val="24"/>
        </w:rPr>
        <w:t>The PUCO’s review of FirstEnergy</w:t>
      </w:r>
      <w:r w:rsidRPr="005076FB" w:rsidR="00584721">
        <w:rPr>
          <w:rFonts w:ascii="Times New Roman" w:hAnsi="Times New Roman" w:cs="Times New Roman"/>
          <w:sz w:val="24"/>
          <w:szCs w:val="24"/>
        </w:rPr>
        <w:t>’s</w:t>
      </w:r>
      <w:r w:rsidRPr="005076FB" w:rsidR="00D4643E">
        <w:rPr>
          <w:rFonts w:ascii="Times New Roman" w:hAnsi="Times New Roman" w:cs="Times New Roman"/>
          <w:sz w:val="24"/>
          <w:szCs w:val="24"/>
        </w:rPr>
        <w:t xml:space="preserve"> H</w:t>
      </w:r>
      <w:r w:rsidRPr="005076FB" w:rsidR="00F928F3">
        <w:rPr>
          <w:rFonts w:ascii="Times New Roman" w:hAnsi="Times New Roman" w:cs="Times New Roman"/>
          <w:sz w:val="24"/>
          <w:szCs w:val="24"/>
        </w:rPr>
        <w:t xml:space="preserve">ouse </w:t>
      </w:r>
      <w:r w:rsidRPr="005076FB" w:rsidR="00D4643E">
        <w:rPr>
          <w:rFonts w:ascii="Times New Roman" w:hAnsi="Times New Roman" w:cs="Times New Roman"/>
          <w:sz w:val="24"/>
          <w:szCs w:val="24"/>
        </w:rPr>
        <w:t>B</w:t>
      </w:r>
      <w:r w:rsidRPr="005076FB" w:rsidR="00F928F3">
        <w:rPr>
          <w:rFonts w:ascii="Times New Roman" w:hAnsi="Times New Roman" w:cs="Times New Roman"/>
          <w:sz w:val="24"/>
          <w:szCs w:val="24"/>
        </w:rPr>
        <w:t xml:space="preserve">ill </w:t>
      </w:r>
      <w:r w:rsidRPr="005076FB" w:rsidR="00D4643E">
        <w:rPr>
          <w:rFonts w:ascii="Times New Roman" w:hAnsi="Times New Roman" w:cs="Times New Roman"/>
          <w:sz w:val="24"/>
          <w:szCs w:val="24"/>
        </w:rPr>
        <w:t xml:space="preserve">6 spending is just beginning.  </w:t>
      </w:r>
      <w:r w:rsidRPr="005076FB" w:rsidR="00D42C1D">
        <w:rPr>
          <w:rFonts w:ascii="Times New Roman" w:hAnsi="Times New Roman" w:cs="Times New Roman"/>
          <w:sz w:val="24"/>
          <w:szCs w:val="24"/>
        </w:rPr>
        <w:t>O</w:t>
      </w:r>
      <w:r w:rsidRPr="005076FB" w:rsidR="00D4643E">
        <w:rPr>
          <w:rFonts w:ascii="Times New Roman" w:hAnsi="Times New Roman" w:cs="Times New Roman"/>
          <w:sz w:val="24"/>
          <w:szCs w:val="24"/>
        </w:rPr>
        <w:t>ther investigations</w:t>
      </w:r>
      <w:r w:rsidRPr="005076FB" w:rsidR="00584721">
        <w:rPr>
          <w:rFonts w:ascii="Times New Roman" w:hAnsi="Times New Roman" w:cs="Times New Roman"/>
          <w:sz w:val="24"/>
          <w:szCs w:val="24"/>
        </w:rPr>
        <w:t xml:space="preserve"> (including by FirstEnergy’s Board and the Securities and Exchange Commission)</w:t>
      </w:r>
      <w:r w:rsidRPr="005076FB" w:rsidR="00D4643E">
        <w:rPr>
          <w:rFonts w:ascii="Times New Roman" w:hAnsi="Times New Roman" w:cs="Times New Roman"/>
          <w:sz w:val="24"/>
          <w:szCs w:val="24"/>
        </w:rPr>
        <w:t xml:space="preserve"> have been underway for </w:t>
      </w:r>
      <w:r w:rsidRPr="005076FB" w:rsidR="00584721">
        <w:rPr>
          <w:rFonts w:ascii="Times New Roman" w:hAnsi="Times New Roman" w:cs="Times New Roman"/>
          <w:sz w:val="24"/>
          <w:szCs w:val="24"/>
        </w:rPr>
        <w:t>a</w:t>
      </w:r>
      <w:r w:rsidRPr="005076FB" w:rsidR="00CB7B32">
        <w:rPr>
          <w:rFonts w:ascii="Times New Roman" w:hAnsi="Times New Roman" w:cs="Times New Roman"/>
          <w:sz w:val="24"/>
          <w:szCs w:val="24"/>
        </w:rPr>
        <w:t xml:space="preserve"> </w:t>
      </w:r>
      <w:r w:rsidRPr="005076FB" w:rsidR="00584721">
        <w:rPr>
          <w:rFonts w:ascii="Times New Roman" w:hAnsi="Times New Roman" w:cs="Times New Roman"/>
          <w:sz w:val="24"/>
          <w:szCs w:val="24"/>
        </w:rPr>
        <w:t xml:space="preserve">while </w:t>
      </w:r>
      <w:r w:rsidRPr="005076FB" w:rsidR="00D42C1D">
        <w:rPr>
          <w:rFonts w:ascii="Times New Roman" w:hAnsi="Times New Roman" w:cs="Times New Roman"/>
          <w:sz w:val="24"/>
          <w:szCs w:val="24"/>
        </w:rPr>
        <w:t>or, in the instance of the federal Criminal Complaint, for even longer</w:t>
      </w:r>
      <w:r w:rsidRPr="005076FB" w:rsidR="00D4643E">
        <w:rPr>
          <w:rFonts w:ascii="Times New Roman" w:hAnsi="Times New Roman" w:cs="Times New Roman"/>
          <w:sz w:val="24"/>
          <w:szCs w:val="24"/>
        </w:rPr>
        <w:t xml:space="preserve">.  </w:t>
      </w:r>
      <w:r w:rsidRPr="005076FB" w:rsidR="00D42C1D">
        <w:rPr>
          <w:rFonts w:ascii="Times New Roman" w:hAnsi="Times New Roman" w:cs="Times New Roman"/>
          <w:sz w:val="24"/>
          <w:szCs w:val="24"/>
        </w:rPr>
        <w:t xml:space="preserve">And the New Jersey </w:t>
      </w:r>
      <w:r w:rsidRPr="005076FB" w:rsidR="001813A9">
        <w:rPr>
          <w:rFonts w:ascii="Times New Roman" w:hAnsi="Times New Roman" w:cs="Times New Roman"/>
          <w:sz w:val="24"/>
          <w:szCs w:val="24"/>
        </w:rPr>
        <w:t>Board of Public Utilities</w:t>
      </w:r>
      <w:r w:rsidRPr="005076FB" w:rsidR="00D42C1D">
        <w:rPr>
          <w:rFonts w:ascii="Times New Roman" w:hAnsi="Times New Roman" w:cs="Times New Roman"/>
          <w:sz w:val="24"/>
          <w:szCs w:val="24"/>
        </w:rPr>
        <w:t xml:space="preserve"> recently ordered a </w:t>
      </w:r>
      <w:r w:rsidRPr="005076FB" w:rsidR="001813A9">
        <w:rPr>
          <w:rFonts w:ascii="Times New Roman" w:hAnsi="Times New Roman" w:cs="Times New Roman"/>
          <w:sz w:val="24"/>
          <w:szCs w:val="24"/>
        </w:rPr>
        <w:t xml:space="preserve">public </w:t>
      </w:r>
      <w:r w:rsidRPr="005076FB" w:rsidR="00D42C1D">
        <w:rPr>
          <w:rFonts w:ascii="Times New Roman" w:hAnsi="Times New Roman" w:cs="Times New Roman"/>
          <w:sz w:val="24"/>
          <w:szCs w:val="24"/>
        </w:rPr>
        <w:t>hearing</w:t>
      </w:r>
      <w:r w:rsidRPr="005076FB" w:rsidR="001813A9">
        <w:rPr>
          <w:rFonts w:ascii="Times New Roman" w:hAnsi="Times New Roman" w:cs="Times New Roman"/>
          <w:sz w:val="24"/>
          <w:szCs w:val="24"/>
        </w:rPr>
        <w:t xml:space="preserve"> related to credit downgrades</w:t>
      </w:r>
      <w:r w:rsidRPr="005076FB" w:rsidR="009E00F7">
        <w:rPr>
          <w:rFonts w:ascii="Times New Roman" w:hAnsi="Times New Roman" w:cs="Times New Roman"/>
          <w:sz w:val="24"/>
          <w:szCs w:val="24"/>
        </w:rPr>
        <w:t xml:space="preserve"> to FirstEnergy</w:t>
      </w:r>
      <w:r w:rsidRPr="005076FB" w:rsidR="001813A9">
        <w:rPr>
          <w:rFonts w:ascii="Times New Roman" w:hAnsi="Times New Roman" w:cs="Times New Roman"/>
          <w:sz w:val="24"/>
          <w:szCs w:val="24"/>
        </w:rPr>
        <w:t xml:space="preserve"> made by rating agencies related to </w:t>
      </w:r>
      <w:r w:rsidRPr="005076FB" w:rsidR="009E00F7">
        <w:rPr>
          <w:rFonts w:ascii="Times New Roman" w:hAnsi="Times New Roman" w:cs="Times New Roman"/>
          <w:sz w:val="24"/>
          <w:szCs w:val="24"/>
        </w:rPr>
        <w:t xml:space="preserve">these </w:t>
      </w:r>
      <w:r w:rsidRPr="005076FB" w:rsidR="001813A9">
        <w:rPr>
          <w:rFonts w:ascii="Times New Roman" w:hAnsi="Times New Roman" w:cs="Times New Roman"/>
          <w:sz w:val="24"/>
          <w:szCs w:val="24"/>
        </w:rPr>
        <w:t>recent events</w:t>
      </w:r>
      <w:r w:rsidRPr="005076FB" w:rsidR="004D13F3">
        <w:rPr>
          <w:rFonts w:ascii="Times New Roman" w:hAnsi="Times New Roman" w:cs="Times New Roman"/>
          <w:sz w:val="24"/>
          <w:szCs w:val="24"/>
        </w:rPr>
        <w:t xml:space="preserve"> in Ohio</w:t>
      </w:r>
      <w:r w:rsidRPr="005076FB" w:rsidR="00D42C1D">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sidRPr="005076FB" w:rsidR="00D42C1D">
        <w:rPr>
          <w:rFonts w:ascii="Times New Roman" w:hAnsi="Times New Roman" w:cs="Times New Roman"/>
          <w:sz w:val="24"/>
          <w:szCs w:val="24"/>
        </w:rPr>
        <w:t xml:space="preserve"> </w:t>
      </w:r>
      <w:r w:rsidRPr="005076FB" w:rsidR="00D4643E">
        <w:rPr>
          <w:rFonts w:ascii="Times New Roman" w:hAnsi="Times New Roman" w:cs="Times New Roman"/>
          <w:sz w:val="24"/>
          <w:szCs w:val="24"/>
        </w:rPr>
        <w:t xml:space="preserve">These other investigations </w:t>
      </w:r>
      <w:r w:rsidRPr="005076FB" w:rsidR="003A13F3">
        <w:rPr>
          <w:rFonts w:ascii="Times New Roman" w:hAnsi="Times New Roman" w:cs="Times New Roman"/>
          <w:sz w:val="24"/>
          <w:szCs w:val="24"/>
        </w:rPr>
        <w:t xml:space="preserve">can </w:t>
      </w:r>
      <w:r w:rsidRPr="005076FB" w:rsidR="00D4643E">
        <w:rPr>
          <w:rFonts w:ascii="Times New Roman" w:hAnsi="Times New Roman" w:cs="Times New Roman"/>
          <w:sz w:val="24"/>
          <w:szCs w:val="24"/>
        </w:rPr>
        <w:t xml:space="preserve">provide important information for the PUCO </w:t>
      </w:r>
      <w:r w:rsidRPr="005076FB" w:rsidR="00584721">
        <w:rPr>
          <w:rFonts w:ascii="Times New Roman" w:hAnsi="Times New Roman" w:cs="Times New Roman"/>
          <w:sz w:val="24"/>
          <w:szCs w:val="24"/>
        </w:rPr>
        <w:t xml:space="preserve">and parties </w:t>
      </w:r>
      <w:r w:rsidRPr="005076FB" w:rsidR="00D4643E">
        <w:rPr>
          <w:rFonts w:ascii="Times New Roman" w:hAnsi="Times New Roman" w:cs="Times New Roman"/>
          <w:sz w:val="24"/>
          <w:szCs w:val="24"/>
        </w:rPr>
        <w:t xml:space="preserve">to consider.  </w:t>
      </w:r>
      <w:r w:rsidRPr="005076FB" w:rsidR="00092349">
        <w:rPr>
          <w:rFonts w:ascii="Times New Roman" w:hAnsi="Times New Roman" w:cs="Times New Roman"/>
          <w:sz w:val="24"/>
          <w:szCs w:val="24"/>
        </w:rPr>
        <w:t>FirstEnergy Corp.</w:t>
      </w:r>
      <w:r w:rsidRPr="005076FB" w:rsidR="003A13F3">
        <w:rPr>
          <w:rFonts w:ascii="Times New Roman" w:hAnsi="Times New Roman" w:cs="Times New Roman"/>
          <w:sz w:val="24"/>
          <w:szCs w:val="24"/>
        </w:rPr>
        <w:t>’s</w:t>
      </w:r>
      <w:r w:rsidRPr="005076FB" w:rsidR="00092349">
        <w:rPr>
          <w:rFonts w:ascii="Times New Roman" w:hAnsi="Times New Roman" w:cs="Times New Roman"/>
          <w:sz w:val="24"/>
          <w:szCs w:val="24"/>
        </w:rPr>
        <w:t xml:space="preserve"> internal investigation</w:t>
      </w:r>
      <w:r w:rsidRPr="005076FB" w:rsidR="00584721">
        <w:rPr>
          <w:rFonts w:ascii="Times New Roman" w:hAnsi="Times New Roman" w:cs="Times New Roman"/>
          <w:sz w:val="24"/>
          <w:szCs w:val="24"/>
        </w:rPr>
        <w:t xml:space="preserve"> by its Board</w:t>
      </w:r>
      <w:r w:rsidRPr="005076FB" w:rsidR="00092349">
        <w:rPr>
          <w:rFonts w:ascii="Times New Roman" w:hAnsi="Times New Roman" w:cs="Times New Roman"/>
          <w:sz w:val="24"/>
          <w:szCs w:val="24"/>
        </w:rPr>
        <w:t xml:space="preserve"> has already </w:t>
      </w:r>
      <w:r w:rsidRPr="005076FB" w:rsidR="003A13F3">
        <w:rPr>
          <w:rFonts w:ascii="Times New Roman" w:hAnsi="Times New Roman" w:cs="Times New Roman"/>
          <w:sz w:val="24"/>
          <w:szCs w:val="24"/>
        </w:rPr>
        <w:t>resulted in dramatic leadership changes there</w:t>
      </w:r>
      <w:r w:rsidRPr="005076FB" w:rsidR="00092349">
        <w:rPr>
          <w:rFonts w:ascii="Times New Roman" w:hAnsi="Times New Roman" w:cs="Times New Roman"/>
          <w:sz w:val="24"/>
          <w:szCs w:val="24"/>
        </w:rPr>
        <w:t xml:space="preserve">.  </w:t>
      </w:r>
      <w:r w:rsidRPr="005076FB" w:rsidR="0099419E">
        <w:rPr>
          <w:rFonts w:ascii="Times New Roman" w:hAnsi="Times New Roman" w:cs="Times New Roman"/>
          <w:sz w:val="24"/>
          <w:szCs w:val="24"/>
        </w:rPr>
        <w:t xml:space="preserve"> </w:t>
      </w:r>
      <w:r w:rsidRPr="005076FB" w:rsidR="00092349">
        <w:rPr>
          <w:rFonts w:ascii="Times New Roman" w:hAnsi="Times New Roman" w:cs="Times New Roman"/>
          <w:sz w:val="24"/>
          <w:szCs w:val="24"/>
        </w:rPr>
        <w:t xml:space="preserve"> </w:t>
      </w:r>
    </w:p>
    <w:p w:rsidR="00633432" w:rsidRPr="005076FB" w:rsidP="0024008E" w14:paraId="144CC36F" w14:textId="73D4B9A0">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The FirstEnergy Board</w:t>
      </w:r>
      <w:r w:rsidRPr="005076FB" w:rsidR="003A13F3">
        <w:rPr>
          <w:rFonts w:ascii="Times New Roman" w:hAnsi="Times New Roman" w:cs="Times New Roman"/>
          <w:sz w:val="24"/>
          <w:szCs w:val="24"/>
        </w:rPr>
        <w:t>’s</w:t>
      </w:r>
      <w:r w:rsidRPr="005076FB">
        <w:rPr>
          <w:rFonts w:ascii="Times New Roman" w:hAnsi="Times New Roman" w:cs="Times New Roman"/>
          <w:sz w:val="24"/>
          <w:szCs w:val="24"/>
        </w:rPr>
        <w:t xml:space="preserve"> internal investigation </w:t>
      </w:r>
      <w:r w:rsidRPr="005076FB" w:rsidR="003A13F3">
        <w:rPr>
          <w:rFonts w:ascii="Times New Roman" w:hAnsi="Times New Roman" w:cs="Times New Roman"/>
          <w:sz w:val="24"/>
          <w:szCs w:val="24"/>
        </w:rPr>
        <w:t xml:space="preserve">apparently indicates </w:t>
      </w:r>
      <w:r w:rsidRPr="005076FB">
        <w:rPr>
          <w:rFonts w:ascii="Times New Roman" w:hAnsi="Times New Roman" w:cs="Times New Roman"/>
          <w:sz w:val="24"/>
          <w:szCs w:val="24"/>
        </w:rPr>
        <w:t>violation</w:t>
      </w:r>
      <w:r w:rsidRPr="005076FB" w:rsidR="003A13F3">
        <w:rPr>
          <w:rFonts w:ascii="Times New Roman" w:hAnsi="Times New Roman" w:cs="Times New Roman"/>
          <w:sz w:val="24"/>
          <w:szCs w:val="24"/>
        </w:rPr>
        <w:t>s</w:t>
      </w:r>
      <w:r w:rsidRPr="005076FB">
        <w:rPr>
          <w:rFonts w:ascii="Times New Roman" w:hAnsi="Times New Roman" w:cs="Times New Roman"/>
          <w:sz w:val="24"/>
          <w:szCs w:val="24"/>
        </w:rPr>
        <w:t xml:space="preserve"> of corporate governance</w:t>
      </w:r>
      <w:r w:rsidRPr="005076FB" w:rsidR="003A13F3">
        <w:rPr>
          <w:rFonts w:ascii="Times New Roman" w:hAnsi="Times New Roman" w:cs="Times New Roman"/>
          <w:sz w:val="24"/>
          <w:szCs w:val="24"/>
        </w:rPr>
        <w:t xml:space="preserve"> standards</w:t>
      </w:r>
      <w:r w:rsidRPr="005076FB">
        <w:rPr>
          <w:rFonts w:ascii="Times New Roman" w:hAnsi="Times New Roman" w:cs="Times New Roman"/>
          <w:sz w:val="24"/>
          <w:szCs w:val="24"/>
        </w:rPr>
        <w:t xml:space="preserve"> </w:t>
      </w:r>
      <w:r w:rsidRPr="005076FB" w:rsidR="00221AA3">
        <w:rPr>
          <w:rFonts w:ascii="Times New Roman" w:hAnsi="Times New Roman" w:cs="Times New Roman"/>
          <w:sz w:val="24"/>
          <w:szCs w:val="24"/>
        </w:rPr>
        <w:t xml:space="preserve">or other issues </w:t>
      </w:r>
      <w:r w:rsidRPr="005076FB">
        <w:rPr>
          <w:rFonts w:ascii="Times New Roman" w:hAnsi="Times New Roman" w:cs="Times New Roman"/>
          <w:sz w:val="24"/>
          <w:szCs w:val="24"/>
        </w:rPr>
        <w:t xml:space="preserve">by the fired executives.  The PUCO should be keenly interested in </w:t>
      </w:r>
      <w:r w:rsidRPr="005076FB" w:rsidR="00576E5F">
        <w:rPr>
          <w:rFonts w:ascii="Times New Roman" w:hAnsi="Times New Roman" w:cs="Times New Roman"/>
          <w:sz w:val="24"/>
          <w:szCs w:val="24"/>
        </w:rPr>
        <w:t>corporate governance</w:t>
      </w:r>
      <w:r w:rsidRPr="005076FB" w:rsidR="009D6927">
        <w:rPr>
          <w:rFonts w:ascii="Times New Roman" w:hAnsi="Times New Roman" w:cs="Times New Roman"/>
          <w:sz w:val="24"/>
          <w:szCs w:val="24"/>
        </w:rPr>
        <w:t xml:space="preserve"> issues</w:t>
      </w:r>
      <w:r w:rsidRPr="005076FB" w:rsidR="00576E5F">
        <w:rPr>
          <w:rFonts w:ascii="Times New Roman" w:hAnsi="Times New Roman" w:cs="Times New Roman"/>
          <w:sz w:val="24"/>
          <w:szCs w:val="24"/>
        </w:rPr>
        <w:t xml:space="preserve"> where franchised utilities</w:t>
      </w:r>
      <w:r w:rsidRPr="005076FB" w:rsidR="009D6927">
        <w:rPr>
          <w:rFonts w:ascii="Times New Roman" w:hAnsi="Times New Roman" w:cs="Times New Roman"/>
          <w:sz w:val="24"/>
          <w:szCs w:val="24"/>
        </w:rPr>
        <w:t xml:space="preserve"> that serve millions of Ohioans</w:t>
      </w:r>
      <w:r w:rsidRPr="005076FB" w:rsidR="00576E5F">
        <w:rPr>
          <w:rFonts w:ascii="Times New Roman" w:hAnsi="Times New Roman" w:cs="Times New Roman"/>
          <w:sz w:val="24"/>
          <w:szCs w:val="24"/>
        </w:rPr>
        <w:t xml:space="preserve"> </w:t>
      </w:r>
      <w:r w:rsidRPr="005076FB" w:rsidR="009D6927">
        <w:rPr>
          <w:rFonts w:ascii="Times New Roman" w:hAnsi="Times New Roman" w:cs="Times New Roman"/>
          <w:sz w:val="24"/>
          <w:szCs w:val="24"/>
        </w:rPr>
        <w:t>are involved</w:t>
      </w:r>
      <w:r w:rsidRPr="005076FB">
        <w:rPr>
          <w:rFonts w:ascii="Times New Roman" w:hAnsi="Times New Roman" w:cs="Times New Roman"/>
          <w:sz w:val="24"/>
          <w:szCs w:val="24"/>
        </w:rPr>
        <w:t xml:space="preserve">.  And </w:t>
      </w:r>
      <w:r w:rsidRPr="005076FB" w:rsidR="00092349">
        <w:rPr>
          <w:rFonts w:ascii="Times New Roman" w:hAnsi="Times New Roman" w:cs="Times New Roman"/>
          <w:sz w:val="24"/>
          <w:szCs w:val="24"/>
        </w:rPr>
        <w:t xml:space="preserve">other investigations may have even more information that </w:t>
      </w:r>
      <w:r w:rsidRPr="005076FB" w:rsidR="00221AA3">
        <w:rPr>
          <w:rFonts w:ascii="Times New Roman" w:hAnsi="Times New Roman" w:cs="Times New Roman"/>
          <w:sz w:val="24"/>
          <w:szCs w:val="24"/>
        </w:rPr>
        <w:t xml:space="preserve">can </w:t>
      </w:r>
      <w:r w:rsidRPr="005076FB" w:rsidR="00092349">
        <w:rPr>
          <w:rFonts w:ascii="Times New Roman" w:hAnsi="Times New Roman" w:cs="Times New Roman"/>
          <w:sz w:val="24"/>
          <w:szCs w:val="24"/>
        </w:rPr>
        <w:t xml:space="preserve">provide answers about whether customers’ funds were </w:t>
      </w:r>
      <w:r w:rsidRPr="005076FB" w:rsidR="00D51D96">
        <w:rPr>
          <w:rFonts w:ascii="Times New Roman" w:hAnsi="Times New Roman" w:cs="Times New Roman"/>
          <w:sz w:val="24"/>
          <w:szCs w:val="24"/>
        </w:rPr>
        <w:t>mis</w:t>
      </w:r>
      <w:r w:rsidRPr="005076FB" w:rsidR="00092349">
        <w:rPr>
          <w:rFonts w:ascii="Times New Roman" w:hAnsi="Times New Roman" w:cs="Times New Roman"/>
          <w:sz w:val="24"/>
          <w:szCs w:val="24"/>
        </w:rPr>
        <w:t>used on H</w:t>
      </w:r>
      <w:r w:rsidRPr="005076FB" w:rsidR="00F928F3">
        <w:rPr>
          <w:rFonts w:ascii="Times New Roman" w:hAnsi="Times New Roman" w:cs="Times New Roman"/>
          <w:sz w:val="24"/>
          <w:szCs w:val="24"/>
        </w:rPr>
        <w:t xml:space="preserve">ouse </w:t>
      </w:r>
      <w:r w:rsidRPr="005076FB" w:rsidR="00092349">
        <w:rPr>
          <w:rFonts w:ascii="Times New Roman" w:hAnsi="Times New Roman" w:cs="Times New Roman"/>
          <w:sz w:val="24"/>
          <w:szCs w:val="24"/>
        </w:rPr>
        <w:t>B</w:t>
      </w:r>
      <w:r w:rsidRPr="005076FB" w:rsidR="00F928F3">
        <w:rPr>
          <w:rFonts w:ascii="Times New Roman" w:hAnsi="Times New Roman" w:cs="Times New Roman"/>
          <w:sz w:val="24"/>
          <w:szCs w:val="24"/>
        </w:rPr>
        <w:t>ill</w:t>
      </w:r>
      <w:r w:rsidRPr="005076FB" w:rsidR="00092349">
        <w:rPr>
          <w:rFonts w:ascii="Times New Roman" w:hAnsi="Times New Roman" w:cs="Times New Roman"/>
          <w:sz w:val="24"/>
          <w:szCs w:val="24"/>
        </w:rPr>
        <w:t xml:space="preserve"> 6 activities.    </w:t>
      </w:r>
    </w:p>
    <w:p w:rsidR="0024008E" w:rsidRPr="005076FB" w:rsidP="0024008E" w14:paraId="72B1187B" w14:textId="233885E3">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The PUCO should be </w:t>
      </w:r>
      <w:r w:rsidRPr="005076FB" w:rsidR="00206ACF">
        <w:rPr>
          <w:rFonts w:ascii="Times New Roman" w:hAnsi="Times New Roman" w:cs="Times New Roman"/>
          <w:sz w:val="24"/>
          <w:szCs w:val="24"/>
        </w:rPr>
        <w:t>obtaining</w:t>
      </w:r>
      <w:r w:rsidRPr="005076FB">
        <w:rPr>
          <w:rFonts w:ascii="Times New Roman" w:hAnsi="Times New Roman" w:cs="Times New Roman"/>
          <w:sz w:val="24"/>
          <w:szCs w:val="24"/>
        </w:rPr>
        <w:t xml:space="preserve"> as much information as possible </w:t>
      </w:r>
      <w:r w:rsidRPr="005076FB" w:rsidR="00206ACF">
        <w:rPr>
          <w:rFonts w:ascii="Times New Roman" w:hAnsi="Times New Roman" w:cs="Times New Roman"/>
          <w:sz w:val="24"/>
          <w:szCs w:val="24"/>
        </w:rPr>
        <w:t xml:space="preserve">for assurance that customers are being properly served </w:t>
      </w:r>
      <w:r w:rsidRPr="005076FB" w:rsidR="00A62563">
        <w:rPr>
          <w:rFonts w:ascii="Times New Roman" w:hAnsi="Times New Roman" w:cs="Times New Roman"/>
          <w:sz w:val="24"/>
          <w:szCs w:val="24"/>
        </w:rPr>
        <w:t>and</w:t>
      </w:r>
      <w:r w:rsidRPr="005076FB" w:rsidR="00206ACF">
        <w:rPr>
          <w:rFonts w:ascii="Times New Roman" w:hAnsi="Times New Roman" w:cs="Times New Roman"/>
          <w:sz w:val="24"/>
          <w:szCs w:val="24"/>
        </w:rPr>
        <w:t xml:space="preserve"> for making</w:t>
      </w:r>
      <w:r w:rsidRPr="005076FB" w:rsidR="00A62563">
        <w:rPr>
          <w:rFonts w:ascii="Times New Roman" w:hAnsi="Times New Roman" w:cs="Times New Roman"/>
          <w:sz w:val="24"/>
          <w:szCs w:val="24"/>
        </w:rPr>
        <w:t xml:space="preserve"> any</w:t>
      </w:r>
      <w:r w:rsidRPr="005076FB" w:rsidR="00206ACF">
        <w:rPr>
          <w:rFonts w:ascii="Times New Roman" w:hAnsi="Times New Roman" w:cs="Times New Roman"/>
          <w:sz w:val="24"/>
          <w:szCs w:val="24"/>
        </w:rPr>
        <w:t xml:space="preserve"> changes to provide for that assurance. </w:t>
      </w:r>
      <w:r w:rsidRPr="005076FB" w:rsidR="00092349">
        <w:rPr>
          <w:rFonts w:ascii="Times New Roman" w:hAnsi="Times New Roman" w:cs="Times New Roman"/>
          <w:sz w:val="24"/>
          <w:szCs w:val="24"/>
        </w:rPr>
        <w:t>It should have ordered such information to be produced</w:t>
      </w:r>
      <w:r w:rsidRPr="005076FB" w:rsidR="005332C0">
        <w:rPr>
          <w:rFonts w:ascii="Times New Roman" w:hAnsi="Times New Roman" w:cs="Times New Roman"/>
          <w:sz w:val="24"/>
          <w:szCs w:val="24"/>
        </w:rPr>
        <w:t>, to the extent available</w:t>
      </w:r>
      <w:r w:rsidRPr="005076FB" w:rsidR="00092349">
        <w:rPr>
          <w:rFonts w:ascii="Times New Roman" w:hAnsi="Times New Roman" w:cs="Times New Roman"/>
          <w:sz w:val="24"/>
          <w:szCs w:val="24"/>
        </w:rPr>
        <w:t xml:space="preserve">.  Rehearing should be granted and </w:t>
      </w:r>
      <w:r w:rsidRPr="005076FB" w:rsidR="00597941">
        <w:rPr>
          <w:rFonts w:ascii="Times New Roman" w:hAnsi="Times New Roman" w:cs="Times New Roman"/>
          <w:sz w:val="24"/>
          <w:szCs w:val="24"/>
        </w:rPr>
        <w:t>the</w:t>
      </w:r>
      <w:r w:rsidRPr="005076FB" w:rsidR="00092349">
        <w:rPr>
          <w:rFonts w:ascii="Times New Roman" w:hAnsi="Times New Roman" w:cs="Times New Roman"/>
          <w:sz w:val="24"/>
          <w:szCs w:val="24"/>
        </w:rPr>
        <w:t xml:space="preserve"> </w:t>
      </w:r>
      <w:r w:rsidRPr="005076FB" w:rsidR="0030403E">
        <w:rPr>
          <w:rFonts w:ascii="Times New Roman" w:hAnsi="Times New Roman" w:cs="Times New Roman"/>
          <w:sz w:val="24"/>
          <w:szCs w:val="24"/>
        </w:rPr>
        <w:t>Entry</w:t>
      </w:r>
      <w:r w:rsidRPr="005076FB" w:rsidR="00092349">
        <w:rPr>
          <w:rFonts w:ascii="Times New Roman" w:hAnsi="Times New Roman" w:cs="Times New Roman"/>
          <w:sz w:val="24"/>
          <w:szCs w:val="24"/>
        </w:rPr>
        <w:t xml:space="preserve"> abrogated.  </w:t>
      </w:r>
    </w:p>
    <w:p w:rsidR="00DD5F98" w:rsidRPr="005076FB" w:rsidP="005571F6" w14:paraId="4A751E5F" w14:textId="258A40EF">
      <w:pPr>
        <w:pStyle w:val="Heading2"/>
      </w:pPr>
      <w:bookmarkStart w:id="10" w:name="_Toc57991032"/>
      <w:r w:rsidRPr="005076FB">
        <w:t xml:space="preserve">ASSIGNMENT OF ERROR NO. 2:  The PUCO erred by failing to establish an </w:t>
      </w:r>
      <w:r w:rsidRPr="005076FB">
        <w:rPr>
          <w:i/>
          <w:iCs/>
        </w:rPr>
        <w:t xml:space="preserve">independent audit committee </w:t>
      </w:r>
      <w:r w:rsidRPr="005076FB">
        <w:t>(which in variation the PUCO has used in the past</w:t>
      </w:r>
      <w:r>
        <w:rPr>
          <w:rStyle w:val="FootnoteReference"/>
        </w:rPr>
        <w:footnoteReference w:id="16"/>
      </w:r>
      <w:r w:rsidRPr="005076FB">
        <w:t>) to oversee its ordered audit of any House Bill 6-related spending by FirstEnergy and its affiliates.  The purpose of the audit committee and its structure should be, among other things, to provide independent guidance for the audit process (separate from the PUCO).  This is appropriate in the context of but not limited to the circumstance of the former PUCO Chair’s potential relationship with FirstEnergy as (obscurely) alluded to in the S.E.C. Form 10-Q that FirstEnergy filed on November 19, 2020.</w:t>
      </w:r>
      <w:bookmarkEnd w:id="10"/>
    </w:p>
    <w:p w:rsidR="00D4643E" w:rsidRPr="005076FB" w:rsidP="00310AE7" w14:paraId="5F6D1EFA" w14:textId="48AA4AC3">
      <w:pPr>
        <w:spacing w:after="0" w:line="480" w:lineRule="auto"/>
        <w:rPr>
          <w:rFonts w:ascii="Times New Roman" w:hAnsi="Times New Roman" w:cs="Times New Roman"/>
          <w:sz w:val="24"/>
          <w:szCs w:val="24"/>
        </w:rPr>
      </w:pPr>
      <w:r w:rsidRPr="005076FB">
        <w:rPr>
          <w:rFonts w:ascii="Times New Roman" w:hAnsi="Times New Roman" w:cs="Times New Roman"/>
          <w:sz w:val="24"/>
          <w:szCs w:val="24"/>
        </w:rPr>
        <w:tab/>
      </w:r>
      <w:r w:rsidRPr="005076FB" w:rsidR="003249A7">
        <w:rPr>
          <w:rFonts w:ascii="Times New Roman" w:hAnsi="Times New Roman" w:cs="Times New Roman"/>
          <w:sz w:val="24"/>
          <w:szCs w:val="24"/>
        </w:rPr>
        <w:t xml:space="preserve">To promote </w:t>
      </w:r>
      <w:r w:rsidRPr="005076FB" w:rsidR="00633432">
        <w:rPr>
          <w:rFonts w:ascii="Times New Roman" w:hAnsi="Times New Roman" w:cs="Times New Roman"/>
          <w:sz w:val="24"/>
          <w:szCs w:val="24"/>
        </w:rPr>
        <w:t xml:space="preserve">independence, </w:t>
      </w:r>
      <w:r w:rsidRPr="005076FB" w:rsidR="003249A7">
        <w:rPr>
          <w:rFonts w:ascii="Times New Roman" w:hAnsi="Times New Roman" w:cs="Times New Roman"/>
          <w:sz w:val="24"/>
          <w:szCs w:val="24"/>
        </w:rPr>
        <w:t>transparency and public confidence in the audit process, the PUCO should have established a</w:t>
      </w:r>
      <w:r w:rsidRPr="005076FB" w:rsidR="00FF1CF4">
        <w:rPr>
          <w:rFonts w:ascii="Times New Roman" w:hAnsi="Times New Roman" w:cs="Times New Roman"/>
          <w:sz w:val="24"/>
          <w:szCs w:val="24"/>
        </w:rPr>
        <w:t xml:space="preserve">n </w:t>
      </w:r>
      <w:r w:rsidRPr="005076FB" w:rsidR="00633432">
        <w:rPr>
          <w:rFonts w:ascii="Times New Roman" w:hAnsi="Times New Roman" w:cs="Times New Roman"/>
          <w:sz w:val="24"/>
          <w:szCs w:val="24"/>
        </w:rPr>
        <w:t>I</w:t>
      </w:r>
      <w:r w:rsidRPr="005076FB" w:rsidR="00FF1CF4">
        <w:rPr>
          <w:rFonts w:ascii="Times New Roman" w:hAnsi="Times New Roman" w:cs="Times New Roman"/>
          <w:sz w:val="24"/>
          <w:szCs w:val="24"/>
        </w:rPr>
        <w:t xml:space="preserve">ndependent </w:t>
      </w:r>
      <w:r w:rsidRPr="005076FB" w:rsidR="00633432">
        <w:rPr>
          <w:rFonts w:ascii="Times New Roman" w:hAnsi="Times New Roman" w:cs="Times New Roman"/>
          <w:sz w:val="24"/>
          <w:szCs w:val="24"/>
        </w:rPr>
        <w:t>A</w:t>
      </w:r>
      <w:r w:rsidRPr="005076FB" w:rsidR="00FF1CF4">
        <w:rPr>
          <w:rFonts w:ascii="Times New Roman" w:hAnsi="Times New Roman" w:cs="Times New Roman"/>
          <w:sz w:val="24"/>
          <w:szCs w:val="24"/>
        </w:rPr>
        <w:t xml:space="preserve">udit </w:t>
      </w:r>
      <w:r w:rsidRPr="005076FB" w:rsidR="00633432">
        <w:rPr>
          <w:rFonts w:ascii="Times New Roman" w:hAnsi="Times New Roman" w:cs="Times New Roman"/>
          <w:sz w:val="24"/>
          <w:szCs w:val="24"/>
        </w:rPr>
        <w:t>C</w:t>
      </w:r>
      <w:r w:rsidRPr="005076FB" w:rsidR="00FF1CF4">
        <w:rPr>
          <w:rFonts w:ascii="Times New Roman" w:hAnsi="Times New Roman" w:cs="Times New Roman"/>
          <w:sz w:val="24"/>
          <w:szCs w:val="24"/>
        </w:rPr>
        <w:t>ommittee</w:t>
      </w:r>
      <w:r w:rsidRPr="005076FB" w:rsidR="00633432">
        <w:rPr>
          <w:rFonts w:ascii="Times New Roman" w:hAnsi="Times New Roman" w:cs="Times New Roman"/>
          <w:sz w:val="24"/>
          <w:szCs w:val="24"/>
        </w:rPr>
        <w:t xml:space="preserve"> or Special Council</w:t>
      </w:r>
      <w:r w:rsidRPr="005076FB" w:rsidR="00FF1CF4">
        <w:rPr>
          <w:rFonts w:ascii="Times New Roman" w:hAnsi="Times New Roman" w:cs="Times New Roman"/>
          <w:sz w:val="24"/>
          <w:szCs w:val="24"/>
        </w:rPr>
        <w:t xml:space="preserve"> to play a significant role in over</w:t>
      </w:r>
      <w:r w:rsidRPr="005076FB" w:rsidR="008F4155">
        <w:rPr>
          <w:rFonts w:ascii="Times New Roman" w:hAnsi="Times New Roman" w:cs="Times New Roman"/>
          <w:sz w:val="24"/>
          <w:szCs w:val="24"/>
        </w:rPr>
        <w:t>see</w:t>
      </w:r>
      <w:r w:rsidRPr="005076FB" w:rsidR="00FF1CF4">
        <w:rPr>
          <w:rFonts w:ascii="Times New Roman" w:hAnsi="Times New Roman" w:cs="Times New Roman"/>
          <w:sz w:val="24"/>
          <w:szCs w:val="24"/>
        </w:rPr>
        <w:t xml:space="preserve">ing the audit. </w:t>
      </w:r>
      <w:r w:rsidRPr="005076FB" w:rsidR="003249A7">
        <w:rPr>
          <w:rFonts w:ascii="Times New Roman" w:hAnsi="Times New Roman" w:cs="Times New Roman"/>
          <w:sz w:val="24"/>
          <w:szCs w:val="24"/>
        </w:rPr>
        <w:t xml:space="preserve"> </w:t>
      </w:r>
      <w:r w:rsidRPr="005076FB" w:rsidR="00F50177">
        <w:rPr>
          <w:rFonts w:ascii="Times New Roman" w:hAnsi="Times New Roman" w:cs="Times New Roman"/>
          <w:sz w:val="24"/>
          <w:szCs w:val="24"/>
        </w:rPr>
        <w:t>The Independent Audit Committee</w:t>
      </w:r>
      <w:r w:rsidRPr="005076FB">
        <w:rPr>
          <w:rFonts w:ascii="Times New Roman" w:hAnsi="Times New Roman" w:cs="Times New Roman"/>
          <w:sz w:val="24"/>
          <w:szCs w:val="24"/>
        </w:rPr>
        <w:t xml:space="preserve"> </w:t>
      </w:r>
      <w:r w:rsidRPr="005076FB" w:rsidR="00F50177">
        <w:rPr>
          <w:rFonts w:ascii="Times New Roman" w:hAnsi="Times New Roman" w:cs="Times New Roman"/>
          <w:sz w:val="24"/>
          <w:szCs w:val="24"/>
        </w:rPr>
        <w:t xml:space="preserve">(or </w:t>
      </w:r>
      <w:r w:rsidRPr="005076FB">
        <w:rPr>
          <w:rFonts w:ascii="Times New Roman" w:hAnsi="Times New Roman" w:cs="Times New Roman"/>
          <w:sz w:val="24"/>
          <w:szCs w:val="24"/>
        </w:rPr>
        <w:t>Special Coun</w:t>
      </w:r>
      <w:r w:rsidRPr="005076FB" w:rsidR="00F50177">
        <w:rPr>
          <w:rFonts w:ascii="Times New Roman" w:hAnsi="Times New Roman" w:cs="Times New Roman"/>
          <w:sz w:val="24"/>
          <w:szCs w:val="24"/>
        </w:rPr>
        <w:t>cil)</w:t>
      </w:r>
      <w:r w:rsidRPr="005076FB">
        <w:rPr>
          <w:rFonts w:ascii="Times New Roman" w:hAnsi="Times New Roman" w:cs="Times New Roman"/>
          <w:sz w:val="24"/>
          <w:szCs w:val="24"/>
        </w:rPr>
        <w:t xml:space="preserve"> should have been appointed </w:t>
      </w:r>
      <w:r w:rsidRPr="005076FB" w:rsidR="003E15B7">
        <w:rPr>
          <w:rFonts w:ascii="Times New Roman" w:hAnsi="Times New Roman" w:cs="Times New Roman"/>
          <w:sz w:val="24"/>
          <w:szCs w:val="24"/>
        </w:rPr>
        <w:t xml:space="preserve">for guidance in </w:t>
      </w:r>
      <w:r w:rsidRPr="005076FB">
        <w:rPr>
          <w:rFonts w:ascii="Times New Roman" w:hAnsi="Times New Roman" w:cs="Times New Roman"/>
          <w:sz w:val="24"/>
          <w:szCs w:val="24"/>
        </w:rPr>
        <w:t>choos</w:t>
      </w:r>
      <w:r w:rsidRPr="005076FB" w:rsidR="003E15B7">
        <w:rPr>
          <w:rFonts w:ascii="Times New Roman" w:hAnsi="Times New Roman" w:cs="Times New Roman"/>
          <w:sz w:val="24"/>
          <w:szCs w:val="24"/>
        </w:rPr>
        <w:t>ing</w:t>
      </w:r>
      <w:r w:rsidRPr="005076FB">
        <w:rPr>
          <w:rFonts w:ascii="Times New Roman" w:hAnsi="Times New Roman" w:cs="Times New Roman"/>
          <w:sz w:val="24"/>
          <w:szCs w:val="24"/>
        </w:rPr>
        <w:t xml:space="preserve"> the auditor</w:t>
      </w:r>
      <w:r w:rsidRPr="005076FB" w:rsidR="00633432">
        <w:rPr>
          <w:rFonts w:ascii="Times New Roman" w:hAnsi="Times New Roman" w:cs="Times New Roman"/>
          <w:sz w:val="24"/>
          <w:szCs w:val="24"/>
        </w:rPr>
        <w:t xml:space="preserve"> (</w:t>
      </w:r>
      <w:r w:rsidRPr="005076FB" w:rsidR="003E15B7">
        <w:rPr>
          <w:rFonts w:ascii="Times New Roman" w:hAnsi="Times New Roman" w:cs="Times New Roman"/>
          <w:sz w:val="24"/>
          <w:szCs w:val="24"/>
        </w:rPr>
        <w:t>and to</w:t>
      </w:r>
      <w:r w:rsidRPr="005076FB" w:rsidR="00633432">
        <w:rPr>
          <w:rFonts w:ascii="Times New Roman" w:hAnsi="Times New Roman" w:cs="Times New Roman"/>
          <w:sz w:val="24"/>
          <w:szCs w:val="24"/>
        </w:rPr>
        <w:t xml:space="preserve"> be materially involved in that)</w:t>
      </w:r>
      <w:r w:rsidRPr="005076FB">
        <w:rPr>
          <w:rFonts w:ascii="Times New Roman" w:hAnsi="Times New Roman" w:cs="Times New Roman"/>
          <w:sz w:val="24"/>
          <w:szCs w:val="24"/>
        </w:rPr>
        <w:t xml:space="preserve">, </w:t>
      </w:r>
      <w:r w:rsidRPr="005076FB" w:rsidR="003E15B7">
        <w:rPr>
          <w:rFonts w:ascii="Times New Roman" w:hAnsi="Times New Roman" w:cs="Times New Roman"/>
          <w:sz w:val="24"/>
          <w:szCs w:val="24"/>
        </w:rPr>
        <w:t xml:space="preserve">for participation in oversight of </w:t>
      </w:r>
      <w:r w:rsidRPr="005076FB">
        <w:rPr>
          <w:rFonts w:ascii="Times New Roman" w:hAnsi="Times New Roman" w:cs="Times New Roman"/>
          <w:sz w:val="24"/>
          <w:szCs w:val="24"/>
        </w:rPr>
        <w:t>the audit</w:t>
      </w:r>
      <w:r w:rsidRPr="005076FB" w:rsidR="00633432">
        <w:rPr>
          <w:rFonts w:ascii="Times New Roman" w:hAnsi="Times New Roman" w:cs="Times New Roman"/>
          <w:sz w:val="24"/>
          <w:szCs w:val="24"/>
        </w:rPr>
        <w:t xml:space="preserve"> (</w:t>
      </w:r>
      <w:r w:rsidRPr="005076FB" w:rsidR="003E15B7">
        <w:rPr>
          <w:rFonts w:ascii="Times New Roman" w:hAnsi="Times New Roman" w:cs="Times New Roman"/>
          <w:sz w:val="24"/>
          <w:szCs w:val="24"/>
        </w:rPr>
        <w:t xml:space="preserve">and to </w:t>
      </w:r>
      <w:r w:rsidRPr="005076FB" w:rsidR="00633432">
        <w:rPr>
          <w:rFonts w:ascii="Times New Roman" w:hAnsi="Times New Roman" w:cs="Times New Roman"/>
          <w:sz w:val="24"/>
          <w:szCs w:val="24"/>
        </w:rPr>
        <w:t>be materially involved in that)</w:t>
      </w:r>
      <w:r w:rsidRPr="005076FB">
        <w:rPr>
          <w:rFonts w:ascii="Times New Roman" w:hAnsi="Times New Roman" w:cs="Times New Roman"/>
          <w:sz w:val="24"/>
          <w:szCs w:val="24"/>
        </w:rPr>
        <w:t xml:space="preserve">, and </w:t>
      </w:r>
      <w:r w:rsidRPr="005076FB" w:rsidR="003E15B7">
        <w:rPr>
          <w:rFonts w:ascii="Times New Roman" w:hAnsi="Times New Roman" w:cs="Times New Roman"/>
          <w:sz w:val="24"/>
          <w:szCs w:val="24"/>
        </w:rPr>
        <w:t xml:space="preserve">to provide guidance for </w:t>
      </w:r>
      <w:r w:rsidRPr="005076FB">
        <w:rPr>
          <w:rFonts w:ascii="Times New Roman" w:hAnsi="Times New Roman" w:cs="Times New Roman"/>
          <w:sz w:val="24"/>
          <w:szCs w:val="24"/>
        </w:rPr>
        <w:t>govern</w:t>
      </w:r>
      <w:r w:rsidRPr="005076FB" w:rsidR="003E15B7">
        <w:rPr>
          <w:rFonts w:ascii="Times New Roman" w:hAnsi="Times New Roman" w:cs="Times New Roman"/>
          <w:sz w:val="24"/>
          <w:szCs w:val="24"/>
        </w:rPr>
        <w:t xml:space="preserve">ing </w:t>
      </w:r>
      <w:r w:rsidRPr="005076FB">
        <w:rPr>
          <w:rFonts w:ascii="Times New Roman" w:hAnsi="Times New Roman" w:cs="Times New Roman"/>
          <w:sz w:val="24"/>
          <w:szCs w:val="24"/>
        </w:rPr>
        <w:t xml:space="preserve"> the process from start to finish</w:t>
      </w:r>
      <w:r w:rsidRPr="005076FB" w:rsidR="00633432">
        <w:rPr>
          <w:rFonts w:ascii="Times New Roman" w:hAnsi="Times New Roman" w:cs="Times New Roman"/>
          <w:sz w:val="24"/>
          <w:szCs w:val="24"/>
        </w:rPr>
        <w:t xml:space="preserve"> (</w:t>
      </w:r>
      <w:r w:rsidRPr="005076FB" w:rsidR="003E15B7">
        <w:rPr>
          <w:rFonts w:ascii="Times New Roman" w:hAnsi="Times New Roman" w:cs="Times New Roman"/>
          <w:sz w:val="24"/>
          <w:szCs w:val="24"/>
        </w:rPr>
        <w:t xml:space="preserve">and to </w:t>
      </w:r>
      <w:r w:rsidRPr="005076FB" w:rsidR="00633432">
        <w:rPr>
          <w:rFonts w:ascii="Times New Roman" w:hAnsi="Times New Roman" w:cs="Times New Roman"/>
          <w:sz w:val="24"/>
          <w:szCs w:val="24"/>
        </w:rPr>
        <w:t>be materially involved in that)</w:t>
      </w:r>
      <w:r w:rsidRPr="005076FB">
        <w:rPr>
          <w:rFonts w:ascii="Times New Roman" w:hAnsi="Times New Roman" w:cs="Times New Roman"/>
          <w:sz w:val="24"/>
          <w:szCs w:val="24"/>
        </w:rPr>
        <w:t xml:space="preserve">.  </w:t>
      </w:r>
      <w:r w:rsidRPr="005076FB" w:rsidR="00633432">
        <w:rPr>
          <w:rFonts w:ascii="Times New Roman" w:hAnsi="Times New Roman" w:cs="Times New Roman"/>
          <w:sz w:val="24"/>
          <w:szCs w:val="24"/>
        </w:rPr>
        <w:t>This approach</w:t>
      </w:r>
      <w:r w:rsidRPr="005076FB">
        <w:rPr>
          <w:rFonts w:ascii="Times New Roman" w:hAnsi="Times New Roman" w:cs="Times New Roman"/>
          <w:sz w:val="24"/>
          <w:szCs w:val="24"/>
        </w:rPr>
        <w:t xml:space="preserve"> is especially </w:t>
      </w:r>
      <w:r w:rsidRPr="005076FB" w:rsidR="00633432">
        <w:rPr>
          <w:rFonts w:ascii="Times New Roman" w:hAnsi="Times New Roman" w:cs="Times New Roman"/>
          <w:sz w:val="24"/>
          <w:szCs w:val="24"/>
        </w:rPr>
        <w:t>important given</w:t>
      </w:r>
      <w:r w:rsidRPr="005076FB">
        <w:rPr>
          <w:rFonts w:ascii="Times New Roman" w:hAnsi="Times New Roman" w:cs="Times New Roman"/>
          <w:sz w:val="24"/>
          <w:szCs w:val="24"/>
        </w:rPr>
        <w:t xml:space="preserve"> that the </w:t>
      </w:r>
      <w:r w:rsidRPr="005076FB" w:rsidR="00291795">
        <w:rPr>
          <w:rFonts w:ascii="Times New Roman" w:hAnsi="Times New Roman" w:cs="Times New Roman"/>
          <w:sz w:val="24"/>
          <w:szCs w:val="24"/>
        </w:rPr>
        <w:t>House Bill 6 scandal has now touched the PUCO</w:t>
      </w:r>
      <w:r w:rsidRPr="005076FB" w:rsidR="007E206C">
        <w:rPr>
          <w:rFonts w:ascii="Times New Roman" w:hAnsi="Times New Roman" w:cs="Times New Roman"/>
          <w:sz w:val="24"/>
          <w:szCs w:val="24"/>
        </w:rPr>
        <w:t xml:space="preserve"> Chair’s office</w:t>
      </w:r>
      <w:r w:rsidRPr="005076FB" w:rsidR="00291795">
        <w:rPr>
          <w:rFonts w:ascii="Times New Roman" w:hAnsi="Times New Roman" w:cs="Times New Roman"/>
          <w:sz w:val="24"/>
          <w:szCs w:val="24"/>
        </w:rPr>
        <w:t xml:space="preserve">. </w:t>
      </w:r>
      <w:r w:rsidRPr="005076FB" w:rsidR="00F50177">
        <w:rPr>
          <w:rFonts w:ascii="Times New Roman" w:hAnsi="Times New Roman" w:cs="Times New Roman"/>
          <w:sz w:val="24"/>
          <w:szCs w:val="24"/>
        </w:rPr>
        <w:t xml:space="preserve">Use of an Independent Audit Committee may be especially needed </w:t>
      </w:r>
      <w:r w:rsidRPr="005076FB" w:rsidR="001E4EED">
        <w:rPr>
          <w:rFonts w:ascii="Times New Roman" w:hAnsi="Times New Roman" w:cs="Times New Roman"/>
          <w:sz w:val="24"/>
          <w:szCs w:val="24"/>
        </w:rPr>
        <w:t>for</w:t>
      </w:r>
      <w:r w:rsidRPr="005076FB" w:rsidR="00F50177">
        <w:rPr>
          <w:rFonts w:ascii="Times New Roman" w:hAnsi="Times New Roman" w:cs="Times New Roman"/>
          <w:sz w:val="24"/>
          <w:szCs w:val="24"/>
        </w:rPr>
        <w:t xml:space="preserve"> the public’s trust and confidence at this time when issues of public corruption are rampant.  </w:t>
      </w:r>
      <w:r w:rsidRPr="005076FB">
        <w:rPr>
          <w:rFonts w:ascii="Times New Roman" w:hAnsi="Times New Roman" w:cs="Times New Roman"/>
          <w:sz w:val="24"/>
          <w:szCs w:val="24"/>
        </w:rPr>
        <w:t xml:space="preserve">  </w:t>
      </w:r>
    </w:p>
    <w:p w:rsidR="003249A7" w:rsidRPr="005076FB" w:rsidP="00310AE7" w14:paraId="7D158116" w14:textId="631DD0A2">
      <w:pPr>
        <w:spacing w:after="0" w:line="480" w:lineRule="auto"/>
        <w:rPr>
          <w:rFonts w:ascii="Times New Roman" w:hAnsi="Times New Roman" w:cs="Times New Roman"/>
          <w:sz w:val="24"/>
          <w:szCs w:val="24"/>
        </w:rPr>
      </w:pPr>
      <w:r w:rsidRPr="005076FB">
        <w:rPr>
          <w:rFonts w:ascii="Times New Roman" w:hAnsi="Times New Roman" w:cs="Times New Roman"/>
          <w:sz w:val="24"/>
          <w:szCs w:val="24"/>
        </w:rPr>
        <w:tab/>
        <w:t>The PUCO has successfully used a public process</w:t>
      </w:r>
      <w:r w:rsidRPr="005076FB" w:rsidR="001E4EED">
        <w:rPr>
          <w:rFonts w:ascii="Times New Roman" w:hAnsi="Times New Roman" w:cs="Times New Roman"/>
          <w:sz w:val="24"/>
          <w:szCs w:val="24"/>
        </w:rPr>
        <w:t xml:space="preserve"> with a separate authority</w:t>
      </w:r>
      <w:r w:rsidRPr="005076FB" w:rsidR="00675E4B">
        <w:rPr>
          <w:rFonts w:ascii="Times New Roman" w:hAnsi="Times New Roman" w:cs="Times New Roman"/>
          <w:sz w:val="24"/>
          <w:szCs w:val="24"/>
        </w:rPr>
        <w:t xml:space="preserve"> structure</w:t>
      </w:r>
      <w:r w:rsidRPr="005076FB">
        <w:rPr>
          <w:rFonts w:ascii="Times New Roman" w:hAnsi="Times New Roman" w:cs="Times New Roman"/>
          <w:sz w:val="24"/>
          <w:szCs w:val="24"/>
        </w:rPr>
        <w:t xml:space="preserve"> in the past.  For instance</w:t>
      </w:r>
      <w:r w:rsidRPr="005076FB" w:rsidR="00675E4B">
        <w:rPr>
          <w:rFonts w:ascii="Times New Roman" w:hAnsi="Times New Roman" w:cs="Times New Roman"/>
          <w:sz w:val="24"/>
          <w:szCs w:val="24"/>
        </w:rPr>
        <w:t>,</w:t>
      </w:r>
      <w:r w:rsidRPr="005076FB">
        <w:rPr>
          <w:rFonts w:ascii="Times New Roman" w:hAnsi="Times New Roman" w:cs="Times New Roman"/>
          <w:sz w:val="24"/>
          <w:szCs w:val="24"/>
        </w:rPr>
        <w:t xml:space="preserve"> when Columbia Gas of Ohio was ordered to undergo an audit of its purchasing practices (after the PUCO found a “lack of diligence in seeking out Ohio produced gas</w:t>
      </w:r>
      <w:r w:rsidRPr="005076FB" w:rsidR="00D0036A">
        <w:rPr>
          <w:rFonts w:ascii="Times New Roman" w:hAnsi="Times New Roman" w:cs="Times New Roman"/>
          <w:sz w:val="24"/>
          <w:szCs w:val="24"/>
        </w:rPr>
        <w:t>”</w:t>
      </w:r>
      <w:r w:rsidRPr="005076FB">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Pr="005076FB">
        <w:rPr>
          <w:rFonts w:ascii="Times New Roman" w:hAnsi="Times New Roman" w:cs="Times New Roman"/>
          <w:sz w:val="24"/>
          <w:szCs w:val="24"/>
        </w:rPr>
        <w:t xml:space="preserve"> the PUCO appointed a ten</w:t>
      </w:r>
      <w:r w:rsidRPr="005076FB" w:rsidR="00182AEA">
        <w:rPr>
          <w:rFonts w:ascii="Times New Roman" w:hAnsi="Times New Roman" w:cs="Times New Roman"/>
          <w:sz w:val="24"/>
          <w:szCs w:val="24"/>
        </w:rPr>
        <w:t>-</w:t>
      </w:r>
      <w:r w:rsidRPr="005076FB">
        <w:rPr>
          <w:rFonts w:ascii="Times New Roman" w:hAnsi="Times New Roman" w:cs="Times New Roman"/>
          <w:sz w:val="24"/>
          <w:szCs w:val="24"/>
        </w:rPr>
        <w:t>member public advisory commi</w:t>
      </w:r>
      <w:r w:rsidRPr="005076FB" w:rsidR="00656CCA">
        <w:rPr>
          <w:rFonts w:ascii="Times New Roman" w:hAnsi="Times New Roman" w:cs="Times New Roman"/>
          <w:sz w:val="24"/>
          <w:szCs w:val="24"/>
        </w:rPr>
        <w:t>ttee</w:t>
      </w:r>
      <w:r w:rsidRPr="005076FB">
        <w:rPr>
          <w:rFonts w:ascii="Times New Roman" w:hAnsi="Times New Roman" w:cs="Times New Roman"/>
          <w:sz w:val="24"/>
          <w:szCs w:val="24"/>
        </w:rPr>
        <w:t xml:space="preserve"> “to enhance the audit process and provide meaningful participation.”</w:t>
      </w:r>
      <w:r>
        <w:rPr>
          <w:rStyle w:val="FootnoteReference"/>
          <w:rFonts w:ascii="Times New Roman" w:hAnsi="Times New Roman" w:cs="Times New Roman"/>
          <w:sz w:val="24"/>
          <w:szCs w:val="24"/>
        </w:rPr>
        <w:footnoteReference w:id="18"/>
      </w:r>
      <w:r w:rsidRPr="005076FB">
        <w:rPr>
          <w:rFonts w:ascii="Times New Roman" w:hAnsi="Times New Roman" w:cs="Times New Roman"/>
          <w:sz w:val="24"/>
          <w:szCs w:val="24"/>
        </w:rPr>
        <w:t xml:space="preserve">  </w:t>
      </w:r>
      <w:r w:rsidRPr="005076FB" w:rsidR="00675E4B">
        <w:rPr>
          <w:rFonts w:ascii="Times New Roman" w:hAnsi="Times New Roman" w:cs="Times New Roman"/>
          <w:sz w:val="24"/>
          <w:szCs w:val="24"/>
        </w:rPr>
        <w:t>Ultimately and dramatically, the PUCO ordered changes in Columbia’s Board.</w:t>
      </w:r>
      <w:r>
        <w:rPr>
          <w:rStyle w:val="FootnoteReference"/>
          <w:rFonts w:ascii="Times New Roman" w:hAnsi="Times New Roman" w:cs="Times New Roman"/>
          <w:sz w:val="24"/>
          <w:szCs w:val="24"/>
        </w:rPr>
        <w:footnoteReference w:id="19"/>
      </w:r>
    </w:p>
    <w:p w:rsidR="00012F32" w:rsidRPr="005076FB" w:rsidP="0024008E" w14:paraId="366B0429" w14:textId="391B6D4A">
      <w:pPr>
        <w:autoSpaceDE w:val="0"/>
        <w:autoSpaceDN w:val="0"/>
        <w:adjustRightInd w:val="0"/>
        <w:spacing w:after="0" w:line="480" w:lineRule="auto"/>
        <w:rPr>
          <w:rFonts w:ascii="Times New Roman" w:hAnsi="Times New Roman" w:cs="Times New Roman"/>
          <w:sz w:val="24"/>
          <w:szCs w:val="24"/>
        </w:rPr>
      </w:pPr>
      <w:r w:rsidRPr="005076FB">
        <w:rPr>
          <w:rFonts w:ascii="Times New Roman" w:hAnsi="Times New Roman" w:cs="Times New Roman"/>
          <w:sz w:val="24"/>
          <w:szCs w:val="24"/>
        </w:rPr>
        <w:tab/>
        <w:t xml:space="preserve">To promote transparency and public confidence in the audit process, the PUCO should establish </w:t>
      </w:r>
      <w:r w:rsidRPr="005076FB" w:rsidR="00D4643E">
        <w:rPr>
          <w:rFonts w:ascii="Times New Roman" w:hAnsi="Times New Roman" w:cs="Times New Roman"/>
          <w:sz w:val="24"/>
          <w:szCs w:val="24"/>
        </w:rPr>
        <w:t xml:space="preserve">an </w:t>
      </w:r>
      <w:r w:rsidRPr="005076FB" w:rsidR="003E15B7">
        <w:rPr>
          <w:rFonts w:ascii="Times New Roman" w:hAnsi="Times New Roman" w:cs="Times New Roman"/>
          <w:sz w:val="24"/>
          <w:szCs w:val="24"/>
        </w:rPr>
        <w:t>I</w:t>
      </w:r>
      <w:r w:rsidRPr="005076FB" w:rsidR="00D4643E">
        <w:rPr>
          <w:rFonts w:ascii="Times New Roman" w:hAnsi="Times New Roman" w:cs="Times New Roman"/>
          <w:sz w:val="24"/>
          <w:szCs w:val="24"/>
        </w:rPr>
        <w:t xml:space="preserve">ndependent </w:t>
      </w:r>
      <w:r w:rsidRPr="005076FB" w:rsidR="003E15B7">
        <w:rPr>
          <w:rFonts w:ascii="Times New Roman" w:hAnsi="Times New Roman" w:cs="Times New Roman"/>
          <w:sz w:val="24"/>
          <w:szCs w:val="24"/>
        </w:rPr>
        <w:t>A</w:t>
      </w:r>
      <w:r w:rsidRPr="005076FB">
        <w:rPr>
          <w:rFonts w:ascii="Times New Roman" w:hAnsi="Times New Roman" w:cs="Times New Roman"/>
          <w:sz w:val="24"/>
          <w:szCs w:val="24"/>
        </w:rPr>
        <w:t xml:space="preserve">udit </w:t>
      </w:r>
      <w:r w:rsidRPr="005076FB" w:rsidR="003E15B7">
        <w:rPr>
          <w:rFonts w:ascii="Times New Roman" w:hAnsi="Times New Roman" w:cs="Times New Roman"/>
          <w:sz w:val="24"/>
          <w:szCs w:val="24"/>
        </w:rPr>
        <w:t xml:space="preserve">Committee (Special Council) </w:t>
      </w:r>
      <w:r w:rsidRPr="005076FB">
        <w:rPr>
          <w:rFonts w:ascii="Times New Roman" w:hAnsi="Times New Roman" w:cs="Times New Roman"/>
          <w:sz w:val="24"/>
          <w:szCs w:val="24"/>
        </w:rPr>
        <w:t xml:space="preserve">to </w:t>
      </w:r>
      <w:r w:rsidRPr="005076FB" w:rsidR="00D4643E">
        <w:rPr>
          <w:rFonts w:ascii="Times New Roman" w:hAnsi="Times New Roman" w:cs="Times New Roman"/>
          <w:sz w:val="24"/>
          <w:szCs w:val="24"/>
        </w:rPr>
        <w:t>over</w:t>
      </w:r>
      <w:r w:rsidRPr="005076FB" w:rsidR="0024008E">
        <w:rPr>
          <w:rFonts w:ascii="Times New Roman" w:hAnsi="Times New Roman" w:cs="Times New Roman"/>
          <w:sz w:val="24"/>
          <w:szCs w:val="24"/>
        </w:rPr>
        <w:t>see</w:t>
      </w:r>
      <w:r w:rsidRPr="005076FB" w:rsidR="00D4643E">
        <w:rPr>
          <w:rFonts w:ascii="Times New Roman" w:hAnsi="Times New Roman" w:cs="Times New Roman"/>
          <w:sz w:val="24"/>
          <w:szCs w:val="24"/>
        </w:rPr>
        <w:t xml:space="preserve"> the </w:t>
      </w:r>
      <w:r w:rsidRPr="005076FB">
        <w:rPr>
          <w:rFonts w:ascii="Times New Roman" w:hAnsi="Times New Roman" w:cs="Times New Roman"/>
          <w:sz w:val="24"/>
          <w:szCs w:val="24"/>
        </w:rPr>
        <w:t>audit process</w:t>
      </w:r>
      <w:r w:rsidRPr="005076FB" w:rsidR="003E15B7">
        <w:rPr>
          <w:rFonts w:ascii="Times New Roman" w:hAnsi="Times New Roman" w:cs="Times New Roman"/>
          <w:sz w:val="24"/>
          <w:szCs w:val="24"/>
        </w:rPr>
        <w:t>.</w:t>
      </w:r>
      <w:r w:rsidRPr="005076FB" w:rsidR="00D4643E">
        <w:rPr>
          <w:rFonts w:ascii="Times New Roman" w:hAnsi="Times New Roman" w:cs="Times New Roman"/>
          <w:sz w:val="24"/>
          <w:szCs w:val="24"/>
        </w:rPr>
        <w:t xml:space="preserve"> </w:t>
      </w:r>
      <w:r w:rsidRPr="005076FB" w:rsidR="003E15B7">
        <w:rPr>
          <w:rFonts w:ascii="Times New Roman" w:hAnsi="Times New Roman" w:cs="Times New Roman"/>
          <w:sz w:val="24"/>
          <w:szCs w:val="24"/>
        </w:rPr>
        <w:t xml:space="preserve"> </w:t>
      </w:r>
      <w:r w:rsidRPr="005076FB">
        <w:rPr>
          <w:rFonts w:ascii="Times New Roman" w:hAnsi="Times New Roman" w:cs="Times New Roman"/>
          <w:sz w:val="24"/>
          <w:szCs w:val="24"/>
        </w:rPr>
        <w:t xml:space="preserve">The PUCO should grant rehearing on this issue.  </w:t>
      </w:r>
    </w:p>
    <w:p w:rsidR="00310AE7" w:rsidRPr="005076FB" w:rsidP="006A649B" w14:paraId="37097D44" w14:textId="77777777">
      <w:pPr>
        <w:pStyle w:val="ListParagraph"/>
        <w:widowControl w:val="0"/>
        <w:spacing w:after="0"/>
        <w:rPr>
          <w:rFonts w:ascii="Times New Roman" w:hAnsi="Times New Roman" w:cs="Times New Roman"/>
          <w:b/>
          <w:bCs/>
          <w:sz w:val="24"/>
          <w:szCs w:val="24"/>
        </w:rPr>
        <w:sectPr w:rsidSect="00310AE7">
          <w:headerReference w:type="default" r:id="rId16"/>
          <w:pgSz w:w="12240" w:h="15840"/>
          <w:pgMar w:top="1440" w:right="1800" w:bottom="1440" w:left="1800" w:header="720" w:footer="720" w:gutter="0"/>
          <w:pgNumType w:start="1"/>
          <w:cols w:space="720"/>
          <w:docGrid w:linePitch="360"/>
        </w:sectPr>
      </w:pPr>
      <w:bookmarkStart w:id="11" w:name="_Toc56780170"/>
    </w:p>
    <w:p w:rsidR="00DD5F98" w:rsidRPr="005076FB" w:rsidP="005571F6" w14:paraId="7A1A9246" w14:textId="75CDB85B">
      <w:pPr>
        <w:pStyle w:val="Heading2"/>
      </w:pPr>
      <w:bookmarkStart w:id="12" w:name="_Toc57991033"/>
      <w:r w:rsidRPr="005076FB">
        <w:t>ASSIGNMENT OF ERROR NO. 3: The PUCO erred by, respectively, issuing its ruling and then not vacating and revisiting its ruling on the OCC’s motions and related issues, in the context of but not limited to the circumstance of the former PUCO Chair’s potential relationship with FirstEnergy as (obscurely) alluded to in the S.E.C. Form 10-Q that FirstEnergy filed on November 19, 2020.</w:t>
      </w:r>
      <w:bookmarkEnd w:id="12"/>
    </w:p>
    <w:p w:rsidR="00F43D62" w:rsidRPr="005076FB" w:rsidP="004F2080" w14:paraId="24A09C55" w14:textId="14D62295">
      <w:pPr>
        <w:spacing w:after="0" w:line="480" w:lineRule="auto"/>
        <w:rPr>
          <w:rFonts w:ascii="Times New Roman" w:hAnsi="Times New Roman" w:cs="Times New Roman"/>
          <w:sz w:val="24"/>
          <w:szCs w:val="24"/>
        </w:rPr>
      </w:pPr>
      <w:r w:rsidRPr="005076FB">
        <w:rPr>
          <w:rFonts w:ascii="Times New Roman" w:hAnsi="Times New Roman" w:cs="Times New Roman"/>
          <w:sz w:val="24"/>
          <w:szCs w:val="24"/>
        </w:rPr>
        <w:tab/>
        <w:t>Three months ago OCC filed motions asking the PUCO to investigate any violations of utility regulatory principles and practices by FirstEnergy Corp. and FirstEnergy Utilities associated with the passage of tainted House Bill 6 and the ensuing House Bill 6 scandal.</w:t>
      </w:r>
      <w:r>
        <w:rPr>
          <w:rStyle w:val="FootnoteReference"/>
          <w:rFonts w:ascii="Times New Roman" w:hAnsi="Times New Roman" w:cs="Times New Roman"/>
          <w:sz w:val="24"/>
          <w:szCs w:val="24"/>
        </w:rPr>
        <w:footnoteReference w:id="20"/>
      </w:r>
      <w:r w:rsidRPr="005076FB">
        <w:rPr>
          <w:rFonts w:ascii="Times New Roman" w:hAnsi="Times New Roman" w:cs="Times New Roman"/>
          <w:sz w:val="24"/>
          <w:szCs w:val="24"/>
        </w:rPr>
        <w:t xml:space="preserve">  In a September 15</w:t>
      </w:r>
      <w:r w:rsidRPr="005076FB" w:rsidR="00B60CCB">
        <w:rPr>
          <w:rFonts w:ascii="Times New Roman" w:hAnsi="Times New Roman" w:cs="Times New Roman"/>
          <w:sz w:val="24"/>
          <w:szCs w:val="24"/>
        </w:rPr>
        <w:t>th</w:t>
      </w:r>
      <w:r w:rsidRPr="005076FB">
        <w:rPr>
          <w:rFonts w:ascii="Times New Roman" w:hAnsi="Times New Roman" w:cs="Times New Roman"/>
          <w:sz w:val="24"/>
          <w:szCs w:val="24"/>
        </w:rPr>
        <w:t xml:space="preserve"> Attorney Examiner Entry, the PUCO responded to OCC’s consumer protection motions – by mostly not granting them.  Attorney Examiner Price merely directed the three FirstEnergy Ohio utilities “to show cause, by September 30, 2020, demonstrating that the costs of any political or charitable spending in support of Am. Sub. H.B. 6, or the subsequent referendum efforts, were not included, directly or indirectly, in any rates or charges paid by ratepayers in the state.”</w:t>
      </w:r>
      <w:r>
        <w:rPr>
          <w:rStyle w:val="FootnoteReference"/>
          <w:rFonts w:ascii="Times New Roman" w:hAnsi="Times New Roman" w:cs="Times New Roman"/>
          <w:sz w:val="24"/>
          <w:szCs w:val="24"/>
        </w:rPr>
        <w:footnoteReference w:id="21"/>
      </w:r>
      <w:r w:rsidRPr="005076FB">
        <w:rPr>
          <w:rFonts w:ascii="Times New Roman" w:hAnsi="Times New Roman" w:cs="Times New Roman"/>
          <w:sz w:val="24"/>
          <w:szCs w:val="24"/>
        </w:rPr>
        <w:t xml:space="preserve">   OCC (through an interlocutory appeal)</w:t>
      </w:r>
      <w:r w:rsidRPr="005076FB" w:rsidR="00C46005">
        <w:rPr>
          <w:rFonts w:ascii="Times New Roman" w:hAnsi="Times New Roman" w:cs="Times New Roman"/>
          <w:sz w:val="24"/>
          <w:szCs w:val="24"/>
        </w:rPr>
        <w:t xml:space="preserve"> </w:t>
      </w:r>
      <w:r w:rsidRPr="005076FB">
        <w:rPr>
          <w:rFonts w:ascii="Times New Roman" w:hAnsi="Times New Roman" w:cs="Times New Roman"/>
          <w:sz w:val="24"/>
          <w:szCs w:val="24"/>
        </w:rPr>
        <w:t xml:space="preserve">sought a review of </w:t>
      </w:r>
      <w:r w:rsidRPr="005076FB" w:rsidR="003E15B7">
        <w:rPr>
          <w:rFonts w:ascii="Times New Roman" w:hAnsi="Times New Roman" w:cs="Times New Roman"/>
          <w:sz w:val="24"/>
          <w:szCs w:val="24"/>
        </w:rPr>
        <w:t xml:space="preserve">Examiner Price’s </w:t>
      </w:r>
      <w:r w:rsidRPr="005076FB">
        <w:rPr>
          <w:rFonts w:ascii="Times New Roman" w:hAnsi="Times New Roman" w:cs="Times New Roman"/>
          <w:sz w:val="24"/>
          <w:szCs w:val="24"/>
        </w:rPr>
        <w:t xml:space="preserve">Entry on grounds that the PUCO’s limited review and reliance on self-reporting by FirstEnergy was inadequate for consumer protection. </w:t>
      </w:r>
      <w:r w:rsidRPr="005076FB" w:rsidR="001334F6">
        <w:rPr>
          <w:rFonts w:ascii="Times New Roman" w:hAnsi="Times New Roman" w:cs="Times New Roman"/>
          <w:sz w:val="24"/>
          <w:szCs w:val="24"/>
        </w:rPr>
        <w:t>(</w:t>
      </w:r>
      <w:r w:rsidRPr="005076FB">
        <w:rPr>
          <w:rFonts w:ascii="Times New Roman" w:hAnsi="Times New Roman" w:cs="Times New Roman"/>
          <w:sz w:val="24"/>
          <w:szCs w:val="24"/>
        </w:rPr>
        <w:t>OCC’s interlocutory appeal has not been ruled upon.</w:t>
      </w:r>
      <w:r w:rsidRPr="005076FB" w:rsidR="001334F6">
        <w:rPr>
          <w:rFonts w:ascii="Times New Roman" w:hAnsi="Times New Roman" w:cs="Times New Roman"/>
          <w:sz w:val="24"/>
          <w:szCs w:val="24"/>
        </w:rPr>
        <w:t>)</w:t>
      </w:r>
    </w:p>
    <w:p w:rsidR="00467891" w:rsidRPr="005076FB" w:rsidP="004F2080" w14:paraId="2C9E022F" w14:textId="75009A0E">
      <w:pPr>
        <w:spacing w:after="0" w:line="480" w:lineRule="auto"/>
        <w:rPr>
          <w:rFonts w:ascii="Times New Roman" w:hAnsi="Times New Roman" w:cs="Times New Roman"/>
          <w:sz w:val="24"/>
          <w:szCs w:val="24"/>
        </w:rPr>
      </w:pPr>
      <w:r w:rsidRPr="005076FB">
        <w:rPr>
          <w:rFonts w:ascii="Times New Roman" w:hAnsi="Times New Roman" w:cs="Times New Roman"/>
          <w:sz w:val="24"/>
          <w:szCs w:val="24"/>
        </w:rPr>
        <w:tab/>
      </w:r>
      <w:r w:rsidRPr="005076FB" w:rsidR="001334F6">
        <w:rPr>
          <w:rFonts w:ascii="Times New Roman" w:hAnsi="Times New Roman" w:cs="Times New Roman"/>
          <w:sz w:val="24"/>
          <w:szCs w:val="24"/>
        </w:rPr>
        <w:t>More recent developments now provide even more justification and support for a full independent investigation and audit into FirstEnergy’s House Bill 6 activities</w:t>
      </w:r>
      <w:r w:rsidRPr="005076FB" w:rsidR="00DB30CC">
        <w:rPr>
          <w:rFonts w:ascii="Times New Roman" w:hAnsi="Times New Roman" w:cs="Times New Roman"/>
          <w:sz w:val="24"/>
          <w:szCs w:val="24"/>
        </w:rPr>
        <w:t xml:space="preserve"> as OCC had called for in its September motions</w:t>
      </w:r>
      <w:r w:rsidRPr="005076FB" w:rsidR="001334F6">
        <w:rPr>
          <w:rFonts w:ascii="Times New Roman" w:hAnsi="Times New Roman" w:cs="Times New Roman"/>
          <w:sz w:val="24"/>
          <w:szCs w:val="24"/>
        </w:rPr>
        <w:t>.  These events include the firing of FirstEnergy Corp. executives for violating FirstEnergy policies and its code of conduct (reported October 29, 2020)</w:t>
      </w:r>
      <w:r w:rsidRPr="005076FB">
        <w:rPr>
          <w:rFonts w:ascii="Times New Roman" w:hAnsi="Times New Roman" w:cs="Times New Roman"/>
          <w:sz w:val="24"/>
          <w:szCs w:val="24"/>
        </w:rPr>
        <w:t>.</w:t>
      </w:r>
      <w:r w:rsidRPr="005076FB" w:rsidR="001334F6">
        <w:rPr>
          <w:rFonts w:ascii="Times New Roman" w:hAnsi="Times New Roman" w:cs="Times New Roman"/>
          <w:sz w:val="24"/>
          <w:szCs w:val="24"/>
        </w:rPr>
        <w:t xml:space="preserve"> </w:t>
      </w:r>
      <w:r w:rsidRPr="005076FB">
        <w:rPr>
          <w:rStyle w:val="Heading2Char"/>
          <w:b w:val="0"/>
        </w:rPr>
        <w:t>W</w:t>
      </w:r>
      <w:r w:rsidRPr="005076FB" w:rsidR="001334F6">
        <w:rPr>
          <w:rStyle w:val="Heading2Char"/>
          <w:b w:val="0"/>
        </w:rPr>
        <w:t xml:space="preserve">hile the PUCO did </w:t>
      </w:r>
      <w:r w:rsidRPr="005076FB" w:rsidR="00DB30CC">
        <w:rPr>
          <w:rStyle w:val="Heading2Char"/>
          <w:b w:val="0"/>
        </w:rPr>
        <w:t xml:space="preserve">subsequently </w:t>
      </w:r>
      <w:r w:rsidRPr="005076FB" w:rsidR="001334F6">
        <w:rPr>
          <w:rStyle w:val="Heading2Char"/>
          <w:b w:val="0"/>
        </w:rPr>
        <w:t>recognize that</w:t>
      </w:r>
      <w:r w:rsidRPr="005076FB">
        <w:rPr>
          <w:rStyle w:val="Heading2Char"/>
          <w:b w:val="0"/>
        </w:rPr>
        <w:t xml:space="preserve"> it needed to take additional action in response to FirstEnergy Corp.’s October 29 SEC filing</w:t>
      </w:r>
      <w:r w:rsidRPr="005076FB">
        <w:rPr>
          <w:rStyle w:val="Heading2Char"/>
        </w:rPr>
        <w:t>,</w:t>
      </w:r>
      <w:r>
        <w:rPr>
          <w:rStyle w:val="FootnoteReference"/>
          <w:rFonts w:ascii="Times New Roman" w:hAnsi="Times New Roman" w:cs="Times New Roman"/>
          <w:sz w:val="24"/>
          <w:szCs w:val="24"/>
        </w:rPr>
        <w:footnoteReference w:id="22"/>
      </w:r>
      <w:r w:rsidRPr="005076FB">
        <w:rPr>
          <w:rStyle w:val="Heading2Char"/>
        </w:rPr>
        <w:t xml:space="preserve"> </w:t>
      </w:r>
      <w:r w:rsidRPr="005076FB" w:rsidR="001813A9">
        <w:rPr>
          <w:rStyle w:val="Heading2Char"/>
          <w:b w:val="0"/>
        </w:rPr>
        <w:t xml:space="preserve">its </w:t>
      </w:r>
      <w:r w:rsidRPr="005076FB">
        <w:rPr>
          <w:rStyle w:val="Heading2Char"/>
        </w:rPr>
        <w:t xml:space="preserve"> </w:t>
      </w:r>
      <w:r w:rsidRPr="005076FB" w:rsidR="001334F6">
        <w:rPr>
          <w:rFonts w:ascii="Times New Roman" w:hAnsi="Times New Roman" w:cs="Times New Roman"/>
          <w:sz w:val="24"/>
          <w:szCs w:val="24"/>
        </w:rPr>
        <w:t>response</w:t>
      </w:r>
      <w:r w:rsidRPr="005076FB">
        <w:rPr>
          <w:rFonts w:ascii="Times New Roman" w:hAnsi="Times New Roman" w:cs="Times New Roman"/>
          <w:sz w:val="24"/>
          <w:szCs w:val="24"/>
        </w:rPr>
        <w:t xml:space="preserve"> (the November 4, 2020 Entry that is the subject of this rehearing request) falls far </w:t>
      </w:r>
      <w:r w:rsidRPr="005076FB" w:rsidR="001334F6">
        <w:rPr>
          <w:rFonts w:ascii="Times New Roman" w:hAnsi="Times New Roman" w:cs="Times New Roman"/>
          <w:sz w:val="24"/>
          <w:szCs w:val="24"/>
        </w:rPr>
        <w:t xml:space="preserve">short of consumer protection </w:t>
      </w:r>
      <w:r w:rsidRPr="005076FB">
        <w:rPr>
          <w:rFonts w:ascii="Times New Roman" w:hAnsi="Times New Roman" w:cs="Times New Roman"/>
          <w:sz w:val="24"/>
          <w:szCs w:val="24"/>
        </w:rPr>
        <w:t xml:space="preserve">needed </w:t>
      </w:r>
      <w:r w:rsidRPr="005076FB" w:rsidR="001334F6">
        <w:rPr>
          <w:rFonts w:ascii="Times New Roman" w:hAnsi="Times New Roman" w:cs="Times New Roman"/>
          <w:sz w:val="24"/>
          <w:szCs w:val="24"/>
        </w:rPr>
        <w:t xml:space="preserve">in light of the House Bill 6 scandal.  </w:t>
      </w:r>
      <w:r w:rsidRPr="005076FB">
        <w:rPr>
          <w:rFonts w:ascii="Times New Roman" w:hAnsi="Times New Roman" w:cs="Times New Roman"/>
          <w:sz w:val="24"/>
          <w:szCs w:val="24"/>
        </w:rPr>
        <w:t xml:space="preserve"> </w:t>
      </w:r>
    </w:p>
    <w:p w:rsidR="00467891" w:rsidRPr="005076FB" w:rsidP="004F2080" w14:paraId="4A773B31" w14:textId="1D3E59BB">
      <w:pPr>
        <w:spacing w:after="0" w:line="480" w:lineRule="auto"/>
        <w:rPr>
          <w:rFonts w:ascii="Times New Roman" w:hAnsi="Times New Roman" w:cs="Times New Roman"/>
          <w:sz w:val="24"/>
          <w:szCs w:val="24"/>
        </w:rPr>
      </w:pPr>
      <w:r w:rsidRPr="005076FB">
        <w:rPr>
          <w:rFonts w:ascii="Times New Roman" w:hAnsi="Times New Roman" w:cs="Times New Roman"/>
          <w:sz w:val="24"/>
          <w:szCs w:val="24"/>
        </w:rPr>
        <w:tab/>
      </w:r>
      <w:r w:rsidRPr="005076FB" w:rsidR="003E15B7">
        <w:rPr>
          <w:rFonts w:ascii="Times New Roman" w:hAnsi="Times New Roman" w:cs="Times New Roman"/>
          <w:sz w:val="24"/>
          <w:szCs w:val="24"/>
        </w:rPr>
        <w:t>Also, t</w:t>
      </w:r>
      <w:r w:rsidRPr="005076FB">
        <w:rPr>
          <w:rFonts w:ascii="Times New Roman" w:hAnsi="Times New Roman" w:cs="Times New Roman"/>
          <w:sz w:val="24"/>
          <w:szCs w:val="24"/>
        </w:rPr>
        <w:t xml:space="preserve">he PUCO’s November 4 response preceded the resignation of the PUCO </w:t>
      </w:r>
      <w:r w:rsidRPr="005076FB" w:rsidR="00B60CCB">
        <w:rPr>
          <w:rFonts w:ascii="Times New Roman" w:hAnsi="Times New Roman" w:cs="Times New Roman"/>
          <w:sz w:val="24"/>
          <w:szCs w:val="24"/>
        </w:rPr>
        <w:t>C</w:t>
      </w:r>
      <w:r w:rsidRPr="005076FB">
        <w:rPr>
          <w:rFonts w:ascii="Times New Roman" w:hAnsi="Times New Roman" w:cs="Times New Roman"/>
          <w:sz w:val="24"/>
          <w:szCs w:val="24"/>
        </w:rPr>
        <w:t>hair (on Nov. 20, 2020) related to FirstEnergy’s SEC filing</w:t>
      </w:r>
      <w:r w:rsidRPr="005076FB" w:rsidR="003E15B7">
        <w:rPr>
          <w:rFonts w:ascii="Times New Roman" w:hAnsi="Times New Roman" w:cs="Times New Roman"/>
          <w:sz w:val="24"/>
          <w:szCs w:val="24"/>
        </w:rPr>
        <w:t xml:space="preserve">.  That filing </w:t>
      </w:r>
      <w:r w:rsidRPr="005076FB">
        <w:rPr>
          <w:rFonts w:ascii="Times New Roman" w:hAnsi="Times New Roman" w:cs="Times New Roman"/>
          <w:sz w:val="24"/>
          <w:szCs w:val="24"/>
        </w:rPr>
        <w:t>report</w:t>
      </w:r>
      <w:r w:rsidRPr="005076FB" w:rsidR="003E15B7">
        <w:rPr>
          <w:rFonts w:ascii="Times New Roman" w:hAnsi="Times New Roman" w:cs="Times New Roman"/>
          <w:sz w:val="24"/>
          <w:szCs w:val="24"/>
        </w:rPr>
        <w:t>ed</w:t>
      </w:r>
      <w:r w:rsidRPr="005076FB">
        <w:rPr>
          <w:rFonts w:ascii="Times New Roman" w:hAnsi="Times New Roman" w:cs="Times New Roman"/>
          <w:sz w:val="24"/>
          <w:szCs w:val="24"/>
        </w:rPr>
        <w:t xml:space="preserve"> a $4 million payment made in early 2019 to an “entity associated with an</w:t>
      </w:r>
      <w:r w:rsidRPr="005076FB">
        <w:rPr>
          <w:rStyle w:val="Heading2Char"/>
        </w:rPr>
        <w:t xml:space="preserve"> </w:t>
      </w:r>
      <w:r w:rsidRPr="005076FB">
        <w:rPr>
          <w:rFonts w:ascii="Times New Roman" w:hAnsi="Times New Roman" w:cs="Times New Roman"/>
          <w:sz w:val="24"/>
          <w:szCs w:val="24"/>
        </w:rPr>
        <w:t>individual who subsequently was appointed to a full-time role as an Ohio Government official directly involved in regulating the Ohio companies, including with respect to distribution rates.”)</w:t>
      </w:r>
      <w:r>
        <w:rPr>
          <w:rFonts w:ascii="Times New Roman" w:hAnsi="Times New Roman" w:cs="Times New Roman"/>
          <w:sz w:val="24"/>
          <w:szCs w:val="24"/>
          <w:vertAlign w:val="superscript"/>
        </w:rPr>
        <w:footnoteReference w:id="23"/>
      </w:r>
      <w:r w:rsidRPr="005076FB" w:rsidR="00CE6978">
        <w:rPr>
          <w:rFonts w:ascii="Times New Roman" w:hAnsi="Times New Roman" w:cs="Times New Roman"/>
          <w:sz w:val="24"/>
          <w:szCs w:val="24"/>
        </w:rPr>
        <w:t xml:space="preserve"> </w:t>
      </w:r>
    </w:p>
    <w:p w:rsidR="000F0F16" w:rsidRPr="005076FB" w:rsidP="004F2080" w14:paraId="6050836C" w14:textId="2B39C943">
      <w:pPr>
        <w:spacing w:after="0" w:line="480" w:lineRule="auto"/>
        <w:rPr>
          <w:rFonts w:ascii="Times New Roman" w:hAnsi="Times New Roman" w:cs="Times New Roman"/>
          <w:sz w:val="24"/>
          <w:szCs w:val="24"/>
        </w:rPr>
      </w:pPr>
      <w:r w:rsidRPr="005076FB">
        <w:rPr>
          <w:rStyle w:val="Heading2Char"/>
        </w:rPr>
        <w:tab/>
      </w:r>
      <w:r w:rsidRPr="005076FB">
        <w:rPr>
          <w:rFonts w:ascii="Times New Roman" w:hAnsi="Times New Roman" w:cs="Times New Roman"/>
          <w:sz w:val="24"/>
          <w:szCs w:val="24"/>
        </w:rPr>
        <w:t xml:space="preserve">The recent circumstances involving the former PUCO Chair’s departure from the PUCO have created the need for additional scrutiny over FirstEnergy’s House Bill 6 activities and its conduct of business in Ohio before the PUCO.  </w:t>
      </w:r>
      <w:r w:rsidRPr="005076FB" w:rsidR="000510CA">
        <w:rPr>
          <w:rFonts w:ascii="Times New Roman" w:hAnsi="Times New Roman" w:cs="Times New Roman"/>
          <w:sz w:val="24"/>
          <w:szCs w:val="24"/>
        </w:rPr>
        <w:t>T</w:t>
      </w:r>
      <w:r w:rsidRPr="005076FB">
        <w:rPr>
          <w:rFonts w:ascii="Times New Roman" w:hAnsi="Times New Roman" w:cs="Times New Roman"/>
          <w:sz w:val="24"/>
          <w:szCs w:val="24"/>
        </w:rPr>
        <w:t xml:space="preserve">he former PUCO Chair did not formally sign either of </w:t>
      </w:r>
      <w:r w:rsidRPr="005076FB" w:rsidR="000510CA">
        <w:rPr>
          <w:rFonts w:ascii="Times New Roman" w:hAnsi="Times New Roman" w:cs="Times New Roman"/>
          <w:sz w:val="24"/>
          <w:szCs w:val="24"/>
        </w:rPr>
        <w:t xml:space="preserve">the </w:t>
      </w:r>
      <w:r w:rsidRPr="005076FB">
        <w:rPr>
          <w:rFonts w:ascii="Times New Roman" w:hAnsi="Times New Roman" w:cs="Times New Roman"/>
          <w:sz w:val="24"/>
          <w:szCs w:val="24"/>
        </w:rPr>
        <w:t>PUCO’s rulings concerning OCC’s requests for investigation and review of these matters</w:t>
      </w:r>
      <w:r w:rsidRPr="005076FB" w:rsidR="000510CA">
        <w:rPr>
          <w:rFonts w:ascii="Times New Roman" w:hAnsi="Times New Roman" w:cs="Times New Roman"/>
          <w:sz w:val="24"/>
          <w:szCs w:val="24"/>
        </w:rPr>
        <w:t xml:space="preserve">. But PUCO personnel over whom a </w:t>
      </w:r>
      <w:r w:rsidRPr="005076FB" w:rsidR="003E15B7">
        <w:rPr>
          <w:rFonts w:ascii="Times New Roman" w:hAnsi="Times New Roman" w:cs="Times New Roman"/>
          <w:sz w:val="24"/>
          <w:szCs w:val="24"/>
        </w:rPr>
        <w:t xml:space="preserve">PUCO </w:t>
      </w:r>
      <w:r w:rsidRPr="005076FB" w:rsidR="000510CA">
        <w:rPr>
          <w:rFonts w:ascii="Times New Roman" w:hAnsi="Times New Roman" w:cs="Times New Roman"/>
          <w:sz w:val="24"/>
          <w:szCs w:val="24"/>
        </w:rPr>
        <w:t>chair has authority would</w:t>
      </w:r>
      <w:r w:rsidRPr="005076FB">
        <w:rPr>
          <w:rFonts w:ascii="Times New Roman" w:hAnsi="Times New Roman" w:cs="Times New Roman"/>
          <w:sz w:val="24"/>
          <w:szCs w:val="24"/>
        </w:rPr>
        <w:t xml:space="preserve"> nevertheless </w:t>
      </w:r>
      <w:r w:rsidRPr="005076FB" w:rsidR="000510CA">
        <w:rPr>
          <w:rFonts w:ascii="Times New Roman" w:hAnsi="Times New Roman" w:cs="Times New Roman"/>
          <w:sz w:val="24"/>
          <w:szCs w:val="24"/>
        </w:rPr>
        <w:t>be likely involved in</w:t>
      </w:r>
      <w:r w:rsidRPr="005076FB">
        <w:rPr>
          <w:rFonts w:ascii="Times New Roman" w:hAnsi="Times New Roman" w:cs="Times New Roman"/>
          <w:sz w:val="24"/>
          <w:szCs w:val="24"/>
        </w:rPr>
        <w:t xml:space="preserve"> </w:t>
      </w:r>
      <w:r w:rsidRPr="005076FB" w:rsidR="000510CA">
        <w:rPr>
          <w:rFonts w:ascii="Times New Roman" w:hAnsi="Times New Roman" w:cs="Times New Roman"/>
          <w:sz w:val="24"/>
          <w:szCs w:val="24"/>
        </w:rPr>
        <w:t>such</w:t>
      </w:r>
      <w:r w:rsidRPr="005076FB">
        <w:rPr>
          <w:rFonts w:ascii="Times New Roman" w:hAnsi="Times New Roman" w:cs="Times New Roman"/>
          <w:sz w:val="24"/>
          <w:szCs w:val="24"/>
        </w:rPr>
        <w:t xml:space="preserve"> matters. </w:t>
      </w:r>
    </w:p>
    <w:p w:rsidR="000510CA" w:rsidRPr="005076FB" w:rsidP="004F2080" w14:paraId="34CA8A0C" w14:textId="144507A2">
      <w:pPr>
        <w:spacing w:after="0" w:line="480" w:lineRule="auto"/>
        <w:rPr>
          <w:rFonts w:ascii="Times New Roman" w:hAnsi="Times New Roman" w:cs="Times New Roman"/>
          <w:sz w:val="24"/>
          <w:szCs w:val="24"/>
        </w:rPr>
      </w:pPr>
      <w:r w:rsidRPr="005076FB">
        <w:rPr>
          <w:rStyle w:val="Heading2Char"/>
        </w:rPr>
        <w:tab/>
      </w:r>
      <w:r w:rsidRPr="005076FB">
        <w:rPr>
          <w:rFonts w:ascii="Times New Roman" w:hAnsi="Times New Roman" w:cs="Times New Roman"/>
          <w:sz w:val="24"/>
          <w:szCs w:val="24"/>
        </w:rPr>
        <w:t xml:space="preserve">Given </w:t>
      </w:r>
      <w:r w:rsidRPr="005076FB" w:rsidR="000F0F16">
        <w:rPr>
          <w:rFonts w:ascii="Times New Roman" w:hAnsi="Times New Roman" w:cs="Times New Roman"/>
          <w:sz w:val="24"/>
          <w:szCs w:val="24"/>
        </w:rPr>
        <w:t>FirstEnergy Corp.</w:t>
      </w:r>
      <w:r w:rsidRPr="005076FB">
        <w:rPr>
          <w:rFonts w:ascii="Times New Roman" w:hAnsi="Times New Roman" w:cs="Times New Roman"/>
          <w:sz w:val="24"/>
          <w:szCs w:val="24"/>
        </w:rPr>
        <w:t xml:space="preserve">’s </w:t>
      </w:r>
      <w:r w:rsidRPr="005076FB" w:rsidR="000F0F16">
        <w:rPr>
          <w:rFonts w:ascii="Times New Roman" w:hAnsi="Times New Roman" w:cs="Times New Roman"/>
          <w:sz w:val="24"/>
          <w:szCs w:val="24"/>
        </w:rPr>
        <w:t>fir</w:t>
      </w:r>
      <w:r w:rsidRPr="005076FB">
        <w:rPr>
          <w:rFonts w:ascii="Times New Roman" w:hAnsi="Times New Roman" w:cs="Times New Roman"/>
          <w:sz w:val="24"/>
          <w:szCs w:val="24"/>
        </w:rPr>
        <w:t>ings of</w:t>
      </w:r>
      <w:r w:rsidRPr="005076FB" w:rsidR="000F0F16">
        <w:rPr>
          <w:rFonts w:ascii="Times New Roman" w:hAnsi="Times New Roman" w:cs="Times New Roman"/>
          <w:sz w:val="24"/>
          <w:szCs w:val="24"/>
        </w:rPr>
        <w:t xml:space="preserve"> its top executives</w:t>
      </w:r>
      <w:r w:rsidRPr="005076FB">
        <w:rPr>
          <w:rFonts w:ascii="Times New Roman" w:hAnsi="Times New Roman" w:cs="Times New Roman"/>
          <w:sz w:val="24"/>
          <w:szCs w:val="24"/>
        </w:rPr>
        <w:t xml:space="preserve"> and the apparent underlying reasons for doing so</w:t>
      </w:r>
      <w:r w:rsidRPr="005076FB" w:rsidR="000F0F16">
        <w:rPr>
          <w:rFonts w:ascii="Times New Roman" w:hAnsi="Times New Roman" w:cs="Times New Roman"/>
          <w:sz w:val="24"/>
          <w:szCs w:val="24"/>
        </w:rPr>
        <w:t>, and the resignation of the former PUCO Chair, the PUCO should have</w:t>
      </w:r>
      <w:r w:rsidRPr="005076FB" w:rsidR="000F0F16">
        <w:rPr>
          <w:rStyle w:val="Heading2Char"/>
        </w:rPr>
        <w:t xml:space="preserve"> </w:t>
      </w:r>
      <w:r w:rsidRPr="005076FB" w:rsidR="000F0F16">
        <w:rPr>
          <w:rFonts w:ascii="Times New Roman" w:hAnsi="Times New Roman" w:cs="Times New Roman"/>
          <w:sz w:val="24"/>
          <w:szCs w:val="24"/>
        </w:rPr>
        <w:t>vacated and revisited its ruling</w:t>
      </w:r>
      <w:r w:rsidRPr="005076FB">
        <w:rPr>
          <w:rFonts w:ascii="Times New Roman" w:hAnsi="Times New Roman" w:cs="Times New Roman"/>
          <w:sz w:val="24"/>
          <w:szCs w:val="24"/>
        </w:rPr>
        <w:t xml:space="preserve">, </w:t>
      </w:r>
      <w:r w:rsidRPr="005076FB" w:rsidR="00656CCA">
        <w:rPr>
          <w:rFonts w:ascii="Times New Roman" w:hAnsi="Times New Roman" w:cs="Times New Roman"/>
          <w:sz w:val="24"/>
          <w:szCs w:val="24"/>
        </w:rPr>
        <w:t xml:space="preserve">and </w:t>
      </w:r>
      <w:r w:rsidRPr="005076FB">
        <w:rPr>
          <w:rFonts w:ascii="Times New Roman" w:hAnsi="Times New Roman" w:cs="Times New Roman"/>
          <w:sz w:val="24"/>
          <w:szCs w:val="24"/>
        </w:rPr>
        <w:t>then order</w:t>
      </w:r>
      <w:r w:rsidRPr="005076FB" w:rsidR="00656CCA">
        <w:rPr>
          <w:rFonts w:ascii="Times New Roman" w:hAnsi="Times New Roman" w:cs="Times New Roman"/>
          <w:sz w:val="24"/>
          <w:szCs w:val="24"/>
        </w:rPr>
        <w:t xml:space="preserve">ed </w:t>
      </w:r>
      <w:r w:rsidRPr="005076FB">
        <w:rPr>
          <w:rFonts w:ascii="Times New Roman" w:hAnsi="Times New Roman" w:cs="Times New Roman"/>
          <w:sz w:val="24"/>
          <w:szCs w:val="24"/>
        </w:rPr>
        <w:t>an expanded and deeper audit,</w:t>
      </w:r>
      <w:r w:rsidRPr="005076FB" w:rsidR="000F0F16">
        <w:rPr>
          <w:rFonts w:ascii="Times New Roman" w:hAnsi="Times New Roman" w:cs="Times New Roman"/>
          <w:sz w:val="24"/>
          <w:szCs w:val="24"/>
        </w:rPr>
        <w:t xml:space="preserve"> on the OCC’s motions and related issues.  </w:t>
      </w:r>
      <w:r w:rsidRPr="005076FB" w:rsidR="00DB30CC">
        <w:rPr>
          <w:rFonts w:ascii="Times New Roman" w:hAnsi="Times New Roman" w:cs="Times New Roman"/>
          <w:sz w:val="24"/>
          <w:szCs w:val="24"/>
        </w:rPr>
        <w:t>The PUCO has the authority</w:t>
      </w:r>
      <w:r>
        <w:rPr>
          <w:rStyle w:val="FootnoteReference"/>
          <w:rFonts w:ascii="Times New Roman" w:hAnsi="Times New Roman" w:cs="Times New Roman"/>
          <w:sz w:val="24"/>
          <w:szCs w:val="24"/>
        </w:rPr>
        <w:footnoteReference w:id="24"/>
      </w:r>
      <w:r w:rsidRPr="005076FB" w:rsidR="00DB30CC">
        <w:rPr>
          <w:rFonts w:ascii="Times New Roman" w:hAnsi="Times New Roman" w:cs="Times New Roman"/>
          <w:sz w:val="24"/>
          <w:szCs w:val="24"/>
        </w:rPr>
        <w:t xml:space="preserve"> to revisit its decisions based on its authority under R.C. 4905.26 and Ohio Civil Rule 60(B).  </w:t>
      </w:r>
      <w:r w:rsidRPr="005076FB" w:rsidR="00DB30CC">
        <w:rPr>
          <w:rFonts w:ascii="Times New Roman" w:hAnsi="Times New Roman" w:cs="Times New Roman"/>
          <w:i/>
          <w:iCs/>
          <w:sz w:val="24"/>
          <w:szCs w:val="24"/>
        </w:rPr>
        <w:t>See, e.g.</w:t>
      </w:r>
      <w:r w:rsidRPr="005076FB" w:rsidR="00DB30CC">
        <w:rPr>
          <w:rFonts w:ascii="Times New Roman" w:hAnsi="Times New Roman" w:cs="Times New Roman"/>
          <w:sz w:val="24"/>
          <w:szCs w:val="24"/>
        </w:rPr>
        <w:t xml:space="preserve">, </w:t>
      </w:r>
      <w:r w:rsidRPr="005076FB" w:rsidR="00C46005">
        <w:rPr>
          <w:rFonts w:ascii="Times New Roman" w:hAnsi="Times New Roman" w:cs="Times New Roman"/>
          <w:i/>
          <w:iCs/>
          <w:sz w:val="24"/>
          <w:szCs w:val="24"/>
        </w:rPr>
        <w:t>In re: Complaint of the City of Cincinnati v. Cincinnati Gas &amp; Electric Co. et al.</w:t>
      </w:r>
      <w:r w:rsidRPr="005076FB" w:rsidR="00C46005">
        <w:rPr>
          <w:rFonts w:ascii="Times New Roman" w:hAnsi="Times New Roman" w:cs="Times New Roman"/>
          <w:sz w:val="24"/>
          <w:szCs w:val="24"/>
        </w:rPr>
        <w:t xml:space="preserve">, 91-377, 1991 WL 11811022 (June 27, 1991).  </w:t>
      </w:r>
      <w:r w:rsidRPr="005076FB">
        <w:rPr>
          <w:rFonts w:ascii="Times New Roman" w:hAnsi="Times New Roman" w:cs="Times New Roman"/>
          <w:sz w:val="24"/>
          <w:szCs w:val="24"/>
        </w:rPr>
        <w:t>At a minimum the PUCO should revisit its rulings now and order an expanded and deeper audit for consumer protection.</w:t>
      </w:r>
    </w:p>
    <w:p w:rsidR="00DD5F98" w:rsidRPr="005076FB" w:rsidP="005571F6" w14:paraId="64874497" w14:textId="6C64C689">
      <w:pPr>
        <w:pStyle w:val="Heading2"/>
      </w:pPr>
      <w:bookmarkStart w:id="13" w:name="_Toc57991034"/>
      <w:r w:rsidRPr="005076FB">
        <w:t>ASSIGNMENT OF ERROR NO. 4:  The PUCO erred by stating and acting on unjustified concerns about alleged limits on its jurisdiction over FirstEnergy Corp. and its affiliates for purposes of investigations etc., despite there being ample statutory authority for its purposes.</w:t>
      </w:r>
      <w:r>
        <w:rPr>
          <w:rStyle w:val="FootnoteReference"/>
        </w:rPr>
        <w:footnoteReference w:id="25"/>
      </w:r>
      <w:bookmarkEnd w:id="13"/>
      <w:r w:rsidRPr="005076FB">
        <w:t xml:space="preserve">  </w:t>
      </w:r>
    </w:p>
    <w:bookmarkEnd w:id="11"/>
    <w:p w:rsidR="002C6D66" w:rsidRPr="005076FB" w14:paraId="4A799B22" w14:textId="3E8E7F7D">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The PUCO has broad jurisdiction</w:t>
      </w:r>
      <w:r w:rsidRPr="005076FB" w:rsidR="00414F84">
        <w:rPr>
          <w:rFonts w:ascii="Times New Roman" w:hAnsi="Times New Roman" w:cs="Times New Roman"/>
          <w:sz w:val="24"/>
          <w:szCs w:val="24"/>
        </w:rPr>
        <w:t>,</w:t>
      </w:r>
      <w:r w:rsidRPr="005076FB">
        <w:rPr>
          <w:rFonts w:ascii="Times New Roman" w:hAnsi="Times New Roman" w:cs="Times New Roman"/>
          <w:sz w:val="24"/>
          <w:szCs w:val="24"/>
        </w:rPr>
        <w:t xml:space="preserve"> under </w:t>
      </w:r>
      <w:r w:rsidRPr="005076FB" w:rsidR="00414F84">
        <w:rPr>
          <w:rFonts w:ascii="Times New Roman" w:hAnsi="Times New Roman" w:cs="Times New Roman"/>
          <w:sz w:val="24"/>
          <w:szCs w:val="24"/>
        </w:rPr>
        <w:t xml:space="preserve">R.C. 4928.17 and Ohio Adm. Code 4901:1-37, </w:t>
      </w:r>
      <w:r w:rsidRPr="005076FB">
        <w:rPr>
          <w:rFonts w:ascii="Times New Roman" w:hAnsi="Times New Roman" w:cs="Times New Roman"/>
          <w:sz w:val="24"/>
          <w:szCs w:val="24"/>
        </w:rPr>
        <w:t>to audit whether FirstEnergy Utilities violated</w:t>
      </w:r>
      <w:r w:rsidRPr="005076FB" w:rsidR="00414F84">
        <w:rPr>
          <w:rFonts w:ascii="Times New Roman" w:hAnsi="Times New Roman" w:cs="Times New Roman"/>
          <w:sz w:val="24"/>
          <w:szCs w:val="24"/>
        </w:rPr>
        <w:t>, among other things,</w:t>
      </w:r>
      <w:r w:rsidRPr="005076FB">
        <w:rPr>
          <w:rFonts w:ascii="Times New Roman" w:hAnsi="Times New Roman" w:cs="Times New Roman"/>
          <w:sz w:val="24"/>
          <w:szCs w:val="24"/>
        </w:rPr>
        <w:t xml:space="preserve"> its PUCO-approved corporate separation plan</w:t>
      </w:r>
      <w:r w:rsidRPr="005076FB" w:rsidR="00414F84">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sidRPr="005076FB" w:rsidR="00414F84">
        <w:rPr>
          <w:rFonts w:ascii="Times New Roman" w:hAnsi="Times New Roman" w:cs="Times New Roman"/>
          <w:sz w:val="24"/>
          <w:szCs w:val="24"/>
        </w:rPr>
        <w:t xml:space="preserve"> That would include whether the Utilities used </w:t>
      </w:r>
      <w:r w:rsidRPr="005076FB" w:rsidR="001872B3">
        <w:rPr>
          <w:rFonts w:ascii="Times New Roman" w:hAnsi="Times New Roman" w:cs="Times New Roman"/>
          <w:sz w:val="24"/>
          <w:szCs w:val="24"/>
        </w:rPr>
        <w:t xml:space="preserve">captive </w:t>
      </w:r>
      <w:r w:rsidRPr="005076FB">
        <w:rPr>
          <w:rFonts w:ascii="Times New Roman" w:hAnsi="Times New Roman" w:cs="Times New Roman"/>
          <w:sz w:val="24"/>
          <w:szCs w:val="24"/>
        </w:rPr>
        <w:t>customer charges for regulated electric utility service to fund directly or indirectly FirstEnergy Corp.’s unregulated political and charitable activities</w:t>
      </w:r>
      <w:r w:rsidRPr="005076FB" w:rsidR="002C334D">
        <w:rPr>
          <w:rFonts w:ascii="Times New Roman" w:hAnsi="Times New Roman" w:cs="Times New Roman"/>
          <w:sz w:val="24"/>
          <w:szCs w:val="24"/>
        </w:rPr>
        <w:t xml:space="preserve">, that have </w:t>
      </w:r>
      <w:r w:rsidRPr="005076FB" w:rsidR="008A3901">
        <w:rPr>
          <w:rFonts w:ascii="Times New Roman" w:hAnsi="Times New Roman" w:cs="Times New Roman"/>
          <w:sz w:val="24"/>
          <w:szCs w:val="24"/>
        </w:rPr>
        <w:t xml:space="preserve">been </w:t>
      </w:r>
      <w:r w:rsidRPr="005076FB" w:rsidR="002C334D">
        <w:rPr>
          <w:rFonts w:ascii="Times New Roman" w:hAnsi="Times New Roman" w:cs="Times New Roman"/>
          <w:sz w:val="24"/>
          <w:szCs w:val="24"/>
        </w:rPr>
        <w:t xml:space="preserve">referenced </w:t>
      </w:r>
      <w:r w:rsidRPr="005076FB" w:rsidR="00DD7EE9">
        <w:rPr>
          <w:rFonts w:ascii="Times New Roman" w:hAnsi="Times New Roman" w:cs="Times New Roman"/>
          <w:sz w:val="24"/>
          <w:szCs w:val="24"/>
        </w:rPr>
        <w:t>in criminal proceedings involving others,</w:t>
      </w:r>
      <w:r w:rsidRPr="005076FB">
        <w:rPr>
          <w:rFonts w:ascii="Times New Roman" w:hAnsi="Times New Roman" w:cs="Times New Roman"/>
          <w:sz w:val="24"/>
          <w:szCs w:val="24"/>
        </w:rPr>
        <w:t xml:space="preserve"> regarding H</w:t>
      </w:r>
      <w:r w:rsidRPr="005076FB" w:rsidR="00F856BA">
        <w:rPr>
          <w:rFonts w:ascii="Times New Roman" w:hAnsi="Times New Roman" w:cs="Times New Roman"/>
          <w:sz w:val="24"/>
          <w:szCs w:val="24"/>
        </w:rPr>
        <w:t xml:space="preserve">ouse </w:t>
      </w:r>
      <w:r w:rsidRPr="005076FB">
        <w:rPr>
          <w:rFonts w:ascii="Times New Roman" w:hAnsi="Times New Roman" w:cs="Times New Roman"/>
          <w:sz w:val="24"/>
          <w:szCs w:val="24"/>
        </w:rPr>
        <w:t>B</w:t>
      </w:r>
      <w:r w:rsidRPr="005076FB" w:rsidR="00F856BA">
        <w:rPr>
          <w:rFonts w:ascii="Times New Roman" w:hAnsi="Times New Roman" w:cs="Times New Roman"/>
          <w:sz w:val="24"/>
          <w:szCs w:val="24"/>
        </w:rPr>
        <w:t>ill</w:t>
      </w:r>
      <w:r w:rsidRPr="005076FB">
        <w:rPr>
          <w:rFonts w:ascii="Times New Roman" w:hAnsi="Times New Roman" w:cs="Times New Roman"/>
          <w:sz w:val="24"/>
          <w:szCs w:val="24"/>
        </w:rPr>
        <w:t xml:space="preserve"> 6. </w:t>
      </w:r>
    </w:p>
    <w:p w:rsidR="00B21B3E" w:rsidRPr="005076FB" w:rsidP="00AE446D" w14:paraId="68A670CA" w14:textId="612B9BC7">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Under R.C. 4928.17, a utility must submit a corporate separation plan for PUCO approval. That plan must satisfy “the public interest in preventing unfair competitive advantage and preventing the abuse of market power,” per R.C. 4928.17(A)(2). And it must be “sufficient to ensure that the utility will not extend any undue preference or advantage to any affiliate, division, or part of its own business engaged in the business of supplying the competitive retail electric service,” per R.C. 4928.17(A)(3). Ohio law also establishes state policy to protect competition by avoiding subsidies between and among competitive and non-competitive retail electric services, in R.C. 4928.02(H). </w:t>
      </w:r>
    </w:p>
    <w:p w:rsidR="0058209E" w:rsidRPr="005076FB" w:rsidP="00AE446D" w14:paraId="435650AA" w14:textId="3F8C061C">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If affiliates of FirstEnergy Utilities used funds from monopoly customers to subsidize House Bill 6 activities that benefitted FirstEnergy Solutions, </w:t>
      </w:r>
      <w:r w:rsidRPr="005076FB" w:rsidR="00F6677E">
        <w:rPr>
          <w:rFonts w:ascii="Times New Roman" w:hAnsi="Times New Roman" w:cs="Times New Roman"/>
          <w:sz w:val="24"/>
          <w:szCs w:val="24"/>
        </w:rPr>
        <w:t xml:space="preserve">then </w:t>
      </w:r>
      <w:r w:rsidRPr="005076FB">
        <w:rPr>
          <w:rFonts w:ascii="Times New Roman" w:hAnsi="Times New Roman" w:cs="Times New Roman"/>
          <w:sz w:val="24"/>
          <w:szCs w:val="24"/>
        </w:rPr>
        <w:t xml:space="preserve">Ohio laws and PUCO rules </w:t>
      </w:r>
      <w:r w:rsidRPr="005076FB" w:rsidR="003E15B7">
        <w:rPr>
          <w:rFonts w:ascii="Times New Roman" w:hAnsi="Times New Roman" w:cs="Times New Roman"/>
          <w:sz w:val="24"/>
          <w:szCs w:val="24"/>
        </w:rPr>
        <w:t xml:space="preserve">would </w:t>
      </w:r>
      <w:r w:rsidRPr="005076FB">
        <w:rPr>
          <w:rFonts w:ascii="Times New Roman" w:hAnsi="Times New Roman" w:cs="Times New Roman"/>
          <w:sz w:val="24"/>
          <w:szCs w:val="24"/>
        </w:rPr>
        <w:t>b</w:t>
      </w:r>
      <w:r w:rsidRPr="005076FB" w:rsidR="003E15B7">
        <w:rPr>
          <w:rFonts w:ascii="Times New Roman" w:hAnsi="Times New Roman" w:cs="Times New Roman"/>
          <w:sz w:val="24"/>
          <w:szCs w:val="24"/>
        </w:rPr>
        <w:t>e</w:t>
      </w:r>
      <w:r w:rsidRPr="005076FB">
        <w:rPr>
          <w:rFonts w:ascii="Times New Roman" w:hAnsi="Times New Roman" w:cs="Times New Roman"/>
          <w:sz w:val="24"/>
          <w:szCs w:val="24"/>
        </w:rPr>
        <w:t xml:space="preserve"> violated. </w:t>
      </w:r>
      <w:r w:rsidRPr="005076FB" w:rsidR="00B21B3E">
        <w:rPr>
          <w:rFonts w:ascii="Times New Roman" w:hAnsi="Times New Roman" w:cs="Times New Roman"/>
          <w:sz w:val="24"/>
          <w:szCs w:val="24"/>
        </w:rPr>
        <w:t>In this case, political and charitable spending regarding H</w:t>
      </w:r>
      <w:r w:rsidRPr="005076FB" w:rsidR="00F928F3">
        <w:rPr>
          <w:rFonts w:ascii="Times New Roman" w:hAnsi="Times New Roman" w:cs="Times New Roman"/>
          <w:sz w:val="24"/>
          <w:szCs w:val="24"/>
        </w:rPr>
        <w:t xml:space="preserve">ouse </w:t>
      </w:r>
      <w:r w:rsidRPr="005076FB" w:rsidR="00B21B3E">
        <w:rPr>
          <w:rFonts w:ascii="Times New Roman" w:hAnsi="Times New Roman" w:cs="Times New Roman"/>
          <w:sz w:val="24"/>
          <w:szCs w:val="24"/>
        </w:rPr>
        <w:t>B</w:t>
      </w:r>
      <w:r w:rsidRPr="005076FB" w:rsidR="00F928F3">
        <w:rPr>
          <w:rFonts w:ascii="Times New Roman" w:hAnsi="Times New Roman" w:cs="Times New Roman"/>
          <w:sz w:val="24"/>
          <w:szCs w:val="24"/>
        </w:rPr>
        <w:t>ill</w:t>
      </w:r>
      <w:r w:rsidRPr="005076FB" w:rsidR="00B21B3E">
        <w:rPr>
          <w:rFonts w:ascii="Times New Roman" w:hAnsi="Times New Roman" w:cs="Times New Roman"/>
          <w:sz w:val="24"/>
          <w:szCs w:val="24"/>
        </w:rPr>
        <w:t xml:space="preserve"> 6</w:t>
      </w:r>
      <w:r w:rsidRPr="005076FB" w:rsidR="007B0EF6">
        <w:rPr>
          <w:rFonts w:ascii="Times New Roman" w:hAnsi="Times New Roman" w:cs="Times New Roman"/>
          <w:sz w:val="24"/>
          <w:szCs w:val="24"/>
        </w:rPr>
        <w:t>,</w:t>
      </w:r>
      <w:r w:rsidRPr="005076FB" w:rsidR="00B21B3E">
        <w:rPr>
          <w:rFonts w:ascii="Times New Roman" w:hAnsi="Times New Roman" w:cs="Times New Roman"/>
          <w:sz w:val="24"/>
          <w:szCs w:val="24"/>
        </w:rPr>
        <w:t xml:space="preserve"> </w:t>
      </w:r>
      <w:r w:rsidRPr="005076FB" w:rsidR="007B0EF6">
        <w:rPr>
          <w:rFonts w:ascii="Times New Roman" w:hAnsi="Times New Roman" w:cs="Times New Roman"/>
          <w:sz w:val="24"/>
          <w:szCs w:val="24"/>
        </w:rPr>
        <w:t xml:space="preserve">if </w:t>
      </w:r>
      <w:r w:rsidRPr="005076FB" w:rsidR="00B21B3E">
        <w:rPr>
          <w:rFonts w:ascii="Times New Roman" w:hAnsi="Times New Roman" w:cs="Times New Roman"/>
          <w:sz w:val="24"/>
          <w:szCs w:val="24"/>
        </w:rPr>
        <w:t xml:space="preserve">funded directly or indirectly through FirstEnergy Utilities’ </w:t>
      </w:r>
      <w:r w:rsidRPr="005076FB" w:rsidR="001872B3">
        <w:rPr>
          <w:rFonts w:ascii="Times New Roman" w:hAnsi="Times New Roman" w:cs="Times New Roman"/>
          <w:sz w:val="24"/>
          <w:szCs w:val="24"/>
        </w:rPr>
        <w:t xml:space="preserve">charges </w:t>
      </w:r>
      <w:r w:rsidRPr="005076FB" w:rsidR="00B21B3E">
        <w:rPr>
          <w:rFonts w:ascii="Times New Roman" w:hAnsi="Times New Roman" w:cs="Times New Roman"/>
          <w:sz w:val="24"/>
          <w:szCs w:val="24"/>
        </w:rPr>
        <w:t xml:space="preserve">to </w:t>
      </w:r>
      <w:r w:rsidRPr="005076FB" w:rsidR="00D213F1">
        <w:rPr>
          <w:rFonts w:ascii="Times New Roman" w:hAnsi="Times New Roman" w:cs="Times New Roman"/>
          <w:sz w:val="24"/>
          <w:szCs w:val="24"/>
        </w:rPr>
        <w:t xml:space="preserve">utility </w:t>
      </w:r>
      <w:r w:rsidRPr="005076FB" w:rsidR="00B21B3E">
        <w:rPr>
          <w:rFonts w:ascii="Times New Roman" w:hAnsi="Times New Roman" w:cs="Times New Roman"/>
          <w:sz w:val="24"/>
          <w:szCs w:val="24"/>
        </w:rPr>
        <w:t>consumers</w:t>
      </w:r>
      <w:r w:rsidRPr="005076FB" w:rsidR="00F6677E">
        <w:rPr>
          <w:rFonts w:ascii="Times New Roman" w:hAnsi="Times New Roman" w:cs="Times New Roman"/>
          <w:sz w:val="24"/>
          <w:szCs w:val="24"/>
        </w:rPr>
        <w:t>,</w:t>
      </w:r>
      <w:r w:rsidRPr="005076FB" w:rsidR="00B21B3E">
        <w:rPr>
          <w:rFonts w:ascii="Times New Roman" w:hAnsi="Times New Roman" w:cs="Times New Roman"/>
          <w:sz w:val="24"/>
          <w:szCs w:val="24"/>
        </w:rPr>
        <w:t xml:space="preserve"> would provide an unfair advantage to FirstEnergy Corp. and FirstEnergy Utilities’ affiliates. </w:t>
      </w:r>
      <w:r w:rsidRPr="005076FB">
        <w:rPr>
          <w:rFonts w:ascii="Times New Roman" w:hAnsi="Times New Roman" w:cs="Times New Roman"/>
          <w:sz w:val="24"/>
          <w:szCs w:val="24"/>
        </w:rPr>
        <w:t>That is not lawful under Ohio law and PUCO rules.</w:t>
      </w:r>
      <w:r w:rsidRPr="005076FB" w:rsidR="00F6677E">
        <w:rPr>
          <w:rFonts w:ascii="Times New Roman" w:hAnsi="Times New Roman" w:cs="Times New Roman"/>
          <w:sz w:val="24"/>
          <w:szCs w:val="24"/>
        </w:rPr>
        <w:t xml:space="preserve"> </w:t>
      </w:r>
      <w:r w:rsidRPr="005076FB">
        <w:rPr>
          <w:rFonts w:ascii="Times New Roman" w:hAnsi="Times New Roman" w:cs="Times New Roman"/>
          <w:sz w:val="24"/>
          <w:szCs w:val="24"/>
        </w:rPr>
        <w:t xml:space="preserve"> </w:t>
      </w:r>
    </w:p>
    <w:p w:rsidR="00B21B3E" w:rsidRPr="005076FB" w:rsidP="00AE446D" w14:paraId="5441F44F" w14:textId="06F6D7A8">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The PUCO has ample authority to examine whether such corporate separation violations occurred</w:t>
      </w:r>
      <w:r w:rsidRPr="005076FB" w:rsidR="0058209E">
        <w:rPr>
          <w:rFonts w:ascii="Times New Roman" w:hAnsi="Times New Roman" w:cs="Times New Roman"/>
          <w:sz w:val="24"/>
          <w:szCs w:val="24"/>
        </w:rPr>
        <w:t>.  It should exercise its authority.</w:t>
      </w:r>
      <w:r w:rsidRPr="005076FB" w:rsidR="00F6677E">
        <w:rPr>
          <w:rFonts w:ascii="Times New Roman" w:hAnsi="Times New Roman" w:cs="Times New Roman"/>
          <w:sz w:val="24"/>
          <w:szCs w:val="24"/>
        </w:rPr>
        <w:t xml:space="preserve"> The audit the PUCO ordered to date is insufficient.</w:t>
      </w:r>
      <w:r w:rsidRPr="005076FB" w:rsidR="0058209E">
        <w:rPr>
          <w:rFonts w:ascii="Times New Roman" w:hAnsi="Times New Roman" w:cs="Times New Roman"/>
          <w:sz w:val="24"/>
          <w:szCs w:val="24"/>
        </w:rPr>
        <w:t xml:space="preserve">  </w:t>
      </w:r>
    </w:p>
    <w:p w:rsidR="00267916" w:rsidRPr="005076FB" w:rsidP="00267916" w14:paraId="35675E54" w14:textId="77777777">
      <w:pPr>
        <w:autoSpaceDE w:val="0"/>
        <w:autoSpaceDN w:val="0"/>
        <w:adjustRightInd w:val="0"/>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Under R.C. 4928.18, so long as there is a filed complaint (R.C. 4905.26), the PUCO is given express authority to determine “whether an electric utility or its affiliate has violated any provision of section 4928.17 of the Revised Code or any order issued or rule adopted under that section.”  That statute </w:t>
      </w:r>
      <w:r w:rsidRPr="005076FB" w:rsidR="007665B4">
        <w:rPr>
          <w:rFonts w:ascii="Times New Roman" w:hAnsi="Times New Roman" w:cs="Times New Roman"/>
          <w:sz w:val="24"/>
          <w:szCs w:val="24"/>
        </w:rPr>
        <w:t xml:space="preserve">further </w:t>
      </w:r>
      <w:r w:rsidRPr="005076FB">
        <w:rPr>
          <w:rFonts w:ascii="Times New Roman" w:hAnsi="Times New Roman" w:cs="Times New Roman"/>
          <w:sz w:val="24"/>
          <w:szCs w:val="24"/>
        </w:rPr>
        <w:t>grant</w:t>
      </w:r>
      <w:r w:rsidRPr="005076FB" w:rsidR="007665B4">
        <w:rPr>
          <w:rFonts w:ascii="Times New Roman" w:hAnsi="Times New Roman" w:cs="Times New Roman"/>
          <w:sz w:val="24"/>
          <w:szCs w:val="24"/>
        </w:rPr>
        <w:t>s</w:t>
      </w:r>
      <w:r w:rsidRPr="005076FB">
        <w:rPr>
          <w:rFonts w:ascii="Times New Roman" w:hAnsi="Times New Roman" w:cs="Times New Roman"/>
          <w:sz w:val="24"/>
          <w:szCs w:val="24"/>
        </w:rPr>
        <w:t xml:space="preserve"> the PUCO authority to “examine such books, accounts, or other records kept by an electric utility or its affiliate as may relate to the business for which corporate separation is required.”</w:t>
      </w:r>
      <w:r w:rsidRPr="005076FB" w:rsidR="003D3F9C">
        <w:rPr>
          <w:rFonts w:ascii="Times New Roman" w:hAnsi="Times New Roman" w:cs="Times New Roman"/>
          <w:sz w:val="24"/>
          <w:szCs w:val="24"/>
        </w:rPr>
        <w:t xml:space="preserve"> </w:t>
      </w:r>
    </w:p>
    <w:p w:rsidR="00E25DD9" w:rsidRPr="005076FB" w:rsidP="00267916" w14:paraId="363F46C5" w14:textId="1F2042C0">
      <w:pPr>
        <w:autoSpaceDE w:val="0"/>
        <w:autoSpaceDN w:val="0"/>
        <w:adjustRightInd w:val="0"/>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This authority extends to utility affiliates even beyond the borders of  Ohio: </w:t>
      </w:r>
      <w:r w:rsidRPr="005076FB" w:rsidR="002C4469">
        <w:rPr>
          <w:rFonts w:ascii="Times New Roman" w:hAnsi="Times New Roman" w:cs="Times New Roman"/>
          <w:sz w:val="24"/>
          <w:szCs w:val="24"/>
        </w:rPr>
        <w:t xml:space="preserve"> </w:t>
      </w:r>
      <w:r w:rsidRPr="005076FB">
        <w:rPr>
          <w:rFonts w:ascii="Times New Roman" w:hAnsi="Times New Roman" w:cs="Times New Roman"/>
          <w:sz w:val="24"/>
          <w:szCs w:val="24"/>
        </w:rPr>
        <w:t xml:space="preserve">“We believe that the Commission and Staff should be provided with full knowledge of a utility’s interaction with all of its affiliates, not just those doing business in Ohio.” </w:t>
      </w:r>
      <w:r w:rsidRPr="005076FB">
        <w:rPr>
          <w:rFonts w:ascii="Times New Roman" w:hAnsi="Times New Roman" w:cs="Times New Roman"/>
          <w:i/>
          <w:iCs/>
          <w:sz w:val="24"/>
          <w:szCs w:val="24"/>
        </w:rPr>
        <w:t>In the Matter of the Review of Ohio Adm. Code Chapter 4901:1-36, Electric Transmission Cost Recovery Riders; In the Matter of the Review of Ohio Adm.Code Chapter 4901:1-37, Corporate Separation for Electric Utilities and Affiliates, et al.</w:t>
      </w:r>
      <w:r w:rsidRPr="005076FB">
        <w:rPr>
          <w:rFonts w:ascii="Times New Roman" w:hAnsi="Times New Roman" w:cs="Times New Roman"/>
          <w:sz w:val="24"/>
          <w:szCs w:val="24"/>
        </w:rPr>
        <w:t>, Case No. 13-953-EL-ORD et al., Finding and Order at ¶31 (Sept. 10, 2014) (declining to adopt modifications to corporate separation rules that would not require utilities to provide information on affiliates outside of Ohio)</w:t>
      </w:r>
      <w:r w:rsidRPr="005076FB" w:rsidR="00A4205C">
        <w:rPr>
          <w:rFonts w:ascii="Times New Roman" w:hAnsi="Times New Roman" w:cs="Times New Roman"/>
          <w:sz w:val="24"/>
          <w:szCs w:val="24"/>
        </w:rPr>
        <w:t>.</w:t>
      </w:r>
    </w:p>
    <w:p w:rsidR="002C4469" w:rsidRPr="005076FB" w:rsidP="00E25DD9" w14:paraId="65DDF832" w14:textId="19020683">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Additionally, under R.C. 4928.18, the PUCO “may investigate such utility or affiliate operations as may relate to those businesses and investigate the interrelationship of those operations.” </w:t>
      </w:r>
      <w:r w:rsidRPr="005076FB" w:rsidR="00E25DD9">
        <w:rPr>
          <w:rFonts w:ascii="Times New Roman" w:hAnsi="Times New Roman" w:cs="Times New Roman"/>
          <w:sz w:val="24"/>
          <w:szCs w:val="24"/>
        </w:rPr>
        <w:t xml:space="preserve">The PUCO has recognized the importance of </w:t>
      </w:r>
      <w:r w:rsidRPr="005076FB" w:rsidR="003D3F9C">
        <w:rPr>
          <w:rFonts w:ascii="Times New Roman" w:hAnsi="Times New Roman" w:cs="Times New Roman"/>
          <w:sz w:val="24"/>
          <w:szCs w:val="24"/>
        </w:rPr>
        <w:t xml:space="preserve">these powers:  </w:t>
      </w:r>
      <w:r w:rsidRPr="005076FB" w:rsidR="00E25DD9">
        <w:rPr>
          <w:rStyle w:val="ssleftalign"/>
          <w:rFonts w:ascii="Times New Roman" w:hAnsi="Times New Roman" w:cs="Times New Roman"/>
          <w:sz w:val="24"/>
          <w:szCs w:val="24"/>
        </w:rPr>
        <w:t>“T</w:t>
      </w:r>
      <w:r w:rsidRPr="005076FB" w:rsidR="003D3F9C">
        <w:rPr>
          <w:rStyle w:val="ssleftalign"/>
          <w:rFonts w:ascii="Times New Roman" w:hAnsi="Times New Roman" w:cs="Times New Roman"/>
          <w:sz w:val="24"/>
          <w:szCs w:val="24"/>
        </w:rPr>
        <w:t xml:space="preserve">he Commission staff needs access to the books and records of all affiliates regardless of whether they have transactions with the electric utility or not.  Such access is permitted under Section 4928.18, Revised Code, and is necessary in order to determine, for example, whether revenues from captive </w:t>
      </w:r>
      <w:r w:rsidRPr="005076FB" w:rsidR="00D4643E">
        <w:rPr>
          <w:rStyle w:val="ssleftalign"/>
          <w:rFonts w:ascii="Times New Roman" w:hAnsi="Times New Roman" w:cs="Times New Roman"/>
          <w:sz w:val="24"/>
          <w:szCs w:val="24"/>
        </w:rPr>
        <w:t xml:space="preserve">ratepayers </w:t>
      </w:r>
      <w:r w:rsidRPr="005076FB" w:rsidR="007D2F69">
        <w:rPr>
          <w:rStyle w:val="ssleftalign"/>
          <w:rFonts w:ascii="Times New Roman" w:hAnsi="Times New Roman" w:cs="Times New Roman"/>
          <w:sz w:val="24"/>
          <w:szCs w:val="24"/>
        </w:rPr>
        <w:t>[customers]</w:t>
      </w:r>
      <w:r w:rsidRPr="005076FB" w:rsidR="003D3F9C">
        <w:rPr>
          <w:rStyle w:val="ssleftalign"/>
          <w:rFonts w:ascii="Times New Roman" w:hAnsi="Times New Roman" w:cs="Times New Roman"/>
          <w:sz w:val="24"/>
          <w:szCs w:val="24"/>
        </w:rPr>
        <w:t xml:space="preserve"> are being used to subsidize unregulated businesses.”  </w:t>
      </w:r>
      <w:r w:rsidRPr="005076FB" w:rsidR="003D3F9C">
        <w:rPr>
          <w:rStyle w:val="ssleftalign"/>
          <w:rFonts w:ascii="Times New Roman" w:hAnsi="Times New Roman" w:cs="Times New Roman"/>
          <w:i/>
          <w:iCs/>
          <w:sz w:val="24"/>
          <w:szCs w:val="24"/>
        </w:rPr>
        <w:t>In the Matter of the Commission’s Promulgation of Rules for Electric Transition Plans and of a Consumer Education Plan, Pursuant to Chapter 4928, Revised Code</w:t>
      </w:r>
      <w:r w:rsidRPr="005076FB" w:rsidR="003D3F9C">
        <w:rPr>
          <w:rStyle w:val="ssleftalign"/>
          <w:rFonts w:ascii="Times New Roman" w:hAnsi="Times New Roman" w:cs="Times New Roman"/>
          <w:sz w:val="24"/>
          <w:szCs w:val="24"/>
        </w:rPr>
        <w:t xml:space="preserve">, Case No. 88-1141-EL-ORD, Finding and Order at 62-63 (Nov. 30, 1999).  </w:t>
      </w:r>
    </w:p>
    <w:p w:rsidR="002C4469" w:rsidRPr="005076FB" w:rsidP="002C4469" w14:paraId="0328E14E" w14:textId="64A80847">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The PUCO has acknowledged that this statute gives it jurisdiction to review allegations that non-regulated activities are being subsidized with monopoly </w:t>
      </w:r>
      <w:r w:rsidRPr="005076FB" w:rsidR="001872B3">
        <w:rPr>
          <w:rFonts w:ascii="Times New Roman" w:hAnsi="Times New Roman" w:cs="Times New Roman"/>
          <w:sz w:val="24"/>
          <w:szCs w:val="24"/>
        </w:rPr>
        <w:t xml:space="preserve">customer </w:t>
      </w:r>
      <w:r w:rsidRPr="005076FB">
        <w:rPr>
          <w:rFonts w:ascii="Times New Roman" w:hAnsi="Times New Roman" w:cs="Times New Roman"/>
          <w:sz w:val="24"/>
          <w:szCs w:val="24"/>
        </w:rPr>
        <w:t xml:space="preserve">revenues and assets, with possible effects on regulated services.  </w:t>
      </w:r>
      <w:r w:rsidRPr="005076FB">
        <w:rPr>
          <w:rFonts w:ascii="Times New Roman" w:hAnsi="Times New Roman" w:cs="Times New Roman"/>
          <w:i/>
          <w:iCs/>
          <w:sz w:val="24"/>
          <w:szCs w:val="24"/>
        </w:rPr>
        <w:t>See, e.g., In the Matter of the Complaint of National Electrical Contractors’ Association, Ohio Conference et al. v. Ohio Edison, Toledo Edison, Cleveland Electric Illuminating Company and FE Corp</w:t>
      </w:r>
      <w:r w:rsidRPr="005076FB">
        <w:rPr>
          <w:rFonts w:ascii="Times New Roman" w:hAnsi="Times New Roman" w:cs="Times New Roman"/>
          <w:sz w:val="24"/>
          <w:szCs w:val="24"/>
        </w:rPr>
        <w:t>., Case No. 98-1400-EL-CSS Entry at ¶7 (Jan. 28, 1999)</w:t>
      </w:r>
      <w:r w:rsidRPr="005076FB" w:rsidR="007D2F69">
        <w:rPr>
          <w:rFonts w:ascii="Times New Roman" w:hAnsi="Times New Roman" w:cs="Times New Roman"/>
          <w:sz w:val="24"/>
          <w:szCs w:val="24"/>
        </w:rPr>
        <w:t xml:space="preserve"> </w:t>
      </w:r>
      <w:r w:rsidRPr="005076FB">
        <w:rPr>
          <w:rFonts w:ascii="Times New Roman" w:hAnsi="Times New Roman" w:cs="Times New Roman"/>
          <w:sz w:val="24"/>
          <w:szCs w:val="24"/>
        </w:rPr>
        <w:t>(finding it has jurisdiction over the allegations in a complaint because the allegations involve</w:t>
      </w:r>
      <w:r w:rsidRPr="005076FB" w:rsidR="0042517A">
        <w:rPr>
          <w:rFonts w:ascii="Times New Roman" w:hAnsi="Times New Roman" w:cs="Times New Roman"/>
          <w:sz w:val="24"/>
          <w:szCs w:val="24"/>
        </w:rPr>
        <w:t>d</w:t>
      </w:r>
      <w:r w:rsidRPr="005076FB">
        <w:rPr>
          <w:rFonts w:ascii="Times New Roman" w:hAnsi="Times New Roman" w:cs="Times New Roman"/>
          <w:sz w:val="24"/>
          <w:szCs w:val="24"/>
        </w:rPr>
        <w:t xml:space="preserve"> unregulated competitive activities which were allegedly subsidized with monopoly revenues and/or assets); </w:t>
      </w:r>
      <w:r w:rsidRPr="005076FB">
        <w:rPr>
          <w:rFonts w:ascii="Times New Roman" w:hAnsi="Times New Roman" w:cs="Times New Roman"/>
          <w:i/>
          <w:iCs/>
          <w:sz w:val="24"/>
          <w:szCs w:val="24"/>
        </w:rPr>
        <w:t>Westside Cellular, Inc. d.b.a. Cellnet v. GTE Mobilnet Inc. et al</w:t>
      </w:r>
      <w:r w:rsidRPr="005076FB">
        <w:rPr>
          <w:rFonts w:ascii="Times New Roman" w:hAnsi="Times New Roman" w:cs="Times New Roman"/>
          <w:sz w:val="24"/>
          <w:szCs w:val="24"/>
        </w:rPr>
        <w:t>.  Case No. 93-1758-TP-CSS, Entry (Mar. 23, 1995) (PUCO had jurisdiction over complaint alleging cross-subsidizing retail operations with profits generated by wholesale operations</w:t>
      </w:r>
      <w:r w:rsidRPr="005076FB" w:rsidR="004A1A8B">
        <w:rPr>
          <w:rFonts w:ascii="Times New Roman" w:hAnsi="Times New Roman" w:cs="Times New Roman"/>
          <w:sz w:val="24"/>
          <w:szCs w:val="24"/>
        </w:rPr>
        <w:t xml:space="preserve">). </w:t>
      </w:r>
    </w:p>
    <w:p w:rsidR="008C24A2" w:rsidRPr="005076FB" w:rsidP="00A4205C" w14:paraId="53DECD4D" w14:textId="11B18B94">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All the PUCO needed to do was to initiate a complaint under R.C. 4905.26 to get the ball rolling</w:t>
      </w:r>
      <w:r w:rsidRPr="005076FB" w:rsidR="004F6658">
        <w:rPr>
          <w:rFonts w:ascii="Times New Roman" w:hAnsi="Times New Roman" w:cs="Times New Roman"/>
          <w:sz w:val="24"/>
          <w:szCs w:val="24"/>
        </w:rPr>
        <w:t xml:space="preserve"> for proper PUCO oversight</w:t>
      </w:r>
      <w:r w:rsidRPr="005076FB">
        <w:rPr>
          <w:rFonts w:ascii="Times New Roman" w:hAnsi="Times New Roman" w:cs="Times New Roman"/>
          <w:sz w:val="24"/>
          <w:szCs w:val="24"/>
        </w:rPr>
        <w:t xml:space="preserve">.  In a full and complete Commission-ordered </w:t>
      </w:r>
      <w:r w:rsidRPr="005076FB" w:rsidR="00224EE5">
        <w:rPr>
          <w:rFonts w:ascii="Times New Roman" w:hAnsi="Times New Roman" w:cs="Times New Roman"/>
          <w:sz w:val="24"/>
          <w:szCs w:val="24"/>
        </w:rPr>
        <w:t>I</w:t>
      </w:r>
      <w:r w:rsidRPr="005076FB">
        <w:rPr>
          <w:rFonts w:ascii="Times New Roman" w:hAnsi="Times New Roman" w:cs="Times New Roman"/>
          <w:sz w:val="24"/>
          <w:szCs w:val="24"/>
        </w:rPr>
        <w:t>nvestigation, conducted under R.C. 4928.18 and 4905.26, the PUCO has express authority to determine if an electric utility or its affiliates violated the anti-subsidy provision of R.C. 4928.17.</w:t>
      </w:r>
      <w:r w:rsidRPr="005076FB">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7"/>
      </w:r>
      <w:r w:rsidRPr="005076FB">
        <w:rPr>
          <w:rFonts w:ascii="Times New Roman" w:hAnsi="Times New Roman" w:cs="Times New Roman"/>
          <w:sz w:val="24"/>
          <w:szCs w:val="24"/>
        </w:rPr>
        <w:t xml:space="preserve">  And the PUCO could overcome what it </w:t>
      </w:r>
      <w:r w:rsidRPr="005076FB" w:rsidR="002C6D66">
        <w:rPr>
          <w:rFonts w:ascii="Times New Roman" w:hAnsi="Times New Roman" w:cs="Times New Roman"/>
          <w:sz w:val="24"/>
          <w:szCs w:val="24"/>
        </w:rPr>
        <w:t>said are</w:t>
      </w:r>
      <w:r w:rsidRPr="005076FB">
        <w:rPr>
          <w:rFonts w:ascii="Times New Roman" w:hAnsi="Times New Roman" w:cs="Times New Roman"/>
          <w:sz w:val="24"/>
          <w:szCs w:val="24"/>
        </w:rPr>
        <w:t xml:space="preserve"> “the limits on [its] statutory authority over FirstEnergy Corp. and over the political and charitable activity of all public utilities in this state.”</w:t>
      </w:r>
      <w:r>
        <w:rPr>
          <w:rStyle w:val="FootnoteReference"/>
          <w:rFonts w:ascii="Times New Roman" w:hAnsi="Times New Roman" w:cs="Times New Roman"/>
          <w:sz w:val="24"/>
          <w:szCs w:val="24"/>
        </w:rPr>
        <w:footnoteReference w:id="28"/>
      </w:r>
      <w:r w:rsidRPr="005076FB">
        <w:rPr>
          <w:rFonts w:ascii="Times New Roman" w:hAnsi="Times New Roman" w:cs="Times New Roman"/>
          <w:sz w:val="24"/>
          <w:szCs w:val="24"/>
        </w:rPr>
        <w:t xml:space="preserve"> </w:t>
      </w:r>
      <w:r w:rsidRPr="005076FB" w:rsidR="004A1A8B">
        <w:rPr>
          <w:rFonts w:ascii="Times New Roman" w:hAnsi="Times New Roman" w:cs="Times New Roman"/>
          <w:sz w:val="24"/>
          <w:szCs w:val="24"/>
        </w:rPr>
        <w:t xml:space="preserve"> </w:t>
      </w:r>
      <w:r w:rsidRPr="005076FB" w:rsidR="00074F17">
        <w:rPr>
          <w:rFonts w:ascii="Times New Roman" w:hAnsi="Times New Roman" w:cs="Times New Roman"/>
          <w:sz w:val="24"/>
          <w:szCs w:val="24"/>
        </w:rPr>
        <w:t xml:space="preserve">The PUCO erred.  Rehearing should be granted. </w:t>
      </w:r>
    </w:p>
    <w:p w:rsidR="00A4205C" w:rsidRPr="005076FB" w:rsidP="006A649B" w14:paraId="63176E42" w14:textId="77777777">
      <w:pPr>
        <w:pStyle w:val="ListParagraph"/>
        <w:widowControl w:val="0"/>
        <w:spacing w:after="0"/>
        <w:ind w:left="1440"/>
        <w:rPr>
          <w:rFonts w:ascii="Times New Roman" w:hAnsi="Times New Roman" w:cs="Times New Roman"/>
          <w:b/>
          <w:bCs/>
          <w:sz w:val="24"/>
          <w:szCs w:val="24"/>
        </w:rPr>
        <w:sectPr w:rsidSect="00310AE7">
          <w:pgSz w:w="12240" w:h="15840"/>
          <w:pgMar w:top="1440" w:right="1800" w:bottom="1440" w:left="1800" w:header="720" w:footer="720" w:gutter="0"/>
          <w:cols w:space="720"/>
          <w:docGrid w:linePitch="360"/>
        </w:sectPr>
      </w:pPr>
      <w:bookmarkStart w:id="14" w:name="_Toc56780172"/>
    </w:p>
    <w:p w:rsidR="005571F6" w:rsidRPr="005076FB" w:rsidP="005571F6" w14:paraId="4BB3D797" w14:textId="6AC8BCBC">
      <w:pPr>
        <w:pStyle w:val="Heading2"/>
      </w:pPr>
      <w:bookmarkStart w:id="15" w:name="_Toc57991035"/>
      <w:r w:rsidRPr="005076FB">
        <w:rPr>
          <w:rStyle w:val="Heading2Char"/>
          <w:b/>
          <w:bCs/>
        </w:rPr>
        <w:t>ASSIGNMENT OF ERROR 5:</w:t>
      </w:r>
      <w:r w:rsidRPr="005076FB">
        <w:rPr>
          <w:rStyle w:val="Heading2Char"/>
        </w:rPr>
        <w:t xml:space="preserve">  </w:t>
      </w:r>
      <w:r w:rsidRPr="005076FB">
        <w:t>The PUCO erred by not initiating a complaint or investigation under R.C. 4928.18 and 4905.26 that includes a full independent management audit and investigation as requested by OCC, including an investigation of the use of distribution modernization charge funds, instead of merely initiating the corporate separation audit.</w:t>
      </w:r>
      <w:bookmarkEnd w:id="15"/>
    </w:p>
    <w:p w:rsidR="004A1A8B" w:rsidRPr="005076FB" w:rsidP="005571F6" w14:paraId="24AA810D" w14:textId="642CD66F">
      <w:pPr>
        <w:pStyle w:val="Heading2"/>
      </w:pPr>
      <w:bookmarkStart w:id="16" w:name="_Toc57991036"/>
      <w:r w:rsidRPr="005076FB">
        <w:rPr>
          <w:rStyle w:val="Heading2Char"/>
          <w:b/>
          <w:bCs/>
        </w:rPr>
        <w:t>ASSIGNMENT OF ERROR 6</w:t>
      </w:r>
      <w:r w:rsidRPr="005076FB" w:rsidR="006A649B">
        <w:rPr>
          <w:rStyle w:val="Heading2Char"/>
          <w:b/>
          <w:bCs/>
        </w:rPr>
        <w:t xml:space="preserve">: </w:t>
      </w:r>
      <w:r w:rsidRPr="005076FB">
        <w:t>The PUCO erred by setting an audit scope for the “additional corporate separation audit” that for consumer protection should more broadly address corporate separation issues. The PUCO should expand the scope of the corporate separation audit after initiating a complaint or investigation under R.C. 4905.26 and 4928.18.</w:t>
      </w:r>
      <w:bookmarkEnd w:id="16"/>
      <w:r w:rsidRPr="005076FB">
        <w:t xml:space="preserve">  </w:t>
      </w:r>
      <w:r w:rsidRPr="005076FB" w:rsidR="006A649B">
        <w:t xml:space="preserve">  </w:t>
      </w:r>
      <w:bookmarkEnd w:id="14"/>
    </w:p>
    <w:p w:rsidR="00A96B20" w:rsidRPr="005076FB" w:rsidP="00A96B20" w14:paraId="687B3BD6" w14:textId="41D6EE08">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Instead of asserting jurisdiction through a commission-initiated investigation, the PUCO ordered an “additional corporate separation audit.”  Such an audit is focused on whether a utility’s corporate separation plan is sufficient under PUCO rules and meets Ohio law.  Back in 2014, the PUCO set up corporate separation audits for each of Ohio’s electric distribution utilities to ensure their compliance with R.C. 4928.17 and the PUCO’s corporate separation rules.</w:t>
      </w:r>
      <w:r>
        <w:rPr>
          <w:rStyle w:val="FootnoteReference"/>
          <w:rFonts w:ascii="Times New Roman" w:hAnsi="Times New Roman" w:cs="Times New Roman"/>
          <w:sz w:val="24"/>
          <w:szCs w:val="24"/>
        </w:rPr>
        <w:footnoteReference w:id="29"/>
      </w:r>
      <w:r w:rsidRPr="005076FB">
        <w:rPr>
          <w:rFonts w:ascii="Times New Roman" w:hAnsi="Times New Roman" w:cs="Times New Roman"/>
          <w:sz w:val="24"/>
          <w:szCs w:val="24"/>
        </w:rPr>
        <w:t xml:space="preserve">  At the time, audits were ordered in lieu of requiring full divestiture and separate shareholders.  Case No. 17-974 (where the additional audit will take place) was the first audit of any utility’s corporate separation plan.  </w:t>
      </w:r>
    </w:p>
    <w:p w:rsidR="002C4469" w:rsidRPr="005076FB" w:rsidP="00A96B20" w14:paraId="454564E1" w14:textId="4582341E">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Corporate separation between electric monopolies and their unregulated affiliates is intended to provide protection for captive monopoly customers against (among other things) subsidizing utility affiliates.  </w:t>
      </w:r>
      <w:r w:rsidRPr="005076FB" w:rsidR="009568D4">
        <w:rPr>
          <w:rFonts w:ascii="Times New Roman" w:hAnsi="Times New Roman" w:cs="Times New Roman"/>
          <w:sz w:val="24"/>
          <w:szCs w:val="24"/>
        </w:rPr>
        <w:t xml:space="preserve">Corporate separation is a good thing for the PUCO to </w:t>
      </w:r>
      <w:r w:rsidRPr="005076FB" w:rsidR="00A96B20">
        <w:rPr>
          <w:rFonts w:ascii="Times New Roman" w:hAnsi="Times New Roman" w:cs="Times New Roman"/>
          <w:sz w:val="24"/>
          <w:szCs w:val="24"/>
        </w:rPr>
        <w:t>audit, but th</w:t>
      </w:r>
      <w:r w:rsidRPr="005076FB" w:rsidR="00224EE5">
        <w:rPr>
          <w:rFonts w:ascii="Times New Roman" w:hAnsi="Times New Roman" w:cs="Times New Roman"/>
          <w:sz w:val="24"/>
          <w:szCs w:val="24"/>
        </w:rPr>
        <w:t>is</w:t>
      </w:r>
      <w:r w:rsidRPr="005076FB" w:rsidR="00A96B20">
        <w:rPr>
          <w:rFonts w:ascii="Times New Roman" w:hAnsi="Times New Roman" w:cs="Times New Roman"/>
          <w:sz w:val="24"/>
          <w:szCs w:val="24"/>
        </w:rPr>
        <w:t xml:space="preserve"> audit will not produce the information that will provide a definitive answer that consumers are seeking:  Did FirstEnergy use funds collected from </w:t>
      </w:r>
      <w:r w:rsidRPr="005076FB" w:rsidR="002541A0">
        <w:rPr>
          <w:rFonts w:ascii="Times New Roman" w:hAnsi="Times New Roman" w:cs="Times New Roman"/>
          <w:sz w:val="24"/>
          <w:szCs w:val="24"/>
        </w:rPr>
        <w:t xml:space="preserve">them  (FirstEnergy’s </w:t>
      </w:r>
      <w:r w:rsidRPr="005076FB" w:rsidR="00A96B20">
        <w:rPr>
          <w:rFonts w:ascii="Times New Roman" w:hAnsi="Times New Roman" w:cs="Times New Roman"/>
          <w:sz w:val="24"/>
          <w:szCs w:val="24"/>
        </w:rPr>
        <w:t>utility customers</w:t>
      </w:r>
      <w:r w:rsidRPr="005076FB" w:rsidR="002541A0">
        <w:rPr>
          <w:rFonts w:ascii="Times New Roman" w:hAnsi="Times New Roman" w:cs="Times New Roman"/>
          <w:sz w:val="24"/>
          <w:szCs w:val="24"/>
        </w:rPr>
        <w:t>)</w:t>
      </w:r>
      <w:r w:rsidRPr="005076FB" w:rsidR="00A96B20">
        <w:rPr>
          <w:rFonts w:ascii="Times New Roman" w:hAnsi="Times New Roman" w:cs="Times New Roman"/>
          <w:sz w:val="24"/>
          <w:szCs w:val="24"/>
        </w:rPr>
        <w:t xml:space="preserve"> for H</w:t>
      </w:r>
      <w:r w:rsidRPr="005076FB" w:rsidR="00F928F3">
        <w:rPr>
          <w:rFonts w:ascii="Times New Roman" w:hAnsi="Times New Roman" w:cs="Times New Roman"/>
          <w:sz w:val="24"/>
          <w:szCs w:val="24"/>
        </w:rPr>
        <w:t xml:space="preserve">ouse </w:t>
      </w:r>
      <w:r w:rsidRPr="005076FB" w:rsidR="00A96B20">
        <w:rPr>
          <w:rFonts w:ascii="Times New Roman" w:hAnsi="Times New Roman" w:cs="Times New Roman"/>
          <w:sz w:val="24"/>
          <w:szCs w:val="24"/>
        </w:rPr>
        <w:t>B</w:t>
      </w:r>
      <w:r w:rsidRPr="005076FB" w:rsidR="00F928F3">
        <w:rPr>
          <w:rFonts w:ascii="Times New Roman" w:hAnsi="Times New Roman" w:cs="Times New Roman"/>
          <w:sz w:val="24"/>
          <w:szCs w:val="24"/>
        </w:rPr>
        <w:t>ill</w:t>
      </w:r>
      <w:r w:rsidRPr="005076FB" w:rsidR="00A96B20">
        <w:rPr>
          <w:rFonts w:ascii="Times New Roman" w:hAnsi="Times New Roman" w:cs="Times New Roman"/>
          <w:sz w:val="24"/>
          <w:szCs w:val="24"/>
        </w:rPr>
        <w:t xml:space="preserve"> 6 activities that benefitted FirstEnergy affiliates, including FirstEnergy Solutions</w:t>
      </w:r>
      <w:r w:rsidRPr="005076FB" w:rsidR="00656CCA">
        <w:rPr>
          <w:rFonts w:ascii="Times New Roman" w:hAnsi="Times New Roman" w:cs="Times New Roman"/>
          <w:sz w:val="24"/>
          <w:szCs w:val="24"/>
        </w:rPr>
        <w:t>?</w:t>
      </w:r>
      <w:r w:rsidRPr="005076FB" w:rsidR="00A96B20">
        <w:rPr>
          <w:rFonts w:ascii="Times New Roman" w:hAnsi="Times New Roman" w:cs="Times New Roman"/>
          <w:sz w:val="24"/>
          <w:szCs w:val="24"/>
        </w:rPr>
        <w:t xml:space="preserve">  </w:t>
      </w:r>
    </w:p>
    <w:p w:rsidR="00240A8E" w:rsidRPr="005076FB" w:rsidP="00A4205C" w14:paraId="61A06FB3" w14:textId="1CD18460">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In its Entry the PUCO set up an additional corporate separation audit to review </w:t>
      </w:r>
      <w:r w:rsidRPr="005076FB" w:rsidR="002541A0">
        <w:rPr>
          <w:rFonts w:ascii="Times New Roman" w:hAnsi="Times New Roman" w:cs="Times New Roman"/>
          <w:sz w:val="24"/>
          <w:szCs w:val="24"/>
        </w:rPr>
        <w:t xml:space="preserve">activity </w:t>
      </w:r>
      <w:r w:rsidRPr="005076FB">
        <w:rPr>
          <w:rFonts w:ascii="Times New Roman" w:hAnsi="Times New Roman" w:cs="Times New Roman"/>
          <w:sz w:val="24"/>
          <w:szCs w:val="24"/>
        </w:rPr>
        <w:t xml:space="preserve">between Nov. 1, 2016 through Oct. 31, 2020.  </w:t>
      </w:r>
      <w:r w:rsidRPr="005076FB" w:rsidR="009568D4">
        <w:rPr>
          <w:rFonts w:ascii="Times New Roman" w:hAnsi="Times New Roman" w:cs="Times New Roman"/>
          <w:sz w:val="24"/>
          <w:szCs w:val="24"/>
        </w:rPr>
        <w:t xml:space="preserve">Nowhere in the </w:t>
      </w:r>
      <w:r w:rsidRPr="005076FB" w:rsidR="00224EE5">
        <w:rPr>
          <w:rFonts w:ascii="Times New Roman" w:hAnsi="Times New Roman" w:cs="Times New Roman"/>
          <w:sz w:val="24"/>
          <w:szCs w:val="24"/>
        </w:rPr>
        <w:t>Request for Proposal (“</w:t>
      </w:r>
      <w:r w:rsidRPr="005076FB" w:rsidR="009568D4">
        <w:rPr>
          <w:rFonts w:ascii="Times New Roman" w:hAnsi="Times New Roman" w:cs="Times New Roman"/>
          <w:sz w:val="24"/>
          <w:szCs w:val="24"/>
        </w:rPr>
        <w:t>R</w:t>
      </w:r>
      <w:r w:rsidRPr="005076FB" w:rsidR="0058209E">
        <w:rPr>
          <w:rFonts w:ascii="Times New Roman" w:hAnsi="Times New Roman" w:cs="Times New Roman"/>
          <w:sz w:val="24"/>
          <w:szCs w:val="24"/>
        </w:rPr>
        <w:t>F</w:t>
      </w:r>
      <w:r w:rsidRPr="005076FB" w:rsidR="009568D4">
        <w:rPr>
          <w:rFonts w:ascii="Times New Roman" w:hAnsi="Times New Roman" w:cs="Times New Roman"/>
          <w:sz w:val="24"/>
          <w:szCs w:val="24"/>
        </w:rPr>
        <w:t>P</w:t>
      </w:r>
      <w:r w:rsidRPr="005076FB" w:rsidR="00224EE5">
        <w:rPr>
          <w:rFonts w:ascii="Times New Roman" w:hAnsi="Times New Roman" w:cs="Times New Roman"/>
          <w:sz w:val="24"/>
          <w:szCs w:val="24"/>
        </w:rPr>
        <w:t>”)</w:t>
      </w:r>
      <w:r w:rsidRPr="005076FB" w:rsidR="009568D4">
        <w:rPr>
          <w:rFonts w:ascii="Times New Roman" w:hAnsi="Times New Roman" w:cs="Times New Roman"/>
          <w:sz w:val="24"/>
          <w:szCs w:val="24"/>
        </w:rPr>
        <w:t xml:space="preserve"> is </w:t>
      </w:r>
      <w:r w:rsidRPr="005076FB" w:rsidR="002541A0">
        <w:rPr>
          <w:rFonts w:ascii="Times New Roman" w:hAnsi="Times New Roman" w:cs="Times New Roman"/>
          <w:sz w:val="24"/>
          <w:szCs w:val="24"/>
        </w:rPr>
        <w:t>H</w:t>
      </w:r>
      <w:r w:rsidRPr="005076FB" w:rsidR="00F928F3">
        <w:rPr>
          <w:rFonts w:ascii="Times New Roman" w:hAnsi="Times New Roman" w:cs="Times New Roman"/>
          <w:sz w:val="24"/>
          <w:szCs w:val="24"/>
        </w:rPr>
        <w:t xml:space="preserve">ouse </w:t>
      </w:r>
      <w:r w:rsidRPr="005076FB" w:rsidR="002541A0">
        <w:rPr>
          <w:rFonts w:ascii="Times New Roman" w:hAnsi="Times New Roman" w:cs="Times New Roman"/>
          <w:sz w:val="24"/>
          <w:szCs w:val="24"/>
        </w:rPr>
        <w:t>B</w:t>
      </w:r>
      <w:r w:rsidRPr="005076FB" w:rsidR="00F928F3">
        <w:rPr>
          <w:rFonts w:ascii="Times New Roman" w:hAnsi="Times New Roman" w:cs="Times New Roman"/>
          <w:sz w:val="24"/>
          <w:szCs w:val="24"/>
        </w:rPr>
        <w:t>ill</w:t>
      </w:r>
      <w:r w:rsidRPr="005076FB" w:rsidR="002541A0">
        <w:rPr>
          <w:rFonts w:ascii="Times New Roman" w:hAnsi="Times New Roman" w:cs="Times New Roman"/>
          <w:sz w:val="24"/>
          <w:szCs w:val="24"/>
        </w:rPr>
        <w:t xml:space="preserve"> 6 mentioned</w:t>
      </w:r>
      <w:r w:rsidRPr="005076FB" w:rsidR="001813A9">
        <w:rPr>
          <w:rFonts w:ascii="Times New Roman" w:hAnsi="Times New Roman" w:cs="Times New Roman"/>
          <w:sz w:val="24"/>
          <w:szCs w:val="24"/>
        </w:rPr>
        <w:t>, although the timeline for the audit would cover House Bill 6 activities</w:t>
      </w:r>
      <w:r w:rsidRPr="005076FB" w:rsidR="002541A0">
        <w:rPr>
          <w:rFonts w:ascii="Times New Roman" w:hAnsi="Times New Roman" w:cs="Times New Roman"/>
          <w:sz w:val="24"/>
          <w:szCs w:val="24"/>
        </w:rPr>
        <w:t xml:space="preserve">.  </w:t>
      </w:r>
      <w:r w:rsidRPr="005076FB" w:rsidR="00D93E08">
        <w:rPr>
          <w:rFonts w:ascii="Times New Roman" w:hAnsi="Times New Roman" w:cs="Times New Roman"/>
          <w:sz w:val="24"/>
          <w:szCs w:val="24"/>
        </w:rPr>
        <w:t xml:space="preserve">The PUCO </w:t>
      </w:r>
      <w:r w:rsidRPr="005076FB" w:rsidR="002541A0">
        <w:rPr>
          <w:rFonts w:ascii="Times New Roman" w:hAnsi="Times New Roman" w:cs="Times New Roman"/>
          <w:sz w:val="24"/>
          <w:szCs w:val="24"/>
        </w:rPr>
        <w:t xml:space="preserve">appears to be </w:t>
      </w:r>
      <w:r w:rsidRPr="005076FB" w:rsidR="00D93E08">
        <w:rPr>
          <w:rFonts w:ascii="Times New Roman" w:hAnsi="Times New Roman" w:cs="Times New Roman"/>
          <w:sz w:val="24"/>
          <w:szCs w:val="24"/>
        </w:rPr>
        <w:t xml:space="preserve">focused on having the auditor review “transactions subject to the Companies’ cost allocation manual.” In other words, the auditor will be focusing on </w:t>
      </w:r>
      <w:r w:rsidRPr="005076FB" w:rsidR="00D93E08">
        <w:rPr>
          <w:rFonts w:ascii="Times New Roman" w:hAnsi="Times New Roman" w:cs="Times New Roman"/>
          <w:i/>
          <w:iCs/>
          <w:sz w:val="24"/>
          <w:szCs w:val="24"/>
        </w:rPr>
        <w:t>costs</w:t>
      </w:r>
      <w:r w:rsidRPr="005076FB" w:rsidR="00D93E08">
        <w:rPr>
          <w:rFonts w:ascii="Times New Roman" w:hAnsi="Times New Roman" w:cs="Times New Roman"/>
          <w:sz w:val="24"/>
          <w:szCs w:val="24"/>
        </w:rPr>
        <w:t xml:space="preserve"> that were charged to customers, and not on whether </w:t>
      </w:r>
      <w:r w:rsidRPr="005076FB" w:rsidR="00D93E08">
        <w:rPr>
          <w:rFonts w:ascii="Times New Roman" w:hAnsi="Times New Roman" w:cs="Times New Roman"/>
          <w:i/>
          <w:iCs/>
          <w:sz w:val="24"/>
          <w:szCs w:val="24"/>
        </w:rPr>
        <w:t>revenues</w:t>
      </w:r>
      <w:r w:rsidRPr="005076FB" w:rsidR="00D93E08">
        <w:rPr>
          <w:rFonts w:ascii="Times New Roman" w:hAnsi="Times New Roman" w:cs="Times New Roman"/>
          <w:sz w:val="24"/>
          <w:szCs w:val="24"/>
        </w:rPr>
        <w:t xml:space="preserve"> collected from customers were used </w:t>
      </w:r>
      <w:r w:rsidRPr="005076FB" w:rsidR="00224EE5">
        <w:rPr>
          <w:rFonts w:ascii="Times New Roman" w:hAnsi="Times New Roman" w:cs="Times New Roman"/>
          <w:sz w:val="24"/>
          <w:szCs w:val="24"/>
        </w:rPr>
        <w:t xml:space="preserve">to fund </w:t>
      </w:r>
      <w:r w:rsidRPr="005076FB" w:rsidR="00D93E08">
        <w:rPr>
          <w:rFonts w:ascii="Times New Roman" w:hAnsi="Times New Roman" w:cs="Times New Roman"/>
          <w:sz w:val="24"/>
          <w:szCs w:val="24"/>
        </w:rPr>
        <w:t>H</w:t>
      </w:r>
      <w:r w:rsidRPr="005076FB" w:rsidR="00F928F3">
        <w:rPr>
          <w:rFonts w:ascii="Times New Roman" w:hAnsi="Times New Roman" w:cs="Times New Roman"/>
          <w:sz w:val="24"/>
          <w:szCs w:val="24"/>
        </w:rPr>
        <w:t xml:space="preserve">ouse </w:t>
      </w:r>
      <w:r w:rsidRPr="005076FB" w:rsidR="00D93E08">
        <w:rPr>
          <w:rFonts w:ascii="Times New Roman" w:hAnsi="Times New Roman" w:cs="Times New Roman"/>
          <w:sz w:val="24"/>
          <w:szCs w:val="24"/>
        </w:rPr>
        <w:t>B</w:t>
      </w:r>
      <w:r w:rsidRPr="005076FB" w:rsidR="00F928F3">
        <w:rPr>
          <w:rFonts w:ascii="Times New Roman" w:hAnsi="Times New Roman" w:cs="Times New Roman"/>
          <w:sz w:val="24"/>
          <w:szCs w:val="24"/>
        </w:rPr>
        <w:t>ill</w:t>
      </w:r>
      <w:r w:rsidRPr="005076FB" w:rsidR="00D93E08">
        <w:rPr>
          <w:rFonts w:ascii="Times New Roman" w:hAnsi="Times New Roman" w:cs="Times New Roman"/>
          <w:sz w:val="24"/>
          <w:szCs w:val="24"/>
        </w:rPr>
        <w:t xml:space="preserve"> 6 activities.  </w:t>
      </w:r>
      <w:r w:rsidRPr="005076FB">
        <w:rPr>
          <w:rFonts w:ascii="Times New Roman" w:hAnsi="Times New Roman" w:cs="Times New Roman"/>
          <w:sz w:val="24"/>
          <w:szCs w:val="24"/>
        </w:rPr>
        <w:t xml:space="preserve">The PUCO’s approach to auditing is self-limiting and, by its own terms, will not produce an answer for consumers to the questions that should be asked and answered about FirstEnergy’s sources and uses of money related to the House Bill 6 scandal. </w:t>
      </w:r>
    </w:p>
    <w:p w:rsidR="002D1F40" w:rsidRPr="005076FB" w:rsidP="00A4205C" w14:paraId="4EBB1BCF" w14:textId="2CD013B8">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To be clear</w:t>
      </w:r>
      <w:r w:rsidRPr="005076FB" w:rsidR="00D93E08">
        <w:rPr>
          <w:rFonts w:ascii="Times New Roman" w:hAnsi="Times New Roman" w:cs="Times New Roman"/>
          <w:sz w:val="24"/>
          <w:szCs w:val="24"/>
        </w:rPr>
        <w:t>,</w:t>
      </w:r>
      <w:r w:rsidRPr="005076FB">
        <w:rPr>
          <w:rFonts w:ascii="Times New Roman" w:hAnsi="Times New Roman" w:cs="Times New Roman"/>
          <w:sz w:val="24"/>
          <w:szCs w:val="24"/>
        </w:rPr>
        <w:t xml:space="preserve"> </w:t>
      </w:r>
      <w:r w:rsidRPr="005076FB">
        <w:rPr>
          <w:rFonts w:ascii="Times New Roman" w:hAnsi="Times New Roman" w:cs="Times New Roman"/>
          <w:i/>
          <w:iCs/>
          <w:sz w:val="24"/>
          <w:szCs w:val="24"/>
        </w:rPr>
        <w:t>an investigation and audit</w:t>
      </w:r>
      <w:r w:rsidRPr="005076FB">
        <w:rPr>
          <w:rFonts w:ascii="Times New Roman" w:hAnsi="Times New Roman" w:cs="Times New Roman"/>
          <w:sz w:val="24"/>
          <w:szCs w:val="24"/>
        </w:rPr>
        <w:t xml:space="preserve">, as OCC requested, </w:t>
      </w:r>
      <w:r w:rsidRPr="005076FB" w:rsidR="00F83381">
        <w:rPr>
          <w:rFonts w:ascii="Times New Roman" w:hAnsi="Times New Roman" w:cs="Times New Roman"/>
          <w:sz w:val="24"/>
          <w:szCs w:val="24"/>
        </w:rPr>
        <w:t>should</w:t>
      </w:r>
      <w:r w:rsidRPr="005076FB">
        <w:rPr>
          <w:rFonts w:ascii="Times New Roman" w:hAnsi="Times New Roman" w:cs="Times New Roman"/>
          <w:sz w:val="24"/>
          <w:szCs w:val="24"/>
        </w:rPr>
        <w:t xml:space="preserve"> have been ordered to determine </w:t>
      </w:r>
      <w:r w:rsidRPr="005076FB" w:rsidR="00F83381">
        <w:rPr>
          <w:rFonts w:ascii="Times New Roman" w:hAnsi="Times New Roman" w:cs="Times New Roman"/>
          <w:sz w:val="24"/>
          <w:szCs w:val="24"/>
        </w:rPr>
        <w:t>whether FirstEnergy Utilities extended an undue preference to FirstEnergy Solutions</w:t>
      </w:r>
      <w:r w:rsidRPr="005076FB" w:rsidR="00E25055">
        <w:rPr>
          <w:rFonts w:ascii="Times New Roman" w:hAnsi="Times New Roman" w:cs="Times New Roman"/>
          <w:sz w:val="24"/>
          <w:szCs w:val="24"/>
        </w:rPr>
        <w:t xml:space="preserve"> or other affiliates</w:t>
      </w:r>
      <w:r w:rsidRPr="005076FB" w:rsidR="00F83381">
        <w:rPr>
          <w:rFonts w:ascii="Times New Roman" w:hAnsi="Times New Roman" w:cs="Times New Roman"/>
          <w:sz w:val="24"/>
          <w:szCs w:val="24"/>
        </w:rPr>
        <w:t xml:space="preserve"> in violation of Ohio law</w:t>
      </w:r>
      <w:r w:rsidRPr="005076FB" w:rsidR="00754258">
        <w:rPr>
          <w:rFonts w:ascii="Times New Roman" w:hAnsi="Times New Roman" w:cs="Times New Roman"/>
          <w:sz w:val="24"/>
          <w:szCs w:val="24"/>
        </w:rPr>
        <w:t xml:space="preserve"> (4928.17; 4928.02(H))</w:t>
      </w:r>
      <w:r w:rsidRPr="005076FB" w:rsidR="00F83381">
        <w:rPr>
          <w:rFonts w:ascii="Times New Roman" w:hAnsi="Times New Roman" w:cs="Times New Roman"/>
          <w:sz w:val="24"/>
          <w:szCs w:val="24"/>
        </w:rPr>
        <w:t xml:space="preserve">.  </w:t>
      </w:r>
      <w:r w:rsidRPr="005076FB" w:rsidR="00754258">
        <w:rPr>
          <w:rFonts w:ascii="Times New Roman" w:hAnsi="Times New Roman" w:cs="Times New Roman"/>
          <w:sz w:val="24"/>
          <w:szCs w:val="24"/>
        </w:rPr>
        <w:t xml:space="preserve">The only way </w:t>
      </w:r>
      <w:r w:rsidRPr="005076FB">
        <w:rPr>
          <w:rFonts w:ascii="Times New Roman" w:hAnsi="Times New Roman" w:cs="Times New Roman"/>
          <w:sz w:val="24"/>
          <w:szCs w:val="24"/>
        </w:rPr>
        <w:t xml:space="preserve">to determine if FirstEnergy Utilities </w:t>
      </w:r>
      <w:r w:rsidRPr="005076FB" w:rsidR="002541A0">
        <w:rPr>
          <w:rFonts w:ascii="Times New Roman" w:hAnsi="Times New Roman" w:cs="Times New Roman"/>
          <w:sz w:val="24"/>
          <w:szCs w:val="24"/>
        </w:rPr>
        <w:t>customers have been subsidizing H</w:t>
      </w:r>
      <w:r w:rsidRPr="005076FB" w:rsidR="00F928F3">
        <w:rPr>
          <w:rFonts w:ascii="Times New Roman" w:hAnsi="Times New Roman" w:cs="Times New Roman"/>
          <w:sz w:val="24"/>
          <w:szCs w:val="24"/>
        </w:rPr>
        <w:t xml:space="preserve">ouse </w:t>
      </w:r>
      <w:r w:rsidRPr="005076FB" w:rsidR="002541A0">
        <w:rPr>
          <w:rFonts w:ascii="Times New Roman" w:hAnsi="Times New Roman" w:cs="Times New Roman"/>
          <w:sz w:val="24"/>
          <w:szCs w:val="24"/>
        </w:rPr>
        <w:t>B</w:t>
      </w:r>
      <w:r w:rsidRPr="005076FB" w:rsidR="00F928F3">
        <w:rPr>
          <w:rFonts w:ascii="Times New Roman" w:hAnsi="Times New Roman" w:cs="Times New Roman"/>
          <w:sz w:val="24"/>
          <w:szCs w:val="24"/>
        </w:rPr>
        <w:t>ill</w:t>
      </w:r>
      <w:r w:rsidRPr="005076FB" w:rsidR="002541A0">
        <w:rPr>
          <w:rFonts w:ascii="Times New Roman" w:hAnsi="Times New Roman" w:cs="Times New Roman"/>
          <w:sz w:val="24"/>
          <w:szCs w:val="24"/>
        </w:rPr>
        <w:t xml:space="preserve"> </w:t>
      </w:r>
      <w:r w:rsidRPr="005076FB" w:rsidR="00224EE5">
        <w:rPr>
          <w:rFonts w:ascii="Times New Roman" w:hAnsi="Times New Roman" w:cs="Times New Roman"/>
          <w:sz w:val="24"/>
          <w:szCs w:val="24"/>
        </w:rPr>
        <w:t xml:space="preserve">6 </w:t>
      </w:r>
      <w:r w:rsidRPr="005076FB" w:rsidR="002541A0">
        <w:rPr>
          <w:rFonts w:ascii="Times New Roman" w:hAnsi="Times New Roman" w:cs="Times New Roman"/>
          <w:sz w:val="24"/>
          <w:szCs w:val="24"/>
        </w:rPr>
        <w:t>activities to the benefit of FirstEnergy affiliates is</w:t>
      </w:r>
      <w:r w:rsidRPr="005076FB">
        <w:rPr>
          <w:rFonts w:ascii="Times New Roman" w:hAnsi="Times New Roman" w:cs="Times New Roman"/>
          <w:sz w:val="24"/>
          <w:szCs w:val="24"/>
        </w:rPr>
        <w:t xml:space="preserve"> to trace the funds collected from </w:t>
      </w:r>
      <w:r w:rsidRPr="005076FB" w:rsidR="00224EE5">
        <w:rPr>
          <w:rFonts w:ascii="Times New Roman" w:hAnsi="Times New Roman" w:cs="Times New Roman"/>
          <w:sz w:val="24"/>
          <w:szCs w:val="24"/>
        </w:rPr>
        <w:t xml:space="preserve">monopoly </w:t>
      </w:r>
      <w:r w:rsidRPr="005076FB">
        <w:rPr>
          <w:rFonts w:ascii="Times New Roman" w:hAnsi="Times New Roman" w:cs="Times New Roman"/>
          <w:sz w:val="24"/>
          <w:szCs w:val="24"/>
        </w:rPr>
        <w:t xml:space="preserve">utility customers to their ultimate use.  The PUCO however has not required the Auditor to trace the funds </w:t>
      </w:r>
      <w:r w:rsidRPr="005076FB" w:rsidR="002541A0">
        <w:rPr>
          <w:rFonts w:ascii="Times New Roman" w:hAnsi="Times New Roman" w:cs="Times New Roman"/>
          <w:sz w:val="24"/>
          <w:szCs w:val="24"/>
        </w:rPr>
        <w:t xml:space="preserve">as part of the audit. </w:t>
      </w:r>
    </w:p>
    <w:p w:rsidR="00B60179" w:rsidRPr="005076FB" w:rsidP="00B60179" w14:paraId="7F88ADC3" w14:textId="77777777">
      <w:pPr>
        <w:widowControl w:val="0"/>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In conjunction with a full investigation of FirstEnergy’s House Bill 6 activities as they relate to the use of customer funds, the PUCO should also order an audit with a scope of activities which will provide answers for consumer protection.  The audit must necessarily trace the funds collected from customers to their ultimate use.  </w:t>
      </w:r>
    </w:p>
    <w:p w:rsidR="00B60179" w:rsidRPr="005076FB" w:rsidP="00B60179" w14:paraId="397F03BB" w14:textId="77777777">
      <w:pPr>
        <w:widowControl w:val="0"/>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In particular, the auditor should be auditing the use of the distribution modernization funds collected from customers to learn if that money was used to fund House Bill 6 activities. By prior PUCO Order, these funds were not to be used to subsidize FirstEnergy affiliate activities.</w:t>
      </w:r>
      <w:r>
        <w:rPr>
          <w:rStyle w:val="FootnoteReference"/>
          <w:rFonts w:ascii="Times New Roman" w:hAnsi="Times New Roman" w:cs="Times New Roman"/>
          <w:sz w:val="24"/>
          <w:szCs w:val="24"/>
        </w:rPr>
        <w:footnoteReference w:id="30"/>
      </w:r>
      <w:r w:rsidRPr="005076FB">
        <w:rPr>
          <w:rFonts w:ascii="Times New Roman" w:hAnsi="Times New Roman" w:cs="Times New Roman"/>
          <w:sz w:val="24"/>
          <w:szCs w:val="24"/>
        </w:rPr>
        <w:t xml:space="preserve">  The scope of the audit should include not just “transactions subject to the cost allocation manual” but should extend to House Bill 6 activities by FirstEnergy affiliates where money collected from the FirstEnergy Utilities was used for the benefit of FirstEnergy affiliates.  </w:t>
      </w:r>
    </w:p>
    <w:p w:rsidR="00B60179" w:rsidRPr="005076FB" w:rsidP="00B60179" w14:paraId="58BEFA5E" w14:textId="3DDB187C">
      <w:pPr>
        <w:widowControl w:val="0"/>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The auditor should also review whether the accounting utilized by FirstEnergy Corp. facilitated the use of regulated customer funds on affiliate activities in violation of Ohio regulatory law and policy.  The policies and code of conduct that allegedly were violated by the three FirstEnergy executives</w:t>
      </w:r>
      <w:r w:rsidRPr="005076FB" w:rsidR="00082207">
        <w:rPr>
          <w:rFonts w:ascii="Times New Roman" w:hAnsi="Times New Roman" w:cs="Times New Roman"/>
          <w:sz w:val="24"/>
          <w:szCs w:val="24"/>
        </w:rPr>
        <w:t xml:space="preserve"> (and maybe more)</w:t>
      </w:r>
      <w:r w:rsidRPr="005076FB">
        <w:rPr>
          <w:rFonts w:ascii="Times New Roman" w:hAnsi="Times New Roman" w:cs="Times New Roman"/>
          <w:sz w:val="24"/>
          <w:szCs w:val="24"/>
        </w:rPr>
        <w:t xml:space="preserve"> who were terminated should also be examined by the auditor.  </w:t>
      </w:r>
    </w:p>
    <w:p w:rsidR="00B60179" w:rsidRPr="005076FB" w:rsidP="00B60179" w14:paraId="48B52CEB" w14:textId="77777777">
      <w:pPr>
        <w:widowControl w:val="0"/>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OCC recommends the scope of the audit be rewritten to include the following: </w:t>
      </w:r>
    </w:p>
    <w:p w:rsidR="00745F56" w:rsidRPr="005076FB" w:rsidP="008C5D5B" w14:paraId="2BF6FE88" w14:textId="2D7D392B">
      <w:pPr>
        <w:pStyle w:val="ListParagraph"/>
        <w:numPr>
          <w:ilvl w:val="0"/>
          <w:numId w:val="49"/>
        </w:numPr>
        <w:ind w:left="1440" w:hanging="720"/>
        <w:rPr>
          <w:rFonts w:ascii="Times New Roman" w:hAnsi="Times New Roman" w:cs="Times New Roman"/>
          <w:b/>
          <w:sz w:val="24"/>
          <w:szCs w:val="24"/>
        </w:rPr>
      </w:pPr>
      <w:r w:rsidRPr="005076FB">
        <w:rPr>
          <w:rFonts w:ascii="Times New Roman" w:hAnsi="Times New Roman" w:cs="Times New Roman"/>
          <w:sz w:val="24"/>
          <w:szCs w:val="24"/>
        </w:rPr>
        <w:t xml:space="preserve">A review of whether funds collected from consumers were used to fund House Bill 6 activities in violation of Ohio corporate separation law (R.C. 4928.17), Ohio policy against subsidies (R.C. 4928.02(H)), or PUCO Orders (Case No. 14-1297-EL-SSO). </w:t>
      </w:r>
    </w:p>
    <w:p w:rsidR="004F2080" w:rsidRPr="005076FB" w:rsidP="008C5D5B" w14:paraId="3806F6F2" w14:textId="77777777">
      <w:pPr>
        <w:pStyle w:val="ListParagraph"/>
        <w:ind w:left="1440" w:hanging="720"/>
        <w:rPr>
          <w:rFonts w:ascii="Times New Roman" w:hAnsi="Times New Roman" w:cs="Times New Roman"/>
          <w:b/>
          <w:sz w:val="24"/>
          <w:szCs w:val="24"/>
        </w:rPr>
      </w:pPr>
    </w:p>
    <w:p w:rsidR="004F2080" w:rsidRPr="005076FB" w:rsidP="00BD5E0C" w14:paraId="2D12A44E" w14:textId="1D31FC95">
      <w:pPr>
        <w:pStyle w:val="ListParagraph"/>
        <w:numPr>
          <w:ilvl w:val="0"/>
          <w:numId w:val="49"/>
        </w:numPr>
        <w:ind w:left="1440" w:hanging="720"/>
        <w:rPr>
          <w:rFonts w:ascii="Times New Roman" w:hAnsi="Times New Roman" w:eastAsiaTheme="majorEastAsia" w:cs="Times New Roman"/>
          <w:b/>
          <w:sz w:val="24"/>
          <w:szCs w:val="24"/>
        </w:rPr>
      </w:pPr>
      <w:r w:rsidRPr="005076FB">
        <w:rPr>
          <w:rFonts w:ascii="Times New Roman" w:hAnsi="Times New Roman" w:eastAsiaTheme="majorEastAsia" w:cs="Times New Roman"/>
          <w:sz w:val="24"/>
          <w:szCs w:val="24"/>
        </w:rPr>
        <w:t>A review of and tracing for any money collected from consumers, including but not limited to distribution modernization charge money, that may have been used to subsidize affiliate activities in connection with House Bill 6 instead of for electric utility service</w:t>
      </w:r>
      <w:r w:rsidRPr="005076FB">
        <w:rPr>
          <w:rFonts w:ascii="Times New Roman" w:hAnsi="Times New Roman" w:cs="Times New Roman"/>
          <w:sz w:val="24"/>
          <w:szCs w:val="24"/>
        </w:rPr>
        <w:t>.</w:t>
      </w:r>
    </w:p>
    <w:p w:rsidR="00F44591" w:rsidRPr="005076FB" w:rsidP="00F44591" w14:paraId="04E9E82D" w14:textId="77777777">
      <w:pPr>
        <w:pStyle w:val="ListParagraph"/>
        <w:rPr>
          <w:rFonts w:ascii="Times New Roman" w:hAnsi="Times New Roman" w:eastAsiaTheme="majorEastAsia" w:cs="Times New Roman"/>
          <w:b/>
          <w:sz w:val="24"/>
          <w:szCs w:val="24"/>
        </w:rPr>
      </w:pPr>
    </w:p>
    <w:p w:rsidR="00B60179" w:rsidRPr="005076FB" w:rsidP="00A4205C" w14:paraId="7720A22D" w14:textId="101D1CD1">
      <w:pPr>
        <w:pStyle w:val="ListParagraph"/>
        <w:numPr>
          <w:ilvl w:val="1"/>
          <w:numId w:val="53"/>
        </w:numPr>
        <w:ind w:left="1440" w:hanging="720"/>
        <w:rPr>
          <w:rFonts w:ascii="Times New Roman" w:hAnsi="Times New Roman" w:cs="Times New Roman"/>
          <w:sz w:val="24"/>
          <w:szCs w:val="24"/>
        </w:rPr>
      </w:pPr>
      <w:r w:rsidRPr="005076FB">
        <w:rPr>
          <w:rFonts w:ascii="Times New Roman" w:hAnsi="Times New Roman" w:cs="Times New Roman"/>
          <w:sz w:val="24"/>
          <w:szCs w:val="24"/>
        </w:rPr>
        <w:t>A review of the corporate structure of FirstEnergy Corp, including all its affiliates and subsidiaries to examine the opportunities for funding (through revenue or expense sharing) House Bill 6 activities</w:t>
      </w:r>
      <w:r w:rsidRPr="005076FB" w:rsidR="004F2080">
        <w:rPr>
          <w:rFonts w:ascii="Times New Roman" w:hAnsi="Times New Roman" w:cs="Times New Roman"/>
          <w:sz w:val="24"/>
          <w:szCs w:val="24"/>
        </w:rPr>
        <w:t>.</w:t>
      </w:r>
    </w:p>
    <w:p w:rsidR="008C5D5B" w:rsidRPr="005076FB" w:rsidP="008C5D5B" w14:paraId="47E73A65" w14:textId="77777777">
      <w:pPr>
        <w:pStyle w:val="ListParagraph"/>
        <w:rPr>
          <w:rFonts w:ascii="Times New Roman" w:hAnsi="Times New Roman" w:cs="Times New Roman"/>
          <w:sz w:val="24"/>
          <w:szCs w:val="24"/>
        </w:rPr>
      </w:pPr>
    </w:p>
    <w:p w:rsidR="00B60179" w:rsidRPr="005076FB" w:rsidP="008C5D5B" w14:paraId="39FA8CC9" w14:textId="166E8AB7">
      <w:pPr>
        <w:pStyle w:val="ListParagraph"/>
        <w:numPr>
          <w:ilvl w:val="0"/>
          <w:numId w:val="50"/>
        </w:numPr>
        <w:ind w:left="1440" w:hanging="720"/>
        <w:rPr>
          <w:rFonts w:ascii="Times New Roman" w:hAnsi="Times New Roman" w:cs="Times New Roman"/>
          <w:sz w:val="24"/>
          <w:szCs w:val="24"/>
        </w:rPr>
      </w:pPr>
      <w:r w:rsidRPr="005076FB">
        <w:rPr>
          <w:rFonts w:ascii="Times New Roman" w:hAnsi="Times New Roman" w:cs="Times New Roman"/>
          <w:sz w:val="24"/>
          <w:szCs w:val="24"/>
        </w:rPr>
        <w:t>An examination of and tracing of all funding for House Bill 6 activities including all transactions for the time-period identified in the RFP</w:t>
      </w:r>
      <w:r w:rsidRPr="005076FB" w:rsidR="0009524C">
        <w:rPr>
          <w:rFonts w:ascii="Times New Roman" w:hAnsi="Times New Roman" w:cs="Times New Roman"/>
          <w:sz w:val="24"/>
          <w:szCs w:val="24"/>
        </w:rPr>
        <w:t xml:space="preserve"> but not limited to that time-period</w:t>
      </w:r>
      <w:r w:rsidRPr="005076FB">
        <w:rPr>
          <w:rFonts w:ascii="Times New Roman" w:hAnsi="Times New Roman" w:cs="Times New Roman"/>
          <w:sz w:val="24"/>
          <w:szCs w:val="24"/>
        </w:rPr>
        <w:t xml:space="preserve">, not just transactions subject to the cost allocation manual. </w:t>
      </w:r>
    </w:p>
    <w:p w:rsidR="008C5D5B" w:rsidRPr="005076FB" w:rsidP="008C5D5B" w14:paraId="09AE04A1" w14:textId="77777777">
      <w:pPr>
        <w:pStyle w:val="ListParagraph"/>
        <w:ind w:left="1440" w:hanging="720"/>
        <w:rPr>
          <w:rFonts w:ascii="Times New Roman" w:hAnsi="Times New Roman" w:cs="Times New Roman"/>
          <w:sz w:val="24"/>
          <w:szCs w:val="24"/>
        </w:rPr>
      </w:pPr>
    </w:p>
    <w:p w:rsidR="00B60179" w:rsidRPr="005076FB" w:rsidP="008C5D5B" w14:paraId="5BF7DF59" w14:textId="73F442F1">
      <w:pPr>
        <w:pStyle w:val="ListParagraph"/>
        <w:numPr>
          <w:ilvl w:val="0"/>
          <w:numId w:val="50"/>
        </w:numPr>
        <w:ind w:left="1440" w:hanging="720"/>
        <w:rPr>
          <w:rFonts w:ascii="Times New Roman" w:hAnsi="Times New Roman" w:cs="Times New Roman"/>
          <w:sz w:val="24"/>
          <w:szCs w:val="24"/>
        </w:rPr>
      </w:pPr>
      <w:r w:rsidRPr="005076FB">
        <w:rPr>
          <w:rFonts w:ascii="Times New Roman" w:hAnsi="Times New Roman" w:cs="Times New Roman"/>
          <w:sz w:val="24"/>
          <w:szCs w:val="24"/>
        </w:rPr>
        <w:t xml:space="preserve">An examination of the deconsolidation of FirstEnergy Solutions financial reporting from FirstEnergy Corp. and whether it affected the ability to audit and trace House Bill 6 funding transactions.  </w:t>
      </w:r>
    </w:p>
    <w:p w:rsidR="008C5D5B" w:rsidRPr="005076FB" w:rsidP="008C5D5B" w14:paraId="619DB235" w14:textId="77777777">
      <w:pPr>
        <w:pStyle w:val="ListParagraph"/>
        <w:ind w:left="1440" w:hanging="720"/>
        <w:rPr>
          <w:rFonts w:ascii="Times New Roman" w:hAnsi="Times New Roman" w:cs="Times New Roman"/>
          <w:sz w:val="24"/>
          <w:szCs w:val="24"/>
        </w:rPr>
      </w:pPr>
    </w:p>
    <w:p w:rsidR="00B60179" w:rsidRPr="005076FB" w:rsidP="008C5D5B" w14:paraId="4F403B7D" w14:textId="021D6F8A">
      <w:pPr>
        <w:pStyle w:val="ListParagraph"/>
        <w:numPr>
          <w:ilvl w:val="0"/>
          <w:numId w:val="50"/>
        </w:numPr>
        <w:ind w:left="1440" w:hanging="720"/>
        <w:rPr>
          <w:rFonts w:ascii="Times New Roman" w:hAnsi="Times New Roman" w:cs="Times New Roman"/>
          <w:sz w:val="24"/>
          <w:szCs w:val="24"/>
        </w:rPr>
      </w:pPr>
      <w:r w:rsidRPr="005076FB">
        <w:rPr>
          <w:rFonts w:ascii="Times New Roman" w:hAnsi="Times New Roman" w:cs="Times New Roman"/>
          <w:sz w:val="24"/>
          <w:szCs w:val="24"/>
        </w:rPr>
        <w:t>A review of FirstEnergy Corp.’s policies and code of conduct that were violated by the three FirstEnergy Corp. executives</w:t>
      </w:r>
      <w:r w:rsidRPr="005076FB" w:rsidR="00082207">
        <w:rPr>
          <w:rFonts w:ascii="Times New Roman" w:hAnsi="Times New Roman" w:cs="Times New Roman"/>
          <w:sz w:val="24"/>
          <w:szCs w:val="24"/>
        </w:rPr>
        <w:t xml:space="preserve"> (and any others)</w:t>
      </w:r>
      <w:r w:rsidRPr="005076FB">
        <w:rPr>
          <w:rFonts w:ascii="Times New Roman" w:hAnsi="Times New Roman" w:cs="Times New Roman"/>
          <w:sz w:val="24"/>
          <w:szCs w:val="24"/>
        </w:rPr>
        <w:t xml:space="preserve"> who were terminated, as reported in FirstEnergy Corp.’s Form 8k filed with the U.S. Securities and Exchange Commission on October 29, 2020</w:t>
      </w:r>
      <w:r w:rsidRPr="005076FB" w:rsidR="0009524C">
        <w:rPr>
          <w:rFonts w:ascii="Times New Roman" w:hAnsi="Times New Roman" w:cs="Times New Roman"/>
          <w:sz w:val="24"/>
          <w:szCs w:val="24"/>
        </w:rPr>
        <w:t xml:space="preserve">, including </w:t>
      </w:r>
      <w:r w:rsidRPr="005076FB" w:rsidR="003E15B7">
        <w:rPr>
          <w:rFonts w:ascii="Times New Roman" w:hAnsi="Times New Roman" w:cs="Times New Roman"/>
          <w:sz w:val="24"/>
          <w:szCs w:val="24"/>
        </w:rPr>
        <w:t>a review of the activities by FirstEnergy personnel and allegedly one PUCO employee (the former PUCO Chair) regarding the f</w:t>
      </w:r>
      <w:r w:rsidRPr="005076FB" w:rsidR="0009524C">
        <w:rPr>
          <w:rFonts w:ascii="Times New Roman" w:hAnsi="Times New Roman" w:cs="Times New Roman"/>
          <w:sz w:val="24"/>
          <w:szCs w:val="24"/>
        </w:rPr>
        <w:t xml:space="preserve">inancial and non-financial issues referenced in the November </w:t>
      </w:r>
      <w:r w:rsidRPr="005076FB" w:rsidR="00656CCA">
        <w:rPr>
          <w:rFonts w:ascii="Times New Roman" w:hAnsi="Times New Roman" w:cs="Times New Roman"/>
          <w:sz w:val="24"/>
          <w:szCs w:val="24"/>
        </w:rPr>
        <w:t>19t</w:t>
      </w:r>
      <w:r w:rsidRPr="005076FB" w:rsidR="0009524C">
        <w:rPr>
          <w:rFonts w:ascii="Times New Roman" w:hAnsi="Times New Roman" w:cs="Times New Roman"/>
          <w:sz w:val="24"/>
          <w:szCs w:val="24"/>
        </w:rPr>
        <w:t xml:space="preserve">h FirstEnergy Form 10-Q </w:t>
      </w:r>
      <w:r w:rsidRPr="005076FB" w:rsidR="003E15B7">
        <w:rPr>
          <w:rFonts w:ascii="Times New Roman" w:hAnsi="Times New Roman" w:cs="Times New Roman"/>
          <w:sz w:val="24"/>
          <w:szCs w:val="24"/>
        </w:rPr>
        <w:t>and ramifications and lessons learned from those issues, to whatever extent, in connection with the operations of FirstEnergy and the PUCO, respectively.</w:t>
      </w:r>
    </w:p>
    <w:p w:rsidR="008C5D5B" w:rsidRPr="005076FB" w:rsidP="008C5D5B" w14:paraId="49951144" w14:textId="77777777">
      <w:pPr>
        <w:pStyle w:val="ListParagraph"/>
        <w:ind w:left="1440" w:hanging="720"/>
        <w:rPr>
          <w:rFonts w:ascii="Times New Roman" w:hAnsi="Times New Roman" w:cs="Times New Roman"/>
          <w:sz w:val="24"/>
          <w:szCs w:val="24"/>
        </w:rPr>
      </w:pPr>
    </w:p>
    <w:p w:rsidR="00B60179" w:rsidRPr="005076FB" w:rsidP="008C5D5B" w14:paraId="6E37024C" w14:textId="4459A86C">
      <w:pPr>
        <w:pStyle w:val="ListParagraph"/>
        <w:numPr>
          <w:ilvl w:val="0"/>
          <w:numId w:val="50"/>
        </w:numPr>
        <w:ind w:left="1440" w:hanging="720"/>
        <w:rPr>
          <w:rFonts w:ascii="Times New Roman" w:hAnsi="Times New Roman" w:cs="Times New Roman"/>
          <w:sz w:val="24"/>
          <w:szCs w:val="24"/>
        </w:rPr>
      </w:pPr>
      <w:r w:rsidRPr="005076FB">
        <w:rPr>
          <w:rFonts w:ascii="Times New Roman" w:hAnsi="Times New Roman" w:cs="Times New Roman"/>
          <w:sz w:val="24"/>
          <w:szCs w:val="24"/>
        </w:rPr>
        <w:t>A review and tracing of funding from FirstEnergy utility customers to any FirstEnergy affiliate during the identified period of time.</w:t>
      </w:r>
    </w:p>
    <w:p w:rsidR="008C5D5B" w:rsidRPr="005076FB" w:rsidP="008C5D5B" w14:paraId="763F6481" w14:textId="77777777">
      <w:pPr>
        <w:pStyle w:val="ListParagraph"/>
        <w:ind w:left="1440" w:hanging="720"/>
        <w:rPr>
          <w:rFonts w:ascii="Times New Roman" w:hAnsi="Times New Roman" w:cs="Times New Roman"/>
          <w:sz w:val="24"/>
          <w:szCs w:val="24"/>
        </w:rPr>
      </w:pPr>
    </w:p>
    <w:p w:rsidR="00B60179" w:rsidRPr="005076FB" w:rsidP="008C5D5B" w14:paraId="4F602049" w14:textId="61484869">
      <w:pPr>
        <w:pStyle w:val="ListParagraph"/>
        <w:numPr>
          <w:ilvl w:val="0"/>
          <w:numId w:val="50"/>
        </w:numPr>
        <w:ind w:left="1440" w:hanging="720"/>
        <w:rPr>
          <w:rFonts w:ascii="Times New Roman" w:hAnsi="Times New Roman" w:cs="Times New Roman"/>
          <w:sz w:val="24"/>
          <w:szCs w:val="24"/>
        </w:rPr>
      </w:pPr>
      <w:r w:rsidRPr="005076FB">
        <w:rPr>
          <w:rFonts w:ascii="Times New Roman" w:hAnsi="Times New Roman" w:cs="Times New Roman"/>
          <w:sz w:val="24"/>
          <w:szCs w:val="24"/>
        </w:rPr>
        <w:t>A review and identification of all charitable or political organizations that received House Bill 6 funding from any FirstEnergy Corp or FirstEnergy affiliate with tracing of the funding to its origin during the identified period of time.</w:t>
      </w:r>
    </w:p>
    <w:p w:rsidR="008C5D5B" w:rsidRPr="005076FB" w:rsidP="008C5D5B" w14:paraId="2C02628B" w14:textId="77777777">
      <w:pPr>
        <w:pStyle w:val="ListParagraph"/>
        <w:ind w:left="1440" w:hanging="720"/>
        <w:rPr>
          <w:rFonts w:ascii="Times New Roman" w:hAnsi="Times New Roman" w:cs="Times New Roman"/>
          <w:sz w:val="24"/>
          <w:szCs w:val="24"/>
        </w:rPr>
      </w:pPr>
    </w:p>
    <w:p w:rsidR="00B60179" w:rsidRPr="005076FB" w:rsidP="008C5D5B" w14:paraId="5749024A" w14:textId="3D8F6D64">
      <w:pPr>
        <w:pStyle w:val="ListParagraph"/>
        <w:numPr>
          <w:ilvl w:val="0"/>
          <w:numId w:val="50"/>
        </w:numPr>
        <w:ind w:left="1440" w:hanging="720"/>
        <w:rPr>
          <w:rFonts w:ascii="Times New Roman" w:hAnsi="Times New Roman" w:cs="Times New Roman"/>
          <w:sz w:val="24"/>
          <w:szCs w:val="24"/>
        </w:rPr>
      </w:pPr>
      <w:r w:rsidRPr="005076FB">
        <w:rPr>
          <w:rFonts w:ascii="Times New Roman" w:hAnsi="Times New Roman" w:cs="Times New Roman"/>
          <w:sz w:val="24"/>
          <w:szCs w:val="24"/>
        </w:rPr>
        <w:t>A review of all governmental affairs transactions between FirstEnergy Corp. and any FirstEnergy affiliate and any Ohio elected officials or Ohio campaigns during the identified period of time.</w:t>
      </w:r>
    </w:p>
    <w:p w:rsidR="00745F56" w:rsidRPr="005076FB" w:rsidP="00D213F1" w14:paraId="426461D5" w14:textId="77777777">
      <w:pPr>
        <w:pStyle w:val="ListParagraph"/>
        <w:widowControl w:val="0"/>
        <w:spacing w:after="0"/>
        <w:ind w:left="1440"/>
        <w:rPr>
          <w:rFonts w:ascii="Times New Roman" w:hAnsi="Times New Roman" w:cs="Times New Roman"/>
          <w:sz w:val="24"/>
          <w:szCs w:val="24"/>
        </w:rPr>
      </w:pPr>
    </w:p>
    <w:p w:rsidR="00B60179" w:rsidRPr="005076FB" w:rsidP="00D213F1" w14:paraId="506465FB" w14:textId="34B7683C">
      <w:pPr>
        <w:widowControl w:val="0"/>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Only under a targeted scope for the audit, as discussed here, where the money trail is followed from the collection from customers to the expenditure for utility service or </w:t>
      </w:r>
      <w:r w:rsidRPr="005076FB" w:rsidR="0089538F">
        <w:rPr>
          <w:rFonts w:ascii="Times New Roman" w:hAnsi="Times New Roman" w:cs="Times New Roman"/>
          <w:sz w:val="24"/>
          <w:szCs w:val="24"/>
        </w:rPr>
        <w:t>any</w:t>
      </w:r>
      <w:r w:rsidRPr="005076FB">
        <w:rPr>
          <w:rFonts w:ascii="Times New Roman" w:hAnsi="Times New Roman" w:cs="Times New Roman"/>
          <w:sz w:val="24"/>
          <w:szCs w:val="24"/>
        </w:rPr>
        <w:t xml:space="preserve"> House Bill 6 activities (as determined by the audit), will FirstEnergy customers get the answers they deserve.  </w:t>
      </w:r>
      <w:r w:rsidRPr="005076FB">
        <w:rPr>
          <w:rFonts w:ascii="Times New Roman" w:hAnsi="Times New Roman" w:cs="Times New Roman"/>
          <w:i/>
          <w:iCs/>
          <w:sz w:val="24"/>
          <w:szCs w:val="24"/>
        </w:rPr>
        <w:t>Otherwise, the PUCO may have merely gone through the motions without ever getting close to the truth.</w:t>
      </w:r>
      <w:r w:rsidRPr="005076FB">
        <w:rPr>
          <w:rFonts w:ascii="Times New Roman" w:hAnsi="Times New Roman" w:cs="Times New Roman"/>
          <w:sz w:val="24"/>
          <w:szCs w:val="24"/>
        </w:rPr>
        <w:t xml:space="preserve">  The PUCO should grant rehearing and modify the scope of the audit accordingly. </w:t>
      </w:r>
    </w:p>
    <w:p w:rsidR="00F44591" w:rsidRPr="005076FB" w:rsidP="008C5D5B" w14:paraId="411E2064" w14:textId="77777777">
      <w:pPr>
        <w:pStyle w:val="Heading1"/>
        <w:rPr>
          <w:rFonts w:ascii="Times New Roman" w:hAnsi="Times New Roman"/>
        </w:rPr>
        <w:sectPr w:rsidSect="00310AE7">
          <w:pgSz w:w="12240" w:h="15840"/>
          <w:pgMar w:top="1440" w:right="1800" w:bottom="1440" w:left="1800" w:header="720" w:footer="720" w:gutter="0"/>
          <w:cols w:space="720"/>
          <w:docGrid w:linePitch="360"/>
        </w:sectPr>
      </w:pPr>
      <w:bookmarkStart w:id="17" w:name="_Toc534639773"/>
      <w:bookmarkStart w:id="18" w:name="_Toc53576259"/>
      <w:bookmarkStart w:id="19" w:name="_Toc56780183"/>
      <w:bookmarkEnd w:id="9"/>
    </w:p>
    <w:p w:rsidR="00141BD6" w:rsidRPr="005076FB" w:rsidP="008C5D5B" w14:paraId="1339FCF6" w14:textId="12898774">
      <w:pPr>
        <w:pStyle w:val="Heading1"/>
        <w:rPr>
          <w:rFonts w:ascii="Times New Roman" w:hAnsi="Times New Roman"/>
        </w:rPr>
      </w:pPr>
      <w:bookmarkStart w:id="20" w:name="_Toc57991037"/>
      <w:r w:rsidRPr="005076FB">
        <w:rPr>
          <w:rFonts w:ascii="Times New Roman" w:hAnsi="Times New Roman"/>
        </w:rPr>
        <w:t>III.</w:t>
      </w:r>
      <w:r w:rsidRPr="005076FB">
        <w:rPr>
          <w:rFonts w:ascii="Times New Roman" w:hAnsi="Times New Roman"/>
        </w:rPr>
        <w:tab/>
      </w:r>
      <w:r w:rsidRPr="005076FB" w:rsidR="001D2205">
        <w:rPr>
          <w:rFonts w:ascii="Times New Roman" w:hAnsi="Times New Roman"/>
        </w:rPr>
        <w:t>CONCLUSION</w:t>
      </w:r>
      <w:bookmarkEnd w:id="17"/>
      <w:bookmarkEnd w:id="18"/>
      <w:bookmarkEnd w:id="19"/>
      <w:bookmarkEnd w:id="20"/>
      <w:r w:rsidRPr="005076FB" w:rsidR="007327BD">
        <w:rPr>
          <w:rFonts w:ascii="Times New Roman" w:hAnsi="Times New Roman"/>
        </w:rPr>
        <w:t xml:space="preserve"> </w:t>
      </w:r>
    </w:p>
    <w:p w:rsidR="00B21B3E" w:rsidRPr="005076FB" w:rsidP="00C93F0A" w14:paraId="2ED75C36" w14:textId="51482ED4">
      <w:pPr>
        <w:spacing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The PUCO’s approach to auditing is self-limiting and, by its own terms, will not produce an answer for consumers to the questions that should be asked and answered about FirstEnergy’s sources and uses of money related to the House Bill 6 scandal and relevant issues beyond those matters. </w:t>
      </w:r>
      <w:r w:rsidRPr="005076FB" w:rsidR="008F5724">
        <w:rPr>
          <w:rFonts w:ascii="Times New Roman" w:hAnsi="Times New Roman" w:cs="Times New Roman"/>
          <w:sz w:val="24"/>
          <w:szCs w:val="24"/>
        </w:rPr>
        <w:t>The PUCO should respectfully grant this Application for Rehearing for consumer protection amidst the deepening scandal of House Bill 6.</w:t>
      </w:r>
    </w:p>
    <w:p w:rsidR="002552CD" w:rsidRPr="005076FB" w:rsidP="00A77C16" w14:paraId="7A458455" w14:textId="77777777">
      <w:pPr>
        <w:spacing w:after="0"/>
        <w:ind w:left="4320"/>
        <w:rPr>
          <w:rFonts w:ascii="Times New Roman" w:hAnsi="Times New Roman" w:cs="Times New Roman"/>
          <w:sz w:val="24"/>
          <w:szCs w:val="24"/>
        </w:rPr>
      </w:pPr>
    </w:p>
    <w:p w:rsidR="006F55B1" w:rsidRPr="005076FB" w:rsidP="006F55B1" w14:paraId="1CFCBEF1" w14:textId="77777777">
      <w:pPr>
        <w:pStyle w:val="Footer"/>
        <w:tabs>
          <w:tab w:val="left" w:pos="4320"/>
        </w:tabs>
        <w:ind w:firstLine="4320"/>
        <w:rPr>
          <w:rFonts w:ascii="Times New Roman" w:hAnsi="Times New Roman" w:cs="Times New Roman"/>
          <w:sz w:val="24"/>
          <w:szCs w:val="24"/>
        </w:rPr>
      </w:pPr>
      <w:r w:rsidRPr="005076FB">
        <w:rPr>
          <w:rFonts w:ascii="Times New Roman" w:hAnsi="Times New Roman" w:cs="Times New Roman"/>
          <w:sz w:val="24"/>
          <w:szCs w:val="24"/>
        </w:rPr>
        <w:t>Respectfully submitted,</w:t>
      </w:r>
    </w:p>
    <w:p w:rsidR="00C93F0A" w:rsidRPr="005076FB" w:rsidP="006F55B1" w14:paraId="12AE9954" w14:textId="77777777">
      <w:pPr>
        <w:pStyle w:val="Footer"/>
        <w:tabs>
          <w:tab w:val="left" w:pos="4320"/>
        </w:tabs>
        <w:rPr>
          <w:rFonts w:ascii="Times New Roman" w:hAnsi="Times New Roman" w:cs="Times New Roman"/>
          <w:sz w:val="24"/>
          <w:szCs w:val="24"/>
        </w:rPr>
      </w:pPr>
      <w:r w:rsidRPr="005076FB">
        <w:rPr>
          <w:rFonts w:ascii="Times New Roman" w:hAnsi="Times New Roman" w:cs="Times New Roman"/>
          <w:sz w:val="24"/>
          <w:szCs w:val="24"/>
        </w:rPr>
        <w:tab/>
      </w:r>
    </w:p>
    <w:p w:rsidR="006F55B1" w:rsidRPr="005076FB" w:rsidP="006F55B1" w14:paraId="2735EF3B" w14:textId="4F3CF4F2">
      <w:pPr>
        <w:pStyle w:val="Footer"/>
        <w:tabs>
          <w:tab w:val="left" w:pos="4320"/>
        </w:tabs>
        <w:rPr>
          <w:rFonts w:ascii="Times New Roman" w:hAnsi="Times New Roman" w:cs="Times New Roman"/>
          <w:sz w:val="24"/>
          <w:szCs w:val="24"/>
        </w:rPr>
      </w:pPr>
      <w:r w:rsidRPr="005076FB">
        <w:rPr>
          <w:rFonts w:ascii="Times New Roman" w:hAnsi="Times New Roman" w:cs="Times New Roman"/>
          <w:sz w:val="24"/>
          <w:szCs w:val="24"/>
        </w:rPr>
        <w:tab/>
        <w:t>Bruce Weston (#0016973)</w:t>
      </w:r>
    </w:p>
    <w:p w:rsidR="006F55B1" w:rsidRPr="005076FB" w:rsidP="006F55B1" w14:paraId="5B276F71"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t>Ohio Consumers’ Counsel</w:t>
      </w:r>
    </w:p>
    <w:p w:rsidR="006F55B1" w:rsidRPr="005076FB" w:rsidP="006F55B1" w14:paraId="12EB270F"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r>
    </w:p>
    <w:p w:rsidR="006F55B1" w:rsidRPr="005076FB" w:rsidP="006F55B1" w14:paraId="6246183B" w14:textId="77777777">
      <w:pPr>
        <w:tabs>
          <w:tab w:val="left" w:pos="4320"/>
        </w:tabs>
        <w:spacing w:after="0"/>
        <w:rPr>
          <w:rFonts w:ascii="Times New Roman" w:hAnsi="Times New Roman" w:cs="Times New Roman"/>
          <w:i/>
          <w:iCs/>
          <w:sz w:val="24"/>
          <w:szCs w:val="24"/>
          <w:u w:val="single"/>
        </w:rPr>
      </w:pPr>
      <w:r w:rsidRPr="005076FB">
        <w:rPr>
          <w:rFonts w:ascii="Times New Roman" w:hAnsi="Times New Roman" w:cs="Times New Roman"/>
          <w:sz w:val="24"/>
          <w:szCs w:val="24"/>
        </w:rPr>
        <w:tab/>
      </w:r>
      <w:r w:rsidRPr="005076FB">
        <w:rPr>
          <w:rFonts w:ascii="Times New Roman" w:hAnsi="Times New Roman" w:cs="Times New Roman"/>
          <w:i/>
          <w:iCs/>
          <w:sz w:val="24"/>
          <w:szCs w:val="24"/>
          <w:u w:val="single"/>
        </w:rPr>
        <w:t>/s/ Maureen R. Willis</w:t>
      </w:r>
    </w:p>
    <w:p w:rsidR="006F55B1" w:rsidRPr="005076FB" w:rsidP="006F55B1" w14:paraId="361C6899"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t>Maureen R. Willis, Senior Counsel</w:t>
      </w:r>
    </w:p>
    <w:p w:rsidR="006F55B1" w:rsidRPr="005076FB" w:rsidP="006F55B1" w14:paraId="7AE59543"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t>Counsel of Record  (#0020847)</w:t>
      </w:r>
    </w:p>
    <w:p w:rsidR="006F55B1" w:rsidRPr="005076FB" w:rsidP="006F55B1" w14:paraId="549C29D1"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t>William J. Michael (#0070921)</w:t>
      </w:r>
    </w:p>
    <w:p w:rsidR="006F55B1" w:rsidRPr="005076FB" w:rsidP="006F55B1" w14:paraId="05FD2825"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t>Angela D. O’Brien (#0097579)</w:t>
      </w:r>
    </w:p>
    <w:p w:rsidR="006F55B1" w:rsidRPr="005076FB" w:rsidP="006F55B1" w14:paraId="5BF9D886" w14:textId="77777777">
      <w:pPr>
        <w:tabs>
          <w:tab w:val="left" w:pos="4320"/>
        </w:tabs>
        <w:spacing w:after="0"/>
        <w:rPr>
          <w:rFonts w:ascii="Times New Roman" w:hAnsi="Times New Roman" w:cs="Times New Roman"/>
          <w:sz w:val="24"/>
          <w:szCs w:val="24"/>
        </w:rPr>
      </w:pPr>
      <w:r w:rsidRPr="005076FB">
        <w:rPr>
          <w:rFonts w:ascii="Times New Roman" w:hAnsi="Times New Roman" w:cs="Times New Roman"/>
          <w:sz w:val="24"/>
          <w:szCs w:val="24"/>
        </w:rPr>
        <w:tab/>
        <w:t>Assistant Consumers’ Counsel</w:t>
      </w:r>
    </w:p>
    <w:p w:rsidR="006F55B1" w:rsidRPr="005076FB" w:rsidP="006F55B1" w14:paraId="1AF478A7" w14:textId="77777777">
      <w:pPr>
        <w:spacing w:after="0"/>
        <w:rPr>
          <w:rFonts w:ascii="Times New Roman" w:hAnsi="Times New Roman" w:cs="Times New Roman"/>
          <w:sz w:val="24"/>
          <w:szCs w:val="24"/>
        </w:rPr>
      </w:pPr>
      <w:r w:rsidRPr="005076FB">
        <w:rPr>
          <w:rFonts w:ascii="Times New Roman" w:hAnsi="Times New Roman" w:cs="Times New Roman"/>
          <w:sz w:val="24"/>
          <w:szCs w:val="24"/>
        </w:rPr>
        <w:tab/>
      </w:r>
    </w:p>
    <w:p w:rsidR="006F55B1" w:rsidRPr="005076FB" w:rsidP="006F55B1" w14:paraId="2FC56EB1" w14:textId="77777777">
      <w:pPr>
        <w:spacing w:after="0"/>
        <w:ind w:left="4320"/>
        <w:rPr>
          <w:rFonts w:ascii="Times New Roman" w:hAnsi="Times New Roman" w:cs="Times New Roman"/>
          <w:b/>
          <w:bCs/>
          <w:sz w:val="24"/>
          <w:szCs w:val="24"/>
        </w:rPr>
      </w:pPr>
      <w:r w:rsidRPr="005076FB">
        <w:rPr>
          <w:rFonts w:ascii="Times New Roman" w:hAnsi="Times New Roman" w:cs="Times New Roman"/>
          <w:b/>
          <w:bCs/>
          <w:sz w:val="24"/>
          <w:szCs w:val="24"/>
        </w:rPr>
        <w:t>Office of the Ohio Consumers’ Counsel</w:t>
      </w:r>
    </w:p>
    <w:p w:rsidR="006F55B1" w:rsidRPr="005076FB" w:rsidP="006F55B1" w14:paraId="443455D7" w14:textId="77777777">
      <w:pPr>
        <w:spacing w:after="0"/>
        <w:ind w:left="4320"/>
        <w:rPr>
          <w:rFonts w:ascii="Times New Roman" w:hAnsi="Times New Roman" w:cs="Times New Roman"/>
          <w:bCs/>
          <w:sz w:val="24"/>
          <w:szCs w:val="24"/>
        </w:rPr>
      </w:pPr>
      <w:r w:rsidRPr="005076FB">
        <w:rPr>
          <w:rFonts w:ascii="Times New Roman" w:hAnsi="Times New Roman" w:cs="Times New Roman"/>
          <w:bCs/>
          <w:sz w:val="24"/>
          <w:szCs w:val="24"/>
        </w:rPr>
        <w:t>65 East State Street, 7</w:t>
      </w:r>
      <w:r w:rsidRPr="005076FB">
        <w:rPr>
          <w:rFonts w:ascii="Times New Roman" w:hAnsi="Times New Roman" w:cs="Times New Roman"/>
          <w:bCs/>
          <w:sz w:val="24"/>
          <w:szCs w:val="24"/>
          <w:vertAlign w:val="superscript"/>
        </w:rPr>
        <w:t>th</w:t>
      </w:r>
      <w:r w:rsidRPr="005076FB">
        <w:rPr>
          <w:rFonts w:ascii="Times New Roman" w:hAnsi="Times New Roman" w:cs="Times New Roman"/>
          <w:bCs/>
          <w:sz w:val="24"/>
          <w:szCs w:val="24"/>
        </w:rPr>
        <w:t xml:space="preserve"> Floor</w:t>
      </w:r>
    </w:p>
    <w:p w:rsidR="006F55B1" w:rsidRPr="005076FB" w:rsidP="006F55B1" w14:paraId="26CDF545" w14:textId="77777777">
      <w:pPr>
        <w:spacing w:after="0"/>
        <w:rPr>
          <w:rFonts w:ascii="Times New Roman" w:hAnsi="Times New Roman" w:cs="Times New Roman"/>
          <w:bCs/>
          <w:sz w:val="24"/>
          <w:szCs w:val="24"/>
        </w:rPr>
      </w:pP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bCs/>
          <w:sz w:val="24"/>
          <w:szCs w:val="24"/>
        </w:rPr>
        <w:t>Columbus, Ohio 43215</w:t>
      </w:r>
    </w:p>
    <w:p w:rsidR="006F55B1" w:rsidRPr="005076FB" w:rsidP="006F55B1" w14:paraId="46471B94" w14:textId="77777777">
      <w:pPr>
        <w:autoSpaceDE w:val="0"/>
        <w:autoSpaceDN w:val="0"/>
        <w:adjustRightInd w:val="0"/>
        <w:spacing w:after="0"/>
        <w:ind w:left="3600" w:firstLine="720"/>
        <w:rPr>
          <w:rFonts w:ascii="Times New Roman" w:hAnsi="Times New Roman" w:cs="Times New Roman"/>
          <w:sz w:val="24"/>
          <w:szCs w:val="24"/>
        </w:rPr>
      </w:pPr>
      <w:r w:rsidRPr="005076FB">
        <w:rPr>
          <w:rFonts w:ascii="Times New Roman" w:hAnsi="Times New Roman" w:cs="Times New Roman"/>
          <w:sz w:val="24"/>
          <w:szCs w:val="24"/>
        </w:rPr>
        <w:t xml:space="preserve">Telephone: (614) 466-9567 (Willis) </w:t>
      </w:r>
    </w:p>
    <w:p w:rsidR="006F55B1" w:rsidRPr="005076FB" w:rsidP="006F55B1" w14:paraId="30F9C97E" w14:textId="77777777">
      <w:pPr>
        <w:autoSpaceDE w:val="0"/>
        <w:autoSpaceDN w:val="0"/>
        <w:adjustRightInd w:val="0"/>
        <w:spacing w:after="0"/>
        <w:ind w:left="3600" w:firstLine="720"/>
        <w:rPr>
          <w:rFonts w:ascii="Times New Roman" w:hAnsi="Times New Roman" w:cs="Times New Roman"/>
          <w:sz w:val="24"/>
          <w:szCs w:val="24"/>
        </w:rPr>
      </w:pPr>
      <w:r w:rsidRPr="005076FB">
        <w:rPr>
          <w:rFonts w:ascii="Times New Roman" w:hAnsi="Times New Roman" w:cs="Times New Roman"/>
          <w:sz w:val="24"/>
          <w:szCs w:val="24"/>
        </w:rPr>
        <w:t xml:space="preserve">Telephone: (614) 466-9531 (O’Brien) </w:t>
      </w:r>
    </w:p>
    <w:p w:rsidR="006F55B1" w:rsidRPr="005076FB" w:rsidP="006F55B1" w14:paraId="79B3C09C" w14:textId="77777777">
      <w:pPr>
        <w:autoSpaceDE w:val="0"/>
        <w:autoSpaceDN w:val="0"/>
        <w:adjustRightInd w:val="0"/>
        <w:spacing w:after="0"/>
        <w:ind w:left="3600" w:firstLine="720"/>
        <w:rPr>
          <w:rFonts w:ascii="Times New Roman" w:hAnsi="Times New Roman" w:cs="Times New Roman"/>
          <w:sz w:val="24"/>
          <w:szCs w:val="24"/>
        </w:rPr>
      </w:pPr>
      <w:r w:rsidRPr="005076FB">
        <w:rPr>
          <w:rFonts w:ascii="Times New Roman" w:hAnsi="Times New Roman" w:cs="Times New Roman"/>
          <w:sz w:val="24"/>
          <w:szCs w:val="24"/>
        </w:rPr>
        <w:t>Telephone: (614) 466-1291 (Michael)</w:t>
      </w:r>
    </w:p>
    <w:p w:rsidR="006F55B1" w:rsidRPr="005076FB" w:rsidP="006F55B1" w14:paraId="7FF118B4" w14:textId="77777777">
      <w:pPr>
        <w:autoSpaceDE w:val="0"/>
        <w:autoSpaceDN w:val="0"/>
        <w:adjustRightInd w:val="0"/>
        <w:spacing w:after="0"/>
        <w:ind w:left="3600" w:firstLine="720"/>
        <w:rPr>
          <w:rFonts w:ascii="Times New Roman" w:hAnsi="Times New Roman" w:cs="Times New Roman"/>
          <w:sz w:val="24"/>
          <w:szCs w:val="24"/>
        </w:rPr>
      </w:pPr>
      <w:hyperlink r:id="rId6" w:history="1">
        <w:r w:rsidRPr="005076FB" w:rsidR="00E52500">
          <w:rPr>
            <w:rStyle w:val="Hyperlink"/>
            <w:rFonts w:ascii="Times New Roman" w:hAnsi="Times New Roman" w:cs="Times New Roman"/>
            <w:sz w:val="24"/>
            <w:szCs w:val="24"/>
          </w:rPr>
          <w:t>Maureen.willis@occ.ohio.gov</w:t>
        </w:r>
      </w:hyperlink>
    </w:p>
    <w:p w:rsidR="006F55B1" w:rsidRPr="005076FB" w:rsidP="006F55B1" w14:paraId="5F4DB14B" w14:textId="77777777">
      <w:pPr>
        <w:autoSpaceDE w:val="0"/>
        <w:autoSpaceDN w:val="0"/>
        <w:adjustRightInd w:val="0"/>
        <w:spacing w:after="0"/>
        <w:ind w:left="3600" w:firstLine="720"/>
        <w:rPr>
          <w:rFonts w:ascii="Times New Roman" w:hAnsi="Times New Roman" w:cs="Times New Roman"/>
          <w:sz w:val="24"/>
          <w:szCs w:val="24"/>
        </w:rPr>
      </w:pPr>
      <w:hyperlink r:id="rId17" w:history="1">
        <w:r w:rsidRPr="005076FB" w:rsidR="00E52500">
          <w:rPr>
            <w:rStyle w:val="Hyperlink"/>
            <w:rFonts w:ascii="Times New Roman" w:hAnsi="Times New Roman" w:cs="Times New Roman"/>
            <w:sz w:val="24"/>
            <w:szCs w:val="24"/>
          </w:rPr>
          <w:t>William.michael@occ.ohio.gov</w:t>
        </w:r>
      </w:hyperlink>
    </w:p>
    <w:p w:rsidR="006F55B1" w:rsidRPr="005076FB" w:rsidP="006F55B1" w14:paraId="4297667C" w14:textId="77777777">
      <w:pPr>
        <w:autoSpaceDE w:val="0"/>
        <w:autoSpaceDN w:val="0"/>
        <w:adjustRightInd w:val="0"/>
        <w:spacing w:after="0"/>
        <w:ind w:left="3600" w:firstLine="720"/>
        <w:rPr>
          <w:rFonts w:ascii="Times New Roman" w:hAnsi="Times New Roman" w:cs="Times New Roman"/>
          <w:sz w:val="24"/>
          <w:szCs w:val="24"/>
        </w:rPr>
      </w:pPr>
      <w:hyperlink r:id="rId7" w:history="1">
        <w:r w:rsidRPr="005076FB" w:rsidR="00E52500">
          <w:rPr>
            <w:rStyle w:val="Hyperlink"/>
            <w:rFonts w:ascii="Times New Roman" w:hAnsi="Times New Roman" w:cs="Times New Roman"/>
            <w:sz w:val="24"/>
            <w:szCs w:val="24"/>
          </w:rPr>
          <w:t>Angela.obrien@occ.ohio.gov</w:t>
        </w:r>
      </w:hyperlink>
    </w:p>
    <w:p w:rsidR="006F55B1" w:rsidRPr="005076FB" w:rsidP="006F55B1" w14:paraId="45436D87" w14:textId="77777777">
      <w:pPr>
        <w:autoSpaceDE w:val="0"/>
        <w:autoSpaceDN w:val="0"/>
        <w:adjustRightInd w:val="0"/>
        <w:spacing w:after="0"/>
        <w:rPr>
          <w:rFonts w:ascii="Times New Roman" w:hAnsi="Times New Roman" w:cs="Times New Roman"/>
          <w:sz w:val="24"/>
          <w:szCs w:val="24"/>
        </w:rPr>
      </w:pP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t>(willing to accept service by e-mail)</w:t>
      </w:r>
    </w:p>
    <w:p w:rsidR="006F55B1" w:rsidRPr="005076FB" w:rsidP="00F314DF" w14:paraId="401C6934" w14:textId="77777777">
      <w:pPr>
        <w:spacing w:after="0"/>
        <w:ind w:left="4320"/>
        <w:rPr>
          <w:rFonts w:ascii="Times New Roman" w:hAnsi="Times New Roman" w:cs="Times New Roman"/>
          <w:sz w:val="24"/>
          <w:szCs w:val="24"/>
        </w:rPr>
      </w:pPr>
    </w:p>
    <w:p w:rsidR="00F314DF" w:rsidRPr="005076FB" w:rsidP="00F314DF" w14:paraId="1175AC2B" w14:textId="77777777">
      <w:pPr>
        <w:ind w:left="3600" w:firstLine="720"/>
        <w:rPr>
          <w:rFonts w:ascii="Times New Roman" w:hAnsi="Times New Roman" w:cs="Times New Roman"/>
          <w:b/>
          <w:bCs/>
          <w:sz w:val="24"/>
          <w:szCs w:val="24"/>
          <w:u w:val="single"/>
        </w:rPr>
      </w:pPr>
    </w:p>
    <w:p w:rsidR="00F314DF" w:rsidRPr="005076FB" w:rsidP="00D66904" w14:paraId="56599A3E" w14:textId="77777777">
      <w:pPr>
        <w:spacing w:after="0"/>
        <w:jc w:val="center"/>
        <w:rPr>
          <w:rFonts w:ascii="Times New Roman" w:eastAsia="Calibri" w:hAnsi="Times New Roman" w:cs="Times New Roman"/>
          <w:b/>
          <w:sz w:val="24"/>
          <w:szCs w:val="24"/>
          <w:u w:val="single"/>
        </w:rPr>
        <w:sectPr w:rsidSect="00310AE7">
          <w:pgSz w:w="12240" w:h="15840"/>
          <w:pgMar w:top="1440" w:right="1800" w:bottom="1440" w:left="1800" w:header="720" w:footer="720" w:gutter="0"/>
          <w:cols w:space="720"/>
          <w:docGrid w:linePitch="360"/>
        </w:sectPr>
      </w:pPr>
    </w:p>
    <w:p w:rsidR="00D66904" w:rsidRPr="005076FB" w:rsidP="00D66904" w14:paraId="1F0713ED" w14:textId="0311A0FC">
      <w:pPr>
        <w:spacing w:after="0"/>
        <w:jc w:val="center"/>
        <w:rPr>
          <w:rFonts w:ascii="Times New Roman" w:eastAsia="Calibri" w:hAnsi="Times New Roman" w:cs="Times New Roman"/>
          <w:b/>
          <w:sz w:val="24"/>
          <w:szCs w:val="24"/>
          <w:u w:val="single"/>
        </w:rPr>
      </w:pPr>
      <w:r w:rsidRPr="005076FB">
        <w:rPr>
          <w:rFonts w:ascii="Times New Roman" w:eastAsia="Calibri" w:hAnsi="Times New Roman" w:cs="Times New Roman"/>
          <w:b/>
          <w:sz w:val="24"/>
          <w:szCs w:val="24"/>
          <w:u w:val="single"/>
        </w:rPr>
        <w:t>CERTIFICATE OF SERVICE</w:t>
      </w:r>
    </w:p>
    <w:p w:rsidR="00D66904" w:rsidRPr="005076FB" w:rsidP="00D66904" w14:paraId="6D942444" w14:textId="77777777">
      <w:pPr>
        <w:spacing w:after="0"/>
        <w:jc w:val="center"/>
        <w:rPr>
          <w:rFonts w:ascii="Times New Roman" w:eastAsia="Calibri" w:hAnsi="Times New Roman" w:cs="Times New Roman"/>
          <w:b/>
          <w:sz w:val="24"/>
          <w:szCs w:val="24"/>
          <w:u w:val="single"/>
        </w:rPr>
      </w:pPr>
    </w:p>
    <w:p w:rsidR="00D66904" w:rsidRPr="005076FB" w:rsidP="00D66904" w14:paraId="6740353E" w14:textId="0BF7D0C4">
      <w:pPr>
        <w:spacing w:after="0" w:line="480" w:lineRule="auto"/>
        <w:ind w:firstLine="720"/>
        <w:rPr>
          <w:rFonts w:ascii="Times New Roman" w:hAnsi="Times New Roman" w:cs="Times New Roman"/>
          <w:sz w:val="24"/>
          <w:szCs w:val="24"/>
        </w:rPr>
      </w:pPr>
      <w:r w:rsidRPr="005076FB">
        <w:rPr>
          <w:rFonts w:ascii="Times New Roman" w:hAnsi="Times New Roman" w:cs="Times New Roman"/>
          <w:sz w:val="24"/>
          <w:szCs w:val="24"/>
        </w:rPr>
        <w:t xml:space="preserve">I hereby certify that a copy of this Application for Rehearing has been served via electronic transmission upon the following parties of record this </w:t>
      </w:r>
      <w:r w:rsidRPr="005076FB" w:rsidR="003774BE">
        <w:rPr>
          <w:rFonts w:ascii="Times New Roman" w:hAnsi="Times New Roman" w:cs="Times New Roman"/>
          <w:sz w:val="24"/>
          <w:szCs w:val="24"/>
        </w:rPr>
        <w:t>4</w:t>
      </w:r>
      <w:r w:rsidRPr="005076FB" w:rsidR="00232439">
        <w:rPr>
          <w:rFonts w:ascii="Times New Roman" w:hAnsi="Times New Roman" w:cs="Times New Roman"/>
          <w:sz w:val="24"/>
          <w:szCs w:val="24"/>
        </w:rPr>
        <w:t>th</w:t>
      </w:r>
      <w:r w:rsidRPr="005076FB">
        <w:rPr>
          <w:rFonts w:ascii="Times New Roman" w:hAnsi="Times New Roman" w:cs="Times New Roman"/>
          <w:sz w:val="24"/>
          <w:szCs w:val="24"/>
        </w:rPr>
        <w:t xml:space="preserve"> day of </w:t>
      </w:r>
      <w:r w:rsidRPr="005076FB" w:rsidR="003774BE">
        <w:rPr>
          <w:rFonts w:ascii="Times New Roman" w:hAnsi="Times New Roman" w:cs="Times New Roman"/>
          <w:sz w:val="24"/>
          <w:szCs w:val="24"/>
        </w:rPr>
        <w:t xml:space="preserve">December </w:t>
      </w:r>
      <w:r w:rsidRPr="005076FB">
        <w:rPr>
          <w:rFonts w:ascii="Times New Roman" w:hAnsi="Times New Roman" w:cs="Times New Roman"/>
          <w:sz w:val="24"/>
          <w:szCs w:val="24"/>
        </w:rPr>
        <w:t>2020.</w:t>
      </w:r>
    </w:p>
    <w:p w:rsidR="00D66904" w:rsidRPr="005076FB" w:rsidP="00D66904" w14:paraId="25478522" w14:textId="32EFBB1E">
      <w:pPr>
        <w:spacing w:after="0"/>
        <w:rPr>
          <w:rFonts w:ascii="Times New Roman" w:hAnsi="Times New Roman" w:cs="Times New Roman"/>
          <w:i/>
          <w:iCs/>
          <w:sz w:val="24"/>
          <w:szCs w:val="24"/>
          <w:u w:val="single"/>
        </w:rPr>
      </w:pP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i/>
          <w:iCs/>
          <w:sz w:val="24"/>
          <w:szCs w:val="24"/>
          <w:u w:val="single"/>
        </w:rPr>
        <w:t xml:space="preserve">/s/ </w:t>
      </w:r>
      <w:r w:rsidRPr="005076FB" w:rsidR="006F55B1">
        <w:rPr>
          <w:rFonts w:ascii="Times New Roman" w:hAnsi="Times New Roman" w:cs="Times New Roman"/>
          <w:i/>
          <w:iCs/>
          <w:sz w:val="24"/>
          <w:szCs w:val="24"/>
          <w:u w:val="single"/>
        </w:rPr>
        <w:t>Maureen R. Willis</w:t>
      </w:r>
    </w:p>
    <w:p w:rsidR="00D66904" w:rsidRPr="005076FB" w:rsidP="0024008E" w14:paraId="43CB3B9F" w14:textId="28969981">
      <w:pPr>
        <w:spacing w:after="0"/>
        <w:rPr>
          <w:rFonts w:ascii="Times New Roman" w:hAnsi="Times New Roman" w:cs="Times New Roman"/>
          <w:sz w:val="24"/>
          <w:szCs w:val="24"/>
        </w:rPr>
      </w:pP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sidR="006F55B1">
        <w:rPr>
          <w:rFonts w:ascii="Times New Roman" w:hAnsi="Times New Roman" w:cs="Times New Roman"/>
          <w:sz w:val="24"/>
          <w:szCs w:val="24"/>
        </w:rPr>
        <w:t>Maureen R. Willis</w:t>
      </w:r>
    </w:p>
    <w:p w:rsidR="006F55B1" w:rsidRPr="005076FB" w:rsidP="0024008E" w14:paraId="348BB0F9" w14:textId="74BDF131">
      <w:pPr>
        <w:spacing w:after="0"/>
        <w:rPr>
          <w:rFonts w:ascii="Times New Roman" w:hAnsi="Times New Roman" w:cs="Times New Roman"/>
          <w:sz w:val="24"/>
          <w:szCs w:val="24"/>
        </w:rPr>
      </w:pP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t>Senior Counsel</w:t>
      </w:r>
    </w:p>
    <w:p w:rsidR="00D66904" w:rsidRPr="005076FB" w:rsidP="0024008E" w14:paraId="66BB2D88" w14:textId="77777777">
      <w:pPr>
        <w:spacing w:after="0"/>
        <w:rPr>
          <w:rFonts w:ascii="Times New Roman" w:hAnsi="Times New Roman" w:cs="Times New Roman"/>
          <w:sz w:val="24"/>
          <w:szCs w:val="24"/>
        </w:rPr>
      </w:pP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r>
      <w:r w:rsidRPr="005076FB">
        <w:rPr>
          <w:rFonts w:ascii="Times New Roman" w:hAnsi="Times New Roman" w:cs="Times New Roman"/>
          <w:sz w:val="24"/>
          <w:szCs w:val="24"/>
        </w:rPr>
        <w:tab/>
        <w:t>Assistant Consumers’ Counsel</w:t>
      </w:r>
    </w:p>
    <w:p w:rsidR="00D66904" w:rsidRPr="005076FB" w:rsidP="00D66904" w14:paraId="35CEB464" w14:textId="77777777">
      <w:pPr>
        <w:pStyle w:val="ListParagraph"/>
        <w:spacing w:after="0"/>
        <w:ind w:left="1080"/>
        <w:rPr>
          <w:rFonts w:ascii="Times New Roman" w:hAnsi="Times New Roman" w:cs="Times New Roman"/>
          <w:sz w:val="24"/>
          <w:szCs w:val="24"/>
        </w:rPr>
      </w:pPr>
    </w:p>
    <w:p w:rsidR="00D66904" w:rsidRPr="005076FB" w:rsidP="00D66904" w14:paraId="55EB2F14" w14:textId="77777777">
      <w:pPr>
        <w:pStyle w:val="CommentText"/>
        <w:spacing w:after="0"/>
        <w:rPr>
          <w:rFonts w:ascii="Times New Roman" w:hAnsi="Times New Roman" w:cs="Times New Roman"/>
          <w:sz w:val="24"/>
          <w:szCs w:val="24"/>
        </w:rPr>
      </w:pPr>
    </w:p>
    <w:p w:rsidR="00D66904" w:rsidRPr="005076FB" w:rsidP="00D66904" w14:paraId="3A79E86F" w14:textId="77777777">
      <w:pPr>
        <w:pStyle w:val="CommentText"/>
        <w:spacing w:after="0"/>
        <w:rPr>
          <w:rFonts w:ascii="Times New Roman" w:hAnsi="Times New Roman" w:cs="Times New Roman"/>
          <w:sz w:val="24"/>
          <w:szCs w:val="24"/>
        </w:rPr>
      </w:pPr>
      <w:r w:rsidRPr="005076FB">
        <w:rPr>
          <w:rFonts w:ascii="Times New Roman" w:hAnsi="Times New Roman" w:cs="Times New Roman"/>
          <w:sz w:val="24"/>
          <w:szCs w:val="24"/>
        </w:rPr>
        <w:t>The PUCO’s e-filing system will electronically serve notice of the filing of this document on the following parties:</w:t>
      </w:r>
    </w:p>
    <w:p w:rsidR="00D66904" w:rsidRPr="005076FB" w:rsidP="00D66904" w14:paraId="71D6BFD1" w14:textId="77777777">
      <w:pPr>
        <w:pStyle w:val="CommentText"/>
        <w:spacing w:after="0"/>
        <w:jc w:val="center"/>
        <w:rPr>
          <w:rFonts w:ascii="Times New Roman" w:hAnsi="Times New Roman" w:cs="Times New Roman"/>
          <w:b/>
          <w:sz w:val="24"/>
          <w:szCs w:val="24"/>
          <w:u w:val="single"/>
        </w:rPr>
      </w:pPr>
    </w:p>
    <w:p w:rsidR="00F314DF" w:rsidRPr="005076FB" w:rsidP="006F55B1" w14:paraId="1E112C65" w14:textId="486296CF">
      <w:pPr>
        <w:pStyle w:val="CommentText"/>
        <w:spacing w:after="0"/>
        <w:jc w:val="center"/>
        <w:rPr>
          <w:rFonts w:ascii="Times New Roman" w:hAnsi="Times New Roman" w:cs="Times New Roman"/>
          <w:b/>
          <w:sz w:val="24"/>
          <w:szCs w:val="24"/>
          <w:u w:val="single"/>
        </w:rPr>
      </w:pPr>
      <w:r w:rsidRPr="005076FB">
        <w:rPr>
          <w:rFonts w:ascii="Times New Roman" w:hAnsi="Times New Roman" w:cs="Times New Roman"/>
          <w:b/>
          <w:sz w:val="24"/>
          <w:szCs w:val="24"/>
          <w:u w:val="single"/>
        </w:rPr>
        <w:t>SERVICE LIST</w:t>
      </w:r>
    </w:p>
    <w:p w:rsidR="000F572B" w:rsidRPr="005076FB" w:rsidP="006F55B1" w14:paraId="09406D14" w14:textId="77777777">
      <w:pPr>
        <w:pStyle w:val="CommentText"/>
        <w:spacing w:after="0"/>
        <w:jc w:val="center"/>
        <w:rPr>
          <w:rFonts w:ascii="Times New Roman" w:hAnsi="Times New Roman" w:cs="Times New Roman"/>
          <w:b/>
          <w:sz w:val="24"/>
          <w:szCs w:val="24"/>
          <w:u w:val="single"/>
        </w:rPr>
      </w:pPr>
    </w:p>
    <w:tbl>
      <w:tblPr>
        <w:tblW w:w="0" w:type="auto"/>
        <w:tblLook w:val="04A0"/>
      </w:tblPr>
      <w:tblGrid>
        <w:gridCol w:w="4397"/>
        <w:gridCol w:w="4243"/>
      </w:tblGrid>
      <w:tr w14:paraId="3A4C911A" w14:textId="77777777" w:rsidTr="004C6B06">
        <w:tblPrEx>
          <w:tblW w:w="0" w:type="auto"/>
          <w:tblLook w:val="04A0"/>
        </w:tblPrEx>
        <w:tc>
          <w:tcPr>
            <w:tcW w:w="4428" w:type="dxa"/>
          </w:tcPr>
          <w:p w:rsidR="000F572B" w:rsidRPr="005076FB" w:rsidP="000F572B" w14:paraId="2D2354C0" w14:textId="678C26AE">
            <w:pPr>
              <w:autoSpaceDE w:val="0"/>
              <w:autoSpaceDN w:val="0"/>
              <w:adjustRightInd w:val="0"/>
              <w:spacing w:after="0"/>
              <w:rPr>
                <w:rFonts w:ascii="Times New Roman" w:eastAsia="Calibri" w:hAnsi="Times New Roman" w:cs="Times New Roman"/>
                <w:bCs/>
                <w:sz w:val="24"/>
                <w:szCs w:val="24"/>
              </w:rPr>
            </w:pPr>
            <w:hyperlink r:id="rId18" w:history="1">
              <w:r w:rsidRPr="005076FB" w:rsidR="00E52500">
                <w:rPr>
                  <w:rStyle w:val="Hyperlink"/>
                  <w:rFonts w:ascii="Times New Roman" w:eastAsia="Calibri" w:hAnsi="Times New Roman" w:cs="Times New Roman"/>
                  <w:bCs/>
                  <w:color w:val="0000FF"/>
                  <w:sz w:val="24"/>
                  <w:szCs w:val="24"/>
                </w:rPr>
                <w:t>thomas.lindgren@ohioattorneygeneral.gov</w:t>
              </w:r>
            </w:hyperlink>
          </w:p>
          <w:p w:rsidR="000F572B" w:rsidRPr="005076FB" w:rsidP="000F572B" w14:paraId="3F771A00" w14:textId="77777777">
            <w:pPr>
              <w:autoSpaceDE w:val="0"/>
              <w:autoSpaceDN w:val="0"/>
              <w:adjustRightInd w:val="0"/>
              <w:spacing w:after="0"/>
              <w:rPr>
                <w:rFonts w:ascii="Times New Roman" w:hAnsi="Times New Roman" w:cs="Times New Roman"/>
                <w:sz w:val="24"/>
                <w:szCs w:val="24"/>
              </w:rPr>
            </w:pPr>
            <w:hyperlink r:id="rId19" w:history="1">
              <w:r w:rsidRPr="005076FB" w:rsidR="00E52500">
                <w:rPr>
                  <w:rStyle w:val="Hyperlink"/>
                  <w:rFonts w:ascii="Times New Roman" w:eastAsia="Calibri" w:hAnsi="Times New Roman" w:cs="Times New Roman"/>
                  <w:color w:val="0000FF"/>
                  <w:sz w:val="24"/>
                  <w:szCs w:val="24"/>
                </w:rPr>
                <w:t>joliker@igsenergy.com</w:t>
              </w:r>
            </w:hyperlink>
          </w:p>
          <w:p w:rsidR="000F572B" w:rsidRPr="005076FB" w:rsidP="000F572B" w14:paraId="572D3A14" w14:textId="77777777">
            <w:pPr>
              <w:autoSpaceDE w:val="0"/>
              <w:autoSpaceDN w:val="0"/>
              <w:adjustRightInd w:val="0"/>
              <w:spacing w:after="0"/>
              <w:rPr>
                <w:rStyle w:val="Hyperlink"/>
                <w:rFonts w:ascii="Times New Roman" w:eastAsia="Calibri" w:hAnsi="Times New Roman" w:cs="Times New Roman"/>
                <w:color w:val="0000FF"/>
                <w:sz w:val="24"/>
                <w:szCs w:val="24"/>
              </w:rPr>
            </w:pPr>
            <w:hyperlink r:id="rId20" w:history="1">
              <w:r w:rsidRPr="005076FB" w:rsidR="00E52500">
                <w:rPr>
                  <w:rStyle w:val="Hyperlink"/>
                  <w:rFonts w:ascii="Times New Roman" w:eastAsia="Calibri" w:hAnsi="Times New Roman" w:cs="Times New Roman"/>
                  <w:color w:val="0000FF"/>
                  <w:sz w:val="24"/>
                  <w:szCs w:val="24"/>
                </w:rPr>
                <w:t>Mnugent@igsenergy.com</w:t>
              </w:r>
            </w:hyperlink>
          </w:p>
          <w:p w:rsidR="000F572B" w:rsidRPr="005076FB" w:rsidP="000F572B" w14:paraId="7D1A076D" w14:textId="77777777">
            <w:pPr>
              <w:autoSpaceDE w:val="0"/>
              <w:autoSpaceDN w:val="0"/>
              <w:adjustRightInd w:val="0"/>
              <w:spacing w:after="0"/>
              <w:rPr>
                <w:rFonts w:ascii="Times New Roman" w:hAnsi="Times New Roman" w:cs="Times New Roman"/>
                <w:sz w:val="24"/>
                <w:szCs w:val="24"/>
              </w:rPr>
            </w:pPr>
            <w:hyperlink r:id="rId21" w:history="1">
              <w:r w:rsidRPr="005076FB" w:rsidR="00E52500">
                <w:rPr>
                  <w:rStyle w:val="Hyperlink"/>
                  <w:rFonts w:ascii="Times New Roman" w:hAnsi="Times New Roman" w:cs="Times New Roman"/>
                  <w:color w:val="0000FF"/>
                  <w:sz w:val="24"/>
                  <w:szCs w:val="24"/>
                </w:rPr>
                <w:t>bethany.allen@igs.com</w:t>
              </w:r>
            </w:hyperlink>
          </w:p>
          <w:p w:rsidR="000F572B" w:rsidRPr="005076FB" w:rsidP="000F572B" w14:paraId="6A9BCB98" w14:textId="77777777">
            <w:pPr>
              <w:autoSpaceDE w:val="0"/>
              <w:autoSpaceDN w:val="0"/>
              <w:adjustRightInd w:val="0"/>
              <w:spacing w:after="0"/>
              <w:rPr>
                <w:rFonts w:ascii="Times New Roman" w:hAnsi="Times New Roman" w:cs="Times New Roman"/>
                <w:color w:val="0000FF"/>
                <w:sz w:val="24"/>
                <w:szCs w:val="24"/>
              </w:rPr>
            </w:pPr>
            <w:hyperlink r:id="rId22" w:history="1">
              <w:r w:rsidRPr="005076FB" w:rsidR="00E52500">
                <w:rPr>
                  <w:rStyle w:val="Hyperlink"/>
                  <w:rFonts w:ascii="Times New Roman" w:hAnsi="Times New Roman" w:cs="Times New Roman"/>
                  <w:color w:val="0000FF"/>
                  <w:sz w:val="24"/>
                  <w:szCs w:val="24"/>
                </w:rPr>
                <w:t>gkrassen@bricker.com</w:t>
              </w:r>
            </w:hyperlink>
          </w:p>
          <w:p w:rsidR="000F572B" w:rsidRPr="005076FB" w:rsidP="000F572B" w14:paraId="75DE6EBE" w14:textId="1B87256A">
            <w:pPr>
              <w:autoSpaceDE w:val="0"/>
              <w:autoSpaceDN w:val="0"/>
              <w:adjustRightInd w:val="0"/>
              <w:spacing w:after="0"/>
              <w:rPr>
                <w:rStyle w:val="Hyperlink"/>
                <w:rFonts w:ascii="Times New Roman" w:hAnsi="Times New Roman" w:cs="Times New Roman"/>
                <w:sz w:val="24"/>
                <w:szCs w:val="24"/>
              </w:rPr>
            </w:pPr>
            <w:hyperlink r:id="rId23" w:history="1">
              <w:r w:rsidRPr="005076FB" w:rsidR="00E52500">
                <w:rPr>
                  <w:rStyle w:val="Hyperlink"/>
                  <w:rFonts w:ascii="Times New Roman" w:hAnsi="Times New Roman" w:cs="Times New Roman"/>
                  <w:color w:val="0000FF"/>
                  <w:sz w:val="24"/>
                  <w:szCs w:val="24"/>
                </w:rPr>
                <w:t>dstinson@bricker.com</w:t>
              </w:r>
            </w:hyperlink>
          </w:p>
          <w:p w:rsidR="000F572B" w:rsidRPr="005076FB" w:rsidP="000F572B" w14:paraId="30734AFB" w14:textId="16F7AFC6">
            <w:pPr>
              <w:autoSpaceDE w:val="0"/>
              <w:autoSpaceDN w:val="0"/>
              <w:adjustRightInd w:val="0"/>
              <w:spacing w:after="0"/>
              <w:rPr>
                <w:rFonts w:ascii="Times New Roman" w:hAnsi="Times New Roman" w:cs="Times New Roman"/>
                <w:color w:val="0000FF"/>
                <w:sz w:val="24"/>
                <w:szCs w:val="24"/>
              </w:rPr>
            </w:pPr>
            <w:hyperlink r:id="rId24" w:history="1">
              <w:r w:rsidRPr="005076FB" w:rsidR="00E52500">
                <w:rPr>
                  <w:rStyle w:val="Hyperlink"/>
                  <w:rFonts w:ascii="Times New Roman" w:hAnsi="Times New Roman" w:cs="Times New Roman"/>
                  <w:sz w:val="24"/>
                  <w:szCs w:val="24"/>
                </w:rPr>
                <w:t>whitt@whitt-sturtevant.com</w:t>
              </w:r>
            </w:hyperlink>
          </w:p>
          <w:p w:rsidR="000F572B" w:rsidRPr="005076FB" w:rsidP="000F572B" w14:paraId="5210434B" w14:textId="6D64B9E0">
            <w:pPr>
              <w:autoSpaceDE w:val="0"/>
              <w:autoSpaceDN w:val="0"/>
              <w:adjustRightInd w:val="0"/>
              <w:spacing w:after="0"/>
              <w:rPr>
                <w:rStyle w:val="Hyperlink"/>
                <w:rFonts w:ascii="Times New Roman" w:hAnsi="Times New Roman" w:cs="Times New Roman"/>
                <w:sz w:val="24"/>
                <w:szCs w:val="24"/>
              </w:rPr>
            </w:pPr>
            <w:hyperlink r:id="rId25" w:history="1">
              <w:r w:rsidRPr="005076FB" w:rsidR="00E52500">
                <w:rPr>
                  <w:rStyle w:val="Hyperlink"/>
                  <w:rFonts w:ascii="Times New Roman" w:hAnsi="Times New Roman" w:cs="Times New Roman"/>
                  <w:sz w:val="24"/>
                  <w:szCs w:val="24"/>
                </w:rPr>
                <w:t>fykes@whitt-sturtevant.com</w:t>
              </w:r>
            </w:hyperlink>
          </w:p>
          <w:p w:rsidR="00F44591" w:rsidRPr="005076FB" w:rsidP="000F572B" w14:paraId="4C3BB1BF" w14:textId="300CC80A">
            <w:pPr>
              <w:autoSpaceDE w:val="0"/>
              <w:autoSpaceDN w:val="0"/>
              <w:adjustRightInd w:val="0"/>
              <w:spacing w:after="0"/>
              <w:rPr>
                <w:rStyle w:val="Hyperlink"/>
                <w:rFonts w:ascii="Times New Roman" w:hAnsi="Times New Roman" w:cs="Times New Roman"/>
                <w:sz w:val="24"/>
                <w:szCs w:val="24"/>
              </w:rPr>
            </w:pPr>
            <w:hyperlink r:id="rId26" w:history="1">
              <w:r w:rsidRPr="005076FB" w:rsidR="00E52500">
                <w:rPr>
                  <w:rStyle w:val="Hyperlink"/>
                  <w:rFonts w:ascii="Times New Roman" w:hAnsi="Times New Roman" w:cs="Times New Roman"/>
                  <w:sz w:val="24"/>
                  <w:szCs w:val="24"/>
                </w:rPr>
                <w:t>ccox@elpc.org</w:t>
              </w:r>
            </w:hyperlink>
          </w:p>
          <w:p w:rsidR="000F572B" w:rsidRPr="005076FB" w:rsidP="000F572B" w14:paraId="714B57C5" w14:textId="77777777">
            <w:pPr>
              <w:autoSpaceDE w:val="0"/>
              <w:autoSpaceDN w:val="0"/>
              <w:adjustRightInd w:val="0"/>
              <w:spacing w:after="0"/>
              <w:rPr>
                <w:rFonts w:ascii="Times New Roman" w:hAnsi="Times New Roman" w:cs="Times New Roman"/>
                <w:sz w:val="24"/>
                <w:szCs w:val="24"/>
              </w:rPr>
            </w:pPr>
          </w:p>
          <w:p w:rsidR="000F572B" w:rsidRPr="005076FB" w:rsidP="000F572B" w14:paraId="72731E5E" w14:textId="77777777">
            <w:pPr>
              <w:autoSpaceDE w:val="0"/>
              <w:autoSpaceDN w:val="0"/>
              <w:adjustRightInd w:val="0"/>
              <w:spacing w:after="0"/>
              <w:rPr>
                <w:rFonts w:ascii="Times New Roman" w:hAnsi="Times New Roman" w:cs="Times New Roman"/>
                <w:sz w:val="24"/>
                <w:szCs w:val="24"/>
              </w:rPr>
            </w:pPr>
            <w:r w:rsidRPr="005076FB">
              <w:rPr>
                <w:rFonts w:ascii="Times New Roman" w:eastAsia="Calibri" w:hAnsi="Times New Roman" w:cs="Times New Roman"/>
                <w:sz w:val="24"/>
                <w:szCs w:val="24"/>
              </w:rPr>
              <w:t>Attorney Examiners:</w:t>
            </w:r>
          </w:p>
          <w:p w:rsidR="000F572B" w:rsidRPr="005076FB" w:rsidP="000F572B" w14:paraId="4560FB74" w14:textId="77777777">
            <w:pPr>
              <w:autoSpaceDE w:val="0"/>
              <w:autoSpaceDN w:val="0"/>
              <w:adjustRightInd w:val="0"/>
              <w:spacing w:after="0"/>
              <w:rPr>
                <w:rFonts w:ascii="Times New Roman" w:hAnsi="Times New Roman" w:cs="Times New Roman"/>
                <w:sz w:val="24"/>
                <w:szCs w:val="24"/>
              </w:rPr>
            </w:pPr>
          </w:p>
          <w:p w:rsidR="000F572B" w:rsidRPr="005076FB" w:rsidP="000F572B" w14:paraId="349B5BFF" w14:textId="77777777">
            <w:pPr>
              <w:autoSpaceDE w:val="0"/>
              <w:autoSpaceDN w:val="0"/>
              <w:adjustRightInd w:val="0"/>
              <w:spacing w:after="0"/>
              <w:rPr>
                <w:rFonts w:ascii="Times New Roman" w:hAnsi="Times New Roman" w:cs="Times New Roman"/>
                <w:sz w:val="24"/>
                <w:szCs w:val="24"/>
              </w:rPr>
            </w:pPr>
            <w:hyperlink r:id="rId27" w:history="1">
              <w:r w:rsidRPr="005076FB" w:rsidR="00E52500">
                <w:rPr>
                  <w:rStyle w:val="Hyperlink"/>
                  <w:rFonts w:ascii="Times New Roman" w:eastAsia="Calibri" w:hAnsi="Times New Roman" w:cs="Times New Roman"/>
                  <w:color w:val="0000FF"/>
                  <w:sz w:val="24"/>
                  <w:szCs w:val="24"/>
                </w:rPr>
                <w:t>Megan.addison@puc.state.oh.us</w:t>
              </w:r>
            </w:hyperlink>
          </w:p>
          <w:p w:rsidR="000F572B" w:rsidRPr="005076FB" w:rsidP="000F572B" w14:paraId="47250AB8" w14:textId="77777777">
            <w:pPr>
              <w:autoSpaceDE w:val="0"/>
              <w:autoSpaceDN w:val="0"/>
              <w:adjustRightInd w:val="0"/>
              <w:spacing w:after="0"/>
              <w:rPr>
                <w:rStyle w:val="Hyperlink"/>
                <w:rFonts w:ascii="Times New Roman" w:eastAsia="Calibri" w:hAnsi="Times New Roman" w:cs="Times New Roman"/>
                <w:color w:val="0000FF"/>
                <w:sz w:val="24"/>
                <w:szCs w:val="24"/>
              </w:rPr>
            </w:pPr>
            <w:hyperlink r:id="rId28" w:history="1">
              <w:r w:rsidRPr="005076FB" w:rsidR="00E52500">
                <w:rPr>
                  <w:rStyle w:val="Hyperlink"/>
                  <w:rFonts w:ascii="Times New Roman" w:eastAsia="Calibri" w:hAnsi="Times New Roman" w:cs="Times New Roman"/>
                  <w:color w:val="0000FF"/>
                  <w:sz w:val="24"/>
                  <w:szCs w:val="24"/>
                </w:rPr>
                <w:t>Gregory.price@puc.state.oh.us</w:t>
              </w:r>
            </w:hyperlink>
          </w:p>
          <w:p w:rsidR="000F572B" w:rsidRPr="005076FB" w:rsidP="000F572B" w14:paraId="731920D0" w14:textId="77777777">
            <w:pPr>
              <w:autoSpaceDE w:val="0"/>
              <w:autoSpaceDN w:val="0"/>
              <w:adjustRightInd w:val="0"/>
              <w:spacing w:after="0"/>
              <w:rPr>
                <w:rFonts w:ascii="Times New Roman" w:hAnsi="Times New Roman" w:cs="Times New Roman"/>
                <w:bCs/>
                <w:sz w:val="24"/>
                <w:szCs w:val="24"/>
              </w:rPr>
            </w:pPr>
          </w:p>
        </w:tc>
        <w:tc>
          <w:tcPr>
            <w:tcW w:w="4428" w:type="dxa"/>
          </w:tcPr>
          <w:p w:rsidR="000F572B" w:rsidRPr="005076FB" w:rsidP="000F572B" w14:paraId="36E39662" w14:textId="68FD50EF">
            <w:pPr>
              <w:spacing w:after="0"/>
              <w:ind w:left="804"/>
              <w:rPr>
                <w:rFonts w:ascii="Times New Roman" w:eastAsia="Calibri" w:hAnsi="Times New Roman" w:cs="Times New Roman"/>
                <w:bCs/>
                <w:sz w:val="24"/>
                <w:szCs w:val="24"/>
              </w:rPr>
            </w:pPr>
            <w:hyperlink r:id="rId29" w:history="1">
              <w:r w:rsidRPr="005076FB" w:rsidR="00E52500">
                <w:rPr>
                  <w:rStyle w:val="Hyperlink"/>
                  <w:rFonts w:ascii="Times New Roman" w:eastAsia="Calibri" w:hAnsi="Times New Roman" w:cs="Times New Roman"/>
                  <w:bCs/>
                  <w:sz w:val="24"/>
                  <w:szCs w:val="24"/>
                </w:rPr>
                <w:t>bknipe@firstenergycorp.com</w:t>
              </w:r>
            </w:hyperlink>
          </w:p>
          <w:p w:rsidR="00F44591" w:rsidRPr="005076FB" w:rsidP="00F44591" w14:paraId="6B1C5736" w14:textId="2B49D2F6">
            <w:pPr>
              <w:autoSpaceDE w:val="0"/>
              <w:autoSpaceDN w:val="0"/>
              <w:adjustRightInd w:val="0"/>
              <w:spacing w:after="0"/>
              <w:ind w:left="810"/>
              <w:rPr>
                <w:rFonts w:ascii="Times New Roman" w:hAnsi="Times New Roman" w:cs="Times New Roman"/>
                <w:sz w:val="24"/>
                <w:szCs w:val="24"/>
              </w:rPr>
            </w:pPr>
            <w:hyperlink r:id="rId30" w:history="1">
              <w:r w:rsidRPr="005076FB" w:rsidR="00E52500">
                <w:rPr>
                  <w:rStyle w:val="Hyperlink"/>
                  <w:rFonts w:ascii="Times New Roman" w:hAnsi="Times New Roman" w:cs="Times New Roman"/>
                  <w:sz w:val="24"/>
                  <w:szCs w:val="24"/>
                </w:rPr>
                <w:t>mrgladman@jonesday.com</w:t>
              </w:r>
            </w:hyperlink>
          </w:p>
          <w:p w:rsidR="00F44591" w:rsidRPr="005076FB" w:rsidP="00F44591" w14:paraId="394A9599" w14:textId="17EAE92C">
            <w:pPr>
              <w:autoSpaceDE w:val="0"/>
              <w:autoSpaceDN w:val="0"/>
              <w:adjustRightInd w:val="0"/>
              <w:spacing w:after="0"/>
              <w:ind w:left="810"/>
              <w:rPr>
                <w:rFonts w:ascii="Times New Roman" w:hAnsi="Times New Roman" w:cs="Times New Roman"/>
                <w:sz w:val="24"/>
                <w:szCs w:val="24"/>
              </w:rPr>
            </w:pPr>
            <w:hyperlink r:id="rId31" w:history="1">
              <w:r w:rsidRPr="005076FB" w:rsidR="00E52500">
                <w:rPr>
                  <w:rStyle w:val="Hyperlink"/>
                  <w:rFonts w:ascii="Times New Roman" w:hAnsi="Times New Roman" w:cs="Times New Roman"/>
                  <w:sz w:val="24"/>
                  <w:szCs w:val="24"/>
                </w:rPr>
                <w:t>mdengler@jonesday.com</w:t>
              </w:r>
            </w:hyperlink>
          </w:p>
          <w:p w:rsidR="000F572B" w:rsidRPr="005076FB" w:rsidP="00F44591" w14:paraId="4312EEDE" w14:textId="77720CDF">
            <w:pPr>
              <w:spacing w:after="0"/>
              <w:ind w:left="804"/>
              <w:rPr>
                <w:rFonts w:ascii="Times New Roman" w:hAnsi="Times New Roman" w:cs="Times New Roman"/>
                <w:sz w:val="24"/>
                <w:szCs w:val="24"/>
              </w:rPr>
            </w:pPr>
            <w:hyperlink r:id="rId32" w:history="1">
              <w:r w:rsidRPr="005076FB" w:rsidR="00F44591">
                <w:rPr>
                  <w:rStyle w:val="Hyperlink"/>
                  <w:rFonts w:ascii="Times New Roman" w:hAnsi="Times New Roman" w:cs="Times New Roman"/>
                  <w:sz w:val="24"/>
                  <w:szCs w:val="24"/>
                </w:rPr>
                <w:t>radoringo@jonesday.com</w:t>
              </w:r>
            </w:hyperlink>
          </w:p>
          <w:p w:rsidR="000F572B" w:rsidRPr="005076FB" w:rsidP="000F572B" w14:paraId="2CF45060" w14:textId="77777777">
            <w:pPr>
              <w:autoSpaceDE w:val="0"/>
              <w:autoSpaceDN w:val="0"/>
              <w:adjustRightInd w:val="0"/>
              <w:spacing w:after="0"/>
              <w:ind w:left="804"/>
              <w:rPr>
                <w:rFonts w:ascii="Times New Roman" w:hAnsi="Times New Roman" w:cs="Times New Roman"/>
                <w:sz w:val="24"/>
                <w:szCs w:val="24"/>
              </w:rPr>
            </w:pPr>
            <w:hyperlink r:id="rId33" w:history="1">
              <w:r w:rsidRPr="005076FB" w:rsidR="00E52500">
                <w:rPr>
                  <w:rStyle w:val="Hyperlink"/>
                  <w:rFonts w:ascii="Times New Roman" w:hAnsi="Times New Roman" w:cs="Times New Roman"/>
                  <w:color w:val="0000FF"/>
                  <w:sz w:val="24"/>
                  <w:szCs w:val="24"/>
                </w:rPr>
                <w:t>mwager@taftlaw.com</w:t>
              </w:r>
            </w:hyperlink>
          </w:p>
          <w:p w:rsidR="000F572B" w:rsidRPr="005076FB" w:rsidP="000F572B" w14:paraId="33BC4CB7" w14:textId="77777777">
            <w:pPr>
              <w:autoSpaceDE w:val="0"/>
              <w:autoSpaceDN w:val="0"/>
              <w:adjustRightInd w:val="0"/>
              <w:spacing w:after="0"/>
              <w:ind w:left="804"/>
              <w:rPr>
                <w:rFonts w:ascii="Times New Roman" w:hAnsi="Times New Roman" w:cs="Times New Roman"/>
                <w:sz w:val="24"/>
                <w:szCs w:val="24"/>
              </w:rPr>
            </w:pPr>
            <w:hyperlink r:id="rId34" w:history="1">
              <w:r w:rsidRPr="005076FB" w:rsidR="00E52500">
                <w:rPr>
                  <w:rStyle w:val="Hyperlink"/>
                  <w:rFonts w:ascii="Times New Roman" w:hAnsi="Times New Roman" w:cs="Times New Roman"/>
                  <w:color w:val="0000FF"/>
                  <w:sz w:val="24"/>
                  <w:szCs w:val="24"/>
                </w:rPr>
                <w:t>iavalon@taftlaw.com</w:t>
              </w:r>
            </w:hyperlink>
          </w:p>
          <w:p w:rsidR="000F572B" w:rsidRPr="005076FB" w:rsidP="000F572B" w14:paraId="48D8E38F" w14:textId="77777777">
            <w:pPr>
              <w:pStyle w:val="BodyText"/>
              <w:spacing w:after="0"/>
              <w:ind w:left="612"/>
              <w:jc w:val="both"/>
              <w:rPr>
                <w:rFonts w:ascii="Times New Roman" w:hAnsi="Times New Roman" w:cs="Times New Roman"/>
                <w:sz w:val="24"/>
                <w:szCs w:val="24"/>
              </w:rPr>
            </w:pPr>
          </w:p>
          <w:p w:rsidR="000F572B" w:rsidRPr="005076FB" w:rsidP="000F572B" w14:paraId="439EB32D" w14:textId="77777777">
            <w:pPr>
              <w:pStyle w:val="BodyText"/>
              <w:spacing w:after="0"/>
              <w:jc w:val="both"/>
              <w:rPr>
                <w:rFonts w:ascii="Times New Roman" w:hAnsi="Times New Roman" w:cs="Times New Roman"/>
                <w:sz w:val="24"/>
                <w:szCs w:val="24"/>
              </w:rPr>
            </w:pPr>
          </w:p>
        </w:tc>
      </w:tr>
    </w:tbl>
    <w:p w:rsidR="00D66904" w:rsidRPr="005076FB" w:rsidP="000F572B" w14:paraId="54D34B7D" w14:textId="77777777">
      <w:pPr>
        <w:pStyle w:val="CommentText"/>
        <w:spacing w:after="0"/>
        <w:jc w:val="center"/>
        <w:rPr>
          <w:rFonts w:ascii="Times New Roman" w:hAnsi="Times New Roman" w:cs="Times New Roman"/>
          <w:sz w:val="24"/>
          <w:szCs w:val="24"/>
        </w:rPr>
      </w:pPr>
    </w:p>
    <w:sectPr w:rsidSect="006B08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7379648"/>
      <w:docPartObj>
        <w:docPartGallery w:val="Page Numbers (Bottom of Page)"/>
        <w:docPartUnique/>
      </w:docPartObj>
    </w:sdtPr>
    <w:sdtEndPr>
      <w:rPr>
        <w:noProof/>
      </w:rPr>
    </w:sdtEndPr>
    <w:sdtContent>
      <w:p w:rsidR="005B6020" w14:paraId="595583CF" w14:textId="61659E3B">
        <w:pPr>
          <w:pStyle w:val="Footer"/>
          <w:jc w:val="center"/>
        </w:pPr>
      </w:p>
    </w:sdtContent>
  </w:sdt>
  <w:p w:rsidR="005B6020" w:rsidRPr="0072296F" w14:paraId="22F25D63" w14:textId="77777777">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1200272"/>
      <w:docPartObj>
        <w:docPartGallery w:val="Page Numbers (Bottom of Page)"/>
        <w:docPartUnique/>
      </w:docPartObj>
    </w:sdtPr>
    <w:sdtEndPr>
      <w:rPr>
        <w:noProof/>
      </w:rPr>
    </w:sdtEndPr>
    <w:sdtContent>
      <w:p w:rsidR="00A157DF" w14:paraId="53A0F378" w14:textId="1B389F13">
        <w:pPr>
          <w:pStyle w:val="Footer"/>
          <w:jc w:val="center"/>
        </w:pPr>
      </w:p>
    </w:sdtContent>
  </w:sdt>
  <w:p w:rsidR="005B6020" w:rsidRPr="0072296F" w14:paraId="2D885908" w14:textId="77777777">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0159547"/>
      <w:docPartObj>
        <w:docPartGallery w:val="Page Numbers (Bottom of Page)"/>
        <w:docPartUnique/>
      </w:docPartObj>
    </w:sdtPr>
    <w:sdtEndPr>
      <w:rPr>
        <w:noProof/>
      </w:rPr>
    </w:sdtEndPr>
    <w:sdtContent>
      <w:p w:rsidR="00A157DF" w14:paraId="5E7BB966" w14:textId="343D23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B6020" w:rsidRPr="0072296F" w14:paraId="32BDF2F4" w14:textId="77777777">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57596836"/>
      <w:docPartObj>
        <w:docPartGallery w:val="Page Numbers (Bottom of Page)"/>
        <w:docPartUnique/>
      </w:docPartObj>
    </w:sdtPr>
    <w:sdtEndPr>
      <w:rPr>
        <w:rFonts w:ascii="Times New Roman" w:hAnsi="Times New Roman" w:cs="Times New Roman"/>
        <w:noProof/>
        <w:sz w:val="24"/>
        <w:szCs w:val="24"/>
      </w:rPr>
    </w:sdtEndPr>
    <w:sdtContent>
      <w:p w:rsidR="005B6020" w:rsidRPr="001D57AD" w14:paraId="26BAF187" w14:textId="1A217550">
        <w:pPr>
          <w:pStyle w:val="Footer"/>
          <w:jc w:val="center"/>
          <w:rPr>
            <w:rFonts w:ascii="Times New Roman" w:hAnsi="Times New Roman" w:cs="Times New Roman"/>
            <w:sz w:val="24"/>
            <w:szCs w:val="24"/>
          </w:rPr>
        </w:pPr>
        <w:r w:rsidRPr="001D57AD">
          <w:rPr>
            <w:rFonts w:ascii="Times New Roman" w:hAnsi="Times New Roman" w:cs="Times New Roman"/>
            <w:sz w:val="24"/>
            <w:szCs w:val="24"/>
          </w:rPr>
          <w:fldChar w:fldCharType="begin"/>
        </w:r>
        <w:r w:rsidRPr="001D57AD">
          <w:rPr>
            <w:rFonts w:ascii="Times New Roman" w:hAnsi="Times New Roman" w:cs="Times New Roman"/>
            <w:sz w:val="24"/>
            <w:szCs w:val="24"/>
          </w:rPr>
          <w:instrText xml:space="preserve"> PAGE   \* MERGEFORMAT </w:instrText>
        </w:r>
        <w:r w:rsidRPr="001D57AD">
          <w:rPr>
            <w:rFonts w:ascii="Times New Roman" w:hAnsi="Times New Roman" w:cs="Times New Roman"/>
            <w:sz w:val="24"/>
            <w:szCs w:val="24"/>
          </w:rPr>
          <w:fldChar w:fldCharType="separate"/>
        </w:r>
        <w:r w:rsidRPr="001D57AD">
          <w:rPr>
            <w:rFonts w:ascii="Times New Roman" w:hAnsi="Times New Roman" w:cs="Times New Roman"/>
            <w:noProof/>
            <w:sz w:val="24"/>
            <w:szCs w:val="24"/>
          </w:rPr>
          <w:t>2</w:t>
        </w:r>
        <w:r w:rsidRPr="001D57AD">
          <w:rPr>
            <w:rFonts w:ascii="Times New Roman" w:hAnsi="Times New Roman" w:cs="Times New Roman"/>
            <w:noProof/>
            <w:sz w:val="24"/>
            <w:szCs w:val="24"/>
          </w:rPr>
          <w:fldChar w:fldCharType="end"/>
        </w:r>
      </w:p>
    </w:sdtContent>
  </w:sdt>
  <w:p w:rsidR="005B6020" w:rsidRPr="0072296F" w14:paraId="03C52DFB" w14:textId="77777777">
    <w:pPr>
      <w:pStyle w:val="Footer"/>
      <w:jc w:val="center"/>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9772017"/>
      <w:docPartObj>
        <w:docPartGallery w:val="Page Numbers (Bottom of Page)"/>
        <w:docPartUnique/>
      </w:docPartObj>
    </w:sdtPr>
    <w:sdtEndPr>
      <w:rPr>
        <w:rFonts w:ascii="Times New Roman" w:hAnsi="Times New Roman" w:cs="Times New Roman"/>
        <w:noProof/>
        <w:sz w:val="24"/>
        <w:szCs w:val="24"/>
      </w:rPr>
    </w:sdtEndPr>
    <w:sdtContent>
      <w:p w:rsidR="005B6020" w:rsidRPr="001D4AFA" w14:paraId="69AA60A0" w14:textId="503EC8BE">
        <w:pPr>
          <w:pStyle w:val="Footer"/>
          <w:jc w:val="center"/>
          <w:rPr>
            <w:rFonts w:ascii="Times New Roman" w:hAnsi="Times New Roman" w:cs="Times New Roman"/>
            <w:sz w:val="24"/>
            <w:szCs w:val="24"/>
          </w:rPr>
        </w:pPr>
        <w:r w:rsidRPr="001D4AFA">
          <w:rPr>
            <w:rFonts w:ascii="Times New Roman" w:hAnsi="Times New Roman" w:cs="Times New Roman"/>
            <w:sz w:val="24"/>
            <w:szCs w:val="24"/>
          </w:rPr>
          <w:fldChar w:fldCharType="begin"/>
        </w:r>
        <w:r w:rsidRPr="001D4AFA">
          <w:rPr>
            <w:rFonts w:ascii="Times New Roman" w:hAnsi="Times New Roman" w:cs="Times New Roman"/>
            <w:sz w:val="24"/>
            <w:szCs w:val="24"/>
          </w:rPr>
          <w:instrText xml:space="preserve"> PAGE   \* MERGEFORMAT </w:instrText>
        </w:r>
        <w:r w:rsidRPr="001D4AFA">
          <w:rPr>
            <w:rFonts w:ascii="Times New Roman" w:hAnsi="Times New Roman" w:cs="Times New Roman"/>
            <w:sz w:val="24"/>
            <w:szCs w:val="24"/>
          </w:rPr>
          <w:fldChar w:fldCharType="separate"/>
        </w:r>
        <w:r w:rsidRPr="001D4AFA">
          <w:rPr>
            <w:rFonts w:ascii="Times New Roman" w:hAnsi="Times New Roman" w:cs="Times New Roman"/>
            <w:noProof/>
            <w:sz w:val="24"/>
            <w:szCs w:val="24"/>
          </w:rPr>
          <w:t>2</w:t>
        </w:r>
        <w:r w:rsidRPr="001D4AFA">
          <w:rPr>
            <w:rFonts w:ascii="Times New Roman" w:hAnsi="Times New Roman" w:cs="Times New Roman"/>
            <w:noProof/>
            <w:sz w:val="24"/>
            <w:szCs w:val="24"/>
          </w:rPr>
          <w:fldChar w:fldCharType="end"/>
        </w:r>
      </w:p>
    </w:sdtContent>
  </w:sdt>
  <w:p w:rsidR="005B6020" w:rsidRPr="0072296F" w14:paraId="13BA2250" w14:textId="77777777">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07834" w:rsidP="00152A74" w14:paraId="41BE3829" w14:textId="77777777">
      <w:pPr>
        <w:spacing w:after="0"/>
      </w:pPr>
      <w:r>
        <w:separator/>
      </w:r>
    </w:p>
  </w:footnote>
  <w:footnote w:type="continuationSeparator" w:id="1">
    <w:p w:rsidR="00107834" w:rsidP="00152A74" w14:paraId="15675F26" w14:textId="77777777">
      <w:pPr>
        <w:spacing w:after="0"/>
      </w:pPr>
      <w:r>
        <w:continuationSeparator/>
      </w:r>
    </w:p>
  </w:footnote>
  <w:footnote w:id="2">
    <w:p w:rsidR="005B6020" w:rsidRPr="000C41AE" w:rsidP="000C41AE" w14:paraId="1F11ACBA" w14:textId="2BBD17C2">
      <w:pPr>
        <w:pStyle w:val="FootnoteText"/>
        <w:spacing w:after="120"/>
        <w:rPr>
          <w:rFonts w:cs="Times New Roman"/>
        </w:rPr>
      </w:pPr>
      <w:r w:rsidRPr="000C41AE">
        <w:rPr>
          <w:rStyle w:val="FootnoteReference"/>
          <w:rFonts w:cs="Times New Roman"/>
        </w:rPr>
        <w:footnoteRef/>
      </w:r>
      <w:r w:rsidRPr="000C41AE">
        <w:rPr>
          <w:rFonts w:cs="Times New Roman"/>
        </w:rPr>
        <w:t xml:space="preserve"> FirstEnergy has not to date been charged with a crime.</w:t>
      </w:r>
    </w:p>
  </w:footnote>
  <w:footnote w:id="3">
    <w:p w:rsidR="005B6020" w:rsidRPr="000C41AE" w:rsidP="005B6020" w14:paraId="0CE47A61" w14:textId="11C696CF">
      <w:pPr>
        <w:rPr>
          <w:rFonts w:cs="Times New Roman"/>
        </w:rPr>
      </w:pPr>
      <w:r w:rsidRPr="000C41A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0C41AE">
        <w:rPr>
          <w:rFonts w:ascii="Times New Roman" w:hAnsi="Times New Roman" w:cs="Times New Roman"/>
          <w:sz w:val="20"/>
          <w:szCs w:val="20"/>
        </w:rPr>
        <w:t>Khalid, U.,  “S&amp;P downgrades FirstEnergy following $1.95B draw on revolving credit facility,” Market Intelligence (Nov. 25, 2020).</w:t>
      </w:r>
      <w:r>
        <w:rPr>
          <w:rFonts w:ascii="Times New Roman" w:hAnsi="Times New Roman" w:cs="Times New Roman"/>
          <w:sz w:val="20"/>
          <w:szCs w:val="20"/>
        </w:rPr>
        <w:t xml:space="preserve"> </w:t>
      </w:r>
      <w:hyperlink r:id="rId1" w:anchor="news/article?Id=61442506&amp;KeyProductLinkType=2" w:history="1">
        <w:r w:rsidRPr="00706E44">
          <w:rPr>
            <w:rStyle w:val="Hyperlink"/>
            <w:rFonts w:ascii="Times New Roman" w:hAnsi="Times New Roman" w:cs="Times New Roman"/>
            <w:sz w:val="20"/>
            <w:szCs w:val="20"/>
          </w:rPr>
          <w:t>https://platform.marketintelligence.spglobal.com/web/client?auth=inherit#news/article?Id=61442506&amp;KeyProductLinkType=2</w:t>
        </w:r>
      </w:hyperlink>
    </w:p>
  </w:footnote>
  <w:footnote w:id="4">
    <w:p w:rsidR="005B6020" w:rsidRPr="000C41AE" w:rsidP="000C41AE" w14:paraId="49A522C6" w14:textId="23E78CE3">
      <w:pPr>
        <w:pStyle w:val="FootnoteText"/>
        <w:spacing w:after="120"/>
        <w:rPr>
          <w:rFonts w:cs="Times New Roman"/>
        </w:rPr>
      </w:pPr>
      <w:r w:rsidRPr="000C41AE">
        <w:rPr>
          <w:rStyle w:val="FootnoteReference"/>
          <w:rFonts w:cs="Times New Roman"/>
        </w:rPr>
        <w:footnoteRef/>
      </w:r>
      <w:r w:rsidRPr="000C41AE">
        <w:rPr>
          <w:rFonts w:cs="Times New Roman"/>
        </w:rPr>
        <w:t xml:space="preserve"> R.C. 4928.17 (prohibits utility from extending undue preference or advantage to any affiliate). </w:t>
      </w:r>
    </w:p>
  </w:footnote>
  <w:footnote w:id="5">
    <w:p w:rsidR="005B6020" w:rsidRPr="000C41AE" w:rsidP="000C41AE" w14:paraId="0411787B" w14:textId="1B6C68C2">
      <w:pPr>
        <w:pStyle w:val="FootnoteText"/>
        <w:spacing w:after="120"/>
        <w:rPr>
          <w:rFonts w:cs="Times New Roman"/>
        </w:rPr>
      </w:pPr>
      <w:r w:rsidRPr="000C41AE">
        <w:rPr>
          <w:rStyle w:val="FootnoteReference"/>
          <w:rFonts w:cs="Times New Roman"/>
        </w:rPr>
        <w:footnoteRef/>
      </w:r>
      <w:r w:rsidRPr="000C41AE">
        <w:rPr>
          <w:rFonts w:cs="Times New Roman"/>
        </w:rPr>
        <w:t xml:space="preserve"> R.C. 4928.02(H) (prohibits subsidies of competitive generation through distribution rates).</w:t>
      </w:r>
    </w:p>
  </w:footnote>
  <w:footnote w:id="6">
    <w:p w:rsidR="005B6020" w:rsidRPr="000C41AE" w:rsidP="000C41AE" w14:paraId="7490762B" w14:textId="49686377">
      <w:pPr>
        <w:pStyle w:val="FootnoteText"/>
        <w:spacing w:after="120"/>
        <w:rPr>
          <w:rFonts w:cs="Times New Roman"/>
        </w:rPr>
      </w:pPr>
      <w:r w:rsidRPr="000C41AE">
        <w:rPr>
          <w:rStyle w:val="FootnoteReference"/>
          <w:rFonts w:cs="Times New Roman"/>
        </w:rPr>
        <w:footnoteRef/>
      </w:r>
      <w:r w:rsidRPr="000C41AE">
        <w:rPr>
          <w:rFonts w:cs="Times New Roman"/>
        </w:rPr>
        <w:t xml:space="preserve"> </w:t>
      </w:r>
      <w:r w:rsidRPr="000C41AE">
        <w:rPr>
          <w:rFonts w:cs="Times New Roman"/>
          <w:i/>
          <w:iCs/>
        </w:rPr>
        <w:t>See, e.g.,</w:t>
      </w:r>
      <w:r w:rsidRPr="000C41AE">
        <w:rPr>
          <w:rFonts w:cs="Times New Roman"/>
        </w:rPr>
        <w:t xml:space="preserve"> </w:t>
      </w:r>
      <w:r w:rsidRPr="000C41AE">
        <w:rPr>
          <w:rFonts w:cs="Times New Roman"/>
          <w:i/>
          <w:iCs/>
        </w:rPr>
        <w:t>In the Matter of the Application of Ohio Edison Company, The Cleveland Electric Illuminating Company, and the Toledo Edison Company for Authority to Provide a Standard Service Offer Pursuant t to R.C. 4928.143 in the Form of an Electric Security Plan</w:t>
      </w:r>
      <w:r w:rsidRPr="000C41AE">
        <w:rPr>
          <w:rFonts w:cs="Times New Roman"/>
        </w:rPr>
        <w:t>, Case No. 14-1297-EL-SSO, Fifth Entry on Rehearing at ¶282 (Oct. 12, 2016) (ordering its Staff to review how the Companies and FirstEnergy Corp. use the distribution modernization rider funds to ensure, among other things, that “there is no unlawful subsidy of the Companies’ affiliates.”)</w:t>
      </w:r>
    </w:p>
  </w:footnote>
  <w:footnote w:id="7">
    <w:p w:rsidR="00A157DF" w:rsidP="00A157DF" w14:paraId="26DCC557" w14:textId="31328A72">
      <w:r>
        <w:rPr>
          <w:rStyle w:val="FootnoteReference"/>
        </w:rPr>
        <w:footnoteRef/>
      </w:r>
      <w:r>
        <w:t xml:space="preserve"> </w:t>
      </w:r>
      <w:r w:rsidRPr="000C41AE">
        <w:rPr>
          <w:rFonts w:ascii="Times New Roman" w:hAnsi="Times New Roman" w:cs="Times New Roman"/>
          <w:sz w:val="20"/>
          <w:szCs w:val="20"/>
        </w:rPr>
        <w:t xml:space="preserve">J. Smyth and M. Gillispie, “FirstEnergy: Ohio regulator’s firm got $4m consulting fee,” Assoc. Press (Nov. 19, 2020).  </w:t>
      </w:r>
      <w:hyperlink r:id="rId2" w:history="1">
        <w:r w:rsidRPr="000C41AE">
          <w:rPr>
            <w:rStyle w:val="Hyperlink"/>
            <w:rFonts w:ascii="Times New Roman" w:hAnsi="Times New Roman" w:cs="Times New Roman"/>
            <w:sz w:val="20"/>
            <w:szCs w:val="20"/>
          </w:rPr>
          <w:t>https://apnews.com/article/ohio-columbus-utilities-mike-dewine-9af2b3464cd053045378037d7b8ab063</w:t>
        </w:r>
      </w:hyperlink>
    </w:p>
  </w:footnote>
  <w:footnote w:id="8">
    <w:p w:rsidR="005B6020" w:rsidRPr="000C41AE" w:rsidP="00A157DF" w14:paraId="3B20517D" w14:textId="658DD1E7">
      <w:pPr>
        <w:pStyle w:val="FootnoteText"/>
        <w:spacing w:after="120"/>
        <w:rPr>
          <w:rFonts w:cs="Times New Roman"/>
        </w:rPr>
      </w:pPr>
      <w:r w:rsidRPr="000C41AE">
        <w:rPr>
          <w:rStyle w:val="FootnoteReference"/>
          <w:rFonts w:cs="Times New Roman"/>
        </w:rPr>
        <w:footnoteRef/>
      </w:r>
      <w:r w:rsidRPr="000C41AE">
        <w:rPr>
          <w:rFonts w:cs="Times New Roman"/>
        </w:rPr>
        <w:t xml:space="preserve"> </w:t>
      </w:r>
      <w:r w:rsidRPr="000C41AE">
        <w:rPr>
          <w:rFonts w:cs="Times New Roman"/>
          <w:i/>
          <w:iCs/>
        </w:rPr>
        <w:t>See</w:t>
      </w:r>
      <w:r w:rsidRPr="000C41AE">
        <w:rPr>
          <w:rFonts w:cs="Times New Roman"/>
        </w:rPr>
        <w:t xml:space="preserve"> </w:t>
      </w:r>
      <w:hyperlink r:id="rId3" w:history="1">
        <w:r w:rsidRPr="000C41AE">
          <w:rPr>
            <w:rStyle w:val="Hyperlink"/>
            <w:rFonts w:cs="Times New Roman"/>
          </w:rPr>
          <w:t>https://content.govdelivery.com/attachments/OHOOD/2020/11/20/file_attachments/1607093/Resignation.pdf</w:t>
        </w:r>
      </w:hyperlink>
    </w:p>
  </w:footnote>
  <w:footnote w:id="9">
    <w:p w:rsidR="005B6020" w:rsidRPr="000C41AE" w:rsidP="00A157DF" w14:paraId="27504466" w14:textId="0CBA64E9">
      <w:pPr>
        <w:pStyle w:val="FootnoteText"/>
        <w:spacing w:after="120"/>
        <w:rPr>
          <w:rFonts w:cs="Times New Roman"/>
        </w:rPr>
      </w:pPr>
      <w:r w:rsidRPr="000C41AE">
        <w:rPr>
          <w:rStyle w:val="FootnoteReference"/>
          <w:rFonts w:cs="Times New Roman"/>
        </w:rPr>
        <w:footnoteRef/>
      </w:r>
      <w:r w:rsidR="00A157DF">
        <w:rPr>
          <w:rFonts w:cs="Times New Roman"/>
          <w:i/>
          <w:iCs/>
        </w:rPr>
        <w:t xml:space="preserve"> </w:t>
      </w:r>
      <w:r w:rsidRPr="00BD5E0C">
        <w:rPr>
          <w:rFonts w:cs="Times New Roman"/>
          <w:i/>
          <w:iCs/>
        </w:rPr>
        <w:t>In the Matter of the Investigation into the Gas Purchasing Practices and Policies of Columbia Gas of Ohio</w:t>
      </w:r>
      <w:r w:rsidRPr="000C41AE">
        <w:rPr>
          <w:rFonts w:cs="Times New Roman"/>
        </w:rPr>
        <w:t xml:space="preserve">, Case No. 83-135-GA-COI. </w:t>
      </w:r>
    </w:p>
  </w:footnote>
  <w:footnote w:id="10">
    <w:p w:rsidR="005B6020" w14:paraId="5C17A19B" w14:textId="65BDF7E3">
      <w:pPr>
        <w:pStyle w:val="FootnoteText"/>
      </w:pPr>
      <w:r>
        <w:rPr>
          <w:rStyle w:val="FootnoteReference"/>
        </w:rPr>
        <w:footnoteRef/>
      </w:r>
      <w:r w:rsidR="00A157DF">
        <w:rPr>
          <w:i/>
          <w:iCs/>
        </w:rPr>
        <w:t xml:space="preserve"> </w:t>
      </w:r>
      <w:r w:rsidRPr="00BD5E0C">
        <w:rPr>
          <w:i/>
          <w:iCs/>
        </w:rPr>
        <w:t>In the Matter of the Ohio Edison Company, the Cleveland Electric Illuminating Company, and the Toledo Edison Company’s Compliance with R.C. 4928.17</w:t>
      </w:r>
      <w:r>
        <w:t>, Case No. 17-974-EL-UNC, Entry at par. 17 (Nov. 4, 2020) (PUCO stating its intent to act “with due consideration to the limits on our statutory authority over FirstEnergy Corp. and over the political and charitable activity of all public utilities in this state.”)</w:t>
      </w:r>
    </w:p>
  </w:footnote>
  <w:footnote w:id="11">
    <w:p w:rsidR="005B6020" w:rsidRPr="000C41AE" w:rsidP="000C41AE" w14:paraId="4553CC52" w14:textId="2E5942DA">
      <w:pPr>
        <w:pStyle w:val="FootnoteText"/>
        <w:spacing w:after="120"/>
        <w:rPr>
          <w:rFonts w:cs="Times New Roman"/>
        </w:rPr>
      </w:pPr>
      <w:r w:rsidRPr="000C41AE">
        <w:rPr>
          <w:rStyle w:val="FootnoteReference"/>
          <w:rFonts w:cs="Times New Roman"/>
        </w:rPr>
        <w:footnoteRef/>
      </w:r>
      <w:r w:rsidRPr="000C41AE">
        <w:rPr>
          <w:rFonts w:cs="Times New Roman"/>
        </w:rPr>
        <w:t xml:space="preserve"> </w:t>
      </w:r>
      <w:r w:rsidRPr="000C41AE">
        <w:rPr>
          <w:rFonts w:cs="Times New Roman"/>
          <w:i/>
          <w:iCs/>
        </w:rPr>
        <w:t>In the Matter of the Ohio Edison Company, The Cleveland Electric Illuminating Company, and The Toledo Edison Company’s Compliance with R.C. 4928.17 and the Ohio Adm. Code Chapter 4901:1-37</w:t>
      </w:r>
      <w:r w:rsidRPr="000C41AE">
        <w:rPr>
          <w:rFonts w:cs="Times New Roman"/>
        </w:rPr>
        <w:t xml:space="preserve">; </w:t>
      </w:r>
      <w:r w:rsidRPr="000C41AE">
        <w:rPr>
          <w:rFonts w:cs="Times New Roman"/>
          <w:i/>
          <w:iCs/>
        </w:rPr>
        <w:t>In the Matter of the Review of the Distribution Modernization Rider of Ohio Edison Company, The Cleveland Electric Illuminating Company, and The Toledo Edison Company</w:t>
      </w:r>
      <w:r w:rsidRPr="000C41AE">
        <w:rPr>
          <w:rFonts w:cs="Times New Roman"/>
        </w:rPr>
        <w:t>; Case Nos. 17-974-EL-UNC, 17-2474-EL-RDR, OCC Motion for PUCO Investigation and Management Audit (Sept. 8, 2020).</w:t>
      </w:r>
    </w:p>
  </w:footnote>
  <w:footnote w:id="12">
    <w:p w:rsidR="005B6020" w:rsidRPr="000C41AE" w:rsidP="00BD5E0C" w14:paraId="779DABA7" w14:textId="43DBB6FA">
      <w:r w:rsidRPr="000C41A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0C41AE">
        <w:rPr>
          <w:rFonts w:ascii="Times New Roman" w:hAnsi="Times New Roman" w:cs="Times New Roman"/>
          <w:sz w:val="20"/>
          <w:szCs w:val="20"/>
        </w:rPr>
        <w:t xml:space="preserve">Khalid, U.,  “S&amp;P downgrades FirstEnergy following $1.95B draw on revolving credit facility,” Market Intelligence (Nov. 25, 2020).  </w:t>
      </w:r>
      <w:hyperlink r:id="rId1" w:anchor="news/article?Id=61442506&amp;KeyProductLinkType=2" w:history="1">
        <w:r w:rsidRPr="009E00F7">
          <w:rPr>
            <w:rStyle w:val="Hyperlink"/>
            <w:rFonts w:ascii="Times New Roman" w:hAnsi="Times New Roman" w:cs="Times New Roman"/>
            <w:sz w:val="20"/>
            <w:szCs w:val="20"/>
          </w:rPr>
          <w:t>https://platform.marketintelligence.spglobal.com/web/client?auth=inherit#news/article?Id=61442506&amp;KeyProductLinkType=2</w:t>
        </w:r>
      </w:hyperlink>
    </w:p>
  </w:footnote>
  <w:footnote w:id="13">
    <w:p w:rsidR="00DD5F98" w:rsidP="00DD5F98" w14:paraId="70DC3740" w14:textId="77777777">
      <w:r>
        <w:rPr>
          <w:rStyle w:val="FootnoteReference"/>
        </w:rPr>
        <w:footnoteRef/>
      </w:r>
      <w:r>
        <w:t xml:space="preserve"> </w:t>
      </w:r>
      <w:r w:rsidRPr="000C41AE">
        <w:rPr>
          <w:rFonts w:ascii="Times New Roman" w:hAnsi="Times New Roman" w:cs="Times New Roman"/>
          <w:sz w:val="20"/>
          <w:szCs w:val="20"/>
        </w:rPr>
        <w:t xml:space="preserve">J. Smyth and M. Gillispie, “FirstEnergy: Ohio regulator’s firm got $4m consulting fee,” Assoc. Press (Nov. 19, 2020).  </w:t>
      </w:r>
      <w:hyperlink r:id="rId2" w:history="1">
        <w:r w:rsidRPr="000C41AE">
          <w:rPr>
            <w:rStyle w:val="Hyperlink"/>
            <w:rFonts w:ascii="Times New Roman" w:hAnsi="Times New Roman" w:cs="Times New Roman"/>
            <w:sz w:val="20"/>
            <w:szCs w:val="20"/>
          </w:rPr>
          <w:t>https://apnews.com/article/ohio-columbus-utilities-mike-dewine-9af2b3464cd053045378037d7b8ab063</w:t>
        </w:r>
      </w:hyperlink>
    </w:p>
  </w:footnote>
  <w:footnote w:id="14">
    <w:p w:rsidR="00DD5F98" w:rsidRPr="000C41AE" w:rsidP="00DD5F98" w14:paraId="4B409274" w14:textId="77777777">
      <w:pPr>
        <w:pStyle w:val="FootnoteText"/>
        <w:spacing w:after="120"/>
        <w:rPr>
          <w:rFonts w:cs="Times New Roman"/>
        </w:rPr>
      </w:pPr>
      <w:r w:rsidRPr="000C41AE">
        <w:rPr>
          <w:rStyle w:val="FootnoteReference"/>
          <w:rFonts w:cs="Times New Roman"/>
        </w:rPr>
        <w:footnoteRef/>
      </w:r>
      <w:r w:rsidRPr="000C41AE">
        <w:rPr>
          <w:rFonts w:cs="Times New Roman"/>
        </w:rPr>
        <w:t xml:space="preserve"> </w:t>
      </w:r>
      <w:r w:rsidRPr="000C41AE">
        <w:rPr>
          <w:rFonts w:cs="Times New Roman"/>
          <w:i/>
          <w:iCs/>
        </w:rPr>
        <w:t>See</w:t>
      </w:r>
      <w:r w:rsidRPr="000C41AE">
        <w:rPr>
          <w:rFonts w:cs="Times New Roman"/>
        </w:rPr>
        <w:t xml:space="preserve"> </w:t>
      </w:r>
      <w:hyperlink r:id="rId3" w:history="1">
        <w:r w:rsidRPr="000C41AE">
          <w:rPr>
            <w:rStyle w:val="Hyperlink"/>
            <w:rFonts w:cs="Times New Roman"/>
          </w:rPr>
          <w:t>https://content.govdelivery.com/attachments/OHOOD/2020/11/20/file_attachments/1607093/Resignation.pdf</w:t>
        </w:r>
      </w:hyperlink>
    </w:p>
  </w:footnote>
  <w:footnote w:id="15">
    <w:p w:rsidR="005B6020" w14:paraId="1BC25B0C" w14:textId="1AD247AB">
      <w:pPr>
        <w:pStyle w:val="FootnoteText"/>
      </w:pPr>
      <w:r>
        <w:rPr>
          <w:rStyle w:val="FootnoteReference"/>
        </w:rPr>
        <w:footnoteRef/>
      </w:r>
      <w:r w:rsidR="007A3B04">
        <w:rPr>
          <w:i/>
          <w:iCs/>
        </w:rPr>
        <w:t xml:space="preserve"> </w:t>
      </w:r>
      <w:r w:rsidRPr="00F5259B">
        <w:rPr>
          <w:i/>
          <w:iCs/>
        </w:rPr>
        <w:t xml:space="preserve">In the Matter of the Provision of Basic Generation Service </w:t>
      </w:r>
      <w:r w:rsidRPr="00F5259B" w:rsidR="007A3B04">
        <w:rPr>
          <w:i/>
          <w:iCs/>
        </w:rPr>
        <w:t>Pursuant</w:t>
      </w:r>
      <w:r w:rsidRPr="00F5259B">
        <w:rPr>
          <w:i/>
          <w:iCs/>
        </w:rPr>
        <w:t xml:space="preserve"> to the Electric Discount and Energy Competition Act</w:t>
      </w:r>
      <w:r>
        <w:t xml:space="preserve">, Docket No. EF20110702, Notice of Public Hearing (Nov. 25, 2020).  </w:t>
      </w:r>
    </w:p>
    <w:p w:rsidR="005B6020" w14:paraId="4FA133C7" w14:textId="77777777">
      <w:pPr>
        <w:pStyle w:val="FootnoteText"/>
      </w:pPr>
    </w:p>
  </w:footnote>
  <w:footnote w:id="16">
    <w:p w:rsidR="00DD5F98" w:rsidRPr="000C41AE" w:rsidP="00DD5F98" w14:paraId="46CBCBD3" w14:textId="77777777">
      <w:pPr>
        <w:pStyle w:val="FootnoteText"/>
        <w:spacing w:after="120"/>
        <w:rPr>
          <w:rFonts w:cs="Times New Roman"/>
        </w:rPr>
      </w:pPr>
      <w:r w:rsidRPr="000C41AE">
        <w:rPr>
          <w:rStyle w:val="FootnoteReference"/>
          <w:rFonts w:cs="Times New Roman"/>
        </w:rPr>
        <w:footnoteRef/>
      </w:r>
      <w:r>
        <w:rPr>
          <w:rFonts w:cs="Times New Roman"/>
          <w:i/>
          <w:iCs/>
        </w:rPr>
        <w:t xml:space="preserve"> </w:t>
      </w:r>
      <w:r w:rsidRPr="00BD5E0C">
        <w:rPr>
          <w:rFonts w:cs="Times New Roman"/>
          <w:i/>
          <w:iCs/>
        </w:rPr>
        <w:t>In the Matter of the Investigation into the Gas Purchasing Practices and Policies of Columbia Gas of Ohio</w:t>
      </w:r>
      <w:r w:rsidRPr="000C41AE">
        <w:rPr>
          <w:rFonts w:cs="Times New Roman"/>
        </w:rPr>
        <w:t xml:space="preserve">, Case No. 83-135-GA-COI. </w:t>
      </w:r>
    </w:p>
  </w:footnote>
  <w:footnote w:id="17">
    <w:p w:rsidR="005B6020" w:rsidRPr="000C41AE" w:rsidP="000C41AE" w14:paraId="47A35D97" w14:textId="20D8A2E3">
      <w:pPr>
        <w:pStyle w:val="FootnoteText"/>
        <w:spacing w:after="120"/>
        <w:rPr>
          <w:rFonts w:cs="Times New Roman"/>
        </w:rPr>
      </w:pPr>
      <w:r w:rsidRPr="000C41AE">
        <w:rPr>
          <w:rStyle w:val="FootnoteReference"/>
          <w:rFonts w:cs="Times New Roman"/>
        </w:rPr>
        <w:footnoteRef/>
      </w:r>
      <w:r w:rsidR="00310AE7">
        <w:rPr>
          <w:rFonts w:cs="Times New Roman"/>
          <w:i/>
          <w:iCs/>
        </w:rPr>
        <w:t xml:space="preserve"> </w:t>
      </w:r>
      <w:r w:rsidRPr="000C41AE">
        <w:rPr>
          <w:rFonts w:cs="Times New Roman"/>
          <w:i/>
          <w:iCs/>
        </w:rPr>
        <w:t>In the Matter of the Investigation Into the Gas Purchasing Practices and Policies of Columbia Gas of Ohio, Inc.</w:t>
      </w:r>
      <w:r w:rsidRPr="000C41AE">
        <w:rPr>
          <w:rFonts w:cs="Times New Roman"/>
        </w:rPr>
        <w:t xml:space="preserve">, Case No. 83-135-GA-COI, Entry (Jan. 26, 1983).  </w:t>
      </w:r>
    </w:p>
  </w:footnote>
  <w:footnote w:id="18">
    <w:p w:rsidR="005B6020" w:rsidRPr="000C41AE" w:rsidP="000C41AE" w14:paraId="614A40FF" w14:textId="77777777">
      <w:pPr>
        <w:pStyle w:val="FootnoteText"/>
        <w:spacing w:after="120"/>
        <w:rPr>
          <w:rFonts w:cs="Times New Roman"/>
        </w:rPr>
      </w:pPr>
      <w:r w:rsidRPr="000C41AE">
        <w:rPr>
          <w:rStyle w:val="FootnoteReference"/>
          <w:rFonts w:cs="Times New Roman"/>
        </w:rPr>
        <w:footnoteRef/>
      </w:r>
      <w:r w:rsidRPr="000C41AE">
        <w:rPr>
          <w:rFonts w:cs="Times New Roman"/>
        </w:rPr>
        <w:t xml:space="preserve"> </w:t>
      </w:r>
      <w:r w:rsidRPr="000C41AE">
        <w:rPr>
          <w:rFonts w:cs="Times New Roman"/>
          <w:i/>
          <w:iCs/>
        </w:rPr>
        <w:t>See id.,</w:t>
      </w:r>
      <w:r w:rsidRPr="000C41AE">
        <w:rPr>
          <w:rFonts w:cs="Times New Roman"/>
        </w:rPr>
        <w:t xml:space="preserve"> Opinion and Order at 21, 24 (Oct. 8,1985) and describing the Public Advisory Committee as a novel idea for Commission proceedings that “served a very necessary and beneficial function.”</w:t>
      </w:r>
    </w:p>
  </w:footnote>
  <w:footnote w:id="19">
    <w:p w:rsidR="005B6020" w14:paraId="13CB52D3" w14:textId="0217695B">
      <w:pPr>
        <w:pStyle w:val="FootnoteText"/>
      </w:pPr>
      <w:r>
        <w:rPr>
          <w:rStyle w:val="FootnoteReference"/>
        </w:rPr>
        <w:footnoteRef/>
      </w:r>
      <w:r w:rsidR="00310AE7">
        <w:rPr>
          <w:i/>
          <w:iCs/>
        </w:rPr>
        <w:t xml:space="preserve"> </w:t>
      </w:r>
      <w:r w:rsidRPr="00BD5E0C">
        <w:rPr>
          <w:i/>
          <w:iCs/>
        </w:rPr>
        <w:t>Id.</w:t>
      </w:r>
      <w:r>
        <w:t xml:space="preserve"> at 16 (ordering an independent board of directors with the majority of the directors living or working in the utility’s service territory, and not being employees or associated with the utility). </w:t>
      </w:r>
    </w:p>
    <w:p w:rsidR="005B6020" w14:paraId="64DD29B8" w14:textId="77777777">
      <w:pPr>
        <w:pStyle w:val="FootnoteText"/>
      </w:pPr>
    </w:p>
  </w:footnote>
  <w:footnote w:id="20">
    <w:p w:rsidR="005B6020" w:rsidRPr="000C41AE" w:rsidP="000C41AE" w14:paraId="673AB813" w14:textId="77777777">
      <w:pPr>
        <w:pStyle w:val="FootnoteText"/>
        <w:spacing w:after="120"/>
        <w:rPr>
          <w:rFonts w:cs="Times New Roman"/>
        </w:rPr>
      </w:pPr>
      <w:r w:rsidRPr="000C41AE">
        <w:rPr>
          <w:rStyle w:val="FootnoteReference"/>
          <w:rFonts w:cs="Times New Roman"/>
        </w:rPr>
        <w:footnoteRef/>
      </w:r>
      <w:r w:rsidRPr="000C41AE">
        <w:rPr>
          <w:rFonts w:cs="Times New Roman"/>
        </w:rPr>
        <w:t xml:space="preserve"> </w:t>
      </w:r>
      <w:r w:rsidRPr="000C41AE">
        <w:rPr>
          <w:rFonts w:cs="Times New Roman"/>
          <w:i/>
          <w:iCs/>
        </w:rPr>
        <w:t>In the Matter of the Ohio Edison Company, The Cleveland Electric Illuminating Company, and The Toledo Edison Company’s Compliance with R.C. 4928.17 and the Ohio Adm. Code Chapter 4901:1-37</w:t>
      </w:r>
      <w:r w:rsidRPr="000C41AE">
        <w:rPr>
          <w:rFonts w:cs="Times New Roman"/>
        </w:rPr>
        <w:t xml:space="preserve">; </w:t>
      </w:r>
      <w:r w:rsidRPr="000C41AE">
        <w:rPr>
          <w:rFonts w:cs="Times New Roman"/>
          <w:i/>
          <w:iCs/>
        </w:rPr>
        <w:t>In the Matter of the Review of the Distribution Modernization Rider of Ohio Edison Company, The Cleveland Electric Illuminating Company, and The Toledo Edison Company</w:t>
      </w:r>
      <w:r w:rsidRPr="000C41AE">
        <w:rPr>
          <w:rFonts w:cs="Times New Roman"/>
        </w:rPr>
        <w:t>; Case Nos. 17-974-EL-UNC, 17-2474-EL-RDR, OCC Motion for PUCO Investigation and Management Audit (Sept. 8, 2020).</w:t>
      </w:r>
    </w:p>
  </w:footnote>
  <w:footnote w:id="21">
    <w:p w:rsidR="005B6020" w:rsidRPr="000C41AE" w:rsidP="000C41AE" w14:paraId="078E8871" w14:textId="3EBF1279">
      <w:pPr>
        <w:pStyle w:val="FootnoteText"/>
        <w:spacing w:after="120"/>
        <w:rPr>
          <w:rFonts w:cs="Times New Roman"/>
        </w:rPr>
      </w:pPr>
      <w:r w:rsidRPr="000C41AE">
        <w:rPr>
          <w:rStyle w:val="FootnoteReference"/>
          <w:rFonts w:cs="Times New Roman"/>
        </w:rPr>
        <w:footnoteRef/>
      </w:r>
      <w:r w:rsidRPr="000C41AE">
        <w:rPr>
          <w:rFonts w:cs="Times New Roman"/>
        </w:rPr>
        <w:t xml:space="preserve"> </w:t>
      </w:r>
      <w:r w:rsidRPr="00BD5E0C">
        <w:rPr>
          <w:rFonts w:cs="Times New Roman"/>
          <w:i/>
          <w:iCs/>
        </w:rPr>
        <w:t>In the Matter of the Review of the Political and Charitable Spending by Ohio Edison Company, The Cleveland Electric Illuminating Company, and the Toledo Edison Comp</w:t>
      </w:r>
      <w:r w:rsidRPr="000C41AE">
        <w:rPr>
          <w:rFonts w:cs="Times New Roman"/>
        </w:rPr>
        <w:t xml:space="preserve">any, Case No. 20-1502-EL-UNC, Entry at par. 5 (Sept. 15, 2020).  </w:t>
      </w:r>
    </w:p>
  </w:footnote>
  <w:footnote w:id="22">
    <w:p w:rsidR="005B6020" w:rsidRPr="000C41AE" w:rsidP="000C41AE" w14:paraId="16FA4B8F" w14:textId="1E7CA42E">
      <w:pPr>
        <w:pStyle w:val="FootnoteText"/>
        <w:spacing w:after="120"/>
        <w:rPr>
          <w:rFonts w:cs="Times New Roman"/>
        </w:rPr>
      </w:pPr>
      <w:r w:rsidRPr="000C41AE">
        <w:rPr>
          <w:rStyle w:val="FootnoteReference"/>
          <w:rFonts w:cs="Times New Roman"/>
        </w:rPr>
        <w:footnoteRef/>
      </w:r>
      <w:r w:rsidRPr="000C41AE">
        <w:rPr>
          <w:rFonts w:cs="Times New Roman"/>
        </w:rPr>
        <w:t xml:space="preserve"> </w:t>
      </w:r>
      <w:r w:rsidRPr="00BD5E0C">
        <w:rPr>
          <w:rFonts w:cs="Times New Roman"/>
          <w:i/>
          <w:iCs/>
        </w:rPr>
        <w:t>In the Matter of the Review of Ohio Edison Company, The Cleveland Electric Illuminating Company, and the Toledo Edison Company’s compliance with R.C. 4928.17 and Ohio Adm. Code Chapter 4901:1-37</w:t>
      </w:r>
      <w:r w:rsidRPr="000C41AE">
        <w:rPr>
          <w:rFonts w:cs="Times New Roman"/>
        </w:rPr>
        <w:t xml:space="preserve">, Case No. 17-974-EL-UNC, Entry at par. 17 (Nov. 4, 2020). </w:t>
      </w:r>
    </w:p>
  </w:footnote>
  <w:footnote w:id="23">
    <w:p w:rsidR="005B6020" w:rsidRPr="000C41AE" w:rsidP="000C41AE" w14:paraId="74691FB0" w14:textId="77777777">
      <w:pPr>
        <w:pStyle w:val="FootnoteText"/>
        <w:spacing w:after="120"/>
        <w:rPr>
          <w:rFonts w:cs="Times New Roman"/>
        </w:rPr>
      </w:pPr>
      <w:r w:rsidRPr="000C41AE">
        <w:rPr>
          <w:rStyle w:val="FootnoteReference"/>
          <w:rFonts w:cs="Times New Roman"/>
        </w:rPr>
        <w:footnoteRef/>
      </w:r>
      <w:r w:rsidRPr="000C41AE">
        <w:rPr>
          <w:rFonts w:cs="Times New Roman"/>
        </w:rPr>
        <w:t xml:space="preserve"> FirstEnergy 10Q filing at 36 (November 19, 2020). </w:t>
      </w:r>
    </w:p>
  </w:footnote>
  <w:footnote w:id="24">
    <w:p w:rsidR="005B6020" w:rsidP="005571F6" w14:paraId="14D46BEF" w14:textId="258910AD">
      <w:pPr>
        <w:pStyle w:val="FootnoteText"/>
        <w:spacing w:after="120"/>
      </w:pPr>
      <w:r>
        <w:rPr>
          <w:rStyle w:val="FootnoteReference"/>
        </w:rPr>
        <w:footnoteRef/>
      </w:r>
      <w:r>
        <w:t xml:space="preserve"> </w:t>
      </w:r>
      <w:r w:rsidRPr="000510CA">
        <w:t xml:space="preserve">Also see generally, ELPC Motion to Vacate and Conduct New Proceedings filed in </w:t>
      </w:r>
      <w:r w:rsidRPr="000510CA">
        <w:rPr>
          <w:i/>
          <w:iCs/>
        </w:rPr>
        <w:t>In the Matter of the Application of the Ohio Edison Company, the Cleveland Electric Illuminating Company and the Toledo Edison Company for an Extension of the Distribution Modernization Rider</w:t>
      </w:r>
      <w:r w:rsidRPr="000510CA">
        <w:t>, Case No. 19-361-EL-RDR (Nov. 24, 2020).</w:t>
      </w:r>
    </w:p>
  </w:footnote>
  <w:footnote w:id="25">
    <w:p w:rsidR="00DD5F98" w:rsidP="005571F6" w14:paraId="47325EED" w14:textId="77777777">
      <w:pPr>
        <w:pStyle w:val="FootnoteText"/>
        <w:spacing w:after="120"/>
      </w:pPr>
      <w:r>
        <w:rPr>
          <w:rStyle w:val="FootnoteReference"/>
        </w:rPr>
        <w:footnoteRef/>
      </w:r>
      <w:r>
        <w:rPr>
          <w:i/>
          <w:iCs/>
        </w:rPr>
        <w:t xml:space="preserve"> </w:t>
      </w:r>
      <w:r w:rsidRPr="00BD5E0C">
        <w:rPr>
          <w:i/>
          <w:iCs/>
        </w:rPr>
        <w:t>In the Matter of the Ohio Edison Company, the Cleveland Electric Illuminating Company, and the Toledo Edison Company’s Compliance with R.C. 4928.17</w:t>
      </w:r>
      <w:r>
        <w:t>, Case No. 17-974-EL-UNC, Entry at par. 17 (Nov. 4, 2020) (PUCO stating its intent to act “with due consideration to the limits on our statutory authority over FirstEnergy Corp. and over the political and charitable activity of all public utilities in this state.”)</w:t>
      </w:r>
    </w:p>
  </w:footnote>
  <w:footnote w:id="26">
    <w:p w:rsidR="005B6020" w:rsidP="005571F6" w14:paraId="6080BE21" w14:textId="5F0763CB">
      <w:pPr>
        <w:pStyle w:val="FootnoteText"/>
        <w:spacing w:after="120"/>
      </w:pPr>
      <w:r>
        <w:rPr>
          <w:rStyle w:val="FootnoteReference"/>
        </w:rPr>
        <w:footnoteRef/>
      </w:r>
      <w:r>
        <w:t xml:space="preserve"> </w:t>
      </w:r>
      <w:r w:rsidRPr="00BD5E0C">
        <w:rPr>
          <w:i/>
          <w:iCs/>
        </w:rPr>
        <w:t>See also</w:t>
      </w:r>
      <w:r>
        <w:t xml:space="preserve"> the PUCO’s broad jurisdiction under R.C. 4905.05, 4905.06, and 4909.54 to conduct an audit and examine whether FirstEnergy Utilities violated Ohio laws by using charges for regulated utility service to subsidize unregulated political and charitable spending.  </w:t>
      </w:r>
    </w:p>
  </w:footnote>
  <w:footnote w:id="27">
    <w:p w:rsidR="005B6020" w:rsidRPr="000C41AE" w:rsidP="000C41AE" w14:paraId="114DBF5E" w14:textId="01FE4FB8">
      <w:pPr>
        <w:pStyle w:val="FootnoteText"/>
        <w:spacing w:after="120"/>
        <w:rPr>
          <w:rFonts w:cs="Times New Roman"/>
        </w:rPr>
      </w:pPr>
      <w:r w:rsidRPr="000C41AE">
        <w:rPr>
          <w:rStyle w:val="FootnoteReference"/>
          <w:rFonts w:cs="Times New Roman"/>
        </w:rPr>
        <w:footnoteRef/>
      </w:r>
      <w:r w:rsidRPr="000C41AE">
        <w:rPr>
          <w:rFonts w:cs="Times New Roman"/>
        </w:rPr>
        <w:t xml:space="preserve"> </w:t>
      </w:r>
      <w:r w:rsidRPr="000C41AE">
        <w:rPr>
          <w:rFonts w:cs="Times New Roman"/>
          <w:i/>
          <w:iCs/>
        </w:rPr>
        <w:t>See</w:t>
      </w:r>
      <w:r w:rsidRPr="000C41AE">
        <w:rPr>
          <w:rFonts w:cs="Times New Roman"/>
        </w:rPr>
        <w:t xml:space="preserve"> </w:t>
      </w:r>
      <w:r w:rsidRPr="000C41AE">
        <w:rPr>
          <w:rFonts w:cs="Times New Roman"/>
          <w:i/>
          <w:iCs/>
        </w:rPr>
        <w:t>In the Matter of the Application of Duke Energy Retail Sales, LLC, for Certification as a Competitive Retail Electric Service Provider in Ohio</w:t>
      </w:r>
      <w:r w:rsidRPr="000C41AE">
        <w:rPr>
          <w:rFonts w:cs="Times New Roman"/>
        </w:rPr>
        <w:t>, Case No. 04-1323-EL-CRS, Entry at 11-12  (Dec. 3, 2008), (where the PUCO acknowledged its authority under R.C. 4928.18 and 4905.26 to determine whether an electric utility or its affiliate has violated any provision of R.C. 4928.17 or an order issue</w:t>
      </w:r>
      <w:r w:rsidR="005571F6">
        <w:rPr>
          <w:rFonts w:cs="Times New Roman"/>
        </w:rPr>
        <w:t>d</w:t>
      </w:r>
      <w:r w:rsidRPr="000C41AE">
        <w:rPr>
          <w:rFonts w:cs="Times New Roman"/>
        </w:rPr>
        <w:t xml:space="preserve"> or rule adopted under that section, and noted the broad range of remedies available under R.C. 4928.18 to address violations).</w:t>
      </w:r>
    </w:p>
  </w:footnote>
  <w:footnote w:id="28">
    <w:p w:rsidR="005B6020" w:rsidRPr="000C41AE" w:rsidP="000C41AE" w14:paraId="6EB332C4" w14:textId="77777777">
      <w:pPr>
        <w:pStyle w:val="FootnoteText"/>
        <w:spacing w:after="120"/>
        <w:rPr>
          <w:rFonts w:cs="Times New Roman"/>
        </w:rPr>
      </w:pPr>
      <w:r w:rsidRPr="000C41AE">
        <w:rPr>
          <w:rStyle w:val="FootnoteReference"/>
          <w:rFonts w:cs="Times New Roman"/>
        </w:rPr>
        <w:footnoteRef/>
      </w:r>
      <w:r w:rsidRPr="000C41AE">
        <w:rPr>
          <w:rFonts w:cs="Times New Roman"/>
        </w:rPr>
        <w:t xml:space="preserve"> </w:t>
      </w:r>
      <w:r w:rsidRPr="000C41AE">
        <w:rPr>
          <w:rFonts w:cs="Times New Roman"/>
          <w:i/>
          <w:iCs/>
        </w:rPr>
        <w:t>In the Matter of the Review of Ohio Edison Company, The Cleveland Electric Illuminating Company and The Toledo Edison Company’s Compliance with R.C. 4928.17 and Ohio Adm. Code Chapter 4901:1-37</w:t>
      </w:r>
      <w:r w:rsidRPr="000C41AE">
        <w:rPr>
          <w:rFonts w:cs="Times New Roman"/>
        </w:rPr>
        <w:t xml:space="preserve">, Case No. 17-974-EL-UNC, Entry at ¶17 (Nov. 4, 2020).  </w:t>
      </w:r>
    </w:p>
  </w:footnote>
  <w:footnote w:id="29">
    <w:p w:rsidR="005B6020" w:rsidRPr="000C41AE" w:rsidP="000C41AE" w14:paraId="74873F0E" w14:textId="77777777">
      <w:pPr>
        <w:pStyle w:val="FootnoteText"/>
        <w:spacing w:after="120"/>
        <w:rPr>
          <w:rFonts w:cs="Times New Roman"/>
        </w:rPr>
      </w:pPr>
      <w:r w:rsidRPr="000C41AE">
        <w:rPr>
          <w:rStyle w:val="FootnoteReference"/>
          <w:rFonts w:cs="Times New Roman"/>
        </w:rPr>
        <w:footnoteRef/>
      </w:r>
      <w:r w:rsidRPr="000C41AE">
        <w:rPr>
          <w:rFonts w:cs="Times New Roman"/>
        </w:rPr>
        <w:t xml:space="preserve"> </w:t>
      </w:r>
      <w:r w:rsidRPr="000C41AE">
        <w:rPr>
          <w:rFonts w:cs="Times New Roman"/>
          <w:i/>
          <w:iCs/>
        </w:rPr>
        <w:t>In the Matter of the Commission’s Investigation of Ohio’s Retail Electric Service Market</w:t>
      </w:r>
      <w:r w:rsidRPr="000C41AE">
        <w:rPr>
          <w:rFonts w:cs="Times New Roman"/>
        </w:rPr>
        <w:t xml:space="preserve">, Case No. 12-3151-EL-COI, Finding and Order at ¶16 (Mar. 26, 2014). </w:t>
      </w:r>
    </w:p>
  </w:footnote>
  <w:footnote w:id="30">
    <w:p w:rsidR="005B6020" w:rsidRPr="000C41AE" w:rsidP="000C41AE" w14:paraId="28E25717" w14:textId="77777777">
      <w:pPr>
        <w:pStyle w:val="FootnoteText"/>
        <w:spacing w:after="120"/>
        <w:rPr>
          <w:rFonts w:cs="Times New Roman"/>
        </w:rPr>
      </w:pPr>
      <w:r w:rsidRPr="000C41AE">
        <w:rPr>
          <w:rStyle w:val="FootnoteReference"/>
          <w:rFonts w:cs="Times New Roman"/>
        </w:rPr>
        <w:footnoteRef/>
      </w:r>
      <w:r w:rsidRPr="000C41AE">
        <w:rPr>
          <w:rFonts w:cs="Times New Roman"/>
        </w:rPr>
        <w:t xml:space="preserve"> </w:t>
      </w:r>
      <w:r w:rsidRPr="000C41AE">
        <w:rPr>
          <w:rFonts w:cs="Times New Roman"/>
          <w:i/>
          <w:iCs/>
        </w:rPr>
        <w:t>In the Matter of the Application of Ohio Edison Company, The Cleveland Electric Illuminating Company, and the Toledo Edison Company for Authority to Provide for a Standard Service offer Pursuant to R.C. 4928.143 in the Form of an Electric Security Plan</w:t>
      </w:r>
      <w:r w:rsidRPr="000C41AE">
        <w:rPr>
          <w:rFonts w:cs="Times New Roman"/>
        </w:rPr>
        <w:t>, Case No. 14-1297, Fifth Entry on Rehearing at ¶282 (Oct. 12, 2016); Eighth Entry on Rehearing at ¶123 (Aug. 16,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020" w14:paraId="2EBD78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57DF" w14:paraId="77C65FA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020" w14:paraId="0321606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020" w14:paraId="77F0DD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69A4109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EC7337"/>
    <w:multiLevelType w:val="hybridMultilevel"/>
    <w:tmpl w:val="B90A4CC8"/>
    <w:lvl w:ilvl="0">
      <w:start w:val="1"/>
      <w:numFmt w:val="bullet"/>
      <w:lvlText w:val=""/>
      <w:lvlJc w:val="left"/>
      <w:pPr>
        <w:ind w:left="720" w:hanging="360"/>
      </w:pPr>
      <w:rPr>
        <w:rFonts w:ascii="Symbol" w:hAnsi="Symbol" w:hint="default"/>
      </w:rPr>
    </w:lvl>
    <w:lvl w:ilvl="1">
      <w:start w:val="1"/>
      <w:numFmt w:val="bullet"/>
      <w:lvlText w:val=""/>
      <w:lvlJc w:val="left"/>
      <w:pPr>
        <w:ind w:left="117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24077F"/>
    <w:multiLevelType w:val="hybridMultilevel"/>
    <w:tmpl w:val="F3C8F4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294282"/>
    <w:multiLevelType w:val="hybridMultilevel"/>
    <w:tmpl w:val="366E9988"/>
    <w:lvl w:ilvl="0">
      <w:start w:val="1"/>
      <w:numFmt w:val="decimal"/>
      <w:lvlText w:val="%1."/>
      <w:lvlJc w:val="left"/>
      <w:pPr>
        <w:ind w:left="720" w:hanging="360"/>
      </w:pPr>
      <w:rPr>
        <w:rFonts w:hint="default"/>
        <w:i w:val="0"/>
        <w:i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86F1FF0"/>
    <w:multiLevelType w:val="hybridMultilevel"/>
    <w:tmpl w:val="D30866BC"/>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891088"/>
    <w:multiLevelType w:val="hybridMultilevel"/>
    <w:tmpl w:val="F946B5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0133298"/>
    <w:multiLevelType w:val="hybridMultilevel"/>
    <w:tmpl w:val="59E62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1F90E3F"/>
    <w:multiLevelType w:val="hybridMultilevel"/>
    <w:tmpl w:val="C1486028"/>
    <w:lvl w:ilvl="0">
      <w:start w:val="1"/>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2391399E"/>
    <w:multiLevelType w:val="hybridMultilevel"/>
    <w:tmpl w:val="4DD2DF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6E83BC4"/>
    <w:multiLevelType w:val="hybridMultilevel"/>
    <w:tmpl w:val="366E9988"/>
    <w:lvl w:ilvl="0">
      <w:start w:val="1"/>
      <w:numFmt w:val="decimal"/>
      <w:lvlText w:val="%1."/>
      <w:lvlJc w:val="left"/>
      <w:pPr>
        <w:ind w:left="720" w:hanging="360"/>
      </w:pPr>
      <w:rPr>
        <w:rFonts w:hint="default"/>
        <w:i w:val="0"/>
        <w:i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0E758B1"/>
    <w:multiLevelType w:val="hybridMultilevel"/>
    <w:tmpl w:val="B854FFDC"/>
    <w:lvl w:ilvl="0">
      <w:start w:val="1"/>
      <w:numFmt w:val="decimal"/>
      <w:lvlText w:val="%1."/>
      <w:lvlJc w:val="left"/>
      <w:pPr>
        <w:ind w:left="720" w:hanging="360"/>
      </w:pPr>
      <w:rPr>
        <w:rFonts w:hint="default"/>
        <w:i w:val="0"/>
        <w:i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5540EDC"/>
    <w:multiLevelType w:val="hybridMultilevel"/>
    <w:tmpl w:val="6564467E"/>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3">
    <w:nsid w:val="35BF16D5"/>
    <w:multiLevelType w:val="hybridMultilevel"/>
    <w:tmpl w:val="608C3890"/>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14">
    <w:nsid w:val="37A9197F"/>
    <w:multiLevelType w:val="hybridMultilevel"/>
    <w:tmpl w:val="30AEDC1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3FA0129C"/>
    <w:multiLevelType w:val="hybridMultilevel"/>
    <w:tmpl w:val="B854FFDC"/>
    <w:lvl w:ilvl="0">
      <w:start w:val="1"/>
      <w:numFmt w:val="decimal"/>
      <w:lvlText w:val="%1."/>
      <w:lvlJc w:val="left"/>
      <w:pPr>
        <w:ind w:left="720" w:hanging="360"/>
      </w:pPr>
      <w:rPr>
        <w:rFonts w:hint="default"/>
        <w:i w:val="0"/>
        <w:i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0442AAC"/>
    <w:multiLevelType w:val="hybridMultilevel"/>
    <w:tmpl w:val="5CD02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318237C"/>
    <w:multiLevelType w:val="hybridMultilevel"/>
    <w:tmpl w:val="02EC964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4C701E9C"/>
    <w:multiLevelType w:val="hybridMultilevel"/>
    <w:tmpl w:val="8F682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8D948EC"/>
    <w:multiLevelType w:val="hybridMultilevel"/>
    <w:tmpl w:val="8834DCC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5CAB515C"/>
    <w:multiLevelType w:val="hybridMultilevel"/>
    <w:tmpl w:val="A88EE32E"/>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D1C4A98"/>
    <w:multiLevelType w:val="hybridMultilevel"/>
    <w:tmpl w:val="F57C3554"/>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E3B461D"/>
    <w:multiLevelType w:val="hybridMultilevel"/>
    <w:tmpl w:val="7EE6E402"/>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E7030CF"/>
    <w:multiLevelType w:val="hybridMultilevel"/>
    <w:tmpl w:val="CA9421E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1287A23"/>
    <w:multiLevelType w:val="hybridMultilevel"/>
    <w:tmpl w:val="B854FFDC"/>
    <w:lvl w:ilvl="0">
      <w:start w:val="1"/>
      <w:numFmt w:val="decimal"/>
      <w:lvlText w:val="%1."/>
      <w:lvlJc w:val="left"/>
      <w:pPr>
        <w:ind w:left="720" w:hanging="360"/>
      </w:pPr>
      <w:rPr>
        <w:rFonts w:hint="default"/>
        <w:i w:val="0"/>
        <w:i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1D5611E"/>
    <w:multiLevelType w:val="hybridMultilevel"/>
    <w:tmpl w:val="20C23C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33A7586"/>
    <w:multiLevelType w:val="hybridMultilevel"/>
    <w:tmpl w:val="B854FFDC"/>
    <w:lvl w:ilvl="0">
      <w:start w:val="1"/>
      <w:numFmt w:val="decimal"/>
      <w:lvlText w:val="%1."/>
      <w:lvlJc w:val="left"/>
      <w:pPr>
        <w:ind w:left="720" w:hanging="360"/>
      </w:pPr>
      <w:rPr>
        <w:rFonts w:hint="default"/>
        <w:i w:val="0"/>
        <w:i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58B5CDB"/>
    <w:multiLevelType w:val="hybridMultilevel"/>
    <w:tmpl w:val="6286350E"/>
    <w:lvl w:ilvl="0">
      <w:start w:val="1"/>
      <w:numFmt w:val="decimal"/>
      <w:lvlText w:val="%1."/>
      <w:lvlJc w:val="left"/>
      <w:pPr>
        <w:ind w:left="1080" w:hanging="360"/>
      </w:pPr>
      <w:rPr>
        <w:rFonts w:ascii="Times New Roman" w:hAnsi="Times New Roman" w:cs="Times New Roman" w:hint="default"/>
        <w:b/>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6604528"/>
    <w:multiLevelType w:val="hybridMultilevel"/>
    <w:tmpl w:val="3B0CA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9505F3C"/>
    <w:multiLevelType w:val="hybridMultilevel"/>
    <w:tmpl w:val="08146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0B05F91"/>
    <w:multiLevelType w:val="hybridMultilevel"/>
    <w:tmpl w:val="39B2CE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26F5F56"/>
    <w:multiLevelType w:val="hybridMultilevel"/>
    <w:tmpl w:val="B854FFDC"/>
    <w:lvl w:ilvl="0">
      <w:start w:val="1"/>
      <w:numFmt w:val="decimal"/>
      <w:lvlText w:val="%1."/>
      <w:lvlJc w:val="left"/>
      <w:pPr>
        <w:ind w:left="720" w:hanging="360"/>
      </w:pPr>
      <w:rPr>
        <w:rFonts w:hint="default"/>
        <w:i w:val="0"/>
        <w:i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65E37C9"/>
    <w:multiLevelType w:val="hybridMultilevel"/>
    <w:tmpl w:val="5636AD6A"/>
    <w:lvl w:ilvl="0">
      <w:start w:val="1"/>
      <w:numFmt w:val="decimal"/>
      <w:lvlText w:val="%1."/>
      <w:lvlJc w:val="left"/>
      <w:pPr>
        <w:ind w:left="630" w:hanging="360"/>
      </w:pPr>
      <w:rPr>
        <w:rFonts w:hint="default"/>
        <w:i w:val="0"/>
        <w:iCs w:val="0"/>
      </w:rPr>
    </w:lvl>
    <w:lvl w:ilvl="1">
      <w:start w:val="1"/>
      <w:numFmt w:val="lowerLetter"/>
      <w:lvlText w:val="%2."/>
      <w:lvlJc w:val="left"/>
      <w:pPr>
        <w:ind w:left="1710" w:hanging="360"/>
      </w:pPr>
    </w:lvl>
    <w:lvl w:ilvl="2">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4">
    <w:nsid w:val="76E62553"/>
    <w:multiLevelType w:val="hybridMultilevel"/>
    <w:tmpl w:val="33AA650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0"/>
  </w:num>
  <w:num w:numId="2">
    <w:abstractNumId w:val="19"/>
  </w:num>
  <w:num w:numId="3">
    <w:abstractNumId w:val="0"/>
  </w:num>
  <w:num w:numId="4">
    <w:abstractNumId w:val="0"/>
    <w:lvlOverride w:ilvl="0">
      <w:startOverride w:val="1"/>
    </w:lvlOverride>
  </w:num>
  <w:num w:numId="5">
    <w:abstractNumId w:val="0"/>
    <w:lvlOverride w:ilvl="0">
      <w:startOverride w:val="1"/>
    </w:lvlOverride>
  </w:num>
  <w:num w:numId="6">
    <w:abstractNumId w:val="35"/>
  </w:num>
  <w:num w:numId="7">
    <w:abstractNumId w:val="4"/>
  </w:num>
  <w:num w:numId="8">
    <w:abstractNumId w:val="7"/>
  </w:num>
  <w:num w:numId="9">
    <w:abstractNumId w:val="16"/>
  </w:num>
  <w:num w:numId="10">
    <w:abstractNumId w:val="30"/>
  </w:num>
  <w:num w:numId="11">
    <w:abstractNumId w:val="6"/>
  </w:num>
  <w:num w:numId="12">
    <w:abstractNumId w:val="20"/>
  </w:num>
  <w:num w:numId="13">
    <w:abstractNumId w:val="20"/>
  </w:num>
  <w:num w:numId="14">
    <w:abstractNumId w:val="23"/>
  </w:num>
  <w:num w:numId="15">
    <w:abstractNumId w:val="20"/>
  </w:num>
  <w:num w:numId="16">
    <w:abstractNumId w:val="20"/>
  </w:num>
  <w:num w:numId="17">
    <w:abstractNumId w:val="8"/>
  </w:num>
  <w:num w:numId="18">
    <w:abstractNumId w:val="29"/>
  </w:num>
  <w:num w:numId="19">
    <w:abstractNumId w:val="19"/>
  </w:num>
  <w:num w:numId="20">
    <w:abstractNumId w:val="19"/>
  </w:num>
  <w:num w:numId="21">
    <w:abstractNumId w:val="19"/>
  </w:num>
  <w:num w:numId="22">
    <w:abstractNumId w:val="19"/>
  </w:num>
  <w:num w:numId="23">
    <w:abstractNumId w:val="14"/>
  </w:num>
  <w:num w:numId="24">
    <w:abstractNumId w:val="20"/>
  </w:num>
  <w:num w:numId="25">
    <w:abstractNumId w:val="19"/>
  </w:num>
  <w:num w:numId="26">
    <w:abstractNumId w:val="17"/>
  </w:num>
  <w:num w:numId="27">
    <w:abstractNumId w:val="20"/>
  </w:num>
  <w:num w:numId="28">
    <w:abstractNumId w:val="20"/>
  </w:num>
  <w:num w:numId="29">
    <w:abstractNumId w:val="20"/>
  </w:num>
  <w:num w:numId="30">
    <w:abstractNumId w:val="28"/>
  </w:num>
  <w:num w:numId="31">
    <w:abstractNumId w:val="31"/>
  </w:num>
  <w:num w:numId="32">
    <w:abstractNumId w:val="20"/>
  </w:num>
  <w:num w:numId="33">
    <w:abstractNumId w:val="2"/>
  </w:num>
  <w:num w:numId="34">
    <w:abstractNumId w:val="13"/>
  </w:num>
  <w:num w:numId="35">
    <w:abstractNumId w:val="0"/>
    <w:lvlOverride w:ilvl="0">
      <w:startOverride w:val="1"/>
    </w:lvlOverride>
  </w:num>
  <w:num w:numId="36">
    <w:abstractNumId w:val="0"/>
  </w:num>
  <w:num w:numId="37">
    <w:abstractNumId w:val="26"/>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33"/>
  </w:num>
  <w:num w:numId="41">
    <w:abstractNumId w:val="34"/>
  </w:num>
  <w:num w:numId="42">
    <w:abstractNumId w:val="12"/>
  </w:num>
  <w:num w:numId="43">
    <w:abstractNumId w:val="5"/>
  </w:num>
  <w:num w:numId="44">
    <w:abstractNumId w:val="22"/>
  </w:num>
  <w:num w:numId="45">
    <w:abstractNumId w:val="3"/>
  </w:num>
  <w:num w:numId="46">
    <w:abstractNumId w:val="10"/>
  </w:num>
  <w:num w:numId="47">
    <w:abstractNumId w:val="9"/>
  </w:num>
  <w:num w:numId="48">
    <w:abstractNumId w:val="26"/>
    <w:lvlOverride w:ilvl="0">
      <w:startOverride w:val="1"/>
    </w:lvlOverride>
  </w:num>
  <w:num w:numId="49">
    <w:abstractNumId w:val="21"/>
  </w:num>
  <w:num w:numId="50">
    <w:abstractNumId w:val="25"/>
  </w:num>
  <w:num w:numId="51">
    <w:abstractNumId w:val="11"/>
  </w:num>
  <w:num w:numId="52">
    <w:abstractNumId w:val="24"/>
  </w:num>
  <w:num w:numId="53">
    <w:abstractNumId w:val="1"/>
  </w:num>
  <w:num w:numId="54">
    <w:abstractNumId w:val="27"/>
  </w:num>
  <w:num w:numId="55">
    <w:abstractNumId w:val="15"/>
  </w:num>
  <w:num w:numId="56">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8F"/>
    <w:rsid w:val="0000224D"/>
    <w:rsid w:val="00003382"/>
    <w:rsid w:val="00012F32"/>
    <w:rsid w:val="000202A0"/>
    <w:rsid w:val="00023BFD"/>
    <w:rsid w:val="00030205"/>
    <w:rsid w:val="00033D2A"/>
    <w:rsid w:val="000373BB"/>
    <w:rsid w:val="000404DE"/>
    <w:rsid w:val="00045734"/>
    <w:rsid w:val="000510CA"/>
    <w:rsid w:val="0005183F"/>
    <w:rsid w:val="0005286A"/>
    <w:rsid w:val="0005425A"/>
    <w:rsid w:val="00060C07"/>
    <w:rsid w:val="00060D4E"/>
    <w:rsid w:val="00070CF2"/>
    <w:rsid w:val="00073318"/>
    <w:rsid w:val="000739CD"/>
    <w:rsid w:val="00074F17"/>
    <w:rsid w:val="00075EBA"/>
    <w:rsid w:val="00082207"/>
    <w:rsid w:val="00092349"/>
    <w:rsid w:val="00092CC5"/>
    <w:rsid w:val="0009524C"/>
    <w:rsid w:val="000A4DA2"/>
    <w:rsid w:val="000A6CAB"/>
    <w:rsid w:val="000A7402"/>
    <w:rsid w:val="000C41AE"/>
    <w:rsid w:val="000C43F6"/>
    <w:rsid w:val="000C5866"/>
    <w:rsid w:val="000C7E98"/>
    <w:rsid w:val="000D28F7"/>
    <w:rsid w:val="000D531E"/>
    <w:rsid w:val="000D63DF"/>
    <w:rsid w:val="000E7D3E"/>
    <w:rsid w:val="000F0F16"/>
    <w:rsid w:val="000F2856"/>
    <w:rsid w:val="000F2A74"/>
    <w:rsid w:val="000F572B"/>
    <w:rsid w:val="000F73BA"/>
    <w:rsid w:val="00105C89"/>
    <w:rsid w:val="00107834"/>
    <w:rsid w:val="001143BB"/>
    <w:rsid w:val="0011505F"/>
    <w:rsid w:val="00116B30"/>
    <w:rsid w:val="00120147"/>
    <w:rsid w:val="001258E8"/>
    <w:rsid w:val="001269A4"/>
    <w:rsid w:val="001334F6"/>
    <w:rsid w:val="00133EF9"/>
    <w:rsid w:val="00134847"/>
    <w:rsid w:val="00141BD6"/>
    <w:rsid w:val="00144814"/>
    <w:rsid w:val="001458FF"/>
    <w:rsid w:val="001476D7"/>
    <w:rsid w:val="00147A90"/>
    <w:rsid w:val="001516B0"/>
    <w:rsid w:val="00151937"/>
    <w:rsid w:val="00152A74"/>
    <w:rsid w:val="00154D35"/>
    <w:rsid w:val="00154F62"/>
    <w:rsid w:val="00155F8B"/>
    <w:rsid w:val="00161424"/>
    <w:rsid w:val="001660E6"/>
    <w:rsid w:val="0017656C"/>
    <w:rsid w:val="00177C12"/>
    <w:rsid w:val="001813A9"/>
    <w:rsid w:val="00182457"/>
    <w:rsid w:val="00182AEA"/>
    <w:rsid w:val="00186CB5"/>
    <w:rsid w:val="001872B3"/>
    <w:rsid w:val="001921EE"/>
    <w:rsid w:val="00193A65"/>
    <w:rsid w:val="00193B85"/>
    <w:rsid w:val="00195C32"/>
    <w:rsid w:val="00197551"/>
    <w:rsid w:val="001A5A4A"/>
    <w:rsid w:val="001B21A7"/>
    <w:rsid w:val="001B70A6"/>
    <w:rsid w:val="001C5ECC"/>
    <w:rsid w:val="001D2205"/>
    <w:rsid w:val="001D2355"/>
    <w:rsid w:val="001D4AFA"/>
    <w:rsid w:val="001D57AD"/>
    <w:rsid w:val="001D57D5"/>
    <w:rsid w:val="001E147F"/>
    <w:rsid w:val="001E1932"/>
    <w:rsid w:val="001E2D93"/>
    <w:rsid w:val="001E4C9A"/>
    <w:rsid w:val="001E4EED"/>
    <w:rsid w:val="001E6DC0"/>
    <w:rsid w:val="001F17C8"/>
    <w:rsid w:val="001F4B10"/>
    <w:rsid w:val="00206ACF"/>
    <w:rsid w:val="002103A6"/>
    <w:rsid w:val="0021078E"/>
    <w:rsid w:val="00214E0C"/>
    <w:rsid w:val="00221AA3"/>
    <w:rsid w:val="00224EE5"/>
    <w:rsid w:val="00232439"/>
    <w:rsid w:val="0024008E"/>
    <w:rsid w:val="00240A8E"/>
    <w:rsid w:val="00244C5E"/>
    <w:rsid w:val="00246318"/>
    <w:rsid w:val="00247431"/>
    <w:rsid w:val="0025271A"/>
    <w:rsid w:val="002541A0"/>
    <w:rsid w:val="002552CD"/>
    <w:rsid w:val="002559EE"/>
    <w:rsid w:val="002571AE"/>
    <w:rsid w:val="0026270F"/>
    <w:rsid w:val="00262F26"/>
    <w:rsid w:val="00262F47"/>
    <w:rsid w:val="0026625A"/>
    <w:rsid w:val="002677A9"/>
    <w:rsid w:val="00267916"/>
    <w:rsid w:val="00270D5D"/>
    <w:rsid w:val="00270F10"/>
    <w:rsid w:val="00274D3B"/>
    <w:rsid w:val="00283DA3"/>
    <w:rsid w:val="00290707"/>
    <w:rsid w:val="00290D6C"/>
    <w:rsid w:val="00291795"/>
    <w:rsid w:val="002A01FC"/>
    <w:rsid w:val="002A21E6"/>
    <w:rsid w:val="002A343C"/>
    <w:rsid w:val="002A5081"/>
    <w:rsid w:val="002B11DE"/>
    <w:rsid w:val="002B26D2"/>
    <w:rsid w:val="002B7E70"/>
    <w:rsid w:val="002C0FCB"/>
    <w:rsid w:val="002C1871"/>
    <w:rsid w:val="002C334D"/>
    <w:rsid w:val="002C4209"/>
    <w:rsid w:val="002C4469"/>
    <w:rsid w:val="002C45BB"/>
    <w:rsid w:val="002C4B2E"/>
    <w:rsid w:val="002C65A0"/>
    <w:rsid w:val="002C6D66"/>
    <w:rsid w:val="002C7B7E"/>
    <w:rsid w:val="002D1F40"/>
    <w:rsid w:val="002D4C63"/>
    <w:rsid w:val="002E2564"/>
    <w:rsid w:val="002E277F"/>
    <w:rsid w:val="002E3822"/>
    <w:rsid w:val="002E7088"/>
    <w:rsid w:val="002F210E"/>
    <w:rsid w:val="002F2BCF"/>
    <w:rsid w:val="002F4CB2"/>
    <w:rsid w:val="002F4F75"/>
    <w:rsid w:val="002F5C81"/>
    <w:rsid w:val="002F77D2"/>
    <w:rsid w:val="0030259E"/>
    <w:rsid w:val="00302DF2"/>
    <w:rsid w:val="0030403E"/>
    <w:rsid w:val="00307710"/>
    <w:rsid w:val="00310AE7"/>
    <w:rsid w:val="00311822"/>
    <w:rsid w:val="00312ABA"/>
    <w:rsid w:val="00315C87"/>
    <w:rsid w:val="00321E47"/>
    <w:rsid w:val="003235AC"/>
    <w:rsid w:val="003249A7"/>
    <w:rsid w:val="00327FF2"/>
    <w:rsid w:val="003332EB"/>
    <w:rsid w:val="003347F2"/>
    <w:rsid w:val="0033629D"/>
    <w:rsid w:val="00337BB4"/>
    <w:rsid w:val="00347942"/>
    <w:rsid w:val="003503CC"/>
    <w:rsid w:val="003504A8"/>
    <w:rsid w:val="003524E1"/>
    <w:rsid w:val="00354CB1"/>
    <w:rsid w:val="0035514E"/>
    <w:rsid w:val="003554C4"/>
    <w:rsid w:val="00356066"/>
    <w:rsid w:val="00363E4F"/>
    <w:rsid w:val="00364CF1"/>
    <w:rsid w:val="003774BE"/>
    <w:rsid w:val="0038009B"/>
    <w:rsid w:val="00381B68"/>
    <w:rsid w:val="00383C8B"/>
    <w:rsid w:val="00383FE2"/>
    <w:rsid w:val="00387143"/>
    <w:rsid w:val="00391F0E"/>
    <w:rsid w:val="003A13F3"/>
    <w:rsid w:val="003A2326"/>
    <w:rsid w:val="003A5E01"/>
    <w:rsid w:val="003A7CEB"/>
    <w:rsid w:val="003B178A"/>
    <w:rsid w:val="003B1AEF"/>
    <w:rsid w:val="003B33FF"/>
    <w:rsid w:val="003B4A0E"/>
    <w:rsid w:val="003C0BC9"/>
    <w:rsid w:val="003C11FF"/>
    <w:rsid w:val="003C1E55"/>
    <w:rsid w:val="003C312E"/>
    <w:rsid w:val="003C44FC"/>
    <w:rsid w:val="003C61B5"/>
    <w:rsid w:val="003C6C89"/>
    <w:rsid w:val="003D103B"/>
    <w:rsid w:val="003D32A2"/>
    <w:rsid w:val="003D3D8D"/>
    <w:rsid w:val="003D3F9C"/>
    <w:rsid w:val="003E15B7"/>
    <w:rsid w:val="003E28B1"/>
    <w:rsid w:val="003E4C1A"/>
    <w:rsid w:val="003E6576"/>
    <w:rsid w:val="003F14C3"/>
    <w:rsid w:val="003F440A"/>
    <w:rsid w:val="003F5C5D"/>
    <w:rsid w:val="004017DB"/>
    <w:rsid w:val="00401E4F"/>
    <w:rsid w:val="0040593E"/>
    <w:rsid w:val="00407811"/>
    <w:rsid w:val="00412B54"/>
    <w:rsid w:val="004133EE"/>
    <w:rsid w:val="00414F84"/>
    <w:rsid w:val="00417E7D"/>
    <w:rsid w:val="004237AE"/>
    <w:rsid w:val="004242CB"/>
    <w:rsid w:val="0042517A"/>
    <w:rsid w:val="004448B2"/>
    <w:rsid w:val="00453A2C"/>
    <w:rsid w:val="00454254"/>
    <w:rsid w:val="00454401"/>
    <w:rsid w:val="004551FD"/>
    <w:rsid w:val="00461179"/>
    <w:rsid w:val="00461696"/>
    <w:rsid w:val="0046199B"/>
    <w:rsid w:val="00463934"/>
    <w:rsid w:val="00467891"/>
    <w:rsid w:val="00470024"/>
    <w:rsid w:val="004700E5"/>
    <w:rsid w:val="004703F4"/>
    <w:rsid w:val="00477E9D"/>
    <w:rsid w:val="00480654"/>
    <w:rsid w:val="004823BF"/>
    <w:rsid w:val="0048302F"/>
    <w:rsid w:val="00485FB2"/>
    <w:rsid w:val="004911A5"/>
    <w:rsid w:val="00494E56"/>
    <w:rsid w:val="004A1A8B"/>
    <w:rsid w:val="004A3147"/>
    <w:rsid w:val="004B17DA"/>
    <w:rsid w:val="004B524B"/>
    <w:rsid w:val="004B7BE8"/>
    <w:rsid w:val="004B7DC4"/>
    <w:rsid w:val="004C0E4E"/>
    <w:rsid w:val="004C3FC7"/>
    <w:rsid w:val="004C40ED"/>
    <w:rsid w:val="004C6B06"/>
    <w:rsid w:val="004D13F3"/>
    <w:rsid w:val="004D2D69"/>
    <w:rsid w:val="004D576B"/>
    <w:rsid w:val="004D6119"/>
    <w:rsid w:val="004D7421"/>
    <w:rsid w:val="004E09DF"/>
    <w:rsid w:val="004E1FEB"/>
    <w:rsid w:val="004E4BB6"/>
    <w:rsid w:val="004F2080"/>
    <w:rsid w:val="004F23A7"/>
    <w:rsid w:val="004F558E"/>
    <w:rsid w:val="004F6497"/>
    <w:rsid w:val="004F6658"/>
    <w:rsid w:val="004F72E9"/>
    <w:rsid w:val="005076FB"/>
    <w:rsid w:val="00512DCB"/>
    <w:rsid w:val="00513B39"/>
    <w:rsid w:val="00516417"/>
    <w:rsid w:val="00520A9D"/>
    <w:rsid w:val="005245BC"/>
    <w:rsid w:val="005304B5"/>
    <w:rsid w:val="00532A68"/>
    <w:rsid w:val="005332C0"/>
    <w:rsid w:val="00533E30"/>
    <w:rsid w:val="0053578E"/>
    <w:rsid w:val="005365F6"/>
    <w:rsid w:val="00550275"/>
    <w:rsid w:val="005505C0"/>
    <w:rsid w:val="005518AC"/>
    <w:rsid w:val="00552277"/>
    <w:rsid w:val="005538E7"/>
    <w:rsid w:val="005538EA"/>
    <w:rsid w:val="00553E4D"/>
    <w:rsid w:val="005571F6"/>
    <w:rsid w:val="00560E8A"/>
    <w:rsid w:val="005639A5"/>
    <w:rsid w:val="00567EA9"/>
    <w:rsid w:val="00573794"/>
    <w:rsid w:val="0057514A"/>
    <w:rsid w:val="00576C7F"/>
    <w:rsid w:val="00576E5F"/>
    <w:rsid w:val="0058209E"/>
    <w:rsid w:val="0058235E"/>
    <w:rsid w:val="005826D4"/>
    <w:rsid w:val="0058437B"/>
    <w:rsid w:val="00584721"/>
    <w:rsid w:val="005859A7"/>
    <w:rsid w:val="00587150"/>
    <w:rsid w:val="00591BE0"/>
    <w:rsid w:val="005952E4"/>
    <w:rsid w:val="00595E99"/>
    <w:rsid w:val="00596B6D"/>
    <w:rsid w:val="00597941"/>
    <w:rsid w:val="005A0312"/>
    <w:rsid w:val="005A29AE"/>
    <w:rsid w:val="005B6020"/>
    <w:rsid w:val="005B64C9"/>
    <w:rsid w:val="005B791E"/>
    <w:rsid w:val="005B7F79"/>
    <w:rsid w:val="005C16AB"/>
    <w:rsid w:val="005C351C"/>
    <w:rsid w:val="005C50ED"/>
    <w:rsid w:val="005C52FC"/>
    <w:rsid w:val="005C6900"/>
    <w:rsid w:val="005C6939"/>
    <w:rsid w:val="005D0E02"/>
    <w:rsid w:val="005D3D3C"/>
    <w:rsid w:val="005D5FBA"/>
    <w:rsid w:val="005E1CCB"/>
    <w:rsid w:val="005E316F"/>
    <w:rsid w:val="005E3D2C"/>
    <w:rsid w:val="005F1012"/>
    <w:rsid w:val="005F2ED6"/>
    <w:rsid w:val="005F3639"/>
    <w:rsid w:val="005F3F5E"/>
    <w:rsid w:val="006004BA"/>
    <w:rsid w:val="006018FA"/>
    <w:rsid w:val="00603EDB"/>
    <w:rsid w:val="00615141"/>
    <w:rsid w:val="00624C8F"/>
    <w:rsid w:val="00627945"/>
    <w:rsid w:val="00631FBC"/>
    <w:rsid w:val="00633432"/>
    <w:rsid w:val="00647287"/>
    <w:rsid w:val="00652897"/>
    <w:rsid w:val="006550F3"/>
    <w:rsid w:val="00655E90"/>
    <w:rsid w:val="00656CCA"/>
    <w:rsid w:val="006600D3"/>
    <w:rsid w:val="00661BC8"/>
    <w:rsid w:val="00663AC9"/>
    <w:rsid w:val="00663CE9"/>
    <w:rsid w:val="00671C2A"/>
    <w:rsid w:val="006745A7"/>
    <w:rsid w:val="00675E4B"/>
    <w:rsid w:val="006774BE"/>
    <w:rsid w:val="00683A44"/>
    <w:rsid w:val="00690446"/>
    <w:rsid w:val="00692D8F"/>
    <w:rsid w:val="0069343A"/>
    <w:rsid w:val="00693D82"/>
    <w:rsid w:val="00697F2A"/>
    <w:rsid w:val="006A06F0"/>
    <w:rsid w:val="006A1A04"/>
    <w:rsid w:val="006A238C"/>
    <w:rsid w:val="006A5EA8"/>
    <w:rsid w:val="006A649B"/>
    <w:rsid w:val="006B0865"/>
    <w:rsid w:val="006B0EF8"/>
    <w:rsid w:val="006B2369"/>
    <w:rsid w:val="006B3079"/>
    <w:rsid w:val="006B3086"/>
    <w:rsid w:val="006B3527"/>
    <w:rsid w:val="006B472E"/>
    <w:rsid w:val="006B49FB"/>
    <w:rsid w:val="006B5ACA"/>
    <w:rsid w:val="006B5F9D"/>
    <w:rsid w:val="006B6256"/>
    <w:rsid w:val="006B7B47"/>
    <w:rsid w:val="006C3FF6"/>
    <w:rsid w:val="006C4382"/>
    <w:rsid w:val="006C4A7C"/>
    <w:rsid w:val="006C5C84"/>
    <w:rsid w:val="006D19FD"/>
    <w:rsid w:val="006D215E"/>
    <w:rsid w:val="006D2D32"/>
    <w:rsid w:val="006D34EB"/>
    <w:rsid w:val="006D38A6"/>
    <w:rsid w:val="006D536D"/>
    <w:rsid w:val="006D60F3"/>
    <w:rsid w:val="006D6849"/>
    <w:rsid w:val="006D6D8C"/>
    <w:rsid w:val="006D7423"/>
    <w:rsid w:val="006D7B0A"/>
    <w:rsid w:val="006E5099"/>
    <w:rsid w:val="006E5926"/>
    <w:rsid w:val="006E5C9C"/>
    <w:rsid w:val="006E70D2"/>
    <w:rsid w:val="006E7478"/>
    <w:rsid w:val="006F032E"/>
    <w:rsid w:val="006F2581"/>
    <w:rsid w:val="006F34B6"/>
    <w:rsid w:val="006F4D75"/>
    <w:rsid w:val="006F55B1"/>
    <w:rsid w:val="006F6F08"/>
    <w:rsid w:val="0070006F"/>
    <w:rsid w:val="007025EA"/>
    <w:rsid w:val="007030E6"/>
    <w:rsid w:val="00706E44"/>
    <w:rsid w:val="007105E3"/>
    <w:rsid w:val="00712A0B"/>
    <w:rsid w:val="00712C82"/>
    <w:rsid w:val="00713075"/>
    <w:rsid w:val="0072296F"/>
    <w:rsid w:val="007241A8"/>
    <w:rsid w:val="00726B94"/>
    <w:rsid w:val="007327BD"/>
    <w:rsid w:val="0073699B"/>
    <w:rsid w:val="00740EAB"/>
    <w:rsid w:val="00745F56"/>
    <w:rsid w:val="00747035"/>
    <w:rsid w:val="00750B59"/>
    <w:rsid w:val="00751792"/>
    <w:rsid w:val="0075402C"/>
    <w:rsid w:val="00754258"/>
    <w:rsid w:val="007633FA"/>
    <w:rsid w:val="007635AB"/>
    <w:rsid w:val="00766364"/>
    <w:rsid w:val="007665B4"/>
    <w:rsid w:val="00774830"/>
    <w:rsid w:val="00774C64"/>
    <w:rsid w:val="00774EC3"/>
    <w:rsid w:val="00776740"/>
    <w:rsid w:val="007775D1"/>
    <w:rsid w:val="007776E8"/>
    <w:rsid w:val="00782C23"/>
    <w:rsid w:val="0079051E"/>
    <w:rsid w:val="00791591"/>
    <w:rsid w:val="00797A98"/>
    <w:rsid w:val="007A3B04"/>
    <w:rsid w:val="007A4382"/>
    <w:rsid w:val="007B0EF6"/>
    <w:rsid w:val="007B64F3"/>
    <w:rsid w:val="007B77C9"/>
    <w:rsid w:val="007C2DB4"/>
    <w:rsid w:val="007C38B2"/>
    <w:rsid w:val="007D03E8"/>
    <w:rsid w:val="007D0B7E"/>
    <w:rsid w:val="007D2F69"/>
    <w:rsid w:val="007D54D1"/>
    <w:rsid w:val="007E0816"/>
    <w:rsid w:val="007E0A71"/>
    <w:rsid w:val="007E206C"/>
    <w:rsid w:val="007E2F68"/>
    <w:rsid w:val="007E32B9"/>
    <w:rsid w:val="007E3FF9"/>
    <w:rsid w:val="007F0FC2"/>
    <w:rsid w:val="007F30C8"/>
    <w:rsid w:val="007F5D9A"/>
    <w:rsid w:val="008047B0"/>
    <w:rsid w:val="00807244"/>
    <w:rsid w:val="00815B5F"/>
    <w:rsid w:val="008259C3"/>
    <w:rsid w:val="00827AF5"/>
    <w:rsid w:val="0084066D"/>
    <w:rsid w:val="00843A05"/>
    <w:rsid w:val="00845E78"/>
    <w:rsid w:val="008475D8"/>
    <w:rsid w:val="00855520"/>
    <w:rsid w:val="0086090C"/>
    <w:rsid w:val="00860958"/>
    <w:rsid w:val="00861D0B"/>
    <w:rsid w:val="0087231D"/>
    <w:rsid w:val="00873912"/>
    <w:rsid w:val="008759AB"/>
    <w:rsid w:val="008767FB"/>
    <w:rsid w:val="00883605"/>
    <w:rsid w:val="00886F38"/>
    <w:rsid w:val="00892728"/>
    <w:rsid w:val="0089538F"/>
    <w:rsid w:val="00897FD6"/>
    <w:rsid w:val="008A119B"/>
    <w:rsid w:val="008A296C"/>
    <w:rsid w:val="008A3901"/>
    <w:rsid w:val="008B4F01"/>
    <w:rsid w:val="008B509B"/>
    <w:rsid w:val="008B6ACF"/>
    <w:rsid w:val="008C05FC"/>
    <w:rsid w:val="008C1323"/>
    <w:rsid w:val="008C24A2"/>
    <w:rsid w:val="008C324B"/>
    <w:rsid w:val="008C5D5B"/>
    <w:rsid w:val="008C724F"/>
    <w:rsid w:val="008D4E32"/>
    <w:rsid w:val="008D5478"/>
    <w:rsid w:val="008D7956"/>
    <w:rsid w:val="008E086E"/>
    <w:rsid w:val="008E1C65"/>
    <w:rsid w:val="008E6FE7"/>
    <w:rsid w:val="008F4155"/>
    <w:rsid w:val="008F498C"/>
    <w:rsid w:val="008F5724"/>
    <w:rsid w:val="008F73E1"/>
    <w:rsid w:val="00905443"/>
    <w:rsid w:val="00910BED"/>
    <w:rsid w:val="00921A7A"/>
    <w:rsid w:val="009337BC"/>
    <w:rsid w:val="0093408D"/>
    <w:rsid w:val="00934EF0"/>
    <w:rsid w:val="009373C3"/>
    <w:rsid w:val="00941345"/>
    <w:rsid w:val="009441DD"/>
    <w:rsid w:val="00945974"/>
    <w:rsid w:val="009471E3"/>
    <w:rsid w:val="009514C4"/>
    <w:rsid w:val="00952898"/>
    <w:rsid w:val="009538AB"/>
    <w:rsid w:val="009568D4"/>
    <w:rsid w:val="00962315"/>
    <w:rsid w:val="0096740D"/>
    <w:rsid w:val="009712D3"/>
    <w:rsid w:val="00973874"/>
    <w:rsid w:val="009758B2"/>
    <w:rsid w:val="009776A2"/>
    <w:rsid w:val="00980123"/>
    <w:rsid w:val="009845A6"/>
    <w:rsid w:val="00985D4A"/>
    <w:rsid w:val="0099412E"/>
    <w:rsid w:val="0099419E"/>
    <w:rsid w:val="009A2490"/>
    <w:rsid w:val="009A2B2E"/>
    <w:rsid w:val="009A3B8F"/>
    <w:rsid w:val="009A7647"/>
    <w:rsid w:val="009B2491"/>
    <w:rsid w:val="009B43F2"/>
    <w:rsid w:val="009B5C78"/>
    <w:rsid w:val="009B6232"/>
    <w:rsid w:val="009D029C"/>
    <w:rsid w:val="009D0F75"/>
    <w:rsid w:val="009D25A4"/>
    <w:rsid w:val="009D54F0"/>
    <w:rsid w:val="009D6927"/>
    <w:rsid w:val="009D6CD8"/>
    <w:rsid w:val="009E00F7"/>
    <w:rsid w:val="009E5565"/>
    <w:rsid w:val="009F0417"/>
    <w:rsid w:val="009F0E9F"/>
    <w:rsid w:val="009F1C74"/>
    <w:rsid w:val="009F35E4"/>
    <w:rsid w:val="009F50CE"/>
    <w:rsid w:val="00A01551"/>
    <w:rsid w:val="00A019D6"/>
    <w:rsid w:val="00A02433"/>
    <w:rsid w:val="00A04BD0"/>
    <w:rsid w:val="00A0596A"/>
    <w:rsid w:val="00A06A04"/>
    <w:rsid w:val="00A07DE5"/>
    <w:rsid w:val="00A10386"/>
    <w:rsid w:val="00A1444C"/>
    <w:rsid w:val="00A144D1"/>
    <w:rsid w:val="00A15099"/>
    <w:rsid w:val="00A157DF"/>
    <w:rsid w:val="00A163D0"/>
    <w:rsid w:val="00A26121"/>
    <w:rsid w:val="00A26486"/>
    <w:rsid w:val="00A26C11"/>
    <w:rsid w:val="00A27F8B"/>
    <w:rsid w:val="00A30BC5"/>
    <w:rsid w:val="00A30F55"/>
    <w:rsid w:val="00A32A92"/>
    <w:rsid w:val="00A3424B"/>
    <w:rsid w:val="00A373E7"/>
    <w:rsid w:val="00A4205C"/>
    <w:rsid w:val="00A43E83"/>
    <w:rsid w:val="00A45337"/>
    <w:rsid w:val="00A47168"/>
    <w:rsid w:val="00A50593"/>
    <w:rsid w:val="00A50B0E"/>
    <w:rsid w:val="00A52AB6"/>
    <w:rsid w:val="00A53576"/>
    <w:rsid w:val="00A54085"/>
    <w:rsid w:val="00A543AC"/>
    <w:rsid w:val="00A54D62"/>
    <w:rsid w:val="00A55DFD"/>
    <w:rsid w:val="00A571EC"/>
    <w:rsid w:val="00A6151D"/>
    <w:rsid w:val="00A6165D"/>
    <w:rsid w:val="00A62563"/>
    <w:rsid w:val="00A72D65"/>
    <w:rsid w:val="00A77C16"/>
    <w:rsid w:val="00A77EDA"/>
    <w:rsid w:val="00A814F8"/>
    <w:rsid w:val="00A83133"/>
    <w:rsid w:val="00A8436C"/>
    <w:rsid w:val="00A858BC"/>
    <w:rsid w:val="00A85CC9"/>
    <w:rsid w:val="00A92215"/>
    <w:rsid w:val="00A9306F"/>
    <w:rsid w:val="00A96B20"/>
    <w:rsid w:val="00AA28C0"/>
    <w:rsid w:val="00AA2D76"/>
    <w:rsid w:val="00AB3A22"/>
    <w:rsid w:val="00AB531B"/>
    <w:rsid w:val="00AB583D"/>
    <w:rsid w:val="00AC34B3"/>
    <w:rsid w:val="00AC68C4"/>
    <w:rsid w:val="00AD1173"/>
    <w:rsid w:val="00AD18D2"/>
    <w:rsid w:val="00AD1F5C"/>
    <w:rsid w:val="00AD4052"/>
    <w:rsid w:val="00AD6471"/>
    <w:rsid w:val="00AD677D"/>
    <w:rsid w:val="00AE446D"/>
    <w:rsid w:val="00AE7F31"/>
    <w:rsid w:val="00B026B5"/>
    <w:rsid w:val="00B03DD9"/>
    <w:rsid w:val="00B04526"/>
    <w:rsid w:val="00B05388"/>
    <w:rsid w:val="00B068D9"/>
    <w:rsid w:val="00B1448E"/>
    <w:rsid w:val="00B21B3E"/>
    <w:rsid w:val="00B22169"/>
    <w:rsid w:val="00B23417"/>
    <w:rsid w:val="00B240E8"/>
    <w:rsid w:val="00B25CB8"/>
    <w:rsid w:val="00B32F08"/>
    <w:rsid w:val="00B35D5A"/>
    <w:rsid w:val="00B3673B"/>
    <w:rsid w:val="00B4131D"/>
    <w:rsid w:val="00B415B7"/>
    <w:rsid w:val="00B41D45"/>
    <w:rsid w:val="00B42677"/>
    <w:rsid w:val="00B52706"/>
    <w:rsid w:val="00B52A65"/>
    <w:rsid w:val="00B54BC2"/>
    <w:rsid w:val="00B5541C"/>
    <w:rsid w:val="00B57E3E"/>
    <w:rsid w:val="00B60179"/>
    <w:rsid w:val="00B60CCB"/>
    <w:rsid w:val="00B775AB"/>
    <w:rsid w:val="00B85AEF"/>
    <w:rsid w:val="00B90B9A"/>
    <w:rsid w:val="00B9464A"/>
    <w:rsid w:val="00B9551E"/>
    <w:rsid w:val="00B95F9D"/>
    <w:rsid w:val="00B96C83"/>
    <w:rsid w:val="00BA6A05"/>
    <w:rsid w:val="00BA75D1"/>
    <w:rsid w:val="00BA7EF9"/>
    <w:rsid w:val="00BB04C2"/>
    <w:rsid w:val="00BB12AA"/>
    <w:rsid w:val="00BB2048"/>
    <w:rsid w:val="00BC1FE4"/>
    <w:rsid w:val="00BC362F"/>
    <w:rsid w:val="00BC523A"/>
    <w:rsid w:val="00BC5AC8"/>
    <w:rsid w:val="00BC6E68"/>
    <w:rsid w:val="00BC7687"/>
    <w:rsid w:val="00BC76C2"/>
    <w:rsid w:val="00BD3783"/>
    <w:rsid w:val="00BD40EA"/>
    <w:rsid w:val="00BD5E0C"/>
    <w:rsid w:val="00BE1310"/>
    <w:rsid w:val="00BE6394"/>
    <w:rsid w:val="00BE72BF"/>
    <w:rsid w:val="00BF72BE"/>
    <w:rsid w:val="00C0158C"/>
    <w:rsid w:val="00C032CB"/>
    <w:rsid w:val="00C04591"/>
    <w:rsid w:val="00C04F4C"/>
    <w:rsid w:val="00C05CD5"/>
    <w:rsid w:val="00C06551"/>
    <w:rsid w:val="00C226B2"/>
    <w:rsid w:val="00C24127"/>
    <w:rsid w:val="00C3556D"/>
    <w:rsid w:val="00C35623"/>
    <w:rsid w:val="00C36EAC"/>
    <w:rsid w:val="00C46005"/>
    <w:rsid w:val="00C502F0"/>
    <w:rsid w:val="00C57879"/>
    <w:rsid w:val="00C63163"/>
    <w:rsid w:val="00C66F64"/>
    <w:rsid w:val="00C716B6"/>
    <w:rsid w:val="00C76329"/>
    <w:rsid w:val="00C76AB9"/>
    <w:rsid w:val="00C8797A"/>
    <w:rsid w:val="00C9103C"/>
    <w:rsid w:val="00C928C9"/>
    <w:rsid w:val="00C93F0A"/>
    <w:rsid w:val="00C96ACC"/>
    <w:rsid w:val="00CA3256"/>
    <w:rsid w:val="00CA4B29"/>
    <w:rsid w:val="00CB28D0"/>
    <w:rsid w:val="00CB3239"/>
    <w:rsid w:val="00CB7B32"/>
    <w:rsid w:val="00CC144D"/>
    <w:rsid w:val="00CC3075"/>
    <w:rsid w:val="00CC39ED"/>
    <w:rsid w:val="00CC67B2"/>
    <w:rsid w:val="00CD772A"/>
    <w:rsid w:val="00CE6978"/>
    <w:rsid w:val="00CF351A"/>
    <w:rsid w:val="00CF6242"/>
    <w:rsid w:val="00D0036A"/>
    <w:rsid w:val="00D00562"/>
    <w:rsid w:val="00D01E94"/>
    <w:rsid w:val="00D03395"/>
    <w:rsid w:val="00D05459"/>
    <w:rsid w:val="00D05D67"/>
    <w:rsid w:val="00D07767"/>
    <w:rsid w:val="00D15061"/>
    <w:rsid w:val="00D153BE"/>
    <w:rsid w:val="00D15C08"/>
    <w:rsid w:val="00D16400"/>
    <w:rsid w:val="00D17DF7"/>
    <w:rsid w:val="00D213F1"/>
    <w:rsid w:val="00D2308A"/>
    <w:rsid w:val="00D2552C"/>
    <w:rsid w:val="00D25F55"/>
    <w:rsid w:val="00D25F95"/>
    <w:rsid w:val="00D3104F"/>
    <w:rsid w:val="00D31A94"/>
    <w:rsid w:val="00D33BA9"/>
    <w:rsid w:val="00D36FCC"/>
    <w:rsid w:val="00D37DF5"/>
    <w:rsid w:val="00D42C1D"/>
    <w:rsid w:val="00D45691"/>
    <w:rsid w:val="00D4643E"/>
    <w:rsid w:val="00D5085C"/>
    <w:rsid w:val="00D50DD1"/>
    <w:rsid w:val="00D51D96"/>
    <w:rsid w:val="00D52EAF"/>
    <w:rsid w:val="00D54435"/>
    <w:rsid w:val="00D64980"/>
    <w:rsid w:val="00D65C0A"/>
    <w:rsid w:val="00D66904"/>
    <w:rsid w:val="00D705C2"/>
    <w:rsid w:val="00D72CBA"/>
    <w:rsid w:val="00D72F3F"/>
    <w:rsid w:val="00D833EC"/>
    <w:rsid w:val="00D84E74"/>
    <w:rsid w:val="00D85F68"/>
    <w:rsid w:val="00D90BE5"/>
    <w:rsid w:val="00D9185A"/>
    <w:rsid w:val="00D93E08"/>
    <w:rsid w:val="00DA0C46"/>
    <w:rsid w:val="00DA1DE2"/>
    <w:rsid w:val="00DA6848"/>
    <w:rsid w:val="00DA6A1B"/>
    <w:rsid w:val="00DB30CC"/>
    <w:rsid w:val="00DB39B5"/>
    <w:rsid w:val="00DC6393"/>
    <w:rsid w:val="00DD1F9F"/>
    <w:rsid w:val="00DD33D5"/>
    <w:rsid w:val="00DD5F98"/>
    <w:rsid w:val="00DD7D17"/>
    <w:rsid w:val="00DD7EE9"/>
    <w:rsid w:val="00DE083A"/>
    <w:rsid w:val="00DE3D19"/>
    <w:rsid w:val="00DF0263"/>
    <w:rsid w:val="00DF0DB7"/>
    <w:rsid w:val="00DF4081"/>
    <w:rsid w:val="00DF4D2F"/>
    <w:rsid w:val="00DF594B"/>
    <w:rsid w:val="00DF7EA9"/>
    <w:rsid w:val="00E07545"/>
    <w:rsid w:val="00E11D43"/>
    <w:rsid w:val="00E12B67"/>
    <w:rsid w:val="00E17C87"/>
    <w:rsid w:val="00E25055"/>
    <w:rsid w:val="00E25DD9"/>
    <w:rsid w:val="00E268FE"/>
    <w:rsid w:val="00E27339"/>
    <w:rsid w:val="00E27C99"/>
    <w:rsid w:val="00E33BF5"/>
    <w:rsid w:val="00E37E16"/>
    <w:rsid w:val="00E4279E"/>
    <w:rsid w:val="00E42A6B"/>
    <w:rsid w:val="00E42BC7"/>
    <w:rsid w:val="00E50CCD"/>
    <w:rsid w:val="00E52500"/>
    <w:rsid w:val="00E55407"/>
    <w:rsid w:val="00E60B9E"/>
    <w:rsid w:val="00E62CFE"/>
    <w:rsid w:val="00E6300C"/>
    <w:rsid w:val="00E7212D"/>
    <w:rsid w:val="00E73376"/>
    <w:rsid w:val="00E75D8F"/>
    <w:rsid w:val="00E77455"/>
    <w:rsid w:val="00E77623"/>
    <w:rsid w:val="00E8202E"/>
    <w:rsid w:val="00E83C2C"/>
    <w:rsid w:val="00E87533"/>
    <w:rsid w:val="00E9084C"/>
    <w:rsid w:val="00E918F3"/>
    <w:rsid w:val="00E95F3D"/>
    <w:rsid w:val="00EA08F1"/>
    <w:rsid w:val="00EA11CA"/>
    <w:rsid w:val="00EB3E99"/>
    <w:rsid w:val="00EC2356"/>
    <w:rsid w:val="00EC4714"/>
    <w:rsid w:val="00EC7CCD"/>
    <w:rsid w:val="00ED1830"/>
    <w:rsid w:val="00ED36A3"/>
    <w:rsid w:val="00ED5F68"/>
    <w:rsid w:val="00EE17F9"/>
    <w:rsid w:val="00EE266E"/>
    <w:rsid w:val="00EF0048"/>
    <w:rsid w:val="00EF1535"/>
    <w:rsid w:val="00EF223C"/>
    <w:rsid w:val="00EF5326"/>
    <w:rsid w:val="00EF6CF8"/>
    <w:rsid w:val="00F06536"/>
    <w:rsid w:val="00F1027C"/>
    <w:rsid w:val="00F115FB"/>
    <w:rsid w:val="00F1237A"/>
    <w:rsid w:val="00F13FCA"/>
    <w:rsid w:val="00F14C8F"/>
    <w:rsid w:val="00F16C07"/>
    <w:rsid w:val="00F176BC"/>
    <w:rsid w:val="00F2391D"/>
    <w:rsid w:val="00F23D2E"/>
    <w:rsid w:val="00F25DB3"/>
    <w:rsid w:val="00F269B1"/>
    <w:rsid w:val="00F314DF"/>
    <w:rsid w:val="00F31C78"/>
    <w:rsid w:val="00F326C3"/>
    <w:rsid w:val="00F35AE7"/>
    <w:rsid w:val="00F37DB5"/>
    <w:rsid w:val="00F4165D"/>
    <w:rsid w:val="00F41871"/>
    <w:rsid w:val="00F43D62"/>
    <w:rsid w:val="00F44591"/>
    <w:rsid w:val="00F50177"/>
    <w:rsid w:val="00F5035E"/>
    <w:rsid w:val="00F5259B"/>
    <w:rsid w:val="00F5295D"/>
    <w:rsid w:val="00F60C9B"/>
    <w:rsid w:val="00F64A8F"/>
    <w:rsid w:val="00F6677E"/>
    <w:rsid w:val="00F74E73"/>
    <w:rsid w:val="00F75D34"/>
    <w:rsid w:val="00F83381"/>
    <w:rsid w:val="00F856BA"/>
    <w:rsid w:val="00F928F3"/>
    <w:rsid w:val="00F93454"/>
    <w:rsid w:val="00F9361D"/>
    <w:rsid w:val="00FA24F2"/>
    <w:rsid w:val="00FA3CEA"/>
    <w:rsid w:val="00FA640A"/>
    <w:rsid w:val="00FA738C"/>
    <w:rsid w:val="00FB1E86"/>
    <w:rsid w:val="00FB5962"/>
    <w:rsid w:val="00FB6402"/>
    <w:rsid w:val="00FB6595"/>
    <w:rsid w:val="00FC7687"/>
    <w:rsid w:val="00FC773D"/>
    <w:rsid w:val="00FD1F78"/>
    <w:rsid w:val="00FE0028"/>
    <w:rsid w:val="00FE1D6E"/>
    <w:rsid w:val="00FE35B9"/>
    <w:rsid w:val="00FF1C7B"/>
    <w:rsid w:val="00FF1CF4"/>
    <w:rsid w:val="00FF3F61"/>
    <w:rsid w:val="00FF73F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326"/>
  </w:style>
  <w:style w:type="paragraph" w:styleId="Heading1">
    <w:name w:val="heading 1"/>
    <w:basedOn w:val="Normal"/>
    <w:next w:val="Normal"/>
    <w:link w:val="Heading1Char"/>
    <w:autoRedefine/>
    <w:uiPriority w:val="9"/>
    <w:qFormat/>
    <w:rsid w:val="00C93F0A"/>
    <w:pPr>
      <w:keepNext/>
      <w:keepLines/>
      <w:spacing w:after="240"/>
      <w:outlineLvl w:val="0"/>
    </w:pPr>
    <w:rPr>
      <w:rFonts w:ascii="Times New Roman Bold" w:hAnsi="Times New Roman Bold" w:eastAsiaTheme="majorEastAsia" w:cs="Times New Roman"/>
      <w:b/>
      <w:caps/>
      <w:sz w:val="24"/>
      <w:szCs w:val="24"/>
    </w:rPr>
  </w:style>
  <w:style w:type="paragraph" w:styleId="Heading2">
    <w:name w:val="heading 2"/>
    <w:basedOn w:val="Normal"/>
    <w:next w:val="Normal"/>
    <w:link w:val="Heading2Char"/>
    <w:autoRedefine/>
    <w:unhideWhenUsed/>
    <w:qFormat/>
    <w:rsid w:val="005571F6"/>
    <w:pPr>
      <w:keepNext/>
      <w:keepLines/>
      <w:spacing w:after="240"/>
      <w:ind w:left="720"/>
      <w:outlineLvl w:val="1"/>
    </w:pPr>
    <w:rPr>
      <w:rFonts w:ascii="Times New Roman" w:hAnsi="Times New Roman" w:cs="Times New Roman"/>
      <w:b/>
      <w:bCs/>
      <w:sz w:val="24"/>
      <w:szCs w:val="24"/>
    </w:rPr>
  </w:style>
  <w:style w:type="paragraph" w:styleId="Heading3">
    <w:name w:val="heading 3"/>
    <w:basedOn w:val="Normal"/>
    <w:next w:val="Normal"/>
    <w:link w:val="Heading3Char"/>
    <w:autoRedefine/>
    <w:uiPriority w:val="9"/>
    <w:unhideWhenUsed/>
    <w:qFormat/>
    <w:rsid w:val="003D32A2"/>
    <w:pPr>
      <w:keepNext/>
      <w:keepLines/>
      <w:spacing w:after="240"/>
      <w:ind w:left="720"/>
      <w:outlineLvl w:val="2"/>
    </w:pPr>
    <w:rPr>
      <w:rFonts w:ascii="Times New Roman Bold" w:hAnsi="Times New Roman Bold" w:eastAsiaTheme="majorEastAsia"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7C6BDC"/>
    <w:pPr>
      <w:spacing w:after="0"/>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5571F6"/>
    <w:rPr>
      <w:rFonts w:ascii="Times New Roman" w:hAnsi="Times New Roman"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iPriority w:val="99"/>
    <w:unhideWhenUsed/>
    <w:rsid w:val="00775C0C"/>
    <w:rPr>
      <w:sz w:val="20"/>
      <w:szCs w:val="20"/>
    </w:rPr>
  </w:style>
  <w:style w:type="character" w:customStyle="1" w:styleId="CommentTextChar">
    <w:name w:val="Comment Text Char"/>
    <w:basedOn w:val="DefaultParagraphFont"/>
    <w:link w:val="CommentText"/>
    <w:uiPriority w:val="99"/>
    <w:rsid w:val="00775C0C"/>
    <w:rPr>
      <w:sz w:val="20"/>
      <w:szCs w:val="20"/>
    </w:rPr>
  </w:style>
  <w:style w:type="paragraph" w:styleId="CommentSubject">
    <w:name w:val="annotation subject"/>
    <w:basedOn w:val="CommentText"/>
    <w:next w:val="CommentText"/>
    <w:link w:val="CommentSubjectChar"/>
    <w:semiHidden/>
    <w:unhideWhenUsed/>
    <w:rsid w:val="00B81C2C"/>
    <w:rPr>
      <w:b/>
      <w:bCs/>
    </w:rPr>
  </w:style>
  <w:style w:type="character" w:customStyle="1" w:styleId="CommentSubjectChar">
    <w:name w:val="Comment Subject Char"/>
    <w:basedOn w:val="CommentTextChar"/>
    <w:link w:val="CommentSubject"/>
    <w:uiPriority w:val="99"/>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rsid w:val="00C86495"/>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3F0A"/>
    <w:rPr>
      <w:rFonts w:ascii="Times New Roman Bold" w:hAnsi="Times New Roman Bold" w:eastAsiaTheme="majorEastAsia" w:cs="Times New Roman"/>
      <w:b/>
      <w:caps/>
      <w:sz w:val="24"/>
      <w:szCs w:val="24"/>
    </w:rPr>
  </w:style>
  <w:style w:type="character" w:customStyle="1" w:styleId="Heading3Char">
    <w:name w:val="Heading 3 Char"/>
    <w:basedOn w:val="DefaultParagraphFont"/>
    <w:link w:val="Heading3"/>
    <w:uiPriority w:val="9"/>
    <w:rsid w:val="003D32A2"/>
    <w:rPr>
      <w:rFonts w:ascii="Times New Roman Bold" w:hAnsi="Times New Roman Bold" w:eastAsiaTheme="majorEastAsia"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qFormat/>
    <w:rsid w:val="007D0B7E"/>
    <w:pPr>
      <w:tabs>
        <w:tab w:val="decimal" w:leader="dot" w:pos="8640"/>
      </w:tabs>
      <w:spacing w:after="240"/>
      <w:ind w:left="720" w:hanging="720"/>
    </w:pPr>
    <w:rPr>
      <w:rFonts w:ascii="Times New Roman" w:hAnsi="Times New Roman"/>
      <w:sz w:val="24"/>
    </w:rPr>
  </w:style>
  <w:style w:type="paragraph" w:styleId="TOC2">
    <w:name w:val="toc 2"/>
    <w:basedOn w:val="Normal"/>
    <w:next w:val="Normal"/>
    <w:autoRedefine/>
    <w:uiPriority w:val="39"/>
    <w:unhideWhenUsed/>
    <w:qFormat/>
    <w:rsid w:val="00F314DF"/>
    <w:pPr>
      <w:spacing w:after="240"/>
      <w:ind w:left="720"/>
    </w:pPr>
    <w:rPr>
      <w:rFonts w:ascii="Times New Roman" w:hAnsi="Times New Roman"/>
      <w:sz w:val="24"/>
    </w:rPr>
  </w:style>
  <w:style w:type="paragraph" w:styleId="TOC3">
    <w:name w:val="toc 3"/>
    <w:basedOn w:val="Normal"/>
    <w:next w:val="Normal"/>
    <w:autoRedefine/>
    <w:uiPriority w:val="39"/>
    <w:unhideWhenUsed/>
    <w:qFormat/>
    <w:rsid w:val="00B22169"/>
    <w:pPr>
      <w:tabs>
        <w:tab w:val="decimal" w:leader="dot" w:pos="8640"/>
      </w:tabs>
      <w:spacing w:after="240"/>
      <w:ind w:left="144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1 Char Char1 Char Char Char Char1,Footnote Text Char1 Char Char1 Char1"/>
    <w:uiPriority w:val="99"/>
    <w:locked/>
    <w:rsid w:val="00C10DB0"/>
  </w:style>
  <w:style w:type="paragraph" w:styleId="HTMLPreformatted">
    <w:name w:val="HTML Preformatted"/>
    <w:basedOn w:val="Normal"/>
    <w:link w:val="HTMLPreformattedChar"/>
    <w:rsid w:val="0094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5974"/>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945974"/>
    <w:rPr>
      <w:color w:val="605E5C"/>
      <w:shd w:val="clear" w:color="auto" w:fill="E1DFDD"/>
    </w:rPr>
  </w:style>
  <w:style w:type="paragraph" w:styleId="BodyTextIndent3">
    <w:name w:val="Body Text Indent 3"/>
    <w:basedOn w:val="Normal"/>
    <w:link w:val="BodyTextIndent3Char"/>
    <w:rsid w:val="00945974"/>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45974"/>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C96ACC"/>
    <w:pPr>
      <w:spacing w:after="0"/>
    </w:pPr>
    <w:rPr>
      <w:sz w:val="20"/>
      <w:szCs w:val="20"/>
    </w:rPr>
  </w:style>
  <w:style w:type="character" w:customStyle="1" w:styleId="EndnoteTextChar">
    <w:name w:val="Endnote Text Char"/>
    <w:basedOn w:val="DefaultParagraphFont"/>
    <w:link w:val="EndnoteText"/>
    <w:uiPriority w:val="99"/>
    <w:rsid w:val="00C96ACC"/>
    <w:rPr>
      <w:sz w:val="20"/>
      <w:szCs w:val="20"/>
    </w:rPr>
  </w:style>
  <w:style w:type="character" w:styleId="EndnoteReference">
    <w:name w:val="endnote reference"/>
    <w:basedOn w:val="DefaultParagraphFont"/>
    <w:uiPriority w:val="99"/>
    <w:semiHidden/>
    <w:unhideWhenUsed/>
    <w:rsid w:val="00C96ACC"/>
    <w:rPr>
      <w:vertAlign w:val="superscript"/>
    </w:rPr>
  </w:style>
  <w:style w:type="character" w:customStyle="1" w:styleId="UnresolvedMention2">
    <w:name w:val="Unresolved Mention2"/>
    <w:basedOn w:val="DefaultParagraphFont"/>
    <w:uiPriority w:val="99"/>
    <w:rsid w:val="00AD4052"/>
    <w:rPr>
      <w:color w:val="605E5C"/>
      <w:shd w:val="clear" w:color="auto" w:fill="E1DFDD"/>
    </w:rPr>
  </w:style>
  <w:style w:type="character" w:customStyle="1" w:styleId="AnswerChar">
    <w:name w:val="Answer Char"/>
    <w:link w:val="Answer"/>
    <w:locked/>
    <w:rsid w:val="005C50ED"/>
    <w:rPr>
      <w:rFonts w:ascii="Arial Unicode MS" w:eastAsia="Arial Unicode MS" w:hAnsi="Arial Unicode MS" w:cs="Arial Unicode MS"/>
      <w:bCs/>
      <w:iCs/>
      <w:bdr w:val="none" w:sz="0" w:space="0" w:color="auto" w:frame="1"/>
    </w:rPr>
  </w:style>
  <w:style w:type="paragraph" w:customStyle="1" w:styleId="Answer">
    <w:name w:val="Answer"/>
    <w:basedOn w:val="List2"/>
    <w:link w:val="AnswerChar"/>
    <w:qFormat/>
    <w:rsid w:val="005C50ED"/>
    <w:pPr>
      <w:spacing w:after="0" w:line="480" w:lineRule="auto"/>
    </w:pPr>
    <w:rPr>
      <w:rFonts w:ascii="Arial Unicode MS" w:eastAsia="Arial Unicode MS" w:hAnsi="Arial Unicode MS" w:cs="Arial Unicode MS"/>
      <w:bCs/>
      <w:iCs/>
      <w:bdr w:val="none" w:sz="0" w:space="0" w:color="auto" w:frame="1"/>
    </w:rPr>
  </w:style>
  <w:style w:type="paragraph" w:styleId="List2">
    <w:name w:val="List 2"/>
    <w:basedOn w:val="Normal"/>
    <w:uiPriority w:val="99"/>
    <w:semiHidden/>
    <w:unhideWhenUsed/>
    <w:rsid w:val="005C50ED"/>
    <w:pPr>
      <w:ind w:left="720" w:hanging="360"/>
      <w:contextualSpacing/>
    </w:pPr>
  </w:style>
  <w:style w:type="character" w:customStyle="1" w:styleId="UnresolvedMention3">
    <w:name w:val="Unresolved Mention3"/>
    <w:basedOn w:val="DefaultParagraphFont"/>
    <w:uiPriority w:val="99"/>
    <w:rsid w:val="00E11D43"/>
    <w:rPr>
      <w:color w:val="605E5C"/>
      <w:shd w:val="clear" w:color="auto" w:fill="E1DFDD"/>
    </w:rPr>
  </w:style>
  <w:style w:type="character" w:styleId="FollowedHyperlink">
    <w:name w:val="FollowedHyperlink"/>
    <w:basedOn w:val="DefaultParagraphFont"/>
    <w:uiPriority w:val="99"/>
    <w:semiHidden/>
    <w:unhideWhenUsed/>
    <w:rsid w:val="00FF73F1"/>
    <w:rPr>
      <w:color w:val="800080" w:themeColor="followedHyperlink"/>
      <w:u w:val="single"/>
    </w:rPr>
  </w:style>
  <w:style w:type="character" w:customStyle="1" w:styleId="UnresolvedMention4">
    <w:name w:val="Unresolved Mention4"/>
    <w:basedOn w:val="DefaultParagraphFont"/>
    <w:uiPriority w:val="99"/>
    <w:rsid w:val="006F55B1"/>
    <w:rPr>
      <w:color w:val="605E5C"/>
      <w:shd w:val="clear" w:color="auto" w:fill="E1DFDD"/>
    </w:rPr>
  </w:style>
  <w:style w:type="paragraph" w:styleId="BodyText">
    <w:name w:val="Body Text"/>
    <w:basedOn w:val="Normal"/>
    <w:link w:val="BodyTextChar"/>
    <w:uiPriority w:val="99"/>
    <w:semiHidden/>
    <w:unhideWhenUsed/>
    <w:rsid w:val="000F572B"/>
  </w:style>
  <w:style w:type="character" w:customStyle="1" w:styleId="BodyTextChar">
    <w:name w:val="Body Text Char"/>
    <w:basedOn w:val="DefaultParagraphFont"/>
    <w:link w:val="BodyText"/>
    <w:uiPriority w:val="99"/>
    <w:semiHidden/>
    <w:rsid w:val="000F572B"/>
  </w:style>
  <w:style w:type="character" w:customStyle="1" w:styleId="highlighted">
    <w:name w:val="highlighted"/>
    <w:basedOn w:val="DefaultParagraphFont"/>
    <w:rsid w:val="00A77EDA"/>
  </w:style>
  <w:style w:type="paragraph" w:styleId="Revision">
    <w:name w:val="Revision"/>
    <w:hidden/>
    <w:uiPriority w:val="99"/>
    <w:semiHidden/>
    <w:rsid w:val="00661BC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eader" Target="header2.xml" /><Relationship Id="rId13" Type="http://schemas.openxmlformats.org/officeDocument/2006/relationships/footer" Target="footer4.xml" /><Relationship Id="rId14" Type="http://schemas.openxmlformats.org/officeDocument/2006/relationships/header" Target="header3.xml" /><Relationship Id="rId15" Type="http://schemas.openxmlformats.org/officeDocument/2006/relationships/footer" Target="footer5.xml" /><Relationship Id="rId16" Type="http://schemas.openxmlformats.org/officeDocument/2006/relationships/header" Target="header4.xml" /><Relationship Id="rId17" Type="http://schemas.openxmlformats.org/officeDocument/2006/relationships/hyperlink" Target="mailto:William.michael@occ.ohio.gov" TargetMode="External" /><Relationship Id="rId18" Type="http://schemas.openxmlformats.org/officeDocument/2006/relationships/hyperlink" Target="mailto:Steve.beeler@ohioattorneygenral.gov" TargetMode="External" /><Relationship Id="rId19" Type="http://schemas.openxmlformats.org/officeDocument/2006/relationships/hyperlink" Target="mailto:joliker@igsenergy.com" TargetMode="External" /><Relationship Id="rId2" Type="http://schemas.openxmlformats.org/officeDocument/2006/relationships/settings" Target="settings.xml" /><Relationship Id="rId20" Type="http://schemas.openxmlformats.org/officeDocument/2006/relationships/hyperlink" Target="mailto:Mnugent@igsenergy.com" TargetMode="External" /><Relationship Id="rId21" Type="http://schemas.openxmlformats.org/officeDocument/2006/relationships/hyperlink" Target="mailto:bethany.allen@igs.com" TargetMode="External" /><Relationship Id="rId22" Type="http://schemas.openxmlformats.org/officeDocument/2006/relationships/hyperlink" Target="mailto:gkrassen@bricker.com" TargetMode="External" /><Relationship Id="rId23" Type="http://schemas.openxmlformats.org/officeDocument/2006/relationships/hyperlink" Target="mailto:dstinson@bricker.com" TargetMode="External" /><Relationship Id="rId24" Type="http://schemas.openxmlformats.org/officeDocument/2006/relationships/hyperlink" Target="mailto:whitt@whitt-sturtevant.com" TargetMode="External" /><Relationship Id="rId25" Type="http://schemas.openxmlformats.org/officeDocument/2006/relationships/hyperlink" Target="mailto:fykes@whitt-sturtevant.com" TargetMode="External" /><Relationship Id="rId26" Type="http://schemas.openxmlformats.org/officeDocument/2006/relationships/hyperlink" Target="mailto:ccox@elpc.org" TargetMode="External" /><Relationship Id="rId27" Type="http://schemas.openxmlformats.org/officeDocument/2006/relationships/hyperlink" Target="mailto:Megan.addison@puc.state.oh.us" TargetMode="External" /><Relationship Id="rId28" Type="http://schemas.openxmlformats.org/officeDocument/2006/relationships/hyperlink" Target="mailto:Gregory.price@puc.state.oh.us" TargetMode="External" /><Relationship Id="rId29" Type="http://schemas.openxmlformats.org/officeDocument/2006/relationships/hyperlink" Target="mailto:bknipe@firstenergycorp.com" TargetMode="External" /><Relationship Id="rId3" Type="http://schemas.openxmlformats.org/officeDocument/2006/relationships/webSettings" Target="webSettings.xml" /><Relationship Id="rId30" Type="http://schemas.openxmlformats.org/officeDocument/2006/relationships/hyperlink" Target="mailto:mrgladman@jonesday.com" TargetMode="External" /><Relationship Id="rId31" Type="http://schemas.openxmlformats.org/officeDocument/2006/relationships/hyperlink" Target="mailto:mdengler@jonesday.com" TargetMode="External" /><Relationship Id="rId32" Type="http://schemas.openxmlformats.org/officeDocument/2006/relationships/hyperlink" Target="mailto:radoringo@jonesday.com" TargetMode="External" /><Relationship Id="rId33" Type="http://schemas.openxmlformats.org/officeDocument/2006/relationships/hyperlink" Target="mailto:mwager@taftlaw.com" TargetMode="External" /><Relationship Id="rId34" Type="http://schemas.openxmlformats.org/officeDocument/2006/relationships/hyperlink" Target="mailto:iavalon@taftlaw.com" TargetMode="Externa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Maureen.willis@occ.ohio.gov" TargetMode="External" /><Relationship Id="rId7" Type="http://schemas.openxmlformats.org/officeDocument/2006/relationships/hyperlink" Target="mailto:Angela.obrien@occ.ohio.gov" TargetMode="External" /><Relationship Id="rId8" Type="http://schemas.openxmlformats.org/officeDocument/2006/relationships/footer" Target="footer1.xml" /><Relationship Id="rId9" Type="http://schemas.openxmlformats.org/officeDocument/2006/relationships/header" Target="head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platform.marketintelligence.spglobal.com/web/client?auth=inherit" TargetMode="External" /><Relationship Id="rId2" Type="http://schemas.openxmlformats.org/officeDocument/2006/relationships/hyperlink" Target="https://apnews.com/article/ohio-columbus-utilities-mike-dewine-9af2b3464cd053045378037d7b8ab063" TargetMode="External" /><Relationship Id="rId3" Type="http://schemas.openxmlformats.org/officeDocument/2006/relationships/hyperlink" Target="https://content.govdelivery.com/attachments/OHOOD/2020/11/20/file_attachments/1607093/Resignatio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AE49-E45D-4422-B61F-F3E2C474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5389</Words>
  <Characters>30721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2020-12-04T21:19:52Z</dcterms:created>
  <dcterms:modified xsi:type="dcterms:W3CDTF">2020-12-04T21:19:52Z</dcterms:modified>
</cp:coreProperties>
</file>