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394606" w:rsidRPr="00DD1C0A" w:rsidP="00394606" w14:paraId="00664662" w14:textId="77777777">
      <w:pPr>
        <w:pStyle w:val="HTMLPreformatted"/>
        <w:jc w:val="center"/>
        <w:rPr>
          <w:rFonts w:ascii="Times New Roman" w:hAnsi="Times New Roman" w:cs="Times New Roman"/>
          <w:b/>
          <w:bCs/>
          <w:sz w:val="24"/>
          <w:szCs w:val="24"/>
        </w:rPr>
      </w:pPr>
      <w:r w:rsidRPr="00DD1C0A">
        <w:rPr>
          <w:rFonts w:ascii="Times New Roman" w:hAnsi="Times New Roman" w:cs="Times New Roman"/>
          <w:b/>
          <w:bCs/>
          <w:sz w:val="24"/>
          <w:szCs w:val="24"/>
        </w:rPr>
        <w:t>BEFORE</w:t>
      </w:r>
    </w:p>
    <w:p w:rsidR="00394606" w:rsidRPr="00DD1C0A" w:rsidP="00394606" w14:paraId="6EA6C191" w14:textId="77777777">
      <w:pPr>
        <w:pStyle w:val="HTMLPreformatted"/>
        <w:jc w:val="center"/>
        <w:rPr>
          <w:rFonts w:ascii="Times New Roman" w:hAnsi="Times New Roman" w:cs="Times New Roman"/>
          <w:b/>
          <w:bCs/>
          <w:sz w:val="24"/>
          <w:szCs w:val="24"/>
        </w:rPr>
      </w:pPr>
      <w:r w:rsidRPr="00DD1C0A">
        <w:rPr>
          <w:rFonts w:ascii="Times New Roman" w:hAnsi="Times New Roman" w:cs="Times New Roman"/>
          <w:b/>
          <w:bCs/>
          <w:sz w:val="24"/>
          <w:szCs w:val="24"/>
        </w:rPr>
        <w:t>THE PUBLIC UTILITIES COMMISSION OF OHIO</w:t>
      </w:r>
    </w:p>
    <w:p w:rsidR="00394606" w:rsidRPr="00DD1C0A" w:rsidP="00394606" w14:paraId="0E5CB8B6" w14:textId="77777777">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230"/>
        <w:gridCol w:w="630"/>
        <w:gridCol w:w="4232"/>
      </w:tblGrid>
      <w:tr w14:paraId="06E69953" w14:textId="77777777" w:rsidTr="00853B72">
        <w:tblPrEx>
          <w:tblW w:w="9092" w:type="dxa"/>
          <w:tblInd w:w="0" w:type="dxa"/>
          <w:tblCellMar>
            <w:top w:w="0" w:type="dxa"/>
            <w:left w:w="108" w:type="dxa"/>
            <w:bottom w:w="0" w:type="dxa"/>
            <w:right w:w="108" w:type="dxa"/>
          </w:tblCellMar>
          <w:tblLook w:val="01E0"/>
        </w:tblPrEx>
        <w:trPr>
          <w:trHeight w:val="807"/>
        </w:trPr>
        <w:tc>
          <w:tcPr>
            <w:tcW w:w="4230" w:type="dxa"/>
            <w:shd w:val="clear" w:color="auto" w:fill="auto"/>
          </w:tcPr>
          <w:p w:rsidR="00394606" w:rsidRPr="00DD1C0A" w:rsidP="00853B72" w14:paraId="1626E8A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In the Matter of the Application of Ohio Power Company for Authority to Abandon Electric Service Lines, Pursuant to Ohio Revised Code</w:t>
            </w:r>
          </w:p>
          <w:p w:rsidR="00394606" w:rsidRPr="00DD1C0A" w:rsidP="00853B72" w14:paraId="6DB8DE0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Sections 4905.20 and 4905.21.</w:t>
            </w:r>
          </w:p>
        </w:tc>
        <w:tc>
          <w:tcPr>
            <w:tcW w:w="630" w:type="dxa"/>
            <w:shd w:val="clear" w:color="auto" w:fill="auto"/>
          </w:tcPr>
          <w:p w:rsidR="00394606" w:rsidRPr="00DD1C0A" w:rsidP="00853B72" w14:paraId="682BBB8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w:t>
            </w:r>
          </w:p>
          <w:p w:rsidR="00394606" w:rsidRPr="00DD1C0A" w:rsidP="00853B72" w14:paraId="70C6921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w:t>
            </w:r>
          </w:p>
          <w:p w:rsidR="00394606" w:rsidRPr="00DD1C0A" w:rsidP="00853B72" w14:paraId="0CDF915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w:t>
            </w:r>
          </w:p>
          <w:p w:rsidR="00394606" w:rsidRPr="00DD1C0A" w:rsidP="00853B72" w14:paraId="77D687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w:t>
            </w:r>
          </w:p>
          <w:p w:rsidR="00394606" w:rsidRPr="00DD1C0A" w:rsidP="00853B72" w14:paraId="7C247F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w:t>
            </w:r>
          </w:p>
        </w:tc>
        <w:tc>
          <w:tcPr>
            <w:tcW w:w="4232" w:type="dxa"/>
            <w:shd w:val="clear" w:color="auto" w:fill="auto"/>
          </w:tcPr>
          <w:p w:rsidR="00394606" w:rsidRPr="00DD1C0A" w:rsidP="00853B72" w14:paraId="1F4A2AB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p w:rsidR="00394606" w:rsidRPr="00DD1C0A" w:rsidP="00853B72" w14:paraId="7B5551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p w:rsidR="00394606" w:rsidRPr="00DD1C0A" w:rsidP="00853B72" w14:paraId="132362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r w:rsidRPr="00DD1C0A">
              <w:rPr>
                <w:rFonts w:ascii="Times New Roman" w:eastAsia="Courier New" w:hAnsi="Times New Roman" w:cs="Times New Roman"/>
                <w:kern w:val="0"/>
                <w:sz w:val="24"/>
                <w:szCs w:val="24"/>
                <w:lang w:val="en-US" w:eastAsia="en-US" w:bidi="ar-SA"/>
                <w14:ligatures w14:val="none"/>
              </w:rPr>
              <w:t>Case No. 22-693-EL-ABN</w:t>
            </w:r>
          </w:p>
          <w:p w:rsidR="00394606" w:rsidRPr="00DD1C0A" w:rsidP="00853B72" w14:paraId="4F78577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p w:rsidR="00394606" w:rsidRPr="00DD1C0A" w:rsidP="00853B72" w14:paraId="56BF60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kern w:val="0"/>
                <w:sz w:val="24"/>
                <w:szCs w:val="24"/>
                <w:lang w:val="en-US" w:eastAsia="en-US" w:bidi="ar-SA"/>
                <w14:ligatures w14:val="none"/>
              </w:rPr>
            </w:pPr>
          </w:p>
        </w:tc>
      </w:tr>
    </w:tbl>
    <w:p w:rsidR="00394606" w:rsidRPr="00DD1C0A" w:rsidP="00394606" w14:paraId="7E7635ED" w14:textId="77777777">
      <w:pPr>
        <w:pStyle w:val="HTMLPreformatted"/>
        <w:rPr>
          <w:rFonts w:ascii="Times New Roman" w:hAnsi="Times New Roman"/>
          <w:sz w:val="24"/>
          <w:szCs w:val="24"/>
        </w:rPr>
      </w:pPr>
    </w:p>
    <w:p w:rsidR="00394606" w:rsidRPr="00DD1C0A" w:rsidP="00394606" w14:paraId="17FFBC3D" w14:textId="77777777">
      <w:pPr>
        <w:pBdr>
          <w:top w:val="single" w:sz="12" w:space="1" w:color="auto"/>
        </w:pBdr>
        <w:tabs>
          <w:tab w:val="left" w:pos="-720"/>
        </w:tabs>
        <w:suppressAutoHyphens/>
        <w:jc w:val="center"/>
        <w:rPr>
          <w:b/>
        </w:rPr>
      </w:pPr>
    </w:p>
    <w:p w:rsidR="00394606" w:rsidRPr="00DD1C0A" w:rsidP="00394606" w14:paraId="406D1C71" w14:textId="77777777">
      <w:pPr>
        <w:pBdr>
          <w:bottom w:val="single" w:sz="12" w:space="1" w:color="auto"/>
        </w:pBdr>
        <w:tabs>
          <w:tab w:val="left" w:pos="-720"/>
        </w:tabs>
        <w:suppressAutoHyphens/>
        <w:jc w:val="center"/>
        <w:rPr>
          <w:b/>
        </w:rPr>
      </w:pPr>
      <w:r w:rsidRPr="00DD1C0A">
        <w:rPr>
          <w:b/>
        </w:rPr>
        <w:t>CONSUMER PROTECTION COMMENTS</w:t>
      </w:r>
    </w:p>
    <w:p w:rsidR="00394606" w:rsidRPr="00DD1C0A" w:rsidP="00394606" w14:paraId="6E6F1EA1" w14:textId="77777777">
      <w:pPr>
        <w:pBdr>
          <w:bottom w:val="single" w:sz="12" w:space="1" w:color="auto"/>
        </w:pBdr>
        <w:tabs>
          <w:tab w:val="left" w:pos="-720"/>
        </w:tabs>
        <w:suppressAutoHyphens/>
        <w:jc w:val="center"/>
        <w:rPr>
          <w:b/>
        </w:rPr>
      </w:pPr>
      <w:r w:rsidRPr="00DD1C0A">
        <w:rPr>
          <w:b/>
        </w:rPr>
        <w:t>BY</w:t>
      </w:r>
    </w:p>
    <w:p w:rsidR="00394606" w:rsidRPr="00DD1C0A" w:rsidP="00394606" w14:paraId="370EE456" w14:textId="65B1BB66">
      <w:pPr>
        <w:pBdr>
          <w:bottom w:val="single" w:sz="12" w:space="1" w:color="auto"/>
        </w:pBdr>
        <w:tabs>
          <w:tab w:val="left" w:pos="-720"/>
        </w:tabs>
        <w:suppressAutoHyphens/>
        <w:jc w:val="center"/>
        <w:rPr>
          <w:b/>
        </w:rPr>
      </w:pPr>
      <w:r w:rsidRPr="00DD1C0A">
        <w:rPr>
          <w:b/>
        </w:rPr>
        <w:t>OFFICE OF THE OHIO CONSUMERS’ COUNSEL</w:t>
      </w:r>
    </w:p>
    <w:p w:rsidR="00394606" w:rsidRPr="00DD1C0A" w:rsidP="00394606" w14:paraId="515A8E29" w14:textId="77777777">
      <w:pPr>
        <w:pBdr>
          <w:bottom w:val="single" w:sz="12" w:space="1" w:color="auto"/>
        </w:pBdr>
        <w:tabs>
          <w:tab w:val="left" w:pos="-720"/>
        </w:tabs>
        <w:suppressAutoHyphens/>
        <w:jc w:val="center"/>
        <w:rPr>
          <w:b/>
        </w:rPr>
      </w:pPr>
    </w:p>
    <w:p w:rsidR="00394606" w:rsidRPr="00DD1C0A" w:rsidP="00394606" w14:paraId="1A0C8959" w14:textId="77777777">
      <w:pPr>
        <w:tabs>
          <w:tab w:val="left" w:pos="-720"/>
        </w:tabs>
        <w:suppressAutoHyphens/>
        <w:jc w:val="both"/>
        <w:rPr>
          <w:bCs/>
        </w:rPr>
      </w:pPr>
    </w:p>
    <w:p w:rsidR="001F6AF3" w:rsidRPr="009F63F5" w:rsidP="009F63F5" w14:paraId="28FD3C4B" w14:textId="3046A29C">
      <w:pPr>
        <w:pStyle w:val="Heading1"/>
      </w:pPr>
      <w:r w:rsidRPr="009F63F5">
        <w:t>I.</w:t>
      </w:r>
      <w:r w:rsidR="009F63F5">
        <w:tab/>
      </w:r>
      <w:r w:rsidRPr="009F63F5">
        <w:t>INTRODUCTION</w:t>
      </w:r>
    </w:p>
    <w:p w:rsidR="009D64F6" w:rsidRPr="00DD1C0A" w:rsidP="00E66D7A" w14:paraId="21E52364" w14:textId="3CFED71C">
      <w:pPr>
        <w:spacing w:line="480" w:lineRule="auto"/>
      </w:pPr>
      <w:r w:rsidRPr="00DD1C0A">
        <w:tab/>
      </w:r>
      <w:r w:rsidRPr="00DD1C0A" w:rsidR="00E66D7A">
        <w:t xml:space="preserve">The PUCO recently </w:t>
      </w:r>
      <w:r w:rsidRPr="00DD1C0A" w:rsidR="00B068E7">
        <w:t>ordered that</w:t>
      </w:r>
      <w:r w:rsidRPr="00DD1C0A" w:rsidR="002A535D">
        <w:t xml:space="preserve"> </w:t>
      </w:r>
      <w:r w:rsidRPr="00DD1C0A" w:rsidR="00E66D7A">
        <w:t>Nationwide Energy Partners (“NEP”)</w:t>
      </w:r>
      <w:r w:rsidRPr="00DD1C0A" w:rsidR="00B068E7">
        <w:t xml:space="preserve"> may submeter (resell)</w:t>
      </w:r>
      <w:r w:rsidRPr="00DD1C0A" w:rsidR="00E66D7A">
        <w:t xml:space="preserve"> electric utility service to residential consumers living in apartment complexes</w:t>
      </w:r>
      <w:r w:rsidRPr="00DD1C0A" w:rsidR="00B068E7">
        <w:t xml:space="preserve"> currently served by AEP</w:t>
      </w:r>
      <w:r w:rsidRPr="00DD1C0A" w:rsidR="00B92DBD">
        <w:t xml:space="preserve"> Ohio</w:t>
      </w:r>
      <w:r w:rsidRPr="00DD1C0A" w:rsidR="00E66D7A">
        <w:t>.</w:t>
      </w:r>
      <w:r>
        <w:rPr>
          <w:rStyle w:val="FootnoteReference"/>
        </w:rPr>
        <w:footnoteReference w:id="2"/>
      </w:r>
      <w:r w:rsidRPr="00DD1C0A" w:rsidR="00E66D7A">
        <w:t xml:space="preserve"> </w:t>
      </w:r>
      <w:r w:rsidRPr="00DD1C0A" w:rsidR="00B068E7">
        <w:t>In this case</w:t>
      </w:r>
      <w:r w:rsidRPr="00DD1C0A" w:rsidR="00E66D7A">
        <w:t xml:space="preserve">, AEP </w:t>
      </w:r>
      <w:r w:rsidRPr="00DD1C0A" w:rsidR="002A535D">
        <w:t xml:space="preserve">now </w:t>
      </w:r>
      <w:r w:rsidRPr="00DD1C0A">
        <w:t>seeks to abandon</w:t>
      </w:r>
      <w:r w:rsidRPr="00DD1C0A" w:rsidR="00B068E7">
        <w:t xml:space="preserve"> its</w:t>
      </w:r>
      <w:r w:rsidRPr="00DD1C0A">
        <w:t xml:space="preserve"> energy distribution lines </w:t>
      </w:r>
      <w:r w:rsidRPr="00DD1C0A" w:rsidR="00B068E7">
        <w:t xml:space="preserve">that </w:t>
      </w:r>
      <w:r w:rsidRPr="00DD1C0A">
        <w:t>serv</w:t>
      </w:r>
      <w:r w:rsidRPr="00DD1C0A" w:rsidR="00B068E7">
        <w:t>e</w:t>
      </w:r>
      <w:r w:rsidRPr="00DD1C0A">
        <w:t xml:space="preserve"> consumer</w:t>
      </w:r>
      <w:r w:rsidRPr="00DD1C0A" w:rsidR="002A535D">
        <w:t>s</w:t>
      </w:r>
      <w:r w:rsidRPr="00DD1C0A" w:rsidR="0093067B">
        <w:t xml:space="preserve"> </w:t>
      </w:r>
      <w:r w:rsidRPr="00DD1C0A">
        <w:t>in the Northtowne Apartment Complex.</w:t>
      </w:r>
      <w:r>
        <w:rPr>
          <w:rStyle w:val="FootnoteReference"/>
        </w:rPr>
        <w:footnoteReference w:id="3"/>
      </w:r>
      <w:r w:rsidRPr="00DD1C0A">
        <w:t xml:space="preserve"> </w:t>
      </w:r>
      <w:r w:rsidRPr="00DD1C0A" w:rsidR="002A535D">
        <w:t>A</w:t>
      </w:r>
      <w:r w:rsidRPr="00DD1C0A" w:rsidR="0093067B">
        <w:t xml:space="preserve">bandoning </w:t>
      </w:r>
      <w:r w:rsidRPr="00DD1C0A" w:rsidR="00B068E7">
        <w:t xml:space="preserve">these </w:t>
      </w:r>
      <w:r w:rsidRPr="00DD1C0A" w:rsidR="0093067B">
        <w:t xml:space="preserve">service lines </w:t>
      </w:r>
      <w:r w:rsidRPr="00DD1C0A" w:rsidR="001B300F">
        <w:t>will harm</w:t>
      </w:r>
      <w:r w:rsidRPr="00DD1C0A" w:rsidR="0093067B">
        <w:t xml:space="preserve"> residential consumers in the Northtowne property.</w:t>
      </w:r>
      <w:r>
        <w:rPr>
          <w:rStyle w:val="FootnoteReference"/>
        </w:rPr>
        <w:footnoteReference w:id="4"/>
      </w:r>
      <w:r w:rsidRPr="00DD1C0A" w:rsidR="001B300F">
        <w:t xml:space="preserve"> </w:t>
      </w:r>
      <w:r w:rsidRPr="00DD1C0A" w:rsidR="00B068E7">
        <w:t>C</w:t>
      </w:r>
      <w:r w:rsidRPr="00DD1C0A" w:rsidR="001B300F">
        <w:t xml:space="preserve">osts for AEP’s abandonment </w:t>
      </w:r>
      <w:r w:rsidRPr="00DD1C0A" w:rsidR="00B068E7">
        <w:t>could also be passed on to the Northtowne residents</w:t>
      </w:r>
      <w:r w:rsidRPr="00DD1C0A" w:rsidR="001B300F">
        <w:t>.</w:t>
      </w:r>
      <w:r w:rsidRPr="00DD1C0A" w:rsidR="002A535D">
        <w:t xml:space="preserve"> To protect consumers, the PUCO </w:t>
      </w:r>
      <w:r w:rsidRPr="00DD1C0A" w:rsidR="00B068E7">
        <w:t>must (under R.C. 4905.21) conduct</w:t>
      </w:r>
      <w:r w:rsidRPr="00DD1C0A" w:rsidR="002A535D">
        <w:t xml:space="preserve"> a</w:t>
      </w:r>
      <w:r w:rsidRPr="00DD1C0A" w:rsidR="00B068E7">
        <w:t>n evidentiary</w:t>
      </w:r>
      <w:r w:rsidRPr="00DD1C0A" w:rsidR="002A535D">
        <w:t xml:space="preserve"> hearing to carefully consider these</w:t>
      </w:r>
      <w:r w:rsidRPr="00DD1C0A" w:rsidR="00B068E7">
        <w:t xml:space="preserve"> issues.</w:t>
      </w:r>
      <w:r w:rsidRPr="00DD1C0A" w:rsidR="002A535D">
        <w:t xml:space="preserve"> </w:t>
      </w:r>
      <w:r w:rsidRPr="00DD1C0A" w:rsidR="00B068E7">
        <w:t xml:space="preserve">To lessen the impact on residential consumers, the PUCO’s review of AEP’s Application should happen </w:t>
      </w:r>
      <w:r w:rsidRPr="00DD1C0A" w:rsidR="002A535D">
        <w:rPr>
          <w:i/>
          <w:iCs/>
        </w:rPr>
        <w:t xml:space="preserve">after </w:t>
      </w:r>
      <w:r w:rsidRPr="00DD1C0A" w:rsidR="002A535D">
        <w:t>the Supreme Court of Ohio has resolved any appeal of the PUCO’s order in Case No. 21-990-EL-CSS.</w:t>
      </w:r>
    </w:p>
    <w:p w:rsidR="00E13372" w:rsidP="001B300F" w14:paraId="52AAE000" w14:textId="5A419066">
      <w:pPr>
        <w:spacing w:line="480" w:lineRule="auto"/>
        <w:ind w:firstLine="720"/>
      </w:pPr>
      <w:r w:rsidRPr="00DD1C0A">
        <w:t xml:space="preserve">AEP’s Application relates specifically to </w:t>
      </w:r>
      <w:r w:rsidRPr="00DD1C0A" w:rsidR="005476F7">
        <w:t>NEP</w:t>
      </w:r>
      <w:r w:rsidRPr="00DD1C0A">
        <w:t>’s</w:t>
      </w:r>
      <w:r w:rsidRPr="00DD1C0A" w:rsidR="005476F7">
        <w:t xml:space="preserve"> request</w:t>
      </w:r>
      <w:r w:rsidRPr="00DD1C0A">
        <w:t xml:space="preserve"> that </w:t>
      </w:r>
      <w:r w:rsidRPr="00DD1C0A" w:rsidR="005476F7">
        <w:t>AEP</w:t>
      </w:r>
      <w:r w:rsidRPr="00DD1C0A" w:rsidR="00332A32">
        <w:t xml:space="preserve"> </w:t>
      </w:r>
      <w:r w:rsidRPr="00DD1C0A" w:rsidR="00BE3522">
        <w:t>provide “secondary service”</w:t>
      </w:r>
      <w:r w:rsidRPr="00DD1C0A" w:rsidR="003F0AC8">
        <w:t xml:space="preserve"> </w:t>
      </w:r>
      <w:r w:rsidRPr="00DD1C0A" w:rsidR="005476F7">
        <w:t>to</w:t>
      </w:r>
      <w:r w:rsidRPr="00DD1C0A">
        <w:t xml:space="preserve"> 59 service points at</w:t>
      </w:r>
      <w:r w:rsidRPr="00DD1C0A" w:rsidR="00526E1F">
        <w:t xml:space="preserve"> the</w:t>
      </w:r>
      <w:r w:rsidRPr="00DD1C0A">
        <w:t xml:space="preserve"> Northtowne</w:t>
      </w:r>
      <w:r w:rsidRPr="00DD1C0A" w:rsidR="00526E1F">
        <w:t xml:space="preserve"> property to serve</w:t>
      </w:r>
      <w:r w:rsidRPr="00DD1C0A" w:rsidR="00FD0922">
        <w:t xml:space="preserve"> the </w:t>
      </w:r>
      <w:r w:rsidRPr="00DD1C0A" w:rsidR="00FD0922">
        <w:t>residential consumer accounts.</w:t>
      </w:r>
      <w:r>
        <w:rPr>
          <w:rStyle w:val="FootnoteReference"/>
        </w:rPr>
        <w:footnoteReference w:id="5"/>
      </w:r>
      <w:r w:rsidRPr="00DD1C0A" w:rsidR="005476F7">
        <w:t xml:space="preserve"> AEP</w:t>
      </w:r>
      <w:r w:rsidRPr="00DD1C0A" w:rsidR="00B92DBD">
        <w:t xml:space="preserve"> </w:t>
      </w:r>
      <w:r w:rsidRPr="00DD1C0A" w:rsidR="00526E1F">
        <w:t xml:space="preserve">claims </w:t>
      </w:r>
      <w:r w:rsidRPr="00DD1C0A" w:rsidR="005476F7">
        <w:t xml:space="preserve">that converting those 59 service points </w:t>
      </w:r>
      <w:r w:rsidRPr="00DD1C0A" w:rsidR="002D036C">
        <w:t>at NEP’s request is costly and complex.</w:t>
      </w:r>
      <w:r>
        <w:rPr>
          <w:rStyle w:val="FootnoteReference"/>
        </w:rPr>
        <w:footnoteReference w:id="6"/>
      </w:r>
      <w:r w:rsidRPr="00DD1C0A" w:rsidR="005476F7">
        <w:t xml:space="preserve"> </w:t>
      </w:r>
      <w:r w:rsidRPr="00DD1C0A" w:rsidR="003F0AC8">
        <w:t xml:space="preserve">According to </w:t>
      </w:r>
      <w:r w:rsidRPr="00DD1C0A" w:rsidR="00FD31E8">
        <w:t>AEP</w:t>
      </w:r>
      <w:r w:rsidRPr="00DD1C0A" w:rsidR="003F0AC8">
        <w:t xml:space="preserve">, </w:t>
      </w:r>
      <w:r w:rsidRPr="00DD1C0A" w:rsidR="00FD31E8">
        <w:t xml:space="preserve">completing the NEP submetering conversion would </w:t>
      </w:r>
      <w:r w:rsidRPr="00DD1C0A" w:rsidR="002D036C">
        <w:t xml:space="preserve">involve </w:t>
      </w:r>
      <w:r w:rsidRPr="00DD1C0A" w:rsidR="00FD31E8">
        <w:t>“abandoning the numerous distribution lines and removing other distribution assets currently installed on the property</w:t>
      </w:r>
      <w:r w:rsidRPr="00DD1C0A" w:rsidR="003F0AC8">
        <w:t>.</w:t>
      </w:r>
      <w:r w:rsidRPr="00DD1C0A" w:rsidR="00FD31E8">
        <w:t>”</w:t>
      </w:r>
      <w:r>
        <w:rPr>
          <w:rStyle w:val="FootnoteReference"/>
        </w:rPr>
        <w:footnoteReference w:id="7"/>
      </w:r>
      <w:r w:rsidRPr="00DD1C0A" w:rsidR="00B1007E">
        <w:t xml:space="preserve"> </w:t>
      </w:r>
    </w:p>
    <w:p w:rsidR="00573D9D" w:rsidRPr="00DD1C0A" w:rsidP="001B300F" w14:paraId="23326335" w14:textId="6BEB581D">
      <w:pPr>
        <w:spacing w:line="480" w:lineRule="auto"/>
        <w:ind w:firstLine="720"/>
      </w:pPr>
      <w:r w:rsidRPr="00DD1C0A">
        <w:t>AEP</w:t>
      </w:r>
      <w:r w:rsidR="00FD444C">
        <w:t xml:space="preserve"> </w:t>
      </w:r>
      <w:r w:rsidRPr="00DD1C0A">
        <w:t>proposes</w:t>
      </w:r>
      <w:r w:rsidRPr="00DD1C0A" w:rsidR="002D036C">
        <w:t xml:space="preserve"> instead</w:t>
      </w:r>
      <w:r w:rsidRPr="00DD1C0A">
        <w:t xml:space="preserve"> to establish a “single point of primary service to the perimeter of the Northtowne property line at a mutually agreed location.”</w:t>
      </w:r>
      <w:r>
        <w:rPr>
          <w:rStyle w:val="FootnoteReference"/>
        </w:rPr>
        <w:footnoteReference w:id="8"/>
      </w:r>
      <w:r w:rsidRPr="00DD1C0A">
        <w:t xml:space="preserve"> AEP</w:t>
      </w:r>
      <w:r w:rsidRPr="00DD1C0A" w:rsidR="00D35246">
        <w:t xml:space="preserve"> </w:t>
      </w:r>
      <w:r w:rsidRPr="00DD1C0A" w:rsidR="002D036C">
        <w:t>claims that</w:t>
      </w:r>
      <w:r w:rsidRPr="00DD1C0A">
        <w:t xml:space="preserve"> this</w:t>
      </w:r>
      <w:r w:rsidRPr="00DD1C0A" w:rsidR="002D036C">
        <w:t xml:space="preserve"> will</w:t>
      </w:r>
      <w:r w:rsidRPr="00DD1C0A">
        <w:t xml:space="preserve"> reduce the cost of NEP’s conversion request and result in lower rates for master-meter customer (</w:t>
      </w:r>
      <w:r w:rsidRPr="00DD1C0A" w:rsidR="002D036C">
        <w:rPr>
          <w:i/>
          <w:iCs/>
        </w:rPr>
        <w:t xml:space="preserve">i.e. </w:t>
      </w:r>
      <w:r w:rsidRPr="00DD1C0A">
        <w:t>the property owner).</w:t>
      </w:r>
      <w:r>
        <w:rPr>
          <w:rStyle w:val="FootnoteReference"/>
        </w:rPr>
        <w:footnoteReference w:id="9"/>
      </w:r>
    </w:p>
    <w:p w:rsidR="00507C8A" w:rsidP="00332A32" w14:paraId="698F8626" w14:textId="1FFE4023">
      <w:pPr>
        <w:spacing w:line="480" w:lineRule="auto"/>
      </w:pPr>
      <w:r w:rsidRPr="00DD1C0A">
        <w:tab/>
      </w:r>
      <w:r w:rsidRPr="00DD1C0A" w:rsidR="002D036C">
        <w:t>Under the</w:t>
      </w:r>
      <w:r w:rsidRPr="00DD1C0A">
        <w:t xml:space="preserve"> Miller Act (R.C. 4905.20 and 4905.21) the PUCO </w:t>
      </w:r>
      <w:r w:rsidRPr="00DD1C0A" w:rsidR="002D036C">
        <w:t>can</w:t>
      </w:r>
      <w:r w:rsidRPr="00DD1C0A">
        <w:t>not grant AEP’s Application without conducting a hearing to fully consider the evidence regarding whether abandonment “is reasonable, having due regard for the welfare of the public and the cost of operating the service or facility ***.”</w:t>
      </w:r>
      <w:r>
        <w:rPr>
          <w:rStyle w:val="FootnoteReference"/>
        </w:rPr>
        <w:footnoteReference w:id="10"/>
      </w:r>
      <w:r w:rsidRPr="00DD1C0A">
        <w:t xml:space="preserve"> </w:t>
      </w:r>
      <w:r w:rsidRPr="00DD1C0A" w:rsidR="002D036C">
        <w:t>To minimize the harm to consumers, t</w:t>
      </w:r>
      <w:r w:rsidRPr="00DD1C0A" w:rsidR="00085A2D">
        <w:t xml:space="preserve">he PUCO’s consideration of AEP’s Application should be held in abeyance pending </w:t>
      </w:r>
      <w:r w:rsidRPr="00DD1C0A">
        <w:t>an</w:t>
      </w:r>
      <w:r w:rsidRPr="00DD1C0A" w:rsidR="00085A2D">
        <w:t>y</w:t>
      </w:r>
      <w:r w:rsidRPr="00DD1C0A">
        <w:t xml:space="preserve"> appeal</w:t>
      </w:r>
      <w:r w:rsidRPr="00DD1C0A" w:rsidR="00085A2D">
        <w:t>s</w:t>
      </w:r>
      <w:r w:rsidRPr="00DD1C0A">
        <w:t xml:space="preserve"> </w:t>
      </w:r>
      <w:r w:rsidRPr="00DD1C0A" w:rsidR="00085A2D">
        <w:t xml:space="preserve">to the Supreme Court of Ohio </w:t>
      </w:r>
      <w:r w:rsidRPr="00DD1C0A">
        <w:t xml:space="preserve">of the PUCO’s order in </w:t>
      </w:r>
      <w:r w:rsidRPr="00DD1C0A" w:rsidR="00085A2D">
        <w:t>Case No. 21-990-EL-CSS.</w:t>
      </w:r>
    </w:p>
    <w:p w:rsidR="00507C8A" w14:paraId="54084FA7" w14:textId="77777777">
      <w:pPr>
        <w:spacing w:after="160" w:line="259" w:lineRule="auto"/>
      </w:pPr>
      <w:r>
        <w:br w:type="page"/>
      </w:r>
    </w:p>
    <w:p w:rsidR="005860F1" w:rsidRPr="00DD1C0A" w:rsidP="00507C8A" w14:paraId="12E8B500" w14:textId="23946411">
      <w:pPr>
        <w:pStyle w:val="Heading1"/>
      </w:pPr>
      <w:r w:rsidRPr="00DD1C0A">
        <w:t>II.</w:t>
      </w:r>
      <w:r w:rsidR="00507C8A">
        <w:tab/>
      </w:r>
      <w:r w:rsidRPr="00DD1C0A" w:rsidR="00B1007E">
        <w:t xml:space="preserve">CONSUMER PROTECTION </w:t>
      </w:r>
      <w:r w:rsidRPr="00DD1C0A">
        <w:t>RECOMMENDATIONS</w:t>
      </w:r>
    </w:p>
    <w:p w:rsidR="005860F1" w:rsidRPr="00507C8A" w:rsidP="00507C8A" w14:paraId="01520D42" w14:textId="5E227DD1">
      <w:pPr>
        <w:pStyle w:val="Heading2"/>
      </w:pPr>
      <w:r w:rsidRPr="00507C8A">
        <w:t>A.</w:t>
      </w:r>
      <w:r w:rsidR="00507C8A">
        <w:tab/>
      </w:r>
      <w:r w:rsidRPr="00507C8A">
        <w:t>Abandonment of the Northtowne property will cause harm to residential consumers</w:t>
      </w:r>
      <w:r w:rsidRPr="00507C8A" w:rsidR="00274107">
        <w:t>, and consideration of the Application should be held in abeyance pending appeals to the Supreme Court of Ohio</w:t>
      </w:r>
      <w:r w:rsidRPr="00507C8A">
        <w:t>.</w:t>
      </w:r>
    </w:p>
    <w:p w:rsidR="00274107" w:rsidRPr="00DD1C0A" w:rsidP="00085A2D" w14:paraId="7A28F2EA" w14:textId="7A39211A">
      <w:pPr>
        <w:spacing w:line="480" w:lineRule="auto"/>
      </w:pPr>
      <w:r w:rsidRPr="00DD1C0A">
        <w:tab/>
      </w:r>
      <w:r w:rsidRPr="00DD1C0A" w:rsidR="00085A2D">
        <w:t xml:space="preserve">AEP states that it does not want to abandon service lines to consumers in the Northtowne property, yet </w:t>
      </w:r>
      <w:r w:rsidRPr="00DD1C0A" w:rsidR="00660A40">
        <w:t>it is compelled to seek a ruling from the PUCO under the Miller Act given the PUCO’s rulings in Case No. 21-990-EL-CSS.</w:t>
      </w:r>
      <w:r>
        <w:rPr>
          <w:rStyle w:val="FootnoteReference"/>
        </w:rPr>
        <w:footnoteReference w:id="11"/>
      </w:r>
      <w:r w:rsidRPr="00DD1C0A" w:rsidR="00085A2D">
        <w:t xml:space="preserve"> </w:t>
      </w:r>
      <w:r w:rsidRPr="00DD1C0A">
        <w:t>AEP also states that if it abandons service to the Northtowne consumers, it would seek to reestablish service to consumers if it prevails on appeal to the Supreme Court of Ohio. To prevent even more harm to consumers, the PUCO should delay action on AEP’s Application until the matters are resolved on appeal.</w:t>
      </w:r>
    </w:p>
    <w:p w:rsidR="00BE667D" w:rsidP="00274107" w14:paraId="6099DAB9" w14:textId="668B6F83">
      <w:pPr>
        <w:spacing w:line="480" w:lineRule="auto"/>
        <w:ind w:firstLine="720"/>
      </w:pPr>
      <w:r w:rsidRPr="00DD1C0A">
        <w:t>AEP</w:t>
      </w:r>
      <w:r w:rsidRPr="00DD1C0A" w:rsidR="00274107">
        <w:t xml:space="preserve"> acknowledges</w:t>
      </w:r>
      <w:r w:rsidRPr="00DD1C0A">
        <w:t xml:space="preserve"> that abandonment of distribution lines at Northtowne is against the welfare of the public, particularly those energy customers who reside at Northtowne.</w:t>
      </w:r>
      <w:r>
        <w:rPr>
          <w:rStyle w:val="FootnoteReference"/>
        </w:rPr>
        <w:footnoteReference w:id="12"/>
      </w:r>
      <w:r w:rsidRPr="00DD1C0A">
        <w:t xml:space="preserve"> </w:t>
      </w:r>
      <w:r w:rsidRPr="00DD1C0A" w:rsidR="00AB4C15">
        <w:t>OCC</w:t>
      </w:r>
      <w:r w:rsidRPr="00DD1C0A" w:rsidR="00274107">
        <w:t xml:space="preserve"> agrees.</w:t>
      </w:r>
      <w:r w:rsidRPr="00DD1C0A" w:rsidR="003B70C7">
        <w:t xml:space="preserve"> AEP’s abandonment of Northtowne distribution </w:t>
      </w:r>
      <w:r w:rsidR="00E13372">
        <w:t xml:space="preserve">lines </w:t>
      </w:r>
      <w:r w:rsidRPr="00DD1C0A" w:rsidR="003B70C7">
        <w:t xml:space="preserve">would </w:t>
      </w:r>
      <w:r w:rsidRPr="00DD1C0A" w:rsidR="00AB4C15">
        <w:t>have a significantly negative</w:t>
      </w:r>
      <w:r w:rsidRPr="00DD1C0A" w:rsidR="003B70C7">
        <w:t xml:space="preserve"> impact </w:t>
      </w:r>
      <w:r w:rsidRPr="00DD1C0A" w:rsidR="00AB4C15">
        <w:t xml:space="preserve">on </w:t>
      </w:r>
      <w:r w:rsidRPr="00DD1C0A" w:rsidR="003B70C7">
        <w:t xml:space="preserve">the residential consumers at Northtowne, as well as raise wider consumer concerns in regard to submetering trends and practices throughout the </w:t>
      </w:r>
      <w:r w:rsidRPr="00DD1C0A" w:rsidR="007C4EB9">
        <w:t>consumer electric</w:t>
      </w:r>
      <w:r w:rsidRPr="00DD1C0A" w:rsidR="003B70C7">
        <w:t xml:space="preserve"> sector. AEP helpfully illustrates in the Application that Northtowne </w:t>
      </w:r>
      <w:r w:rsidRPr="00DD1C0A" w:rsidR="00E40CD5">
        <w:t>residential</w:t>
      </w:r>
      <w:r w:rsidRPr="00DD1C0A" w:rsidR="003B70C7">
        <w:t xml:space="preserve"> consumers would lose: </w:t>
      </w:r>
    </w:p>
    <w:p w:rsidR="00E13372" w:rsidP="00BE667D" w14:paraId="05B8C980" w14:textId="77777777">
      <w:pPr>
        <w:ind w:left="1440" w:right="1440"/>
      </w:pPr>
      <w:r w:rsidRPr="00DD1C0A">
        <w:t>(1) the ability to choose a competitive retail electric service provider</w:t>
      </w:r>
      <w:r w:rsidR="0035160A">
        <w:t>…</w:t>
      </w:r>
      <w:r w:rsidRPr="00DD1C0A">
        <w:t xml:space="preserve">; </w:t>
      </w:r>
    </w:p>
    <w:p w:rsidR="00E13372" w:rsidP="00BE667D" w14:paraId="5DA6A695" w14:textId="77777777">
      <w:pPr>
        <w:ind w:left="1440" w:right="1440"/>
      </w:pPr>
    </w:p>
    <w:p w:rsidR="00E13372" w:rsidP="00BE667D" w14:paraId="36553E0B" w14:textId="6977D3B3">
      <w:pPr>
        <w:ind w:left="1440" w:right="1440"/>
      </w:pPr>
      <w:r w:rsidRPr="00DD1C0A">
        <w:t xml:space="preserve">(2) the ability to participate in AEP’s Budget Plan and Average Monthly Plan; </w:t>
      </w:r>
    </w:p>
    <w:p w:rsidR="00E13372" w:rsidP="00BE667D" w14:paraId="4CBC03E6" w14:textId="77777777">
      <w:pPr>
        <w:ind w:left="1440" w:right="1440"/>
      </w:pPr>
    </w:p>
    <w:p w:rsidR="00E13372" w:rsidP="00BE667D" w14:paraId="03C16AD3" w14:textId="77777777">
      <w:pPr>
        <w:ind w:left="1440" w:right="1440"/>
      </w:pPr>
      <w:r w:rsidRPr="00DD1C0A">
        <w:t>(3) the ability to participate in the PIPP program</w:t>
      </w:r>
      <w:r w:rsidR="00A35B7F">
        <w:t>…</w:t>
      </w:r>
      <w:r w:rsidRPr="00DD1C0A">
        <w:t xml:space="preserve">; </w:t>
      </w:r>
    </w:p>
    <w:p w:rsidR="00E13372" w:rsidP="00BE667D" w14:paraId="34F92AF7" w14:textId="77777777">
      <w:pPr>
        <w:ind w:left="1440" w:right="1440"/>
      </w:pPr>
    </w:p>
    <w:p w:rsidR="00E13372" w:rsidP="00BE667D" w14:paraId="108AFEC0" w14:textId="1E013608">
      <w:pPr>
        <w:ind w:left="1440" w:right="1440"/>
      </w:pPr>
      <w:r w:rsidRPr="00DD1C0A">
        <w:t>(</w:t>
      </w:r>
      <w:r>
        <w:t>4</w:t>
      </w:r>
      <w:r w:rsidRPr="00DD1C0A">
        <w:t xml:space="preserve">) the myriad of statutorily required disconnection and reconnection protections contained on Ohio Adm. Code 4901:1-18; </w:t>
      </w:r>
    </w:p>
    <w:p w:rsidR="00E13372" w:rsidP="00BE667D" w14:paraId="3304D242" w14:textId="77777777">
      <w:pPr>
        <w:ind w:left="1440" w:right="1440"/>
      </w:pPr>
    </w:p>
    <w:p w:rsidR="00E13372" w:rsidP="00BE667D" w14:paraId="44DD0E06" w14:textId="04EF60A0">
      <w:pPr>
        <w:ind w:left="1440" w:right="1440"/>
      </w:pPr>
      <w:r w:rsidRPr="00DD1C0A">
        <w:t>(</w:t>
      </w:r>
      <w:r>
        <w:t>5</w:t>
      </w:r>
      <w:r w:rsidRPr="00DD1C0A">
        <w:t xml:space="preserve">) regulated and transparent rates for electric distribution services; </w:t>
      </w:r>
    </w:p>
    <w:p w:rsidR="00E13372" w:rsidP="00BE667D" w14:paraId="0CA18926" w14:textId="77777777">
      <w:pPr>
        <w:ind w:left="1440" w:right="1440"/>
      </w:pPr>
    </w:p>
    <w:p w:rsidR="00E13372" w:rsidP="00BE667D" w14:paraId="16D9D215" w14:textId="2AB49231">
      <w:pPr>
        <w:ind w:left="1440" w:right="1440"/>
      </w:pPr>
      <w:r w:rsidRPr="00DD1C0A">
        <w:t>(</w:t>
      </w:r>
      <w:r>
        <w:t>6</w:t>
      </w:r>
      <w:r w:rsidRPr="00DD1C0A">
        <w:t xml:space="preserve">) regulated processes for resolving disputes regarding pricing and services, and </w:t>
      </w:r>
    </w:p>
    <w:p w:rsidR="00E13372" w:rsidP="00BE667D" w14:paraId="40911668" w14:textId="77777777">
      <w:pPr>
        <w:ind w:left="1440" w:right="1440"/>
      </w:pPr>
    </w:p>
    <w:p w:rsidR="00212D73" w:rsidP="00BE667D" w14:paraId="5C5FBC81" w14:textId="0E384600">
      <w:pPr>
        <w:ind w:left="1440" w:right="1440"/>
      </w:pPr>
      <w:r w:rsidRPr="00DD1C0A">
        <w:t>(</w:t>
      </w:r>
      <w:r w:rsidR="00E13372">
        <w:t>7</w:t>
      </w:r>
      <w:r w:rsidRPr="00DD1C0A">
        <w:t>) the numerous rights contained in Ohio Adm. Code 4901:1-10.</w:t>
      </w:r>
      <w:r w:rsidRPr="00DD1C0A" w:rsidR="00E40CD5">
        <w:t>”</w:t>
      </w:r>
      <w:r>
        <w:rPr>
          <w:rStyle w:val="FootnoteReference"/>
        </w:rPr>
        <w:footnoteReference w:id="13"/>
      </w:r>
    </w:p>
    <w:p w:rsidR="00215BD7" w:rsidRPr="00DD1C0A" w:rsidP="00BE667D" w14:paraId="38D4E707" w14:textId="77777777">
      <w:pPr>
        <w:ind w:left="1440" w:right="1440"/>
      </w:pPr>
    </w:p>
    <w:p w:rsidR="00C464D2" w:rsidRPr="00DD1C0A" w:rsidP="00215BD7" w14:paraId="367E8EA6" w14:textId="421B6578">
      <w:pPr>
        <w:spacing w:line="480" w:lineRule="auto"/>
        <w:ind w:firstLine="720"/>
      </w:pPr>
      <w:r w:rsidRPr="00DD1C0A">
        <w:t xml:space="preserve">OCC respectfully suggests the PUCO hold this matter in abeyance pending any potential appeal by AEP in Case No. 21-990-EL-CSS. Should AEP prevail, the issues underlying the </w:t>
      </w:r>
      <w:r w:rsidRPr="00763C24">
        <w:t>Application</w:t>
      </w:r>
      <w:r w:rsidRPr="00DD1C0A">
        <w:t xml:space="preserve"> in this matter would be resolved. If AEP does not prevail on appeal, then litigation can resume on the issues presented in this matter. </w:t>
      </w:r>
      <w:r w:rsidRPr="00DD1C0A" w:rsidR="00C946F6">
        <w:t>Delaying consideration of AEP’s Application (and the resulting submetering conversions) will benefit Northtowne residential consumers. Accordingly, the PUCO should hold these proceedings in abeyance pending the resolution of any appeals to Supreme Court of Ohio</w:t>
      </w:r>
      <w:r w:rsidRPr="00DD1C0A" w:rsidR="001A41B7">
        <w:t>.</w:t>
      </w:r>
    </w:p>
    <w:p w:rsidR="005860F1" w:rsidRPr="00DD1C0A" w:rsidP="00D069FC" w14:paraId="65477985" w14:textId="3F54FB6D">
      <w:pPr>
        <w:pStyle w:val="Heading2"/>
      </w:pPr>
      <w:r w:rsidRPr="00DD1C0A">
        <w:t>B.</w:t>
      </w:r>
      <w:r w:rsidR="00D069FC">
        <w:tab/>
      </w:r>
      <w:r w:rsidRPr="00DD1C0A">
        <w:t>Residential consumers should not be made to shoulder the cost of work</w:t>
      </w:r>
      <w:r w:rsidRPr="00DD1C0A" w:rsidR="00C946F6">
        <w:t xml:space="preserve"> to complete the submetering conversions</w:t>
      </w:r>
      <w:r w:rsidRPr="00DD1C0A">
        <w:t>.</w:t>
      </w:r>
    </w:p>
    <w:p w:rsidR="00C946F6" w:rsidRPr="00DD1C0A" w:rsidP="00C946F6" w14:paraId="60BED03E" w14:textId="1D22E989">
      <w:pPr>
        <w:spacing w:line="480" w:lineRule="auto"/>
        <w:ind w:firstLine="720"/>
      </w:pPr>
      <w:r w:rsidRPr="00DD1C0A">
        <w:t>OCC is also troubled by the unanswered questions underlying this abandonment proceeding, particularly pertaining to cost. As previously stated, this matter arises from another case before the PUCO,</w:t>
      </w:r>
      <w:r w:rsidRPr="00DD1C0A" w:rsidR="007C4EB9">
        <w:t xml:space="preserve"> Case</w:t>
      </w:r>
      <w:r w:rsidRPr="00DD1C0A">
        <w:t xml:space="preserve"> </w:t>
      </w:r>
      <w:r w:rsidRPr="00DD1C0A" w:rsidR="00F23736">
        <w:t>No. 21-990-EL-CSS. There, a ruling was made against AEP’s favor.</w:t>
      </w:r>
      <w:r w:rsidRPr="00DD1C0A" w:rsidR="00C464D2">
        <w:t xml:space="preserve"> At the time of this writing</w:t>
      </w:r>
      <w:r w:rsidRPr="00DD1C0A" w:rsidR="00F23736">
        <w:t>, AEP</w:t>
      </w:r>
      <w:r w:rsidR="00FD444C">
        <w:t xml:space="preserve"> </w:t>
      </w:r>
      <w:r w:rsidRPr="00DD1C0A" w:rsidR="00F23736">
        <w:t xml:space="preserve">still has a right of appeal </w:t>
      </w:r>
      <w:r w:rsidRPr="00DD1C0A" w:rsidR="00C464D2">
        <w:t>in that matter</w:t>
      </w:r>
      <w:r w:rsidRPr="00DD1C0A" w:rsidR="00F23736">
        <w:t xml:space="preserve">. Should AEP abandon </w:t>
      </w:r>
      <w:r w:rsidR="00532368">
        <w:t xml:space="preserve">service at </w:t>
      </w:r>
      <w:r w:rsidRPr="00DD1C0A" w:rsidR="00F23736">
        <w:t xml:space="preserve">the Northtowne property, and yet win on the issues upon appeal, then what becomes of the abandonments or conversions which may have been </w:t>
      </w:r>
      <w:r w:rsidRPr="00DD1C0A" w:rsidR="00C464D2">
        <w:t xml:space="preserve">completed or </w:t>
      </w:r>
      <w:r w:rsidRPr="00DD1C0A" w:rsidR="00F23736">
        <w:t>begun? AEP admits that these conversions for NEP submetering are costly</w:t>
      </w:r>
      <w:r w:rsidRPr="00DD1C0A" w:rsidR="00616760">
        <w:t>, hence the abandonment action</w:t>
      </w:r>
      <w:r w:rsidRPr="00DD1C0A" w:rsidR="00F23736">
        <w:t xml:space="preserve">. </w:t>
      </w:r>
    </w:p>
    <w:p w:rsidR="00877DF3" w:rsidRPr="00DD1C0A" w:rsidP="00B92DBD" w14:paraId="68EECB6C" w14:textId="2C7BE028">
      <w:pPr>
        <w:spacing w:line="480" w:lineRule="auto"/>
        <w:ind w:firstLine="720"/>
      </w:pPr>
      <w:r w:rsidRPr="00DD1C0A">
        <w:t xml:space="preserve">It logically follows that abandonment of the property and removal of equipment by AEP would result in substantial costs as well. This would also stand true in the event service were to be returned, should AEP prevail on its appeal in No. 21-990-EL-CSS. The question remains: who </w:t>
      </w:r>
      <w:r w:rsidRPr="00DD1C0A" w:rsidR="00616760">
        <w:t>will shoulder the cost for these alterations?</w:t>
      </w:r>
    </w:p>
    <w:p w:rsidR="00877DF3" w:rsidRPr="00DD1C0A" w:rsidP="0035214E" w14:paraId="04DFD532" w14:textId="6A6BAA00">
      <w:pPr>
        <w:spacing w:line="480" w:lineRule="auto"/>
        <w:ind w:firstLine="720"/>
      </w:pPr>
      <w:r w:rsidRPr="00DD1C0A">
        <w:t>The PUCO handled abandonment</w:t>
      </w:r>
      <w:r w:rsidRPr="00DD1C0A" w:rsidR="0035214E">
        <w:t xml:space="preserve"> and associated costs (albeit</w:t>
      </w:r>
      <w:r w:rsidRPr="00DD1C0A">
        <w:t xml:space="preserve"> in the realm of gas utility service</w:t>
      </w:r>
      <w:r w:rsidRPr="00DD1C0A" w:rsidR="0035214E">
        <w:t>)</w:t>
      </w:r>
      <w:r w:rsidRPr="00DD1C0A">
        <w:t xml:space="preserve"> in Case No. 21-986-GA-ABN, </w:t>
      </w:r>
      <w:r w:rsidRPr="00DD1C0A">
        <w:rPr>
          <w:i/>
          <w:iCs/>
        </w:rPr>
        <w:t xml:space="preserve">In the Matter of the Application of Duke Energy Ohio, Inc. for </w:t>
      </w:r>
      <w:r w:rsidRPr="00DD1C0A" w:rsidR="008B35BC">
        <w:rPr>
          <w:i/>
          <w:iCs/>
        </w:rPr>
        <w:t>Authority</w:t>
      </w:r>
      <w:r w:rsidRPr="00DD1C0A">
        <w:rPr>
          <w:i/>
          <w:iCs/>
        </w:rPr>
        <w:t xml:space="preserve"> to Abandon Certain Propane-Air Facilities.</w:t>
      </w:r>
      <w:r w:rsidRPr="00DD1C0A">
        <w:t xml:space="preserve"> There, Duke filed an application to authorize the abandonment of certain propane-air facilities pursuant to R.C. 4905.20 and 4905.21</w:t>
      </w:r>
      <w:r w:rsidRPr="00DD1C0A" w:rsidR="0035214E">
        <w:t>.</w:t>
      </w:r>
      <w:r>
        <w:rPr>
          <w:rStyle w:val="FootnoteReference"/>
        </w:rPr>
        <w:footnoteReference w:id="14"/>
      </w:r>
      <w:r w:rsidRPr="00DD1C0A">
        <w:t xml:space="preserve"> </w:t>
      </w:r>
      <w:r w:rsidRPr="00DD1C0A" w:rsidR="00EB76D6">
        <w:t xml:space="preserve">Duke argued </w:t>
      </w:r>
      <w:r w:rsidR="00532368">
        <w:t>that its</w:t>
      </w:r>
      <w:r w:rsidRPr="00DD1C0A" w:rsidR="00EB76D6">
        <w:t xml:space="preserve"> abandonment case presented unique circumstances, as the facilities to be abandoned were reaching</w:t>
      </w:r>
      <w:r w:rsidR="00532368">
        <w:t xml:space="preserve"> the</w:t>
      </w:r>
      <w:r w:rsidRPr="00DD1C0A" w:rsidR="00EB76D6">
        <w:t xml:space="preserve"> end of life and were of class of assets that would soon be retired, and thus no secondary market existed for Duke to recoup costs.</w:t>
      </w:r>
      <w:r>
        <w:rPr>
          <w:rStyle w:val="FootnoteReference"/>
        </w:rPr>
        <w:footnoteReference w:id="15"/>
      </w:r>
      <w:r w:rsidRPr="00DD1C0A" w:rsidR="00EB76D6">
        <w:t xml:space="preserve"> </w:t>
      </w:r>
      <w:r w:rsidRPr="00DD1C0A">
        <w:t xml:space="preserve">The PUCO ultimately </w:t>
      </w:r>
      <w:r w:rsidR="00532368">
        <w:t xml:space="preserve">approved a settlement between </w:t>
      </w:r>
      <w:r w:rsidRPr="00DD1C0A">
        <w:t>Duke</w:t>
      </w:r>
      <w:r w:rsidR="00532368">
        <w:t xml:space="preserve"> and the PUCO Staff that </w:t>
      </w:r>
      <w:r w:rsidRPr="00DD1C0A">
        <w:t xml:space="preserve">allowed for </w:t>
      </w:r>
      <w:r w:rsidRPr="00DD1C0A" w:rsidR="00EB76D6">
        <w:t xml:space="preserve">the </w:t>
      </w:r>
      <w:r w:rsidRPr="00DD1C0A">
        <w:t>deferral and recovery of certain costs related to the abandonment</w:t>
      </w:r>
      <w:r w:rsidRPr="00DD1C0A" w:rsidR="00EB76D6">
        <w:t xml:space="preserve"> through future rate case proceedings</w:t>
      </w:r>
      <w:r w:rsidRPr="00DD1C0A">
        <w:t>.</w:t>
      </w:r>
      <w:r>
        <w:rPr>
          <w:rStyle w:val="FootnoteReference"/>
        </w:rPr>
        <w:footnoteReference w:id="16"/>
      </w:r>
      <w:r w:rsidRPr="00DD1C0A" w:rsidR="0035214E">
        <w:t xml:space="preserve"> </w:t>
      </w:r>
    </w:p>
    <w:p w:rsidR="00532368" w:rsidP="00EB76D6" w14:paraId="3F91464F" w14:textId="49BE95A5">
      <w:pPr>
        <w:spacing w:line="480" w:lineRule="auto"/>
        <w:ind w:firstLine="720"/>
      </w:pPr>
      <w:r w:rsidRPr="00DD1C0A">
        <w:t xml:space="preserve"> </w:t>
      </w:r>
      <w:r w:rsidRPr="00DD1C0A" w:rsidR="00EB76D6">
        <w:t xml:space="preserve">AEP is not seeking to abandon equipment or facilities that would </w:t>
      </w:r>
      <w:r w:rsidRPr="00DD1C0A" w:rsidR="00D35246">
        <w:t>otherwise soon</w:t>
      </w:r>
      <w:r w:rsidRPr="00DD1C0A" w:rsidR="00EB76D6">
        <w:t xml:space="preserve"> be retired. Rather, AEP is seeking to abandon service to the Northtowne property to avoid the costs of converting the property for NEP’s submetering. </w:t>
      </w:r>
    </w:p>
    <w:p w:rsidR="00616760" w:rsidP="00EB76D6" w14:paraId="59469DD2" w14:textId="39DAC1CF">
      <w:pPr>
        <w:spacing w:line="480" w:lineRule="auto"/>
        <w:ind w:firstLine="720"/>
      </w:pPr>
      <w:r>
        <w:t>Consumers should not have to pay</w:t>
      </w:r>
      <w:r w:rsidRPr="00DD1C0A">
        <w:t xml:space="preserve"> costs </w:t>
      </w:r>
      <w:r>
        <w:t xml:space="preserve"> for </w:t>
      </w:r>
      <w:r w:rsidRPr="00DD1C0A">
        <w:t>work performed by AEP</w:t>
      </w:r>
      <w:r>
        <w:t xml:space="preserve"> to abandon </w:t>
      </w:r>
      <w:r w:rsidR="000342CA">
        <w:t>the service lines at the</w:t>
      </w:r>
      <w:r w:rsidRPr="00DD1C0A">
        <w:t xml:space="preserve"> Northtowne property</w:t>
      </w:r>
      <w:r w:rsidRPr="00DD1C0A" w:rsidR="00C464D2">
        <w:t>,</w:t>
      </w:r>
      <w:r w:rsidRPr="00DD1C0A">
        <w:t xml:space="preserve"> </w:t>
      </w:r>
      <w:r w:rsidR="000342CA">
        <w:t xml:space="preserve">especially if AEP will incur additional costs to resume service to the Northtowne property if it prevails on rehearing or in a future appeal in  </w:t>
      </w:r>
      <w:r w:rsidRPr="00DD1C0A">
        <w:t>Case No. 21-990-EL-CSS.</w:t>
      </w:r>
    </w:p>
    <w:p w:rsidR="00C04E1D" w:rsidRPr="00DD1C0A" w:rsidP="00C04E1D" w14:paraId="635FF7BF" w14:textId="77777777">
      <w:pPr>
        <w:ind w:firstLine="720"/>
      </w:pPr>
    </w:p>
    <w:p w:rsidR="00E67D87" w:rsidRPr="00DD1C0A" w:rsidP="00C04E1D" w14:paraId="11992A76" w14:textId="4B74217F">
      <w:pPr>
        <w:pStyle w:val="Heading1"/>
      </w:pPr>
      <w:r w:rsidRPr="00DD1C0A">
        <w:t>III.</w:t>
      </w:r>
      <w:r w:rsidR="00C04E1D">
        <w:tab/>
      </w:r>
      <w:r w:rsidRPr="00DD1C0A">
        <w:t>CONCLUSION</w:t>
      </w:r>
    </w:p>
    <w:p w:rsidR="007C4EB9" w:rsidP="00061C7B" w14:paraId="7494E382" w14:textId="7F001CDB">
      <w:pPr>
        <w:spacing w:line="480" w:lineRule="auto"/>
      </w:pPr>
      <w:r w:rsidRPr="00DD1C0A">
        <w:tab/>
        <w:t>The PUCO should protect the residential consumers at</w:t>
      </w:r>
      <w:r w:rsidRPr="00DD1C0A" w:rsidR="003E2B86">
        <w:t xml:space="preserve"> the Northtowne apartments from losing their electric utility support, choices, rights and protections, as well as potentially shouldering costs for expensive conversions or abandonments. AEP</w:t>
      </w:r>
      <w:r w:rsidRPr="00DD1C0A" w:rsidR="00B92DBD">
        <w:t xml:space="preserve"> Ohio</w:t>
      </w:r>
      <w:r w:rsidRPr="00DD1C0A" w:rsidR="003E2B86">
        <w:t>’s abandonment of the property will result in real and immediate harm to the residential consumers who continue to live there.</w:t>
      </w:r>
      <w:r w:rsidRPr="00DD1C0A" w:rsidR="00C946F6">
        <w:t xml:space="preserve"> The PUCO </w:t>
      </w:r>
      <w:r w:rsidRPr="00DD1C0A" w:rsidR="00AD6320">
        <w:t>should adopt OCC’s recommendations for consumer protection.</w:t>
      </w:r>
      <w:r w:rsidRPr="00DD1C0A" w:rsidR="003E2B86">
        <w:t xml:space="preserve"> </w:t>
      </w:r>
    </w:p>
    <w:p w:rsidR="00545DDB" w:rsidP="00545DDB" w14:paraId="0B09427B" w14:textId="77777777">
      <w:pPr>
        <w:autoSpaceDE w:val="0"/>
        <w:autoSpaceDN w:val="0"/>
        <w:adjustRightInd w:val="0"/>
        <w:ind w:firstLine="4230"/>
      </w:pPr>
      <w:r w:rsidRPr="004F239B">
        <w:t xml:space="preserve">Respectfully </w:t>
      </w:r>
      <w:r>
        <w:t>submitted,</w:t>
      </w:r>
    </w:p>
    <w:p w:rsidR="00545DDB" w:rsidP="00545DDB" w14:paraId="7D4821A0" w14:textId="77777777">
      <w:pPr>
        <w:autoSpaceDE w:val="0"/>
        <w:autoSpaceDN w:val="0"/>
        <w:adjustRightInd w:val="0"/>
        <w:ind w:firstLine="4230"/>
      </w:pPr>
    </w:p>
    <w:p w:rsidR="00545DDB" w:rsidP="00545DDB" w14:paraId="533EF920" w14:textId="77777777">
      <w:pPr>
        <w:tabs>
          <w:tab w:val="left" w:pos="4320"/>
        </w:tabs>
        <w:ind w:left="4234"/>
      </w:pPr>
      <w:r w:rsidRPr="00614B08">
        <w:t>Maureen R. Willis (0020847)</w:t>
      </w:r>
    </w:p>
    <w:p w:rsidR="00545DDB" w:rsidRPr="007124AF" w:rsidP="00545DDB" w14:paraId="31E82029" w14:textId="77777777">
      <w:pPr>
        <w:tabs>
          <w:tab w:val="left" w:pos="4320"/>
        </w:tabs>
        <w:ind w:left="4234"/>
      </w:pPr>
      <w:r w:rsidRPr="007124AF">
        <w:t>Ohio Consumers’ Counsel</w:t>
      </w:r>
      <w:r w:rsidRPr="007124AF">
        <w:tab/>
      </w:r>
    </w:p>
    <w:p w:rsidR="00545DDB" w:rsidRPr="007124AF" w:rsidP="00545DDB" w14:paraId="31268F13" w14:textId="77777777">
      <w:pPr>
        <w:tabs>
          <w:tab w:val="left" w:pos="4320"/>
        </w:tabs>
        <w:ind w:left="4234"/>
      </w:pPr>
      <w:r w:rsidRPr="007124AF">
        <w:tab/>
      </w:r>
    </w:p>
    <w:p w:rsidR="00545DDB" w:rsidRPr="007124AF" w:rsidP="00545DDB" w14:paraId="2F4B9F00" w14:textId="51B45CBB">
      <w:pPr>
        <w:tabs>
          <w:tab w:val="left" w:pos="4320"/>
        </w:tabs>
        <w:ind w:left="4234"/>
        <w:rPr>
          <w:i/>
          <w:iCs/>
          <w:u w:val="single"/>
        </w:rPr>
      </w:pPr>
      <w:r w:rsidRPr="007124AF">
        <w:rPr>
          <w:i/>
          <w:iCs/>
          <w:u w:val="single"/>
        </w:rPr>
        <w:t xml:space="preserve">/s/ </w:t>
      </w:r>
      <w:r w:rsidRPr="000C1577">
        <w:rPr>
          <w:i/>
          <w:iCs/>
          <w:u w:val="single"/>
        </w:rPr>
        <w:t xml:space="preserve">Thomas </w:t>
      </w:r>
      <w:r w:rsidR="009F6C0A">
        <w:rPr>
          <w:i/>
          <w:iCs/>
          <w:u w:val="single"/>
        </w:rPr>
        <w:t xml:space="preserve">J. </w:t>
      </w:r>
      <w:r w:rsidRPr="000C1577">
        <w:rPr>
          <w:i/>
          <w:iCs/>
          <w:u w:val="single"/>
        </w:rPr>
        <w:t>Brodbeck</w:t>
      </w:r>
    </w:p>
    <w:p w:rsidR="00545DDB" w:rsidRPr="007124AF" w:rsidP="00545DDB" w14:paraId="031F8757" w14:textId="2A55F6FB">
      <w:pPr>
        <w:tabs>
          <w:tab w:val="left" w:pos="4320"/>
        </w:tabs>
        <w:ind w:left="4234"/>
      </w:pPr>
      <w:r>
        <w:t xml:space="preserve">Thomas </w:t>
      </w:r>
      <w:r w:rsidR="009F6C0A">
        <w:t xml:space="preserve">J. </w:t>
      </w:r>
      <w:r w:rsidRPr="0004770F">
        <w:t>Brodbeck</w:t>
      </w:r>
      <w:r>
        <w:t xml:space="preserve"> </w:t>
      </w:r>
      <w:r w:rsidRPr="007124AF">
        <w:t>(00</w:t>
      </w:r>
      <w:r w:rsidRPr="000C1577">
        <w:t>93920</w:t>
      </w:r>
      <w:r w:rsidRPr="007124AF">
        <w:t>)</w:t>
      </w:r>
    </w:p>
    <w:p w:rsidR="00545DDB" w:rsidRPr="007124AF" w:rsidP="00545DDB" w14:paraId="6B97BAE4" w14:textId="77777777">
      <w:pPr>
        <w:tabs>
          <w:tab w:val="left" w:pos="4320"/>
        </w:tabs>
        <w:ind w:left="4234"/>
      </w:pPr>
      <w:r w:rsidRPr="007124AF">
        <w:t xml:space="preserve">Counsel of Record </w:t>
      </w:r>
    </w:p>
    <w:p w:rsidR="00545DDB" w:rsidRPr="007124AF" w:rsidP="00545DDB" w14:paraId="36E9B611" w14:textId="77777777">
      <w:pPr>
        <w:tabs>
          <w:tab w:val="left" w:pos="4320"/>
        </w:tabs>
        <w:ind w:left="4234"/>
      </w:pPr>
      <w:r w:rsidRPr="007124AF">
        <w:t>Assistant Consumers’ Counsel</w:t>
      </w:r>
    </w:p>
    <w:p w:rsidR="00545DDB" w:rsidRPr="007124AF" w:rsidP="00545DDB" w14:paraId="3EFA70AF" w14:textId="77777777">
      <w:pPr>
        <w:keepNext/>
        <w:ind w:left="4234" w:right="-648" w:firstLine="720"/>
        <w:outlineLvl w:val="0"/>
        <w:rPr>
          <w:b/>
        </w:rPr>
      </w:pPr>
      <w:r w:rsidRPr="007124AF">
        <w:rPr>
          <w:b/>
        </w:rPr>
        <w:tab/>
      </w:r>
    </w:p>
    <w:p w:rsidR="00545DDB" w:rsidRPr="007124AF" w:rsidP="00545DDB" w14:paraId="28C1C07E" w14:textId="77777777">
      <w:pPr>
        <w:keepNext/>
        <w:ind w:left="4234" w:right="-648"/>
        <w:outlineLvl w:val="0"/>
        <w:rPr>
          <w:b/>
        </w:rPr>
      </w:pPr>
      <w:r w:rsidRPr="007124AF">
        <w:rPr>
          <w:b/>
        </w:rPr>
        <w:t>Office of the Ohio Consumers’ Counsel</w:t>
      </w:r>
    </w:p>
    <w:p w:rsidR="00545DDB" w:rsidRPr="007124AF" w:rsidP="00545DDB" w14:paraId="2C02703A" w14:textId="77777777">
      <w:pPr>
        <w:keepNext/>
        <w:ind w:left="4234" w:right="-648"/>
        <w:outlineLvl w:val="0"/>
      </w:pPr>
      <w:r w:rsidRPr="007124AF">
        <w:t>65 East State Street, Suite 700</w:t>
      </w:r>
    </w:p>
    <w:p w:rsidR="00545DDB" w:rsidRPr="007124AF" w:rsidP="00545DDB" w14:paraId="74981B5D" w14:textId="77777777">
      <w:pPr>
        <w:keepNext/>
        <w:ind w:left="4234" w:right="-648"/>
        <w:outlineLvl w:val="0"/>
      </w:pPr>
      <w:r w:rsidRPr="007124AF">
        <w:t>Columbus, Ohio 43215</w:t>
      </w:r>
    </w:p>
    <w:p w:rsidR="00545DDB" w:rsidRPr="008B099A" w:rsidP="00545DDB" w14:paraId="0A5EA4C4" w14:textId="292D0859">
      <w:pPr>
        <w:autoSpaceDE w:val="0"/>
        <w:autoSpaceDN w:val="0"/>
        <w:adjustRightInd w:val="0"/>
        <w:ind w:left="4234"/>
      </w:pPr>
      <w:r w:rsidRPr="008B099A">
        <w:t xml:space="preserve">Telephone [Brodbeck]: </w:t>
      </w:r>
      <w:r w:rsidRPr="001D0054" w:rsidR="001D0054">
        <w:t>(614) 466-9565</w:t>
      </w:r>
    </w:p>
    <w:p w:rsidR="00545DDB" w:rsidP="00545DDB" w14:paraId="6BE3AEEB" w14:textId="77777777">
      <w:pPr>
        <w:ind w:left="4234"/>
      </w:pPr>
      <w:hyperlink r:id="rId6" w:history="1">
        <w:r w:rsidRPr="00E06261">
          <w:rPr>
            <w:rStyle w:val="Hyperlink"/>
          </w:rPr>
          <w:t>thomas.brodbeck@occ.ohio.gov</w:t>
        </w:r>
      </w:hyperlink>
    </w:p>
    <w:p w:rsidR="00700593" w:rsidP="00545DDB" w14:paraId="62F924E5" w14:textId="7C4EF496">
      <w:pPr>
        <w:ind w:firstLine="4230"/>
      </w:pPr>
      <w:r w:rsidRPr="007124AF">
        <w:t>(willing to accept service by e-mail)</w:t>
      </w:r>
    </w:p>
    <w:p w:rsidR="00700593" w14:paraId="7C0A0969" w14:textId="77777777">
      <w:pPr>
        <w:spacing w:after="160" w:line="259" w:lineRule="auto"/>
      </w:pPr>
      <w:r>
        <w:br w:type="page"/>
      </w:r>
    </w:p>
    <w:p w:rsidR="00700593" w:rsidRPr="00B7537B" w:rsidP="00700593" w14:paraId="5318F77C" w14:textId="77777777">
      <w:pPr>
        <w:pStyle w:val="Footer"/>
        <w:tabs>
          <w:tab w:val="left" w:pos="4320"/>
        </w:tabs>
        <w:jc w:val="center"/>
      </w:pPr>
      <w:r w:rsidRPr="00B7537B">
        <w:rPr>
          <w:b/>
          <w:u w:val="single"/>
        </w:rPr>
        <w:t>CERTIFICATE OF SERVICE</w:t>
      </w:r>
    </w:p>
    <w:p w:rsidR="00700593" w:rsidRPr="00700593" w:rsidP="00700593" w14:paraId="7FDB4109" w14:textId="77777777">
      <w:pPr>
        <w:autoSpaceDE w:val="0"/>
        <w:autoSpaceDN w:val="0"/>
        <w:adjustRightInd w:val="0"/>
        <w:ind w:firstLine="4320"/>
        <w:jc w:val="center"/>
        <w:rPr>
          <w:u w:val="single"/>
        </w:rPr>
      </w:pPr>
    </w:p>
    <w:p w:rsidR="00700593" w:rsidRPr="00700593" w:rsidP="00700593" w14:paraId="195AF32D" w14:textId="0F19667E">
      <w:pPr>
        <w:pStyle w:val="Heading3"/>
        <w:spacing w:before="0" w:line="480" w:lineRule="auto"/>
        <w:ind w:firstLine="720"/>
        <w:rPr>
          <w:rFonts w:ascii="Times New Roman" w:hAnsi="Times New Roman" w:cs="Times New Roman"/>
          <w:b/>
          <w:color w:val="auto"/>
        </w:rPr>
      </w:pPr>
      <w:r w:rsidRPr="00700593">
        <w:rPr>
          <w:rFonts w:ascii="Times New Roman" w:hAnsi="Times New Roman" w:cs="Times New Roman"/>
          <w:color w:val="auto"/>
        </w:rPr>
        <w:t xml:space="preserve">I hereby certify that a copy of the foregoing </w:t>
      </w:r>
      <w:r w:rsidR="002E2EA1">
        <w:rPr>
          <w:rFonts w:ascii="Times New Roman" w:hAnsi="Times New Roman" w:cs="Times New Roman"/>
          <w:color w:val="auto"/>
        </w:rPr>
        <w:t>Consumer Protection Comments</w:t>
      </w:r>
      <w:r w:rsidRPr="00700593">
        <w:rPr>
          <w:rFonts w:ascii="Times New Roman" w:hAnsi="Times New Roman" w:cs="Times New Roman"/>
          <w:color w:val="auto"/>
        </w:rPr>
        <w:t xml:space="preserve"> was served via electronic transmission upon the parties this</w:t>
      </w:r>
      <w:r w:rsidR="002E2EA1">
        <w:rPr>
          <w:rFonts w:ascii="Times New Roman" w:hAnsi="Times New Roman" w:cs="Times New Roman"/>
          <w:color w:val="auto"/>
        </w:rPr>
        <w:t xml:space="preserve"> 4</w:t>
      </w:r>
      <w:r w:rsidRPr="00700593">
        <w:rPr>
          <w:rFonts w:ascii="Times New Roman" w:hAnsi="Times New Roman" w:cs="Times New Roman"/>
          <w:color w:val="auto"/>
          <w:vertAlign w:val="superscript"/>
        </w:rPr>
        <w:t>th</w:t>
      </w:r>
      <w:r w:rsidRPr="00700593">
        <w:rPr>
          <w:rFonts w:ascii="Times New Roman" w:hAnsi="Times New Roman" w:cs="Times New Roman"/>
          <w:color w:val="auto"/>
        </w:rPr>
        <w:t xml:space="preserve"> day of </w:t>
      </w:r>
      <w:r w:rsidR="002E2EA1">
        <w:rPr>
          <w:rFonts w:ascii="Times New Roman" w:hAnsi="Times New Roman" w:cs="Times New Roman"/>
          <w:color w:val="auto"/>
        </w:rPr>
        <w:t>December</w:t>
      </w:r>
      <w:r w:rsidRPr="00700593">
        <w:rPr>
          <w:rFonts w:ascii="Times New Roman" w:hAnsi="Times New Roman" w:cs="Times New Roman"/>
          <w:color w:val="auto"/>
        </w:rPr>
        <w:t xml:space="preserve"> 2023.</w:t>
      </w:r>
    </w:p>
    <w:p w:rsidR="00700593" w:rsidRPr="00B7537B" w:rsidP="00700593" w14:paraId="512FD765" w14:textId="77777777">
      <w:pPr>
        <w:tabs>
          <w:tab w:val="left" w:pos="4320"/>
        </w:tabs>
        <w:rPr>
          <w:i/>
          <w:iCs/>
          <w:u w:val="single"/>
        </w:rPr>
      </w:pPr>
      <w:r w:rsidRPr="00B7537B">
        <w:tab/>
      </w:r>
      <w:r w:rsidRPr="00B7537B">
        <w:rPr>
          <w:i/>
          <w:iCs/>
          <w:u w:val="single"/>
        </w:rPr>
        <w:t xml:space="preserve">/s/ </w:t>
      </w:r>
      <w:r w:rsidRPr="008B3AE8">
        <w:rPr>
          <w:i/>
          <w:iCs/>
          <w:u w:val="single"/>
        </w:rPr>
        <w:t>Thomas Brodbeck</w:t>
      </w:r>
    </w:p>
    <w:p w:rsidR="00700593" w:rsidRPr="00B7537B" w:rsidP="00700593" w14:paraId="3367138F" w14:textId="77777777">
      <w:pPr>
        <w:tabs>
          <w:tab w:val="left" w:pos="4320"/>
        </w:tabs>
      </w:pPr>
      <w:r w:rsidRPr="00B7537B">
        <w:tab/>
      </w:r>
      <w:r>
        <w:t xml:space="preserve">Thomas </w:t>
      </w:r>
      <w:r w:rsidRPr="0004770F">
        <w:t>Brodbeck</w:t>
      </w:r>
    </w:p>
    <w:p w:rsidR="00700593" w:rsidRPr="00B7537B" w:rsidP="00700593" w14:paraId="146634EF" w14:textId="77777777">
      <w:pPr>
        <w:tabs>
          <w:tab w:val="left" w:pos="4320"/>
        </w:tabs>
      </w:pPr>
      <w:r w:rsidRPr="00B7537B">
        <w:tab/>
        <w:t>Assistant Consumers’ Counsel</w:t>
      </w:r>
    </w:p>
    <w:p w:rsidR="00700593" w:rsidRPr="00B7537B" w:rsidP="00700593" w14:paraId="30098274" w14:textId="77777777">
      <w:pPr>
        <w:tabs>
          <w:tab w:val="left" w:pos="4320"/>
        </w:tabs>
      </w:pPr>
    </w:p>
    <w:p w:rsidR="00700593" w:rsidRPr="00B7537B" w:rsidP="00700593" w14:paraId="77DE5682" w14:textId="77777777">
      <w:pPr>
        <w:pStyle w:val="CommentText"/>
        <w:rPr>
          <w:sz w:val="24"/>
          <w:szCs w:val="24"/>
        </w:rPr>
      </w:pPr>
      <w:r w:rsidRPr="00B7537B">
        <w:rPr>
          <w:sz w:val="24"/>
          <w:szCs w:val="24"/>
        </w:rPr>
        <w:t>The PUCO’s e-filing system will electronically serve notice of the filing of this document on the following parties:</w:t>
      </w:r>
    </w:p>
    <w:p w:rsidR="00700593" w:rsidRPr="00B7537B" w:rsidP="00700593" w14:paraId="27A9A62D" w14:textId="77777777">
      <w:pPr>
        <w:pStyle w:val="CommentText"/>
        <w:rPr>
          <w:b/>
          <w:sz w:val="24"/>
          <w:szCs w:val="24"/>
          <w:u w:val="single"/>
        </w:rPr>
      </w:pPr>
    </w:p>
    <w:p w:rsidR="00700593" w:rsidRPr="00B7537B" w:rsidP="00700593" w14:paraId="3258C405" w14:textId="77777777">
      <w:pPr>
        <w:pStyle w:val="CommentText"/>
        <w:jc w:val="center"/>
        <w:rPr>
          <w:b/>
          <w:sz w:val="24"/>
          <w:szCs w:val="24"/>
          <w:u w:val="single"/>
        </w:rPr>
      </w:pPr>
      <w:r w:rsidRPr="00B7537B">
        <w:rPr>
          <w:b/>
          <w:sz w:val="24"/>
          <w:szCs w:val="24"/>
          <w:u w:val="single"/>
        </w:rPr>
        <w:t>SERVICE LIST</w:t>
      </w:r>
    </w:p>
    <w:p w:rsidR="00700593" w:rsidRPr="00B7537B" w:rsidP="00700593" w14:paraId="1264CC16" w14:textId="77777777">
      <w:pPr>
        <w:pStyle w:val="CommentText"/>
        <w:jc w:val="center"/>
        <w:rPr>
          <w:b/>
          <w:sz w:val="24"/>
          <w:szCs w:val="24"/>
          <w:u w:val="single"/>
        </w:rPr>
      </w:pPr>
    </w:p>
    <w:tbl>
      <w:tblPr>
        <w:tblW w:w="0" w:type="auto"/>
        <w:tblInd w:w="0" w:type="dxa"/>
        <w:tblCellMar>
          <w:top w:w="0" w:type="dxa"/>
          <w:left w:w="108" w:type="dxa"/>
          <w:bottom w:w="0" w:type="dxa"/>
          <w:right w:w="108" w:type="dxa"/>
        </w:tblCellMar>
        <w:tblLook w:val="01E0"/>
      </w:tblPr>
      <w:tblGrid>
        <w:gridCol w:w="4357"/>
        <w:gridCol w:w="4283"/>
      </w:tblGrid>
      <w:tr w14:paraId="0BEF6114" w14:textId="77777777" w:rsidTr="00C653A9">
        <w:tblPrEx>
          <w:tblW w:w="0" w:type="auto"/>
          <w:tblInd w:w="0" w:type="dxa"/>
          <w:tblCellMar>
            <w:top w:w="0" w:type="dxa"/>
            <w:left w:w="108" w:type="dxa"/>
            <w:bottom w:w="0" w:type="dxa"/>
            <w:right w:w="108" w:type="dxa"/>
          </w:tblCellMar>
          <w:tblLook w:val="01E0"/>
        </w:tblPrEx>
        <w:tc>
          <w:tcPr>
            <w:tcW w:w="4428" w:type="dxa"/>
            <w:shd w:val="clear" w:color="auto" w:fill="auto"/>
          </w:tcPr>
          <w:p w:rsidR="00700593" w:rsidRPr="006D76A3" w:rsidP="00C653A9" w14:paraId="3FF61A6B"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hyperlink r:id="rId7" w:history="1">
              <w:r w:rsidRPr="006D76A3">
                <w:rPr>
                  <w:rFonts w:ascii="Times New Roman" w:eastAsia="Times New Roman" w:hAnsi="Times New Roman" w:cs="Times New Roman"/>
                  <w:bCs/>
                  <w:color w:val="0000FF"/>
                  <w:kern w:val="0"/>
                  <w:sz w:val="24"/>
                  <w:szCs w:val="24"/>
                  <w:u w:val="single"/>
                  <w:lang w:val="en-US" w:eastAsia="en-US" w:bidi="ar-SA"/>
                  <w14:ligatures w14:val="none"/>
                </w:rPr>
                <w:t>john.jones@ohioAGO.gov</w:t>
              </w:r>
            </w:hyperlink>
          </w:p>
          <w:p w:rsidR="00700593" w:rsidRPr="006D76A3" w:rsidP="00C653A9" w14:paraId="5F605E13"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p>
          <w:p w:rsidR="00700593" w:rsidRPr="006D76A3" w:rsidP="00C653A9" w14:paraId="0F05EBA0" w14:textId="77777777">
            <w:pPr>
              <w:spacing w:after="0" w:line="240" w:lineRule="auto"/>
              <w:rPr>
                <w:rFonts w:ascii="Times New Roman" w:eastAsia="Times New Roman" w:hAnsi="Times New Roman" w:cs="Times New Roman"/>
                <w:kern w:val="0"/>
                <w:sz w:val="24"/>
                <w:szCs w:val="24"/>
                <w:lang w:val="en-US" w:eastAsia="en-US" w:bidi="ar-SA"/>
                <w14:ligatures w14:val="none"/>
              </w:rPr>
            </w:pPr>
            <w:r w:rsidRPr="006D76A3">
              <w:rPr>
                <w:rFonts w:ascii="Times New Roman" w:eastAsia="Times New Roman" w:hAnsi="Times New Roman" w:cs="Times New Roman"/>
                <w:kern w:val="0"/>
                <w:sz w:val="24"/>
                <w:szCs w:val="24"/>
                <w:lang w:val="en-US" w:eastAsia="en-US" w:bidi="ar-SA"/>
                <w14:ligatures w14:val="none"/>
              </w:rPr>
              <w:t>Attorney Examiners:</w:t>
            </w:r>
          </w:p>
          <w:p w:rsidR="00700593" w:rsidRPr="006D76A3" w:rsidP="00C653A9" w14:paraId="712D221A"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hyperlink r:id="rId8" w:history="1">
              <w:r w:rsidRPr="006D76A3">
                <w:rPr>
                  <w:rFonts w:ascii="Times New Roman" w:eastAsia="Times New Roman" w:hAnsi="Times New Roman" w:cs="Times New Roman"/>
                  <w:bCs/>
                  <w:color w:val="0000FF"/>
                  <w:kern w:val="0"/>
                  <w:sz w:val="24"/>
                  <w:szCs w:val="24"/>
                  <w:u w:val="single"/>
                  <w:lang w:val="en-US" w:eastAsia="en-US" w:bidi="ar-SA"/>
                  <w14:ligatures w14:val="none"/>
                </w:rPr>
                <w:t>david.hicks@puco.ohio.gov</w:t>
              </w:r>
            </w:hyperlink>
          </w:p>
          <w:p w:rsidR="00700593" w:rsidRPr="006D76A3" w:rsidP="00C653A9" w14:paraId="6B823C80"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hyperlink r:id="rId9" w:history="1">
              <w:r w:rsidRPr="006D76A3">
                <w:rPr>
                  <w:rFonts w:ascii="Times New Roman" w:eastAsia="Times New Roman" w:hAnsi="Times New Roman" w:cs="Times New Roman"/>
                  <w:bCs/>
                  <w:color w:val="0000FF"/>
                  <w:kern w:val="0"/>
                  <w:sz w:val="24"/>
                  <w:szCs w:val="24"/>
                  <w:u w:val="single"/>
                  <w:lang w:val="en-US" w:eastAsia="en-US" w:bidi="ar-SA"/>
                  <w14:ligatures w14:val="none"/>
                </w:rPr>
                <w:t>matthew.sandor@puco.ohio.gov</w:t>
              </w:r>
            </w:hyperlink>
          </w:p>
          <w:p w:rsidR="00700593" w:rsidRPr="006D76A3" w:rsidP="00C653A9" w14:paraId="7E57DA7B" w14:textId="77777777">
            <w:pPr>
              <w:autoSpaceDE w:val="0"/>
              <w:autoSpaceDN w:val="0"/>
              <w:adjustRightInd w:val="0"/>
              <w:spacing w:after="0" w:line="240" w:lineRule="auto"/>
              <w:rPr>
                <w:rFonts w:ascii="Times New Roman" w:eastAsia="Times New Roman" w:hAnsi="Times New Roman" w:cs="Times New Roman"/>
                <w:bCs/>
                <w:kern w:val="0"/>
                <w:sz w:val="24"/>
                <w:szCs w:val="24"/>
                <w:lang w:val="en-US" w:eastAsia="en-US" w:bidi="ar-SA"/>
                <w14:ligatures w14:val="none"/>
              </w:rPr>
            </w:pPr>
          </w:p>
        </w:tc>
        <w:tc>
          <w:tcPr>
            <w:tcW w:w="4428" w:type="dxa"/>
            <w:shd w:val="clear" w:color="auto" w:fill="auto"/>
          </w:tcPr>
          <w:p w:rsidR="00700593" w:rsidRPr="006D76A3" w:rsidP="00C653A9" w14:paraId="0B6594C0" w14:textId="77777777">
            <w:pPr>
              <w:spacing w:after="0" w:line="240" w:lineRule="auto"/>
              <w:jc w:val="both"/>
              <w:rPr>
                <w:rFonts w:ascii="Times New Roman" w:eastAsia="Times New Roman" w:hAnsi="Times New Roman" w:cs="Times New Roman"/>
                <w:kern w:val="0"/>
                <w:sz w:val="24"/>
                <w:szCs w:val="24"/>
                <w:lang w:val="en-US" w:eastAsia="en-US" w:bidi="ar-SA"/>
                <w14:ligatures w14:val="none"/>
              </w:rPr>
            </w:pPr>
            <w:hyperlink r:id="rId10" w:history="1">
              <w:r w:rsidRPr="006D76A3">
                <w:rPr>
                  <w:rFonts w:ascii="Times New Roman" w:eastAsia="Times New Roman" w:hAnsi="Times New Roman" w:cs="Times New Roman"/>
                  <w:color w:val="0000FF"/>
                  <w:kern w:val="0"/>
                  <w:sz w:val="24"/>
                  <w:szCs w:val="24"/>
                  <w:u w:val="single"/>
                  <w:lang w:val="en-US" w:eastAsia="en-US" w:bidi="ar-SA"/>
                  <w14:ligatures w14:val="none"/>
                </w:rPr>
                <w:t>stnourse@aep.com</w:t>
              </w:r>
            </w:hyperlink>
          </w:p>
          <w:p w:rsidR="00700593" w:rsidRPr="006D76A3" w:rsidP="00C653A9" w14:paraId="53084B29" w14:textId="77777777">
            <w:pPr>
              <w:spacing w:after="0" w:line="240" w:lineRule="auto"/>
              <w:jc w:val="both"/>
              <w:rPr>
                <w:rFonts w:ascii="Times New Roman" w:eastAsia="Times New Roman" w:hAnsi="Times New Roman" w:cs="Times New Roman"/>
                <w:kern w:val="0"/>
                <w:sz w:val="24"/>
                <w:szCs w:val="24"/>
                <w:lang w:val="en-US" w:eastAsia="en-US" w:bidi="ar-SA"/>
                <w14:ligatures w14:val="none"/>
              </w:rPr>
            </w:pPr>
            <w:hyperlink r:id="rId11" w:history="1">
              <w:r w:rsidRPr="006D76A3">
                <w:rPr>
                  <w:rFonts w:ascii="Times New Roman" w:eastAsia="Times New Roman" w:hAnsi="Times New Roman" w:cs="Times New Roman"/>
                  <w:color w:val="0000FF"/>
                  <w:kern w:val="0"/>
                  <w:sz w:val="24"/>
                  <w:szCs w:val="24"/>
                  <w:u w:val="single"/>
                  <w:lang w:val="en-US" w:eastAsia="en-US" w:bidi="ar-SA"/>
                  <w14:ligatures w14:val="none"/>
                </w:rPr>
                <w:t>mjschuler@aep.com</w:t>
              </w:r>
            </w:hyperlink>
          </w:p>
          <w:p w:rsidR="00700593" w:rsidRPr="006D76A3" w:rsidP="00C653A9" w14:paraId="003853B1" w14:textId="77777777">
            <w:pPr>
              <w:spacing w:after="0" w:line="240" w:lineRule="auto"/>
              <w:jc w:val="both"/>
              <w:rPr>
                <w:rFonts w:ascii="Times New Roman" w:eastAsia="Times New Roman" w:hAnsi="Times New Roman" w:cs="Times New Roman"/>
                <w:bCs/>
                <w:kern w:val="0"/>
                <w:sz w:val="24"/>
                <w:szCs w:val="24"/>
                <w:lang w:val="en-US" w:eastAsia="en-US" w:bidi="ar-SA"/>
                <w14:ligatures w14:val="none"/>
              </w:rPr>
            </w:pPr>
          </w:p>
        </w:tc>
      </w:tr>
    </w:tbl>
    <w:p w:rsidR="00545DDB" w:rsidRPr="00DD1C0A" w:rsidP="00545DDB" w14:paraId="5E6FA662" w14:textId="77777777">
      <w:pPr>
        <w:ind w:firstLine="4230"/>
      </w:pPr>
    </w:p>
    <w:sectPr w:rsidSect="00DD1C0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0E" w14:paraId="177ADB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2560257"/>
      <w:docPartObj>
        <w:docPartGallery w:val="Page Numbers (Bottom of Page)"/>
        <w:docPartUnique/>
      </w:docPartObj>
    </w:sdtPr>
    <w:sdtEndPr>
      <w:rPr>
        <w:noProof/>
      </w:rPr>
    </w:sdtEndPr>
    <w:sdtContent>
      <w:p w:rsidR="00105A25" w14:paraId="0E7C3895" w14:textId="07BBE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0E" w14:paraId="63C4A0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0463" w:rsidP="00105A25" w14:paraId="6CAE9252" w14:textId="77777777">
      <w:r>
        <w:separator/>
      </w:r>
    </w:p>
  </w:footnote>
  <w:footnote w:type="continuationSeparator" w:id="1">
    <w:p w:rsidR="00310463" w:rsidP="00105A25" w14:paraId="5510D743" w14:textId="77777777">
      <w:r>
        <w:continuationSeparator/>
      </w:r>
    </w:p>
  </w:footnote>
  <w:footnote w:id="2">
    <w:p w:rsidR="00E66D7A" w:rsidP="00F71548" w14:paraId="76311946" w14:textId="18392FEC">
      <w:pPr>
        <w:pStyle w:val="FootnoteText"/>
        <w:spacing w:after="120"/>
      </w:pPr>
      <w:r>
        <w:rPr>
          <w:rStyle w:val="FootnoteReference"/>
        </w:rPr>
        <w:footnoteRef/>
      </w:r>
      <w:r>
        <w:t xml:space="preserve"> </w:t>
      </w:r>
      <w:r>
        <w:rPr>
          <w:i/>
          <w:iCs/>
        </w:rPr>
        <w:t>Ohio Power Co. v. Nationwide Energy Partners, LLC</w:t>
      </w:r>
      <w:r>
        <w:t>, Case No. 21-990-EL-CSS, Opinion and Order (Sept. 6, 2023) (“Order”), at ¶ 224.</w:t>
      </w:r>
    </w:p>
  </w:footnote>
  <w:footnote w:id="3">
    <w:p w:rsidR="00D50700" w:rsidP="00F71548" w14:paraId="0648ABDB" w14:textId="0D281CDB">
      <w:pPr>
        <w:pStyle w:val="FootnoteText"/>
        <w:spacing w:after="120"/>
      </w:pPr>
      <w:r>
        <w:rPr>
          <w:rStyle w:val="FootnoteReference"/>
        </w:rPr>
        <w:footnoteRef/>
      </w:r>
      <w:r>
        <w:t xml:space="preserve"> Application at</w:t>
      </w:r>
      <w:r w:rsidR="00085A2D">
        <w:t xml:space="preserve"> ¶ 5.</w:t>
      </w:r>
      <w:r>
        <w:t xml:space="preserve"> </w:t>
      </w:r>
    </w:p>
  </w:footnote>
  <w:footnote w:id="4">
    <w:p w:rsidR="0093067B" w:rsidP="00F71548" w14:paraId="6339B072" w14:textId="3B836675">
      <w:pPr>
        <w:pStyle w:val="FootnoteText"/>
        <w:spacing w:after="120"/>
      </w:pPr>
      <w:r>
        <w:rPr>
          <w:rStyle w:val="FootnoteReference"/>
        </w:rPr>
        <w:footnoteRef/>
      </w:r>
      <w:r>
        <w:t xml:space="preserve"> Application at ¶ 18.</w:t>
      </w:r>
    </w:p>
  </w:footnote>
  <w:footnote w:id="5">
    <w:p w:rsidR="00FD0922" w:rsidP="00F71548" w14:paraId="33E88B13" w14:textId="3AFE7537">
      <w:pPr>
        <w:pStyle w:val="FootnoteText"/>
        <w:spacing w:after="120"/>
      </w:pPr>
      <w:r>
        <w:rPr>
          <w:rStyle w:val="FootnoteReference"/>
        </w:rPr>
        <w:footnoteRef/>
      </w:r>
      <w:r>
        <w:t xml:space="preserve"> Application at ¶¶ 12-13.</w:t>
      </w:r>
    </w:p>
  </w:footnote>
  <w:footnote w:id="6">
    <w:p w:rsidR="00526E1F" w:rsidRPr="00526E1F" w:rsidP="00F71548" w14:paraId="39B8AE07" w14:textId="41E91F10">
      <w:pPr>
        <w:pStyle w:val="FootnoteText"/>
        <w:spacing w:after="120"/>
      </w:pPr>
      <w:r>
        <w:rPr>
          <w:rStyle w:val="FootnoteReference"/>
        </w:rPr>
        <w:footnoteRef/>
      </w:r>
      <w:r>
        <w:t xml:space="preserve"> </w:t>
      </w:r>
      <w:r>
        <w:rPr>
          <w:i/>
          <w:iCs/>
        </w:rPr>
        <w:t>Id.</w:t>
      </w:r>
      <w:r>
        <w:t xml:space="preserve"> at ¶ 13.</w:t>
      </w:r>
    </w:p>
  </w:footnote>
  <w:footnote w:id="7">
    <w:p w:rsidR="003F0AC8" w:rsidRPr="003F0AC8" w:rsidP="00F71548" w14:paraId="48704D90" w14:textId="195DCDDC">
      <w:pPr>
        <w:pStyle w:val="FootnoteText"/>
        <w:spacing w:after="120"/>
      </w:pPr>
      <w:r>
        <w:rPr>
          <w:rStyle w:val="FootnoteReference"/>
        </w:rPr>
        <w:footnoteRef/>
      </w:r>
      <w:r>
        <w:t xml:space="preserve"> </w:t>
      </w:r>
      <w:r>
        <w:rPr>
          <w:i/>
          <w:iCs/>
        </w:rPr>
        <w:t>Id.</w:t>
      </w:r>
      <w:r>
        <w:t xml:space="preserve"> at ¶ 16.</w:t>
      </w:r>
    </w:p>
  </w:footnote>
  <w:footnote w:id="8">
    <w:p w:rsidR="00B1007E" w:rsidRPr="00B1007E" w:rsidP="00F71548" w14:paraId="774C3CE9" w14:textId="19F89A60">
      <w:pPr>
        <w:pStyle w:val="FootnoteText"/>
        <w:spacing w:after="120"/>
      </w:pPr>
      <w:r>
        <w:rPr>
          <w:rStyle w:val="FootnoteReference"/>
        </w:rPr>
        <w:footnoteRef/>
      </w:r>
      <w:r>
        <w:t xml:space="preserve"> </w:t>
      </w:r>
      <w:r>
        <w:rPr>
          <w:i/>
          <w:iCs/>
        </w:rPr>
        <w:t>Id.</w:t>
      </w:r>
      <w:r>
        <w:t xml:space="preserve"> at ¶ 14.</w:t>
      </w:r>
    </w:p>
  </w:footnote>
  <w:footnote w:id="9">
    <w:p w:rsidR="00B1007E" w:rsidRPr="00552372" w:rsidP="00F71548" w14:paraId="1C83ABF2" w14:textId="37FB3F1B">
      <w:pPr>
        <w:pStyle w:val="FootnoteText"/>
        <w:spacing w:after="120"/>
        <w:rPr>
          <w:i/>
          <w:iCs/>
        </w:rPr>
      </w:pPr>
      <w:r>
        <w:rPr>
          <w:rStyle w:val="FootnoteReference"/>
        </w:rPr>
        <w:footnoteRef/>
      </w:r>
      <w:r>
        <w:t xml:space="preserve"> </w:t>
      </w:r>
      <w:r>
        <w:rPr>
          <w:i/>
          <w:iCs/>
        </w:rPr>
        <w:t>Id.</w:t>
      </w:r>
    </w:p>
  </w:footnote>
  <w:footnote w:id="10">
    <w:p w:rsidR="007C67E7" w:rsidP="00F71548" w14:paraId="5BEDFFBD" w14:textId="67F04AE0">
      <w:pPr>
        <w:pStyle w:val="FootnoteText"/>
        <w:spacing w:after="120"/>
      </w:pPr>
      <w:r>
        <w:rPr>
          <w:rStyle w:val="FootnoteReference"/>
        </w:rPr>
        <w:footnoteRef/>
      </w:r>
      <w:r>
        <w:t xml:space="preserve"> R.C. 4905.21</w:t>
      </w:r>
      <w:r w:rsidR="00176B30">
        <w:t>.</w:t>
      </w:r>
    </w:p>
  </w:footnote>
  <w:footnote w:id="11">
    <w:p w:rsidR="00660A40" w:rsidP="00F71548" w14:paraId="1DCCAE51" w14:textId="1BF4D387">
      <w:pPr>
        <w:pStyle w:val="FootnoteText"/>
        <w:spacing w:after="120"/>
      </w:pPr>
      <w:r>
        <w:rPr>
          <w:rStyle w:val="FootnoteReference"/>
        </w:rPr>
        <w:footnoteRef/>
      </w:r>
      <w:r>
        <w:t xml:space="preserve"> Application at ¶ 17.</w:t>
      </w:r>
    </w:p>
  </w:footnote>
  <w:footnote w:id="12">
    <w:p w:rsidR="00B92DBD" w:rsidP="00F71548" w14:paraId="7CC44458" w14:textId="0CC36E8B">
      <w:pPr>
        <w:pStyle w:val="FootnoteText"/>
        <w:spacing w:after="120"/>
      </w:pPr>
      <w:r>
        <w:rPr>
          <w:rStyle w:val="FootnoteReference"/>
        </w:rPr>
        <w:footnoteRef/>
      </w:r>
      <w:r>
        <w:t xml:space="preserve"> </w:t>
      </w:r>
      <w:r w:rsidRPr="00552372" w:rsidR="00332A32">
        <w:rPr>
          <w:i/>
          <w:iCs/>
        </w:rPr>
        <w:t>Id.</w:t>
      </w:r>
      <w:r w:rsidRPr="00B92DBD">
        <w:t xml:space="preserve"> ¶ 18.</w:t>
      </w:r>
    </w:p>
  </w:footnote>
  <w:footnote w:id="13">
    <w:p w:rsidR="00B92DBD" w:rsidP="00F71548" w14:paraId="4ACD888A" w14:textId="1A63942C">
      <w:pPr>
        <w:pStyle w:val="FootnoteText"/>
        <w:spacing w:after="120"/>
      </w:pPr>
      <w:r>
        <w:rPr>
          <w:rStyle w:val="FootnoteReference"/>
        </w:rPr>
        <w:footnoteRef/>
      </w:r>
      <w:r>
        <w:t xml:space="preserve"> </w:t>
      </w:r>
      <w:r w:rsidRPr="00552372" w:rsidR="00332A32">
        <w:rPr>
          <w:i/>
          <w:iCs/>
        </w:rPr>
        <w:t>Id.</w:t>
      </w:r>
      <w:r w:rsidR="00332A32">
        <w:rPr>
          <w:i/>
          <w:iCs/>
        </w:rPr>
        <w:t xml:space="preserve"> </w:t>
      </w:r>
      <w:r w:rsidRPr="005860F1">
        <w:t xml:space="preserve">¶ </w:t>
      </w:r>
      <w:r>
        <w:t>18</w:t>
      </w:r>
      <w:r w:rsidR="00845045">
        <w:t>.</w:t>
      </w:r>
    </w:p>
  </w:footnote>
  <w:footnote w:id="14">
    <w:p w:rsidR="0035214E" w:rsidP="00F71548" w14:paraId="376CADD7" w14:textId="07DECF11">
      <w:pPr>
        <w:pStyle w:val="FootnoteText"/>
        <w:spacing w:after="120"/>
      </w:pPr>
      <w:r>
        <w:rPr>
          <w:rStyle w:val="FootnoteReference"/>
        </w:rPr>
        <w:footnoteRef/>
      </w:r>
      <w:r>
        <w:t xml:space="preserve"> Case No. 21-986-GA-ABN Opinion and Order (Oct</w:t>
      </w:r>
      <w:r w:rsidR="00E84AF1">
        <w:t>.</w:t>
      </w:r>
      <w:r>
        <w:t xml:space="preserve"> 5, 2022) at </w:t>
      </w:r>
      <w:r w:rsidRPr="00B92DBD">
        <w:t>¶</w:t>
      </w:r>
      <w:r>
        <w:t xml:space="preserve"> 1.</w:t>
      </w:r>
    </w:p>
  </w:footnote>
  <w:footnote w:id="15">
    <w:p w:rsidR="00EB76D6" w:rsidRPr="00EB76D6" w:rsidP="00F71548" w14:paraId="532AE5A4" w14:textId="30ED63B0">
      <w:pPr>
        <w:pStyle w:val="FootnoteText"/>
        <w:spacing w:after="120"/>
      </w:pPr>
      <w:r>
        <w:rPr>
          <w:rStyle w:val="FootnoteReference"/>
        </w:rPr>
        <w:footnoteRef/>
      </w:r>
      <w:r>
        <w:t xml:space="preserve"> </w:t>
      </w:r>
      <w:r>
        <w:rPr>
          <w:i/>
          <w:iCs/>
        </w:rPr>
        <w:t>Id</w:t>
      </w:r>
      <w:r>
        <w:t xml:space="preserve">. at </w:t>
      </w:r>
      <w:r w:rsidRPr="00B92DBD">
        <w:t>¶</w:t>
      </w:r>
      <w:r>
        <w:t xml:space="preserve"> 19</w:t>
      </w:r>
      <w:r w:rsidR="001E631A">
        <w:t>.</w:t>
      </w:r>
    </w:p>
  </w:footnote>
  <w:footnote w:id="16">
    <w:p w:rsidR="0035214E" w:rsidP="00F71548" w14:paraId="6833F98A" w14:textId="78DFE888">
      <w:pPr>
        <w:pStyle w:val="FootnoteText"/>
        <w:spacing w:after="120"/>
      </w:pPr>
      <w:r>
        <w:rPr>
          <w:rStyle w:val="FootnoteReference"/>
        </w:rPr>
        <w:footnoteRef/>
      </w:r>
      <w:r>
        <w:t xml:space="preserve"> </w:t>
      </w:r>
      <w:r w:rsidRPr="0035214E">
        <w:rPr>
          <w:i/>
          <w:iCs/>
        </w:rPr>
        <w:t>Id.</w:t>
      </w:r>
      <w:r>
        <w:t xml:space="preserve"> at </w:t>
      </w:r>
      <w:r w:rsidRPr="00B92DBD">
        <w:t>¶</w:t>
      </w:r>
      <w:r>
        <w:t xml:space="preserve"> 22-23.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0E" w14:paraId="740B9B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0E" w14:paraId="6D23D3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0E" w14:paraId="30D4011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06"/>
    <w:rsid w:val="000342CA"/>
    <w:rsid w:val="00042D0E"/>
    <w:rsid w:val="0004770F"/>
    <w:rsid w:val="00061C7B"/>
    <w:rsid w:val="00085A2D"/>
    <w:rsid w:val="000B1529"/>
    <w:rsid w:val="000C1577"/>
    <w:rsid w:val="001028C1"/>
    <w:rsid w:val="00105A25"/>
    <w:rsid w:val="00176B30"/>
    <w:rsid w:val="001A41B7"/>
    <w:rsid w:val="001B300F"/>
    <w:rsid w:val="001D0054"/>
    <w:rsid w:val="001E631A"/>
    <w:rsid w:val="001F6AF3"/>
    <w:rsid w:val="00212D73"/>
    <w:rsid w:val="00215BD7"/>
    <w:rsid w:val="00274107"/>
    <w:rsid w:val="002A535D"/>
    <w:rsid w:val="002D036C"/>
    <w:rsid w:val="002D107B"/>
    <w:rsid w:val="002E2EA1"/>
    <w:rsid w:val="00310463"/>
    <w:rsid w:val="00332A32"/>
    <w:rsid w:val="0035160A"/>
    <w:rsid w:val="0035214E"/>
    <w:rsid w:val="00361AB4"/>
    <w:rsid w:val="00394606"/>
    <w:rsid w:val="003B70C7"/>
    <w:rsid w:val="003C014D"/>
    <w:rsid w:val="003E2B86"/>
    <w:rsid w:val="003F0AC8"/>
    <w:rsid w:val="003F46D9"/>
    <w:rsid w:val="004120B4"/>
    <w:rsid w:val="00492E36"/>
    <w:rsid w:val="004F239B"/>
    <w:rsid w:val="00507C8A"/>
    <w:rsid w:val="00514F8C"/>
    <w:rsid w:val="00526E1F"/>
    <w:rsid w:val="00532368"/>
    <w:rsid w:val="00533385"/>
    <w:rsid w:val="00540E62"/>
    <w:rsid w:val="00545DDB"/>
    <w:rsid w:val="005476F7"/>
    <w:rsid w:val="00552372"/>
    <w:rsid w:val="00573D9D"/>
    <w:rsid w:val="005860F1"/>
    <w:rsid w:val="005D39E6"/>
    <w:rsid w:val="005E4D6F"/>
    <w:rsid w:val="005F6EA3"/>
    <w:rsid w:val="00614B08"/>
    <w:rsid w:val="00616760"/>
    <w:rsid w:val="00660A40"/>
    <w:rsid w:val="006D76A3"/>
    <w:rsid w:val="00700593"/>
    <w:rsid w:val="007124AF"/>
    <w:rsid w:val="00751320"/>
    <w:rsid w:val="00763C24"/>
    <w:rsid w:val="007717BB"/>
    <w:rsid w:val="0078231F"/>
    <w:rsid w:val="007C4EB9"/>
    <w:rsid w:val="007C67E7"/>
    <w:rsid w:val="00845045"/>
    <w:rsid w:val="00853B72"/>
    <w:rsid w:val="00863463"/>
    <w:rsid w:val="00877DF3"/>
    <w:rsid w:val="008B099A"/>
    <w:rsid w:val="008B35BC"/>
    <w:rsid w:val="008B3AE8"/>
    <w:rsid w:val="0093067B"/>
    <w:rsid w:val="009961A7"/>
    <w:rsid w:val="009D29D9"/>
    <w:rsid w:val="009D64F6"/>
    <w:rsid w:val="009F63F5"/>
    <w:rsid w:val="009F6C0A"/>
    <w:rsid w:val="00A31D19"/>
    <w:rsid w:val="00A3220F"/>
    <w:rsid w:val="00A35B7F"/>
    <w:rsid w:val="00A40B2A"/>
    <w:rsid w:val="00AB4C15"/>
    <w:rsid w:val="00AD6320"/>
    <w:rsid w:val="00B068E7"/>
    <w:rsid w:val="00B1007E"/>
    <w:rsid w:val="00B15AF1"/>
    <w:rsid w:val="00B7537B"/>
    <w:rsid w:val="00B92DBD"/>
    <w:rsid w:val="00BE25D4"/>
    <w:rsid w:val="00BE3522"/>
    <w:rsid w:val="00BE667D"/>
    <w:rsid w:val="00C04E1D"/>
    <w:rsid w:val="00C464D2"/>
    <w:rsid w:val="00C653A9"/>
    <w:rsid w:val="00C946F6"/>
    <w:rsid w:val="00CC4C70"/>
    <w:rsid w:val="00CF0F23"/>
    <w:rsid w:val="00CF1FE3"/>
    <w:rsid w:val="00D069FC"/>
    <w:rsid w:val="00D35246"/>
    <w:rsid w:val="00D50700"/>
    <w:rsid w:val="00D66C6F"/>
    <w:rsid w:val="00DD1C0A"/>
    <w:rsid w:val="00DD59F8"/>
    <w:rsid w:val="00DD5E1A"/>
    <w:rsid w:val="00E06261"/>
    <w:rsid w:val="00E121A9"/>
    <w:rsid w:val="00E13372"/>
    <w:rsid w:val="00E40CD5"/>
    <w:rsid w:val="00E66D7A"/>
    <w:rsid w:val="00E67D87"/>
    <w:rsid w:val="00E84AF1"/>
    <w:rsid w:val="00E92038"/>
    <w:rsid w:val="00EB76D6"/>
    <w:rsid w:val="00EE7F11"/>
    <w:rsid w:val="00F23736"/>
    <w:rsid w:val="00F35346"/>
    <w:rsid w:val="00F71548"/>
    <w:rsid w:val="00FD0922"/>
    <w:rsid w:val="00FD31E8"/>
    <w:rsid w:val="00FD4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670FE7"/>
  <w15:chartTrackingRefBased/>
  <w15:docId w15:val="{B595DC82-F117-4847-B304-0A71D9A8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0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9F63F5"/>
    <w:pPr>
      <w:spacing w:after="240"/>
      <w:ind w:left="720" w:hanging="720"/>
      <w:outlineLvl w:val="0"/>
    </w:pPr>
    <w:rPr>
      <w:b/>
      <w:bCs/>
    </w:rPr>
  </w:style>
  <w:style w:type="paragraph" w:styleId="Heading2">
    <w:name w:val="heading 2"/>
    <w:basedOn w:val="Normal"/>
    <w:next w:val="Normal"/>
    <w:link w:val="Heading2Char"/>
    <w:uiPriority w:val="9"/>
    <w:unhideWhenUsed/>
    <w:qFormat/>
    <w:rsid w:val="00507C8A"/>
    <w:pPr>
      <w:spacing w:after="240"/>
      <w:ind w:left="1440" w:hanging="720"/>
      <w:outlineLvl w:val="1"/>
    </w:pPr>
    <w:rPr>
      <w:b/>
      <w:bCs/>
    </w:rPr>
  </w:style>
  <w:style w:type="paragraph" w:styleId="Heading3">
    <w:name w:val="heading 3"/>
    <w:basedOn w:val="Normal"/>
    <w:next w:val="Normal"/>
    <w:link w:val="Heading3Char"/>
    <w:uiPriority w:val="9"/>
    <w:semiHidden/>
    <w:unhideWhenUsed/>
    <w:qFormat/>
    <w:rsid w:val="00700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39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394606"/>
    <w:rPr>
      <w:rFonts w:ascii="Courier New" w:eastAsia="Courier New" w:hAnsi="Courier New" w:cs="Courier New"/>
      <w:kern w:val="0"/>
      <w:sz w:val="20"/>
      <w:szCs w:val="20"/>
      <w14:ligatures w14:val="none"/>
    </w:rPr>
  </w:style>
  <w:style w:type="paragraph" w:styleId="Header">
    <w:name w:val="header"/>
    <w:basedOn w:val="Normal"/>
    <w:link w:val="HeaderChar"/>
    <w:uiPriority w:val="99"/>
    <w:unhideWhenUsed/>
    <w:rsid w:val="00105A25"/>
    <w:pPr>
      <w:tabs>
        <w:tab w:val="center" w:pos="4680"/>
        <w:tab w:val="right" w:pos="9360"/>
      </w:tabs>
    </w:pPr>
  </w:style>
  <w:style w:type="character" w:customStyle="1" w:styleId="HeaderChar">
    <w:name w:val="Header Char"/>
    <w:basedOn w:val="DefaultParagraphFont"/>
    <w:link w:val="Header"/>
    <w:uiPriority w:val="99"/>
    <w:rsid w:val="00105A2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05A25"/>
    <w:pPr>
      <w:tabs>
        <w:tab w:val="center" w:pos="4680"/>
        <w:tab w:val="right" w:pos="9360"/>
      </w:tabs>
    </w:pPr>
  </w:style>
  <w:style w:type="character" w:customStyle="1" w:styleId="FooterChar">
    <w:name w:val="Footer Char"/>
    <w:basedOn w:val="DefaultParagraphFont"/>
    <w:link w:val="Footer"/>
    <w:uiPriority w:val="99"/>
    <w:rsid w:val="00105A25"/>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66D7A"/>
    <w:pPr>
      <w:spacing w:after="0"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E66D7A"/>
    <w:rPr>
      <w:sz w:val="20"/>
      <w:szCs w:val="20"/>
    </w:rPr>
  </w:style>
  <w:style w:type="character" w:customStyle="1" w:styleId="FootnoteTextChar">
    <w:name w:val="Footnote Text Char"/>
    <w:basedOn w:val="DefaultParagraphFont"/>
    <w:link w:val="FootnoteText"/>
    <w:uiPriority w:val="99"/>
    <w:semiHidden/>
    <w:rsid w:val="00E66D7A"/>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E66D7A"/>
    <w:rPr>
      <w:vertAlign w:val="superscript"/>
    </w:rPr>
  </w:style>
  <w:style w:type="character" w:styleId="CommentReference">
    <w:name w:val="annotation reference"/>
    <w:basedOn w:val="DefaultParagraphFont"/>
    <w:uiPriority w:val="99"/>
    <w:semiHidden/>
    <w:unhideWhenUsed/>
    <w:rsid w:val="00085A2D"/>
    <w:rPr>
      <w:sz w:val="16"/>
      <w:szCs w:val="16"/>
    </w:rPr>
  </w:style>
  <w:style w:type="paragraph" w:styleId="CommentText">
    <w:name w:val="annotation text"/>
    <w:basedOn w:val="Normal"/>
    <w:link w:val="CommentTextChar"/>
    <w:unhideWhenUsed/>
    <w:rsid w:val="00085A2D"/>
    <w:rPr>
      <w:sz w:val="20"/>
      <w:szCs w:val="20"/>
    </w:rPr>
  </w:style>
  <w:style w:type="character" w:customStyle="1" w:styleId="CommentTextChar">
    <w:name w:val="Comment Text Char"/>
    <w:basedOn w:val="DefaultParagraphFont"/>
    <w:link w:val="CommentText"/>
    <w:rsid w:val="00085A2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85A2D"/>
    <w:rPr>
      <w:b/>
      <w:bCs/>
    </w:rPr>
  </w:style>
  <w:style w:type="character" w:customStyle="1" w:styleId="CommentSubjectChar">
    <w:name w:val="Comment Subject Char"/>
    <w:basedOn w:val="CommentTextChar"/>
    <w:link w:val="CommentSubject"/>
    <w:uiPriority w:val="99"/>
    <w:semiHidden/>
    <w:rsid w:val="00085A2D"/>
    <w:rPr>
      <w:rFonts w:ascii="Times New Roman" w:eastAsia="Times New Roman" w:hAnsi="Times New Roman" w:cs="Times New Roman"/>
      <w:b/>
      <w:bCs/>
      <w:kern w:val="0"/>
      <w:sz w:val="20"/>
      <w:szCs w:val="20"/>
      <w14:ligatures w14:val="none"/>
    </w:rPr>
  </w:style>
  <w:style w:type="character" w:customStyle="1" w:styleId="Heading1Char">
    <w:name w:val="Heading 1 Char"/>
    <w:basedOn w:val="DefaultParagraphFont"/>
    <w:link w:val="Heading1"/>
    <w:uiPriority w:val="9"/>
    <w:rsid w:val="009F63F5"/>
    <w:rPr>
      <w:rFonts w:ascii="Times New Roman" w:eastAsia="Times New Roman" w:hAnsi="Times New Roman" w:cs="Times New Roman"/>
      <w:b/>
      <w:bCs/>
      <w:kern w:val="0"/>
      <w:sz w:val="24"/>
      <w:szCs w:val="24"/>
      <w14:ligatures w14:val="none"/>
    </w:rPr>
  </w:style>
  <w:style w:type="character" w:styleId="Hyperlink">
    <w:name w:val="Hyperlink"/>
    <w:rsid w:val="00545DDB"/>
    <w:rPr>
      <w:color w:val="0000FF"/>
      <w:u w:val="single"/>
    </w:rPr>
  </w:style>
  <w:style w:type="character" w:customStyle="1" w:styleId="Heading3Char">
    <w:name w:val="Heading 3 Char"/>
    <w:basedOn w:val="DefaultParagraphFont"/>
    <w:link w:val="Heading3"/>
    <w:uiPriority w:val="9"/>
    <w:semiHidden/>
    <w:rsid w:val="00700593"/>
    <w:rPr>
      <w:rFonts w:asciiTheme="majorHAnsi" w:eastAsiaTheme="majorEastAsia" w:hAnsiTheme="majorHAnsi" w:cstheme="majorBidi"/>
      <w:color w:val="1F3763" w:themeColor="accent1" w:themeShade="7F"/>
      <w:kern w:val="0"/>
      <w:sz w:val="24"/>
      <w:szCs w:val="24"/>
      <w14:ligatures w14:val="none"/>
    </w:rPr>
  </w:style>
  <w:style w:type="character" w:customStyle="1" w:styleId="Heading2Char">
    <w:name w:val="Heading 2 Char"/>
    <w:basedOn w:val="DefaultParagraphFont"/>
    <w:link w:val="Heading2"/>
    <w:uiPriority w:val="9"/>
    <w:rsid w:val="00507C8A"/>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nourse@aep.com" TargetMode="External" /><Relationship Id="rId11" Type="http://schemas.openxmlformats.org/officeDocument/2006/relationships/hyperlink" Target="mailto:mjschuler@aep.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thomas.brodbeck@occ.ohio.gov" TargetMode="External" /><Relationship Id="rId7" Type="http://schemas.openxmlformats.org/officeDocument/2006/relationships/hyperlink" Target="mailto:john.jones@ohioAGO.gov" TargetMode="External" /><Relationship Id="rId8" Type="http://schemas.openxmlformats.org/officeDocument/2006/relationships/hyperlink" Target="mailto:david.hicks@puco.ohio.gov" TargetMode="External" /><Relationship Id="rId9" Type="http://schemas.openxmlformats.org/officeDocument/2006/relationships/hyperlink" Target="mailto:matthew.sandor@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CE12-D8FE-4BB5-9BCE-AB79E838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2023-12-04T21:31:26Z</dcterms:created>
  <dcterms:modified xsi:type="dcterms:W3CDTF">2023-12-04T21:31:26Z</dcterms:modified>
</cp:coreProperties>
</file>