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6D30BD" w:rsidRPr="00C743FA" w:rsidP="006D30BD">
      <w:pPr>
        <w:pStyle w:val="HTMLPreformatted"/>
        <w:suppressLineNumbers/>
        <w:jc w:val="center"/>
        <w:rPr>
          <w:rFonts w:ascii="Times New Roman" w:hAnsi="Times New Roman" w:cs="Times New Roman"/>
          <w:b/>
          <w:bCs/>
          <w:sz w:val="24"/>
          <w:szCs w:val="24"/>
        </w:rPr>
      </w:pPr>
      <w:bookmarkStart w:id="0" w:name="_GoBack"/>
      <w:bookmarkEnd w:id="0"/>
      <w:r w:rsidRPr="00C743FA">
        <w:rPr>
          <w:rFonts w:ascii="Times New Roman" w:hAnsi="Times New Roman" w:cs="Times New Roman"/>
          <w:b/>
          <w:bCs/>
          <w:sz w:val="24"/>
          <w:szCs w:val="24"/>
        </w:rPr>
        <w:t>BEFORE</w:t>
      </w:r>
    </w:p>
    <w:p w:rsidR="006D30BD" w:rsidRPr="00C743FA" w:rsidP="006D30BD">
      <w:pPr>
        <w:pStyle w:val="HTMLPreformatted"/>
        <w:suppressLineNumbers/>
        <w:jc w:val="center"/>
        <w:rPr>
          <w:rFonts w:ascii="Times New Roman" w:hAnsi="Times New Roman" w:cs="Times New Roman"/>
          <w:b/>
          <w:bCs/>
          <w:sz w:val="24"/>
          <w:szCs w:val="24"/>
        </w:rPr>
      </w:pPr>
      <w:r w:rsidRPr="00C743FA">
        <w:rPr>
          <w:rFonts w:ascii="Times New Roman" w:hAnsi="Times New Roman" w:cs="Times New Roman"/>
          <w:b/>
          <w:bCs/>
          <w:sz w:val="24"/>
          <w:szCs w:val="24"/>
        </w:rPr>
        <w:t>THE PUBLIC UTILITIES COMMISSION OF OHIO</w:t>
      </w:r>
    </w:p>
    <w:p w:rsidR="006D30BD" w:rsidRPr="00C743FA" w:rsidP="006D30BD">
      <w:pPr>
        <w:pStyle w:val="HTMLPreformatted"/>
        <w:suppressLineNumbers/>
        <w:jc w:val="center"/>
        <w:rPr>
          <w:rFonts w:ascii="Times New Roman" w:hAnsi="Times New Roman" w:cs="Times New Roman"/>
          <w:sz w:val="24"/>
          <w:szCs w:val="24"/>
        </w:rPr>
      </w:pPr>
    </w:p>
    <w:tbl>
      <w:tblPr>
        <w:tblW w:w="8910" w:type="dxa"/>
        <w:jc w:val="center"/>
        <w:tblInd w:w="0" w:type="dxa"/>
        <w:tblCellMar>
          <w:top w:w="0" w:type="dxa"/>
          <w:left w:w="108" w:type="dxa"/>
          <w:bottom w:w="0" w:type="dxa"/>
          <w:right w:w="108" w:type="dxa"/>
        </w:tblCellMar>
        <w:tblLook w:val="01E0"/>
      </w:tblPr>
      <w:tblGrid>
        <w:gridCol w:w="4408"/>
        <w:gridCol w:w="296"/>
        <w:gridCol w:w="4206"/>
      </w:tblGrid>
      <w:tr w:rsidTr="00F26D77">
        <w:tblPrEx>
          <w:tblW w:w="8910" w:type="dxa"/>
          <w:jc w:val="center"/>
          <w:tblInd w:w="0" w:type="dxa"/>
          <w:tblCellMar>
            <w:top w:w="0" w:type="dxa"/>
            <w:left w:w="108" w:type="dxa"/>
            <w:bottom w:w="0" w:type="dxa"/>
            <w:right w:w="108" w:type="dxa"/>
          </w:tblCellMar>
          <w:tblLook w:val="01E0"/>
        </w:tblPrEx>
        <w:trPr>
          <w:trHeight w:val="807"/>
          <w:jc w:val="center"/>
        </w:trPr>
        <w:tc>
          <w:tcPr>
            <w:tcW w:w="4408" w:type="dxa"/>
            <w:shd w:val="clear" w:color="auto" w:fill="auto"/>
          </w:tcPr>
          <w:p w:rsidR="006D30BD" w:rsidP="00F26D77">
            <w:pPr>
              <w:suppressLineNumbers/>
              <w:autoSpaceDE w:val="0"/>
              <w:autoSpaceDN w:val="0"/>
              <w:adjustRightInd w:val="0"/>
              <w:rPr>
                <w:rStyle w:val="DefaultParagraphFont"/>
                <w:sz w:val="24"/>
                <w:szCs w:val="24"/>
                <w:lang w:val="en-US" w:eastAsia="en-US" w:bidi="ar-SA"/>
              </w:rPr>
            </w:pPr>
            <w:r>
              <w:rPr>
                <w:sz w:val="24"/>
                <w:szCs w:val="24"/>
                <w:lang w:val="en-US" w:eastAsia="en-US" w:bidi="ar-SA"/>
              </w:rPr>
              <w:t>In the Matter of The Regulation of the Purchased Gas Adjustment Clauses Contained within the Rate Schedules of Duke Energy Ohio Inc., and Related Matters.</w:t>
            </w:r>
          </w:p>
          <w:p w:rsidR="006D30BD" w:rsidRPr="00C743FA" w:rsidP="00F26D77">
            <w:pPr>
              <w:suppressLineNumbers/>
              <w:autoSpaceDE w:val="0"/>
              <w:autoSpaceDN w:val="0"/>
              <w:adjustRightInd w:val="0"/>
              <w:rPr>
                <w:rStyle w:val="DefaultParagraphFont"/>
                <w:sz w:val="24"/>
                <w:szCs w:val="24"/>
                <w:lang w:val="en-US" w:eastAsia="en-US" w:bidi="ar-SA"/>
              </w:rPr>
            </w:pPr>
          </w:p>
          <w:p w:rsidR="006D30BD" w:rsidP="00F26D77">
            <w:pPr>
              <w:suppressLineNumbers/>
              <w:autoSpaceDE w:val="0"/>
              <w:autoSpaceDN w:val="0"/>
              <w:adjustRightInd w:val="0"/>
              <w:rPr>
                <w:rStyle w:val="DefaultParagraphFont"/>
                <w:sz w:val="24"/>
                <w:szCs w:val="24"/>
                <w:lang w:val="en-US" w:eastAsia="en-US" w:bidi="ar-SA"/>
              </w:rPr>
            </w:pPr>
            <w:r>
              <w:rPr>
                <w:sz w:val="24"/>
                <w:szCs w:val="24"/>
                <w:lang w:val="en-US" w:eastAsia="en-US" w:bidi="ar-SA"/>
              </w:rPr>
              <w:t>In the Matter of The Audit of the Uncollectable Expense Rider of Duke Energy Ohio Inc., and Related Matters.</w:t>
            </w:r>
          </w:p>
          <w:p w:rsidR="006D30BD" w:rsidP="00F26D77">
            <w:pPr>
              <w:suppressLineNumbers/>
              <w:autoSpaceDE w:val="0"/>
              <w:autoSpaceDN w:val="0"/>
              <w:adjustRightInd w:val="0"/>
              <w:rPr>
                <w:rStyle w:val="DefaultParagraphFont"/>
                <w:sz w:val="24"/>
                <w:szCs w:val="24"/>
                <w:lang w:val="en-US" w:eastAsia="en-US" w:bidi="ar-SA"/>
              </w:rPr>
            </w:pPr>
          </w:p>
          <w:p w:rsidR="006D30BD" w:rsidRPr="00C743FA" w:rsidP="00F26D77">
            <w:pPr>
              <w:suppressLineNumbers/>
              <w:autoSpaceDE w:val="0"/>
              <w:autoSpaceDN w:val="0"/>
              <w:adjustRightInd w:val="0"/>
              <w:rPr>
                <w:rStyle w:val="DefaultParagraphFont"/>
                <w:sz w:val="24"/>
                <w:szCs w:val="24"/>
                <w:lang w:val="en-US" w:eastAsia="en-US" w:bidi="ar-SA"/>
              </w:rPr>
            </w:pPr>
            <w:r>
              <w:rPr>
                <w:sz w:val="24"/>
                <w:szCs w:val="24"/>
                <w:lang w:val="en-US" w:eastAsia="en-US" w:bidi="ar-SA"/>
              </w:rPr>
              <w:t>In the Matter of The Application of Duke Energy Ohio Inc., for Approval of an Adjustment to its Interim and Temporary PIPP Plan and Rider Case.</w:t>
            </w:r>
          </w:p>
        </w:tc>
        <w:tc>
          <w:tcPr>
            <w:tcW w:w="296" w:type="dxa"/>
            <w:shd w:val="clear" w:color="auto" w:fill="auto"/>
          </w:tcPr>
          <w:p w:rsidR="006D30BD" w:rsidRPr="00C743FA" w:rsidP="00F26D77">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r w:rsidRPr="00C743FA">
              <w:rPr>
                <w:rFonts w:ascii="Times New Roman" w:hAnsi="Times New Roman" w:cs="Times New Roman"/>
                <w:sz w:val="24"/>
                <w:szCs w:val="24"/>
                <w:lang w:val="en-US" w:eastAsia="en-US" w:bidi="ar-SA"/>
              </w:rPr>
              <w:t>)</w:t>
            </w:r>
          </w:p>
          <w:p w:rsidR="006D30BD" w:rsidRPr="00C743FA" w:rsidP="00F26D77">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r w:rsidRPr="00C743FA">
              <w:rPr>
                <w:rFonts w:ascii="Times New Roman" w:hAnsi="Times New Roman" w:cs="Times New Roman"/>
                <w:sz w:val="24"/>
                <w:szCs w:val="24"/>
                <w:lang w:val="en-US" w:eastAsia="en-US" w:bidi="ar-SA"/>
              </w:rPr>
              <w:t>)</w:t>
            </w:r>
          </w:p>
          <w:p w:rsidR="006D30BD" w:rsidRPr="00C743FA" w:rsidP="00F26D77">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r w:rsidRPr="00C743FA">
              <w:rPr>
                <w:rFonts w:ascii="Times New Roman" w:hAnsi="Times New Roman" w:cs="Times New Roman"/>
                <w:sz w:val="24"/>
                <w:szCs w:val="24"/>
                <w:lang w:val="en-US" w:eastAsia="en-US" w:bidi="ar-SA"/>
              </w:rPr>
              <w:t>)</w:t>
            </w:r>
          </w:p>
          <w:p w:rsidR="006D30BD" w:rsidP="00F26D77">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r>
              <w:rPr>
                <w:rFonts w:ascii="Times New Roman" w:hAnsi="Times New Roman" w:cs="Times New Roman"/>
                <w:sz w:val="24"/>
                <w:szCs w:val="24"/>
                <w:lang w:val="en-US" w:eastAsia="en-US" w:bidi="ar-SA"/>
              </w:rPr>
              <w:t>)</w:t>
            </w:r>
          </w:p>
          <w:p w:rsidR="006D30BD" w:rsidP="00F26D77">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r>
              <w:rPr>
                <w:rFonts w:ascii="Times New Roman" w:hAnsi="Times New Roman" w:cs="Times New Roman"/>
                <w:sz w:val="24"/>
                <w:szCs w:val="24"/>
                <w:lang w:val="en-US" w:eastAsia="en-US" w:bidi="ar-SA"/>
              </w:rPr>
              <w:t>)</w:t>
            </w:r>
          </w:p>
          <w:p w:rsidR="006D30BD" w:rsidRPr="00C743FA" w:rsidP="00F26D77">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p>
          <w:p w:rsidR="006D30BD" w:rsidRPr="00C743FA" w:rsidP="00F26D77">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r w:rsidRPr="00C743FA">
              <w:rPr>
                <w:rFonts w:ascii="Times New Roman" w:hAnsi="Times New Roman" w:cs="Times New Roman"/>
                <w:sz w:val="24"/>
                <w:szCs w:val="24"/>
                <w:lang w:val="en-US" w:eastAsia="en-US" w:bidi="ar-SA"/>
              </w:rPr>
              <w:t>)</w:t>
            </w:r>
          </w:p>
          <w:p w:rsidR="006D30BD" w:rsidRPr="00C743FA" w:rsidP="00F26D77">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r w:rsidRPr="00C743FA">
              <w:rPr>
                <w:rFonts w:ascii="Times New Roman" w:hAnsi="Times New Roman" w:cs="Times New Roman"/>
                <w:sz w:val="24"/>
                <w:szCs w:val="24"/>
                <w:lang w:val="en-US" w:eastAsia="en-US" w:bidi="ar-SA"/>
              </w:rPr>
              <w:t>)</w:t>
            </w:r>
          </w:p>
          <w:p w:rsidR="006D30BD" w:rsidP="00F26D77">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r w:rsidRPr="00C743FA">
              <w:rPr>
                <w:rFonts w:ascii="Times New Roman" w:hAnsi="Times New Roman" w:cs="Times New Roman"/>
                <w:sz w:val="24"/>
                <w:szCs w:val="24"/>
                <w:lang w:val="en-US" w:eastAsia="en-US" w:bidi="ar-SA"/>
              </w:rPr>
              <w:t>)</w:t>
            </w:r>
          </w:p>
          <w:p w:rsidR="006D30BD" w:rsidP="00F26D77">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p>
          <w:p w:rsidR="006D30BD" w:rsidP="00F26D77">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r>
              <w:rPr>
                <w:rFonts w:ascii="Times New Roman" w:hAnsi="Times New Roman" w:cs="Times New Roman"/>
                <w:sz w:val="24"/>
                <w:szCs w:val="24"/>
                <w:lang w:val="en-US" w:eastAsia="en-US" w:bidi="ar-SA"/>
              </w:rPr>
              <w:t>)</w:t>
            </w:r>
          </w:p>
          <w:p w:rsidR="006D30BD" w:rsidP="00F26D77">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r>
              <w:rPr>
                <w:rFonts w:ascii="Times New Roman" w:hAnsi="Times New Roman" w:cs="Times New Roman"/>
                <w:sz w:val="24"/>
                <w:szCs w:val="24"/>
                <w:lang w:val="en-US" w:eastAsia="en-US" w:bidi="ar-SA"/>
              </w:rPr>
              <w:t>)</w:t>
            </w:r>
          </w:p>
          <w:p w:rsidR="006D30BD" w:rsidP="00F26D77">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r>
              <w:rPr>
                <w:rFonts w:ascii="Times New Roman" w:hAnsi="Times New Roman" w:cs="Times New Roman"/>
                <w:sz w:val="24"/>
                <w:szCs w:val="24"/>
                <w:lang w:val="en-US" w:eastAsia="en-US" w:bidi="ar-SA"/>
              </w:rPr>
              <w:t>)</w:t>
            </w:r>
          </w:p>
          <w:p w:rsidR="006D30BD" w:rsidRPr="00C743FA" w:rsidP="00F26D77">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r>
              <w:rPr>
                <w:rFonts w:ascii="Times New Roman" w:hAnsi="Times New Roman" w:cs="Times New Roman"/>
                <w:sz w:val="24"/>
                <w:szCs w:val="24"/>
                <w:lang w:val="en-US" w:eastAsia="en-US" w:bidi="ar-SA"/>
              </w:rPr>
              <w:t>)</w:t>
            </w:r>
          </w:p>
        </w:tc>
        <w:tc>
          <w:tcPr>
            <w:tcW w:w="4206" w:type="dxa"/>
            <w:shd w:val="clear" w:color="auto" w:fill="auto"/>
          </w:tcPr>
          <w:p w:rsidR="006D30BD" w:rsidRPr="00C743FA" w:rsidP="00F26D77">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p>
          <w:p w:rsidR="006D30BD" w:rsidP="00F26D77">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p>
          <w:p w:rsidR="006D30BD" w:rsidRPr="00C743FA" w:rsidP="00F26D77">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r w:rsidRPr="00C743FA">
              <w:rPr>
                <w:rFonts w:ascii="Times New Roman" w:hAnsi="Times New Roman" w:cs="Times New Roman"/>
                <w:sz w:val="24"/>
                <w:szCs w:val="24"/>
                <w:lang w:val="en-US" w:eastAsia="en-US" w:bidi="ar-SA"/>
              </w:rPr>
              <w:t xml:space="preserve">Case No. </w:t>
            </w:r>
            <w:r w:rsidRPr="00C743FA">
              <w:rPr>
                <w:rFonts w:ascii="Times New Roman" w:eastAsia="Courier New" w:hAnsi="Times New Roman" w:cs="Times New Roman"/>
                <w:sz w:val="24"/>
                <w:szCs w:val="24"/>
                <w:lang w:val="en-US" w:eastAsia="en-US" w:bidi="ar-SA"/>
              </w:rPr>
              <w:t>18-</w:t>
            </w:r>
            <w:r>
              <w:rPr>
                <w:rFonts w:ascii="Times New Roman" w:eastAsia="Courier New" w:hAnsi="Times New Roman" w:cs="Times New Roman"/>
                <w:sz w:val="24"/>
                <w:szCs w:val="24"/>
                <w:lang w:val="en-US" w:eastAsia="en-US" w:bidi="ar-SA"/>
              </w:rPr>
              <w:t>0218</w:t>
            </w:r>
            <w:r w:rsidRPr="00C743FA">
              <w:rPr>
                <w:rFonts w:ascii="Times New Roman" w:eastAsia="Courier New" w:hAnsi="Times New Roman" w:cs="Times New Roman"/>
                <w:sz w:val="24"/>
                <w:szCs w:val="24"/>
                <w:lang w:val="en-US" w:eastAsia="en-US" w:bidi="ar-SA"/>
              </w:rPr>
              <w:t>-GA-</w:t>
            </w:r>
            <w:r>
              <w:rPr>
                <w:rFonts w:ascii="Times New Roman" w:eastAsia="Courier New" w:hAnsi="Times New Roman" w:cs="Times New Roman"/>
                <w:sz w:val="24"/>
                <w:szCs w:val="24"/>
                <w:lang w:val="en-US" w:eastAsia="en-US" w:bidi="ar-SA"/>
              </w:rPr>
              <w:t>GCR</w:t>
            </w:r>
          </w:p>
          <w:p w:rsidR="006D30BD" w:rsidRPr="00C743FA" w:rsidP="00F26D77">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p>
          <w:p w:rsidR="006D30BD" w:rsidRPr="00C743FA" w:rsidP="00F26D77">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p>
          <w:p w:rsidR="006D30BD" w:rsidRPr="00C743FA" w:rsidP="00F26D77">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p>
          <w:p w:rsidR="006D30BD" w:rsidP="00F26D77">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p>
          <w:p w:rsidR="006D30BD" w:rsidP="00F26D77">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r w:rsidRPr="00C743FA">
              <w:rPr>
                <w:rFonts w:ascii="Times New Roman" w:hAnsi="Times New Roman" w:cs="Times New Roman"/>
                <w:sz w:val="24"/>
                <w:szCs w:val="24"/>
                <w:lang w:val="en-US" w:eastAsia="en-US" w:bidi="ar-SA"/>
              </w:rPr>
              <w:t>Case No. 18-</w:t>
            </w:r>
            <w:r>
              <w:rPr>
                <w:rFonts w:ascii="Times New Roman" w:hAnsi="Times New Roman" w:cs="Times New Roman"/>
                <w:sz w:val="24"/>
                <w:szCs w:val="24"/>
                <w:lang w:val="en-US" w:eastAsia="en-US" w:bidi="ar-SA"/>
              </w:rPr>
              <w:t>0318</w:t>
            </w:r>
            <w:r w:rsidRPr="00C743FA">
              <w:rPr>
                <w:rFonts w:ascii="Times New Roman" w:hAnsi="Times New Roman" w:cs="Times New Roman"/>
                <w:sz w:val="24"/>
                <w:szCs w:val="24"/>
                <w:lang w:val="en-US" w:eastAsia="en-US" w:bidi="ar-SA"/>
              </w:rPr>
              <w:t>-GA-</w:t>
            </w:r>
            <w:r>
              <w:rPr>
                <w:rFonts w:ascii="Times New Roman" w:hAnsi="Times New Roman" w:cs="Times New Roman"/>
                <w:sz w:val="24"/>
                <w:szCs w:val="24"/>
                <w:lang w:val="en-US" w:eastAsia="en-US" w:bidi="ar-SA"/>
              </w:rPr>
              <w:t>UEX</w:t>
            </w:r>
          </w:p>
          <w:p w:rsidR="006D30BD" w:rsidP="00F26D77">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p>
          <w:p w:rsidR="006D30BD" w:rsidP="00F26D77">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p>
          <w:p w:rsidR="006D30BD" w:rsidP="00F26D77">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p>
          <w:p w:rsidR="006D30BD" w:rsidRPr="00C743FA" w:rsidP="00F26D77">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r w:rsidRPr="00C743FA">
              <w:rPr>
                <w:rFonts w:ascii="Times New Roman" w:hAnsi="Times New Roman" w:cs="Times New Roman"/>
                <w:sz w:val="24"/>
                <w:szCs w:val="24"/>
                <w:lang w:val="en-US" w:eastAsia="en-US" w:bidi="ar-SA"/>
              </w:rPr>
              <w:t>Case No. 18-</w:t>
            </w:r>
            <w:r>
              <w:rPr>
                <w:rFonts w:ascii="Times New Roman" w:hAnsi="Times New Roman" w:cs="Times New Roman"/>
                <w:sz w:val="24"/>
                <w:szCs w:val="24"/>
                <w:lang w:val="en-US" w:eastAsia="en-US" w:bidi="ar-SA"/>
              </w:rPr>
              <w:t>0418</w:t>
            </w:r>
            <w:r w:rsidRPr="00C743FA">
              <w:rPr>
                <w:rFonts w:ascii="Times New Roman" w:hAnsi="Times New Roman" w:cs="Times New Roman"/>
                <w:sz w:val="24"/>
                <w:szCs w:val="24"/>
                <w:lang w:val="en-US" w:eastAsia="en-US" w:bidi="ar-SA"/>
              </w:rPr>
              <w:t>-GA-</w:t>
            </w:r>
            <w:r>
              <w:rPr>
                <w:rFonts w:ascii="Times New Roman" w:hAnsi="Times New Roman" w:cs="Times New Roman"/>
                <w:sz w:val="24"/>
                <w:szCs w:val="24"/>
                <w:lang w:val="en-US" w:eastAsia="en-US" w:bidi="ar-SA"/>
              </w:rPr>
              <w:t>PIP</w:t>
            </w:r>
          </w:p>
        </w:tc>
      </w:tr>
    </w:tbl>
    <w:p w:rsidR="006D30BD" w:rsidRPr="00C743FA" w:rsidP="006D30BD">
      <w:pPr>
        <w:pStyle w:val="HTMLPreformatted"/>
        <w:suppressLineNumbers/>
        <w:pBdr>
          <w:bottom w:val="single" w:sz="12" w:space="1" w:color="auto"/>
        </w:pBdr>
        <w:rPr>
          <w:rFonts w:ascii="Times New Roman" w:hAnsi="Times New Roman" w:cs="Times New Roman"/>
          <w:sz w:val="24"/>
          <w:szCs w:val="24"/>
        </w:rPr>
      </w:pPr>
    </w:p>
    <w:p w:rsidR="006D30BD" w:rsidRPr="00C743FA" w:rsidP="006D30BD">
      <w:pPr>
        <w:pStyle w:val="HTMLPreformatted"/>
        <w:suppressLineNumbers/>
        <w:rPr>
          <w:rFonts w:ascii="Times New Roman" w:hAnsi="Times New Roman" w:cs="Times New Roman"/>
          <w:sz w:val="24"/>
          <w:szCs w:val="24"/>
        </w:rPr>
      </w:pPr>
    </w:p>
    <w:p w:rsidR="006D30BD" w:rsidRPr="00C743FA" w:rsidP="006D30BD">
      <w:pPr>
        <w:suppressLineNumbers/>
        <w:jc w:val="center"/>
        <w:rPr>
          <w:b/>
          <w:bCs/>
          <w:iCs/>
        </w:rPr>
      </w:pPr>
      <w:r w:rsidRPr="00C743FA">
        <w:rPr>
          <w:b/>
          <w:bCs/>
          <w:iCs/>
        </w:rPr>
        <w:t xml:space="preserve">INITIAL BRIEF </w:t>
      </w:r>
    </w:p>
    <w:p w:rsidR="006D30BD" w:rsidRPr="00C743FA" w:rsidP="006D30BD">
      <w:pPr>
        <w:suppressLineNumbers/>
        <w:jc w:val="center"/>
        <w:rPr>
          <w:b/>
          <w:bCs/>
          <w:iCs/>
        </w:rPr>
      </w:pPr>
      <w:r w:rsidRPr="00C743FA">
        <w:rPr>
          <w:b/>
          <w:bCs/>
          <w:iCs/>
        </w:rPr>
        <w:t xml:space="preserve">BY </w:t>
      </w:r>
    </w:p>
    <w:p w:rsidR="006D30BD" w:rsidRPr="00C743FA" w:rsidP="006D30BD">
      <w:pPr>
        <w:suppressLineNumbers/>
        <w:jc w:val="center"/>
        <w:rPr>
          <w:b/>
          <w:bCs/>
          <w:iCs/>
        </w:rPr>
      </w:pPr>
      <w:r w:rsidRPr="00C743FA">
        <w:rPr>
          <w:b/>
          <w:bCs/>
          <w:iCs/>
        </w:rPr>
        <w:t>THE OFFICE OF THE OHIO CONSUMERS</w:t>
      </w:r>
      <w:r>
        <w:rPr>
          <w:b/>
          <w:bCs/>
          <w:iCs/>
        </w:rPr>
        <w:t>’</w:t>
      </w:r>
      <w:r w:rsidRPr="00C743FA">
        <w:rPr>
          <w:b/>
          <w:bCs/>
          <w:iCs/>
        </w:rPr>
        <w:t xml:space="preserve"> COUNSEL</w:t>
      </w:r>
    </w:p>
    <w:p w:rsidR="006D30BD" w:rsidRPr="00C743FA" w:rsidP="006D30BD">
      <w:pPr>
        <w:suppressLineNumbers/>
        <w:pBdr>
          <w:bottom w:val="single" w:sz="12" w:space="1" w:color="auto"/>
        </w:pBdr>
        <w:jc w:val="center"/>
        <w:rPr>
          <w:b/>
          <w:bCs/>
          <w:iCs/>
        </w:rPr>
      </w:pPr>
    </w:p>
    <w:p w:rsidR="006D30BD" w:rsidP="006D30BD">
      <w:pPr>
        <w:suppressLineNumbers/>
        <w:rPr>
          <w:b/>
          <w:bCs/>
          <w:iCs/>
        </w:rPr>
      </w:pPr>
    </w:p>
    <w:p w:rsidR="006D30BD" w:rsidP="00A70505">
      <w:pPr>
        <w:pStyle w:val="HTMLPreformatted"/>
        <w:suppressLineNumbers/>
        <w:jc w:val="center"/>
        <w:rPr>
          <w:rFonts w:ascii="Times New Roman" w:hAnsi="Times New Roman" w:cs="Times New Roman"/>
          <w:b/>
          <w:bCs/>
          <w:sz w:val="24"/>
          <w:szCs w:val="24"/>
        </w:rPr>
      </w:pPr>
    </w:p>
    <w:p w:rsidR="006D30BD" w:rsidP="00A70505">
      <w:pPr>
        <w:pStyle w:val="HTMLPreformatted"/>
        <w:suppressLineNumbers/>
        <w:jc w:val="center"/>
        <w:rPr>
          <w:rFonts w:ascii="Times New Roman" w:hAnsi="Times New Roman" w:cs="Times New Roman"/>
          <w:b/>
          <w:bCs/>
          <w:sz w:val="24"/>
          <w:szCs w:val="24"/>
        </w:rPr>
      </w:pPr>
    </w:p>
    <w:p w:rsidR="006D30BD" w:rsidRPr="00C743FA" w:rsidP="006D30BD">
      <w:pPr>
        <w:ind w:left="4320"/>
      </w:pPr>
      <w:r w:rsidRPr="00C743FA">
        <w:t>Bruce Weston (0016973)</w:t>
      </w:r>
    </w:p>
    <w:p w:rsidR="006D30BD" w:rsidRPr="00C743FA" w:rsidP="006D30BD">
      <w:pPr>
        <w:tabs>
          <w:tab w:val="left" w:pos="4320"/>
        </w:tabs>
        <w:ind w:left="4320"/>
      </w:pPr>
      <w:r w:rsidRPr="00C743FA">
        <w:t>Ohio Consumers</w:t>
      </w:r>
      <w:r>
        <w:t>’</w:t>
      </w:r>
      <w:r w:rsidRPr="00C743FA">
        <w:t xml:space="preserve"> Counsel</w:t>
      </w:r>
    </w:p>
    <w:p w:rsidR="006D30BD" w:rsidRPr="00C743FA" w:rsidP="006D30BD">
      <w:pPr>
        <w:tabs>
          <w:tab w:val="left" w:pos="4320"/>
        </w:tabs>
        <w:ind w:left="4320"/>
      </w:pPr>
    </w:p>
    <w:p w:rsidR="006D30BD" w:rsidRPr="00C743FA" w:rsidP="006D30BD">
      <w:pPr>
        <w:tabs>
          <w:tab w:val="left" w:pos="4320"/>
        </w:tabs>
        <w:ind w:left="4320"/>
      </w:pPr>
      <w:r w:rsidRPr="00C743FA">
        <w:t>William J. Michael (0070921)</w:t>
      </w:r>
    </w:p>
    <w:p w:rsidR="006D30BD" w:rsidRPr="00C743FA" w:rsidP="006D30BD">
      <w:pPr>
        <w:tabs>
          <w:tab w:val="left" w:pos="4320"/>
        </w:tabs>
        <w:ind w:left="4320"/>
      </w:pPr>
      <w:r w:rsidRPr="00C743FA">
        <w:t>Counsel of Record</w:t>
      </w:r>
    </w:p>
    <w:p w:rsidR="006D30BD" w:rsidRPr="00C743FA" w:rsidP="006D30BD">
      <w:pPr>
        <w:tabs>
          <w:tab w:val="left" w:pos="4320"/>
        </w:tabs>
        <w:ind w:left="4320"/>
      </w:pPr>
      <w:r w:rsidRPr="00C743FA">
        <w:t>Angel</w:t>
      </w:r>
      <w:r>
        <w:t>a</w:t>
      </w:r>
      <w:r w:rsidRPr="00C743FA">
        <w:t xml:space="preserve"> O</w:t>
      </w:r>
      <w:r>
        <w:t>’</w:t>
      </w:r>
      <w:r w:rsidRPr="00C743FA">
        <w:t>Brien (0097579)</w:t>
      </w:r>
    </w:p>
    <w:p w:rsidR="006D30BD" w:rsidRPr="00C743FA" w:rsidP="006D30BD">
      <w:pPr>
        <w:tabs>
          <w:tab w:val="left" w:pos="4320"/>
        </w:tabs>
        <w:ind w:left="4320"/>
      </w:pPr>
      <w:r w:rsidRPr="00C743FA">
        <w:t xml:space="preserve">Ambrosia </w:t>
      </w:r>
      <w:r>
        <w:t xml:space="preserve">E. </w:t>
      </w:r>
      <w:r w:rsidRPr="00C743FA">
        <w:t>Logsdon (0096598)</w:t>
      </w:r>
    </w:p>
    <w:p w:rsidR="006D30BD" w:rsidRPr="00C743FA" w:rsidP="006D30BD">
      <w:pPr>
        <w:tabs>
          <w:tab w:val="left" w:pos="4320"/>
        </w:tabs>
        <w:ind w:left="4320"/>
      </w:pPr>
      <w:r w:rsidRPr="00C743FA">
        <w:t>Assistant Consumers</w:t>
      </w:r>
      <w:r>
        <w:t>’</w:t>
      </w:r>
      <w:r w:rsidRPr="00C743FA">
        <w:t xml:space="preserve"> Counsel </w:t>
      </w:r>
      <w:r w:rsidRPr="00C743FA">
        <w:br/>
      </w:r>
    </w:p>
    <w:p w:rsidR="006D30BD" w:rsidRPr="00C743FA" w:rsidP="006D30BD">
      <w:pPr>
        <w:tabs>
          <w:tab w:val="left" w:pos="4320"/>
        </w:tabs>
        <w:ind w:left="4320"/>
        <w:rPr>
          <w:b/>
        </w:rPr>
      </w:pPr>
      <w:r w:rsidRPr="00C743FA">
        <w:rPr>
          <w:b/>
        </w:rPr>
        <w:t>Office of the Ohio Consumers</w:t>
      </w:r>
      <w:r>
        <w:rPr>
          <w:b/>
        </w:rPr>
        <w:t>’</w:t>
      </w:r>
      <w:r w:rsidRPr="00C743FA">
        <w:rPr>
          <w:b/>
        </w:rPr>
        <w:t xml:space="preserve"> Counsel</w:t>
      </w:r>
    </w:p>
    <w:p w:rsidR="006D30BD" w:rsidRPr="00C743FA" w:rsidP="006D30BD">
      <w:pPr>
        <w:tabs>
          <w:tab w:val="left" w:pos="4320"/>
        </w:tabs>
        <w:ind w:left="4320"/>
      </w:pPr>
      <w:r w:rsidRPr="00C743FA">
        <w:t>65 East State Street, 7</w:t>
      </w:r>
      <w:r w:rsidRPr="00554787">
        <w:t>th</w:t>
      </w:r>
      <w:r w:rsidRPr="00C743FA">
        <w:t xml:space="preserve"> Floor</w:t>
      </w:r>
    </w:p>
    <w:p w:rsidR="006D30BD" w:rsidRPr="00C743FA" w:rsidP="006D30BD">
      <w:pPr>
        <w:tabs>
          <w:tab w:val="left" w:pos="4320"/>
        </w:tabs>
        <w:ind w:left="4320"/>
      </w:pPr>
      <w:r w:rsidRPr="00C743FA">
        <w:t>Columbus, Ohio 43215-4213</w:t>
      </w:r>
    </w:p>
    <w:p w:rsidR="006D30BD" w:rsidRPr="00C743FA" w:rsidP="006D30BD">
      <w:pPr>
        <w:tabs>
          <w:tab w:val="left" w:pos="4320"/>
        </w:tabs>
        <w:ind w:left="4320"/>
      </w:pPr>
      <w:r w:rsidRPr="00C743FA">
        <w:t>Telephone: (614) 466-1291 (Michael)</w:t>
      </w:r>
    </w:p>
    <w:p w:rsidR="006D30BD" w:rsidRPr="00C743FA" w:rsidP="006D30BD">
      <w:pPr>
        <w:tabs>
          <w:tab w:val="left" w:pos="4320"/>
        </w:tabs>
        <w:ind w:left="4320"/>
      </w:pPr>
      <w:r w:rsidRPr="00C743FA">
        <w:t>Telephone: (614) 466-</w:t>
      </w:r>
      <w:r>
        <w:t>9531</w:t>
      </w:r>
      <w:r w:rsidRPr="00C743FA">
        <w:t xml:space="preserve"> (O</w:t>
      </w:r>
      <w:r>
        <w:t>’</w:t>
      </w:r>
      <w:r w:rsidRPr="00C743FA">
        <w:t xml:space="preserve">Brien) </w:t>
      </w:r>
    </w:p>
    <w:p w:rsidR="006D30BD" w:rsidRPr="00C743FA" w:rsidP="006D30BD">
      <w:pPr>
        <w:tabs>
          <w:tab w:val="left" w:pos="4320"/>
        </w:tabs>
        <w:ind w:left="4320"/>
      </w:pPr>
      <w:r w:rsidRPr="00C743FA">
        <w:t xml:space="preserve">Telephone: (614) 466-1292 (Logsdon) </w:t>
      </w:r>
    </w:p>
    <w:p w:rsidR="006D30BD" w:rsidRPr="00C743FA" w:rsidP="006D30BD">
      <w:pPr>
        <w:ind w:left="4320"/>
      </w:pPr>
      <w:r>
        <w:fldChar w:fldCharType="begin"/>
      </w:r>
      <w:r>
        <w:instrText xml:space="preserve"> HYPERLINK "mailto:william.michael@occ.ohio.gov" </w:instrText>
      </w:r>
      <w:r>
        <w:fldChar w:fldCharType="separate"/>
      </w:r>
      <w:r w:rsidRPr="00C743FA">
        <w:rPr>
          <w:rStyle w:val="Hyperlink"/>
        </w:rPr>
        <w:t>william.michael@occ.ohio.gov</w:t>
      </w:r>
      <w:r>
        <w:fldChar w:fldCharType="end"/>
      </w:r>
    </w:p>
    <w:p w:rsidR="006D30BD" w:rsidRPr="00C743FA" w:rsidP="006D30BD">
      <w:pPr>
        <w:ind w:left="4320"/>
      </w:pPr>
      <w:r>
        <w:fldChar w:fldCharType="begin"/>
      </w:r>
      <w:r>
        <w:instrText xml:space="preserve"> HYPERLINK "mailto:angela.obrien@occ.ohio.gov" </w:instrText>
      </w:r>
      <w:r>
        <w:fldChar w:fldCharType="separate"/>
      </w:r>
      <w:r w:rsidRPr="00C743FA">
        <w:rPr>
          <w:rStyle w:val="Hyperlink"/>
        </w:rPr>
        <w:t>angela.obrien@occ.ohio.gov</w:t>
      </w:r>
      <w:r>
        <w:fldChar w:fldCharType="end"/>
      </w:r>
    </w:p>
    <w:p w:rsidR="006D30BD" w:rsidRPr="00C743FA" w:rsidP="006D30BD">
      <w:pPr>
        <w:ind w:left="4320"/>
      </w:pPr>
      <w:r>
        <w:fldChar w:fldCharType="begin"/>
      </w:r>
      <w:r>
        <w:instrText xml:space="preserve"> HYPERLINK "mailto:ambrosia.logsdon@occ.ohio.gov" </w:instrText>
      </w:r>
      <w:r>
        <w:fldChar w:fldCharType="separate"/>
      </w:r>
      <w:r w:rsidRPr="00C743FA">
        <w:rPr>
          <w:rStyle w:val="Hyperlink"/>
        </w:rPr>
        <w:t>ambrosia.logsdon@occ.ohio.gov</w:t>
      </w:r>
      <w:r>
        <w:fldChar w:fldCharType="end"/>
      </w:r>
    </w:p>
    <w:p w:rsidR="006D30BD" w:rsidRPr="00C743FA" w:rsidP="006D30BD">
      <w:pPr>
        <w:spacing w:line="480" w:lineRule="auto"/>
      </w:pPr>
      <w:r>
        <w:t>October 15, 2019</w:t>
      </w:r>
      <w:r>
        <w:tab/>
      </w:r>
      <w:r>
        <w:tab/>
      </w:r>
      <w:r>
        <w:tab/>
      </w:r>
      <w:r>
        <w:tab/>
      </w:r>
      <w:r w:rsidRPr="00C743FA">
        <w:t>(will</w:t>
      </w:r>
      <w:r>
        <w:t xml:space="preserve">ing to </w:t>
      </w:r>
      <w:r w:rsidRPr="00C743FA">
        <w:t xml:space="preserve">accept service </w:t>
      </w:r>
      <w:r>
        <w:t>by e-</w:t>
      </w:r>
      <w:r w:rsidRPr="00C743FA">
        <w:t>mail)</w:t>
      </w:r>
    </w:p>
    <w:p w:rsidR="006D30BD" w:rsidP="00A70505">
      <w:pPr>
        <w:pStyle w:val="HTMLPreformatted"/>
        <w:suppressLineNumbers/>
        <w:jc w:val="center"/>
        <w:rPr>
          <w:rFonts w:ascii="Times New Roman" w:hAnsi="Times New Roman" w:cs="Times New Roman"/>
          <w:b/>
          <w:bCs/>
          <w:sz w:val="24"/>
          <w:szCs w:val="24"/>
        </w:rPr>
        <w:sectPr w:rsidSect="00452B44">
          <w:headerReference w:type="even" r:id="rId5"/>
          <w:headerReference w:type="default" r:id="rId6"/>
          <w:footerReference w:type="even" r:id="rId7"/>
          <w:footerReference w:type="default" r:id="rId8"/>
          <w:headerReference w:type="first" r:id="rId9"/>
          <w:footerReference w:type="first" r:id="rId10"/>
          <w:pgSz w:w="12240" w:h="15840" w:code="1"/>
          <w:pgMar w:top="1440" w:right="1800" w:bottom="1440" w:left="1800" w:header="720" w:footer="720" w:gutter="0"/>
          <w:pgNumType w:start="2"/>
          <w:cols w:space="720"/>
          <w:docGrid w:linePitch="360"/>
        </w:sectPr>
      </w:pPr>
    </w:p>
    <w:p w:rsidR="006D30BD" w:rsidP="006D30BD">
      <w:pPr>
        <w:pStyle w:val="HTMLPreformatted"/>
        <w:suppressLineNumbers/>
        <w:jc w:val="center"/>
        <w:rPr>
          <w:rFonts w:ascii="Times New Roman" w:hAnsi="Times New Roman" w:cs="Times New Roman"/>
          <w:b/>
          <w:bCs/>
          <w:sz w:val="24"/>
          <w:szCs w:val="24"/>
          <w:u w:val="single"/>
        </w:rPr>
      </w:pPr>
      <w:r w:rsidRPr="006D30BD">
        <w:rPr>
          <w:rFonts w:ascii="Times New Roman" w:hAnsi="Times New Roman" w:cs="Times New Roman"/>
          <w:b/>
          <w:bCs/>
          <w:sz w:val="24"/>
          <w:szCs w:val="24"/>
          <w:u w:val="single"/>
        </w:rPr>
        <w:t>TABLE OF CONTENTS</w:t>
      </w:r>
    </w:p>
    <w:p w:rsidR="006D30BD" w:rsidP="006D30BD">
      <w:pPr>
        <w:pStyle w:val="HTMLPreformatted"/>
        <w:suppressLineNumbers/>
        <w:rPr>
          <w:rFonts w:ascii="Times New Roman" w:hAnsi="Times New Roman" w:cs="Times New Roman"/>
          <w:b/>
          <w:bCs/>
          <w:sz w:val="24"/>
          <w:szCs w:val="24"/>
          <w:u w:val="single"/>
        </w:rPr>
      </w:pPr>
    </w:p>
    <w:p w:rsidR="006D30BD" w:rsidP="006D30BD">
      <w:pPr>
        <w:pStyle w:val="HTMLPreformatted"/>
        <w:suppressLineNumber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PAGE</w:t>
      </w:r>
    </w:p>
    <w:p w:rsidR="006D30BD" w:rsidP="006D30BD">
      <w:pPr>
        <w:pStyle w:val="HTMLPreformatted"/>
        <w:suppressLineNumbers/>
        <w:rPr>
          <w:rFonts w:ascii="Times New Roman" w:hAnsi="Times New Roman" w:cs="Times New Roman"/>
          <w:b/>
          <w:bCs/>
          <w:sz w:val="24"/>
          <w:szCs w:val="24"/>
        </w:rPr>
      </w:pPr>
    </w:p>
    <w:p w:rsidR="009A5E9A">
      <w:pPr>
        <w:pStyle w:val="TOC1"/>
        <w:rPr>
          <w:rFonts w:asciiTheme="minorHAnsi" w:eastAsiaTheme="minorEastAsia" w:hAnsiTheme="minorHAnsi" w:cstheme="minorBidi"/>
          <w:caps w:val="0"/>
          <w:sz w:val="22"/>
          <w:szCs w:val="22"/>
        </w:rPr>
      </w:pPr>
      <w:r>
        <w:rPr>
          <w:b/>
          <w:bCs/>
        </w:rPr>
        <w:fldChar w:fldCharType="begin"/>
      </w:r>
      <w:r>
        <w:rPr>
          <w:b/>
          <w:bCs/>
        </w:rPr>
        <w:instrText xml:space="preserve"> TOC \o "1-3" \h \z \u </w:instrText>
      </w:r>
      <w:r>
        <w:rPr>
          <w:b/>
          <w:bCs/>
        </w:rPr>
        <w:fldChar w:fldCharType="separate"/>
      </w:r>
      <w:r>
        <w:fldChar w:fldCharType="begin"/>
      </w:r>
      <w:r>
        <w:instrText xml:space="preserve"> HYPERLINK \l "_Toc22048345" </w:instrText>
      </w:r>
      <w:r>
        <w:fldChar w:fldCharType="separate"/>
      </w:r>
      <w:r w:rsidRPr="00B93EE5">
        <w:rPr>
          <w:rStyle w:val="Hyperlink"/>
        </w:rPr>
        <w:t>I.</w:t>
      </w:r>
      <w:r>
        <w:rPr>
          <w:rFonts w:asciiTheme="minorHAnsi" w:eastAsiaTheme="minorEastAsia" w:hAnsiTheme="minorHAnsi" w:cstheme="minorBidi"/>
          <w:caps w:val="0"/>
          <w:sz w:val="22"/>
          <w:szCs w:val="22"/>
        </w:rPr>
        <w:tab/>
      </w:r>
      <w:r w:rsidRPr="00B93EE5">
        <w:rPr>
          <w:rStyle w:val="Hyperlink"/>
        </w:rPr>
        <w:t>Introduction</w:t>
      </w:r>
      <w:r>
        <w:rPr>
          <w:webHidden/>
        </w:rPr>
        <w:tab/>
      </w:r>
      <w:r>
        <w:rPr>
          <w:webHidden/>
        </w:rPr>
        <w:fldChar w:fldCharType="begin"/>
      </w:r>
      <w:r>
        <w:rPr>
          <w:webHidden/>
        </w:rPr>
        <w:instrText xml:space="preserve"> PAGEREF _Toc22048345 \h </w:instrText>
      </w:r>
      <w:r>
        <w:rPr>
          <w:webHidden/>
        </w:rPr>
        <w:fldChar w:fldCharType="separate"/>
      </w:r>
      <w:r>
        <w:rPr>
          <w:webHidden/>
        </w:rPr>
        <w:t>1</w:t>
      </w:r>
      <w:r>
        <w:rPr>
          <w:webHidden/>
        </w:rPr>
        <w:fldChar w:fldCharType="end"/>
      </w:r>
      <w:r>
        <w:fldChar w:fldCharType="end"/>
      </w:r>
    </w:p>
    <w:p w:rsidR="009A5E9A">
      <w:pPr>
        <w:pStyle w:val="TOC1"/>
        <w:rPr>
          <w:rFonts w:asciiTheme="minorHAnsi" w:eastAsiaTheme="minorEastAsia" w:hAnsiTheme="minorHAnsi" w:cstheme="minorBidi"/>
          <w:caps w:val="0"/>
          <w:sz w:val="22"/>
          <w:szCs w:val="22"/>
        </w:rPr>
      </w:pPr>
      <w:r>
        <w:fldChar w:fldCharType="begin"/>
      </w:r>
      <w:r>
        <w:instrText xml:space="preserve"> HYPERLINK \l "_Toc22048346" </w:instrText>
      </w:r>
      <w:r>
        <w:fldChar w:fldCharType="separate"/>
      </w:r>
      <w:r w:rsidRPr="00B93EE5">
        <w:rPr>
          <w:rStyle w:val="Hyperlink"/>
        </w:rPr>
        <w:t>II.</w:t>
      </w:r>
      <w:r>
        <w:rPr>
          <w:rFonts w:asciiTheme="minorHAnsi" w:eastAsiaTheme="minorEastAsia" w:hAnsiTheme="minorHAnsi" w:cstheme="minorBidi"/>
          <w:caps w:val="0"/>
          <w:sz w:val="22"/>
          <w:szCs w:val="22"/>
        </w:rPr>
        <w:tab/>
      </w:r>
      <w:r w:rsidRPr="00B93EE5">
        <w:rPr>
          <w:rStyle w:val="Hyperlink"/>
        </w:rPr>
        <w:t>BACKGROUND</w:t>
      </w:r>
      <w:r>
        <w:rPr>
          <w:webHidden/>
        </w:rPr>
        <w:tab/>
      </w:r>
      <w:r>
        <w:rPr>
          <w:webHidden/>
        </w:rPr>
        <w:fldChar w:fldCharType="begin"/>
      </w:r>
      <w:r>
        <w:rPr>
          <w:webHidden/>
        </w:rPr>
        <w:instrText xml:space="preserve"> PAGEREF _Toc22048346 \h </w:instrText>
      </w:r>
      <w:r>
        <w:rPr>
          <w:webHidden/>
        </w:rPr>
        <w:fldChar w:fldCharType="separate"/>
      </w:r>
      <w:r>
        <w:rPr>
          <w:webHidden/>
        </w:rPr>
        <w:t>2</w:t>
      </w:r>
      <w:r>
        <w:rPr>
          <w:webHidden/>
        </w:rPr>
        <w:fldChar w:fldCharType="end"/>
      </w:r>
      <w:r>
        <w:fldChar w:fldCharType="end"/>
      </w:r>
    </w:p>
    <w:p w:rsidR="009A5E9A">
      <w:pPr>
        <w:pStyle w:val="TOC1"/>
        <w:rPr>
          <w:rFonts w:asciiTheme="minorHAnsi" w:eastAsiaTheme="minorEastAsia" w:hAnsiTheme="minorHAnsi" w:cstheme="minorBidi"/>
          <w:caps w:val="0"/>
          <w:sz w:val="22"/>
          <w:szCs w:val="22"/>
        </w:rPr>
      </w:pPr>
      <w:r>
        <w:fldChar w:fldCharType="begin"/>
      </w:r>
      <w:r>
        <w:instrText xml:space="preserve"> HYPERLINK \l "_Toc22048347" </w:instrText>
      </w:r>
      <w:r>
        <w:fldChar w:fldCharType="separate"/>
      </w:r>
      <w:r w:rsidRPr="00B93EE5">
        <w:rPr>
          <w:rStyle w:val="Hyperlink"/>
        </w:rPr>
        <w:t>III.</w:t>
      </w:r>
      <w:r>
        <w:rPr>
          <w:rFonts w:asciiTheme="minorHAnsi" w:eastAsiaTheme="minorEastAsia" w:hAnsiTheme="minorHAnsi" w:cstheme="minorBidi"/>
          <w:caps w:val="0"/>
          <w:sz w:val="22"/>
          <w:szCs w:val="22"/>
        </w:rPr>
        <w:tab/>
      </w:r>
      <w:r w:rsidRPr="00B93EE5">
        <w:rPr>
          <w:rStyle w:val="Hyperlink"/>
        </w:rPr>
        <w:t>STANDARD OF REVIEW</w:t>
      </w:r>
      <w:r>
        <w:rPr>
          <w:webHidden/>
        </w:rPr>
        <w:tab/>
      </w:r>
      <w:r>
        <w:rPr>
          <w:webHidden/>
        </w:rPr>
        <w:fldChar w:fldCharType="begin"/>
      </w:r>
      <w:r>
        <w:rPr>
          <w:webHidden/>
        </w:rPr>
        <w:instrText xml:space="preserve"> PAGEREF _Toc22048347 \h </w:instrText>
      </w:r>
      <w:r>
        <w:rPr>
          <w:webHidden/>
        </w:rPr>
        <w:fldChar w:fldCharType="separate"/>
      </w:r>
      <w:r>
        <w:rPr>
          <w:webHidden/>
        </w:rPr>
        <w:t>4</w:t>
      </w:r>
      <w:r>
        <w:rPr>
          <w:webHidden/>
        </w:rPr>
        <w:fldChar w:fldCharType="end"/>
      </w:r>
      <w:r>
        <w:fldChar w:fldCharType="end"/>
      </w:r>
    </w:p>
    <w:p w:rsidR="009A5E9A">
      <w:pPr>
        <w:pStyle w:val="TOC1"/>
        <w:rPr>
          <w:rFonts w:asciiTheme="minorHAnsi" w:eastAsiaTheme="minorEastAsia" w:hAnsiTheme="minorHAnsi" w:cstheme="minorBidi"/>
          <w:caps w:val="0"/>
          <w:sz w:val="22"/>
          <w:szCs w:val="22"/>
        </w:rPr>
      </w:pPr>
      <w:r>
        <w:fldChar w:fldCharType="begin"/>
      </w:r>
      <w:r>
        <w:instrText xml:space="preserve"> HYPERLINK \l "_Toc22048348" </w:instrText>
      </w:r>
      <w:r>
        <w:fldChar w:fldCharType="separate"/>
      </w:r>
      <w:r w:rsidRPr="00B93EE5">
        <w:rPr>
          <w:rStyle w:val="Hyperlink"/>
        </w:rPr>
        <w:t>IV.</w:t>
      </w:r>
      <w:r>
        <w:rPr>
          <w:rFonts w:asciiTheme="minorHAnsi" w:eastAsiaTheme="minorEastAsia" w:hAnsiTheme="minorHAnsi" w:cstheme="minorBidi"/>
          <w:caps w:val="0"/>
          <w:sz w:val="22"/>
          <w:szCs w:val="22"/>
        </w:rPr>
        <w:tab/>
      </w:r>
      <w:r w:rsidRPr="00B93EE5">
        <w:rPr>
          <w:rStyle w:val="Hyperlink"/>
        </w:rPr>
        <w:t>RECOMMENDATIONS</w:t>
      </w:r>
      <w:r>
        <w:rPr>
          <w:webHidden/>
        </w:rPr>
        <w:tab/>
      </w:r>
      <w:r>
        <w:rPr>
          <w:webHidden/>
        </w:rPr>
        <w:fldChar w:fldCharType="begin"/>
      </w:r>
      <w:r>
        <w:rPr>
          <w:webHidden/>
        </w:rPr>
        <w:instrText xml:space="preserve"> PAGEREF _Toc22048348 \h </w:instrText>
      </w:r>
      <w:r>
        <w:rPr>
          <w:webHidden/>
        </w:rPr>
        <w:fldChar w:fldCharType="separate"/>
      </w:r>
      <w:r>
        <w:rPr>
          <w:webHidden/>
        </w:rPr>
        <w:t>5</w:t>
      </w:r>
      <w:r>
        <w:rPr>
          <w:webHidden/>
        </w:rPr>
        <w:fldChar w:fldCharType="end"/>
      </w:r>
      <w:r>
        <w:fldChar w:fldCharType="end"/>
      </w:r>
    </w:p>
    <w:p w:rsidR="009A5E9A">
      <w:pPr>
        <w:pStyle w:val="TOC2"/>
        <w:tabs>
          <w:tab w:val="left" w:pos="1440"/>
        </w:tabs>
        <w:rPr>
          <w:rFonts w:asciiTheme="minorHAnsi" w:eastAsiaTheme="minorEastAsia" w:hAnsiTheme="minorHAnsi" w:cstheme="minorBidi"/>
          <w:caps w:val="0"/>
          <w:noProof/>
          <w:sz w:val="22"/>
          <w:szCs w:val="22"/>
        </w:rPr>
      </w:pPr>
      <w:r>
        <w:fldChar w:fldCharType="begin"/>
      </w:r>
      <w:r>
        <w:instrText xml:space="preserve"> HYPERLINK \l "_Toc22048349" </w:instrText>
      </w:r>
      <w:r>
        <w:fldChar w:fldCharType="separate"/>
      </w:r>
      <w:r w:rsidRPr="00B93EE5">
        <w:rPr>
          <w:rStyle w:val="Hyperlink"/>
          <w:noProof/>
        </w:rPr>
        <w:t>A.</w:t>
      </w:r>
      <w:r>
        <w:rPr>
          <w:rFonts w:asciiTheme="minorHAnsi" w:eastAsiaTheme="minorEastAsia" w:hAnsiTheme="minorHAnsi" w:cstheme="minorBidi"/>
          <w:caps w:val="0"/>
          <w:noProof/>
          <w:sz w:val="22"/>
          <w:szCs w:val="22"/>
        </w:rPr>
        <w:tab/>
      </w:r>
      <w:r w:rsidRPr="00B93EE5">
        <w:rPr>
          <w:rStyle w:val="Hyperlink"/>
          <w:noProof/>
        </w:rPr>
        <w:t>The Settlement does not benefit customers or the public interest, therefore violates the settlement test.</w:t>
      </w:r>
      <w:r>
        <w:rPr>
          <w:noProof/>
          <w:webHidden/>
        </w:rPr>
        <w:tab/>
      </w:r>
      <w:r>
        <w:rPr>
          <w:noProof/>
          <w:webHidden/>
        </w:rPr>
        <w:fldChar w:fldCharType="begin"/>
      </w:r>
      <w:r>
        <w:rPr>
          <w:noProof/>
          <w:webHidden/>
        </w:rPr>
        <w:instrText xml:space="preserve"> PAGEREF _Toc22048349 \h </w:instrText>
      </w:r>
      <w:r>
        <w:rPr>
          <w:noProof/>
          <w:webHidden/>
        </w:rPr>
        <w:fldChar w:fldCharType="separate"/>
      </w:r>
      <w:r>
        <w:rPr>
          <w:noProof/>
          <w:webHidden/>
        </w:rPr>
        <w:t>7</w:t>
      </w:r>
      <w:r>
        <w:rPr>
          <w:noProof/>
          <w:webHidden/>
        </w:rPr>
        <w:fldChar w:fldCharType="end"/>
      </w:r>
      <w:r>
        <w:fldChar w:fldCharType="end"/>
      </w:r>
    </w:p>
    <w:p w:rsidR="009A5E9A">
      <w:pPr>
        <w:pStyle w:val="TOC3"/>
        <w:tabs>
          <w:tab w:val="left" w:pos="2160"/>
          <w:tab w:val="right" w:leader="dot" w:pos="8630"/>
        </w:tabs>
        <w:rPr>
          <w:rFonts w:asciiTheme="minorHAnsi" w:eastAsiaTheme="minorEastAsia" w:hAnsiTheme="minorHAnsi" w:cstheme="minorBidi"/>
          <w:noProof/>
          <w:sz w:val="22"/>
          <w:szCs w:val="22"/>
        </w:rPr>
      </w:pPr>
      <w:r>
        <w:fldChar w:fldCharType="begin"/>
      </w:r>
      <w:r>
        <w:instrText xml:space="preserve"> HYPERLINK \l "_Toc22048350" </w:instrText>
      </w:r>
      <w:r>
        <w:fldChar w:fldCharType="separate"/>
      </w:r>
      <w:r w:rsidRPr="00B93EE5">
        <w:rPr>
          <w:rStyle w:val="Hyperlink"/>
          <w:noProof/>
        </w:rPr>
        <w:t>1.</w:t>
      </w:r>
      <w:r>
        <w:rPr>
          <w:rFonts w:asciiTheme="minorHAnsi" w:eastAsiaTheme="minorEastAsia" w:hAnsiTheme="minorHAnsi" w:cstheme="minorBidi"/>
          <w:noProof/>
          <w:sz w:val="22"/>
          <w:szCs w:val="22"/>
        </w:rPr>
        <w:tab/>
      </w:r>
      <w:r w:rsidRPr="00B93EE5">
        <w:rPr>
          <w:rStyle w:val="Hyperlink"/>
          <w:noProof/>
        </w:rPr>
        <w:t>To benefit consumers, the PUCO should amend the Settlement to properly allocate the propane commodity costs during the audit period and to require a refund of costs to the gas cost recovery customers.</w:t>
      </w:r>
      <w:r>
        <w:rPr>
          <w:noProof/>
          <w:webHidden/>
        </w:rPr>
        <w:tab/>
      </w:r>
      <w:r>
        <w:rPr>
          <w:noProof/>
          <w:webHidden/>
        </w:rPr>
        <w:fldChar w:fldCharType="begin"/>
      </w:r>
      <w:r>
        <w:rPr>
          <w:noProof/>
          <w:webHidden/>
        </w:rPr>
        <w:instrText xml:space="preserve"> PAGEREF _Toc22048350 \h </w:instrText>
      </w:r>
      <w:r>
        <w:rPr>
          <w:noProof/>
          <w:webHidden/>
        </w:rPr>
        <w:fldChar w:fldCharType="separate"/>
      </w:r>
      <w:r>
        <w:rPr>
          <w:noProof/>
          <w:webHidden/>
        </w:rPr>
        <w:t>9</w:t>
      </w:r>
      <w:r>
        <w:rPr>
          <w:noProof/>
          <w:webHidden/>
        </w:rPr>
        <w:fldChar w:fldCharType="end"/>
      </w:r>
      <w:r>
        <w:fldChar w:fldCharType="end"/>
      </w:r>
    </w:p>
    <w:p w:rsidR="009A5E9A">
      <w:pPr>
        <w:pStyle w:val="TOC3"/>
        <w:tabs>
          <w:tab w:val="left" w:pos="2160"/>
          <w:tab w:val="right" w:leader="dot" w:pos="8630"/>
        </w:tabs>
        <w:rPr>
          <w:rFonts w:asciiTheme="minorHAnsi" w:eastAsiaTheme="minorEastAsia" w:hAnsiTheme="minorHAnsi" w:cstheme="minorBidi"/>
          <w:noProof/>
          <w:sz w:val="22"/>
          <w:szCs w:val="22"/>
        </w:rPr>
      </w:pPr>
      <w:r>
        <w:fldChar w:fldCharType="begin"/>
      </w:r>
      <w:r>
        <w:instrText xml:space="preserve"> HYPERLINK \l "_Toc22048351" </w:instrText>
      </w:r>
      <w:r>
        <w:fldChar w:fldCharType="separate"/>
      </w:r>
      <w:r w:rsidRPr="00B93EE5">
        <w:rPr>
          <w:rStyle w:val="Hyperlink"/>
          <w:noProof/>
        </w:rPr>
        <w:t>2.</w:t>
      </w:r>
      <w:r>
        <w:rPr>
          <w:rFonts w:asciiTheme="minorHAnsi" w:eastAsiaTheme="minorEastAsia" w:hAnsiTheme="minorHAnsi" w:cstheme="minorBidi"/>
          <w:noProof/>
          <w:sz w:val="22"/>
          <w:szCs w:val="22"/>
        </w:rPr>
        <w:tab/>
      </w:r>
      <w:r w:rsidRPr="00B93EE5">
        <w:rPr>
          <w:rStyle w:val="Hyperlink"/>
          <w:noProof/>
        </w:rPr>
        <w:t>To benefit consumers, the PUCO should amend the Settlement by ordering Duke to transition from the gas cost recovery to a competitive auction for the provision of the standard service offer.</w:t>
      </w:r>
      <w:r>
        <w:rPr>
          <w:noProof/>
          <w:webHidden/>
        </w:rPr>
        <w:tab/>
      </w:r>
      <w:r>
        <w:rPr>
          <w:noProof/>
          <w:webHidden/>
        </w:rPr>
        <w:fldChar w:fldCharType="begin"/>
      </w:r>
      <w:r>
        <w:rPr>
          <w:noProof/>
          <w:webHidden/>
        </w:rPr>
        <w:instrText xml:space="preserve"> PAGEREF _Toc22048351 \h </w:instrText>
      </w:r>
      <w:r>
        <w:rPr>
          <w:noProof/>
          <w:webHidden/>
        </w:rPr>
        <w:fldChar w:fldCharType="separate"/>
      </w:r>
      <w:r>
        <w:rPr>
          <w:noProof/>
          <w:webHidden/>
        </w:rPr>
        <w:t>10</w:t>
      </w:r>
      <w:r>
        <w:rPr>
          <w:noProof/>
          <w:webHidden/>
        </w:rPr>
        <w:fldChar w:fldCharType="end"/>
      </w:r>
      <w:r>
        <w:fldChar w:fldCharType="end"/>
      </w:r>
    </w:p>
    <w:p w:rsidR="009A5E9A">
      <w:pPr>
        <w:pStyle w:val="TOC3"/>
        <w:tabs>
          <w:tab w:val="left" w:pos="2160"/>
          <w:tab w:val="right" w:leader="dot" w:pos="8630"/>
        </w:tabs>
        <w:rPr>
          <w:rFonts w:asciiTheme="minorHAnsi" w:eastAsiaTheme="minorEastAsia" w:hAnsiTheme="minorHAnsi" w:cstheme="minorBidi"/>
          <w:noProof/>
          <w:sz w:val="22"/>
          <w:szCs w:val="22"/>
        </w:rPr>
      </w:pPr>
      <w:r>
        <w:fldChar w:fldCharType="begin"/>
      </w:r>
      <w:r>
        <w:instrText xml:space="preserve"> HYPERLINK \l "_Toc22048352" </w:instrText>
      </w:r>
      <w:r>
        <w:fldChar w:fldCharType="separate"/>
      </w:r>
      <w:r w:rsidRPr="00B93EE5">
        <w:rPr>
          <w:rStyle w:val="Hyperlink"/>
          <w:noProof/>
        </w:rPr>
        <w:t>3.</w:t>
      </w:r>
      <w:r>
        <w:rPr>
          <w:rFonts w:asciiTheme="minorHAnsi" w:eastAsiaTheme="minorEastAsia" w:hAnsiTheme="minorHAnsi" w:cstheme="minorBidi"/>
          <w:noProof/>
          <w:sz w:val="22"/>
          <w:szCs w:val="22"/>
        </w:rPr>
        <w:tab/>
      </w:r>
      <w:r w:rsidRPr="00B93EE5">
        <w:rPr>
          <w:rStyle w:val="Hyperlink"/>
          <w:noProof/>
        </w:rPr>
        <w:t>To benefit consumers, the PUCO should order Duke to provide information to the public regarding the natural gas commodity price differences between what marketer and gas cost recovery customers are paying.</w:t>
      </w:r>
      <w:r>
        <w:rPr>
          <w:noProof/>
          <w:webHidden/>
        </w:rPr>
        <w:tab/>
      </w:r>
      <w:r>
        <w:rPr>
          <w:noProof/>
          <w:webHidden/>
        </w:rPr>
        <w:fldChar w:fldCharType="begin"/>
      </w:r>
      <w:r>
        <w:rPr>
          <w:noProof/>
          <w:webHidden/>
        </w:rPr>
        <w:instrText xml:space="preserve"> PAGEREF _Toc22048352 \h </w:instrText>
      </w:r>
      <w:r>
        <w:rPr>
          <w:noProof/>
          <w:webHidden/>
        </w:rPr>
        <w:fldChar w:fldCharType="separate"/>
      </w:r>
      <w:r>
        <w:rPr>
          <w:noProof/>
          <w:webHidden/>
        </w:rPr>
        <w:t>13</w:t>
      </w:r>
      <w:r>
        <w:rPr>
          <w:noProof/>
          <w:webHidden/>
        </w:rPr>
        <w:fldChar w:fldCharType="end"/>
      </w:r>
      <w:r>
        <w:fldChar w:fldCharType="end"/>
      </w:r>
    </w:p>
    <w:p w:rsidR="009A5E9A">
      <w:pPr>
        <w:pStyle w:val="TOC2"/>
        <w:tabs>
          <w:tab w:val="left" w:pos="1440"/>
        </w:tabs>
        <w:rPr>
          <w:rFonts w:asciiTheme="minorHAnsi" w:eastAsiaTheme="minorEastAsia" w:hAnsiTheme="minorHAnsi" w:cstheme="minorBidi"/>
          <w:caps w:val="0"/>
          <w:noProof/>
          <w:sz w:val="22"/>
          <w:szCs w:val="22"/>
        </w:rPr>
      </w:pPr>
      <w:r>
        <w:fldChar w:fldCharType="begin"/>
      </w:r>
      <w:r>
        <w:instrText xml:space="preserve"> HYPERLINK \l "_Toc22048353" </w:instrText>
      </w:r>
      <w:r>
        <w:fldChar w:fldCharType="separate"/>
      </w:r>
      <w:r w:rsidRPr="00B93EE5">
        <w:rPr>
          <w:rStyle w:val="Hyperlink"/>
          <w:noProof/>
        </w:rPr>
        <w:t>B.</w:t>
      </w:r>
      <w:r>
        <w:rPr>
          <w:rFonts w:asciiTheme="minorHAnsi" w:eastAsiaTheme="minorEastAsia" w:hAnsiTheme="minorHAnsi" w:cstheme="minorBidi"/>
          <w:caps w:val="0"/>
          <w:noProof/>
          <w:sz w:val="22"/>
          <w:szCs w:val="22"/>
        </w:rPr>
        <w:tab/>
      </w:r>
      <w:r w:rsidRPr="00B93EE5">
        <w:rPr>
          <w:rStyle w:val="Hyperlink"/>
          <w:noProof/>
        </w:rPr>
        <w:t>The Settlement violates other important regulatory principles and practices, which should be modified or rejected to protect consumers.</w:t>
      </w:r>
      <w:r>
        <w:rPr>
          <w:noProof/>
          <w:webHidden/>
        </w:rPr>
        <w:tab/>
      </w:r>
      <w:r>
        <w:rPr>
          <w:noProof/>
          <w:webHidden/>
        </w:rPr>
        <w:fldChar w:fldCharType="begin"/>
      </w:r>
      <w:r>
        <w:rPr>
          <w:noProof/>
          <w:webHidden/>
        </w:rPr>
        <w:instrText xml:space="preserve"> PAGEREF _Toc22048353 \h </w:instrText>
      </w:r>
      <w:r>
        <w:rPr>
          <w:noProof/>
          <w:webHidden/>
        </w:rPr>
        <w:fldChar w:fldCharType="separate"/>
      </w:r>
      <w:r>
        <w:rPr>
          <w:noProof/>
          <w:webHidden/>
        </w:rPr>
        <w:t>15</w:t>
      </w:r>
      <w:r>
        <w:rPr>
          <w:noProof/>
          <w:webHidden/>
        </w:rPr>
        <w:fldChar w:fldCharType="end"/>
      </w:r>
      <w:r>
        <w:fldChar w:fldCharType="end"/>
      </w:r>
    </w:p>
    <w:p w:rsidR="009A5E9A">
      <w:pPr>
        <w:pStyle w:val="TOC2"/>
        <w:tabs>
          <w:tab w:val="left" w:pos="1440"/>
        </w:tabs>
        <w:rPr>
          <w:rFonts w:asciiTheme="minorHAnsi" w:eastAsiaTheme="minorEastAsia" w:hAnsiTheme="minorHAnsi" w:cstheme="minorBidi"/>
          <w:caps w:val="0"/>
          <w:noProof/>
          <w:sz w:val="22"/>
          <w:szCs w:val="22"/>
        </w:rPr>
      </w:pPr>
      <w:r>
        <w:fldChar w:fldCharType="begin"/>
      </w:r>
      <w:r>
        <w:instrText xml:space="preserve"> HYPERLINK \l "_Toc22048354" </w:instrText>
      </w:r>
      <w:r>
        <w:fldChar w:fldCharType="separate"/>
      </w:r>
      <w:r w:rsidRPr="00B93EE5">
        <w:rPr>
          <w:rStyle w:val="Hyperlink"/>
          <w:noProof/>
        </w:rPr>
        <w:t>C.</w:t>
      </w:r>
      <w:r>
        <w:rPr>
          <w:rFonts w:asciiTheme="minorHAnsi" w:eastAsiaTheme="minorEastAsia" w:hAnsiTheme="minorHAnsi" w:cstheme="minorBidi"/>
          <w:caps w:val="0"/>
          <w:noProof/>
          <w:sz w:val="22"/>
          <w:szCs w:val="22"/>
        </w:rPr>
        <w:tab/>
      </w:r>
      <w:r w:rsidRPr="00B93EE5">
        <w:rPr>
          <w:rStyle w:val="Hyperlink"/>
          <w:noProof/>
        </w:rPr>
        <w:t>The Auditor’s testimony during hearing should be stricken and not considered.</w:t>
      </w:r>
      <w:r>
        <w:rPr>
          <w:noProof/>
          <w:webHidden/>
        </w:rPr>
        <w:tab/>
      </w:r>
      <w:r>
        <w:rPr>
          <w:noProof/>
          <w:webHidden/>
        </w:rPr>
        <w:fldChar w:fldCharType="begin"/>
      </w:r>
      <w:r>
        <w:rPr>
          <w:noProof/>
          <w:webHidden/>
        </w:rPr>
        <w:instrText xml:space="preserve"> PAGEREF _Toc22048354 \h </w:instrText>
      </w:r>
      <w:r>
        <w:rPr>
          <w:noProof/>
          <w:webHidden/>
        </w:rPr>
        <w:fldChar w:fldCharType="separate"/>
      </w:r>
      <w:r>
        <w:rPr>
          <w:noProof/>
          <w:webHidden/>
        </w:rPr>
        <w:t>17</w:t>
      </w:r>
      <w:r>
        <w:rPr>
          <w:noProof/>
          <w:webHidden/>
        </w:rPr>
        <w:fldChar w:fldCharType="end"/>
      </w:r>
      <w:r>
        <w:fldChar w:fldCharType="end"/>
      </w:r>
    </w:p>
    <w:p w:rsidR="009A5E9A">
      <w:pPr>
        <w:pStyle w:val="TOC1"/>
        <w:rPr>
          <w:rFonts w:asciiTheme="minorHAnsi" w:eastAsiaTheme="minorEastAsia" w:hAnsiTheme="minorHAnsi" w:cstheme="minorBidi"/>
          <w:caps w:val="0"/>
          <w:sz w:val="22"/>
          <w:szCs w:val="22"/>
        </w:rPr>
      </w:pPr>
      <w:r>
        <w:fldChar w:fldCharType="begin"/>
      </w:r>
      <w:r>
        <w:instrText xml:space="preserve"> HYPERLINK \l "_Toc22048355" </w:instrText>
      </w:r>
      <w:r>
        <w:fldChar w:fldCharType="separate"/>
      </w:r>
      <w:r w:rsidRPr="00B93EE5">
        <w:rPr>
          <w:rStyle w:val="Hyperlink"/>
        </w:rPr>
        <w:t>V.</w:t>
      </w:r>
      <w:r>
        <w:rPr>
          <w:rFonts w:asciiTheme="minorHAnsi" w:eastAsiaTheme="minorEastAsia" w:hAnsiTheme="minorHAnsi" w:cstheme="minorBidi"/>
          <w:caps w:val="0"/>
          <w:sz w:val="22"/>
          <w:szCs w:val="22"/>
        </w:rPr>
        <w:tab/>
      </w:r>
      <w:r w:rsidRPr="00B93EE5">
        <w:rPr>
          <w:rStyle w:val="Hyperlink"/>
        </w:rPr>
        <w:t>CONCLUSION</w:t>
      </w:r>
      <w:r>
        <w:rPr>
          <w:webHidden/>
        </w:rPr>
        <w:tab/>
      </w:r>
      <w:r>
        <w:rPr>
          <w:webHidden/>
        </w:rPr>
        <w:fldChar w:fldCharType="begin"/>
      </w:r>
      <w:r>
        <w:rPr>
          <w:webHidden/>
        </w:rPr>
        <w:instrText xml:space="preserve"> PAGEREF _Toc22048355 \h </w:instrText>
      </w:r>
      <w:r>
        <w:rPr>
          <w:webHidden/>
        </w:rPr>
        <w:fldChar w:fldCharType="separate"/>
      </w:r>
      <w:r>
        <w:rPr>
          <w:webHidden/>
        </w:rPr>
        <w:t>18</w:t>
      </w:r>
      <w:r>
        <w:rPr>
          <w:webHidden/>
        </w:rPr>
        <w:fldChar w:fldCharType="end"/>
      </w:r>
      <w:r>
        <w:fldChar w:fldCharType="end"/>
      </w:r>
    </w:p>
    <w:p w:rsidR="00452B44" w:rsidP="006D30BD">
      <w:pPr>
        <w:pStyle w:val="HTMLPreformatted"/>
        <w:suppressLineNumbers/>
        <w:rPr>
          <w:rFonts w:ascii="Times New Roman" w:hAnsi="Times New Roman" w:cs="Times New Roman"/>
          <w:b/>
          <w:bCs/>
          <w:sz w:val="24"/>
          <w:szCs w:val="24"/>
        </w:rPr>
        <w:sectPr w:rsidSect="00452B44">
          <w:headerReference w:type="default" r:id="rId11"/>
          <w:footerReference w:type="default" r:id="rId12"/>
          <w:pgSz w:w="12240" w:h="15840" w:code="1"/>
          <w:pgMar w:top="1440" w:right="1800" w:bottom="1440" w:left="1800" w:header="720" w:footer="720" w:gutter="0"/>
          <w:pgNumType w:fmt="lowerRoman" w:start="1"/>
          <w:cols w:space="720"/>
          <w:docGrid w:linePitch="360"/>
        </w:sectPr>
      </w:pPr>
      <w:r>
        <w:rPr>
          <w:rFonts w:ascii="Times New Roman" w:hAnsi="Times New Roman" w:cs="Times New Roman"/>
          <w:b/>
          <w:bCs/>
          <w:sz w:val="24"/>
          <w:szCs w:val="24"/>
        </w:rPr>
        <w:fldChar w:fldCharType="end"/>
      </w:r>
    </w:p>
    <w:p w:rsidR="00063EB4" w:rsidRPr="00C743FA" w:rsidP="00A70505">
      <w:pPr>
        <w:pStyle w:val="HTMLPreformatted"/>
        <w:suppressLineNumbers/>
        <w:jc w:val="center"/>
        <w:rPr>
          <w:rFonts w:ascii="Times New Roman" w:hAnsi="Times New Roman" w:cs="Times New Roman"/>
          <w:b/>
          <w:bCs/>
          <w:sz w:val="24"/>
          <w:szCs w:val="24"/>
        </w:rPr>
      </w:pPr>
      <w:r w:rsidRPr="00C743FA">
        <w:rPr>
          <w:rFonts w:ascii="Times New Roman" w:hAnsi="Times New Roman" w:cs="Times New Roman"/>
          <w:b/>
          <w:bCs/>
          <w:sz w:val="24"/>
          <w:szCs w:val="24"/>
        </w:rPr>
        <w:t>BEFORE</w:t>
      </w:r>
    </w:p>
    <w:p w:rsidR="00063EB4" w:rsidRPr="00C743FA" w:rsidP="00A70505">
      <w:pPr>
        <w:pStyle w:val="HTMLPreformatted"/>
        <w:suppressLineNumbers/>
        <w:jc w:val="center"/>
        <w:rPr>
          <w:rFonts w:ascii="Times New Roman" w:hAnsi="Times New Roman" w:cs="Times New Roman"/>
          <w:b/>
          <w:bCs/>
          <w:sz w:val="24"/>
          <w:szCs w:val="24"/>
        </w:rPr>
      </w:pPr>
      <w:r w:rsidRPr="00C743FA">
        <w:rPr>
          <w:rFonts w:ascii="Times New Roman" w:hAnsi="Times New Roman" w:cs="Times New Roman"/>
          <w:b/>
          <w:bCs/>
          <w:sz w:val="24"/>
          <w:szCs w:val="24"/>
        </w:rPr>
        <w:t>THE PUBLIC UTILITIES COMMISSION OF OHIO</w:t>
      </w:r>
    </w:p>
    <w:p w:rsidR="00063EB4" w:rsidRPr="00C743FA" w:rsidP="00A70505">
      <w:pPr>
        <w:pStyle w:val="HTMLPreformatted"/>
        <w:suppressLineNumbers/>
        <w:jc w:val="center"/>
        <w:rPr>
          <w:rFonts w:ascii="Times New Roman" w:hAnsi="Times New Roman" w:cs="Times New Roman"/>
          <w:sz w:val="24"/>
          <w:szCs w:val="24"/>
        </w:rPr>
      </w:pPr>
    </w:p>
    <w:tbl>
      <w:tblPr>
        <w:tblW w:w="8910" w:type="dxa"/>
        <w:jc w:val="center"/>
        <w:tblInd w:w="0" w:type="dxa"/>
        <w:tblCellMar>
          <w:top w:w="0" w:type="dxa"/>
          <w:left w:w="108" w:type="dxa"/>
          <w:bottom w:w="0" w:type="dxa"/>
          <w:right w:w="108" w:type="dxa"/>
        </w:tblCellMar>
        <w:tblLook w:val="01E0"/>
      </w:tblPr>
      <w:tblGrid>
        <w:gridCol w:w="4408"/>
        <w:gridCol w:w="296"/>
        <w:gridCol w:w="4206"/>
      </w:tblGrid>
      <w:tr w:rsidTr="00A70505">
        <w:tblPrEx>
          <w:tblW w:w="8910" w:type="dxa"/>
          <w:jc w:val="center"/>
          <w:tblInd w:w="0" w:type="dxa"/>
          <w:tblCellMar>
            <w:top w:w="0" w:type="dxa"/>
            <w:left w:w="108" w:type="dxa"/>
            <w:bottom w:w="0" w:type="dxa"/>
            <w:right w:w="108" w:type="dxa"/>
          </w:tblCellMar>
          <w:tblLook w:val="01E0"/>
        </w:tblPrEx>
        <w:trPr>
          <w:trHeight w:val="807"/>
          <w:jc w:val="center"/>
        </w:trPr>
        <w:tc>
          <w:tcPr>
            <w:tcW w:w="4408" w:type="dxa"/>
            <w:shd w:val="clear" w:color="auto" w:fill="auto"/>
          </w:tcPr>
          <w:p w:rsidR="00063EB4" w:rsidP="00A70505">
            <w:pPr>
              <w:suppressLineNumbers/>
              <w:autoSpaceDE w:val="0"/>
              <w:autoSpaceDN w:val="0"/>
              <w:adjustRightInd w:val="0"/>
              <w:rPr>
                <w:rStyle w:val="DefaultParagraphFont"/>
                <w:sz w:val="24"/>
                <w:szCs w:val="24"/>
                <w:lang w:val="en-US" w:eastAsia="en-US" w:bidi="ar-SA"/>
              </w:rPr>
            </w:pPr>
            <w:r>
              <w:rPr>
                <w:sz w:val="24"/>
                <w:szCs w:val="24"/>
                <w:lang w:val="en-US" w:eastAsia="en-US" w:bidi="ar-SA"/>
              </w:rPr>
              <w:t>In the Matter of The Regulation of the Purchased Gas Adjustment Clauses Contained within the Rate Schedules of Duke Energy Ohio Inc., and Related Matters.</w:t>
            </w:r>
          </w:p>
          <w:p w:rsidR="00AE2871" w:rsidRPr="00C743FA" w:rsidP="00A70505">
            <w:pPr>
              <w:suppressLineNumbers/>
              <w:autoSpaceDE w:val="0"/>
              <w:autoSpaceDN w:val="0"/>
              <w:adjustRightInd w:val="0"/>
              <w:rPr>
                <w:rStyle w:val="DefaultParagraphFont"/>
                <w:sz w:val="24"/>
                <w:szCs w:val="24"/>
                <w:lang w:val="en-US" w:eastAsia="en-US" w:bidi="ar-SA"/>
              </w:rPr>
            </w:pPr>
          </w:p>
          <w:p w:rsidR="00063EB4" w:rsidP="00A70505">
            <w:pPr>
              <w:suppressLineNumbers/>
              <w:autoSpaceDE w:val="0"/>
              <w:autoSpaceDN w:val="0"/>
              <w:adjustRightInd w:val="0"/>
              <w:rPr>
                <w:rStyle w:val="DefaultParagraphFont"/>
                <w:sz w:val="24"/>
                <w:szCs w:val="24"/>
                <w:lang w:val="en-US" w:eastAsia="en-US" w:bidi="ar-SA"/>
              </w:rPr>
            </w:pPr>
            <w:r>
              <w:rPr>
                <w:sz w:val="24"/>
                <w:szCs w:val="24"/>
                <w:lang w:val="en-US" w:eastAsia="en-US" w:bidi="ar-SA"/>
              </w:rPr>
              <w:t>In the Matter of The Audit of the Uncollectable Expense Rider of Duke Energy Ohio Inc., and Related Matters.</w:t>
            </w:r>
          </w:p>
          <w:p w:rsidR="00AE2871" w:rsidP="00A70505">
            <w:pPr>
              <w:suppressLineNumbers/>
              <w:autoSpaceDE w:val="0"/>
              <w:autoSpaceDN w:val="0"/>
              <w:adjustRightInd w:val="0"/>
              <w:rPr>
                <w:rStyle w:val="DefaultParagraphFont"/>
                <w:sz w:val="24"/>
                <w:szCs w:val="24"/>
                <w:lang w:val="en-US" w:eastAsia="en-US" w:bidi="ar-SA"/>
              </w:rPr>
            </w:pPr>
          </w:p>
          <w:p w:rsidR="00AE2871" w:rsidRPr="00C743FA" w:rsidP="00A70505">
            <w:pPr>
              <w:suppressLineNumbers/>
              <w:autoSpaceDE w:val="0"/>
              <w:autoSpaceDN w:val="0"/>
              <w:adjustRightInd w:val="0"/>
              <w:rPr>
                <w:rStyle w:val="DefaultParagraphFont"/>
                <w:sz w:val="24"/>
                <w:szCs w:val="24"/>
                <w:lang w:val="en-US" w:eastAsia="en-US" w:bidi="ar-SA"/>
              </w:rPr>
            </w:pPr>
            <w:r>
              <w:rPr>
                <w:sz w:val="24"/>
                <w:szCs w:val="24"/>
                <w:lang w:val="en-US" w:eastAsia="en-US" w:bidi="ar-SA"/>
              </w:rPr>
              <w:t>In the Matter of The Application of Duke Energy Ohio Inc., for Approval of an Adjustment to its Interim and Temporary PIPP Plan and Rider Case.</w:t>
            </w:r>
          </w:p>
        </w:tc>
        <w:tc>
          <w:tcPr>
            <w:tcW w:w="296" w:type="dxa"/>
            <w:shd w:val="clear" w:color="auto" w:fill="auto"/>
          </w:tcPr>
          <w:p w:rsidR="00063EB4" w:rsidRPr="00C743FA" w:rsidP="00A70505">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r w:rsidRPr="00C743FA">
              <w:rPr>
                <w:rFonts w:ascii="Times New Roman" w:hAnsi="Times New Roman" w:cs="Times New Roman"/>
                <w:sz w:val="24"/>
                <w:szCs w:val="24"/>
                <w:lang w:val="en-US" w:eastAsia="en-US" w:bidi="ar-SA"/>
              </w:rPr>
              <w:t>)</w:t>
            </w:r>
          </w:p>
          <w:p w:rsidR="00063EB4" w:rsidRPr="00C743FA" w:rsidP="00A70505">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r w:rsidRPr="00C743FA">
              <w:rPr>
                <w:rFonts w:ascii="Times New Roman" w:hAnsi="Times New Roman" w:cs="Times New Roman"/>
                <w:sz w:val="24"/>
                <w:szCs w:val="24"/>
                <w:lang w:val="en-US" w:eastAsia="en-US" w:bidi="ar-SA"/>
              </w:rPr>
              <w:t>)</w:t>
            </w:r>
          </w:p>
          <w:p w:rsidR="00063EB4" w:rsidRPr="00C743FA" w:rsidP="00A70505">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r w:rsidRPr="00C743FA">
              <w:rPr>
                <w:rFonts w:ascii="Times New Roman" w:hAnsi="Times New Roman" w:cs="Times New Roman"/>
                <w:sz w:val="24"/>
                <w:szCs w:val="24"/>
                <w:lang w:val="en-US" w:eastAsia="en-US" w:bidi="ar-SA"/>
              </w:rPr>
              <w:t>)</w:t>
            </w:r>
          </w:p>
          <w:p w:rsidR="00063EB4" w:rsidP="00A70505">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r>
              <w:rPr>
                <w:rFonts w:ascii="Times New Roman" w:hAnsi="Times New Roman" w:cs="Times New Roman"/>
                <w:sz w:val="24"/>
                <w:szCs w:val="24"/>
                <w:lang w:val="en-US" w:eastAsia="en-US" w:bidi="ar-SA"/>
              </w:rPr>
              <w:t>)</w:t>
            </w:r>
          </w:p>
          <w:p w:rsidR="00AE2871" w:rsidP="00A70505">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r>
              <w:rPr>
                <w:rFonts w:ascii="Times New Roman" w:hAnsi="Times New Roman" w:cs="Times New Roman"/>
                <w:sz w:val="24"/>
                <w:szCs w:val="24"/>
                <w:lang w:val="en-US" w:eastAsia="en-US" w:bidi="ar-SA"/>
              </w:rPr>
              <w:t>)</w:t>
            </w:r>
          </w:p>
          <w:p w:rsidR="00AE2871" w:rsidRPr="00C743FA" w:rsidP="00A70505">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p>
          <w:p w:rsidR="00063EB4" w:rsidRPr="00C743FA" w:rsidP="00A70505">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r w:rsidRPr="00C743FA">
              <w:rPr>
                <w:rFonts w:ascii="Times New Roman" w:hAnsi="Times New Roman" w:cs="Times New Roman"/>
                <w:sz w:val="24"/>
                <w:szCs w:val="24"/>
                <w:lang w:val="en-US" w:eastAsia="en-US" w:bidi="ar-SA"/>
              </w:rPr>
              <w:t>)</w:t>
            </w:r>
          </w:p>
          <w:p w:rsidR="00063EB4" w:rsidRPr="00C743FA" w:rsidP="00A70505">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r w:rsidRPr="00C743FA">
              <w:rPr>
                <w:rFonts w:ascii="Times New Roman" w:hAnsi="Times New Roman" w:cs="Times New Roman"/>
                <w:sz w:val="24"/>
                <w:szCs w:val="24"/>
                <w:lang w:val="en-US" w:eastAsia="en-US" w:bidi="ar-SA"/>
              </w:rPr>
              <w:t>)</w:t>
            </w:r>
          </w:p>
          <w:p w:rsidR="00063EB4" w:rsidP="00A70505">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r w:rsidRPr="00C743FA">
              <w:rPr>
                <w:rFonts w:ascii="Times New Roman" w:hAnsi="Times New Roman" w:cs="Times New Roman"/>
                <w:sz w:val="24"/>
                <w:szCs w:val="24"/>
                <w:lang w:val="en-US" w:eastAsia="en-US" w:bidi="ar-SA"/>
              </w:rPr>
              <w:t>)</w:t>
            </w:r>
          </w:p>
          <w:p w:rsidR="00AE2871" w:rsidP="00A70505">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p>
          <w:p w:rsidR="00AE2871" w:rsidP="00A70505">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r>
              <w:rPr>
                <w:rFonts w:ascii="Times New Roman" w:hAnsi="Times New Roman" w:cs="Times New Roman"/>
                <w:sz w:val="24"/>
                <w:szCs w:val="24"/>
                <w:lang w:val="en-US" w:eastAsia="en-US" w:bidi="ar-SA"/>
              </w:rPr>
              <w:t>)</w:t>
            </w:r>
          </w:p>
          <w:p w:rsidR="00AE2871" w:rsidP="00A70505">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r>
              <w:rPr>
                <w:rFonts w:ascii="Times New Roman" w:hAnsi="Times New Roman" w:cs="Times New Roman"/>
                <w:sz w:val="24"/>
                <w:szCs w:val="24"/>
                <w:lang w:val="en-US" w:eastAsia="en-US" w:bidi="ar-SA"/>
              </w:rPr>
              <w:t>)</w:t>
            </w:r>
          </w:p>
          <w:p w:rsidR="00AE2871" w:rsidP="00A70505">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r>
              <w:rPr>
                <w:rFonts w:ascii="Times New Roman" w:hAnsi="Times New Roman" w:cs="Times New Roman"/>
                <w:sz w:val="24"/>
                <w:szCs w:val="24"/>
                <w:lang w:val="en-US" w:eastAsia="en-US" w:bidi="ar-SA"/>
              </w:rPr>
              <w:t>)</w:t>
            </w:r>
          </w:p>
          <w:p w:rsidR="00AE2871" w:rsidRPr="00C743FA" w:rsidP="00A70505">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r>
              <w:rPr>
                <w:rFonts w:ascii="Times New Roman" w:hAnsi="Times New Roman" w:cs="Times New Roman"/>
                <w:sz w:val="24"/>
                <w:szCs w:val="24"/>
                <w:lang w:val="en-US" w:eastAsia="en-US" w:bidi="ar-SA"/>
              </w:rPr>
              <w:t>)</w:t>
            </w:r>
          </w:p>
        </w:tc>
        <w:tc>
          <w:tcPr>
            <w:tcW w:w="4206" w:type="dxa"/>
            <w:shd w:val="clear" w:color="auto" w:fill="auto"/>
          </w:tcPr>
          <w:p w:rsidR="00063EB4" w:rsidRPr="00C743FA" w:rsidP="00A70505">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p>
          <w:p w:rsidR="00AE2871" w:rsidP="00A70505">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p>
          <w:p w:rsidR="00063EB4" w:rsidRPr="00C743FA" w:rsidP="00A70505">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r w:rsidRPr="00C743FA">
              <w:rPr>
                <w:rFonts w:ascii="Times New Roman" w:hAnsi="Times New Roman" w:cs="Times New Roman"/>
                <w:sz w:val="24"/>
                <w:szCs w:val="24"/>
                <w:lang w:val="en-US" w:eastAsia="en-US" w:bidi="ar-SA"/>
              </w:rPr>
              <w:t xml:space="preserve">Case No. </w:t>
            </w:r>
            <w:r w:rsidRPr="00C743FA">
              <w:rPr>
                <w:rFonts w:ascii="Times New Roman" w:eastAsia="Courier New" w:hAnsi="Times New Roman" w:cs="Times New Roman"/>
                <w:sz w:val="24"/>
                <w:szCs w:val="24"/>
                <w:lang w:val="en-US" w:eastAsia="en-US" w:bidi="ar-SA"/>
              </w:rPr>
              <w:t>18-</w:t>
            </w:r>
            <w:r w:rsidR="00AE2871">
              <w:rPr>
                <w:rFonts w:ascii="Times New Roman" w:eastAsia="Courier New" w:hAnsi="Times New Roman" w:cs="Times New Roman"/>
                <w:sz w:val="24"/>
                <w:szCs w:val="24"/>
                <w:lang w:val="en-US" w:eastAsia="en-US" w:bidi="ar-SA"/>
              </w:rPr>
              <w:t>0218</w:t>
            </w:r>
            <w:r w:rsidRPr="00C743FA">
              <w:rPr>
                <w:rFonts w:ascii="Times New Roman" w:eastAsia="Courier New" w:hAnsi="Times New Roman" w:cs="Times New Roman"/>
                <w:sz w:val="24"/>
                <w:szCs w:val="24"/>
                <w:lang w:val="en-US" w:eastAsia="en-US" w:bidi="ar-SA"/>
              </w:rPr>
              <w:t>-GA-</w:t>
            </w:r>
            <w:r w:rsidR="00AE2871">
              <w:rPr>
                <w:rFonts w:ascii="Times New Roman" w:eastAsia="Courier New" w:hAnsi="Times New Roman" w:cs="Times New Roman"/>
                <w:sz w:val="24"/>
                <w:szCs w:val="24"/>
                <w:lang w:val="en-US" w:eastAsia="en-US" w:bidi="ar-SA"/>
              </w:rPr>
              <w:t>GCR</w:t>
            </w:r>
          </w:p>
          <w:p w:rsidR="00063EB4" w:rsidRPr="00C743FA" w:rsidP="00A70505">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p>
          <w:p w:rsidR="00063EB4" w:rsidRPr="00C743FA" w:rsidP="00A70505">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p>
          <w:p w:rsidR="00063EB4" w:rsidRPr="00C743FA" w:rsidP="00A70505">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p>
          <w:p w:rsidR="00AE2871" w:rsidP="00A70505">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p>
          <w:p w:rsidR="00063EB4" w:rsidP="00A70505">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r w:rsidRPr="00C743FA">
              <w:rPr>
                <w:rFonts w:ascii="Times New Roman" w:hAnsi="Times New Roman" w:cs="Times New Roman"/>
                <w:sz w:val="24"/>
                <w:szCs w:val="24"/>
                <w:lang w:val="en-US" w:eastAsia="en-US" w:bidi="ar-SA"/>
              </w:rPr>
              <w:t>Case No. 18-</w:t>
            </w:r>
            <w:r w:rsidR="00AE2871">
              <w:rPr>
                <w:rFonts w:ascii="Times New Roman" w:hAnsi="Times New Roman" w:cs="Times New Roman"/>
                <w:sz w:val="24"/>
                <w:szCs w:val="24"/>
                <w:lang w:val="en-US" w:eastAsia="en-US" w:bidi="ar-SA"/>
              </w:rPr>
              <w:t>0318</w:t>
            </w:r>
            <w:r w:rsidRPr="00C743FA">
              <w:rPr>
                <w:rFonts w:ascii="Times New Roman" w:hAnsi="Times New Roman" w:cs="Times New Roman"/>
                <w:sz w:val="24"/>
                <w:szCs w:val="24"/>
                <w:lang w:val="en-US" w:eastAsia="en-US" w:bidi="ar-SA"/>
              </w:rPr>
              <w:t>-GA-</w:t>
            </w:r>
            <w:r w:rsidR="00AE2871">
              <w:rPr>
                <w:rFonts w:ascii="Times New Roman" w:hAnsi="Times New Roman" w:cs="Times New Roman"/>
                <w:sz w:val="24"/>
                <w:szCs w:val="24"/>
                <w:lang w:val="en-US" w:eastAsia="en-US" w:bidi="ar-SA"/>
              </w:rPr>
              <w:t>UEX</w:t>
            </w:r>
          </w:p>
          <w:p w:rsidR="00AE2871" w:rsidP="00A70505">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p>
          <w:p w:rsidR="00AE2871" w:rsidP="00A70505">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p>
          <w:p w:rsidR="00AE2871" w:rsidP="00A70505">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p>
          <w:p w:rsidR="00AE2871" w:rsidRPr="00C743FA" w:rsidP="00A70505">
            <w:pPr>
              <w:pStyle w:val="HTMLPreformatted"/>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hAnsi="Times New Roman" w:cs="Times New Roman"/>
                <w:sz w:val="24"/>
                <w:szCs w:val="24"/>
                <w:lang w:val="en-US" w:eastAsia="en-US" w:bidi="ar-SA"/>
              </w:rPr>
            </w:pPr>
            <w:r w:rsidRPr="00C743FA">
              <w:rPr>
                <w:rFonts w:ascii="Times New Roman" w:hAnsi="Times New Roman" w:cs="Times New Roman"/>
                <w:sz w:val="24"/>
                <w:szCs w:val="24"/>
                <w:lang w:val="en-US" w:eastAsia="en-US" w:bidi="ar-SA"/>
              </w:rPr>
              <w:t>Case No. 18-</w:t>
            </w:r>
            <w:r>
              <w:rPr>
                <w:rFonts w:ascii="Times New Roman" w:hAnsi="Times New Roman" w:cs="Times New Roman"/>
                <w:sz w:val="24"/>
                <w:szCs w:val="24"/>
                <w:lang w:val="en-US" w:eastAsia="en-US" w:bidi="ar-SA"/>
              </w:rPr>
              <w:t>0418</w:t>
            </w:r>
            <w:r w:rsidRPr="00C743FA">
              <w:rPr>
                <w:rFonts w:ascii="Times New Roman" w:hAnsi="Times New Roman" w:cs="Times New Roman"/>
                <w:sz w:val="24"/>
                <w:szCs w:val="24"/>
                <w:lang w:val="en-US" w:eastAsia="en-US" w:bidi="ar-SA"/>
              </w:rPr>
              <w:t>-GA-</w:t>
            </w:r>
            <w:r>
              <w:rPr>
                <w:rFonts w:ascii="Times New Roman" w:hAnsi="Times New Roman" w:cs="Times New Roman"/>
                <w:sz w:val="24"/>
                <w:szCs w:val="24"/>
                <w:lang w:val="en-US" w:eastAsia="en-US" w:bidi="ar-SA"/>
              </w:rPr>
              <w:t>PIP</w:t>
            </w:r>
          </w:p>
        </w:tc>
      </w:tr>
    </w:tbl>
    <w:p w:rsidR="00063EB4" w:rsidRPr="00C743FA" w:rsidP="00A70505">
      <w:pPr>
        <w:pStyle w:val="HTMLPreformatted"/>
        <w:suppressLineNumbers/>
        <w:pBdr>
          <w:bottom w:val="single" w:sz="12" w:space="1" w:color="auto"/>
        </w:pBdr>
        <w:rPr>
          <w:rFonts w:ascii="Times New Roman" w:hAnsi="Times New Roman" w:cs="Times New Roman"/>
          <w:sz w:val="24"/>
          <w:szCs w:val="24"/>
        </w:rPr>
      </w:pPr>
    </w:p>
    <w:p w:rsidR="00A70505" w:rsidRPr="00C743FA" w:rsidP="00A70505">
      <w:pPr>
        <w:pStyle w:val="HTMLPreformatted"/>
        <w:suppressLineNumbers/>
        <w:rPr>
          <w:rFonts w:ascii="Times New Roman" w:hAnsi="Times New Roman" w:cs="Times New Roman"/>
          <w:sz w:val="24"/>
          <w:szCs w:val="24"/>
        </w:rPr>
      </w:pPr>
    </w:p>
    <w:p w:rsidR="00A70505" w:rsidRPr="00C743FA" w:rsidP="00A70505">
      <w:pPr>
        <w:suppressLineNumbers/>
        <w:jc w:val="center"/>
        <w:rPr>
          <w:b/>
          <w:bCs/>
          <w:iCs/>
        </w:rPr>
      </w:pPr>
      <w:r w:rsidRPr="00C743FA">
        <w:rPr>
          <w:b/>
          <w:bCs/>
          <w:iCs/>
        </w:rPr>
        <w:t xml:space="preserve">INITIAL BRIEF </w:t>
      </w:r>
    </w:p>
    <w:p w:rsidR="00A70505" w:rsidRPr="00C743FA" w:rsidP="00A70505">
      <w:pPr>
        <w:suppressLineNumbers/>
        <w:jc w:val="center"/>
        <w:rPr>
          <w:b/>
          <w:bCs/>
          <w:iCs/>
        </w:rPr>
      </w:pPr>
      <w:r w:rsidRPr="00C743FA">
        <w:rPr>
          <w:b/>
          <w:bCs/>
          <w:iCs/>
        </w:rPr>
        <w:t xml:space="preserve">BY </w:t>
      </w:r>
    </w:p>
    <w:p w:rsidR="00063EB4" w:rsidRPr="00C743FA" w:rsidP="00A70505">
      <w:pPr>
        <w:suppressLineNumbers/>
        <w:jc w:val="center"/>
        <w:rPr>
          <w:b/>
          <w:bCs/>
          <w:iCs/>
        </w:rPr>
      </w:pPr>
      <w:r w:rsidRPr="00C743FA">
        <w:rPr>
          <w:b/>
          <w:bCs/>
          <w:iCs/>
        </w:rPr>
        <w:t>THE OFFICE OF THE OHIO CONSUMERS</w:t>
      </w:r>
      <w:r w:rsidR="00A627FA">
        <w:rPr>
          <w:b/>
          <w:bCs/>
          <w:iCs/>
        </w:rPr>
        <w:t>’</w:t>
      </w:r>
      <w:r w:rsidRPr="00C743FA">
        <w:rPr>
          <w:b/>
          <w:bCs/>
          <w:iCs/>
        </w:rPr>
        <w:t xml:space="preserve"> COUNSEL</w:t>
      </w:r>
    </w:p>
    <w:p w:rsidR="00063EB4" w:rsidRPr="00C743FA" w:rsidP="00A70505">
      <w:pPr>
        <w:suppressLineNumbers/>
        <w:pBdr>
          <w:bottom w:val="single" w:sz="12" w:space="1" w:color="auto"/>
        </w:pBdr>
        <w:jc w:val="center"/>
        <w:rPr>
          <w:b/>
          <w:bCs/>
          <w:iCs/>
        </w:rPr>
      </w:pPr>
    </w:p>
    <w:p w:rsidR="00A70505" w:rsidP="00A70505">
      <w:pPr>
        <w:suppressLineNumbers/>
        <w:rPr>
          <w:b/>
          <w:bCs/>
          <w:iCs/>
        </w:rPr>
      </w:pPr>
    </w:p>
    <w:p w:rsidR="00063EB4" w:rsidP="00D224FB">
      <w:pPr>
        <w:pStyle w:val="Heading1"/>
      </w:pPr>
      <w:bookmarkStart w:id="1" w:name="_Toc22048345"/>
      <w:r w:rsidRPr="00547FB4">
        <w:t>Introduction</w:t>
      </w:r>
      <w:bookmarkEnd w:id="1"/>
    </w:p>
    <w:p w:rsidR="00A21EA9" w:rsidP="009B1ADF">
      <w:pPr>
        <w:autoSpaceDE w:val="0"/>
        <w:autoSpaceDN w:val="0"/>
        <w:adjustRightInd w:val="0"/>
        <w:spacing w:line="480" w:lineRule="auto"/>
        <w:ind w:firstLine="720"/>
      </w:pPr>
      <w:r>
        <w:t xml:space="preserve">Duke and </w:t>
      </w:r>
      <w:r>
        <w:t xml:space="preserve">the </w:t>
      </w:r>
      <w:r>
        <w:t>PUCO Staff</w:t>
      </w:r>
      <w:r>
        <w:t xml:space="preserve">, in their </w:t>
      </w:r>
      <w:r w:rsidR="00AD4529">
        <w:t>S</w:t>
      </w:r>
      <w:r>
        <w:t>ettlement,</w:t>
      </w:r>
      <w:r>
        <w:t xml:space="preserve"> are </w:t>
      </w:r>
      <w:r>
        <w:t>proposing</w:t>
      </w:r>
      <w:r>
        <w:t xml:space="preserve"> charge</w:t>
      </w:r>
      <w:r>
        <w:t>s (related to prop</w:t>
      </w:r>
      <w:r w:rsidR="00AD4529">
        <w:t>a</w:t>
      </w:r>
      <w:r>
        <w:t>ne)</w:t>
      </w:r>
      <w:r>
        <w:t xml:space="preserve"> </w:t>
      </w:r>
      <w:r>
        <w:t xml:space="preserve">that </w:t>
      </w:r>
      <w:r>
        <w:t>only</w:t>
      </w:r>
      <w:r>
        <w:t xml:space="preserve"> a</w:t>
      </w:r>
      <w:r>
        <w:t xml:space="preserve"> </w:t>
      </w:r>
      <w:r>
        <w:rPr>
          <w:i/>
          <w:iCs/>
        </w:rPr>
        <w:t xml:space="preserve">subset of </w:t>
      </w:r>
      <w:r>
        <w:t>consumers</w:t>
      </w:r>
      <w:r>
        <w:t xml:space="preserve"> would pay</w:t>
      </w:r>
      <w:r>
        <w:t xml:space="preserve"> for service that benefit</w:t>
      </w:r>
      <w:r>
        <w:t>s</w:t>
      </w:r>
      <w:r>
        <w:t xml:space="preserve"> </w:t>
      </w:r>
      <w:r w:rsidRPr="44BBC7B9">
        <w:rPr>
          <w:i/>
          <w:iCs/>
        </w:rPr>
        <w:t xml:space="preserve">all </w:t>
      </w:r>
      <w:r>
        <w:t>consumers.</w:t>
      </w:r>
      <w:r>
        <w:t xml:space="preserve"> That is wrong.</w:t>
      </w:r>
      <w:r>
        <w:t xml:space="preserve">  </w:t>
      </w:r>
      <w:r>
        <w:t xml:space="preserve">Moreover, the </w:t>
      </w:r>
      <w:r w:rsidR="00AD4529">
        <w:t>S</w:t>
      </w:r>
      <w:r>
        <w:t>ettlement continues Duke’s antiquated approach of selling gas to consumers using its monopoly gas purchasing practices instead of using the competitively bid auction that benefits consumers with market prices.</w:t>
      </w:r>
      <w:r w:rsidR="00B82DF4">
        <w:t xml:space="preserve"> That is also wrong. Duke’s monopoly approach is a vestige of a bygone era that is out of step with all other major gas utilities (and electric utilities). All those other utilities are giving their Ohio consumers the benefit of a </w:t>
      </w:r>
      <w:r w:rsidR="00DF5017">
        <w:t xml:space="preserve">competitively bid </w:t>
      </w:r>
      <w:r w:rsidR="00B82DF4">
        <w:t>standard offer with low market pric</w:t>
      </w:r>
      <w:r w:rsidR="00DF5017">
        <w:t>es.</w:t>
      </w:r>
      <w:r w:rsidR="00B82DF4">
        <w:t xml:space="preserve"> </w:t>
      </w:r>
    </w:p>
    <w:p w:rsidR="002817FF" w:rsidP="009B1ADF">
      <w:pPr>
        <w:autoSpaceDE w:val="0"/>
        <w:autoSpaceDN w:val="0"/>
        <w:adjustRightInd w:val="0"/>
        <w:spacing w:line="480" w:lineRule="auto"/>
        <w:ind w:firstLine="720"/>
      </w:pPr>
      <w:r>
        <w:t xml:space="preserve">The </w:t>
      </w:r>
      <w:r w:rsidR="0001162F">
        <w:t>Settlement harms customers</w:t>
      </w:r>
      <w:r w:rsidR="44BBC7B9">
        <w:t xml:space="preserve"> and </w:t>
      </w:r>
      <w:r w:rsidR="0001162F">
        <w:t xml:space="preserve">is </w:t>
      </w:r>
      <w:r w:rsidR="44BBC7B9">
        <w:t xml:space="preserve">contrary to regulatory principles and practices.  Further, neither Duke nor PUCO Staff </w:t>
      </w:r>
      <w:r w:rsidR="0001162F">
        <w:t xml:space="preserve">in the Settlement </w:t>
      </w:r>
      <w:r w:rsidR="44BBC7B9">
        <w:t xml:space="preserve">are taking steps to bring to consumers the benefits of competition.  That also </w:t>
      </w:r>
      <w:r w:rsidR="0001162F">
        <w:t>harms customers</w:t>
      </w:r>
      <w:r w:rsidR="44BBC7B9">
        <w:t xml:space="preserve"> and </w:t>
      </w:r>
      <w:r w:rsidR="0001162F">
        <w:t xml:space="preserve">is </w:t>
      </w:r>
      <w:r w:rsidR="44BBC7B9">
        <w:t xml:space="preserve">contrary to regulatory principles and practices.  And Duke and PUCO Staff are depriving consumers of information that would allow them to make informed choices about their natural gas provider.  That, too, is </w:t>
      </w:r>
      <w:r w:rsidR="0001162F">
        <w:t>harmful to consumers</w:t>
      </w:r>
      <w:r w:rsidR="44BBC7B9">
        <w:t xml:space="preserve"> and </w:t>
      </w:r>
      <w:r w:rsidR="0001162F">
        <w:t xml:space="preserve">is </w:t>
      </w:r>
      <w:r w:rsidR="44BBC7B9">
        <w:t xml:space="preserve">contrary to regulatory principles and practices.  </w:t>
      </w:r>
    </w:p>
    <w:p w:rsidR="002817FF" w:rsidP="009A5E9A">
      <w:pPr>
        <w:autoSpaceDE w:val="0"/>
        <w:autoSpaceDN w:val="0"/>
        <w:adjustRightInd w:val="0"/>
        <w:spacing w:line="480" w:lineRule="auto"/>
        <w:ind w:firstLine="720"/>
      </w:pPr>
      <w:r>
        <w:t xml:space="preserve">Duke’s and PUCO Staff’s efforts are in a proposed </w:t>
      </w:r>
      <w:r w:rsidR="0001162F">
        <w:t>S</w:t>
      </w:r>
      <w:r>
        <w:t xml:space="preserve">ettlement that is not binding on the PUCO.  It can be modified to </w:t>
      </w:r>
      <w:r w:rsidR="0001162F">
        <w:t>benefit consumers</w:t>
      </w:r>
      <w:r>
        <w:t xml:space="preserve"> and </w:t>
      </w:r>
      <w:r>
        <w:t>consistent with regulatory principles and practices.  To protect Duke’s nearly 400,000 residential gas customers, the Office of the Ohio Consumers' Counsel (“OCC”) recommends that it should be.</w:t>
      </w:r>
    </w:p>
    <w:p w:rsidR="006D30BD" w:rsidP="006D30BD">
      <w:pPr>
        <w:autoSpaceDE w:val="0"/>
        <w:autoSpaceDN w:val="0"/>
        <w:adjustRightInd w:val="0"/>
        <w:ind w:firstLine="720"/>
      </w:pPr>
    </w:p>
    <w:p w:rsidR="007C1489" w:rsidP="00D224FB">
      <w:pPr>
        <w:pStyle w:val="Heading1"/>
      </w:pPr>
      <w:bookmarkStart w:id="2" w:name="_Toc22048346"/>
      <w:r w:rsidRPr="007C1489">
        <w:t>BACKGROUND</w:t>
      </w:r>
      <w:bookmarkEnd w:id="2"/>
    </w:p>
    <w:p w:rsidR="0008207E" w:rsidP="002632CA">
      <w:pPr>
        <w:pStyle w:val="BodyA"/>
        <w:spacing w:line="480" w:lineRule="auto"/>
        <w:ind w:firstLine="720"/>
        <w:contextualSpacing/>
      </w:pPr>
      <w:r w:rsidRPr="0008207E">
        <w:rPr>
          <w:rFonts w:hAnsi="Times New Roman" w:cs="Times New Roman"/>
        </w:rPr>
        <w:t xml:space="preserve">R.C. 4905.302 and Ohio Adm.Code 4901:1-14-07 require that the </w:t>
      </w:r>
      <w:r w:rsidR="002817FF">
        <w:rPr>
          <w:rFonts w:hAnsi="Times New Roman" w:cs="Times New Roman"/>
        </w:rPr>
        <w:t>Public Utilities Commission of Ohio (“PUCO”)</w:t>
      </w:r>
      <w:r w:rsidRPr="0008207E">
        <w:rPr>
          <w:rFonts w:hAnsi="Times New Roman" w:cs="Times New Roman"/>
        </w:rPr>
        <w:t xml:space="preserve"> conduct, or cause to be conducted, periodic audits of gas or natural gas companies. </w:t>
      </w:r>
      <w:r w:rsidR="002632CA">
        <w:rPr>
          <w:rFonts w:hAnsi="Times New Roman" w:cs="Times New Roman"/>
        </w:rPr>
        <w:t>Through</w:t>
      </w:r>
      <w:r w:rsidRPr="0008207E">
        <w:rPr>
          <w:rFonts w:hAnsi="Times New Roman" w:cs="Times New Roman"/>
        </w:rPr>
        <w:t xml:space="preserve"> its February 21, 2018 Entry in this case, the PUCO initiated the annual gas recovery (“GCR”), uncollectable expense (“UEX”), and percentage of income payment plan (“PIPP”) audits of Duke Energy Ohio, Inc.</w:t>
      </w:r>
      <w:r w:rsidR="002817FF">
        <w:rPr>
          <w:rFonts w:hAnsi="Times New Roman" w:cs="Times New Roman"/>
        </w:rPr>
        <w:t xml:space="preserve"> (“Duke”).</w:t>
      </w:r>
      <w:r>
        <w:rPr>
          <w:rStyle w:val="FootnoteReference"/>
          <w:rFonts w:hAnsi="Times New Roman" w:cs="Times New Roman"/>
        </w:rPr>
        <w:footnoteReference w:id="2"/>
      </w:r>
      <w:r w:rsidRPr="0008207E">
        <w:rPr>
          <w:rFonts w:hAnsi="Times New Roman" w:cs="Times New Roman"/>
        </w:rPr>
        <w:t xml:space="preserve"> The Entry required the audit to review </w:t>
      </w:r>
      <w:r w:rsidR="002817FF">
        <w:rPr>
          <w:rFonts w:hAnsi="Times New Roman" w:cs="Times New Roman"/>
        </w:rPr>
        <w:t>Duke’s</w:t>
      </w:r>
      <w:r w:rsidRPr="0008207E">
        <w:rPr>
          <w:rFonts w:hAnsi="Times New Roman" w:cs="Times New Roman"/>
        </w:rPr>
        <w:t xml:space="preserve"> compliance with the </w:t>
      </w:r>
      <w:r w:rsidR="00B954EA">
        <w:rPr>
          <w:rFonts w:hAnsi="Times New Roman" w:cs="Times New Roman"/>
        </w:rPr>
        <w:t>P</w:t>
      </w:r>
      <w:r w:rsidRPr="0008207E">
        <w:rPr>
          <w:rFonts w:hAnsi="Times New Roman" w:cs="Times New Roman"/>
        </w:rPr>
        <w:t>UCO’s gas cost recovery mechanism for the 12-month period ending August 2018, and review of the incurred and estimated cost used to calculate the gas cost recovery rates.</w:t>
      </w:r>
      <w:r>
        <w:rPr>
          <w:rStyle w:val="FootnoteReference"/>
          <w:rFonts w:hAnsi="Times New Roman" w:cs="Times New Roman"/>
        </w:rPr>
        <w:footnoteReference w:id="3"/>
      </w:r>
      <w:r w:rsidRPr="0008207E">
        <w:rPr>
          <w:rFonts w:hAnsi="Times New Roman" w:cs="Times New Roman"/>
        </w:rPr>
        <w:t xml:space="preserve"> </w:t>
      </w:r>
      <w:r w:rsidR="002632CA">
        <w:rPr>
          <w:rFonts w:hAnsi="Times New Roman" w:cs="Times New Roman"/>
        </w:rPr>
        <w:t xml:space="preserve">Finally, the Entry directed Duke to select the auditor and that the audit findings be filed in the dockets </w:t>
      </w:r>
      <w:r>
        <w:t>for the GCR audit in Case No. 18-218-GA-GCR, for the UEX rider in Case No. 18-318-GA-UEX, and for the PIPP rider in Case No. 18-418-GA-PIP.</w:t>
      </w:r>
      <w:r>
        <w:rPr>
          <w:rStyle w:val="FootnoteReference"/>
        </w:rPr>
        <w:footnoteReference w:id="4"/>
      </w:r>
      <w:r>
        <w:t xml:space="preserve"> The due date for the GCR, and UEX and PIPP rider audit </w:t>
      </w:r>
      <w:r w:rsidR="002632CA">
        <w:t xml:space="preserve">was initially </w:t>
      </w:r>
      <w:r>
        <w:t>November 16, 2018</w:t>
      </w:r>
      <w:r w:rsidR="002632CA">
        <w:t>, but was extended to January 24, 2019 by Entry on October 11, 2018</w:t>
      </w:r>
      <w:r>
        <w:t>.</w:t>
      </w:r>
      <w:r w:rsidR="007B727E">
        <w:t xml:space="preserve"> The Audit Report was filed in this docket on January 24, 2019 by the auditor, Exeter.</w:t>
      </w:r>
      <w:r>
        <w:rPr>
          <w:rStyle w:val="FootnoteReference"/>
        </w:rPr>
        <w:footnoteReference w:id="5"/>
      </w:r>
    </w:p>
    <w:p w:rsidR="002817FF" w:rsidP="002817FF">
      <w:pPr>
        <w:autoSpaceDE w:val="0"/>
        <w:autoSpaceDN w:val="0"/>
        <w:adjustRightInd w:val="0"/>
        <w:spacing w:line="480" w:lineRule="auto"/>
        <w:ind w:firstLine="720"/>
      </w:pPr>
      <w:r w:rsidRPr="00C26A34">
        <w:t xml:space="preserve">On July 27, 2019, Duke filed a Joint Stipulation and Recommendation (“Settlement”) between it and Staff, intended to resolve issues in these cases. </w:t>
      </w:r>
      <w:r>
        <w:t xml:space="preserve">Now the PUCO must determine if the Settlement is reasonable and meets the test the PUCO uses to evaluate settlements. As filed, </w:t>
      </w:r>
      <w:r w:rsidRPr="00C26A34">
        <w:t>the Settlement</w:t>
      </w:r>
      <w:r>
        <w:t xml:space="preserve"> package </w:t>
      </w:r>
      <w:r w:rsidRPr="00C26A34">
        <w:t xml:space="preserve">is </w:t>
      </w:r>
      <w:r>
        <w:t xml:space="preserve">not </w:t>
      </w:r>
      <w:r w:rsidRPr="00C26A34">
        <w:t xml:space="preserve">reasonable and </w:t>
      </w:r>
      <w:r>
        <w:t xml:space="preserve">does not </w:t>
      </w:r>
      <w:r w:rsidRPr="00C26A34">
        <w:t xml:space="preserve">meet the test that the PUCO uses to evaluate settlements. </w:t>
      </w:r>
      <w:r>
        <w:t xml:space="preserve">There are three </w:t>
      </w:r>
      <w:r w:rsidR="00CD16A3">
        <w:t xml:space="preserve">key </w:t>
      </w:r>
      <w:r w:rsidRPr="00C26A34">
        <w:t>issues with the Settlement.</w:t>
      </w:r>
      <w:r w:rsidRPr="00612A4E">
        <w:rPr>
          <w:rStyle w:val="FootnoteReference"/>
        </w:rPr>
        <w:t xml:space="preserve"> </w:t>
      </w:r>
      <w:r>
        <w:rPr>
          <w:rStyle w:val="FootnoteReference"/>
        </w:rPr>
        <w:footnoteReference w:id="6"/>
      </w:r>
      <w:r>
        <w:t xml:space="preserve"> </w:t>
      </w:r>
      <w:r w:rsidRPr="00C26A34">
        <w:t xml:space="preserve"> </w:t>
      </w:r>
    </w:p>
    <w:p w:rsidR="002817FF" w:rsidP="002817FF">
      <w:pPr>
        <w:autoSpaceDE w:val="0"/>
        <w:autoSpaceDN w:val="0"/>
        <w:adjustRightInd w:val="0"/>
        <w:spacing w:line="480" w:lineRule="auto"/>
        <w:ind w:firstLine="720"/>
      </w:pPr>
      <w:r w:rsidRPr="00C26A34">
        <w:t xml:space="preserve">First, the assignment of propane commodity costs (discussed in Section 6.5.5 of the Management and Performance Audit prepared by Exeter and Associates (“Exeter”) and filed with the PUCO on January 24, 2019) are </w:t>
      </w:r>
      <w:r>
        <w:t xml:space="preserve">not </w:t>
      </w:r>
      <w:r w:rsidRPr="00C26A34">
        <w:t xml:space="preserve">properly allocated and </w:t>
      </w:r>
      <w:r>
        <w:t xml:space="preserve">therefore not </w:t>
      </w:r>
      <w:r w:rsidRPr="00C26A34">
        <w:t>in the public interest.</w:t>
      </w:r>
      <w:r>
        <w:rPr>
          <w:rStyle w:val="FootnoteReference"/>
        </w:rPr>
        <w:footnoteReference w:id="7"/>
      </w:r>
      <w:r>
        <w:t xml:space="preserve"> To remedy this,</w:t>
      </w:r>
      <w:r w:rsidRPr="00C26A34">
        <w:t xml:space="preserve"> </w:t>
      </w:r>
      <w:r>
        <w:t>the PUCO should amend the Settlement to properly allocate the propane commodity costs during the audit period and to require a refund of those costs to its GCR customers.</w:t>
      </w:r>
      <w:r>
        <w:rPr>
          <w:rStyle w:val="FootnoteReference"/>
        </w:rPr>
        <w:footnoteReference w:id="8"/>
      </w:r>
    </w:p>
    <w:p w:rsidR="002817FF" w:rsidP="002817FF">
      <w:pPr>
        <w:autoSpaceDE w:val="0"/>
        <w:autoSpaceDN w:val="0"/>
        <w:adjustRightInd w:val="0"/>
        <w:spacing w:line="480" w:lineRule="auto"/>
        <w:ind w:firstLine="720"/>
      </w:pPr>
      <w:r w:rsidRPr="00C26A34">
        <w:t>Second, a competitive procurement process for natural gas in lieu of a Gas Cost Recovery (“GCR”) mechanism</w:t>
      </w:r>
      <w:r>
        <w:t xml:space="preserve"> </w:t>
      </w:r>
      <w:r w:rsidRPr="00C26A34">
        <w:t>is not included in the Settlement.</w:t>
      </w:r>
      <w:r>
        <w:rPr>
          <w:rStyle w:val="FootnoteReference"/>
        </w:rPr>
        <w:footnoteReference w:id="9"/>
      </w:r>
      <w:r w:rsidRPr="00C26A34">
        <w:t xml:space="preserve"> </w:t>
      </w:r>
      <w:r>
        <w:t>The PUCO should further amend the Settlement by encouraging Duke to transition from the GCR mechanism to a standard service offer (“SSO”) procurement mechanism.</w:t>
      </w:r>
      <w:r>
        <w:rPr>
          <w:rStyle w:val="FootnoteReference"/>
        </w:rPr>
        <w:footnoteReference w:id="10"/>
      </w:r>
    </w:p>
    <w:p w:rsidR="002817FF" w:rsidP="002817FF">
      <w:pPr>
        <w:autoSpaceDE w:val="0"/>
        <w:autoSpaceDN w:val="0"/>
        <w:adjustRightInd w:val="0"/>
        <w:spacing w:line="480" w:lineRule="auto"/>
        <w:ind w:firstLine="720"/>
      </w:pPr>
      <w:r>
        <w:t>Finally</w:t>
      </w:r>
      <w:r w:rsidRPr="00C26A34">
        <w:t xml:space="preserve">, </w:t>
      </w:r>
      <w:r>
        <w:t xml:space="preserve">the Settlement is lacking </w:t>
      </w:r>
      <w:r w:rsidR="002F2E96">
        <w:t xml:space="preserve">by not </w:t>
      </w:r>
      <w:r>
        <w:t>requir</w:t>
      </w:r>
      <w:r w:rsidR="002F2E96">
        <w:t xml:space="preserve">ing </w:t>
      </w:r>
      <w:r w:rsidRPr="00C26A34">
        <w:t xml:space="preserve"> information that should be provided to Duke consumers looking to buy natural gas from marketers.</w:t>
      </w:r>
      <w:r>
        <w:rPr>
          <w:rStyle w:val="FootnoteReference"/>
        </w:rPr>
        <w:footnoteReference w:id="11"/>
      </w:r>
      <w:r w:rsidRPr="00C26A34">
        <w:t xml:space="preserve"> Providing information to consumers about how consumers have fared historically with prices they paid for natural gas from marketers compared to GCR prices would be informative and educational for consumers.</w:t>
      </w:r>
      <w:r>
        <w:rPr>
          <w:rStyle w:val="FootnoteReference"/>
        </w:rPr>
        <w:footnoteReference w:id="12"/>
      </w:r>
      <w:r>
        <w:t xml:space="preserve"> Therefore, the PUCO should order Duke to provide information to the public regarding the natural gas commodity price differences between what marketer and GCR customers are paying.</w:t>
      </w:r>
      <w:r>
        <w:rPr>
          <w:rStyle w:val="FootnoteReference"/>
        </w:rPr>
        <w:footnoteReference w:id="13"/>
      </w:r>
    </w:p>
    <w:p w:rsidR="006D30BD" w:rsidP="006D30BD">
      <w:pPr>
        <w:autoSpaceDE w:val="0"/>
        <w:autoSpaceDN w:val="0"/>
        <w:adjustRightInd w:val="0"/>
        <w:ind w:firstLine="720"/>
      </w:pPr>
    </w:p>
    <w:p w:rsidR="00677E32" w:rsidP="00D224FB">
      <w:pPr>
        <w:pStyle w:val="Heading1"/>
      </w:pPr>
      <w:bookmarkStart w:id="3" w:name="_Toc22048347"/>
      <w:r>
        <w:t>STANDARD OF REVIEW</w:t>
      </w:r>
      <w:bookmarkEnd w:id="3"/>
    </w:p>
    <w:p w:rsidR="00677E32" w:rsidRPr="00517C65" w:rsidP="00677E32">
      <w:pPr>
        <w:autoSpaceDE w:val="0"/>
        <w:autoSpaceDN w:val="0"/>
        <w:adjustRightInd w:val="0"/>
        <w:spacing w:line="480" w:lineRule="auto"/>
        <w:ind w:firstLine="720"/>
        <w:jc w:val="both"/>
      </w:pPr>
      <w:r w:rsidRPr="00517C65">
        <w:t xml:space="preserve">The Supreme Court </w:t>
      </w:r>
      <w:r w:rsidR="007B727E">
        <w:t xml:space="preserve">of Ohio held </w:t>
      </w:r>
      <w:r w:rsidRPr="00517C65">
        <w:t xml:space="preserve">in </w:t>
      </w:r>
      <w:r w:rsidRPr="44BBC7B9">
        <w:rPr>
          <w:i/>
          <w:iCs/>
        </w:rPr>
        <w:t>Duff v. Pub. Util. Comm.</w:t>
      </w:r>
      <w:r>
        <w:rPr>
          <w:rStyle w:val="FootnoteReference"/>
        </w:rPr>
        <w:footnoteReference w:id="14"/>
      </w:r>
      <w:r w:rsidRPr="00517C65">
        <w:t xml:space="preserve"> that a stipulation is</w:t>
      </w:r>
      <w:r>
        <w:t xml:space="preserve"> </w:t>
      </w:r>
      <w:r w:rsidRPr="00517C65">
        <w:t>merely a recommendation that is not legally binding upon the PUCO. The PUCO “may</w:t>
      </w:r>
      <w:r>
        <w:t xml:space="preserve"> </w:t>
      </w:r>
      <w:r w:rsidRPr="00517C65">
        <w:t>take the stipulation into consideration, but must determine what is just and reasonable</w:t>
      </w:r>
      <w:r>
        <w:t xml:space="preserve"> </w:t>
      </w:r>
      <w:r w:rsidRPr="00517C65">
        <w:t>from the evidence presented at the hearing.”</w:t>
      </w:r>
      <w:r>
        <w:rPr>
          <w:rStyle w:val="FootnoteReference"/>
        </w:rPr>
        <w:footnoteReference w:id="15"/>
      </w:r>
      <w:r w:rsidRPr="00517C65">
        <w:t xml:space="preserve">  The </w:t>
      </w:r>
      <w:r>
        <w:t xml:space="preserve">Supreme </w:t>
      </w:r>
      <w:r w:rsidRPr="00517C65">
        <w:t xml:space="preserve">Court </w:t>
      </w:r>
      <w:r w:rsidR="007B727E">
        <w:t xml:space="preserve">of Ohio </w:t>
      </w:r>
      <w:r w:rsidRPr="00517C65">
        <w:t xml:space="preserve">in </w:t>
      </w:r>
      <w:r w:rsidRPr="44BBC7B9">
        <w:rPr>
          <w:i/>
          <w:iCs/>
        </w:rPr>
        <w:t>Consumers’ Counsel v. Pub. Util. Com.</w:t>
      </w:r>
      <w:r>
        <w:rPr>
          <w:rStyle w:val="FootnoteReference"/>
        </w:rPr>
        <w:footnoteReference w:id="16"/>
      </w:r>
      <w:r w:rsidRPr="00517C65">
        <w:t xml:space="preserve"> considered whether a just and reasonable result was achieved with reference to criteria adopted by the PUCO in evaluating settlements:</w:t>
      </w:r>
    </w:p>
    <w:p w:rsidR="00677E32" w:rsidP="00677E32">
      <w:pPr>
        <w:pStyle w:val="ListParagraph"/>
        <w:numPr>
          <w:ilvl w:val="0"/>
          <w:numId w:val="7"/>
        </w:numPr>
        <w:ind w:left="2160" w:right="720" w:hanging="720"/>
      </w:pPr>
      <w:r w:rsidRPr="00517C65">
        <w:t>Is the settlement a product of serious bargaining among</w:t>
      </w:r>
      <w:r>
        <w:t xml:space="preserve"> </w:t>
      </w:r>
      <w:r w:rsidRPr="00517C65">
        <w:t>capable, knowledgeable parties, where there is diversity of</w:t>
      </w:r>
      <w:r>
        <w:t xml:space="preserve"> </w:t>
      </w:r>
      <w:r w:rsidRPr="00517C65">
        <w:t>interests among the stipulating parties?</w:t>
      </w:r>
    </w:p>
    <w:p w:rsidR="00677E32" w:rsidRPr="00517C65" w:rsidP="00677E32">
      <w:pPr>
        <w:ind w:left="2160"/>
      </w:pPr>
    </w:p>
    <w:p w:rsidR="00677E32" w:rsidRPr="00517C65" w:rsidP="00677E32">
      <w:pPr>
        <w:pStyle w:val="ListParagraph"/>
        <w:numPr>
          <w:ilvl w:val="0"/>
          <w:numId w:val="7"/>
        </w:numPr>
        <w:autoSpaceDE w:val="0"/>
        <w:autoSpaceDN w:val="0"/>
        <w:adjustRightInd w:val="0"/>
        <w:ind w:left="2160" w:right="720" w:hanging="720"/>
      </w:pPr>
      <w:r w:rsidRPr="00517C65">
        <w:t>Does the settlement, as a package, benefit ratepayers and the public interest?</w:t>
      </w:r>
    </w:p>
    <w:p w:rsidR="00677E32" w:rsidRPr="00517C65" w:rsidP="00677E32">
      <w:pPr>
        <w:pStyle w:val="ListParagraph"/>
        <w:autoSpaceDE w:val="0"/>
        <w:autoSpaceDN w:val="0"/>
        <w:adjustRightInd w:val="0"/>
        <w:ind w:left="2160" w:right="720"/>
      </w:pPr>
    </w:p>
    <w:p w:rsidR="00677E32" w:rsidP="00677E32">
      <w:pPr>
        <w:pStyle w:val="ListParagraph"/>
        <w:numPr>
          <w:ilvl w:val="0"/>
          <w:numId w:val="7"/>
        </w:numPr>
        <w:autoSpaceDE w:val="0"/>
        <w:autoSpaceDN w:val="0"/>
        <w:adjustRightInd w:val="0"/>
        <w:ind w:left="2160" w:right="720" w:hanging="720"/>
      </w:pPr>
      <w:r w:rsidRPr="00517C65">
        <w:t>Does the settlement package violate any important</w:t>
      </w:r>
      <w:r>
        <w:t xml:space="preserve"> </w:t>
      </w:r>
      <w:r w:rsidRPr="00517C65">
        <w:t>regulatory principle or practice?</w:t>
      </w:r>
    </w:p>
    <w:p w:rsidR="00677E32" w:rsidP="00677E32">
      <w:pPr>
        <w:autoSpaceDE w:val="0"/>
        <w:autoSpaceDN w:val="0"/>
        <w:adjustRightInd w:val="0"/>
        <w:spacing w:line="480" w:lineRule="auto"/>
        <w:ind w:firstLine="720"/>
      </w:pPr>
    </w:p>
    <w:p w:rsidR="00677E32" w:rsidP="00D1438A">
      <w:pPr>
        <w:autoSpaceDE w:val="0"/>
        <w:autoSpaceDN w:val="0"/>
        <w:adjustRightInd w:val="0"/>
        <w:spacing w:line="480" w:lineRule="auto"/>
        <w:ind w:firstLine="720"/>
      </w:pPr>
      <w:r>
        <w:t xml:space="preserve">The ultimate question to be answered is whether, </w:t>
      </w:r>
      <w:r w:rsidR="002F2E96">
        <w:t>based</w:t>
      </w:r>
      <w:r>
        <w:t xml:space="preserve"> the record, taken as a whole the settlement is reasonable, complies with Ohio law, and is in the public interest. As OCC shows below, the settlement in this case does not meet this standard.</w:t>
      </w:r>
    </w:p>
    <w:p w:rsidR="006D30BD" w:rsidRPr="00517C65" w:rsidP="006D30BD">
      <w:pPr>
        <w:autoSpaceDE w:val="0"/>
        <w:autoSpaceDN w:val="0"/>
        <w:adjustRightInd w:val="0"/>
        <w:ind w:firstLine="720"/>
      </w:pPr>
    </w:p>
    <w:p w:rsidR="007C1489" w:rsidP="00D224FB">
      <w:pPr>
        <w:pStyle w:val="Heading1"/>
      </w:pPr>
      <w:bookmarkStart w:id="4" w:name="_Toc22048348"/>
      <w:r>
        <w:t>RECOMMENDATIONS</w:t>
      </w:r>
      <w:bookmarkEnd w:id="4"/>
    </w:p>
    <w:p w:rsidR="00C61C43" w:rsidP="00C61C43">
      <w:pPr>
        <w:autoSpaceDE w:val="0"/>
        <w:autoSpaceDN w:val="0"/>
        <w:adjustRightInd w:val="0"/>
        <w:spacing w:line="480" w:lineRule="auto"/>
        <w:ind w:firstLine="720"/>
      </w:pPr>
      <w:r>
        <w:t>As OCC Expert Witness Haugh testified, t</w:t>
      </w:r>
      <w:r>
        <w:t>he Settlement</w:t>
      </w:r>
      <w:r w:rsidR="00492A89">
        <w:t xml:space="preserve"> </w:t>
      </w:r>
      <w:r>
        <w:t xml:space="preserve">as </w:t>
      </w:r>
      <w:r w:rsidR="003C1B67">
        <w:t>filed</w:t>
      </w:r>
      <w:r>
        <w:t xml:space="preserve"> is not in the public interest and violates important regulatory practices and principles</w:t>
      </w:r>
      <w:r w:rsidR="002817FF">
        <w:t>.  It</w:t>
      </w:r>
      <w:r>
        <w:t xml:space="preserve"> should not be approved.</w:t>
      </w:r>
      <w:r>
        <w:rPr>
          <w:rStyle w:val="FootnoteReference"/>
        </w:rPr>
        <w:footnoteReference w:id="17"/>
      </w:r>
      <w:r>
        <w:t xml:space="preserve"> </w:t>
      </w:r>
      <w:r w:rsidR="00492A89">
        <w:t>OCC recommends that</w:t>
      </w:r>
      <w:r>
        <w:t xml:space="preserve"> t</w:t>
      </w:r>
      <w:r w:rsidRPr="00C61C43">
        <w:t xml:space="preserve">he PUCO should </w:t>
      </w:r>
      <w:r w:rsidR="002817FF">
        <w:t>modify</w:t>
      </w:r>
      <w:r w:rsidRPr="00C61C43">
        <w:t xml:space="preserve"> the Settlement </w:t>
      </w:r>
      <w:r w:rsidR="003C1B67">
        <w:t>and</w:t>
      </w:r>
      <w:r w:rsidRPr="00C61C43">
        <w:t xml:space="preserve"> order Duke to properly allocate the costs associated with the use of the propane facilities</w:t>
      </w:r>
      <w:r w:rsidR="002817FF">
        <w:t xml:space="preserve"> --  which indisputably benefited </w:t>
      </w:r>
      <w:r w:rsidRPr="44BBC7B9" w:rsidR="002817FF">
        <w:rPr>
          <w:i/>
          <w:iCs/>
        </w:rPr>
        <w:t>all</w:t>
      </w:r>
      <w:r w:rsidR="002817FF">
        <w:t xml:space="preserve"> customers, shopping and non-shopping alike – </w:t>
      </w:r>
      <w:r w:rsidRPr="00C61C43">
        <w:t xml:space="preserve"> to marketer customers and refund to the GCR customers</w:t>
      </w:r>
      <w:r w:rsidR="002817FF">
        <w:t xml:space="preserve"> costs improperly allocated to them</w:t>
      </w:r>
      <w:r w:rsidRPr="00C61C43">
        <w:t>.</w:t>
      </w:r>
      <w:r>
        <w:rPr>
          <w:rStyle w:val="FootnoteReference"/>
        </w:rPr>
        <w:footnoteReference w:id="18"/>
      </w:r>
      <w:r w:rsidRPr="00C61C43">
        <w:t xml:space="preserve"> </w:t>
      </w:r>
    </w:p>
    <w:p w:rsidR="00C61C43" w:rsidP="00C61C43">
      <w:pPr>
        <w:autoSpaceDE w:val="0"/>
        <w:autoSpaceDN w:val="0"/>
        <w:adjustRightInd w:val="0"/>
        <w:spacing w:line="480" w:lineRule="auto"/>
        <w:ind w:firstLine="720"/>
      </w:pPr>
      <w:r w:rsidRPr="00C61C43">
        <w:t xml:space="preserve">Additionally, </w:t>
      </w:r>
      <w:r w:rsidR="00492A89">
        <w:t xml:space="preserve">as recommended by OCC Expert Witness Haugh, </w:t>
      </w:r>
      <w:r w:rsidRPr="00C61C43">
        <w:t xml:space="preserve">the </w:t>
      </w:r>
      <w:r w:rsidR="00AF3DC8">
        <w:t>PUCO</w:t>
      </w:r>
      <w:r w:rsidRPr="00C61C43">
        <w:t xml:space="preserve"> should </w:t>
      </w:r>
      <w:r w:rsidR="00492A89">
        <w:t>retain</w:t>
      </w:r>
      <w:r w:rsidRPr="00C61C43">
        <w:t xml:space="preserve"> an independent consultant to examine </w:t>
      </w:r>
      <w:r w:rsidR="003C1B67">
        <w:t xml:space="preserve">the effect </w:t>
      </w:r>
      <w:r w:rsidR="00AF3DC8">
        <w:t xml:space="preserve">of </w:t>
      </w:r>
      <w:r w:rsidRPr="00C61C43">
        <w:t xml:space="preserve">Duke procuring its natural gas supply through a standard </w:t>
      </w:r>
      <w:r w:rsidR="00FC56FB">
        <w:t xml:space="preserve">service </w:t>
      </w:r>
      <w:r w:rsidRPr="00C61C43">
        <w:t>offer auction (and ending its hedging activities that it charges to customers).</w:t>
      </w:r>
      <w:r>
        <w:rPr>
          <w:rStyle w:val="FootnoteReference"/>
        </w:rPr>
        <w:footnoteReference w:id="19"/>
      </w:r>
      <w:r w:rsidRPr="00C61C43">
        <w:t xml:space="preserve"> The findings from this process should be reported to the PUCO within nine months of the Order in this proceeding, with a timeline of </w:t>
      </w:r>
      <w:r w:rsidR="00FC56FB">
        <w:t>18</w:t>
      </w:r>
      <w:r w:rsidRPr="00C61C43" w:rsidR="00FC56FB">
        <w:t xml:space="preserve"> </w:t>
      </w:r>
      <w:r w:rsidRPr="00C61C43">
        <w:t>months for a transition to a competitive auction to replace Duke’s GCR if it is demonstrated that Duke consumers would benefit from the competitively bid standard offer that all other major energy utilities use.</w:t>
      </w:r>
      <w:r>
        <w:rPr>
          <w:rStyle w:val="FootnoteReference"/>
        </w:rPr>
        <w:footnoteReference w:id="20"/>
      </w:r>
      <w:r w:rsidRPr="00C61C43">
        <w:t xml:space="preserve"> </w:t>
      </w:r>
    </w:p>
    <w:p w:rsidR="00FE6443" w:rsidP="00C61C43">
      <w:pPr>
        <w:autoSpaceDE w:val="0"/>
        <w:autoSpaceDN w:val="0"/>
        <w:adjustRightInd w:val="0"/>
        <w:spacing w:line="480" w:lineRule="auto"/>
        <w:ind w:firstLine="720"/>
      </w:pPr>
      <w:r w:rsidRPr="00C61C43">
        <w:t xml:space="preserve">Finally, </w:t>
      </w:r>
      <w:r w:rsidR="00492A89">
        <w:t xml:space="preserve">OCC recommends that </w:t>
      </w:r>
      <w:r w:rsidRPr="00C61C43">
        <w:t>the PUCO modify the Settlement to contain a provision requiring Duke to place Duke’s GCR price on customers’ bills</w:t>
      </w:r>
      <w:r w:rsidR="00AF3DC8">
        <w:t>.  This would</w:t>
      </w:r>
      <w:r w:rsidRPr="00C61C43">
        <w:t xml:space="preserve"> inform customers of the potential that they may be paying additional costs above the GCR for their natural gas if provided by a marketer.</w:t>
      </w:r>
      <w:r>
        <w:rPr>
          <w:rStyle w:val="FootnoteReference"/>
        </w:rPr>
        <w:footnoteReference w:id="21"/>
      </w:r>
      <w:r w:rsidRPr="00C61C43">
        <w:t xml:space="preserve"> The PUCO should also require Duke to provide aggregated shadow-billing data</w:t>
      </w:r>
      <w:r w:rsidR="00AF3DC8">
        <w:t xml:space="preserve">.  This would enable consumers to </w:t>
      </w:r>
      <w:r w:rsidRPr="00C61C43">
        <w:t>calculate the amount marketer customers pay above or below the amount they would have paid for gas service on Duke’s standard offer (GCR).</w:t>
      </w:r>
      <w:r>
        <w:rPr>
          <w:rStyle w:val="FootnoteReference"/>
        </w:rPr>
        <w:footnoteReference w:id="22"/>
      </w:r>
      <w:r w:rsidRPr="00C61C43">
        <w:t xml:space="preserve"> The shadow-billing </w:t>
      </w:r>
      <w:r w:rsidR="00FC56FB">
        <w:t xml:space="preserve">program </w:t>
      </w:r>
      <w:r w:rsidRPr="00C61C43">
        <w:t xml:space="preserve">should be similar </w:t>
      </w:r>
      <w:r w:rsidR="00AF3DC8">
        <w:t>to that provided</w:t>
      </w:r>
      <w:r w:rsidRPr="00C61C43">
        <w:t xml:space="preserve"> by Columbia Gas.</w:t>
      </w:r>
      <w:r>
        <w:rPr>
          <w:rStyle w:val="FootnoteReference"/>
        </w:rPr>
        <w:footnoteReference w:id="23"/>
      </w:r>
      <w:r w:rsidRPr="00C61C43">
        <w:t xml:space="preserve"> </w:t>
      </w:r>
    </w:p>
    <w:p w:rsidR="00C61C43" w:rsidP="00C61C43">
      <w:pPr>
        <w:autoSpaceDE w:val="0"/>
        <w:autoSpaceDN w:val="0"/>
        <w:adjustRightInd w:val="0"/>
        <w:spacing w:line="480" w:lineRule="auto"/>
        <w:ind w:firstLine="720"/>
      </w:pPr>
      <w:r>
        <w:t xml:space="preserve">If these modifications are not implemented by the PUCO (they should be), then the PUCO should reject the </w:t>
      </w:r>
      <w:r w:rsidR="00AF3DC8">
        <w:t>S</w:t>
      </w:r>
      <w:r>
        <w:t xml:space="preserve">ettlement because it </w:t>
      </w:r>
      <w:r w:rsidR="00FC56FB">
        <w:t>neither</w:t>
      </w:r>
      <w:r>
        <w:t xml:space="preserve"> benefit</w:t>
      </w:r>
      <w:r w:rsidR="00FC56FB">
        <w:t>s</w:t>
      </w:r>
      <w:r>
        <w:t xml:space="preserve"> consumers nor the public </w:t>
      </w:r>
      <w:r w:rsidR="00492A89">
        <w:t>interest and</w:t>
      </w:r>
      <w:r>
        <w:t xml:space="preserve"> violates important regulatory principles and practices. </w:t>
      </w:r>
    </w:p>
    <w:p w:rsidR="009A5E9A" w:rsidP="00C61C43">
      <w:pPr>
        <w:pStyle w:val="Heading2"/>
        <w:sectPr w:rsidSect="009A5E9A">
          <w:footerReference w:type="default" r:id="rId13"/>
          <w:pgSz w:w="12240" w:h="15840" w:code="1"/>
          <w:pgMar w:top="1440" w:right="1800" w:bottom="1440" w:left="1800" w:header="720" w:footer="720" w:gutter="0"/>
          <w:pgNumType w:start="1"/>
          <w:cols w:space="720"/>
          <w:docGrid w:linePitch="360"/>
        </w:sectPr>
      </w:pPr>
    </w:p>
    <w:p w:rsidR="00C61C43" w:rsidP="00C61C43">
      <w:pPr>
        <w:pStyle w:val="Heading2"/>
      </w:pPr>
      <w:bookmarkStart w:id="5" w:name="_Toc22048349"/>
      <w:r w:rsidRPr="00035431">
        <w:t>The Settlement does not benefit customers or the public interest</w:t>
      </w:r>
      <w:r w:rsidRPr="00035431">
        <w:t>, therefore violates the settlement test.</w:t>
      </w:r>
      <w:bookmarkEnd w:id="5"/>
    </w:p>
    <w:p w:rsidR="00262F25" w:rsidP="44BBC7B9">
      <w:pPr>
        <w:pStyle w:val="BodyA"/>
        <w:spacing w:line="480" w:lineRule="auto"/>
        <w:ind w:firstLine="720"/>
        <w:rPr>
          <w:rFonts w:hAnsi="Times New Roman" w:cs="Times New Roman"/>
        </w:rPr>
      </w:pPr>
      <w:r w:rsidRPr="44BBC7B9">
        <w:rPr>
          <w:rFonts w:hAnsi="Times New Roman" w:cs="Times New Roman"/>
        </w:rPr>
        <w:t>Exeter, the auditor that Duke chose</w:t>
      </w:r>
      <w:r w:rsidRPr="44BBC7B9" w:rsidR="00FE6443">
        <w:rPr>
          <w:rFonts w:hAnsi="Times New Roman" w:cs="Times New Roman"/>
        </w:rPr>
        <w:t xml:space="preserve"> pursuant to the February 21, 2018 PUCO Entry</w:t>
      </w:r>
      <w:r w:rsidRPr="44BBC7B9">
        <w:rPr>
          <w:rFonts w:hAnsi="Times New Roman" w:cs="Times New Roman"/>
        </w:rPr>
        <w:t>, provided its findings regarding Duke’s assignment of propane commodity costs</w:t>
      </w:r>
      <w:r w:rsidRPr="44BBC7B9" w:rsidR="44BBC7B9">
        <w:rPr>
          <w:rFonts w:hAnsi="Times New Roman" w:cs="Times New Roman"/>
        </w:rPr>
        <w:t xml:space="preserve"> </w:t>
      </w:r>
      <w:r w:rsidRPr="44BBC7B9">
        <w:rPr>
          <w:rFonts w:hAnsi="Times New Roman" w:cs="Times New Roman"/>
        </w:rPr>
        <w:t>.</w:t>
      </w:r>
      <w:r>
        <w:rPr>
          <w:rStyle w:val="FootnoteReference"/>
          <w:rFonts w:hAnsi="Times New Roman" w:cs="Times New Roman"/>
        </w:rPr>
        <w:footnoteReference w:id="24"/>
      </w:r>
      <w:r w:rsidRPr="44BBC7B9">
        <w:rPr>
          <w:rFonts w:hAnsi="Times New Roman" w:cs="Times New Roman"/>
        </w:rPr>
        <w:t xml:space="preserve"> </w:t>
      </w:r>
      <w:r w:rsidRPr="44BBC7B9" w:rsidR="00FE6443">
        <w:rPr>
          <w:rFonts w:hAnsi="Times New Roman" w:cs="Times New Roman"/>
        </w:rPr>
        <w:t>A</w:t>
      </w:r>
      <w:r w:rsidRPr="44BBC7B9">
        <w:rPr>
          <w:rFonts w:hAnsi="Times New Roman" w:cs="Times New Roman"/>
        </w:rPr>
        <w:t xml:space="preserve">ccording to OCC Expert Witness Haugh, the </w:t>
      </w:r>
      <w:r w:rsidRPr="44BBC7B9" w:rsidR="007B727E">
        <w:rPr>
          <w:rFonts w:hAnsi="Times New Roman" w:cs="Times New Roman"/>
        </w:rPr>
        <w:t>Audit Report</w:t>
      </w:r>
      <w:r w:rsidRPr="44BBC7B9">
        <w:rPr>
          <w:rFonts w:hAnsi="Times New Roman" w:cs="Times New Roman"/>
        </w:rPr>
        <w:t xml:space="preserve"> illustrate</w:t>
      </w:r>
      <w:r w:rsidRPr="44BBC7B9" w:rsidR="00CD1C53">
        <w:rPr>
          <w:rFonts w:hAnsi="Times New Roman" w:cs="Times New Roman"/>
        </w:rPr>
        <w:t>s</w:t>
      </w:r>
      <w:r w:rsidRPr="44BBC7B9">
        <w:rPr>
          <w:rFonts w:hAnsi="Times New Roman" w:cs="Times New Roman"/>
        </w:rPr>
        <w:t xml:space="preserve"> that </w:t>
      </w:r>
      <w:r>
        <w:rPr>
          <w:rFonts w:hAnsi="Times New Roman" w:cs="Times New Roman"/>
        </w:rPr>
        <w:t xml:space="preserve">Duke has propane facilities </w:t>
      </w:r>
      <w:r w:rsidR="00AF3DC8">
        <w:rPr>
          <w:rFonts w:hAnsi="Times New Roman" w:cs="Times New Roman"/>
        </w:rPr>
        <w:t>that</w:t>
      </w:r>
      <w:r>
        <w:rPr>
          <w:rFonts w:hAnsi="Times New Roman" w:cs="Times New Roman"/>
        </w:rPr>
        <w:t xml:space="preserve"> allow </w:t>
      </w:r>
      <w:r w:rsidR="00AF3DC8">
        <w:rPr>
          <w:rFonts w:hAnsi="Times New Roman" w:cs="Times New Roman"/>
        </w:rPr>
        <w:t>it</w:t>
      </w:r>
      <w:r>
        <w:rPr>
          <w:rFonts w:hAnsi="Times New Roman" w:cs="Times New Roman"/>
        </w:rPr>
        <w:t xml:space="preserve"> to maintain proper operating pressure during periods of peak demand.</w:t>
      </w:r>
      <w:r>
        <w:rPr>
          <w:rStyle w:val="FootnoteReference"/>
          <w:rFonts w:hAnsi="Times New Roman" w:cs="Times New Roman"/>
        </w:rPr>
        <w:footnoteReference w:id="25"/>
      </w:r>
      <w:r>
        <w:rPr>
          <w:rFonts w:hAnsi="Times New Roman" w:cs="Times New Roman"/>
        </w:rPr>
        <w:t xml:space="preserve"> </w:t>
      </w:r>
      <w:r w:rsidR="00AF3DC8">
        <w:rPr>
          <w:rFonts w:hAnsi="Times New Roman" w:cs="Times New Roman"/>
        </w:rPr>
        <w:t>These</w:t>
      </w:r>
      <w:r>
        <w:rPr>
          <w:rFonts w:hAnsi="Times New Roman" w:cs="Times New Roman"/>
        </w:rPr>
        <w:t xml:space="preserve"> facilities can be used to meet customers’ gas requirements during periods of peak demand if Duke determines it is the least expensive option. </w:t>
      </w:r>
      <w:r>
        <w:rPr>
          <w:rStyle w:val="FootnoteReference"/>
          <w:rFonts w:hAnsi="Times New Roman" w:cs="Times New Roman"/>
        </w:rPr>
        <w:footnoteReference w:id="26"/>
      </w:r>
    </w:p>
    <w:p w:rsidR="00AF3DC8" w:rsidP="00262F25">
      <w:pPr>
        <w:pStyle w:val="BodyA"/>
        <w:spacing w:line="480" w:lineRule="auto"/>
        <w:ind w:firstLine="720"/>
        <w:rPr>
          <w:rFonts w:hAnsi="Times New Roman" w:cs="Times New Roman"/>
        </w:rPr>
      </w:pPr>
      <w:r>
        <w:rPr>
          <w:rFonts w:hAnsi="Times New Roman" w:cs="Times New Roman"/>
        </w:rPr>
        <w:t>As Mr. Haugh testified, during the audit period Duke utilized the propane facilities to maintain distribution operating pressure on a number of days.</w:t>
      </w:r>
      <w:r>
        <w:rPr>
          <w:rStyle w:val="FootnoteReference"/>
          <w:rFonts w:hAnsi="Times New Roman" w:cs="Times New Roman"/>
        </w:rPr>
        <w:footnoteReference w:id="27"/>
      </w:r>
      <w:r>
        <w:rPr>
          <w:rFonts w:hAnsi="Times New Roman" w:cs="Times New Roman"/>
        </w:rPr>
        <w:t xml:space="preserve"> </w:t>
      </w:r>
      <w:r>
        <w:rPr>
          <w:rFonts w:hAnsi="Times New Roman" w:cs="Times New Roman"/>
        </w:rPr>
        <w:t>M</w:t>
      </w:r>
      <w:r>
        <w:rPr>
          <w:rFonts w:hAnsi="Times New Roman" w:cs="Times New Roman"/>
        </w:rPr>
        <w:t>aintaining proper operating pressure is necessary to keep the system running, thereby providing benefits to all customers.</w:t>
      </w:r>
      <w:r>
        <w:rPr>
          <w:rStyle w:val="FootnoteReference"/>
          <w:rFonts w:hAnsi="Times New Roman" w:cs="Times New Roman"/>
        </w:rPr>
        <w:footnoteReference w:id="28"/>
      </w:r>
      <w:r>
        <w:rPr>
          <w:rFonts w:hAnsi="Times New Roman" w:cs="Times New Roman"/>
        </w:rPr>
        <w:t xml:space="preserve"> </w:t>
      </w:r>
      <w:r>
        <w:rPr>
          <w:rFonts w:hAnsi="Times New Roman" w:cs="Times New Roman"/>
        </w:rPr>
        <w:t>H</w:t>
      </w:r>
      <w:r>
        <w:rPr>
          <w:rFonts w:hAnsi="Times New Roman" w:cs="Times New Roman"/>
        </w:rPr>
        <w:t>ad it not been for the need to maintain distribution system operating pressures, it would not have been necessary for Duke to use its propane facilities during the audit period.</w:t>
      </w:r>
      <w:r>
        <w:rPr>
          <w:rStyle w:val="FootnoteReference"/>
          <w:rFonts w:hAnsi="Times New Roman" w:cs="Times New Roman"/>
        </w:rPr>
        <w:footnoteReference w:id="29"/>
      </w:r>
      <w:r>
        <w:rPr>
          <w:rFonts w:hAnsi="Times New Roman" w:cs="Times New Roman"/>
        </w:rPr>
        <w:t xml:space="preserve"> </w:t>
      </w:r>
    </w:p>
    <w:p w:rsidR="00262F25" w:rsidP="00262F25">
      <w:pPr>
        <w:pStyle w:val="BodyA"/>
        <w:spacing w:line="480" w:lineRule="auto"/>
        <w:ind w:firstLine="720"/>
        <w:rPr>
          <w:rFonts w:hAnsi="Times New Roman" w:cs="Times New Roman"/>
        </w:rPr>
      </w:pPr>
      <w:r>
        <w:rPr>
          <w:rFonts w:hAnsi="Times New Roman" w:cs="Times New Roman"/>
        </w:rPr>
        <w:t xml:space="preserve">Yet, according to Mr. Haugh, Exeter found that during the audit period the costs associated with the propane facilities were allocated </w:t>
      </w:r>
      <w:r w:rsidRPr="00AF3DC8">
        <w:rPr>
          <w:rFonts w:hAnsi="Times New Roman" w:cs="Times New Roman"/>
          <w:i/>
          <w:iCs/>
        </w:rPr>
        <w:t>only</w:t>
      </w:r>
      <w:r>
        <w:rPr>
          <w:rFonts w:hAnsi="Times New Roman" w:cs="Times New Roman"/>
        </w:rPr>
        <w:t xml:space="preserve"> to Duke’s GCR customers, even though all firm transportation customers (marketer customers) </w:t>
      </w:r>
      <w:r w:rsidRPr="00AF3DC8">
        <w:rPr>
          <w:rFonts w:hAnsi="Times New Roman" w:cs="Times New Roman"/>
          <w:i/>
          <w:iCs/>
        </w:rPr>
        <w:t>also</w:t>
      </w:r>
      <w:r>
        <w:rPr>
          <w:rFonts w:hAnsi="Times New Roman" w:cs="Times New Roman"/>
        </w:rPr>
        <w:t xml:space="preserve"> benefited from the use of the propane facilities.</w:t>
      </w:r>
      <w:r>
        <w:rPr>
          <w:rStyle w:val="FootnoteReference"/>
          <w:rFonts w:hAnsi="Times New Roman" w:cs="Times New Roman"/>
        </w:rPr>
        <w:footnoteReference w:id="30"/>
      </w:r>
      <w:r>
        <w:rPr>
          <w:rFonts w:hAnsi="Times New Roman" w:cs="Times New Roman"/>
        </w:rPr>
        <w:t xml:space="preserve"> </w:t>
      </w:r>
      <w:r w:rsidR="00AF3DC8">
        <w:rPr>
          <w:rFonts w:hAnsi="Times New Roman" w:cs="Times New Roman"/>
        </w:rPr>
        <w:t>M</w:t>
      </w:r>
      <w:r>
        <w:rPr>
          <w:rFonts w:hAnsi="Times New Roman" w:cs="Times New Roman"/>
        </w:rPr>
        <w:t>arketer customers were not assessed costs associated with the use of the propane facilities even though they benefitted from the use of the facilities.</w:t>
      </w:r>
      <w:r>
        <w:rPr>
          <w:rStyle w:val="FootnoteReference"/>
          <w:rFonts w:hAnsi="Times New Roman" w:cs="Times New Roman"/>
        </w:rPr>
        <w:footnoteReference w:id="31"/>
      </w:r>
      <w:r>
        <w:rPr>
          <w:rFonts w:hAnsi="Times New Roman" w:cs="Times New Roman"/>
        </w:rPr>
        <w:t xml:space="preserve"> Therefore, OCC expert witness Haugh explained, Exeter determined that both GCR and marketer customers should be responsible for their proportional share of incremental propane costs during the audit period.</w:t>
      </w:r>
      <w:r>
        <w:rPr>
          <w:rStyle w:val="FootnoteReference"/>
          <w:rFonts w:hAnsi="Times New Roman" w:cs="Times New Roman"/>
        </w:rPr>
        <w:footnoteReference w:id="32"/>
      </w:r>
    </w:p>
    <w:p w:rsidR="00D224FB" w:rsidRPr="00D224FB" w:rsidP="44BBC7B9">
      <w:pPr>
        <w:pStyle w:val="BodyA"/>
        <w:spacing w:line="480" w:lineRule="auto"/>
        <w:ind w:firstLine="720"/>
        <w:rPr>
          <w:rFonts w:hAnsi="Times New Roman" w:cs="Times New Roman"/>
        </w:rPr>
      </w:pPr>
      <w:r w:rsidRPr="44BBC7B9">
        <w:rPr>
          <w:rFonts w:hAnsi="Times New Roman" w:cs="Times New Roman"/>
        </w:rPr>
        <w:t>The</w:t>
      </w:r>
      <w:r w:rsidRPr="44BBC7B9">
        <w:rPr>
          <w:rFonts w:hAnsi="Times New Roman" w:cs="Times New Roman"/>
        </w:rPr>
        <w:t xml:space="preserve"> Settlement falls short of benefitting customers and the public interest by not properly allocating the propane commodity costs.</w:t>
      </w:r>
      <w:r>
        <w:rPr>
          <w:rStyle w:val="FootnoteReference"/>
          <w:rFonts w:hAnsi="Times New Roman" w:cs="Times New Roman"/>
        </w:rPr>
        <w:footnoteReference w:id="33"/>
      </w:r>
      <w:r w:rsidRPr="44BBC7B9">
        <w:rPr>
          <w:rFonts w:hAnsi="Times New Roman" w:cs="Times New Roman"/>
        </w:rPr>
        <w:t xml:space="preserve"> </w:t>
      </w:r>
      <w:r w:rsidRPr="44BBC7B9" w:rsidR="00FE6443">
        <w:rPr>
          <w:rFonts w:hAnsi="Times New Roman" w:cs="Times New Roman"/>
        </w:rPr>
        <w:t>As OCC Expert Haugh explains in his testimony, t</w:t>
      </w:r>
      <w:r w:rsidRPr="44BBC7B9">
        <w:rPr>
          <w:rFonts w:hAnsi="Times New Roman" w:cs="Times New Roman"/>
        </w:rPr>
        <w:t xml:space="preserve">he </w:t>
      </w:r>
      <w:r w:rsidRPr="44BBC7B9">
        <w:rPr>
          <w:rFonts w:hAnsi="Times New Roman" w:cs="Times New Roman"/>
        </w:rPr>
        <w:t>A</w:t>
      </w:r>
      <w:r w:rsidRPr="44BBC7B9">
        <w:rPr>
          <w:rFonts w:hAnsi="Times New Roman" w:cs="Times New Roman"/>
        </w:rPr>
        <w:t xml:space="preserve">udit </w:t>
      </w:r>
      <w:r w:rsidRPr="44BBC7B9">
        <w:rPr>
          <w:rFonts w:hAnsi="Times New Roman" w:cs="Times New Roman"/>
        </w:rPr>
        <w:t>R</w:t>
      </w:r>
      <w:r w:rsidRPr="44BBC7B9">
        <w:rPr>
          <w:rFonts w:hAnsi="Times New Roman" w:cs="Times New Roman"/>
        </w:rPr>
        <w:t>eport clearly states that GCR customers were assessed the full costs associated with the propane use and “Exeter believes this to have been unreasonable.”</w:t>
      </w:r>
      <w:r>
        <w:rPr>
          <w:rFonts w:hAnsi="Times New Roman" w:cs="Times New Roman"/>
          <w:vertAlign w:val="superscript"/>
        </w:rPr>
        <w:footnoteReference w:id="34"/>
      </w:r>
      <w:r w:rsidRPr="44BBC7B9">
        <w:rPr>
          <w:rFonts w:hAnsi="Times New Roman" w:cs="Times New Roman"/>
        </w:rPr>
        <w:t xml:space="preserve"> </w:t>
      </w:r>
      <w:r w:rsidRPr="44BBC7B9" w:rsidR="00FE6443">
        <w:rPr>
          <w:rFonts w:hAnsi="Times New Roman" w:cs="Times New Roman"/>
        </w:rPr>
        <w:t>Mr. Haugh concludes that b</w:t>
      </w:r>
      <w:r w:rsidRPr="44BBC7B9">
        <w:rPr>
          <w:rFonts w:hAnsi="Times New Roman" w:cs="Times New Roman"/>
        </w:rPr>
        <w:t xml:space="preserve">ecause all customers benefited from using the propane, which kept Duke’s system running, all customers -- rather than </w:t>
      </w:r>
      <w:r w:rsidRPr="009A5E9A">
        <w:rPr>
          <w:rFonts w:hAnsi="Times New Roman" w:cs="Times New Roman"/>
        </w:rPr>
        <w:t xml:space="preserve">just </w:t>
      </w:r>
      <w:r w:rsidRPr="009A5E9A" w:rsidR="00717E65">
        <w:rPr>
          <w:rFonts w:hAnsi="Times New Roman" w:cs="Times New Roman"/>
        </w:rPr>
        <w:t xml:space="preserve">GCR </w:t>
      </w:r>
      <w:r w:rsidRPr="009A5E9A">
        <w:rPr>
          <w:rFonts w:hAnsi="Times New Roman" w:cs="Times New Roman"/>
        </w:rPr>
        <w:t>customers --</w:t>
      </w:r>
      <w:r w:rsidRPr="44BBC7B9">
        <w:rPr>
          <w:rFonts w:hAnsi="Times New Roman" w:cs="Times New Roman"/>
        </w:rPr>
        <w:t xml:space="preserve"> should pay for it.</w:t>
      </w:r>
      <w:r>
        <w:rPr>
          <w:rStyle w:val="FootnoteReference"/>
          <w:rFonts w:hAnsi="Times New Roman" w:cs="Times New Roman"/>
        </w:rPr>
        <w:footnoteReference w:id="35"/>
      </w:r>
    </w:p>
    <w:p w:rsidR="00D224FB" w:rsidRPr="00D224FB" w:rsidP="00D224FB">
      <w:pPr>
        <w:pStyle w:val="BodyA"/>
        <w:spacing w:line="480" w:lineRule="auto"/>
        <w:ind w:firstLine="720"/>
        <w:rPr>
          <w:rFonts w:hAnsi="Times New Roman" w:cs="Times New Roman"/>
          <w:bCs/>
          <w:iCs/>
        </w:rPr>
      </w:pPr>
      <w:r>
        <w:rPr>
          <w:rFonts w:hAnsi="Times New Roman" w:cs="Times New Roman"/>
          <w:bCs/>
          <w:iCs/>
        </w:rPr>
        <w:t xml:space="preserve">OCC Expert Witness Haugh also explains that </w:t>
      </w:r>
      <w:r w:rsidRPr="00D224FB">
        <w:rPr>
          <w:rFonts w:hAnsi="Times New Roman" w:cs="Times New Roman"/>
          <w:bCs/>
          <w:iCs/>
        </w:rPr>
        <w:t>E</w:t>
      </w:r>
      <w:r>
        <w:rPr>
          <w:rFonts w:hAnsi="Times New Roman" w:cs="Times New Roman"/>
          <w:bCs/>
          <w:iCs/>
        </w:rPr>
        <w:t>x</w:t>
      </w:r>
      <w:r w:rsidRPr="00D224FB">
        <w:rPr>
          <w:rFonts w:hAnsi="Times New Roman" w:cs="Times New Roman"/>
          <w:bCs/>
          <w:iCs/>
        </w:rPr>
        <w:t>eter found Duke’s GCR rates have been higher than the standard choice offers of the other three major natural gas distribution companies in the state.</w:t>
      </w:r>
      <w:r>
        <w:rPr>
          <w:rStyle w:val="FootnoteReference"/>
          <w:rFonts w:hAnsi="Times New Roman" w:cs="Times New Roman"/>
          <w:bCs/>
          <w:iCs/>
        </w:rPr>
        <w:footnoteReference w:id="36"/>
      </w:r>
      <w:r w:rsidRPr="00D224FB">
        <w:rPr>
          <w:rFonts w:hAnsi="Times New Roman" w:cs="Times New Roman"/>
          <w:bCs/>
          <w:iCs/>
        </w:rPr>
        <w:t xml:space="preserve"> Therefore, </w:t>
      </w:r>
      <w:r>
        <w:rPr>
          <w:rFonts w:hAnsi="Times New Roman" w:cs="Times New Roman"/>
          <w:bCs/>
          <w:iCs/>
        </w:rPr>
        <w:t xml:space="preserve">Mr. Haugh testified, </w:t>
      </w:r>
      <w:r w:rsidRPr="00D224FB">
        <w:rPr>
          <w:rFonts w:hAnsi="Times New Roman" w:cs="Times New Roman"/>
          <w:bCs/>
          <w:iCs/>
        </w:rPr>
        <w:t>it is appropriate to switch to a competitive auction process which has led to lower gas commodity prices for customers in other Ohio gas utility service territories.</w:t>
      </w:r>
      <w:r>
        <w:rPr>
          <w:rStyle w:val="FootnoteReference"/>
          <w:rFonts w:hAnsi="Times New Roman" w:cs="Times New Roman"/>
          <w:bCs/>
          <w:iCs/>
        </w:rPr>
        <w:footnoteReference w:id="37"/>
      </w:r>
      <w:r w:rsidRPr="00D224FB">
        <w:rPr>
          <w:rFonts w:hAnsi="Times New Roman" w:cs="Times New Roman"/>
          <w:bCs/>
          <w:iCs/>
        </w:rPr>
        <w:t xml:space="preserve"> </w:t>
      </w:r>
      <w:r>
        <w:rPr>
          <w:rFonts w:hAnsi="Times New Roman" w:cs="Times New Roman"/>
          <w:bCs/>
          <w:iCs/>
        </w:rPr>
        <w:t>According to Mr. Haugh, w</w:t>
      </w:r>
      <w:r w:rsidRPr="00D224FB">
        <w:rPr>
          <w:rFonts w:hAnsi="Times New Roman" w:cs="Times New Roman"/>
          <w:bCs/>
          <w:iCs/>
        </w:rPr>
        <w:t>ithout a requirement in the Settlement for this examination, the Settlement falls short of benefitting customers and the public interest.</w:t>
      </w:r>
      <w:r>
        <w:rPr>
          <w:rStyle w:val="FootnoteReference"/>
          <w:rFonts w:hAnsi="Times New Roman" w:cs="Times New Roman"/>
          <w:bCs/>
          <w:iCs/>
        </w:rPr>
        <w:footnoteReference w:id="38"/>
      </w:r>
      <w:r w:rsidRPr="00D224FB">
        <w:rPr>
          <w:rFonts w:hAnsi="Times New Roman" w:cs="Times New Roman"/>
          <w:bCs/>
          <w:iCs/>
        </w:rPr>
        <w:t xml:space="preserve"> </w:t>
      </w:r>
    </w:p>
    <w:p w:rsidR="00D224FB" w:rsidRPr="00D224FB" w:rsidP="00D224FB">
      <w:pPr>
        <w:pStyle w:val="BodyA"/>
        <w:spacing w:line="480" w:lineRule="auto"/>
        <w:ind w:firstLine="720"/>
        <w:rPr>
          <w:rFonts w:hAnsi="Times New Roman" w:cs="Times New Roman"/>
          <w:bCs/>
          <w:iCs/>
        </w:rPr>
      </w:pPr>
      <w:r w:rsidRPr="00D224FB">
        <w:rPr>
          <w:rFonts w:hAnsi="Times New Roman" w:cs="Times New Roman"/>
          <w:bCs/>
          <w:iCs/>
        </w:rPr>
        <w:t xml:space="preserve">Finally, </w:t>
      </w:r>
      <w:r w:rsidR="00FE6443">
        <w:rPr>
          <w:rFonts w:hAnsi="Times New Roman" w:cs="Times New Roman"/>
          <w:bCs/>
          <w:iCs/>
        </w:rPr>
        <w:t xml:space="preserve">OCC recommends that </w:t>
      </w:r>
      <w:r w:rsidRPr="00D224FB">
        <w:rPr>
          <w:rFonts w:hAnsi="Times New Roman" w:cs="Times New Roman"/>
          <w:bCs/>
          <w:iCs/>
        </w:rPr>
        <w:t xml:space="preserve">the Settlement should </w:t>
      </w:r>
      <w:r w:rsidR="007D5504">
        <w:rPr>
          <w:rFonts w:hAnsi="Times New Roman" w:cs="Times New Roman"/>
          <w:bCs/>
          <w:iCs/>
        </w:rPr>
        <w:t xml:space="preserve">be amended to </w:t>
      </w:r>
      <w:r w:rsidRPr="00D224FB">
        <w:rPr>
          <w:rFonts w:hAnsi="Times New Roman" w:cs="Times New Roman"/>
          <w:bCs/>
          <w:iCs/>
        </w:rPr>
        <w:t>require Duke to make information publicly available to consumers, to show cost differences between what GCR customers are paying versus what marketer customers are paying for their natural gas.</w:t>
      </w:r>
      <w:r>
        <w:rPr>
          <w:rStyle w:val="FootnoteReference"/>
          <w:rFonts w:hAnsi="Times New Roman" w:cs="Times New Roman"/>
          <w:bCs/>
          <w:iCs/>
        </w:rPr>
        <w:footnoteReference w:id="39"/>
      </w:r>
      <w:r w:rsidRPr="00D224FB">
        <w:rPr>
          <w:rFonts w:hAnsi="Times New Roman" w:cs="Times New Roman"/>
          <w:bCs/>
          <w:iCs/>
        </w:rPr>
        <w:t xml:space="preserve"> Without this requirement, the Settlement falls short of benefitting customers and the public interest.</w:t>
      </w:r>
      <w:r>
        <w:rPr>
          <w:rStyle w:val="FootnoteReference"/>
          <w:rFonts w:hAnsi="Times New Roman" w:cs="Times New Roman"/>
          <w:bCs/>
          <w:iCs/>
        </w:rPr>
        <w:footnoteReference w:id="40"/>
      </w:r>
      <w:r w:rsidRPr="00D224FB">
        <w:rPr>
          <w:rFonts w:hAnsi="Times New Roman" w:cs="Times New Roman"/>
          <w:bCs/>
          <w:iCs/>
        </w:rPr>
        <w:t xml:space="preserve"> </w:t>
      </w:r>
    </w:p>
    <w:p w:rsidR="007C1489" w:rsidP="006D30BD">
      <w:pPr>
        <w:pStyle w:val="Heading3"/>
      </w:pPr>
      <w:bookmarkStart w:id="6" w:name="_Toc22048350"/>
      <w:r>
        <w:t>1.</w:t>
      </w:r>
      <w:r>
        <w:tab/>
      </w:r>
      <w:r w:rsidR="00DE592E">
        <w:t>To benefit consumers, t</w:t>
      </w:r>
      <w:r>
        <w:t>he PUCO should amend the Settlement to properly allocate the propane commodity costs during the audit period and to require a refund of costs to the gas cost recovery customers.</w:t>
      </w:r>
      <w:bookmarkEnd w:id="6"/>
    </w:p>
    <w:p w:rsidR="00EE58A2" w:rsidP="009D2A7E">
      <w:pPr>
        <w:pStyle w:val="BodyA"/>
        <w:spacing w:line="480" w:lineRule="auto"/>
        <w:ind w:firstLine="720"/>
        <w:rPr>
          <w:rFonts w:hAnsi="Times New Roman" w:cs="Times New Roman"/>
          <w:bCs/>
          <w:iCs/>
        </w:rPr>
      </w:pPr>
      <w:r>
        <w:rPr>
          <w:rFonts w:hAnsi="Times New Roman" w:cs="Times New Roman"/>
          <w:bCs/>
          <w:iCs/>
        </w:rPr>
        <w:t>In his testimony, OCC Expert Witness Haugh concluded that a</w:t>
      </w:r>
      <w:r w:rsidR="00471413">
        <w:rPr>
          <w:rFonts w:hAnsi="Times New Roman" w:cs="Times New Roman"/>
          <w:bCs/>
          <w:iCs/>
        </w:rPr>
        <w:t xml:space="preserve">lthough the Settlement </w:t>
      </w:r>
      <w:r w:rsidR="00E62625">
        <w:rPr>
          <w:rFonts w:hAnsi="Times New Roman" w:cs="Times New Roman"/>
          <w:bCs/>
          <w:iCs/>
        </w:rPr>
        <w:t>addresses</w:t>
      </w:r>
      <w:r w:rsidR="00471413">
        <w:rPr>
          <w:rFonts w:hAnsi="Times New Roman" w:cs="Times New Roman"/>
          <w:bCs/>
          <w:iCs/>
        </w:rPr>
        <w:t xml:space="preserve"> the assignment of propane commodity costs, it does not address the incorrect and unreasonable allocation of costs that occurred during the audit period</w:t>
      </w:r>
      <w:r w:rsidR="00E62625">
        <w:rPr>
          <w:rFonts w:hAnsi="Times New Roman" w:cs="Times New Roman"/>
          <w:bCs/>
          <w:iCs/>
        </w:rPr>
        <w:t xml:space="preserve">, as </w:t>
      </w:r>
      <w:r w:rsidR="00DE592E">
        <w:rPr>
          <w:rFonts w:hAnsi="Times New Roman" w:cs="Times New Roman"/>
          <w:bCs/>
          <w:iCs/>
        </w:rPr>
        <w:t>detailed</w:t>
      </w:r>
      <w:r w:rsidR="00E62625">
        <w:rPr>
          <w:rFonts w:hAnsi="Times New Roman" w:cs="Times New Roman"/>
          <w:bCs/>
          <w:iCs/>
        </w:rPr>
        <w:t xml:space="preserve"> by Exeter</w:t>
      </w:r>
      <w:r w:rsidR="00471413">
        <w:rPr>
          <w:rFonts w:hAnsi="Times New Roman" w:cs="Times New Roman"/>
          <w:bCs/>
          <w:iCs/>
        </w:rPr>
        <w:t>.</w:t>
      </w:r>
      <w:r>
        <w:rPr>
          <w:rStyle w:val="FootnoteReference"/>
          <w:rFonts w:hAnsi="Times New Roman" w:cs="Times New Roman"/>
          <w:bCs/>
          <w:iCs/>
        </w:rPr>
        <w:footnoteReference w:id="41"/>
      </w:r>
      <w:r w:rsidR="00471413">
        <w:rPr>
          <w:rFonts w:hAnsi="Times New Roman" w:cs="Times New Roman"/>
          <w:bCs/>
          <w:iCs/>
        </w:rPr>
        <w:t xml:space="preserve"> </w:t>
      </w:r>
      <w:r>
        <w:rPr>
          <w:rFonts w:hAnsi="Times New Roman" w:cs="Times New Roman"/>
          <w:bCs/>
          <w:iCs/>
        </w:rPr>
        <w:t>Mr. Haugh recommends that t</w:t>
      </w:r>
      <w:r w:rsidRPr="00D224FB" w:rsidR="00D224FB">
        <w:rPr>
          <w:rFonts w:hAnsi="Times New Roman" w:cs="Times New Roman"/>
          <w:bCs/>
          <w:iCs/>
        </w:rPr>
        <w:t xml:space="preserve">he Settlement should </w:t>
      </w:r>
      <w:r w:rsidR="00B22D29">
        <w:rPr>
          <w:rFonts w:hAnsi="Times New Roman" w:cs="Times New Roman"/>
          <w:bCs/>
          <w:iCs/>
        </w:rPr>
        <w:t xml:space="preserve">therefore </w:t>
      </w:r>
      <w:r w:rsidRPr="00D224FB" w:rsidR="00D224FB">
        <w:rPr>
          <w:rFonts w:hAnsi="Times New Roman" w:cs="Times New Roman"/>
          <w:bCs/>
          <w:iCs/>
        </w:rPr>
        <w:t>be amended to properly allocate costs to all customers that benefitted from the use of the propane to balance the system during peak usage during the audit period.</w:t>
      </w:r>
      <w:r>
        <w:rPr>
          <w:rStyle w:val="FootnoteReference"/>
          <w:rFonts w:hAnsi="Times New Roman" w:cs="Times New Roman"/>
          <w:bCs/>
          <w:iCs/>
        </w:rPr>
        <w:footnoteReference w:id="42"/>
      </w:r>
      <w:r w:rsidRPr="00D224FB" w:rsidR="00D224FB">
        <w:rPr>
          <w:rFonts w:hAnsi="Times New Roman" w:cs="Times New Roman"/>
          <w:bCs/>
          <w:iCs/>
        </w:rPr>
        <w:t xml:space="preserve"> </w:t>
      </w:r>
    </w:p>
    <w:p w:rsidR="00012C8F" w:rsidP="009D2A7E">
      <w:pPr>
        <w:pStyle w:val="BodyA"/>
        <w:spacing w:line="480" w:lineRule="auto"/>
        <w:ind w:firstLine="720"/>
        <w:rPr>
          <w:b/>
          <w:bCs/>
        </w:rPr>
      </w:pPr>
      <w:r>
        <w:rPr>
          <w:rFonts w:hAnsi="Times New Roman" w:cs="Times New Roman"/>
          <w:bCs/>
          <w:iCs/>
        </w:rPr>
        <w:t>OCC Expert Witness Haugh</w:t>
      </w:r>
      <w:r w:rsidR="00717E65">
        <w:rPr>
          <w:rFonts w:hAnsi="Times New Roman" w:cs="Times New Roman"/>
          <w:bCs/>
          <w:iCs/>
        </w:rPr>
        <w:t xml:space="preserve"> also recommended that</w:t>
      </w:r>
      <w:r>
        <w:rPr>
          <w:rFonts w:hAnsi="Times New Roman" w:cs="Times New Roman"/>
          <w:bCs/>
          <w:iCs/>
        </w:rPr>
        <w:t>, t</w:t>
      </w:r>
      <w:r w:rsidRPr="00D224FB" w:rsidR="00D224FB">
        <w:rPr>
          <w:rFonts w:hAnsi="Times New Roman" w:cs="Times New Roman"/>
          <w:bCs/>
          <w:iCs/>
        </w:rPr>
        <w:t>he PUCO should follow Exeter’s recommendation to take the incremental costs incurred during the audit period and include those costs in Duke’s Contract Commitment Cost Recovery Rider (“CCCR”).</w:t>
      </w:r>
      <w:r>
        <w:rPr>
          <w:rStyle w:val="FootnoteReference"/>
          <w:rFonts w:hAnsi="Times New Roman" w:cs="Times New Roman"/>
          <w:bCs/>
          <w:iCs/>
        </w:rPr>
        <w:footnoteReference w:id="43"/>
      </w:r>
      <w:r w:rsidRPr="00D224FB" w:rsidR="00D224FB">
        <w:rPr>
          <w:rFonts w:hAnsi="Times New Roman" w:cs="Times New Roman"/>
          <w:bCs/>
          <w:iCs/>
        </w:rPr>
        <w:t xml:space="preserve"> </w:t>
      </w:r>
      <w:r>
        <w:rPr>
          <w:rFonts w:hAnsi="Times New Roman" w:cs="Times New Roman"/>
          <w:bCs/>
          <w:iCs/>
        </w:rPr>
        <w:t>Mr. Haugh explained in his testimony that t</w:t>
      </w:r>
      <w:r w:rsidRPr="00D224FB" w:rsidR="00D224FB">
        <w:rPr>
          <w:rFonts w:hAnsi="Times New Roman" w:cs="Times New Roman"/>
          <w:bCs/>
          <w:iCs/>
        </w:rPr>
        <w:t>he CCCR is set up to collect costs associated with pipeline capacity, storage commitments and propane costs.</w:t>
      </w:r>
      <w:r>
        <w:rPr>
          <w:rStyle w:val="FootnoteReference"/>
          <w:rFonts w:hAnsi="Times New Roman" w:cs="Times New Roman"/>
          <w:bCs/>
          <w:iCs/>
        </w:rPr>
        <w:footnoteReference w:id="44"/>
      </w:r>
      <w:r w:rsidRPr="00D224FB" w:rsidR="00D224FB">
        <w:rPr>
          <w:rFonts w:hAnsi="Times New Roman" w:cs="Times New Roman"/>
          <w:bCs/>
          <w:iCs/>
        </w:rPr>
        <w:t xml:space="preserve"> The propane costs should have been collected through this rider all along</w:t>
      </w:r>
      <w:r>
        <w:rPr>
          <w:rFonts w:hAnsi="Times New Roman" w:cs="Times New Roman"/>
          <w:bCs/>
          <w:iCs/>
        </w:rPr>
        <w:t>, asserts Mr. Haugh</w:t>
      </w:r>
      <w:r w:rsidRPr="00D224FB" w:rsidR="00D224FB">
        <w:rPr>
          <w:rFonts w:hAnsi="Times New Roman" w:cs="Times New Roman"/>
          <w:bCs/>
          <w:iCs/>
        </w:rPr>
        <w:t>.</w:t>
      </w:r>
      <w:r>
        <w:rPr>
          <w:rStyle w:val="FootnoteReference"/>
          <w:rFonts w:hAnsi="Times New Roman" w:cs="Times New Roman"/>
          <w:bCs/>
          <w:iCs/>
        </w:rPr>
        <w:footnoteReference w:id="45"/>
      </w:r>
      <w:r w:rsidRPr="00D224FB" w:rsidR="00D224FB">
        <w:rPr>
          <w:rFonts w:hAnsi="Times New Roman" w:cs="Times New Roman"/>
          <w:bCs/>
          <w:iCs/>
        </w:rPr>
        <w:t xml:space="preserve"> </w:t>
      </w:r>
      <w:r>
        <w:rPr>
          <w:rFonts w:hAnsi="Times New Roman" w:cs="Times New Roman"/>
          <w:bCs/>
          <w:iCs/>
        </w:rPr>
        <w:t>Therefore, Mr. Haugh concludes, the CCCR</w:t>
      </w:r>
      <w:r w:rsidRPr="00D224FB" w:rsidR="00D224FB">
        <w:rPr>
          <w:rFonts w:hAnsi="Times New Roman" w:cs="Times New Roman"/>
          <w:bCs/>
          <w:iCs/>
        </w:rPr>
        <w:t xml:space="preserve"> is the appropriate rider </w:t>
      </w:r>
      <w:r w:rsidR="00EE58A2">
        <w:rPr>
          <w:rFonts w:hAnsi="Times New Roman" w:cs="Times New Roman"/>
          <w:bCs/>
          <w:iCs/>
        </w:rPr>
        <w:t>for fairly</w:t>
      </w:r>
      <w:r w:rsidRPr="00D224FB" w:rsidR="00D224FB">
        <w:rPr>
          <w:rFonts w:hAnsi="Times New Roman" w:cs="Times New Roman"/>
          <w:bCs/>
          <w:iCs/>
        </w:rPr>
        <w:t xml:space="preserve"> allocat</w:t>
      </w:r>
      <w:r w:rsidR="00EE58A2">
        <w:rPr>
          <w:rFonts w:hAnsi="Times New Roman" w:cs="Times New Roman"/>
          <w:bCs/>
          <w:iCs/>
        </w:rPr>
        <w:t>ing</w:t>
      </w:r>
      <w:r w:rsidRPr="00D224FB" w:rsidR="00D224FB">
        <w:rPr>
          <w:rFonts w:hAnsi="Times New Roman" w:cs="Times New Roman"/>
          <w:bCs/>
          <w:iCs/>
        </w:rPr>
        <w:t xml:space="preserve"> the costs.</w:t>
      </w:r>
      <w:r>
        <w:rPr>
          <w:rStyle w:val="FootnoteReference"/>
          <w:rFonts w:hAnsi="Times New Roman" w:cs="Times New Roman"/>
          <w:bCs/>
          <w:iCs/>
        </w:rPr>
        <w:footnoteReference w:id="46"/>
      </w:r>
      <w:r w:rsidRPr="00D224FB" w:rsidR="00D224FB">
        <w:rPr>
          <w:rFonts w:hAnsi="Times New Roman" w:cs="Times New Roman"/>
          <w:bCs/>
          <w:iCs/>
        </w:rPr>
        <w:t xml:space="preserve"> </w:t>
      </w:r>
    </w:p>
    <w:p w:rsidR="00012C8F" w:rsidP="006D30BD">
      <w:pPr>
        <w:pStyle w:val="Heading3"/>
      </w:pPr>
      <w:bookmarkStart w:id="7" w:name="_Toc22048351"/>
      <w:r>
        <w:t>2.</w:t>
      </w:r>
      <w:r>
        <w:tab/>
      </w:r>
      <w:r w:rsidR="00DE592E">
        <w:t>To benefit consumers, t</w:t>
      </w:r>
      <w:r>
        <w:t xml:space="preserve">he PUCO should amend the Settlement by </w:t>
      </w:r>
      <w:r w:rsidR="00C61C43">
        <w:t>ordering</w:t>
      </w:r>
      <w:r>
        <w:t xml:space="preserve"> Duke to transition from the gas cost recovery to a </w:t>
      </w:r>
      <w:r w:rsidR="00CF7993">
        <w:t xml:space="preserve">competitive auction for the provision of the </w:t>
      </w:r>
      <w:r>
        <w:t>standard service offer.</w:t>
      </w:r>
      <w:bookmarkEnd w:id="7"/>
    </w:p>
    <w:p w:rsidR="000E5054" w:rsidP="000E5054">
      <w:pPr>
        <w:pStyle w:val="BodyA"/>
        <w:spacing w:line="480" w:lineRule="auto"/>
        <w:ind w:firstLine="720"/>
        <w:rPr>
          <w:rFonts w:hAnsi="Times New Roman" w:cs="Times New Roman"/>
          <w:bCs/>
          <w:iCs/>
        </w:rPr>
      </w:pPr>
      <w:r>
        <w:rPr>
          <w:rFonts w:hAnsi="Times New Roman" w:cs="Times New Roman"/>
          <w:bCs/>
          <w:iCs/>
        </w:rPr>
        <w:t>The Settlement does not require Duke to examine the potential benefits of transition</w:t>
      </w:r>
      <w:r w:rsidR="00DE592E">
        <w:rPr>
          <w:rFonts w:hAnsi="Times New Roman" w:cs="Times New Roman"/>
          <w:bCs/>
          <w:iCs/>
        </w:rPr>
        <w:t>ing</w:t>
      </w:r>
      <w:r>
        <w:rPr>
          <w:rFonts w:hAnsi="Times New Roman" w:cs="Times New Roman"/>
          <w:bCs/>
          <w:iCs/>
        </w:rPr>
        <w:t xml:space="preserve"> to a</w:t>
      </w:r>
      <w:r w:rsidR="009C15D2">
        <w:rPr>
          <w:rFonts w:hAnsi="Times New Roman" w:cs="Times New Roman"/>
          <w:bCs/>
          <w:iCs/>
        </w:rPr>
        <w:t xml:space="preserve"> competitive auction for the provision of the</w:t>
      </w:r>
      <w:r>
        <w:rPr>
          <w:rFonts w:hAnsi="Times New Roman" w:cs="Times New Roman"/>
          <w:bCs/>
          <w:iCs/>
        </w:rPr>
        <w:t xml:space="preserve"> standard offer for the supply of natural gas</w:t>
      </w:r>
      <w:r w:rsidR="006C0CC8">
        <w:rPr>
          <w:rFonts w:hAnsi="Times New Roman" w:cs="Times New Roman"/>
          <w:bCs/>
          <w:iCs/>
        </w:rPr>
        <w:t xml:space="preserve"> according to OCC Expert Witness Haugh.</w:t>
      </w:r>
      <w:r>
        <w:rPr>
          <w:rStyle w:val="FootnoteReference"/>
          <w:rFonts w:hAnsi="Times New Roman" w:cs="Times New Roman"/>
          <w:bCs/>
          <w:iCs/>
        </w:rPr>
        <w:footnoteReference w:id="47"/>
      </w:r>
      <w:r>
        <w:rPr>
          <w:rFonts w:hAnsi="Times New Roman" w:cs="Times New Roman"/>
          <w:bCs/>
          <w:iCs/>
        </w:rPr>
        <w:t xml:space="preserve"> </w:t>
      </w:r>
      <w:r w:rsidR="00FD4CA6">
        <w:rPr>
          <w:rFonts w:hAnsi="Times New Roman" w:cs="Times New Roman"/>
          <w:bCs/>
          <w:iCs/>
        </w:rPr>
        <w:t xml:space="preserve">But </w:t>
      </w:r>
      <w:r>
        <w:t>Duke should always be mindful of ways to help reduce natural gas costs for consumers.</w:t>
      </w:r>
      <w:r>
        <w:rPr>
          <w:rStyle w:val="FootnoteReference"/>
        </w:rPr>
        <w:footnoteReference w:id="48"/>
      </w:r>
      <w:r>
        <w:t xml:space="preserve"> And the public interest is best served when customers are safely provided the lowest rates possible.</w:t>
      </w:r>
      <w:r>
        <w:rPr>
          <w:rStyle w:val="FootnoteReference"/>
        </w:rPr>
        <w:footnoteReference w:id="49"/>
      </w:r>
      <w:r>
        <w:t xml:space="preserve"> In recent years, </w:t>
      </w:r>
      <w:r w:rsidR="00FD4CA6">
        <w:t xml:space="preserve">OCC Expert Haugh explains, </w:t>
      </w:r>
      <w:r>
        <w:t>the competitive standard offer auctions at the other large natural gas utilities in the state have produced lower rates for consumers.</w:t>
      </w:r>
      <w:r>
        <w:rPr>
          <w:rStyle w:val="FootnoteReference"/>
        </w:rPr>
        <w:footnoteReference w:id="50"/>
      </w:r>
      <w:r w:rsidR="003F5E62">
        <w:t xml:space="preserve"> </w:t>
      </w:r>
      <w:r w:rsidR="00FD4CA6">
        <w:t>Therefore, Mr. Haugh concludes, t</w:t>
      </w:r>
      <w:r>
        <w:rPr>
          <w:rFonts w:hAnsi="Times New Roman" w:cs="Times New Roman"/>
          <w:bCs/>
          <w:iCs/>
        </w:rPr>
        <w:t xml:space="preserve">he PUCO should amend the Settlement to </w:t>
      </w:r>
      <w:r w:rsidR="003F5E62">
        <w:rPr>
          <w:rFonts w:hAnsi="Times New Roman" w:cs="Times New Roman"/>
          <w:bCs/>
          <w:iCs/>
        </w:rPr>
        <w:t>require Duke to transition to a standard service offer procurement mechanism.</w:t>
      </w:r>
      <w:r>
        <w:rPr>
          <w:rStyle w:val="FootnoteReference"/>
          <w:rFonts w:hAnsi="Times New Roman" w:cs="Times New Roman"/>
          <w:bCs/>
          <w:iCs/>
        </w:rPr>
        <w:footnoteReference w:id="51"/>
      </w:r>
      <w:r>
        <w:rPr>
          <w:rFonts w:hAnsi="Times New Roman" w:cs="Times New Roman"/>
          <w:bCs/>
          <w:iCs/>
        </w:rPr>
        <w:t xml:space="preserve"> </w:t>
      </w:r>
    </w:p>
    <w:p w:rsidR="000E5054" w:rsidRPr="000E5054" w:rsidP="000E5054">
      <w:pPr>
        <w:pStyle w:val="BodyA"/>
        <w:spacing w:line="480" w:lineRule="auto"/>
        <w:ind w:firstLine="720"/>
        <w:rPr>
          <w:rFonts w:hAnsi="Times New Roman" w:cs="Times New Roman"/>
          <w:bCs/>
          <w:iCs/>
        </w:rPr>
      </w:pPr>
      <w:r>
        <w:rPr>
          <w:rFonts w:hAnsi="Times New Roman" w:cs="Times New Roman"/>
          <w:bCs/>
          <w:iCs/>
        </w:rPr>
        <w:t xml:space="preserve">Mr. Haugh explained that </w:t>
      </w:r>
      <w:r w:rsidRPr="000E5054">
        <w:rPr>
          <w:rFonts w:hAnsi="Times New Roman" w:cs="Times New Roman"/>
          <w:bCs/>
          <w:iCs/>
        </w:rPr>
        <w:t>Exeter found that from 2016 – 2018 the Duke GCR that customers pay averaged $0.684/Mcf more than the standard offer prices that the other major gas utilities in Ohio provide to their customers.</w:t>
      </w:r>
      <w:r>
        <w:rPr>
          <w:rStyle w:val="FootnoteReference"/>
          <w:rFonts w:hAnsi="Times New Roman" w:cs="Times New Roman"/>
          <w:bCs/>
          <w:iCs/>
        </w:rPr>
        <w:footnoteReference w:id="52"/>
      </w:r>
      <w:r w:rsidRPr="000E5054">
        <w:rPr>
          <w:rFonts w:hAnsi="Times New Roman" w:cs="Times New Roman"/>
          <w:bCs/>
          <w:iCs/>
        </w:rPr>
        <w:t xml:space="preserve"> </w:t>
      </w:r>
      <w:r>
        <w:rPr>
          <w:rFonts w:hAnsi="Times New Roman" w:cs="Times New Roman"/>
          <w:bCs/>
          <w:iCs/>
        </w:rPr>
        <w:t>Mr. Haugh suggests that s</w:t>
      </w:r>
      <w:r w:rsidRPr="000E5054">
        <w:rPr>
          <w:rFonts w:hAnsi="Times New Roman" w:cs="Times New Roman"/>
          <w:bCs/>
          <w:iCs/>
        </w:rPr>
        <w:t xml:space="preserve">ome might assert including Dominion East Ohio (“DEO”) </w:t>
      </w:r>
      <w:r w:rsidR="00DE592E">
        <w:rPr>
          <w:rFonts w:hAnsi="Times New Roman" w:cs="Times New Roman"/>
          <w:bCs/>
          <w:iCs/>
        </w:rPr>
        <w:t xml:space="preserve">in the analysis </w:t>
      </w:r>
      <w:r w:rsidRPr="000E5054">
        <w:rPr>
          <w:rFonts w:hAnsi="Times New Roman" w:cs="Times New Roman"/>
          <w:bCs/>
          <w:iCs/>
        </w:rPr>
        <w:t>is unreasonable due to DEO’s large on-system storage and close proximity to the Marcellus Shale gas reserves and, therefore, it should not be included in the comparison.</w:t>
      </w:r>
      <w:r>
        <w:rPr>
          <w:rStyle w:val="FootnoteReference"/>
          <w:rFonts w:hAnsi="Times New Roman" w:cs="Times New Roman"/>
          <w:bCs/>
          <w:iCs/>
        </w:rPr>
        <w:footnoteReference w:id="53"/>
      </w:r>
      <w:r w:rsidRPr="000E5054">
        <w:rPr>
          <w:rFonts w:hAnsi="Times New Roman" w:cs="Times New Roman"/>
          <w:bCs/>
          <w:iCs/>
        </w:rPr>
        <w:t xml:space="preserve"> As shown in the table below, however, even if DEO is removed from the comparison there is still a difference between Duke</w:t>
      </w:r>
      <w:r w:rsidR="00047A8B">
        <w:rPr>
          <w:rFonts w:hAnsi="Times New Roman" w:cs="Times New Roman"/>
          <w:bCs/>
          <w:iCs/>
        </w:rPr>
        <w:t>’s average GCR rate</w:t>
      </w:r>
      <w:r w:rsidRPr="000E5054">
        <w:rPr>
          <w:rFonts w:hAnsi="Times New Roman" w:cs="Times New Roman"/>
          <w:bCs/>
          <w:iCs/>
        </w:rPr>
        <w:t xml:space="preserve"> and the </w:t>
      </w:r>
      <w:r w:rsidR="00047A8B">
        <w:rPr>
          <w:rFonts w:hAnsi="Times New Roman" w:cs="Times New Roman"/>
          <w:bCs/>
          <w:iCs/>
        </w:rPr>
        <w:t xml:space="preserve">average </w:t>
      </w:r>
      <w:r w:rsidRPr="000E5054">
        <w:rPr>
          <w:rFonts w:hAnsi="Times New Roman" w:cs="Times New Roman"/>
          <w:bCs/>
          <w:iCs/>
        </w:rPr>
        <w:t>standard offer</w:t>
      </w:r>
      <w:r w:rsidR="00047A8B">
        <w:rPr>
          <w:rFonts w:hAnsi="Times New Roman" w:cs="Times New Roman"/>
          <w:bCs/>
          <w:iCs/>
        </w:rPr>
        <w:t xml:space="preserve"> rates for</w:t>
      </w:r>
      <w:r w:rsidRPr="000E5054">
        <w:rPr>
          <w:rFonts w:hAnsi="Times New Roman" w:cs="Times New Roman"/>
          <w:bCs/>
          <w:iCs/>
        </w:rPr>
        <w:t xml:space="preserve"> Vectren Energy Delivery Ohio (“VEDO”) and Columbia Gas of Ohio</w:t>
      </w:r>
      <w:r w:rsidR="00047A8B">
        <w:rPr>
          <w:rFonts w:hAnsi="Times New Roman" w:cs="Times New Roman"/>
          <w:bCs/>
          <w:iCs/>
        </w:rPr>
        <w:t>.  On average, consumers in Duke’s service area paid</w:t>
      </w:r>
      <w:r w:rsidRPr="000E5054">
        <w:rPr>
          <w:rFonts w:hAnsi="Times New Roman" w:cs="Times New Roman"/>
          <w:bCs/>
          <w:iCs/>
        </w:rPr>
        <w:t xml:space="preserve"> $0.225/Mcf more during the three-year period.</w:t>
      </w:r>
      <w:r>
        <w:rPr>
          <w:rStyle w:val="FootnoteReference"/>
          <w:rFonts w:hAnsi="Times New Roman" w:cs="Times New Roman"/>
          <w:bCs/>
          <w:iCs/>
        </w:rPr>
        <w:footnoteReference w:id="54"/>
      </w:r>
      <w:r w:rsidRPr="000E5054">
        <w:rPr>
          <w:rFonts w:hAnsi="Times New Roman" w:cs="Times New Roman"/>
          <w:bCs/>
          <w:iCs/>
        </w:rPr>
        <w:t xml:space="preserve"> </w:t>
      </w:r>
    </w:p>
    <w:p w:rsidR="000E5054" w:rsidP="000E5054">
      <w:pPr>
        <w:pStyle w:val="BodyA"/>
        <w:spacing w:line="480" w:lineRule="auto"/>
        <w:ind w:firstLine="720"/>
        <w:rPr>
          <w:rFonts w:hAnsi="Times New Roman" w:cs="Times New Roman"/>
          <w:bCs/>
          <w:iCs/>
        </w:rPr>
      </w:pPr>
      <w:r w:rsidRPr="000E5054">
        <w:rPr>
          <w:rFonts w:hAnsi="Times New Roman" w:cs="Times New Roman"/>
          <w:bCs/>
          <w:iCs/>
        </w:rPr>
        <w:t xml:space="preserve">Further, </w:t>
      </w:r>
      <w:r w:rsidR="00FD4CA6">
        <w:rPr>
          <w:rFonts w:hAnsi="Times New Roman" w:cs="Times New Roman"/>
          <w:bCs/>
          <w:iCs/>
        </w:rPr>
        <w:t xml:space="preserve">explains Mr. Haugh, </w:t>
      </w:r>
      <w:r w:rsidRPr="000E5054">
        <w:rPr>
          <w:rFonts w:hAnsi="Times New Roman" w:cs="Times New Roman"/>
          <w:bCs/>
          <w:iCs/>
        </w:rPr>
        <w:t>Exeter found that Duke’s hedging activities averaged approximately $0.40/Mcf as a cost to GCR consumers.</w:t>
      </w:r>
      <w:r>
        <w:rPr>
          <w:rStyle w:val="FootnoteReference"/>
          <w:rFonts w:hAnsi="Times New Roman" w:cs="Times New Roman"/>
          <w:bCs/>
          <w:iCs/>
        </w:rPr>
        <w:footnoteReference w:id="55"/>
      </w:r>
      <w:r w:rsidRPr="000E5054">
        <w:rPr>
          <w:rFonts w:hAnsi="Times New Roman" w:cs="Times New Roman"/>
          <w:bCs/>
          <w:iCs/>
        </w:rPr>
        <w:t xml:space="preserve"> The costs associated with hedging would be unnecessary if Duke transitioned from the GCR to a competitive auction process similar to the COH and DEO SCO</w:t>
      </w:r>
      <w:r w:rsidR="00FD4CA6">
        <w:rPr>
          <w:rFonts w:hAnsi="Times New Roman" w:cs="Times New Roman"/>
          <w:bCs/>
          <w:iCs/>
        </w:rPr>
        <w:t>, Mr. Haugh reasoned</w:t>
      </w:r>
      <w:r w:rsidRPr="000E5054">
        <w:rPr>
          <w:rFonts w:hAnsi="Times New Roman" w:cs="Times New Roman"/>
          <w:bCs/>
          <w:iCs/>
        </w:rPr>
        <w:t>.</w:t>
      </w:r>
      <w:r>
        <w:rPr>
          <w:rStyle w:val="FootnoteReference"/>
          <w:rFonts w:hAnsi="Times New Roman" w:cs="Times New Roman"/>
          <w:bCs/>
          <w:iCs/>
        </w:rPr>
        <w:footnoteReference w:id="56"/>
      </w:r>
      <w:r w:rsidRPr="000E5054">
        <w:rPr>
          <w:rFonts w:hAnsi="Times New Roman" w:cs="Times New Roman"/>
          <w:bCs/>
          <w:iCs/>
        </w:rPr>
        <w:t xml:space="preserve"> </w:t>
      </w:r>
    </w:p>
    <w:tbl>
      <w:tblPr>
        <w:tblW w:w="7780" w:type="dxa"/>
        <w:jc w:val="center"/>
        <w:tblInd w:w="0" w:type="dxa"/>
        <w:tblCellMar>
          <w:top w:w="0" w:type="dxa"/>
          <w:left w:w="108" w:type="dxa"/>
          <w:bottom w:w="0" w:type="dxa"/>
          <w:right w:w="108" w:type="dxa"/>
        </w:tblCellMar>
        <w:tblLook w:val="04A0"/>
      </w:tblPr>
      <w:tblGrid>
        <w:gridCol w:w="2836"/>
        <w:gridCol w:w="1236"/>
        <w:gridCol w:w="1236"/>
        <w:gridCol w:w="1236"/>
        <w:gridCol w:w="1236"/>
      </w:tblGrid>
      <w:tr w:rsidTr="000E5054">
        <w:tblPrEx>
          <w:tblW w:w="7780" w:type="dxa"/>
          <w:jc w:val="center"/>
          <w:tblInd w:w="0" w:type="dxa"/>
          <w:tblCellMar>
            <w:top w:w="0" w:type="dxa"/>
            <w:left w:w="108" w:type="dxa"/>
            <w:bottom w:w="0" w:type="dxa"/>
            <w:right w:w="108" w:type="dxa"/>
          </w:tblCellMar>
          <w:tblLook w:val="04A0"/>
        </w:tblPrEx>
        <w:trPr>
          <w:trHeight w:val="300"/>
          <w:jc w:val="center"/>
        </w:trPr>
        <w:tc>
          <w:tcPr>
            <w:tcW w:w="7780" w:type="dxa"/>
            <w:gridSpan w:val="5"/>
            <w:tcBorders>
              <w:top w:val="nil"/>
              <w:left w:val="nil"/>
              <w:bottom w:val="nil"/>
              <w:right w:val="nil"/>
            </w:tcBorders>
            <w:shd w:val="clear" w:color="auto" w:fill="auto"/>
            <w:noWrap/>
            <w:vAlign w:val="bottom"/>
            <w:hideMark/>
          </w:tcPr>
          <w:p w:rsidR="000E5054" w:rsidRPr="00EF7723" w:rsidP="00567430">
            <w:pPr>
              <w:jc w:val="center"/>
              <w:rPr>
                <w:rStyle w:val="DefaultParagraphFont"/>
                <w:color w:val="000000"/>
                <w:sz w:val="24"/>
                <w:szCs w:val="24"/>
                <w:lang w:val="en-US" w:eastAsia="en-US" w:bidi="ar-SA"/>
              </w:rPr>
            </w:pPr>
            <w:r w:rsidRPr="00EF7723">
              <w:rPr>
                <w:color w:val="000000"/>
                <w:sz w:val="24"/>
                <w:szCs w:val="24"/>
                <w:lang w:val="en-US" w:eastAsia="en-US" w:bidi="ar-SA"/>
              </w:rPr>
              <w:t>Comparison of Duke GCR vs COH and VEDO (per Mcf)</w:t>
            </w:r>
          </w:p>
        </w:tc>
      </w:tr>
      <w:tr w:rsidTr="000E5054">
        <w:tblPrEx>
          <w:tblW w:w="7780" w:type="dxa"/>
          <w:jc w:val="center"/>
          <w:tblInd w:w="0" w:type="dxa"/>
          <w:tblCellMar>
            <w:top w:w="0" w:type="dxa"/>
            <w:left w:w="108" w:type="dxa"/>
            <w:bottom w:w="0" w:type="dxa"/>
            <w:right w:w="108" w:type="dxa"/>
          </w:tblCellMar>
          <w:tblLook w:val="04A0"/>
        </w:tblPrEx>
        <w:trPr>
          <w:trHeight w:val="300"/>
          <w:jc w:val="center"/>
        </w:trPr>
        <w:tc>
          <w:tcPr>
            <w:tcW w:w="2836" w:type="dxa"/>
            <w:tcBorders>
              <w:top w:val="nil"/>
              <w:left w:val="nil"/>
              <w:bottom w:val="nil"/>
              <w:right w:val="nil"/>
            </w:tcBorders>
            <w:shd w:val="clear" w:color="auto" w:fill="auto"/>
            <w:noWrap/>
            <w:vAlign w:val="bottom"/>
            <w:hideMark/>
          </w:tcPr>
          <w:p w:rsidR="000E5054" w:rsidRPr="00EF7723" w:rsidP="00567430">
            <w:pPr>
              <w:jc w:val="center"/>
              <w:rPr>
                <w:rStyle w:val="DefaultParagraphFont"/>
                <w:color w:val="000000"/>
                <w:sz w:val="24"/>
                <w:szCs w:val="24"/>
                <w:lang w:val="en-US" w:eastAsia="en-US" w:bidi="ar-SA"/>
              </w:rPr>
            </w:pPr>
          </w:p>
        </w:tc>
        <w:tc>
          <w:tcPr>
            <w:tcW w:w="1236" w:type="dxa"/>
            <w:tcBorders>
              <w:top w:val="nil"/>
              <w:left w:val="nil"/>
              <w:bottom w:val="nil"/>
              <w:right w:val="nil"/>
            </w:tcBorders>
            <w:shd w:val="clear" w:color="auto" w:fill="auto"/>
            <w:noWrap/>
            <w:vAlign w:val="bottom"/>
            <w:hideMark/>
          </w:tcPr>
          <w:p w:rsidR="000E5054" w:rsidRPr="00EF7723" w:rsidP="00567430">
            <w:pPr>
              <w:jc w:val="right"/>
              <w:rPr>
                <w:rStyle w:val="DefaultParagraphFont"/>
                <w:color w:val="000000"/>
                <w:sz w:val="24"/>
                <w:szCs w:val="24"/>
                <w:lang w:val="en-US" w:eastAsia="en-US" w:bidi="ar-SA"/>
              </w:rPr>
            </w:pPr>
            <w:r w:rsidRPr="00EF7723">
              <w:rPr>
                <w:color w:val="000000"/>
                <w:sz w:val="24"/>
                <w:szCs w:val="24"/>
                <w:lang w:val="en-US" w:eastAsia="en-US" w:bidi="ar-SA"/>
              </w:rPr>
              <w:t>2016</w:t>
            </w:r>
          </w:p>
        </w:tc>
        <w:tc>
          <w:tcPr>
            <w:tcW w:w="1236" w:type="dxa"/>
            <w:tcBorders>
              <w:top w:val="nil"/>
              <w:left w:val="nil"/>
              <w:bottom w:val="nil"/>
              <w:right w:val="nil"/>
            </w:tcBorders>
            <w:shd w:val="clear" w:color="auto" w:fill="auto"/>
            <w:noWrap/>
            <w:vAlign w:val="bottom"/>
            <w:hideMark/>
          </w:tcPr>
          <w:p w:rsidR="000E5054" w:rsidRPr="00EF7723" w:rsidP="00567430">
            <w:pPr>
              <w:jc w:val="right"/>
              <w:rPr>
                <w:rStyle w:val="DefaultParagraphFont"/>
                <w:color w:val="000000"/>
                <w:sz w:val="24"/>
                <w:szCs w:val="24"/>
                <w:lang w:val="en-US" w:eastAsia="en-US" w:bidi="ar-SA"/>
              </w:rPr>
            </w:pPr>
            <w:r w:rsidRPr="00EF7723">
              <w:rPr>
                <w:color w:val="000000"/>
                <w:sz w:val="24"/>
                <w:szCs w:val="24"/>
                <w:lang w:val="en-US" w:eastAsia="en-US" w:bidi="ar-SA"/>
              </w:rPr>
              <w:t>2017</w:t>
            </w:r>
          </w:p>
        </w:tc>
        <w:tc>
          <w:tcPr>
            <w:tcW w:w="1236" w:type="dxa"/>
            <w:tcBorders>
              <w:top w:val="nil"/>
              <w:left w:val="nil"/>
              <w:bottom w:val="nil"/>
              <w:right w:val="nil"/>
            </w:tcBorders>
            <w:shd w:val="clear" w:color="auto" w:fill="auto"/>
            <w:noWrap/>
            <w:vAlign w:val="bottom"/>
            <w:hideMark/>
          </w:tcPr>
          <w:p w:rsidR="000E5054" w:rsidRPr="00EF7723" w:rsidP="00567430">
            <w:pPr>
              <w:jc w:val="right"/>
              <w:rPr>
                <w:rStyle w:val="DefaultParagraphFont"/>
                <w:color w:val="000000"/>
                <w:sz w:val="24"/>
                <w:szCs w:val="24"/>
                <w:lang w:val="en-US" w:eastAsia="en-US" w:bidi="ar-SA"/>
              </w:rPr>
            </w:pPr>
            <w:r w:rsidRPr="00EF7723">
              <w:rPr>
                <w:color w:val="000000"/>
                <w:sz w:val="24"/>
                <w:szCs w:val="24"/>
                <w:lang w:val="en-US" w:eastAsia="en-US" w:bidi="ar-SA"/>
              </w:rPr>
              <w:t>2018</w:t>
            </w:r>
          </w:p>
        </w:tc>
        <w:tc>
          <w:tcPr>
            <w:tcW w:w="1236" w:type="dxa"/>
            <w:tcBorders>
              <w:top w:val="nil"/>
              <w:left w:val="nil"/>
              <w:bottom w:val="nil"/>
              <w:right w:val="nil"/>
            </w:tcBorders>
            <w:shd w:val="clear" w:color="auto" w:fill="auto"/>
            <w:noWrap/>
            <w:vAlign w:val="bottom"/>
            <w:hideMark/>
          </w:tcPr>
          <w:p w:rsidR="000E5054" w:rsidRPr="00EF7723" w:rsidP="00567430">
            <w:pPr>
              <w:rPr>
                <w:rStyle w:val="DefaultParagraphFont"/>
                <w:color w:val="000000"/>
                <w:sz w:val="24"/>
                <w:szCs w:val="24"/>
                <w:lang w:val="en-US" w:eastAsia="en-US" w:bidi="ar-SA"/>
              </w:rPr>
            </w:pPr>
            <w:r w:rsidRPr="00EF7723">
              <w:rPr>
                <w:color w:val="000000"/>
                <w:sz w:val="24"/>
                <w:szCs w:val="24"/>
                <w:lang w:val="en-US" w:eastAsia="en-US" w:bidi="ar-SA"/>
              </w:rPr>
              <w:t>Average</w:t>
            </w:r>
          </w:p>
        </w:tc>
      </w:tr>
      <w:tr w:rsidTr="000E5054">
        <w:tblPrEx>
          <w:tblW w:w="7780" w:type="dxa"/>
          <w:jc w:val="center"/>
          <w:tblInd w:w="0" w:type="dxa"/>
          <w:tblCellMar>
            <w:top w:w="0" w:type="dxa"/>
            <w:left w:w="108" w:type="dxa"/>
            <w:bottom w:w="0" w:type="dxa"/>
            <w:right w:w="108" w:type="dxa"/>
          </w:tblCellMar>
          <w:tblLook w:val="04A0"/>
        </w:tblPrEx>
        <w:trPr>
          <w:trHeight w:val="300"/>
          <w:jc w:val="center"/>
        </w:trPr>
        <w:tc>
          <w:tcPr>
            <w:tcW w:w="2836" w:type="dxa"/>
            <w:tcBorders>
              <w:top w:val="nil"/>
              <w:left w:val="nil"/>
              <w:bottom w:val="nil"/>
              <w:right w:val="nil"/>
            </w:tcBorders>
            <w:shd w:val="clear" w:color="auto" w:fill="auto"/>
            <w:noWrap/>
            <w:vAlign w:val="bottom"/>
            <w:hideMark/>
          </w:tcPr>
          <w:p w:rsidR="000E5054" w:rsidRPr="00EF7723" w:rsidP="00567430">
            <w:pPr>
              <w:rPr>
                <w:rStyle w:val="DefaultParagraphFont"/>
                <w:color w:val="000000"/>
                <w:sz w:val="24"/>
                <w:szCs w:val="24"/>
                <w:lang w:val="en-US" w:eastAsia="en-US" w:bidi="ar-SA"/>
              </w:rPr>
            </w:pPr>
            <w:r w:rsidRPr="00EF7723">
              <w:rPr>
                <w:color w:val="000000"/>
                <w:sz w:val="24"/>
                <w:szCs w:val="24"/>
                <w:lang w:val="en-US" w:eastAsia="en-US" w:bidi="ar-SA"/>
              </w:rPr>
              <w:t>COH</w:t>
            </w:r>
          </w:p>
        </w:tc>
        <w:tc>
          <w:tcPr>
            <w:tcW w:w="1236" w:type="dxa"/>
            <w:tcBorders>
              <w:top w:val="nil"/>
              <w:left w:val="nil"/>
              <w:bottom w:val="nil"/>
              <w:right w:val="nil"/>
            </w:tcBorders>
            <w:shd w:val="clear" w:color="auto" w:fill="auto"/>
            <w:noWrap/>
            <w:vAlign w:val="bottom"/>
            <w:hideMark/>
          </w:tcPr>
          <w:p w:rsidR="000E5054" w:rsidRPr="00EF7723" w:rsidP="00567430">
            <w:pPr>
              <w:rPr>
                <w:rStyle w:val="DefaultParagraphFont"/>
                <w:color w:val="000000"/>
                <w:sz w:val="24"/>
                <w:szCs w:val="24"/>
                <w:lang w:val="en-US" w:eastAsia="en-US" w:bidi="ar-SA"/>
              </w:rPr>
            </w:pPr>
            <w:r w:rsidRPr="00EF7723">
              <w:rPr>
                <w:color w:val="000000"/>
                <w:sz w:val="24"/>
                <w:szCs w:val="24"/>
                <w:lang w:val="en-US" w:eastAsia="en-US" w:bidi="ar-SA"/>
              </w:rPr>
              <w:t xml:space="preserve"> $ 3.6504 </w:t>
            </w:r>
          </w:p>
        </w:tc>
        <w:tc>
          <w:tcPr>
            <w:tcW w:w="1236" w:type="dxa"/>
            <w:tcBorders>
              <w:top w:val="nil"/>
              <w:left w:val="nil"/>
              <w:bottom w:val="nil"/>
              <w:right w:val="nil"/>
            </w:tcBorders>
            <w:shd w:val="clear" w:color="auto" w:fill="auto"/>
            <w:noWrap/>
            <w:vAlign w:val="bottom"/>
            <w:hideMark/>
          </w:tcPr>
          <w:p w:rsidR="000E5054" w:rsidRPr="00EF7723" w:rsidP="00567430">
            <w:pPr>
              <w:rPr>
                <w:rStyle w:val="DefaultParagraphFont"/>
                <w:color w:val="000000"/>
                <w:sz w:val="24"/>
                <w:szCs w:val="24"/>
                <w:lang w:val="en-US" w:eastAsia="en-US" w:bidi="ar-SA"/>
              </w:rPr>
            </w:pPr>
            <w:r w:rsidRPr="00EF7723">
              <w:rPr>
                <w:color w:val="000000"/>
                <w:sz w:val="24"/>
                <w:szCs w:val="24"/>
                <w:lang w:val="en-US" w:eastAsia="en-US" w:bidi="ar-SA"/>
              </w:rPr>
              <w:t xml:space="preserve"> $ 4.6378 </w:t>
            </w:r>
          </w:p>
        </w:tc>
        <w:tc>
          <w:tcPr>
            <w:tcW w:w="1236" w:type="dxa"/>
            <w:tcBorders>
              <w:top w:val="nil"/>
              <w:left w:val="nil"/>
              <w:bottom w:val="nil"/>
              <w:right w:val="nil"/>
            </w:tcBorders>
            <w:shd w:val="clear" w:color="auto" w:fill="auto"/>
            <w:noWrap/>
            <w:vAlign w:val="bottom"/>
            <w:hideMark/>
          </w:tcPr>
          <w:p w:rsidR="000E5054" w:rsidRPr="00EF7723" w:rsidP="00567430">
            <w:pPr>
              <w:rPr>
                <w:rStyle w:val="DefaultParagraphFont"/>
                <w:color w:val="000000"/>
                <w:sz w:val="24"/>
                <w:szCs w:val="24"/>
                <w:lang w:val="en-US" w:eastAsia="en-US" w:bidi="ar-SA"/>
              </w:rPr>
            </w:pPr>
            <w:r w:rsidRPr="00EF7723">
              <w:rPr>
                <w:color w:val="000000"/>
                <w:sz w:val="24"/>
                <w:szCs w:val="24"/>
                <w:lang w:val="en-US" w:eastAsia="en-US" w:bidi="ar-SA"/>
              </w:rPr>
              <w:t xml:space="preserve"> $ 4.3742 </w:t>
            </w:r>
          </w:p>
        </w:tc>
        <w:tc>
          <w:tcPr>
            <w:tcW w:w="1236" w:type="dxa"/>
            <w:tcBorders>
              <w:top w:val="nil"/>
              <w:left w:val="nil"/>
              <w:bottom w:val="nil"/>
              <w:right w:val="nil"/>
            </w:tcBorders>
            <w:shd w:val="clear" w:color="auto" w:fill="auto"/>
            <w:noWrap/>
            <w:vAlign w:val="bottom"/>
            <w:hideMark/>
          </w:tcPr>
          <w:p w:rsidR="000E5054" w:rsidRPr="00EF7723" w:rsidP="00567430">
            <w:pPr>
              <w:rPr>
                <w:rStyle w:val="DefaultParagraphFont"/>
                <w:color w:val="000000"/>
                <w:sz w:val="24"/>
                <w:szCs w:val="24"/>
                <w:lang w:val="en-US" w:eastAsia="en-US" w:bidi="ar-SA"/>
              </w:rPr>
            </w:pPr>
            <w:r w:rsidRPr="00EF7723">
              <w:rPr>
                <w:color w:val="000000"/>
                <w:sz w:val="24"/>
                <w:szCs w:val="24"/>
                <w:lang w:val="en-US" w:eastAsia="en-US" w:bidi="ar-SA"/>
              </w:rPr>
              <w:t xml:space="preserve"> $ 4.2208 </w:t>
            </w:r>
          </w:p>
        </w:tc>
      </w:tr>
      <w:tr w:rsidTr="000E5054">
        <w:tblPrEx>
          <w:tblW w:w="7780" w:type="dxa"/>
          <w:jc w:val="center"/>
          <w:tblInd w:w="0" w:type="dxa"/>
          <w:tblCellMar>
            <w:top w:w="0" w:type="dxa"/>
            <w:left w:w="108" w:type="dxa"/>
            <w:bottom w:w="0" w:type="dxa"/>
            <w:right w:w="108" w:type="dxa"/>
          </w:tblCellMar>
          <w:tblLook w:val="04A0"/>
        </w:tblPrEx>
        <w:trPr>
          <w:trHeight w:val="300"/>
          <w:jc w:val="center"/>
        </w:trPr>
        <w:tc>
          <w:tcPr>
            <w:tcW w:w="2836" w:type="dxa"/>
            <w:tcBorders>
              <w:top w:val="nil"/>
              <w:left w:val="nil"/>
              <w:bottom w:val="nil"/>
              <w:right w:val="nil"/>
            </w:tcBorders>
            <w:shd w:val="clear" w:color="auto" w:fill="auto"/>
            <w:noWrap/>
            <w:vAlign w:val="bottom"/>
            <w:hideMark/>
          </w:tcPr>
          <w:p w:rsidR="000E5054" w:rsidRPr="00EF7723" w:rsidP="00567430">
            <w:pPr>
              <w:rPr>
                <w:rStyle w:val="DefaultParagraphFont"/>
                <w:color w:val="000000"/>
                <w:sz w:val="24"/>
                <w:szCs w:val="24"/>
                <w:lang w:val="en-US" w:eastAsia="en-US" w:bidi="ar-SA"/>
              </w:rPr>
            </w:pPr>
            <w:r w:rsidRPr="00EF7723">
              <w:rPr>
                <w:color w:val="000000"/>
                <w:sz w:val="24"/>
                <w:szCs w:val="24"/>
                <w:lang w:val="en-US" w:eastAsia="en-US" w:bidi="ar-SA"/>
              </w:rPr>
              <w:t xml:space="preserve">VEDO </w:t>
            </w:r>
          </w:p>
        </w:tc>
        <w:tc>
          <w:tcPr>
            <w:tcW w:w="1236" w:type="dxa"/>
            <w:tcBorders>
              <w:top w:val="nil"/>
              <w:left w:val="nil"/>
              <w:bottom w:val="nil"/>
              <w:right w:val="nil"/>
            </w:tcBorders>
            <w:shd w:val="clear" w:color="auto" w:fill="auto"/>
            <w:noWrap/>
            <w:vAlign w:val="bottom"/>
            <w:hideMark/>
          </w:tcPr>
          <w:p w:rsidR="000E5054" w:rsidRPr="00EF7723" w:rsidP="00567430">
            <w:pPr>
              <w:rPr>
                <w:rStyle w:val="DefaultParagraphFont"/>
                <w:color w:val="000000"/>
                <w:sz w:val="24"/>
                <w:szCs w:val="24"/>
                <w:lang w:val="en-US" w:eastAsia="en-US" w:bidi="ar-SA"/>
              </w:rPr>
            </w:pPr>
            <w:r w:rsidRPr="00EF7723">
              <w:rPr>
                <w:color w:val="000000"/>
                <w:sz w:val="24"/>
                <w:szCs w:val="24"/>
                <w:lang w:val="en-US" w:eastAsia="en-US" w:bidi="ar-SA"/>
              </w:rPr>
              <w:t xml:space="preserve"> $ 3.9667 </w:t>
            </w:r>
          </w:p>
        </w:tc>
        <w:tc>
          <w:tcPr>
            <w:tcW w:w="1236" w:type="dxa"/>
            <w:tcBorders>
              <w:top w:val="nil"/>
              <w:left w:val="nil"/>
              <w:bottom w:val="nil"/>
              <w:right w:val="nil"/>
            </w:tcBorders>
            <w:shd w:val="clear" w:color="auto" w:fill="auto"/>
            <w:noWrap/>
            <w:vAlign w:val="bottom"/>
            <w:hideMark/>
          </w:tcPr>
          <w:p w:rsidR="000E5054" w:rsidRPr="00EF7723" w:rsidP="00567430">
            <w:pPr>
              <w:rPr>
                <w:rStyle w:val="DefaultParagraphFont"/>
                <w:color w:val="000000"/>
                <w:sz w:val="24"/>
                <w:szCs w:val="24"/>
                <w:lang w:val="en-US" w:eastAsia="en-US" w:bidi="ar-SA"/>
              </w:rPr>
            </w:pPr>
            <w:r w:rsidRPr="00EF7723">
              <w:rPr>
                <w:color w:val="000000"/>
                <w:sz w:val="24"/>
                <w:szCs w:val="24"/>
                <w:lang w:val="en-US" w:eastAsia="en-US" w:bidi="ar-SA"/>
              </w:rPr>
              <w:t xml:space="preserve"> $ 4.6375 </w:t>
            </w:r>
          </w:p>
        </w:tc>
        <w:tc>
          <w:tcPr>
            <w:tcW w:w="1236" w:type="dxa"/>
            <w:tcBorders>
              <w:top w:val="nil"/>
              <w:left w:val="nil"/>
              <w:bottom w:val="nil"/>
              <w:right w:val="nil"/>
            </w:tcBorders>
            <w:shd w:val="clear" w:color="auto" w:fill="auto"/>
            <w:noWrap/>
            <w:vAlign w:val="bottom"/>
            <w:hideMark/>
          </w:tcPr>
          <w:p w:rsidR="000E5054" w:rsidRPr="00EF7723" w:rsidP="00567430">
            <w:pPr>
              <w:rPr>
                <w:rStyle w:val="DefaultParagraphFont"/>
                <w:color w:val="000000"/>
                <w:sz w:val="24"/>
                <w:szCs w:val="24"/>
                <w:lang w:val="en-US" w:eastAsia="en-US" w:bidi="ar-SA"/>
              </w:rPr>
            </w:pPr>
            <w:r w:rsidRPr="00EF7723">
              <w:rPr>
                <w:color w:val="000000"/>
                <w:sz w:val="24"/>
                <w:szCs w:val="24"/>
                <w:lang w:val="en-US" w:eastAsia="en-US" w:bidi="ar-SA"/>
              </w:rPr>
              <w:t xml:space="preserve"> $ 4.1492 </w:t>
            </w:r>
          </w:p>
        </w:tc>
        <w:tc>
          <w:tcPr>
            <w:tcW w:w="1236" w:type="dxa"/>
            <w:tcBorders>
              <w:top w:val="nil"/>
              <w:left w:val="nil"/>
              <w:bottom w:val="nil"/>
              <w:right w:val="nil"/>
            </w:tcBorders>
            <w:shd w:val="clear" w:color="auto" w:fill="auto"/>
            <w:noWrap/>
            <w:vAlign w:val="bottom"/>
            <w:hideMark/>
          </w:tcPr>
          <w:p w:rsidR="000E5054" w:rsidRPr="00EF7723" w:rsidP="00567430">
            <w:pPr>
              <w:rPr>
                <w:rStyle w:val="DefaultParagraphFont"/>
                <w:color w:val="000000"/>
                <w:sz w:val="24"/>
                <w:szCs w:val="24"/>
                <w:lang w:val="en-US" w:eastAsia="en-US" w:bidi="ar-SA"/>
              </w:rPr>
            </w:pPr>
            <w:r w:rsidRPr="00EF7723">
              <w:rPr>
                <w:color w:val="000000"/>
                <w:sz w:val="24"/>
                <w:szCs w:val="24"/>
                <w:lang w:val="en-US" w:eastAsia="en-US" w:bidi="ar-SA"/>
              </w:rPr>
              <w:t xml:space="preserve"> $ 4.2511 </w:t>
            </w:r>
          </w:p>
        </w:tc>
      </w:tr>
      <w:tr w:rsidTr="000E5054">
        <w:tblPrEx>
          <w:tblW w:w="7780" w:type="dxa"/>
          <w:jc w:val="center"/>
          <w:tblInd w:w="0" w:type="dxa"/>
          <w:tblCellMar>
            <w:top w:w="0" w:type="dxa"/>
            <w:left w:w="108" w:type="dxa"/>
            <w:bottom w:w="0" w:type="dxa"/>
            <w:right w:w="108" w:type="dxa"/>
          </w:tblCellMar>
          <w:tblLook w:val="04A0"/>
        </w:tblPrEx>
        <w:trPr>
          <w:trHeight w:val="300"/>
          <w:jc w:val="center"/>
        </w:trPr>
        <w:tc>
          <w:tcPr>
            <w:tcW w:w="2836" w:type="dxa"/>
            <w:tcBorders>
              <w:top w:val="nil"/>
              <w:left w:val="nil"/>
              <w:bottom w:val="nil"/>
              <w:right w:val="nil"/>
            </w:tcBorders>
            <w:shd w:val="clear" w:color="auto" w:fill="auto"/>
            <w:noWrap/>
            <w:vAlign w:val="bottom"/>
            <w:hideMark/>
          </w:tcPr>
          <w:p w:rsidR="000E5054" w:rsidRPr="00EF7723" w:rsidP="00567430">
            <w:pPr>
              <w:rPr>
                <w:rStyle w:val="DefaultParagraphFont"/>
                <w:color w:val="000000"/>
                <w:sz w:val="24"/>
                <w:szCs w:val="24"/>
                <w:lang w:val="en-US" w:eastAsia="en-US" w:bidi="ar-SA"/>
              </w:rPr>
            </w:pPr>
          </w:p>
        </w:tc>
        <w:tc>
          <w:tcPr>
            <w:tcW w:w="1236" w:type="dxa"/>
            <w:tcBorders>
              <w:top w:val="nil"/>
              <w:left w:val="nil"/>
              <w:bottom w:val="nil"/>
              <w:right w:val="nil"/>
            </w:tcBorders>
            <w:shd w:val="clear" w:color="auto" w:fill="auto"/>
            <w:noWrap/>
            <w:vAlign w:val="bottom"/>
            <w:hideMark/>
          </w:tcPr>
          <w:p w:rsidR="000E5054" w:rsidRPr="00EF7723" w:rsidP="00567430">
            <w:pPr>
              <w:rPr>
                <w:rStyle w:val="DefaultParagraphFont"/>
                <w:sz w:val="24"/>
                <w:szCs w:val="24"/>
                <w:lang w:val="en-US" w:eastAsia="en-US" w:bidi="ar-SA"/>
              </w:rPr>
            </w:pPr>
          </w:p>
        </w:tc>
        <w:tc>
          <w:tcPr>
            <w:tcW w:w="1236" w:type="dxa"/>
            <w:tcBorders>
              <w:top w:val="nil"/>
              <w:left w:val="nil"/>
              <w:bottom w:val="nil"/>
              <w:right w:val="nil"/>
            </w:tcBorders>
            <w:shd w:val="clear" w:color="auto" w:fill="auto"/>
            <w:noWrap/>
            <w:vAlign w:val="bottom"/>
            <w:hideMark/>
          </w:tcPr>
          <w:p w:rsidR="000E5054" w:rsidRPr="00EF7723" w:rsidP="00567430">
            <w:pPr>
              <w:rPr>
                <w:rStyle w:val="DefaultParagraphFont"/>
                <w:sz w:val="24"/>
                <w:szCs w:val="24"/>
                <w:lang w:val="en-US" w:eastAsia="en-US" w:bidi="ar-SA"/>
              </w:rPr>
            </w:pPr>
          </w:p>
        </w:tc>
        <w:tc>
          <w:tcPr>
            <w:tcW w:w="1236" w:type="dxa"/>
            <w:tcBorders>
              <w:top w:val="nil"/>
              <w:left w:val="nil"/>
              <w:bottom w:val="nil"/>
              <w:right w:val="nil"/>
            </w:tcBorders>
            <w:shd w:val="clear" w:color="auto" w:fill="auto"/>
            <w:noWrap/>
            <w:vAlign w:val="bottom"/>
            <w:hideMark/>
          </w:tcPr>
          <w:p w:rsidR="000E5054" w:rsidRPr="00EF7723" w:rsidP="00567430">
            <w:pPr>
              <w:rPr>
                <w:rStyle w:val="DefaultParagraphFont"/>
                <w:sz w:val="24"/>
                <w:szCs w:val="24"/>
                <w:lang w:val="en-US" w:eastAsia="en-US" w:bidi="ar-SA"/>
              </w:rPr>
            </w:pPr>
          </w:p>
        </w:tc>
        <w:tc>
          <w:tcPr>
            <w:tcW w:w="1236" w:type="dxa"/>
            <w:tcBorders>
              <w:top w:val="nil"/>
              <w:left w:val="nil"/>
              <w:bottom w:val="nil"/>
              <w:right w:val="nil"/>
            </w:tcBorders>
            <w:shd w:val="clear" w:color="auto" w:fill="auto"/>
            <w:noWrap/>
            <w:vAlign w:val="bottom"/>
            <w:hideMark/>
          </w:tcPr>
          <w:p w:rsidR="000E5054" w:rsidRPr="00EF7723" w:rsidP="00567430">
            <w:pPr>
              <w:rPr>
                <w:rStyle w:val="DefaultParagraphFont"/>
                <w:sz w:val="24"/>
                <w:szCs w:val="24"/>
                <w:lang w:val="en-US" w:eastAsia="en-US" w:bidi="ar-SA"/>
              </w:rPr>
            </w:pPr>
          </w:p>
        </w:tc>
      </w:tr>
      <w:tr w:rsidTr="000E5054">
        <w:tblPrEx>
          <w:tblW w:w="7780" w:type="dxa"/>
          <w:jc w:val="center"/>
          <w:tblInd w:w="0" w:type="dxa"/>
          <w:tblCellMar>
            <w:top w:w="0" w:type="dxa"/>
            <w:left w:w="108" w:type="dxa"/>
            <w:bottom w:w="0" w:type="dxa"/>
            <w:right w:w="108" w:type="dxa"/>
          </w:tblCellMar>
          <w:tblLook w:val="04A0"/>
        </w:tblPrEx>
        <w:trPr>
          <w:trHeight w:val="300"/>
          <w:jc w:val="center"/>
        </w:trPr>
        <w:tc>
          <w:tcPr>
            <w:tcW w:w="2836" w:type="dxa"/>
            <w:tcBorders>
              <w:top w:val="nil"/>
              <w:left w:val="nil"/>
              <w:bottom w:val="nil"/>
              <w:right w:val="nil"/>
            </w:tcBorders>
            <w:shd w:val="clear" w:color="auto" w:fill="auto"/>
            <w:noWrap/>
            <w:vAlign w:val="bottom"/>
            <w:hideMark/>
          </w:tcPr>
          <w:p w:rsidR="000E5054" w:rsidRPr="00EF7723" w:rsidP="00567430">
            <w:pPr>
              <w:rPr>
                <w:rStyle w:val="DefaultParagraphFont"/>
                <w:color w:val="000000"/>
                <w:sz w:val="24"/>
                <w:szCs w:val="24"/>
                <w:lang w:val="en-US" w:eastAsia="en-US" w:bidi="ar-SA"/>
              </w:rPr>
            </w:pPr>
            <w:r w:rsidRPr="00EF7723">
              <w:rPr>
                <w:color w:val="000000"/>
                <w:sz w:val="24"/>
                <w:szCs w:val="24"/>
                <w:lang w:val="en-US" w:eastAsia="en-US" w:bidi="ar-SA"/>
              </w:rPr>
              <w:t>Average</w:t>
            </w:r>
          </w:p>
        </w:tc>
        <w:tc>
          <w:tcPr>
            <w:tcW w:w="1236" w:type="dxa"/>
            <w:tcBorders>
              <w:top w:val="nil"/>
              <w:left w:val="nil"/>
              <w:bottom w:val="nil"/>
              <w:right w:val="nil"/>
            </w:tcBorders>
            <w:shd w:val="clear" w:color="auto" w:fill="auto"/>
            <w:noWrap/>
            <w:vAlign w:val="bottom"/>
            <w:hideMark/>
          </w:tcPr>
          <w:p w:rsidR="000E5054" w:rsidRPr="00EF7723" w:rsidP="00567430">
            <w:pPr>
              <w:rPr>
                <w:rStyle w:val="DefaultParagraphFont"/>
                <w:color w:val="000000"/>
                <w:sz w:val="24"/>
                <w:szCs w:val="24"/>
                <w:lang w:val="en-US" w:eastAsia="en-US" w:bidi="ar-SA"/>
              </w:rPr>
            </w:pPr>
            <w:r w:rsidRPr="00EF7723">
              <w:rPr>
                <w:color w:val="000000"/>
                <w:sz w:val="24"/>
                <w:szCs w:val="24"/>
                <w:lang w:val="en-US" w:eastAsia="en-US" w:bidi="ar-SA"/>
              </w:rPr>
              <w:t xml:space="preserve"> $ 3.8086 </w:t>
            </w:r>
          </w:p>
        </w:tc>
        <w:tc>
          <w:tcPr>
            <w:tcW w:w="1236" w:type="dxa"/>
            <w:tcBorders>
              <w:top w:val="nil"/>
              <w:left w:val="nil"/>
              <w:bottom w:val="nil"/>
              <w:right w:val="nil"/>
            </w:tcBorders>
            <w:shd w:val="clear" w:color="auto" w:fill="auto"/>
            <w:noWrap/>
            <w:vAlign w:val="bottom"/>
            <w:hideMark/>
          </w:tcPr>
          <w:p w:rsidR="000E5054" w:rsidRPr="00EF7723" w:rsidP="00567430">
            <w:pPr>
              <w:rPr>
                <w:rStyle w:val="DefaultParagraphFont"/>
                <w:color w:val="000000"/>
                <w:sz w:val="24"/>
                <w:szCs w:val="24"/>
                <w:lang w:val="en-US" w:eastAsia="en-US" w:bidi="ar-SA"/>
              </w:rPr>
            </w:pPr>
            <w:r w:rsidRPr="00EF7723">
              <w:rPr>
                <w:color w:val="000000"/>
                <w:sz w:val="24"/>
                <w:szCs w:val="24"/>
                <w:lang w:val="en-US" w:eastAsia="en-US" w:bidi="ar-SA"/>
              </w:rPr>
              <w:t xml:space="preserve"> $ 4.6377 </w:t>
            </w:r>
          </w:p>
        </w:tc>
        <w:tc>
          <w:tcPr>
            <w:tcW w:w="1236" w:type="dxa"/>
            <w:tcBorders>
              <w:top w:val="nil"/>
              <w:left w:val="nil"/>
              <w:bottom w:val="nil"/>
              <w:right w:val="nil"/>
            </w:tcBorders>
            <w:shd w:val="clear" w:color="auto" w:fill="auto"/>
            <w:noWrap/>
            <w:vAlign w:val="bottom"/>
            <w:hideMark/>
          </w:tcPr>
          <w:p w:rsidR="000E5054" w:rsidRPr="00EF7723" w:rsidP="00567430">
            <w:pPr>
              <w:rPr>
                <w:rStyle w:val="DefaultParagraphFont"/>
                <w:color w:val="000000"/>
                <w:sz w:val="24"/>
                <w:szCs w:val="24"/>
                <w:lang w:val="en-US" w:eastAsia="en-US" w:bidi="ar-SA"/>
              </w:rPr>
            </w:pPr>
            <w:r w:rsidRPr="00EF7723">
              <w:rPr>
                <w:color w:val="000000"/>
                <w:sz w:val="24"/>
                <w:szCs w:val="24"/>
                <w:lang w:val="en-US" w:eastAsia="en-US" w:bidi="ar-SA"/>
              </w:rPr>
              <w:t xml:space="preserve"> $ 4.2617 </w:t>
            </w:r>
          </w:p>
        </w:tc>
        <w:tc>
          <w:tcPr>
            <w:tcW w:w="1236" w:type="dxa"/>
            <w:tcBorders>
              <w:top w:val="nil"/>
              <w:left w:val="nil"/>
              <w:bottom w:val="nil"/>
              <w:right w:val="nil"/>
            </w:tcBorders>
            <w:shd w:val="clear" w:color="auto" w:fill="auto"/>
            <w:noWrap/>
            <w:vAlign w:val="bottom"/>
            <w:hideMark/>
          </w:tcPr>
          <w:p w:rsidR="000E5054" w:rsidRPr="00EF7723" w:rsidP="00567430">
            <w:pPr>
              <w:rPr>
                <w:rStyle w:val="DefaultParagraphFont"/>
                <w:color w:val="000000"/>
                <w:sz w:val="24"/>
                <w:szCs w:val="24"/>
                <w:lang w:val="en-US" w:eastAsia="en-US" w:bidi="ar-SA"/>
              </w:rPr>
            </w:pPr>
            <w:r w:rsidRPr="00EF7723">
              <w:rPr>
                <w:color w:val="000000"/>
                <w:sz w:val="24"/>
                <w:szCs w:val="24"/>
                <w:lang w:val="en-US" w:eastAsia="en-US" w:bidi="ar-SA"/>
              </w:rPr>
              <w:t xml:space="preserve"> $ 4.2360 </w:t>
            </w:r>
          </w:p>
        </w:tc>
      </w:tr>
      <w:tr w:rsidTr="000E5054">
        <w:tblPrEx>
          <w:tblW w:w="7780" w:type="dxa"/>
          <w:jc w:val="center"/>
          <w:tblInd w:w="0" w:type="dxa"/>
          <w:tblCellMar>
            <w:top w:w="0" w:type="dxa"/>
            <w:left w:w="108" w:type="dxa"/>
            <w:bottom w:w="0" w:type="dxa"/>
            <w:right w:w="108" w:type="dxa"/>
          </w:tblCellMar>
          <w:tblLook w:val="04A0"/>
        </w:tblPrEx>
        <w:trPr>
          <w:trHeight w:val="300"/>
          <w:jc w:val="center"/>
        </w:trPr>
        <w:tc>
          <w:tcPr>
            <w:tcW w:w="2836" w:type="dxa"/>
            <w:tcBorders>
              <w:top w:val="nil"/>
              <w:left w:val="nil"/>
              <w:bottom w:val="nil"/>
              <w:right w:val="nil"/>
            </w:tcBorders>
            <w:shd w:val="clear" w:color="auto" w:fill="auto"/>
            <w:noWrap/>
            <w:vAlign w:val="bottom"/>
            <w:hideMark/>
          </w:tcPr>
          <w:p w:rsidR="000E5054" w:rsidRPr="00EF7723" w:rsidP="00567430">
            <w:pPr>
              <w:rPr>
                <w:rStyle w:val="DefaultParagraphFont"/>
                <w:color w:val="000000"/>
                <w:sz w:val="24"/>
                <w:szCs w:val="24"/>
                <w:lang w:val="en-US" w:eastAsia="en-US" w:bidi="ar-SA"/>
              </w:rPr>
            </w:pPr>
          </w:p>
        </w:tc>
        <w:tc>
          <w:tcPr>
            <w:tcW w:w="1236" w:type="dxa"/>
            <w:tcBorders>
              <w:top w:val="nil"/>
              <w:left w:val="nil"/>
              <w:bottom w:val="nil"/>
              <w:right w:val="nil"/>
            </w:tcBorders>
            <w:shd w:val="clear" w:color="auto" w:fill="auto"/>
            <w:noWrap/>
            <w:vAlign w:val="bottom"/>
            <w:hideMark/>
          </w:tcPr>
          <w:p w:rsidR="000E5054" w:rsidRPr="00EF7723" w:rsidP="00567430">
            <w:pPr>
              <w:rPr>
                <w:rStyle w:val="DefaultParagraphFont"/>
                <w:sz w:val="24"/>
                <w:szCs w:val="24"/>
                <w:lang w:val="en-US" w:eastAsia="en-US" w:bidi="ar-SA"/>
              </w:rPr>
            </w:pPr>
          </w:p>
        </w:tc>
        <w:tc>
          <w:tcPr>
            <w:tcW w:w="1236" w:type="dxa"/>
            <w:tcBorders>
              <w:top w:val="nil"/>
              <w:left w:val="nil"/>
              <w:bottom w:val="nil"/>
              <w:right w:val="nil"/>
            </w:tcBorders>
            <w:shd w:val="clear" w:color="auto" w:fill="auto"/>
            <w:noWrap/>
            <w:vAlign w:val="bottom"/>
            <w:hideMark/>
          </w:tcPr>
          <w:p w:rsidR="000E5054" w:rsidRPr="00EF7723" w:rsidP="00567430">
            <w:pPr>
              <w:rPr>
                <w:rStyle w:val="DefaultParagraphFont"/>
                <w:sz w:val="24"/>
                <w:szCs w:val="24"/>
                <w:lang w:val="en-US" w:eastAsia="en-US" w:bidi="ar-SA"/>
              </w:rPr>
            </w:pPr>
          </w:p>
        </w:tc>
        <w:tc>
          <w:tcPr>
            <w:tcW w:w="1236" w:type="dxa"/>
            <w:tcBorders>
              <w:top w:val="nil"/>
              <w:left w:val="nil"/>
              <w:bottom w:val="nil"/>
              <w:right w:val="nil"/>
            </w:tcBorders>
            <w:shd w:val="clear" w:color="auto" w:fill="auto"/>
            <w:noWrap/>
            <w:vAlign w:val="bottom"/>
            <w:hideMark/>
          </w:tcPr>
          <w:p w:rsidR="000E5054" w:rsidRPr="00EF7723" w:rsidP="00567430">
            <w:pPr>
              <w:rPr>
                <w:rStyle w:val="DefaultParagraphFont"/>
                <w:sz w:val="24"/>
                <w:szCs w:val="24"/>
                <w:lang w:val="en-US" w:eastAsia="en-US" w:bidi="ar-SA"/>
              </w:rPr>
            </w:pPr>
          </w:p>
        </w:tc>
        <w:tc>
          <w:tcPr>
            <w:tcW w:w="1236" w:type="dxa"/>
            <w:tcBorders>
              <w:top w:val="nil"/>
              <w:left w:val="nil"/>
              <w:bottom w:val="nil"/>
              <w:right w:val="nil"/>
            </w:tcBorders>
            <w:shd w:val="clear" w:color="auto" w:fill="auto"/>
            <w:noWrap/>
            <w:vAlign w:val="bottom"/>
            <w:hideMark/>
          </w:tcPr>
          <w:p w:rsidR="000E5054" w:rsidRPr="00EF7723" w:rsidP="00567430">
            <w:pPr>
              <w:rPr>
                <w:rStyle w:val="DefaultParagraphFont"/>
                <w:sz w:val="24"/>
                <w:szCs w:val="24"/>
                <w:lang w:val="en-US" w:eastAsia="en-US" w:bidi="ar-SA"/>
              </w:rPr>
            </w:pPr>
          </w:p>
        </w:tc>
      </w:tr>
      <w:tr w:rsidTr="000E5054">
        <w:tblPrEx>
          <w:tblW w:w="7780" w:type="dxa"/>
          <w:jc w:val="center"/>
          <w:tblInd w:w="0" w:type="dxa"/>
          <w:tblCellMar>
            <w:top w:w="0" w:type="dxa"/>
            <w:left w:w="108" w:type="dxa"/>
            <w:bottom w:w="0" w:type="dxa"/>
            <w:right w:w="108" w:type="dxa"/>
          </w:tblCellMar>
          <w:tblLook w:val="04A0"/>
        </w:tblPrEx>
        <w:trPr>
          <w:trHeight w:val="300"/>
          <w:jc w:val="center"/>
        </w:trPr>
        <w:tc>
          <w:tcPr>
            <w:tcW w:w="2836" w:type="dxa"/>
            <w:tcBorders>
              <w:top w:val="nil"/>
              <w:left w:val="nil"/>
              <w:bottom w:val="nil"/>
              <w:right w:val="nil"/>
            </w:tcBorders>
            <w:shd w:val="clear" w:color="auto" w:fill="auto"/>
            <w:noWrap/>
            <w:vAlign w:val="bottom"/>
            <w:hideMark/>
          </w:tcPr>
          <w:p w:rsidR="000E5054" w:rsidRPr="00EF7723" w:rsidP="00567430">
            <w:pPr>
              <w:rPr>
                <w:rStyle w:val="DefaultParagraphFont"/>
                <w:color w:val="000000"/>
                <w:sz w:val="24"/>
                <w:szCs w:val="24"/>
                <w:lang w:val="en-US" w:eastAsia="en-US" w:bidi="ar-SA"/>
              </w:rPr>
            </w:pPr>
            <w:r w:rsidRPr="00EF7723">
              <w:rPr>
                <w:color w:val="000000"/>
                <w:sz w:val="24"/>
                <w:szCs w:val="24"/>
                <w:lang w:val="en-US" w:eastAsia="en-US" w:bidi="ar-SA"/>
              </w:rPr>
              <w:t>Duke</w:t>
            </w:r>
          </w:p>
        </w:tc>
        <w:tc>
          <w:tcPr>
            <w:tcW w:w="1236" w:type="dxa"/>
            <w:tcBorders>
              <w:top w:val="nil"/>
              <w:left w:val="nil"/>
              <w:bottom w:val="nil"/>
              <w:right w:val="nil"/>
            </w:tcBorders>
            <w:shd w:val="clear" w:color="auto" w:fill="auto"/>
            <w:noWrap/>
            <w:vAlign w:val="bottom"/>
            <w:hideMark/>
          </w:tcPr>
          <w:p w:rsidR="000E5054" w:rsidRPr="00EF7723" w:rsidP="00567430">
            <w:pPr>
              <w:rPr>
                <w:rStyle w:val="DefaultParagraphFont"/>
                <w:color w:val="000000"/>
                <w:sz w:val="24"/>
                <w:szCs w:val="24"/>
                <w:lang w:val="en-US" w:eastAsia="en-US" w:bidi="ar-SA"/>
              </w:rPr>
            </w:pPr>
            <w:r w:rsidRPr="00EF7723">
              <w:rPr>
                <w:color w:val="000000"/>
                <w:sz w:val="24"/>
                <w:szCs w:val="24"/>
                <w:lang w:val="en-US" w:eastAsia="en-US" w:bidi="ar-SA"/>
              </w:rPr>
              <w:t xml:space="preserve"> $ 3.9593 </w:t>
            </w:r>
          </w:p>
        </w:tc>
        <w:tc>
          <w:tcPr>
            <w:tcW w:w="1236" w:type="dxa"/>
            <w:tcBorders>
              <w:top w:val="nil"/>
              <w:left w:val="nil"/>
              <w:bottom w:val="nil"/>
              <w:right w:val="nil"/>
            </w:tcBorders>
            <w:shd w:val="clear" w:color="auto" w:fill="auto"/>
            <w:noWrap/>
            <w:vAlign w:val="bottom"/>
            <w:hideMark/>
          </w:tcPr>
          <w:p w:rsidR="000E5054" w:rsidRPr="00EF7723" w:rsidP="00567430">
            <w:pPr>
              <w:rPr>
                <w:rStyle w:val="DefaultParagraphFont"/>
                <w:color w:val="000000"/>
                <w:sz w:val="24"/>
                <w:szCs w:val="24"/>
                <w:lang w:val="en-US" w:eastAsia="en-US" w:bidi="ar-SA"/>
              </w:rPr>
            </w:pPr>
            <w:r w:rsidRPr="00EF7723">
              <w:rPr>
                <w:color w:val="000000"/>
                <w:sz w:val="24"/>
                <w:szCs w:val="24"/>
                <w:lang w:val="en-US" w:eastAsia="en-US" w:bidi="ar-SA"/>
              </w:rPr>
              <w:t xml:space="preserve"> $ 4.7989 </w:t>
            </w:r>
          </w:p>
        </w:tc>
        <w:tc>
          <w:tcPr>
            <w:tcW w:w="1236" w:type="dxa"/>
            <w:tcBorders>
              <w:top w:val="nil"/>
              <w:left w:val="nil"/>
              <w:bottom w:val="nil"/>
              <w:right w:val="nil"/>
            </w:tcBorders>
            <w:shd w:val="clear" w:color="auto" w:fill="auto"/>
            <w:noWrap/>
            <w:vAlign w:val="bottom"/>
            <w:hideMark/>
          </w:tcPr>
          <w:p w:rsidR="000E5054" w:rsidRPr="00EF7723" w:rsidP="00567430">
            <w:pPr>
              <w:rPr>
                <w:rStyle w:val="DefaultParagraphFont"/>
                <w:color w:val="000000"/>
                <w:sz w:val="24"/>
                <w:szCs w:val="24"/>
                <w:lang w:val="en-US" w:eastAsia="en-US" w:bidi="ar-SA"/>
              </w:rPr>
            </w:pPr>
            <w:r w:rsidRPr="00EF7723">
              <w:rPr>
                <w:color w:val="000000"/>
                <w:sz w:val="24"/>
                <w:szCs w:val="24"/>
                <w:lang w:val="en-US" w:eastAsia="en-US" w:bidi="ar-SA"/>
              </w:rPr>
              <w:t xml:space="preserve"> $ 4.6337 </w:t>
            </w:r>
          </w:p>
        </w:tc>
        <w:tc>
          <w:tcPr>
            <w:tcW w:w="1236" w:type="dxa"/>
            <w:tcBorders>
              <w:top w:val="nil"/>
              <w:left w:val="nil"/>
              <w:bottom w:val="nil"/>
              <w:right w:val="nil"/>
            </w:tcBorders>
            <w:shd w:val="clear" w:color="auto" w:fill="auto"/>
            <w:noWrap/>
            <w:vAlign w:val="bottom"/>
            <w:hideMark/>
          </w:tcPr>
          <w:p w:rsidR="000E5054" w:rsidRPr="00EF7723" w:rsidP="00567430">
            <w:pPr>
              <w:rPr>
                <w:rStyle w:val="DefaultParagraphFont"/>
                <w:color w:val="000000"/>
                <w:sz w:val="24"/>
                <w:szCs w:val="24"/>
                <w:lang w:val="en-US" w:eastAsia="en-US" w:bidi="ar-SA"/>
              </w:rPr>
            </w:pPr>
            <w:r w:rsidRPr="00EF7723">
              <w:rPr>
                <w:color w:val="000000"/>
                <w:sz w:val="24"/>
                <w:szCs w:val="24"/>
                <w:lang w:val="en-US" w:eastAsia="en-US" w:bidi="ar-SA"/>
              </w:rPr>
              <w:t xml:space="preserve"> $ 4.4640 </w:t>
            </w:r>
          </w:p>
        </w:tc>
      </w:tr>
      <w:tr w:rsidTr="000E5054">
        <w:tblPrEx>
          <w:tblW w:w="7780" w:type="dxa"/>
          <w:jc w:val="center"/>
          <w:tblInd w:w="0" w:type="dxa"/>
          <w:tblCellMar>
            <w:top w:w="0" w:type="dxa"/>
            <w:left w:w="108" w:type="dxa"/>
            <w:bottom w:w="0" w:type="dxa"/>
            <w:right w:w="108" w:type="dxa"/>
          </w:tblCellMar>
          <w:tblLook w:val="04A0"/>
        </w:tblPrEx>
        <w:trPr>
          <w:trHeight w:val="300"/>
          <w:jc w:val="center"/>
        </w:trPr>
        <w:tc>
          <w:tcPr>
            <w:tcW w:w="2836" w:type="dxa"/>
            <w:tcBorders>
              <w:top w:val="nil"/>
              <w:left w:val="nil"/>
              <w:bottom w:val="nil"/>
              <w:right w:val="nil"/>
            </w:tcBorders>
            <w:shd w:val="clear" w:color="auto" w:fill="auto"/>
            <w:noWrap/>
            <w:vAlign w:val="bottom"/>
            <w:hideMark/>
          </w:tcPr>
          <w:p w:rsidR="000E5054" w:rsidRPr="00EF7723" w:rsidP="00567430">
            <w:pPr>
              <w:rPr>
                <w:rStyle w:val="DefaultParagraphFont"/>
                <w:color w:val="000000"/>
                <w:sz w:val="24"/>
                <w:szCs w:val="24"/>
                <w:lang w:val="en-US" w:eastAsia="en-US" w:bidi="ar-SA"/>
              </w:rPr>
            </w:pPr>
          </w:p>
        </w:tc>
        <w:tc>
          <w:tcPr>
            <w:tcW w:w="1236" w:type="dxa"/>
            <w:tcBorders>
              <w:top w:val="nil"/>
              <w:left w:val="nil"/>
              <w:bottom w:val="nil"/>
              <w:right w:val="nil"/>
            </w:tcBorders>
            <w:shd w:val="clear" w:color="auto" w:fill="auto"/>
            <w:noWrap/>
            <w:vAlign w:val="bottom"/>
            <w:hideMark/>
          </w:tcPr>
          <w:p w:rsidR="000E5054" w:rsidRPr="00EF7723" w:rsidP="00567430">
            <w:pPr>
              <w:rPr>
                <w:rStyle w:val="DefaultParagraphFont"/>
                <w:sz w:val="24"/>
                <w:szCs w:val="24"/>
                <w:lang w:val="en-US" w:eastAsia="en-US" w:bidi="ar-SA"/>
              </w:rPr>
            </w:pPr>
          </w:p>
        </w:tc>
        <w:tc>
          <w:tcPr>
            <w:tcW w:w="1236" w:type="dxa"/>
            <w:tcBorders>
              <w:top w:val="nil"/>
              <w:left w:val="nil"/>
              <w:bottom w:val="nil"/>
              <w:right w:val="nil"/>
            </w:tcBorders>
            <w:shd w:val="clear" w:color="auto" w:fill="auto"/>
            <w:noWrap/>
            <w:vAlign w:val="bottom"/>
            <w:hideMark/>
          </w:tcPr>
          <w:p w:rsidR="000E5054" w:rsidRPr="00EF7723" w:rsidP="00567430">
            <w:pPr>
              <w:rPr>
                <w:rStyle w:val="DefaultParagraphFont"/>
                <w:sz w:val="24"/>
                <w:szCs w:val="24"/>
                <w:lang w:val="en-US" w:eastAsia="en-US" w:bidi="ar-SA"/>
              </w:rPr>
            </w:pPr>
          </w:p>
        </w:tc>
        <w:tc>
          <w:tcPr>
            <w:tcW w:w="1236" w:type="dxa"/>
            <w:tcBorders>
              <w:top w:val="nil"/>
              <w:left w:val="nil"/>
              <w:bottom w:val="nil"/>
              <w:right w:val="nil"/>
            </w:tcBorders>
            <w:shd w:val="clear" w:color="auto" w:fill="auto"/>
            <w:noWrap/>
            <w:vAlign w:val="bottom"/>
            <w:hideMark/>
          </w:tcPr>
          <w:p w:rsidR="000E5054" w:rsidRPr="00EF7723" w:rsidP="00567430">
            <w:pPr>
              <w:rPr>
                <w:rStyle w:val="DefaultParagraphFont"/>
                <w:sz w:val="24"/>
                <w:szCs w:val="24"/>
                <w:lang w:val="en-US" w:eastAsia="en-US" w:bidi="ar-SA"/>
              </w:rPr>
            </w:pPr>
          </w:p>
        </w:tc>
        <w:tc>
          <w:tcPr>
            <w:tcW w:w="1236" w:type="dxa"/>
            <w:tcBorders>
              <w:top w:val="nil"/>
              <w:left w:val="nil"/>
              <w:bottom w:val="nil"/>
              <w:right w:val="nil"/>
            </w:tcBorders>
            <w:shd w:val="clear" w:color="auto" w:fill="auto"/>
            <w:noWrap/>
            <w:vAlign w:val="bottom"/>
            <w:hideMark/>
          </w:tcPr>
          <w:p w:rsidR="000E5054" w:rsidRPr="00EF7723" w:rsidP="00567430">
            <w:pPr>
              <w:rPr>
                <w:rStyle w:val="DefaultParagraphFont"/>
                <w:sz w:val="24"/>
                <w:szCs w:val="24"/>
                <w:lang w:val="en-US" w:eastAsia="en-US" w:bidi="ar-SA"/>
              </w:rPr>
            </w:pPr>
          </w:p>
        </w:tc>
      </w:tr>
      <w:tr w:rsidTr="000E5054">
        <w:tblPrEx>
          <w:tblW w:w="7780" w:type="dxa"/>
          <w:jc w:val="center"/>
          <w:tblInd w:w="0" w:type="dxa"/>
          <w:tblCellMar>
            <w:top w:w="0" w:type="dxa"/>
            <w:left w:w="108" w:type="dxa"/>
            <w:bottom w:w="0" w:type="dxa"/>
            <w:right w:w="108" w:type="dxa"/>
          </w:tblCellMar>
          <w:tblLook w:val="04A0"/>
        </w:tblPrEx>
        <w:trPr>
          <w:trHeight w:val="300"/>
          <w:jc w:val="center"/>
        </w:trPr>
        <w:tc>
          <w:tcPr>
            <w:tcW w:w="2836" w:type="dxa"/>
            <w:tcBorders>
              <w:top w:val="nil"/>
              <w:left w:val="nil"/>
              <w:bottom w:val="nil"/>
              <w:right w:val="nil"/>
            </w:tcBorders>
            <w:shd w:val="clear" w:color="auto" w:fill="auto"/>
            <w:noWrap/>
            <w:vAlign w:val="bottom"/>
            <w:hideMark/>
          </w:tcPr>
          <w:p w:rsidR="000E5054" w:rsidRPr="00EF7723" w:rsidP="00567430">
            <w:pPr>
              <w:rPr>
                <w:rStyle w:val="DefaultParagraphFont"/>
                <w:color w:val="000000"/>
                <w:sz w:val="24"/>
                <w:szCs w:val="24"/>
                <w:lang w:val="en-US" w:eastAsia="en-US" w:bidi="ar-SA"/>
              </w:rPr>
            </w:pPr>
            <w:r w:rsidRPr="00EF7723">
              <w:rPr>
                <w:color w:val="000000"/>
                <w:sz w:val="24"/>
                <w:szCs w:val="24"/>
                <w:lang w:val="en-US" w:eastAsia="en-US" w:bidi="ar-SA"/>
              </w:rPr>
              <w:t>Difference</w:t>
            </w:r>
          </w:p>
        </w:tc>
        <w:tc>
          <w:tcPr>
            <w:tcW w:w="1236" w:type="dxa"/>
            <w:tcBorders>
              <w:top w:val="nil"/>
              <w:left w:val="nil"/>
              <w:bottom w:val="nil"/>
              <w:right w:val="nil"/>
            </w:tcBorders>
            <w:shd w:val="clear" w:color="auto" w:fill="auto"/>
            <w:noWrap/>
            <w:vAlign w:val="bottom"/>
            <w:hideMark/>
          </w:tcPr>
          <w:p w:rsidR="000E5054" w:rsidRPr="00EF7723" w:rsidP="00567430">
            <w:pPr>
              <w:rPr>
                <w:rStyle w:val="DefaultParagraphFont"/>
                <w:color w:val="000000"/>
                <w:sz w:val="24"/>
                <w:szCs w:val="24"/>
                <w:lang w:val="en-US" w:eastAsia="en-US" w:bidi="ar-SA"/>
              </w:rPr>
            </w:pPr>
            <w:r w:rsidRPr="00EF7723">
              <w:rPr>
                <w:color w:val="000000"/>
                <w:sz w:val="24"/>
                <w:szCs w:val="24"/>
                <w:lang w:val="en-US" w:eastAsia="en-US" w:bidi="ar-SA"/>
              </w:rPr>
              <w:t xml:space="preserve"> $ 0.1508 </w:t>
            </w:r>
          </w:p>
        </w:tc>
        <w:tc>
          <w:tcPr>
            <w:tcW w:w="1236" w:type="dxa"/>
            <w:tcBorders>
              <w:top w:val="nil"/>
              <w:left w:val="nil"/>
              <w:bottom w:val="nil"/>
              <w:right w:val="nil"/>
            </w:tcBorders>
            <w:shd w:val="clear" w:color="auto" w:fill="auto"/>
            <w:noWrap/>
            <w:vAlign w:val="bottom"/>
            <w:hideMark/>
          </w:tcPr>
          <w:p w:rsidR="000E5054" w:rsidRPr="00EF7723" w:rsidP="00567430">
            <w:pPr>
              <w:rPr>
                <w:rStyle w:val="DefaultParagraphFont"/>
                <w:color w:val="000000"/>
                <w:sz w:val="24"/>
                <w:szCs w:val="24"/>
                <w:lang w:val="en-US" w:eastAsia="en-US" w:bidi="ar-SA"/>
              </w:rPr>
            </w:pPr>
            <w:r w:rsidRPr="00EF7723">
              <w:rPr>
                <w:color w:val="000000"/>
                <w:sz w:val="24"/>
                <w:szCs w:val="24"/>
                <w:lang w:val="en-US" w:eastAsia="en-US" w:bidi="ar-SA"/>
              </w:rPr>
              <w:t xml:space="preserve"> $ 0.1612 </w:t>
            </w:r>
          </w:p>
        </w:tc>
        <w:tc>
          <w:tcPr>
            <w:tcW w:w="1236" w:type="dxa"/>
            <w:tcBorders>
              <w:top w:val="nil"/>
              <w:left w:val="nil"/>
              <w:bottom w:val="nil"/>
              <w:right w:val="nil"/>
            </w:tcBorders>
            <w:shd w:val="clear" w:color="auto" w:fill="auto"/>
            <w:noWrap/>
            <w:vAlign w:val="bottom"/>
            <w:hideMark/>
          </w:tcPr>
          <w:p w:rsidR="000E5054" w:rsidRPr="00EF7723" w:rsidP="00567430">
            <w:pPr>
              <w:rPr>
                <w:rStyle w:val="DefaultParagraphFont"/>
                <w:color w:val="000000"/>
                <w:sz w:val="24"/>
                <w:szCs w:val="24"/>
                <w:lang w:val="en-US" w:eastAsia="en-US" w:bidi="ar-SA"/>
              </w:rPr>
            </w:pPr>
            <w:r w:rsidRPr="00EF7723">
              <w:rPr>
                <w:color w:val="000000"/>
                <w:sz w:val="24"/>
                <w:szCs w:val="24"/>
                <w:lang w:val="en-US" w:eastAsia="en-US" w:bidi="ar-SA"/>
              </w:rPr>
              <w:t xml:space="preserve"> $ 0.3720 </w:t>
            </w:r>
          </w:p>
        </w:tc>
        <w:tc>
          <w:tcPr>
            <w:tcW w:w="1236" w:type="dxa"/>
            <w:tcBorders>
              <w:top w:val="nil"/>
              <w:left w:val="nil"/>
              <w:bottom w:val="nil"/>
              <w:right w:val="nil"/>
            </w:tcBorders>
            <w:shd w:val="clear" w:color="auto" w:fill="auto"/>
            <w:noWrap/>
            <w:vAlign w:val="bottom"/>
            <w:hideMark/>
          </w:tcPr>
          <w:p w:rsidR="000E5054" w:rsidRPr="00EF7723" w:rsidP="00567430">
            <w:pPr>
              <w:rPr>
                <w:rStyle w:val="DefaultParagraphFont"/>
                <w:color w:val="000000"/>
                <w:sz w:val="24"/>
                <w:szCs w:val="24"/>
                <w:lang w:val="en-US" w:eastAsia="en-US" w:bidi="ar-SA"/>
              </w:rPr>
            </w:pPr>
            <w:r w:rsidRPr="00EF7723">
              <w:rPr>
                <w:color w:val="000000"/>
                <w:sz w:val="24"/>
                <w:szCs w:val="24"/>
                <w:lang w:val="en-US" w:eastAsia="en-US" w:bidi="ar-SA"/>
              </w:rPr>
              <w:t xml:space="preserve"> $ 0.2280 </w:t>
            </w:r>
          </w:p>
        </w:tc>
      </w:tr>
    </w:tbl>
    <w:p w:rsidR="000E5054" w:rsidRPr="000E5054" w:rsidP="000E5054">
      <w:pPr>
        <w:pStyle w:val="BodyA"/>
        <w:spacing w:line="480" w:lineRule="auto"/>
        <w:ind w:firstLine="720"/>
        <w:rPr>
          <w:rFonts w:hAnsi="Times New Roman" w:cs="Times New Roman"/>
          <w:bCs/>
          <w:iCs/>
        </w:rPr>
      </w:pPr>
    </w:p>
    <w:p w:rsidR="00C61C43" w:rsidRPr="00C61C43" w:rsidP="44BBC7B9">
      <w:pPr>
        <w:pStyle w:val="BodyA"/>
        <w:spacing w:line="480" w:lineRule="auto"/>
        <w:ind w:firstLine="720"/>
        <w:rPr>
          <w:rFonts w:hAnsi="Times New Roman" w:cs="Times New Roman"/>
        </w:rPr>
      </w:pPr>
      <w:r w:rsidRPr="44BBC7B9">
        <w:rPr>
          <w:rFonts w:hAnsi="Times New Roman" w:cs="Times New Roman"/>
        </w:rPr>
        <w:t>Mr. Haugh explains in his testimony that t</w:t>
      </w:r>
      <w:r w:rsidRPr="44BBC7B9">
        <w:rPr>
          <w:rFonts w:hAnsi="Times New Roman" w:cs="Times New Roman"/>
        </w:rPr>
        <w:t xml:space="preserve">he standard offer competitive auctions </w:t>
      </w:r>
      <w:r w:rsidRPr="44BBC7B9" w:rsidR="00DE592E">
        <w:rPr>
          <w:rFonts w:hAnsi="Times New Roman" w:cs="Times New Roman"/>
        </w:rPr>
        <w:t>of</w:t>
      </w:r>
      <w:r w:rsidRPr="44BBC7B9">
        <w:rPr>
          <w:rFonts w:hAnsi="Times New Roman" w:cs="Times New Roman"/>
        </w:rPr>
        <w:t xml:space="preserve"> other Ohio gas utilities have been very successful and allowed the utilities to take advantage </w:t>
      </w:r>
      <w:r w:rsidRPr="44BBC7B9" w:rsidR="00DE592E">
        <w:rPr>
          <w:rFonts w:hAnsi="Times New Roman" w:cs="Times New Roman"/>
        </w:rPr>
        <w:t xml:space="preserve">of </w:t>
      </w:r>
      <w:r w:rsidRPr="44BBC7B9">
        <w:rPr>
          <w:rFonts w:hAnsi="Times New Roman" w:cs="Times New Roman"/>
        </w:rPr>
        <w:t>the abundance of in-state natural gas, for the benefit of consumers.</w:t>
      </w:r>
      <w:r>
        <w:rPr>
          <w:rStyle w:val="FootnoteReference"/>
          <w:rFonts w:hAnsi="Times New Roman" w:cs="Times New Roman"/>
        </w:rPr>
        <w:footnoteReference w:id="57"/>
      </w:r>
      <w:r w:rsidRPr="44BBC7B9">
        <w:rPr>
          <w:rFonts w:hAnsi="Times New Roman" w:cs="Times New Roman"/>
        </w:rPr>
        <w:t xml:space="preserve"> </w:t>
      </w:r>
      <w:r w:rsidRPr="44BBC7B9">
        <w:rPr>
          <w:rFonts w:hAnsi="Times New Roman" w:cs="Times New Roman"/>
        </w:rPr>
        <w:t>According to Mr. Haugh, t</w:t>
      </w:r>
      <w:r w:rsidRPr="44BBC7B9">
        <w:rPr>
          <w:rFonts w:hAnsi="Times New Roman" w:cs="Times New Roman"/>
        </w:rPr>
        <w:t xml:space="preserve">he </w:t>
      </w:r>
      <w:r w:rsidRPr="44BBC7B9" w:rsidR="007B727E">
        <w:rPr>
          <w:rFonts w:hAnsi="Times New Roman" w:cs="Times New Roman"/>
        </w:rPr>
        <w:t>A</w:t>
      </w:r>
      <w:r w:rsidRPr="44BBC7B9">
        <w:rPr>
          <w:rFonts w:hAnsi="Times New Roman" w:cs="Times New Roman"/>
        </w:rPr>
        <w:t xml:space="preserve">udit </w:t>
      </w:r>
      <w:r w:rsidRPr="44BBC7B9" w:rsidR="007B727E">
        <w:rPr>
          <w:rFonts w:hAnsi="Times New Roman" w:cs="Times New Roman"/>
        </w:rPr>
        <w:t>R</w:t>
      </w:r>
      <w:r w:rsidRPr="44BBC7B9">
        <w:rPr>
          <w:rFonts w:hAnsi="Times New Roman" w:cs="Times New Roman"/>
        </w:rPr>
        <w:t xml:space="preserve">eport </w:t>
      </w:r>
      <w:r w:rsidR="00047A8B">
        <w:rPr>
          <w:rFonts w:hAnsi="Times New Roman" w:cs="Times New Roman"/>
        </w:rPr>
        <w:t>describes</w:t>
      </w:r>
      <w:r w:rsidRPr="44BBC7B9" w:rsidR="00047A8B">
        <w:rPr>
          <w:rFonts w:hAnsi="Times New Roman" w:cs="Times New Roman"/>
        </w:rPr>
        <w:t xml:space="preserve"> </w:t>
      </w:r>
      <w:r w:rsidRPr="44BBC7B9">
        <w:rPr>
          <w:rFonts w:hAnsi="Times New Roman" w:cs="Times New Roman"/>
        </w:rPr>
        <w:t>a white paper that was filed in PUCO Case No. 07-589-GA-AIR.</w:t>
      </w:r>
      <w:r>
        <w:rPr>
          <w:rStyle w:val="FootnoteReference"/>
          <w:rFonts w:hAnsi="Times New Roman" w:cs="Times New Roman"/>
        </w:rPr>
        <w:footnoteReference w:id="58"/>
      </w:r>
      <w:r w:rsidRPr="44BBC7B9">
        <w:rPr>
          <w:rFonts w:hAnsi="Times New Roman" w:cs="Times New Roman"/>
        </w:rPr>
        <w:t xml:space="preserve"> </w:t>
      </w:r>
      <w:r w:rsidRPr="44BBC7B9">
        <w:rPr>
          <w:rFonts w:hAnsi="Times New Roman" w:cs="Times New Roman"/>
        </w:rPr>
        <w:t>However, t</w:t>
      </w:r>
      <w:r w:rsidRPr="44BBC7B9">
        <w:rPr>
          <w:rFonts w:hAnsi="Times New Roman" w:cs="Times New Roman"/>
        </w:rPr>
        <w:t>his report was filed in May 2009 and was based on meetings that occurred in July and August of 2008</w:t>
      </w:r>
      <w:r w:rsidRPr="44BBC7B9" w:rsidR="00DE592E">
        <w:rPr>
          <w:rFonts w:hAnsi="Times New Roman" w:cs="Times New Roman"/>
        </w:rPr>
        <w:t>.  T</w:t>
      </w:r>
      <w:r w:rsidRPr="44BBC7B9">
        <w:rPr>
          <w:rFonts w:hAnsi="Times New Roman" w:cs="Times New Roman"/>
        </w:rPr>
        <w:t xml:space="preserve">here </w:t>
      </w:r>
      <w:r w:rsidRPr="44BBC7B9" w:rsidR="00DE592E">
        <w:rPr>
          <w:rFonts w:hAnsi="Times New Roman" w:cs="Times New Roman"/>
        </w:rPr>
        <w:t xml:space="preserve">may </w:t>
      </w:r>
      <w:r w:rsidRPr="44BBC7B9">
        <w:rPr>
          <w:rFonts w:hAnsi="Times New Roman" w:cs="Times New Roman"/>
        </w:rPr>
        <w:t>have been many changes in the natural gas markets since that time, which could possibly benefit customers through the use of a competitive auction process.</w:t>
      </w:r>
      <w:r w:rsidRPr="44BBC7B9">
        <w:rPr>
          <w:rStyle w:val="FootnoteReference"/>
          <w:rFonts w:hAnsi="Times New Roman" w:cs="Times New Roman"/>
        </w:rPr>
        <w:t xml:space="preserve"> </w:t>
      </w:r>
      <w:r>
        <w:rPr>
          <w:rStyle w:val="FootnoteReference"/>
          <w:rFonts w:hAnsi="Times New Roman" w:cs="Times New Roman"/>
        </w:rPr>
        <w:footnoteReference w:id="59"/>
      </w:r>
    </w:p>
    <w:p w:rsidR="00CD1C53" w:rsidP="00C61C43">
      <w:pPr>
        <w:pStyle w:val="BodyA"/>
        <w:spacing w:line="480" w:lineRule="auto"/>
        <w:ind w:firstLine="720"/>
        <w:rPr>
          <w:rFonts w:hAnsi="Times New Roman" w:cs="Times New Roman"/>
          <w:bCs/>
          <w:iCs/>
        </w:rPr>
      </w:pPr>
      <w:r>
        <w:rPr>
          <w:rFonts w:hAnsi="Times New Roman" w:cs="Times New Roman"/>
          <w:bCs/>
          <w:iCs/>
        </w:rPr>
        <w:t xml:space="preserve">OCC </w:t>
      </w:r>
      <w:r w:rsidR="00050DBA">
        <w:rPr>
          <w:rFonts w:hAnsi="Times New Roman" w:cs="Times New Roman"/>
          <w:bCs/>
          <w:iCs/>
        </w:rPr>
        <w:t xml:space="preserve">Expert Haugh </w:t>
      </w:r>
      <w:r>
        <w:rPr>
          <w:rFonts w:hAnsi="Times New Roman" w:cs="Times New Roman"/>
          <w:bCs/>
          <w:iCs/>
        </w:rPr>
        <w:t>recommends that</w:t>
      </w:r>
      <w:r w:rsidRPr="00C61C43" w:rsidR="00C61C43">
        <w:rPr>
          <w:rFonts w:hAnsi="Times New Roman" w:cs="Times New Roman"/>
          <w:bCs/>
          <w:iCs/>
        </w:rPr>
        <w:t xml:space="preserve"> the PUCO retain an in</w:t>
      </w:r>
      <w:r w:rsidR="00050DBA">
        <w:rPr>
          <w:rFonts w:hAnsi="Times New Roman" w:cs="Times New Roman"/>
          <w:bCs/>
          <w:iCs/>
        </w:rPr>
        <w:t>depen</w:t>
      </w:r>
      <w:r w:rsidRPr="00C61C43" w:rsidR="00C61C43">
        <w:rPr>
          <w:rFonts w:hAnsi="Times New Roman" w:cs="Times New Roman"/>
          <w:bCs/>
          <w:iCs/>
        </w:rPr>
        <w:t>dent consultant to conduct an evaluation of Duke’s current procurement process and compare it against a competitive process similar to those conducted by the other large Ohio natural gas utilities.</w:t>
      </w:r>
      <w:r>
        <w:rPr>
          <w:rStyle w:val="FootnoteReference"/>
          <w:rFonts w:hAnsi="Times New Roman" w:cs="Times New Roman"/>
          <w:bCs/>
          <w:iCs/>
        </w:rPr>
        <w:footnoteReference w:id="60"/>
      </w:r>
      <w:r w:rsidRPr="00C61C43" w:rsidR="00C61C43">
        <w:rPr>
          <w:rFonts w:hAnsi="Times New Roman" w:cs="Times New Roman"/>
          <w:bCs/>
          <w:iCs/>
        </w:rPr>
        <w:t xml:space="preserve"> </w:t>
      </w:r>
      <w:r w:rsidR="00050DBA">
        <w:rPr>
          <w:rFonts w:hAnsi="Times New Roman" w:cs="Times New Roman"/>
          <w:bCs/>
          <w:iCs/>
        </w:rPr>
        <w:t xml:space="preserve">Mr. Haugh also </w:t>
      </w:r>
      <w:r>
        <w:rPr>
          <w:rFonts w:hAnsi="Times New Roman" w:cs="Times New Roman"/>
          <w:bCs/>
          <w:iCs/>
        </w:rPr>
        <w:t>explains</w:t>
      </w:r>
      <w:r w:rsidR="00050DBA">
        <w:rPr>
          <w:rFonts w:hAnsi="Times New Roman" w:cs="Times New Roman"/>
          <w:bCs/>
          <w:iCs/>
        </w:rPr>
        <w:t xml:space="preserve"> that </w:t>
      </w:r>
      <w:r w:rsidRPr="00C61C43" w:rsidR="00C61C43">
        <w:rPr>
          <w:rFonts w:hAnsi="Times New Roman" w:cs="Times New Roman"/>
          <w:bCs/>
          <w:iCs/>
        </w:rPr>
        <w:t>a competitive auction would eliminate the need for Duke to continue its hedging activities (and the associated costs to consumers).</w:t>
      </w:r>
      <w:r>
        <w:rPr>
          <w:rStyle w:val="FootnoteReference"/>
          <w:rFonts w:hAnsi="Times New Roman" w:cs="Times New Roman"/>
          <w:bCs/>
          <w:iCs/>
        </w:rPr>
        <w:footnoteReference w:id="61"/>
      </w:r>
      <w:r w:rsidRPr="00C61C43" w:rsidR="00C61C43">
        <w:rPr>
          <w:rFonts w:hAnsi="Times New Roman" w:cs="Times New Roman"/>
          <w:bCs/>
          <w:iCs/>
        </w:rPr>
        <w:t xml:space="preserve"> </w:t>
      </w:r>
    </w:p>
    <w:p w:rsidR="00012C8F" w:rsidP="00C61C43">
      <w:pPr>
        <w:pStyle w:val="BodyA"/>
        <w:spacing w:line="480" w:lineRule="auto"/>
        <w:ind w:firstLine="720"/>
        <w:rPr>
          <w:rFonts w:hAnsi="Times New Roman" w:cs="Times New Roman"/>
          <w:bCs/>
          <w:iCs/>
        </w:rPr>
      </w:pPr>
      <w:r>
        <w:rPr>
          <w:rFonts w:hAnsi="Times New Roman" w:cs="Times New Roman"/>
          <w:bCs/>
          <w:iCs/>
        </w:rPr>
        <w:t>Finally, Mr. Haugh concludes t</w:t>
      </w:r>
      <w:r w:rsidRPr="00C61C43" w:rsidR="00C61C43">
        <w:rPr>
          <w:rFonts w:hAnsi="Times New Roman" w:cs="Times New Roman"/>
          <w:bCs/>
          <w:iCs/>
        </w:rPr>
        <w:t xml:space="preserve">he findings from this </w:t>
      </w:r>
      <w:r>
        <w:rPr>
          <w:rFonts w:hAnsi="Times New Roman" w:cs="Times New Roman"/>
          <w:bCs/>
          <w:iCs/>
        </w:rPr>
        <w:t xml:space="preserve">consultant </w:t>
      </w:r>
      <w:r w:rsidRPr="00C61C43" w:rsidR="00C61C43">
        <w:rPr>
          <w:rFonts w:hAnsi="Times New Roman" w:cs="Times New Roman"/>
          <w:bCs/>
          <w:iCs/>
        </w:rPr>
        <w:t xml:space="preserve">evaluation should be reported to the PUCO within nine months of the Order in this proceeding, </w:t>
      </w:r>
      <w:r w:rsidR="0016784D">
        <w:rPr>
          <w:rFonts w:hAnsi="Times New Roman" w:cs="Times New Roman"/>
          <w:bCs/>
          <w:iCs/>
        </w:rPr>
        <w:t>and</w:t>
      </w:r>
      <w:r w:rsidRPr="00C61C43" w:rsidR="0016784D">
        <w:rPr>
          <w:rFonts w:hAnsi="Times New Roman" w:cs="Times New Roman"/>
          <w:bCs/>
          <w:iCs/>
        </w:rPr>
        <w:t xml:space="preserve"> </w:t>
      </w:r>
      <w:r w:rsidRPr="00C61C43" w:rsidR="00C61C43">
        <w:rPr>
          <w:rFonts w:hAnsi="Times New Roman" w:cs="Times New Roman"/>
          <w:bCs/>
          <w:iCs/>
        </w:rPr>
        <w:t xml:space="preserve">a timeline of transitioning to a competitive standard offer within </w:t>
      </w:r>
      <w:r w:rsidR="0016784D">
        <w:rPr>
          <w:rFonts w:hAnsi="Times New Roman" w:cs="Times New Roman"/>
          <w:bCs/>
          <w:iCs/>
        </w:rPr>
        <w:t>18</w:t>
      </w:r>
      <w:r w:rsidRPr="00C61C43" w:rsidR="0016784D">
        <w:rPr>
          <w:rFonts w:hAnsi="Times New Roman" w:cs="Times New Roman"/>
          <w:bCs/>
          <w:iCs/>
        </w:rPr>
        <w:t xml:space="preserve"> </w:t>
      </w:r>
      <w:r w:rsidRPr="00C61C43" w:rsidR="00C61C43">
        <w:rPr>
          <w:rFonts w:hAnsi="Times New Roman" w:cs="Times New Roman"/>
          <w:bCs/>
          <w:iCs/>
        </w:rPr>
        <w:t xml:space="preserve">months if there is convincing evidence that a competitively bid standard </w:t>
      </w:r>
      <w:r w:rsidR="0016784D">
        <w:rPr>
          <w:rFonts w:hAnsi="Times New Roman" w:cs="Times New Roman"/>
          <w:bCs/>
          <w:iCs/>
        </w:rPr>
        <w:t xml:space="preserve">service </w:t>
      </w:r>
      <w:r w:rsidRPr="00C61C43" w:rsidR="00C61C43">
        <w:rPr>
          <w:rFonts w:hAnsi="Times New Roman" w:cs="Times New Roman"/>
          <w:bCs/>
          <w:iCs/>
        </w:rPr>
        <w:t xml:space="preserve">offer would deliver the optimal pricing standards contemplated in ORC 4905.32 (C)(2)(b) </w:t>
      </w:r>
      <w:r w:rsidR="0016784D">
        <w:rPr>
          <w:rFonts w:hAnsi="Times New Roman" w:cs="Times New Roman"/>
          <w:bCs/>
          <w:iCs/>
        </w:rPr>
        <w:t>that</w:t>
      </w:r>
      <w:r w:rsidRPr="00C61C43" w:rsidR="0016784D">
        <w:rPr>
          <w:rFonts w:hAnsi="Times New Roman" w:cs="Times New Roman"/>
          <w:bCs/>
          <w:iCs/>
        </w:rPr>
        <w:t xml:space="preserve"> </w:t>
      </w:r>
      <w:r w:rsidRPr="00C61C43" w:rsidR="00C61C43">
        <w:rPr>
          <w:rFonts w:hAnsi="Times New Roman" w:cs="Times New Roman"/>
          <w:bCs/>
          <w:iCs/>
        </w:rPr>
        <w:t>would benefit consumers.</w:t>
      </w:r>
      <w:r>
        <w:rPr>
          <w:rStyle w:val="FootnoteReference"/>
          <w:rFonts w:hAnsi="Times New Roman" w:cs="Times New Roman"/>
          <w:bCs/>
          <w:iCs/>
        </w:rPr>
        <w:footnoteReference w:id="62"/>
      </w:r>
      <w:r w:rsidRPr="00C61C43" w:rsidR="00C61C43">
        <w:rPr>
          <w:rFonts w:hAnsi="Times New Roman" w:cs="Times New Roman"/>
          <w:bCs/>
          <w:iCs/>
        </w:rPr>
        <w:t xml:space="preserve">  </w:t>
      </w:r>
    </w:p>
    <w:p w:rsidR="000E5054" w:rsidP="000E5054">
      <w:pPr>
        <w:pStyle w:val="BodyA"/>
        <w:spacing w:line="480" w:lineRule="auto"/>
        <w:ind w:firstLine="720"/>
        <w:rPr>
          <w:rFonts w:hAnsi="Times New Roman" w:cs="Times New Roman"/>
          <w:bCs/>
          <w:iCs/>
        </w:rPr>
      </w:pPr>
      <w:r>
        <w:rPr>
          <w:rFonts w:hAnsi="Times New Roman" w:cs="Times New Roman"/>
          <w:bCs/>
          <w:iCs/>
        </w:rPr>
        <w:t>Therefore, t</w:t>
      </w:r>
      <w:r w:rsidRPr="00C61C43">
        <w:rPr>
          <w:rFonts w:hAnsi="Times New Roman" w:cs="Times New Roman"/>
          <w:bCs/>
          <w:iCs/>
        </w:rPr>
        <w:t xml:space="preserve">he PUCO should </w:t>
      </w:r>
      <w:r w:rsidR="008D7A28">
        <w:rPr>
          <w:rFonts w:hAnsi="Times New Roman" w:cs="Times New Roman"/>
          <w:bCs/>
          <w:iCs/>
        </w:rPr>
        <w:t xml:space="preserve">modify the Settlement by </w:t>
      </w:r>
      <w:r w:rsidRPr="00C61C43">
        <w:rPr>
          <w:rFonts w:hAnsi="Times New Roman" w:cs="Times New Roman"/>
          <w:bCs/>
          <w:iCs/>
        </w:rPr>
        <w:t>order</w:t>
      </w:r>
      <w:r w:rsidR="008D7A28">
        <w:rPr>
          <w:rFonts w:hAnsi="Times New Roman" w:cs="Times New Roman"/>
          <w:bCs/>
          <w:iCs/>
        </w:rPr>
        <w:t>ing</w:t>
      </w:r>
      <w:r w:rsidRPr="00C61C43">
        <w:rPr>
          <w:rFonts w:hAnsi="Times New Roman" w:cs="Times New Roman"/>
          <w:bCs/>
          <w:iCs/>
        </w:rPr>
        <w:t xml:space="preserve"> </w:t>
      </w:r>
      <w:r>
        <w:rPr>
          <w:rFonts w:hAnsi="Times New Roman" w:cs="Times New Roman"/>
          <w:bCs/>
          <w:iCs/>
        </w:rPr>
        <w:t>Duke to transition from the gas cost recovery mechanism to a standard service offer procurement mechanism</w:t>
      </w:r>
      <w:r w:rsidRPr="00C61C43">
        <w:rPr>
          <w:rFonts w:hAnsi="Times New Roman" w:cs="Times New Roman"/>
          <w:bCs/>
          <w:iCs/>
        </w:rPr>
        <w:t xml:space="preserve"> </w:t>
      </w:r>
      <w:r w:rsidR="008D7A28">
        <w:rPr>
          <w:rFonts w:hAnsi="Times New Roman" w:cs="Times New Roman"/>
          <w:bCs/>
          <w:iCs/>
        </w:rPr>
        <w:t xml:space="preserve">to benefit consumers, unless </w:t>
      </w:r>
      <w:r w:rsidRPr="00C61C43">
        <w:rPr>
          <w:rFonts w:hAnsi="Times New Roman" w:cs="Times New Roman"/>
          <w:bCs/>
          <w:iCs/>
        </w:rPr>
        <w:t xml:space="preserve">Duke can affirmatively show that its </w:t>
      </w:r>
      <w:r>
        <w:rPr>
          <w:rFonts w:hAnsi="Times New Roman" w:cs="Times New Roman"/>
          <w:bCs/>
          <w:iCs/>
        </w:rPr>
        <w:t>gas cost recovery</w:t>
      </w:r>
      <w:r w:rsidRPr="00C61C43">
        <w:rPr>
          <w:rFonts w:hAnsi="Times New Roman" w:cs="Times New Roman"/>
          <w:bCs/>
          <w:iCs/>
        </w:rPr>
        <w:t xml:space="preserve"> process </w:t>
      </w:r>
      <w:r w:rsidR="00050DBA">
        <w:rPr>
          <w:rFonts w:hAnsi="Times New Roman" w:cs="Times New Roman"/>
          <w:bCs/>
          <w:iCs/>
        </w:rPr>
        <w:t>would benefit consumers</w:t>
      </w:r>
      <w:r w:rsidRPr="00C61C43">
        <w:rPr>
          <w:rFonts w:hAnsi="Times New Roman" w:cs="Times New Roman"/>
          <w:bCs/>
          <w:iCs/>
        </w:rPr>
        <w:t xml:space="preserve">. </w:t>
      </w:r>
    </w:p>
    <w:p w:rsidR="00012C8F" w:rsidP="006D30BD">
      <w:pPr>
        <w:pStyle w:val="Heading3"/>
      </w:pPr>
      <w:bookmarkStart w:id="8" w:name="_Toc22048352"/>
      <w:r>
        <w:t>3.</w:t>
      </w:r>
      <w:r>
        <w:tab/>
      </w:r>
      <w:r w:rsidR="00DE592E">
        <w:t>To benefit consumers, t</w:t>
      </w:r>
      <w:r>
        <w:t>he PUCO should order Duke to provide information to the public regarding the natural gas commodity price differences between what marketer and gas cost recovery customers are paying.</w:t>
      </w:r>
      <w:bookmarkEnd w:id="8"/>
    </w:p>
    <w:p w:rsidR="00980C3F" w:rsidP="002D4755">
      <w:pPr>
        <w:spacing w:line="480" w:lineRule="auto"/>
        <w:ind w:firstLine="720"/>
      </w:pPr>
      <w:r>
        <w:t>In Duke’s previous GCR audit, Exeter found that GCR customers paid approximately $7 million per year less than marketer customers.</w:t>
      </w:r>
      <w:r>
        <w:rPr>
          <w:rStyle w:val="FootnoteReference"/>
        </w:rPr>
        <w:footnoteReference w:id="63"/>
      </w:r>
      <w:r>
        <w:t>And although Exeter did not examine the difference between the commodity costs Duke’s GCR customers paid compared to marketers in this case, OCC Witness Michael Haugh did.</w:t>
      </w:r>
      <w:r>
        <w:rPr>
          <w:rStyle w:val="FootnoteReference"/>
        </w:rPr>
        <w:footnoteReference w:id="64"/>
      </w:r>
      <w:r>
        <w:t xml:space="preserve"> </w:t>
      </w:r>
    </w:p>
    <w:p w:rsidR="00980C3F" w:rsidP="44BBC7B9">
      <w:pPr>
        <w:spacing w:line="480" w:lineRule="auto"/>
        <w:ind w:firstLine="720"/>
      </w:pPr>
      <w:r w:rsidRPr="44BBC7B9">
        <w:t>Mr. Haugh explains</w:t>
      </w:r>
      <w:r w:rsidR="44BBC7B9">
        <w:t xml:space="preserve"> that </w:t>
      </w:r>
      <w:r w:rsidR="004E06E4">
        <w:t>i</w:t>
      </w:r>
      <w:r w:rsidR="44BBC7B9">
        <w:t>n discovery</w:t>
      </w:r>
      <w:r w:rsidRPr="44BBC7B9">
        <w:t xml:space="preserve">, </w:t>
      </w:r>
      <w:r w:rsidRPr="44BBC7B9">
        <w:t>Duke provided 2018 information</w:t>
      </w:r>
      <w:r>
        <w:rPr>
          <w:vertAlign w:val="superscript"/>
        </w:rPr>
        <w:footnoteReference w:id="65"/>
      </w:r>
      <w:r w:rsidRPr="44BBC7B9">
        <w:t>on residential GCR and marketer customer commodity costs.</w:t>
      </w:r>
      <w:r>
        <w:rPr>
          <w:rStyle w:val="FootnoteReference"/>
        </w:rPr>
        <w:footnoteReference w:id="66"/>
      </w:r>
      <w:r w:rsidRPr="44BBC7B9">
        <w:t xml:space="preserve"> Mr. Haugh then took the total amount charged to marketer customers in 2018 and divided that by total volumes billed to marketer customers, which provided the average price marketers in Duke’s area charged customers.</w:t>
      </w:r>
      <w:r>
        <w:rPr>
          <w:rStyle w:val="FootnoteReference"/>
        </w:rPr>
        <w:footnoteReference w:id="67"/>
      </w:r>
      <w:r w:rsidRPr="44BBC7B9">
        <w:t xml:space="preserve"> </w:t>
      </w:r>
      <w:r>
        <w:t xml:space="preserve"> OCC Witness Haugh next applied the same calculation to Duke’s GCR customers and found that, in the aggregate, they paid less for natural gas than marketers customers by $11.3 million</w:t>
      </w:r>
      <w:r w:rsidR="004E06E4">
        <w:t>.</w:t>
      </w:r>
      <w:r>
        <w:rPr>
          <w:rStyle w:val="FootnoteReference"/>
        </w:rPr>
        <w:footnoteReference w:id="68"/>
      </w:r>
    </w:p>
    <w:p w:rsidR="006D30BD" w:rsidP="00980C3F">
      <w:pPr>
        <w:pStyle w:val="BodyA"/>
        <w:spacing w:line="480" w:lineRule="auto"/>
        <w:ind w:left="2880" w:firstLine="720"/>
        <w:rPr>
          <w:b/>
          <w:bCs/>
          <w:iCs/>
          <w:u w:val="single"/>
        </w:rPr>
        <w:sectPr w:rsidSect="009A5E9A">
          <w:headerReference w:type="default" r:id="rId14"/>
          <w:pgSz w:w="12240" w:h="15840" w:code="1"/>
          <w:pgMar w:top="1440" w:right="1800" w:bottom="1440" w:left="1800" w:header="720" w:footer="720" w:gutter="0"/>
          <w:cols w:space="720"/>
          <w:docGrid w:linePitch="360"/>
        </w:sectPr>
      </w:pPr>
    </w:p>
    <w:p w:rsidR="00980C3F" w:rsidRPr="000C6D3D" w:rsidP="00980C3F">
      <w:pPr>
        <w:pStyle w:val="BodyA"/>
        <w:spacing w:line="480" w:lineRule="auto"/>
        <w:ind w:left="2880" w:firstLine="720"/>
        <w:rPr>
          <w:b/>
          <w:bCs/>
          <w:iCs/>
          <w:u w:val="single"/>
        </w:rPr>
      </w:pPr>
      <w:r>
        <w:rPr>
          <w:b/>
          <w:bCs/>
          <w:iCs/>
          <w:u w:val="single"/>
        </w:rPr>
        <w:t>Marketer</w:t>
      </w:r>
      <w:r w:rsidRPr="000C6D3D">
        <w:rPr>
          <w:b/>
          <w:bCs/>
          <w:iCs/>
          <w:u w:val="single"/>
        </w:rPr>
        <w:tab/>
      </w:r>
      <w:r w:rsidRPr="000C6D3D">
        <w:rPr>
          <w:b/>
          <w:bCs/>
          <w:iCs/>
          <w:u w:val="single"/>
        </w:rPr>
        <w:tab/>
      </w:r>
      <w:r w:rsidRPr="000C6D3D">
        <w:rPr>
          <w:b/>
          <w:bCs/>
          <w:iCs/>
          <w:u w:val="single"/>
        </w:rPr>
        <w:tab/>
        <w:t>GCR</w:t>
      </w:r>
      <w:r>
        <w:rPr>
          <w:b/>
          <w:bCs/>
          <w:iCs/>
          <w:u w:val="single"/>
        </w:rPr>
        <w:tab/>
      </w:r>
      <w:r>
        <w:rPr>
          <w:b/>
          <w:bCs/>
          <w:iCs/>
          <w:u w:val="single"/>
        </w:rPr>
        <w:tab/>
      </w:r>
    </w:p>
    <w:p w:rsidR="00980C3F" w:rsidP="00980C3F">
      <w:pPr>
        <w:pStyle w:val="BodyA"/>
        <w:spacing w:line="480" w:lineRule="auto"/>
        <w:ind w:left="720" w:hanging="720"/>
        <w:rPr>
          <w:bCs/>
          <w:iCs/>
        </w:rPr>
      </w:pPr>
      <w:r>
        <w:rPr>
          <w:bCs/>
          <w:iCs/>
        </w:rPr>
        <w:tab/>
      </w:r>
      <w:r w:rsidRPr="000C6D3D">
        <w:rPr>
          <w:b/>
          <w:bCs/>
          <w:iCs/>
        </w:rPr>
        <w:t>Volumes (Mcf)</w:t>
      </w:r>
      <w:r>
        <w:rPr>
          <w:bCs/>
          <w:iCs/>
        </w:rPr>
        <w:tab/>
      </w:r>
      <w:r>
        <w:rPr>
          <w:bCs/>
          <w:iCs/>
        </w:rPr>
        <w:tab/>
        <w:t>19,370,462</w:t>
      </w:r>
      <w:r>
        <w:rPr>
          <w:bCs/>
          <w:iCs/>
        </w:rPr>
        <w:tab/>
      </w:r>
      <w:r>
        <w:rPr>
          <w:bCs/>
          <w:iCs/>
        </w:rPr>
        <w:tab/>
      </w:r>
      <w:r>
        <w:rPr>
          <w:bCs/>
          <w:iCs/>
        </w:rPr>
        <w:tab/>
        <w:t>12,476,380</w:t>
      </w:r>
      <w:r>
        <w:rPr>
          <w:bCs/>
          <w:iCs/>
        </w:rPr>
        <w:tab/>
      </w:r>
    </w:p>
    <w:p w:rsidR="00980C3F" w:rsidP="00980C3F">
      <w:pPr>
        <w:pStyle w:val="BodyA"/>
        <w:spacing w:line="480" w:lineRule="auto"/>
        <w:ind w:left="720" w:hanging="720"/>
        <w:rPr>
          <w:bCs/>
          <w:iCs/>
        </w:rPr>
      </w:pPr>
      <w:r>
        <w:rPr>
          <w:bCs/>
          <w:iCs/>
        </w:rPr>
        <w:tab/>
      </w:r>
      <w:r w:rsidRPr="000C6D3D">
        <w:rPr>
          <w:b/>
          <w:bCs/>
          <w:iCs/>
        </w:rPr>
        <w:t>Costs</w:t>
      </w:r>
      <w:r>
        <w:rPr>
          <w:bCs/>
          <w:iCs/>
        </w:rPr>
        <w:tab/>
      </w:r>
      <w:r>
        <w:rPr>
          <w:bCs/>
          <w:iCs/>
        </w:rPr>
        <w:tab/>
      </w:r>
      <w:r>
        <w:rPr>
          <w:bCs/>
          <w:iCs/>
        </w:rPr>
        <w:tab/>
      </w:r>
      <w:r>
        <w:rPr>
          <w:bCs/>
          <w:iCs/>
        </w:rPr>
        <w:tab/>
        <w:t>$101,773,935</w:t>
      </w:r>
      <w:r>
        <w:rPr>
          <w:bCs/>
          <w:iCs/>
        </w:rPr>
        <w:tab/>
      </w:r>
      <w:r>
        <w:rPr>
          <w:bCs/>
          <w:iCs/>
        </w:rPr>
        <w:tab/>
      </w:r>
      <w:r w:rsidR="007B727E">
        <w:rPr>
          <w:bCs/>
          <w:iCs/>
        </w:rPr>
        <w:tab/>
      </w:r>
      <w:r>
        <w:rPr>
          <w:bCs/>
          <w:iCs/>
        </w:rPr>
        <w:t>$58,245,730</w:t>
      </w:r>
    </w:p>
    <w:p w:rsidR="00980C3F" w:rsidP="00980C3F">
      <w:pPr>
        <w:pStyle w:val="BodyA"/>
        <w:spacing w:line="480" w:lineRule="auto"/>
        <w:ind w:left="720" w:hanging="720"/>
        <w:rPr>
          <w:bCs/>
          <w:iCs/>
        </w:rPr>
      </w:pPr>
      <w:r>
        <w:rPr>
          <w:bCs/>
          <w:iCs/>
        </w:rPr>
        <w:tab/>
      </w:r>
      <w:r w:rsidRPr="000C6D3D">
        <w:rPr>
          <w:b/>
          <w:bCs/>
          <w:iCs/>
        </w:rPr>
        <w:t>Average Cost</w:t>
      </w:r>
      <w:r>
        <w:rPr>
          <w:bCs/>
          <w:iCs/>
        </w:rPr>
        <w:tab/>
      </w:r>
      <w:r>
        <w:rPr>
          <w:bCs/>
          <w:iCs/>
        </w:rPr>
        <w:tab/>
      </w:r>
      <w:r>
        <w:rPr>
          <w:bCs/>
          <w:iCs/>
        </w:rPr>
        <w:tab/>
        <w:t>$5.25/Mcf</w:t>
      </w:r>
      <w:r>
        <w:rPr>
          <w:bCs/>
          <w:iCs/>
        </w:rPr>
        <w:tab/>
      </w:r>
      <w:r>
        <w:rPr>
          <w:bCs/>
          <w:iCs/>
        </w:rPr>
        <w:tab/>
      </w:r>
      <w:r>
        <w:rPr>
          <w:bCs/>
          <w:iCs/>
        </w:rPr>
        <w:tab/>
        <w:t>$4.67/Mcf</w:t>
      </w:r>
    </w:p>
    <w:p w:rsidR="00980C3F" w:rsidP="00980C3F">
      <w:pPr>
        <w:pStyle w:val="BodyA"/>
        <w:spacing w:line="480" w:lineRule="auto"/>
        <w:ind w:left="720" w:hanging="720"/>
        <w:rPr>
          <w:bCs/>
          <w:iCs/>
        </w:rPr>
      </w:pPr>
      <w:r>
        <w:rPr>
          <w:bCs/>
          <w:iCs/>
        </w:rPr>
        <w:tab/>
      </w:r>
      <w:r w:rsidRPr="000C6D3D">
        <w:rPr>
          <w:b/>
          <w:bCs/>
          <w:iCs/>
        </w:rPr>
        <w:t>Difference</w:t>
      </w:r>
      <w:r>
        <w:rPr>
          <w:bCs/>
          <w:iCs/>
        </w:rPr>
        <w:tab/>
      </w:r>
      <w:r>
        <w:rPr>
          <w:bCs/>
          <w:iCs/>
        </w:rPr>
        <w:tab/>
      </w:r>
      <w:r>
        <w:rPr>
          <w:bCs/>
          <w:iCs/>
        </w:rPr>
        <w:tab/>
        <w:t>$0.59/Mcf</w:t>
      </w:r>
    </w:p>
    <w:p w:rsidR="00980C3F" w:rsidRPr="00F00951" w:rsidP="00980C3F">
      <w:pPr>
        <w:pStyle w:val="BodyA"/>
        <w:spacing w:line="480" w:lineRule="auto"/>
        <w:ind w:left="720" w:hanging="720"/>
        <w:rPr>
          <w:bCs/>
          <w:iCs/>
        </w:rPr>
      </w:pPr>
      <w:r>
        <w:rPr>
          <w:bCs/>
          <w:iCs/>
        </w:rPr>
        <w:tab/>
      </w:r>
      <w:r w:rsidRPr="000C6D3D">
        <w:rPr>
          <w:b/>
          <w:bCs/>
          <w:iCs/>
        </w:rPr>
        <w:t>Total Cost</w:t>
      </w:r>
      <w:r>
        <w:rPr>
          <w:b/>
          <w:bCs/>
          <w:iCs/>
        </w:rPr>
        <w:t xml:space="preserve"> Difference</w:t>
      </w:r>
      <w:r>
        <w:rPr>
          <w:bCs/>
          <w:iCs/>
        </w:rPr>
        <w:tab/>
      </w:r>
      <w:r>
        <w:rPr>
          <w:bCs/>
          <w:iCs/>
        </w:rPr>
        <w:tab/>
      </w:r>
      <w:r>
        <w:rPr>
          <w:bCs/>
          <w:iCs/>
        </w:rPr>
        <w:tab/>
      </w:r>
      <w:r w:rsidRPr="000C6D3D">
        <w:rPr>
          <w:rFonts w:ascii="Times New Roman Bold" w:hAnsi="Times New Roman Bold"/>
          <w:b/>
          <w:bCs/>
          <w:iCs/>
          <w:u w:val="double"/>
        </w:rPr>
        <w:t>$11,343,321</w:t>
      </w:r>
    </w:p>
    <w:p w:rsidR="00980C3F" w:rsidP="00D364BD">
      <w:pPr>
        <w:ind w:firstLine="720"/>
      </w:pPr>
    </w:p>
    <w:p w:rsidR="00980C3F" w:rsidP="002D4755">
      <w:pPr>
        <w:spacing w:line="480" w:lineRule="auto"/>
        <w:ind w:firstLine="720"/>
        <w:rPr>
          <w:bCs/>
          <w:iCs/>
        </w:rPr>
      </w:pPr>
      <w:r>
        <w:t xml:space="preserve">OCC Witness Haugh’s analysis shows that </w:t>
      </w:r>
      <w:r w:rsidRPr="44BBC7B9">
        <w:t>in 2018 marketer customers paid about $11 million more than Duke’s GCR customers.</w:t>
      </w:r>
      <w:r>
        <w:rPr>
          <w:rStyle w:val="FootnoteReference"/>
        </w:rPr>
        <w:footnoteReference w:id="69"/>
      </w:r>
      <w:r w:rsidRPr="44BBC7B9">
        <w:t xml:space="preserve"> That is even worse for consumers than in the previous audit period where marketer customers paid $7 million above Duke’s GCR.</w:t>
      </w:r>
      <w:r>
        <w:rPr>
          <w:rStyle w:val="FootnoteReference"/>
        </w:rPr>
        <w:footnoteReference w:id="70"/>
      </w:r>
      <w:r w:rsidRPr="44BBC7B9">
        <w:t xml:space="preserve"> Part of this difference can be attributed to more customers shopping in 2018 than during the previous audit period</w:t>
      </w:r>
      <w:r w:rsidRPr="44BBC7B9" w:rsidR="00EC4E69">
        <w:t>, explained Mr. Haugh</w:t>
      </w:r>
      <w:r w:rsidRPr="44BBC7B9">
        <w:t>.</w:t>
      </w:r>
      <w:r>
        <w:rPr>
          <w:rStyle w:val="FootnoteReference"/>
        </w:rPr>
        <w:footnoteReference w:id="71"/>
      </w:r>
      <w:r w:rsidRPr="44BBC7B9">
        <w:t xml:space="preserve"> This one year</w:t>
      </w:r>
      <w:r w:rsidR="004E06E4">
        <w:t xml:space="preserve"> time frame</w:t>
      </w:r>
      <w:r w:rsidRPr="44BBC7B9">
        <w:t xml:space="preserve"> equates to roughly $48 per customer that shopped in 2018.</w:t>
      </w:r>
      <w:r>
        <w:rPr>
          <w:rStyle w:val="FootnoteReference"/>
        </w:rPr>
        <w:footnoteReference w:id="72"/>
      </w:r>
    </w:p>
    <w:p w:rsidR="002D4755" w:rsidP="002D4755">
      <w:pPr>
        <w:spacing w:line="480" w:lineRule="auto"/>
        <w:ind w:firstLine="720"/>
        <w:rPr>
          <w:bCs/>
          <w:iCs/>
        </w:rPr>
      </w:pPr>
      <w:r w:rsidRPr="44BBC7B9">
        <w:t>As Mr. Haugh explained, it is very concerning that the discrepancy between marketer and GCR customers has increased by 57% since the last audit period.</w:t>
      </w:r>
      <w:r>
        <w:rPr>
          <w:vertAlign w:val="superscript"/>
        </w:rPr>
        <w:footnoteReference w:id="73"/>
      </w:r>
      <w:r w:rsidRPr="44BBC7B9">
        <w:rPr>
          <w:vertAlign w:val="superscript"/>
        </w:rPr>
        <w:t xml:space="preserve"> </w:t>
      </w:r>
      <w:r w:rsidRPr="44BBC7B9">
        <w:t>This information should be provided to customers looking to shop for a supplier.</w:t>
      </w:r>
      <w:r>
        <w:rPr>
          <w:rStyle w:val="FootnoteReference"/>
        </w:rPr>
        <w:footnoteReference w:id="74"/>
      </w:r>
      <w:r w:rsidRPr="44BBC7B9">
        <w:t xml:space="preserve"> The discrepancy in cost between marketers and GCR is easily calculated and provides customers information that would be helpful in choosing a supplier.</w:t>
      </w:r>
      <w:r>
        <w:rPr>
          <w:rStyle w:val="FootnoteReference"/>
        </w:rPr>
        <w:footnoteReference w:id="75"/>
      </w:r>
      <w:r w:rsidRPr="44BBC7B9">
        <w:t xml:space="preserve"> This information demonstrates that most shopping (marketer) customers are paying more than if they were to stay with the GCR.</w:t>
      </w:r>
      <w:r>
        <w:rPr>
          <w:rStyle w:val="FootnoteReference"/>
        </w:rPr>
        <w:footnoteReference w:id="76"/>
      </w:r>
      <w:r w:rsidRPr="44BBC7B9">
        <w:t xml:space="preserve"> The cost discrepancy could easily be placed on the PUCO’s Apples to Apples page or as a line item on customers’ bills</w:t>
      </w:r>
      <w:r w:rsidRPr="44BBC7B9" w:rsidR="00EC4E69">
        <w:t>, suggests Mr. Haugh</w:t>
      </w:r>
      <w:r w:rsidRPr="44BBC7B9">
        <w:t>.</w:t>
      </w:r>
      <w:r>
        <w:rPr>
          <w:rStyle w:val="FootnoteReference"/>
        </w:rPr>
        <w:footnoteReference w:id="77"/>
      </w:r>
      <w:r w:rsidRPr="44BBC7B9">
        <w:t xml:space="preserve"> </w:t>
      </w:r>
    </w:p>
    <w:p w:rsidR="00EC4E69" w:rsidP="002D4755">
      <w:pPr>
        <w:spacing w:line="480" w:lineRule="auto"/>
        <w:ind w:firstLine="720"/>
        <w:rPr>
          <w:bCs/>
          <w:iCs/>
        </w:rPr>
      </w:pPr>
      <w:r w:rsidRPr="44BBC7B9">
        <w:t>As Mr. Haugh points out, the</w:t>
      </w:r>
      <w:r w:rsidRPr="44BBC7B9" w:rsidR="002D4755">
        <w:t xml:space="preserve"> PUCO currently has a docket open in Case No. 19-1429-GA-ORD concerning the Minimum Gas Service Standards (“MGSS”) embodied in Ohio Adm. Code 4901:1-13.</w:t>
      </w:r>
      <w:r>
        <w:rPr>
          <w:rStyle w:val="FootnoteReference"/>
        </w:rPr>
        <w:footnoteReference w:id="78"/>
      </w:r>
      <w:r w:rsidRPr="44BBC7B9" w:rsidR="002D4755">
        <w:t xml:space="preserve"> These rules involve the minimum content of customer bills provided by natural gas utilities, including bill messages to consumers.</w:t>
      </w:r>
      <w:r>
        <w:rPr>
          <w:rStyle w:val="FootnoteReference"/>
        </w:rPr>
        <w:footnoteReference w:id="79"/>
      </w:r>
      <w:r w:rsidRPr="44BBC7B9" w:rsidR="002D4755">
        <w:t xml:space="preserve"> </w:t>
      </w:r>
      <w:r w:rsidRPr="44BBC7B9" w:rsidR="00DE592E">
        <w:t>T</w:t>
      </w:r>
      <w:r w:rsidRPr="44BBC7B9" w:rsidR="002D4755">
        <w:t>his open docket affords the perfect opportunity for the PUCO to address what information should be provided to consumers regarding comparison prices and savings gained or lost by customers participating in competitive choice programs.</w:t>
      </w:r>
      <w:r>
        <w:rPr>
          <w:rStyle w:val="FootnoteReference"/>
        </w:rPr>
        <w:footnoteReference w:id="80"/>
      </w:r>
      <w:r w:rsidRPr="44BBC7B9" w:rsidR="002D4755">
        <w:t xml:space="preserve"> </w:t>
      </w:r>
    </w:p>
    <w:p w:rsidR="00035431" w:rsidRPr="002D4755" w:rsidP="002D4755">
      <w:pPr>
        <w:spacing w:line="480" w:lineRule="auto"/>
        <w:ind w:firstLine="720"/>
        <w:rPr>
          <w:bCs/>
          <w:iCs/>
        </w:rPr>
      </w:pPr>
      <w:r>
        <w:t>For this case, OCC therefore recommends that the PUCO order Duke to provide information to the public regarding the natural gas commodity price differences between what marketer and GCR customers are paying.</w:t>
      </w:r>
    </w:p>
    <w:p w:rsidR="00035431" w:rsidP="00D224FB">
      <w:pPr>
        <w:pStyle w:val="Heading2"/>
      </w:pPr>
      <w:bookmarkStart w:id="9" w:name="_Toc22048353"/>
      <w:r w:rsidRPr="00035431">
        <w:t xml:space="preserve">The </w:t>
      </w:r>
      <w:r w:rsidRPr="00547FB4">
        <w:t>Settlement</w:t>
      </w:r>
      <w:r w:rsidRPr="00035431">
        <w:t xml:space="preserve"> violates </w:t>
      </w:r>
      <w:r w:rsidR="000A040C">
        <w:t xml:space="preserve">other </w:t>
      </w:r>
      <w:r w:rsidRPr="00035431">
        <w:t>important regulatory principles and practices</w:t>
      </w:r>
      <w:r w:rsidR="000A040C">
        <w:t xml:space="preserve">, </w:t>
      </w:r>
      <w:r w:rsidR="004E06E4">
        <w:t xml:space="preserve">which </w:t>
      </w:r>
      <w:r w:rsidR="000A040C">
        <w:t>should be modified or rejected to protect consumers</w:t>
      </w:r>
      <w:r w:rsidRPr="00035431">
        <w:t>.</w:t>
      </w:r>
      <w:bookmarkEnd w:id="9"/>
    </w:p>
    <w:p w:rsidR="002D4755" w:rsidP="002D4755">
      <w:pPr>
        <w:spacing w:line="480" w:lineRule="auto"/>
        <w:ind w:firstLine="720"/>
        <w:rPr>
          <w:bCs/>
          <w:iCs/>
        </w:rPr>
      </w:pPr>
      <w:r w:rsidRPr="44BBC7B9">
        <w:t xml:space="preserve">As OCC Expert Witness Haugh stated in his testimony, </w:t>
      </w:r>
      <w:r w:rsidRPr="44BBC7B9">
        <w:t>Ohio law requires a natural gas company’s procurement planning to maintain reliable service at optimal prices.</w:t>
      </w:r>
      <w:r>
        <w:rPr>
          <w:vertAlign w:val="superscript"/>
        </w:rPr>
        <w:footnoteReference w:id="81"/>
      </w:r>
      <w:r w:rsidRPr="44BBC7B9">
        <w:t xml:space="preserve"> </w:t>
      </w:r>
      <w:r w:rsidRPr="44BBC7B9" w:rsidR="00DE592E">
        <w:t>Further</w:t>
      </w:r>
      <w:r w:rsidRPr="44BBC7B9" w:rsidR="001A7FAB">
        <w:t>, i</w:t>
      </w:r>
      <w:r w:rsidRPr="44BBC7B9">
        <w:t>gnoring alternatives such as using a competitive auction process to procure natural gas, like the other three large gas utilities in Ohio have done, results in prices that may be less than optimal and are potentially unreasonable for consumers.</w:t>
      </w:r>
      <w:r>
        <w:rPr>
          <w:vertAlign w:val="superscript"/>
        </w:rPr>
        <w:footnoteReference w:id="82"/>
      </w:r>
      <w:r w:rsidRPr="00CD16A3" w:rsidR="00CD16A3">
        <w:rPr>
          <w:bCs/>
          <w:iCs/>
        </w:rPr>
        <w:t xml:space="preserve"> </w:t>
      </w:r>
      <w:r w:rsidR="00CD16A3">
        <w:rPr>
          <w:bCs/>
          <w:iCs/>
        </w:rPr>
        <w:t xml:space="preserve">Mr. Haugh points out that </w:t>
      </w:r>
      <w:r w:rsidRPr="00D224FB" w:rsidR="00CD16A3">
        <w:rPr>
          <w:bCs/>
          <w:iCs/>
        </w:rPr>
        <w:t>an appropriate regulatory principle in Ohio has been that energy utility default rates should be priced according to a competitive auction, to benefit consumers.</w:t>
      </w:r>
      <w:r>
        <w:rPr>
          <w:rStyle w:val="FootnoteReference"/>
          <w:bCs/>
          <w:iCs/>
        </w:rPr>
        <w:footnoteReference w:id="83"/>
      </w:r>
      <w:r w:rsidRPr="44BBC7B9">
        <w:t xml:space="preserve">   </w:t>
      </w:r>
    </w:p>
    <w:p w:rsidR="002D4755" w:rsidP="002D4755">
      <w:pPr>
        <w:spacing w:line="480" w:lineRule="auto"/>
        <w:ind w:firstLine="720"/>
      </w:pPr>
      <w:r w:rsidRPr="44BBC7B9">
        <w:t>The Settlement also violates the important principle of cost-causation.</w:t>
      </w:r>
      <w:r>
        <w:rPr>
          <w:rStyle w:val="FootnoteReference"/>
        </w:rPr>
        <w:footnoteReference w:id="84"/>
      </w:r>
      <w:r w:rsidRPr="44BBC7B9">
        <w:t xml:space="preserve"> It ignores an auditor recommendation that would have more fairly allocated the incremental propane costs to all firm transportation customers who benefited from the use of the propane facilities during the audit period rather than to just GCR customers.</w:t>
      </w:r>
      <w:r>
        <w:rPr>
          <w:rStyle w:val="FootnoteReference"/>
        </w:rPr>
        <w:footnoteReference w:id="85"/>
      </w:r>
      <w:r w:rsidRPr="00CD16A3" w:rsidR="00CD16A3">
        <w:t xml:space="preserve"> </w:t>
      </w:r>
      <w:r w:rsidRPr="44BBC7B9" w:rsidR="00CD16A3">
        <w:t>The Settlement is also inconsistent with the regulatory practice of assessing costs to those who caused or benefited from the expenditure.</w:t>
      </w:r>
      <w:r>
        <w:rPr>
          <w:rStyle w:val="FootnoteReference"/>
        </w:rPr>
        <w:footnoteReference w:id="86"/>
      </w:r>
    </w:p>
    <w:p w:rsidR="00CD16A3" w:rsidRPr="00D224FB" w:rsidP="00CD16A3">
      <w:pPr>
        <w:pStyle w:val="BodyA"/>
        <w:spacing w:line="480" w:lineRule="auto"/>
        <w:ind w:firstLine="720"/>
        <w:rPr>
          <w:rFonts w:hAnsi="Times New Roman" w:cs="Times New Roman"/>
          <w:bCs/>
          <w:iCs/>
        </w:rPr>
      </w:pPr>
      <w:r w:rsidRPr="00D224FB">
        <w:rPr>
          <w:rFonts w:hAnsi="Times New Roman" w:cs="Times New Roman"/>
          <w:bCs/>
          <w:iCs/>
        </w:rPr>
        <w:t xml:space="preserve">Finally, </w:t>
      </w:r>
      <w:r>
        <w:rPr>
          <w:rFonts w:hAnsi="Times New Roman" w:cs="Times New Roman"/>
          <w:bCs/>
          <w:iCs/>
        </w:rPr>
        <w:t xml:space="preserve">OCC recommends that </w:t>
      </w:r>
      <w:r w:rsidRPr="00D224FB">
        <w:rPr>
          <w:rFonts w:hAnsi="Times New Roman" w:cs="Times New Roman"/>
          <w:bCs/>
          <w:iCs/>
        </w:rPr>
        <w:t xml:space="preserve">the Settlement should </w:t>
      </w:r>
      <w:r>
        <w:rPr>
          <w:rFonts w:hAnsi="Times New Roman" w:cs="Times New Roman"/>
          <w:bCs/>
          <w:iCs/>
        </w:rPr>
        <w:t xml:space="preserve">be amended to </w:t>
      </w:r>
      <w:r w:rsidRPr="00D224FB">
        <w:rPr>
          <w:rFonts w:hAnsi="Times New Roman" w:cs="Times New Roman"/>
          <w:bCs/>
          <w:iCs/>
        </w:rPr>
        <w:t>require Duke to make information publicly available to consumers, to show cost differences between what GCR customers are paying versus what marketer customers are paying for their natural gas.</w:t>
      </w:r>
      <w:r>
        <w:rPr>
          <w:rStyle w:val="FootnoteReference"/>
          <w:rFonts w:hAnsi="Times New Roman" w:cs="Times New Roman"/>
          <w:bCs/>
          <w:iCs/>
        </w:rPr>
        <w:footnoteReference w:id="87"/>
      </w:r>
      <w:r w:rsidRPr="00D224FB">
        <w:rPr>
          <w:rFonts w:hAnsi="Times New Roman" w:cs="Times New Roman"/>
          <w:bCs/>
          <w:iCs/>
        </w:rPr>
        <w:t xml:space="preserve"> Without this requirement, the Settlement violates the regulatory practice for providing </w:t>
      </w:r>
      <w:r>
        <w:rPr>
          <w:rFonts w:hAnsi="Times New Roman" w:cs="Times New Roman"/>
          <w:bCs/>
          <w:iCs/>
        </w:rPr>
        <w:t xml:space="preserve">sufficient </w:t>
      </w:r>
      <w:r w:rsidRPr="00D224FB">
        <w:rPr>
          <w:rFonts w:hAnsi="Times New Roman" w:cs="Times New Roman"/>
          <w:bCs/>
          <w:iCs/>
        </w:rPr>
        <w:t xml:space="preserve">information </w:t>
      </w:r>
      <w:r>
        <w:rPr>
          <w:rFonts w:hAnsi="Times New Roman" w:cs="Times New Roman"/>
          <w:bCs/>
          <w:iCs/>
        </w:rPr>
        <w:t xml:space="preserve">to enable consumers to make informed choices </w:t>
      </w:r>
      <w:r w:rsidRPr="00D224FB">
        <w:rPr>
          <w:rFonts w:hAnsi="Times New Roman" w:cs="Times New Roman"/>
          <w:bCs/>
          <w:iCs/>
        </w:rPr>
        <w:t xml:space="preserve">and </w:t>
      </w:r>
      <w:r>
        <w:rPr>
          <w:rFonts w:hAnsi="Times New Roman" w:cs="Times New Roman"/>
          <w:bCs/>
          <w:iCs/>
        </w:rPr>
        <w:t>educating</w:t>
      </w:r>
      <w:r w:rsidRPr="00D224FB">
        <w:rPr>
          <w:rFonts w:hAnsi="Times New Roman" w:cs="Times New Roman"/>
          <w:bCs/>
          <w:iCs/>
        </w:rPr>
        <w:t xml:space="preserve"> to </w:t>
      </w:r>
      <w:r>
        <w:rPr>
          <w:rFonts w:hAnsi="Times New Roman" w:cs="Times New Roman"/>
          <w:bCs/>
          <w:iCs/>
        </w:rPr>
        <w:t>them</w:t>
      </w:r>
      <w:r w:rsidRPr="00D224FB">
        <w:rPr>
          <w:rFonts w:hAnsi="Times New Roman" w:cs="Times New Roman"/>
          <w:bCs/>
          <w:iCs/>
        </w:rPr>
        <w:t xml:space="preserve"> about their choices.</w:t>
      </w:r>
      <w:r>
        <w:rPr>
          <w:rStyle w:val="FootnoteReference"/>
          <w:rFonts w:hAnsi="Times New Roman" w:cs="Times New Roman"/>
          <w:bCs/>
          <w:iCs/>
        </w:rPr>
        <w:footnoteReference w:id="88"/>
      </w:r>
    </w:p>
    <w:p w:rsidR="00CD16A3" w:rsidP="002D4755">
      <w:pPr>
        <w:spacing w:line="480" w:lineRule="auto"/>
        <w:ind w:firstLine="720"/>
        <w:rPr>
          <w:bCs/>
          <w:iCs/>
        </w:rPr>
      </w:pPr>
    </w:p>
    <w:p w:rsidR="002D4755" w:rsidP="002D4755">
      <w:pPr>
        <w:spacing w:line="480" w:lineRule="auto"/>
        <w:ind w:firstLine="720"/>
        <w:rPr>
          <w:bCs/>
          <w:iCs/>
        </w:rPr>
      </w:pPr>
      <w:r>
        <w:rPr>
          <w:bCs/>
          <w:iCs/>
        </w:rPr>
        <w:t>Therefore,</w:t>
      </w:r>
      <w:r w:rsidRPr="002D4755">
        <w:rPr>
          <w:bCs/>
          <w:iCs/>
        </w:rPr>
        <w:t xml:space="preserve"> t</w:t>
      </w:r>
      <w:r>
        <w:rPr>
          <w:bCs/>
          <w:iCs/>
        </w:rPr>
        <w:t xml:space="preserve">he PUCO should amend the Settlement to </w:t>
      </w:r>
      <w:r>
        <w:rPr>
          <w:bCs/>
          <w:iCs/>
        </w:rPr>
        <w:t>require</w:t>
      </w:r>
      <w:r>
        <w:rPr>
          <w:bCs/>
          <w:iCs/>
        </w:rPr>
        <w:t xml:space="preserve"> Duke to properly allocate the costs associated with the use of the propane facilities also to marketer customers during the audit period and refund the costs to the GCR customers.  </w:t>
      </w:r>
    </w:p>
    <w:p w:rsidR="000969A7" w:rsidP="000969A7">
      <w:pPr>
        <w:pStyle w:val="Heading2"/>
      </w:pPr>
      <w:bookmarkStart w:id="10" w:name="_Toc22048354"/>
      <w:r>
        <w:t xml:space="preserve">The Auditor’s testimony during hearing should </w:t>
      </w:r>
      <w:r w:rsidR="00D674C4">
        <w:t xml:space="preserve">be stricken and </w:t>
      </w:r>
      <w:r>
        <w:t>not considered.</w:t>
      </w:r>
      <w:bookmarkEnd w:id="10"/>
    </w:p>
    <w:p w:rsidR="00F26D77" w:rsidP="0063236E">
      <w:pPr>
        <w:spacing w:line="480" w:lineRule="auto"/>
        <w:ind w:firstLine="720"/>
      </w:pPr>
      <w:r>
        <w:t>During the hearing in this case, PUCO Staff called Jerome D. Mierzwa to the stand.  He is a Principal and Vice President of Exeter.</w:t>
      </w:r>
      <w:r>
        <w:rPr>
          <w:rStyle w:val="FootnoteReference"/>
        </w:rPr>
        <w:footnoteReference w:id="89"/>
      </w:r>
      <w:r w:rsidR="00D674C4">
        <w:t xml:space="preserve">  </w:t>
      </w:r>
      <w:r>
        <w:t xml:space="preserve">When the PUCO called him to the stand, </w:t>
      </w:r>
      <w:r w:rsidR="00D674C4">
        <w:t>OCC objected to Mr. Mierzwa testifying.</w:t>
      </w:r>
      <w:r>
        <w:rPr>
          <w:rStyle w:val="FootnoteReference"/>
        </w:rPr>
        <w:footnoteReference w:id="90"/>
      </w:r>
      <w:r w:rsidR="00D674C4">
        <w:t xml:space="preserve">  Exeter’s audit report was stipulated into the record, so there was no relevant reason for Mr. Mierzwa to testify.</w:t>
      </w:r>
      <w:r>
        <w:rPr>
          <w:rStyle w:val="FootnoteReference"/>
        </w:rPr>
        <w:footnoteReference w:id="91"/>
      </w:r>
      <w:r w:rsidR="00D674C4">
        <w:t xml:space="preserve">  Further, contrary to the PUCO’s rules, PUCO Staff did not pre-file any written testimony from Mr. Mierzwa.</w:t>
      </w:r>
      <w:r>
        <w:rPr>
          <w:rStyle w:val="FootnoteReference"/>
        </w:rPr>
        <w:footnoteReference w:id="92"/>
      </w:r>
      <w:r>
        <w:t xml:space="preserve">  The Attorney Examiner noted OCC’s objections and allowed Mr. Mierzwa to testify, suggesting that OCC could move to strike Mr. Mierzwa’s testimony at its conclusion.</w:t>
      </w:r>
      <w:r>
        <w:rPr>
          <w:rStyle w:val="FootnoteReference"/>
        </w:rPr>
        <w:footnoteReference w:id="93"/>
      </w:r>
      <w:r w:rsidR="00D674C4">
        <w:t xml:space="preserve">  </w:t>
      </w:r>
      <w:r>
        <w:t>When Mr. Mierzwa left the stand, OCC moved to strike his testimony for the same reasons.</w:t>
      </w:r>
      <w:r>
        <w:rPr>
          <w:rStyle w:val="FootnoteReference"/>
        </w:rPr>
        <w:footnoteReference w:id="94"/>
      </w:r>
      <w:r>
        <w:t xml:space="preserve">  The Attorney Examiner reserved a ruling on the motion.</w:t>
      </w:r>
      <w:r>
        <w:rPr>
          <w:rStyle w:val="FootnoteReference"/>
        </w:rPr>
        <w:footnoteReference w:id="95"/>
      </w:r>
    </w:p>
    <w:p w:rsidR="00F26D77" w:rsidRPr="0063236E" w:rsidP="00F26D77">
      <w:pPr>
        <w:spacing w:line="480" w:lineRule="auto"/>
        <w:ind w:firstLine="720"/>
      </w:pPr>
      <w:r>
        <w:t xml:space="preserve">Mr. Mierzwa’s testimony should be stricken and not considered by the PUCO.  It is not relevant.  </w:t>
      </w:r>
      <w:r w:rsidR="0063236E">
        <w:t>Further, contrary to the PUCO’s rules, PUCO Staff did not pre-file any written testimony from Mr. Mierzwa.</w:t>
      </w:r>
      <w:r>
        <w:rPr>
          <w:rStyle w:val="FootnoteReference"/>
        </w:rPr>
        <w:footnoteReference w:id="96"/>
      </w:r>
      <w:r w:rsidR="0063236E">
        <w:t xml:space="preserve">  </w:t>
      </w:r>
      <w:r>
        <w:t>The failure to follow the PUCO’s rules severely prejudiced OCC, as it was denied the opportunity – present in all other PUCO proceedings – to have notice of expert testimony, analyze the testimony, and prepare cross-examination.  As OCC explained on the record, “there is a reason why the Commission requires the filing of written testimony by expert witnesses incases and that is to give everyone a fair, full opportunity to prepare for a case and avoid surprises.”</w:t>
      </w:r>
      <w:r>
        <w:rPr>
          <w:rStyle w:val="FootnoteReference"/>
        </w:rPr>
        <w:footnoteReference w:id="97"/>
      </w:r>
      <w:r>
        <w:t xml:space="preserve">   </w:t>
      </w:r>
    </w:p>
    <w:p w:rsidR="006D30BD" w:rsidRPr="002D4755" w:rsidP="006D30BD">
      <w:pPr>
        <w:ind w:firstLine="720"/>
        <w:rPr>
          <w:bCs/>
          <w:iCs/>
        </w:rPr>
      </w:pPr>
    </w:p>
    <w:p w:rsidR="00063EB4" w:rsidRPr="00012C8F" w:rsidP="00D224FB">
      <w:pPr>
        <w:pStyle w:val="Heading1"/>
      </w:pPr>
      <w:bookmarkStart w:id="11" w:name="_Toc22048355"/>
      <w:r w:rsidRPr="00012C8F">
        <w:t>CONCLUSION</w:t>
      </w:r>
      <w:bookmarkEnd w:id="11"/>
    </w:p>
    <w:p w:rsidR="006B73BB" w:rsidP="006B73BB">
      <w:pPr>
        <w:spacing w:line="480" w:lineRule="auto"/>
        <w:ind w:firstLine="720"/>
      </w:pPr>
      <w:r>
        <w:t xml:space="preserve">The PUCO should not approve the Settlement as filed. </w:t>
      </w:r>
      <w:r>
        <w:t xml:space="preserve">The Settlement is unreasonable and fails the three-prong test used by the PUCO to evaluate settlements. If the PUCO wants to save this Settlement, it should amend it to properly allocate the propane commodity costs, along with a refund for </w:t>
      </w:r>
      <w:r w:rsidR="000A040C">
        <w:t xml:space="preserve">GCR </w:t>
      </w:r>
      <w:r>
        <w:t xml:space="preserve">consumers. It should also amend the Settlement to encourage Duke to transition from the GCR mechanism to a standard service offer procurement mechanism. </w:t>
      </w:r>
    </w:p>
    <w:p w:rsidR="006B73BB" w:rsidP="006B73BB">
      <w:pPr>
        <w:spacing w:line="480" w:lineRule="auto"/>
        <w:ind w:firstLine="720"/>
      </w:pPr>
      <w:r>
        <w:t>T</w:t>
      </w:r>
      <w:r w:rsidRPr="00C61C43">
        <w:t xml:space="preserve">he </w:t>
      </w:r>
      <w:r w:rsidR="009D572E">
        <w:t>P</w:t>
      </w:r>
      <w:r w:rsidR="00D829CE">
        <w:t>UCO</w:t>
      </w:r>
      <w:r w:rsidRPr="00C61C43" w:rsidR="00D829CE">
        <w:t xml:space="preserve"> </w:t>
      </w:r>
      <w:r w:rsidRPr="00C61C43">
        <w:t xml:space="preserve">should </w:t>
      </w:r>
      <w:r w:rsidR="00DE0D7C">
        <w:t xml:space="preserve">also </w:t>
      </w:r>
      <w:r>
        <w:t>retain</w:t>
      </w:r>
      <w:r w:rsidRPr="00C61C43">
        <w:t xml:space="preserve"> an independent consultant to examine </w:t>
      </w:r>
      <w:r>
        <w:t xml:space="preserve">the effect </w:t>
      </w:r>
      <w:r w:rsidRPr="00C61C43">
        <w:t>Duke procuring its natural gas supply through a standard offer auction</w:t>
      </w:r>
      <w:r w:rsidR="00DE0D7C">
        <w:t>, and</w:t>
      </w:r>
      <w:r w:rsidRPr="00C61C43">
        <w:t xml:space="preserve"> </w:t>
      </w:r>
      <w:r>
        <w:t>t</w:t>
      </w:r>
      <w:r w:rsidRPr="00C61C43">
        <w:t xml:space="preserve">he findings from this process should be reported to the PUCO </w:t>
      </w:r>
      <w:r w:rsidR="00DE0D7C">
        <w:t>in order to determine whether D</w:t>
      </w:r>
      <w:r w:rsidRPr="00C61C43">
        <w:t xml:space="preserve">uke consumers would benefit from the competitively bid standard offer that all other major energy utilities use. </w:t>
      </w:r>
    </w:p>
    <w:p w:rsidR="00EF4900" w:rsidP="006B73BB">
      <w:pPr>
        <w:spacing w:line="480" w:lineRule="auto"/>
        <w:ind w:firstLine="720"/>
      </w:pPr>
      <w:r>
        <w:t xml:space="preserve">Finally, the PUCO should </w:t>
      </w:r>
      <w:r w:rsidRPr="00C61C43">
        <w:t>require Duke to provide aggregated shadow-billing data which calculates the amount marketer customers pay above or below the amount they would have paid for gas service on the Duke’s standard offer (GCR)</w:t>
      </w:r>
      <w:r>
        <w:t>, similar to that provided by Columbia Gas</w:t>
      </w:r>
      <w:r w:rsidR="00DE0D7C">
        <w:t xml:space="preserve"> of Ohio</w:t>
      </w:r>
      <w:r w:rsidRPr="00C61C43">
        <w:t>.</w:t>
      </w:r>
    </w:p>
    <w:p w:rsidR="009A5E9A">
      <w:r>
        <w:br w:type="page"/>
      </w:r>
    </w:p>
    <w:p w:rsidR="00A70505" w:rsidRPr="00C743FA" w:rsidP="00C743FA">
      <w:pPr>
        <w:pStyle w:val="BodyTextIndent3"/>
        <w:widowControl w:val="0"/>
        <w:ind w:left="3600" w:firstLine="720"/>
      </w:pPr>
      <w:r w:rsidRPr="00C743FA">
        <w:t>Respectfully submitted,</w:t>
      </w:r>
    </w:p>
    <w:p w:rsidR="00A70505" w:rsidRPr="00C743FA" w:rsidP="00A70505">
      <w:pPr>
        <w:ind w:left="4320"/>
      </w:pPr>
      <w:r w:rsidRPr="00C743FA">
        <w:t>Bruce Weston (0016973)</w:t>
      </w:r>
    </w:p>
    <w:p w:rsidR="00A70505" w:rsidRPr="00C743FA" w:rsidP="00A70505">
      <w:pPr>
        <w:tabs>
          <w:tab w:val="left" w:pos="4320"/>
        </w:tabs>
        <w:ind w:left="4320"/>
      </w:pPr>
      <w:r w:rsidRPr="00C743FA">
        <w:t>Ohio Consumers</w:t>
      </w:r>
      <w:r w:rsidR="00A627FA">
        <w:t>’</w:t>
      </w:r>
      <w:r w:rsidRPr="00C743FA">
        <w:t xml:space="preserve"> Counsel</w:t>
      </w:r>
    </w:p>
    <w:p w:rsidR="00A70505" w:rsidRPr="00C743FA" w:rsidP="00A70505">
      <w:pPr>
        <w:tabs>
          <w:tab w:val="left" w:pos="4320"/>
        </w:tabs>
        <w:ind w:left="4320"/>
      </w:pPr>
    </w:p>
    <w:p w:rsidR="00A70505" w:rsidRPr="00C743FA" w:rsidP="00A70505">
      <w:pPr>
        <w:autoSpaceDE w:val="0"/>
        <w:autoSpaceDN w:val="0"/>
        <w:adjustRightInd w:val="0"/>
        <w:ind w:left="4320"/>
        <w:rPr>
          <w:i/>
        </w:rPr>
      </w:pPr>
      <w:r w:rsidRPr="00C743FA">
        <w:rPr>
          <w:i/>
          <w:u w:val="single"/>
        </w:rPr>
        <w:t xml:space="preserve">/s/ </w:t>
      </w:r>
      <w:r w:rsidR="001941AF">
        <w:rPr>
          <w:i/>
          <w:u w:val="single"/>
        </w:rPr>
        <w:t>Ambrosia E. Logsdon</w:t>
      </w:r>
      <w:r w:rsidR="003E4A7D">
        <w:rPr>
          <w:i/>
          <w:u w:val="single"/>
        </w:rPr>
        <w:tab/>
      </w:r>
    </w:p>
    <w:p w:rsidR="00A70505" w:rsidRPr="00C743FA" w:rsidP="00A70505">
      <w:pPr>
        <w:tabs>
          <w:tab w:val="left" w:pos="4320"/>
        </w:tabs>
        <w:ind w:left="4320"/>
      </w:pPr>
      <w:r w:rsidRPr="00C743FA">
        <w:t>William J. Michael (0070921)</w:t>
      </w:r>
    </w:p>
    <w:p w:rsidR="00A70505" w:rsidRPr="00C743FA" w:rsidP="00A70505">
      <w:pPr>
        <w:tabs>
          <w:tab w:val="left" w:pos="4320"/>
        </w:tabs>
        <w:ind w:left="4320"/>
      </w:pPr>
      <w:r w:rsidRPr="00C743FA">
        <w:t>Counsel of Record</w:t>
      </w:r>
    </w:p>
    <w:p w:rsidR="00A70505" w:rsidRPr="00C743FA" w:rsidP="00A70505">
      <w:pPr>
        <w:tabs>
          <w:tab w:val="left" w:pos="4320"/>
        </w:tabs>
        <w:ind w:left="4320"/>
      </w:pPr>
      <w:r w:rsidRPr="00C743FA">
        <w:t>Angel</w:t>
      </w:r>
      <w:r w:rsidR="00C728B1">
        <w:t>a</w:t>
      </w:r>
      <w:r w:rsidRPr="00C743FA">
        <w:t xml:space="preserve"> O</w:t>
      </w:r>
      <w:r w:rsidR="00A627FA">
        <w:t>’</w:t>
      </w:r>
      <w:r w:rsidRPr="00C743FA">
        <w:t>Brien (0097579)</w:t>
      </w:r>
    </w:p>
    <w:p w:rsidR="00A70505" w:rsidRPr="00C743FA" w:rsidP="00A70505">
      <w:pPr>
        <w:tabs>
          <w:tab w:val="left" w:pos="4320"/>
        </w:tabs>
        <w:ind w:left="4320"/>
      </w:pPr>
      <w:r w:rsidRPr="00C743FA">
        <w:t xml:space="preserve">Ambrosia </w:t>
      </w:r>
      <w:r w:rsidR="001941AF">
        <w:t xml:space="preserve">E. </w:t>
      </w:r>
      <w:r w:rsidRPr="00C743FA">
        <w:t>Logsdon (0096598)</w:t>
      </w:r>
    </w:p>
    <w:p w:rsidR="00A70505" w:rsidRPr="00C743FA" w:rsidP="00A70505">
      <w:pPr>
        <w:tabs>
          <w:tab w:val="left" w:pos="4320"/>
        </w:tabs>
        <w:ind w:left="4320"/>
      </w:pPr>
      <w:r w:rsidRPr="00C743FA">
        <w:t>Assistant Consumers</w:t>
      </w:r>
      <w:r w:rsidR="00A627FA">
        <w:t>’</w:t>
      </w:r>
      <w:r w:rsidRPr="00C743FA">
        <w:t xml:space="preserve"> Counsel </w:t>
      </w:r>
      <w:r w:rsidRPr="00C743FA">
        <w:br/>
      </w:r>
    </w:p>
    <w:p w:rsidR="00A70505" w:rsidRPr="00C743FA" w:rsidP="00A70505">
      <w:pPr>
        <w:tabs>
          <w:tab w:val="left" w:pos="4320"/>
        </w:tabs>
        <w:ind w:left="4320"/>
        <w:rPr>
          <w:b/>
        </w:rPr>
      </w:pPr>
      <w:r w:rsidRPr="00C743FA">
        <w:rPr>
          <w:b/>
        </w:rPr>
        <w:t>Office of the Ohio Consumers</w:t>
      </w:r>
      <w:r w:rsidR="00A627FA">
        <w:rPr>
          <w:b/>
        </w:rPr>
        <w:t>’</w:t>
      </w:r>
      <w:r w:rsidRPr="00C743FA">
        <w:rPr>
          <w:b/>
        </w:rPr>
        <w:t xml:space="preserve"> Counsel</w:t>
      </w:r>
    </w:p>
    <w:p w:rsidR="00A70505" w:rsidRPr="00C743FA" w:rsidP="00A70505">
      <w:pPr>
        <w:tabs>
          <w:tab w:val="left" w:pos="4320"/>
        </w:tabs>
        <w:ind w:left="4320"/>
      </w:pPr>
      <w:r w:rsidRPr="00C743FA">
        <w:t>65 East State Street, 7</w:t>
      </w:r>
      <w:r w:rsidRPr="00554787">
        <w:t>th</w:t>
      </w:r>
      <w:r w:rsidRPr="00C743FA">
        <w:t xml:space="preserve"> Floor</w:t>
      </w:r>
    </w:p>
    <w:p w:rsidR="00A70505" w:rsidRPr="00C743FA" w:rsidP="00A70505">
      <w:pPr>
        <w:tabs>
          <w:tab w:val="left" w:pos="4320"/>
        </w:tabs>
        <w:ind w:left="4320"/>
      </w:pPr>
      <w:r w:rsidRPr="00C743FA">
        <w:t>Columbus, Ohio 43215-4213</w:t>
      </w:r>
    </w:p>
    <w:p w:rsidR="00A70505" w:rsidRPr="00C743FA" w:rsidP="00A70505">
      <w:pPr>
        <w:tabs>
          <w:tab w:val="left" w:pos="4320"/>
        </w:tabs>
        <w:ind w:left="4320"/>
      </w:pPr>
      <w:r w:rsidRPr="00C743FA">
        <w:t>Telephone: (614) 466-1291 (Michael)</w:t>
      </w:r>
    </w:p>
    <w:p w:rsidR="00A70505" w:rsidRPr="00C743FA" w:rsidP="00A70505">
      <w:pPr>
        <w:tabs>
          <w:tab w:val="left" w:pos="4320"/>
        </w:tabs>
        <w:ind w:left="4320"/>
      </w:pPr>
      <w:r w:rsidRPr="00C743FA">
        <w:t>Telephone: (614) 466-</w:t>
      </w:r>
      <w:r w:rsidR="00EF4900">
        <w:t>9531</w:t>
      </w:r>
      <w:r w:rsidRPr="00C743FA">
        <w:t xml:space="preserve"> (O</w:t>
      </w:r>
      <w:r w:rsidR="00A627FA">
        <w:t>’</w:t>
      </w:r>
      <w:r w:rsidRPr="00C743FA">
        <w:t xml:space="preserve">Brien) </w:t>
      </w:r>
    </w:p>
    <w:p w:rsidR="00A70505" w:rsidRPr="00C743FA" w:rsidP="00A70505">
      <w:pPr>
        <w:tabs>
          <w:tab w:val="left" w:pos="4320"/>
        </w:tabs>
        <w:ind w:left="4320"/>
      </w:pPr>
      <w:r w:rsidRPr="00C743FA">
        <w:t xml:space="preserve">Telephone: (614) 466-1292 (Logsdon) </w:t>
      </w:r>
    </w:p>
    <w:p w:rsidR="00A70505" w:rsidRPr="00C743FA" w:rsidP="00A70505">
      <w:pPr>
        <w:ind w:left="4320"/>
      </w:pPr>
      <w:r>
        <w:fldChar w:fldCharType="begin"/>
      </w:r>
      <w:r>
        <w:instrText xml:space="preserve"> HYPERLINK "mailto:william.michael@occ.ohio.gov" </w:instrText>
      </w:r>
      <w:r>
        <w:fldChar w:fldCharType="separate"/>
      </w:r>
      <w:r w:rsidRPr="00C743FA" w:rsidR="00AE3025">
        <w:rPr>
          <w:rStyle w:val="Hyperlink"/>
        </w:rPr>
        <w:t>william.michael@occ.ohio.gov</w:t>
      </w:r>
      <w:r>
        <w:fldChar w:fldCharType="end"/>
      </w:r>
    </w:p>
    <w:p w:rsidR="00A70505" w:rsidRPr="00C743FA" w:rsidP="00A70505">
      <w:pPr>
        <w:ind w:left="4320"/>
      </w:pPr>
      <w:r>
        <w:fldChar w:fldCharType="begin"/>
      </w:r>
      <w:r>
        <w:instrText xml:space="preserve"> HYPERLINK "mailto:angela.obrien@occ.ohio.gov" </w:instrText>
      </w:r>
      <w:r>
        <w:fldChar w:fldCharType="separate"/>
      </w:r>
      <w:r w:rsidRPr="00C743FA" w:rsidR="00AE3025">
        <w:rPr>
          <w:rStyle w:val="Hyperlink"/>
        </w:rPr>
        <w:t>angela.obrien@occ.ohio.gov</w:t>
      </w:r>
      <w:r>
        <w:fldChar w:fldCharType="end"/>
      </w:r>
    </w:p>
    <w:p w:rsidR="00A70505" w:rsidRPr="00C743FA" w:rsidP="00A70505">
      <w:pPr>
        <w:ind w:left="4320"/>
      </w:pPr>
      <w:r>
        <w:fldChar w:fldCharType="begin"/>
      </w:r>
      <w:r>
        <w:instrText xml:space="preserve"> HYPERLINK "mailto:ambrosia.logsdon@occ.ohio.gov" </w:instrText>
      </w:r>
      <w:r>
        <w:fldChar w:fldCharType="separate"/>
      </w:r>
      <w:r w:rsidRPr="00C743FA" w:rsidR="00AE3025">
        <w:rPr>
          <w:rStyle w:val="Hyperlink"/>
        </w:rPr>
        <w:t>ambrosia.logsdon@occ.ohio.gov</w:t>
      </w:r>
      <w:r>
        <w:fldChar w:fldCharType="end"/>
      </w:r>
    </w:p>
    <w:p w:rsidR="00A70505" w:rsidRPr="00C743FA" w:rsidP="00A70505">
      <w:pPr>
        <w:spacing w:line="480" w:lineRule="auto"/>
        <w:ind w:firstLine="4320"/>
      </w:pPr>
      <w:r w:rsidRPr="00C743FA">
        <w:t>(will</w:t>
      </w:r>
      <w:r w:rsidR="00C743FA">
        <w:t xml:space="preserve">ing to </w:t>
      </w:r>
      <w:r w:rsidRPr="00C743FA">
        <w:t xml:space="preserve">accept service </w:t>
      </w:r>
      <w:r w:rsidR="00C743FA">
        <w:t>by e-</w:t>
      </w:r>
      <w:r w:rsidRPr="00C743FA">
        <w:t>mail)</w:t>
      </w:r>
    </w:p>
    <w:p w:rsidR="00A70505" w:rsidRPr="00C743FA" w:rsidP="00A70505">
      <w:pPr>
        <w:pStyle w:val="BodyText"/>
        <w:suppressLineNumbers/>
        <w:jc w:val="center"/>
        <w:rPr>
          <w:b/>
          <w:u w:val="single"/>
        </w:rPr>
      </w:pPr>
    </w:p>
    <w:p w:rsidR="00A70505" w:rsidRPr="00C743FA" w:rsidP="00A70505">
      <w:pPr>
        <w:pStyle w:val="BodyText"/>
        <w:suppressLineNumbers/>
        <w:jc w:val="center"/>
        <w:rPr>
          <w:b/>
          <w:u w:val="single"/>
        </w:rPr>
      </w:pPr>
    </w:p>
    <w:p w:rsidR="00C743FA" w:rsidRPr="00C743FA" w:rsidP="00A70505">
      <w:pPr>
        <w:pStyle w:val="BodyText"/>
        <w:suppressLineNumbers/>
        <w:jc w:val="center"/>
        <w:rPr>
          <w:b/>
          <w:u w:val="single"/>
        </w:rPr>
        <w:sectPr w:rsidSect="00452B44">
          <w:pgSz w:w="12240" w:h="15840" w:code="1"/>
          <w:pgMar w:top="1440" w:right="1800" w:bottom="1440" w:left="1800" w:header="720" w:footer="720" w:gutter="0"/>
          <w:cols w:space="720"/>
          <w:docGrid w:linePitch="360"/>
        </w:sectPr>
      </w:pPr>
    </w:p>
    <w:p w:rsidR="00063EB4" w:rsidRPr="00C743FA" w:rsidP="00A70505">
      <w:pPr>
        <w:pStyle w:val="BodyText"/>
        <w:suppressLineNumbers/>
        <w:jc w:val="center"/>
        <w:rPr>
          <w:b/>
          <w:u w:val="single"/>
        </w:rPr>
      </w:pPr>
      <w:r w:rsidRPr="00C743FA">
        <w:rPr>
          <w:b/>
          <w:u w:val="single"/>
        </w:rPr>
        <w:t>CERTIFICATE OF SERVICE</w:t>
      </w:r>
    </w:p>
    <w:p w:rsidR="00063EB4" w:rsidRPr="00C743FA" w:rsidP="00A70505">
      <w:pPr>
        <w:suppressLineNumbers/>
        <w:spacing w:before="240" w:line="480" w:lineRule="auto"/>
        <w:ind w:firstLine="720"/>
      </w:pPr>
      <w:r w:rsidRPr="00C743FA">
        <w:t xml:space="preserve">I hereby certify that a true copy of the foregoing </w:t>
      </w:r>
      <w:r w:rsidRPr="00C743FA" w:rsidR="00A70505">
        <w:t>Initial Brief</w:t>
      </w:r>
      <w:r w:rsidRPr="00C743FA">
        <w:rPr>
          <w:i/>
        </w:rPr>
        <w:t xml:space="preserve"> </w:t>
      </w:r>
      <w:r w:rsidRPr="00C743FA">
        <w:t xml:space="preserve">was served via electronic transmission to the persons listed below on this </w:t>
      </w:r>
      <w:r w:rsidR="00452B44">
        <w:t>15th</w:t>
      </w:r>
      <w:r w:rsidR="00C743FA">
        <w:t xml:space="preserve"> day of </w:t>
      </w:r>
      <w:r w:rsidR="00020B92">
        <w:t>October</w:t>
      </w:r>
      <w:r w:rsidRPr="00C743FA">
        <w:t xml:space="preserve"> 2019.</w:t>
      </w:r>
    </w:p>
    <w:p w:rsidR="00063EB4" w:rsidRPr="00C743FA" w:rsidP="00A70505">
      <w:pPr>
        <w:suppressLineNumbers/>
        <w:tabs>
          <w:tab w:val="left" w:pos="4320"/>
        </w:tabs>
        <w:spacing w:before="240"/>
        <w:ind w:left="4320"/>
      </w:pPr>
      <w:r w:rsidRPr="00C743FA">
        <w:rPr>
          <w:i/>
          <w:u w:val="single"/>
        </w:rPr>
        <w:t xml:space="preserve">/s/ </w:t>
      </w:r>
      <w:r w:rsidR="00020B92">
        <w:rPr>
          <w:i/>
          <w:u w:val="single"/>
        </w:rPr>
        <w:t>Ambrosia E. Logsdon</w:t>
      </w:r>
      <w:r w:rsidRPr="00C743FA">
        <w:rPr>
          <w:i/>
          <w:u w:val="single"/>
        </w:rPr>
        <w:tab/>
      </w:r>
      <w:r w:rsidRPr="00C743FA">
        <w:rPr>
          <w:i/>
          <w:u w:val="single"/>
        </w:rPr>
        <w:tab/>
      </w:r>
      <w:r w:rsidR="00554787">
        <w:rPr>
          <w:i/>
          <w:u w:val="single"/>
        </w:rPr>
        <w:tab/>
      </w:r>
    </w:p>
    <w:p w:rsidR="00063EB4" w:rsidRPr="00C743FA" w:rsidP="00A70505">
      <w:pPr>
        <w:suppressLineNumbers/>
        <w:tabs>
          <w:tab w:val="left" w:pos="4320"/>
        </w:tabs>
      </w:pPr>
      <w:r w:rsidRPr="00C743FA">
        <w:tab/>
      </w:r>
      <w:r w:rsidR="00020B92">
        <w:t>Ambrosia E. Logsdon</w:t>
      </w:r>
    </w:p>
    <w:p w:rsidR="00063EB4" w:rsidRPr="00C743FA" w:rsidP="00A70505">
      <w:pPr>
        <w:suppressLineNumbers/>
        <w:tabs>
          <w:tab w:val="left" w:pos="4320"/>
        </w:tabs>
      </w:pPr>
      <w:r w:rsidRPr="00C743FA">
        <w:tab/>
        <w:t>Assistant Consumers</w:t>
      </w:r>
      <w:r w:rsidR="00A627FA">
        <w:t>’</w:t>
      </w:r>
      <w:r w:rsidRPr="00C743FA">
        <w:t xml:space="preserve"> Counsel</w:t>
      </w:r>
    </w:p>
    <w:p w:rsidR="00063EB4" w:rsidP="00A70505">
      <w:pPr>
        <w:pStyle w:val="CommentSubject"/>
        <w:suppressLineNumbers/>
        <w:rPr>
          <w:sz w:val="24"/>
          <w:szCs w:val="24"/>
        </w:rPr>
      </w:pPr>
    </w:p>
    <w:p w:rsidR="00554787" w:rsidRPr="00F2718B" w:rsidP="00554787">
      <w:r>
        <w:t>The PUCO</w:t>
      </w:r>
      <w:r w:rsidR="00A627FA">
        <w:t>’</w:t>
      </w:r>
      <w:r>
        <w:t>s e-filing system will electronically serve notice of the filing of this document on the following parties:</w:t>
      </w:r>
    </w:p>
    <w:p w:rsidR="00554787" w:rsidRPr="00554787" w:rsidP="00554787">
      <w:pPr>
        <w:pStyle w:val="CommentText"/>
      </w:pPr>
    </w:p>
    <w:p w:rsidR="00C743FA" w:rsidRPr="00C743FA" w:rsidP="00C743FA">
      <w:pPr>
        <w:pStyle w:val="CommentText"/>
        <w:jc w:val="center"/>
        <w:rPr>
          <w:b/>
          <w:sz w:val="24"/>
          <w:szCs w:val="24"/>
          <w:u w:val="single"/>
        </w:rPr>
      </w:pPr>
    </w:p>
    <w:p w:rsidR="00452B44" w:rsidP="00452B44">
      <w:pPr>
        <w:jc w:val="center"/>
        <w:rPr>
          <w:b/>
          <w:u w:val="single"/>
        </w:rPr>
      </w:pPr>
      <w:r w:rsidRPr="00B0693A">
        <w:rPr>
          <w:b/>
          <w:u w:val="single"/>
        </w:rPr>
        <w:t>SERVICE LIST</w:t>
      </w:r>
    </w:p>
    <w:p w:rsidR="00452B44" w:rsidRPr="00B0693A" w:rsidP="00452B44">
      <w:pPr>
        <w:jc w:val="center"/>
        <w:rPr>
          <w:b/>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315"/>
        <w:gridCol w:w="4315"/>
      </w:tblGrid>
      <w:tr w:rsidTr="00F26D77">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3419"/>
        </w:trPr>
        <w:tc>
          <w:tcPr>
            <w:tcW w:w="4315" w:type="dxa"/>
          </w:tcPr>
          <w:p w:rsidR="00452B44" w:rsidP="00F26D77">
            <w:pPr>
              <w:pStyle w:val="BodyText"/>
              <w:spacing w:after="0"/>
              <w:jc w:val="both"/>
              <w:rPr>
                <w:rStyle w:val="Hyperlink"/>
                <w:rFonts w:eastAsia="Arial Unicode MS" w:hAnsi="Arial Unicode MS" w:cs="Arial Unicode MS"/>
                <w:color w:val="000000"/>
                <w:sz w:val="24"/>
                <w:szCs w:val="24"/>
                <w:u w:val="single" w:color="000000"/>
                <w:bdr w:val="nil"/>
                <w:lang w:val="en-US" w:eastAsia="en-US" w:bidi="ar-SA"/>
              </w:rPr>
            </w:pPr>
            <w:r>
              <w:fldChar w:fldCharType="begin"/>
            </w:r>
            <w:r>
              <w:rPr>
                <w:sz w:val="24"/>
                <w:szCs w:val="24"/>
                <w:lang w:val="en-US" w:eastAsia="en-US" w:bidi="ar-SA"/>
              </w:rPr>
              <w:instrText xml:space="preserve"> HYPERLINK "mailto:robert.eubanks@ohioattorneygeneral.gov" </w:instrText>
            </w:r>
            <w:r>
              <w:fldChar w:fldCharType="separate"/>
            </w:r>
            <w:r w:rsidRPr="003E6DFB" w:rsidR="009A5E9A">
              <w:rPr>
                <w:rStyle w:val="Hyperlink"/>
                <w:rFonts w:eastAsia="Arial Unicode MS" w:hAnsi="Arial Unicode MS" w:cs="Arial Unicode MS"/>
                <w:color w:val="0000FF"/>
                <w:sz w:val="24"/>
                <w:szCs w:val="24"/>
                <w:u w:val="single"/>
                <w:bdr w:val="nil"/>
                <w:lang w:val="en-US" w:eastAsia="en-US" w:bidi="ar-SA"/>
              </w:rPr>
              <w:t>robert.eubanks@ohioattorneygeneral.gov</w:t>
            </w:r>
            <w:r>
              <w:fldChar w:fldCharType="end"/>
            </w:r>
          </w:p>
          <w:p w:rsidR="009A5E9A" w:rsidP="00F26D77">
            <w:pPr>
              <w:pStyle w:val="BodyText"/>
              <w:spacing w:after="0"/>
              <w:jc w:val="both"/>
              <w:rPr>
                <w:rStyle w:val="DefaultParagraphFont"/>
                <w:sz w:val="24"/>
                <w:szCs w:val="24"/>
                <w:lang w:val="en-US" w:eastAsia="en-US" w:bidi="ar-SA"/>
              </w:rPr>
            </w:pPr>
            <w:r>
              <w:fldChar w:fldCharType="begin"/>
            </w:r>
            <w:r>
              <w:rPr>
                <w:sz w:val="24"/>
                <w:szCs w:val="24"/>
                <w:lang w:val="en-US" w:eastAsia="en-US" w:bidi="ar-SA"/>
              </w:rPr>
              <w:instrText xml:space="preserve"> HYPERLINK "mailto:steven.beeler@ohioattorneygeneral.gov" </w:instrText>
            </w:r>
            <w:r>
              <w:fldChar w:fldCharType="separate"/>
            </w:r>
            <w:r w:rsidRPr="003E6DFB">
              <w:rPr>
                <w:rStyle w:val="Hyperlink"/>
                <w:color w:val="0000FF"/>
                <w:sz w:val="24"/>
                <w:szCs w:val="24"/>
                <w:u w:val="single"/>
                <w:lang w:val="en-US" w:eastAsia="en-US" w:bidi="ar-SA"/>
              </w:rPr>
              <w:t>steven.beeler@ohioattorneygeneral.gov</w:t>
            </w:r>
            <w:r>
              <w:fldChar w:fldCharType="end"/>
            </w:r>
          </w:p>
          <w:p w:rsidR="009A5E9A" w:rsidRPr="009A5E9A" w:rsidP="00F26D77">
            <w:pPr>
              <w:pStyle w:val="BodyText"/>
              <w:spacing w:after="0"/>
              <w:jc w:val="both"/>
              <w:rPr>
                <w:rStyle w:val="DefaultParagraphFont"/>
                <w:sz w:val="24"/>
                <w:szCs w:val="24"/>
                <w:lang w:val="en-US" w:eastAsia="en-US" w:bidi="ar-SA"/>
              </w:rPr>
            </w:pPr>
          </w:p>
          <w:p w:rsidR="00452B44" w:rsidP="00F26D77">
            <w:pPr>
              <w:pStyle w:val="BodyText"/>
              <w:spacing w:after="0"/>
              <w:jc w:val="both"/>
              <w:rPr>
                <w:rStyle w:val="DefaultParagraphFont"/>
                <w:b/>
                <w:bCs/>
                <w:sz w:val="24"/>
                <w:szCs w:val="24"/>
                <w:lang w:val="en-US" w:eastAsia="en-US" w:bidi="ar-SA"/>
              </w:rPr>
            </w:pPr>
          </w:p>
          <w:p w:rsidR="00452B44" w:rsidP="00F26D77">
            <w:pPr>
              <w:autoSpaceDE w:val="0"/>
              <w:autoSpaceDN w:val="0"/>
              <w:adjustRightInd w:val="0"/>
              <w:rPr>
                <w:rStyle w:val="DefaultParagraphFont"/>
                <w:rFonts w:eastAsia="Calibri"/>
                <w:sz w:val="24"/>
                <w:szCs w:val="24"/>
                <w:lang w:val="en-US" w:eastAsia="en-US" w:bidi="ar-SA"/>
              </w:rPr>
            </w:pPr>
          </w:p>
          <w:p w:rsidR="00452B44" w:rsidP="00F26D77">
            <w:pPr>
              <w:autoSpaceDE w:val="0"/>
              <w:autoSpaceDN w:val="0"/>
              <w:adjustRightInd w:val="0"/>
              <w:rPr>
                <w:rStyle w:val="DefaultParagraphFont"/>
                <w:rFonts w:eastAsia="Calibri"/>
                <w:sz w:val="24"/>
                <w:szCs w:val="24"/>
                <w:lang w:val="en-US" w:eastAsia="en-US" w:bidi="ar-SA"/>
              </w:rPr>
            </w:pPr>
            <w:r w:rsidRPr="00FB0796">
              <w:rPr>
                <w:rFonts w:eastAsia="Calibri"/>
                <w:sz w:val="24"/>
                <w:szCs w:val="24"/>
                <w:bdr w:val="nil"/>
                <w:lang w:val="en-US" w:eastAsia="en-US" w:bidi="ar-SA"/>
              </w:rPr>
              <w:t>Attorney Examiners:</w:t>
            </w:r>
          </w:p>
          <w:p w:rsidR="00452B44" w:rsidRPr="00FB0796" w:rsidP="00F26D77">
            <w:pPr>
              <w:autoSpaceDE w:val="0"/>
              <w:autoSpaceDN w:val="0"/>
              <w:adjustRightInd w:val="0"/>
              <w:rPr>
                <w:rStyle w:val="DefaultParagraphFont"/>
                <w:rFonts w:eastAsia="Calibri"/>
                <w:sz w:val="24"/>
                <w:szCs w:val="24"/>
                <w:lang w:val="en-US" w:eastAsia="en-US" w:bidi="ar-SA"/>
              </w:rPr>
            </w:pPr>
          </w:p>
          <w:p w:rsidR="00452B44" w:rsidP="00F26D77">
            <w:pPr>
              <w:autoSpaceDE w:val="0"/>
              <w:autoSpaceDN w:val="0"/>
              <w:adjustRightInd w:val="0"/>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"mailto:sarah.parrot@puco.ohio.gov" </w:instrText>
            </w:r>
            <w:r>
              <w:fldChar w:fldCharType="separate"/>
            </w:r>
            <w:r w:rsidRPr="00235348">
              <w:rPr>
                <w:rStyle w:val="Hyperlink"/>
                <w:rFonts w:eastAsia="Calibri"/>
                <w:color w:val="0000FF"/>
                <w:sz w:val="24"/>
                <w:szCs w:val="24"/>
                <w:u w:val="single"/>
                <w:bdr w:val="nil"/>
                <w:lang w:val="en-US" w:eastAsia="en-US" w:bidi="ar-SA"/>
              </w:rPr>
              <w:t>sarah.parrot@puco.ohio.gov</w:t>
            </w:r>
            <w:r>
              <w:fldChar w:fldCharType="end"/>
            </w:r>
          </w:p>
          <w:p w:rsidR="00452B44" w:rsidP="00F26D77">
            <w:pPr>
              <w:rPr>
                <w:rStyle w:val="DefaultParagraphFont"/>
                <w:rFonts w:eastAsia="Calibri"/>
                <w:sz w:val="24"/>
                <w:szCs w:val="24"/>
                <w:lang w:val="en-US" w:eastAsia="en-US" w:bidi="ar-SA"/>
              </w:rPr>
            </w:pPr>
            <w:r>
              <w:fldChar w:fldCharType="begin"/>
            </w:r>
            <w:r>
              <w:rPr>
                <w:sz w:val="24"/>
                <w:szCs w:val="24"/>
                <w:lang w:val="en-US" w:eastAsia="en-US" w:bidi="ar-SA"/>
              </w:rPr>
              <w:instrText xml:space="preserve"> HYPERLINK "mailto:stacie.cathcart@puco.ohio.gov" </w:instrText>
            </w:r>
            <w:r>
              <w:fldChar w:fldCharType="separate"/>
            </w:r>
            <w:r w:rsidRPr="00235348">
              <w:rPr>
                <w:rStyle w:val="Hyperlink"/>
                <w:rFonts w:eastAsia="Calibri"/>
                <w:color w:val="0000FF"/>
                <w:sz w:val="24"/>
                <w:szCs w:val="24"/>
                <w:u w:val="single"/>
                <w:bdr w:val="nil"/>
                <w:lang w:val="en-US" w:eastAsia="en-US" w:bidi="ar-SA"/>
              </w:rPr>
              <w:t>stacie.cathcart@puco.ohio.gov</w:t>
            </w:r>
            <w:r>
              <w:fldChar w:fldCharType="end"/>
            </w:r>
          </w:p>
          <w:p w:rsidR="00452B44" w:rsidP="00F26D77">
            <w:pPr>
              <w:rPr>
                <w:rStyle w:val="DefaultParagraphFont"/>
                <w:rFonts w:eastAsia="Calibri"/>
                <w:sz w:val="24"/>
                <w:szCs w:val="24"/>
                <w:lang w:val="en-US" w:eastAsia="en-US" w:bidi="ar-SA"/>
              </w:rPr>
            </w:pPr>
          </w:p>
          <w:p w:rsidR="00452B44" w:rsidP="00F26D77">
            <w:pPr>
              <w:rPr>
                <w:rStyle w:val="DefaultParagraphFont"/>
                <w:rFonts w:eastAsia="Calibri"/>
                <w:sz w:val="24"/>
                <w:szCs w:val="24"/>
                <w:lang w:val="en-US" w:eastAsia="en-US" w:bidi="ar-SA"/>
              </w:rPr>
            </w:pPr>
          </w:p>
          <w:p w:rsidR="00452B44" w:rsidP="00F26D77">
            <w:pPr>
              <w:rPr>
                <w:rStyle w:val="DefaultParagraphFont"/>
                <w:rFonts w:eastAsia="Calibri"/>
                <w:sz w:val="24"/>
                <w:szCs w:val="24"/>
                <w:lang w:val="en-US" w:eastAsia="en-US" w:bidi="ar-SA"/>
              </w:rPr>
            </w:pPr>
          </w:p>
          <w:p w:rsidR="00452B44" w:rsidP="00F26D77">
            <w:pPr>
              <w:jc w:val="center"/>
              <w:rPr>
                <w:rStyle w:val="DefaultParagraphFont"/>
                <w:b/>
                <w:sz w:val="24"/>
                <w:szCs w:val="24"/>
                <w:u w:val="single"/>
                <w:lang w:val="en-US" w:eastAsia="en-US" w:bidi="ar-SA"/>
              </w:rPr>
            </w:pPr>
          </w:p>
        </w:tc>
        <w:tc>
          <w:tcPr>
            <w:tcW w:w="4315" w:type="dxa"/>
          </w:tcPr>
          <w:p w:rsidR="00452B44" w:rsidP="00F26D77">
            <w:pPr>
              <w:rPr>
                <w:rStyle w:val="Hyperlink"/>
                <w:rFonts w:hAnsi="Arial Unicode MS" w:cs="Arial Unicode MS"/>
                <w:color w:val="000000"/>
                <w:sz w:val="24"/>
                <w:szCs w:val="24"/>
                <w:u w:val="single" w:color="000000"/>
                <w:lang w:val="en-US" w:eastAsia="en-US" w:bidi="ar-SA"/>
              </w:rPr>
            </w:pPr>
            <w:r>
              <w:fldChar w:fldCharType="begin"/>
            </w:r>
            <w:r>
              <w:rPr>
                <w:sz w:val="24"/>
                <w:szCs w:val="24"/>
                <w:lang w:val="en-US" w:eastAsia="en-US" w:bidi="ar-SA"/>
              </w:rPr>
              <w:instrText xml:space="preserve"> HYPERLINK "mailto:elizabeth.watts@duke-energy.com" </w:instrText>
            </w:r>
            <w:r>
              <w:fldChar w:fldCharType="separate"/>
            </w:r>
            <w:r w:rsidRPr="00235348">
              <w:rPr>
                <w:rStyle w:val="Hyperlink"/>
                <w:rFonts w:eastAsia="Arial Unicode MS" w:hAnsi="Arial Unicode MS" w:cs="Arial Unicode MS"/>
                <w:color w:val="0000FF"/>
                <w:sz w:val="24"/>
                <w:szCs w:val="24"/>
                <w:u w:val="single"/>
                <w:bdr w:val="nil"/>
                <w:lang w:val="en-US" w:eastAsia="en-US" w:bidi="ar-SA"/>
              </w:rPr>
              <w:t>elizabeth.watts@duke-energy.com</w:t>
            </w:r>
            <w:r>
              <w:fldChar w:fldCharType="end"/>
            </w:r>
          </w:p>
          <w:p w:rsidR="00452B44" w:rsidP="00F26D77">
            <w:pPr>
              <w:rPr>
                <w:rStyle w:val="Hyperlink"/>
                <w:rFonts w:hAnsi="Arial Unicode MS" w:cs="Arial Unicode MS"/>
                <w:color w:val="000000"/>
                <w:sz w:val="24"/>
                <w:szCs w:val="24"/>
                <w:u w:val="single" w:color="000000"/>
                <w:lang w:val="en-US" w:eastAsia="en-US" w:bidi="ar-SA"/>
              </w:rPr>
            </w:pPr>
            <w:r>
              <w:fldChar w:fldCharType="begin"/>
            </w:r>
            <w:r>
              <w:rPr>
                <w:sz w:val="24"/>
                <w:szCs w:val="24"/>
                <w:lang w:val="en-US" w:eastAsia="en-US" w:bidi="ar-SA"/>
              </w:rPr>
              <w:instrText xml:space="preserve"> HYPERLINK "mailto:rocco.dascenzo@duke-energy.com" </w:instrText>
            </w:r>
            <w:r>
              <w:fldChar w:fldCharType="separate"/>
            </w:r>
            <w:r w:rsidRPr="00235348">
              <w:rPr>
                <w:rStyle w:val="Hyperlink"/>
                <w:rFonts w:eastAsia="Arial Unicode MS" w:hAnsi="Arial Unicode MS" w:cs="Arial Unicode MS"/>
                <w:color w:val="0000FF"/>
                <w:sz w:val="24"/>
                <w:szCs w:val="24"/>
                <w:u w:val="single"/>
                <w:bdr w:val="nil"/>
                <w:lang w:val="en-US" w:eastAsia="en-US" w:bidi="ar-SA"/>
              </w:rPr>
              <w:t>rocco.dascenzo@duke-energy.com</w:t>
            </w:r>
            <w:r>
              <w:fldChar w:fldCharType="end"/>
            </w:r>
          </w:p>
          <w:p w:rsidR="00452B44" w:rsidP="00F26D77">
            <w:pPr>
              <w:rPr>
                <w:rStyle w:val="Hyperlink"/>
                <w:rFonts w:hAnsi="Arial Unicode MS" w:cs="Arial Unicode MS"/>
                <w:color w:val="000000"/>
                <w:sz w:val="24"/>
                <w:szCs w:val="24"/>
                <w:u w:val="single" w:color="000000"/>
                <w:lang w:val="en-US" w:eastAsia="en-US" w:bidi="ar-SA"/>
              </w:rPr>
            </w:pPr>
            <w:r>
              <w:fldChar w:fldCharType="begin"/>
            </w:r>
            <w:r>
              <w:rPr>
                <w:sz w:val="24"/>
                <w:szCs w:val="24"/>
                <w:lang w:val="en-US" w:eastAsia="en-US" w:bidi="ar-SA"/>
              </w:rPr>
              <w:instrText xml:space="preserve"> HYPERLINK "mailto:jeanne.kingery@duke-energy.com" </w:instrText>
            </w:r>
            <w:r>
              <w:fldChar w:fldCharType="separate"/>
            </w:r>
            <w:r w:rsidRPr="00235348">
              <w:rPr>
                <w:rStyle w:val="Hyperlink"/>
                <w:rFonts w:eastAsia="Arial Unicode MS" w:hAnsi="Arial Unicode MS" w:cs="Arial Unicode MS"/>
                <w:color w:val="0000FF"/>
                <w:sz w:val="24"/>
                <w:szCs w:val="24"/>
                <w:u w:val="single"/>
                <w:bdr w:val="nil"/>
                <w:lang w:val="en-US" w:eastAsia="en-US" w:bidi="ar-SA"/>
              </w:rPr>
              <w:t>jeanne.kingery@duke-energy.com</w:t>
            </w:r>
            <w:r>
              <w:fldChar w:fldCharType="end"/>
            </w:r>
          </w:p>
          <w:p w:rsidR="00452B44" w:rsidP="00F26D77">
            <w:pPr>
              <w:rPr>
                <w:rStyle w:val="Hyperlink"/>
                <w:rFonts w:hAnsi="Arial Unicode MS" w:cs="Arial Unicode MS"/>
                <w:color w:val="000000"/>
                <w:sz w:val="24"/>
                <w:szCs w:val="24"/>
                <w:u w:val="single" w:color="000000"/>
                <w:lang w:val="en-US" w:eastAsia="en-US" w:bidi="ar-SA"/>
              </w:rPr>
            </w:pPr>
            <w:r>
              <w:fldChar w:fldCharType="begin"/>
            </w:r>
            <w:r>
              <w:rPr>
                <w:sz w:val="24"/>
                <w:szCs w:val="24"/>
                <w:lang w:val="en-US" w:eastAsia="en-US" w:bidi="ar-SA"/>
              </w:rPr>
              <w:instrText xml:space="preserve"> HYPERLINK "mailto:joliker@igsenergy.com" </w:instrText>
            </w:r>
            <w:r>
              <w:fldChar w:fldCharType="separate"/>
            </w:r>
            <w:r w:rsidRPr="00235348">
              <w:rPr>
                <w:rStyle w:val="Hyperlink"/>
                <w:rFonts w:eastAsia="Arial Unicode MS" w:hAnsi="Arial Unicode MS" w:cs="Arial Unicode MS"/>
                <w:color w:val="0000FF"/>
                <w:sz w:val="24"/>
                <w:szCs w:val="24"/>
                <w:u w:val="single"/>
                <w:bdr w:val="nil"/>
                <w:lang w:val="en-US" w:eastAsia="en-US" w:bidi="ar-SA"/>
              </w:rPr>
              <w:t>joliker@igsenergy.com</w:t>
            </w:r>
            <w:r>
              <w:fldChar w:fldCharType="end"/>
            </w:r>
          </w:p>
          <w:p w:rsidR="00452B44" w:rsidP="00F26D77">
            <w:pPr>
              <w:rPr>
                <w:rStyle w:val="Hyperlink"/>
                <w:rFonts w:eastAsia="Arial Unicode MS" w:hAnsi="Arial Unicode MS" w:cs="Arial Unicode MS"/>
                <w:color w:val="000000"/>
                <w:sz w:val="24"/>
                <w:szCs w:val="24"/>
                <w:u w:val="single" w:color="000000"/>
                <w:bdr w:val="nil"/>
                <w:lang w:val="en-US" w:eastAsia="en-US" w:bidi="ar-SA"/>
              </w:rPr>
            </w:pPr>
            <w:r>
              <w:fldChar w:fldCharType="begin"/>
            </w:r>
            <w:r>
              <w:rPr>
                <w:sz w:val="24"/>
                <w:szCs w:val="24"/>
                <w:lang w:val="en-US" w:eastAsia="en-US" w:bidi="ar-SA"/>
              </w:rPr>
              <w:instrText xml:space="preserve"> HYPERLINK "mailto:mnugent@igsenergy.com" </w:instrText>
            </w:r>
            <w:r>
              <w:fldChar w:fldCharType="separate"/>
            </w:r>
            <w:r w:rsidRPr="003E6DFB" w:rsidR="009A5E9A">
              <w:rPr>
                <w:rStyle w:val="Hyperlink"/>
                <w:rFonts w:eastAsia="Arial Unicode MS" w:hAnsi="Arial Unicode MS" w:cs="Arial Unicode MS"/>
                <w:color w:val="0000FF"/>
                <w:sz w:val="24"/>
                <w:szCs w:val="24"/>
                <w:u w:val="single"/>
                <w:bdr w:val="nil"/>
                <w:lang w:val="en-US" w:eastAsia="en-US" w:bidi="ar-SA"/>
              </w:rPr>
              <w:t>mnugent@igsenergy.com</w:t>
            </w:r>
            <w:r>
              <w:fldChar w:fldCharType="end"/>
            </w:r>
          </w:p>
          <w:p w:rsidR="009A5E9A" w:rsidRPr="008E20EA" w:rsidP="00F26D77">
            <w:pPr>
              <w:rPr>
                <w:rStyle w:val="Hyperlink"/>
                <w:rFonts w:hAnsi="Arial Unicode MS" w:cs="Arial Unicode MS"/>
                <w:color w:val="000000"/>
                <w:sz w:val="24"/>
                <w:szCs w:val="24"/>
                <w:u w:val="single" w:color="000000"/>
                <w:lang w:val="en-US" w:eastAsia="en-US" w:bidi="ar-SA"/>
              </w:rPr>
            </w:pPr>
          </w:p>
        </w:tc>
      </w:tr>
    </w:tbl>
    <w:p w:rsidR="00063EB4" w:rsidRPr="00C743FA" w:rsidP="00A70505">
      <w:pPr>
        <w:pStyle w:val="CommentText"/>
        <w:suppressLineNumbers/>
        <w:rPr>
          <w:sz w:val="24"/>
          <w:szCs w:val="24"/>
        </w:rPr>
      </w:pPr>
    </w:p>
    <w:p w:rsidR="00063EB4" w:rsidRPr="00C743FA" w:rsidP="00A70505">
      <w:pPr>
        <w:suppressLineNumbers/>
        <w:tabs>
          <w:tab w:val="left" w:pos="5040"/>
        </w:tabs>
        <w:rPr>
          <w:b/>
        </w:rPr>
      </w:pPr>
      <w:r w:rsidRPr="00C743FA">
        <w:tab/>
      </w:r>
    </w:p>
    <w:p w:rsidR="00063EB4" w:rsidRPr="00C743FA" w:rsidP="00554787">
      <w:pPr>
        <w:suppressLineNumbers/>
        <w:spacing w:before="240"/>
        <w:ind w:firstLine="720"/>
      </w:pPr>
    </w:p>
    <w:sectPr w:rsidSect="00452B44">
      <w:headerReference w:type="default" r:id="rId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3E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44672286"/>
      <w:docPartObj>
        <w:docPartGallery w:val="Page Numbers (Bottom of Page)"/>
        <w:docPartUnique/>
      </w:docPartObj>
    </w:sdtPr>
    <w:sdtEndPr>
      <w:rPr>
        <w:noProof/>
      </w:rPr>
    </w:sdtEndPr>
    <w:sdtContent>
      <w:p w:rsidR="00F26D77">
        <w:pPr>
          <w:pStyle w:val="Footer"/>
          <w:jc w:val="center"/>
        </w:pPr>
      </w:p>
    </w:sdtContent>
  </w:sdt>
  <w:p w:rsidR="00F26D7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3EB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9948362"/>
      <w:docPartObj>
        <w:docPartGallery w:val="Page Numbers (Bottom of Page)"/>
        <w:docPartUnique/>
      </w:docPartObj>
    </w:sdtPr>
    <w:sdtEndPr>
      <w:rPr>
        <w:noProof/>
      </w:rPr>
    </w:sdtEndPr>
    <w:sdtContent>
      <w:p w:rsidR="00F26D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26D77">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25336834"/>
      <w:docPartObj>
        <w:docPartGallery w:val="Page Numbers (Bottom of Page)"/>
        <w:docPartUnique/>
      </w:docPartObj>
    </w:sdtPr>
    <w:sdtEndPr>
      <w:rPr>
        <w:noProof/>
      </w:rPr>
    </w:sdtEndPr>
    <w:sdtContent>
      <w:p w:rsidR="00F26D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26D7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00558">
      <w:r>
        <w:separator/>
      </w:r>
    </w:p>
  </w:footnote>
  <w:footnote w:type="continuationSeparator" w:id="1">
    <w:p w:rsidR="00500558">
      <w:r>
        <w:continuationSeparator/>
      </w:r>
    </w:p>
  </w:footnote>
  <w:footnote w:id="2">
    <w:p w:rsidR="00F26D77" w:rsidP="0008207E">
      <w:pPr>
        <w:pStyle w:val="FootnoteText"/>
      </w:pPr>
      <w:r>
        <w:rPr>
          <w:rStyle w:val="FootnoteReference"/>
        </w:rPr>
        <w:footnoteRef/>
      </w:r>
      <w:r>
        <w:t xml:space="preserve"> </w:t>
      </w:r>
      <w:r>
        <w:rPr>
          <w:i/>
          <w:iCs/>
        </w:rPr>
        <w:t xml:space="preserve">See In re the Matter of </w:t>
      </w:r>
      <w:r w:rsidRPr="00612A4E">
        <w:rPr>
          <w:i/>
          <w:iCs/>
        </w:rPr>
        <w:t>T</w:t>
      </w:r>
      <w:r>
        <w:rPr>
          <w:i/>
          <w:iCs/>
        </w:rPr>
        <w:t>he</w:t>
      </w:r>
      <w:r w:rsidRPr="00612A4E">
        <w:rPr>
          <w:i/>
          <w:iCs/>
        </w:rPr>
        <w:t xml:space="preserve"> Purchased Gas Adjustment Clause Contained Within the Rate Schedules of Duke Energy Ohio, Inc. </w:t>
      </w:r>
      <w:r>
        <w:rPr>
          <w:i/>
          <w:iCs/>
        </w:rPr>
        <w:t>and</w:t>
      </w:r>
      <w:r w:rsidRPr="00612A4E">
        <w:rPr>
          <w:i/>
          <w:iCs/>
        </w:rPr>
        <w:t xml:space="preserve"> Related Matters</w:t>
      </w:r>
      <w:r>
        <w:rPr>
          <w:i/>
          <w:iCs/>
        </w:rPr>
        <w:t xml:space="preserve">, </w:t>
      </w:r>
      <w:r>
        <w:t>PUCO Case No. 18-0218-GA-GCR, Entry (February 21, 2018).</w:t>
      </w:r>
    </w:p>
  </w:footnote>
  <w:footnote w:id="3">
    <w:p w:rsidR="00F26D77" w:rsidRPr="00567430" w:rsidP="0008207E">
      <w:pPr>
        <w:pStyle w:val="FootnoteText"/>
        <w:rPr>
          <w:i/>
          <w:iCs/>
        </w:rPr>
      </w:pPr>
      <w:r>
        <w:rPr>
          <w:rStyle w:val="FootnoteReference"/>
        </w:rPr>
        <w:footnoteRef/>
      </w:r>
      <w:r>
        <w:t xml:space="preserve"> </w:t>
      </w:r>
      <w:r>
        <w:rPr>
          <w:i/>
          <w:iCs/>
        </w:rPr>
        <w:t>Id.</w:t>
      </w:r>
    </w:p>
  </w:footnote>
  <w:footnote w:id="4">
    <w:p w:rsidR="00F26D77" w:rsidRPr="0014145E">
      <w:pPr>
        <w:pStyle w:val="FootnoteText"/>
        <w:rPr>
          <w:i/>
          <w:iCs/>
        </w:rPr>
      </w:pPr>
      <w:r>
        <w:rPr>
          <w:rStyle w:val="FootnoteReference"/>
        </w:rPr>
        <w:footnoteRef/>
      </w:r>
      <w:r>
        <w:t xml:space="preserve"> </w:t>
      </w:r>
      <w:r>
        <w:rPr>
          <w:i/>
          <w:iCs/>
        </w:rPr>
        <w:t>Id.</w:t>
      </w:r>
    </w:p>
  </w:footnote>
  <w:footnote w:id="5">
    <w:p w:rsidR="00F26D77">
      <w:pPr>
        <w:pStyle w:val="FootnoteText"/>
      </w:pPr>
      <w:r>
        <w:rPr>
          <w:rStyle w:val="FootnoteReference"/>
        </w:rPr>
        <w:footnoteRef/>
      </w:r>
      <w:r>
        <w:t xml:space="preserve"> </w:t>
      </w:r>
      <w:r w:rsidRPr="00E46A9A">
        <w:rPr>
          <w:i/>
        </w:rPr>
        <w:t>Report to the Public Utilities Commission of Ohio on the Management and Performance Audit of Duke Energy Ohio Inc.</w:t>
      </w:r>
      <w:r w:rsidRPr="00E46A9A">
        <w:rPr>
          <w:iCs/>
        </w:rPr>
        <w:t xml:space="preserve">, </w:t>
      </w:r>
      <w:r>
        <w:rPr>
          <w:iCs/>
        </w:rPr>
        <w:t>PUCO Case No. 18-0218-GA-GCR</w:t>
      </w:r>
      <w:r>
        <w:t xml:space="preserve"> (“Audit Report”).</w:t>
      </w:r>
    </w:p>
  </w:footnote>
  <w:footnote w:id="6">
    <w:p w:rsidR="00F26D77" w:rsidP="002817FF">
      <w:pPr>
        <w:pStyle w:val="FootnoteText"/>
      </w:pPr>
      <w:r>
        <w:rPr>
          <w:rStyle w:val="FootnoteReference"/>
        </w:rPr>
        <w:footnoteRef/>
      </w:r>
      <w:r>
        <w:t xml:space="preserve"> </w:t>
      </w:r>
      <w:r>
        <w:rPr>
          <w:i/>
          <w:iCs/>
        </w:rPr>
        <w:t xml:space="preserve">See In re the Matter of </w:t>
      </w:r>
      <w:r w:rsidRPr="00612A4E">
        <w:rPr>
          <w:i/>
          <w:iCs/>
        </w:rPr>
        <w:t>T</w:t>
      </w:r>
      <w:r>
        <w:rPr>
          <w:i/>
          <w:iCs/>
        </w:rPr>
        <w:t>he</w:t>
      </w:r>
      <w:r w:rsidRPr="00612A4E">
        <w:rPr>
          <w:i/>
          <w:iCs/>
        </w:rPr>
        <w:t xml:space="preserve"> Purchased Gas Adjustment Clause Contained Within the Rate Schedules of Duke Energy Ohio, Inc. </w:t>
      </w:r>
      <w:r>
        <w:rPr>
          <w:i/>
          <w:iCs/>
        </w:rPr>
        <w:t>and</w:t>
      </w:r>
      <w:r w:rsidRPr="00612A4E">
        <w:rPr>
          <w:i/>
          <w:iCs/>
        </w:rPr>
        <w:t xml:space="preserve"> Related Matters</w:t>
      </w:r>
      <w:r>
        <w:rPr>
          <w:i/>
          <w:iCs/>
        </w:rPr>
        <w:t xml:space="preserve">, </w:t>
      </w:r>
      <w:r>
        <w:t>PUCO Case No. 18-0218-GA-GCR, The Direct Testimony of Michael P. Haugh on Behalf of The Office of the Ohio Consumers’ Counsel (September 3, 2019) (“Haugh Direct”).</w:t>
      </w:r>
    </w:p>
  </w:footnote>
  <w:footnote w:id="7">
    <w:p w:rsidR="00F26D77" w:rsidP="002817FF">
      <w:pPr>
        <w:pStyle w:val="FootnoteText"/>
      </w:pPr>
      <w:r>
        <w:rPr>
          <w:rStyle w:val="FootnoteReference"/>
        </w:rPr>
        <w:footnoteRef/>
      </w:r>
      <w:r>
        <w:t xml:space="preserve"> Haugh Direct at 2-3.</w:t>
      </w:r>
    </w:p>
  </w:footnote>
  <w:footnote w:id="8">
    <w:p w:rsidR="00F26D77" w:rsidP="002817FF">
      <w:pPr>
        <w:pStyle w:val="FootnoteText"/>
      </w:pPr>
      <w:r>
        <w:rPr>
          <w:rStyle w:val="FootnoteReference"/>
        </w:rPr>
        <w:footnoteRef/>
      </w:r>
      <w:r>
        <w:t xml:space="preserve"> </w:t>
      </w:r>
      <w:r>
        <w:rPr>
          <w:i/>
          <w:iCs/>
        </w:rPr>
        <w:t>Id.</w:t>
      </w:r>
      <w:r>
        <w:t xml:space="preserve"> at 3.</w:t>
      </w:r>
    </w:p>
  </w:footnote>
  <w:footnote w:id="9">
    <w:p w:rsidR="00F26D77" w:rsidP="002817FF">
      <w:pPr>
        <w:pStyle w:val="FootnoteText"/>
      </w:pPr>
      <w:r>
        <w:rPr>
          <w:rStyle w:val="FootnoteReference"/>
        </w:rPr>
        <w:footnoteRef/>
      </w:r>
      <w:r>
        <w:t xml:space="preserve"> </w:t>
      </w:r>
      <w:r>
        <w:rPr>
          <w:i/>
          <w:iCs/>
        </w:rPr>
        <w:t>Id.</w:t>
      </w:r>
      <w:r>
        <w:t xml:space="preserve"> at 2-3.</w:t>
      </w:r>
    </w:p>
  </w:footnote>
  <w:footnote w:id="10">
    <w:p w:rsidR="00F26D77" w:rsidP="002817FF">
      <w:pPr>
        <w:pStyle w:val="FootnoteText"/>
      </w:pPr>
      <w:r>
        <w:rPr>
          <w:rStyle w:val="FootnoteReference"/>
        </w:rPr>
        <w:footnoteRef/>
      </w:r>
      <w:r>
        <w:t xml:space="preserve"> </w:t>
      </w:r>
      <w:r>
        <w:rPr>
          <w:i/>
          <w:iCs/>
        </w:rPr>
        <w:t>Id.</w:t>
      </w:r>
      <w:r>
        <w:t xml:space="preserve"> at 3.</w:t>
      </w:r>
    </w:p>
  </w:footnote>
  <w:footnote w:id="11">
    <w:p w:rsidR="00F26D77" w:rsidP="002817FF">
      <w:pPr>
        <w:pStyle w:val="FootnoteText"/>
      </w:pPr>
      <w:r>
        <w:rPr>
          <w:rStyle w:val="FootnoteReference"/>
        </w:rPr>
        <w:footnoteRef/>
      </w:r>
      <w:r>
        <w:t xml:space="preserve"> </w:t>
      </w:r>
      <w:r>
        <w:rPr>
          <w:i/>
          <w:iCs/>
        </w:rPr>
        <w:t>Id.</w:t>
      </w:r>
    </w:p>
  </w:footnote>
  <w:footnote w:id="12">
    <w:p w:rsidR="00F26D77" w:rsidP="002817FF">
      <w:pPr>
        <w:pStyle w:val="FootnoteText"/>
      </w:pPr>
      <w:r>
        <w:rPr>
          <w:rStyle w:val="FootnoteReference"/>
        </w:rPr>
        <w:footnoteRef/>
      </w:r>
      <w:r>
        <w:t xml:space="preserve"> </w:t>
      </w:r>
      <w:r>
        <w:rPr>
          <w:i/>
          <w:iCs/>
        </w:rPr>
        <w:t>Id.</w:t>
      </w:r>
    </w:p>
  </w:footnote>
  <w:footnote w:id="13">
    <w:p w:rsidR="00F26D77" w:rsidP="002817FF">
      <w:pPr>
        <w:pStyle w:val="FootnoteText"/>
      </w:pPr>
      <w:r>
        <w:rPr>
          <w:rStyle w:val="FootnoteReference"/>
        </w:rPr>
        <w:footnoteRef/>
      </w:r>
      <w:r>
        <w:t xml:space="preserve"> </w:t>
      </w:r>
      <w:r>
        <w:rPr>
          <w:i/>
          <w:iCs/>
        </w:rPr>
        <w:t>Id.</w:t>
      </w:r>
    </w:p>
  </w:footnote>
  <w:footnote w:id="14">
    <w:p w:rsidR="00F26D77" w:rsidRPr="00E03B36" w:rsidP="00677E32">
      <w:pPr>
        <w:pStyle w:val="FootnoteText"/>
      </w:pPr>
      <w:r w:rsidRPr="00E03B36">
        <w:rPr>
          <w:rStyle w:val="FootnoteReference"/>
        </w:rPr>
        <w:footnoteRef/>
      </w:r>
      <w:r w:rsidRPr="00E03B36">
        <w:t xml:space="preserve"> </w:t>
      </w:r>
      <w:r w:rsidRPr="00D1438A">
        <w:rPr>
          <w:i/>
          <w:iCs/>
        </w:rPr>
        <w:t>Duff v. Pub. Util. Comm</w:t>
      </w:r>
      <w:r>
        <w:t xml:space="preserve">., </w:t>
      </w:r>
      <w:r w:rsidRPr="00E03B36">
        <w:t xml:space="preserve">56 Ohio St.2d 367 (1978); </w:t>
      </w:r>
      <w:r w:rsidRPr="00D1438A">
        <w:rPr>
          <w:i/>
          <w:iCs/>
        </w:rPr>
        <w:t>see also</w:t>
      </w:r>
      <w:r w:rsidRPr="00E03B36">
        <w:t xml:space="preserve"> Ohio Adm. Code 4901-1-30(E).</w:t>
      </w:r>
    </w:p>
  </w:footnote>
  <w:footnote w:id="15">
    <w:p w:rsidR="00F26D77" w:rsidRPr="00E03B36" w:rsidP="00677E32">
      <w:pPr>
        <w:pStyle w:val="FootnoteText"/>
      </w:pPr>
      <w:r w:rsidRPr="00E03B36">
        <w:rPr>
          <w:rStyle w:val="FootnoteReference"/>
        </w:rPr>
        <w:footnoteRef/>
      </w:r>
      <w:r w:rsidRPr="00E03B36">
        <w:t xml:space="preserve"> </w:t>
      </w:r>
      <w:r>
        <w:rPr>
          <w:i/>
          <w:iCs/>
        </w:rPr>
        <w:t>Id.</w:t>
      </w:r>
    </w:p>
  </w:footnote>
  <w:footnote w:id="16">
    <w:p w:rsidR="00F26D77" w:rsidRPr="00E03B36" w:rsidP="00677E32">
      <w:pPr>
        <w:pStyle w:val="FootnoteText"/>
      </w:pPr>
      <w:r w:rsidRPr="00E03B36">
        <w:rPr>
          <w:rStyle w:val="FootnoteReference"/>
        </w:rPr>
        <w:footnoteRef/>
      </w:r>
      <w:r w:rsidRPr="00E03B36">
        <w:t xml:space="preserve"> </w:t>
      </w:r>
      <w:r w:rsidRPr="00D1438A">
        <w:rPr>
          <w:i/>
          <w:iCs/>
        </w:rPr>
        <w:t>Consumers’ Counsel v. Pub. Util. Comm</w:t>
      </w:r>
      <w:r>
        <w:t>., 64 Ohio St.3d 123, 126 (1992).</w:t>
      </w:r>
    </w:p>
  </w:footnote>
  <w:footnote w:id="17">
    <w:p w:rsidR="00F26D77">
      <w:pPr>
        <w:pStyle w:val="FootnoteText"/>
      </w:pPr>
      <w:r>
        <w:rPr>
          <w:rStyle w:val="FootnoteReference"/>
        </w:rPr>
        <w:footnoteRef/>
      </w:r>
      <w:r>
        <w:t xml:space="preserve"> Haugh Direct at 3.</w:t>
      </w:r>
    </w:p>
  </w:footnote>
  <w:footnote w:id="18">
    <w:p w:rsidR="00F26D77">
      <w:pPr>
        <w:pStyle w:val="FootnoteText"/>
      </w:pPr>
      <w:r>
        <w:rPr>
          <w:rStyle w:val="FootnoteReference"/>
        </w:rPr>
        <w:footnoteRef/>
      </w:r>
      <w:r>
        <w:t xml:space="preserve"> </w:t>
      </w:r>
      <w:r>
        <w:rPr>
          <w:i/>
          <w:iCs/>
        </w:rPr>
        <w:t>Id.</w:t>
      </w:r>
    </w:p>
  </w:footnote>
  <w:footnote w:id="19">
    <w:p w:rsidR="00F26D77">
      <w:pPr>
        <w:pStyle w:val="FootnoteText"/>
      </w:pPr>
      <w:r>
        <w:rPr>
          <w:rStyle w:val="FootnoteReference"/>
        </w:rPr>
        <w:footnoteRef/>
      </w:r>
      <w:r>
        <w:t xml:space="preserve"> </w:t>
      </w:r>
      <w:r>
        <w:rPr>
          <w:i/>
          <w:iCs/>
        </w:rPr>
        <w:t>Id.</w:t>
      </w:r>
      <w:r>
        <w:t xml:space="preserve"> at 11.</w:t>
      </w:r>
    </w:p>
  </w:footnote>
  <w:footnote w:id="20">
    <w:p w:rsidR="00F26D77">
      <w:pPr>
        <w:pStyle w:val="FootnoteText"/>
      </w:pPr>
      <w:r>
        <w:rPr>
          <w:rStyle w:val="FootnoteReference"/>
        </w:rPr>
        <w:footnoteRef/>
      </w:r>
      <w:r>
        <w:t xml:space="preserve"> </w:t>
      </w:r>
      <w:r>
        <w:rPr>
          <w:i/>
          <w:iCs/>
        </w:rPr>
        <w:t>Id.</w:t>
      </w:r>
      <w:r>
        <w:t xml:space="preserve"> at 11 and 15.</w:t>
      </w:r>
    </w:p>
  </w:footnote>
  <w:footnote w:id="21">
    <w:p w:rsidR="00F26D77">
      <w:pPr>
        <w:pStyle w:val="FootnoteText"/>
      </w:pPr>
      <w:r>
        <w:rPr>
          <w:rStyle w:val="FootnoteReference"/>
        </w:rPr>
        <w:footnoteRef/>
      </w:r>
      <w:r>
        <w:t xml:space="preserve"> </w:t>
      </w:r>
      <w:r>
        <w:rPr>
          <w:i/>
          <w:iCs/>
        </w:rPr>
        <w:t>Id.</w:t>
      </w:r>
      <w:r>
        <w:t xml:space="preserve"> at 15.</w:t>
      </w:r>
    </w:p>
  </w:footnote>
  <w:footnote w:id="22">
    <w:p w:rsidR="00F26D77">
      <w:pPr>
        <w:pStyle w:val="FootnoteText"/>
      </w:pPr>
      <w:r>
        <w:rPr>
          <w:rStyle w:val="FootnoteReference"/>
        </w:rPr>
        <w:footnoteRef/>
      </w:r>
      <w:r>
        <w:t xml:space="preserve"> </w:t>
      </w:r>
      <w:r>
        <w:rPr>
          <w:i/>
          <w:iCs/>
        </w:rPr>
        <w:t>Id.</w:t>
      </w:r>
      <w:r>
        <w:t xml:space="preserve"> at 15.</w:t>
      </w:r>
    </w:p>
  </w:footnote>
  <w:footnote w:id="23">
    <w:p w:rsidR="00F26D77" w:rsidRPr="007B727E">
      <w:pPr>
        <w:pStyle w:val="FootnoteText"/>
        <w:rPr>
          <w:i/>
          <w:iCs/>
        </w:rPr>
      </w:pPr>
      <w:r>
        <w:rPr>
          <w:rStyle w:val="FootnoteReference"/>
        </w:rPr>
        <w:footnoteRef/>
      </w:r>
      <w:r>
        <w:t xml:space="preserve"> </w:t>
      </w:r>
      <w:r>
        <w:rPr>
          <w:i/>
          <w:iCs/>
        </w:rPr>
        <w:t>Id.</w:t>
      </w:r>
    </w:p>
  </w:footnote>
  <w:footnote w:id="24">
    <w:p w:rsidR="00F26D77" w:rsidP="00262F25">
      <w:pPr>
        <w:pStyle w:val="FootnoteText"/>
      </w:pPr>
      <w:r>
        <w:rPr>
          <w:rStyle w:val="FootnoteReference"/>
        </w:rPr>
        <w:footnoteRef/>
      </w:r>
      <w:r>
        <w:t xml:space="preserve"> </w:t>
      </w:r>
      <w:r w:rsidRPr="007B727E">
        <w:rPr>
          <w:iCs/>
        </w:rPr>
        <w:t>Audit Report</w:t>
      </w:r>
      <w:r w:rsidRPr="00E46A9A">
        <w:t xml:space="preserve"> at 6-24.</w:t>
      </w:r>
    </w:p>
  </w:footnote>
  <w:footnote w:id="25">
    <w:p w:rsidR="00F26D77" w:rsidP="00262F25">
      <w:pPr>
        <w:pStyle w:val="FootnoteText"/>
      </w:pPr>
      <w:r>
        <w:rPr>
          <w:rStyle w:val="FootnoteReference"/>
        </w:rPr>
        <w:footnoteRef/>
      </w:r>
      <w:r>
        <w:t xml:space="preserve"> Haugh Direct at 3-4.</w:t>
      </w:r>
    </w:p>
  </w:footnote>
  <w:footnote w:id="26">
    <w:p w:rsidR="00F26D77" w:rsidRPr="0014145E" w:rsidP="00262F25">
      <w:pPr>
        <w:pStyle w:val="FootnoteText"/>
        <w:rPr>
          <w:i/>
          <w:iCs/>
        </w:rPr>
      </w:pPr>
      <w:r>
        <w:rPr>
          <w:rStyle w:val="FootnoteReference"/>
        </w:rPr>
        <w:footnoteRef/>
      </w:r>
      <w:r>
        <w:t xml:space="preserve"> </w:t>
      </w:r>
      <w:r>
        <w:rPr>
          <w:i/>
          <w:iCs/>
        </w:rPr>
        <w:t>Id.</w:t>
      </w:r>
    </w:p>
  </w:footnote>
  <w:footnote w:id="27">
    <w:p w:rsidR="00F26D77" w:rsidP="00262F25">
      <w:pPr>
        <w:pStyle w:val="FootnoteText"/>
      </w:pPr>
      <w:r>
        <w:rPr>
          <w:rStyle w:val="FootnoteReference"/>
        </w:rPr>
        <w:footnoteRef/>
      </w:r>
      <w:r>
        <w:t xml:space="preserve"> </w:t>
      </w:r>
      <w:r>
        <w:rPr>
          <w:i/>
          <w:iCs/>
        </w:rPr>
        <w:t xml:space="preserve">Id. </w:t>
      </w:r>
      <w:r>
        <w:t>at 4.</w:t>
      </w:r>
    </w:p>
  </w:footnote>
  <w:footnote w:id="28">
    <w:p w:rsidR="00F26D77" w:rsidP="00262F25">
      <w:pPr>
        <w:pStyle w:val="FootnoteText"/>
      </w:pPr>
      <w:r>
        <w:rPr>
          <w:rStyle w:val="FootnoteReference"/>
        </w:rPr>
        <w:footnoteRef/>
      </w:r>
      <w:r>
        <w:t xml:space="preserve"> </w:t>
      </w:r>
      <w:r>
        <w:rPr>
          <w:i/>
          <w:iCs/>
        </w:rPr>
        <w:t>Id.</w:t>
      </w:r>
    </w:p>
  </w:footnote>
  <w:footnote w:id="29">
    <w:p w:rsidR="00F26D77" w:rsidRPr="00E46A9A" w:rsidP="00262F25">
      <w:pPr>
        <w:pStyle w:val="FootnoteText"/>
      </w:pPr>
      <w:r w:rsidRPr="00E46A9A">
        <w:rPr>
          <w:rStyle w:val="FootnoteReference"/>
        </w:rPr>
        <w:footnoteRef/>
      </w:r>
      <w:r w:rsidRPr="00E46A9A">
        <w:t xml:space="preserve"> </w:t>
      </w:r>
      <w:r>
        <w:rPr>
          <w:i/>
          <w:iCs/>
        </w:rPr>
        <w:t>Id.</w:t>
      </w:r>
      <w:r>
        <w:t xml:space="preserve">; </w:t>
      </w:r>
      <w:r>
        <w:rPr>
          <w:iCs/>
        </w:rPr>
        <w:t>Audit Report</w:t>
      </w:r>
      <w:r w:rsidRPr="00E46A9A">
        <w:t xml:space="preserve"> at 6-24. </w:t>
      </w:r>
    </w:p>
  </w:footnote>
  <w:footnote w:id="30">
    <w:p w:rsidR="00F26D77" w:rsidP="00262F25">
      <w:pPr>
        <w:pStyle w:val="FootnoteText"/>
      </w:pPr>
      <w:r>
        <w:rPr>
          <w:rStyle w:val="FootnoteReference"/>
        </w:rPr>
        <w:footnoteRef/>
      </w:r>
      <w:r>
        <w:t xml:space="preserve"> Haugh Direct at 4.</w:t>
      </w:r>
    </w:p>
  </w:footnote>
  <w:footnote w:id="31">
    <w:p w:rsidR="00F26D77" w:rsidP="00262F25">
      <w:pPr>
        <w:pStyle w:val="FootnoteText"/>
      </w:pPr>
      <w:r>
        <w:rPr>
          <w:rStyle w:val="FootnoteReference"/>
        </w:rPr>
        <w:footnoteRef/>
      </w:r>
      <w:r>
        <w:t xml:space="preserve"> </w:t>
      </w:r>
      <w:r>
        <w:rPr>
          <w:i/>
          <w:iCs/>
        </w:rPr>
        <w:t>Id.</w:t>
      </w:r>
    </w:p>
  </w:footnote>
  <w:footnote w:id="32">
    <w:p w:rsidR="00F26D77" w:rsidRPr="0014145E" w:rsidP="00262F25">
      <w:pPr>
        <w:pStyle w:val="FootnoteText"/>
      </w:pPr>
      <w:r w:rsidRPr="00E46A9A">
        <w:rPr>
          <w:rStyle w:val="FootnoteReference"/>
        </w:rPr>
        <w:footnoteRef/>
      </w:r>
      <w:r w:rsidRPr="00E46A9A">
        <w:t xml:space="preserve"> </w:t>
      </w:r>
      <w:r>
        <w:rPr>
          <w:i/>
          <w:iCs/>
        </w:rPr>
        <w:t>Id.</w:t>
      </w:r>
    </w:p>
  </w:footnote>
  <w:footnote w:id="33">
    <w:p w:rsidR="00F26D77">
      <w:pPr>
        <w:pStyle w:val="FootnoteText"/>
      </w:pPr>
      <w:r>
        <w:rPr>
          <w:rStyle w:val="FootnoteReference"/>
        </w:rPr>
        <w:footnoteRef/>
      </w:r>
      <w:r>
        <w:t xml:space="preserve"> </w:t>
      </w:r>
      <w:r>
        <w:rPr>
          <w:i/>
          <w:iCs/>
        </w:rPr>
        <w:t>Id.</w:t>
      </w:r>
    </w:p>
  </w:footnote>
  <w:footnote w:id="34">
    <w:p w:rsidR="00F26D77" w:rsidRPr="00E46A9A" w:rsidP="00D224FB">
      <w:pPr>
        <w:pStyle w:val="FootnoteText"/>
      </w:pPr>
      <w:r w:rsidRPr="00E46A9A">
        <w:rPr>
          <w:rStyle w:val="FootnoteReference"/>
        </w:rPr>
        <w:footnoteRef/>
      </w:r>
      <w:r w:rsidRPr="00E46A9A">
        <w:t xml:space="preserve"> </w:t>
      </w:r>
      <w:r w:rsidRPr="00E46A9A">
        <w:rPr>
          <w:iCs/>
        </w:rPr>
        <w:t>Audit Report</w:t>
      </w:r>
      <w:r w:rsidRPr="00E46A9A">
        <w:t xml:space="preserve"> at 6-24. </w:t>
      </w:r>
    </w:p>
  </w:footnote>
  <w:footnote w:id="35">
    <w:p w:rsidR="00F26D77">
      <w:pPr>
        <w:pStyle w:val="FootnoteText"/>
      </w:pPr>
      <w:r>
        <w:rPr>
          <w:rStyle w:val="FootnoteReference"/>
        </w:rPr>
        <w:footnoteRef/>
      </w:r>
      <w:r>
        <w:t xml:space="preserve"> Haugh Direct at 6.</w:t>
      </w:r>
    </w:p>
  </w:footnote>
  <w:footnote w:id="36">
    <w:p w:rsidR="00F26D77">
      <w:pPr>
        <w:pStyle w:val="FootnoteText"/>
      </w:pPr>
      <w:r>
        <w:rPr>
          <w:rStyle w:val="FootnoteReference"/>
        </w:rPr>
        <w:footnoteRef/>
      </w:r>
      <w:r>
        <w:t xml:space="preserve"> </w:t>
      </w:r>
      <w:r>
        <w:rPr>
          <w:i/>
          <w:iCs/>
        </w:rPr>
        <w:t>Id.</w:t>
      </w:r>
    </w:p>
  </w:footnote>
  <w:footnote w:id="37">
    <w:p w:rsidR="00F26D77">
      <w:pPr>
        <w:pStyle w:val="FootnoteText"/>
      </w:pPr>
      <w:r>
        <w:rPr>
          <w:rStyle w:val="FootnoteReference"/>
        </w:rPr>
        <w:footnoteRef/>
      </w:r>
      <w:r>
        <w:t xml:space="preserve"> </w:t>
      </w:r>
      <w:r>
        <w:rPr>
          <w:i/>
          <w:iCs/>
        </w:rPr>
        <w:t>Id.</w:t>
      </w:r>
    </w:p>
  </w:footnote>
  <w:footnote w:id="38">
    <w:p w:rsidR="00F26D77">
      <w:pPr>
        <w:pStyle w:val="FootnoteText"/>
      </w:pPr>
      <w:r>
        <w:rPr>
          <w:rStyle w:val="FootnoteReference"/>
        </w:rPr>
        <w:footnoteRef/>
      </w:r>
      <w:r>
        <w:t xml:space="preserve"> </w:t>
      </w:r>
      <w:r>
        <w:rPr>
          <w:i/>
          <w:iCs/>
        </w:rPr>
        <w:t>Id.</w:t>
      </w:r>
    </w:p>
  </w:footnote>
  <w:footnote w:id="39">
    <w:p w:rsidR="00F26D77">
      <w:pPr>
        <w:pStyle w:val="FootnoteText"/>
      </w:pPr>
      <w:r>
        <w:rPr>
          <w:rStyle w:val="FootnoteReference"/>
        </w:rPr>
        <w:footnoteRef/>
      </w:r>
      <w:r>
        <w:t xml:space="preserve"> Haugh Direct at 7.</w:t>
      </w:r>
    </w:p>
  </w:footnote>
  <w:footnote w:id="40">
    <w:p w:rsidR="00F26D77">
      <w:pPr>
        <w:pStyle w:val="FootnoteText"/>
      </w:pPr>
      <w:r>
        <w:rPr>
          <w:rStyle w:val="FootnoteReference"/>
        </w:rPr>
        <w:footnoteRef/>
      </w:r>
      <w:r>
        <w:t xml:space="preserve"> </w:t>
      </w:r>
      <w:r>
        <w:rPr>
          <w:i/>
          <w:iCs/>
        </w:rPr>
        <w:t>Id.</w:t>
      </w:r>
    </w:p>
  </w:footnote>
  <w:footnote w:id="41">
    <w:p w:rsidR="00F26D77">
      <w:pPr>
        <w:pStyle w:val="FootnoteText"/>
      </w:pPr>
      <w:r>
        <w:rPr>
          <w:rStyle w:val="FootnoteReference"/>
        </w:rPr>
        <w:footnoteRef/>
      </w:r>
      <w:r>
        <w:t xml:space="preserve"> </w:t>
      </w:r>
      <w:r>
        <w:rPr>
          <w:i/>
          <w:iCs/>
        </w:rPr>
        <w:t>Id.</w:t>
      </w:r>
    </w:p>
  </w:footnote>
  <w:footnote w:id="42">
    <w:p w:rsidR="00F26D77">
      <w:pPr>
        <w:pStyle w:val="FootnoteText"/>
      </w:pPr>
      <w:r>
        <w:rPr>
          <w:rStyle w:val="FootnoteReference"/>
        </w:rPr>
        <w:footnoteRef/>
      </w:r>
      <w:r>
        <w:t xml:space="preserve"> </w:t>
      </w:r>
      <w:r>
        <w:rPr>
          <w:i/>
          <w:iCs/>
        </w:rPr>
        <w:t>Id.</w:t>
      </w:r>
      <w:r>
        <w:t xml:space="preserve"> at 8.</w:t>
      </w:r>
    </w:p>
  </w:footnote>
  <w:footnote w:id="43">
    <w:p w:rsidR="00F26D77">
      <w:pPr>
        <w:pStyle w:val="FootnoteText"/>
      </w:pPr>
      <w:r>
        <w:rPr>
          <w:rStyle w:val="FootnoteReference"/>
        </w:rPr>
        <w:footnoteRef/>
      </w:r>
      <w:r>
        <w:t xml:space="preserve"> </w:t>
      </w:r>
      <w:r>
        <w:rPr>
          <w:i/>
          <w:iCs/>
        </w:rPr>
        <w:t>Id.</w:t>
      </w:r>
    </w:p>
  </w:footnote>
  <w:footnote w:id="44">
    <w:p w:rsidR="00F26D77">
      <w:pPr>
        <w:pStyle w:val="FootnoteText"/>
      </w:pPr>
      <w:r>
        <w:rPr>
          <w:rStyle w:val="FootnoteReference"/>
        </w:rPr>
        <w:footnoteRef/>
      </w:r>
      <w:r>
        <w:t xml:space="preserve"> </w:t>
      </w:r>
      <w:r>
        <w:rPr>
          <w:i/>
          <w:iCs/>
        </w:rPr>
        <w:t>Id.</w:t>
      </w:r>
    </w:p>
  </w:footnote>
  <w:footnote w:id="45">
    <w:p w:rsidR="00F26D77">
      <w:pPr>
        <w:pStyle w:val="FootnoteText"/>
      </w:pPr>
      <w:r>
        <w:rPr>
          <w:rStyle w:val="FootnoteReference"/>
        </w:rPr>
        <w:footnoteRef/>
      </w:r>
      <w:r>
        <w:t xml:space="preserve"> </w:t>
      </w:r>
      <w:r>
        <w:rPr>
          <w:i/>
          <w:iCs/>
        </w:rPr>
        <w:t>Id.</w:t>
      </w:r>
    </w:p>
  </w:footnote>
  <w:footnote w:id="46">
    <w:p w:rsidR="00F26D77">
      <w:pPr>
        <w:pStyle w:val="FootnoteText"/>
      </w:pPr>
      <w:r>
        <w:rPr>
          <w:rStyle w:val="FootnoteReference"/>
        </w:rPr>
        <w:footnoteRef/>
      </w:r>
      <w:r>
        <w:t xml:space="preserve"> </w:t>
      </w:r>
      <w:r>
        <w:rPr>
          <w:i/>
          <w:iCs/>
        </w:rPr>
        <w:t>Id.</w:t>
      </w:r>
    </w:p>
  </w:footnote>
  <w:footnote w:id="47">
    <w:p w:rsidR="00F26D77">
      <w:pPr>
        <w:pStyle w:val="FootnoteText"/>
      </w:pPr>
      <w:r>
        <w:rPr>
          <w:rStyle w:val="FootnoteReference"/>
        </w:rPr>
        <w:footnoteRef/>
      </w:r>
      <w:r>
        <w:t xml:space="preserve"> </w:t>
      </w:r>
      <w:r>
        <w:rPr>
          <w:i/>
          <w:iCs/>
        </w:rPr>
        <w:t>Id.</w:t>
      </w:r>
      <w:r>
        <w:t xml:space="preserve"> at 9.</w:t>
      </w:r>
    </w:p>
  </w:footnote>
  <w:footnote w:id="48">
    <w:p w:rsidR="00F26D77">
      <w:pPr>
        <w:pStyle w:val="FootnoteText"/>
      </w:pPr>
      <w:r>
        <w:rPr>
          <w:rStyle w:val="FootnoteReference"/>
        </w:rPr>
        <w:footnoteRef/>
      </w:r>
      <w:r>
        <w:t xml:space="preserve"> </w:t>
      </w:r>
      <w:r>
        <w:rPr>
          <w:i/>
          <w:iCs/>
        </w:rPr>
        <w:t>Id.</w:t>
      </w:r>
      <w:r>
        <w:t xml:space="preserve"> at 10.</w:t>
      </w:r>
    </w:p>
  </w:footnote>
  <w:footnote w:id="49">
    <w:p w:rsidR="00F26D77">
      <w:pPr>
        <w:pStyle w:val="FootnoteText"/>
      </w:pPr>
      <w:r>
        <w:rPr>
          <w:rStyle w:val="FootnoteReference"/>
        </w:rPr>
        <w:footnoteRef/>
      </w:r>
      <w:r>
        <w:t xml:space="preserve"> </w:t>
      </w:r>
      <w:r>
        <w:rPr>
          <w:i/>
          <w:iCs/>
        </w:rPr>
        <w:t>Id.</w:t>
      </w:r>
    </w:p>
  </w:footnote>
  <w:footnote w:id="50">
    <w:p w:rsidR="00F26D77">
      <w:pPr>
        <w:pStyle w:val="FootnoteText"/>
      </w:pPr>
      <w:r>
        <w:rPr>
          <w:rStyle w:val="FootnoteReference"/>
        </w:rPr>
        <w:footnoteRef/>
      </w:r>
      <w:r>
        <w:t xml:space="preserve"> </w:t>
      </w:r>
      <w:r>
        <w:rPr>
          <w:i/>
          <w:iCs/>
        </w:rPr>
        <w:t>Id.</w:t>
      </w:r>
    </w:p>
  </w:footnote>
  <w:footnote w:id="51">
    <w:p w:rsidR="00F26D77">
      <w:pPr>
        <w:pStyle w:val="FootnoteText"/>
      </w:pPr>
      <w:r>
        <w:rPr>
          <w:rStyle w:val="FootnoteReference"/>
        </w:rPr>
        <w:footnoteRef/>
      </w:r>
      <w:r>
        <w:t xml:space="preserve"> </w:t>
      </w:r>
      <w:r>
        <w:rPr>
          <w:i/>
          <w:iCs/>
        </w:rPr>
        <w:t>Id.</w:t>
      </w:r>
      <w:r>
        <w:t xml:space="preserve"> at 11.</w:t>
      </w:r>
    </w:p>
  </w:footnote>
  <w:footnote w:id="52">
    <w:p w:rsidR="00F26D77">
      <w:pPr>
        <w:pStyle w:val="FootnoteText"/>
      </w:pPr>
      <w:r>
        <w:rPr>
          <w:rStyle w:val="FootnoteReference"/>
        </w:rPr>
        <w:footnoteRef/>
      </w:r>
      <w:r>
        <w:t xml:space="preserve"> </w:t>
      </w:r>
      <w:r>
        <w:rPr>
          <w:i/>
          <w:iCs/>
        </w:rPr>
        <w:t>Id.</w:t>
      </w:r>
      <w:r>
        <w:t xml:space="preserve"> at 8.</w:t>
      </w:r>
    </w:p>
  </w:footnote>
  <w:footnote w:id="53">
    <w:p w:rsidR="00F26D77">
      <w:pPr>
        <w:pStyle w:val="FootnoteText"/>
      </w:pPr>
      <w:r>
        <w:rPr>
          <w:rStyle w:val="FootnoteReference"/>
        </w:rPr>
        <w:footnoteRef/>
      </w:r>
      <w:r>
        <w:t xml:space="preserve"> </w:t>
      </w:r>
      <w:r>
        <w:rPr>
          <w:i/>
          <w:iCs/>
        </w:rPr>
        <w:t>Id.</w:t>
      </w:r>
    </w:p>
  </w:footnote>
  <w:footnote w:id="54">
    <w:p w:rsidR="00F26D77">
      <w:pPr>
        <w:pStyle w:val="FootnoteText"/>
      </w:pPr>
      <w:r>
        <w:rPr>
          <w:rStyle w:val="FootnoteReference"/>
        </w:rPr>
        <w:footnoteRef/>
      </w:r>
      <w:r>
        <w:t xml:space="preserve"> </w:t>
      </w:r>
      <w:r>
        <w:rPr>
          <w:i/>
          <w:iCs/>
        </w:rPr>
        <w:t>Id.</w:t>
      </w:r>
      <w:r>
        <w:t xml:space="preserve"> at 9.</w:t>
      </w:r>
    </w:p>
  </w:footnote>
  <w:footnote w:id="55">
    <w:p w:rsidR="00F26D77" w:rsidRPr="00FD4CA6">
      <w:pPr>
        <w:pStyle w:val="FootnoteText"/>
        <w:rPr>
          <w:b/>
          <w:bCs/>
        </w:rPr>
      </w:pPr>
      <w:r>
        <w:rPr>
          <w:rStyle w:val="FootnoteReference"/>
        </w:rPr>
        <w:footnoteRef/>
      </w:r>
      <w:r>
        <w:t xml:space="preserve"> </w:t>
      </w:r>
      <w:r>
        <w:rPr>
          <w:i/>
          <w:iCs/>
        </w:rPr>
        <w:t>Id.</w:t>
      </w:r>
    </w:p>
  </w:footnote>
  <w:footnote w:id="56">
    <w:p w:rsidR="00F26D77">
      <w:pPr>
        <w:pStyle w:val="FootnoteText"/>
      </w:pPr>
      <w:r>
        <w:rPr>
          <w:rStyle w:val="FootnoteReference"/>
        </w:rPr>
        <w:footnoteRef/>
      </w:r>
      <w:r>
        <w:t xml:space="preserve"> </w:t>
      </w:r>
      <w:r>
        <w:rPr>
          <w:i/>
          <w:iCs/>
        </w:rPr>
        <w:t>Id.</w:t>
      </w:r>
    </w:p>
  </w:footnote>
  <w:footnote w:id="57">
    <w:p w:rsidR="00F26D77">
      <w:pPr>
        <w:pStyle w:val="FootnoteText"/>
      </w:pPr>
      <w:r>
        <w:rPr>
          <w:rStyle w:val="FootnoteReference"/>
        </w:rPr>
        <w:footnoteRef/>
      </w:r>
      <w:r>
        <w:t xml:space="preserve"> </w:t>
      </w:r>
      <w:r>
        <w:rPr>
          <w:i/>
          <w:iCs/>
        </w:rPr>
        <w:t>Id.</w:t>
      </w:r>
      <w:r>
        <w:t xml:space="preserve"> at 11.</w:t>
      </w:r>
    </w:p>
  </w:footnote>
  <w:footnote w:id="58">
    <w:p w:rsidR="00F26D77">
      <w:pPr>
        <w:pStyle w:val="FootnoteText"/>
      </w:pPr>
      <w:r>
        <w:rPr>
          <w:rStyle w:val="FootnoteReference"/>
        </w:rPr>
        <w:footnoteRef/>
      </w:r>
      <w:r>
        <w:t xml:space="preserve"> </w:t>
      </w:r>
      <w:r>
        <w:rPr>
          <w:i/>
          <w:iCs/>
        </w:rPr>
        <w:t>Id.</w:t>
      </w:r>
    </w:p>
  </w:footnote>
  <w:footnote w:id="59">
    <w:p w:rsidR="00F26D77" w:rsidP="003264DF">
      <w:pPr>
        <w:pStyle w:val="FootnoteText"/>
      </w:pPr>
      <w:r>
        <w:rPr>
          <w:rStyle w:val="FootnoteReference"/>
        </w:rPr>
        <w:footnoteRef/>
      </w:r>
      <w:r>
        <w:t xml:space="preserve"> </w:t>
      </w:r>
      <w:r>
        <w:rPr>
          <w:i/>
          <w:iCs/>
        </w:rPr>
        <w:t>Id.</w:t>
      </w:r>
    </w:p>
  </w:footnote>
  <w:footnote w:id="60">
    <w:p w:rsidR="00F26D77">
      <w:pPr>
        <w:pStyle w:val="FootnoteText"/>
      </w:pPr>
      <w:r>
        <w:rPr>
          <w:rStyle w:val="FootnoteReference"/>
        </w:rPr>
        <w:footnoteRef/>
      </w:r>
      <w:r>
        <w:t xml:space="preserve"> </w:t>
      </w:r>
      <w:r>
        <w:rPr>
          <w:i/>
          <w:iCs/>
        </w:rPr>
        <w:t>Id.</w:t>
      </w:r>
    </w:p>
  </w:footnote>
  <w:footnote w:id="61">
    <w:p w:rsidR="00F26D77">
      <w:pPr>
        <w:pStyle w:val="FootnoteText"/>
      </w:pPr>
      <w:r>
        <w:rPr>
          <w:rStyle w:val="FootnoteReference"/>
        </w:rPr>
        <w:footnoteRef/>
      </w:r>
      <w:r>
        <w:t xml:space="preserve"> </w:t>
      </w:r>
      <w:r>
        <w:rPr>
          <w:i/>
          <w:iCs/>
        </w:rPr>
        <w:t>Id.</w:t>
      </w:r>
    </w:p>
  </w:footnote>
  <w:footnote w:id="62">
    <w:p w:rsidR="00F26D77">
      <w:pPr>
        <w:pStyle w:val="FootnoteText"/>
      </w:pPr>
      <w:r>
        <w:rPr>
          <w:rStyle w:val="FootnoteReference"/>
        </w:rPr>
        <w:footnoteRef/>
      </w:r>
      <w:r>
        <w:t xml:space="preserve"> </w:t>
      </w:r>
      <w:r>
        <w:rPr>
          <w:i/>
          <w:iCs/>
        </w:rPr>
        <w:t>Id.</w:t>
      </w:r>
      <w:r>
        <w:t xml:space="preserve"> at 12.</w:t>
      </w:r>
    </w:p>
  </w:footnote>
  <w:footnote w:id="63">
    <w:p w:rsidR="00F26D77">
      <w:pPr>
        <w:pStyle w:val="FootnoteText"/>
      </w:pPr>
      <w:r>
        <w:rPr>
          <w:rStyle w:val="FootnoteReference"/>
        </w:rPr>
        <w:footnoteRef/>
      </w:r>
      <w:r>
        <w:t xml:space="preserve"> </w:t>
      </w:r>
      <w:r w:rsidRPr="00E46A9A">
        <w:t xml:space="preserve">Report to the Public Utilities Commission of Ohio on the Management and Performance Audit of Gas Purchasing Practices and Policies of Duke Energy Ohio, Case No. 15-218-GA-GCR </w:t>
      </w:r>
      <w:r>
        <w:t xml:space="preserve">at 45 </w:t>
      </w:r>
      <w:r w:rsidRPr="00E46A9A">
        <w:t>(December 9, 2015) (</w:t>
      </w:r>
      <w:r>
        <w:t>“</w:t>
      </w:r>
      <w:r w:rsidRPr="00E46A9A">
        <w:t>2015 Audit Report</w:t>
      </w:r>
      <w:r>
        <w:t>”</w:t>
      </w:r>
      <w:r w:rsidRPr="00E46A9A">
        <w:t>)</w:t>
      </w:r>
      <w:r>
        <w:t>.</w:t>
      </w:r>
    </w:p>
  </w:footnote>
  <w:footnote w:id="64">
    <w:p w:rsidR="00F26D77">
      <w:pPr>
        <w:pStyle w:val="FootnoteText"/>
      </w:pPr>
      <w:r>
        <w:rPr>
          <w:rStyle w:val="FootnoteReference"/>
        </w:rPr>
        <w:footnoteRef/>
      </w:r>
      <w:r>
        <w:t xml:space="preserve"> Haugh Direct at 12.</w:t>
      </w:r>
    </w:p>
  </w:footnote>
  <w:footnote w:id="65">
    <w:p w:rsidR="00F26D77" w:rsidP="44BBC7B9">
      <w:r>
        <w:footnoteRef/>
      </w:r>
      <w:r>
        <w:t xml:space="preserve"> Information from 2015-2018 was requested in the discovery, but Duke said it was not available.</w:t>
      </w:r>
    </w:p>
  </w:footnote>
  <w:footnote w:id="66">
    <w:p w:rsidR="00F26D77">
      <w:pPr>
        <w:pStyle w:val="FootnoteText"/>
      </w:pPr>
      <w:r>
        <w:rPr>
          <w:rStyle w:val="FootnoteReference"/>
        </w:rPr>
        <w:footnoteRef/>
      </w:r>
      <w:r>
        <w:t xml:space="preserve"> </w:t>
      </w:r>
      <w:r>
        <w:rPr>
          <w:i/>
          <w:iCs/>
        </w:rPr>
        <w:t>Id.</w:t>
      </w:r>
    </w:p>
  </w:footnote>
  <w:footnote w:id="67">
    <w:p w:rsidR="00F26D77">
      <w:pPr>
        <w:pStyle w:val="FootnoteText"/>
      </w:pPr>
      <w:r>
        <w:rPr>
          <w:rStyle w:val="FootnoteReference"/>
        </w:rPr>
        <w:footnoteRef/>
      </w:r>
      <w:r>
        <w:t xml:space="preserve"> </w:t>
      </w:r>
      <w:r>
        <w:rPr>
          <w:i/>
          <w:iCs/>
        </w:rPr>
        <w:t>Id.</w:t>
      </w:r>
      <w:r>
        <w:t xml:space="preserve"> at 12-13.</w:t>
      </w:r>
    </w:p>
  </w:footnote>
  <w:footnote w:id="68">
    <w:p w:rsidR="00F26D77">
      <w:pPr>
        <w:pStyle w:val="FootnoteText"/>
      </w:pPr>
      <w:r>
        <w:rPr>
          <w:rStyle w:val="FootnoteReference"/>
        </w:rPr>
        <w:footnoteRef/>
      </w:r>
      <w:r>
        <w:t xml:space="preserve"> </w:t>
      </w:r>
      <w:r>
        <w:rPr>
          <w:i/>
          <w:iCs/>
        </w:rPr>
        <w:t>Id.</w:t>
      </w:r>
      <w:r>
        <w:t xml:space="preserve"> at 13.</w:t>
      </w:r>
    </w:p>
  </w:footnote>
  <w:footnote w:id="69">
    <w:p w:rsidR="00F26D77">
      <w:pPr>
        <w:pStyle w:val="FootnoteText"/>
      </w:pPr>
      <w:r>
        <w:rPr>
          <w:rStyle w:val="FootnoteReference"/>
        </w:rPr>
        <w:footnoteRef/>
      </w:r>
      <w:r>
        <w:t xml:space="preserve"> </w:t>
      </w:r>
      <w:r>
        <w:rPr>
          <w:i/>
          <w:iCs/>
        </w:rPr>
        <w:t>Id.</w:t>
      </w:r>
      <w:r>
        <w:t xml:space="preserve"> at 13.</w:t>
      </w:r>
    </w:p>
  </w:footnote>
  <w:footnote w:id="70">
    <w:p w:rsidR="00F26D77">
      <w:pPr>
        <w:pStyle w:val="FootnoteText"/>
      </w:pPr>
      <w:r>
        <w:rPr>
          <w:rStyle w:val="FootnoteReference"/>
        </w:rPr>
        <w:footnoteRef/>
      </w:r>
      <w:r>
        <w:t xml:space="preserve"> </w:t>
      </w:r>
      <w:r>
        <w:rPr>
          <w:i/>
          <w:iCs/>
        </w:rPr>
        <w:t>Id.</w:t>
      </w:r>
    </w:p>
  </w:footnote>
  <w:footnote w:id="71">
    <w:p w:rsidR="00F26D77">
      <w:pPr>
        <w:pStyle w:val="FootnoteText"/>
      </w:pPr>
      <w:r>
        <w:rPr>
          <w:rStyle w:val="FootnoteReference"/>
        </w:rPr>
        <w:footnoteRef/>
      </w:r>
      <w:r>
        <w:t xml:space="preserve"> </w:t>
      </w:r>
      <w:r>
        <w:rPr>
          <w:i/>
          <w:iCs/>
        </w:rPr>
        <w:t>Id.</w:t>
      </w:r>
    </w:p>
  </w:footnote>
  <w:footnote w:id="72">
    <w:p w:rsidR="00F26D77" w:rsidRPr="00B509B8" w:rsidP="00980C3F">
      <w:pPr>
        <w:pStyle w:val="FootnoteText"/>
      </w:pPr>
      <w:r>
        <w:rPr>
          <w:rStyle w:val="FootnoteReference"/>
        </w:rPr>
        <w:footnoteRef/>
      </w:r>
      <w:r>
        <w:t xml:space="preserve"> </w:t>
      </w:r>
      <w:r>
        <w:rPr>
          <w:i/>
          <w:iCs/>
        </w:rPr>
        <w:t>Id.</w:t>
      </w:r>
      <w:r>
        <w:t xml:space="preserve">; </w:t>
      </w:r>
      <w:r w:rsidRPr="00F75036">
        <w:t>Based on an average of 236,000 customers being served by Choice suppliers</w:t>
      </w:r>
      <w:r>
        <w:t xml:space="preserve"> as seen on the PUCO Choice statistics</w:t>
      </w:r>
      <w:r w:rsidRPr="00F75036">
        <w:t xml:space="preserve"> (</w:t>
      </w:r>
      <w:r>
        <w:fldChar w:fldCharType="begin"/>
      </w:r>
      <w:r>
        <w:instrText xml:space="preserve"> HYPERLINK "https://app.powerbigov.us/view?r=eyJrIjoiOGJjOTA2MjYtNzMzNi00Y2RhLTljZjEtZTU3Zjg5ZDJhMDgyIiwidCI6IjUwZjhmY2M0LTk0ZDgtNGYwNy04NGViLTM2ZWQ1N2M3YzhhMiJ9" </w:instrText>
      </w:r>
      <w:r>
        <w:fldChar w:fldCharType="separate"/>
      </w:r>
      <w:r w:rsidRPr="00F75036">
        <w:rPr>
          <w:rStyle w:val="Hyperlink"/>
        </w:rPr>
        <w:t>https://app.powerbigov.us/view?r=eyJrIjoiOGJjOTA2MjYtNzMzNi00Y2RhLTljZjEtZTU3Zjg5ZDJhMDgyIiwidCI6IjUwZjhmY2M0LTk0ZDgtNGYwNy04NGViLTM2ZWQ1N2M3YzhhMiJ9</w:t>
      </w:r>
      <w:r>
        <w:fldChar w:fldCharType="end"/>
      </w:r>
      <w:r w:rsidRPr="00F75036">
        <w:t>)</w:t>
      </w:r>
      <w:r>
        <w:t>.</w:t>
      </w:r>
    </w:p>
  </w:footnote>
  <w:footnote w:id="73">
    <w:p w:rsidR="00F26D77">
      <w:pPr>
        <w:pStyle w:val="FootnoteText"/>
      </w:pPr>
      <w:r>
        <w:rPr>
          <w:rStyle w:val="FootnoteReference"/>
        </w:rPr>
        <w:footnoteRef/>
      </w:r>
      <w:r>
        <w:t xml:space="preserve"> Haugh Direct at 14.</w:t>
      </w:r>
    </w:p>
  </w:footnote>
  <w:footnote w:id="74">
    <w:p w:rsidR="00F26D77">
      <w:pPr>
        <w:pStyle w:val="FootnoteText"/>
      </w:pPr>
      <w:r>
        <w:rPr>
          <w:rStyle w:val="FootnoteReference"/>
        </w:rPr>
        <w:footnoteRef/>
      </w:r>
      <w:r>
        <w:t xml:space="preserve"> </w:t>
      </w:r>
      <w:r>
        <w:rPr>
          <w:i/>
          <w:iCs/>
        </w:rPr>
        <w:t>Id.</w:t>
      </w:r>
    </w:p>
  </w:footnote>
  <w:footnote w:id="75">
    <w:p w:rsidR="00F26D77">
      <w:pPr>
        <w:pStyle w:val="FootnoteText"/>
      </w:pPr>
      <w:r>
        <w:rPr>
          <w:rStyle w:val="FootnoteReference"/>
        </w:rPr>
        <w:footnoteRef/>
      </w:r>
      <w:r>
        <w:t xml:space="preserve"> </w:t>
      </w:r>
      <w:r>
        <w:rPr>
          <w:i/>
          <w:iCs/>
        </w:rPr>
        <w:t>Id.</w:t>
      </w:r>
    </w:p>
  </w:footnote>
  <w:footnote w:id="76">
    <w:p w:rsidR="00F26D77">
      <w:pPr>
        <w:pStyle w:val="FootnoteText"/>
      </w:pPr>
      <w:r>
        <w:rPr>
          <w:rStyle w:val="FootnoteReference"/>
        </w:rPr>
        <w:footnoteRef/>
      </w:r>
      <w:r>
        <w:t xml:space="preserve"> </w:t>
      </w:r>
      <w:r>
        <w:rPr>
          <w:i/>
          <w:iCs/>
        </w:rPr>
        <w:t>Id.</w:t>
      </w:r>
    </w:p>
  </w:footnote>
  <w:footnote w:id="77">
    <w:p w:rsidR="00F26D77">
      <w:pPr>
        <w:pStyle w:val="FootnoteText"/>
      </w:pPr>
      <w:r>
        <w:rPr>
          <w:rStyle w:val="FootnoteReference"/>
        </w:rPr>
        <w:footnoteRef/>
      </w:r>
      <w:r>
        <w:t xml:space="preserve"> </w:t>
      </w:r>
      <w:r>
        <w:rPr>
          <w:i/>
          <w:iCs/>
        </w:rPr>
        <w:t>Id.</w:t>
      </w:r>
    </w:p>
  </w:footnote>
  <w:footnote w:id="78">
    <w:p w:rsidR="00F26D77">
      <w:pPr>
        <w:pStyle w:val="FootnoteText"/>
      </w:pPr>
      <w:r>
        <w:rPr>
          <w:rStyle w:val="FootnoteReference"/>
        </w:rPr>
        <w:footnoteRef/>
      </w:r>
      <w:r>
        <w:t xml:space="preserve"> </w:t>
      </w:r>
      <w:r>
        <w:rPr>
          <w:i/>
          <w:iCs/>
        </w:rPr>
        <w:t>Id.</w:t>
      </w:r>
    </w:p>
  </w:footnote>
  <w:footnote w:id="79">
    <w:p w:rsidR="00F26D77">
      <w:pPr>
        <w:pStyle w:val="FootnoteText"/>
      </w:pPr>
      <w:r>
        <w:rPr>
          <w:rStyle w:val="FootnoteReference"/>
        </w:rPr>
        <w:footnoteRef/>
      </w:r>
      <w:r>
        <w:t xml:space="preserve"> </w:t>
      </w:r>
      <w:r>
        <w:rPr>
          <w:i/>
          <w:iCs/>
        </w:rPr>
        <w:t>Id.</w:t>
      </w:r>
    </w:p>
  </w:footnote>
  <w:footnote w:id="80">
    <w:p w:rsidR="00F26D77">
      <w:pPr>
        <w:pStyle w:val="FootnoteText"/>
      </w:pPr>
      <w:r>
        <w:rPr>
          <w:rStyle w:val="FootnoteReference"/>
        </w:rPr>
        <w:footnoteRef/>
      </w:r>
      <w:r>
        <w:t xml:space="preserve"> </w:t>
      </w:r>
      <w:r>
        <w:rPr>
          <w:i/>
          <w:iCs/>
        </w:rPr>
        <w:t>Id.</w:t>
      </w:r>
    </w:p>
  </w:footnote>
  <w:footnote w:id="81">
    <w:p w:rsidR="00F26D77" w:rsidRPr="00E46A9A" w:rsidP="002D4755">
      <w:pPr>
        <w:pStyle w:val="FootnoteText"/>
      </w:pPr>
      <w:r w:rsidRPr="00E46A9A">
        <w:rPr>
          <w:rStyle w:val="FootnoteReference"/>
        </w:rPr>
        <w:footnoteRef/>
      </w:r>
      <w:r w:rsidRPr="00E46A9A">
        <w:t xml:space="preserve"> </w:t>
      </w:r>
      <w:r>
        <w:rPr>
          <w:i/>
          <w:iCs/>
        </w:rPr>
        <w:t>Id.</w:t>
      </w:r>
      <w:r>
        <w:t xml:space="preserve"> at 10; R.C. 4905.302(C)(2)(b).</w:t>
      </w:r>
    </w:p>
  </w:footnote>
  <w:footnote w:id="82">
    <w:p w:rsidR="00F26D77" w:rsidRPr="00E46A9A" w:rsidP="002D4755">
      <w:pPr>
        <w:pStyle w:val="FootnoteText"/>
      </w:pPr>
      <w:r w:rsidRPr="00E46A9A">
        <w:rPr>
          <w:rStyle w:val="FootnoteReference"/>
        </w:rPr>
        <w:footnoteRef/>
      </w:r>
      <w:r w:rsidRPr="00E46A9A">
        <w:t xml:space="preserve"> </w:t>
      </w:r>
      <w:r>
        <w:rPr>
          <w:i/>
          <w:iCs/>
        </w:rPr>
        <w:t>Id.</w:t>
      </w:r>
      <w:r>
        <w:t>; R.C. 4929.02(A).</w:t>
      </w:r>
    </w:p>
  </w:footnote>
  <w:footnote w:id="83">
    <w:p w:rsidR="00F26D77" w:rsidP="00CD16A3">
      <w:pPr>
        <w:pStyle w:val="FootnoteText"/>
      </w:pPr>
      <w:r>
        <w:rPr>
          <w:rStyle w:val="FootnoteReference"/>
        </w:rPr>
        <w:footnoteRef/>
      </w:r>
      <w:r>
        <w:t xml:space="preserve"> </w:t>
      </w:r>
      <w:r>
        <w:rPr>
          <w:i/>
          <w:iCs/>
        </w:rPr>
        <w:t>Id.</w:t>
      </w:r>
    </w:p>
  </w:footnote>
  <w:footnote w:id="84">
    <w:p w:rsidR="00F26D77">
      <w:pPr>
        <w:pStyle w:val="FootnoteText"/>
      </w:pPr>
      <w:r>
        <w:rPr>
          <w:rStyle w:val="FootnoteReference"/>
        </w:rPr>
        <w:footnoteRef/>
      </w:r>
      <w:r>
        <w:t xml:space="preserve"> </w:t>
      </w:r>
      <w:r>
        <w:rPr>
          <w:i/>
          <w:iCs/>
        </w:rPr>
        <w:t>Id.</w:t>
      </w:r>
      <w:r>
        <w:t xml:space="preserve"> at 7.</w:t>
      </w:r>
    </w:p>
  </w:footnote>
  <w:footnote w:id="85">
    <w:p w:rsidR="00F26D77">
      <w:pPr>
        <w:pStyle w:val="FootnoteText"/>
      </w:pPr>
      <w:r>
        <w:rPr>
          <w:rStyle w:val="FootnoteReference"/>
        </w:rPr>
        <w:footnoteRef/>
      </w:r>
      <w:r>
        <w:t xml:space="preserve"> </w:t>
      </w:r>
      <w:r>
        <w:rPr>
          <w:i/>
          <w:iCs/>
        </w:rPr>
        <w:t>Id.</w:t>
      </w:r>
    </w:p>
  </w:footnote>
  <w:footnote w:id="86">
    <w:p w:rsidR="00F26D77" w:rsidP="00CD16A3">
      <w:pPr>
        <w:pStyle w:val="FootnoteText"/>
      </w:pPr>
      <w:r>
        <w:rPr>
          <w:rStyle w:val="FootnoteReference"/>
        </w:rPr>
        <w:footnoteRef/>
      </w:r>
      <w:r>
        <w:t xml:space="preserve"> </w:t>
      </w:r>
      <w:r>
        <w:rPr>
          <w:i/>
          <w:iCs/>
        </w:rPr>
        <w:t>Id.</w:t>
      </w:r>
    </w:p>
  </w:footnote>
  <w:footnote w:id="87">
    <w:p w:rsidR="00F26D77" w:rsidP="00CD16A3">
      <w:pPr>
        <w:pStyle w:val="FootnoteText"/>
      </w:pPr>
      <w:r>
        <w:rPr>
          <w:rStyle w:val="FootnoteReference"/>
        </w:rPr>
        <w:footnoteRef/>
      </w:r>
      <w:r>
        <w:t xml:space="preserve"> Haugh Direct at 7.</w:t>
      </w:r>
    </w:p>
  </w:footnote>
  <w:footnote w:id="88">
    <w:p w:rsidR="00F26D77" w:rsidP="00CD16A3">
      <w:pPr>
        <w:pStyle w:val="FootnoteText"/>
      </w:pPr>
      <w:r>
        <w:rPr>
          <w:rStyle w:val="FootnoteReference"/>
        </w:rPr>
        <w:footnoteRef/>
      </w:r>
      <w:r>
        <w:t xml:space="preserve"> </w:t>
      </w:r>
      <w:r>
        <w:rPr>
          <w:i/>
          <w:iCs/>
        </w:rPr>
        <w:t>Id.</w:t>
      </w:r>
    </w:p>
  </w:footnote>
  <w:footnote w:id="89">
    <w:p w:rsidR="00F26D77">
      <w:pPr>
        <w:pStyle w:val="FootnoteText"/>
      </w:pPr>
      <w:r>
        <w:rPr>
          <w:rStyle w:val="FootnoteReference"/>
        </w:rPr>
        <w:footnoteRef/>
      </w:r>
      <w:r>
        <w:t xml:space="preserve"> Hearing Transcript at 28.</w:t>
      </w:r>
    </w:p>
  </w:footnote>
  <w:footnote w:id="90">
    <w:p w:rsidR="00F26D77" w:rsidRPr="00F26D77">
      <w:pPr>
        <w:pStyle w:val="FootnoteText"/>
      </w:pPr>
      <w:r>
        <w:rPr>
          <w:rStyle w:val="FootnoteReference"/>
        </w:rPr>
        <w:footnoteRef/>
      </w:r>
      <w:r>
        <w:t xml:space="preserve"> </w:t>
      </w:r>
      <w:r>
        <w:rPr>
          <w:i/>
          <w:iCs/>
        </w:rPr>
        <w:t xml:space="preserve">See id. </w:t>
      </w:r>
      <w:r>
        <w:t>at 24-26.</w:t>
      </w:r>
    </w:p>
  </w:footnote>
  <w:footnote w:id="91">
    <w:p w:rsidR="00F26D77" w:rsidRPr="00D674C4">
      <w:pPr>
        <w:pStyle w:val="FootnoteText"/>
      </w:pPr>
      <w:r>
        <w:rPr>
          <w:rStyle w:val="FootnoteReference"/>
        </w:rPr>
        <w:footnoteRef/>
      </w:r>
      <w:r>
        <w:t xml:space="preserve"> </w:t>
      </w:r>
      <w:r>
        <w:rPr>
          <w:i/>
          <w:iCs/>
        </w:rPr>
        <w:t xml:space="preserve">See id. </w:t>
      </w:r>
      <w:r>
        <w:t>at 24.</w:t>
      </w:r>
    </w:p>
  </w:footnote>
  <w:footnote w:id="92">
    <w:p w:rsidR="00F26D77" w:rsidRPr="00D674C4">
      <w:pPr>
        <w:pStyle w:val="FootnoteText"/>
      </w:pPr>
      <w:r>
        <w:rPr>
          <w:rStyle w:val="FootnoteReference"/>
        </w:rPr>
        <w:footnoteRef/>
      </w:r>
      <w:r>
        <w:t xml:space="preserve"> </w:t>
      </w:r>
      <w:r>
        <w:rPr>
          <w:i/>
          <w:iCs/>
        </w:rPr>
        <w:t>See id.</w:t>
      </w:r>
      <w:r>
        <w:t xml:space="preserve">; </w:t>
      </w:r>
      <w:r>
        <w:rPr>
          <w:i/>
          <w:iCs/>
        </w:rPr>
        <w:t xml:space="preserve">see also </w:t>
      </w:r>
      <w:r>
        <w:t>Docket; O.A.C. 4901-1-29.</w:t>
      </w:r>
    </w:p>
  </w:footnote>
  <w:footnote w:id="93">
    <w:p w:rsidR="00F26D77" w:rsidRPr="00F26D77">
      <w:pPr>
        <w:pStyle w:val="FootnoteText"/>
      </w:pPr>
      <w:r>
        <w:rPr>
          <w:rStyle w:val="FootnoteReference"/>
        </w:rPr>
        <w:footnoteRef/>
      </w:r>
      <w:r>
        <w:t xml:space="preserve"> </w:t>
      </w:r>
      <w:r>
        <w:rPr>
          <w:i/>
          <w:iCs/>
        </w:rPr>
        <w:t xml:space="preserve">See id. </w:t>
      </w:r>
      <w:r>
        <w:t>at 27.</w:t>
      </w:r>
    </w:p>
  </w:footnote>
  <w:footnote w:id="94">
    <w:p w:rsidR="00F26D77" w:rsidRPr="00F26D77">
      <w:pPr>
        <w:pStyle w:val="FootnoteText"/>
      </w:pPr>
      <w:r>
        <w:rPr>
          <w:rStyle w:val="FootnoteReference"/>
        </w:rPr>
        <w:footnoteRef/>
      </w:r>
      <w:r>
        <w:t xml:space="preserve"> </w:t>
      </w:r>
      <w:r>
        <w:rPr>
          <w:i/>
          <w:iCs/>
        </w:rPr>
        <w:t xml:space="preserve">See id. </w:t>
      </w:r>
      <w:r>
        <w:t>at 32.</w:t>
      </w:r>
    </w:p>
  </w:footnote>
  <w:footnote w:id="95">
    <w:p w:rsidR="00F26D77" w:rsidRPr="009A5E9A">
      <w:pPr>
        <w:pStyle w:val="FootnoteText"/>
        <w:rPr>
          <w:i/>
          <w:iCs/>
        </w:rPr>
      </w:pPr>
      <w:r>
        <w:rPr>
          <w:rStyle w:val="FootnoteReference"/>
        </w:rPr>
        <w:footnoteRef/>
      </w:r>
      <w:r>
        <w:t xml:space="preserve"> </w:t>
      </w:r>
      <w:r>
        <w:rPr>
          <w:i/>
          <w:iCs/>
        </w:rPr>
        <w:t>See id.</w:t>
      </w:r>
    </w:p>
  </w:footnote>
  <w:footnote w:id="96">
    <w:p w:rsidR="0063236E" w:rsidRPr="00D674C4" w:rsidP="0063236E">
      <w:pPr>
        <w:pStyle w:val="FootnoteText"/>
      </w:pPr>
      <w:r>
        <w:rPr>
          <w:rStyle w:val="FootnoteReference"/>
        </w:rPr>
        <w:footnoteRef/>
      </w:r>
      <w:r>
        <w:t xml:space="preserve"> </w:t>
      </w:r>
      <w:r>
        <w:rPr>
          <w:i/>
          <w:iCs/>
        </w:rPr>
        <w:t>See id.</w:t>
      </w:r>
      <w:r>
        <w:t xml:space="preserve">; </w:t>
      </w:r>
      <w:r>
        <w:rPr>
          <w:i/>
          <w:iCs/>
        </w:rPr>
        <w:t xml:space="preserve">see also </w:t>
      </w:r>
      <w:r>
        <w:t>Docket; O.A.C. 4901-1-29.</w:t>
      </w:r>
    </w:p>
  </w:footnote>
  <w:footnote w:id="97">
    <w:p w:rsidR="00F26D77" w:rsidRPr="00F26D77" w:rsidP="00F26D77">
      <w:pPr>
        <w:pStyle w:val="FootnoteText"/>
      </w:pPr>
      <w:r>
        <w:rPr>
          <w:rStyle w:val="FootnoteReference"/>
        </w:rPr>
        <w:footnoteRef/>
      </w:r>
      <w:r>
        <w:t xml:space="preserve"> </w:t>
      </w:r>
      <w:r>
        <w:rPr>
          <w:i/>
          <w:iCs/>
        </w:rPr>
        <w:t xml:space="preserve">See </w:t>
      </w:r>
      <w:r>
        <w:t>Hearing Transcript at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3E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3E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3EB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6D7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5E9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6D77" w:rsidRPr="00573172" w:rsidP="00063EB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380C7B8A"/>
    <w:lvl w:ilvl="0">
      <w:start w:val="1"/>
      <w:numFmt w:val="decimal"/>
      <w:lvlText w:val="%1."/>
      <w:lvlJc w:val="left"/>
      <w:pPr>
        <w:tabs>
          <w:tab w:val="num" w:pos="1800"/>
        </w:tabs>
        <w:ind w:left="1800" w:hanging="360"/>
      </w:pPr>
    </w:lvl>
  </w:abstractNum>
  <w:abstractNum w:abstractNumId="1">
    <w:nsid w:val="FFFFFF7D"/>
    <w:multiLevelType w:val="singleLevel"/>
    <w:tmpl w:val="522CE64A"/>
    <w:lvl w:ilvl="0">
      <w:start w:val="1"/>
      <w:numFmt w:val="decimal"/>
      <w:lvlText w:val="%1."/>
      <w:lvlJc w:val="left"/>
      <w:pPr>
        <w:tabs>
          <w:tab w:val="num" w:pos="1440"/>
        </w:tabs>
        <w:ind w:left="1440" w:hanging="360"/>
      </w:pPr>
    </w:lvl>
  </w:abstractNum>
  <w:abstractNum w:abstractNumId="2">
    <w:nsid w:val="FFFFFF7E"/>
    <w:multiLevelType w:val="singleLevel"/>
    <w:tmpl w:val="28B2C196"/>
    <w:lvl w:ilvl="0">
      <w:start w:val="1"/>
      <w:numFmt w:val="decimal"/>
      <w:lvlText w:val="%1."/>
      <w:lvlJc w:val="left"/>
      <w:pPr>
        <w:tabs>
          <w:tab w:val="num" w:pos="1080"/>
        </w:tabs>
        <w:ind w:left="1080" w:hanging="360"/>
      </w:pPr>
    </w:lvl>
  </w:abstractNum>
  <w:abstractNum w:abstractNumId="3">
    <w:nsid w:val="FFFFFF7F"/>
    <w:multiLevelType w:val="singleLevel"/>
    <w:tmpl w:val="2EC6AC22"/>
    <w:lvl w:ilvl="0">
      <w:start w:val="1"/>
      <w:numFmt w:val="decimal"/>
      <w:lvlText w:val="%1."/>
      <w:lvlJc w:val="left"/>
      <w:pPr>
        <w:tabs>
          <w:tab w:val="num" w:pos="720"/>
        </w:tabs>
        <w:ind w:left="720" w:hanging="360"/>
      </w:pPr>
    </w:lvl>
  </w:abstractNum>
  <w:abstractNum w:abstractNumId="4">
    <w:nsid w:val="FFFFFF80"/>
    <w:multiLevelType w:val="singleLevel"/>
    <w:tmpl w:val="C94C215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474029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92F3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788A47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8DE4AE2"/>
    <w:lvl w:ilvl="0">
      <w:start w:val="1"/>
      <w:numFmt w:val="decimal"/>
      <w:lvlText w:val="%1."/>
      <w:lvlJc w:val="left"/>
      <w:pPr>
        <w:tabs>
          <w:tab w:val="num" w:pos="360"/>
        </w:tabs>
        <w:ind w:left="360" w:hanging="360"/>
      </w:pPr>
    </w:lvl>
  </w:abstractNum>
  <w:abstractNum w:abstractNumId="9">
    <w:nsid w:val="FFFFFF89"/>
    <w:multiLevelType w:val="singleLevel"/>
    <w:tmpl w:val="B92ED3B0"/>
    <w:lvl w:ilvl="0">
      <w:start w:val="1"/>
      <w:numFmt w:val="bullet"/>
      <w:lvlText w:val=""/>
      <w:lvlJc w:val="left"/>
      <w:pPr>
        <w:tabs>
          <w:tab w:val="num" w:pos="360"/>
        </w:tabs>
        <w:ind w:left="360" w:hanging="360"/>
      </w:pPr>
      <w:rPr>
        <w:rFonts w:ascii="Symbol" w:hAnsi="Symbol" w:hint="default"/>
      </w:rPr>
    </w:lvl>
  </w:abstractNum>
  <w:abstractNum w:abstractNumId="10">
    <w:nsid w:val="13A97DA4"/>
    <w:multiLevelType w:val="hybridMultilevel"/>
    <w:tmpl w:val="8062CF5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3F74B5F"/>
    <w:multiLevelType w:val="hybridMultilevel"/>
    <w:tmpl w:val="B3484398"/>
    <w:lvl w:ilvl="0">
      <w:start w:val="1"/>
      <w:numFmt w:val="upperLetter"/>
      <w:pStyle w:val="Heading2"/>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7A41EBB"/>
    <w:multiLevelType w:val="hybridMultilevel"/>
    <w:tmpl w:val="79DE9AE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5292A1E"/>
    <w:multiLevelType w:val="hybridMultilevel"/>
    <w:tmpl w:val="82E05D0A"/>
    <w:lvl w:ilvl="0">
      <w:start w:val="1"/>
      <w:numFmt w:val="upperRoman"/>
      <w:pStyle w:val="Heading1"/>
      <w:lvlText w:val="%1."/>
      <w:lvlJc w:val="left"/>
      <w:pPr>
        <w:ind w:left="1080" w:hanging="720"/>
      </w:pPr>
      <w:rPr>
        <w:rFonts w:hint="default"/>
        <w:b/>
        <w:bCs/>
      </w:rPr>
    </w:lvl>
    <w:lvl w:ilvl="1">
      <w:start w:val="1"/>
      <w:numFmt w:val="upperLetter"/>
      <w:lvlText w:val="%2."/>
      <w:lvlJc w:val="left"/>
      <w:pPr>
        <w:ind w:left="1440" w:hanging="360"/>
      </w:pPr>
      <w:rPr>
        <w:rFonts w:hint="default"/>
      </w:rPr>
    </w:lvl>
    <w:lvl w:ilvl="2">
      <w:start w:val="1"/>
      <w:numFmt w:val="decimal"/>
      <w:lvlText w:val="%3."/>
      <w:lvlJc w:val="lef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9C55ED"/>
    <w:multiLevelType w:val="hybridMultilevel"/>
    <w:tmpl w:val="629C55D2"/>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5">
    <w:nsid w:val="7DCC4417"/>
    <w:multiLevelType w:val="hybridMultilevel"/>
    <w:tmpl w:val="B4607EF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FCA4012"/>
    <w:multiLevelType w:val="hybridMultilevel"/>
    <w:tmpl w:val="A7B669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
  </w:num>
  <w:num w:numId="2">
    <w:abstractNumId w:val="11"/>
  </w:num>
  <w:num w:numId="3">
    <w:abstractNumId w:val="14"/>
  </w:num>
  <w:num w:numId="4">
    <w:abstractNumId w:val="12"/>
  </w:num>
  <w:num w:numId="5">
    <w:abstractNumId w:val="10"/>
  </w:num>
  <w:num w:numId="6">
    <w:abstractNumId w:val="13"/>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embedSystemFonts/>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doNotHyphenateCaps/>
  <w:characterSpacingControl w:val="doNotCompress"/>
  <w:doNotValidateAgainstSchema/>
  <w:doNotDemarcateInvalidXml/>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7BD"/>
    <w:rPr>
      <w:sz w:val="24"/>
      <w:szCs w:val="24"/>
    </w:rPr>
  </w:style>
  <w:style w:type="paragraph" w:styleId="Heading1">
    <w:name w:val="heading 1"/>
    <w:basedOn w:val="Normal"/>
    <w:next w:val="Normal"/>
    <w:link w:val="Heading1Char"/>
    <w:autoRedefine/>
    <w:uiPriority w:val="99"/>
    <w:qFormat/>
    <w:rsid w:val="00D224FB"/>
    <w:pPr>
      <w:numPr>
        <w:numId w:val="6"/>
      </w:numPr>
      <w:suppressLineNumbers/>
      <w:tabs>
        <w:tab w:val="decimal" w:leader="dot" w:pos="8640"/>
      </w:tabs>
      <w:overflowPunct w:val="0"/>
      <w:autoSpaceDE w:val="0"/>
      <w:autoSpaceDN w:val="0"/>
      <w:adjustRightInd w:val="0"/>
      <w:spacing w:after="240"/>
      <w:ind w:left="720"/>
      <w:textAlignment w:val="baseline"/>
      <w:outlineLvl w:val="0"/>
    </w:pPr>
    <w:rPr>
      <w:rFonts w:ascii="Times New Roman Bold" w:hAnsi="Times New Roman Bold"/>
      <w:b/>
      <w:bCs/>
      <w:caps/>
      <w:color w:val="000000" w:themeColor="text1"/>
      <w:kern w:val="32"/>
    </w:rPr>
  </w:style>
  <w:style w:type="paragraph" w:styleId="Heading2">
    <w:name w:val="heading 2"/>
    <w:basedOn w:val="Normal"/>
    <w:next w:val="Normal"/>
    <w:link w:val="Heading2Char"/>
    <w:autoRedefine/>
    <w:uiPriority w:val="99"/>
    <w:qFormat/>
    <w:rsid w:val="00D224FB"/>
    <w:pPr>
      <w:numPr>
        <w:numId w:val="2"/>
      </w:numPr>
      <w:spacing w:after="240"/>
      <w:ind w:left="1440" w:hanging="720"/>
      <w:outlineLvl w:val="1"/>
    </w:pPr>
    <w:rPr>
      <w:rFonts w:ascii="Times New Roman Bold" w:hAnsi="Times New Roman Bold"/>
      <w:b/>
    </w:rPr>
  </w:style>
  <w:style w:type="paragraph" w:styleId="Heading3">
    <w:name w:val="heading 3"/>
    <w:basedOn w:val="Normal"/>
    <w:next w:val="Normal"/>
    <w:link w:val="Heading3Char"/>
    <w:autoRedefine/>
    <w:unhideWhenUsed/>
    <w:qFormat/>
    <w:locked/>
    <w:rsid w:val="006D30BD"/>
    <w:pPr>
      <w:keepNext/>
      <w:keepLines/>
      <w:spacing w:after="240"/>
      <w:ind w:left="2160" w:hanging="720"/>
      <w:outlineLvl w:val="2"/>
    </w:pPr>
    <w:rPr>
      <w:rFonts w:eastAsiaTheme="majorEastAsia" w:cstheme="majorBidi"/>
      <w:b/>
      <w:bCs/>
    </w:rPr>
  </w:style>
  <w:style w:type="paragraph" w:styleId="Heading4">
    <w:name w:val="heading 4"/>
    <w:basedOn w:val="Normal"/>
    <w:next w:val="Normal"/>
    <w:link w:val="Heading4Char"/>
    <w:unhideWhenUsed/>
    <w:locked/>
    <w:rsid w:val="002240C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locked/>
    <w:rsid w:val="002240C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224FB"/>
    <w:rPr>
      <w:rFonts w:ascii="Times New Roman Bold" w:hAnsi="Times New Roman Bold"/>
      <w:b/>
      <w:bCs/>
      <w:caps/>
      <w:color w:val="000000" w:themeColor="text1"/>
      <w:kern w:val="32"/>
      <w:sz w:val="24"/>
      <w:szCs w:val="24"/>
    </w:rPr>
  </w:style>
  <w:style w:type="character" w:customStyle="1" w:styleId="Heading2Char">
    <w:name w:val="Heading 2 Char"/>
    <w:link w:val="Heading2"/>
    <w:uiPriority w:val="99"/>
    <w:locked/>
    <w:rsid w:val="00D224FB"/>
    <w:rPr>
      <w:rFonts w:ascii="Times New Roman Bold" w:hAnsi="Times New Roman Bold"/>
      <w:b/>
      <w:sz w:val="24"/>
      <w:szCs w:val="24"/>
    </w:rPr>
  </w:style>
  <w:style w:type="paragraph" w:styleId="BalloonText">
    <w:name w:val="Balloon Text"/>
    <w:basedOn w:val="Normal"/>
    <w:link w:val="BalloonTextChar"/>
    <w:uiPriority w:val="99"/>
    <w:semiHidden/>
    <w:rsid w:val="00B81F70"/>
    <w:rPr>
      <w:sz w:val="20"/>
      <w:szCs w:val="2"/>
    </w:rPr>
  </w:style>
  <w:style w:type="character" w:customStyle="1" w:styleId="BalloonTextChar">
    <w:name w:val="Balloon Text Char"/>
    <w:link w:val="BalloonText"/>
    <w:uiPriority w:val="99"/>
    <w:semiHidden/>
    <w:locked/>
    <w:rsid w:val="00B81F70"/>
    <w:rPr>
      <w:sz w:val="20"/>
      <w:szCs w:val="2"/>
    </w:rPr>
  </w:style>
  <w:style w:type="paragraph" w:styleId="HTMLPreformatted">
    <w:name w:val="HTML Preformatted"/>
    <w:aliases w:val=" Char,Char"/>
    <w:basedOn w:val="Normal"/>
    <w:link w:val="HTMLPreformattedChar"/>
    <w:rsid w:val="00B81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aliases w:val=" Char Char,Char Char"/>
    <w:link w:val="HTMLPreformatted"/>
    <w:locked/>
    <w:rsid w:val="00B81F70"/>
    <w:rPr>
      <w:rFonts w:ascii="Courier New" w:hAnsi="Courier New" w:cs="Courier New"/>
      <w:sz w:val="20"/>
      <w:szCs w:val="20"/>
    </w:rPr>
  </w:style>
  <w:style w:type="table" w:styleId="TableGrid">
    <w:name w:val="Table Grid"/>
    <w:basedOn w:val="TableNormal"/>
    <w:uiPriority w:val="59"/>
    <w:rsid w:val="00B81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rsid w:val="00B81F70"/>
  </w:style>
  <w:style w:type="paragraph" w:styleId="Header">
    <w:name w:val="header"/>
    <w:basedOn w:val="Normal"/>
    <w:link w:val="HeaderChar"/>
    <w:uiPriority w:val="99"/>
    <w:rsid w:val="00B81F70"/>
    <w:pPr>
      <w:tabs>
        <w:tab w:val="center" w:pos="4320"/>
        <w:tab w:val="right" w:pos="8640"/>
      </w:tabs>
    </w:pPr>
  </w:style>
  <w:style w:type="character" w:customStyle="1" w:styleId="HeaderChar">
    <w:name w:val="Header Char"/>
    <w:link w:val="Header"/>
    <w:uiPriority w:val="99"/>
    <w:locked/>
    <w:rsid w:val="00B81F70"/>
    <w:rPr>
      <w:sz w:val="24"/>
      <w:szCs w:val="24"/>
    </w:rPr>
  </w:style>
  <w:style w:type="paragraph" w:styleId="Footer">
    <w:name w:val="footer"/>
    <w:basedOn w:val="Normal"/>
    <w:link w:val="FooterChar"/>
    <w:uiPriority w:val="99"/>
    <w:rsid w:val="00B81F70"/>
    <w:pPr>
      <w:tabs>
        <w:tab w:val="center" w:pos="4320"/>
        <w:tab w:val="right" w:pos="8640"/>
      </w:tabs>
    </w:pPr>
  </w:style>
  <w:style w:type="character" w:customStyle="1" w:styleId="FooterChar">
    <w:name w:val="Footer Char"/>
    <w:link w:val="Footer"/>
    <w:uiPriority w:val="99"/>
    <w:locked/>
    <w:rsid w:val="00B81F70"/>
    <w:rPr>
      <w:sz w:val="24"/>
      <w:szCs w:val="24"/>
    </w:rPr>
  </w:style>
  <w:style w:type="paragraph" w:customStyle="1" w:styleId="ANSWER">
    <w:name w:val="ANSWER"/>
    <w:basedOn w:val="Normal"/>
    <w:uiPriority w:val="99"/>
    <w:rsid w:val="00B81F70"/>
    <w:pPr>
      <w:overflowPunct w:val="0"/>
      <w:autoSpaceDE w:val="0"/>
      <w:autoSpaceDN w:val="0"/>
      <w:adjustRightInd w:val="0"/>
      <w:spacing w:line="480" w:lineRule="auto"/>
      <w:ind w:left="1008" w:hanging="720"/>
      <w:textAlignment w:val="baseline"/>
    </w:pPr>
  </w:style>
  <w:style w:type="character" w:styleId="PageNumber">
    <w:name w:val="page number"/>
    <w:basedOn w:val="DefaultParagraphFont"/>
    <w:uiPriority w:val="99"/>
    <w:rsid w:val="00B81F70"/>
  </w:style>
  <w:style w:type="paragraph" w:styleId="FootnoteText">
    <w:name w:val="footnote text"/>
    <w:aliases w:val="Car,Footnote Text Cha,Footnote Text Char Char4 Char,Footnote Text Char Char4 Char1 Char Char,Footnote Text Char2,Footnote Text Char4 Char,Footnote Text Char4 Char1 Char Char,Footnote Text Char5 Char1 Char Char Char Char Char,fn"/>
    <w:basedOn w:val="Normal"/>
    <w:link w:val="FootnoteTextChar"/>
    <w:qFormat/>
    <w:rsid w:val="00381778"/>
    <w:pPr>
      <w:overflowPunct w:val="0"/>
      <w:autoSpaceDE w:val="0"/>
      <w:autoSpaceDN w:val="0"/>
      <w:adjustRightInd w:val="0"/>
      <w:spacing w:after="120"/>
      <w:textAlignment w:val="baseline"/>
    </w:pPr>
    <w:rPr>
      <w:sz w:val="20"/>
      <w:szCs w:val="20"/>
    </w:rPr>
  </w:style>
  <w:style w:type="character" w:customStyle="1" w:styleId="FootnoteTextChar">
    <w:name w:val="Footnote Text Char"/>
    <w:aliases w:val="Car Char,Footnote Text Cha Char,Footnote Text Char Char4 Char Char,Footnote Text Char Char4 Char1 Char Char Char,Footnote Text Char2 Char,Footnote Text Char4 Char Char,Footnote Text Char4 Char1 Char Char Char,fn Char"/>
    <w:link w:val="FootnoteText"/>
    <w:uiPriority w:val="99"/>
    <w:locked/>
    <w:rsid w:val="00381778"/>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uiPriority w:val="99"/>
    <w:qFormat/>
    <w:rsid w:val="00B81F70"/>
    <w:rPr>
      <w:vertAlign w:val="superscript"/>
    </w:rPr>
  </w:style>
  <w:style w:type="paragraph" w:styleId="EndnoteText">
    <w:name w:val="endnote text"/>
    <w:basedOn w:val="Normal"/>
    <w:link w:val="EndnoteTextChar"/>
    <w:uiPriority w:val="99"/>
    <w:rsid w:val="00B81F70"/>
    <w:pPr>
      <w:widowControl w:val="0"/>
    </w:pPr>
    <w:rPr>
      <w:sz w:val="20"/>
      <w:szCs w:val="20"/>
    </w:rPr>
  </w:style>
  <w:style w:type="character" w:customStyle="1" w:styleId="EndnoteTextChar">
    <w:name w:val="Endnote Text Char"/>
    <w:link w:val="EndnoteText"/>
    <w:uiPriority w:val="99"/>
    <w:locked/>
    <w:rsid w:val="00B81F70"/>
    <w:rPr>
      <w:sz w:val="20"/>
      <w:szCs w:val="20"/>
    </w:rPr>
  </w:style>
  <w:style w:type="character" w:styleId="CommentReference">
    <w:name w:val="annotation reference"/>
    <w:uiPriority w:val="99"/>
    <w:semiHidden/>
    <w:rsid w:val="00B81F70"/>
    <w:rPr>
      <w:sz w:val="16"/>
      <w:szCs w:val="16"/>
    </w:rPr>
  </w:style>
  <w:style w:type="paragraph" w:styleId="CommentText">
    <w:name w:val="annotation text"/>
    <w:basedOn w:val="Normal"/>
    <w:link w:val="CommentTextChar"/>
    <w:rsid w:val="00B81F70"/>
    <w:rPr>
      <w:sz w:val="20"/>
      <w:szCs w:val="20"/>
    </w:rPr>
  </w:style>
  <w:style w:type="character" w:customStyle="1" w:styleId="CommentTextChar">
    <w:name w:val="Comment Text Char"/>
    <w:link w:val="CommentText"/>
    <w:locked/>
    <w:rsid w:val="00B81F70"/>
    <w:rPr>
      <w:sz w:val="20"/>
      <w:szCs w:val="20"/>
    </w:rPr>
  </w:style>
  <w:style w:type="paragraph" w:styleId="CommentSubject">
    <w:name w:val="annotation subject"/>
    <w:basedOn w:val="CommentText"/>
    <w:next w:val="CommentText"/>
    <w:link w:val="CommentSubjectChar"/>
    <w:semiHidden/>
    <w:rsid w:val="00B81F70"/>
    <w:rPr>
      <w:b/>
      <w:bCs/>
    </w:rPr>
  </w:style>
  <w:style w:type="character" w:customStyle="1" w:styleId="CommentSubjectChar">
    <w:name w:val="Comment Subject Char"/>
    <w:link w:val="CommentSubject"/>
    <w:semiHidden/>
    <w:locked/>
    <w:rsid w:val="00B81F70"/>
    <w:rPr>
      <w:b/>
      <w:bCs/>
      <w:sz w:val="20"/>
      <w:szCs w:val="20"/>
    </w:rPr>
  </w:style>
  <w:style w:type="character" w:styleId="Hyperlink">
    <w:name w:val="Hyperlink"/>
    <w:uiPriority w:val="99"/>
    <w:rsid w:val="00B81F70"/>
    <w:rPr>
      <w:color w:val="0000FF"/>
      <w:u w:val="single"/>
    </w:rPr>
  </w:style>
  <w:style w:type="paragraph" w:styleId="TOC1">
    <w:name w:val="toc 1"/>
    <w:basedOn w:val="Normal"/>
    <w:next w:val="Normal"/>
    <w:autoRedefine/>
    <w:uiPriority w:val="39"/>
    <w:rsid w:val="00A23ACE"/>
    <w:pPr>
      <w:tabs>
        <w:tab w:val="decimal" w:leader="dot" w:pos="8640"/>
      </w:tabs>
      <w:spacing w:after="240"/>
      <w:ind w:left="720" w:hanging="720"/>
    </w:pPr>
    <w:rPr>
      <w:caps/>
      <w:noProof/>
    </w:rPr>
  </w:style>
  <w:style w:type="paragraph" w:styleId="NormalWeb">
    <w:name w:val="Normal (Web)"/>
    <w:basedOn w:val="Normal"/>
    <w:uiPriority w:val="99"/>
    <w:rsid w:val="00B81F70"/>
    <w:pPr>
      <w:spacing w:before="100" w:beforeAutospacing="1" w:after="100" w:afterAutospacing="1"/>
    </w:pPr>
  </w:style>
  <w:style w:type="paragraph" w:styleId="BodyTextIndent3">
    <w:name w:val="Body Text Indent 3"/>
    <w:basedOn w:val="Normal"/>
    <w:link w:val="BodyTextIndent3Char1"/>
    <w:uiPriority w:val="99"/>
    <w:rsid w:val="00B81F70"/>
    <w:pPr>
      <w:spacing w:line="480" w:lineRule="auto"/>
      <w:ind w:left="360"/>
    </w:pPr>
  </w:style>
  <w:style w:type="character" w:customStyle="1" w:styleId="BodyTextIndent3Char">
    <w:name w:val="Body Text Indent 3 Char"/>
    <w:uiPriority w:val="99"/>
    <w:semiHidden/>
    <w:locked/>
    <w:rsid w:val="00B81F70"/>
    <w:rPr>
      <w:sz w:val="16"/>
      <w:szCs w:val="16"/>
    </w:rPr>
  </w:style>
  <w:style w:type="character" w:customStyle="1" w:styleId="BodyTextIndent3Char1">
    <w:name w:val="Body Text Indent 3 Char1"/>
    <w:link w:val="BodyTextIndent3"/>
    <w:uiPriority w:val="99"/>
    <w:semiHidden/>
    <w:locked/>
    <w:rsid w:val="00B81F70"/>
    <w:rPr>
      <w:sz w:val="24"/>
      <w:szCs w:val="24"/>
      <w:lang w:val="en-US" w:eastAsia="en-US"/>
    </w:rPr>
  </w:style>
  <w:style w:type="paragraph" w:styleId="BodyText">
    <w:name w:val="Body Text"/>
    <w:basedOn w:val="Normal"/>
    <w:link w:val="BodyTextChar"/>
    <w:uiPriority w:val="99"/>
    <w:rsid w:val="00B81F70"/>
    <w:pPr>
      <w:spacing w:after="120"/>
    </w:pPr>
  </w:style>
  <w:style w:type="character" w:customStyle="1" w:styleId="BodyTextChar">
    <w:name w:val="Body Text Char"/>
    <w:link w:val="BodyText"/>
    <w:uiPriority w:val="99"/>
    <w:locked/>
    <w:rsid w:val="00B81F70"/>
    <w:rPr>
      <w:sz w:val="24"/>
      <w:szCs w:val="24"/>
    </w:rPr>
  </w:style>
  <w:style w:type="paragraph" w:customStyle="1" w:styleId="ColorfulShading-Accent11">
    <w:name w:val="Colorful Shading - Accent 11"/>
    <w:hidden/>
    <w:uiPriority w:val="99"/>
    <w:semiHidden/>
    <w:rsid w:val="00B81F70"/>
    <w:rPr>
      <w:sz w:val="24"/>
      <w:szCs w:val="24"/>
    </w:rPr>
  </w:style>
  <w:style w:type="paragraph" w:customStyle="1" w:styleId="Default">
    <w:name w:val="Default"/>
    <w:rsid w:val="00B81F7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C0E0E"/>
    <w:pPr>
      <w:ind w:left="720"/>
      <w:contextualSpacing/>
    </w:pPr>
  </w:style>
  <w:style w:type="paragraph" w:styleId="TOC2">
    <w:name w:val="toc 2"/>
    <w:basedOn w:val="Normal"/>
    <w:next w:val="Normal"/>
    <w:autoRedefine/>
    <w:uiPriority w:val="39"/>
    <w:locked/>
    <w:rsid w:val="00555B25"/>
    <w:pPr>
      <w:tabs>
        <w:tab w:val="left" w:pos="720"/>
        <w:tab w:val="decimal" w:leader="dot" w:pos="8640"/>
      </w:tabs>
      <w:spacing w:after="240"/>
      <w:ind w:left="1440" w:hanging="720"/>
    </w:pPr>
    <w:rPr>
      <w:caps/>
    </w:rPr>
  </w:style>
  <w:style w:type="paragraph" w:styleId="Revision">
    <w:name w:val="Revision"/>
    <w:hidden/>
    <w:uiPriority w:val="99"/>
    <w:semiHidden/>
    <w:rsid w:val="00423AC7"/>
    <w:rPr>
      <w:sz w:val="24"/>
      <w:szCs w:val="24"/>
    </w:rPr>
  </w:style>
  <w:style w:type="character" w:styleId="Emphasis">
    <w:name w:val="Emphasis"/>
    <w:basedOn w:val="DefaultParagraphFont"/>
    <w:locked/>
    <w:rsid w:val="001970DC"/>
    <w:rPr>
      <w:i/>
      <w:iCs/>
    </w:rPr>
  </w:style>
  <w:style w:type="character" w:customStyle="1" w:styleId="Heading3Char">
    <w:name w:val="Heading 3 Char"/>
    <w:basedOn w:val="DefaultParagraphFont"/>
    <w:link w:val="Heading3"/>
    <w:rsid w:val="006D30BD"/>
    <w:rPr>
      <w:rFonts w:eastAsiaTheme="majorEastAsia" w:cstheme="majorBidi"/>
      <w:b/>
      <w:bCs/>
      <w:sz w:val="24"/>
      <w:szCs w:val="24"/>
    </w:rPr>
  </w:style>
  <w:style w:type="character" w:customStyle="1" w:styleId="Heading4Char">
    <w:name w:val="Heading 4 Char"/>
    <w:basedOn w:val="DefaultParagraphFont"/>
    <w:link w:val="Heading4"/>
    <w:rsid w:val="002240C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2240C1"/>
    <w:rPr>
      <w:rFonts w:asciiTheme="majorHAnsi" w:eastAsiaTheme="majorEastAsia" w:hAnsiTheme="majorHAnsi" w:cstheme="majorBidi"/>
      <w:color w:val="243F60" w:themeColor="accent1" w:themeShade="7F"/>
      <w:sz w:val="24"/>
      <w:szCs w:val="24"/>
    </w:rPr>
  </w:style>
  <w:style w:type="paragraph" w:styleId="PlainText">
    <w:name w:val="Plain Text"/>
    <w:basedOn w:val="Normal"/>
    <w:link w:val="PlainTextChar"/>
    <w:uiPriority w:val="99"/>
    <w:unhideWhenUsed/>
    <w:rsid w:val="00093141"/>
    <w:rPr>
      <w:rFonts w:ascii="Consolas" w:hAnsi="Consolas" w:eastAsiaTheme="minorHAnsi" w:cs="Consolas"/>
      <w:sz w:val="21"/>
      <w:szCs w:val="21"/>
    </w:rPr>
  </w:style>
  <w:style w:type="character" w:customStyle="1" w:styleId="PlainTextChar">
    <w:name w:val="Plain Text Char"/>
    <w:basedOn w:val="DefaultParagraphFont"/>
    <w:link w:val="PlainText"/>
    <w:uiPriority w:val="99"/>
    <w:rsid w:val="00093141"/>
    <w:rPr>
      <w:rFonts w:ascii="Consolas" w:hAnsi="Consolas" w:eastAsiaTheme="minorHAnsi" w:cs="Consolas"/>
      <w:sz w:val="21"/>
      <w:szCs w:val="21"/>
    </w:rPr>
  </w:style>
  <w:style w:type="paragraph" w:customStyle="1" w:styleId="BodyA">
    <w:name w:val="Body A"/>
    <w:rsid w:val="00CF6DF1"/>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character" w:styleId="SubtleReference">
    <w:name w:val="Subtle Reference"/>
    <w:basedOn w:val="DefaultParagraphFont"/>
    <w:uiPriority w:val="31"/>
    <w:rsid w:val="001D56F5"/>
    <w:rPr>
      <w:smallCaps/>
      <w:color w:val="C0504D" w:themeColor="accent2"/>
      <w:u w:val="single"/>
    </w:rPr>
  </w:style>
  <w:style w:type="character" w:styleId="IntenseReference">
    <w:name w:val="Intense Reference"/>
    <w:basedOn w:val="DefaultParagraphFont"/>
    <w:uiPriority w:val="32"/>
    <w:rsid w:val="00036B52"/>
    <w:rPr>
      <w:b/>
      <w:bCs/>
      <w:smallCaps/>
      <w:color w:val="4F81BD" w:themeColor="accent1"/>
      <w:spacing w:val="5"/>
    </w:rPr>
  </w:style>
  <w:style w:type="paragraph" w:styleId="TOC3">
    <w:name w:val="toc 3"/>
    <w:basedOn w:val="Normal"/>
    <w:next w:val="Normal"/>
    <w:autoRedefine/>
    <w:uiPriority w:val="39"/>
    <w:qFormat/>
    <w:locked/>
    <w:rsid w:val="006D30BD"/>
    <w:pPr>
      <w:spacing w:after="240"/>
      <w:ind w:left="2160" w:hanging="720"/>
    </w:pPr>
  </w:style>
  <w:style w:type="paragraph" w:customStyle="1" w:styleId="Question">
    <w:name w:val="Question"/>
    <w:basedOn w:val="Normal"/>
    <w:link w:val="QuestionChar"/>
    <w:qFormat/>
    <w:rsid w:val="00B17C31"/>
    <w:pPr>
      <w:spacing w:line="480" w:lineRule="auto"/>
      <w:ind w:left="720" w:hanging="720"/>
    </w:pPr>
    <w:rPr>
      <w:rFonts w:ascii="Times New Roman Bold" w:hAnsi="Times New Roman Bold"/>
      <w:b/>
      <w:i/>
      <w:iCs/>
      <w:caps/>
    </w:rPr>
  </w:style>
  <w:style w:type="character" w:customStyle="1" w:styleId="QuestionChar">
    <w:name w:val="Question Char"/>
    <w:basedOn w:val="DefaultParagraphFont"/>
    <w:link w:val="Question"/>
    <w:rsid w:val="00B17C31"/>
    <w:rPr>
      <w:rFonts w:ascii="Times New Roman Bold" w:hAnsi="Times New Roman Bold"/>
      <w:b/>
      <w:i/>
      <w:iCs/>
      <w:caps/>
      <w:sz w:val="24"/>
      <w:szCs w:val="24"/>
    </w:rPr>
  </w:style>
  <w:style w:type="character" w:styleId="FollowedHyperlink">
    <w:name w:val="FollowedHyperlink"/>
    <w:basedOn w:val="DefaultParagraphFont"/>
    <w:uiPriority w:val="99"/>
    <w:semiHidden/>
    <w:unhideWhenUsed/>
    <w:rsid w:val="009439E7"/>
    <w:rPr>
      <w:color w:val="800080" w:themeColor="followedHyperlink"/>
      <w:u w:val="single"/>
    </w:rPr>
  </w:style>
  <w:style w:type="character" w:customStyle="1" w:styleId="Mention1">
    <w:name w:val="Mention1"/>
    <w:basedOn w:val="DefaultParagraphFont"/>
    <w:uiPriority w:val="99"/>
    <w:semiHidden/>
    <w:unhideWhenUsed/>
    <w:rsid w:val="00295389"/>
    <w:rPr>
      <w:color w:val="2B579A"/>
      <w:shd w:val="clear" w:color="auto" w:fill="E6E6E6"/>
    </w:rPr>
  </w:style>
  <w:style w:type="character" w:customStyle="1" w:styleId="UnresolvedMention1">
    <w:name w:val="Unresolved Mention1"/>
    <w:basedOn w:val="DefaultParagraphFont"/>
    <w:uiPriority w:val="99"/>
    <w:rsid w:val="003B38CF"/>
    <w:rPr>
      <w:color w:val="605E5C"/>
      <w:shd w:val="clear" w:color="auto" w:fill="E1DFDD"/>
    </w:rPr>
  </w:style>
  <w:style w:type="paragraph" w:styleId="NoSpacing">
    <w:name w:val="No Spacing"/>
    <w:uiPriority w:val="1"/>
    <w:qFormat/>
    <w:rsid w:val="00195947"/>
    <w:rPr>
      <w:rFonts w:asciiTheme="minorHAnsi" w:eastAsiaTheme="minorHAnsi" w:hAnsiTheme="minorHAnsi" w:cstheme="minorBidi"/>
      <w:sz w:val="22"/>
      <w:szCs w:val="22"/>
    </w:rPr>
  </w:style>
  <w:style w:type="character" w:customStyle="1" w:styleId="UnresolvedMention2">
    <w:name w:val="Unresolved Mention2"/>
    <w:basedOn w:val="DefaultParagraphFont"/>
    <w:uiPriority w:val="99"/>
    <w:rsid w:val="00C743FA"/>
    <w:rPr>
      <w:color w:val="605E5C"/>
      <w:shd w:val="clear" w:color="auto" w:fill="E1DFDD"/>
    </w:rPr>
  </w:style>
  <w:style w:type="character" w:customStyle="1" w:styleId="UnresolvedMention">
    <w:name w:val="Unresolved Mention"/>
    <w:basedOn w:val="DefaultParagraphFont"/>
    <w:uiPriority w:val="99"/>
    <w:rsid w:val="009A5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5.xml" /><Relationship Id="rId15" Type="http://schemas.openxmlformats.org/officeDocument/2006/relationships/header" Target="head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4416</Words>
  <Characters>25172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Duke GCR.docx</vt:lpstr>
    </vt:vector>
  </TitlesOfParts>
  <Company/>
  <LinksUpToDate>false</LinksUpToDate>
  <CharactersWithSpaces>29529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2019-10-15T20:16:33Z</dcterms:created>
  <dcterms:modified xsi:type="dcterms:W3CDTF">2019-10-15T20:16:33Z</dcterms:modified>
</cp:coreProperties>
</file>