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BF5394" w:rsidRPr="00710E80" w:rsidP="002A614C">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 xml:space="preserve">the </w:t>
            </w:r>
            <w:r w:rsidR="00080735">
              <w:rPr>
                <w:sz w:val="24"/>
                <w:lang w:val="en-US" w:eastAsia="en-US" w:bidi="ar-SA"/>
              </w:rPr>
              <w:t>Distribution Investment Rider for Ohio Power Company</w:t>
            </w:r>
            <w:r>
              <w:rPr>
                <w:sz w:val="24"/>
                <w:lang w:val="en-US" w:eastAsia="en-US" w:bidi="ar-SA"/>
              </w:rPr>
              <w:t>.</w:t>
            </w: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16920" w:rsidRPr="00710E80" w:rsidP="002A614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2A614C">
            <w:pPr>
              <w:rPr>
                <w:rStyle w:val="DefaultParagraphFont"/>
                <w:sz w:val="24"/>
                <w:lang w:val="en-US" w:eastAsia="en-US" w:bidi="ar-SA"/>
              </w:rPr>
            </w:pPr>
            <w:r w:rsidRPr="00710E80">
              <w:rPr>
                <w:sz w:val="24"/>
                <w:lang w:val="en-US" w:eastAsia="en-US" w:bidi="ar-SA"/>
              </w:rPr>
              <w:t xml:space="preserve">Case No. </w:t>
            </w:r>
            <w:r>
              <w:rPr>
                <w:sz w:val="24"/>
                <w:lang w:val="en-US" w:eastAsia="en-US" w:bidi="ar-SA"/>
              </w:rPr>
              <w:t>14-1696-EL-RDR</w:t>
            </w:r>
          </w:p>
          <w:p w:rsidR="0041692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080735"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1A5E32" w:rsidP="00080735">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in this case </w:t>
      </w:r>
      <w:r>
        <w:t xml:space="preserve">where </w:t>
      </w:r>
      <w:r w:rsidR="00080735">
        <w:t>Ohio Power Company</w:t>
      </w:r>
      <w:r>
        <w:t xml:space="preserve"> ("</w:t>
      </w:r>
      <w:r w:rsidR="00080735">
        <w:t>AEP Ohio</w:t>
      </w:r>
      <w:r>
        <w:t xml:space="preserve">") </w:t>
      </w:r>
      <w:r w:rsidR="00BF5394">
        <w:t>is collecting charges from customers through its</w:t>
      </w:r>
      <w:r w:rsidRPr="00BF5394" w:rsidR="00BF5394">
        <w:t xml:space="preserve"> </w:t>
      </w:r>
      <w:r w:rsidR="00080735">
        <w:t>Distribution Investment Rider</w:t>
      </w:r>
      <w:r>
        <w:t>.</w:t>
      </w:r>
      <w:r w:rsidR="009B62D5">
        <w:t xml:space="preserve"> </w:t>
      </w:r>
      <w:r w:rsidR="00080735">
        <w:t xml:space="preserve">This proceeding </w:t>
      </w:r>
      <w:r w:rsidR="00C04A59">
        <w:t xml:space="preserve">involves </w:t>
      </w:r>
      <w:r w:rsidR="00080735">
        <w:t>a quarterly adjustment</w:t>
      </w:r>
      <w:r w:rsidR="00BF5394">
        <w:t xml:space="preserve"> to </w:t>
      </w:r>
      <w:r w:rsidR="00080735">
        <w:t xml:space="preserve">the </w:t>
      </w:r>
      <w:r w:rsidR="00080735">
        <w:rPr>
          <w:szCs w:val="24"/>
        </w:rPr>
        <w:t>Distribution Investment Rider</w:t>
      </w:r>
      <w:r w:rsidRPr="00BF5394" w:rsidR="00080735">
        <w:rPr>
          <w:szCs w:val="24"/>
        </w:rPr>
        <w:t xml:space="preserve"> </w:t>
      </w:r>
      <w:r w:rsidR="00080735">
        <w:t>based on costs from the third quarter of</w:t>
      </w:r>
      <w:r w:rsidR="00BF5394">
        <w:t xml:space="preserve"> 2017</w:t>
      </w:r>
      <w:r w:rsidR="00080735">
        <w:t>.</w:t>
      </w:r>
      <w:r>
        <w:rPr>
          <w:rStyle w:val="FootnoteReference"/>
        </w:rPr>
        <w:footnoteReference w:id="2"/>
      </w:r>
      <w:r w:rsidR="00BF5394">
        <w:t xml:space="preserve"> OCC is filing on behalf of the </w:t>
      </w:r>
      <w:r w:rsidR="00D415F1">
        <w:t>1.2</w:t>
      </w:r>
      <w:r w:rsidR="00080735">
        <w:t xml:space="preserve"> million</w:t>
      </w:r>
      <w:r w:rsidR="00BF5394">
        <w:t xml:space="preserve"> residential utility customers of </w:t>
      </w:r>
      <w:r w:rsidR="00080735">
        <w:t>AEP Ohio</w:t>
      </w:r>
      <w:r w:rsidR="00BF5394">
        <w:t>.</w:t>
      </w:r>
      <w:r>
        <w:t xml:space="preserve"> </w:t>
      </w:r>
      <w:r w:rsidR="00BF5394">
        <w:t xml:space="preserve">The reasons the </w:t>
      </w:r>
      <w:r w:rsidR="008E12AD">
        <w:t>Public Utilities Commission of Ohio (“</w:t>
      </w:r>
      <w:r w:rsidR="00BF5394">
        <w:t>PUCO</w:t>
      </w:r>
      <w:r w:rsidR="008E12AD">
        <w:t>”)</w:t>
      </w:r>
      <w:r w:rsidRPr="00710E80">
        <w:t xml:space="preserve"> should grant OCC</w:t>
      </w:r>
      <w:r>
        <w:t>'</w:t>
      </w:r>
      <w:r w:rsidRPr="00710E80">
        <w:t xml:space="preserve">s motion </w:t>
      </w:r>
      <w:r>
        <w:t>to intervene</w:t>
      </w:r>
      <w:r w:rsidR="00BF5394">
        <w:t xml:space="preserve"> are further set forth in the attached Memorandum in Support</w:t>
      </w:r>
      <w:r w:rsidR="00080735">
        <w:t>.</w:t>
      </w:r>
    </w:p>
    <w:p w:rsidR="002A614C" w:rsidRPr="00710E80" w:rsidP="002A614C">
      <w:pPr>
        <w:pStyle w:val="BodyTextIndent3"/>
        <w:widowControl w:val="0"/>
        <w:spacing w:line="480" w:lineRule="auto"/>
        <w:ind w:left="4320" w:firstLine="0"/>
        <w:rPr>
          <w:szCs w:val="24"/>
        </w:rPr>
      </w:pPr>
      <w:r w:rsidRPr="00710E80">
        <w:rPr>
          <w:szCs w:val="24"/>
        </w:rPr>
        <w:t>Respectfully submitted,</w:t>
      </w:r>
    </w:p>
    <w:p w:rsidR="002A614C" w:rsidRPr="00710E80" w:rsidP="002A614C">
      <w:pPr>
        <w:ind w:left="4320"/>
      </w:pPr>
      <w:r>
        <w:t xml:space="preserve">BRUCE </w:t>
      </w:r>
      <w:r w:rsidRPr="00710E80">
        <w:t>WESTON (0016973)</w:t>
      </w:r>
    </w:p>
    <w:p w:rsidR="002A614C" w:rsidRPr="00710E80" w:rsidP="002A614C">
      <w:pPr>
        <w:tabs>
          <w:tab w:val="left" w:pos="4320"/>
        </w:tabs>
        <w:ind w:left="4320"/>
        <w:rPr>
          <w:szCs w:val="24"/>
        </w:rPr>
      </w:pPr>
      <w:r w:rsidRPr="00710E80">
        <w:rPr>
          <w:szCs w:val="24"/>
        </w:rPr>
        <w:t>OHIO CONSUMERS</w:t>
      </w:r>
      <w:r>
        <w:rPr>
          <w:szCs w:val="24"/>
        </w:rPr>
        <w:t>'</w:t>
      </w:r>
      <w:r w:rsidRPr="00710E80">
        <w:rPr>
          <w:szCs w:val="24"/>
        </w:rPr>
        <w:t xml:space="preserve"> COUNSEL</w:t>
      </w:r>
    </w:p>
    <w:p w:rsidR="002A614C" w:rsidRPr="00710E80" w:rsidP="002A614C">
      <w:pPr>
        <w:tabs>
          <w:tab w:val="left" w:pos="4320"/>
        </w:tabs>
        <w:ind w:left="4320"/>
        <w:rPr>
          <w:szCs w:val="24"/>
        </w:rPr>
      </w:pPr>
    </w:p>
    <w:p w:rsidR="002A614C" w:rsidRPr="00710E80" w:rsidP="002A614C">
      <w:pPr>
        <w:autoSpaceDE w:val="0"/>
        <w:autoSpaceDN w:val="0"/>
        <w:adjustRightInd w:val="0"/>
        <w:ind w:left="4320"/>
        <w:rPr>
          <w:i/>
        </w:rPr>
      </w:pPr>
      <w:r w:rsidRPr="00710E80">
        <w:rPr>
          <w:i/>
          <w:u w:val="single"/>
        </w:rPr>
        <w:t>/s/</w:t>
      </w:r>
      <w:r>
        <w:rPr>
          <w:i/>
          <w:u w:val="single"/>
        </w:rPr>
        <w:t xml:space="preserve"> Kevin Moore</w:t>
      </w:r>
      <w:r w:rsidRPr="00710E80">
        <w:rPr>
          <w:i/>
          <w:u w:val="single"/>
        </w:rPr>
        <w:tab/>
      </w:r>
    </w:p>
    <w:p w:rsidR="002A614C" w:rsidRPr="008A6DE3" w:rsidP="002A614C">
      <w:pPr>
        <w:tabs>
          <w:tab w:val="left" w:pos="4320"/>
        </w:tabs>
        <w:ind w:left="4320"/>
        <w:rPr>
          <w:szCs w:val="24"/>
        </w:rPr>
      </w:pPr>
      <w:r>
        <w:rPr>
          <w:szCs w:val="24"/>
        </w:rPr>
        <w:t>Kevin Moore</w:t>
      </w:r>
      <w:r w:rsidRPr="008A6DE3">
        <w:rPr>
          <w:szCs w:val="24"/>
        </w:rPr>
        <w:t xml:space="preserve"> (00</w:t>
      </w:r>
      <w:r>
        <w:rPr>
          <w:szCs w:val="24"/>
        </w:rPr>
        <w:t>89228</w:t>
      </w:r>
      <w:r w:rsidRPr="008A6DE3">
        <w:rPr>
          <w:szCs w:val="24"/>
        </w:rPr>
        <w:t>)</w:t>
      </w:r>
      <w:r w:rsidRPr="008A6DE3">
        <w:rPr>
          <w:szCs w:val="24"/>
        </w:rPr>
        <w:br/>
        <w:t>Counsel of Record</w:t>
      </w:r>
    </w:p>
    <w:p w:rsidR="002A614C" w:rsidRPr="00710E80" w:rsidP="002A614C">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2A614C" w:rsidRPr="00710E80" w:rsidP="002A614C">
      <w:pPr>
        <w:pStyle w:val="Heading1"/>
        <w:ind w:left="4320"/>
        <w:rPr>
          <w:b w:val="0"/>
          <w:u w:val="none"/>
        </w:rPr>
      </w:pPr>
      <w:r>
        <w:rPr>
          <w:b w:val="0"/>
          <w:u w:val="none"/>
        </w:rPr>
        <w:t>65 East State Street, Suite 700</w:t>
      </w:r>
    </w:p>
    <w:p w:rsidR="002A614C" w:rsidRPr="008A6DE3" w:rsidP="002A614C">
      <w:pPr>
        <w:pStyle w:val="Heading1"/>
        <w:ind w:left="4320"/>
        <w:rPr>
          <w:b w:val="0"/>
          <w:u w:val="none"/>
        </w:rPr>
      </w:pPr>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Pr>
          <w:b w:val="0"/>
          <w:u w:val="none"/>
        </w:rPr>
        <w:t xml:space="preserve"> 43215</w:t>
      </w:r>
    </w:p>
    <w:p w:rsidR="002A614C" w:rsidRPr="008A6DE3" w:rsidP="002A614C">
      <w:pPr>
        <w:autoSpaceDE w:val="0"/>
        <w:autoSpaceDN w:val="0"/>
        <w:adjustRightInd w:val="0"/>
        <w:ind w:left="3600" w:firstLine="720"/>
        <w:rPr>
          <w:szCs w:val="24"/>
        </w:rPr>
      </w:pPr>
      <w:r w:rsidRPr="008A6DE3">
        <w:rPr>
          <w:szCs w:val="24"/>
        </w:rPr>
        <w:t xml:space="preserve">Telephone: (614) </w:t>
      </w:r>
      <w:r>
        <w:rPr>
          <w:szCs w:val="24"/>
        </w:rPr>
        <w:t>387</w:t>
      </w:r>
      <w:r w:rsidRPr="008A6DE3">
        <w:rPr>
          <w:szCs w:val="24"/>
        </w:rPr>
        <w:t>-</w:t>
      </w:r>
      <w:r>
        <w:rPr>
          <w:szCs w:val="24"/>
        </w:rPr>
        <w:t>2965</w:t>
      </w:r>
    </w:p>
    <w:p w:rsidR="002A614C" w:rsidP="002A614C">
      <w:pPr>
        <w:ind w:left="4320"/>
        <w:rPr>
          <w:szCs w:val="24"/>
        </w:rPr>
      </w:pPr>
      <w:r>
        <w:fldChar w:fldCharType="begin"/>
      </w:r>
      <w:r>
        <w:instrText xml:space="preserve"> HYPERLINK "mailto:Kevin.moore@occ.ohio.gov" </w:instrText>
      </w:r>
      <w:r>
        <w:fldChar w:fldCharType="separate"/>
      </w:r>
      <w:r w:rsidRPr="00BA6106">
        <w:rPr>
          <w:rStyle w:val="Hyperlink"/>
          <w:szCs w:val="24"/>
        </w:rPr>
        <w:t>Kevin.moore@occ.ohio.gov</w:t>
      </w:r>
      <w:r>
        <w:fldChar w:fldCharType="end"/>
      </w:r>
    </w:p>
    <w:p w:rsidR="002A614C" w:rsidP="002A614C">
      <w:pPr>
        <w:ind w:left="4320"/>
        <w:rPr>
          <w:szCs w:val="24"/>
        </w:rPr>
      </w:pPr>
      <w:r w:rsidRPr="00710E80">
        <w:rPr>
          <w:szCs w:val="24"/>
        </w:rPr>
        <w:t>(</w:t>
      </w:r>
      <w:r>
        <w:rPr>
          <w:szCs w:val="24"/>
        </w:rPr>
        <w:t>W</w:t>
      </w:r>
      <w:r w:rsidRPr="00710E80">
        <w:rPr>
          <w:szCs w:val="24"/>
        </w:rPr>
        <w:t>ill accept service via email)</w:t>
      </w:r>
    </w:p>
    <w:p w:rsidR="002A614C" w:rsidP="002A614C">
      <w:pPr>
        <w:ind w:left="4320"/>
        <w:rPr>
          <w:szCs w:val="24"/>
        </w:rPr>
      </w:pPr>
    </w:p>
    <w:p w:rsidR="002A614C" w:rsidP="00080735">
      <w:pPr>
        <w:spacing w:before="240" w:line="480" w:lineRule="auto"/>
        <w:ind w:firstLine="720"/>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2554BF" w:rsidRPr="00710E80" w:rsidP="002554BF">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2554BF" w:rsidRPr="00710E80" w:rsidP="002554BF">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2554BF" w:rsidRPr="00710E80" w:rsidP="002554BF">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080735" w:rsidP="00C307AB">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Distribution Investment Rider for Ohio Power Company.</w:t>
            </w:r>
          </w:p>
          <w:p w:rsidR="00080735" w:rsidRPr="00710E80" w:rsidP="00C307AB">
            <w:pPr>
              <w:autoSpaceDE w:val="0"/>
              <w:autoSpaceDN w:val="0"/>
              <w:adjustRightInd w:val="0"/>
              <w:rPr>
                <w:rStyle w:val="DefaultParagraphFont"/>
                <w:sz w:val="24"/>
                <w:lang w:val="en-US" w:eastAsia="en-US" w:bidi="ar-SA"/>
              </w:rPr>
            </w:pPr>
          </w:p>
        </w:tc>
        <w:tc>
          <w:tcPr>
            <w:tcW w:w="360" w:type="dxa"/>
            <w:shd w:val="clear" w:color="auto" w:fill="auto"/>
          </w:tcPr>
          <w:p w:rsidR="00080735" w:rsidRPr="00710E80" w:rsidP="00C307A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080735" w:rsidRPr="00710E80" w:rsidP="00C307A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080735" w:rsidRPr="00710E80" w:rsidP="00C307A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c>
          <w:tcPr>
            <w:tcW w:w="4400" w:type="dxa"/>
            <w:shd w:val="clear" w:color="auto" w:fill="auto"/>
          </w:tcPr>
          <w:p w:rsidR="00080735" w:rsidRPr="00710E80" w:rsidP="002A614C">
            <w:pPr>
              <w:rPr>
                <w:rStyle w:val="DefaultParagraphFont"/>
                <w:sz w:val="24"/>
                <w:lang w:val="en-US" w:eastAsia="en-US" w:bidi="ar-SA"/>
              </w:rPr>
            </w:pPr>
            <w:r w:rsidRPr="00710E80">
              <w:rPr>
                <w:sz w:val="24"/>
                <w:lang w:val="en-US" w:eastAsia="en-US" w:bidi="ar-SA"/>
              </w:rPr>
              <w:t xml:space="preserve">Case No. </w:t>
            </w:r>
            <w:r>
              <w:rPr>
                <w:sz w:val="24"/>
                <w:lang w:val="en-US" w:eastAsia="en-US" w:bidi="ar-SA"/>
              </w:rPr>
              <w:t>14-1696-EL-RDR</w:t>
            </w:r>
          </w:p>
          <w:p w:rsidR="00080735" w:rsidP="00C307A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080735" w:rsidRPr="00710E80" w:rsidP="00C307A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080735" w:rsidP="007436AC">
      <w:pPr>
        <w:pStyle w:val="BodyTextIndent3"/>
        <w:spacing w:line="480" w:lineRule="auto"/>
      </w:pPr>
    </w:p>
    <w:p w:rsidR="00F70319" w:rsidP="007436AC">
      <w:pPr>
        <w:pStyle w:val="BodyTextIndent3"/>
        <w:spacing w:line="480" w:lineRule="auto"/>
      </w:pPr>
      <w:r>
        <w:t xml:space="preserve">This case involves charges on customers’ bills </w:t>
      </w:r>
      <w:r>
        <w:t xml:space="preserve">for </w:t>
      </w:r>
      <w:r w:rsidR="00C04A59">
        <w:t xml:space="preserve">rates </w:t>
      </w:r>
      <w:r w:rsidR="00080735">
        <w:t>AEP Ohio</w:t>
      </w:r>
      <w:r>
        <w:t xml:space="preserve"> was authorized to collect though its</w:t>
      </w:r>
      <w:r>
        <w:t xml:space="preserve"> </w:t>
      </w:r>
      <w:r w:rsidR="00080735">
        <w:rPr>
          <w:szCs w:val="24"/>
        </w:rPr>
        <w:t>Distribution Investment Rider</w:t>
      </w:r>
      <w:r>
        <w:t>.</w:t>
      </w:r>
      <w:r w:rsidR="003B51A9">
        <w:t xml:space="preserve"> </w:t>
      </w:r>
      <w:r>
        <w:t>However, that authorization reflected a corporate income tax rate of 35 percent that has since been reduced to 21 percent as a result of the Tax Cuts and Jobs Act</w:t>
      </w:r>
      <w:r w:rsidR="006D6302">
        <w:t xml:space="preserve"> of 2017</w:t>
      </w:r>
      <w:r>
        <w:t>, effective January 1, 2018.</w:t>
      </w:r>
      <w:r>
        <w:rPr>
          <w:rStyle w:val="FootnoteReference"/>
        </w:rPr>
        <w:footnoteReference w:id="3"/>
      </w:r>
      <w:r>
        <w:t xml:space="preserve"> Consumers should see the full benefit of that tax cut reflected in their 2018 rates that the PUCO approves in this case</w:t>
      </w:r>
      <w:r w:rsidR="006D6302">
        <w:t>.</w:t>
      </w:r>
      <w:r>
        <w:t xml:space="preserve"> </w:t>
      </w:r>
      <w:r w:rsidR="006D6302">
        <w:t>Thus, t</w:t>
      </w:r>
      <w:r w:rsidR="003B51A9">
        <w:t>he outcome of this proceeding could impact the utility bills that Ohio customers pay.</w:t>
      </w:r>
      <w:r w:rsidR="00293353">
        <w:t xml:space="preserve"> </w:t>
      </w:r>
      <w:r w:rsidRPr="00710E80" w:rsidR="00FC0C37">
        <w:t xml:space="preserve">Ohio law authorizes </w:t>
      </w:r>
      <w:r w:rsidRPr="00710E80" w:rsidR="00FC0C37">
        <w:rPr>
          <w:szCs w:val="24"/>
        </w:rPr>
        <w:t xml:space="preserve">OCC to represent </w:t>
      </w:r>
      <w:r w:rsidRPr="00710E80" w:rsidR="00FC0C37">
        <w:t xml:space="preserve">the interests of all of </w:t>
      </w:r>
      <w:r w:rsidR="00080735">
        <w:t>AEP Ohio</w:t>
      </w:r>
      <w:r>
        <w:t xml:space="preserve">’s </w:t>
      </w:r>
      <w:r w:rsidR="00D415F1">
        <w:t>1.2</w:t>
      </w:r>
      <w:r w:rsidR="00080735">
        <w:t xml:space="preserve"> million</w:t>
      </w:r>
      <w:r w:rsidR="00FC0C37">
        <w:t xml:space="preserve"> </w:t>
      </w:r>
      <w:r w:rsidRPr="00710E80" w:rsidR="00FC0C37">
        <w:t>residential</w:t>
      </w:r>
      <w:r w:rsidR="00FC0C37">
        <w:t xml:space="preserve"> </w:t>
      </w:r>
      <w:r>
        <w:t xml:space="preserve">utility </w:t>
      </w:r>
      <w:r w:rsidRPr="00710E80" w:rsidR="00FC0C37">
        <w:t>customers.</w:t>
      </w:r>
      <w:r>
        <w:rPr>
          <w:rStyle w:val="FootnoteReference"/>
        </w:rPr>
        <w:footnoteReference w:id="4"/>
      </w:r>
      <w:r w:rsidR="00FC0C37">
        <w:t xml:space="preserve"> </w:t>
      </w:r>
    </w:p>
    <w:p w:rsidR="007436AC" w:rsidP="007436AC">
      <w:pPr>
        <w:pStyle w:val="BodyTextIndent3"/>
        <w:spacing w:line="480" w:lineRule="auto"/>
      </w:pPr>
      <w:r w:rsidRPr="00710E80">
        <w:t xml:space="preserve">R.C. 4903.221 provides that any person </w:t>
      </w:r>
      <w:r>
        <w:t>"</w:t>
      </w:r>
      <w:r w:rsidRPr="00710E80">
        <w:t>who may be adversely affected</w:t>
      </w:r>
      <w:r>
        <w:t>"</w:t>
      </w:r>
      <w:r w:rsidRPr="00710E80">
        <w:t xml:space="preserve"> by a PUCO proceeding is entitled to intervene</w:t>
      </w:r>
      <w:r>
        <w:t xml:space="preserve"> in that proceeding. </w:t>
      </w:r>
      <w:r w:rsidRPr="00710E80">
        <w:t>The interests of Ohio</w:t>
      </w:r>
      <w:r>
        <w:t>'</w:t>
      </w:r>
      <w:r w:rsidRPr="00710E80">
        <w:t xml:space="preserve">s residential consumers may be adversely affected by this case </w:t>
      </w:r>
      <w:r>
        <w:t xml:space="preserve">because </w:t>
      </w:r>
      <w:r w:rsidR="00080735">
        <w:t>AEP Ohio</w:t>
      </w:r>
      <w:r w:rsidR="00BF5394">
        <w:t xml:space="preserve">’s </w:t>
      </w:r>
      <w:r w:rsidR="00080735">
        <w:rPr>
          <w:szCs w:val="24"/>
        </w:rPr>
        <w:t>Distribution Investment Rider</w:t>
      </w:r>
      <w:r w:rsidRPr="00BF5394" w:rsidR="00080735">
        <w:rPr>
          <w:szCs w:val="24"/>
        </w:rPr>
        <w:t xml:space="preserve"> </w:t>
      </w:r>
      <w:r w:rsidR="00080735">
        <w:t>is a charge on residential customers’ utility bill</w:t>
      </w:r>
      <w:r>
        <w:t xml:space="preserve">. </w:t>
      </w:r>
      <w:r w:rsidRPr="00710E80">
        <w:t>Thus, this element of the intervention standard</w:t>
      </w:r>
      <w:r>
        <w:t xml:space="preserve"> in R.C. 4903.221 is satisfied.</w:t>
      </w:r>
    </w:p>
    <w:p w:rsidR="00137055">
      <w:pPr>
        <w:rPr>
          <w:szCs w:val="24"/>
        </w:rPr>
      </w:pPr>
      <w:r>
        <w:rPr>
          <w:szCs w:val="24"/>
        </w:rPr>
        <w:br w:type="page"/>
      </w:r>
    </w:p>
    <w:p w:rsidR="007C2976" w:rsidRPr="00710E80" w:rsidP="007436AC">
      <w:pPr>
        <w:pStyle w:val="BodyTextIndent3"/>
        <w:spacing w:line="480" w:lineRule="auto"/>
        <w:rPr>
          <w:szCs w:val="24"/>
        </w:rPr>
      </w:pPr>
      <w:r w:rsidRPr="00710E80">
        <w:rPr>
          <w:szCs w:val="24"/>
        </w:rPr>
        <w:t>R.C. 4903.221(B) requires the PUCO to consider the following criteria in ruling on motions to intervene:</w:t>
      </w:r>
    </w:p>
    <w:p w:rsidR="007C2976" w:rsidRPr="00710E80"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rsidR="00BF5394">
        <w:t>Duke’s</w:t>
      </w:r>
      <w:r>
        <w:t xml:space="preserve"> </w:t>
      </w:r>
      <w:r w:rsidRPr="00710E80">
        <w:t>residential consumers</w:t>
      </w:r>
      <w:r>
        <w:rPr>
          <w:szCs w:val="24"/>
        </w:rPr>
        <w:t xml:space="preserve">. </w:t>
      </w:r>
      <w:r w:rsidRPr="00710E80">
        <w:rPr>
          <w:szCs w:val="24"/>
        </w:rPr>
        <w:t xml:space="preserve">This interest is different from that of any other party and especially different than that of the </w:t>
      </w:r>
      <w:r>
        <w:rPr>
          <w:szCs w:val="24"/>
        </w:rPr>
        <w:t>U</w:t>
      </w:r>
      <w:r w:rsidRPr="00710E80">
        <w:rPr>
          <w:szCs w:val="24"/>
        </w:rPr>
        <w:t>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 (without limitation)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5"/>
      </w:r>
      <w:r>
        <w:rPr>
          <w:sz w:val="24"/>
          <w:szCs w:val="24"/>
        </w:rPr>
        <w:t xml:space="preserve"> </w:t>
      </w:r>
      <w:r w:rsidR="00F70319">
        <w:rPr>
          <w:sz w:val="24"/>
          <w:szCs w:val="24"/>
        </w:rPr>
        <w:t>That especially involves ensuring that the rates being collected from AEP</w:t>
      </w:r>
      <w:r w:rsidR="006D6302">
        <w:rPr>
          <w:sz w:val="24"/>
          <w:szCs w:val="24"/>
        </w:rPr>
        <w:t xml:space="preserve"> Ohio</w:t>
      </w:r>
      <w:r w:rsidR="00F70319">
        <w:rPr>
          <w:sz w:val="24"/>
          <w:szCs w:val="24"/>
        </w:rPr>
        <w:t>’s customers reflects a full year of benefits from the Tax Cuts and Jobs Act corporate income tax reduction from 35 percent to 21 percent tha</w:t>
      </w:r>
      <w:r w:rsidR="006D6302">
        <w:rPr>
          <w:sz w:val="24"/>
          <w:szCs w:val="24"/>
        </w:rPr>
        <w:t>t was effective January 1, 2018</w:t>
      </w:r>
      <w:r w:rsidR="00F70319">
        <w:rPr>
          <w:sz w:val="24"/>
          <w:szCs w:val="24"/>
        </w:rPr>
        <w:t>.</w:t>
      </w:r>
      <w:r w:rsidR="006D6302">
        <w:rPr>
          <w:sz w:val="24"/>
          <w:szCs w:val="24"/>
        </w:rPr>
        <w:t xml:space="preserve"> </w:t>
      </w:r>
      <w:r w:rsidRPr="00710E80">
        <w:rPr>
          <w:sz w:val="24"/>
          <w:szCs w:val="24"/>
        </w:rPr>
        <w:t>OCC</w:t>
      </w:r>
      <w:r>
        <w:rPr>
          <w:sz w:val="24"/>
          <w:szCs w:val="24"/>
        </w:rPr>
        <w:t xml:space="preserve"> will work to determine whether the proposed charges for </w:t>
      </w:r>
      <w:r w:rsidR="00080735">
        <w:rPr>
          <w:sz w:val="24"/>
          <w:szCs w:val="24"/>
        </w:rPr>
        <w:t>AEP Ohio</w:t>
      </w:r>
      <w:r w:rsidRPr="00BF5394" w:rsidR="00BF5394">
        <w:rPr>
          <w:sz w:val="24"/>
          <w:szCs w:val="24"/>
        </w:rPr>
        <w:t xml:space="preserve">’s </w:t>
      </w:r>
      <w:r w:rsidR="00080735">
        <w:rPr>
          <w:sz w:val="24"/>
          <w:szCs w:val="24"/>
        </w:rPr>
        <w:t>Distribution Investment Rider</w:t>
      </w:r>
      <w:r w:rsidRPr="00BF5394" w:rsidR="00BF5394">
        <w:rPr>
          <w:sz w:val="24"/>
          <w:szCs w:val="24"/>
        </w:rPr>
        <w:t xml:space="preserve"> </w:t>
      </w:r>
      <w:r>
        <w:rPr>
          <w:sz w:val="24"/>
          <w:szCs w:val="24"/>
        </w:rPr>
        <w:t>are just and reasonable. OCC's</w:t>
      </w:r>
      <w:r w:rsidRPr="00710E80">
        <w:rPr>
          <w:sz w:val="24"/>
          <w:szCs w:val="24"/>
        </w:rPr>
        <w:t xml:space="preserve"> position is therefore directly related to the merits of this case.</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Pr>
          <w:rStyle w:val="FootnoteReference"/>
          <w:szCs w:val="24"/>
        </w:rPr>
        <w:footnoteReference w:id="6"/>
      </w:r>
      <w:r w:rsidRPr="00710E80">
        <w:rPr>
          <w:szCs w:val="24"/>
        </w:rPr>
        <w:t xml:space="preserve"> As the residential utility consumer advocate, OCC has a real and substantial interest in this case in which the PUCO </w:t>
      </w:r>
      <w:r>
        <w:rPr>
          <w:szCs w:val="24"/>
        </w:rPr>
        <w:t>will</w:t>
      </w:r>
      <w:r w:rsidRPr="00710E80">
        <w:rPr>
          <w:szCs w:val="24"/>
        </w:rPr>
        <w:t xml:space="preserve"> </w:t>
      </w:r>
      <w:r>
        <w:rPr>
          <w:szCs w:val="24"/>
        </w:rPr>
        <w:t xml:space="preserve">review the charges that customers pay for </w:t>
      </w:r>
      <w:r w:rsidR="00080735">
        <w:t>AEP Ohio</w:t>
      </w:r>
      <w:r w:rsidR="00BF5394">
        <w:t xml:space="preserve">’s </w:t>
      </w:r>
      <w:r w:rsidR="00080735">
        <w:rPr>
          <w:szCs w:val="24"/>
        </w:rPr>
        <w:t>Distribution Investment Rider</w:t>
      </w:r>
      <w:r>
        <w:rPr>
          <w:szCs w:val="24"/>
        </w:rPr>
        <w:t>.</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Pr="00710E80">
        <w:rPr>
          <w:szCs w:val="24"/>
        </w:rPr>
        <w:t>Although OCC does not concede that the PUCO must consider this factor, OCC satisfies it because OCC has been uniquely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5D22E9" w:rsidRPr="00BE3D5A" w:rsidP="00BE3D5A">
      <w:pPr>
        <w:pStyle w:val="WW-BodyTextIndent3"/>
        <w:widowControl w:val="0"/>
        <w:spacing w:line="480" w:lineRule="auto"/>
        <w:ind w:right="-24"/>
        <w:rPr>
          <w:szCs w:val="24"/>
        </w:rPr>
      </w:pPr>
      <w:r>
        <w:rPr>
          <w:szCs w:val="24"/>
        </w:rPr>
        <w:t xml:space="preserve">Moreover, the Supreme Court of Ohio </w:t>
      </w:r>
      <w:r w:rsidR="00C04A59">
        <w:rPr>
          <w:szCs w:val="24"/>
        </w:rPr>
        <w:t xml:space="preserve">(“Court”) </w:t>
      </w:r>
      <w:r>
        <w:rPr>
          <w:szCs w:val="24"/>
        </w:rP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Pr>
          <w:szCs w:val="24"/>
        </w:rPr>
        <w:t xml:space="preserve">  </w:t>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220105" w:rsidP="00137055">
      <w:pPr>
        <w:rPr>
          <w:szCs w:val="24"/>
        </w:rPr>
      </w:pPr>
      <w:r>
        <w:rPr>
          <w:szCs w:val="24"/>
        </w:rPr>
        <w:tab/>
      </w:r>
      <w:r>
        <w:rPr>
          <w:szCs w:val="24"/>
        </w:rPr>
        <w:tab/>
      </w:r>
      <w:r>
        <w:rPr>
          <w:szCs w:val="24"/>
        </w:rPr>
        <w:tab/>
      </w:r>
      <w:r>
        <w:rPr>
          <w:szCs w:val="24"/>
        </w:rPr>
        <w:tab/>
      </w:r>
      <w:r>
        <w:rPr>
          <w:szCs w:val="24"/>
        </w:rPr>
        <w:tab/>
      </w:r>
      <w:r>
        <w:rPr>
          <w:szCs w:val="24"/>
        </w:rPr>
        <w:tab/>
      </w:r>
      <w:r w:rsidRPr="00710E80" w:rsidR="00FC0C37">
        <w:rPr>
          <w:szCs w:val="24"/>
        </w:rPr>
        <w:t>Respectfully submitted,</w:t>
      </w:r>
    </w:p>
    <w:p w:rsidR="00AE7D20" w:rsidRPr="00710E80" w:rsidP="00AE7D20">
      <w:pPr>
        <w:rPr>
          <w:szCs w:val="24"/>
        </w:rPr>
      </w:pPr>
    </w:p>
    <w:p w:rsidR="00220105" w:rsidRPr="00710E80" w:rsidP="00220105">
      <w:pPr>
        <w:ind w:left="4320"/>
      </w:pPr>
      <w:r>
        <w:t xml:space="preserve">BRUCE </w:t>
      </w:r>
      <w:r w:rsidRPr="00710E80">
        <w:t>WESTON (0016973)</w:t>
      </w:r>
    </w:p>
    <w:p w:rsidR="00220105" w:rsidRPr="00710E80" w:rsidP="00220105">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P="00220105">
      <w:pPr>
        <w:tabs>
          <w:tab w:val="left" w:pos="4320"/>
        </w:tabs>
        <w:ind w:left="4320"/>
        <w:rPr>
          <w:szCs w:val="24"/>
        </w:rPr>
      </w:pPr>
    </w:p>
    <w:p w:rsidR="00BF5394" w:rsidRPr="00710E80" w:rsidP="00BF5394">
      <w:pPr>
        <w:autoSpaceDE w:val="0"/>
        <w:autoSpaceDN w:val="0"/>
        <w:adjustRightInd w:val="0"/>
        <w:ind w:left="4320"/>
        <w:rPr>
          <w:i/>
        </w:rPr>
      </w:pPr>
      <w:r>
        <w:rPr>
          <w:i/>
          <w:u w:val="single"/>
        </w:rPr>
        <w:t>/</w:t>
      </w:r>
      <w:r w:rsidRPr="00710E80">
        <w:rPr>
          <w:i/>
          <w:u w:val="single"/>
        </w:rPr>
        <w:t>s/</w:t>
      </w:r>
      <w:r>
        <w:rPr>
          <w:i/>
          <w:u w:val="single"/>
        </w:rPr>
        <w:t xml:space="preserve"> Kevin Moore</w:t>
      </w:r>
      <w:r w:rsidRPr="00710E80">
        <w:rPr>
          <w:i/>
          <w:u w:val="single"/>
        </w:rPr>
        <w:tab/>
      </w:r>
    </w:p>
    <w:p w:rsidR="00BF5394" w:rsidRPr="008A6DE3" w:rsidP="00BF5394">
      <w:pPr>
        <w:tabs>
          <w:tab w:val="left" w:pos="4320"/>
        </w:tabs>
        <w:ind w:left="4320"/>
        <w:rPr>
          <w:szCs w:val="24"/>
        </w:rPr>
      </w:pPr>
      <w:r>
        <w:rPr>
          <w:szCs w:val="24"/>
        </w:rPr>
        <w:t>Kevin Moore</w:t>
      </w:r>
      <w:r w:rsidRPr="008A6DE3">
        <w:rPr>
          <w:szCs w:val="24"/>
        </w:rPr>
        <w:t xml:space="preserve"> (00</w:t>
      </w:r>
      <w:r>
        <w:rPr>
          <w:szCs w:val="24"/>
        </w:rPr>
        <w:t>89228</w:t>
      </w:r>
      <w:r w:rsidRPr="008A6DE3">
        <w:rPr>
          <w:szCs w:val="24"/>
        </w:rPr>
        <w:t>)</w:t>
      </w:r>
      <w:r w:rsidRPr="008A6DE3">
        <w:rPr>
          <w:szCs w:val="24"/>
        </w:rPr>
        <w:br/>
        <w:t>Counsel of Record</w:t>
      </w:r>
    </w:p>
    <w:p w:rsidR="00BF5394" w:rsidRPr="00710E80" w:rsidP="00BF5394">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BF5394" w:rsidRPr="00710E80" w:rsidP="00BF5394">
      <w:pPr>
        <w:pStyle w:val="Heading1"/>
        <w:ind w:left="4320"/>
        <w:rPr>
          <w:b w:val="0"/>
          <w:u w:val="none"/>
        </w:rPr>
      </w:pPr>
      <w:r>
        <w:rPr>
          <w:b w:val="0"/>
          <w:u w:val="none"/>
        </w:rPr>
        <w:t>65 East State Street, Suite 700</w:t>
      </w:r>
    </w:p>
    <w:p w:rsidR="00BF5394" w:rsidRPr="008A6DE3" w:rsidP="00BF5394">
      <w:pPr>
        <w:pStyle w:val="Heading1"/>
        <w:ind w:left="4320"/>
        <w:rPr>
          <w:b w:val="0"/>
          <w:u w:val="none"/>
        </w:rPr>
      </w:pPr>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Pr>
          <w:b w:val="0"/>
          <w:u w:val="none"/>
        </w:rPr>
        <w:t xml:space="preserve"> 43215</w:t>
      </w:r>
    </w:p>
    <w:p w:rsidR="00BF5394" w:rsidRPr="008A6DE3" w:rsidP="00BF5394">
      <w:pPr>
        <w:autoSpaceDE w:val="0"/>
        <w:autoSpaceDN w:val="0"/>
        <w:adjustRightInd w:val="0"/>
        <w:ind w:left="3600" w:firstLine="720"/>
        <w:rPr>
          <w:szCs w:val="24"/>
        </w:rPr>
      </w:pPr>
      <w:r w:rsidRPr="008A6DE3">
        <w:rPr>
          <w:szCs w:val="24"/>
        </w:rPr>
        <w:t xml:space="preserve">Telephone: (614) </w:t>
      </w:r>
      <w:r>
        <w:rPr>
          <w:szCs w:val="24"/>
        </w:rPr>
        <w:t>387</w:t>
      </w:r>
      <w:r w:rsidRPr="008A6DE3">
        <w:rPr>
          <w:szCs w:val="24"/>
        </w:rPr>
        <w:t>-</w:t>
      </w:r>
      <w:r>
        <w:rPr>
          <w:szCs w:val="24"/>
        </w:rPr>
        <w:t>2965</w:t>
      </w:r>
    </w:p>
    <w:p w:rsidR="00BF5394" w:rsidP="00BF5394">
      <w:pPr>
        <w:ind w:left="4320"/>
        <w:rPr>
          <w:szCs w:val="24"/>
        </w:rPr>
      </w:pPr>
      <w:r>
        <w:fldChar w:fldCharType="begin"/>
      </w:r>
      <w:r>
        <w:instrText xml:space="preserve"> HYPERLINK "mailto:Kevin.moore@occ.ohio.gov" </w:instrText>
      </w:r>
      <w:r>
        <w:fldChar w:fldCharType="separate"/>
      </w:r>
      <w:r w:rsidRPr="00BA6106" w:rsidR="007436AC">
        <w:rPr>
          <w:rStyle w:val="Hyperlink"/>
          <w:szCs w:val="24"/>
        </w:rPr>
        <w:t>Kevin.moore@occ.ohio.gov</w:t>
      </w:r>
      <w:r>
        <w:fldChar w:fldCharType="end"/>
      </w:r>
    </w:p>
    <w:p w:rsidR="00BF5394" w:rsidP="00BF5394">
      <w:pPr>
        <w:ind w:left="4320"/>
        <w:rPr>
          <w:szCs w:val="24"/>
        </w:rPr>
      </w:pPr>
      <w:r w:rsidRPr="00710E80">
        <w:rPr>
          <w:szCs w:val="24"/>
        </w:rPr>
        <w:t>(</w:t>
      </w:r>
      <w:r w:rsidR="007436AC">
        <w:rPr>
          <w:szCs w:val="24"/>
        </w:rPr>
        <w:t>W</w:t>
      </w:r>
      <w:r w:rsidRPr="00710E80">
        <w:rPr>
          <w:szCs w:val="24"/>
        </w:rPr>
        <w:t>ill accept service via email)</w:t>
      </w:r>
    </w:p>
    <w:p w:rsidR="00220105" w:rsidP="00BF5394">
      <w:pPr>
        <w:autoSpaceDE w:val="0"/>
        <w:autoSpaceDN w:val="0"/>
        <w:adjustRightInd w:val="0"/>
        <w:ind w:left="4320"/>
        <w:rPr>
          <w:szCs w:val="24"/>
        </w:rPr>
      </w:pPr>
    </w:p>
    <w:p w:rsidR="007C2976" w:rsidRPr="00710E80" w:rsidP="007C2976">
      <w:pPr>
        <w:rPr>
          <w:szCs w:val="24"/>
        </w:rPr>
      </w:pPr>
    </w:p>
    <w:p w:rsidR="007C2976" w:rsidRPr="00710E80" w:rsidP="007C2976">
      <w:pPr>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2A614C">
          <w:footerReference w:type="default" r:id="rId11"/>
          <w:pgSz w:w="12240" w:h="15840"/>
          <w:pgMar w:top="1440" w:right="1800" w:bottom="1440" w:left="1800" w:header="720" w:footer="720" w:gutter="0"/>
          <w:pgNumType w:start="1"/>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080735">
        <w:t>20</w:t>
      </w:r>
      <w:r w:rsidRPr="00080735" w:rsidR="00080735">
        <w:rPr>
          <w:vertAlign w:val="superscript"/>
        </w:rPr>
        <w:t>th</w:t>
      </w:r>
      <w:r w:rsidR="00080735">
        <w:t xml:space="preserve"> </w:t>
      </w:r>
      <w:r w:rsidRPr="00710E80">
        <w:t xml:space="preserve">day of </w:t>
      </w:r>
      <w:r w:rsidR="00BF5394">
        <w:t>Februa</w:t>
      </w:r>
      <w:r>
        <w:t>r</w:t>
      </w:r>
      <w:r w:rsidR="00BF5394">
        <w:t>y</w:t>
      </w:r>
      <w:r w:rsidRPr="00710E80">
        <w:t xml:space="preserve"> 201</w:t>
      </w:r>
      <w:r w:rsidR="00BF5394">
        <w:t>8</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BF5394">
        <w:rPr>
          <w:i/>
          <w:u w:val="single"/>
        </w:rPr>
        <w:t>Kevin Moore</w:t>
      </w:r>
      <w:r w:rsidRPr="00710E80">
        <w:rPr>
          <w:i/>
          <w:u w:val="single"/>
        </w:rPr>
        <w:tab/>
      </w:r>
    </w:p>
    <w:p w:rsidR="007C2976" w:rsidRPr="00710E80" w:rsidP="00C05D8D">
      <w:pPr>
        <w:tabs>
          <w:tab w:val="left" w:pos="4320"/>
        </w:tabs>
        <w:ind w:left="4320"/>
      </w:pPr>
      <w:r>
        <w:t>Kevin Moore</w:t>
      </w:r>
      <w:r w:rsidRPr="00710E80" w:rsidR="00FC0C37">
        <w:br/>
      </w:r>
      <w:r w:rsidR="00FC0C37">
        <w:t>Assistant Consumers' Counsel</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A614C" w:rsidP="00C11533">
      <w:pPr>
        <w:pStyle w:val="CommentText"/>
        <w:jc w:val="center"/>
        <w:rPr>
          <w:b/>
          <w:u w:val="single"/>
        </w:rPr>
      </w:pPr>
    </w:p>
    <w:p w:rsidR="007436AC"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2A614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A614C" w:rsidP="002A614C">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C10AB4">
              <w:rPr>
                <w:rStyle w:val="Hyperlink"/>
                <w:bCs/>
                <w:color w:val="0000FF"/>
                <w:sz w:val="24"/>
                <w:szCs w:val="24"/>
                <w:u w:val="single"/>
                <w:lang w:val="en-US" w:eastAsia="en-US" w:bidi="ar-SA"/>
              </w:rPr>
              <w:t>William.wright@ohioattorneygeneral.gov</w:t>
            </w:r>
            <w:r>
              <w:fldChar w:fldCharType="end"/>
            </w:r>
          </w:p>
          <w:p w:rsidR="002A614C" w:rsidP="002A614C">
            <w:pPr>
              <w:pStyle w:val="CommentText"/>
              <w:rPr>
                <w:rStyle w:val="DefaultParagraphFont"/>
                <w:bCs/>
                <w:sz w:val="24"/>
                <w:szCs w:val="24"/>
                <w:lang w:val="en-US" w:eastAsia="en-US" w:bidi="ar-SA"/>
              </w:rPr>
            </w:pPr>
          </w:p>
          <w:p w:rsidR="002A614C" w:rsidP="002A614C">
            <w:pPr>
              <w:pStyle w:val="CommentText"/>
              <w:rPr>
                <w:rStyle w:val="DefaultParagraphFont"/>
                <w:bCs/>
                <w:sz w:val="24"/>
                <w:szCs w:val="24"/>
                <w:lang w:val="en-US" w:eastAsia="en-US" w:bidi="ar-SA"/>
              </w:rPr>
            </w:pPr>
            <w:r>
              <w:rPr>
                <w:bCs/>
                <w:sz w:val="24"/>
                <w:szCs w:val="24"/>
                <w:lang w:val="en-US" w:eastAsia="en-US" w:bidi="ar-SA"/>
              </w:rPr>
              <w:t>Attorney Examiners:</w:t>
            </w:r>
          </w:p>
          <w:p w:rsidR="002A614C" w:rsidP="002A614C">
            <w:pPr>
              <w:pStyle w:val="CommentText"/>
              <w:rPr>
                <w:rStyle w:val="DefaultParagraphFont"/>
                <w:bCs/>
                <w:sz w:val="24"/>
                <w:szCs w:val="24"/>
                <w:lang w:val="en-US" w:eastAsia="en-US" w:bidi="ar-SA"/>
              </w:rPr>
            </w:pPr>
          </w:p>
          <w:p w:rsidR="002A614C" w:rsidP="002A614C">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"mailto:Sarah.parrot@puc.state.oh.us" </w:instrText>
            </w:r>
            <w:r>
              <w:fldChar w:fldCharType="separate"/>
            </w:r>
            <w:r w:rsidRPr="00C10AB4">
              <w:rPr>
                <w:rStyle w:val="Hyperlink"/>
                <w:bCs/>
                <w:color w:val="0000FF"/>
                <w:sz w:val="24"/>
                <w:szCs w:val="24"/>
                <w:u w:val="single"/>
                <w:lang w:val="en-US" w:eastAsia="en-US" w:bidi="ar-SA"/>
              </w:rPr>
              <w:t>Sarah.parrot@puc.state.oh.us</w:t>
            </w:r>
            <w:r>
              <w:fldChar w:fldCharType="end"/>
            </w:r>
          </w:p>
          <w:p w:rsidR="002A614C" w:rsidP="002A614C">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"mailto:Greta.see@puc.state.oh.us" </w:instrText>
            </w:r>
            <w:r>
              <w:fldChar w:fldCharType="separate"/>
            </w:r>
            <w:r w:rsidRPr="00C10AB4">
              <w:rPr>
                <w:rStyle w:val="Hyperlink"/>
                <w:bCs/>
                <w:color w:val="0000FF"/>
                <w:sz w:val="24"/>
                <w:szCs w:val="24"/>
                <w:u w:val="single"/>
                <w:lang w:val="en-US" w:eastAsia="en-US" w:bidi="ar-SA"/>
              </w:rPr>
              <w:t>Greta.see@puc.state.oh.us</w:t>
            </w:r>
            <w:r>
              <w:fldChar w:fldCharType="end"/>
            </w:r>
          </w:p>
          <w:p w:rsidR="002A614C" w:rsidRPr="002A614C" w:rsidP="002A614C">
            <w:pPr>
              <w:pStyle w:val="CommentText"/>
              <w:rPr>
                <w:rStyle w:val="DefaultParagraphFont"/>
                <w:bCs/>
                <w:sz w:val="24"/>
                <w:szCs w:val="24"/>
                <w:lang w:val="en-US" w:eastAsia="en-US" w:bidi="ar-SA"/>
              </w:rPr>
            </w:pPr>
          </w:p>
        </w:tc>
        <w:tc>
          <w:tcPr>
            <w:tcW w:w="4428" w:type="dxa"/>
          </w:tcPr>
          <w:p w:rsidR="002A614C" w:rsidRPr="002A614C" w:rsidP="002A614C">
            <w:pPr>
              <w:pStyle w:val="CommentText"/>
              <w:ind w:left="1332"/>
              <w:rPr>
                <w:rStyle w:val="DefaultParagraphFont"/>
                <w:bCs/>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2A614C">
              <w:rPr>
                <w:rStyle w:val="Hyperlink"/>
                <w:bCs/>
                <w:color w:val="0000FF"/>
                <w:sz w:val="24"/>
                <w:szCs w:val="24"/>
                <w:u w:val="single"/>
                <w:lang w:val="en-US" w:eastAsia="en-US" w:bidi="ar-SA"/>
              </w:rPr>
              <w:t>Stnourse@aep.com</w:t>
            </w:r>
            <w:r>
              <w:fldChar w:fldCharType="end"/>
            </w:r>
          </w:p>
          <w:p w:rsidR="002A614C" w:rsidP="002A614C">
            <w:pPr>
              <w:pStyle w:val="CommentText"/>
              <w:rPr>
                <w:rStyle w:val="DefaultParagraphFont"/>
                <w:b/>
                <w:bCs/>
                <w:sz w:val="24"/>
                <w:szCs w:val="24"/>
                <w:lang w:val="en-US" w:eastAsia="en-US" w:bidi="ar-SA"/>
              </w:rPr>
            </w:pPr>
          </w:p>
        </w:tc>
      </w:tr>
    </w:tbl>
    <w:p w:rsidR="00914719" w:rsidRPr="00710E80" w:rsidP="00C11533">
      <w:pPr>
        <w:pStyle w:val="CommentText"/>
        <w:jc w:val="center"/>
        <w:rPr>
          <w:b/>
          <w:bCs/>
        </w:rPr>
      </w:pPr>
    </w:p>
    <w:p w:rsidR="007C2976" w:rsidRPr="00710E80" w:rsidP="007C2976">
      <w:pPr>
        <w:pStyle w:val="BodyText"/>
        <w:ind w:firstLine="720"/>
      </w:pPr>
    </w:p>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F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4217088"/>
      <w:docPartObj>
        <w:docPartGallery w:val="Page Numbers (Bottom of Page)"/>
        <w:docPartUnique/>
      </w:docPartObj>
    </w:sdtPr>
    <w:sdtEndPr>
      <w:rPr>
        <w:noProof/>
        <w:sz w:val="24"/>
        <w:szCs w:val="24"/>
      </w:rPr>
    </w:sdtEndPr>
    <w:sdtContent>
      <w:p w:rsidR="00363626" w:rsidRPr="003E2884" w:rsidP="002A614C">
        <w:pPr>
          <w:pStyle w:val="Footer"/>
          <w:tabs>
            <w:tab w:val="left" w:pos="4147"/>
          </w:tabs>
          <w:rPr>
            <w:sz w:val="24"/>
            <w:szCs w:val="24"/>
          </w:rPr>
        </w:pPr>
        <w:r>
          <w:tab/>
        </w:r>
        <w:r>
          <w:tab/>
        </w:r>
        <w:r w:rsidRPr="003E2884" w:rsidR="00FC0C37">
          <w:rPr>
            <w:sz w:val="24"/>
            <w:szCs w:val="24"/>
          </w:rPr>
          <w:fldChar w:fldCharType="begin"/>
        </w:r>
        <w:r w:rsidRPr="003E2884" w:rsidR="00FC0C37">
          <w:rPr>
            <w:sz w:val="24"/>
            <w:szCs w:val="24"/>
          </w:rPr>
          <w:instrText xml:space="preserve"> PAGE   \* MERGEFORMAT </w:instrText>
        </w:r>
        <w:r w:rsidRPr="003E2884" w:rsidR="00FC0C37">
          <w:rPr>
            <w:sz w:val="24"/>
            <w:szCs w:val="24"/>
          </w:rPr>
          <w:fldChar w:fldCharType="separate"/>
        </w:r>
        <w:r w:rsidR="00E51FA7">
          <w:rPr>
            <w:noProof/>
            <w:sz w:val="24"/>
            <w:szCs w:val="24"/>
          </w:rPr>
          <w:t>1</w:t>
        </w:r>
        <w:r w:rsidRPr="003E2884" w:rsidR="00FC0C37">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0C37">
      <w:r>
        <w:separator/>
      </w:r>
    </w:p>
  </w:footnote>
  <w:footnote w:type="continuationSeparator" w:id="1">
    <w:p w:rsidR="00FC0C37">
      <w:r>
        <w:continuationSeparator/>
      </w:r>
    </w:p>
  </w:footnote>
  <w:footnote w:id="2">
    <w:p w:rsidR="00080735">
      <w:pPr>
        <w:pStyle w:val="FootnoteText"/>
      </w:pPr>
      <w:r>
        <w:rPr>
          <w:rStyle w:val="FootnoteReference"/>
        </w:rPr>
        <w:footnoteRef/>
      </w:r>
      <w:r>
        <w:t xml:space="preserve"> AEP Ohio Quarterly Update at 1, Case No. 14-1696-EL-RDR (December 21, 2017).</w:t>
      </w:r>
    </w:p>
  </w:footnote>
  <w:footnote w:id="3">
    <w:p w:rsidR="00F70319" w:rsidP="00137055">
      <w:pPr>
        <w:pStyle w:val="FootnoteText"/>
        <w:spacing w:after="120"/>
      </w:pPr>
      <w:r>
        <w:rPr>
          <w:rStyle w:val="FootnoteReference"/>
        </w:rPr>
        <w:footnoteRef/>
      </w:r>
      <w:r>
        <w:t xml:space="preserve"> See Tax Cuts and Jobs Act of 2017, Public Law No. 115-97.</w:t>
      </w:r>
    </w:p>
  </w:footnote>
  <w:footnote w:id="4">
    <w:p w:rsidR="004B47A1" w:rsidRPr="00A93B8E" w:rsidP="00137055">
      <w:pPr>
        <w:pStyle w:val="FootnoteText"/>
        <w:spacing w:before="0" w:after="120"/>
      </w:pPr>
      <w:r w:rsidRPr="00A93B8E">
        <w:rPr>
          <w:rStyle w:val="FootnoteReference"/>
        </w:rPr>
        <w:footnoteRef/>
      </w:r>
      <w:r w:rsidRPr="00A93B8E">
        <w:t xml:space="preserve"> </w:t>
      </w:r>
      <w:r w:rsidRPr="00A93B8E">
        <w:rPr>
          <w:i/>
        </w:rPr>
        <w:t>See</w:t>
      </w:r>
      <w:r w:rsidRPr="00A93B8E">
        <w:t xml:space="preserve"> R.C. Chapter 4911.</w:t>
      </w:r>
    </w:p>
  </w:footnote>
  <w:footnote w:id="5">
    <w:p w:rsidR="00031FE7" w:rsidRPr="00A93B8E" w:rsidP="001A5E32">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("All charges made or demanded for any service rendered, or to be rendered, shall be just, reasonable, and not more than the charges allowed by law or by order of the public utilities commission . . .").</w:t>
      </w:r>
    </w:p>
  </w:footnote>
  <w:footnote w:id="6">
    <w:p w:rsidR="006C5851" w:rsidP="001A5E32">
      <w:pPr>
        <w:pStyle w:val="FootnoteText"/>
        <w:spacing w:before="0" w:after="120"/>
      </w:pPr>
      <w:r>
        <w:rPr>
          <w:rStyle w:val="FootnoteReference"/>
        </w:rPr>
        <w:footnoteRef/>
      </w:r>
      <w:r>
        <w:t xml:space="preserve"> </w:t>
      </w:r>
      <w:r w:rsidRPr="00710E80">
        <w:rPr>
          <w:szCs w:val="24"/>
        </w:rPr>
        <w:t>O</w:t>
      </w:r>
      <w:r>
        <w:rPr>
          <w:szCs w:val="24"/>
        </w:rPr>
        <w:t>hio Adm. Code 4901-1-11(A)(2).</w:t>
      </w:r>
    </w:p>
  </w:footnote>
  <w:footnote w:id="7">
    <w:p w:rsidR="005D22E9" w:rsidP="005D22E9">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574B3A"/>
    <w:multiLevelType w:val="hybridMultilevel"/>
    <w:tmpl w:val="6214F772"/>
    <w:lvl w:ilvl="0">
      <w:start w:val="1"/>
      <w:numFmt w:val="decimal"/>
      <w:lvlText w:val="%1."/>
      <w:lvlJc w:val="left"/>
      <w:pPr>
        <w:ind w:left="784" w:hanging="360"/>
      </w:pPr>
    </w:lvl>
    <w:lvl w:ilvl="1" w:tentative="1">
      <w:start w:val="1"/>
      <w:numFmt w:val="lowerLetter"/>
      <w:lvlText w:val="%2."/>
      <w:lvlJc w:val="left"/>
      <w:pPr>
        <w:ind w:left="1504" w:hanging="360"/>
      </w:pPr>
    </w:lvl>
    <w:lvl w:ilvl="2" w:tentative="1">
      <w:start w:val="1"/>
      <w:numFmt w:val="lowerRoman"/>
      <w:lvlText w:val="%3."/>
      <w:lvlJc w:val="right"/>
      <w:pPr>
        <w:ind w:left="2224" w:hanging="180"/>
      </w:pPr>
    </w:lvl>
    <w:lvl w:ilvl="3" w:tentative="1">
      <w:start w:val="1"/>
      <w:numFmt w:val="decimal"/>
      <w:lvlText w:val="%4."/>
      <w:lvlJc w:val="left"/>
      <w:pPr>
        <w:ind w:left="2944" w:hanging="360"/>
      </w:pPr>
    </w:lvl>
    <w:lvl w:ilvl="4" w:tentative="1">
      <w:start w:val="1"/>
      <w:numFmt w:val="lowerLetter"/>
      <w:lvlText w:val="%5."/>
      <w:lvlJc w:val="left"/>
      <w:pPr>
        <w:ind w:left="3664" w:hanging="360"/>
      </w:pPr>
    </w:lvl>
    <w:lvl w:ilvl="5" w:tentative="1">
      <w:start w:val="1"/>
      <w:numFmt w:val="lowerRoman"/>
      <w:lvlText w:val="%6."/>
      <w:lvlJc w:val="right"/>
      <w:pPr>
        <w:ind w:left="4384" w:hanging="180"/>
      </w:pPr>
    </w:lvl>
    <w:lvl w:ilvl="6" w:tentative="1">
      <w:start w:val="1"/>
      <w:numFmt w:val="decimal"/>
      <w:lvlText w:val="%7."/>
      <w:lvlJc w:val="left"/>
      <w:pPr>
        <w:ind w:left="5104" w:hanging="360"/>
      </w:pPr>
    </w:lvl>
    <w:lvl w:ilvl="7" w:tentative="1">
      <w:start w:val="1"/>
      <w:numFmt w:val="lowerLetter"/>
      <w:lvlText w:val="%8."/>
      <w:lvlJc w:val="left"/>
      <w:pPr>
        <w:ind w:left="5824" w:hanging="360"/>
      </w:pPr>
    </w:lvl>
    <w:lvl w:ilvl="8" w:tentative="1">
      <w:start w:val="1"/>
      <w:numFmt w:val="lowerRoman"/>
      <w:lvlText w:val="%9."/>
      <w:lvlJc w:val="right"/>
      <w:pPr>
        <w:ind w:left="6544" w:hanging="180"/>
      </w:pPr>
    </w:lvl>
  </w:abstractNum>
  <w:abstractNum w:abstractNumId="1">
    <w:nsid w:val="7B6A5D2F"/>
    <w:multiLevelType w:val="hybridMultilevel"/>
    <w:tmpl w:val="4BDE0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14-1696 OCC MTI w/ ls dfs  (00052270.DOCX;1)</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2018-02-20T21:36:08Z</dcterms:created>
  <dcterms:modified xsi:type="dcterms:W3CDTF">2018-02-20T21:36:08Z</dcterms:modified>
</cp:coreProperties>
</file>