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A1897" w14:textId="77777777" w:rsidR="0062712B" w:rsidRPr="009D71F6" w:rsidRDefault="0062712B" w:rsidP="0062712B">
      <w:pPr>
        <w:pStyle w:val="Title"/>
        <w:widowControl w:val="0"/>
        <w:rPr>
          <w:rFonts w:ascii="Arial" w:hAnsi="Arial" w:cs="Arial"/>
          <w:szCs w:val="24"/>
        </w:rPr>
      </w:pPr>
      <w:bookmarkStart w:id="0" w:name="_GoBack"/>
      <w:bookmarkEnd w:id="0"/>
      <w:r w:rsidRPr="009D71F6">
        <w:rPr>
          <w:rFonts w:ascii="Arial" w:hAnsi="Arial" w:cs="Arial"/>
          <w:szCs w:val="24"/>
        </w:rPr>
        <w:t>BEFORE</w:t>
      </w:r>
    </w:p>
    <w:p w14:paraId="194A1898" w14:textId="77777777" w:rsidR="0062712B" w:rsidRPr="009D71F6" w:rsidRDefault="0062712B" w:rsidP="0062712B">
      <w:pPr>
        <w:widowControl w:val="0"/>
        <w:jc w:val="center"/>
        <w:rPr>
          <w:rFonts w:ascii="Arial" w:hAnsi="Arial" w:cs="Arial"/>
          <w:b/>
          <w:sz w:val="24"/>
          <w:szCs w:val="24"/>
        </w:rPr>
      </w:pPr>
      <w:r w:rsidRPr="009D71F6">
        <w:rPr>
          <w:rFonts w:ascii="Arial" w:hAnsi="Arial" w:cs="Arial"/>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62712B" w:rsidRPr="009D71F6" w14:paraId="194A18AE" w14:textId="77777777" w:rsidTr="007E76D3">
        <w:trPr>
          <w:trHeight w:val="873"/>
          <w:jc w:val="center"/>
        </w:trPr>
        <w:tc>
          <w:tcPr>
            <w:tcW w:w="4739" w:type="dxa"/>
          </w:tcPr>
          <w:p w14:paraId="194A1899"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In the Matter of the Application of Ohio</w:t>
            </w:r>
          </w:p>
          <w:p w14:paraId="194A189A"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The Cleveland Electric</w:t>
            </w:r>
          </w:p>
          <w:p w14:paraId="194A189B"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Illuminating Company and The Toledo</w:t>
            </w:r>
          </w:p>
          <w:p w14:paraId="194A189C" w14:textId="77777777" w:rsidR="0062712B" w:rsidRPr="00542A3B"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Edison Company for Authority to Provide</w:t>
            </w:r>
          </w:p>
          <w:p w14:paraId="194A189D" w14:textId="77777777" w:rsidR="0062712B" w:rsidRPr="009D71F6" w:rsidRDefault="0062712B" w:rsidP="007E76D3">
            <w:pPr>
              <w:autoSpaceDE w:val="0"/>
              <w:autoSpaceDN w:val="0"/>
              <w:adjustRightInd w:val="0"/>
              <w:spacing w:after="0" w:line="240" w:lineRule="auto"/>
              <w:rPr>
                <w:rFonts w:ascii="Arial" w:hAnsi="Arial" w:cs="Arial"/>
                <w:sz w:val="24"/>
                <w:szCs w:val="24"/>
              </w:rPr>
            </w:pPr>
            <w:r w:rsidRPr="00542A3B">
              <w:rPr>
                <w:rFonts w:ascii="Arial" w:hAnsi="Arial" w:cs="Arial"/>
                <w:sz w:val="24"/>
                <w:szCs w:val="24"/>
              </w:rPr>
              <w:t>for a Standard</w:t>
            </w:r>
            <w:r>
              <w:rPr>
                <w:rFonts w:ascii="Arial" w:hAnsi="Arial" w:cs="Arial"/>
                <w:sz w:val="24"/>
                <w:szCs w:val="24"/>
              </w:rPr>
              <w:t xml:space="preserve"> Service Offer Pursuant to R.C. </w:t>
            </w:r>
            <w:r w:rsidRPr="00542A3B">
              <w:rPr>
                <w:rFonts w:ascii="Arial" w:hAnsi="Arial" w:cs="Arial"/>
                <w:sz w:val="24"/>
                <w:szCs w:val="24"/>
              </w:rPr>
              <w:t>4928.143 in t</w:t>
            </w:r>
            <w:r>
              <w:rPr>
                <w:rFonts w:ascii="Arial" w:hAnsi="Arial" w:cs="Arial"/>
                <w:sz w:val="24"/>
                <w:szCs w:val="24"/>
              </w:rPr>
              <w:t xml:space="preserve">he Form of an Electric Security </w:t>
            </w:r>
            <w:r w:rsidRPr="00542A3B">
              <w:rPr>
                <w:rFonts w:ascii="Arial" w:hAnsi="Arial" w:cs="Arial"/>
                <w:sz w:val="24"/>
                <w:szCs w:val="24"/>
              </w:rPr>
              <w:t>Plan</w:t>
            </w:r>
          </w:p>
        </w:tc>
        <w:tc>
          <w:tcPr>
            <w:tcW w:w="630" w:type="dxa"/>
          </w:tcPr>
          <w:p w14:paraId="194A189E"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9F"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A0"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A1" w14:textId="77777777" w:rsidR="0062712B" w:rsidRPr="009D71F6" w:rsidRDefault="0062712B" w:rsidP="007E76D3">
            <w:pPr>
              <w:widowControl w:val="0"/>
              <w:spacing w:after="0" w:line="240" w:lineRule="auto"/>
              <w:jc w:val="center"/>
              <w:rPr>
                <w:rFonts w:ascii="Arial" w:hAnsi="Arial" w:cs="Arial"/>
                <w:sz w:val="24"/>
                <w:szCs w:val="24"/>
              </w:rPr>
            </w:pPr>
            <w:r w:rsidRPr="009D71F6">
              <w:rPr>
                <w:rFonts w:ascii="Arial" w:hAnsi="Arial" w:cs="Arial"/>
                <w:sz w:val="24"/>
                <w:szCs w:val="24"/>
              </w:rPr>
              <w:t>)</w:t>
            </w:r>
          </w:p>
          <w:p w14:paraId="194A18A2" w14:textId="77777777"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14:paraId="194A18A3" w14:textId="77777777"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14:paraId="194A18A4" w14:textId="77777777" w:rsidR="0062712B" w:rsidRDefault="0062712B" w:rsidP="007E76D3">
            <w:pPr>
              <w:widowControl w:val="0"/>
              <w:spacing w:after="0" w:line="240" w:lineRule="auto"/>
              <w:jc w:val="center"/>
              <w:rPr>
                <w:rFonts w:ascii="Arial" w:hAnsi="Arial" w:cs="Arial"/>
                <w:sz w:val="24"/>
                <w:szCs w:val="24"/>
              </w:rPr>
            </w:pPr>
            <w:r>
              <w:rPr>
                <w:rFonts w:ascii="Arial" w:hAnsi="Arial" w:cs="Arial"/>
                <w:sz w:val="24"/>
                <w:szCs w:val="24"/>
              </w:rPr>
              <w:t>)</w:t>
            </w:r>
          </w:p>
          <w:p w14:paraId="194A18A5" w14:textId="77777777" w:rsidR="0062712B" w:rsidRPr="009D71F6" w:rsidRDefault="0062712B" w:rsidP="007E76D3">
            <w:pPr>
              <w:widowControl w:val="0"/>
              <w:spacing w:after="0" w:line="240" w:lineRule="auto"/>
              <w:rPr>
                <w:rFonts w:ascii="Arial" w:hAnsi="Arial" w:cs="Arial"/>
                <w:sz w:val="24"/>
                <w:szCs w:val="24"/>
              </w:rPr>
            </w:pPr>
          </w:p>
        </w:tc>
        <w:tc>
          <w:tcPr>
            <w:tcW w:w="3928" w:type="dxa"/>
          </w:tcPr>
          <w:p w14:paraId="194A18A6" w14:textId="77777777" w:rsidR="0062712B" w:rsidRPr="009D71F6" w:rsidRDefault="0062712B" w:rsidP="007E76D3">
            <w:pPr>
              <w:widowControl w:val="0"/>
              <w:spacing w:after="0" w:line="240" w:lineRule="auto"/>
              <w:rPr>
                <w:rFonts w:ascii="Arial" w:hAnsi="Arial" w:cs="Arial"/>
                <w:sz w:val="24"/>
                <w:szCs w:val="24"/>
              </w:rPr>
            </w:pPr>
          </w:p>
          <w:p w14:paraId="194A18A7" w14:textId="77777777" w:rsidR="0062712B" w:rsidRPr="009D71F6" w:rsidRDefault="0062712B" w:rsidP="007E76D3">
            <w:pPr>
              <w:widowControl w:val="0"/>
              <w:spacing w:after="0" w:line="240" w:lineRule="auto"/>
              <w:rPr>
                <w:rFonts w:ascii="Arial" w:hAnsi="Arial" w:cs="Arial"/>
                <w:sz w:val="24"/>
                <w:szCs w:val="24"/>
              </w:rPr>
            </w:pPr>
          </w:p>
          <w:p w14:paraId="194A18A8" w14:textId="77777777" w:rsidR="0062712B" w:rsidRPr="009D71F6" w:rsidRDefault="0062712B" w:rsidP="007E76D3">
            <w:pPr>
              <w:widowControl w:val="0"/>
              <w:spacing w:after="0" w:line="240" w:lineRule="auto"/>
              <w:rPr>
                <w:rFonts w:ascii="Arial" w:hAnsi="Arial" w:cs="Arial"/>
                <w:sz w:val="24"/>
                <w:szCs w:val="24"/>
              </w:rPr>
            </w:pPr>
            <w:r>
              <w:rPr>
                <w:rFonts w:ascii="Arial" w:hAnsi="Arial" w:cs="Arial"/>
                <w:sz w:val="24"/>
                <w:szCs w:val="24"/>
              </w:rPr>
              <w:t>Case No. 14-1297-EL-SSO</w:t>
            </w:r>
          </w:p>
          <w:p w14:paraId="194A18A9" w14:textId="77777777" w:rsidR="0062712B" w:rsidRPr="009D71F6" w:rsidRDefault="0062712B" w:rsidP="007E76D3">
            <w:pPr>
              <w:widowControl w:val="0"/>
              <w:spacing w:after="0" w:line="240" w:lineRule="auto"/>
              <w:rPr>
                <w:rFonts w:ascii="Arial" w:hAnsi="Arial" w:cs="Arial"/>
                <w:sz w:val="24"/>
                <w:szCs w:val="24"/>
              </w:rPr>
            </w:pPr>
          </w:p>
          <w:p w14:paraId="194A18AA" w14:textId="77777777" w:rsidR="0062712B" w:rsidRDefault="0062712B" w:rsidP="007E76D3">
            <w:pPr>
              <w:widowControl w:val="0"/>
              <w:spacing w:after="0" w:line="240" w:lineRule="auto"/>
              <w:rPr>
                <w:rFonts w:ascii="Arial" w:hAnsi="Arial" w:cs="Arial"/>
                <w:sz w:val="24"/>
                <w:szCs w:val="24"/>
              </w:rPr>
            </w:pPr>
          </w:p>
          <w:p w14:paraId="194A18AB" w14:textId="77777777" w:rsidR="0062712B" w:rsidRDefault="0062712B" w:rsidP="007E76D3">
            <w:pPr>
              <w:widowControl w:val="0"/>
              <w:spacing w:after="0" w:line="240" w:lineRule="auto"/>
              <w:rPr>
                <w:rFonts w:ascii="Arial" w:hAnsi="Arial" w:cs="Arial"/>
                <w:sz w:val="24"/>
                <w:szCs w:val="24"/>
              </w:rPr>
            </w:pPr>
          </w:p>
          <w:p w14:paraId="194A18AC" w14:textId="77777777" w:rsidR="0062712B" w:rsidRDefault="0062712B" w:rsidP="007E76D3">
            <w:pPr>
              <w:widowControl w:val="0"/>
              <w:spacing w:after="0" w:line="240" w:lineRule="auto"/>
              <w:rPr>
                <w:rFonts w:ascii="Arial" w:hAnsi="Arial" w:cs="Arial"/>
                <w:sz w:val="24"/>
                <w:szCs w:val="24"/>
              </w:rPr>
            </w:pPr>
          </w:p>
          <w:p w14:paraId="194A18AD" w14:textId="77777777" w:rsidR="0062712B" w:rsidRPr="009D71F6" w:rsidRDefault="0062712B" w:rsidP="007E76D3">
            <w:pPr>
              <w:widowControl w:val="0"/>
              <w:spacing w:after="0" w:line="240" w:lineRule="auto"/>
              <w:rPr>
                <w:rFonts w:ascii="Arial" w:hAnsi="Arial" w:cs="Arial"/>
                <w:sz w:val="24"/>
                <w:szCs w:val="24"/>
              </w:rPr>
            </w:pPr>
          </w:p>
        </w:tc>
      </w:tr>
    </w:tbl>
    <w:p w14:paraId="194A18B0" w14:textId="1644A2B7"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______________________________________</w:t>
      </w:r>
    </w:p>
    <w:p w14:paraId="4AB71209" w14:textId="30438214" w:rsidR="000F40A2" w:rsidRDefault="00E84C24" w:rsidP="0086699B">
      <w:pPr>
        <w:jc w:val="center"/>
        <w:rPr>
          <w:rFonts w:ascii="Arial" w:hAnsi="Arial" w:cs="Arial"/>
          <w:b/>
          <w:bCs/>
          <w:sz w:val="24"/>
          <w:szCs w:val="24"/>
        </w:rPr>
      </w:pPr>
      <w:r>
        <w:rPr>
          <w:rFonts w:ascii="Arial" w:hAnsi="Arial" w:cs="Arial"/>
          <w:b/>
          <w:bCs/>
          <w:sz w:val="24"/>
          <w:szCs w:val="24"/>
        </w:rPr>
        <w:t xml:space="preserve">SECOND </w:t>
      </w:r>
      <w:r w:rsidR="008B202A">
        <w:rPr>
          <w:rFonts w:ascii="Arial" w:hAnsi="Arial" w:cs="Arial"/>
          <w:b/>
          <w:bCs/>
          <w:sz w:val="24"/>
          <w:szCs w:val="24"/>
        </w:rPr>
        <w:t>SUPPLEMENT</w:t>
      </w:r>
      <w:r w:rsidR="0054464B">
        <w:rPr>
          <w:rFonts w:ascii="Arial" w:hAnsi="Arial" w:cs="Arial"/>
          <w:b/>
          <w:bCs/>
          <w:sz w:val="24"/>
          <w:szCs w:val="24"/>
        </w:rPr>
        <w:t>AL</w:t>
      </w:r>
      <w:r w:rsidR="008B202A">
        <w:rPr>
          <w:rFonts w:ascii="Arial" w:hAnsi="Arial" w:cs="Arial"/>
          <w:b/>
          <w:bCs/>
          <w:sz w:val="24"/>
          <w:szCs w:val="24"/>
        </w:rPr>
        <w:t xml:space="preserve"> </w:t>
      </w:r>
      <w:r w:rsidR="0086699B" w:rsidRPr="00853C7F">
        <w:rPr>
          <w:rFonts w:ascii="Arial" w:hAnsi="Arial" w:cs="Arial"/>
          <w:b/>
          <w:bCs/>
          <w:sz w:val="24"/>
          <w:szCs w:val="24"/>
        </w:rPr>
        <w:t>TESTIMONY OF</w:t>
      </w:r>
      <w:r w:rsidR="0086699B">
        <w:rPr>
          <w:rFonts w:ascii="Arial" w:hAnsi="Arial" w:cs="Arial"/>
          <w:b/>
          <w:bCs/>
          <w:sz w:val="24"/>
          <w:szCs w:val="24"/>
        </w:rPr>
        <w:t xml:space="preserve"> MATTHEW WHITE</w:t>
      </w:r>
      <w:r w:rsidR="000F40A2">
        <w:rPr>
          <w:rFonts w:ascii="Arial" w:hAnsi="Arial" w:cs="Arial"/>
          <w:b/>
          <w:bCs/>
          <w:sz w:val="24"/>
          <w:szCs w:val="24"/>
        </w:rPr>
        <w:t xml:space="preserve"> </w:t>
      </w:r>
    </w:p>
    <w:p w14:paraId="194A18B2" w14:textId="77777777" w:rsidR="0086699B" w:rsidRPr="00853C7F" w:rsidRDefault="0086699B" w:rsidP="0086699B">
      <w:pPr>
        <w:jc w:val="center"/>
        <w:rPr>
          <w:rFonts w:ascii="Arial" w:hAnsi="Arial" w:cs="Arial"/>
          <w:b/>
          <w:bCs/>
          <w:sz w:val="24"/>
          <w:szCs w:val="24"/>
        </w:rPr>
      </w:pPr>
      <w:r w:rsidRPr="00853C7F">
        <w:rPr>
          <w:rFonts w:ascii="Arial" w:hAnsi="Arial" w:cs="Arial"/>
          <w:b/>
          <w:bCs/>
          <w:sz w:val="24"/>
          <w:szCs w:val="24"/>
        </w:rPr>
        <w:t>______________________________________</w:t>
      </w:r>
    </w:p>
    <w:p w14:paraId="194A18B3" w14:textId="77777777" w:rsidR="0086699B" w:rsidRPr="00853C7F" w:rsidRDefault="0086699B" w:rsidP="0086699B">
      <w:pPr>
        <w:jc w:val="center"/>
        <w:rPr>
          <w:rFonts w:ascii="Arial" w:hAnsi="Arial" w:cs="Arial"/>
          <w:b/>
          <w:bCs/>
          <w:sz w:val="24"/>
          <w:szCs w:val="24"/>
        </w:rPr>
      </w:pPr>
    </w:p>
    <w:p w14:paraId="194A18B4" w14:textId="77777777" w:rsidR="0086699B" w:rsidRPr="00853C7F" w:rsidRDefault="0086699B" w:rsidP="0086699B">
      <w:pPr>
        <w:jc w:val="center"/>
        <w:rPr>
          <w:rFonts w:ascii="Arial" w:hAnsi="Arial" w:cs="Arial"/>
          <w:bCs/>
          <w:sz w:val="24"/>
          <w:szCs w:val="24"/>
        </w:rPr>
      </w:pPr>
      <w:proofErr w:type="gramStart"/>
      <w:r w:rsidRPr="00853C7F">
        <w:rPr>
          <w:rFonts w:ascii="Arial" w:hAnsi="Arial" w:cs="Arial"/>
          <w:bCs/>
          <w:sz w:val="24"/>
          <w:szCs w:val="24"/>
        </w:rPr>
        <w:t xml:space="preserve">On behalf of </w:t>
      </w:r>
      <w:r w:rsidRPr="00853C7F">
        <w:rPr>
          <w:rFonts w:ascii="Arial" w:hAnsi="Arial" w:cs="Arial"/>
          <w:sz w:val="24"/>
          <w:szCs w:val="24"/>
        </w:rPr>
        <w:t>Interstate Gas Supply, Inc.</w:t>
      </w:r>
      <w:proofErr w:type="gramEnd"/>
    </w:p>
    <w:p w14:paraId="194A18B5" w14:textId="77777777" w:rsidR="0086699B" w:rsidRPr="00853C7F" w:rsidRDefault="0086699B" w:rsidP="0086699B">
      <w:pPr>
        <w:rPr>
          <w:rFonts w:ascii="Arial" w:hAnsi="Arial" w:cs="Arial"/>
          <w:sz w:val="24"/>
          <w:szCs w:val="24"/>
        </w:rPr>
      </w:pPr>
      <w:r w:rsidRPr="00853C7F">
        <w:rPr>
          <w:rFonts w:ascii="Arial" w:hAnsi="Arial" w:cs="Arial"/>
          <w:sz w:val="24"/>
          <w:szCs w:val="24"/>
        </w:rPr>
        <w:br w:type="page"/>
      </w:r>
    </w:p>
    <w:p w14:paraId="194A18B6" w14:textId="77777777" w:rsidR="0086699B" w:rsidRDefault="0086699B" w:rsidP="0086699B">
      <w:pPr>
        <w:spacing w:line="480" w:lineRule="auto"/>
        <w:rPr>
          <w:rFonts w:ascii="Arial" w:hAnsi="Arial" w:cs="Arial"/>
          <w:b/>
          <w:sz w:val="24"/>
          <w:szCs w:val="24"/>
        </w:rPr>
        <w:sectPr w:rsidR="0086699B" w:rsidSect="00742A3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194A18B7" w14:textId="77777777" w:rsidR="0086699B" w:rsidRPr="00C22723" w:rsidRDefault="0086699B" w:rsidP="0086699B">
      <w:pPr>
        <w:spacing w:line="480" w:lineRule="auto"/>
        <w:rPr>
          <w:rFonts w:ascii="Arial" w:hAnsi="Arial" w:cs="Arial"/>
          <w:b/>
          <w:sz w:val="24"/>
          <w:szCs w:val="24"/>
          <w:u w:val="single"/>
        </w:rPr>
      </w:pPr>
      <w:r w:rsidRPr="00C22723">
        <w:rPr>
          <w:rFonts w:ascii="Arial" w:hAnsi="Arial" w:cs="Arial"/>
          <w:b/>
          <w:sz w:val="24"/>
          <w:szCs w:val="24"/>
        </w:rPr>
        <w:lastRenderedPageBreak/>
        <w:t>I.</w:t>
      </w:r>
      <w:r w:rsidRPr="00C22723">
        <w:rPr>
          <w:rFonts w:ascii="Arial" w:hAnsi="Arial" w:cs="Arial"/>
          <w:b/>
          <w:sz w:val="24"/>
          <w:szCs w:val="24"/>
        </w:rPr>
        <w:tab/>
      </w:r>
      <w:r w:rsidRPr="00C22723">
        <w:rPr>
          <w:rFonts w:ascii="Arial" w:hAnsi="Arial" w:cs="Arial"/>
          <w:b/>
          <w:sz w:val="24"/>
          <w:szCs w:val="24"/>
          <w:u w:val="single"/>
        </w:rPr>
        <w:t>INTRODUCTION AND PURPOSE OF TESTIMONY</w:t>
      </w:r>
    </w:p>
    <w:p w14:paraId="194A18B8" w14:textId="77777777" w:rsidR="0086699B" w:rsidRDefault="0086699B" w:rsidP="003A63D8">
      <w:pPr>
        <w:spacing w:line="240" w:lineRule="auto"/>
        <w:ind w:left="720" w:hanging="720"/>
        <w:jc w:val="both"/>
        <w:rPr>
          <w:rFonts w:ascii="Arial" w:hAnsi="Arial" w:cs="Arial"/>
          <w:b/>
          <w:sz w:val="24"/>
          <w:szCs w:val="24"/>
        </w:rPr>
      </w:pPr>
      <w:r w:rsidRPr="00C22723">
        <w:rPr>
          <w:rFonts w:ascii="Arial" w:hAnsi="Arial" w:cs="Arial"/>
          <w:b/>
          <w:sz w:val="24"/>
          <w:szCs w:val="24"/>
        </w:rPr>
        <w:t>Q.</w:t>
      </w:r>
      <w:r w:rsidRPr="00C22723">
        <w:rPr>
          <w:rFonts w:ascii="Arial" w:hAnsi="Arial" w:cs="Arial"/>
          <w:sz w:val="24"/>
          <w:szCs w:val="24"/>
        </w:rPr>
        <w:tab/>
      </w:r>
      <w:r w:rsidRPr="00C22723">
        <w:rPr>
          <w:rFonts w:ascii="Arial" w:hAnsi="Arial" w:cs="Arial"/>
          <w:b/>
          <w:sz w:val="24"/>
          <w:szCs w:val="24"/>
        </w:rPr>
        <w:t>Please introduce yourself.</w:t>
      </w:r>
    </w:p>
    <w:p w14:paraId="194A18B9" w14:textId="645292F4" w:rsidR="0086699B" w:rsidRPr="0086699B" w:rsidRDefault="0086699B" w:rsidP="003A63D8">
      <w:pPr>
        <w:spacing w:line="480" w:lineRule="auto"/>
        <w:ind w:left="720" w:hanging="720"/>
        <w:jc w:val="both"/>
        <w:rPr>
          <w:rFonts w:ascii="Arial" w:hAnsi="Arial" w:cs="Arial"/>
          <w:sz w:val="24"/>
          <w:szCs w:val="24"/>
        </w:rPr>
      </w:pPr>
      <w:r w:rsidRPr="0086699B">
        <w:rPr>
          <w:rFonts w:ascii="Arial" w:hAnsi="Arial" w:cs="Arial"/>
          <w:sz w:val="24"/>
          <w:szCs w:val="24"/>
        </w:rPr>
        <w:t>A.</w:t>
      </w:r>
      <w:r w:rsidRPr="0086699B">
        <w:rPr>
          <w:rFonts w:ascii="Arial" w:hAnsi="Arial" w:cs="Arial"/>
          <w:sz w:val="24"/>
          <w:szCs w:val="24"/>
        </w:rPr>
        <w:tab/>
        <w:t xml:space="preserve">My name is Matthew White.  I am employed by Interstate Gas Supply, Inc. (“IGS” or “IGS Energy”) as </w:t>
      </w:r>
      <w:r w:rsidR="000F40A2">
        <w:rPr>
          <w:rFonts w:ascii="Arial" w:hAnsi="Arial" w:cs="Arial"/>
          <w:sz w:val="24"/>
          <w:szCs w:val="24"/>
        </w:rPr>
        <w:t>General Counsel, Legislative and Regulatory Affairs</w:t>
      </w:r>
      <w:r w:rsidRPr="0086699B">
        <w:rPr>
          <w:rFonts w:ascii="Arial" w:hAnsi="Arial" w:cs="Arial"/>
          <w:sz w:val="24"/>
          <w:szCs w:val="24"/>
        </w:rPr>
        <w:t>.  My business address is 6100 Emerald Parkway, Dublin, Ohio 43016.</w:t>
      </w:r>
    </w:p>
    <w:p w14:paraId="194A18BD" w14:textId="78D0BE98" w:rsidR="002D2EA3" w:rsidRDefault="008F2088" w:rsidP="003A63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Are you the same Matthew White that filed testimony on behalf of IGS earlier in this proceeding?</w:t>
      </w:r>
    </w:p>
    <w:p w14:paraId="10FDEF44" w14:textId="67E20224" w:rsidR="008F2088" w:rsidRPr="008F2088" w:rsidRDefault="008F2088" w:rsidP="003A63D8">
      <w:pPr>
        <w:spacing w:line="480" w:lineRule="auto"/>
        <w:ind w:left="720" w:hanging="720"/>
        <w:jc w:val="both"/>
        <w:rPr>
          <w:rFonts w:ascii="Arial" w:hAnsi="Arial" w:cs="Arial"/>
          <w:sz w:val="24"/>
          <w:szCs w:val="24"/>
        </w:rPr>
      </w:pPr>
      <w:r w:rsidRPr="008F2088">
        <w:rPr>
          <w:rFonts w:ascii="Arial" w:hAnsi="Arial" w:cs="Arial"/>
          <w:sz w:val="24"/>
          <w:szCs w:val="24"/>
        </w:rPr>
        <w:t>A.</w:t>
      </w:r>
      <w:r w:rsidRPr="008F2088">
        <w:rPr>
          <w:rFonts w:ascii="Arial" w:hAnsi="Arial" w:cs="Arial"/>
          <w:sz w:val="24"/>
          <w:szCs w:val="24"/>
        </w:rPr>
        <w:tab/>
        <w:t>Yes</w:t>
      </w:r>
      <w:r w:rsidR="002337A2">
        <w:rPr>
          <w:rFonts w:ascii="Arial" w:hAnsi="Arial" w:cs="Arial"/>
          <w:sz w:val="24"/>
          <w:szCs w:val="24"/>
        </w:rPr>
        <w:t>,</w:t>
      </w:r>
      <w:r w:rsidRPr="008F2088">
        <w:rPr>
          <w:rFonts w:ascii="Arial" w:hAnsi="Arial" w:cs="Arial"/>
          <w:sz w:val="24"/>
          <w:szCs w:val="24"/>
        </w:rPr>
        <w:t xml:space="preserve"> I am</w:t>
      </w:r>
      <w:r>
        <w:rPr>
          <w:rFonts w:ascii="Arial" w:hAnsi="Arial" w:cs="Arial"/>
          <w:sz w:val="24"/>
          <w:szCs w:val="24"/>
        </w:rPr>
        <w:t>.</w:t>
      </w:r>
    </w:p>
    <w:p w14:paraId="194A18C0" w14:textId="77777777" w:rsidR="00D6619F" w:rsidRDefault="00D6619F" w:rsidP="003A63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r>
      <w:r w:rsidR="0086699B" w:rsidRPr="00853C7F">
        <w:rPr>
          <w:rFonts w:ascii="Arial" w:hAnsi="Arial" w:cs="Arial"/>
          <w:b/>
          <w:sz w:val="24"/>
          <w:szCs w:val="24"/>
        </w:rPr>
        <w:t>What is the purpose of your testimony?</w:t>
      </w:r>
    </w:p>
    <w:p w14:paraId="2BC43F48" w14:textId="0F1C1377" w:rsidR="008A6F70" w:rsidRDefault="008A6F70" w:rsidP="003A63D8">
      <w:pPr>
        <w:spacing w:line="480" w:lineRule="auto"/>
        <w:ind w:left="720" w:hanging="720"/>
        <w:jc w:val="both"/>
        <w:rPr>
          <w:rFonts w:ascii="Arial" w:hAnsi="Arial" w:cs="Arial"/>
          <w:sz w:val="24"/>
          <w:szCs w:val="24"/>
        </w:rPr>
      </w:pPr>
      <w:r w:rsidRPr="008A6F70">
        <w:rPr>
          <w:rFonts w:ascii="Arial" w:hAnsi="Arial" w:cs="Arial"/>
          <w:sz w:val="24"/>
          <w:szCs w:val="24"/>
        </w:rPr>
        <w:t>A.</w:t>
      </w:r>
      <w:r w:rsidRPr="008A6F70">
        <w:rPr>
          <w:rFonts w:ascii="Arial" w:hAnsi="Arial" w:cs="Arial"/>
          <w:sz w:val="24"/>
          <w:szCs w:val="24"/>
        </w:rPr>
        <w:tab/>
      </w:r>
      <w:r>
        <w:rPr>
          <w:rFonts w:ascii="Arial" w:hAnsi="Arial" w:cs="Arial"/>
          <w:sz w:val="24"/>
          <w:szCs w:val="24"/>
        </w:rPr>
        <w:t xml:space="preserve">The purpose of my testimony is to address the Third Supplemental Stipulation filed in this proceeding on December 1, 2015 (“Third Supplemental Stipulation”).  </w:t>
      </w:r>
      <w:r w:rsidR="002548F8">
        <w:rPr>
          <w:rFonts w:ascii="Arial" w:hAnsi="Arial" w:cs="Arial"/>
          <w:sz w:val="24"/>
          <w:szCs w:val="24"/>
        </w:rPr>
        <w:t>IGS has</w:t>
      </w:r>
      <w:r w:rsidR="001E4C45">
        <w:rPr>
          <w:rFonts w:ascii="Arial" w:hAnsi="Arial" w:cs="Arial"/>
          <w:sz w:val="24"/>
          <w:szCs w:val="24"/>
        </w:rPr>
        <w:t xml:space="preserve"> previously filed testimony opposing FirstEnergy’s proposal to implement Rider RRS which would guarantee cost recovery, plus a significant rate of return, on approximately 3,000 MW of FirstEnergy Solutions (“FES”)</w:t>
      </w:r>
      <w:r w:rsidR="00E22E81">
        <w:rPr>
          <w:rFonts w:ascii="Arial" w:hAnsi="Arial" w:cs="Arial"/>
          <w:sz w:val="24"/>
          <w:szCs w:val="24"/>
        </w:rPr>
        <w:t xml:space="preserve"> aging generation units.  </w:t>
      </w:r>
      <w:r w:rsidR="001E4C45">
        <w:rPr>
          <w:rFonts w:ascii="Arial" w:hAnsi="Arial" w:cs="Arial"/>
          <w:sz w:val="24"/>
          <w:szCs w:val="24"/>
        </w:rPr>
        <w:t xml:space="preserve">IGS continues </w:t>
      </w:r>
      <w:r w:rsidR="00E22E81">
        <w:rPr>
          <w:rFonts w:ascii="Arial" w:hAnsi="Arial" w:cs="Arial"/>
          <w:sz w:val="24"/>
          <w:szCs w:val="24"/>
        </w:rPr>
        <w:t>to oppose approval of Rider RRS; moreover</w:t>
      </w:r>
      <w:r w:rsidR="001E4C45">
        <w:rPr>
          <w:rFonts w:ascii="Arial" w:hAnsi="Arial" w:cs="Arial"/>
          <w:sz w:val="24"/>
          <w:szCs w:val="24"/>
        </w:rPr>
        <w:t xml:space="preserve"> </w:t>
      </w:r>
      <w:r w:rsidR="00E22E81">
        <w:rPr>
          <w:rFonts w:ascii="Arial" w:hAnsi="Arial" w:cs="Arial"/>
          <w:sz w:val="24"/>
          <w:szCs w:val="24"/>
        </w:rPr>
        <w:t>additional provisions contained in</w:t>
      </w:r>
      <w:r w:rsidR="00F75C40">
        <w:rPr>
          <w:rFonts w:ascii="Arial" w:hAnsi="Arial" w:cs="Arial"/>
          <w:sz w:val="24"/>
          <w:szCs w:val="24"/>
        </w:rPr>
        <w:t xml:space="preserve"> </w:t>
      </w:r>
      <w:r w:rsidR="001E4C45">
        <w:rPr>
          <w:rFonts w:ascii="Arial" w:hAnsi="Arial" w:cs="Arial"/>
          <w:sz w:val="24"/>
          <w:szCs w:val="24"/>
        </w:rPr>
        <w:t>Third Supplemental Stipulation</w:t>
      </w:r>
      <w:r w:rsidR="00E22E81">
        <w:rPr>
          <w:rFonts w:ascii="Arial" w:hAnsi="Arial" w:cs="Arial"/>
          <w:sz w:val="24"/>
          <w:szCs w:val="24"/>
        </w:rPr>
        <w:t xml:space="preserve"> are</w:t>
      </w:r>
      <w:r w:rsidR="001E4C45">
        <w:rPr>
          <w:rFonts w:ascii="Arial" w:hAnsi="Arial" w:cs="Arial"/>
          <w:sz w:val="24"/>
          <w:szCs w:val="24"/>
        </w:rPr>
        <w:t xml:space="preserve"> actually worse for </w:t>
      </w:r>
      <w:r w:rsidR="004D55EC">
        <w:rPr>
          <w:rFonts w:ascii="Arial" w:hAnsi="Arial" w:cs="Arial"/>
          <w:sz w:val="24"/>
          <w:szCs w:val="24"/>
        </w:rPr>
        <w:t xml:space="preserve">customers and the competitive markets </w:t>
      </w:r>
      <w:r w:rsidR="00305502">
        <w:rPr>
          <w:rFonts w:ascii="Arial" w:hAnsi="Arial" w:cs="Arial"/>
          <w:sz w:val="24"/>
          <w:szCs w:val="24"/>
        </w:rPr>
        <w:t>than FirstEnergy’s ESP a</w:t>
      </w:r>
      <w:r w:rsidR="001E4C45">
        <w:rPr>
          <w:rFonts w:ascii="Arial" w:hAnsi="Arial" w:cs="Arial"/>
          <w:sz w:val="24"/>
          <w:szCs w:val="24"/>
        </w:rPr>
        <w:t>pplication</w:t>
      </w:r>
      <w:r w:rsidR="0044188D">
        <w:rPr>
          <w:rFonts w:ascii="Arial" w:hAnsi="Arial" w:cs="Arial"/>
          <w:sz w:val="24"/>
          <w:szCs w:val="24"/>
        </w:rPr>
        <w:t xml:space="preserve"> as</w:t>
      </w:r>
      <w:r w:rsidR="00B51085">
        <w:rPr>
          <w:rFonts w:ascii="Arial" w:hAnsi="Arial" w:cs="Arial"/>
          <w:sz w:val="24"/>
          <w:szCs w:val="24"/>
        </w:rPr>
        <w:t xml:space="preserve"> filed</w:t>
      </w:r>
      <w:r w:rsidR="004D55EC">
        <w:rPr>
          <w:rFonts w:ascii="Arial" w:hAnsi="Arial" w:cs="Arial"/>
          <w:sz w:val="24"/>
          <w:szCs w:val="24"/>
        </w:rPr>
        <w:t>.  Specifically:</w:t>
      </w:r>
    </w:p>
    <w:p w14:paraId="73E2B431" w14:textId="7B90BEE9" w:rsidR="0044188D" w:rsidRPr="0044188D" w:rsidRDefault="0044188D" w:rsidP="0044188D">
      <w:pPr>
        <w:pStyle w:val="ListParagraph"/>
        <w:numPr>
          <w:ilvl w:val="0"/>
          <w:numId w:val="42"/>
        </w:numPr>
        <w:spacing w:line="480" w:lineRule="auto"/>
        <w:jc w:val="both"/>
        <w:rPr>
          <w:rFonts w:ascii="Arial" w:hAnsi="Arial" w:cs="Arial"/>
          <w:sz w:val="24"/>
          <w:szCs w:val="24"/>
        </w:rPr>
      </w:pPr>
      <w:r>
        <w:rPr>
          <w:rFonts w:ascii="Arial" w:hAnsi="Arial" w:cs="Arial"/>
          <w:sz w:val="24"/>
          <w:szCs w:val="24"/>
        </w:rPr>
        <w:t>The Third Supplemental Stipulation</w:t>
      </w:r>
      <w:r w:rsidR="002E001E">
        <w:rPr>
          <w:rFonts w:ascii="Arial" w:hAnsi="Arial" w:cs="Arial"/>
          <w:sz w:val="24"/>
          <w:szCs w:val="24"/>
        </w:rPr>
        <w:t xml:space="preserve"> would adopt</w:t>
      </w:r>
      <w:r>
        <w:rPr>
          <w:rFonts w:ascii="Arial" w:hAnsi="Arial" w:cs="Arial"/>
          <w:sz w:val="24"/>
          <w:szCs w:val="24"/>
        </w:rPr>
        <w:t xml:space="preserve"> Rider RRS, the economics of </w:t>
      </w:r>
      <w:r w:rsidR="002E001E">
        <w:rPr>
          <w:rFonts w:ascii="Arial" w:hAnsi="Arial" w:cs="Arial"/>
          <w:sz w:val="24"/>
          <w:szCs w:val="24"/>
        </w:rPr>
        <w:t>which</w:t>
      </w:r>
      <w:r w:rsidR="00E5405B">
        <w:rPr>
          <w:rFonts w:ascii="Arial" w:hAnsi="Arial" w:cs="Arial"/>
          <w:sz w:val="24"/>
          <w:szCs w:val="24"/>
        </w:rPr>
        <w:t xml:space="preserve"> have</w:t>
      </w:r>
      <w:r>
        <w:rPr>
          <w:rFonts w:ascii="Arial" w:hAnsi="Arial" w:cs="Arial"/>
          <w:sz w:val="24"/>
          <w:szCs w:val="24"/>
        </w:rPr>
        <w:t xml:space="preserve"> gotten worse, given the significant decline in natural gas prices since FirstEnergy originally filed its original Application.</w:t>
      </w:r>
      <w:r w:rsidR="002E001E">
        <w:rPr>
          <w:rFonts w:ascii="Arial" w:hAnsi="Arial" w:cs="Arial"/>
          <w:sz w:val="24"/>
          <w:szCs w:val="24"/>
        </w:rPr>
        <w:t xml:space="preserve"> Thus, it is becoming </w:t>
      </w:r>
      <w:r w:rsidR="00CD2073">
        <w:rPr>
          <w:rFonts w:ascii="Arial" w:hAnsi="Arial" w:cs="Arial"/>
          <w:sz w:val="24"/>
          <w:szCs w:val="24"/>
        </w:rPr>
        <w:lastRenderedPageBreak/>
        <w:t>increasingly</w:t>
      </w:r>
      <w:r w:rsidR="002E001E">
        <w:rPr>
          <w:rFonts w:ascii="Arial" w:hAnsi="Arial" w:cs="Arial"/>
          <w:sz w:val="24"/>
          <w:szCs w:val="24"/>
        </w:rPr>
        <w:t xml:space="preserve"> obvious that approving Rider RRS</w:t>
      </w:r>
      <w:r w:rsidR="002548F8">
        <w:rPr>
          <w:rFonts w:ascii="Arial" w:hAnsi="Arial" w:cs="Arial"/>
          <w:sz w:val="24"/>
          <w:szCs w:val="24"/>
        </w:rPr>
        <w:t xml:space="preserve"> will have a significant adverse economic impact on Ohio ratepayers</w:t>
      </w:r>
      <w:r w:rsidR="002E001E">
        <w:rPr>
          <w:rFonts w:ascii="Arial" w:hAnsi="Arial" w:cs="Arial"/>
          <w:sz w:val="24"/>
          <w:szCs w:val="24"/>
        </w:rPr>
        <w:t>;</w:t>
      </w:r>
    </w:p>
    <w:p w14:paraId="7E1610CD" w14:textId="7B7A32C1" w:rsidR="001E4C45" w:rsidRDefault="004D55EC" w:rsidP="001E4C45">
      <w:pPr>
        <w:pStyle w:val="ListParagraph"/>
        <w:numPr>
          <w:ilvl w:val="0"/>
          <w:numId w:val="42"/>
        </w:numPr>
        <w:spacing w:line="480" w:lineRule="auto"/>
        <w:jc w:val="both"/>
        <w:rPr>
          <w:rFonts w:ascii="Arial" w:hAnsi="Arial" w:cs="Arial"/>
          <w:sz w:val="24"/>
          <w:szCs w:val="24"/>
        </w:rPr>
      </w:pPr>
      <w:r>
        <w:rPr>
          <w:rFonts w:ascii="Arial" w:hAnsi="Arial" w:cs="Arial"/>
          <w:sz w:val="24"/>
          <w:szCs w:val="24"/>
        </w:rPr>
        <w:t xml:space="preserve">The </w:t>
      </w:r>
      <w:r w:rsidR="00DD5E52">
        <w:rPr>
          <w:rFonts w:ascii="Arial" w:hAnsi="Arial" w:cs="Arial"/>
          <w:sz w:val="24"/>
          <w:szCs w:val="24"/>
        </w:rPr>
        <w:t>Ohio General Assembly has adopted a competitive retail electric structure and abandoned monopoly regulation as</w:t>
      </w:r>
      <w:r w:rsidR="00D140D2">
        <w:rPr>
          <w:rFonts w:ascii="Arial" w:hAnsi="Arial" w:cs="Arial"/>
          <w:sz w:val="24"/>
          <w:szCs w:val="24"/>
        </w:rPr>
        <w:t xml:space="preserve"> the</w:t>
      </w:r>
      <w:r w:rsidR="00DD5E52">
        <w:rPr>
          <w:rFonts w:ascii="Arial" w:hAnsi="Arial" w:cs="Arial"/>
          <w:sz w:val="24"/>
          <w:szCs w:val="24"/>
        </w:rPr>
        <w:t xml:space="preserve"> means to procure electric generation service.</w:t>
      </w:r>
      <w:r>
        <w:rPr>
          <w:rFonts w:ascii="Arial" w:hAnsi="Arial" w:cs="Arial"/>
          <w:sz w:val="24"/>
          <w:szCs w:val="24"/>
        </w:rPr>
        <w:t xml:space="preserve"> </w:t>
      </w:r>
      <w:r w:rsidR="00DD5E52">
        <w:rPr>
          <w:rFonts w:ascii="Arial" w:hAnsi="Arial" w:cs="Arial"/>
          <w:sz w:val="24"/>
          <w:szCs w:val="24"/>
        </w:rPr>
        <w:t>Yet the provisions in the Third Supplemental Stipulation would allow for a regression towards re</w:t>
      </w:r>
      <w:r w:rsidR="00E5405B">
        <w:rPr>
          <w:rFonts w:ascii="Arial" w:hAnsi="Arial" w:cs="Arial"/>
          <w:sz w:val="24"/>
          <w:szCs w:val="24"/>
        </w:rPr>
        <w:t>-</w:t>
      </w:r>
      <w:r w:rsidR="00DD5E52">
        <w:rPr>
          <w:rFonts w:ascii="Arial" w:hAnsi="Arial" w:cs="Arial"/>
          <w:sz w:val="24"/>
          <w:szCs w:val="24"/>
        </w:rPr>
        <w:t xml:space="preserve">regulation.  </w:t>
      </w:r>
      <w:r w:rsidR="00657B29">
        <w:rPr>
          <w:rFonts w:ascii="Arial" w:hAnsi="Arial" w:cs="Arial"/>
          <w:sz w:val="24"/>
          <w:szCs w:val="24"/>
        </w:rPr>
        <w:t xml:space="preserve">Further, </w:t>
      </w:r>
      <w:r w:rsidR="00657B29" w:rsidRPr="00952661">
        <w:rPr>
          <w:rFonts w:ascii="Arial" w:hAnsi="Arial" w:cs="Arial"/>
          <w:sz w:val="24"/>
          <w:szCs w:val="24"/>
          <w:u w:val="single"/>
        </w:rPr>
        <w:t xml:space="preserve">there are no additional provisions the Third Supplemental Stipulation that would off-set the damage done to the competitive market, or </w:t>
      </w:r>
      <w:r w:rsidR="00D140D2">
        <w:rPr>
          <w:rFonts w:ascii="Arial" w:hAnsi="Arial" w:cs="Arial"/>
          <w:sz w:val="24"/>
          <w:szCs w:val="24"/>
          <w:u w:val="single"/>
        </w:rPr>
        <w:t xml:space="preserve">that </w:t>
      </w:r>
      <w:r w:rsidR="00657B29" w:rsidRPr="00952661">
        <w:rPr>
          <w:rFonts w:ascii="Arial" w:hAnsi="Arial" w:cs="Arial"/>
          <w:sz w:val="24"/>
          <w:szCs w:val="24"/>
          <w:u w:val="single"/>
        </w:rPr>
        <w:t>otherwise can be said to benefit competition in Ohio</w:t>
      </w:r>
      <w:r w:rsidR="002337A2">
        <w:rPr>
          <w:rFonts w:ascii="Arial" w:hAnsi="Arial" w:cs="Arial"/>
          <w:sz w:val="24"/>
          <w:szCs w:val="24"/>
        </w:rPr>
        <w:t>;</w:t>
      </w:r>
      <w:r w:rsidR="00657B29">
        <w:rPr>
          <w:rFonts w:ascii="Arial" w:hAnsi="Arial" w:cs="Arial"/>
          <w:sz w:val="24"/>
          <w:szCs w:val="24"/>
        </w:rPr>
        <w:t xml:space="preserve">  </w:t>
      </w:r>
    </w:p>
    <w:p w14:paraId="31D54C53" w14:textId="595E0377" w:rsidR="005B07E6" w:rsidRDefault="00657B29" w:rsidP="001E4C45">
      <w:pPr>
        <w:pStyle w:val="ListParagraph"/>
        <w:numPr>
          <w:ilvl w:val="0"/>
          <w:numId w:val="42"/>
        </w:numPr>
        <w:spacing w:line="480" w:lineRule="auto"/>
        <w:jc w:val="both"/>
        <w:rPr>
          <w:rFonts w:ascii="Arial" w:hAnsi="Arial" w:cs="Arial"/>
          <w:sz w:val="24"/>
          <w:szCs w:val="24"/>
        </w:rPr>
      </w:pPr>
      <w:r>
        <w:rPr>
          <w:rFonts w:ascii="Arial" w:hAnsi="Arial" w:cs="Arial"/>
          <w:sz w:val="24"/>
          <w:szCs w:val="24"/>
        </w:rPr>
        <w:t xml:space="preserve">Not only is Rider RRS anti-competitive, and would thwart the will of the General Assembly, there are a number of </w:t>
      </w:r>
      <w:r w:rsidRPr="00657B29">
        <w:rPr>
          <w:rFonts w:ascii="Arial" w:hAnsi="Arial" w:cs="Arial"/>
          <w:i/>
          <w:sz w:val="24"/>
          <w:szCs w:val="24"/>
        </w:rPr>
        <w:t>additional</w:t>
      </w:r>
      <w:r>
        <w:rPr>
          <w:rFonts w:ascii="Arial" w:hAnsi="Arial" w:cs="Arial"/>
          <w:sz w:val="24"/>
          <w:szCs w:val="24"/>
        </w:rPr>
        <w:t xml:space="preserve"> provisions in the Stipulation that would harm customers by adding costs that would largely go to benefiting </w:t>
      </w:r>
      <w:r w:rsidR="00B51085">
        <w:rPr>
          <w:rFonts w:ascii="Arial" w:hAnsi="Arial" w:cs="Arial"/>
          <w:sz w:val="24"/>
          <w:szCs w:val="24"/>
        </w:rPr>
        <w:t xml:space="preserve">only </w:t>
      </w:r>
      <w:r>
        <w:rPr>
          <w:rFonts w:ascii="Arial" w:hAnsi="Arial" w:cs="Arial"/>
          <w:sz w:val="24"/>
          <w:szCs w:val="24"/>
        </w:rPr>
        <w:t>FirstEnergy.  With the additional provisions in the Stipulation, it appears that the Third Supplemental Stipulation is more lucrative for FirstEnergy than had the Commission simply approved FirstEnergy’s application as filed.</w:t>
      </w:r>
    </w:p>
    <w:p w14:paraId="0E931821" w14:textId="42A9422E" w:rsidR="008F2088" w:rsidRDefault="00657B29" w:rsidP="001A1D37">
      <w:pPr>
        <w:pStyle w:val="ListParagraph"/>
        <w:spacing w:line="480" w:lineRule="auto"/>
        <w:jc w:val="both"/>
        <w:rPr>
          <w:rFonts w:ascii="Arial" w:hAnsi="Arial" w:cs="Arial"/>
          <w:sz w:val="24"/>
          <w:szCs w:val="24"/>
        </w:rPr>
      </w:pPr>
      <w:r>
        <w:rPr>
          <w:rFonts w:ascii="Arial" w:hAnsi="Arial" w:cs="Arial"/>
          <w:sz w:val="24"/>
          <w:szCs w:val="24"/>
        </w:rPr>
        <w:t>For th</w:t>
      </w:r>
      <w:r w:rsidR="001A1D37">
        <w:rPr>
          <w:rFonts w:ascii="Arial" w:hAnsi="Arial" w:cs="Arial"/>
          <w:sz w:val="24"/>
          <w:szCs w:val="24"/>
        </w:rPr>
        <w:t>ese</w:t>
      </w:r>
      <w:r>
        <w:rPr>
          <w:rFonts w:ascii="Arial" w:hAnsi="Arial" w:cs="Arial"/>
          <w:sz w:val="24"/>
          <w:szCs w:val="24"/>
        </w:rPr>
        <w:t xml:space="preserve"> reason</w:t>
      </w:r>
      <w:r w:rsidR="00D140D2">
        <w:rPr>
          <w:rFonts w:ascii="Arial" w:hAnsi="Arial" w:cs="Arial"/>
          <w:sz w:val="24"/>
          <w:szCs w:val="24"/>
        </w:rPr>
        <w:t>s</w:t>
      </w:r>
      <w:r w:rsidR="0044188D">
        <w:rPr>
          <w:rFonts w:ascii="Arial" w:hAnsi="Arial" w:cs="Arial"/>
          <w:sz w:val="24"/>
          <w:szCs w:val="24"/>
        </w:rPr>
        <w:t>,</w:t>
      </w:r>
      <w:r w:rsidR="002548F8">
        <w:rPr>
          <w:rFonts w:ascii="Arial" w:hAnsi="Arial" w:cs="Arial"/>
          <w:sz w:val="24"/>
          <w:szCs w:val="24"/>
        </w:rPr>
        <w:t xml:space="preserve"> in my testimony</w:t>
      </w:r>
      <w:r w:rsidR="0044188D">
        <w:rPr>
          <w:rFonts w:ascii="Arial" w:hAnsi="Arial" w:cs="Arial"/>
          <w:sz w:val="24"/>
          <w:szCs w:val="24"/>
        </w:rPr>
        <w:t xml:space="preserve"> I explain that</w:t>
      </w:r>
      <w:r>
        <w:rPr>
          <w:rFonts w:ascii="Arial" w:hAnsi="Arial" w:cs="Arial"/>
          <w:sz w:val="24"/>
          <w:szCs w:val="24"/>
        </w:rPr>
        <w:t xml:space="preserve"> the Commission should not approve</w:t>
      </w:r>
      <w:r w:rsidR="0044188D">
        <w:rPr>
          <w:rFonts w:ascii="Arial" w:hAnsi="Arial" w:cs="Arial"/>
          <w:sz w:val="24"/>
          <w:szCs w:val="24"/>
        </w:rPr>
        <w:t xml:space="preserve"> </w:t>
      </w:r>
      <w:r>
        <w:rPr>
          <w:rFonts w:ascii="Arial" w:hAnsi="Arial" w:cs="Arial"/>
          <w:sz w:val="24"/>
          <w:szCs w:val="24"/>
        </w:rPr>
        <w:t>the Third Supplemental Stipulation</w:t>
      </w:r>
      <w:r w:rsidR="0044188D">
        <w:rPr>
          <w:rFonts w:ascii="Arial" w:hAnsi="Arial" w:cs="Arial"/>
          <w:sz w:val="24"/>
          <w:szCs w:val="24"/>
        </w:rPr>
        <w:t>, as it would</w:t>
      </w:r>
      <w:r w:rsidR="002548F8">
        <w:rPr>
          <w:rFonts w:ascii="Arial" w:hAnsi="Arial" w:cs="Arial"/>
          <w:sz w:val="24"/>
          <w:szCs w:val="24"/>
        </w:rPr>
        <w:t xml:space="preserve"> approve an</w:t>
      </w:r>
      <w:r w:rsidR="002E001E">
        <w:rPr>
          <w:rFonts w:ascii="Arial" w:hAnsi="Arial" w:cs="Arial"/>
          <w:sz w:val="24"/>
          <w:szCs w:val="24"/>
        </w:rPr>
        <w:t xml:space="preserve"> uneconomic and</w:t>
      </w:r>
      <w:r w:rsidR="0044188D">
        <w:rPr>
          <w:rFonts w:ascii="Arial" w:hAnsi="Arial" w:cs="Arial"/>
          <w:sz w:val="24"/>
          <w:szCs w:val="24"/>
        </w:rPr>
        <w:t xml:space="preserve"> anti-competitive Rider</w:t>
      </w:r>
      <w:r w:rsidR="002E001E">
        <w:rPr>
          <w:rFonts w:ascii="Arial" w:hAnsi="Arial" w:cs="Arial"/>
          <w:sz w:val="24"/>
          <w:szCs w:val="24"/>
        </w:rPr>
        <w:t xml:space="preserve"> RRS</w:t>
      </w:r>
      <w:r w:rsidR="00422CD9">
        <w:rPr>
          <w:rFonts w:ascii="Arial" w:hAnsi="Arial" w:cs="Arial"/>
          <w:sz w:val="24"/>
          <w:szCs w:val="24"/>
        </w:rPr>
        <w:t>. F</w:t>
      </w:r>
      <w:r w:rsidR="002E001E">
        <w:rPr>
          <w:rFonts w:ascii="Arial" w:hAnsi="Arial" w:cs="Arial"/>
          <w:sz w:val="24"/>
          <w:szCs w:val="24"/>
        </w:rPr>
        <w:t>urther</w:t>
      </w:r>
      <w:r w:rsidR="002337A2">
        <w:rPr>
          <w:rFonts w:ascii="Arial" w:hAnsi="Arial" w:cs="Arial"/>
          <w:sz w:val="24"/>
          <w:szCs w:val="24"/>
        </w:rPr>
        <w:t>,</w:t>
      </w:r>
      <w:r w:rsidR="0044188D">
        <w:rPr>
          <w:rFonts w:ascii="Arial" w:hAnsi="Arial" w:cs="Arial"/>
          <w:sz w:val="24"/>
          <w:szCs w:val="24"/>
        </w:rPr>
        <w:t xml:space="preserve"> the additional provisions in the Third Supplemental Stipulation </w:t>
      </w:r>
      <w:r w:rsidR="002E001E">
        <w:rPr>
          <w:rFonts w:ascii="Arial" w:hAnsi="Arial" w:cs="Arial"/>
          <w:sz w:val="24"/>
          <w:szCs w:val="24"/>
        </w:rPr>
        <w:t xml:space="preserve">do nothing to mitigate Rider RRS and </w:t>
      </w:r>
      <w:r w:rsidR="0044188D">
        <w:rPr>
          <w:rFonts w:ascii="Arial" w:hAnsi="Arial" w:cs="Arial"/>
          <w:sz w:val="24"/>
          <w:szCs w:val="24"/>
        </w:rPr>
        <w:t>would</w:t>
      </w:r>
      <w:r w:rsidR="002E001E">
        <w:rPr>
          <w:rFonts w:ascii="Arial" w:hAnsi="Arial" w:cs="Arial"/>
          <w:sz w:val="24"/>
          <w:szCs w:val="24"/>
        </w:rPr>
        <w:t xml:space="preserve"> actually</w:t>
      </w:r>
      <w:r w:rsidR="0044188D">
        <w:rPr>
          <w:rFonts w:ascii="Arial" w:hAnsi="Arial" w:cs="Arial"/>
          <w:sz w:val="24"/>
          <w:szCs w:val="24"/>
        </w:rPr>
        <w:t xml:space="preserve"> compound the damag</w:t>
      </w:r>
      <w:r w:rsidR="002E001E">
        <w:rPr>
          <w:rFonts w:ascii="Arial" w:hAnsi="Arial" w:cs="Arial"/>
          <w:sz w:val="24"/>
          <w:szCs w:val="24"/>
        </w:rPr>
        <w:t>e done to competitive markets and</w:t>
      </w:r>
      <w:r w:rsidR="0044188D">
        <w:rPr>
          <w:rFonts w:ascii="Arial" w:hAnsi="Arial" w:cs="Arial"/>
          <w:sz w:val="24"/>
          <w:szCs w:val="24"/>
        </w:rPr>
        <w:t xml:space="preserve"> customers</w:t>
      </w:r>
      <w:r w:rsidR="002E001E">
        <w:rPr>
          <w:rFonts w:ascii="Arial" w:hAnsi="Arial" w:cs="Arial"/>
          <w:sz w:val="24"/>
          <w:szCs w:val="24"/>
        </w:rPr>
        <w:t>.</w:t>
      </w:r>
    </w:p>
    <w:p w14:paraId="484B763E" w14:textId="60CA8242" w:rsidR="003F1212" w:rsidRPr="000565F2" w:rsidRDefault="000565F2" w:rsidP="000565F2">
      <w:pPr>
        <w:pStyle w:val="ListParagraph"/>
        <w:spacing w:line="480" w:lineRule="auto"/>
        <w:ind w:hanging="720"/>
        <w:jc w:val="both"/>
        <w:rPr>
          <w:rFonts w:ascii="Arial" w:hAnsi="Arial" w:cs="Arial"/>
          <w:b/>
          <w:sz w:val="24"/>
          <w:szCs w:val="24"/>
        </w:rPr>
      </w:pPr>
      <w:r w:rsidRPr="000565F2">
        <w:rPr>
          <w:rFonts w:ascii="Arial" w:hAnsi="Arial" w:cs="Arial"/>
          <w:b/>
          <w:sz w:val="24"/>
          <w:szCs w:val="24"/>
        </w:rPr>
        <w:t>Q.</w:t>
      </w:r>
      <w:r w:rsidRPr="000565F2">
        <w:rPr>
          <w:rFonts w:ascii="Arial" w:hAnsi="Arial" w:cs="Arial"/>
          <w:b/>
          <w:sz w:val="24"/>
          <w:szCs w:val="24"/>
        </w:rPr>
        <w:tab/>
        <w:t>I</w:t>
      </w:r>
      <w:r>
        <w:rPr>
          <w:rFonts w:ascii="Arial" w:hAnsi="Arial" w:cs="Arial"/>
          <w:b/>
          <w:sz w:val="24"/>
          <w:szCs w:val="24"/>
        </w:rPr>
        <w:t xml:space="preserve">f the Commission </w:t>
      </w:r>
      <w:r w:rsidRPr="000565F2">
        <w:rPr>
          <w:rFonts w:ascii="Arial" w:hAnsi="Arial" w:cs="Arial"/>
          <w:b/>
          <w:sz w:val="24"/>
          <w:szCs w:val="24"/>
        </w:rPr>
        <w:t>approve</w:t>
      </w:r>
      <w:r>
        <w:rPr>
          <w:rFonts w:ascii="Arial" w:hAnsi="Arial" w:cs="Arial"/>
          <w:b/>
          <w:sz w:val="24"/>
          <w:szCs w:val="24"/>
        </w:rPr>
        <w:t>s</w:t>
      </w:r>
      <w:r w:rsidRPr="000565F2">
        <w:rPr>
          <w:rFonts w:ascii="Arial" w:hAnsi="Arial" w:cs="Arial"/>
          <w:b/>
          <w:sz w:val="24"/>
          <w:szCs w:val="24"/>
        </w:rPr>
        <w:t xml:space="preserve"> the Third Supplemental Stipulation</w:t>
      </w:r>
      <w:r w:rsidR="003F1212">
        <w:rPr>
          <w:rFonts w:ascii="Arial" w:hAnsi="Arial" w:cs="Arial"/>
          <w:b/>
          <w:sz w:val="24"/>
          <w:szCs w:val="24"/>
        </w:rPr>
        <w:t>,</w:t>
      </w:r>
      <w:r w:rsidRPr="000565F2">
        <w:rPr>
          <w:rFonts w:ascii="Arial" w:hAnsi="Arial" w:cs="Arial"/>
          <w:b/>
          <w:sz w:val="24"/>
          <w:szCs w:val="24"/>
        </w:rPr>
        <w:t xml:space="preserve"> are there modifications to the ESP that you recommend?</w:t>
      </w:r>
    </w:p>
    <w:p w14:paraId="31CE9AEA" w14:textId="2B59E19A" w:rsidR="003F1212" w:rsidRDefault="000565F2" w:rsidP="000565F2">
      <w:pPr>
        <w:pStyle w:val="ListParagraph"/>
        <w:spacing w:line="480" w:lineRule="auto"/>
        <w:ind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Yes.  In my Direct Testimony filed in this proceeding</w:t>
      </w:r>
      <w:r w:rsidR="002337A2">
        <w:rPr>
          <w:rFonts w:ascii="Arial" w:hAnsi="Arial" w:cs="Arial"/>
          <w:sz w:val="24"/>
          <w:szCs w:val="24"/>
        </w:rPr>
        <w:t>,</w:t>
      </w:r>
      <w:r>
        <w:rPr>
          <w:rFonts w:ascii="Arial" w:hAnsi="Arial" w:cs="Arial"/>
          <w:sz w:val="24"/>
          <w:szCs w:val="24"/>
        </w:rPr>
        <w:t xml:space="preserve"> I recommended that the Commission approve a number of retail electric enhancements that would mitigate the impact of</w:t>
      </w:r>
      <w:r w:rsidR="003B68BC">
        <w:rPr>
          <w:rFonts w:ascii="Arial" w:hAnsi="Arial" w:cs="Arial"/>
          <w:sz w:val="24"/>
          <w:szCs w:val="24"/>
        </w:rPr>
        <w:t xml:space="preserve"> anti-competitive elements in</w:t>
      </w:r>
      <w:r w:rsidR="003F1212">
        <w:rPr>
          <w:rFonts w:ascii="Arial" w:hAnsi="Arial" w:cs="Arial"/>
          <w:sz w:val="24"/>
          <w:szCs w:val="24"/>
        </w:rPr>
        <w:t xml:space="preserve"> FirstEnergy’s ESP application. </w:t>
      </w:r>
      <w:r>
        <w:rPr>
          <w:rFonts w:ascii="Arial" w:hAnsi="Arial" w:cs="Arial"/>
          <w:sz w:val="24"/>
          <w:szCs w:val="24"/>
        </w:rPr>
        <w:t xml:space="preserve">Specifically I recommended: </w:t>
      </w:r>
    </w:p>
    <w:p w14:paraId="17E30908" w14:textId="7779D7AB" w:rsidR="003F1212" w:rsidRPr="007C1CBD" w:rsidRDefault="003F1212" w:rsidP="003F1212">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Unbundling SSO costs that are recovered through distribution rates and charge the SSO all costs required to provide retail electric service in the market as required by Ohio statute;</w:t>
      </w:r>
    </w:p>
    <w:p w14:paraId="7BDE2A08" w14:textId="28DB22BF" w:rsidR="003F1212" w:rsidRPr="005C50FB" w:rsidRDefault="003F1212" w:rsidP="003F1212">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 xml:space="preserve"> Requiring FirstEnergy to end its </w:t>
      </w:r>
      <w:r w:rsidR="00D140D2">
        <w:rPr>
          <w:rFonts w:ascii="Arial" w:hAnsi="Arial" w:cs="Arial"/>
          <w:sz w:val="24"/>
          <w:szCs w:val="24"/>
        </w:rPr>
        <w:t xml:space="preserve">discriminatory practice of </w:t>
      </w:r>
      <w:r>
        <w:rPr>
          <w:rFonts w:ascii="Arial" w:hAnsi="Arial" w:cs="Arial"/>
          <w:sz w:val="24"/>
          <w:szCs w:val="24"/>
        </w:rPr>
        <w:t>allowing</w:t>
      </w:r>
      <w:r w:rsidR="00D140D2">
        <w:rPr>
          <w:rFonts w:ascii="Arial" w:hAnsi="Arial" w:cs="Arial"/>
          <w:sz w:val="24"/>
          <w:szCs w:val="24"/>
        </w:rPr>
        <w:t xml:space="preserve"> only</w:t>
      </w:r>
      <w:r>
        <w:rPr>
          <w:rFonts w:ascii="Arial" w:hAnsi="Arial" w:cs="Arial"/>
          <w:sz w:val="24"/>
          <w:szCs w:val="24"/>
        </w:rPr>
        <w:t xml:space="preserve"> select third party companies to bill for non-commodity charges on the electric distribution (“EDU”) bill, and allow</w:t>
      </w:r>
      <w:r w:rsidR="002337A2">
        <w:rPr>
          <w:rFonts w:ascii="Arial" w:hAnsi="Arial" w:cs="Arial"/>
          <w:sz w:val="24"/>
          <w:szCs w:val="24"/>
        </w:rPr>
        <w:t xml:space="preserve"> </w:t>
      </w:r>
      <w:r>
        <w:rPr>
          <w:rFonts w:ascii="Arial" w:hAnsi="Arial" w:cs="Arial"/>
          <w:sz w:val="24"/>
          <w:szCs w:val="24"/>
        </w:rPr>
        <w:t>CRES providers to also bill for non-commodity charges on the  EDU bill;</w:t>
      </w:r>
    </w:p>
    <w:p w14:paraId="14FF629B" w14:textId="786FFBC5" w:rsidR="003F1212" w:rsidRPr="002E001E" w:rsidRDefault="003F1212" w:rsidP="003F1212">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Start</w:t>
      </w:r>
      <w:r w:rsidR="00D140D2">
        <w:rPr>
          <w:rFonts w:ascii="Arial" w:hAnsi="Arial" w:cs="Arial"/>
          <w:sz w:val="24"/>
          <w:szCs w:val="24"/>
        </w:rPr>
        <w:t>ing</w:t>
      </w:r>
      <w:r>
        <w:rPr>
          <w:rFonts w:ascii="Arial" w:hAnsi="Arial" w:cs="Arial"/>
          <w:sz w:val="24"/>
          <w:szCs w:val="24"/>
        </w:rPr>
        <w:t xml:space="preserve"> a process to initiate supplier consolidated billing (“SCB”) that would allow CRES providers to issue a consolidated bill directly to the customers that includes generation charges and distribution charges.</w:t>
      </w:r>
    </w:p>
    <w:p w14:paraId="3781162D" w14:textId="407DD7F6" w:rsidR="000565F2" w:rsidRDefault="003F1212" w:rsidP="000565F2">
      <w:pPr>
        <w:pStyle w:val="ListParagraph"/>
        <w:spacing w:line="480" w:lineRule="auto"/>
        <w:ind w:hanging="720"/>
        <w:jc w:val="both"/>
        <w:rPr>
          <w:rFonts w:ascii="Arial" w:hAnsi="Arial" w:cs="Arial"/>
          <w:sz w:val="24"/>
          <w:szCs w:val="24"/>
        </w:rPr>
      </w:pPr>
      <w:r>
        <w:rPr>
          <w:rFonts w:ascii="Arial" w:hAnsi="Arial" w:cs="Arial"/>
          <w:sz w:val="24"/>
          <w:szCs w:val="24"/>
        </w:rPr>
        <w:tab/>
        <w:t>If the Commission approves the Stipulation, I recommend that at a minimum the Commission also approve the retail enhancements described in my testimony to mitigate the adverse impact the Third Supplemental Stipulation will have on competitive markets and customers.</w:t>
      </w:r>
    </w:p>
    <w:p w14:paraId="31800932" w14:textId="77777777" w:rsidR="00CA21D6" w:rsidRDefault="008F2088" w:rsidP="003A63D8">
      <w:pPr>
        <w:spacing w:line="480" w:lineRule="auto"/>
        <w:ind w:left="720" w:hanging="720"/>
        <w:jc w:val="both"/>
        <w:rPr>
          <w:rFonts w:ascii="Arial" w:hAnsi="Arial" w:cs="Arial"/>
          <w:b/>
          <w:sz w:val="24"/>
          <w:szCs w:val="24"/>
          <w:u w:val="single"/>
        </w:rPr>
      </w:pPr>
      <w:r w:rsidRPr="008F2088">
        <w:rPr>
          <w:rFonts w:ascii="Arial" w:hAnsi="Arial" w:cs="Arial"/>
          <w:b/>
          <w:sz w:val="24"/>
          <w:szCs w:val="24"/>
        </w:rPr>
        <w:t xml:space="preserve">II. </w:t>
      </w:r>
      <w:r w:rsidRPr="008F2088">
        <w:rPr>
          <w:rFonts w:ascii="Arial" w:hAnsi="Arial" w:cs="Arial"/>
          <w:b/>
          <w:sz w:val="24"/>
          <w:szCs w:val="24"/>
        </w:rPr>
        <w:tab/>
      </w:r>
      <w:r w:rsidRPr="00842893">
        <w:rPr>
          <w:rFonts w:ascii="Arial" w:hAnsi="Arial" w:cs="Arial"/>
          <w:b/>
          <w:sz w:val="24"/>
          <w:szCs w:val="24"/>
          <w:u w:val="single"/>
        </w:rPr>
        <w:t>TESTIMONY</w:t>
      </w:r>
    </w:p>
    <w:p w14:paraId="194A18C7" w14:textId="7F3614A7" w:rsidR="00FE0177" w:rsidRDefault="00CB0752" w:rsidP="003A63D8">
      <w:pPr>
        <w:spacing w:line="480" w:lineRule="auto"/>
        <w:ind w:left="720" w:hanging="720"/>
        <w:jc w:val="both"/>
        <w:rPr>
          <w:rFonts w:ascii="Arial" w:hAnsi="Arial" w:cs="Arial"/>
          <w:b/>
          <w:sz w:val="24"/>
          <w:szCs w:val="24"/>
          <w:u w:val="single"/>
        </w:rPr>
      </w:pPr>
      <w:r>
        <w:rPr>
          <w:rFonts w:ascii="Arial" w:hAnsi="Arial" w:cs="Arial"/>
          <w:b/>
          <w:sz w:val="24"/>
          <w:szCs w:val="24"/>
        </w:rPr>
        <w:t>1</w:t>
      </w:r>
      <w:r w:rsidR="006B1E63">
        <w:rPr>
          <w:rFonts w:ascii="Arial" w:hAnsi="Arial" w:cs="Arial"/>
          <w:b/>
          <w:sz w:val="24"/>
          <w:szCs w:val="24"/>
        </w:rPr>
        <w:t>.</w:t>
      </w:r>
      <w:r w:rsidR="00CA21D6">
        <w:rPr>
          <w:rFonts w:ascii="Arial" w:hAnsi="Arial" w:cs="Arial"/>
          <w:b/>
          <w:sz w:val="24"/>
          <w:szCs w:val="24"/>
        </w:rPr>
        <w:tab/>
        <w:t>The Economics of Rider RRS Continue to Get Worse</w:t>
      </w:r>
      <w:r w:rsidR="003F1212">
        <w:rPr>
          <w:rFonts w:ascii="Arial" w:hAnsi="Arial" w:cs="Arial"/>
          <w:b/>
          <w:sz w:val="24"/>
          <w:szCs w:val="24"/>
        </w:rPr>
        <w:t xml:space="preserve"> </w:t>
      </w:r>
    </w:p>
    <w:p w14:paraId="3745759A" w14:textId="5123B58A" w:rsidR="00CA21D6" w:rsidRDefault="00CA21D6" w:rsidP="003A63D8">
      <w:pPr>
        <w:spacing w:line="480" w:lineRule="auto"/>
        <w:ind w:left="720" w:hanging="720"/>
        <w:jc w:val="both"/>
        <w:rPr>
          <w:rFonts w:ascii="Arial" w:hAnsi="Arial" w:cs="Arial"/>
          <w:b/>
          <w:sz w:val="24"/>
          <w:szCs w:val="24"/>
        </w:rPr>
      </w:pPr>
      <w:r>
        <w:rPr>
          <w:rFonts w:ascii="Arial" w:hAnsi="Arial" w:cs="Arial"/>
          <w:b/>
          <w:sz w:val="24"/>
          <w:szCs w:val="24"/>
        </w:rPr>
        <w:t>Q.</w:t>
      </w:r>
      <w:r>
        <w:rPr>
          <w:rFonts w:ascii="Arial" w:hAnsi="Arial" w:cs="Arial"/>
          <w:b/>
          <w:sz w:val="24"/>
          <w:szCs w:val="24"/>
        </w:rPr>
        <w:tab/>
        <w:t>Have natural gas trends over the last year harmed the economics of Rider RRS for customers?</w:t>
      </w:r>
    </w:p>
    <w:p w14:paraId="4700372F" w14:textId="79D0D2B3" w:rsidR="006B1E63" w:rsidRDefault="00CA21D6" w:rsidP="003A63D8">
      <w:pPr>
        <w:spacing w:line="480" w:lineRule="auto"/>
        <w:ind w:left="720" w:hanging="720"/>
        <w:jc w:val="both"/>
        <w:rPr>
          <w:rFonts w:ascii="Arial" w:hAnsi="Arial" w:cs="Arial"/>
          <w:sz w:val="24"/>
          <w:szCs w:val="24"/>
        </w:rPr>
      </w:pPr>
      <w:r w:rsidRPr="00CA21D6">
        <w:rPr>
          <w:rFonts w:ascii="Arial" w:hAnsi="Arial" w:cs="Arial"/>
          <w:sz w:val="24"/>
          <w:szCs w:val="24"/>
        </w:rPr>
        <w:lastRenderedPageBreak/>
        <w:t>A.</w:t>
      </w:r>
      <w:r>
        <w:rPr>
          <w:rFonts w:ascii="Arial" w:hAnsi="Arial" w:cs="Arial"/>
          <w:b/>
          <w:sz w:val="24"/>
          <w:szCs w:val="24"/>
        </w:rPr>
        <w:tab/>
      </w:r>
      <w:r w:rsidRPr="00CA21D6">
        <w:rPr>
          <w:rFonts w:ascii="Arial" w:hAnsi="Arial" w:cs="Arial"/>
          <w:sz w:val="24"/>
          <w:szCs w:val="24"/>
        </w:rPr>
        <w:t>Yes.</w:t>
      </w:r>
      <w:r>
        <w:rPr>
          <w:rFonts w:ascii="Arial" w:hAnsi="Arial" w:cs="Arial"/>
          <w:b/>
          <w:sz w:val="24"/>
          <w:szCs w:val="24"/>
        </w:rPr>
        <w:t xml:space="preserve">  </w:t>
      </w:r>
      <w:r w:rsidRPr="001C4B50">
        <w:rPr>
          <w:rFonts w:ascii="Arial" w:hAnsi="Arial" w:cs="Arial"/>
          <w:sz w:val="24"/>
          <w:szCs w:val="24"/>
        </w:rPr>
        <w:t>The marginal price of electricity is often set by the price of gas fired generation. Further, the price of gas electric generation is highly correlated with the price of natural gas. Thus, there is a strong correlation between natural gas prices and electric prices.</w:t>
      </w:r>
      <w:r>
        <w:rPr>
          <w:rFonts w:ascii="Arial" w:hAnsi="Arial" w:cs="Arial"/>
          <w:sz w:val="24"/>
          <w:szCs w:val="24"/>
        </w:rPr>
        <w:t xml:space="preserve"> Even since FirstEnergy has filed its original</w:t>
      </w:r>
      <w:r w:rsidR="00422CD9">
        <w:rPr>
          <w:rFonts w:ascii="Arial" w:hAnsi="Arial" w:cs="Arial"/>
          <w:sz w:val="24"/>
          <w:szCs w:val="24"/>
        </w:rPr>
        <w:t xml:space="preserve"> ESP</w:t>
      </w:r>
      <w:r>
        <w:rPr>
          <w:rFonts w:ascii="Arial" w:hAnsi="Arial" w:cs="Arial"/>
          <w:sz w:val="24"/>
          <w:szCs w:val="24"/>
        </w:rPr>
        <w:t xml:space="preserve"> Application, natural gas production</w:t>
      </w:r>
      <w:r w:rsidR="0010162C">
        <w:rPr>
          <w:rFonts w:ascii="Arial" w:hAnsi="Arial" w:cs="Arial"/>
          <w:sz w:val="24"/>
          <w:szCs w:val="24"/>
        </w:rPr>
        <w:t xml:space="preserve"> in the reg</w:t>
      </w:r>
      <w:r w:rsidR="00422CD9">
        <w:rPr>
          <w:rFonts w:ascii="Arial" w:hAnsi="Arial" w:cs="Arial"/>
          <w:sz w:val="24"/>
          <w:szCs w:val="24"/>
        </w:rPr>
        <w:t>ion</w:t>
      </w:r>
      <w:r w:rsidR="0010162C">
        <w:rPr>
          <w:rFonts w:ascii="Arial" w:hAnsi="Arial" w:cs="Arial"/>
          <w:sz w:val="24"/>
          <w:szCs w:val="24"/>
        </w:rPr>
        <w:t xml:space="preserve"> has continued to increase and</w:t>
      </w:r>
      <w:r>
        <w:rPr>
          <w:rFonts w:ascii="Arial" w:hAnsi="Arial" w:cs="Arial"/>
          <w:sz w:val="24"/>
          <w:szCs w:val="24"/>
        </w:rPr>
        <w:t xml:space="preserve"> natural gas prices have</w:t>
      </w:r>
      <w:r w:rsidR="00422CD9">
        <w:rPr>
          <w:rFonts w:ascii="Arial" w:hAnsi="Arial" w:cs="Arial"/>
          <w:sz w:val="24"/>
          <w:szCs w:val="24"/>
        </w:rPr>
        <w:t xml:space="preserve"> continued to decline. T</w:t>
      </w:r>
      <w:r>
        <w:rPr>
          <w:rFonts w:ascii="Arial" w:hAnsi="Arial" w:cs="Arial"/>
          <w:sz w:val="24"/>
          <w:szCs w:val="24"/>
        </w:rPr>
        <w:t>he</w:t>
      </w:r>
      <w:r w:rsidR="00422CD9">
        <w:rPr>
          <w:rFonts w:ascii="Arial" w:hAnsi="Arial" w:cs="Arial"/>
          <w:sz w:val="24"/>
          <w:szCs w:val="24"/>
        </w:rPr>
        <w:t>se trends have led to</w:t>
      </w:r>
      <w:r>
        <w:rPr>
          <w:rFonts w:ascii="Arial" w:hAnsi="Arial" w:cs="Arial"/>
          <w:sz w:val="24"/>
          <w:szCs w:val="24"/>
        </w:rPr>
        <w:t xml:space="preserve"> </w:t>
      </w:r>
      <w:r w:rsidR="00422CD9">
        <w:rPr>
          <w:rFonts w:ascii="Arial" w:hAnsi="Arial" w:cs="Arial"/>
          <w:sz w:val="24"/>
          <w:szCs w:val="24"/>
        </w:rPr>
        <w:t>a fundamental and lasting shift</w:t>
      </w:r>
      <w:r>
        <w:rPr>
          <w:rFonts w:ascii="Arial" w:hAnsi="Arial" w:cs="Arial"/>
          <w:sz w:val="24"/>
          <w:szCs w:val="24"/>
        </w:rPr>
        <w:t xml:space="preserve"> away from coal and nuclear generation, towards natura</w:t>
      </w:r>
      <w:r w:rsidR="00875D26">
        <w:rPr>
          <w:rFonts w:ascii="Arial" w:hAnsi="Arial" w:cs="Arial"/>
          <w:sz w:val="24"/>
          <w:szCs w:val="24"/>
        </w:rPr>
        <w:t>l gas generation.  Thus</w:t>
      </w:r>
      <w:r w:rsidR="002337A2">
        <w:rPr>
          <w:rFonts w:ascii="Arial" w:hAnsi="Arial" w:cs="Arial"/>
          <w:sz w:val="24"/>
          <w:szCs w:val="24"/>
        </w:rPr>
        <w:t>,</w:t>
      </w:r>
      <w:r w:rsidR="00875D26">
        <w:rPr>
          <w:rFonts w:ascii="Arial" w:hAnsi="Arial" w:cs="Arial"/>
          <w:sz w:val="24"/>
          <w:szCs w:val="24"/>
        </w:rPr>
        <w:t xml:space="preserve"> approval of Rider RRS </w:t>
      </w:r>
      <w:r w:rsidR="006B1E63">
        <w:rPr>
          <w:rFonts w:ascii="Arial" w:hAnsi="Arial" w:cs="Arial"/>
          <w:sz w:val="24"/>
          <w:szCs w:val="24"/>
        </w:rPr>
        <w:t>would force FirstEnergy ratepayers to place a giant long-term bet on coal and nuclear generation when i</w:t>
      </w:r>
      <w:r w:rsidR="00D140D2">
        <w:rPr>
          <w:rFonts w:ascii="Arial" w:hAnsi="Arial" w:cs="Arial"/>
          <w:sz w:val="24"/>
          <w:szCs w:val="24"/>
        </w:rPr>
        <w:t xml:space="preserve">t is becoming increasingly </w:t>
      </w:r>
      <w:r w:rsidR="006B1E63">
        <w:rPr>
          <w:rFonts w:ascii="Arial" w:hAnsi="Arial" w:cs="Arial"/>
          <w:sz w:val="24"/>
          <w:szCs w:val="24"/>
        </w:rPr>
        <w:t>obvious that this type of generation (particularly coal) is, and will be, uneconomical for</w:t>
      </w:r>
      <w:r w:rsidR="002548F8">
        <w:rPr>
          <w:rFonts w:ascii="Arial" w:hAnsi="Arial" w:cs="Arial"/>
          <w:sz w:val="24"/>
          <w:szCs w:val="24"/>
        </w:rPr>
        <w:t xml:space="preserve"> the life of Rider RRS.  </w:t>
      </w:r>
    </w:p>
    <w:p w14:paraId="46570BA7" w14:textId="77777777" w:rsidR="006B1E63" w:rsidRPr="0099147D" w:rsidRDefault="006B1E63" w:rsidP="006B1E63">
      <w:pPr>
        <w:spacing w:line="480" w:lineRule="auto"/>
        <w:ind w:left="720" w:hanging="720"/>
        <w:jc w:val="both"/>
        <w:rPr>
          <w:rFonts w:ascii="Arial" w:hAnsi="Arial" w:cs="Arial"/>
          <w:b/>
          <w:sz w:val="24"/>
          <w:szCs w:val="24"/>
        </w:rPr>
      </w:pPr>
      <w:r w:rsidRPr="0099147D">
        <w:rPr>
          <w:rFonts w:ascii="Arial" w:hAnsi="Arial" w:cs="Arial"/>
          <w:b/>
          <w:sz w:val="24"/>
          <w:szCs w:val="24"/>
        </w:rPr>
        <w:t>Q.</w:t>
      </w:r>
      <w:r w:rsidRPr="0099147D">
        <w:rPr>
          <w:rFonts w:ascii="Arial" w:hAnsi="Arial" w:cs="Arial"/>
          <w:b/>
          <w:sz w:val="24"/>
          <w:szCs w:val="24"/>
        </w:rPr>
        <w:tab/>
        <w:t>Is your company familiar with the natural gas markets in Ohio?</w:t>
      </w:r>
    </w:p>
    <w:p w14:paraId="4F2B5EB4" w14:textId="0D51C0AD" w:rsidR="006B1E63" w:rsidRDefault="006B1E63" w:rsidP="003A63D8">
      <w:pPr>
        <w:spacing w:line="480" w:lineRule="auto"/>
        <w:ind w:left="720" w:hanging="720"/>
        <w:jc w:val="both"/>
        <w:rPr>
          <w:rFonts w:ascii="Arial" w:hAnsi="Arial" w:cs="Arial"/>
          <w:sz w:val="24"/>
          <w:szCs w:val="24"/>
        </w:rPr>
      </w:pPr>
      <w:r w:rsidRPr="0099147D">
        <w:rPr>
          <w:rFonts w:ascii="Arial" w:hAnsi="Arial" w:cs="Arial"/>
          <w:sz w:val="24"/>
          <w:szCs w:val="24"/>
        </w:rPr>
        <w:t>A.</w:t>
      </w:r>
      <w:r w:rsidRPr="0099147D">
        <w:rPr>
          <w:rFonts w:ascii="Arial" w:hAnsi="Arial" w:cs="Arial"/>
          <w:sz w:val="24"/>
          <w:szCs w:val="24"/>
        </w:rPr>
        <w:tab/>
        <w:t>Yes.  IGS has been buying and selling natural gas in Ohio for over 25 years.  In the mid-1980s</w:t>
      </w:r>
      <w:r w:rsidR="002337A2">
        <w:rPr>
          <w:rFonts w:ascii="Arial" w:hAnsi="Arial" w:cs="Arial"/>
          <w:sz w:val="24"/>
          <w:szCs w:val="24"/>
        </w:rPr>
        <w:t>,</w:t>
      </w:r>
      <w:r w:rsidRPr="0099147D">
        <w:rPr>
          <w:rFonts w:ascii="Arial" w:hAnsi="Arial" w:cs="Arial"/>
          <w:sz w:val="24"/>
          <w:szCs w:val="24"/>
        </w:rPr>
        <w:t xml:space="preserve"> IGS started out as a natural gas supplier selling to large industrial customers in Ohio.  IGS has since expanded its geographic footprint and now sells natural gas in multiple states throughout the Midwest and other areas of the country to residential, commercial</w:t>
      </w:r>
      <w:r w:rsidR="002337A2">
        <w:rPr>
          <w:rFonts w:ascii="Arial" w:hAnsi="Arial" w:cs="Arial"/>
          <w:sz w:val="24"/>
          <w:szCs w:val="24"/>
        </w:rPr>
        <w:t>,</w:t>
      </w:r>
      <w:r w:rsidRPr="0099147D">
        <w:rPr>
          <w:rFonts w:ascii="Arial" w:hAnsi="Arial" w:cs="Arial"/>
          <w:sz w:val="24"/>
          <w:szCs w:val="24"/>
        </w:rPr>
        <w:t xml:space="preserve"> and industrial customers. IGS also has extensive experience buying, selling, transporting, and storing natural gas on pipelines throughout the Northeast, Midwest, and Gulf regions.</w:t>
      </w:r>
    </w:p>
    <w:p w14:paraId="71A978FE" w14:textId="7CDCC38D" w:rsidR="002E001E" w:rsidRPr="002E001E" w:rsidRDefault="002E001E" w:rsidP="003A63D8">
      <w:pPr>
        <w:spacing w:line="480" w:lineRule="auto"/>
        <w:ind w:left="720" w:hanging="720"/>
        <w:jc w:val="both"/>
        <w:rPr>
          <w:rFonts w:ascii="Arial" w:hAnsi="Arial" w:cs="Arial"/>
          <w:b/>
          <w:sz w:val="24"/>
          <w:szCs w:val="24"/>
        </w:rPr>
      </w:pPr>
      <w:r w:rsidRPr="002E001E">
        <w:rPr>
          <w:rFonts w:ascii="Arial" w:hAnsi="Arial" w:cs="Arial"/>
          <w:b/>
          <w:sz w:val="24"/>
          <w:szCs w:val="24"/>
        </w:rPr>
        <w:t>Q.</w:t>
      </w:r>
      <w:r w:rsidRPr="002E001E">
        <w:rPr>
          <w:rFonts w:ascii="Arial" w:hAnsi="Arial" w:cs="Arial"/>
          <w:b/>
          <w:sz w:val="24"/>
          <w:szCs w:val="24"/>
        </w:rPr>
        <w:tab/>
        <w:t>Can you summarize the trends</w:t>
      </w:r>
      <w:r w:rsidR="00422CD9">
        <w:rPr>
          <w:rFonts w:ascii="Arial" w:hAnsi="Arial" w:cs="Arial"/>
          <w:b/>
          <w:sz w:val="24"/>
          <w:szCs w:val="24"/>
        </w:rPr>
        <w:t xml:space="preserve"> in the Ohio natural gas market</w:t>
      </w:r>
      <w:r w:rsidR="00305502">
        <w:rPr>
          <w:rFonts w:ascii="Arial" w:hAnsi="Arial" w:cs="Arial"/>
          <w:b/>
          <w:sz w:val="24"/>
          <w:szCs w:val="24"/>
        </w:rPr>
        <w:t xml:space="preserve"> that </w:t>
      </w:r>
      <w:r w:rsidR="00DB2336">
        <w:rPr>
          <w:rFonts w:ascii="Arial" w:hAnsi="Arial" w:cs="Arial"/>
          <w:b/>
          <w:sz w:val="24"/>
          <w:szCs w:val="24"/>
        </w:rPr>
        <w:t xml:space="preserve">have </w:t>
      </w:r>
      <w:r w:rsidR="00DB2336" w:rsidRPr="002E001E">
        <w:rPr>
          <w:rFonts w:ascii="Arial" w:hAnsi="Arial" w:cs="Arial"/>
          <w:b/>
          <w:sz w:val="24"/>
          <w:szCs w:val="24"/>
        </w:rPr>
        <w:t>intensified</w:t>
      </w:r>
      <w:r w:rsidRPr="002E001E">
        <w:rPr>
          <w:rFonts w:ascii="Arial" w:hAnsi="Arial" w:cs="Arial"/>
          <w:b/>
          <w:sz w:val="24"/>
          <w:szCs w:val="24"/>
        </w:rPr>
        <w:t xml:space="preserve"> over the last two years?</w:t>
      </w:r>
    </w:p>
    <w:p w14:paraId="065953C3" w14:textId="57F0D0D6" w:rsidR="002E001E" w:rsidRDefault="002E001E" w:rsidP="003A63D8">
      <w:pPr>
        <w:spacing w:line="480" w:lineRule="auto"/>
        <w:ind w:left="720"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Yes.  Put simply, </w:t>
      </w:r>
      <w:r w:rsidR="00097035">
        <w:rPr>
          <w:rFonts w:ascii="Arial" w:hAnsi="Arial" w:cs="Arial"/>
          <w:sz w:val="24"/>
          <w:szCs w:val="24"/>
        </w:rPr>
        <w:t xml:space="preserve">with the development of horizontal drilling </w:t>
      </w:r>
      <w:r w:rsidR="00823471">
        <w:rPr>
          <w:rFonts w:ascii="Arial" w:hAnsi="Arial" w:cs="Arial"/>
          <w:sz w:val="24"/>
          <w:szCs w:val="24"/>
        </w:rPr>
        <w:t>and hydraulic fra</w:t>
      </w:r>
      <w:r w:rsidR="005C6447">
        <w:rPr>
          <w:rFonts w:ascii="Arial" w:hAnsi="Arial" w:cs="Arial"/>
          <w:sz w:val="24"/>
          <w:szCs w:val="24"/>
        </w:rPr>
        <w:t>c</w:t>
      </w:r>
      <w:r w:rsidR="00823471">
        <w:rPr>
          <w:rFonts w:ascii="Arial" w:hAnsi="Arial" w:cs="Arial"/>
          <w:sz w:val="24"/>
          <w:szCs w:val="24"/>
        </w:rPr>
        <w:t>king technologies</w:t>
      </w:r>
      <w:r w:rsidR="002337A2">
        <w:rPr>
          <w:rFonts w:ascii="Arial" w:hAnsi="Arial" w:cs="Arial"/>
          <w:sz w:val="24"/>
          <w:szCs w:val="24"/>
        </w:rPr>
        <w:t>,</w:t>
      </w:r>
      <w:r w:rsidR="00823471">
        <w:rPr>
          <w:rFonts w:ascii="Arial" w:hAnsi="Arial" w:cs="Arial"/>
          <w:sz w:val="24"/>
          <w:szCs w:val="24"/>
        </w:rPr>
        <w:t xml:space="preserve"> n</w:t>
      </w:r>
      <w:r>
        <w:rPr>
          <w:rFonts w:ascii="Arial" w:hAnsi="Arial" w:cs="Arial"/>
          <w:sz w:val="24"/>
          <w:szCs w:val="24"/>
        </w:rPr>
        <w:t xml:space="preserve">atural gas in our region </w:t>
      </w:r>
      <w:r w:rsidR="002548F8">
        <w:rPr>
          <w:rFonts w:ascii="Arial" w:hAnsi="Arial" w:cs="Arial"/>
          <w:sz w:val="24"/>
          <w:szCs w:val="24"/>
        </w:rPr>
        <w:t>has become</w:t>
      </w:r>
      <w:r>
        <w:rPr>
          <w:rFonts w:ascii="Arial" w:hAnsi="Arial" w:cs="Arial"/>
          <w:sz w:val="24"/>
          <w:szCs w:val="24"/>
        </w:rPr>
        <w:t xml:space="preserve"> s</w:t>
      </w:r>
      <w:r w:rsidR="007E79C7">
        <w:rPr>
          <w:rFonts w:ascii="Arial" w:hAnsi="Arial" w:cs="Arial"/>
          <w:sz w:val="24"/>
          <w:szCs w:val="24"/>
        </w:rPr>
        <w:t>ignificantly more abundant, much less costly to extract, and</w:t>
      </w:r>
      <w:r w:rsidR="00D140D2">
        <w:rPr>
          <w:rFonts w:ascii="Arial" w:hAnsi="Arial" w:cs="Arial"/>
          <w:sz w:val="24"/>
          <w:szCs w:val="24"/>
        </w:rPr>
        <w:t xml:space="preserve"> increasingly </w:t>
      </w:r>
      <w:r w:rsidR="00875D26">
        <w:rPr>
          <w:rFonts w:ascii="Arial" w:hAnsi="Arial" w:cs="Arial"/>
          <w:sz w:val="24"/>
          <w:szCs w:val="24"/>
        </w:rPr>
        <w:t>accessible</w:t>
      </w:r>
      <w:r w:rsidR="007E79C7">
        <w:rPr>
          <w:rFonts w:ascii="Arial" w:hAnsi="Arial" w:cs="Arial"/>
          <w:sz w:val="24"/>
          <w:szCs w:val="24"/>
        </w:rPr>
        <w:t xml:space="preserve">.  This fundamental shift in </w:t>
      </w:r>
      <w:r w:rsidR="00EC131E">
        <w:rPr>
          <w:rFonts w:ascii="Arial" w:hAnsi="Arial" w:cs="Arial"/>
          <w:sz w:val="24"/>
          <w:szCs w:val="24"/>
        </w:rPr>
        <w:t>the natural gas markets has resulted in lower</w:t>
      </w:r>
      <w:r w:rsidR="007E79C7">
        <w:rPr>
          <w:rFonts w:ascii="Arial" w:hAnsi="Arial" w:cs="Arial"/>
          <w:sz w:val="24"/>
          <w:szCs w:val="24"/>
        </w:rPr>
        <w:t xml:space="preserve"> natural gas </w:t>
      </w:r>
      <w:r w:rsidR="00EC131E">
        <w:rPr>
          <w:rFonts w:ascii="Arial" w:hAnsi="Arial" w:cs="Arial"/>
          <w:sz w:val="24"/>
          <w:szCs w:val="24"/>
        </w:rPr>
        <w:t>prices</w:t>
      </w:r>
      <w:r w:rsidR="007E79C7">
        <w:rPr>
          <w:rFonts w:ascii="Arial" w:hAnsi="Arial" w:cs="Arial"/>
          <w:sz w:val="24"/>
          <w:szCs w:val="24"/>
        </w:rPr>
        <w:t xml:space="preserve"> and much less</w:t>
      </w:r>
      <w:r w:rsidR="00EC131E">
        <w:rPr>
          <w:rFonts w:ascii="Arial" w:hAnsi="Arial" w:cs="Arial"/>
          <w:sz w:val="24"/>
          <w:szCs w:val="24"/>
        </w:rPr>
        <w:t xml:space="preserve"> price</w:t>
      </w:r>
      <w:r w:rsidR="007E79C7">
        <w:rPr>
          <w:rFonts w:ascii="Arial" w:hAnsi="Arial" w:cs="Arial"/>
          <w:sz w:val="24"/>
          <w:szCs w:val="24"/>
        </w:rPr>
        <w:t xml:space="preserve"> </w:t>
      </w:r>
      <w:r w:rsidR="00EC131E">
        <w:rPr>
          <w:rFonts w:ascii="Arial" w:hAnsi="Arial" w:cs="Arial"/>
          <w:sz w:val="24"/>
          <w:szCs w:val="24"/>
        </w:rPr>
        <w:t>volatility</w:t>
      </w:r>
      <w:r w:rsidR="007E79C7">
        <w:rPr>
          <w:rFonts w:ascii="Arial" w:hAnsi="Arial" w:cs="Arial"/>
          <w:sz w:val="24"/>
          <w:szCs w:val="24"/>
        </w:rPr>
        <w:t xml:space="preserve"> even since Firs</w:t>
      </w:r>
      <w:r w:rsidR="00875D26">
        <w:rPr>
          <w:rFonts w:ascii="Arial" w:hAnsi="Arial" w:cs="Arial"/>
          <w:sz w:val="24"/>
          <w:szCs w:val="24"/>
        </w:rPr>
        <w:t>tEnergy filed its original ESP a</w:t>
      </w:r>
      <w:r w:rsidR="007E79C7">
        <w:rPr>
          <w:rFonts w:ascii="Arial" w:hAnsi="Arial" w:cs="Arial"/>
          <w:sz w:val="24"/>
          <w:szCs w:val="24"/>
        </w:rPr>
        <w:t>pplication.  Further, as I explain below, this trend to</w:t>
      </w:r>
      <w:r w:rsidR="00EC131E">
        <w:rPr>
          <w:rFonts w:ascii="Arial" w:hAnsi="Arial" w:cs="Arial"/>
          <w:sz w:val="24"/>
          <w:szCs w:val="24"/>
        </w:rPr>
        <w:t>wards lower gas prices and less</w:t>
      </w:r>
      <w:r w:rsidR="007E79C7">
        <w:rPr>
          <w:rFonts w:ascii="Arial" w:hAnsi="Arial" w:cs="Arial"/>
          <w:sz w:val="24"/>
          <w:szCs w:val="24"/>
        </w:rPr>
        <w:t xml:space="preserve"> volatility will</w:t>
      </w:r>
      <w:r w:rsidR="00EC131E">
        <w:rPr>
          <w:rFonts w:ascii="Arial" w:hAnsi="Arial" w:cs="Arial"/>
          <w:sz w:val="24"/>
          <w:szCs w:val="24"/>
        </w:rPr>
        <w:t xml:space="preserve"> </w:t>
      </w:r>
      <w:r w:rsidR="007E79C7">
        <w:rPr>
          <w:rFonts w:ascii="Arial" w:hAnsi="Arial" w:cs="Arial"/>
          <w:sz w:val="24"/>
          <w:szCs w:val="24"/>
        </w:rPr>
        <w:t>likely</w:t>
      </w:r>
      <w:r w:rsidR="00EC131E">
        <w:rPr>
          <w:rFonts w:ascii="Arial" w:hAnsi="Arial" w:cs="Arial"/>
          <w:sz w:val="24"/>
          <w:szCs w:val="24"/>
        </w:rPr>
        <w:t xml:space="preserve"> only</w:t>
      </w:r>
      <w:r w:rsidR="007E79C7">
        <w:rPr>
          <w:rFonts w:ascii="Arial" w:hAnsi="Arial" w:cs="Arial"/>
          <w:sz w:val="24"/>
          <w:szCs w:val="24"/>
        </w:rPr>
        <w:t xml:space="preserve"> continue</w:t>
      </w:r>
      <w:r w:rsidR="005C6447">
        <w:rPr>
          <w:rFonts w:ascii="Arial" w:hAnsi="Arial" w:cs="Arial"/>
          <w:sz w:val="24"/>
          <w:szCs w:val="24"/>
        </w:rPr>
        <w:t xml:space="preserve"> for a long time in the future</w:t>
      </w:r>
      <w:r w:rsidR="007E79C7">
        <w:rPr>
          <w:rFonts w:ascii="Arial" w:hAnsi="Arial" w:cs="Arial"/>
          <w:sz w:val="24"/>
          <w:szCs w:val="24"/>
        </w:rPr>
        <w:t>.</w:t>
      </w:r>
    </w:p>
    <w:p w14:paraId="11BE9DFD" w14:textId="687CD957" w:rsidR="006B1E63" w:rsidRPr="0099147D" w:rsidRDefault="006B1E63" w:rsidP="006B1E63">
      <w:pPr>
        <w:spacing w:line="480" w:lineRule="auto"/>
        <w:ind w:left="720" w:hanging="720"/>
        <w:jc w:val="both"/>
        <w:rPr>
          <w:rFonts w:ascii="Arial" w:hAnsi="Arial" w:cs="Arial"/>
          <w:b/>
          <w:sz w:val="24"/>
          <w:szCs w:val="24"/>
        </w:rPr>
      </w:pPr>
      <w:r w:rsidRPr="0099147D">
        <w:rPr>
          <w:rFonts w:ascii="Arial" w:hAnsi="Arial" w:cs="Arial"/>
          <w:b/>
          <w:sz w:val="24"/>
          <w:szCs w:val="24"/>
        </w:rPr>
        <w:t>Q.</w:t>
      </w:r>
      <w:r w:rsidRPr="0099147D">
        <w:rPr>
          <w:rFonts w:ascii="Arial" w:hAnsi="Arial" w:cs="Arial"/>
          <w:b/>
          <w:sz w:val="24"/>
          <w:szCs w:val="24"/>
        </w:rPr>
        <w:tab/>
      </w:r>
      <w:r w:rsidR="00305502">
        <w:rPr>
          <w:rFonts w:ascii="Arial" w:hAnsi="Arial" w:cs="Arial"/>
          <w:b/>
          <w:sz w:val="24"/>
          <w:szCs w:val="24"/>
        </w:rPr>
        <w:t>What are the</w:t>
      </w:r>
      <w:r w:rsidRPr="0099147D">
        <w:rPr>
          <w:rFonts w:ascii="Arial" w:hAnsi="Arial" w:cs="Arial"/>
          <w:b/>
          <w:sz w:val="24"/>
          <w:szCs w:val="24"/>
        </w:rPr>
        <w:t xml:space="preserve"> reason</w:t>
      </w:r>
      <w:r w:rsidR="00305502">
        <w:rPr>
          <w:rFonts w:ascii="Arial" w:hAnsi="Arial" w:cs="Arial"/>
          <w:b/>
          <w:sz w:val="24"/>
          <w:szCs w:val="24"/>
        </w:rPr>
        <w:t>s</w:t>
      </w:r>
      <w:r w:rsidRPr="0099147D">
        <w:rPr>
          <w:rFonts w:ascii="Arial" w:hAnsi="Arial" w:cs="Arial"/>
          <w:b/>
          <w:sz w:val="24"/>
          <w:szCs w:val="24"/>
        </w:rPr>
        <w:t xml:space="preserve"> to beli</w:t>
      </w:r>
      <w:r w:rsidR="00D140D2">
        <w:rPr>
          <w:rFonts w:ascii="Arial" w:hAnsi="Arial" w:cs="Arial"/>
          <w:b/>
          <w:sz w:val="24"/>
          <w:szCs w:val="24"/>
        </w:rPr>
        <w:t>eve that the trend toward</w:t>
      </w:r>
      <w:r w:rsidR="00EC131E">
        <w:rPr>
          <w:rFonts w:ascii="Arial" w:hAnsi="Arial" w:cs="Arial"/>
          <w:b/>
          <w:sz w:val="24"/>
          <w:szCs w:val="24"/>
        </w:rPr>
        <w:t xml:space="preserve"> less</w:t>
      </w:r>
      <w:r w:rsidRPr="0099147D">
        <w:rPr>
          <w:rFonts w:ascii="Arial" w:hAnsi="Arial" w:cs="Arial"/>
          <w:b/>
          <w:sz w:val="24"/>
          <w:szCs w:val="24"/>
        </w:rPr>
        <w:t xml:space="preserve"> volatility in Ohio natural gas prices is likely to continue?</w:t>
      </w:r>
    </w:p>
    <w:p w14:paraId="58BFA197" w14:textId="6C15B0E5" w:rsidR="006B1E63" w:rsidRPr="0099147D" w:rsidRDefault="00305502" w:rsidP="006B1E63">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B1E63" w:rsidRPr="0099147D">
        <w:rPr>
          <w:rFonts w:ascii="Arial" w:hAnsi="Arial" w:cs="Arial"/>
          <w:sz w:val="24"/>
          <w:szCs w:val="24"/>
        </w:rPr>
        <w:t>The amount of natural gas production throughout the United States has increased substantially even over the last five years.  Further, much of that production has come from the Marcellus shale, which is located in Pennsylvania, West Virginia, New York</w:t>
      </w:r>
      <w:r w:rsidR="002337A2">
        <w:rPr>
          <w:rFonts w:ascii="Arial" w:hAnsi="Arial" w:cs="Arial"/>
          <w:sz w:val="24"/>
          <w:szCs w:val="24"/>
        </w:rPr>
        <w:t>,</w:t>
      </w:r>
      <w:r w:rsidR="006B1E63" w:rsidRPr="0099147D">
        <w:rPr>
          <w:rFonts w:ascii="Arial" w:hAnsi="Arial" w:cs="Arial"/>
          <w:sz w:val="24"/>
          <w:szCs w:val="24"/>
        </w:rPr>
        <w:t xml:space="preserve"> and to a lesser extent, Ohio</w:t>
      </w:r>
      <w:r w:rsidR="00DB2336">
        <w:rPr>
          <w:rFonts w:ascii="Arial" w:hAnsi="Arial" w:cs="Arial"/>
          <w:sz w:val="24"/>
          <w:szCs w:val="24"/>
        </w:rPr>
        <w:t>.  In fact, as shown in Figure 1</w:t>
      </w:r>
      <w:r w:rsidR="006B1E63" w:rsidRPr="0099147D">
        <w:rPr>
          <w:rFonts w:ascii="Arial" w:hAnsi="Arial" w:cs="Arial"/>
          <w:sz w:val="24"/>
          <w:szCs w:val="24"/>
        </w:rPr>
        <w:t xml:space="preserve">, according to a </w:t>
      </w:r>
      <w:proofErr w:type="spellStart"/>
      <w:r w:rsidR="006B1E63" w:rsidRPr="0099147D">
        <w:rPr>
          <w:rFonts w:ascii="Arial" w:hAnsi="Arial" w:cs="Arial"/>
          <w:sz w:val="24"/>
          <w:szCs w:val="24"/>
        </w:rPr>
        <w:t>Bentek</w:t>
      </w:r>
      <w:proofErr w:type="spellEnd"/>
      <w:r w:rsidR="006B1E63" w:rsidRPr="0099147D">
        <w:rPr>
          <w:rFonts w:ascii="Arial" w:hAnsi="Arial" w:cs="Arial"/>
          <w:sz w:val="24"/>
          <w:szCs w:val="24"/>
        </w:rPr>
        <w:t xml:space="preserve"> Energy report published in </w:t>
      </w:r>
      <w:proofErr w:type="spellStart"/>
      <w:r w:rsidR="006B1E63" w:rsidRPr="0099147D">
        <w:rPr>
          <w:rFonts w:ascii="Arial" w:hAnsi="Arial" w:cs="Arial"/>
          <w:sz w:val="24"/>
          <w:szCs w:val="24"/>
        </w:rPr>
        <w:t>Platts</w:t>
      </w:r>
      <w:proofErr w:type="spellEnd"/>
      <w:r w:rsidR="006B1E63" w:rsidRPr="0099147D">
        <w:rPr>
          <w:rFonts w:ascii="Arial" w:hAnsi="Arial" w:cs="Arial"/>
          <w:sz w:val="24"/>
          <w:szCs w:val="24"/>
        </w:rPr>
        <w:t xml:space="preserve"> Gas Daily, the Northeast surpassed Texas as the largest production region in the US by producing 20.37 BCF and is expected to average 21.1 BCF/day through the end of the year.</w:t>
      </w:r>
    </w:p>
    <w:p w14:paraId="4AA6FDEA" w14:textId="19FFDF0D" w:rsidR="006B1E63" w:rsidRPr="0099147D" w:rsidRDefault="00DB2336" w:rsidP="006B1E63">
      <w:pPr>
        <w:spacing w:line="480" w:lineRule="auto"/>
        <w:ind w:left="720" w:hanging="720"/>
        <w:jc w:val="center"/>
        <w:rPr>
          <w:rFonts w:ascii="Arial" w:hAnsi="Arial" w:cs="Arial"/>
          <w:b/>
          <w:sz w:val="28"/>
          <w:szCs w:val="28"/>
        </w:rPr>
      </w:pPr>
      <w:r>
        <w:rPr>
          <w:rFonts w:ascii="Arial" w:hAnsi="Arial" w:cs="Arial"/>
          <w:b/>
          <w:sz w:val="28"/>
          <w:szCs w:val="28"/>
        </w:rPr>
        <w:t>Figure 1</w:t>
      </w:r>
    </w:p>
    <w:p w14:paraId="0367CE9B" w14:textId="77777777" w:rsidR="006B1E63" w:rsidRPr="0099147D" w:rsidRDefault="006B1E63" w:rsidP="006B1E63">
      <w:pPr>
        <w:spacing w:line="480" w:lineRule="auto"/>
        <w:ind w:left="720" w:hanging="720"/>
        <w:jc w:val="both"/>
        <w:rPr>
          <w:rFonts w:ascii="Arial" w:hAnsi="Arial" w:cs="Arial"/>
          <w:sz w:val="24"/>
          <w:szCs w:val="24"/>
        </w:rPr>
      </w:pPr>
      <w:r w:rsidRPr="0099147D">
        <w:rPr>
          <w:rFonts w:ascii="Arial" w:hAnsi="Arial" w:cs="Arial"/>
          <w:sz w:val="24"/>
          <w:szCs w:val="24"/>
        </w:rPr>
        <w:lastRenderedPageBreak/>
        <w:tab/>
        <w:t xml:space="preserve">                       </w:t>
      </w:r>
      <w:r w:rsidRPr="0099147D">
        <w:rPr>
          <w:rFonts w:ascii="Arial" w:hAnsi="Arial" w:cs="Arial"/>
          <w:noProof/>
        </w:rPr>
        <w:drawing>
          <wp:inline distT="0" distB="0" distL="0" distR="0" wp14:anchorId="3C6E5B03" wp14:editId="70A663DA">
            <wp:extent cx="3133725" cy="2171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133725" cy="2171700"/>
                    </a:xfrm>
                    <a:prstGeom prst="rect">
                      <a:avLst/>
                    </a:prstGeom>
                  </pic:spPr>
                </pic:pic>
              </a:graphicData>
            </a:graphic>
          </wp:inline>
        </w:drawing>
      </w:r>
    </w:p>
    <w:p w14:paraId="406DC68F" w14:textId="5B300AA5" w:rsidR="006B1E63" w:rsidRPr="0099147D" w:rsidRDefault="006B1E63" w:rsidP="006B1E63">
      <w:pPr>
        <w:spacing w:line="480" w:lineRule="auto"/>
        <w:ind w:left="720"/>
        <w:jc w:val="both"/>
        <w:rPr>
          <w:rFonts w:ascii="Arial" w:hAnsi="Arial" w:cs="Arial"/>
          <w:sz w:val="24"/>
          <w:szCs w:val="24"/>
        </w:rPr>
      </w:pPr>
      <w:r w:rsidRPr="0099147D">
        <w:rPr>
          <w:rFonts w:ascii="Arial" w:hAnsi="Arial" w:cs="Arial"/>
          <w:sz w:val="24"/>
          <w:szCs w:val="24"/>
        </w:rPr>
        <w:t xml:space="preserve">This increased production in and around Ohio has not only led to decreased prices, but it has also led to decreased volatility in natural gas markets given there are more opportunities to deliver gas from diverse range of sources. Thus, volatility in natural gas prices has decreased substantially even over the last few years. Moreover, given the long term trends in natural gas markets, this decreased volatility in natural gas pricing is likely to continue for the foreseeable future.  Further, </w:t>
      </w:r>
      <w:proofErr w:type="spellStart"/>
      <w:r w:rsidRPr="0099147D">
        <w:rPr>
          <w:rFonts w:ascii="Arial" w:hAnsi="Arial" w:cs="Arial"/>
          <w:sz w:val="24"/>
          <w:szCs w:val="24"/>
        </w:rPr>
        <w:t>Bentek</w:t>
      </w:r>
      <w:proofErr w:type="spellEnd"/>
      <w:r w:rsidRPr="0099147D">
        <w:rPr>
          <w:rFonts w:ascii="Arial" w:hAnsi="Arial" w:cs="Arial"/>
          <w:sz w:val="24"/>
          <w:szCs w:val="24"/>
        </w:rPr>
        <w:t xml:space="preserve"> indicates the Northeast region, on an annual basis, has recently moved from a net importer of natural gas to a net exporter.  In fact</w:t>
      </w:r>
      <w:r w:rsidR="002337A2">
        <w:rPr>
          <w:rFonts w:ascii="Arial" w:hAnsi="Arial" w:cs="Arial"/>
          <w:sz w:val="24"/>
          <w:szCs w:val="24"/>
        </w:rPr>
        <w:t>,</w:t>
      </w:r>
      <w:r w:rsidRPr="0099147D">
        <w:rPr>
          <w:rFonts w:ascii="Arial" w:hAnsi="Arial" w:cs="Arial"/>
          <w:sz w:val="24"/>
          <w:szCs w:val="24"/>
        </w:rPr>
        <w:t xml:space="preserve"> </w:t>
      </w:r>
      <w:proofErr w:type="spellStart"/>
      <w:r w:rsidRPr="0099147D">
        <w:rPr>
          <w:rFonts w:ascii="Arial" w:hAnsi="Arial" w:cs="Arial"/>
          <w:sz w:val="24"/>
          <w:szCs w:val="24"/>
        </w:rPr>
        <w:t>Bentek</w:t>
      </w:r>
      <w:proofErr w:type="spellEnd"/>
      <w:r w:rsidRPr="0099147D">
        <w:rPr>
          <w:rFonts w:ascii="Arial" w:hAnsi="Arial" w:cs="Arial"/>
          <w:sz w:val="24"/>
          <w:szCs w:val="24"/>
        </w:rPr>
        <w:t xml:space="preserve"> projects </w:t>
      </w:r>
      <w:r w:rsidR="002337A2">
        <w:rPr>
          <w:rFonts w:ascii="Arial" w:hAnsi="Arial" w:cs="Arial"/>
          <w:sz w:val="24"/>
          <w:szCs w:val="24"/>
        </w:rPr>
        <w:t>in</w:t>
      </w:r>
      <w:r w:rsidR="002337A2" w:rsidRPr="0099147D">
        <w:rPr>
          <w:rFonts w:ascii="Arial" w:hAnsi="Arial" w:cs="Arial"/>
          <w:sz w:val="24"/>
          <w:szCs w:val="24"/>
        </w:rPr>
        <w:t xml:space="preserve"> </w:t>
      </w:r>
      <w:r w:rsidRPr="0099147D">
        <w:rPr>
          <w:rFonts w:ascii="Arial" w:hAnsi="Arial" w:cs="Arial"/>
          <w:sz w:val="24"/>
          <w:szCs w:val="24"/>
        </w:rPr>
        <w:t xml:space="preserve">the Northeast will be exporting roughly 10 BCF/day out of the Northeast region by 2020. </w:t>
      </w:r>
    </w:p>
    <w:p w14:paraId="4E6722E8" w14:textId="77777777" w:rsidR="006B1E63" w:rsidRPr="0099147D" w:rsidRDefault="006B1E63" w:rsidP="006B1E63">
      <w:pPr>
        <w:spacing w:line="480" w:lineRule="auto"/>
        <w:ind w:left="720" w:hanging="720"/>
        <w:jc w:val="both"/>
        <w:rPr>
          <w:rFonts w:ascii="Arial" w:hAnsi="Arial" w:cs="Arial"/>
          <w:sz w:val="24"/>
          <w:szCs w:val="24"/>
        </w:rPr>
      </w:pPr>
      <w:r w:rsidRPr="0099147D">
        <w:rPr>
          <w:rFonts w:ascii="Arial" w:hAnsi="Arial" w:cs="Arial"/>
          <w:sz w:val="24"/>
          <w:szCs w:val="24"/>
        </w:rPr>
        <w:t>Q.</w:t>
      </w:r>
      <w:r w:rsidRPr="0099147D">
        <w:rPr>
          <w:rFonts w:ascii="Arial" w:hAnsi="Arial" w:cs="Arial"/>
          <w:sz w:val="24"/>
          <w:szCs w:val="24"/>
        </w:rPr>
        <w:tab/>
      </w:r>
      <w:r w:rsidRPr="0099147D">
        <w:rPr>
          <w:rFonts w:ascii="Arial" w:hAnsi="Arial" w:cs="Arial"/>
          <w:b/>
          <w:sz w:val="24"/>
          <w:szCs w:val="24"/>
        </w:rPr>
        <w:t>Does storage inventory data also indicate lower expected volatility in the natural gas markets?</w:t>
      </w:r>
    </w:p>
    <w:p w14:paraId="1EAE9EAB" w14:textId="566C2F61" w:rsidR="00A5790F" w:rsidRPr="0099147D" w:rsidRDefault="006B1E63" w:rsidP="00E84C24">
      <w:pPr>
        <w:spacing w:line="480" w:lineRule="auto"/>
        <w:ind w:left="720" w:hanging="720"/>
        <w:jc w:val="both"/>
        <w:rPr>
          <w:rFonts w:ascii="Arial" w:hAnsi="Arial" w:cs="Arial"/>
          <w:sz w:val="24"/>
          <w:szCs w:val="24"/>
        </w:rPr>
      </w:pPr>
      <w:r w:rsidRPr="0099147D">
        <w:rPr>
          <w:rFonts w:ascii="Arial" w:hAnsi="Arial" w:cs="Arial"/>
          <w:sz w:val="24"/>
          <w:szCs w:val="24"/>
        </w:rPr>
        <w:t>A.</w:t>
      </w:r>
      <w:r w:rsidRPr="0099147D">
        <w:rPr>
          <w:rFonts w:ascii="Arial" w:hAnsi="Arial" w:cs="Arial"/>
          <w:sz w:val="24"/>
          <w:szCs w:val="24"/>
        </w:rPr>
        <w:tab/>
        <w:t xml:space="preserve">Yes. Natural gas storage plays an important role in price volatility.  This year the natural gas </w:t>
      </w:r>
      <w:proofErr w:type="gramStart"/>
      <w:r w:rsidRPr="0099147D">
        <w:rPr>
          <w:rFonts w:ascii="Arial" w:hAnsi="Arial" w:cs="Arial"/>
          <w:sz w:val="24"/>
          <w:szCs w:val="24"/>
        </w:rPr>
        <w:t>industry  ha</w:t>
      </w:r>
      <w:r w:rsidR="00A5790F">
        <w:rPr>
          <w:rFonts w:ascii="Arial" w:hAnsi="Arial" w:cs="Arial"/>
          <w:sz w:val="24"/>
          <w:szCs w:val="24"/>
        </w:rPr>
        <w:t>d</w:t>
      </w:r>
      <w:proofErr w:type="gramEnd"/>
      <w:r w:rsidRPr="0099147D">
        <w:rPr>
          <w:rFonts w:ascii="Arial" w:hAnsi="Arial" w:cs="Arial"/>
          <w:sz w:val="24"/>
          <w:szCs w:val="24"/>
        </w:rPr>
        <w:t xml:space="preserve"> the largest storage balance in history at </w:t>
      </w:r>
      <w:r w:rsidR="00A5790F">
        <w:rPr>
          <w:rFonts w:ascii="Arial" w:hAnsi="Arial" w:cs="Arial"/>
          <w:sz w:val="24"/>
          <w:szCs w:val="24"/>
        </w:rPr>
        <w:t>above</w:t>
      </w:r>
      <w:r w:rsidRPr="0099147D">
        <w:rPr>
          <w:rFonts w:ascii="Arial" w:hAnsi="Arial" w:cs="Arial"/>
          <w:sz w:val="24"/>
          <w:szCs w:val="24"/>
        </w:rPr>
        <w:t xml:space="preserve"> 4 TCF.  As you can see from the </w:t>
      </w:r>
      <w:r w:rsidR="00DB2336">
        <w:rPr>
          <w:rFonts w:ascii="Arial" w:hAnsi="Arial" w:cs="Arial"/>
          <w:sz w:val="24"/>
          <w:szCs w:val="24"/>
        </w:rPr>
        <w:t>latest EIA graph below</w:t>
      </w:r>
      <w:r w:rsidR="00A5790F">
        <w:rPr>
          <w:rFonts w:ascii="Arial" w:hAnsi="Arial" w:cs="Arial"/>
          <w:sz w:val="24"/>
          <w:szCs w:val="24"/>
        </w:rPr>
        <w:t xml:space="preserve"> (taken from the December 8, </w:t>
      </w:r>
      <w:r w:rsidR="00A5790F">
        <w:rPr>
          <w:rFonts w:ascii="Arial" w:hAnsi="Arial" w:cs="Arial"/>
          <w:sz w:val="24"/>
          <w:szCs w:val="24"/>
        </w:rPr>
        <w:lastRenderedPageBreak/>
        <w:t>2015 Short Term Energy Outlook</w:t>
      </w:r>
      <w:r w:rsidR="00A5790F">
        <w:rPr>
          <w:rStyle w:val="FootnoteReference"/>
          <w:rFonts w:ascii="Arial" w:hAnsi="Arial" w:cs="Arial"/>
          <w:sz w:val="24"/>
          <w:szCs w:val="24"/>
        </w:rPr>
        <w:footnoteReference w:id="1"/>
      </w:r>
      <w:r w:rsidR="00A5790F">
        <w:rPr>
          <w:rFonts w:ascii="Arial" w:hAnsi="Arial" w:cs="Arial"/>
          <w:sz w:val="24"/>
          <w:szCs w:val="24"/>
        </w:rPr>
        <w:t>)</w:t>
      </w:r>
      <w:r w:rsidR="00DB2336">
        <w:rPr>
          <w:rFonts w:ascii="Arial" w:hAnsi="Arial" w:cs="Arial"/>
          <w:sz w:val="24"/>
          <w:szCs w:val="24"/>
        </w:rPr>
        <w:t>, Figure 2</w:t>
      </w:r>
      <w:r w:rsidRPr="0099147D">
        <w:rPr>
          <w:rFonts w:ascii="Arial" w:hAnsi="Arial" w:cs="Arial"/>
          <w:sz w:val="24"/>
          <w:szCs w:val="24"/>
        </w:rPr>
        <w:t xml:space="preserve">, not only will the balance this year be a record but the US will struggle to not break another record next year. </w:t>
      </w:r>
    </w:p>
    <w:p w14:paraId="1DF9AE08" w14:textId="60D9F4BA" w:rsidR="006B1E63" w:rsidRPr="0099147D" w:rsidRDefault="00DB2336" w:rsidP="006B1E63">
      <w:pPr>
        <w:spacing w:line="480" w:lineRule="auto"/>
        <w:ind w:left="720" w:hanging="720"/>
        <w:jc w:val="center"/>
        <w:rPr>
          <w:rFonts w:ascii="Arial" w:hAnsi="Arial" w:cs="Arial"/>
          <w:b/>
          <w:sz w:val="28"/>
          <w:szCs w:val="28"/>
        </w:rPr>
      </w:pPr>
      <w:r>
        <w:rPr>
          <w:rFonts w:ascii="Arial" w:hAnsi="Arial" w:cs="Arial"/>
          <w:b/>
          <w:sz w:val="28"/>
          <w:szCs w:val="28"/>
        </w:rPr>
        <w:t>Figure 2</w:t>
      </w:r>
    </w:p>
    <w:p w14:paraId="0E962574" w14:textId="52FA5BE3" w:rsidR="006B1E63" w:rsidRPr="0099147D" w:rsidRDefault="006B1E63" w:rsidP="006B1E63">
      <w:pPr>
        <w:spacing w:line="480" w:lineRule="auto"/>
        <w:ind w:left="720" w:hanging="720"/>
        <w:jc w:val="both"/>
        <w:rPr>
          <w:rFonts w:ascii="Arial" w:hAnsi="Arial" w:cs="Arial"/>
          <w:b/>
          <w:sz w:val="28"/>
          <w:szCs w:val="28"/>
        </w:rPr>
      </w:pPr>
      <w:r w:rsidRPr="0099147D">
        <w:rPr>
          <w:rFonts w:ascii="Arial" w:hAnsi="Arial" w:cs="Arial"/>
          <w:b/>
          <w:sz w:val="28"/>
          <w:szCs w:val="28"/>
        </w:rPr>
        <w:t xml:space="preserve">            </w:t>
      </w:r>
      <w:r w:rsidR="00A5790F">
        <w:rPr>
          <w:noProof/>
        </w:rPr>
        <w:drawing>
          <wp:inline distT="0" distB="0" distL="0" distR="0" wp14:anchorId="69A406DA" wp14:editId="54A7CEE8">
            <wp:extent cx="5124450" cy="381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24450" cy="3810000"/>
                    </a:xfrm>
                    <a:prstGeom prst="rect">
                      <a:avLst/>
                    </a:prstGeom>
                  </pic:spPr>
                </pic:pic>
              </a:graphicData>
            </a:graphic>
          </wp:inline>
        </w:drawing>
      </w:r>
    </w:p>
    <w:p w14:paraId="31277DA0" w14:textId="77777777" w:rsidR="006B1E63" w:rsidRPr="0099147D" w:rsidRDefault="006B1E63" w:rsidP="006B1E63">
      <w:pPr>
        <w:spacing w:line="480" w:lineRule="auto"/>
        <w:ind w:left="720" w:hanging="720"/>
        <w:jc w:val="both"/>
        <w:rPr>
          <w:rFonts w:ascii="Arial" w:hAnsi="Arial" w:cs="Arial"/>
          <w:b/>
          <w:sz w:val="24"/>
          <w:szCs w:val="24"/>
        </w:rPr>
      </w:pPr>
      <w:r w:rsidRPr="0099147D">
        <w:rPr>
          <w:rFonts w:ascii="Arial" w:hAnsi="Arial" w:cs="Arial"/>
          <w:b/>
          <w:sz w:val="24"/>
          <w:szCs w:val="24"/>
        </w:rPr>
        <w:t>Q.</w:t>
      </w:r>
      <w:r w:rsidRPr="0099147D">
        <w:rPr>
          <w:rFonts w:ascii="Arial" w:hAnsi="Arial" w:cs="Arial"/>
          <w:b/>
          <w:sz w:val="24"/>
          <w:szCs w:val="24"/>
        </w:rPr>
        <w:tab/>
        <w:t>Was the polar vortex prices indicative of volatility expected in the future?</w:t>
      </w:r>
    </w:p>
    <w:p w14:paraId="530B3C97" w14:textId="76755706" w:rsidR="006B1E63" w:rsidRPr="0099147D" w:rsidRDefault="006B1E63" w:rsidP="006B1E63">
      <w:pPr>
        <w:spacing w:line="480" w:lineRule="auto"/>
        <w:ind w:left="720" w:hanging="720"/>
        <w:jc w:val="both"/>
        <w:rPr>
          <w:rFonts w:ascii="Arial" w:hAnsi="Arial" w:cs="Arial"/>
          <w:sz w:val="24"/>
          <w:szCs w:val="24"/>
        </w:rPr>
      </w:pPr>
      <w:r w:rsidRPr="0099147D">
        <w:rPr>
          <w:rFonts w:ascii="Arial" w:hAnsi="Arial" w:cs="Arial"/>
          <w:sz w:val="24"/>
          <w:szCs w:val="24"/>
        </w:rPr>
        <w:t>A.</w:t>
      </w:r>
      <w:r w:rsidRPr="0099147D">
        <w:rPr>
          <w:rFonts w:ascii="Arial" w:hAnsi="Arial" w:cs="Arial"/>
          <w:sz w:val="24"/>
          <w:szCs w:val="24"/>
        </w:rPr>
        <w:tab/>
        <w:t>No.  First, it is important to keep the polar vortex in perspective.  The polar vortex was the coldest winter that Ohio had experienced in over thirty years.</w:t>
      </w:r>
      <w:r w:rsidRPr="0099147D">
        <w:rPr>
          <w:rStyle w:val="FootnoteReference"/>
          <w:rFonts w:ascii="Arial" w:hAnsi="Arial" w:cs="Arial"/>
          <w:sz w:val="24"/>
          <w:szCs w:val="24"/>
        </w:rPr>
        <w:footnoteReference w:id="2"/>
      </w:r>
      <w:r w:rsidRPr="0099147D">
        <w:rPr>
          <w:rFonts w:ascii="Arial" w:hAnsi="Arial" w:cs="Arial"/>
          <w:sz w:val="24"/>
          <w:szCs w:val="24"/>
        </w:rPr>
        <w:t xml:space="preserve"> While there was increased volatility during that winter</w:t>
      </w:r>
      <w:r w:rsidR="002337A2">
        <w:rPr>
          <w:rFonts w:ascii="Arial" w:hAnsi="Arial" w:cs="Arial"/>
          <w:sz w:val="24"/>
          <w:szCs w:val="24"/>
        </w:rPr>
        <w:t>,</w:t>
      </w:r>
      <w:r w:rsidRPr="0099147D">
        <w:rPr>
          <w:rFonts w:ascii="Arial" w:hAnsi="Arial" w:cs="Arial"/>
          <w:sz w:val="24"/>
          <w:szCs w:val="24"/>
        </w:rPr>
        <w:t xml:space="preserve"> the average daily Henry Hub </w:t>
      </w:r>
      <w:r w:rsidRPr="0099147D">
        <w:rPr>
          <w:rFonts w:ascii="Arial" w:hAnsi="Arial" w:cs="Arial"/>
          <w:sz w:val="24"/>
          <w:szCs w:val="24"/>
        </w:rPr>
        <w:lastRenderedPageBreak/>
        <w:t xml:space="preserve">Spot Price, as referenced by the EIA for the period November 2013 through March 2014, was still only $4.68 per </w:t>
      </w:r>
      <w:proofErr w:type="spellStart"/>
      <w:r w:rsidRPr="0099147D">
        <w:rPr>
          <w:rFonts w:ascii="Arial" w:hAnsi="Arial" w:cs="Arial"/>
          <w:sz w:val="24"/>
          <w:szCs w:val="24"/>
        </w:rPr>
        <w:t>mmBTU</w:t>
      </w:r>
      <w:proofErr w:type="spellEnd"/>
      <w:r w:rsidRPr="0099147D">
        <w:rPr>
          <w:rFonts w:ascii="Arial" w:hAnsi="Arial" w:cs="Arial"/>
          <w:sz w:val="24"/>
          <w:szCs w:val="24"/>
        </w:rPr>
        <w:t xml:space="preserve"> for the winter.</w:t>
      </w:r>
      <w:r w:rsidRPr="0099147D">
        <w:rPr>
          <w:rStyle w:val="FootnoteReference"/>
          <w:rFonts w:ascii="Arial" w:hAnsi="Arial" w:cs="Arial"/>
          <w:sz w:val="24"/>
          <w:szCs w:val="24"/>
        </w:rPr>
        <w:footnoteReference w:id="3"/>
      </w:r>
      <w:r w:rsidRPr="0099147D">
        <w:rPr>
          <w:rFonts w:ascii="Arial" w:hAnsi="Arial" w:cs="Arial"/>
          <w:sz w:val="24"/>
          <w:szCs w:val="24"/>
        </w:rPr>
        <w:t xml:space="preserve">   Also, much has changed in the Ohio gas markets even since the polar vortex.  Production in the Marcellus and Utica shale regions has increased substantially</w:t>
      </w:r>
      <w:r w:rsidR="00DB2336">
        <w:rPr>
          <w:rFonts w:ascii="Arial" w:hAnsi="Arial" w:cs="Arial"/>
          <w:sz w:val="24"/>
          <w:szCs w:val="24"/>
        </w:rPr>
        <w:t>.</w:t>
      </w:r>
      <w:r w:rsidR="00305502">
        <w:rPr>
          <w:rFonts w:ascii="Arial" w:hAnsi="Arial" w:cs="Arial"/>
          <w:sz w:val="24"/>
          <w:szCs w:val="24"/>
        </w:rPr>
        <w:t xml:space="preserve"> Additional pipeline has </w:t>
      </w:r>
      <w:r w:rsidRPr="0099147D">
        <w:rPr>
          <w:rFonts w:ascii="Arial" w:hAnsi="Arial" w:cs="Arial"/>
          <w:sz w:val="24"/>
          <w:szCs w:val="24"/>
        </w:rPr>
        <w:t>also been added which has increased liquidity in the markets and reduced daily and geograp</w:t>
      </w:r>
      <w:r w:rsidR="00DB2336">
        <w:rPr>
          <w:rFonts w:ascii="Arial" w:hAnsi="Arial" w:cs="Arial"/>
          <w:sz w:val="24"/>
          <w:szCs w:val="24"/>
        </w:rPr>
        <w:t>hic volatility.</w:t>
      </w:r>
      <w:r w:rsidRPr="0099147D">
        <w:rPr>
          <w:rFonts w:ascii="Arial" w:hAnsi="Arial" w:cs="Arial"/>
          <w:sz w:val="24"/>
          <w:szCs w:val="24"/>
        </w:rPr>
        <w:t xml:space="preserve"> Again, we saw this decreased volatility play out during the 2014-2015 </w:t>
      </w:r>
      <w:proofErr w:type="gramStart"/>
      <w:r w:rsidRPr="0099147D">
        <w:rPr>
          <w:rFonts w:ascii="Arial" w:hAnsi="Arial" w:cs="Arial"/>
          <w:sz w:val="24"/>
          <w:szCs w:val="24"/>
        </w:rPr>
        <w:t>winter</w:t>
      </w:r>
      <w:proofErr w:type="gramEnd"/>
      <w:r w:rsidRPr="0099147D">
        <w:rPr>
          <w:rFonts w:ascii="Arial" w:hAnsi="Arial" w:cs="Arial"/>
          <w:sz w:val="24"/>
          <w:szCs w:val="24"/>
        </w:rPr>
        <w:t xml:space="preserve"> which was nearly as cold as the 2013-2014 winter where we experienced the polar vortex.</w:t>
      </w:r>
    </w:p>
    <w:p w14:paraId="7120420C" w14:textId="77777777" w:rsidR="006B1E63" w:rsidRPr="0099147D" w:rsidRDefault="006B1E63" w:rsidP="006B1E63">
      <w:pPr>
        <w:spacing w:line="480" w:lineRule="auto"/>
        <w:ind w:left="720" w:hanging="720"/>
        <w:jc w:val="both"/>
        <w:rPr>
          <w:rFonts w:ascii="Arial" w:hAnsi="Arial" w:cs="Arial"/>
          <w:b/>
          <w:sz w:val="24"/>
          <w:szCs w:val="24"/>
        </w:rPr>
      </w:pPr>
      <w:r w:rsidRPr="0099147D">
        <w:rPr>
          <w:rFonts w:ascii="Arial" w:hAnsi="Arial" w:cs="Arial"/>
          <w:b/>
          <w:sz w:val="24"/>
          <w:szCs w:val="24"/>
        </w:rPr>
        <w:t>Q.</w:t>
      </w:r>
      <w:r w:rsidRPr="0099147D">
        <w:rPr>
          <w:rFonts w:ascii="Arial" w:hAnsi="Arial" w:cs="Arial"/>
          <w:b/>
          <w:sz w:val="24"/>
          <w:szCs w:val="24"/>
        </w:rPr>
        <w:tab/>
        <w:t>Has volatility also been reduced at Ohio specific trading hubs?</w:t>
      </w:r>
    </w:p>
    <w:p w14:paraId="7D92B45A" w14:textId="0D41AFAD" w:rsidR="006B1E63" w:rsidRPr="0099147D" w:rsidRDefault="006B1E63" w:rsidP="006B1E63">
      <w:pPr>
        <w:spacing w:line="480" w:lineRule="auto"/>
        <w:ind w:left="720" w:hanging="720"/>
        <w:jc w:val="both"/>
        <w:rPr>
          <w:rFonts w:ascii="Arial" w:hAnsi="Arial" w:cs="Arial"/>
          <w:sz w:val="24"/>
          <w:szCs w:val="24"/>
        </w:rPr>
      </w:pPr>
      <w:r w:rsidRPr="0099147D">
        <w:rPr>
          <w:rFonts w:ascii="Arial" w:hAnsi="Arial" w:cs="Arial"/>
          <w:sz w:val="24"/>
          <w:szCs w:val="24"/>
        </w:rPr>
        <w:t>A.</w:t>
      </w:r>
      <w:r w:rsidRPr="0099147D">
        <w:rPr>
          <w:rFonts w:ascii="Arial" w:hAnsi="Arial" w:cs="Arial"/>
          <w:sz w:val="24"/>
          <w:szCs w:val="24"/>
        </w:rPr>
        <w:tab/>
        <w:t>Yes.  The Columbia Gas Pool (also known as TCO IPP) is generally considered the most liquid trading hub for supplies moving into Ohio.  Columbia has over a thousand miles of pipeline in Ohio with hundreds of physical interconnects along with over 100 BCF of underg</w:t>
      </w:r>
      <w:r w:rsidR="00DB2336">
        <w:rPr>
          <w:rFonts w:ascii="Arial" w:hAnsi="Arial" w:cs="Arial"/>
          <w:sz w:val="24"/>
          <w:szCs w:val="24"/>
        </w:rPr>
        <w:t>round storage capacity in Ohio.</w:t>
      </w:r>
      <w:r w:rsidRPr="0099147D">
        <w:rPr>
          <w:rFonts w:ascii="Arial" w:hAnsi="Arial" w:cs="Arial"/>
          <w:sz w:val="24"/>
          <w:szCs w:val="24"/>
        </w:rPr>
        <w:t xml:space="preserve"> Depending on specific plant location, some facilities receive supplies from Dominion Transmission which has a liquid trading point called the Dominion South Point poo</w:t>
      </w:r>
      <w:r w:rsidR="00DB2336">
        <w:rPr>
          <w:rFonts w:ascii="Arial" w:hAnsi="Arial" w:cs="Arial"/>
          <w:sz w:val="24"/>
          <w:szCs w:val="24"/>
        </w:rPr>
        <w:t>l.  As you can see from Figure 3</w:t>
      </w:r>
      <w:r w:rsidRPr="0099147D">
        <w:rPr>
          <w:rFonts w:ascii="Arial" w:hAnsi="Arial" w:cs="Arial"/>
          <w:sz w:val="24"/>
          <w:szCs w:val="24"/>
        </w:rPr>
        <w:t xml:space="preserve">, which shows the daily midpoint cash prices as defined by </w:t>
      </w:r>
      <w:proofErr w:type="spellStart"/>
      <w:r w:rsidRPr="0099147D">
        <w:rPr>
          <w:rFonts w:ascii="Arial" w:hAnsi="Arial" w:cs="Arial"/>
          <w:sz w:val="24"/>
          <w:szCs w:val="24"/>
        </w:rPr>
        <w:t>Platts</w:t>
      </w:r>
      <w:proofErr w:type="spellEnd"/>
      <w:r w:rsidRPr="0099147D">
        <w:rPr>
          <w:rFonts w:ascii="Arial" w:hAnsi="Arial" w:cs="Arial"/>
          <w:sz w:val="24"/>
          <w:szCs w:val="24"/>
        </w:rPr>
        <w:t xml:space="preserve"> Gas Daily, both TCO &amp; Dominion South Point did in fact see elevated prices and increased volatility during the polar vortex winter.  During the following winter, however, which was only marginally milder, there was dramatically reduced volatility and very little price increases especially during the extreme cold periods of January and February 2015.</w:t>
      </w:r>
    </w:p>
    <w:p w14:paraId="001DD36A" w14:textId="3DCAB16F" w:rsidR="006B1E63" w:rsidRPr="0099147D" w:rsidRDefault="00DB2336" w:rsidP="006B1E63">
      <w:pPr>
        <w:spacing w:line="480" w:lineRule="auto"/>
        <w:ind w:left="720" w:hanging="720"/>
        <w:jc w:val="center"/>
        <w:rPr>
          <w:rFonts w:ascii="Arial" w:hAnsi="Arial" w:cs="Arial"/>
          <w:b/>
          <w:sz w:val="28"/>
          <w:szCs w:val="28"/>
        </w:rPr>
      </w:pPr>
      <w:r>
        <w:rPr>
          <w:rFonts w:ascii="Arial" w:hAnsi="Arial" w:cs="Arial"/>
          <w:b/>
          <w:sz w:val="28"/>
          <w:szCs w:val="28"/>
        </w:rPr>
        <w:lastRenderedPageBreak/>
        <w:t>Figure 3</w:t>
      </w:r>
    </w:p>
    <w:p w14:paraId="13444095" w14:textId="77777777" w:rsidR="006B1E63" w:rsidRPr="0099147D" w:rsidRDefault="006B1E63" w:rsidP="006B1E63">
      <w:pPr>
        <w:spacing w:line="480" w:lineRule="auto"/>
        <w:ind w:left="720" w:hanging="720"/>
        <w:jc w:val="both"/>
        <w:rPr>
          <w:rFonts w:ascii="Arial" w:hAnsi="Arial" w:cs="Arial"/>
          <w:sz w:val="24"/>
          <w:szCs w:val="24"/>
        </w:rPr>
      </w:pPr>
      <w:r>
        <w:rPr>
          <w:rFonts w:ascii="Arial" w:hAnsi="Arial" w:cs="Arial"/>
          <w:sz w:val="24"/>
          <w:szCs w:val="24"/>
        </w:rPr>
        <w:t xml:space="preserve">       </w:t>
      </w:r>
      <w:r w:rsidRPr="0099147D">
        <w:rPr>
          <w:rFonts w:ascii="Arial" w:hAnsi="Arial" w:cs="Arial"/>
          <w:sz w:val="24"/>
          <w:szCs w:val="24"/>
        </w:rPr>
        <w:t xml:space="preserve">  </w:t>
      </w:r>
      <w:r w:rsidRPr="0099147D">
        <w:rPr>
          <w:rFonts w:ascii="Arial" w:hAnsi="Arial" w:cs="Arial"/>
          <w:noProof/>
        </w:rPr>
        <w:drawing>
          <wp:inline distT="0" distB="0" distL="0" distR="0" wp14:anchorId="46C39309" wp14:editId="57EC9337">
            <wp:extent cx="5419725" cy="21717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19725" cy="2171700"/>
                    </a:xfrm>
                    <a:prstGeom prst="rect">
                      <a:avLst/>
                    </a:prstGeom>
                  </pic:spPr>
                </pic:pic>
              </a:graphicData>
            </a:graphic>
          </wp:inline>
        </w:drawing>
      </w:r>
    </w:p>
    <w:p w14:paraId="5EC5B707" w14:textId="165E4B6A" w:rsidR="002D0800" w:rsidRDefault="002D0800" w:rsidP="005A7626">
      <w:pPr>
        <w:spacing w:line="480" w:lineRule="auto"/>
        <w:ind w:left="720" w:hanging="720"/>
        <w:jc w:val="both"/>
        <w:rPr>
          <w:rFonts w:ascii="Arial" w:hAnsi="Arial" w:cs="Arial"/>
          <w:b/>
          <w:sz w:val="24"/>
          <w:szCs w:val="24"/>
        </w:rPr>
      </w:pPr>
      <w:proofErr w:type="gramStart"/>
      <w:r>
        <w:rPr>
          <w:rFonts w:ascii="Arial" w:hAnsi="Arial" w:cs="Arial"/>
          <w:b/>
          <w:sz w:val="24"/>
          <w:szCs w:val="24"/>
        </w:rPr>
        <w:t>Q.</w:t>
      </w:r>
      <w:r>
        <w:rPr>
          <w:rFonts w:ascii="Arial" w:hAnsi="Arial" w:cs="Arial"/>
          <w:b/>
          <w:sz w:val="24"/>
          <w:szCs w:val="24"/>
        </w:rPr>
        <w:tab/>
      </w:r>
      <w:r w:rsidRPr="002D0800">
        <w:rPr>
          <w:rFonts w:ascii="Arial" w:hAnsi="Arial" w:cs="Arial"/>
          <w:b/>
          <w:sz w:val="24"/>
          <w:szCs w:val="24"/>
        </w:rPr>
        <w:t>Is</w:t>
      </w:r>
      <w:proofErr w:type="gramEnd"/>
      <w:r w:rsidRPr="002D0800">
        <w:rPr>
          <w:rFonts w:ascii="Arial" w:hAnsi="Arial" w:cs="Arial"/>
          <w:b/>
          <w:sz w:val="24"/>
          <w:szCs w:val="24"/>
        </w:rPr>
        <w:t xml:space="preserve"> lower natural gas prices leading to the build of new electric generation?</w:t>
      </w:r>
      <w:r w:rsidR="006B1E63" w:rsidRPr="002D0800">
        <w:rPr>
          <w:rFonts w:ascii="Arial" w:hAnsi="Arial" w:cs="Arial"/>
          <w:b/>
          <w:sz w:val="24"/>
          <w:szCs w:val="24"/>
        </w:rPr>
        <w:t xml:space="preserve">  </w:t>
      </w:r>
    </w:p>
    <w:p w14:paraId="2E1D0964" w14:textId="377BA4C4" w:rsidR="002D0800" w:rsidRPr="002D0800" w:rsidRDefault="002D0800" w:rsidP="005A7626">
      <w:pPr>
        <w:spacing w:line="480" w:lineRule="auto"/>
        <w:ind w:left="720" w:hanging="720"/>
        <w:jc w:val="both"/>
        <w:rPr>
          <w:rFonts w:ascii="Arial" w:hAnsi="Arial" w:cs="Arial"/>
          <w:sz w:val="24"/>
          <w:szCs w:val="24"/>
        </w:rPr>
      </w:pPr>
      <w:r w:rsidRPr="002D0800">
        <w:rPr>
          <w:rFonts w:ascii="Arial" w:hAnsi="Arial" w:cs="Arial"/>
          <w:sz w:val="24"/>
          <w:szCs w:val="24"/>
        </w:rPr>
        <w:t>A.</w:t>
      </w:r>
      <w:r w:rsidRPr="002D0800">
        <w:rPr>
          <w:rFonts w:ascii="Arial" w:hAnsi="Arial" w:cs="Arial"/>
          <w:sz w:val="24"/>
          <w:szCs w:val="24"/>
        </w:rPr>
        <w:tab/>
      </w:r>
      <w:r>
        <w:rPr>
          <w:rFonts w:ascii="Arial" w:hAnsi="Arial" w:cs="Arial"/>
          <w:sz w:val="24"/>
          <w:szCs w:val="24"/>
        </w:rPr>
        <w:t>Yes</w:t>
      </w:r>
      <w:r w:rsidR="002337A2">
        <w:rPr>
          <w:rFonts w:ascii="Arial" w:hAnsi="Arial" w:cs="Arial"/>
          <w:sz w:val="24"/>
          <w:szCs w:val="24"/>
        </w:rPr>
        <w:t>. T</w:t>
      </w:r>
      <w:r>
        <w:rPr>
          <w:rFonts w:ascii="Arial" w:hAnsi="Arial" w:cs="Arial"/>
          <w:sz w:val="24"/>
          <w:szCs w:val="24"/>
        </w:rPr>
        <w:t>he</w:t>
      </w:r>
      <w:r w:rsidR="00097035">
        <w:rPr>
          <w:rFonts w:ascii="Arial" w:hAnsi="Arial" w:cs="Arial"/>
          <w:sz w:val="24"/>
          <w:szCs w:val="24"/>
        </w:rPr>
        <w:t xml:space="preserve"> ability to extract an abundant supply of</w:t>
      </w:r>
      <w:r>
        <w:rPr>
          <w:rFonts w:ascii="Arial" w:hAnsi="Arial" w:cs="Arial"/>
          <w:sz w:val="24"/>
          <w:szCs w:val="24"/>
        </w:rPr>
        <w:t xml:space="preserve"> low cost natural gas</w:t>
      </w:r>
      <w:r w:rsidR="00097035">
        <w:rPr>
          <w:rFonts w:ascii="Arial" w:hAnsi="Arial" w:cs="Arial"/>
          <w:sz w:val="24"/>
          <w:szCs w:val="24"/>
        </w:rPr>
        <w:t xml:space="preserve"> in the region</w:t>
      </w:r>
      <w:r>
        <w:rPr>
          <w:rFonts w:ascii="Arial" w:hAnsi="Arial" w:cs="Arial"/>
          <w:sz w:val="24"/>
          <w:szCs w:val="24"/>
        </w:rPr>
        <w:t xml:space="preserve"> is leading to </w:t>
      </w:r>
      <w:r w:rsidR="00097035">
        <w:rPr>
          <w:rFonts w:ascii="Arial" w:hAnsi="Arial" w:cs="Arial"/>
          <w:sz w:val="24"/>
          <w:szCs w:val="24"/>
        </w:rPr>
        <w:t>the construction of numerous</w:t>
      </w:r>
      <w:r>
        <w:rPr>
          <w:rFonts w:ascii="Arial" w:hAnsi="Arial" w:cs="Arial"/>
          <w:sz w:val="24"/>
          <w:szCs w:val="24"/>
        </w:rPr>
        <w:t xml:space="preserve"> natural gas</w:t>
      </w:r>
      <w:r w:rsidR="00097035">
        <w:rPr>
          <w:rFonts w:ascii="Arial" w:hAnsi="Arial" w:cs="Arial"/>
          <w:sz w:val="24"/>
          <w:szCs w:val="24"/>
        </w:rPr>
        <w:t xml:space="preserve"> generation units.  It’s my understanding that currently there </w:t>
      </w:r>
      <w:r w:rsidR="005C6447">
        <w:rPr>
          <w:rFonts w:ascii="Arial" w:hAnsi="Arial" w:cs="Arial"/>
          <w:sz w:val="24"/>
          <w:szCs w:val="24"/>
        </w:rPr>
        <w:t xml:space="preserve">are </w:t>
      </w:r>
      <w:r w:rsidR="00097035">
        <w:rPr>
          <w:rFonts w:ascii="Arial" w:hAnsi="Arial" w:cs="Arial"/>
          <w:sz w:val="24"/>
          <w:szCs w:val="24"/>
        </w:rPr>
        <w:t xml:space="preserve">at least 5 projects to add natural gas capacity </w:t>
      </w:r>
      <w:r w:rsidR="00097035" w:rsidRPr="00097035">
        <w:rPr>
          <w:rFonts w:ascii="Arial" w:hAnsi="Arial" w:cs="Arial"/>
          <w:i/>
          <w:sz w:val="24"/>
          <w:szCs w:val="24"/>
        </w:rPr>
        <w:t>right here in Ohio</w:t>
      </w:r>
      <w:r w:rsidR="00097035">
        <w:rPr>
          <w:rFonts w:ascii="Arial" w:hAnsi="Arial" w:cs="Arial"/>
          <w:sz w:val="24"/>
          <w:szCs w:val="24"/>
        </w:rPr>
        <w:t>.</w:t>
      </w:r>
      <w:r w:rsidR="00097035">
        <w:rPr>
          <w:rStyle w:val="FootnoteReference"/>
          <w:rFonts w:ascii="Arial" w:hAnsi="Arial" w:cs="Arial"/>
          <w:sz w:val="24"/>
          <w:szCs w:val="24"/>
        </w:rPr>
        <w:footnoteReference w:id="4"/>
      </w:r>
      <w:r w:rsidR="00097035">
        <w:rPr>
          <w:rFonts w:ascii="Arial" w:hAnsi="Arial" w:cs="Arial"/>
          <w:sz w:val="24"/>
          <w:szCs w:val="24"/>
        </w:rPr>
        <w:t xml:space="preserve"> That is what happens when technological advancement occurs.  New, more efficient technology replaces older less efficient technology.    And when governmen</w:t>
      </w:r>
      <w:r w:rsidR="005C6447">
        <w:rPr>
          <w:rFonts w:ascii="Arial" w:hAnsi="Arial" w:cs="Arial"/>
          <w:sz w:val="24"/>
          <w:szCs w:val="24"/>
        </w:rPr>
        <w:t>tal entities try to disrupt this</w:t>
      </w:r>
      <w:r w:rsidR="00097035">
        <w:rPr>
          <w:rFonts w:ascii="Arial" w:hAnsi="Arial" w:cs="Arial"/>
          <w:sz w:val="24"/>
          <w:szCs w:val="24"/>
        </w:rPr>
        <w:t xml:space="preserve"> cycle by artificially intervening in the markets, it almost always leads to h</w:t>
      </w:r>
      <w:r w:rsidR="005C6447">
        <w:rPr>
          <w:rFonts w:ascii="Arial" w:hAnsi="Arial" w:cs="Arial"/>
          <w:sz w:val="24"/>
          <w:szCs w:val="24"/>
        </w:rPr>
        <w:t>igher costs for consumers</w:t>
      </w:r>
      <w:r w:rsidR="00097035">
        <w:rPr>
          <w:rFonts w:ascii="Arial" w:hAnsi="Arial" w:cs="Arial"/>
          <w:sz w:val="24"/>
          <w:szCs w:val="24"/>
        </w:rPr>
        <w:t xml:space="preserve"> and slower technological advancement.</w:t>
      </w:r>
    </w:p>
    <w:p w14:paraId="5335AB91" w14:textId="3F62412D" w:rsidR="005A7626" w:rsidRPr="001C4B50" w:rsidRDefault="00D140D2" w:rsidP="005A7626">
      <w:pPr>
        <w:spacing w:line="480" w:lineRule="auto"/>
        <w:ind w:left="720" w:hanging="720"/>
        <w:jc w:val="both"/>
        <w:rPr>
          <w:rFonts w:ascii="Arial" w:hAnsi="Arial" w:cs="Arial"/>
          <w:b/>
          <w:sz w:val="24"/>
          <w:szCs w:val="24"/>
        </w:rPr>
      </w:pPr>
      <w:r>
        <w:rPr>
          <w:rFonts w:ascii="Arial" w:hAnsi="Arial" w:cs="Arial"/>
          <w:b/>
          <w:sz w:val="24"/>
          <w:szCs w:val="24"/>
        </w:rPr>
        <w:lastRenderedPageBreak/>
        <w:t>Q.</w:t>
      </w:r>
      <w:r>
        <w:rPr>
          <w:rFonts w:ascii="Arial" w:hAnsi="Arial" w:cs="Arial"/>
          <w:b/>
          <w:sz w:val="24"/>
          <w:szCs w:val="24"/>
        </w:rPr>
        <w:tab/>
        <w:t>Is it a prudent</w:t>
      </w:r>
      <w:r w:rsidR="005A7626" w:rsidRPr="001C4B50">
        <w:rPr>
          <w:rFonts w:ascii="Arial" w:hAnsi="Arial" w:cs="Arial"/>
          <w:b/>
          <w:sz w:val="24"/>
          <w:szCs w:val="24"/>
        </w:rPr>
        <w:t xml:space="preserve"> policy decision to lock Ohio ratepayers into supporting </w:t>
      </w:r>
      <w:r w:rsidR="0010162C">
        <w:rPr>
          <w:rFonts w:ascii="Arial" w:hAnsi="Arial" w:cs="Arial"/>
          <w:b/>
          <w:sz w:val="24"/>
          <w:szCs w:val="24"/>
        </w:rPr>
        <w:t xml:space="preserve">FirstEnergy’s </w:t>
      </w:r>
      <w:r w:rsidR="007E79C7">
        <w:rPr>
          <w:rFonts w:ascii="Arial" w:hAnsi="Arial" w:cs="Arial"/>
          <w:b/>
          <w:sz w:val="24"/>
          <w:szCs w:val="24"/>
        </w:rPr>
        <w:t xml:space="preserve">most uneconomic generation </w:t>
      </w:r>
      <w:r w:rsidR="005A7626" w:rsidRPr="001C4B50">
        <w:rPr>
          <w:rFonts w:ascii="Arial" w:hAnsi="Arial" w:cs="Arial"/>
          <w:b/>
          <w:sz w:val="24"/>
          <w:szCs w:val="24"/>
        </w:rPr>
        <w:t>given the trends in the natural gas and electric generation markets?</w:t>
      </w:r>
    </w:p>
    <w:p w14:paraId="4D03CCD7" w14:textId="1D6CB298" w:rsidR="005A7626" w:rsidRPr="001C4B50" w:rsidRDefault="005A7626" w:rsidP="005A7626">
      <w:pPr>
        <w:spacing w:line="480" w:lineRule="auto"/>
        <w:ind w:left="720" w:hanging="720"/>
        <w:jc w:val="both"/>
        <w:rPr>
          <w:rFonts w:ascii="Arial" w:hAnsi="Arial" w:cs="Arial"/>
          <w:sz w:val="24"/>
          <w:szCs w:val="24"/>
        </w:rPr>
      </w:pPr>
      <w:r w:rsidRPr="001C4B50">
        <w:rPr>
          <w:rFonts w:ascii="Arial" w:hAnsi="Arial" w:cs="Arial"/>
          <w:sz w:val="24"/>
          <w:szCs w:val="24"/>
        </w:rPr>
        <w:t>A.</w:t>
      </w:r>
      <w:r w:rsidRPr="001C4B50">
        <w:rPr>
          <w:rFonts w:ascii="Arial" w:hAnsi="Arial" w:cs="Arial"/>
          <w:sz w:val="24"/>
          <w:szCs w:val="24"/>
        </w:rPr>
        <w:tab/>
      </w:r>
      <w:r w:rsidR="007E79C7">
        <w:rPr>
          <w:rFonts w:ascii="Arial" w:hAnsi="Arial" w:cs="Arial"/>
          <w:sz w:val="24"/>
          <w:szCs w:val="24"/>
        </w:rPr>
        <w:t>No. To accept FirstEnergy’s Rider RRS proposal</w:t>
      </w:r>
      <w:r w:rsidRPr="001C4B50">
        <w:rPr>
          <w:rFonts w:ascii="Arial" w:hAnsi="Arial" w:cs="Arial"/>
          <w:sz w:val="24"/>
          <w:szCs w:val="24"/>
        </w:rPr>
        <w:t xml:space="preserve"> would require the Commission to completely ignore the long term shift in ele</w:t>
      </w:r>
      <w:r w:rsidR="00422CD9">
        <w:rPr>
          <w:rFonts w:ascii="Arial" w:hAnsi="Arial" w:cs="Arial"/>
          <w:sz w:val="24"/>
          <w:szCs w:val="24"/>
        </w:rPr>
        <w:t>ctric generation</w:t>
      </w:r>
      <w:r w:rsidR="00D140D2">
        <w:rPr>
          <w:rFonts w:ascii="Arial" w:hAnsi="Arial" w:cs="Arial"/>
          <w:sz w:val="24"/>
          <w:szCs w:val="24"/>
        </w:rPr>
        <w:t xml:space="preserve"> toward</w:t>
      </w:r>
      <w:r w:rsidRPr="001C4B50">
        <w:rPr>
          <w:rFonts w:ascii="Arial" w:hAnsi="Arial" w:cs="Arial"/>
          <w:sz w:val="24"/>
          <w:szCs w:val="24"/>
        </w:rPr>
        <w:t xml:space="preserve"> natural gas. This is particularly true given Ohio is located so close to such an abundant supply o</w:t>
      </w:r>
      <w:r w:rsidR="007E79C7">
        <w:rPr>
          <w:rFonts w:ascii="Arial" w:hAnsi="Arial" w:cs="Arial"/>
          <w:sz w:val="24"/>
          <w:szCs w:val="24"/>
        </w:rPr>
        <w:t>f natural gas. Adopting Rider RRS would require FirstEnergy</w:t>
      </w:r>
      <w:r w:rsidRPr="001C4B50">
        <w:rPr>
          <w:rFonts w:ascii="Arial" w:hAnsi="Arial" w:cs="Arial"/>
          <w:sz w:val="24"/>
          <w:szCs w:val="24"/>
        </w:rPr>
        <w:t xml:space="preserve"> ratepayers to place a giant bet on</w:t>
      </w:r>
      <w:r w:rsidR="00305502">
        <w:rPr>
          <w:rFonts w:ascii="Arial" w:hAnsi="Arial" w:cs="Arial"/>
          <w:sz w:val="24"/>
          <w:szCs w:val="24"/>
        </w:rPr>
        <w:t xml:space="preserve"> aging</w:t>
      </w:r>
      <w:r w:rsidRPr="001C4B50">
        <w:rPr>
          <w:rFonts w:ascii="Arial" w:hAnsi="Arial" w:cs="Arial"/>
          <w:sz w:val="24"/>
          <w:szCs w:val="24"/>
        </w:rPr>
        <w:t xml:space="preserve"> coal</w:t>
      </w:r>
      <w:r w:rsidR="00305502">
        <w:rPr>
          <w:rFonts w:ascii="Arial" w:hAnsi="Arial" w:cs="Arial"/>
          <w:sz w:val="24"/>
          <w:szCs w:val="24"/>
        </w:rPr>
        <w:t xml:space="preserve"> and nuclear</w:t>
      </w:r>
      <w:r w:rsidRPr="001C4B50">
        <w:rPr>
          <w:rFonts w:ascii="Arial" w:hAnsi="Arial" w:cs="Arial"/>
          <w:sz w:val="24"/>
          <w:szCs w:val="24"/>
        </w:rPr>
        <w:t xml:space="preserve"> generation in the midst of a natural gas revolution that is increasingly making coal generation less competitive.  Accepting </w:t>
      </w:r>
      <w:r w:rsidR="007E79C7">
        <w:rPr>
          <w:rFonts w:ascii="Arial" w:hAnsi="Arial" w:cs="Arial"/>
          <w:sz w:val="24"/>
          <w:szCs w:val="24"/>
        </w:rPr>
        <w:t>FirstEnergy’s proposal</w:t>
      </w:r>
      <w:r w:rsidRPr="001C4B50">
        <w:rPr>
          <w:rFonts w:ascii="Arial" w:hAnsi="Arial" w:cs="Arial"/>
          <w:sz w:val="24"/>
          <w:szCs w:val="24"/>
        </w:rPr>
        <w:t xml:space="preserve"> would be analogous to</w:t>
      </w:r>
      <w:r w:rsidR="0010162C">
        <w:rPr>
          <w:rFonts w:ascii="Arial" w:hAnsi="Arial" w:cs="Arial"/>
          <w:sz w:val="24"/>
          <w:szCs w:val="24"/>
        </w:rPr>
        <w:t xml:space="preserve"> requiring FirstEnergy</w:t>
      </w:r>
      <w:r w:rsidRPr="001C4B50">
        <w:rPr>
          <w:rFonts w:ascii="Arial" w:hAnsi="Arial" w:cs="Arial"/>
          <w:sz w:val="24"/>
          <w:szCs w:val="24"/>
        </w:rPr>
        <w:t xml:space="preserve"> ratepayers to make a large investment </w:t>
      </w:r>
      <w:r>
        <w:rPr>
          <w:rFonts w:ascii="Arial" w:hAnsi="Arial" w:cs="Arial"/>
          <w:sz w:val="24"/>
          <w:szCs w:val="24"/>
        </w:rPr>
        <w:t>in the horse and buggy industry</w:t>
      </w:r>
      <w:r w:rsidRPr="001C4B50">
        <w:rPr>
          <w:rFonts w:ascii="Arial" w:hAnsi="Arial" w:cs="Arial"/>
          <w:sz w:val="24"/>
          <w:szCs w:val="24"/>
        </w:rPr>
        <w:t xml:space="preserve"> just as Henry Ford was rolling out the Model</w:t>
      </w:r>
      <w:r w:rsidR="00567221">
        <w:rPr>
          <w:rFonts w:ascii="Arial" w:hAnsi="Arial" w:cs="Arial"/>
          <w:sz w:val="24"/>
          <w:szCs w:val="24"/>
        </w:rPr>
        <w:t xml:space="preserve"> </w:t>
      </w:r>
      <w:r w:rsidRPr="001C4B50">
        <w:rPr>
          <w:rFonts w:ascii="Arial" w:hAnsi="Arial" w:cs="Arial"/>
          <w:sz w:val="24"/>
          <w:szCs w:val="24"/>
        </w:rPr>
        <w:t xml:space="preserve">T. </w:t>
      </w:r>
    </w:p>
    <w:p w14:paraId="1D9AA7CA" w14:textId="1D2AB05F" w:rsidR="00CA21D6" w:rsidRPr="00CA21D6" w:rsidRDefault="00CB0752" w:rsidP="003A63D8">
      <w:pPr>
        <w:spacing w:line="480" w:lineRule="auto"/>
        <w:ind w:left="720" w:hanging="720"/>
        <w:jc w:val="both"/>
        <w:rPr>
          <w:rFonts w:ascii="Arial" w:hAnsi="Arial" w:cs="Arial"/>
          <w:b/>
          <w:sz w:val="24"/>
          <w:szCs w:val="24"/>
        </w:rPr>
      </w:pPr>
      <w:r>
        <w:rPr>
          <w:rFonts w:ascii="Arial" w:hAnsi="Arial" w:cs="Arial"/>
          <w:b/>
          <w:sz w:val="24"/>
          <w:szCs w:val="24"/>
        </w:rPr>
        <w:t>2</w:t>
      </w:r>
      <w:r w:rsidR="005A7626">
        <w:rPr>
          <w:rFonts w:ascii="Arial" w:hAnsi="Arial" w:cs="Arial"/>
          <w:b/>
          <w:sz w:val="24"/>
          <w:szCs w:val="24"/>
        </w:rPr>
        <w:t>.</w:t>
      </w:r>
      <w:r w:rsidR="005A7626">
        <w:rPr>
          <w:rFonts w:ascii="Arial" w:hAnsi="Arial" w:cs="Arial"/>
          <w:b/>
          <w:sz w:val="24"/>
          <w:szCs w:val="24"/>
        </w:rPr>
        <w:tab/>
        <w:t xml:space="preserve">The </w:t>
      </w:r>
      <w:r w:rsidR="005A7626" w:rsidRPr="001A1D37">
        <w:rPr>
          <w:rFonts w:ascii="Arial" w:hAnsi="Arial" w:cs="Arial"/>
          <w:b/>
          <w:sz w:val="24"/>
          <w:szCs w:val="24"/>
        </w:rPr>
        <w:t>Third Supplemental Stipulation</w:t>
      </w:r>
      <w:r w:rsidR="00875D26">
        <w:rPr>
          <w:rFonts w:ascii="Arial" w:hAnsi="Arial" w:cs="Arial"/>
          <w:b/>
          <w:sz w:val="24"/>
          <w:szCs w:val="24"/>
        </w:rPr>
        <w:t xml:space="preserve"> Would Be</w:t>
      </w:r>
      <w:r w:rsidR="005A7626">
        <w:rPr>
          <w:rFonts w:ascii="Arial" w:hAnsi="Arial" w:cs="Arial"/>
          <w:b/>
          <w:sz w:val="24"/>
          <w:szCs w:val="24"/>
        </w:rPr>
        <w:t xml:space="preserve"> a Step Backwards for </w:t>
      </w:r>
      <w:r w:rsidR="00875D26">
        <w:rPr>
          <w:rFonts w:ascii="Arial" w:hAnsi="Arial" w:cs="Arial"/>
          <w:b/>
          <w:sz w:val="24"/>
          <w:szCs w:val="24"/>
        </w:rPr>
        <w:t xml:space="preserve">Electric </w:t>
      </w:r>
      <w:r w:rsidR="005A7626">
        <w:rPr>
          <w:rFonts w:ascii="Arial" w:hAnsi="Arial" w:cs="Arial"/>
          <w:b/>
          <w:sz w:val="24"/>
          <w:szCs w:val="24"/>
        </w:rPr>
        <w:t>Competition in Ohio</w:t>
      </w:r>
    </w:p>
    <w:p w14:paraId="4B292558" w14:textId="110ED5D0" w:rsidR="001A1D37" w:rsidRDefault="001A1D37" w:rsidP="003A63D8">
      <w:pPr>
        <w:spacing w:line="480" w:lineRule="auto"/>
        <w:ind w:left="720" w:hanging="720"/>
        <w:jc w:val="both"/>
        <w:rPr>
          <w:rFonts w:ascii="Arial" w:hAnsi="Arial" w:cs="Arial"/>
          <w:b/>
          <w:sz w:val="24"/>
          <w:szCs w:val="24"/>
        </w:rPr>
      </w:pPr>
      <w:r w:rsidRPr="001A1D37">
        <w:rPr>
          <w:rFonts w:ascii="Arial" w:hAnsi="Arial" w:cs="Arial"/>
          <w:b/>
          <w:sz w:val="24"/>
          <w:szCs w:val="24"/>
        </w:rPr>
        <w:t>Q.</w:t>
      </w:r>
      <w:r w:rsidRPr="001A1D37">
        <w:rPr>
          <w:rFonts w:ascii="Arial" w:hAnsi="Arial" w:cs="Arial"/>
          <w:b/>
          <w:sz w:val="24"/>
          <w:szCs w:val="24"/>
        </w:rPr>
        <w:tab/>
      </w:r>
      <w:r w:rsidR="0099730A">
        <w:rPr>
          <w:rFonts w:ascii="Arial" w:hAnsi="Arial" w:cs="Arial"/>
          <w:b/>
          <w:sz w:val="24"/>
          <w:szCs w:val="24"/>
        </w:rPr>
        <w:t>Does the</w:t>
      </w:r>
      <w:r>
        <w:rPr>
          <w:rFonts w:ascii="Arial" w:hAnsi="Arial" w:cs="Arial"/>
          <w:b/>
          <w:sz w:val="24"/>
          <w:szCs w:val="24"/>
        </w:rPr>
        <w:t xml:space="preserve"> </w:t>
      </w:r>
      <w:r w:rsidRPr="001A1D37">
        <w:rPr>
          <w:rFonts w:ascii="Arial" w:hAnsi="Arial" w:cs="Arial"/>
          <w:b/>
          <w:sz w:val="24"/>
          <w:szCs w:val="24"/>
        </w:rPr>
        <w:t>Third Supplemental Stipulation</w:t>
      </w:r>
      <w:r>
        <w:rPr>
          <w:rFonts w:ascii="Arial" w:hAnsi="Arial" w:cs="Arial"/>
          <w:b/>
          <w:sz w:val="24"/>
          <w:szCs w:val="24"/>
        </w:rPr>
        <w:t xml:space="preserve"> benefit comp</w:t>
      </w:r>
      <w:r w:rsidR="007C1CBD">
        <w:rPr>
          <w:rFonts w:ascii="Arial" w:hAnsi="Arial" w:cs="Arial"/>
          <w:b/>
          <w:sz w:val="24"/>
          <w:szCs w:val="24"/>
        </w:rPr>
        <w:t>etitive retail electric markets?</w:t>
      </w:r>
    </w:p>
    <w:p w14:paraId="759060CC" w14:textId="1DE85861" w:rsidR="001A1D37" w:rsidRDefault="001A1D37" w:rsidP="003A63D8">
      <w:pPr>
        <w:spacing w:line="480" w:lineRule="auto"/>
        <w:ind w:left="720" w:hanging="720"/>
        <w:jc w:val="both"/>
        <w:rPr>
          <w:rFonts w:ascii="Arial" w:hAnsi="Arial" w:cs="Arial"/>
          <w:sz w:val="24"/>
          <w:szCs w:val="24"/>
        </w:rPr>
      </w:pPr>
      <w:r w:rsidRPr="001A1D37">
        <w:rPr>
          <w:rFonts w:ascii="Arial" w:hAnsi="Arial" w:cs="Arial"/>
          <w:sz w:val="24"/>
          <w:szCs w:val="24"/>
        </w:rPr>
        <w:t>A.</w:t>
      </w:r>
      <w:r w:rsidRPr="001A1D37">
        <w:rPr>
          <w:rFonts w:ascii="Arial" w:hAnsi="Arial" w:cs="Arial"/>
          <w:sz w:val="24"/>
          <w:szCs w:val="24"/>
        </w:rPr>
        <w:tab/>
      </w:r>
      <w:r>
        <w:rPr>
          <w:rFonts w:ascii="Arial" w:hAnsi="Arial" w:cs="Arial"/>
          <w:sz w:val="24"/>
          <w:szCs w:val="24"/>
        </w:rPr>
        <w:t>No.  In my initial testimony filed in</w:t>
      </w:r>
      <w:r w:rsidR="00875D26">
        <w:rPr>
          <w:rFonts w:ascii="Arial" w:hAnsi="Arial" w:cs="Arial"/>
          <w:sz w:val="24"/>
          <w:szCs w:val="24"/>
        </w:rPr>
        <w:t xml:space="preserve"> this proceeding</w:t>
      </w:r>
      <w:r w:rsidR="002337A2">
        <w:rPr>
          <w:rFonts w:ascii="Arial" w:hAnsi="Arial" w:cs="Arial"/>
          <w:sz w:val="24"/>
          <w:szCs w:val="24"/>
        </w:rPr>
        <w:t>,</w:t>
      </w:r>
      <w:r w:rsidR="00875D26">
        <w:rPr>
          <w:rFonts w:ascii="Arial" w:hAnsi="Arial" w:cs="Arial"/>
          <w:sz w:val="24"/>
          <w:szCs w:val="24"/>
        </w:rPr>
        <w:t xml:space="preserve"> I explained that</w:t>
      </w:r>
      <w:r>
        <w:rPr>
          <w:rFonts w:ascii="Arial" w:hAnsi="Arial" w:cs="Arial"/>
          <w:sz w:val="24"/>
          <w:szCs w:val="24"/>
        </w:rPr>
        <w:t xml:space="preserve"> allowing FirstEnergy to enter into power purchase agreements (“PPAs”) with its affiliate FirstEnergy Solutions (“FES”) would be a significant step backwards for competitive retail electric markets</w:t>
      </w:r>
      <w:r w:rsidR="007C1CBD">
        <w:rPr>
          <w:rFonts w:ascii="Arial" w:hAnsi="Arial" w:cs="Arial"/>
          <w:sz w:val="24"/>
          <w:szCs w:val="24"/>
        </w:rPr>
        <w:t>.  That is why</w:t>
      </w:r>
      <w:r w:rsidR="00875D26">
        <w:rPr>
          <w:rFonts w:ascii="Arial" w:hAnsi="Arial" w:cs="Arial"/>
          <w:sz w:val="24"/>
          <w:szCs w:val="24"/>
        </w:rPr>
        <w:t xml:space="preserve"> I proposed in my initial testimony</w:t>
      </w:r>
      <w:r w:rsidR="00D140D2">
        <w:rPr>
          <w:rFonts w:ascii="Arial" w:hAnsi="Arial" w:cs="Arial"/>
          <w:sz w:val="24"/>
          <w:szCs w:val="24"/>
        </w:rPr>
        <w:t xml:space="preserve"> that</w:t>
      </w:r>
      <w:r w:rsidR="0010162C">
        <w:rPr>
          <w:rFonts w:ascii="Arial" w:hAnsi="Arial" w:cs="Arial"/>
          <w:sz w:val="24"/>
          <w:szCs w:val="24"/>
        </w:rPr>
        <w:t xml:space="preserve"> in order to mitigate the damage to the competitive retail electric markets</w:t>
      </w:r>
      <w:r w:rsidR="002337A2">
        <w:rPr>
          <w:rFonts w:ascii="Arial" w:hAnsi="Arial" w:cs="Arial"/>
          <w:sz w:val="24"/>
          <w:szCs w:val="24"/>
        </w:rPr>
        <w:t>,</w:t>
      </w:r>
      <w:r w:rsidR="007C1CBD">
        <w:rPr>
          <w:rFonts w:ascii="Arial" w:hAnsi="Arial" w:cs="Arial"/>
          <w:sz w:val="24"/>
          <w:szCs w:val="24"/>
        </w:rPr>
        <w:t xml:space="preserve"> the </w:t>
      </w:r>
      <w:r w:rsidR="00875D26">
        <w:rPr>
          <w:rFonts w:ascii="Arial" w:hAnsi="Arial" w:cs="Arial"/>
          <w:sz w:val="24"/>
          <w:szCs w:val="24"/>
        </w:rPr>
        <w:lastRenderedPageBreak/>
        <w:t>Commission adopt provisions to</w:t>
      </w:r>
      <w:r w:rsidR="007C1CBD">
        <w:rPr>
          <w:rFonts w:ascii="Arial" w:hAnsi="Arial" w:cs="Arial"/>
          <w:sz w:val="24"/>
          <w:szCs w:val="24"/>
        </w:rPr>
        <w:t xml:space="preserve"> enhance competitive retail markets</w:t>
      </w:r>
      <w:r w:rsidR="00EC131E">
        <w:rPr>
          <w:rFonts w:ascii="Arial" w:hAnsi="Arial" w:cs="Arial"/>
          <w:sz w:val="24"/>
          <w:szCs w:val="24"/>
        </w:rPr>
        <w:t>, including, but not</w:t>
      </w:r>
      <w:r w:rsidR="007C1CBD">
        <w:rPr>
          <w:rFonts w:ascii="Arial" w:hAnsi="Arial" w:cs="Arial"/>
          <w:sz w:val="24"/>
          <w:szCs w:val="24"/>
        </w:rPr>
        <w:t xml:space="preserve"> limited to:</w:t>
      </w:r>
      <w:r w:rsidR="006B1E63">
        <w:rPr>
          <w:rFonts w:ascii="Arial" w:hAnsi="Arial" w:cs="Arial"/>
          <w:sz w:val="24"/>
          <w:szCs w:val="24"/>
        </w:rPr>
        <w:t xml:space="preserve"> </w:t>
      </w:r>
    </w:p>
    <w:p w14:paraId="03EC1257" w14:textId="512DF86E" w:rsidR="007C1CBD" w:rsidRPr="007C1CBD" w:rsidRDefault="0010162C" w:rsidP="007C1CBD">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U</w:t>
      </w:r>
      <w:r w:rsidR="00EC131E">
        <w:rPr>
          <w:rFonts w:ascii="Arial" w:hAnsi="Arial" w:cs="Arial"/>
          <w:sz w:val="24"/>
          <w:szCs w:val="24"/>
        </w:rPr>
        <w:t>nbundling</w:t>
      </w:r>
      <w:r w:rsidR="007C1CBD">
        <w:rPr>
          <w:rFonts w:ascii="Arial" w:hAnsi="Arial" w:cs="Arial"/>
          <w:sz w:val="24"/>
          <w:szCs w:val="24"/>
        </w:rPr>
        <w:t xml:space="preserve"> SSO costs that are recovered through distribution rates and </w:t>
      </w:r>
      <w:r>
        <w:rPr>
          <w:rFonts w:ascii="Arial" w:hAnsi="Arial" w:cs="Arial"/>
          <w:sz w:val="24"/>
          <w:szCs w:val="24"/>
        </w:rPr>
        <w:t>charge the SSO</w:t>
      </w:r>
      <w:r w:rsidR="00EC131E">
        <w:rPr>
          <w:rFonts w:ascii="Arial" w:hAnsi="Arial" w:cs="Arial"/>
          <w:sz w:val="24"/>
          <w:szCs w:val="24"/>
        </w:rPr>
        <w:t xml:space="preserve"> all</w:t>
      </w:r>
      <w:r w:rsidR="007C1CBD">
        <w:rPr>
          <w:rFonts w:ascii="Arial" w:hAnsi="Arial" w:cs="Arial"/>
          <w:sz w:val="24"/>
          <w:szCs w:val="24"/>
        </w:rPr>
        <w:t xml:space="preserve"> costs </w:t>
      </w:r>
      <w:r>
        <w:rPr>
          <w:rFonts w:ascii="Arial" w:hAnsi="Arial" w:cs="Arial"/>
          <w:sz w:val="24"/>
          <w:szCs w:val="24"/>
        </w:rPr>
        <w:t xml:space="preserve">required to provide retail electric service in the market place </w:t>
      </w:r>
      <w:r w:rsidR="00EC131E">
        <w:rPr>
          <w:rFonts w:ascii="Arial" w:hAnsi="Arial" w:cs="Arial"/>
          <w:sz w:val="24"/>
          <w:szCs w:val="24"/>
        </w:rPr>
        <w:t>as required by Ohio statute</w:t>
      </w:r>
      <w:r w:rsidR="005C50FB">
        <w:rPr>
          <w:rFonts w:ascii="Arial" w:hAnsi="Arial" w:cs="Arial"/>
          <w:sz w:val="24"/>
          <w:szCs w:val="24"/>
        </w:rPr>
        <w:t>;</w:t>
      </w:r>
    </w:p>
    <w:p w14:paraId="70B97B37" w14:textId="77B15254" w:rsidR="007C1CBD" w:rsidRPr="005C50FB" w:rsidRDefault="007C1CBD" w:rsidP="007C1CBD">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 xml:space="preserve"> Requiring</w:t>
      </w:r>
      <w:r w:rsidR="00EC131E">
        <w:rPr>
          <w:rFonts w:ascii="Arial" w:hAnsi="Arial" w:cs="Arial"/>
          <w:sz w:val="24"/>
          <w:szCs w:val="24"/>
        </w:rPr>
        <w:t xml:space="preserve"> FirstEnergy</w:t>
      </w:r>
      <w:r>
        <w:rPr>
          <w:rFonts w:ascii="Arial" w:hAnsi="Arial" w:cs="Arial"/>
          <w:sz w:val="24"/>
          <w:szCs w:val="24"/>
        </w:rPr>
        <w:t xml:space="preserve"> </w:t>
      </w:r>
      <w:r w:rsidR="00EC131E">
        <w:rPr>
          <w:rFonts w:ascii="Arial" w:hAnsi="Arial" w:cs="Arial"/>
          <w:sz w:val="24"/>
          <w:szCs w:val="24"/>
        </w:rPr>
        <w:t xml:space="preserve">to </w:t>
      </w:r>
      <w:r>
        <w:rPr>
          <w:rFonts w:ascii="Arial" w:hAnsi="Arial" w:cs="Arial"/>
          <w:sz w:val="24"/>
          <w:szCs w:val="24"/>
        </w:rPr>
        <w:t xml:space="preserve">end its </w:t>
      </w:r>
      <w:r w:rsidR="00D140D2">
        <w:rPr>
          <w:rFonts w:ascii="Arial" w:hAnsi="Arial" w:cs="Arial"/>
          <w:sz w:val="24"/>
          <w:szCs w:val="24"/>
        </w:rPr>
        <w:t xml:space="preserve">discriminatory practice of </w:t>
      </w:r>
      <w:r>
        <w:rPr>
          <w:rFonts w:ascii="Arial" w:hAnsi="Arial" w:cs="Arial"/>
          <w:sz w:val="24"/>
          <w:szCs w:val="24"/>
        </w:rPr>
        <w:t>allowing</w:t>
      </w:r>
      <w:r w:rsidR="00D140D2">
        <w:rPr>
          <w:rFonts w:ascii="Arial" w:hAnsi="Arial" w:cs="Arial"/>
          <w:sz w:val="24"/>
          <w:szCs w:val="24"/>
        </w:rPr>
        <w:t xml:space="preserve"> only</w:t>
      </w:r>
      <w:r>
        <w:rPr>
          <w:rFonts w:ascii="Arial" w:hAnsi="Arial" w:cs="Arial"/>
          <w:sz w:val="24"/>
          <w:szCs w:val="24"/>
        </w:rPr>
        <w:t xml:space="preserve"> select third party companies to bill for non-commodity charges on the electric distribution</w:t>
      </w:r>
      <w:r w:rsidR="005C50FB">
        <w:rPr>
          <w:rFonts w:ascii="Arial" w:hAnsi="Arial" w:cs="Arial"/>
          <w:sz w:val="24"/>
          <w:szCs w:val="24"/>
        </w:rPr>
        <w:t xml:space="preserve"> (“EDU”)</w:t>
      </w:r>
      <w:r>
        <w:rPr>
          <w:rFonts w:ascii="Arial" w:hAnsi="Arial" w:cs="Arial"/>
          <w:sz w:val="24"/>
          <w:szCs w:val="24"/>
        </w:rPr>
        <w:t xml:space="preserve"> bill</w:t>
      </w:r>
      <w:r w:rsidR="005C50FB">
        <w:rPr>
          <w:rFonts w:ascii="Arial" w:hAnsi="Arial" w:cs="Arial"/>
          <w:sz w:val="24"/>
          <w:szCs w:val="24"/>
        </w:rPr>
        <w:t xml:space="preserve">, and </w:t>
      </w:r>
      <w:r w:rsidR="00D140D2">
        <w:rPr>
          <w:rFonts w:ascii="Arial" w:hAnsi="Arial" w:cs="Arial"/>
          <w:sz w:val="24"/>
          <w:szCs w:val="24"/>
        </w:rPr>
        <w:t xml:space="preserve">to </w:t>
      </w:r>
      <w:r w:rsidR="005C50FB">
        <w:rPr>
          <w:rFonts w:ascii="Arial" w:hAnsi="Arial" w:cs="Arial"/>
          <w:sz w:val="24"/>
          <w:szCs w:val="24"/>
        </w:rPr>
        <w:t xml:space="preserve">allow CRES providers to also bill for non-commodity charges on the </w:t>
      </w:r>
      <w:r>
        <w:rPr>
          <w:rFonts w:ascii="Arial" w:hAnsi="Arial" w:cs="Arial"/>
          <w:sz w:val="24"/>
          <w:szCs w:val="24"/>
        </w:rPr>
        <w:t xml:space="preserve"> </w:t>
      </w:r>
      <w:r w:rsidR="005C50FB">
        <w:rPr>
          <w:rFonts w:ascii="Arial" w:hAnsi="Arial" w:cs="Arial"/>
          <w:sz w:val="24"/>
          <w:szCs w:val="24"/>
        </w:rPr>
        <w:t>EDU bill;</w:t>
      </w:r>
    </w:p>
    <w:p w14:paraId="11D8C3DB" w14:textId="18F6696E" w:rsidR="005C50FB" w:rsidRPr="002E001E" w:rsidRDefault="005C50FB" w:rsidP="005C50FB">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Start</w:t>
      </w:r>
      <w:r w:rsidR="00D140D2">
        <w:rPr>
          <w:rFonts w:ascii="Arial" w:hAnsi="Arial" w:cs="Arial"/>
          <w:sz w:val="24"/>
          <w:szCs w:val="24"/>
        </w:rPr>
        <w:t>ing</w:t>
      </w:r>
      <w:r>
        <w:rPr>
          <w:rFonts w:ascii="Arial" w:hAnsi="Arial" w:cs="Arial"/>
          <w:sz w:val="24"/>
          <w:szCs w:val="24"/>
        </w:rPr>
        <w:t xml:space="preserve"> a process to initiate supplier consolidated billing (“SCB”) that would allow CRES providers to issue a consolidated bill</w:t>
      </w:r>
      <w:r w:rsidR="00875D26">
        <w:rPr>
          <w:rFonts w:ascii="Arial" w:hAnsi="Arial" w:cs="Arial"/>
          <w:sz w:val="24"/>
          <w:szCs w:val="24"/>
        </w:rPr>
        <w:t xml:space="preserve"> (that includes generation charges and distribution charges) directly to the customers</w:t>
      </w:r>
      <w:r>
        <w:rPr>
          <w:rFonts w:ascii="Arial" w:hAnsi="Arial" w:cs="Arial"/>
          <w:sz w:val="24"/>
          <w:szCs w:val="24"/>
        </w:rPr>
        <w:t>.</w:t>
      </w:r>
    </w:p>
    <w:p w14:paraId="2EEA94A5" w14:textId="1C64BCAA" w:rsidR="005C50FB" w:rsidRDefault="005C50FB" w:rsidP="0099730A">
      <w:pPr>
        <w:pStyle w:val="ListParagraph"/>
        <w:spacing w:line="480" w:lineRule="auto"/>
        <w:ind w:hanging="720"/>
        <w:jc w:val="both"/>
        <w:rPr>
          <w:rFonts w:ascii="Arial" w:hAnsi="Arial" w:cs="Arial"/>
          <w:b/>
          <w:sz w:val="24"/>
          <w:szCs w:val="24"/>
        </w:rPr>
      </w:pPr>
      <w:r w:rsidRPr="005C50FB">
        <w:rPr>
          <w:rFonts w:ascii="Arial" w:hAnsi="Arial" w:cs="Arial"/>
          <w:b/>
          <w:sz w:val="24"/>
          <w:szCs w:val="24"/>
        </w:rPr>
        <w:t>Q.</w:t>
      </w:r>
      <w:r w:rsidRPr="005C50FB">
        <w:rPr>
          <w:rFonts w:ascii="Arial" w:hAnsi="Arial" w:cs="Arial"/>
          <w:sz w:val="24"/>
          <w:szCs w:val="24"/>
        </w:rPr>
        <w:t xml:space="preserve"> </w:t>
      </w:r>
      <w:r>
        <w:rPr>
          <w:rFonts w:ascii="Arial" w:hAnsi="Arial" w:cs="Arial"/>
          <w:b/>
          <w:sz w:val="24"/>
          <w:szCs w:val="24"/>
        </w:rPr>
        <w:tab/>
      </w:r>
      <w:r w:rsidR="0099730A">
        <w:rPr>
          <w:rFonts w:ascii="Arial" w:hAnsi="Arial" w:cs="Arial"/>
          <w:b/>
          <w:sz w:val="24"/>
          <w:szCs w:val="24"/>
        </w:rPr>
        <w:t>Does</w:t>
      </w:r>
      <w:r>
        <w:rPr>
          <w:rFonts w:ascii="Arial" w:hAnsi="Arial" w:cs="Arial"/>
          <w:b/>
          <w:sz w:val="24"/>
          <w:szCs w:val="24"/>
        </w:rPr>
        <w:t xml:space="preserve"> the </w:t>
      </w:r>
      <w:r w:rsidRPr="001A1D37">
        <w:rPr>
          <w:rFonts w:ascii="Arial" w:hAnsi="Arial" w:cs="Arial"/>
          <w:b/>
          <w:sz w:val="24"/>
          <w:szCs w:val="24"/>
        </w:rPr>
        <w:t>Third Supplemental Stipulation</w:t>
      </w:r>
      <w:r>
        <w:rPr>
          <w:rFonts w:ascii="Arial" w:hAnsi="Arial" w:cs="Arial"/>
          <w:b/>
          <w:sz w:val="24"/>
          <w:szCs w:val="24"/>
        </w:rPr>
        <w:t xml:space="preserve"> adopt any </w:t>
      </w:r>
      <w:r w:rsidR="0099730A">
        <w:rPr>
          <w:rFonts w:ascii="Arial" w:hAnsi="Arial" w:cs="Arial"/>
          <w:b/>
          <w:sz w:val="24"/>
          <w:szCs w:val="24"/>
        </w:rPr>
        <w:t>provisions that would enhance the competitive retail electric market?</w:t>
      </w:r>
    </w:p>
    <w:p w14:paraId="4B653148" w14:textId="1B1B6C7D" w:rsidR="0099730A" w:rsidRDefault="0099730A" w:rsidP="0099730A">
      <w:pPr>
        <w:pStyle w:val="ListParagraph"/>
        <w:spacing w:line="480" w:lineRule="auto"/>
        <w:ind w:hanging="720"/>
        <w:jc w:val="both"/>
        <w:rPr>
          <w:rFonts w:ascii="Arial" w:hAnsi="Arial" w:cs="Arial"/>
          <w:sz w:val="24"/>
          <w:szCs w:val="24"/>
        </w:rPr>
      </w:pPr>
      <w:r w:rsidRPr="0099730A">
        <w:rPr>
          <w:rFonts w:ascii="Arial" w:hAnsi="Arial" w:cs="Arial"/>
          <w:sz w:val="24"/>
          <w:szCs w:val="24"/>
        </w:rPr>
        <w:t>A.</w:t>
      </w:r>
      <w:r w:rsidRPr="0099730A">
        <w:rPr>
          <w:rFonts w:ascii="Arial" w:hAnsi="Arial" w:cs="Arial"/>
          <w:sz w:val="24"/>
          <w:szCs w:val="24"/>
        </w:rPr>
        <w:tab/>
      </w:r>
      <w:r>
        <w:rPr>
          <w:rFonts w:ascii="Arial" w:hAnsi="Arial" w:cs="Arial"/>
          <w:sz w:val="24"/>
          <w:szCs w:val="24"/>
        </w:rPr>
        <w:t xml:space="preserve">No.  </w:t>
      </w:r>
      <w:r w:rsidRPr="0010162C">
        <w:rPr>
          <w:rFonts w:ascii="Arial" w:hAnsi="Arial" w:cs="Arial"/>
          <w:sz w:val="24"/>
          <w:szCs w:val="24"/>
          <w:u w:val="single"/>
        </w:rPr>
        <w:t>There are no provisions in the Third Supplemental Stipulation that would materially benefit the competitive retail electric market d</w:t>
      </w:r>
      <w:r w:rsidR="00B51085" w:rsidRPr="0010162C">
        <w:rPr>
          <w:rFonts w:ascii="Arial" w:hAnsi="Arial" w:cs="Arial"/>
          <w:sz w:val="24"/>
          <w:szCs w:val="24"/>
          <w:u w:val="single"/>
        </w:rPr>
        <w:t>uring the duration of the ESP.</w:t>
      </w:r>
      <w:r w:rsidR="00B51085" w:rsidRPr="00567221">
        <w:rPr>
          <w:rFonts w:ascii="Arial" w:hAnsi="Arial" w:cs="Arial"/>
          <w:sz w:val="24"/>
          <w:szCs w:val="24"/>
        </w:rPr>
        <w:t xml:space="preserve"> </w:t>
      </w:r>
      <w:r w:rsidRPr="00567221">
        <w:rPr>
          <w:rFonts w:ascii="Arial" w:hAnsi="Arial" w:cs="Arial"/>
          <w:sz w:val="24"/>
          <w:szCs w:val="24"/>
        </w:rPr>
        <w:t>In fact</w:t>
      </w:r>
      <w:r w:rsidR="002337A2" w:rsidRPr="00567221">
        <w:rPr>
          <w:rFonts w:ascii="Arial" w:hAnsi="Arial" w:cs="Arial"/>
          <w:sz w:val="24"/>
          <w:szCs w:val="24"/>
        </w:rPr>
        <w:t>,</w:t>
      </w:r>
      <w:r w:rsidRPr="00567221">
        <w:rPr>
          <w:rFonts w:ascii="Arial" w:hAnsi="Arial" w:cs="Arial"/>
          <w:sz w:val="24"/>
          <w:szCs w:val="24"/>
        </w:rPr>
        <w:t xml:space="preserve"> there are a number of additional provisions in the Third Supplemental Stipulation that would actually harm competition, beyond just authorizing approval of the anti-competitive rider RRS.</w:t>
      </w:r>
    </w:p>
    <w:p w14:paraId="6788CE03" w14:textId="17991F36" w:rsidR="0099730A" w:rsidRPr="0099730A" w:rsidRDefault="0099730A" w:rsidP="0099730A">
      <w:pPr>
        <w:pStyle w:val="ListParagraph"/>
        <w:spacing w:line="480" w:lineRule="auto"/>
        <w:ind w:hanging="720"/>
        <w:jc w:val="both"/>
        <w:rPr>
          <w:rFonts w:ascii="Arial" w:hAnsi="Arial" w:cs="Arial"/>
          <w:b/>
          <w:sz w:val="24"/>
          <w:szCs w:val="24"/>
        </w:rPr>
      </w:pPr>
      <w:r w:rsidRPr="0099730A">
        <w:rPr>
          <w:rFonts w:ascii="Arial" w:hAnsi="Arial" w:cs="Arial"/>
          <w:b/>
          <w:sz w:val="24"/>
          <w:szCs w:val="24"/>
        </w:rPr>
        <w:t>Q.</w:t>
      </w:r>
      <w:r w:rsidRPr="0099730A">
        <w:rPr>
          <w:rFonts w:ascii="Arial" w:hAnsi="Arial" w:cs="Arial"/>
          <w:b/>
          <w:sz w:val="24"/>
          <w:szCs w:val="24"/>
        </w:rPr>
        <w:tab/>
        <w:t xml:space="preserve">What additional provisions </w:t>
      </w:r>
      <w:r>
        <w:rPr>
          <w:rFonts w:ascii="Arial" w:hAnsi="Arial" w:cs="Arial"/>
          <w:b/>
          <w:sz w:val="24"/>
          <w:szCs w:val="24"/>
        </w:rPr>
        <w:t xml:space="preserve">in the </w:t>
      </w:r>
      <w:r w:rsidRPr="0099730A">
        <w:rPr>
          <w:rFonts w:ascii="Arial" w:hAnsi="Arial" w:cs="Arial"/>
          <w:b/>
          <w:sz w:val="24"/>
          <w:szCs w:val="24"/>
        </w:rPr>
        <w:t>Third Supplemental Stipulation</w:t>
      </w:r>
      <w:r>
        <w:rPr>
          <w:rFonts w:ascii="Arial" w:hAnsi="Arial" w:cs="Arial"/>
          <w:sz w:val="24"/>
          <w:szCs w:val="24"/>
        </w:rPr>
        <w:t xml:space="preserve"> </w:t>
      </w:r>
      <w:r w:rsidRPr="0099730A">
        <w:rPr>
          <w:rFonts w:ascii="Arial" w:hAnsi="Arial" w:cs="Arial"/>
          <w:b/>
          <w:sz w:val="24"/>
          <w:szCs w:val="24"/>
        </w:rPr>
        <w:t>beyond rider RRS pose a threat to competitive retail electric markets</w:t>
      </w:r>
      <w:r>
        <w:rPr>
          <w:rFonts w:ascii="Arial" w:hAnsi="Arial" w:cs="Arial"/>
          <w:b/>
          <w:sz w:val="24"/>
          <w:szCs w:val="24"/>
        </w:rPr>
        <w:t xml:space="preserve"> and risk moving backwards toward re-regulation</w:t>
      </w:r>
      <w:r w:rsidRPr="0099730A">
        <w:rPr>
          <w:rFonts w:ascii="Arial" w:hAnsi="Arial" w:cs="Arial"/>
          <w:b/>
          <w:sz w:val="24"/>
          <w:szCs w:val="24"/>
        </w:rPr>
        <w:t>?</w:t>
      </w:r>
    </w:p>
    <w:p w14:paraId="262F2330" w14:textId="35D90310" w:rsidR="0099730A" w:rsidRDefault="0099730A" w:rsidP="0099730A">
      <w:pPr>
        <w:pStyle w:val="ListParagraph"/>
        <w:spacing w:line="480" w:lineRule="auto"/>
        <w:ind w:hanging="720"/>
        <w:jc w:val="both"/>
        <w:rPr>
          <w:rFonts w:ascii="Arial" w:hAnsi="Arial" w:cs="Arial"/>
          <w:sz w:val="24"/>
          <w:szCs w:val="24"/>
        </w:rPr>
      </w:pPr>
      <w:r>
        <w:rPr>
          <w:rFonts w:ascii="Arial" w:hAnsi="Arial" w:cs="Arial"/>
          <w:sz w:val="24"/>
          <w:szCs w:val="24"/>
        </w:rPr>
        <w:lastRenderedPageBreak/>
        <w:t>A.</w:t>
      </w:r>
      <w:r>
        <w:rPr>
          <w:rFonts w:ascii="Arial" w:hAnsi="Arial" w:cs="Arial"/>
          <w:sz w:val="24"/>
          <w:szCs w:val="24"/>
        </w:rPr>
        <w:tab/>
        <w:t xml:space="preserve">There are a number of </w:t>
      </w:r>
      <w:r w:rsidRPr="0010162C">
        <w:rPr>
          <w:rFonts w:ascii="Arial" w:hAnsi="Arial" w:cs="Arial"/>
          <w:i/>
          <w:sz w:val="24"/>
          <w:szCs w:val="24"/>
        </w:rPr>
        <w:t xml:space="preserve">additional </w:t>
      </w:r>
      <w:r>
        <w:rPr>
          <w:rFonts w:ascii="Arial" w:hAnsi="Arial" w:cs="Arial"/>
          <w:sz w:val="24"/>
          <w:szCs w:val="24"/>
        </w:rPr>
        <w:t xml:space="preserve">provisions in the </w:t>
      </w:r>
      <w:r w:rsidRPr="0099730A">
        <w:rPr>
          <w:rFonts w:ascii="Arial" w:hAnsi="Arial" w:cs="Arial"/>
          <w:sz w:val="24"/>
          <w:szCs w:val="24"/>
        </w:rPr>
        <w:t>Third Supplemental Stipulation</w:t>
      </w:r>
      <w:r>
        <w:rPr>
          <w:rFonts w:ascii="Arial" w:hAnsi="Arial" w:cs="Arial"/>
          <w:sz w:val="24"/>
          <w:szCs w:val="24"/>
        </w:rPr>
        <w:t xml:space="preserve"> that would be harmful to competitive retail electric markets.  Specifically:</w:t>
      </w:r>
    </w:p>
    <w:p w14:paraId="4CD65B6C" w14:textId="16D95021" w:rsidR="00B110ED" w:rsidRPr="00B110ED" w:rsidRDefault="0099730A" w:rsidP="0099730A">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Provisio</w:t>
      </w:r>
      <w:r w:rsidR="00E16EAB">
        <w:rPr>
          <w:rFonts w:ascii="Arial" w:hAnsi="Arial" w:cs="Arial"/>
          <w:sz w:val="24"/>
          <w:szCs w:val="24"/>
        </w:rPr>
        <w:t xml:space="preserve">n </w:t>
      </w:r>
      <w:proofErr w:type="gramStart"/>
      <w:r w:rsidR="00E16EAB">
        <w:rPr>
          <w:rFonts w:ascii="Arial" w:hAnsi="Arial" w:cs="Arial"/>
          <w:sz w:val="24"/>
          <w:szCs w:val="24"/>
        </w:rPr>
        <w:t>E(</w:t>
      </w:r>
      <w:proofErr w:type="gramEnd"/>
      <w:r w:rsidR="00E16EAB">
        <w:rPr>
          <w:rFonts w:ascii="Arial" w:hAnsi="Arial" w:cs="Arial"/>
          <w:sz w:val="24"/>
          <w:szCs w:val="24"/>
        </w:rPr>
        <w:t>4) contemplates FirstEnergy developing 100 MW of renewable energy resources and recovering those costs through a non-</w:t>
      </w:r>
      <w:proofErr w:type="spellStart"/>
      <w:r w:rsidR="00E16EAB">
        <w:rPr>
          <w:rFonts w:ascii="Arial" w:hAnsi="Arial" w:cs="Arial"/>
          <w:sz w:val="24"/>
          <w:szCs w:val="24"/>
        </w:rPr>
        <w:t>bypassable</w:t>
      </w:r>
      <w:proofErr w:type="spellEnd"/>
      <w:r w:rsidR="00E16EAB">
        <w:rPr>
          <w:rFonts w:ascii="Arial" w:hAnsi="Arial" w:cs="Arial"/>
          <w:sz w:val="24"/>
          <w:szCs w:val="24"/>
        </w:rPr>
        <w:t xml:space="preserve"> renewable resources rider.  This provision (which was not contemplated in the original ESP application) contains the sa</w:t>
      </w:r>
      <w:r w:rsidR="00875D26">
        <w:rPr>
          <w:rFonts w:ascii="Arial" w:hAnsi="Arial" w:cs="Arial"/>
          <w:sz w:val="24"/>
          <w:szCs w:val="24"/>
        </w:rPr>
        <w:t>me anti-competitive aspects of R</w:t>
      </w:r>
      <w:r w:rsidR="00E16EAB">
        <w:rPr>
          <w:rFonts w:ascii="Arial" w:hAnsi="Arial" w:cs="Arial"/>
          <w:sz w:val="24"/>
          <w:szCs w:val="24"/>
        </w:rPr>
        <w:t xml:space="preserve">ider RRS and </w:t>
      </w:r>
      <w:r w:rsidR="00EC131E">
        <w:rPr>
          <w:rFonts w:ascii="Arial" w:hAnsi="Arial" w:cs="Arial"/>
          <w:sz w:val="24"/>
          <w:szCs w:val="24"/>
        </w:rPr>
        <w:t>it represents a</w:t>
      </w:r>
      <w:r w:rsidR="00422CD9">
        <w:rPr>
          <w:rFonts w:ascii="Arial" w:hAnsi="Arial" w:cs="Arial"/>
          <w:sz w:val="24"/>
          <w:szCs w:val="24"/>
        </w:rPr>
        <w:t xml:space="preserve"> return to the electric distribution utility</w:t>
      </w:r>
      <w:r w:rsidR="00E16EAB">
        <w:rPr>
          <w:rFonts w:ascii="Arial" w:hAnsi="Arial" w:cs="Arial"/>
          <w:sz w:val="24"/>
          <w:szCs w:val="24"/>
        </w:rPr>
        <w:t xml:space="preserve"> owning regulated generation.  Further, this provision is particularly egregious because there </w:t>
      </w:r>
      <w:r w:rsidR="00823471">
        <w:rPr>
          <w:rFonts w:ascii="Arial" w:hAnsi="Arial" w:cs="Arial"/>
          <w:sz w:val="24"/>
          <w:szCs w:val="24"/>
        </w:rPr>
        <w:t>are numerous</w:t>
      </w:r>
      <w:r w:rsidR="00E16EAB">
        <w:rPr>
          <w:rFonts w:ascii="Arial" w:hAnsi="Arial" w:cs="Arial"/>
          <w:sz w:val="24"/>
          <w:szCs w:val="24"/>
        </w:rPr>
        <w:t xml:space="preserve"> companies willing to dev</w:t>
      </w:r>
      <w:r w:rsidR="00D140D2">
        <w:rPr>
          <w:rFonts w:ascii="Arial" w:hAnsi="Arial" w:cs="Arial"/>
          <w:sz w:val="24"/>
          <w:szCs w:val="24"/>
        </w:rPr>
        <w:t>elop and own renewable projects;</w:t>
      </w:r>
      <w:r w:rsidR="00E16EAB">
        <w:rPr>
          <w:rFonts w:ascii="Arial" w:hAnsi="Arial" w:cs="Arial"/>
          <w:sz w:val="24"/>
          <w:szCs w:val="24"/>
        </w:rPr>
        <w:t xml:space="preserve"> and there is no reason to hand the ownership of those projects over to the</w:t>
      </w:r>
      <w:r w:rsidR="00305502">
        <w:rPr>
          <w:rFonts w:ascii="Arial" w:hAnsi="Arial" w:cs="Arial"/>
          <w:sz w:val="24"/>
          <w:szCs w:val="24"/>
        </w:rPr>
        <w:t xml:space="preserve"> electric distribution utility.</w:t>
      </w:r>
      <w:r w:rsidR="00E16EAB">
        <w:rPr>
          <w:rFonts w:ascii="Arial" w:hAnsi="Arial" w:cs="Arial"/>
          <w:sz w:val="24"/>
          <w:szCs w:val="24"/>
        </w:rPr>
        <w:t xml:space="preserve"> To the extent the Commission believes it reasonable to subsidize renew</w:t>
      </w:r>
      <w:r w:rsidR="00EC131E">
        <w:rPr>
          <w:rFonts w:ascii="Arial" w:hAnsi="Arial" w:cs="Arial"/>
          <w:sz w:val="24"/>
          <w:szCs w:val="24"/>
        </w:rPr>
        <w:t xml:space="preserve">able </w:t>
      </w:r>
      <w:proofErr w:type="gramStart"/>
      <w:r w:rsidR="00EC131E">
        <w:rPr>
          <w:rFonts w:ascii="Arial" w:hAnsi="Arial" w:cs="Arial"/>
          <w:sz w:val="24"/>
          <w:szCs w:val="24"/>
        </w:rPr>
        <w:t>generation</w:t>
      </w:r>
      <w:r w:rsidR="002337A2">
        <w:rPr>
          <w:rFonts w:ascii="Arial" w:hAnsi="Arial" w:cs="Arial"/>
          <w:sz w:val="24"/>
          <w:szCs w:val="24"/>
        </w:rPr>
        <w:t>,</w:t>
      </w:r>
      <w:proofErr w:type="gramEnd"/>
      <w:r w:rsidR="00E16EAB">
        <w:rPr>
          <w:rFonts w:ascii="Arial" w:hAnsi="Arial" w:cs="Arial"/>
          <w:sz w:val="24"/>
          <w:szCs w:val="24"/>
        </w:rPr>
        <w:t xml:space="preserve"> the Commission should make </w:t>
      </w:r>
      <w:r w:rsidR="00B110ED">
        <w:rPr>
          <w:rFonts w:ascii="Arial" w:hAnsi="Arial" w:cs="Arial"/>
          <w:sz w:val="24"/>
          <w:szCs w:val="24"/>
        </w:rPr>
        <w:t xml:space="preserve">renewable </w:t>
      </w:r>
      <w:r w:rsidR="00E16EAB">
        <w:rPr>
          <w:rFonts w:ascii="Arial" w:hAnsi="Arial" w:cs="Arial"/>
          <w:sz w:val="24"/>
          <w:szCs w:val="24"/>
        </w:rPr>
        <w:t>incentives available o</w:t>
      </w:r>
      <w:r w:rsidR="00B110ED">
        <w:rPr>
          <w:rFonts w:ascii="Arial" w:hAnsi="Arial" w:cs="Arial"/>
          <w:sz w:val="24"/>
          <w:szCs w:val="24"/>
        </w:rPr>
        <w:t>n</w:t>
      </w:r>
      <w:r w:rsidR="00305502">
        <w:rPr>
          <w:rFonts w:ascii="Arial" w:hAnsi="Arial" w:cs="Arial"/>
          <w:sz w:val="24"/>
          <w:szCs w:val="24"/>
        </w:rPr>
        <w:t xml:space="preserve"> a competitively neutral basis.</w:t>
      </w:r>
      <w:r w:rsidR="00B110ED">
        <w:rPr>
          <w:rFonts w:ascii="Arial" w:hAnsi="Arial" w:cs="Arial"/>
          <w:sz w:val="24"/>
          <w:szCs w:val="24"/>
        </w:rPr>
        <w:t xml:space="preserve"> </w:t>
      </w:r>
      <w:r w:rsidR="00B51085">
        <w:rPr>
          <w:rFonts w:ascii="Arial" w:hAnsi="Arial" w:cs="Arial"/>
          <w:sz w:val="24"/>
          <w:szCs w:val="24"/>
        </w:rPr>
        <w:t xml:space="preserve">Adopting provision E(4) will send a signal to the </w:t>
      </w:r>
      <w:r w:rsidR="00ED469F">
        <w:rPr>
          <w:rFonts w:ascii="Arial" w:hAnsi="Arial" w:cs="Arial"/>
          <w:sz w:val="24"/>
          <w:szCs w:val="24"/>
        </w:rPr>
        <w:t xml:space="preserve">renewable energy business community that Ohio is </w:t>
      </w:r>
      <w:r w:rsidR="00ED469F" w:rsidRPr="00EC131E">
        <w:rPr>
          <w:rFonts w:ascii="Arial" w:hAnsi="Arial" w:cs="Arial"/>
          <w:i/>
          <w:sz w:val="24"/>
          <w:szCs w:val="24"/>
        </w:rPr>
        <w:t>not</w:t>
      </w:r>
      <w:r w:rsidR="00ED469F">
        <w:rPr>
          <w:rFonts w:ascii="Arial" w:hAnsi="Arial" w:cs="Arial"/>
          <w:sz w:val="24"/>
          <w:szCs w:val="24"/>
        </w:rPr>
        <w:t xml:space="preserve"> open for business</w:t>
      </w:r>
      <w:r w:rsidR="00823471">
        <w:rPr>
          <w:rFonts w:ascii="Arial" w:hAnsi="Arial" w:cs="Arial"/>
          <w:sz w:val="24"/>
          <w:szCs w:val="24"/>
        </w:rPr>
        <w:t xml:space="preserve">, but rather Ohio is more interested in just </w:t>
      </w:r>
      <w:r w:rsidR="00567221">
        <w:rPr>
          <w:rFonts w:ascii="Arial" w:hAnsi="Arial" w:cs="Arial"/>
          <w:sz w:val="24"/>
          <w:szCs w:val="24"/>
        </w:rPr>
        <w:t>giving hand-</w:t>
      </w:r>
      <w:r w:rsidR="00823471">
        <w:rPr>
          <w:rFonts w:ascii="Arial" w:hAnsi="Arial" w:cs="Arial"/>
          <w:sz w:val="24"/>
          <w:szCs w:val="24"/>
        </w:rPr>
        <w:t>out</w:t>
      </w:r>
      <w:r w:rsidR="00567221">
        <w:rPr>
          <w:rFonts w:ascii="Arial" w:hAnsi="Arial" w:cs="Arial"/>
          <w:sz w:val="24"/>
          <w:szCs w:val="24"/>
        </w:rPr>
        <w:t>s</w:t>
      </w:r>
      <w:r w:rsidR="00823471">
        <w:rPr>
          <w:rFonts w:ascii="Arial" w:hAnsi="Arial" w:cs="Arial"/>
          <w:sz w:val="24"/>
          <w:szCs w:val="24"/>
        </w:rPr>
        <w:t xml:space="preserve"> to its incumbents</w:t>
      </w:r>
      <w:r w:rsidR="00DB2336">
        <w:rPr>
          <w:rFonts w:ascii="Arial" w:hAnsi="Arial" w:cs="Arial"/>
          <w:sz w:val="24"/>
          <w:szCs w:val="24"/>
        </w:rPr>
        <w:t>.</w:t>
      </w:r>
    </w:p>
    <w:p w14:paraId="7D9AC734" w14:textId="52C4C150" w:rsidR="0099730A" w:rsidRPr="00ED469F" w:rsidRDefault="00305502" w:rsidP="0099730A">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Provision</w:t>
      </w:r>
      <w:r w:rsidR="00B110ED">
        <w:rPr>
          <w:rFonts w:ascii="Arial" w:hAnsi="Arial" w:cs="Arial"/>
          <w:sz w:val="24"/>
          <w:szCs w:val="24"/>
        </w:rPr>
        <w:t xml:space="preserve"> </w:t>
      </w:r>
      <w:proofErr w:type="gramStart"/>
      <w:r w:rsidR="00B110ED">
        <w:rPr>
          <w:rFonts w:ascii="Arial" w:hAnsi="Arial" w:cs="Arial"/>
          <w:sz w:val="24"/>
          <w:szCs w:val="24"/>
        </w:rPr>
        <w:t>C(</w:t>
      </w:r>
      <w:proofErr w:type="gramEnd"/>
      <w:r w:rsidR="00B110ED">
        <w:rPr>
          <w:rFonts w:ascii="Arial" w:hAnsi="Arial" w:cs="Arial"/>
          <w:sz w:val="24"/>
          <w:szCs w:val="24"/>
        </w:rPr>
        <w:t xml:space="preserve">3) contemplates the Commission opening a docket to address Ohio’s long term generation resource adequacy needs.  However, all of the Ohio’s electric utilities have divested, or </w:t>
      </w:r>
      <w:r w:rsidR="00ED469F">
        <w:rPr>
          <w:rFonts w:ascii="Arial" w:hAnsi="Arial" w:cs="Arial"/>
          <w:sz w:val="24"/>
          <w:szCs w:val="24"/>
        </w:rPr>
        <w:t>have been ordered to divest</w:t>
      </w:r>
      <w:r w:rsidR="0010162C">
        <w:rPr>
          <w:rFonts w:ascii="Arial" w:hAnsi="Arial" w:cs="Arial"/>
          <w:sz w:val="24"/>
          <w:szCs w:val="24"/>
        </w:rPr>
        <w:t>, their</w:t>
      </w:r>
      <w:r>
        <w:rPr>
          <w:rFonts w:ascii="Arial" w:hAnsi="Arial" w:cs="Arial"/>
          <w:sz w:val="24"/>
          <w:szCs w:val="24"/>
        </w:rPr>
        <w:t xml:space="preserve"> electric generation assets</w:t>
      </w:r>
      <w:r w:rsidR="00B110ED">
        <w:rPr>
          <w:rFonts w:ascii="Arial" w:hAnsi="Arial" w:cs="Arial"/>
          <w:sz w:val="24"/>
          <w:szCs w:val="24"/>
        </w:rPr>
        <w:t xml:space="preserve"> to un-regulated competitive companies.  Therefore, the regulated electric distribution companies</w:t>
      </w:r>
      <w:r w:rsidR="00ED469F">
        <w:rPr>
          <w:rFonts w:ascii="Arial" w:hAnsi="Arial" w:cs="Arial"/>
          <w:sz w:val="24"/>
          <w:szCs w:val="24"/>
        </w:rPr>
        <w:t xml:space="preserve"> (over which the Commission has </w:t>
      </w:r>
      <w:r w:rsidR="00EC131E">
        <w:rPr>
          <w:rFonts w:ascii="Arial" w:hAnsi="Arial" w:cs="Arial"/>
          <w:sz w:val="24"/>
          <w:szCs w:val="24"/>
        </w:rPr>
        <w:t>jurisdiction</w:t>
      </w:r>
      <w:r w:rsidR="00875D26">
        <w:rPr>
          <w:rFonts w:ascii="Arial" w:hAnsi="Arial" w:cs="Arial"/>
          <w:sz w:val="24"/>
          <w:szCs w:val="24"/>
        </w:rPr>
        <w:t>) are not in the business of owning</w:t>
      </w:r>
      <w:r w:rsidR="00B110ED">
        <w:rPr>
          <w:rFonts w:ascii="Arial" w:hAnsi="Arial" w:cs="Arial"/>
          <w:sz w:val="24"/>
          <w:szCs w:val="24"/>
        </w:rPr>
        <w:t xml:space="preserve"> electric generation</w:t>
      </w:r>
      <w:r w:rsidR="00875D26">
        <w:rPr>
          <w:rFonts w:ascii="Arial" w:hAnsi="Arial" w:cs="Arial"/>
          <w:sz w:val="24"/>
          <w:szCs w:val="24"/>
        </w:rPr>
        <w:t>.</w:t>
      </w:r>
      <w:r w:rsidR="008979D4">
        <w:rPr>
          <w:rFonts w:ascii="Arial" w:hAnsi="Arial" w:cs="Arial"/>
          <w:sz w:val="24"/>
          <w:szCs w:val="24"/>
        </w:rPr>
        <w:t xml:space="preserve"> </w:t>
      </w:r>
      <w:r w:rsidR="00875D26">
        <w:rPr>
          <w:rFonts w:ascii="Arial" w:hAnsi="Arial" w:cs="Arial"/>
          <w:sz w:val="24"/>
          <w:szCs w:val="24"/>
        </w:rPr>
        <w:t>I</w:t>
      </w:r>
      <w:r w:rsidR="00ED469F">
        <w:rPr>
          <w:rFonts w:ascii="Arial" w:hAnsi="Arial" w:cs="Arial"/>
          <w:sz w:val="24"/>
          <w:szCs w:val="24"/>
        </w:rPr>
        <w:t xml:space="preserve">f </w:t>
      </w:r>
      <w:r w:rsidR="00B110ED">
        <w:rPr>
          <w:rFonts w:ascii="Arial" w:hAnsi="Arial" w:cs="Arial"/>
          <w:sz w:val="24"/>
          <w:szCs w:val="24"/>
        </w:rPr>
        <w:t>the Commission</w:t>
      </w:r>
      <w:r w:rsidR="00ED469F">
        <w:rPr>
          <w:rFonts w:ascii="Arial" w:hAnsi="Arial" w:cs="Arial"/>
          <w:sz w:val="24"/>
          <w:szCs w:val="24"/>
        </w:rPr>
        <w:t xml:space="preserve"> were</w:t>
      </w:r>
      <w:r w:rsidR="00B110ED">
        <w:rPr>
          <w:rFonts w:ascii="Arial" w:hAnsi="Arial" w:cs="Arial"/>
          <w:sz w:val="24"/>
          <w:szCs w:val="24"/>
        </w:rPr>
        <w:t xml:space="preserve"> to take measures to address resource adequacy</w:t>
      </w:r>
      <w:r w:rsidR="00DB2336">
        <w:rPr>
          <w:rFonts w:ascii="Arial" w:hAnsi="Arial" w:cs="Arial"/>
          <w:sz w:val="24"/>
          <w:szCs w:val="24"/>
        </w:rPr>
        <w:t xml:space="preserve"> that would</w:t>
      </w:r>
      <w:r w:rsidR="00ED469F">
        <w:rPr>
          <w:rFonts w:ascii="Arial" w:hAnsi="Arial" w:cs="Arial"/>
          <w:sz w:val="24"/>
          <w:szCs w:val="24"/>
        </w:rPr>
        <w:t xml:space="preserve"> </w:t>
      </w:r>
      <w:r w:rsidR="00ED469F">
        <w:rPr>
          <w:rFonts w:ascii="Arial" w:hAnsi="Arial" w:cs="Arial"/>
          <w:sz w:val="24"/>
          <w:szCs w:val="24"/>
        </w:rPr>
        <w:lastRenderedPageBreak/>
        <w:t>necessarily</w:t>
      </w:r>
      <w:r w:rsidR="00DB2336">
        <w:rPr>
          <w:rFonts w:ascii="Arial" w:hAnsi="Arial" w:cs="Arial"/>
          <w:sz w:val="24"/>
          <w:szCs w:val="24"/>
        </w:rPr>
        <w:t xml:space="preserve"> mean</w:t>
      </w:r>
      <w:r w:rsidR="00B110ED">
        <w:rPr>
          <w:rFonts w:ascii="Arial" w:hAnsi="Arial" w:cs="Arial"/>
          <w:sz w:val="24"/>
          <w:szCs w:val="24"/>
        </w:rPr>
        <w:t xml:space="preserve"> the regulated utilities </w:t>
      </w:r>
      <w:r w:rsidR="00ED469F">
        <w:rPr>
          <w:rFonts w:ascii="Arial" w:hAnsi="Arial" w:cs="Arial"/>
          <w:sz w:val="24"/>
          <w:szCs w:val="24"/>
        </w:rPr>
        <w:t>would be required to get back into the</w:t>
      </w:r>
      <w:r w:rsidR="00B110ED">
        <w:rPr>
          <w:rFonts w:ascii="Arial" w:hAnsi="Arial" w:cs="Arial"/>
          <w:sz w:val="24"/>
          <w:szCs w:val="24"/>
        </w:rPr>
        <w:t xml:space="preserve"> electric generation business</w:t>
      </w:r>
      <w:r w:rsidR="00875D26">
        <w:rPr>
          <w:rFonts w:ascii="Arial" w:hAnsi="Arial" w:cs="Arial"/>
          <w:sz w:val="24"/>
          <w:szCs w:val="24"/>
        </w:rPr>
        <w:t xml:space="preserve"> either</w:t>
      </w:r>
      <w:r w:rsidR="00ED469F">
        <w:rPr>
          <w:rFonts w:ascii="Arial" w:hAnsi="Arial" w:cs="Arial"/>
          <w:sz w:val="24"/>
          <w:szCs w:val="24"/>
        </w:rPr>
        <w:t xml:space="preserve"> by</w:t>
      </w:r>
      <w:r w:rsidR="00875D26">
        <w:rPr>
          <w:rFonts w:ascii="Arial" w:hAnsi="Arial" w:cs="Arial"/>
          <w:sz w:val="24"/>
          <w:szCs w:val="24"/>
        </w:rPr>
        <w:t xml:space="preserve"> directly</w:t>
      </w:r>
      <w:r w:rsidR="00ED469F">
        <w:rPr>
          <w:rFonts w:ascii="Arial" w:hAnsi="Arial" w:cs="Arial"/>
          <w:sz w:val="24"/>
          <w:szCs w:val="24"/>
        </w:rPr>
        <w:t xml:space="preserve"> owning electric generation assets, or indirectly, by anti-competitive mechanisms such as utility affiliate PPAs</w:t>
      </w:r>
      <w:r w:rsidR="0010162C">
        <w:rPr>
          <w:rFonts w:ascii="Arial" w:hAnsi="Arial" w:cs="Arial"/>
          <w:sz w:val="24"/>
          <w:szCs w:val="24"/>
        </w:rPr>
        <w:t>. This is a</w:t>
      </w:r>
      <w:r w:rsidR="00B110ED">
        <w:rPr>
          <w:rFonts w:ascii="Arial" w:hAnsi="Arial" w:cs="Arial"/>
          <w:sz w:val="24"/>
          <w:szCs w:val="24"/>
        </w:rPr>
        <w:t xml:space="preserve"> dangerous precedent to set</w:t>
      </w:r>
      <w:r w:rsidR="00EC131E">
        <w:rPr>
          <w:rFonts w:ascii="Arial" w:hAnsi="Arial" w:cs="Arial"/>
          <w:sz w:val="24"/>
          <w:szCs w:val="24"/>
        </w:rPr>
        <w:t xml:space="preserve"> and should not be contemplated</w:t>
      </w:r>
      <w:r w:rsidR="008979D4">
        <w:rPr>
          <w:rFonts w:ascii="Arial" w:hAnsi="Arial" w:cs="Arial"/>
          <w:sz w:val="24"/>
          <w:szCs w:val="24"/>
        </w:rPr>
        <w:t xml:space="preserve">, especially given that the notion of state-specific generation is fundamentally at odds with the physical operation of the PJM Interconnection transmission grid, which maintains </w:t>
      </w:r>
      <w:r w:rsidR="008979D4">
        <w:rPr>
          <w:rFonts w:ascii="Arial" w:hAnsi="Arial" w:cs="Arial"/>
          <w:i/>
          <w:sz w:val="24"/>
          <w:szCs w:val="24"/>
        </w:rPr>
        <w:t xml:space="preserve">regional </w:t>
      </w:r>
      <w:r w:rsidR="008979D4">
        <w:rPr>
          <w:rFonts w:ascii="Arial" w:hAnsi="Arial" w:cs="Arial"/>
          <w:sz w:val="24"/>
          <w:szCs w:val="24"/>
        </w:rPr>
        <w:t>reliability regardless of the location of any specific generation unit.</w:t>
      </w:r>
    </w:p>
    <w:p w14:paraId="6B438E5C" w14:textId="486F555D" w:rsidR="00ED469F" w:rsidRPr="00931FF2" w:rsidRDefault="00952661" w:rsidP="00ED469F">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Provision A(1) of the Third Supplemental Stipulation would extend the ESP period from May 31, 2019 to May 31, 2024, locking  the provisions in FirstEnergy’s ESP, and Third Supplemental Stipulation</w:t>
      </w:r>
      <w:r w:rsidR="00EC131E">
        <w:rPr>
          <w:rFonts w:ascii="Arial" w:hAnsi="Arial" w:cs="Arial"/>
          <w:sz w:val="24"/>
          <w:szCs w:val="24"/>
        </w:rPr>
        <w:t>,</w:t>
      </w:r>
      <w:r>
        <w:rPr>
          <w:rFonts w:ascii="Arial" w:hAnsi="Arial" w:cs="Arial"/>
          <w:sz w:val="24"/>
          <w:szCs w:val="24"/>
        </w:rPr>
        <w:t xml:space="preserve"> for a period of 8 years.  As I already noted in this testimony, the Third Supplemental Stipulation and FirstEnergy’s ESP</w:t>
      </w:r>
      <w:r w:rsidR="006A06D9">
        <w:rPr>
          <w:rFonts w:ascii="Arial" w:hAnsi="Arial" w:cs="Arial"/>
          <w:sz w:val="24"/>
          <w:szCs w:val="24"/>
        </w:rPr>
        <w:t>,</w:t>
      </w:r>
      <w:r>
        <w:rPr>
          <w:rFonts w:ascii="Arial" w:hAnsi="Arial" w:cs="Arial"/>
          <w:sz w:val="24"/>
          <w:szCs w:val="24"/>
        </w:rPr>
        <w:t xml:space="preserve"> as a whole</w:t>
      </w:r>
      <w:r w:rsidR="006A06D9">
        <w:rPr>
          <w:rFonts w:ascii="Arial" w:hAnsi="Arial" w:cs="Arial"/>
          <w:sz w:val="24"/>
          <w:szCs w:val="24"/>
        </w:rPr>
        <w:t>,</w:t>
      </w:r>
      <w:r>
        <w:rPr>
          <w:rFonts w:ascii="Arial" w:hAnsi="Arial" w:cs="Arial"/>
          <w:sz w:val="24"/>
          <w:szCs w:val="24"/>
        </w:rPr>
        <w:t xml:space="preserve"> are anti-competitive.  Historically, the Commission has used ESP proceedings to adopt pro-competitive provisions and </w:t>
      </w:r>
      <w:r w:rsidR="00875D26">
        <w:rPr>
          <w:rFonts w:ascii="Arial" w:hAnsi="Arial" w:cs="Arial"/>
          <w:sz w:val="24"/>
          <w:szCs w:val="24"/>
        </w:rPr>
        <w:t xml:space="preserve">to </w:t>
      </w:r>
      <w:r>
        <w:rPr>
          <w:rFonts w:ascii="Arial" w:hAnsi="Arial" w:cs="Arial"/>
          <w:sz w:val="24"/>
          <w:szCs w:val="24"/>
        </w:rPr>
        <w:t>move competitive</w:t>
      </w:r>
      <w:r w:rsidR="00875D26">
        <w:rPr>
          <w:rFonts w:ascii="Arial" w:hAnsi="Arial" w:cs="Arial"/>
          <w:sz w:val="24"/>
          <w:szCs w:val="24"/>
        </w:rPr>
        <w:t xml:space="preserve"> electric</w:t>
      </w:r>
      <w:r>
        <w:rPr>
          <w:rFonts w:ascii="Arial" w:hAnsi="Arial" w:cs="Arial"/>
          <w:sz w:val="24"/>
          <w:szCs w:val="24"/>
        </w:rPr>
        <w:t xml:space="preserve"> markets forward</w:t>
      </w:r>
      <w:r w:rsidR="0010162C">
        <w:rPr>
          <w:rFonts w:ascii="Arial" w:hAnsi="Arial" w:cs="Arial"/>
          <w:sz w:val="24"/>
          <w:szCs w:val="24"/>
        </w:rPr>
        <w:t xml:space="preserve"> in accordance with Ohio Statute and the intent of the Ohio legislature</w:t>
      </w:r>
      <w:r>
        <w:rPr>
          <w:rFonts w:ascii="Arial" w:hAnsi="Arial" w:cs="Arial"/>
          <w:sz w:val="24"/>
          <w:szCs w:val="24"/>
        </w:rPr>
        <w:t xml:space="preserve">.  </w:t>
      </w:r>
      <w:r w:rsidR="0010162C">
        <w:rPr>
          <w:rFonts w:ascii="Arial" w:hAnsi="Arial" w:cs="Arial"/>
          <w:sz w:val="24"/>
          <w:szCs w:val="24"/>
        </w:rPr>
        <w:t>The</w:t>
      </w:r>
      <w:r>
        <w:rPr>
          <w:rFonts w:ascii="Arial" w:hAnsi="Arial" w:cs="Arial"/>
          <w:sz w:val="24"/>
          <w:szCs w:val="24"/>
        </w:rPr>
        <w:t xml:space="preserve"> adoption of provision </w:t>
      </w:r>
      <w:proofErr w:type="gramStart"/>
      <w:r>
        <w:rPr>
          <w:rFonts w:ascii="Arial" w:hAnsi="Arial" w:cs="Arial"/>
          <w:sz w:val="24"/>
          <w:szCs w:val="24"/>
        </w:rPr>
        <w:t>A(</w:t>
      </w:r>
      <w:proofErr w:type="gramEnd"/>
      <w:r>
        <w:rPr>
          <w:rFonts w:ascii="Arial" w:hAnsi="Arial" w:cs="Arial"/>
          <w:sz w:val="24"/>
          <w:szCs w:val="24"/>
        </w:rPr>
        <w:t>1)</w:t>
      </w:r>
      <w:r w:rsidR="0010162C">
        <w:rPr>
          <w:rFonts w:ascii="Arial" w:hAnsi="Arial" w:cs="Arial"/>
          <w:sz w:val="24"/>
          <w:szCs w:val="24"/>
        </w:rPr>
        <w:t>, however,</w:t>
      </w:r>
      <w:r>
        <w:rPr>
          <w:rFonts w:ascii="Arial" w:hAnsi="Arial" w:cs="Arial"/>
          <w:sz w:val="24"/>
          <w:szCs w:val="24"/>
        </w:rPr>
        <w:t xml:space="preserve"> would lock in an anti-competitive ESP and would substantially limit the CRES community to advocate for any changes that would enhance the competitive market for a period of 8 years.  </w:t>
      </w:r>
    </w:p>
    <w:p w14:paraId="15FC9716" w14:textId="6441C55F" w:rsidR="00931FF2" w:rsidRPr="00ED469F" w:rsidRDefault="00931FF2" w:rsidP="00ED469F">
      <w:pPr>
        <w:pStyle w:val="ListParagraph"/>
        <w:numPr>
          <w:ilvl w:val="0"/>
          <w:numId w:val="42"/>
        </w:numPr>
        <w:spacing w:line="480" w:lineRule="auto"/>
        <w:jc w:val="both"/>
        <w:rPr>
          <w:rFonts w:ascii="Arial" w:hAnsi="Arial" w:cs="Arial"/>
          <w:sz w:val="24"/>
          <w:szCs w:val="24"/>
          <w:u w:val="single"/>
        </w:rPr>
      </w:pPr>
      <w:r>
        <w:rPr>
          <w:rFonts w:ascii="Arial" w:hAnsi="Arial" w:cs="Arial"/>
          <w:sz w:val="24"/>
          <w:szCs w:val="24"/>
        </w:rPr>
        <w:t xml:space="preserve">Provision G of the Stipulation would effectively eliminate the </w:t>
      </w:r>
      <w:r w:rsidR="006A06D9">
        <w:rPr>
          <w:rFonts w:ascii="Arial" w:hAnsi="Arial" w:cs="Arial"/>
          <w:sz w:val="24"/>
          <w:szCs w:val="24"/>
        </w:rPr>
        <w:t xml:space="preserve">possibility of FirstEnergy </w:t>
      </w:r>
      <w:r>
        <w:rPr>
          <w:rFonts w:ascii="Arial" w:hAnsi="Arial" w:cs="Arial"/>
          <w:sz w:val="24"/>
          <w:szCs w:val="24"/>
        </w:rPr>
        <w:t xml:space="preserve">filing a base distribution rate </w:t>
      </w:r>
      <w:r w:rsidR="00305502">
        <w:rPr>
          <w:rFonts w:ascii="Arial" w:hAnsi="Arial" w:cs="Arial"/>
          <w:sz w:val="24"/>
          <w:szCs w:val="24"/>
        </w:rPr>
        <w:t>case</w:t>
      </w:r>
      <w:r w:rsidR="006A06D9">
        <w:rPr>
          <w:rFonts w:ascii="Arial" w:hAnsi="Arial" w:cs="Arial"/>
          <w:sz w:val="24"/>
          <w:szCs w:val="24"/>
        </w:rPr>
        <w:t xml:space="preserve"> for a period of 8 years; thus the CRES community would</w:t>
      </w:r>
      <w:r>
        <w:rPr>
          <w:rFonts w:ascii="Arial" w:hAnsi="Arial" w:cs="Arial"/>
          <w:sz w:val="24"/>
          <w:szCs w:val="24"/>
        </w:rPr>
        <w:t xml:space="preserve"> be foreclosed from advocating for enhancements to the competitive retail electric market in a base distribution rate case for 8 </w:t>
      </w:r>
      <w:r>
        <w:rPr>
          <w:rFonts w:ascii="Arial" w:hAnsi="Arial" w:cs="Arial"/>
          <w:sz w:val="24"/>
          <w:szCs w:val="24"/>
        </w:rPr>
        <w:lastRenderedPageBreak/>
        <w:t>years</w:t>
      </w:r>
      <w:r w:rsidR="006A06D9">
        <w:rPr>
          <w:rFonts w:ascii="Arial" w:hAnsi="Arial" w:cs="Arial"/>
          <w:sz w:val="24"/>
          <w:szCs w:val="24"/>
        </w:rPr>
        <w:t xml:space="preserve"> as well</w:t>
      </w:r>
      <w:r>
        <w:rPr>
          <w:rFonts w:ascii="Arial" w:hAnsi="Arial" w:cs="Arial"/>
          <w:sz w:val="24"/>
          <w:szCs w:val="24"/>
        </w:rPr>
        <w:t xml:space="preserve">. The lack of channels for retail advocacy (via the foreclosure of an ESP or distribution case for 8 years) </w:t>
      </w:r>
      <w:r w:rsidR="006A06D9">
        <w:rPr>
          <w:rFonts w:ascii="Arial" w:hAnsi="Arial" w:cs="Arial"/>
          <w:sz w:val="24"/>
          <w:szCs w:val="24"/>
        </w:rPr>
        <w:t>will make it difficult for needed changes to be made to competitive retail electric markets in order for customers to realize th</w:t>
      </w:r>
      <w:r w:rsidR="00305502">
        <w:rPr>
          <w:rFonts w:ascii="Arial" w:hAnsi="Arial" w:cs="Arial"/>
          <w:sz w:val="24"/>
          <w:szCs w:val="24"/>
        </w:rPr>
        <w:t>e full benefits of competition.</w:t>
      </w:r>
      <w:r w:rsidR="006A06D9">
        <w:rPr>
          <w:rFonts w:ascii="Arial" w:hAnsi="Arial" w:cs="Arial"/>
          <w:sz w:val="24"/>
          <w:szCs w:val="24"/>
        </w:rPr>
        <w:t xml:space="preserve"> This problem is </w:t>
      </w:r>
      <w:r>
        <w:rPr>
          <w:rFonts w:ascii="Arial" w:hAnsi="Arial" w:cs="Arial"/>
          <w:sz w:val="24"/>
          <w:szCs w:val="24"/>
        </w:rPr>
        <w:t>compounded by the fact that the Ohio Market Development Working Group (“OMDWG”)</w:t>
      </w:r>
      <w:r w:rsidR="006A06D9">
        <w:rPr>
          <w:rFonts w:ascii="Arial" w:hAnsi="Arial" w:cs="Arial"/>
          <w:sz w:val="24"/>
          <w:szCs w:val="24"/>
        </w:rPr>
        <w:t>,</w:t>
      </w:r>
      <w:r>
        <w:rPr>
          <w:rFonts w:ascii="Arial" w:hAnsi="Arial" w:cs="Arial"/>
          <w:sz w:val="24"/>
          <w:szCs w:val="24"/>
        </w:rPr>
        <w:t xml:space="preserve"> which was established by the Commission approximately two years ago, has failed</w:t>
      </w:r>
      <w:r w:rsidR="00D140D2">
        <w:rPr>
          <w:rFonts w:ascii="Arial" w:hAnsi="Arial" w:cs="Arial"/>
          <w:sz w:val="24"/>
          <w:szCs w:val="24"/>
        </w:rPr>
        <w:t xml:space="preserve"> to achieve</w:t>
      </w:r>
      <w:r>
        <w:rPr>
          <w:rFonts w:ascii="Arial" w:hAnsi="Arial" w:cs="Arial"/>
          <w:sz w:val="24"/>
          <w:szCs w:val="24"/>
        </w:rPr>
        <w:t xml:space="preserve"> any meaningful progress for the retail electric markets. </w:t>
      </w:r>
      <w:r w:rsidR="006A06D9">
        <w:rPr>
          <w:rFonts w:ascii="Arial" w:hAnsi="Arial" w:cs="Arial"/>
          <w:sz w:val="24"/>
          <w:szCs w:val="24"/>
        </w:rPr>
        <w:t>Further, given the posture taken by some of the participants in the OMDWG (including FirstEnergy), I am not encouraged that the OMDWG will yield any significant progress in the future either.</w:t>
      </w:r>
    </w:p>
    <w:p w14:paraId="4EB3D25E" w14:textId="2A0BEB6F" w:rsidR="00ED469F" w:rsidRDefault="00ED469F" w:rsidP="00ED469F">
      <w:pPr>
        <w:spacing w:line="480" w:lineRule="auto"/>
        <w:ind w:left="720" w:hanging="720"/>
        <w:jc w:val="both"/>
        <w:rPr>
          <w:rFonts w:ascii="Arial" w:hAnsi="Arial" w:cs="Arial"/>
          <w:b/>
          <w:sz w:val="24"/>
          <w:szCs w:val="24"/>
        </w:rPr>
      </w:pPr>
      <w:r w:rsidRPr="00380880">
        <w:rPr>
          <w:rFonts w:ascii="Arial" w:hAnsi="Arial" w:cs="Arial"/>
          <w:b/>
          <w:sz w:val="24"/>
          <w:szCs w:val="24"/>
        </w:rPr>
        <w:t>Q.</w:t>
      </w:r>
      <w:r>
        <w:rPr>
          <w:rFonts w:ascii="Arial" w:hAnsi="Arial" w:cs="Arial"/>
          <w:sz w:val="24"/>
          <w:szCs w:val="24"/>
        </w:rPr>
        <w:t xml:space="preserve"> </w:t>
      </w:r>
      <w:r>
        <w:rPr>
          <w:rFonts w:ascii="Arial" w:hAnsi="Arial" w:cs="Arial"/>
          <w:b/>
          <w:sz w:val="24"/>
          <w:szCs w:val="24"/>
        </w:rPr>
        <w:tab/>
        <w:t xml:space="preserve">Does Ohio law favor competition over monopoly regulation? </w:t>
      </w:r>
    </w:p>
    <w:p w14:paraId="34707DDA" w14:textId="755B315A" w:rsidR="00ED469F" w:rsidRPr="006A06D9" w:rsidRDefault="00ED469F" w:rsidP="006A06D9">
      <w:pPr>
        <w:spacing w:line="480" w:lineRule="auto"/>
        <w:ind w:left="720" w:hanging="720"/>
        <w:jc w:val="both"/>
        <w:rPr>
          <w:rFonts w:ascii="Arial" w:hAnsi="Arial" w:cs="Arial"/>
          <w:sz w:val="24"/>
          <w:szCs w:val="24"/>
          <w:u w:val="single"/>
        </w:rPr>
      </w:pPr>
      <w:r w:rsidRPr="00ED469F">
        <w:rPr>
          <w:rFonts w:ascii="Arial" w:hAnsi="Arial" w:cs="Arial"/>
          <w:b/>
          <w:sz w:val="24"/>
          <w:szCs w:val="24"/>
        </w:rPr>
        <w:t xml:space="preserve"> </w:t>
      </w:r>
      <w:r w:rsidR="006A06D9" w:rsidRPr="001E3E0A">
        <w:rPr>
          <w:rFonts w:ascii="Arial" w:hAnsi="Arial" w:cs="Arial"/>
          <w:sz w:val="24"/>
          <w:szCs w:val="24"/>
        </w:rPr>
        <w:t>A.</w:t>
      </w:r>
      <w:r w:rsidR="006A06D9" w:rsidRPr="001E3E0A">
        <w:rPr>
          <w:rFonts w:ascii="Arial" w:hAnsi="Arial" w:cs="Arial"/>
          <w:sz w:val="24"/>
          <w:szCs w:val="24"/>
        </w:rPr>
        <w:tab/>
        <w:t>Yes</w:t>
      </w:r>
      <w:r w:rsidR="006A06D9">
        <w:rPr>
          <w:rFonts w:ascii="Arial" w:hAnsi="Arial" w:cs="Arial"/>
          <w:sz w:val="24"/>
          <w:szCs w:val="24"/>
        </w:rPr>
        <w:t xml:space="preserve">.  With the enactment of Senate Bill 2, the Ohio General Assembly chose to </w:t>
      </w:r>
      <w:r w:rsidR="00077272">
        <w:rPr>
          <w:rFonts w:ascii="Arial" w:hAnsi="Arial" w:cs="Arial"/>
          <w:sz w:val="24"/>
          <w:szCs w:val="24"/>
        </w:rPr>
        <w:t>abandon the vertically integrated monopoly utility model and set Ohio down the path of electric competition.  For the last 15 years</w:t>
      </w:r>
      <w:r w:rsidR="002337A2">
        <w:rPr>
          <w:rFonts w:ascii="Arial" w:hAnsi="Arial" w:cs="Arial"/>
          <w:sz w:val="24"/>
          <w:szCs w:val="24"/>
        </w:rPr>
        <w:t>,</w:t>
      </w:r>
      <w:r w:rsidR="00077272">
        <w:rPr>
          <w:rFonts w:ascii="Arial" w:hAnsi="Arial" w:cs="Arial"/>
          <w:sz w:val="24"/>
          <w:szCs w:val="24"/>
        </w:rPr>
        <w:t xml:space="preserve"> Ohio ha</w:t>
      </w:r>
      <w:r w:rsidR="002548F8">
        <w:rPr>
          <w:rFonts w:ascii="Arial" w:hAnsi="Arial" w:cs="Arial"/>
          <w:sz w:val="24"/>
          <w:szCs w:val="24"/>
        </w:rPr>
        <w:t>s moved down that path (albeit at times slowly)</w:t>
      </w:r>
      <w:r w:rsidR="00077272">
        <w:rPr>
          <w:rFonts w:ascii="Arial" w:hAnsi="Arial" w:cs="Arial"/>
          <w:sz w:val="24"/>
          <w:szCs w:val="24"/>
        </w:rPr>
        <w:t xml:space="preserve"> in no small part due to the efforts of the Commission.  Ohio customers are</w:t>
      </w:r>
      <w:r w:rsidR="00E07439">
        <w:rPr>
          <w:rFonts w:ascii="Arial" w:hAnsi="Arial" w:cs="Arial"/>
          <w:sz w:val="24"/>
          <w:szCs w:val="24"/>
        </w:rPr>
        <w:t xml:space="preserve"> just now</w:t>
      </w:r>
      <w:r w:rsidR="00305502">
        <w:rPr>
          <w:rFonts w:ascii="Arial" w:hAnsi="Arial" w:cs="Arial"/>
          <w:sz w:val="24"/>
          <w:szCs w:val="24"/>
        </w:rPr>
        <w:t xml:space="preserve"> starting to realize</w:t>
      </w:r>
      <w:r w:rsidR="00077272">
        <w:rPr>
          <w:rFonts w:ascii="Arial" w:hAnsi="Arial" w:cs="Arial"/>
          <w:sz w:val="24"/>
          <w:szCs w:val="24"/>
        </w:rPr>
        <w:t xml:space="preserve"> the benefits </w:t>
      </w:r>
      <w:r w:rsidR="00E07439">
        <w:rPr>
          <w:rFonts w:ascii="Arial" w:hAnsi="Arial" w:cs="Arial"/>
          <w:sz w:val="24"/>
          <w:szCs w:val="24"/>
        </w:rPr>
        <w:t>of competition</w:t>
      </w:r>
      <w:r w:rsidR="002548F8">
        <w:rPr>
          <w:rFonts w:ascii="Arial" w:hAnsi="Arial" w:cs="Arial"/>
          <w:sz w:val="24"/>
          <w:szCs w:val="24"/>
        </w:rPr>
        <w:t xml:space="preserve"> and the Commission’s efforts</w:t>
      </w:r>
      <w:r w:rsidR="00077272">
        <w:rPr>
          <w:rFonts w:ascii="Arial" w:hAnsi="Arial" w:cs="Arial"/>
          <w:sz w:val="24"/>
          <w:szCs w:val="24"/>
        </w:rPr>
        <w:t>.  Adoption of the Third Supplemental Stipulation would be a fundamental shift of the Commission’s previous pro-competitive policies and decisions</w:t>
      </w:r>
      <w:r w:rsidR="002548F8">
        <w:rPr>
          <w:rFonts w:ascii="Arial" w:hAnsi="Arial" w:cs="Arial"/>
          <w:sz w:val="24"/>
          <w:szCs w:val="24"/>
        </w:rPr>
        <w:t>.</w:t>
      </w:r>
      <w:r w:rsidR="00077272">
        <w:rPr>
          <w:rFonts w:ascii="Arial" w:hAnsi="Arial" w:cs="Arial"/>
          <w:sz w:val="24"/>
          <w:szCs w:val="24"/>
        </w:rPr>
        <w:t xml:space="preserve"> Certainly there is still much work to be done </w:t>
      </w:r>
      <w:r w:rsidR="002548F8">
        <w:rPr>
          <w:rFonts w:ascii="Arial" w:hAnsi="Arial" w:cs="Arial"/>
          <w:sz w:val="24"/>
          <w:szCs w:val="24"/>
        </w:rPr>
        <w:t>for Ohio customers to realize the full benefits of retail competition</w:t>
      </w:r>
      <w:r w:rsidR="00EC131E">
        <w:rPr>
          <w:rFonts w:ascii="Arial" w:hAnsi="Arial" w:cs="Arial"/>
          <w:sz w:val="24"/>
          <w:szCs w:val="24"/>
        </w:rPr>
        <w:t>,</w:t>
      </w:r>
      <w:r w:rsidR="002548F8">
        <w:rPr>
          <w:rFonts w:ascii="Arial" w:hAnsi="Arial" w:cs="Arial"/>
          <w:sz w:val="24"/>
          <w:szCs w:val="24"/>
        </w:rPr>
        <w:t xml:space="preserve"> and th</w:t>
      </w:r>
      <w:r w:rsidR="00D140D2">
        <w:rPr>
          <w:rFonts w:ascii="Arial" w:hAnsi="Arial" w:cs="Arial"/>
          <w:sz w:val="24"/>
          <w:szCs w:val="24"/>
        </w:rPr>
        <w:t xml:space="preserve">is is why I continue to recommend </w:t>
      </w:r>
      <w:r w:rsidR="002548F8">
        <w:rPr>
          <w:rFonts w:ascii="Arial" w:hAnsi="Arial" w:cs="Arial"/>
          <w:sz w:val="24"/>
          <w:szCs w:val="24"/>
        </w:rPr>
        <w:t>additi</w:t>
      </w:r>
      <w:r w:rsidR="00EC131E">
        <w:rPr>
          <w:rFonts w:ascii="Arial" w:hAnsi="Arial" w:cs="Arial"/>
          <w:sz w:val="24"/>
          <w:szCs w:val="24"/>
        </w:rPr>
        <w:t>onal retail market enhancements</w:t>
      </w:r>
      <w:r w:rsidR="002548F8">
        <w:rPr>
          <w:rFonts w:ascii="Arial" w:hAnsi="Arial" w:cs="Arial"/>
          <w:sz w:val="24"/>
          <w:szCs w:val="24"/>
        </w:rPr>
        <w:t xml:space="preserve">; however, adoption of the Third Supplemental Stipulation would subvert Ohio’s pro-competitive policies, </w:t>
      </w:r>
      <w:r w:rsidR="002548F8">
        <w:rPr>
          <w:rFonts w:ascii="Arial" w:hAnsi="Arial" w:cs="Arial"/>
          <w:sz w:val="24"/>
          <w:szCs w:val="24"/>
        </w:rPr>
        <w:lastRenderedPageBreak/>
        <w:t>and the Commissi</w:t>
      </w:r>
      <w:r w:rsidR="00305502">
        <w:rPr>
          <w:rFonts w:ascii="Arial" w:hAnsi="Arial" w:cs="Arial"/>
          <w:sz w:val="24"/>
          <w:szCs w:val="24"/>
        </w:rPr>
        <w:t>on’s previous efforts to move</w:t>
      </w:r>
      <w:r w:rsidR="002548F8">
        <w:rPr>
          <w:rFonts w:ascii="Arial" w:hAnsi="Arial" w:cs="Arial"/>
          <w:sz w:val="24"/>
          <w:szCs w:val="24"/>
        </w:rPr>
        <w:t xml:space="preserve"> competitive retail electric markets</w:t>
      </w:r>
      <w:r w:rsidR="00305502">
        <w:rPr>
          <w:rFonts w:ascii="Arial" w:hAnsi="Arial" w:cs="Arial"/>
          <w:sz w:val="24"/>
          <w:szCs w:val="24"/>
        </w:rPr>
        <w:t xml:space="preserve"> forward</w:t>
      </w:r>
      <w:r w:rsidR="002548F8">
        <w:rPr>
          <w:rFonts w:ascii="Arial" w:hAnsi="Arial" w:cs="Arial"/>
          <w:sz w:val="24"/>
          <w:szCs w:val="24"/>
        </w:rPr>
        <w:t xml:space="preserve">. </w:t>
      </w:r>
    </w:p>
    <w:p w14:paraId="30DAE451" w14:textId="748656E5" w:rsidR="00ED469F" w:rsidRDefault="00CB0752" w:rsidP="00ED469F">
      <w:pPr>
        <w:spacing w:line="480" w:lineRule="auto"/>
        <w:jc w:val="both"/>
        <w:rPr>
          <w:rFonts w:ascii="Arial" w:hAnsi="Arial" w:cs="Arial"/>
          <w:b/>
          <w:sz w:val="24"/>
          <w:szCs w:val="24"/>
        </w:rPr>
      </w:pPr>
      <w:r>
        <w:rPr>
          <w:rFonts w:ascii="Arial" w:hAnsi="Arial" w:cs="Arial"/>
          <w:b/>
          <w:sz w:val="24"/>
          <w:szCs w:val="24"/>
        </w:rPr>
        <w:t>3</w:t>
      </w:r>
      <w:r w:rsidR="00EC131E">
        <w:rPr>
          <w:rFonts w:ascii="Arial" w:hAnsi="Arial" w:cs="Arial"/>
          <w:b/>
          <w:sz w:val="24"/>
          <w:szCs w:val="24"/>
        </w:rPr>
        <w:t>.</w:t>
      </w:r>
      <w:r w:rsidR="00EC131E">
        <w:rPr>
          <w:rFonts w:ascii="Arial" w:hAnsi="Arial" w:cs="Arial"/>
          <w:b/>
          <w:sz w:val="24"/>
          <w:szCs w:val="24"/>
        </w:rPr>
        <w:tab/>
        <w:t>The Third Supplemental Stipulation Has a Numbe</w:t>
      </w:r>
      <w:r w:rsidR="00305502">
        <w:rPr>
          <w:rFonts w:ascii="Arial" w:hAnsi="Arial" w:cs="Arial"/>
          <w:b/>
          <w:sz w:val="24"/>
          <w:szCs w:val="24"/>
        </w:rPr>
        <w:t xml:space="preserve">r of Significant Add-Ons </w:t>
      </w:r>
      <w:r w:rsidR="00305502">
        <w:rPr>
          <w:rFonts w:ascii="Arial" w:hAnsi="Arial" w:cs="Arial"/>
          <w:b/>
          <w:sz w:val="24"/>
          <w:szCs w:val="24"/>
        </w:rPr>
        <w:tab/>
        <w:t>that W</w:t>
      </w:r>
      <w:r w:rsidR="00EC131E">
        <w:rPr>
          <w:rFonts w:ascii="Arial" w:hAnsi="Arial" w:cs="Arial"/>
          <w:b/>
          <w:sz w:val="24"/>
          <w:szCs w:val="24"/>
        </w:rPr>
        <w:t>ill Largely</w:t>
      </w:r>
      <w:r w:rsidR="00305502">
        <w:rPr>
          <w:rFonts w:ascii="Arial" w:hAnsi="Arial" w:cs="Arial"/>
          <w:b/>
          <w:sz w:val="24"/>
          <w:szCs w:val="24"/>
        </w:rPr>
        <w:t xml:space="preserve"> Benefit</w:t>
      </w:r>
      <w:r w:rsidR="00EC131E">
        <w:rPr>
          <w:rFonts w:ascii="Arial" w:hAnsi="Arial" w:cs="Arial"/>
          <w:b/>
          <w:sz w:val="24"/>
          <w:szCs w:val="24"/>
        </w:rPr>
        <w:t xml:space="preserve"> FirstEnergy</w:t>
      </w:r>
      <w:r w:rsidR="007A523A">
        <w:rPr>
          <w:rFonts w:ascii="Arial" w:hAnsi="Arial" w:cs="Arial"/>
          <w:b/>
          <w:sz w:val="24"/>
          <w:szCs w:val="24"/>
        </w:rPr>
        <w:t xml:space="preserve"> Shareholders</w:t>
      </w:r>
      <w:r w:rsidR="00EC131E">
        <w:rPr>
          <w:rFonts w:ascii="Arial" w:hAnsi="Arial" w:cs="Arial"/>
          <w:b/>
          <w:sz w:val="24"/>
          <w:szCs w:val="24"/>
        </w:rPr>
        <w:t xml:space="preserve"> at the Expense of </w:t>
      </w:r>
      <w:r w:rsidR="007A523A">
        <w:rPr>
          <w:rFonts w:ascii="Arial" w:hAnsi="Arial" w:cs="Arial"/>
          <w:b/>
          <w:sz w:val="24"/>
          <w:szCs w:val="24"/>
        </w:rPr>
        <w:tab/>
      </w:r>
      <w:r w:rsidR="00EC131E">
        <w:rPr>
          <w:rFonts w:ascii="Arial" w:hAnsi="Arial" w:cs="Arial"/>
          <w:b/>
          <w:sz w:val="24"/>
          <w:szCs w:val="24"/>
        </w:rPr>
        <w:t>Customer</w:t>
      </w:r>
      <w:r w:rsidR="00DB2336">
        <w:rPr>
          <w:rFonts w:ascii="Arial" w:hAnsi="Arial" w:cs="Arial"/>
          <w:b/>
          <w:sz w:val="24"/>
          <w:szCs w:val="24"/>
        </w:rPr>
        <w:t>s</w:t>
      </w:r>
    </w:p>
    <w:p w14:paraId="088F0C30" w14:textId="500F0B68" w:rsidR="005440CF" w:rsidRDefault="00EC131E" w:rsidP="005440CF">
      <w:pPr>
        <w:spacing w:line="480" w:lineRule="auto"/>
        <w:ind w:left="720" w:hanging="720"/>
        <w:jc w:val="both"/>
        <w:rPr>
          <w:rFonts w:ascii="Arial" w:hAnsi="Arial" w:cs="Arial"/>
          <w:b/>
          <w:sz w:val="24"/>
          <w:szCs w:val="24"/>
        </w:rPr>
      </w:pPr>
      <w:r w:rsidRPr="005440CF">
        <w:rPr>
          <w:rFonts w:ascii="Arial" w:hAnsi="Arial" w:cs="Arial"/>
          <w:b/>
          <w:sz w:val="24"/>
          <w:szCs w:val="24"/>
        </w:rPr>
        <w:t>Q.</w:t>
      </w:r>
      <w:r w:rsidRPr="005440CF">
        <w:rPr>
          <w:rFonts w:ascii="Arial" w:hAnsi="Arial" w:cs="Arial"/>
          <w:b/>
          <w:sz w:val="24"/>
          <w:szCs w:val="24"/>
        </w:rPr>
        <w:tab/>
      </w:r>
      <w:r w:rsidR="005440CF" w:rsidRPr="005440CF">
        <w:rPr>
          <w:rFonts w:ascii="Arial" w:hAnsi="Arial" w:cs="Arial"/>
          <w:b/>
          <w:sz w:val="24"/>
          <w:szCs w:val="24"/>
        </w:rPr>
        <w:t>Are many of the additional provisions in the Third Supplemental Stipulation</w:t>
      </w:r>
      <w:r w:rsidR="005440CF">
        <w:rPr>
          <w:rFonts w:ascii="Arial" w:hAnsi="Arial" w:cs="Arial"/>
          <w:b/>
          <w:sz w:val="24"/>
          <w:szCs w:val="24"/>
        </w:rPr>
        <w:t xml:space="preserve"> reasonable?</w:t>
      </w:r>
    </w:p>
    <w:p w14:paraId="50C70BA5" w14:textId="66BFA61B" w:rsidR="00EC131E" w:rsidRPr="005440CF" w:rsidRDefault="005440CF" w:rsidP="005440CF">
      <w:pPr>
        <w:spacing w:line="480" w:lineRule="auto"/>
        <w:ind w:left="720" w:hanging="720"/>
        <w:jc w:val="both"/>
        <w:rPr>
          <w:rFonts w:ascii="Arial" w:hAnsi="Arial" w:cs="Arial"/>
          <w:sz w:val="24"/>
          <w:szCs w:val="24"/>
        </w:rPr>
      </w:pPr>
      <w:r>
        <w:rPr>
          <w:rFonts w:ascii="Arial" w:hAnsi="Arial" w:cs="Arial"/>
          <w:sz w:val="24"/>
          <w:szCs w:val="24"/>
        </w:rPr>
        <w:t>A.</w:t>
      </w:r>
      <w:r>
        <w:rPr>
          <w:rFonts w:ascii="Arial" w:hAnsi="Arial" w:cs="Arial"/>
          <w:b/>
          <w:sz w:val="24"/>
          <w:szCs w:val="24"/>
        </w:rPr>
        <w:tab/>
        <w:t xml:space="preserve"> </w:t>
      </w:r>
      <w:r w:rsidR="002E68BC">
        <w:rPr>
          <w:rFonts w:ascii="Arial" w:hAnsi="Arial" w:cs="Arial"/>
          <w:sz w:val="24"/>
          <w:szCs w:val="24"/>
        </w:rPr>
        <w:t xml:space="preserve">No.  </w:t>
      </w:r>
      <w:r>
        <w:rPr>
          <w:rFonts w:ascii="Arial" w:hAnsi="Arial" w:cs="Arial"/>
          <w:sz w:val="24"/>
          <w:szCs w:val="24"/>
        </w:rPr>
        <w:t>Given the</w:t>
      </w:r>
      <w:r w:rsidR="002E68BC">
        <w:rPr>
          <w:rFonts w:ascii="Arial" w:hAnsi="Arial" w:cs="Arial"/>
          <w:sz w:val="24"/>
          <w:szCs w:val="24"/>
        </w:rPr>
        <w:t xml:space="preserve"> significant</w:t>
      </w:r>
      <w:r>
        <w:rPr>
          <w:rFonts w:ascii="Arial" w:hAnsi="Arial" w:cs="Arial"/>
          <w:sz w:val="24"/>
          <w:szCs w:val="24"/>
        </w:rPr>
        <w:t xml:space="preserve"> benefits that FirstEnergy shareholders would receive </w:t>
      </w:r>
      <w:r w:rsidR="002E68BC">
        <w:rPr>
          <w:rFonts w:ascii="Arial" w:hAnsi="Arial" w:cs="Arial"/>
          <w:sz w:val="24"/>
          <w:szCs w:val="24"/>
        </w:rPr>
        <w:t>from approval</w:t>
      </w:r>
      <w:r>
        <w:rPr>
          <w:rFonts w:ascii="Arial" w:hAnsi="Arial" w:cs="Arial"/>
          <w:sz w:val="24"/>
          <w:szCs w:val="24"/>
        </w:rPr>
        <w:t xml:space="preserve"> </w:t>
      </w:r>
      <w:r w:rsidR="002E68BC">
        <w:rPr>
          <w:rFonts w:ascii="Arial" w:hAnsi="Arial" w:cs="Arial"/>
          <w:sz w:val="24"/>
          <w:szCs w:val="24"/>
        </w:rPr>
        <w:t xml:space="preserve">of </w:t>
      </w:r>
      <w:r>
        <w:rPr>
          <w:rFonts w:ascii="Arial" w:hAnsi="Arial" w:cs="Arial"/>
          <w:sz w:val="24"/>
          <w:szCs w:val="24"/>
        </w:rPr>
        <w:t>Rider</w:t>
      </w:r>
      <w:r w:rsidR="004932FB">
        <w:rPr>
          <w:rFonts w:ascii="Arial" w:hAnsi="Arial" w:cs="Arial"/>
          <w:sz w:val="24"/>
          <w:szCs w:val="24"/>
        </w:rPr>
        <w:t xml:space="preserve"> RRS</w:t>
      </w:r>
      <w:r w:rsidR="002337A2">
        <w:rPr>
          <w:rFonts w:ascii="Arial" w:hAnsi="Arial" w:cs="Arial"/>
          <w:sz w:val="24"/>
          <w:szCs w:val="24"/>
        </w:rPr>
        <w:t>,</w:t>
      </w:r>
      <w:r w:rsidR="002E68BC">
        <w:rPr>
          <w:rFonts w:ascii="Arial" w:hAnsi="Arial" w:cs="Arial"/>
          <w:sz w:val="24"/>
          <w:szCs w:val="24"/>
        </w:rPr>
        <w:t xml:space="preserve"> one would expect that</w:t>
      </w:r>
      <w:r w:rsidR="004932FB">
        <w:rPr>
          <w:rFonts w:ascii="Arial" w:hAnsi="Arial" w:cs="Arial"/>
          <w:sz w:val="24"/>
          <w:szCs w:val="24"/>
        </w:rPr>
        <w:t xml:space="preserve"> addition</w:t>
      </w:r>
      <w:r w:rsidR="002337A2">
        <w:rPr>
          <w:rFonts w:ascii="Arial" w:hAnsi="Arial" w:cs="Arial"/>
          <w:sz w:val="24"/>
          <w:szCs w:val="24"/>
        </w:rPr>
        <w:t>al</w:t>
      </w:r>
      <w:r w:rsidR="002E68BC">
        <w:rPr>
          <w:rFonts w:ascii="Arial" w:hAnsi="Arial" w:cs="Arial"/>
          <w:sz w:val="24"/>
          <w:szCs w:val="24"/>
        </w:rPr>
        <w:t xml:space="preserve"> provisions</w:t>
      </w:r>
      <w:r w:rsidR="00DB2336">
        <w:rPr>
          <w:rFonts w:ascii="Arial" w:hAnsi="Arial" w:cs="Arial"/>
          <w:sz w:val="24"/>
          <w:szCs w:val="24"/>
        </w:rPr>
        <w:t xml:space="preserve"> in</w:t>
      </w:r>
      <w:r w:rsidR="002E68BC">
        <w:rPr>
          <w:rFonts w:ascii="Arial" w:hAnsi="Arial" w:cs="Arial"/>
          <w:sz w:val="24"/>
          <w:szCs w:val="24"/>
        </w:rPr>
        <w:t xml:space="preserve"> a</w:t>
      </w:r>
      <w:r>
        <w:rPr>
          <w:rFonts w:ascii="Arial" w:hAnsi="Arial" w:cs="Arial"/>
          <w:sz w:val="24"/>
          <w:szCs w:val="24"/>
        </w:rPr>
        <w:t xml:space="preserve"> Stipulation</w:t>
      </w:r>
      <w:r w:rsidR="002E68BC">
        <w:rPr>
          <w:rFonts w:ascii="Arial" w:hAnsi="Arial" w:cs="Arial"/>
          <w:sz w:val="24"/>
          <w:szCs w:val="24"/>
        </w:rPr>
        <w:t xml:space="preserve"> approving Rider RRS</w:t>
      </w:r>
      <w:r>
        <w:rPr>
          <w:rFonts w:ascii="Arial" w:hAnsi="Arial" w:cs="Arial"/>
          <w:sz w:val="24"/>
          <w:szCs w:val="24"/>
        </w:rPr>
        <w:t xml:space="preserve"> would </w:t>
      </w:r>
      <w:r w:rsidR="002E68BC">
        <w:rPr>
          <w:rFonts w:ascii="Arial" w:hAnsi="Arial" w:cs="Arial"/>
          <w:sz w:val="24"/>
          <w:szCs w:val="24"/>
        </w:rPr>
        <w:t>not result in additional monetary benefits to FirstEnergy</w:t>
      </w:r>
      <w:r w:rsidR="002337A2">
        <w:rPr>
          <w:rFonts w:ascii="Arial" w:hAnsi="Arial" w:cs="Arial"/>
          <w:sz w:val="24"/>
          <w:szCs w:val="24"/>
        </w:rPr>
        <w:t>.</w:t>
      </w:r>
      <w:r w:rsidR="002E68BC">
        <w:rPr>
          <w:rFonts w:ascii="Arial" w:hAnsi="Arial" w:cs="Arial"/>
          <w:sz w:val="24"/>
          <w:szCs w:val="24"/>
        </w:rPr>
        <w:t xml:space="preserve"> </w:t>
      </w:r>
      <w:r w:rsidR="002337A2">
        <w:rPr>
          <w:rFonts w:ascii="Arial" w:hAnsi="Arial" w:cs="Arial"/>
          <w:sz w:val="24"/>
          <w:szCs w:val="24"/>
        </w:rPr>
        <w:t xml:space="preserve">However, </w:t>
      </w:r>
      <w:r>
        <w:rPr>
          <w:rFonts w:ascii="Arial" w:hAnsi="Arial" w:cs="Arial"/>
          <w:sz w:val="24"/>
          <w:szCs w:val="24"/>
        </w:rPr>
        <w:t>that is not the case with the Third Supplemental Stipulation</w:t>
      </w:r>
      <w:r w:rsidR="009C71CA">
        <w:rPr>
          <w:rFonts w:ascii="Arial" w:hAnsi="Arial" w:cs="Arial"/>
          <w:sz w:val="24"/>
          <w:szCs w:val="24"/>
        </w:rPr>
        <w:t xml:space="preserve"> -</w:t>
      </w:r>
      <w:r>
        <w:rPr>
          <w:rFonts w:ascii="Arial" w:hAnsi="Arial" w:cs="Arial"/>
          <w:sz w:val="24"/>
          <w:szCs w:val="24"/>
        </w:rPr>
        <w:t xml:space="preserve"> there </w:t>
      </w:r>
      <w:r w:rsidR="002E68BC">
        <w:rPr>
          <w:rFonts w:ascii="Arial" w:hAnsi="Arial" w:cs="Arial"/>
          <w:sz w:val="24"/>
          <w:szCs w:val="24"/>
        </w:rPr>
        <w:t xml:space="preserve">are a </w:t>
      </w:r>
      <w:r>
        <w:rPr>
          <w:rFonts w:ascii="Arial" w:hAnsi="Arial" w:cs="Arial"/>
          <w:sz w:val="24"/>
          <w:szCs w:val="24"/>
        </w:rPr>
        <w:t xml:space="preserve">number </w:t>
      </w:r>
      <w:r w:rsidR="002E68BC">
        <w:rPr>
          <w:rFonts w:ascii="Arial" w:hAnsi="Arial" w:cs="Arial"/>
          <w:sz w:val="24"/>
          <w:szCs w:val="24"/>
        </w:rPr>
        <w:t xml:space="preserve">of </w:t>
      </w:r>
      <w:r>
        <w:rPr>
          <w:rFonts w:ascii="Arial" w:hAnsi="Arial" w:cs="Arial"/>
          <w:sz w:val="24"/>
          <w:szCs w:val="24"/>
        </w:rPr>
        <w:t>additional provisions in the Third Supplemental Stipulation that</w:t>
      </w:r>
      <w:r w:rsidR="002E68BC">
        <w:rPr>
          <w:rFonts w:ascii="Arial" w:hAnsi="Arial" w:cs="Arial"/>
          <w:sz w:val="24"/>
          <w:szCs w:val="24"/>
        </w:rPr>
        <w:t xml:space="preserve"> would</w:t>
      </w:r>
      <w:r>
        <w:rPr>
          <w:rFonts w:ascii="Arial" w:hAnsi="Arial" w:cs="Arial"/>
          <w:sz w:val="24"/>
          <w:szCs w:val="24"/>
        </w:rPr>
        <w:t xml:space="preserve"> </w:t>
      </w:r>
      <w:r w:rsidR="002E68BC">
        <w:rPr>
          <w:rFonts w:ascii="Arial" w:hAnsi="Arial" w:cs="Arial"/>
          <w:sz w:val="24"/>
          <w:szCs w:val="24"/>
        </w:rPr>
        <w:t xml:space="preserve">make the ESP, as a package, </w:t>
      </w:r>
      <w:r w:rsidR="002E68BC" w:rsidRPr="007A523A">
        <w:rPr>
          <w:rFonts w:ascii="Arial" w:hAnsi="Arial" w:cs="Arial"/>
          <w:i/>
          <w:sz w:val="24"/>
          <w:szCs w:val="24"/>
        </w:rPr>
        <w:t>even more lucrative for</w:t>
      </w:r>
      <w:r w:rsidRPr="007A523A">
        <w:rPr>
          <w:rFonts w:ascii="Arial" w:hAnsi="Arial" w:cs="Arial"/>
          <w:i/>
          <w:sz w:val="24"/>
          <w:szCs w:val="24"/>
        </w:rPr>
        <w:t xml:space="preserve"> FirstEnergy</w:t>
      </w:r>
      <w:r w:rsidR="00DB2336" w:rsidRPr="007A523A">
        <w:rPr>
          <w:rFonts w:ascii="Arial" w:hAnsi="Arial" w:cs="Arial"/>
          <w:i/>
          <w:sz w:val="24"/>
          <w:szCs w:val="24"/>
        </w:rPr>
        <w:t xml:space="preserve"> shareholders</w:t>
      </w:r>
      <w:r w:rsidR="00DB2336">
        <w:rPr>
          <w:rFonts w:ascii="Arial" w:hAnsi="Arial" w:cs="Arial"/>
          <w:sz w:val="24"/>
          <w:szCs w:val="24"/>
        </w:rPr>
        <w:t xml:space="preserve"> than the ESP application as filed</w:t>
      </w:r>
      <w:r>
        <w:rPr>
          <w:rFonts w:ascii="Arial" w:hAnsi="Arial" w:cs="Arial"/>
          <w:sz w:val="24"/>
          <w:szCs w:val="24"/>
        </w:rPr>
        <w:t>.</w:t>
      </w:r>
    </w:p>
    <w:p w14:paraId="0E38D651" w14:textId="3308BE21" w:rsidR="00ED469F" w:rsidRDefault="002E68BC" w:rsidP="002E68BC">
      <w:pPr>
        <w:pStyle w:val="ListParagraph"/>
        <w:spacing w:line="480" w:lineRule="auto"/>
        <w:ind w:hanging="720"/>
        <w:jc w:val="both"/>
        <w:rPr>
          <w:rFonts w:ascii="Arial" w:hAnsi="Arial" w:cs="Arial"/>
          <w:b/>
          <w:sz w:val="24"/>
          <w:szCs w:val="24"/>
        </w:rPr>
      </w:pPr>
      <w:r w:rsidRPr="002E68BC">
        <w:rPr>
          <w:rFonts w:ascii="Arial" w:hAnsi="Arial" w:cs="Arial"/>
          <w:b/>
          <w:sz w:val="24"/>
          <w:szCs w:val="24"/>
        </w:rPr>
        <w:t>Q.</w:t>
      </w:r>
      <w:r w:rsidRPr="002E68BC">
        <w:rPr>
          <w:rFonts w:ascii="Arial" w:hAnsi="Arial" w:cs="Arial"/>
          <w:b/>
          <w:sz w:val="24"/>
          <w:szCs w:val="24"/>
        </w:rPr>
        <w:tab/>
      </w:r>
      <w:r>
        <w:rPr>
          <w:rFonts w:ascii="Arial" w:hAnsi="Arial" w:cs="Arial"/>
          <w:b/>
          <w:sz w:val="24"/>
          <w:szCs w:val="24"/>
        </w:rPr>
        <w:t xml:space="preserve">Can you please discuss the </w:t>
      </w:r>
      <w:r w:rsidRPr="002E68BC">
        <w:rPr>
          <w:rFonts w:ascii="Arial" w:hAnsi="Arial" w:cs="Arial"/>
          <w:b/>
          <w:i/>
          <w:sz w:val="24"/>
          <w:szCs w:val="24"/>
        </w:rPr>
        <w:t>additional</w:t>
      </w:r>
      <w:r>
        <w:rPr>
          <w:rFonts w:ascii="Arial" w:hAnsi="Arial" w:cs="Arial"/>
          <w:b/>
          <w:sz w:val="24"/>
          <w:szCs w:val="24"/>
        </w:rPr>
        <w:t xml:space="preserve"> provisions in the Third Supplemental Stipulation</w:t>
      </w:r>
      <w:r w:rsidR="009C71CA">
        <w:rPr>
          <w:rFonts w:ascii="Arial" w:hAnsi="Arial" w:cs="Arial"/>
          <w:b/>
          <w:sz w:val="24"/>
          <w:szCs w:val="24"/>
        </w:rPr>
        <w:t xml:space="preserve"> that will result in increased earnings for FirstEnergy shareholders, beyond what would be receive</w:t>
      </w:r>
      <w:r w:rsidR="002337A2">
        <w:rPr>
          <w:rFonts w:ascii="Arial" w:hAnsi="Arial" w:cs="Arial"/>
          <w:b/>
          <w:sz w:val="24"/>
          <w:szCs w:val="24"/>
        </w:rPr>
        <w:t>d</w:t>
      </w:r>
      <w:r w:rsidR="009C71CA">
        <w:rPr>
          <w:rFonts w:ascii="Arial" w:hAnsi="Arial" w:cs="Arial"/>
          <w:b/>
          <w:sz w:val="24"/>
          <w:szCs w:val="24"/>
        </w:rPr>
        <w:t xml:space="preserve"> from Rider RRS</w:t>
      </w:r>
      <w:r>
        <w:rPr>
          <w:rFonts w:ascii="Arial" w:hAnsi="Arial" w:cs="Arial"/>
          <w:b/>
          <w:sz w:val="24"/>
          <w:szCs w:val="24"/>
        </w:rPr>
        <w:t>?</w:t>
      </w:r>
    </w:p>
    <w:p w14:paraId="2C50044C" w14:textId="61543D3D" w:rsidR="002E68BC" w:rsidRDefault="002E68BC" w:rsidP="002E68BC">
      <w:pPr>
        <w:pStyle w:val="ListParagraph"/>
        <w:spacing w:line="480" w:lineRule="auto"/>
        <w:ind w:hanging="720"/>
        <w:jc w:val="both"/>
        <w:rPr>
          <w:rFonts w:ascii="Arial" w:hAnsi="Arial" w:cs="Arial"/>
          <w:sz w:val="24"/>
          <w:szCs w:val="24"/>
        </w:rPr>
      </w:pPr>
      <w:r w:rsidRPr="002E68BC">
        <w:rPr>
          <w:rFonts w:ascii="Arial" w:hAnsi="Arial" w:cs="Arial"/>
          <w:sz w:val="24"/>
          <w:szCs w:val="24"/>
        </w:rPr>
        <w:t>A.</w:t>
      </w:r>
      <w:r w:rsidRPr="002E68BC">
        <w:rPr>
          <w:rFonts w:ascii="Arial" w:hAnsi="Arial" w:cs="Arial"/>
          <w:sz w:val="24"/>
          <w:szCs w:val="24"/>
        </w:rPr>
        <w:tab/>
      </w:r>
      <w:r>
        <w:rPr>
          <w:rFonts w:ascii="Arial" w:hAnsi="Arial" w:cs="Arial"/>
          <w:sz w:val="24"/>
          <w:szCs w:val="24"/>
        </w:rPr>
        <w:t>Yes</w:t>
      </w:r>
      <w:r w:rsidR="002337A2">
        <w:rPr>
          <w:rFonts w:ascii="Arial" w:hAnsi="Arial" w:cs="Arial"/>
          <w:sz w:val="24"/>
          <w:szCs w:val="24"/>
        </w:rPr>
        <w:t>.</w:t>
      </w:r>
      <w:r w:rsidR="009C71CA">
        <w:rPr>
          <w:rFonts w:ascii="Arial" w:hAnsi="Arial" w:cs="Arial"/>
          <w:sz w:val="24"/>
          <w:szCs w:val="24"/>
        </w:rPr>
        <w:t xml:space="preserve"> </w:t>
      </w:r>
      <w:r w:rsidR="002337A2">
        <w:rPr>
          <w:rFonts w:ascii="Arial" w:hAnsi="Arial" w:cs="Arial"/>
          <w:sz w:val="24"/>
          <w:szCs w:val="24"/>
        </w:rPr>
        <w:t xml:space="preserve">There </w:t>
      </w:r>
      <w:r w:rsidR="009C71CA">
        <w:rPr>
          <w:rFonts w:ascii="Arial" w:hAnsi="Arial" w:cs="Arial"/>
          <w:sz w:val="24"/>
          <w:szCs w:val="24"/>
        </w:rPr>
        <w:t>are a number of additional provis</w:t>
      </w:r>
      <w:r w:rsidR="00D140D2">
        <w:rPr>
          <w:rFonts w:ascii="Arial" w:hAnsi="Arial" w:cs="Arial"/>
          <w:sz w:val="24"/>
          <w:szCs w:val="24"/>
        </w:rPr>
        <w:t>ions in the Stipulation that would</w:t>
      </w:r>
      <w:r w:rsidR="009C71CA">
        <w:rPr>
          <w:rFonts w:ascii="Arial" w:hAnsi="Arial" w:cs="Arial"/>
          <w:sz w:val="24"/>
          <w:szCs w:val="24"/>
        </w:rPr>
        <w:t xml:space="preserve"> result in </w:t>
      </w:r>
      <w:r w:rsidR="009C71CA" w:rsidRPr="009C71CA">
        <w:rPr>
          <w:rFonts w:ascii="Arial" w:hAnsi="Arial" w:cs="Arial"/>
          <w:i/>
          <w:sz w:val="24"/>
          <w:szCs w:val="24"/>
        </w:rPr>
        <w:t>increased</w:t>
      </w:r>
      <w:r w:rsidR="009C71CA">
        <w:rPr>
          <w:rFonts w:ascii="Arial" w:hAnsi="Arial" w:cs="Arial"/>
          <w:sz w:val="24"/>
          <w:szCs w:val="24"/>
        </w:rPr>
        <w:t xml:space="preserve"> earnings for FirstEnergy shareholders, </w:t>
      </w:r>
      <w:r w:rsidR="009C71CA" w:rsidRPr="007A523A">
        <w:rPr>
          <w:rFonts w:ascii="Arial" w:hAnsi="Arial" w:cs="Arial"/>
          <w:sz w:val="24"/>
          <w:szCs w:val="24"/>
        </w:rPr>
        <w:t>in addition</w:t>
      </w:r>
      <w:r w:rsidR="009C71CA" w:rsidRPr="009C71CA">
        <w:rPr>
          <w:rFonts w:ascii="Arial" w:hAnsi="Arial" w:cs="Arial"/>
          <w:i/>
          <w:sz w:val="24"/>
          <w:szCs w:val="24"/>
        </w:rPr>
        <w:t xml:space="preserve"> to</w:t>
      </w:r>
      <w:r w:rsidR="009C71CA">
        <w:rPr>
          <w:rFonts w:ascii="Arial" w:hAnsi="Arial" w:cs="Arial"/>
          <w:sz w:val="24"/>
          <w:szCs w:val="24"/>
        </w:rPr>
        <w:t xml:space="preserve"> Rider RRS.  Those provisions include</w:t>
      </w:r>
      <w:r>
        <w:rPr>
          <w:rFonts w:ascii="Arial" w:hAnsi="Arial" w:cs="Arial"/>
          <w:sz w:val="24"/>
          <w:szCs w:val="24"/>
        </w:rPr>
        <w:t>:</w:t>
      </w:r>
    </w:p>
    <w:p w14:paraId="535B3C0E" w14:textId="466704BE" w:rsidR="002E68BC" w:rsidRDefault="002E68BC" w:rsidP="002E68BC">
      <w:pPr>
        <w:pStyle w:val="ListParagraph"/>
        <w:numPr>
          <w:ilvl w:val="0"/>
          <w:numId w:val="43"/>
        </w:numPr>
        <w:spacing w:line="480" w:lineRule="auto"/>
        <w:jc w:val="both"/>
        <w:rPr>
          <w:rFonts w:ascii="Arial" w:hAnsi="Arial" w:cs="Arial"/>
          <w:sz w:val="24"/>
          <w:szCs w:val="24"/>
        </w:rPr>
      </w:pPr>
      <w:r>
        <w:rPr>
          <w:rFonts w:ascii="Arial" w:hAnsi="Arial" w:cs="Arial"/>
          <w:sz w:val="24"/>
          <w:szCs w:val="24"/>
        </w:rPr>
        <w:lastRenderedPageBreak/>
        <w:t xml:space="preserve">Provision E(3)(c) of the </w:t>
      </w:r>
      <w:r w:rsidRPr="002E68BC">
        <w:rPr>
          <w:rFonts w:ascii="Arial" w:hAnsi="Arial" w:cs="Arial"/>
          <w:sz w:val="24"/>
          <w:szCs w:val="24"/>
        </w:rPr>
        <w:t>Third Supplemental Stipulation</w:t>
      </w:r>
      <w:r>
        <w:rPr>
          <w:rFonts w:ascii="Arial" w:hAnsi="Arial" w:cs="Arial"/>
          <w:sz w:val="24"/>
          <w:szCs w:val="24"/>
        </w:rPr>
        <w:t xml:space="preserve"> </w:t>
      </w:r>
      <w:r w:rsidR="009C71CA">
        <w:rPr>
          <w:rFonts w:ascii="Arial" w:hAnsi="Arial" w:cs="Arial"/>
          <w:sz w:val="24"/>
          <w:szCs w:val="24"/>
        </w:rPr>
        <w:t>which would increase</w:t>
      </w:r>
      <w:r>
        <w:rPr>
          <w:rFonts w:ascii="Arial" w:hAnsi="Arial" w:cs="Arial"/>
          <w:sz w:val="24"/>
          <w:szCs w:val="24"/>
        </w:rPr>
        <w:t xml:space="preserve"> the amount of “shared savings” FirstEnergy can earn from its energy efficiency programs from $10 million to $25 million.  </w:t>
      </w:r>
      <w:r w:rsidR="00860274">
        <w:rPr>
          <w:rFonts w:ascii="Arial" w:hAnsi="Arial" w:cs="Arial"/>
          <w:sz w:val="24"/>
          <w:szCs w:val="24"/>
        </w:rPr>
        <w:t>FirstEnergy’s share</w:t>
      </w:r>
      <w:r w:rsidR="004932FB">
        <w:rPr>
          <w:rFonts w:ascii="Arial" w:hAnsi="Arial" w:cs="Arial"/>
          <w:sz w:val="24"/>
          <w:szCs w:val="24"/>
        </w:rPr>
        <w:t>d</w:t>
      </w:r>
      <w:r w:rsidR="00860274">
        <w:rPr>
          <w:rFonts w:ascii="Arial" w:hAnsi="Arial" w:cs="Arial"/>
          <w:sz w:val="24"/>
          <w:szCs w:val="24"/>
        </w:rPr>
        <w:t xml:space="preserve"> </w:t>
      </w:r>
      <w:r w:rsidR="004932FB">
        <w:rPr>
          <w:rFonts w:ascii="Arial" w:hAnsi="Arial" w:cs="Arial"/>
          <w:sz w:val="24"/>
          <w:szCs w:val="24"/>
        </w:rPr>
        <w:t>savings cap was</w:t>
      </w:r>
      <w:r w:rsidR="00860274">
        <w:rPr>
          <w:rFonts w:ascii="Arial" w:hAnsi="Arial" w:cs="Arial"/>
          <w:sz w:val="24"/>
          <w:szCs w:val="24"/>
        </w:rPr>
        <w:t xml:space="preserve"> set by the Commission in a previous energy efficiency plan case, and there is no apparent reason why </w:t>
      </w:r>
      <w:r w:rsidR="00860274" w:rsidRPr="002E68BC">
        <w:rPr>
          <w:rFonts w:ascii="Arial" w:hAnsi="Arial" w:cs="Arial"/>
          <w:sz w:val="24"/>
          <w:szCs w:val="24"/>
        </w:rPr>
        <w:t>Third Supplemental Stipulation</w:t>
      </w:r>
      <w:r w:rsidR="00860274">
        <w:rPr>
          <w:rFonts w:ascii="Arial" w:hAnsi="Arial" w:cs="Arial"/>
          <w:sz w:val="24"/>
          <w:szCs w:val="24"/>
        </w:rPr>
        <w:t xml:space="preserve"> should attempt to unilaterally give FirstEnergy shareholders $15 million </w:t>
      </w:r>
      <w:r w:rsidR="00860274" w:rsidRPr="00DB2336">
        <w:rPr>
          <w:rFonts w:ascii="Arial" w:hAnsi="Arial" w:cs="Arial"/>
          <w:i/>
          <w:sz w:val="24"/>
          <w:szCs w:val="24"/>
        </w:rPr>
        <w:t>more</w:t>
      </w:r>
      <w:r w:rsidR="00860274">
        <w:rPr>
          <w:rFonts w:ascii="Arial" w:hAnsi="Arial" w:cs="Arial"/>
          <w:sz w:val="24"/>
          <w:szCs w:val="24"/>
        </w:rPr>
        <w:t xml:space="preserve"> in earnings above what the Commission already approved in a previous case</w:t>
      </w:r>
      <w:r w:rsidR="002337A2">
        <w:rPr>
          <w:rFonts w:ascii="Arial" w:hAnsi="Arial" w:cs="Arial"/>
          <w:sz w:val="24"/>
          <w:szCs w:val="24"/>
        </w:rPr>
        <w:t>.</w:t>
      </w:r>
      <w:r w:rsidR="008979D4">
        <w:rPr>
          <w:rFonts w:ascii="Arial" w:hAnsi="Arial" w:cs="Arial"/>
          <w:sz w:val="24"/>
          <w:szCs w:val="24"/>
        </w:rPr>
        <w:t xml:space="preserve"> </w:t>
      </w:r>
    </w:p>
    <w:p w14:paraId="0D2386AE" w14:textId="3FEE390E" w:rsidR="00860274" w:rsidRDefault="00860274" w:rsidP="002E68BC">
      <w:pPr>
        <w:pStyle w:val="ListParagraph"/>
        <w:numPr>
          <w:ilvl w:val="0"/>
          <w:numId w:val="43"/>
        </w:numPr>
        <w:spacing w:line="480" w:lineRule="auto"/>
        <w:jc w:val="both"/>
        <w:rPr>
          <w:rFonts w:ascii="Arial" w:hAnsi="Arial" w:cs="Arial"/>
          <w:sz w:val="24"/>
          <w:szCs w:val="24"/>
        </w:rPr>
      </w:pPr>
      <w:r>
        <w:rPr>
          <w:rFonts w:ascii="Arial" w:hAnsi="Arial" w:cs="Arial"/>
          <w:sz w:val="24"/>
          <w:szCs w:val="24"/>
        </w:rPr>
        <w:t>Provision (G</w:t>
      </w:r>
      <w:proofErr w:type="gramStart"/>
      <w:r>
        <w:rPr>
          <w:rFonts w:ascii="Arial" w:hAnsi="Arial" w:cs="Arial"/>
          <w:sz w:val="24"/>
          <w:szCs w:val="24"/>
        </w:rPr>
        <w:t>)(</w:t>
      </w:r>
      <w:proofErr w:type="gramEnd"/>
      <w:r>
        <w:rPr>
          <w:rFonts w:ascii="Arial" w:hAnsi="Arial" w:cs="Arial"/>
          <w:sz w:val="24"/>
          <w:szCs w:val="24"/>
        </w:rPr>
        <w:t>2) of the Third Supplemental Stipulation increases the amount FirstEnergy can recover through its delivery capital recovery rider (“Rider DCR”) by over $100 million over the course of the ESP period.  This provision simply allows FirstEnergy to</w:t>
      </w:r>
      <w:r w:rsidR="004932FB">
        <w:rPr>
          <w:rFonts w:ascii="Arial" w:hAnsi="Arial" w:cs="Arial"/>
          <w:sz w:val="24"/>
          <w:szCs w:val="24"/>
        </w:rPr>
        <w:t xml:space="preserve"> earn more distribution revenue</w:t>
      </w:r>
      <w:r>
        <w:rPr>
          <w:rFonts w:ascii="Arial" w:hAnsi="Arial" w:cs="Arial"/>
          <w:sz w:val="24"/>
          <w:szCs w:val="24"/>
        </w:rPr>
        <w:t xml:space="preserve"> without having to come in for a distribution rate case to evaluate whether FirstEnergy’s return on</w:t>
      </w:r>
      <w:r w:rsidR="004932FB">
        <w:rPr>
          <w:rFonts w:ascii="Arial" w:hAnsi="Arial" w:cs="Arial"/>
          <w:sz w:val="24"/>
          <w:szCs w:val="24"/>
        </w:rPr>
        <w:t xml:space="preserve"> distribution </w:t>
      </w:r>
      <w:r>
        <w:rPr>
          <w:rFonts w:ascii="Arial" w:hAnsi="Arial" w:cs="Arial"/>
          <w:sz w:val="24"/>
          <w:szCs w:val="24"/>
        </w:rPr>
        <w:t>investment</w:t>
      </w:r>
      <w:r w:rsidR="004932FB">
        <w:rPr>
          <w:rFonts w:ascii="Arial" w:hAnsi="Arial" w:cs="Arial"/>
          <w:sz w:val="24"/>
          <w:szCs w:val="24"/>
        </w:rPr>
        <w:t>s</w:t>
      </w:r>
      <w:r>
        <w:rPr>
          <w:rFonts w:ascii="Arial" w:hAnsi="Arial" w:cs="Arial"/>
          <w:sz w:val="24"/>
          <w:szCs w:val="24"/>
        </w:rPr>
        <w:t xml:space="preserve"> is reasonable.  Again, there is no apparent reason why FirstEnergy shareholders are bei</w:t>
      </w:r>
      <w:r w:rsidR="00D140D2">
        <w:rPr>
          <w:rFonts w:ascii="Arial" w:hAnsi="Arial" w:cs="Arial"/>
          <w:sz w:val="24"/>
          <w:szCs w:val="24"/>
        </w:rPr>
        <w:t>ng afforded</w:t>
      </w:r>
      <w:r w:rsidR="009C71CA">
        <w:rPr>
          <w:rFonts w:ascii="Arial" w:hAnsi="Arial" w:cs="Arial"/>
          <w:sz w:val="24"/>
          <w:szCs w:val="24"/>
        </w:rPr>
        <w:t xml:space="preserve"> this additional profit</w:t>
      </w:r>
      <w:r>
        <w:rPr>
          <w:rFonts w:ascii="Arial" w:hAnsi="Arial" w:cs="Arial"/>
          <w:sz w:val="24"/>
          <w:szCs w:val="24"/>
        </w:rPr>
        <w:t xml:space="preserve"> earning opportunity, given FirstEnergy shareholders would already be reaping the benefit of Rider RRS.</w:t>
      </w:r>
    </w:p>
    <w:p w14:paraId="22A3D19B" w14:textId="59DE378B" w:rsidR="00860274" w:rsidRDefault="00860274" w:rsidP="002E68BC">
      <w:pPr>
        <w:pStyle w:val="ListParagraph"/>
        <w:numPr>
          <w:ilvl w:val="0"/>
          <w:numId w:val="43"/>
        </w:numPr>
        <w:spacing w:line="480" w:lineRule="auto"/>
        <w:jc w:val="both"/>
        <w:rPr>
          <w:rFonts w:ascii="Arial" w:hAnsi="Arial" w:cs="Arial"/>
          <w:sz w:val="24"/>
          <w:szCs w:val="24"/>
        </w:rPr>
      </w:pPr>
      <w:r>
        <w:rPr>
          <w:rFonts w:ascii="Arial" w:hAnsi="Arial" w:cs="Arial"/>
          <w:sz w:val="24"/>
          <w:szCs w:val="24"/>
        </w:rPr>
        <w:t>Provision D(3) of the Stipulation would give FirstEnerg</w:t>
      </w:r>
      <w:r w:rsidR="00CB0752">
        <w:rPr>
          <w:rFonts w:ascii="Arial" w:hAnsi="Arial" w:cs="Arial"/>
          <w:sz w:val="24"/>
          <w:szCs w:val="24"/>
        </w:rPr>
        <w:t>y a 50 basis point adder on an already substantial 10.38% return on equity FirstEnergy would be able to earn in its grid modernization infrastructure deployment. It is not clear why the Third Amended Stipulation would just give FirstEnergy Shareholders an addition 50 basis points return on equity, above the Commission approved rate o</w:t>
      </w:r>
      <w:r w:rsidR="009C71CA">
        <w:rPr>
          <w:rFonts w:ascii="Arial" w:hAnsi="Arial" w:cs="Arial"/>
          <w:sz w:val="24"/>
          <w:szCs w:val="24"/>
        </w:rPr>
        <w:t xml:space="preserve">f return, which is already generous </w:t>
      </w:r>
      <w:r w:rsidR="00CB0752">
        <w:rPr>
          <w:rFonts w:ascii="Arial" w:hAnsi="Arial" w:cs="Arial"/>
          <w:sz w:val="24"/>
          <w:szCs w:val="24"/>
        </w:rPr>
        <w:t xml:space="preserve">in this low interest rate environment.  </w:t>
      </w:r>
    </w:p>
    <w:p w14:paraId="7C7F0859" w14:textId="51F2CEA4" w:rsidR="004E6477" w:rsidRDefault="004E6477" w:rsidP="00BB5F98">
      <w:pPr>
        <w:spacing w:line="480" w:lineRule="auto"/>
        <w:ind w:left="720" w:hanging="720"/>
        <w:jc w:val="both"/>
        <w:rPr>
          <w:rFonts w:ascii="Arial" w:hAnsi="Arial" w:cs="Arial"/>
          <w:b/>
          <w:sz w:val="24"/>
          <w:szCs w:val="24"/>
        </w:rPr>
      </w:pPr>
      <w:r>
        <w:rPr>
          <w:rFonts w:ascii="Arial" w:hAnsi="Arial" w:cs="Arial"/>
          <w:b/>
          <w:sz w:val="24"/>
          <w:szCs w:val="24"/>
        </w:rPr>
        <w:lastRenderedPageBreak/>
        <w:t xml:space="preserve">Q. </w:t>
      </w:r>
      <w:r w:rsidR="00BB5F98">
        <w:rPr>
          <w:rFonts w:ascii="Arial" w:hAnsi="Arial" w:cs="Arial"/>
          <w:b/>
          <w:sz w:val="24"/>
          <w:szCs w:val="24"/>
        </w:rPr>
        <w:tab/>
      </w:r>
      <w:r w:rsidRPr="004E6477">
        <w:rPr>
          <w:rFonts w:ascii="Arial" w:hAnsi="Arial" w:cs="Arial"/>
          <w:b/>
          <w:sz w:val="24"/>
          <w:szCs w:val="24"/>
        </w:rPr>
        <w:t xml:space="preserve">Can you discuss the provisions in the </w:t>
      </w:r>
      <w:r>
        <w:rPr>
          <w:rFonts w:ascii="Arial" w:hAnsi="Arial" w:cs="Arial"/>
          <w:b/>
          <w:sz w:val="24"/>
          <w:szCs w:val="24"/>
        </w:rPr>
        <w:t>Third Supplemental</w:t>
      </w:r>
      <w:r w:rsidR="007A523A">
        <w:rPr>
          <w:rFonts w:ascii="Arial" w:hAnsi="Arial" w:cs="Arial"/>
          <w:b/>
          <w:sz w:val="24"/>
          <w:szCs w:val="24"/>
        </w:rPr>
        <w:t xml:space="preserve"> Stipulation</w:t>
      </w:r>
      <w:r w:rsidRPr="004E6477">
        <w:rPr>
          <w:rFonts w:ascii="Arial" w:hAnsi="Arial" w:cs="Arial"/>
          <w:b/>
          <w:sz w:val="24"/>
          <w:szCs w:val="24"/>
        </w:rPr>
        <w:t xml:space="preserve"> </w:t>
      </w:r>
      <w:r>
        <w:rPr>
          <w:rFonts w:ascii="Arial" w:hAnsi="Arial" w:cs="Arial"/>
          <w:b/>
          <w:sz w:val="24"/>
          <w:szCs w:val="24"/>
        </w:rPr>
        <w:t>that</w:t>
      </w:r>
      <w:r w:rsidRPr="004E6477">
        <w:rPr>
          <w:rFonts w:ascii="Arial" w:hAnsi="Arial" w:cs="Arial"/>
          <w:b/>
          <w:sz w:val="24"/>
          <w:szCs w:val="24"/>
        </w:rPr>
        <w:t xml:space="preserve"> insulate FirstEnergy from the risk of collecting distribution revenue at the expense of distributed generation development?</w:t>
      </w:r>
    </w:p>
    <w:p w14:paraId="7BF4818F" w14:textId="4E07ACF7" w:rsidR="004E6477" w:rsidRDefault="00BB5F98" w:rsidP="00BB5F98">
      <w:pPr>
        <w:spacing w:line="480" w:lineRule="auto"/>
        <w:ind w:left="720" w:hanging="720"/>
        <w:jc w:val="both"/>
        <w:rPr>
          <w:rFonts w:ascii="Arial" w:hAnsi="Arial" w:cs="Arial"/>
          <w:sz w:val="24"/>
          <w:szCs w:val="24"/>
        </w:rPr>
      </w:pPr>
      <w:r w:rsidRPr="00BB5F98">
        <w:rPr>
          <w:rFonts w:ascii="Arial" w:hAnsi="Arial" w:cs="Arial"/>
          <w:sz w:val="24"/>
          <w:szCs w:val="24"/>
        </w:rPr>
        <w:t>A.</w:t>
      </w:r>
      <w:r w:rsidR="004E6477">
        <w:rPr>
          <w:rFonts w:ascii="Arial" w:hAnsi="Arial" w:cs="Arial"/>
          <w:b/>
          <w:sz w:val="24"/>
          <w:szCs w:val="24"/>
        </w:rPr>
        <w:tab/>
      </w:r>
      <w:r w:rsidR="003D083A">
        <w:rPr>
          <w:rFonts w:ascii="Arial" w:hAnsi="Arial" w:cs="Arial"/>
          <w:sz w:val="24"/>
          <w:szCs w:val="24"/>
        </w:rPr>
        <w:t>Yes</w:t>
      </w:r>
      <w:r w:rsidR="002337A2">
        <w:rPr>
          <w:rFonts w:ascii="Arial" w:hAnsi="Arial" w:cs="Arial"/>
          <w:sz w:val="24"/>
          <w:szCs w:val="24"/>
        </w:rPr>
        <w:t>.</w:t>
      </w:r>
      <w:r w:rsidR="003D083A">
        <w:rPr>
          <w:rFonts w:ascii="Arial" w:hAnsi="Arial" w:cs="Arial"/>
          <w:sz w:val="24"/>
          <w:szCs w:val="24"/>
        </w:rPr>
        <w:t xml:space="preserve"> </w:t>
      </w:r>
      <w:r w:rsidR="002337A2">
        <w:rPr>
          <w:rFonts w:ascii="Arial" w:hAnsi="Arial" w:cs="Arial"/>
          <w:sz w:val="24"/>
          <w:szCs w:val="24"/>
        </w:rPr>
        <w:t xml:space="preserve">The </w:t>
      </w:r>
      <w:r w:rsidR="003D083A">
        <w:rPr>
          <w:rFonts w:ascii="Arial" w:hAnsi="Arial" w:cs="Arial"/>
          <w:sz w:val="24"/>
          <w:szCs w:val="24"/>
        </w:rPr>
        <w:t>Stipulation indicates that FirstEnergy will file a proposal to collect its distribution rates throu</w:t>
      </w:r>
      <w:r>
        <w:rPr>
          <w:rFonts w:ascii="Arial" w:hAnsi="Arial" w:cs="Arial"/>
          <w:sz w:val="24"/>
          <w:szCs w:val="24"/>
        </w:rPr>
        <w:t>g</w:t>
      </w:r>
      <w:r w:rsidR="003D083A">
        <w:rPr>
          <w:rFonts w:ascii="Arial" w:hAnsi="Arial" w:cs="Arial"/>
          <w:sz w:val="24"/>
          <w:szCs w:val="24"/>
        </w:rPr>
        <w:t xml:space="preserve">h a straight fixed variable (“SFV”) rate design.  Such a rate design would largely decouple the collection of FirstEnergy’s distribution revenue requirement from the amount of kilowatt hours its customers use.  This type of rate design reduces FirstEnergy’s risk of recovering the revenue requirement and disincentives distributed generation and energy efficiency. </w:t>
      </w:r>
      <w:r>
        <w:rPr>
          <w:rFonts w:ascii="Arial" w:hAnsi="Arial" w:cs="Arial"/>
          <w:sz w:val="24"/>
          <w:szCs w:val="24"/>
        </w:rPr>
        <w:t>However, even though FirstEnergy</w:t>
      </w:r>
      <w:r w:rsidR="000C5200">
        <w:rPr>
          <w:rFonts w:ascii="Arial" w:hAnsi="Arial" w:cs="Arial"/>
          <w:sz w:val="24"/>
          <w:szCs w:val="24"/>
        </w:rPr>
        <w:t xml:space="preserve">’s risk is reduced, there is no </w:t>
      </w:r>
      <w:r>
        <w:rPr>
          <w:rFonts w:ascii="Arial" w:hAnsi="Arial" w:cs="Arial"/>
          <w:sz w:val="24"/>
          <w:szCs w:val="24"/>
        </w:rPr>
        <w:t xml:space="preserve">corresponding reduction to FirstEnergy’s rate of return which was approved based on the risk profile of FirstEnergy’s current distribution rate design.  Again, this provision in the Stipulation that allows FirstEnergy to maintain the same rate of return, while significantly reducing FirstEnergy’s risk, is another give-away to FirstEnergy shareholders, on top of what is being received from Rider RRS. </w:t>
      </w:r>
    </w:p>
    <w:p w14:paraId="587F3178" w14:textId="3A5A4DCB" w:rsidR="003D083A" w:rsidRDefault="003D083A" w:rsidP="00BB5F98">
      <w:pPr>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How does a SFV rate design provide a disincentive to distributed generation and energy efficiency?</w:t>
      </w:r>
    </w:p>
    <w:p w14:paraId="4C497D57" w14:textId="0ED69BF2" w:rsidR="003D083A" w:rsidRDefault="003D083A" w:rsidP="00DC0928">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An SFV rate design largely uses a customer charge to collect the distribution revenue requirement.  In so doing, a customer that takes less electricity from the grid</w:t>
      </w:r>
      <w:r w:rsidR="00FA518F">
        <w:rPr>
          <w:rFonts w:ascii="Arial" w:hAnsi="Arial" w:cs="Arial"/>
          <w:sz w:val="24"/>
          <w:szCs w:val="24"/>
        </w:rPr>
        <w:t xml:space="preserve"> </w:t>
      </w:r>
      <w:r>
        <w:rPr>
          <w:rFonts w:ascii="Arial" w:hAnsi="Arial" w:cs="Arial"/>
          <w:sz w:val="24"/>
          <w:szCs w:val="24"/>
        </w:rPr>
        <w:t>will pay the same amount for distribution service as a customer that uses significantly more electricity.</w:t>
      </w:r>
      <w:r w:rsidR="00FA518F">
        <w:rPr>
          <w:rFonts w:ascii="Arial" w:hAnsi="Arial" w:cs="Arial"/>
          <w:sz w:val="24"/>
          <w:szCs w:val="24"/>
        </w:rPr>
        <w:t xml:space="preserve"> </w:t>
      </w:r>
      <w:proofErr w:type="gramStart"/>
      <w:r w:rsidR="00FA518F">
        <w:rPr>
          <w:rFonts w:ascii="Arial" w:hAnsi="Arial" w:cs="Arial"/>
          <w:sz w:val="24"/>
          <w:szCs w:val="24"/>
        </w:rPr>
        <w:t xml:space="preserve">Thus, customers that displace the electricity that they would otherwise take from the grid—as a result of either distributed </w:t>
      </w:r>
      <w:r w:rsidR="00FA518F">
        <w:rPr>
          <w:rFonts w:ascii="Arial" w:hAnsi="Arial" w:cs="Arial"/>
          <w:sz w:val="24"/>
          <w:szCs w:val="24"/>
        </w:rPr>
        <w:lastRenderedPageBreak/>
        <w:t>generation or energy efficiency—are unfairly punished by a SFV rate design.</w:t>
      </w:r>
      <w:proofErr w:type="gramEnd"/>
      <w:r w:rsidR="00DC0928">
        <w:rPr>
          <w:rFonts w:ascii="Arial" w:hAnsi="Arial" w:cs="Arial"/>
          <w:sz w:val="24"/>
          <w:szCs w:val="24"/>
        </w:rPr>
        <w:t xml:space="preserve">  As FirstEnergy noted i</w:t>
      </w:r>
      <w:r w:rsidR="00DC0928" w:rsidRPr="00DC0928">
        <w:rPr>
          <w:rFonts w:ascii="Arial" w:hAnsi="Arial" w:cs="Arial"/>
          <w:sz w:val="24"/>
          <w:szCs w:val="24"/>
        </w:rPr>
        <w:t>n when the Commission</w:t>
      </w:r>
      <w:r w:rsidR="00DC0928" w:rsidRPr="00DC0928">
        <w:rPr>
          <w:sz w:val="24"/>
          <w:szCs w:val="24"/>
        </w:rPr>
        <w:t xml:space="preserve"> </w:t>
      </w:r>
      <w:r w:rsidR="00DC0928" w:rsidRPr="00DC0928">
        <w:rPr>
          <w:rFonts w:ascii="Arial" w:hAnsi="Arial" w:cs="Arial"/>
          <w:sz w:val="24"/>
          <w:szCs w:val="24"/>
        </w:rPr>
        <w:t>opened a proceeding to evaluate the appropriateness of a distribution decoupling mechanism</w:t>
      </w:r>
      <w:r w:rsidR="00DC0928">
        <w:rPr>
          <w:rFonts w:ascii="Arial" w:hAnsi="Arial" w:cs="Arial"/>
          <w:sz w:val="24"/>
          <w:szCs w:val="24"/>
        </w:rPr>
        <w:t xml:space="preserve"> “[m]</w:t>
      </w:r>
      <w:proofErr w:type="spellStart"/>
      <w:r w:rsidR="00DC0928" w:rsidRPr="00DC0928">
        <w:rPr>
          <w:rFonts w:ascii="Arial" w:hAnsi="Arial" w:cs="Arial"/>
          <w:sz w:val="24"/>
          <w:szCs w:val="24"/>
        </w:rPr>
        <w:t>oving</w:t>
      </w:r>
      <w:proofErr w:type="spellEnd"/>
      <w:r w:rsidR="00DC0928" w:rsidRPr="00DC0928">
        <w:rPr>
          <w:rFonts w:ascii="Arial" w:hAnsi="Arial" w:cs="Arial"/>
          <w:sz w:val="24"/>
          <w:szCs w:val="24"/>
        </w:rPr>
        <w:t xml:space="preserve"> to a SFV design where customers are charged a fi</w:t>
      </w:r>
      <w:r w:rsidR="00DC0928">
        <w:rPr>
          <w:rFonts w:ascii="Arial" w:hAnsi="Arial" w:cs="Arial"/>
          <w:sz w:val="24"/>
          <w:szCs w:val="24"/>
        </w:rPr>
        <w:t xml:space="preserve">xed charge for distribution and </w:t>
      </w:r>
      <w:r w:rsidR="00DC0928" w:rsidRPr="00DC0928">
        <w:rPr>
          <w:rFonts w:ascii="Arial" w:hAnsi="Arial" w:cs="Arial"/>
          <w:sz w:val="24"/>
          <w:szCs w:val="24"/>
        </w:rPr>
        <w:t>a variable charge for generation diminishes the customer incent</w:t>
      </w:r>
      <w:r w:rsidR="00DC0928">
        <w:rPr>
          <w:rFonts w:ascii="Arial" w:hAnsi="Arial" w:cs="Arial"/>
          <w:sz w:val="24"/>
          <w:szCs w:val="24"/>
        </w:rPr>
        <w:t xml:space="preserve">ive needed to spur distribution </w:t>
      </w:r>
      <w:r w:rsidR="00DC0928" w:rsidRPr="00DC0928">
        <w:rPr>
          <w:rFonts w:ascii="Arial" w:hAnsi="Arial" w:cs="Arial"/>
          <w:sz w:val="24"/>
          <w:szCs w:val="24"/>
        </w:rPr>
        <w:t>efficiency and demand reductions from a customer perspective.</w:t>
      </w:r>
      <w:r w:rsidR="00DC0928">
        <w:rPr>
          <w:rFonts w:ascii="Arial" w:hAnsi="Arial" w:cs="Arial"/>
          <w:sz w:val="24"/>
          <w:szCs w:val="24"/>
        </w:rPr>
        <w:t>”</w:t>
      </w:r>
      <w:r w:rsidR="00DC0928">
        <w:rPr>
          <w:rStyle w:val="FootnoteReference"/>
          <w:rFonts w:ascii="Arial" w:hAnsi="Arial" w:cs="Arial"/>
          <w:sz w:val="24"/>
          <w:szCs w:val="24"/>
        </w:rPr>
        <w:footnoteReference w:id="5"/>
      </w:r>
    </w:p>
    <w:p w14:paraId="61324178" w14:textId="13299862" w:rsidR="003D083A" w:rsidRDefault="003D083A" w:rsidP="00BB5F98">
      <w:pPr>
        <w:spacing w:line="480" w:lineRule="auto"/>
        <w:ind w:left="720" w:hanging="720"/>
        <w:jc w:val="both"/>
        <w:rPr>
          <w:rFonts w:ascii="Arial" w:hAnsi="Arial" w:cs="Arial"/>
          <w:b/>
          <w:sz w:val="24"/>
          <w:szCs w:val="24"/>
        </w:rPr>
      </w:pPr>
      <w:r>
        <w:rPr>
          <w:rFonts w:ascii="Arial" w:hAnsi="Arial" w:cs="Arial"/>
          <w:b/>
          <w:sz w:val="24"/>
          <w:szCs w:val="24"/>
        </w:rPr>
        <w:t xml:space="preserve">Q. </w:t>
      </w:r>
      <w:r w:rsidR="00BB5F98">
        <w:rPr>
          <w:rFonts w:ascii="Arial" w:hAnsi="Arial" w:cs="Arial"/>
          <w:b/>
          <w:sz w:val="24"/>
          <w:szCs w:val="24"/>
        </w:rPr>
        <w:tab/>
      </w:r>
      <w:r>
        <w:rPr>
          <w:rFonts w:ascii="Arial" w:hAnsi="Arial" w:cs="Arial"/>
          <w:b/>
          <w:sz w:val="24"/>
          <w:szCs w:val="24"/>
        </w:rPr>
        <w:t>Should customers that reduce the amount of electricity they take from the grid be required to pay the same customer charge as other less efficient users of electricity?</w:t>
      </w:r>
    </w:p>
    <w:p w14:paraId="02E9D968" w14:textId="41ED576E" w:rsidR="003D083A" w:rsidRPr="003D083A" w:rsidRDefault="003D083A" w:rsidP="00BB5F98">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No</w:t>
      </w:r>
      <w:r w:rsidR="002337A2">
        <w:rPr>
          <w:rFonts w:ascii="Arial" w:hAnsi="Arial" w:cs="Arial"/>
          <w:sz w:val="24"/>
          <w:szCs w:val="24"/>
        </w:rPr>
        <w:t>.</w:t>
      </w:r>
      <w:r>
        <w:rPr>
          <w:rFonts w:ascii="Arial" w:hAnsi="Arial" w:cs="Arial"/>
          <w:sz w:val="24"/>
          <w:szCs w:val="24"/>
        </w:rPr>
        <w:t xml:space="preserve"> </w:t>
      </w:r>
      <w:r w:rsidR="002337A2">
        <w:rPr>
          <w:rFonts w:ascii="Arial" w:hAnsi="Arial" w:cs="Arial"/>
          <w:sz w:val="24"/>
          <w:szCs w:val="24"/>
        </w:rPr>
        <w:t xml:space="preserve">When </w:t>
      </w:r>
      <w:r>
        <w:rPr>
          <w:rFonts w:ascii="Arial" w:hAnsi="Arial" w:cs="Arial"/>
          <w:sz w:val="24"/>
          <w:szCs w:val="24"/>
        </w:rPr>
        <w:t>a customer reduces the amount of electricity that they take from the grid, they may reduce the need for expensive utility distribution infrastructure investment.</w:t>
      </w:r>
      <w:r w:rsidR="00FA518F">
        <w:rPr>
          <w:rFonts w:ascii="Arial" w:hAnsi="Arial" w:cs="Arial"/>
          <w:sz w:val="24"/>
          <w:szCs w:val="24"/>
        </w:rPr>
        <w:t xml:space="preserve">  This concept is the basis for establishing distribution level markets, such as in New York, broadly referred to as Reforming the Energy Vision (“REV”).   </w:t>
      </w:r>
    </w:p>
    <w:p w14:paraId="296B1358" w14:textId="4EDC59E2" w:rsidR="003D083A" w:rsidRDefault="00FA518F" w:rsidP="00BB5F98">
      <w:pPr>
        <w:spacing w:line="480" w:lineRule="auto"/>
        <w:ind w:left="720" w:hanging="720"/>
        <w:jc w:val="both"/>
        <w:rPr>
          <w:rFonts w:ascii="Arial" w:hAnsi="Arial" w:cs="Arial"/>
          <w:b/>
          <w:sz w:val="24"/>
          <w:szCs w:val="24"/>
        </w:rPr>
      </w:pPr>
      <w:r>
        <w:rPr>
          <w:rFonts w:ascii="Arial" w:hAnsi="Arial" w:cs="Arial"/>
          <w:b/>
          <w:sz w:val="24"/>
          <w:szCs w:val="24"/>
        </w:rPr>
        <w:t xml:space="preserve">Q.  </w:t>
      </w:r>
      <w:r w:rsidR="00BB5F98">
        <w:rPr>
          <w:rFonts w:ascii="Arial" w:hAnsi="Arial" w:cs="Arial"/>
          <w:b/>
          <w:sz w:val="24"/>
          <w:szCs w:val="24"/>
        </w:rPr>
        <w:tab/>
      </w:r>
      <w:r>
        <w:rPr>
          <w:rFonts w:ascii="Arial" w:hAnsi="Arial" w:cs="Arial"/>
          <w:b/>
          <w:sz w:val="24"/>
          <w:szCs w:val="24"/>
        </w:rPr>
        <w:t>Are there other problems with the proposal to establish an SFV?</w:t>
      </w:r>
    </w:p>
    <w:p w14:paraId="71C10F5C" w14:textId="635BD6BB" w:rsidR="004E6477" w:rsidRDefault="00FA518F" w:rsidP="00BB5F98">
      <w:pPr>
        <w:spacing w:line="480" w:lineRule="auto"/>
        <w:ind w:left="720" w:hanging="720"/>
        <w:jc w:val="both"/>
        <w:rPr>
          <w:rFonts w:ascii="Arial" w:hAnsi="Arial" w:cs="Arial"/>
          <w:sz w:val="24"/>
          <w:szCs w:val="24"/>
        </w:rPr>
      </w:pPr>
      <w:r>
        <w:rPr>
          <w:rFonts w:ascii="Arial" w:hAnsi="Arial" w:cs="Arial"/>
          <w:sz w:val="24"/>
          <w:szCs w:val="24"/>
        </w:rPr>
        <w:t xml:space="preserve">A.  </w:t>
      </w:r>
      <w:r w:rsidR="00BB5F98">
        <w:rPr>
          <w:rFonts w:ascii="Arial" w:hAnsi="Arial" w:cs="Arial"/>
          <w:sz w:val="24"/>
          <w:szCs w:val="24"/>
        </w:rPr>
        <w:tab/>
      </w:r>
      <w:r>
        <w:rPr>
          <w:rFonts w:ascii="Arial" w:hAnsi="Arial" w:cs="Arial"/>
          <w:sz w:val="24"/>
          <w:szCs w:val="24"/>
        </w:rPr>
        <w:t>Yes</w:t>
      </w:r>
      <w:r w:rsidR="002337A2">
        <w:rPr>
          <w:rFonts w:ascii="Arial" w:hAnsi="Arial" w:cs="Arial"/>
          <w:sz w:val="24"/>
          <w:szCs w:val="24"/>
        </w:rPr>
        <w:t>.</w:t>
      </w:r>
      <w:r>
        <w:rPr>
          <w:rFonts w:ascii="Arial" w:hAnsi="Arial" w:cs="Arial"/>
          <w:sz w:val="24"/>
          <w:szCs w:val="24"/>
        </w:rPr>
        <w:t xml:space="preserve"> </w:t>
      </w:r>
      <w:r w:rsidR="002337A2">
        <w:rPr>
          <w:rFonts w:ascii="Arial" w:hAnsi="Arial" w:cs="Arial"/>
          <w:sz w:val="24"/>
          <w:szCs w:val="24"/>
        </w:rPr>
        <w:t xml:space="preserve">Normally </w:t>
      </w:r>
      <w:r>
        <w:rPr>
          <w:rFonts w:ascii="Arial" w:hAnsi="Arial" w:cs="Arial"/>
          <w:sz w:val="24"/>
          <w:szCs w:val="24"/>
        </w:rPr>
        <w:t xml:space="preserve">such a drastic change in rate design would occur within the context of a distribution rate case and pursuant to a cost of service study.  Indeed, FirstEnergy raised this very issue when the Commission opened a proceeding to evaluate the appropriateness of a distribution decoupling </w:t>
      </w:r>
      <w:r>
        <w:rPr>
          <w:rFonts w:ascii="Arial" w:hAnsi="Arial" w:cs="Arial"/>
          <w:sz w:val="24"/>
          <w:szCs w:val="24"/>
        </w:rPr>
        <w:lastRenderedPageBreak/>
        <w:t>mechanism:  “</w:t>
      </w:r>
      <w:r w:rsidRPr="00FA518F">
        <w:rPr>
          <w:rFonts w:ascii="Arial" w:hAnsi="Arial" w:cs="Arial"/>
          <w:sz w:val="24"/>
          <w:szCs w:val="24"/>
        </w:rPr>
        <w:t>The Companies also recommend that any effort</w:t>
      </w:r>
      <w:r>
        <w:rPr>
          <w:rFonts w:ascii="Arial" w:hAnsi="Arial" w:cs="Arial"/>
          <w:sz w:val="24"/>
          <w:szCs w:val="24"/>
        </w:rPr>
        <w:t xml:space="preserve">s to implement a straight fixed </w:t>
      </w:r>
      <w:r w:rsidRPr="00FA518F">
        <w:rPr>
          <w:rFonts w:ascii="Arial" w:hAnsi="Arial" w:cs="Arial"/>
          <w:sz w:val="24"/>
          <w:szCs w:val="24"/>
        </w:rPr>
        <w:t>variable approach for electric utilities not move forward until the e</w:t>
      </w:r>
      <w:r>
        <w:rPr>
          <w:rFonts w:ascii="Arial" w:hAnsi="Arial" w:cs="Arial"/>
          <w:sz w:val="24"/>
          <w:szCs w:val="24"/>
        </w:rPr>
        <w:t xml:space="preserve">lectric utility's filing of its </w:t>
      </w:r>
      <w:r w:rsidRPr="00FA518F">
        <w:rPr>
          <w:rFonts w:ascii="Arial" w:hAnsi="Arial" w:cs="Arial"/>
          <w:sz w:val="24"/>
          <w:szCs w:val="24"/>
        </w:rPr>
        <w:t>nex</w:t>
      </w:r>
      <w:r>
        <w:rPr>
          <w:rFonts w:ascii="Arial" w:hAnsi="Arial" w:cs="Arial"/>
          <w:sz w:val="24"/>
          <w:szCs w:val="24"/>
        </w:rPr>
        <w:t>t base distribution rate case.”</w:t>
      </w:r>
      <w:r w:rsidR="00DC0928">
        <w:rPr>
          <w:rStyle w:val="FootnoteReference"/>
          <w:rFonts w:ascii="Arial" w:hAnsi="Arial" w:cs="Arial"/>
          <w:sz w:val="24"/>
          <w:szCs w:val="24"/>
        </w:rPr>
        <w:footnoteReference w:id="6"/>
      </w:r>
      <w:r>
        <w:rPr>
          <w:rFonts w:ascii="Arial" w:hAnsi="Arial" w:cs="Arial"/>
          <w:sz w:val="24"/>
          <w:szCs w:val="24"/>
        </w:rPr>
        <w:t xml:space="preserve">  </w:t>
      </w:r>
    </w:p>
    <w:p w14:paraId="0B582F15" w14:textId="78856FA4" w:rsidR="003757FC" w:rsidRDefault="003757FC" w:rsidP="003757FC">
      <w:pPr>
        <w:spacing w:line="480" w:lineRule="auto"/>
        <w:ind w:left="720" w:hanging="720"/>
        <w:jc w:val="both"/>
        <w:rPr>
          <w:rFonts w:ascii="Arial" w:hAnsi="Arial" w:cs="Arial"/>
          <w:b/>
          <w:sz w:val="24"/>
          <w:szCs w:val="24"/>
        </w:rPr>
      </w:pPr>
      <w:r>
        <w:rPr>
          <w:rFonts w:ascii="Arial" w:hAnsi="Arial" w:cs="Arial"/>
          <w:b/>
          <w:sz w:val="24"/>
          <w:szCs w:val="24"/>
        </w:rPr>
        <w:t xml:space="preserve">Q. </w:t>
      </w:r>
      <w:r>
        <w:rPr>
          <w:rFonts w:ascii="Arial" w:hAnsi="Arial" w:cs="Arial"/>
          <w:b/>
          <w:sz w:val="24"/>
          <w:szCs w:val="24"/>
        </w:rPr>
        <w:tab/>
        <w:t>Does the Third Supplemental Stipulation contain any additional inappropriate subsidies of generation-related resources?</w:t>
      </w:r>
    </w:p>
    <w:p w14:paraId="3B6B8520" w14:textId="6E7F39A1" w:rsidR="003757FC" w:rsidRDefault="003757FC" w:rsidP="003C2A3C">
      <w:pPr>
        <w:spacing w:line="480" w:lineRule="auto"/>
        <w:ind w:left="720" w:hanging="720"/>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t>Yes</w:t>
      </w:r>
      <w:r w:rsidR="002337A2">
        <w:rPr>
          <w:rFonts w:ascii="Arial" w:hAnsi="Arial" w:cs="Arial"/>
          <w:sz w:val="24"/>
          <w:szCs w:val="24"/>
        </w:rPr>
        <w:t>.</w:t>
      </w:r>
      <w:r>
        <w:rPr>
          <w:rFonts w:ascii="Arial" w:hAnsi="Arial" w:cs="Arial"/>
          <w:sz w:val="24"/>
          <w:szCs w:val="24"/>
        </w:rPr>
        <w:t xml:space="preserve"> </w:t>
      </w:r>
      <w:r w:rsidR="002337A2">
        <w:rPr>
          <w:rFonts w:ascii="Arial" w:hAnsi="Arial" w:cs="Arial"/>
          <w:sz w:val="24"/>
          <w:szCs w:val="24"/>
        </w:rPr>
        <w:t xml:space="preserve">The </w:t>
      </w:r>
      <w:r>
        <w:rPr>
          <w:rFonts w:ascii="Arial" w:hAnsi="Arial" w:cs="Arial"/>
          <w:sz w:val="24"/>
          <w:szCs w:val="24"/>
        </w:rPr>
        <w:t>Stipulation proposes that FirstEnergy has the authority to develop batter</w:t>
      </w:r>
      <w:r w:rsidR="007A523A">
        <w:rPr>
          <w:rFonts w:ascii="Arial" w:hAnsi="Arial" w:cs="Arial"/>
          <w:sz w:val="24"/>
          <w:szCs w:val="24"/>
        </w:rPr>
        <w:t>y</w:t>
      </w:r>
      <w:r>
        <w:rPr>
          <w:rFonts w:ascii="Arial" w:hAnsi="Arial" w:cs="Arial"/>
          <w:sz w:val="24"/>
          <w:szCs w:val="24"/>
        </w:rPr>
        <w:t xml:space="preserve"> resources and recover the cost of such investment through rate base.  Batteries are distributed generation resources that can be used to sell energy, capacity, demand response, and ancillary services (frequency regulation) into the wholesale market.  Moreover, batteries can be used in conjunction with renewable energy (such as solar and wind) to enhance the value of these resources.  Because batteries relate to generation service, it would run afoul of state policy to recover the cost of these resources through distribution rates.  Finally, given that CRES providers such as IGS have already invested in these resources without the guarantee of a regulated return, it would be unfair, unjust, and unreasonable to allow FirstEnergy to place the risk of its investment on the backs of distribution customers. </w:t>
      </w:r>
    </w:p>
    <w:p w14:paraId="66AC5CA5" w14:textId="780AA76D" w:rsidR="003C2A3C" w:rsidRPr="003C2A3C" w:rsidRDefault="003C2A3C" w:rsidP="003C2A3C">
      <w:pPr>
        <w:spacing w:line="480" w:lineRule="auto"/>
        <w:ind w:left="720" w:hanging="720"/>
        <w:jc w:val="both"/>
        <w:rPr>
          <w:rFonts w:ascii="Arial" w:hAnsi="Arial" w:cs="Arial"/>
          <w:b/>
          <w:sz w:val="24"/>
          <w:szCs w:val="24"/>
        </w:rPr>
      </w:pPr>
      <w:r w:rsidRPr="003C2A3C">
        <w:rPr>
          <w:rFonts w:ascii="Arial" w:hAnsi="Arial" w:cs="Arial"/>
          <w:b/>
          <w:sz w:val="24"/>
          <w:szCs w:val="24"/>
        </w:rPr>
        <w:t>Q.</w:t>
      </w:r>
      <w:r w:rsidRPr="003C2A3C">
        <w:rPr>
          <w:rFonts w:ascii="Arial" w:hAnsi="Arial" w:cs="Arial"/>
          <w:b/>
          <w:sz w:val="24"/>
          <w:szCs w:val="24"/>
        </w:rPr>
        <w:tab/>
        <w:t>As a whole is approval of the Third Supplemental Stipulation more lucrative for FirstEnergy than just approving the ESP Application as filed?</w:t>
      </w:r>
    </w:p>
    <w:p w14:paraId="2D51E894" w14:textId="4ED37E05" w:rsidR="00860274" w:rsidRPr="00DB2336" w:rsidRDefault="003C2A3C" w:rsidP="003C2A3C">
      <w:pPr>
        <w:spacing w:line="480" w:lineRule="auto"/>
        <w:ind w:left="720" w:hanging="630"/>
        <w:jc w:val="both"/>
        <w:rPr>
          <w:rFonts w:ascii="Arial" w:hAnsi="Arial" w:cs="Arial"/>
          <w:sz w:val="24"/>
          <w:szCs w:val="24"/>
          <w:highlight w:val="yellow"/>
        </w:rPr>
      </w:pPr>
      <w:r>
        <w:rPr>
          <w:rFonts w:ascii="Arial" w:hAnsi="Arial" w:cs="Arial"/>
          <w:sz w:val="24"/>
          <w:szCs w:val="24"/>
        </w:rPr>
        <w:t>A.</w:t>
      </w:r>
      <w:r>
        <w:rPr>
          <w:rFonts w:ascii="Arial" w:hAnsi="Arial" w:cs="Arial"/>
          <w:sz w:val="24"/>
          <w:szCs w:val="24"/>
        </w:rPr>
        <w:tab/>
        <w:t>Yes. M</w:t>
      </w:r>
      <w:r w:rsidR="00DB2336">
        <w:rPr>
          <w:rFonts w:ascii="Arial" w:hAnsi="Arial" w:cs="Arial"/>
          <w:sz w:val="24"/>
          <w:szCs w:val="24"/>
        </w:rPr>
        <w:t>any of the additional provisions in the Third Amended Stipulation actually made the ESP more luc</w:t>
      </w:r>
      <w:r w:rsidR="00B03212">
        <w:rPr>
          <w:rFonts w:ascii="Arial" w:hAnsi="Arial" w:cs="Arial"/>
          <w:sz w:val="24"/>
          <w:szCs w:val="24"/>
        </w:rPr>
        <w:t xml:space="preserve">rative for FirstEnergy.  One would think if FirstEnergy </w:t>
      </w:r>
      <w:r w:rsidR="00B03212">
        <w:rPr>
          <w:rFonts w:ascii="Arial" w:hAnsi="Arial" w:cs="Arial"/>
          <w:sz w:val="24"/>
          <w:szCs w:val="24"/>
        </w:rPr>
        <w:lastRenderedPageBreak/>
        <w:t>shareholders were to receive such a great benefit as Rider RRS, the Commission would not want to then give FirstEnerg</w:t>
      </w:r>
      <w:r>
        <w:rPr>
          <w:rFonts w:ascii="Arial" w:hAnsi="Arial" w:cs="Arial"/>
          <w:sz w:val="24"/>
          <w:szCs w:val="24"/>
        </w:rPr>
        <w:t>y shareholders even more monetary benefit</w:t>
      </w:r>
      <w:r w:rsidR="00B03212">
        <w:rPr>
          <w:rFonts w:ascii="Arial" w:hAnsi="Arial" w:cs="Arial"/>
          <w:sz w:val="24"/>
          <w:szCs w:val="24"/>
        </w:rPr>
        <w:t>.  For this reason</w:t>
      </w:r>
      <w:r w:rsidR="002337A2">
        <w:rPr>
          <w:rFonts w:ascii="Arial" w:hAnsi="Arial" w:cs="Arial"/>
          <w:sz w:val="24"/>
          <w:szCs w:val="24"/>
        </w:rPr>
        <w:t>,</w:t>
      </w:r>
      <w:r w:rsidR="00B03212">
        <w:rPr>
          <w:rFonts w:ascii="Arial" w:hAnsi="Arial" w:cs="Arial"/>
          <w:sz w:val="24"/>
          <w:szCs w:val="24"/>
        </w:rPr>
        <w:t xml:space="preserve"> th</w:t>
      </w:r>
      <w:r w:rsidR="004932FB">
        <w:rPr>
          <w:rFonts w:ascii="Arial" w:hAnsi="Arial" w:cs="Arial"/>
          <w:sz w:val="24"/>
          <w:szCs w:val="24"/>
        </w:rPr>
        <w:t>e Commission should not approve</w:t>
      </w:r>
      <w:r w:rsidR="00B03212">
        <w:rPr>
          <w:rFonts w:ascii="Arial" w:hAnsi="Arial" w:cs="Arial"/>
          <w:sz w:val="24"/>
          <w:szCs w:val="24"/>
        </w:rPr>
        <w:t xml:space="preserve"> the Third Supplemental Stipulation.</w:t>
      </w:r>
      <w:r w:rsidR="00DB2336" w:rsidRPr="00DB2336">
        <w:rPr>
          <w:rFonts w:ascii="Arial" w:hAnsi="Arial" w:cs="Arial"/>
          <w:sz w:val="24"/>
          <w:szCs w:val="24"/>
        </w:rPr>
        <w:t xml:space="preserve"> </w:t>
      </w:r>
      <w:r w:rsidR="00860274" w:rsidRPr="00DB2336">
        <w:rPr>
          <w:rFonts w:ascii="Arial" w:hAnsi="Arial" w:cs="Arial"/>
          <w:sz w:val="24"/>
          <w:szCs w:val="24"/>
          <w:highlight w:val="yellow"/>
        </w:rPr>
        <w:t xml:space="preserve">   </w:t>
      </w:r>
    </w:p>
    <w:p w14:paraId="033727FB" w14:textId="463AD41E" w:rsidR="00CB0752" w:rsidRDefault="00CB0752" w:rsidP="00CB0752">
      <w:pPr>
        <w:pStyle w:val="ListParagraph"/>
        <w:spacing w:line="480" w:lineRule="auto"/>
        <w:ind w:left="0"/>
        <w:jc w:val="both"/>
        <w:rPr>
          <w:rFonts w:ascii="Arial" w:hAnsi="Arial" w:cs="Arial"/>
          <w:b/>
          <w:sz w:val="24"/>
          <w:szCs w:val="24"/>
        </w:rPr>
      </w:pPr>
      <w:r>
        <w:rPr>
          <w:rFonts w:ascii="Arial" w:hAnsi="Arial" w:cs="Arial"/>
          <w:b/>
          <w:sz w:val="24"/>
          <w:szCs w:val="24"/>
        </w:rPr>
        <w:t>III.</w:t>
      </w:r>
      <w:r>
        <w:rPr>
          <w:rFonts w:ascii="Arial" w:hAnsi="Arial" w:cs="Arial"/>
          <w:b/>
          <w:sz w:val="24"/>
          <w:szCs w:val="24"/>
        </w:rPr>
        <w:tab/>
      </w:r>
      <w:r w:rsidRPr="00D03AC4">
        <w:rPr>
          <w:rFonts w:ascii="Arial" w:hAnsi="Arial" w:cs="Arial"/>
          <w:b/>
          <w:sz w:val="24"/>
          <w:szCs w:val="24"/>
          <w:u w:val="single"/>
        </w:rPr>
        <w:t>CONCLUSION</w:t>
      </w:r>
    </w:p>
    <w:p w14:paraId="4083DBD7" w14:textId="4E4692E9" w:rsidR="00CB0752" w:rsidRDefault="00CB0752" w:rsidP="00CB0752">
      <w:pPr>
        <w:pStyle w:val="ListParagraph"/>
        <w:spacing w:line="480" w:lineRule="auto"/>
        <w:ind w:left="0"/>
        <w:jc w:val="both"/>
        <w:rPr>
          <w:rFonts w:ascii="Arial" w:hAnsi="Arial" w:cs="Arial"/>
          <w:b/>
          <w:sz w:val="24"/>
          <w:szCs w:val="24"/>
        </w:rPr>
      </w:pPr>
      <w:r>
        <w:rPr>
          <w:rFonts w:ascii="Arial" w:hAnsi="Arial" w:cs="Arial"/>
          <w:b/>
          <w:sz w:val="24"/>
          <w:szCs w:val="24"/>
        </w:rPr>
        <w:t>Q.</w:t>
      </w:r>
      <w:r>
        <w:rPr>
          <w:rFonts w:ascii="Arial" w:hAnsi="Arial" w:cs="Arial"/>
          <w:b/>
          <w:sz w:val="24"/>
          <w:szCs w:val="24"/>
        </w:rPr>
        <w:tab/>
        <w:t>Can you please summarize your</w:t>
      </w:r>
      <w:r w:rsidR="000565F2">
        <w:rPr>
          <w:rFonts w:ascii="Arial" w:hAnsi="Arial" w:cs="Arial"/>
          <w:b/>
          <w:sz w:val="24"/>
          <w:szCs w:val="24"/>
        </w:rPr>
        <w:t xml:space="preserve"> testimony and</w:t>
      </w:r>
      <w:r>
        <w:rPr>
          <w:rFonts w:ascii="Arial" w:hAnsi="Arial" w:cs="Arial"/>
          <w:b/>
          <w:sz w:val="24"/>
          <w:szCs w:val="24"/>
        </w:rPr>
        <w:t xml:space="preserve"> recommendations?</w:t>
      </w:r>
    </w:p>
    <w:p w14:paraId="64282962" w14:textId="4C7BA881" w:rsidR="00CB0752" w:rsidRDefault="00CB0752" w:rsidP="00CB0752">
      <w:pPr>
        <w:pStyle w:val="ListParagraph"/>
        <w:spacing w:line="480" w:lineRule="auto"/>
        <w:ind w:hanging="720"/>
        <w:jc w:val="both"/>
        <w:rPr>
          <w:rFonts w:ascii="Arial" w:hAnsi="Arial" w:cs="Arial"/>
          <w:sz w:val="24"/>
          <w:szCs w:val="24"/>
        </w:rPr>
      </w:pPr>
      <w:r w:rsidRPr="00CB0752">
        <w:rPr>
          <w:rFonts w:ascii="Arial" w:hAnsi="Arial" w:cs="Arial"/>
          <w:sz w:val="24"/>
          <w:szCs w:val="24"/>
        </w:rPr>
        <w:t>A.</w:t>
      </w:r>
      <w:r w:rsidRPr="00CB0752">
        <w:rPr>
          <w:rFonts w:ascii="Arial" w:hAnsi="Arial" w:cs="Arial"/>
          <w:sz w:val="24"/>
          <w:szCs w:val="24"/>
        </w:rPr>
        <w:tab/>
      </w:r>
      <w:r>
        <w:rPr>
          <w:rFonts w:ascii="Arial" w:hAnsi="Arial" w:cs="Arial"/>
          <w:sz w:val="24"/>
          <w:szCs w:val="24"/>
        </w:rPr>
        <w:t>Yes. As I explained in my previous testimony filed in this proceeding, FirstEnergy’s ESP Application as filed is unreasonable and should be rejected unless</w:t>
      </w:r>
      <w:r w:rsidR="000565F2">
        <w:rPr>
          <w:rFonts w:ascii="Arial" w:hAnsi="Arial" w:cs="Arial"/>
          <w:sz w:val="24"/>
          <w:szCs w:val="24"/>
        </w:rPr>
        <w:t xml:space="preserve"> substantial modifications are</w:t>
      </w:r>
      <w:r>
        <w:rPr>
          <w:rFonts w:ascii="Arial" w:hAnsi="Arial" w:cs="Arial"/>
          <w:sz w:val="24"/>
          <w:szCs w:val="24"/>
        </w:rPr>
        <w:t xml:space="preserve"> made to the application that would enhance the retail</w:t>
      </w:r>
      <w:r w:rsidR="000565F2">
        <w:rPr>
          <w:rFonts w:ascii="Arial" w:hAnsi="Arial" w:cs="Arial"/>
          <w:sz w:val="24"/>
          <w:szCs w:val="24"/>
        </w:rPr>
        <w:t xml:space="preserve"> electric</w:t>
      </w:r>
      <w:r w:rsidR="009C71CA">
        <w:rPr>
          <w:rFonts w:ascii="Arial" w:hAnsi="Arial" w:cs="Arial"/>
          <w:sz w:val="24"/>
          <w:szCs w:val="24"/>
        </w:rPr>
        <w:t xml:space="preserve"> market. </w:t>
      </w:r>
      <w:r w:rsidR="00B03212">
        <w:rPr>
          <w:rFonts w:ascii="Arial" w:hAnsi="Arial" w:cs="Arial"/>
          <w:sz w:val="24"/>
          <w:szCs w:val="24"/>
        </w:rPr>
        <w:t>However,</w:t>
      </w:r>
      <w:r>
        <w:rPr>
          <w:rFonts w:ascii="Arial" w:hAnsi="Arial" w:cs="Arial"/>
          <w:sz w:val="24"/>
          <w:szCs w:val="24"/>
        </w:rPr>
        <w:t xml:space="preserve"> the Third Supplemental Stipulation</w:t>
      </w:r>
      <w:r w:rsidR="00B03212">
        <w:rPr>
          <w:rFonts w:ascii="Arial" w:hAnsi="Arial" w:cs="Arial"/>
          <w:sz w:val="24"/>
          <w:szCs w:val="24"/>
        </w:rPr>
        <w:t xml:space="preserve"> does</w:t>
      </w:r>
      <w:r>
        <w:rPr>
          <w:rFonts w:ascii="Arial" w:hAnsi="Arial" w:cs="Arial"/>
          <w:sz w:val="24"/>
          <w:szCs w:val="24"/>
        </w:rPr>
        <w:t xml:space="preserve"> not</w:t>
      </w:r>
      <w:r w:rsidR="00B03212">
        <w:rPr>
          <w:rFonts w:ascii="Arial" w:hAnsi="Arial" w:cs="Arial"/>
          <w:sz w:val="24"/>
          <w:szCs w:val="24"/>
        </w:rPr>
        <w:t xml:space="preserve"> improve FirstEnergy’s ESP Application – it makes it worse.  The Third Amended Stipulation contains no retail market enhancements such as those I </w:t>
      </w:r>
      <w:r>
        <w:rPr>
          <w:rFonts w:ascii="Arial" w:hAnsi="Arial" w:cs="Arial"/>
          <w:sz w:val="24"/>
          <w:szCs w:val="24"/>
        </w:rPr>
        <w:t>described in my direct te</w:t>
      </w:r>
      <w:r w:rsidR="00B03212">
        <w:rPr>
          <w:rFonts w:ascii="Arial" w:hAnsi="Arial" w:cs="Arial"/>
          <w:sz w:val="24"/>
          <w:szCs w:val="24"/>
        </w:rPr>
        <w:t>stimony; rather</w:t>
      </w:r>
      <w:r>
        <w:rPr>
          <w:rFonts w:ascii="Arial" w:hAnsi="Arial" w:cs="Arial"/>
          <w:sz w:val="24"/>
          <w:szCs w:val="24"/>
        </w:rPr>
        <w:t xml:space="preserve"> </w:t>
      </w:r>
      <w:r w:rsidR="000565F2">
        <w:rPr>
          <w:rFonts w:ascii="Arial" w:hAnsi="Arial" w:cs="Arial"/>
          <w:sz w:val="24"/>
          <w:szCs w:val="24"/>
        </w:rPr>
        <w:t>the Third Supplemental Stipulation contains pro</w:t>
      </w:r>
      <w:r w:rsidR="00B03212">
        <w:rPr>
          <w:rFonts w:ascii="Arial" w:hAnsi="Arial" w:cs="Arial"/>
          <w:sz w:val="24"/>
          <w:szCs w:val="24"/>
        </w:rPr>
        <w:t xml:space="preserve">visions that would actually </w:t>
      </w:r>
      <w:r w:rsidR="004932FB">
        <w:rPr>
          <w:rFonts w:ascii="Arial" w:hAnsi="Arial" w:cs="Arial"/>
          <w:sz w:val="24"/>
          <w:szCs w:val="24"/>
        </w:rPr>
        <w:t>be even more harmful for</w:t>
      </w:r>
      <w:r w:rsidR="000565F2">
        <w:rPr>
          <w:rFonts w:ascii="Arial" w:hAnsi="Arial" w:cs="Arial"/>
          <w:sz w:val="24"/>
          <w:szCs w:val="24"/>
        </w:rPr>
        <w:t xml:space="preserve"> Ohio</w:t>
      </w:r>
      <w:r w:rsidR="00B03212">
        <w:rPr>
          <w:rFonts w:ascii="Arial" w:hAnsi="Arial" w:cs="Arial"/>
          <w:sz w:val="24"/>
          <w:szCs w:val="24"/>
        </w:rPr>
        <w:t>’s retail electric markets</w:t>
      </w:r>
      <w:r w:rsidR="000565F2">
        <w:rPr>
          <w:rFonts w:ascii="Arial" w:hAnsi="Arial" w:cs="Arial"/>
          <w:sz w:val="24"/>
          <w:szCs w:val="24"/>
        </w:rPr>
        <w:t>.  Moreover, natural gas trends over the last year have made the economics of FirstEnergy’s proposed Rider RRS even more unattractive for customers.  For these reasons</w:t>
      </w:r>
      <w:r w:rsidR="002337A2">
        <w:rPr>
          <w:rFonts w:ascii="Arial" w:hAnsi="Arial" w:cs="Arial"/>
          <w:sz w:val="24"/>
          <w:szCs w:val="24"/>
        </w:rPr>
        <w:t>,</w:t>
      </w:r>
      <w:r w:rsidR="000565F2">
        <w:rPr>
          <w:rFonts w:ascii="Arial" w:hAnsi="Arial" w:cs="Arial"/>
          <w:sz w:val="24"/>
          <w:szCs w:val="24"/>
        </w:rPr>
        <w:t xml:space="preserve"> I recommend that the Commission reject the Third Supplemental Stipulation.  At a minimum</w:t>
      </w:r>
      <w:r w:rsidR="00B03212">
        <w:rPr>
          <w:rFonts w:ascii="Arial" w:hAnsi="Arial" w:cs="Arial"/>
          <w:sz w:val="24"/>
          <w:szCs w:val="24"/>
        </w:rPr>
        <w:t>,</w:t>
      </w:r>
      <w:r w:rsidR="000565F2">
        <w:rPr>
          <w:rFonts w:ascii="Arial" w:hAnsi="Arial" w:cs="Arial"/>
          <w:sz w:val="24"/>
          <w:szCs w:val="24"/>
        </w:rPr>
        <w:t xml:space="preserve"> if the Commission is inclined to adopt the provisions in the Third Supplemental Stipulation, the Commission should also adopt provisions I recommend in my direct testimony including: </w:t>
      </w:r>
    </w:p>
    <w:p w14:paraId="0B5B6DE4" w14:textId="410BF35B" w:rsidR="000565F2" w:rsidRDefault="000565F2" w:rsidP="000565F2">
      <w:pPr>
        <w:pStyle w:val="ListParagraph"/>
        <w:numPr>
          <w:ilvl w:val="0"/>
          <w:numId w:val="44"/>
        </w:numPr>
        <w:spacing w:line="480" w:lineRule="auto"/>
        <w:jc w:val="both"/>
        <w:rPr>
          <w:rFonts w:ascii="Arial" w:hAnsi="Arial" w:cs="Arial"/>
          <w:sz w:val="24"/>
          <w:szCs w:val="24"/>
        </w:rPr>
      </w:pPr>
      <w:r>
        <w:rPr>
          <w:rFonts w:ascii="Arial" w:hAnsi="Arial" w:cs="Arial"/>
          <w:sz w:val="24"/>
          <w:szCs w:val="24"/>
        </w:rPr>
        <w:t>Unbundling SSO costs recovered through distribution rates, and charge those costs to SSO customers directly;</w:t>
      </w:r>
    </w:p>
    <w:p w14:paraId="0FB8D68F" w14:textId="2100D5FD" w:rsidR="000565F2" w:rsidRDefault="000565F2" w:rsidP="000565F2">
      <w:pPr>
        <w:pStyle w:val="ListParagraph"/>
        <w:numPr>
          <w:ilvl w:val="0"/>
          <w:numId w:val="44"/>
        </w:numPr>
        <w:spacing w:line="480" w:lineRule="auto"/>
        <w:jc w:val="both"/>
        <w:rPr>
          <w:rFonts w:ascii="Arial" w:hAnsi="Arial" w:cs="Arial"/>
          <w:sz w:val="24"/>
          <w:szCs w:val="24"/>
        </w:rPr>
      </w:pPr>
      <w:r>
        <w:rPr>
          <w:rFonts w:ascii="Arial" w:hAnsi="Arial" w:cs="Arial"/>
          <w:sz w:val="24"/>
          <w:szCs w:val="24"/>
        </w:rPr>
        <w:lastRenderedPageBreak/>
        <w:t>All</w:t>
      </w:r>
      <w:r w:rsidR="00D140D2">
        <w:rPr>
          <w:rFonts w:ascii="Arial" w:hAnsi="Arial" w:cs="Arial"/>
          <w:sz w:val="24"/>
          <w:szCs w:val="24"/>
        </w:rPr>
        <w:t>owing</w:t>
      </w:r>
      <w:r>
        <w:rPr>
          <w:rFonts w:ascii="Arial" w:hAnsi="Arial" w:cs="Arial"/>
          <w:sz w:val="24"/>
          <w:szCs w:val="24"/>
        </w:rPr>
        <w:t xml:space="preserve"> non-discriminatory access for CRES suppliers to bill for non-commodity charges on the utility bill;</w:t>
      </w:r>
    </w:p>
    <w:p w14:paraId="6B3A97B9" w14:textId="2EB90BEE" w:rsidR="000565F2" w:rsidRPr="00CB0752" w:rsidRDefault="002337A2" w:rsidP="000565F2">
      <w:pPr>
        <w:pStyle w:val="ListParagraph"/>
        <w:numPr>
          <w:ilvl w:val="0"/>
          <w:numId w:val="44"/>
        </w:numPr>
        <w:spacing w:line="480" w:lineRule="auto"/>
        <w:jc w:val="both"/>
        <w:rPr>
          <w:rFonts w:ascii="Arial" w:hAnsi="Arial" w:cs="Arial"/>
          <w:sz w:val="24"/>
          <w:szCs w:val="24"/>
        </w:rPr>
      </w:pPr>
      <w:r>
        <w:rPr>
          <w:rFonts w:ascii="Arial" w:hAnsi="Arial" w:cs="Arial"/>
          <w:sz w:val="24"/>
          <w:szCs w:val="24"/>
        </w:rPr>
        <w:t>Start</w:t>
      </w:r>
      <w:r w:rsidR="000565F2">
        <w:rPr>
          <w:rFonts w:ascii="Arial" w:hAnsi="Arial" w:cs="Arial"/>
          <w:sz w:val="24"/>
          <w:szCs w:val="24"/>
        </w:rPr>
        <w:t xml:space="preserve"> a process that ultimately move</w:t>
      </w:r>
      <w:r>
        <w:rPr>
          <w:rFonts w:ascii="Arial" w:hAnsi="Arial" w:cs="Arial"/>
          <w:sz w:val="24"/>
          <w:szCs w:val="24"/>
        </w:rPr>
        <w:t>s</w:t>
      </w:r>
      <w:r w:rsidR="000565F2">
        <w:rPr>
          <w:rFonts w:ascii="Arial" w:hAnsi="Arial" w:cs="Arial"/>
          <w:sz w:val="24"/>
          <w:szCs w:val="24"/>
        </w:rPr>
        <w:t xml:space="preserve"> to a supplier consolidated billing model.</w:t>
      </w:r>
    </w:p>
    <w:p w14:paraId="28299FE0" w14:textId="20D4F64A" w:rsidR="00380880" w:rsidRDefault="00380880" w:rsidP="003A63D8">
      <w:pPr>
        <w:spacing w:line="480" w:lineRule="auto"/>
        <w:ind w:left="720" w:hanging="720"/>
        <w:jc w:val="both"/>
        <w:rPr>
          <w:rFonts w:ascii="Arial" w:hAnsi="Arial" w:cs="Arial"/>
          <w:b/>
          <w:sz w:val="24"/>
          <w:szCs w:val="24"/>
        </w:rPr>
      </w:pPr>
      <w:r w:rsidRPr="00380880">
        <w:rPr>
          <w:rFonts w:ascii="Arial" w:hAnsi="Arial" w:cs="Arial"/>
          <w:b/>
          <w:sz w:val="24"/>
          <w:szCs w:val="24"/>
        </w:rPr>
        <w:t>Q.</w:t>
      </w:r>
      <w:r>
        <w:rPr>
          <w:rFonts w:ascii="Arial" w:hAnsi="Arial" w:cs="Arial"/>
          <w:sz w:val="24"/>
          <w:szCs w:val="24"/>
        </w:rPr>
        <w:t xml:space="preserve"> </w:t>
      </w:r>
      <w:r>
        <w:rPr>
          <w:rFonts w:ascii="Arial" w:hAnsi="Arial" w:cs="Arial"/>
          <w:b/>
          <w:sz w:val="24"/>
          <w:szCs w:val="24"/>
        </w:rPr>
        <w:tab/>
        <w:t xml:space="preserve">Does this conclude you supplemental testimony? </w:t>
      </w:r>
    </w:p>
    <w:p w14:paraId="1FAA7C26" w14:textId="77777777" w:rsidR="00E84C24" w:rsidRDefault="00380880" w:rsidP="00E84C24">
      <w:pPr>
        <w:suppressLineNumbers/>
        <w:spacing w:after="0" w:line="240" w:lineRule="auto"/>
        <w:rPr>
          <w:rFonts w:ascii="Arial" w:hAnsi="Arial" w:cs="Arial"/>
          <w:b/>
          <w:sz w:val="24"/>
          <w:szCs w:val="24"/>
        </w:rPr>
      </w:pPr>
      <w:r>
        <w:rPr>
          <w:rFonts w:ascii="Arial" w:hAnsi="Arial" w:cs="Arial"/>
          <w:sz w:val="24"/>
          <w:szCs w:val="24"/>
        </w:rPr>
        <w:t xml:space="preserve">A. </w:t>
      </w:r>
      <w:r>
        <w:rPr>
          <w:rFonts w:ascii="Arial" w:hAnsi="Arial" w:cs="Arial"/>
          <w:sz w:val="24"/>
          <w:szCs w:val="24"/>
        </w:rPr>
        <w:tab/>
        <w:t>Yes</w:t>
      </w:r>
      <w:r w:rsidR="00CB0752">
        <w:rPr>
          <w:rFonts w:ascii="Arial" w:hAnsi="Arial" w:cs="Arial"/>
          <w:sz w:val="24"/>
          <w:szCs w:val="24"/>
        </w:rPr>
        <w:t xml:space="preserve">, it does.  </w:t>
      </w:r>
    </w:p>
    <w:p w14:paraId="353CA758" w14:textId="77777777" w:rsidR="00DC0928" w:rsidRDefault="00DC0928" w:rsidP="00CF174E">
      <w:pPr>
        <w:suppressLineNumbers/>
        <w:spacing w:after="0" w:line="240" w:lineRule="auto"/>
        <w:jc w:val="center"/>
        <w:rPr>
          <w:rFonts w:ascii="Arial" w:eastAsia="Arial" w:hAnsi="Arial" w:cs="Arial"/>
          <w:b/>
          <w:sz w:val="24"/>
          <w:szCs w:val="24"/>
          <w:u w:val="single"/>
        </w:rPr>
      </w:pPr>
    </w:p>
    <w:p w14:paraId="7BBC4A92" w14:textId="77777777" w:rsidR="00DC0928" w:rsidRDefault="00DC0928" w:rsidP="00CF174E">
      <w:pPr>
        <w:suppressLineNumbers/>
        <w:spacing w:after="0" w:line="240" w:lineRule="auto"/>
        <w:jc w:val="center"/>
        <w:rPr>
          <w:rFonts w:ascii="Arial" w:eastAsia="Arial" w:hAnsi="Arial" w:cs="Arial"/>
          <w:b/>
          <w:sz w:val="24"/>
          <w:szCs w:val="24"/>
          <w:u w:val="single"/>
        </w:rPr>
      </w:pPr>
    </w:p>
    <w:p w14:paraId="0185CD96" w14:textId="77777777" w:rsidR="00DC0928" w:rsidRDefault="00DC0928" w:rsidP="00CF174E">
      <w:pPr>
        <w:suppressLineNumbers/>
        <w:spacing w:after="0" w:line="240" w:lineRule="auto"/>
        <w:jc w:val="center"/>
        <w:rPr>
          <w:rFonts w:ascii="Arial" w:eastAsia="Arial" w:hAnsi="Arial" w:cs="Arial"/>
          <w:b/>
          <w:sz w:val="24"/>
          <w:szCs w:val="24"/>
          <w:u w:val="single"/>
        </w:rPr>
      </w:pPr>
    </w:p>
    <w:p w14:paraId="052CA16D" w14:textId="77777777" w:rsidR="00DC0928" w:rsidRDefault="00DC0928" w:rsidP="00CF174E">
      <w:pPr>
        <w:suppressLineNumbers/>
        <w:spacing w:after="0" w:line="240" w:lineRule="auto"/>
        <w:jc w:val="center"/>
        <w:rPr>
          <w:rFonts w:ascii="Arial" w:eastAsia="Arial" w:hAnsi="Arial" w:cs="Arial"/>
          <w:b/>
          <w:sz w:val="24"/>
          <w:szCs w:val="24"/>
          <w:u w:val="single"/>
        </w:rPr>
      </w:pPr>
    </w:p>
    <w:p w14:paraId="1C399357" w14:textId="77777777" w:rsidR="00DC0928" w:rsidRDefault="00DC0928" w:rsidP="00CF174E">
      <w:pPr>
        <w:suppressLineNumbers/>
        <w:spacing w:after="0" w:line="240" w:lineRule="auto"/>
        <w:jc w:val="center"/>
        <w:rPr>
          <w:rFonts w:ascii="Arial" w:eastAsia="Arial" w:hAnsi="Arial" w:cs="Arial"/>
          <w:b/>
          <w:sz w:val="24"/>
          <w:szCs w:val="24"/>
          <w:u w:val="single"/>
        </w:rPr>
      </w:pPr>
    </w:p>
    <w:p w14:paraId="67D62D2F" w14:textId="77777777" w:rsidR="00DC0928" w:rsidRDefault="00DC0928" w:rsidP="00CF174E">
      <w:pPr>
        <w:suppressLineNumbers/>
        <w:spacing w:after="0" w:line="240" w:lineRule="auto"/>
        <w:jc w:val="center"/>
        <w:rPr>
          <w:rFonts w:ascii="Arial" w:eastAsia="Arial" w:hAnsi="Arial" w:cs="Arial"/>
          <w:b/>
          <w:sz w:val="24"/>
          <w:szCs w:val="24"/>
          <w:u w:val="single"/>
        </w:rPr>
      </w:pPr>
    </w:p>
    <w:p w14:paraId="1E904B97" w14:textId="77777777" w:rsidR="00DC0928" w:rsidRDefault="00DC0928" w:rsidP="00CF174E">
      <w:pPr>
        <w:suppressLineNumbers/>
        <w:spacing w:after="0" w:line="240" w:lineRule="auto"/>
        <w:jc w:val="center"/>
        <w:rPr>
          <w:rFonts w:ascii="Arial" w:eastAsia="Arial" w:hAnsi="Arial" w:cs="Arial"/>
          <w:b/>
          <w:sz w:val="24"/>
          <w:szCs w:val="24"/>
          <w:u w:val="single"/>
        </w:rPr>
      </w:pPr>
    </w:p>
    <w:p w14:paraId="20B0A41E" w14:textId="77777777" w:rsidR="00DC0928" w:rsidRDefault="00DC0928" w:rsidP="00CF174E">
      <w:pPr>
        <w:suppressLineNumbers/>
        <w:spacing w:after="0" w:line="240" w:lineRule="auto"/>
        <w:jc w:val="center"/>
        <w:rPr>
          <w:rFonts w:ascii="Arial" w:eastAsia="Arial" w:hAnsi="Arial" w:cs="Arial"/>
          <w:b/>
          <w:sz w:val="24"/>
          <w:szCs w:val="24"/>
          <w:u w:val="single"/>
        </w:rPr>
      </w:pPr>
    </w:p>
    <w:p w14:paraId="3394D895" w14:textId="77777777" w:rsidR="00DC0928" w:rsidRDefault="00DC0928" w:rsidP="00CF174E">
      <w:pPr>
        <w:suppressLineNumbers/>
        <w:spacing w:after="0" w:line="240" w:lineRule="auto"/>
        <w:jc w:val="center"/>
        <w:rPr>
          <w:rFonts w:ascii="Arial" w:eastAsia="Arial" w:hAnsi="Arial" w:cs="Arial"/>
          <w:b/>
          <w:sz w:val="24"/>
          <w:szCs w:val="24"/>
          <w:u w:val="single"/>
        </w:rPr>
      </w:pPr>
    </w:p>
    <w:p w14:paraId="7045A31E" w14:textId="77777777" w:rsidR="00DC0928" w:rsidRDefault="00DC0928" w:rsidP="00CF174E">
      <w:pPr>
        <w:suppressLineNumbers/>
        <w:spacing w:after="0" w:line="240" w:lineRule="auto"/>
        <w:jc w:val="center"/>
        <w:rPr>
          <w:rFonts w:ascii="Arial" w:eastAsia="Arial" w:hAnsi="Arial" w:cs="Arial"/>
          <w:b/>
          <w:sz w:val="24"/>
          <w:szCs w:val="24"/>
          <w:u w:val="single"/>
        </w:rPr>
      </w:pPr>
    </w:p>
    <w:p w14:paraId="3A8FB1AE" w14:textId="77777777" w:rsidR="00DC0928" w:rsidRDefault="00DC0928" w:rsidP="00CF174E">
      <w:pPr>
        <w:suppressLineNumbers/>
        <w:spacing w:after="0" w:line="240" w:lineRule="auto"/>
        <w:jc w:val="center"/>
        <w:rPr>
          <w:rFonts w:ascii="Arial" w:eastAsia="Arial" w:hAnsi="Arial" w:cs="Arial"/>
          <w:b/>
          <w:sz w:val="24"/>
          <w:szCs w:val="24"/>
          <w:u w:val="single"/>
        </w:rPr>
      </w:pPr>
    </w:p>
    <w:p w14:paraId="35A03CC0" w14:textId="77777777" w:rsidR="00DC0928" w:rsidRDefault="00DC0928" w:rsidP="00CF174E">
      <w:pPr>
        <w:suppressLineNumbers/>
        <w:spacing w:after="0" w:line="240" w:lineRule="auto"/>
        <w:jc w:val="center"/>
        <w:rPr>
          <w:rFonts w:ascii="Arial" w:eastAsia="Arial" w:hAnsi="Arial" w:cs="Arial"/>
          <w:b/>
          <w:sz w:val="24"/>
          <w:szCs w:val="24"/>
          <w:u w:val="single"/>
        </w:rPr>
      </w:pPr>
    </w:p>
    <w:p w14:paraId="5F4751BD"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E179E25" w14:textId="77777777" w:rsidR="00DC0928" w:rsidRDefault="00DC0928" w:rsidP="00CF174E">
      <w:pPr>
        <w:suppressLineNumbers/>
        <w:spacing w:after="0" w:line="240" w:lineRule="auto"/>
        <w:jc w:val="center"/>
        <w:rPr>
          <w:rFonts w:ascii="Arial" w:eastAsia="Arial" w:hAnsi="Arial" w:cs="Arial"/>
          <w:b/>
          <w:sz w:val="24"/>
          <w:szCs w:val="24"/>
          <w:u w:val="single"/>
        </w:rPr>
      </w:pPr>
    </w:p>
    <w:p w14:paraId="7B1ACD26"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E3D3798" w14:textId="77777777" w:rsidR="00DC0928" w:rsidRDefault="00DC0928" w:rsidP="00CF174E">
      <w:pPr>
        <w:suppressLineNumbers/>
        <w:spacing w:after="0" w:line="240" w:lineRule="auto"/>
        <w:jc w:val="center"/>
        <w:rPr>
          <w:rFonts w:ascii="Arial" w:eastAsia="Arial" w:hAnsi="Arial" w:cs="Arial"/>
          <w:b/>
          <w:sz w:val="24"/>
          <w:szCs w:val="24"/>
          <w:u w:val="single"/>
        </w:rPr>
      </w:pPr>
    </w:p>
    <w:p w14:paraId="1D8AA7C0" w14:textId="77777777" w:rsidR="00DC0928" w:rsidRDefault="00DC0928" w:rsidP="00CF174E">
      <w:pPr>
        <w:suppressLineNumbers/>
        <w:spacing w:after="0" w:line="240" w:lineRule="auto"/>
        <w:jc w:val="center"/>
        <w:rPr>
          <w:rFonts w:ascii="Arial" w:eastAsia="Arial" w:hAnsi="Arial" w:cs="Arial"/>
          <w:b/>
          <w:sz w:val="24"/>
          <w:szCs w:val="24"/>
          <w:u w:val="single"/>
        </w:rPr>
      </w:pPr>
    </w:p>
    <w:p w14:paraId="6B5228F2"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9F9AE98" w14:textId="77777777" w:rsidR="00DC0928" w:rsidRDefault="00DC0928" w:rsidP="00CF174E">
      <w:pPr>
        <w:suppressLineNumbers/>
        <w:spacing w:after="0" w:line="240" w:lineRule="auto"/>
        <w:jc w:val="center"/>
        <w:rPr>
          <w:rFonts w:ascii="Arial" w:eastAsia="Arial" w:hAnsi="Arial" w:cs="Arial"/>
          <w:b/>
          <w:sz w:val="24"/>
          <w:szCs w:val="24"/>
          <w:u w:val="single"/>
        </w:rPr>
      </w:pPr>
    </w:p>
    <w:p w14:paraId="0AABDF9A" w14:textId="77777777" w:rsidR="00DC0928" w:rsidRDefault="00DC0928" w:rsidP="00CF174E">
      <w:pPr>
        <w:suppressLineNumbers/>
        <w:spacing w:after="0" w:line="240" w:lineRule="auto"/>
        <w:jc w:val="center"/>
        <w:rPr>
          <w:rFonts w:ascii="Arial" w:eastAsia="Arial" w:hAnsi="Arial" w:cs="Arial"/>
          <w:b/>
          <w:sz w:val="24"/>
          <w:szCs w:val="24"/>
          <w:u w:val="single"/>
        </w:rPr>
      </w:pPr>
    </w:p>
    <w:p w14:paraId="7EADDD60" w14:textId="77777777" w:rsidR="00DC0928" w:rsidRDefault="00DC0928" w:rsidP="00CF174E">
      <w:pPr>
        <w:suppressLineNumbers/>
        <w:spacing w:after="0" w:line="240" w:lineRule="auto"/>
        <w:jc w:val="center"/>
        <w:rPr>
          <w:rFonts w:ascii="Arial" w:eastAsia="Arial" w:hAnsi="Arial" w:cs="Arial"/>
          <w:b/>
          <w:sz w:val="24"/>
          <w:szCs w:val="24"/>
          <w:u w:val="single"/>
        </w:rPr>
      </w:pPr>
    </w:p>
    <w:p w14:paraId="6F12A22F" w14:textId="77777777" w:rsidR="00DC0928" w:rsidRDefault="00DC0928" w:rsidP="00CF174E">
      <w:pPr>
        <w:suppressLineNumbers/>
        <w:spacing w:after="0" w:line="240" w:lineRule="auto"/>
        <w:jc w:val="center"/>
        <w:rPr>
          <w:rFonts w:ascii="Arial" w:eastAsia="Arial" w:hAnsi="Arial" w:cs="Arial"/>
          <w:b/>
          <w:sz w:val="24"/>
          <w:szCs w:val="24"/>
          <w:u w:val="single"/>
        </w:rPr>
      </w:pPr>
    </w:p>
    <w:p w14:paraId="38E4DE16" w14:textId="77777777" w:rsidR="00DC0928" w:rsidRDefault="00DC0928" w:rsidP="00CF174E">
      <w:pPr>
        <w:suppressLineNumbers/>
        <w:spacing w:after="0" w:line="240" w:lineRule="auto"/>
        <w:jc w:val="center"/>
        <w:rPr>
          <w:rFonts w:ascii="Arial" w:eastAsia="Arial" w:hAnsi="Arial" w:cs="Arial"/>
          <w:b/>
          <w:sz w:val="24"/>
          <w:szCs w:val="24"/>
          <w:u w:val="single"/>
        </w:rPr>
      </w:pPr>
    </w:p>
    <w:p w14:paraId="3F28B2F5" w14:textId="77777777" w:rsidR="00DC0928" w:rsidRDefault="00DC0928" w:rsidP="00CF174E">
      <w:pPr>
        <w:suppressLineNumbers/>
        <w:spacing w:after="0" w:line="240" w:lineRule="auto"/>
        <w:jc w:val="center"/>
        <w:rPr>
          <w:rFonts w:ascii="Arial" w:eastAsia="Arial" w:hAnsi="Arial" w:cs="Arial"/>
          <w:b/>
          <w:sz w:val="24"/>
          <w:szCs w:val="24"/>
          <w:u w:val="single"/>
        </w:rPr>
      </w:pPr>
    </w:p>
    <w:p w14:paraId="176626FD"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4F28469" w14:textId="77777777" w:rsidR="00DC0928" w:rsidRDefault="00DC0928" w:rsidP="00CF174E">
      <w:pPr>
        <w:suppressLineNumbers/>
        <w:spacing w:after="0" w:line="240" w:lineRule="auto"/>
        <w:jc w:val="center"/>
        <w:rPr>
          <w:rFonts w:ascii="Arial" w:eastAsia="Arial" w:hAnsi="Arial" w:cs="Arial"/>
          <w:b/>
          <w:sz w:val="24"/>
          <w:szCs w:val="24"/>
          <w:u w:val="single"/>
        </w:rPr>
      </w:pPr>
    </w:p>
    <w:p w14:paraId="26CE9B72" w14:textId="77777777" w:rsidR="00DC0928" w:rsidRDefault="00DC0928" w:rsidP="00CF174E">
      <w:pPr>
        <w:suppressLineNumbers/>
        <w:spacing w:after="0" w:line="240" w:lineRule="auto"/>
        <w:jc w:val="center"/>
        <w:rPr>
          <w:rFonts w:ascii="Arial" w:eastAsia="Arial" w:hAnsi="Arial" w:cs="Arial"/>
          <w:b/>
          <w:sz w:val="24"/>
          <w:szCs w:val="24"/>
          <w:u w:val="single"/>
        </w:rPr>
      </w:pPr>
    </w:p>
    <w:p w14:paraId="5F2E1C16" w14:textId="77777777" w:rsidR="00DC0928" w:rsidRDefault="00DC0928" w:rsidP="00CF174E">
      <w:pPr>
        <w:suppressLineNumbers/>
        <w:spacing w:after="0" w:line="240" w:lineRule="auto"/>
        <w:jc w:val="center"/>
        <w:rPr>
          <w:rFonts w:ascii="Arial" w:eastAsia="Arial" w:hAnsi="Arial" w:cs="Arial"/>
          <w:b/>
          <w:sz w:val="24"/>
          <w:szCs w:val="24"/>
          <w:u w:val="single"/>
        </w:rPr>
      </w:pPr>
    </w:p>
    <w:p w14:paraId="06F85043" w14:textId="77777777" w:rsidR="00DC0928" w:rsidRDefault="00DC0928" w:rsidP="00CF174E">
      <w:pPr>
        <w:suppressLineNumbers/>
        <w:spacing w:after="0" w:line="240" w:lineRule="auto"/>
        <w:jc w:val="center"/>
        <w:rPr>
          <w:rFonts w:ascii="Arial" w:eastAsia="Arial" w:hAnsi="Arial" w:cs="Arial"/>
          <w:b/>
          <w:sz w:val="24"/>
          <w:szCs w:val="24"/>
          <w:u w:val="single"/>
        </w:rPr>
      </w:pPr>
    </w:p>
    <w:p w14:paraId="7F2BCCC3"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E5B5E68" w14:textId="77777777" w:rsidR="00DC0928" w:rsidRDefault="00DC0928" w:rsidP="00CF174E">
      <w:pPr>
        <w:suppressLineNumbers/>
        <w:spacing w:after="0" w:line="240" w:lineRule="auto"/>
        <w:jc w:val="center"/>
        <w:rPr>
          <w:rFonts w:ascii="Arial" w:eastAsia="Arial" w:hAnsi="Arial" w:cs="Arial"/>
          <w:b/>
          <w:sz w:val="24"/>
          <w:szCs w:val="24"/>
          <w:u w:val="single"/>
        </w:rPr>
      </w:pPr>
    </w:p>
    <w:p w14:paraId="2241A881"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BEA25D8" w14:textId="77777777" w:rsidR="00DC0928" w:rsidRDefault="00DC0928" w:rsidP="00CF174E">
      <w:pPr>
        <w:suppressLineNumbers/>
        <w:spacing w:after="0" w:line="240" w:lineRule="auto"/>
        <w:jc w:val="center"/>
        <w:rPr>
          <w:rFonts w:ascii="Arial" w:eastAsia="Arial" w:hAnsi="Arial" w:cs="Arial"/>
          <w:b/>
          <w:sz w:val="24"/>
          <w:szCs w:val="24"/>
          <w:u w:val="single"/>
        </w:rPr>
      </w:pPr>
    </w:p>
    <w:p w14:paraId="70BAA628" w14:textId="77777777" w:rsidR="00DC0928" w:rsidRDefault="00DC0928" w:rsidP="00CF174E">
      <w:pPr>
        <w:suppressLineNumbers/>
        <w:spacing w:after="0" w:line="240" w:lineRule="auto"/>
        <w:jc w:val="center"/>
        <w:rPr>
          <w:rFonts w:ascii="Arial" w:eastAsia="Arial" w:hAnsi="Arial" w:cs="Arial"/>
          <w:b/>
          <w:sz w:val="24"/>
          <w:szCs w:val="24"/>
          <w:u w:val="single"/>
        </w:rPr>
      </w:pPr>
    </w:p>
    <w:p w14:paraId="438552CE" w14:textId="77777777" w:rsidR="00DC0928" w:rsidRDefault="00DC0928" w:rsidP="00CF174E">
      <w:pPr>
        <w:suppressLineNumbers/>
        <w:spacing w:after="0" w:line="240" w:lineRule="auto"/>
        <w:jc w:val="center"/>
        <w:rPr>
          <w:rFonts w:ascii="Arial" w:eastAsia="Arial" w:hAnsi="Arial" w:cs="Arial"/>
          <w:b/>
          <w:sz w:val="24"/>
          <w:szCs w:val="24"/>
          <w:u w:val="single"/>
        </w:rPr>
      </w:pPr>
    </w:p>
    <w:p w14:paraId="6CC66F7E" w14:textId="77777777" w:rsidR="00DC0928" w:rsidRDefault="00DC0928" w:rsidP="00CF174E">
      <w:pPr>
        <w:suppressLineNumbers/>
        <w:spacing w:after="0" w:line="240" w:lineRule="auto"/>
        <w:jc w:val="center"/>
        <w:rPr>
          <w:rFonts w:ascii="Arial" w:eastAsia="Arial" w:hAnsi="Arial" w:cs="Arial"/>
          <w:b/>
          <w:sz w:val="24"/>
          <w:szCs w:val="24"/>
          <w:u w:val="single"/>
        </w:rPr>
      </w:pPr>
    </w:p>
    <w:p w14:paraId="194A1926" w14:textId="6A69758D" w:rsidR="00E72EE7" w:rsidRPr="009D71F6" w:rsidRDefault="00E72EE7" w:rsidP="00CF174E">
      <w:pPr>
        <w:suppressLineNumbers/>
        <w:spacing w:after="0" w:line="240" w:lineRule="auto"/>
        <w:jc w:val="center"/>
        <w:rPr>
          <w:rFonts w:ascii="Arial" w:eastAsia="Arial" w:hAnsi="Arial" w:cs="Arial"/>
          <w:b/>
          <w:sz w:val="24"/>
          <w:szCs w:val="24"/>
          <w:u w:val="single"/>
        </w:rPr>
      </w:pPr>
      <w:r w:rsidRPr="009D71F6">
        <w:rPr>
          <w:rFonts w:ascii="Arial" w:eastAsia="Arial" w:hAnsi="Arial" w:cs="Arial"/>
          <w:b/>
          <w:sz w:val="24"/>
          <w:szCs w:val="24"/>
          <w:u w:val="single"/>
        </w:rPr>
        <w:lastRenderedPageBreak/>
        <w:t>CERTIFICATE OF SERVICE</w:t>
      </w:r>
    </w:p>
    <w:p w14:paraId="194A1927" w14:textId="77777777" w:rsidR="00E72EE7" w:rsidRPr="009D71F6" w:rsidRDefault="00E72EE7" w:rsidP="00CF174E">
      <w:pPr>
        <w:suppressLineNumbers/>
        <w:spacing w:after="0" w:line="240" w:lineRule="auto"/>
        <w:jc w:val="center"/>
        <w:rPr>
          <w:rFonts w:ascii="Arial" w:eastAsia="Arial" w:hAnsi="Arial" w:cs="Arial"/>
          <w:b/>
          <w:sz w:val="24"/>
          <w:szCs w:val="24"/>
          <w:u w:val="single"/>
        </w:rPr>
      </w:pPr>
    </w:p>
    <w:p w14:paraId="194A1928" w14:textId="5462EC4C" w:rsidR="00E72EE7" w:rsidRPr="009D71F6" w:rsidRDefault="00E72EE7" w:rsidP="00CF174E">
      <w:pPr>
        <w:suppressLineNumbers/>
        <w:spacing w:after="0" w:line="240" w:lineRule="auto"/>
        <w:jc w:val="both"/>
        <w:rPr>
          <w:rFonts w:ascii="Arial" w:eastAsia="Calibri" w:hAnsi="Arial" w:cs="Arial"/>
          <w:sz w:val="24"/>
          <w:szCs w:val="24"/>
        </w:rPr>
      </w:pPr>
      <w:r w:rsidRPr="009D71F6">
        <w:rPr>
          <w:rFonts w:ascii="Arial" w:eastAsia="Arial" w:hAnsi="Arial" w:cs="Arial"/>
          <w:sz w:val="24"/>
          <w:szCs w:val="24"/>
        </w:rPr>
        <w:tab/>
      </w:r>
      <w:r w:rsidRPr="009D71F6">
        <w:rPr>
          <w:rFonts w:ascii="Arial" w:eastAsia="Calibri" w:hAnsi="Arial" w:cs="Arial"/>
          <w:sz w:val="24"/>
          <w:szCs w:val="24"/>
        </w:rPr>
        <w:t>The undersigned hereby certifies that a copy of the foregoing</w:t>
      </w:r>
      <w:r>
        <w:rPr>
          <w:rFonts w:ascii="Arial" w:eastAsia="Calibri" w:hAnsi="Arial" w:cs="Arial"/>
          <w:sz w:val="24"/>
          <w:szCs w:val="24"/>
        </w:rPr>
        <w:t xml:space="preserve"> </w:t>
      </w:r>
      <w:r w:rsidR="00E84C24" w:rsidRPr="00E84C24">
        <w:rPr>
          <w:rFonts w:ascii="Arial" w:eastAsia="Calibri" w:hAnsi="Arial" w:cs="Arial"/>
          <w:i/>
          <w:sz w:val="24"/>
          <w:szCs w:val="24"/>
        </w:rPr>
        <w:t xml:space="preserve">Second </w:t>
      </w:r>
      <w:r w:rsidR="001150F2">
        <w:rPr>
          <w:rFonts w:ascii="Arial" w:eastAsia="Calibri" w:hAnsi="Arial" w:cs="Arial"/>
          <w:i/>
          <w:sz w:val="24"/>
          <w:szCs w:val="24"/>
        </w:rPr>
        <w:t>Supplemental</w:t>
      </w:r>
      <w:r w:rsidR="00CF174E">
        <w:rPr>
          <w:rFonts w:ascii="Arial" w:eastAsia="Calibri" w:hAnsi="Arial" w:cs="Arial"/>
          <w:i/>
          <w:sz w:val="24"/>
          <w:szCs w:val="24"/>
        </w:rPr>
        <w:t xml:space="preserve"> Testimony of Matthew White </w:t>
      </w:r>
      <w:r w:rsidRPr="009D71F6">
        <w:rPr>
          <w:rFonts w:ascii="Arial" w:eastAsia="Calibri" w:hAnsi="Arial" w:cs="Arial"/>
          <w:sz w:val="24"/>
          <w:szCs w:val="24"/>
        </w:rPr>
        <w:t xml:space="preserve">was served this </w:t>
      </w:r>
      <w:r w:rsidR="00DA0414">
        <w:rPr>
          <w:rFonts w:ascii="Arial" w:eastAsia="Calibri" w:hAnsi="Arial" w:cs="Arial"/>
          <w:sz w:val="24"/>
          <w:szCs w:val="24"/>
        </w:rPr>
        <w:t xml:space="preserve">the </w:t>
      </w:r>
      <w:r w:rsidR="002337A2">
        <w:rPr>
          <w:rFonts w:ascii="Arial" w:eastAsia="Calibri" w:hAnsi="Arial" w:cs="Arial"/>
          <w:sz w:val="24"/>
          <w:szCs w:val="24"/>
        </w:rPr>
        <w:t xml:space="preserve">30th </w:t>
      </w:r>
      <w:r w:rsidR="00DA0414">
        <w:rPr>
          <w:rFonts w:ascii="Arial" w:eastAsia="Calibri" w:hAnsi="Arial" w:cs="Arial"/>
          <w:sz w:val="24"/>
          <w:szCs w:val="24"/>
        </w:rPr>
        <w:t xml:space="preserve">day of </w:t>
      </w:r>
      <w:r w:rsidR="002337A2">
        <w:rPr>
          <w:rFonts w:ascii="Arial" w:eastAsia="Calibri" w:hAnsi="Arial" w:cs="Arial"/>
          <w:sz w:val="24"/>
          <w:szCs w:val="24"/>
        </w:rPr>
        <w:t xml:space="preserve">December </w:t>
      </w:r>
      <w:r w:rsidR="001150F2">
        <w:rPr>
          <w:rFonts w:ascii="Arial" w:eastAsia="Calibri" w:hAnsi="Arial" w:cs="Arial"/>
          <w:sz w:val="24"/>
          <w:szCs w:val="24"/>
        </w:rPr>
        <w:t>2015</w:t>
      </w:r>
      <w:r w:rsidRPr="009D71F6">
        <w:rPr>
          <w:rFonts w:ascii="Arial" w:eastAsia="Calibri" w:hAnsi="Arial" w:cs="Arial"/>
          <w:sz w:val="24"/>
          <w:szCs w:val="24"/>
        </w:rPr>
        <w:t xml:space="preserve"> via electronic mail upon the following:</w:t>
      </w:r>
    </w:p>
    <w:p w14:paraId="194A1929" w14:textId="77777777" w:rsidR="00E72EE7" w:rsidRDefault="00E72EE7" w:rsidP="00CF174E">
      <w:pPr>
        <w:suppressLineNumbers/>
        <w:spacing w:after="0" w:line="240" w:lineRule="auto"/>
        <w:jc w:val="both"/>
        <w:rPr>
          <w:rFonts w:ascii="Arial" w:eastAsia="Calibri" w:hAnsi="Arial" w:cs="Arial"/>
          <w:sz w:val="24"/>
          <w:szCs w:val="24"/>
        </w:rPr>
      </w:pPr>
    </w:p>
    <w:p w14:paraId="194A192A" w14:textId="77777777" w:rsidR="00E72EE7" w:rsidRPr="00F46354" w:rsidRDefault="00E72EE7" w:rsidP="00CF174E">
      <w:pPr>
        <w:suppressLineNumbers/>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4788"/>
        <w:gridCol w:w="4788"/>
      </w:tblGrid>
      <w:tr w:rsidR="0004430E" w:rsidRPr="0004430E" w14:paraId="194A1951" w14:textId="77777777" w:rsidTr="0004633C">
        <w:tc>
          <w:tcPr>
            <w:tcW w:w="4788" w:type="dxa"/>
          </w:tcPr>
          <w:p w14:paraId="194A192B"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Thomas.mcnamee@puc.state.oh.us Thomas.lindgren@puc.state.oh.us Ryan.orourke@puc.state.oh.us </w:t>
            </w:r>
          </w:p>
          <w:p w14:paraId="194A192C"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mkurtz@BKLlawfirm.com kboehm@BKLlawfirm.com jkylercohn@BKLlawfirm.com stnourse@aep.com </w:t>
            </w:r>
          </w:p>
          <w:p w14:paraId="194A192D" w14:textId="77777777" w:rsidR="00E72EE7" w:rsidRPr="0004430E" w:rsidRDefault="00EC7373" w:rsidP="0004430E">
            <w:pPr>
              <w:spacing w:after="0" w:line="240" w:lineRule="auto"/>
              <w:jc w:val="both"/>
              <w:rPr>
                <w:rFonts w:ascii="Arial" w:hAnsi="Arial" w:cs="Arial"/>
                <w:sz w:val="24"/>
                <w:szCs w:val="24"/>
              </w:rPr>
            </w:pPr>
            <w:hyperlink r:id="rId18" w:history="1">
              <w:r w:rsidR="00E72EE7" w:rsidRPr="0004430E">
                <w:rPr>
                  <w:rStyle w:val="Hyperlink"/>
                  <w:rFonts w:ascii="Arial" w:hAnsi="Arial" w:cs="Arial"/>
                  <w:color w:val="auto"/>
                  <w:sz w:val="24"/>
                  <w:szCs w:val="24"/>
                  <w:u w:val="none"/>
                </w:rPr>
                <w:t>mjsatterwhite@aep.com</w:t>
              </w:r>
            </w:hyperlink>
            <w:r w:rsidR="00E72EE7" w:rsidRPr="0004430E">
              <w:rPr>
                <w:rFonts w:ascii="Arial" w:hAnsi="Arial" w:cs="Arial"/>
                <w:sz w:val="24"/>
                <w:szCs w:val="24"/>
              </w:rPr>
              <w:t xml:space="preserve"> </w:t>
            </w:r>
          </w:p>
          <w:p w14:paraId="194A192E"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yalami@aep.com joseph.clark@directenergy.com ghull@eckertseamans.com </w:t>
            </w:r>
          </w:p>
          <w:p w14:paraId="194A192F"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myurick@taftlaw.com zkravitz@taftlaw.com </w:t>
            </w:r>
            <w:hyperlink r:id="rId19" w:history="1">
              <w:r w:rsidRPr="0004430E">
                <w:rPr>
                  <w:rStyle w:val="Hyperlink"/>
                  <w:rFonts w:ascii="Arial" w:hAnsi="Arial" w:cs="Arial"/>
                  <w:color w:val="auto"/>
                  <w:sz w:val="24"/>
                  <w:szCs w:val="24"/>
                  <w:u w:val="none"/>
                </w:rPr>
                <w:t>Schmidt@sppgrp.com</w:t>
              </w:r>
            </w:hyperlink>
            <w:r w:rsidRPr="0004430E">
              <w:rPr>
                <w:rFonts w:ascii="Arial" w:hAnsi="Arial" w:cs="Arial"/>
                <w:sz w:val="24"/>
                <w:szCs w:val="24"/>
              </w:rPr>
              <w:t xml:space="preserve"> </w:t>
            </w:r>
          </w:p>
          <w:p w14:paraId="194A1930" w14:textId="77777777" w:rsidR="00E72EE7" w:rsidRPr="0004430E" w:rsidRDefault="00EC7373" w:rsidP="0004430E">
            <w:pPr>
              <w:spacing w:after="0" w:line="240" w:lineRule="auto"/>
              <w:jc w:val="both"/>
              <w:rPr>
                <w:rFonts w:ascii="Arial" w:hAnsi="Arial" w:cs="Arial"/>
                <w:sz w:val="24"/>
                <w:szCs w:val="24"/>
              </w:rPr>
            </w:pPr>
            <w:hyperlink r:id="rId20" w:history="1">
              <w:r w:rsidR="00E72EE7" w:rsidRPr="0004430E">
                <w:rPr>
                  <w:rStyle w:val="Hyperlink"/>
                  <w:rFonts w:ascii="Arial" w:hAnsi="Arial" w:cs="Arial"/>
                  <w:color w:val="auto"/>
                  <w:sz w:val="24"/>
                  <w:szCs w:val="24"/>
                  <w:u w:val="none"/>
                </w:rPr>
                <w:t>ricks@ohanet.org</w:t>
              </w:r>
            </w:hyperlink>
            <w:r w:rsidR="00E72EE7" w:rsidRPr="0004430E">
              <w:rPr>
                <w:rFonts w:ascii="Arial" w:hAnsi="Arial" w:cs="Arial"/>
                <w:sz w:val="24"/>
                <w:szCs w:val="24"/>
              </w:rPr>
              <w:t xml:space="preserve"> </w:t>
            </w:r>
          </w:p>
          <w:p w14:paraId="194A1931"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tobrien@bricker.com </w:t>
            </w:r>
          </w:p>
          <w:p w14:paraId="194A1932" w14:textId="77777777" w:rsidR="00E72EE7" w:rsidRPr="0004430E" w:rsidRDefault="00EC7373" w:rsidP="0004430E">
            <w:pPr>
              <w:spacing w:after="0" w:line="240" w:lineRule="auto"/>
              <w:jc w:val="both"/>
              <w:rPr>
                <w:rFonts w:ascii="Arial" w:hAnsi="Arial" w:cs="Arial"/>
                <w:sz w:val="24"/>
                <w:szCs w:val="24"/>
              </w:rPr>
            </w:pPr>
            <w:hyperlink r:id="rId21" w:history="1">
              <w:r w:rsidR="00E72EE7" w:rsidRPr="0004430E">
                <w:rPr>
                  <w:rStyle w:val="Hyperlink"/>
                  <w:rFonts w:ascii="Arial" w:hAnsi="Arial" w:cs="Arial"/>
                  <w:color w:val="auto"/>
                  <w:sz w:val="24"/>
                  <w:szCs w:val="24"/>
                  <w:u w:val="none"/>
                </w:rPr>
                <w:t>mkl@bbrslaw.com</w:t>
              </w:r>
            </w:hyperlink>
            <w:r w:rsidR="00E72EE7" w:rsidRPr="0004430E">
              <w:rPr>
                <w:rFonts w:ascii="Arial" w:hAnsi="Arial" w:cs="Arial"/>
                <w:sz w:val="24"/>
                <w:szCs w:val="24"/>
              </w:rPr>
              <w:t xml:space="preserve"> </w:t>
            </w:r>
          </w:p>
          <w:p w14:paraId="194A1933" w14:textId="77777777" w:rsid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gas@bbrslaw.com </w:t>
            </w:r>
          </w:p>
          <w:p w14:paraId="194A1934" w14:textId="77777777" w:rsidR="0004430E" w:rsidRPr="0004430E" w:rsidRDefault="00EC7373" w:rsidP="0004430E">
            <w:pPr>
              <w:spacing w:after="0" w:line="240" w:lineRule="auto"/>
              <w:jc w:val="both"/>
              <w:rPr>
                <w:rFonts w:ascii="Arial" w:hAnsi="Arial" w:cs="Arial"/>
                <w:sz w:val="24"/>
                <w:szCs w:val="24"/>
              </w:rPr>
            </w:pPr>
            <w:hyperlink r:id="rId22" w:history="1">
              <w:r w:rsidR="0004430E" w:rsidRPr="0004430E">
                <w:rPr>
                  <w:rStyle w:val="Hyperlink"/>
                  <w:rFonts w:ascii="Arial" w:hAnsi="Arial" w:cs="Arial"/>
                  <w:color w:val="auto"/>
                  <w:sz w:val="24"/>
                  <w:szCs w:val="24"/>
                  <w:u w:val="none"/>
                </w:rPr>
                <w:t>ojk@bbrslaw.com</w:t>
              </w:r>
            </w:hyperlink>
            <w:r w:rsidR="00E72EE7" w:rsidRPr="0004430E">
              <w:rPr>
                <w:rFonts w:ascii="Arial" w:hAnsi="Arial" w:cs="Arial"/>
                <w:sz w:val="24"/>
                <w:szCs w:val="24"/>
              </w:rPr>
              <w:t xml:space="preserve"> </w:t>
            </w:r>
          </w:p>
          <w:p w14:paraId="194A1935"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wttpmlc@aol.com lhawrot@spilmanlaw.com </w:t>
            </w:r>
          </w:p>
          <w:p w14:paraId="194A1936"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dwilliamson@spilmanlaw.com blanghenry@city.cleveland.oh.us hmadorsky@city.cleveland.oh.us </w:t>
            </w:r>
          </w:p>
          <w:p w14:paraId="194A1937"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kryan@city.cleveland.oh.us jscheaf@mcdonaldhopkins.com gkrassen@bricker.com dstinson@bricker.com </w:t>
            </w:r>
          </w:p>
          <w:p w14:paraId="194A1938"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dborchers@bricker.com</w:t>
            </w:r>
          </w:p>
          <w:p w14:paraId="194A1939"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drinebolt@ohiopartners.org meissnerjoseph@yahoo.com LeslieKovacik@toledo.oh.gov trhayslaw@gmail.com </w:t>
            </w:r>
          </w:p>
          <w:p w14:paraId="194A193A"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Jeffrey.mayes@monitoringanalytics.com mhpetricoff@vorys.com mjsettineri@vorys.com </w:t>
            </w:r>
          </w:p>
          <w:p w14:paraId="194A193B"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glpetrucci@vorys.com msoules@earthjustice.org </w:t>
            </w:r>
            <w:hyperlink r:id="rId23" w:history="1">
              <w:r w:rsidRPr="0004430E">
                <w:rPr>
                  <w:rStyle w:val="Hyperlink"/>
                  <w:rFonts w:ascii="Arial" w:hAnsi="Arial" w:cs="Arial"/>
                  <w:color w:val="auto"/>
                  <w:sz w:val="24"/>
                  <w:szCs w:val="24"/>
                  <w:u w:val="none"/>
                </w:rPr>
                <w:t>sfisk@earthjustice.org</w:t>
              </w:r>
            </w:hyperlink>
          </w:p>
          <w:p w14:paraId="194A193C"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Larry.sauer@occ.ohio.gov</w:t>
            </w:r>
          </w:p>
          <w:p w14:paraId="194A193D"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lastRenderedPageBreak/>
              <w:t>Michael.schuler@occ.ohio.gov</w:t>
            </w:r>
          </w:p>
          <w:p w14:paraId="194A193E" w14:textId="2EAEAF2F" w:rsidR="00E72EE7" w:rsidRPr="0004430E" w:rsidRDefault="00E72EE7" w:rsidP="0004430E">
            <w:pPr>
              <w:spacing w:after="0" w:line="240" w:lineRule="auto"/>
              <w:jc w:val="both"/>
              <w:rPr>
                <w:rFonts w:ascii="Arial" w:hAnsi="Arial" w:cs="Arial"/>
                <w:sz w:val="24"/>
                <w:szCs w:val="24"/>
              </w:rPr>
            </w:pPr>
          </w:p>
        </w:tc>
        <w:tc>
          <w:tcPr>
            <w:tcW w:w="4788" w:type="dxa"/>
          </w:tcPr>
          <w:p w14:paraId="194A193F"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lastRenderedPageBreak/>
              <w:t xml:space="preserve">burkj@firstenergycorp.com cdunn@firstenergycorp.com </w:t>
            </w:r>
            <w:hyperlink r:id="rId24" w:history="1">
              <w:r w:rsidRPr="0004430E">
                <w:rPr>
                  <w:rStyle w:val="Hyperlink"/>
                  <w:rFonts w:ascii="Arial" w:hAnsi="Arial" w:cs="Arial"/>
                  <w:color w:val="auto"/>
                  <w:sz w:val="24"/>
                  <w:szCs w:val="24"/>
                  <w:u w:val="none"/>
                </w:rPr>
                <w:t>jlang@calfee.com</w:t>
              </w:r>
            </w:hyperlink>
            <w:r w:rsidRPr="0004430E">
              <w:rPr>
                <w:rFonts w:ascii="Arial" w:hAnsi="Arial" w:cs="Arial"/>
                <w:sz w:val="24"/>
                <w:szCs w:val="24"/>
              </w:rPr>
              <w:t xml:space="preserve"> </w:t>
            </w:r>
          </w:p>
          <w:p w14:paraId="194A1940"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talexander@calfee.com </w:t>
            </w:r>
          </w:p>
          <w:p w14:paraId="194A1941"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dakutik@jonesday.com sam@mwncmh.com </w:t>
            </w:r>
          </w:p>
          <w:p w14:paraId="194A1942"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fdarr@mwncmh.com mpritchard@mwncmh.com cmooney@ohiopartners.org </w:t>
            </w:r>
          </w:p>
          <w:p w14:paraId="194A1943"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callwein@wamenergylaw.com mswhite@igsenergy.com Bojko@carpenterlipps.com </w:t>
            </w:r>
          </w:p>
          <w:p w14:paraId="194A1944"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Allison@carpenterlipps.com hussey@carpenterlipps.com barthroyer@aol.com athompson@taftlaw.com </w:t>
            </w:r>
          </w:p>
          <w:p w14:paraId="194A1945"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Christopher.miller@icemiller.com Gregory.dunn@icemiller.com Jeremy.grayem@icemiller.com </w:t>
            </w:r>
          </w:p>
          <w:p w14:paraId="194A1946"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blanghenry@city.cleveland.oh.us hmadorsky@city.cleveland.oh.us kryan@city.cleveland.oh.us </w:t>
            </w:r>
          </w:p>
          <w:p w14:paraId="194A1947" w14:textId="77777777" w:rsidR="00E72EE7" w:rsidRPr="0004430E" w:rsidRDefault="00EC7373" w:rsidP="0004430E">
            <w:pPr>
              <w:spacing w:after="0" w:line="240" w:lineRule="auto"/>
              <w:jc w:val="both"/>
              <w:rPr>
                <w:rFonts w:ascii="Arial" w:hAnsi="Arial" w:cs="Arial"/>
                <w:sz w:val="24"/>
                <w:szCs w:val="24"/>
              </w:rPr>
            </w:pPr>
            <w:hyperlink r:id="rId25" w:history="1">
              <w:r w:rsidR="00E72EE7" w:rsidRPr="0004430E">
                <w:rPr>
                  <w:rStyle w:val="Hyperlink"/>
                  <w:rFonts w:ascii="Arial" w:hAnsi="Arial" w:cs="Arial"/>
                  <w:color w:val="auto"/>
                  <w:sz w:val="24"/>
                  <w:szCs w:val="24"/>
                  <w:u w:val="none"/>
                </w:rPr>
                <w:t>tdougherty@theOEC.org</w:t>
              </w:r>
            </w:hyperlink>
          </w:p>
          <w:p w14:paraId="194A1948"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 </w:t>
            </w:r>
            <w:hyperlink r:id="rId26" w:history="1">
              <w:r w:rsidRPr="0004430E">
                <w:rPr>
                  <w:rStyle w:val="Hyperlink"/>
                  <w:rFonts w:ascii="Arial" w:hAnsi="Arial" w:cs="Arial"/>
                  <w:color w:val="auto"/>
                  <w:sz w:val="24"/>
                  <w:szCs w:val="24"/>
                  <w:u w:val="none"/>
                </w:rPr>
                <w:t>finnigan@edf.org</w:t>
              </w:r>
            </w:hyperlink>
            <w:r w:rsidRPr="0004430E">
              <w:rPr>
                <w:rFonts w:ascii="Arial" w:hAnsi="Arial" w:cs="Arial"/>
                <w:sz w:val="24"/>
                <w:szCs w:val="24"/>
              </w:rPr>
              <w:t xml:space="preserve"> </w:t>
            </w:r>
          </w:p>
          <w:p w14:paraId="194A1949"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Marilyn@wflawfirm.com todonnell@dickinsonwright.com </w:t>
            </w:r>
          </w:p>
          <w:p w14:paraId="194A194A"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matt@matthewcoxlaw.com </w:t>
            </w:r>
            <w:hyperlink r:id="rId27" w:history="1">
              <w:r w:rsidRPr="0004430E">
                <w:rPr>
                  <w:rStyle w:val="Hyperlink"/>
                  <w:rFonts w:ascii="Arial" w:hAnsi="Arial" w:cs="Arial"/>
                  <w:color w:val="auto"/>
                  <w:sz w:val="24"/>
                  <w:szCs w:val="24"/>
                  <w:u w:val="none"/>
                </w:rPr>
                <w:t>mfleisher@elpc.org</w:t>
              </w:r>
            </w:hyperlink>
          </w:p>
          <w:p w14:paraId="194A194B"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mitch.dutton@fpl.com selisar@mwncmh.com ccunningham@akronohio.gov asonderman@keglerbrown.com </w:t>
            </w:r>
          </w:p>
          <w:p w14:paraId="194A194C"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 xml:space="preserve">sechler@carpenterlipps.com gpoulos@enernoc.com toddm@wamenergylaw.com amy.spiller@duke-energy.com </w:t>
            </w:r>
          </w:p>
          <w:p w14:paraId="194A194D" w14:textId="77777777" w:rsidR="00E72EE7" w:rsidRPr="0004430E" w:rsidRDefault="00E72EE7" w:rsidP="0004430E">
            <w:pPr>
              <w:spacing w:after="0" w:line="240" w:lineRule="auto"/>
              <w:jc w:val="both"/>
              <w:rPr>
                <w:rFonts w:ascii="Arial" w:hAnsi="Arial" w:cs="Arial"/>
                <w:sz w:val="24"/>
                <w:szCs w:val="24"/>
              </w:rPr>
            </w:pPr>
            <w:r w:rsidRPr="0004430E">
              <w:rPr>
                <w:rFonts w:ascii="Arial" w:hAnsi="Arial" w:cs="Arial"/>
                <w:sz w:val="24"/>
                <w:szCs w:val="24"/>
              </w:rPr>
              <w:t>Jeanne.kingery@duke-energy.com dwilliamson@spilmanlaw.com lhawrot@spilmanlaw.com</w:t>
            </w:r>
          </w:p>
          <w:p w14:paraId="194A194E" w14:textId="39384610" w:rsidR="00E72EE7" w:rsidRPr="0004430E" w:rsidRDefault="00E84C24" w:rsidP="0004430E">
            <w:pPr>
              <w:spacing w:after="0" w:line="240" w:lineRule="auto"/>
              <w:jc w:val="both"/>
              <w:rPr>
                <w:rFonts w:ascii="Arial" w:hAnsi="Arial" w:cs="Arial"/>
                <w:sz w:val="24"/>
                <w:szCs w:val="24"/>
              </w:rPr>
            </w:pPr>
            <w:r w:rsidRPr="00E84C24">
              <w:rPr>
                <w:rFonts w:ascii="Arial" w:hAnsi="Arial" w:cs="Arial"/>
                <w:sz w:val="24"/>
                <w:szCs w:val="24"/>
              </w:rPr>
              <w:t>Kevin.moore@occ.ohio.gov</w:t>
            </w:r>
          </w:p>
          <w:p w14:paraId="194A194F" w14:textId="77777777" w:rsidR="00E72EE7" w:rsidRPr="0004430E" w:rsidRDefault="00E72EE7" w:rsidP="0004430E">
            <w:pPr>
              <w:spacing w:after="0" w:line="240" w:lineRule="auto"/>
              <w:jc w:val="both"/>
              <w:rPr>
                <w:rFonts w:ascii="Arial" w:hAnsi="Arial" w:cs="Arial"/>
                <w:sz w:val="24"/>
                <w:szCs w:val="24"/>
              </w:rPr>
            </w:pPr>
          </w:p>
          <w:p w14:paraId="194A1950" w14:textId="77777777" w:rsidR="00E72EE7" w:rsidRPr="0004430E" w:rsidRDefault="00E72EE7" w:rsidP="0004430E">
            <w:pPr>
              <w:spacing w:after="0" w:line="240" w:lineRule="auto"/>
              <w:jc w:val="both"/>
              <w:rPr>
                <w:rFonts w:ascii="Arial" w:hAnsi="Arial" w:cs="Arial"/>
                <w:sz w:val="24"/>
                <w:szCs w:val="24"/>
              </w:rPr>
            </w:pPr>
          </w:p>
        </w:tc>
      </w:tr>
    </w:tbl>
    <w:p w14:paraId="194A1952" w14:textId="77777777" w:rsidR="00E72EE7" w:rsidRDefault="00E72EE7" w:rsidP="00CF174E">
      <w:pPr>
        <w:suppressLineNumbers/>
        <w:spacing w:after="0" w:line="240" w:lineRule="auto"/>
        <w:jc w:val="both"/>
        <w:rPr>
          <w:rFonts w:ascii="Arial" w:eastAsia="Calibri" w:hAnsi="Arial" w:cs="Arial"/>
          <w:sz w:val="24"/>
          <w:szCs w:val="24"/>
        </w:rPr>
      </w:pPr>
    </w:p>
    <w:p w14:paraId="194A1953" w14:textId="77777777" w:rsidR="00E72EE7" w:rsidRDefault="00E72EE7" w:rsidP="00CF174E">
      <w:pPr>
        <w:suppressLineNumbers/>
        <w:spacing w:after="0" w:line="240" w:lineRule="auto"/>
        <w:jc w:val="both"/>
        <w:rPr>
          <w:rFonts w:ascii="Arial" w:eastAsia="Calibri" w:hAnsi="Arial" w:cs="Arial"/>
          <w:sz w:val="24"/>
          <w:szCs w:val="24"/>
        </w:rPr>
      </w:pPr>
    </w:p>
    <w:p w14:paraId="194A1954" w14:textId="77777777" w:rsidR="00EB6E8A" w:rsidRPr="00CF174E" w:rsidRDefault="00CF174E" w:rsidP="00CF174E">
      <w:pPr>
        <w:suppressLineNumbers/>
        <w:spacing w:after="0" w:line="240" w:lineRule="auto"/>
        <w:jc w:val="center"/>
        <w:rPr>
          <w:rFonts w:ascii="Arial" w:hAnsi="Arial" w:cs="Arial"/>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sidRPr="00CF174E">
        <w:rPr>
          <w:rFonts w:ascii="Arial" w:hAnsi="Arial" w:cs="Arial"/>
          <w:sz w:val="24"/>
          <w:szCs w:val="24"/>
        </w:rPr>
        <w:tab/>
      </w:r>
      <w:r w:rsidRPr="00CF174E">
        <w:rPr>
          <w:rFonts w:ascii="Arial" w:hAnsi="Arial" w:cs="Arial"/>
          <w:sz w:val="24"/>
          <w:szCs w:val="24"/>
          <w:u w:val="single"/>
        </w:rPr>
        <w:t>/s/Joseph Oliker</w:t>
      </w:r>
    </w:p>
    <w:p w14:paraId="194A1955" w14:textId="77777777" w:rsidR="00CF174E" w:rsidRPr="00CF174E" w:rsidRDefault="00CF174E" w:rsidP="00CF174E">
      <w:pPr>
        <w:suppressLineNumbers/>
        <w:spacing w:after="0" w:line="240" w:lineRule="auto"/>
        <w:ind w:left="2160" w:firstLine="720"/>
        <w:jc w:val="center"/>
        <w:rPr>
          <w:rFonts w:ascii="Arial" w:hAnsi="Arial" w:cs="Arial"/>
          <w:sz w:val="24"/>
          <w:szCs w:val="24"/>
        </w:rPr>
      </w:pPr>
      <w:r w:rsidRPr="00CF174E">
        <w:rPr>
          <w:rFonts w:ascii="Arial" w:hAnsi="Arial" w:cs="Arial"/>
          <w:sz w:val="24"/>
          <w:szCs w:val="24"/>
        </w:rPr>
        <w:t>Counsel for IGS Energy</w:t>
      </w:r>
    </w:p>
    <w:sectPr w:rsidR="00CF174E" w:rsidRPr="00CF174E" w:rsidSect="00EC288D">
      <w:footerReference w:type="default" r:id="rId2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5DBFB" w14:textId="77777777" w:rsidR="00EC7373" w:rsidRDefault="00EC7373">
      <w:pPr>
        <w:spacing w:after="0" w:line="240" w:lineRule="auto"/>
      </w:pPr>
      <w:r>
        <w:separator/>
      </w:r>
    </w:p>
  </w:endnote>
  <w:endnote w:type="continuationSeparator" w:id="0">
    <w:p w14:paraId="56E5623B" w14:textId="77777777" w:rsidR="00EC7373" w:rsidRDefault="00EC7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C" w14:textId="77777777" w:rsidR="000565F2" w:rsidRDefault="00056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60634"/>
      <w:docPartObj>
        <w:docPartGallery w:val="Page Numbers (Bottom of Page)"/>
        <w:docPartUnique/>
      </w:docPartObj>
    </w:sdtPr>
    <w:sdtEndPr>
      <w:rPr>
        <w:noProof/>
      </w:rPr>
    </w:sdtEndPr>
    <w:sdtContent>
      <w:p w14:paraId="194A195D" w14:textId="77777777" w:rsidR="000565F2" w:rsidRDefault="000565F2">
        <w:pPr>
          <w:pStyle w:val="Footer"/>
          <w:jc w:val="center"/>
        </w:pPr>
        <w:r>
          <w:fldChar w:fldCharType="begin"/>
        </w:r>
        <w:r>
          <w:instrText xml:space="preserve"> PAGE   \* MERGEFORMAT </w:instrText>
        </w:r>
        <w:r>
          <w:fldChar w:fldCharType="separate"/>
        </w:r>
        <w:r w:rsidR="00D03AC4">
          <w:rPr>
            <w:noProof/>
          </w:rPr>
          <w:t>1</w:t>
        </w:r>
        <w:r>
          <w:rPr>
            <w:noProof/>
          </w:rPr>
          <w:fldChar w:fldCharType="end"/>
        </w:r>
      </w:p>
    </w:sdtContent>
  </w:sdt>
  <w:p w14:paraId="194A195E" w14:textId="77777777" w:rsidR="000565F2" w:rsidRDefault="00056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60" w14:textId="77777777" w:rsidR="000565F2" w:rsidRDefault="000565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44833209"/>
      <w:docPartObj>
        <w:docPartGallery w:val="Page Numbers (Bottom of Page)"/>
        <w:docPartUnique/>
      </w:docPartObj>
    </w:sdtPr>
    <w:sdtEndPr/>
    <w:sdtContent>
      <w:p w14:paraId="194A1961" w14:textId="77777777" w:rsidR="000565F2" w:rsidRDefault="000565F2">
        <w:pPr>
          <w:pStyle w:val="Footer"/>
          <w:jc w:val="center"/>
          <w:rPr>
            <w:rFonts w:ascii="Times New Roman" w:hAnsi="Times New Roman" w:cs="Times New Roman"/>
          </w:rPr>
        </w:pPr>
      </w:p>
      <w:p w14:paraId="194A1962" w14:textId="77777777" w:rsidR="000565F2" w:rsidRDefault="000565F2">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D03AC4">
          <w:rPr>
            <w:rFonts w:ascii="Times New Roman" w:hAnsi="Times New Roman" w:cs="Times New Roman"/>
            <w:noProof/>
          </w:rPr>
          <w:t>2</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3B40E" w14:textId="77777777" w:rsidR="00EC7373" w:rsidRDefault="00EC7373">
      <w:pPr>
        <w:spacing w:after="0" w:line="240" w:lineRule="auto"/>
      </w:pPr>
      <w:r>
        <w:separator/>
      </w:r>
    </w:p>
  </w:footnote>
  <w:footnote w:type="continuationSeparator" w:id="0">
    <w:p w14:paraId="47636748" w14:textId="77777777" w:rsidR="00EC7373" w:rsidRDefault="00EC7373">
      <w:pPr>
        <w:spacing w:after="0" w:line="240" w:lineRule="auto"/>
      </w:pPr>
      <w:r>
        <w:continuationSeparator/>
      </w:r>
    </w:p>
  </w:footnote>
  <w:footnote w:id="1">
    <w:p w14:paraId="6C14A53F" w14:textId="7BC62D43" w:rsidR="00A5790F" w:rsidRPr="00A5790F" w:rsidRDefault="00A5790F">
      <w:pPr>
        <w:pStyle w:val="FootnoteText"/>
        <w:rPr>
          <w:rFonts w:ascii="Arial" w:hAnsi="Arial" w:cs="Arial"/>
        </w:rPr>
      </w:pPr>
      <w:r w:rsidRPr="00A5790F">
        <w:rPr>
          <w:rStyle w:val="FootnoteReference"/>
          <w:rFonts w:ascii="Arial" w:hAnsi="Arial" w:cs="Arial"/>
        </w:rPr>
        <w:footnoteRef/>
      </w:r>
      <w:r w:rsidRPr="00A5790F">
        <w:rPr>
          <w:rFonts w:ascii="Arial" w:hAnsi="Arial" w:cs="Arial"/>
        </w:rPr>
        <w:t xml:space="preserve"> </w:t>
      </w:r>
      <w:hyperlink r:id="rId1" w:history="1">
        <w:r w:rsidRPr="00A5790F">
          <w:rPr>
            <w:rStyle w:val="Hyperlink"/>
            <w:rFonts w:ascii="Arial" w:hAnsi="Arial" w:cs="Arial"/>
          </w:rPr>
          <w:t>https://www.eia.gov/forecasts/steo/report/natgas.cfm</w:t>
        </w:r>
      </w:hyperlink>
    </w:p>
    <w:p w14:paraId="125940CA" w14:textId="77777777" w:rsidR="00A5790F" w:rsidRDefault="00A5790F">
      <w:pPr>
        <w:pStyle w:val="FootnoteText"/>
      </w:pPr>
    </w:p>
  </w:footnote>
  <w:footnote w:id="2">
    <w:p w14:paraId="29D881BE" w14:textId="1C37D80F" w:rsidR="000565F2" w:rsidRDefault="000565F2" w:rsidP="006B1E63">
      <w:pPr>
        <w:pStyle w:val="FootnoteText"/>
        <w:rPr>
          <w:rFonts w:ascii="Arial" w:hAnsi="Arial" w:cs="Arial"/>
        </w:rPr>
      </w:pPr>
      <w:r w:rsidRPr="0099147D">
        <w:rPr>
          <w:rStyle w:val="FootnoteReference"/>
          <w:rFonts w:ascii="Arial" w:hAnsi="Arial" w:cs="Arial"/>
        </w:rPr>
        <w:footnoteRef/>
      </w:r>
      <w:r w:rsidRPr="0099147D">
        <w:rPr>
          <w:rFonts w:ascii="Arial" w:hAnsi="Arial" w:cs="Arial"/>
        </w:rPr>
        <w:t xml:space="preserve"> In Ohio, according to NOAA’s monthly statewide temperature reporting, the winter of the Polar Vortex, defined as October, 2013 through April, 2014</w:t>
      </w:r>
      <w:r w:rsidR="002337A2">
        <w:rPr>
          <w:rFonts w:ascii="Arial" w:hAnsi="Arial" w:cs="Arial"/>
        </w:rPr>
        <w:t>,</w:t>
      </w:r>
      <w:r w:rsidRPr="0099147D">
        <w:rPr>
          <w:rFonts w:ascii="Arial" w:hAnsi="Arial" w:cs="Arial"/>
        </w:rPr>
        <w:t xml:space="preserve"> was the coldest winter in the last 30 years, where the temperature for each winter is defined as the average of the monthly average temperatures reported by NOAA in each winter.  This past winter in Ohio, as defined as October, 2014 through April 2015</w:t>
      </w:r>
      <w:r w:rsidR="002337A2">
        <w:rPr>
          <w:rFonts w:ascii="Arial" w:hAnsi="Arial" w:cs="Arial"/>
        </w:rPr>
        <w:t>,</w:t>
      </w:r>
      <w:r w:rsidRPr="0099147D">
        <w:rPr>
          <w:rFonts w:ascii="Arial" w:hAnsi="Arial" w:cs="Arial"/>
        </w:rPr>
        <w:t xml:space="preserve"> was the third coldest winter in the last thirty years.  Source: </w:t>
      </w:r>
      <w:hyperlink r:id="rId2" w:history="1">
        <w:r w:rsidR="00A95247" w:rsidRPr="0039551A">
          <w:rPr>
            <w:rStyle w:val="Hyperlink"/>
            <w:rFonts w:ascii="Arial" w:hAnsi="Arial" w:cs="Arial"/>
          </w:rPr>
          <w:t>http://www.ncdc.noaa.gov/cag/</w:t>
        </w:r>
      </w:hyperlink>
      <w:r w:rsidR="002337A2">
        <w:rPr>
          <w:rFonts w:ascii="Arial" w:hAnsi="Arial" w:cs="Arial"/>
        </w:rPr>
        <w:t>.</w:t>
      </w:r>
    </w:p>
    <w:p w14:paraId="323240AB" w14:textId="77777777" w:rsidR="00A95247" w:rsidRPr="0099147D" w:rsidRDefault="00A95247" w:rsidP="006B1E63">
      <w:pPr>
        <w:pStyle w:val="FootnoteText"/>
        <w:rPr>
          <w:rFonts w:ascii="Arial" w:hAnsi="Arial" w:cs="Arial"/>
        </w:rPr>
      </w:pPr>
    </w:p>
  </w:footnote>
  <w:footnote w:id="3">
    <w:p w14:paraId="71F62AEA" w14:textId="77777777" w:rsidR="000565F2" w:rsidRDefault="000565F2" w:rsidP="006B1E63">
      <w:pPr>
        <w:pStyle w:val="FootnoteText"/>
      </w:pPr>
      <w:r w:rsidRPr="0099147D">
        <w:rPr>
          <w:rStyle w:val="FootnoteReference"/>
          <w:rFonts w:ascii="Arial" w:hAnsi="Arial" w:cs="Arial"/>
        </w:rPr>
        <w:footnoteRef/>
      </w:r>
      <w:r w:rsidRPr="0099147D">
        <w:rPr>
          <w:rFonts w:ascii="Arial" w:hAnsi="Arial" w:cs="Arial"/>
        </w:rPr>
        <w:t xml:space="preserve"> Source: Source: http://www.eia.gov/dnav/ng/ng_pri_fut_s1_d.htm</w:t>
      </w:r>
    </w:p>
  </w:footnote>
  <w:footnote w:id="4">
    <w:p w14:paraId="155857FA" w14:textId="02373B69" w:rsidR="00097035" w:rsidRPr="00CF017E" w:rsidRDefault="00097035" w:rsidP="00CF017E">
      <w:pPr>
        <w:pStyle w:val="FootnoteText"/>
        <w:jc w:val="both"/>
        <w:rPr>
          <w:rFonts w:ascii="Arial" w:hAnsi="Arial" w:cs="Arial"/>
        </w:rPr>
      </w:pPr>
      <w:r w:rsidRPr="00CF017E">
        <w:rPr>
          <w:rStyle w:val="FootnoteReference"/>
          <w:rFonts w:ascii="Arial" w:hAnsi="Arial" w:cs="Arial"/>
        </w:rPr>
        <w:footnoteRef/>
      </w:r>
      <w:r w:rsidRPr="00CF017E">
        <w:rPr>
          <w:rFonts w:ascii="Arial" w:hAnsi="Arial" w:cs="Arial"/>
        </w:rPr>
        <w:t xml:space="preserve"> Currently there is a 799 MW Oregon Clean Energy plant under construction in Oregon</w:t>
      </w:r>
      <w:r w:rsidR="002337A2" w:rsidRPr="00CF017E">
        <w:rPr>
          <w:rFonts w:ascii="Arial" w:hAnsi="Arial" w:cs="Arial"/>
        </w:rPr>
        <w:t>,</w:t>
      </w:r>
      <w:r w:rsidRPr="00CF017E">
        <w:rPr>
          <w:rFonts w:ascii="Arial" w:hAnsi="Arial" w:cs="Arial"/>
        </w:rPr>
        <w:t xml:space="preserve"> Ohio. Also</w:t>
      </w:r>
      <w:r w:rsidR="002337A2" w:rsidRPr="00CF017E">
        <w:rPr>
          <w:rFonts w:ascii="Arial" w:hAnsi="Arial" w:cs="Arial"/>
        </w:rPr>
        <w:t>,</w:t>
      </w:r>
      <w:r w:rsidRPr="00CF017E">
        <w:rPr>
          <w:rFonts w:ascii="Arial" w:hAnsi="Arial" w:cs="Arial"/>
        </w:rPr>
        <w:t xml:space="preserve"> there is a 700 MW plant under construction in Carrolton</w:t>
      </w:r>
      <w:r w:rsidR="002337A2" w:rsidRPr="00CF017E">
        <w:rPr>
          <w:rFonts w:ascii="Arial" w:hAnsi="Arial" w:cs="Arial"/>
        </w:rPr>
        <w:t>,</w:t>
      </w:r>
      <w:r w:rsidRPr="00CF017E">
        <w:rPr>
          <w:rFonts w:ascii="Arial" w:hAnsi="Arial" w:cs="Arial"/>
        </w:rPr>
        <w:t xml:space="preserve"> Ohio.</w:t>
      </w:r>
      <w:r w:rsidR="00CF017E">
        <w:rPr>
          <w:rFonts w:ascii="Arial" w:hAnsi="Arial" w:cs="Arial"/>
        </w:rPr>
        <w:t xml:space="preserve">  Advanced Power also announced it will construct a second facility in this area, named the South Field Energy facility, totaling an additional 1,100 megawatts.  </w:t>
      </w:r>
      <w:r w:rsidRPr="00CF017E">
        <w:rPr>
          <w:rFonts w:ascii="Arial" w:hAnsi="Arial" w:cs="Arial"/>
        </w:rPr>
        <w:t>There is also a 500 MW NTE Energy plant in Middleton</w:t>
      </w:r>
      <w:r w:rsidR="002337A2" w:rsidRPr="00CF017E">
        <w:rPr>
          <w:rFonts w:ascii="Arial" w:hAnsi="Arial" w:cs="Arial"/>
        </w:rPr>
        <w:t>,</w:t>
      </w:r>
      <w:r w:rsidRPr="00CF017E">
        <w:rPr>
          <w:rFonts w:ascii="Arial" w:hAnsi="Arial" w:cs="Arial"/>
        </w:rPr>
        <w:t xml:space="preserve"> Ohio </w:t>
      </w:r>
      <w:r w:rsidR="002337A2" w:rsidRPr="00CF017E">
        <w:rPr>
          <w:rFonts w:ascii="Arial" w:hAnsi="Arial" w:cs="Arial"/>
        </w:rPr>
        <w:t xml:space="preserve">that </w:t>
      </w:r>
      <w:r w:rsidRPr="00CF017E">
        <w:rPr>
          <w:rFonts w:ascii="Arial" w:hAnsi="Arial" w:cs="Arial"/>
        </w:rPr>
        <w:t xml:space="preserve">will be under construction. Further, Tenaska has announced plans to convert its 850 MW peaking plant into a 1,414 MW combined cycle plant in Vincent County, Ohio.  Finally, Clean Energy Future announced plans to build an 800 MW plant in </w:t>
      </w:r>
      <w:proofErr w:type="spellStart"/>
      <w:r w:rsidRPr="00CF017E">
        <w:rPr>
          <w:rFonts w:ascii="Arial" w:hAnsi="Arial" w:cs="Arial"/>
        </w:rPr>
        <w:t>Lordstown</w:t>
      </w:r>
      <w:proofErr w:type="spellEnd"/>
      <w:r w:rsidR="002337A2" w:rsidRPr="00CF017E">
        <w:rPr>
          <w:rFonts w:ascii="Arial" w:hAnsi="Arial" w:cs="Arial"/>
        </w:rPr>
        <w:t>,</w:t>
      </w:r>
      <w:r w:rsidRPr="00CF017E">
        <w:rPr>
          <w:rFonts w:ascii="Arial" w:hAnsi="Arial" w:cs="Arial"/>
        </w:rPr>
        <w:t xml:space="preserve"> Ohio.</w:t>
      </w:r>
    </w:p>
  </w:footnote>
  <w:footnote w:id="5">
    <w:p w14:paraId="0B089DAD" w14:textId="3E7E3E5E" w:rsidR="00DC0928" w:rsidRPr="00DC0928" w:rsidRDefault="00DC0928" w:rsidP="00DC0928">
      <w:pPr>
        <w:spacing w:line="240" w:lineRule="auto"/>
        <w:jc w:val="both"/>
        <w:rPr>
          <w:rFonts w:ascii="Arial" w:hAnsi="Arial" w:cs="Arial"/>
          <w:sz w:val="20"/>
          <w:szCs w:val="20"/>
        </w:rPr>
      </w:pPr>
      <w:r w:rsidRPr="00DC0928">
        <w:rPr>
          <w:rStyle w:val="FootnoteReference"/>
          <w:rFonts w:ascii="Arial" w:hAnsi="Arial" w:cs="Arial"/>
          <w:sz w:val="20"/>
          <w:szCs w:val="20"/>
        </w:rPr>
        <w:footnoteRef/>
      </w:r>
      <w:r w:rsidRPr="00DC0928">
        <w:rPr>
          <w:rFonts w:ascii="Arial" w:hAnsi="Arial" w:cs="Arial"/>
          <w:sz w:val="20"/>
          <w:szCs w:val="20"/>
        </w:rPr>
        <w:t xml:space="preserve"> </w:t>
      </w:r>
      <w:r w:rsidRPr="00DC0928">
        <w:rPr>
          <w:rFonts w:ascii="Arial" w:hAnsi="Arial" w:cs="Arial"/>
          <w:i/>
          <w:sz w:val="20"/>
          <w:szCs w:val="20"/>
        </w:rPr>
        <w:t>In the Matter of Aligning Electric Distribution Utility Rate Structure With Ohio's Public Policies to Promote Competition, Energy Efficiency, and Distributed Generation</w:t>
      </w:r>
      <w:r w:rsidRPr="00DC0928">
        <w:rPr>
          <w:rFonts w:ascii="Arial" w:hAnsi="Arial" w:cs="Arial"/>
          <w:sz w:val="20"/>
          <w:szCs w:val="20"/>
        </w:rPr>
        <w:t>, Case No. 10-3126, Comments of FirstEnergy at 1</w:t>
      </w:r>
      <w:r>
        <w:rPr>
          <w:rFonts w:ascii="Arial" w:hAnsi="Arial" w:cs="Arial"/>
          <w:sz w:val="20"/>
          <w:szCs w:val="20"/>
        </w:rPr>
        <w:t>1</w:t>
      </w:r>
      <w:r w:rsidRPr="00DC0928">
        <w:rPr>
          <w:rFonts w:ascii="Arial" w:hAnsi="Arial" w:cs="Arial"/>
          <w:sz w:val="20"/>
          <w:szCs w:val="20"/>
        </w:rPr>
        <w:t xml:space="preserve"> (Feb. 11, 2011)(see Exhibit MW-1).  </w:t>
      </w:r>
    </w:p>
    <w:p w14:paraId="64975043" w14:textId="3AA9E868" w:rsidR="00DC0928" w:rsidRDefault="00DC0928">
      <w:pPr>
        <w:pStyle w:val="FootnoteText"/>
      </w:pPr>
    </w:p>
  </w:footnote>
  <w:footnote w:id="6">
    <w:p w14:paraId="5549AE2E" w14:textId="36588768" w:rsidR="00DC0928" w:rsidRPr="00DC0928" w:rsidRDefault="00DC0928">
      <w:pPr>
        <w:pStyle w:val="FootnoteText"/>
        <w:rPr>
          <w:rFonts w:ascii="Arial" w:hAnsi="Arial" w:cs="Arial"/>
        </w:rPr>
      </w:pPr>
      <w:r w:rsidRPr="00DC0928">
        <w:rPr>
          <w:rStyle w:val="FootnoteReference"/>
          <w:rFonts w:ascii="Arial" w:hAnsi="Arial" w:cs="Arial"/>
        </w:rPr>
        <w:footnoteRef/>
      </w:r>
      <w:r w:rsidRPr="00DC0928">
        <w:rPr>
          <w:rFonts w:ascii="Arial" w:hAnsi="Arial" w:cs="Arial"/>
        </w:rPr>
        <w:t xml:space="preserve"> </w:t>
      </w:r>
      <w:proofErr w:type="gramStart"/>
      <w:r w:rsidRPr="00DC0928">
        <w:rPr>
          <w:rFonts w:ascii="Arial" w:hAnsi="Arial" w:cs="Arial"/>
          <w:i/>
        </w:rPr>
        <w:t xml:space="preserve">Id. </w:t>
      </w:r>
      <w:r w:rsidRPr="00DC0928">
        <w:rPr>
          <w:rFonts w:ascii="Arial" w:hAnsi="Arial" w:cs="Arial"/>
        </w:rPr>
        <w:t>at 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A" w14:textId="77777777" w:rsidR="000565F2" w:rsidRDefault="00056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B" w14:textId="77777777" w:rsidR="000565F2" w:rsidRDefault="00056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A195F" w14:textId="77777777" w:rsidR="000565F2" w:rsidRDefault="00056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7D4D"/>
    <w:multiLevelType w:val="hybridMultilevel"/>
    <w:tmpl w:val="97A03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65D53"/>
    <w:multiLevelType w:val="hybridMultilevel"/>
    <w:tmpl w:val="2D0EE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16179"/>
    <w:multiLevelType w:val="hybridMultilevel"/>
    <w:tmpl w:val="4C20E388"/>
    <w:lvl w:ilvl="0" w:tplc="369C5458">
      <w:start w:val="1"/>
      <w:numFmt w:val="decimal"/>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8D631AB"/>
    <w:multiLevelType w:val="hybridMultilevel"/>
    <w:tmpl w:val="FCB2D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164411"/>
    <w:multiLevelType w:val="hybridMultilevel"/>
    <w:tmpl w:val="28E67C02"/>
    <w:lvl w:ilvl="0" w:tplc="04090001">
      <w:start w:val="1"/>
      <w:numFmt w:val="bullet"/>
      <w:lvlText w:val=""/>
      <w:lvlJc w:val="left"/>
      <w:pPr>
        <w:ind w:left="2228" w:hanging="360"/>
      </w:pPr>
      <w:rPr>
        <w:rFonts w:ascii="Symbol" w:hAnsi="Symbol" w:hint="default"/>
      </w:rPr>
    </w:lvl>
    <w:lvl w:ilvl="1" w:tplc="04090003" w:tentative="1">
      <w:start w:val="1"/>
      <w:numFmt w:val="bullet"/>
      <w:lvlText w:val="o"/>
      <w:lvlJc w:val="left"/>
      <w:pPr>
        <w:ind w:left="2948" w:hanging="360"/>
      </w:pPr>
      <w:rPr>
        <w:rFonts w:ascii="Courier New" w:hAnsi="Courier New" w:cs="Courier New" w:hint="default"/>
      </w:rPr>
    </w:lvl>
    <w:lvl w:ilvl="2" w:tplc="04090005" w:tentative="1">
      <w:start w:val="1"/>
      <w:numFmt w:val="bullet"/>
      <w:lvlText w:val=""/>
      <w:lvlJc w:val="left"/>
      <w:pPr>
        <w:ind w:left="3668" w:hanging="360"/>
      </w:pPr>
      <w:rPr>
        <w:rFonts w:ascii="Wingdings" w:hAnsi="Wingdings" w:hint="default"/>
      </w:rPr>
    </w:lvl>
    <w:lvl w:ilvl="3" w:tplc="04090001" w:tentative="1">
      <w:start w:val="1"/>
      <w:numFmt w:val="bullet"/>
      <w:lvlText w:val=""/>
      <w:lvlJc w:val="left"/>
      <w:pPr>
        <w:ind w:left="4388" w:hanging="360"/>
      </w:pPr>
      <w:rPr>
        <w:rFonts w:ascii="Symbol" w:hAnsi="Symbol" w:hint="default"/>
      </w:rPr>
    </w:lvl>
    <w:lvl w:ilvl="4" w:tplc="04090003" w:tentative="1">
      <w:start w:val="1"/>
      <w:numFmt w:val="bullet"/>
      <w:lvlText w:val="o"/>
      <w:lvlJc w:val="left"/>
      <w:pPr>
        <w:ind w:left="5108" w:hanging="360"/>
      </w:pPr>
      <w:rPr>
        <w:rFonts w:ascii="Courier New" w:hAnsi="Courier New" w:cs="Courier New" w:hint="default"/>
      </w:rPr>
    </w:lvl>
    <w:lvl w:ilvl="5" w:tplc="04090005" w:tentative="1">
      <w:start w:val="1"/>
      <w:numFmt w:val="bullet"/>
      <w:lvlText w:val=""/>
      <w:lvlJc w:val="left"/>
      <w:pPr>
        <w:ind w:left="5828" w:hanging="360"/>
      </w:pPr>
      <w:rPr>
        <w:rFonts w:ascii="Wingdings" w:hAnsi="Wingdings" w:hint="default"/>
      </w:rPr>
    </w:lvl>
    <w:lvl w:ilvl="6" w:tplc="04090001" w:tentative="1">
      <w:start w:val="1"/>
      <w:numFmt w:val="bullet"/>
      <w:lvlText w:val=""/>
      <w:lvlJc w:val="left"/>
      <w:pPr>
        <w:ind w:left="6548" w:hanging="360"/>
      </w:pPr>
      <w:rPr>
        <w:rFonts w:ascii="Symbol" w:hAnsi="Symbol" w:hint="default"/>
      </w:rPr>
    </w:lvl>
    <w:lvl w:ilvl="7" w:tplc="04090003" w:tentative="1">
      <w:start w:val="1"/>
      <w:numFmt w:val="bullet"/>
      <w:lvlText w:val="o"/>
      <w:lvlJc w:val="left"/>
      <w:pPr>
        <w:ind w:left="7268" w:hanging="360"/>
      </w:pPr>
      <w:rPr>
        <w:rFonts w:ascii="Courier New" w:hAnsi="Courier New" w:cs="Courier New" w:hint="default"/>
      </w:rPr>
    </w:lvl>
    <w:lvl w:ilvl="8" w:tplc="04090005" w:tentative="1">
      <w:start w:val="1"/>
      <w:numFmt w:val="bullet"/>
      <w:lvlText w:val=""/>
      <w:lvlJc w:val="left"/>
      <w:pPr>
        <w:ind w:left="7988" w:hanging="360"/>
      </w:pPr>
      <w:rPr>
        <w:rFonts w:ascii="Wingdings" w:hAnsi="Wingdings" w:hint="default"/>
      </w:rPr>
    </w:lvl>
  </w:abstractNum>
  <w:abstractNum w:abstractNumId="5">
    <w:nsid w:val="098F64BA"/>
    <w:multiLevelType w:val="hybridMultilevel"/>
    <w:tmpl w:val="E12E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AEC295A"/>
    <w:multiLevelType w:val="hybridMultilevel"/>
    <w:tmpl w:val="5C12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C467BC6"/>
    <w:multiLevelType w:val="hybridMultilevel"/>
    <w:tmpl w:val="7DACB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7640D"/>
    <w:multiLevelType w:val="hybridMultilevel"/>
    <w:tmpl w:val="79DC57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A10E15"/>
    <w:multiLevelType w:val="multilevel"/>
    <w:tmpl w:val="C7F6BC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E50476E"/>
    <w:multiLevelType w:val="hybridMultilevel"/>
    <w:tmpl w:val="31783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9F6374"/>
    <w:multiLevelType w:val="hybridMultilevel"/>
    <w:tmpl w:val="E780B4EC"/>
    <w:lvl w:ilvl="0" w:tplc="2398E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042D3B"/>
    <w:multiLevelType w:val="hybridMultilevel"/>
    <w:tmpl w:val="FCF00F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3">
    <w:nsid w:val="1B37429F"/>
    <w:multiLevelType w:val="hybridMultilevel"/>
    <w:tmpl w:val="DD4C63B6"/>
    <w:lvl w:ilvl="0" w:tplc="ACF02090">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4856FC"/>
    <w:multiLevelType w:val="hybridMultilevel"/>
    <w:tmpl w:val="74508764"/>
    <w:lvl w:ilvl="0" w:tplc="10BA1FB2">
      <w:start w:val="11"/>
      <w:numFmt w:val="decimal"/>
      <w:lvlText w:val="INT-%1."/>
      <w:lvlJc w:val="left"/>
      <w:pPr>
        <w:ind w:left="90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5">
    <w:nsid w:val="1C7B3EBF"/>
    <w:multiLevelType w:val="hybridMultilevel"/>
    <w:tmpl w:val="D5FE03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DD47A67"/>
    <w:multiLevelType w:val="hybridMultilevel"/>
    <w:tmpl w:val="48AA0F16"/>
    <w:lvl w:ilvl="0" w:tplc="5BC613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4C005F"/>
    <w:multiLevelType w:val="hybridMultilevel"/>
    <w:tmpl w:val="14F4549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5765FCD"/>
    <w:multiLevelType w:val="hybridMultilevel"/>
    <w:tmpl w:val="1A801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BC52B2"/>
    <w:multiLevelType w:val="multilevel"/>
    <w:tmpl w:val="690ECF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EEB35E5"/>
    <w:multiLevelType w:val="hybridMultilevel"/>
    <w:tmpl w:val="B582C370"/>
    <w:lvl w:ilvl="0" w:tplc="C39AA17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31780530"/>
    <w:multiLevelType w:val="hybridMultilevel"/>
    <w:tmpl w:val="C78A7F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5514D9"/>
    <w:multiLevelType w:val="hybridMultilevel"/>
    <w:tmpl w:val="F0F8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A45DBD"/>
    <w:multiLevelType w:val="hybridMultilevel"/>
    <w:tmpl w:val="C1848382"/>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4">
    <w:nsid w:val="36E64FBF"/>
    <w:multiLevelType w:val="hybridMultilevel"/>
    <w:tmpl w:val="7064461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3A42247F"/>
    <w:multiLevelType w:val="hybridMultilevel"/>
    <w:tmpl w:val="89C2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C06256"/>
    <w:multiLevelType w:val="hybridMultilevel"/>
    <w:tmpl w:val="95B85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90933B8"/>
    <w:multiLevelType w:val="hybridMultilevel"/>
    <w:tmpl w:val="E780B4EC"/>
    <w:lvl w:ilvl="0" w:tplc="2398E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3E57F5"/>
    <w:multiLevelType w:val="hybridMultilevel"/>
    <w:tmpl w:val="D28E4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DE17A64"/>
    <w:multiLevelType w:val="hybridMultilevel"/>
    <w:tmpl w:val="8494BAFA"/>
    <w:lvl w:ilvl="0" w:tplc="B1CEB9C0">
      <w:start w:val="10"/>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38976C7"/>
    <w:multiLevelType w:val="hybridMultilevel"/>
    <w:tmpl w:val="BAFCC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25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E5C80"/>
    <w:multiLevelType w:val="hybridMultilevel"/>
    <w:tmpl w:val="E4C62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1193E35"/>
    <w:multiLevelType w:val="hybridMultilevel"/>
    <w:tmpl w:val="2DBE5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7670DE"/>
    <w:multiLevelType w:val="hybridMultilevel"/>
    <w:tmpl w:val="0122E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1A4F8C"/>
    <w:multiLevelType w:val="hybridMultilevel"/>
    <w:tmpl w:val="5DE241C6"/>
    <w:lvl w:ilvl="0" w:tplc="1CFEBA6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1551FED"/>
    <w:multiLevelType w:val="hybridMultilevel"/>
    <w:tmpl w:val="5CE63770"/>
    <w:lvl w:ilvl="0" w:tplc="0F2C4F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16E68B2"/>
    <w:multiLevelType w:val="hybridMultilevel"/>
    <w:tmpl w:val="4B0A2434"/>
    <w:lvl w:ilvl="0" w:tplc="EF88CB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25D182E"/>
    <w:multiLevelType w:val="hybridMultilevel"/>
    <w:tmpl w:val="FD52F7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A44FD9"/>
    <w:multiLevelType w:val="hybridMultilevel"/>
    <w:tmpl w:val="A78AD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2187A"/>
    <w:multiLevelType w:val="hybridMultilevel"/>
    <w:tmpl w:val="872AC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86A8E"/>
    <w:multiLevelType w:val="hybridMultilevel"/>
    <w:tmpl w:val="1F963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4E4B88"/>
    <w:multiLevelType w:val="hybridMultilevel"/>
    <w:tmpl w:val="25F45662"/>
    <w:lvl w:ilvl="0" w:tplc="12D493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9C303F"/>
    <w:multiLevelType w:val="hybridMultilevel"/>
    <w:tmpl w:val="AC9684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721122"/>
    <w:multiLevelType w:val="hybridMultilevel"/>
    <w:tmpl w:val="6EFAF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2"/>
  </w:num>
  <w:num w:numId="3">
    <w:abstractNumId w:val="33"/>
  </w:num>
  <w:num w:numId="4">
    <w:abstractNumId w:val="43"/>
  </w:num>
  <w:num w:numId="5">
    <w:abstractNumId w:val="37"/>
  </w:num>
  <w:num w:numId="6">
    <w:abstractNumId w:val="20"/>
  </w:num>
  <w:num w:numId="7">
    <w:abstractNumId w:val="41"/>
  </w:num>
  <w:num w:numId="8">
    <w:abstractNumId w:val="42"/>
  </w:num>
  <w:num w:numId="9">
    <w:abstractNumId w:val="0"/>
  </w:num>
  <w:num w:numId="10">
    <w:abstractNumId w:val="16"/>
  </w:num>
  <w:num w:numId="11">
    <w:abstractNumId w:val="8"/>
  </w:num>
  <w:num w:numId="12">
    <w:abstractNumId w:val="24"/>
  </w:num>
  <w:num w:numId="13">
    <w:abstractNumId w:val="17"/>
  </w:num>
  <w:num w:numId="14">
    <w:abstractNumId w:val="30"/>
  </w:num>
  <w:num w:numId="15">
    <w:abstractNumId w:val="19"/>
  </w:num>
  <w:num w:numId="16">
    <w:abstractNumId w:val="10"/>
  </w:num>
  <w:num w:numId="17">
    <w:abstractNumId w:val="39"/>
  </w:num>
  <w:num w:numId="18">
    <w:abstractNumId w:val="22"/>
  </w:num>
  <w:num w:numId="19">
    <w:abstractNumId w:val="12"/>
  </w:num>
  <w:num w:numId="20">
    <w:abstractNumId w:val="18"/>
  </w:num>
  <w:num w:numId="21">
    <w:abstractNumId w:val="23"/>
  </w:num>
  <w:num w:numId="22">
    <w:abstractNumId w:val="35"/>
  </w:num>
  <w:num w:numId="23">
    <w:abstractNumId w:val="9"/>
  </w:num>
  <w:num w:numId="24">
    <w:abstractNumId w:val="34"/>
  </w:num>
  <w:num w:numId="25">
    <w:abstractNumId w:val="36"/>
  </w:num>
  <w:num w:numId="26">
    <w:abstractNumId w:val="38"/>
  </w:num>
  <w:num w:numId="27">
    <w:abstractNumId w:val="13"/>
  </w:num>
  <w:num w:numId="28">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15"/>
  </w:num>
  <w:num w:numId="32">
    <w:abstractNumId w:val="11"/>
  </w:num>
  <w:num w:numId="33">
    <w:abstractNumId w:val="4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25"/>
  </w:num>
  <w:num w:numId="38">
    <w:abstractNumId w:val="26"/>
  </w:num>
  <w:num w:numId="39">
    <w:abstractNumId w:val="6"/>
  </w:num>
  <w:num w:numId="40">
    <w:abstractNumId w:val="31"/>
  </w:num>
  <w:num w:numId="41">
    <w:abstractNumId w:val="4"/>
  </w:num>
  <w:num w:numId="42">
    <w:abstractNumId w:val="28"/>
  </w:num>
  <w:num w:numId="43">
    <w:abstractNumId w:val="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8A"/>
    <w:rsid w:val="00027A22"/>
    <w:rsid w:val="0004414A"/>
    <w:rsid w:val="0004430E"/>
    <w:rsid w:val="0004633C"/>
    <w:rsid w:val="000565F2"/>
    <w:rsid w:val="000744D2"/>
    <w:rsid w:val="00077272"/>
    <w:rsid w:val="00083C3F"/>
    <w:rsid w:val="0009622F"/>
    <w:rsid w:val="00097035"/>
    <w:rsid w:val="000C5200"/>
    <w:rsid w:val="000C5C46"/>
    <w:rsid w:val="000D02D8"/>
    <w:rsid w:val="000D2740"/>
    <w:rsid w:val="000E3E19"/>
    <w:rsid w:val="000F40A2"/>
    <w:rsid w:val="000F41AD"/>
    <w:rsid w:val="000F5272"/>
    <w:rsid w:val="000F6ADF"/>
    <w:rsid w:val="0010162C"/>
    <w:rsid w:val="001150F2"/>
    <w:rsid w:val="00122E39"/>
    <w:rsid w:val="00124041"/>
    <w:rsid w:val="00126B2C"/>
    <w:rsid w:val="00131CCE"/>
    <w:rsid w:val="00146065"/>
    <w:rsid w:val="00150DA3"/>
    <w:rsid w:val="001709AD"/>
    <w:rsid w:val="001802C9"/>
    <w:rsid w:val="0018182A"/>
    <w:rsid w:val="00187AB6"/>
    <w:rsid w:val="001A1D37"/>
    <w:rsid w:val="001B0CA4"/>
    <w:rsid w:val="001C26E0"/>
    <w:rsid w:val="001E3E0A"/>
    <w:rsid w:val="001E4C45"/>
    <w:rsid w:val="001F51C4"/>
    <w:rsid w:val="00217CAF"/>
    <w:rsid w:val="00220039"/>
    <w:rsid w:val="002234A6"/>
    <w:rsid w:val="002337A2"/>
    <w:rsid w:val="00235E2E"/>
    <w:rsid w:val="00250E08"/>
    <w:rsid w:val="002548F8"/>
    <w:rsid w:val="00257F39"/>
    <w:rsid w:val="00274331"/>
    <w:rsid w:val="00274BB4"/>
    <w:rsid w:val="00283A13"/>
    <w:rsid w:val="002B307B"/>
    <w:rsid w:val="002B7312"/>
    <w:rsid w:val="002C0A42"/>
    <w:rsid w:val="002C0E6E"/>
    <w:rsid w:val="002C2353"/>
    <w:rsid w:val="002D0587"/>
    <w:rsid w:val="002D0800"/>
    <w:rsid w:val="002D2EA3"/>
    <w:rsid w:val="002D7C7A"/>
    <w:rsid w:val="002E001E"/>
    <w:rsid w:val="002E68BC"/>
    <w:rsid w:val="00302191"/>
    <w:rsid w:val="00305502"/>
    <w:rsid w:val="003210AD"/>
    <w:rsid w:val="00327F3E"/>
    <w:rsid w:val="003332A3"/>
    <w:rsid w:val="00335DCB"/>
    <w:rsid w:val="00345F60"/>
    <w:rsid w:val="00350C04"/>
    <w:rsid w:val="0036604E"/>
    <w:rsid w:val="003757FC"/>
    <w:rsid w:val="00375F8F"/>
    <w:rsid w:val="00380880"/>
    <w:rsid w:val="00383E6A"/>
    <w:rsid w:val="003A0464"/>
    <w:rsid w:val="003A0D45"/>
    <w:rsid w:val="003A17D0"/>
    <w:rsid w:val="003A63D8"/>
    <w:rsid w:val="003A729A"/>
    <w:rsid w:val="003B1609"/>
    <w:rsid w:val="003B3B82"/>
    <w:rsid w:val="003B68BC"/>
    <w:rsid w:val="003C069E"/>
    <w:rsid w:val="003C2A3C"/>
    <w:rsid w:val="003C5B56"/>
    <w:rsid w:val="003D083A"/>
    <w:rsid w:val="003D7784"/>
    <w:rsid w:val="003E020E"/>
    <w:rsid w:val="003E269B"/>
    <w:rsid w:val="003F1212"/>
    <w:rsid w:val="00422CD9"/>
    <w:rsid w:val="004238CE"/>
    <w:rsid w:val="004331CC"/>
    <w:rsid w:val="00433596"/>
    <w:rsid w:val="00440E37"/>
    <w:rsid w:val="0044188D"/>
    <w:rsid w:val="00443FC7"/>
    <w:rsid w:val="004473B4"/>
    <w:rsid w:val="00463D52"/>
    <w:rsid w:val="004718C8"/>
    <w:rsid w:val="0047202F"/>
    <w:rsid w:val="00472732"/>
    <w:rsid w:val="00473355"/>
    <w:rsid w:val="0047746B"/>
    <w:rsid w:val="00483279"/>
    <w:rsid w:val="004932FB"/>
    <w:rsid w:val="004967EB"/>
    <w:rsid w:val="004A3214"/>
    <w:rsid w:val="004B58BC"/>
    <w:rsid w:val="004C7440"/>
    <w:rsid w:val="004D1ACC"/>
    <w:rsid w:val="004D55EC"/>
    <w:rsid w:val="004E1932"/>
    <w:rsid w:val="004E6477"/>
    <w:rsid w:val="004F6170"/>
    <w:rsid w:val="00507A3D"/>
    <w:rsid w:val="00512A80"/>
    <w:rsid w:val="00515A3B"/>
    <w:rsid w:val="005440CF"/>
    <w:rsid w:val="0054464B"/>
    <w:rsid w:val="00553047"/>
    <w:rsid w:val="005655AB"/>
    <w:rsid w:val="00566FCD"/>
    <w:rsid w:val="00567221"/>
    <w:rsid w:val="00576D22"/>
    <w:rsid w:val="0058375C"/>
    <w:rsid w:val="00585AA1"/>
    <w:rsid w:val="0058649C"/>
    <w:rsid w:val="005873F1"/>
    <w:rsid w:val="005979AD"/>
    <w:rsid w:val="005A094A"/>
    <w:rsid w:val="005A2CE8"/>
    <w:rsid w:val="005A7626"/>
    <w:rsid w:val="005B07E6"/>
    <w:rsid w:val="005B2243"/>
    <w:rsid w:val="005B4EB7"/>
    <w:rsid w:val="005B5673"/>
    <w:rsid w:val="005C50FB"/>
    <w:rsid w:val="005C6447"/>
    <w:rsid w:val="005E050A"/>
    <w:rsid w:val="005E4F3C"/>
    <w:rsid w:val="005F4075"/>
    <w:rsid w:val="00607491"/>
    <w:rsid w:val="006105FE"/>
    <w:rsid w:val="006118C3"/>
    <w:rsid w:val="0062712B"/>
    <w:rsid w:val="00651E15"/>
    <w:rsid w:val="00657B29"/>
    <w:rsid w:val="00673B4E"/>
    <w:rsid w:val="006A06D9"/>
    <w:rsid w:val="006B1E63"/>
    <w:rsid w:val="006C09D6"/>
    <w:rsid w:val="006F58B6"/>
    <w:rsid w:val="0070699C"/>
    <w:rsid w:val="00712BB9"/>
    <w:rsid w:val="00742A32"/>
    <w:rsid w:val="00771665"/>
    <w:rsid w:val="00774678"/>
    <w:rsid w:val="00794809"/>
    <w:rsid w:val="007A523A"/>
    <w:rsid w:val="007B3ED9"/>
    <w:rsid w:val="007C1CBD"/>
    <w:rsid w:val="007C1CDB"/>
    <w:rsid w:val="007E5109"/>
    <w:rsid w:val="007E76D3"/>
    <w:rsid w:val="007E79C7"/>
    <w:rsid w:val="00801963"/>
    <w:rsid w:val="00823471"/>
    <w:rsid w:val="00842893"/>
    <w:rsid w:val="00860274"/>
    <w:rsid w:val="00866189"/>
    <w:rsid w:val="0086699B"/>
    <w:rsid w:val="00872716"/>
    <w:rsid w:val="00875D26"/>
    <w:rsid w:val="00882E49"/>
    <w:rsid w:val="00885661"/>
    <w:rsid w:val="00892D80"/>
    <w:rsid w:val="008974B8"/>
    <w:rsid w:val="008979D4"/>
    <w:rsid w:val="008A6F70"/>
    <w:rsid w:val="008B202A"/>
    <w:rsid w:val="008B4EE7"/>
    <w:rsid w:val="008D2E42"/>
    <w:rsid w:val="008E105E"/>
    <w:rsid w:val="008E27E9"/>
    <w:rsid w:val="008F1BF4"/>
    <w:rsid w:val="008F2088"/>
    <w:rsid w:val="0092411F"/>
    <w:rsid w:val="00931FF2"/>
    <w:rsid w:val="00933827"/>
    <w:rsid w:val="009350F5"/>
    <w:rsid w:val="00943026"/>
    <w:rsid w:val="00952661"/>
    <w:rsid w:val="00972698"/>
    <w:rsid w:val="009768AC"/>
    <w:rsid w:val="00981707"/>
    <w:rsid w:val="00984FF9"/>
    <w:rsid w:val="009904A9"/>
    <w:rsid w:val="0099426B"/>
    <w:rsid w:val="0099730A"/>
    <w:rsid w:val="009B2949"/>
    <w:rsid w:val="009C3C35"/>
    <w:rsid w:val="009C71CA"/>
    <w:rsid w:val="009D1AD2"/>
    <w:rsid w:val="009D52E8"/>
    <w:rsid w:val="00A030C9"/>
    <w:rsid w:val="00A1317B"/>
    <w:rsid w:val="00A213FF"/>
    <w:rsid w:val="00A2149A"/>
    <w:rsid w:val="00A23383"/>
    <w:rsid w:val="00A35013"/>
    <w:rsid w:val="00A42916"/>
    <w:rsid w:val="00A452FF"/>
    <w:rsid w:val="00A5309F"/>
    <w:rsid w:val="00A534EA"/>
    <w:rsid w:val="00A5613C"/>
    <w:rsid w:val="00A5790F"/>
    <w:rsid w:val="00A83168"/>
    <w:rsid w:val="00A95247"/>
    <w:rsid w:val="00AA2973"/>
    <w:rsid w:val="00AB43A2"/>
    <w:rsid w:val="00AD7F1F"/>
    <w:rsid w:val="00AF7293"/>
    <w:rsid w:val="00B03212"/>
    <w:rsid w:val="00B110ED"/>
    <w:rsid w:val="00B14994"/>
    <w:rsid w:val="00B15C4C"/>
    <w:rsid w:val="00B35BCF"/>
    <w:rsid w:val="00B51085"/>
    <w:rsid w:val="00B71DC4"/>
    <w:rsid w:val="00B91C68"/>
    <w:rsid w:val="00BB5F98"/>
    <w:rsid w:val="00BC1B08"/>
    <w:rsid w:val="00BD1499"/>
    <w:rsid w:val="00BD321E"/>
    <w:rsid w:val="00BD4557"/>
    <w:rsid w:val="00BD67A9"/>
    <w:rsid w:val="00BD7E37"/>
    <w:rsid w:val="00BE289F"/>
    <w:rsid w:val="00BE37B3"/>
    <w:rsid w:val="00BF039A"/>
    <w:rsid w:val="00C01F00"/>
    <w:rsid w:val="00C06DA2"/>
    <w:rsid w:val="00C27A3F"/>
    <w:rsid w:val="00C377DB"/>
    <w:rsid w:val="00C40516"/>
    <w:rsid w:val="00C4115D"/>
    <w:rsid w:val="00C419DE"/>
    <w:rsid w:val="00C57AA5"/>
    <w:rsid w:val="00C74DEE"/>
    <w:rsid w:val="00C750C7"/>
    <w:rsid w:val="00C90064"/>
    <w:rsid w:val="00CA2077"/>
    <w:rsid w:val="00CA21D6"/>
    <w:rsid w:val="00CA44D6"/>
    <w:rsid w:val="00CB0752"/>
    <w:rsid w:val="00CB3660"/>
    <w:rsid w:val="00CD2073"/>
    <w:rsid w:val="00CD5E34"/>
    <w:rsid w:val="00CF017E"/>
    <w:rsid w:val="00CF174E"/>
    <w:rsid w:val="00CF2C27"/>
    <w:rsid w:val="00D03AC4"/>
    <w:rsid w:val="00D066BB"/>
    <w:rsid w:val="00D140D2"/>
    <w:rsid w:val="00D170AB"/>
    <w:rsid w:val="00D23177"/>
    <w:rsid w:val="00D27868"/>
    <w:rsid w:val="00D27C8F"/>
    <w:rsid w:val="00D322E7"/>
    <w:rsid w:val="00D464D4"/>
    <w:rsid w:val="00D6619F"/>
    <w:rsid w:val="00D70433"/>
    <w:rsid w:val="00D70CA3"/>
    <w:rsid w:val="00D76439"/>
    <w:rsid w:val="00D83945"/>
    <w:rsid w:val="00D84D94"/>
    <w:rsid w:val="00D92F3F"/>
    <w:rsid w:val="00DA0414"/>
    <w:rsid w:val="00DA5A55"/>
    <w:rsid w:val="00DA5B49"/>
    <w:rsid w:val="00DB2336"/>
    <w:rsid w:val="00DC0928"/>
    <w:rsid w:val="00DD5E52"/>
    <w:rsid w:val="00E02021"/>
    <w:rsid w:val="00E07439"/>
    <w:rsid w:val="00E15C43"/>
    <w:rsid w:val="00E16EAB"/>
    <w:rsid w:val="00E17538"/>
    <w:rsid w:val="00E22E81"/>
    <w:rsid w:val="00E34844"/>
    <w:rsid w:val="00E45FE7"/>
    <w:rsid w:val="00E5405B"/>
    <w:rsid w:val="00E72EE7"/>
    <w:rsid w:val="00E82D1E"/>
    <w:rsid w:val="00E84C24"/>
    <w:rsid w:val="00E96148"/>
    <w:rsid w:val="00E97D52"/>
    <w:rsid w:val="00EA4F2D"/>
    <w:rsid w:val="00EB050B"/>
    <w:rsid w:val="00EB6E8A"/>
    <w:rsid w:val="00EC05E5"/>
    <w:rsid w:val="00EC131E"/>
    <w:rsid w:val="00EC288D"/>
    <w:rsid w:val="00EC3D83"/>
    <w:rsid w:val="00EC469C"/>
    <w:rsid w:val="00EC7373"/>
    <w:rsid w:val="00ED469F"/>
    <w:rsid w:val="00ED5211"/>
    <w:rsid w:val="00EF006E"/>
    <w:rsid w:val="00EF3230"/>
    <w:rsid w:val="00F1043D"/>
    <w:rsid w:val="00F161EF"/>
    <w:rsid w:val="00F20267"/>
    <w:rsid w:val="00F36A6A"/>
    <w:rsid w:val="00F553D2"/>
    <w:rsid w:val="00F65F54"/>
    <w:rsid w:val="00F75C40"/>
    <w:rsid w:val="00F87879"/>
    <w:rsid w:val="00F91871"/>
    <w:rsid w:val="00F9300F"/>
    <w:rsid w:val="00FA518F"/>
    <w:rsid w:val="00FA69D3"/>
    <w:rsid w:val="00FD5105"/>
    <w:rsid w:val="00FD7A60"/>
    <w:rsid w:val="00FE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4A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pPr>
      <w:keepNext/>
      <w:overflowPunct w:val="0"/>
      <w:autoSpaceDE w:val="0"/>
      <w:autoSpaceDN w:val="0"/>
      <w:adjustRightInd w:val="0"/>
      <w:spacing w:after="0" w:line="360" w:lineRule="auto"/>
      <w:ind w:right="-630" w:firstLine="720"/>
      <w:jc w:val="center"/>
      <w:textAlignment w:val="baseline"/>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eastAsia="Times New Roman"/>
      <w:b/>
      <w:szCs w:val="20"/>
      <w:u w:val="single"/>
    </w:rPr>
  </w:style>
  <w:style w:type="paragraph" w:styleId="BodyText2">
    <w:name w:val="Body Text 2"/>
    <w:basedOn w:val="Normal"/>
    <w:link w:val="BodyText2Char"/>
    <w:pPr>
      <w:tabs>
        <w:tab w:val="left" w:pos="1440"/>
      </w:tabs>
      <w:overflowPunct w:val="0"/>
      <w:autoSpaceDE w:val="0"/>
      <w:autoSpaceDN w:val="0"/>
      <w:adjustRightInd w:val="0"/>
      <w:spacing w:after="0" w:line="360" w:lineRule="auto"/>
      <w:ind w:right="-630"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eastAsia="Times New Roman"/>
      <w:szCs w:val="20"/>
    </w:rPr>
  </w:style>
  <w:style w:type="paragraph" w:styleId="BodyText3">
    <w:name w:val="Body Text 3"/>
    <w:basedOn w:val="Normal"/>
    <w:link w:val="BodyText3Char"/>
    <w:pPr>
      <w:overflowPunct w:val="0"/>
      <w:autoSpaceDE w:val="0"/>
      <w:autoSpaceDN w:val="0"/>
      <w:adjustRightInd w:val="0"/>
      <w:spacing w:after="0" w:line="360" w:lineRule="auto"/>
      <w:ind w:right="-63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eastAsia="Times New Roman"/>
      <w:szCs w:val="20"/>
    </w:rPr>
  </w:style>
  <w:style w:type="paragraph" w:styleId="BlockText">
    <w:name w:val="Block Text"/>
    <w:basedOn w:val="Normal"/>
    <w:pPr>
      <w:spacing w:after="0" w:line="240" w:lineRule="auto"/>
      <w:ind w:left="720" w:right="-6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after="120" w:line="480" w:lineRule="auto"/>
      <w:ind w:left="360"/>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rPr>
      <w:rFonts w:ascii="Bookman Old Style" w:eastAsia="Times New Roman" w:hAnsi="Bookman Old Style"/>
    </w:rPr>
  </w:style>
  <w:style w:type="paragraph" w:styleId="BodyTextIndent3">
    <w:name w:val="Body Text Indent 3"/>
    <w:basedOn w:val="Normal"/>
    <w:link w:val="BodyTextIndent3Char"/>
    <w:pPr>
      <w:spacing w:after="120" w:line="240" w:lineRule="auto"/>
      <w:ind w:left="360"/>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Pr>
      <w:rFonts w:ascii="Bookman Old Style" w:eastAsia="Times New Roman" w:hAnsi="Bookman Old Style"/>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basedOn w:val="DefaultParagraphFont"/>
    <w:rPr>
      <w:rFonts w:ascii="Times New Roman" w:hAnsi="Times New Roman" w:cs="Times New Roman"/>
      <w:b/>
      <w:noProof/>
      <w:sz w:val="24"/>
      <w:szCs w:val="24"/>
    </w:rPr>
  </w:style>
  <w:style w:type="paragraph" w:customStyle="1" w:styleId="PartnerList">
    <w:name w:val="PartnerList"/>
    <w:basedOn w:val="Normal"/>
    <w:link w:val="PartnerListChar"/>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line="240" w:lineRule="auto"/>
      <w:jc w:val="center"/>
    </w:pPr>
    <w:rPr>
      <w:rFonts w:ascii="Tahoma" w:hAnsi="Tahoma" w:cs="Times New Roman"/>
      <w:b/>
      <w:color w:val="404040"/>
      <w:sz w:val="8"/>
      <w:szCs w:val="24"/>
    </w:rPr>
  </w:style>
  <w:style w:type="character" w:customStyle="1" w:styleId="PartnerListChar">
    <w:name w:val="PartnerList Char"/>
    <w:basedOn w:val="DefaultParagraphFont"/>
    <w:link w:val="PartnerList"/>
    <w:rPr>
      <w:rFonts w:ascii="Tahoma" w:hAnsi="Tahoma"/>
      <w:b/>
      <w:color w:val="404040"/>
      <w:sz w:val="8"/>
    </w:rPr>
  </w:style>
  <w:style w:type="character" w:customStyle="1" w:styleId="HeaderFooterOfficeInfo">
    <w:name w:val="HeaderFooterOfficeInfo"/>
    <w:basedOn w:val="DefaultParagraphFont"/>
    <w:rPr>
      <w:rFonts w:ascii="Century Schoolbook" w:hAnsi="Century Schoolbook" w:cs="Times New Roman"/>
      <w:b/>
      <w:noProof/>
      <w:vanish w:val="0"/>
      <w:color w:val="auto"/>
      <w:sz w:val="16"/>
      <w:szCs w:val="24"/>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cstheme="minorBidi"/>
      <w:b/>
      <w:bCs/>
      <w:sz w:val="20"/>
      <w:szCs w:val="20"/>
    </w:rPr>
  </w:style>
  <w:style w:type="paragraph" w:styleId="Title">
    <w:name w:val="Title"/>
    <w:basedOn w:val="Normal"/>
    <w:link w:val="TitleChar"/>
    <w:qFormat/>
    <w:rsid w:val="00FA69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69D3"/>
    <w:rPr>
      <w:rFonts w:eastAsia="Times New Roman"/>
      <w:b/>
      <w:szCs w:val="20"/>
    </w:rPr>
  </w:style>
  <w:style w:type="paragraph" w:styleId="FootnoteText">
    <w:name w:val="footnote text"/>
    <w:basedOn w:val="Normal"/>
    <w:link w:val="FootnoteTextChar"/>
    <w:uiPriority w:val="99"/>
    <w:semiHidden/>
    <w:unhideWhenUsed/>
    <w:rsid w:val="00BD7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E3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7E37"/>
    <w:rPr>
      <w:vertAlign w:val="superscript"/>
    </w:rPr>
  </w:style>
  <w:style w:type="character" w:customStyle="1" w:styleId="Heading2Char">
    <w:name w:val="Heading 2 Char"/>
    <w:basedOn w:val="DefaultParagraphFont"/>
    <w:link w:val="Heading2"/>
    <w:uiPriority w:val="9"/>
    <w:rsid w:val="00D27C8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27C8F"/>
  </w:style>
  <w:style w:type="character" w:customStyle="1" w:styleId="Heading1Char">
    <w:name w:val="Heading 1 Char"/>
    <w:basedOn w:val="DefaultParagraphFont"/>
    <w:link w:val="Heading1"/>
    <w:uiPriority w:val="9"/>
    <w:rsid w:val="0086699B"/>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027A22"/>
  </w:style>
  <w:style w:type="paragraph" w:styleId="Revision">
    <w:name w:val="Revision"/>
    <w:hidden/>
    <w:uiPriority w:val="99"/>
    <w:semiHidden/>
    <w:rsid w:val="002337A2"/>
    <w:pPr>
      <w:spacing w:after="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8669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7C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pPr>
      <w:keepNext/>
      <w:overflowPunct w:val="0"/>
      <w:autoSpaceDE w:val="0"/>
      <w:autoSpaceDN w:val="0"/>
      <w:adjustRightInd w:val="0"/>
      <w:spacing w:after="0" w:line="360" w:lineRule="auto"/>
      <w:ind w:right="-630" w:firstLine="720"/>
      <w:jc w:val="center"/>
      <w:textAlignment w:val="baseline"/>
      <w:outlineLvl w:val="4"/>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eastAsia="Times New Roman"/>
      <w:b/>
      <w:szCs w:val="20"/>
      <w:u w:val="single"/>
    </w:rPr>
  </w:style>
  <w:style w:type="paragraph" w:styleId="BodyText2">
    <w:name w:val="Body Text 2"/>
    <w:basedOn w:val="Normal"/>
    <w:link w:val="BodyText2Char"/>
    <w:pPr>
      <w:tabs>
        <w:tab w:val="left" w:pos="1440"/>
      </w:tabs>
      <w:overflowPunct w:val="0"/>
      <w:autoSpaceDE w:val="0"/>
      <w:autoSpaceDN w:val="0"/>
      <w:adjustRightInd w:val="0"/>
      <w:spacing w:after="0" w:line="360" w:lineRule="auto"/>
      <w:ind w:right="-630" w:firstLine="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Pr>
      <w:rFonts w:eastAsia="Times New Roman"/>
      <w:szCs w:val="20"/>
    </w:rPr>
  </w:style>
  <w:style w:type="paragraph" w:styleId="BodyText3">
    <w:name w:val="Body Text 3"/>
    <w:basedOn w:val="Normal"/>
    <w:link w:val="BodyText3Char"/>
    <w:pPr>
      <w:overflowPunct w:val="0"/>
      <w:autoSpaceDE w:val="0"/>
      <w:autoSpaceDN w:val="0"/>
      <w:adjustRightInd w:val="0"/>
      <w:spacing w:after="0" w:line="360" w:lineRule="auto"/>
      <w:ind w:right="-630"/>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Pr>
      <w:rFonts w:eastAsia="Times New Roman"/>
      <w:szCs w:val="20"/>
    </w:rPr>
  </w:style>
  <w:style w:type="paragraph" w:styleId="BlockText">
    <w:name w:val="Block Text"/>
    <w:basedOn w:val="Normal"/>
    <w:pPr>
      <w:spacing w:after="0" w:line="240" w:lineRule="auto"/>
      <w:ind w:left="720" w:right="-6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pPr>
      <w:spacing w:after="120" w:line="480" w:lineRule="auto"/>
      <w:ind w:left="360"/>
    </w:pPr>
    <w:rPr>
      <w:rFonts w:ascii="Bookman Old Style" w:eastAsia="Times New Roman" w:hAnsi="Bookman Old Style" w:cs="Times New Roman"/>
      <w:sz w:val="24"/>
      <w:szCs w:val="24"/>
    </w:rPr>
  </w:style>
  <w:style w:type="character" w:customStyle="1" w:styleId="BodyTextIndent2Char">
    <w:name w:val="Body Text Indent 2 Char"/>
    <w:basedOn w:val="DefaultParagraphFont"/>
    <w:link w:val="BodyTextIndent2"/>
    <w:rPr>
      <w:rFonts w:ascii="Bookman Old Style" w:eastAsia="Times New Roman" w:hAnsi="Bookman Old Style"/>
    </w:rPr>
  </w:style>
  <w:style w:type="paragraph" w:styleId="BodyTextIndent3">
    <w:name w:val="Body Text Indent 3"/>
    <w:basedOn w:val="Normal"/>
    <w:link w:val="BodyTextIndent3Char"/>
    <w:pPr>
      <w:spacing w:after="120" w:line="240" w:lineRule="auto"/>
      <w:ind w:left="360"/>
    </w:pPr>
    <w:rPr>
      <w:rFonts w:ascii="Bookman Old Style" w:eastAsia="Times New Roman" w:hAnsi="Bookman Old Style" w:cs="Times New Roman"/>
      <w:sz w:val="16"/>
      <w:szCs w:val="16"/>
    </w:rPr>
  </w:style>
  <w:style w:type="character" w:customStyle="1" w:styleId="BodyTextIndent3Char">
    <w:name w:val="Body Text Indent 3 Char"/>
    <w:basedOn w:val="DefaultParagraphFont"/>
    <w:link w:val="BodyTextIndent3"/>
    <w:rPr>
      <w:rFonts w:ascii="Bookman Old Style" w:eastAsia="Times New Roman" w:hAnsi="Bookman Old Style"/>
      <w:sz w:val="16"/>
      <w:szCs w:val="16"/>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sDraft">
    <w:name w:val="vsDraft"/>
    <w:basedOn w:val="DefaultParagraphFont"/>
    <w:rPr>
      <w:rFonts w:ascii="Times New Roman" w:hAnsi="Times New Roman" w:cs="Times New Roman"/>
      <w:b/>
      <w:noProof/>
      <w:sz w:val="24"/>
      <w:szCs w:val="24"/>
    </w:rPr>
  </w:style>
  <w:style w:type="paragraph" w:customStyle="1" w:styleId="PartnerList">
    <w:name w:val="PartnerList"/>
    <w:basedOn w:val="Normal"/>
    <w:link w:val="PartnerListChar"/>
    <w:pPr>
      <w:framePr w:w="2000" w:h="700" w:hSpace="180" w:wrap="notBeside" w:vAnchor="page" w:hAnchor="page" w:x="9401" w:y="401"/>
      <w:pBdr>
        <w:top w:val="double" w:sz="6" w:space="1" w:color="auto"/>
        <w:left w:val="double" w:sz="6" w:space="1" w:color="auto"/>
        <w:bottom w:val="double" w:sz="6" w:space="1" w:color="auto"/>
        <w:right w:val="double" w:sz="6" w:space="1" w:color="auto"/>
      </w:pBdr>
      <w:spacing w:after="0" w:line="240" w:lineRule="auto"/>
      <w:jc w:val="center"/>
    </w:pPr>
    <w:rPr>
      <w:rFonts w:ascii="Tahoma" w:hAnsi="Tahoma" w:cs="Times New Roman"/>
      <w:b/>
      <w:color w:val="404040"/>
      <w:sz w:val="8"/>
      <w:szCs w:val="24"/>
    </w:rPr>
  </w:style>
  <w:style w:type="character" w:customStyle="1" w:styleId="PartnerListChar">
    <w:name w:val="PartnerList Char"/>
    <w:basedOn w:val="DefaultParagraphFont"/>
    <w:link w:val="PartnerList"/>
    <w:rPr>
      <w:rFonts w:ascii="Tahoma" w:hAnsi="Tahoma"/>
      <w:b/>
      <w:color w:val="404040"/>
      <w:sz w:val="8"/>
    </w:rPr>
  </w:style>
  <w:style w:type="character" w:customStyle="1" w:styleId="HeaderFooterOfficeInfo">
    <w:name w:val="HeaderFooterOfficeInfo"/>
    <w:basedOn w:val="DefaultParagraphFont"/>
    <w:rPr>
      <w:rFonts w:ascii="Century Schoolbook" w:hAnsi="Century Schoolbook" w:cs="Times New Roman"/>
      <w:b/>
      <w:noProof/>
      <w:vanish w:val="0"/>
      <w:color w:val="auto"/>
      <w:sz w:val="16"/>
      <w:szCs w:val="24"/>
    </w:rPr>
  </w:style>
  <w:style w:type="paragraph" w:customStyle="1" w:styleId="vsLastFooter">
    <w:name w:val="vsLastFooter"/>
    <w:basedOn w:val="Normal"/>
    <w:next w:val="Normal"/>
    <w:pPr>
      <w:framePr w:w="2000" w:h="700" w:hSpace="180" w:wrap="notBeside" w:vAnchor="page" w:hAnchor="page" w:x="9401" w:y="401"/>
      <w:widowControl w:val="0"/>
      <w:pBdr>
        <w:top w:val="double" w:sz="6" w:space="1" w:color="auto"/>
        <w:left w:val="double" w:sz="6" w:space="1" w:color="auto"/>
        <w:bottom w:val="double" w:sz="6" w:space="1" w:color="auto"/>
        <w:right w:val="double" w:sz="6" w:space="1" w:color="auto"/>
      </w:pBdr>
      <w:spacing w:after="240" w:line="240" w:lineRule="exact"/>
    </w:pPr>
    <w:rPr>
      <w:rFonts w:ascii="Arial" w:hAnsi="Arial" w:cs="Arial"/>
      <w:b/>
      <w:noProof/>
      <w:color w:val="FF0000"/>
      <w:sz w:val="1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heme="minorHAnsi" w:hAnsiTheme="minorHAnsi" w:cstheme="minorBidi"/>
      <w:sz w:val="22"/>
      <w:szCs w:val="22"/>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heme="minorHAnsi" w:hAnsiTheme="minorHAnsi" w:cstheme="minorBidi"/>
      <w:sz w:val="22"/>
      <w:szCs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heme="minorHAnsi" w:hAnsiTheme="minorHAnsi" w:cstheme="minorBidi"/>
      <w:b/>
      <w:bCs/>
      <w:sz w:val="20"/>
      <w:szCs w:val="20"/>
    </w:rPr>
  </w:style>
  <w:style w:type="paragraph" w:styleId="Title">
    <w:name w:val="Title"/>
    <w:basedOn w:val="Normal"/>
    <w:link w:val="TitleChar"/>
    <w:qFormat/>
    <w:rsid w:val="00FA69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FA69D3"/>
    <w:rPr>
      <w:rFonts w:eastAsia="Times New Roman"/>
      <w:b/>
      <w:szCs w:val="20"/>
    </w:rPr>
  </w:style>
  <w:style w:type="paragraph" w:styleId="FootnoteText">
    <w:name w:val="footnote text"/>
    <w:basedOn w:val="Normal"/>
    <w:link w:val="FootnoteTextChar"/>
    <w:uiPriority w:val="99"/>
    <w:semiHidden/>
    <w:unhideWhenUsed/>
    <w:rsid w:val="00BD7E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E37"/>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BD7E37"/>
    <w:rPr>
      <w:vertAlign w:val="superscript"/>
    </w:rPr>
  </w:style>
  <w:style w:type="character" w:customStyle="1" w:styleId="Heading2Char">
    <w:name w:val="Heading 2 Char"/>
    <w:basedOn w:val="DefaultParagraphFont"/>
    <w:link w:val="Heading2"/>
    <w:uiPriority w:val="9"/>
    <w:rsid w:val="00D27C8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27C8F"/>
  </w:style>
  <w:style w:type="character" w:customStyle="1" w:styleId="Heading1Char">
    <w:name w:val="Heading 1 Char"/>
    <w:basedOn w:val="DefaultParagraphFont"/>
    <w:link w:val="Heading1"/>
    <w:uiPriority w:val="9"/>
    <w:rsid w:val="0086699B"/>
    <w:rPr>
      <w:rFonts w:asciiTheme="majorHAnsi" w:eastAsiaTheme="majorEastAsia" w:hAnsiTheme="majorHAnsi" w:cstheme="majorBidi"/>
      <w:b/>
      <w:bCs/>
      <w:color w:val="365F91" w:themeColor="accent1" w:themeShade="BF"/>
      <w:sz w:val="28"/>
      <w:szCs w:val="28"/>
    </w:rPr>
  </w:style>
  <w:style w:type="character" w:styleId="LineNumber">
    <w:name w:val="line number"/>
    <w:basedOn w:val="DefaultParagraphFont"/>
    <w:uiPriority w:val="99"/>
    <w:semiHidden/>
    <w:unhideWhenUsed/>
    <w:rsid w:val="00027A22"/>
  </w:style>
  <w:style w:type="paragraph" w:styleId="Revision">
    <w:name w:val="Revision"/>
    <w:hidden/>
    <w:uiPriority w:val="99"/>
    <w:semiHidden/>
    <w:rsid w:val="002337A2"/>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7926">
      <w:bodyDiv w:val="1"/>
      <w:marLeft w:val="0"/>
      <w:marRight w:val="0"/>
      <w:marTop w:val="0"/>
      <w:marBottom w:val="0"/>
      <w:divBdr>
        <w:top w:val="none" w:sz="0" w:space="0" w:color="auto"/>
        <w:left w:val="none" w:sz="0" w:space="0" w:color="auto"/>
        <w:bottom w:val="none" w:sz="0" w:space="0" w:color="auto"/>
        <w:right w:val="none" w:sz="0" w:space="0" w:color="auto"/>
      </w:divBdr>
    </w:div>
    <w:div w:id="690648852">
      <w:bodyDiv w:val="1"/>
      <w:marLeft w:val="0"/>
      <w:marRight w:val="0"/>
      <w:marTop w:val="0"/>
      <w:marBottom w:val="0"/>
      <w:divBdr>
        <w:top w:val="none" w:sz="0" w:space="0" w:color="auto"/>
        <w:left w:val="none" w:sz="0" w:space="0" w:color="auto"/>
        <w:bottom w:val="none" w:sz="0" w:space="0" w:color="auto"/>
        <w:right w:val="none" w:sz="0" w:space="0" w:color="auto"/>
      </w:divBdr>
    </w:div>
    <w:div w:id="694765824">
      <w:bodyDiv w:val="1"/>
      <w:marLeft w:val="0"/>
      <w:marRight w:val="0"/>
      <w:marTop w:val="0"/>
      <w:marBottom w:val="0"/>
      <w:divBdr>
        <w:top w:val="none" w:sz="0" w:space="0" w:color="auto"/>
        <w:left w:val="none" w:sz="0" w:space="0" w:color="auto"/>
        <w:bottom w:val="none" w:sz="0" w:space="0" w:color="auto"/>
        <w:right w:val="none" w:sz="0" w:space="0" w:color="auto"/>
      </w:divBdr>
    </w:div>
    <w:div w:id="990409952">
      <w:bodyDiv w:val="1"/>
      <w:marLeft w:val="0"/>
      <w:marRight w:val="0"/>
      <w:marTop w:val="0"/>
      <w:marBottom w:val="0"/>
      <w:divBdr>
        <w:top w:val="none" w:sz="0" w:space="0" w:color="auto"/>
        <w:left w:val="none" w:sz="0" w:space="0" w:color="auto"/>
        <w:bottom w:val="none" w:sz="0" w:space="0" w:color="auto"/>
        <w:right w:val="none" w:sz="0" w:space="0" w:color="auto"/>
      </w:divBdr>
    </w:div>
    <w:div w:id="1082021900">
      <w:bodyDiv w:val="1"/>
      <w:marLeft w:val="0"/>
      <w:marRight w:val="0"/>
      <w:marTop w:val="0"/>
      <w:marBottom w:val="0"/>
      <w:divBdr>
        <w:top w:val="none" w:sz="0" w:space="0" w:color="auto"/>
        <w:left w:val="none" w:sz="0" w:space="0" w:color="auto"/>
        <w:bottom w:val="none" w:sz="0" w:space="0" w:color="auto"/>
        <w:right w:val="none" w:sz="0" w:space="0" w:color="auto"/>
      </w:divBdr>
    </w:div>
    <w:div w:id="1170021641">
      <w:bodyDiv w:val="1"/>
      <w:marLeft w:val="0"/>
      <w:marRight w:val="0"/>
      <w:marTop w:val="0"/>
      <w:marBottom w:val="0"/>
      <w:divBdr>
        <w:top w:val="none" w:sz="0" w:space="0" w:color="auto"/>
        <w:left w:val="none" w:sz="0" w:space="0" w:color="auto"/>
        <w:bottom w:val="none" w:sz="0" w:space="0" w:color="auto"/>
        <w:right w:val="none" w:sz="0" w:space="0" w:color="auto"/>
      </w:divBdr>
    </w:div>
    <w:div w:id="1329594756">
      <w:bodyDiv w:val="1"/>
      <w:marLeft w:val="0"/>
      <w:marRight w:val="0"/>
      <w:marTop w:val="0"/>
      <w:marBottom w:val="0"/>
      <w:divBdr>
        <w:top w:val="none" w:sz="0" w:space="0" w:color="auto"/>
        <w:left w:val="none" w:sz="0" w:space="0" w:color="auto"/>
        <w:bottom w:val="none" w:sz="0" w:space="0" w:color="auto"/>
        <w:right w:val="none" w:sz="0" w:space="0" w:color="auto"/>
      </w:divBdr>
    </w:div>
    <w:div w:id="1333794032">
      <w:bodyDiv w:val="1"/>
      <w:marLeft w:val="0"/>
      <w:marRight w:val="0"/>
      <w:marTop w:val="0"/>
      <w:marBottom w:val="0"/>
      <w:divBdr>
        <w:top w:val="none" w:sz="0" w:space="0" w:color="auto"/>
        <w:left w:val="none" w:sz="0" w:space="0" w:color="auto"/>
        <w:bottom w:val="none" w:sz="0" w:space="0" w:color="auto"/>
        <w:right w:val="none" w:sz="0" w:space="0" w:color="auto"/>
      </w:divBdr>
    </w:div>
    <w:div w:id="1432967288">
      <w:bodyDiv w:val="1"/>
      <w:marLeft w:val="0"/>
      <w:marRight w:val="0"/>
      <w:marTop w:val="0"/>
      <w:marBottom w:val="0"/>
      <w:divBdr>
        <w:top w:val="none" w:sz="0" w:space="0" w:color="auto"/>
        <w:left w:val="none" w:sz="0" w:space="0" w:color="auto"/>
        <w:bottom w:val="none" w:sz="0" w:space="0" w:color="auto"/>
        <w:right w:val="none" w:sz="0" w:space="0" w:color="auto"/>
      </w:divBdr>
    </w:div>
    <w:div w:id="200967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mjsatterwhite@aep.com" TargetMode="External"/><Relationship Id="rId26" Type="http://schemas.openxmlformats.org/officeDocument/2006/relationships/hyperlink" Target="mailto:finnigan@edf.org" TargetMode="External"/><Relationship Id="rId3" Type="http://schemas.openxmlformats.org/officeDocument/2006/relationships/styles" Target="styles.xml"/><Relationship Id="rId21" Type="http://schemas.openxmlformats.org/officeDocument/2006/relationships/hyperlink" Target="mailto:mkl@bbrslaw.co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mailto:tdougherty@theOEC.org"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ricks@ohanet.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jlang@calfee.com"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yperlink" Target="mailto:sfisk@earthjustice.org"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mailto:Schmidt@sppgrp.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jk@bbrslaw.com" TargetMode="External"/><Relationship Id="rId27" Type="http://schemas.openxmlformats.org/officeDocument/2006/relationships/hyperlink" Target="mailto:mfleisher@elpc.org"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ncdc.noaa.gov/cag/" TargetMode="External"/><Relationship Id="rId1" Type="http://schemas.openxmlformats.org/officeDocument/2006/relationships/hyperlink" Target="https://www.eia.gov/forecasts/steo/report/natga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07229-FC82-44F0-9A50-2DDBE05C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2015-12-30T20:43:00Z</dcterms:created>
  <dcterms:modified xsi:type="dcterms:W3CDTF">2015-12-30T20:44:00Z</dcterms:modified>
</cp:coreProperties>
</file>