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76" w:rsidRDefault="00CB4B20">
      <w:pPr>
        <w:pStyle w:val="PersonalInfo"/>
      </w:pPr>
      <w:r>
        <w:t xml:space="preserve">Matthew R. </w:t>
      </w:r>
      <w:proofErr w:type="gramStart"/>
      <w:r>
        <w:t>Pritchard</w:t>
      </w:r>
      <w:proofErr w:type="gramEnd"/>
      <w:r>
        <w:br/>
        <w:t>(614) 719-2842—Direct Dial</w:t>
      </w:r>
      <w:r>
        <w:br/>
        <w:t>mpritchard@mwncmh.com</w:t>
      </w:r>
    </w:p>
    <w:p w:rsidR="00954A76" w:rsidRDefault="00954A76">
      <w:pPr>
        <w:rPr>
          <w:sz w:val="24"/>
          <w:szCs w:val="24"/>
        </w:rPr>
      </w:pPr>
    </w:p>
    <w:p w:rsidR="00954A76" w:rsidRDefault="00954A76">
      <w:pPr>
        <w:pStyle w:val="LetterDate"/>
        <w:jc w:val="left"/>
        <w:rPr>
          <w:sz w:val="24"/>
          <w:szCs w:val="24"/>
        </w:rPr>
      </w:pPr>
    </w:p>
    <w:p w:rsidR="00954A76" w:rsidRDefault="00CB4B20">
      <w:pPr>
        <w:pStyle w:val="LetterDate"/>
        <w:rPr>
          <w:sz w:val="24"/>
          <w:szCs w:val="24"/>
        </w:rPr>
      </w:pPr>
      <w:r>
        <w:rPr>
          <w:sz w:val="24"/>
          <w:szCs w:val="24"/>
        </w:rPr>
        <w:t>May 1, 2015</w:t>
      </w:r>
    </w:p>
    <w:p w:rsidR="00954A76" w:rsidRDefault="00954A76">
      <w:pPr>
        <w:rPr>
          <w:sz w:val="24"/>
          <w:szCs w:val="24"/>
        </w:rPr>
      </w:pPr>
    </w:p>
    <w:p w:rsidR="00954A76" w:rsidRDefault="00CB4B20">
      <w:pPr>
        <w:keepNext/>
        <w:jc w:val="both"/>
        <w:outlineLvl w:val="1"/>
        <w:rPr>
          <w:sz w:val="24"/>
          <w:szCs w:val="24"/>
        </w:rPr>
      </w:pPr>
      <w:proofErr w:type="spellStart"/>
      <w:r>
        <w:rPr>
          <w:sz w:val="24"/>
          <w:szCs w:val="24"/>
        </w:rPr>
        <w:t>Barcy</w:t>
      </w:r>
      <w:proofErr w:type="spellEnd"/>
      <w:r>
        <w:rPr>
          <w:sz w:val="24"/>
          <w:szCs w:val="24"/>
        </w:rPr>
        <w:t xml:space="preserve"> McNeal</w:t>
      </w:r>
    </w:p>
    <w:p w:rsidR="00954A76" w:rsidRDefault="00CB4B20">
      <w:pPr>
        <w:jc w:val="both"/>
        <w:rPr>
          <w:sz w:val="24"/>
          <w:szCs w:val="24"/>
        </w:rPr>
      </w:pPr>
      <w:r>
        <w:rPr>
          <w:sz w:val="24"/>
          <w:szCs w:val="24"/>
        </w:rPr>
        <w:t>Secretary, Docketing Division</w:t>
      </w:r>
    </w:p>
    <w:p w:rsidR="00954A76" w:rsidRDefault="00CB4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Public Utilities Commission of Ohio </w:t>
      </w:r>
    </w:p>
    <w:p w:rsidR="00954A76" w:rsidRDefault="00CB4B20">
      <w:pPr>
        <w:jc w:val="both"/>
        <w:rPr>
          <w:sz w:val="24"/>
          <w:szCs w:val="24"/>
        </w:rPr>
      </w:pPr>
      <w:r>
        <w:rPr>
          <w:sz w:val="24"/>
          <w:szCs w:val="24"/>
        </w:rPr>
        <w:t>180 East Broad Street</w:t>
      </w:r>
    </w:p>
    <w:p w:rsidR="00954A76" w:rsidRDefault="00CB4B20">
      <w:pPr>
        <w:jc w:val="both"/>
        <w:rPr>
          <w:sz w:val="24"/>
          <w:szCs w:val="24"/>
        </w:rPr>
      </w:pPr>
      <w:r>
        <w:rPr>
          <w:sz w:val="24"/>
          <w:szCs w:val="24"/>
        </w:rPr>
        <w:t>Columbus, OH  43215</w:t>
      </w:r>
    </w:p>
    <w:p w:rsidR="00954A76" w:rsidRDefault="00954A76">
      <w:pPr>
        <w:rPr>
          <w:sz w:val="24"/>
          <w:szCs w:val="24"/>
        </w:rPr>
      </w:pPr>
    </w:p>
    <w:p w:rsidR="00954A76" w:rsidRDefault="00CB4B20">
      <w:pPr>
        <w:tabs>
          <w:tab w:val="right" w:pos="9360"/>
        </w:tabs>
        <w:autoSpaceDE w:val="0"/>
        <w:autoSpaceDN w:val="0"/>
        <w:adjustRightInd w:val="0"/>
        <w:ind w:left="1440" w:right="274" w:hanging="720"/>
        <w:jc w:val="both"/>
        <w:rPr>
          <w:b/>
          <w:sz w:val="24"/>
          <w:szCs w:val="24"/>
        </w:rPr>
      </w:pPr>
      <w:bookmarkStart w:id="0" w:name="ReLine"/>
      <w:r>
        <w:rPr>
          <w:b/>
          <w:sz w:val="24"/>
          <w:szCs w:val="24"/>
        </w:rPr>
        <w:t>RE:</w:t>
      </w:r>
      <w:r>
        <w:rPr>
          <w:b/>
          <w:sz w:val="24"/>
          <w:szCs w:val="24"/>
        </w:rPr>
        <w:tab/>
        <w:t xml:space="preserve">Application of </w:t>
      </w: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Dayton Power and Light Company to Update its Transmission Cost Recovery Rider-Non-Bypassable; PUCO Case No. 15</w:t>
      </w:r>
      <w:r>
        <w:rPr>
          <w:b/>
          <w:sz w:val="24"/>
          <w:szCs w:val="24"/>
        </w:rPr>
        <w:noBreakHyphen/>
        <w:t>361</w:t>
      </w:r>
      <w:r>
        <w:rPr>
          <w:b/>
          <w:sz w:val="24"/>
          <w:szCs w:val="24"/>
        </w:rPr>
        <w:noBreakHyphen/>
        <w:t>EL</w:t>
      </w:r>
      <w:r>
        <w:rPr>
          <w:b/>
          <w:sz w:val="24"/>
          <w:szCs w:val="24"/>
        </w:rPr>
        <w:noBreakHyphen/>
        <w:t>RDR</w:t>
      </w:r>
    </w:p>
    <w:bookmarkEnd w:id="0"/>
    <w:p w:rsidR="00954A76" w:rsidRDefault="00954A76">
      <w:pPr>
        <w:jc w:val="both"/>
        <w:rPr>
          <w:sz w:val="24"/>
          <w:szCs w:val="24"/>
        </w:rPr>
      </w:pPr>
    </w:p>
    <w:p w:rsidR="00954A76" w:rsidRDefault="00CB4B20">
      <w:pPr>
        <w:pStyle w:val="Salutation"/>
        <w:spacing w:after="0"/>
        <w:ind w:right="-446"/>
        <w:jc w:val="both"/>
        <w:rPr>
          <w:sz w:val="24"/>
          <w:szCs w:val="24"/>
        </w:rPr>
      </w:pPr>
      <w:r>
        <w:rPr>
          <w:sz w:val="24"/>
          <w:szCs w:val="24"/>
        </w:rPr>
        <w:t>Dear Secretary McNeal:</w:t>
      </w:r>
    </w:p>
    <w:p w:rsidR="00954A76" w:rsidRDefault="00954A76">
      <w:pPr>
        <w:ind w:right="-446"/>
        <w:rPr>
          <w:sz w:val="24"/>
          <w:szCs w:val="24"/>
        </w:rPr>
      </w:pPr>
    </w:p>
    <w:p w:rsidR="00954A76" w:rsidRDefault="00CB4B20">
      <w:pPr>
        <w:pStyle w:val="BodyText"/>
        <w:ind w:right="-446" w:firstLine="720"/>
        <w:jc w:val="both"/>
        <w:rPr>
          <w:sz w:val="24"/>
          <w:szCs w:val="24"/>
        </w:rPr>
      </w:pPr>
      <w:r>
        <w:rPr>
          <w:sz w:val="24"/>
          <w:szCs w:val="24"/>
        </w:rPr>
        <w:t>On April 27, 2015, the Industrial Energy Users-Ohio (“IEU-Ohio”) filed Comments on The Dayton Power and Light Company’s (“DP&amp;L”) application to update its Transmission Cost Recovery Rider-Non-Bypassable (“TCRR-N”).  On April 28, 2015, DP&amp;L filed an amended application.  This letter is intended to notify the Commission that the amended application contains the same legal defects as identified in IEU-Ohio’s Comments.  Rather than file identical comments in response to the amended application, IEU-Ohio incorporates by reference its April 27, 2015 Comments filed in the proceeding.  For the same reasons stated in IEU-Ohio’s Comments, the Commission should reject DP&amp;L’s proposal to include Operating Reserves costs in the TCRR-N and to conduct the final true-up of the TCRR-B through the TCRR-N. The Commission also should direct DP&amp;L to modify the TCRR-N tariffs to allow retail customers to directly secure transmission service from PJM.</w:t>
      </w:r>
    </w:p>
    <w:p w:rsidR="00954A76" w:rsidRDefault="00954A76">
      <w:pPr>
        <w:ind w:right="-446"/>
        <w:jc w:val="both"/>
        <w:rPr>
          <w:sz w:val="24"/>
          <w:szCs w:val="24"/>
        </w:rPr>
      </w:pPr>
    </w:p>
    <w:p w:rsidR="00954A76" w:rsidRDefault="00CB4B20">
      <w:pPr>
        <w:pStyle w:val="Closing"/>
        <w:ind w:left="4680" w:right="-446"/>
        <w:jc w:val="both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954A76" w:rsidRDefault="00954A76">
      <w:pPr>
        <w:pStyle w:val="Closing"/>
        <w:ind w:left="4680" w:right="-446"/>
        <w:jc w:val="both"/>
        <w:rPr>
          <w:sz w:val="24"/>
          <w:szCs w:val="24"/>
        </w:rPr>
      </w:pPr>
    </w:p>
    <w:p w:rsidR="00954A76" w:rsidRDefault="00CB4B20">
      <w:pPr>
        <w:pStyle w:val="Closing"/>
        <w:tabs>
          <w:tab w:val="right" w:pos="9360"/>
        </w:tabs>
        <w:ind w:left="4680" w:right="-446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/s/ Matthew R. Pritchard</w:t>
      </w:r>
      <w:r>
        <w:rPr>
          <w:i/>
          <w:sz w:val="24"/>
          <w:szCs w:val="24"/>
          <w:u w:val="single"/>
        </w:rPr>
        <w:tab/>
      </w:r>
    </w:p>
    <w:p w:rsidR="00954A76" w:rsidRDefault="00CB4B20">
      <w:pPr>
        <w:pStyle w:val="Closing"/>
        <w:ind w:left="4680" w:right="-446"/>
        <w:jc w:val="both"/>
        <w:rPr>
          <w:sz w:val="24"/>
          <w:szCs w:val="24"/>
        </w:rPr>
      </w:pPr>
      <w:r>
        <w:rPr>
          <w:sz w:val="24"/>
          <w:szCs w:val="24"/>
        </w:rPr>
        <w:t>Matthew R. Pritchard</w:t>
      </w:r>
    </w:p>
    <w:p w:rsidR="00954A76" w:rsidRDefault="00954A76">
      <w:pPr>
        <w:pStyle w:val="Closing"/>
        <w:ind w:left="4680" w:right="-446"/>
        <w:jc w:val="both"/>
        <w:rPr>
          <w:sz w:val="24"/>
          <w:szCs w:val="24"/>
        </w:rPr>
      </w:pPr>
    </w:p>
    <w:p w:rsidR="00954A76" w:rsidRDefault="00CB4B20">
      <w:pPr>
        <w:pStyle w:val="Closing"/>
        <w:ind w:left="4680" w:right="-44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Attorney for </w:t>
      </w:r>
      <w:bookmarkStart w:id="1" w:name="mwn"/>
      <w:r>
        <w:rPr>
          <w:b/>
          <w:sz w:val="24"/>
          <w:szCs w:val="24"/>
        </w:rPr>
        <w:t>Industrial Energy Users</w:t>
      </w:r>
      <w:r>
        <w:rPr>
          <w:b/>
          <w:sz w:val="24"/>
          <w:szCs w:val="24"/>
        </w:rPr>
        <w:noBreakHyphen/>
        <w:t>Ohio</w:t>
      </w:r>
    </w:p>
    <w:bookmarkEnd w:id="1"/>
    <w:p w:rsidR="00954A76" w:rsidRDefault="00954A76">
      <w:pPr>
        <w:rPr>
          <w:sz w:val="24"/>
          <w:szCs w:val="24"/>
        </w:rPr>
      </w:pPr>
    </w:p>
    <w:p w:rsidR="00954A76" w:rsidRDefault="00CB4B20">
      <w:pPr>
        <w:rPr>
          <w:sz w:val="20"/>
        </w:rPr>
      </w:pPr>
      <w:proofErr w:type="spellStart"/>
      <w:r>
        <w:rPr>
          <w:sz w:val="20"/>
        </w:rPr>
        <w:t>MRP</w:t>
      </w:r>
      <w:proofErr w:type="gramStart"/>
      <w:r>
        <w:rPr>
          <w:sz w:val="20"/>
        </w:rPr>
        <w:t>:dr</w:t>
      </w:r>
      <w:proofErr w:type="spellEnd"/>
      <w:proofErr w:type="gramEnd"/>
    </w:p>
    <w:p w:rsidR="00954A76" w:rsidRDefault="00CB4B20">
      <w:pPr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  <w:t>Parties of Re</w:t>
      </w:r>
      <w:bookmarkStart w:id="2" w:name="_GoBack"/>
      <w:bookmarkEnd w:id="2"/>
      <w:r>
        <w:rPr>
          <w:sz w:val="22"/>
          <w:szCs w:val="22"/>
        </w:rPr>
        <w:t>cord</w:t>
      </w:r>
    </w:p>
    <w:sectPr w:rsidR="00954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2520" w:right="1440" w:bottom="2160" w:left="1166" w:header="720" w:footer="720" w:gutter="0"/>
      <w:paperSrc w:first="261" w:other="26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76" w:rsidRDefault="00CB4B20">
      <w:r>
        <w:separator/>
      </w:r>
    </w:p>
  </w:endnote>
  <w:endnote w:type="continuationSeparator" w:id="0">
    <w:p w:rsidR="00954A76" w:rsidRDefault="00CB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2E" w:rsidRDefault="00C91D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76" w:rsidRDefault="00C91D2E">
    <w:pPr>
      <w:pStyle w:val="Footer"/>
    </w:pPr>
    <w:r w:rsidRPr="00C91D2E">
      <w:rPr>
        <w:noProof/>
        <w:sz w:val="16"/>
      </w:rPr>
      <w:t>{C47140: 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76" w:rsidRDefault="00C91D2E">
    <w:pPr>
      <w:pStyle w:val="Footer"/>
      <w:rPr>
        <w:noProof/>
        <w:sz w:val="16"/>
      </w:rPr>
    </w:pPr>
    <w:r w:rsidRPr="00C91D2E">
      <w:rPr>
        <w:noProof/>
        <w:sz w:val="16"/>
      </w:rPr>
      <w:t>{C47140: }</w:t>
    </w:r>
  </w:p>
  <w:p w:rsidR="00954A76" w:rsidRDefault="00C122FF">
    <w:pPr>
      <w:pStyle w:val="Footer"/>
      <w:jc w:val="center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21.4pt;margin-top:-601.85pt;width:.75pt;height:7509.85pt;flip:x;z-index:251658240;mso-position-horizontal-relative:text;mso-position-vertical-relative:text" o:connectortype="straight" strokecolor="#c41230" strokeweight="6pt">
          <o:lock v:ext="edit" aspectratio="t"/>
        </v:shape>
      </w:pict>
    </w:r>
    <w:r w:rsidR="00CB4B20">
      <w:rPr>
        <w:noProof/>
        <w:sz w:val="16"/>
      </w:rPr>
      <w:drawing>
        <wp:inline distT="0" distB="0" distL="0" distR="0" wp14:anchorId="0EC6CFCE" wp14:editId="7C1ED5A5">
          <wp:extent cx="5754624" cy="454152"/>
          <wp:effectExtent l="19050" t="0" r="0" b="0"/>
          <wp:docPr id="1" name="Picture 0" descr="bottom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624" cy="45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76" w:rsidRDefault="00CB4B2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54A76" w:rsidRDefault="00CB4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2E" w:rsidRDefault="00C91D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76" w:rsidRDefault="00954A76">
    <w:pPr>
      <w:pStyle w:val="Header"/>
    </w:pPr>
  </w:p>
  <w:p w:rsidR="00954A76" w:rsidRDefault="00954A76">
    <w:pPr>
      <w:pStyle w:val="Header"/>
    </w:pPr>
  </w:p>
  <w:p w:rsidR="00954A76" w:rsidRDefault="00954A76">
    <w:pPr>
      <w:pStyle w:val="Header"/>
    </w:pPr>
  </w:p>
  <w:p w:rsidR="00954A76" w:rsidRDefault="00954A76">
    <w:pPr>
      <w:pStyle w:val="Header"/>
    </w:pPr>
    <w:bookmarkStart w:id="3" w:name="Recipients"/>
    <w:bookmarkEnd w:id="3"/>
  </w:p>
  <w:p w:rsidR="00954A76" w:rsidRDefault="00CB4B20">
    <w:pPr>
      <w:pStyle w:val="Header"/>
    </w:pPr>
    <w:fldSimple w:instr=" styleref &quot;LetterDate&quot; ">
      <w:r>
        <w:rPr>
          <w:noProof/>
        </w:rPr>
        <w:t>May 1, 2015</w:t>
      </w:r>
    </w:fldSimple>
  </w:p>
  <w:p w:rsidR="00954A76" w:rsidRDefault="00CB4B20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54A76" w:rsidRDefault="00954A76">
    <w:pPr>
      <w:pStyle w:val="Header"/>
      <w:rPr>
        <w:rStyle w:val="PageNumber"/>
      </w:rPr>
    </w:pPr>
  </w:p>
  <w:p w:rsidR="00954A76" w:rsidRDefault="00954A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76" w:rsidRDefault="00CB4B20">
    <w:pPr>
      <w:pStyle w:val="Header"/>
      <w:ind w:left="-630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-162560</wp:posOffset>
          </wp:positionH>
          <wp:positionV relativeFrom="margin">
            <wp:posOffset>-101600</wp:posOffset>
          </wp:positionV>
          <wp:extent cx="3063240" cy="292100"/>
          <wp:effectExtent l="19050" t="0" r="3810" b="0"/>
          <wp:wrapSquare wrapText="bothSides"/>
          <wp:docPr id="2" name="Picture 1" descr="ohio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io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324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0">
          <wp:simplePos x="0" y="0"/>
          <wp:positionH relativeFrom="page">
            <wp:posOffset>420370</wp:posOffset>
          </wp:positionH>
          <wp:positionV relativeFrom="page">
            <wp:posOffset>261257</wp:posOffset>
          </wp:positionV>
          <wp:extent cx="2993380" cy="700065"/>
          <wp:effectExtent l="19050" t="0" r="0" b="0"/>
          <wp:wrapNone/>
          <wp:docPr id="4" name="Picture 0" descr="McNees_email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Nees_email_letterhe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93380" cy="70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E424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CDEB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E2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CB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6C00E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368B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5A3F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D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3CCF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DA0A5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0C6724"/>
    <w:multiLevelType w:val="hybridMultilevel"/>
    <w:tmpl w:val="70B2FD68"/>
    <w:lvl w:ilvl="0" w:tplc="0E1E1934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409C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5"/>
  <w:drawingGridVerticalSpacing w:val="299"/>
  <w:displayHorizontalDrawingGridEvery w:val="0"/>
  <w:noPunctuationKerning/>
  <w:characterSpacingControl w:val="doNotCompress"/>
  <w:hdrShapeDefaults>
    <o:shapedefaults v:ext="edit" spidmax="2050">
      <o:colormru v:ext="edit" colors="#c00"/>
      <o:colormenu v:ext="edit" strokecolor="#c00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4A76"/>
    <w:rsid w:val="00954A76"/>
    <w:rsid w:val="00C91D2E"/>
    <w:rsid w:val="00CB4B20"/>
    <w:rsid w:val="00E4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  <o:colormenu v:ext="edit" strokecolor="#c0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1" w:qFormat="1"/>
    <w:lsdException w:name="caption" w:uiPriority="35" w:qFormat="1"/>
    <w:lsdException w:name="List Bullet" w:qFormat="1"/>
    <w:lsdException w:name="List Number" w:qFormat="1"/>
    <w:lsdException w:name="Title" w:semiHidden="0" w:uiPriority="3" w:unhideWhenUsed="0" w:qFormat="1"/>
    <w:lsdException w:name="Signature" w:uiPriority="3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rFonts w:ascii="Arial" w:hAnsi="Arial" w:cs="Arial"/>
      <w:sz w:val="23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numPr>
        <w:ilvl w:val="2"/>
        <w:numId w:val="4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after="24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after="240"/>
      <w:ind w:left="1440" w:right="1440"/>
    </w:pPr>
  </w:style>
  <w:style w:type="paragraph" w:customStyle="1" w:styleId="bcc">
    <w:name w:val="bcc"/>
    <w:basedOn w:val="Normal"/>
    <w:pPr>
      <w:tabs>
        <w:tab w:val="left" w:pos="700"/>
      </w:tabs>
      <w:ind w:left="700" w:hanging="700"/>
    </w:pPr>
  </w:style>
  <w:style w:type="paragraph" w:customStyle="1" w:styleId="PersonalInfo">
    <w:name w:val="PersonalInfo"/>
    <w:basedOn w:val="Normal"/>
    <w:next w:val="Normal"/>
    <w:pPr>
      <w:ind w:left="7488"/>
    </w:pPr>
    <w:rPr>
      <w:sz w:val="16"/>
    </w:rPr>
  </w:style>
  <w:style w:type="paragraph" w:customStyle="1" w:styleId="LetterDate">
    <w:name w:val="LetterDate"/>
    <w:basedOn w:val="Normal"/>
    <w:next w:val="Normal"/>
    <w:pPr>
      <w:jc w:val="center"/>
    </w:pPr>
  </w:style>
  <w:style w:type="paragraph" w:customStyle="1" w:styleId="DeliveryMethod">
    <w:name w:val="DeliveryMethod"/>
    <w:basedOn w:val="Normal"/>
    <w:next w:val="Normal"/>
    <w:pPr>
      <w:spacing w:after="240"/>
    </w:pPr>
    <w:rPr>
      <w:b/>
      <w:caps/>
      <w:u w:val="single"/>
    </w:rPr>
  </w:style>
  <w:style w:type="paragraph" w:customStyle="1" w:styleId="RecipientName">
    <w:name w:val="RecipientName"/>
    <w:basedOn w:val="Normal"/>
    <w:next w:val="Normal"/>
  </w:style>
  <w:style w:type="paragraph" w:customStyle="1" w:styleId="RecipientAddress">
    <w:name w:val="RecipientAddress"/>
    <w:basedOn w:val="Normal"/>
    <w:next w:val="Normal"/>
  </w:style>
  <w:style w:type="paragraph" w:customStyle="1" w:styleId="ReLine">
    <w:name w:val="ReLine"/>
    <w:basedOn w:val="Normal"/>
    <w:next w:val="Normal"/>
    <w:pPr>
      <w:ind w:left="1440" w:hanging="720"/>
    </w:pPr>
  </w:style>
  <w:style w:type="paragraph" w:styleId="Salutation">
    <w:name w:val="Salutation"/>
    <w:basedOn w:val="Normal"/>
    <w:next w:val="Normal"/>
    <w:semiHidden/>
    <w:pPr>
      <w:spacing w:after="240"/>
    </w:pPr>
  </w:style>
  <w:style w:type="paragraph" w:styleId="BodyText">
    <w:name w:val="Body Text"/>
    <w:basedOn w:val="Normal"/>
    <w:link w:val="BodyTextChar"/>
    <w:semiHidden/>
    <w:pPr>
      <w:spacing w:after="240"/>
    </w:pPr>
  </w:style>
  <w:style w:type="paragraph" w:styleId="Closing">
    <w:name w:val="Closing"/>
    <w:basedOn w:val="Normal"/>
    <w:semiHidden/>
  </w:style>
  <w:style w:type="paragraph" w:customStyle="1" w:styleId="Initials">
    <w:name w:val="Initials"/>
    <w:basedOn w:val="Normal"/>
    <w:next w:val="Normal"/>
  </w:style>
  <w:style w:type="paragraph" w:customStyle="1" w:styleId="SenderName">
    <w:name w:val="SenderName"/>
    <w:basedOn w:val="Normal"/>
    <w:next w:val="Normal"/>
  </w:style>
  <w:style w:type="paragraph" w:customStyle="1" w:styleId="Enclosure">
    <w:name w:val="Enclosure"/>
    <w:basedOn w:val="Normal"/>
    <w:next w:val="Normal"/>
  </w:style>
  <w:style w:type="paragraph" w:customStyle="1" w:styleId="ioc">
    <w:name w:val="ioc"/>
    <w:basedOn w:val="Normal"/>
    <w:next w:val="Normal"/>
    <w:pPr>
      <w:tabs>
        <w:tab w:val="left" w:pos="720"/>
      </w:tabs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3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Cs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theme="majorBidi"/>
      <w:bCs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Theme="majorEastAsia" w:hAnsi="Arial" w:cstheme="majorBidi"/>
      <w:bCs/>
      <w:iCs/>
      <w:sz w:val="23"/>
    </w:rPr>
  </w:style>
  <w:style w:type="paragraph" w:styleId="FootnoteText">
    <w:name w:val="footnote text"/>
    <w:basedOn w:val="Normal"/>
    <w:link w:val="FootnoteTextChar"/>
    <w:uiPriority w:val="11"/>
    <w:qFormat/>
    <w:pPr>
      <w:spacing w:after="120"/>
    </w:pPr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11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cs="Times New Roman"/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uiPriority w:val="99"/>
    <w:qFormat/>
    <w:pPr>
      <w:numPr>
        <w:numId w:val="6"/>
      </w:numPr>
      <w:spacing w:after="240"/>
      <w:contextualSpacing/>
    </w:pPr>
    <w:rPr>
      <w:rFonts w:cs="Times New Roman"/>
    </w:rPr>
  </w:style>
  <w:style w:type="paragraph" w:styleId="ListNumber">
    <w:name w:val="List Number"/>
    <w:basedOn w:val="Normal"/>
    <w:uiPriority w:val="99"/>
    <w:qFormat/>
    <w:pPr>
      <w:numPr>
        <w:numId w:val="8"/>
      </w:numPr>
      <w:spacing w:after="24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3"/>
    <w:qFormat/>
    <w:pPr>
      <w:spacing w:after="240"/>
      <w:jc w:val="center"/>
    </w:pPr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="Arial" w:eastAsiaTheme="majorEastAsia" w:hAnsi="Arial" w:cstheme="majorBidi"/>
      <w:sz w:val="23"/>
      <w:szCs w:val="52"/>
    </w:rPr>
  </w:style>
  <w:style w:type="paragraph" w:styleId="Signature">
    <w:name w:val="Signature"/>
    <w:basedOn w:val="Normal"/>
    <w:link w:val="SignatureChar"/>
    <w:uiPriority w:val="3"/>
    <w:qFormat/>
    <w:pPr>
      <w:spacing w:after="240"/>
      <w:ind w:left="4320"/>
      <w:contextualSpacing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3"/>
    <w:rPr>
      <w:rFonts w:ascii="Arial" w:hAnsi="Arial"/>
      <w:sz w:val="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spacing w:before="480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DoubleIndent1">
    <w:name w:val="Double Indent 1"/>
    <w:aliases w:val="DblInd1"/>
    <w:basedOn w:val="Normal"/>
    <w:uiPriority w:val="2"/>
    <w:qFormat/>
    <w:pPr>
      <w:spacing w:after="240"/>
      <w:ind w:left="1440" w:right="1440"/>
    </w:pPr>
    <w:rPr>
      <w:rFonts w:cs="Times New Roman"/>
    </w:rPr>
  </w:style>
  <w:style w:type="paragraph" w:customStyle="1" w:styleId="LeftIndent">
    <w:name w:val="Left Indent"/>
    <w:aliases w:val="LeftInd"/>
    <w:basedOn w:val="Normal"/>
    <w:uiPriority w:val="11"/>
    <w:qFormat/>
    <w:pPr>
      <w:spacing w:after="240"/>
      <w:ind w:left="720"/>
    </w:pPr>
    <w:rPr>
      <w:rFonts w:cs="Times New Roman"/>
    </w:rPr>
  </w:style>
  <w:style w:type="paragraph" w:customStyle="1" w:styleId="FirstLineIndent">
    <w:name w:val="First Line Indent"/>
    <w:aliases w:val="FirstInd"/>
    <w:basedOn w:val="Normal"/>
    <w:uiPriority w:val="1"/>
    <w:qFormat/>
    <w:pPr>
      <w:spacing w:after="240"/>
      <w:ind w:firstLine="720"/>
    </w:pPr>
    <w:rPr>
      <w:rFonts w:cs="Times New Roman"/>
    </w:rPr>
  </w:style>
  <w:style w:type="paragraph" w:customStyle="1" w:styleId="NoIndent">
    <w:name w:val="No Indent"/>
    <w:aliases w:val="NoInd"/>
    <w:basedOn w:val="Normal"/>
    <w:qFormat/>
    <w:pPr>
      <w:spacing w:after="240"/>
    </w:pPr>
    <w:rPr>
      <w:rFonts w:cs="Times New Roman"/>
    </w:rPr>
  </w:style>
  <w:style w:type="paragraph" w:customStyle="1" w:styleId="DoubleIndent5">
    <w:name w:val="Double Indent .5"/>
    <w:aliases w:val="DblInd5"/>
    <w:basedOn w:val="Normal"/>
    <w:uiPriority w:val="2"/>
    <w:qFormat/>
    <w:pPr>
      <w:spacing w:after="240"/>
      <w:ind w:left="720" w:right="720"/>
    </w:pPr>
    <w:rPr>
      <w:rFonts w:cs="Times New Roman"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hAnsi="Arial" w:cs="Arial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1242</Characters>
  <Application>Microsoft Office Word</Application>
  <DocSecurity>0</DocSecurity>
  <PresentationFormat>12|.DOCX</PresentationFormat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IEU-Ohio's letter re: comments on amended application (15-361) (C47140).DOCX</vt:lpstr>
    </vt:vector>
  </TitlesOfParts>
  <Company>Some Company, Inc.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IEU-Ohio's letter re: comments on amended application (15-361) (C47140).DOCX</dc:title>
  <dc:subject>C47140: /font=8</dc:subject>
  <dc:creator>Debbie Ryan</dc:creator>
  <cp:lastModifiedBy>Debbie Ryan</cp:lastModifiedBy>
  <cp:revision>2</cp:revision>
  <cp:lastPrinted>2010-01-08T19:25:00Z</cp:lastPrinted>
  <dcterms:created xsi:type="dcterms:W3CDTF">2015-05-01T15:50:00Z</dcterms:created>
  <dcterms:modified xsi:type="dcterms:W3CDTF">2015-05-01T15:50:00Z</dcterms:modified>
</cp:coreProperties>
</file>