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4C" w:rsidRDefault="007A364C" w:rsidP="007A364C">
      <w:pPr>
        <w:pStyle w:val="Title"/>
        <w:rPr>
          <w:sz w:val="28"/>
        </w:rPr>
      </w:pPr>
      <w:bookmarkStart w:id="0" w:name="OLE_LINK1"/>
      <w:bookmarkStart w:id="1" w:name="OLE_LINK2"/>
      <w:bookmarkStart w:id="2" w:name="_GoBack"/>
      <w:bookmarkEnd w:id="2"/>
      <w:r>
        <w:rPr>
          <w:sz w:val="28"/>
        </w:rPr>
        <w:t>Before</w:t>
      </w:r>
    </w:p>
    <w:p w:rsidR="007A364C" w:rsidRDefault="007A364C" w:rsidP="007A364C">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A364C" w:rsidRDefault="007A364C" w:rsidP="007A364C">
      <w:pPr>
        <w:autoSpaceDE w:val="0"/>
        <w:autoSpaceDN w:val="0"/>
        <w:adjustRightInd w:val="0"/>
        <w:jc w:val="both"/>
        <w:rPr>
          <w:rFonts w:ascii="Arial" w:eastAsiaTheme="minorHAnsi" w:hAnsi="Arial" w:cs="Arial"/>
        </w:rPr>
      </w:pPr>
    </w:p>
    <w:p w:rsidR="007A364C" w:rsidRDefault="007A364C" w:rsidP="007A364C">
      <w:pPr>
        <w:autoSpaceDE w:val="0"/>
        <w:autoSpaceDN w:val="0"/>
        <w:adjustRightInd w:val="0"/>
        <w:jc w:val="both"/>
        <w:rPr>
          <w:rFonts w:ascii="Arial" w:eastAsiaTheme="minorHAnsi" w:hAnsi="Arial" w:cs="Arial"/>
        </w:rPr>
      </w:pPr>
      <w:r>
        <w:rPr>
          <w:rFonts w:ascii="Arial" w:eastAsiaTheme="minorHAnsi" w:hAnsi="Arial" w:cs="Arial"/>
        </w:rPr>
        <w:t>In the Matter of the Application of</w:t>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7A364C" w:rsidRDefault="007A364C" w:rsidP="007A364C">
      <w:pPr>
        <w:autoSpaceDE w:val="0"/>
        <w:autoSpaceDN w:val="0"/>
        <w:adjustRightInd w:val="0"/>
        <w:jc w:val="both"/>
        <w:rPr>
          <w:rFonts w:ascii="Arial" w:eastAsiaTheme="minorHAnsi" w:hAnsi="Arial" w:cs="Arial"/>
        </w:rPr>
      </w:pPr>
      <w:r>
        <w:rPr>
          <w:rFonts w:ascii="Arial" w:eastAsiaTheme="minorHAnsi" w:hAnsi="Arial" w:cs="Arial"/>
        </w:rPr>
        <w:t xml:space="preserve">Ohio Edison Company, The Cleveland </w:t>
      </w:r>
      <w:r>
        <w:rPr>
          <w:rFonts w:ascii="Arial" w:eastAsiaTheme="minorHAnsi" w:hAnsi="Arial" w:cs="Arial"/>
        </w:rPr>
        <w:tab/>
      </w:r>
      <w:r>
        <w:rPr>
          <w:rFonts w:ascii="Arial" w:eastAsiaTheme="minorHAnsi" w:hAnsi="Arial" w:cs="Arial"/>
        </w:rPr>
        <w:tab/>
        <w:t>)</w:t>
      </w:r>
    </w:p>
    <w:p w:rsidR="007A364C" w:rsidRDefault="007A364C" w:rsidP="007A364C">
      <w:pPr>
        <w:autoSpaceDE w:val="0"/>
        <w:autoSpaceDN w:val="0"/>
        <w:adjustRightInd w:val="0"/>
        <w:jc w:val="both"/>
        <w:rPr>
          <w:rFonts w:ascii="Arial" w:eastAsiaTheme="minorHAnsi" w:hAnsi="Arial" w:cs="Arial"/>
        </w:rPr>
      </w:pPr>
      <w:r>
        <w:rPr>
          <w:rFonts w:ascii="Arial" w:eastAsiaTheme="minorHAnsi" w:hAnsi="Arial" w:cs="Arial"/>
        </w:rPr>
        <w:t>Electric Illuminating Company and The</w:t>
      </w:r>
      <w:r>
        <w:rPr>
          <w:rFonts w:ascii="Arial" w:eastAsiaTheme="minorHAnsi" w:hAnsi="Arial" w:cs="Arial"/>
        </w:rPr>
        <w:tab/>
      </w:r>
      <w:r>
        <w:rPr>
          <w:rFonts w:ascii="Arial" w:eastAsiaTheme="minorHAnsi" w:hAnsi="Arial" w:cs="Arial"/>
        </w:rPr>
        <w:tab/>
        <w:t>)</w:t>
      </w:r>
      <w:r>
        <w:rPr>
          <w:rFonts w:ascii="Arial" w:eastAsiaTheme="minorHAnsi" w:hAnsi="Arial" w:cs="Arial"/>
        </w:rPr>
        <w:tab/>
        <w:t>Case No. 12-2190-EL-POR</w:t>
      </w:r>
    </w:p>
    <w:p w:rsidR="007A364C" w:rsidRDefault="007A364C" w:rsidP="007A364C">
      <w:pPr>
        <w:autoSpaceDE w:val="0"/>
        <w:autoSpaceDN w:val="0"/>
        <w:adjustRightInd w:val="0"/>
        <w:jc w:val="both"/>
        <w:rPr>
          <w:rFonts w:ascii="Arial" w:eastAsiaTheme="minorHAnsi" w:hAnsi="Arial" w:cs="Arial"/>
        </w:rPr>
      </w:pPr>
      <w:r>
        <w:rPr>
          <w:rFonts w:ascii="Arial" w:eastAsiaTheme="minorHAnsi" w:hAnsi="Arial" w:cs="Arial"/>
        </w:rPr>
        <w:t>Toledo Edison Company for Approval of</w:t>
      </w:r>
      <w:r>
        <w:rPr>
          <w:rFonts w:ascii="Arial" w:eastAsiaTheme="minorHAnsi" w:hAnsi="Arial" w:cs="Arial"/>
        </w:rPr>
        <w:tab/>
      </w:r>
      <w:r>
        <w:rPr>
          <w:rFonts w:ascii="Arial" w:eastAsiaTheme="minorHAnsi" w:hAnsi="Arial" w:cs="Arial"/>
        </w:rPr>
        <w:tab/>
        <w:t>)</w:t>
      </w:r>
      <w:r>
        <w:rPr>
          <w:rFonts w:ascii="Arial" w:eastAsiaTheme="minorHAnsi" w:hAnsi="Arial" w:cs="Arial"/>
        </w:rPr>
        <w:tab/>
        <w:t>Case No. 12-2191-EL-POR</w:t>
      </w:r>
    </w:p>
    <w:p w:rsidR="007A364C" w:rsidRDefault="007A364C" w:rsidP="007A364C">
      <w:pPr>
        <w:autoSpaceDE w:val="0"/>
        <w:autoSpaceDN w:val="0"/>
        <w:adjustRightInd w:val="0"/>
        <w:jc w:val="both"/>
        <w:rPr>
          <w:rFonts w:ascii="Arial" w:eastAsiaTheme="minorHAnsi" w:hAnsi="Arial" w:cs="Arial"/>
        </w:rPr>
      </w:pPr>
      <w:r>
        <w:rPr>
          <w:rFonts w:ascii="Arial" w:eastAsiaTheme="minorHAnsi" w:hAnsi="Arial" w:cs="Arial"/>
        </w:rPr>
        <w:t>Their Energy Efficiency and Peak Demand</w:t>
      </w:r>
      <w:r>
        <w:rPr>
          <w:rFonts w:ascii="Arial" w:eastAsiaTheme="minorHAnsi" w:hAnsi="Arial" w:cs="Arial"/>
        </w:rPr>
        <w:tab/>
        <w:t>)</w:t>
      </w:r>
      <w:r>
        <w:rPr>
          <w:rFonts w:ascii="Arial" w:eastAsiaTheme="minorHAnsi" w:hAnsi="Arial" w:cs="Arial"/>
        </w:rPr>
        <w:tab/>
        <w:t>Case No. 12-2192-EL-POR</w:t>
      </w:r>
    </w:p>
    <w:p w:rsidR="007A364C" w:rsidRDefault="007A364C" w:rsidP="007A364C">
      <w:pPr>
        <w:autoSpaceDE w:val="0"/>
        <w:autoSpaceDN w:val="0"/>
        <w:adjustRightInd w:val="0"/>
        <w:jc w:val="both"/>
        <w:rPr>
          <w:rFonts w:ascii="Arial" w:eastAsiaTheme="minorHAnsi" w:hAnsi="Arial" w:cs="Arial"/>
        </w:rPr>
      </w:pPr>
      <w:r>
        <w:rPr>
          <w:rFonts w:ascii="Arial" w:eastAsiaTheme="minorHAnsi" w:hAnsi="Arial" w:cs="Arial"/>
        </w:rPr>
        <w:t>Reduction Program Portfolio Plans for</w:t>
      </w:r>
      <w:r>
        <w:rPr>
          <w:rFonts w:ascii="Arial" w:eastAsiaTheme="minorHAnsi" w:hAnsi="Arial" w:cs="Arial"/>
        </w:rPr>
        <w:tab/>
      </w:r>
      <w:r>
        <w:rPr>
          <w:rFonts w:ascii="Arial" w:eastAsiaTheme="minorHAnsi" w:hAnsi="Arial" w:cs="Arial"/>
        </w:rPr>
        <w:tab/>
        <w:t>)</w:t>
      </w:r>
    </w:p>
    <w:p w:rsidR="007A364C" w:rsidRDefault="007A364C" w:rsidP="007A364C">
      <w:pPr>
        <w:autoSpaceDE w:val="0"/>
        <w:autoSpaceDN w:val="0"/>
        <w:adjustRightInd w:val="0"/>
        <w:jc w:val="both"/>
        <w:rPr>
          <w:rFonts w:ascii="Arial" w:eastAsiaTheme="minorHAnsi" w:hAnsi="Arial" w:cs="Arial"/>
        </w:rPr>
      </w:pPr>
      <w:r>
        <w:rPr>
          <w:rFonts w:ascii="Arial" w:eastAsiaTheme="minorHAnsi" w:hAnsi="Arial" w:cs="Arial"/>
        </w:rPr>
        <w:t>2013 through 2015</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7A364C" w:rsidRDefault="007A364C" w:rsidP="007A364C">
      <w:pPr>
        <w:autoSpaceDE w:val="0"/>
        <w:autoSpaceDN w:val="0"/>
        <w:adjustRightInd w:val="0"/>
        <w:jc w:val="both"/>
      </w:pPr>
    </w:p>
    <w:p w:rsidR="007A364C" w:rsidRPr="007A364C" w:rsidRDefault="007A364C" w:rsidP="007A364C">
      <w:pPr>
        <w:pStyle w:val="BodyText"/>
        <w:tabs>
          <w:tab w:val="left" w:pos="5040"/>
        </w:tabs>
      </w:pPr>
    </w:p>
    <w:p w:rsidR="007A364C" w:rsidRPr="007A364C" w:rsidRDefault="007A364C" w:rsidP="007A364C">
      <w:pPr>
        <w:pBdr>
          <w:top w:val="single" w:sz="12" w:space="1" w:color="auto"/>
        </w:pBdr>
        <w:tabs>
          <w:tab w:val="left" w:pos="7320"/>
        </w:tabs>
        <w:jc w:val="both"/>
        <w:rPr>
          <w:rFonts w:ascii="Arial" w:hAnsi="Arial" w:cs="Arial"/>
        </w:rPr>
      </w:pPr>
    </w:p>
    <w:p w:rsidR="007A364C" w:rsidRPr="007A364C" w:rsidRDefault="007A364C" w:rsidP="007A364C">
      <w:pPr>
        <w:jc w:val="center"/>
        <w:rPr>
          <w:rFonts w:ascii="Arial" w:hAnsi="Arial" w:cs="Arial"/>
          <w:b/>
        </w:rPr>
      </w:pPr>
      <w:r w:rsidRPr="007A364C">
        <w:rPr>
          <w:rFonts w:ascii="Arial" w:hAnsi="Arial" w:cs="Arial"/>
          <w:b/>
        </w:rPr>
        <w:t>APPLICAT</w:t>
      </w:r>
      <w:r w:rsidR="007E73A6">
        <w:rPr>
          <w:rFonts w:ascii="Arial" w:hAnsi="Arial" w:cs="Arial"/>
          <w:b/>
        </w:rPr>
        <w:t>I</w:t>
      </w:r>
      <w:r w:rsidRPr="007A364C">
        <w:rPr>
          <w:rFonts w:ascii="Arial" w:hAnsi="Arial" w:cs="Arial"/>
          <w:b/>
        </w:rPr>
        <w:t>ON FOR REHEARING OF INDUSTRIAL ENERGY USERS-OHIO</w:t>
      </w:r>
    </w:p>
    <w:p w:rsidR="007A364C" w:rsidRPr="007A364C" w:rsidRDefault="007A364C" w:rsidP="007A364C">
      <w:pPr>
        <w:pStyle w:val="Title"/>
        <w:pBdr>
          <w:bottom w:val="single" w:sz="12" w:space="1" w:color="auto"/>
        </w:pBdr>
        <w:jc w:val="both"/>
        <w:rPr>
          <w:sz w:val="24"/>
          <w:u w:val="single"/>
        </w:rPr>
      </w:pPr>
    </w:p>
    <w:bookmarkEnd w:id="0"/>
    <w:bookmarkEnd w:id="1"/>
    <w:p w:rsidR="007A364C" w:rsidRPr="007A364C" w:rsidRDefault="007A364C" w:rsidP="007A364C">
      <w:pPr>
        <w:pStyle w:val="Title"/>
        <w:jc w:val="both"/>
        <w:rPr>
          <w:sz w:val="24"/>
          <w:u w:val="single"/>
        </w:rPr>
      </w:pPr>
    </w:p>
    <w:p w:rsidR="007A364C" w:rsidRPr="007A364C" w:rsidRDefault="007A364C" w:rsidP="007A364C">
      <w:pPr>
        <w:pStyle w:val="Title"/>
        <w:tabs>
          <w:tab w:val="left" w:pos="2190"/>
        </w:tabs>
        <w:jc w:val="both"/>
        <w:rPr>
          <w:sz w:val="24"/>
          <w:u w:val="single"/>
        </w:rPr>
      </w:pPr>
    </w:p>
    <w:p w:rsidR="007A364C" w:rsidRPr="007A364C" w:rsidRDefault="007A364C" w:rsidP="007A364C">
      <w:pPr>
        <w:pStyle w:val="Title"/>
        <w:jc w:val="both"/>
        <w:rPr>
          <w:sz w:val="24"/>
          <w:u w:val="single"/>
        </w:rPr>
      </w:pPr>
    </w:p>
    <w:p w:rsidR="007A364C" w:rsidRPr="007A364C" w:rsidRDefault="007A364C" w:rsidP="007A364C">
      <w:pPr>
        <w:pStyle w:val="Title"/>
        <w:jc w:val="both"/>
        <w:rPr>
          <w:sz w:val="24"/>
          <w:u w:val="single"/>
        </w:rPr>
      </w:pPr>
    </w:p>
    <w:p w:rsidR="007A364C" w:rsidRPr="007A364C" w:rsidRDefault="007A364C" w:rsidP="007A364C">
      <w:pPr>
        <w:pStyle w:val="Title"/>
        <w:jc w:val="both"/>
        <w:rPr>
          <w:sz w:val="24"/>
          <w:u w:val="single"/>
        </w:rPr>
      </w:pPr>
    </w:p>
    <w:p w:rsidR="007A364C" w:rsidRPr="007A364C" w:rsidRDefault="007A364C" w:rsidP="007A364C">
      <w:pPr>
        <w:pStyle w:val="Title"/>
        <w:jc w:val="both"/>
        <w:rPr>
          <w:sz w:val="24"/>
          <w:u w:val="single"/>
        </w:rPr>
      </w:pPr>
    </w:p>
    <w:p w:rsidR="007A364C" w:rsidRPr="007A364C" w:rsidRDefault="007A364C" w:rsidP="007A364C">
      <w:pPr>
        <w:pStyle w:val="Title"/>
        <w:jc w:val="both"/>
        <w:rPr>
          <w:sz w:val="24"/>
          <w:u w:val="single"/>
        </w:rPr>
      </w:pPr>
    </w:p>
    <w:p w:rsidR="007A364C" w:rsidRPr="007A364C" w:rsidRDefault="007A364C" w:rsidP="007A364C">
      <w:pPr>
        <w:pStyle w:val="Title"/>
        <w:jc w:val="both"/>
        <w:rPr>
          <w:sz w:val="24"/>
          <w:u w:val="single"/>
        </w:rPr>
      </w:pPr>
    </w:p>
    <w:p w:rsidR="007A364C" w:rsidRPr="007A364C" w:rsidRDefault="007A364C" w:rsidP="007A364C">
      <w:pPr>
        <w:pStyle w:val="Title"/>
        <w:jc w:val="both"/>
        <w:rPr>
          <w:sz w:val="24"/>
          <w:u w:val="single"/>
        </w:rPr>
      </w:pPr>
    </w:p>
    <w:p w:rsidR="007A364C" w:rsidRPr="007A364C" w:rsidRDefault="007A364C" w:rsidP="007A364C">
      <w:pPr>
        <w:pStyle w:val="Title"/>
        <w:jc w:val="both"/>
        <w:rPr>
          <w:sz w:val="24"/>
          <w:u w:val="single"/>
        </w:rPr>
      </w:pPr>
    </w:p>
    <w:p w:rsidR="007A364C" w:rsidRPr="007A364C" w:rsidRDefault="007A364C" w:rsidP="007A364C">
      <w:pPr>
        <w:pStyle w:val="Title"/>
        <w:jc w:val="both"/>
        <w:rPr>
          <w:sz w:val="24"/>
          <w:u w:val="single"/>
        </w:rPr>
      </w:pPr>
    </w:p>
    <w:p w:rsidR="007A364C" w:rsidRDefault="007A364C" w:rsidP="007A364C">
      <w:pPr>
        <w:tabs>
          <w:tab w:val="left" w:pos="4320"/>
          <w:tab w:val="right" w:pos="8640"/>
        </w:tabs>
        <w:ind w:left="4320"/>
        <w:jc w:val="both"/>
        <w:rPr>
          <w:rFonts w:ascii="Arial" w:hAnsi="Arial" w:cs="Arial"/>
        </w:rPr>
      </w:pPr>
      <w:r>
        <w:rPr>
          <w:rFonts w:ascii="Arial" w:hAnsi="Arial" w:cs="Arial"/>
        </w:rPr>
        <w:t>Samuel C. Randazzo (Counsel of Record)</w:t>
      </w:r>
    </w:p>
    <w:p w:rsidR="007A364C" w:rsidRDefault="007A364C" w:rsidP="007A364C">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7A364C" w:rsidRDefault="007A364C" w:rsidP="007A364C">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7A364C" w:rsidRDefault="007A364C" w:rsidP="007A364C">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7A364C" w:rsidRDefault="007A364C" w:rsidP="007A364C">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7A364C" w:rsidRDefault="007A364C" w:rsidP="007A364C">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A364C" w:rsidRDefault="007A364C" w:rsidP="007A364C">
      <w:pPr>
        <w:pStyle w:val="BodyText"/>
        <w:tabs>
          <w:tab w:val="left" w:pos="4320"/>
        </w:tabs>
        <w:ind w:left="4320"/>
      </w:pPr>
      <w:r>
        <w:t>Columbus, OH  43215</w:t>
      </w:r>
    </w:p>
    <w:p w:rsidR="007A364C" w:rsidRDefault="007A364C" w:rsidP="007A364C">
      <w:pPr>
        <w:pStyle w:val="BodyText"/>
        <w:tabs>
          <w:tab w:val="left" w:pos="4320"/>
        </w:tabs>
        <w:ind w:left="4320"/>
      </w:pPr>
      <w:r>
        <w:t>Telephone:  (614) 469-8000</w:t>
      </w:r>
    </w:p>
    <w:p w:rsidR="007A364C" w:rsidRDefault="007A364C" w:rsidP="007A364C">
      <w:pPr>
        <w:pStyle w:val="BodyText"/>
        <w:tabs>
          <w:tab w:val="left" w:pos="4320"/>
        </w:tabs>
        <w:ind w:left="4320"/>
      </w:pPr>
      <w:r>
        <w:t>Telecopier:  (614) 469-4653</w:t>
      </w:r>
    </w:p>
    <w:p w:rsidR="007A364C" w:rsidRDefault="007A364C" w:rsidP="007A364C">
      <w:pPr>
        <w:pStyle w:val="BodyText"/>
        <w:ind w:left="4320"/>
      </w:pPr>
      <w:r>
        <w:t>sam@mwncmh.com</w:t>
      </w:r>
    </w:p>
    <w:p w:rsidR="007A364C" w:rsidRDefault="007A364C" w:rsidP="007A364C">
      <w:pPr>
        <w:pStyle w:val="BodyText"/>
        <w:ind w:left="4320"/>
      </w:pPr>
      <w:r>
        <w:t>fdarr@mwncmh.com</w:t>
      </w:r>
    </w:p>
    <w:p w:rsidR="007A364C" w:rsidRDefault="007A364C" w:rsidP="007A364C">
      <w:pPr>
        <w:pStyle w:val="BodyText"/>
        <w:ind w:left="4320"/>
      </w:pPr>
      <w:r>
        <w:t>joliker@mwncmh.com</w:t>
      </w:r>
    </w:p>
    <w:p w:rsidR="007A364C" w:rsidRDefault="007A364C" w:rsidP="007A364C">
      <w:pPr>
        <w:pStyle w:val="BodyText"/>
        <w:ind w:left="4320"/>
      </w:pPr>
      <w:r>
        <w:t>mpritchard@mwncmh.com</w:t>
      </w:r>
    </w:p>
    <w:p w:rsidR="007A364C" w:rsidRDefault="007A364C" w:rsidP="007A364C">
      <w:pPr>
        <w:pStyle w:val="BodyText"/>
      </w:pPr>
    </w:p>
    <w:p w:rsidR="007A364C" w:rsidRDefault="00B746A3" w:rsidP="007A364C">
      <w:pPr>
        <w:pStyle w:val="Title"/>
        <w:jc w:val="both"/>
        <w:rPr>
          <w:smallCaps w:val="0"/>
          <w:sz w:val="24"/>
        </w:rPr>
      </w:pPr>
      <w:r>
        <w:rPr>
          <w:smallCaps w:val="0"/>
          <w:sz w:val="24"/>
        </w:rPr>
        <w:t>April 19</w:t>
      </w:r>
      <w:r w:rsidR="007A364C">
        <w:rPr>
          <w:smallCaps w:val="0"/>
          <w:sz w:val="24"/>
        </w:rPr>
        <w:t>, 2013</w:t>
      </w:r>
      <w:r w:rsidR="007A364C">
        <w:rPr>
          <w:smallCaps w:val="0"/>
          <w:sz w:val="24"/>
        </w:rPr>
        <w:tab/>
      </w:r>
      <w:r w:rsidR="007A364C">
        <w:rPr>
          <w:smallCaps w:val="0"/>
          <w:sz w:val="24"/>
        </w:rPr>
        <w:tab/>
      </w:r>
      <w:r w:rsidR="007A364C">
        <w:rPr>
          <w:smallCaps w:val="0"/>
          <w:sz w:val="24"/>
        </w:rPr>
        <w:tab/>
      </w:r>
      <w:r w:rsidR="007A364C">
        <w:rPr>
          <w:smallCaps w:val="0"/>
          <w:sz w:val="24"/>
        </w:rPr>
        <w:tab/>
        <w:t>Attorneys for Industrial Energy Users-Ohio</w:t>
      </w:r>
    </w:p>
    <w:p w:rsidR="00F86176" w:rsidRDefault="00F86176" w:rsidP="007A364C">
      <w:pPr>
        <w:pStyle w:val="Title"/>
        <w:jc w:val="both"/>
        <w:rPr>
          <w:smallCaps w:val="0"/>
          <w:sz w:val="24"/>
        </w:rPr>
      </w:pPr>
    </w:p>
    <w:p w:rsidR="007A364C" w:rsidRDefault="007A364C">
      <w:pPr>
        <w:sectPr w:rsidR="007A364C" w:rsidSect="00C040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F620C1" w:rsidRPr="004F7E6C" w:rsidRDefault="00F620C1" w:rsidP="00F620C1">
      <w:pPr>
        <w:pStyle w:val="Title"/>
        <w:rPr>
          <w:sz w:val="28"/>
        </w:rPr>
      </w:pPr>
      <w:r w:rsidRPr="004F7E6C">
        <w:rPr>
          <w:sz w:val="28"/>
        </w:rPr>
        <w:lastRenderedPageBreak/>
        <w:t>TABLE OF CONTENTS</w:t>
      </w:r>
    </w:p>
    <w:p w:rsidR="00F620C1" w:rsidRPr="004F7E6C" w:rsidRDefault="00F620C1" w:rsidP="00F620C1">
      <w:pPr>
        <w:pStyle w:val="Title"/>
        <w:jc w:val="right"/>
        <w:rPr>
          <w:smallCaps w:val="0"/>
          <w:sz w:val="28"/>
        </w:rPr>
      </w:pPr>
      <w:r w:rsidRPr="004F7E6C">
        <w:rPr>
          <w:sz w:val="28"/>
        </w:rPr>
        <w:tab/>
      </w:r>
      <w:r w:rsidRPr="004F7E6C">
        <w:rPr>
          <w:sz w:val="28"/>
        </w:rPr>
        <w:tab/>
      </w:r>
      <w:r w:rsidRPr="004F7E6C">
        <w:rPr>
          <w:sz w:val="28"/>
        </w:rPr>
        <w:tab/>
      </w:r>
      <w:r w:rsidRPr="004F7E6C">
        <w:rPr>
          <w:sz w:val="28"/>
        </w:rPr>
        <w:tab/>
      </w:r>
      <w:r w:rsidRPr="004F7E6C">
        <w:rPr>
          <w:sz w:val="28"/>
        </w:rPr>
        <w:tab/>
      </w:r>
      <w:r w:rsidRPr="004F7E6C">
        <w:rPr>
          <w:sz w:val="28"/>
        </w:rPr>
        <w:tab/>
        <w:t>P</w:t>
      </w:r>
      <w:r w:rsidRPr="004F7E6C">
        <w:rPr>
          <w:smallCaps w:val="0"/>
          <w:sz w:val="28"/>
        </w:rPr>
        <w:t>age No.</w:t>
      </w:r>
    </w:p>
    <w:p w:rsidR="00F620C1" w:rsidRDefault="00F620C1" w:rsidP="00F620C1">
      <w:pPr>
        <w:pStyle w:val="Title"/>
        <w:jc w:val="left"/>
        <w:rPr>
          <w:b w:val="0"/>
          <w:smallCaps w:val="0"/>
          <w:sz w:val="28"/>
        </w:rPr>
      </w:pPr>
    </w:p>
    <w:p w:rsidR="00F620C1" w:rsidRDefault="00F620C1" w:rsidP="00F620C1">
      <w:pPr>
        <w:pStyle w:val="Title"/>
        <w:tabs>
          <w:tab w:val="left" w:pos="2190"/>
        </w:tabs>
        <w:jc w:val="both"/>
        <w:rPr>
          <w:b w:val="0"/>
          <w:sz w:val="24"/>
        </w:rPr>
      </w:pPr>
    </w:p>
    <w:p w:rsidR="00F620C1" w:rsidRPr="00F620C1" w:rsidRDefault="00F620C1" w:rsidP="00F620C1">
      <w:pPr>
        <w:pStyle w:val="ListParagraph"/>
        <w:numPr>
          <w:ilvl w:val="0"/>
          <w:numId w:val="4"/>
        </w:numPr>
        <w:tabs>
          <w:tab w:val="right" w:leader="dot" w:pos="9360"/>
        </w:tabs>
        <w:ind w:left="720"/>
        <w:rPr>
          <w:rFonts w:ascii="Arial" w:hAnsi="Arial" w:cs="Arial"/>
          <w:b/>
        </w:rPr>
      </w:pPr>
      <w:r w:rsidRPr="000B2E03">
        <w:rPr>
          <w:rFonts w:ascii="Arial" w:hAnsi="Arial" w:cs="Arial"/>
          <w:b/>
        </w:rPr>
        <w:t>BACKGROUND</w:t>
      </w:r>
      <w:r>
        <w:rPr>
          <w:rFonts w:ascii="Arial" w:hAnsi="Arial" w:cs="Arial"/>
        </w:rPr>
        <w:tab/>
        <w:t>3</w:t>
      </w:r>
    </w:p>
    <w:p w:rsidR="00F620C1" w:rsidRPr="00F620C1" w:rsidRDefault="00F620C1" w:rsidP="00F620C1">
      <w:pPr>
        <w:pStyle w:val="ListParagraph"/>
        <w:tabs>
          <w:tab w:val="right" w:leader="dot" w:pos="9360"/>
        </w:tabs>
        <w:rPr>
          <w:rFonts w:ascii="Arial" w:hAnsi="Arial" w:cs="Arial"/>
          <w:b/>
        </w:rPr>
      </w:pPr>
    </w:p>
    <w:p w:rsidR="00F620C1" w:rsidRPr="00F620C1" w:rsidRDefault="00F620C1" w:rsidP="00F620C1">
      <w:pPr>
        <w:pStyle w:val="ListParagraph"/>
        <w:numPr>
          <w:ilvl w:val="0"/>
          <w:numId w:val="4"/>
        </w:numPr>
        <w:tabs>
          <w:tab w:val="right" w:leader="dot" w:pos="9360"/>
        </w:tabs>
        <w:spacing w:before="120" w:line="480" w:lineRule="auto"/>
        <w:ind w:left="720"/>
        <w:jc w:val="both"/>
        <w:rPr>
          <w:rFonts w:ascii="Arial" w:eastAsia="Calibri" w:hAnsi="Arial" w:cs="Arial"/>
          <w:b/>
        </w:rPr>
      </w:pPr>
      <w:r w:rsidRPr="00F620C1">
        <w:rPr>
          <w:rFonts w:ascii="Arial" w:eastAsia="Calibri" w:hAnsi="Arial" w:cs="Arial"/>
          <w:b/>
        </w:rPr>
        <w:t>LAW AND ARGUMENT</w:t>
      </w:r>
      <w:r>
        <w:rPr>
          <w:rFonts w:ascii="Arial" w:eastAsia="Calibri" w:hAnsi="Arial" w:cs="Arial"/>
        </w:rPr>
        <w:tab/>
      </w:r>
      <w:r w:rsidR="004F7E6C">
        <w:rPr>
          <w:rFonts w:ascii="Arial" w:eastAsia="Calibri" w:hAnsi="Arial" w:cs="Arial"/>
        </w:rPr>
        <w:t>9</w:t>
      </w:r>
    </w:p>
    <w:p w:rsidR="00F2678D" w:rsidRPr="00250BFB" w:rsidRDefault="00F2678D" w:rsidP="00250BFB">
      <w:pPr>
        <w:pStyle w:val="ListParagraph"/>
        <w:numPr>
          <w:ilvl w:val="0"/>
          <w:numId w:val="13"/>
        </w:numPr>
        <w:tabs>
          <w:tab w:val="right" w:leader="dot" w:pos="9360"/>
        </w:tabs>
        <w:ind w:right="720"/>
        <w:jc w:val="both"/>
        <w:rPr>
          <w:rFonts w:ascii="Arial" w:eastAsia="Calibri" w:hAnsi="Arial" w:cs="Arial"/>
          <w:b/>
        </w:rPr>
      </w:pPr>
      <w:r w:rsidRPr="00250BFB">
        <w:rPr>
          <w:rFonts w:ascii="Arial" w:eastAsia="Calibri" w:hAnsi="Arial" w:cs="Arial"/>
          <w:b/>
        </w:rPr>
        <w:t>The Opinion and Order is unlawful and unreasonable because the Commission lacks statutory authority to require a mercantile customer to cede PJ</w:t>
      </w:r>
      <w:r w:rsidR="000157D9">
        <w:rPr>
          <w:rFonts w:ascii="Arial" w:eastAsia="Calibri" w:hAnsi="Arial" w:cs="Arial"/>
          <w:b/>
        </w:rPr>
        <w:t>M bidding rights to FirstEnergy</w:t>
      </w:r>
      <w:r w:rsidR="00250BFB">
        <w:rPr>
          <w:rFonts w:ascii="Arial" w:eastAsia="Calibri" w:hAnsi="Arial" w:cs="Arial"/>
        </w:rPr>
        <w:tab/>
        <w:t>1, 9</w:t>
      </w:r>
    </w:p>
    <w:p w:rsidR="00F2678D" w:rsidRPr="00F2678D" w:rsidRDefault="00F2678D" w:rsidP="00B746A3">
      <w:pPr>
        <w:ind w:right="720"/>
        <w:jc w:val="both"/>
        <w:rPr>
          <w:rFonts w:ascii="Arial" w:eastAsia="Calibri" w:hAnsi="Arial" w:cs="Arial"/>
          <w:b/>
        </w:rPr>
      </w:pPr>
    </w:p>
    <w:p w:rsidR="00F2678D" w:rsidRPr="00250BFB" w:rsidRDefault="00393338" w:rsidP="00136591">
      <w:pPr>
        <w:pStyle w:val="ListParagraph"/>
        <w:numPr>
          <w:ilvl w:val="0"/>
          <w:numId w:val="13"/>
        </w:numPr>
        <w:tabs>
          <w:tab w:val="right" w:leader="dot" w:pos="9360"/>
        </w:tabs>
        <w:ind w:right="720"/>
        <w:jc w:val="both"/>
        <w:rPr>
          <w:rFonts w:ascii="Arial" w:hAnsi="Arial" w:cs="Arial"/>
          <w:b/>
        </w:rPr>
      </w:pPr>
      <w:r w:rsidRPr="00250BFB">
        <w:rPr>
          <w:rFonts w:ascii="Arial" w:hAnsi="Arial" w:cs="Arial"/>
          <w:b/>
        </w:rPr>
        <w:t>The Opinion and Order is unlawful and unreasonable because it imposes an economic penalty on mercantile customers.  The economic penalty</w:t>
      </w:r>
      <w:r w:rsidR="00136591" w:rsidRPr="00136591">
        <w:t xml:space="preserve"> </w:t>
      </w:r>
      <w:r w:rsidR="00136591" w:rsidRPr="00136591">
        <w:rPr>
          <w:rFonts w:ascii="Arial" w:hAnsi="Arial" w:cs="Arial"/>
          <w:b/>
        </w:rPr>
        <w:t>unlawfully and unreasonably</w:t>
      </w:r>
      <w:r w:rsidRPr="00250BFB">
        <w:rPr>
          <w:rFonts w:ascii="Arial" w:hAnsi="Arial" w:cs="Arial"/>
          <w:b/>
        </w:rPr>
        <w:t xml:space="preserve"> discourages mercantile customers from committing their customer-si</w:t>
      </w:r>
      <w:r w:rsidR="000157D9">
        <w:rPr>
          <w:rFonts w:ascii="Arial" w:hAnsi="Arial" w:cs="Arial"/>
          <w:b/>
        </w:rPr>
        <w:t>ted capabilities to FirstEnergy</w:t>
      </w:r>
      <w:r w:rsidR="00250BFB">
        <w:rPr>
          <w:rFonts w:ascii="Arial" w:hAnsi="Arial" w:cs="Arial"/>
        </w:rPr>
        <w:tab/>
        <w:t>1, 12</w:t>
      </w:r>
    </w:p>
    <w:p w:rsidR="00393338" w:rsidRPr="00F2678D" w:rsidRDefault="00393338" w:rsidP="00B746A3">
      <w:pPr>
        <w:ind w:right="720"/>
        <w:jc w:val="both"/>
        <w:rPr>
          <w:rFonts w:ascii="Arial" w:eastAsia="Calibri" w:hAnsi="Arial" w:cs="Arial"/>
          <w:b/>
        </w:rPr>
      </w:pPr>
    </w:p>
    <w:p w:rsidR="00F2678D" w:rsidRDefault="00250BFB" w:rsidP="00250BFB">
      <w:pPr>
        <w:tabs>
          <w:tab w:val="right" w:leader="dot" w:pos="9360"/>
        </w:tabs>
        <w:ind w:left="1080" w:right="720" w:hanging="360"/>
        <w:jc w:val="both"/>
        <w:rPr>
          <w:rFonts w:ascii="Arial" w:eastAsia="Calibri" w:hAnsi="Arial" w:cs="Arial"/>
        </w:rPr>
      </w:pPr>
      <w:r>
        <w:rPr>
          <w:rFonts w:ascii="Arial" w:eastAsia="Calibri" w:hAnsi="Arial" w:cs="Arial"/>
          <w:b/>
        </w:rPr>
        <w:t>3</w:t>
      </w:r>
      <w:r>
        <w:rPr>
          <w:rFonts w:ascii="Arial" w:eastAsia="Calibri" w:hAnsi="Arial" w:cs="Arial"/>
          <w:b/>
        </w:rPr>
        <w:tab/>
      </w:r>
      <w:r w:rsidR="00F2678D" w:rsidRPr="00F2678D">
        <w:rPr>
          <w:rFonts w:ascii="Arial" w:eastAsia="Calibri" w:hAnsi="Arial" w:cs="Arial"/>
          <w:b/>
        </w:rPr>
        <w:t>The Opinion and Order is unlawful and unreasonable because it violates cost causation regul</w:t>
      </w:r>
      <w:r w:rsidR="000157D9">
        <w:rPr>
          <w:rFonts w:ascii="Arial" w:eastAsia="Calibri" w:hAnsi="Arial" w:cs="Arial"/>
          <w:b/>
        </w:rPr>
        <w:t>atory practices and principles</w:t>
      </w:r>
      <w:r>
        <w:rPr>
          <w:rFonts w:ascii="Arial" w:eastAsia="Calibri" w:hAnsi="Arial" w:cs="Arial"/>
        </w:rPr>
        <w:tab/>
        <w:t>1, 14</w:t>
      </w:r>
    </w:p>
    <w:p w:rsidR="00250BFB" w:rsidRPr="00250BFB" w:rsidRDefault="00250BFB" w:rsidP="00250BFB">
      <w:pPr>
        <w:tabs>
          <w:tab w:val="right" w:leader="dot" w:pos="9360"/>
        </w:tabs>
        <w:ind w:left="1080" w:right="720" w:hanging="360"/>
        <w:jc w:val="both"/>
        <w:rPr>
          <w:rFonts w:ascii="Arial" w:eastAsia="Calibri" w:hAnsi="Arial" w:cs="Arial"/>
        </w:rPr>
      </w:pPr>
    </w:p>
    <w:p w:rsidR="00F2678D" w:rsidRPr="00250BFB" w:rsidRDefault="00250BFB" w:rsidP="00250BFB">
      <w:pPr>
        <w:pStyle w:val="ListParagraph"/>
        <w:numPr>
          <w:ilvl w:val="0"/>
          <w:numId w:val="4"/>
        </w:numPr>
        <w:tabs>
          <w:tab w:val="right" w:leader="dot" w:pos="9360"/>
        </w:tabs>
        <w:ind w:left="720"/>
        <w:rPr>
          <w:rFonts w:ascii="Arial" w:eastAsia="Calibri" w:hAnsi="Arial" w:cs="Arial"/>
          <w:b/>
        </w:rPr>
      </w:pPr>
      <w:r>
        <w:rPr>
          <w:rFonts w:ascii="Arial" w:eastAsia="Calibri" w:hAnsi="Arial" w:cs="Arial"/>
          <w:b/>
        </w:rPr>
        <w:t>CONCLUSION</w:t>
      </w:r>
      <w:r w:rsidR="007221D1">
        <w:rPr>
          <w:rFonts w:ascii="Arial" w:eastAsia="Calibri" w:hAnsi="Arial" w:cs="Arial"/>
        </w:rPr>
        <w:tab/>
        <w:t>16</w:t>
      </w:r>
    </w:p>
    <w:p w:rsidR="00F620C1" w:rsidRDefault="00F620C1" w:rsidP="00F620C1">
      <w:pPr>
        <w:tabs>
          <w:tab w:val="right" w:leader="dot" w:pos="9360"/>
        </w:tabs>
        <w:rPr>
          <w:rFonts w:ascii="Arial" w:hAnsi="Arial" w:cs="Arial"/>
          <w:b/>
        </w:rPr>
      </w:pPr>
    </w:p>
    <w:p w:rsidR="00611CE0" w:rsidRDefault="00611CE0" w:rsidP="00F620C1">
      <w:pPr>
        <w:tabs>
          <w:tab w:val="right" w:leader="dot" w:pos="9360"/>
        </w:tabs>
        <w:rPr>
          <w:rFonts w:ascii="Arial" w:hAnsi="Arial" w:cs="Arial"/>
          <w:b/>
        </w:rPr>
      </w:pPr>
    </w:p>
    <w:p w:rsidR="00611CE0" w:rsidRDefault="00611CE0" w:rsidP="00F620C1">
      <w:pPr>
        <w:tabs>
          <w:tab w:val="right" w:leader="dot" w:pos="9360"/>
        </w:tabs>
        <w:rPr>
          <w:rFonts w:ascii="Arial" w:hAnsi="Arial" w:cs="Arial"/>
          <w:b/>
        </w:rPr>
      </w:pPr>
    </w:p>
    <w:p w:rsidR="00F620C1" w:rsidRDefault="00F620C1" w:rsidP="007A364C">
      <w:pPr>
        <w:pStyle w:val="Title"/>
        <w:rPr>
          <w:b w:val="0"/>
          <w:sz w:val="28"/>
        </w:rPr>
        <w:sectPr w:rsidR="00F620C1" w:rsidSect="00611CE0">
          <w:headerReference w:type="default"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rsidR="007A364C" w:rsidRDefault="007A364C" w:rsidP="007A364C">
      <w:pPr>
        <w:pStyle w:val="Title"/>
        <w:rPr>
          <w:sz w:val="28"/>
        </w:rPr>
      </w:pPr>
      <w:r>
        <w:rPr>
          <w:sz w:val="28"/>
        </w:rPr>
        <w:lastRenderedPageBreak/>
        <w:t>Before</w:t>
      </w:r>
    </w:p>
    <w:p w:rsidR="007A364C" w:rsidRDefault="007A364C" w:rsidP="007A364C">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A364C" w:rsidRDefault="007A364C" w:rsidP="007A364C">
      <w:pPr>
        <w:autoSpaceDE w:val="0"/>
        <w:autoSpaceDN w:val="0"/>
        <w:adjustRightInd w:val="0"/>
        <w:jc w:val="both"/>
        <w:rPr>
          <w:rFonts w:ascii="Arial" w:eastAsiaTheme="minorHAnsi" w:hAnsi="Arial" w:cs="Arial"/>
        </w:rPr>
      </w:pPr>
    </w:p>
    <w:p w:rsidR="007A364C" w:rsidRDefault="007A364C" w:rsidP="007A364C">
      <w:pPr>
        <w:autoSpaceDE w:val="0"/>
        <w:autoSpaceDN w:val="0"/>
        <w:adjustRightInd w:val="0"/>
        <w:jc w:val="both"/>
        <w:rPr>
          <w:rFonts w:ascii="Arial" w:eastAsiaTheme="minorHAnsi" w:hAnsi="Arial" w:cs="Arial"/>
        </w:rPr>
      </w:pPr>
      <w:r>
        <w:rPr>
          <w:rFonts w:ascii="Arial" w:eastAsiaTheme="minorHAnsi" w:hAnsi="Arial" w:cs="Arial"/>
        </w:rPr>
        <w:t>In the Matter of the Application of</w:t>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7A364C" w:rsidRDefault="007A364C" w:rsidP="007A364C">
      <w:pPr>
        <w:autoSpaceDE w:val="0"/>
        <w:autoSpaceDN w:val="0"/>
        <w:adjustRightInd w:val="0"/>
        <w:jc w:val="both"/>
        <w:rPr>
          <w:rFonts w:ascii="Arial" w:eastAsiaTheme="minorHAnsi" w:hAnsi="Arial" w:cs="Arial"/>
        </w:rPr>
      </w:pPr>
      <w:r>
        <w:rPr>
          <w:rFonts w:ascii="Arial" w:eastAsiaTheme="minorHAnsi" w:hAnsi="Arial" w:cs="Arial"/>
        </w:rPr>
        <w:t xml:space="preserve">Ohio Edison Company, The Cleveland </w:t>
      </w:r>
      <w:r>
        <w:rPr>
          <w:rFonts w:ascii="Arial" w:eastAsiaTheme="minorHAnsi" w:hAnsi="Arial" w:cs="Arial"/>
        </w:rPr>
        <w:tab/>
      </w:r>
      <w:r>
        <w:rPr>
          <w:rFonts w:ascii="Arial" w:eastAsiaTheme="minorHAnsi" w:hAnsi="Arial" w:cs="Arial"/>
        </w:rPr>
        <w:tab/>
        <w:t>)</w:t>
      </w:r>
    </w:p>
    <w:p w:rsidR="007A364C" w:rsidRDefault="007A364C" w:rsidP="007A364C">
      <w:pPr>
        <w:autoSpaceDE w:val="0"/>
        <w:autoSpaceDN w:val="0"/>
        <w:adjustRightInd w:val="0"/>
        <w:jc w:val="both"/>
        <w:rPr>
          <w:rFonts w:ascii="Arial" w:eastAsiaTheme="minorHAnsi" w:hAnsi="Arial" w:cs="Arial"/>
        </w:rPr>
      </w:pPr>
      <w:r>
        <w:rPr>
          <w:rFonts w:ascii="Arial" w:eastAsiaTheme="minorHAnsi" w:hAnsi="Arial" w:cs="Arial"/>
        </w:rPr>
        <w:t>Electric Illuminating Company and The</w:t>
      </w:r>
      <w:r>
        <w:rPr>
          <w:rFonts w:ascii="Arial" w:eastAsiaTheme="minorHAnsi" w:hAnsi="Arial" w:cs="Arial"/>
        </w:rPr>
        <w:tab/>
      </w:r>
      <w:r>
        <w:rPr>
          <w:rFonts w:ascii="Arial" w:eastAsiaTheme="minorHAnsi" w:hAnsi="Arial" w:cs="Arial"/>
        </w:rPr>
        <w:tab/>
        <w:t>)</w:t>
      </w:r>
      <w:r>
        <w:rPr>
          <w:rFonts w:ascii="Arial" w:eastAsiaTheme="minorHAnsi" w:hAnsi="Arial" w:cs="Arial"/>
        </w:rPr>
        <w:tab/>
        <w:t>Case No. 12-2190-EL-POR</w:t>
      </w:r>
    </w:p>
    <w:p w:rsidR="007A364C" w:rsidRDefault="007A364C" w:rsidP="007A364C">
      <w:pPr>
        <w:autoSpaceDE w:val="0"/>
        <w:autoSpaceDN w:val="0"/>
        <w:adjustRightInd w:val="0"/>
        <w:jc w:val="both"/>
        <w:rPr>
          <w:rFonts w:ascii="Arial" w:eastAsiaTheme="minorHAnsi" w:hAnsi="Arial" w:cs="Arial"/>
        </w:rPr>
      </w:pPr>
      <w:r>
        <w:rPr>
          <w:rFonts w:ascii="Arial" w:eastAsiaTheme="minorHAnsi" w:hAnsi="Arial" w:cs="Arial"/>
        </w:rPr>
        <w:t>Toledo Edison Company for Approval of</w:t>
      </w:r>
      <w:r>
        <w:rPr>
          <w:rFonts w:ascii="Arial" w:eastAsiaTheme="minorHAnsi" w:hAnsi="Arial" w:cs="Arial"/>
        </w:rPr>
        <w:tab/>
      </w:r>
      <w:r>
        <w:rPr>
          <w:rFonts w:ascii="Arial" w:eastAsiaTheme="minorHAnsi" w:hAnsi="Arial" w:cs="Arial"/>
        </w:rPr>
        <w:tab/>
        <w:t>)</w:t>
      </w:r>
      <w:r>
        <w:rPr>
          <w:rFonts w:ascii="Arial" w:eastAsiaTheme="minorHAnsi" w:hAnsi="Arial" w:cs="Arial"/>
        </w:rPr>
        <w:tab/>
        <w:t>Case No. 12-2191-EL-POR</w:t>
      </w:r>
    </w:p>
    <w:p w:rsidR="007A364C" w:rsidRDefault="007A364C" w:rsidP="007A364C">
      <w:pPr>
        <w:autoSpaceDE w:val="0"/>
        <w:autoSpaceDN w:val="0"/>
        <w:adjustRightInd w:val="0"/>
        <w:jc w:val="both"/>
        <w:rPr>
          <w:rFonts w:ascii="Arial" w:eastAsiaTheme="minorHAnsi" w:hAnsi="Arial" w:cs="Arial"/>
        </w:rPr>
      </w:pPr>
      <w:r>
        <w:rPr>
          <w:rFonts w:ascii="Arial" w:eastAsiaTheme="minorHAnsi" w:hAnsi="Arial" w:cs="Arial"/>
        </w:rPr>
        <w:t>Their Energy Efficiency and Peak Demand</w:t>
      </w:r>
      <w:r>
        <w:rPr>
          <w:rFonts w:ascii="Arial" w:eastAsiaTheme="minorHAnsi" w:hAnsi="Arial" w:cs="Arial"/>
        </w:rPr>
        <w:tab/>
        <w:t>)</w:t>
      </w:r>
      <w:r>
        <w:rPr>
          <w:rFonts w:ascii="Arial" w:eastAsiaTheme="minorHAnsi" w:hAnsi="Arial" w:cs="Arial"/>
        </w:rPr>
        <w:tab/>
        <w:t>Case No. 12-2192-EL-POR</w:t>
      </w:r>
    </w:p>
    <w:p w:rsidR="007A364C" w:rsidRDefault="007A364C" w:rsidP="007A364C">
      <w:pPr>
        <w:autoSpaceDE w:val="0"/>
        <w:autoSpaceDN w:val="0"/>
        <w:adjustRightInd w:val="0"/>
        <w:jc w:val="both"/>
        <w:rPr>
          <w:rFonts w:ascii="Arial" w:eastAsiaTheme="minorHAnsi" w:hAnsi="Arial" w:cs="Arial"/>
        </w:rPr>
      </w:pPr>
      <w:r>
        <w:rPr>
          <w:rFonts w:ascii="Arial" w:eastAsiaTheme="minorHAnsi" w:hAnsi="Arial" w:cs="Arial"/>
        </w:rPr>
        <w:t>Reduction Program Portfolio Plans for</w:t>
      </w:r>
      <w:r>
        <w:rPr>
          <w:rFonts w:ascii="Arial" w:eastAsiaTheme="minorHAnsi" w:hAnsi="Arial" w:cs="Arial"/>
        </w:rPr>
        <w:tab/>
      </w:r>
      <w:r>
        <w:rPr>
          <w:rFonts w:ascii="Arial" w:eastAsiaTheme="minorHAnsi" w:hAnsi="Arial" w:cs="Arial"/>
        </w:rPr>
        <w:tab/>
        <w:t>)</w:t>
      </w:r>
    </w:p>
    <w:p w:rsidR="007A364C" w:rsidRDefault="007A364C" w:rsidP="007A364C">
      <w:pPr>
        <w:autoSpaceDE w:val="0"/>
        <w:autoSpaceDN w:val="0"/>
        <w:adjustRightInd w:val="0"/>
        <w:jc w:val="both"/>
        <w:rPr>
          <w:rFonts w:ascii="Arial" w:eastAsiaTheme="minorHAnsi" w:hAnsi="Arial" w:cs="Arial"/>
        </w:rPr>
      </w:pPr>
      <w:r>
        <w:rPr>
          <w:rFonts w:ascii="Arial" w:eastAsiaTheme="minorHAnsi" w:hAnsi="Arial" w:cs="Arial"/>
        </w:rPr>
        <w:t>2013 through 2015</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7A364C" w:rsidRDefault="007A364C" w:rsidP="007A364C">
      <w:pPr>
        <w:pStyle w:val="BodyText"/>
        <w:tabs>
          <w:tab w:val="left" w:pos="5040"/>
        </w:tabs>
      </w:pPr>
    </w:p>
    <w:p w:rsidR="00250BFB" w:rsidRPr="007A364C" w:rsidRDefault="00250BFB" w:rsidP="007A364C">
      <w:pPr>
        <w:pStyle w:val="BodyText"/>
        <w:tabs>
          <w:tab w:val="left" w:pos="5040"/>
        </w:tabs>
      </w:pPr>
    </w:p>
    <w:p w:rsidR="007A364C" w:rsidRPr="007A364C" w:rsidRDefault="007A364C" w:rsidP="007A364C">
      <w:pPr>
        <w:pBdr>
          <w:top w:val="single" w:sz="12" w:space="1" w:color="auto"/>
        </w:pBdr>
        <w:tabs>
          <w:tab w:val="left" w:pos="7320"/>
        </w:tabs>
        <w:jc w:val="both"/>
        <w:rPr>
          <w:rFonts w:ascii="Arial" w:hAnsi="Arial" w:cs="Arial"/>
        </w:rPr>
      </w:pPr>
    </w:p>
    <w:p w:rsidR="007A364C" w:rsidRPr="007A364C" w:rsidRDefault="007A364C" w:rsidP="007A364C">
      <w:pPr>
        <w:jc w:val="center"/>
        <w:rPr>
          <w:rFonts w:ascii="Arial" w:hAnsi="Arial" w:cs="Arial"/>
          <w:b/>
        </w:rPr>
      </w:pPr>
      <w:r w:rsidRPr="007A364C">
        <w:rPr>
          <w:rFonts w:ascii="Arial" w:hAnsi="Arial" w:cs="Arial"/>
          <w:b/>
        </w:rPr>
        <w:t>APPLICAT</w:t>
      </w:r>
      <w:r w:rsidR="007E73A6">
        <w:rPr>
          <w:rFonts w:ascii="Arial" w:hAnsi="Arial" w:cs="Arial"/>
          <w:b/>
        </w:rPr>
        <w:t>I</w:t>
      </w:r>
      <w:r w:rsidRPr="007A364C">
        <w:rPr>
          <w:rFonts w:ascii="Arial" w:hAnsi="Arial" w:cs="Arial"/>
          <w:b/>
        </w:rPr>
        <w:t>ON FOR REHEARING OF INDUSTRIAL ENERGY USERS-OHIO</w:t>
      </w:r>
    </w:p>
    <w:p w:rsidR="007A364C" w:rsidRPr="007A364C" w:rsidRDefault="007A364C" w:rsidP="007A364C">
      <w:pPr>
        <w:pStyle w:val="Title"/>
        <w:pBdr>
          <w:bottom w:val="single" w:sz="12" w:space="1" w:color="auto"/>
        </w:pBdr>
        <w:jc w:val="both"/>
        <w:rPr>
          <w:sz w:val="24"/>
          <w:u w:val="single"/>
        </w:rPr>
      </w:pPr>
    </w:p>
    <w:p w:rsidR="007A364C" w:rsidRPr="007A364C" w:rsidRDefault="007A364C" w:rsidP="007E73A6">
      <w:pPr>
        <w:pStyle w:val="Title"/>
        <w:jc w:val="both"/>
        <w:rPr>
          <w:sz w:val="24"/>
          <w:u w:val="single"/>
        </w:rPr>
      </w:pPr>
    </w:p>
    <w:p w:rsidR="00863763" w:rsidRPr="009C5CE5" w:rsidRDefault="007C27F2" w:rsidP="00250BFB">
      <w:pPr>
        <w:spacing w:before="120" w:line="480" w:lineRule="auto"/>
        <w:ind w:firstLine="720"/>
        <w:jc w:val="both"/>
        <w:rPr>
          <w:rFonts w:ascii="Arial" w:hAnsi="Arial" w:cs="Arial"/>
        </w:rPr>
      </w:pPr>
      <w:r w:rsidRPr="007C27F2">
        <w:rPr>
          <w:rFonts w:ascii="Arial" w:hAnsi="Arial" w:cs="Arial"/>
          <w:bCs/>
        </w:rPr>
        <w:t xml:space="preserve">Pursuant to Section 4903.10, Revised Code, and Rule 4901-1-35, Ohio Administrative Code (“O.A.C.”), Industrial Energy Users-Ohio (“IEU-Ohio”) respectfully submits this Application for Rehearing of </w:t>
      </w:r>
      <w:r>
        <w:rPr>
          <w:rFonts w:ascii="Arial" w:hAnsi="Arial" w:cs="Arial"/>
          <w:bCs/>
        </w:rPr>
        <w:t xml:space="preserve">the Opinion and Order </w:t>
      </w:r>
      <w:r w:rsidRPr="007C27F2">
        <w:rPr>
          <w:rFonts w:ascii="Arial" w:hAnsi="Arial" w:cs="Arial"/>
          <w:bCs/>
        </w:rPr>
        <w:t xml:space="preserve">issued by the Public Utilities Commission of Ohio (“Commission”) on </w:t>
      </w:r>
      <w:r>
        <w:rPr>
          <w:rFonts w:ascii="Arial" w:hAnsi="Arial" w:cs="Arial"/>
          <w:bCs/>
        </w:rPr>
        <w:t>March 2</w:t>
      </w:r>
      <w:r w:rsidRPr="007C27F2">
        <w:rPr>
          <w:rFonts w:ascii="Arial" w:hAnsi="Arial" w:cs="Arial"/>
          <w:bCs/>
        </w:rPr>
        <w:t xml:space="preserve">0, 2013 </w:t>
      </w:r>
      <w:r w:rsidRPr="007C27F2">
        <w:rPr>
          <w:rFonts w:ascii="Arial" w:hAnsi="Arial" w:cs="Arial"/>
        </w:rPr>
        <w:t>for the following reasons:</w:t>
      </w:r>
    </w:p>
    <w:p w:rsidR="00393338" w:rsidRDefault="0063151D" w:rsidP="00393338">
      <w:pPr>
        <w:pStyle w:val="ListParagraph"/>
        <w:numPr>
          <w:ilvl w:val="0"/>
          <w:numId w:val="6"/>
        </w:numPr>
        <w:ind w:left="1080" w:right="720"/>
        <w:jc w:val="both"/>
        <w:rPr>
          <w:rFonts w:ascii="Arial" w:eastAsia="Calibri" w:hAnsi="Arial" w:cs="Arial"/>
          <w:b/>
        </w:rPr>
      </w:pPr>
      <w:r>
        <w:rPr>
          <w:rFonts w:ascii="Arial" w:eastAsia="Calibri" w:hAnsi="Arial" w:cs="Arial"/>
          <w:b/>
        </w:rPr>
        <w:t>The Opinion and Order is unlawful and unreasonable because the Commission lacks statutory authority to require a mercantile customer to cede PJ</w:t>
      </w:r>
      <w:r w:rsidR="00ED7B28">
        <w:rPr>
          <w:rFonts w:ascii="Arial" w:eastAsia="Calibri" w:hAnsi="Arial" w:cs="Arial"/>
          <w:b/>
        </w:rPr>
        <w:t>M bidding rights to FirstEnergy;</w:t>
      </w:r>
    </w:p>
    <w:p w:rsidR="00393338" w:rsidRDefault="00393338" w:rsidP="00393338">
      <w:pPr>
        <w:pStyle w:val="ListParagraph"/>
        <w:ind w:left="1080" w:right="720"/>
        <w:jc w:val="both"/>
        <w:rPr>
          <w:rFonts w:ascii="Arial" w:eastAsia="Calibri" w:hAnsi="Arial" w:cs="Arial"/>
          <w:b/>
        </w:rPr>
      </w:pPr>
    </w:p>
    <w:p w:rsidR="00F2678D" w:rsidRPr="00393338" w:rsidRDefault="00393338" w:rsidP="00393338">
      <w:pPr>
        <w:pStyle w:val="ListParagraph"/>
        <w:numPr>
          <w:ilvl w:val="0"/>
          <w:numId w:val="6"/>
        </w:numPr>
        <w:ind w:left="1080" w:right="720"/>
        <w:jc w:val="both"/>
        <w:rPr>
          <w:rFonts w:ascii="Arial" w:eastAsia="Calibri" w:hAnsi="Arial" w:cs="Arial"/>
          <w:b/>
        </w:rPr>
      </w:pPr>
      <w:r w:rsidRPr="00393338">
        <w:rPr>
          <w:rFonts w:ascii="Arial" w:hAnsi="Arial" w:cs="Arial"/>
          <w:b/>
        </w:rPr>
        <w:t>The Opinion and Order is unlawful and unreasonable because it imposes an economic penalty on mercantile customers.  The economic penalty</w:t>
      </w:r>
      <w:r w:rsidR="00136591" w:rsidRPr="00136591">
        <w:rPr>
          <w:rFonts w:ascii="Arial" w:hAnsi="Arial" w:cs="Arial"/>
          <w:b/>
        </w:rPr>
        <w:t xml:space="preserve"> </w:t>
      </w:r>
      <w:r w:rsidR="00136591">
        <w:rPr>
          <w:rFonts w:ascii="Arial" w:hAnsi="Arial" w:cs="Arial"/>
          <w:b/>
        </w:rPr>
        <w:t>unlawfully and unreasonably</w:t>
      </w:r>
      <w:r w:rsidRPr="00393338">
        <w:rPr>
          <w:rFonts w:ascii="Arial" w:hAnsi="Arial" w:cs="Arial"/>
          <w:b/>
        </w:rPr>
        <w:t xml:space="preserve"> discourages mercantile customers from committing their customer-sited capabilities to FirstEnergy</w:t>
      </w:r>
      <w:r w:rsidR="00ED7B28">
        <w:rPr>
          <w:rFonts w:ascii="Arial" w:hAnsi="Arial" w:cs="Arial"/>
          <w:b/>
        </w:rPr>
        <w:t>;</w:t>
      </w:r>
    </w:p>
    <w:p w:rsidR="00393338" w:rsidRPr="00393338" w:rsidRDefault="00393338" w:rsidP="00393338">
      <w:pPr>
        <w:ind w:right="720"/>
        <w:jc w:val="both"/>
        <w:rPr>
          <w:rFonts w:ascii="Arial" w:eastAsia="Calibri" w:hAnsi="Arial" w:cs="Arial"/>
          <w:b/>
        </w:rPr>
      </w:pPr>
    </w:p>
    <w:p w:rsidR="00F620C1" w:rsidRPr="00F2678D" w:rsidRDefault="00F2678D" w:rsidP="00F2678D">
      <w:pPr>
        <w:pStyle w:val="ListParagraph"/>
        <w:numPr>
          <w:ilvl w:val="0"/>
          <w:numId w:val="6"/>
        </w:numPr>
        <w:ind w:left="1080" w:right="720"/>
        <w:jc w:val="both"/>
        <w:rPr>
          <w:rFonts w:ascii="Arial" w:eastAsia="Calibri" w:hAnsi="Arial" w:cs="Arial"/>
          <w:b/>
        </w:rPr>
      </w:pPr>
      <w:r w:rsidRPr="00F2678D">
        <w:rPr>
          <w:rFonts w:ascii="Arial" w:eastAsia="Calibri" w:hAnsi="Arial"/>
          <w:b/>
        </w:rPr>
        <w:t xml:space="preserve">The Opinion and Order is unlawful and unreasonable because it violates cost causation regulatory practices and principles. </w:t>
      </w:r>
    </w:p>
    <w:p w:rsidR="00F2678D" w:rsidRPr="00F2678D" w:rsidRDefault="00F2678D" w:rsidP="00F2678D">
      <w:pPr>
        <w:ind w:right="720"/>
        <w:jc w:val="both"/>
        <w:rPr>
          <w:rFonts w:ascii="Arial" w:eastAsia="Calibri" w:hAnsi="Arial" w:cs="Arial"/>
          <w:b/>
        </w:rPr>
      </w:pPr>
    </w:p>
    <w:p w:rsidR="007C27F2" w:rsidRPr="007C27F2" w:rsidRDefault="007C27F2" w:rsidP="00B746A3">
      <w:pPr>
        <w:spacing w:line="480" w:lineRule="auto"/>
        <w:ind w:firstLine="720"/>
        <w:jc w:val="both"/>
        <w:rPr>
          <w:rFonts w:ascii="Arial" w:hAnsi="Arial" w:cs="Arial"/>
        </w:rPr>
      </w:pPr>
      <w:r w:rsidRPr="008E4891">
        <w:rPr>
          <w:rFonts w:ascii="Arial" w:hAnsi="Arial" w:cs="Arial"/>
        </w:rPr>
        <w:t>As discussed in the Memorandum in Support attached hereto, IEU-Ohio respectfully requests that the Commission grant this Application for Rehearing</w:t>
      </w:r>
      <w:r w:rsidRPr="007C27F2">
        <w:rPr>
          <w:rFonts w:ascii="Arial" w:hAnsi="Arial" w:cs="Arial"/>
        </w:rPr>
        <w:t>.</w:t>
      </w:r>
    </w:p>
    <w:p w:rsidR="00250BFB" w:rsidRDefault="00250BFB" w:rsidP="007E73A6">
      <w:pPr>
        <w:pStyle w:val="Title"/>
        <w:ind w:left="4320"/>
        <w:jc w:val="both"/>
        <w:rPr>
          <w:b w:val="0"/>
          <w:smallCaps w:val="0"/>
          <w:sz w:val="24"/>
        </w:rPr>
      </w:pPr>
    </w:p>
    <w:p w:rsidR="00250BFB" w:rsidRDefault="00250BFB" w:rsidP="007E73A6">
      <w:pPr>
        <w:pStyle w:val="Title"/>
        <w:ind w:left="4320"/>
        <w:jc w:val="both"/>
        <w:rPr>
          <w:b w:val="0"/>
          <w:smallCaps w:val="0"/>
          <w:sz w:val="24"/>
        </w:rPr>
      </w:pPr>
    </w:p>
    <w:p w:rsidR="00250BFB" w:rsidRDefault="00250BFB" w:rsidP="007E73A6">
      <w:pPr>
        <w:pStyle w:val="Title"/>
        <w:ind w:left="4320"/>
        <w:jc w:val="both"/>
        <w:rPr>
          <w:b w:val="0"/>
          <w:smallCaps w:val="0"/>
          <w:sz w:val="24"/>
        </w:rPr>
      </w:pPr>
    </w:p>
    <w:p w:rsidR="007A364C" w:rsidRPr="007A364C" w:rsidRDefault="007A364C" w:rsidP="007E73A6">
      <w:pPr>
        <w:pStyle w:val="Title"/>
        <w:ind w:left="4320"/>
        <w:jc w:val="both"/>
        <w:rPr>
          <w:b w:val="0"/>
          <w:smallCaps w:val="0"/>
          <w:sz w:val="24"/>
        </w:rPr>
      </w:pPr>
      <w:r>
        <w:rPr>
          <w:b w:val="0"/>
          <w:smallCaps w:val="0"/>
          <w:sz w:val="24"/>
        </w:rPr>
        <w:t>Respectfully submitted,</w:t>
      </w:r>
    </w:p>
    <w:p w:rsidR="007A364C" w:rsidRDefault="007A364C" w:rsidP="007A364C">
      <w:pPr>
        <w:pStyle w:val="Title"/>
        <w:jc w:val="both"/>
        <w:rPr>
          <w:b w:val="0"/>
          <w:sz w:val="24"/>
        </w:rPr>
      </w:pPr>
    </w:p>
    <w:p w:rsidR="007A364C" w:rsidRPr="007A364C" w:rsidRDefault="007A364C" w:rsidP="007A364C">
      <w:pPr>
        <w:pStyle w:val="Title"/>
        <w:jc w:val="both"/>
        <w:rPr>
          <w:b w:val="0"/>
          <w:sz w:val="24"/>
        </w:rPr>
      </w:pPr>
    </w:p>
    <w:p w:rsidR="007A364C" w:rsidRPr="002E7C6B" w:rsidRDefault="002E7C6B" w:rsidP="007E73A6">
      <w:pPr>
        <w:pStyle w:val="Title"/>
        <w:ind w:left="4320"/>
        <w:jc w:val="both"/>
        <w:rPr>
          <w:b w:val="0"/>
          <w:smallCaps w:val="0"/>
          <w:sz w:val="24"/>
          <w:u w:val="single"/>
        </w:rPr>
      </w:pPr>
      <w:r>
        <w:rPr>
          <w:b w:val="0"/>
          <w:sz w:val="24"/>
          <w:u w:val="single"/>
        </w:rPr>
        <w:t xml:space="preserve">/s/ </w:t>
      </w:r>
      <w:r>
        <w:rPr>
          <w:b w:val="0"/>
          <w:smallCaps w:val="0"/>
          <w:sz w:val="24"/>
          <w:u w:val="single"/>
        </w:rPr>
        <w:t>Joseph E. Oliker</w:t>
      </w: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p>
    <w:p w:rsidR="007A364C" w:rsidRDefault="007A364C" w:rsidP="002E7C6B">
      <w:pPr>
        <w:tabs>
          <w:tab w:val="left" w:pos="4320"/>
          <w:tab w:val="right" w:pos="8640"/>
        </w:tabs>
        <w:ind w:left="4320"/>
        <w:jc w:val="both"/>
        <w:rPr>
          <w:rFonts w:ascii="Arial" w:hAnsi="Arial" w:cs="Arial"/>
        </w:rPr>
      </w:pPr>
      <w:r>
        <w:rPr>
          <w:rFonts w:ascii="Arial" w:hAnsi="Arial" w:cs="Arial"/>
        </w:rPr>
        <w:t>Samuel C. Randazzo (Counsel of Record)</w:t>
      </w:r>
    </w:p>
    <w:p w:rsidR="007A364C" w:rsidRDefault="007A364C" w:rsidP="007A364C">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7A364C" w:rsidRDefault="007A364C" w:rsidP="007A364C">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7A364C" w:rsidRDefault="007A364C" w:rsidP="007A364C">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7A364C" w:rsidRDefault="007A364C" w:rsidP="007A364C">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7A364C" w:rsidRDefault="007A364C" w:rsidP="007A364C">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A364C" w:rsidRDefault="007A364C" w:rsidP="007A364C">
      <w:pPr>
        <w:pStyle w:val="BodyText"/>
        <w:tabs>
          <w:tab w:val="left" w:pos="4320"/>
        </w:tabs>
        <w:ind w:left="4320"/>
      </w:pPr>
      <w:r>
        <w:t>Columbus, OH  43215</w:t>
      </w:r>
    </w:p>
    <w:p w:rsidR="007A364C" w:rsidRDefault="007A364C" w:rsidP="007A364C">
      <w:pPr>
        <w:pStyle w:val="BodyText"/>
        <w:tabs>
          <w:tab w:val="left" w:pos="4320"/>
        </w:tabs>
        <w:ind w:left="4320"/>
      </w:pPr>
      <w:r>
        <w:t>Telephone:  (614) 469-8000</w:t>
      </w:r>
    </w:p>
    <w:p w:rsidR="007A364C" w:rsidRDefault="007A364C" w:rsidP="007A364C">
      <w:pPr>
        <w:pStyle w:val="BodyText"/>
        <w:tabs>
          <w:tab w:val="left" w:pos="4320"/>
        </w:tabs>
        <w:ind w:left="4320"/>
      </w:pPr>
      <w:r>
        <w:t>Telecopier:  (614) 469-4653</w:t>
      </w:r>
    </w:p>
    <w:p w:rsidR="007A364C" w:rsidRDefault="007A364C" w:rsidP="007A364C">
      <w:pPr>
        <w:pStyle w:val="BodyText"/>
        <w:ind w:left="4320"/>
      </w:pPr>
      <w:r>
        <w:t>sam@mwncmh.com</w:t>
      </w:r>
    </w:p>
    <w:p w:rsidR="007A364C" w:rsidRDefault="007A364C" w:rsidP="007A364C">
      <w:pPr>
        <w:pStyle w:val="BodyText"/>
        <w:ind w:left="4320"/>
      </w:pPr>
      <w:r>
        <w:t>fdarr@mwncmh.com</w:t>
      </w:r>
    </w:p>
    <w:p w:rsidR="007A364C" w:rsidRDefault="007A364C" w:rsidP="007A364C">
      <w:pPr>
        <w:pStyle w:val="BodyText"/>
        <w:ind w:left="4320"/>
      </w:pPr>
      <w:r>
        <w:t>joliker@mwncmh.com</w:t>
      </w:r>
    </w:p>
    <w:p w:rsidR="007A364C" w:rsidRDefault="007A364C" w:rsidP="007A364C">
      <w:pPr>
        <w:pStyle w:val="BodyText"/>
        <w:ind w:left="4320"/>
      </w:pPr>
      <w:r>
        <w:t>mpritchard@mwncmh.com</w:t>
      </w:r>
    </w:p>
    <w:p w:rsidR="007A364C" w:rsidRDefault="007A364C" w:rsidP="007A364C">
      <w:pPr>
        <w:pStyle w:val="BodyText"/>
      </w:pPr>
    </w:p>
    <w:p w:rsidR="007A364C" w:rsidRDefault="007A364C" w:rsidP="007E73A6">
      <w:pPr>
        <w:pStyle w:val="Title"/>
        <w:ind w:left="4320"/>
        <w:jc w:val="both"/>
        <w:rPr>
          <w:smallCaps w:val="0"/>
          <w:sz w:val="24"/>
        </w:rPr>
      </w:pPr>
      <w:r>
        <w:rPr>
          <w:smallCaps w:val="0"/>
          <w:sz w:val="24"/>
        </w:rPr>
        <w:t>Attorneys for Industrial Energy Users-Ohio</w:t>
      </w:r>
    </w:p>
    <w:p w:rsidR="0063151D" w:rsidRDefault="0063151D" w:rsidP="007E73A6">
      <w:pPr>
        <w:pStyle w:val="Title"/>
        <w:ind w:left="4320"/>
        <w:jc w:val="both"/>
        <w:rPr>
          <w:smallCaps w:val="0"/>
          <w:sz w:val="24"/>
        </w:rPr>
      </w:pPr>
    </w:p>
    <w:p w:rsidR="0077102C" w:rsidRDefault="0077102C">
      <w:pPr>
        <w:sectPr w:rsidR="0077102C" w:rsidSect="00C344A7">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pPr>
    </w:p>
    <w:p w:rsidR="0077102C" w:rsidRDefault="0077102C" w:rsidP="0077102C">
      <w:pPr>
        <w:pStyle w:val="Title"/>
        <w:rPr>
          <w:sz w:val="28"/>
        </w:rPr>
      </w:pPr>
      <w:r>
        <w:rPr>
          <w:sz w:val="28"/>
        </w:rPr>
        <w:lastRenderedPageBreak/>
        <w:t>Before</w:t>
      </w:r>
    </w:p>
    <w:p w:rsidR="0077102C" w:rsidRDefault="0077102C" w:rsidP="0077102C">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7102C" w:rsidRDefault="0077102C" w:rsidP="0077102C">
      <w:pPr>
        <w:autoSpaceDE w:val="0"/>
        <w:autoSpaceDN w:val="0"/>
        <w:adjustRightInd w:val="0"/>
        <w:jc w:val="both"/>
        <w:rPr>
          <w:rFonts w:ascii="Arial" w:eastAsiaTheme="minorHAnsi" w:hAnsi="Arial" w:cs="Arial"/>
        </w:rPr>
      </w:pPr>
    </w:p>
    <w:p w:rsidR="0077102C" w:rsidRDefault="0077102C" w:rsidP="0077102C">
      <w:pPr>
        <w:autoSpaceDE w:val="0"/>
        <w:autoSpaceDN w:val="0"/>
        <w:adjustRightInd w:val="0"/>
        <w:jc w:val="both"/>
        <w:rPr>
          <w:rFonts w:ascii="Arial" w:eastAsiaTheme="minorHAnsi" w:hAnsi="Arial" w:cs="Arial"/>
        </w:rPr>
      </w:pPr>
      <w:r>
        <w:rPr>
          <w:rFonts w:ascii="Arial" w:eastAsiaTheme="minorHAnsi" w:hAnsi="Arial" w:cs="Arial"/>
        </w:rPr>
        <w:t>In the Matter of the Application of</w:t>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77102C" w:rsidRDefault="0077102C" w:rsidP="0077102C">
      <w:pPr>
        <w:autoSpaceDE w:val="0"/>
        <w:autoSpaceDN w:val="0"/>
        <w:adjustRightInd w:val="0"/>
        <w:jc w:val="both"/>
        <w:rPr>
          <w:rFonts w:ascii="Arial" w:eastAsiaTheme="minorHAnsi" w:hAnsi="Arial" w:cs="Arial"/>
        </w:rPr>
      </w:pPr>
      <w:r>
        <w:rPr>
          <w:rFonts w:ascii="Arial" w:eastAsiaTheme="minorHAnsi" w:hAnsi="Arial" w:cs="Arial"/>
        </w:rPr>
        <w:t xml:space="preserve">Ohio Edison Company, The Cleveland </w:t>
      </w:r>
      <w:r>
        <w:rPr>
          <w:rFonts w:ascii="Arial" w:eastAsiaTheme="minorHAnsi" w:hAnsi="Arial" w:cs="Arial"/>
        </w:rPr>
        <w:tab/>
      </w:r>
      <w:r>
        <w:rPr>
          <w:rFonts w:ascii="Arial" w:eastAsiaTheme="minorHAnsi" w:hAnsi="Arial" w:cs="Arial"/>
        </w:rPr>
        <w:tab/>
        <w:t>)</w:t>
      </w:r>
    </w:p>
    <w:p w:rsidR="0077102C" w:rsidRDefault="0077102C" w:rsidP="0077102C">
      <w:pPr>
        <w:autoSpaceDE w:val="0"/>
        <w:autoSpaceDN w:val="0"/>
        <w:adjustRightInd w:val="0"/>
        <w:jc w:val="both"/>
        <w:rPr>
          <w:rFonts w:ascii="Arial" w:eastAsiaTheme="minorHAnsi" w:hAnsi="Arial" w:cs="Arial"/>
        </w:rPr>
      </w:pPr>
      <w:r>
        <w:rPr>
          <w:rFonts w:ascii="Arial" w:eastAsiaTheme="minorHAnsi" w:hAnsi="Arial" w:cs="Arial"/>
        </w:rPr>
        <w:t>Electric Illuminating Company and The</w:t>
      </w:r>
      <w:r>
        <w:rPr>
          <w:rFonts w:ascii="Arial" w:eastAsiaTheme="minorHAnsi" w:hAnsi="Arial" w:cs="Arial"/>
        </w:rPr>
        <w:tab/>
      </w:r>
      <w:r>
        <w:rPr>
          <w:rFonts w:ascii="Arial" w:eastAsiaTheme="minorHAnsi" w:hAnsi="Arial" w:cs="Arial"/>
        </w:rPr>
        <w:tab/>
        <w:t>)</w:t>
      </w:r>
      <w:r>
        <w:rPr>
          <w:rFonts w:ascii="Arial" w:eastAsiaTheme="minorHAnsi" w:hAnsi="Arial" w:cs="Arial"/>
        </w:rPr>
        <w:tab/>
        <w:t>Case No. 12-2190-EL-POR</w:t>
      </w:r>
    </w:p>
    <w:p w:rsidR="0077102C" w:rsidRDefault="0077102C" w:rsidP="0077102C">
      <w:pPr>
        <w:autoSpaceDE w:val="0"/>
        <w:autoSpaceDN w:val="0"/>
        <w:adjustRightInd w:val="0"/>
        <w:jc w:val="both"/>
        <w:rPr>
          <w:rFonts w:ascii="Arial" w:eastAsiaTheme="minorHAnsi" w:hAnsi="Arial" w:cs="Arial"/>
        </w:rPr>
      </w:pPr>
      <w:r>
        <w:rPr>
          <w:rFonts w:ascii="Arial" w:eastAsiaTheme="minorHAnsi" w:hAnsi="Arial" w:cs="Arial"/>
        </w:rPr>
        <w:t>Toledo Edison Company for Approval of</w:t>
      </w:r>
      <w:r>
        <w:rPr>
          <w:rFonts w:ascii="Arial" w:eastAsiaTheme="minorHAnsi" w:hAnsi="Arial" w:cs="Arial"/>
        </w:rPr>
        <w:tab/>
      </w:r>
      <w:r>
        <w:rPr>
          <w:rFonts w:ascii="Arial" w:eastAsiaTheme="minorHAnsi" w:hAnsi="Arial" w:cs="Arial"/>
        </w:rPr>
        <w:tab/>
        <w:t>)</w:t>
      </w:r>
      <w:r>
        <w:rPr>
          <w:rFonts w:ascii="Arial" w:eastAsiaTheme="minorHAnsi" w:hAnsi="Arial" w:cs="Arial"/>
        </w:rPr>
        <w:tab/>
        <w:t>Case No. 12-2191-EL-POR</w:t>
      </w:r>
    </w:p>
    <w:p w:rsidR="0077102C" w:rsidRDefault="0077102C" w:rsidP="0077102C">
      <w:pPr>
        <w:autoSpaceDE w:val="0"/>
        <w:autoSpaceDN w:val="0"/>
        <w:adjustRightInd w:val="0"/>
        <w:jc w:val="both"/>
        <w:rPr>
          <w:rFonts w:ascii="Arial" w:eastAsiaTheme="minorHAnsi" w:hAnsi="Arial" w:cs="Arial"/>
        </w:rPr>
      </w:pPr>
      <w:r>
        <w:rPr>
          <w:rFonts w:ascii="Arial" w:eastAsiaTheme="minorHAnsi" w:hAnsi="Arial" w:cs="Arial"/>
        </w:rPr>
        <w:t>Their Energy Efficiency and Peak Demand</w:t>
      </w:r>
      <w:r>
        <w:rPr>
          <w:rFonts w:ascii="Arial" w:eastAsiaTheme="minorHAnsi" w:hAnsi="Arial" w:cs="Arial"/>
        </w:rPr>
        <w:tab/>
        <w:t>)</w:t>
      </w:r>
      <w:r>
        <w:rPr>
          <w:rFonts w:ascii="Arial" w:eastAsiaTheme="minorHAnsi" w:hAnsi="Arial" w:cs="Arial"/>
        </w:rPr>
        <w:tab/>
        <w:t>Case No. 12-2192-EL-POR</w:t>
      </w:r>
    </w:p>
    <w:p w:rsidR="0077102C" w:rsidRDefault="0077102C" w:rsidP="0077102C">
      <w:pPr>
        <w:autoSpaceDE w:val="0"/>
        <w:autoSpaceDN w:val="0"/>
        <w:adjustRightInd w:val="0"/>
        <w:jc w:val="both"/>
        <w:rPr>
          <w:rFonts w:ascii="Arial" w:eastAsiaTheme="minorHAnsi" w:hAnsi="Arial" w:cs="Arial"/>
        </w:rPr>
      </w:pPr>
      <w:r>
        <w:rPr>
          <w:rFonts w:ascii="Arial" w:eastAsiaTheme="minorHAnsi" w:hAnsi="Arial" w:cs="Arial"/>
        </w:rPr>
        <w:t>Reduction Program Portfolio Plans for</w:t>
      </w:r>
      <w:r>
        <w:rPr>
          <w:rFonts w:ascii="Arial" w:eastAsiaTheme="minorHAnsi" w:hAnsi="Arial" w:cs="Arial"/>
        </w:rPr>
        <w:tab/>
      </w:r>
      <w:r>
        <w:rPr>
          <w:rFonts w:ascii="Arial" w:eastAsiaTheme="minorHAnsi" w:hAnsi="Arial" w:cs="Arial"/>
        </w:rPr>
        <w:tab/>
        <w:t>)</w:t>
      </w:r>
    </w:p>
    <w:p w:rsidR="0077102C" w:rsidRDefault="0077102C" w:rsidP="0077102C">
      <w:pPr>
        <w:autoSpaceDE w:val="0"/>
        <w:autoSpaceDN w:val="0"/>
        <w:adjustRightInd w:val="0"/>
        <w:jc w:val="both"/>
        <w:rPr>
          <w:rFonts w:ascii="Arial" w:eastAsiaTheme="minorHAnsi" w:hAnsi="Arial" w:cs="Arial"/>
        </w:rPr>
      </w:pPr>
      <w:r>
        <w:rPr>
          <w:rFonts w:ascii="Arial" w:eastAsiaTheme="minorHAnsi" w:hAnsi="Arial" w:cs="Arial"/>
        </w:rPr>
        <w:t>2013 through 2015</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77102C" w:rsidRPr="007A364C" w:rsidRDefault="0077102C" w:rsidP="0077102C">
      <w:pPr>
        <w:pStyle w:val="BodyText"/>
        <w:tabs>
          <w:tab w:val="left" w:pos="5040"/>
        </w:tabs>
      </w:pPr>
    </w:p>
    <w:p w:rsidR="0077102C" w:rsidRPr="007A364C" w:rsidRDefault="0077102C" w:rsidP="0077102C">
      <w:pPr>
        <w:pBdr>
          <w:top w:val="single" w:sz="12" w:space="1" w:color="auto"/>
        </w:pBdr>
        <w:tabs>
          <w:tab w:val="left" w:pos="7320"/>
        </w:tabs>
        <w:jc w:val="both"/>
        <w:rPr>
          <w:rFonts w:ascii="Arial" w:hAnsi="Arial" w:cs="Arial"/>
        </w:rPr>
      </w:pPr>
    </w:p>
    <w:p w:rsidR="0077102C" w:rsidRPr="007A364C" w:rsidRDefault="0077102C" w:rsidP="0077102C">
      <w:pPr>
        <w:jc w:val="center"/>
        <w:rPr>
          <w:rFonts w:ascii="Arial" w:hAnsi="Arial" w:cs="Arial"/>
          <w:b/>
        </w:rPr>
      </w:pPr>
      <w:r>
        <w:rPr>
          <w:rFonts w:ascii="Arial" w:hAnsi="Arial" w:cs="Arial"/>
          <w:b/>
        </w:rPr>
        <w:t>MEMORANDUM IN SUPPORT</w:t>
      </w:r>
    </w:p>
    <w:p w:rsidR="0077102C" w:rsidRPr="007A364C" w:rsidRDefault="0077102C" w:rsidP="0077102C">
      <w:pPr>
        <w:pStyle w:val="Title"/>
        <w:pBdr>
          <w:bottom w:val="single" w:sz="12" w:space="1" w:color="auto"/>
        </w:pBdr>
        <w:jc w:val="both"/>
        <w:rPr>
          <w:sz w:val="24"/>
          <w:u w:val="single"/>
        </w:rPr>
      </w:pPr>
    </w:p>
    <w:p w:rsidR="0077102C" w:rsidRPr="0077102C" w:rsidRDefault="0077102C" w:rsidP="0077102C">
      <w:pPr>
        <w:pStyle w:val="Title"/>
        <w:jc w:val="both"/>
        <w:rPr>
          <w:b w:val="0"/>
          <w:sz w:val="24"/>
        </w:rPr>
      </w:pPr>
    </w:p>
    <w:p w:rsidR="0077102C" w:rsidRDefault="0077102C" w:rsidP="0077102C">
      <w:pPr>
        <w:pStyle w:val="Title"/>
        <w:tabs>
          <w:tab w:val="left" w:pos="2190"/>
        </w:tabs>
        <w:jc w:val="both"/>
        <w:rPr>
          <w:b w:val="0"/>
          <w:sz w:val="24"/>
        </w:rPr>
      </w:pPr>
    </w:p>
    <w:p w:rsidR="000B2E03" w:rsidRPr="00F620C1" w:rsidRDefault="000B2E03" w:rsidP="00F620C1">
      <w:pPr>
        <w:pStyle w:val="ListParagraph"/>
        <w:numPr>
          <w:ilvl w:val="0"/>
          <w:numId w:val="11"/>
        </w:numPr>
        <w:ind w:left="720"/>
        <w:rPr>
          <w:rFonts w:ascii="Arial" w:hAnsi="Arial" w:cs="Arial"/>
          <w:b/>
        </w:rPr>
      </w:pPr>
      <w:r w:rsidRPr="00F620C1">
        <w:rPr>
          <w:rFonts w:ascii="Arial" w:hAnsi="Arial" w:cs="Arial"/>
          <w:b/>
        </w:rPr>
        <w:t>BACKGROUND</w:t>
      </w:r>
    </w:p>
    <w:p w:rsidR="000B2E03" w:rsidRPr="000B2E03" w:rsidRDefault="000B2E03" w:rsidP="000B2E03">
      <w:pPr>
        <w:pStyle w:val="ListParagraph"/>
        <w:ind w:left="1080"/>
        <w:rPr>
          <w:b/>
        </w:rPr>
      </w:pPr>
    </w:p>
    <w:p w:rsidR="00136591" w:rsidRDefault="00136591" w:rsidP="00136591">
      <w:pPr>
        <w:spacing w:line="480" w:lineRule="auto"/>
        <w:ind w:firstLine="720"/>
        <w:jc w:val="both"/>
        <w:rPr>
          <w:rFonts w:ascii="Arial" w:eastAsia="Calibri" w:hAnsi="Arial"/>
        </w:rPr>
      </w:pPr>
      <w:r>
        <w:rPr>
          <w:rFonts w:ascii="Arial" w:eastAsia="Calibri" w:hAnsi="Arial"/>
        </w:rPr>
        <w:t xml:space="preserve">Under Section 4928.66, Revised Code, electric distribution utilities (“EDU”) must implement energy efficiency and peak demand reduction (“EE/PDR”) programs that achieve escalating EE/PDR savings.  Section 4928.66, Revised Code, mandates  compliance by EDUs with specified EE/PDR benchmarks.  Since the inception of the EE/PDR compliance requirements, EDUs have sought to achieve compliance through two different methods.  </w:t>
      </w:r>
    </w:p>
    <w:p w:rsidR="00136591" w:rsidRDefault="00136591" w:rsidP="00136591">
      <w:pPr>
        <w:spacing w:line="480" w:lineRule="auto"/>
        <w:ind w:firstLine="720"/>
        <w:jc w:val="both"/>
        <w:rPr>
          <w:rFonts w:ascii="Arial" w:eastAsia="Calibri" w:hAnsi="Arial"/>
        </w:rPr>
      </w:pPr>
      <w:r>
        <w:rPr>
          <w:rFonts w:ascii="Arial" w:eastAsia="Calibri" w:hAnsi="Arial"/>
        </w:rPr>
        <w:t>First, EDUs have designed EE/PDR programs in which customers can affirmatively participate in return for either a rebate or point of purchase discount.</w:t>
      </w:r>
      <w:r>
        <w:rPr>
          <w:rStyle w:val="FootnoteReference"/>
          <w:rFonts w:ascii="Arial" w:eastAsia="Calibri" w:hAnsi="Arial"/>
        </w:rPr>
        <w:footnoteReference w:id="1"/>
      </w:r>
      <w:r>
        <w:rPr>
          <w:rFonts w:ascii="Arial" w:eastAsia="Calibri" w:hAnsi="Arial"/>
        </w:rPr>
        <w:t xml:space="preserve">  Second, mercantile customers have the option to self-fund their own EE/PDR accomplishments at their own risk and assist EDUs in achieving compliance.</w:t>
      </w:r>
      <w:r>
        <w:rPr>
          <w:rStyle w:val="FootnoteReference"/>
          <w:rFonts w:ascii="Arial" w:eastAsia="Calibri" w:hAnsi="Arial"/>
        </w:rPr>
        <w:footnoteReference w:id="2"/>
      </w:r>
      <w:r>
        <w:rPr>
          <w:rFonts w:ascii="Arial" w:eastAsia="Calibri" w:hAnsi="Arial"/>
        </w:rPr>
        <w:t xml:space="preserve">  In the case of such self-funded mercantile customer EE/PDR accomplishments, a mercantile </w:t>
      </w:r>
      <w:r>
        <w:rPr>
          <w:rFonts w:ascii="Arial" w:eastAsia="Calibri" w:hAnsi="Arial"/>
        </w:rPr>
        <w:lastRenderedPageBreak/>
        <w:t>customer has the right to request and may thereafter receive an exemption from paying the EDU’s EE/PDR compliance cost recovery mechanism.</w:t>
      </w:r>
      <w:r>
        <w:rPr>
          <w:rStyle w:val="FootnoteReference"/>
          <w:rFonts w:ascii="Arial" w:eastAsia="Calibri" w:hAnsi="Arial"/>
        </w:rPr>
        <w:footnoteReference w:id="3"/>
      </w:r>
      <w:r>
        <w:rPr>
          <w:rFonts w:ascii="Arial" w:eastAsia="Calibri" w:hAnsi="Arial"/>
        </w:rPr>
        <w:t xml:space="preserve">  When mercantile customers self-fund and implement their own EE/PDR projects and commit the associated savings to the Ohio Edison Company, The Cleveland Electric Illuminating Company, and The Toledo Edison Company (collectively “FirstEnergy”), rather than participating in rebate programs, FirstEnergy’s EE/PDR total program costs are reduced.  In the absence of mercantile customers self-funding and implementing their own EE/PDR projects, FirstEnergy would be required to entice other customers to participate in FirstEnergy’s rebate programs, increasing overall program costs. </w:t>
      </w:r>
    </w:p>
    <w:p w:rsidR="00136591" w:rsidRPr="00ED1534" w:rsidRDefault="00136591" w:rsidP="00136591">
      <w:pPr>
        <w:spacing w:line="480" w:lineRule="auto"/>
        <w:ind w:firstLine="720"/>
        <w:jc w:val="both"/>
        <w:rPr>
          <w:rFonts w:ascii="Arial" w:eastAsia="Calibri" w:hAnsi="Arial"/>
        </w:rPr>
      </w:pPr>
      <w:r>
        <w:rPr>
          <w:rFonts w:ascii="Arial" w:eastAsia="Calibri" w:hAnsi="Arial"/>
        </w:rPr>
        <w:t>The right to request an exemption from the EE/PDR cost recovery mechanism is granted to mercantile customers by Ohio law.  Under the rules adopted by the Commission, the process through which a mercantile customer may request an exemption requires submitting an application for approval of a reasonable arrangement pursuant to Section 4905.31, Revised Code.  In 2010, the Commission streamlined the process for requesting and obtaining an exemption when it established the Mercantile Pilot Program.  The Mercantile Pilot Program allows customers to apply, either jointly with an EDU or individually, for approval of a reasonable arrangement for commitment of self-funded EE/PDR capabilities.</w:t>
      </w:r>
      <w:r>
        <w:rPr>
          <w:rStyle w:val="FootnoteReference"/>
          <w:rFonts w:ascii="Arial" w:eastAsia="Calibri" w:hAnsi="Arial"/>
        </w:rPr>
        <w:footnoteReference w:id="4"/>
      </w:r>
      <w:r>
        <w:t xml:space="preserve">  </w:t>
      </w:r>
      <w:r>
        <w:rPr>
          <w:rFonts w:ascii="Arial" w:hAnsi="Arial" w:cs="Arial"/>
        </w:rPr>
        <w:t xml:space="preserve">On May 25, 2011, the Commission further streamlined the process for obtaining an exemption when it extended the sixty-day automatic approval process in the Mercantile Pilot Program to applications for an </w:t>
      </w:r>
      <w:r>
        <w:rPr>
          <w:rFonts w:ascii="Arial" w:hAnsi="Arial" w:cs="Arial"/>
        </w:rPr>
        <w:lastRenderedPageBreak/>
        <w:t>exemption.</w:t>
      </w:r>
      <w:r>
        <w:rPr>
          <w:rStyle w:val="FootnoteReference"/>
          <w:rFonts w:ascii="Arial" w:hAnsi="Arial" w:cs="Arial"/>
        </w:rPr>
        <w:footnoteReference w:id="5"/>
      </w:r>
      <w:r>
        <w:rPr>
          <w:rFonts w:ascii="Arial" w:hAnsi="Arial" w:cs="Arial"/>
        </w:rPr>
        <w:t xml:space="preserve">  The Commission further extended the Mercantile Pilot Program on March 6, 2013.</w:t>
      </w:r>
      <w:r>
        <w:rPr>
          <w:rStyle w:val="FootnoteReference"/>
          <w:rFonts w:ascii="Arial" w:hAnsi="Arial" w:cs="Arial"/>
        </w:rPr>
        <w:footnoteReference w:id="6"/>
      </w:r>
      <w:r>
        <w:rPr>
          <w:rFonts w:ascii="Arial" w:hAnsi="Arial" w:cs="Arial"/>
        </w:rPr>
        <w:t xml:space="preserve">  </w:t>
      </w:r>
    </w:p>
    <w:p w:rsidR="00E94141" w:rsidRDefault="000B2E03" w:rsidP="00B97F6F">
      <w:pPr>
        <w:autoSpaceDE w:val="0"/>
        <w:autoSpaceDN w:val="0"/>
        <w:adjustRightInd w:val="0"/>
        <w:spacing w:line="480" w:lineRule="auto"/>
        <w:ind w:firstLine="720"/>
        <w:jc w:val="both"/>
        <w:rPr>
          <w:rFonts w:ascii="Arial" w:eastAsia="Calibri" w:hAnsi="Arial" w:cs="Arial"/>
        </w:rPr>
      </w:pPr>
      <w:r>
        <w:rPr>
          <w:rFonts w:ascii="Arial" w:eastAsia="Calibri" w:hAnsi="Arial" w:cs="Arial"/>
        </w:rPr>
        <w:t xml:space="preserve">Peak demand reduction capabilities associated with energy efficiency measures </w:t>
      </w:r>
      <w:r w:rsidR="00B97F6F">
        <w:rPr>
          <w:rFonts w:ascii="Arial" w:eastAsia="Calibri" w:hAnsi="Arial" w:cs="Arial"/>
        </w:rPr>
        <w:t xml:space="preserve">may </w:t>
      </w:r>
      <w:r>
        <w:rPr>
          <w:rFonts w:ascii="Arial" w:eastAsia="Calibri" w:hAnsi="Arial" w:cs="Arial"/>
        </w:rPr>
        <w:t>qualify as capacity resources under PJM</w:t>
      </w:r>
      <w:r w:rsidR="00C35565">
        <w:rPr>
          <w:rFonts w:ascii="Arial" w:eastAsia="Calibri" w:hAnsi="Arial" w:cs="Arial"/>
        </w:rPr>
        <w:t xml:space="preserve"> Interconnection LLC</w:t>
      </w:r>
      <w:r>
        <w:rPr>
          <w:rFonts w:ascii="Arial" w:eastAsia="Calibri" w:hAnsi="Arial" w:cs="Arial"/>
        </w:rPr>
        <w:t xml:space="preserve">’s </w:t>
      </w:r>
      <w:r w:rsidR="00C35565">
        <w:rPr>
          <w:rFonts w:ascii="Arial" w:eastAsia="Calibri" w:hAnsi="Arial" w:cs="Arial"/>
        </w:rPr>
        <w:t>(</w:t>
      </w:r>
      <w:r w:rsidR="00C35565">
        <w:rPr>
          <w:rFonts w:ascii="Arial" w:eastAsiaTheme="minorHAnsi" w:hAnsi="Arial" w:cs="Arial"/>
        </w:rPr>
        <w:t xml:space="preserve">“PJM”) </w:t>
      </w:r>
      <w:r>
        <w:rPr>
          <w:rFonts w:ascii="Arial" w:eastAsia="Calibri" w:hAnsi="Arial" w:cs="Arial"/>
        </w:rPr>
        <w:t>rules.</w:t>
      </w:r>
      <w:r>
        <w:rPr>
          <w:rStyle w:val="FootnoteReference"/>
          <w:rFonts w:ascii="Arial" w:eastAsia="Calibri" w:hAnsi="Arial" w:cs="Arial"/>
        </w:rPr>
        <w:footnoteReference w:id="7"/>
      </w:r>
      <w:r>
        <w:rPr>
          <w:rFonts w:ascii="Arial" w:eastAsia="Calibri" w:hAnsi="Arial" w:cs="Arial"/>
        </w:rPr>
        <w:t xml:space="preserve">  An energy efficiency resource </w:t>
      </w:r>
      <w:r>
        <w:rPr>
          <w:rFonts w:ascii="Arial" w:eastAsiaTheme="minorHAnsi" w:hAnsi="Arial" w:cs="Arial"/>
        </w:rPr>
        <w:t>“may participate in Reliability Pricing Model (“RPM”) auctions for a maximum of up to four consecutive Delivery Years</w:t>
      </w:r>
      <w:r>
        <w:rPr>
          <w:rFonts w:ascii="Arial" w:eastAsia="Calibri" w:hAnsi="Arial" w:cs="Arial"/>
        </w:rPr>
        <w:t>.”</w:t>
      </w:r>
      <w:r>
        <w:rPr>
          <w:rStyle w:val="FootnoteReference"/>
          <w:rFonts w:ascii="Arial" w:eastAsia="Calibri" w:hAnsi="Arial" w:cs="Arial"/>
        </w:rPr>
        <w:footnoteReference w:id="8"/>
      </w:r>
      <w:r w:rsidR="00E94141">
        <w:rPr>
          <w:rFonts w:ascii="Arial" w:eastAsia="Calibri" w:hAnsi="Arial" w:cs="Arial"/>
        </w:rPr>
        <w:t xml:space="preserve"> </w:t>
      </w:r>
      <w:r w:rsidR="001E5D9B">
        <w:rPr>
          <w:rFonts w:ascii="Arial" w:eastAsia="Calibri" w:hAnsi="Arial" w:cs="Arial"/>
        </w:rPr>
        <w:t xml:space="preserve"> </w:t>
      </w:r>
      <w:r w:rsidR="00E6585D">
        <w:rPr>
          <w:rFonts w:ascii="Arial" w:eastAsia="Calibri" w:hAnsi="Arial" w:cs="Arial"/>
        </w:rPr>
        <w:t xml:space="preserve">But </w:t>
      </w:r>
      <w:r w:rsidR="00B97F6F">
        <w:rPr>
          <w:rFonts w:ascii="Arial" w:eastAsia="Calibri" w:hAnsi="Arial" w:cs="Arial"/>
        </w:rPr>
        <w:t xml:space="preserve">this may only occur if the energy efficiency resource </w:t>
      </w:r>
      <w:r w:rsidR="00B97F6F" w:rsidRPr="00B97F6F">
        <w:rPr>
          <w:rFonts w:ascii="Arial" w:eastAsia="Calibri" w:hAnsi="Arial" w:cs="Arial"/>
        </w:rPr>
        <w:t>achieve</w:t>
      </w:r>
      <w:r w:rsidR="00E6585D">
        <w:rPr>
          <w:rFonts w:ascii="Arial" w:eastAsia="Calibri" w:hAnsi="Arial" w:cs="Arial"/>
        </w:rPr>
        <w:t>s</w:t>
      </w:r>
      <w:r w:rsidR="00B97F6F" w:rsidRPr="00B97F6F">
        <w:rPr>
          <w:rFonts w:ascii="Arial" w:eastAsia="Calibri" w:hAnsi="Arial" w:cs="Arial"/>
        </w:rPr>
        <w:t xml:space="preserve"> a permanent, continuous reduction in electric energy consumption at the </w:t>
      </w:r>
      <w:r w:rsidR="00B97F6F">
        <w:rPr>
          <w:rFonts w:ascii="Arial" w:eastAsia="Calibri" w:hAnsi="Arial" w:cs="Arial"/>
        </w:rPr>
        <w:t>e</w:t>
      </w:r>
      <w:r w:rsidR="00B97F6F" w:rsidRPr="00B97F6F">
        <w:rPr>
          <w:rFonts w:ascii="Arial" w:eastAsia="Calibri" w:hAnsi="Arial" w:cs="Arial"/>
        </w:rPr>
        <w:t xml:space="preserve">nd </w:t>
      </w:r>
      <w:r w:rsidR="00B97F6F">
        <w:rPr>
          <w:rFonts w:ascii="Arial" w:eastAsia="Calibri" w:hAnsi="Arial" w:cs="Arial"/>
        </w:rPr>
        <w:t>u</w:t>
      </w:r>
      <w:r w:rsidR="00B97F6F" w:rsidRPr="00B97F6F">
        <w:rPr>
          <w:rFonts w:ascii="Arial" w:eastAsia="Calibri" w:hAnsi="Arial" w:cs="Arial"/>
        </w:rPr>
        <w:t xml:space="preserve">se </w:t>
      </w:r>
      <w:r w:rsidR="00B97F6F">
        <w:rPr>
          <w:rFonts w:ascii="Arial" w:eastAsia="Calibri" w:hAnsi="Arial" w:cs="Arial"/>
        </w:rPr>
        <w:t>c</w:t>
      </w:r>
      <w:r w:rsidR="00B97F6F" w:rsidRPr="00B97F6F">
        <w:rPr>
          <w:rFonts w:ascii="Arial" w:eastAsia="Calibri" w:hAnsi="Arial" w:cs="Arial"/>
        </w:rPr>
        <w:t xml:space="preserve">ustomer’s retail site during the defined </w:t>
      </w:r>
      <w:r w:rsidR="00AC1893">
        <w:rPr>
          <w:rFonts w:ascii="Arial" w:eastAsia="Calibri" w:hAnsi="Arial" w:cs="Arial"/>
        </w:rPr>
        <w:t xml:space="preserve">EE </w:t>
      </w:r>
      <w:r w:rsidR="00B97F6F">
        <w:rPr>
          <w:rFonts w:ascii="Arial" w:eastAsia="Calibri" w:hAnsi="Arial" w:cs="Arial"/>
        </w:rPr>
        <w:t>p</w:t>
      </w:r>
      <w:r w:rsidR="00B97F6F" w:rsidRPr="00B97F6F">
        <w:rPr>
          <w:rFonts w:ascii="Arial" w:eastAsia="Calibri" w:hAnsi="Arial" w:cs="Arial"/>
        </w:rPr>
        <w:t xml:space="preserve">erformance </w:t>
      </w:r>
      <w:r w:rsidR="00B97F6F">
        <w:rPr>
          <w:rFonts w:ascii="Arial" w:eastAsia="Calibri" w:hAnsi="Arial" w:cs="Arial"/>
        </w:rPr>
        <w:t>h</w:t>
      </w:r>
      <w:r w:rsidR="00B97F6F" w:rsidRPr="00B97F6F">
        <w:rPr>
          <w:rFonts w:ascii="Arial" w:eastAsia="Calibri" w:hAnsi="Arial" w:cs="Arial"/>
        </w:rPr>
        <w:t>ours</w:t>
      </w:r>
      <w:r w:rsidR="00B97F6F">
        <w:rPr>
          <w:rFonts w:ascii="Arial" w:eastAsia="Calibri" w:hAnsi="Arial" w:cs="Arial"/>
        </w:rPr>
        <w:t>.</w:t>
      </w:r>
      <w:r w:rsidR="00B97F6F">
        <w:rPr>
          <w:rStyle w:val="FootnoteReference"/>
          <w:rFonts w:ascii="Arial" w:eastAsia="Calibri" w:hAnsi="Arial" w:cs="Arial"/>
        </w:rPr>
        <w:footnoteReference w:id="9"/>
      </w:r>
      <w:r w:rsidR="00B97F6F">
        <w:rPr>
          <w:rFonts w:ascii="Arial" w:eastAsia="Calibri" w:hAnsi="Arial" w:cs="Arial"/>
        </w:rPr>
        <w:t xml:space="preserve"> </w:t>
      </w:r>
      <w:r w:rsidR="001E5D9B">
        <w:rPr>
          <w:rFonts w:ascii="Arial" w:eastAsia="Calibri" w:hAnsi="Arial" w:cs="Arial"/>
        </w:rPr>
        <w:t xml:space="preserve"> </w:t>
      </w:r>
      <w:r w:rsidR="00B97F6F" w:rsidRPr="00B97F6F">
        <w:rPr>
          <w:rFonts w:ascii="Arial" w:eastAsia="Calibri" w:hAnsi="Arial" w:cs="Arial"/>
        </w:rPr>
        <w:t xml:space="preserve">The </w:t>
      </w:r>
      <w:r w:rsidR="00B97F6F">
        <w:rPr>
          <w:rFonts w:ascii="Arial" w:eastAsia="Calibri" w:hAnsi="Arial" w:cs="Arial"/>
        </w:rPr>
        <w:t>energy efficiency p</w:t>
      </w:r>
      <w:r w:rsidR="00B97F6F" w:rsidRPr="00B97F6F">
        <w:rPr>
          <w:rFonts w:ascii="Arial" w:eastAsia="Calibri" w:hAnsi="Arial" w:cs="Arial"/>
        </w:rPr>
        <w:t xml:space="preserve">erformance </w:t>
      </w:r>
      <w:r w:rsidR="00B97F6F">
        <w:rPr>
          <w:rFonts w:ascii="Arial" w:eastAsia="Calibri" w:hAnsi="Arial" w:cs="Arial"/>
        </w:rPr>
        <w:t>h</w:t>
      </w:r>
      <w:r w:rsidR="00B97F6F" w:rsidRPr="00B97F6F">
        <w:rPr>
          <w:rFonts w:ascii="Arial" w:eastAsia="Calibri" w:hAnsi="Arial" w:cs="Arial"/>
        </w:rPr>
        <w:t>ours are between the hour ending 15:00 Eastern Prevailing Time (</w:t>
      </w:r>
      <w:r w:rsidR="00593818">
        <w:rPr>
          <w:rFonts w:ascii="Arial" w:eastAsiaTheme="minorHAnsi" w:hAnsi="Arial" w:cs="Arial"/>
        </w:rPr>
        <w:t>“</w:t>
      </w:r>
      <w:r w:rsidR="00B97F6F" w:rsidRPr="00B97F6F">
        <w:rPr>
          <w:rFonts w:ascii="Arial" w:eastAsia="Calibri" w:hAnsi="Arial" w:cs="Arial"/>
        </w:rPr>
        <w:t>EPT</w:t>
      </w:r>
      <w:r w:rsidR="00593818">
        <w:rPr>
          <w:rFonts w:ascii="Arial" w:eastAsiaTheme="minorHAnsi" w:hAnsi="Arial" w:cs="Arial"/>
        </w:rPr>
        <w:t>”</w:t>
      </w:r>
      <w:r w:rsidR="00B97F6F" w:rsidRPr="00B97F6F">
        <w:rPr>
          <w:rFonts w:ascii="Arial" w:eastAsia="Calibri" w:hAnsi="Arial" w:cs="Arial"/>
        </w:rPr>
        <w:t>) and the hour ending 18:00 EPT during all days from June 1 through August 31, inclusiv</w:t>
      </w:r>
      <w:r w:rsidR="00286263">
        <w:rPr>
          <w:rFonts w:ascii="Arial" w:eastAsia="Calibri" w:hAnsi="Arial" w:cs="Arial"/>
        </w:rPr>
        <w:t>e</w:t>
      </w:r>
      <w:r w:rsidR="00B97F6F" w:rsidRPr="00B97F6F">
        <w:rPr>
          <w:rFonts w:ascii="Arial" w:eastAsia="Calibri" w:hAnsi="Arial" w:cs="Arial"/>
        </w:rPr>
        <w:t xml:space="preserve"> of </w:t>
      </w:r>
      <w:r w:rsidR="00B97F6F">
        <w:rPr>
          <w:rFonts w:ascii="Arial" w:eastAsia="Calibri" w:hAnsi="Arial" w:cs="Arial"/>
        </w:rPr>
        <w:t>a PJM d</w:t>
      </w:r>
      <w:r w:rsidR="00B97F6F" w:rsidRPr="00B97F6F">
        <w:rPr>
          <w:rFonts w:ascii="Arial" w:eastAsia="Calibri" w:hAnsi="Arial" w:cs="Arial"/>
        </w:rPr>
        <w:t xml:space="preserve">elivery </w:t>
      </w:r>
      <w:r w:rsidR="00B97F6F">
        <w:rPr>
          <w:rFonts w:ascii="Arial" w:eastAsia="Calibri" w:hAnsi="Arial" w:cs="Arial"/>
        </w:rPr>
        <w:t>y</w:t>
      </w:r>
      <w:r w:rsidR="00B97F6F" w:rsidRPr="00B97F6F">
        <w:rPr>
          <w:rFonts w:ascii="Arial" w:eastAsia="Calibri" w:hAnsi="Arial" w:cs="Arial"/>
        </w:rPr>
        <w:t>ear, that is not a weekend or federal holiday.</w:t>
      </w:r>
      <w:r w:rsidR="00B97F6F">
        <w:rPr>
          <w:rStyle w:val="FootnoteReference"/>
          <w:rFonts w:ascii="Arial" w:eastAsia="Calibri" w:hAnsi="Arial" w:cs="Arial"/>
        </w:rPr>
        <w:footnoteReference w:id="10"/>
      </w:r>
    </w:p>
    <w:p w:rsidR="00136591" w:rsidRDefault="00136591" w:rsidP="00136591">
      <w:pPr>
        <w:autoSpaceDE w:val="0"/>
        <w:autoSpaceDN w:val="0"/>
        <w:adjustRightInd w:val="0"/>
        <w:spacing w:line="480" w:lineRule="auto"/>
        <w:ind w:firstLine="720"/>
        <w:jc w:val="both"/>
        <w:rPr>
          <w:rFonts w:ascii="Arial" w:eastAsia="Calibri" w:hAnsi="Arial" w:cs="Arial"/>
        </w:rPr>
      </w:pPr>
      <w:r>
        <w:rPr>
          <w:rFonts w:ascii="Arial" w:eastAsia="Calibri" w:hAnsi="Arial" w:cs="Arial"/>
        </w:rPr>
        <w:t xml:space="preserve">The organized PJM capacity market (which includes the reliability pricing model or “RPM”) is unrelated to and very different from the EE/PDR mandates contained in Section 4928.66, Revised Code.  </w:t>
      </w:r>
      <w:r w:rsidRPr="00E94141">
        <w:rPr>
          <w:rFonts w:ascii="Arial" w:hAnsi="Arial" w:cs="Arial"/>
        </w:rPr>
        <w:t xml:space="preserve">The PJM </w:t>
      </w:r>
      <w:r>
        <w:rPr>
          <w:rFonts w:ascii="Arial" w:hAnsi="Arial" w:cs="Arial"/>
        </w:rPr>
        <w:t>c</w:t>
      </w:r>
      <w:r w:rsidRPr="00E94141">
        <w:rPr>
          <w:rFonts w:ascii="Arial" w:hAnsi="Arial" w:cs="Arial"/>
        </w:rPr>
        <w:t xml:space="preserve">apacity </w:t>
      </w:r>
      <w:r>
        <w:rPr>
          <w:rFonts w:ascii="Arial" w:hAnsi="Arial" w:cs="Arial"/>
        </w:rPr>
        <w:t>m</w:t>
      </w:r>
      <w:r w:rsidRPr="00E94141">
        <w:rPr>
          <w:rFonts w:ascii="Arial" w:hAnsi="Arial" w:cs="Arial"/>
        </w:rPr>
        <w:t xml:space="preserve">arket is designed to ensure the adequate availability of necessary </w:t>
      </w:r>
      <w:r>
        <w:rPr>
          <w:rFonts w:ascii="Arial" w:hAnsi="Arial" w:cs="Arial"/>
        </w:rPr>
        <w:t xml:space="preserve">capacity </w:t>
      </w:r>
      <w:r w:rsidRPr="00E94141">
        <w:rPr>
          <w:rFonts w:ascii="Arial" w:hAnsi="Arial" w:cs="Arial"/>
        </w:rPr>
        <w:t>resources that can be called upon to ensure the reliability of the grid</w:t>
      </w:r>
      <w:r>
        <w:rPr>
          <w:rFonts w:ascii="Arial" w:hAnsi="Arial" w:cs="Arial"/>
        </w:rPr>
        <w:t xml:space="preserve"> within the PJM region which includes Ohio</w:t>
      </w:r>
      <w:r w:rsidRPr="00E94141">
        <w:rPr>
          <w:rFonts w:ascii="Arial" w:hAnsi="Arial" w:cs="Arial"/>
        </w:rPr>
        <w:t>.</w:t>
      </w:r>
      <w:r>
        <w:rPr>
          <w:rStyle w:val="FootnoteReference"/>
          <w:rFonts w:ascii="Arial" w:hAnsi="Arial" w:cs="Arial"/>
        </w:rPr>
        <w:footnoteReference w:id="11"/>
      </w:r>
      <w:r w:rsidRPr="00E94141">
        <w:rPr>
          <w:rFonts w:ascii="Arial" w:hAnsi="Arial" w:cs="Arial"/>
        </w:rPr>
        <w:t xml:space="preserve"> </w:t>
      </w:r>
      <w:r w:rsidRPr="00E94141">
        <w:rPr>
          <w:rFonts w:ascii="Arial" w:eastAsia="Calibri" w:hAnsi="Arial" w:cs="Arial"/>
        </w:rPr>
        <w:t xml:space="preserve"> </w:t>
      </w:r>
      <w:r>
        <w:rPr>
          <w:rFonts w:ascii="Arial" w:eastAsia="Calibri" w:hAnsi="Arial" w:cs="Arial"/>
        </w:rPr>
        <w:t xml:space="preserve">Energy efficiency </w:t>
      </w:r>
      <w:r>
        <w:rPr>
          <w:rFonts w:ascii="Arial" w:eastAsia="Calibri" w:hAnsi="Arial" w:cs="Arial"/>
        </w:rPr>
        <w:lastRenderedPageBreak/>
        <w:t>measures are only relevant in the PJM-reliability oriented market structure if they are, according to PJM’s rules and requirements, elig</w:t>
      </w:r>
      <w:r w:rsidR="00C61B7C">
        <w:rPr>
          <w:rFonts w:ascii="Arial" w:eastAsia="Calibri" w:hAnsi="Arial" w:cs="Arial"/>
        </w:rPr>
        <w:t>ible to be classified as</w:t>
      </w:r>
      <w:r>
        <w:rPr>
          <w:rFonts w:ascii="Arial" w:eastAsia="Calibri" w:hAnsi="Arial" w:cs="Arial"/>
        </w:rPr>
        <w:t xml:space="preserve"> a capacity resource.  The EE/PDR mandates in Ohio law have no necessary connection to PJM’s capacity-related requirements.  </w:t>
      </w:r>
    </w:p>
    <w:p w:rsidR="00136591" w:rsidRDefault="00136591" w:rsidP="00136591">
      <w:pPr>
        <w:autoSpaceDE w:val="0"/>
        <w:autoSpaceDN w:val="0"/>
        <w:adjustRightInd w:val="0"/>
        <w:spacing w:line="480" w:lineRule="auto"/>
        <w:ind w:firstLine="720"/>
        <w:jc w:val="both"/>
        <w:rPr>
          <w:rFonts w:ascii="Arial" w:eastAsia="Calibri" w:hAnsi="Arial" w:cs="Arial"/>
        </w:rPr>
      </w:pPr>
      <w:r>
        <w:rPr>
          <w:rFonts w:ascii="Arial" w:eastAsia="Calibri" w:hAnsi="Arial" w:cs="Arial"/>
        </w:rPr>
        <w:t xml:space="preserve">As between Ohio’s EE/PDR mandates and PJM’s regional reliability-related reliance on eligible energy efficiency capabilities, the methods of measurement and use are also very different.  Ohio law requires that </w:t>
      </w:r>
      <w:r>
        <w:rPr>
          <w:rFonts w:ascii="Arial" w:eastAsia="Calibri" w:hAnsi="Arial" w:cs="Arial"/>
          <w:b/>
        </w:rPr>
        <w:t xml:space="preserve">all </w:t>
      </w:r>
      <w:r>
        <w:rPr>
          <w:rFonts w:ascii="Arial" w:eastAsia="Calibri" w:hAnsi="Arial" w:cs="Arial"/>
        </w:rPr>
        <w:t xml:space="preserve">reductions in energy savings that may result from an energy efficiency project be counted toward compliance with Section 4928.66, Revised Code.  PJM measures the value of unforced capacity that may be bid as a supply-side resource into PJM auctions based upon the measurement and verification criteria contained in PJM Manual 18B.  </w:t>
      </w:r>
      <w:r>
        <w:rPr>
          <w:rFonts w:ascii="Arial" w:eastAsia="Calibri" w:hAnsi="Arial" w:cs="Arial"/>
          <w:i/>
        </w:rPr>
        <w:t xml:space="preserve">See </w:t>
      </w:r>
      <w:r>
        <w:rPr>
          <w:rFonts w:ascii="Arial" w:eastAsia="Calibri" w:hAnsi="Arial" w:cs="Arial"/>
        </w:rPr>
        <w:t xml:space="preserve">IEU-Ohio Ex. 3.  As testified by </w:t>
      </w:r>
      <w:r>
        <w:rPr>
          <w:rFonts w:ascii="Arial" w:eastAsia="Calibri" w:hAnsi="Arial"/>
        </w:rPr>
        <w:t>FirstEnergy</w:t>
      </w:r>
      <w:r>
        <w:rPr>
          <w:rFonts w:ascii="Arial" w:eastAsia="Calibri" w:hAnsi="Arial" w:cs="Arial"/>
        </w:rPr>
        <w:t xml:space="preserve"> witness Demery, Ohio law has no bearing on the amount of EE/PDR capacity resources that may be bid into PJM auctions.  Tr. Vol. III at 499-502; </w:t>
      </w:r>
      <w:r>
        <w:rPr>
          <w:rFonts w:ascii="Arial" w:eastAsia="Calibri" w:hAnsi="Arial" w:cs="Arial"/>
          <w:i/>
        </w:rPr>
        <w:t xml:space="preserve">id. </w:t>
      </w:r>
      <w:r>
        <w:rPr>
          <w:rFonts w:ascii="Arial" w:eastAsia="Calibri" w:hAnsi="Arial" w:cs="Arial"/>
        </w:rPr>
        <w:t xml:space="preserve">at 505-506.  Thus, the determination of what counts for the purpose of measuring compliance with Ohio’s EE/PDR portfolio requirements is much different than the determination of what energy efficiency resources may be eligible to be classified as a PJM capacity resource and bid into PJM’s capacity-related auction process. </w:t>
      </w:r>
    </w:p>
    <w:p w:rsidR="00696140" w:rsidRDefault="00696140" w:rsidP="00696140">
      <w:pPr>
        <w:spacing w:line="480" w:lineRule="auto"/>
        <w:ind w:firstLine="720"/>
        <w:jc w:val="both"/>
        <w:rPr>
          <w:rFonts w:ascii="Arial" w:eastAsia="Calibri" w:hAnsi="Arial"/>
        </w:rPr>
      </w:pPr>
      <w:r>
        <w:rPr>
          <w:rFonts w:ascii="Arial" w:eastAsia="Calibri" w:hAnsi="Arial"/>
        </w:rPr>
        <w:lastRenderedPageBreak/>
        <w:t>In addition to having a very different purpose relative to PJM’s organized capacity market, Section 4928.66, Revised Code, does not cite or contain any reference to participation in the PJM capacity markets.</w:t>
      </w:r>
      <w:r>
        <w:rPr>
          <w:rStyle w:val="FootnoteReference"/>
          <w:rFonts w:ascii="Arial" w:eastAsia="Calibri" w:hAnsi="Arial"/>
        </w:rPr>
        <w:footnoteReference w:id="12"/>
      </w:r>
      <w:r>
        <w:rPr>
          <w:rFonts w:ascii="Arial" w:eastAsia="Calibri" w:hAnsi="Arial"/>
        </w:rPr>
        <w:t xml:space="preserve">  Also, Section 4928.66, Revised Code, does not require or authorize the Commission to require a mercantile customer to convey to an EDU the ownership of PJM-related EE/PDR attributes (permanent peak demand reductions) when the customer seeks an exemption from the EE/PDR cost recovery mechanism.    </w:t>
      </w:r>
    </w:p>
    <w:p w:rsidR="00696140" w:rsidRDefault="00696140" w:rsidP="00696140">
      <w:pPr>
        <w:spacing w:line="480" w:lineRule="auto"/>
        <w:ind w:firstLine="720"/>
        <w:jc w:val="both"/>
        <w:rPr>
          <w:rFonts w:ascii="Arial" w:eastAsia="Calibri" w:hAnsi="Arial"/>
        </w:rPr>
      </w:pPr>
      <w:r>
        <w:rPr>
          <w:rFonts w:ascii="Arial" w:eastAsia="Calibri" w:hAnsi="Arial"/>
        </w:rPr>
        <w:t>Mercantile customers have traditionally retained the right to bid the eligible EE/PDR-related capacity resources associated with their self-funded projects into PJM’s capacity auctions.</w:t>
      </w:r>
      <w:r>
        <w:rPr>
          <w:rStyle w:val="FootnoteReference"/>
          <w:rFonts w:ascii="Arial" w:eastAsia="Calibri" w:hAnsi="Arial"/>
        </w:rPr>
        <w:footnoteReference w:id="13"/>
      </w:r>
      <w:r>
        <w:rPr>
          <w:rFonts w:ascii="Arial" w:eastAsia="Calibri" w:hAnsi="Arial"/>
        </w:rPr>
        <w:t xml:space="preserve">    </w:t>
      </w:r>
    </w:p>
    <w:p w:rsidR="00696140" w:rsidRPr="00393338" w:rsidRDefault="00696140" w:rsidP="00696140">
      <w:pPr>
        <w:spacing w:line="480" w:lineRule="auto"/>
        <w:ind w:firstLine="720"/>
        <w:jc w:val="both"/>
        <w:rPr>
          <w:rFonts w:ascii="Arial" w:eastAsia="Calibri" w:hAnsi="Arial"/>
        </w:rPr>
      </w:pPr>
      <w:r>
        <w:rPr>
          <w:rFonts w:ascii="Arial" w:eastAsia="Calibri" w:hAnsi="Arial"/>
        </w:rPr>
        <w:t xml:space="preserve">On July 31, 2012, FirstEnergy filed an Application for </w:t>
      </w:r>
      <w:r>
        <w:rPr>
          <w:rFonts w:ascii="Arial" w:eastAsia="Calibri" w:hAnsi="Arial" w:cs="Arial"/>
          <w:color w:val="000000"/>
        </w:rPr>
        <w:t>Approval of their EE/PDR Program Portfolio Plans for 2013 to 2015 (“Application” or “Portfolio Plan”).  The Application proposed to modify the Mercantile Customer Commitment Agreement (“Commitment Agreement”) through which mercantile customers commit their customer-sited capabilities in return for obtaining an exemption from the demand-side management energy efficiency rider (“DSEII Rider”).</w:t>
      </w:r>
      <w:r>
        <w:rPr>
          <w:rStyle w:val="FootnoteReference"/>
          <w:rFonts w:ascii="Arial" w:eastAsia="Calibri" w:hAnsi="Arial" w:cs="Arial"/>
          <w:color w:val="000000"/>
        </w:rPr>
        <w:footnoteReference w:id="14"/>
      </w:r>
      <w:r>
        <w:rPr>
          <w:rFonts w:ascii="Arial" w:eastAsia="Calibri" w:hAnsi="Arial" w:cs="Arial"/>
          <w:color w:val="000000"/>
        </w:rPr>
        <w:t xml:space="preserve">  Particularly, FirstEnergy proposed that mercantile customers that request an exemption from the DSEII Rider transfer to FirstEnergy the ownership rights to bid capacity resources associated with </w:t>
      </w:r>
      <w:r>
        <w:rPr>
          <w:rFonts w:ascii="Arial" w:eastAsia="Calibri" w:hAnsi="Arial" w:cs="Arial"/>
          <w:color w:val="000000"/>
        </w:rPr>
        <w:lastRenderedPageBreak/>
        <w:t>their self-funded projects into future PJM capacity auctions.</w:t>
      </w:r>
      <w:r>
        <w:rPr>
          <w:rStyle w:val="FootnoteReference"/>
          <w:rFonts w:ascii="Arial" w:eastAsia="Calibri" w:hAnsi="Arial" w:cs="Arial"/>
          <w:color w:val="000000"/>
        </w:rPr>
        <w:footnoteReference w:id="15"/>
      </w:r>
      <w:r>
        <w:rPr>
          <w:rFonts w:ascii="Arial" w:eastAsia="Calibri" w:hAnsi="Arial" w:cs="Arial"/>
          <w:color w:val="000000"/>
        </w:rPr>
        <w:t xml:space="preserve">  FirstEnergy made this proposal because it interpreted the ESP III Order as requiring customers that participate in FirstEnergy energy efficiency programs as requiring this commitment.</w:t>
      </w:r>
      <w:r>
        <w:rPr>
          <w:rStyle w:val="FootnoteReference"/>
          <w:rFonts w:ascii="Arial" w:eastAsia="Calibri" w:hAnsi="Arial" w:cs="Arial"/>
          <w:color w:val="000000"/>
        </w:rPr>
        <w:footnoteReference w:id="16"/>
      </w:r>
      <w:r>
        <w:rPr>
          <w:rFonts w:ascii="Arial" w:eastAsia="Calibri" w:hAnsi="Arial" w:cs="Arial"/>
          <w:color w:val="000000"/>
        </w:rPr>
        <w:t xml:space="preserve">  Notwithstanding its proposal, FirstEnergy observed that this forced-transfer requirement would be counterproductive and would result in fewer mercantile customer commitments and thereby increase the difficulty of FirstEnergy’s compliance with Ohio’s portfolio mandates.</w:t>
      </w:r>
      <w:r>
        <w:rPr>
          <w:rStyle w:val="FootnoteReference"/>
          <w:rFonts w:ascii="Arial" w:eastAsia="Calibri" w:hAnsi="Arial" w:cs="Arial"/>
          <w:color w:val="000000"/>
        </w:rPr>
        <w:footnoteReference w:id="17"/>
      </w:r>
      <w:r>
        <w:rPr>
          <w:rFonts w:ascii="Arial" w:eastAsia="Calibri" w:hAnsi="Arial" w:cs="Arial"/>
          <w:color w:val="000000"/>
        </w:rPr>
        <w:t xml:space="preserve">  FirstEnergy’s testimony on this issue was uncontested.</w:t>
      </w:r>
      <w:r>
        <w:rPr>
          <w:rStyle w:val="FootnoteReference"/>
          <w:rFonts w:ascii="Arial" w:eastAsia="Calibri" w:hAnsi="Arial" w:cs="Arial"/>
          <w:color w:val="000000"/>
        </w:rPr>
        <w:footnoteReference w:id="18"/>
      </w:r>
    </w:p>
    <w:p w:rsidR="00696140" w:rsidRPr="00696140" w:rsidRDefault="00696140" w:rsidP="00696140">
      <w:pPr>
        <w:spacing w:line="480" w:lineRule="auto"/>
        <w:ind w:firstLine="720"/>
        <w:jc w:val="both"/>
        <w:rPr>
          <w:rFonts w:ascii="Arial" w:eastAsia="Calibri" w:hAnsi="Arial" w:cs="Arial"/>
          <w:color w:val="000000"/>
        </w:rPr>
      </w:pPr>
      <w:r w:rsidRPr="00696140">
        <w:rPr>
          <w:rFonts w:ascii="Arial" w:eastAsia="Calibri" w:hAnsi="Arial" w:cs="Arial"/>
          <w:color w:val="000000"/>
        </w:rPr>
        <w:t>Despite the uncontested evidence in the record and FirstEnergy’s preference that mercantile customers requesting an exemption from the DSEII Rider continue to retain the rights to bid their capacity attributes into the PJM auctions, the Commission approved FirstEnergy’s Commitment Agreement as proposed in the Application, stating:</w:t>
      </w:r>
    </w:p>
    <w:p w:rsidR="00696140" w:rsidRPr="00696140" w:rsidRDefault="00696140" w:rsidP="00696140">
      <w:pPr>
        <w:pStyle w:val="ListParagraph"/>
        <w:autoSpaceDE w:val="0"/>
        <w:autoSpaceDN w:val="0"/>
        <w:adjustRightInd w:val="0"/>
        <w:ind w:left="1080" w:right="720"/>
        <w:jc w:val="both"/>
        <w:rPr>
          <w:rFonts w:ascii="Arial" w:hAnsi="Arial" w:cs="Arial"/>
        </w:rPr>
      </w:pPr>
      <w:r w:rsidRPr="00696140">
        <w:rPr>
          <w:rFonts w:ascii="Arial" w:hAnsi="Arial" w:cs="Arial"/>
        </w:rPr>
        <w:t xml:space="preserve">The Commission notes that the plain language of Section 4928.66(A)(2)(c), Revised Code, states that the Commission "may exempt" mercantile customers from the cost recovery rider for EE/PDR programs; therefore, there is no statutory prohibition against conditioning such exemption on the transfer of the energy savings </w:t>
      </w:r>
      <w:r w:rsidRPr="00696140">
        <w:rPr>
          <w:rFonts w:ascii="Arial" w:hAnsi="Arial" w:cs="Arial"/>
        </w:rPr>
        <w:lastRenderedPageBreak/>
        <w:t>attributes. Further, as noted above, bidding the energy efficiency attributes into the base residual auctions will provide funds to offset the cost of the EE/PDR programs, lowering the costs for all customers, and will help reduce the cost of capacity in the Companies service territories.</w:t>
      </w:r>
      <w:r>
        <w:rPr>
          <w:rStyle w:val="FootnoteReference"/>
          <w:rFonts w:ascii="Arial" w:hAnsi="Arial" w:cs="Arial"/>
        </w:rPr>
        <w:footnoteReference w:id="19"/>
      </w:r>
    </w:p>
    <w:p w:rsidR="00696140" w:rsidRPr="00696140" w:rsidRDefault="00696140" w:rsidP="00696140">
      <w:pPr>
        <w:autoSpaceDE w:val="0"/>
        <w:autoSpaceDN w:val="0"/>
        <w:adjustRightInd w:val="0"/>
        <w:ind w:left="360" w:right="720"/>
        <w:jc w:val="both"/>
        <w:rPr>
          <w:rFonts w:ascii="Arial" w:hAnsi="Arial" w:cs="Arial"/>
        </w:rPr>
      </w:pPr>
    </w:p>
    <w:p w:rsidR="00696140" w:rsidRPr="00696140" w:rsidRDefault="00696140" w:rsidP="00696140">
      <w:pPr>
        <w:tabs>
          <w:tab w:val="left" w:pos="9360"/>
        </w:tabs>
        <w:autoSpaceDE w:val="0"/>
        <w:autoSpaceDN w:val="0"/>
        <w:adjustRightInd w:val="0"/>
        <w:spacing w:line="480" w:lineRule="auto"/>
        <w:jc w:val="both"/>
        <w:rPr>
          <w:rFonts w:ascii="Arial" w:hAnsi="Arial" w:cs="Arial"/>
        </w:rPr>
      </w:pPr>
      <w:r w:rsidRPr="00696140">
        <w:rPr>
          <w:rFonts w:ascii="Arial" w:eastAsia="Calibri" w:hAnsi="Arial" w:cs="Arial"/>
          <w:color w:val="000000"/>
        </w:rPr>
        <w:t>As discussed below, the Opinion and Order is unlawful and unreasonable in several respects.</w:t>
      </w:r>
    </w:p>
    <w:p w:rsidR="00213FB9" w:rsidRPr="0063151D" w:rsidRDefault="00716DC0" w:rsidP="00F620C1">
      <w:pPr>
        <w:pStyle w:val="ListParagraph"/>
        <w:numPr>
          <w:ilvl w:val="0"/>
          <w:numId w:val="11"/>
        </w:numPr>
        <w:spacing w:before="120" w:line="480" w:lineRule="auto"/>
        <w:ind w:left="720"/>
        <w:jc w:val="both"/>
        <w:rPr>
          <w:rFonts w:ascii="Arial" w:eastAsia="Calibri" w:hAnsi="Arial" w:cs="Arial"/>
          <w:b/>
        </w:rPr>
      </w:pPr>
      <w:r w:rsidRPr="0063151D">
        <w:rPr>
          <w:rFonts w:ascii="Arial" w:eastAsia="Calibri" w:hAnsi="Arial" w:cs="Arial"/>
          <w:b/>
        </w:rPr>
        <w:t>LAW AND ARGUMENT</w:t>
      </w:r>
    </w:p>
    <w:p w:rsidR="0058165E" w:rsidRPr="00F620C1" w:rsidRDefault="0058165E" w:rsidP="00F620C1">
      <w:pPr>
        <w:pStyle w:val="ListParagraph"/>
        <w:numPr>
          <w:ilvl w:val="0"/>
          <w:numId w:val="12"/>
        </w:numPr>
        <w:ind w:left="1080" w:right="720"/>
        <w:jc w:val="both"/>
        <w:rPr>
          <w:rFonts w:ascii="Arial" w:eastAsia="Calibri" w:hAnsi="Arial" w:cs="Arial"/>
          <w:b/>
        </w:rPr>
      </w:pPr>
      <w:r w:rsidRPr="00F620C1">
        <w:rPr>
          <w:rFonts w:ascii="Arial" w:eastAsia="Calibri" w:hAnsi="Arial" w:cs="Arial"/>
          <w:b/>
        </w:rPr>
        <w:t>The Opinion and Order is unl</w:t>
      </w:r>
      <w:r w:rsidR="00CE03C4" w:rsidRPr="00F620C1">
        <w:rPr>
          <w:rFonts w:ascii="Arial" w:eastAsia="Calibri" w:hAnsi="Arial" w:cs="Arial"/>
          <w:b/>
        </w:rPr>
        <w:t>awful and unreasonable because the Commission lacks statutory authority</w:t>
      </w:r>
      <w:r w:rsidRPr="00F620C1">
        <w:rPr>
          <w:rFonts w:ascii="Arial" w:eastAsia="Calibri" w:hAnsi="Arial" w:cs="Arial"/>
          <w:b/>
        </w:rPr>
        <w:t xml:space="preserve"> to require a mercantile customer to cede PJM bidding rights to FirstEnergy</w:t>
      </w:r>
    </w:p>
    <w:p w:rsidR="0058165E" w:rsidRPr="0058165E" w:rsidRDefault="0058165E" w:rsidP="0058165E">
      <w:pPr>
        <w:pStyle w:val="ListParagraph"/>
        <w:ind w:left="1440"/>
        <w:jc w:val="both"/>
        <w:rPr>
          <w:rFonts w:ascii="Arial" w:eastAsia="Calibri" w:hAnsi="Arial" w:cs="Arial"/>
          <w:b/>
        </w:rPr>
      </w:pPr>
    </w:p>
    <w:p w:rsidR="00FF5EC8" w:rsidRDefault="00FF5EC8" w:rsidP="00FF5EC8">
      <w:pPr>
        <w:spacing w:line="480" w:lineRule="auto"/>
        <w:ind w:firstLine="720"/>
        <w:jc w:val="both"/>
        <w:rPr>
          <w:rFonts w:ascii="Arial" w:eastAsia="Calibri" w:hAnsi="Arial" w:cs="Arial"/>
        </w:rPr>
      </w:pPr>
      <w:r w:rsidRPr="00607EB6">
        <w:rPr>
          <w:rFonts w:ascii="Arial" w:eastAsia="Calibri" w:hAnsi="Arial" w:cs="Arial"/>
        </w:rPr>
        <w:t>The Opinion and Order requires a mercantile customer requesting an exemption from the DSEII Rider to cede to FirstEnergy the right to bid the capacity attributes</w:t>
      </w:r>
      <w:r w:rsidRPr="00607EB6">
        <w:rPr>
          <w:rFonts w:ascii="Arial" w:eastAsia="Calibri" w:hAnsi="Arial" w:cs="Arial"/>
          <w:vertAlign w:val="superscript"/>
        </w:rPr>
        <w:footnoteReference w:id="20"/>
      </w:r>
      <w:r w:rsidRPr="00607EB6">
        <w:rPr>
          <w:rFonts w:ascii="Arial" w:eastAsia="Calibri" w:hAnsi="Arial" w:cs="Arial"/>
        </w:rPr>
        <w:t xml:space="preserve"> associated with its self-funded energy efficiency projects into PJM auctions.  </w:t>
      </w:r>
      <w:r>
        <w:rPr>
          <w:rFonts w:ascii="Arial" w:eastAsia="Calibri" w:hAnsi="Arial" w:cs="Arial"/>
        </w:rPr>
        <w:t>Section 4928.66(A)(2)(c), Revised Code, provides that a mercantile customer may be exempt from any cost recovery mechanism if the customer commits their customer-sited capabilities, whether existing or new, for integration into an EDU’s compliance programs.  The Opinion and Order has misapplied the statute and unlawfully required mercantile customers to transfer property rights to FirstEnergy that are not related to FirstEnergy’s compliance obligation.</w:t>
      </w:r>
    </w:p>
    <w:p w:rsidR="00FF5EC8" w:rsidRPr="00607EB6" w:rsidRDefault="00FF5EC8" w:rsidP="00FF5EC8">
      <w:pPr>
        <w:spacing w:line="480" w:lineRule="auto"/>
        <w:ind w:firstLine="720"/>
        <w:jc w:val="both"/>
        <w:rPr>
          <w:rFonts w:ascii="Arial" w:hAnsi="Arial" w:cs="Arial"/>
          <w:bCs/>
          <w:color w:val="222222"/>
        </w:rPr>
      </w:pPr>
      <w:r>
        <w:rPr>
          <w:rFonts w:ascii="Arial" w:hAnsi="Arial" w:cs="Arial"/>
          <w:color w:val="222222"/>
        </w:rPr>
        <w:t>Courts have held that “[t]he legal definition of ‘property’</w:t>
      </w:r>
      <w:r w:rsidRPr="006764A4">
        <w:rPr>
          <w:rFonts w:ascii="Arial" w:hAnsi="Arial" w:cs="Arial"/>
          <w:color w:val="222222"/>
        </w:rPr>
        <w:t xml:space="preserve"> most often refers not to a particular physical object, but rather to the legal bundle of rights recognized in that object.</w:t>
      </w:r>
      <w:r w:rsidRPr="006764A4">
        <w:rPr>
          <w:rFonts w:ascii="Arial" w:eastAsia="Calibri" w:hAnsi="Arial"/>
        </w:rPr>
        <w:t>”</w:t>
      </w:r>
      <w:r>
        <w:rPr>
          <w:rFonts w:ascii="Arial" w:hAnsi="Arial" w:cs="Arial"/>
          <w:color w:val="222222"/>
        </w:rPr>
        <w:t xml:space="preserve"> </w:t>
      </w:r>
      <w:r w:rsidRPr="006764A4">
        <w:rPr>
          <w:rFonts w:ascii="Arial" w:hAnsi="Arial" w:cs="Arial"/>
          <w:bCs/>
          <w:i/>
          <w:color w:val="222222"/>
        </w:rPr>
        <w:t xml:space="preserve">Brotherton v. </w:t>
      </w:r>
      <w:r>
        <w:rPr>
          <w:rFonts w:ascii="Arial" w:hAnsi="Arial" w:cs="Arial"/>
          <w:bCs/>
          <w:color w:val="222222"/>
        </w:rPr>
        <w:t>Cleveland, 923 F.2d 477, 482 (6th</w:t>
      </w:r>
      <w:r w:rsidRPr="006764A4">
        <w:rPr>
          <w:rFonts w:ascii="Arial" w:hAnsi="Arial" w:cs="Arial"/>
          <w:bCs/>
          <w:color w:val="222222"/>
        </w:rPr>
        <w:t xml:space="preserve"> Cir.</w:t>
      </w:r>
      <w:r>
        <w:rPr>
          <w:rFonts w:ascii="Arial" w:hAnsi="Arial" w:cs="Arial"/>
          <w:bCs/>
          <w:color w:val="222222"/>
        </w:rPr>
        <w:t xml:space="preserve"> </w:t>
      </w:r>
      <w:r w:rsidRPr="006764A4">
        <w:rPr>
          <w:rFonts w:ascii="Arial" w:hAnsi="Arial" w:cs="Arial"/>
          <w:bCs/>
          <w:color w:val="222222"/>
        </w:rPr>
        <w:t>1991).</w:t>
      </w:r>
      <w:r>
        <w:rPr>
          <w:rFonts w:ascii="Arial" w:hAnsi="Arial" w:cs="Arial"/>
          <w:bCs/>
          <w:color w:val="222222"/>
        </w:rPr>
        <w:t xml:space="preserve"> </w:t>
      </w:r>
      <w:r>
        <w:rPr>
          <w:rFonts w:ascii="Arial" w:hAnsi="Arial" w:cs="Arial"/>
          <w:color w:val="222222"/>
        </w:rPr>
        <w:t xml:space="preserve">Thus, </w:t>
      </w:r>
      <w:r>
        <w:rPr>
          <w:rFonts w:ascii="Arial" w:eastAsia="Calibri" w:hAnsi="Arial"/>
        </w:rPr>
        <w:t>p</w:t>
      </w:r>
      <w:r w:rsidRPr="006764A4">
        <w:rPr>
          <w:rFonts w:ascii="Arial" w:eastAsia="Calibri" w:hAnsi="Arial"/>
        </w:rPr>
        <w:t xml:space="preserve">roperty is often referred to as a “bundle of rights.”  </w:t>
      </w:r>
      <w:r w:rsidRPr="006764A4">
        <w:rPr>
          <w:rFonts w:ascii="Arial" w:hAnsi="Arial" w:cs="Arial"/>
          <w:color w:val="222222"/>
        </w:rPr>
        <w:t xml:space="preserve">The </w:t>
      </w:r>
      <w:r w:rsidRPr="006764A4">
        <w:rPr>
          <w:rFonts w:ascii="Arial" w:eastAsia="Calibri" w:hAnsi="Arial"/>
        </w:rPr>
        <w:t>“</w:t>
      </w:r>
      <w:r w:rsidRPr="006764A4">
        <w:rPr>
          <w:rFonts w:ascii="Arial" w:hAnsi="Arial" w:cs="Arial"/>
          <w:color w:val="222222"/>
        </w:rPr>
        <w:t>bundle of rights</w:t>
      </w:r>
      <w:r w:rsidRPr="006764A4">
        <w:rPr>
          <w:rFonts w:ascii="Arial" w:eastAsia="Calibri" w:hAnsi="Arial"/>
        </w:rPr>
        <w:t>”</w:t>
      </w:r>
      <w:r w:rsidRPr="006764A4">
        <w:rPr>
          <w:rFonts w:ascii="Arial" w:hAnsi="Arial" w:cs="Arial"/>
          <w:color w:val="222222"/>
        </w:rPr>
        <w:t xml:space="preserve"> associated with property </w:t>
      </w:r>
      <w:r w:rsidRPr="006764A4">
        <w:rPr>
          <w:rFonts w:ascii="Arial" w:hAnsi="Arial" w:cs="Arial"/>
          <w:color w:val="222222"/>
        </w:rPr>
        <w:lastRenderedPageBreak/>
        <w:t>include</w:t>
      </w:r>
      <w:r>
        <w:rPr>
          <w:rFonts w:ascii="Arial" w:hAnsi="Arial" w:cs="Arial"/>
          <w:color w:val="222222"/>
        </w:rPr>
        <w:t>s</w:t>
      </w:r>
      <w:r w:rsidRPr="006764A4">
        <w:rPr>
          <w:rFonts w:ascii="Arial" w:hAnsi="Arial" w:cs="Arial"/>
          <w:color w:val="222222"/>
        </w:rPr>
        <w:t xml:space="preserve"> the rights to possess, to use, to exclude, to profit, and to dispose.</w:t>
      </w:r>
      <w:r>
        <w:rPr>
          <w:rFonts w:ascii="Arial" w:hAnsi="Arial" w:cs="Arial"/>
          <w:color w:val="222222"/>
        </w:rPr>
        <w:t xml:space="preserve">  </w:t>
      </w:r>
      <w:r>
        <w:rPr>
          <w:rFonts w:ascii="Arial" w:hAnsi="Arial" w:cs="Arial"/>
          <w:i/>
          <w:color w:val="222222"/>
        </w:rPr>
        <w:t>Id.</w:t>
      </w:r>
      <w:r w:rsidRPr="006764A4">
        <w:rPr>
          <w:rFonts w:ascii="Arial" w:hAnsi="Arial" w:cs="Arial"/>
          <w:bCs/>
          <w:color w:val="222222"/>
        </w:rPr>
        <w:t xml:space="preserve"> </w:t>
      </w:r>
      <w:r>
        <w:rPr>
          <w:rFonts w:ascii="Arial" w:hAnsi="Arial" w:cs="Arial"/>
          <w:bCs/>
          <w:color w:val="222222"/>
        </w:rPr>
        <w:t xml:space="preserve"> The attributes of self-funded energy efficiency projects are the property of mercantile customers.  And there is more than one stick to the bundle of rights associated with mercantile self-direct energy efficiency projects.  </w:t>
      </w:r>
      <w:r w:rsidRPr="00607EB6">
        <w:rPr>
          <w:rFonts w:ascii="Arial" w:hAnsi="Arial" w:cs="Arial"/>
          <w:bCs/>
          <w:color w:val="222222"/>
        </w:rPr>
        <w:t>Energy efficiency projects produce energy efficiency savings that may qualify to be counted toward FirstEnergy’s statutory compl</w:t>
      </w:r>
      <w:r>
        <w:rPr>
          <w:rFonts w:ascii="Arial" w:hAnsi="Arial" w:cs="Arial"/>
          <w:bCs/>
          <w:color w:val="222222"/>
        </w:rPr>
        <w:t>iance obligation</w:t>
      </w:r>
      <w:r w:rsidRPr="00607EB6">
        <w:rPr>
          <w:rFonts w:ascii="Arial" w:hAnsi="Arial" w:cs="Arial"/>
          <w:bCs/>
          <w:color w:val="222222"/>
        </w:rPr>
        <w:t>.  These cust</w:t>
      </w:r>
      <w:r>
        <w:rPr>
          <w:rFonts w:ascii="Arial" w:hAnsi="Arial" w:cs="Arial"/>
          <w:bCs/>
          <w:color w:val="222222"/>
        </w:rPr>
        <w:t>omer-sited capabilities entitle</w:t>
      </w:r>
      <w:r w:rsidRPr="00607EB6">
        <w:rPr>
          <w:rFonts w:ascii="Arial" w:hAnsi="Arial" w:cs="Arial"/>
          <w:bCs/>
          <w:color w:val="222222"/>
        </w:rPr>
        <w:t xml:space="preserve"> a customer to request an exemption from the DSEII Rider.  But these energy efficiency projects may also produce capacity attributes that may be bid into PJM auctions.</w:t>
      </w:r>
    </w:p>
    <w:p w:rsidR="00FF5EC8" w:rsidRDefault="00FF5EC8" w:rsidP="00FF5EC8">
      <w:pPr>
        <w:spacing w:line="480" w:lineRule="auto"/>
        <w:ind w:firstLine="720"/>
        <w:jc w:val="both"/>
        <w:rPr>
          <w:rFonts w:ascii="Arial" w:eastAsia="Calibri" w:hAnsi="Arial"/>
        </w:rPr>
      </w:pPr>
      <w:r>
        <w:rPr>
          <w:rFonts w:ascii="Arial" w:eastAsia="Calibri" w:hAnsi="Arial"/>
        </w:rPr>
        <w:t>As Staff witness Scheck testified, the ownership of these capacity attributes initially remains with the customer:</w:t>
      </w:r>
    </w:p>
    <w:p w:rsidR="00FF5EC8" w:rsidRPr="00CB7FC5" w:rsidRDefault="00FF5EC8" w:rsidP="00FF5EC8">
      <w:pPr>
        <w:autoSpaceDE w:val="0"/>
        <w:autoSpaceDN w:val="0"/>
        <w:adjustRightInd w:val="0"/>
        <w:ind w:left="720" w:right="720"/>
        <w:jc w:val="both"/>
        <w:rPr>
          <w:rFonts w:ascii="Arial" w:eastAsiaTheme="minorHAnsi" w:hAnsi="Arial" w:cs="Arial"/>
        </w:rPr>
      </w:pPr>
      <w:r w:rsidRPr="00CB7FC5">
        <w:rPr>
          <w:rFonts w:ascii="Arial" w:eastAsiaTheme="minorHAnsi" w:hAnsi="Arial" w:cs="Arial"/>
        </w:rPr>
        <w:t>If the customer requests an exemption and it's approved by the Commission, my view is that the customer would have ownership rights of that capacity, bid into the PJM market, and, therefore,</w:t>
      </w:r>
      <w:r w:rsidRPr="00CB7FC5">
        <w:rPr>
          <w:rFonts w:ascii="Arial" w:hAnsi="Arial" w:cs="Arial"/>
        </w:rPr>
        <w:t xml:space="preserve"> </w:t>
      </w:r>
      <w:r w:rsidRPr="00CB7FC5">
        <w:rPr>
          <w:rFonts w:ascii="Arial" w:eastAsiaTheme="minorHAnsi" w:hAnsi="Arial" w:cs="Arial"/>
        </w:rPr>
        <w:t>the company could not claim those. If the customer wanted to commit such resources to the company, they could do so, but that would be up to the customer.</w:t>
      </w:r>
      <w:r w:rsidRPr="00CB7FC5">
        <w:rPr>
          <w:rStyle w:val="FootnoteReference"/>
          <w:rFonts w:ascii="Arial" w:eastAsiaTheme="minorHAnsi" w:hAnsi="Arial" w:cs="Arial"/>
        </w:rPr>
        <w:footnoteReference w:id="21"/>
      </w:r>
    </w:p>
    <w:p w:rsidR="00FF5EC8" w:rsidRPr="00CB7FC5" w:rsidRDefault="00FF5EC8" w:rsidP="00FF5EC8">
      <w:pPr>
        <w:autoSpaceDE w:val="0"/>
        <w:autoSpaceDN w:val="0"/>
        <w:adjustRightInd w:val="0"/>
        <w:ind w:left="720"/>
        <w:jc w:val="both"/>
        <w:rPr>
          <w:rFonts w:ascii="Arial" w:eastAsiaTheme="minorHAnsi" w:hAnsi="Arial" w:cs="Arial"/>
        </w:rPr>
      </w:pPr>
    </w:p>
    <w:p w:rsidR="00FF5EC8" w:rsidRPr="00CB7FC5" w:rsidRDefault="00FF5EC8" w:rsidP="00FF5EC8">
      <w:pPr>
        <w:spacing w:line="480" w:lineRule="auto"/>
        <w:jc w:val="both"/>
        <w:rPr>
          <w:rFonts w:ascii="Arial" w:eastAsia="Calibri" w:hAnsi="Arial" w:cs="Arial"/>
        </w:rPr>
      </w:pPr>
      <w:r w:rsidRPr="00607EB6">
        <w:rPr>
          <w:rFonts w:ascii="Arial" w:eastAsia="Calibri" w:hAnsi="Arial" w:cs="Arial"/>
        </w:rPr>
        <w:t>Ownership of such capacity</w:t>
      </w:r>
      <w:r>
        <w:rPr>
          <w:rFonts w:ascii="Arial" w:eastAsia="Calibri" w:hAnsi="Arial" w:cs="Arial"/>
        </w:rPr>
        <w:t xml:space="preserve">-related attributes </w:t>
      </w:r>
      <w:r w:rsidRPr="00607EB6">
        <w:rPr>
          <w:rFonts w:ascii="Arial" w:eastAsia="Calibri" w:hAnsi="Arial" w:cs="Arial"/>
        </w:rPr>
        <w:t xml:space="preserve">can only be transferred to the EDU through a </w:t>
      </w:r>
      <w:r>
        <w:rPr>
          <w:rFonts w:ascii="Arial" w:eastAsia="Calibri" w:hAnsi="Arial" w:cs="Arial"/>
        </w:rPr>
        <w:t xml:space="preserve">bilateral </w:t>
      </w:r>
      <w:r w:rsidRPr="00607EB6">
        <w:rPr>
          <w:rFonts w:ascii="Arial" w:eastAsia="Calibri" w:hAnsi="Arial" w:cs="Arial"/>
        </w:rPr>
        <w:t xml:space="preserve">contract </w:t>
      </w:r>
      <w:r>
        <w:rPr>
          <w:rFonts w:ascii="Arial" w:eastAsia="Calibri" w:hAnsi="Arial" w:cs="Arial"/>
        </w:rPr>
        <w:t xml:space="preserve">through which the customer agrees to convey ownership to the EDU </w:t>
      </w:r>
      <w:r w:rsidRPr="00607EB6">
        <w:rPr>
          <w:rFonts w:ascii="Arial" w:eastAsia="Calibri" w:hAnsi="Arial" w:cs="Arial"/>
        </w:rPr>
        <w:t xml:space="preserve">or if the customer consents to transfer the rights in </w:t>
      </w:r>
      <w:r>
        <w:rPr>
          <w:rFonts w:ascii="Arial" w:eastAsia="Calibri" w:hAnsi="Arial" w:cs="Arial"/>
        </w:rPr>
        <w:t>exchange for participation in a</w:t>
      </w:r>
      <w:r w:rsidRPr="00607EB6">
        <w:rPr>
          <w:rFonts w:ascii="Arial" w:eastAsia="Calibri" w:hAnsi="Arial" w:cs="Arial"/>
        </w:rPr>
        <w:t xml:space="preserve"> rebate program.</w:t>
      </w:r>
      <w:r w:rsidRPr="00607EB6">
        <w:rPr>
          <w:rFonts w:ascii="Arial" w:eastAsia="Calibri" w:hAnsi="Arial" w:cs="Arial"/>
          <w:vertAlign w:val="superscript"/>
        </w:rPr>
        <w:footnoteReference w:id="22"/>
      </w:r>
      <w:r w:rsidRPr="00607EB6">
        <w:rPr>
          <w:rFonts w:ascii="Arial" w:eastAsia="Calibri" w:hAnsi="Arial" w:cs="Arial"/>
        </w:rPr>
        <w:t xml:space="preserve">  </w:t>
      </w:r>
      <w:r w:rsidRPr="00CB7FC5">
        <w:rPr>
          <w:rFonts w:ascii="Arial" w:eastAsia="Calibri" w:hAnsi="Arial" w:cs="Arial"/>
        </w:rPr>
        <w:t>Moreover, the Commission’s recent</w:t>
      </w:r>
      <w:r>
        <w:rPr>
          <w:rFonts w:ascii="Arial" w:eastAsia="Calibri" w:hAnsi="Arial" w:cs="Arial"/>
        </w:rPr>
        <w:t>ly</w:t>
      </w:r>
      <w:r w:rsidRPr="00CB7FC5">
        <w:rPr>
          <w:rFonts w:ascii="Arial" w:eastAsia="Calibri" w:hAnsi="Arial" w:cs="Arial"/>
        </w:rPr>
        <w:t xml:space="preserve"> proposed </w:t>
      </w:r>
      <w:r>
        <w:rPr>
          <w:rFonts w:ascii="Arial" w:eastAsia="Calibri" w:hAnsi="Arial" w:cs="Arial"/>
        </w:rPr>
        <w:t xml:space="preserve">changes to its net metering </w:t>
      </w:r>
      <w:r w:rsidRPr="00CB7FC5">
        <w:rPr>
          <w:rFonts w:ascii="Arial" w:eastAsia="Calibri" w:hAnsi="Arial" w:cs="Arial"/>
        </w:rPr>
        <w:t>rule</w:t>
      </w:r>
      <w:r>
        <w:rPr>
          <w:rFonts w:ascii="Arial" w:eastAsia="Calibri" w:hAnsi="Arial" w:cs="Arial"/>
        </w:rPr>
        <w:t>s</w:t>
      </w:r>
      <w:r w:rsidRPr="00CB7FC5">
        <w:rPr>
          <w:rFonts w:ascii="Arial" w:eastAsia="Calibri" w:hAnsi="Arial" w:cs="Arial"/>
        </w:rPr>
        <w:t xml:space="preserve"> also supports the principle that an EDU must enter </w:t>
      </w:r>
      <w:r>
        <w:rPr>
          <w:rFonts w:ascii="Arial" w:eastAsia="Calibri" w:hAnsi="Arial" w:cs="Arial"/>
        </w:rPr>
        <w:t xml:space="preserve">into </w:t>
      </w:r>
      <w:r w:rsidRPr="00CB7FC5">
        <w:rPr>
          <w:rFonts w:ascii="Arial" w:eastAsia="Calibri" w:hAnsi="Arial" w:cs="Arial"/>
        </w:rPr>
        <w:t xml:space="preserve">a contract with a customer to take ownership of </w:t>
      </w:r>
      <w:r>
        <w:rPr>
          <w:rFonts w:ascii="Arial" w:eastAsia="Calibri" w:hAnsi="Arial" w:cs="Arial"/>
        </w:rPr>
        <w:t xml:space="preserve">the attributes associated with </w:t>
      </w:r>
      <w:r w:rsidRPr="00CB7FC5">
        <w:rPr>
          <w:rFonts w:ascii="Arial" w:eastAsia="Calibri" w:hAnsi="Arial" w:cs="Arial"/>
        </w:rPr>
        <w:t>a customer-sited resource:</w:t>
      </w:r>
    </w:p>
    <w:p w:rsidR="00FF5EC8" w:rsidRPr="00CB7FC5" w:rsidRDefault="00FF5EC8" w:rsidP="00FF5EC8">
      <w:pPr>
        <w:ind w:left="720" w:right="720"/>
        <w:jc w:val="both"/>
        <w:rPr>
          <w:rFonts w:ascii="Arial" w:eastAsia="Calibri" w:hAnsi="Arial" w:cs="Arial"/>
        </w:rPr>
      </w:pPr>
      <w:r w:rsidRPr="00CB7FC5">
        <w:rPr>
          <w:rFonts w:ascii="Arial" w:eastAsia="Calibri" w:hAnsi="Arial" w:cs="Arial"/>
        </w:rPr>
        <w:t xml:space="preserve">Renewable energy credits associated with a customer-generator's net metering facility shall be the property of the customer-generator, unless </w:t>
      </w:r>
      <w:r w:rsidRPr="00CB7FC5">
        <w:rPr>
          <w:rFonts w:ascii="Arial" w:eastAsia="Calibri" w:hAnsi="Arial" w:cs="Arial"/>
        </w:rPr>
        <w:lastRenderedPageBreak/>
        <w:t>otherwise contracted through a separate transaction, independent of the net metering tariff or the customer-generator's net metering agreement with the electric utility.</w:t>
      </w:r>
      <w:r w:rsidRPr="00CB7FC5">
        <w:rPr>
          <w:rStyle w:val="FootnoteReference"/>
          <w:rFonts w:ascii="Arial" w:eastAsia="Calibri" w:hAnsi="Arial" w:cs="Arial"/>
        </w:rPr>
        <w:footnoteReference w:id="23"/>
      </w:r>
    </w:p>
    <w:p w:rsidR="00FF5EC8" w:rsidRDefault="00FF5EC8" w:rsidP="00FF5EC8">
      <w:pPr>
        <w:ind w:left="720" w:right="720"/>
        <w:jc w:val="both"/>
        <w:rPr>
          <w:rFonts w:ascii="Arial" w:eastAsia="Calibri" w:hAnsi="Arial"/>
        </w:rPr>
      </w:pPr>
    </w:p>
    <w:p w:rsidR="00FF5EC8" w:rsidRPr="00D70757" w:rsidRDefault="00FF5EC8" w:rsidP="00FF5EC8">
      <w:pPr>
        <w:spacing w:line="480" w:lineRule="auto"/>
        <w:jc w:val="both"/>
        <w:rPr>
          <w:rFonts w:ascii="Arial" w:eastAsia="Calibri" w:hAnsi="Arial"/>
        </w:rPr>
      </w:pPr>
      <w:r>
        <w:rPr>
          <w:rFonts w:ascii="Arial" w:eastAsia="Calibri" w:hAnsi="Arial"/>
        </w:rPr>
        <w:t xml:space="preserve">It is clear that the right to bid capacity attributes associated with energy efficiency projects initially lies with the customer and that this right is separate and apart from the right to obtain an exemption from the DSEII Rider under Section 4928.66, Revised Code.  </w:t>
      </w:r>
    </w:p>
    <w:p w:rsidR="00FF5EC8" w:rsidRPr="00607EB6" w:rsidRDefault="00FF5EC8" w:rsidP="00FF5EC8">
      <w:pPr>
        <w:spacing w:line="480" w:lineRule="auto"/>
        <w:ind w:firstLine="720"/>
        <w:jc w:val="both"/>
        <w:rPr>
          <w:rFonts w:ascii="Arial" w:eastAsia="Calibri" w:hAnsi="Arial" w:cs="Arial"/>
        </w:rPr>
      </w:pPr>
      <w:r>
        <w:rPr>
          <w:rFonts w:ascii="Arial" w:eastAsia="Calibri" w:hAnsi="Arial" w:cs="Arial"/>
        </w:rPr>
        <w:t>FirstEnergy’s Portfolio Plan is designed to allow FirstEnergy to comply with the benchmark requirements contained in Section 4928.66(A)(1)(a) and (b), Revised Code.  The annual savings targets are related to energy savings and peak demand reduction as measured against a three year average</w:t>
      </w:r>
      <w:r w:rsidRPr="000C732B">
        <w:rPr>
          <w:rFonts w:ascii="Arial" w:eastAsia="Calibri" w:hAnsi="Arial" w:cs="Arial"/>
        </w:rPr>
        <w:t>.</w:t>
      </w:r>
      <w:r w:rsidRPr="000C732B">
        <w:rPr>
          <w:rStyle w:val="FootnoteReference"/>
          <w:rFonts w:ascii="Arial" w:eastAsia="Calibri" w:hAnsi="Arial" w:cs="Arial"/>
        </w:rPr>
        <w:footnoteReference w:id="24"/>
      </w:r>
      <w:r w:rsidRPr="000C732B">
        <w:rPr>
          <w:rFonts w:ascii="Arial" w:eastAsia="Calibri" w:hAnsi="Arial" w:cs="Arial"/>
        </w:rPr>
        <w:t xml:space="preserve">  No part of Section 4928.66(A)(1)(a) or (b), Revised Code, contains a requirement that an EDU bid the capacity attributes associated with customer-sited energy efficiency projects into PJM’s organized capacity market.</w:t>
      </w:r>
      <w:r>
        <w:rPr>
          <w:rFonts w:ascii="Arial" w:eastAsia="Calibri" w:hAnsi="Arial" w:cs="Arial"/>
        </w:rPr>
        <w:t xml:space="preserve"> </w:t>
      </w:r>
      <w:r w:rsidR="000C732B">
        <w:rPr>
          <w:rFonts w:ascii="Arial" w:eastAsia="Calibri" w:hAnsi="Arial" w:cs="Arial"/>
        </w:rPr>
        <w:t xml:space="preserve"> </w:t>
      </w:r>
      <w:r w:rsidRPr="00607EB6">
        <w:rPr>
          <w:rFonts w:ascii="Arial" w:eastAsia="Calibri" w:hAnsi="Arial" w:cs="Arial"/>
        </w:rPr>
        <w:t>The mercantile exemption option contained in Section 4928.66(A)(2)(c), Revise Code, is available when a mercantile customer commits customer-sited capabilities for purpos</w:t>
      </w:r>
      <w:r>
        <w:rPr>
          <w:rFonts w:ascii="Arial" w:eastAsia="Calibri" w:hAnsi="Arial" w:cs="Arial"/>
        </w:rPr>
        <w:t>es of assisting the EDU in meeting</w:t>
      </w:r>
      <w:r w:rsidRPr="00607EB6">
        <w:rPr>
          <w:rFonts w:ascii="Arial" w:eastAsia="Calibri" w:hAnsi="Arial" w:cs="Arial"/>
        </w:rPr>
        <w:t xml:space="preserve"> its statutory compliance obligations.  The </w:t>
      </w:r>
      <w:r>
        <w:rPr>
          <w:rFonts w:ascii="Arial" w:eastAsia="Calibri" w:hAnsi="Arial" w:cs="Arial"/>
        </w:rPr>
        <w:t>EDU’s Ohio statutory compliance</w:t>
      </w:r>
      <w:r w:rsidRPr="00607EB6">
        <w:rPr>
          <w:rFonts w:ascii="Arial" w:eastAsia="Calibri" w:hAnsi="Arial" w:cs="Arial"/>
        </w:rPr>
        <w:t xml:space="preserve"> obligations are completely unrelated to bidding </w:t>
      </w:r>
      <w:r>
        <w:rPr>
          <w:rFonts w:ascii="Arial" w:eastAsia="Calibri" w:hAnsi="Arial" w:cs="Arial"/>
        </w:rPr>
        <w:t xml:space="preserve">capacity-related </w:t>
      </w:r>
      <w:r w:rsidRPr="00607EB6">
        <w:rPr>
          <w:rFonts w:ascii="Arial" w:eastAsia="Calibri" w:hAnsi="Arial" w:cs="Arial"/>
        </w:rPr>
        <w:t>resources into PJM auctions.</w:t>
      </w:r>
    </w:p>
    <w:p w:rsidR="00607EB6" w:rsidRPr="00607EB6" w:rsidRDefault="00FF5EC8" w:rsidP="00FF5EC8">
      <w:pPr>
        <w:spacing w:line="480" w:lineRule="auto"/>
        <w:ind w:firstLine="720"/>
        <w:jc w:val="both"/>
        <w:rPr>
          <w:rFonts w:ascii="Arial" w:eastAsia="Calibri" w:hAnsi="Arial" w:cs="Arial"/>
        </w:rPr>
      </w:pPr>
      <w:r>
        <w:rPr>
          <w:rFonts w:ascii="Arial" w:eastAsia="Calibri" w:hAnsi="Arial" w:cs="Arial"/>
        </w:rPr>
        <w:t>As a creature of statute, the Commission can only act within the authority granted by the General Assembly</w:t>
      </w:r>
      <w:r w:rsidRPr="0058165E">
        <w:rPr>
          <w:rFonts w:ascii="Arial" w:eastAsia="Calibri" w:hAnsi="Arial" w:cs="Arial"/>
          <w:i/>
        </w:rPr>
        <w:t xml:space="preserve">.  </w:t>
      </w:r>
      <w:r w:rsidRPr="0058165E">
        <w:rPr>
          <w:rFonts w:ascii="Arial" w:eastAsiaTheme="minorHAnsi" w:hAnsi="Arial" w:cs="Arial"/>
          <w:i/>
        </w:rPr>
        <w:t>Monongahela Power Co. v. Pub. Util. Comm.</w:t>
      </w:r>
      <w:r w:rsidRPr="0058165E">
        <w:rPr>
          <w:rFonts w:ascii="Arial" w:eastAsiaTheme="minorHAnsi" w:hAnsi="Arial" w:cs="Arial"/>
        </w:rPr>
        <w:t>, 104 Ohi</w:t>
      </w:r>
      <w:r>
        <w:rPr>
          <w:rFonts w:ascii="Arial" w:eastAsiaTheme="minorHAnsi" w:hAnsi="Arial" w:cs="Arial"/>
        </w:rPr>
        <w:t>o St.3d 571, 2004-Ohio-6896 at ¶</w:t>
      </w:r>
      <w:r w:rsidRPr="0058165E">
        <w:rPr>
          <w:rFonts w:ascii="Arial" w:eastAsiaTheme="minorHAnsi" w:hAnsi="Arial" w:cs="Arial"/>
        </w:rPr>
        <w:t>26 (2004)</w:t>
      </w:r>
      <w:r>
        <w:rPr>
          <w:rFonts w:ascii="Arial" w:eastAsiaTheme="minorHAnsi" w:hAnsi="Arial" w:cs="Arial"/>
        </w:rPr>
        <w:t xml:space="preserve">.  </w:t>
      </w:r>
      <w:r w:rsidRPr="00607EB6">
        <w:rPr>
          <w:rFonts w:ascii="Arial" w:eastAsia="Calibri" w:hAnsi="Arial" w:cs="Arial"/>
        </w:rPr>
        <w:t>Because the compliance requirements contained in Section 4928.66, Re</w:t>
      </w:r>
      <w:r>
        <w:rPr>
          <w:rFonts w:ascii="Arial" w:eastAsia="Calibri" w:hAnsi="Arial" w:cs="Arial"/>
        </w:rPr>
        <w:t xml:space="preserve">vised Code, have no linkage to </w:t>
      </w:r>
      <w:r w:rsidRPr="00607EB6">
        <w:rPr>
          <w:rFonts w:ascii="Arial" w:eastAsia="Calibri" w:hAnsi="Arial" w:cs="Arial"/>
        </w:rPr>
        <w:t xml:space="preserve">PJM’s wholesale </w:t>
      </w:r>
      <w:r w:rsidRPr="00607EB6">
        <w:rPr>
          <w:rFonts w:ascii="Arial" w:eastAsia="Calibri" w:hAnsi="Arial" w:cs="Arial"/>
        </w:rPr>
        <w:lastRenderedPageBreak/>
        <w:t xml:space="preserve">capacity market, it is unlawful and unreasonable for the Opinion and Order to require mercantile customers to cede the right to bid their capacity attributes into </w:t>
      </w:r>
      <w:r>
        <w:rPr>
          <w:rFonts w:ascii="Arial" w:eastAsia="Calibri" w:hAnsi="Arial" w:cs="Arial"/>
        </w:rPr>
        <w:t xml:space="preserve">PJM’s capacity market in order </w:t>
      </w:r>
      <w:r w:rsidRPr="00607EB6">
        <w:rPr>
          <w:rFonts w:ascii="Arial" w:eastAsia="Calibri" w:hAnsi="Arial" w:cs="Arial"/>
        </w:rPr>
        <w:t>to obtain a</w:t>
      </w:r>
      <w:r>
        <w:rPr>
          <w:rFonts w:ascii="Arial" w:eastAsia="Calibri" w:hAnsi="Arial" w:cs="Arial"/>
        </w:rPr>
        <w:t>n exemption from FirstEnergy’s DSE</w:t>
      </w:r>
      <w:r w:rsidRPr="00607EB6">
        <w:rPr>
          <w:rFonts w:ascii="Arial" w:eastAsia="Calibri" w:hAnsi="Arial" w:cs="Arial"/>
        </w:rPr>
        <w:t>II Rider</w:t>
      </w:r>
      <w:r w:rsidRPr="00607EB6">
        <w:rPr>
          <w:rFonts w:ascii="Arial" w:eastAsiaTheme="minorHAnsi" w:hAnsi="Arial" w:cs="Arial"/>
        </w:rPr>
        <w:t xml:space="preserve">.  </w:t>
      </w:r>
    </w:p>
    <w:p w:rsidR="00D34096" w:rsidRPr="00246D86" w:rsidRDefault="00D34096" w:rsidP="00246D86">
      <w:pPr>
        <w:pStyle w:val="ListParagraph"/>
        <w:numPr>
          <w:ilvl w:val="0"/>
          <w:numId w:val="12"/>
        </w:numPr>
        <w:tabs>
          <w:tab w:val="left" w:pos="1080"/>
        </w:tabs>
        <w:ind w:left="1080" w:right="720"/>
        <w:jc w:val="both"/>
        <w:rPr>
          <w:rFonts w:ascii="Arial" w:hAnsi="Arial" w:cs="Arial"/>
          <w:b/>
        </w:rPr>
      </w:pPr>
      <w:r w:rsidRPr="00246D86">
        <w:rPr>
          <w:rFonts w:ascii="Arial" w:hAnsi="Arial" w:cs="Arial"/>
          <w:b/>
        </w:rPr>
        <w:t>The Opinion and Order is unlawful and unreasonable because it imposes an economic penalty on mercantile customers</w:t>
      </w:r>
      <w:r w:rsidR="00F2678D" w:rsidRPr="00246D86">
        <w:rPr>
          <w:rFonts w:ascii="Arial" w:hAnsi="Arial" w:cs="Arial"/>
          <w:b/>
        </w:rPr>
        <w:t>.  The economic penalty</w:t>
      </w:r>
      <w:r w:rsidR="00FF5EC8" w:rsidRPr="00FF5EC8">
        <w:rPr>
          <w:rFonts w:ascii="Arial" w:hAnsi="Arial" w:cs="Arial"/>
          <w:b/>
        </w:rPr>
        <w:t xml:space="preserve"> </w:t>
      </w:r>
      <w:r w:rsidR="00FF5EC8">
        <w:rPr>
          <w:rFonts w:ascii="Arial" w:hAnsi="Arial" w:cs="Arial"/>
          <w:b/>
        </w:rPr>
        <w:t>unreasonably and unlawfully</w:t>
      </w:r>
      <w:r w:rsidR="00F2678D" w:rsidRPr="00246D86">
        <w:rPr>
          <w:rFonts w:ascii="Arial" w:hAnsi="Arial" w:cs="Arial"/>
          <w:b/>
        </w:rPr>
        <w:t xml:space="preserve"> discourages mercantile customers from committing their</w:t>
      </w:r>
      <w:r w:rsidR="00393338" w:rsidRPr="00246D86">
        <w:rPr>
          <w:rFonts w:ascii="Arial" w:hAnsi="Arial" w:cs="Arial"/>
          <w:b/>
        </w:rPr>
        <w:t xml:space="preserve"> customer-sited</w:t>
      </w:r>
      <w:r w:rsidR="00F2678D" w:rsidRPr="00246D86">
        <w:rPr>
          <w:rFonts w:ascii="Arial" w:hAnsi="Arial" w:cs="Arial"/>
          <w:b/>
        </w:rPr>
        <w:t xml:space="preserve"> capabilities to FirstEnergy</w:t>
      </w:r>
    </w:p>
    <w:p w:rsidR="00096808" w:rsidRPr="00096808" w:rsidRDefault="00096808" w:rsidP="00246D86">
      <w:pPr>
        <w:pStyle w:val="ListParagraph"/>
        <w:ind w:left="1080" w:right="720"/>
        <w:jc w:val="both"/>
        <w:rPr>
          <w:rFonts w:ascii="Arial" w:hAnsi="Arial" w:cs="Arial"/>
          <w:b/>
        </w:rPr>
      </w:pPr>
    </w:p>
    <w:p w:rsidR="00FF5EC8" w:rsidRDefault="00FF5EC8" w:rsidP="00FF5EC8">
      <w:pPr>
        <w:autoSpaceDE w:val="0"/>
        <w:autoSpaceDN w:val="0"/>
        <w:adjustRightInd w:val="0"/>
        <w:spacing w:line="480" w:lineRule="auto"/>
        <w:ind w:firstLine="720"/>
        <w:jc w:val="both"/>
        <w:rPr>
          <w:rFonts w:ascii="Arial" w:hAnsi="Arial" w:cs="Arial"/>
        </w:rPr>
      </w:pPr>
      <w:r>
        <w:rPr>
          <w:rFonts w:ascii="Arial" w:hAnsi="Arial" w:cs="Arial"/>
        </w:rPr>
        <w:t>The Opinion and Order found that the Commission may require customers to cede their PJM capacity bidding rights to FirstEnergy in order to seek and obtain an exemption from the DSEII Rider because Section 4928.66, Revised Code, does not prohibit the Commission from imposing such a condition:</w:t>
      </w:r>
    </w:p>
    <w:p w:rsidR="00FF5EC8" w:rsidRDefault="00FF5EC8" w:rsidP="00FF5EC8">
      <w:pPr>
        <w:autoSpaceDE w:val="0"/>
        <w:autoSpaceDN w:val="0"/>
        <w:adjustRightInd w:val="0"/>
        <w:ind w:left="720" w:right="720"/>
        <w:jc w:val="both"/>
        <w:rPr>
          <w:rFonts w:ascii="Arial" w:hAnsi="Arial" w:cs="Arial"/>
        </w:rPr>
      </w:pPr>
      <w:r w:rsidRPr="00EA622A">
        <w:rPr>
          <w:rFonts w:ascii="Arial" w:hAnsi="Arial" w:cs="Arial"/>
        </w:rPr>
        <w:t>The Commission notes that the plain language of Section 4928.66(A)(2)(c), Revised Code, states that the Commission "may exempt" mercantile customers from the cost recovery rider for EE/PDR programs; therefore, there is no statutory prohibition against conditioning such exemption on the transfer of the energy savings attributes. Further, as noted above, bidding the energy efficiency attributes into the base residual auctions will provide funds to offset the cost of the EE/DR programs, lowering the costs for all customers, and will help reduce the cost of capacity in the Companies service territories.</w:t>
      </w:r>
      <w:r>
        <w:rPr>
          <w:rStyle w:val="FootnoteReference"/>
          <w:rFonts w:ascii="Arial" w:hAnsi="Arial" w:cs="Arial"/>
        </w:rPr>
        <w:footnoteReference w:id="25"/>
      </w:r>
      <w:r>
        <w:rPr>
          <w:rFonts w:ascii="Arial" w:hAnsi="Arial" w:cs="Arial"/>
        </w:rPr>
        <w:t xml:space="preserve"> </w:t>
      </w:r>
    </w:p>
    <w:p w:rsidR="00FF5EC8" w:rsidRDefault="00FF5EC8" w:rsidP="00FF5EC8">
      <w:pPr>
        <w:autoSpaceDE w:val="0"/>
        <w:autoSpaceDN w:val="0"/>
        <w:adjustRightInd w:val="0"/>
        <w:ind w:left="720" w:right="720"/>
        <w:jc w:val="both"/>
        <w:rPr>
          <w:rFonts w:ascii="Arial" w:hAnsi="Arial" w:cs="Arial"/>
        </w:rPr>
      </w:pPr>
    </w:p>
    <w:p w:rsidR="00FF5EC8" w:rsidRPr="00EA622A" w:rsidRDefault="00FF5EC8" w:rsidP="00FF5EC8">
      <w:pPr>
        <w:autoSpaceDE w:val="0"/>
        <w:autoSpaceDN w:val="0"/>
        <w:adjustRightInd w:val="0"/>
        <w:spacing w:line="480" w:lineRule="auto"/>
        <w:jc w:val="both"/>
        <w:rPr>
          <w:rFonts w:ascii="Arial" w:hAnsi="Arial" w:cs="Arial"/>
        </w:rPr>
      </w:pPr>
      <w:r>
        <w:rPr>
          <w:rFonts w:ascii="Arial" w:hAnsi="Arial" w:cs="Arial"/>
        </w:rPr>
        <w:t>But, Section 4928.66(A)(2)(c), Revised Code, states that the Commission may grant the requested exemption from the cost recovery mechanism if it encourages mercantile customers to commit their customer-sited capabilities</w:t>
      </w:r>
      <w:r w:rsidRPr="00EA622A">
        <w:rPr>
          <w:rFonts w:ascii="Arial" w:hAnsi="Arial" w:cs="Arial"/>
        </w:rPr>
        <w:t xml:space="preserve"> to </w:t>
      </w:r>
      <w:r>
        <w:rPr>
          <w:rFonts w:ascii="Arial" w:hAnsi="Arial" w:cs="Arial"/>
        </w:rPr>
        <w:t>an EDU</w:t>
      </w:r>
      <w:r w:rsidRPr="00EA622A">
        <w:rPr>
          <w:rFonts w:ascii="Arial" w:hAnsi="Arial" w:cs="Arial"/>
        </w:rPr>
        <w:t>:</w:t>
      </w:r>
    </w:p>
    <w:p w:rsidR="00A24533" w:rsidRDefault="00A24533" w:rsidP="00A24533">
      <w:pPr>
        <w:autoSpaceDE w:val="0"/>
        <w:autoSpaceDN w:val="0"/>
        <w:adjustRightInd w:val="0"/>
        <w:ind w:left="720" w:right="720"/>
        <w:jc w:val="both"/>
        <w:rPr>
          <w:rFonts w:ascii="Arial" w:hAnsi="Arial" w:cs="Arial"/>
          <w:b/>
          <w:i/>
        </w:rPr>
      </w:pPr>
      <w:r w:rsidRPr="00EA622A">
        <w:rPr>
          <w:rFonts w:ascii="Arial" w:hAnsi="Arial" w:cs="Arial"/>
          <w:lang w:val="en"/>
        </w:rPr>
        <w:t xml:space="preserve">Any mechanism designed to recover the cost of energy efficiency, including waste energy recovery and combined heat and power, and peak demand reduction programs under divisions (A)(1)(a) and (b) of this section </w:t>
      </w:r>
      <w:r w:rsidRPr="00EA622A">
        <w:rPr>
          <w:rFonts w:ascii="Arial" w:hAnsi="Arial" w:cs="Arial"/>
          <w:b/>
          <w:i/>
          <w:lang w:val="en"/>
        </w:rPr>
        <w:t>may exempt</w:t>
      </w:r>
      <w:r w:rsidRPr="00EA622A">
        <w:rPr>
          <w:rFonts w:ascii="Arial" w:hAnsi="Arial" w:cs="Arial"/>
          <w:lang w:val="en"/>
        </w:rPr>
        <w:t xml:space="preserve"> mercantile customers that commit their demand-response or other customer-sited capabilities</w:t>
      </w:r>
      <w:r w:rsidRPr="00EA622A">
        <w:rPr>
          <w:rFonts w:ascii="Arial" w:hAnsi="Arial" w:cs="Arial"/>
        </w:rPr>
        <w:t xml:space="preserve"> . . . </w:t>
      </w:r>
      <w:r w:rsidRPr="00EA622A">
        <w:rPr>
          <w:rFonts w:ascii="Arial" w:hAnsi="Arial" w:cs="Arial"/>
          <w:b/>
          <w:i/>
        </w:rPr>
        <w:t>if the commission determines that that exemption reasonably encourages such customers to commit those capabilities to those programs.</w:t>
      </w:r>
      <w:r w:rsidRPr="00C361A5">
        <w:rPr>
          <w:rStyle w:val="FootnoteReference"/>
          <w:rFonts w:ascii="Arial" w:hAnsi="Arial" w:cs="Arial"/>
        </w:rPr>
        <w:footnoteReference w:id="26"/>
      </w:r>
    </w:p>
    <w:p w:rsidR="00A24533" w:rsidRPr="00A24533" w:rsidRDefault="00A24533" w:rsidP="00A24533">
      <w:pPr>
        <w:autoSpaceDE w:val="0"/>
        <w:autoSpaceDN w:val="0"/>
        <w:adjustRightInd w:val="0"/>
        <w:ind w:left="720" w:right="720"/>
        <w:jc w:val="both"/>
        <w:rPr>
          <w:rFonts w:ascii="Arial" w:hAnsi="Arial" w:cs="Arial"/>
          <w:b/>
          <w:i/>
        </w:rPr>
      </w:pPr>
    </w:p>
    <w:p w:rsidR="00C61B7C" w:rsidRPr="00A24533" w:rsidRDefault="00C61B7C" w:rsidP="00C61B7C">
      <w:pPr>
        <w:spacing w:line="480" w:lineRule="auto"/>
        <w:jc w:val="both"/>
        <w:rPr>
          <w:rFonts w:ascii="Arial" w:eastAsia="Calibri" w:hAnsi="Arial"/>
        </w:rPr>
      </w:pPr>
      <w:r>
        <w:rPr>
          <w:rFonts w:ascii="Arial" w:eastAsia="Calibri" w:hAnsi="Arial"/>
        </w:rPr>
        <w:t>The Opinion and Order works to subject mercantile customers seeking an exemption from the cost recovery mechanism to an extra obligation to commit the PJM-related attributes of their customer-sited capabilities to an EDU as a condition for seeking an exemption.  The forced conveyance of these PJM-related attributes does not encourage mercantile customers to commit their customer-sited capabilities to FirstEnergy.  Rather, the Opinion and Order imposes an economic penalty on mercantile customers requesting an exemption and discourages such customers from committing their capabilities to FirstEnergy.</w:t>
      </w:r>
    </w:p>
    <w:p w:rsidR="00C61B7C" w:rsidRDefault="00C61B7C" w:rsidP="00C61B7C">
      <w:pPr>
        <w:spacing w:line="480" w:lineRule="auto"/>
        <w:ind w:firstLine="720"/>
        <w:jc w:val="both"/>
        <w:rPr>
          <w:rFonts w:ascii="Arial" w:eastAsia="Calibri" w:hAnsi="Arial"/>
        </w:rPr>
      </w:pPr>
      <w:r>
        <w:rPr>
          <w:rFonts w:ascii="Arial" w:eastAsia="Calibri" w:hAnsi="Arial"/>
        </w:rPr>
        <w:t>The Opinion and Order is unreasonable and unlawful because it effectively requires the capacity reso</w:t>
      </w:r>
      <w:r w:rsidR="00274194">
        <w:rPr>
          <w:rFonts w:ascii="Arial" w:eastAsia="Calibri" w:hAnsi="Arial"/>
        </w:rPr>
        <w:t>urce value that is produced by</w:t>
      </w:r>
      <w:r>
        <w:rPr>
          <w:rFonts w:ascii="Arial" w:eastAsia="Calibri" w:hAnsi="Arial"/>
        </w:rPr>
        <w:t xml:space="preserve"> mercantile customer</w:t>
      </w:r>
      <w:r w:rsidR="00274194">
        <w:rPr>
          <w:rFonts w:ascii="Arial" w:eastAsia="Calibri" w:hAnsi="Arial"/>
        </w:rPr>
        <w:t>s’</w:t>
      </w:r>
      <w:r>
        <w:rPr>
          <w:rFonts w:ascii="Arial" w:eastAsia="Calibri" w:hAnsi="Arial"/>
        </w:rPr>
        <w:t xml:space="preserve"> efforts to be transferred to benefit other customers some of which have or will receive incentives or point of purchase discounts rather than an exemption from the DSEII Rider.  By confiscating this value in cases</w:t>
      </w:r>
      <w:r w:rsidR="005049CE">
        <w:rPr>
          <w:rFonts w:ascii="Arial" w:eastAsia="Calibri" w:hAnsi="Arial"/>
        </w:rPr>
        <w:t xml:space="preserve"> where the mercantile customers</w:t>
      </w:r>
      <w:r>
        <w:rPr>
          <w:rFonts w:ascii="Arial" w:eastAsia="Calibri" w:hAnsi="Arial"/>
        </w:rPr>
        <w:t xml:space="preserve"> seek an exemption and then using the value to reduce compliance costs payable by non-exempt customers, the Opinion and Order imposes an unreasonable burden and prejudice on the right of mercantile customers to seek an exemption from the rider.</w:t>
      </w:r>
    </w:p>
    <w:p w:rsidR="00A24533" w:rsidRDefault="00A24533" w:rsidP="00A24533">
      <w:pPr>
        <w:spacing w:line="480" w:lineRule="auto"/>
        <w:ind w:firstLine="720"/>
        <w:jc w:val="both"/>
        <w:rPr>
          <w:rFonts w:ascii="Arial" w:eastAsia="Calibri" w:hAnsi="Arial"/>
        </w:rPr>
      </w:pPr>
      <w:r>
        <w:rPr>
          <w:rFonts w:ascii="Arial" w:eastAsia="Calibri" w:hAnsi="Arial"/>
        </w:rPr>
        <w:t xml:space="preserve">In </w:t>
      </w:r>
      <w:r>
        <w:rPr>
          <w:rFonts w:ascii="Arial" w:eastAsia="Calibri" w:hAnsi="Arial"/>
          <w:i/>
        </w:rPr>
        <w:t>Ohio Manufacturers’ Association v. Pub. Util. Comm.</w:t>
      </w:r>
      <w:r>
        <w:rPr>
          <w:rFonts w:ascii="Arial" w:eastAsia="Calibri" w:hAnsi="Arial"/>
        </w:rPr>
        <w:t xml:space="preserve">, 46 Ohio St.2d 214, 216-217 (1976), the Supreme Court of Ohio held that the Commission cannot impose an economic penalty on consumers because “the General Assembly has granted no such power to the commission for the regulation of </w:t>
      </w:r>
      <w:r>
        <w:rPr>
          <w:rFonts w:ascii="Arial" w:eastAsia="Calibri" w:hAnsi="Arial"/>
          <w:i/>
        </w:rPr>
        <w:t>consumers</w:t>
      </w:r>
      <w:r>
        <w:rPr>
          <w:rFonts w:ascii="Arial" w:eastAsia="Calibri" w:hAnsi="Arial"/>
        </w:rPr>
        <w:t xml:space="preserve">.”  </w:t>
      </w:r>
      <w:r>
        <w:rPr>
          <w:rFonts w:ascii="Arial" w:eastAsia="Calibri" w:hAnsi="Arial"/>
          <w:i/>
        </w:rPr>
        <w:t xml:space="preserve">Id. </w:t>
      </w:r>
      <w:r>
        <w:rPr>
          <w:rFonts w:ascii="Arial" w:eastAsia="Calibri" w:hAnsi="Arial"/>
        </w:rPr>
        <w:t>at 217.  Section 4928.66, Revised Code, did not change this fact and empower the Commission with the statutory authority to impose economic penalties on consumers.  Therefore, the Opinion and Order is unlawful and unreasonable.</w:t>
      </w:r>
    </w:p>
    <w:p w:rsidR="00C61B7C" w:rsidRPr="00FE61BE" w:rsidRDefault="00C61B7C" w:rsidP="00C61B7C">
      <w:pPr>
        <w:autoSpaceDE w:val="0"/>
        <w:autoSpaceDN w:val="0"/>
        <w:adjustRightInd w:val="0"/>
        <w:spacing w:line="480" w:lineRule="auto"/>
        <w:ind w:firstLine="720"/>
        <w:jc w:val="both"/>
        <w:rPr>
          <w:rFonts w:ascii="Arial" w:hAnsi="Arial" w:cs="Arial"/>
        </w:rPr>
      </w:pPr>
      <w:r>
        <w:rPr>
          <w:rFonts w:ascii="Arial" w:eastAsia="Calibri" w:hAnsi="Arial"/>
        </w:rPr>
        <w:lastRenderedPageBreak/>
        <w:t xml:space="preserve">Moreover, the economic penalty imposed by the Opinion and Order will discourage mercantile customers from seeking an exemption from the DSEII Rider.  </w:t>
      </w:r>
      <w:r w:rsidRPr="00EA622A">
        <w:rPr>
          <w:rFonts w:ascii="Arial" w:hAnsi="Arial" w:cs="Arial"/>
        </w:rPr>
        <w:t xml:space="preserve">FirstEnergy witness Dargie </w:t>
      </w:r>
      <w:r>
        <w:rPr>
          <w:rFonts w:ascii="Arial" w:hAnsi="Arial" w:cs="Arial"/>
        </w:rPr>
        <w:t xml:space="preserve">testified </w:t>
      </w:r>
      <w:r w:rsidRPr="00EA622A">
        <w:rPr>
          <w:rFonts w:ascii="Arial" w:hAnsi="Arial" w:cs="Arial"/>
        </w:rPr>
        <w:t xml:space="preserve">that mercantile customers will be less likely to commit their </w:t>
      </w:r>
      <w:r>
        <w:rPr>
          <w:rFonts w:ascii="Arial" w:hAnsi="Arial" w:cs="Arial"/>
        </w:rPr>
        <w:t xml:space="preserve">EE/PDR </w:t>
      </w:r>
      <w:r w:rsidRPr="00EA622A">
        <w:rPr>
          <w:rFonts w:ascii="Arial" w:hAnsi="Arial" w:cs="Arial"/>
        </w:rPr>
        <w:t xml:space="preserve">capabilities </w:t>
      </w:r>
      <w:r>
        <w:rPr>
          <w:rFonts w:ascii="Arial" w:hAnsi="Arial" w:cs="Arial"/>
        </w:rPr>
        <w:t xml:space="preserve">to FirstEnergy </w:t>
      </w:r>
      <w:r w:rsidRPr="00EA622A">
        <w:rPr>
          <w:rFonts w:ascii="Arial" w:hAnsi="Arial" w:cs="Arial"/>
        </w:rPr>
        <w:t>if they do not retain PJM bidding rights</w:t>
      </w:r>
      <w:r>
        <w:rPr>
          <w:rFonts w:ascii="Arial" w:hAnsi="Arial" w:cs="Arial"/>
        </w:rPr>
        <w:t xml:space="preserve">.  In fact, FirstEnergy witness Dargie </w:t>
      </w:r>
      <w:r>
        <w:rPr>
          <w:rFonts w:ascii="Arial" w:eastAsia="Calibri" w:hAnsi="Arial" w:cs="Arial"/>
        </w:rPr>
        <w:t xml:space="preserve">testified that if “customers desire to retain ownership of these credits, and therefore are prohibited from participating in EE programs based upon the Commission’s directive, we believe that compliance with the statutory benchmarks may be jeopardized.”  FirstEnergy Ex. 1 at 18.  </w:t>
      </w:r>
      <w:r w:rsidRPr="00EA622A">
        <w:rPr>
          <w:rFonts w:ascii="Arial" w:hAnsi="Arial" w:cs="Arial"/>
        </w:rPr>
        <w:t xml:space="preserve">No party </w:t>
      </w:r>
      <w:r>
        <w:rPr>
          <w:rFonts w:ascii="Arial" w:hAnsi="Arial" w:cs="Arial"/>
        </w:rPr>
        <w:t xml:space="preserve">disputed or even disagreed with witness </w:t>
      </w:r>
      <w:r w:rsidRPr="00EA622A">
        <w:rPr>
          <w:rFonts w:ascii="Arial" w:hAnsi="Arial" w:cs="Arial"/>
        </w:rPr>
        <w:t xml:space="preserve">Dargie’s </w:t>
      </w:r>
      <w:r>
        <w:rPr>
          <w:rFonts w:ascii="Arial" w:hAnsi="Arial" w:cs="Arial"/>
        </w:rPr>
        <w:t xml:space="preserve">testimony; </w:t>
      </w:r>
      <w:r w:rsidRPr="00EA622A">
        <w:rPr>
          <w:rFonts w:ascii="Arial" w:hAnsi="Arial" w:cs="Arial"/>
        </w:rPr>
        <w:t xml:space="preserve">thus, the record </w:t>
      </w:r>
      <w:r>
        <w:rPr>
          <w:rFonts w:ascii="Arial" w:hAnsi="Arial" w:cs="Arial"/>
        </w:rPr>
        <w:t xml:space="preserve">in this proceeding contains no evidence that imposing a requirement that mercantile customers cede the rights to bid their capacity-related attributes into PJM’s capacity markets will “reasonably encourage” the customer </w:t>
      </w:r>
      <w:r w:rsidR="00274194">
        <w:rPr>
          <w:rFonts w:ascii="Arial" w:hAnsi="Arial" w:cs="Arial"/>
        </w:rPr>
        <w:t>to commit</w:t>
      </w:r>
      <w:r w:rsidRPr="00EA622A">
        <w:rPr>
          <w:rFonts w:ascii="Arial" w:hAnsi="Arial" w:cs="Arial"/>
        </w:rPr>
        <w:t xml:space="preserve"> their energy efficiency capabilities to FirstEnergy.</w:t>
      </w:r>
      <w:r>
        <w:rPr>
          <w:rFonts w:ascii="Arial" w:hAnsi="Arial" w:cs="Arial"/>
        </w:rPr>
        <w:t xml:space="preserve">  Therefore, the Opinion and Order is unlawful and unreasonable because it imposes, as a condition for seeking an exemption from the cost recovery mechanism, an economic penalty on customers.  This penalty </w:t>
      </w:r>
      <w:r w:rsidR="00274194">
        <w:rPr>
          <w:rFonts w:ascii="Arial" w:hAnsi="Arial" w:cs="Arial"/>
        </w:rPr>
        <w:t xml:space="preserve">unlawfully and </w:t>
      </w:r>
      <w:r>
        <w:rPr>
          <w:rFonts w:ascii="Arial" w:hAnsi="Arial" w:cs="Arial"/>
        </w:rPr>
        <w:t>unreasonably discourages customers from committing their energy efficiency capabilities to FirstEnergy in exchange for receiving an exemption from the DSEII Rider.</w:t>
      </w:r>
    </w:p>
    <w:p w:rsidR="00FE61BE" w:rsidRPr="00D41686" w:rsidRDefault="00FE61BE" w:rsidP="00D41686">
      <w:pPr>
        <w:pStyle w:val="ListParagraph"/>
        <w:numPr>
          <w:ilvl w:val="0"/>
          <w:numId w:val="12"/>
        </w:numPr>
        <w:tabs>
          <w:tab w:val="left" w:pos="8730"/>
        </w:tabs>
        <w:ind w:left="1080" w:right="720"/>
        <w:jc w:val="both"/>
        <w:rPr>
          <w:rFonts w:ascii="Arial" w:eastAsia="Calibri" w:hAnsi="Arial"/>
        </w:rPr>
      </w:pPr>
      <w:r w:rsidRPr="00D41686">
        <w:rPr>
          <w:rFonts w:ascii="Arial" w:hAnsi="Arial" w:cs="Arial"/>
          <w:b/>
        </w:rPr>
        <w:t>The Opinion and Order is unlawful and unreasonable because it violates cost causation regu</w:t>
      </w:r>
      <w:r w:rsidR="000157D9">
        <w:rPr>
          <w:rFonts w:ascii="Arial" w:hAnsi="Arial" w:cs="Arial"/>
          <w:b/>
        </w:rPr>
        <w:t>latory practices and principles</w:t>
      </w:r>
      <w:r w:rsidRPr="00D41686">
        <w:rPr>
          <w:rFonts w:ascii="Arial" w:hAnsi="Arial" w:cs="Arial"/>
          <w:b/>
        </w:rPr>
        <w:t xml:space="preserve"> </w:t>
      </w:r>
    </w:p>
    <w:p w:rsidR="00FE61BE" w:rsidRPr="00B44037" w:rsidRDefault="00FE61BE" w:rsidP="00FE61BE">
      <w:pPr>
        <w:pStyle w:val="ListParagraph"/>
        <w:ind w:left="1080" w:right="720"/>
        <w:jc w:val="both"/>
        <w:rPr>
          <w:rFonts w:ascii="Arial" w:hAnsi="Arial" w:cs="Arial"/>
          <w:b/>
        </w:rPr>
      </w:pPr>
    </w:p>
    <w:p w:rsidR="00C61B7C" w:rsidRDefault="00C61B7C" w:rsidP="00C61B7C">
      <w:pPr>
        <w:spacing w:line="480" w:lineRule="auto"/>
        <w:ind w:firstLine="720"/>
        <w:jc w:val="both"/>
        <w:rPr>
          <w:rFonts w:ascii="Arial" w:eastAsia="Calibri" w:hAnsi="Arial"/>
        </w:rPr>
      </w:pPr>
      <w:r>
        <w:rPr>
          <w:rFonts w:ascii="Arial" w:eastAsia="Calibri" w:hAnsi="Arial"/>
        </w:rPr>
        <w:t xml:space="preserve">The Opinion and Order imposes two conditions on mercantile customers that must be satisfied to obtain an exemption from the DSEII Rider:  a customer must commit to FirstEnergy its customer-sited energy efficiency capabilities that result from a customer’s </w:t>
      </w:r>
      <w:r w:rsidR="005049CE">
        <w:rPr>
          <w:rFonts w:ascii="Arial" w:eastAsia="Calibri" w:hAnsi="Arial"/>
        </w:rPr>
        <w:t>self-funded project, and</w:t>
      </w:r>
      <w:r>
        <w:rPr>
          <w:rFonts w:ascii="Arial" w:eastAsia="Calibri" w:hAnsi="Arial"/>
        </w:rPr>
        <w:t xml:space="preserve"> the customer must cede to FirstEnergy the right to bid any associated PJM-related capacity attributes into PJM’s periodic capacity </w:t>
      </w:r>
      <w:r>
        <w:rPr>
          <w:rFonts w:ascii="Arial" w:eastAsia="Calibri" w:hAnsi="Arial"/>
        </w:rPr>
        <w:lastRenderedPageBreak/>
        <w:t>auctions.  The Opinion and Order is unlawful and unreasonable because it violates cost causation regulatory practices and principles.  More specifically, the Opinion and Order is unreasonable and unlawful because it effectively requires the capacity resource value tha</w:t>
      </w:r>
      <w:r w:rsidR="00274194">
        <w:rPr>
          <w:rFonts w:ascii="Arial" w:eastAsia="Calibri" w:hAnsi="Arial"/>
        </w:rPr>
        <w:t xml:space="preserve">t is produced by </w:t>
      </w:r>
      <w:r>
        <w:rPr>
          <w:rFonts w:ascii="Arial" w:eastAsia="Calibri" w:hAnsi="Arial"/>
        </w:rPr>
        <w:t>mercantile customers’ efforts to be transferred to benefit other customers some of which have received or will receive incentives or point of purchase discounts rather than an exemption from the DSEII Rider.  By confiscating this value in cases</w:t>
      </w:r>
      <w:r w:rsidR="00274194">
        <w:rPr>
          <w:rFonts w:ascii="Arial" w:eastAsia="Calibri" w:hAnsi="Arial"/>
        </w:rPr>
        <w:t xml:space="preserve"> where the mercantile customers</w:t>
      </w:r>
      <w:r>
        <w:rPr>
          <w:rFonts w:ascii="Arial" w:eastAsia="Calibri" w:hAnsi="Arial"/>
        </w:rPr>
        <w:t xml:space="preserve"> seek an exemption and then using the value to reduce compliance costs payable by non-exempt customers, the Opinion and Order imposes an unreasonable burden and prejudice on the right of mercantile customers to seek an exemption from the rider.</w:t>
      </w:r>
    </w:p>
    <w:p w:rsidR="00C61B7C" w:rsidRDefault="00C61B7C" w:rsidP="00C61B7C">
      <w:pPr>
        <w:spacing w:line="480" w:lineRule="auto"/>
        <w:ind w:firstLine="720"/>
        <w:jc w:val="both"/>
        <w:rPr>
          <w:rFonts w:ascii="Arial" w:eastAsia="Calibri" w:hAnsi="Arial"/>
        </w:rPr>
      </w:pPr>
      <w:r>
        <w:rPr>
          <w:rFonts w:ascii="Arial" w:eastAsia="Calibri" w:hAnsi="Arial"/>
        </w:rPr>
        <w:t xml:space="preserve">Principles of cost causation require that costs be assigned to the cost causer.  </w:t>
      </w:r>
      <w:r>
        <w:rPr>
          <w:rFonts w:ascii="Arial" w:eastAsia="Calibri" w:hAnsi="Arial"/>
          <w:i/>
        </w:rPr>
        <w:t xml:space="preserve">See generally </w:t>
      </w:r>
      <w:r>
        <w:rPr>
          <w:rFonts w:ascii="Arial" w:eastAsia="Calibri" w:hAnsi="Arial"/>
        </w:rPr>
        <w:t xml:space="preserve">Tr. Vol. II at 265. </w:t>
      </w:r>
      <w:r w:rsidRPr="00DD680A">
        <w:rPr>
          <w:rFonts w:ascii="Arial" w:eastAsia="Calibri" w:hAnsi="Arial"/>
        </w:rPr>
        <w:t xml:space="preserve"> </w:t>
      </w:r>
      <w:r>
        <w:rPr>
          <w:rFonts w:ascii="Arial" w:eastAsia="Calibri" w:hAnsi="Arial"/>
        </w:rPr>
        <w:t xml:space="preserve">The DSEII Rider is a charge to recover compliance costs—it is a cost-based charge to which principles of cost causation apply.  A legion of Commission and Supreme Court of Ohio cases hold that charges that are established based on costs must be designed and collected consistent with principles of cost causation.  </w:t>
      </w:r>
      <w:r>
        <w:rPr>
          <w:rFonts w:ascii="Arial" w:eastAsia="Calibri" w:hAnsi="Arial"/>
          <w:i/>
        </w:rPr>
        <w:t>Meyers v. Pub. Util. Comm.</w:t>
      </w:r>
      <w:r>
        <w:rPr>
          <w:rFonts w:ascii="Arial" w:eastAsia="Calibri" w:hAnsi="Arial"/>
        </w:rPr>
        <w:t>, 64 Ohio St. 2d 299, 302 (1992);</w:t>
      </w:r>
      <w:r>
        <w:rPr>
          <w:rFonts w:ascii="Arial" w:eastAsia="Calibri" w:hAnsi="Arial"/>
          <w:i/>
        </w:rPr>
        <w:t xml:space="preserve"> Canton v. Pub. Util. Comm.</w:t>
      </w:r>
      <w:r>
        <w:rPr>
          <w:rFonts w:ascii="Arial" w:eastAsia="Calibri" w:hAnsi="Arial"/>
        </w:rPr>
        <w:t xml:space="preserve">, 63 Ohio St. 2d 76, 81 (1980); </w:t>
      </w:r>
      <w:r w:rsidRPr="00E2135B">
        <w:rPr>
          <w:rFonts w:ascii="Arial" w:eastAsia="Calibri" w:hAnsi="Arial"/>
          <w:i/>
        </w:rPr>
        <w:t>In t</w:t>
      </w:r>
      <w:r>
        <w:rPr>
          <w:rFonts w:ascii="Arial" w:eastAsia="Calibri" w:hAnsi="Arial"/>
          <w:i/>
        </w:rPr>
        <w:t xml:space="preserve">he Matter of the Application of </w:t>
      </w:r>
      <w:r w:rsidRPr="00E2135B">
        <w:rPr>
          <w:rFonts w:ascii="Arial" w:eastAsia="Calibri" w:hAnsi="Arial"/>
          <w:i/>
        </w:rPr>
        <w:t>Colu</w:t>
      </w:r>
      <w:r>
        <w:rPr>
          <w:rFonts w:ascii="Arial" w:eastAsia="Calibri" w:hAnsi="Arial"/>
          <w:i/>
        </w:rPr>
        <w:t xml:space="preserve">mbus Southern Power Company and </w:t>
      </w:r>
      <w:r w:rsidRPr="00E2135B">
        <w:rPr>
          <w:rFonts w:ascii="Arial" w:eastAsia="Calibri" w:hAnsi="Arial"/>
          <w:i/>
        </w:rPr>
        <w:t>Ohio</w:t>
      </w:r>
      <w:r>
        <w:rPr>
          <w:rFonts w:ascii="Arial" w:eastAsia="Calibri" w:hAnsi="Arial"/>
          <w:i/>
        </w:rPr>
        <w:t xml:space="preserve"> Power Company for Authority to </w:t>
      </w:r>
      <w:r w:rsidRPr="00E2135B">
        <w:rPr>
          <w:rFonts w:ascii="Arial" w:eastAsia="Calibri" w:hAnsi="Arial"/>
          <w:i/>
        </w:rPr>
        <w:t xml:space="preserve">Establish a </w:t>
      </w:r>
      <w:r>
        <w:rPr>
          <w:rFonts w:ascii="Arial" w:eastAsia="Calibri" w:hAnsi="Arial"/>
          <w:i/>
        </w:rPr>
        <w:t xml:space="preserve">Standard Service Offer Pursuant </w:t>
      </w:r>
      <w:r w:rsidRPr="00E2135B">
        <w:rPr>
          <w:rFonts w:ascii="Arial" w:eastAsia="Calibri" w:hAnsi="Arial"/>
          <w:i/>
        </w:rPr>
        <w:t>to Section</w:t>
      </w:r>
      <w:r>
        <w:rPr>
          <w:rFonts w:ascii="Arial" w:eastAsia="Calibri" w:hAnsi="Arial"/>
          <w:i/>
        </w:rPr>
        <w:t xml:space="preserve"> 4928.143, Revised Code, in the </w:t>
      </w:r>
      <w:r w:rsidRPr="00E2135B">
        <w:rPr>
          <w:rFonts w:ascii="Arial" w:eastAsia="Calibri" w:hAnsi="Arial"/>
          <w:i/>
        </w:rPr>
        <w:t>Form of an Electric Security Plan</w:t>
      </w:r>
      <w:r>
        <w:rPr>
          <w:rFonts w:ascii="Arial" w:eastAsia="Calibri" w:hAnsi="Arial"/>
        </w:rPr>
        <w:t xml:space="preserve">, Case Nos. 11-346-EL-SSO, </w:t>
      </w:r>
      <w:r>
        <w:rPr>
          <w:rFonts w:ascii="Arial" w:eastAsia="Calibri" w:hAnsi="Arial"/>
          <w:i/>
        </w:rPr>
        <w:t>et al.</w:t>
      </w:r>
      <w:r>
        <w:rPr>
          <w:rFonts w:ascii="Arial" w:eastAsia="Calibri" w:hAnsi="Arial"/>
        </w:rPr>
        <w:t>,</w:t>
      </w:r>
      <w:r>
        <w:rPr>
          <w:rFonts w:ascii="Arial" w:eastAsia="Calibri" w:hAnsi="Arial"/>
          <w:i/>
        </w:rPr>
        <w:t xml:space="preserve"> </w:t>
      </w:r>
      <w:r>
        <w:rPr>
          <w:rFonts w:ascii="Arial" w:eastAsia="Calibri" w:hAnsi="Arial"/>
        </w:rPr>
        <w:t>Opinion and Order at 55 (Aug. 8, 2012) (holding that “[t]</w:t>
      </w:r>
      <w:r w:rsidRPr="00DB76C1">
        <w:rPr>
          <w:rFonts w:ascii="Arial" w:eastAsia="Calibri" w:hAnsi="Arial"/>
        </w:rPr>
        <w:t>he PIRR balan</w:t>
      </w:r>
      <w:r>
        <w:rPr>
          <w:rFonts w:ascii="Arial" w:eastAsia="Calibri" w:hAnsi="Arial"/>
        </w:rPr>
        <w:t xml:space="preserve">ce was incurred primarily by OP </w:t>
      </w:r>
      <w:r w:rsidRPr="00DB76C1">
        <w:rPr>
          <w:rFonts w:ascii="Arial" w:eastAsia="Calibri" w:hAnsi="Arial"/>
        </w:rPr>
        <w:t xml:space="preserve">customers, and </w:t>
      </w:r>
      <w:r w:rsidRPr="00DB76C1">
        <w:rPr>
          <w:rFonts w:ascii="Arial" w:eastAsia="Calibri" w:hAnsi="Arial"/>
          <w:i/>
        </w:rPr>
        <w:t xml:space="preserve">according to cost </w:t>
      </w:r>
      <w:r w:rsidRPr="00DB76C1">
        <w:rPr>
          <w:rFonts w:ascii="Arial" w:eastAsia="Calibri" w:hAnsi="Arial"/>
        </w:rPr>
        <w:t>causation principles, the recovery of the balance should</w:t>
      </w:r>
      <w:r>
        <w:rPr>
          <w:rFonts w:ascii="Arial" w:eastAsia="Calibri" w:hAnsi="Arial"/>
        </w:rPr>
        <w:t xml:space="preserve"> </w:t>
      </w:r>
      <w:r w:rsidRPr="00DB76C1">
        <w:rPr>
          <w:rFonts w:ascii="Arial" w:eastAsia="Calibri" w:hAnsi="Arial"/>
        </w:rPr>
        <w:t>be from OP customers</w:t>
      </w:r>
      <w:r>
        <w:rPr>
          <w:rFonts w:ascii="Arial" w:eastAsia="Calibri" w:hAnsi="Arial"/>
        </w:rPr>
        <w:t xml:space="preserve">.”); </w:t>
      </w:r>
      <w:r w:rsidRPr="007A75FF">
        <w:rPr>
          <w:rFonts w:ascii="Arial" w:eastAsia="Calibri" w:hAnsi="Arial"/>
          <w:i/>
        </w:rPr>
        <w:t xml:space="preserve">In the Matter of the Application of Columbus Southern Power Company </w:t>
      </w:r>
      <w:r w:rsidRPr="007A75FF">
        <w:rPr>
          <w:rFonts w:ascii="Arial" w:eastAsia="Calibri" w:hAnsi="Arial"/>
          <w:i/>
        </w:rPr>
        <w:lastRenderedPageBreak/>
        <w:t>and Ohio Power Company</w:t>
      </w:r>
      <w:r>
        <w:rPr>
          <w:rFonts w:ascii="Arial" w:eastAsia="Calibri" w:hAnsi="Arial"/>
          <w:i/>
        </w:rPr>
        <w:t xml:space="preserve">, </w:t>
      </w:r>
      <w:r w:rsidRPr="007A75FF">
        <w:rPr>
          <w:rFonts w:ascii="Arial" w:eastAsia="Calibri" w:hAnsi="Arial"/>
          <w:i/>
        </w:rPr>
        <w:t>Individually and, if Their Proposed Merger is Approved, as a Merged Company (collectively</w:t>
      </w:r>
      <w:r>
        <w:rPr>
          <w:rFonts w:ascii="Arial" w:eastAsia="Calibri" w:hAnsi="Arial"/>
          <w:i/>
        </w:rPr>
        <w:t>,</w:t>
      </w:r>
      <w:r w:rsidRPr="007A75FF">
        <w:rPr>
          <w:rFonts w:ascii="Arial" w:eastAsia="Calibri" w:hAnsi="Arial"/>
          <w:i/>
        </w:rPr>
        <w:t xml:space="preserve"> AEP Ohio) for an Increase</w:t>
      </w:r>
      <w:r>
        <w:rPr>
          <w:rFonts w:ascii="Arial" w:eastAsia="Calibri" w:hAnsi="Arial"/>
          <w:i/>
        </w:rPr>
        <w:t xml:space="preserve"> in Electric Distribution Rates</w:t>
      </w:r>
      <w:r>
        <w:rPr>
          <w:rFonts w:ascii="Arial" w:eastAsia="Calibri" w:hAnsi="Arial"/>
        </w:rPr>
        <w:t xml:space="preserve">, Case Nos. 11-351-EL-AIR, </w:t>
      </w:r>
      <w:r>
        <w:rPr>
          <w:rFonts w:ascii="Arial" w:eastAsia="Calibri" w:hAnsi="Arial"/>
          <w:i/>
        </w:rPr>
        <w:t>et al.,</w:t>
      </w:r>
      <w:r>
        <w:rPr>
          <w:rFonts w:ascii="Arial" w:eastAsia="Calibri" w:hAnsi="Arial"/>
        </w:rPr>
        <w:t xml:space="preserve"> Entry On Rehearing at </w:t>
      </w:r>
      <w:r>
        <w:rPr>
          <w:rFonts w:ascii="Arial" w:eastAsia="Calibri" w:hAnsi="Arial" w:cs="Arial"/>
        </w:rPr>
        <w:t>¶</w:t>
      </w:r>
      <w:r>
        <w:rPr>
          <w:rFonts w:ascii="Arial" w:eastAsia="Calibri" w:hAnsi="Arial"/>
        </w:rPr>
        <w:t xml:space="preserve">14 (Feb. 14, 2012); </w:t>
      </w:r>
      <w:r w:rsidRPr="00D04D03">
        <w:rPr>
          <w:rFonts w:ascii="Arial" w:eastAsia="Calibri" w:hAnsi="Arial"/>
          <w:i/>
        </w:rPr>
        <w:t>In the Matter of the Application of Ohio Edison Company, The Cleveland Electric Illuminating Company and The Toledo Edison Company for Authority to Increase Rates for Distribution Service, Modify Certain Accounting Pra</w:t>
      </w:r>
      <w:r>
        <w:rPr>
          <w:rFonts w:ascii="Arial" w:eastAsia="Calibri" w:hAnsi="Arial"/>
          <w:i/>
        </w:rPr>
        <w:t>ctices and for Tariff Approvals</w:t>
      </w:r>
      <w:r>
        <w:rPr>
          <w:rFonts w:ascii="Arial" w:eastAsia="Calibri" w:hAnsi="Arial"/>
        </w:rPr>
        <w:t xml:space="preserve">, Case               Nos. 07-551-EL-AIR, </w:t>
      </w:r>
      <w:r>
        <w:rPr>
          <w:rFonts w:ascii="Arial" w:eastAsia="Calibri" w:hAnsi="Arial"/>
          <w:i/>
        </w:rPr>
        <w:t>et al.</w:t>
      </w:r>
      <w:r>
        <w:rPr>
          <w:rFonts w:ascii="Arial" w:eastAsia="Calibri" w:hAnsi="Arial"/>
        </w:rPr>
        <w:t xml:space="preserve">, Entry on Rehearing at </w:t>
      </w:r>
      <w:r>
        <w:rPr>
          <w:rFonts w:ascii="Arial" w:eastAsia="Calibri" w:hAnsi="Arial" w:cs="Arial"/>
        </w:rPr>
        <w:t>¶</w:t>
      </w:r>
      <w:r>
        <w:rPr>
          <w:rFonts w:ascii="Arial" w:eastAsia="Calibri" w:hAnsi="Arial"/>
        </w:rPr>
        <w:t>17 (Feb. 2, 2011).</w:t>
      </w:r>
      <w:r w:rsidRPr="00D04D03">
        <w:rPr>
          <w:rFonts w:ascii="Arial" w:eastAsia="Calibri" w:hAnsi="Arial"/>
        </w:rPr>
        <w:t xml:space="preserve"> </w:t>
      </w:r>
    </w:p>
    <w:p w:rsidR="00C61B7C" w:rsidRPr="00C61B7C" w:rsidRDefault="00C61B7C" w:rsidP="00C61B7C">
      <w:pPr>
        <w:spacing w:line="480" w:lineRule="auto"/>
        <w:ind w:firstLine="720"/>
        <w:jc w:val="both"/>
        <w:rPr>
          <w:rFonts w:ascii="Arial" w:eastAsia="Calibri" w:hAnsi="Arial"/>
        </w:rPr>
      </w:pPr>
      <w:r w:rsidRPr="00C61B7C">
        <w:rPr>
          <w:rFonts w:ascii="Arial" w:eastAsia="Calibri" w:hAnsi="Arial"/>
        </w:rPr>
        <w:t>The Opinion and Order requires mercantile customers to cede their PJM bidding rights to FirstEnergy and forfeit value the mercantile customer could otherwise receive by directly bidding their capacity resources into PJM’s capacity markets.  The Opinion and Order directs FirstEnergy to flow any revenue it receives from PJM associated with bidding a mercantile customer’s capacity attributes into PJM’s capacity market to reduce the compliance cost that is otherwise recoverable from customers—including customers that receive rebates and participate in point of purchase programs—subject to the DSEII Rider.</w:t>
      </w:r>
      <w:r w:rsidRPr="00C61B7C">
        <w:rPr>
          <w:rFonts w:ascii="Arial" w:eastAsia="Calibri" w:hAnsi="Arial"/>
          <w:vertAlign w:val="superscript"/>
        </w:rPr>
        <w:footnoteReference w:id="27"/>
      </w:r>
      <w:r w:rsidRPr="00C61B7C">
        <w:rPr>
          <w:rFonts w:ascii="Arial" w:eastAsia="Calibri" w:hAnsi="Arial"/>
        </w:rPr>
        <w:t xml:space="preserve">  This result is inconsistent with the principles of cost causation and is otherwise unreasonable and unlawful.  </w:t>
      </w:r>
    </w:p>
    <w:p w:rsidR="001C4DDB" w:rsidRPr="00D41686" w:rsidRDefault="001C4DDB" w:rsidP="00250BFB">
      <w:pPr>
        <w:pStyle w:val="ListParagraph"/>
        <w:numPr>
          <w:ilvl w:val="0"/>
          <w:numId w:val="11"/>
        </w:numPr>
        <w:autoSpaceDE w:val="0"/>
        <w:autoSpaceDN w:val="0"/>
        <w:adjustRightInd w:val="0"/>
        <w:spacing w:before="120" w:line="480" w:lineRule="auto"/>
        <w:ind w:left="630" w:hanging="630"/>
        <w:jc w:val="both"/>
        <w:rPr>
          <w:rFonts w:ascii="Arial" w:hAnsi="Arial" w:cs="Arial"/>
          <w:b/>
          <w:caps/>
        </w:rPr>
      </w:pPr>
      <w:r w:rsidRPr="00D41686">
        <w:rPr>
          <w:rFonts w:ascii="Arial" w:hAnsi="Arial" w:cs="Arial"/>
          <w:b/>
          <w:caps/>
        </w:rPr>
        <w:t>Conclusion</w:t>
      </w:r>
    </w:p>
    <w:p w:rsidR="001C4DDB" w:rsidRPr="001C4DDB" w:rsidRDefault="001C4DDB" w:rsidP="00442C63">
      <w:pPr>
        <w:autoSpaceDE w:val="0"/>
        <w:autoSpaceDN w:val="0"/>
        <w:adjustRightInd w:val="0"/>
        <w:spacing w:line="480" w:lineRule="auto"/>
        <w:ind w:firstLine="720"/>
        <w:jc w:val="both"/>
        <w:rPr>
          <w:rFonts w:ascii="Arial" w:hAnsi="Arial" w:cs="Arial"/>
        </w:rPr>
      </w:pPr>
      <w:r>
        <w:rPr>
          <w:rFonts w:ascii="Arial" w:hAnsi="Arial" w:cs="Arial"/>
        </w:rPr>
        <w:t>For the reasons stated herein, IEU-Ohio respectfully requests that the Commission grant</w:t>
      </w:r>
      <w:r w:rsidR="00F2678D">
        <w:rPr>
          <w:rFonts w:ascii="Arial" w:hAnsi="Arial" w:cs="Arial"/>
        </w:rPr>
        <w:t xml:space="preserve"> </w:t>
      </w:r>
      <w:r>
        <w:rPr>
          <w:rFonts w:ascii="Arial" w:hAnsi="Arial" w:cs="Arial"/>
        </w:rPr>
        <w:t xml:space="preserve">this </w:t>
      </w:r>
      <w:r w:rsidR="00250BFB">
        <w:rPr>
          <w:rFonts w:ascii="Arial" w:hAnsi="Arial" w:cs="Arial"/>
        </w:rPr>
        <w:t>A</w:t>
      </w:r>
      <w:r>
        <w:rPr>
          <w:rFonts w:ascii="Arial" w:hAnsi="Arial" w:cs="Arial"/>
        </w:rPr>
        <w:t xml:space="preserve">pplication for </w:t>
      </w:r>
      <w:r w:rsidR="00250BFB">
        <w:rPr>
          <w:rFonts w:ascii="Arial" w:hAnsi="Arial" w:cs="Arial"/>
        </w:rPr>
        <w:t>R</w:t>
      </w:r>
      <w:r>
        <w:rPr>
          <w:rFonts w:ascii="Arial" w:hAnsi="Arial" w:cs="Arial"/>
        </w:rPr>
        <w:t>ehearing and reverse its determination that</w:t>
      </w:r>
      <w:r w:rsidR="003C1861">
        <w:rPr>
          <w:rFonts w:ascii="Arial" w:hAnsi="Arial" w:cs="Arial"/>
        </w:rPr>
        <w:t xml:space="preserve"> in order to obtain an exemption from the DSEII Rider</w:t>
      </w:r>
      <w:r>
        <w:rPr>
          <w:rFonts w:ascii="Arial" w:hAnsi="Arial" w:cs="Arial"/>
        </w:rPr>
        <w:t xml:space="preserve"> mercantile customers must cede to FirstEnergy the right to bid capacity attributes </w:t>
      </w:r>
      <w:r w:rsidR="003C1861">
        <w:rPr>
          <w:rFonts w:ascii="Arial" w:hAnsi="Arial" w:cs="Arial"/>
        </w:rPr>
        <w:t>associated with their self-direct projects.</w:t>
      </w:r>
    </w:p>
    <w:p w:rsidR="005049CE" w:rsidRDefault="005049CE" w:rsidP="0077102C">
      <w:pPr>
        <w:pStyle w:val="Title"/>
        <w:ind w:left="3600" w:firstLine="720"/>
        <w:jc w:val="both"/>
        <w:rPr>
          <w:b w:val="0"/>
          <w:smallCaps w:val="0"/>
          <w:sz w:val="24"/>
        </w:rPr>
      </w:pPr>
    </w:p>
    <w:p w:rsidR="0077102C" w:rsidRPr="0077102C" w:rsidRDefault="0077102C" w:rsidP="0077102C">
      <w:pPr>
        <w:pStyle w:val="Title"/>
        <w:ind w:left="3600" w:firstLine="720"/>
        <w:jc w:val="both"/>
        <w:rPr>
          <w:b w:val="0"/>
          <w:smallCaps w:val="0"/>
          <w:sz w:val="24"/>
        </w:rPr>
      </w:pPr>
      <w:r w:rsidRPr="0077102C">
        <w:rPr>
          <w:b w:val="0"/>
          <w:smallCaps w:val="0"/>
          <w:sz w:val="24"/>
        </w:rPr>
        <w:lastRenderedPageBreak/>
        <w:t>Respectfully submitted,</w:t>
      </w:r>
    </w:p>
    <w:p w:rsidR="0077102C" w:rsidRPr="0077102C" w:rsidRDefault="0077102C" w:rsidP="0077102C">
      <w:pPr>
        <w:pStyle w:val="Title"/>
        <w:jc w:val="both"/>
        <w:rPr>
          <w:b w:val="0"/>
          <w:sz w:val="24"/>
        </w:rPr>
      </w:pPr>
    </w:p>
    <w:p w:rsidR="0077102C" w:rsidRPr="0077102C" w:rsidRDefault="0077102C" w:rsidP="0077102C">
      <w:pPr>
        <w:pStyle w:val="Title"/>
        <w:jc w:val="both"/>
        <w:rPr>
          <w:b w:val="0"/>
          <w:sz w:val="24"/>
        </w:rPr>
      </w:pPr>
    </w:p>
    <w:p w:rsidR="0077102C" w:rsidRPr="002E7C6B" w:rsidRDefault="002E7C6B" w:rsidP="0077102C">
      <w:pPr>
        <w:pStyle w:val="Title"/>
        <w:jc w:val="both"/>
        <w:rPr>
          <w:b w:val="0"/>
          <w:smallCaps w:val="0"/>
          <w:sz w:val="24"/>
          <w:u w:val="single"/>
        </w:rPr>
      </w:pPr>
      <w:r>
        <w:rPr>
          <w:b w:val="0"/>
          <w:sz w:val="24"/>
        </w:rPr>
        <w:tab/>
      </w:r>
      <w:r>
        <w:rPr>
          <w:b w:val="0"/>
          <w:sz w:val="24"/>
        </w:rPr>
        <w:tab/>
      </w:r>
      <w:r>
        <w:rPr>
          <w:b w:val="0"/>
          <w:sz w:val="24"/>
        </w:rPr>
        <w:tab/>
      </w:r>
      <w:r>
        <w:rPr>
          <w:b w:val="0"/>
          <w:sz w:val="24"/>
        </w:rPr>
        <w:tab/>
      </w:r>
      <w:r>
        <w:rPr>
          <w:b w:val="0"/>
          <w:sz w:val="24"/>
        </w:rPr>
        <w:tab/>
      </w:r>
      <w:r>
        <w:rPr>
          <w:b w:val="0"/>
          <w:sz w:val="24"/>
        </w:rPr>
        <w:tab/>
      </w:r>
      <w:r>
        <w:rPr>
          <w:b w:val="0"/>
          <w:sz w:val="24"/>
          <w:u w:val="single"/>
        </w:rPr>
        <w:t xml:space="preserve">/s/ </w:t>
      </w:r>
      <w:r>
        <w:rPr>
          <w:b w:val="0"/>
          <w:smallCaps w:val="0"/>
          <w:sz w:val="24"/>
          <w:u w:val="single"/>
        </w:rPr>
        <w:t>Joseph E. Oliker</w:t>
      </w: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p>
    <w:p w:rsidR="0077102C" w:rsidRDefault="0077102C" w:rsidP="002E7C6B">
      <w:pPr>
        <w:tabs>
          <w:tab w:val="left" w:pos="4320"/>
          <w:tab w:val="right" w:pos="8640"/>
        </w:tabs>
        <w:ind w:left="4320"/>
        <w:jc w:val="both"/>
        <w:rPr>
          <w:rFonts w:ascii="Arial" w:hAnsi="Arial" w:cs="Arial"/>
        </w:rPr>
      </w:pPr>
      <w:r>
        <w:rPr>
          <w:rFonts w:ascii="Arial" w:hAnsi="Arial" w:cs="Arial"/>
        </w:rPr>
        <w:t>Samuel C. Randazzo (Counsel of Record)</w:t>
      </w:r>
    </w:p>
    <w:p w:rsidR="0077102C" w:rsidRDefault="0077102C" w:rsidP="0077102C">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77102C" w:rsidRDefault="0077102C" w:rsidP="0077102C">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77102C" w:rsidRDefault="0077102C" w:rsidP="0077102C">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77102C" w:rsidRDefault="0077102C" w:rsidP="0077102C">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77102C" w:rsidRDefault="0077102C" w:rsidP="0077102C">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7102C" w:rsidRDefault="0077102C" w:rsidP="0077102C">
      <w:pPr>
        <w:pStyle w:val="BodyText"/>
        <w:tabs>
          <w:tab w:val="left" w:pos="4320"/>
        </w:tabs>
        <w:ind w:left="4320"/>
      </w:pPr>
      <w:r>
        <w:t>Columbus, OH  43215</w:t>
      </w:r>
    </w:p>
    <w:p w:rsidR="0077102C" w:rsidRDefault="0077102C" w:rsidP="0077102C">
      <w:pPr>
        <w:pStyle w:val="BodyText"/>
        <w:tabs>
          <w:tab w:val="left" w:pos="4320"/>
        </w:tabs>
        <w:ind w:left="4320"/>
      </w:pPr>
      <w:r>
        <w:t>Telephone:  (614) 469-8000</w:t>
      </w:r>
    </w:p>
    <w:p w:rsidR="0077102C" w:rsidRDefault="0077102C" w:rsidP="0077102C">
      <w:pPr>
        <w:pStyle w:val="BodyText"/>
        <w:tabs>
          <w:tab w:val="left" w:pos="4320"/>
        </w:tabs>
        <w:ind w:left="4320"/>
      </w:pPr>
      <w:r>
        <w:t>Telecopier:  (614) 469-4653</w:t>
      </w:r>
    </w:p>
    <w:p w:rsidR="0077102C" w:rsidRDefault="0077102C" w:rsidP="0077102C">
      <w:pPr>
        <w:pStyle w:val="BodyText"/>
        <w:ind w:left="4320"/>
      </w:pPr>
      <w:r>
        <w:t>sam@mwncmh.com</w:t>
      </w:r>
    </w:p>
    <w:p w:rsidR="0077102C" w:rsidRDefault="0077102C" w:rsidP="0077102C">
      <w:pPr>
        <w:pStyle w:val="BodyText"/>
        <w:ind w:left="4320"/>
      </w:pPr>
      <w:r>
        <w:t>fdarr@mwncmh.com</w:t>
      </w:r>
    </w:p>
    <w:p w:rsidR="0077102C" w:rsidRDefault="0077102C" w:rsidP="0077102C">
      <w:pPr>
        <w:pStyle w:val="BodyText"/>
        <w:ind w:left="4320"/>
      </w:pPr>
      <w:r>
        <w:t>joliker@mwncmh.com</w:t>
      </w:r>
    </w:p>
    <w:p w:rsidR="0077102C" w:rsidRDefault="0077102C" w:rsidP="0077102C">
      <w:pPr>
        <w:pStyle w:val="BodyText"/>
        <w:ind w:left="4320"/>
      </w:pPr>
      <w:r>
        <w:t>mpritchard@mwncmh.com</w:t>
      </w:r>
    </w:p>
    <w:p w:rsidR="0077102C" w:rsidRDefault="0077102C" w:rsidP="0077102C">
      <w:pPr>
        <w:pStyle w:val="BodyText"/>
      </w:pPr>
    </w:p>
    <w:p w:rsidR="0077102C" w:rsidRDefault="0077102C" w:rsidP="00A87AFF">
      <w:pPr>
        <w:pStyle w:val="Title"/>
        <w:jc w:val="both"/>
        <w:rPr>
          <w:smallCaps w:val="0"/>
          <w:sz w:val="24"/>
        </w:rPr>
      </w:pPr>
      <w:r>
        <w:rPr>
          <w:smallCaps w:val="0"/>
          <w:sz w:val="24"/>
        </w:rPr>
        <w:tab/>
      </w:r>
      <w:r>
        <w:rPr>
          <w:smallCaps w:val="0"/>
          <w:sz w:val="24"/>
        </w:rPr>
        <w:tab/>
      </w:r>
      <w:r>
        <w:rPr>
          <w:smallCaps w:val="0"/>
          <w:sz w:val="24"/>
        </w:rPr>
        <w:tab/>
      </w:r>
      <w:r>
        <w:rPr>
          <w:smallCaps w:val="0"/>
          <w:sz w:val="24"/>
        </w:rPr>
        <w:tab/>
      </w:r>
      <w:r>
        <w:rPr>
          <w:smallCaps w:val="0"/>
          <w:sz w:val="24"/>
        </w:rPr>
        <w:tab/>
      </w:r>
      <w:r>
        <w:rPr>
          <w:smallCaps w:val="0"/>
          <w:sz w:val="24"/>
        </w:rPr>
        <w:tab/>
        <w:t>Attorneys for Industrial Energy Users-Ohio</w:t>
      </w:r>
    </w:p>
    <w:p w:rsidR="00A87AFF" w:rsidRDefault="00A87AFF" w:rsidP="00A87AFF">
      <w:pPr>
        <w:pStyle w:val="Title"/>
        <w:jc w:val="both"/>
        <w:rPr>
          <w:smallCaps w:val="0"/>
          <w:sz w:val="24"/>
        </w:rPr>
      </w:pPr>
    </w:p>
    <w:p w:rsidR="00240AB0" w:rsidRDefault="00240AB0" w:rsidP="00A87AFF">
      <w:pPr>
        <w:sectPr w:rsidR="00240AB0" w:rsidSect="00C0405A">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pPr>
    </w:p>
    <w:p w:rsidR="00240AB0" w:rsidRDefault="00240AB0" w:rsidP="00240AB0">
      <w:pPr>
        <w:tabs>
          <w:tab w:val="left" w:pos="2160"/>
          <w:tab w:val="left" w:pos="2280"/>
        </w:tabs>
        <w:jc w:val="center"/>
        <w:rPr>
          <w:rFonts w:ascii="Arial" w:hAnsi="Arial" w:cs="Arial"/>
          <w:b/>
        </w:rPr>
      </w:pPr>
      <w:r>
        <w:rPr>
          <w:rFonts w:ascii="Arial" w:hAnsi="Arial" w:cs="Arial"/>
          <w:b/>
        </w:rPr>
        <w:lastRenderedPageBreak/>
        <w:t>CERTIFICATE OF SERVICE</w:t>
      </w:r>
    </w:p>
    <w:p w:rsidR="00240AB0" w:rsidRDefault="00240AB0" w:rsidP="00240AB0">
      <w:pPr>
        <w:rPr>
          <w:rFonts w:ascii="Arial" w:hAnsi="Arial" w:cs="Arial"/>
        </w:rPr>
      </w:pPr>
    </w:p>
    <w:p w:rsidR="00240AB0" w:rsidRDefault="00240AB0" w:rsidP="00240AB0">
      <w:pPr>
        <w:pStyle w:val="Heading4"/>
        <w:spacing w:line="480" w:lineRule="auto"/>
        <w:ind w:firstLine="720"/>
        <w:rPr>
          <w:b w:val="0"/>
          <w:smallCaps w:val="0"/>
          <w:sz w:val="24"/>
        </w:rPr>
      </w:pPr>
      <w:r>
        <w:rPr>
          <w:b w:val="0"/>
          <w:smallCaps w:val="0"/>
          <w:sz w:val="24"/>
        </w:rPr>
        <w:t xml:space="preserve">I hereby certify that a copy of the </w:t>
      </w:r>
      <w:r w:rsidRPr="000157D9">
        <w:rPr>
          <w:b w:val="0"/>
          <w:i/>
          <w:smallCaps w:val="0"/>
          <w:sz w:val="24"/>
        </w:rPr>
        <w:t>foregoing Application for Rehearing and</w:t>
      </w:r>
      <w:r>
        <w:rPr>
          <w:b w:val="0"/>
          <w:smallCaps w:val="0"/>
          <w:sz w:val="24"/>
        </w:rPr>
        <w:t xml:space="preserve"> </w:t>
      </w:r>
      <w:r>
        <w:rPr>
          <w:b w:val="0"/>
          <w:i/>
          <w:smallCaps w:val="0"/>
          <w:sz w:val="24"/>
        </w:rPr>
        <w:t>Memorandum in Support of Industrial Energy Users-Ohio</w:t>
      </w:r>
      <w:r>
        <w:rPr>
          <w:b w:val="0"/>
          <w:smallCaps w:val="0"/>
          <w:sz w:val="24"/>
        </w:rPr>
        <w:t>, was served upon the foll</w:t>
      </w:r>
      <w:r w:rsidR="00F2678D">
        <w:rPr>
          <w:b w:val="0"/>
          <w:smallCaps w:val="0"/>
          <w:sz w:val="24"/>
        </w:rPr>
        <w:t>owing parties of record this 19th day of April</w:t>
      </w:r>
      <w:r>
        <w:rPr>
          <w:b w:val="0"/>
          <w:smallCaps w:val="0"/>
          <w:sz w:val="24"/>
        </w:rPr>
        <w:t xml:space="preserve">, 2013 </w:t>
      </w:r>
      <w:r w:rsidRPr="009939CB">
        <w:rPr>
          <w:b w:val="0"/>
          <w:i/>
          <w:smallCaps w:val="0"/>
          <w:sz w:val="24"/>
        </w:rPr>
        <w:t>via</w:t>
      </w:r>
      <w:r w:rsidRPr="009939CB">
        <w:rPr>
          <w:b w:val="0"/>
          <w:smallCaps w:val="0"/>
          <w:sz w:val="24"/>
        </w:rPr>
        <w:t xml:space="preserve"> hand-delivery, electronic transmission, or first class mail, U.S. postage prepaid.</w:t>
      </w:r>
    </w:p>
    <w:p w:rsidR="00240AB0" w:rsidRPr="002F4C48" w:rsidRDefault="00240AB0" w:rsidP="00240AB0"/>
    <w:p w:rsidR="00240AB0" w:rsidRPr="002E7C6B" w:rsidRDefault="00240AB0" w:rsidP="00240AB0">
      <w:pPr>
        <w:pStyle w:val="Heading4"/>
        <w:ind w:firstLine="720"/>
        <w:rPr>
          <w:b w:val="0"/>
          <w:smallCaps w:val="0"/>
          <w:sz w:val="24"/>
          <w:u w:val="single"/>
        </w:rPr>
      </w:pPr>
      <w:r>
        <w:tab/>
      </w:r>
      <w:r>
        <w:tab/>
      </w:r>
      <w:r>
        <w:tab/>
      </w:r>
      <w:r>
        <w:tab/>
      </w:r>
      <w:r>
        <w:tab/>
      </w:r>
      <w:r>
        <w:tab/>
      </w:r>
      <w:r w:rsidR="002E7C6B">
        <w:rPr>
          <w:b w:val="0"/>
          <w:smallCaps w:val="0"/>
          <w:sz w:val="24"/>
          <w:u w:val="single"/>
        </w:rPr>
        <w:t>/s/ Joseph E. Oliker</w:t>
      </w:r>
      <w:r w:rsidR="002E7C6B">
        <w:rPr>
          <w:b w:val="0"/>
          <w:smallCaps w:val="0"/>
          <w:sz w:val="24"/>
          <w:u w:val="single"/>
        </w:rPr>
        <w:tab/>
      </w:r>
      <w:r w:rsidR="002E7C6B">
        <w:rPr>
          <w:b w:val="0"/>
          <w:smallCaps w:val="0"/>
          <w:sz w:val="24"/>
          <w:u w:val="single"/>
        </w:rPr>
        <w:tab/>
      </w:r>
      <w:r w:rsidR="002E7C6B">
        <w:rPr>
          <w:b w:val="0"/>
          <w:smallCaps w:val="0"/>
          <w:sz w:val="24"/>
          <w:u w:val="single"/>
        </w:rPr>
        <w:tab/>
      </w:r>
      <w:r w:rsidR="002E7C6B">
        <w:rPr>
          <w:b w:val="0"/>
          <w:smallCaps w:val="0"/>
          <w:sz w:val="24"/>
          <w:u w:val="single"/>
        </w:rPr>
        <w:tab/>
      </w:r>
    </w:p>
    <w:p w:rsidR="00240AB0" w:rsidRDefault="00240AB0" w:rsidP="00240AB0">
      <w:pPr>
        <w:tabs>
          <w:tab w:val="left" w:pos="2160"/>
          <w:tab w:val="left" w:pos="2280"/>
        </w:tabs>
        <w:rPr>
          <w:rFonts w:ascii="Arial" w:hAnsi="Arial" w:cs="Arial"/>
        </w:rPr>
        <w:sectPr w:rsidR="00240AB0" w:rsidSect="006D3D60">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141" w:left="1440" w:header="720" w:footer="720" w:gutter="0"/>
          <w:pgNumType w:start="1"/>
          <w:cols w:space="720"/>
          <w:titlePg/>
          <w:docGrid w:linePitch="326"/>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Joseph E. Oliker</w:t>
      </w:r>
    </w:p>
    <w:p w:rsidR="00240AB0" w:rsidRDefault="00240AB0" w:rsidP="00240AB0">
      <w:pPr>
        <w:tabs>
          <w:tab w:val="left" w:pos="2160"/>
          <w:tab w:val="left" w:pos="2280"/>
        </w:tabs>
        <w:rPr>
          <w:rFonts w:ascii="Arial" w:hAnsi="Arial" w:cs="Arial"/>
        </w:rPr>
      </w:pPr>
    </w:p>
    <w:p w:rsidR="00240AB0" w:rsidRPr="00743EE2" w:rsidRDefault="00240AB0" w:rsidP="00240AB0">
      <w:pPr>
        <w:tabs>
          <w:tab w:val="left" w:pos="2160"/>
          <w:tab w:val="left" w:pos="2280"/>
        </w:tabs>
        <w:rPr>
          <w:rFonts w:ascii="Arial" w:hAnsi="Arial" w:cs="Arial"/>
        </w:rPr>
      </w:pPr>
      <w:r w:rsidRPr="00743EE2">
        <w:rPr>
          <w:rFonts w:ascii="Arial" w:hAnsi="Arial" w:cs="Arial"/>
        </w:rPr>
        <w:t>Kathy J. Kolich (Counsel of Record)</w:t>
      </w:r>
    </w:p>
    <w:p w:rsidR="00240AB0" w:rsidRPr="00743EE2" w:rsidRDefault="00240AB0" w:rsidP="00240AB0">
      <w:pPr>
        <w:tabs>
          <w:tab w:val="left" w:pos="2160"/>
          <w:tab w:val="left" w:pos="2280"/>
        </w:tabs>
        <w:rPr>
          <w:rFonts w:ascii="Arial" w:hAnsi="Arial" w:cs="Arial"/>
        </w:rPr>
      </w:pPr>
      <w:r w:rsidRPr="00743EE2">
        <w:rPr>
          <w:rFonts w:ascii="Arial" w:hAnsi="Arial" w:cs="Arial"/>
        </w:rPr>
        <w:t>Carrie M. Dunn</w:t>
      </w:r>
    </w:p>
    <w:p w:rsidR="00240AB0" w:rsidRPr="00743EE2" w:rsidRDefault="00240AB0" w:rsidP="00240AB0">
      <w:pPr>
        <w:tabs>
          <w:tab w:val="left" w:pos="2160"/>
          <w:tab w:val="left" w:pos="2280"/>
        </w:tabs>
        <w:rPr>
          <w:rFonts w:ascii="Arial" w:hAnsi="Arial" w:cs="Arial"/>
        </w:rPr>
      </w:pPr>
      <w:r w:rsidRPr="00743EE2">
        <w:rPr>
          <w:rFonts w:ascii="Arial" w:hAnsi="Arial" w:cs="Arial"/>
        </w:rPr>
        <w:t>First Energy Service Company</w:t>
      </w:r>
    </w:p>
    <w:p w:rsidR="00240AB0" w:rsidRPr="00743EE2" w:rsidRDefault="00240AB0" w:rsidP="00240AB0">
      <w:pPr>
        <w:tabs>
          <w:tab w:val="left" w:pos="2160"/>
          <w:tab w:val="left" w:pos="2280"/>
        </w:tabs>
        <w:rPr>
          <w:rFonts w:ascii="Arial" w:hAnsi="Arial" w:cs="Arial"/>
        </w:rPr>
      </w:pPr>
      <w:r w:rsidRPr="00743EE2">
        <w:rPr>
          <w:rFonts w:ascii="Arial" w:hAnsi="Arial" w:cs="Arial"/>
        </w:rPr>
        <w:t>76 South Main Street</w:t>
      </w:r>
    </w:p>
    <w:p w:rsidR="00240AB0" w:rsidRPr="00743EE2" w:rsidRDefault="00240AB0" w:rsidP="00240AB0">
      <w:pPr>
        <w:tabs>
          <w:tab w:val="left" w:pos="2160"/>
          <w:tab w:val="left" w:pos="2280"/>
        </w:tabs>
        <w:rPr>
          <w:rFonts w:ascii="Arial" w:hAnsi="Arial" w:cs="Arial"/>
        </w:rPr>
      </w:pPr>
      <w:r w:rsidRPr="00743EE2">
        <w:rPr>
          <w:rFonts w:ascii="Arial" w:hAnsi="Arial" w:cs="Arial"/>
        </w:rPr>
        <w:t>Akron, OH  44308</w:t>
      </w:r>
    </w:p>
    <w:p w:rsidR="00240AB0" w:rsidRPr="00743EE2" w:rsidRDefault="00240AB0" w:rsidP="00240AB0">
      <w:pPr>
        <w:tabs>
          <w:tab w:val="left" w:pos="2160"/>
          <w:tab w:val="left" w:pos="2280"/>
        </w:tabs>
        <w:rPr>
          <w:rFonts w:ascii="Arial" w:hAnsi="Arial" w:cs="Arial"/>
        </w:rPr>
      </w:pPr>
      <w:r w:rsidRPr="00743EE2">
        <w:rPr>
          <w:rFonts w:ascii="Arial" w:hAnsi="Arial" w:cs="Arial"/>
        </w:rPr>
        <w:t>kjkolich@firstenergycorp.com</w:t>
      </w:r>
    </w:p>
    <w:p w:rsidR="00240AB0" w:rsidRDefault="00240AB0" w:rsidP="00240AB0">
      <w:pPr>
        <w:tabs>
          <w:tab w:val="left" w:pos="2160"/>
          <w:tab w:val="left" w:pos="2280"/>
        </w:tabs>
        <w:rPr>
          <w:rFonts w:ascii="Arial" w:hAnsi="Arial" w:cs="Arial"/>
        </w:rPr>
      </w:pPr>
      <w:r w:rsidRPr="00743EE2">
        <w:rPr>
          <w:rFonts w:ascii="Arial" w:hAnsi="Arial" w:cs="Arial"/>
        </w:rPr>
        <w:t>edunn@firstenergycorp.com</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rPr>
      </w:pPr>
      <w:r>
        <w:rPr>
          <w:rFonts w:ascii="Arial" w:hAnsi="Arial" w:cs="Arial"/>
        </w:rPr>
        <w:t>James F. Lang</w:t>
      </w:r>
    </w:p>
    <w:p w:rsidR="00240AB0" w:rsidRDefault="00240AB0" w:rsidP="00240AB0">
      <w:pPr>
        <w:tabs>
          <w:tab w:val="left" w:pos="2160"/>
          <w:tab w:val="left" w:pos="2280"/>
        </w:tabs>
        <w:rPr>
          <w:rFonts w:ascii="Arial" w:hAnsi="Arial" w:cs="Arial"/>
        </w:rPr>
      </w:pPr>
      <w:r>
        <w:rPr>
          <w:rFonts w:ascii="Arial" w:hAnsi="Arial" w:cs="Arial"/>
        </w:rPr>
        <w:t>Calfee, Halter &amp; Griswold LLP</w:t>
      </w:r>
    </w:p>
    <w:p w:rsidR="00240AB0" w:rsidRDefault="00240AB0" w:rsidP="00240AB0">
      <w:pPr>
        <w:tabs>
          <w:tab w:val="left" w:pos="2160"/>
          <w:tab w:val="left" w:pos="2280"/>
        </w:tabs>
        <w:rPr>
          <w:rFonts w:ascii="Arial" w:hAnsi="Arial" w:cs="Arial"/>
        </w:rPr>
      </w:pPr>
      <w:r>
        <w:rPr>
          <w:rFonts w:ascii="Arial" w:hAnsi="Arial" w:cs="Arial"/>
        </w:rPr>
        <w:t>The Calfee Building</w:t>
      </w:r>
    </w:p>
    <w:p w:rsidR="00240AB0" w:rsidRDefault="00240AB0" w:rsidP="00240AB0">
      <w:pPr>
        <w:tabs>
          <w:tab w:val="left" w:pos="2160"/>
          <w:tab w:val="left" w:pos="2280"/>
        </w:tabs>
        <w:rPr>
          <w:rFonts w:ascii="Arial" w:hAnsi="Arial" w:cs="Arial"/>
        </w:rPr>
      </w:pPr>
      <w:r>
        <w:rPr>
          <w:rFonts w:ascii="Arial" w:hAnsi="Arial" w:cs="Arial"/>
        </w:rPr>
        <w:t>1405 East 6</w:t>
      </w:r>
      <w:r w:rsidRPr="00F20602">
        <w:rPr>
          <w:rFonts w:ascii="Arial" w:hAnsi="Arial" w:cs="Arial"/>
          <w:vertAlign w:val="superscript"/>
        </w:rPr>
        <w:t>th</w:t>
      </w:r>
      <w:r>
        <w:rPr>
          <w:rFonts w:ascii="Arial" w:hAnsi="Arial" w:cs="Arial"/>
        </w:rPr>
        <w:t xml:space="preserve"> Street</w:t>
      </w:r>
    </w:p>
    <w:p w:rsidR="00240AB0" w:rsidRDefault="00240AB0" w:rsidP="00240AB0">
      <w:pPr>
        <w:tabs>
          <w:tab w:val="left" w:pos="2160"/>
          <w:tab w:val="left" w:pos="2280"/>
        </w:tabs>
        <w:rPr>
          <w:rFonts w:ascii="Arial" w:hAnsi="Arial" w:cs="Arial"/>
        </w:rPr>
      </w:pPr>
      <w:r>
        <w:rPr>
          <w:rFonts w:ascii="Arial" w:hAnsi="Arial" w:cs="Arial"/>
        </w:rPr>
        <w:t>Cleveland, OH  44114</w:t>
      </w:r>
    </w:p>
    <w:p w:rsidR="00240AB0" w:rsidRPr="00743EE2" w:rsidRDefault="00240AB0" w:rsidP="00240AB0">
      <w:pPr>
        <w:tabs>
          <w:tab w:val="left" w:pos="2160"/>
          <w:tab w:val="left" w:pos="2280"/>
        </w:tabs>
        <w:rPr>
          <w:rFonts w:ascii="Arial" w:hAnsi="Arial" w:cs="Arial"/>
        </w:rPr>
      </w:pPr>
      <w:r>
        <w:rPr>
          <w:rFonts w:ascii="Arial" w:hAnsi="Arial" w:cs="Arial"/>
        </w:rPr>
        <w:t>jlang@calfee.com</w:t>
      </w:r>
    </w:p>
    <w:p w:rsidR="00240AB0" w:rsidRPr="00743EE2" w:rsidRDefault="00240AB0" w:rsidP="00240AB0">
      <w:pPr>
        <w:tabs>
          <w:tab w:val="left" w:pos="2160"/>
          <w:tab w:val="left" w:pos="2280"/>
        </w:tabs>
        <w:rPr>
          <w:rFonts w:ascii="Arial" w:hAnsi="Arial" w:cs="Arial"/>
        </w:rPr>
      </w:pPr>
    </w:p>
    <w:p w:rsidR="00240AB0" w:rsidRPr="00743EE2" w:rsidRDefault="00240AB0" w:rsidP="00240AB0">
      <w:pPr>
        <w:tabs>
          <w:tab w:val="left" w:pos="2160"/>
          <w:tab w:val="left" w:pos="2280"/>
        </w:tabs>
        <w:rPr>
          <w:rFonts w:ascii="Arial" w:hAnsi="Arial" w:cs="Arial"/>
          <w:b/>
          <w:smallCaps/>
        </w:rPr>
      </w:pPr>
      <w:r w:rsidRPr="00743EE2">
        <w:rPr>
          <w:rFonts w:ascii="Arial" w:hAnsi="Arial" w:cs="Arial"/>
          <w:b/>
          <w:smallCaps/>
        </w:rPr>
        <w:t>Attorneys for Ohio Edison Company, The Cleveland Electric Company, and The Toledo Edison Company</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rPr>
      </w:pPr>
      <w:r>
        <w:rPr>
          <w:rFonts w:ascii="Arial" w:hAnsi="Arial" w:cs="Arial"/>
        </w:rPr>
        <w:t>Colleen L. Mooney</w:t>
      </w:r>
    </w:p>
    <w:p w:rsidR="00240AB0" w:rsidRDefault="00240AB0" w:rsidP="00240AB0">
      <w:pPr>
        <w:tabs>
          <w:tab w:val="left" w:pos="2160"/>
          <w:tab w:val="left" w:pos="2280"/>
        </w:tabs>
        <w:rPr>
          <w:rFonts w:ascii="Arial" w:hAnsi="Arial" w:cs="Arial"/>
        </w:rPr>
      </w:pPr>
      <w:r>
        <w:rPr>
          <w:rFonts w:ascii="Arial" w:hAnsi="Arial" w:cs="Arial"/>
        </w:rPr>
        <w:t>Ohio Partners for Affordable Energy</w:t>
      </w:r>
    </w:p>
    <w:p w:rsidR="00240AB0" w:rsidRDefault="00240AB0" w:rsidP="00240AB0">
      <w:pPr>
        <w:tabs>
          <w:tab w:val="left" w:pos="2160"/>
          <w:tab w:val="left" w:pos="2280"/>
        </w:tabs>
        <w:rPr>
          <w:rFonts w:ascii="Arial" w:hAnsi="Arial" w:cs="Arial"/>
        </w:rPr>
      </w:pPr>
      <w:r>
        <w:rPr>
          <w:rFonts w:ascii="Arial" w:hAnsi="Arial" w:cs="Arial"/>
        </w:rPr>
        <w:t>231 West Lima Street</w:t>
      </w:r>
    </w:p>
    <w:p w:rsidR="00240AB0" w:rsidRDefault="00240AB0" w:rsidP="00240AB0">
      <w:pPr>
        <w:tabs>
          <w:tab w:val="left" w:pos="2160"/>
          <w:tab w:val="left" w:pos="2280"/>
        </w:tabs>
        <w:rPr>
          <w:rFonts w:ascii="Arial" w:hAnsi="Arial" w:cs="Arial"/>
        </w:rPr>
      </w:pPr>
      <w:r>
        <w:rPr>
          <w:rFonts w:ascii="Arial" w:hAnsi="Arial" w:cs="Arial"/>
        </w:rPr>
        <w:t>Findlay, OH  45839-1793</w:t>
      </w:r>
    </w:p>
    <w:p w:rsidR="00240AB0" w:rsidRDefault="00240AB0" w:rsidP="00240AB0">
      <w:pPr>
        <w:tabs>
          <w:tab w:val="left" w:pos="2160"/>
          <w:tab w:val="left" w:pos="2280"/>
        </w:tabs>
        <w:rPr>
          <w:rFonts w:ascii="Arial" w:hAnsi="Arial" w:cs="Arial"/>
        </w:rPr>
      </w:pPr>
      <w:r>
        <w:rPr>
          <w:rFonts w:ascii="Arial" w:hAnsi="Arial" w:cs="Arial"/>
        </w:rPr>
        <w:t>cmooney2@columbus.rr.com</w:t>
      </w:r>
    </w:p>
    <w:p w:rsidR="00240AB0" w:rsidRDefault="00240AB0" w:rsidP="00240AB0">
      <w:pPr>
        <w:tabs>
          <w:tab w:val="left" w:pos="2160"/>
          <w:tab w:val="left" w:pos="2280"/>
        </w:tabs>
        <w:rPr>
          <w:rFonts w:ascii="Arial" w:hAnsi="Arial" w:cs="Arial"/>
        </w:rPr>
      </w:pPr>
    </w:p>
    <w:p w:rsidR="00240AB0" w:rsidRPr="00743EE2" w:rsidRDefault="00240AB0" w:rsidP="00240AB0">
      <w:pPr>
        <w:tabs>
          <w:tab w:val="left" w:pos="2160"/>
          <w:tab w:val="left" w:pos="2280"/>
        </w:tabs>
        <w:rPr>
          <w:rFonts w:ascii="Arial" w:hAnsi="Arial" w:cs="Arial"/>
        </w:rPr>
      </w:pPr>
      <w:r w:rsidRPr="00E6208A">
        <w:rPr>
          <w:rFonts w:ascii="Arial" w:hAnsi="Arial" w:cs="Arial"/>
          <w:b/>
          <w:smallCaps/>
        </w:rPr>
        <w:t>On Behalf of Ohio Partners for Affordable Energy</w:t>
      </w:r>
    </w:p>
    <w:p w:rsidR="00240AB0" w:rsidRDefault="00240AB0" w:rsidP="00240AB0">
      <w:pPr>
        <w:tabs>
          <w:tab w:val="left" w:pos="2160"/>
          <w:tab w:val="left" w:pos="2280"/>
        </w:tabs>
        <w:rPr>
          <w:rFonts w:ascii="Arial" w:hAnsi="Arial" w:cs="Arial"/>
        </w:rPr>
      </w:pPr>
      <w:r>
        <w:rPr>
          <w:rFonts w:ascii="Arial" w:hAnsi="Arial" w:cs="Arial"/>
        </w:rPr>
        <w:br w:type="column"/>
      </w:r>
    </w:p>
    <w:p w:rsidR="00240AB0" w:rsidRDefault="00240AB0" w:rsidP="00240AB0">
      <w:pPr>
        <w:tabs>
          <w:tab w:val="left" w:pos="2160"/>
          <w:tab w:val="left" w:pos="2280"/>
        </w:tabs>
        <w:rPr>
          <w:rFonts w:ascii="Arial" w:hAnsi="Arial" w:cs="Arial"/>
        </w:rPr>
      </w:pPr>
      <w:r>
        <w:rPr>
          <w:rFonts w:ascii="Arial" w:hAnsi="Arial" w:cs="Arial"/>
        </w:rPr>
        <w:t>Richard L. Sites</w:t>
      </w:r>
    </w:p>
    <w:p w:rsidR="00240AB0" w:rsidRDefault="00240AB0" w:rsidP="00240AB0">
      <w:pPr>
        <w:tabs>
          <w:tab w:val="left" w:pos="2160"/>
          <w:tab w:val="left" w:pos="2280"/>
        </w:tabs>
        <w:rPr>
          <w:rFonts w:ascii="Arial" w:hAnsi="Arial" w:cs="Arial"/>
        </w:rPr>
      </w:pPr>
      <w:r>
        <w:rPr>
          <w:rFonts w:ascii="Arial" w:hAnsi="Arial" w:cs="Arial"/>
        </w:rPr>
        <w:t>General Counsel &amp; Senior Director of Health Policy</w:t>
      </w:r>
    </w:p>
    <w:p w:rsidR="00240AB0" w:rsidRDefault="00240AB0" w:rsidP="00240AB0">
      <w:pPr>
        <w:tabs>
          <w:tab w:val="left" w:pos="2160"/>
          <w:tab w:val="left" w:pos="2280"/>
        </w:tabs>
        <w:rPr>
          <w:rFonts w:ascii="Arial" w:hAnsi="Arial" w:cs="Arial"/>
        </w:rPr>
      </w:pPr>
      <w:r>
        <w:rPr>
          <w:rFonts w:ascii="Arial" w:hAnsi="Arial" w:cs="Arial"/>
        </w:rPr>
        <w:t>Ohio Hospital Association</w:t>
      </w:r>
    </w:p>
    <w:p w:rsidR="00240AB0" w:rsidRDefault="00240AB0" w:rsidP="00240AB0">
      <w:pPr>
        <w:tabs>
          <w:tab w:val="left" w:pos="2160"/>
          <w:tab w:val="left" w:pos="2280"/>
        </w:tabs>
        <w:rPr>
          <w:rFonts w:ascii="Arial" w:hAnsi="Arial" w:cs="Arial"/>
        </w:rPr>
      </w:pPr>
      <w:r>
        <w:rPr>
          <w:rFonts w:ascii="Arial" w:hAnsi="Arial" w:cs="Arial"/>
        </w:rPr>
        <w:t>155 East Broad Street, 15</w:t>
      </w:r>
      <w:r w:rsidRPr="00F14714">
        <w:rPr>
          <w:rFonts w:ascii="Arial" w:hAnsi="Arial" w:cs="Arial"/>
          <w:vertAlign w:val="superscript"/>
        </w:rPr>
        <w:t>th</w:t>
      </w:r>
      <w:r>
        <w:rPr>
          <w:rFonts w:ascii="Arial" w:hAnsi="Arial" w:cs="Arial"/>
        </w:rPr>
        <w:t xml:space="preserve"> Floor</w:t>
      </w:r>
    </w:p>
    <w:p w:rsidR="00240AB0" w:rsidRDefault="00240AB0" w:rsidP="00240AB0">
      <w:pPr>
        <w:tabs>
          <w:tab w:val="left" w:pos="2160"/>
          <w:tab w:val="left" w:pos="2280"/>
        </w:tabs>
        <w:rPr>
          <w:rFonts w:ascii="Arial" w:hAnsi="Arial" w:cs="Arial"/>
        </w:rPr>
      </w:pPr>
      <w:r>
        <w:rPr>
          <w:rFonts w:ascii="Arial" w:hAnsi="Arial" w:cs="Arial"/>
        </w:rPr>
        <w:t>Columbus, OH  43215-3620</w:t>
      </w:r>
    </w:p>
    <w:p w:rsidR="00240AB0" w:rsidRDefault="00240AB0" w:rsidP="00240AB0">
      <w:pPr>
        <w:tabs>
          <w:tab w:val="left" w:pos="2160"/>
          <w:tab w:val="left" w:pos="2280"/>
        </w:tabs>
        <w:rPr>
          <w:rFonts w:ascii="Arial" w:hAnsi="Arial" w:cs="Arial"/>
        </w:rPr>
      </w:pPr>
      <w:r>
        <w:rPr>
          <w:rFonts w:ascii="Arial" w:hAnsi="Arial" w:cs="Arial"/>
        </w:rPr>
        <w:t>ricks@ohanet.org</w:t>
      </w:r>
    </w:p>
    <w:p w:rsidR="00240AB0" w:rsidRDefault="00240AB0" w:rsidP="00240AB0">
      <w:pPr>
        <w:tabs>
          <w:tab w:val="left" w:pos="2160"/>
          <w:tab w:val="left" w:pos="2280"/>
        </w:tabs>
        <w:rPr>
          <w:rFonts w:ascii="Arial" w:hAnsi="Arial" w:cs="Arial"/>
          <w:b/>
          <w:smallCaps/>
        </w:rPr>
      </w:pPr>
    </w:p>
    <w:p w:rsidR="00240AB0" w:rsidRPr="00E6208A" w:rsidRDefault="00240AB0" w:rsidP="00240AB0">
      <w:pPr>
        <w:tabs>
          <w:tab w:val="left" w:pos="2160"/>
          <w:tab w:val="left" w:pos="2280"/>
        </w:tabs>
        <w:rPr>
          <w:rFonts w:ascii="Arial" w:hAnsi="Arial" w:cs="Arial"/>
          <w:b/>
          <w:smallCaps/>
        </w:rPr>
      </w:pPr>
      <w:r w:rsidRPr="00E6208A">
        <w:rPr>
          <w:rFonts w:ascii="Arial" w:hAnsi="Arial" w:cs="Arial"/>
          <w:b/>
          <w:smallCaps/>
        </w:rPr>
        <w:t>On Behalf of the Ohio Hospital Association</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rPr>
      </w:pPr>
      <w:r w:rsidRPr="00E76A53">
        <w:rPr>
          <w:rFonts w:ascii="Arial" w:hAnsi="Arial" w:cs="Arial"/>
          <w:smallCaps/>
        </w:rPr>
        <w:t xml:space="preserve">J. </w:t>
      </w:r>
      <w:r w:rsidRPr="00E76A53">
        <w:rPr>
          <w:rFonts w:ascii="Arial" w:hAnsi="Arial" w:cs="Arial"/>
        </w:rPr>
        <w:t xml:space="preserve">Thomas </w:t>
      </w:r>
      <w:r>
        <w:rPr>
          <w:rFonts w:ascii="Arial" w:hAnsi="Arial" w:cs="Arial"/>
        </w:rPr>
        <w:t>Siwo</w:t>
      </w:r>
    </w:p>
    <w:p w:rsidR="00240AB0" w:rsidRDefault="00240AB0" w:rsidP="00240AB0">
      <w:pPr>
        <w:tabs>
          <w:tab w:val="left" w:pos="2160"/>
          <w:tab w:val="left" w:pos="2280"/>
        </w:tabs>
        <w:rPr>
          <w:rFonts w:ascii="Arial" w:hAnsi="Arial" w:cs="Arial"/>
        </w:rPr>
      </w:pPr>
      <w:r>
        <w:rPr>
          <w:rFonts w:ascii="Arial" w:hAnsi="Arial" w:cs="Arial"/>
        </w:rPr>
        <w:t>Thomas J. O’Brien</w:t>
      </w:r>
    </w:p>
    <w:p w:rsidR="00240AB0" w:rsidRDefault="00240AB0" w:rsidP="00240AB0">
      <w:pPr>
        <w:tabs>
          <w:tab w:val="left" w:pos="2160"/>
          <w:tab w:val="left" w:pos="2280"/>
        </w:tabs>
        <w:rPr>
          <w:rFonts w:ascii="Arial" w:hAnsi="Arial" w:cs="Arial"/>
        </w:rPr>
      </w:pPr>
      <w:r>
        <w:rPr>
          <w:rFonts w:ascii="Arial" w:hAnsi="Arial" w:cs="Arial"/>
        </w:rPr>
        <w:t>Bricker &amp; Eckler, LLP</w:t>
      </w:r>
    </w:p>
    <w:p w:rsidR="00240AB0" w:rsidRDefault="00240AB0" w:rsidP="00240AB0">
      <w:pPr>
        <w:tabs>
          <w:tab w:val="left" w:pos="2160"/>
          <w:tab w:val="left" w:pos="2280"/>
        </w:tabs>
        <w:rPr>
          <w:rFonts w:ascii="Arial" w:hAnsi="Arial" w:cs="Arial"/>
        </w:rPr>
      </w:pPr>
      <w:r>
        <w:rPr>
          <w:rFonts w:ascii="Arial" w:hAnsi="Arial" w:cs="Arial"/>
        </w:rPr>
        <w:t>100 South Third Street</w:t>
      </w:r>
    </w:p>
    <w:p w:rsidR="00240AB0" w:rsidRDefault="00240AB0" w:rsidP="00240AB0">
      <w:pPr>
        <w:tabs>
          <w:tab w:val="left" w:pos="2160"/>
          <w:tab w:val="left" w:pos="2280"/>
        </w:tabs>
        <w:rPr>
          <w:rFonts w:ascii="Arial" w:hAnsi="Arial" w:cs="Arial"/>
        </w:rPr>
      </w:pPr>
      <w:r>
        <w:rPr>
          <w:rFonts w:ascii="Arial" w:hAnsi="Arial" w:cs="Arial"/>
        </w:rPr>
        <w:t>Columbus, OH  43215-4291</w:t>
      </w:r>
    </w:p>
    <w:p w:rsidR="00240AB0" w:rsidRDefault="00240AB0" w:rsidP="00240AB0">
      <w:pPr>
        <w:tabs>
          <w:tab w:val="left" w:pos="2160"/>
          <w:tab w:val="left" w:pos="2280"/>
        </w:tabs>
        <w:rPr>
          <w:rFonts w:ascii="Arial" w:hAnsi="Arial" w:cs="Arial"/>
        </w:rPr>
      </w:pPr>
      <w:r>
        <w:rPr>
          <w:rFonts w:ascii="Arial" w:hAnsi="Arial" w:cs="Arial"/>
        </w:rPr>
        <w:t>tobrien@bricker.com</w:t>
      </w:r>
    </w:p>
    <w:p w:rsidR="00240AB0" w:rsidRDefault="00240AB0" w:rsidP="00240AB0">
      <w:pPr>
        <w:tabs>
          <w:tab w:val="left" w:pos="2160"/>
          <w:tab w:val="left" w:pos="2280"/>
        </w:tabs>
        <w:rPr>
          <w:rFonts w:ascii="Arial" w:hAnsi="Arial" w:cs="Arial"/>
        </w:rPr>
      </w:pPr>
      <w:r w:rsidRPr="00E76A53">
        <w:rPr>
          <w:rFonts w:ascii="Arial" w:hAnsi="Arial" w:cs="Arial"/>
        </w:rPr>
        <w:t>tsiwo@bricker.com</w:t>
      </w:r>
    </w:p>
    <w:p w:rsidR="00240AB0" w:rsidRDefault="00240AB0" w:rsidP="00240AB0">
      <w:pPr>
        <w:tabs>
          <w:tab w:val="left" w:pos="2160"/>
          <w:tab w:val="left" w:pos="2280"/>
        </w:tabs>
        <w:rPr>
          <w:rFonts w:ascii="Arial" w:hAnsi="Arial" w:cs="Arial"/>
        </w:rPr>
      </w:pPr>
    </w:p>
    <w:p w:rsidR="00240AB0" w:rsidRPr="00E76A53" w:rsidRDefault="00240AB0" w:rsidP="00240AB0">
      <w:pPr>
        <w:tabs>
          <w:tab w:val="left" w:pos="2160"/>
          <w:tab w:val="left" w:pos="2280"/>
        </w:tabs>
        <w:rPr>
          <w:rFonts w:ascii="Arial" w:hAnsi="Arial" w:cs="Arial"/>
        </w:rPr>
      </w:pPr>
      <w:r w:rsidRPr="00E6208A">
        <w:rPr>
          <w:rFonts w:ascii="Arial" w:hAnsi="Arial" w:cs="Arial"/>
          <w:b/>
          <w:smallCaps/>
        </w:rPr>
        <w:t>On Behalf of the Ohio Hospital Association</w:t>
      </w:r>
      <w:r>
        <w:rPr>
          <w:rFonts w:ascii="Arial" w:hAnsi="Arial" w:cs="Arial"/>
          <w:b/>
          <w:smallCaps/>
        </w:rPr>
        <w:t xml:space="preserve"> and The OMA Energy Group</w:t>
      </w:r>
    </w:p>
    <w:p w:rsidR="00240AB0" w:rsidRPr="00E6208A" w:rsidRDefault="00240AB0" w:rsidP="00240AB0">
      <w:pPr>
        <w:tabs>
          <w:tab w:val="left" w:pos="2160"/>
          <w:tab w:val="left" w:pos="2280"/>
        </w:tabs>
        <w:rPr>
          <w:rFonts w:ascii="Arial" w:hAnsi="Arial" w:cs="Arial"/>
          <w:b/>
          <w:smallCaps/>
        </w:rPr>
      </w:pPr>
    </w:p>
    <w:p w:rsidR="00240AB0" w:rsidRDefault="00240AB0" w:rsidP="00240AB0">
      <w:pPr>
        <w:tabs>
          <w:tab w:val="left" w:pos="2160"/>
          <w:tab w:val="left" w:pos="2280"/>
        </w:tabs>
        <w:rPr>
          <w:rFonts w:ascii="Arial" w:hAnsi="Arial" w:cs="Arial"/>
        </w:rPr>
      </w:pPr>
      <w:r>
        <w:rPr>
          <w:rFonts w:ascii="Arial" w:hAnsi="Arial" w:cs="Arial"/>
        </w:rPr>
        <w:t>Todd M. Williams (Counsel of Record)</w:t>
      </w:r>
    </w:p>
    <w:p w:rsidR="00240AB0" w:rsidRDefault="00240AB0" w:rsidP="00240AB0">
      <w:pPr>
        <w:tabs>
          <w:tab w:val="left" w:pos="2160"/>
          <w:tab w:val="left" w:pos="2280"/>
        </w:tabs>
        <w:rPr>
          <w:rFonts w:ascii="Arial" w:hAnsi="Arial" w:cs="Arial"/>
        </w:rPr>
      </w:pPr>
      <w:r>
        <w:rPr>
          <w:rFonts w:ascii="Arial" w:hAnsi="Arial" w:cs="Arial"/>
        </w:rPr>
        <w:t>Williams Allwein and Moser, LLC</w:t>
      </w:r>
    </w:p>
    <w:p w:rsidR="00240AB0" w:rsidRDefault="00240AB0" w:rsidP="00240AB0">
      <w:pPr>
        <w:tabs>
          <w:tab w:val="left" w:pos="2160"/>
          <w:tab w:val="left" w:pos="2280"/>
        </w:tabs>
        <w:rPr>
          <w:rFonts w:ascii="Arial" w:hAnsi="Arial" w:cs="Arial"/>
        </w:rPr>
      </w:pPr>
      <w:r>
        <w:rPr>
          <w:rFonts w:ascii="Arial" w:hAnsi="Arial" w:cs="Arial"/>
        </w:rPr>
        <w:t>Two Maritime Plaza, Third Floor</w:t>
      </w:r>
    </w:p>
    <w:p w:rsidR="00240AB0" w:rsidRDefault="00240AB0" w:rsidP="00240AB0">
      <w:pPr>
        <w:tabs>
          <w:tab w:val="left" w:pos="2160"/>
          <w:tab w:val="left" w:pos="2280"/>
        </w:tabs>
        <w:rPr>
          <w:rFonts w:ascii="Arial" w:hAnsi="Arial" w:cs="Arial"/>
        </w:rPr>
      </w:pPr>
      <w:r>
        <w:rPr>
          <w:rFonts w:ascii="Arial" w:hAnsi="Arial" w:cs="Arial"/>
        </w:rPr>
        <w:t>Toledo, OH  43604</w:t>
      </w:r>
    </w:p>
    <w:p w:rsidR="00240AB0" w:rsidRDefault="00240AB0" w:rsidP="00240AB0">
      <w:pPr>
        <w:tabs>
          <w:tab w:val="left" w:pos="2160"/>
          <w:tab w:val="left" w:pos="2280"/>
        </w:tabs>
        <w:rPr>
          <w:rFonts w:ascii="Arial" w:hAnsi="Arial" w:cs="Arial"/>
        </w:rPr>
      </w:pPr>
      <w:r>
        <w:rPr>
          <w:rFonts w:ascii="Arial" w:hAnsi="Arial" w:cs="Arial"/>
        </w:rPr>
        <w:t>toddm@wamenergylaw.com</w:t>
      </w:r>
    </w:p>
    <w:p w:rsidR="00240AB0" w:rsidRDefault="00240AB0" w:rsidP="00240AB0">
      <w:pPr>
        <w:tabs>
          <w:tab w:val="left" w:pos="2160"/>
          <w:tab w:val="left" w:pos="2280"/>
        </w:tabs>
        <w:rPr>
          <w:rFonts w:ascii="Arial" w:hAnsi="Arial" w:cs="Arial"/>
          <w:b/>
          <w:smallCaps/>
        </w:rPr>
      </w:pPr>
    </w:p>
    <w:p w:rsidR="00240AB0" w:rsidRDefault="00240AB0" w:rsidP="00240AB0">
      <w:pPr>
        <w:tabs>
          <w:tab w:val="left" w:pos="2160"/>
          <w:tab w:val="left" w:pos="2280"/>
        </w:tabs>
        <w:rPr>
          <w:rFonts w:ascii="Arial" w:hAnsi="Arial" w:cs="Arial"/>
          <w:b/>
          <w:smallCaps/>
        </w:rPr>
      </w:pPr>
      <w:r w:rsidRPr="00E6208A">
        <w:rPr>
          <w:rFonts w:ascii="Arial" w:hAnsi="Arial" w:cs="Arial"/>
          <w:b/>
          <w:smallCaps/>
        </w:rPr>
        <w:t>On Behalf of</w:t>
      </w:r>
      <w:r>
        <w:rPr>
          <w:rFonts w:ascii="Arial" w:hAnsi="Arial" w:cs="Arial"/>
          <w:b/>
          <w:smallCaps/>
        </w:rPr>
        <w:t xml:space="preserve"> Advanced Energy Economy Ohio</w:t>
      </w:r>
    </w:p>
    <w:p w:rsidR="00240AB0" w:rsidRDefault="00240AB0" w:rsidP="00240AB0">
      <w:pPr>
        <w:tabs>
          <w:tab w:val="left" w:pos="2160"/>
          <w:tab w:val="left" w:pos="2280"/>
        </w:tabs>
        <w:rPr>
          <w:rFonts w:ascii="Arial" w:hAnsi="Arial" w:cs="Arial"/>
        </w:rPr>
        <w:sectPr w:rsidR="00240AB0" w:rsidSect="006D3D60">
          <w:headerReference w:type="default" r:id="rId32"/>
          <w:footerReference w:type="default" r:id="rId33"/>
          <w:headerReference w:type="first" r:id="rId34"/>
          <w:footerReference w:type="first" r:id="rId35"/>
          <w:type w:val="continuous"/>
          <w:pgSz w:w="12240" w:h="15840" w:code="1"/>
          <w:pgMar w:top="1440" w:right="1440" w:bottom="1141" w:left="1440" w:header="720" w:footer="720" w:gutter="0"/>
          <w:pgNumType w:start="1"/>
          <w:cols w:num="2" w:space="720"/>
          <w:titlePg/>
          <w:docGrid w:linePitch="326"/>
        </w:sectPr>
      </w:pPr>
    </w:p>
    <w:p w:rsidR="00240AB0" w:rsidRDefault="00240AB0" w:rsidP="00240AB0">
      <w:pPr>
        <w:tabs>
          <w:tab w:val="left" w:pos="2160"/>
          <w:tab w:val="left" w:pos="2280"/>
        </w:tabs>
        <w:rPr>
          <w:rFonts w:ascii="Arial" w:hAnsi="Arial" w:cs="Arial"/>
        </w:rPr>
      </w:pPr>
      <w:r>
        <w:rPr>
          <w:rFonts w:ascii="Arial" w:hAnsi="Arial" w:cs="Arial"/>
        </w:rPr>
        <w:lastRenderedPageBreak/>
        <w:t>Christopher J. Allwein</w:t>
      </w:r>
    </w:p>
    <w:p w:rsidR="00240AB0" w:rsidRDefault="00240AB0" w:rsidP="00240AB0">
      <w:pPr>
        <w:tabs>
          <w:tab w:val="left" w:pos="2160"/>
          <w:tab w:val="left" w:pos="2280"/>
        </w:tabs>
        <w:rPr>
          <w:rFonts w:ascii="Arial" w:hAnsi="Arial" w:cs="Arial"/>
        </w:rPr>
      </w:pPr>
      <w:r>
        <w:rPr>
          <w:rFonts w:ascii="Arial" w:hAnsi="Arial" w:cs="Arial"/>
        </w:rPr>
        <w:t>Williams Allwein and Moser, LLC</w:t>
      </w:r>
    </w:p>
    <w:p w:rsidR="00240AB0" w:rsidRDefault="00240AB0" w:rsidP="00240AB0">
      <w:pPr>
        <w:tabs>
          <w:tab w:val="left" w:pos="2160"/>
          <w:tab w:val="left" w:pos="2280"/>
        </w:tabs>
        <w:rPr>
          <w:rFonts w:ascii="Arial" w:hAnsi="Arial" w:cs="Arial"/>
        </w:rPr>
      </w:pPr>
      <w:r>
        <w:rPr>
          <w:rFonts w:ascii="Arial" w:hAnsi="Arial" w:cs="Arial"/>
        </w:rPr>
        <w:t>1371 Grandview Ave., Suite 212</w:t>
      </w:r>
    </w:p>
    <w:p w:rsidR="00240AB0" w:rsidRDefault="00240AB0" w:rsidP="00240AB0">
      <w:pPr>
        <w:tabs>
          <w:tab w:val="left" w:pos="2160"/>
          <w:tab w:val="left" w:pos="2280"/>
        </w:tabs>
        <w:rPr>
          <w:rFonts w:ascii="Arial" w:hAnsi="Arial" w:cs="Arial"/>
        </w:rPr>
      </w:pPr>
      <w:r>
        <w:rPr>
          <w:rFonts w:ascii="Arial" w:hAnsi="Arial" w:cs="Arial"/>
        </w:rPr>
        <w:t>Columbus, OH  43212</w:t>
      </w:r>
    </w:p>
    <w:p w:rsidR="00240AB0" w:rsidRDefault="00240AB0" w:rsidP="00240AB0">
      <w:pPr>
        <w:tabs>
          <w:tab w:val="left" w:pos="2160"/>
          <w:tab w:val="left" w:pos="2280"/>
        </w:tabs>
        <w:rPr>
          <w:rFonts w:ascii="Arial" w:hAnsi="Arial" w:cs="Arial"/>
        </w:rPr>
      </w:pPr>
      <w:r w:rsidRPr="00E76A53">
        <w:rPr>
          <w:rFonts w:ascii="Arial" w:hAnsi="Arial" w:cs="Arial"/>
        </w:rPr>
        <w:t>callwein@wamenergylaw.com</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rPr>
      </w:pPr>
      <w:r>
        <w:rPr>
          <w:rFonts w:ascii="Arial" w:hAnsi="Arial" w:cs="Arial"/>
        </w:rPr>
        <w:t>Manuel Somoza</w:t>
      </w:r>
    </w:p>
    <w:p w:rsidR="00240AB0" w:rsidRDefault="00240AB0" w:rsidP="00240AB0">
      <w:pPr>
        <w:tabs>
          <w:tab w:val="left" w:pos="2160"/>
          <w:tab w:val="left" w:pos="2280"/>
        </w:tabs>
        <w:rPr>
          <w:rFonts w:ascii="Arial" w:hAnsi="Arial" w:cs="Arial"/>
        </w:rPr>
      </w:pPr>
      <w:r>
        <w:rPr>
          <w:rFonts w:ascii="Arial" w:hAnsi="Arial" w:cs="Arial"/>
        </w:rPr>
        <w:t>Sierra Club</w:t>
      </w:r>
    </w:p>
    <w:p w:rsidR="00240AB0" w:rsidRDefault="00240AB0" w:rsidP="00240AB0">
      <w:pPr>
        <w:tabs>
          <w:tab w:val="left" w:pos="2160"/>
          <w:tab w:val="left" w:pos="2280"/>
        </w:tabs>
        <w:rPr>
          <w:rFonts w:ascii="Arial" w:hAnsi="Arial" w:cs="Arial"/>
        </w:rPr>
      </w:pPr>
      <w:r>
        <w:rPr>
          <w:rFonts w:ascii="Arial" w:hAnsi="Arial" w:cs="Arial"/>
        </w:rPr>
        <w:t>Environmental Law Program</w:t>
      </w:r>
    </w:p>
    <w:p w:rsidR="00240AB0" w:rsidRDefault="00240AB0" w:rsidP="00240AB0">
      <w:pPr>
        <w:tabs>
          <w:tab w:val="left" w:pos="2160"/>
          <w:tab w:val="left" w:pos="2280"/>
        </w:tabs>
        <w:rPr>
          <w:rFonts w:ascii="Arial" w:hAnsi="Arial" w:cs="Arial"/>
        </w:rPr>
      </w:pPr>
      <w:r>
        <w:rPr>
          <w:rFonts w:ascii="Arial" w:hAnsi="Arial" w:cs="Arial"/>
        </w:rPr>
        <w:t>85 Second Street, Second Floor</w:t>
      </w:r>
    </w:p>
    <w:p w:rsidR="00240AB0" w:rsidRDefault="00240AB0" w:rsidP="00240AB0">
      <w:pPr>
        <w:tabs>
          <w:tab w:val="left" w:pos="2160"/>
          <w:tab w:val="left" w:pos="2280"/>
        </w:tabs>
        <w:rPr>
          <w:rFonts w:ascii="Arial" w:hAnsi="Arial" w:cs="Arial"/>
        </w:rPr>
      </w:pPr>
      <w:r>
        <w:rPr>
          <w:rFonts w:ascii="Arial" w:hAnsi="Arial" w:cs="Arial"/>
        </w:rPr>
        <w:t>San Francisco, CA  94105-3459</w:t>
      </w:r>
    </w:p>
    <w:p w:rsidR="00240AB0" w:rsidRDefault="00240AB0" w:rsidP="00240AB0">
      <w:pPr>
        <w:tabs>
          <w:tab w:val="left" w:pos="2160"/>
          <w:tab w:val="left" w:pos="2280"/>
        </w:tabs>
        <w:rPr>
          <w:rFonts w:ascii="Arial" w:hAnsi="Arial" w:cs="Arial"/>
        </w:rPr>
      </w:pPr>
      <w:r>
        <w:rPr>
          <w:rFonts w:ascii="Arial" w:hAnsi="Arial" w:cs="Arial"/>
        </w:rPr>
        <w:t>manuel.somoza@sierraclub.org</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rPr>
      </w:pPr>
      <w:r>
        <w:rPr>
          <w:rFonts w:ascii="Arial" w:hAnsi="Arial" w:cs="Arial"/>
        </w:rPr>
        <w:t>Rebecca J. Riley</w:t>
      </w:r>
    </w:p>
    <w:p w:rsidR="00240AB0" w:rsidRDefault="00240AB0" w:rsidP="00240AB0">
      <w:pPr>
        <w:tabs>
          <w:tab w:val="left" w:pos="2160"/>
          <w:tab w:val="left" w:pos="2280"/>
        </w:tabs>
        <w:rPr>
          <w:rFonts w:ascii="Arial" w:hAnsi="Arial" w:cs="Arial"/>
        </w:rPr>
      </w:pPr>
      <w:r>
        <w:rPr>
          <w:rFonts w:ascii="Arial" w:hAnsi="Arial" w:cs="Arial"/>
        </w:rPr>
        <w:t>Natural Resources Defense Council</w:t>
      </w:r>
    </w:p>
    <w:p w:rsidR="00240AB0" w:rsidRDefault="00240AB0" w:rsidP="00240AB0">
      <w:pPr>
        <w:tabs>
          <w:tab w:val="left" w:pos="2160"/>
          <w:tab w:val="left" w:pos="2280"/>
        </w:tabs>
        <w:rPr>
          <w:rFonts w:ascii="Arial" w:hAnsi="Arial" w:cs="Arial"/>
        </w:rPr>
      </w:pPr>
      <w:r>
        <w:rPr>
          <w:rFonts w:ascii="Arial" w:hAnsi="Arial" w:cs="Arial"/>
        </w:rPr>
        <w:t>2 N. Riverside Plaza, Suite 2250</w:t>
      </w:r>
    </w:p>
    <w:p w:rsidR="00240AB0" w:rsidRDefault="00240AB0" w:rsidP="00240AB0">
      <w:pPr>
        <w:tabs>
          <w:tab w:val="left" w:pos="2160"/>
          <w:tab w:val="left" w:pos="2280"/>
        </w:tabs>
        <w:rPr>
          <w:rFonts w:ascii="Arial" w:hAnsi="Arial" w:cs="Arial"/>
        </w:rPr>
      </w:pPr>
      <w:r>
        <w:rPr>
          <w:rFonts w:ascii="Arial" w:hAnsi="Arial" w:cs="Arial"/>
        </w:rPr>
        <w:t>Chicago, IL  60606</w:t>
      </w:r>
    </w:p>
    <w:p w:rsidR="00240AB0" w:rsidRDefault="00240AB0" w:rsidP="00240AB0">
      <w:pPr>
        <w:tabs>
          <w:tab w:val="left" w:pos="2160"/>
          <w:tab w:val="left" w:pos="2280"/>
        </w:tabs>
        <w:rPr>
          <w:rFonts w:ascii="Arial" w:hAnsi="Arial" w:cs="Arial"/>
        </w:rPr>
      </w:pPr>
      <w:r>
        <w:rPr>
          <w:rFonts w:ascii="Arial" w:hAnsi="Arial" w:cs="Arial"/>
        </w:rPr>
        <w:t>rriley@nrdc.org</w:t>
      </w:r>
    </w:p>
    <w:p w:rsidR="00240AB0" w:rsidRDefault="00240AB0" w:rsidP="00240AB0">
      <w:pPr>
        <w:tabs>
          <w:tab w:val="left" w:pos="2160"/>
          <w:tab w:val="left" w:pos="2280"/>
        </w:tabs>
        <w:rPr>
          <w:rFonts w:ascii="Arial" w:hAnsi="Arial" w:cs="Arial"/>
        </w:rPr>
      </w:pPr>
    </w:p>
    <w:p w:rsidR="00240AB0" w:rsidRPr="00E6208A" w:rsidRDefault="00240AB0" w:rsidP="00240AB0">
      <w:pPr>
        <w:tabs>
          <w:tab w:val="left" w:pos="2160"/>
          <w:tab w:val="left" w:pos="2280"/>
        </w:tabs>
        <w:rPr>
          <w:rFonts w:ascii="Arial" w:hAnsi="Arial" w:cs="Arial"/>
          <w:b/>
          <w:smallCaps/>
        </w:rPr>
      </w:pPr>
      <w:r w:rsidRPr="00E6208A">
        <w:rPr>
          <w:rFonts w:ascii="Arial" w:hAnsi="Arial" w:cs="Arial"/>
          <w:b/>
          <w:smallCaps/>
        </w:rPr>
        <w:t>On Behalf of the Sierra Club and The Natural Resources Defense Council</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rPr>
      </w:pPr>
      <w:r>
        <w:rPr>
          <w:rFonts w:ascii="Arial" w:hAnsi="Arial" w:cs="Arial"/>
        </w:rPr>
        <w:t>Michael L. Kurtz</w:t>
      </w:r>
    </w:p>
    <w:p w:rsidR="00240AB0" w:rsidRDefault="00240AB0" w:rsidP="00240AB0">
      <w:pPr>
        <w:tabs>
          <w:tab w:val="left" w:pos="2160"/>
          <w:tab w:val="left" w:pos="2280"/>
        </w:tabs>
        <w:rPr>
          <w:rFonts w:ascii="Arial" w:hAnsi="Arial" w:cs="Arial"/>
        </w:rPr>
      </w:pPr>
      <w:r>
        <w:rPr>
          <w:rFonts w:ascii="Arial" w:hAnsi="Arial" w:cs="Arial"/>
        </w:rPr>
        <w:t>Kurt J. Boehm</w:t>
      </w:r>
    </w:p>
    <w:p w:rsidR="00240AB0" w:rsidRDefault="00240AB0" w:rsidP="00240AB0">
      <w:pPr>
        <w:tabs>
          <w:tab w:val="left" w:pos="2160"/>
          <w:tab w:val="left" w:pos="2280"/>
        </w:tabs>
        <w:rPr>
          <w:rFonts w:ascii="Arial" w:hAnsi="Arial" w:cs="Arial"/>
        </w:rPr>
      </w:pPr>
      <w:r>
        <w:rPr>
          <w:rFonts w:ascii="Arial" w:hAnsi="Arial" w:cs="Arial"/>
        </w:rPr>
        <w:t>Jody M. Kyler</w:t>
      </w:r>
    </w:p>
    <w:p w:rsidR="00240AB0" w:rsidRDefault="00240AB0" w:rsidP="00240AB0">
      <w:pPr>
        <w:tabs>
          <w:tab w:val="left" w:pos="2160"/>
          <w:tab w:val="left" w:pos="2280"/>
        </w:tabs>
        <w:rPr>
          <w:rFonts w:ascii="Arial" w:hAnsi="Arial" w:cs="Arial"/>
        </w:rPr>
      </w:pPr>
      <w:r>
        <w:rPr>
          <w:rFonts w:ascii="Arial" w:hAnsi="Arial" w:cs="Arial"/>
        </w:rPr>
        <w:t>Boehm, Kurtz &amp; Lowry</w:t>
      </w:r>
    </w:p>
    <w:p w:rsidR="00240AB0" w:rsidRDefault="00240AB0" w:rsidP="00240AB0">
      <w:pPr>
        <w:tabs>
          <w:tab w:val="left" w:pos="2160"/>
          <w:tab w:val="left" w:pos="2280"/>
        </w:tabs>
        <w:rPr>
          <w:rFonts w:ascii="Arial" w:hAnsi="Arial" w:cs="Arial"/>
        </w:rPr>
      </w:pPr>
      <w:r>
        <w:rPr>
          <w:rFonts w:ascii="Arial" w:hAnsi="Arial" w:cs="Arial"/>
        </w:rPr>
        <w:t>36 East Seventh Street, Suite 1510</w:t>
      </w:r>
    </w:p>
    <w:p w:rsidR="00240AB0" w:rsidRDefault="00240AB0" w:rsidP="00240AB0">
      <w:pPr>
        <w:tabs>
          <w:tab w:val="left" w:pos="2160"/>
          <w:tab w:val="left" w:pos="2280"/>
        </w:tabs>
        <w:rPr>
          <w:rFonts w:ascii="Arial" w:hAnsi="Arial" w:cs="Arial"/>
        </w:rPr>
      </w:pPr>
      <w:r>
        <w:rPr>
          <w:rFonts w:ascii="Arial" w:hAnsi="Arial" w:cs="Arial"/>
        </w:rPr>
        <w:t>Cincinnati, OH  45202</w:t>
      </w:r>
    </w:p>
    <w:p w:rsidR="00240AB0" w:rsidRDefault="00240AB0" w:rsidP="00240AB0">
      <w:pPr>
        <w:tabs>
          <w:tab w:val="left" w:pos="2160"/>
          <w:tab w:val="left" w:pos="2280"/>
        </w:tabs>
        <w:rPr>
          <w:rFonts w:ascii="Arial" w:hAnsi="Arial" w:cs="Arial"/>
        </w:rPr>
      </w:pPr>
      <w:r>
        <w:rPr>
          <w:rFonts w:ascii="Arial" w:hAnsi="Arial" w:cs="Arial"/>
        </w:rPr>
        <w:t>mkurtz@BKLlawfirm.com</w:t>
      </w:r>
    </w:p>
    <w:p w:rsidR="00240AB0" w:rsidRDefault="00240AB0" w:rsidP="00240AB0">
      <w:pPr>
        <w:tabs>
          <w:tab w:val="left" w:pos="2160"/>
          <w:tab w:val="left" w:pos="2280"/>
        </w:tabs>
        <w:rPr>
          <w:rFonts w:ascii="Arial" w:hAnsi="Arial" w:cs="Arial"/>
        </w:rPr>
      </w:pPr>
      <w:r>
        <w:rPr>
          <w:rFonts w:ascii="Arial" w:hAnsi="Arial" w:cs="Arial"/>
        </w:rPr>
        <w:t>kboehm@BKLlawfirm.com</w:t>
      </w:r>
    </w:p>
    <w:p w:rsidR="00240AB0" w:rsidRDefault="00240AB0" w:rsidP="00240AB0">
      <w:pPr>
        <w:tabs>
          <w:tab w:val="left" w:pos="2160"/>
          <w:tab w:val="left" w:pos="2280"/>
        </w:tabs>
        <w:rPr>
          <w:rFonts w:ascii="Arial" w:hAnsi="Arial" w:cs="Arial"/>
        </w:rPr>
      </w:pPr>
      <w:r w:rsidRPr="00E76A53">
        <w:rPr>
          <w:rFonts w:ascii="Arial" w:hAnsi="Arial" w:cs="Arial"/>
        </w:rPr>
        <w:t>jkyler@BKLlawfirm.com</w:t>
      </w:r>
    </w:p>
    <w:p w:rsidR="00240AB0" w:rsidRDefault="00240AB0" w:rsidP="00240AB0">
      <w:pPr>
        <w:tabs>
          <w:tab w:val="left" w:pos="2160"/>
          <w:tab w:val="left" w:pos="2280"/>
        </w:tabs>
        <w:rPr>
          <w:rFonts w:ascii="Arial" w:hAnsi="Arial" w:cs="Arial"/>
        </w:rPr>
      </w:pPr>
    </w:p>
    <w:p w:rsidR="00240AB0" w:rsidRPr="00E6208A" w:rsidRDefault="00240AB0" w:rsidP="00240AB0">
      <w:pPr>
        <w:tabs>
          <w:tab w:val="left" w:pos="2160"/>
          <w:tab w:val="left" w:pos="2280"/>
        </w:tabs>
        <w:rPr>
          <w:rFonts w:ascii="Arial" w:hAnsi="Arial" w:cs="Arial"/>
          <w:b/>
          <w:smallCaps/>
        </w:rPr>
      </w:pPr>
      <w:r w:rsidRPr="00E6208A">
        <w:rPr>
          <w:rFonts w:ascii="Arial" w:hAnsi="Arial" w:cs="Arial"/>
          <w:b/>
          <w:smallCaps/>
        </w:rPr>
        <w:t>On Behalf of the Ohio Energy Group</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rPr>
      </w:pPr>
      <w:r>
        <w:rPr>
          <w:rFonts w:ascii="Arial" w:hAnsi="Arial" w:cs="Arial"/>
        </w:rPr>
        <w:t>Gregory J. Poulos</w:t>
      </w:r>
    </w:p>
    <w:p w:rsidR="00240AB0" w:rsidRDefault="00240AB0" w:rsidP="00240AB0">
      <w:pPr>
        <w:tabs>
          <w:tab w:val="left" w:pos="2160"/>
          <w:tab w:val="left" w:pos="2280"/>
        </w:tabs>
        <w:rPr>
          <w:rFonts w:ascii="Arial" w:hAnsi="Arial" w:cs="Arial"/>
        </w:rPr>
      </w:pPr>
      <w:r>
        <w:rPr>
          <w:rFonts w:ascii="Arial" w:hAnsi="Arial" w:cs="Arial"/>
        </w:rPr>
        <w:t>EnerNOC, Inc.</w:t>
      </w:r>
    </w:p>
    <w:p w:rsidR="00240AB0" w:rsidRDefault="00240AB0" w:rsidP="00240AB0">
      <w:pPr>
        <w:tabs>
          <w:tab w:val="left" w:pos="2160"/>
          <w:tab w:val="left" w:pos="2280"/>
        </w:tabs>
        <w:rPr>
          <w:rFonts w:ascii="Arial" w:hAnsi="Arial" w:cs="Arial"/>
        </w:rPr>
      </w:pPr>
      <w:r>
        <w:rPr>
          <w:rFonts w:ascii="Arial" w:hAnsi="Arial" w:cs="Arial"/>
        </w:rPr>
        <w:t>471 East Broad Street, Suite 1520</w:t>
      </w:r>
    </w:p>
    <w:p w:rsidR="00240AB0" w:rsidRDefault="00240AB0" w:rsidP="00240AB0">
      <w:pPr>
        <w:tabs>
          <w:tab w:val="left" w:pos="2160"/>
          <w:tab w:val="left" w:pos="2280"/>
        </w:tabs>
        <w:rPr>
          <w:rFonts w:ascii="Arial" w:hAnsi="Arial" w:cs="Arial"/>
        </w:rPr>
      </w:pPr>
      <w:r>
        <w:rPr>
          <w:rFonts w:ascii="Arial" w:hAnsi="Arial" w:cs="Arial"/>
        </w:rPr>
        <w:t>Columbus, OH  43215</w:t>
      </w:r>
    </w:p>
    <w:p w:rsidR="00240AB0" w:rsidRDefault="00240AB0" w:rsidP="00240AB0">
      <w:pPr>
        <w:tabs>
          <w:tab w:val="left" w:pos="2160"/>
          <w:tab w:val="left" w:pos="2280"/>
        </w:tabs>
        <w:rPr>
          <w:rFonts w:ascii="Arial" w:hAnsi="Arial" w:cs="Arial"/>
        </w:rPr>
      </w:pPr>
      <w:r>
        <w:rPr>
          <w:rFonts w:ascii="Arial" w:hAnsi="Arial" w:cs="Arial"/>
        </w:rPr>
        <w:t>gpoulos@enernoc.com</w:t>
      </w:r>
    </w:p>
    <w:p w:rsidR="00240AB0" w:rsidRDefault="00240AB0" w:rsidP="00240AB0">
      <w:pPr>
        <w:tabs>
          <w:tab w:val="left" w:pos="2160"/>
          <w:tab w:val="left" w:pos="2280"/>
        </w:tabs>
        <w:rPr>
          <w:rFonts w:ascii="Arial" w:hAnsi="Arial" w:cs="Arial"/>
          <w:b/>
          <w:smallCaps/>
        </w:rPr>
      </w:pPr>
    </w:p>
    <w:p w:rsidR="00240AB0" w:rsidRDefault="00240AB0" w:rsidP="00240AB0">
      <w:pPr>
        <w:tabs>
          <w:tab w:val="left" w:pos="2160"/>
          <w:tab w:val="left" w:pos="2280"/>
        </w:tabs>
        <w:rPr>
          <w:rFonts w:ascii="Arial" w:hAnsi="Arial" w:cs="Arial"/>
          <w:b/>
          <w:smallCaps/>
        </w:rPr>
      </w:pPr>
      <w:r w:rsidRPr="00E6208A">
        <w:rPr>
          <w:rFonts w:ascii="Arial" w:hAnsi="Arial" w:cs="Arial"/>
          <w:b/>
          <w:smallCaps/>
        </w:rPr>
        <w:t>On Behalf of</w:t>
      </w:r>
      <w:r>
        <w:rPr>
          <w:rFonts w:ascii="Arial" w:hAnsi="Arial" w:cs="Arial"/>
          <w:b/>
          <w:smallCaps/>
        </w:rPr>
        <w:t xml:space="preserve"> EnerNOC, Inc.</w:t>
      </w:r>
    </w:p>
    <w:p w:rsidR="00240AB0" w:rsidRDefault="00240AB0" w:rsidP="00240AB0">
      <w:pPr>
        <w:tabs>
          <w:tab w:val="left" w:pos="2160"/>
          <w:tab w:val="left" w:pos="2280"/>
        </w:tabs>
        <w:rPr>
          <w:rFonts w:ascii="Arial" w:hAnsi="Arial" w:cs="Arial"/>
        </w:rPr>
      </w:pPr>
      <w:r>
        <w:rPr>
          <w:rFonts w:ascii="Arial" w:hAnsi="Arial" w:cs="Arial"/>
        </w:rPr>
        <w:br w:type="column"/>
      </w:r>
      <w:r>
        <w:rPr>
          <w:rFonts w:ascii="Arial" w:hAnsi="Arial" w:cs="Arial"/>
        </w:rPr>
        <w:lastRenderedPageBreak/>
        <w:t>Justin Vickers</w:t>
      </w:r>
    </w:p>
    <w:p w:rsidR="00240AB0" w:rsidRDefault="00240AB0" w:rsidP="00240AB0">
      <w:pPr>
        <w:tabs>
          <w:tab w:val="left" w:pos="2160"/>
          <w:tab w:val="left" w:pos="2280"/>
        </w:tabs>
        <w:rPr>
          <w:rFonts w:ascii="Arial" w:hAnsi="Arial" w:cs="Arial"/>
        </w:rPr>
      </w:pPr>
      <w:r>
        <w:rPr>
          <w:rFonts w:ascii="Arial" w:hAnsi="Arial" w:cs="Arial"/>
        </w:rPr>
        <w:t>Robert Kelter</w:t>
      </w:r>
    </w:p>
    <w:p w:rsidR="00240AB0" w:rsidRDefault="00240AB0" w:rsidP="00240AB0">
      <w:pPr>
        <w:tabs>
          <w:tab w:val="left" w:pos="2160"/>
          <w:tab w:val="left" w:pos="2280"/>
        </w:tabs>
        <w:rPr>
          <w:rFonts w:ascii="Arial" w:hAnsi="Arial" w:cs="Arial"/>
        </w:rPr>
      </w:pPr>
      <w:r>
        <w:rPr>
          <w:rFonts w:ascii="Arial" w:hAnsi="Arial" w:cs="Arial"/>
        </w:rPr>
        <w:t>Environmental Law &amp; Policy Center</w:t>
      </w:r>
    </w:p>
    <w:p w:rsidR="00240AB0" w:rsidRDefault="00240AB0" w:rsidP="00240AB0">
      <w:pPr>
        <w:tabs>
          <w:tab w:val="left" w:pos="2160"/>
          <w:tab w:val="left" w:pos="2280"/>
        </w:tabs>
        <w:rPr>
          <w:rFonts w:ascii="Arial" w:hAnsi="Arial" w:cs="Arial"/>
        </w:rPr>
      </w:pPr>
      <w:r>
        <w:rPr>
          <w:rFonts w:ascii="Arial" w:hAnsi="Arial" w:cs="Arial"/>
        </w:rPr>
        <w:t>35 East Wacker Drive, Suite 1600</w:t>
      </w:r>
    </w:p>
    <w:p w:rsidR="00240AB0" w:rsidRDefault="00240AB0" w:rsidP="00240AB0">
      <w:pPr>
        <w:tabs>
          <w:tab w:val="left" w:pos="2160"/>
          <w:tab w:val="left" w:pos="2280"/>
        </w:tabs>
        <w:rPr>
          <w:rFonts w:ascii="Arial" w:hAnsi="Arial" w:cs="Arial"/>
        </w:rPr>
      </w:pPr>
      <w:r>
        <w:rPr>
          <w:rFonts w:ascii="Arial" w:hAnsi="Arial" w:cs="Arial"/>
        </w:rPr>
        <w:t>Chicago, IL  60601-2110</w:t>
      </w:r>
    </w:p>
    <w:p w:rsidR="00240AB0" w:rsidRDefault="00240AB0" w:rsidP="00240AB0">
      <w:pPr>
        <w:tabs>
          <w:tab w:val="left" w:pos="2160"/>
          <w:tab w:val="left" w:pos="2280"/>
        </w:tabs>
        <w:rPr>
          <w:rFonts w:ascii="Arial" w:hAnsi="Arial" w:cs="Arial"/>
        </w:rPr>
      </w:pPr>
      <w:r w:rsidRPr="00E76A53">
        <w:rPr>
          <w:rFonts w:ascii="Arial" w:hAnsi="Arial" w:cs="Arial"/>
        </w:rPr>
        <w:t>jvickers@elpc.org</w:t>
      </w:r>
    </w:p>
    <w:p w:rsidR="00240AB0" w:rsidRDefault="00240AB0" w:rsidP="00240AB0">
      <w:pPr>
        <w:tabs>
          <w:tab w:val="left" w:pos="2160"/>
          <w:tab w:val="left" w:pos="2280"/>
        </w:tabs>
        <w:rPr>
          <w:rFonts w:ascii="Arial" w:hAnsi="Arial" w:cs="Arial"/>
        </w:rPr>
      </w:pPr>
      <w:r>
        <w:rPr>
          <w:rFonts w:ascii="Arial" w:hAnsi="Arial" w:cs="Arial"/>
        </w:rPr>
        <w:t>rkelter@elpc.org</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rPr>
      </w:pPr>
      <w:r>
        <w:rPr>
          <w:rFonts w:ascii="Arial" w:hAnsi="Arial" w:cs="Arial"/>
        </w:rPr>
        <w:t>Nicholas McDaniel</w:t>
      </w:r>
    </w:p>
    <w:p w:rsidR="00240AB0" w:rsidRDefault="00240AB0" w:rsidP="00240AB0">
      <w:pPr>
        <w:tabs>
          <w:tab w:val="left" w:pos="2160"/>
          <w:tab w:val="left" w:pos="2280"/>
        </w:tabs>
        <w:rPr>
          <w:rFonts w:ascii="Arial" w:hAnsi="Arial" w:cs="Arial"/>
        </w:rPr>
      </w:pPr>
      <w:r>
        <w:rPr>
          <w:rFonts w:ascii="Arial" w:hAnsi="Arial" w:cs="Arial"/>
        </w:rPr>
        <w:t>Trent A. Dougherty</w:t>
      </w:r>
    </w:p>
    <w:p w:rsidR="00240AB0" w:rsidRDefault="00240AB0" w:rsidP="00240AB0">
      <w:pPr>
        <w:tabs>
          <w:tab w:val="left" w:pos="2160"/>
          <w:tab w:val="left" w:pos="2280"/>
        </w:tabs>
        <w:rPr>
          <w:rFonts w:ascii="Arial" w:hAnsi="Arial" w:cs="Arial"/>
        </w:rPr>
      </w:pPr>
      <w:r>
        <w:rPr>
          <w:rFonts w:ascii="Arial" w:hAnsi="Arial" w:cs="Arial"/>
        </w:rPr>
        <w:t>Environmental Law &amp; Policy Center</w:t>
      </w:r>
    </w:p>
    <w:p w:rsidR="00240AB0" w:rsidRDefault="00240AB0" w:rsidP="00240AB0">
      <w:pPr>
        <w:tabs>
          <w:tab w:val="left" w:pos="2160"/>
          <w:tab w:val="left" w:pos="2280"/>
        </w:tabs>
        <w:rPr>
          <w:rFonts w:ascii="Arial" w:hAnsi="Arial" w:cs="Arial"/>
        </w:rPr>
      </w:pPr>
      <w:r>
        <w:rPr>
          <w:rFonts w:ascii="Arial" w:hAnsi="Arial" w:cs="Arial"/>
        </w:rPr>
        <w:t>1207 Grandview Avenue, Suite 201</w:t>
      </w:r>
    </w:p>
    <w:p w:rsidR="00240AB0" w:rsidRDefault="00240AB0" w:rsidP="00240AB0">
      <w:pPr>
        <w:tabs>
          <w:tab w:val="left" w:pos="2160"/>
          <w:tab w:val="left" w:pos="2280"/>
        </w:tabs>
        <w:rPr>
          <w:rFonts w:ascii="Arial" w:hAnsi="Arial" w:cs="Arial"/>
        </w:rPr>
      </w:pPr>
      <w:r>
        <w:rPr>
          <w:rFonts w:ascii="Arial" w:hAnsi="Arial" w:cs="Arial"/>
        </w:rPr>
        <w:t>Columbus, OH  43212</w:t>
      </w:r>
    </w:p>
    <w:p w:rsidR="00240AB0" w:rsidRDefault="00240AB0" w:rsidP="00240AB0">
      <w:pPr>
        <w:tabs>
          <w:tab w:val="left" w:pos="2160"/>
          <w:tab w:val="left" w:pos="2280"/>
        </w:tabs>
        <w:rPr>
          <w:rFonts w:ascii="Arial" w:hAnsi="Arial" w:cs="Arial"/>
        </w:rPr>
      </w:pPr>
      <w:r>
        <w:rPr>
          <w:rFonts w:ascii="Arial" w:hAnsi="Arial" w:cs="Arial"/>
        </w:rPr>
        <w:t>nmcdaniel@elpc.org</w:t>
      </w:r>
    </w:p>
    <w:p w:rsidR="00240AB0" w:rsidRDefault="00240AB0" w:rsidP="00240AB0">
      <w:pPr>
        <w:tabs>
          <w:tab w:val="left" w:pos="2160"/>
          <w:tab w:val="left" w:pos="2280"/>
        </w:tabs>
        <w:rPr>
          <w:rFonts w:ascii="Arial" w:hAnsi="Arial" w:cs="Arial"/>
        </w:rPr>
      </w:pPr>
      <w:r>
        <w:rPr>
          <w:rFonts w:ascii="Arial" w:hAnsi="Arial" w:cs="Arial"/>
        </w:rPr>
        <w:t>trent@theoec.org</w:t>
      </w:r>
    </w:p>
    <w:p w:rsidR="00240AB0" w:rsidRDefault="00240AB0" w:rsidP="00240AB0">
      <w:pPr>
        <w:tabs>
          <w:tab w:val="left" w:pos="2160"/>
          <w:tab w:val="left" w:pos="2280"/>
        </w:tabs>
        <w:rPr>
          <w:rFonts w:ascii="Arial" w:hAnsi="Arial" w:cs="Arial"/>
        </w:rPr>
      </w:pPr>
    </w:p>
    <w:p w:rsidR="00240AB0" w:rsidRPr="00E6208A" w:rsidRDefault="00240AB0" w:rsidP="00240AB0">
      <w:pPr>
        <w:tabs>
          <w:tab w:val="left" w:pos="2160"/>
          <w:tab w:val="left" w:pos="2280"/>
        </w:tabs>
        <w:rPr>
          <w:rFonts w:ascii="Arial" w:hAnsi="Arial" w:cs="Arial"/>
          <w:b/>
          <w:smallCaps/>
        </w:rPr>
      </w:pPr>
      <w:r w:rsidRPr="00E6208A">
        <w:rPr>
          <w:rFonts w:ascii="Arial" w:hAnsi="Arial" w:cs="Arial"/>
          <w:b/>
          <w:smallCaps/>
        </w:rPr>
        <w:t>On Behalf of the Environmental Law &amp; Policy Center</w:t>
      </w:r>
      <w:r>
        <w:rPr>
          <w:rFonts w:ascii="Arial" w:hAnsi="Arial" w:cs="Arial"/>
          <w:b/>
          <w:smallCaps/>
        </w:rPr>
        <w:t xml:space="preserve"> and Ohio Environmental Council</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rPr>
      </w:pPr>
      <w:r>
        <w:rPr>
          <w:rFonts w:ascii="Arial" w:hAnsi="Arial" w:cs="Arial"/>
        </w:rPr>
        <w:t>Bruce J. Weston</w:t>
      </w:r>
    </w:p>
    <w:p w:rsidR="00240AB0" w:rsidRDefault="00240AB0" w:rsidP="00240AB0">
      <w:pPr>
        <w:tabs>
          <w:tab w:val="left" w:pos="2160"/>
          <w:tab w:val="left" w:pos="2280"/>
        </w:tabs>
        <w:rPr>
          <w:rFonts w:ascii="Arial" w:hAnsi="Arial" w:cs="Arial"/>
        </w:rPr>
      </w:pPr>
      <w:r>
        <w:rPr>
          <w:rFonts w:ascii="Arial" w:hAnsi="Arial" w:cs="Arial"/>
        </w:rPr>
        <w:t>Ohio Consumers’ Counsel</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rPr>
      </w:pPr>
      <w:r>
        <w:rPr>
          <w:rFonts w:ascii="Arial" w:hAnsi="Arial" w:cs="Arial"/>
        </w:rPr>
        <w:t>Kyle L. Kern</w:t>
      </w:r>
    </w:p>
    <w:p w:rsidR="00240AB0" w:rsidRDefault="00240AB0" w:rsidP="00240AB0">
      <w:pPr>
        <w:tabs>
          <w:tab w:val="left" w:pos="2160"/>
          <w:tab w:val="left" w:pos="2280"/>
        </w:tabs>
        <w:rPr>
          <w:rFonts w:ascii="Arial" w:hAnsi="Arial" w:cs="Arial"/>
        </w:rPr>
      </w:pPr>
      <w:r>
        <w:rPr>
          <w:rFonts w:ascii="Arial" w:hAnsi="Arial" w:cs="Arial"/>
        </w:rPr>
        <w:t>Assistant Consumers’ Counsel</w:t>
      </w:r>
    </w:p>
    <w:p w:rsidR="00240AB0" w:rsidRDefault="00240AB0" w:rsidP="00240AB0">
      <w:pPr>
        <w:tabs>
          <w:tab w:val="left" w:pos="2160"/>
          <w:tab w:val="left" w:pos="2280"/>
        </w:tabs>
        <w:rPr>
          <w:rFonts w:ascii="Arial" w:hAnsi="Arial" w:cs="Arial"/>
        </w:rPr>
      </w:pPr>
      <w:r>
        <w:rPr>
          <w:rFonts w:ascii="Arial" w:hAnsi="Arial" w:cs="Arial"/>
        </w:rPr>
        <w:t>10 West Broad Street, Suite 1800</w:t>
      </w:r>
    </w:p>
    <w:p w:rsidR="00240AB0" w:rsidRDefault="00240AB0" w:rsidP="00240AB0">
      <w:pPr>
        <w:tabs>
          <w:tab w:val="left" w:pos="2160"/>
          <w:tab w:val="left" w:pos="2280"/>
        </w:tabs>
        <w:rPr>
          <w:rFonts w:ascii="Arial" w:hAnsi="Arial" w:cs="Arial"/>
        </w:rPr>
      </w:pPr>
      <w:r>
        <w:rPr>
          <w:rFonts w:ascii="Arial" w:hAnsi="Arial" w:cs="Arial"/>
        </w:rPr>
        <w:t>Columbus, OH  43215-3485</w:t>
      </w:r>
    </w:p>
    <w:p w:rsidR="00240AB0" w:rsidRDefault="00240AB0" w:rsidP="00240AB0">
      <w:pPr>
        <w:tabs>
          <w:tab w:val="left" w:pos="2160"/>
          <w:tab w:val="left" w:pos="2280"/>
        </w:tabs>
        <w:rPr>
          <w:rFonts w:ascii="Arial" w:hAnsi="Arial" w:cs="Arial"/>
        </w:rPr>
      </w:pPr>
      <w:r w:rsidRPr="00E76A53">
        <w:rPr>
          <w:rFonts w:ascii="Arial" w:hAnsi="Arial" w:cs="Arial"/>
        </w:rPr>
        <w:t>kern@occ.state.oh.us</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b/>
          <w:smallCaps/>
        </w:rPr>
      </w:pPr>
      <w:r w:rsidRPr="00E6208A">
        <w:rPr>
          <w:rFonts w:ascii="Arial" w:hAnsi="Arial" w:cs="Arial"/>
          <w:b/>
          <w:smallCaps/>
        </w:rPr>
        <w:t>On Behalf of The Office of the Ohio Consumers’ Counsel</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rPr>
      </w:pPr>
      <w:r>
        <w:rPr>
          <w:rFonts w:ascii="Arial" w:hAnsi="Arial" w:cs="Arial"/>
        </w:rPr>
        <w:t>Theodore S. Robinson</w:t>
      </w:r>
    </w:p>
    <w:p w:rsidR="00240AB0" w:rsidRDefault="00240AB0" w:rsidP="00240AB0">
      <w:pPr>
        <w:tabs>
          <w:tab w:val="left" w:pos="2160"/>
          <w:tab w:val="left" w:pos="2280"/>
        </w:tabs>
        <w:rPr>
          <w:rFonts w:ascii="Arial" w:hAnsi="Arial" w:cs="Arial"/>
        </w:rPr>
      </w:pPr>
      <w:r>
        <w:rPr>
          <w:rFonts w:ascii="Arial" w:hAnsi="Arial" w:cs="Arial"/>
        </w:rPr>
        <w:t>Citizen Power</w:t>
      </w:r>
    </w:p>
    <w:p w:rsidR="00240AB0" w:rsidRDefault="00240AB0" w:rsidP="00240AB0">
      <w:pPr>
        <w:tabs>
          <w:tab w:val="left" w:pos="2160"/>
          <w:tab w:val="left" w:pos="2280"/>
        </w:tabs>
        <w:rPr>
          <w:rFonts w:ascii="Arial" w:hAnsi="Arial" w:cs="Arial"/>
        </w:rPr>
      </w:pPr>
      <w:r>
        <w:rPr>
          <w:rFonts w:ascii="Arial" w:hAnsi="Arial" w:cs="Arial"/>
        </w:rPr>
        <w:t>2121 Murray Ave.</w:t>
      </w:r>
    </w:p>
    <w:p w:rsidR="00240AB0" w:rsidRDefault="00240AB0" w:rsidP="00240AB0">
      <w:pPr>
        <w:tabs>
          <w:tab w:val="left" w:pos="2160"/>
          <w:tab w:val="left" w:pos="2280"/>
        </w:tabs>
        <w:rPr>
          <w:rFonts w:ascii="Arial" w:hAnsi="Arial" w:cs="Arial"/>
        </w:rPr>
      </w:pPr>
      <w:r>
        <w:rPr>
          <w:rFonts w:ascii="Arial" w:hAnsi="Arial" w:cs="Arial"/>
        </w:rPr>
        <w:t>Pittsburgh, PA  15217</w:t>
      </w:r>
    </w:p>
    <w:p w:rsidR="00240AB0" w:rsidRDefault="00240AB0" w:rsidP="00240AB0">
      <w:pPr>
        <w:tabs>
          <w:tab w:val="left" w:pos="2160"/>
          <w:tab w:val="left" w:pos="2280"/>
        </w:tabs>
        <w:rPr>
          <w:rFonts w:ascii="Arial" w:hAnsi="Arial" w:cs="Arial"/>
        </w:rPr>
      </w:pPr>
      <w:r w:rsidRPr="00EF0599">
        <w:rPr>
          <w:rFonts w:ascii="Arial" w:hAnsi="Arial" w:cs="Arial"/>
        </w:rPr>
        <w:t>robinson@citizenpower.com</w:t>
      </w:r>
    </w:p>
    <w:p w:rsidR="00240AB0" w:rsidRDefault="00240AB0" w:rsidP="00240AB0">
      <w:pPr>
        <w:tabs>
          <w:tab w:val="left" w:pos="2160"/>
          <w:tab w:val="left" w:pos="2280"/>
        </w:tabs>
        <w:rPr>
          <w:rFonts w:ascii="Arial" w:hAnsi="Arial" w:cs="Arial"/>
        </w:rPr>
      </w:pPr>
    </w:p>
    <w:p w:rsidR="00240AB0" w:rsidRPr="00EF0599" w:rsidRDefault="00240AB0" w:rsidP="00240AB0">
      <w:pPr>
        <w:tabs>
          <w:tab w:val="left" w:pos="2160"/>
          <w:tab w:val="left" w:pos="2280"/>
        </w:tabs>
        <w:rPr>
          <w:rFonts w:ascii="Arial" w:hAnsi="Arial" w:cs="Arial"/>
          <w:b/>
          <w:smallCaps/>
        </w:rPr>
      </w:pPr>
      <w:r>
        <w:rPr>
          <w:rFonts w:ascii="Arial" w:hAnsi="Arial" w:cs="Arial"/>
          <w:b/>
          <w:smallCaps/>
        </w:rPr>
        <w:t>On Behalf of Citizen Power</w:t>
      </w:r>
    </w:p>
    <w:p w:rsidR="00240AB0" w:rsidRDefault="00240AB0" w:rsidP="00240AB0">
      <w:pPr>
        <w:tabs>
          <w:tab w:val="left" w:pos="2160"/>
          <w:tab w:val="left" w:pos="2280"/>
        </w:tabs>
        <w:rPr>
          <w:rFonts w:ascii="Arial" w:hAnsi="Arial" w:cs="Arial"/>
        </w:rPr>
        <w:sectPr w:rsidR="00240AB0" w:rsidSect="006D3D60">
          <w:headerReference w:type="default" r:id="rId36"/>
          <w:footerReference w:type="default" r:id="rId37"/>
          <w:headerReference w:type="first" r:id="rId38"/>
          <w:footerReference w:type="first" r:id="rId39"/>
          <w:pgSz w:w="12240" w:h="15840" w:code="1"/>
          <w:pgMar w:top="1440" w:right="1440" w:bottom="1141" w:left="1440" w:header="720" w:footer="720" w:gutter="0"/>
          <w:pgNumType w:start="1"/>
          <w:cols w:num="2" w:space="720"/>
          <w:titlePg/>
          <w:docGrid w:linePitch="326"/>
        </w:sectPr>
      </w:pPr>
    </w:p>
    <w:p w:rsidR="00240AB0" w:rsidRDefault="00240AB0" w:rsidP="00240AB0">
      <w:pPr>
        <w:tabs>
          <w:tab w:val="left" w:pos="2160"/>
          <w:tab w:val="left" w:pos="2280"/>
        </w:tabs>
        <w:rPr>
          <w:rFonts w:ascii="Arial" w:hAnsi="Arial" w:cs="Arial"/>
        </w:rPr>
      </w:pPr>
      <w:r>
        <w:rPr>
          <w:rFonts w:ascii="Arial" w:hAnsi="Arial" w:cs="Arial"/>
        </w:rPr>
        <w:lastRenderedPageBreak/>
        <w:t>Michael K. Lavanga</w:t>
      </w:r>
    </w:p>
    <w:p w:rsidR="00240AB0" w:rsidRDefault="00240AB0" w:rsidP="00240AB0">
      <w:pPr>
        <w:tabs>
          <w:tab w:val="left" w:pos="2160"/>
          <w:tab w:val="left" w:pos="2280"/>
        </w:tabs>
        <w:rPr>
          <w:rFonts w:ascii="Arial" w:hAnsi="Arial" w:cs="Arial"/>
        </w:rPr>
      </w:pPr>
      <w:r>
        <w:rPr>
          <w:rFonts w:ascii="Arial" w:hAnsi="Arial" w:cs="Arial"/>
        </w:rPr>
        <w:t>Brickfield, Burchette, Ritts &amp; Stone, P.C.</w:t>
      </w:r>
    </w:p>
    <w:p w:rsidR="00240AB0" w:rsidRDefault="00240AB0" w:rsidP="00240AB0">
      <w:pPr>
        <w:tabs>
          <w:tab w:val="left" w:pos="2160"/>
          <w:tab w:val="left" w:pos="2280"/>
        </w:tabs>
        <w:rPr>
          <w:rFonts w:ascii="Arial" w:hAnsi="Arial" w:cs="Arial"/>
        </w:rPr>
      </w:pPr>
      <w:r>
        <w:rPr>
          <w:rFonts w:ascii="Arial" w:hAnsi="Arial" w:cs="Arial"/>
        </w:rPr>
        <w:t>1025 Thomas Jefferson Street, N.W.</w:t>
      </w:r>
    </w:p>
    <w:p w:rsidR="00240AB0" w:rsidRDefault="00240AB0" w:rsidP="00240AB0">
      <w:pPr>
        <w:tabs>
          <w:tab w:val="left" w:pos="2160"/>
          <w:tab w:val="left" w:pos="2280"/>
        </w:tabs>
        <w:rPr>
          <w:rFonts w:ascii="Arial" w:hAnsi="Arial" w:cs="Arial"/>
        </w:rPr>
      </w:pPr>
      <w:r>
        <w:rPr>
          <w:rFonts w:ascii="Arial" w:hAnsi="Arial" w:cs="Arial"/>
        </w:rPr>
        <w:t>8</w:t>
      </w:r>
      <w:r w:rsidRPr="00ED22CC">
        <w:rPr>
          <w:rFonts w:ascii="Arial" w:hAnsi="Arial" w:cs="Arial"/>
          <w:vertAlign w:val="superscript"/>
        </w:rPr>
        <w:t>th</w:t>
      </w:r>
      <w:r>
        <w:rPr>
          <w:rFonts w:ascii="Arial" w:hAnsi="Arial" w:cs="Arial"/>
        </w:rPr>
        <w:t xml:space="preserve"> Floor, West Tower</w:t>
      </w:r>
    </w:p>
    <w:p w:rsidR="00240AB0" w:rsidRDefault="00240AB0" w:rsidP="00240AB0">
      <w:pPr>
        <w:tabs>
          <w:tab w:val="left" w:pos="2160"/>
          <w:tab w:val="left" w:pos="2280"/>
        </w:tabs>
        <w:rPr>
          <w:rFonts w:ascii="Arial" w:hAnsi="Arial" w:cs="Arial"/>
        </w:rPr>
      </w:pPr>
      <w:r>
        <w:rPr>
          <w:rFonts w:ascii="Arial" w:hAnsi="Arial" w:cs="Arial"/>
        </w:rPr>
        <w:t>Washington, DC 20007</w:t>
      </w:r>
    </w:p>
    <w:p w:rsidR="00240AB0" w:rsidRDefault="00240AB0" w:rsidP="00240AB0">
      <w:pPr>
        <w:tabs>
          <w:tab w:val="left" w:pos="2160"/>
          <w:tab w:val="left" w:pos="2280"/>
        </w:tabs>
        <w:rPr>
          <w:rFonts w:ascii="Arial" w:hAnsi="Arial" w:cs="Arial"/>
        </w:rPr>
      </w:pPr>
      <w:r>
        <w:rPr>
          <w:rFonts w:ascii="Arial" w:hAnsi="Arial" w:cs="Arial"/>
        </w:rPr>
        <w:t>mkl@bbrslaw.com</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b/>
          <w:smallCaps/>
        </w:rPr>
      </w:pPr>
      <w:r>
        <w:rPr>
          <w:rFonts w:ascii="Arial" w:hAnsi="Arial" w:cs="Arial"/>
          <w:b/>
          <w:smallCaps/>
        </w:rPr>
        <w:t>On Behalf of Nucor Steel Marion, Inc.</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rPr>
      </w:pPr>
      <w:r>
        <w:rPr>
          <w:rFonts w:ascii="Arial" w:hAnsi="Arial" w:cs="Arial"/>
        </w:rPr>
        <w:t>Glenn S. Krassen</w:t>
      </w:r>
    </w:p>
    <w:p w:rsidR="00240AB0" w:rsidRDefault="00240AB0" w:rsidP="00240AB0">
      <w:pPr>
        <w:tabs>
          <w:tab w:val="left" w:pos="2160"/>
          <w:tab w:val="left" w:pos="2280"/>
        </w:tabs>
        <w:rPr>
          <w:rFonts w:ascii="Arial" w:hAnsi="Arial" w:cs="Arial"/>
        </w:rPr>
      </w:pPr>
      <w:r>
        <w:rPr>
          <w:rFonts w:ascii="Arial" w:hAnsi="Arial" w:cs="Arial"/>
        </w:rPr>
        <w:t>Bricker &amp; Eckler LLP</w:t>
      </w:r>
    </w:p>
    <w:p w:rsidR="00240AB0" w:rsidRDefault="00240AB0" w:rsidP="00240AB0">
      <w:pPr>
        <w:tabs>
          <w:tab w:val="left" w:pos="2160"/>
          <w:tab w:val="left" w:pos="2280"/>
        </w:tabs>
        <w:rPr>
          <w:rFonts w:ascii="Arial" w:hAnsi="Arial" w:cs="Arial"/>
        </w:rPr>
      </w:pPr>
      <w:r>
        <w:rPr>
          <w:rFonts w:ascii="Arial" w:hAnsi="Arial" w:cs="Arial"/>
        </w:rPr>
        <w:t>1001 Lakeside Avenue East, Suite 1350</w:t>
      </w:r>
    </w:p>
    <w:p w:rsidR="00240AB0" w:rsidRDefault="00240AB0" w:rsidP="00240AB0">
      <w:pPr>
        <w:tabs>
          <w:tab w:val="left" w:pos="2160"/>
          <w:tab w:val="left" w:pos="2280"/>
        </w:tabs>
        <w:rPr>
          <w:rFonts w:ascii="Arial" w:hAnsi="Arial" w:cs="Arial"/>
        </w:rPr>
      </w:pPr>
      <w:r>
        <w:rPr>
          <w:rFonts w:ascii="Arial" w:hAnsi="Arial" w:cs="Arial"/>
        </w:rPr>
        <w:t>Cleveland, OH  44114</w:t>
      </w:r>
    </w:p>
    <w:p w:rsidR="00240AB0" w:rsidRDefault="00240AB0" w:rsidP="00240AB0">
      <w:pPr>
        <w:tabs>
          <w:tab w:val="left" w:pos="2160"/>
          <w:tab w:val="left" w:pos="2280"/>
        </w:tabs>
        <w:rPr>
          <w:rFonts w:ascii="Arial" w:hAnsi="Arial" w:cs="Arial"/>
        </w:rPr>
      </w:pPr>
      <w:r>
        <w:rPr>
          <w:rFonts w:ascii="Arial" w:hAnsi="Arial" w:cs="Arial"/>
        </w:rPr>
        <w:t>gkrassen@bricker.com</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rPr>
      </w:pPr>
      <w:r>
        <w:rPr>
          <w:rFonts w:ascii="Arial" w:hAnsi="Arial" w:cs="Arial"/>
        </w:rPr>
        <w:t>Matthew W. Warnock</w:t>
      </w:r>
    </w:p>
    <w:p w:rsidR="00240AB0" w:rsidRDefault="00240AB0" w:rsidP="00240AB0">
      <w:pPr>
        <w:tabs>
          <w:tab w:val="left" w:pos="2160"/>
          <w:tab w:val="left" w:pos="2280"/>
        </w:tabs>
        <w:rPr>
          <w:rFonts w:ascii="Arial" w:hAnsi="Arial" w:cs="Arial"/>
        </w:rPr>
      </w:pPr>
      <w:r>
        <w:rPr>
          <w:rFonts w:ascii="Arial" w:hAnsi="Arial" w:cs="Arial"/>
        </w:rPr>
        <w:t>Bricker &amp; Eckler LLP</w:t>
      </w:r>
    </w:p>
    <w:p w:rsidR="00240AB0" w:rsidRDefault="00240AB0" w:rsidP="00240AB0">
      <w:pPr>
        <w:tabs>
          <w:tab w:val="left" w:pos="2160"/>
          <w:tab w:val="left" w:pos="2280"/>
        </w:tabs>
        <w:rPr>
          <w:rFonts w:ascii="Arial" w:hAnsi="Arial" w:cs="Arial"/>
        </w:rPr>
      </w:pPr>
      <w:r>
        <w:rPr>
          <w:rFonts w:ascii="Arial" w:hAnsi="Arial" w:cs="Arial"/>
        </w:rPr>
        <w:t>100 South Third Street</w:t>
      </w:r>
    </w:p>
    <w:p w:rsidR="00240AB0" w:rsidRDefault="00240AB0" w:rsidP="00240AB0">
      <w:pPr>
        <w:tabs>
          <w:tab w:val="left" w:pos="2160"/>
          <w:tab w:val="left" w:pos="2280"/>
        </w:tabs>
        <w:rPr>
          <w:rFonts w:ascii="Arial" w:hAnsi="Arial" w:cs="Arial"/>
        </w:rPr>
      </w:pPr>
      <w:r>
        <w:rPr>
          <w:rFonts w:ascii="Arial" w:hAnsi="Arial" w:cs="Arial"/>
        </w:rPr>
        <w:t>Columbus, OH  43215</w:t>
      </w:r>
    </w:p>
    <w:p w:rsidR="00240AB0" w:rsidRDefault="00240AB0" w:rsidP="00240AB0">
      <w:pPr>
        <w:tabs>
          <w:tab w:val="left" w:pos="2160"/>
          <w:tab w:val="left" w:pos="2280"/>
        </w:tabs>
        <w:rPr>
          <w:rFonts w:ascii="Arial" w:hAnsi="Arial" w:cs="Arial"/>
        </w:rPr>
      </w:pPr>
      <w:r>
        <w:rPr>
          <w:rFonts w:ascii="Arial" w:hAnsi="Arial" w:cs="Arial"/>
        </w:rPr>
        <w:t>mwarnock@bricker.com</w:t>
      </w:r>
    </w:p>
    <w:p w:rsidR="00240AB0" w:rsidRDefault="00240AB0" w:rsidP="00240AB0">
      <w:pPr>
        <w:tabs>
          <w:tab w:val="left" w:pos="2160"/>
          <w:tab w:val="left" w:pos="2280"/>
        </w:tabs>
        <w:rPr>
          <w:rFonts w:ascii="Arial" w:hAnsi="Arial" w:cs="Arial"/>
        </w:rPr>
      </w:pPr>
    </w:p>
    <w:p w:rsidR="00240AB0" w:rsidRPr="003E3CC2" w:rsidRDefault="00240AB0" w:rsidP="00240AB0">
      <w:pPr>
        <w:tabs>
          <w:tab w:val="left" w:pos="2160"/>
          <w:tab w:val="left" w:pos="2280"/>
        </w:tabs>
        <w:rPr>
          <w:rFonts w:ascii="Arial" w:hAnsi="Arial" w:cs="Arial"/>
          <w:b/>
          <w:smallCaps/>
        </w:rPr>
      </w:pPr>
      <w:r w:rsidRPr="003E3CC2">
        <w:rPr>
          <w:rFonts w:ascii="Arial" w:hAnsi="Arial" w:cs="Arial"/>
          <w:b/>
          <w:smallCaps/>
        </w:rPr>
        <w:t>On Behalf of Northeast Ohio Public Energy Council</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rPr>
      </w:pPr>
      <w:r>
        <w:rPr>
          <w:rFonts w:ascii="Arial" w:hAnsi="Arial" w:cs="Arial"/>
        </w:rPr>
        <w:t>William Wright</w:t>
      </w:r>
    </w:p>
    <w:p w:rsidR="00240AB0" w:rsidRDefault="00240AB0" w:rsidP="00240AB0">
      <w:pPr>
        <w:tabs>
          <w:tab w:val="left" w:pos="2160"/>
          <w:tab w:val="left" w:pos="2280"/>
        </w:tabs>
        <w:rPr>
          <w:rFonts w:ascii="Arial" w:hAnsi="Arial" w:cs="Arial"/>
        </w:rPr>
      </w:pPr>
      <w:r>
        <w:rPr>
          <w:rFonts w:ascii="Arial" w:hAnsi="Arial" w:cs="Arial"/>
        </w:rPr>
        <w:t>Devin Parram</w:t>
      </w:r>
    </w:p>
    <w:p w:rsidR="00240AB0" w:rsidRDefault="00240AB0" w:rsidP="00240AB0">
      <w:pPr>
        <w:tabs>
          <w:tab w:val="left" w:pos="2160"/>
          <w:tab w:val="left" w:pos="2280"/>
        </w:tabs>
        <w:rPr>
          <w:rFonts w:ascii="Arial" w:hAnsi="Arial" w:cs="Arial"/>
        </w:rPr>
      </w:pPr>
      <w:r>
        <w:rPr>
          <w:rFonts w:ascii="Arial" w:hAnsi="Arial" w:cs="Arial"/>
        </w:rPr>
        <w:t>Attorney General’s Office</w:t>
      </w:r>
    </w:p>
    <w:p w:rsidR="00240AB0" w:rsidRDefault="00240AB0" w:rsidP="00240AB0">
      <w:pPr>
        <w:tabs>
          <w:tab w:val="left" w:pos="2160"/>
          <w:tab w:val="left" w:pos="2280"/>
        </w:tabs>
        <w:rPr>
          <w:rFonts w:ascii="Arial" w:hAnsi="Arial" w:cs="Arial"/>
        </w:rPr>
      </w:pPr>
      <w:r>
        <w:rPr>
          <w:rFonts w:ascii="Arial" w:hAnsi="Arial" w:cs="Arial"/>
        </w:rPr>
        <w:t>Public Utilities Commission of Ohio</w:t>
      </w:r>
    </w:p>
    <w:p w:rsidR="00240AB0" w:rsidRDefault="00240AB0" w:rsidP="00240AB0">
      <w:pPr>
        <w:tabs>
          <w:tab w:val="left" w:pos="2160"/>
          <w:tab w:val="left" w:pos="2280"/>
        </w:tabs>
        <w:rPr>
          <w:rFonts w:ascii="Arial" w:hAnsi="Arial" w:cs="Arial"/>
        </w:rPr>
      </w:pPr>
      <w:r>
        <w:rPr>
          <w:rFonts w:ascii="Arial" w:hAnsi="Arial" w:cs="Arial"/>
        </w:rPr>
        <w:t>180 East Broad St., 6</w:t>
      </w:r>
      <w:r w:rsidRPr="00E6208A">
        <w:rPr>
          <w:rFonts w:ascii="Arial" w:hAnsi="Arial" w:cs="Arial"/>
          <w:vertAlign w:val="superscript"/>
        </w:rPr>
        <w:t>th</w:t>
      </w:r>
      <w:r>
        <w:rPr>
          <w:rFonts w:ascii="Arial" w:hAnsi="Arial" w:cs="Arial"/>
        </w:rPr>
        <w:t xml:space="preserve"> Floor</w:t>
      </w:r>
    </w:p>
    <w:p w:rsidR="00240AB0" w:rsidRDefault="00240AB0" w:rsidP="00240AB0">
      <w:pPr>
        <w:tabs>
          <w:tab w:val="left" w:pos="2160"/>
          <w:tab w:val="left" w:pos="2280"/>
        </w:tabs>
        <w:rPr>
          <w:rFonts w:ascii="Arial" w:hAnsi="Arial" w:cs="Arial"/>
        </w:rPr>
      </w:pPr>
      <w:r>
        <w:rPr>
          <w:rFonts w:ascii="Arial" w:hAnsi="Arial" w:cs="Arial"/>
        </w:rPr>
        <w:t>Columbus, OH  43215</w:t>
      </w:r>
    </w:p>
    <w:p w:rsidR="00240AB0" w:rsidRDefault="00240AB0" w:rsidP="00240AB0">
      <w:pPr>
        <w:tabs>
          <w:tab w:val="left" w:pos="2160"/>
          <w:tab w:val="left" w:pos="2280"/>
        </w:tabs>
        <w:rPr>
          <w:rFonts w:ascii="Arial" w:hAnsi="Arial" w:cs="Arial"/>
        </w:rPr>
      </w:pPr>
      <w:r w:rsidRPr="00E76A53">
        <w:rPr>
          <w:rFonts w:ascii="Arial" w:hAnsi="Arial" w:cs="Arial"/>
        </w:rPr>
        <w:t>devin.parram@puc.state.oh.us</w:t>
      </w:r>
    </w:p>
    <w:p w:rsidR="00240AB0" w:rsidRDefault="00240AB0" w:rsidP="00240AB0">
      <w:pPr>
        <w:tabs>
          <w:tab w:val="left" w:pos="2160"/>
          <w:tab w:val="left" w:pos="2280"/>
        </w:tabs>
        <w:rPr>
          <w:rFonts w:ascii="Arial" w:hAnsi="Arial" w:cs="Arial"/>
        </w:rPr>
      </w:pPr>
      <w:r>
        <w:rPr>
          <w:rFonts w:ascii="Arial" w:hAnsi="Arial" w:cs="Arial"/>
        </w:rPr>
        <w:t>william.wright@puc.state.oh.us</w:t>
      </w:r>
    </w:p>
    <w:p w:rsidR="00240AB0" w:rsidRDefault="00240AB0" w:rsidP="00240AB0">
      <w:pPr>
        <w:tabs>
          <w:tab w:val="left" w:pos="2160"/>
          <w:tab w:val="left" w:pos="2280"/>
        </w:tabs>
        <w:rPr>
          <w:rFonts w:ascii="Arial" w:hAnsi="Arial" w:cs="Arial"/>
        </w:rPr>
      </w:pPr>
    </w:p>
    <w:p w:rsidR="00240AB0" w:rsidRPr="00473CF2" w:rsidRDefault="00240AB0" w:rsidP="00240AB0">
      <w:pPr>
        <w:tabs>
          <w:tab w:val="left" w:pos="2160"/>
          <w:tab w:val="left" w:pos="2280"/>
        </w:tabs>
        <w:rPr>
          <w:rFonts w:ascii="Arial" w:hAnsi="Arial" w:cs="Arial"/>
          <w:b/>
          <w:smallCaps/>
        </w:rPr>
      </w:pPr>
      <w:r w:rsidRPr="00473CF2">
        <w:rPr>
          <w:rFonts w:ascii="Arial" w:hAnsi="Arial" w:cs="Arial"/>
          <w:b/>
          <w:smallCaps/>
        </w:rPr>
        <w:t>On Behalf of the Public Utilities Commission of Ohio</w:t>
      </w:r>
    </w:p>
    <w:p w:rsidR="00240AB0" w:rsidRDefault="00240AB0" w:rsidP="00240AB0">
      <w:pPr>
        <w:tabs>
          <w:tab w:val="left" w:pos="2160"/>
          <w:tab w:val="left" w:pos="2280"/>
        </w:tabs>
        <w:rPr>
          <w:rFonts w:ascii="Arial" w:hAnsi="Arial" w:cs="Arial"/>
          <w:b/>
          <w:smallCaps/>
        </w:rPr>
      </w:pPr>
    </w:p>
    <w:p w:rsidR="00240AB0" w:rsidRDefault="00240AB0" w:rsidP="00240AB0">
      <w:pPr>
        <w:tabs>
          <w:tab w:val="left" w:pos="2160"/>
          <w:tab w:val="left" w:pos="2280"/>
        </w:tabs>
        <w:rPr>
          <w:rFonts w:ascii="Arial" w:hAnsi="Arial" w:cs="Arial"/>
        </w:rPr>
      </w:pPr>
      <w:r>
        <w:rPr>
          <w:rFonts w:ascii="Arial" w:hAnsi="Arial" w:cs="Arial"/>
        </w:rPr>
        <w:t>Gregory Price</w:t>
      </w:r>
    </w:p>
    <w:p w:rsidR="00240AB0" w:rsidRDefault="00240AB0" w:rsidP="00240AB0">
      <w:pPr>
        <w:tabs>
          <w:tab w:val="left" w:pos="2160"/>
          <w:tab w:val="left" w:pos="2280"/>
        </w:tabs>
        <w:rPr>
          <w:rFonts w:ascii="Arial" w:hAnsi="Arial" w:cs="Arial"/>
        </w:rPr>
      </w:pPr>
      <w:r>
        <w:rPr>
          <w:rFonts w:ascii="Arial" w:hAnsi="Arial" w:cs="Arial"/>
        </w:rPr>
        <w:t>Mandy Willey Chiles</w:t>
      </w:r>
    </w:p>
    <w:p w:rsidR="00240AB0" w:rsidRDefault="00240AB0" w:rsidP="00240AB0">
      <w:pPr>
        <w:tabs>
          <w:tab w:val="left" w:pos="2160"/>
          <w:tab w:val="left" w:pos="2280"/>
        </w:tabs>
        <w:rPr>
          <w:rFonts w:ascii="Arial" w:hAnsi="Arial" w:cs="Arial"/>
        </w:rPr>
      </w:pPr>
      <w:r>
        <w:rPr>
          <w:rFonts w:ascii="Arial" w:hAnsi="Arial" w:cs="Arial"/>
        </w:rPr>
        <w:t>Attorney Examiners</w:t>
      </w:r>
    </w:p>
    <w:p w:rsidR="00240AB0" w:rsidRDefault="00240AB0" w:rsidP="00240AB0">
      <w:pPr>
        <w:tabs>
          <w:tab w:val="left" w:pos="2160"/>
          <w:tab w:val="left" w:pos="2280"/>
        </w:tabs>
        <w:rPr>
          <w:rFonts w:ascii="Arial" w:hAnsi="Arial" w:cs="Arial"/>
        </w:rPr>
      </w:pPr>
      <w:r>
        <w:rPr>
          <w:rFonts w:ascii="Arial" w:hAnsi="Arial" w:cs="Arial"/>
        </w:rPr>
        <w:t>Public Utilities Commission of Ohio</w:t>
      </w:r>
    </w:p>
    <w:p w:rsidR="00240AB0" w:rsidRDefault="00240AB0" w:rsidP="00240AB0">
      <w:pPr>
        <w:tabs>
          <w:tab w:val="left" w:pos="2160"/>
          <w:tab w:val="left" w:pos="2280"/>
        </w:tabs>
        <w:rPr>
          <w:rFonts w:ascii="Arial" w:hAnsi="Arial" w:cs="Arial"/>
        </w:rPr>
      </w:pPr>
      <w:r>
        <w:rPr>
          <w:rFonts w:ascii="Arial" w:hAnsi="Arial" w:cs="Arial"/>
        </w:rPr>
        <w:t>180 East Broad Street</w:t>
      </w:r>
    </w:p>
    <w:p w:rsidR="00240AB0" w:rsidRDefault="00240AB0" w:rsidP="00240AB0">
      <w:pPr>
        <w:tabs>
          <w:tab w:val="left" w:pos="2160"/>
          <w:tab w:val="left" w:pos="2280"/>
        </w:tabs>
        <w:rPr>
          <w:rFonts w:ascii="Arial" w:hAnsi="Arial" w:cs="Arial"/>
        </w:rPr>
      </w:pPr>
      <w:r>
        <w:rPr>
          <w:rFonts w:ascii="Arial" w:hAnsi="Arial" w:cs="Arial"/>
        </w:rPr>
        <w:t>Columbus, OH  43215</w:t>
      </w:r>
    </w:p>
    <w:p w:rsidR="00240AB0" w:rsidRDefault="00240AB0" w:rsidP="00240AB0">
      <w:pPr>
        <w:tabs>
          <w:tab w:val="left" w:pos="2160"/>
          <w:tab w:val="left" w:pos="2280"/>
        </w:tabs>
        <w:rPr>
          <w:rFonts w:ascii="Arial" w:hAnsi="Arial" w:cs="Arial"/>
        </w:rPr>
      </w:pPr>
      <w:r>
        <w:rPr>
          <w:rFonts w:ascii="Arial" w:hAnsi="Arial" w:cs="Arial"/>
        </w:rPr>
        <w:t>gregory.price@puc.state.oh.us</w:t>
      </w:r>
    </w:p>
    <w:p w:rsidR="00240AB0" w:rsidRDefault="00240AB0" w:rsidP="00240AB0">
      <w:pPr>
        <w:tabs>
          <w:tab w:val="left" w:pos="2160"/>
          <w:tab w:val="left" w:pos="2280"/>
        </w:tabs>
        <w:rPr>
          <w:rFonts w:ascii="Arial" w:hAnsi="Arial" w:cs="Arial"/>
        </w:rPr>
      </w:pPr>
      <w:r w:rsidRPr="00E76A53">
        <w:rPr>
          <w:rFonts w:ascii="Arial" w:hAnsi="Arial" w:cs="Arial"/>
        </w:rPr>
        <w:t>mandy.willey@puc.state.oh.us</w:t>
      </w:r>
    </w:p>
    <w:p w:rsidR="00240AB0" w:rsidRDefault="00240AB0" w:rsidP="00240AB0">
      <w:pPr>
        <w:tabs>
          <w:tab w:val="left" w:pos="2160"/>
          <w:tab w:val="left" w:pos="2280"/>
        </w:tabs>
        <w:rPr>
          <w:rFonts w:ascii="Arial" w:hAnsi="Arial" w:cs="Arial"/>
        </w:rPr>
      </w:pPr>
    </w:p>
    <w:p w:rsidR="00240AB0" w:rsidRDefault="00240AB0" w:rsidP="00240AB0">
      <w:pPr>
        <w:tabs>
          <w:tab w:val="left" w:pos="2160"/>
          <w:tab w:val="left" w:pos="2280"/>
        </w:tabs>
        <w:rPr>
          <w:rFonts w:ascii="Arial" w:hAnsi="Arial" w:cs="Arial"/>
          <w:b/>
          <w:smallCaps/>
        </w:rPr>
      </w:pPr>
      <w:r w:rsidRPr="00473CF2">
        <w:rPr>
          <w:rFonts w:ascii="Arial" w:hAnsi="Arial" w:cs="Arial"/>
          <w:b/>
          <w:smallCaps/>
        </w:rPr>
        <w:t>Attorney Examiners</w:t>
      </w:r>
    </w:p>
    <w:p w:rsidR="00240AB0" w:rsidRPr="003E3CC2" w:rsidRDefault="00240AB0" w:rsidP="00240AB0">
      <w:pPr>
        <w:tabs>
          <w:tab w:val="left" w:pos="2160"/>
          <w:tab w:val="left" w:pos="2280"/>
        </w:tabs>
      </w:pPr>
    </w:p>
    <w:p w:rsidR="008E3BF4" w:rsidRDefault="008E3BF4" w:rsidP="00A87AFF"/>
    <w:sectPr w:rsidR="008E3BF4" w:rsidSect="006D3D60">
      <w:headerReference w:type="default" r:id="rId40"/>
      <w:footerReference w:type="default" r:id="rId41"/>
      <w:headerReference w:type="first" r:id="rId42"/>
      <w:footerReference w:type="first" r:id="rId43"/>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C8" w:rsidRDefault="00FF5EC8" w:rsidP="007A364C">
      <w:r>
        <w:separator/>
      </w:r>
    </w:p>
  </w:endnote>
  <w:endnote w:type="continuationSeparator" w:id="0">
    <w:p w:rsidR="00FF5EC8" w:rsidRDefault="00FF5EC8" w:rsidP="007A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66" w:rsidRDefault="00A7196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Default="00FF5EC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Pr="00FA6962" w:rsidRDefault="00A71966">
    <w:pPr>
      <w:pStyle w:val="Footer"/>
    </w:pPr>
    <w:r w:rsidRPr="00A71966">
      <w:rPr>
        <w:noProof/>
        <w:sz w:val="16"/>
      </w:rPr>
      <w:t>{C40406:2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Pr="00FA6962" w:rsidRDefault="00A71966">
    <w:pPr>
      <w:pStyle w:val="Footer"/>
    </w:pPr>
    <w:r w:rsidRPr="00A71966">
      <w:rPr>
        <w:noProof/>
        <w:sz w:val="16"/>
      </w:rPr>
      <w:t>{C40406:2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Pr="00FA6962" w:rsidRDefault="00A71966">
    <w:pPr>
      <w:pStyle w:val="Footer"/>
    </w:pPr>
    <w:r w:rsidRPr="00A71966">
      <w:rPr>
        <w:noProof/>
        <w:sz w:val="16"/>
      </w:rPr>
      <w:t>{C40406:2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Pr="00FA6962" w:rsidRDefault="00A71966">
    <w:pPr>
      <w:pStyle w:val="Footer"/>
    </w:pPr>
    <w:r w:rsidRPr="00A71966">
      <w:rPr>
        <w:noProof/>
        <w:sz w:val="16"/>
      </w:rPr>
      <w:t>{C40406:2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Pr="00FA6962" w:rsidRDefault="00A71966">
    <w:pPr>
      <w:pStyle w:val="Footer"/>
    </w:pPr>
    <w:r w:rsidRPr="00A71966">
      <w:rPr>
        <w:noProof/>
        <w:sz w:val="16"/>
      </w:rPr>
      <w:t>{C40406:2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Pr="00FA6962" w:rsidRDefault="00A71966">
    <w:pPr>
      <w:pStyle w:val="Footer"/>
    </w:pPr>
    <w:r w:rsidRPr="00A71966">
      <w:rPr>
        <w:noProof/>
        <w:sz w:val="16"/>
      </w:rPr>
      <w:t>{C40406:2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Pr="00FA6962" w:rsidRDefault="00A71966">
    <w:pPr>
      <w:pStyle w:val="Footer"/>
    </w:pPr>
    <w:r w:rsidRPr="00A71966">
      <w:rPr>
        <w:noProof/>
        <w:sz w:val="16"/>
      </w:rPr>
      <w:t>{C40406:2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Pr="00FA6962" w:rsidRDefault="00A71966">
    <w:pPr>
      <w:pStyle w:val="Footer"/>
    </w:pPr>
    <w:r w:rsidRPr="00A71966">
      <w:rPr>
        <w:noProof/>
        <w:sz w:val="16"/>
      </w:rPr>
      <w:t>{C40406:2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Pr="007A364C" w:rsidRDefault="00A71966">
    <w:pPr>
      <w:pStyle w:val="Footer"/>
    </w:pPr>
    <w:r w:rsidRPr="00A71966">
      <w:rPr>
        <w:noProof/>
        <w:sz w:val="16"/>
      </w:rPr>
      <w:t>{C40406:2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Pr="007A364C" w:rsidRDefault="00A71966">
    <w:pPr>
      <w:pStyle w:val="Footer"/>
    </w:pPr>
    <w:r w:rsidRPr="00A71966">
      <w:rPr>
        <w:noProof/>
        <w:sz w:val="16"/>
      </w:rPr>
      <w:t>{C40406:2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Pr="00C344A7" w:rsidRDefault="00A71966" w:rsidP="00B9499F">
    <w:pPr>
      <w:pStyle w:val="Footer"/>
      <w:rPr>
        <w:rFonts w:ascii="Arial" w:hAnsi="Arial" w:cs="Arial"/>
      </w:rPr>
    </w:pPr>
    <w:r w:rsidRPr="00A71966">
      <w:rPr>
        <w:noProof/>
        <w:sz w:val="16"/>
      </w:rPr>
      <w:t>{C40406:2 }</w:t>
    </w:r>
    <w:sdt>
      <w:sdtPr>
        <w:id w:val="-83921738"/>
        <w:docPartObj>
          <w:docPartGallery w:val="Page Numbers (Bottom of Page)"/>
          <w:docPartUnique/>
        </w:docPartObj>
      </w:sdtPr>
      <w:sdtEndPr>
        <w:rPr>
          <w:rFonts w:ascii="Arial" w:hAnsi="Arial" w:cs="Arial"/>
          <w:noProof/>
        </w:rPr>
      </w:sdtEndPr>
      <w:sdtContent>
        <w:r w:rsidR="00FF5EC8">
          <w:tab/>
        </w:r>
        <w:r w:rsidR="00FF5EC8" w:rsidRPr="00C344A7">
          <w:rPr>
            <w:rFonts w:ascii="Arial" w:hAnsi="Arial" w:cs="Arial"/>
          </w:rPr>
          <w:fldChar w:fldCharType="begin"/>
        </w:r>
        <w:r w:rsidR="00FF5EC8" w:rsidRPr="00C344A7">
          <w:rPr>
            <w:rFonts w:ascii="Arial" w:hAnsi="Arial" w:cs="Arial"/>
          </w:rPr>
          <w:instrText xml:space="preserve"> PAGE   \* MERGEFORMAT </w:instrText>
        </w:r>
        <w:r w:rsidR="00FF5EC8" w:rsidRPr="00C344A7">
          <w:rPr>
            <w:rFonts w:ascii="Arial" w:hAnsi="Arial" w:cs="Arial"/>
          </w:rPr>
          <w:fldChar w:fldCharType="separate"/>
        </w:r>
        <w:r w:rsidR="00FF5EC8">
          <w:rPr>
            <w:rFonts w:ascii="Arial" w:hAnsi="Arial" w:cs="Arial"/>
            <w:noProof/>
          </w:rPr>
          <w:t>2</w:t>
        </w:r>
        <w:r w:rsidR="00FF5EC8" w:rsidRPr="00C344A7">
          <w:rPr>
            <w:rFonts w:ascii="Arial" w:hAnsi="Arial" w:cs="Arial"/>
            <w:noProof/>
          </w:rPr>
          <w:fldChar w:fldCharType="end"/>
        </w:r>
      </w:sdtContent>
    </w:sdt>
  </w:p>
  <w:p w:rsidR="00FF5EC8" w:rsidRPr="00C344A7" w:rsidRDefault="00FF5E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Pr="00611CE0" w:rsidRDefault="00A71966" w:rsidP="00B746A3">
    <w:pPr>
      <w:pStyle w:val="Footer"/>
    </w:pPr>
    <w:r w:rsidRPr="00A71966">
      <w:rPr>
        <w:noProof/>
        <w:sz w:val="16"/>
      </w:rPr>
      <w:t>{C40406:2 }</w:t>
    </w:r>
    <w:sdt>
      <w:sdtPr>
        <w:id w:val="51889013"/>
        <w:docPartObj>
          <w:docPartGallery w:val="Page Numbers (Bottom of Page)"/>
          <w:docPartUnique/>
        </w:docPartObj>
      </w:sdtPr>
      <w:sdtEndPr>
        <w:rPr>
          <w:noProof/>
        </w:rPr>
      </w:sdtEndPr>
      <w:sdtContent>
        <w:r w:rsidR="00FF5EC8">
          <w:tab/>
        </w:r>
        <w:r w:rsidR="00FF5EC8" w:rsidRPr="00611CE0">
          <w:fldChar w:fldCharType="begin"/>
        </w:r>
        <w:r w:rsidR="00FF5EC8" w:rsidRPr="00611CE0">
          <w:instrText xml:space="preserve"> PAGE   \* MERGEFORMAT </w:instrText>
        </w:r>
        <w:r w:rsidR="00FF5EC8" w:rsidRPr="00611CE0">
          <w:fldChar w:fldCharType="separate"/>
        </w:r>
        <w:r>
          <w:rPr>
            <w:noProof/>
          </w:rPr>
          <w:t>i</w:t>
        </w:r>
        <w:r w:rsidR="00FF5EC8" w:rsidRPr="00611CE0">
          <w:rPr>
            <w:noProof/>
          </w:rPr>
          <w:fldChar w:fldCharType="end"/>
        </w:r>
      </w:sdtContent>
    </w:sdt>
  </w:p>
  <w:p w:rsidR="00FF5EC8" w:rsidRPr="00611CE0" w:rsidRDefault="00FF5EC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Pr="00C344A7" w:rsidRDefault="00A71966" w:rsidP="00B9499F">
    <w:pPr>
      <w:pStyle w:val="Footer"/>
      <w:rPr>
        <w:rFonts w:ascii="Arial" w:hAnsi="Arial" w:cs="Arial"/>
      </w:rPr>
    </w:pPr>
    <w:r w:rsidRPr="00A71966">
      <w:rPr>
        <w:noProof/>
        <w:sz w:val="16"/>
      </w:rPr>
      <w:t>{C40406:2 }</w:t>
    </w:r>
    <w:sdt>
      <w:sdtPr>
        <w:id w:val="-707715506"/>
        <w:docPartObj>
          <w:docPartGallery w:val="Page Numbers (Bottom of Page)"/>
          <w:docPartUnique/>
        </w:docPartObj>
      </w:sdtPr>
      <w:sdtEndPr>
        <w:rPr>
          <w:rFonts w:ascii="Arial" w:hAnsi="Arial" w:cs="Arial"/>
          <w:noProof/>
        </w:rPr>
      </w:sdtEndPr>
      <w:sdtContent>
        <w:r w:rsidR="00FF5EC8">
          <w:tab/>
        </w:r>
        <w:r w:rsidR="00FF5EC8" w:rsidRPr="00C344A7">
          <w:rPr>
            <w:rFonts w:ascii="Arial" w:hAnsi="Arial" w:cs="Arial"/>
          </w:rPr>
          <w:fldChar w:fldCharType="begin"/>
        </w:r>
        <w:r w:rsidR="00FF5EC8" w:rsidRPr="00C344A7">
          <w:rPr>
            <w:rFonts w:ascii="Arial" w:hAnsi="Arial" w:cs="Arial"/>
          </w:rPr>
          <w:instrText xml:space="preserve"> PAGE   \* MERGEFORMAT </w:instrText>
        </w:r>
        <w:r w:rsidR="00FF5EC8" w:rsidRPr="00C344A7">
          <w:rPr>
            <w:rFonts w:ascii="Arial" w:hAnsi="Arial" w:cs="Arial"/>
          </w:rPr>
          <w:fldChar w:fldCharType="separate"/>
        </w:r>
        <w:r>
          <w:rPr>
            <w:rFonts w:ascii="Arial" w:hAnsi="Arial" w:cs="Arial"/>
            <w:noProof/>
          </w:rPr>
          <w:t>2</w:t>
        </w:r>
        <w:r w:rsidR="00FF5EC8" w:rsidRPr="00C344A7">
          <w:rPr>
            <w:rFonts w:ascii="Arial" w:hAnsi="Arial" w:cs="Arial"/>
            <w:noProof/>
          </w:rPr>
          <w:fldChar w:fldCharType="end"/>
        </w:r>
      </w:sdtContent>
    </w:sdt>
  </w:p>
  <w:p w:rsidR="00FF5EC8" w:rsidRPr="00C344A7" w:rsidRDefault="00FF5EC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Pr="00C344A7" w:rsidRDefault="00A71966" w:rsidP="006E65C9">
    <w:pPr>
      <w:pStyle w:val="Footer"/>
    </w:pPr>
    <w:r w:rsidRPr="00A71966">
      <w:rPr>
        <w:noProof/>
        <w:sz w:val="16"/>
      </w:rPr>
      <w:t>{C40406:2 }</w:t>
    </w:r>
  </w:p>
  <w:p w:rsidR="00FF5EC8" w:rsidRPr="00C344A7" w:rsidRDefault="00FF5EC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Pr="00250B40" w:rsidRDefault="00A71966" w:rsidP="00F620C1">
    <w:pPr>
      <w:pStyle w:val="Footer"/>
      <w:rPr>
        <w:rFonts w:ascii="Arial" w:hAnsi="Arial" w:cs="Arial"/>
      </w:rPr>
    </w:pPr>
    <w:r w:rsidRPr="00A71966">
      <w:rPr>
        <w:noProof/>
        <w:sz w:val="16"/>
      </w:rPr>
      <w:t>{C40406:2 }</w:t>
    </w:r>
    <w:sdt>
      <w:sdtPr>
        <w:id w:val="104940311"/>
        <w:docPartObj>
          <w:docPartGallery w:val="Page Numbers (Bottom of Page)"/>
          <w:docPartUnique/>
        </w:docPartObj>
      </w:sdtPr>
      <w:sdtEndPr>
        <w:rPr>
          <w:rFonts w:ascii="Arial" w:hAnsi="Arial" w:cs="Arial"/>
          <w:noProof/>
        </w:rPr>
      </w:sdtEndPr>
      <w:sdtContent>
        <w:r w:rsidR="00FF5EC8">
          <w:tab/>
        </w:r>
        <w:r w:rsidR="00FF5EC8" w:rsidRPr="00250B40">
          <w:rPr>
            <w:rFonts w:ascii="Arial" w:hAnsi="Arial" w:cs="Arial"/>
          </w:rPr>
          <w:fldChar w:fldCharType="begin"/>
        </w:r>
        <w:r w:rsidR="00FF5EC8" w:rsidRPr="00250B40">
          <w:rPr>
            <w:rFonts w:ascii="Arial" w:hAnsi="Arial" w:cs="Arial"/>
          </w:rPr>
          <w:instrText xml:space="preserve"> PAGE   \* MERGEFORMAT </w:instrText>
        </w:r>
        <w:r w:rsidR="00FF5EC8" w:rsidRPr="00250B40">
          <w:rPr>
            <w:rFonts w:ascii="Arial" w:hAnsi="Arial" w:cs="Arial"/>
          </w:rPr>
          <w:fldChar w:fldCharType="separate"/>
        </w:r>
        <w:r>
          <w:rPr>
            <w:rFonts w:ascii="Arial" w:hAnsi="Arial" w:cs="Arial"/>
            <w:noProof/>
          </w:rPr>
          <w:t>17</w:t>
        </w:r>
        <w:r w:rsidR="00FF5EC8" w:rsidRPr="00250B40">
          <w:rPr>
            <w:rFonts w:ascii="Arial" w:hAnsi="Arial" w:cs="Arial"/>
            <w:noProof/>
          </w:rPr>
          <w:fldChar w:fldCharType="end"/>
        </w:r>
      </w:sdtContent>
    </w:sdt>
  </w:p>
  <w:p w:rsidR="00FF5EC8" w:rsidRPr="00250B40" w:rsidRDefault="00FF5EC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Pr="007C3E55" w:rsidRDefault="00A71966" w:rsidP="006E65C9">
    <w:pPr>
      <w:pStyle w:val="Footer"/>
      <w:rPr>
        <w:rFonts w:ascii="Arial" w:hAnsi="Arial" w:cs="Arial"/>
      </w:rPr>
    </w:pPr>
    <w:r w:rsidRPr="00A71966">
      <w:rPr>
        <w:rFonts w:ascii="Arial" w:hAnsi="Arial" w:cs="Arial"/>
        <w:noProof/>
        <w:sz w:val="16"/>
      </w:rPr>
      <w:t>{C40406:2 }</w:t>
    </w:r>
    <w:sdt>
      <w:sdtPr>
        <w:rPr>
          <w:rFonts w:ascii="Arial" w:hAnsi="Arial" w:cs="Arial"/>
        </w:rPr>
        <w:id w:val="312995634"/>
        <w:docPartObj>
          <w:docPartGallery w:val="Page Numbers (Bottom of Page)"/>
          <w:docPartUnique/>
        </w:docPartObj>
      </w:sdtPr>
      <w:sdtEndPr>
        <w:rPr>
          <w:noProof/>
        </w:rPr>
      </w:sdtEndPr>
      <w:sdtContent>
        <w:r w:rsidR="00FF5EC8">
          <w:rPr>
            <w:rFonts w:ascii="Arial" w:hAnsi="Arial" w:cs="Arial"/>
          </w:rPr>
          <w:tab/>
        </w:r>
        <w:r w:rsidR="00FF5EC8" w:rsidRPr="007C3E55">
          <w:rPr>
            <w:rFonts w:ascii="Arial" w:hAnsi="Arial" w:cs="Arial"/>
          </w:rPr>
          <w:fldChar w:fldCharType="begin"/>
        </w:r>
        <w:r w:rsidR="00FF5EC8" w:rsidRPr="007C3E55">
          <w:rPr>
            <w:rFonts w:ascii="Arial" w:hAnsi="Arial" w:cs="Arial"/>
          </w:rPr>
          <w:instrText xml:space="preserve"> PAGE   \* MERGEFORMAT </w:instrText>
        </w:r>
        <w:r w:rsidR="00FF5EC8" w:rsidRPr="007C3E55">
          <w:rPr>
            <w:rFonts w:ascii="Arial" w:hAnsi="Arial" w:cs="Arial"/>
          </w:rPr>
          <w:fldChar w:fldCharType="separate"/>
        </w:r>
        <w:r>
          <w:rPr>
            <w:rFonts w:ascii="Arial" w:hAnsi="Arial" w:cs="Arial"/>
            <w:noProof/>
          </w:rPr>
          <w:t>3</w:t>
        </w:r>
        <w:r w:rsidR="00FF5EC8" w:rsidRPr="007C3E55">
          <w:rPr>
            <w:rFonts w:ascii="Arial" w:hAnsi="Arial" w:cs="Arial"/>
            <w:noProof/>
          </w:rPr>
          <w:fldChar w:fldCharType="end"/>
        </w:r>
      </w:sdtContent>
    </w:sdt>
  </w:p>
  <w:p w:rsidR="00FF5EC8" w:rsidRPr="007C3E55" w:rsidRDefault="00FF5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C8" w:rsidRDefault="00FF5EC8" w:rsidP="007A364C">
      <w:pPr>
        <w:rPr>
          <w:noProof/>
        </w:rPr>
      </w:pPr>
      <w:r>
        <w:rPr>
          <w:noProof/>
        </w:rPr>
        <w:separator/>
      </w:r>
    </w:p>
  </w:footnote>
  <w:footnote w:type="continuationSeparator" w:id="0">
    <w:p w:rsidR="00FF5EC8" w:rsidRDefault="00FF5EC8" w:rsidP="007A364C">
      <w:r>
        <w:continuationSeparator/>
      </w:r>
    </w:p>
  </w:footnote>
  <w:footnote w:id="1">
    <w:p w:rsidR="00FF5EC8" w:rsidRDefault="00FF5EC8" w:rsidP="00136591">
      <w:pPr>
        <w:pStyle w:val="FootnoteText"/>
        <w:jc w:val="both"/>
      </w:pPr>
      <w:r>
        <w:rPr>
          <w:rStyle w:val="FootnoteReference"/>
        </w:rPr>
        <w:footnoteRef/>
      </w:r>
      <w:r>
        <w:t xml:space="preserve"> Point of purchase programs have been used to underwrite the costs of programs that mass market the distribution of, for example, more efficient lighting such as compact fluorescent light bulbs through retail sales outlets.</w:t>
      </w:r>
    </w:p>
    <w:p w:rsidR="00FF5EC8" w:rsidRDefault="00FF5EC8" w:rsidP="00136591">
      <w:pPr>
        <w:pStyle w:val="FootnoteText"/>
        <w:jc w:val="both"/>
      </w:pPr>
    </w:p>
  </w:footnote>
  <w:footnote w:id="2">
    <w:p w:rsidR="00FF5EC8" w:rsidRDefault="00FF5EC8" w:rsidP="00136591">
      <w:pPr>
        <w:pStyle w:val="FootnoteText"/>
        <w:jc w:val="both"/>
      </w:pPr>
      <w:r>
        <w:rPr>
          <w:rStyle w:val="FootnoteReference"/>
        </w:rPr>
        <w:footnoteRef/>
      </w:r>
      <w:r>
        <w:t xml:space="preserve"> Section 4928.66(A)(2)(c), Revised Code.</w:t>
      </w:r>
    </w:p>
    <w:p w:rsidR="00FF5EC8" w:rsidRDefault="00FF5EC8" w:rsidP="00136591">
      <w:pPr>
        <w:pStyle w:val="FootnoteText"/>
        <w:jc w:val="both"/>
      </w:pPr>
    </w:p>
  </w:footnote>
  <w:footnote w:id="3">
    <w:p w:rsidR="00FF5EC8" w:rsidRDefault="00FF5EC8" w:rsidP="00136591">
      <w:pPr>
        <w:pStyle w:val="FootnoteText"/>
        <w:jc w:val="both"/>
        <w:rPr>
          <w:i/>
        </w:rPr>
      </w:pPr>
      <w:r>
        <w:rPr>
          <w:rStyle w:val="FootnoteReference"/>
        </w:rPr>
        <w:footnoteRef/>
      </w:r>
      <w:r>
        <w:t xml:space="preserve"> </w:t>
      </w:r>
      <w:r>
        <w:rPr>
          <w:i/>
        </w:rPr>
        <w:t>Id.</w:t>
      </w:r>
    </w:p>
    <w:p w:rsidR="00FF5EC8" w:rsidRDefault="00FF5EC8" w:rsidP="00136591">
      <w:pPr>
        <w:pStyle w:val="FootnoteText"/>
        <w:jc w:val="both"/>
        <w:rPr>
          <w:i/>
        </w:rPr>
      </w:pPr>
    </w:p>
  </w:footnote>
  <w:footnote w:id="4">
    <w:p w:rsidR="00FF5EC8" w:rsidRDefault="00FF5EC8" w:rsidP="00136591">
      <w:pPr>
        <w:pStyle w:val="FootnoteText"/>
        <w:jc w:val="both"/>
      </w:pPr>
      <w:r>
        <w:rPr>
          <w:rStyle w:val="FootnoteReference"/>
        </w:rPr>
        <w:footnoteRef/>
      </w:r>
      <w:r>
        <w:t xml:space="preserve"> </w:t>
      </w:r>
      <w:r>
        <w:rPr>
          <w:i/>
        </w:rPr>
        <w:t>In the Matter of a Mercantile Application Pilot Program Regarding Special Arrangements with Electric Utilities and Exemptions from Energy Efficiency and Peak Demand Reduction Riders</w:t>
      </w:r>
      <w:r>
        <w:t>, Case                       No. 10-834-EL-EEC, Entry (Sep. 15, 2010) (hereinafter “Mercantile Pilot Program”).  The Mercantile Pilot Program was recently extended.  Mercantile Pilot Program, Finding and Order (Sep. 5, 2012).</w:t>
      </w:r>
    </w:p>
    <w:p w:rsidR="00FF5EC8" w:rsidRDefault="00FF5EC8" w:rsidP="00136591">
      <w:pPr>
        <w:pStyle w:val="FootnoteText"/>
        <w:jc w:val="both"/>
      </w:pPr>
    </w:p>
  </w:footnote>
  <w:footnote w:id="5">
    <w:p w:rsidR="00FF5EC8" w:rsidRDefault="00FF5EC8" w:rsidP="00136591">
      <w:pPr>
        <w:pStyle w:val="FootnoteText"/>
      </w:pPr>
      <w:r>
        <w:rPr>
          <w:rStyle w:val="FootnoteReference"/>
        </w:rPr>
        <w:footnoteRef/>
      </w:r>
      <w:r>
        <w:t xml:space="preserve"> Mercantile Pilot Program, Entry at 5 (May 25, 2011).</w:t>
      </w:r>
    </w:p>
    <w:p w:rsidR="00FF5EC8" w:rsidRDefault="00FF5EC8" w:rsidP="00136591">
      <w:pPr>
        <w:pStyle w:val="FootnoteText"/>
      </w:pPr>
    </w:p>
  </w:footnote>
  <w:footnote w:id="6">
    <w:p w:rsidR="00FF5EC8" w:rsidRDefault="00FF5EC8" w:rsidP="00136591">
      <w:pPr>
        <w:pStyle w:val="FootnoteText"/>
        <w:rPr>
          <w:rFonts w:cs="Arial"/>
        </w:rPr>
      </w:pPr>
      <w:r>
        <w:rPr>
          <w:rStyle w:val="FootnoteReference"/>
        </w:rPr>
        <w:footnoteRef/>
      </w:r>
      <w:r>
        <w:t xml:space="preserve"> Mercantile Pilot Program, </w:t>
      </w:r>
      <w:r w:rsidRPr="00F2678D">
        <w:rPr>
          <w:rFonts w:cs="Arial"/>
        </w:rPr>
        <w:t>Entry</w:t>
      </w:r>
      <w:r>
        <w:rPr>
          <w:rFonts w:cs="Arial"/>
          <w:i/>
        </w:rPr>
        <w:t xml:space="preserve"> </w:t>
      </w:r>
      <w:r>
        <w:rPr>
          <w:rFonts w:cs="Arial"/>
        </w:rPr>
        <w:t>(Mar. 6, 2013).</w:t>
      </w:r>
    </w:p>
    <w:p w:rsidR="00FF5EC8" w:rsidRDefault="00FF5EC8" w:rsidP="00136591">
      <w:pPr>
        <w:pStyle w:val="FootnoteText"/>
      </w:pPr>
    </w:p>
  </w:footnote>
  <w:footnote w:id="7">
    <w:p w:rsidR="00FF5EC8" w:rsidRDefault="00FF5EC8" w:rsidP="000B2E03">
      <w:pPr>
        <w:pStyle w:val="FootnoteText"/>
      </w:pPr>
      <w:r>
        <w:rPr>
          <w:rStyle w:val="FootnoteReference"/>
        </w:rPr>
        <w:footnoteRef/>
      </w:r>
      <w:r>
        <w:t xml:space="preserve"> IEU-Ohio Ex. 2 at numbered page 4 (PJM Manual 18).</w:t>
      </w:r>
    </w:p>
    <w:p w:rsidR="00FF5EC8" w:rsidRDefault="00FF5EC8" w:rsidP="000B2E03">
      <w:pPr>
        <w:pStyle w:val="FootnoteText"/>
      </w:pPr>
    </w:p>
  </w:footnote>
  <w:footnote w:id="8">
    <w:p w:rsidR="00FF5EC8" w:rsidRDefault="00FF5EC8" w:rsidP="000B2E03">
      <w:pPr>
        <w:pStyle w:val="FootnoteText"/>
      </w:pPr>
      <w:r>
        <w:rPr>
          <w:rStyle w:val="FootnoteReference"/>
        </w:rPr>
        <w:footnoteRef/>
      </w:r>
      <w:r>
        <w:t xml:space="preserve"> </w:t>
      </w:r>
      <w:r>
        <w:rPr>
          <w:i/>
        </w:rPr>
        <w:t>Id.</w:t>
      </w:r>
      <w:r>
        <w:t xml:space="preserve"> at numbered page 39 (PJM Manual 18).</w:t>
      </w:r>
    </w:p>
    <w:p w:rsidR="00FF5EC8" w:rsidRPr="005A2048" w:rsidRDefault="00FF5EC8" w:rsidP="000B2E03">
      <w:pPr>
        <w:pStyle w:val="FootnoteText"/>
        <w:rPr>
          <w:rFonts w:cs="Arial"/>
        </w:rPr>
      </w:pPr>
    </w:p>
  </w:footnote>
  <w:footnote w:id="9">
    <w:p w:rsidR="00FF5EC8" w:rsidRDefault="00FF5EC8">
      <w:pPr>
        <w:pStyle w:val="FootnoteText"/>
      </w:pPr>
      <w:r>
        <w:rPr>
          <w:rStyle w:val="FootnoteReference"/>
        </w:rPr>
        <w:footnoteRef/>
      </w:r>
      <w:r>
        <w:t xml:space="preserve"> </w:t>
      </w:r>
      <w:r w:rsidRPr="00E6585D">
        <w:rPr>
          <w:i/>
        </w:rPr>
        <w:t>Id</w:t>
      </w:r>
      <w:r>
        <w:rPr>
          <w:i/>
        </w:rPr>
        <w:t>.</w:t>
      </w:r>
      <w:r>
        <w:t xml:space="preserve"> at numbered page 38 (PJM Manual 18).</w:t>
      </w:r>
    </w:p>
    <w:p w:rsidR="00FF5EC8" w:rsidRDefault="00FF5EC8">
      <w:pPr>
        <w:pStyle w:val="FootnoteText"/>
      </w:pPr>
    </w:p>
  </w:footnote>
  <w:footnote w:id="10">
    <w:p w:rsidR="00FF5EC8" w:rsidRDefault="00FF5EC8">
      <w:pPr>
        <w:pStyle w:val="FootnoteText"/>
        <w:rPr>
          <w:i/>
        </w:rPr>
      </w:pPr>
      <w:r>
        <w:rPr>
          <w:rStyle w:val="FootnoteReference"/>
        </w:rPr>
        <w:footnoteRef/>
      </w:r>
      <w:r>
        <w:t xml:space="preserve"> </w:t>
      </w:r>
      <w:r w:rsidRPr="00E6585D">
        <w:rPr>
          <w:i/>
        </w:rPr>
        <w:t>Id.</w:t>
      </w:r>
    </w:p>
    <w:p w:rsidR="00850CFD" w:rsidRDefault="00850CFD">
      <w:pPr>
        <w:pStyle w:val="FootnoteText"/>
      </w:pPr>
    </w:p>
  </w:footnote>
  <w:footnote w:id="11">
    <w:p w:rsidR="00FF5EC8" w:rsidRPr="005A2048" w:rsidRDefault="00FF5EC8" w:rsidP="00136591">
      <w:pPr>
        <w:autoSpaceDE w:val="0"/>
        <w:autoSpaceDN w:val="0"/>
        <w:adjustRightInd w:val="0"/>
        <w:rPr>
          <w:rFonts w:ascii="Arial" w:hAnsi="Arial" w:cs="Arial"/>
          <w:sz w:val="20"/>
          <w:szCs w:val="20"/>
        </w:rPr>
      </w:pPr>
      <w:r w:rsidRPr="005A2048">
        <w:rPr>
          <w:rStyle w:val="FootnoteReference"/>
          <w:rFonts w:ascii="Arial" w:hAnsi="Arial" w:cs="Arial"/>
          <w:sz w:val="20"/>
          <w:szCs w:val="20"/>
        </w:rPr>
        <w:footnoteRef/>
      </w:r>
      <w:r w:rsidRPr="005A2048">
        <w:rPr>
          <w:rFonts w:ascii="Arial" w:hAnsi="Arial" w:cs="Arial"/>
          <w:sz w:val="20"/>
          <w:szCs w:val="20"/>
        </w:rPr>
        <w:t xml:space="preserve"> </w:t>
      </w:r>
      <w:r>
        <w:rPr>
          <w:rFonts w:ascii="Arial" w:hAnsi="Arial" w:cs="Arial"/>
          <w:sz w:val="20"/>
          <w:szCs w:val="20"/>
        </w:rPr>
        <w:t>Numbered page 3 of PJM Manual 18 states that the purpose of the PJM capacity market is to ensure reliability and availability of capacity resources</w:t>
      </w:r>
      <w:r w:rsidRPr="005A2048">
        <w:rPr>
          <w:rFonts w:ascii="Arial" w:hAnsi="Arial" w:cs="Arial"/>
          <w:sz w:val="20"/>
          <w:szCs w:val="20"/>
        </w:rPr>
        <w:t xml:space="preserve">: </w:t>
      </w:r>
    </w:p>
    <w:p w:rsidR="00FF5EC8" w:rsidRPr="005A2048" w:rsidRDefault="00FF5EC8" w:rsidP="00136591">
      <w:pPr>
        <w:autoSpaceDE w:val="0"/>
        <w:autoSpaceDN w:val="0"/>
        <w:adjustRightInd w:val="0"/>
        <w:rPr>
          <w:rFonts w:ascii="Arial" w:hAnsi="Arial" w:cs="Arial"/>
          <w:sz w:val="20"/>
          <w:szCs w:val="20"/>
        </w:rPr>
      </w:pPr>
    </w:p>
    <w:p w:rsidR="00FF5EC8" w:rsidRPr="005A2048" w:rsidRDefault="00FF5EC8" w:rsidP="00136591">
      <w:pPr>
        <w:autoSpaceDE w:val="0"/>
        <w:autoSpaceDN w:val="0"/>
        <w:adjustRightInd w:val="0"/>
        <w:ind w:left="720" w:right="720"/>
        <w:jc w:val="both"/>
        <w:rPr>
          <w:rFonts w:ascii="ArialMT" w:eastAsiaTheme="minorHAnsi" w:hAnsi="ArialMT" w:cs="ArialMT"/>
          <w:sz w:val="20"/>
          <w:szCs w:val="20"/>
        </w:rPr>
      </w:pPr>
      <w:r>
        <w:rPr>
          <w:rFonts w:ascii="ArialMT" w:eastAsiaTheme="minorHAnsi" w:hAnsi="ArialMT" w:cs="ArialMT"/>
          <w:sz w:val="20"/>
          <w:szCs w:val="20"/>
        </w:rPr>
        <w:t>The PJM capacity m</w:t>
      </w:r>
      <w:r w:rsidRPr="005A2048">
        <w:rPr>
          <w:rFonts w:ascii="ArialMT" w:eastAsiaTheme="minorHAnsi" w:hAnsi="ArialMT" w:cs="ArialMT"/>
          <w:sz w:val="20"/>
          <w:szCs w:val="20"/>
        </w:rPr>
        <w:t>arket is designed to ensure the adequate availability of necessary</w:t>
      </w:r>
      <w:r>
        <w:rPr>
          <w:rFonts w:ascii="ArialMT" w:eastAsiaTheme="minorHAnsi" w:hAnsi="ArialMT" w:cs="ArialMT"/>
          <w:sz w:val="20"/>
          <w:szCs w:val="20"/>
        </w:rPr>
        <w:t xml:space="preserve"> </w:t>
      </w:r>
      <w:r w:rsidRPr="005A2048">
        <w:rPr>
          <w:rFonts w:ascii="ArialMT" w:eastAsiaTheme="minorHAnsi" w:hAnsi="ArialMT" w:cs="ArialMT"/>
          <w:sz w:val="20"/>
          <w:szCs w:val="20"/>
        </w:rPr>
        <w:t>resources that can be called upon to ensure the reliability of the grid.</w:t>
      </w:r>
      <w:r>
        <w:rPr>
          <w:rFonts w:ascii="ArialMT" w:eastAsiaTheme="minorHAnsi" w:hAnsi="ArialMT" w:cs="ArialMT"/>
          <w:sz w:val="20"/>
          <w:szCs w:val="20"/>
        </w:rPr>
        <w:t xml:space="preserve"> </w:t>
      </w:r>
      <w:r w:rsidRPr="005A2048">
        <w:rPr>
          <w:rFonts w:ascii="ArialMT" w:eastAsiaTheme="minorHAnsi" w:hAnsi="ArialMT" w:cs="ArialMT"/>
          <w:sz w:val="20"/>
          <w:szCs w:val="20"/>
        </w:rPr>
        <w:t xml:space="preserve"> In PJM, the capacity</w:t>
      </w:r>
      <w:r>
        <w:rPr>
          <w:rFonts w:ascii="ArialMT" w:eastAsiaTheme="minorHAnsi" w:hAnsi="ArialMT" w:cs="ArialMT"/>
          <w:sz w:val="20"/>
          <w:szCs w:val="20"/>
        </w:rPr>
        <w:t xml:space="preserve"> </w:t>
      </w:r>
      <w:r w:rsidRPr="005A2048">
        <w:rPr>
          <w:rFonts w:ascii="ArialMT" w:eastAsiaTheme="minorHAnsi" w:hAnsi="ArialMT" w:cs="ArialMT"/>
          <w:sz w:val="20"/>
          <w:szCs w:val="20"/>
        </w:rPr>
        <w:t xml:space="preserve">market structure provides transparent information to enable </w:t>
      </w:r>
      <w:r>
        <w:rPr>
          <w:rFonts w:ascii="ArialMT" w:eastAsiaTheme="minorHAnsi" w:hAnsi="ArialMT" w:cs="ArialMT"/>
          <w:sz w:val="20"/>
          <w:szCs w:val="20"/>
        </w:rPr>
        <w:t xml:space="preserve">forward capacity market signals </w:t>
      </w:r>
      <w:r w:rsidRPr="005A2048">
        <w:rPr>
          <w:rFonts w:ascii="ArialMT" w:eastAsiaTheme="minorHAnsi" w:hAnsi="ArialMT" w:cs="ArialMT"/>
          <w:sz w:val="20"/>
          <w:szCs w:val="20"/>
        </w:rPr>
        <w:t xml:space="preserve">to support infrastructure investment. </w:t>
      </w:r>
      <w:r>
        <w:rPr>
          <w:rFonts w:ascii="ArialMT" w:eastAsiaTheme="minorHAnsi" w:hAnsi="ArialMT" w:cs="ArialMT"/>
          <w:sz w:val="20"/>
          <w:szCs w:val="20"/>
        </w:rPr>
        <w:t xml:space="preserve"> </w:t>
      </w:r>
      <w:r w:rsidRPr="005A2048">
        <w:rPr>
          <w:rFonts w:ascii="ArialMT" w:eastAsiaTheme="minorHAnsi" w:hAnsi="ArialMT" w:cs="ArialMT"/>
          <w:sz w:val="20"/>
          <w:szCs w:val="20"/>
        </w:rPr>
        <w:t>The capacity m</w:t>
      </w:r>
      <w:r>
        <w:rPr>
          <w:rFonts w:ascii="ArialMT" w:eastAsiaTheme="minorHAnsi" w:hAnsi="ArialMT" w:cs="ArialMT"/>
          <w:sz w:val="20"/>
          <w:szCs w:val="20"/>
        </w:rPr>
        <w:t xml:space="preserve">arket design provides a forward </w:t>
      </w:r>
      <w:r w:rsidRPr="005A2048">
        <w:rPr>
          <w:rFonts w:ascii="ArialMT" w:eastAsiaTheme="minorHAnsi" w:hAnsi="ArialMT" w:cs="ArialMT"/>
          <w:sz w:val="20"/>
          <w:szCs w:val="20"/>
        </w:rPr>
        <w:t xml:space="preserve">mechanism to evaluate the ongoing reliability requirements </w:t>
      </w:r>
      <w:r>
        <w:rPr>
          <w:rFonts w:ascii="ArialMT" w:eastAsiaTheme="minorHAnsi" w:hAnsi="ArialMT" w:cs="ArialMT"/>
          <w:sz w:val="20"/>
          <w:szCs w:val="20"/>
        </w:rPr>
        <w:t xml:space="preserve">in a transparent way to provide </w:t>
      </w:r>
      <w:r w:rsidRPr="005A2048">
        <w:rPr>
          <w:rFonts w:ascii="ArialMT" w:eastAsiaTheme="minorHAnsi" w:hAnsi="ArialMT" w:cs="ArialMT"/>
          <w:sz w:val="20"/>
          <w:szCs w:val="20"/>
        </w:rPr>
        <w:t>opportunity for generation, demand response, energy efficiency, and transmission solutions.</w:t>
      </w:r>
    </w:p>
    <w:p w:rsidR="00FF5EC8" w:rsidRDefault="00FF5EC8" w:rsidP="00136591">
      <w:pPr>
        <w:autoSpaceDE w:val="0"/>
        <w:autoSpaceDN w:val="0"/>
        <w:adjustRightInd w:val="0"/>
        <w:ind w:left="720" w:right="720"/>
        <w:jc w:val="both"/>
        <w:rPr>
          <w:rFonts w:ascii="ArialMT" w:eastAsiaTheme="minorHAnsi" w:hAnsi="ArialMT" w:cs="ArialMT"/>
          <w:sz w:val="20"/>
          <w:szCs w:val="20"/>
        </w:rPr>
      </w:pPr>
    </w:p>
    <w:p w:rsidR="00FF5EC8" w:rsidRDefault="00FF5EC8" w:rsidP="00136591">
      <w:pPr>
        <w:autoSpaceDE w:val="0"/>
        <w:autoSpaceDN w:val="0"/>
        <w:adjustRightInd w:val="0"/>
        <w:ind w:left="720" w:right="720"/>
        <w:jc w:val="both"/>
        <w:rPr>
          <w:rFonts w:ascii="ArialMT" w:eastAsiaTheme="minorHAnsi" w:hAnsi="ArialMT" w:cs="ArialMT"/>
          <w:sz w:val="20"/>
          <w:szCs w:val="20"/>
        </w:rPr>
      </w:pPr>
      <w:r w:rsidRPr="005A2048">
        <w:rPr>
          <w:rFonts w:ascii="ArialMT" w:eastAsiaTheme="minorHAnsi" w:hAnsi="ArialMT" w:cs="ArialMT"/>
          <w:sz w:val="20"/>
          <w:szCs w:val="20"/>
        </w:rPr>
        <w:t>In the PJM Region, the basis for the capacity market design i</w:t>
      </w:r>
      <w:r>
        <w:rPr>
          <w:rFonts w:ascii="ArialMT" w:eastAsiaTheme="minorHAnsi" w:hAnsi="ArialMT" w:cs="ArialMT"/>
          <w:sz w:val="20"/>
          <w:szCs w:val="20"/>
        </w:rPr>
        <w:t xml:space="preserve">s the Reliability Pricing Model </w:t>
      </w:r>
      <w:r w:rsidRPr="005A2048">
        <w:rPr>
          <w:rFonts w:ascii="ArialMT" w:eastAsiaTheme="minorHAnsi" w:hAnsi="ArialMT" w:cs="ArialMT"/>
          <w:sz w:val="20"/>
          <w:szCs w:val="20"/>
        </w:rPr>
        <w:t>(RPM). The goal of RPM is to align capacity pricing with syst</w:t>
      </w:r>
      <w:r>
        <w:rPr>
          <w:rFonts w:ascii="ArialMT" w:eastAsiaTheme="minorHAnsi" w:hAnsi="ArialMT" w:cs="ArialMT"/>
          <w:sz w:val="20"/>
          <w:szCs w:val="20"/>
        </w:rPr>
        <w:t xml:space="preserve">em reliability requirements and </w:t>
      </w:r>
      <w:r w:rsidRPr="005A2048">
        <w:rPr>
          <w:rFonts w:ascii="ArialMT" w:eastAsiaTheme="minorHAnsi" w:hAnsi="ArialMT" w:cs="ArialMT"/>
          <w:sz w:val="20"/>
          <w:szCs w:val="20"/>
        </w:rPr>
        <w:t>to provide transparent information to all market participants far enough in adva</w:t>
      </w:r>
      <w:r>
        <w:rPr>
          <w:rFonts w:ascii="ArialMT" w:eastAsiaTheme="minorHAnsi" w:hAnsi="ArialMT" w:cs="ArialMT"/>
          <w:sz w:val="20"/>
          <w:szCs w:val="20"/>
        </w:rPr>
        <w:t xml:space="preserve">nce for </w:t>
      </w:r>
      <w:r w:rsidRPr="005A2048">
        <w:rPr>
          <w:rFonts w:ascii="ArialMT" w:eastAsiaTheme="minorHAnsi" w:hAnsi="ArialMT" w:cs="ArialMT"/>
          <w:sz w:val="20"/>
          <w:szCs w:val="20"/>
        </w:rPr>
        <w:t>actionable response to the information.</w:t>
      </w:r>
    </w:p>
    <w:p w:rsidR="00FF5EC8" w:rsidRDefault="00FF5EC8" w:rsidP="00136591">
      <w:pPr>
        <w:autoSpaceDE w:val="0"/>
        <w:autoSpaceDN w:val="0"/>
        <w:adjustRightInd w:val="0"/>
        <w:ind w:left="720" w:right="720"/>
        <w:jc w:val="both"/>
        <w:rPr>
          <w:rFonts w:ascii="ArialMT" w:eastAsiaTheme="minorHAnsi" w:hAnsi="ArialMT" w:cs="ArialMT"/>
          <w:sz w:val="20"/>
          <w:szCs w:val="20"/>
        </w:rPr>
      </w:pPr>
    </w:p>
    <w:p w:rsidR="00FF5EC8" w:rsidRPr="005A2048" w:rsidRDefault="00FF5EC8" w:rsidP="00136591">
      <w:pPr>
        <w:autoSpaceDE w:val="0"/>
        <w:autoSpaceDN w:val="0"/>
        <w:adjustRightInd w:val="0"/>
        <w:ind w:right="720"/>
        <w:jc w:val="both"/>
        <w:rPr>
          <w:rFonts w:ascii="ArialMT" w:eastAsiaTheme="minorHAnsi" w:hAnsi="ArialMT" w:cs="ArialMT"/>
          <w:sz w:val="20"/>
          <w:szCs w:val="20"/>
        </w:rPr>
      </w:pPr>
      <w:r>
        <w:rPr>
          <w:rFonts w:ascii="ArialMT" w:eastAsiaTheme="minorHAnsi" w:hAnsi="ArialMT" w:cs="ArialMT"/>
          <w:sz w:val="20"/>
          <w:szCs w:val="20"/>
        </w:rPr>
        <w:t>IEU-Ohio Ex. 2 at 3.</w:t>
      </w:r>
    </w:p>
  </w:footnote>
  <w:footnote w:id="12">
    <w:p w:rsidR="00FF5EC8" w:rsidRDefault="00FF5EC8" w:rsidP="00696140">
      <w:pPr>
        <w:pStyle w:val="FootnoteText"/>
      </w:pPr>
      <w:r>
        <w:rPr>
          <w:rStyle w:val="FootnoteReference"/>
        </w:rPr>
        <w:footnoteRef/>
      </w:r>
      <w:r>
        <w:t xml:space="preserve"> FirstEnergy Ex. 23 at 5.</w:t>
      </w:r>
    </w:p>
    <w:p w:rsidR="00FF5EC8" w:rsidRDefault="00FF5EC8" w:rsidP="00696140">
      <w:pPr>
        <w:pStyle w:val="FootnoteText"/>
      </w:pPr>
    </w:p>
  </w:footnote>
  <w:footnote w:id="13">
    <w:p w:rsidR="00FF5EC8" w:rsidRDefault="00FF5EC8" w:rsidP="00696140">
      <w:pPr>
        <w:pStyle w:val="FootnoteText"/>
      </w:pPr>
      <w:r>
        <w:rPr>
          <w:rStyle w:val="FootnoteReference"/>
        </w:rPr>
        <w:footnoteRef/>
      </w:r>
      <w:r>
        <w:t xml:space="preserve"> FirstEnergy Ex. 1 at 15-18.</w:t>
      </w:r>
    </w:p>
    <w:p w:rsidR="00FF5EC8" w:rsidRDefault="00FF5EC8" w:rsidP="00696140">
      <w:pPr>
        <w:pStyle w:val="FootnoteText"/>
      </w:pPr>
    </w:p>
  </w:footnote>
  <w:footnote w:id="14">
    <w:p w:rsidR="00FF5EC8" w:rsidRDefault="00FF5EC8" w:rsidP="00696140">
      <w:pPr>
        <w:pStyle w:val="FootnoteText"/>
        <w:jc w:val="both"/>
      </w:pPr>
      <w:r>
        <w:rPr>
          <w:rStyle w:val="FootnoteReference"/>
        </w:rPr>
        <w:footnoteRef/>
      </w:r>
      <w:r>
        <w:t xml:space="preserve"> FirstEnergy Ex.1 at 5-16 (citing </w:t>
      </w:r>
      <w:r>
        <w:rPr>
          <w:i/>
        </w:rPr>
        <w:t>In the Matter of Ohio Edison Company, The Cleveland Electric Illuminating Company, and The Toledo Edison Company for Authority to Provide for a Standard Service Offer Pursuant to Section 4928.143, Revised Code, in the Form of an Electric Security Plan</w:t>
      </w:r>
      <w:r>
        <w:t>, Case No. 12-1230-EL-SSO, Opinion and Order at 38 (Jul. 18, 2012) (hereinafter “ESP III Order”).</w:t>
      </w:r>
    </w:p>
    <w:p w:rsidR="00FF5EC8" w:rsidRDefault="00FF5EC8" w:rsidP="00696140">
      <w:pPr>
        <w:pStyle w:val="FootnoteText"/>
        <w:jc w:val="both"/>
      </w:pPr>
    </w:p>
  </w:footnote>
  <w:footnote w:id="15">
    <w:p w:rsidR="00FF5EC8" w:rsidRDefault="00FF5EC8" w:rsidP="00696140">
      <w:pPr>
        <w:pStyle w:val="FootnoteText"/>
        <w:jc w:val="both"/>
      </w:pPr>
      <w:r>
        <w:rPr>
          <w:rStyle w:val="FootnoteReference"/>
        </w:rPr>
        <w:footnoteRef/>
      </w:r>
      <w:r>
        <w:t xml:space="preserve"> FirstEnergy Ex. 1 at 15-16.  The specific language FirstEnergy has added to the Commitment Agreement is as follows:</w:t>
      </w:r>
    </w:p>
    <w:p w:rsidR="00FF5EC8" w:rsidRDefault="00FF5EC8" w:rsidP="00696140">
      <w:pPr>
        <w:pStyle w:val="Default"/>
      </w:pPr>
    </w:p>
    <w:p w:rsidR="00FF5EC8" w:rsidRDefault="00FF5EC8" w:rsidP="00696140">
      <w:pPr>
        <w:pStyle w:val="Default"/>
        <w:ind w:left="720" w:right="720"/>
        <w:jc w:val="both"/>
        <w:rPr>
          <w:rFonts w:ascii="Arial" w:hAnsi="Arial" w:cs="Arial"/>
          <w:sz w:val="20"/>
          <w:szCs w:val="20"/>
        </w:rPr>
      </w:pPr>
      <w:r>
        <w:rPr>
          <w:rFonts w:ascii="Arial" w:hAnsi="Arial" w:cs="Arial"/>
          <w:sz w:val="20"/>
          <w:szCs w:val="20"/>
        </w:rPr>
        <w:t xml:space="preserve">By committing the Customer Energy Project(s), Customer further acknowledges and agrees that the Company shall take ownership of the energy efficiency capacity rights associated with said Project(s) and shall, at its sole discretion, aggregate said capacity into the PJM market through an auction. Any proceeds from any such bids accepted by PJM will be used to offset the costs charged to the Customer and other of the Company’s customers for compliance with state mandated energy efficiency and/or peak demand requirements. </w:t>
      </w:r>
    </w:p>
    <w:p w:rsidR="00FF5EC8" w:rsidRDefault="00FF5EC8" w:rsidP="00696140">
      <w:pPr>
        <w:pStyle w:val="Default"/>
        <w:ind w:left="720" w:right="720"/>
        <w:jc w:val="both"/>
        <w:rPr>
          <w:rFonts w:ascii="Arial" w:hAnsi="Arial" w:cs="Arial"/>
          <w:sz w:val="20"/>
          <w:szCs w:val="20"/>
        </w:rPr>
      </w:pPr>
    </w:p>
    <w:p w:rsidR="00FF5EC8" w:rsidRDefault="00FF5EC8" w:rsidP="00696140">
      <w:pPr>
        <w:pStyle w:val="Default"/>
        <w:tabs>
          <w:tab w:val="left" w:pos="9630"/>
        </w:tabs>
        <w:jc w:val="both"/>
        <w:rPr>
          <w:rFonts w:ascii="Arial" w:hAnsi="Arial" w:cs="Arial"/>
          <w:sz w:val="20"/>
          <w:szCs w:val="20"/>
        </w:rPr>
      </w:pPr>
      <w:r w:rsidRPr="00CB3BBE">
        <w:rPr>
          <w:rFonts w:ascii="Arial" w:hAnsi="Arial" w:cs="Arial"/>
          <w:sz w:val="20"/>
          <w:szCs w:val="20"/>
        </w:rPr>
        <w:t>https://www.firstenergycorp.com/content/dam/customer/Saving%20Energy/Files/OH/Mercantile%20Customer%20Project%20Commitment%20Agreement%20(Exemption).doc</w:t>
      </w:r>
      <w:r>
        <w:rPr>
          <w:rFonts w:ascii="Arial" w:hAnsi="Arial" w:cs="Arial"/>
          <w:color w:val="auto"/>
          <w:sz w:val="20"/>
          <w:szCs w:val="20"/>
        </w:rPr>
        <w:t xml:space="preserve"> </w:t>
      </w:r>
      <w:r>
        <w:rPr>
          <w:rFonts w:ascii="Arial" w:hAnsi="Arial" w:cs="Arial"/>
          <w:sz w:val="20"/>
          <w:szCs w:val="20"/>
        </w:rPr>
        <w:t>(last viewed Nov. 15, 2012).</w:t>
      </w:r>
    </w:p>
    <w:p w:rsidR="00FF5EC8" w:rsidRDefault="00FF5EC8" w:rsidP="00696140">
      <w:pPr>
        <w:pStyle w:val="FootnoteText"/>
      </w:pPr>
    </w:p>
  </w:footnote>
  <w:footnote w:id="16">
    <w:p w:rsidR="00FF5EC8" w:rsidRDefault="00FF5EC8" w:rsidP="00696140">
      <w:pPr>
        <w:pStyle w:val="FootnoteText"/>
      </w:pPr>
      <w:r>
        <w:rPr>
          <w:rStyle w:val="FootnoteReference"/>
        </w:rPr>
        <w:footnoteRef/>
      </w:r>
      <w:r>
        <w:t xml:space="preserve"> FirstEnergy Ex. 1 at 16.</w:t>
      </w:r>
    </w:p>
    <w:p w:rsidR="00FF5EC8" w:rsidRDefault="00FF5EC8" w:rsidP="00696140">
      <w:pPr>
        <w:pStyle w:val="FootnoteText"/>
      </w:pPr>
    </w:p>
  </w:footnote>
  <w:footnote w:id="17">
    <w:p w:rsidR="00FF5EC8" w:rsidRDefault="00FF5EC8" w:rsidP="00696140">
      <w:pPr>
        <w:pStyle w:val="FootnoteText"/>
      </w:pPr>
      <w:r>
        <w:rPr>
          <w:rStyle w:val="FootnoteReference"/>
        </w:rPr>
        <w:footnoteRef/>
      </w:r>
      <w:r>
        <w:t xml:space="preserve"> FirstEnergy Ex. 1 at 18.</w:t>
      </w:r>
    </w:p>
    <w:p w:rsidR="00FF5EC8" w:rsidRDefault="00FF5EC8" w:rsidP="00696140">
      <w:pPr>
        <w:pStyle w:val="FootnoteText"/>
      </w:pPr>
    </w:p>
  </w:footnote>
  <w:footnote w:id="18">
    <w:p w:rsidR="00FF5EC8" w:rsidRDefault="00FF5EC8" w:rsidP="00696140">
      <w:pPr>
        <w:pStyle w:val="FootnoteText"/>
        <w:jc w:val="both"/>
      </w:pPr>
      <w:r>
        <w:rPr>
          <w:rStyle w:val="FootnoteReference"/>
        </w:rPr>
        <w:footnoteRef/>
      </w:r>
      <w:r>
        <w:t xml:space="preserve"> </w:t>
      </w:r>
      <w:r w:rsidRPr="00E6585D">
        <w:t>FirstEnergy’s Reply Brief indicated that FirstEnergy would not object to mercantile customers requesting an exemption from the DSEII Rider retaining ownership of PJM bidding rights.  FirstEnergy Reply Brief at 69 (Nov. 30, 2012).</w:t>
      </w:r>
    </w:p>
    <w:p w:rsidR="00FF5EC8" w:rsidRDefault="00FF5EC8" w:rsidP="00696140">
      <w:pPr>
        <w:pStyle w:val="FootnoteText"/>
      </w:pPr>
    </w:p>
  </w:footnote>
  <w:footnote w:id="19">
    <w:p w:rsidR="00FF5EC8" w:rsidRDefault="00FF5EC8" w:rsidP="00696140">
      <w:pPr>
        <w:pStyle w:val="FootnoteText"/>
      </w:pPr>
      <w:r>
        <w:rPr>
          <w:rStyle w:val="FootnoteReference"/>
        </w:rPr>
        <w:footnoteRef/>
      </w:r>
      <w:r>
        <w:t xml:space="preserve"> Opinion and Order at 42 (Mar. 20, 2013). </w:t>
      </w:r>
    </w:p>
    <w:p w:rsidR="00FF5EC8" w:rsidRDefault="00FF5EC8" w:rsidP="00696140">
      <w:pPr>
        <w:pStyle w:val="FootnoteText"/>
      </w:pPr>
    </w:p>
  </w:footnote>
  <w:footnote w:id="20">
    <w:p w:rsidR="00FF5EC8" w:rsidRDefault="00FF5EC8" w:rsidP="00FF5EC8">
      <w:pPr>
        <w:pStyle w:val="FootnoteText"/>
        <w:jc w:val="both"/>
      </w:pPr>
      <w:r>
        <w:rPr>
          <w:rStyle w:val="FootnoteReference"/>
        </w:rPr>
        <w:footnoteRef/>
      </w:r>
      <w:r>
        <w:t xml:space="preserve"> As used herein capacity attributes means the permanent peak demand reduction associated with a mercantile customer’s customer-sited project that is eligible to be bid as capacity resource into PJM’s capacity auctions.</w:t>
      </w:r>
    </w:p>
  </w:footnote>
  <w:footnote w:id="21">
    <w:p w:rsidR="00FF5EC8" w:rsidRDefault="00FF5EC8" w:rsidP="00FF5EC8">
      <w:pPr>
        <w:pStyle w:val="FootnoteText"/>
        <w:jc w:val="both"/>
      </w:pPr>
      <w:r>
        <w:rPr>
          <w:rStyle w:val="FootnoteReference"/>
        </w:rPr>
        <w:footnoteRef/>
      </w:r>
      <w:r>
        <w:t xml:space="preserve"> Tr. Vol. IV at 769-770. </w:t>
      </w:r>
      <w:r>
        <w:rPr>
          <w:i/>
        </w:rPr>
        <w:t xml:space="preserve">See also id. </w:t>
      </w:r>
      <w:r>
        <w:t xml:space="preserve">at 771. </w:t>
      </w:r>
      <w:r>
        <w:rPr>
          <w:i/>
        </w:rPr>
        <w:t xml:space="preserve">See also id. </w:t>
      </w:r>
      <w:r>
        <w:t>at 827-830.</w:t>
      </w:r>
    </w:p>
    <w:p w:rsidR="00FF5EC8" w:rsidRPr="00D57C8D" w:rsidRDefault="00FF5EC8" w:rsidP="00FF5EC8">
      <w:pPr>
        <w:pStyle w:val="FootnoteText"/>
        <w:tabs>
          <w:tab w:val="left" w:pos="6240"/>
        </w:tabs>
        <w:jc w:val="both"/>
      </w:pPr>
      <w:r>
        <w:tab/>
      </w:r>
    </w:p>
  </w:footnote>
  <w:footnote w:id="22">
    <w:p w:rsidR="00FF5EC8" w:rsidRDefault="00FF5EC8" w:rsidP="00FF5EC8">
      <w:pPr>
        <w:pStyle w:val="FootnoteText"/>
        <w:jc w:val="both"/>
      </w:pPr>
      <w:r>
        <w:rPr>
          <w:rStyle w:val="FootnoteReference"/>
        </w:rPr>
        <w:footnoteRef/>
      </w:r>
      <w:r>
        <w:t xml:space="preserve"> </w:t>
      </w:r>
      <w:r>
        <w:rPr>
          <w:i/>
        </w:rPr>
        <w:t xml:space="preserve">Id. </w:t>
      </w:r>
      <w:r>
        <w:t>at 827.</w:t>
      </w:r>
    </w:p>
    <w:p w:rsidR="00FF5EC8" w:rsidRPr="008E6E85" w:rsidRDefault="00FF5EC8" w:rsidP="00FF5EC8">
      <w:pPr>
        <w:pStyle w:val="FootnoteText"/>
        <w:jc w:val="both"/>
      </w:pPr>
    </w:p>
  </w:footnote>
  <w:footnote w:id="23">
    <w:p w:rsidR="00FF5EC8" w:rsidRDefault="00FF5EC8" w:rsidP="00FF5EC8">
      <w:pPr>
        <w:pStyle w:val="FootnoteText"/>
        <w:jc w:val="both"/>
      </w:pPr>
      <w:r>
        <w:rPr>
          <w:rStyle w:val="FootnoteReference"/>
        </w:rPr>
        <w:footnoteRef/>
      </w:r>
      <w:r>
        <w:t xml:space="preserve"> </w:t>
      </w:r>
      <w:r>
        <w:rPr>
          <w:i/>
        </w:rPr>
        <w:t>In the Matter of the Commission’s Review of Chapter 4901:1-10, Ohio Administrative Code, Regarding Electric Companies</w:t>
      </w:r>
      <w:r>
        <w:t>,</w:t>
      </w:r>
      <w:r>
        <w:rPr>
          <w:i/>
        </w:rPr>
        <w:t xml:space="preserve"> </w:t>
      </w:r>
      <w:r>
        <w:t>Case No. 12-2050-EL-ORD, Entry, Attachment A at 73 (Nov. 7, 2012).</w:t>
      </w:r>
    </w:p>
    <w:p w:rsidR="00FF5EC8" w:rsidRDefault="00FF5EC8" w:rsidP="00FF5EC8">
      <w:pPr>
        <w:pStyle w:val="FootnoteText"/>
        <w:jc w:val="both"/>
      </w:pPr>
      <w:r>
        <w:t xml:space="preserve"> </w:t>
      </w:r>
    </w:p>
  </w:footnote>
  <w:footnote w:id="24">
    <w:p w:rsidR="00FF5EC8" w:rsidRDefault="00FF5EC8" w:rsidP="00FF5EC8">
      <w:pPr>
        <w:pStyle w:val="FootnoteText"/>
      </w:pPr>
      <w:r>
        <w:rPr>
          <w:rStyle w:val="FootnoteReference"/>
        </w:rPr>
        <w:footnoteRef/>
      </w:r>
      <w:r>
        <w:t xml:space="preserve"> Section 4928.66(A)(2)(a), Revised Code.</w:t>
      </w:r>
    </w:p>
    <w:p w:rsidR="00FF5EC8" w:rsidRDefault="00FF5EC8" w:rsidP="00FF5EC8">
      <w:pPr>
        <w:pStyle w:val="FootnoteText"/>
      </w:pPr>
    </w:p>
  </w:footnote>
  <w:footnote w:id="25">
    <w:p w:rsidR="00FF5EC8" w:rsidRDefault="00FF5EC8" w:rsidP="00FF5EC8">
      <w:pPr>
        <w:pStyle w:val="FootnoteText"/>
      </w:pPr>
      <w:r>
        <w:rPr>
          <w:rStyle w:val="FootnoteReference"/>
        </w:rPr>
        <w:footnoteRef/>
      </w:r>
      <w:r>
        <w:t xml:space="preserve"> Opinion and Order at 42.</w:t>
      </w:r>
    </w:p>
    <w:p w:rsidR="00FF5EC8" w:rsidRDefault="00FF5EC8" w:rsidP="00FF5EC8">
      <w:pPr>
        <w:pStyle w:val="FootnoteText"/>
      </w:pPr>
    </w:p>
  </w:footnote>
  <w:footnote w:id="26">
    <w:p w:rsidR="00FF5EC8" w:rsidRDefault="00FF5EC8" w:rsidP="00A24533">
      <w:pPr>
        <w:pStyle w:val="FootnoteText"/>
      </w:pPr>
      <w:r>
        <w:rPr>
          <w:rStyle w:val="FootnoteReference"/>
        </w:rPr>
        <w:footnoteRef/>
      </w:r>
      <w:r>
        <w:t xml:space="preserve"> </w:t>
      </w:r>
      <w:r w:rsidRPr="00442C63">
        <w:t>Section 4928.66(A)(2)(c), Revised Code</w:t>
      </w:r>
      <w:r>
        <w:t xml:space="preserve"> (emphasis added)</w:t>
      </w:r>
      <w:r w:rsidRPr="00442C63">
        <w:t>.</w:t>
      </w:r>
    </w:p>
  </w:footnote>
  <w:footnote w:id="27">
    <w:p w:rsidR="00C61B7C" w:rsidRDefault="00C61B7C" w:rsidP="00C61B7C">
      <w:pPr>
        <w:pStyle w:val="FootnoteText"/>
        <w:jc w:val="both"/>
      </w:pPr>
      <w:r>
        <w:rPr>
          <w:rStyle w:val="FootnoteReference"/>
        </w:rPr>
        <w:footnoteRef/>
      </w:r>
      <w:r>
        <w:t xml:space="preserve"> “[f]</w:t>
      </w:r>
      <w:r w:rsidRPr="00DD680A">
        <w:t>urther, as noted above, bidding the energy</w:t>
      </w:r>
      <w:r>
        <w:t xml:space="preserve"> efficiency attributes into the </w:t>
      </w:r>
      <w:r w:rsidRPr="00DD680A">
        <w:t>base residual auctions will provide funds to offset the cost of the EE/DR programs,</w:t>
      </w:r>
      <w:r>
        <w:t xml:space="preserve"> </w:t>
      </w:r>
      <w:r w:rsidRPr="00DD680A">
        <w:t>lowering the costs for</w:t>
      </w:r>
      <w:r>
        <w:t xml:space="preserve"> all customers</w:t>
      </w:r>
      <w:r w:rsidRPr="00DD680A">
        <w:t>.</w:t>
      </w:r>
      <w:r>
        <w:t>”  Opinion and Order at 42.</w:t>
      </w:r>
      <w:r w:rsidRPr="00837AAF">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66" w:rsidRDefault="00A719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Default="00FF5EC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Default="00FF5EC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Default="00FF5EC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Default="00FF5EC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Default="00FF5EC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Default="00FF5EC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Default="00FF5EC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Default="00FF5EC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Default="00FF5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66" w:rsidRDefault="00A719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66" w:rsidRDefault="00A719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Default="00FF5E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Default="00FF5E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Default="00FF5EC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Default="00FF5EC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Default="00FF5EC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C8" w:rsidRDefault="00FF5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3BD4"/>
    <w:multiLevelType w:val="hybridMultilevel"/>
    <w:tmpl w:val="03C02BBA"/>
    <w:lvl w:ilvl="0" w:tplc="C034FD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2017F"/>
    <w:multiLevelType w:val="hybridMultilevel"/>
    <w:tmpl w:val="32402062"/>
    <w:lvl w:ilvl="0" w:tplc="73980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DC70B9"/>
    <w:multiLevelType w:val="hybridMultilevel"/>
    <w:tmpl w:val="9126E946"/>
    <w:lvl w:ilvl="0" w:tplc="DD5230A0">
      <w:start w:val="1"/>
      <w:numFmt w:val="decimal"/>
      <w:lvlText w:val="%1."/>
      <w:lvlJc w:val="left"/>
      <w:pPr>
        <w:ind w:left="207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FC507E"/>
    <w:multiLevelType w:val="hybridMultilevel"/>
    <w:tmpl w:val="52E20F88"/>
    <w:lvl w:ilvl="0" w:tplc="A73E6368">
      <w:start w:val="1"/>
      <w:numFmt w:val="decimal"/>
      <w:lvlText w:val="%1."/>
      <w:lvlJc w:val="left"/>
      <w:pPr>
        <w:ind w:left="1080" w:hanging="360"/>
      </w:pPr>
      <w:rPr>
        <w:rFonts w:hint="default"/>
      </w:rPr>
    </w:lvl>
    <w:lvl w:ilvl="1" w:tplc="4180403A">
      <w:start w:val="1"/>
      <w:numFmt w:val="decimal"/>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9B2889"/>
    <w:multiLevelType w:val="hybridMultilevel"/>
    <w:tmpl w:val="43D81096"/>
    <w:lvl w:ilvl="0" w:tplc="99D40570">
      <w:start w:val="1"/>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3E0B5C53"/>
    <w:multiLevelType w:val="hybridMultilevel"/>
    <w:tmpl w:val="F5A421D4"/>
    <w:lvl w:ilvl="0" w:tplc="CDA6D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23B79"/>
    <w:multiLevelType w:val="hybridMultilevel"/>
    <w:tmpl w:val="0D64FA0C"/>
    <w:lvl w:ilvl="0" w:tplc="5F48AE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616F9E"/>
    <w:multiLevelType w:val="hybridMultilevel"/>
    <w:tmpl w:val="89A290B4"/>
    <w:lvl w:ilvl="0" w:tplc="3EB88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4E7B1A"/>
    <w:multiLevelType w:val="hybridMultilevel"/>
    <w:tmpl w:val="3B548AC8"/>
    <w:lvl w:ilvl="0" w:tplc="445E4A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E1A329F"/>
    <w:multiLevelType w:val="hybridMultilevel"/>
    <w:tmpl w:val="11A65A7A"/>
    <w:lvl w:ilvl="0" w:tplc="6A6881D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2D69DB"/>
    <w:multiLevelType w:val="hybridMultilevel"/>
    <w:tmpl w:val="50CC0EDE"/>
    <w:lvl w:ilvl="0" w:tplc="22684E94">
      <w:start w:val="1"/>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77D87217"/>
    <w:multiLevelType w:val="hybridMultilevel"/>
    <w:tmpl w:val="EB62A8D2"/>
    <w:lvl w:ilvl="0" w:tplc="7EF057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06F18"/>
    <w:multiLevelType w:val="hybridMultilevel"/>
    <w:tmpl w:val="817E47D6"/>
    <w:lvl w:ilvl="0" w:tplc="CAF82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0"/>
  </w:num>
  <w:num w:numId="5">
    <w:abstractNumId w:val="7"/>
  </w:num>
  <w:num w:numId="6">
    <w:abstractNumId w:val="2"/>
  </w:num>
  <w:num w:numId="7">
    <w:abstractNumId w:val="8"/>
  </w:num>
  <w:num w:numId="8">
    <w:abstractNumId w:val="6"/>
  </w:num>
  <w:num w:numId="9">
    <w:abstractNumId w:val="4"/>
  </w:num>
  <w:num w:numId="10">
    <w:abstractNumId w:val="12"/>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4C"/>
    <w:rsid w:val="00004CCE"/>
    <w:rsid w:val="00006D14"/>
    <w:rsid w:val="00012D7D"/>
    <w:rsid w:val="00013DD8"/>
    <w:rsid w:val="000157D9"/>
    <w:rsid w:val="0002199B"/>
    <w:rsid w:val="0007573F"/>
    <w:rsid w:val="00082C55"/>
    <w:rsid w:val="00096808"/>
    <w:rsid w:val="000B2B15"/>
    <w:rsid w:val="000B2E03"/>
    <w:rsid w:val="000B6BB0"/>
    <w:rsid w:val="000B7323"/>
    <w:rsid w:val="000C732B"/>
    <w:rsid w:val="000E5748"/>
    <w:rsid w:val="00131CDA"/>
    <w:rsid w:val="00136591"/>
    <w:rsid w:val="00166C45"/>
    <w:rsid w:val="001A4068"/>
    <w:rsid w:val="001A6082"/>
    <w:rsid w:val="001C1A42"/>
    <w:rsid w:val="001C3BE3"/>
    <w:rsid w:val="001C4DDB"/>
    <w:rsid w:val="001D09DD"/>
    <w:rsid w:val="001E5D9B"/>
    <w:rsid w:val="001E6158"/>
    <w:rsid w:val="00213FB9"/>
    <w:rsid w:val="0021478E"/>
    <w:rsid w:val="00233CAB"/>
    <w:rsid w:val="00240AB0"/>
    <w:rsid w:val="00241C5A"/>
    <w:rsid w:val="00246D86"/>
    <w:rsid w:val="00250B40"/>
    <w:rsid w:val="00250BFB"/>
    <w:rsid w:val="00251D77"/>
    <w:rsid w:val="00274194"/>
    <w:rsid w:val="00286263"/>
    <w:rsid w:val="00297644"/>
    <w:rsid w:val="002E7C6B"/>
    <w:rsid w:val="00304853"/>
    <w:rsid w:val="00336DB7"/>
    <w:rsid w:val="0036526B"/>
    <w:rsid w:val="00366B2F"/>
    <w:rsid w:val="003678D7"/>
    <w:rsid w:val="00390411"/>
    <w:rsid w:val="00393338"/>
    <w:rsid w:val="003A3E51"/>
    <w:rsid w:val="003C1861"/>
    <w:rsid w:val="003C4A41"/>
    <w:rsid w:val="003D488C"/>
    <w:rsid w:val="003D4914"/>
    <w:rsid w:val="00417E98"/>
    <w:rsid w:val="00442C63"/>
    <w:rsid w:val="00465988"/>
    <w:rsid w:val="00473B71"/>
    <w:rsid w:val="00497ED9"/>
    <w:rsid w:val="004D3465"/>
    <w:rsid w:val="004F7E6C"/>
    <w:rsid w:val="005048A4"/>
    <w:rsid w:val="005049CE"/>
    <w:rsid w:val="0050545C"/>
    <w:rsid w:val="00550146"/>
    <w:rsid w:val="0058165E"/>
    <w:rsid w:val="00582C7E"/>
    <w:rsid w:val="00585E7B"/>
    <w:rsid w:val="00593818"/>
    <w:rsid w:val="005967F7"/>
    <w:rsid w:val="005977ED"/>
    <w:rsid w:val="005A2048"/>
    <w:rsid w:val="005A41CF"/>
    <w:rsid w:val="005B421D"/>
    <w:rsid w:val="005B70B4"/>
    <w:rsid w:val="005C322C"/>
    <w:rsid w:val="005C494B"/>
    <w:rsid w:val="005D01CE"/>
    <w:rsid w:val="005D26F2"/>
    <w:rsid w:val="005E0F47"/>
    <w:rsid w:val="005E58A9"/>
    <w:rsid w:val="005F7067"/>
    <w:rsid w:val="00607EB6"/>
    <w:rsid w:val="00611CE0"/>
    <w:rsid w:val="006231D7"/>
    <w:rsid w:val="0063151D"/>
    <w:rsid w:val="006764A4"/>
    <w:rsid w:val="00696140"/>
    <w:rsid w:val="006A0055"/>
    <w:rsid w:val="006A1240"/>
    <w:rsid w:val="006D3D60"/>
    <w:rsid w:val="006D538D"/>
    <w:rsid w:val="006E65C9"/>
    <w:rsid w:val="006E73C0"/>
    <w:rsid w:val="006F0E0B"/>
    <w:rsid w:val="006F11AE"/>
    <w:rsid w:val="006F5D38"/>
    <w:rsid w:val="007063CB"/>
    <w:rsid w:val="00716DC0"/>
    <w:rsid w:val="007221D1"/>
    <w:rsid w:val="007360E5"/>
    <w:rsid w:val="0077102C"/>
    <w:rsid w:val="00786E10"/>
    <w:rsid w:val="007A364C"/>
    <w:rsid w:val="007A5834"/>
    <w:rsid w:val="007A75FF"/>
    <w:rsid w:val="007C27F2"/>
    <w:rsid w:val="007C3E55"/>
    <w:rsid w:val="007D7043"/>
    <w:rsid w:val="007E38E5"/>
    <w:rsid w:val="007E73A6"/>
    <w:rsid w:val="00814A82"/>
    <w:rsid w:val="0082759A"/>
    <w:rsid w:val="00830DDA"/>
    <w:rsid w:val="00833D1D"/>
    <w:rsid w:val="00837AAF"/>
    <w:rsid w:val="00850CFD"/>
    <w:rsid w:val="00863763"/>
    <w:rsid w:val="00883C00"/>
    <w:rsid w:val="0088758A"/>
    <w:rsid w:val="0089226A"/>
    <w:rsid w:val="008B5799"/>
    <w:rsid w:val="008D6649"/>
    <w:rsid w:val="008E3BF4"/>
    <w:rsid w:val="008E4891"/>
    <w:rsid w:val="00934AD3"/>
    <w:rsid w:val="009432E7"/>
    <w:rsid w:val="00943553"/>
    <w:rsid w:val="00953C60"/>
    <w:rsid w:val="009611E1"/>
    <w:rsid w:val="00983EEE"/>
    <w:rsid w:val="00986100"/>
    <w:rsid w:val="009B0674"/>
    <w:rsid w:val="009C3B2E"/>
    <w:rsid w:val="009C5CE5"/>
    <w:rsid w:val="009D4656"/>
    <w:rsid w:val="009E0586"/>
    <w:rsid w:val="009E2E53"/>
    <w:rsid w:val="009F7770"/>
    <w:rsid w:val="00A20A47"/>
    <w:rsid w:val="00A24533"/>
    <w:rsid w:val="00A46E16"/>
    <w:rsid w:val="00A56B03"/>
    <w:rsid w:val="00A609F0"/>
    <w:rsid w:val="00A64356"/>
    <w:rsid w:val="00A71966"/>
    <w:rsid w:val="00A87AFF"/>
    <w:rsid w:val="00A90BAA"/>
    <w:rsid w:val="00AA35E8"/>
    <w:rsid w:val="00AA6010"/>
    <w:rsid w:val="00AA647D"/>
    <w:rsid w:val="00AC1893"/>
    <w:rsid w:val="00AD5A3D"/>
    <w:rsid w:val="00AF0AC8"/>
    <w:rsid w:val="00AF2B6C"/>
    <w:rsid w:val="00AF6F30"/>
    <w:rsid w:val="00AF7B34"/>
    <w:rsid w:val="00B037AB"/>
    <w:rsid w:val="00B406CB"/>
    <w:rsid w:val="00B4282B"/>
    <w:rsid w:val="00B44037"/>
    <w:rsid w:val="00B746A3"/>
    <w:rsid w:val="00B904A3"/>
    <w:rsid w:val="00B90CDF"/>
    <w:rsid w:val="00B9499F"/>
    <w:rsid w:val="00B949DC"/>
    <w:rsid w:val="00B97F6F"/>
    <w:rsid w:val="00BA78A7"/>
    <w:rsid w:val="00BF0702"/>
    <w:rsid w:val="00C0405A"/>
    <w:rsid w:val="00C344A7"/>
    <w:rsid w:val="00C35565"/>
    <w:rsid w:val="00C361A5"/>
    <w:rsid w:val="00C46BD4"/>
    <w:rsid w:val="00C46F7B"/>
    <w:rsid w:val="00C5056D"/>
    <w:rsid w:val="00C52727"/>
    <w:rsid w:val="00C56555"/>
    <w:rsid w:val="00C61B7C"/>
    <w:rsid w:val="00C85CC7"/>
    <w:rsid w:val="00CA16A2"/>
    <w:rsid w:val="00CB7FC5"/>
    <w:rsid w:val="00CC0535"/>
    <w:rsid w:val="00CE03C4"/>
    <w:rsid w:val="00CF33D2"/>
    <w:rsid w:val="00D04D03"/>
    <w:rsid w:val="00D33EDA"/>
    <w:rsid w:val="00D34096"/>
    <w:rsid w:val="00D359D6"/>
    <w:rsid w:val="00D41686"/>
    <w:rsid w:val="00D428EE"/>
    <w:rsid w:val="00D70757"/>
    <w:rsid w:val="00D7392E"/>
    <w:rsid w:val="00D73F15"/>
    <w:rsid w:val="00D82B3A"/>
    <w:rsid w:val="00D83E8F"/>
    <w:rsid w:val="00D92740"/>
    <w:rsid w:val="00DB76C1"/>
    <w:rsid w:val="00DD0276"/>
    <w:rsid w:val="00DD680A"/>
    <w:rsid w:val="00E2135B"/>
    <w:rsid w:val="00E4701A"/>
    <w:rsid w:val="00E473D6"/>
    <w:rsid w:val="00E6585D"/>
    <w:rsid w:val="00E75A95"/>
    <w:rsid w:val="00E94141"/>
    <w:rsid w:val="00EA622A"/>
    <w:rsid w:val="00ED1534"/>
    <w:rsid w:val="00ED7B28"/>
    <w:rsid w:val="00EF1861"/>
    <w:rsid w:val="00F07107"/>
    <w:rsid w:val="00F17132"/>
    <w:rsid w:val="00F20BB8"/>
    <w:rsid w:val="00F2678D"/>
    <w:rsid w:val="00F3012A"/>
    <w:rsid w:val="00F30713"/>
    <w:rsid w:val="00F5024D"/>
    <w:rsid w:val="00F620C1"/>
    <w:rsid w:val="00F63A7F"/>
    <w:rsid w:val="00F646B9"/>
    <w:rsid w:val="00F86176"/>
    <w:rsid w:val="00F8788E"/>
    <w:rsid w:val="00FC7939"/>
    <w:rsid w:val="00FE5BF4"/>
    <w:rsid w:val="00FE61BE"/>
    <w:rsid w:val="00FF43F3"/>
    <w:rsid w:val="00FF5EC8"/>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4C"/>
    <w:rPr>
      <w:rFonts w:ascii="Times New Roman" w:eastAsia="Times New Roman" w:hAnsi="Times New Roman" w:cs="Times New Roman"/>
    </w:rPr>
  </w:style>
  <w:style w:type="paragraph" w:styleId="Heading1">
    <w:name w:val="heading 1"/>
    <w:basedOn w:val="Normal"/>
    <w:next w:val="Normal"/>
    <w:link w:val="Heading1Char"/>
    <w:uiPriority w:val="9"/>
    <w:qFormat/>
    <w:rsid w:val="007C2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40AB0"/>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364C"/>
    <w:pPr>
      <w:jc w:val="both"/>
    </w:pPr>
    <w:rPr>
      <w:rFonts w:ascii="Arial" w:hAnsi="Arial" w:cs="Arial"/>
    </w:rPr>
  </w:style>
  <w:style w:type="character" w:customStyle="1" w:styleId="BodyTextChar">
    <w:name w:val="Body Text Char"/>
    <w:basedOn w:val="DefaultParagraphFont"/>
    <w:link w:val="BodyText"/>
    <w:rsid w:val="007A364C"/>
    <w:rPr>
      <w:rFonts w:eastAsia="Times New Roman" w:cs="Arial"/>
    </w:rPr>
  </w:style>
  <w:style w:type="paragraph" w:styleId="BodyText3">
    <w:name w:val="Body Text 3"/>
    <w:basedOn w:val="Normal"/>
    <w:link w:val="BodyText3Char"/>
    <w:rsid w:val="007A364C"/>
    <w:rPr>
      <w:b/>
      <w:szCs w:val="20"/>
    </w:rPr>
  </w:style>
  <w:style w:type="character" w:customStyle="1" w:styleId="BodyText3Char">
    <w:name w:val="Body Text 3 Char"/>
    <w:basedOn w:val="DefaultParagraphFont"/>
    <w:link w:val="BodyText3"/>
    <w:rsid w:val="007A364C"/>
    <w:rPr>
      <w:rFonts w:ascii="Times New Roman" w:eastAsia="Times New Roman" w:hAnsi="Times New Roman" w:cs="Times New Roman"/>
      <w:b/>
      <w:szCs w:val="20"/>
    </w:rPr>
  </w:style>
  <w:style w:type="paragraph" w:styleId="Title">
    <w:name w:val="Title"/>
    <w:basedOn w:val="Normal"/>
    <w:link w:val="TitleChar"/>
    <w:qFormat/>
    <w:rsid w:val="007A364C"/>
    <w:pPr>
      <w:jc w:val="center"/>
    </w:pPr>
    <w:rPr>
      <w:rFonts w:ascii="Arial" w:hAnsi="Arial" w:cs="Arial"/>
      <w:b/>
      <w:smallCaps/>
      <w:sz w:val="32"/>
    </w:rPr>
  </w:style>
  <w:style w:type="character" w:customStyle="1" w:styleId="TitleChar">
    <w:name w:val="Title Char"/>
    <w:basedOn w:val="DefaultParagraphFont"/>
    <w:link w:val="Title"/>
    <w:rsid w:val="007A364C"/>
    <w:rPr>
      <w:rFonts w:eastAsia="Times New Roman" w:cs="Arial"/>
      <w:b/>
      <w:smallCaps/>
      <w:sz w:val="32"/>
    </w:rPr>
  </w:style>
  <w:style w:type="paragraph" w:styleId="Header">
    <w:name w:val="header"/>
    <w:basedOn w:val="Normal"/>
    <w:link w:val="HeaderChar"/>
    <w:uiPriority w:val="99"/>
    <w:unhideWhenUsed/>
    <w:rsid w:val="007A364C"/>
    <w:pPr>
      <w:tabs>
        <w:tab w:val="center" w:pos="4680"/>
        <w:tab w:val="right" w:pos="9360"/>
      </w:tabs>
    </w:pPr>
  </w:style>
  <w:style w:type="character" w:customStyle="1" w:styleId="HeaderChar">
    <w:name w:val="Header Char"/>
    <w:basedOn w:val="DefaultParagraphFont"/>
    <w:link w:val="Header"/>
    <w:uiPriority w:val="99"/>
    <w:rsid w:val="007A364C"/>
    <w:rPr>
      <w:rFonts w:ascii="Times New Roman" w:eastAsia="Times New Roman" w:hAnsi="Times New Roman" w:cs="Times New Roman"/>
    </w:rPr>
  </w:style>
  <w:style w:type="paragraph" w:styleId="Footer">
    <w:name w:val="footer"/>
    <w:basedOn w:val="Normal"/>
    <w:link w:val="FooterChar"/>
    <w:uiPriority w:val="99"/>
    <w:unhideWhenUsed/>
    <w:rsid w:val="007A364C"/>
    <w:pPr>
      <w:tabs>
        <w:tab w:val="center" w:pos="4680"/>
        <w:tab w:val="right" w:pos="9360"/>
      </w:tabs>
    </w:pPr>
  </w:style>
  <w:style w:type="character" w:customStyle="1" w:styleId="FooterChar">
    <w:name w:val="Footer Char"/>
    <w:basedOn w:val="DefaultParagraphFont"/>
    <w:link w:val="Footer"/>
    <w:uiPriority w:val="99"/>
    <w:rsid w:val="007A364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C27F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7043"/>
    <w:pPr>
      <w:ind w:left="720"/>
      <w:contextualSpacing/>
    </w:pPr>
  </w:style>
  <w:style w:type="paragraph" w:styleId="FootnoteText">
    <w:name w:val="footnote text"/>
    <w:basedOn w:val="Normal"/>
    <w:link w:val="FootnoteTextChar"/>
    <w:uiPriority w:val="99"/>
    <w:unhideWhenUsed/>
    <w:rsid w:val="000B2E03"/>
    <w:rPr>
      <w:rFonts w:ascii="Arial" w:eastAsia="Calibri" w:hAnsi="Arial"/>
      <w:sz w:val="20"/>
      <w:szCs w:val="20"/>
    </w:rPr>
  </w:style>
  <w:style w:type="character" w:customStyle="1" w:styleId="FootnoteTextChar">
    <w:name w:val="Footnote Text Char"/>
    <w:basedOn w:val="DefaultParagraphFont"/>
    <w:link w:val="FootnoteText"/>
    <w:uiPriority w:val="99"/>
    <w:rsid w:val="000B2E03"/>
    <w:rPr>
      <w:rFonts w:eastAsia="Calibri" w:cs="Times New Roman"/>
      <w:sz w:val="20"/>
      <w:szCs w:val="20"/>
    </w:rPr>
  </w:style>
  <w:style w:type="character" w:styleId="FootnoteReference">
    <w:name w:val="footnote reference"/>
    <w:basedOn w:val="DefaultParagraphFont"/>
    <w:uiPriority w:val="99"/>
    <w:semiHidden/>
    <w:unhideWhenUsed/>
    <w:rsid w:val="000B2E03"/>
    <w:rPr>
      <w:vertAlign w:val="superscript"/>
    </w:rPr>
  </w:style>
  <w:style w:type="paragraph" w:customStyle="1" w:styleId="Default">
    <w:name w:val="Default"/>
    <w:rsid w:val="000B2E03"/>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5048A4"/>
    <w:rPr>
      <w:rFonts w:ascii="Tahoma" w:hAnsi="Tahoma" w:cs="Tahoma"/>
      <w:sz w:val="16"/>
      <w:szCs w:val="16"/>
    </w:rPr>
  </w:style>
  <w:style w:type="character" w:customStyle="1" w:styleId="BalloonTextChar">
    <w:name w:val="Balloon Text Char"/>
    <w:basedOn w:val="DefaultParagraphFont"/>
    <w:link w:val="BalloonText"/>
    <w:uiPriority w:val="99"/>
    <w:semiHidden/>
    <w:rsid w:val="005048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E73A6"/>
    <w:rPr>
      <w:sz w:val="16"/>
      <w:szCs w:val="16"/>
    </w:rPr>
  </w:style>
  <w:style w:type="paragraph" w:styleId="CommentText">
    <w:name w:val="annotation text"/>
    <w:basedOn w:val="Normal"/>
    <w:link w:val="CommentTextChar"/>
    <w:uiPriority w:val="99"/>
    <w:semiHidden/>
    <w:unhideWhenUsed/>
    <w:rsid w:val="007E73A6"/>
    <w:rPr>
      <w:sz w:val="20"/>
      <w:szCs w:val="20"/>
    </w:rPr>
  </w:style>
  <w:style w:type="character" w:customStyle="1" w:styleId="CommentTextChar">
    <w:name w:val="Comment Text Char"/>
    <w:basedOn w:val="DefaultParagraphFont"/>
    <w:link w:val="CommentText"/>
    <w:uiPriority w:val="99"/>
    <w:semiHidden/>
    <w:rsid w:val="007E73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73A6"/>
    <w:rPr>
      <w:b/>
      <w:bCs/>
    </w:rPr>
  </w:style>
  <w:style w:type="character" w:customStyle="1" w:styleId="CommentSubjectChar">
    <w:name w:val="Comment Subject Char"/>
    <w:basedOn w:val="CommentTextChar"/>
    <w:link w:val="CommentSubject"/>
    <w:uiPriority w:val="99"/>
    <w:semiHidden/>
    <w:rsid w:val="007E73A6"/>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240AB0"/>
    <w:rPr>
      <w:rFonts w:eastAsia="Times New Roman" w:cs="Arial"/>
      <w:b/>
      <w:smallCap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4C"/>
    <w:rPr>
      <w:rFonts w:ascii="Times New Roman" w:eastAsia="Times New Roman" w:hAnsi="Times New Roman" w:cs="Times New Roman"/>
    </w:rPr>
  </w:style>
  <w:style w:type="paragraph" w:styleId="Heading1">
    <w:name w:val="heading 1"/>
    <w:basedOn w:val="Normal"/>
    <w:next w:val="Normal"/>
    <w:link w:val="Heading1Char"/>
    <w:uiPriority w:val="9"/>
    <w:qFormat/>
    <w:rsid w:val="007C2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40AB0"/>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364C"/>
    <w:pPr>
      <w:jc w:val="both"/>
    </w:pPr>
    <w:rPr>
      <w:rFonts w:ascii="Arial" w:hAnsi="Arial" w:cs="Arial"/>
    </w:rPr>
  </w:style>
  <w:style w:type="character" w:customStyle="1" w:styleId="BodyTextChar">
    <w:name w:val="Body Text Char"/>
    <w:basedOn w:val="DefaultParagraphFont"/>
    <w:link w:val="BodyText"/>
    <w:rsid w:val="007A364C"/>
    <w:rPr>
      <w:rFonts w:eastAsia="Times New Roman" w:cs="Arial"/>
    </w:rPr>
  </w:style>
  <w:style w:type="paragraph" w:styleId="BodyText3">
    <w:name w:val="Body Text 3"/>
    <w:basedOn w:val="Normal"/>
    <w:link w:val="BodyText3Char"/>
    <w:rsid w:val="007A364C"/>
    <w:rPr>
      <w:b/>
      <w:szCs w:val="20"/>
    </w:rPr>
  </w:style>
  <w:style w:type="character" w:customStyle="1" w:styleId="BodyText3Char">
    <w:name w:val="Body Text 3 Char"/>
    <w:basedOn w:val="DefaultParagraphFont"/>
    <w:link w:val="BodyText3"/>
    <w:rsid w:val="007A364C"/>
    <w:rPr>
      <w:rFonts w:ascii="Times New Roman" w:eastAsia="Times New Roman" w:hAnsi="Times New Roman" w:cs="Times New Roman"/>
      <w:b/>
      <w:szCs w:val="20"/>
    </w:rPr>
  </w:style>
  <w:style w:type="paragraph" w:styleId="Title">
    <w:name w:val="Title"/>
    <w:basedOn w:val="Normal"/>
    <w:link w:val="TitleChar"/>
    <w:qFormat/>
    <w:rsid w:val="007A364C"/>
    <w:pPr>
      <w:jc w:val="center"/>
    </w:pPr>
    <w:rPr>
      <w:rFonts w:ascii="Arial" w:hAnsi="Arial" w:cs="Arial"/>
      <w:b/>
      <w:smallCaps/>
      <w:sz w:val="32"/>
    </w:rPr>
  </w:style>
  <w:style w:type="character" w:customStyle="1" w:styleId="TitleChar">
    <w:name w:val="Title Char"/>
    <w:basedOn w:val="DefaultParagraphFont"/>
    <w:link w:val="Title"/>
    <w:rsid w:val="007A364C"/>
    <w:rPr>
      <w:rFonts w:eastAsia="Times New Roman" w:cs="Arial"/>
      <w:b/>
      <w:smallCaps/>
      <w:sz w:val="32"/>
    </w:rPr>
  </w:style>
  <w:style w:type="paragraph" w:styleId="Header">
    <w:name w:val="header"/>
    <w:basedOn w:val="Normal"/>
    <w:link w:val="HeaderChar"/>
    <w:uiPriority w:val="99"/>
    <w:unhideWhenUsed/>
    <w:rsid w:val="007A364C"/>
    <w:pPr>
      <w:tabs>
        <w:tab w:val="center" w:pos="4680"/>
        <w:tab w:val="right" w:pos="9360"/>
      </w:tabs>
    </w:pPr>
  </w:style>
  <w:style w:type="character" w:customStyle="1" w:styleId="HeaderChar">
    <w:name w:val="Header Char"/>
    <w:basedOn w:val="DefaultParagraphFont"/>
    <w:link w:val="Header"/>
    <w:uiPriority w:val="99"/>
    <w:rsid w:val="007A364C"/>
    <w:rPr>
      <w:rFonts w:ascii="Times New Roman" w:eastAsia="Times New Roman" w:hAnsi="Times New Roman" w:cs="Times New Roman"/>
    </w:rPr>
  </w:style>
  <w:style w:type="paragraph" w:styleId="Footer">
    <w:name w:val="footer"/>
    <w:basedOn w:val="Normal"/>
    <w:link w:val="FooterChar"/>
    <w:uiPriority w:val="99"/>
    <w:unhideWhenUsed/>
    <w:rsid w:val="007A364C"/>
    <w:pPr>
      <w:tabs>
        <w:tab w:val="center" w:pos="4680"/>
        <w:tab w:val="right" w:pos="9360"/>
      </w:tabs>
    </w:pPr>
  </w:style>
  <w:style w:type="character" w:customStyle="1" w:styleId="FooterChar">
    <w:name w:val="Footer Char"/>
    <w:basedOn w:val="DefaultParagraphFont"/>
    <w:link w:val="Footer"/>
    <w:uiPriority w:val="99"/>
    <w:rsid w:val="007A364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C27F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7043"/>
    <w:pPr>
      <w:ind w:left="720"/>
      <w:contextualSpacing/>
    </w:pPr>
  </w:style>
  <w:style w:type="paragraph" w:styleId="FootnoteText">
    <w:name w:val="footnote text"/>
    <w:basedOn w:val="Normal"/>
    <w:link w:val="FootnoteTextChar"/>
    <w:uiPriority w:val="99"/>
    <w:unhideWhenUsed/>
    <w:rsid w:val="000B2E03"/>
    <w:rPr>
      <w:rFonts w:ascii="Arial" w:eastAsia="Calibri" w:hAnsi="Arial"/>
      <w:sz w:val="20"/>
      <w:szCs w:val="20"/>
    </w:rPr>
  </w:style>
  <w:style w:type="character" w:customStyle="1" w:styleId="FootnoteTextChar">
    <w:name w:val="Footnote Text Char"/>
    <w:basedOn w:val="DefaultParagraphFont"/>
    <w:link w:val="FootnoteText"/>
    <w:uiPriority w:val="99"/>
    <w:rsid w:val="000B2E03"/>
    <w:rPr>
      <w:rFonts w:eastAsia="Calibri" w:cs="Times New Roman"/>
      <w:sz w:val="20"/>
      <w:szCs w:val="20"/>
    </w:rPr>
  </w:style>
  <w:style w:type="character" w:styleId="FootnoteReference">
    <w:name w:val="footnote reference"/>
    <w:basedOn w:val="DefaultParagraphFont"/>
    <w:uiPriority w:val="99"/>
    <w:semiHidden/>
    <w:unhideWhenUsed/>
    <w:rsid w:val="000B2E03"/>
    <w:rPr>
      <w:vertAlign w:val="superscript"/>
    </w:rPr>
  </w:style>
  <w:style w:type="paragraph" w:customStyle="1" w:styleId="Default">
    <w:name w:val="Default"/>
    <w:rsid w:val="000B2E03"/>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5048A4"/>
    <w:rPr>
      <w:rFonts w:ascii="Tahoma" w:hAnsi="Tahoma" w:cs="Tahoma"/>
      <w:sz w:val="16"/>
      <w:szCs w:val="16"/>
    </w:rPr>
  </w:style>
  <w:style w:type="character" w:customStyle="1" w:styleId="BalloonTextChar">
    <w:name w:val="Balloon Text Char"/>
    <w:basedOn w:val="DefaultParagraphFont"/>
    <w:link w:val="BalloonText"/>
    <w:uiPriority w:val="99"/>
    <w:semiHidden/>
    <w:rsid w:val="005048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E73A6"/>
    <w:rPr>
      <w:sz w:val="16"/>
      <w:szCs w:val="16"/>
    </w:rPr>
  </w:style>
  <w:style w:type="paragraph" w:styleId="CommentText">
    <w:name w:val="annotation text"/>
    <w:basedOn w:val="Normal"/>
    <w:link w:val="CommentTextChar"/>
    <w:uiPriority w:val="99"/>
    <w:semiHidden/>
    <w:unhideWhenUsed/>
    <w:rsid w:val="007E73A6"/>
    <w:rPr>
      <w:sz w:val="20"/>
      <w:szCs w:val="20"/>
    </w:rPr>
  </w:style>
  <w:style w:type="character" w:customStyle="1" w:styleId="CommentTextChar">
    <w:name w:val="Comment Text Char"/>
    <w:basedOn w:val="DefaultParagraphFont"/>
    <w:link w:val="CommentText"/>
    <w:uiPriority w:val="99"/>
    <w:semiHidden/>
    <w:rsid w:val="007E73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73A6"/>
    <w:rPr>
      <w:b/>
      <w:bCs/>
    </w:rPr>
  </w:style>
  <w:style w:type="character" w:customStyle="1" w:styleId="CommentSubjectChar">
    <w:name w:val="Comment Subject Char"/>
    <w:basedOn w:val="CommentTextChar"/>
    <w:link w:val="CommentSubject"/>
    <w:uiPriority w:val="99"/>
    <w:semiHidden/>
    <w:rsid w:val="007E73A6"/>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240AB0"/>
    <w:rPr>
      <w:rFonts w:eastAsia="Times New Roman" w:cs="Arial"/>
      <w:b/>
      <w:small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3133">
      <w:bodyDiv w:val="1"/>
      <w:marLeft w:val="0"/>
      <w:marRight w:val="0"/>
      <w:marTop w:val="0"/>
      <w:marBottom w:val="0"/>
      <w:divBdr>
        <w:top w:val="none" w:sz="0" w:space="0" w:color="auto"/>
        <w:left w:val="none" w:sz="0" w:space="0" w:color="auto"/>
        <w:bottom w:val="none" w:sz="0" w:space="0" w:color="auto"/>
        <w:right w:val="none" w:sz="0" w:space="0" w:color="auto"/>
      </w:divBdr>
      <w:divsChild>
        <w:div w:id="1968967155">
          <w:marLeft w:val="0"/>
          <w:marRight w:val="-5040"/>
          <w:marTop w:val="0"/>
          <w:marBottom w:val="0"/>
          <w:divBdr>
            <w:top w:val="none" w:sz="0" w:space="0" w:color="auto"/>
            <w:left w:val="none" w:sz="0" w:space="0" w:color="auto"/>
            <w:bottom w:val="none" w:sz="0" w:space="0" w:color="auto"/>
            <w:right w:val="none" w:sz="0" w:space="0" w:color="auto"/>
          </w:divBdr>
          <w:divsChild>
            <w:div w:id="132543238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7448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4392</Words>
  <Characters>25747</Characters>
  <Application>Microsoft Office Word</Application>
  <DocSecurity>0</DocSecurity>
  <PresentationFormat/>
  <Lines>669</Lines>
  <Paragraphs>271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30077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Rehearing w/ SR changes-- FE POR Case No. 12-2190 et al. (C40406-2).DOCX</dc:title>
  <dc:subject>C40406:2 /font=8</dc:subject>
  <dc:creator/>
  <cp:keywords> </cp:keywords>
  <dc:description> </dc:description>
  <cp:lastModifiedBy/>
  <cp:revision>20</cp:revision>
  <cp:lastPrinted>2013-04-19T20:20:00Z</cp:lastPrinted>
  <dcterms:created xsi:type="dcterms:W3CDTF">2013-04-19T14:47:00Z</dcterms:created>
  <dcterms:modified xsi:type="dcterms:W3CDTF">2013-04-19T20:22:00Z</dcterms:modified>
  <cp:category> </cp:category>
  <cp:contentStatus> </cp:contentStatus>
</cp:coreProperties>
</file>