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13" w:rsidRPr="00A72D6B" w:rsidRDefault="00C45713" w:rsidP="00C45713">
      <w:pPr>
        <w:jc w:val="center"/>
        <w:outlineLvl w:val="0"/>
        <w:rPr>
          <w:b/>
          <w:sz w:val="22"/>
          <w:szCs w:val="22"/>
        </w:rPr>
      </w:pPr>
      <w:bookmarkStart w:id="0" w:name="_Toc364423354"/>
      <w:bookmarkStart w:id="1" w:name="_Toc365616395"/>
      <w:bookmarkStart w:id="2" w:name="_GoBack"/>
      <w:bookmarkEnd w:id="2"/>
      <w:r w:rsidRPr="00A72D6B">
        <w:rPr>
          <w:b/>
          <w:sz w:val="22"/>
          <w:szCs w:val="22"/>
        </w:rPr>
        <w:t>BEFORE THE</w:t>
      </w:r>
    </w:p>
    <w:p w:rsidR="00C45713" w:rsidRPr="00A72D6B" w:rsidRDefault="00C45713" w:rsidP="00C45713">
      <w:pPr>
        <w:jc w:val="center"/>
        <w:outlineLvl w:val="0"/>
        <w:rPr>
          <w:b/>
          <w:sz w:val="22"/>
          <w:szCs w:val="22"/>
        </w:rPr>
      </w:pPr>
      <w:r>
        <w:rPr>
          <w:b/>
          <w:sz w:val="22"/>
          <w:szCs w:val="22"/>
        </w:rPr>
        <w:t>PUBLIC UTILITIES</w:t>
      </w:r>
      <w:r w:rsidRPr="00A72D6B">
        <w:rPr>
          <w:b/>
          <w:sz w:val="22"/>
          <w:szCs w:val="22"/>
        </w:rPr>
        <w:t xml:space="preserve"> COMMISSION OF OHIO</w:t>
      </w:r>
    </w:p>
    <w:p w:rsidR="00C45713" w:rsidRPr="00A72D6B" w:rsidRDefault="00C45713" w:rsidP="00C45713">
      <w:pPr>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50"/>
        <w:gridCol w:w="3958"/>
      </w:tblGrid>
      <w:tr w:rsidR="00C45713" w:rsidRPr="00A72D6B" w:rsidTr="00C45713">
        <w:tc>
          <w:tcPr>
            <w:tcW w:w="4448" w:type="dxa"/>
            <w:tcBorders>
              <w:top w:val="nil"/>
              <w:left w:val="nil"/>
              <w:bottom w:val="nil"/>
              <w:right w:val="nil"/>
            </w:tcBorders>
          </w:tcPr>
          <w:p w:rsidR="00C45713" w:rsidRPr="00B723B4" w:rsidRDefault="00C45713" w:rsidP="00DB7C48">
            <w:pPr>
              <w:autoSpaceDE w:val="0"/>
              <w:autoSpaceDN w:val="0"/>
              <w:adjustRightInd w:val="0"/>
              <w:rPr>
                <w:b/>
                <w:sz w:val="22"/>
                <w:szCs w:val="22"/>
              </w:rPr>
            </w:pPr>
            <w:r w:rsidRPr="00B723B4">
              <w:rPr>
                <w:sz w:val="22"/>
                <w:szCs w:val="22"/>
              </w:rPr>
              <w:t>In the Matter of the Application of Ohio Power Company to Establish a Competitive Bidding Process for Procurement of Energy to Support its Standard Service Offer</w:t>
            </w:r>
          </w:p>
        </w:tc>
        <w:tc>
          <w:tcPr>
            <w:tcW w:w="450" w:type="dxa"/>
            <w:tcBorders>
              <w:top w:val="nil"/>
              <w:left w:val="nil"/>
              <w:bottom w:val="nil"/>
              <w:right w:val="nil"/>
            </w:tcBorders>
          </w:tcPr>
          <w:p w:rsidR="00C45713" w:rsidRPr="00B723B4" w:rsidRDefault="00C45713" w:rsidP="00CC1F9F">
            <w:pPr>
              <w:ind w:firstLine="12"/>
              <w:outlineLvl w:val="0"/>
              <w:rPr>
                <w:b/>
                <w:sz w:val="22"/>
                <w:szCs w:val="22"/>
              </w:rPr>
            </w:pPr>
            <w:r w:rsidRPr="00B723B4">
              <w:rPr>
                <w:b/>
                <w:sz w:val="22"/>
                <w:szCs w:val="22"/>
              </w:rPr>
              <w:t>:</w:t>
            </w:r>
          </w:p>
          <w:p w:rsidR="00C45713" w:rsidRPr="00B723B4" w:rsidRDefault="00C45713" w:rsidP="00CC1F9F">
            <w:pPr>
              <w:ind w:firstLine="12"/>
              <w:outlineLvl w:val="0"/>
              <w:rPr>
                <w:b/>
                <w:sz w:val="22"/>
                <w:szCs w:val="22"/>
              </w:rPr>
            </w:pPr>
            <w:r w:rsidRPr="00B723B4">
              <w:rPr>
                <w:b/>
                <w:sz w:val="22"/>
                <w:szCs w:val="22"/>
              </w:rPr>
              <w:t>:</w:t>
            </w:r>
          </w:p>
          <w:p w:rsidR="00C45713" w:rsidRPr="00B723B4" w:rsidRDefault="00C45713" w:rsidP="00CC1F9F">
            <w:pPr>
              <w:ind w:firstLine="12"/>
              <w:outlineLvl w:val="0"/>
              <w:rPr>
                <w:b/>
                <w:sz w:val="22"/>
                <w:szCs w:val="22"/>
              </w:rPr>
            </w:pPr>
            <w:r w:rsidRPr="00B723B4">
              <w:rPr>
                <w:b/>
                <w:sz w:val="22"/>
                <w:szCs w:val="22"/>
              </w:rPr>
              <w:t>:</w:t>
            </w:r>
          </w:p>
          <w:p w:rsidR="00C45713" w:rsidRPr="00B723B4" w:rsidRDefault="00C45713" w:rsidP="00CC1F9F">
            <w:pPr>
              <w:ind w:firstLine="12"/>
              <w:outlineLvl w:val="0"/>
              <w:rPr>
                <w:b/>
                <w:sz w:val="22"/>
                <w:szCs w:val="22"/>
              </w:rPr>
            </w:pPr>
            <w:r>
              <w:rPr>
                <w:b/>
                <w:sz w:val="22"/>
                <w:szCs w:val="22"/>
              </w:rPr>
              <w:t>:</w:t>
            </w:r>
          </w:p>
        </w:tc>
        <w:tc>
          <w:tcPr>
            <w:tcW w:w="3958" w:type="dxa"/>
            <w:tcBorders>
              <w:top w:val="nil"/>
              <w:left w:val="nil"/>
              <w:bottom w:val="nil"/>
              <w:right w:val="nil"/>
            </w:tcBorders>
          </w:tcPr>
          <w:p w:rsidR="00C45713" w:rsidRPr="00B723B4" w:rsidRDefault="00C45713" w:rsidP="00CC1F9F">
            <w:pPr>
              <w:outlineLvl w:val="0"/>
              <w:rPr>
                <w:b/>
                <w:sz w:val="22"/>
                <w:szCs w:val="22"/>
              </w:rPr>
            </w:pPr>
          </w:p>
          <w:p w:rsidR="00C45713" w:rsidRPr="00B723B4" w:rsidRDefault="00C45713" w:rsidP="00CC1F9F">
            <w:pPr>
              <w:outlineLvl w:val="0"/>
              <w:rPr>
                <w:b/>
                <w:sz w:val="22"/>
                <w:szCs w:val="22"/>
              </w:rPr>
            </w:pPr>
            <w:r w:rsidRPr="00B723B4">
              <w:rPr>
                <w:b/>
                <w:sz w:val="22"/>
                <w:szCs w:val="22"/>
              </w:rPr>
              <w:t>Case No. 12-3254-EL-UNC</w:t>
            </w:r>
          </w:p>
          <w:p w:rsidR="00C45713" w:rsidRPr="00B723B4" w:rsidRDefault="00C45713" w:rsidP="00CC1F9F">
            <w:pPr>
              <w:outlineLvl w:val="0"/>
              <w:rPr>
                <w:b/>
                <w:sz w:val="22"/>
                <w:szCs w:val="22"/>
              </w:rPr>
            </w:pPr>
          </w:p>
        </w:tc>
      </w:tr>
    </w:tbl>
    <w:p w:rsidR="00C45713" w:rsidRPr="00A72D6B" w:rsidRDefault="00C45713" w:rsidP="00C45713">
      <w:pPr>
        <w:pBdr>
          <w:bottom w:val="single" w:sz="12" w:space="1" w:color="auto"/>
        </w:pBdr>
        <w:outlineLvl w:val="0"/>
        <w:rPr>
          <w:b/>
          <w:sz w:val="22"/>
          <w:szCs w:val="22"/>
          <w:u w:val="single"/>
        </w:rPr>
      </w:pPr>
    </w:p>
    <w:p w:rsidR="00C45713" w:rsidRPr="00A72D6B" w:rsidRDefault="00C45713" w:rsidP="00C45713">
      <w:pPr>
        <w:jc w:val="center"/>
        <w:outlineLvl w:val="0"/>
        <w:rPr>
          <w:b/>
          <w:sz w:val="22"/>
          <w:szCs w:val="22"/>
          <w:u w:val="single"/>
        </w:rPr>
      </w:pPr>
    </w:p>
    <w:p w:rsidR="00C45713" w:rsidRPr="00A72D6B" w:rsidRDefault="00C45713" w:rsidP="00C45713">
      <w:pPr>
        <w:jc w:val="center"/>
        <w:rPr>
          <w:b/>
          <w:sz w:val="22"/>
          <w:szCs w:val="22"/>
        </w:rPr>
      </w:pPr>
      <w:r>
        <w:rPr>
          <w:b/>
          <w:sz w:val="22"/>
          <w:szCs w:val="22"/>
        </w:rPr>
        <w:t>JOINT REPLY BRIEF OF</w:t>
      </w:r>
    </w:p>
    <w:p w:rsidR="00C45713" w:rsidRDefault="00C45713" w:rsidP="00C45713">
      <w:pPr>
        <w:jc w:val="center"/>
        <w:rPr>
          <w:b/>
          <w:sz w:val="22"/>
          <w:szCs w:val="22"/>
        </w:rPr>
      </w:pPr>
      <w:r w:rsidRPr="00A72D6B">
        <w:rPr>
          <w:b/>
          <w:sz w:val="22"/>
          <w:szCs w:val="22"/>
        </w:rPr>
        <w:t>THE OHIO ENERGY GROUP</w:t>
      </w:r>
      <w:r>
        <w:rPr>
          <w:b/>
          <w:sz w:val="22"/>
          <w:szCs w:val="22"/>
        </w:rPr>
        <w:t xml:space="preserve"> </w:t>
      </w:r>
    </w:p>
    <w:p w:rsidR="00C45713" w:rsidRDefault="00C45713" w:rsidP="00C45713">
      <w:pPr>
        <w:jc w:val="center"/>
        <w:rPr>
          <w:b/>
          <w:sz w:val="22"/>
          <w:szCs w:val="22"/>
        </w:rPr>
      </w:pPr>
      <w:r>
        <w:rPr>
          <w:b/>
          <w:sz w:val="22"/>
          <w:szCs w:val="22"/>
        </w:rPr>
        <w:t xml:space="preserve">AND </w:t>
      </w:r>
    </w:p>
    <w:p w:rsidR="00C45713" w:rsidRDefault="00C45713" w:rsidP="00C45713">
      <w:pPr>
        <w:pBdr>
          <w:bottom w:val="single" w:sz="12" w:space="1" w:color="auto"/>
        </w:pBdr>
        <w:jc w:val="center"/>
        <w:rPr>
          <w:b/>
          <w:sz w:val="22"/>
          <w:szCs w:val="22"/>
        </w:rPr>
      </w:pPr>
      <w:r>
        <w:rPr>
          <w:b/>
          <w:sz w:val="22"/>
          <w:szCs w:val="22"/>
        </w:rPr>
        <w:t>THE OFFICE OF OHIO CONSUMERS’ COUNSEL</w:t>
      </w:r>
    </w:p>
    <w:p w:rsidR="00C45713" w:rsidRPr="00A72D6B" w:rsidRDefault="00C45713" w:rsidP="00C45713">
      <w:pPr>
        <w:pBdr>
          <w:bottom w:val="single" w:sz="12" w:space="1" w:color="auto"/>
        </w:pBdr>
        <w:jc w:val="center"/>
        <w:rPr>
          <w:b/>
          <w:sz w:val="22"/>
          <w:szCs w:val="22"/>
        </w:rPr>
      </w:pPr>
    </w:p>
    <w:p w:rsidR="00C45713" w:rsidRDefault="00C45713" w:rsidP="00C45713">
      <w:pPr>
        <w:rPr>
          <w:sz w:val="22"/>
          <w:szCs w:val="22"/>
        </w:rPr>
      </w:pPr>
    </w:p>
    <w:bookmarkEnd w:id="0"/>
    <w:bookmarkEnd w:id="1"/>
    <w:p w:rsidR="00C9740F" w:rsidRDefault="00CD0474" w:rsidP="00C943B8">
      <w:pPr>
        <w:spacing w:line="480" w:lineRule="auto"/>
        <w:ind w:firstLine="720"/>
        <w:rPr>
          <w:color w:val="000000" w:themeColor="text1"/>
          <w:sz w:val="22"/>
          <w:szCs w:val="22"/>
        </w:rPr>
      </w:pPr>
      <w:r w:rsidRPr="00CD0474">
        <w:rPr>
          <w:color w:val="000000" w:themeColor="text1"/>
          <w:sz w:val="22"/>
          <w:szCs w:val="22"/>
        </w:rPr>
        <w:t>The Ohio Energy Group (“OEG”)</w:t>
      </w:r>
      <w:r w:rsidR="00B104D8">
        <w:rPr>
          <w:color w:val="000000" w:themeColor="text1"/>
          <w:sz w:val="22"/>
          <w:szCs w:val="22"/>
        </w:rPr>
        <w:t xml:space="preserve"> and The Office of the Ohio Consumers’ Counsel (“OCC”) submit</w:t>
      </w:r>
      <w:r w:rsidRPr="00CD0474">
        <w:rPr>
          <w:color w:val="000000" w:themeColor="text1"/>
          <w:sz w:val="22"/>
          <w:szCs w:val="22"/>
        </w:rPr>
        <w:t xml:space="preserve"> this Reply Brief in response to the Post-Hearing Brief</w:t>
      </w:r>
      <w:r w:rsidR="00497BBC">
        <w:rPr>
          <w:color w:val="000000" w:themeColor="text1"/>
          <w:sz w:val="22"/>
          <w:szCs w:val="22"/>
        </w:rPr>
        <w:t>s</w:t>
      </w:r>
      <w:r w:rsidRPr="00CD0474">
        <w:rPr>
          <w:color w:val="000000" w:themeColor="text1"/>
          <w:sz w:val="22"/>
          <w:szCs w:val="22"/>
        </w:rPr>
        <w:t xml:space="preserve"> of </w:t>
      </w:r>
      <w:r w:rsidR="009C2F03">
        <w:rPr>
          <w:color w:val="000000" w:themeColor="text1"/>
          <w:sz w:val="22"/>
          <w:szCs w:val="22"/>
        </w:rPr>
        <w:t>Ohio Power Company (“AEP Ohio”</w:t>
      </w:r>
      <w:r w:rsidR="00346623">
        <w:rPr>
          <w:color w:val="000000" w:themeColor="text1"/>
          <w:sz w:val="22"/>
          <w:szCs w:val="22"/>
        </w:rPr>
        <w:t xml:space="preserve"> or “Company”</w:t>
      </w:r>
      <w:r w:rsidR="009C2F03">
        <w:rPr>
          <w:color w:val="000000" w:themeColor="text1"/>
          <w:sz w:val="22"/>
          <w:szCs w:val="22"/>
        </w:rPr>
        <w:t xml:space="preserve">), </w:t>
      </w:r>
      <w:r w:rsidR="008A3981" w:rsidRPr="008A3981">
        <w:rPr>
          <w:color w:val="000000" w:themeColor="text1"/>
          <w:sz w:val="22"/>
          <w:szCs w:val="22"/>
        </w:rPr>
        <w:t xml:space="preserve">Constellation NewEnergy, Inc. and Exelon Generation </w:t>
      </w:r>
      <w:r w:rsidR="008A3981">
        <w:rPr>
          <w:color w:val="000000" w:themeColor="text1"/>
          <w:sz w:val="22"/>
          <w:szCs w:val="22"/>
        </w:rPr>
        <w:t>(jointly, “Exelon”)</w:t>
      </w:r>
      <w:r w:rsidR="003205CA">
        <w:rPr>
          <w:color w:val="000000" w:themeColor="text1"/>
          <w:sz w:val="22"/>
          <w:szCs w:val="22"/>
        </w:rPr>
        <w:t xml:space="preserve">, </w:t>
      </w:r>
      <w:r w:rsidR="009C2F03">
        <w:rPr>
          <w:color w:val="000000" w:themeColor="text1"/>
          <w:sz w:val="22"/>
          <w:szCs w:val="22"/>
        </w:rPr>
        <w:t xml:space="preserve">and </w:t>
      </w:r>
      <w:r w:rsidR="00497BBC">
        <w:rPr>
          <w:color w:val="000000" w:themeColor="text1"/>
          <w:sz w:val="22"/>
          <w:szCs w:val="22"/>
        </w:rPr>
        <w:t>FirstEnergy</w:t>
      </w:r>
      <w:r w:rsidR="005B3ACF">
        <w:rPr>
          <w:color w:val="000000" w:themeColor="text1"/>
          <w:sz w:val="22"/>
          <w:szCs w:val="22"/>
        </w:rPr>
        <w:t xml:space="preserve"> Solutions Corp. (“FirstEnergy”)</w:t>
      </w:r>
      <w:r w:rsidR="009C2F03">
        <w:rPr>
          <w:color w:val="000000" w:themeColor="text1"/>
          <w:sz w:val="22"/>
          <w:szCs w:val="22"/>
        </w:rPr>
        <w:t>.</w:t>
      </w:r>
      <w:r w:rsidR="009837D4" w:rsidRPr="008A4886">
        <w:rPr>
          <w:rStyle w:val="FootnoteReference"/>
          <w:color w:val="000000" w:themeColor="text1"/>
          <w:vertAlign w:val="superscript"/>
        </w:rPr>
        <w:footnoteReference w:id="1"/>
      </w:r>
      <w:r w:rsidR="009C2F03">
        <w:rPr>
          <w:color w:val="000000" w:themeColor="text1"/>
          <w:sz w:val="22"/>
          <w:szCs w:val="22"/>
        </w:rPr>
        <w:t xml:space="preserve">  </w:t>
      </w:r>
      <w:r w:rsidR="00180396">
        <w:rPr>
          <w:color w:val="000000" w:themeColor="text1"/>
          <w:sz w:val="22"/>
          <w:szCs w:val="22"/>
        </w:rPr>
        <w:t>Resolving</w:t>
      </w:r>
      <w:r w:rsidR="009837D4">
        <w:rPr>
          <w:color w:val="000000" w:themeColor="text1"/>
          <w:sz w:val="22"/>
          <w:szCs w:val="22"/>
        </w:rPr>
        <w:t xml:space="preserve"> the plight of non-shopping customers</w:t>
      </w:r>
      <w:r w:rsidR="00180396">
        <w:rPr>
          <w:color w:val="000000" w:themeColor="text1"/>
          <w:sz w:val="22"/>
          <w:szCs w:val="22"/>
        </w:rPr>
        <w:t xml:space="preserve"> should be of paramount concern as the Public Utilities Commission of Ohio (“Commission”</w:t>
      </w:r>
      <w:r w:rsidR="004232BE">
        <w:rPr>
          <w:color w:val="000000" w:themeColor="text1"/>
          <w:sz w:val="22"/>
          <w:szCs w:val="22"/>
        </w:rPr>
        <w:t xml:space="preserve"> or “PUCO”</w:t>
      </w:r>
      <w:r w:rsidR="00180396">
        <w:rPr>
          <w:color w:val="000000" w:themeColor="text1"/>
          <w:sz w:val="22"/>
          <w:szCs w:val="22"/>
        </w:rPr>
        <w:t>)</w:t>
      </w:r>
      <w:r w:rsidR="00EE023A">
        <w:rPr>
          <w:color w:val="000000" w:themeColor="text1"/>
          <w:sz w:val="22"/>
          <w:szCs w:val="22"/>
        </w:rPr>
        <w:t xml:space="preserve"> considers the parties’ recommendations.</w:t>
      </w:r>
      <w:r w:rsidR="009837D4">
        <w:rPr>
          <w:color w:val="000000" w:themeColor="text1"/>
          <w:sz w:val="22"/>
          <w:szCs w:val="22"/>
        </w:rPr>
        <w:t xml:space="preserve">  </w:t>
      </w:r>
      <w:r w:rsidR="00C9740F">
        <w:rPr>
          <w:color w:val="000000" w:themeColor="text1"/>
          <w:sz w:val="22"/>
          <w:szCs w:val="22"/>
        </w:rPr>
        <w:t>Non-shopping customers primarily include residential and small business customers, low-income P</w:t>
      </w:r>
      <w:r w:rsidR="009970FD">
        <w:rPr>
          <w:color w:val="000000" w:themeColor="text1"/>
          <w:sz w:val="22"/>
          <w:szCs w:val="22"/>
        </w:rPr>
        <w:t xml:space="preserve">ercentage of </w:t>
      </w:r>
      <w:r w:rsidR="00C9740F">
        <w:rPr>
          <w:color w:val="000000" w:themeColor="text1"/>
          <w:sz w:val="22"/>
          <w:szCs w:val="22"/>
        </w:rPr>
        <w:t>I</w:t>
      </w:r>
      <w:r w:rsidR="009970FD">
        <w:rPr>
          <w:color w:val="000000" w:themeColor="text1"/>
          <w:sz w:val="22"/>
          <w:szCs w:val="22"/>
        </w:rPr>
        <w:t xml:space="preserve">ncome </w:t>
      </w:r>
      <w:r w:rsidR="00C9740F">
        <w:rPr>
          <w:color w:val="000000" w:themeColor="text1"/>
          <w:sz w:val="22"/>
          <w:szCs w:val="22"/>
        </w:rPr>
        <w:t>P</w:t>
      </w:r>
      <w:r w:rsidR="009970FD">
        <w:rPr>
          <w:color w:val="000000" w:themeColor="text1"/>
          <w:sz w:val="22"/>
          <w:szCs w:val="22"/>
        </w:rPr>
        <w:t xml:space="preserve">ayment </w:t>
      </w:r>
      <w:r w:rsidR="00C9740F">
        <w:rPr>
          <w:color w:val="000000" w:themeColor="text1"/>
          <w:sz w:val="22"/>
          <w:szCs w:val="22"/>
        </w:rPr>
        <w:t>P</w:t>
      </w:r>
      <w:r w:rsidR="009970FD">
        <w:rPr>
          <w:color w:val="000000" w:themeColor="text1"/>
          <w:sz w:val="22"/>
          <w:szCs w:val="22"/>
        </w:rPr>
        <w:t>rogram (“PIPP”)</w:t>
      </w:r>
      <w:r w:rsidR="00C9740F">
        <w:rPr>
          <w:color w:val="000000" w:themeColor="text1"/>
          <w:sz w:val="22"/>
          <w:szCs w:val="22"/>
        </w:rPr>
        <w:t xml:space="preserve"> customers, and energy-intensive reasonable</w:t>
      </w:r>
      <w:r w:rsidR="00712C8D">
        <w:rPr>
          <w:color w:val="000000" w:themeColor="text1"/>
          <w:sz w:val="22"/>
          <w:szCs w:val="22"/>
        </w:rPr>
        <w:t>-</w:t>
      </w:r>
      <w:r w:rsidR="00C9740F">
        <w:rPr>
          <w:color w:val="000000" w:themeColor="text1"/>
          <w:sz w:val="22"/>
          <w:szCs w:val="22"/>
        </w:rPr>
        <w:t xml:space="preserve">arrangement customers.  </w:t>
      </w:r>
      <w:r w:rsidR="00712C8D">
        <w:rPr>
          <w:color w:val="000000" w:themeColor="text1"/>
          <w:sz w:val="22"/>
          <w:szCs w:val="22"/>
        </w:rPr>
        <w:t>T</w:t>
      </w:r>
      <w:r w:rsidR="009837D4">
        <w:rPr>
          <w:color w:val="000000" w:themeColor="text1"/>
          <w:sz w:val="22"/>
          <w:szCs w:val="22"/>
        </w:rPr>
        <w:t>hese customers will pay high cost</w:t>
      </w:r>
      <w:r w:rsidR="009970FD">
        <w:rPr>
          <w:color w:val="000000" w:themeColor="text1"/>
          <w:sz w:val="22"/>
          <w:szCs w:val="22"/>
        </w:rPr>
        <w:t>-</w:t>
      </w:r>
      <w:r w:rsidR="009837D4">
        <w:rPr>
          <w:color w:val="000000" w:themeColor="text1"/>
          <w:sz w:val="22"/>
          <w:szCs w:val="22"/>
        </w:rPr>
        <w:t>based rates for capacity coupled with higher market</w:t>
      </w:r>
      <w:r w:rsidR="009970FD">
        <w:rPr>
          <w:color w:val="000000" w:themeColor="text1"/>
          <w:sz w:val="22"/>
          <w:szCs w:val="22"/>
        </w:rPr>
        <w:t>-</w:t>
      </w:r>
      <w:r w:rsidR="009837D4">
        <w:rPr>
          <w:color w:val="000000" w:themeColor="text1"/>
          <w:sz w:val="22"/>
          <w:szCs w:val="22"/>
        </w:rPr>
        <w:t>based rates for energy over the next sixteen months</w:t>
      </w:r>
      <w:r w:rsidR="004232BE">
        <w:rPr>
          <w:color w:val="000000" w:themeColor="text1"/>
          <w:sz w:val="22"/>
          <w:szCs w:val="22"/>
        </w:rPr>
        <w:t>,</w:t>
      </w:r>
      <w:r w:rsidR="009837D4">
        <w:rPr>
          <w:color w:val="000000" w:themeColor="text1"/>
          <w:sz w:val="22"/>
          <w:szCs w:val="22"/>
        </w:rPr>
        <w:t xml:space="preserve"> unless the PUCO modifies AEP Ohio’s proposed </w:t>
      </w:r>
      <w:r w:rsidR="0039737F">
        <w:rPr>
          <w:color w:val="000000" w:themeColor="text1"/>
          <w:sz w:val="22"/>
          <w:szCs w:val="22"/>
        </w:rPr>
        <w:t>Completive</w:t>
      </w:r>
      <w:r w:rsidR="009970FD">
        <w:rPr>
          <w:color w:val="000000" w:themeColor="text1"/>
          <w:sz w:val="22"/>
          <w:szCs w:val="22"/>
        </w:rPr>
        <w:t xml:space="preserve"> </w:t>
      </w:r>
      <w:r w:rsidR="009837D4">
        <w:rPr>
          <w:color w:val="000000" w:themeColor="text1"/>
          <w:sz w:val="22"/>
          <w:szCs w:val="22"/>
        </w:rPr>
        <w:t>B</w:t>
      </w:r>
      <w:r w:rsidR="009970FD">
        <w:rPr>
          <w:color w:val="000000" w:themeColor="text1"/>
          <w:sz w:val="22"/>
          <w:szCs w:val="22"/>
        </w:rPr>
        <w:t xml:space="preserve">idding </w:t>
      </w:r>
      <w:r w:rsidR="009837D4">
        <w:rPr>
          <w:color w:val="000000" w:themeColor="text1"/>
          <w:sz w:val="22"/>
          <w:szCs w:val="22"/>
        </w:rPr>
        <w:t>P</w:t>
      </w:r>
      <w:r w:rsidR="009970FD">
        <w:rPr>
          <w:color w:val="000000" w:themeColor="text1"/>
          <w:sz w:val="22"/>
          <w:szCs w:val="22"/>
        </w:rPr>
        <w:t>rocess (“CBP”)</w:t>
      </w:r>
      <w:r w:rsidR="009837D4">
        <w:rPr>
          <w:color w:val="000000" w:themeColor="text1"/>
          <w:sz w:val="22"/>
          <w:szCs w:val="22"/>
        </w:rPr>
        <w:t xml:space="preserve">. </w:t>
      </w:r>
    </w:p>
    <w:p w:rsidR="0027431D" w:rsidRDefault="00371D09" w:rsidP="00C943B8">
      <w:pPr>
        <w:spacing w:line="480" w:lineRule="auto"/>
        <w:ind w:firstLine="720"/>
        <w:rPr>
          <w:color w:val="000000" w:themeColor="text1"/>
          <w:sz w:val="22"/>
          <w:szCs w:val="22"/>
        </w:rPr>
        <w:sectPr w:rsidR="0027431D" w:rsidSect="00C4571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docGrid w:linePitch="360"/>
        </w:sectPr>
      </w:pPr>
      <w:r>
        <w:rPr>
          <w:color w:val="000000" w:themeColor="text1"/>
          <w:sz w:val="22"/>
          <w:szCs w:val="22"/>
        </w:rPr>
        <w:t>I</w:t>
      </w:r>
      <w:r w:rsidR="009837D4">
        <w:rPr>
          <w:color w:val="000000" w:themeColor="text1"/>
          <w:sz w:val="22"/>
          <w:szCs w:val="22"/>
        </w:rPr>
        <w:t xml:space="preserve">ntervenors have </w:t>
      </w:r>
      <w:r w:rsidR="00F6307B">
        <w:rPr>
          <w:color w:val="000000" w:themeColor="text1"/>
          <w:sz w:val="22"/>
          <w:szCs w:val="22"/>
        </w:rPr>
        <w:t xml:space="preserve">offered </w:t>
      </w:r>
      <w:r w:rsidR="009970FD">
        <w:rPr>
          <w:color w:val="000000" w:themeColor="text1"/>
          <w:sz w:val="22"/>
          <w:szCs w:val="22"/>
        </w:rPr>
        <w:t xml:space="preserve">various </w:t>
      </w:r>
      <w:r w:rsidR="009837D4">
        <w:rPr>
          <w:color w:val="000000" w:themeColor="text1"/>
          <w:sz w:val="22"/>
          <w:szCs w:val="22"/>
        </w:rPr>
        <w:t xml:space="preserve">options </w:t>
      </w:r>
      <w:r w:rsidR="004002A7">
        <w:rPr>
          <w:color w:val="000000" w:themeColor="text1"/>
          <w:sz w:val="22"/>
          <w:szCs w:val="22"/>
        </w:rPr>
        <w:t>to mitigate the harm to non-shopping customers</w:t>
      </w:r>
      <w:r>
        <w:rPr>
          <w:color w:val="000000" w:themeColor="text1"/>
          <w:sz w:val="22"/>
          <w:szCs w:val="22"/>
        </w:rPr>
        <w:t>.</w:t>
      </w:r>
      <w:r w:rsidR="009837D4">
        <w:rPr>
          <w:color w:val="000000" w:themeColor="text1"/>
          <w:sz w:val="22"/>
          <w:szCs w:val="22"/>
        </w:rPr>
        <w:t xml:space="preserve"> </w:t>
      </w:r>
      <w:r>
        <w:rPr>
          <w:color w:val="000000" w:themeColor="text1"/>
          <w:sz w:val="22"/>
          <w:szCs w:val="22"/>
        </w:rPr>
        <w:t xml:space="preserve"> But </w:t>
      </w:r>
      <w:r w:rsidR="009837D4">
        <w:rPr>
          <w:color w:val="000000" w:themeColor="text1"/>
          <w:sz w:val="22"/>
          <w:szCs w:val="22"/>
        </w:rPr>
        <w:t xml:space="preserve">OEG/OCC’s approach </w:t>
      </w:r>
      <w:r w:rsidR="00143444">
        <w:rPr>
          <w:color w:val="000000" w:themeColor="text1"/>
          <w:sz w:val="22"/>
          <w:szCs w:val="22"/>
        </w:rPr>
        <w:t>is the most effective and simple way to</w:t>
      </w:r>
      <w:r>
        <w:rPr>
          <w:color w:val="000000" w:themeColor="text1"/>
          <w:sz w:val="22"/>
          <w:szCs w:val="22"/>
        </w:rPr>
        <w:t xml:space="preserve"> protect these customers.</w:t>
      </w:r>
      <w:r w:rsidR="00F6307B">
        <w:rPr>
          <w:color w:val="000000" w:themeColor="text1"/>
          <w:sz w:val="22"/>
          <w:szCs w:val="22"/>
        </w:rPr>
        <w:t xml:space="preserve">  Under OEG/OCC’s approach</w:t>
      </w:r>
      <w:r w:rsidR="00302E3B">
        <w:rPr>
          <w:color w:val="000000" w:themeColor="text1"/>
          <w:sz w:val="22"/>
          <w:szCs w:val="22"/>
        </w:rPr>
        <w:t>,</w:t>
      </w:r>
      <w:r w:rsidR="00F6307B">
        <w:rPr>
          <w:color w:val="000000" w:themeColor="text1"/>
          <w:sz w:val="22"/>
          <w:szCs w:val="22"/>
        </w:rPr>
        <w:t xml:space="preserve"> customers </w:t>
      </w:r>
      <w:r w:rsidR="00143444">
        <w:rPr>
          <w:color w:val="000000" w:themeColor="text1"/>
          <w:sz w:val="22"/>
          <w:szCs w:val="22"/>
        </w:rPr>
        <w:t xml:space="preserve">are not harmed, and reasonably priced electric service </w:t>
      </w:r>
      <w:r w:rsidR="00F6307B">
        <w:rPr>
          <w:color w:val="000000" w:themeColor="text1"/>
          <w:sz w:val="22"/>
          <w:szCs w:val="22"/>
        </w:rPr>
        <w:t xml:space="preserve">is more likely to be </w:t>
      </w:r>
      <w:r w:rsidR="00C9740F">
        <w:rPr>
          <w:color w:val="000000" w:themeColor="text1"/>
          <w:sz w:val="22"/>
          <w:szCs w:val="22"/>
        </w:rPr>
        <w:t xml:space="preserve">made </w:t>
      </w:r>
      <w:r w:rsidR="00143444">
        <w:rPr>
          <w:color w:val="000000" w:themeColor="text1"/>
          <w:sz w:val="22"/>
          <w:szCs w:val="22"/>
        </w:rPr>
        <w:t xml:space="preserve">available to </w:t>
      </w:r>
      <w:r w:rsidR="00C9740F">
        <w:rPr>
          <w:color w:val="000000" w:themeColor="text1"/>
          <w:sz w:val="22"/>
          <w:szCs w:val="22"/>
        </w:rPr>
        <w:t xml:space="preserve">them. </w:t>
      </w:r>
      <w:r w:rsidR="00F6307B">
        <w:rPr>
          <w:color w:val="000000" w:themeColor="text1"/>
          <w:sz w:val="22"/>
          <w:szCs w:val="22"/>
        </w:rPr>
        <w:t xml:space="preserve"> Moreover, u</w:t>
      </w:r>
      <w:r w:rsidR="00143444">
        <w:rPr>
          <w:color w:val="000000" w:themeColor="text1"/>
          <w:sz w:val="22"/>
          <w:szCs w:val="22"/>
        </w:rPr>
        <w:t>sing a reserve price for the auctions, as suggested by OEG/OCC</w:t>
      </w:r>
      <w:r w:rsidR="004002A7">
        <w:rPr>
          <w:color w:val="000000" w:themeColor="text1"/>
          <w:sz w:val="22"/>
          <w:szCs w:val="22"/>
        </w:rPr>
        <w:t>,</w:t>
      </w:r>
      <w:r w:rsidR="00143444">
        <w:rPr>
          <w:color w:val="000000" w:themeColor="text1"/>
          <w:sz w:val="22"/>
          <w:szCs w:val="22"/>
        </w:rPr>
        <w:t xml:space="preserve"> will not impede the competitive market.  Indeed</w:t>
      </w:r>
      <w:r w:rsidR="00715221">
        <w:rPr>
          <w:color w:val="000000" w:themeColor="text1"/>
          <w:sz w:val="22"/>
          <w:szCs w:val="22"/>
        </w:rPr>
        <w:t>, customer switching</w:t>
      </w:r>
      <w:r w:rsidR="00143444">
        <w:rPr>
          <w:color w:val="000000" w:themeColor="text1"/>
          <w:sz w:val="22"/>
          <w:szCs w:val="22"/>
        </w:rPr>
        <w:t xml:space="preserve"> </w:t>
      </w:r>
    </w:p>
    <w:p w:rsidR="000A7D7A" w:rsidRDefault="00715221" w:rsidP="0027431D">
      <w:pPr>
        <w:spacing w:line="480" w:lineRule="auto"/>
        <w:rPr>
          <w:color w:val="000000" w:themeColor="text1"/>
          <w:sz w:val="22"/>
          <w:szCs w:val="22"/>
        </w:rPr>
      </w:pPr>
      <w:r>
        <w:rPr>
          <w:color w:val="000000" w:themeColor="text1"/>
          <w:sz w:val="22"/>
          <w:szCs w:val="22"/>
        </w:rPr>
        <w:lastRenderedPageBreak/>
        <w:t>rates in AEP</w:t>
      </w:r>
      <w:r w:rsidR="00F05EC1">
        <w:rPr>
          <w:color w:val="000000" w:themeColor="text1"/>
          <w:sz w:val="22"/>
          <w:szCs w:val="22"/>
        </w:rPr>
        <w:t xml:space="preserve"> Ohio</w:t>
      </w:r>
      <w:r>
        <w:rPr>
          <w:color w:val="000000" w:themeColor="text1"/>
          <w:sz w:val="22"/>
          <w:szCs w:val="22"/>
        </w:rPr>
        <w:t xml:space="preserve">’s territory have dramatically increased since 2009, with the latest publicly available switching rate for AEP Ohio showing that </w:t>
      </w:r>
      <w:r w:rsidR="004002A7">
        <w:rPr>
          <w:color w:val="000000" w:themeColor="text1"/>
          <w:sz w:val="22"/>
          <w:szCs w:val="22"/>
        </w:rPr>
        <w:t>49.4</w:t>
      </w:r>
      <w:r>
        <w:rPr>
          <w:color w:val="000000" w:themeColor="text1"/>
          <w:sz w:val="22"/>
          <w:szCs w:val="22"/>
        </w:rPr>
        <w:t>% of AEP Ohio’s load is being served by</w:t>
      </w:r>
      <w:r w:rsidR="00202C7E">
        <w:rPr>
          <w:color w:val="000000" w:themeColor="text1"/>
          <w:sz w:val="22"/>
          <w:szCs w:val="22"/>
        </w:rPr>
        <w:t xml:space="preserve"> competit</w:t>
      </w:r>
      <w:r w:rsidR="00371D09">
        <w:rPr>
          <w:color w:val="000000" w:themeColor="text1"/>
          <w:sz w:val="22"/>
          <w:szCs w:val="22"/>
        </w:rPr>
        <w:t>i</w:t>
      </w:r>
      <w:r w:rsidR="00202C7E">
        <w:rPr>
          <w:color w:val="000000" w:themeColor="text1"/>
          <w:sz w:val="22"/>
          <w:szCs w:val="22"/>
        </w:rPr>
        <w:t>ve retail electric service (“</w:t>
      </w:r>
      <w:r>
        <w:rPr>
          <w:color w:val="000000" w:themeColor="text1"/>
          <w:sz w:val="22"/>
          <w:szCs w:val="22"/>
        </w:rPr>
        <w:t>CRES</w:t>
      </w:r>
      <w:r w:rsidR="00202C7E">
        <w:rPr>
          <w:color w:val="000000" w:themeColor="text1"/>
          <w:sz w:val="22"/>
          <w:szCs w:val="22"/>
        </w:rPr>
        <w:t>”)</w:t>
      </w:r>
      <w:r>
        <w:rPr>
          <w:color w:val="000000" w:themeColor="text1"/>
          <w:sz w:val="22"/>
          <w:szCs w:val="22"/>
        </w:rPr>
        <w:t xml:space="preserve"> </w:t>
      </w:r>
      <w:r w:rsidR="0027431D">
        <w:rPr>
          <w:color w:val="000000" w:themeColor="text1"/>
          <w:sz w:val="22"/>
          <w:szCs w:val="22"/>
        </w:rPr>
        <w:t>providers</w:t>
      </w:r>
      <w:r w:rsidR="007C4A4F">
        <w:rPr>
          <w:color w:val="000000" w:themeColor="text1"/>
          <w:sz w:val="22"/>
          <w:szCs w:val="22"/>
        </w:rPr>
        <w:t xml:space="preserve">.  </w:t>
      </w:r>
      <w:r w:rsidR="0027431D">
        <w:rPr>
          <w:color w:val="000000" w:themeColor="text1"/>
          <w:sz w:val="22"/>
          <w:szCs w:val="22"/>
        </w:rPr>
        <w:t>Concern</w:t>
      </w:r>
      <w:r w:rsidR="00C9740F">
        <w:rPr>
          <w:color w:val="000000" w:themeColor="text1"/>
          <w:sz w:val="22"/>
          <w:szCs w:val="22"/>
        </w:rPr>
        <w:t xml:space="preserve"> over the market developing is misplaced. </w:t>
      </w:r>
    </w:p>
    <w:p w:rsidR="00CD0474" w:rsidRPr="009C5A19" w:rsidRDefault="00C9740F" w:rsidP="00C943B8">
      <w:pPr>
        <w:spacing w:line="480" w:lineRule="auto"/>
        <w:ind w:firstLine="720"/>
        <w:rPr>
          <w:color w:val="000000" w:themeColor="text1"/>
          <w:sz w:val="22"/>
          <w:szCs w:val="22"/>
        </w:rPr>
      </w:pPr>
      <w:r>
        <w:rPr>
          <w:color w:val="000000" w:themeColor="text1"/>
          <w:sz w:val="22"/>
          <w:szCs w:val="22"/>
        </w:rPr>
        <w:t>Instead the concern should be directed tow</w:t>
      </w:r>
      <w:r w:rsidR="000A7D7A">
        <w:rPr>
          <w:color w:val="000000" w:themeColor="text1"/>
          <w:sz w:val="22"/>
          <w:szCs w:val="22"/>
        </w:rPr>
        <w:t>ard the impact of</w:t>
      </w:r>
      <w:r w:rsidR="00302A6F">
        <w:rPr>
          <w:color w:val="000000" w:themeColor="text1"/>
          <w:sz w:val="22"/>
          <w:szCs w:val="22"/>
        </w:rPr>
        <w:t xml:space="preserve"> “</w:t>
      </w:r>
      <w:r w:rsidR="000A7D7A">
        <w:rPr>
          <w:color w:val="000000" w:themeColor="text1"/>
          <w:sz w:val="22"/>
          <w:szCs w:val="22"/>
        </w:rPr>
        <w:t>pro-competitive</w:t>
      </w:r>
      <w:r w:rsidR="00302A6F">
        <w:rPr>
          <w:color w:val="000000" w:themeColor="text1"/>
          <w:sz w:val="22"/>
          <w:szCs w:val="22"/>
        </w:rPr>
        <w:t>”</w:t>
      </w:r>
      <w:r w:rsidR="000A7D7A">
        <w:rPr>
          <w:color w:val="000000" w:themeColor="text1"/>
          <w:sz w:val="22"/>
          <w:szCs w:val="22"/>
        </w:rPr>
        <w:t xml:space="preserve"> policies on customers’ rates.  </w:t>
      </w:r>
      <w:r w:rsidR="00826B56">
        <w:rPr>
          <w:color w:val="000000" w:themeColor="text1"/>
          <w:sz w:val="22"/>
          <w:szCs w:val="22"/>
        </w:rPr>
        <w:t>W</w:t>
      </w:r>
      <w:r w:rsidR="000A7D7A">
        <w:rPr>
          <w:color w:val="000000" w:themeColor="text1"/>
          <w:sz w:val="22"/>
          <w:szCs w:val="22"/>
        </w:rPr>
        <w:t xml:space="preserve">hile one of the main </w:t>
      </w:r>
      <w:r w:rsidR="001E7EE4">
        <w:rPr>
          <w:color w:val="000000" w:themeColor="text1"/>
          <w:sz w:val="22"/>
          <w:szCs w:val="22"/>
        </w:rPr>
        <w:t>premises</w:t>
      </w:r>
      <w:r w:rsidR="000A7D7A">
        <w:rPr>
          <w:color w:val="000000" w:themeColor="text1"/>
          <w:sz w:val="22"/>
          <w:szCs w:val="22"/>
        </w:rPr>
        <w:t xml:space="preserve"> of S</w:t>
      </w:r>
      <w:r w:rsidR="00202C7E">
        <w:rPr>
          <w:color w:val="000000" w:themeColor="text1"/>
          <w:sz w:val="22"/>
          <w:szCs w:val="22"/>
        </w:rPr>
        <w:t xml:space="preserve">enate Bill </w:t>
      </w:r>
      <w:r w:rsidR="000A7D7A">
        <w:rPr>
          <w:color w:val="000000" w:themeColor="text1"/>
          <w:sz w:val="22"/>
          <w:szCs w:val="22"/>
        </w:rPr>
        <w:t>221</w:t>
      </w:r>
      <w:r w:rsidR="00202C7E">
        <w:rPr>
          <w:color w:val="000000" w:themeColor="text1"/>
          <w:sz w:val="22"/>
          <w:szCs w:val="22"/>
        </w:rPr>
        <w:t xml:space="preserve"> (“S.B. 221”) </w:t>
      </w:r>
      <w:r w:rsidR="000A7D7A">
        <w:rPr>
          <w:color w:val="000000" w:themeColor="text1"/>
          <w:sz w:val="22"/>
          <w:szCs w:val="22"/>
        </w:rPr>
        <w:t>was to assist in the development of a competitive generation market, this is not the end-all purpose of SB</w:t>
      </w:r>
      <w:r w:rsidR="0039737F">
        <w:rPr>
          <w:color w:val="000000" w:themeColor="text1"/>
          <w:sz w:val="22"/>
          <w:szCs w:val="22"/>
        </w:rPr>
        <w:t xml:space="preserve"> </w:t>
      </w:r>
      <w:r w:rsidR="000A7D7A">
        <w:rPr>
          <w:color w:val="000000" w:themeColor="text1"/>
          <w:sz w:val="22"/>
          <w:szCs w:val="22"/>
        </w:rPr>
        <w:t>221.  Rather the law requires “reasonably priced electric retail service” by providing customers with the tools and opportunities to achieve such reasonabl</w:t>
      </w:r>
      <w:r w:rsidR="00826B56">
        <w:rPr>
          <w:color w:val="000000" w:themeColor="text1"/>
          <w:sz w:val="22"/>
          <w:szCs w:val="22"/>
        </w:rPr>
        <w:t>e</w:t>
      </w:r>
      <w:r w:rsidR="000A7D7A">
        <w:rPr>
          <w:color w:val="000000" w:themeColor="text1"/>
          <w:sz w:val="22"/>
          <w:szCs w:val="22"/>
        </w:rPr>
        <w:t xml:space="preserve"> prices.  Competition should be a means toward that end, with the benefits of competition flowing to customers.  Reasonably priced electric service for customers should be the goal.  </w:t>
      </w:r>
    </w:p>
    <w:p w:rsidR="003E0EE5" w:rsidRDefault="002F4472" w:rsidP="0027431D">
      <w:pPr>
        <w:pStyle w:val="Heading1"/>
      </w:pPr>
      <w:r>
        <w:t>AEP Ohio’s</w:t>
      </w:r>
      <w:r w:rsidR="003E0EE5">
        <w:t xml:space="preserve"> </w:t>
      </w:r>
      <w:r w:rsidR="00AB4192">
        <w:t>Rate Mitigation Proposals</w:t>
      </w:r>
      <w:r w:rsidR="003E0EE5">
        <w:t xml:space="preserve"> </w:t>
      </w:r>
      <w:r w:rsidR="00D44D27">
        <w:t>Will Not Protect</w:t>
      </w:r>
      <w:r w:rsidR="007457BB">
        <w:t xml:space="preserve"> Non-Shopping Customers</w:t>
      </w:r>
      <w:r w:rsidR="00BB158A">
        <w:t xml:space="preserve"> From </w:t>
      </w:r>
      <w:r w:rsidR="00285271">
        <w:t xml:space="preserve">Being </w:t>
      </w:r>
      <w:r w:rsidR="00BB158A">
        <w:t>Harm</w:t>
      </w:r>
      <w:r w:rsidR="00285271">
        <w:t>ed As A</w:t>
      </w:r>
      <w:r w:rsidR="00BB158A">
        <w:t xml:space="preserve"> </w:t>
      </w:r>
      <w:r w:rsidR="006D13A5">
        <w:t>Result</w:t>
      </w:r>
      <w:r w:rsidR="00285271">
        <w:t xml:space="preserve"> Of Its</w:t>
      </w:r>
      <w:r w:rsidR="00BB158A">
        <w:t xml:space="preserve"> “Energy-Only” Auctions</w:t>
      </w:r>
      <w:r w:rsidR="007457BB">
        <w:t xml:space="preserve"> A</w:t>
      </w:r>
      <w:r w:rsidR="00AB4192">
        <w:t xml:space="preserve">nd </w:t>
      </w:r>
      <w:r w:rsidR="00BB158A">
        <w:t xml:space="preserve">Therefore </w:t>
      </w:r>
      <w:r w:rsidR="00AB4192">
        <w:t>Shou</w:t>
      </w:r>
      <w:r w:rsidR="00285271">
        <w:t>ld Not Be Adopted In Lieu O</w:t>
      </w:r>
      <w:r w:rsidR="005A776D">
        <w:t>f OEG/OCC</w:t>
      </w:r>
      <w:r w:rsidR="00AB4192">
        <w:t>’s Reserve Price Recommendation</w:t>
      </w:r>
      <w:r w:rsidR="006E4422">
        <w:t>.</w:t>
      </w:r>
    </w:p>
    <w:p w:rsidR="00A17647" w:rsidRDefault="005C2541" w:rsidP="00C943B8">
      <w:pPr>
        <w:pStyle w:val="ColorfulList-Accent11"/>
        <w:spacing w:line="480" w:lineRule="auto"/>
        <w:ind w:left="0" w:firstLine="720"/>
        <w:contextualSpacing w:val="0"/>
        <w:rPr>
          <w:sz w:val="22"/>
          <w:szCs w:val="22"/>
        </w:rPr>
      </w:pPr>
      <w:r>
        <w:rPr>
          <w:sz w:val="22"/>
          <w:szCs w:val="22"/>
        </w:rPr>
        <w:t>AEP Ohio</w:t>
      </w:r>
      <w:r w:rsidR="00A76FF4">
        <w:rPr>
          <w:sz w:val="22"/>
          <w:szCs w:val="22"/>
        </w:rPr>
        <w:t xml:space="preserve"> criticizes </w:t>
      </w:r>
      <w:r w:rsidR="002C5F0D">
        <w:rPr>
          <w:sz w:val="22"/>
          <w:szCs w:val="22"/>
        </w:rPr>
        <w:t>OEG/OCC</w:t>
      </w:r>
      <w:r w:rsidR="00A76FF4">
        <w:rPr>
          <w:sz w:val="22"/>
          <w:szCs w:val="22"/>
        </w:rPr>
        <w:t>’s recommendation to set</w:t>
      </w:r>
      <w:r w:rsidR="00961291">
        <w:rPr>
          <w:sz w:val="22"/>
          <w:szCs w:val="22"/>
        </w:rPr>
        <w:t xml:space="preserve"> </w:t>
      </w:r>
      <w:r w:rsidR="00961291" w:rsidRPr="000C5313">
        <w:rPr>
          <w:sz w:val="22"/>
          <w:szCs w:val="22"/>
        </w:rPr>
        <w:t>the</w:t>
      </w:r>
      <w:r w:rsidR="00961291">
        <w:rPr>
          <w:sz w:val="22"/>
          <w:szCs w:val="22"/>
        </w:rPr>
        <w:t xml:space="preserve"> </w:t>
      </w:r>
      <w:r w:rsidR="00961291" w:rsidRPr="000C5313">
        <w:rPr>
          <w:sz w:val="22"/>
          <w:szCs w:val="22"/>
        </w:rPr>
        <w:t xml:space="preserve">reserve price </w:t>
      </w:r>
      <w:r w:rsidR="00EA4596">
        <w:rPr>
          <w:sz w:val="22"/>
          <w:szCs w:val="22"/>
        </w:rPr>
        <w:t xml:space="preserve">for AEP Ohio’s 10% and 60% “energy-only” auctions </w:t>
      </w:r>
      <w:r w:rsidR="00961291" w:rsidRPr="000C5313">
        <w:rPr>
          <w:sz w:val="22"/>
          <w:szCs w:val="22"/>
        </w:rPr>
        <w:t>at the</w:t>
      </w:r>
      <w:r w:rsidR="00202C7E">
        <w:rPr>
          <w:sz w:val="22"/>
          <w:szCs w:val="22"/>
        </w:rPr>
        <w:t xml:space="preserve"> fuel adjustment clause (“</w:t>
      </w:r>
      <w:r w:rsidR="00961291" w:rsidRPr="000C5313">
        <w:rPr>
          <w:sz w:val="22"/>
          <w:szCs w:val="22"/>
        </w:rPr>
        <w:t xml:space="preserve"> </w:t>
      </w:r>
      <w:r w:rsidR="00961291">
        <w:rPr>
          <w:sz w:val="22"/>
          <w:szCs w:val="22"/>
        </w:rPr>
        <w:t>FAC</w:t>
      </w:r>
      <w:r w:rsidR="00202C7E">
        <w:rPr>
          <w:sz w:val="22"/>
          <w:szCs w:val="22"/>
        </w:rPr>
        <w:t>”)</w:t>
      </w:r>
      <w:r w:rsidR="00961291">
        <w:rPr>
          <w:sz w:val="22"/>
          <w:szCs w:val="22"/>
        </w:rPr>
        <w:t xml:space="preserve"> </w:t>
      </w:r>
      <w:r w:rsidR="00961291" w:rsidRPr="000C5313">
        <w:rPr>
          <w:sz w:val="22"/>
          <w:szCs w:val="22"/>
        </w:rPr>
        <w:t xml:space="preserve">rates </w:t>
      </w:r>
      <w:r w:rsidR="00961291">
        <w:rPr>
          <w:sz w:val="22"/>
          <w:szCs w:val="22"/>
        </w:rPr>
        <w:t>that non-shopping</w:t>
      </w:r>
      <w:r w:rsidR="00961291" w:rsidRPr="000C5313">
        <w:rPr>
          <w:sz w:val="22"/>
          <w:szCs w:val="22"/>
        </w:rPr>
        <w:t xml:space="preserve"> customers otherwise would pay</w:t>
      </w:r>
      <w:r w:rsidR="00551140">
        <w:rPr>
          <w:sz w:val="22"/>
          <w:szCs w:val="22"/>
        </w:rPr>
        <w:t>.  AEP Ohio</w:t>
      </w:r>
      <w:r w:rsidR="00A76FF4">
        <w:rPr>
          <w:sz w:val="22"/>
          <w:szCs w:val="22"/>
        </w:rPr>
        <w:t xml:space="preserve"> claim</w:t>
      </w:r>
      <w:r w:rsidR="00551140">
        <w:rPr>
          <w:sz w:val="22"/>
          <w:szCs w:val="22"/>
        </w:rPr>
        <w:t>s</w:t>
      </w:r>
      <w:r w:rsidR="00A76FF4">
        <w:rPr>
          <w:sz w:val="22"/>
          <w:szCs w:val="22"/>
        </w:rPr>
        <w:t xml:space="preserve"> that doing so</w:t>
      </w:r>
      <w:r w:rsidR="002C2DD5">
        <w:rPr>
          <w:sz w:val="22"/>
          <w:szCs w:val="22"/>
        </w:rPr>
        <w:t xml:space="preserve"> would be “</w:t>
      </w:r>
      <w:r w:rsidR="00575FC1">
        <w:rPr>
          <w:sz w:val="22"/>
          <w:szCs w:val="22"/>
        </w:rPr>
        <w:t>arbitrary</w:t>
      </w:r>
      <w:r w:rsidR="003B6651">
        <w:rPr>
          <w:sz w:val="22"/>
          <w:szCs w:val="22"/>
        </w:rPr>
        <w:t xml:space="preserve">” and that adopting OEG/OCC’s recommendations </w:t>
      </w:r>
      <w:r w:rsidR="00631E64">
        <w:rPr>
          <w:sz w:val="22"/>
          <w:szCs w:val="22"/>
        </w:rPr>
        <w:t>would interfere with the</w:t>
      </w:r>
      <w:r w:rsidR="003B6651">
        <w:rPr>
          <w:sz w:val="22"/>
          <w:szCs w:val="22"/>
        </w:rPr>
        <w:t xml:space="preserve"> competitive market in Ohio.</w:t>
      </w:r>
      <w:r w:rsidR="00197D54" w:rsidRPr="00A9479F">
        <w:rPr>
          <w:rStyle w:val="FootnoteReference"/>
          <w:sz w:val="22"/>
          <w:szCs w:val="22"/>
          <w:vertAlign w:val="superscript"/>
        </w:rPr>
        <w:footnoteReference w:id="2"/>
      </w:r>
      <w:r w:rsidR="0085133C">
        <w:rPr>
          <w:sz w:val="22"/>
          <w:szCs w:val="22"/>
        </w:rPr>
        <w:t xml:space="preserve">  </w:t>
      </w:r>
      <w:r w:rsidR="00031E39">
        <w:rPr>
          <w:sz w:val="22"/>
          <w:szCs w:val="22"/>
        </w:rPr>
        <w:t>The Company</w:t>
      </w:r>
      <w:r w:rsidR="0017110F">
        <w:rPr>
          <w:sz w:val="22"/>
          <w:szCs w:val="22"/>
        </w:rPr>
        <w:t xml:space="preserve"> </w:t>
      </w:r>
      <w:r w:rsidR="00B83F3A">
        <w:rPr>
          <w:sz w:val="22"/>
          <w:szCs w:val="22"/>
        </w:rPr>
        <w:t xml:space="preserve">urges </w:t>
      </w:r>
      <w:r w:rsidR="0017110F">
        <w:rPr>
          <w:sz w:val="22"/>
          <w:szCs w:val="22"/>
        </w:rPr>
        <w:t xml:space="preserve">that the Commission’s approval of auction rates not be dependent </w:t>
      </w:r>
      <w:r w:rsidR="001F083E">
        <w:rPr>
          <w:sz w:val="22"/>
          <w:szCs w:val="22"/>
        </w:rPr>
        <w:t>up</w:t>
      </w:r>
      <w:r w:rsidR="0017110F">
        <w:rPr>
          <w:sz w:val="22"/>
          <w:szCs w:val="22"/>
        </w:rPr>
        <w:t xml:space="preserve">on their </w:t>
      </w:r>
      <w:r w:rsidR="005827D8">
        <w:rPr>
          <w:sz w:val="22"/>
          <w:szCs w:val="22"/>
        </w:rPr>
        <w:t xml:space="preserve">“temporary” </w:t>
      </w:r>
      <w:r w:rsidR="0017110F">
        <w:rPr>
          <w:sz w:val="22"/>
          <w:szCs w:val="22"/>
        </w:rPr>
        <w:t xml:space="preserve">relationship </w:t>
      </w:r>
      <w:r w:rsidR="0027431D">
        <w:rPr>
          <w:sz w:val="22"/>
          <w:szCs w:val="22"/>
        </w:rPr>
        <w:t>to FAC</w:t>
      </w:r>
      <w:r w:rsidR="0017110F">
        <w:rPr>
          <w:sz w:val="22"/>
          <w:szCs w:val="22"/>
        </w:rPr>
        <w:t xml:space="preserve"> rates</w:t>
      </w:r>
      <w:r w:rsidR="007D7B00">
        <w:rPr>
          <w:sz w:val="22"/>
          <w:szCs w:val="22"/>
        </w:rPr>
        <w:t xml:space="preserve">, </w:t>
      </w:r>
      <w:r w:rsidR="00D24BB8">
        <w:rPr>
          <w:sz w:val="22"/>
          <w:szCs w:val="22"/>
        </w:rPr>
        <w:t>and insists</w:t>
      </w:r>
      <w:r w:rsidR="007D7B00">
        <w:rPr>
          <w:sz w:val="22"/>
          <w:szCs w:val="22"/>
        </w:rPr>
        <w:t xml:space="preserve"> </w:t>
      </w:r>
      <w:r w:rsidR="00DE3786">
        <w:rPr>
          <w:sz w:val="22"/>
          <w:szCs w:val="22"/>
        </w:rPr>
        <w:t>that the path to market “is not conditioned on temporary or short-term market results – it is a permanent goal.”</w:t>
      </w:r>
      <w:r w:rsidR="00DE3786" w:rsidRPr="00020329">
        <w:rPr>
          <w:rStyle w:val="FootnoteReference"/>
          <w:sz w:val="22"/>
          <w:szCs w:val="22"/>
          <w:vertAlign w:val="superscript"/>
        </w:rPr>
        <w:footnoteReference w:id="3"/>
      </w:r>
    </w:p>
    <w:p w:rsidR="00E85EA5" w:rsidRDefault="00732395" w:rsidP="00C943B8">
      <w:pPr>
        <w:pStyle w:val="ColorfulList-Accent11"/>
        <w:spacing w:line="480" w:lineRule="auto"/>
        <w:ind w:left="0" w:firstLine="720"/>
        <w:contextualSpacing w:val="0"/>
        <w:rPr>
          <w:sz w:val="22"/>
          <w:szCs w:val="22"/>
        </w:rPr>
      </w:pPr>
      <w:r>
        <w:rPr>
          <w:sz w:val="22"/>
          <w:szCs w:val="22"/>
        </w:rPr>
        <w:t xml:space="preserve">In essence, AEP Ohio </w:t>
      </w:r>
      <w:r w:rsidR="00FB258B">
        <w:rPr>
          <w:sz w:val="22"/>
          <w:szCs w:val="22"/>
        </w:rPr>
        <w:t>asks</w:t>
      </w:r>
      <w:r w:rsidR="00075279">
        <w:rPr>
          <w:sz w:val="22"/>
          <w:szCs w:val="22"/>
        </w:rPr>
        <w:t xml:space="preserve"> </w:t>
      </w:r>
      <w:r>
        <w:rPr>
          <w:sz w:val="22"/>
          <w:szCs w:val="22"/>
        </w:rPr>
        <w:t xml:space="preserve">the Commission to </w:t>
      </w:r>
      <w:r w:rsidR="00245F2C">
        <w:rPr>
          <w:sz w:val="22"/>
          <w:szCs w:val="22"/>
        </w:rPr>
        <w:t xml:space="preserve">stand back and </w:t>
      </w:r>
      <w:r w:rsidR="009253E0">
        <w:rPr>
          <w:sz w:val="22"/>
          <w:szCs w:val="22"/>
        </w:rPr>
        <w:t>allow</w:t>
      </w:r>
      <w:r>
        <w:rPr>
          <w:sz w:val="22"/>
          <w:szCs w:val="22"/>
        </w:rPr>
        <w:t xml:space="preserve"> </w:t>
      </w:r>
      <w:r w:rsidR="00DD3DA5">
        <w:rPr>
          <w:sz w:val="22"/>
          <w:szCs w:val="22"/>
        </w:rPr>
        <w:t xml:space="preserve">the </w:t>
      </w:r>
      <w:r w:rsidR="00297F00">
        <w:rPr>
          <w:sz w:val="22"/>
          <w:szCs w:val="22"/>
        </w:rPr>
        <w:t xml:space="preserve">“energy-only” </w:t>
      </w:r>
      <w:r w:rsidR="00DD3DA5">
        <w:rPr>
          <w:sz w:val="22"/>
          <w:szCs w:val="22"/>
        </w:rPr>
        <w:t xml:space="preserve">auctions to </w:t>
      </w:r>
      <w:r w:rsidR="006245A1">
        <w:rPr>
          <w:sz w:val="22"/>
          <w:szCs w:val="22"/>
        </w:rPr>
        <w:t>adverse</w:t>
      </w:r>
      <w:r w:rsidR="00DD3DA5">
        <w:rPr>
          <w:sz w:val="22"/>
          <w:szCs w:val="22"/>
        </w:rPr>
        <w:t>ly</w:t>
      </w:r>
      <w:r w:rsidR="00996762">
        <w:rPr>
          <w:sz w:val="22"/>
          <w:szCs w:val="22"/>
        </w:rPr>
        <w:t xml:space="preserve"> impact</w:t>
      </w:r>
      <w:r>
        <w:rPr>
          <w:sz w:val="22"/>
          <w:szCs w:val="22"/>
        </w:rPr>
        <w:t xml:space="preserve"> </w:t>
      </w:r>
      <w:r w:rsidR="00164F9C">
        <w:rPr>
          <w:sz w:val="22"/>
          <w:szCs w:val="22"/>
        </w:rPr>
        <w:t xml:space="preserve">non-shopping </w:t>
      </w:r>
      <w:r w:rsidR="001D2C66">
        <w:rPr>
          <w:sz w:val="22"/>
          <w:szCs w:val="22"/>
        </w:rPr>
        <w:t>customers</w:t>
      </w:r>
      <w:r w:rsidR="00FB4964">
        <w:rPr>
          <w:sz w:val="22"/>
          <w:szCs w:val="22"/>
        </w:rPr>
        <w:t>’</w:t>
      </w:r>
      <w:r w:rsidR="001D2C66">
        <w:rPr>
          <w:sz w:val="22"/>
          <w:szCs w:val="22"/>
        </w:rPr>
        <w:t xml:space="preserve"> energy rates </w:t>
      </w:r>
      <w:r w:rsidR="008E221E">
        <w:rPr>
          <w:sz w:val="22"/>
          <w:szCs w:val="22"/>
        </w:rPr>
        <w:t>during</w:t>
      </w:r>
      <w:r w:rsidR="00FB4964">
        <w:rPr>
          <w:sz w:val="22"/>
          <w:szCs w:val="22"/>
        </w:rPr>
        <w:t xml:space="preserve"> the 16-month </w:t>
      </w:r>
      <w:r w:rsidR="00B5729A">
        <w:rPr>
          <w:sz w:val="22"/>
          <w:szCs w:val="22"/>
        </w:rPr>
        <w:t xml:space="preserve">period </w:t>
      </w:r>
      <w:r w:rsidR="00AA31D3">
        <w:rPr>
          <w:sz w:val="22"/>
          <w:szCs w:val="22"/>
        </w:rPr>
        <w:t xml:space="preserve">when the auction rates are blended with </w:t>
      </w:r>
      <w:r w:rsidR="0026280E">
        <w:rPr>
          <w:sz w:val="22"/>
          <w:szCs w:val="22"/>
        </w:rPr>
        <w:t xml:space="preserve">the </w:t>
      </w:r>
      <w:r w:rsidR="00AA31D3">
        <w:rPr>
          <w:sz w:val="22"/>
          <w:szCs w:val="22"/>
        </w:rPr>
        <w:t>FAC rates</w:t>
      </w:r>
      <w:r w:rsidR="0026280E">
        <w:rPr>
          <w:sz w:val="22"/>
          <w:szCs w:val="22"/>
        </w:rPr>
        <w:t xml:space="preserve"> those customers would otherwise pay</w:t>
      </w:r>
      <w:r w:rsidR="00AA31D3">
        <w:rPr>
          <w:sz w:val="22"/>
          <w:szCs w:val="22"/>
        </w:rPr>
        <w:t>.</w:t>
      </w:r>
      <w:r w:rsidR="00734601">
        <w:rPr>
          <w:sz w:val="22"/>
          <w:szCs w:val="22"/>
        </w:rPr>
        <w:t xml:space="preserve">  </w:t>
      </w:r>
      <w:r w:rsidR="009C435D">
        <w:rPr>
          <w:sz w:val="22"/>
          <w:szCs w:val="22"/>
        </w:rPr>
        <w:t xml:space="preserve">But doing so would </w:t>
      </w:r>
      <w:r w:rsidR="0047151A">
        <w:rPr>
          <w:sz w:val="22"/>
          <w:szCs w:val="22"/>
        </w:rPr>
        <w:t>ignore</w:t>
      </w:r>
      <w:r w:rsidR="006E2FEC">
        <w:rPr>
          <w:sz w:val="22"/>
          <w:szCs w:val="22"/>
        </w:rPr>
        <w:t xml:space="preserve"> the</w:t>
      </w:r>
      <w:r w:rsidR="009C435D">
        <w:rPr>
          <w:sz w:val="22"/>
          <w:szCs w:val="22"/>
        </w:rPr>
        <w:t xml:space="preserve"> fundamental</w:t>
      </w:r>
      <w:r w:rsidR="004D2E7E">
        <w:rPr>
          <w:sz w:val="22"/>
          <w:szCs w:val="22"/>
        </w:rPr>
        <w:t xml:space="preserve"> </w:t>
      </w:r>
      <w:r w:rsidR="00A90BAA">
        <w:rPr>
          <w:sz w:val="22"/>
          <w:szCs w:val="22"/>
        </w:rPr>
        <w:t>goal</w:t>
      </w:r>
      <w:r w:rsidR="00D57B17">
        <w:rPr>
          <w:sz w:val="22"/>
          <w:szCs w:val="22"/>
        </w:rPr>
        <w:t xml:space="preserve"> of</w:t>
      </w:r>
      <w:r w:rsidR="00504FA8">
        <w:rPr>
          <w:sz w:val="22"/>
          <w:szCs w:val="22"/>
        </w:rPr>
        <w:t xml:space="preserve"> </w:t>
      </w:r>
      <w:r w:rsidR="004D2E7E">
        <w:rPr>
          <w:sz w:val="22"/>
          <w:szCs w:val="22"/>
        </w:rPr>
        <w:t>the “energy-only” auctions</w:t>
      </w:r>
      <w:r w:rsidR="00CD6E1D">
        <w:rPr>
          <w:sz w:val="22"/>
          <w:szCs w:val="22"/>
        </w:rPr>
        <w:t xml:space="preserve"> as well as the</w:t>
      </w:r>
      <w:r w:rsidR="00176104">
        <w:rPr>
          <w:sz w:val="22"/>
          <w:szCs w:val="22"/>
        </w:rPr>
        <w:t xml:space="preserve"> Commission’s statutory obligation to </w:t>
      </w:r>
      <w:r w:rsidR="001E10F6">
        <w:rPr>
          <w:sz w:val="22"/>
          <w:szCs w:val="22"/>
        </w:rPr>
        <w:t>set</w:t>
      </w:r>
      <w:r w:rsidR="00176104">
        <w:rPr>
          <w:sz w:val="22"/>
          <w:szCs w:val="22"/>
        </w:rPr>
        <w:t xml:space="preserve"> reasonable rates for customers</w:t>
      </w:r>
      <w:r w:rsidR="008F668E">
        <w:rPr>
          <w:sz w:val="22"/>
          <w:szCs w:val="22"/>
        </w:rPr>
        <w:t>.</w:t>
      </w:r>
      <w:r w:rsidR="00A87C62" w:rsidRPr="00507342">
        <w:rPr>
          <w:rStyle w:val="FootnoteReference"/>
          <w:sz w:val="22"/>
          <w:szCs w:val="22"/>
          <w:vertAlign w:val="superscript"/>
        </w:rPr>
        <w:footnoteReference w:id="4"/>
      </w:r>
    </w:p>
    <w:p w:rsidR="00D620FF" w:rsidRDefault="006E2FEC" w:rsidP="00C943B8">
      <w:pPr>
        <w:pStyle w:val="ColorfulList-Accent11"/>
        <w:spacing w:line="480" w:lineRule="auto"/>
        <w:ind w:left="0" w:firstLine="720"/>
        <w:contextualSpacing w:val="0"/>
        <w:rPr>
          <w:sz w:val="22"/>
          <w:szCs w:val="22"/>
        </w:rPr>
      </w:pPr>
      <w:r>
        <w:rPr>
          <w:sz w:val="22"/>
          <w:szCs w:val="22"/>
        </w:rPr>
        <w:t>T</w:t>
      </w:r>
      <w:r w:rsidR="0055338D">
        <w:rPr>
          <w:sz w:val="22"/>
          <w:szCs w:val="22"/>
        </w:rPr>
        <w:t xml:space="preserve">he Commission established the 10% and 60% “energy-only” </w:t>
      </w:r>
      <w:r w:rsidR="001D3A9E">
        <w:rPr>
          <w:sz w:val="22"/>
          <w:szCs w:val="22"/>
        </w:rPr>
        <w:t xml:space="preserve">auctions </w:t>
      </w:r>
      <w:r w:rsidR="004A30EF">
        <w:rPr>
          <w:sz w:val="22"/>
          <w:szCs w:val="22"/>
        </w:rPr>
        <w:t>to</w:t>
      </w:r>
      <w:r w:rsidR="001D3A9E">
        <w:rPr>
          <w:sz w:val="22"/>
          <w:szCs w:val="22"/>
        </w:rPr>
        <w:t xml:space="preserve"> </w:t>
      </w:r>
      <w:r w:rsidR="004A30EF">
        <w:rPr>
          <w:sz w:val="22"/>
          <w:szCs w:val="22"/>
        </w:rPr>
        <w:t xml:space="preserve">benefit </w:t>
      </w:r>
      <w:r w:rsidR="00BD182D">
        <w:rPr>
          <w:sz w:val="22"/>
          <w:szCs w:val="22"/>
        </w:rPr>
        <w:t xml:space="preserve">non-shopping </w:t>
      </w:r>
      <w:r w:rsidR="005517CB">
        <w:rPr>
          <w:sz w:val="22"/>
          <w:szCs w:val="22"/>
        </w:rPr>
        <w:t>customers.</w:t>
      </w:r>
      <w:r w:rsidR="007D313D" w:rsidRPr="002D66DE">
        <w:rPr>
          <w:rStyle w:val="FootnoteReference"/>
          <w:sz w:val="22"/>
          <w:szCs w:val="22"/>
          <w:vertAlign w:val="superscript"/>
        </w:rPr>
        <w:footnoteReference w:id="5"/>
      </w:r>
      <w:r w:rsidR="00ED7F39">
        <w:rPr>
          <w:sz w:val="22"/>
          <w:szCs w:val="22"/>
        </w:rPr>
        <w:t xml:space="preserve">  </w:t>
      </w:r>
      <w:r w:rsidR="00E6437A">
        <w:rPr>
          <w:sz w:val="22"/>
          <w:szCs w:val="22"/>
        </w:rPr>
        <w:t xml:space="preserve">The </w:t>
      </w:r>
      <w:r w:rsidR="00EE014A">
        <w:rPr>
          <w:sz w:val="22"/>
          <w:szCs w:val="22"/>
        </w:rPr>
        <w:t>most important</w:t>
      </w:r>
      <w:r w:rsidR="00E6437A">
        <w:rPr>
          <w:sz w:val="22"/>
          <w:szCs w:val="22"/>
        </w:rPr>
        <w:t xml:space="preserve"> </w:t>
      </w:r>
      <w:r w:rsidR="00D620FF">
        <w:rPr>
          <w:sz w:val="22"/>
          <w:szCs w:val="22"/>
        </w:rPr>
        <w:t xml:space="preserve">metric </w:t>
      </w:r>
      <w:r w:rsidR="00AF0FBA">
        <w:rPr>
          <w:sz w:val="22"/>
          <w:szCs w:val="22"/>
        </w:rPr>
        <w:t>in</w:t>
      </w:r>
      <w:r w:rsidR="003B2578">
        <w:rPr>
          <w:sz w:val="22"/>
          <w:szCs w:val="22"/>
        </w:rPr>
        <w:t xml:space="preserve"> assess</w:t>
      </w:r>
      <w:r w:rsidR="00AF0FBA">
        <w:rPr>
          <w:sz w:val="22"/>
          <w:szCs w:val="22"/>
        </w:rPr>
        <w:t>ing</w:t>
      </w:r>
      <w:r w:rsidR="003B2578">
        <w:rPr>
          <w:sz w:val="22"/>
          <w:szCs w:val="22"/>
        </w:rPr>
        <w:t xml:space="preserve"> whether</w:t>
      </w:r>
      <w:r w:rsidR="0001054D">
        <w:rPr>
          <w:sz w:val="22"/>
          <w:szCs w:val="22"/>
        </w:rPr>
        <w:t xml:space="preserve"> customers</w:t>
      </w:r>
      <w:r w:rsidR="003B2578">
        <w:rPr>
          <w:sz w:val="22"/>
          <w:szCs w:val="22"/>
        </w:rPr>
        <w:t xml:space="preserve"> have benefited</w:t>
      </w:r>
      <w:r w:rsidR="00D620FF">
        <w:rPr>
          <w:sz w:val="22"/>
          <w:szCs w:val="22"/>
        </w:rPr>
        <w:t xml:space="preserve"> </w:t>
      </w:r>
      <w:r w:rsidR="003D11C2">
        <w:rPr>
          <w:sz w:val="22"/>
          <w:szCs w:val="22"/>
        </w:rPr>
        <w:t xml:space="preserve">as a result of the “energy-only” auctions is whether </w:t>
      </w:r>
      <w:r w:rsidR="0020479D">
        <w:rPr>
          <w:sz w:val="22"/>
          <w:szCs w:val="22"/>
        </w:rPr>
        <w:t xml:space="preserve">their </w:t>
      </w:r>
      <w:r w:rsidR="00EF5DDC">
        <w:rPr>
          <w:sz w:val="22"/>
          <w:szCs w:val="22"/>
        </w:rPr>
        <w:t xml:space="preserve">energy </w:t>
      </w:r>
      <w:r w:rsidR="00D620FF">
        <w:rPr>
          <w:sz w:val="22"/>
          <w:szCs w:val="22"/>
        </w:rPr>
        <w:t xml:space="preserve">rates </w:t>
      </w:r>
      <w:r w:rsidR="0020479D">
        <w:rPr>
          <w:sz w:val="22"/>
          <w:szCs w:val="22"/>
        </w:rPr>
        <w:t xml:space="preserve">are </w:t>
      </w:r>
      <w:r w:rsidR="00111F56">
        <w:rPr>
          <w:sz w:val="22"/>
          <w:szCs w:val="22"/>
        </w:rPr>
        <w:t xml:space="preserve">lower </w:t>
      </w:r>
      <w:r w:rsidR="00D620FF">
        <w:rPr>
          <w:sz w:val="22"/>
          <w:szCs w:val="22"/>
        </w:rPr>
        <w:t xml:space="preserve">than </w:t>
      </w:r>
      <w:r w:rsidR="0020479D">
        <w:rPr>
          <w:sz w:val="22"/>
          <w:szCs w:val="22"/>
        </w:rPr>
        <w:t>what they</w:t>
      </w:r>
      <w:r w:rsidR="00D620FF">
        <w:rPr>
          <w:sz w:val="22"/>
          <w:szCs w:val="22"/>
        </w:rPr>
        <w:t xml:space="preserve"> would otherwise </w:t>
      </w:r>
      <w:r w:rsidR="00674058">
        <w:rPr>
          <w:sz w:val="22"/>
          <w:szCs w:val="22"/>
        </w:rPr>
        <w:t xml:space="preserve">be </w:t>
      </w:r>
      <w:r w:rsidR="00CF6EA8">
        <w:rPr>
          <w:sz w:val="22"/>
          <w:szCs w:val="22"/>
        </w:rPr>
        <w:t>if</w:t>
      </w:r>
      <w:r w:rsidR="00822ECB">
        <w:rPr>
          <w:sz w:val="22"/>
          <w:szCs w:val="22"/>
        </w:rPr>
        <w:t xml:space="preserve"> the auctions </w:t>
      </w:r>
      <w:r w:rsidR="00CF6EA8">
        <w:rPr>
          <w:sz w:val="22"/>
          <w:szCs w:val="22"/>
        </w:rPr>
        <w:t>were not</w:t>
      </w:r>
      <w:r w:rsidR="00822ECB">
        <w:rPr>
          <w:sz w:val="22"/>
          <w:szCs w:val="22"/>
        </w:rPr>
        <w:t xml:space="preserve"> held</w:t>
      </w:r>
      <w:r w:rsidR="00D620FF">
        <w:rPr>
          <w:sz w:val="22"/>
          <w:szCs w:val="22"/>
        </w:rPr>
        <w:t>.</w:t>
      </w:r>
      <w:r w:rsidR="00A15BCE">
        <w:rPr>
          <w:sz w:val="22"/>
          <w:szCs w:val="22"/>
        </w:rPr>
        <w:t xml:space="preserve">  </w:t>
      </w:r>
      <w:r w:rsidR="00D73B03">
        <w:rPr>
          <w:sz w:val="22"/>
          <w:szCs w:val="22"/>
        </w:rPr>
        <w:t>N</w:t>
      </w:r>
      <w:r w:rsidR="003F7F84">
        <w:rPr>
          <w:sz w:val="22"/>
          <w:szCs w:val="22"/>
        </w:rPr>
        <w:t xml:space="preserve">on-shopping customers </w:t>
      </w:r>
      <w:r w:rsidR="00513454">
        <w:rPr>
          <w:sz w:val="22"/>
          <w:szCs w:val="22"/>
        </w:rPr>
        <w:t xml:space="preserve">receive no benefit </w:t>
      </w:r>
      <w:r w:rsidR="00030265">
        <w:rPr>
          <w:sz w:val="22"/>
          <w:szCs w:val="22"/>
        </w:rPr>
        <w:t>if they are forced to pay</w:t>
      </w:r>
      <w:r w:rsidR="003F7F84">
        <w:rPr>
          <w:sz w:val="22"/>
          <w:szCs w:val="22"/>
        </w:rPr>
        <w:t xml:space="preserve"> unnecessarily</w:t>
      </w:r>
      <w:r w:rsidR="003202F7">
        <w:rPr>
          <w:sz w:val="22"/>
          <w:szCs w:val="22"/>
        </w:rPr>
        <w:t xml:space="preserve"> increased </w:t>
      </w:r>
      <w:r w:rsidR="00247672">
        <w:rPr>
          <w:sz w:val="22"/>
          <w:szCs w:val="22"/>
        </w:rPr>
        <w:t>rates (</w:t>
      </w:r>
      <w:r w:rsidR="009C10DA">
        <w:rPr>
          <w:sz w:val="22"/>
          <w:szCs w:val="22"/>
        </w:rPr>
        <w:t>which could</w:t>
      </w:r>
      <w:r w:rsidR="002B1E88">
        <w:rPr>
          <w:sz w:val="22"/>
          <w:szCs w:val="22"/>
        </w:rPr>
        <w:t xml:space="preserve"> collect as much </w:t>
      </w:r>
      <w:r w:rsidR="0077319E">
        <w:rPr>
          <w:sz w:val="22"/>
          <w:szCs w:val="22"/>
        </w:rPr>
        <w:t>as $</w:t>
      </w:r>
      <w:r w:rsidR="00E80204">
        <w:rPr>
          <w:sz w:val="22"/>
          <w:szCs w:val="22"/>
        </w:rPr>
        <w:t>211 million</w:t>
      </w:r>
      <w:r w:rsidR="002B1E88">
        <w:rPr>
          <w:sz w:val="22"/>
          <w:szCs w:val="22"/>
        </w:rPr>
        <w:t xml:space="preserve"> in additional c</w:t>
      </w:r>
      <w:r w:rsidR="002A64E6">
        <w:rPr>
          <w:sz w:val="22"/>
          <w:szCs w:val="22"/>
        </w:rPr>
        <w:t>harges</w:t>
      </w:r>
      <w:r w:rsidR="002B1E88">
        <w:rPr>
          <w:sz w:val="22"/>
          <w:szCs w:val="22"/>
        </w:rPr>
        <w:t xml:space="preserve"> from </w:t>
      </w:r>
      <w:r w:rsidR="00010921">
        <w:rPr>
          <w:sz w:val="22"/>
          <w:szCs w:val="22"/>
        </w:rPr>
        <w:t xml:space="preserve">those </w:t>
      </w:r>
      <w:r w:rsidR="002B1E88">
        <w:rPr>
          <w:sz w:val="22"/>
          <w:szCs w:val="22"/>
        </w:rPr>
        <w:t>customers</w:t>
      </w:r>
      <w:r w:rsidR="009C10DA">
        <w:rPr>
          <w:sz w:val="22"/>
          <w:szCs w:val="22"/>
        </w:rPr>
        <w:t xml:space="preserve">) </w:t>
      </w:r>
      <w:r w:rsidR="00F7296C">
        <w:rPr>
          <w:sz w:val="22"/>
          <w:szCs w:val="22"/>
        </w:rPr>
        <w:t xml:space="preserve">merely for the sake of </w:t>
      </w:r>
      <w:r w:rsidR="008A6079">
        <w:rPr>
          <w:sz w:val="22"/>
          <w:szCs w:val="22"/>
        </w:rPr>
        <w:t xml:space="preserve">developing </w:t>
      </w:r>
      <w:r w:rsidR="0029504B">
        <w:rPr>
          <w:sz w:val="22"/>
          <w:szCs w:val="22"/>
        </w:rPr>
        <w:t xml:space="preserve">the </w:t>
      </w:r>
      <w:r w:rsidR="00B053B9">
        <w:rPr>
          <w:sz w:val="22"/>
          <w:szCs w:val="22"/>
        </w:rPr>
        <w:t>“</w:t>
      </w:r>
      <w:r w:rsidR="0029504B">
        <w:rPr>
          <w:sz w:val="22"/>
          <w:szCs w:val="22"/>
        </w:rPr>
        <w:t>competitive market</w:t>
      </w:r>
      <w:r w:rsidR="00341200">
        <w:rPr>
          <w:sz w:val="22"/>
          <w:szCs w:val="22"/>
        </w:rPr>
        <w:t>.</w:t>
      </w:r>
      <w:r w:rsidR="00F64C16">
        <w:rPr>
          <w:sz w:val="22"/>
          <w:szCs w:val="22"/>
        </w:rPr>
        <w:t>”</w:t>
      </w:r>
      <w:r w:rsidR="00E80204" w:rsidRPr="00E80204">
        <w:rPr>
          <w:rStyle w:val="FootnoteReference"/>
          <w:sz w:val="22"/>
          <w:szCs w:val="22"/>
          <w:vertAlign w:val="superscript"/>
        </w:rPr>
        <w:footnoteReference w:id="6"/>
      </w:r>
      <w:r w:rsidR="00F7296C">
        <w:rPr>
          <w:sz w:val="22"/>
          <w:szCs w:val="22"/>
        </w:rPr>
        <w:t xml:space="preserve">  The goal of competition is to lower customers’ rates.  </w:t>
      </w:r>
      <w:r w:rsidR="000102D1">
        <w:rPr>
          <w:sz w:val="22"/>
          <w:szCs w:val="22"/>
        </w:rPr>
        <w:t>T</w:t>
      </w:r>
      <w:r w:rsidR="00F52DFC">
        <w:rPr>
          <w:sz w:val="22"/>
          <w:szCs w:val="22"/>
        </w:rPr>
        <w:t xml:space="preserve">he </w:t>
      </w:r>
      <w:r w:rsidR="0079460A">
        <w:rPr>
          <w:sz w:val="22"/>
          <w:szCs w:val="22"/>
        </w:rPr>
        <w:t xml:space="preserve">Commission can </w:t>
      </w:r>
      <w:r w:rsidR="006D7976">
        <w:rPr>
          <w:sz w:val="22"/>
          <w:szCs w:val="22"/>
        </w:rPr>
        <w:t>ensure that AEP Ohio’s “energy-only” auctions</w:t>
      </w:r>
      <w:r w:rsidR="00EC5A6C">
        <w:rPr>
          <w:sz w:val="22"/>
          <w:szCs w:val="22"/>
        </w:rPr>
        <w:t xml:space="preserve"> </w:t>
      </w:r>
      <w:r w:rsidR="00AC1792">
        <w:rPr>
          <w:sz w:val="22"/>
          <w:szCs w:val="22"/>
        </w:rPr>
        <w:t xml:space="preserve">result in </w:t>
      </w:r>
      <w:r w:rsidR="005D6303">
        <w:rPr>
          <w:sz w:val="22"/>
          <w:szCs w:val="22"/>
        </w:rPr>
        <w:t xml:space="preserve">rates for non-shopping customers either equal to or lower than their current rates </w:t>
      </w:r>
      <w:r w:rsidR="00615014">
        <w:rPr>
          <w:sz w:val="22"/>
          <w:szCs w:val="22"/>
        </w:rPr>
        <w:t>by</w:t>
      </w:r>
      <w:r w:rsidR="00F52DFC">
        <w:rPr>
          <w:sz w:val="22"/>
          <w:szCs w:val="22"/>
        </w:rPr>
        <w:t xml:space="preserve"> set</w:t>
      </w:r>
      <w:r w:rsidR="00615014">
        <w:rPr>
          <w:sz w:val="22"/>
          <w:szCs w:val="22"/>
        </w:rPr>
        <w:t>ting</w:t>
      </w:r>
      <w:r w:rsidR="00F52DFC">
        <w:rPr>
          <w:sz w:val="22"/>
          <w:szCs w:val="22"/>
        </w:rPr>
        <w:t xml:space="preserve"> </w:t>
      </w:r>
      <w:r w:rsidR="00F52DFC" w:rsidRPr="000C5313">
        <w:rPr>
          <w:sz w:val="22"/>
          <w:szCs w:val="22"/>
        </w:rPr>
        <w:t>the</w:t>
      </w:r>
      <w:r w:rsidR="00F52DFC">
        <w:rPr>
          <w:sz w:val="22"/>
          <w:szCs w:val="22"/>
        </w:rPr>
        <w:t xml:space="preserve"> </w:t>
      </w:r>
      <w:r w:rsidR="00F52DFC" w:rsidRPr="000C5313">
        <w:rPr>
          <w:sz w:val="22"/>
          <w:szCs w:val="22"/>
        </w:rPr>
        <w:t xml:space="preserve">reserve price </w:t>
      </w:r>
      <w:r w:rsidR="00F52DFC">
        <w:rPr>
          <w:sz w:val="22"/>
          <w:szCs w:val="22"/>
        </w:rPr>
        <w:t xml:space="preserve">for </w:t>
      </w:r>
      <w:r w:rsidR="007A0556">
        <w:rPr>
          <w:sz w:val="22"/>
          <w:szCs w:val="22"/>
        </w:rPr>
        <w:t>the</w:t>
      </w:r>
      <w:r w:rsidR="00F52DFC">
        <w:rPr>
          <w:sz w:val="22"/>
          <w:szCs w:val="22"/>
        </w:rPr>
        <w:t xml:space="preserve"> 10% and 60% auctions </w:t>
      </w:r>
      <w:r w:rsidR="00F52DFC" w:rsidRPr="000C5313">
        <w:rPr>
          <w:sz w:val="22"/>
          <w:szCs w:val="22"/>
        </w:rPr>
        <w:t xml:space="preserve">at the </w:t>
      </w:r>
      <w:r w:rsidR="00F52DFC">
        <w:rPr>
          <w:sz w:val="22"/>
          <w:szCs w:val="22"/>
        </w:rPr>
        <w:t xml:space="preserve">FAC </w:t>
      </w:r>
      <w:r w:rsidR="00F52DFC" w:rsidRPr="000C5313">
        <w:rPr>
          <w:sz w:val="22"/>
          <w:szCs w:val="22"/>
        </w:rPr>
        <w:t xml:space="preserve">rates </w:t>
      </w:r>
      <w:r w:rsidR="00F52DFC">
        <w:rPr>
          <w:sz w:val="22"/>
          <w:szCs w:val="22"/>
        </w:rPr>
        <w:t xml:space="preserve">that </w:t>
      </w:r>
      <w:r w:rsidR="00BB4F3E">
        <w:rPr>
          <w:sz w:val="22"/>
          <w:szCs w:val="22"/>
        </w:rPr>
        <w:t>those</w:t>
      </w:r>
      <w:r w:rsidR="00F52DFC" w:rsidRPr="000C5313">
        <w:rPr>
          <w:sz w:val="22"/>
          <w:szCs w:val="22"/>
        </w:rPr>
        <w:t xml:space="preserve"> customers otherwise would pay</w:t>
      </w:r>
      <w:r w:rsidR="00F52DFC">
        <w:rPr>
          <w:sz w:val="22"/>
          <w:szCs w:val="22"/>
        </w:rPr>
        <w:t>.</w:t>
      </w:r>
    </w:p>
    <w:p w:rsidR="00623A9A" w:rsidRDefault="00623A9A" w:rsidP="00C943B8">
      <w:pPr>
        <w:pStyle w:val="ColorfulList-Accent11"/>
        <w:spacing w:line="480" w:lineRule="auto"/>
        <w:ind w:left="0" w:firstLine="720"/>
        <w:contextualSpacing w:val="0"/>
        <w:rPr>
          <w:sz w:val="22"/>
          <w:szCs w:val="22"/>
        </w:rPr>
      </w:pPr>
      <w:r>
        <w:rPr>
          <w:sz w:val="22"/>
          <w:szCs w:val="22"/>
        </w:rPr>
        <w:t>Contrary to AEP Ohio’s insinuations,</w:t>
      </w:r>
      <w:r w:rsidRPr="007C3CF5">
        <w:rPr>
          <w:rStyle w:val="FootnoteReference"/>
          <w:sz w:val="22"/>
          <w:szCs w:val="22"/>
          <w:vertAlign w:val="superscript"/>
        </w:rPr>
        <w:footnoteReference w:id="7"/>
      </w:r>
      <w:r>
        <w:rPr>
          <w:sz w:val="22"/>
          <w:szCs w:val="22"/>
        </w:rPr>
        <w:t xml:space="preserve"> OEG/OCC’s </w:t>
      </w:r>
      <w:r w:rsidR="004B113C">
        <w:rPr>
          <w:sz w:val="22"/>
          <w:szCs w:val="22"/>
        </w:rPr>
        <w:t xml:space="preserve">reserve price </w:t>
      </w:r>
      <w:r>
        <w:rPr>
          <w:sz w:val="22"/>
          <w:szCs w:val="22"/>
        </w:rPr>
        <w:t xml:space="preserve">recommendation is distinct from any recommendations raised </w:t>
      </w:r>
      <w:r w:rsidR="0071574A">
        <w:rPr>
          <w:sz w:val="22"/>
          <w:szCs w:val="22"/>
        </w:rPr>
        <w:t xml:space="preserve">in </w:t>
      </w:r>
      <w:r w:rsidR="00D74AF2">
        <w:rPr>
          <w:sz w:val="22"/>
          <w:szCs w:val="22"/>
        </w:rPr>
        <w:t>the Company’s</w:t>
      </w:r>
      <w:r w:rsidR="0071574A">
        <w:rPr>
          <w:sz w:val="22"/>
          <w:szCs w:val="22"/>
        </w:rPr>
        <w:t xml:space="preserve"> </w:t>
      </w:r>
      <w:r>
        <w:rPr>
          <w:sz w:val="22"/>
          <w:szCs w:val="22"/>
        </w:rPr>
        <w:t xml:space="preserve">ESP </w:t>
      </w:r>
      <w:r w:rsidR="0016551C">
        <w:rPr>
          <w:sz w:val="22"/>
          <w:szCs w:val="22"/>
        </w:rPr>
        <w:t>case</w:t>
      </w:r>
      <w:r>
        <w:rPr>
          <w:sz w:val="22"/>
          <w:szCs w:val="22"/>
        </w:rPr>
        <w:t>.  Rather than advocating for a delay in the timing of the “energy-only” auctions or the rejection of results after auctions have occurred, OEG/OCC presently recommend</w:t>
      </w:r>
      <w:r w:rsidR="007D1C3E">
        <w:rPr>
          <w:sz w:val="22"/>
          <w:szCs w:val="22"/>
        </w:rPr>
        <w:t xml:space="preserve"> that the Commission establish one</w:t>
      </w:r>
      <w:r>
        <w:rPr>
          <w:sz w:val="22"/>
          <w:szCs w:val="22"/>
        </w:rPr>
        <w:t xml:space="preserve"> simple customer protection </w:t>
      </w:r>
      <w:r w:rsidR="007D1C3E">
        <w:rPr>
          <w:sz w:val="22"/>
          <w:szCs w:val="22"/>
        </w:rPr>
        <w:t>that</w:t>
      </w:r>
      <w:r>
        <w:rPr>
          <w:sz w:val="22"/>
          <w:szCs w:val="22"/>
        </w:rPr>
        <w:t xml:space="preserve"> </w:t>
      </w:r>
      <w:r w:rsidR="003131A7">
        <w:rPr>
          <w:sz w:val="22"/>
          <w:szCs w:val="22"/>
        </w:rPr>
        <w:t>would still allow</w:t>
      </w:r>
      <w:r>
        <w:rPr>
          <w:sz w:val="22"/>
          <w:szCs w:val="22"/>
        </w:rPr>
        <w:t xml:space="preserve"> the auctions to be held in accordance with the Commission’s desired schedule and </w:t>
      </w:r>
      <w:r w:rsidR="003131A7">
        <w:rPr>
          <w:sz w:val="22"/>
          <w:szCs w:val="22"/>
        </w:rPr>
        <w:t>would provide</w:t>
      </w:r>
      <w:r>
        <w:rPr>
          <w:sz w:val="22"/>
          <w:szCs w:val="22"/>
        </w:rPr>
        <w:t xml:space="preserve"> certainty that those auctions results will be upheld.  </w:t>
      </w:r>
      <w:r w:rsidR="00DC45FE">
        <w:rPr>
          <w:sz w:val="22"/>
          <w:szCs w:val="22"/>
        </w:rPr>
        <w:t>Setting the reserve price for the “energy-only” auctions at the FAC rates customers otherwise would pay</w:t>
      </w:r>
      <w:r w:rsidR="00D879A6">
        <w:rPr>
          <w:sz w:val="22"/>
          <w:szCs w:val="22"/>
        </w:rPr>
        <w:t xml:space="preserve"> </w:t>
      </w:r>
      <w:r w:rsidR="0027431D">
        <w:rPr>
          <w:sz w:val="22"/>
          <w:szCs w:val="22"/>
        </w:rPr>
        <w:t>accomplish</w:t>
      </w:r>
      <w:r w:rsidR="00567616">
        <w:rPr>
          <w:sz w:val="22"/>
          <w:szCs w:val="22"/>
        </w:rPr>
        <w:t xml:space="preserve"> both of</w:t>
      </w:r>
      <w:r>
        <w:rPr>
          <w:sz w:val="22"/>
          <w:szCs w:val="22"/>
        </w:rPr>
        <w:t xml:space="preserve"> these </w:t>
      </w:r>
      <w:r w:rsidR="00106B89">
        <w:rPr>
          <w:sz w:val="22"/>
          <w:szCs w:val="22"/>
        </w:rPr>
        <w:t>ends</w:t>
      </w:r>
      <w:r>
        <w:rPr>
          <w:sz w:val="22"/>
          <w:szCs w:val="22"/>
        </w:rPr>
        <w:t xml:space="preserve"> while also </w:t>
      </w:r>
      <w:r w:rsidR="00F673AD">
        <w:rPr>
          <w:sz w:val="22"/>
          <w:szCs w:val="22"/>
        </w:rPr>
        <w:t>protecting non-shopping customers</w:t>
      </w:r>
      <w:r>
        <w:rPr>
          <w:sz w:val="22"/>
          <w:szCs w:val="22"/>
        </w:rPr>
        <w:t xml:space="preserve"> from </w:t>
      </w:r>
      <w:r w:rsidR="00DB79A3">
        <w:rPr>
          <w:sz w:val="22"/>
          <w:szCs w:val="22"/>
        </w:rPr>
        <w:t xml:space="preserve">unreasonable and </w:t>
      </w:r>
      <w:r>
        <w:rPr>
          <w:sz w:val="22"/>
          <w:szCs w:val="22"/>
        </w:rPr>
        <w:t>unnecessary rate increases.</w:t>
      </w:r>
    </w:p>
    <w:p w:rsidR="00280B75" w:rsidRDefault="002048AE" w:rsidP="00C943B8">
      <w:pPr>
        <w:pStyle w:val="ColorfulList-Accent11"/>
        <w:spacing w:line="480" w:lineRule="auto"/>
        <w:ind w:left="0" w:firstLine="720"/>
        <w:contextualSpacing w:val="0"/>
        <w:rPr>
          <w:sz w:val="22"/>
          <w:szCs w:val="22"/>
        </w:rPr>
      </w:pPr>
      <w:r>
        <w:rPr>
          <w:sz w:val="22"/>
          <w:szCs w:val="22"/>
        </w:rPr>
        <w:t>AEP Ohio proposes</w:t>
      </w:r>
      <w:r w:rsidR="007B473E">
        <w:rPr>
          <w:sz w:val="22"/>
          <w:szCs w:val="22"/>
        </w:rPr>
        <w:t xml:space="preserve"> three</w:t>
      </w:r>
      <w:r w:rsidR="000633E9">
        <w:rPr>
          <w:sz w:val="22"/>
          <w:szCs w:val="22"/>
        </w:rPr>
        <w:t xml:space="preserve"> me</w:t>
      </w:r>
      <w:r w:rsidR="0083785D">
        <w:rPr>
          <w:sz w:val="22"/>
          <w:szCs w:val="22"/>
        </w:rPr>
        <w:t>asure</w:t>
      </w:r>
      <w:r w:rsidR="000633E9">
        <w:rPr>
          <w:sz w:val="22"/>
          <w:szCs w:val="22"/>
        </w:rPr>
        <w:t>s</w:t>
      </w:r>
      <w:r w:rsidR="00EE462C">
        <w:rPr>
          <w:sz w:val="22"/>
          <w:szCs w:val="22"/>
        </w:rPr>
        <w:t xml:space="preserve"> that may mitigate some </w:t>
      </w:r>
      <w:r w:rsidR="00DB7AAA">
        <w:rPr>
          <w:sz w:val="22"/>
          <w:szCs w:val="22"/>
        </w:rPr>
        <w:t xml:space="preserve">of the </w:t>
      </w:r>
      <w:r w:rsidR="004C049C">
        <w:rPr>
          <w:sz w:val="22"/>
          <w:szCs w:val="22"/>
        </w:rPr>
        <w:t xml:space="preserve">potential </w:t>
      </w:r>
      <w:r w:rsidR="00EE462C">
        <w:rPr>
          <w:sz w:val="22"/>
          <w:szCs w:val="22"/>
        </w:rPr>
        <w:t xml:space="preserve">adverse </w:t>
      </w:r>
      <w:r w:rsidR="004C049C">
        <w:rPr>
          <w:sz w:val="22"/>
          <w:szCs w:val="22"/>
        </w:rPr>
        <w:t xml:space="preserve">rate </w:t>
      </w:r>
      <w:r w:rsidR="00EE462C">
        <w:rPr>
          <w:sz w:val="22"/>
          <w:szCs w:val="22"/>
        </w:rPr>
        <w:t xml:space="preserve">impacts to </w:t>
      </w:r>
      <w:r w:rsidR="004C049C">
        <w:rPr>
          <w:sz w:val="22"/>
          <w:szCs w:val="22"/>
        </w:rPr>
        <w:t xml:space="preserve">non-shopping customers </w:t>
      </w:r>
      <w:r w:rsidR="000F1FE9">
        <w:rPr>
          <w:sz w:val="22"/>
          <w:szCs w:val="22"/>
        </w:rPr>
        <w:t>resulting</w:t>
      </w:r>
      <w:r w:rsidR="005E0692">
        <w:rPr>
          <w:sz w:val="22"/>
          <w:szCs w:val="22"/>
        </w:rPr>
        <w:t xml:space="preserve"> from</w:t>
      </w:r>
      <w:r w:rsidR="00C256C8">
        <w:rPr>
          <w:sz w:val="22"/>
          <w:szCs w:val="22"/>
        </w:rPr>
        <w:t xml:space="preserve"> </w:t>
      </w:r>
      <w:r w:rsidR="00EE462C">
        <w:rPr>
          <w:sz w:val="22"/>
          <w:szCs w:val="22"/>
        </w:rPr>
        <w:t>the “energy-only” auctions</w:t>
      </w:r>
      <w:r w:rsidR="00551140">
        <w:rPr>
          <w:sz w:val="22"/>
          <w:szCs w:val="22"/>
        </w:rPr>
        <w:t>.  But</w:t>
      </w:r>
      <w:r>
        <w:rPr>
          <w:sz w:val="22"/>
          <w:szCs w:val="22"/>
        </w:rPr>
        <w:t xml:space="preserve"> none of </w:t>
      </w:r>
      <w:r w:rsidR="000C535C">
        <w:rPr>
          <w:sz w:val="22"/>
          <w:szCs w:val="22"/>
        </w:rPr>
        <w:t>those measures</w:t>
      </w:r>
      <w:r>
        <w:rPr>
          <w:sz w:val="22"/>
          <w:szCs w:val="22"/>
        </w:rPr>
        <w:t xml:space="preserve"> wi</w:t>
      </w:r>
      <w:r w:rsidR="007B473E">
        <w:rPr>
          <w:sz w:val="22"/>
          <w:szCs w:val="22"/>
        </w:rPr>
        <w:t xml:space="preserve">ll </w:t>
      </w:r>
      <w:r w:rsidR="006E2ED0">
        <w:rPr>
          <w:sz w:val="22"/>
          <w:szCs w:val="22"/>
        </w:rPr>
        <w:t xml:space="preserve">effectively </w:t>
      </w:r>
      <w:r w:rsidR="00ED3A52">
        <w:rPr>
          <w:sz w:val="22"/>
          <w:szCs w:val="22"/>
        </w:rPr>
        <w:t xml:space="preserve">prevent </w:t>
      </w:r>
      <w:r w:rsidR="00F22493" w:rsidRPr="00AD3D4C">
        <w:rPr>
          <w:i/>
          <w:sz w:val="22"/>
          <w:szCs w:val="22"/>
        </w:rPr>
        <w:t>any</w:t>
      </w:r>
      <w:r w:rsidR="00F22493">
        <w:rPr>
          <w:sz w:val="22"/>
          <w:szCs w:val="22"/>
        </w:rPr>
        <w:t xml:space="preserve"> harm </w:t>
      </w:r>
      <w:r w:rsidR="0009227B">
        <w:rPr>
          <w:sz w:val="22"/>
          <w:szCs w:val="22"/>
        </w:rPr>
        <w:t xml:space="preserve">to those </w:t>
      </w:r>
      <w:r w:rsidR="000C535C">
        <w:rPr>
          <w:sz w:val="22"/>
          <w:szCs w:val="22"/>
        </w:rPr>
        <w:t>customers</w:t>
      </w:r>
      <w:r w:rsidR="00EE462C">
        <w:rPr>
          <w:sz w:val="22"/>
          <w:szCs w:val="22"/>
        </w:rPr>
        <w:t xml:space="preserve">.  </w:t>
      </w:r>
      <w:r w:rsidR="0029005E">
        <w:rPr>
          <w:sz w:val="22"/>
          <w:szCs w:val="22"/>
        </w:rPr>
        <w:t>AEP Ohio</w:t>
      </w:r>
      <w:r w:rsidR="00EE462C">
        <w:rPr>
          <w:sz w:val="22"/>
          <w:szCs w:val="22"/>
        </w:rPr>
        <w:t xml:space="preserve"> suggests that the Commission</w:t>
      </w:r>
      <w:r w:rsidR="000633E9">
        <w:rPr>
          <w:sz w:val="22"/>
          <w:szCs w:val="22"/>
        </w:rPr>
        <w:t xml:space="preserve">: 1) </w:t>
      </w:r>
      <w:r w:rsidR="00893E65">
        <w:rPr>
          <w:sz w:val="22"/>
          <w:szCs w:val="22"/>
        </w:rPr>
        <w:t>wait around for the base generation rate decrease in January 2015</w:t>
      </w:r>
      <w:r w:rsidR="00F61E6B">
        <w:rPr>
          <w:sz w:val="22"/>
          <w:szCs w:val="22"/>
        </w:rPr>
        <w:t xml:space="preserve"> to reduce </w:t>
      </w:r>
      <w:r w:rsidR="00B21D33">
        <w:rPr>
          <w:sz w:val="22"/>
          <w:szCs w:val="22"/>
        </w:rPr>
        <w:t xml:space="preserve">the </w:t>
      </w:r>
      <w:r w:rsidR="00F61E6B">
        <w:rPr>
          <w:sz w:val="22"/>
          <w:szCs w:val="22"/>
        </w:rPr>
        <w:t>rates</w:t>
      </w:r>
      <w:r w:rsidR="00B21D33">
        <w:rPr>
          <w:sz w:val="22"/>
          <w:szCs w:val="22"/>
        </w:rPr>
        <w:t xml:space="preserve"> of non-shopping customers</w:t>
      </w:r>
      <w:r w:rsidR="00893E65">
        <w:rPr>
          <w:sz w:val="22"/>
          <w:szCs w:val="22"/>
        </w:rPr>
        <w:t xml:space="preserve">; </w:t>
      </w:r>
      <w:r w:rsidR="003B49CB">
        <w:rPr>
          <w:sz w:val="22"/>
          <w:szCs w:val="22"/>
        </w:rPr>
        <w:t xml:space="preserve">2) </w:t>
      </w:r>
      <w:r w:rsidR="00201A13">
        <w:rPr>
          <w:sz w:val="22"/>
          <w:szCs w:val="22"/>
        </w:rPr>
        <w:t xml:space="preserve">maintain separate rate zones for the FAC through December 2014; </w:t>
      </w:r>
      <w:r w:rsidR="00F1291E">
        <w:rPr>
          <w:sz w:val="22"/>
          <w:szCs w:val="22"/>
        </w:rPr>
        <w:t>and</w:t>
      </w:r>
      <w:r w:rsidR="000C50D0">
        <w:rPr>
          <w:sz w:val="22"/>
          <w:szCs w:val="22"/>
        </w:rPr>
        <w:t>/or</w:t>
      </w:r>
      <w:r w:rsidR="00F1291E">
        <w:rPr>
          <w:sz w:val="22"/>
          <w:szCs w:val="22"/>
        </w:rPr>
        <w:t xml:space="preserve"> 3) expand the 12% rate cap established in the ESP to include the </w:t>
      </w:r>
      <w:r w:rsidR="00E4423B">
        <w:rPr>
          <w:sz w:val="22"/>
          <w:szCs w:val="22"/>
        </w:rPr>
        <w:t>“</w:t>
      </w:r>
      <w:r w:rsidR="00F1291E">
        <w:rPr>
          <w:sz w:val="22"/>
          <w:szCs w:val="22"/>
        </w:rPr>
        <w:t>energy</w:t>
      </w:r>
      <w:r w:rsidR="00E4423B">
        <w:rPr>
          <w:sz w:val="22"/>
          <w:szCs w:val="22"/>
        </w:rPr>
        <w:t>-only”</w:t>
      </w:r>
      <w:r w:rsidR="00F1291E">
        <w:rPr>
          <w:sz w:val="22"/>
          <w:szCs w:val="22"/>
        </w:rPr>
        <w:t xml:space="preserve"> auction rate impacts.</w:t>
      </w:r>
      <w:r w:rsidR="00EF614F" w:rsidRPr="00EF614F">
        <w:rPr>
          <w:rStyle w:val="FootnoteReference"/>
          <w:sz w:val="22"/>
          <w:szCs w:val="22"/>
          <w:vertAlign w:val="superscript"/>
        </w:rPr>
        <w:footnoteReference w:id="8"/>
      </w:r>
      <w:r w:rsidR="007C5EF5">
        <w:rPr>
          <w:sz w:val="22"/>
          <w:szCs w:val="22"/>
        </w:rPr>
        <w:t xml:space="preserve"> </w:t>
      </w:r>
    </w:p>
    <w:p w:rsidR="00345FF8" w:rsidRDefault="00A94842" w:rsidP="00C943B8">
      <w:pPr>
        <w:pStyle w:val="ColorfulList-Accent11"/>
        <w:spacing w:line="480" w:lineRule="auto"/>
        <w:ind w:left="0" w:firstLine="720"/>
        <w:contextualSpacing w:val="0"/>
        <w:rPr>
          <w:sz w:val="22"/>
          <w:szCs w:val="22"/>
        </w:rPr>
      </w:pPr>
      <w:r>
        <w:rPr>
          <w:sz w:val="22"/>
          <w:szCs w:val="22"/>
        </w:rPr>
        <w:t xml:space="preserve">The first </w:t>
      </w:r>
      <w:r w:rsidR="002A12E9">
        <w:rPr>
          <w:sz w:val="22"/>
          <w:szCs w:val="22"/>
        </w:rPr>
        <w:t>of these measures</w:t>
      </w:r>
      <w:r>
        <w:rPr>
          <w:sz w:val="22"/>
          <w:szCs w:val="22"/>
        </w:rPr>
        <w:t xml:space="preserve"> </w:t>
      </w:r>
      <w:r w:rsidR="00C30AEC">
        <w:rPr>
          <w:sz w:val="22"/>
          <w:szCs w:val="22"/>
        </w:rPr>
        <w:t>is going to</w:t>
      </w:r>
      <w:r>
        <w:rPr>
          <w:sz w:val="22"/>
          <w:szCs w:val="22"/>
        </w:rPr>
        <w:t xml:space="preserve"> happen anyway as a result o</w:t>
      </w:r>
      <w:r w:rsidR="008138DA">
        <w:rPr>
          <w:sz w:val="22"/>
          <w:szCs w:val="22"/>
        </w:rPr>
        <w:t>f the Commission’s ESP findings</w:t>
      </w:r>
      <w:r w:rsidR="00A4574D">
        <w:rPr>
          <w:sz w:val="22"/>
          <w:szCs w:val="22"/>
        </w:rPr>
        <w:t xml:space="preserve"> and therefore, </w:t>
      </w:r>
      <w:r>
        <w:rPr>
          <w:sz w:val="22"/>
          <w:szCs w:val="22"/>
        </w:rPr>
        <w:t xml:space="preserve">does not provide any additional protection to customers.  The </w:t>
      </w:r>
      <w:r w:rsidR="00447F7A">
        <w:rPr>
          <w:sz w:val="22"/>
          <w:szCs w:val="22"/>
        </w:rPr>
        <w:t xml:space="preserve">second </w:t>
      </w:r>
      <w:r w:rsidR="002F32E7">
        <w:rPr>
          <w:sz w:val="22"/>
          <w:szCs w:val="22"/>
        </w:rPr>
        <w:t xml:space="preserve">of these measures is independent of </w:t>
      </w:r>
      <w:r w:rsidR="00E86AF4">
        <w:rPr>
          <w:sz w:val="22"/>
          <w:szCs w:val="22"/>
        </w:rPr>
        <w:t>the “energy-only” auction results</w:t>
      </w:r>
      <w:r w:rsidR="002F32E7">
        <w:rPr>
          <w:sz w:val="22"/>
          <w:szCs w:val="22"/>
        </w:rPr>
        <w:t xml:space="preserve"> and provides no</w:t>
      </w:r>
      <w:r w:rsidR="002355E3">
        <w:rPr>
          <w:sz w:val="22"/>
          <w:szCs w:val="22"/>
        </w:rPr>
        <w:t xml:space="preserve"> protection to customers unless the Commission sets </w:t>
      </w:r>
      <w:r w:rsidR="00D36D8A">
        <w:rPr>
          <w:sz w:val="22"/>
          <w:szCs w:val="22"/>
        </w:rPr>
        <w:t xml:space="preserve">a separate </w:t>
      </w:r>
      <w:r w:rsidR="00702351">
        <w:rPr>
          <w:sz w:val="22"/>
          <w:szCs w:val="22"/>
        </w:rPr>
        <w:t xml:space="preserve">auction </w:t>
      </w:r>
      <w:r w:rsidR="00D36D8A">
        <w:rPr>
          <w:sz w:val="22"/>
          <w:szCs w:val="22"/>
        </w:rPr>
        <w:t xml:space="preserve">reserve price for each AEP Ohio rate zone </w:t>
      </w:r>
      <w:r w:rsidR="002355E3">
        <w:rPr>
          <w:sz w:val="22"/>
          <w:szCs w:val="22"/>
        </w:rPr>
        <w:t xml:space="preserve">at the FAC rate </w:t>
      </w:r>
      <w:r w:rsidR="00D36D8A">
        <w:rPr>
          <w:sz w:val="22"/>
          <w:szCs w:val="22"/>
        </w:rPr>
        <w:t xml:space="preserve">that </w:t>
      </w:r>
      <w:r w:rsidR="001220D0">
        <w:rPr>
          <w:sz w:val="22"/>
          <w:szCs w:val="22"/>
        </w:rPr>
        <w:t xml:space="preserve">customers </w:t>
      </w:r>
      <w:r w:rsidR="00D36D8A">
        <w:rPr>
          <w:sz w:val="22"/>
          <w:szCs w:val="22"/>
        </w:rPr>
        <w:t xml:space="preserve">in that rate zone </w:t>
      </w:r>
      <w:r w:rsidR="001220D0">
        <w:rPr>
          <w:sz w:val="22"/>
          <w:szCs w:val="22"/>
        </w:rPr>
        <w:t>would otherwise pay</w:t>
      </w:r>
      <w:r w:rsidR="002355E3">
        <w:rPr>
          <w:sz w:val="22"/>
          <w:szCs w:val="22"/>
        </w:rPr>
        <w:t>.</w:t>
      </w:r>
      <w:r w:rsidR="00B61CEE">
        <w:rPr>
          <w:sz w:val="22"/>
          <w:szCs w:val="22"/>
        </w:rPr>
        <w:t xml:space="preserve">  </w:t>
      </w:r>
      <w:r w:rsidR="002F32E7">
        <w:rPr>
          <w:sz w:val="22"/>
          <w:szCs w:val="22"/>
        </w:rPr>
        <w:t>The</w:t>
      </w:r>
      <w:r w:rsidR="00447F7A">
        <w:rPr>
          <w:sz w:val="22"/>
          <w:szCs w:val="22"/>
        </w:rPr>
        <w:t xml:space="preserve"> third </w:t>
      </w:r>
      <w:r w:rsidR="002F32E7">
        <w:rPr>
          <w:sz w:val="22"/>
          <w:szCs w:val="22"/>
        </w:rPr>
        <w:t>measure</w:t>
      </w:r>
      <w:r>
        <w:rPr>
          <w:sz w:val="22"/>
          <w:szCs w:val="22"/>
        </w:rPr>
        <w:t xml:space="preserve"> </w:t>
      </w:r>
      <w:r w:rsidR="007C5EF5">
        <w:rPr>
          <w:sz w:val="22"/>
          <w:szCs w:val="22"/>
        </w:rPr>
        <w:t xml:space="preserve">may </w:t>
      </w:r>
      <w:r w:rsidR="002F32E7">
        <w:rPr>
          <w:sz w:val="22"/>
          <w:szCs w:val="22"/>
        </w:rPr>
        <w:t xml:space="preserve">provide some small </w:t>
      </w:r>
      <w:r w:rsidR="00D74AF2">
        <w:rPr>
          <w:sz w:val="22"/>
          <w:szCs w:val="22"/>
        </w:rPr>
        <w:t xml:space="preserve">short-term </w:t>
      </w:r>
      <w:r w:rsidR="005732AF">
        <w:rPr>
          <w:sz w:val="22"/>
          <w:szCs w:val="22"/>
        </w:rPr>
        <w:t>protection</w:t>
      </w:r>
      <w:r w:rsidR="007C5EF5">
        <w:rPr>
          <w:sz w:val="22"/>
          <w:szCs w:val="22"/>
        </w:rPr>
        <w:t xml:space="preserve"> </w:t>
      </w:r>
      <w:r w:rsidR="002F32E7">
        <w:rPr>
          <w:sz w:val="22"/>
          <w:szCs w:val="22"/>
        </w:rPr>
        <w:t xml:space="preserve">to </w:t>
      </w:r>
      <w:r w:rsidR="007C5EF5">
        <w:rPr>
          <w:sz w:val="22"/>
          <w:szCs w:val="22"/>
        </w:rPr>
        <w:t xml:space="preserve">customers, </w:t>
      </w:r>
      <w:r w:rsidR="004D1521">
        <w:rPr>
          <w:sz w:val="22"/>
          <w:szCs w:val="22"/>
        </w:rPr>
        <w:t>but</w:t>
      </w:r>
      <w:r w:rsidR="00480712">
        <w:rPr>
          <w:sz w:val="22"/>
          <w:szCs w:val="22"/>
        </w:rPr>
        <w:t xml:space="preserve"> would still allow </w:t>
      </w:r>
      <w:r w:rsidR="00EE2EED">
        <w:rPr>
          <w:sz w:val="22"/>
          <w:szCs w:val="22"/>
        </w:rPr>
        <w:t xml:space="preserve">unreasonable and </w:t>
      </w:r>
      <w:r w:rsidR="00806C36">
        <w:rPr>
          <w:sz w:val="22"/>
          <w:szCs w:val="22"/>
        </w:rPr>
        <w:t xml:space="preserve">unnecessary </w:t>
      </w:r>
      <w:r w:rsidR="00480712">
        <w:rPr>
          <w:sz w:val="22"/>
          <w:szCs w:val="22"/>
        </w:rPr>
        <w:t>rate increases to result fr</w:t>
      </w:r>
      <w:r w:rsidR="00277B7A">
        <w:rPr>
          <w:sz w:val="22"/>
          <w:szCs w:val="22"/>
        </w:rPr>
        <w:t>om the “energy-only” auctions.</w:t>
      </w:r>
      <w:r w:rsidR="0012364D">
        <w:rPr>
          <w:sz w:val="22"/>
          <w:szCs w:val="22"/>
        </w:rPr>
        <w:t xml:space="preserve">  </w:t>
      </w:r>
      <w:r w:rsidR="007E3952">
        <w:rPr>
          <w:sz w:val="22"/>
          <w:szCs w:val="22"/>
        </w:rPr>
        <w:t>Additionally</w:t>
      </w:r>
      <w:r w:rsidR="000B53A0">
        <w:rPr>
          <w:sz w:val="22"/>
          <w:szCs w:val="22"/>
        </w:rPr>
        <w:t xml:space="preserve">, </w:t>
      </w:r>
      <w:r w:rsidR="003829F5">
        <w:rPr>
          <w:sz w:val="22"/>
          <w:szCs w:val="22"/>
        </w:rPr>
        <w:t>if the</w:t>
      </w:r>
      <w:r w:rsidR="00345FF8">
        <w:rPr>
          <w:sz w:val="22"/>
          <w:szCs w:val="22"/>
        </w:rPr>
        <w:t xml:space="preserve"> energy rates from the auctions resulted in an </w:t>
      </w:r>
      <w:r w:rsidR="003829F5">
        <w:rPr>
          <w:sz w:val="22"/>
          <w:szCs w:val="22"/>
        </w:rPr>
        <w:t xml:space="preserve">individual customer </w:t>
      </w:r>
      <w:r w:rsidR="00345FF8">
        <w:rPr>
          <w:sz w:val="22"/>
          <w:szCs w:val="22"/>
        </w:rPr>
        <w:t xml:space="preserve">meeting the </w:t>
      </w:r>
      <w:r w:rsidR="00FD61CF">
        <w:rPr>
          <w:sz w:val="22"/>
          <w:szCs w:val="22"/>
        </w:rPr>
        <w:t xml:space="preserve">12% </w:t>
      </w:r>
      <w:r w:rsidR="003829F5">
        <w:rPr>
          <w:sz w:val="22"/>
          <w:szCs w:val="22"/>
        </w:rPr>
        <w:t>rate</w:t>
      </w:r>
      <w:r w:rsidR="00FD61CF">
        <w:rPr>
          <w:sz w:val="22"/>
          <w:szCs w:val="22"/>
        </w:rPr>
        <w:t xml:space="preserve"> </w:t>
      </w:r>
      <w:r w:rsidR="00B83F1D">
        <w:rPr>
          <w:sz w:val="22"/>
          <w:szCs w:val="22"/>
        </w:rPr>
        <w:t>cap</w:t>
      </w:r>
      <w:r w:rsidR="003829F5">
        <w:rPr>
          <w:sz w:val="22"/>
          <w:szCs w:val="22"/>
        </w:rPr>
        <w:t>, it</w:t>
      </w:r>
      <w:r w:rsidR="00351A83">
        <w:rPr>
          <w:sz w:val="22"/>
          <w:szCs w:val="22"/>
        </w:rPr>
        <w:t xml:space="preserve"> would </w:t>
      </w:r>
      <w:r w:rsidR="00345FF8">
        <w:rPr>
          <w:sz w:val="22"/>
          <w:szCs w:val="22"/>
        </w:rPr>
        <w:t xml:space="preserve">simply </w:t>
      </w:r>
      <w:r w:rsidR="00351A83">
        <w:rPr>
          <w:sz w:val="22"/>
          <w:szCs w:val="22"/>
        </w:rPr>
        <w:t>create deferrals</w:t>
      </w:r>
      <w:r w:rsidR="0012364D">
        <w:rPr>
          <w:sz w:val="22"/>
          <w:szCs w:val="22"/>
        </w:rPr>
        <w:t xml:space="preserve"> that would </w:t>
      </w:r>
      <w:r w:rsidR="00551140">
        <w:rPr>
          <w:sz w:val="22"/>
          <w:szCs w:val="22"/>
        </w:rPr>
        <w:t xml:space="preserve">be </w:t>
      </w:r>
      <w:r w:rsidR="00351A83">
        <w:rPr>
          <w:sz w:val="22"/>
          <w:szCs w:val="22"/>
        </w:rPr>
        <w:t xml:space="preserve">collected later from </w:t>
      </w:r>
      <w:r w:rsidR="00345FF8">
        <w:rPr>
          <w:sz w:val="22"/>
          <w:szCs w:val="22"/>
        </w:rPr>
        <w:t>all</w:t>
      </w:r>
      <w:r w:rsidR="00351A83">
        <w:rPr>
          <w:sz w:val="22"/>
          <w:szCs w:val="22"/>
        </w:rPr>
        <w:t xml:space="preserve"> customers, increasing the</w:t>
      </w:r>
      <w:r w:rsidR="00EF703E">
        <w:rPr>
          <w:sz w:val="22"/>
          <w:szCs w:val="22"/>
        </w:rPr>
        <w:t>ir</w:t>
      </w:r>
      <w:r w:rsidR="00351A83">
        <w:rPr>
          <w:sz w:val="22"/>
          <w:szCs w:val="22"/>
        </w:rPr>
        <w:t xml:space="preserve"> cost burden</w:t>
      </w:r>
      <w:r w:rsidR="00335E8B">
        <w:rPr>
          <w:sz w:val="22"/>
          <w:szCs w:val="22"/>
        </w:rPr>
        <w:t xml:space="preserve">.  </w:t>
      </w:r>
      <w:r w:rsidR="00280B75">
        <w:rPr>
          <w:sz w:val="22"/>
          <w:szCs w:val="22"/>
        </w:rPr>
        <w:t xml:space="preserve">Creating additional costs to be deferred and collected </w:t>
      </w:r>
      <w:r w:rsidR="00D74AF2">
        <w:rPr>
          <w:sz w:val="22"/>
          <w:szCs w:val="22"/>
        </w:rPr>
        <w:t xml:space="preserve">from customers </w:t>
      </w:r>
      <w:r w:rsidR="00280B75">
        <w:rPr>
          <w:sz w:val="22"/>
          <w:szCs w:val="22"/>
        </w:rPr>
        <w:t xml:space="preserve">later is not sound regulatory policy.  </w:t>
      </w:r>
    </w:p>
    <w:p w:rsidR="000633E9" w:rsidRDefault="000B6926" w:rsidP="00C943B8">
      <w:pPr>
        <w:pStyle w:val="ColorfulList-Accent11"/>
        <w:spacing w:line="480" w:lineRule="auto"/>
        <w:ind w:left="0" w:firstLine="720"/>
        <w:contextualSpacing w:val="0"/>
        <w:rPr>
          <w:sz w:val="22"/>
          <w:szCs w:val="22"/>
        </w:rPr>
      </w:pPr>
      <w:r>
        <w:rPr>
          <w:sz w:val="22"/>
          <w:szCs w:val="22"/>
        </w:rPr>
        <w:t xml:space="preserve">The </w:t>
      </w:r>
      <w:r w:rsidR="00C42B8B">
        <w:rPr>
          <w:sz w:val="22"/>
          <w:szCs w:val="22"/>
        </w:rPr>
        <w:t xml:space="preserve">Commission’s goal in this case should not be to determine </w:t>
      </w:r>
      <w:r>
        <w:rPr>
          <w:sz w:val="22"/>
          <w:szCs w:val="22"/>
        </w:rPr>
        <w:t xml:space="preserve">what level of potential harm </w:t>
      </w:r>
      <w:r w:rsidR="00ED294A">
        <w:rPr>
          <w:sz w:val="22"/>
          <w:szCs w:val="22"/>
        </w:rPr>
        <w:t xml:space="preserve">to non-shopping customers </w:t>
      </w:r>
      <w:r>
        <w:rPr>
          <w:sz w:val="22"/>
          <w:szCs w:val="22"/>
        </w:rPr>
        <w:t xml:space="preserve">is acceptable.  </w:t>
      </w:r>
      <w:r w:rsidR="005C586F">
        <w:rPr>
          <w:sz w:val="22"/>
          <w:szCs w:val="22"/>
        </w:rPr>
        <w:t xml:space="preserve">It should be </w:t>
      </w:r>
      <w:r w:rsidR="00D10CAE">
        <w:rPr>
          <w:sz w:val="22"/>
          <w:szCs w:val="22"/>
        </w:rPr>
        <w:t>prevent</w:t>
      </w:r>
      <w:r w:rsidR="0067385D">
        <w:rPr>
          <w:sz w:val="22"/>
          <w:szCs w:val="22"/>
        </w:rPr>
        <w:t>ing</w:t>
      </w:r>
      <w:r w:rsidR="00D10CAE">
        <w:rPr>
          <w:sz w:val="22"/>
          <w:szCs w:val="22"/>
        </w:rPr>
        <w:t xml:space="preserve"> </w:t>
      </w:r>
      <w:r w:rsidRPr="00156315">
        <w:rPr>
          <w:i/>
          <w:sz w:val="22"/>
          <w:szCs w:val="22"/>
        </w:rPr>
        <w:t>any</w:t>
      </w:r>
      <w:r>
        <w:rPr>
          <w:sz w:val="22"/>
          <w:szCs w:val="22"/>
        </w:rPr>
        <w:t xml:space="preserve"> </w:t>
      </w:r>
      <w:r w:rsidR="00EF7DB9">
        <w:rPr>
          <w:sz w:val="22"/>
          <w:szCs w:val="22"/>
        </w:rPr>
        <w:t xml:space="preserve">harm to </w:t>
      </w:r>
      <w:r w:rsidR="005732AF">
        <w:rPr>
          <w:sz w:val="22"/>
          <w:szCs w:val="22"/>
        </w:rPr>
        <w:t xml:space="preserve">non-shopping </w:t>
      </w:r>
      <w:r w:rsidR="00EF7DB9">
        <w:rPr>
          <w:sz w:val="22"/>
          <w:szCs w:val="22"/>
        </w:rPr>
        <w:t>customers as a result of the “energy-only” auctions</w:t>
      </w:r>
      <w:r w:rsidR="00093676">
        <w:rPr>
          <w:sz w:val="22"/>
          <w:szCs w:val="22"/>
        </w:rPr>
        <w:t>, particularly when d</w:t>
      </w:r>
      <w:r w:rsidR="00D10CAE">
        <w:rPr>
          <w:sz w:val="22"/>
          <w:szCs w:val="22"/>
        </w:rPr>
        <w:t>oing so</w:t>
      </w:r>
      <w:r w:rsidR="00254D26">
        <w:rPr>
          <w:sz w:val="22"/>
          <w:szCs w:val="22"/>
        </w:rPr>
        <w:t xml:space="preserve"> is as simple as </w:t>
      </w:r>
      <w:r>
        <w:rPr>
          <w:sz w:val="22"/>
          <w:szCs w:val="22"/>
        </w:rPr>
        <w:t xml:space="preserve">adopting OEG/OCC’s </w:t>
      </w:r>
      <w:r w:rsidR="00254D26">
        <w:rPr>
          <w:sz w:val="22"/>
          <w:szCs w:val="22"/>
        </w:rPr>
        <w:t>reserve price recommendation</w:t>
      </w:r>
      <w:r w:rsidR="00D10CAE">
        <w:rPr>
          <w:sz w:val="22"/>
          <w:szCs w:val="22"/>
        </w:rPr>
        <w:t>.</w:t>
      </w:r>
      <w:r w:rsidR="006544AF">
        <w:rPr>
          <w:sz w:val="22"/>
          <w:szCs w:val="22"/>
        </w:rPr>
        <w:t xml:space="preserve">  Accordingly, though</w:t>
      </w:r>
      <w:r w:rsidR="006F3FBC">
        <w:rPr>
          <w:sz w:val="22"/>
          <w:szCs w:val="22"/>
        </w:rPr>
        <w:t xml:space="preserve"> adopt</w:t>
      </w:r>
      <w:r w:rsidR="00941358">
        <w:rPr>
          <w:sz w:val="22"/>
          <w:szCs w:val="22"/>
        </w:rPr>
        <w:t>ion of</w:t>
      </w:r>
      <w:r w:rsidR="006F3FBC">
        <w:rPr>
          <w:sz w:val="22"/>
          <w:szCs w:val="22"/>
        </w:rPr>
        <w:t xml:space="preserve"> AEP Ohio’s proposed measures</w:t>
      </w:r>
      <w:r w:rsidR="006544AF">
        <w:rPr>
          <w:sz w:val="22"/>
          <w:szCs w:val="22"/>
        </w:rPr>
        <w:t xml:space="preserve"> may </w:t>
      </w:r>
      <w:r w:rsidR="00BB737B">
        <w:rPr>
          <w:sz w:val="22"/>
          <w:szCs w:val="22"/>
        </w:rPr>
        <w:t xml:space="preserve">provide some small </w:t>
      </w:r>
      <w:r w:rsidR="005732AF">
        <w:rPr>
          <w:sz w:val="22"/>
          <w:szCs w:val="22"/>
        </w:rPr>
        <w:t>short-term protection</w:t>
      </w:r>
      <w:r w:rsidR="00BB737B">
        <w:rPr>
          <w:sz w:val="22"/>
          <w:szCs w:val="22"/>
        </w:rPr>
        <w:t xml:space="preserve"> to customers</w:t>
      </w:r>
      <w:r w:rsidR="006544AF">
        <w:rPr>
          <w:sz w:val="22"/>
          <w:szCs w:val="22"/>
        </w:rPr>
        <w:t>, the Commission</w:t>
      </w:r>
      <w:r w:rsidR="006F3FBC">
        <w:rPr>
          <w:sz w:val="22"/>
          <w:szCs w:val="22"/>
        </w:rPr>
        <w:t xml:space="preserve"> should not do so in lieu of setting the reserve price for the auctions at the FAC rates customers otherwise </w:t>
      </w:r>
      <w:r w:rsidR="00C80DB7">
        <w:rPr>
          <w:sz w:val="22"/>
          <w:szCs w:val="22"/>
        </w:rPr>
        <w:t xml:space="preserve">would </w:t>
      </w:r>
      <w:r w:rsidR="005C191F">
        <w:rPr>
          <w:sz w:val="22"/>
          <w:szCs w:val="22"/>
        </w:rPr>
        <w:t>pay.</w:t>
      </w:r>
    </w:p>
    <w:p w:rsidR="0027431D" w:rsidRDefault="0027431D" w:rsidP="0027431D">
      <w:pPr>
        <w:pStyle w:val="ColorfulList-Accent11"/>
        <w:ind w:left="0" w:firstLine="720"/>
        <w:contextualSpacing w:val="0"/>
        <w:rPr>
          <w:sz w:val="22"/>
          <w:szCs w:val="22"/>
        </w:rPr>
      </w:pPr>
    </w:p>
    <w:p w:rsidR="00851B2F" w:rsidRDefault="00E15540" w:rsidP="0027431D">
      <w:pPr>
        <w:pStyle w:val="Heading1"/>
      </w:pPr>
      <w:r>
        <w:t xml:space="preserve">The Commission Should Reject </w:t>
      </w:r>
      <w:r w:rsidR="00400A33">
        <w:t xml:space="preserve">Exelon’s </w:t>
      </w:r>
      <w:r w:rsidR="001854BC">
        <w:t xml:space="preserve">Recommended </w:t>
      </w:r>
      <w:r w:rsidR="00400A33">
        <w:t xml:space="preserve">Crediting </w:t>
      </w:r>
      <w:r w:rsidR="001854BC">
        <w:t>Mechanism</w:t>
      </w:r>
      <w:r w:rsidR="00400A33">
        <w:t>.</w:t>
      </w:r>
    </w:p>
    <w:p w:rsidR="00851B2F" w:rsidRDefault="00034961" w:rsidP="00C943B8">
      <w:pPr>
        <w:pStyle w:val="ColorfulList-Accent11"/>
        <w:spacing w:before="120" w:after="360" w:line="480" w:lineRule="auto"/>
        <w:ind w:left="0" w:firstLine="720"/>
        <w:rPr>
          <w:sz w:val="22"/>
          <w:szCs w:val="22"/>
        </w:rPr>
      </w:pPr>
      <w:r w:rsidRPr="00851B2F">
        <w:rPr>
          <w:sz w:val="22"/>
          <w:szCs w:val="22"/>
        </w:rPr>
        <w:t>Exelon acknowledges that “…under the well-known ‘regulatory compact,’ SSO customers who are required to pay AEP’s embedded capacity until the end of the transition period are entitled to the energy generated by AEP’s legacy generating units at the lower of cost or market.”</w:t>
      </w:r>
      <w:r w:rsidR="007148C1" w:rsidRPr="007148C1">
        <w:rPr>
          <w:rStyle w:val="FootnoteReference"/>
          <w:sz w:val="22"/>
          <w:szCs w:val="22"/>
          <w:vertAlign w:val="superscript"/>
        </w:rPr>
        <w:footnoteReference w:id="9"/>
      </w:r>
      <w:r w:rsidR="00BA2F25" w:rsidRPr="00851B2F">
        <w:rPr>
          <w:sz w:val="22"/>
          <w:szCs w:val="22"/>
        </w:rPr>
        <w:t xml:space="preserve">  </w:t>
      </w:r>
      <w:r w:rsidR="00531ED6" w:rsidRPr="00851B2F">
        <w:rPr>
          <w:sz w:val="22"/>
          <w:szCs w:val="22"/>
        </w:rPr>
        <w:t>T</w:t>
      </w:r>
      <w:r w:rsidR="00BA2F25" w:rsidRPr="00851B2F">
        <w:rPr>
          <w:sz w:val="22"/>
          <w:szCs w:val="22"/>
        </w:rPr>
        <w:t xml:space="preserve">o address the fact that </w:t>
      </w:r>
      <w:r w:rsidR="005B7ACD" w:rsidRPr="00851B2F">
        <w:rPr>
          <w:sz w:val="22"/>
          <w:szCs w:val="22"/>
        </w:rPr>
        <w:t xml:space="preserve">AEP Ohio’s proposed auction structure </w:t>
      </w:r>
      <w:r w:rsidR="00BA2F25" w:rsidRPr="00851B2F">
        <w:rPr>
          <w:sz w:val="22"/>
          <w:szCs w:val="22"/>
        </w:rPr>
        <w:t xml:space="preserve">may not allow </w:t>
      </w:r>
      <w:r w:rsidR="00845F8E" w:rsidRPr="00851B2F">
        <w:rPr>
          <w:sz w:val="22"/>
          <w:szCs w:val="22"/>
        </w:rPr>
        <w:t>the regulatory</w:t>
      </w:r>
      <w:r w:rsidR="0069135D" w:rsidRPr="00851B2F">
        <w:rPr>
          <w:sz w:val="22"/>
          <w:szCs w:val="22"/>
        </w:rPr>
        <w:t xml:space="preserve"> </w:t>
      </w:r>
      <w:r w:rsidR="00665D97" w:rsidRPr="00851B2F">
        <w:rPr>
          <w:sz w:val="22"/>
          <w:szCs w:val="22"/>
        </w:rPr>
        <w:t>compact to be upheld</w:t>
      </w:r>
      <w:r w:rsidR="00BA2F25" w:rsidRPr="00851B2F">
        <w:rPr>
          <w:sz w:val="22"/>
          <w:szCs w:val="22"/>
        </w:rPr>
        <w:t xml:space="preserve">, Exelon </w:t>
      </w:r>
      <w:r w:rsidR="00C733D7" w:rsidRPr="00851B2F">
        <w:rPr>
          <w:sz w:val="22"/>
          <w:szCs w:val="22"/>
        </w:rPr>
        <w:t>suggests</w:t>
      </w:r>
      <w:r w:rsidR="00FD7EE0" w:rsidRPr="00851B2F">
        <w:rPr>
          <w:sz w:val="22"/>
          <w:szCs w:val="22"/>
        </w:rPr>
        <w:t xml:space="preserve"> </w:t>
      </w:r>
      <w:r w:rsidR="005732AF">
        <w:rPr>
          <w:sz w:val="22"/>
          <w:szCs w:val="22"/>
        </w:rPr>
        <w:t>that</w:t>
      </w:r>
      <w:r w:rsidR="0039737F">
        <w:rPr>
          <w:sz w:val="22"/>
          <w:szCs w:val="22"/>
        </w:rPr>
        <w:t xml:space="preserve"> </w:t>
      </w:r>
      <w:r w:rsidR="00ED576E" w:rsidRPr="00851B2F">
        <w:rPr>
          <w:sz w:val="22"/>
          <w:szCs w:val="22"/>
        </w:rPr>
        <w:t xml:space="preserve">any difference </w:t>
      </w:r>
      <w:r w:rsidR="005732AF">
        <w:rPr>
          <w:sz w:val="22"/>
          <w:szCs w:val="22"/>
        </w:rPr>
        <w:t xml:space="preserve">customers pay </w:t>
      </w:r>
      <w:r w:rsidR="00ED576E" w:rsidRPr="00851B2F">
        <w:rPr>
          <w:sz w:val="22"/>
          <w:szCs w:val="22"/>
        </w:rPr>
        <w:t>between the energy r</w:t>
      </w:r>
      <w:r w:rsidR="00FD7EE0" w:rsidRPr="00851B2F">
        <w:rPr>
          <w:sz w:val="22"/>
          <w:szCs w:val="22"/>
        </w:rPr>
        <w:t xml:space="preserve">ates resulting from the auctions and </w:t>
      </w:r>
      <w:r w:rsidR="00383F05" w:rsidRPr="00851B2F">
        <w:rPr>
          <w:sz w:val="22"/>
          <w:szCs w:val="22"/>
        </w:rPr>
        <w:t>the FAC rates</w:t>
      </w:r>
      <w:r w:rsidR="00FD7EE0" w:rsidRPr="00851B2F">
        <w:rPr>
          <w:sz w:val="22"/>
          <w:szCs w:val="22"/>
        </w:rPr>
        <w:t xml:space="preserve"> customers</w:t>
      </w:r>
      <w:r w:rsidR="00383F05" w:rsidRPr="00851B2F">
        <w:rPr>
          <w:sz w:val="22"/>
          <w:szCs w:val="22"/>
        </w:rPr>
        <w:t xml:space="preserve"> would otherwise pay</w:t>
      </w:r>
      <w:r w:rsidR="005732AF">
        <w:rPr>
          <w:sz w:val="22"/>
          <w:szCs w:val="22"/>
        </w:rPr>
        <w:t xml:space="preserve">, would be used as </w:t>
      </w:r>
      <w:r w:rsidR="008001B6" w:rsidRPr="00851B2F">
        <w:rPr>
          <w:sz w:val="22"/>
          <w:szCs w:val="22"/>
        </w:rPr>
        <w:t xml:space="preserve">a reduction in the </w:t>
      </w:r>
      <w:r w:rsidR="00FD7EE0" w:rsidRPr="00851B2F">
        <w:rPr>
          <w:sz w:val="22"/>
          <w:szCs w:val="22"/>
        </w:rPr>
        <w:t>AEP Ohio capacity case deferral</w:t>
      </w:r>
      <w:r w:rsidR="00BA2F25" w:rsidRPr="00851B2F">
        <w:rPr>
          <w:sz w:val="22"/>
          <w:szCs w:val="22"/>
        </w:rPr>
        <w:t>.</w:t>
      </w:r>
      <w:r w:rsidR="00BA2F25" w:rsidRPr="00B811C9">
        <w:rPr>
          <w:rStyle w:val="FootnoteReference"/>
          <w:sz w:val="22"/>
          <w:szCs w:val="22"/>
          <w:vertAlign w:val="superscript"/>
        </w:rPr>
        <w:footnoteReference w:id="10"/>
      </w:r>
    </w:p>
    <w:p w:rsidR="00851B2F" w:rsidRDefault="00BA2F25" w:rsidP="00C943B8">
      <w:pPr>
        <w:pStyle w:val="ColorfulList-Accent11"/>
        <w:spacing w:before="120" w:after="360" w:line="480" w:lineRule="auto"/>
        <w:ind w:left="0" w:firstLine="720"/>
        <w:rPr>
          <w:sz w:val="22"/>
          <w:szCs w:val="22"/>
        </w:rPr>
      </w:pPr>
      <w:r>
        <w:rPr>
          <w:sz w:val="22"/>
          <w:szCs w:val="22"/>
        </w:rPr>
        <w:t xml:space="preserve">While </w:t>
      </w:r>
      <w:r w:rsidR="00C74758">
        <w:rPr>
          <w:sz w:val="22"/>
          <w:szCs w:val="22"/>
        </w:rPr>
        <w:t xml:space="preserve">Exelon’s </w:t>
      </w:r>
      <w:r w:rsidR="00C74758" w:rsidRPr="000761C4">
        <w:rPr>
          <w:i/>
          <w:sz w:val="22"/>
          <w:szCs w:val="22"/>
        </w:rPr>
        <w:t>ad hoc</w:t>
      </w:r>
      <w:r w:rsidR="00C74758">
        <w:rPr>
          <w:sz w:val="22"/>
          <w:szCs w:val="22"/>
        </w:rPr>
        <w:t xml:space="preserve"> hodgepodge </w:t>
      </w:r>
      <w:r w:rsidR="007628D4">
        <w:rPr>
          <w:sz w:val="22"/>
          <w:szCs w:val="22"/>
        </w:rPr>
        <w:t>approach is</w:t>
      </w:r>
      <w:r>
        <w:rPr>
          <w:sz w:val="22"/>
          <w:szCs w:val="22"/>
        </w:rPr>
        <w:t xml:space="preserve"> </w:t>
      </w:r>
      <w:r w:rsidR="00673453">
        <w:rPr>
          <w:sz w:val="22"/>
          <w:szCs w:val="22"/>
        </w:rPr>
        <w:t xml:space="preserve">“creative,” </w:t>
      </w:r>
      <w:r w:rsidR="005C7D30">
        <w:rPr>
          <w:sz w:val="22"/>
          <w:szCs w:val="22"/>
        </w:rPr>
        <w:t>it suffers from a series of</w:t>
      </w:r>
      <w:r w:rsidR="00202994">
        <w:rPr>
          <w:sz w:val="22"/>
          <w:szCs w:val="22"/>
        </w:rPr>
        <w:t xml:space="preserve"> flaws</w:t>
      </w:r>
      <w:r w:rsidR="000F5AF6">
        <w:rPr>
          <w:sz w:val="22"/>
          <w:szCs w:val="22"/>
        </w:rPr>
        <w:t xml:space="preserve">.  </w:t>
      </w:r>
      <w:r w:rsidR="00D8183F">
        <w:rPr>
          <w:sz w:val="22"/>
          <w:szCs w:val="22"/>
        </w:rPr>
        <w:t>First, Exelon’s</w:t>
      </w:r>
      <w:r w:rsidR="00F5713D">
        <w:rPr>
          <w:sz w:val="22"/>
          <w:szCs w:val="22"/>
        </w:rPr>
        <w:t xml:space="preserve"> approach</w:t>
      </w:r>
      <w:r w:rsidR="001764BB">
        <w:rPr>
          <w:sz w:val="22"/>
          <w:szCs w:val="22"/>
        </w:rPr>
        <w:t xml:space="preserve"> </w:t>
      </w:r>
      <w:r w:rsidR="00F5713D">
        <w:rPr>
          <w:sz w:val="22"/>
          <w:szCs w:val="22"/>
        </w:rPr>
        <w:t>has</w:t>
      </w:r>
      <w:r w:rsidR="00292737">
        <w:rPr>
          <w:sz w:val="22"/>
          <w:szCs w:val="22"/>
        </w:rPr>
        <w:t xml:space="preserve"> no basis in the language of the Commission’s ESP Order</w:t>
      </w:r>
      <w:r w:rsidR="00F070EE">
        <w:rPr>
          <w:sz w:val="22"/>
          <w:szCs w:val="22"/>
        </w:rPr>
        <w:t xml:space="preserve">.  </w:t>
      </w:r>
      <w:r w:rsidR="00C838A2">
        <w:rPr>
          <w:sz w:val="22"/>
          <w:szCs w:val="22"/>
        </w:rPr>
        <w:t>Second, it</w:t>
      </w:r>
      <w:r w:rsidR="003B73D5">
        <w:rPr>
          <w:sz w:val="22"/>
          <w:szCs w:val="22"/>
        </w:rPr>
        <w:t xml:space="preserve"> rests </w:t>
      </w:r>
      <w:r w:rsidR="00AA0D0D">
        <w:rPr>
          <w:sz w:val="22"/>
          <w:szCs w:val="22"/>
        </w:rPr>
        <w:t>up</w:t>
      </w:r>
      <w:r w:rsidR="003B73D5">
        <w:rPr>
          <w:sz w:val="22"/>
          <w:szCs w:val="22"/>
        </w:rPr>
        <w:t xml:space="preserve">on the </w:t>
      </w:r>
      <w:r w:rsidR="00C97EAE">
        <w:rPr>
          <w:sz w:val="22"/>
          <w:szCs w:val="22"/>
        </w:rPr>
        <w:t xml:space="preserve">faulty </w:t>
      </w:r>
      <w:r w:rsidR="003B73D5">
        <w:rPr>
          <w:sz w:val="22"/>
          <w:szCs w:val="22"/>
        </w:rPr>
        <w:t xml:space="preserve">assumption that </w:t>
      </w:r>
      <w:r w:rsidR="00421B27">
        <w:rPr>
          <w:sz w:val="22"/>
          <w:szCs w:val="22"/>
        </w:rPr>
        <w:t>the capacity c</w:t>
      </w:r>
      <w:r w:rsidR="00673453">
        <w:rPr>
          <w:sz w:val="22"/>
          <w:szCs w:val="22"/>
        </w:rPr>
        <w:t>ase deferral c</w:t>
      </w:r>
      <w:r w:rsidR="00F112E6">
        <w:rPr>
          <w:sz w:val="22"/>
          <w:szCs w:val="22"/>
        </w:rPr>
        <w:t>an</w:t>
      </w:r>
      <w:r w:rsidR="00673453">
        <w:rPr>
          <w:sz w:val="22"/>
          <w:szCs w:val="22"/>
        </w:rPr>
        <w:t xml:space="preserve"> </w:t>
      </w:r>
      <w:r w:rsidR="00C97EAE">
        <w:rPr>
          <w:sz w:val="22"/>
          <w:szCs w:val="22"/>
        </w:rPr>
        <w:t xml:space="preserve">lawfully </w:t>
      </w:r>
      <w:r w:rsidR="00673453">
        <w:rPr>
          <w:sz w:val="22"/>
          <w:szCs w:val="22"/>
        </w:rPr>
        <w:t xml:space="preserve">be collected from </w:t>
      </w:r>
      <w:r w:rsidR="006B2209">
        <w:rPr>
          <w:sz w:val="22"/>
          <w:szCs w:val="22"/>
        </w:rPr>
        <w:t>non-shopping customers</w:t>
      </w:r>
      <w:r w:rsidR="00C97EAE">
        <w:rPr>
          <w:sz w:val="22"/>
          <w:szCs w:val="22"/>
        </w:rPr>
        <w:t xml:space="preserve">.  </w:t>
      </w:r>
      <w:r w:rsidR="009E3560">
        <w:rPr>
          <w:sz w:val="22"/>
          <w:szCs w:val="22"/>
        </w:rPr>
        <w:t>Third,</w:t>
      </w:r>
      <w:r w:rsidR="0043050F">
        <w:rPr>
          <w:sz w:val="22"/>
          <w:szCs w:val="22"/>
        </w:rPr>
        <w:t xml:space="preserve"> </w:t>
      </w:r>
      <w:r w:rsidR="007628D4">
        <w:rPr>
          <w:sz w:val="22"/>
          <w:szCs w:val="22"/>
        </w:rPr>
        <w:t>although</w:t>
      </w:r>
      <w:r w:rsidR="003F1A57">
        <w:rPr>
          <w:sz w:val="22"/>
          <w:szCs w:val="22"/>
        </w:rPr>
        <w:t xml:space="preserve"> </w:t>
      </w:r>
      <w:r w:rsidR="002D56FB">
        <w:rPr>
          <w:sz w:val="22"/>
          <w:szCs w:val="22"/>
        </w:rPr>
        <w:t xml:space="preserve">Exelon </w:t>
      </w:r>
      <w:r w:rsidR="00AD1BE2">
        <w:rPr>
          <w:sz w:val="22"/>
          <w:szCs w:val="22"/>
        </w:rPr>
        <w:t>has</w:t>
      </w:r>
      <w:r w:rsidR="002D56FB">
        <w:rPr>
          <w:sz w:val="22"/>
          <w:szCs w:val="22"/>
        </w:rPr>
        <w:t xml:space="preserve"> </w:t>
      </w:r>
      <w:r w:rsidR="00AD1BE2">
        <w:rPr>
          <w:sz w:val="22"/>
          <w:szCs w:val="22"/>
        </w:rPr>
        <w:t xml:space="preserve">seemingly </w:t>
      </w:r>
      <w:r w:rsidR="002D56FB">
        <w:rPr>
          <w:sz w:val="22"/>
          <w:szCs w:val="22"/>
        </w:rPr>
        <w:t xml:space="preserve">modified </w:t>
      </w:r>
      <w:r w:rsidR="00A65A5E">
        <w:rPr>
          <w:sz w:val="22"/>
          <w:szCs w:val="22"/>
        </w:rPr>
        <w:t xml:space="preserve">its </w:t>
      </w:r>
      <w:r w:rsidR="007224D5">
        <w:rPr>
          <w:sz w:val="22"/>
          <w:szCs w:val="22"/>
        </w:rPr>
        <w:t xml:space="preserve">proposed </w:t>
      </w:r>
      <w:r w:rsidR="002D56FB">
        <w:rPr>
          <w:sz w:val="22"/>
          <w:szCs w:val="22"/>
        </w:rPr>
        <w:t>crediting mechanism</w:t>
      </w:r>
      <w:r w:rsidR="00A65A5E">
        <w:rPr>
          <w:sz w:val="22"/>
          <w:szCs w:val="22"/>
        </w:rPr>
        <w:t xml:space="preserve"> to</w:t>
      </w:r>
      <w:r w:rsidR="002D56FB">
        <w:rPr>
          <w:sz w:val="22"/>
          <w:szCs w:val="22"/>
        </w:rPr>
        <w:t xml:space="preserve"> apply </w:t>
      </w:r>
      <w:r w:rsidR="00435ADB">
        <w:rPr>
          <w:sz w:val="22"/>
          <w:szCs w:val="22"/>
        </w:rPr>
        <w:t xml:space="preserve">only </w:t>
      </w:r>
      <w:r w:rsidR="002D56FB">
        <w:rPr>
          <w:sz w:val="22"/>
          <w:szCs w:val="22"/>
        </w:rPr>
        <w:t xml:space="preserve">to </w:t>
      </w:r>
      <w:r w:rsidR="00A65A5E">
        <w:rPr>
          <w:sz w:val="22"/>
          <w:szCs w:val="22"/>
        </w:rPr>
        <w:t>non-shopping customers</w:t>
      </w:r>
      <w:r w:rsidR="006C5505">
        <w:rPr>
          <w:sz w:val="22"/>
          <w:szCs w:val="22"/>
        </w:rPr>
        <w:t xml:space="preserve"> (which </w:t>
      </w:r>
      <w:r w:rsidR="000B2742">
        <w:rPr>
          <w:sz w:val="22"/>
          <w:szCs w:val="22"/>
        </w:rPr>
        <w:t>resolves</w:t>
      </w:r>
      <w:r w:rsidR="006C5505">
        <w:rPr>
          <w:sz w:val="22"/>
          <w:szCs w:val="22"/>
        </w:rPr>
        <w:t xml:space="preserve"> the issue of </w:t>
      </w:r>
      <w:r w:rsidR="00DD06E3">
        <w:rPr>
          <w:sz w:val="22"/>
          <w:szCs w:val="22"/>
        </w:rPr>
        <w:t>non-shopping customers funding a credit</w:t>
      </w:r>
      <w:r w:rsidR="000D7EE1">
        <w:rPr>
          <w:sz w:val="22"/>
          <w:szCs w:val="22"/>
        </w:rPr>
        <w:t xml:space="preserve"> to</w:t>
      </w:r>
      <w:r w:rsidR="003F1A57">
        <w:rPr>
          <w:sz w:val="22"/>
          <w:szCs w:val="22"/>
        </w:rPr>
        <w:t xml:space="preserve"> shopping customers</w:t>
      </w:r>
      <w:r w:rsidR="006C5505">
        <w:rPr>
          <w:sz w:val="22"/>
          <w:szCs w:val="22"/>
        </w:rPr>
        <w:t>)</w:t>
      </w:r>
      <w:r w:rsidR="003F1A57">
        <w:rPr>
          <w:sz w:val="22"/>
          <w:szCs w:val="22"/>
        </w:rPr>
        <w:t>,</w:t>
      </w:r>
      <w:r w:rsidR="00F45F42" w:rsidRPr="00AA0CCB">
        <w:rPr>
          <w:rStyle w:val="FootnoteReference"/>
          <w:sz w:val="22"/>
          <w:szCs w:val="22"/>
          <w:vertAlign w:val="superscript"/>
        </w:rPr>
        <w:footnoteReference w:id="11"/>
      </w:r>
      <w:r w:rsidR="00F45F42">
        <w:rPr>
          <w:sz w:val="22"/>
          <w:szCs w:val="22"/>
        </w:rPr>
        <w:t xml:space="preserve"> </w:t>
      </w:r>
      <w:r w:rsidR="001C75D3">
        <w:rPr>
          <w:sz w:val="22"/>
          <w:szCs w:val="22"/>
        </w:rPr>
        <w:t xml:space="preserve"> </w:t>
      </w:r>
      <w:r w:rsidR="0018736B">
        <w:rPr>
          <w:sz w:val="22"/>
          <w:szCs w:val="22"/>
        </w:rPr>
        <w:t xml:space="preserve">OEG/OCC’s reserve price recommendation provides </w:t>
      </w:r>
      <w:r w:rsidR="002B5EB4">
        <w:rPr>
          <w:sz w:val="22"/>
          <w:szCs w:val="22"/>
        </w:rPr>
        <w:t>a m</w:t>
      </w:r>
      <w:r w:rsidR="00843D1D">
        <w:rPr>
          <w:sz w:val="22"/>
          <w:szCs w:val="22"/>
        </w:rPr>
        <w:t>uch more administratively simple</w:t>
      </w:r>
      <w:r w:rsidR="002B5EB4">
        <w:rPr>
          <w:sz w:val="22"/>
          <w:szCs w:val="22"/>
        </w:rPr>
        <w:t xml:space="preserve"> solution </w:t>
      </w:r>
      <w:r w:rsidR="0018736B">
        <w:rPr>
          <w:sz w:val="22"/>
          <w:szCs w:val="22"/>
        </w:rPr>
        <w:t xml:space="preserve">by which </w:t>
      </w:r>
      <w:r w:rsidR="002B5EB4">
        <w:rPr>
          <w:sz w:val="22"/>
          <w:szCs w:val="22"/>
        </w:rPr>
        <w:t>to p</w:t>
      </w:r>
      <w:r w:rsidR="0001001B">
        <w:rPr>
          <w:sz w:val="22"/>
          <w:szCs w:val="22"/>
        </w:rPr>
        <w:t>rotect non-shopping customers.</w:t>
      </w:r>
      <w:r w:rsidR="0012364D">
        <w:rPr>
          <w:sz w:val="22"/>
          <w:szCs w:val="22"/>
        </w:rPr>
        <w:t xml:space="preserve">  Fourth, Exelon’s </w:t>
      </w:r>
      <w:r w:rsidR="000A7B76">
        <w:rPr>
          <w:sz w:val="22"/>
          <w:szCs w:val="22"/>
        </w:rPr>
        <w:t xml:space="preserve">modified </w:t>
      </w:r>
      <w:r w:rsidR="0012364D">
        <w:rPr>
          <w:sz w:val="22"/>
          <w:szCs w:val="22"/>
        </w:rPr>
        <w:t>proposal would not protect non-shopping customers</w:t>
      </w:r>
      <w:r w:rsidR="00250E77">
        <w:rPr>
          <w:sz w:val="22"/>
          <w:szCs w:val="22"/>
        </w:rPr>
        <w:t xml:space="preserve"> who shop</w:t>
      </w:r>
      <w:r w:rsidR="00BB3BBE">
        <w:rPr>
          <w:sz w:val="22"/>
          <w:szCs w:val="22"/>
        </w:rPr>
        <w:t xml:space="preserve"> prior to the collection of the capacity case deferral</w:t>
      </w:r>
      <w:r w:rsidR="00250E77">
        <w:rPr>
          <w:sz w:val="22"/>
          <w:szCs w:val="22"/>
        </w:rPr>
        <w:t xml:space="preserve"> since those customers would </w:t>
      </w:r>
      <w:r w:rsidR="000A7B76">
        <w:rPr>
          <w:sz w:val="22"/>
          <w:szCs w:val="22"/>
        </w:rPr>
        <w:t>pay unnecessarily high rates</w:t>
      </w:r>
      <w:r w:rsidR="00250E77">
        <w:rPr>
          <w:sz w:val="22"/>
          <w:szCs w:val="22"/>
        </w:rPr>
        <w:t xml:space="preserve"> now</w:t>
      </w:r>
      <w:r w:rsidR="000A7B76">
        <w:rPr>
          <w:sz w:val="22"/>
          <w:szCs w:val="22"/>
        </w:rPr>
        <w:t xml:space="preserve">, but </w:t>
      </w:r>
      <w:r w:rsidR="00250E77">
        <w:rPr>
          <w:sz w:val="22"/>
          <w:szCs w:val="22"/>
        </w:rPr>
        <w:t>would not</w:t>
      </w:r>
      <w:r w:rsidR="000E0587">
        <w:rPr>
          <w:sz w:val="22"/>
          <w:szCs w:val="22"/>
        </w:rPr>
        <w:t xml:space="preserve"> receive the capacity case credit that Exelon proposes to apply later.</w:t>
      </w:r>
    </w:p>
    <w:p w:rsidR="0042521A" w:rsidRDefault="0064540F" w:rsidP="00C943B8">
      <w:pPr>
        <w:pStyle w:val="ColorfulList-Accent11"/>
        <w:spacing w:line="480" w:lineRule="auto"/>
        <w:ind w:left="0" w:firstLine="720"/>
        <w:rPr>
          <w:sz w:val="22"/>
          <w:szCs w:val="22"/>
        </w:rPr>
      </w:pPr>
      <w:r>
        <w:rPr>
          <w:sz w:val="22"/>
          <w:szCs w:val="22"/>
        </w:rPr>
        <w:t>Exelon</w:t>
      </w:r>
      <w:r w:rsidR="00341D04">
        <w:rPr>
          <w:sz w:val="22"/>
          <w:szCs w:val="22"/>
        </w:rPr>
        <w:t xml:space="preserve"> also</w:t>
      </w:r>
      <w:r>
        <w:rPr>
          <w:sz w:val="22"/>
          <w:szCs w:val="22"/>
        </w:rPr>
        <w:t xml:space="preserve"> raises concerns </w:t>
      </w:r>
      <w:r w:rsidR="00214990">
        <w:rPr>
          <w:sz w:val="22"/>
          <w:szCs w:val="22"/>
        </w:rPr>
        <w:t>about</w:t>
      </w:r>
      <w:r>
        <w:rPr>
          <w:sz w:val="22"/>
          <w:szCs w:val="22"/>
        </w:rPr>
        <w:t xml:space="preserve"> </w:t>
      </w:r>
      <w:r w:rsidR="00CA5CFD">
        <w:rPr>
          <w:sz w:val="22"/>
          <w:szCs w:val="22"/>
        </w:rPr>
        <w:t xml:space="preserve">the impact of adopting OEG/OCC’s </w:t>
      </w:r>
      <w:r w:rsidR="00FE3DEA">
        <w:rPr>
          <w:sz w:val="22"/>
          <w:szCs w:val="22"/>
        </w:rPr>
        <w:t>reserve price recommendation</w:t>
      </w:r>
      <w:r w:rsidR="007F5403">
        <w:rPr>
          <w:sz w:val="22"/>
          <w:szCs w:val="22"/>
        </w:rPr>
        <w:t xml:space="preserve">, stating that </w:t>
      </w:r>
      <w:r w:rsidR="00480EE3">
        <w:rPr>
          <w:sz w:val="22"/>
          <w:szCs w:val="22"/>
        </w:rPr>
        <w:t xml:space="preserve">establishing </w:t>
      </w:r>
      <w:r w:rsidR="007F5403">
        <w:rPr>
          <w:sz w:val="22"/>
          <w:szCs w:val="22"/>
        </w:rPr>
        <w:t xml:space="preserve">a cap will discourage </w:t>
      </w:r>
      <w:r w:rsidR="008C7B85">
        <w:rPr>
          <w:sz w:val="22"/>
          <w:szCs w:val="22"/>
        </w:rPr>
        <w:t xml:space="preserve">the </w:t>
      </w:r>
      <w:r w:rsidR="00FE3DEA">
        <w:rPr>
          <w:sz w:val="22"/>
          <w:szCs w:val="22"/>
        </w:rPr>
        <w:t xml:space="preserve">competitive </w:t>
      </w:r>
      <w:r w:rsidR="007F5403">
        <w:rPr>
          <w:sz w:val="22"/>
          <w:szCs w:val="22"/>
        </w:rPr>
        <w:t xml:space="preserve">market </w:t>
      </w:r>
      <w:r w:rsidR="002F0DB5">
        <w:rPr>
          <w:sz w:val="22"/>
          <w:szCs w:val="22"/>
        </w:rPr>
        <w:t xml:space="preserve">in AEP Ohio’s territory </w:t>
      </w:r>
      <w:r w:rsidR="007F5403">
        <w:rPr>
          <w:sz w:val="22"/>
          <w:szCs w:val="22"/>
        </w:rPr>
        <w:t xml:space="preserve">and impose long-run harm on </w:t>
      </w:r>
      <w:r w:rsidR="00AB1046">
        <w:rPr>
          <w:sz w:val="22"/>
          <w:szCs w:val="22"/>
        </w:rPr>
        <w:t xml:space="preserve">non-shopping </w:t>
      </w:r>
      <w:r w:rsidR="007F5403">
        <w:rPr>
          <w:sz w:val="22"/>
          <w:szCs w:val="22"/>
        </w:rPr>
        <w:t>customers</w:t>
      </w:r>
      <w:r w:rsidR="00CA5CFD">
        <w:rPr>
          <w:sz w:val="22"/>
          <w:szCs w:val="22"/>
        </w:rPr>
        <w:t>.</w:t>
      </w:r>
      <w:r w:rsidR="00790195" w:rsidRPr="00455362">
        <w:rPr>
          <w:rStyle w:val="FootnoteReference"/>
          <w:sz w:val="22"/>
          <w:szCs w:val="22"/>
          <w:vertAlign w:val="superscript"/>
        </w:rPr>
        <w:footnoteReference w:id="12"/>
      </w:r>
      <w:r w:rsidR="00CA5CFD" w:rsidRPr="00455362">
        <w:rPr>
          <w:sz w:val="22"/>
          <w:szCs w:val="22"/>
          <w:vertAlign w:val="superscript"/>
        </w:rPr>
        <w:t xml:space="preserve"> </w:t>
      </w:r>
      <w:r w:rsidR="00CA5CFD">
        <w:rPr>
          <w:sz w:val="22"/>
          <w:szCs w:val="22"/>
        </w:rPr>
        <w:t xml:space="preserve"> </w:t>
      </w:r>
      <w:r w:rsidR="009B46CB">
        <w:rPr>
          <w:sz w:val="22"/>
          <w:szCs w:val="22"/>
        </w:rPr>
        <w:t>But g</w:t>
      </w:r>
      <w:r w:rsidR="00CA261B">
        <w:rPr>
          <w:sz w:val="22"/>
          <w:szCs w:val="22"/>
        </w:rPr>
        <w:t>iven that CRES provide</w:t>
      </w:r>
      <w:r w:rsidR="00406922">
        <w:rPr>
          <w:sz w:val="22"/>
          <w:szCs w:val="22"/>
        </w:rPr>
        <w:t>r</w:t>
      </w:r>
      <w:r w:rsidR="00CA261B">
        <w:rPr>
          <w:sz w:val="22"/>
          <w:szCs w:val="22"/>
        </w:rPr>
        <w:t xml:space="preserve">s already </w:t>
      </w:r>
      <w:r w:rsidR="006346F7">
        <w:rPr>
          <w:sz w:val="22"/>
          <w:szCs w:val="22"/>
        </w:rPr>
        <w:t xml:space="preserve">make </w:t>
      </w:r>
      <w:r w:rsidR="00590F3B">
        <w:rPr>
          <w:sz w:val="22"/>
          <w:szCs w:val="22"/>
        </w:rPr>
        <w:t>nearly half the sales in AEP Ohio’s territory</w:t>
      </w:r>
      <w:r w:rsidR="00CA261B">
        <w:rPr>
          <w:sz w:val="22"/>
          <w:szCs w:val="22"/>
        </w:rPr>
        <w:t xml:space="preserve"> and will make all of the sales once AEP Ohio holds 100% energy and capacity auctions,</w:t>
      </w:r>
      <w:r w:rsidR="00DE0850" w:rsidRPr="00471F21">
        <w:rPr>
          <w:rStyle w:val="FootnoteReference"/>
          <w:sz w:val="22"/>
          <w:szCs w:val="22"/>
          <w:vertAlign w:val="superscript"/>
        </w:rPr>
        <w:footnoteReference w:id="13"/>
      </w:r>
      <w:r w:rsidR="00DE0850">
        <w:rPr>
          <w:sz w:val="22"/>
          <w:szCs w:val="22"/>
        </w:rPr>
        <w:t xml:space="preserve"> </w:t>
      </w:r>
      <w:r w:rsidR="009006ED">
        <w:rPr>
          <w:sz w:val="22"/>
          <w:szCs w:val="22"/>
        </w:rPr>
        <w:t xml:space="preserve">it appears that </w:t>
      </w:r>
      <w:r w:rsidR="00CA261B">
        <w:rPr>
          <w:sz w:val="22"/>
          <w:szCs w:val="22"/>
        </w:rPr>
        <w:t xml:space="preserve">the competitive market </w:t>
      </w:r>
      <w:r w:rsidR="00BF78AB">
        <w:rPr>
          <w:sz w:val="22"/>
          <w:szCs w:val="22"/>
        </w:rPr>
        <w:t xml:space="preserve">is </w:t>
      </w:r>
      <w:r w:rsidR="008B425E">
        <w:rPr>
          <w:sz w:val="22"/>
          <w:szCs w:val="22"/>
        </w:rPr>
        <w:t xml:space="preserve">already thriving </w:t>
      </w:r>
      <w:r w:rsidR="00430423">
        <w:rPr>
          <w:sz w:val="22"/>
          <w:szCs w:val="22"/>
        </w:rPr>
        <w:t xml:space="preserve">and is likely to continue </w:t>
      </w:r>
      <w:r w:rsidR="00897A6E">
        <w:rPr>
          <w:sz w:val="22"/>
          <w:szCs w:val="22"/>
        </w:rPr>
        <w:t>to thrive</w:t>
      </w:r>
      <w:r w:rsidR="00430423">
        <w:rPr>
          <w:sz w:val="22"/>
          <w:szCs w:val="22"/>
        </w:rPr>
        <w:t xml:space="preserve"> in AEP Ohio’s service territory.</w:t>
      </w:r>
      <w:r w:rsidR="00ED4375">
        <w:rPr>
          <w:sz w:val="22"/>
          <w:szCs w:val="22"/>
        </w:rPr>
        <w:t xml:space="preserve">  </w:t>
      </w:r>
      <w:r w:rsidR="00250855">
        <w:rPr>
          <w:sz w:val="22"/>
          <w:szCs w:val="22"/>
        </w:rPr>
        <w:t xml:space="preserve">Regarding any long-term effects of the Commission’s decision to protect non-shopping customers for the brief 16-month period prior to the 100% energy auctions, it is highly unlikely that such a decision </w:t>
      </w:r>
      <w:r w:rsidR="00451B74">
        <w:rPr>
          <w:sz w:val="22"/>
          <w:szCs w:val="22"/>
        </w:rPr>
        <w:t xml:space="preserve">would </w:t>
      </w:r>
      <w:r w:rsidR="001D249F">
        <w:rPr>
          <w:sz w:val="22"/>
          <w:szCs w:val="22"/>
        </w:rPr>
        <w:t>cause</w:t>
      </w:r>
      <w:r w:rsidR="00451B74">
        <w:rPr>
          <w:sz w:val="22"/>
          <w:szCs w:val="22"/>
        </w:rPr>
        <w:t xml:space="preserve"> suppliers</w:t>
      </w:r>
      <w:r w:rsidR="001D249F">
        <w:rPr>
          <w:sz w:val="22"/>
          <w:szCs w:val="22"/>
        </w:rPr>
        <w:t xml:space="preserve"> </w:t>
      </w:r>
      <w:r w:rsidR="00F42F3A">
        <w:rPr>
          <w:sz w:val="22"/>
          <w:szCs w:val="22"/>
        </w:rPr>
        <w:t xml:space="preserve">to </w:t>
      </w:r>
      <w:r w:rsidR="00406753">
        <w:rPr>
          <w:sz w:val="22"/>
          <w:szCs w:val="22"/>
        </w:rPr>
        <w:t>avoid</w:t>
      </w:r>
      <w:r w:rsidR="00451B74">
        <w:rPr>
          <w:sz w:val="22"/>
          <w:szCs w:val="22"/>
        </w:rPr>
        <w:t xml:space="preserve"> opportunities to bid on </w:t>
      </w:r>
      <w:r w:rsidR="00406922">
        <w:rPr>
          <w:sz w:val="22"/>
          <w:szCs w:val="22"/>
        </w:rPr>
        <w:t xml:space="preserve">SSO </w:t>
      </w:r>
      <w:r w:rsidR="00451B74">
        <w:rPr>
          <w:sz w:val="22"/>
          <w:szCs w:val="22"/>
        </w:rPr>
        <w:t>load i</w:t>
      </w:r>
      <w:r w:rsidR="007921E0">
        <w:rPr>
          <w:sz w:val="22"/>
          <w:szCs w:val="22"/>
        </w:rPr>
        <w:t>n AEP Ohio’s service territory</w:t>
      </w:r>
      <w:r w:rsidR="00406753">
        <w:rPr>
          <w:sz w:val="22"/>
          <w:szCs w:val="22"/>
        </w:rPr>
        <w:t xml:space="preserve"> in the future</w:t>
      </w:r>
      <w:r w:rsidR="00DD25A9">
        <w:rPr>
          <w:sz w:val="22"/>
          <w:szCs w:val="22"/>
        </w:rPr>
        <w:t>, especially</w:t>
      </w:r>
      <w:r w:rsidR="00130D9D">
        <w:rPr>
          <w:sz w:val="22"/>
          <w:szCs w:val="22"/>
        </w:rPr>
        <w:t xml:space="preserve"> once </w:t>
      </w:r>
      <w:r w:rsidR="00DD25A9">
        <w:rPr>
          <w:sz w:val="22"/>
          <w:szCs w:val="22"/>
        </w:rPr>
        <w:t xml:space="preserve">AEP Ohio’s entire </w:t>
      </w:r>
      <w:r w:rsidR="00406922">
        <w:rPr>
          <w:sz w:val="22"/>
          <w:szCs w:val="22"/>
        </w:rPr>
        <w:t xml:space="preserve">SSO </w:t>
      </w:r>
      <w:r w:rsidR="00130D9D">
        <w:rPr>
          <w:sz w:val="22"/>
          <w:szCs w:val="22"/>
        </w:rPr>
        <w:t xml:space="preserve">load is </w:t>
      </w:r>
      <w:r w:rsidR="00027D33">
        <w:rPr>
          <w:sz w:val="22"/>
          <w:szCs w:val="22"/>
        </w:rPr>
        <w:t>subject to auction</w:t>
      </w:r>
      <w:r w:rsidR="007921E0">
        <w:rPr>
          <w:sz w:val="22"/>
          <w:szCs w:val="22"/>
        </w:rPr>
        <w:t xml:space="preserve">.  </w:t>
      </w:r>
      <w:r w:rsidR="00DA7A8D">
        <w:rPr>
          <w:sz w:val="22"/>
          <w:szCs w:val="22"/>
        </w:rPr>
        <w:t>Accordingly,</w:t>
      </w:r>
      <w:r w:rsidR="00C218F0">
        <w:rPr>
          <w:sz w:val="22"/>
          <w:szCs w:val="22"/>
        </w:rPr>
        <w:t xml:space="preserve"> t</w:t>
      </w:r>
      <w:r w:rsidR="0042521A">
        <w:rPr>
          <w:sz w:val="22"/>
          <w:szCs w:val="22"/>
        </w:rPr>
        <w:t>he</w:t>
      </w:r>
      <w:r w:rsidR="00AA393C" w:rsidRPr="00AA393C">
        <w:rPr>
          <w:sz w:val="22"/>
          <w:szCs w:val="22"/>
        </w:rPr>
        <w:t xml:space="preserve"> </w:t>
      </w:r>
      <w:r w:rsidR="005469D7">
        <w:rPr>
          <w:sz w:val="22"/>
          <w:szCs w:val="22"/>
        </w:rPr>
        <w:t xml:space="preserve">Commission should not be dissuaded from protecting non-shopping customers </w:t>
      </w:r>
      <w:r w:rsidR="00123DCA">
        <w:rPr>
          <w:sz w:val="22"/>
          <w:szCs w:val="22"/>
        </w:rPr>
        <w:t xml:space="preserve">in this case </w:t>
      </w:r>
      <w:r w:rsidR="005469D7">
        <w:rPr>
          <w:sz w:val="22"/>
          <w:szCs w:val="22"/>
        </w:rPr>
        <w:t xml:space="preserve">based upon a </w:t>
      </w:r>
      <w:r w:rsidR="001764BB">
        <w:rPr>
          <w:sz w:val="22"/>
          <w:szCs w:val="22"/>
        </w:rPr>
        <w:t>perceived hypothetical</w:t>
      </w:r>
      <w:r w:rsidR="00AA393C">
        <w:rPr>
          <w:sz w:val="22"/>
          <w:szCs w:val="22"/>
        </w:rPr>
        <w:t xml:space="preserve"> threat that competition in AEP Ohio’s service territory will somehow be chilled </w:t>
      </w:r>
      <w:r w:rsidR="00102751">
        <w:rPr>
          <w:sz w:val="22"/>
          <w:szCs w:val="22"/>
        </w:rPr>
        <w:t>by doing so.</w:t>
      </w:r>
    </w:p>
    <w:p w:rsidR="0027431D" w:rsidRDefault="0027431D" w:rsidP="0027431D">
      <w:pPr>
        <w:pStyle w:val="ColorfulList-Accent11"/>
        <w:ind w:left="0" w:firstLine="720"/>
        <w:rPr>
          <w:sz w:val="22"/>
          <w:szCs w:val="22"/>
        </w:rPr>
      </w:pPr>
    </w:p>
    <w:p w:rsidR="004211DB" w:rsidRPr="004211DB" w:rsidRDefault="00E15540" w:rsidP="0027431D">
      <w:pPr>
        <w:pStyle w:val="Heading1"/>
      </w:pPr>
      <w:r>
        <w:t xml:space="preserve">If the Commission Adopts FirstEnergy’s </w:t>
      </w:r>
      <w:r w:rsidR="00FB4894">
        <w:t>Blending Recommendation</w:t>
      </w:r>
      <w:r>
        <w:t xml:space="preserve">, It </w:t>
      </w:r>
      <w:r w:rsidR="00C85C0B">
        <w:t>Should Clarify That The Energy A</w:t>
      </w:r>
      <w:r>
        <w:t>nd</w:t>
      </w:r>
      <w:r w:rsidR="00C85C0B">
        <w:t xml:space="preserve"> Demand Costs Resulting F</w:t>
      </w:r>
      <w:r w:rsidR="00FE59ED">
        <w:t>rom AEP Ohio’s</w:t>
      </w:r>
      <w:r>
        <w:t xml:space="preserve"> SSO</w:t>
      </w:r>
      <w:r w:rsidR="00C85C0B">
        <w:t xml:space="preserve"> Auctions Will Be Allocated In T</w:t>
      </w:r>
      <w:r>
        <w:t xml:space="preserve">he Same Manner That FirstEnergy </w:t>
      </w:r>
      <w:r w:rsidR="00C85C0B">
        <w:t>Uses To Allocate</w:t>
      </w:r>
      <w:r>
        <w:t xml:space="preserve"> Those Costs. </w:t>
      </w:r>
    </w:p>
    <w:p w:rsidR="004211DB" w:rsidRDefault="004211DB" w:rsidP="00C943B8">
      <w:pPr>
        <w:spacing w:before="120" w:after="120" w:line="480" w:lineRule="auto"/>
        <w:ind w:firstLine="720"/>
        <w:rPr>
          <w:sz w:val="22"/>
          <w:szCs w:val="22"/>
        </w:rPr>
      </w:pPr>
      <w:r>
        <w:rPr>
          <w:sz w:val="22"/>
          <w:szCs w:val="22"/>
        </w:rPr>
        <w:t>FirstEnergy recommends that AEP Ohio blend its current cost-based capacity rates ($314/MW-day) with a $188.88/MW-day capacity rate in the same percentages as the Company blends its energy rates (10%, 60%, etc.)</w:t>
      </w:r>
      <w:r w:rsidR="00110370">
        <w:rPr>
          <w:sz w:val="22"/>
          <w:szCs w:val="22"/>
        </w:rPr>
        <w:t>.  That approach</w:t>
      </w:r>
      <w:r>
        <w:rPr>
          <w:sz w:val="22"/>
          <w:szCs w:val="22"/>
        </w:rPr>
        <w:t xml:space="preserve"> is similar in principle to MRO blending.</w:t>
      </w:r>
      <w:r w:rsidRPr="004F0597">
        <w:rPr>
          <w:rStyle w:val="FootnoteReference"/>
          <w:sz w:val="22"/>
          <w:szCs w:val="22"/>
          <w:vertAlign w:val="superscript"/>
        </w:rPr>
        <w:footnoteReference w:id="14"/>
      </w:r>
      <w:r>
        <w:rPr>
          <w:sz w:val="22"/>
          <w:szCs w:val="22"/>
        </w:rPr>
        <w:t xml:space="preserve">  The key difference between the two capacity rates is that the $314/MW-day rate represents AEP Ohio’s </w:t>
      </w:r>
      <w:r>
        <w:rPr>
          <w:i/>
          <w:sz w:val="22"/>
          <w:szCs w:val="22"/>
        </w:rPr>
        <w:t>gross</w:t>
      </w:r>
      <w:r>
        <w:rPr>
          <w:sz w:val="22"/>
          <w:szCs w:val="22"/>
        </w:rPr>
        <w:t xml:space="preserve"> capacity costs whereas the $188.88/MW-day rate represents its </w:t>
      </w:r>
      <w:r>
        <w:rPr>
          <w:i/>
          <w:sz w:val="22"/>
          <w:szCs w:val="22"/>
        </w:rPr>
        <w:t>net</w:t>
      </w:r>
      <w:r>
        <w:rPr>
          <w:sz w:val="22"/>
          <w:szCs w:val="22"/>
        </w:rPr>
        <w:t xml:space="preserve"> capacity costs (reduced for energy margins).  While it is up to the Commission to determine whether FirstEnergy’s blending recommendation is outside of the scope of and/or barred by the ESP Order, the proposal is sound and could save customers approximately $180 million.</w:t>
      </w:r>
      <w:r w:rsidRPr="00E501F3">
        <w:rPr>
          <w:rStyle w:val="FootnoteReference"/>
          <w:sz w:val="22"/>
          <w:szCs w:val="22"/>
          <w:vertAlign w:val="superscript"/>
        </w:rPr>
        <w:footnoteReference w:id="15"/>
      </w:r>
    </w:p>
    <w:p w:rsidR="004211DB" w:rsidRDefault="003863B2" w:rsidP="00C943B8">
      <w:pPr>
        <w:spacing w:before="120" w:after="120" w:line="480" w:lineRule="auto"/>
        <w:ind w:firstLine="720"/>
        <w:rPr>
          <w:sz w:val="22"/>
          <w:szCs w:val="22"/>
        </w:rPr>
      </w:pPr>
      <w:r>
        <w:rPr>
          <w:sz w:val="22"/>
          <w:szCs w:val="22"/>
        </w:rPr>
        <w:t>Further, t</w:t>
      </w:r>
      <w:r w:rsidR="004211DB">
        <w:rPr>
          <w:sz w:val="22"/>
          <w:szCs w:val="22"/>
        </w:rPr>
        <w:t xml:space="preserve">he Commission can adopt FirstEnergy’s blending recommendation in addition to OEG/OCC’s reserve price recommendation.  The two recommendations are not mutually exclusive.  </w:t>
      </w:r>
      <w:r w:rsidR="00E57675">
        <w:rPr>
          <w:sz w:val="22"/>
          <w:szCs w:val="22"/>
        </w:rPr>
        <w:t>W</w:t>
      </w:r>
      <w:r w:rsidR="004211DB">
        <w:rPr>
          <w:sz w:val="22"/>
          <w:szCs w:val="22"/>
        </w:rPr>
        <w:t>hile FirstEnergy may claim otherwise,</w:t>
      </w:r>
      <w:r w:rsidR="004211DB" w:rsidRPr="001F2476">
        <w:rPr>
          <w:rStyle w:val="FootnoteReference"/>
          <w:sz w:val="22"/>
          <w:szCs w:val="22"/>
          <w:vertAlign w:val="superscript"/>
        </w:rPr>
        <w:footnoteReference w:id="16"/>
      </w:r>
      <w:r w:rsidR="004211DB" w:rsidRPr="001F2476">
        <w:rPr>
          <w:sz w:val="22"/>
          <w:szCs w:val="22"/>
          <w:vertAlign w:val="superscript"/>
        </w:rPr>
        <w:t xml:space="preserve"> </w:t>
      </w:r>
      <w:r w:rsidR="004211DB">
        <w:rPr>
          <w:sz w:val="22"/>
          <w:szCs w:val="22"/>
        </w:rPr>
        <w:t>OEG/OCC’s reserve price recommendation is not contrary to the Commission’s ESP Order</w:t>
      </w:r>
      <w:r w:rsidR="0075207F">
        <w:rPr>
          <w:sz w:val="22"/>
          <w:szCs w:val="22"/>
        </w:rPr>
        <w:t>.  I</w:t>
      </w:r>
      <w:r w:rsidR="004211DB">
        <w:rPr>
          <w:sz w:val="22"/>
          <w:szCs w:val="22"/>
        </w:rPr>
        <w:t>nstead</w:t>
      </w:r>
      <w:r w:rsidR="0075207F">
        <w:rPr>
          <w:sz w:val="22"/>
          <w:szCs w:val="22"/>
        </w:rPr>
        <w:t>, the Commission</w:t>
      </w:r>
      <w:r w:rsidR="004211DB">
        <w:rPr>
          <w:sz w:val="22"/>
          <w:szCs w:val="22"/>
        </w:rPr>
        <w:t xml:space="preserve"> seeks to achieve </w:t>
      </w:r>
      <w:r w:rsidR="00D03B9F">
        <w:rPr>
          <w:sz w:val="22"/>
          <w:szCs w:val="22"/>
        </w:rPr>
        <w:t>the</w:t>
      </w:r>
      <w:r w:rsidR="00B01B3E">
        <w:rPr>
          <w:sz w:val="22"/>
          <w:szCs w:val="22"/>
        </w:rPr>
        <w:t xml:space="preserve"> goal</w:t>
      </w:r>
      <w:r w:rsidR="004211DB">
        <w:rPr>
          <w:sz w:val="22"/>
          <w:szCs w:val="22"/>
        </w:rPr>
        <w:t xml:space="preserve"> that FirstEnergy itself concedes is clear</w:t>
      </w:r>
      <w:r w:rsidR="00702798">
        <w:rPr>
          <w:sz w:val="22"/>
          <w:szCs w:val="22"/>
        </w:rPr>
        <w:t>ly expressed in</w:t>
      </w:r>
      <w:r w:rsidR="004211DB">
        <w:rPr>
          <w:sz w:val="22"/>
          <w:szCs w:val="22"/>
        </w:rPr>
        <w:t xml:space="preserve"> that Order - transitioning AEP Ohio to market-based prices that “actually benefit customers.”</w:t>
      </w:r>
      <w:r w:rsidR="004211DB" w:rsidRPr="008E61F6">
        <w:rPr>
          <w:rStyle w:val="FootnoteReference"/>
          <w:sz w:val="22"/>
          <w:szCs w:val="22"/>
          <w:vertAlign w:val="superscript"/>
        </w:rPr>
        <w:footnoteReference w:id="17"/>
      </w:r>
      <w:r w:rsidR="004211DB" w:rsidRPr="008E61F6">
        <w:rPr>
          <w:sz w:val="22"/>
          <w:szCs w:val="22"/>
          <w:vertAlign w:val="superscript"/>
        </w:rPr>
        <w:t xml:space="preserve"> </w:t>
      </w:r>
      <w:r w:rsidR="004211DB">
        <w:rPr>
          <w:sz w:val="22"/>
          <w:szCs w:val="22"/>
        </w:rPr>
        <w:t xml:space="preserve"> </w:t>
      </w:r>
      <w:r w:rsidR="00406922">
        <w:rPr>
          <w:sz w:val="22"/>
          <w:szCs w:val="22"/>
        </w:rPr>
        <w:t xml:space="preserve"> </w:t>
      </w:r>
      <w:r w:rsidR="00581050">
        <w:rPr>
          <w:sz w:val="22"/>
          <w:szCs w:val="22"/>
        </w:rPr>
        <w:t xml:space="preserve">Adopting OEG/OCC’s reserve price recommendation </w:t>
      </w:r>
      <w:r w:rsidR="004211DB">
        <w:rPr>
          <w:sz w:val="22"/>
          <w:szCs w:val="22"/>
        </w:rPr>
        <w:t>does not prevent the auctions from happening nor does it bar suppliers from bidding in those auctions.  It merely ensures that n</w:t>
      </w:r>
      <w:r w:rsidR="006B67E2">
        <w:rPr>
          <w:sz w:val="22"/>
          <w:szCs w:val="22"/>
        </w:rPr>
        <w:t xml:space="preserve">on-shopping customers benefit from any market-based </w:t>
      </w:r>
      <w:r w:rsidR="00406922">
        <w:rPr>
          <w:sz w:val="22"/>
          <w:szCs w:val="22"/>
        </w:rPr>
        <w:t xml:space="preserve">energy </w:t>
      </w:r>
      <w:r w:rsidR="006B67E2">
        <w:rPr>
          <w:sz w:val="22"/>
          <w:szCs w:val="22"/>
        </w:rPr>
        <w:t xml:space="preserve">prices </w:t>
      </w:r>
      <w:r w:rsidR="004211DB">
        <w:rPr>
          <w:sz w:val="22"/>
          <w:szCs w:val="22"/>
        </w:rPr>
        <w:t>result</w:t>
      </w:r>
      <w:r w:rsidR="006B67E2">
        <w:rPr>
          <w:sz w:val="22"/>
          <w:szCs w:val="22"/>
        </w:rPr>
        <w:t>ing from</w:t>
      </w:r>
      <w:r w:rsidR="004211DB">
        <w:rPr>
          <w:sz w:val="22"/>
          <w:szCs w:val="22"/>
        </w:rPr>
        <w:t xml:space="preserve"> the auctions.  If AEP Ohio’s competitors can beat the FAC rate that customers would otherwise pay, they can still win part of </w:t>
      </w:r>
      <w:r w:rsidR="00A52753">
        <w:rPr>
          <w:sz w:val="22"/>
          <w:szCs w:val="22"/>
        </w:rPr>
        <w:t>the Company’s</w:t>
      </w:r>
      <w:r w:rsidR="00246BE6">
        <w:rPr>
          <w:sz w:val="22"/>
          <w:szCs w:val="22"/>
        </w:rPr>
        <w:t xml:space="preserve"> SSO load.  But e</w:t>
      </w:r>
      <w:r w:rsidR="00B9177C">
        <w:rPr>
          <w:sz w:val="22"/>
          <w:szCs w:val="22"/>
        </w:rPr>
        <w:t xml:space="preserve">ven if </w:t>
      </w:r>
      <w:r w:rsidR="004211DB">
        <w:rPr>
          <w:sz w:val="22"/>
          <w:szCs w:val="22"/>
        </w:rPr>
        <w:t xml:space="preserve">suppliers </w:t>
      </w:r>
      <w:r w:rsidR="00B9177C">
        <w:rPr>
          <w:sz w:val="22"/>
          <w:szCs w:val="22"/>
        </w:rPr>
        <w:t xml:space="preserve">cannot beat AEP Ohio’s FAC rates or choose not to </w:t>
      </w:r>
      <w:r w:rsidR="004211DB">
        <w:rPr>
          <w:sz w:val="22"/>
          <w:szCs w:val="22"/>
        </w:rPr>
        <w:t>bid in the</w:t>
      </w:r>
      <w:r w:rsidR="00B9177C">
        <w:rPr>
          <w:sz w:val="22"/>
          <w:szCs w:val="22"/>
        </w:rPr>
        <w:t xml:space="preserve"> 10% and 60% “energy-only”</w:t>
      </w:r>
      <w:r w:rsidR="004211DB">
        <w:rPr>
          <w:sz w:val="22"/>
          <w:szCs w:val="22"/>
        </w:rPr>
        <w:t xml:space="preserve"> auctions</w:t>
      </w:r>
      <w:r w:rsidR="00B94E5B">
        <w:rPr>
          <w:sz w:val="22"/>
          <w:szCs w:val="22"/>
        </w:rPr>
        <w:t xml:space="preserve">, </w:t>
      </w:r>
      <w:r w:rsidR="000A3D8F">
        <w:rPr>
          <w:sz w:val="22"/>
          <w:szCs w:val="22"/>
        </w:rPr>
        <w:t>it</w:t>
      </w:r>
      <w:r w:rsidR="004211DB">
        <w:rPr>
          <w:sz w:val="22"/>
          <w:szCs w:val="22"/>
        </w:rPr>
        <w:t xml:space="preserve"> does </w:t>
      </w:r>
      <w:r w:rsidR="00B9177C">
        <w:rPr>
          <w:sz w:val="22"/>
          <w:szCs w:val="22"/>
        </w:rPr>
        <w:t>not mean that those</w:t>
      </w:r>
      <w:r w:rsidR="00F00CFA">
        <w:rPr>
          <w:sz w:val="22"/>
          <w:szCs w:val="22"/>
        </w:rPr>
        <w:t xml:space="preserve"> auctions are</w:t>
      </w:r>
      <w:r w:rsidR="004211DB">
        <w:rPr>
          <w:sz w:val="22"/>
          <w:szCs w:val="22"/>
        </w:rPr>
        <w:t xml:space="preserve"> “failure</w:t>
      </w:r>
      <w:r w:rsidR="00F00CFA">
        <w:rPr>
          <w:sz w:val="22"/>
          <w:szCs w:val="22"/>
        </w:rPr>
        <w:t>s</w:t>
      </w:r>
      <w:r w:rsidR="004211DB">
        <w:rPr>
          <w:sz w:val="22"/>
          <w:szCs w:val="22"/>
        </w:rPr>
        <w:t xml:space="preserve">.”  </w:t>
      </w:r>
      <w:r w:rsidR="00210895">
        <w:rPr>
          <w:sz w:val="22"/>
          <w:szCs w:val="22"/>
        </w:rPr>
        <w:t>I</w:t>
      </w:r>
      <w:r w:rsidR="004211DB" w:rsidRPr="003D1636">
        <w:rPr>
          <w:sz w:val="22"/>
          <w:szCs w:val="22"/>
        </w:rPr>
        <w:t>t simply means that competitors cannot beat the energy rate to which consumers are</w:t>
      </w:r>
      <w:r w:rsidR="004211DB">
        <w:rPr>
          <w:sz w:val="22"/>
          <w:szCs w:val="22"/>
        </w:rPr>
        <w:t xml:space="preserve"> entitled to under the “regulatory compact</w:t>
      </w:r>
      <w:r w:rsidR="004211DB" w:rsidRPr="003D1636">
        <w:rPr>
          <w:sz w:val="22"/>
          <w:szCs w:val="22"/>
        </w:rPr>
        <w:t>.</w:t>
      </w:r>
      <w:r w:rsidR="004211DB">
        <w:rPr>
          <w:sz w:val="22"/>
          <w:szCs w:val="22"/>
        </w:rPr>
        <w:t>”</w:t>
      </w:r>
    </w:p>
    <w:p w:rsidR="004211DB" w:rsidRDefault="004211DB" w:rsidP="00C943B8">
      <w:pPr>
        <w:spacing w:before="120" w:after="120" w:line="480" w:lineRule="auto"/>
        <w:ind w:firstLine="720"/>
        <w:rPr>
          <w:sz w:val="22"/>
          <w:szCs w:val="22"/>
        </w:rPr>
      </w:pPr>
      <w:r>
        <w:rPr>
          <w:sz w:val="22"/>
          <w:szCs w:val="22"/>
        </w:rPr>
        <w:t xml:space="preserve">If the Commission ultimately adopts FirstEnergy’s blending recommendation, it should also find that the </w:t>
      </w:r>
      <w:r w:rsidR="00B14580">
        <w:rPr>
          <w:sz w:val="22"/>
          <w:szCs w:val="22"/>
        </w:rPr>
        <w:t xml:space="preserve">$188.88/MW-day </w:t>
      </w:r>
      <w:r w:rsidR="007C4A4F">
        <w:rPr>
          <w:sz w:val="22"/>
          <w:szCs w:val="22"/>
        </w:rPr>
        <w:t>capacity</w:t>
      </w:r>
      <w:r>
        <w:rPr>
          <w:sz w:val="22"/>
          <w:szCs w:val="22"/>
        </w:rPr>
        <w:t xml:space="preserve"> </w:t>
      </w:r>
      <w:r w:rsidR="000556D9">
        <w:rPr>
          <w:sz w:val="22"/>
          <w:szCs w:val="22"/>
        </w:rPr>
        <w:t xml:space="preserve">cost </w:t>
      </w:r>
      <w:r>
        <w:rPr>
          <w:sz w:val="22"/>
          <w:szCs w:val="22"/>
        </w:rPr>
        <w:t xml:space="preserve">and </w:t>
      </w:r>
      <w:r w:rsidR="009C5457">
        <w:rPr>
          <w:sz w:val="22"/>
          <w:szCs w:val="22"/>
        </w:rPr>
        <w:t xml:space="preserve">the </w:t>
      </w:r>
      <w:r>
        <w:rPr>
          <w:sz w:val="22"/>
          <w:szCs w:val="22"/>
        </w:rPr>
        <w:t xml:space="preserve">energy costs resulting from AEP Ohio’s auctions will be allocated in the same manner that FirstEnergy uses to allocate </w:t>
      </w:r>
      <w:r w:rsidR="00B14580">
        <w:rPr>
          <w:sz w:val="22"/>
          <w:szCs w:val="22"/>
        </w:rPr>
        <w:t>such</w:t>
      </w:r>
      <w:r>
        <w:rPr>
          <w:sz w:val="22"/>
          <w:szCs w:val="22"/>
        </w:rPr>
        <w:t xml:space="preserve"> costs</w:t>
      </w:r>
      <w:r w:rsidR="00406922">
        <w:rPr>
          <w:sz w:val="22"/>
          <w:szCs w:val="22"/>
        </w:rPr>
        <w:t xml:space="preserve"> from its SSO auctions</w:t>
      </w:r>
      <w:r>
        <w:rPr>
          <w:sz w:val="22"/>
          <w:szCs w:val="22"/>
        </w:rPr>
        <w:t xml:space="preserve">.  Specifically, FirstEnergy allocates the </w:t>
      </w:r>
      <w:r w:rsidR="007C4A4F">
        <w:rPr>
          <w:sz w:val="22"/>
          <w:szCs w:val="22"/>
        </w:rPr>
        <w:t>capacity</w:t>
      </w:r>
      <w:r>
        <w:rPr>
          <w:sz w:val="22"/>
          <w:szCs w:val="22"/>
        </w:rPr>
        <w:t xml:space="preserve"> costs resulting from its </w:t>
      </w:r>
      <w:r w:rsidR="00406922">
        <w:rPr>
          <w:sz w:val="22"/>
          <w:szCs w:val="22"/>
        </w:rPr>
        <w:t xml:space="preserve">SSO </w:t>
      </w:r>
      <w:r>
        <w:rPr>
          <w:sz w:val="22"/>
          <w:szCs w:val="22"/>
        </w:rPr>
        <w:t>auctions on the 5 CP basis use</w:t>
      </w:r>
      <w:r w:rsidR="00841AD1">
        <w:rPr>
          <w:sz w:val="22"/>
          <w:szCs w:val="22"/>
        </w:rPr>
        <w:t xml:space="preserve">d by PJM (Duke allocates demand costs resulting from its </w:t>
      </w:r>
      <w:r w:rsidR="00406922">
        <w:rPr>
          <w:sz w:val="22"/>
          <w:szCs w:val="22"/>
        </w:rPr>
        <w:t xml:space="preserve">SSO </w:t>
      </w:r>
      <w:r w:rsidR="00841AD1">
        <w:rPr>
          <w:sz w:val="22"/>
          <w:szCs w:val="22"/>
        </w:rPr>
        <w:t>auctions on a 1 CP basis, which is a proxy for 5 CP</w:t>
      </w:r>
      <w:r w:rsidR="00BF677C">
        <w:rPr>
          <w:sz w:val="22"/>
          <w:szCs w:val="22"/>
        </w:rPr>
        <w:t>, since Duke</w:t>
      </w:r>
      <w:r w:rsidR="00841AD1">
        <w:rPr>
          <w:sz w:val="22"/>
          <w:szCs w:val="22"/>
        </w:rPr>
        <w:t xml:space="preserve"> had not yet joined PJM</w:t>
      </w:r>
      <w:r w:rsidR="00900FD0">
        <w:rPr>
          <w:sz w:val="22"/>
          <w:szCs w:val="22"/>
        </w:rPr>
        <w:t xml:space="preserve"> when it signed its ESP Stipulation</w:t>
      </w:r>
      <w:r w:rsidR="00841AD1">
        <w:rPr>
          <w:sz w:val="22"/>
          <w:szCs w:val="22"/>
        </w:rPr>
        <w:t>).</w:t>
      </w:r>
      <w:r w:rsidR="00841AD1" w:rsidRPr="00841AD1">
        <w:rPr>
          <w:rStyle w:val="FootnoteReference"/>
          <w:sz w:val="22"/>
          <w:szCs w:val="22"/>
          <w:vertAlign w:val="superscript"/>
        </w:rPr>
        <w:footnoteReference w:id="18"/>
      </w:r>
      <w:r w:rsidR="00841AD1">
        <w:rPr>
          <w:sz w:val="22"/>
          <w:szCs w:val="22"/>
        </w:rPr>
        <w:t xml:space="preserve">  </w:t>
      </w:r>
      <w:r>
        <w:rPr>
          <w:sz w:val="22"/>
          <w:szCs w:val="22"/>
        </w:rPr>
        <w:t>FirstEnergy allocates the energy costs resulting from its SSO auctions with adjustments for line losses in order to account for the fact that higher voltage customers have fewer line losses than lower voltage customers.</w:t>
      </w:r>
      <w:r w:rsidRPr="001B3A15">
        <w:rPr>
          <w:rStyle w:val="FootnoteReference"/>
          <w:sz w:val="22"/>
          <w:szCs w:val="22"/>
          <w:vertAlign w:val="superscript"/>
        </w:rPr>
        <w:footnoteReference w:id="19"/>
      </w:r>
      <w:r w:rsidRPr="001B3A15">
        <w:rPr>
          <w:sz w:val="22"/>
          <w:szCs w:val="22"/>
          <w:vertAlign w:val="superscript"/>
        </w:rPr>
        <w:t xml:space="preserve"> </w:t>
      </w:r>
      <w:r>
        <w:rPr>
          <w:sz w:val="22"/>
          <w:szCs w:val="22"/>
        </w:rPr>
        <w:t xml:space="preserve"> These </w:t>
      </w:r>
      <w:r w:rsidR="007C4A4F">
        <w:rPr>
          <w:sz w:val="22"/>
          <w:szCs w:val="22"/>
        </w:rPr>
        <w:t>capacity</w:t>
      </w:r>
      <w:r>
        <w:rPr>
          <w:sz w:val="22"/>
          <w:szCs w:val="22"/>
        </w:rPr>
        <w:t xml:space="preserve"> and energy allocations are grounded in fundamental ratemaking principles and therefore, should be adopted for AEP Ohio as well.</w:t>
      </w:r>
    </w:p>
    <w:p w:rsidR="004211DB" w:rsidRDefault="004211DB" w:rsidP="0027431D">
      <w:pPr>
        <w:pStyle w:val="Heading1"/>
      </w:pPr>
      <w:r>
        <w:t xml:space="preserve">Exelon Failed </w:t>
      </w:r>
      <w:r w:rsidR="0027431D">
        <w:t xml:space="preserve">To </w:t>
      </w:r>
      <w:r>
        <w:t xml:space="preserve">Provide Sufficient Reason Not </w:t>
      </w:r>
      <w:r w:rsidR="0027431D">
        <w:t xml:space="preserve">To </w:t>
      </w:r>
      <w:r>
        <w:t xml:space="preserve">Hold Separate </w:t>
      </w:r>
      <w:r w:rsidR="0027431D">
        <w:t>“</w:t>
      </w:r>
      <w:r>
        <w:t>Energy</w:t>
      </w:r>
      <w:r w:rsidR="0027431D">
        <w:t>-</w:t>
      </w:r>
      <w:r>
        <w:t>Only</w:t>
      </w:r>
      <w:r w:rsidR="0027431D">
        <w:t xml:space="preserve">” </w:t>
      </w:r>
      <w:r>
        <w:t xml:space="preserve">Auctions For The Ohio Power </w:t>
      </w:r>
      <w:r w:rsidR="0027431D">
        <w:t xml:space="preserve">And </w:t>
      </w:r>
      <w:r>
        <w:t>Columbus Southern Power Rate Zones</w:t>
      </w:r>
      <w:r w:rsidR="0027431D">
        <w:t>.</w:t>
      </w:r>
    </w:p>
    <w:p w:rsidR="00A27F17" w:rsidRDefault="00EE16DF" w:rsidP="00C943B8">
      <w:pPr>
        <w:pStyle w:val="ColorfulList-Accent11"/>
        <w:spacing w:before="120" w:after="360" w:line="480" w:lineRule="auto"/>
        <w:ind w:left="0" w:firstLine="720"/>
        <w:rPr>
          <w:sz w:val="22"/>
          <w:szCs w:val="22"/>
        </w:rPr>
      </w:pPr>
      <w:r>
        <w:rPr>
          <w:sz w:val="22"/>
          <w:szCs w:val="22"/>
        </w:rPr>
        <w:t xml:space="preserve">Exelon argues that </w:t>
      </w:r>
      <w:r w:rsidR="00BC1BCB">
        <w:rPr>
          <w:sz w:val="22"/>
          <w:szCs w:val="22"/>
        </w:rPr>
        <w:t>OEG/OCC’s recommendation to hold</w:t>
      </w:r>
      <w:r w:rsidR="00E955FA">
        <w:rPr>
          <w:sz w:val="22"/>
          <w:szCs w:val="22"/>
        </w:rPr>
        <w:t xml:space="preserve"> separate “energy-only” auctions for the former Ohio Power and Columbus Southern Power rates zones</w:t>
      </w:r>
      <w:r w:rsidR="00BC1BCB">
        <w:rPr>
          <w:sz w:val="22"/>
          <w:szCs w:val="22"/>
        </w:rPr>
        <w:t xml:space="preserve"> should be rejected.</w:t>
      </w:r>
      <w:r w:rsidR="00BC1BCB" w:rsidRPr="00BC1BCB">
        <w:rPr>
          <w:rStyle w:val="FootnoteReference"/>
          <w:sz w:val="22"/>
          <w:szCs w:val="22"/>
          <w:vertAlign w:val="superscript"/>
        </w:rPr>
        <w:footnoteReference w:id="20"/>
      </w:r>
      <w:r w:rsidR="00EC3595">
        <w:rPr>
          <w:sz w:val="22"/>
          <w:szCs w:val="22"/>
        </w:rPr>
        <w:t xml:space="preserve">  Exelon claims that “there is no evidence of any </w:t>
      </w:r>
      <w:r w:rsidR="00EC3595">
        <w:rPr>
          <w:i/>
          <w:sz w:val="22"/>
          <w:szCs w:val="22"/>
        </w:rPr>
        <w:t>appreciable</w:t>
      </w:r>
      <w:r w:rsidR="00EC3595">
        <w:rPr>
          <w:sz w:val="22"/>
          <w:szCs w:val="22"/>
        </w:rPr>
        <w:t xml:space="preserve"> difference between what a bidder would bid into each zone” and that increasing the number of auctions will </w:t>
      </w:r>
      <w:r w:rsidR="00C64739">
        <w:rPr>
          <w:sz w:val="22"/>
          <w:szCs w:val="22"/>
        </w:rPr>
        <w:t xml:space="preserve">also </w:t>
      </w:r>
      <w:r w:rsidR="00EC3595">
        <w:rPr>
          <w:sz w:val="22"/>
          <w:szCs w:val="22"/>
        </w:rPr>
        <w:t xml:space="preserve">increase </w:t>
      </w:r>
      <w:r w:rsidR="003A282D">
        <w:rPr>
          <w:sz w:val="22"/>
          <w:szCs w:val="22"/>
        </w:rPr>
        <w:t xml:space="preserve">the </w:t>
      </w:r>
      <w:r w:rsidR="00EC3595">
        <w:rPr>
          <w:sz w:val="22"/>
          <w:szCs w:val="22"/>
        </w:rPr>
        <w:t>administrative costs</w:t>
      </w:r>
      <w:r w:rsidR="002E3D15">
        <w:rPr>
          <w:sz w:val="22"/>
          <w:szCs w:val="22"/>
        </w:rPr>
        <w:t xml:space="preserve"> of participation to bidders</w:t>
      </w:r>
      <w:r w:rsidR="00EC3595">
        <w:rPr>
          <w:sz w:val="22"/>
          <w:szCs w:val="22"/>
        </w:rPr>
        <w:t>.</w:t>
      </w:r>
      <w:r w:rsidR="005527F6" w:rsidRPr="005527F6">
        <w:rPr>
          <w:rStyle w:val="FootnoteReference"/>
          <w:sz w:val="22"/>
          <w:szCs w:val="22"/>
          <w:vertAlign w:val="superscript"/>
        </w:rPr>
        <w:footnoteReference w:id="21"/>
      </w:r>
      <w:r w:rsidR="00B0720D">
        <w:rPr>
          <w:sz w:val="22"/>
          <w:szCs w:val="22"/>
        </w:rPr>
        <w:t xml:space="preserve">  </w:t>
      </w:r>
    </w:p>
    <w:p w:rsidR="00DA4201" w:rsidRDefault="003A282D" w:rsidP="00C943B8">
      <w:pPr>
        <w:pStyle w:val="ColorfulList-Accent11"/>
        <w:spacing w:line="480" w:lineRule="auto"/>
        <w:ind w:left="0" w:firstLine="720"/>
        <w:rPr>
          <w:sz w:val="22"/>
          <w:szCs w:val="22"/>
        </w:rPr>
      </w:pPr>
      <w:r>
        <w:rPr>
          <w:sz w:val="22"/>
          <w:szCs w:val="22"/>
        </w:rPr>
        <w:t>With regard to</w:t>
      </w:r>
      <w:r w:rsidR="00BE59D1">
        <w:rPr>
          <w:sz w:val="22"/>
          <w:szCs w:val="22"/>
        </w:rPr>
        <w:t xml:space="preserve"> the Exelon’s first claim,</w:t>
      </w:r>
      <w:r w:rsidR="00EF01E9">
        <w:rPr>
          <w:sz w:val="22"/>
          <w:szCs w:val="22"/>
        </w:rPr>
        <w:t xml:space="preserve"> i</w:t>
      </w:r>
      <w:r w:rsidR="00B0720D">
        <w:rPr>
          <w:sz w:val="22"/>
          <w:szCs w:val="22"/>
        </w:rPr>
        <w:t>f OEG/OCC’s reserve price recommendation is adopted by</w:t>
      </w:r>
      <w:r w:rsidR="003E5C51">
        <w:rPr>
          <w:sz w:val="22"/>
          <w:szCs w:val="22"/>
        </w:rPr>
        <w:t xml:space="preserve"> the Commission, there will </w:t>
      </w:r>
      <w:r w:rsidR="0052445C">
        <w:rPr>
          <w:sz w:val="22"/>
          <w:szCs w:val="22"/>
        </w:rPr>
        <w:t>undoubtedly</w:t>
      </w:r>
      <w:r w:rsidR="00941357">
        <w:rPr>
          <w:sz w:val="22"/>
          <w:szCs w:val="22"/>
        </w:rPr>
        <w:t xml:space="preserve"> be</w:t>
      </w:r>
      <w:r w:rsidR="003E5C51">
        <w:rPr>
          <w:sz w:val="22"/>
          <w:szCs w:val="22"/>
        </w:rPr>
        <w:t xml:space="preserve"> an </w:t>
      </w:r>
      <w:r w:rsidR="003E5C51">
        <w:rPr>
          <w:i/>
          <w:sz w:val="22"/>
          <w:szCs w:val="22"/>
        </w:rPr>
        <w:t>appreciable</w:t>
      </w:r>
      <w:r w:rsidR="00B0720D">
        <w:rPr>
          <w:sz w:val="22"/>
          <w:szCs w:val="22"/>
        </w:rPr>
        <w:t xml:space="preserve"> difference </w:t>
      </w:r>
      <w:r w:rsidR="007026E1">
        <w:rPr>
          <w:sz w:val="22"/>
          <w:szCs w:val="22"/>
        </w:rPr>
        <w:t>between</w:t>
      </w:r>
      <w:r w:rsidR="003D710C">
        <w:rPr>
          <w:sz w:val="22"/>
          <w:szCs w:val="22"/>
        </w:rPr>
        <w:t xml:space="preserve"> what a bidder could bid into each rate zone.  This is because</w:t>
      </w:r>
      <w:r w:rsidR="00B0720D">
        <w:rPr>
          <w:sz w:val="22"/>
          <w:szCs w:val="22"/>
        </w:rPr>
        <w:t xml:space="preserve"> the </w:t>
      </w:r>
      <w:r w:rsidR="00B0720D">
        <w:rPr>
          <w:i/>
          <w:sz w:val="22"/>
          <w:szCs w:val="22"/>
        </w:rPr>
        <w:t>“price to beat”</w:t>
      </w:r>
      <w:r w:rsidR="00B0720D">
        <w:rPr>
          <w:sz w:val="22"/>
          <w:szCs w:val="22"/>
        </w:rPr>
        <w:t xml:space="preserve"> </w:t>
      </w:r>
      <w:r w:rsidR="00406922">
        <w:rPr>
          <w:sz w:val="22"/>
          <w:szCs w:val="22"/>
        </w:rPr>
        <w:t xml:space="preserve">for the SSO auctions </w:t>
      </w:r>
      <w:r w:rsidR="00B0720D">
        <w:rPr>
          <w:sz w:val="22"/>
          <w:szCs w:val="22"/>
        </w:rPr>
        <w:t>in each rate zone</w:t>
      </w:r>
      <w:r w:rsidR="00D537A9">
        <w:rPr>
          <w:sz w:val="22"/>
          <w:szCs w:val="22"/>
        </w:rPr>
        <w:t xml:space="preserve"> (i.e.</w:t>
      </w:r>
      <w:r w:rsidR="00B0720D">
        <w:rPr>
          <w:sz w:val="22"/>
          <w:szCs w:val="22"/>
        </w:rPr>
        <w:t xml:space="preserve"> FAC </w:t>
      </w:r>
      <w:r w:rsidR="00F446F4">
        <w:rPr>
          <w:sz w:val="22"/>
          <w:szCs w:val="22"/>
        </w:rPr>
        <w:t>rate</w:t>
      </w:r>
      <w:r w:rsidR="00D537A9">
        <w:rPr>
          <w:sz w:val="22"/>
          <w:szCs w:val="22"/>
        </w:rPr>
        <w:t>)</w:t>
      </w:r>
      <w:r w:rsidR="00F446F4">
        <w:rPr>
          <w:sz w:val="22"/>
          <w:szCs w:val="22"/>
        </w:rPr>
        <w:t xml:space="preserve"> </w:t>
      </w:r>
      <w:r w:rsidR="00825BAE">
        <w:rPr>
          <w:sz w:val="22"/>
          <w:szCs w:val="22"/>
        </w:rPr>
        <w:t>would be</w:t>
      </w:r>
      <w:r w:rsidR="00B0720D">
        <w:rPr>
          <w:sz w:val="22"/>
          <w:szCs w:val="22"/>
        </w:rPr>
        <w:t xml:space="preserve"> approximately $6/MWh higher</w:t>
      </w:r>
      <w:r w:rsidR="00D537A9">
        <w:rPr>
          <w:sz w:val="22"/>
          <w:szCs w:val="22"/>
        </w:rPr>
        <w:t xml:space="preserve"> in the Columbus Southern Power rate zone</w:t>
      </w:r>
      <w:r w:rsidR="00B0720D">
        <w:rPr>
          <w:sz w:val="22"/>
          <w:szCs w:val="22"/>
        </w:rPr>
        <w:t xml:space="preserve"> than in the Ohio Power rate zone.</w:t>
      </w:r>
      <w:r w:rsidR="002E3D15">
        <w:rPr>
          <w:sz w:val="22"/>
          <w:szCs w:val="22"/>
        </w:rPr>
        <w:t xml:space="preserve">  </w:t>
      </w:r>
      <w:r w:rsidR="00E94E71">
        <w:rPr>
          <w:sz w:val="22"/>
          <w:szCs w:val="22"/>
        </w:rPr>
        <w:t>Hence, the</w:t>
      </w:r>
      <w:r w:rsidR="002D511D">
        <w:rPr>
          <w:sz w:val="22"/>
          <w:szCs w:val="22"/>
        </w:rPr>
        <w:t xml:space="preserve"> reserve price</w:t>
      </w:r>
      <w:r w:rsidR="00E94E71">
        <w:rPr>
          <w:sz w:val="22"/>
          <w:szCs w:val="22"/>
        </w:rPr>
        <w:t xml:space="preserve"> in Columbus Sout</w:t>
      </w:r>
      <w:r w:rsidR="002D511D">
        <w:rPr>
          <w:sz w:val="22"/>
          <w:szCs w:val="22"/>
        </w:rPr>
        <w:t>hern Power’s rate zone auction w</w:t>
      </w:r>
      <w:r w:rsidR="00E94E71">
        <w:rPr>
          <w:sz w:val="22"/>
          <w:szCs w:val="22"/>
        </w:rPr>
        <w:t xml:space="preserve">ould be significantly higher than the </w:t>
      </w:r>
      <w:r w:rsidR="002D511D">
        <w:rPr>
          <w:sz w:val="22"/>
          <w:szCs w:val="22"/>
        </w:rPr>
        <w:t>reserve</w:t>
      </w:r>
      <w:r w:rsidR="00E94E71">
        <w:rPr>
          <w:sz w:val="22"/>
          <w:szCs w:val="22"/>
        </w:rPr>
        <w:t xml:space="preserve"> price in O</w:t>
      </w:r>
      <w:r w:rsidR="008E1C28">
        <w:rPr>
          <w:sz w:val="22"/>
          <w:szCs w:val="22"/>
        </w:rPr>
        <w:t>hio Power’s rate zone auction.</w:t>
      </w:r>
    </w:p>
    <w:p w:rsidR="00667B79" w:rsidRDefault="003A282D" w:rsidP="00C943B8">
      <w:pPr>
        <w:pStyle w:val="ColorfulList-Accent11"/>
        <w:spacing w:line="480" w:lineRule="auto"/>
        <w:ind w:left="0" w:firstLine="720"/>
        <w:rPr>
          <w:sz w:val="22"/>
          <w:szCs w:val="22"/>
        </w:rPr>
      </w:pPr>
      <w:r>
        <w:rPr>
          <w:sz w:val="22"/>
          <w:szCs w:val="22"/>
        </w:rPr>
        <w:t xml:space="preserve">With regard to its second claim, </w:t>
      </w:r>
      <w:r w:rsidR="002E3D15">
        <w:rPr>
          <w:sz w:val="22"/>
          <w:szCs w:val="22"/>
        </w:rPr>
        <w:t xml:space="preserve">Exelon </w:t>
      </w:r>
      <w:r w:rsidR="009D798A">
        <w:rPr>
          <w:sz w:val="22"/>
          <w:szCs w:val="22"/>
        </w:rPr>
        <w:t xml:space="preserve">has not offered </w:t>
      </w:r>
      <w:r w:rsidR="0097373D">
        <w:rPr>
          <w:sz w:val="22"/>
          <w:szCs w:val="22"/>
        </w:rPr>
        <w:t>anything more than speculation that any additional administrative costs would be sufficient to deter potential bidders from participating in each rate zone’s “energy-only” auctions.</w:t>
      </w:r>
      <w:r w:rsidR="00132ED1">
        <w:rPr>
          <w:sz w:val="22"/>
          <w:szCs w:val="22"/>
        </w:rPr>
        <w:t xml:space="preserve">  </w:t>
      </w:r>
      <w:r w:rsidR="00907FFE">
        <w:rPr>
          <w:sz w:val="22"/>
          <w:szCs w:val="22"/>
        </w:rPr>
        <w:t>This is insufficient</w:t>
      </w:r>
      <w:r w:rsidR="00524740">
        <w:rPr>
          <w:sz w:val="22"/>
          <w:szCs w:val="22"/>
        </w:rPr>
        <w:t xml:space="preserve"> to justify</w:t>
      </w:r>
      <w:r w:rsidR="00907FFE">
        <w:rPr>
          <w:sz w:val="22"/>
          <w:szCs w:val="22"/>
        </w:rPr>
        <w:t xml:space="preserve"> </w:t>
      </w:r>
      <w:r w:rsidR="00E76711">
        <w:rPr>
          <w:sz w:val="22"/>
          <w:szCs w:val="22"/>
        </w:rPr>
        <w:t>subject</w:t>
      </w:r>
      <w:r w:rsidR="00524740">
        <w:rPr>
          <w:sz w:val="22"/>
          <w:szCs w:val="22"/>
        </w:rPr>
        <w:t>ing</w:t>
      </w:r>
      <w:r w:rsidR="00E76711">
        <w:rPr>
          <w:sz w:val="22"/>
          <w:szCs w:val="22"/>
        </w:rPr>
        <w:t xml:space="preserve"> </w:t>
      </w:r>
      <w:r w:rsidR="00132ED1">
        <w:rPr>
          <w:sz w:val="22"/>
          <w:szCs w:val="22"/>
        </w:rPr>
        <w:t>Ohio Power customers to</w:t>
      </w:r>
      <w:r w:rsidR="00E76711">
        <w:rPr>
          <w:sz w:val="22"/>
          <w:szCs w:val="22"/>
        </w:rPr>
        <w:t xml:space="preserve"> the risk of</w:t>
      </w:r>
      <w:r w:rsidR="00132ED1">
        <w:rPr>
          <w:sz w:val="22"/>
          <w:szCs w:val="22"/>
        </w:rPr>
        <w:t xml:space="preserve"> pay</w:t>
      </w:r>
      <w:r w:rsidR="00E76711">
        <w:rPr>
          <w:sz w:val="22"/>
          <w:szCs w:val="22"/>
        </w:rPr>
        <w:t>ing</w:t>
      </w:r>
      <w:r w:rsidR="00132ED1">
        <w:rPr>
          <w:sz w:val="22"/>
          <w:szCs w:val="22"/>
        </w:rPr>
        <w:t xml:space="preserve"> unreasonably high energy rates when the Commission could simply hold separate auctions for each rate zone.</w:t>
      </w:r>
    </w:p>
    <w:p w:rsidR="00C943B8" w:rsidRDefault="00C943B8" w:rsidP="00C943B8">
      <w:pPr>
        <w:pStyle w:val="ColorfulList-Accent11"/>
        <w:ind w:left="0" w:firstLine="720"/>
        <w:rPr>
          <w:sz w:val="22"/>
          <w:szCs w:val="22"/>
        </w:rPr>
      </w:pPr>
    </w:p>
    <w:p w:rsidR="007361D4" w:rsidRDefault="00C943B8" w:rsidP="0027431D">
      <w:pPr>
        <w:pStyle w:val="Heading1"/>
      </w:pPr>
      <w:r>
        <w:t>CONCLUSION</w:t>
      </w:r>
    </w:p>
    <w:p w:rsidR="001764BB" w:rsidRDefault="00302A6F" w:rsidP="007C4A4F">
      <w:pPr>
        <w:pStyle w:val="ColorfulList-Accent11"/>
        <w:spacing w:line="480" w:lineRule="auto"/>
        <w:ind w:left="0" w:firstLine="720"/>
        <w:rPr>
          <w:sz w:val="22"/>
          <w:szCs w:val="22"/>
        </w:rPr>
      </w:pPr>
      <w:r>
        <w:rPr>
          <w:sz w:val="22"/>
          <w:szCs w:val="22"/>
        </w:rPr>
        <w:t xml:space="preserve">The Commission has the duty and responsibility to ensure that reasonably priced retail electric service is made available to customers in this state.  It can carry </w:t>
      </w:r>
      <w:r w:rsidR="00406922">
        <w:rPr>
          <w:sz w:val="22"/>
          <w:szCs w:val="22"/>
        </w:rPr>
        <w:t xml:space="preserve">out </w:t>
      </w:r>
      <w:r>
        <w:rPr>
          <w:sz w:val="22"/>
          <w:szCs w:val="22"/>
        </w:rPr>
        <w:t xml:space="preserve">its duty in this proceeding by implementing a reserve price for the </w:t>
      </w:r>
      <w:r w:rsidR="00406922">
        <w:rPr>
          <w:sz w:val="22"/>
          <w:szCs w:val="22"/>
        </w:rPr>
        <w:t xml:space="preserve">energy-only </w:t>
      </w:r>
      <w:r>
        <w:rPr>
          <w:sz w:val="22"/>
          <w:szCs w:val="22"/>
        </w:rPr>
        <w:t xml:space="preserve">CBP, as </w:t>
      </w:r>
      <w:r w:rsidR="00406922">
        <w:rPr>
          <w:sz w:val="22"/>
          <w:szCs w:val="22"/>
        </w:rPr>
        <w:t xml:space="preserve">recommended </w:t>
      </w:r>
      <w:r>
        <w:rPr>
          <w:sz w:val="22"/>
          <w:szCs w:val="22"/>
        </w:rPr>
        <w:t xml:space="preserve">by OEG/OCC.   Doing so will prevent non-shopping customers from experiencing </w:t>
      </w:r>
      <w:r>
        <w:rPr>
          <w:color w:val="000000" w:themeColor="text1"/>
          <w:sz w:val="22"/>
          <w:szCs w:val="22"/>
        </w:rPr>
        <w:t>high cost</w:t>
      </w:r>
      <w:r w:rsidR="00406922">
        <w:rPr>
          <w:color w:val="000000" w:themeColor="text1"/>
          <w:sz w:val="22"/>
          <w:szCs w:val="22"/>
        </w:rPr>
        <w:t>-</w:t>
      </w:r>
      <w:r>
        <w:rPr>
          <w:color w:val="000000" w:themeColor="text1"/>
          <w:sz w:val="22"/>
          <w:szCs w:val="22"/>
        </w:rPr>
        <w:t>based rates for capacity and higher market</w:t>
      </w:r>
      <w:r w:rsidR="00406922">
        <w:rPr>
          <w:color w:val="000000" w:themeColor="text1"/>
          <w:sz w:val="22"/>
          <w:szCs w:val="22"/>
        </w:rPr>
        <w:t>-</w:t>
      </w:r>
      <w:r>
        <w:rPr>
          <w:color w:val="000000" w:themeColor="text1"/>
          <w:sz w:val="22"/>
          <w:szCs w:val="22"/>
        </w:rPr>
        <w:t xml:space="preserve">based rates for energy over the next sixteen months.  Setting a reserve price for the </w:t>
      </w:r>
      <w:r w:rsidR="00406922">
        <w:rPr>
          <w:color w:val="000000" w:themeColor="text1"/>
          <w:sz w:val="22"/>
          <w:szCs w:val="22"/>
        </w:rPr>
        <w:t xml:space="preserve">energy-only </w:t>
      </w:r>
      <w:r>
        <w:rPr>
          <w:color w:val="000000" w:themeColor="text1"/>
          <w:sz w:val="22"/>
          <w:szCs w:val="22"/>
        </w:rPr>
        <w:t>auction</w:t>
      </w:r>
      <w:r w:rsidR="00406922">
        <w:rPr>
          <w:color w:val="000000" w:themeColor="text1"/>
          <w:sz w:val="22"/>
          <w:szCs w:val="22"/>
        </w:rPr>
        <w:t>s</w:t>
      </w:r>
      <w:r>
        <w:rPr>
          <w:color w:val="000000" w:themeColor="text1"/>
          <w:sz w:val="22"/>
          <w:szCs w:val="22"/>
        </w:rPr>
        <w:t xml:space="preserve"> will do little to impede the development of competition in a market where customers are switching daily by ever increasing numbers.  </w:t>
      </w:r>
    </w:p>
    <w:p w:rsidR="007E08E1" w:rsidRPr="00A72D6B" w:rsidRDefault="00054C33" w:rsidP="00C943B8">
      <w:pPr>
        <w:ind w:left="4320"/>
        <w:jc w:val="both"/>
        <w:rPr>
          <w:sz w:val="22"/>
          <w:szCs w:val="22"/>
        </w:rPr>
      </w:pPr>
      <w:r>
        <w:rPr>
          <w:sz w:val="22"/>
          <w:szCs w:val="22"/>
        </w:rPr>
        <w:t>R</w:t>
      </w:r>
      <w:r w:rsidR="007E08E1" w:rsidRPr="001F2D9F">
        <w:rPr>
          <w:sz w:val="22"/>
          <w:szCs w:val="22"/>
        </w:rPr>
        <w:t>espectfully submitted,</w:t>
      </w:r>
    </w:p>
    <w:p w:rsidR="001A4E62" w:rsidRDefault="001A4E62" w:rsidP="00C943B8">
      <w:pPr>
        <w:spacing w:after="120"/>
        <w:ind w:left="4320"/>
        <w:jc w:val="both"/>
        <w:rPr>
          <w:sz w:val="22"/>
          <w:szCs w:val="22"/>
        </w:rPr>
      </w:pPr>
    </w:p>
    <w:p w:rsidR="00B723B4" w:rsidRPr="00A72D6B" w:rsidRDefault="00C943B8" w:rsidP="007C4A4F">
      <w:pPr>
        <w:ind w:left="4320"/>
        <w:rPr>
          <w:sz w:val="22"/>
          <w:szCs w:val="22"/>
        </w:rPr>
      </w:pPr>
      <w:r>
        <w:rPr>
          <w:i/>
          <w:sz w:val="22"/>
          <w:szCs w:val="22"/>
          <w:u w:val="single"/>
        </w:rPr>
        <w:t>/s/ David F. Boehm</w:t>
      </w:r>
      <w:r w:rsidR="007C4A4F">
        <w:rPr>
          <w:i/>
          <w:sz w:val="22"/>
          <w:szCs w:val="22"/>
          <w:u w:val="single"/>
        </w:rPr>
        <w:t xml:space="preserve"> (per e-mail authorization)</w:t>
      </w:r>
    </w:p>
    <w:p w:rsidR="00B723B4" w:rsidRPr="00A72D6B" w:rsidRDefault="00B723B4" w:rsidP="00C943B8">
      <w:pPr>
        <w:ind w:left="4320"/>
        <w:jc w:val="both"/>
        <w:rPr>
          <w:sz w:val="22"/>
          <w:szCs w:val="22"/>
        </w:rPr>
      </w:pPr>
      <w:r w:rsidRPr="00A72D6B">
        <w:rPr>
          <w:sz w:val="22"/>
          <w:szCs w:val="22"/>
        </w:rPr>
        <w:t>David F. Boehm, Esq.</w:t>
      </w:r>
    </w:p>
    <w:p w:rsidR="00B723B4" w:rsidRDefault="00B723B4" w:rsidP="00C943B8">
      <w:pPr>
        <w:ind w:left="4320"/>
        <w:jc w:val="both"/>
        <w:rPr>
          <w:sz w:val="22"/>
          <w:szCs w:val="22"/>
        </w:rPr>
      </w:pPr>
      <w:r w:rsidRPr="00A72D6B">
        <w:rPr>
          <w:sz w:val="22"/>
          <w:szCs w:val="22"/>
        </w:rPr>
        <w:t>Michael L. Kurtz, Esq.</w:t>
      </w:r>
    </w:p>
    <w:p w:rsidR="00B723B4" w:rsidRPr="00A72D6B" w:rsidRDefault="00B723B4" w:rsidP="00C943B8">
      <w:pPr>
        <w:ind w:left="4320"/>
        <w:jc w:val="both"/>
        <w:rPr>
          <w:sz w:val="22"/>
          <w:szCs w:val="22"/>
        </w:rPr>
      </w:pPr>
      <w:r>
        <w:rPr>
          <w:sz w:val="22"/>
          <w:szCs w:val="22"/>
        </w:rPr>
        <w:t>Jody Kyler Cohn, Esq.</w:t>
      </w:r>
    </w:p>
    <w:p w:rsidR="00B723B4" w:rsidRPr="00A72D6B" w:rsidRDefault="00C943B8" w:rsidP="00C943B8">
      <w:pPr>
        <w:ind w:left="4320"/>
        <w:jc w:val="both"/>
        <w:rPr>
          <w:b/>
          <w:sz w:val="22"/>
          <w:szCs w:val="22"/>
        </w:rPr>
      </w:pPr>
      <w:r w:rsidRPr="00A72D6B">
        <w:rPr>
          <w:b/>
          <w:sz w:val="22"/>
          <w:szCs w:val="22"/>
        </w:rPr>
        <w:t>Boehm, Kurtz &amp; Lowry</w:t>
      </w:r>
    </w:p>
    <w:p w:rsidR="00B723B4" w:rsidRPr="00A72D6B" w:rsidRDefault="00B723B4" w:rsidP="00C943B8">
      <w:pPr>
        <w:ind w:left="4320"/>
        <w:jc w:val="both"/>
        <w:rPr>
          <w:sz w:val="22"/>
          <w:szCs w:val="22"/>
        </w:rPr>
      </w:pPr>
      <w:r w:rsidRPr="00A72D6B">
        <w:rPr>
          <w:sz w:val="22"/>
          <w:szCs w:val="22"/>
        </w:rPr>
        <w:t>36 East Seventh Street, Suite 1510</w:t>
      </w:r>
    </w:p>
    <w:p w:rsidR="00B723B4" w:rsidRPr="00A72D6B" w:rsidRDefault="00B723B4" w:rsidP="00C943B8">
      <w:pPr>
        <w:ind w:left="4320"/>
        <w:jc w:val="both"/>
        <w:rPr>
          <w:sz w:val="22"/>
          <w:szCs w:val="22"/>
        </w:rPr>
      </w:pPr>
      <w:r w:rsidRPr="00A72D6B">
        <w:rPr>
          <w:sz w:val="22"/>
          <w:szCs w:val="22"/>
        </w:rPr>
        <w:t>Cincinnati, Ohio 45202</w:t>
      </w:r>
    </w:p>
    <w:p w:rsidR="00C943B8" w:rsidRDefault="00B723B4" w:rsidP="00C943B8">
      <w:pPr>
        <w:ind w:left="4320"/>
        <w:jc w:val="both"/>
        <w:rPr>
          <w:sz w:val="22"/>
          <w:szCs w:val="22"/>
        </w:rPr>
      </w:pPr>
      <w:r w:rsidRPr="00A72D6B">
        <w:rPr>
          <w:sz w:val="22"/>
          <w:szCs w:val="22"/>
        </w:rPr>
        <w:t xml:space="preserve">Ph:  (513) 421-2255   </w:t>
      </w:r>
    </w:p>
    <w:p w:rsidR="00B723B4" w:rsidRPr="00A72D6B" w:rsidRDefault="00B723B4" w:rsidP="00C943B8">
      <w:pPr>
        <w:ind w:left="4320"/>
        <w:jc w:val="both"/>
        <w:rPr>
          <w:sz w:val="22"/>
          <w:szCs w:val="22"/>
        </w:rPr>
      </w:pPr>
      <w:r w:rsidRPr="00A72D6B">
        <w:rPr>
          <w:sz w:val="22"/>
          <w:szCs w:val="22"/>
        </w:rPr>
        <w:t>Fax:  (513) 421-2764</w:t>
      </w:r>
    </w:p>
    <w:p w:rsidR="00B723B4" w:rsidRPr="00A72D6B" w:rsidRDefault="00B723B4" w:rsidP="00C943B8">
      <w:pPr>
        <w:ind w:left="4320"/>
        <w:jc w:val="both"/>
        <w:rPr>
          <w:sz w:val="22"/>
          <w:szCs w:val="22"/>
        </w:rPr>
      </w:pPr>
      <w:r w:rsidRPr="00A72D6B">
        <w:rPr>
          <w:sz w:val="22"/>
          <w:szCs w:val="22"/>
        </w:rPr>
        <w:t xml:space="preserve">E-Mail: </w:t>
      </w:r>
      <w:hyperlink r:id="rId14" w:history="1">
        <w:r w:rsidRPr="00A72D6B">
          <w:rPr>
            <w:rStyle w:val="Hyperlink"/>
            <w:sz w:val="22"/>
            <w:szCs w:val="22"/>
          </w:rPr>
          <w:t>dboehm@BKLlawfirm.com</w:t>
        </w:r>
      </w:hyperlink>
    </w:p>
    <w:p w:rsidR="00B723B4" w:rsidRDefault="00287292" w:rsidP="00C943B8">
      <w:pPr>
        <w:ind w:left="4320"/>
        <w:jc w:val="both"/>
        <w:rPr>
          <w:sz w:val="22"/>
          <w:szCs w:val="22"/>
        </w:rPr>
      </w:pPr>
      <w:hyperlink r:id="rId15" w:history="1">
        <w:r w:rsidR="00B723B4" w:rsidRPr="00A72D6B">
          <w:rPr>
            <w:rStyle w:val="Hyperlink"/>
            <w:sz w:val="22"/>
            <w:szCs w:val="22"/>
          </w:rPr>
          <w:t>mkurtz@BKLlawfirm.com</w:t>
        </w:r>
      </w:hyperlink>
      <w:r w:rsidR="00B723B4" w:rsidRPr="00A72D6B">
        <w:rPr>
          <w:sz w:val="22"/>
          <w:szCs w:val="22"/>
        </w:rPr>
        <w:t xml:space="preserve"> </w:t>
      </w:r>
    </w:p>
    <w:p w:rsidR="00B723B4" w:rsidRDefault="00287292" w:rsidP="00C943B8">
      <w:pPr>
        <w:ind w:left="4320"/>
        <w:jc w:val="both"/>
        <w:rPr>
          <w:sz w:val="22"/>
          <w:szCs w:val="22"/>
        </w:rPr>
      </w:pPr>
      <w:hyperlink r:id="rId16" w:history="1">
        <w:r w:rsidR="00AE60F4" w:rsidRPr="002F43D9">
          <w:rPr>
            <w:rStyle w:val="Hyperlink"/>
            <w:sz w:val="22"/>
            <w:szCs w:val="22"/>
          </w:rPr>
          <w:t>jkylercohn@BKLlawfirm.com</w:t>
        </w:r>
      </w:hyperlink>
    </w:p>
    <w:p w:rsidR="00B723B4" w:rsidRPr="00A72D6B" w:rsidRDefault="00B723B4" w:rsidP="00C943B8">
      <w:pPr>
        <w:ind w:left="4320"/>
        <w:jc w:val="both"/>
        <w:rPr>
          <w:sz w:val="22"/>
          <w:szCs w:val="22"/>
        </w:rPr>
      </w:pPr>
    </w:p>
    <w:p w:rsidR="00B723B4" w:rsidRDefault="00C943B8" w:rsidP="00C943B8">
      <w:pPr>
        <w:ind w:left="4320"/>
        <w:rPr>
          <w:b/>
          <w:sz w:val="22"/>
          <w:szCs w:val="22"/>
        </w:rPr>
      </w:pPr>
      <w:r>
        <w:rPr>
          <w:sz w:val="22"/>
          <w:szCs w:val="22"/>
        </w:rPr>
        <w:t>C</w:t>
      </w:r>
      <w:r w:rsidRPr="00A72D6B">
        <w:rPr>
          <w:b/>
          <w:sz w:val="22"/>
          <w:szCs w:val="22"/>
        </w:rPr>
        <w:t xml:space="preserve">ounsel </w:t>
      </w:r>
      <w:r w:rsidR="007C4A4F">
        <w:rPr>
          <w:b/>
          <w:sz w:val="22"/>
          <w:szCs w:val="22"/>
        </w:rPr>
        <w:t>f</w:t>
      </w:r>
      <w:r w:rsidRPr="00A72D6B">
        <w:rPr>
          <w:b/>
          <w:sz w:val="22"/>
          <w:szCs w:val="22"/>
        </w:rPr>
        <w:t xml:space="preserve">or </w:t>
      </w:r>
      <w:r w:rsidR="007C4A4F">
        <w:rPr>
          <w:b/>
          <w:sz w:val="22"/>
          <w:szCs w:val="22"/>
        </w:rPr>
        <w:t>t</w:t>
      </w:r>
      <w:r w:rsidRPr="00A72D6B">
        <w:rPr>
          <w:b/>
          <w:sz w:val="22"/>
          <w:szCs w:val="22"/>
        </w:rPr>
        <w:t>he Ohio Energy Group</w:t>
      </w:r>
    </w:p>
    <w:p w:rsidR="004355F1" w:rsidRDefault="004355F1" w:rsidP="00C943B8">
      <w:pPr>
        <w:ind w:left="4320"/>
        <w:rPr>
          <w:b/>
          <w:sz w:val="22"/>
          <w:szCs w:val="22"/>
        </w:rPr>
      </w:pPr>
    </w:p>
    <w:p w:rsidR="004355F1" w:rsidRDefault="004355F1" w:rsidP="00C943B8">
      <w:pPr>
        <w:ind w:left="4320"/>
        <w:rPr>
          <w:sz w:val="22"/>
          <w:szCs w:val="22"/>
        </w:rPr>
      </w:pPr>
    </w:p>
    <w:p w:rsidR="00C943B8" w:rsidRDefault="00C943B8" w:rsidP="00C943B8">
      <w:pPr>
        <w:ind w:left="4320"/>
        <w:rPr>
          <w:sz w:val="22"/>
          <w:szCs w:val="22"/>
        </w:rPr>
      </w:pPr>
      <w:r>
        <w:rPr>
          <w:sz w:val="22"/>
          <w:szCs w:val="22"/>
        </w:rPr>
        <w:br w:type="page"/>
      </w:r>
    </w:p>
    <w:p w:rsidR="004827B9" w:rsidRPr="00AF1950" w:rsidRDefault="004827B9" w:rsidP="00C943B8">
      <w:pPr>
        <w:ind w:left="4320"/>
        <w:rPr>
          <w:sz w:val="22"/>
          <w:szCs w:val="22"/>
        </w:rPr>
      </w:pPr>
      <w:r w:rsidRPr="00AF1950">
        <w:rPr>
          <w:sz w:val="22"/>
          <w:szCs w:val="22"/>
        </w:rPr>
        <w:t>BRUCE J. WESTON</w:t>
      </w:r>
    </w:p>
    <w:p w:rsidR="004827B9" w:rsidRDefault="004827B9" w:rsidP="00C943B8">
      <w:pPr>
        <w:ind w:left="4320"/>
        <w:rPr>
          <w:sz w:val="22"/>
          <w:szCs w:val="22"/>
        </w:rPr>
      </w:pPr>
      <w:r w:rsidRPr="00AF1950">
        <w:rPr>
          <w:sz w:val="22"/>
          <w:szCs w:val="22"/>
        </w:rPr>
        <w:t>OHIO CONSUMERS’ COUNSEL</w:t>
      </w:r>
    </w:p>
    <w:p w:rsidR="00C943B8" w:rsidRDefault="00C943B8" w:rsidP="00C943B8">
      <w:pPr>
        <w:ind w:left="4320"/>
        <w:rPr>
          <w:sz w:val="22"/>
          <w:szCs w:val="22"/>
        </w:rPr>
      </w:pPr>
    </w:p>
    <w:p w:rsidR="00C943B8" w:rsidRDefault="00C943B8" w:rsidP="00C943B8">
      <w:pPr>
        <w:ind w:left="4320"/>
        <w:rPr>
          <w:sz w:val="22"/>
          <w:szCs w:val="22"/>
        </w:rPr>
      </w:pPr>
    </w:p>
    <w:p w:rsidR="00C943B8" w:rsidRPr="00AF1950" w:rsidRDefault="00C943B8" w:rsidP="00C943B8">
      <w:pPr>
        <w:ind w:left="4320"/>
        <w:rPr>
          <w:sz w:val="22"/>
          <w:szCs w:val="22"/>
        </w:rPr>
      </w:pPr>
      <w:r>
        <w:rPr>
          <w:i/>
          <w:sz w:val="22"/>
          <w:szCs w:val="22"/>
          <w:u w:val="single"/>
        </w:rPr>
        <w:t>/s/ Maureen R. Grady</w:t>
      </w:r>
      <w:r>
        <w:rPr>
          <w:sz w:val="22"/>
          <w:szCs w:val="22"/>
        </w:rPr>
        <w:t>____________</w:t>
      </w:r>
    </w:p>
    <w:p w:rsidR="004827B9" w:rsidRPr="004827B9" w:rsidRDefault="00C943B8" w:rsidP="00C943B8">
      <w:pPr>
        <w:ind w:left="4320"/>
        <w:rPr>
          <w:sz w:val="22"/>
          <w:szCs w:val="22"/>
        </w:rPr>
      </w:pPr>
      <w:r>
        <w:rPr>
          <w:sz w:val="22"/>
          <w:szCs w:val="22"/>
        </w:rPr>
        <w:t>M</w:t>
      </w:r>
      <w:r w:rsidR="004827B9" w:rsidRPr="004827B9">
        <w:rPr>
          <w:sz w:val="22"/>
          <w:szCs w:val="22"/>
        </w:rPr>
        <w:t>aureen R. Grady, Counsel of Record</w:t>
      </w:r>
    </w:p>
    <w:p w:rsidR="004827B9" w:rsidRDefault="004827B9" w:rsidP="00C943B8">
      <w:pPr>
        <w:ind w:left="4320"/>
        <w:rPr>
          <w:sz w:val="22"/>
          <w:szCs w:val="22"/>
        </w:rPr>
      </w:pPr>
      <w:r w:rsidRPr="004827B9">
        <w:rPr>
          <w:sz w:val="22"/>
          <w:szCs w:val="22"/>
        </w:rPr>
        <w:t>Assistant Consumers’ Counsel</w:t>
      </w:r>
    </w:p>
    <w:p w:rsidR="00AF1950" w:rsidRPr="009F4A90" w:rsidRDefault="00C943B8" w:rsidP="00C943B8">
      <w:pPr>
        <w:ind w:left="4320"/>
        <w:rPr>
          <w:b/>
          <w:sz w:val="22"/>
          <w:szCs w:val="22"/>
        </w:rPr>
      </w:pPr>
      <w:r w:rsidRPr="009F4A90">
        <w:rPr>
          <w:b/>
          <w:sz w:val="22"/>
          <w:szCs w:val="22"/>
        </w:rPr>
        <w:t xml:space="preserve">Office </w:t>
      </w:r>
      <w:r w:rsidR="007C4A4F">
        <w:rPr>
          <w:b/>
          <w:sz w:val="22"/>
          <w:szCs w:val="22"/>
        </w:rPr>
        <w:t>o</w:t>
      </w:r>
      <w:r w:rsidRPr="009F4A90">
        <w:rPr>
          <w:b/>
          <w:sz w:val="22"/>
          <w:szCs w:val="22"/>
        </w:rPr>
        <w:t xml:space="preserve">f </w:t>
      </w:r>
      <w:r w:rsidR="007C4A4F">
        <w:rPr>
          <w:b/>
          <w:sz w:val="22"/>
          <w:szCs w:val="22"/>
        </w:rPr>
        <w:t>t</w:t>
      </w:r>
      <w:r w:rsidRPr="009F4A90">
        <w:rPr>
          <w:b/>
          <w:sz w:val="22"/>
          <w:szCs w:val="22"/>
        </w:rPr>
        <w:t>he Ohio Consumers’ Counsel</w:t>
      </w:r>
    </w:p>
    <w:p w:rsidR="004827B9" w:rsidRPr="00AF1950" w:rsidRDefault="004827B9" w:rsidP="00C943B8">
      <w:pPr>
        <w:ind w:left="4320"/>
        <w:rPr>
          <w:sz w:val="22"/>
          <w:szCs w:val="22"/>
        </w:rPr>
      </w:pPr>
      <w:r w:rsidRPr="004827B9">
        <w:rPr>
          <w:sz w:val="22"/>
          <w:szCs w:val="22"/>
        </w:rPr>
        <w:t>10 West Broad Street, 18</w:t>
      </w:r>
      <w:r w:rsidRPr="004827B9">
        <w:rPr>
          <w:sz w:val="22"/>
          <w:szCs w:val="22"/>
          <w:vertAlign w:val="superscript"/>
        </w:rPr>
        <w:t>th</w:t>
      </w:r>
      <w:r w:rsidRPr="004827B9">
        <w:rPr>
          <w:sz w:val="22"/>
          <w:szCs w:val="22"/>
        </w:rPr>
        <w:t xml:space="preserve"> Fl</w:t>
      </w:r>
      <w:r w:rsidR="007C4A4F">
        <w:rPr>
          <w:sz w:val="22"/>
          <w:szCs w:val="22"/>
        </w:rPr>
        <w:t>.</w:t>
      </w:r>
    </w:p>
    <w:p w:rsidR="004827B9" w:rsidRPr="00155148" w:rsidRDefault="004827B9" w:rsidP="00C943B8">
      <w:pPr>
        <w:ind w:left="4320"/>
        <w:rPr>
          <w:sz w:val="22"/>
          <w:szCs w:val="22"/>
        </w:rPr>
      </w:pPr>
      <w:r w:rsidRPr="00155148">
        <w:rPr>
          <w:sz w:val="22"/>
          <w:szCs w:val="22"/>
        </w:rPr>
        <w:t>Columbus, Ohio  43215</w:t>
      </w:r>
    </w:p>
    <w:p w:rsidR="004827B9" w:rsidRPr="009F4A90" w:rsidRDefault="004D2748" w:rsidP="00C943B8">
      <w:pPr>
        <w:ind w:left="4320"/>
        <w:rPr>
          <w:sz w:val="22"/>
          <w:szCs w:val="22"/>
        </w:rPr>
      </w:pPr>
      <w:r>
        <w:rPr>
          <w:sz w:val="22"/>
          <w:szCs w:val="22"/>
        </w:rPr>
        <w:t xml:space="preserve">Ph:  </w:t>
      </w:r>
      <w:r w:rsidR="004827B9" w:rsidRPr="009F4A90">
        <w:rPr>
          <w:sz w:val="22"/>
          <w:szCs w:val="22"/>
        </w:rPr>
        <w:t>(614) 466-9567 – Grady</w:t>
      </w:r>
    </w:p>
    <w:p w:rsidR="00062719" w:rsidRDefault="004D2748" w:rsidP="00C943B8">
      <w:pPr>
        <w:ind w:left="4320"/>
        <w:rPr>
          <w:rStyle w:val="Hyperlink"/>
          <w:sz w:val="22"/>
          <w:szCs w:val="22"/>
        </w:rPr>
      </w:pPr>
      <w:r>
        <w:rPr>
          <w:sz w:val="22"/>
          <w:szCs w:val="22"/>
        </w:rPr>
        <w:t xml:space="preserve">E-Mail:  </w:t>
      </w:r>
      <w:hyperlink r:id="rId17" w:history="1">
        <w:r w:rsidR="004827B9" w:rsidRPr="004D2748">
          <w:rPr>
            <w:rStyle w:val="Hyperlink"/>
            <w:sz w:val="22"/>
            <w:szCs w:val="22"/>
          </w:rPr>
          <w:t>grady@occ.state.oh.us</w:t>
        </w:r>
      </w:hyperlink>
    </w:p>
    <w:p w:rsidR="0027431D" w:rsidRDefault="0027431D" w:rsidP="00C943B8">
      <w:pPr>
        <w:ind w:left="4320"/>
        <w:rPr>
          <w:sz w:val="22"/>
          <w:szCs w:val="22"/>
        </w:rPr>
      </w:pPr>
    </w:p>
    <w:p w:rsidR="0027431D" w:rsidRDefault="0027431D">
      <w:pPr>
        <w:rPr>
          <w:sz w:val="22"/>
          <w:szCs w:val="22"/>
        </w:rPr>
      </w:pPr>
      <w:r>
        <w:rPr>
          <w:sz w:val="22"/>
          <w:szCs w:val="22"/>
        </w:rPr>
        <w:br w:type="page"/>
      </w:r>
    </w:p>
    <w:p w:rsidR="0027431D" w:rsidRDefault="0027431D" w:rsidP="0027431D">
      <w:pPr>
        <w:jc w:val="center"/>
        <w:rPr>
          <w:b/>
          <w:bCs/>
          <w:u w:val="single"/>
        </w:rPr>
      </w:pPr>
      <w:r>
        <w:rPr>
          <w:b/>
          <w:bCs/>
          <w:u w:val="single"/>
        </w:rPr>
        <w:t>CERTIFICATE OF SERVICE</w:t>
      </w:r>
    </w:p>
    <w:p w:rsidR="0027431D" w:rsidRDefault="0027431D" w:rsidP="0027431D">
      <w:pPr>
        <w:spacing w:line="480" w:lineRule="atLeast"/>
      </w:pPr>
      <w:r>
        <w:tab/>
        <w:t xml:space="preserve">I hereby certify that a copy of the Joint Reply Brief </w:t>
      </w:r>
      <w:r w:rsidR="00550F3D">
        <w:t>of</w:t>
      </w:r>
      <w:r>
        <w:t xml:space="preserve"> the Ohio Energy Group and the Office of the Ohio Consumers’ Counsel was served on the persons stated below via electronic service this 30</w:t>
      </w:r>
      <w:r w:rsidRPr="0027431D">
        <w:rPr>
          <w:vertAlign w:val="superscript"/>
        </w:rPr>
        <w:t>th</w:t>
      </w:r>
      <w:r>
        <w:t xml:space="preserve"> day of August 2013.</w:t>
      </w:r>
    </w:p>
    <w:p w:rsidR="0027431D" w:rsidRDefault="0027431D" w:rsidP="0027431D">
      <w:pPr>
        <w:spacing w:line="480" w:lineRule="atLeast"/>
      </w:pPr>
    </w:p>
    <w:p w:rsidR="0027431D" w:rsidRDefault="0027431D" w:rsidP="0027431D">
      <w:pPr>
        <w:tabs>
          <w:tab w:val="left" w:pos="4320"/>
        </w:tabs>
        <w:rPr>
          <w:i/>
          <w:u w:val="single"/>
        </w:rPr>
      </w:pPr>
      <w:r>
        <w:tab/>
      </w:r>
      <w:r>
        <w:rPr>
          <w:i/>
          <w:u w:val="single"/>
        </w:rPr>
        <w:t>/s/ Maureen R. Grady</w:t>
      </w:r>
      <w:r>
        <w:rPr>
          <w:i/>
          <w:u w:val="single"/>
        </w:rPr>
        <w:tab/>
      </w:r>
      <w:r>
        <w:rPr>
          <w:i/>
          <w:u w:val="single"/>
        </w:rPr>
        <w:tab/>
      </w:r>
      <w:r>
        <w:rPr>
          <w:i/>
          <w:u w:val="single"/>
        </w:rPr>
        <w:tab/>
      </w:r>
    </w:p>
    <w:p w:rsidR="0027431D" w:rsidRDefault="0027431D" w:rsidP="0027431D">
      <w:pPr>
        <w:tabs>
          <w:tab w:val="left" w:pos="4320"/>
        </w:tabs>
      </w:pPr>
      <w:r>
        <w:tab/>
        <w:t>Maureen R. Grady</w:t>
      </w:r>
    </w:p>
    <w:p w:rsidR="0027431D" w:rsidRDefault="0027431D" w:rsidP="0027431D">
      <w:pPr>
        <w:tabs>
          <w:tab w:val="left" w:pos="4320"/>
        </w:tabs>
      </w:pPr>
      <w:r>
        <w:tab/>
        <w:t>Assistant Consumers’ Counsel</w:t>
      </w:r>
    </w:p>
    <w:p w:rsidR="0027431D" w:rsidRDefault="0027431D" w:rsidP="0027431D">
      <w:pPr>
        <w:pStyle w:val="CommentSubject"/>
      </w:pPr>
    </w:p>
    <w:p w:rsidR="0027431D" w:rsidRDefault="0027431D" w:rsidP="0027431D">
      <w:pPr>
        <w:pStyle w:val="CommentText"/>
        <w:jc w:val="center"/>
        <w:rPr>
          <w:b/>
          <w:u w:val="single"/>
        </w:rPr>
      </w:pPr>
      <w:r>
        <w:rPr>
          <w:b/>
          <w:u w:val="single"/>
        </w:rPr>
        <w:t>SERVICE LIST</w:t>
      </w:r>
    </w:p>
    <w:p w:rsidR="0027431D" w:rsidRDefault="0027431D" w:rsidP="0027431D">
      <w:pPr>
        <w:pStyle w:val="BodyText"/>
        <w:rPr>
          <w:b/>
          <w:bCs/>
        </w:rPr>
      </w:pPr>
    </w:p>
    <w:tbl>
      <w:tblPr>
        <w:tblW w:w="0" w:type="auto"/>
        <w:tblLook w:val="01E0" w:firstRow="1" w:lastRow="1" w:firstColumn="1" w:lastColumn="1" w:noHBand="0" w:noVBand="0"/>
      </w:tblPr>
      <w:tblGrid>
        <w:gridCol w:w="4428"/>
        <w:gridCol w:w="4428"/>
      </w:tblGrid>
      <w:tr w:rsidR="0027431D" w:rsidTr="001277BB">
        <w:tc>
          <w:tcPr>
            <w:tcW w:w="4428" w:type="dxa"/>
          </w:tcPr>
          <w:p w:rsidR="0027431D" w:rsidRPr="00394762" w:rsidRDefault="0027431D" w:rsidP="001277BB">
            <w:pPr>
              <w:autoSpaceDE w:val="0"/>
              <w:autoSpaceDN w:val="0"/>
              <w:adjustRightInd w:val="0"/>
              <w:rPr>
                <w:rStyle w:val="Hyperlink"/>
              </w:rPr>
            </w:pPr>
            <w:r>
              <w:fldChar w:fldCharType="begin"/>
            </w:r>
            <w:r w:rsidR="00287292">
              <w:instrText>HYPERLINK "mailto:Stephen.reilly@puc.state.oh.us"</w:instrText>
            </w:r>
            <w:r>
              <w:fldChar w:fldCharType="separate"/>
            </w:r>
            <w:r w:rsidRPr="00394762">
              <w:rPr>
                <w:rStyle w:val="Hyperlink"/>
              </w:rPr>
              <w:t>Stephen.reilly@puc.state.oh.us</w:t>
            </w:r>
          </w:p>
          <w:p w:rsidR="0027431D" w:rsidRDefault="0027431D" w:rsidP="001277BB">
            <w:pPr>
              <w:autoSpaceDE w:val="0"/>
              <w:autoSpaceDN w:val="0"/>
              <w:adjustRightInd w:val="0"/>
              <w:rPr>
                <w:rStyle w:val="Hyperlink"/>
                <w:bCs/>
              </w:rPr>
            </w:pPr>
            <w:r>
              <w:fldChar w:fldCharType="end"/>
            </w:r>
            <w:hyperlink r:id="rId18" w:history="1">
              <w:r>
                <w:rPr>
                  <w:rStyle w:val="Hyperlink"/>
                  <w:bCs/>
                </w:rPr>
                <w:t>stnourse@aep.com</w:t>
              </w:r>
            </w:hyperlink>
          </w:p>
          <w:p w:rsidR="0027431D" w:rsidRDefault="00287292" w:rsidP="001277BB">
            <w:pPr>
              <w:autoSpaceDE w:val="0"/>
              <w:autoSpaceDN w:val="0"/>
              <w:adjustRightInd w:val="0"/>
            </w:pPr>
            <w:hyperlink r:id="rId19" w:history="1">
              <w:r w:rsidR="0027431D" w:rsidRPr="00394762">
                <w:rPr>
                  <w:rStyle w:val="Hyperlink"/>
                </w:rPr>
                <w:t>dconway@porterwright.com</w:t>
              </w:r>
            </w:hyperlink>
          </w:p>
          <w:p w:rsidR="0027431D" w:rsidRDefault="00287292" w:rsidP="001277BB">
            <w:pPr>
              <w:autoSpaceDE w:val="0"/>
              <w:autoSpaceDN w:val="0"/>
              <w:adjustRightInd w:val="0"/>
            </w:pPr>
            <w:hyperlink r:id="rId20" w:history="1">
              <w:r w:rsidR="0027431D">
                <w:rPr>
                  <w:rStyle w:val="Hyperlink"/>
                </w:rPr>
                <w:t>mhpetricoff@vorys.com</w:t>
              </w:r>
            </w:hyperlink>
          </w:p>
          <w:p w:rsidR="0027431D" w:rsidRDefault="00287292" w:rsidP="001277BB">
            <w:pPr>
              <w:rPr>
                <w:rStyle w:val="Hyperlink"/>
              </w:rPr>
            </w:pPr>
            <w:hyperlink r:id="rId21" w:history="1">
              <w:r w:rsidR="0027431D">
                <w:rPr>
                  <w:rStyle w:val="Hyperlink"/>
                </w:rPr>
                <w:t>smhoward@vorys.com</w:t>
              </w:r>
            </w:hyperlink>
          </w:p>
          <w:p w:rsidR="00DB7C48" w:rsidRDefault="00287292" w:rsidP="001277BB">
            <w:hyperlink r:id="rId22" w:history="1">
              <w:r w:rsidR="00DB7C48" w:rsidRPr="00394762">
                <w:rPr>
                  <w:rStyle w:val="Hyperlink"/>
                </w:rPr>
                <w:t>glpetrucci@vorys.com</w:t>
              </w:r>
            </w:hyperlink>
          </w:p>
          <w:p w:rsidR="0027431D" w:rsidRDefault="00287292" w:rsidP="001277BB">
            <w:pPr>
              <w:autoSpaceDE w:val="0"/>
              <w:autoSpaceDN w:val="0"/>
              <w:adjustRightInd w:val="0"/>
            </w:pPr>
            <w:hyperlink r:id="rId23" w:history="1">
              <w:r w:rsidR="0027431D">
                <w:rPr>
                  <w:rStyle w:val="Hyperlink"/>
                </w:rPr>
                <w:t>sam@mwncmh.com</w:t>
              </w:r>
            </w:hyperlink>
          </w:p>
          <w:p w:rsidR="0027431D" w:rsidRDefault="00287292" w:rsidP="001277BB">
            <w:pPr>
              <w:autoSpaceDE w:val="0"/>
              <w:autoSpaceDN w:val="0"/>
              <w:adjustRightInd w:val="0"/>
            </w:pPr>
            <w:hyperlink r:id="rId24" w:history="1">
              <w:r w:rsidR="0027431D">
                <w:rPr>
                  <w:rStyle w:val="Hyperlink"/>
                </w:rPr>
                <w:t>fdarr@mwncmh.com</w:t>
              </w:r>
            </w:hyperlink>
          </w:p>
          <w:p w:rsidR="0027431D" w:rsidRDefault="00287292" w:rsidP="001277BB">
            <w:pPr>
              <w:autoSpaceDE w:val="0"/>
              <w:autoSpaceDN w:val="0"/>
              <w:adjustRightInd w:val="0"/>
            </w:pPr>
            <w:hyperlink r:id="rId25" w:history="1">
              <w:r w:rsidR="0027431D">
                <w:rPr>
                  <w:rStyle w:val="Hyperlink"/>
                </w:rPr>
                <w:t>joliker@mwncmh.com</w:t>
              </w:r>
            </w:hyperlink>
          </w:p>
          <w:p w:rsidR="0027431D" w:rsidRDefault="00287292" w:rsidP="001277BB">
            <w:pPr>
              <w:autoSpaceDE w:val="0"/>
              <w:autoSpaceDN w:val="0"/>
              <w:adjustRightInd w:val="0"/>
              <w:rPr>
                <w:bCs/>
              </w:rPr>
            </w:pPr>
            <w:hyperlink r:id="rId26" w:history="1">
              <w:r w:rsidR="0027431D">
                <w:rPr>
                  <w:rStyle w:val="Hyperlink"/>
                </w:rPr>
                <w:t>mpritchard@mwncmh.com</w:t>
              </w:r>
            </w:hyperlink>
          </w:p>
        </w:tc>
        <w:tc>
          <w:tcPr>
            <w:tcW w:w="4428" w:type="dxa"/>
          </w:tcPr>
          <w:p w:rsidR="0027431D" w:rsidRDefault="00287292" w:rsidP="001277BB">
            <w:pPr>
              <w:pStyle w:val="BodyText"/>
              <w:spacing w:line="240" w:lineRule="auto"/>
              <w:ind w:firstLine="0"/>
              <w:jc w:val="both"/>
              <w:rPr>
                <w:szCs w:val="24"/>
              </w:rPr>
            </w:pPr>
            <w:hyperlink r:id="rId27" w:history="1">
              <w:r w:rsidR="0027431D">
                <w:rPr>
                  <w:rStyle w:val="Hyperlink"/>
                  <w:szCs w:val="24"/>
                </w:rPr>
                <w:t>haydenm@firstenergycorp.com</w:t>
              </w:r>
            </w:hyperlink>
          </w:p>
          <w:p w:rsidR="0027431D" w:rsidRDefault="00287292" w:rsidP="001277BB">
            <w:pPr>
              <w:autoSpaceDE w:val="0"/>
              <w:autoSpaceDN w:val="0"/>
              <w:adjustRightInd w:val="0"/>
            </w:pPr>
            <w:hyperlink r:id="rId28" w:history="1">
              <w:r w:rsidR="0027431D">
                <w:rPr>
                  <w:rStyle w:val="Hyperlink"/>
                </w:rPr>
                <w:t>jlang@calfee.com</w:t>
              </w:r>
            </w:hyperlink>
          </w:p>
          <w:p w:rsidR="0027431D" w:rsidRDefault="00287292" w:rsidP="001277BB">
            <w:pPr>
              <w:autoSpaceDE w:val="0"/>
              <w:autoSpaceDN w:val="0"/>
              <w:adjustRightInd w:val="0"/>
            </w:pPr>
            <w:hyperlink r:id="rId29" w:history="1">
              <w:r w:rsidR="0027431D">
                <w:rPr>
                  <w:rStyle w:val="Hyperlink"/>
                </w:rPr>
                <w:t>lmcbride@calfee.com</w:t>
              </w:r>
            </w:hyperlink>
          </w:p>
          <w:p w:rsidR="0027431D" w:rsidRDefault="00287292" w:rsidP="001277BB">
            <w:hyperlink r:id="rId30" w:history="1">
              <w:r w:rsidR="0027431D">
                <w:rPr>
                  <w:rStyle w:val="Hyperlink"/>
                </w:rPr>
                <w:t>talexander@calfee.com</w:t>
              </w:r>
            </w:hyperlink>
          </w:p>
          <w:p w:rsidR="0027431D" w:rsidRDefault="00287292" w:rsidP="001277BB">
            <w:pPr>
              <w:autoSpaceDE w:val="0"/>
              <w:autoSpaceDN w:val="0"/>
              <w:adjustRightInd w:val="0"/>
            </w:pPr>
            <w:hyperlink r:id="rId31" w:history="1">
              <w:r w:rsidR="0027431D">
                <w:rPr>
                  <w:rStyle w:val="Hyperlink"/>
                </w:rPr>
                <w:t>dboehm@BKLlawfirm.com</w:t>
              </w:r>
            </w:hyperlink>
          </w:p>
          <w:p w:rsidR="0027431D" w:rsidRDefault="00287292" w:rsidP="001277BB">
            <w:pPr>
              <w:autoSpaceDE w:val="0"/>
              <w:autoSpaceDN w:val="0"/>
              <w:adjustRightInd w:val="0"/>
            </w:pPr>
            <w:hyperlink r:id="rId32" w:history="1">
              <w:r w:rsidR="0027431D">
                <w:rPr>
                  <w:rStyle w:val="Hyperlink"/>
                </w:rPr>
                <w:t>mkurtz@BKLlawfirm.com</w:t>
              </w:r>
            </w:hyperlink>
          </w:p>
          <w:p w:rsidR="0027431D" w:rsidRDefault="00287292" w:rsidP="001277BB">
            <w:pPr>
              <w:autoSpaceDE w:val="0"/>
              <w:autoSpaceDN w:val="0"/>
              <w:adjustRightInd w:val="0"/>
            </w:pPr>
            <w:hyperlink r:id="rId33" w:history="1">
              <w:r w:rsidR="0027431D">
                <w:rPr>
                  <w:rStyle w:val="Hyperlink"/>
                </w:rPr>
                <w:t>jky1er@BKLlawfirm.com</w:t>
              </w:r>
            </w:hyperlink>
          </w:p>
          <w:p w:rsidR="0027431D" w:rsidRDefault="0027431D" w:rsidP="001277BB">
            <w:pPr>
              <w:pStyle w:val="BodyText"/>
              <w:rPr>
                <w:bCs/>
              </w:rPr>
            </w:pPr>
          </w:p>
        </w:tc>
      </w:tr>
    </w:tbl>
    <w:p w:rsidR="0027431D" w:rsidRDefault="0027431D" w:rsidP="0027431D"/>
    <w:p w:rsidR="0027431D" w:rsidRDefault="00287292" w:rsidP="0027431D">
      <w:hyperlink r:id="rId34" w:history="1">
        <w:r w:rsidR="0027431D">
          <w:rPr>
            <w:rStyle w:val="Hyperlink"/>
          </w:rPr>
          <w:t>Sarah.parrot@puc.state.oh.us</w:t>
        </w:r>
      </w:hyperlink>
    </w:p>
    <w:p w:rsidR="0027431D" w:rsidRDefault="00287292" w:rsidP="0027431D">
      <w:hyperlink r:id="rId35" w:history="1">
        <w:r w:rsidR="0027431D">
          <w:rPr>
            <w:rStyle w:val="Hyperlink"/>
          </w:rPr>
          <w:t>Jonathan.tauber@puc.state.oh.us</w:t>
        </w:r>
      </w:hyperlink>
    </w:p>
    <w:p w:rsidR="0027431D" w:rsidRDefault="0027431D" w:rsidP="0027431D">
      <w:pPr>
        <w:tabs>
          <w:tab w:val="left" w:pos="1380"/>
        </w:tabs>
      </w:pPr>
      <w:r>
        <w:tab/>
      </w:r>
    </w:p>
    <w:p w:rsidR="0027431D" w:rsidRPr="00A72D6B" w:rsidRDefault="0027431D" w:rsidP="00C943B8">
      <w:pPr>
        <w:ind w:left="4320"/>
        <w:rPr>
          <w:b/>
          <w:sz w:val="22"/>
          <w:szCs w:val="22"/>
        </w:rPr>
      </w:pPr>
    </w:p>
    <w:sectPr w:rsidR="0027431D" w:rsidRPr="00A72D6B" w:rsidSect="0027431D">
      <w:headerReference w:type="default" r:id="rId36"/>
      <w:footerReference w:type="default" r:id="rId37"/>
      <w:pgSz w:w="12240" w:h="15840" w:code="1"/>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24" w:rsidRDefault="001A2324" w:rsidP="00756DCB">
      <w:r>
        <w:separator/>
      </w:r>
    </w:p>
  </w:endnote>
  <w:endnote w:type="continuationSeparator" w:id="0">
    <w:p w:rsidR="001A2324" w:rsidRDefault="001A2324" w:rsidP="0075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6" w:rsidRDefault="006E7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6" w:rsidRDefault="006E7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6" w:rsidRDefault="006E71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34070"/>
      <w:docPartObj>
        <w:docPartGallery w:val="Page Numbers (Bottom of Page)"/>
        <w:docPartUnique/>
      </w:docPartObj>
    </w:sdtPr>
    <w:sdtEndPr>
      <w:rPr>
        <w:noProof/>
      </w:rPr>
    </w:sdtEndPr>
    <w:sdtContent>
      <w:p w:rsidR="0027431D" w:rsidRDefault="0027431D">
        <w:pPr>
          <w:pStyle w:val="Footer"/>
          <w:jc w:val="center"/>
        </w:pPr>
        <w:r>
          <w:fldChar w:fldCharType="begin"/>
        </w:r>
        <w:r>
          <w:instrText xml:space="preserve"> PAGE   \* MERGEFORMAT </w:instrText>
        </w:r>
        <w:r>
          <w:fldChar w:fldCharType="separate"/>
        </w:r>
        <w:r w:rsidR="00632032">
          <w:rPr>
            <w:noProof/>
          </w:rPr>
          <w:t>11</w:t>
        </w:r>
        <w:r>
          <w:rPr>
            <w:noProof/>
          </w:rPr>
          <w:fldChar w:fldCharType="end"/>
        </w:r>
      </w:p>
    </w:sdtContent>
  </w:sdt>
  <w:p w:rsidR="0027431D" w:rsidRDefault="00274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24" w:rsidRDefault="001A2324" w:rsidP="00756DCB">
      <w:r>
        <w:separator/>
      </w:r>
    </w:p>
  </w:footnote>
  <w:footnote w:type="continuationSeparator" w:id="0">
    <w:p w:rsidR="001A2324" w:rsidRDefault="001A2324" w:rsidP="00756DCB">
      <w:r>
        <w:continuationSeparator/>
      </w:r>
    </w:p>
  </w:footnote>
  <w:footnote w:id="1">
    <w:p w:rsidR="00551140" w:rsidRPr="00C45713" w:rsidRDefault="00551140" w:rsidP="00C45713">
      <w:pPr>
        <w:pStyle w:val="FootnoteText"/>
        <w:spacing w:after="120" w:line="240" w:lineRule="auto"/>
      </w:pPr>
      <w:r w:rsidRPr="0027431D">
        <w:rPr>
          <w:rStyle w:val="FootnoteReference"/>
          <w:vertAlign w:val="superscript"/>
        </w:rPr>
        <w:footnoteRef/>
      </w:r>
      <w:r w:rsidR="0027431D">
        <w:rPr>
          <w:color w:val="000000" w:themeColor="text1"/>
        </w:rPr>
        <w:t xml:space="preserve"> </w:t>
      </w:r>
      <w:r w:rsidRPr="00C45713">
        <w:rPr>
          <w:color w:val="000000" w:themeColor="text1"/>
        </w:rPr>
        <w:t>OEG/OCC’s decision not to respond to other arguments raised in this proceeding should not be construed as implicit agreement with those arguments.</w:t>
      </w:r>
      <w:r w:rsidRPr="00C45713">
        <w:t xml:space="preserve"> </w:t>
      </w:r>
    </w:p>
  </w:footnote>
  <w:footnote w:id="2">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AEP Ohio Brief at 7-9.</w:t>
      </w:r>
    </w:p>
  </w:footnote>
  <w:footnote w:id="3">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 xml:space="preserve">AEP Ohio Brief at 8. </w:t>
      </w:r>
    </w:p>
  </w:footnote>
  <w:footnote w:id="4">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rPr>
          <w:i/>
        </w:rPr>
        <w:t xml:space="preserve">See e.g. </w:t>
      </w:r>
      <w:r w:rsidRPr="00C45713">
        <w:t>R.C. 4928.02(A).</w:t>
      </w:r>
    </w:p>
  </w:footnote>
  <w:footnote w:id="5">
    <w:p w:rsidR="00551140" w:rsidRPr="00C45713" w:rsidRDefault="00551140" w:rsidP="00C45713">
      <w:pPr>
        <w:pStyle w:val="FootnoteText"/>
        <w:spacing w:after="120" w:line="240" w:lineRule="auto"/>
        <w:jc w:val="both"/>
      </w:pPr>
      <w:r w:rsidRPr="00C45713">
        <w:rPr>
          <w:rStyle w:val="FootnoteReference"/>
          <w:vertAlign w:val="superscript"/>
        </w:rPr>
        <w:footnoteRef/>
      </w:r>
      <w:r w:rsidRPr="00C45713">
        <w:rPr>
          <w:vertAlign w:val="superscript"/>
        </w:rPr>
        <w:t xml:space="preserve"> </w:t>
      </w:r>
      <w:r w:rsidRPr="00C45713">
        <w:t>ESP Order at 39 (“</w:t>
      </w:r>
      <w:r w:rsidRPr="00C45713">
        <w:rPr>
          <w:i/>
        </w:rPr>
        <w:t>slowing the movement to competitive auctions would ultimately harm residential customers by precluding them from enjoying any benefits from competition</w:t>
      </w:r>
      <w:r w:rsidRPr="00C45713">
        <w:t>.”</w:t>
      </w:r>
      <w:r w:rsidRPr="00C45713">
        <w:rPr>
          <w:vertAlign w:val="superscript"/>
        </w:rPr>
        <w:t>)</w:t>
      </w:r>
      <w:r w:rsidRPr="00C45713">
        <w:t>; FirstEnergy Brief at 1 (“There are two inescapable conclusions from the AEP ESP II Order and Entry on Rehearing which are relevant to this case.  First, the Commission wanted AEP Ohio to transition to market based pricing…Second, the Commission wanted those market prices to actually benefit customers”).</w:t>
      </w:r>
    </w:p>
  </w:footnote>
  <w:footnote w:id="6">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Direct Testimony of Lane Kollen (June 14, 2013)(“Kollen Testimony”) at 15:1-18.</w:t>
      </w:r>
    </w:p>
  </w:footnote>
  <w:footnote w:id="7">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AEP Ohio Brief at 8.</w:t>
      </w:r>
    </w:p>
  </w:footnote>
  <w:footnote w:id="8">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AEP Ohio Brief at 29-32.</w:t>
      </w:r>
    </w:p>
  </w:footnote>
  <w:footnote w:id="9">
    <w:p w:rsidR="00551140" w:rsidRPr="00C45713" w:rsidRDefault="00551140" w:rsidP="00C45713">
      <w:pPr>
        <w:spacing w:after="120"/>
        <w:jc w:val="both"/>
        <w:rPr>
          <w:sz w:val="20"/>
          <w:szCs w:val="20"/>
        </w:rPr>
      </w:pPr>
      <w:r w:rsidRPr="00C45713">
        <w:rPr>
          <w:rStyle w:val="FootnoteReference"/>
          <w:sz w:val="20"/>
          <w:szCs w:val="20"/>
          <w:vertAlign w:val="superscript"/>
        </w:rPr>
        <w:footnoteRef/>
      </w:r>
      <w:r w:rsidRPr="00C45713">
        <w:rPr>
          <w:sz w:val="20"/>
          <w:szCs w:val="20"/>
          <w:vertAlign w:val="superscript"/>
        </w:rPr>
        <w:t xml:space="preserve"> </w:t>
      </w:r>
      <w:r w:rsidRPr="00C45713">
        <w:rPr>
          <w:sz w:val="20"/>
          <w:szCs w:val="20"/>
        </w:rPr>
        <w:t>Exelon Brief at 3.</w:t>
      </w:r>
    </w:p>
  </w:footnote>
  <w:footnote w:id="10">
    <w:p w:rsidR="00551140" w:rsidRPr="00C45713" w:rsidRDefault="00551140" w:rsidP="00C45713">
      <w:pPr>
        <w:pStyle w:val="FootnoteText"/>
        <w:spacing w:after="120" w:line="240" w:lineRule="auto"/>
        <w:jc w:val="both"/>
      </w:pPr>
      <w:r w:rsidRPr="00C45713">
        <w:rPr>
          <w:rStyle w:val="FootnoteReference"/>
          <w:vertAlign w:val="superscript"/>
        </w:rPr>
        <w:footnoteRef/>
      </w:r>
      <w:r w:rsidRPr="00C45713">
        <w:t xml:space="preserve"> Exelon Brief at 13-16 (referring to the deferral established in Case No. 10-2929-EL-UNC).</w:t>
      </w:r>
    </w:p>
  </w:footnote>
  <w:footnote w:id="11">
    <w:p w:rsidR="00551140" w:rsidRPr="00C45713" w:rsidRDefault="00551140" w:rsidP="00C45713">
      <w:pPr>
        <w:pStyle w:val="FootnoteText"/>
        <w:spacing w:after="120" w:line="240" w:lineRule="auto"/>
        <w:jc w:val="both"/>
      </w:pPr>
      <w:r w:rsidRPr="00C45713">
        <w:rPr>
          <w:rStyle w:val="FootnoteReference"/>
          <w:vertAlign w:val="superscript"/>
        </w:rPr>
        <w:footnoteRef/>
      </w:r>
      <w:r w:rsidRPr="00C45713">
        <w:t xml:space="preserve"> Exelon Brief at 15 (“…it should be noted that the crediting is only to the standard service load.  Thus, on the more than 49.4 percent of the load that is shopping, Dr. Lesser’s crediting mechanism would not apply and AEP can earn a margin in the market if its energy is competitively priced.”).</w:t>
      </w:r>
    </w:p>
  </w:footnote>
  <w:footnote w:id="12">
    <w:p w:rsidR="00551140" w:rsidRPr="00C45713" w:rsidRDefault="00551140" w:rsidP="00C45713">
      <w:pPr>
        <w:pStyle w:val="FootnoteText"/>
        <w:spacing w:after="120" w:line="240" w:lineRule="auto"/>
        <w:jc w:val="both"/>
      </w:pPr>
      <w:r w:rsidRPr="00C45713">
        <w:rPr>
          <w:rStyle w:val="FootnoteReference"/>
          <w:vertAlign w:val="superscript"/>
        </w:rPr>
        <w:footnoteRef/>
      </w:r>
      <w:r w:rsidRPr="00C45713">
        <w:t xml:space="preserve"> Exelon Brief at 6.</w:t>
      </w:r>
    </w:p>
  </w:footnote>
  <w:footnote w:id="13">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Summary of Switch Rates from EDUs to CRES Providers in Terms of Sales For the Month Ending March 31, 2013,” a</w:t>
      </w:r>
      <w:r w:rsidRPr="00C45713">
        <w:rPr>
          <w:i/>
        </w:rPr>
        <w:t>vailable at</w:t>
      </w:r>
      <w:r w:rsidRPr="00C45713">
        <w:rPr>
          <w:i/>
          <w:u w:val="single"/>
        </w:rPr>
        <w:t xml:space="preserve"> </w:t>
      </w:r>
      <w:r w:rsidRPr="00C45713">
        <w:rPr>
          <w:u w:val="single"/>
        </w:rPr>
        <w:t>http://www.puco.ohio.gov/emplibrary/files/util/MktMonitoringElecCustSwitchRates/SWITCH%20RATES%20SALES/2013/1Q2013.pdf.</w:t>
      </w:r>
    </w:p>
  </w:footnote>
  <w:footnote w:id="14">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FirstEnergy Brief at 9-11.</w:t>
      </w:r>
    </w:p>
  </w:footnote>
  <w:footnote w:id="15">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FirstEnergy Brief at 2-3.</w:t>
      </w:r>
    </w:p>
  </w:footnote>
  <w:footnote w:id="16">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FirstEnergy Brief at 15.</w:t>
      </w:r>
    </w:p>
  </w:footnote>
  <w:footnote w:id="17">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FirstEnergy Brief at 1.</w:t>
      </w:r>
    </w:p>
  </w:footnote>
  <w:footnote w:id="18">
    <w:p w:rsidR="00551140" w:rsidRPr="00C45713" w:rsidRDefault="00551140" w:rsidP="00C45713">
      <w:pPr>
        <w:pStyle w:val="FootnoteText"/>
        <w:spacing w:after="120" w:line="240" w:lineRule="auto"/>
      </w:pPr>
      <w:r w:rsidRPr="00C943B8">
        <w:rPr>
          <w:rStyle w:val="FootnoteReference"/>
          <w:vertAlign w:val="superscript"/>
        </w:rPr>
        <w:footnoteRef/>
      </w:r>
      <w:r w:rsidRPr="00C943B8">
        <w:rPr>
          <w:vertAlign w:val="superscript"/>
        </w:rPr>
        <w:t xml:space="preserve"> </w:t>
      </w:r>
      <w:r w:rsidRPr="00C943B8">
        <w:rPr>
          <w:i/>
        </w:rPr>
        <w:t xml:space="preserve">See </w:t>
      </w:r>
      <w:r w:rsidRPr="00C943B8">
        <w:t>attached tariff sheets for FirstEnergy’s Rider GEN and Attachment B to the Duke ESP Stipulation.</w:t>
      </w:r>
    </w:p>
  </w:footnote>
  <w:footnote w:id="19">
    <w:p w:rsidR="00551140" w:rsidRPr="00C45713" w:rsidRDefault="00551140" w:rsidP="00C45713">
      <w:pPr>
        <w:pStyle w:val="FootnoteText"/>
        <w:spacing w:after="120" w:line="240" w:lineRule="auto"/>
      </w:pPr>
      <w:r w:rsidRPr="00C45713">
        <w:rPr>
          <w:rStyle w:val="FootnoteReference"/>
          <w:vertAlign w:val="superscript"/>
        </w:rPr>
        <w:footnoteRef/>
      </w:r>
      <w:r w:rsidRPr="00C45713">
        <w:t xml:space="preserve"> Id.</w:t>
      </w:r>
    </w:p>
  </w:footnote>
  <w:footnote w:id="20">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Exelon Brief at 11.</w:t>
      </w:r>
    </w:p>
  </w:footnote>
  <w:footnote w:id="21">
    <w:p w:rsidR="00551140" w:rsidRPr="00C45713" w:rsidRDefault="00551140" w:rsidP="00C45713">
      <w:pPr>
        <w:pStyle w:val="FootnoteText"/>
        <w:spacing w:after="120" w:line="240" w:lineRule="auto"/>
      </w:pPr>
      <w:r w:rsidRPr="00C45713">
        <w:rPr>
          <w:rStyle w:val="FootnoteReference"/>
          <w:vertAlign w:val="superscript"/>
        </w:rPr>
        <w:footnoteRef/>
      </w:r>
      <w:r w:rsidRPr="00C45713">
        <w:rPr>
          <w:vertAlign w:val="superscript"/>
        </w:rPr>
        <w:t xml:space="preserve"> </w:t>
      </w:r>
      <w:r w:rsidRPr="00C45713">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6" w:rsidRDefault="006E7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6" w:rsidRDefault="006E7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A6" w:rsidRDefault="006E71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1D" w:rsidRDefault="00274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2FB"/>
    <w:multiLevelType w:val="hybridMultilevel"/>
    <w:tmpl w:val="46A69E2E"/>
    <w:lvl w:ilvl="0" w:tplc="D7AC58D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C4815"/>
    <w:multiLevelType w:val="hybridMultilevel"/>
    <w:tmpl w:val="34A6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B0BFA"/>
    <w:multiLevelType w:val="hybridMultilevel"/>
    <w:tmpl w:val="C4E03FF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E54947"/>
    <w:multiLevelType w:val="multilevel"/>
    <w:tmpl w:val="F636002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AE52ABD"/>
    <w:multiLevelType w:val="hybridMultilevel"/>
    <w:tmpl w:val="B44E8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DE15DF"/>
    <w:multiLevelType w:val="hybridMultilevel"/>
    <w:tmpl w:val="78FA6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EA5D52"/>
    <w:multiLevelType w:val="hybridMultilevel"/>
    <w:tmpl w:val="22B003D6"/>
    <w:lvl w:ilvl="0" w:tplc="B3426D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E7DB9"/>
    <w:multiLevelType w:val="hybridMultilevel"/>
    <w:tmpl w:val="0DF4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84509"/>
    <w:rsid w:val="000013A9"/>
    <w:rsid w:val="00001961"/>
    <w:rsid w:val="0000258C"/>
    <w:rsid w:val="000028DE"/>
    <w:rsid w:val="000032F3"/>
    <w:rsid w:val="000047C6"/>
    <w:rsid w:val="0000573A"/>
    <w:rsid w:val="000065D5"/>
    <w:rsid w:val="00006B86"/>
    <w:rsid w:val="000073F5"/>
    <w:rsid w:val="00007CB8"/>
    <w:rsid w:val="0001001B"/>
    <w:rsid w:val="000102D1"/>
    <w:rsid w:val="0001054D"/>
    <w:rsid w:val="0001075D"/>
    <w:rsid w:val="00010921"/>
    <w:rsid w:val="00011B31"/>
    <w:rsid w:val="00011D8F"/>
    <w:rsid w:val="000124E2"/>
    <w:rsid w:val="00013603"/>
    <w:rsid w:val="00013C5E"/>
    <w:rsid w:val="0001449E"/>
    <w:rsid w:val="000148F3"/>
    <w:rsid w:val="00014AFE"/>
    <w:rsid w:val="0001511B"/>
    <w:rsid w:val="00015660"/>
    <w:rsid w:val="00015D37"/>
    <w:rsid w:val="00016939"/>
    <w:rsid w:val="000176D2"/>
    <w:rsid w:val="00017AF9"/>
    <w:rsid w:val="00017E93"/>
    <w:rsid w:val="00020329"/>
    <w:rsid w:val="0002192A"/>
    <w:rsid w:val="000220F1"/>
    <w:rsid w:val="00023BA5"/>
    <w:rsid w:val="00023F1D"/>
    <w:rsid w:val="00023F22"/>
    <w:rsid w:val="00024C1B"/>
    <w:rsid w:val="000260EA"/>
    <w:rsid w:val="000264AE"/>
    <w:rsid w:val="00026744"/>
    <w:rsid w:val="0002685A"/>
    <w:rsid w:val="00026A35"/>
    <w:rsid w:val="00026D5A"/>
    <w:rsid w:val="000274F3"/>
    <w:rsid w:val="00027D33"/>
    <w:rsid w:val="00030265"/>
    <w:rsid w:val="00031A44"/>
    <w:rsid w:val="00031E39"/>
    <w:rsid w:val="00032A28"/>
    <w:rsid w:val="00032EFE"/>
    <w:rsid w:val="000334BF"/>
    <w:rsid w:val="0003376B"/>
    <w:rsid w:val="00033988"/>
    <w:rsid w:val="00033D03"/>
    <w:rsid w:val="0003473B"/>
    <w:rsid w:val="00034961"/>
    <w:rsid w:val="00034AE8"/>
    <w:rsid w:val="00035ED1"/>
    <w:rsid w:val="00035F66"/>
    <w:rsid w:val="00040483"/>
    <w:rsid w:val="00041753"/>
    <w:rsid w:val="00041B81"/>
    <w:rsid w:val="000426E3"/>
    <w:rsid w:val="00043C87"/>
    <w:rsid w:val="0004544A"/>
    <w:rsid w:val="00046016"/>
    <w:rsid w:val="00054593"/>
    <w:rsid w:val="00054C33"/>
    <w:rsid w:val="000550C4"/>
    <w:rsid w:val="000553EE"/>
    <w:rsid w:val="000556D9"/>
    <w:rsid w:val="00055C50"/>
    <w:rsid w:val="00056176"/>
    <w:rsid w:val="000561B5"/>
    <w:rsid w:val="00060182"/>
    <w:rsid w:val="00060512"/>
    <w:rsid w:val="000614A4"/>
    <w:rsid w:val="000621CE"/>
    <w:rsid w:val="0006241C"/>
    <w:rsid w:val="00062719"/>
    <w:rsid w:val="0006328C"/>
    <w:rsid w:val="000633E9"/>
    <w:rsid w:val="00064793"/>
    <w:rsid w:val="00064AC7"/>
    <w:rsid w:val="00065CED"/>
    <w:rsid w:val="00066277"/>
    <w:rsid w:val="000663E7"/>
    <w:rsid w:val="00066522"/>
    <w:rsid w:val="00066F80"/>
    <w:rsid w:val="00067615"/>
    <w:rsid w:val="00070B8B"/>
    <w:rsid w:val="0007173A"/>
    <w:rsid w:val="0007188B"/>
    <w:rsid w:val="0007211A"/>
    <w:rsid w:val="0007265A"/>
    <w:rsid w:val="00072A67"/>
    <w:rsid w:val="00072BEC"/>
    <w:rsid w:val="00072C43"/>
    <w:rsid w:val="00073980"/>
    <w:rsid w:val="00074887"/>
    <w:rsid w:val="00074BF2"/>
    <w:rsid w:val="00075279"/>
    <w:rsid w:val="00075FEA"/>
    <w:rsid w:val="000761C4"/>
    <w:rsid w:val="0007746C"/>
    <w:rsid w:val="00077563"/>
    <w:rsid w:val="00077C10"/>
    <w:rsid w:val="000800EF"/>
    <w:rsid w:val="00081EB2"/>
    <w:rsid w:val="00084FFB"/>
    <w:rsid w:val="000857B9"/>
    <w:rsid w:val="00085B69"/>
    <w:rsid w:val="00086F18"/>
    <w:rsid w:val="00087F89"/>
    <w:rsid w:val="000904EB"/>
    <w:rsid w:val="00091A66"/>
    <w:rsid w:val="0009227B"/>
    <w:rsid w:val="00092ADA"/>
    <w:rsid w:val="00092B46"/>
    <w:rsid w:val="0009334A"/>
    <w:rsid w:val="00093676"/>
    <w:rsid w:val="000943AE"/>
    <w:rsid w:val="00094CA5"/>
    <w:rsid w:val="0009637A"/>
    <w:rsid w:val="00096A02"/>
    <w:rsid w:val="00097183"/>
    <w:rsid w:val="000975C5"/>
    <w:rsid w:val="000A031F"/>
    <w:rsid w:val="000A0373"/>
    <w:rsid w:val="000A08DC"/>
    <w:rsid w:val="000A17D4"/>
    <w:rsid w:val="000A2893"/>
    <w:rsid w:val="000A29B7"/>
    <w:rsid w:val="000A2F04"/>
    <w:rsid w:val="000A3B71"/>
    <w:rsid w:val="000A3D8F"/>
    <w:rsid w:val="000A42B3"/>
    <w:rsid w:val="000A4A30"/>
    <w:rsid w:val="000A5232"/>
    <w:rsid w:val="000A6771"/>
    <w:rsid w:val="000A681D"/>
    <w:rsid w:val="000A6886"/>
    <w:rsid w:val="000A69DC"/>
    <w:rsid w:val="000A7B76"/>
    <w:rsid w:val="000A7D7A"/>
    <w:rsid w:val="000B17A7"/>
    <w:rsid w:val="000B1DC2"/>
    <w:rsid w:val="000B2742"/>
    <w:rsid w:val="000B2E5D"/>
    <w:rsid w:val="000B3453"/>
    <w:rsid w:val="000B4EA1"/>
    <w:rsid w:val="000B53A0"/>
    <w:rsid w:val="000B5739"/>
    <w:rsid w:val="000B5EEB"/>
    <w:rsid w:val="000B646F"/>
    <w:rsid w:val="000B66DA"/>
    <w:rsid w:val="000B6926"/>
    <w:rsid w:val="000C035A"/>
    <w:rsid w:val="000C11F9"/>
    <w:rsid w:val="000C1894"/>
    <w:rsid w:val="000C208E"/>
    <w:rsid w:val="000C223E"/>
    <w:rsid w:val="000C3E59"/>
    <w:rsid w:val="000C4364"/>
    <w:rsid w:val="000C4E8E"/>
    <w:rsid w:val="000C50D0"/>
    <w:rsid w:val="000C5313"/>
    <w:rsid w:val="000C535C"/>
    <w:rsid w:val="000C5F44"/>
    <w:rsid w:val="000C6AD8"/>
    <w:rsid w:val="000C75C8"/>
    <w:rsid w:val="000D081E"/>
    <w:rsid w:val="000D10FD"/>
    <w:rsid w:val="000D1496"/>
    <w:rsid w:val="000D16AF"/>
    <w:rsid w:val="000D193A"/>
    <w:rsid w:val="000D1E89"/>
    <w:rsid w:val="000D1F60"/>
    <w:rsid w:val="000D2690"/>
    <w:rsid w:val="000D273E"/>
    <w:rsid w:val="000D2A2A"/>
    <w:rsid w:val="000D2DDC"/>
    <w:rsid w:val="000D2EB4"/>
    <w:rsid w:val="000D3818"/>
    <w:rsid w:val="000D6468"/>
    <w:rsid w:val="000D7EE1"/>
    <w:rsid w:val="000E0587"/>
    <w:rsid w:val="000E1463"/>
    <w:rsid w:val="000E16A0"/>
    <w:rsid w:val="000E16FC"/>
    <w:rsid w:val="000E1E99"/>
    <w:rsid w:val="000E25D9"/>
    <w:rsid w:val="000E2E83"/>
    <w:rsid w:val="000E315E"/>
    <w:rsid w:val="000E3EB7"/>
    <w:rsid w:val="000E452C"/>
    <w:rsid w:val="000E50E3"/>
    <w:rsid w:val="000E5801"/>
    <w:rsid w:val="000E5A32"/>
    <w:rsid w:val="000E616F"/>
    <w:rsid w:val="000E6C70"/>
    <w:rsid w:val="000E7D36"/>
    <w:rsid w:val="000E7EB2"/>
    <w:rsid w:val="000F14FE"/>
    <w:rsid w:val="000F1545"/>
    <w:rsid w:val="000F15C9"/>
    <w:rsid w:val="000F1FB8"/>
    <w:rsid w:val="000F1FE9"/>
    <w:rsid w:val="000F38A2"/>
    <w:rsid w:val="000F5AF6"/>
    <w:rsid w:val="000F6265"/>
    <w:rsid w:val="000F6268"/>
    <w:rsid w:val="000F68A1"/>
    <w:rsid w:val="000F6B05"/>
    <w:rsid w:val="000F6B8A"/>
    <w:rsid w:val="000F6FE3"/>
    <w:rsid w:val="000F79A3"/>
    <w:rsid w:val="001000FE"/>
    <w:rsid w:val="00100500"/>
    <w:rsid w:val="00100CDA"/>
    <w:rsid w:val="00100E26"/>
    <w:rsid w:val="00102751"/>
    <w:rsid w:val="001037E4"/>
    <w:rsid w:val="0010460E"/>
    <w:rsid w:val="00104D97"/>
    <w:rsid w:val="00105AA4"/>
    <w:rsid w:val="00105F0C"/>
    <w:rsid w:val="00106B89"/>
    <w:rsid w:val="00107800"/>
    <w:rsid w:val="00107E13"/>
    <w:rsid w:val="00110370"/>
    <w:rsid w:val="001105D3"/>
    <w:rsid w:val="00110C12"/>
    <w:rsid w:val="00110F87"/>
    <w:rsid w:val="001115E8"/>
    <w:rsid w:val="00111AA8"/>
    <w:rsid w:val="00111BDF"/>
    <w:rsid w:val="00111D27"/>
    <w:rsid w:val="00111F56"/>
    <w:rsid w:val="00112C11"/>
    <w:rsid w:val="00114402"/>
    <w:rsid w:val="00114747"/>
    <w:rsid w:val="00114B36"/>
    <w:rsid w:val="00114BC9"/>
    <w:rsid w:val="00114EEF"/>
    <w:rsid w:val="001158BB"/>
    <w:rsid w:val="001166AA"/>
    <w:rsid w:val="00116EAC"/>
    <w:rsid w:val="00116F06"/>
    <w:rsid w:val="001178B1"/>
    <w:rsid w:val="00117FB5"/>
    <w:rsid w:val="00121C12"/>
    <w:rsid w:val="00121D22"/>
    <w:rsid w:val="00121D73"/>
    <w:rsid w:val="001220D0"/>
    <w:rsid w:val="001227F2"/>
    <w:rsid w:val="0012364D"/>
    <w:rsid w:val="00123B95"/>
    <w:rsid w:val="00123C51"/>
    <w:rsid w:val="00123DCA"/>
    <w:rsid w:val="00124D76"/>
    <w:rsid w:val="00126057"/>
    <w:rsid w:val="001266CD"/>
    <w:rsid w:val="00130028"/>
    <w:rsid w:val="00130D9D"/>
    <w:rsid w:val="00131010"/>
    <w:rsid w:val="0013123E"/>
    <w:rsid w:val="0013133C"/>
    <w:rsid w:val="00131C55"/>
    <w:rsid w:val="0013219D"/>
    <w:rsid w:val="00132820"/>
    <w:rsid w:val="00132ED1"/>
    <w:rsid w:val="001341B8"/>
    <w:rsid w:val="00134391"/>
    <w:rsid w:val="00136A10"/>
    <w:rsid w:val="001374B2"/>
    <w:rsid w:val="0013755D"/>
    <w:rsid w:val="00137710"/>
    <w:rsid w:val="00140AB1"/>
    <w:rsid w:val="00141CC0"/>
    <w:rsid w:val="00141CEB"/>
    <w:rsid w:val="00141F92"/>
    <w:rsid w:val="00142E54"/>
    <w:rsid w:val="0014300D"/>
    <w:rsid w:val="001431BC"/>
    <w:rsid w:val="00143444"/>
    <w:rsid w:val="00144368"/>
    <w:rsid w:val="00144543"/>
    <w:rsid w:val="00145B0E"/>
    <w:rsid w:val="00146493"/>
    <w:rsid w:val="0014748F"/>
    <w:rsid w:val="0014752D"/>
    <w:rsid w:val="00147675"/>
    <w:rsid w:val="00147FB7"/>
    <w:rsid w:val="001513F5"/>
    <w:rsid w:val="001517A3"/>
    <w:rsid w:val="00152D9A"/>
    <w:rsid w:val="00153C57"/>
    <w:rsid w:val="001540FF"/>
    <w:rsid w:val="001545DB"/>
    <w:rsid w:val="00154963"/>
    <w:rsid w:val="00155146"/>
    <w:rsid w:val="00155148"/>
    <w:rsid w:val="00155DFF"/>
    <w:rsid w:val="00156315"/>
    <w:rsid w:val="00156801"/>
    <w:rsid w:val="00156952"/>
    <w:rsid w:val="00156C21"/>
    <w:rsid w:val="0015793C"/>
    <w:rsid w:val="001579E2"/>
    <w:rsid w:val="00157A78"/>
    <w:rsid w:val="00157E3A"/>
    <w:rsid w:val="00160B8D"/>
    <w:rsid w:val="00160C39"/>
    <w:rsid w:val="00161960"/>
    <w:rsid w:val="00161A2B"/>
    <w:rsid w:val="00163784"/>
    <w:rsid w:val="00163C52"/>
    <w:rsid w:val="00163ED1"/>
    <w:rsid w:val="0016484A"/>
    <w:rsid w:val="00164F9C"/>
    <w:rsid w:val="00165419"/>
    <w:rsid w:val="0016551C"/>
    <w:rsid w:val="00165944"/>
    <w:rsid w:val="00165D7E"/>
    <w:rsid w:val="00166FB7"/>
    <w:rsid w:val="0016700B"/>
    <w:rsid w:val="0016738A"/>
    <w:rsid w:val="0017110F"/>
    <w:rsid w:val="0017127D"/>
    <w:rsid w:val="001718CB"/>
    <w:rsid w:val="00171EF3"/>
    <w:rsid w:val="0017200F"/>
    <w:rsid w:val="001727C9"/>
    <w:rsid w:val="00172A4C"/>
    <w:rsid w:val="0017354B"/>
    <w:rsid w:val="00175235"/>
    <w:rsid w:val="00176104"/>
    <w:rsid w:val="001764BB"/>
    <w:rsid w:val="0017652E"/>
    <w:rsid w:val="00176E7A"/>
    <w:rsid w:val="001772EA"/>
    <w:rsid w:val="00177413"/>
    <w:rsid w:val="00180396"/>
    <w:rsid w:val="001805E9"/>
    <w:rsid w:val="00181A98"/>
    <w:rsid w:val="00181FB3"/>
    <w:rsid w:val="0018354C"/>
    <w:rsid w:val="00183992"/>
    <w:rsid w:val="00183EF6"/>
    <w:rsid w:val="00184991"/>
    <w:rsid w:val="001854BC"/>
    <w:rsid w:val="0018557B"/>
    <w:rsid w:val="00186B2C"/>
    <w:rsid w:val="00186E59"/>
    <w:rsid w:val="0018736B"/>
    <w:rsid w:val="00187973"/>
    <w:rsid w:val="00187B57"/>
    <w:rsid w:val="00190262"/>
    <w:rsid w:val="001907CE"/>
    <w:rsid w:val="001912C7"/>
    <w:rsid w:val="001917C8"/>
    <w:rsid w:val="00195033"/>
    <w:rsid w:val="00195420"/>
    <w:rsid w:val="00195510"/>
    <w:rsid w:val="001966AA"/>
    <w:rsid w:val="00196D90"/>
    <w:rsid w:val="00197080"/>
    <w:rsid w:val="00197D54"/>
    <w:rsid w:val="001A0B9F"/>
    <w:rsid w:val="001A2324"/>
    <w:rsid w:val="001A2888"/>
    <w:rsid w:val="001A2F0F"/>
    <w:rsid w:val="001A3D07"/>
    <w:rsid w:val="001A4248"/>
    <w:rsid w:val="001A4E62"/>
    <w:rsid w:val="001A504E"/>
    <w:rsid w:val="001A590A"/>
    <w:rsid w:val="001A5BD3"/>
    <w:rsid w:val="001A71DD"/>
    <w:rsid w:val="001A72B9"/>
    <w:rsid w:val="001B036A"/>
    <w:rsid w:val="001B0AC7"/>
    <w:rsid w:val="001B0EBD"/>
    <w:rsid w:val="001B1AB0"/>
    <w:rsid w:val="001B2001"/>
    <w:rsid w:val="001B2F72"/>
    <w:rsid w:val="001B396A"/>
    <w:rsid w:val="001B3A15"/>
    <w:rsid w:val="001B3F55"/>
    <w:rsid w:val="001B3FE1"/>
    <w:rsid w:val="001B429B"/>
    <w:rsid w:val="001B58F9"/>
    <w:rsid w:val="001B5AFD"/>
    <w:rsid w:val="001B71B6"/>
    <w:rsid w:val="001B747E"/>
    <w:rsid w:val="001B74C5"/>
    <w:rsid w:val="001C19BA"/>
    <w:rsid w:val="001C2382"/>
    <w:rsid w:val="001C27C4"/>
    <w:rsid w:val="001C2E28"/>
    <w:rsid w:val="001C36F2"/>
    <w:rsid w:val="001C4F86"/>
    <w:rsid w:val="001C542B"/>
    <w:rsid w:val="001C5F72"/>
    <w:rsid w:val="001C6FC6"/>
    <w:rsid w:val="001C73CA"/>
    <w:rsid w:val="001C75D3"/>
    <w:rsid w:val="001D095D"/>
    <w:rsid w:val="001D191A"/>
    <w:rsid w:val="001D249F"/>
    <w:rsid w:val="001D2C66"/>
    <w:rsid w:val="001D3A9E"/>
    <w:rsid w:val="001D4370"/>
    <w:rsid w:val="001D4431"/>
    <w:rsid w:val="001D51CE"/>
    <w:rsid w:val="001D6363"/>
    <w:rsid w:val="001D7176"/>
    <w:rsid w:val="001E0E00"/>
    <w:rsid w:val="001E10F6"/>
    <w:rsid w:val="001E17B6"/>
    <w:rsid w:val="001E31C6"/>
    <w:rsid w:val="001E3E39"/>
    <w:rsid w:val="001E4106"/>
    <w:rsid w:val="001E46DF"/>
    <w:rsid w:val="001E5087"/>
    <w:rsid w:val="001E546B"/>
    <w:rsid w:val="001E68BB"/>
    <w:rsid w:val="001E6AE2"/>
    <w:rsid w:val="001E70D0"/>
    <w:rsid w:val="001E75CA"/>
    <w:rsid w:val="001E7E12"/>
    <w:rsid w:val="001E7EE4"/>
    <w:rsid w:val="001F0017"/>
    <w:rsid w:val="001F06C1"/>
    <w:rsid w:val="001F083E"/>
    <w:rsid w:val="001F104E"/>
    <w:rsid w:val="001F1616"/>
    <w:rsid w:val="001F2476"/>
    <w:rsid w:val="001F2D9F"/>
    <w:rsid w:val="001F34F9"/>
    <w:rsid w:val="001F39AD"/>
    <w:rsid w:val="001F3E1E"/>
    <w:rsid w:val="001F4773"/>
    <w:rsid w:val="001F53AF"/>
    <w:rsid w:val="001F66B3"/>
    <w:rsid w:val="001F697A"/>
    <w:rsid w:val="00201714"/>
    <w:rsid w:val="00201A13"/>
    <w:rsid w:val="00202309"/>
    <w:rsid w:val="00202994"/>
    <w:rsid w:val="00202C7E"/>
    <w:rsid w:val="0020479D"/>
    <w:rsid w:val="002048AE"/>
    <w:rsid w:val="0020545E"/>
    <w:rsid w:val="00205926"/>
    <w:rsid w:val="00206DD3"/>
    <w:rsid w:val="00210895"/>
    <w:rsid w:val="00211AEB"/>
    <w:rsid w:val="00211C3E"/>
    <w:rsid w:val="00212605"/>
    <w:rsid w:val="0021414C"/>
    <w:rsid w:val="002145BA"/>
    <w:rsid w:val="00214984"/>
    <w:rsid w:val="00214990"/>
    <w:rsid w:val="00214BE7"/>
    <w:rsid w:val="00215142"/>
    <w:rsid w:val="00215482"/>
    <w:rsid w:val="00215FA8"/>
    <w:rsid w:val="00217782"/>
    <w:rsid w:val="002201B6"/>
    <w:rsid w:val="00222AE6"/>
    <w:rsid w:val="00222D05"/>
    <w:rsid w:val="0022419A"/>
    <w:rsid w:val="002241A5"/>
    <w:rsid w:val="0022436D"/>
    <w:rsid w:val="0022558E"/>
    <w:rsid w:val="0022575E"/>
    <w:rsid w:val="00225966"/>
    <w:rsid w:val="00225B95"/>
    <w:rsid w:val="00226C31"/>
    <w:rsid w:val="00227845"/>
    <w:rsid w:val="00227D3C"/>
    <w:rsid w:val="00230942"/>
    <w:rsid w:val="00230B12"/>
    <w:rsid w:val="00230BA3"/>
    <w:rsid w:val="00230C4E"/>
    <w:rsid w:val="002315B9"/>
    <w:rsid w:val="00232665"/>
    <w:rsid w:val="00232A64"/>
    <w:rsid w:val="00232FC2"/>
    <w:rsid w:val="00234008"/>
    <w:rsid w:val="00234314"/>
    <w:rsid w:val="002347BD"/>
    <w:rsid w:val="00234B15"/>
    <w:rsid w:val="002355E3"/>
    <w:rsid w:val="00235C1A"/>
    <w:rsid w:val="00236AAB"/>
    <w:rsid w:val="00240691"/>
    <w:rsid w:val="002407C7"/>
    <w:rsid w:val="00240830"/>
    <w:rsid w:val="00240D3E"/>
    <w:rsid w:val="00242133"/>
    <w:rsid w:val="00242206"/>
    <w:rsid w:val="00244BF6"/>
    <w:rsid w:val="00245078"/>
    <w:rsid w:val="00245F2C"/>
    <w:rsid w:val="002462B5"/>
    <w:rsid w:val="00246BE6"/>
    <w:rsid w:val="00246EF8"/>
    <w:rsid w:val="00247144"/>
    <w:rsid w:val="00247672"/>
    <w:rsid w:val="00250855"/>
    <w:rsid w:val="00250E77"/>
    <w:rsid w:val="00251107"/>
    <w:rsid w:val="00252696"/>
    <w:rsid w:val="00252B62"/>
    <w:rsid w:val="0025361A"/>
    <w:rsid w:val="002549A1"/>
    <w:rsid w:val="00254C41"/>
    <w:rsid w:val="00254D26"/>
    <w:rsid w:val="00255766"/>
    <w:rsid w:val="00255B97"/>
    <w:rsid w:val="00256B68"/>
    <w:rsid w:val="0025790B"/>
    <w:rsid w:val="00257E16"/>
    <w:rsid w:val="00257F4D"/>
    <w:rsid w:val="00261880"/>
    <w:rsid w:val="00261E35"/>
    <w:rsid w:val="00261F62"/>
    <w:rsid w:val="0026280E"/>
    <w:rsid w:val="00263059"/>
    <w:rsid w:val="002631C9"/>
    <w:rsid w:val="00265FBF"/>
    <w:rsid w:val="002666D2"/>
    <w:rsid w:val="00266CA2"/>
    <w:rsid w:val="00267251"/>
    <w:rsid w:val="00267A6D"/>
    <w:rsid w:val="00270D67"/>
    <w:rsid w:val="00271741"/>
    <w:rsid w:val="0027219C"/>
    <w:rsid w:val="002722D6"/>
    <w:rsid w:val="002728B5"/>
    <w:rsid w:val="00272D88"/>
    <w:rsid w:val="00273438"/>
    <w:rsid w:val="00273805"/>
    <w:rsid w:val="002739D5"/>
    <w:rsid w:val="0027431D"/>
    <w:rsid w:val="00274E45"/>
    <w:rsid w:val="002760A6"/>
    <w:rsid w:val="00276503"/>
    <w:rsid w:val="002774FB"/>
    <w:rsid w:val="00277A57"/>
    <w:rsid w:val="00277B7A"/>
    <w:rsid w:val="002805C2"/>
    <w:rsid w:val="00280B12"/>
    <w:rsid w:val="00280B75"/>
    <w:rsid w:val="00281485"/>
    <w:rsid w:val="00281EB9"/>
    <w:rsid w:val="00282062"/>
    <w:rsid w:val="00284397"/>
    <w:rsid w:val="00284509"/>
    <w:rsid w:val="00285055"/>
    <w:rsid w:val="00285271"/>
    <w:rsid w:val="00285E1A"/>
    <w:rsid w:val="00287284"/>
    <w:rsid w:val="00287292"/>
    <w:rsid w:val="002874F2"/>
    <w:rsid w:val="00287A6C"/>
    <w:rsid w:val="00287C39"/>
    <w:rsid w:val="0029005E"/>
    <w:rsid w:val="0029048C"/>
    <w:rsid w:val="00291A70"/>
    <w:rsid w:val="00292737"/>
    <w:rsid w:val="002929C4"/>
    <w:rsid w:val="002930AE"/>
    <w:rsid w:val="0029504B"/>
    <w:rsid w:val="00295369"/>
    <w:rsid w:val="00295E09"/>
    <w:rsid w:val="002964EE"/>
    <w:rsid w:val="002968E0"/>
    <w:rsid w:val="00297842"/>
    <w:rsid w:val="00297E87"/>
    <w:rsid w:val="00297F00"/>
    <w:rsid w:val="002A0191"/>
    <w:rsid w:val="002A08E5"/>
    <w:rsid w:val="002A12E9"/>
    <w:rsid w:val="002A1C64"/>
    <w:rsid w:val="002A328D"/>
    <w:rsid w:val="002A4BCF"/>
    <w:rsid w:val="002A544E"/>
    <w:rsid w:val="002A5F76"/>
    <w:rsid w:val="002A64E6"/>
    <w:rsid w:val="002A71F5"/>
    <w:rsid w:val="002A74BE"/>
    <w:rsid w:val="002B1DE5"/>
    <w:rsid w:val="002B1E88"/>
    <w:rsid w:val="002B293C"/>
    <w:rsid w:val="002B2C2E"/>
    <w:rsid w:val="002B31F4"/>
    <w:rsid w:val="002B374D"/>
    <w:rsid w:val="002B37F4"/>
    <w:rsid w:val="002B39CD"/>
    <w:rsid w:val="002B4866"/>
    <w:rsid w:val="002B4B88"/>
    <w:rsid w:val="002B51DB"/>
    <w:rsid w:val="002B526C"/>
    <w:rsid w:val="002B54CC"/>
    <w:rsid w:val="002B57CD"/>
    <w:rsid w:val="002B57E2"/>
    <w:rsid w:val="002B5EB4"/>
    <w:rsid w:val="002B6080"/>
    <w:rsid w:val="002B613C"/>
    <w:rsid w:val="002B70C8"/>
    <w:rsid w:val="002B7117"/>
    <w:rsid w:val="002B71F1"/>
    <w:rsid w:val="002B7D49"/>
    <w:rsid w:val="002C1793"/>
    <w:rsid w:val="002C1AE9"/>
    <w:rsid w:val="002C2055"/>
    <w:rsid w:val="002C2563"/>
    <w:rsid w:val="002C2DD5"/>
    <w:rsid w:val="002C2E39"/>
    <w:rsid w:val="002C3286"/>
    <w:rsid w:val="002C37EC"/>
    <w:rsid w:val="002C3F99"/>
    <w:rsid w:val="002C3FBB"/>
    <w:rsid w:val="002C5878"/>
    <w:rsid w:val="002C5ECE"/>
    <w:rsid w:val="002C5F0D"/>
    <w:rsid w:val="002C6C63"/>
    <w:rsid w:val="002C7263"/>
    <w:rsid w:val="002D07DD"/>
    <w:rsid w:val="002D1712"/>
    <w:rsid w:val="002D176C"/>
    <w:rsid w:val="002D2140"/>
    <w:rsid w:val="002D231E"/>
    <w:rsid w:val="002D2CED"/>
    <w:rsid w:val="002D2D58"/>
    <w:rsid w:val="002D35F7"/>
    <w:rsid w:val="002D391D"/>
    <w:rsid w:val="002D3F16"/>
    <w:rsid w:val="002D401C"/>
    <w:rsid w:val="002D4215"/>
    <w:rsid w:val="002D4FB5"/>
    <w:rsid w:val="002D511D"/>
    <w:rsid w:val="002D52BF"/>
    <w:rsid w:val="002D5348"/>
    <w:rsid w:val="002D56FB"/>
    <w:rsid w:val="002D642C"/>
    <w:rsid w:val="002D66DE"/>
    <w:rsid w:val="002D704F"/>
    <w:rsid w:val="002D7AD0"/>
    <w:rsid w:val="002D7B51"/>
    <w:rsid w:val="002D7E07"/>
    <w:rsid w:val="002D7E6F"/>
    <w:rsid w:val="002E0832"/>
    <w:rsid w:val="002E122E"/>
    <w:rsid w:val="002E28DF"/>
    <w:rsid w:val="002E3BC8"/>
    <w:rsid w:val="002E3D15"/>
    <w:rsid w:val="002E48D6"/>
    <w:rsid w:val="002E5118"/>
    <w:rsid w:val="002E55D3"/>
    <w:rsid w:val="002E56B0"/>
    <w:rsid w:val="002E5CC1"/>
    <w:rsid w:val="002E6FD4"/>
    <w:rsid w:val="002E727B"/>
    <w:rsid w:val="002E76A8"/>
    <w:rsid w:val="002F017E"/>
    <w:rsid w:val="002F0C30"/>
    <w:rsid w:val="002F0CBD"/>
    <w:rsid w:val="002F0DB5"/>
    <w:rsid w:val="002F11D4"/>
    <w:rsid w:val="002F12BB"/>
    <w:rsid w:val="002F177C"/>
    <w:rsid w:val="002F1BD5"/>
    <w:rsid w:val="002F1E6E"/>
    <w:rsid w:val="002F1F6E"/>
    <w:rsid w:val="002F30FB"/>
    <w:rsid w:val="002F32E7"/>
    <w:rsid w:val="002F4472"/>
    <w:rsid w:val="002F4CC8"/>
    <w:rsid w:val="002F5CFD"/>
    <w:rsid w:val="002F670C"/>
    <w:rsid w:val="002F6A74"/>
    <w:rsid w:val="002F7890"/>
    <w:rsid w:val="002F7D05"/>
    <w:rsid w:val="00302A6F"/>
    <w:rsid w:val="00302E3B"/>
    <w:rsid w:val="003036FD"/>
    <w:rsid w:val="00303941"/>
    <w:rsid w:val="00305638"/>
    <w:rsid w:val="00305DDC"/>
    <w:rsid w:val="0030673A"/>
    <w:rsid w:val="00306A0D"/>
    <w:rsid w:val="00306C7E"/>
    <w:rsid w:val="00310907"/>
    <w:rsid w:val="00310BBE"/>
    <w:rsid w:val="00310F11"/>
    <w:rsid w:val="00311B7B"/>
    <w:rsid w:val="00312E3D"/>
    <w:rsid w:val="003131A7"/>
    <w:rsid w:val="003136C5"/>
    <w:rsid w:val="00313866"/>
    <w:rsid w:val="003139BA"/>
    <w:rsid w:val="0031425E"/>
    <w:rsid w:val="00314E3F"/>
    <w:rsid w:val="00314EE3"/>
    <w:rsid w:val="00316D76"/>
    <w:rsid w:val="003202F7"/>
    <w:rsid w:val="00320586"/>
    <w:rsid w:val="003205CA"/>
    <w:rsid w:val="0032100B"/>
    <w:rsid w:val="00321F9E"/>
    <w:rsid w:val="003222E3"/>
    <w:rsid w:val="00322945"/>
    <w:rsid w:val="003234F4"/>
    <w:rsid w:val="00323F13"/>
    <w:rsid w:val="00324A8F"/>
    <w:rsid w:val="003252F3"/>
    <w:rsid w:val="00325639"/>
    <w:rsid w:val="00325CD5"/>
    <w:rsid w:val="00325D6E"/>
    <w:rsid w:val="00325F76"/>
    <w:rsid w:val="00326FA7"/>
    <w:rsid w:val="00327016"/>
    <w:rsid w:val="003301AC"/>
    <w:rsid w:val="0033117E"/>
    <w:rsid w:val="00333011"/>
    <w:rsid w:val="00334286"/>
    <w:rsid w:val="00335DE4"/>
    <w:rsid w:val="00335E8B"/>
    <w:rsid w:val="00336E76"/>
    <w:rsid w:val="00341200"/>
    <w:rsid w:val="0034159D"/>
    <w:rsid w:val="00341D04"/>
    <w:rsid w:val="0034418E"/>
    <w:rsid w:val="00345FF8"/>
    <w:rsid w:val="0034607C"/>
    <w:rsid w:val="00346285"/>
    <w:rsid w:val="00346623"/>
    <w:rsid w:val="00346E9C"/>
    <w:rsid w:val="00347A38"/>
    <w:rsid w:val="00351142"/>
    <w:rsid w:val="00351240"/>
    <w:rsid w:val="00351A83"/>
    <w:rsid w:val="00351CB2"/>
    <w:rsid w:val="003522DC"/>
    <w:rsid w:val="0035272C"/>
    <w:rsid w:val="003527E3"/>
    <w:rsid w:val="00352980"/>
    <w:rsid w:val="003530FA"/>
    <w:rsid w:val="00353E91"/>
    <w:rsid w:val="00354560"/>
    <w:rsid w:val="003546C9"/>
    <w:rsid w:val="003563C2"/>
    <w:rsid w:val="00356539"/>
    <w:rsid w:val="003565FE"/>
    <w:rsid w:val="00356ED9"/>
    <w:rsid w:val="00357336"/>
    <w:rsid w:val="003573CD"/>
    <w:rsid w:val="003601EC"/>
    <w:rsid w:val="003604AF"/>
    <w:rsid w:val="00360DB1"/>
    <w:rsid w:val="003613AE"/>
    <w:rsid w:val="00361DCF"/>
    <w:rsid w:val="00362391"/>
    <w:rsid w:val="00363142"/>
    <w:rsid w:val="00363B93"/>
    <w:rsid w:val="0036463D"/>
    <w:rsid w:val="0036536E"/>
    <w:rsid w:val="00365A22"/>
    <w:rsid w:val="00370318"/>
    <w:rsid w:val="00370B4C"/>
    <w:rsid w:val="00371813"/>
    <w:rsid w:val="00371D09"/>
    <w:rsid w:val="00372224"/>
    <w:rsid w:val="003726E2"/>
    <w:rsid w:val="00372CD0"/>
    <w:rsid w:val="003733D4"/>
    <w:rsid w:val="00373A82"/>
    <w:rsid w:val="003740B6"/>
    <w:rsid w:val="003743AA"/>
    <w:rsid w:val="00374F0B"/>
    <w:rsid w:val="003760AE"/>
    <w:rsid w:val="003765D0"/>
    <w:rsid w:val="00376DE1"/>
    <w:rsid w:val="003775FB"/>
    <w:rsid w:val="003808F9"/>
    <w:rsid w:val="00380D87"/>
    <w:rsid w:val="00380E1A"/>
    <w:rsid w:val="003811BD"/>
    <w:rsid w:val="003828FF"/>
    <w:rsid w:val="003829F5"/>
    <w:rsid w:val="00383B72"/>
    <w:rsid w:val="00383D53"/>
    <w:rsid w:val="00383EE2"/>
    <w:rsid w:val="00383F05"/>
    <w:rsid w:val="003848AE"/>
    <w:rsid w:val="00384EFC"/>
    <w:rsid w:val="003863B2"/>
    <w:rsid w:val="0038683D"/>
    <w:rsid w:val="00390DB3"/>
    <w:rsid w:val="00392C23"/>
    <w:rsid w:val="003938B8"/>
    <w:rsid w:val="00393F31"/>
    <w:rsid w:val="00395F15"/>
    <w:rsid w:val="00396812"/>
    <w:rsid w:val="0039737F"/>
    <w:rsid w:val="003A0EAD"/>
    <w:rsid w:val="003A12AE"/>
    <w:rsid w:val="003A1629"/>
    <w:rsid w:val="003A282D"/>
    <w:rsid w:val="003A3107"/>
    <w:rsid w:val="003A36E7"/>
    <w:rsid w:val="003A38F6"/>
    <w:rsid w:val="003A3D33"/>
    <w:rsid w:val="003A3EC1"/>
    <w:rsid w:val="003A4391"/>
    <w:rsid w:val="003A43E7"/>
    <w:rsid w:val="003A47EE"/>
    <w:rsid w:val="003A64A3"/>
    <w:rsid w:val="003B047B"/>
    <w:rsid w:val="003B04D3"/>
    <w:rsid w:val="003B0BD7"/>
    <w:rsid w:val="003B1835"/>
    <w:rsid w:val="003B19D3"/>
    <w:rsid w:val="003B1BD7"/>
    <w:rsid w:val="003B2414"/>
    <w:rsid w:val="003B2578"/>
    <w:rsid w:val="003B2B08"/>
    <w:rsid w:val="003B33D3"/>
    <w:rsid w:val="003B3CF4"/>
    <w:rsid w:val="003B3E70"/>
    <w:rsid w:val="003B49CB"/>
    <w:rsid w:val="003B580C"/>
    <w:rsid w:val="003B5D9C"/>
    <w:rsid w:val="003B62CE"/>
    <w:rsid w:val="003B6651"/>
    <w:rsid w:val="003B682A"/>
    <w:rsid w:val="003B73D5"/>
    <w:rsid w:val="003C0404"/>
    <w:rsid w:val="003C137E"/>
    <w:rsid w:val="003C14F1"/>
    <w:rsid w:val="003C189B"/>
    <w:rsid w:val="003C35AC"/>
    <w:rsid w:val="003C42D2"/>
    <w:rsid w:val="003C597F"/>
    <w:rsid w:val="003C601D"/>
    <w:rsid w:val="003C6792"/>
    <w:rsid w:val="003C74F4"/>
    <w:rsid w:val="003D0339"/>
    <w:rsid w:val="003D11C2"/>
    <w:rsid w:val="003D1636"/>
    <w:rsid w:val="003D1883"/>
    <w:rsid w:val="003D209B"/>
    <w:rsid w:val="003D2F63"/>
    <w:rsid w:val="003D4336"/>
    <w:rsid w:val="003D48D4"/>
    <w:rsid w:val="003D61EF"/>
    <w:rsid w:val="003D6D9C"/>
    <w:rsid w:val="003D710C"/>
    <w:rsid w:val="003E0EE5"/>
    <w:rsid w:val="003E140E"/>
    <w:rsid w:val="003E1648"/>
    <w:rsid w:val="003E2334"/>
    <w:rsid w:val="003E37D4"/>
    <w:rsid w:val="003E43C8"/>
    <w:rsid w:val="003E5B51"/>
    <w:rsid w:val="003E5C51"/>
    <w:rsid w:val="003E6BE0"/>
    <w:rsid w:val="003E6FCE"/>
    <w:rsid w:val="003E7CF1"/>
    <w:rsid w:val="003E7D98"/>
    <w:rsid w:val="003E7FD8"/>
    <w:rsid w:val="003F0FC2"/>
    <w:rsid w:val="003F1A57"/>
    <w:rsid w:val="003F1CDF"/>
    <w:rsid w:val="003F1D76"/>
    <w:rsid w:val="003F2FF5"/>
    <w:rsid w:val="003F3475"/>
    <w:rsid w:val="003F3753"/>
    <w:rsid w:val="003F3B6D"/>
    <w:rsid w:val="003F47B5"/>
    <w:rsid w:val="003F4825"/>
    <w:rsid w:val="003F544C"/>
    <w:rsid w:val="003F548E"/>
    <w:rsid w:val="003F6548"/>
    <w:rsid w:val="003F6B33"/>
    <w:rsid w:val="003F727C"/>
    <w:rsid w:val="003F7323"/>
    <w:rsid w:val="003F7F84"/>
    <w:rsid w:val="004002A7"/>
    <w:rsid w:val="00400976"/>
    <w:rsid w:val="00400A33"/>
    <w:rsid w:val="00401E28"/>
    <w:rsid w:val="004021B4"/>
    <w:rsid w:val="0040396A"/>
    <w:rsid w:val="00404A77"/>
    <w:rsid w:val="00405883"/>
    <w:rsid w:val="00406171"/>
    <w:rsid w:val="00406753"/>
    <w:rsid w:val="00406922"/>
    <w:rsid w:val="00406E23"/>
    <w:rsid w:val="00407299"/>
    <w:rsid w:val="0040767D"/>
    <w:rsid w:val="0041133E"/>
    <w:rsid w:val="00411DE5"/>
    <w:rsid w:val="004120E8"/>
    <w:rsid w:val="004131D9"/>
    <w:rsid w:val="004148EE"/>
    <w:rsid w:val="00416403"/>
    <w:rsid w:val="00416F02"/>
    <w:rsid w:val="00420747"/>
    <w:rsid w:val="00420D9C"/>
    <w:rsid w:val="004211DB"/>
    <w:rsid w:val="00421B27"/>
    <w:rsid w:val="00421E36"/>
    <w:rsid w:val="004232BE"/>
    <w:rsid w:val="00423825"/>
    <w:rsid w:val="0042468A"/>
    <w:rsid w:val="0042521A"/>
    <w:rsid w:val="0042527D"/>
    <w:rsid w:val="004253BD"/>
    <w:rsid w:val="00425BC3"/>
    <w:rsid w:val="00425CE8"/>
    <w:rsid w:val="0042629B"/>
    <w:rsid w:val="00427E98"/>
    <w:rsid w:val="00430423"/>
    <w:rsid w:val="0043050F"/>
    <w:rsid w:val="00430E6A"/>
    <w:rsid w:val="004314F4"/>
    <w:rsid w:val="004329AF"/>
    <w:rsid w:val="00432A56"/>
    <w:rsid w:val="00432AE2"/>
    <w:rsid w:val="004336E6"/>
    <w:rsid w:val="0043424B"/>
    <w:rsid w:val="004353F7"/>
    <w:rsid w:val="004355F1"/>
    <w:rsid w:val="00435ADB"/>
    <w:rsid w:val="004374F8"/>
    <w:rsid w:val="00437D70"/>
    <w:rsid w:val="00441581"/>
    <w:rsid w:val="00442E7A"/>
    <w:rsid w:val="00443900"/>
    <w:rsid w:val="00443DA2"/>
    <w:rsid w:val="00444A9A"/>
    <w:rsid w:val="00444FDE"/>
    <w:rsid w:val="00445032"/>
    <w:rsid w:val="0044523A"/>
    <w:rsid w:val="004456E6"/>
    <w:rsid w:val="00445F55"/>
    <w:rsid w:val="00446D01"/>
    <w:rsid w:val="00447ED1"/>
    <w:rsid w:val="00447F7A"/>
    <w:rsid w:val="004506CC"/>
    <w:rsid w:val="00451B74"/>
    <w:rsid w:val="00451BA2"/>
    <w:rsid w:val="00452EDF"/>
    <w:rsid w:val="004531D0"/>
    <w:rsid w:val="00453243"/>
    <w:rsid w:val="00455362"/>
    <w:rsid w:val="004554C1"/>
    <w:rsid w:val="00455503"/>
    <w:rsid w:val="0045559A"/>
    <w:rsid w:val="00455D4E"/>
    <w:rsid w:val="004566B7"/>
    <w:rsid w:val="00456C13"/>
    <w:rsid w:val="00457057"/>
    <w:rsid w:val="0046002F"/>
    <w:rsid w:val="004606E4"/>
    <w:rsid w:val="00461B86"/>
    <w:rsid w:val="00461CDE"/>
    <w:rsid w:val="004623DC"/>
    <w:rsid w:val="00462C09"/>
    <w:rsid w:val="0046318A"/>
    <w:rsid w:val="00463615"/>
    <w:rsid w:val="00464CCA"/>
    <w:rsid w:val="00465C1C"/>
    <w:rsid w:val="00467598"/>
    <w:rsid w:val="00470018"/>
    <w:rsid w:val="004703E9"/>
    <w:rsid w:val="0047151A"/>
    <w:rsid w:val="00471F21"/>
    <w:rsid w:val="00471F52"/>
    <w:rsid w:val="00472749"/>
    <w:rsid w:val="00473037"/>
    <w:rsid w:val="00473A4C"/>
    <w:rsid w:val="00474094"/>
    <w:rsid w:val="004759D5"/>
    <w:rsid w:val="00475DD0"/>
    <w:rsid w:val="00480348"/>
    <w:rsid w:val="00480712"/>
    <w:rsid w:val="00480B5E"/>
    <w:rsid w:val="00480EE3"/>
    <w:rsid w:val="004810E5"/>
    <w:rsid w:val="004827B9"/>
    <w:rsid w:val="00482955"/>
    <w:rsid w:val="00482974"/>
    <w:rsid w:val="0048308A"/>
    <w:rsid w:val="004831F5"/>
    <w:rsid w:val="0048639C"/>
    <w:rsid w:val="0048641C"/>
    <w:rsid w:val="00486799"/>
    <w:rsid w:val="00486F68"/>
    <w:rsid w:val="00493ADD"/>
    <w:rsid w:val="00495B32"/>
    <w:rsid w:val="00497BBC"/>
    <w:rsid w:val="004A01AA"/>
    <w:rsid w:val="004A137A"/>
    <w:rsid w:val="004A14CD"/>
    <w:rsid w:val="004A272A"/>
    <w:rsid w:val="004A2B49"/>
    <w:rsid w:val="004A30EF"/>
    <w:rsid w:val="004A42CF"/>
    <w:rsid w:val="004A553C"/>
    <w:rsid w:val="004A5E9C"/>
    <w:rsid w:val="004A67CF"/>
    <w:rsid w:val="004A67EE"/>
    <w:rsid w:val="004A6D57"/>
    <w:rsid w:val="004A6F4F"/>
    <w:rsid w:val="004A7A74"/>
    <w:rsid w:val="004B0B58"/>
    <w:rsid w:val="004B113C"/>
    <w:rsid w:val="004B1634"/>
    <w:rsid w:val="004B16E1"/>
    <w:rsid w:val="004B1DB1"/>
    <w:rsid w:val="004B209A"/>
    <w:rsid w:val="004B2597"/>
    <w:rsid w:val="004B39C1"/>
    <w:rsid w:val="004B3A79"/>
    <w:rsid w:val="004B3D58"/>
    <w:rsid w:val="004B41A1"/>
    <w:rsid w:val="004B49BF"/>
    <w:rsid w:val="004B6181"/>
    <w:rsid w:val="004B7C9A"/>
    <w:rsid w:val="004C025A"/>
    <w:rsid w:val="004C03B6"/>
    <w:rsid w:val="004C049C"/>
    <w:rsid w:val="004C099F"/>
    <w:rsid w:val="004C1709"/>
    <w:rsid w:val="004C2764"/>
    <w:rsid w:val="004C311E"/>
    <w:rsid w:val="004C36DA"/>
    <w:rsid w:val="004C5502"/>
    <w:rsid w:val="004C5868"/>
    <w:rsid w:val="004C6688"/>
    <w:rsid w:val="004C7D86"/>
    <w:rsid w:val="004C7F28"/>
    <w:rsid w:val="004D0347"/>
    <w:rsid w:val="004D0762"/>
    <w:rsid w:val="004D0ACD"/>
    <w:rsid w:val="004D0BFD"/>
    <w:rsid w:val="004D0DB4"/>
    <w:rsid w:val="004D1157"/>
    <w:rsid w:val="004D1521"/>
    <w:rsid w:val="004D1D90"/>
    <w:rsid w:val="004D1DD4"/>
    <w:rsid w:val="004D2748"/>
    <w:rsid w:val="004D2E7E"/>
    <w:rsid w:val="004D32A9"/>
    <w:rsid w:val="004D3FC0"/>
    <w:rsid w:val="004D4A87"/>
    <w:rsid w:val="004D4F12"/>
    <w:rsid w:val="004D4FBF"/>
    <w:rsid w:val="004D676D"/>
    <w:rsid w:val="004E1072"/>
    <w:rsid w:val="004E1186"/>
    <w:rsid w:val="004E1B5B"/>
    <w:rsid w:val="004E1CFF"/>
    <w:rsid w:val="004E1F46"/>
    <w:rsid w:val="004E2759"/>
    <w:rsid w:val="004E330D"/>
    <w:rsid w:val="004E3C59"/>
    <w:rsid w:val="004E401A"/>
    <w:rsid w:val="004E4C18"/>
    <w:rsid w:val="004E74E5"/>
    <w:rsid w:val="004E7B91"/>
    <w:rsid w:val="004E7DA5"/>
    <w:rsid w:val="004F0597"/>
    <w:rsid w:val="004F0C0A"/>
    <w:rsid w:val="004F19DF"/>
    <w:rsid w:val="004F1C02"/>
    <w:rsid w:val="004F22F9"/>
    <w:rsid w:val="004F2749"/>
    <w:rsid w:val="004F285D"/>
    <w:rsid w:val="004F3B55"/>
    <w:rsid w:val="004F3CE8"/>
    <w:rsid w:val="004F4A9C"/>
    <w:rsid w:val="004F4B3C"/>
    <w:rsid w:val="004F5F0C"/>
    <w:rsid w:val="004F6213"/>
    <w:rsid w:val="004F6DD8"/>
    <w:rsid w:val="004F71A1"/>
    <w:rsid w:val="004F71AD"/>
    <w:rsid w:val="004F764F"/>
    <w:rsid w:val="004F7FF6"/>
    <w:rsid w:val="00500922"/>
    <w:rsid w:val="0050145B"/>
    <w:rsid w:val="00501557"/>
    <w:rsid w:val="005017AA"/>
    <w:rsid w:val="005019F3"/>
    <w:rsid w:val="00501EBA"/>
    <w:rsid w:val="0050204E"/>
    <w:rsid w:val="005025C8"/>
    <w:rsid w:val="0050294D"/>
    <w:rsid w:val="00502F10"/>
    <w:rsid w:val="005032AE"/>
    <w:rsid w:val="00503769"/>
    <w:rsid w:val="00503C7D"/>
    <w:rsid w:val="00504FA8"/>
    <w:rsid w:val="00507342"/>
    <w:rsid w:val="005073A7"/>
    <w:rsid w:val="00507486"/>
    <w:rsid w:val="0050756B"/>
    <w:rsid w:val="00510247"/>
    <w:rsid w:val="00511248"/>
    <w:rsid w:val="005122DD"/>
    <w:rsid w:val="00513454"/>
    <w:rsid w:val="00513AA3"/>
    <w:rsid w:val="00513C98"/>
    <w:rsid w:val="0051417A"/>
    <w:rsid w:val="005158FB"/>
    <w:rsid w:val="00515E58"/>
    <w:rsid w:val="00515F87"/>
    <w:rsid w:val="00517ABE"/>
    <w:rsid w:val="00517CC7"/>
    <w:rsid w:val="005203A1"/>
    <w:rsid w:val="005222C6"/>
    <w:rsid w:val="0052445C"/>
    <w:rsid w:val="00524740"/>
    <w:rsid w:val="005256FA"/>
    <w:rsid w:val="00525717"/>
    <w:rsid w:val="00525D79"/>
    <w:rsid w:val="0052609D"/>
    <w:rsid w:val="00526CC4"/>
    <w:rsid w:val="00526F6C"/>
    <w:rsid w:val="00527199"/>
    <w:rsid w:val="005274AE"/>
    <w:rsid w:val="00527C34"/>
    <w:rsid w:val="00531ED6"/>
    <w:rsid w:val="005325C6"/>
    <w:rsid w:val="00532860"/>
    <w:rsid w:val="00533400"/>
    <w:rsid w:val="00533A9E"/>
    <w:rsid w:val="00533AE4"/>
    <w:rsid w:val="00534893"/>
    <w:rsid w:val="00535518"/>
    <w:rsid w:val="00536AB4"/>
    <w:rsid w:val="00536D6F"/>
    <w:rsid w:val="00537DB1"/>
    <w:rsid w:val="00540834"/>
    <w:rsid w:val="005411D0"/>
    <w:rsid w:val="005415EA"/>
    <w:rsid w:val="00541DFF"/>
    <w:rsid w:val="0054221D"/>
    <w:rsid w:val="00543F73"/>
    <w:rsid w:val="00545F5C"/>
    <w:rsid w:val="005469D7"/>
    <w:rsid w:val="00546D39"/>
    <w:rsid w:val="0054736A"/>
    <w:rsid w:val="00547CAB"/>
    <w:rsid w:val="00550113"/>
    <w:rsid w:val="00550F3D"/>
    <w:rsid w:val="00551140"/>
    <w:rsid w:val="005512C1"/>
    <w:rsid w:val="005517CB"/>
    <w:rsid w:val="005527F6"/>
    <w:rsid w:val="00552C9B"/>
    <w:rsid w:val="00553357"/>
    <w:rsid w:val="0055338D"/>
    <w:rsid w:val="0055405E"/>
    <w:rsid w:val="00554EDA"/>
    <w:rsid w:val="00556B34"/>
    <w:rsid w:val="0055712C"/>
    <w:rsid w:val="00560586"/>
    <w:rsid w:val="00562977"/>
    <w:rsid w:val="00562C2D"/>
    <w:rsid w:val="00562E72"/>
    <w:rsid w:val="00562FFC"/>
    <w:rsid w:val="00563A67"/>
    <w:rsid w:val="00563D22"/>
    <w:rsid w:val="00563FD0"/>
    <w:rsid w:val="00564207"/>
    <w:rsid w:val="00564552"/>
    <w:rsid w:val="0056590B"/>
    <w:rsid w:val="00565AFE"/>
    <w:rsid w:val="005661A3"/>
    <w:rsid w:val="00567616"/>
    <w:rsid w:val="00567692"/>
    <w:rsid w:val="00567D14"/>
    <w:rsid w:val="005704BB"/>
    <w:rsid w:val="0057076F"/>
    <w:rsid w:val="005714DF"/>
    <w:rsid w:val="005715CB"/>
    <w:rsid w:val="005719BD"/>
    <w:rsid w:val="00572090"/>
    <w:rsid w:val="005732AF"/>
    <w:rsid w:val="0057462A"/>
    <w:rsid w:val="00575718"/>
    <w:rsid w:val="0057572F"/>
    <w:rsid w:val="00575FC1"/>
    <w:rsid w:val="005762C6"/>
    <w:rsid w:val="00577C4A"/>
    <w:rsid w:val="00580591"/>
    <w:rsid w:val="00581050"/>
    <w:rsid w:val="0058149E"/>
    <w:rsid w:val="00581953"/>
    <w:rsid w:val="005827D8"/>
    <w:rsid w:val="0058288E"/>
    <w:rsid w:val="00582DD7"/>
    <w:rsid w:val="0058537E"/>
    <w:rsid w:val="00585AFB"/>
    <w:rsid w:val="005864FD"/>
    <w:rsid w:val="00586577"/>
    <w:rsid w:val="005867B8"/>
    <w:rsid w:val="00586891"/>
    <w:rsid w:val="0058799A"/>
    <w:rsid w:val="00587C8E"/>
    <w:rsid w:val="00590F3B"/>
    <w:rsid w:val="0059193B"/>
    <w:rsid w:val="00592118"/>
    <w:rsid w:val="00592316"/>
    <w:rsid w:val="005928F8"/>
    <w:rsid w:val="00592FF1"/>
    <w:rsid w:val="00593003"/>
    <w:rsid w:val="00593832"/>
    <w:rsid w:val="0059409C"/>
    <w:rsid w:val="005946A0"/>
    <w:rsid w:val="00594D66"/>
    <w:rsid w:val="00595B66"/>
    <w:rsid w:val="00595FC2"/>
    <w:rsid w:val="005963E3"/>
    <w:rsid w:val="00596D2D"/>
    <w:rsid w:val="005A0263"/>
    <w:rsid w:val="005A0EDA"/>
    <w:rsid w:val="005A1251"/>
    <w:rsid w:val="005A146A"/>
    <w:rsid w:val="005A17EF"/>
    <w:rsid w:val="005A183E"/>
    <w:rsid w:val="005A19FA"/>
    <w:rsid w:val="005A2ECF"/>
    <w:rsid w:val="005A4CC3"/>
    <w:rsid w:val="005A61C5"/>
    <w:rsid w:val="005A66BF"/>
    <w:rsid w:val="005A6C72"/>
    <w:rsid w:val="005A708E"/>
    <w:rsid w:val="005A757A"/>
    <w:rsid w:val="005A776D"/>
    <w:rsid w:val="005A7819"/>
    <w:rsid w:val="005B004D"/>
    <w:rsid w:val="005B0435"/>
    <w:rsid w:val="005B0663"/>
    <w:rsid w:val="005B0CD2"/>
    <w:rsid w:val="005B13CE"/>
    <w:rsid w:val="005B1A4D"/>
    <w:rsid w:val="005B267B"/>
    <w:rsid w:val="005B35D6"/>
    <w:rsid w:val="005B3A5B"/>
    <w:rsid w:val="005B3ACF"/>
    <w:rsid w:val="005B40C5"/>
    <w:rsid w:val="005B4A61"/>
    <w:rsid w:val="005B4D4F"/>
    <w:rsid w:val="005B4FA8"/>
    <w:rsid w:val="005B515D"/>
    <w:rsid w:val="005B6A2E"/>
    <w:rsid w:val="005B6DC3"/>
    <w:rsid w:val="005B70D2"/>
    <w:rsid w:val="005B74A2"/>
    <w:rsid w:val="005B7ACD"/>
    <w:rsid w:val="005B7E14"/>
    <w:rsid w:val="005C0AD1"/>
    <w:rsid w:val="005C0CE9"/>
    <w:rsid w:val="005C1610"/>
    <w:rsid w:val="005C191F"/>
    <w:rsid w:val="005C1C58"/>
    <w:rsid w:val="005C2541"/>
    <w:rsid w:val="005C30A2"/>
    <w:rsid w:val="005C4310"/>
    <w:rsid w:val="005C464D"/>
    <w:rsid w:val="005C5456"/>
    <w:rsid w:val="005C586F"/>
    <w:rsid w:val="005C6382"/>
    <w:rsid w:val="005C7649"/>
    <w:rsid w:val="005C7A2D"/>
    <w:rsid w:val="005C7D30"/>
    <w:rsid w:val="005C7DB7"/>
    <w:rsid w:val="005C7FEB"/>
    <w:rsid w:val="005D2AF8"/>
    <w:rsid w:val="005D583D"/>
    <w:rsid w:val="005D5C91"/>
    <w:rsid w:val="005D5F65"/>
    <w:rsid w:val="005D60A4"/>
    <w:rsid w:val="005D6303"/>
    <w:rsid w:val="005D6A40"/>
    <w:rsid w:val="005E0132"/>
    <w:rsid w:val="005E021E"/>
    <w:rsid w:val="005E0692"/>
    <w:rsid w:val="005E0C58"/>
    <w:rsid w:val="005E1D45"/>
    <w:rsid w:val="005E468E"/>
    <w:rsid w:val="005E47AC"/>
    <w:rsid w:val="005E4B21"/>
    <w:rsid w:val="005E522D"/>
    <w:rsid w:val="005E5835"/>
    <w:rsid w:val="005E5CA1"/>
    <w:rsid w:val="005E664F"/>
    <w:rsid w:val="005E689A"/>
    <w:rsid w:val="005E6E6C"/>
    <w:rsid w:val="005E7EFA"/>
    <w:rsid w:val="005F0700"/>
    <w:rsid w:val="005F1526"/>
    <w:rsid w:val="005F2BFE"/>
    <w:rsid w:val="005F2F17"/>
    <w:rsid w:val="005F3AD5"/>
    <w:rsid w:val="005F3B2A"/>
    <w:rsid w:val="005F3E59"/>
    <w:rsid w:val="005F7F3F"/>
    <w:rsid w:val="0060081B"/>
    <w:rsid w:val="006008E2"/>
    <w:rsid w:val="00600F69"/>
    <w:rsid w:val="006027D2"/>
    <w:rsid w:val="0060310D"/>
    <w:rsid w:val="00603125"/>
    <w:rsid w:val="006035FB"/>
    <w:rsid w:val="00603616"/>
    <w:rsid w:val="006037FF"/>
    <w:rsid w:val="0060392D"/>
    <w:rsid w:val="00603FFD"/>
    <w:rsid w:val="006041CA"/>
    <w:rsid w:val="00604B38"/>
    <w:rsid w:val="00604BC9"/>
    <w:rsid w:val="00605690"/>
    <w:rsid w:val="00605F4E"/>
    <w:rsid w:val="00605FA4"/>
    <w:rsid w:val="0060610D"/>
    <w:rsid w:val="006063CB"/>
    <w:rsid w:val="0060650D"/>
    <w:rsid w:val="006078FB"/>
    <w:rsid w:val="00607D61"/>
    <w:rsid w:val="006111A6"/>
    <w:rsid w:val="00611A2F"/>
    <w:rsid w:val="00613DDC"/>
    <w:rsid w:val="006142DF"/>
    <w:rsid w:val="00614894"/>
    <w:rsid w:val="00614DB7"/>
    <w:rsid w:val="00615014"/>
    <w:rsid w:val="006150C0"/>
    <w:rsid w:val="00615E86"/>
    <w:rsid w:val="006167EF"/>
    <w:rsid w:val="00616AF8"/>
    <w:rsid w:val="006176B4"/>
    <w:rsid w:val="00617C10"/>
    <w:rsid w:val="00620651"/>
    <w:rsid w:val="00620F8C"/>
    <w:rsid w:val="00621A14"/>
    <w:rsid w:val="00622051"/>
    <w:rsid w:val="00623A9A"/>
    <w:rsid w:val="006241B4"/>
    <w:rsid w:val="006245A1"/>
    <w:rsid w:val="00631E64"/>
    <w:rsid w:val="00632032"/>
    <w:rsid w:val="0063326B"/>
    <w:rsid w:val="00633968"/>
    <w:rsid w:val="006346F7"/>
    <w:rsid w:val="006349DE"/>
    <w:rsid w:val="00635362"/>
    <w:rsid w:val="0064029F"/>
    <w:rsid w:val="00640575"/>
    <w:rsid w:val="00641412"/>
    <w:rsid w:val="0064187D"/>
    <w:rsid w:val="0064193A"/>
    <w:rsid w:val="00641945"/>
    <w:rsid w:val="00641DA7"/>
    <w:rsid w:val="006436CF"/>
    <w:rsid w:val="00644A5F"/>
    <w:rsid w:val="00645046"/>
    <w:rsid w:val="00645113"/>
    <w:rsid w:val="0064540F"/>
    <w:rsid w:val="00646124"/>
    <w:rsid w:val="00646533"/>
    <w:rsid w:val="00646557"/>
    <w:rsid w:val="0064657B"/>
    <w:rsid w:val="00650A9B"/>
    <w:rsid w:val="00651BD6"/>
    <w:rsid w:val="00651E7E"/>
    <w:rsid w:val="00652138"/>
    <w:rsid w:val="006529C4"/>
    <w:rsid w:val="00652D14"/>
    <w:rsid w:val="006535EB"/>
    <w:rsid w:val="006539F2"/>
    <w:rsid w:val="00653AC1"/>
    <w:rsid w:val="00653B73"/>
    <w:rsid w:val="00653BD4"/>
    <w:rsid w:val="00653E79"/>
    <w:rsid w:val="0065423B"/>
    <w:rsid w:val="00654294"/>
    <w:rsid w:val="006544AF"/>
    <w:rsid w:val="00654547"/>
    <w:rsid w:val="00654833"/>
    <w:rsid w:val="006548B0"/>
    <w:rsid w:val="00654981"/>
    <w:rsid w:val="0065601D"/>
    <w:rsid w:val="006562C6"/>
    <w:rsid w:val="00657C77"/>
    <w:rsid w:val="00662626"/>
    <w:rsid w:val="00663D8F"/>
    <w:rsid w:val="00663E3E"/>
    <w:rsid w:val="00664ADA"/>
    <w:rsid w:val="00664B87"/>
    <w:rsid w:val="006659CA"/>
    <w:rsid w:val="00665D97"/>
    <w:rsid w:val="006669AA"/>
    <w:rsid w:val="006672AF"/>
    <w:rsid w:val="00667593"/>
    <w:rsid w:val="00667B79"/>
    <w:rsid w:val="00667EBC"/>
    <w:rsid w:val="0067122D"/>
    <w:rsid w:val="00671810"/>
    <w:rsid w:val="00671926"/>
    <w:rsid w:val="00671A44"/>
    <w:rsid w:val="00672330"/>
    <w:rsid w:val="00672378"/>
    <w:rsid w:val="00672489"/>
    <w:rsid w:val="00672590"/>
    <w:rsid w:val="00672EA6"/>
    <w:rsid w:val="00673453"/>
    <w:rsid w:val="0067385D"/>
    <w:rsid w:val="00673EBC"/>
    <w:rsid w:val="00674058"/>
    <w:rsid w:val="00674798"/>
    <w:rsid w:val="00674D8A"/>
    <w:rsid w:val="006758EA"/>
    <w:rsid w:val="006778E8"/>
    <w:rsid w:val="006807E1"/>
    <w:rsid w:val="006817FB"/>
    <w:rsid w:val="00681CDA"/>
    <w:rsid w:val="00682365"/>
    <w:rsid w:val="0068239F"/>
    <w:rsid w:val="00682942"/>
    <w:rsid w:val="00683363"/>
    <w:rsid w:val="00684063"/>
    <w:rsid w:val="00684711"/>
    <w:rsid w:val="00684BBF"/>
    <w:rsid w:val="00684D9A"/>
    <w:rsid w:val="00684F95"/>
    <w:rsid w:val="00684F9C"/>
    <w:rsid w:val="0068508A"/>
    <w:rsid w:val="00686EF2"/>
    <w:rsid w:val="0068795E"/>
    <w:rsid w:val="00690161"/>
    <w:rsid w:val="00690A6C"/>
    <w:rsid w:val="00690E01"/>
    <w:rsid w:val="00691231"/>
    <w:rsid w:val="0069135D"/>
    <w:rsid w:val="006919B5"/>
    <w:rsid w:val="00692672"/>
    <w:rsid w:val="00692F4D"/>
    <w:rsid w:val="0069319C"/>
    <w:rsid w:val="00693244"/>
    <w:rsid w:val="0069329B"/>
    <w:rsid w:val="00693EBE"/>
    <w:rsid w:val="00693F77"/>
    <w:rsid w:val="0069420D"/>
    <w:rsid w:val="006942F4"/>
    <w:rsid w:val="00694BA5"/>
    <w:rsid w:val="00694DB8"/>
    <w:rsid w:val="006970FC"/>
    <w:rsid w:val="006A019A"/>
    <w:rsid w:val="006A0641"/>
    <w:rsid w:val="006A0D26"/>
    <w:rsid w:val="006A1577"/>
    <w:rsid w:val="006A1CD4"/>
    <w:rsid w:val="006A2E7A"/>
    <w:rsid w:val="006A53ED"/>
    <w:rsid w:val="006A5E0D"/>
    <w:rsid w:val="006A7853"/>
    <w:rsid w:val="006B0503"/>
    <w:rsid w:val="006B076C"/>
    <w:rsid w:val="006B0828"/>
    <w:rsid w:val="006B1290"/>
    <w:rsid w:val="006B2209"/>
    <w:rsid w:val="006B2B90"/>
    <w:rsid w:val="006B4660"/>
    <w:rsid w:val="006B51E1"/>
    <w:rsid w:val="006B5702"/>
    <w:rsid w:val="006B67E2"/>
    <w:rsid w:val="006B7922"/>
    <w:rsid w:val="006C00C0"/>
    <w:rsid w:val="006C06A7"/>
    <w:rsid w:val="006C2C6E"/>
    <w:rsid w:val="006C38E1"/>
    <w:rsid w:val="006C3E00"/>
    <w:rsid w:val="006C44A4"/>
    <w:rsid w:val="006C462E"/>
    <w:rsid w:val="006C4DAD"/>
    <w:rsid w:val="006C5505"/>
    <w:rsid w:val="006C5B04"/>
    <w:rsid w:val="006D0B4F"/>
    <w:rsid w:val="006D0EC7"/>
    <w:rsid w:val="006D0F88"/>
    <w:rsid w:val="006D13A5"/>
    <w:rsid w:val="006D1565"/>
    <w:rsid w:val="006D1870"/>
    <w:rsid w:val="006D23CB"/>
    <w:rsid w:val="006D275F"/>
    <w:rsid w:val="006D2FD7"/>
    <w:rsid w:val="006D3236"/>
    <w:rsid w:val="006D3D4F"/>
    <w:rsid w:val="006D5209"/>
    <w:rsid w:val="006D5BF0"/>
    <w:rsid w:val="006D60C4"/>
    <w:rsid w:val="006D6C10"/>
    <w:rsid w:val="006D7976"/>
    <w:rsid w:val="006E02DB"/>
    <w:rsid w:val="006E0398"/>
    <w:rsid w:val="006E07ED"/>
    <w:rsid w:val="006E0A18"/>
    <w:rsid w:val="006E1825"/>
    <w:rsid w:val="006E2140"/>
    <w:rsid w:val="006E2529"/>
    <w:rsid w:val="006E2603"/>
    <w:rsid w:val="006E282F"/>
    <w:rsid w:val="006E2BF7"/>
    <w:rsid w:val="006E2D2E"/>
    <w:rsid w:val="006E2ED0"/>
    <w:rsid w:val="006E2FEC"/>
    <w:rsid w:val="006E42DA"/>
    <w:rsid w:val="006E4422"/>
    <w:rsid w:val="006E44DC"/>
    <w:rsid w:val="006E45BA"/>
    <w:rsid w:val="006E4EED"/>
    <w:rsid w:val="006E656B"/>
    <w:rsid w:val="006E6626"/>
    <w:rsid w:val="006E6DD9"/>
    <w:rsid w:val="006E71A6"/>
    <w:rsid w:val="006E79FA"/>
    <w:rsid w:val="006E7F3D"/>
    <w:rsid w:val="006E7F3E"/>
    <w:rsid w:val="006F07DD"/>
    <w:rsid w:val="006F110E"/>
    <w:rsid w:val="006F1127"/>
    <w:rsid w:val="006F2530"/>
    <w:rsid w:val="006F3105"/>
    <w:rsid w:val="006F3FBC"/>
    <w:rsid w:val="006F514A"/>
    <w:rsid w:val="006F60D9"/>
    <w:rsid w:val="006F6617"/>
    <w:rsid w:val="006F6B44"/>
    <w:rsid w:val="006F7D7C"/>
    <w:rsid w:val="00700248"/>
    <w:rsid w:val="00701024"/>
    <w:rsid w:val="00701146"/>
    <w:rsid w:val="00701901"/>
    <w:rsid w:val="00702351"/>
    <w:rsid w:val="007026E1"/>
    <w:rsid w:val="00702798"/>
    <w:rsid w:val="007028BA"/>
    <w:rsid w:val="00703011"/>
    <w:rsid w:val="00703012"/>
    <w:rsid w:val="007032D0"/>
    <w:rsid w:val="0070419B"/>
    <w:rsid w:val="0070507D"/>
    <w:rsid w:val="007056CD"/>
    <w:rsid w:val="00705AFA"/>
    <w:rsid w:val="00705CCF"/>
    <w:rsid w:val="0070614C"/>
    <w:rsid w:val="007064D0"/>
    <w:rsid w:val="00706A78"/>
    <w:rsid w:val="00707314"/>
    <w:rsid w:val="0070773C"/>
    <w:rsid w:val="007103E6"/>
    <w:rsid w:val="00710826"/>
    <w:rsid w:val="00710A0A"/>
    <w:rsid w:val="00710D0A"/>
    <w:rsid w:val="00711827"/>
    <w:rsid w:val="0071188E"/>
    <w:rsid w:val="00712216"/>
    <w:rsid w:val="00712C8D"/>
    <w:rsid w:val="00712E76"/>
    <w:rsid w:val="007135C9"/>
    <w:rsid w:val="007148C1"/>
    <w:rsid w:val="00714AF4"/>
    <w:rsid w:val="00714E19"/>
    <w:rsid w:val="00714E9F"/>
    <w:rsid w:val="00714F16"/>
    <w:rsid w:val="00715221"/>
    <w:rsid w:val="0071574A"/>
    <w:rsid w:val="00715CFF"/>
    <w:rsid w:val="00715F2C"/>
    <w:rsid w:val="007168F9"/>
    <w:rsid w:val="00716A8D"/>
    <w:rsid w:val="00716C65"/>
    <w:rsid w:val="00720A4A"/>
    <w:rsid w:val="00720D91"/>
    <w:rsid w:val="007213CB"/>
    <w:rsid w:val="007216BB"/>
    <w:rsid w:val="007219FA"/>
    <w:rsid w:val="0072247B"/>
    <w:rsid w:val="007224D5"/>
    <w:rsid w:val="00722BA1"/>
    <w:rsid w:val="0072310E"/>
    <w:rsid w:val="007232A7"/>
    <w:rsid w:val="007232F2"/>
    <w:rsid w:val="00723545"/>
    <w:rsid w:val="007244F2"/>
    <w:rsid w:val="0072462A"/>
    <w:rsid w:val="0072615F"/>
    <w:rsid w:val="0073045B"/>
    <w:rsid w:val="007312D0"/>
    <w:rsid w:val="00732395"/>
    <w:rsid w:val="00732868"/>
    <w:rsid w:val="00733D9C"/>
    <w:rsid w:val="00734601"/>
    <w:rsid w:val="0073592E"/>
    <w:rsid w:val="00735F81"/>
    <w:rsid w:val="007361D4"/>
    <w:rsid w:val="007368BA"/>
    <w:rsid w:val="00737738"/>
    <w:rsid w:val="00737792"/>
    <w:rsid w:val="007379C9"/>
    <w:rsid w:val="00740400"/>
    <w:rsid w:val="007409F5"/>
    <w:rsid w:val="00740AA0"/>
    <w:rsid w:val="0074189F"/>
    <w:rsid w:val="00742222"/>
    <w:rsid w:val="00742876"/>
    <w:rsid w:val="00742B0D"/>
    <w:rsid w:val="007440F4"/>
    <w:rsid w:val="00744380"/>
    <w:rsid w:val="00744516"/>
    <w:rsid w:val="00744BBF"/>
    <w:rsid w:val="00745694"/>
    <w:rsid w:val="007457BB"/>
    <w:rsid w:val="00745E32"/>
    <w:rsid w:val="007464E7"/>
    <w:rsid w:val="00746A64"/>
    <w:rsid w:val="00747276"/>
    <w:rsid w:val="00750783"/>
    <w:rsid w:val="0075092E"/>
    <w:rsid w:val="007509AB"/>
    <w:rsid w:val="00750D5E"/>
    <w:rsid w:val="00751534"/>
    <w:rsid w:val="007519D1"/>
    <w:rsid w:val="0075207F"/>
    <w:rsid w:val="007526B2"/>
    <w:rsid w:val="00752810"/>
    <w:rsid w:val="00752A8A"/>
    <w:rsid w:val="00752A92"/>
    <w:rsid w:val="00753D56"/>
    <w:rsid w:val="007540BD"/>
    <w:rsid w:val="00755937"/>
    <w:rsid w:val="00755C99"/>
    <w:rsid w:val="0075633F"/>
    <w:rsid w:val="007563D9"/>
    <w:rsid w:val="00756CF9"/>
    <w:rsid w:val="00756DCB"/>
    <w:rsid w:val="00756DD1"/>
    <w:rsid w:val="007600E2"/>
    <w:rsid w:val="007623C0"/>
    <w:rsid w:val="007628D4"/>
    <w:rsid w:val="007634B0"/>
    <w:rsid w:val="0076521F"/>
    <w:rsid w:val="0076610B"/>
    <w:rsid w:val="007669BE"/>
    <w:rsid w:val="00767ECA"/>
    <w:rsid w:val="007709C0"/>
    <w:rsid w:val="00770BCE"/>
    <w:rsid w:val="00771232"/>
    <w:rsid w:val="007718D1"/>
    <w:rsid w:val="007722C6"/>
    <w:rsid w:val="0077319E"/>
    <w:rsid w:val="00773C4A"/>
    <w:rsid w:val="00774029"/>
    <w:rsid w:val="00774675"/>
    <w:rsid w:val="00774EF9"/>
    <w:rsid w:val="00774F4A"/>
    <w:rsid w:val="00775639"/>
    <w:rsid w:val="00776471"/>
    <w:rsid w:val="00777624"/>
    <w:rsid w:val="00777691"/>
    <w:rsid w:val="00780225"/>
    <w:rsid w:val="0078137E"/>
    <w:rsid w:val="0078297A"/>
    <w:rsid w:val="00782E3A"/>
    <w:rsid w:val="00783DD7"/>
    <w:rsid w:val="00784BCA"/>
    <w:rsid w:val="00784DBB"/>
    <w:rsid w:val="0078647E"/>
    <w:rsid w:val="00786A05"/>
    <w:rsid w:val="00790195"/>
    <w:rsid w:val="00791F32"/>
    <w:rsid w:val="007921E0"/>
    <w:rsid w:val="0079258F"/>
    <w:rsid w:val="00792ADC"/>
    <w:rsid w:val="00793735"/>
    <w:rsid w:val="00793A1F"/>
    <w:rsid w:val="00793C72"/>
    <w:rsid w:val="007942B7"/>
    <w:rsid w:val="0079460A"/>
    <w:rsid w:val="00794740"/>
    <w:rsid w:val="00794B63"/>
    <w:rsid w:val="007957BD"/>
    <w:rsid w:val="00797947"/>
    <w:rsid w:val="00797ED4"/>
    <w:rsid w:val="007A0556"/>
    <w:rsid w:val="007A0674"/>
    <w:rsid w:val="007A21EB"/>
    <w:rsid w:val="007A3882"/>
    <w:rsid w:val="007A4B98"/>
    <w:rsid w:val="007A6246"/>
    <w:rsid w:val="007A6850"/>
    <w:rsid w:val="007A6B72"/>
    <w:rsid w:val="007A758E"/>
    <w:rsid w:val="007A7668"/>
    <w:rsid w:val="007B0D4B"/>
    <w:rsid w:val="007B13EB"/>
    <w:rsid w:val="007B1434"/>
    <w:rsid w:val="007B26F1"/>
    <w:rsid w:val="007B44C1"/>
    <w:rsid w:val="007B473E"/>
    <w:rsid w:val="007B4D95"/>
    <w:rsid w:val="007B4E85"/>
    <w:rsid w:val="007B5472"/>
    <w:rsid w:val="007B6B13"/>
    <w:rsid w:val="007B788A"/>
    <w:rsid w:val="007C03AB"/>
    <w:rsid w:val="007C091A"/>
    <w:rsid w:val="007C12A3"/>
    <w:rsid w:val="007C21D2"/>
    <w:rsid w:val="007C28E9"/>
    <w:rsid w:val="007C34E9"/>
    <w:rsid w:val="007C3CF5"/>
    <w:rsid w:val="007C45D5"/>
    <w:rsid w:val="007C4A4F"/>
    <w:rsid w:val="007C4BEA"/>
    <w:rsid w:val="007C5526"/>
    <w:rsid w:val="007C5EF5"/>
    <w:rsid w:val="007C6321"/>
    <w:rsid w:val="007C694C"/>
    <w:rsid w:val="007D09EB"/>
    <w:rsid w:val="007D1C3E"/>
    <w:rsid w:val="007D2166"/>
    <w:rsid w:val="007D2487"/>
    <w:rsid w:val="007D299D"/>
    <w:rsid w:val="007D313D"/>
    <w:rsid w:val="007D374A"/>
    <w:rsid w:val="007D3C14"/>
    <w:rsid w:val="007D453A"/>
    <w:rsid w:val="007D5335"/>
    <w:rsid w:val="007D7842"/>
    <w:rsid w:val="007D7B00"/>
    <w:rsid w:val="007E08E1"/>
    <w:rsid w:val="007E09E8"/>
    <w:rsid w:val="007E1F1E"/>
    <w:rsid w:val="007E2D96"/>
    <w:rsid w:val="007E3031"/>
    <w:rsid w:val="007E3952"/>
    <w:rsid w:val="007E4750"/>
    <w:rsid w:val="007E4CF6"/>
    <w:rsid w:val="007E5259"/>
    <w:rsid w:val="007E52AE"/>
    <w:rsid w:val="007E6817"/>
    <w:rsid w:val="007E68B5"/>
    <w:rsid w:val="007E7904"/>
    <w:rsid w:val="007F127F"/>
    <w:rsid w:val="007F2F8D"/>
    <w:rsid w:val="007F3CAD"/>
    <w:rsid w:val="007F4501"/>
    <w:rsid w:val="007F48DB"/>
    <w:rsid w:val="007F4D53"/>
    <w:rsid w:val="007F5403"/>
    <w:rsid w:val="007F59CC"/>
    <w:rsid w:val="007F5D13"/>
    <w:rsid w:val="007F7526"/>
    <w:rsid w:val="007F7ADB"/>
    <w:rsid w:val="007F7B55"/>
    <w:rsid w:val="008001B6"/>
    <w:rsid w:val="0080171A"/>
    <w:rsid w:val="008023FE"/>
    <w:rsid w:val="00802D0A"/>
    <w:rsid w:val="008036D4"/>
    <w:rsid w:val="008037AF"/>
    <w:rsid w:val="00803ECD"/>
    <w:rsid w:val="00804698"/>
    <w:rsid w:val="00804FE1"/>
    <w:rsid w:val="00806C36"/>
    <w:rsid w:val="00806CC2"/>
    <w:rsid w:val="00807FF9"/>
    <w:rsid w:val="00810120"/>
    <w:rsid w:val="00810230"/>
    <w:rsid w:val="008105E4"/>
    <w:rsid w:val="00810708"/>
    <w:rsid w:val="00811724"/>
    <w:rsid w:val="008138DA"/>
    <w:rsid w:val="00815490"/>
    <w:rsid w:val="00815845"/>
    <w:rsid w:val="00817F7B"/>
    <w:rsid w:val="00820085"/>
    <w:rsid w:val="0082011D"/>
    <w:rsid w:val="00820F64"/>
    <w:rsid w:val="0082156B"/>
    <w:rsid w:val="00821C8E"/>
    <w:rsid w:val="00822ECB"/>
    <w:rsid w:val="00823DAC"/>
    <w:rsid w:val="00824D96"/>
    <w:rsid w:val="00825081"/>
    <w:rsid w:val="00825BAE"/>
    <w:rsid w:val="00826B56"/>
    <w:rsid w:val="00826CC9"/>
    <w:rsid w:val="00827012"/>
    <w:rsid w:val="00827422"/>
    <w:rsid w:val="0082754E"/>
    <w:rsid w:val="00827A36"/>
    <w:rsid w:val="00827E69"/>
    <w:rsid w:val="0083013D"/>
    <w:rsid w:val="00830525"/>
    <w:rsid w:val="00830B03"/>
    <w:rsid w:val="00830ED1"/>
    <w:rsid w:val="00831511"/>
    <w:rsid w:val="008315DA"/>
    <w:rsid w:val="00831A7C"/>
    <w:rsid w:val="008328FF"/>
    <w:rsid w:val="00832F37"/>
    <w:rsid w:val="00835438"/>
    <w:rsid w:val="00835B0E"/>
    <w:rsid w:val="0083632D"/>
    <w:rsid w:val="0083785D"/>
    <w:rsid w:val="00837BA7"/>
    <w:rsid w:val="00837BFA"/>
    <w:rsid w:val="0084126D"/>
    <w:rsid w:val="008412CD"/>
    <w:rsid w:val="00841AD1"/>
    <w:rsid w:val="00842128"/>
    <w:rsid w:val="00842E5A"/>
    <w:rsid w:val="00843D1D"/>
    <w:rsid w:val="00843D25"/>
    <w:rsid w:val="00843ED6"/>
    <w:rsid w:val="008440D9"/>
    <w:rsid w:val="008451F5"/>
    <w:rsid w:val="00845909"/>
    <w:rsid w:val="00845F8E"/>
    <w:rsid w:val="00850206"/>
    <w:rsid w:val="00850B4D"/>
    <w:rsid w:val="0085133C"/>
    <w:rsid w:val="00851B2F"/>
    <w:rsid w:val="0085326A"/>
    <w:rsid w:val="00853EFF"/>
    <w:rsid w:val="0085402F"/>
    <w:rsid w:val="008549CD"/>
    <w:rsid w:val="00854F7B"/>
    <w:rsid w:val="0085544E"/>
    <w:rsid w:val="00856957"/>
    <w:rsid w:val="00857585"/>
    <w:rsid w:val="00860334"/>
    <w:rsid w:val="00860507"/>
    <w:rsid w:val="0086096D"/>
    <w:rsid w:val="00860DB1"/>
    <w:rsid w:val="0086230B"/>
    <w:rsid w:val="008627C8"/>
    <w:rsid w:val="00862E9F"/>
    <w:rsid w:val="0086493C"/>
    <w:rsid w:val="00864FCD"/>
    <w:rsid w:val="0086509E"/>
    <w:rsid w:val="00865152"/>
    <w:rsid w:val="00870203"/>
    <w:rsid w:val="00870940"/>
    <w:rsid w:val="00872491"/>
    <w:rsid w:val="00872AB1"/>
    <w:rsid w:val="00872D1F"/>
    <w:rsid w:val="00874400"/>
    <w:rsid w:val="008746DA"/>
    <w:rsid w:val="0087535E"/>
    <w:rsid w:val="008753F4"/>
    <w:rsid w:val="00876F68"/>
    <w:rsid w:val="00876FAB"/>
    <w:rsid w:val="008773E6"/>
    <w:rsid w:val="008777BF"/>
    <w:rsid w:val="008777F4"/>
    <w:rsid w:val="008779D5"/>
    <w:rsid w:val="00881463"/>
    <w:rsid w:val="00881BEF"/>
    <w:rsid w:val="00881DD7"/>
    <w:rsid w:val="008821FB"/>
    <w:rsid w:val="00882FA6"/>
    <w:rsid w:val="008848AA"/>
    <w:rsid w:val="00884B19"/>
    <w:rsid w:val="00886444"/>
    <w:rsid w:val="00887705"/>
    <w:rsid w:val="0089014F"/>
    <w:rsid w:val="0089103C"/>
    <w:rsid w:val="00891155"/>
    <w:rsid w:val="008917A5"/>
    <w:rsid w:val="008917F6"/>
    <w:rsid w:val="00891BEC"/>
    <w:rsid w:val="0089243F"/>
    <w:rsid w:val="00893308"/>
    <w:rsid w:val="00893E65"/>
    <w:rsid w:val="008943A2"/>
    <w:rsid w:val="00894AFC"/>
    <w:rsid w:val="00894F70"/>
    <w:rsid w:val="00895435"/>
    <w:rsid w:val="008955CC"/>
    <w:rsid w:val="00895AFE"/>
    <w:rsid w:val="00896053"/>
    <w:rsid w:val="008969D7"/>
    <w:rsid w:val="00897885"/>
    <w:rsid w:val="008978FE"/>
    <w:rsid w:val="00897A6E"/>
    <w:rsid w:val="008A03F4"/>
    <w:rsid w:val="008A0628"/>
    <w:rsid w:val="008A1066"/>
    <w:rsid w:val="008A16F7"/>
    <w:rsid w:val="008A1A4A"/>
    <w:rsid w:val="008A1AAF"/>
    <w:rsid w:val="008A1BB6"/>
    <w:rsid w:val="008A3981"/>
    <w:rsid w:val="008A39A4"/>
    <w:rsid w:val="008A4886"/>
    <w:rsid w:val="008A5737"/>
    <w:rsid w:val="008A6079"/>
    <w:rsid w:val="008A7ABB"/>
    <w:rsid w:val="008B00E0"/>
    <w:rsid w:val="008B170D"/>
    <w:rsid w:val="008B1A07"/>
    <w:rsid w:val="008B1EE4"/>
    <w:rsid w:val="008B2D90"/>
    <w:rsid w:val="008B3E01"/>
    <w:rsid w:val="008B425D"/>
    <w:rsid w:val="008B425E"/>
    <w:rsid w:val="008B4A8C"/>
    <w:rsid w:val="008B4CB5"/>
    <w:rsid w:val="008B5059"/>
    <w:rsid w:val="008B5320"/>
    <w:rsid w:val="008B55AE"/>
    <w:rsid w:val="008B5910"/>
    <w:rsid w:val="008B76E9"/>
    <w:rsid w:val="008C0BBD"/>
    <w:rsid w:val="008C0EA5"/>
    <w:rsid w:val="008C11F1"/>
    <w:rsid w:val="008C1615"/>
    <w:rsid w:val="008C26FF"/>
    <w:rsid w:val="008C320F"/>
    <w:rsid w:val="008C4C99"/>
    <w:rsid w:val="008C57A0"/>
    <w:rsid w:val="008C5F6A"/>
    <w:rsid w:val="008C6A61"/>
    <w:rsid w:val="008C7B85"/>
    <w:rsid w:val="008D05FA"/>
    <w:rsid w:val="008D09B7"/>
    <w:rsid w:val="008D0F4A"/>
    <w:rsid w:val="008D1CC4"/>
    <w:rsid w:val="008D2887"/>
    <w:rsid w:val="008D3B71"/>
    <w:rsid w:val="008D4EDA"/>
    <w:rsid w:val="008D5193"/>
    <w:rsid w:val="008D5352"/>
    <w:rsid w:val="008D6482"/>
    <w:rsid w:val="008D6ECA"/>
    <w:rsid w:val="008D72BF"/>
    <w:rsid w:val="008E0500"/>
    <w:rsid w:val="008E1C28"/>
    <w:rsid w:val="008E221E"/>
    <w:rsid w:val="008E3A05"/>
    <w:rsid w:val="008E464C"/>
    <w:rsid w:val="008E4BF3"/>
    <w:rsid w:val="008E545C"/>
    <w:rsid w:val="008E61F6"/>
    <w:rsid w:val="008E6487"/>
    <w:rsid w:val="008E67AB"/>
    <w:rsid w:val="008F06F6"/>
    <w:rsid w:val="008F076C"/>
    <w:rsid w:val="008F1972"/>
    <w:rsid w:val="008F1F92"/>
    <w:rsid w:val="008F2552"/>
    <w:rsid w:val="008F2C2C"/>
    <w:rsid w:val="008F3395"/>
    <w:rsid w:val="008F3EC4"/>
    <w:rsid w:val="008F4F4E"/>
    <w:rsid w:val="008F5691"/>
    <w:rsid w:val="008F5816"/>
    <w:rsid w:val="008F5A9D"/>
    <w:rsid w:val="008F5DE2"/>
    <w:rsid w:val="008F668E"/>
    <w:rsid w:val="008F7790"/>
    <w:rsid w:val="008F79BA"/>
    <w:rsid w:val="008F7D2C"/>
    <w:rsid w:val="008F7F3B"/>
    <w:rsid w:val="009000D9"/>
    <w:rsid w:val="009006ED"/>
    <w:rsid w:val="00900FD0"/>
    <w:rsid w:val="00902308"/>
    <w:rsid w:val="00903B93"/>
    <w:rsid w:val="00903E00"/>
    <w:rsid w:val="00904503"/>
    <w:rsid w:val="00904993"/>
    <w:rsid w:val="009049EE"/>
    <w:rsid w:val="00905C4B"/>
    <w:rsid w:val="00905D83"/>
    <w:rsid w:val="009067ED"/>
    <w:rsid w:val="00907CD2"/>
    <w:rsid w:val="00907FFE"/>
    <w:rsid w:val="00910DC3"/>
    <w:rsid w:val="00910EEA"/>
    <w:rsid w:val="00911A48"/>
    <w:rsid w:val="00912157"/>
    <w:rsid w:val="009124B1"/>
    <w:rsid w:val="00912C3F"/>
    <w:rsid w:val="00913161"/>
    <w:rsid w:val="00913530"/>
    <w:rsid w:val="00914018"/>
    <w:rsid w:val="00914264"/>
    <w:rsid w:val="009143C2"/>
    <w:rsid w:val="00914BE8"/>
    <w:rsid w:val="00917E7E"/>
    <w:rsid w:val="0092239F"/>
    <w:rsid w:val="0092368F"/>
    <w:rsid w:val="0092385B"/>
    <w:rsid w:val="009243A8"/>
    <w:rsid w:val="009253E0"/>
    <w:rsid w:val="0092596B"/>
    <w:rsid w:val="009262D8"/>
    <w:rsid w:val="00927DC7"/>
    <w:rsid w:val="00930386"/>
    <w:rsid w:val="00930E13"/>
    <w:rsid w:val="00931134"/>
    <w:rsid w:val="009315E7"/>
    <w:rsid w:val="00931E40"/>
    <w:rsid w:val="00931E96"/>
    <w:rsid w:val="00932CB5"/>
    <w:rsid w:val="00933EE4"/>
    <w:rsid w:val="00933FE7"/>
    <w:rsid w:val="00934D37"/>
    <w:rsid w:val="00934DF3"/>
    <w:rsid w:val="00934ED7"/>
    <w:rsid w:val="0093578E"/>
    <w:rsid w:val="009368C6"/>
    <w:rsid w:val="00936B1A"/>
    <w:rsid w:val="0094018C"/>
    <w:rsid w:val="00940D42"/>
    <w:rsid w:val="00941357"/>
    <w:rsid w:val="00941358"/>
    <w:rsid w:val="009419C9"/>
    <w:rsid w:val="00942378"/>
    <w:rsid w:val="00944BC7"/>
    <w:rsid w:val="00944C9E"/>
    <w:rsid w:val="00945029"/>
    <w:rsid w:val="0094512D"/>
    <w:rsid w:val="00945131"/>
    <w:rsid w:val="00950230"/>
    <w:rsid w:val="00951DD3"/>
    <w:rsid w:val="00952F46"/>
    <w:rsid w:val="00953804"/>
    <w:rsid w:val="00953FC0"/>
    <w:rsid w:val="009548E8"/>
    <w:rsid w:val="00955553"/>
    <w:rsid w:val="00956556"/>
    <w:rsid w:val="00956CD6"/>
    <w:rsid w:val="00956DB4"/>
    <w:rsid w:val="0095792A"/>
    <w:rsid w:val="00961291"/>
    <w:rsid w:val="009612E6"/>
    <w:rsid w:val="0096164B"/>
    <w:rsid w:val="00962B44"/>
    <w:rsid w:val="00962FB1"/>
    <w:rsid w:val="00963532"/>
    <w:rsid w:val="00964B51"/>
    <w:rsid w:val="009653F1"/>
    <w:rsid w:val="00965FD8"/>
    <w:rsid w:val="009660A0"/>
    <w:rsid w:val="00972BBF"/>
    <w:rsid w:val="00972C49"/>
    <w:rsid w:val="0097373D"/>
    <w:rsid w:val="00976BB9"/>
    <w:rsid w:val="00977569"/>
    <w:rsid w:val="00981C17"/>
    <w:rsid w:val="009837D4"/>
    <w:rsid w:val="00983834"/>
    <w:rsid w:val="00984969"/>
    <w:rsid w:val="00986928"/>
    <w:rsid w:val="0098719A"/>
    <w:rsid w:val="00987743"/>
    <w:rsid w:val="009921E9"/>
    <w:rsid w:val="00992265"/>
    <w:rsid w:val="00992483"/>
    <w:rsid w:val="0099500E"/>
    <w:rsid w:val="00996762"/>
    <w:rsid w:val="00997053"/>
    <w:rsid w:val="009970FD"/>
    <w:rsid w:val="0099781D"/>
    <w:rsid w:val="009A00AD"/>
    <w:rsid w:val="009A02A0"/>
    <w:rsid w:val="009A1890"/>
    <w:rsid w:val="009A25EA"/>
    <w:rsid w:val="009A2779"/>
    <w:rsid w:val="009A43A8"/>
    <w:rsid w:val="009A4A85"/>
    <w:rsid w:val="009A4D69"/>
    <w:rsid w:val="009A50B5"/>
    <w:rsid w:val="009A5673"/>
    <w:rsid w:val="009A5723"/>
    <w:rsid w:val="009A5BDB"/>
    <w:rsid w:val="009A5EAF"/>
    <w:rsid w:val="009A6DF7"/>
    <w:rsid w:val="009B073B"/>
    <w:rsid w:val="009B0781"/>
    <w:rsid w:val="009B1632"/>
    <w:rsid w:val="009B2C26"/>
    <w:rsid w:val="009B2D60"/>
    <w:rsid w:val="009B3267"/>
    <w:rsid w:val="009B37FC"/>
    <w:rsid w:val="009B396C"/>
    <w:rsid w:val="009B3BAD"/>
    <w:rsid w:val="009B46CB"/>
    <w:rsid w:val="009B4C12"/>
    <w:rsid w:val="009B4F14"/>
    <w:rsid w:val="009B57B2"/>
    <w:rsid w:val="009B64C3"/>
    <w:rsid w:val="009B671F"/>
    <w:rsid w:val="009B6818"/>
    <w:rsid w:val="009B6E11"/>
    <w:rsid w:val="009B6E9C"/>
    <w:rsid w:val="009B72E4"/>
    <w:rsid w:val="009B7C8A"/>
    <w:rsid w:val="009B7F09"/>
    <w:rsid w:val="009C0636"/>
    <w:rsid w:val="009C08CB"/>
    <w:rsid w:val="009C10DA"/>
    <w:rsid w:val="009C1245"/>
    <w:rsid w:val="009C1F4C"/>
    <w:rsid w:val="009C1FDB"/>
    <w:rsid w:val="009C21C4"/>
    <w:rsid w:val="009C241E"/>
    <w:rsid w:val="009C266A"/>
    <w:rsid w:val="009C2E29"/>
    <w:rsid w:val="009C2F03"/>
    <w:rsid w:val="009C2F79"/>
    <w:rsid w:val="009C435D"/>
    <w:rsid w:val="009C5457"/>
    <w:rsid w:val="009C58EF"/>
    <w:rsid w:val="009C5954"/>
    <w:rsid w:val="009C5A19"/>
    <w:rsid w:val="009C665B"/>
    <w:rsid w:val="009C6781"/>
    <w:rsid w:val="009C690A"/>
    <w:rsid w:val="009C7ADE"/>
    <w:rsid w:val="009C7C84"/>
    <w:rsid w:val="009C7FB7"/>
    <w:rsid w:val="009C7FEB"/>
    <w:rsid w:val="009D0C77"/>
    <w:rsid w:val="009D1AC4"/>
    <w:rsid w:val="009D204F"/>
    <w:rsid w:val="009D2A9A"/>
    <w:rsid w:val="009D30EB"/>
    <w:rsid w:val="009D316E"/>
    <w:rsid w:val="009D3BB2"/>
    <w:rsid w:val="009D3E7D"/>
    <w:rsid w:val="009D55C5"/>
    <w:rsid w:val="009D5933"/>
    <w:rsid w:val="009D798A"/>
    <w:rsid w:val="009E20AB"/>
    <w:rsid w:val="009E318A"/>
    <w:rsid w:val="009E3254"/>
    <w:rsid w:val="009E3560"/>
    <w:rsid w:val="009E399B"/>
    <w:rsid w:val="009E49E8"/>
    <w:rsid w:val="009E6470"/>
    <w:rsid w:val="009E6B1F"/>
    <w:rsid w:val="009E7ACE"/>
    <w:rsid w:val="009E7E63"/>
    <w:rsid w:val="009F0C3E"/>
    <w:rsid w:val="009F3775"/>
    <w:rsid w:val="009F4170"/>
    <w:rsid w:val="009F48DE"/>
    <w:rsid w:val="009F4A90"/>
    <w:rsid w:val="009F5253"/>
    <w:rsid w:val="009F561B"/>
    <w:rsid w:val="009F5978"/>
    <w:rsid w:val="009F6CE5"/>
    <w:rsid w:val="009F7822"/>
    <w:rsid w:val="00A00598"/>
    <w:rsid w:val="00A00E0C"/>
    <w:rsid w:val="00A035CE"/>
    <w:rsid w:val="00A03B22"/>
    <w:rsid w:val="00A04541"/>
    <w:rsid w:val="00A04594"/>
    <w:rsid w:val="00A05131"/>
    <w:rsid w:val="00A05352"/>
    <w:rsid w:val="00A06008"/>
    <w:rsid w:val="00A06BDC"/>
    <w:rsid w:val="00A0751E"/>
    <w:rsid w:val="00A07FF8"/>
    <w:rsid w:val="00A100EE"/>
    <w:rsid w:val="00A10C0D"/>
    <w:rsid w:val="00A11286"/>
    <w:rsid w:val="00A132A8"/>
    <w:rsid w:val="00A13B9A"/>
    <w:rsid w:val="00A13BC6"/>
    <w:rsid w:val="00A15556"/>
    <w:rsid w:val="00A15BCE"/>
    <w:rsid w:val="00A16DFD"/>
    <w:rsid w:val="00A17647"/>
    <w:rsid w:val="00A21ACB"/>
    <w:rsid w:val="00A228BF"/>
    <w:rsid w:val="00A26432"/>
    <w:rsid w:val="00A27F17"/>
    <w:rsid w:val="00A30072"/>
    <w:rsid w:val="00A30310"/>
    <w:rsid w:val="00A31BFE"/>
    <w:rsid w:val="00A3276E"/>
    <w:rsid w:val="00A32BBB"/>
    <w:rsid w:val="00A32C02"/>
    <w:rsid w:val="00A333DD"/>
    <w:rsid w:val="00A33567"/>
    <w:rsid w:val="00A33985"/>
    <w:rsid w:val="00A339FA"/>
    <w:rsid w:val="00A34B1C"/>
    <w:rsid w:val="00A3679F"/>
    <w:rsid w:val="00A3721A"/>
    <w:rsid w:val="00A40005"/>
    <w:rsid w:val="00A403D0"/>
    <w:rsid w:val="00A4088F"/>
    <w:rsid w:val="00A42934"/>
    <w:rsid w:val="00A4574D"/>
    <w:rsid w:val="00A470D0"/>
    <w:rsid w:val="00A47A34"/>
    <w:rsid w:val="00A51AEF"/>
    <w:rsid w:val="00A52182"/>
    <w:rsid w:val="00A5230B"/>
    <w:rsid w:val="00A524DA"/>
    <w:rsid w:val="00A52699"/>
    <w:rsid w:val="00A52753"/>
    <w:rsid w:val="00A5285B"/>
    <w:rsid w:val="00A53884"/>
    <w:rsid w:val="00A53C1A"/>
    <w:rsid w:val="00A54616"/>
    <w:rsid w:val="00A5480F"/>
    <w:rsid w:val="00A54BDF"/>
    <w:rsid w:val="00A550DE"/>
    <w:rsid w:val="00A55C44"/>
    <w:rsid w:val="00A55CBD"/>
    <w:rsid w:val="00A57DCF"/>
    <w:rsid w:val="00A6066F"/>
    <w:rsid w:val="00A60EA1"/>
    <w:rsid w:val="00A61B0A"/>
    <w:rsid w:val="00A644E9"/>
    <w:rsid w:val="00A655D6"/>
    <w:rsid w:val="00A65A5E"/>
    <w:rsid w:val="00A65F2D"/>
    <w:rsid w:val="00A66912"/>
    <w:rsid w:val="00A66C09"/>
    <w:rsid w:val="00A67234"/>
    <w:rsid w:val="00A679D5"/>
    <w:rsid w:val="00A700E2"/>
    <w:rsid w:val="00A70265"/>
    <w:rsid w:val="00A71EFE"/>
    <w:rsid w:val="00A72D6B"/>
    <w:rsid w:val="00A7418E"/>
    <w:rsid w:val="00A7434B"/>
    <w:rsid w:val="00A74AA2"/>
    <w:rsid w:val="00A76090"/>
    <w:rsid w:val="00A76FF4"/>
    <w:rsid w:val="00A7729A"/>
    <w:rsid w:val="00A802B2"/>
    <w:rsid w:val="00A811D5"/>
    <w:rsid w:val="00A827E6"/>
    <w:rsid w:val="00A827F0"/>
    <w:rsid w:val="00A82FFE"/>
    <w:rsid w:val="00A83D1A"/>
    <w:rsid w:val="00A84B32"/>
    <w:rsid w:val="00A86866"/>
    <w:rsid w:val="00A871FC"/>
    <w:rsid w:val="00A875E9"/>
    <w:rsid w:val="00A87C62"/>
    <w:rsid w:val="00A90162"/>
    <w:rsid w:val="00A9030D"/>
    <w:rsid w:val="00A909F4"/>
    <w:rsid w:val="00A90BAA"/>
    <w:rsid w:val="00A92B63"/>
    <w:rsid w:val="00A92B82"/>
    <w:rsid w:val="00A93431"/>
    <w:rsid w:val="00A944A2"/>
    <w:rsid w:val="00A9479F"/>
    <w:rsid w:val="00A94842"/>
    <w:rsid w:val="00A95A6A"/>
    <w:rsid w:val="00A96500"/>
    <w:rsid w:val="00A9727C"/>
    <w:rsid w:val="00A97AB5"/>
    <w:rsid w:val="00AA0313"/>
    <w:rsid w:val="00AA0CCB"/>
    <w:rsid w:val="00AA0D0D"/>
    <w:rsid w:val="00AA10B5"/>
    <w:rsid w:val="00AA1297"/>
    <w:rsid w:val="00AA1304"/>
    <w:rsid w:val="00AA14E1"/>
    <w:rsid w:val="00AA2723"/>
    <w:rsid w:val="00AA31D3"/>
    <w:rsid w:val="00AA34BC"/>
    <w:rsid w:val="00AA393C"/>
    <w:rsid w:val="00AA4696"/>
    <w:rsid w:val="00AA547B"/>
    <w:rsid w:val="00AA6104"/>
    <w:rsid w:val="00AA64E3"/>
    <w:rsid w:val="00AA689D"/>
    <w:rsid w:val="00AA71C4"/>
    <w:rsid w:val="00AB0147"/>
    <w:rsid w:val="00AB06A6"/>
    <w:rsid w:val="00AB1046"/>
    <w:rsid w:val="00AB1A9E"/>
    <w:rsid w:val="00AB1B7E"/>
    <w:rsid w:val="00AB29F5"/>
    <w:rsid w:val="00AB34AF"/>
    <w:rsid w:val="00AB38C3"/>
    <w:rsid w:val="00AB4192"/>
    <w:rsid w:val="00AB54C4"/>
    <w:rsid w:val="00AB69C5"/>
    <w:rsid w:val="00AB7B03"/>
    <w:rsid w:val="00AC0306"/>
    <w:rsid w:val="00AC0472"/>
    <w:rsid w:val="00AC10AD"/>
    <w:rsid w:val="00AC1792"/>
    <w:rsid w:val="00AC2788"/>
    <w:rsid w:val="00AC36F0"/>
    <w:rsid w:val="00AC4A1D"/>
    <w:rsid w:val="00AC4D9E"/>
    <w:rsid w:val="00AC5029"/>
    <w:rsid w:val="00AC5AEF"/>
    <w:rsid w:val="00AC6A0D"/>
    <w:rsid w:val="00AC7E10"/>
    <w:rsid w:val="00AD0DF4"/>
    <w:rsid w:val="00AD18CF"/>
    <w:rsid w:val="00AD1BE2"/>
    <w:rsid w:val="00AD25A2"/>
    <w:rsid w:val="00AD27A3"/>
    <w:rsid w:val="00AD2982"/>
    <w:rsid w:val="00AD3D4C"/>
    <w:rsid w:val="00AD3F31"/>
    <w:rsid w:val="00AD4F55"/>
    <w:rsid w:val="00AD5552"/>
    <w:rsid w:val="00AD70DC"/>
    <w:rsid w:val="00AD7156"/>
    <w:rsid w:val="00AE0413"/>
    <w:rsid w:val="00AE0532"/>
    <w:rsid w:val="00AE0B77"/>
    <w:rsid w:val="00AE1EDF"/>
    <w:rsid w:val="00AE20F6"/>
    <w:rsid w:val="00AE3C9C"/>
    <w:rsid w:val="00AE45A8"/>
    <w:rsid w:val="00AE522A"/>
    <w:rsid w:val="00AE527E"/>
    <w:rsid w:val="00AE5934"/>
    <w:rsid w:val="00AE60F4"/>
    <w:rsid w:val="00AE673C"/>
    <w:rsid w:val="00AE7238"/>
    <w:rsid w:val="00AF001F"/>
    <w:rsid w:val="00AF00EA"/>
    <w:rsid w:val="00AF016D"/>
    <w:rsid w:val="00AF05F5"/>
    <w:rsid w:val="00AF0FBA"/>
    <w:rsid w:val="00AF1430"/>
    <w:rsid w:val="00AF1950"/>
    <w:rsid w:val="00AF1B98"/>
    <w:rsid w:val="00AF2A09"/>
    <w:rsid w:val="00AF3C41"/>
    <w:rsid w:val="00AF4856"/>
    <w:rsid w:val="00AF4909"/>
    <w:rsid w:val="00AF5FE1"/>
    <w:rsid w:val="00AF6E33"/>
    <w:rsid w:val="00AF70E6"/>
    <w:rsid w:val="00AF7591"/>
    <w:rsid w:val="00AF78D2"/>
    <w:rsid w:val="00AF7CCC"/>
    <w:rsid w:val="00B000C7"/>
    <w:rsid w:val="00B00F8B"/>
    <w:rsid w:val="00B012AC"/>
    <w:rsid w:val="00B014D2"/>
    <w:rsid w:val="00B01B3E"/>
    <w:rsid w:val="00B03453"/>
    <w:rsid w:val="00B0402F"/>
    <w:rsid w:val="00B047DA"/>
    <w:rsid w:val="00B04ADF"/>
    <w:rsid w:val="00B052CB"/>
    <w:rsid w:val="00B053B9"/>
    <w:rsid w:val="00B057F1"/>
    <w:rsid w:val="00B060D1"/>
    <w:rsid w:val="00B06270"/>
    <w:rsid w:val="00B06388"/>
    <w:rsid w:val="00B0720D"/>
    <w:rsid w:val="00B07FC3"/>
    <w:rsid w:val="00B104D8"/>
    <w:rsid w:val="00B10B39"/>
    <w:rsid w:val="00B11265"/>
    <w:rsid w:val="00B113C7"/>
    <w:rsid w:val="00B12486"/>
    <w:rsid w:val="00B14580"/>
    <w:rsid w:val="00B14EA2"/>
    <w:rsid w:val="00B15E96"/>
    <w:rsid w:val="00B163C9"/>
    <w:rsid w:val="00B16DAB"/>
    <w:rsid w:val="00B17702"/>
    <w:rsid w:val="00B17750"/>
    <w:rsid w:val="00B21D33"/>
    <w:rsid w:val="00B21D77"/>
    <w:rsid w:val="00B22AFC"/>
    <w:rsid w:val="00B22D4F"/>
    <w:rsid w:val="00B23529"/>
    <w:rsid w:val="00B24483"/>
    <w:rsid w:val="00B24D3C"/>
    <w:rsid w:val="00B25683"/>
    <w:rsid w:val="00B259F1"/>
    <w:rsid w:val="00B25D70"/>
    <w:rsid w:val="00B26F10"/>
    <w:rsid w:val="00B30079"/>
    <w:rsid w:val="00B304D6"/>
    <w:rsid w:val="00B3231A"/>
    <w:rsid w:val="00B3246C"/>
    <w:rsid w:val="00B32B5F"/>
    <w:rsid w:val="00B32F3E"/>
    <w:rsid w:val="00B33147"/>
    <w:rsid w:val="00B33208"/>
    <w:rsid w:val="00B33469"/>
    <w:rsid w:val="00B33ACE"/>
    <w:rsid w:val="00B34A5B"/>
    <w:rsid w:val="00B34E26"/>
    <w:rsid w:val="00B35D30"/>
    <w:rsid w:val="00B375E6"/>
    <w:rsid w:val="00B37748"/>
    <w:rsid w:val="00B403C8"/>
    <w:rsid w:val="00B40B84"/>
    <w:rsid w:val="00B4191E"/>
    <w:rsid w:val="00B41977"/>
    <w:rsid w:val="00B4220A"/>
    <w:rsid w:val="00B42481"/>
    <w:rsid w:val="00B459B6"/>
    <w:rsid w:val="00B45DA8"/>
    <w:rsid w:val="00B46421"/>
    <w:rsid w:val="00B47BEE"/>
    <w:rsid w:val="00B47CD3"/>
    <w:rsid w:val="00B47F31"/>
    <w:rsid w:val="00B5048D"/>
    <w:rsid w:val="00B51413"/>
    <w:rsid w:val="00B516FF"/>
    <w:rsid w:val="00B523A8"/>
    <w:rsid w:val="00B524FF"/>
    <w:rsid w:val="00B54916"/>
    <w:rsid w:val="00B55E01"/>
    <w:rsid w:val="00B56472"/>
    <w:rsid w:val="00B56D86"/>
    <w:rsid w:val="00B57016"/>
    <w:rsid w:val="00B5729A"/>
    <w:rsid w:val="00B575A0"/>
    <w:rsid w:val="00B57BF6"/>
    <w:rsid w:val="00B57C15"/>
    <w:rsid w:val="00B57CDB"/>
    <w:rsid w:val="00B60331"/>
    <w:rsid w:val="00B61C07"/>
    <w:rsid w:val="00B61CEE"/>
    <w:rsid w:val="00B64D67"/>
    <w:rsid w:val="00B64EBA"/>
    <w:rsid w:val="00B65665"/>
    <w:rsid w:val="00B657F1"/>
    <w:rsid w:val="00B65D9E"/>
    <w:rsid w:val="00B66571"/>
    <w:rsid w:val="00B66F4D"/>
    <w:rsid w:val="00B675FA"/>
    <w:rsid w:val="00B67D11"/>
    <w:rsid w:val="00B7155E"/>
    <w:rsid w:val="00B715C2"/>
    <w:rsid w:val="00B723B4"/>
    <w:rsid w:val="00B74C7B"/>
    <w:rsid w:val="00B75474"/>
    <w:rsid w:val="00B7635E"/>
    <w:rsid w:val="00B76502"/>
    <w:rsid w:val="00B76DF6"/>
    <w:rsid w:val="00B8095A"/>
    <w:rsid w:val="00B811C9"/>
    <w:rsid w:val="00B81D83"/>
    <w:rsid w:val="00B823F4"/>
    <w:rsid w:val="00B83149"/>
    <w:rsid w:val="00B83B76"/>
    <w:rsid w:val="00B83F1D"/>
    <w:rsid w:val="00B83F22"/>
    <w:rsid w:val="00B83F3A"/>
    <w:rsid w:val="00B85A10"/>
    <w:rsid w:val="00B86739"/>
    <w:rsid w:val="00B86B19"/>
    <w:rsid w:val="00B87204"/>
    <w:rsid w:val="00B87222"/>
    <w:rsid w:val="00B9011C"/>
    <w:rsid w:val="00B9172D"/>
    <w:rsid w:val="00B9177C"/>
    <w:rsid w:val="00B9327A"/>
    <w:rsid w:val="00B94515"/>
    <w:rsid w:val="00B94E5B"/>
    <w:rsid w:val="00B94EB7"/>
    <w:rsid w:val="00B95750"/>
    <w:rsid w:val="00B95C14"/>
    <w:rsid w:val="00B976BC"/>
    <w:rsid w:val="00B97924"/>
    <w:rsid w:val="00BA06A9"/>
    <w:rsid w:val="00BA0A85"/>
    <w:rsid w:val="00BA0C16"/>
    <w:rsid w:val="00BA2F25"/>
    <w:rsid w:val="00BA3A59"/>
    <w:rsid w:val="00BA54A4"/>
    <w:rsid w:val="00BA56CB"/>
    <w:rsid w:val="00BA74C6"/>
    <w:rsid w:val="00BB062D"/>
    <w:rsid w:val="00BB1011"/>
    <w:rsid w:val="00BB158A"/>
    <w:rsid w:val="00BB1A1E"/>
    <w:rsid w:val="00BB225A"/>
    <w:rsid w:val="00BB23FE"/>
    <w:rsid w:val="00BB3BBE"/>
    <w:rsid w:val="00BB4806"/>
    <w:rsid w:val="00BB4F3E"/>
    <w:rsid w:val="00BB4F7D"/>
    <w:rsid w:val="00BB608D"/>
    <w:rsid w:val="00BB70B7"/>
    <w:rsid w:val="00BB737B"/>
    <w:rsid w:val="00BC0497"/>
    <w:rsid w:val="00BC0BBD"/>
    <w:rsid w:val="00BC122A"/>
    <w:rsid w:val="00BC1A94"/>
    <w:rsid w:val="00BC1BCB"/>
    <w:rsid w:val="00BC2ABB"/>
    <w:rsid w:val="00BC31E3"/>
    <w:rsid w:val="00BC3F22"/>
    <w:rsid w:val="00BC4017"/>
    <w:rsid w:val="00BC40BE"/>
    <w:rsid w:val="00BC5DDC"/>
    <w:rsid w:val="00BC7EB9"/>
    <w:rsid w:val="00BD05BD"/>
    <w:rsid w:val="00BD0A68"/>
    <w:rsid w:val="00BD0D0B"/>
    <w:rsid w:val="00BD147A"/>
    <w:rsid w:val="00BD182D"/>
    <w:rsid w:val="00BD308C"/>
    <w:rsid w:val="00BD30E5"/>
    <w:rsid w:val="00BD360D"/>
    <w:rsid w:val="00BD3C26"/>
    <w:rsid w:val="00BD422A"/>
    <w:rsid w:val="00BD4DBA"/>
    <w:rsid w:val="00BD5725"/>
    <w:rsid w:val="00BD5AC9"/>
    <w:rsid w:val="00BD5FBC"/>
    <w:rsid w:val="00BD6D24"/>
    <w:rsid w:val="00BD756D"/>
    <w:rsid w:val="00BD75BE"/>
    <w:rsid w:val="00BD7BD8"/>
    <w:rsid w:val="00BE02AA"/>
    <w:rsid w:val="00BE0308"/>
    <w:rsid w:val="00BE04EA"/>
    <w:rsid w:val="00BE0975"/>
    <w:rsid w:val="00BE0B6D"/>
    <w:rsid w:val="00BE0D71"/>
    <w:rsid w:val="00BE136A"/>
    <w:rsid w:val="00BE1881"/>
    <w:rsid w:val="00BE2310"/>
    <w:rsid w:val="00BE2B80"/>
    <w:rsid w:val="00BE3FFD"/>
    <w:rsid w:val="00BE42FF"/>
    <w:rsid w:val="00BE59D1"/>
    <w:rsid w:val="00BF143F"/>
    <w:rsid w:val="00BF1807"/>
    <w:rsid w:val="00BF18D9"/>
    <w:rsid w:val="00BF1FE7"/>
    <w:rsid w:val="00BF2A0F"/>
    <w:rsid w:val="00BF32A3"/>
    <w:rsid w:val="00BF36BD"/>
    <w:rsid w:val="00BF435F"/>
    <w:rsid w:val="00BF63BB"/>
    <w:rsid w:val="00BF677C"/>
    <w:rsid w:val="00BF76E4"/>
    <w:rsid w:val="00BF78AB"/>
    <w:rsid w:val="00C00366"/>
    <w:rsid w:val="00C00B45"/>
    <w:rsid w:val="00C00D77"/>
    <w:rsid w:val="00C01AA8"/>
    <w:rsid w:val="00C02907"/>
    <w:rsid w:val="00C02912"/>
    <w:rsid w:val="00C03BF2"/>
    <w:rsid w:val="00C06AB8"/>
    <w:rsid w:val="00C10F6A"/>
    <w:rsid w:val="00C12B31"/>
    <w:rsid w:val="00C12E53"/>
    <w:rsid w:val="00C14501"/>
    <w:rsid w:val="00C1485E"/>
    <w:rsid w:val="00C173AC"/>
    <w:rsid w:val="00C218F0"/>
    <w:rsid w:val="00C219DD"/>
    <w:rsid w:val="00C21A5D"/>
    <w:rsid w:val="00C21C5A"/>
    <w:rsid w:val="00C22562"/>
    <w:rsid w:val="00C22719"/>
    <w:rsid w:val="00C23859"/>
    <w:rsid w:val="00C23B5B"/>
    <w:rsid w:val="00C23BE4"/>
    <w:rsid w:val="00C2551B"/>
    <w:rsid w:val="00C256C8"/>
    <w:rsid w:val="00C26E95"/>
    <w:rsid w:val="00C30AEC"/>
    <w:rsid w:val="00C31733"/>
    <w:rsid w:val="00C32385"/>
    <w:rsid w:val="00C334A9"/>
    <w:rsid w:val="00C33DBB"/>
    <w:rsid w:val="00C34024"/>
    <w:rsid w:val="00C34FE4"/>
    <w:rsid w:val="00C36C32"/>
    <w:rsid w:val="00C371A1"/>
    <w:rsid w:val="00C37F69"/>
    <w:rsid w:val="00C40C21"/>
    <w:rsid w:val="00C41F99"/>
    <w:rsid w:val="00C42B8B"/>
    <w:rsid w:val="00C4355B"/>
    <w:rsid w:val="00C43750"/>
    <w:rsid w:val="00C440D9"/>
    <w:rsid w:val="00C45713"/>
    <w:rsid w:val="00C47CA5"/>
    <w:rsid w:val="00C504E5"/>
    <w:rsid w:val="00C50B48"/>
    <w:rsid w:val="00C51EF0"/>
    <w:rsid w:val="00C528ED"/>
    <w:rsid w:val="00C5357F"/>
    <w:rsid w:val="00C53B43"/>
    <w:rsid w:val="00C54D4C"/>
    <w:rsid w:val="00C553DE"/>
    <w:rsid w:val="00C5672B"/>
    <w:rsid w:val="00C574D2"/>
    <w:rsid w:val="00C6018E"/>
    <w:rsid w:val="00C6029C"/>
    <w:rsid w:val="00C61797"/>
    <w:rsid w:val="00C624AD"/>
    <w:rsid w:val="00C62735"/>
    <w:rsid w:val="00C64739"/>
    <w:rsid w:val="00C71130"/>
    <w:rsid w:val="00C72475"/>
    <w:rsid w:val="00C72A46"/>
    <w:rsid w:val="00C733D7"/>
    <w:rsid w:val="00C740D4"/>
    <w:rsid w:val="00C74758"/>
    <w:rsid w:val="00C74C46"/>
    <w:rsid w:val="00C7655A"/>
    <w:rsid w:val="00C77BB3"/>
    <w:rsid w:val="00C804A8"/>
    <w:rsid w:val="00C80D48"/>
    <w:rsid w:val="00C80DB7"/>
    <w:rsid w:val="00C812F0"/>
    <w:rsid w:val="00C81711"/>
    <w:rsid w:val="00C81AEA"/>
    <w:rsid w:val="00C81D39"/>
    <w:rsid w:val="00C8295E"/>
    <w:rsid w:val="00C83815"/>
    <w:rsid w:val="00C838A2"/>
    <w:rsid w:val="00C83C11"/>
    <w:rsid w:val="00C84DF9"/>
    <w:rsid w:val="00C85C0B"/>
    <w:rsid w:val="00C86BE1"/>
    <w:rsid w:val="00C9027A"/>
    <w:rsid w:val="00C906EA"/>
    <w:rsid w:val="00C909D6"/>
    <w:rsid w:val="00C917FB"/>
    <w:rsid w:val="00C920E7"/>
    <w:rsid w:val="00C92DCC"/>
    <w:rsid w:val="00C93560"/>
    <w:rsid w:val="00C93F0E"/>
    <w:rsid w:val="00C94128"/>
    <w:rsid w:val="00C9412C"/>
    <w:rsid w:val="00C94383"/>
    <w:rsid w:val="00C943B8"/>
    <w:rsid w:val="00C94B3E"/>
    <w:rsid w:val="00C96CE9"/>
    <w:rsid w:val="00C96E4E"/>
    <w:rsid w:val="00C9740F"/>
    <w:rsid w:val="00C97EAE"/>
    <w:rsid w:val="00CA097F"/>
    <w:rsid w:val="00CA10B0"/>
    <w:rsid w:val="00CA261B"/>
    <w:rsid w:val="00CA3C5C"/>
    <w:rsid w:val="00CA4F31"/>
    <w:rsid w:val="00CA51E5"/>
    <w:rsid w:val="00CA5945"/>
    <w:rsid w:val="00CA5BD9"/>
    <w:rsid w:val="00CA5CFD"/>
    <w:rsid w:val="00CA60EC"/>
    <w:rsid w:val="00CB08A6"/>
    <w:rsid w:val="00CB3F1B"/>
    <w:rsid w:val="00CB425E"/>
    <w:rsid w:val="00CB46D3"/>
    <w:rsid w:val="00CB4A9F"/>
    <w:rsid w:val="00CB63DB"/>
    <w:rsid w:val="00CB63EE"/>
    <w:rsid w:val="00CB6A18"/>
    <w:rsid w:val="00CB7C22"/>
    <w:rsid w:val="00CC065A"/>
    <w:rsid w:val="00CC15BD"/>
    <w:rsid w:val="00CC15F3"/>
    <w:rsid w:val="00CC2607"/>
    <w:rsid w:val="00CC2C67"/>
    <w:rsid w:val="00CC32BF"/>
    <w:rsid w:val="00CC3E08"/>
    <w:rsid w:val="00CC3F7B"/>
    <w:rsid w:val="00CC4FA2"/>
    <w:rsid w:val="00CC5504"/>
    <w:rsid w:val="00CC5D11"/>
    <w:rsid w:val="00CC607D"/>
    <w:rsid w:val="00CC6958"/>
    <w:rsid w:val="00CC7299"/>
    <w:rsid w:val="00CC7765"/>
    <w:rsid w:val="00CC7A23"/>
    <w:rsid w:val="00CD0474"/>
    <w:rsid w:val="00CD05F7"/>
    <w:rsid w:val="00CD0A5D"/>
    <w:rsid w:val="00CD0A99"/>
    <w:rsid w:val="00CD1694"/>
    <w:rsid w:val="00CD25EC"/>
    <w:rsid w:val="00CD2B7A"/>
    <w:rsid w:val="00CD2EFE"/>
    <w:rsid w:val="00CD3C34"/>
    <w:rsid w:val="00CD52EA"/>
    <w:rsid w:val="00CD5966"/>
    <w:rsid w:val="00CD68CA"/>
    <w:rsid w:val="00CD6E1D"/>
    <w:rsid w:val="00CD6FE9"/>
    <w:rsid w:val="00CD764D"/>
    <w:rsid w:val="00CE0B41"/>
    <w:rsid w:val="00CE1A89"/>
    <w:rsid w:val="00CE203B"/>
    <w:rsid w:val="00CE263D"/>
    <w:rsid w:val="00CE2DC1"/>
    <w:rsid w:val="00CE3B40"/>
    <w:rsid w:val="00CE4460"/>
    <w:rsid w:val="00CE5216"/>
    <w:rsid w:val="00CE7437"/>
    <w:rsid w:val="00CE7A25"/>
    <w:rsid w:val="00CE7B52"/>
    <w:rsid w:val="00CF110E"/>
    <w:rsid w:val="00CF1177"/>
    <w:rsid w:val="00CF159B"/>
    <w:rsid w:val="00CF2557"/>
    <w:rsid w:val="00CF31FF"/>
    <w:rsid w:val="00CF3F88"/>
    <w:rsid w:val="00CF4F63"/>
    <w:rsid w:val="00CF611C"/>
    <w:rsid w:val="00CF6EA8"/>
    <w:rsid w:val="00CF7ED1"/>
    <w:rsid w:val="00D001D2"/>
    <w:rsid w:val="00D0189F"/>
    <w:rsid w:val="00D0342C"/>
    <w:rsid w:val="00D03648"/>
    <w:rsid w:val="00D03B9F"/>
    <w:rsid w:val="00D03CE1"/>
    <w:rsid w:val="00D05C57"/>
    <w:rsid w:val="00D07470"/>
    <w:rsid w:val="00D1056A"/>
    <w:rsid w:val="00D10CAE"/>
    <w:rsid w:val="00D11005"/>
    <w:rsid w:val="00D11409"/>
    <w:rsid w:val="00D115BB"/>
    <w:rsid w:val="00D125BE"/>
    <w:rsid w:val="00D13750"/>
    <w:rsid w:val="00D138E4"/>
    <w:rsid w:val="00D14033"/>
    <w:rsid w:val="00D15F1D"/>
    <w:rsid w:val="00D162A3"/>
    <w:rsid w:val="00D16697"/>
    <w:rsid w:val="00D16AF0"/>
    <w:rsid w:val="00D16F18"/>
    <w:rsid w:val="00D17247"/>
    <w:rsid w:val="00D174BB"/>
    <w:rsid w:val="00D17986"/>
    <w:rsid w:val="00D219D7"/>
    <w:rsid w:val="00D22FF5"/>
    <w:rsid w:val="00D23FDE"/>
    <w:rsid w:val="00D242E5"/>
    <w:rsid w:val="00D247D3"/>
    <w:rsid w:val="00D24BB8"/>
    <w:rsid w:val="00D24E91"/>
    <w:rsid w:val="00D25C9F"/>
    <w:rsid w:val="00D2639A"/>
    <w:rsid w:val="00D26FFA"/>
    <w:rsid w:val="00D27E23"/>
    <w:rsid w:val="00D3099F"/>
    <w:rsid w:val="00D31133"/>
    <w:rsid w:val="00D3285A"/>
    <w:rsid w:val="00D3299E"/>
    <w:rsid w:val="00D33F1D"/>
    <w:rsid w:val="00D34034"/>
    <w:rsid w:val="00D34E5F"/>
    <w:rsid w:val="00D34EC5"/>
    <w:rsid w:val="00D352DF"/>
    <w:rsid w:val="00D35CA2"/>
    <w:rsid w:val="00D3655D"/>
    <w:rsid w:val="00D36D8A"/>
    <w:rsid w:val="00D36DD5"/>
    <w:rsid w:val="00D379A4"/>
    <w:rsid w:val="00D4038A"/>
    <w:rsid w:val="00D407E3"/>
    <w:rsid w:val="00D42B7C"/>
    <w:rsid w:val="00D42DC6"/>
    <w:rsid w:val="00D4397F"/>
    <w:rsid w:val="00D43C43"/>
    <w:rsid w:val="00D442CC"/>
    <w:rsid w:val="00D44451"/>
    <w:rsid w:val="00D44D27"/>
    <w:rsid w:val="00D44F89"/>
    <w:rsid w:val="00D45D28"/>
    <w:rsid w:val="00D4799B"/>
    <w:rsid w:val="00D47A2F"/>
    <w:rsid w:val="00D501A8"/>
    <w:rsid w:val="00D516CC"/>
    <w:rsid w:val="00D523B6"/>
    <w:rsid w:val="00D52918"/>
    <w:rsid w:val="00D537A9"/>
    <w:rsid w:val="00D54442"/>
    <w:rsid w:val="00D544DB"/>
    <w:rsid w:val="00D54C81"/>
    <w:rsid w:val="00D55874"/>
    <w:rsid w:val="00D55BFD"/>
    <w:rsid w:val="00D5730A"/>
    <w:rsid w:val="00D57B17"/>
    <w:rsid w:val="00D602A7"/>
    <w:rsid w:val="00D60DA8"/>
    <w:rsid w:val="00D6186D"/>
    <w:rsid w:val="00D620FF"/>
    <w:rsid w:val="00D623F7"/>
    <w:rsid w:val="00D62C9A"/>
    <w:rsid w:val="00D63318"/>
    <w:rsid w:val="00D65DAF"/>
    <w:rsid w:val="00D669A0"/>
    <w:rsid w:val="00D679F9"/>
    <w:rsid w:val="00D724A8"/>
    <w:rsid w:val="00D725DF"/>
    <w:rsid w:val="00D73B03"/>
    <w:rsid w:val="00D74683"/>
    <w:rsid w:val="00D74893"/>
    <w:rsid w:val="00D74AF2"/>
    <w:rsid w:val="00D7507D"/>
    <w:rsid w:val="00D80763"/>
    <w:rsid w:val="00D80C68"/>
    <w:rsid w:val="00D8183F"/>
    <w:rsid w:val="00D82CC7"/>
    <w:rsid w:val="00D82E2F"/>
    <w:rsid w:val="00D86594"/>
    <w:rsid w:val="00D86A09"/>
    <w:rsid w:val="00D879A6"/>
    <w:rsid w:val="00D87E3B"/>
    <w:rsid w:val="00D9132D"/>
    <w:rsid w:val="00D93F04"/>
    <w:rsid w:val="00D94113"/>
    <w:rsid w:val="00D943B1"/>
    <w:rsid w:val="00D94A3F"/>
    <w:rsid w:val="00D94B91"/>
    <w:rsid w:val="00D94D16"/>
    <w:rsid w:val="00D9525A"/>
    <w:rsid w:val="00D955DC"/>
    <w:rsid w:val="00D95D53"/>
    <w:rsid w:val="00D9711A"/>
    <w:rsid w:val="00D9714A"/>
    <w:rsid w:val="00D97347"/>
    <w:rsid w:val="00D97402"/>
    <w:rsid w:val="00DA3011"/>
    <w:rsid w:val="00DA33DA"/>
    <w:rsid w:val="00DA3B31"/>
    <w:rsid w:val="00DA3FC0"/>
    <w:rsid w:val="00DA4201"/>
    <w:rsid w:val="00DA52D9"/>
    <w:rsid w:val="00DA52E0"/>
    <w:rsid w:val="00DA6099"/>
    <w:rsid w:val="00DA69E4"/>
    <w:rsid w:val="00DA6C31"/>
    <w:rsid w:val="00DA6D48"/>
    <w:rsid w:val="00DA6E00"/>
    <w:rsid w:val="00DA7A8D"/>
    <w:rsid w:val="00DA7F7A"/>
    <w:rsid w:val="00DB19C4"/>
    <w:rsid w:val="00DB2095"/>
    <w:rsid w:val="00DB3161"/>
    <w:rsid w:val="00DB3917"/>
    <w:rsid w:val="00DB3F3B"/>
    <w:rsid w:val="00DB5CC9"/>
    <w:rsid w:val="00DB715E"/>
    <w:rsid w:val="00DB79A3"/>
    <w:rsid w:val="00DB7AAA"/>
    <w:rsid w:val="00DB7C48"/>
    <w:rsid w:val="00DC01A4"/>
    <w:rsid w:val="00DC06B5"/>
    <w:rsid w:val="00DC1DBB"/>
    <w:rsid w:val="00DC23B6"/>
    <w:rsid w:val="00DC29BA"/>
    <w:rsid w:val="00DC2B4B"/>
    <w:rsid w:val="00DC33FA"/>
    <w:rsid w:val="00DC45FE"/>
    <w:rsid w:val="00DC490A"/>
    <w:rsid w:val="00DC575E"/>
    <w:rsid w:val="00DC5EF0"/>
    <w:rsid w:val="00DC6D62"/>
    <w:rsid w:val="00DC7C66"/>
    <w:rsid w:val="00DC7CE2"/>
    <w:rsid w:val="00DD0343"/>
    <w:rsid w:val="00DD03F8"/>
    <w:rsid w:val="00DD0458"/>
    <w:rsid w:val="00DD06E3"/>
    <w:rsid w:val="00DD0FB2"/>
    <w:rsid w:val="00DD0FE2"/>
    <w:rsid w:val="00DD1966"/>
    <w:rsid w:val="00DD25A9"/>
    <w:rsid w:val="00DD3C5E"/>
    <w:rsid w:val="00DD3DA5"/>
    <w:rsid w:val="00DD4465"/>
    <w:rsid w:val="00DD5929"/>
    <w:rsid w:val="00DD5B95"/>
    <w:rsid w:val="00DD7AFA"/>
    <w:rsid w:val="00DE04C6"/>
    <w:rsid w:val="00DE0850"/>
    <w:rsid w:val="00DE28EB"/>
    <w:rsid w:val="00DE3786"/>
    <w:rsid w:val="00DE39F1"/>
    <w:rsid w:val="00DE3D30"/>
    <w:rsid w:val="00DE40E5"/>
    <w:rsid w:val="00DE4441"/>
    <w:rsid w:val="00DE4A65"/>
    <w:rsid w:val="00DE614D"/>
    <w:rsid w:val="00DE6246"/>
    <w:rsid w:val="00DF03A2"/>
    <w:rsid w:val="00DF03A7"/>
    <w:rsid w:val="00DF0A9E"/>
    <w:rsid w:val="00DF1355"/>
    <w:rsid w:val="00DF1F4D"/>
    <w:rsid w:val="00DF25C2"/>
    <w:rsid w:val="00DF2773"/>
    <w:rsid w:val="00DF37D6"/>
    <w:rsid w:val="00DF421F"/>
    <w:rsid w:val="00DF4E8E"/>
    <w:rsid w:val="00DF5364"/>
    <w:rsid w:val="00DF55B8"/>
    <w:rsid w:val="00DF5C5E"/>
    <w:rsid w:val="00DF6A84"/>
    <w:rsid w:val="00DF6A92"/>
    <w:rsid w:val="00DF6E51"/>
    <w:rsid w:val="00E00208"/>
    <w:rsid w:val="00E00F69"/>
    <w:rsid w:val="00E020C5"/>
    <w:rsid w:val="00E02C88"/>
    <w:rsid w:val="00E02F19"/>
    <w:rsid w:val="00E03467"/>
    <w:rsid w:val="00E0356C"/>
    <w:rsid w:val="00E03E78"/>
    <w:rsid w:val="00E04541"/>
    <w:rsid w:val="00E04BF6"/>
    <w:rsid w:val="00E0562E"/>
    <w:rsid w:val="00E05B0F"/>
    <w:rsid w:val="00E07371"/>
    <w:rsid w:val="00E0778C"/>
    <w:rsid w:val="00E10B41"/>
    <w:rsid w:val="00E12608"/>
    <w:rsid w:val="00E127C9"/>
    <w:rsid w:val="00E129F6"/>
    <w:rsid w:val="00E12E7A"/>
    <w:rsid w:val="00E12F1B"/>
    <w:rsid w:val="00E1326F"/>
    <w:rsid w:val="00E134A5"/>
    <w:rsid w:val="00E1404E"/>
    <w:rsid w:val="00E14EFB"/>
    <w:rsid w:val="00E15540"/>
    <w:rsid w:val="00E16393"/>
    <w:rsid w:val="00E16659"/>
    <w:rsid w:val="00E16F7A"/>
    <w:rsid w:val="00E205C8"/>
    <w:rsid w:val="00E2079C"/>
    <w:rsid w:val="00E22AB3"/>
    <w:rsid w:val="00E23AE3"/>
    <w:rsid w:val="00E240D8"/>
    <w:rsid w:val="00E24788"/>
    <w:rsid w:val="00E2729F"/>
    <w:rsid w:val="00E3052D"/>
    <w:rsid w:val="00E309CE"/>
    <w:rsid w:val="00E30F03"/>
    <w:rsid w:val="00E3136C"/>
    <w:rsid w:val="00E313D9"/>
    <w:rsid w:val="00E3197E"/>
    <w:rsid w:val="00E31D2F"/>
    <w:rsid w:val="00E33775"/>
    <w:rsid w:val="00E33E7D"/>
    <w:rsid w:val="00E35347"/>
    <w:rsid w:val="00E36181"/>
    <w:rsid w:val="00E366B1"/>
    <w:rsid w:val="00E3671D"/>
    <w:rsid w:val="00E368B1"/>
    <w:rsid w:val="00E3703E"/>
    <w:rsid w:val="00E37532"/>
    <w:rsid w:val="00E375EB"/>
    <w:rsid w:val="00E37716"/>
    <w:rsid w:val="00E41442"/>
    <w:rsid w:val="00E41609"/>
    <w:rsid w:val="00E41987"/>
    <w:rsid w:val="00E42895"/>
    <w:rsid w:val="00E428BA"/>
    <w:rsid w:val="00E44009"/>
    <w:rsid w:val="00E4423B"/>
    <w:rsid w:val="00E445A6"/>
    <w:rsid w:val="00E4744E"/>
    <w:rsid w:val="00E47488"/>
    <w:rsid w:val="00E4756D"/>
    <w:rsid w:val="00E501F3"/>
    <w:rsid w:val="00E51753"/>
    <w:rsid w:val="00E517C0"/>
    <w:rsid w:val="00E521EB"/>
    <w:rsid w:val="00E5299B"/>
    <w:rsid w:val="00E52F8E"/>
    <w:rsid w:val="00E53112"/>
    <w:rsid w:val="00E532F3"/>
    <w:rsid w:val="00E53931"/>
    <w:rsid w:val="00E53C9B"/>
    <w:rsid w:val="00E540B4"/>
    <w:rsid w:val="00E540EE"/>
    <w:rsid w:val="00E544D9"/>
    <w:rsid w:val="00E548C7"/>
    <w:rsid w:val="00E55B45"/>
    <w:rsid w:val="00E55EC5"/>
    <w:rsid w:val="00E57278"/>
    <w:rsid w:val="00E5748C"/>
    <w:rsid w:val="00E57675"/>
    <w:rsid w:val="00E57D31"/>
    <w:rsid w:val="00E6052D"/>
    <w:rsid w:val="00E61964"/>
    <w:rsid w:val="00E61A04"/>
    <w:rsid w:val="00E61CCE"/>
    <w:rsid w:val="00E6201F"/>
    <w:rsid w:val="00E621C3"/>
    <w:rsid w:val="00E6221A"/>
    <w:rsid w:val="00E62624"/>
    <w:rsid w:val="00E6437A"/>
    <w:rsid w:val="00E64545"/>
    <w:rsid w:val="00E64BD4"/>
    <w:rsid w:val="00E656DD"/>
    <w:rsid w:val="00E67720"/>
    <w:rsid w:val="00E70125"/>
    <w:rsid w:val="00E72A23"/>
    <w:rsid w:val="00E738CB"/>
    <w:rsid w:val="00E74387"/>
    <w:rsid w:val="00E7475A"/>
    <w:rsid w:val="00E7535B"/>
    <w:rsid w:val="00E76711"/>
    <w:rsid w:val="00E775E9"/>
    <w:rsid w:val="00E77906"/>
    <w:rsid w:val="00E77D1C"/>
    <w:rsid w:val="00E77E91"/>
    <w:rsid w:val="00E80204"/>
    <w:rsid w:val="00E803EA"/>
    <w:rsid w:val="00E80D40"/>
    <w:rsid w:val="00E81023"/>
    <w:rsid w:val="00E819C8"/>
    <w:rsid w:val="00E82D29"/>
    <w:rsid w:val="00E847F9"/>
    <w:rsid w:val="00E85202"/>
    <w:rsid w:val="00E85EA5"/>
    <w:rsid w:val="00E86250"/>
    <w:rsid w:val="00E8661F"/>
    <w:rsid w:val="00E8696D"/>
    <w:rsid w:val="00E86AF4"/>
    <w:rsid w:val="00E86CE2"/>
    <w:rsid w:val="00E92A71"/>
    <w:rsid w:val="00E93069"/>
    <w:rsid w:val="00E93A94"/>
    <w:rsid w:val="00E948C4"/>
    <w:rsid w:val="00E94C10"/>
    <w:rsid w:val="00E94CC5"/>
    <w:rsid w:val="00E94E71"/>
    <w:rsid w:val="00E951CD"/>
    <w:rsid w:val="00E954FA"/>
    <w:rsid w:val="00E955FA"/>
    <w:rsid w:val="00E95C8E"/>
    <w:rsid w:val="00E960DD"/>
    <w:rsid w:val="00E9787F"/>
    <w:rsid w:val="00E97FA1"/>
    <w:rsid w:val="00EA0C39"/>
    <w:rsid w:val="00EA0CA4"/>
    <w:rsid w:val="00EA1F39"/>
    <w:rsid w:val="00EA3042"/>
    <w:rsid w:val="00EA327D"/>
    <w:rsid w:val="00EA3AD4"/>
    <w:rsid w:val="00EA3CD7"/>
    <w:rsid w:val="00EA4596"/>
    <w:rsid w:val="00EA46B7"/>
    <w:rsid w:val="00EA5BD0"/>
    <w:rsid w:val="00EA68D2"/>
    <w:rsid w:val="00EA6A9E"/>
    <w:rsid w:val="00EB0262"/>
    <w:rsid w:val="00EB0306"/>
    <w:rsid w:val="00EB050D"/>
    <w:rsid w:val="00EB0E88"/>
    <w:rsid w:val="00EB10B6"/>
    <w:rsid w:val="00EB11CE"/>
    <w:rsid w:val="00EB13FD"/>
    <w:rsid w:val="00EB3859"/>
    <w:rsid w:val="00EB3FBB"/>
    <w:rsid w:val="00EB546D"/>
    <w:rsid w:val="00EB5E75"/>
    <w:rsid w:val="00EB696E"/>
    <w:rsid w:val="00EB7568"/>
    <w:rsid w:val="00EB7811"/>
    <w:rsid w:val="00EC010B"/>
    <w:rsid w:val="00EC1405"/>
    <w:rsid w:val="00EC14D8"/>
    <w:rsid w:val="00EC245C"/>
    <w:rsid w:val="00EC3595"/>
    <w:rsid w:val="00EC399F"/>
    <w:rsid w:val="00EC3AD8"/>
    <w:rsid w:val="00EC54C9"/>
    <w:rsid w:val="00EC5A6C"/>
    <w:rsid w:val="00EC6259"/>
    <w:rsid w:val="00EC691D"/>
    <w:rsid w:val="00EC6ADD"/>
    <w:rsid w:val="00EC75DB"/>
    <w:rsid w:val="00EC7722"/>
    <w:rsid w:val="00EC7896"/>
    <w:rsid w:val="00ED08E1"/>
    <w:rsid w:val="00ED1236"/>
    <w:rsid w:val="00ED1B73"/>
    <w:rsid w:val="00ED294A"/>
    <w:rsid w:val="00ED2F1A"/>
    <w:rsid w:val="00ED3645"/>
    <w:rsid w:val="00ED36AD"/>
    <w:rsid w:val="00ED3A52"/>
    <w:rsid w:val="00ED3F73"/>
    <w:rsid w:val="00ED414A"/>
    <w:rsid w:val="00ED4375"/>
    <w:rsid w:val="00ED4760"/>
    <w:rsid w:val="00ED529A"/>
    <w:rsid w:val="00ED543D"/>
    <w:rsid w:val="00ED576E"/>
    <w:rsid w:val="00ED6253"/>
    <w:rsid w:val="00ED6E55"/>
    <w:rsid w:val="00ED7F39"/>
    <w:rsid w:val="00EE014A"/>
    <w:rsid w:val="00EE023A"/>
    <w:rsid w:val="00EE0269"/>
    <w:rsid w:val="00EE045A"/>
    <w:rsid w:val="00EE0BBB"/>
    <w:rsid w:val="00EE1347"/>
    <w:rsid w:val="00EE14C9"/>
    <w:rsid w:val="00EE16DF"/>
    <w:rsid w:val="00EE17F0"/>
    <w:rsid w:val="00EE19B5"/>
    <w:rsid w:val="00EE1B9D"/>
    <w:rsid w:val="00EE1C70"/>
    <w:rsid w:val="00EE2615"/>
    <w:rsid w:val="00EE2EED"/>
    <w:rsid w:val="00EE2F78"/>
    <w:rsid w:val="00EE3779"/>
    <w:rsid w:val="00EE38CC"/>
    <w:rsid w:val="00EE39E6"/>
    <w:rsid w:val="00EE462C"/>
    <w:rsid w:val="00EE4DDA"/>
    <w:rsid w:val="00EE56EF"/>
    <w:rsid w:val="00EE5A34"/>
    <w:rsid w:val="00EE64E9"/>
    <w:rsid w:val="00EE659D"/>
    <w:rsid w:val="00EE7EF3"/>
    <w:rsid w:val="00EF01E9"/>
    <w:rsid w:val="00EF0783"/>
    <w:rsid w:val="00EF14DC"/>
    <w:rsid w:val="00EF1BFF"/>
    <w:rsid w:val="00EF1ECC"/>
    <w:rsid w:val="00EF3DF7"/>
    <w:rsid w:val="00EF4E30"/>
    <w:rsid w:val="00EF56B7"/>
    <w:rsid w:val="00EF5DDC"/>
    <w:rsid w:val="00EF614F"/>
    <w:rsid w:val="00EF6897"/>
    <w:rsid w:val="00EF69A0"/>
    <w:rsid w:val="00EF703E"/>
    <w:rsid w:val="00EF7B30"/>
    <w:rsid w:val="00EF7DB9"/>
    <w:rsid w:val="00F00BAB"/>
    <w:rsid w:val="00F00CFA"/>
    <w:rsid w:val="00F019FE"/>
    <w:rsid w:val="00F02B0E"/>
    <w:rsid w:val="00F03B27"/>
    <w:rsid w:val="00F042D9"/>
    <w:rsid w:val="00F050FE"/>
    <w:rsid w:val="00F05EC1"/>
    <w:rsid w:val="00F06483"/>
    <w:rsid w:val="00F070EE"/>
    <w:rsid w:val="00F0781A"/>
    <w:rsid w:val="00F10A5B"/>
    <w:rsid w:val="00F112E6"/>
    <w:rsid w:val="00F12630"/>
    <w:rsid w:val="00F1291E"/>
    <w:rsid w:val="00F12FD2"/>
    <w:rsid w:val="00F1427A"/>
    <w:rsid w:val="00F14715"/>
    <w:rsid w:val="00F15B45"/>
    <w:rsid w:val="00F15D31"/>
    <w:rsid w:val="00F1614D"/>
    <w:rsid w:val="00F175A6"/>
    <w:rsid w:val="00F2195F"/>
    <w:rsid w:val="00F21FB8"/>
    <w:rsid w:val="00F22493"/>
    <w:rsid w:val="00F22A11"/>
    <w:rsid w:val="00F25348"/>
    <w:rsid w:val="00F255CF"/>
    <w:rsid w:val="00F257DD"/>
    <w:rsid w:val="00F259D6"/>
    <w:rsid w:val="00F30C6E"/>
    <w:rsid w:val="00F3189C"/>
    <w:rsid w:val="00F3212D"/>
    <w:rsid w:val="00F32C7D"/>
    <w:rsid w:val="00F3308F"/>
    <w:rsid w:val="00F331CD"/>
    <w:rsid w:val="00F33A01"/>
    <w:rsid w:val="00F3406F"/>
    <w:rsid w:val="00F34188"/>
    <w:rsid w:val="00F34A72"/>
    <w:rsid w:val="00F356CC"/>
    <w:rsid w:val="00F357BE"/>
    <w:rsid w:val="00F36113"/>
    <w:rsid w:val="00F3615F"/>
    <w:rsid w:val="00F36A49"/>
    <w:rsid w:val="00F36A93"/>
    <w:rsid w:val="00F375DD"/>
    <w:rsid w:val="00F41B06"/>
    <w:rsid w:val="00F42674"/>
    <w:rsid w:val="00F42F3A"/>
    <w:rsid w:val="00F43DFC"/>
    <w:rsid w:val="00F444A5"/>
    <w:rsid w:val="00F446F4"/>
    <w:rsid w:val="00F4532A"/>
    <w:rsid w:val="00F45F42"/>
    <w:rsid w:val="00F506CD"/>
    <w:rsid w:val="00F51524"/>
    <w:rsid w:val="00F5183D"/>
    <w:rsid w:val="00F51C44"/>
    <w:rsid w:val="00F52684"/>
    <w:rsid w:val="00F528B3"/>
    <w:rsid w:val="00F52DFC"/>
    <w:rsid w:val="00F533D1"/>
    <w:rsid w:val="00F5360E"/>
    <w:rsid w:val="00F53715"/>
    <w:rsid w:val="00F53B34"/>
    <w:rsid w:val="00F561DC"/>
    <w:rsid w:val="00F56A3D"/>
    <w:rsid w:val="00F5713D"/>
    <w:rsid w:val="00F608C2"/>
    <w:rsid w:val="00F60B24"/>
    <w:rsid w:val="00F60BC1"/>
    <w:rsid w:val="00F61E6B"/>
    <w:rsid w:val="00F61F27"/>
    <w:rsid w:val="00F61F9F"/>
    <w:rsid w:val="00F62020"/>
    <w:rsid w:val="00F62E85"/>
    <w:rsid w:val="00F6307B"/>
    <w:rsid w:val="00F6309C"/>
    <w:rsid w:val="00F6361A"/>
    <w:rsid w:val="00F638DF"/>
    <w:rsid w:val="00F643BC"/>
    <w:rsid w:val="00F64B6B"/>
    <w:rsid w:val="00F64C16"/>
    <w:rsid w:val="00F64E67"/>
    <w:rsid w:val="00F66C7B"/>
    <w:rsid w:val="00F673AD"/>
    <w:rsid w:val="00F70C8F"/>
    <w:rsid w:val="00F71009"/>
    <w:rsid w:val="00F714A2"/>
    <w:rsid w:val="00F714EA"/>
    <w:rsid w:val="00F71B6A"/>
    <w:rsid w:val="00F7296C"/>
    <w:rsid w:val="00F74D65"/>
    <w:rsid w:val="00F74F2B"/>
    <w:rsid w:val="00F75CCE"/>
    <w:rsid w:val="00F75CD7"/>
    <w:rsid w:val="00F7644F"/>
    <w:rsid w:val="00F77221"/>
    <w:rsid w:val="00F80353"/>
    <w:rsid w:val="00F816B7"/>
    <w:rsid w:val="00F81F1E"/>
    <w:rsid w:val="00F82428"/>
    <w:rsid w:val="00F824A5"/>
    <w:rsid w:val="00F83156"/>
    <w:rsid w:val="00F83C66"/>
    <w:rsid w:val="00F84171"/>
    <w:rsid w:val="00F842D1"/>
    <w:rsid w:val="00F8535F"/>
    <w:rsid w:val="00F865EE"/>
    <w:rsid w:val="00F8726A"/>
    <w:rsid w:val="00F902B4"/>
    <w:rsid w:val="00F91FE7"/>
    <w:rsid w:val="00F9201C"/>
    <w:rsid w:val="00F922AF"/>
    <w:rsid w:val="00F9329B"/>
    <w:rsid w:val="00F93AA6"/>
    <w:rsid w:val="00F93CEE"/>
    <w:rsid w:val="00F93E8D"/>
    <w:rsid w:val="00F94489"/>
    <w:rsid w:val="00F946A7"/>
    <w:rsid w:val="00F95FF4"/>
    <w:rsid w:val="00F96936"/>
    <w:rsid w:val="00F97F8F"/>
    <w:rsid w:val="00FA0351"/>
    <w:rsid w:val="00FA1011"/>
    <w:rsid w:val="00FA2682"/>
    <w:rsid w:val="00FA3750"/>
    <w:rsid w:val="00FA3DD9"/>
    <w:rsid w:val="00FA6466"/>
    <w:rsid w:val="00FA7568"/>
    <w:rsid w:val="00FA76CC"/>
    <w:rsid w:val="00FA7B3E"/>
    <w:rsid w:val="00FA7DDC"/>
    <w:rsid w:val="00FB0061"/>
    <w:rsid w:val="00FB02A0"/>
    <w:rsid w:val="00FB02FA"/>
    <w:rsid w:val="00FB0590"/>
    <w:rsid w:val="00FB2225"/>
    <w:rsid w:val="00FB258B"/>
    <w:rsid w:val="00FB278D"/>
    <w:rsid w:val="00FB4894"/>
    <w:rsid w:val="00FB4964"/>
    <w:rsid w:val="00FB61B8"/>
    <w:rsid w:val="00FB7967"/>
    <w:rsid w:val="00FC021A"/>
    <w:rsid w:val="00FC03E5"/>
    <w:rsid w:val="00FC06DF"/>
    <w:rsid w:val="00FC0EB0"/>
    <w:rsid w:val="00FC0FFF"/>
    <w:rsid w:val="00FC20EE"/>
    <w:rsid w:val="00FC2CA1"/>
    <w:rsid w:val="00FC4A34"/>
    <w:rsid w:val="00FC52FA"/>
    <w:rsid w:val="00FD0242"/>
    <w:rsid w:val="00FD28FD"/>
    <w:rsid w:val="00FD2EE0"/>
    <w:rsid w:val="00FD343A"/>
    <w:rsid w:val="00FD37A1"/>
    <w:rsid w:val="00FD3A1E"/>
    <w:rsid w:val="00FD4149"/>
    <w:rsid w:val="00FD4343"/>
    <w:rsid w:val="00FD4849"/>
    <w:rsid w:val="00FD4DD3"/>
    <w:rsid w:val="00FD5A32"/>
    <w:rsid w:val="00FD61CF"/>
    <w:rsid w:val="00FD74AD"/>
    <w:rsid w:val="00FD7EE0"/>
    <w:rsid w:val="00FE2ED8"/>
    <w:rsid w:val="00FE3AFD"/>
    <w:rsid w:val="00FE3B6D"/>
    <w:rsid w:val="00FE3DEA"/>
    <w:rsid w:val="00FE3DF8"/>
    <w:rsid w:val="00FE59ED"/>
    <w:rsid w:val="00FE5F5F"/>
    <w:rsid w:val="00FE690D"/>
    <w:rsid w:val="00FF0EE5"/>
    <w:rsid w:val="00FF0FBC"/>
    <w:rsid w:val="00FF1F08"/>
    <w:rsid w:val="00FF225D"/>
    <w:rsid w:val="00FF2CE9"/>
    <w:rsid w:val="00FF31FD"/>
    <w:rsid w:val="00FF3311"/>
    <w:rsid w:val="00FF3CF2"/>
    <w:rsid w:val="00FF44BE"/>
    <w:rsid w:val="00FF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43B8"/>
    <w:rPr>
      <w:sz w:val="24"/>
      <w:szCs w:val="24"/>
    </w:rPr>
  </w:style>
  <w:style w:type="paragraph" w:styleId="Heading1">
    <w:name w:val="heading 1"/>
    <w:basedOn w:val="Normal"/>
    <w:next w:val="Normal"/>
    <w:link w:val="Heading1Char"/>
    <w:autoRedefine/>
    <w:qFormat/>
    <w:rsid w:val="0027431D"/>
    <w:pPr>
      <w:keepNext/>
      <w:keepLines/>
      <w:numPr>
        <w:numId w:val="8"/>
      </w:numPr>
      <w:spacing w:after="240"/>
      <w:ind w:left="720"/>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autoRedefine/>
    <w:semiHidden/>
    <w:unhideWhenUsed/>
    <w:qFormat/>
    <w:rsid w:val="00C943B8"/>
    <w:pPr>
      <w:keepNext/>
      <w:keepLines/>
      <w:spacing w:after="240"/>
      <w:ind w:left="1440" w:hanging="720"/>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ing">
    <w:name w:val="Billing"/>
    <w:basedOn w:val="PlainText"/>
    <w:autoRedefine/>
    <w:rsid w:val="00F97F8F"/>
    <w:pPr>
      <w:tabs>
        <w:tab w:val="left" w:pos="720"/>
        <w:tab w:val="left" w:pos="1440"/>
        <w:tab w:val="left" w:pos="2160"/>
        <w:tab w:val="left" w:pos="2880"/>
        <w:tab w:val="decimal" w:pos="6480"/>
        <w:tab w:val="decimal" w:pos="7920"/>
      </w:tabs>
    </w:pPr>
  </w:style>
  <w:style w:type="paragraph" w:styleId="PlainText">
    <w:name w:val="Plain Text"/>
    <w:basedOn w:val="Normal"/>
    <w:rsid w:val="00F97F8F"/>
    <w:rPr>
      <w:rFonts w:ascii="Courier New" w:hAnsi="Courier New" w:cs="Courier New"/>
      <w:sz w:val="20"/>
      <w:szCs w:val="20"/>
    </w:rPr>
  </w:style>
  <w:style w:type="table" w:styleId="TableGrid">
    <w:name w:val="Table Grid"/>
    <w:basedOn w:val="TableNormal"/>
    <w:rsid w:val="0075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D2FD7"/>
    <w:rPr>
      <w:color w:val="0000FF"/>
      <w:u w:val="single"/>
    </w:rPr>
  </w:style>
  <w:style w:type="character" w:styleId="FootnoteReference">
    <w:name w:val="footnote reference"/>
    <w:uiPriority w:val="99"/>
    <w:rsid w:val="00756DCB"/>
  </w:style>
  <w:style w:type="paragraph" w:styleId="FootnoteText">
    <w:name w:val="footnote text"/>
    <w:basedOn w:val="Normal"/>
    <w:link w:val="FootnoteTextChar"/>
    <w:uiPriority w:val="99"/>
    <w:rsid w:val="00756DCB"/>
    <w:pPr>
      <w:widowControl w:val="0"/>
      <w:spacing w:line="480" w:lineRule="auto"/>
    </w:pPr>
    <w:rPr>
      <w:snapToGrid w:val="0"/>
      <w:sz w:val="20"/>
      <w:szCs w:val="20"/>
    </w:rPr>
  </w:style>
  <w:style w:type="character" w:customStyle="1" w:styleId="FootnoteTextChar">
    <w:name w:val="Footnote Text Char"/>
    <w:link w:val="FootnoteText"/>
    <w:uiPriority w:val="99"/>
    <w:rsid w:val="00756DCB"/>
    <w:rPr>
      <w:snapToGrid/>
    </w:rPr>
  </w:style>
  <w:style w:type="paragraph" w:customStyle="1" w:styleId="ColorfulList-Accent11">
    <w:name w:val="Colorful List - Accent 11"/>
    <w:basedOn w:val="Normal"/>
    <w:uiPriority w:val="34"/>
    <w:qFormat/>
    <w:rsid w:val="000E452C"/>
    <w:pPr>
      <w:ind w:left="720"/>
      <w:contextualSpacing/>
    </w:pPr>
  </w:style>
  <w:style w:type="paragraph" w:customStyle="1" w:styleId="QuestionAfterHeading">
    <w:name w:val="Question After Heading"/>
    <w:basedOn w:val="Normal"/>
    <w:qFormat/>
    <w:rsid w:val="0013133C"/>
    <w:pPr>
      <w:spacing w:before="480" w:line="480" w:lineRule="auto"/>
      <w:ind w:left="720" w:hanging="720"/>
      <w:jc w:val="both"/>
    </w:pPr>
    <w:rPr>
      <w:rFonts w:ascii="Times New Roman Bold" w:hAnsi="Times New Roman Bold"/>
      <w:bCs/>
      <w:snapToGrid w:val="0"/>
    </w:rPr>
  </w:style>
  <w:style w:type="paragraph" w:styleId="BalloonText">
    <w:name w:val="Balloon Text"/>
    <w:basedOn w:val="Normal"/>
    <w:link w:val="BalloonTextChar"/>
    <w:rsid w:val="00F865EE"/>
    <w:rPr>
      <w:rFonts w:ascii="Tahoma" w:hAnsi="Tahoma"/>
      <w:sz w:val="16"/>
      <w:szCs w:val="16"/>
    </w:rPr>
  </w:style>
  <w:style w:type="character" w:customStyle="1" w:styleId="BalloonTextChar">
    <w:name w:val="Balloon Text Char"/>
    <w:link w:val="BalloonText"/>
    <w:rsid w:val="00F865EE"/>
    <w:rPr>
      <w:rFonts w:ascii="Tahoma" w:hAnsi="Tahoma" w:cs="Tahoma"/>
      <w:sz w:val="16"/>
      <w:szCs w:val="16"/>
    </w:rPr>
  </w:style>
  <w:style w:type="paragraph" w:customStyle="1" w:styleId="Answer">
    <w:name w:val="Answer"/>
    <w:basedOn w:val="Normal"/>
    <w:qFormat/>
    <w:rsid w:val="00B40B84"/>
    <w:pPr>
      <w:spacing w:line="480" w:lineRule="auto"/>
      <w:ind w:left="720" w:hanging="720"/>
      <w:jc w:val="both"/>
    </w:pPr>
    <w:rPr>
      <w:bCs/>
      <w:snapToGrid w:val="0"/>
    </w:rPr>
  </w:style>
  <w:style w:type="character" w:styleId="CommentReference">
    <w:name w:val="annotation reference"/>
    <w:rsid w:val="0040767D"/>
    <w:rPr>
      <w:sz w:val="18"/>
      <w:szCs w:val="18"/>
    </w:rPr>
  </w:style>
  <w:style w:type="paragraph" w:styleId="CommentText">
    <w:name w:val="annotation text"/>
    <w:basedOn w:val="Normal"/>
    <w:link w:val="CommentTextChar"/>
    <w:uiPriority w:val="99"/>
    <w:rsid w:val="0040767D"/>
  </w:style>
  <w:style w:type="character" w:customStyle="1" w:styleId="CommentTextChar">
    <w:name w:val="Comment Text Char"/>
    <w:link w:val="CommentText"/>
    <w:uiPriority w:val="99"/>
    <w:rsid w:val="0040767D"/>
    <w:rPr>
      <w:sz w:val="24"/>
      <w:szCs w:val="24"/>
    </w:rPr>
  </w:style>
  <w:style w:type="paragraph" w:styleId="CommentSubject">
    <w:name w:val="annotation subject"/>
    <w:basedOn w:val="CommentText"/>
    <w:next w:val="CommentText"/>
    <w:link w:val="CommentSubjectChar"/>
    <w:uiPriority w:val="99"/>
    <w:rsid w:val="0040767D"/>
    <w:rPr>
      <w:b/>
      <w:bCs/>
    </w:rPr>
  </w:style>
  <w:style w:type="character" w:customStyle="1" w:styleId="CommentSubjectChar">
    <w:name w:val="Comment Subject Char"/>
    <w:link w:val="CommentSubject"/>
    <w:uiPriority w:val="99"/>
    <w:rsid w:val="0040767D"/>
    <w:rPr>
      <w:b/>
      <w:bCs/>
      <w:sz w:val="24"/>
      <w:szCs w:val="24"/>
    </w:rPr>
  </w:style>
  <w:style w:type="paragraph" w:styleId="Header">
    <w:name w:val="header"/>
    <w:basedOn w:val="Normal"/>
    <w:link w:val="HeaderChar"/>
    <w:rsid w:val="009F4A90"/>
    <w:pPr>
      <w:tabs>
        <w:tab w:val="center" w:pos="4680"/>
        <w:tab w:val="right" w:pos="9360"/>
      </w:tabs>
    </w:pPr>
  </w:style>
  <w:style w:type="character" w:customStyle="1" w:styleId="HeaderChar">
    <w:name w:val="Header Char"/>
    <w:link w:val="Header"/>
    <w:rsid w:val="009F4A90"/>
    <w:rPr>
      <w:sz w:val="24"/>
      <w:szCs w:val="24"/>
    </w:rPr>
  </w:style>
  <w:style w:type="paragraph" w:styleId="Footer">
    <w:name w:val="footer"/>
    <w:basedOn w:val="Normal"/>
    <w:link w:val="FooterChar"/>
    <w:uiPriority w:val="99"/>
    <w:rsid w:val="009F4A90"/>
    <w:pPr>
      <w:tabs>
        <w:tab w:val="center" w:pos="4680"/>
        <w:tab w:val="right" w:pos="9360"/>
      </w:tabs>
    </w:pPr>
  </w:style>
  <w:style w:type="character" w:customStyle="1" w:styleId="FooterChar">
    <w:name w:val="Footer Char"/>
    <w:link w:val="Footer"/>
    <w:uiPriority w:val="99"/>
    <w:rsid w:val="009F4A90"/>
    <w:rPr>
      <w:sz w:val="24"/>
      <w:szCs w:val="24"/>
    </w:rPr>
  </w:style>
  <w:style w:type="paragraph" w:styleId="TOC1">
    <w:name w:val="toc 1"/>
    <w:basedOn w:val="Normal"/>
    <w:next w:val="Normal"/>
    <w:autoRedefine/>
    <w:uiPriority w:val="39"/>
    <w:rsid w:val="00C45713"/>
    <w:pPr>
      <w:spacing w:before="480" w:after="480"/>
      <w:ind w:left="360" w:hanging="360"/>
    </w:pPr>
  </w:style>
  <w:style w:type="paragraph" w:styleId="TOC2">
    <w:name w:val="toc 2"/>
    <w:basedOn w:val="Normal"/>
    <w:next w:val="Normal"/>
    <w:autoRedefine/>
    <w:uiPriority w:val="39"/>
    <w:rsid w:val="00D74893"/>
    <w:pPr>
      <w:tabs>
        <w:tab w:val="right" w:leader="dot" w:pos="10070"/>
      </w:tabs>
      <w:spacing w:before="240" w:after="240"/>
      <w:ind w:left="720" w:hanging="360"/>
    </w:pPr>
  </w:style>
  <w:style w:type="paragraph" w:styleId="TOC3">
    <w:name w:val="toc 3"/>
    <w:basedOn w:val="Normal"/>
    <w:next w:val="Normal"/>
    <w:autoRedefine/>
    <w:uiPriority w:val="39"/>
    <w:rsid w:val="00D74893"/>
    <w:pPr>
      <w:tabs>
        <w:tab w:val="right" w:leader="dot" w:pos="10070"/>
      </w:tabs>
      <w:spacing w:before="240" w:after="240"/>
      <w:ind w:left="1080" w:hanging="360"/>
    </w:pPr>
  </w:style>
  <w:style w:type="paragraph" w:styleId="ListParagraph">
    <w:name w:val="List Paragraph"/>
    <w:basedOn w:val="Normal"/>
    <w:uiPriority w:val="72"/>
    <w:qFormat/>
    <w:rsid w:val="00486F68"/>
    <w:pPr>
      <w:ind w:left="720"/>
      <w:contextualSpacing/>
    </w:pPr>
  </w:style>
  <w:style w:type="character" w:customStyle="1" w:styleId="Heading1Char">
    <w:name w:val="Heading 1 Char"/>
    <w:basedOn w:val="DefaultParagraphFont"/>
    <w:link w:val="Heading1"/>
    <w:rsid w:val="0027431D"/>
    <w:rPr>
      <w:rFonts w:ascii="Times New Roman Bold" w:eastAsiaTheme="majorEastAsia" w:hAnsi="Times New Roman Bold" w:cstheme="majorBidi"/>
      <w:b/>
      <w:bCs/>
      <w:sz w:val="24"/>
      <w:szCs w:val="28"/>
    </w:rPr>
  </w:style>
  <w:style w:type="character" w:customStyle="1" w:styleId="Heading2Char">
    <w:name w:val="Heading 2 Char"/>
    <w:basedOn w:val="DefaultParagraphFont"/>
    <w:link w:val="Heading2"/>
    <w:semiHidden/>
    <w:rsid w:val="00C943B8"/>
    <w:rPr>
      <w:rFonts w:ascii="Times New Roman Bold" w:eastAsiaTheme="majorEastAsia" w:hAnsi="Times New Roman Bold" w:cstheme="majorBidi"/>
      <w:b/>
      <w:bCs/>
      <w:sz w:val="24"/>
      <w:szCs w:val="26"/>
    </w:rPr>
  </w:style>
  <w:style w:type="paragraph" w:styleId="BodyText">
    <w:name w:val="Body Text"/>
    <w:basedOn w:val="Normal"/>
    <w:link w:val="BodyTextChar"/>
    <w:uiPriority w:val="99"/>
    <w:rsid w:val="0027431D"/>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uiPriority w:val="99"/>
    <w:rsid w:val="0027431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nourse@aep.com" TargetMode="External"/><Relationship Id="rId26" Type="http://schemas.openxmlformats.org/officeDocument/2006/relationships/hyperlink" Target="mailto:mpritchard@mwncmh.co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mhoward@vorys.com" TargetMode="External"/><Relationship Id="rId34" Type="http://schemas.openxmlformats.org/officeDocument/2006/relationships/hyperlink" Target="mailto:Sarah.parrot@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ady@occ.state.oh.us" TargetMode="External"/><Relationship Id="rId25" Type="http://schemas.openxmlformats.org/officeDocument/2006/relationships/hyperlink" Target="mailto:joliker@mwncmh.com" TargetMode="External"/><Relationship Id="rId33" Type="http://schemas.openxmlformats.org/officeDocument/2006/relationships/hyperlink" Target="mailto:jky1er@BKLlawfirm.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kylercohn@BKLlawfirm.com" TargetMode="External"/><Relationship Id="rId20" Type="http://schemas.openxmlformats.org/officeDocument/2006/relationships/hyperlink" Target="mailto:mhpetricoff@vorys.com" TargetMode="External"/><Relationship Id="rId29" Type="http://schemas.openxmlformats.org/officeDocument/2006/relationships/hyperlink" Target="mailto:lmcbride@calf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darr@mwncmh.com" TargetMode="External"/><Relationship Id="rId32" Type="http://schemas.openxmlformats.org/officeDocument/2006/relationships/hyperlink" Target="mailto:mkurtz@BKLlawfirm.com"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kurtz@BKLlawfirm.com" TargetMode="External"/><Relationship Id="rId23" Type="http://schemas.openxmlformats.org/officeDocument/2006/relationships/hyperlink" Target="mailto:sam@mwncmh.com" TargetMode="External"/><Relationship Id="rId28" Type="http://schemas.openxmlformats.org/officeDocument/2006/relationships/hyperlink" Target="mailto:jlang@calfee.com"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dconway@porterwright.com" TargetMode="External"/><Relationship Id="rId31" Type="http://schemas.openxmlformats.org/officeDocument/2006/relationships/hyperlink" Target="mailto:dboehm@BKLlawfir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boehm@BKLlawfirm.com" TargetMode="External"/><Relationship Id="rId22" Type="http://schemas.openxmlformats.org/officeDocument/2006/relationships/hyperlink" Target="mailto:glpetrucci@vorys.com" TargetMode="External"/><Relationship Id="rId27" Type="http://schemas.openxmlformats.org/officeDocument/2006/relationships/hyperlink" Target="mailto:haydenm@firstenergycorp.com" TargetMode="External"/><Relationship Id="rId30" Type="http://schemas.openxmlformats.org/officeDocument/2006/relationships/hyperlink" Target="mailto:talexander@calfee.com" TargetMode="External"/><Relationship Id="rId35" Type="http://schemas.openxmlformats.org/officeDocument/2006/relationships/hyperlink" Target="mailto:Jonathan.tauber@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2574</Words>
  <Characters>14645</Characters>
  <Application>Microsoft Office Word</Application>
  <DocSecurity>0</DocSecurity>
  <Lines>277</Lines>
  <Paragraphs>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17226</CharactersWithSpaces>
  <SharedDoc>false</SharedDoc>
  <HyperlinkBase> </HyperlinkBase>
  <HLinks>
    <vt:vector size="24" baseType="variant">
      <vt:variant>
        <vt:i4>5505122</vt:i4>
      </vt:variant>
      <vt:variant>
        <vt:i4>9</vt:i4>
      </vt:variant>
      <vt:variant>
        <vt:i4>0</vt:i4>
      </vt:variant>
      <vt:variant>
        <vt:i4>5</vt:i4>
      </vt:variant>
      <vt:variant>
        <vt:lpwstr>mailto:grady@occ.state.oh.us</vt:lpwstr>
      </vt:variant>
      <vt:variant>
        <vt:lpwstr/>
      </vt:variant>
      <vt:variant>
        <vt:i4>2424836</vt:i4>
      </vt:variant>
      <vt:variant>
        <vt:i4>6</vt:i4>
      </vt:variant>
      <vt:variant>
        <vt:i4>0</vt:i4>
      </vt:variant>
      <vt:variant>
        <vt:i4>5</vt:i4>
      </vt:variant>
      <vt:variant>
        <vt:lpwstr>mailto:jkylercohn@BKLlawfirm.com</vt:lpwstr>
      </vt:variant>
      <vt:variant>
        <vt:lpwstr/>
      </vt:variant>
      <vt:variant>
        <vt:i4>3407891</vt:i4>
      </vt:variant>
      <vt:variant>
        <vt:i4>3</vt:i4>
      </vt:variant>
      <vt:variant>
        <vt:i4>0</vt:i4>
      </vt:variant>
      <vt:variant>
        <vt:i4>5</vt:i4>
      </vt:variant>
      <vt:variant>
        <vt:lpwstr>mailto:mkurtz@BKLlawfirm.com</vt:lpwstr>
      </vt:variant>
      <vt:variant>
        <vt:lpwstr/>
      </vt:variant>
      <vt:variant>
        <vt:i4>3866650</vt:i4>
      </vt:variant>
      <vt:variant>
        <vt:i4>0</vt:i4>
      </vt:variant>
      <vt:variant>
        <vt:i4>0</vt:i4>
      </vt:variant>
      <vt:variant>
        <vt:i4>5</vt:i4>
      </vt:variant>
      <vt:variant>
        <vt:lpwstr>mailto:dboehm@BKLlawfirm.com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2013-08-27T14:01:00Z</cp:lastPrinted>
  <dcterms:created xsi:type="dcterms:W3CDTF">2013-08-30T19:17:00Z</dcterms:created>
  <dcterms:modified xsi:type="dcterms:W3CDTF">2013-08-30T19:17:00Z</dcterms:modified>
  <cp:category> </cp:category>
  <cp:contentStatus> </cp:contentStatus>
</cp:coreProperties>
</file>