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93AC2" w:rsidP="00093AC2" w14:paraId="643CF368"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093AC2" w:rsidP="00093AC2" w14:paraId="1152CCCD"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093AC2" w:rsidP="00093AC2" w14:paraId="30879D28" w14:textId="77777777">
      <w:pPr>
        <w:pStyle w:val="HTMLPreformatted"/>
        <w:rPr>
          <w:rFonts w:ascii="Times New Roman" w:hAnsi="Times New Roman"/>
          <w:sz w:val="24"/>
        </w:rPr>
      </w:pPr>
    </w:p>
    <w:tbl>
      <w:tblPr>
        <w:tblW w:w="9080" w:type="dxa"/>
        <w:tblLook w:val="01E0"/>
      </w:tblPr>
      <w:tblGrid>
        <w:gridCol w:w="4320"/>
        <w:gridCol w:w="360"/>
        <w:gridCol w:w="4400"/>
      </w:tblGrid>
      <w:tr w14:paraId="06D67A95" w14:textId="77777777" w:rsidTr="00085092">
        <w:tblPrEx>
          <w:tblW w:w="9080" w:type="dxa"/>
          <w:tblLook w:val="01E0"/>
        </w:tblPrEx>
        <w:trPr>
          <w:trHeight w:val="807"/>
        </w:trPr>
        <w:tc>
          <w:tcPr>
            <w:tcW w:w="4320" w:type="dxa"/>
            <w:shd w:val="clear" w:color="auto" w:fill="auto"/>
          </w:tcPr>
          <w:p w:rsidR="00093AC2" w:rsidRPr="00376A99" w:rsidP="005D3FD9" w14:paraId="5DA4C259" w14:textId="125FA211">
            <w:pPr>
              <w:autoSpaceDE w:val="0"/>
              <w:autoSpaceDN w:val="0"/>
              <w:adjustRightInd w:val="0"/>
              <w:rPr>
                <w:szCs w:val="24"/>
              </w:rPr>
            </w:pPr>
            <w:r>
              <w:rPr>
                <w:szCs w:val="24"/>
              </w:rPr>
              <w:t xml:space="preserve">In the Matter of the </w:t>
            </w:r>
            <w:r w:rsidR="00085092">
              <w:rPr>
                <w:szCs w:val="24"/>
              </w:rPr>
              <w:t>Application of Duke Energy, Ohio Inc. for Authority to Change Accounting Methods.</w:t>
            </w:r>
          </w:p>
        </w:tc>
        <w:tc>
          <w:tcPr>
            <w:tcW w:w="360" w:type="dxa"/>
            <w:shd w:val="clear" w:color="auto" w:fill="auto"/>
          </w:tcPr>
          <w:p w:rsidR="00093AC2" w:rsidRPr="00376A99" w:rsidP="005D3FD9" w14:paraId="14C0C0BA" w14:textId="77777777">
            <w:pPr>
              <w:pStyle w:val="HTMLPreformatted"/>
              <w:rPr>
                <w:rFonts w:ascii="Times New Roman" w:hAnsi="Times New Roman"/>
                <w:sz w:val="24"/>
                <w:szCs w:val="24"/>
              </w:rPr>
            </w:pPr>
            <w:r w:rsidRPr="00376A99">
              <w:rPr>
                <w:rFonts w:ascii="Times New Roman" w:hAnsi="Times New Roman"/>
                <w:sz w:val="24"/>
                <w:szCs w:val="24"/>
              </w:rPr>
              <w:t>)</w:t>
            </w:r>
          </w:p>
          <w:p w:rsidR="00093AC2" w:rsidP="005D3FD9" w14:paraId="41AE64BB" w14:textId="77777777">
            <w:pPr>
              <w:pStyle w:val="HTMLPreformatted"/>
              <w:rPr>
                <w:rFonts w:ascii="Times New Roman" w:hAnsi="Times New Roman"/>
                <w:sz w:val="24"/>
                <w:szCs w:val="24"/>
              </w:rPr>
            </w:pPr>
            <w:r w:rsidRPr="00376A99">
              <w:rPr>
                <w:rFonts w:ascii="Times New Roman" w:hAnsi="Times New Roman"/>
                <w:sz w:val="24"/>
                <w:szCs w:val="24"/>
              </w:rPr>
              <w:t>)</w:t>
            </w:r>
          </w:p>
          <w:p w:rsidR="00093AC2" w:rsidRPr="00376A99" w:rsidP="005D3FD9" w14:paraId="5A5B2682" w14:textId="77777777">
            <w:pPr>
              <w:pStyle w:val="HTMLPreformatted"/>
              <w:rPr>
                <w:rFonts w:ascii="Times New Roman" w:hAnsi="Times New Roman"/>
                <w:sz w:val="24"/>
                <w:szCs w:val="24"/>
              </w:rPr>
            </w:pPr>
            <w:r>
              <w:rPr>
                <w:rFonts w:ascii="Times New Roman" w:hAnsi="Times New Roman"/>
                <w:sz w:val="24"/>
                <w:szCs w:val="24"/>
              </w:rPr>
              <w:t>)</w:t>
            </w:r>
          </w:p>
        </w:tc>
        <w:tc>
          <w:tcPr>
            <w:tcW w:w="4400" w:type="dxa"/>
            <w:shd w:val="clear" w:color="auto" w:fill="auto"/>
          </w:tcPr>
          <w:p w:rsidR="00093AC2" w:rsidRPr="00376A99" w:rsidP="005D3FD9" w14:paraId="75E13B7D" w14:textId="77777777">
            <w:pPr>
              <w:pStyle w:val="HTMLPreformatted"/>
              <w:rPr>
                <w:rFonts w:ascii="Times New Roman" w:hAnsi="Times New Roman"/>
                <w:sz w:val="24"/>
                <w:szCs w:val="24"/>
              </w:rPr>
            </w:pPr>
          </w:p>
          <w:p w:rsidR="00093AC2" w:rsidRPr="00376A99" w:rsidP="005D3FD9" w14:paraId="5CB42AB0" w14:textId="425E8F85">
            <w:pPr>
              <w:pStyle w:val="HTMLPreformatted"/>
              <w:rPr>
                <w:rFonts w:ascii="Times New Roman" w:hAnsi="Times New Roman"/>
                <w:sz w:val="24"/>
                <w:szCs w:val="24"/>
              </w:rPr>
            </w:pPr>
            <w:r w:rsidRPr="00376A99">
              <w:rPr>
                <w:rFonts w:ascii="Times New Roman" w:hAnsi="Times New Roman"/>
                <w:sz w:val="24"/>
                <w:szCs w:val="24"/>
              </w:rPr>
              <w:t xml:space="preserve">Case No. </w:t>
            </w:r>
            <w:r w:rsidR="000F2F69">
              <w:rPr>
                <w:rFonts w:ascii="Times New Roman" w:hAnsi="Times New Roman"/>
                <w:sz w:val="24"/>
                <w:szCs w:val="24"/>
              </w:rPr>
              <w:t>19-1873</w:t>
            </w:r>
            <w:r>
              <w:rPr>
                <w:rFonts w:ascii="Times New Roman" w:hAnsi="Times New Roman"/>
                <w:sz w:val="24"/>
                <w:szCs w:val="24"/>
              </w:rPr>
              <w:t>-</w:t>
            </w:r>
            <w:r w:rsidR="000F2F69">
              <w:rPr>
                <w:rFonts w:ascii="Times New Roman" w:hAnsi="Times New Roman"/>
                <w:sz w:val="24"/>
                <w:szCs w:val="24"/>
              </w:rPr>
              <w:t>GE</w:t>
            </w:r>
            <w:r>
              <w:rPr>
                <w:rFonts w:ascii="Times New Roman" w:hAnsi="Times New Roman"/>
                <w:sz w:val="24"/>
                <w:szCs w:val="24"/>
              </w:rPr>
              <w:t>-</w:t>
            </w:r>
            <w:r w:rsidR="000F2F69">
              <w:rPr>
                <w:rFonts w:ascii="Times New Roman" w:hAnsi="Times New Roman"/>
                <w:sz w:val="24"/>
                <w:szCs w:val="24"/>
              </w:rPr>
              <w:t>AAM</w:t>
            </w:r>
          </w:p>
        </w:tc>
      </w:tr>
    </w:tbl>
    <w:p w:rsidR="00093AC2" w:rsidP="00093AC2" w14:paraId="6D295508" w14:textId="77777777">
      <w:pPr>
        <w:pStyle w:val="HTMLPreformatted"/>
        <w:rPr>
          <w:rFonts w:ascii="Times New Roman" w:hAnsi="Times New Roman"/>
          <w:sz w:val="24"/>
        </w:rPr>
      </w:pPr>
    </w:p>
    <w:p w:rsidR="00614CD5" w:rsidP="00614CD5" w14:paraId="65B008DE" w14:textId="77777777">
      <w:pPr>
        <w:pStyle w:val="HTMLPreformatted"/>
        <w:pBdr>
          <w:top w:val="single" w:sz="12" w:space="1" w:color="auto"/>
        </w:pBdr>
        <w:rPr>
          <w:rFonts w:ascii="Times New Roman" w:hAnsi="Times New Roman"/>
          <w:sz w:val="24"/>
        </w:rPr>
      </w:pPr>
    </w:p>
    <w:p w:rsidR="00C360EB" w:rsidP="00C360EB" w14:paraId="65F0924F" w14:textId="77777777">
      <w:pPr>
        <w:jc w:val="center"/>
        <w:rPr>
          <w:b/>
          <w:bCs/>
        </w:rPr>
      </w:pPr>
      <w:r>
        <w:rPr>
          <w:b/>
          <w:bCs/>
        </w:rPr>
        <w:t>COMMENTS FOR CONSUMER PROTECTION</w:t>
      </w:r>
    </w:p>
    <w:p w:rsidR="00C360EB" w:rsidP="00614CD5" w14:paraId="01C56BF2" w14:textId="3669E643">
      <w:pPr>
        <w:jc w:val="center"/>
        <w:rPr>
          <w:b/>
          <w:bCs/>
        </w:rPr>
      </w:pPr>
      <w:r>
        <w:rPr>
          <w:b/>
          <w:bCs/>
        </w:rPr>
        <w:t xml:space="preserve">SUPPORTING </w:t>
      </w:r>
      <w:r w:rsidR="00EC766F">
        <w:rPr>
          <w:b/>
          <w:bCs/>
        </w:rPr>
        <w:t xml:space="preserve">THE </w:t>
      </w:r>
      <w:r>
        <w:rPr>
          <w:b/>
          <w:bCs/>
        </w:rPr>
        <w:t>PUCO STAFF’S RECOMMENDATION</w:t>
      </w:r>
    </w:p>
    <w:p w:rsidR="00C360EB" w:rsidP="00614CD5" w14:paraId="6CE998C3" w14:textId="77777777">
      <w:pPr>
        <w:jc w:val="center"/>
        <w:rPr>
          <w:b/>
          <w:bCs/>
        </w:rPr>
      </w:pPr>
      <w:r>
        <w:rPr>
          <w:b/>
          <w:bCs/>
        </w:rPr>
        <w:t xml:space="preserve">TO DENY DUKE’S APPLICATION </w:t>
      </w:r>
    </w:p>
    <w:p w:rsidR="00EC7774" w:rsidP="00614CD5" w14:paraId="1B91D722" w14:textId="77777777">
      <w:pPr>
        <w:jc w:val="center"/>
        <w:rPr>
          <w:b/>
          <w:bCs/>
        </w:rPr>
      </w:pPr>
      <w:r>
        <w:rPr>
          <w:b/>
          <w:bCs/>
        </w:rPr>
        <w:t>BY</w:t>
      </w:r>
    </w:p>
    <w:p w:rsidR="00EC7774" w:rsidP="00614CD5" w14:paraId="44F6EB9F" w14:textId="77777777">
      <w:pPr>
        <w:jc w:val="center"/>
        <w:rPr>
          <w:b/>
          <w:bCs/>
        </w:rPr>
      </w:pPr>
      <w:r>
        <w:rPr>
          <w:b/>
          <w:bCs/>
        </w:rPr>
        <w:t>THE OFFICE OF THE OHIO CONSUMERS' COUNSEL</w:t>
      </w:r>
    </w:p>
    <w:p w:rsidR="00614CD5" w:rsidP="00614CD5" w14:paraId="4FBA1C69" w14:textId="77777777">
      <w:pPr>
        <w:pBdr>
          <w:bottom w:val="single" w:sz="12" w:space="1" w:color="auto"/>
        </w:pBdr>
        <w:tabs>
          <w:tab w:val="left" w:pos="4320"/>
        </w:tabs>
      </w:pPr>
    </w:p>
    <w:p w:rsidR="00614CD5" w:rsidP="00614CD5" w14:paraId="31E0C655" w14:textId="77777777">
      <w:pPr>
        <w:tabs>
          <w:tab w:val="left" w:pos="4320"/>
        </w:tabs>
      </w:pPr>
    </w:p>
    <w:p w:rsidR="00085092" w:rsidP="00E01F89" w14:paraId="53252416" w14:textId="758D2513">
      <w:pPr>
        <w:pStyle w:val="BodyTextIndent3"/>
        <w:widowControl w:val="0"/>
        <w:spacing w:line="480" w:lineRule="auto"/>
        <w:ind w:right="-24"/>
      </w:pPr>
      <w:r>
        <w:t xml:space="preserve">The </w:t>
      </w:r>
      <w:r w:rsidR="00236CC3">
        <w:t>PUCO Staff reviewed Duke’s application to defer pension expenses it incurred in 2019 for later collection from customers. The PUCO Staff recommended that Duke’s application should be denied because it does not meet the PUCO standards for granting deferrals.</w:t>
      </w:r>
      <w:r w:rsidR="003C244B">
        <w:t xml:space="preserve"> </w:t>
      </w:r>
      <w:r w:rsidR="00236CC3">
        <w:t>OCC agrees with the Staff.</w:t>
      </w:r>
      <w:r w:rsidR="003C244B">
        <w:t xml:space="preserve"> </w:t>
      </w:r>
      <w:r w:rsidR="00236CC3">
        <w:t xml:space="preserve">To protect </w:t>
      </w:r>
      <w:r w:rsidR="00AD20F6">
        <w:t>Duke’s 640,000 residential electric and 394,000 residential gas utility customers</w:t>
      </w:r>
      <w:r w:rsidR="00236CC3">
        <w:t>, the PUCO should deny Duke</w:t>
      </w:r>
      <w:r w:rsidR="004C13E7">
        <w:t>’</w:t>
      </w:r>
      <w:r w:rsidR="00236CC3">
        <w:t xml:space="preserve">s application for pension accounting deferral. </w:t>
      </w:r>
    </w:p>
    <w:p w:rsidR="00AD20F6" w:rsidP="007B5ED9" w14:paraId="46B93C4C" w14:textId="4B6972AF">
      <w:pPr>
        <w:pStyle w:val="BodyTextIndent3"/>
        <w:widowControl w:val="0"/>
        <w:spacing w:line="480" w:lineRule="auto"/>
        <w:ind w:right="-24"/>
      </w:pPr>
      <w:r>
        <w:t xml:space="preserve">Duke estimated that </w:t>
      </w:r>
      <w:r w:rsidR="00457D1F">
        <w:t>the pension s</w:t>
      </w:r>
      <w:r w:rsidRPr="00E01F89">
        <w:t>ettlement charges for</w:t>
      </w:r>
      <w:r>
        <w:t xml:space="preserve"> </w:t>
      </w:r>
      <w:r w:rsidRPr="00E01F89">
        <w:t xml:space="preserve">2019 </w:t>
      </w:r>
      <w:r w:rsidR="00457D1F">
        <w:t xml:space="preserve">that it is seeking to defer </w:t>
      </w:r>
      <w:r w:rsidR="008B46F8">
        <w:t>would be</w:t>
      </w:r>
      <w:r w:rsidRPr="00E01F89">
        <w:t xml:space="preserve"> $1.3 million for electric and $539,000 for gas.</w:t>
      </w:r>
      <w:r>
        <w:rPr>
          <w:rStyle w:val="FootnoteReference"/>
        </w:rPr>
        <w:footnoteReference w:id="2"/>
      </w:r>
      <w:r w:rsidRPr="00E01F89">
        <w:t xml:space="preserve"> </w:t>
      </w:r>
      <w:r w:rsidR="00236CC3">
        <w:t>If Duke is permitted to defer these costs, Duke will likely seek to charge customers for the costs in the next rate case it files</w:t>
      </w:r>
      <w:r w:rsidR="00FF77D6">
        <w:t>.</w:t>
      </w:r>
    </w:p>
    <w:p w:rsidR="00236CC3" w:rsidP="00236CC3" w14:paraId="60857EB7" w14:textId="1AAEF8AD">
      <w:pPr>
        <w:pStyle w:val="BodyTextIndent3"/>
        <w:widowControl w:val="0"/>
        <w:spacing w:line="480" w:lineRule="auto"/>
        <w:ind w:right="-24"/>
      </w:pPr>
      <w:r>
        <w:t>Accounting changes, like those sought by Duke, have a substantial practical impact on ratemaking, by effectively creating a test year loophole.</w:t>
      </w:r>
      <w:r>
        <w:rPr>
          <w:rStyle w:val="FootnoteReference"/>
        </w:rPr>
        <w:footnoteReference w:id="3"/>
      </w:r>
      <w:r w:rsidR="003C244B">
        <w:t xml:space="preserve"> </w:t>
      </w:r>
      <w:r>
        <w:t xml:space="preserve">Under the deferral loophole, a utility can charge customers for expenses incurred months and even years outside the test year, instead of charging customers solely for the cost of rendering service </w:t>
      </w:r>
      <w:r>
        <w:t>during the discrete test period established under R.C. 4909.15(A)(4).</w:t>
      </w:r>
      <w:r w:rsidR="003C244B">
        <w:t xml:space="preserve"> </w:t>
      </w:r>
      <w:r>
        <w:t>This is contrary to the notion that there should be very limited exceptions to the test year concept—only when necessary to smooth out anomalies which would make the test year unrepresentative or misleading for ratemaking purposes.</w:t>
      </w:r>
      <w:r>
        <w:rPr>
          <w:rStyle w:val="FootnoteReference"/>
        </w:rPr>
        <w:footnoteReference w:id="4"/>
      </w:r>
    </w:p>
    <w:p w:rsidR="002F0CCA" w14:paraId="111C73C5" w14:textId="10344BF0">
      <w:pPr>
        <w:pStyle w:val="BodyTextIndent3"/>
        <w:widowControl w:val="0"/>
        <w:spacing w:line="480" w:lineRule="auto"/>
        <w:ind w:right="-24"/>
      </w:pPr>
      <w:r>
        <w:t>T</w:t>
      </w:r>
      <w:r w:rsidR="002C3C08">
        <w:t xml:space="preserve">he PUCO Staff evaluated Duke’s request for deferral based on </w:t>
      </w:r>
      <w:r>
        <w:t xml:space="preserve">the following </w:t>
      </w:r>
      <w:r w:rsidR="002C3C08">
        <w:t>six criteria</w:t>
      </w:r>
      <w:r>
        <w:t>:</w:t>
      </w:r>
    </w:p>
    <w:p w:rsidR="002F0CCA" w:rsidP="002F0CCA" w14:paraId="1153EA44" w14:textId="7E4FFDFF">
      <w:pPr>
        <w:pStyle w:val="BodyTextIndent3"/>
        <w:widowControl w:val="0"/>
        <w:numPr>
          <w:ilvl w:val="0"/>
          <w:numId w:val="8"/>
        </w:numPr>
        <w:spacing w:line="480" w:lineRule="auto"/>
        <w:ind w:right="-24"/>
      </w:pPr>
      <w:r>
        <w:t xml:space="preserve">Whether the utility’s current rates or revenues are sufficient to cover the costs associated with the requested deferral; </w:t>
      </w:r>
    </w:p>
    <w:p w:rsidR="002F0CCA" w:rsidP="002F0CCA" w14:paraId="65A2CBA2" w14:textId="5DD02336">
      <w:pPr>
        <w:pStyle w:val="BodyTextIndent3"/>
        <w:widowControl w:val="0"/>
        <w:numPr>
          <w:ilvl w:val="0"/>
          <w:numId w:val="8"/>
        </w:numPr>
        <w:spacing w:line="480" w:lineRule="auto"/>
        <w:ind w:right="-24"/>
      </w:pPr>
      <w:r>
        <w:t xml:space="preserve">Whether the costs Duke requested to be deferred are material in nature; </w:t>
      </w:r>
    </w:p>
    <w:p w:rsidR="002F0CCA" w:rsidP="002F0CCA" w14:paraId="366880B2" w14:textId="14E3A6F6">
      <w:pPr>
        <w:pStyle w:val="BodyTextIndent3"/>
        <w:widowControl w:val="0"/>
        <w:numPr>
          <w:ilvl w:val="0"/>
          <w:numId w:val="8"/>
        </w:numPr>
        <w:spacing w:line="480" w:lineRule="auto"/>
        <w:ind w:right="-24"/>
      </w:pPr>
      <w:r>
        <w:t xml:space="preserve">Whether the problem was outside of the Company’s control; </w:t>
      </w:r>
    </w:p>
    <w:p w:rsidR="002F0CCA" w:rsidP="002F0CCA" w14:paraId="639E3E7C" w14:textId="7C88E4C2">
      <w:pPr>
        <w:pStyle w:val="BodyTextIndent3"/>
        <w:widowControl w:val="0"/>
        <w:numPr>
          <w:ilvl w:val="0"/>
          <w:numId w:val="8"/>
        </w:numPr>
        <w:spacing w:line="480" w:lineRule="auto"/>
        <w:ind w:right="-24"/>
      </w:pPr>
      <w:r>
        <w:t xml:space="preserve">Whether the expenditures are atypical and infrequent; </w:t>
      </w:r>
    </w:p>
    <w:p w:rsidR="002F0CCA" w:rsidP="002F0CCA" w14:paraId="23073BF0" w14:textId="2ABCEBED">
      <w:pPr>
        <w:pStyle w:val="BodyTextIndent3"/>
        <w:widowControl w:val="0"/>
        <w:numPr>
          <w:ilvl w:val="0"/>
          <w:numId w:val="8"/>
        </w:numPr>
        <w:spacing w:line="480" w:lineRule="auto"/>
        <w:ind w:right="-24"/>
      </w:pPr>
      <w:r>
        <w:t xml:space="preserve">Whether the financial integrity of the utility will be significantly and adversely affected; and </w:t>
      </w:r>
    </w:p>
    <w:p w:rsidR="002F0CCA" w:rsidP="003C244B" w14:paraId="7C744804" w14:textId="3222FF5C">
      <w:pPr>
        <w:pStyle w:val="BodyTextIndent3"/>
        <w:widowControl w:val="0"/>
        <w:numPr>
          <w:ilvl w:val="0"/>
          <w:numId w:val="8"/>
        </w:numPr>
        <w:spacing w:line="480" w:lineRule="auto"/>
        <w:ind w:right="-24"/>
      </w:pPr>
      <w:r>
        <w:t>Whether the PUCO could encourage the utility to do something it would not otherwise do through the granting of the deferral authority.</w:t>
      </w:r>
    </w:p>
    <w:p w:rsidR="00334F37" w14:paraId="3BEBA8C8" w14:textId="2631B076">
      <w:pPr>
        <w:pStyle w:val="BodyTextIndent3"/>
        <w:widowControl w:val="0"/>
        <w:spacing w:line="480" w:lineRule="auto"/>
        <w:ind w:right="-24"/>
      </w:pPr>
      <w:r>
        <w:t xml:space="preserve"> </w:t>
      </w:r>
      <w:r w:rsidR="004C13E7">
        <w:t xml:space="preserve">The </w:t>
      </w:r>
      <w:r w:rsidR="002F0CCA">
        <w:t>Staff</w:t>
      </w:r>
      <w:r w:rsidR="003C244B">
        <w:t xml:space="preserve"> </w:t>
      </w:r>
      <w:r w:rsidR="007B5ED9">
        <w:t>found that Duke did not meet</w:t>
      </w:r>
      <w:r>
        <w:t xml:space="preserve"> five of the six</w:t>
      </w:r>
      <w:r w:rsidR="007B5ED9">
        <w:t xml:space="preserve"> criteria</w:t>
      </w:r>
      <w:r>
        <w:t xml:space="preserve"> </w:t>
      </w:r>
      <w:r w:rsidR="007B5ED9">
        <w:t xml:space="preserve">and </w:t>
      </w:r>
      <w:r w:rsidR="00E67D3D">
        <w:t xml:space="preserve">recommended </w:t>
      </w:r>
      <w:r w:rsidR="007B5ED9">
        <w:t xml:space="preserve">that </w:t>
      </w:r>
      <w:r w:rsidR="00E67D3D">
        <w:t>th</w:t>
      </w:r>
      <w:r w:rsidR="00AD20F6">
        <w:t>i</w:t>
      </w:r>
      <w:r w:rsidR="007B5ED9">
        <w:t>s application should be denied.</w:t>
      </w:r>
      <w:r>
        <w:rPr>
          <w:rStyle w:val="FootnoteReference"/>
        </w:rPr>
        <w:footnoteReference w:id="5"/>
      </w:r>
      <w:r w:rsidR="007B5ED9">
        <w:t xml:space="preserve"> </w:t>
      </w:r>
      <w:r>
        <w:t>Duke also failed to demonstrate</w:t>
      </w:r>
      <w:r w:rsidR="00E67D3D">
        <w:t xml:space="preserve"> any </w:t>
      </w:r>
      <w:r>
        <w:t xml:space="preserve">exigent circumstances or </w:t>
      </w:r>
      <w:r w:rsidR="00E67D3D">
        <w:t xml:space="preserve">other </w:t>
      </w:r>
      <w:r>
        <w:t xml:space="preserve">good reason for </w:t>
      </w:r>
      <w:r w:rsidR="003C64DC">
        <w:t xml:space="preserve">the PUCO to approve </w:t>
      </w:r>
      <w:r>
        <w:t>the deferral</w:t>
      </w:r>
      <w:r w:rsidR="003C64DC">
        <w:t xml:space="preserve"> request</w:t>
      </w:r>
      <w:r>
        <w:t>.</w:t>
      </w:r>
      <w:r>
        <w:rPr>
          <w:rStyle w:val="FootnoteReference"/>
        </w:rPr>
        <w:footnoteReference w:id="6"/>
      </w:r>
      <w:r>
        <w:t xml:space="preserve"> </w:t>
      </w:r>
      <w:r w:rsidR="009C2782">
        <w:t xml:space="preserve">Given </w:t>
      </w:r>
    </w:p>
    <w:p w:rsidR="00334F37" w14:paraId="325C5DA8" w14:textId="77777777">
      <w:r>
        <w:br w:type="page"/>
      </w:r>
    </w:p>
    <w:p w:rsidR="003C51CA" w:rsidP="00334F37" w14:paraId="3EC100D3" w14:textId="5AB6D027">
      <w:pPr>
        <w:pStyle w:val="BodyTextIndent3"/>
        <w:widowControl w:val="0"/>
        <w:spacing w:line="480" w:lineRule="auto"/>
        <w:ind w:right="-24" w:firstLine="0"/>
      </w:pPr>
      <w:r>
        <w:t xml:space="preserve">that Duke failed to meet all but one of the </w:t>
      </w:r>
      <w:r w:rsidR="008B46F8">
        <w:t>PUCO standards for deferral</w:t>
      </w:r>
      <w:r>
        <w:t xml:space="preserve">, the OCC agrees with </w:t>
      </w:r>
      <w:r w:rsidR="004C13E7">
        <w:t xml:space="preserve">the </w:t>
      </w:r>
      <w:r>
        <w:t xml:space="preserve">Staff </w:t>
      </w:r>
      <w:r w:rsidR="004C13E7">
        <w:t xml:space="preserve">that </w:t>
      </w:r>
      <w:r w:rsidR="00AD20F6">
        <w:t>Duke’s</w:t>
      </w:r>
      <w:r>
        <w:t xml:space="preserve"> application should be denied</w:t>
      </w:r>
      <w:r w:rsidR="004C13E7">
        <w:t>.</w:t>
      </w:r>
    </w:p>
    <w:p w:rsidR="00BB776E" w:rsidP="002C3C08" w14:paraId="3D3EB4A7" w14:textId="65DDB870">
      <w:pPr>
        <w:pStyle w:val="BodyTextIndent3"/>
        <w:widowControl w:val="0"/>
        <w:spacing w:line="480" w:lineRule="auto"/>
        <w:ind w:right="-24"/>
      </w:pPr>
      <w:r>
        <w:t xml:space="preserve">Duke asserts that </w:t>
      </w:r>
      <w:r w:rsidR="008B46F8">
        <w:t xml:space="preserve">the PUCO should dismiss </w:t>
      </w:r>
      <w:r w:rsidR="004C13E7">
        <w:t xml:space="preserve">the </w:t>
      </w:r>
      <w:r w:rsidR="008B46F8">
        <w:t xml:space="preserve">Staff’s recommendation because </w:t>
      </w:r>
      <w:r>
        <w:t xml:space="preserve">it has attempted to manage its costs and that </w:t>
      </w:r>
      <w:r w:rsidR="004C13E7">
        <w:t xml:space="preserve">the </w:t>
      </w:r>
      <w:r>
        <w:t>Staff is now blaming and penalizing Duke for taking cost-management steps.</w:t>
      </w:r>
      <w:r>
        <w:rPr>
          <w:rStyle w:val="FootnoteReference"/>
        </w:rPr>
        <w:footnoteReference w:id="7"/>
      </w:r>
      <w:r>
        <w:t xml:space="preserve"> </w:t>
      </w:r>
      <w:r w:rsidR="002A53B1">
        <w:t>Duke is attempting to misdirect the PUCO with this argument. T</w:t>
      </w:r>
      <w:r w:rsidR="00457D1F">
        <w:t xml:space="preserve">he Staff is not attempting to penalize Duke for its cost-management steps. Instead, the Staff is </w:t>
      </w:r>
      <w:r w:rsidR="00FF77D6">
        <w:t xml:space="preserve">reviewing Duke’s application according to deferral standards that </w:t>
      </w:r>
      <w:r w:rsidR="003C64DC">
        <w:t xml:space="preserve">are </w:t>
      </w:r>
      <w:r w:rsidR="00FF77D6">
        <w:t xml:space="preserve">well established and serve as </w:t>
      </w:r>
      <w:r>
        <w:t xml:space="preserve">consumer </w:t>
      </w:r>
      <w:r w:rsidR="00FF77D6">
        <w:t xml:space="preserve">protection against </w:t>
      </w:r>
      <w:r>
        <w:t xml:space="preserve">test year loopholes. </w:t>
      </w:r>
    </w:p>
    <w:p w:rsidR="00BB776E" w:rsidP="00BB776E" w14:paraId="067AA586" w14:textId="6EBD6201">
      <w:pPr>
        <w:pStyle w:val="BodyTextIndent3"/>
        <w:widowControl w:val="0"/>
        <w:spacing w:line="480" w:lineRule="auto"/>
        <w:ind w:right="-24"/>
      </w:pPr>
      <w:r>
        <w:t xml:space="preserve">Additionally, </w:t>
      </w:r>
      <w:r w:rsidR="00457D1F">
        <w:t>Duke made the decision to reduce its workforce. Duke chose</w:t>
      </w:r>
      <w:r w:rsidR="00F21F5C">
        <w:t xml:space="preserve"> to reduce its workforce and related expenses and</w:t>
      </w:r>
      <w:r w:rsidR="00457D1F">
        <w:t xml:space="preserve"> to incur the </w:t>
      </w:r>
      <w:r w:rsidR="00F21F5C">
        <w:t xml:space="preserve">additional pension </w:t>
      </w:r>
      <w:r w:rsidR="00457D1F">
        <w:t>costs</w:t>
      </w:r>
      <w:r w:rsidR="000F52C1">
        <w:t xml:space="preserve"> in the near-term with the expectations that future costs will be lower</w:t>
      </w:r>
      <w:r w:rsidR="00457D1F">
        <w:t>.</w:t>
      </w:r>
      <w:r w:rsidR="003C244B">
        <w:t xml:space="preserve"> </w:t>
      </w:r>
      <w:r w:rsidRPr="000F52C1" w:rsidR="000F52C1">
        <w:t>Duke would have the PUCO ignore the revenue side of the ledger entirely.</w:t>
      </w:r>
      <w:r w:rsidR="003C244B">
        <w:t xml:space="preserve"> </w:t>
      </w:r>
      <w:r w:rsidR="005C4C50">
        <w:t xml:space="preserve">During the period of time Duke will be deferring pension </w:t>
      </w:r>
      <w:r w:rsidR="003C244B">
        <w:t xml:space="preserve">costs, </w:t>
      </w:r>
      <w:r w:rsidRPr="000F52C1" w:rsidR="003C244B">
        <w:t>Duke</w:t>
      </w:r>
      <w:r w:rsidRPr="000F52C1" w:rsidR="000F52C1">
        <w:t xml:space="preserve"> will </w:t>
      </w:r>
      <w:r w:rsidR="005C4C50">
        <w:t xml:space="preserve">be </w:t>
      </w:r>
      <w:r w:rsidRPr="000F52C1" w:rsidR="000F52C1">
        <w:t>avoid</w:t>
      </w:r>
      <w:r w:rsidR="005C4C50">
        <w:t>ing</w:t>
      </w:r>
      <w:r w:rsidRPr="000F52C1" w:rsidR="000F52C1">
        <w:t xml:space="preserve"> </w:t>
      </w:r>
      <w:r w:rsidR="005C4C50">
        <w:t xml:space="preserve">the </w:t>
      </w:r>
      <w:r w:rsidRPr="000F52C1" w:rsidR="000F52C1">
        <w:t>labor expenses associated with the workforce reduction.</w:t>
      </w:r>
      <w:r w:rsidR="003C244B">
        <w:t xml:space="preserve"> </w:t>
      </w:r>
      <w:r w:rsidRPr="000F52C1" w:rsidR="000F52C1">
        <w:t xml:space="preserve">These expenses are already built into the </w:t>
      </w:r>
      <w:r w:rsidR="003C64DC">
        <w:t xml:space="preserve">base </w:t>
      </w:r>
      <w:r w:rsidRPr="000F52C1" w:rsidR="000F52C1">
        <w:t>rates that customers pay.</w:t>
      </w:r>
      <w:r w:rsidR="003C244B">
        <w:t xml:space="preserve"> </w:t>
      </w:r>
      <w:r w:rsidRPr="000F52C1" w:rsidR="000F52C1">
        <w:t>All else being equal, Duke’s bottom line will improve as customer</w:t>
      </w:r>
      <w:r w:rsidR="005C4C50">
        <w:t>s pay base</w:t>
      </w:r>
      <w:r w:rsidRPr="000F52C1" w:rsidR="000F52C1">
        <w:t xml:space="preserve"> rates </w:t>
      </w:r>
      <w:r w:rsidR="005C4C50">
        <w:t>and</w:t>
      </w:r>
      <w:r w:rsidRPr="000F52C1" w:rsidR="000F52C1">
        <w:t xml:space="preserve"> generate revenue, </w:t>
      </w:r>
      <w:r w:rsidR="005C4C50">
        <w:t>the</w:t>
      </w:r>
      <w:r w:rsidRPr="000F52C1" w:rsidR="000F52C1">
        <w:t xml:space="preserve"> off-setting expenses will be lower as a result of the workforce reduction.</w:t>
      </w:r>
      <w:r w:rsidR="003C244B">
        <w:t xml:space="preserve"> </w:t>
      </w:r>
    </w:p>
    <w:p w:rsidR="00334F37" w:rsidP="003C244B" w14:paraId="7AB94DF2" w14:textId="586A136F">
      <w:pPr>
        <w:pStyle w:val="BodyTextIndent3"/>
        <w:widowControl w:val="0"/>
        <w:spacing w:line="480" w:lineRule="auto"/>
        <w:ind w:right="-24"/>
      </w:pPr>
      <w:r w:rsidRPr="000F52C1">
        <w:t>And this rebalancing of revenues and expenses will not be recognized until Duke’s next base rate case.</w:t>
      </w:r>
      <w:r w:rsidR="003C244B">
        <w:t xml:space="preserve"> </w:t>
      </w:r>
      <w:r w:rsidR="005C4C50">
        <w:t xml:space="preserve">In the meantime, </w:t>
      </w:r>
      <w:r w:rsidRPr="000F52C1">
        <w:t>Duke’s shareholders will be the direct beneficiaries of the workforce reduction.</w:t>
      </w:r>
      <w:r w:rsidR="003C244B">
        <w:t xml:space="preserve"> </w:t>
      </w:r>
      <w:r w:rsidR="005C4C50">
        <w:t xml:space="preserve">Thus, </w:t>
      </w:r>
      <w:r w:rsidRPr="000F52C1">
        <w:t xml:space="preserve">Duke should shoulder the near-term </w:t>
      </w:r>
      <w:r w:rsidR="005C4C50">
        <w:t xml:space="preserve">pension </w:t>
      </w:r>
      <w:r w:rsidRPr="000F52C1">
        <w:t xml:space="preserve">expenses </w:t>
      </w:r>
      <w:r w:rsidR="005C4C50">
        <w:t xml:space="preserve">rather than deferring </w:t>
      </w:r>
      <w:r w:rsidRPr="000F52C1">
        <w:t>them.</w:t>
      </w:r>
    </w:p>
    <w:p w:rsidR="00334F37" w14:paraId="78787657" w14:textId="77777777">
      <w:r>
        <w:br w:type="page"/>
      </w:r>
    </w:p>
    <w:p w:rsidR="00FF77D6" w:rsidP="002C3C08" w14:paraId="6DF63404" w14:textId="623F69D1">
      <w:pPr>
        <w:pStyle w:val="BodyTextIndent3"/>
        <w:widowControl w:val="0"/>
        <w:spacing w:line="480" w:lineRule="auto"/>
        <w:ind w:right="-24"/>
      </w:pPr>
      <w:r>
        <w:t>Deferrals</w:t>
      </w:r>
      <w:r w:rsidR="00BB776E">
        <w:t xml:space="preserve"> can </w:t>
      </w:r>
      <w:r>
        <w:t xml:space="preserve">needlessly add </w:t>
      </w:r>
      <w:r w:rsidR="00E63F41">
        <w:t xml:space="preserve">costs </w:t>
      </w:r>
      <w:r>
        <w:t xml:space="preserve">to the amount consumers pay for utility service. They are </w:t>
      </w:r>
      <w:r w:rsidR="00BB776E">
        <w:t xml:space="preserve">a ratemaking </w:t>
      </w:r>
      <w:r>
        <w:t xml:space="preserve">exception that allow utilities to </w:t>
      </w:r>
      <w:r w:rsidR="00E63F41">
        <w:t xml:space="preserve">delay </w:t>
      </w:r>
      <w:r>
        <w:t>charg</w:t>
      </w:r>
      <w:r w:rsidR="00E63F41">
        <w:t>ing</w:t>
      </w:r>
      <w:r>
        <w:t xml:space="preserve"> customers for expenses incurred outside </w:t>
      </w:r>
      <w:r w:rsidR="00E63F41">
        <w:t xml:space="preserve">of a rate case </w:t>
      </w:r>
      <w:r>
        <w:t>test year.</w:t>
      </w:r>
      <w:r w:rsidR="003C244B">
        <w:t xml:space="preserve"> </w:t>
      </w:r>
      <w:r w:rsidR="00E257A1">
        <w:t>Even though Duke seems to be asking for deferral of a relatively small amount for 2019 expenses ($</w:t>
      </w:r>
      <w:r w:rsidRPr="00E01F89" w:rsidR="00E257A1">
        <w:t>1.3 million for electric and $539,000 for gas</w:t>
      </w:r>
      <w:r w:rsidR="00E257A1">
        <w:t>), Duke has also stated that it anticipates recognizing future settlement charges (of currently unknown amounts, but that could well exceed the 2019 expenses) in subsequent years since it has closed its pension plans to new employees.</w:t>
      </w:r>
      <w:r>
        <w:rPr>
          <w:rStyle w:val="FootnoteReference"/>
        </w:rPr>
        <w:footnoteReference w:id="8"/>
      </w:r>
      <w:r w:rsidR="00E257A1">
        <w:t xml:space="preserve"> </w:t>
      </w:r>
      <w:r w:rsidR="00BB776E">
        <w:t>The PUCO should act to protect consumers by denying the deferral requested by Duke</w:t>
      </w:r>
      <w:r w:rsidR="00E63F41">
        <w:t>.</w:t>
      </w:r>
      <w:r w:rsidR="003C244B">
        <w:t xml:space="preserve"> </w:t>
      </w:r>
      <w:r w:rsidR="004C13E7">
        <w:t xml:space="preserve">As the Staff found, Duke’s request does not meet </w:t>
      </w:r>
      <w:r w:rsidR="00E63F41">
        <w:t xml:space="preserve">the PUCO accepted criteria for </w:t>
      </w:r>
      <w:r w:rsidR="004C13E7">
        <w:t xml:space="preserve">approving utility </w:t>
      </w:r>
      <w:r w:rsidR="00E63F41">
        <w:t>deferral</w:t>
      </w:r>
      <w:r w:rsidR="004C13E7">
        <w:t>s.</w:t>
      </w:r>
      <w:r w:rsidR="00BB776E">
        <w:t xml:space="preserve"> </w:t>
      </w:r>
    </w:p>
    <w:p w:rsidR="009C2782" w:rsidP="003C244B" w14:paraId="54483887" w14:textId="694BF5EB">
      <w:pPr>
        <w:pStyle w:val="BodyTextIndent3"/>
        <w:widowControl w:val="0"/>
        <w:spacing w:line="480" w:lineRule="auto"/>
        <w:ind w:right="-24"/>
        <w:rPr>
          <w:szCs w:val="24"/>
        </w:rPr>
      </w:pPr>
      <w:r>
        <w:t xml:space="preserve"> </w:t>
      </w:r>
    </w:p>
    <w:p w:rsidR="00614CD5" w:rsidRPr="00B86AAD" w:rsidP="00614CD5" w14:paraId="001130DB" w14:textId="4EE2223C">
      <w:pPr>
        <w:spacing w:line="480" w:lineRule="auto"/>
        <w:ind w:firstLine="4320"/>
        <w:rPr>
          <w:szCs w:val="24"/>
        </w:rPr>
      </w:pPr>
      <w:r w:rsidRPr="00F257DB">
        <w:rPr>
          <w:szCs w:val="24"/>
        </w:rPr>
        <w:t>Respectfully submitted,</w:t>
      </w:r>
    </w:p>
    <w:p w:rsidR="00856E1B" w:rsidRPr="00F257DB" w:rsidP="00856E1B" w14:paraId="2E8BFC4E" w14:textId="77777777">
      <w:pPr>
        <w:ind w:left="4320"/>
        <w:rPr>
          <w:szCs w:val="24"/>
        </w:rPr>
      </w:pPr>
      <w:r>
        <w:rPr>
          <w:szCs w:val="24"/>
        </w:rPr>
        <w:t>Bruce Weston</w:t>
      </w:r>
      <w:r w:rsidRPr="00F257DB">
        <w:rPr>
          <w:szCs w:val="24"/>
        </w:rPr>
        <w:t xml:space="preserve"> (0016973)</w:t>
      </w:r>
    </w:p>
    <w:p w:rsidR="00856E1B" w:rsidRPr="00F257DB" w:rsidP="00856E1B" w14:paraId="4B5AFF66" w14:textId="77777777">
      <w:pPr>
        <w:tabs>
          <w:tab w:val="left" w:pos="4320"/>
        </w:tabs>
        <w:ind w:left="4320"/>
        <w:rPr>
          <w:szCs w:val="24"/>
        </w:rPr>
      </w:pPr>
      <w:r>
        <w:rPr>
          <w:szCs w:val="24"/>
        </w:rPr>
        <w:t>Ohio Consumers’ Counsel</w:t>
      </w:r>
    </w:p>
    <w:p w:rsidR="00856E1B" w:rsidRPr="00F257DB" w:rsidP="00856E1B" w14:paraId="7D04C2F8" w14:textId="77777777">
      <w:pPr>
        <w:tabs>
          <w:tab w:val="left" w:pos="4320"/>
        </w:tabs>
        <w:ind w:left="4320"/>
        <w:rPr>
          <w:szCs w:val="24"/>
        </w:rPr>
      </w:pPr>
    </w:p>
    <w:p w:rsidR="00B636E0" w:rsidRPr="00F257DB" w:rsidP="00B636E0" w14:paraId="3AB898E8" w14:textId="086D69A6">
      <w:pPr>
        <w:autoSpaceDE w:val="0"/>
        <w:autoSpaceDN w:val="0"/>
        <w:adjustRightInd w:val="0"/>
        <w:ind w:left="4320"/>
        <w:rPr>
          <w:i/>
          <w:szCs w:val="24"/>
        </w:rPr>
      </w:pPr>
      <w:r w:rsidRPr="00F257DB">
        <w:rPr>
          <w:i/>
          <w:szCs w:val="24"/>
          <w:u w:val="single"/>
        </w:rPr>
        <w:t xml:space="preserve">/s/ </w:t>
      </w:r>
      <w:r>
        <w:rPr>
          <w:i/>
          <w:szCs w:val="24"/>
          <w:u w:val="single"/>
        </w:rPr>
        <w:t xml:space="preserve">Ambrosia </w:t>
      </w:r>
      <w:r w:rsidR="00B84242">
        <w:rPr>
          <w:i/>
          <w:szCs w:val="24"/>
          <w:u w:val="single"/>
        </w:rPr>
        <w:t xml:space="preserve">E. </w:t>
      </w:r>
      <w:r>
        <w:rPr>
          <w:i/>
          <w:szCs w:val="24"/>
          <w:u w:val="single"/>
        </w:rPr>
        <w:t>Logsdon</w:t>
      </w:r>
      <w:r w:rsidRPr="00F257DB">
        <w:rPr>
          <w:i/>
          <w:szCs w:val="24"/>
          <w:u w:val="single"/>
        </w:rPr>
        <w:tab/>
      </w:r>
      <w:r w:rsidRPr="00F257DB">
        <w:rPr>
          <w:i/>
          <w:szCs w:val="24"/>
          <w:u w:val="single"/>
        </w:rPr>
        <w:tab/>
      </w:r>
    </w:p>
    <w:p w:rsidR="00FD0F52" w:rsidP="00B636E0" w14:paraId="2FBE9C28" w14:textId="01170842">
      <w:pPr>
        <w:tabs>
          <w:tab w:val="left" w:pos="4320"/>
        </w:tabs>
        <w:ind w:left="4320"/>
        <w:rPr>
          <w:szCs w:val="24"/>
        </w:rPr>
      </w:pPr>
      <w:r>
        <w:rPr>
          <w:szCs w:val="24"/>
        </w:rPr>
        <w:t>Ambrosia E. Logsdon (0096598)</w:t>
      </w:r>
      <w:r w:rsidR="00E0377E">
        <w:rPr>
          <w:szCs w:val="24"/>
        </w:rPr>
        <w:br/>
        <w:t>Counsel of Record</w:t>
      </w:r>
    </w:p>
    <w:p w:rsidR="00EC7EAE" w:rsidP="00B636E0" w14:paraId="3E7974DC" w14:textId="77777777">
      <w:pPr>
        <w:tabs>
          <w:tab w:val="left" w:pos="4320"/>
        </w:tabs>
        <w:ind w:left="4320"/>
        <w:rPr>
          <w:szCs w:val="24"/>
        </w:rPr>
      </w:pPr>
      <w:r>
        <w:rPr>
          <w:szCs w:val="24"/>
        </w:rPr>
        <w:t>Assistant Consumers’ Counsel</w:t>
      </w:r>
    </w:p>
    <w:p w:rsidR="00E14EBC" w:rsidP="00B636E0" w14:paraId="5484FCF4" w14:textId="77777777">
      <w:pPr>
        <w:tabs>
          <w:tab w:val="left" w:pos="4320"/>
        </w:tabs>
        <w:ind w:left="4320"/>
        <w:rPr>
          <w:b/>
          <w:szCs w:val="24"/>
        </w:rPr>
      </w:pPr>
    </w:p>
    <w:p w:rsidR="00B636E0" w:rsidRPr="002C2315" w:rsidP="00B636E0" w14:paraId="0CE8FF1A" w14:textId="77777777">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B636E0" w:rsidP="00B636E0" w14:paraId="618F2F7B" w14:textId="77777777">
      <w:pPr>
        <w:tabs>
          <w:tab w:val="left" w:pos="4320"/>
        </w:tabs>
        <w:ind w:left="4320"/>
        <w:rPr>
          <w:szCs w:val="24"/>
        </w:rPr>
      </w:pPr>
      <w:r>
        <w:rPr>
          <w:szCs w:val="24"/>
        </w:rPr>
        <w:t>65 E. State Street, 7</w:t>
      </w:r>
      <w:r w:rsidRPr="00B84242">
        <w:rPr>
          <w:szCs w:val="24"/>
        </w:rPr>
        <w:t>th</w:t>
      </w:r>
      <w:r>
        <w:rPr>
          <w:szCs w:val="24"/>
        </w:rPr>
        <w:t xml:space="preserve"> Floor</w:t>
      </w:r>
    </w:p>
    <w:p w:rsidR="00B636E0" w:rsidP="00B636E0" w14:paraId="4D1D73E0" w14:textId="77777777">
      <w:pPr>
        <w:tabs>
          <w:tab w:val="left" w:pos="4320"/>
        </w:tabs>
        <w:ind w:left="4320"/>
        <w:rPr>
          <w:szCs w:val="24"/>
        </w:rPr>
      </w:pPr>
      <w:r w:rsidRPr="00F257DB">
        <w:rPr>
          <w:szCs w:val="24"/>
        </w:rPr>
        <w:t xml:space="preserve">Columbus, Ohio </w:t>
      </w:r>
      <w:r>
        <w:rPr>
          <w:szCs w:val="24"/>
        </w:rPr>
        <w:t>43215-4213</w:t>
      </w:r>
    </w:p>
    <w:p w:rsidR="00FD0F52" w:rsidP="00B636E0" w14:paraId="74D1C58C" w14:textId="77777777">
      <w:pPr>
        <w:tabs>
          <w:tab w:val="left" w:pos="4320"/>
        </w:tabs>
        <w:ind w:left="4320"/>
        <w:rPr>
          <w:szCs w:val="24"/>
        </w:rPr>
      </w:pPr>
      <w:r>
        <w:rPr>
          <w:szCs w:val="24"/>
        </w:rPr>
        <w:t>Telephone [Logsdon]: 614-466-1292</w:t>
      </w:r>
    </w:p>
    <w:p w:rsidR="00FD0F52" w:rsidRPr="00B84242" w:rsidP="00B636E0" w14:paraId="13161BD7" w14:textId="77777777">
      <w:pPr>
        <w:ind w:left="4320"/>
        <w:rPr>
          <w:color w:val="0000FF"/>
          <w:szCs w:val="24"/>
          <w:u w:val="single"/>
        </w:rPr>
      </w:pPr>
      <w:r w:rsidRPr="00B84242">
        <w:rPr>
          <w:color w:val="0000FF"/>
          <w:szCs w:val="24"/>
          <w:u w:val="single"/>
        </w:rPr>
        <w:t>ambrosia.logsdon@occ.ohio.gov</w:t>
      </w:r>
    </w:p>
    <w:p w:rsidR="007A62C0" w:rsidP="007A62C0" w14:paraId="36DAEF9B" w14:textId="6A829983">
      <w:pPr>
        <w:ind w:left="4320"/>
        <w:rPr>
          <w:szCs w:val="24"/>
        </w:rPr>
      </w:pPr>
      <w:r w:rsidRPr="00F257DB">
        <w:rPr>
          <w:szCs w:val="24"/>
        </w:rPr>
        <w:t>(</w:t>
      </w:r>
      <w:r>
        <w:rPr>
          <w:szCs w:val="24"/>
        </w:rPr>
        <w:t>will</w:t>
      </w:r>
      <w:r w:rsidR="00B84242">
        <w:rPr>
          <w:szCs w:val="24"/>
        </w:rPr>
        <w:t>ing to</w:t>
      </w:r>
      <w:r w:rsidRPr="00F257DB">
        <w:rPr>
          <w:szCs w:val="24"/>
        </w:rPr>
        <w:t xml:space="preserve"> accept service </w:t>
      </w:r>
      <w:r w:rsidR="00B84242">
        <w:rPr>
          <w:szCs w:val="24"/>
        </w:rPr>
        <w:t>by</w:t>
      </w:r>
      <w:r w:rsidRPr="00F257DB">
        <w:rPr>
          <w:szCs w:val="24"/>
        </w:rPr>
        <w:t xml:space="preserve"> e</w:t>
      </w:r>
      <w:r w:rsidR="00B84242">
        <w:rPr>
          <w:szCs w:val="24"/>
        </w:rPr>
        <w:t>-</w:t>
      </w:r>
      <w:r w:rsidRPr="00F257DB">
        <w:rPr>
          <w:szCs w:val="24"/>
        </w:rPr>
        <w:t>mail)</w:t>
      </w:r>
    </w:p>
    <w:p w:rsidR="007A62C0" w14:paraId="59055CE3" w14:textId="77777777">
      <w:pPr>
        <w:rPr>
          <w:szCs w:val="24"/>
        </w:rPr>
      </w:pPr>
      <w:r>
        <w:rPr>
          <w:szCs w:val="24"/>
        </w:rPr>
        <w:br w:type="page"/>
      </w:r>
    </w:p>
    <w:p w:rsidR="00614CD5" w:rsidP="007A62C0" w14:paraId="18E2D4D4" w14:textId="0826F157">
      <w:pPr>
        <w:ind w:left="4320" w:hanging="4320"/>
        <w:jc w:val="center"/>
        <w:rPr>
          <w:b/>
          <w:bCs/>
          <w:u w:val="single"/>
        </w:rPr>
      </w:pPr>
      <w:r>
        <w:rPr>
          <w:b/>
          <w:bCs/>
          <w:u w:val="single"/>
        </w:rPr>
        <w:t>CERTIFICATE OF SERVICE</w:t>
      </w:r>
    </w:p>
    <w:p w:rsidR="00EC7EAE" w:rsidP="00B31962" w14:paraId="510B9059" w14:textId="77777777">
      <w:pPr>
        <w:jc w:val="center"/>
        <w:rPr>
          <w:b/>
          <w:bCs/>
          <w:u w:val="single"/>
        </w:rPr>
      </w:pPr>
    </w:p>
    <w:p w:rsidR="00614CD5" w:rsidRPr="001E4C2F" w:rsidP="00614CD5" w14:paraId="43AD7D2D" w14:textId="13BA11F0">
      <w:pPr>
        <w:spacing w:line="480" w:lineRule="atLeast"/>
        <w:ind w:firstLine="720"/>
      </w:pPr>
      <w:r w:rsidRPr="001E4C2F">
        <w:t xml:space="preserve">I hereby certify that a copy of </w:t>
      </w:r>
      <w:r>
        <w:t>these Comments</w:t>
      </w:r>
      <w:r w:rsidRPr="001E4C2F">
        <w:t xml:space="preserve"> was served on the persons stated below via electronic transmission, this </w:t>
      </w:r>
      <w:r w:rsidR="003C244B">
        <w:t>1</w:t>
      </w:r>
      <w:r>
        <w:t>1</w:t>
      </w:r>
      <w:r w:rsidR="003C244B">
        <w:t>th</w:t>
      </w:r>
      <w:r>
        <w:t xml:space="preserve"> </w:t>
      </w:r>
      <w:r w:rsidRPr="001E4C2F">
        <w:t xml:space="preserve">day of </w:t>
      </w:r>
      <w:r w:rsidR="00B31962">
        <w:t>February</w:t>
      </w:r>
      <w:r w:rsidRPr="001E4C2F">
        <w:t xml:space="preserve"> 20</w:t>
      </w:r>
      <w:r w:rsidR="00B31962">
        <w:t>20</w:t>
      </w:r>
      <w:r w:rsidRPr="001E4C2F">
        <w:t>.</w:t>
      </w:r>
    </w:p>
    <w:p w:rsidR="00614CD5" w14:paraId="71A7EED4" w14:textId="77777777">
      <w:pPr>
        <w:spacing w:line="480" w:lineRule="atLeast"/>
      </w:pPr>
    </w:p>
    <w:p w:rsidR="00614CD5" w14:paraId="52821FCB" w14:textId="578BC9EE">
      <w:pPr>
        <w:tabs>
          <w:tab w:val="left" w:pos="4320"/>
        </w:tabs>
      </w:pPr>
      <w:r>
        <w:tab/>
      </w:r>
      <w:r>
        <w:rPr>
          <w:i/>
          <w:u w:val="single"/>
        </w:rPr>
        <w:t xml:space="preserve">/s/ Ambrosia </w:t>
      </w:r>
      <w:r w:rsidR="00B31962">
        <w:rPr>
          <w:i/>
          <w:u w:val="single"/>
        </w:rPr>
        <w:t xml:space="preserve">E. </w:t>
      </w:r>
      <w:r>
        <w:rPr>
          <w:i/>
          <w:u w:val="single"/>
        </w:rPr>
        <w:t>Logsdon</w:t>
      </w:r>
      <w:r>
        <w:rPr>
          <w:i/>
          <w:u w:val="single"/>
        </w:rPr>
        <w:tab/>
      </w:r>
    </w:p>
    <w:p w:rsidR="00614CD5" w14:paraId="650A946C" w14:textId="61FE6F02">
      <w:pPr>
        <w:tabs>
          <w:tab w:val="left" w:pos="4320"/>
        </w:tabs>
      </w:pPr>
      <w:r>
        <w:tab/>
        <w:t>Ambrosia</w:t>
      </w:r>
      <w:r w:rsidR="00B31962">
        <w:t xml:space="preserve"> E. </w:t>
      </w:r>
      <w:r>
        <w:t>Logsdon</w:t>
      </w:r>
    </w:p>
    <w:p w:rsidR="00614CD5" w14:paraId="61ECDFBB" w14:textId="77777777">
      <w:pPr>
        <w:tabs>
          <w:tab w:val="left" w:pos="4320"/>
        </w:tabs>
      </w:pPr>
      <w:r>
        <w:tab/>
        <w:t>Assistant Consumers' Counsel</w:t>
      </w:r>
    </w:p>
    <w:p w:rsidR="00614CD5" w14:paraId="574FE35F" w14:textId="77777777">
      <w:pPr>
        <w:pStyle w:val="CommentSubject"/>
      </w:pPr>
    </w:p>
    <w:p w:rsidR="00B31962" w:rsidP="00B31962" w14:paraId="00D383E6" w14:textId="77777777">
      <w:r>
        <w:t>The PUCO’s e-filing system will electronically serve notice of the filing of this document on the following parties:</w:t>
      </w:r>
    </w:p>
    <w:p w:rsidR="00614CD5" w:rsidP="00614CD5" w14:paraId="2ED29691" w14:textId="77777777">
      <w:pPr>
        <w:pStyle w:val="CommentText"/>
        <w:jc w:val="center"/>
        <w:rPr>
          <w:b/>
          <w:u w:val="single"/>
        </w:rPr>
      </w:pPr>
    </w:p>
    <w:p w:rsidR="00614CD5" w:rsidP="00614CD5" w14:paraId="5FE71775" w14:textId="77777777">
      <w:pPr>
        <w:pStyle w:val="CommentText"/>
        <w:jc w:val="center"/>
        <w:rPr>
          <w:b/>
          <w:u w:val="single"/>
        </w:rPr>
      </w:pPr>
      <w:r w:rsidRPr="00FB7D74">
        <w:rPr>
          <w:b/>
          <w:u w:val="single"/>
        </w:rPr>
        <w:t>SERVICE LIST</w:t>
      </w:r>
    </w:p>
    <w:p w:rsidR="00F82766" w:rsidP="00614CD5" w14:paraId="3F7BDB17" w14:textId="77777777">
      <w:pPr>
        <w:pStyle w:val="CommentText"/>
        <w:jc w:val="center"/>
        <w:rPr>
          <w:b/>
          <w:u w:val="single"/>
        </w:rPr>
      </w:pPr>
    </w:p>
    <w:p w:rsidR="00B31962" w:rsidP="00B31962" w14:paraId="718EB59E" w14:textId="77777777">
      <w:pPr>
        <w:pStyle w:val="BodyTex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1"/>
        <w:gridCol w:w="4269"/>
      </w:tblGrid>
      <w:tr w14:paraId="2A72415A" w14:textId="77777777" w:rsidTr="00DE6CE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7" w:type="dxa"/>
          </w:tcPr>
          <w:p w:rsidR="00B31962" w:rsidRPr="002644AC" w:rsidP="00DE6CE7" w14:paraId="0ADA507C" w14:textId="77777777">
            <w:pPr>
              <w:autoSpaceDE w:val="0"/>
              <w:autoSpaceDN w:val="0"/>
              <w:adjustRightInd w:val="0"/>
              <w:rPr>
                <w:bCs/>
                <w:color w:val="0000FF"/>
                <w:u w:val="single"/>
              </w:rPr>
            </w:pPr>
            <w:r w:rsidRPr="002644AC">
              <w:rPr>
                <w:bCs/>
                <w:color w:val="0000FF"/>
                <w:u w:val="single"/>
              </w:rPr>
              <w:t>John.jones@ohioattorneygeneral.gov</w:t>
            </w:r>
          </w:p>
          <w:p w:rsidR="00B31962" w:rsidP="00DE6CE7" w14:paraId="744E4FAE" w14:textId="77777777">
            <w:pPr>
              <w:autoSpaceDE w:val="0"/>
              <w:autoSpaceDN w:val="0"/>
              <w:adjustRightInd w:val="0"/>
              <w:rPr>
                <w:bCs/>
              </w:rPr>
            </w:pPr>
          </w:p>
          <w:p w:rsidR="00B31962" w:rsidP="00DE6CE7" w14:paraId="7B53AD9C" w14:textId="77777777">
            <w:pPr>
              <w:autoSpaceDE w:val="0"/>
              <w:autoSpaceDN w:val="0"/>
              <w:adjustRightInd w:val="0"/>
              <w:rPr>
                <w:bCs/>
              </w:rPr>
            </w:pPr>
            <w:r>
              <w:rPr>
                <w:bCs/>
              </w:rPr>
              <w:t>Attorney Examiner:</w:t>
            </w:r>
          </w:p>
          <w:p w:rsidR="00B31962" w:rsidP="00DE6CE7" w14:paraId="54382CFC" w14:textId="77777777">
            <w:pPr>
              <w:autoSpaceDE w:val="0"/>
              <w:autoSpaceDN w:val="0"/>
              <w:adjustRightInd w:val="0"/>
              <w:rPr>
                <w:bCs/>
              </w:rPr>
            </w:pPr>
          </w:p>
          <w:p w:rsidR="00B31962" w:rsidRPr="002644AC" w:rsidP="00DE6CE7" w14:paraId="0A22AE5F" w14:textId="77777777">
            <w:pPr>
              <w:autoSpaceDE w:val="0"/>
              <w:autoSpaceDN w:val="0"/>
              <w:adjustRightInd w:val="0"/>
              <w:rPr>
                <w:bCs/>
                <w:color w:val="0000FF"/>
                <w:u w:val="single"/>
              </w:rPr>
            </w:pPr>
            <w:r w:rsidRPr="002644AC">
              <w:rPr>
                <w:bCs/>
                <w:color w:val="0000FF"/>
                <w:u w:val="single"/>
              </w:rPr>
              <w:t>Lauren.augostini@puc.state.oh.us</w:t>
            </w:r>
          </w:p>
          <w:p w:rsidR="00B31962" w:rsidRPr="00A044B5" w:rsidP="00DE6CE7" w14:paraId="6F88186C" w14:textId="77777777">
            <w:pPr>
              <w:autoSpaceDE w:val="0"/>
              <w:autoSpaceDN w:val="0"/>
              <w:adjustRightInd w:val="0"/>
              <w:rPr>
                <w:bCs/>
              </w:rPr>
            </w:pPr>
          </w:p>
        </w:tc>
        <w:tc>
          <w:tcPr>
            <w:tcW w:w="4425" w:type="dxa"/>
          </w:tcPr>
          <w:p w:rsidR="00B31962" w:rsidRPr="002644AC" w:rsidP="00DE6CE7" w14:paraId="531DE3FD" w14:textId="77777777">
            <w:pPr>
              <w:pStyle w:val="BodyText"/>
              <w:ind w:left="118"/>
              <w:rPr>
                <w:bCs/>
                <w:color w:val="0000FF"/>
                <w:u w:val="single"/>
              </w:rPr>
            </w:pPr>
            <w:r w:rsidRPr="002644AC">
              <w:rPr>
                <w:bCs/>
                <w:color w:val="0000FF"/>
                <w:u w:val="single"/>
              </w:rPr>
              <w:t>Rocco.dascenzo@duke-energy.com</w:t>
            </w:r>
          </w:p>
          <w:p w:rsidR="00B31962" w:rsidRPr="002644AC" w:rsidP="00DE6CE7" w14:paraId="3CC04B62" w14:textId="77777777">
            <w:pPr>
              <w:pStyle w:val="BodyText"/>
              <w:ind w:left="118" w:hanging="1"/>
              <w:rPr>
                <w:bCs/>
                <w:color w:val="0000FF"/>
                <w:u w:val="single"/>
              </w:rPr>
            </w:pPr>
            <w:r w:rsidRPr="002644AC">
              <w:rPr>
                <w:bCs/>
                <w:color w:val="0000FF"/>
                <w:u w:val="single"/>
              </w:rPr>
              <w:t>Jeanne.kingery@duke-energy.com</w:t>
            </w:r>
          </w:p>
          <w:p w:rsidR="00B31962" w:rsidRPr="00A044B5" w:rsidP="00DE6CE7" w14:paraId="3818CCB6" w14:textId="77777777">
            <w:pPr>
              <w:pStyle w:val="BodyText"/>
              <w:ind w:left="118" w:hanging="1"/>
              <w:rPr>
                <w:bCs/>
              </w:rPr>
            </w:pPr>
            <w:r w:rsidRPr="002644AC">
              <w:rPr>
                <w:bCs/>
                <w:color w:val="0000FF"/>
                <w:u w:val="single"/>
              </w:rPr>
              <w:t>Larisa.vaysman@duke-energy.com</w:t>
            </w:r>
          </w:p>
        </w:tc>
      </w:tr>
    </w:tbl>
    <w:p w:rsidR="00B31962" w:rsidP="00B31962" w14:paraId="7C41EE5C" w14:textId="77777777">
      <w:pPr>
        <w:pStyle w:val="BodyText"/>
        <w:rPr>
          <w:b/>
          <w:bCs/>
        </w:rPr>
      </w:pPr>
    </w:p>
    <w:p w:rsidR="00614CD5" w:rsidP="00036D6A" w14:paraId="5A5F942C" w14:textId="77777777">
      <w:pPr>
        <w:pStyle w:val="CommentText"/>
        <w:rPr>
          <w:b/>
          <w:u w:val="single"/>
        </w:rPr>
      </w:pPr>
    </w:p>
    <w:p w:rsidR="00614CD5" w14:paraId="1FC452E6" w14:textId="77777777">
      <w:pPr>
        <w:pStyle w:val="BodyText"/>
        <w:rPr>
          <w:b/>
          <w:bCs/>
        </w:rPr>
      </w:pPr>
    </w:p>
    <w:sectPr>
      <w:footerReference w:type="default" r:id="rId6"/>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4B49E2" w14:paraId="26701157" w14:textId="77777777">
    <w:pPr>
      <w:pStyle w:val="Footer"/>
      <w:framePr w:wrap="around" w:vAnchor="text" w:hAnchor="margin" w:xAlign="center" w:y="1"/>
      <w:jc w:val="center"/>
      <w:rPr>
        <w:rStyle w:val="PageNumber"/>
        <w:sz w:val="24"/>
        <w:szCs w:val="24"/>
      </w:rPr>
    </w:pPr>
    <w:r w:rsidRPr="004B49E2">
      <w:rPr>
        <w:rStyle w:val="PageNumber"/>
        <w:sz w:val="24"/>
        <w:szCs w:val="24"/>
      </w:rPr>
      <w:fldChar w:fldCharType="begin"/>
    </w:r>
    <w:r w:rsidRPr="004B49E2">
      <w:rPr>
        <w:rStyle w:val="PageNumber"/>
        <w:sz w:val="24"/>
        <w:szCs w:val="24"/>
      </w:rPr>
      <w:instrText xml:space="preserve">PAGE  </w:instrText>
    </w:r>
    <w:r w:rsidRPr="004B49E2">
      <w:rPr>
        <w:rStyle w:val="PageNumber"/>
        <w:sz w:val="24"/>
        <w:szCs w:val="24"/>
      </w:rPr>
      <w:fldChar w:fldCharType="separate"/>
    </w:r>
    <w:r w:rsidR="003777F5">
      <w:rPr>
        <w:rStyle w:val="PageNumber"/>
        <w:noProof/>
        <w:sz w:val="24"/>
        <w:szCs w:val="24"/>
      </w:rPr>
      <w:t>5</w:t>
    </w:r>
    <w:r w:rsidRPr="004B49E2">
      <w:rPr>
        <w:rStyle w:val="PageNumber"/>
        <w:sz w:val="24"/>
        <w:szCs w:val="24"/>
      </w:rPr>
      <w:fldChar w:fldCharType="end"/>
    </w:r>
  </w:p>
  <w:p w:rsidR="00614CD5" w:rsidRPr="004B49E2" w:rsidP="00240C2A" w14:paraId="3456056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4ED4" w14:paraId="73ECD303" w14:textId="77777777">
      <w:r>
        <w:separator/>
      </w:r>
    </w:p>
  </w:footnote>
  <w:footnote w:type="continuationSeparator" w:id="1">
    <w:p w:rsidR="00E64ED4" w14:paraId="35EB3668" w14:textId="77777777">
      <w:r>
        <w:continuationSeparator/>
      </w:r>
    </w:p>
  </w:footnote>
  <w:footnote w:id="2">
    <w:p w:rsidR="00AA244B" w:rsidP="003C244B" w14:paraId="614B01F0" w14:textId="7C46F1E7">
      <w:pPr>
        <w:pStyle w:val="FootnoteText"/>
        <w:spacing w:after="120"/>
      </w:pPr>
      <w:r>
        <w:rPr>
          <w:rStyle w:val="FootnoteReference"/>
        </w:rPr>
        <w:footnoteRef/>
      </w:r>
      <w:r>
        <w:t xml:space="preserve"> </w:t>
      </w:r>
      <w:r w:rsidR="00A811C5">
        <w:t>Application at 5 (Oct</w:t>
      </w:r>
      <w:r w:rsidR="004C13E7">
        <w:t>.</w:t>
      </w:r>
      <w:r w:rsidR="00A811C5">
        <w:t xml:space="preserve"> 7, 2019).</w:t>
      </w:r>
    </w:p>
  </w:footnote>
  <w:footnote w:id="3">
    <w:p w:rsidR="00236CC3" w:rsidP="003C244B" w14:paraId="507DC336" w14:textId="5664642A">
      <w:pPr>
        <w:pStyle w:val="FootnoteText"/>
        <w:spacing w:after="120"/>
      </w:pPr>
      <w:r>
        <w:rPr>
          <w:rStyle w:val="FootnoteReference"/>
        </w:rPr>
        <w:footnoteRef/>
      </w:r>
      <w:r>
        <w:t xml:space="preserve"> </w:t>
      </w:r>
      <w:r w:rsidRPr="003C244B">
        <w:rPr>
          <w:i/>
          <w:iCs/>
        </w:rPr>
        <w:t>See e.g.</w:t>
      </w:r>
      <w:r>
        <w:t xml:space="preserve">, </w:t>
      </w:r>
      <w:r w:rsidRPr="003C244B">
        <w:rPr>
          <w:i/>
          <w:iCs/>
        </w:rPr>
        <w:t>Office of Consumers’ Counsel v. Pub. Util. Com.</w:t>
      </w:r>
      <w:r>
        <w:t>, 16 Ohio St.3d 21 (1985) at footnote 1.</w:t>
      </w:r>
      <w:r w:rsidR="003C244B">
        <w:t xml:space="preserve"> </w:t>
      </w:r>
    </w:p>
  </w:footnote>
  <w:footnote w:id="4">
    <w:p w:rsidR="00236CC3" w:rsidP="003C244B" w14:paraId="03B6DF3D" w14:textId="57793F5F">
      <w:pPr>
        <w:pStyle w:val="FootnoteText"/>
        <w:spacing w:after="120"/>
      </w:pPr>
      <w:r>
        <w:rPr>
          <w:rStyle w:val="FootnoteReference"/>
        </w:rPr>
        <w:footnoteRef/>
      </w:r>
      <w:r>
        <w:t xml:space="preserve"> </w:t>
      </w:r>
      <w:r w:rsidRPr="003C244B">
        <w:rPr>
          <w:i/>
          <w:iCs/>
        </w:rPr>
        <w:t>See, e.g., Office of Consumers Counsel v. Pub. Util. Com</w:t>
      </w:r>
      <w:r>
        <w:t>., 67 Ohi</w:t>
      </w:r>
      <w:r w:rsidR="009249E4">
        <w:t xml:space="preserve">o </w:t>
      </w:r>
      <w:r>
        <w:t>St.2d 372, 376 (1981)</w:t>
      </w:r>
      <w:r w:rsidR="009249E4">
        <w:t>.</w:t>
      </w:r>
    </w:p>
  </w:footnote>
  <w:footnote w:id="5">
    <w:p w:rsidR="007B5ED9" w:rsidRPr="002F0CCA" w:rsidP="003C244B" w14:paraId="55F001CF" w14:textId="2FDE95D9">
      <w:pPr>
        <w:pStyle w:val="FootnoteText"/>
        <w:spacing w:after="120"/>
      </w:pPr>
      <w:r>
        <w:rPr>
          <w:rStyle w:val="FootnoteReference"/>
        </w:rPr>
        <w:footnoteRef/>
      </w:r>
      <w:r>
        <w:t xml:space="preserve"> </w:t>
      </w:r>
      <w:r w:rsidR="002F0CCA">
        <w:t>Staff Review and Recommendation at 2.</w:t>
      </w:r>
    </w:p>
  </w:footnote>
  <w:footnote w:id="6">
    <w:p w:rsidR="008B46F8" w:rsidP="003C244B" w14:paraId="5E36878A" w14:textId="5AD27581">
      <w:pPr>
        <w:pStyle w:val="FootnoteText"/>
        <w:spacing w:after="120"/>
      </w:pPr>
      <w:r>
        <w:rPr>
          <w:rStyle w:val="FootnoteReference"/>
        </w:rPr>
        <w:footnoteRef/>
      </w:r>
      <w:r>
        <w:t xml:space="preserve"> </w:t>
      </w:r>
      <w:r w:rsidRPr="007B5ED9">
        <w:rPr>
          <w:i/>
          <w:iCs/>
        </w:rPr>
        <w:t>In the Matter of the Joint Application of Ohio Edison Company, The Cleveland Electric Illuminating Company and The Toledo Edison Electric Company for Approval of a Generation Charge Adjustment Rider</w:t>
      </w:r>
      <w:r>
        <w:t>, Case No. 05-704-EL-AAM, Opinion and Order (Jan</w:t>
      </w:r>
      <w:r w:rsidR="00334F37">
        <w:t>.</w:t>
      </w:r>
      <w:r>
        <w:t xml:space="preserve"> 4, 2006) at 8-9. (“FirstEnergy Deferral Order”).</w:t>
      </w:r>
    </w:p>
  </w:footnote>
  <w:footnote w:id="7">
    <w:p w:rsidR="007B5ED9" w:rsidP="003C244B" w14:paraId="285B3805" w14:textId="63339D2B">
      <w:pPr>
        <w:pStyle w:val="FootnoteText"/>
        <w:spacing w:after="120"/>
      </w:pPr>
      <w:r>
        <w:rPr>
          <w:rStyle w:val="FootnoteReference"/>
        </w:rPr>
        <w:footnoteRef/>
      </w:r>
      <w:r>
        <w:t xml:space="preserve"> </w:t>
      </w:r>
      <w:r w:rsidRPr="00334F37">
        <w:t>Comments of Duke at 3 (Jan. 30, 2020).</w:t>
      </w:r>
    </w:p>
  </w:footnote>
  <w:footnote w:id="8">
    <w:p w:rsidR="00E257A1" w:rsidP="003C244B" w14:paraId="2A4DA2E7" w14:textId="045B3911">
      <w:pPr>
        <w:pStyle w:val="FootnoteText"/>
        <w:spacing w:after="120"/>
      </w:pPr>
      <w:r>
        <w:rPr>
          <w:rStyle w:val="FootnoteReference"/>
        </w:rPr>
        <w:footnoteRef/>
      </w:r>
      <w:r>
        <w:t xml:space="preserve"> Application at 4-</w:t>
      </w:r>
      <w:r w:rsidRPr="003C244B">
        <w:t xml:space="preserve">5 (Duke is requesting to defer not only the 2019 expenses, but also </w:t>
      </w:r>
      <w:r w:rsidRPr="003C244B">
        <w:rPr>
          <w:u w:val="single"/>
        </w:rPr>
        <w:t>any future</w:t>
      </w:r>
      <w:r w:rsidRPr="003C244B">
        <w:t xml:space="preserve"> </w:t>
      </w:r>
      <w:r w:rsidRPr="003C244B" w:rsidR="004C13E7">
        <w:t>p</w:t>
      </w:r>
      <w:r w:rsidRPr="003C244B">
        <w:t xml:space="preserve">ension </w:t>
      </w:r>
      <w:r w:rsidRPr="003C244B" w:rsidR="004C13E7">
        <w:t>s</w:t>
      </w:r>
      <w:r w:rsidRPr="003C244B">
        <w:t xml:space="preserve">ettlement </w:t>
      </w:r>
      <w:r w:rsidRPr="003C244B" w:rsidR="004C13E7">
        <w:t>a</w:t>
      </w:r>
      <w:r w:rsidRPr="003C244B">
        <w:t>ccounting that may be triggered).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D1E385F"/>
    <w:multiLevelType w:val="hybridMultilevel"/>
    <w:tmpl w:val="CED8C20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6A3B2B17"/>
    <w:multiLevelType w:val="hybridMultilevel"/>
    <w:tmpl w:val="17A0B85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48"/>
    <w:rsid w:val="00036D6A"/>
    <w:rsid w:val="00057616"/>
    <w:rsid w:val="000721A9"/>
    <w:rsid w:val="00085092"/>
    <w:rsid w:val="00087FF0"/>
    <w:rsid w:val="00093AC2"/>
    <w:rsid w:val="00097D60"/>
    <w:rsid w:val="000F2F69"/>
    <w:rsid w:val="000F5033"/>
    <w:rsid w:val="000F516D"/>
    <w:rsid w:val="000F52C1"/>
    <w:rsid w:val="00101E8A"/>
    <w:rsid w:val="001653F2"/>
    <w:rsid w:val="00173F23"/>
    <w:rsid w:val="00187622"/>
    <w:rsid w:val="001A4537"/>
    <w:rsid w:val="001D2035"/>
    <w:rsid w:val="001E4C2F"/>
    <w:rsid w:val="00227817"/>
    <w:rsid w:val="00234700"/>
    <w:rsid w:val="00236CC3"/>
    <w:rsid w:val="00240C2A"/>
    <w:rsid w:val="002644AC"/>
    <w:rsid w:val="002A53B1"/>
    <w:rsid w:val="002B5E33"/>
    <w:rsid w:val="002C2315"/>
    <w:rsid w:val="002C3C08"/>
    <w:rsid w:val="002C4412"/>
    <w:rsid w:val="002F0CCA"/>
    <w:rsid w:val="00334F37"/>
    <w:rsid w:val="00337E68"/>
    <w:rsid w:val="003714D3"/>
    <w:rsid w:val="00376A99"/>
    <w:rsid w:val="003777F5"/>
    <w:rsid w:val="003C244B"/>
    <w:rsid w:val="003C51CA"/>
    <w:rsid w:val="003C64DC"/>
    <w:rsid w:val="003D1A41"/>
    <w:rsid w:val="0040486F"/>
    <w:rsid w:val="00423AF1"/>
    <w:rsid w:val="00457D1F"/>
    <w:rsid w:val="004B49E2"/>
    <w:rsid w:val="004C0B53"/>
    <w:rsid w:val="004C13E7"/>
    <w:rsid w:val="004C6BC4"/>
    <w:rsid w:val="004D4093"/>
    <w:rsid w:val="005012F6"/>
    <w:rsid w:val="0058406B"/>
    <w:rsid w:val="005C4C50"/>
    <w:rsid w:val="005D3FD9"/>
    <w:rsid w:val="00614CD5"/>
    <w:rsid w:val="0062767A"/>
    <w:rsid w:val="006F5F48"/>
    <w:rsid w:val="00745F72"/>
    <w:rsid w:val="007873EC"/>
    <w:rsid w:val="007A5CE2"/>
    <w:rsid w:val="007A62C0"/>
    <w:rsid w:val="007A7E29"/>
    <w:rsid w:val="007B5A48"/>
    <w:rsid w:val="007B5ED9"/>
    <w:rsid w:val="00830500"/>
    <w:rsid w:val="00856E1B"/>
    <w:rsid w:val="008931E8"/>
    <w:rsid w:val="008A7338"/>
    <w:rsid w:val="008B46F8"/>
    <w:rsid w:val="008D7621"/>
    <w:rsid w:val="008E2479"/>
    <w:rsid w:val="008F6AD6"/>
    <w:rsid w:val="00902663"/>
    <w:rsid w:val="009249E4"/>
    <w:rsid w:val="00946607"/>
    <w:rsid w:val="009C0189"/>
    <w:rsid w:val="009C2782"/>
    <w:rsid w:val="009F72F2"/>
    <w:rsid w:val="00A044B5"/>
    <w:rsid w:val="00A46164"/>
    <w:rsid w:val="00A50F98"/>
    <w:rsid w:val="00A70D4D"/>
    <w:rsid w:val="00A811C5"/>
    <w:rsid w:val="00AA244B"/>
    <w:rsid w:val="00AD20F6"/>
    <w:rsid w:val="00AE266A"/>
    <w:rsid w:val="00B31962"/>
    <w:rsid w:val="00B45BEE"/>
    <w:rsid w:val="00B636E0"/>
    <w:rsid w:val="00B84242"/>
    <w:rsid w:val="00B86AAD"/>
    <w:rsid w:val="00BB776E"/>
    <w:rsid w:val="00BE1863"/>
    <w:rsid w:val="00C360EB"/>
    <w:rsid w:val="00C4481C"/>
    <w:rsid w:val="00C45311"/>
    <w:rsid w:val="00C71BFB"/>
    <w:rsid w:val="00CC14BA"/>
    <w:rsid w:val="00CD7A78"/>
    <w:rsid w:val="00D21B42"/>
    <w:rsid w:val="00D51040"/>
    <w:rsid w:val="00D95042"/>
    <w:rsid w:val="00DB3508"/>
    <w:rsid w:val="00DE6CE7"/>
    <w:rsid w:val="00E01F89"/>
    <w:rsid w:val="00E0377E"/>
    <w:rsid w:val="00E14EBC"/>
    <w:rsid w:val="00E257A1"/>
    <w:rsid w:val="00E63F41"/>
    <w:rsid w:val="00E64ED4"/>
    <w:rsid w:val="00E67D3D"/>
    <w:rsid w:val="00EC766F"/>
    <w:rsid w:val="00EC7774"/>
    <w:rsid w:val="00EC7EAE"/>
    <w:rsid w:val="00F21F5C"/>
    <w:rsid w:val="00F257DB"/>
    <w:rsid w:val="00F566DA"/>
    <w:rsid w:val="00F7603C"/>
    <w:rsid w:val="00F82766"/>
    <w:rsid w:val="00FB7D74"/>
    <w:rsid w:val="00FD0F52"/>
    <w:rsid w:val="00FF574E"/>
    <w:rsid w:val="00FF77D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link w:val="FootnoteTextChar"/>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semiHidden/>
    <w:rsid w:val="002C118E"/>
    <w:rPr>
      <w:sz w:val="24"/>
      <w:szCs w:val="24"/>
    </w:rPr>
  </w:style>
  <w:style w:type="character" w:customStyle="1" w:styleId="FootnoteTextChar">
    <w:name w:val="Footnote Text Char"/>
    <w:link w:val="FootnoteText"/>
    <w:locked/>
    <w:rsid w:val="00C06CC0"/>
  </w:style>
  <w:style w:type="paragraph" w:styleId="Revision">
    <w:name w:val="Revision"/>
    <w:hidden/>
    <w:uiPriority w:val="99"/>
    <w:semiHidden/>
    <w:rsid w:val="00657CE8"/>
    <w:rPr>
      <w:sz w:val="24"/>
    </w:rPr>
  </w:style>
  <w:style w:type="character" w:customStyle="1" w:styleId="UnresolvedMention1">
    <w:name w:val="Unresolved Mention1"/>
    <w:basedOn w:val="DefaultParagraphFont"/>
    <w:uiPriority w:val="99"/>
    <w:semiHidden/>
    <w:unhideWhenUsed/>
    <w:rsid w:val="00CE6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A2CD8-590A-4C13-9459-C1F8C56A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19-1873-GE-AAM - OCC Comments Duke Pension Accounting w/dfs  (00141953.DOCX;1)</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2020-02-11T13:48:23Z</dcterms:created>
  <dcterms:modified xsi:type="dcterms:W3CDTF">2020-02-11T13:48:23Z</dcterms:modified>
</cp:coreProperties>
</file>