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C4DB5" w:rsidRPr="00E061E2" w:rsidP="00AC4DB5" w14:paraId="165FC724" w14:textId="77777777">
      <w:pPr>
        <w:pStyle w:val="HTMLPreformatted"/>
        <w:jc w:val="center"/>
        <w:rPr>
          <w:rFonts w:ascii="Times New Roman" w:hAnsi="Times New Roman" w:cs="Times New Roman"/>
          <w:b/>
          <w:bCs/>
          <w:sz w:val="24"/>
          <w:szCs w:val="24"/>
        </w:rPr>
      </w:pPr>
      <w:bookmarkStart w:id="0" w:name="_Hlk141355455"/>
      <w:r w:rsidRPr="00E061E2">
        <w:rPr>
          <w:rFonts w:ascii="Times New Roman" w:hAnsi="Times New Roman" w:cs="Times New Roman"/>
          <w:b/>
          <w:bCs/>
          <w:sz w:val="24"/>
          <w:szCs w:val="24"/>
        </w:rPr>
        <w:t>BEFORE</w:t>
      </w:r>
    </w:p>
    <w:p w:rsidR="00AC4DB5" w:rsidRPr="00E061E2" w:rsidP="00AC4DB5" w14:paraId="73677CBA" w14:textId="77777777">
      <w:pPr>
        <w:pStyle w:val="HTMLPreformatted"/>
        <w:jc w:val="center"/>
        <w:rPr>
          <w:rFonts w:ascii="Times New Roman" w:hAnsi="Times New Roman" w:cs="Times New Roman"/>
          <w:sz w:val="24"/>
          <w:szCs w:val="24"/>
        </w:rPr>
      </w:pPr>
      <w:r w:rsidRPr="00E061E2">
        <w:rPr>
          <w:rFonts w:ascii="Times New Roman" w:hAnsi="Times New Roman" w:cs="Times New Roman"/>
          <w:b/>
          <w:bCs/>
          <w:sz w:val="24"/>
          <w:szCs w:val="24"/>
        </w:rPr>
        <w:t>THE PUBLIC UTILITIES COMMISSION OF OHIO</w:t>
      </w:r>
    </w:p>
    <w:p w:rsidR="00AC4DB5" w:rsidRPr="00E061E2" w:rsidP="00AC4DB5" w14:paraId="6428E4CD"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67067B9D" w14:textId="77777777" w:rsidTr="00C7505D">
        <w:tblPrEx>
          <w:tblW w:w="9092" w:type="dxa"/>
          <w:tblLook w:val="01E0"/>
        </w:tblPrEx>
        <w:trPr>
          <w:trHeight w:val="807"/>
        </w:trPr>
        <w:tc>
          <w:tcPr>
            <w:tcW w:w="4332" w:type="dxa"/>
            <w:shd w:val="clear" w:color="auto" w:fill="auto"/>
          </w:tcPr>
          <w:p w:rsidR="00AC4DB5" w:rsidP="00C7505D" w14:paraId="0FDE88C8"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 xml:space="preserve">In the Matter of the Application of </w:t>
            </w:r>
          </w:p>
          <w:p w:rsidR="00AC4DB5" w:rsidP="00C7505D" w14:paraId="6732213E" w14:textId="77777777">
            <w:pPr>
              <w:pStyle w:val="HTMLPreformatted"/>
              <w:rPr>
                <w:rFonts w:ascii="Times New Roman" w:hAnsi="Times New Roman" w:cs="Times New Roman"/>
                <w:sz w:val="24"/>
                <w:szCs w:val="24"/>
              </w:rPr>
            </w:pPr>
            <w:r>
              <w:rPr>
                <w:rFonts w:ascii="Times New Roman" w:hAnsi="Times New Roman" w:cs="Times New Roman"/>
                <w:sz w:val="24"/>
                <w:szCs w:val="24"/>
              </w:rPr>
              <w:t xml:space="preserve">Aqua Ohio, Inc., to Increase its </w:t>
            </w:r>
          </w:p>
          <w:p w:rsidR="00AC4DB5" w:rsidP="00C7505D" w14:paraId="09323765" w14:textId="77777777">
            <w:pPr>
              <w:pStyle w:val="HTMLPreformatted"/>
              <w:rPr>
                <w:rFonts w:ascii="Times New Roman" w:hAnsi="Times New Roman" w:cs="Times New Roman"/>
                <w:sz w:val="24"/>
                <w:szCs w:val="24"/>
              </w:rPr>
            </w:pPr>
            <w:r>
              <w:rPr>
                <w:rFonts w:ascii="Times New Roman" w:hAnsi="Times New Roman" w:cs="Times New Roman"/>
                <w:sz w:val="24"/>
                <w:szCs w:val="24"/>
              </w:rPr>
              <w:t>Rates and Charges for its Waterworks Service.</w:t>
            </w:r>
          </w:p>
          <w:p w:rsidR="00AC4DB5" w:rsidRPr="00E061E2" w:rsidP="00C7505D" w14:paraId="6683D86F" w14:textId="77777777">
            <w:pPr>
              <w:pStyle w:val="HTMLPreformatted"/>
              <w:rPr>
                <w:rFonts w:ascii="Times New Roman" w:hAnsi="Times New Roman" w:cs="Times New Roman"/>
                <w:sz w:val="24"/>
                <w:szCs w:val="24"/>
              </w:rPr>
            </w:pPr>
          </w:p>
        </w:tc>
        <w:tc>
          <w:tcPr>
            <w:tcW w:w="360" w:type="dxa"/>
            <w:shd w:val="clear" w:color="auto" w:fill="auto"/>
          </w:tcPr>
          <w:p w:rsidR="00AC4DB5" w:rsidRPr="00E061E2" w:rsidP="00C7505D" w14:paraId="6B1303BF"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w:t>
            </w:r>
          </w:p>
          <w:p w:rsidR="00AC4DB5" w:rsidRPr="00E061E2" w:rsidP="00C7505D" w14:paraId="5383A607"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w:t>
            </w:r>
          </w:p>
          <w:p w:rsidR="00AC4DB5" w:rsidP="00C7505D" w14:paraId="7C854D41"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w:t>
            </w:r>
          </w:p>
          <w:p w:rsidR="00AC4DB5" w:rsidRPr="00E061E2" w:rsidP="00C7505D" w14:paraId="20F1BA57" w14:textId="77777777">
            <w:pPr>
              <w:pStyle w:val="HTMLPreformatted"/>
              <w:rPr>
                <w:rFonts w:ascii="Times New Roman" w:hAnsi="Times New Roman" w:cs="Times New Roman"/>
                <w:sz w:val="24"/>
                <w:szCs w:val="24"/>
              </w:rPr>
            </w:pPr>
          </w:p>
        </w:tc>
        <w:tc>
          <w:tcPr>
            <w:tcW w:w="4400" w:type="dxa"/>
            <w:shd w:val="clear" w:color="auto" w:fill="auto"/>
          </w:tcPr>
          <w:p w:rsidR="00AC4DB5" w:rsidRPr="00E061E2" w:rsidP="00C7505D" w14:paraId="74865BAB" w14:textId="77777777">
            <w:pPr>
              <w:pStyle w:val="HTMLPreformatted"/>
              <w:rPr>
                <w:rFonts w:ascii="Times New Roman" w:hAnsi="Times New Roman" w:cs="Times New Roman"/>
                <w:sz w:val="24"/>
                <w:szCs w:val="24"/>
              </w:rPr>
            </w:pPr>
          </w:p>
          <w:p w:rsidR="00AC4DB5" w:rsidRPr="00E061E2" w:rsidP="00C7505D" w14:paraId="61779493"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Case No. 2</w:t>
            </w:r>
            <w:r>
              <w:rPr>
                <w:rFonts w:ascii="Times New Roman" w:hAnsi="Times New Roman" w:cs="Times New Roman"/>
                <w:sz w:val="24"/>
                <w:szCs w:val="24"/>
              </w:rPr>
              <w:t>2-1094-WW-AIR</w:t>
            </w:r>
          </w:p>
          <w:p w:rsidR="00AC4DB5" w:rsidP="00C7505D" w14:paraId="438BA325" w14:textId="77777777">
            <w:pPr>
              <w:pStyle w:val="HTMLPreformatted"/>
              <w:rPr>
                <w:rFonts w:ascii="Times New Roman" w:hAnsi="Times New Roman" w:cs="Times New Roman"/>
                <w:sz w:val="24"/>
                <w:szCs w:val="24"/>
              </w:rPr>
            </w:pPr>
          </w:p>
          <w:p w:rsidR="00AC4DB5" w:rsidRPr="00E061E2" w:rsidP="00C7505D" w14:paraId="5EFE90D1" w14:textId="77777777">
            <w:pPr>
              <w:pStyle w:val="HTMLPreformatted"/>
              <w:rPr>
                <w:rFonts w:ascii="Times New Roman" w:hAnsi="Times New Roman" w:cs="Times New Roman"/>
                <w:sz w:val="24"/>
                <w:szCs w:val="24"/>
              </w:rPr>
            </w:pPr>
          </w:p>
        </w:tc>
      </w:tr>
    </w:tbl>
    <w:p w:rsidR="00AC4DB5" w:rsidRPr="00E061E2" w:rsidP="00AC4DB5" w14:paraId="7EC12021" w14:textId="77777777">
      <w:pPr>
        <w:pStyle w:val="HTMLPreformatted"/>
        <w:rPr>
          <w:rFonts w:ascii="Times New Roman" w:hAnsi="Times New Roman" w:cs="Times New Roman"/>
          <w:sz w:val="24"/>
          <w:szCs w:val="24"/>
        </w:rPr>
      </w:pPr>
    </w:p>
    <w:p w:rsidR="00AC4DB5" w:rsidP="00AC4DB5" w14:paraId="51FA99FB" w14:textId="77777777">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p>
    <w:p w:rsidR="00AC4DB5" w:rsidP="00AC4DB5" w14:paraId="15F2261A" w14:textId="77777777">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OBJECTIONS TO THE PUCO STAFF REPORT</w:t>
      </w:r>
    </w:p>
    <w:p w:rsidR="00AC4DB5" w:rsidP="00AC4DB5" w14:paraId="05AC66DA" w14:textId="77777777">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BY </w:t>
      </w:r>
    </w:p>
    <w:p w:rsidR="00AC4DB5" w:rsidRPr="00E061E2" w:rsidP="00AC4DB5" w14:paraId="41F25D89" w14:textId="77777777">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OFFICE OF THE OHIO CONSUMERS’ COUNSEL</w:t>
      </w:r>
    </w:p>
    <w:p w:rsidR="00AC4DB5" w:rsidRPr="00E061E2" w:rsidP="00AC4DB5" w14:paraId="09FB2E49" w14:textId="77777777">
      <w:pPr>
        <w:pBdr>
          <w:bottom w:val="single" w:sz="12" w:space="1" w:color="auto"/>
        </w:pBdr>
        <w:tabs>
          <w:tab w:val="left" w:pos="-720"/>
        </w:tabs>
        <w:suppressAutoHyphens/>
        <w:jc w:val="center"/>
        <w:rPr>
          <w:rFonts w:ascii="Times New Roman" w:hAnsi="Times New Roman" w:cs="Times New Roman"/>
          <w:b/>
          <w:bCs/>
          <w:spacing w:val="-3"/>
          <w:sz w:val="24"/>
          <w:szCs w:val="24"/>
        </w:rPr>
      </w:pPr>
    </w:p>
    <w:p w:rsidR="00C7245A" w:rsidP="00C7245A" w14:paraId="0C7D782B" w14:textId="77777777">
      <w:pPr>
        <w:pStyle w:val="Footer"/>
        <w:tabs>
          <w:tab w:val="left" w:pos="4320"/>
        </w:tabs>
        <w:ind w:left="4320"/>
        <w:rPr>
          <w:rFonts w:ascii="Times New Roman" w:hAnsi="Times New Roman" w:cs="Times New Roman"/>
          <w:sz w:val="24"/>
          <w:szCs w:val="24"/>
        </w:rPr>
      </w:pPr>
    </w:p>
    <w:p w:rsidR="00C7245A" w:rsidP="00C7245A" w14:paraId="408A1AA9" w14:textId="77777777">
      <w:pPr>
        <w:pStyle w:val="Footer"/>
        <w:tabs>
          <w:tab w:val="left" w:pos="4320"/>
        </w:tabs>
        <w:ind w:left="4320"/>
        <w:rPr>
          <w:rFonts w:ascii="Times New Roman" w:hAnsi="Times New Roman" w:cs="Times New Roman"/>
          <w:sz w:val="24"/>
          <w:szCs w:val="24"/>
        </w:rPr>
      </w:pPr>
    </w:p>
    <w:p w:rsidR="00C7245A" w:rsidP="00C7245A" w14:paraId="28C443AC" w14:textId="77777777">
      <w:pPr>
        <w:pStyle w:val="Footer"/>
        <w:tabs>
          <w:tab w:val="left" w:pos="4320"/>
        </w:tabs>
        <w:ind w:left="4320"/>
        <w:rPr>
          <w:rFonts w:ascii="Times New Roman" w:hAnsi="Times New Roman" w:cs="Times New Roman"/>
          <w:sz w:val="24"/>
          <w:szCs w:val="24"/>
        </w:rPr>
      </w:pPr>
    </w:p>
    <w:p w:rsidR="00C7245A" w:rsidP="00C7245A" w14:paraId="14468CCF" w14:textId="77777777">
      <w:pPr>
        <w:pStyle w:val="Footer"/>
        <w:tabs>
          <w:tab w:val="left" w:pos="4320"/>
        </w:tabs>
        <w:ind w:left="4320"/>
        <w:rPr>
          <w:rFonts w:ascii="Times New Roman" w:hAnsi="Times New Roman" w:cs="Times New Roman"/>
          <w:sz w:val="24"/>
          <w:szCs w:val="24"/>
        </w:rPr>
      </w:pPr>
    </w:p>
    <w:p w:rsidR="00C7245A" w:rsidRPr="004875DB" w:rsidP="00C7245A" w14:paraId="2802074E" w14:textId="0C64DB87">
      <w:pPr>
        <w:pStyle w:val="Footer"/>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Bruce Weston (0016973)</w:t>
      </w:r>
    </w:p>
    <w:p w:rsidR="00C7245A" w:rsidRPr="004875DB" w:rsidP="00C7245A" w14:paraId="70DEF507"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Ohio Consumers’ Counsel</w:t>
      </w:r>
    </w:p>
    <w:p w:rsidR="00C7245A" w:rsidRPr="004875DB" w:rsidP="00C7245A" w14:paraId="346B0880"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ab/>
      </w:r>
    </w:p>
    <w:p w:rsidR="00C7245A" w:rsidRPr="004875DB" w:rsidP="00C7245A" w14:paraId="5C4B465D"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Angela D. O’Brien (0097579)</w:t>
      </w:r>
    </w:p>
    <w:p w:rsidR="00C7245A" w:rsidRPr="004875DB" w:rsidP="00C7245A" w14:paraId="4ED73407"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Counsel of Record</w:t>
      </w:r>
    </w:p>
    <w:p w:rsidR="00C7245A" w:rsidRPr="004875DB" w:rsidP="00C7245A" w14:paraId="30F3CD01"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Deputy Consumers’ Counsel</w:t>
      </w:r>
    </w:p>
    <w:p w:rsidR="00C7245A" w:rsidRPr="004875DB" w:rsidP="00C7245A" w14:paraId="140C7EC0"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Connor Semple (0101102)</w:t>
      </w:r>
    </w:p>
    <w:p w:rsidR="00C7245A" w:rsidRPr="004875DB" w:rsidP="00C7245A" w14:paraId="3E6747FE" w14:textId="77777777">
      <w:pPr>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Donald J. Kral (0042091)</w:t>
      </w:r>
    </w:p>
    <w:p w:rsidR="00C7245A" w:rsidRPr="004875DB" w:rsidP="00C7245A" w14:paraId="1B41B69D"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Assistant Consumers Counsel</w:t>
      </w:r>
    </w:p>
    <w:p w:rsidR="00C7245A" w:rsidRPr="004875DB" w:rsidP="00C7245A" w14:paraId="4307689F" w14:textId="77777777">
      <w:pPr>
        <w:pStyle w:val="ListParagraph"/>
        <w:tabs>
          <w:tab w:val="left" w:pos="4320"/>
        </w:tabs>
        <w:ind w:left="4320"/>
        <w:rPr>
          <w:rFonts w:ascii="Times New Roman" w:hAnsi="Times New Roman" w:cs="Times New Roman"/>
          <w:sz w:val="24"/>
          <w:szCs w:val="24"/>
        </w:rPr>
      </w:pPr>
    </w:p>
    <w:p w:rsidR="00C7245A" w:rsidRPr="004875DB" w:rsidP="00C7245A" w14:paraId="0E456F76" w14:textId="77777777">
      <w:pPr>
        <w:pStyle w:val="ListParagraph"/>
        <w:tabs>
          <w:tab w:val="left" w:pos="4320"/>
        </w:tabs>
        <w:spacing w:after="0"/>
        <w:ind w:left="4320"/>
        <w:rPr>
          <w:rFonts w:ascii="Times New Roman" w:hAnsi="Times New Roman" w:cs="Times New Roman"/>
          <w:b/>
          <w:bCs/>
          <w:sz w:val="24"/>
          <w:szCs w:val="24"/>
        </w:rPr>
      </w:pPr>
      <w:r w:rsidRPr="004875DB">
        <w:rPr>
          <w:rFonts w:ascii="Times New Roman" w:hAnsi="Times New Roman" w:cs="Times New Roman"/>
          <w:b/>
          <w:bCs/>
          <w:sz w:val="24"/>
          <w:szCs w:val="24"/>
        </w:rPr>
        <w:t>Office of the Ohio Consumers’ Counsel</w:t>
      </w:r>
    </w:p>
    <w:p w:rsidR="00C7245A" w:rsidRPr="004875DB" w:rsidP="00C7245A" w14:paraId="18D1B139" w14:textId="77777777">
      <w:pPr>
        <w:spacing w:after="0"/>
        <w:ind w:left="4320"/>
        <w:rPr>
          <w:rFonts w:ascii="Times New Roman" w:hAnsi="Times New Roman" w:cs="Times New Roman"/>
          <w:sz w:val="24"/>
          <w:szCs w:val="24"/>
        </w:rPr>
      </w:pPr>
      <w:r w:rsidRPr="004875DB">
        <w:rPr>
          <w:rFonts w:ascii="Times New Roman" w:hAnsi="Times New Roman" w:cs="Times New Roman"/>
          <w:sz w:val="24"/>
          <w:szCs w:val="24"/>
        </w:rPr>
        <w:t>65 East State Street, Suite 700</w:t>
      </w:r>
    </w:p>
    <w:p w:rsidR="00C7245A" w:rsidRPr="004875DB" w:rsidP="00C7245A" w14:paraId="3F88A9C1" w14:textId="77777777">
      <w:pPr>
        <w:spacing w:after="0"/>
        <w:ind w:left="4320"/>
        <w:rPr>
          <w:rFonts w:ascii="Times New Roman" w:hAnsi="Times New Roman" w:cs="Times New Roman"/>
          <w:sz w:val="24"/>
          <w:szCs w:val="24"/>
        </w:rPr>
      </w:pPr>
      <w:r w:rsidRPr="004875DB">
        <w:rPr>
          <w:rFonts w:ascii="Times New Roman" w:hAnsi="Times New Roman" w:cs="Times New Roman"/>
          <w:sz w:val="24"/>
          <w:szCs w:val="24"/>
        </w:rPr>
        <w:t>Columbus, Ohio 43215</w:t>
      </w:r>
    </w:p>
    <w:p w:rsidR="00C7245A" w:rsidRPr="004875DB" w:rsidP="00C7245A" w14:paraId="78E526FA" w14:textId="77777777">
      <w:pPr>
        <w:autoSpaceDE w:val="0"/>
        <w:autoSpaceDN w:val="0"/>
        <w:adjustRightInd w:val="0"/>
        <w:spacing w:after="0"/>
        <w:ind w:left="3600" w:firstLine="720"/>
        <w:rPr>
          <w:rFonts w:ascii="Times New Roman" w:hAnsi="Times New Roman" w:cs="Times New Roman"/>
          <w:sz w:val="24"/>
          <w:szCs w:val="24"/>
        </w:rPr>
      </w:pPr>
      <w:r w:rsidRPr="004875DB">
        <w:rPr>
          <w:rFonts w:ascii="Times New Roman" w:hAnsi="Times New Roman" w:cs="Times New Roman"/>
          <w:sz w:val="24"/>
          <w:szCs w:val="24"/>
        </w:rPr>
        <w:t>Telephone [O’Brien] (614) 466-9531</w:t>
      </w:r>
    </w:p>
    <w:p w:rsidR="00C7245A" w:rsidRPr="004875DB" w:rsidP="00C7245A" w14:paraId="0A154B2C" w14:textId="77777777">
      <w:pPr>
        <w:autoSpaceDE w:val="0"/>
        <w:autoSpaceDN w:val="0"/>
        <w:adjustRightInd w:val="0"/>
        <w:spacing w:after="0"/>
        <w:ind w:left="3600" w:firstLine="720"/>
        <w:rPr>
          <w:rFonts w:ascii="Times New Roman" w:hAnsi="Times New Roman" w:cs="Times New Roman"/>
          <w:sz w:val="24"/>
          <w:szCs w:val="24"/>
        </w:rPr>
      </w:pPr>
      <w:r w:rsidRPr="004875DB">
        <w:rPr>
          <w:rFonts w:ascii="Times New Roman" w:hAnsi="Times New Roman" w:cs="Times New Roman"/>
          <w:sz w:val="24"/>
          <w:szCs w:val="24"/>
        </w:rPr>
        <w:t>Telephone [Semple] (614) 466-9565</w:t>
      </w:r>
    </w:p>
    <w:p w:rsidR="00C7245A" w:rsidRPr="004875DB" w:rsidP="00C7245A" w14:paraId="6DF17E52" w14:textId="77777777">
      <w:pPr>
        <w:autoSpaceDE w:val="0"/>
        <w:autoSpaceDN w:val="0"/>
        <w:adjustRightInd w:val="0"/>
        <w:spacing w:after="0"/>
        <w:ind w:left="3600" w:firstLine="720"/>
        <w:contextualSpacing/>
        <w:rPr>
          <w:rFonts w:ascii="Times New Roman" w:hAnsi="Times New Roman" w:cs="Times New Roman"/>
          <w:sz w:val="24"/>
          <w:szCs w:val="24"/>
          <w:lang w:bidi="en-US"/>
        </w:rPr>
      </w:pPr>
      <w:r w:rsidRPr="004875DB">
        <w:rPr>
          <w:rFonts w:ascii="Times New Roman" w:hAnsi="Times New Roman" w:cs="Times New Roman"/>
          <w:sz w:val="24"/>
          <w:szCs w:val="24"/>
          <w:lang w:bidi="en-US"/>
        </w:rPr>
        <w:t>Telephone [Kral]: (614) 466-9571</w:t>
      </w:r>
    </w:p>
    <w:p w:rsidR="00C7245A" w:rsidRPr="004875DB" w:rsidP="00C7245A" w14:paraId="6487F77D" w14:textId="77777777">
      <w:pPr>
        <w:autoSpaceDE w:val="0"/>
        <w:autoSpaceDN w:val="0"/>
        <w:adjustRightInd w:val="0"/>
        <w:spacing w:after="0"/>
        <w:ind w:left="3600" w:firstLine="720"/>
        <w:rPr>
          <w:rFonts w:ascii="Times New Roman" w:hAnsi="Times New Roman" w:cs="Times New Roman"/>
          <w:sz w:val="24"/>
          <w:szCs w:val="24"/>
        </w:rPr>
      </w:pPr>
      <w:hyperlink r:id="rId6" w:history="1">
        <w:r w:rsidRPr="004875DB" w:rsidR="00EC404A">
          <w:rPr>
            <w:rStyle w:val="Hyperlink"/>
            <w:rFonts w:ascii="Times New Roman" w:hAnsi="Times New Roman" w:cs="Times New Roman"/>
            <w:sz w:val="24"/>
            <w:szCs w:val="24"/>
          </w:rPr>
          <w:t>angela.obrien@occ.ohio.gov</w:t>
        </w:r>
      </w:hyperlink>
    </w:p>
    <w:p w:rsidR="00C7245A" w:rsidRPr="004875DB" w:rsidP="00C7245A" w14:paraId="4F2E5F3C" w14:textId="77777777">
      <w:pPr>
        <w:autoSpaceDE w:val="0"/>
        <w:autoSpaceDN w:val="0"/>
        <w:adjustRightInd w:val="0"/>
        <w:spacing w:after="0"/>
        <w:ind w:left="3600" w:firstLine="720"/>
        <w:rPr>
          <w:rStyle w:val="Hyperlink"/>
          <w:rFonts w:ascii="Times New Roman" w:hAnsi="Times New Roman" w:cs="Times New Roman"/>
          <w:sz w:val="24"/>
          <w:szCs w:val="24"/>
        </w:rPr>
      </w:pPr>
      <w:hyperlink r:id="rId7" w:history="1">
        <w:r w:rsidRPr="004875DB" w:rsidR="00EC404A">
          <w:rPr>
            <w:rStyle w:val="Hyperlink"/>
            <w:rFonts w:ascii="Times New Roman" w:hAnsi="Times New Roman" w:cs="Times New Roman"/>
            <w:sz w:val="24"/>
            <w:szCs w:val="24"/>
          </w:rPr>
          <w:t>connor.semple@occ.ohio.gov</w:t>
        </w:r>
      </w:hyperlink>
    </w:p>
    <w:p w:rsidR="00C7245A" w:rsidRPr="004875DB" w:rsidP="00C7245A" w14:paraId="41085F0F" w14:textId="77777777">
      <w:pPr>
        <w:spacing w:after="0"/>
        <w:ind w:left="4320"/>
        <w:rPr>
          <w:rFonts w:ascii="Times New Roman" w:hAnsi="Times New Roman" w:cs="Times New Roman"/>
          <w:sz w:val="24"/>
          <w:szCs w:val="24"/>
        </w:rPr>
      </w:pPr>
      <w:hyperlink r:id="rId8" w:history="1">
        <w:r w:rsidRPr="004875DB" w:rsidR="00EC404A">
          <w:rPr>
            <w:rStyle w:val="Hyperlink"/>
            <w:rFonts w:ascii="Times New Roman" w:hAnsi="Times New Roman" w:cs="Times New Roman"/>
            <w:sz w:val="24"/>
            <w:szCs w:val="24"/>
            <w:lang w:bidi="en-US"/>
          </w:rPr>
          <w:t>donald.kral@occ.ohio.gov</w:t>
        </w:r>
      </w:hyperlink>
    </w:p>
    <w:p w:rsidR="00C7245A" w:rsidRPr="004875DB" w:rsidP="00C7245A" w14:paraId="79338941" w14:textId="77777777">
      <w:pPr>
        <w:autoSpaceDE w:val="0"/>
        <w:autoSpaceDN w:val="0"/>
        <w:adjustRightInd w:val="0"/>
        <w:spacing w:after="0"/>
        <w:ind w:left="3600" w:firstLine="720"/>
        <w:rPr>
          <w:rFonts w:ascii="Times New Roman" w:hAnsi="Times New Roman" w:cs="Times New Roman"/>
          <w:sz w:val="24"/>
          <w:szCs w:val="24"/>
        </w:rPr>
      </w:pPr>
      <w:r w:rsidRPr="004875DB">
        <w:rPr>
          <w:rFonts w:ascii="Times New Roman" w:hAnsi="Times New Roman" w:cs="Times New Roman"/>
          <w:sz w:val="24"/>
          <w:szCs w:val="24"/>
        </w:rPr>
        <w:t>(willing to accept service by e-mail)</w:t>
      </w:r>
    </w:p>
    <w:p w:rsidR="00AC4DB5" w:rsidP="006A70BC" w14:paraId="1DE6933E" w14:textId="77777777">
      <w:pPr>
        <w:pStyle w:val="Heading1"/>
        <w:numPr>
          <w:ilvl w:val="0"/>
          <w:numId w:val="0"/>
        </w:numPr>
        <w:ind w:left="720"/>
      </w:pPr>
    </w:p>
    <w:p w:rsidR="00AC4DB5" w:rsidP="00AC4DB5" w14:paraId="175A0228" w14:textId="77777777">
      <w:pPr>
        <w:rPr>
          <w:lang w:eastAsia="en-US"/>
        </w:rPr>
      </w:pPr>
    </w:p>
    <w:p w:rsidR="00AC4DB5" w:rsidRPr="00C7245A" w:rsidP="00AC4DB5" w14:paraId="6655D489" w14:textId="2B64B657">
      <w:pPr>
        <w:rPr>
          <w:rFonts w:ascii="Times New Roman" w:hAnsi="Times New Roman" w:cs="Times New Roman"/>
          <w:sz w:val="24"/>
          <w:szCs w:val="24"/>
          <w:lang w:eastAsia="en-US"/>
        </w:rPr>
        <w:sectPr w:rsidSect="0084279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rsidRPr="00C7245A">
        <w:rPr>
          <w:rFonts w:ascii="Times New Roman" w:hAnsi="Times New Roman" w:cs="Times New Roman"/>
          <w:sz w:val="24"/>
          <w:szCs w:val="24"/>
          <w:lang w:eastAsia="en-US"/>
        </w:rPr>
        <w:t>August 14, 2023</w:t>
      </w:r>
    </w:p>
    <w:p w:rsidR="00AC4DB5" w:rsidP="00BC0D5D" w14:paraId="23B00444" w14:textId="77777777">
      <w:pPr>
        <w:pStyle w:val="HTMLPreformatted"/>
        <w:jc w:val="center"/>
        <w:rPr>
          <w:rFonts w:ascii="Times New Roman" w:hAnsi="Times New Roman" w:cs="Times New Roman"/>
          <w:b/>
          <w:bCs/>
          <w:sz w:val="24"/>
          <w:szCs w:val="24"/>
          <w:u w:val="single"/>
        </w:rPr>
      </w:pPr>
      <w:r w:rsidRPr="00AC4DB5">
        <w:rPr>
          <w:rFonts w:ascii="Times New Roman" w:hAnsi="Times New Roman" w:cs="Times New Roman"/>
          <w:b/>
          <w:bCs/>
          <w:sz w:val="24"/>
          <w:szCs w:val="24"/>
          <w:u w:val="single"/>
        </w:rPr>
        <w:t>TABLE OF CONTENTS</w:t>
      </w:r>
    </w:p>
    <w:p w:rsidR="00AC4DB5" w:rsidP="00BC0D5D" w14:paraId="50F8799E" w14:textId="77777777">
      <w:pPr>
        <w:pStyle w:val="HTMLPreformatted"/>
        <w:jc w:val="center"/>
        <w:rPr>
          <w:rFonts w:ascii="Times New Roman" w:hAnsi="Times New Roman" w:cs="Times New Roman"/>
          <w:b/>
          <w:bCs/>
          <w:sz w:val="24"/>
          <w:szCs w:val="24"/>
          <w:u w:val="single"/>
        </w:rPr>
      </w:pPr>
    </w:p>
    <w:p w:rsidR="00420D77" w:rsidRPr="00420D77" w:rsidP="00420D77" w14:paraId="3EB02B76" w14:textId="56088131">
      <w:pPr>
        <w:pStyle w:val="HTMLPreformatted"/>
        <w:jc w:val="right"/>
        <w:rPr>
          <w:rFonts w:ascii="Times New Roman" w:hAnsi="Times New Roman" w:cs="Times New Roman"/>
          <w:b/>
          <w:bCs/>
          <w:sz w:val="24"/>
          <w:szCs w:val="24"/>
        </w:rPr>
      </w:pPr>
      <w:r w:rsidRPr="00420D77">
        <w:rPr>
          <w:rFonts w:ascii="Times New Roman" w:hAnsi="Times New Roman" w:cs="Times New Roman"/>
          <w:b/>
          <w:bCs/>
          <w:sz w:val="24"/>
          <w:szCs w:val="24"/>
        </w:rPr>
        <w:t>PAGE</w:t>
      </w:r>
    </w:p>
    <w:p w:rsidR="00EC404A" w14:paraId="345EB40C" w14:textId="72078F5C">
      <w:pPr>
        <w:pStyle w:val="TOC1"/>
        <w:rPr>
          <w:rFonts w:asciiTheme="minorHAnsi" w:eastAsiaTheme="minorEastAsia" w:hAnsiTheme="minorHAnsi"/>
          <w:noProof/>
          <w:kern w:val="2"/>
          <w:sz w:val="22"/>
          <w14:ligatures w14:val="standardContextual"/>
        </w:rPr>
      </w:pPr>
      <w:r>
        <w:rPr>
          <w:rFonts w:cs="Times New Roman"/>
          <w:b/>
          <w:bCs/>
          <w:szCs w:val="24"/>
        </w:rPr>
        <w:fldChar w:fldCharType="begin"/>
      </w:r>
      <w:r>
        <w:rPr>
          <w:rFonts w:cs="Times New Roman"/>
          <w:b/>
          <w:bCs/>
          <w:szCs w:val="24"/>
        </w:rPr>
        <w:instrText xml:space="preserve"> TOC \o "1-3" \h \z \u </w:instrText>
      </w:r>
      <w:r>
        <w:rPr>
          <w:rFonts w:cs="Times New Roman"/>
          <w:b/>
          <w:bCs/>
          <w:szCs w:val="24"/>
        </w:rPr>
        <w:fldChar w:fldCharType="separate"/>
      </w:r>
      <w:hyperlink w:anchor="_Toc142925061" w:history="1">
        <w:r w:rsidRPr="00D8451A">
          <w:rPr>
            <w:rStyle w:val="Hyperlink"/>
            <w:noProof/>
          </w:rPr>
          <w:t>I.</w:t>
        </w:r>
        <w:r>
          <w:rPr>
            <w:rFonts w:asciiTheme="minorHAnsi" w:eastAsiaTheme="minorEastAsia" w:hAnsiTheme="minorHAnsi"/>
            <w:noProof/>
            <w:kern w:val="2"/>
            <w:sz w:val="22"/>
            <w14:ligatures w14:val="standardContextual"/>
          </w:rPr>
          <w:tab/>
        </w:r>
        <w:r w:rsidRPr="00D8451A">
          <w:rPr>
            <w:rStyle w:val="Hyperlink"/>
            <w:noProof/>
          </w:rPr>
          <w:t>INTRODUCTION</w:t>
        </w:r>
        <w:r>
          <w:rPr>
            <w:noProof/>
            <w:webHidden/>
          </w:rPr>
          <w:tab/>
        </w:r>
        <w:r>
          <w:rPr>
            <w:noProof/>
            <w:webHidden/>
          </w:rPr>
          <w:fldChar w:fldCharType="begin"/>
        </w:r>
        <w:r>
          <w:rPr>
            <w:noProof/>
            <w:webHidden/>
          </w:rPr>
          <w:instrText xml:space="preserve"> PAGEREF _Toc142925061 \h </w:instrText>
        </w:r>
        <w:r>
          <w:rPr>
            <w:noProof/>
            <w:webHidden/>
          </w:rPr>
          <w:fldChar w:fldCharType="separate"/>
        </w:r>
        <w:r>
          <w:rPr>
            <w:noProof/>
            <w:webHidden/>
          </w:rPr>
          <w:t>1</w:t>
        </w:r>
        <w:r>
          <w:rPr>
            <w:noProof/>
            <w:webHidden/>
          </w:rPr>
          <w:fldChar w:fldCharType="end"/>
        </w:r>
      </w:hyperlink>
    </w:p>
    <w:p w:rsidR="00EC404A" w14:paraId="302E0A20" w14:textId="60DAA1CB">
      <w:pPr>
        <w:pStyle w:val="TOC1"/>
        <w:rPr>
          <w:rFonts w:asciiTheme="minorHAnsi" w:eastAsiaTheme="minorEastAsia" w:hAnsiTheme="minorHAnsi"/>
          <w:noProof/>
          <w:kern w:val="2"/>
          <w:sz w:val="22"/>
          <w14:ligatures w14:val="standardContextual"/>
        </w:rPr>
      </w:pPr>
      <w:hyperlink w:anchor="_Toc142925062" w:history="1">
        <w:r w:rsidRPr="00D8451A">
          <w:rPr>
            <w:rStyle w:val="Hyperlink"/>
            <w:rFonts w:cs="Times New Roman"/>
            <w:noProof/>
          </w:rPr>
          <w:t>II.</w:t>
        </w:r>
        <w:r>
          <w:rPr>
            <w:rFonts w:asciiTheme="minorHAnsi" w:eastAsiaTheme="minorEastAsia" w:hAnsiTheme="minorHAnsi"/>
            <w:noProof/>
            <w:kern w:val="2"/>
            <w:sz w:val="22"/>
            <w14:ligatures w14:val="standardContextual"/>
          </w:rPr>
          <w:tab/>
        </w:r>
        <w:r w:rsidRPr="00D8451A">
          <w:rPr>
            <w:rStyle w:val="Hyperlink"/>
            <w:noProof/>
          </w:rPr>
          <w:t>SUMMARY OF FINDINGS AND RECOMMENDATIONS SUPPORTED BY OCC</w:t>
        </w:r>
        <w:r>
          <w:rPr>
            <w:noProof/>
            <w:webHidden/>
          </w:rPr>
          <w:tab/>
        </w:r>
        <w:r>
          <w:rPr>
            <w:noProof/>
            <w:webHidden/>
          </w:rPr>
          <w:fldChar w:fldCharType="begin"/>
        </w:r>
        <w:r>
          <w:rPr>
            <w:noProof/>
            <w:webHidden/>
          </w:rPr>
          <w:instrText xml:space="preserve"> PAGEREF _Toc142925062 \h </w:instrText>
        </w:r>
        <w:r>
          <w:rPr>
            <w:noProof/>
            <w:webHidden/>
          </w:rPr>
          <w:fldChar w:fldCharType="separate"/>
        </w:r>
        <w:r>
          <w:rPr>
            <w:noProof/>
            <w:webHidden/>
          </w:rPr>
          <w:t>2</w:t>
        </w:r>
        <w:r>
          <w:rPr>
            <w:noProof/>
            <w:webHidden/>
          </w:rPr>
          <w:fldChar w:fldCharType="end"/>
        </w:r>
      </w:hyperlink>
    </w:p>
    <w:p w:rsidR="00EC404A" w14:paraId="71473853" w14:textId="431B3ED0">
      <w:pPr>
        <w:pStyle w:val="TOC1"/>
        <w:rPr>
          <w:rFonts w:asciiTheme="minorHAnsi" w:eastAsiaTheme="minorEastAsia" w:hAnsiTheme="minorHAnsi"/>
          <w:noProof/>
          <w:kern w:val="2"/>
          <w:sz w:val="22"/>
          <w14:ligatures w14:val="standardContextual"/>
        </w:rPr>
      </w:pPr>
      <w:hyperlink w:anchor="_Toc142925063" w:history="1">
        <w:r w:rsidRPr="00D8451A">
          <w:rPr>
            <w:rStyle w:val="Hyperlink"/>
            <w:noProof/>
          </w:rPr>
          <w:t>III.</w:t>
        </w:r>
        <w:r>
          <w:rPr>
            <w:rFonts w:asciiTheme="minorHAnsi" w:eastAsiaTheme="minorEastAsia" w:hAnsiTheme="minorHAnsi"/>
            <w:noProof/>
            <w:kern w:val="2"/>
            <w:sz w:val="22"/>
            <w14:ligatures w14:val="standardContextual"/>
          </w:rPr>
          <w:tab/>
        </w:r>
        <w:r w:rsidRPr="00D8451A">
          <w:rPr>
            <w:rStyle w:val="Hyperlink"/>
            <w:noProof/>
          </w:rPr>
          <w:t>OBJECTIONS TO THE STAFF REPORT</w:t>
        </w:r>
        <w:r>
          <w:rPr>
            <w:noProof/>
            <w:webHidden/>
          </w:rPr>
          <w:tab/>
        </w:r>
        <w:r>
          <w:rPr>
            <w:noProof/>
            <w:webHidden/>
          </w:rPr>
          <w:fldChar w:fldCharType="begin"/>
        </w:r>
        <w:r>
          <w:rPr>
            <w:noProof/>
            <w:webHidden/>
          </w:rPr>
          <w:instrText xml:space="preserve"> PAGEREF _Toc142925063 \h </w:instrText>
        </w:r>
        <w:r>
          <w:rPr>
            <w:noProof/>
            <w:webHidden/>
          </w:rPr>
          <w:fldChar w:fldCharType="separate"/>
        </w:r>
        <w:r>
          <w:rPr>
            <w:noProof/>
            <w:webHidden/>
          </w:rPr>
          <w:t>5</w:t>
        </w:r>
        <w:r>
          <w:rPr>
            <w:noProof/>
            <w:webHidden/>
          </w:rPr>
          <w:fldChar w:fldCharType="end"/>
        </w:r>
      </w:hyperlink>
    </w:p>
    <w:p w:rsidR="00EC404A" w14:paraId="5448CC06" w14:textId="7FFEA55D">
      <w:pPr>
        <w:pStyle w:val="TOC2"/>
        <w:rPr>
          <w:rFonts w:asciiTheme="minorHAnsi" w:eastAsiaTheme="minorEastAsia" w:hAnsiTheme="minorHAnsi" w:cstheme="minorBidi"/>
          <w:bCs w:val="0"/>
          <w:color w:val="auto"/>
          <w:kern w:val="2"/>
          <w:sz w:val="22"/>
          <w14:ligatures w14:val="standardContextual"/>
        </w:rPr>
      </w:pPr>
      <w:hyperlink w:anchor="_Toc142925064" w:history="1">
        <w:r w:rsidRPr="00D8451A">
          <w:rPr>
            <w:rStyle w:val="Hyperlink"/>
            <w:rFonts w:eastAsia="Times New Roman"/>
          </w:rPr>
          <w:t>A.</w:t>
        </w:r>
        <w:r>
          <w:rPr>
            <w:rFonts w:asciiTheme="minorHAnsi" w:eastAsiaTheme="minorEastAsia" w:hAnsiTheme="minorHAnsi" w:cstheme="minorBidi"/>
            <w:bCs w:val="0"/>
            <w:color w:val="auto"/>
            <w:kern w:val="2"/>
            <w:sz w:val="22"/>
            <w14:ligatures w14:val="standardContextual"/>
          </w:rPr>
          <w:tab/>
        </w:r>
        <w:r w:rsidRPr="00D8451A">
          <w:rPr>
            <w:rStyle w:val="Hyperlink"/>
            <w:rFonts w:eastAsia="Times New Roman"/>
          </w:rPr>
          <w:t>Revenue Requirement</w:t>
        </w:r>
        <w:r>
          <w:rPr>
            <w:webHidden/>
          </w:rPr>
          <w:tab/>
        </w:r>
        <w:r>
          <w:rPr>
            <w:webHidden/>
          </w:rPr>
          <w:fldChar w:fldCharType="begin"/>
        </w:r>
        <w:r>
          <w:rPr>
            <w:webHidden/>
          </w:rPr>
          <w:instrText xml:space="preserve"> PAGEREF _Toc142925064 \h </w:instrText>
        </w:r>
        <w:r>
          <w:rPr>
            <w:webHidden/>
          </w:rPr>
          <w:fldChar w:fldCharType="separate"/>
        </w:r>
        <w:r>
          <w:rPr>
            <w:webHidden/>
          </w:rPr>
          <w:t>5</w:t>
        </w:r>
        <w:r>
          <w:rPr>
            <w:webHidden/>
          </w:rPr>
          <w:fldChar w:fldCharType="end"/>
        </w:r>
      </w:hyperlink>
    </w:p>
    <w:p w:rsidR="00EC404A" w14:paraId="07C7F666" w14:textId="2EF8A798">
      <w:pPr>
        <w:pStyle w:val="TOC3"/>
        <w:rPr>
          <w:rFonts w:asciiTheme="minorHAnsi" w:eastAsiaTheme="minorEastAsia" w:hAnsiTheme="minorHAnsi" w:cstheme="minorBidi"/>
          <w:bCs w:val="0"/>
          <w:color w:val="auto"/>
          <w:kern w:val="2"/>
          <w:sz w:val="22"/>
          <w14:ligatures w14:val="standardContextual"/>
        </w:rPr>
      </w:pPr>
      <w:hyperlink w:anchor="_Toc142925065" w:history="1">
        <w:r w:rsidRPr="00D8451A">
          <w:rPr>
            <w:rStyle w:val="Hyperlink"/>
          </w:rPr>
          <w:t>OBJECTION 1: OCC objects because, as a result of OCC’s other objections below (including OCC’s proposed changes to the rate of return), the Staff Report’s recommended rate increase of $3,425,564 is too high for consumers and would result in consumers paying unjust, unreasonable, and unlawful rates under R.C. 4905.22, 4909.15, 4909.154, 4909.17 and 4909.18.</w:t>
        </w:r>
        <w:r>
          <w:rPr>
            <w:webHidden/>
          </w:rPr>
          <w:tab/>
        </w:r>
        <w:r>
          <w:rPr>
            <w:webHidden/>
          </w:rPr>
          <w:fldChar w:fldCharType="begin"/>
        </w:r>
        <w:r>
          <w:rPr>
            <w:webHidden/>
          </w:rPr>
          <w:instrText xml:space="preserve"> PAGEREF _Toc142925065 \h </w:instrText>
        </w:r>
        <w:r>
          <w:rPr>
            <w:webHidden/>
          </w:rPr>
          <w:fldChar w:fldCharType="separate"/>
        </w:r>
        <w:r>
          <w:rPr>
            <w:webHidden/>
          </w:rPr>
          <w:t>5</w:t>
        </w:r>
        <w:r>
          <w:rPr>
            <w:webHidden/>
          </w:rPr>
          <w:fldChar w:fldCharType="end"/>
        </w:r>
      </w:hyperlink>
    </w:p>
    <w:p w:rsidR="00EC404A" w14:paraId="1D444FF8" w14:textId="3E4659FE">
      <w:pPr>
        <w:pStyle w:val="TOC3"/>
        <w:rPr>
          <w:rFonts w:asciiTheme="minorHAnsi" w:eastAsiaTheme="minorEastAsia" w:hAnsiTheme="minorHAnsi" w:cstheme="minorBidi"/>
          <w:bCs w:val="0"/>
          <w:color w:val="auto"/>
          <w:kern w:val="2"/>
          <w:sz w:val="22"/>
          <w14:ligatures w14:val="standardContextual"/>
        </w:rPr>
      </w:pPr>
      <w:hyperlink w:anchor="_Toc142925066" w:history="1">
        <w:r w:rsidRPr="00D8451A">
          <w:rPr>
            <w:rStyle w:val="Hyperlink"/>
          </w:rPr>
          <w:t>OBJECTION 2: OCC objects because, Staff’s recommended rate increase of $3,425,564 is not based entirely on updated actual June 30, 2023, financial data. Without knowing the revenue requirement baseline for both Aqua and Staff that would result from using actual June 30, 2023, financial data, Staff’s recommended rate increase of $3,425,564 is too high for consumers and would result in consumers paying unjust, unreasonable, and unlawful rates under R.C. 4905.22, 4909.15, 4909.154, 4909.17 and 4909.18.</w:t>
        </w:r>
        <w:r>
          <w:rPr>
            <w:webHidden/>
          </w:rPr>
          <w:tab/>
        </w:r>
        <w:r>
          <w:rPr>
            <w:webHidden/>
          </w:rPr>
          <w:fldChar w:fldCharType="begin"/>
        </w:r>
        <w:r>
          <w:rPr>
            <w:webHidden/>
          </w:rPr>
          <w:instrText xml:space="preserve"> PAGEREF _Toc142925066 \h </w:instrText>
        </w:r>
        <w:r>
          <w:rPr>
            <w:webHidden/>
          </w:rPr>
          <w:fldChar w:fldCharType="separate"/>
        </w:r>
        <w:r>
          <w:rPr>
            <w:webHidden/>
          </w:rPr>
          <w:t>6</w:t>
        </w:r>
        <w:r>
          <w:rPr>
            <w:webHidden/>
          </w:rPr>
          <w:fldChar w:fldCharType="end"/>
        </w:r>
      </w:hyperlink>
    </w:p>
    <w:p w:rsidR="00EC404A" w14:paraId="60BC9750" w14:textId="689E3A51">
      <w:pPr>
        <w:pStyle w:val="TOC3"/>
        <w:rPr>
          <w:rFonts w:asciiTheme="minorHAnsi" w:eastAsiaTheme="minorEastAsia" w:hAnsiTheme="minorHAnsi" w:cstheme="minorBidi"/>
          <w:bCs w:val="0"/>
          <w:color w:val="auto"/>
          <w:kern w:val="2"/>
          <w:sz w:val="22"/>
          <w14:ligatures w14:val="standardContextual"/>
        </w:rPr>
      </w:pPr>
      <w:hyperlink w:anchor="_Toc142925067" w:history="1">
        <w:r w:rsidRPr="00D8451A">
          <w:rPr>
            <w:rStyle w:val="Hyperlink"/>
          </w:rPr>
          <w:t>OBJECTION 3: OCC objects because the Audit Report Staff-adjusted O&amp;M expenses of $24.2M appear excessive. Thus, Staff’s recommended rate increase of $3,425,564 is too high for consumers and would result in consumers paying unjust, unreasonable, and unlawful rates under R.C. 4905.22, 4909.15, 4909.154, 4909.17 and 4909.18.</w:t>
        </w:r>
        <w:r>
          <w:rPr>
            <w:webHidden/>
          </w:rPr>
          <w:tab/>
        </w:r>
        <w:r>
          <w:rPr>
            <w:webHidden/>
          </w:rPr>
          <w:fldChar w:fldCharType="begin"/>
        </w:r>
        <w:r>
          <w:rPr>
            <w:webHidden/>
          </w:rPr>
          <w:instrText xml:space="preserve"> PAGEREF _Toc142925067 \h </w:instrText>
        </w:r>
        <w:r>
          <w:rPr>
            <w:webHidden/>
          </w:rPr>
          <w:fldChar w:fldCharType="separate"/>
        </w:r>
        <w:r>
          <w:rPr>
            <w:webHidden/>
          </w:rPr>
          <w:t>7</w:t>
        </w:r>
        <w:r>
          <w:rPr>
            <w:webHidden/>
          </w:rPr>
          <w:fldChar w:fldCharType="end"/>
        </w:r>
      </w:hyperlink>
    </w:p>
    <w:p w:rsidR="00EC404A" w14:paraId="3E05B712" w14:textId="59143195">
      <w:pPr>
        <w:pStyle w:val="TOC3"/>
        <w:rPr>
          <w:rFonts w:asciiTheme="minorHAnsi" w:eastAsiaTheme="minorEastAsia" w:hAnsiTheme="minorHAnsi" w:cstheme="minorBidi"/>
          <w:bCs w:val="0"/>
          <w:color w:val="auto"/>
          <w:kern w:val="2"/>
          <w:sz w:val="22"/>
          <w14:ligatures w14:val="standardContextual"/>
        </w:rPr>
      </w:pPr>
      <w:hyperlink w:anchor="_Toc142925068" w:history="1">
        <w:r w:rsidRPr="00D8451A">
          <w:rPr>
            <w:rStyle w:val="Hyperlink"/>
          </w:rPr>
          <w:t>OBJECTION 4: OCC objects because the Audit Report does not adjust the largely estimated affiliate expenses allocated from Essential Utilities to Aqua in this rate case. Thus, the Staff’s recommended rate increase of $3,425,564 is too high for consumers and would result in consumers paying unjust, unreasonable, and unlawful rates under R.C. 4905.22, 4909.15, 4909.154, 4909.17 and 4909.18.</w:t>
        </w:r>
        <w:r>
          <w:rPr>
            <w:webHidden/>
          </w:rPr>
          <w:tab/>
        </w:r>
        <w:r>
          <w:rPr>
            <w:webHidden/>
          </w:rPr>
          <w:fldChar w:fldCharType="begin"/>
        </w:r>
        <w:r>
          <w:rPr>
            <w:webHidden/>
          </w:rPr>
          <w:instrText xml:space="preserve"> PAGEREF _Toc142925068 \h </w:instrText>
        </w:r>
        <w:r>
          <w:rPr>
            <w:webHidden/>
          </w:rPr>
          <w:fldChar w:fldCharType="separate"/>
        </w:r>
        <w:r>
          <w:rPr>
            <w:webHidden/>
          </w:rPr>
          <w:t>7</w:t>
        </w:r>
        <w:r>
          <w:rPr>
            <w:webHidden/>
          </w:rPr>
          <w:fldChar w:fldCharType="end"/>
        </w:r>
      </w:hyperlink>
    </w:p>
    <w:p w:rsidR="00EC404A" w14:paraId="7C4D13AA" w14:textId="062F1232">
      <w:pPr>
        <w:pStyle w:val="TOC3"/>
        <w:rPr>
          <w:rFonts w:asciiTheme="minorHAnsi" w:eastAsiaTheme="minorEastAsia" w:hAnsiTheme="minorHAnsi" w:cstheme="minorBidi"/>
          <w:bCs w:val="0"/>
          <w:color w:val="auto"/>
          <w:kern w:val="2"/>
          <w:sz w:val="22"/>
          <w14:ligatures w14:val="standardContextual"/>
        </w:rPr>
      </w:pPr>
      <w:hyperlink w:anchor="_Toc142925069" w:history="1">
        <w:r w:rsidRPr="00D8451A">
          <w:rPr>
            <w:rStyle w:val="Hyperlink"/>
          </w:rPr>
          <w:t>OBJECTION 5: The OCC objects because the Staff Report did not confirm, validate and reconcile that the largely estimated amount of short-term incentive expense and stock-based compensation expense (presumably long-term incentive expense) included in the Aqua revenue deficiency (and adjusted by the Audit Report) is reasonable or is reasonable when compared to the updated actual incentive expenses at June 30, 2023.  This could mean the Staff Report’s recommended rate increase of $3,425,564 is too high for consumers and would result in consumers paying unjust, unreasonable, and unlawful rates under R.C. 4905.22, 4909.15, 4909.154, 4909.17 and 4909.18.</w:t>
        </w:r>
        <w:r>
          <w:rPr>
            <w:webHidden/>
          </w:rPr>
          <w:tab/>
        </w:r>
        <w:r>
          <w:rPr>
            <w:webHidden/>
          </w:rPr>
          <w:fldChar w:fldCharType="begin"/>
        </w:r>
        <w:r>
          <w:rPr>
            <w:webHidden/>
          </w:rPr>
          <w:instrText xml:space="preserve"> PAGEREF _Toc142925069 \h </w:instrText>
        </w:r>
        <w:r>
          <w:rPr>
            <w:webHidden/>
          </w:rPr>
          <w:fldChar w:fldCharType="separate"/>
        </w:r>
        <w:r>
          <w:rPr>
            <w:webHidden/>
          </w:rPr>
          <w:t>8</w:t>
        </w:r>
        <w:r>
          <w:rPr>
            <w:webHidden/>
          </w:rPr>
          <w:fldChar w:fldCharType="end"/>
        </w:r>
      </w:hyperlink>
    </w:p>
    <w:p w:rsidR="00EC404A" w14:paraId="33F850B4" w14:textId="0167A202">
      <w:pPr>
        <w:pStyle w:val="TOC3"/>
        <w:rPr>
          <w:rFonts w:asciiTheme="minorHAnsi" w:eastAsiaTheme="minorEastAsia" w:hAnsiTheme="minorHAnsi" w:cstheme="minorBidi"/>
          <w:bCs w:val="0"/>
          <w:color w:val="auto"/>
          <w:kern w:val="2"/>
          <w:sz w:val="22"/>
          <w14:ligatures w14:val="standardContextual"/>
        </w:rPr>
      </w:pPr>
      <w:hyperlink w:anchor="_Toc142925070" w:history="1">
        <w:r w:rsidRPr="00D8451A">
          <w:rPr>
            <w:rStyle w:val="Hyperlink"/>
          </w:rPr>
          <w:t>OBJECTION 6: OCC Objects because the Staff Report’s adjustments regarding incentive expenses may be understated.</w:t>
        </w:r>
        <w:r>
          <w:rPr>
            <w:webHidden/>
          </w:rPr>
          <w:tab/>
        </w:r>
        <w:r>
          <w:rPr>
            <w:webHidden/>
          </w:rPr>
          <w:fldChar w:fldCharType="begin"/>
        </w:r>
        <w:r>
          <w:rPr>
            <w:webHidden/>
          </w:rPr>
          <w:instrText xml:space="preserve"> PAGEREF _Toc142925070 \h </w:instrText>
        </w:r>
        <w:r>
          <w:rPr>
            <w:webHidden/>
          </w:rPr>
          <w:fldChar w:fldCharType="separate"/>
        </w:r>
        <w:r>
          <w:rPr>
            <w:webHidden/>
          </w:rPr>
          <w:t>8</w:t>
        </w:r>
        <w:r>
          <w:rPr>
            <w:webHidden/>
          </w:rPr>
          <w:fldChar w:fldCharType="end"/>
        </w:r>
      </w:hyperlink>
    </w:p>
    <w:p w:rsidR="00EC404A" w14:paraId="2F4E497E" w14:textId="5BE34FD1">
      <w:pPr>
        <w:pStyle w:val="TOC2"/>
        <w:rPr>
          <w:rFonts w:asciiTheme="minorHAnsi" w:eastAsiaTheme="minorEastAsia" w:hAnsiTheme="minorHAnsi" w:cstheme="minorBidi"/>
          <w:bCs w:val="0"/>
          <w:color w:val="auto"/>
          <w:kern w:val="2"/>
          <w:sz w:val="22"/>
          <w14:ligatures w14:val="standardContextual"/>
        </w:rPr>
      </w:pPr>
      <w:hyperlink w:anchor="_Toc142925072" w:history="1">
        <w:r w:rsidRPr="00D8451A">
          <w:rPr>
            <w:rStyle w:val="Hyperlink"/>
            <w:rFonts w:eastAsia="Times New Roman"/>
          </w:rPr>
          <w:t>B.</w:t>
        </w:r>
        <w:r>
          <w:rPr>
            <w:rFonts w:asciiTheme="minorHAnsi" w:eastAsiaTheme="minorEastAsia" w:hAnsiTheme="minorHAnsi" w:cstheme="minorBidi"/>
            <w:bCs w:val="0"/>
            <w:color w:val="auto"/>
            <w:kern w:val="2"/>
            <w:sz w:val="22"/>
            <w14:ligatures w14:val="standardContextual"/>
          </w:rPr>
          <w:tab/>
        </w:r>
        <w:r w:rsidRPr="00D8451A">
          <w:rPr>
            <w:rStyle w:val="Hyperlink"/>
            <w:rFonts w:eastAsia="Times New Roman" w:cs="Times New Roman"/>
          </w:rPr>
          <w:t>Rate of Return</w:t>
        </w:r>
        <w:r>
          <w:rPr>
            <w:webHidden/>
          </w:rPr>
          <w:tab/>
        </w:r>
        <w:r>
          <w:rPr>
            <w:webHidden/>
          </w:rPr>
          <w:fldChar w:fldCharType="begin"/>
        </w:r>
        <w:r>
          <w:rPr>
            <w:webHidden/>
          </w:rPr>
          <w:instrText xml:space="preserve"> PAGEREF _Toc142925072 \h </w:instrText>
        </w:r>
        <w:r>
          <w:rPr>
            <w:webHidden/>
          </w:rPr>
          <w:fldChar w:fldCharType="separate"/>
        </w:r>
        <w:r>
          <w:rPr>
            <w:webHidden/>
          </w:rPr>
          <w:t>8</w:t>
        </w:r>
        <w:r>
          <w:rPr>
            <w:webHidden/>
          </w:rPr>
          <w:fldChar w:fldCharType="end"/>
        </w:r>
      </w:hyperlink>
    </w:p>
    <w:p w:rsidR="00EC404A" w14:paraId="6966282F" w14:textId="1D094DE8">
      <w:pPr>
        <w:pStyle w:val="TOC3"/>
        <w:rPr>
          <w:rFonts w:asciiTheme="minorHAnsi" w:eastAsiaTheme="minorEastAsia" w:hAnsiTheme="minorHAnsi" w:cstheme="minorBidi"/>
          <w:bCs w:val="0"/>
          <w:color w:val="auto"/>
          <w:kern w:val="2"/>
          <w:sz w:val="22"/>
          <w14:ligatures w14:val="standardContextual"/>
        </w:rPr>
      </w:pPr>
      <w:hyperlink w:anchor="_Toc142925073" w:history="1">
        <w:r w:rsidRPr="00D8451A">
          <w:rPr>
            <w:rStyle w:val="Hyperlink"/>
          </w:rPr>
          <w:t>OBJECTION 7: OCC objects because the Staff Report erred by using the historical Gross National Product (“GNP”) growth rate in modeling the long-term growth rate for the multistage discounted cash flow (“DCF”) model. The use of the historical GNP growth rate for the DCF analysis leads to a rate of return that is too high and results in unjust and unreasonable rates to consumers in violation of R.C. 4905.22, 4909.15, 4909.154, 4909.17 and 4909.18.</w:t>
        </w:r>
        <w:r>
          <w:rPr>
            <w:webHidden/>
          </w:rPr>
          <w:tab/>
        </w:r>
        <w:r>
          <w:rPr>
            <w:webHidden/>
          </w:rPr>
          <w:fldChar w:fldCharType="begin"/>
        </w:r>
        <w:r>
          <w:rPr>
            <w:webHidden/>
          </w:rPr>
          <w:instrText xml:space="preserve"> PAGEREF _Toc142925073 \h </w:instrText>
        </w:r>
        <w:r>
          <w:rPr>
            <w:webHidden/>
          </w:rPr>
          <w:fldChar w:fldCharType="separate"/>
        </w:r>
        <w:r>
          <w:rPr>
            <w:webHidden/>
          </w:rPr>
          <w:t>9</w:t>
        </w:r>
        <w:r>
          <w:rPr>
            <w:webHidden/>
          </w:rPr>
          <w:fldChar w:fldCharType="end"/>
        </w:r>
      </w:hyperlink>
    </w:p>
    <w:p w:rsidR="00EC404A" w14:paraId="0F2082DF" w14:textId="77DBFDAC">
      <w:pPr>
        <w:pStyle w:val="TOC3"/>
        <w:rPr>
          <w:rFonts w:asciiTheme="minorHAnsi" w:eastAsiaTheme="minorEastAsia" w:hAnsiTheme="minorHAnsi" w:cstheme="minorBidi"/>
          <w:bCs w:val="0"/>
          <w:color w:val="auto"/>
          <w:kern w:val="2"/>
          <w:sz w:val="22"/>
          <w14:ligatures w14:val="standardContextual"/>
        </w:rPr>
      </w:pPr>
      <w:hyperlink w:anchor="_Toc142925074" w:history="1">
        <w:r w:rsidRPr="00D8451A">
          <w:rPr>
            <w:rStyle w:val="Hyperlink"/>
          </w:rPr>
          <w:t>OBJECTION 8: OCC objects because the Staff Report erred by using the yields of the 20-year U.S. Treasury Bonds as the risk-free rate used in the Capital Asset Pricing Model (“CAPM”). The inclusion of the yields of 20-year U.S. Treasury Bonds in calculating the risk-free rate overstates the estimated cost of equity of Aqua under the CAPM analysis causing a rate of return that is too high and results in unjust and unreasonable rates to consumers in violation of R.C. 4905.22, 4909.15, 4909.154, 4909.17 and 4909.18.</w:t>
        </w:r>
        <w:r>
          <w:rPr>
            <w:webHidden/>
          </w:rPr>
          <w:tab/>
        </w:r>
        <w:r>
          <w:rPr>
            <w:webHidden/>
          </w:rPr>
          <w:fldChar w:fldCharType="begin"/>
        </w:r>
        <w:r>
          <w:rPr>
            <w:webHidden/>
          </w:rPr>
          <w:instrText xml:space="preserve"> PAGEREF _Toc142925074 \h </w:instrText>
        </w:r>
        <w:r>
          <w:rPr>
            <w:webHidden/>
          </w:rPr>
          <w:fldChar w:fldCharType="separate"/>
        </w:r>
        <w:r>
          <w:rPr>
            <w:webHidden/>
          </w:rPr>
          <w:t>11</w:t>
        </w:r>
        <w:r>
          <w:rPr>
            <w:webHidden/>
          </w:rPr>
          <w:fldChar w:fldCharType="end"/>
        </w:r>
      </w:hyperlink>
    </w:p>
    <w:p w:rsidR="00EC404A" w14:paraId="6D4958C9" w14:textId="4D752116">
      <w:pPr>
        <w:pStyle w:val="TOC3"/>
        <w:rPr>
          <w:rFonts w:asciiTheme="minorHAnsi" w:eastAsiaTheme="minorEastAsia" w:hAnsiTheme="minorHAnsi" w:cstheme="minorBidi"/>
          <w:bCs w:val="0"/>
          <w:color w:val="auto"/>
          <w:kern w:val="2"/>
          <w:sz w:val="22"/>
          <w14:ligatures w14:val="standardContextual"/>
        </w:rPr>
      </w:pPr>
      <w:hyperlink w:anchor="_Toc142925075" w:history="1">
        <w:r w:rsidRPr="00D8451A">
          <w:rPr>
            <w:rStyle w:val="Hyperlink"/>
          </w:rPr>
          <w:t>OBJECTION 9: OCC objects because the Staff Report erred by using the historical return in the calculation of market risk premium in the Capital Asset Pricing Model (“CAPM”). The use of the historical return overstates the estimated cost of equity of Aqua under the CAPM analysis causing a rate of return that is too high and results in unjust and unreasonable rates to consumers in violation of R.C. 4905.22, 4909.15, 4909.154, 4909.17 and 4909.18.</w:t>
        </w:r>
        <w:r>
          <w:rPr>
            <w:webHidden/>
          </w:rPr>
          <w:tab/>
        </w:r>
        <w:r>
          <w:rPr>
            <w:webHidden/>
          </w:rPr>
          <w:fldChar w:fldCharType="begin"/>
        </w:r>
        <w:r>
          <w:rPr>
            <w:webHidden/>
          </w:rPr>
          <w:instrText xml:space="preserve"> PAGEREF _Toc142925075 \h </w:instrText>
        </w:r>
        <w:r>
          <w:rPr>
            <w:webHidden/>
          </w:rPr>
          <w:fldChar w:fldCharType="separate"/>
        </w:r>
        <w:r>
          <w:rPr>
            <w:webHidden/>
          </w:rPr>
          <w:t>12</w:t>
        </w:r>
        <w:r>
          <w:rPr>
            <w:webHidden/>
          </w:rPr>
          <w:fldChar w:fldCharType="end"/>
        </w:r>
      </w:hyperlink>
    </w:p>
    <w:p w:rsidR="00EC404A" w14:paraId="31E00491" w14:textId="126E3E5E">
      <w:pPr>
        <w:pStyle w:val="TOC3"/>
        <w:rPr>
          <w:rFonts w:asciiTheme="minorHAnsi" w:eastAsiaTheme="minorEastAsia" w:hAnsiTheme="minorHAnsi" w:cstheme="minorBidi"/>
          <w:bCs w:val="0"/>
          <w:color w:val="auto"/>
          <w:kern w:val="2"/>
          <w:sz w:val="22"/>
          <w14:ligatures w14:val="standardContextual"/>
        </w:rPr>
      </w:pPr>
      <w:hyperlink w:anchor="_Toc142925076" w:history="1">
        <w:r w:rsidRPr="00D8451A">
          <w:rPr>
            <w:rStyle w:val="Hyperlink"/>
          </w:rPr>
          <w:t>OBJECTION 10: OCC objects because the Staff Report erred by including the results of Comparable Earnings (“CE”) analysis, such as the estimated return on equity of 10.11% earned by companies other than water utilities with different business and financial risks from a water utility in calculating the cost of equity. Including the CE model overstates the cost of equity of Aqua causing a rate of return that is too high and results in unjust and unreasonable rates to consumers in violation of R.C. 4905.22, 4909.15, 4909.154, 4909.17 and 4909.18.</w:t>
        </w:r>
        <w:r>
          <w:rPr>
            <w:webHidden/>
          </w:rPr>
          <w:tab/>
        </w:r>
        <w:r>
          <w:rPr>
            <w:webHidden/>
          </w:rPr>
          <w:fldChar w:fldCharType="begin"/>
        </w:r>
        <w:r>
          <w:rPr>
            <w:webHidden/>
          </w:rPr>
          <w:instrText xml:space="preserve"> PAGEREF _Toc142925076 \h </w:instrText>
        </w:r>
        <w:r>
          <w:rPr>
            <w:webHidden/>
          </w:rPr>
          <w:fldChar w:fldCharType="separate"/>
        </w:r>
        <w:r>
          <w:rPr>
            <w:webHidden/>
          </w:rPr>
          <w:t>14</w:t>
        </w:r>
        <w:r>
          <w:rPr>
            <w:webHidden/>
          </w:rPr>
          <w:fldChar w:fldCharType="end"/>
        </w:r>
      </w:hyperlink>
    </w:p>
    <w:p w:rsidR="00EC404A" w14:paraId="7A1BF7BA" w14:textId="131288B7">
      <w:pPr>
        <w:pStyle w:val="TOC3"/>
        <w:rPr>
          <w:rFonts w:asciiTheme="minorHAnsi" w:eastAsiaTheme="minorEastAsia" w:hAnsiTheme="minorHAnsi" w:cstheme="minorBidi"/>
          <w:bCs w:val="0"/>
          <w:color w:val="auto"/>
          <w:kern w:val="2"/>
          <w:sz w:val="22"/>
          <w14:ligatures w14:val="standardContextual"/>
        </w:rPr>
      </w:pPr>
      <w:hyperlink w:anchor="_Toc142925077" w:history="1">
        <w:r w:rsidRPr="00D8451A">
          <w:rPr>
            <w:rStyle w:val="Hyperlink"/>
          </w:rPr>
          <w:t>OBJECTION 11: OCC objects because the Staff Report inappropriately increased the cost of equity by allowing an adjustment for equity issuance and other costs, causing a recommended cost of equity that is too high and thus results in unjust and unreasonable rates for consumers in violation of R.C. 4905.22, 4909.15, 4909.154, 4909.17 and 4909.18.</w:t>
        </w:r>
        <w:r>
          <w:rPr>
            <w:webHidden/>
          </w:rPr>
          <w:tab/>
        </w:r>
        <w:r>
          <w:rPr>
            <w:webHidden/>
          </w:rPr>
          <w:fldChar w:fldCharType="begin"/>
        </w:r>
        <w:r>
          <w:rPr>
            <w:webHidden/>
          </w:rPr>
          <w:instrText xml:space="preserve"> PAGEREF _Toc142925077 \h </w:instrText>
        </w:r>
        <w:r>
          <w:rPr>
            <w:webHidden/>
          </w:rPr>
          <w:fldChar w:fldCharType="separate"/>
        </w:r>
        <w:r>
          <w:rPr>
            <w:webHidden/>
          </w:rPr>
          <w:t>15</w:t>
        </w:r>
        <w:r>
          <w:rPr>
            <w:webHidden/>
          </w:rPr>
          <w:fldChar w:fldCharType="end"/>
        </w:r>
      </w:hyperlink>
    </w:p>
    <w:p w:rsidR="00EC404A" w14:paraId="1DFB9E99" w14:textId="2AFC3436">
      <w:pPr>
        <w:pStyle w:val="TOC3"/>
        <w:rPr>
          <w:rFonts w:asciiTheme="minorHAnsi" w:eastAsiaTheme="minorEastAsia" w:hAnsiTheme="minorHAnsi" w:cstheme="minorBidi"/>
          <w:bCs w:val="0"/>
          <w:color w:val="auto"/>
          <w:kern w:val="2"/>
          <w:sz w:val="22"/>
          <w14:ligatures w14:val="standardContextual"/>
        </w:rPr>
      </w:pPr>
      <w:hyperlink w:anchor="_Toc142925078" w:history="1">
        <w:r w:rsidRPr="00D8451A">
          <w:rPr>
            <w:rStyle w:val="Hyperlink"/>
          </w:rPr>
          <w:t>OBJECTION 12: OCC objects because the Staff Report’s recommended rate of return range of 6.49% to 7.01% is too high based on current market conditions and Aqua’s business and financial risks, resulting in rates that are too high and are unjust and unreasonable for consumers in violation of R.C. 4905.22, 4909.15, 4909.154, 4909.17 and 4909.18. The Staff Report should have recommended a rate of return of 6.47% or lower.</w:t>
        </w:r>
        <w:r>
          <w:rPr>
            <w:webHidden/>
          </w:rPr>
          <w:tab/>
        </w:r>
        <w:r>
          <w:rPr>
            <w:webHidden/>
          </w:rPr>
          <w:fldChar w:fldCharType="begin"/>
        </w:r>
        <w:r>
          <w:rPr>
            <w:webHidden/>
          </w:rPr>
          <w:instrText xml:space="preserve"> PAGEREF _Toc142925078 \h </w:instrText>
        </w:r>
        <w:r>
          <w:rPr>
            <w:webHidden/>
          </w:rPr>
          <w:fldChar w:fldCharType="separate"/>
        </w:r>
        <w:r>
          <w:rPr>
            <w:webHidden/>
          </w:rPr>
          <w:t>16</w:t>
        </w:r>
        <w:r>
          <w:rPr>
            <w:webHidden/>
          </w:rPr>
          <w:fldChar w:fldCharType="end"/>
        </w:r>
      </w:hyperlink>
    </w:p>
    <w:p w:rsidR="00EC404A" w14:paraId="59000928" w14:textId="7C2EC484">
      <w:pPr>
        <w:pStyle w:val="TOC2"/>
        <w:rPr>
          <w:rFonts w:asciiTheme="minorHAnsi" w:eastAsiaTheme="minorEastAsia" w:hAnsiTheme="minorHAnsi" w:cstheme="minorBidi"/>
          <w:bCs w:val="0"/>
          <w:color w:val="auto"/>
          <w:kern w:val="2"/>
          <w:sz w:val="22"/>
          <w14:ligatures w14:val="standardContextual"/>
        </w:rPr>
      </w:pPr>
      <w:hyperlink w:anchor="_Toc142925079" w:history="1">
        <w:r w:rsidRPr="00D8451A">
          <w:rPr>
            <w:rStyle w:val="Hyperlink"/>
          </w:rPr>
          <w:t>C.</w:t>
        </w:r>
        <w:r>
          <w:rPr>
            <w:rFonts w:asciiTheme="minorHAnsi" w:eastAsiaTheme="minorEastAsia" w:hAnsiTheme="minorHAnsi" w:cstheme="minorBidi"/>
            <w:bCs w:val="0"/>
            <w:color w:val="auto"/>
            <w:kern w:val="2"/>
            <w:sz w:val="22"/>
            <w14:ligatures w14:val="standardContextual"/>
          </w:rPr>
          <w:tab/>
        </w:r>
        <w:r w:rsidRPr="00D8451A">
          <w:rPr>
            <w:rStyle w:val="Hyperlink"/>
          </w:rPr>
          <w:t>Service Monitoring and Enforcement</w:t>
        </w:r>
        <w:r>
          <w:rPr>
            <w:webHidden/>
          </w:rPr>
          <w:tab/>
        </w:r>
        <w:r>
          <w:rPr>
            <w:webHidden/>
          </w:rPr>
          <w:fldChar w:fldCharType="begin"/>
        </w:r>
        <w:r>
          <w:rPr>
            <w:webHidden/>
          </w:rPr>
          <w:instrText xml:space="preserve"> PAGEREF _Toc142925079 \h </w:instrText>
        </w:r>
        <w:r>
          <w:rPr>
            <w:webHidden/>
          </w:rPr>
          <w:fldChar w:fldCharType="separate"/>
        </w:r>
        <w:r>
          <w:rPr>
            <w:webHidden/>
          </w:rPr>
          <w:t>18</w:t>
        </w:r>
        <w:r>
          <w:rPr>
            <w:webHidden/>
          </w:rPr>
          <w:fldChar w:fldCharType="end"/>
        </w:r>
      </w:hyperlink>
    </w:p>
    <w:p w:rsidR="00EC404A" w14:paraId="716C187F" w14:textId="2DEB2814">
      <w:pPr>
        <w:pStyle w:val="TOC3"/>
        <w:rPr>
          <w:rFonts w:asciiTheme="minorHAnsi" w:eastAsiaTheme="minorEastAsia" w:hAnsiTheme="minorHAnsi" w:cstheme="minorBidi"/>
          <w:bCs w:val="0"/>
          <w:color w:val="auto"/>
          <w:kern w:val="2"/>
          <w:sz w:val="22"/>
          <w14:ligatures w14:val="standardContextual"/>
        </w:rPr>
      </w:pPr>
      <w:hyperlink w:anchor="_Toc142925080" w:history="1">
        <w:r w:rsidRPr="00D8451A">
          <w:rPr>
            <w:rStyle w:val="Hyperlink"/>
          </w:rPr>
          <w:t>OBJECTION 13: OCC objects because the Staff erred when it failed to include a detailed analysis of Aqua’s service disconnections for non-payment, which is needed to protect at-risk consumers.</w:t>
        </w:r>
        <w:r>
          <w:rPr>
            <w:webHidden/>
          </w:rPr>
          <w:tab/>
        </w:r>
        <w:r>
          <w:rPr>
            <w:webHidden/>
          </w:rPr>
          <w:fldChar w:fldCharType="begin"/>
        </w:r>
        <w:r>
          <w:rPr>
            <w:webHidden/>
          </w:rPr>
          <w:instrText xml:space="preserve"> PAGEREF _Toc142925080 \h </w:instrText>
        </w:r>
        <w:r>
          <w:rPr>
            <w:webHidden/>
          </w:rPr>
          <w:fldChar w:fldCharType="separate"/>
        </w:r>
        <w:r>
          <w:rPr>
            <w:webHidden/>
          </w:rPr>
          <w:t>18</w:t>
        </w:r>
        <w:r>
          <w:rPr>
            <w:webHidden/>
          </w:rPr>
          <w:fldChar w:fldCharType="end"/>
        </w:r>
      </w:hyperlink>
    </w:p>
    <w:p w:rsidR="00EC404A" w14:paraId="5AF4BF97" w14:textId="26B04CBA">
      <w:pPr>
        <w:pStyle w:val="TOC3"/>
        <w:rPr>
          <w:rFonts w:asciiTheme="minorHAnsi" w:eastAsiaTheme="minorEastAsia" w:hAnsiTheme="minorHAnsi" w:cstheme="minorBidi"/>
          <w:bCs w:val="0"/>
          <w:color w:val="auto"/>
          <w:kern w:val="2"/>
          <w:sz w:val="22"/>
          <w14:ligatures w14:val="standardContextual"/>
        </w:rPr>
      </w:pPr>
      <w:hyperlink w:anchor="_Toc142925081" w:history="1">
        <w:r w:rsidRPr="00D8451A">
          <w:rPr>
            <w:rStyle w:val="Hyperlink"/>
          </w:rPr>
          <w:t>OBJECTION 14: OCC objects because the Staff Report erred by failing to perform a detailed analysis of the PUCO’s consumer call center contacts regarding Aqua, which is needed for consumer protection.</w:t>
        </w:r>
        <w:r>
          <w:rPr>
            <w:webHidden/>
          </w:rPr>
          <w:tab/>
        </w:r>
        <w:r>
          <w:rPr>
            <w:webHidden/>
          </w:rPr>
          <w:fldChar w:fldCharType="begin"/>
        </w:r>
        <w:r>
          <w:rPr>
            <w:webHidden/>
          </w:rPr>
          <w:instrText xml:space="preserve"> PAGEREF _Toc142925081 \h </w:instrText>
        </w:r>
        <w:r>
          <w:rPr>
            <w:webHidden/>
          </w:rPr>
          <w:fldChar w:fldCharType="separate"/>
        </w:r>
        <w:r>
          <w:rPr>
            <w:webHidden/>
          </w:rPr>
          <w:t>19</w:t>
        </w:r>
        <w:r>
          <w:rPr>
            <w:webHidden/>
          </w:rPr>
          <w:fldChar w:fldCharType="end"/>
        </w:r>
      </w:hyperlink>
    </w:p>
    <w:p w:rsidR="00EC404A" w14:paraId="7A66DCA4" w14:textId="68C1A989">
      <w:pPr>
        <w:pStyle w:val="TOC3"/>
        <w:rPr>
          <w:rFonts w:asciiTheme="minorHAnsi" w:eastAsiaTheme="minorEastAsia" w:hAnsiTheme="minorHAnsi" w:cstheme="minorBidi"/>
          <w:bCs w:val="0"/>
          <w:color w:val="auto"/>
          <w:kern w:val="2"/>
          <w:sz w:val="22"/>
          <w14:ligatures w14:val="standardContextual"/>
        </w:rPr>
      </w:pPr>
      <w:hyperlink w:anchor="_Toc142925082" w:history="1">
        <w:r w:rsidRPr="00D8451A">
          <w:rPr>
            <w:rStyle w:val="Hyperlink"/>
          </w:rPr>
          <w:t>OBJECTION 15: The PUCO Staff erred by not recommending that annual shareholder funding of $20,000 or more be provided as part of its application in this case for a bill payment assistance program to assist low-income customers throughout its Ohio service territory to prevent disconnection of water service.</w:t>
        </w:r>
        <w:r>
          <w:rPr>
            <w:webHidden/>
          </w:rPr>
          <w:tab/>
        </w:r>
        <w:r>
          <w:rPr>
            <w:webHidden/>
          </w:rPr>
          <w:fldChar w:fldCharType="begin"/>
        </w:r>
        <w:r>
          <w:rPr>
            <w:webHidden/>
          </w:rPr>
          <w:instrText xml:space="preserve"> PAGEREF _Toc142925082 \h </w:instrText>
        </w:r>
        <w:r>
          <w:rPr>
            <w:webHidden/>
          </w:rPr>
          <w:fldChar w:fldCharType="separate"/>
        </w:r>
        <w:r>
          <w:rPr>
            <w:webHidden/>
          </w:rPr>
          <w:t>21</w:t>
        </w:r>
        <w:r>
          <w:rPr>
            <w:webHidden/>
          </w:rPr>
          <w:fldChar w:fldCharType="end"/>
        </w:r>
      </w:hyperlink>
    </w:p>
    <w:p w:rsidR="00EC404A" w14:paraId="572B8925" w14:textId="14865580">
      <w:pPr>
        <w:pStyle w:val="TOC3"/>
        <w:rPr>
          <w:rFonts w:asciiTheme="minorHAnsi" w:eastAsiaTheme="minorEastAsia" w:hAnsiTheme="minorHAnsi" w:cstheme="minorBidi"/>
          <w:bCs w:val="0"/>
          <w:color w:val="auto"/>
          <w:kern w:val="2"/>
          <w:sz w:val="22"/>
          <w14:ligatures w14:val="standardContextual"/>
        </w:rPr>
      </w:pPr>
      <w:hyperlink w:anchor="_Toc142925083" w:history="1">
        <w:r w:rsidRPr="00D8451A">
          <w:rPr>
            <w:rStyle w:val="Hyperlink"/>
          </w:rPr>
          <w:t>OBJECTION 16: The PUCO Staff erred by not requiring Aqua to provide in the public domain</w:t>
        </w:r>
        <w:r>
          <w:rPr>
            <w:webHidden/>
          </w:rPr>
          <w:tab/>
        </w:r>
        <w:r>
          <w:rPr>
            <w:webHidden/>
          </w:rPr>
          <w:fldChar w:fldCharType="begin"/>
        </w:r>
        <w:r>
          <w:rPr>
            <w:webHidden/>
          </w:rPr>
          <w:instrText xml:space="preserve"> PAGEREF _Toc142925083 \h </w:instrText>
        </w:r>
        <w:r>
          <w:rPr>
            <w:webHidden/>
          </w:rPr>
          <w:fldChar w:fldCharType="separate"/>
        </w:r>
        <w:r>
          <w:rPr>
            <w:webHidden/>
          </w:rPr>
          <w:t>21</w:t>
        </w:r>
        <w:r>
          <w:rPr>
            <w:webHidden/>
          </w:rPr>
          <w:fldChar w:fldCharType="end"/>
        </w:r>
      </w:hyperlink>
    </w:p>
    <w:p w:rsidR="00EC404A" w14:paraId="3C393D2A" w14:textId="17391CBE">
      <w:pPr>
        <w:pStyle w:val="TOC3"/>
        <w:rPr>
          <w:rFonts w:asciiTheme="minorHAnsi" w:eastAsiaTheme="minorEastAsia" w:hAnsiTheme="minorHAnsi" w:cstheme="minorBidi"/>
          <w:bCs w:val="0"/>
          <w:color w:val="auto"/>
          <w:kern w:val="2"/>
          <w:sz w:val="22"/>
          <w14:ligatures w14:val="standardContextual"/>
        </w:rPr>
      </w:pPr>
      <w:hyperlink w:anchor="_Toc142925084" w:history="1">
        <w:r w:rsidRPr="00D8451A">
          <w:rPr>
            <w:rStyle w:val="Hyperlink"/>
          </w:rPr>
          <w:t>OBJECTION 17: The PUCO Staff erred by failing to recommend, for the public convenience, that there be virtual local hearings scheduled for Aqua consumers in this case and in future Aqua rate cases as consumers are greatly affected by outcomes in rate cases.</w:t>
        </w:r>
        <w:r>
          <w:rPr>
            <w:webHidden/>
          </w:rPr>
          <w:tab/>
        </w:r>
        <w:r>
          <w:rPr>
            <w:webHidden/>
          </w:rPr>
          <w:fldChar w:fldCharType="begin"/>
        </w:r>
        <w:r>
          <w:rPr>
            <w:webHidden/>
          </w:rPr>
          <w:instrText xml:space="preserve"> PAGEREF _Toc142925084 \h </w:instrText>
        </w:r>
        <w:r>
          <w:rPr>
            <w:webHidden/>
          </w:rPr>
          <w:fldChar w:fldCharType="separate"/>
        </w:r>
        <w:r>
          <w:rPr>
            <w:webHidden/>
          </w:rPr>
          <w:t>21</w:t>
        </w:r>
        <w:r>
          <w:rPr>
            <w:webHidden/>
          </w:rPr>
          <w:fldChar w:fldCharType="end"/>
        </w:r>
      </w:hyperlink>
    </w:p>
    <w:p w:rsidR="00EC404A" w14:paraId="7AEC3D3C" w14:textId="40A4037E">
      <w:pPr>
        <w:pStyle w:val="TOC1"/>
        <w:rPr>
          <w:rFonts w:asciiTheme="minorHAnsi" w:eastAsiaTheme="minorEastAsia" w:hAnsiTheme="minorHAnsi"/>
          <w:noProof/>
          <w:kern w:val="2"/>
          <w:sz w:val="22"/>
          <w14:ligatures w14:val="standardContextual"/>
        </w:rPr>
      </w:pPr>
      <w:hyperlink w:anchor="_Toc142925085" w:history="1">
        <w:r w:rsidRPr="00D8451A">
          <w:rPr>
            <w:rStyle w:val="Hyperlink"/>
            <w:noProof/>
          </w:rPr>
          <w:t>IV.</w:t>
        </w:r>
        <w:r>
          <w:rPr>
            <w:rFonts w:asciiTheme="minorHAnsi" w:eastAsiaTheme="minorEastAsia" w:hAnsiTheme="minorHAnsi"/>
            <w:noProof/>
            <w:kern w:val="2"/>
            <w:sz w:val="22"/>
            <w14:ligatures w14:val="standardContextual"/>
          </w:rPr>
          <w:tab/>
        </w:r>
        <w:r w:rsidRPr="00D8451A">
          <w:rPr>
            <w:rStyle w:val="Hyperlink"/>
            <w:noProof/>
          </w:rPr>
          <w:t>CONCLUSION</w:t>
        </w:r>
        <w:r>
          <w:rPr>
            <w:noProof/>
            <w:webHidden/>
          </w:rPr>
          <w:tab/>
        </w:r>
        <w:r>
          <w:rPr>
            <w:noProof/>
            <w:webHidden/>
          </w:rPr>
          <w:fldChar w:fldCharType="begin"/>
        </w:r>
        <w:r>
          <w:rPr>
            <w:noProof/>
            <w:webHidden/>
          </w:rPr>
          <w:instrText xml:space="preserve"> PAGEREF _Toc142925085 \h </w:instrText>
        </w:r>
        <w:r>
          <w:rPr>
            <w:noProof/>
            <w:webHidden/>
          </w:rPr>
          <w:fldChar w:fldCharType="separate"/>
        </w:r>
        <w:r>
          <w:rPr>
            <w:noProof/>
            <w:webHidden/>
          </w:rPr>
          <w:t>21</w:t>
        </w:r>
        <w:r>
          <w:rPr>
            <w:noProof/>
            <w:webHidden/>
          </w:rPr>
          <w:fldChar w:fldCharType="end"/>
        </w:r>
      </w:hyperlink>
    </w:p>
    <w:p w:rsidR="00AC4DB5" w:rsidRPr="00AC4DB5" w:rsidP="00AC4DB5" w14:paraId="7311816F" w14:textId="53F623DA">
      <w:pPr>
        <w:pStyle w:val="HTMLPreformatted"/>
        <w:jc w:val="right"/>
        <w:rPr>
          <w:rFonts w:ascii="Times New Roman" w:hAnsi="Times New Roman" w:cs="Times New Roman"/>
          <w:b/>
          <w:bCs/>
          <w:sz w:val="24"/>
          <w:szCs w:val="24"/>
        </w:rPr>
        <w:sectPr w:rsidSect="0084279C">
          <w:footerReference w:type="default" r:id="rId15"/>
          <w:pgSz w:w="12240" w:h="15840"/>
          <w:pgMar w:top="1440" w:right="1800" w:bottom="1440" w:left="1800" w:header="720" w:footer="720" w:gutter="0"/>
          <w:pgNumType w:fmt="lowerRoman" w:start="1"/>
          <w:cols w:space="720"/>
          <w:docGrid w:linePitch="360"/>
        </w:sectPr>
      </w:pPr>
      <w:r>
        <w:rPr>
          <w:rFonts w:ascii="Times New Roman" w:hAnsi="Times New Roman" w:eastAsiaTheme="minorHAnsi" w:cs="Times New Roman"/>
          <w:b/>
          <w:bCs/>
          <w:sz w:val="24"/>
          <w:szCs w:val="24"/>
        </w:rPr>
        <w:fldChar w:fldCharType="end"/>
      </w:r>
    </w:p>
    <w:p w:rsidR="00BC0D5D" w:rsidRPr="00E061E2" w:rsidP="00BC0D5D" w14:paraId="40D1BEC8" w14:textId="77777777">
      <w:pPr>
        <w:pStyle w:val="HTMLPreformatted"/>
        <w:jc w:val="center"/>
        <w:rPr>
          <w:rFonts w:ascii="Times New Roman" w:hAnsi="Times New Roman" w:cs="Times New Roman"/>
          <w:b/>
          <w:bCs/>
          <w:sz w:val="24"/>
          <w:szCs w:val="24"/>
        </w:rPr>
      </w:pPr>
      <w:r w:rsidRPr="00E061E2">
        <w:rPr>
          <w:rFonts w:ascii="Times New Roman" w:hAnsi="Times New Roman" w:cs="Times New Roman"/>
          <w:b/>
          <w:bCs/>
          <w:sz w:val="24"/>
          <w:szCs w:val="24"/>
        </w:rPr>
        <w:t>BEFORE</w:t>
      </w:r>
    </w:p>
    <w:p w:rsidR="00BC0D5D" w:rsidRPr="00E061E2" w:rsidP="00BC0D5D" w14:paraId="4990D2F3" w14:textId="77777777">
      <w:pPr>
        <w:pStyle w:val="HTMLPreformatted"/>
        <w:jc w:val="center"/>
        <w:rPr>
          <w:rFonts w:ascii="Times New Roman" w:hAnsi="Times New Roman" w:cs="Times New Roman"/>
          <w:sz w:val="24"/>
          <w:szCs w:val="24"/>
        </w:rPr>
      </w:pPr>
      <w:r w:rsidRPr="00E061E2">
        <w:rPr>
          <w:rFonts w:ascii="Times New Roman" w:hAnsi="Times New Roman" w:cs="Times New Roman"/>
          <w:b/>
          <w:bCs/>
          <w:sz w:val="24"/>
          <w:szCs w:val="24"/>
        </w:rPr>
        <w:t>THE PUBLIC UTILITIES COMMISSION OF OHIO</w:t>
      </w:r>
    </w:p>
    <w:p w:rsidR="00BC0D5D" w:rsidRPr="00E061E2" w:rsidP="00BC0D5D" w14:paraId="53F99B61"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05E3DD3E" w14:textId="77777777" w:rsidTr="00BB0054">
        <w:tblPrEx>
          <w:tblW w:w="9092" w:type="dxa"/>
          <w:tblLook w:val="01E0"/>
        </w:tblPrEx>
        <w:trPr>
          <w:trHeight w:val="807"/>
        </w:trPr>
        <w:tc>
          <w:tcPr>
            <w:tcW w:w="4332" w:type="dxa"/>
            <w:shd w:val="clear" w:color="auto" w:fill="auto"/>
          </w:tcPr>
          <w:p w:rsidR="00BC0D5D" w:rsidP="00BB0054" w14:paraId="29CAAFAE"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 xml:space="preserve">In the Matter of the Application of </w:t>
            </w:r>
          </w:p>
          <w:p w:rsidR="00BC0D5D" w:rsidP="00BB0054" w14:paraId="5FC27F13" w14:textId="77777777">
            <w:pPr>
              <w:pStyle w:val="HTMLPreformatted"/>
              <w:rPr>
                <w:rFonts w:ascii="Times New Roman" w:hAnsi="Times New Roman" w:cs="Times New Roman"/>
                <w:sz w:val="24"/>
                <w:szCs w:val="24"/>
              </w:rPr>
            </w:pPr>
            <w:r>
              <w:rPr>
                <w:rFonts w:ascii="Times New Roman" w:hAnsi="Times New Roman" w:cs="Times New Roman"/>
                <w:sz w:val="24"/>
                <w:szCs w:val="24"/>
              </w:rPr>
              <w:t xml:space="preserve">Aqua Ohio, Inc., to Increase its </w:t>
            </w:r>
          </w:p>
          <w:p w:rsidR="00BC0D5D" w:rsidP="00BB0054" w14:paraId="4F344F80" w14:textId="465C848C">
            <w:pPr>
              <w:pStyle w:val="HTMLPreformatted"/>
              <w:rPr>
                <w:rFonts w:ascii="Times New Roman" w:hAnsi="Times New Roman" w:cs="Times New Roman"/>
                <w:sz w:val="24"/>
                <w:szCs w:val="24"/>
              </w:rPr>
            </w:pPr>
            <w:r>
              <w:rPr>
                <w:rFonts w:ascii="Times New Roman" w:hAnsi="Times New Roman" w:cs="Times New Roman"/>
                <w:sz w:val="24"/>
                <w:szCs w:val="24"/>
              </w:rPr>
              <w:t>Rates and Charges for its Waterworks Service.</w:t>
            </w:r>
          </w:p>
          <w:p w:rsidR="00BC0D5D" w:rsidRPr="00E061E2" w:rsidP="00BB0054" w14:paraId="308F5795" w14:textId="6C6FC570">
            <w:pPr>
              <w:pStyle w:val="HTMLPreformatted"/>
              <w:rPr>
                <w:rFonts w:ascii="Times New Roman" w:hAnsi="Times New Roman" w:cs="Times New Roman"/>
                <w:sz w:val="24"/>
                <w:szCs w:val="24"/>
              </w:rPr>
            </w:pPr>
          </w:p>
        </w:tc>
        <w:tc>
          <w:tcPr>
            <w:tcW w:w="360" w:type="dxa"/>
            <w:shd w:val="clear" w:color="auto" w:fill="auto"/>
          </w:tcPr>
          <w:p w:rsidR="00BC0D5D" w:rsidRPr="00E061E2" w:rsidP="00BB0054" w14:paraId="061FC959"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w:t>
            </w:r>
          </w:p>
          <w:p w:rsidR="00BC0D5D" w:rsidRPr="00E061E2" w:rsidP="00BB0054" w14:paraId="0C7C1A20"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w:t>
            </w:r>
          </w:p>
          <w:p w:rsidR="00BC0D5D" w:rsidP="00BB0054" w14:paraId="1002F959"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w:t>
            </w:r>
          </w:p>
          <w:p w:rsidR="00BC0D5D" w:rsidRPr="00E061E2" w:rsidP="00E567E2" w14:paraId="7D6E44C6" w14:textId="004BF358">
            <w:pPr>
              <w:pStyle w:val="HTMLPreformatted"/>
              <w:rPr>
                <w:rFonts w:ascii="Times New Roman" w:hAnsi="Times New Roman" w:cs="Times New Roman"/>
                <w:sz w:val="24"/>
                <w:szCs w:val="24"/>
              </w:rPr>
            </w:pPr>
          </w:p>
        </w:tc>
        <w:tc>
          <w:tcPr>
            <w:tcW w:w="4400" w:type="dxa"/>
            <w:shd w:val="clear" w:color="auto" w:fill="auto"/>
          </w:tcPr>
          <w:p w:rsidR="00BC0D5D" w:rsidRPr="00E061E2" w:rsidP="00BB0054" w14:paraId="0A514829" w14:textId="77777777">
            <w:pPr>
              <w:pStyle w:val="HTMLPreformatted"/>
              <w:rPr>
                <w:rFonts w:ascii="Times New Roman" w:hAnsi="Times New Roman" w:cs="Times New Roman"/>
                <w:sz w:val="24"/>
                <w:szCs w:val="24"/>
              </w:rPr>
            </w:pPr>
          </w:p>
          <w:p w:rsidR="00BC0D5D" w:rsidRPr="00E061E2" w:rsidP="00BB0054" w14:paraId="6B49F37B" w14:textId="77777777">
            <w:pPr>
              <w:pStyle w:val="HTMLPreformatted"/>
              <w:rPr>
                <w:rFonts w:ascii="Times New Roman" w:hAnsi="Times New Roman" w:cs="Times New Roman"/>
                <w:sz w:val="24"/>
                <w:szCs w:val="24"/>
              </w:rPr>
            </w:pPr>
            <w:r w:rsidRPr="00E061E2">
              <w:rPr>
                <w:rFonts w:ascii="Times New Roman" w:hAnsi="Times New Roman" w:cs="Times New Roman"/>
                <w:sz w:val="24"/>
                <w:szCs w:val="24"/>
              </w:rPr>
              <w:t>Case No. 2</w:t>
            </w:r>
            <w:r>
              <w:rPr>
                <w:rFonts w:ascii="Times New Roman" w:hAnsi="Times New Roman" w:cs="Times New Roman"/>
                <w:sz w:val="24"/>
                <w:szCs w:val="24"/>
              </w:rPr>
              <w:t>2-1094-WW-AIR</w:t>
            </w:r>
          </w:p>
          <w:p w:rsidR="00BC0D5D" w:rsidP="00BB0054" w14:paraId="0F0EA46E" w14:textId="77777777">
            <w:pPr>
              <w:pStyle w:val="HTMLPreformatted"/>
              <w:rPr>
                <w:rFonts w:ascii="Times New Roman" w:hAnsi="Times New Roman" w:cs="Times New Roman"/>
                <w:sz w:val="24"/>
                <w:szCs w:val="24"/>
              </w:rPr>
            </w:pPr>
          </w:p>
          <w:p w:rsidR="00BC0D5D" w:rsidRPr="00E061E2" w:rsidP="00E567E2" w14:paraId="0705D5B3" w14:textId="77777777">
            <w:pPr>
              <w:pStyle w:val="HTMLPreformatted"/>
              <w:rPr>
                <w:rFonts w:ascii="Times New Roman" w:hAnsi="Times New Roman" w:cs="Times New Roman"/>
                <w:sz w:val="24"/>
                <w:szCs w:val="24"/>
              </w:rPr>
            </w:pPr>
          </w:p>
        </w:tc>
      </w:tr>
    </w:tbl>
    <w:p w:rsidR="00BC0D5D" w:rsidRPr="00E061E2" w:rsidP="00BC0D5D" w14:paraId="11AB4342" w14:textId="7CC32E90">
      <w:pPr>
        <w:pStyle w:val="HTMLPreformatted"/>
        <w:rPr>
          <w:rFonts w:ascii="Times New Roman" w:hAnsi="Times New Roman" w:cs="Times New Roman"/>
          <w:sz w:val="24"/>
          <w:szCs w:val="24"/>
        </w:rPr>
      </w:pPr>
    </w:p>
    <w:p w:rsidR="00BC0D5D" w:rsidP="00BC0D5D" w14:paraId="723FE323" w14:textId="77777777">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p>
    <w:p w:rsidR="00AE1DE5" w:rsidP="00BC0D5D" w14:paraId="317C9E45" w14:textId="681FEFE4">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OBJECTIONS TO THE PUCO STAFF REPORT</w:t>
      </w:r>
    </w:p>
    <w:p w:rsidR="00BC0D5D" w:rsidP="00BC0D5D" w14:paraId="6B7BBFB9" w14:textId="0082B594">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BY </w:t>
      </w:r>
    </w:p>
    <w:p w:rsidR="00BC0D5D" w:rsidRPr="00E061E2" w:rsidP="00BC0D5D" w14:paraId="057711A0" w14:textId="77777777">
      <w:pPr>
        <w:pBdr>
          <w:top w:val="single" w:sz="12" w:space="1" w:color="auto"/>
        </w:pBdr>
        <w:tabs>
          <w:tab w:val="left" w:pos="-720"/>
        </w:tabs>
        <w:suppressAutoHyphens/>
        <w:spacing w:after="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OFFICE OF THE OHIO CONSUMERS’ COUNSEL</w:t>
      </w:r>
    </w:p>
    <w:bookmarkEnd w:id="0"/>
    <w:p w:rsidR="00BC0D5D" w:rsidRPr="00E061E2" w:rsidP="00BC0D5D" w14:paraId="43EBCC84" w14:textId="77777777">
      <w:pPr>
        <w:pBdr>
          <w:bottom w:val="single" w:sz="12" w:space="1" w:color="auto"/>
        </w:pBdr>
        <w:tabs>
          <w:tab w:val="left" w:pos="-720"/>
        </w:tabs>
        <w:suppressAutoHyphens/>
        <w:jc w:val="center"/>
        <w:rPr>
          <w:rFonts w:ascii="Times New Roman" w:hAnsi="Times New Roman" w:cs="Times New Roman"/>
          <w:b/>
          <w:bCs/>
          <w:spacing w:val="-3"/>
          <w:sz w:val="24"/>
          <w:szCs w:val="24"/>
        </w:rPr>
      </w:pPr>
    </w:p>
    <w:p w:rsidR="00D914BB" w:rsidP="006A70BC" w14:paraId="0C3775B8" w14:textId="66DE41F9">
      <w:pPr>
        <w:pStyle w:val="Heading1"/>
      </w:pPr>
      <w:bookmarkStart w:id="1" w:name="_Toc98165609"/>
      <w:bookmarkStart w:id="2" w:name="_Toc142925061"/>
      <w:r>
        <w:t>INTRODUCTION</w:t>
      </w:r>
      <w:bookmarkEnd w:id="1"/>
      <w:bookmarkEnd w:id="2"/>
    </w:p>
    <w:p w:rsidR="008F06FE" w:rsidP="00567181" w14:paraId="7E75DB63"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Ohio’s residential utility consumers are being squeezed in all directions by inflation, rising energy costs, and increases in electric and natural gas distribution rates. Now, </w:t>
      </w:r>
      <w:r w:rsidRPr="00D914BB" w:rsidR="00D914BB">
        <w:rPr>
          <w:rFonts w:ascii="Times New Roman" w:hAnsi="Times New Roman" w:cs="Times New Roman"/>
          <w:sz w:val="24"/>
          <w:szCs w:val="24"/>
        </w:rPr>
        <w:t xml:space="preserve">Aqua Ohio, Inc. (“Aqua”) </w:t>
      </w:r>
      <w:r>
        <w:rPr>
          <w:rFonts w:ascii="Times New Roman" w:hAnsi="Times New Roman" w:cs="Times New Roman"/>
          <w:sz w:val="24"/>
          <w:szCs w:val="24"/>
        </w:rPr>
        <w:t xml:space="preserve">wants </w:t>
      </w:r>
      <w:r w:rsidRPr="00D914BB" w:rsidR="00D914BB">
        <w:rPr>
          <w:rFonts w:ascii="Times New Roman" w:hAnsi="Times New Roman" w:cs="Times New Roman"/>
          <w:sz w:val="24"/>
          <w:szCs w:val="24"/>
        </w:rPr>
        <w:t>to increase the annual amount that it charges consumers by an additional $</w:t>
      </w:r>
      <w:r w:rsidR="00D914BB">
        <w:rPr>
          <w:rFonts w:ascii="Times New Roman" w:hAnsi="Times New Roman" w:cs="Times New Roman"/>
          <w:sz w:val="24"/>
          <w:szCs w:val="24"/>
        </w:rPr>
        <w:t>9,363,601</w:t>
      </w:r>
      <w:r w:rsidRPr="00D914BB" w:rsidR="00D914BB">
        <w:rPr>
          <w:rFonts w:ascii="Times New Roman" w:hAnsi="Times New Roman" w:cs="Times New Roman"/>
          <w:sz w:val="24"/>
          <w:szCs w:val="24"/>
        </w:rPr>
        <w:t xml:space="preserve"> for water service.</w:t>
      </w:r>
      <w:r>
        <w:rPr>
          <w:rStyle w:val="FootnoteReference"/>
          <w:rFonts w:ascii="Times New Roman" w:hAnsi="Times New Roman" w:cs="Times New Roman"/>
          <w:sz w:val="24"/>
          <w:szCs w:val="24"/>
        </w:rPr>
        <w:footnoteReference w:id="2"/>
      </w:r>
      <w:r w:rsidRPr="00D914BB" w:rsidR="00D914BB">
        <w:rPr>
          <w:rFonts w:ascii="Times New Roman" w:hAnsi="Times New Roman" w:cs="Times New Roman"/>
          <w:sz w:val="24"/>
          <w:szCs w:val="24"/>
        </w:rPr>
        <w:t xml:space="preserve"> </w:t>
      </w:r>
      <w:r w:rsidR="0020009A">
        <w:rPr>
          <w:rFonts w:ascii="Times New Roman" w:hAnsi="Times New Roman" w:cs="Times New Roman"/>
          <w:sz w:val="24"/>
          <w:szCs w:val="24"/>
        </w:rPr>
        <w:t>This</w:t>
      </w:r>
      <w:r>
        <w:rPr>
          <w:rFonts w:ascii="Times New Roman" w:hAnsi="Times New Roman" w:cs="Times New Roman"/>
          <w:sz w:val="24"/>
          <w:szCs w:val="24"/>
        </w:rPr>
        <w:t xml:space="preserve"> increase</w:t>
      </w:r>
      <w:r w:rsidR="0020009A">
        <w:rPr>
          <w:rFonts w:ascii="Times New Roman" w:hAnsi="Times New Roman" w:cs="Times New Roman"/>
          <w:sz w:val="24"/>
          <w:szCs w:val="24"/>
        </w:rPr>
        <w:t xml:space="preserve"> would be </w:t>
      </w:r>
      <w:r w:rsidR="0020009A">
        <w:rPr>
          <w:rFonts w:ascii="Times New Roman" w:hAnsi="Times New Roman" w:cs="Times New Roman"/>
          <w:i/>
          <w:iCs/>
          <w:sz w:val="24"/>
          <w:szCs w:val="24"/>
        </w:rPr>
        <w:t>in addition to</w:t>
      </w:r>
      <w:r w:rsidR="0020009A">
        <w:rPr>
          <w:rFonts w:ascii="Times New Roman" w:hAnsi="Times New Roman" w:cs="Times New Roman"/>
          <w:sz w:val="24"/>
          <w:szCs w:val="24"/>
        </w:rPr>
        <w:t xml:space="preserve"> the rate increase that the PUCO authorized Aqua Ohio to charge consumers </w:t>
      </w:r>
      <w:r w:rsidRPr="00B12001" w:rsidR="0020009A">
        <w:rPr>
          <w:rFonts w:ascii="Times New Roman" w:hAnsi="Times New Roman" w:cs="Times New Roman"/>
          <w:i/>
          <w:iCs/>
          <w:sz w:val="24"/>
          <w:szCs w:val="24"/>
        </w:rPr>
        <w:t>less than a year ago</w:t>
      </w:r>
      <w:r w:rsidR="0020009A">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AC4DB5">
        <w:rPr>
          <w:rFonts w:ascii="Times New Roman" w:hAnsi="Times New Roman" w:cs="Times New Roman"/>
          <w:sz w:val="24"/>
          <w:szCs w:val="24"/>
        </w:rPr>
        <w:t xml:space="preserve"> </w:t>
      </w:r>
    </w:p>
    <w:p w:rsidR="00D914BB" w:rsidRPr="00D914BB" w:rsidP="00567181" w14:paraId="46ABCBE4" w14:textId="7E8670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encouraging news for consumers, t</w:t>
      </w:r>
      <w:r w:rsidRPr="00D914BB">
        <w:rPr>
          <w:rFonts w:ascii="Times New Roman" w:hAnsi="Times New Roman" w:cs="Times New Roman"/>
          <w:sz w:val="24"/>
          <w:szCs w:val="24"/>
        </w:rPr>
        <w:t>he</w:t>
      </w:r>
      <w:r w:rsidR="00567181">
        <w:rPr>
          <w:rFonts w:ascii="Times New Roman" w:hAnsi="Times New Roman" w:cs="Times New Roman"/>
          <w:sz w:val="24"/>
          <w:szCs w:val="24"/>
        </w:rPr>
        <w:t xml:space="preserve"> </w:t>
      </w:r>
      <w:r w:rsidRPr="00D914BB" w:rsidR="00567181">
        <w:rPr>
          <w:rFonts w:ascii="Times New Roman" w:hAnsi="Times New Roman" w:cs="Times New Roman"/>
          <w:sz w:val="24"/>
          <w:szCs w:val="24"/>
        </w:rPr>
        <w:t>Staff</w:t>
      </w:r>
      <w:r w:rsidR="00567181">
        <w:rPr>
          <w:rFonts w:ascii="Times New Roman" w:hAnsi="Times New Roman" w:cs="Times New Roman"/>
          <w:sz w:val="24"/>
          <w:szCs w:val="24"/>
        </w:rPr>
        <w:t xml:space="preserve"> of the</w:t>
      </w:r>
      <w:r w:rsidRPr="00D914BB">
        <w:rPr>
          <w:rFonts w:ascii="Times New Roman" w:hAnsi="Times New Roman" w:cs="Times New Roman"/>
          <w:sz w:val="24"/>
          <w:szCs w:val="24"/>
        </w:rPr>
        <w:t xml:space="preserve"> Public Utilities Commission of Ohio</w:t>
      </w:r>
      <w:r w:rsidR="00567181">
        <w:rPr>
          <w:rFonts w:ascii="Times New Roman" w:hAnsi="Times New Roman" w:cs="Times New Roman"/>
          <w:sz w:val="24"/>
          <w:szCs w:val="24"/>
        </w:rPr>
        <w:t xml:space="preserve"> (“PUCO”)</w:t>
      </w:r>
      <w:r w:rsidRPr="00D914BB">
        <w:rPr>
          <w:rFonts w:ascii="Times New Roman" w:hAnsi="Times New Roman" w:cs="Times New Roman"/>
          <w:sz w:val="24"/>
          <w:szCs w:val="24"/>
        </w:rPr>
        <w:t xml:space="preserve"> and its auditor recommend</w:t>
      </w:r>
      <w:r w:rsidR="00A72F73">
        <w:rPr>
          <w:rFonts w:ascii="Times New Roman" w:hAnsi="Times New Roman" w:cs="Times New Roman"/>
          <w:sz w:val="24"/>
          <w:szCs w:val="24"/>
        </w:rPr>
        <w:t xml:space="preserve"> that</w:t>
      </w:r>
      <w:r w:rsidRPr="00D914BB">
        <w:rPr>
          <w:rFonts w:ascii="Times New Roman" w:hAnsi="Times New Roman" w:cs="Times New Roman"/>
          <w:sz w:val="24"/>
          <w:szCs w:val="24"/>
        </w:rPr>
        <w:t xml:space="preserve"> </w:t>
      </w:r>
      <w:r w:rsidR="00567181">
        <w:rPr>
          <w:rFonts w:ascii="Times New Roman" w:hAnsi="Times New Roman" w:cs="Times New Roman"/>
          <w:sz w:val="24"/>
          <w:szCs w:val="24"/>
        </w:rPr>
        <w:t>Aqua</w:t>
      </w:r>
      <w:r w:rsidR="00A72F73">
        <w:rPr>
          <w:rFonts w:ascii="Times New Roman" w:hAnsi="Times New Roman" w:cs="Times New Roman"/>
          <w:sz w:val="24"/>
          <w:szCs w:val="24"/>
        </w:rPr>
        <w:t xml:space="preserve"> be allowed to charge</w:t>
      </w:r>
      <w:r w:rsidR="00567181">
        <w:rPr>
          <w:rFonts w:ascii="Times New Roman" w:hAnsi="Times New Roman" w:cs="Times New Roman"/>
          <w:sz w:val="24"/>
          <w:szCs w:val="24"/>
        </w:rPr>
        <w:t xml:space="preserve"> </w:t>
      </w:r>
      <w:r w:rsidRPr="00D914BB">
        <w:rPr>
          <w:rFonts w:ascii="Times New Roman" w:hAnsi="Times New Roman" w:cs="Times New Roman"/>
          <w:sz w:val="24"/>
          <w:szCs w:val="24"/>
        </w:rPr>
        <w:t>consumers</w:t>
      </w:r>
      <w:r>
        <w:rPr>
          <w:rFonts w:ascii="Times New Roman" w:hAnsi="Times New Roman" w:cs="Times New Roman"/>
          <w:sz w:val="24"/>
          <w:szCs w:val="24"/>
        </w:rPr>
        <w:t xml:space="preserve"> no more than</w:t>
      </w:r>
      <w:r w:rsidRPr="00D914BB">
        <w:rPr>
          <w:rFonts w:ascii="Times New Roman" w:hAnsi="Times New Roman" w:cs="Times New Roman"/>
          <w:sz w:val="24"/>
          <w:szCs w:val="24"/>
        </w:rPr>
        <w:t xml:space="preserve"> </w:t>
      </w:r>
      <w:r w:rsidR="00A72F73">
        <w:rPr>
          <w:rFonts w:ascii="Times New Roman" w:hAnsi="Times New Roman" w:cs="Times New Roman"/>
          <w:sz w:val="24"/>
          <w:szCs w:val="24"/>
        </w:rPr>
        <w:t xml:space="preserve">an additional </w:t>
      </w:r>
      <w:r w:rsidR="00711C95">
        <w:rPr>
          <w:rFonts w:ascii="Times New Roman" w:hAnsi="Times New Roman" w:cs="Times New Roman"/>
          <w:sz w:val="24"/>
          <w:szCs w:val="24"/>
        </w:rPr>
        <w:t xml:space="preserve">$3,425,564 </w:t>
      </w:r>
      <w:r w:rsidRPr="00D914BB">
        <w:rPr>
          <w:rFonts w:ascii="Times New Roman" w:hAnsi="Times New Roman" w:cs="Times New Roman"/>
          <w:sz w:val="24"/>
          <w:szCs w:val="24"/>
        </w:rPr>
        <w:t>million.</w:t>
      </w:r>
      <w:r>
        <w:rPr>
          <w:rStyle w:val="FootnoteReference"/>
          <w:rFonts w:ascii="Times New Roman" w:hAnsi="Times New Roman" w:cs="Times New Roman"/>
          <w:sz w:val="24"/>
          <w:szCs w:val="24"/>
        </w:rPr>
        <w:footnoteReference w:id="4"/>
      </w:r>
      <w:r w:rsidRPr="00D914BB">
        <w:rPr>
          <w:rFonts w:ascii="Times New Roman" w:hAnsi="Times New Roman" w:cs="Times New Roman"/>
          <w:sz w:val="24"/>
          <w:szCs w:val="24"/>
        </w:rPr>
        <w:t xml:space="preserve"> </w:t>
      </w:r>
      <w:r w:rsidR="00A72F73">
        <w:rPr>
          <w:rFonts w:ascii="Times New Roman" w:hAnsi="Times New Roman" w:cs="Times New Roman"/>
          <w:sz w:val="24"/>
          <w:szCs w:val="24"/>
        </w:rPr>
        <w:t>However, the</w:t>
      </w:r>
      <w:r w:rsidR="00711C95">
        <w:rPr>
          <w:rFonts w:ascii="Times New Roman" w:hAnsi="Times New Roman" w:cs="Times New Roman"/>
          <w:sz w:val="24"/>
          <w:szCs w:val="24"/>
        </w:rPr>
        <w:t xml:space="preserve"> PUCO Staff’s recommendation</w:t>
      </w:r>
      <w:r w:rsidR="00567181">
        <w:rPr>
          <w:rFonts w:ascii="Times New Roman" w:hAnsi="Times New Roman" w:cs="Times New Roman"/>
          <w:sz w:val="24"/>
          <w:szCs w:val="24"/>
        </w:rPr>
        <w:t>s</w:t>
      </w:r>
      <w:r w:rsidR="00711C95">
        <w:rPr>
          <w:rFonts w:ascii="Times New Roman" w:hAnsi="Times New Roman" w:cs="Times New Roman"/>
          <w:sz w:val="24"/>
          <w:szCs w:val="24"/>
        </w:rPr>
        <w:t xml:space="preserve"> would </w:t>
      </w:r>
      <w:r w:rsidR="008F06FE">
        <w:rPr>
          <w:rFonts w:ascii="Times New Roman" w:hAnsi="Times New Roman" w:cs="Times New Roman"/>
          <w:sz w:val="24"/>
          <w:szCs w:val="24"/>
        </w:rPr>
        <w:t xml:space="preserve">nonetheless </w:t>
      </w:r>
      <w:r w:rsidR="00711C95">
        <w:rPr>
          <w:rFonts w:ascii="Times New Roman" w:hAnsi="Times New Roman" w:cs="Times New Roman"/>
          <w:sz w:val="24"/>
          <w:szCs w:val="24"/>
        </w:rPr>
        <w:t xml:space="preserve">result in unjust and unreasonable rates for Aqua’s consumers in violation of Ohio law, including R.C. 4905.22, 4909.15, </w:t>
      </w:r>
      <w:r w:rsidR="00567181">
        <w:rPr>
          <w:rFonts w:ascii="Times New Roman" w:hAnsi="Times New Roman" w:cs="Times New Roman"/>
          <w:sz w:val="24"/>
          <w:szCs w:val="24"/>
        </w:rPr>
        <w:t>4909.154, 4909.17, and 4909.18.</w:t>
      </w:r>
      <w:r w:rsidR="00711C95">
        <w:rPr>
          <w:rFonts w:ascii="Times New Roman" w:hAnsi="Times New Roman" w:cs="Times New Roman"/>
          <w:sz w:val="24"/>
          <w:szCs w:val="24"/>
        </w:rPr>
        <w:t xml:space="preserve"> </w:t>
      </w:r>
    </w:p>
    <w:p w:rsidR="00D914BB" w:rsidRPr="00D914BB" w:rsidP="00D914BB" w14:paraId="47B9BE92" w14:textId="07E20A8D">
      <w:pPr>
        <w:spacing w:after="0" w:line="480" w:lineRule="auto"/>
        <w:ind w:firstLine="720"/>
        <w:rPr>
          <w:rFonts w:ascii="Times New Roman" w:hAnsi="Times New Roman" w:cs="Times New Roman"/>
          <w:sz w:val="24"/>
          <w:szCs w:val="24"/>
        </w:rPr>
      </w:pPr>
      <w:r w:rsidRPr="00D914BB">
        <w:rPr>
          <w:rFonts w:ascii="Times New Roman" w:hAnsi="Times New Roman" w:cs="Times New Roman"/>
          <w:sz w:val="24"/>
          <w:szCs w:val="24"/>
        </w:rPr>
        <w:t xml:space="preserve">Larkin &amp; Associates, PLLC (“Larkin”) </w:t>
      </w:r>
      <w:r w:rsidR="001455B8">
        <w:rPr>
          <w:rFonts w:ascii="Times New Roman" w:hAnsi="Times New Roman" w:cs="Times New Roman"/>
          <w:sz w:val="24"/>
          <w:szCs w:val="24"/>
        </w:rPr>
        <w:t xml:space="preserve">was selected by the PUCO to </w:t>
      </w:r>
      <w:r w:rsidRPr="00D914BB">
        <w:rPr>
          <w:rFonts w:ascii="Times New Roman" w:hAnsi="Times New Roman" w:cs="Times New Roman"/>
          <w:sz w:val="24"/>
          <w:szCs w:val="24"/>
        </w:rPr>
        <w:t>conduct the audit of the revenue requirement, rate base, and net operating income proposed by Aqua. Larkin subcontracted with Acadian Consulting Group (“ACG”) to address the cost of service, revenue distribution</w:t>
      </w:r>
      <w:r w:rsidR="001455B8">
        <w:rPr>
          <w:rFonts w:ascii="Times New Roman" w:hAnsi="Times New Roman" w:cs="Times New Roman"/>
          <w:sz w:val="24"/>
          <w:szCs w:val="24"/>
        </w:rPr>
        <w:t>,</w:t>
      </w:r>
      <w:r w:rsidRPr="00D914BB">
        <w:rPr>
          <w:rFonts w:ascii="Times New Roman" w:hAnsi="Times New Roman" w:cs="Times New Roman"/>
          <w:sz w:val="24"/>
          <w:szCs w:val="24"/>
        </w:rPr>
        <w:t xml:space="preserve"> and rate design issues. </w:t>
      </w:r>
      <w:r w:rsidR="005013CA">
        <w:rPr>
          <w:rFonts w:ascii="Times New Roman" w:hAnsi="Times New Roman" w:cs="Times New Roman"/>
          <w:sz w:val="24"/>
          <w:szCs w:val="24"/>
        </w:rPr>
        <w:t xml:space="preserve">The </w:t>
      </w:r>
      <w:r w:rsidRPr="00D914BB">
        <w:rPr>
          <w:rFonts w:ascii="Times New Roman" w:hAnsi="Times New Roman" w:cs="Times New Roman"/>
          <w:sz w:val="24"/>
          <w:szCs w:val="24"/>
        </w:rPr>
        <w:t>PUCO Staff performed a rate of return</w:t>
      </w:r>
      <w:r w:rsidR="00C332EB">
        <w:rPr>
          <w:rFonts w:ascii="Times New Roman" w:hAnsi="Times New Roman" w:cs="Times New Roman"/>
          <w:sz w:val="24"/>
          <w:szCs w:val="24"/>
        </w:rPr>
        <w:t xml:space="preserve"> (profit)</w:t>
      </w:r>
      <w:r w:rsidRPr="00D914BB">
        <w:rPr>
          <w:rFonts w:ascii="Times New Roman" w:hAnsi="Times New Roman" w:cs="Times New Roman"/>
          <w:sz w:val="24"/>
          <w:szCs w:val="24"/>
        </w:rPr>
        <w:t xml:space="preserve"> analysis and service monitoring and enforcement investigation. Larkin’s audit report was filed on </w:t>
      </w:r>
      <w:r w:rsidR="00B12001">
        <w:rPr>
          <w:rFonts w:ascii="Times New Roman" w:hAnsi="Times New Roman" w:cs="Times New Roman"/>
          <w:sz w:val="24"/>
          <w:szCs w:val="24"/>
        </w:rPr>
        <w:t>July 13</w:t>
      </w:r>
      <w:r w:rsidRPr="00D914BB">
        <w:rPr>
          <w:rFonts w:ascii="Times New Roman" w:hAnsi="Times New Roman" w:cs="Times New Roman"/>
          <w:sz w:val="24"/>
          <w:szCs w:val="24"/>
        </w:rPr>
        <w:t>, 202</w:t>
      </w:r>
      <w:r w:rsidR="00B12001">
        <w:rPr>
          <w:rFonts w:ascii="Times New Roman" w:hAnsi="Times New Roman" w:cs="Times New Roman"/>
          <w:sz w:val="24"/>
          <w:szCs w:val="24"/>
        </w:rPr>
        <w:t>3</w:t>
      </w:r>
      <w:r w:rsidRPr="00D914BB">
        <w:rPr>
          <w:rFonts w:ascii="Times New Roman" w:hAnsi="Times New Roman" w:cs="Times New Roman"/>
          <w:sz w:val="24"/>
          <w:szCs w:val="24"/>
        </w:rPr>
        <w:t xml:space="preserve">. The combined efforts of Larkin, ACG, and the PUCO Staff form the </w:t>
      </w:r>
      <w:r w:rsidR="00567181">
        <w:rPr>
          <w:rFonts w:ascii="Times New Roman" w:hAnsi="Times New Roman" w:cs="Times New Roman"/>
          <w:sz w:val="24"/>
          <w:szCs w:val="24"/>
        </w:rPr>
        <w:t xml:space="preserve">July 13, 2023 </w:t>
      </w:r>
      <w:r w:rsidRPr="00D914BB">
        <w:rPr>
          <w:rFonts w:ascii="Times New Roman" w:hAnsi="Times New Roman" w:cs="Times New Roman"/>
          <w:sz w:val="24"/>
          <w:szCs w:val="24"/>
        </w:rPr>
        <w:t xml:space="preserve">Staff Report. </w:t>
      </w:r>
    </w:p>
    <w:p w:rsidR="00D914BB" w:rsidRPr="00D914BB" w:rsidP="00D914BB" w14:paraId="3BD0D196" w14:textId="0693CD4F">
      <w:pPr>
        <w:spacing w:after="0" w:line="480" w:lineRule="auto"/>
        <w:ind w:firstLine="720"/>
        <w:rPr>
          <w:rFonts w:ascii="Times New Roman" w:hAnsi="Times New Roman" w:cs="Times New Roman"/>
          <w:sz w:val="24"/>
          <w:szCs w:val="24"/>
        </w:rPr>
      </w:pPr>
      <w:r w:rsidRPr="00D914BB">
        <w:rPr>
          <w:rFonts w:ascii="Times New Roman" w:hAnsi="Times New Roman" w:cs="Times New Roman"/>
          <w:sz w:val="24"/>
          <w:szCs w:val="24"/>
        </w:rPr>
        <w:t>The Office of the Ohio Consumers’ Counsel (“OCC”) appreciates the Audit Report analysis and the Staff Report</w:t>
      </w:r>
      <w:r w:rsidR="00567181">
        <w:rPr>
          <w:rFonts w:ascii="Times New Roman" w:hAnsi="Times New Roman" w:cs="Times New Roman"/>
          <w:sz w:val="24"/>
          <w:szCs w:val="24"/>
        </w:rPr>
        <w:t>’s</w:t>
      </w:r>
      <w:r w:rsidRPr="00D914BB">
        <w:rPr>
          <w:rFonts w:ascii="Times New Roman" w:hAnsi="Times New Roman" w:cs="Times New Roman"/>
          <w:sz w:val="24"/>
          <w:szCs w:val="24"/>
        </w:rPr>
        <w:t xml:space="preserve"> recommendations</w:t>
      </w:r>
      <w:r w:rsidR="00C332EB">
        <w:rPr>
          <w:rFonts w:ascii="Times New Roman" w:hAnsi="Times New Roman" w:cs="Times New Roman"/>
          <w:sz w:val="24"/>
          <w:szCs w:val="24"/>
        </w:rPr>
        <w:t xml:space="preserve"> that</w:t>
      </w:r>
      <w:r w:rsidRPr="00D914BB">
        <w:rPr>
          <w:rFonts w:ascii="Times New Roman" w:hAnsi="Times New Roman" w:cs="Times New Roman"/>
          <w:sz w:val="24"/>
          <w:szCs w:val="24"/>
        </w:rPr>
        <w:t xml:space="preserve"> </w:t>
      </w:r>
      <w:r w:rsidR="00C332EB">
        <w:rPr>
          <w:rFonts w:ascii="Times New Roman" w:hAnsi="Times New Roman" w:cs="Times New Roman"/>
          <w:sz w:val="24"/>
          <w:szCs w:val="24"/>
        </w:rPr>
        <w:t>would overcome for</w:t>
      </w:r>
      <w:r w:rsidRPr="00D914BB" w:rsidR="00C332EB">
        <w:rPr>
          <w:rFonts w:ascii="Times New Roman" w:hAnsi="Times New Roman" w:cs="Times New Roman"/>
          <w:sz w:val="24"/>
          <w:szCs w:val="24"/>
        </w:rPr>
        <w:t xml:space="preserve"> consumers</w:t>
      </w:r>
      <w:r w:rsidR="00C332EB">
        <w:rPr>
          <w:rFonts w:ascii="Times New Roman" w:hAnsi="Times New Roman" w:cs="Times New Roman"/>
          <w:sz w:val="24"/>
          <w:szCs w:val="24"/>
        </w:rPr>
        <w:t xml:space="preserve"> some significant unfairness in Aqua’s proposal</w:t>
      </w:r>
      <w:r w:rsidRPr="00D914BB" w:rsidR="00C332EB">
        <w:rPr>
          <w:rFonts w:ascii="Times New Roman" w:hAnsi="Times New Roman" w:cs="Times New Roman"/>
          <w:sz w:val="24"/>
          <w:szCs w:val="24"/>
        </w:rPr>
        <w:t>.</w:t>
      </w:r>
      <w:r w:rsidR="00C332EB">
        <w:rPr>
          <w:rFonts w:ascii="Times New Roman" w:hAnsi="Times New Roman" w:cs="Times New Roman"/>
          <w:sz w:val="24"/>
          <w:szCs w:val="24"/>
        </w:rPr>
        <w:t xml:space="preserve"> </w:t>
      </w:r>
      <w:r w:rsidRPr="00D914BB">
        <w:rPr>
          <w:rFonts w:ascii="Times New Roman" w:hAnsi="Times New Roman" w:cs="Times New Roman"/>
          <w:sz w:val="24"/>
          <w:szCs w:val="24"/>
        </w:rPr>
        <w:t>However, the Staff Report falls short of protecting residential consumers in several ways, as explained in the Objections</w:t>
      </w:r>
      <w:r w:rsidR="001455B8">
        <w:rPr>
          <w:rFonts w:ascii="Times New Roman" w:hAnsi="Times New Roman" w:cs="Times New Roman"/>
          <w:sz w:val="24"/>
          <w:szCs w:val="24"/>
        </w:rPr>
        <w:t xml:space="preserve"> below</w:t>
      </w:r>
      <w:r w:rsidRPr="00D914BB">
        <w:rPr>
          <w:rFonts w:ascii="Times New Roman" w:hAnsi="Times New Roman" w:cs="Times New Roman"/>
          <w:sz w:val="24"/>
          <w:szCs w:val="24"/>
        </w:rPr>
        <w:t xml:space="preserve">. The PUCO should adopt OCC’s consumer protection recommendations. </w:t>
      </w:r>
    </w:p>
    <w:p w:rsidR="00D914BB" w:rsidP="00D914BB" w14:paraId="55054C92" w14:textId="77777777">
      <w:pPr>
        <w:spacing w:after="0" w:line="240" w:lineRule="auto"/>
        <w:ind w:firstLine="720"/>
      </w:pPr>
    </w:p>
    <w:p w:rsidR="00D914BB" w:rsidP="006A70BC" w14:paraId="47575827" w14:textId="1732957F">
      <w:pPr>
        <w:pStyle w:val="Heading1"/>
        <w:rPr>
          <w:rFonts w:cs="Times New Roman"/>
          <w:szCs w:val="24"/>
        </w:rPr>
      </w:pPr>
      <w:bookmarkStart w:id="3" w:name="_Toc98165610"/>
      <w:bookmarkStart w:id="4" w:name="_Toc142925062"/>
      <w:r>
        <w:t>SUMMARY OF FINDINGS AND RECOMMENDATIONS SUPPORTED BY OCC</w:t>
      </w:r>
      <w:bookmarkEnd w:id="3"/>
      <w:bookmarkEnd w:id="4"/>
    </w:p>
    <w:p w:rsidR="00077DA7" w:rsidP="00D914BB" w14:paraId="406CBF53" w14:textId="0E9B20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w:t>
      </w:r>
      <w:r w:rsidRPr="00D914BB" w:rsidR="00D914BB">
        <w:rPr>
          <w:rFonts w:ascii="Times New Roman" w:hAnsi="Times New Roman" w:cs="Times New Roman"/>
          <w:sz w:val="24"/>
          <w:szCs w:val="24"/>
        </w:rPr>
        <w:t xml:space="preserve"> supports the following findings, conclusions, and recommendations from the </w:t>
      </w:r>
      <w:r>
        <w:rPr>
          <w:rFonts w:ascii="Times New Roman" w:hAnsi="Times New Roman" w:cs="Times New Roman"/>
          <w:sz w:val="24"/>
          <w:szCs w:val="24"/>
        </w:rPr>
        <w:t>S</w:t>
      </w:r>
      <w:r w:rsidRPr="00D914BB" w:rsidR="00D914BB">
        <w:rPr>
          <w:rFonts w:ascii="Times New Roman" w:hAnsi="Times New Roman" w:cs="Times New Roman"/>
          <w:sz w:val="24"/>
          <w:szCs w:val="24"/>
        </w:rPr>
        <w:t>taff Report</w:t>
      </w:r>
      <w:r>
        <w:rPr>
          <w:rFonts w:ascii="Times New Roman" w:hAnsi="Times New Roman" w:cs="Times New Roman"/>
          <w:sz w:val="24"/>
          <w:szCs w:val="24"/>
        </w:rPr>
        <w:t xml:space="preserve"> and Audit Report</w:t>
      </w:r>
      <w:r w:rsidRPr="00D914BB" w:rsidR="00D914BB">
        <w:rPr>
          <w:rFonts w:ascii="Times New Roman" w:hAnsi="Times New Roman" w:cs="Times New Roman"/>
          <w:sz w:val="24"/>
          <w:szCs w:val="24"/>
        </w:rPr>
        <w:t>:</w:t>
      </w:r>
    </w:p>
    <w:p w:rsidR="00B12001" w:rsidP="000E7AC0" w14:paraId="729D30B0" w14:textId="671C8CD5">
      <w:pPr>
        <w:pStyle w:val="ListParagraph"/>
        <w:numPr>
          <w:ilvl w:val="0"/>
          <w:numId w:val="4"/>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The PUCO Staff correctly used the capital structure approved in Aqua’s most recent rate case, which is 47.9% debt and 52.1% equity.</w:t>
      </w:r>
      <w:r>
        <w:rPr>
          <w:rStyle w:val="FootnoteReference"/>
          <w:rFonts w:ascii="Times New Roman" w:hAnsi="Times New Roman" w:cs="Times New Roman"/>
          <w:sz w:val="24"/>
          <w:szCs w:val="24"/>
        </w:rPr>
        <w:footnoteReference w:id="5"/>
      </w:r>
    </w:p>
    <w:p w:rsidR="005F7CD8" w:rsidP="005F7CD8" w14:paraId="24B1F60B" w14:textId="77777777">
      <w:pPr>
        <w:pStyle w:val="ListParagraph"/>
        <w:spacing w:after="240" w:line="240" w:lineRule="auto"/>
        <w:ind w:left="1440"/>
        <w:rPr>
          <w:rFonts w:ascii="Times New Roman" w:hAnsi="Times New Roman" w:cs="Times New Roman"/>
          <w:sz w:val="24"/>
          <w:szCs w:val="24"/>
        </w:rPr>
      </w:pPr>
    </w:p>
    <w:p w:rsidR="00713D12" w:rsidP="00D713BD" w14:paraId="723B1462" w14:textId="6D7B078A">
      <w:pPr>
        <w:pStyle w:val="ListParagraph"/>
        <w:numPr>
          <w:ilvl w:val="0"/>
          <w:numId w:val="4"/>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The PUCO Staff</w:t>
      </w:r>
      <w:r w:rsidR="00E10886">
        <w:rPr>
          <w:rFonts w:ascii="Times New Roman" w:hAnsi="Times New Roman" w:cs="Times New Roman"/>
          <w:sz w:val="24"/>
          <w:szCs w:val="24"/>
        </w:rPr>
        <w:t xml:space="preserve"> correctly used the cost of long-term debt approved in Aqua’s most recent rate case, which is 3.82%.</w:t>
      </w:r>
      <w:r>
        <w:rPr>
          <w:rStyle w:val="FootnoteReference"/>
          <w:rFonts w:ascii="Times New Roman" w:hAnsi="Times New Roman" w:cs="Times New Roman"/>
          <w:sz w:val="24"/>
          <w:szCs w:val="24"/>
        </w:rPr>
        <w:footnoteReference w:id="6"/>
      </w:r>
    </w:p>
    <w:p w:rsidR="00FD0E10" w:rsidRPr="00567181" w:rsidP="00567181" w14:paraId="41977647" w14:textId="7F814A31">
      <w:pPr>
        <w:pStyle w:val="ListParagraph"/>
        <w:numPr>
          <w:ilvl w:val="0"/>
          <w:numId w:val="4"/>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The Audit Report</w:t>
      </w:r>
      <w:r w:rsidRPr="00FD0E10">
        <w:rPr>
          <w:rFonts w:ascii="Times New Roman" w:hAnsi="Times New Roman" w:cs="Times New Roman"/>
          <w:sz w:val="24"/>
          <w:szCs w:val="24"/>
        </w:rPr>
        <w:t xml:space="preserve"> correctly recommends that the</w:t>
      </w:r>
      <w:r>
        <w:rPr>
          <w:rFonts w:ascii="Times New Roman" w:hAnsi="Times New Roman" w:cs="Times New Roman"/>
          <w:sz w:val="24"/>
          <w:szCs w:val="24"/>
        </w:rPr>
        <w:t xml:space="preserve"> PUCO</w:t>
      </w:r>
      <w:r w:rsidRPr="00FD0E10">
        <w:rPr>
          <w:rFonts w:ascii="Times New Roman" w:hAnsi="Times New Roman" w:cs="Times New Roman"/>
          <w:sz w:val="24"/>
          <w:szCs w:val="24"/>
        </w:rPr>
        <w:t xml:space="preserve"> apply any revenue requirement adjustment across customer classes on a more equal basis as shown on Tables 8 and 9.</w:t>
      </w:r>
      <w:r>
        <w:rPr>
          <w:rStyle w:val="FootnoteReference"/>
          <w:rFonts w:ascii="Times New Roman" w:hAnsi="Times New Roman" w:cs="Times New Roman"/>
          <w:sz w:val="24"/>
          <w:szCs w:val="24"/>
        </w:rPr>
        <w:footnoteReference w:id="7"/>
      </w:r>
      <w:r w:rsidRPr="00FD0E10">
        <w:rPr>
          <w:rFonts w:ascii="Times New Roman" w:hAnsi="Times New Roman" w:cs="Times New Roman"/>
          <w:sz w:val="24"/>
          <w:szCs w:val="24"/>
        </w:rPr>
        <w:t xml:space="preserve"> While the ultimate revenue distribution is dependent on the</w:t>
      </w:r>
      <w:r>
        <w:rPr>
          <w:rFonts w:ascii="Times New Roman" w:hAnsi="Times New Roman" w:cs="Times New Roman"/>
          <w:sz w:val="24"/>
          <w:szCs w:val="24"/>
        </w:rPr>
        <w:t xml:space="preserve"> PUCO</w:t>
      </w:r>
      <w:r w:rsidRPr="00FD0E10">
        <w:rPr>
          <w:rFonts w:ascii="Times New Roman" w:hAnsi="Times New Roman" w:cs="Times New Roman"/>
          <w:sz w:val="24"/>
          <w:szCs w:val="24"/>
        </w:rPr>
        <w:t xml:space="preserve">-adopted revenue requirement in this proceeding, OCC finds the </w:t>
      </w:r>
      <w:r>
        <w:rPr>
          <w:rFonts w:ascii="Times New Roman" w:hAnsi="Times New Roman" w:cs="Times New Roman"/>
          <w:sz w:val="24"/>
          <w:szCs w:val="24"/>
        </w:rPr>
        <w:t>Audit Report’s</w:t>
      </w:r>
      <w:r w:rsidRPr="00FD0E10">
        <w:rPr>
          <w:rFonts w:ascii="Times New Roman" w:hAnsi="Times New Roman" w:cs="Times New Roman"/>
          <w:sz w:val="24"/>
          <w:szCs w:val="24"/>
        </w:rPr>
        <w:t xml:space="preserve"> recommended methodology to be reasonable.</w:t>
      </w:r>
    </w:p>
    <w:p w:rsidR="00FD0E10" w:rsidRPr="00FD0E10" w:rsidP="00FD0E10" w14:paraId="515EEC2E" w14:textId="77777777">
      <w:pPr>
        <w:pStyle w:val="ListParagraph"/>
        <w:spacing w:after="240" w:line="240" w:lineRule="auto"/>
        <w:ind w:left="1440"/>
        <w:rPr>
          <w:rFonts w:ascii="Times New Roman" w:hAnsi="Times New Roman" w:cs="Times New Roman"/>
          <w:sz w:val="24"/>
          <w:szCs w:val="24"/>
        </w:rPr>
      </w:pPr>
    </w:p>
    <w:p w:rsidR="00FD0E10" w:rsidP="00FD0E10" w14:paraId="4FFC5AA1" w14:textId="095C39C6">
      <w:pPr>
        <w:pStyle w:val="ListParagraph"/>
        <w:numPr>
          <w:ilvl w:val="0"/>
          <w:numId w:val="4"/>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The Audit Report</w:t>
      </w:r>
      <w:r w:rsidRPr="00FD0E10">
        <w:rPr>
          <w:rFonts w:ascii="Times New Roman" w:hAnsi="Times New Roman" w:cs="Times New Roman"/>
          <w:sz w:val="24"/>
          <w:szCs w:val="24"/>
        </w:rPr>
        <w:t xml:space="preserve"> correctly recommends an appropriate rate design as shown in Ta</w:t>
      </w:r>
      <w:r>
        <w:rPr>
          <w:rFonts w:ascii="Times New Roman" w:hAnsi="Times New Roman" w:cs="Times New Roman"/>
          <w:sz w:val="24"/>
          <w:szCs w:val="24"/>
        </w:rPr>
        <w:t>b</w:t>
      </w:r>
      <w:r w:rsidRPr="00FD0E10">
        <w:rPr>
          <w:rFonts w:ascii="Times New Roman" w:hAnsi="Times New Roman" w:cs="Times New Roman"/>
          <w:sz w:val="24"/>
          <w:szCs w:val="24"/>
        </w:rPr>
        <w:t>les 20 -24.</w:t>
      </w:r>
      <w:r>
        <w:rPr>
          <w:rStyle w:val="FootnoteReference"/>
        </w:rPr>
        <w:footnoteReference w:id="8"/>
      </w:r>
      <w:r w:rsidRPr="00FD0E10">
        <w:rPr>
          <w:rFonts w:ascii="Times New Roman" w:hAnsi="Times New Roman" w:cs="Times New Roman"/>
          <w:sz w:val="24"/>
          <w:szCs w:val="24"/>
        </w:rPr>
        <w:t xml:space="preserve"> While the ultimate rates are dependent on the </w:t>
      </w:r>
      <w:r>
        <w:rPr>
          <w:rFonts w:ascii="Times New Roman" w:hAnsi="Times New Roman" w:cs="Times New Roman"/>
          <w:sz w:val="24"/>
          <w:szCs w:val="24"/>
        </w:rPr>
        <w:t>PUCO</w:t>
      </w:r>
      <w:r w:rsidRPr="00FD0E10">
        <w:rPr>
          <w:rFonts w:ascii="Times New Roman" w:hAnsi="Times New Roman" w:cs="Times New Roman"/>
          <w:sz w:val="24"/>
          <w:szCs w:val="24"/>
        </w:rPr>
        <w:t xml:space="preserve">-adopted revenue requirement in this proceeding, OCC finds the </w:t>
      </w:r>
      <w:r>
        <w:rPr>
          <w:rFonts w:ascii="Times New Roman" w:hAnsi="Times New Roman" w:cs="Times New Roman"/>
          <w:sz w:val="24"/>
          <w:szCs w:val="24"/>
        </w:rPr>
        <w:t>Audit Report’s</w:t>
      </w:r>
      <w:r w:rsidRPr="00FD0E10">
        <w:rPr>
          <w:rFonts w:ascii="Times New Roman" w:hAnsi="Times New Roman" w:cs="Times New Roman"/>
          <w:sz w:val="24"/>
          <w:szCs w:val="24"/>
        </w:rPr>
        <w:t xml:space="preserve"> methodology for determining those rates to be reasonable.</w:t>
      </w:r>
    </w:p>
    <w:p w:rsidR="00FD0E10" w:rsidRPr="00FD0E10" w:rsidP="00FD0E10" w14:paraId="3ED2ACBA" w14:textId="77777777">
      <w:pPr>
        <w:pStyle w:val="ListParagraph"/>
        <w:spacing w:after="240" w:line="240" w:lineRule="auto"/>
        <w:ind w:left="1440"/>
        <w:rPr>
          <w:rFonts w:ascii="Times New Roman" w:hAnsi="Times New Roman" w:cs="Times New Roman"/>
          <w:sz w:val="24"/>
          <w:szCs w:val="24"/>
        </w:rPr>
      </w:pPr>
    </w:p>
    <w:p w:rsidR="00FD0E10" w:rsidP="00FD0E10" w14:paraId="16FFB051" w14:textId="60411546">
      <w:pPr>
        <w:pStyle w:val="ListParagraph"/>
        <w:numPr>
          <w:ilvl w:val="0"/>
          <w:numId w:val="4"/>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The Audit Report</w:t>
      </w:r>
      <w:r w:rsidRPr="00FD0E10">
        <w:rPr>
          <w:rFonts w:ascii="Times New Roman" w:hAnsi="Times New Roman" w:cs="Times New Roman"/>
          <w:sz w:val="24"/>
          <w:szCs w:val="24"/>
        </w:rPr>
        <w:t xml:space="preserve"> correctly recommends approval of </w:t>
      </w:r>
      <w:r>
        <w:rPr>
          <w:rFonts w:ascii="Times New Roman" w:hAnsi="Times New Roman" w:cs="Times New Roman"/>
          <w:sz w:val="24"/>
          <w:szCs w:val="24"/>
        </w:rPr>
        <w:t>Aqua’s</w:t>
      </w:r>
      <w:r w:rsidRPr="00FD0E10">
        <w:rPr>
          <w:rFonts w:ascii="Times New Roman" w:hAnsi="Times New Roman" w:cs="Times New Roman"/>
          <w:sz w:val="24"/>
          <w:szCs w:val="24"/>
        </w:rPr>
        <w:t xml:space="preserve"> declining rate block structure to set metered rates among the different customer classes.</w:t>
      </w:r>
      <w:r>
        <w:rPr>
          <w:rStyle w:val="FootnoteReference"/>
        </w:rPr>
        <w:footnoteReference w:id="9"/>
      </w:r>
    </w:p>
    <w:p w:rsidR="006A70BC" w:rsidRPr="006A70BC" w:rsidP="006A70BC" w14:paraId="53906889" w14:textId="77777777">
      <w:pPr>
        <w:pStyle w:val="ListParagraph"/>
        <w:rPr>
          <w:rFonts w:ascii="Times New Roman" w:hAnsi="Times New Roman" w:cs="Times New Roman"/>
          <w:sz w:val="24"/>
          <w:szCs w:val="24"/>
        </w:rPr>
      </w:pPr>
    </w:p>
    <w:p w:rsidR="006A70BC" w:rsidRPr="00427F55" w:rsidP="006A70BC" w14:paraId="17D911A7" w14:textId="77777777">
      <w:pPr>
        <w:pStyle w:val="ListParagraph"/>
        <w:numPr>
          <w:ilvl w:val="0"/>
          <w:numId w:val="4"/>
        </w:numPr>
        <w:spacing w:after="240" w:line="240" w:lineRule="auto"/>
        <w:ind w:hanging="720"/>
        <w:rPr>
          <w:vertAlign w:val="superscript"/>
        </w:rPr>
      </w:pPr>
      <w:r>
        <w:rPr>
          <w:rFonts w:ascii="Times New Roman" w:hAnsi="Times New Roman" w:cs="Times New Roman"/>
          <w:sz w:val="24"/>
          <w:szCs w:val="24"/>
        </w:rPr>
        <w:t>The Audit Report</w:t>
      </w:r>
      <w:r w:rsidRPr="00FD0E10">
        <w:rPr>
          <w:rFonts w:ascii="Times New Roman" w:hAnsi="Times New Roman" w:cs="Times New Roman"/>
          <w:sz w:val="24"/>
          <w:szCs w:val="24"/>
        </w:rPr>
        <w:t xml:space="preserve"> correctly recommends no changes to Miscellaneous Charge</w:t>
      </w:r>
      <w:r>
        <w:rPr>
          <w:rFonts w:ascii="Times New Roman" w:hAnsi="Times New Roman" w:cs="Times New Roman"/>
          <w:sz w:val="24"/>
          <w:szCs w:val="24"/>
        </w:rPr>
        <w:t>s.</w:t>
      </w:r>
      <w:r>
        <w:rPr>
          <w:rStyle w:val="FootnoteReference"/>
        </w:rPr>
        <w:footnoteReference w:id="10"/>
      </w:r>
    </w:p>
    <w:p w:rsidR="00AD1532" w:rsidRPr="00AD1532" w:rsidP="00427F55" w14:paraId="23E8B1A4" w14:textId="77777777">
      <w:pPr>
        <w:pStyle w:val="ListParagraph"/>
        <w:rPr>
          <w:vertAlign w:val="superscript"/>
        </w:rPr>
      </w:pPr>
    </w:p>
    <w:p w:rsidR="00AD1532" w:rsidRPr="00AF03AB" w:rsidP="005031E7" w14:paraId="01B09D7D" w14:textId="19B08CD9">
      <w:pPr>
        <w:pStyle w:val="ListParagraph"/>
        <w:numPr>
          <w:ilvl w:val="0"/>
          <w:numId w:val="4"/>
        </w:numPr>
        <w:spacing w:after="240" w:line="240" w:lineRule="auto"/>
        <w:ind w:hanging="720"/>
        <w:rPr>
          <w:vertAlign w:val="superscript"/>
        </w:rPr>
      </w:pPr>
      <w:r>
        <w:rPr>
          <w:rFonts w:ascii="Times New Roman" w:hAnsi="Times New Roman" w:cs="Times New Roman"/>
          <w:sz w:val="24"/>
          <w:szCs w:val="24"/>
        </w:rPr>
        <w:t>The Audit Report</w:t>
      </w:r>
      <w:r w:rsidRPr="00FD0E10">
        <w:rPr>
          <w:rFonts w:ascii="Times New Roman" w:hAnsi="Times New Roman" w:cs="Times New Roman"/>
          <w:sz w:val="24"/>
          <w:szCs w:val="24"/>
        </w:rPr>
        <w:t xml:space="preserve"> correctly r</w:t>
      </w:r>
      <w:r>
        <w:rPr>
          <w:rFonts w:ascii="Times New Roman" w:hAnsi="Times New Roman" w:cs="Times New Roman"/>
          <w:sz w:val="24"/>
          <w:szCs w:val="24"/>
        </w:rPr>
        <w:t xml:space="preserve">emoves </w:t>
      </w:r>
      <w:r w:rsidR="00C332EB">
        <w:rPr>
          <w:rFonts w:ascii="Times New Roman" w:hAnsi="Times New Roman" w:cs="Times New Roman"/>
          <w:sz w:val="24"/>
          <w:szCs w:val="24"/>
        </w:rPr>
        <w:t xml:space="preserve">from rates charged to consumers the </w:t>
      </w:r>
      <w:r>
        <w:rPr>
          <w:rFonts w:ascii="Times New Roman" w:hAnsi="Times New Roman" w:cs="Times New Roman"/>
          <w:sz w:val="24"/>
          <w:szCs w:val="24"/>
        </w:rPr>
        <w:t>projected plant additions (along with related impacts to accumulated depreciation, deferred income taxes, depreciation expense and property tax expense) that relate to Aqua’s non-regulated Stark and Struthers divisions.</w:t>
      </w:r>
      <w:r>
        <w:rPr>
          <w:rStyle w:val="FootnoteReference"/>
          <w:rFonts w:ascii="Times New Roman" w:hAnsi="Times New Roman" w:cs="Times New Roman"/>
          <w:sz w:val="24"/>
          <w:szCs w:val="24"/>
        </w:rPr>
        <w:footnoteReference w:id="11"/>
      </w:r>
    </w:p>
    <w:p w:rsidR="00AD1532" w:rsidRPr="00DC7DF7" w:rsidP="00AD1532" w14:paraId="6F9679FB" w14:textId="77777777">
      <w:pPr>
        <w:pStyle w:val="ListParagraph"/>
        <w:jc w:val="both"/>
        <w:rPr>
          <w:vertAlign w:val="superscript"/>
        </w:rPr>
      </w:pPr>
    </w:p>
    <w:p w:rsidR="00AD1532" w:rsidRPr="00AF03AB" w:rsidP="005031E7" w14:paraId="7AD28D84" w14:textId="18F68425">
      <w:pPr>
        <w:pStyle w:val="ListParagraph"/>
        <w:numPr>
          <w:ilvl w:val="0"/>
          <w:numId w:val="4"/>
        </w:numPr>
        <w:spacing w:after="240" w:line="240" w:lineRule="auto"/>
        <w:ind w:hanging="720"/>
        <w:rPr>
          <w:vertAlign w:val="superscript"/>
        </w:rPr>
      </w:pPr>
      <w:r>
        <w:rPr>
          <w:rFonts w:ascii="Times New Roman" w:hAnsi="Times New Roman" w:cs="Times New Roman"/>
          <w:sz w:val="24"/>
          <w:szCs w:val="24"/>
        </w:rPr>
        <w:t>The Audit Report</w:t>
      </w:r>
      <w:r w:rsidRPr="00FD0E10">
        <w:rPr>
          <w:rFonts w:ascii="Times New Roman" w:hAnsi="Times New Roman" w:cs="Times New Roman"/>
          <w:sz w:val="24"/>
          <w:szCs w:val="24"/>
        </w:rPr>
        <w:t xml:space="preserve"> correctly r</w:t>
      </w:r>
      <w:r>
        <w:rPr>
          <w:rFonts w:ascii="Times New Roman" w:hAnsi="Times New Roman" w:cs="Times New Roman"/>
          <w:sz w:val="24"/>
          <w:szCs w:val="24"/>
        </w:rPr>
        <w:t>emoves</w:t>
      </w:r>
      <w:r w:rsidR="00C332EB">
        <w:rPr>
          <w:rFonts w:ascii="Times New Roman" w:hAnsi="Times New Roman" w:cs="Times New Roman"/>
          <w:sz w:val="24"/>
          <w:szCs w:val="24"/>
        </w:rPr>
        <w:t xml:space="preserve"> from rates charged to consumers the</w:t>
      </w:r>
      <w:r>
        <w:rPr>
          <w:rFonts w:ascii="Times New Roman" w:hAnsi="Times New Roman" w:cs="Times New Roman"/>
          <w:sz w:val="24"/>
          <w:szCs w:val="24"/>
        </w:rPr>
        <w:t xml:space="preserve"> plant additions (along with related impacts to accumulated depreciation, deferred income taxes, depreciation expense and property tax expense) that will not be in-service by June 30, 2023, along with updating plant additions for actual costs that are expected to be in-service by June 30, 2023 (along with other related impacts).</w:t>
      </w:r>
      <w:r>
        <w:rPr>
          <w:rStyle w:val="FootnoteReference"/>
          <w:rFonts w:ascii="Times New Roman" w:hAnsi="Times New Roman" w:cs="Times New Roman"/>
          <w:sz w:val="24"/>
          <w:szCs w:val="24"/>
        </w:rPr>
        <w:footnoteReference w:id="12"/>
      </w:r>
    </w:p>
    <w:p w:rsidR="00AD1532" w:rsidRPr="00A5588D" w:rsidP="00AD1532" w14:paraId="7A8BF11E" w14:textId="77777777">
      <w:pPr>
        <w:pStyle w:val="ListParagraph"/>
        <w:rPr>
          <w:vertAlign w:val="superscript"/>
        </w:rPr>
      </w:pPr>
    </w:p>
    <w:p w:rsidR="00AD1532" w:rsidRPr="006E021F" w:rsidP="00AD1532" w14:paraId="487592EC" w14:textId="77777777">
      <w:pPr>
        <w:pStyle w:val="ListParagraph"/>
        <w:spacing w:after="240" w:line="240" w:lineRule="auto"/>
        <w:ind w:left="1440"/>
        <w:jc w:val="both"/>
        <w:rPr>
          <w:vertAlign w:val="superscript"/>
        </w:rPr>
      </w:pPr>
    </w:p>
    <w:p w:rsidR="00AD1532" w:rsidRPr="00953C93" w:rsidP="005031E7" w14:paraId="61924A30" w14:textId="6AF3B714">
      <w:pPr>
        <w:pStyle w:val="ListParagraph"/>
        <w:numPr>
          <w:ilvl w:val="0"/>
          <w:numId w:val="4"/>
        </w:numPr>
        <w:spacing w:after="240" w:line="240" w:lineRule="auto"/>
        <w:ind w:hanging="720"/>
        <w:rPr>
          <w:vertAlign w:val="superscript"/>
        </w:rPr>
      </w:pPr>
      <w:r>
        <w:rPr>
          <w:rFonts w:ascii="Times New Roman" w:hAnsi="Times New Roman" w:cs="Times New Roman"/>
          <w:sz w:val="24"/>
          <w:szCs w:val="24"/>
        </w:rPr>
        <w:t>The Audit Report</w:t>
      </w:r>
      <w:r w:rsidRPr="00FD0E10">
        <w:rPr>
          <w:rFonts w:ascii="Times New Roman" w:hAnsi="Times New Roman" w:cs="Times New Roman"/>
          <w:sz w:val="24"/>
          <w:szCs w:val="24"/>
        </w:rPr>
        <w:t xml:space="preserve"> correctly</w:t>
      </w:r>
      <w:r>
        <w:rPr>
          <w:rFonts w:ascii="Times New Roman" w:hAnsi="Times New Roman" w:cs="Times New Roman"/>
          <w:sz w:val="24"/>
          <w:szCs w:val="24"/>
        </w:rPr>
        <w:t xml:space="preserve"> removes projected post-test period non-union wage and salary increases that are not known and measurable.</w:t>
      </w:r>
      <w:r>
        <w:rPr>
          <w:rStyle w:val="FootnoteReference"/>
          <w:rFonts w:ascii="Times New Roman" w:hAnsi="Times New Roman" w:cs="Times New Roman"/>
          <w:sz w:val="24"/>
          <w:szCs w:val="24"/>
        </w:rPr>
        <w:footnoteReference w:id="13"/>
      </w:r>
    </w:p>
    <w:p w:rsidR="00AD1532" w:rsidRPr="00AF03AB" w:rsidP="005031E7" w14:paraId="44350734" w14:textId="77777777">
      <w:pPr>
        <w:pStyle w:val="ListParagraph"/>
        <w:spacing w:after="240" w:line="240" w:lineRule="auto"/>
        <w:ind w:left="1440"/>
        <w:rPr>
          <w:vertAlign w:val="superscript"/>
        </w:rPr>
      </w:pPr>
    </w:p>
    <w:p w:rsidR="00AD1532" w:rsidRPr="002961F5" w:rsidP="005031E7" w14:paraId="416221B8" w14:textId="3E16382C">
      <w:pPr>
        <w:pStyle w:val="ListParagraph"/>
        <w:numPr>
          <w:ilvl w:val="0"/>
          <w:numId w:val="4"/>
        </w:numPr>
        <w:spacing w:after="240" w:line="240" w:lineRule="auto"/>
        <w:ind w:hanging="720"/>
        <w:rPr>
          <w:vertAlign w:val="superscript"/>
        </w:rPr>
      </w:pPr>
      <w:r w:rsidRPr="002961F5">
        <w:rPr>
          <w:rFonts w:ascii="Times New Roman" w:hAnsi="Times New Roman" w:cs="Times New Roman"/>
          <w:sz w:val="24"/>
          <w:szCs w:val="24"/>
        </w:rPr>
        <w:t>The Audit Report correctly removes one-half of incentive expense related to goals that are shareholder oriented (and allowing one-half of incentive expense related to goals that are service oriented)</w:t>
      </w:r>
      <w:r w:rsidRPr="00A868EE" w:rsidR="00A868EE">
        <w:rPr>
          <w:rFonts w:ascii="Times New Roman" w:hAnsi="Times New Roman" w:cs="Times New Roman"/>
          <w:sz w:val="24"/>
          <w:szCs w:val="24"/>
        </w:rPr>
        <w:t xml:space="preserve"> </w:t>
      </w:r>
      <w:r w:rsidR="00A868EE">
        <w:rPr>
          <w:rFonts w:ascii="Times New Roman" w:hAnsi="Times New Roman" w:cs="Times New Roman"/>
          <w:sz w:val="24"/>
          <w:szCs w:val="24"/>
        </w:rPr>
        <w:t>to protect consumers from unfair charges</w:t>
      </w:r>
      <w:r w:rsidRPr="002961F5">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00427F55">
        <w:rPr>
          <w:rFonts w:ascii="Times New Roman" w:hAnsi="Times New Roman" w:cs="Times New Roman"/>
          <w:sz w:val="24"/>
          <w:szCs w:val="24"/>
        </w:rPr>
        <w:t xml:space="preserve"> </w:t>
      </w:r>
    </w:p>
    <w:p w:rsidR="00AD1532" w:rsidRPr="00AF03AB" w:rsidP="005031E7" w14:paraId="6CB462C9" w14:textId="77777777">
      <w:pPr>
        <w:pStyle w:val="ListParagraph"/>
        <w:spacing w:after="240" w:line="240" w:lineRule="auto"/>
        <w:ind w:left="1440"/>
        <w:rPr>
          <w:vertAlign w:val="superscript"/>
        </w:rPr>
      </w:pPr>
    </w:p>
    <w:p w:rsidR="00AD1532" w:rsidRPr="00FB0AE6" w:rsidP="005031E7" w14:paraId="5F3EBC24" w14:textId="097930DF">
      <w:pPr>
        <w:pStyle w:val="ListParagraph"/>
        <w:numPr>
          <w:ilvl w:val="0"/>
          <w:numId w:val="4"/>
        </w:numPr>
        <w:spacing w:after="240" w:line="240" w:lineRule="auto"/>
        <w:ind w:hanging="720"/>
        <w:rPr>
          <w:vertAlign w:val="superscript"/>
        </w:rPr>
      </w:pPr>
      <w:r>
        <w:rPr>
          <w:rFonts w:ascii="Times New Roman" w:hAnsi="Times New Roman" w:cs="Times New Roman"/>
          <w:sz w:val="24"/>
          <w:szCs w:val="24"/>
        </w:rPr>
        <w:t>The Audit Report</w:t>
      </w:r>
      <w:r w:rsidRPr="00FD0E10">
        <w:rPr>
          <w:rFonts w:ascii="Times New Roman" w:hAnsi="Times New Roman" w:cs="Times New Roman"/>
          <w:sz w:val="24"/>
          <w:szCs w:val="24"/>
        </w:rPr>
        <w:t xml:space="preserve"> correctly</w:t>
      </w:r>
      <w:r>
        <w:rPr>
          <w:rFonts w:ascii="Times New Roman" w:hAnsi="Times New Roman" w:cs="Times New Roman"/>
          <w:sz w:val="24"/>
          <w:szCs w:val="24"/>
        </w:rPr>
        <w:t xml:space="preserve"> removes all of the stock-based compensation expense (presumably long-term incentive expense)</w:t>
      </w:r>
      <w:r w:rsidR="00A868EE">
        <w:rPr>
          <w:rFonts w:ascii="Times New Roman" w:hAnsi="Times New Roman" w:cs="Times New Roman"/>
          <w:sz w:val="24"/>
          <w:szCs w:val="24"/>
        </w:rPr>
        <w:t>, to protect consumers from unfair charges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AD1532" w:rsidRPr="00AF03AB" w:rsidP="005031E7" w14:paraId="04C4AC7D" w14:textId="77777777">
      <w:pPr>
        <w:pStyle w:val="ListParagraph"/>
        <w:spacing w:after="240" w:line="240" w:lineRule="auto"/>
        <w:ind w:left="1440"/>
        <w:rPr>
          <w:vertAlign w:val="superscript"/>
        </w:rPr>
      </w:pPr>
    </w:p>
    <w:p w:rsidR="00AD1532" w:rsidRPr="00953C93" w:rsidP="005031E7" w14:paraId="0819F11C" w14:textId="77777777">
      <w:pPr>
        <w:pStyle w:val="ListParagraph"/>
        <w:numPr>
          <w:ilvl w:val="0"/>
          <w:numId w:val="4"/>
        </w:numPr>
        <w:spacing w:after="240" w:line="240" w:lineRule="auto"/>
        <w:ind w:hanging="720"/>
        <w:rPr>
          <w:vertAlign w:val="superscript"/>
        </w:rPr>
      </w:pPr>
      <w:r>
        <w:rPr>
          <w:rFonts w:ascii="Times New Roman" w:hAnsi="Times New Roman" w:cs="Times New Roman"/>
          <w:sz w:val="24"/>
          <w:szCs w:val="24"/>
        </w:rPr>
        <w:t>The Audit Report</w:t>
      </w:r>
      <w:r w:rsidRPr="00FD0E10">
        <w:rPr>
          <w:rFonts w:ascii="Times New Roman" w:hAnsi="Times New Roman" w:cs="Times New Roman"/>
          <w:sz w:val="24"/>
          <w:szCs w:val="24"/>
        </w:rPr>
        <w:t xml:space="preserve"> correctly</w:t>
      </w:r>
      <w:r>
        <w:rPr>
          <w:rFonts w:ascii="Times New Roman" w:hAnsi="Times New Roman" w:cs="Times New Roman"/>
          <w:sz w:val="24"/>
          <w:szCs w:val="24"/>
        </w:rPr>
        <w:t xml:space="preserve"> removes payroll tax expense related to prior adjustments for payroll expense and incentive/stock-based compensation expense.</w:t>
      </w:r>
      <w:r>
        <w:rPr>
          <w:rStyle w:val="FootnoteReference"/>
          <w:rFonts w:ascii="Times New Roman" w:hAnsi="Times New Roman" w:cs="Times New Roman"/>
          <w:sz w:val="24"/>
          <w:szCs w:val="24"/>
        </w:rPr>
        <w:footnoteReference w:id="16"/>
      </w:r>
    </w:p>
    <w:p w:rsidR="00AD1532" w:rsidRPr="00AF03AB" w:rsidP="00AD1532" w14:paraId="66436D67" w14:textId="77777777">
      <w:pPr>
        <w:pStyle w:val="ListParagraph"/>
        <w:spacing w:after="240" w:line="240" w:lineRule="auto"/>
        <w:ind w:left="1440"/>
        <w:jc w:val="both"/>
        <w:rPr>
          <w:vertAlign w:val="superscript"/>
        </w:rPr>
      </w:pPr>
    </w:p>
    <w:p w:rsidR="00AD1532" w:rsidRPr="00953C93" w:rsidP="005031E7" w14:paraId="43C8E508" w14:textId="1F8533CB">
      <w:pPr>
        <w:pStyle w:val="ListParagraph"/>
        <w:numPr>
          <w:ilvl w:val="0"/>
          <w:numId w:val="4"/>
        </w:numPr>
        <w:spacing w:after="240" w:line="240" w:lineRule="auto"/>
        <w:ind w:hanging="720"/>
        <w:rPr>
          <w:vertAlign w:val="superscript"/>
        </w:rPr>
      </w:pPr>
      <w:r>
        <w:rPr>
          <w:rFonts w:ascii="Times New Roman" w:hAnsi="Times New Roman" w:cs="Times New Roman"/>
          <w:sz w:val="24"/>
          <w:szCs w:val="24"/>
        </w:rPr>
        <w:t>The Audit Report</w:t>
      </w:r>
      <w:r w:rsidRPr="00FD0E10">
        <w:rPr>
          <w:rFonts w:ascii="Times New Roman" w:hAnsi="Times New Roman" w:cs="Times New Roman"/>
          <w:sz w:val="24"/>
          <w:szCs w:val="24"/>
        </w:rPr>
        <w:t xml:space="preserve"> correctly</w:t>
      </w:r>
      <w:r>
        <w:rPr>
          <w:rFonts w:ascii="Times New Roman" w:hAnsi="Times New Roman" w:cs="Times New Roman"/>
          <w:sz w:val="24"/>
          <w:szCs w:val="24"/>
        </w:rPr>
        <w:t xml:space="preserve"> removes Supplemental Executive Retirement Plan (SERP) expense that is unreasonable</w:t>
      </w:r>
      <w:r w:rsidR="00A9305F">
        <w:rPr>
          <w:rFonts w:ascii="Times New Roman" w:hAnsi="Times New Roman" w:cs="Times New Roman"/>
          <w:sz w:val="24"/>
          <w:szCs w:val="24"/>
        </w:rPr>
        <w:t xml:space="preserve"> to charge to consumers</w:t>
      </w:r>
      <w:r>
        <w:rPr>
          <w:rFonts w:ascii="Times New Roman" w:hAnsi="Times New Roman" w:cs="Times New Roman"/>
          <w:sz w:val="24"/>
          <w:szCs w:val="24"/>
        </w:rPr>
        <w:t xml:space="preserve"> because it provides benefits to certain highly paid executives at a level that exceeds benefit levels of other Company employees.</w:t>
      </w:r>
      <w:r>
        <w:rPr>
          <w:rStyle w:val="FootnoteReference"/>
          <w:rFonts w:ascii="Times New Roman" w:hAnsi="Times New Roman" w:cs="Times New Roman"/>
          <w:sz w:val="24"/>
          <w:szCs w:val="24"/>
        </w:rPr>
        <w:footnoteReference w:id="17"/>
      </w:r>
    </w:p>
    <w:p w:rsidR="00AD1532" w:rsidRPr="00AF03AB" w:rsidP="005031E7" w14:paraId="0D072ADE" w14:textId="77777777">
      <w:pPr>
        <w:pStyle w:val="ListParagraph"/>
        <w:spacing w:after="240" w:line="240" w:lineRule="auto"/>
        <w:ind w:left="1440"/>
        <w:rPr>
          <w:vertAlign w:val="superscript"/>
        </w:rPr>
      </w:pPr>
    </w:p>
    <w:p w:rsidR="00AD1532" w:rsidRPr="00AF03AB" w:rsidP="005031E7" w14:paraId="67043AA6" w14:textId="77777777">
      <w:pPr>
        <w:pStyle w:val="ListParagraph"/>
        <w:numPr>
          <w:ilvl w:val="0"/>
          <w:numId w:val="4"/>
        </w:numPr>
        <w:spacing w:after="240" w:line="240" w:lineRule="auto"/>
        <w:ind w:hanging="720"/>
        <w:rPr>
          <w:vertAlign w:val="superscript"/>
        </w:rPr>
      </w:pPr>
      <w:r>
        <w:rPr>
          <w:rFonts w:ascii="Times New Roman" w:hAnsi="Times New Roman" w:cs="Times New Roman"/>
          <w:sz w:val="24"/>
          <w:szCs w:val="24"/>
        </w:rPr>
        <w:t>The Audit Report</w:t>
      </w:r>
      <w:r w:rsidRPr="00FD0E10">
        <w:rPr>
          <w:rFonts w:ascii="Times New Roman" w:hAnsi="Times New Roman" w:cs="Times New Roman"/>
          <w:sz w:val="24"/>
          <w:szCs w:val="24"/>
        </w:rPr>
        <w:t xml:space="preserve"> correctly</w:t>
      </w:r>
      <w:r>
        <w:rPr>
          <w:rFonts w:ascii="Times New Roman" w:hAnsi="Times New Roman" w:cs="Times New Roman"/>
          <w:sz w:val="24"/>
          <w:szCs w:val="24"/>
        </w:rPr>
        <w:t xml:space="preserve"> reduces uncollectibles expense based on a four-year average of this expense from 2019 to 2022.</w:t>
      </w:r>
      <w:r>
        <w:rPr>
          <w:rStyle w:val="FootnoteReference"/>
          <w:rFonts w:ascii="Times New Roman" w:hAnsi="Times New Roman" w:cs="Times New Roman"/>
          <w:sz w:val="24"/>
          <w:szCs w:val="24"/>
        </w:rPr>
        <w:footnoteReference w:id="18"/>
      </w:r>
    </w:p>
    <w:p w:rsidR="00AD1532" w:rsidRPr="00AF03AB" w:rsidP="00AD1532" w14:paraId="738118F9" w14:textId="77777777">
      <w:pPr>
        <w:pStyle w:val="ListParagraph"/>
        <w:spacing w:after="240" w:line="240" w:lineRule="auto"/>
        <w:ind w:left="1440"/>
        <w:jc w:val="both"/>
        <w:rPr>
          <w:vertAlign w:val="superscript"/>
        </w:rPr>
      </w:pPr>
    </w:p>
    <w:p w:rsidR="00AD1532" w:rsidRPr="00A25646" w:rsidP="005031E7" w14:paraId="3AA7F687" w14:textId="095A2EB3">
      <w:pPr>
        <w:pStyle w:val="ListParagraph"/>
        <w:numPr>
          <w:ilvl w:val="0"/>
          <w:numId w:val="4"/>
        </w:numPr>
        <w:spacing w:after="240" w:line="240" w:lineRule="auto"/>
        <w:ind w:hanging="720"/>
        <w:rPr>
          <w:vertAlign w:val="superscript"/>
        </w:rPr>
      </w:pPr>
      <w:r w:rsidRPr="00953C93">
        <w:rPr>
          <w:rFonts w:ascii="Times New Roman" w:hAnsi="Times New Roman" w:cs="Times New Roman"/>
          <w:sz w:val="24"/>
          <w:szCs w:val="24"/>
        </w:rPr>
        <w:t>The Audit Report correctl</w:t>
      </w:r>
      <w:r>
        <w:rPr>
          <w:rFonts w:ascii="Times New Roman" w:hAnsi="Times New Roman" w:cs="Times New Roman"/>
          <w:sz w:val="24"/>
          <w:szCs w:val="24"/>
        </w:rPr>
        <w:t>y removes the rate case expense related to the prior rate case.</w:t>
      </w:r>
      <w:r>
        <w:rPr>
          <w:rStyle w:val="FootnoteReference"/>
          <w:rFonts w:ascii="Times New Roman" w:hAnsi="Times New Roman" w:cs="Times New Roman"/>
          <w:sz w:val="24"/>
          <w:szCs w:val="24"/>
        </w:rPr>
        <w:footnoteReference w:id="19"/>
      </w:r>
    </w:p>
    <w:p w:rsidR="00AD1532" w:rsidRPr="00DE66B9" w:rsidP="005031E7" w14:paraId="76B1E4E4" w14:textId="071BBF89">
      <w:pPr>
        <w:pStyle w:val="ListParagraph"/>
        <w:spacing w:after="240" w:line="240" w:lineRule="auto"/>
        <w:ind w:left="1440"/>
        <w:jc w:val="both"/>
        <w:rPr>
          <w:vertAlign w:val="superscript"/>
        </w:rPr>
      </w:pPr>
    </w:p>
    <w:p w:rsidR="00AD1532" w:rsidRPr="00A72F73" w:rsidP="00427F55" w14:paraId="2257F898" w14:textId="77777777">
      <w:pPr>
        <w:pStyle w:val="ListParagraph"/>
        <w:spacing w:after="240" w:line="240" w:lineRule="auto"/>
        <w:ind w:left="1440"/>
        <w:rPr>
          <w:vertAlign w:val="superscript"/>
        </w:rPr>
      </w:pPr>
    </w:p>
    <w:p w:rsidR="00805AF4" w:rsidRPr="00805AF4" w:rsidP="00805AF4" w14:paraId="226BE748" w14:textId="1395BC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the above recommendations made by the PUCO Staff and auditor,</w:t>
      </w:r>
      <w:r w:rsidRPr="00805AF4">
        <w:rPr>
          <w:rFonts w:ascii="Times New Roman" w:hAnsi="Times New Roman" w:cs="Times New Roman"/>
          <w:sz w:val="24"/>
          <w:szCs w:val="24"/>
        </w:rPr>
        <w:t xml:space="preserve"> the Staff Report should have gone further and proposed additional</w:t>
      </w:r>
      <w:r>
        <w:rPr>
          <w:rFonts w:ascii="Times New Roman" w:hAnsi="Times New Roman" w:cs="Times New Roman"/>
          <w:sz w:val="24"/>
          <w:szCs w:val="24"/>
        </w:rPr>
        <w:t xml:space="preserve"> measures to</w:t>
      </w:r>
      <w:r w:rsidRPr="00805AF4">
        <w:rPr>
          <w:rFonts w:ascii="Times New Roman" w:hAnsi="Times New Roman" w:cs="Times New Roman"/>
          <w:sz w:val="24"/>
          <w:szCs w:val="24"/>
        </w:rPr>
        <w:t xml:space="preserve"> benefit consumers</w:t>
      </w:r>
      <w:r>
        <w:rPr>
          <w:rFonts w:ascii="Times New Roman" w:hAnsi="Times New Roman" w:cs="Times New Roman"/>
          <w:sz w:val="24"/>
          <w:szCs w:val="24"/>
        </w:rPr>
        <w:t>. The Staff Report harms consumers by, among things</w:t>
      </w:r>
      <w:r w:rsidRPr="00805AF4">
        <w:rPr>
          <w:rFonts w:ascii="Times New Roman" w:hAnsi="Times New Roman" w:cs="Times New Roman"/>
          <w:sz w:val="24"/>
          <w:szCs w:val="24"/>
        </w:rPr>
        <w:t xml:space="preserve">: </w:t>
      </w:r>
    </w:p>
    <w:p w:rsidR="000E76B5" w:rsidP="000E76B5" w14:paraId="6AEDB449" w14:textId="47F48B02">
      <w:pPr>
        <w:pStyle w:val="ListParagraph"/>
        <w:numPr>
          <w:ilvl w:val="0"/>
          <w:numId w:val="4"/>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Recommending a revenue requirement that reflects a rate of return</w:t>
      </w:r>
      <w:r w:rsidR="00A9305F">
        <w:rPr>
          <w:rFonts w:ascii="Times New Roman" w:hAnsi="Times New Roman" w:cs="Times New Roman"/>
          <w:sz w:val="24"/>
          <w:szCs w:val="24"/>
        </w:rPr>
        <w:t xml:space="preserve"> (including profit)</w:t>
      </w:r>
      <w:r>
        <w:rPr>
          <w:rFonts w:ascii="Times New Roman" w:hAnsi="Times New Roman" w:cs="Times New Roman"/>
          <w:sz w:val="24"/>
          <w:szCs w:val="24"/>
        </w:rPr>
        <w:t xml:space="preserve"> that is too high based on a review of current market conditions and Aqua’s business and financial risk;</w:t>
      </w:r>
    </w:p>
    <w:p w:rsidR="000E76B5" w:rsidP="000E76B5" w14:paraId="3C2A38D9" w14:textId="77777777">
      <w:pPr>
        <w:pStyle w:val="ListParagraph"/>
        <w:spacing w:after="240" w:line="240" w:lineRule="auto"/>
        <w:ind w:left="1440"/>
        <w:rPr>
          <w:rFonts w:ascii="Times New Roman" w:hAnsi="Times New Roman" w:cs="Times New Roman"/>
          <w:sz w:val="24"/>
          <w:szCs w:val="24"/>
        </w:rPr>
      </w:pPr>
    </w:p>
    <w:p w:rsidR="000E76B5" w:rsidP="000E76B5" w14:paraId="3AD3BF10" w14:textId="4E8FAA02">
      <w:pPr>
        <w:pStyle w:val="ListParagraph"/>
        <w:numPr>
          <w:ilvl w:val="0"/>
          <w:numId w:val="4"/>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rPr>
        <w:t xml:space="preserve">Failing to perform an analysis of consumer information collected through </w:t>
      </w:r>
      <w:r w:rsidR="00A9305F">
        <w:rPr>
          <w:rFonts w:ascii="Times New Roman" w:hAnsi="Times New Roman" w:cs="Times New Roman"/>
          <w:sz w:val="24"/>
          <w:szCs w:val="24"/>
        </w:rPr>
        <w:t>the PUCO’s</w:t>
      </w:r>
      <w:r>
        <w:rPr>
          <w:rFonts w:ascii="Times New Roman" w:hAnsi="Times New Roman" w:cs="Times New Roman"/>
          <w:sz w:val="24"/>
          <w:szCs w:val="24"/>
        </w:rPr>
        <w:t xml:space="preserve"> call center or any analysis of the disconnection reports that it obtains from Aqua and </w:t>
      </w:r>
      <w:r w:rsidR="00A9305F">
        <w:rPr>
          <w:rFonts w:ascii="Times New Roman" w:hAnsi="Times New Roman" w:cs="Times New Roman"/>
          <w:sz w:val="24"/>
          <w:szCs w:val="24"/>
        </w:rPr>
        <w:t xml:space="preserve">to </w:t>
      </w:r>
      <w:r>
        <w:rPr>
          <w:rFonts w:ascii="Times New Roman" w:hAnsi="Times New Roman" w:cs="Times New Roman"/>
          <w:sz w:val="24"/>
          <w:szCs w:val="24"/>
        </w:rPr>
        <w:t>recommend ways that Aqua consumers can be better protected.</w:t>
      </w:r>
    </w:p>
    <w:p w:rsidR="00D713BD" w:rsidRPr="00D713BD" w:rsidP="00D713BD" w14:paraId="3979789C" w14:textId="77777777">
      <w:pPr>
        <w:pStyle w:val="ListParagraph"/>
        <w:rPr>
          <w:rFonts w:ascii="Times New Roman" w:hAnsi="Times New Roman" w:cs="Times New Roman"/>
          <w:sz w:val="24"/>
          <w:szCs w:val="24"/>
        </w:rPr>
      </w:pPr>
    </w:p>
    <w:p w:rsidR="00F44829" w:rsidP="00C7245A" w14:paraId="7FF1C97C" w14:textId="77777777">
      <w:pPr>
        <w:pStyle w:val="ListParagraph"/>
        <w:numPr>
          <w:ilvl w:val="0"/>
          <w:numId w:val="4"/>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Using a comparable earnings (“CE”) model in calculating the cost of equity, although the</w:t>
      </w:r>
      <w:r w:rsidR="00D713BD">
        <w:rPr>
          <w:rFonts w:ascii="Times New Roman" w:hAnsi="Times New Roman" w:cs="Times New Roman"/>
          <w:sz w:val="24"/>
          <w:szCs w:val="24"/>
        </w:rPr>
        <w:t xml:space="preserve"> PUCO Staff </w:t>
      </w:r>
      <w:r>
        <w:rPr>
          <w:rFonts w:ascii="Times New Roman" w:hAnsi="Times New Roman" w:cs="Times New Roman"/>
          <w:sz w:val="24"/>
          <w:szCs w:val="24"/>
        </w:rPr>
        <w:t xml:space="preserve">did </w:t>
      </w:r>
      <w:r w:rsidR="00D713BD">
        <w:rPr>
          <w:rFonts w:ascii="Times New Roman" w:hAnsi="Times New Roman" w:cs="Times New Roman"/>
          <w:sz w:val="24"/>
          <w:szCs w:val="24"/>
        </w:rPr>
        <w:t>reasonably use the capital asset pricing model (“CAPM”) and the discounted cash flow (“DCF”) model</w:t>
      </w:r>
      <w:r w:rsidR="00375E13">
        <w:rPr>
          <w:rFonts w:ascii="Times New Roman" w:hAnsi="Times New Roman" w:cs="Times New Roman"/>
          <w:sz w:val="24"/>
          <w:szCs w:val="24"/>
        </w:rPr>
        <w:t>.</w:t>
      </w:r>
    </w:p>
    <w:p w:rsidR="00F44829" w:rsidRPr="00F44829" w:rsidP="00977931" w14:paraId="79CBA58F" w14:textId="77777777">
      <w:pPr>
        <w:pStyle w:val="ListParagraph"/>
        <w:spacing w:after="0"/>
        <w:rPr>
          <w:rFonts w:ascii="Times New Roman" w:hAnsi="Times New Roman" w:cs="Times New Roman"/>
          <w:sz w:val="24"/>
          <w:szCs w:val="24"/>
        </w:rPr>
      </w:pPr>
    </w:p>
    <w:p w:rsidR="00D713BD" w:rsidRPr="00F44829" w:rsidP="00F44829" w14:paraId="778EB9C3" w14:textId="6EC60304">
      <w:pPr>
        <w:spacing w:after="0" w:line="480" w:lineRule="auto"/>
        <w:ind w:firstLine="720"/>
        <w:rPr>
          <w:rFonts w:ascii="Times New Roman" w:hAnsi="Times New Roman" w:cs="Times New Roman"/>
          <w:sz w:val="24"/>
          <w:szCs w:val="24"/>
        </w:rPr>
      </w:pPr>
      <w:r w:rsidRPr="00F44829">
        <w:rPr>
          <w:rFonts w:ascii="Times New Roman" w:hAnsi="Times New Roman" w:cs="Times New Roman"/>
          <w:sz w:val="24"/>
          <w:szCs w:val="24"/>
        </w:rPr>
        <w:t>OCC reserves the right to supplement its testimony in this case should any of the Staff Report's findings, conclusions or recommendations noted above that OCC supports are no longer supported by the PUCO Staff.</w:t>
      </w:r>
      <w:r w:rsidRPr="00F44829" w:rsidR="00375E13">
        <w:rPr>
          <w:rFonts w:ascii="Times New Roman" w:hAnsi="Times New Roman" w:cs="Times New Roman"/>
          <w:sz w:val="24"/>
          <w:szCs w:val="24"/>
        </w:rPr>
        <w:t xml:space="preserve"> </w:t>
      </w:r>
    </w:p>
    <w:p w:rsidR="00B12001" w:rsidRPr="00D914BB" w:rsidP="00977931" w14:paraId="278F6874" w14:textId="36C2D18C">
      <w:pPr>
        <w:spacing w:after="0" w:line="240" w:lineRule="auto"/>
        <w:ind w:firstLine="720"/>
        <w:rPr>
          <w:rFonts w:ascii="Times New Roman" w:hAnsi="Times New Roman" w:cs="Times New Roman"/>
          <w:sz w:val="24"/>
          <w:szCs w:val="24"/>
        </w:rPr>
      </w:pPr>
    </w:p>
    <w:p w:rsidR="00F3266D" w:rsidRPr="00F27079" w:rsidP="006A70BC" w14:paraId="13CFBBC7" w14:textId="789E4247">
      <w:pPr>
        <w:pStyle w:val="Heading1"/>
        <w:numPr>
          <w:ilvl w:val="0"/>
          <w:numId w:val="0"/>
        </w:numPr>
        <w:ind w:left="720" w:hanging="720"/>
      </w:pPr>
      <w:bookmarkStart w:id="5" w:name="_Toc142925063"/>
      <w:r>
        <w:t>III.</w:t>
      </w:r>
      <w:r>
        <w:tab/>
        <w:t>OBJECTIONS TO THE STAFF REPORT</w:t>
      </w:r>
      <w:bookmarkEnd w:id="5"/>
    </w:p>
    <w:p w:rsidR="00F27079" w:rsidP="00F27079" w14:paraId="41B07C6B" w14:textId="77777777">
      <w:pPr>
        <w:pStyle w:val="Heading2"/>
        <w:numPr>
          <w:ilvl w:val="0"/>
          <w:numId w:val="3"/>
        </w:numPr>
        <w:rPr>
          <w:rFonts w:eastAsia="Times New Roman"/>
        </w:rPr>
      </w:pPr>
      <w:bookmarkStart w:id="6" w:name="_Toc142925064"/>
      <w:bookmarkStart w:id="7" w:name="_Toc80200614"/>
      <w:bookmarkStart w:id="8" w:name="_Toc98165616"/>
      <w:r>
        <w:rPr>
          <w:rFonts w:eastAsia="Times New Roman"/>
        </w:rPr>
        <w:t>Revenue Requirement</w:t>
      </w:r>
      <w:bookmarkEnd w:id="6"/>
      <w:r>
        <w:rPr>
          <w:rFonts w:eastAsia="Times New Roman"/>
        </w:rPr>
        <w:t xml:space="preserve"> </w:t>
      </w:r>
    </w:p>
    <w:p w:rsidR="00F27079" w:rsidP="00F27079" w14:paraId="20FF116A" w14:textId="7879F440">
      <w:pPr>
        <w:rPr>
          <w:rStyle w:val="Heading3Char"/>
        </w:rPr>
      </w:pPr>
      <w:bookmarkStart w:id="9" w:name="_Toc98165613"/>
      <w:bookmarkStart w:id="10" w:name="_Toc142925065"/>
      <w:r>
        <w:rPr>
          <w:rStyle w:val="Heading3Char"/>
        </w:rPr>
        <w:t xml:space="preserve">OBJECTION 1: </w:t>
      </w:r>
      <w:r w:rsidR="00A9305F">
        <w:rPr>
          <w:rStyle w:val="Heading3Char"/>
        </w:rPr>
        <w:t>OCC objects because, a</w:t>
      </w:r>
      <w:r>
        <w:rPr>
          <w:rStyle w:val="Heading3Char"/>
        </w:rPr>
        <w:t xml:space="preserve">s a result of OCC’s other objections below (including OCC’s proposed changes to </w:t>
      </w:r>
      <w:r w:rsidR="00713D12">
        <w:rPr>
          <w:rStyle w:val="Heading3Char"/>
        </w:rPr>
        <w:t>the</w:t>
      </w:r>
      <w:r>
        <w:rPr>
          <w:rStyle w:val="Heading3Char"/>
        </w:rPr>
        <w:t xml:space="preserve"> rate of return), the Staff Report’s recommended rate increase of </w:t>
      </w:r>
      <w:r w:rsidR="00224A6E">
        <w:rPr>
          <w:rStyle w:val="Heading3Char"/>
        </w:rPr>
        <w:t xml:space="preserve">$3,425,564 </w:t>
      </w:r>
      <w:r>
        <w:rPr>
          <w:rStyle w:val="Heading3Char"/>
        </w:rPr>
        <w:t>is too high for consumers and would result in consumers paying unjust, unreasonable</w:t>
      </w:r>
      <w:r w:rsidR="005013CA">
        <w:rPr>
          <w:rStyle w:val="Heading3Char"/>
        </w:rPr>
        <w:t>,</w:t>
      </w:r>
      <w:r>
        <w:rPr>
          <w:rStyle w:val="Heading3Char"/>
        </w:rPr>
        <w:t xml:space="preserve"> and unlawful rates under R.C. 4905.22, 4909.15, 4909.154, 4909.17 and 4909.18.</w:t>
      </w:r>
      <w:bookmarkEnd w:id="9"/>
      <w:bookmarkEnd w:id="10"/>
    </w:p>
    <w:p w:rsidR="00151C2E" w:rsidRPr="00151C2E" w:rsidP="00D3465B" w14:paraId="506AC266" w14:textId="09A9EEA8">
      <w:pPr>
        <w:autoSpaceDE w:val="0"/>
        <w:autoSpaceDN w:val="0"/>
        <w:spacing w:after="0" w:line="480" w:lineRule="auto"/>
        <w:ind w:firstLine="720"/>
        <w:rPr>
          <w:rFonts w:ascii="Times New Roman" w:hAnsi="Times New Roman" w:cs="Times New Roman"/>
          <w:sz w:val="24"/>
          <w:szCs w:val="24"/>
        </w:rPr>
      </w:pPr>
      <w:r w:rsidRPr="00151C2E">
        <w:rPr>
          <w:rFonts w:ascii="Times New Roman" w:hAnsi="Times New Roman" w:cs="Times New Roman"/>
          <w:sz w:val="24"/>
          <w:szCs w:val="24"/>
        </w:rPr>
        <w:t xml:space="preserve">The PUCO Staff’s recommended increase to consumers of </w:t>
      </w:r>
      <w:r w:rsidR="004E5117">
        <w:rPr>
          <w:rFonts w:ascii="Times New Roman" w:hAnsi="Times New Roman" w:cs="Times New Roman"/>
          <w:sz w:val="24"/>
          <w:szCs w:val="24"/>
        </w:rPr>
        <w:t xml:space="preserve">$3,425,564 </w:t>
      </w:r>
      <w:r w:rsidR="009479F7">
        <w:rPr>
          <w:rFonts w:ascii="Times New Roman" w:hAnsi="Times New Roman" w:cs="Times New Roman"/>
          <w:sz w:val="24"/>
          <w:szCs w:val="24"/>
        </w:rPr>
        <w:t xml:space="preserve">(mid-point) </w:t>
      </w:r>
      <w:r w:rsidRPr="00151C2E">
        <w:rPr>
          <w:rFonts w:ascii="Times New Roman" w:hAnsi="Times New Roman" w:cs="Times New Roman"/>
          <w:sz w:val="24"/>
          <w:szCs w:val="24"/>
        </w:rPr>
        <w:t>is too high and would result in unjust and unreasonable rates.</w:t>
      </w:r>
      <w:r>
        <w:rPr>
          <w:rStyle w:val="FootnoteReference"/>
          <w:rFonts w:ascii="Times New Roman" w:hAnsi="Times New Roman" w:cs="Times New Roman"/>
          <w:sz w:val="24"/>
          <w:szCs w:val="24"/>
        </w:rPr>
        <w:footnoteReference w:id="20"/>
      </w:r>
      <w:r w:rsidRPr="00151C2E">
        <w:rPr>
          <w:rFonts w:ascii="Times New Roman" w:hAnsi="Times New Roman" w:cs="Times New Roman"/>
          <w:sz w:val="24"/>
          <w:szCs w:val="24"/>
        </w:rPr>
        <w:t xml:space="preserve"> OCC objects to the PUCO Staff-recommended revenue requirement and resulting revenue and rate increase recommended for Aqua. The PUCO Staff’s recommended revenue requirement</w:t>
      </w:r>
      <w:r w:rsidR="009479F7">
        <w:rPr>
          <w:rFonts w:ascii="Times New Roman" w:hAnsi="Times New Roman" w:cs="Times New Roman"/>
          <w:sz w:val="24"/>
          <w:szCs w:val="24"/>
        </w:rPr>
        <w:t xml:space="preserve"> </w:t>
      </w:r>
      <w:r w:rsidR="00F44829">
        <w:rPr>
          <w:rFonts w:ascii="Times New Roman" w:hAnsi="Times New Roman" w:cs="Times New Roman"/>
          <w:sz w:val="24"/>
          <w:szCs w:val="24"/>
        </w:rPr>
        <w:t xml:space="preserve">of </w:t>
      </w:r>
      <w:r w:rsidR="009479F7">
        <w:rPr>
          <w:rFonts w:ascii="Times New Roman" w:hAnsi="Times New Roman" w:cs="Times New Roman"/>
          <w:sz w:val="24"/>
          <w:szCs w:val="24"/>
        </w:rPr>
        <w:t xml:space="preserve">$76,117,135 (mid-point) </w:t>
      </w:r>
      <w:r w:rsidRPr="00151C2E">
        <w:rPr>
          <w:rFonts w:ascii="Times New Roman" w:hAnsi="Times New Roman" w:cs="Times New Roman"/>
          <w:sz w:val="24"/>
          <w:szCs w:val="24"/>
        </w:rPr>
        <w:t>for Aqua is excessive</w:t>
      </w:r>
      <w:r w:rsidR="00D3465B">
        <w:rPr>
          <w:rFonts w:ascii="Times New Roman" w:hAnsi="Times New Roman" w:cs="Times New Roman"/>
          <w:sz w:val="24"/>
          <w:szCs w:val="24"/>
        </w:rPr>
        <w:t xml:space="preserve"> because it </w:t>
      </w:r>
      <w:r w:rsidRPr="00151C2E">
        <w:rPr>
          <w:rFonts w:ascii="Times New Roman" w:hAnsi="Times New Roman" w:cs="Times New Roman"/>
          <w:sz w:val="24"/>
          <w:szCs w:val="24"/>
        </w:rPr>
        <w:t>utilize</w:t>
      </w:r>
      <w:r w:rsidR="00D3465B">
        <w:rPr>
          <w:rFonts w:ascii="Times New Roman" w:hAnsi="Times New Roman" w:cs="Times New Roman"/>
          <w:sz w:val="24"/>
          <w:szCs w:val="24"/>
        </w:rPr>
        <w:t>s</w:t>
      </w:r>
      <w:r w:rsidRPr="00151C2E">
        <w:rPr>
          <w:rFonts w:ascii="Times New Roman" w:hAnsi="Times New Roman" w:cs="Times New Roman"/>
          <w:sz w:val="24"/>
          <w:szCs w:val="24"/>
        </w:rPr>
        <w:t xml:space="preserve"> a rate of return that is not just and reasonable. The specific objections from which these overall conclusions are drawn are detailed below in OCC’s objections to the PUCO Staff’s recommendations regarding these matters.</w:t>
      </w:r>
    </w:p>
    <w:p w:rsidR="00047332" w:rsidP="00D3465B" w14:paraId="742ABD4E" w14:textId="7F8BB752">
      <w:pPr>
        <w:autoSpaceDE w:val="0"/>
        <w:autoSpaceDN w:val="0"/>
        <w:spacing w:after="0" w:line="480" w:lineRule="auto"/>
        <w:ind w:firstLine="720"/>
        <w:rPr>
          <w:rFonts w:ascii="Times New Roman" w:hAnsi="Times New Roman" w:cs="Times New Roman"/>
          <w:sz w:val="24"/>
          <w:szCs w:val="24"/>
        </w:rPr>
      </w:pPr>
      <w:r w:rsidRPr="00151C2E">
        <w:rPr>
          <w:rFonts w:ascii="Times New Roman" w:hAnsi="Times New Roman" w:cs="Times New Roman"/>
          <w:sz w:val="24"/>
          <w:szCs w:val="24"/>
        </w:rPr>
        <w:t>Additionally, OCC objects to each component of the PUCO Staff Report’s recommended revenue requirement and rate increase recommended for Aqua to the extent that OCC objections have an impact on the calculation of the recommended revenue requirement.</w:t>
      </w:r>
    </w:p>
    <w:p w:rsidR="00355D5D" w:rsidP="00E165DB" w14:paraId="7143637A" w14:textId="61A0755E">
      <w:pPr>
        <w:rPr>
          <w:rStyle w:val="Heading3Char"/>
        </w:rPr>
      </w:pPr>
      <w:bookmarkStart w:id="11" w:name="_Toc142925066"/>
      <w:r>
        <w:rPr>
          <w:rStyle w:val="Heading3Char"/>
        </w:rPr>
        <w:t xml:space="preserve">OBJECTION 2: </w:t>
      </w:r>
      <w:r w:rsidR="00A9305F">
        <w:rPr>
          <w:rStyle w:val="Heading3Char"/>
        </w:rPr>
        <w:t xml:space="preserve">OCC objects because, </w:t>
      </w:r>
      <w:r>
        <w:rPr>
          <w:rStyle w:val="Heading3Char"/>
        </w:rPr>
        <w:t>Staff’s recommended rate increase of $3,425,564 is not based entirely on updated actual June 30, 2023, financial data.</w:t>
      </w:r>
      <w:r w:rsidR="00427F55">
        <w:rPr>
          <w:rStyle w:val="Heading3Char"/>
        </w:rPr>
        <w:t xml:space="preserve"> </w:t>
      </w:r>
      <w:r>
        <w:rPr>
          <w:rStyle w:val="Heading3Char"/>
        </w:rPr>
        <w:t>Without knowing the revenue requirement baseline for</w:t>
      </w:r>
      <w:r w:rsidR="00427F55">
        <w:rPr>
          <w:rStyle w:val="Heading3Char"/>
        </w:rPr>
        <w:t xml:space="preserve"> </w:t>
      </w:r>
      <w:r>
        <w:rPr>
          <w:rStyle w:val="Heading3Char"/>
        </w:rPr>
        <w:t>both Aqua and Staff that would result from using actual June 30, 2023, financial data, Staff’s recommended rate increase of $3,425,564 is too high for consumers and would result in consumers paying unjust, unreasonable, and unlawful rates under R.C. 4905.22, 4909.15, 4909.154, 4909.17 and 4909.18.</w:t>
      </w:r>
      <w:bookmarkEnd w:id="11"/>
    </w:p>
    <w:p w:rsidR="00977931" w:rsidP="00E165DB" w14:paraId="78D4BC52" w14:textId="48ADD574">
      <w:pPr>
        <w:autoSpaceDE w:val="0"/>
        <w:autoSpaceDN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Audit Report states that Aqua has requested a revenue increase of $9.364 million based on a “test year updated through a date certain of June 30, 2023”,</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but Aqua’s revenue deficiency calculation has not been updated (to actual amounts) and is clearly not “certain” as of June 30, 2023. Larkin also makes a similar claim that its revenue deficiency calculation is “based on examination of the accounts and records of the Applicant for the test year ending, and data certain of, June 30, 2023.”</w:t>
      </w:r>
      <w:r>
        <w:rPr>
          <w:rStyle w:val="FootnoteReference"/>
          <w:rFonts w:ascii="Times New Roman" w:hAnsi="Times New Roman" w:cs="Times New Roman"/>
          <w:sz w:val="24"/>
          <w:szCs w:val="24"/>
        </w:rPr>
        <w:footnoteReference w:id="22"/>
      </w:r>
      <w:r w:rsidR="00427F55">
        <w:rPr>
          <w:rFonts w:ascii="Times New Roman" w:hAnsi="Times New Roman" w:cs="Times New Roman"/>
          <w:sz w:val="24"/>
          <w:szCs w:val="24"/>
        </w:rPr>
        <w:t xml:space="preserve"> </w:t>
      </w:r>
      <w:r>
        <w:rPr>
          <w:rFonts w:ascii="Times New Roman" w:hAnsi="Times New Roman" w:cs="Times New Roman"/>
          <w:sz w:val="24"/>
          <w:szCs w:val="24"/>
        </w:rPr>
        <w:t>However, the Staff-proposed revenue deficiency also does not begin or end with actual or certain financial data at June 30, 2023.</w:t>
      </w:r>
      <w:r w:rsidR="00427F55">
        <w:rPr>
          <w:rFonts w:ascii="Times New Roman" w:hAnsi="Times New Roman" w:cs="Times New Roman"/>
          <w:sz w:val="24"/>
          <w:szCs w:val="24"/>
        </w:rPr>
        <w:t xml:space="preserve"> </w:t>
      </w:r>
      <w:r>
        <w:rPr>
          <w:rFonts w:ascii="Times New Roman" w:hAnsi="Times New Roman" w:cs="Times New Roman"/>
          <w:sz w:val="24"/>
          <w:szCs w:val="24"/>
        </w:rPr>
        <w:t>The OCC believes the on</w:t>
      </w:r>
      <w:r w:rsidR="003451E8">
        <w:rPr>
          <w:rFonts w:ascii="Times New Roman" w:hAnsi="Times New Roman" w:cs="Times New Roman"/>
          <w:sz w:val="24"/>
          <w:szCs w:val="24"/>
        </w:rPr>
        <w:t>l</w:t>
      </w:r>
      <w:r>
        <w:rPr>
          <w:rFonts w:ascii="Times New Roman" w:hAnsi="Times New Roman" w:cs="Times New Roman"/>
          <w:sz w:val="24"/>
          <w:szCs w:val="24"/>
        </w:rPr>
        <w:t>y logical reason or incentive for Aqua not providing such actual updated information is that it would produce a reduced revenue deficiency.</w:t>
      </w:r>
      <w:r w:rsidR="00427F55">
        <w:rPr>
          <w:rFonts w:ascii="Times New Roman" w:hAnsi="Times New Roman" w:cs="Times New Roman"/>
          <w:sz w:val="24"/>
          <w:szCs w:val="24"/>
        </w:rPr>
        <w:t xml:space="preserve"> </w:t>
      </w:r>
      <w:r>
        <w:rPr>
          <w:rFonts w:ascii="Times New Roman" w:hAnsi="Times New Roman" w:cs="Times New Roman"/>
          <w:sz w:val="24"/>
          <w:szCs w:val="24"/>
        </w:rPr>
        <w:t>Aqua bears the burden of proof in this proceeding, and without providing actual updated June 30, 2023, financial data as a baseline or a test of reasonableness for both the Aqua and Staff-proposed revenue deficiency, there is no meaningful independent, objective, and conclusive validation for even the low end of Staff’s proposed revenue deficiency – and Aqua has failed to meet a reasonable burden of proof in this regard.</w:t>
      </w:r>
    </w:p>
    <w:p w:rsidR="00355D5D" w:rsidP="00E165DB" w14:paraId="2208EDA4" w14:textId="3C6C847A">
      <w:pPr>
        <w:rPr>
          <w:rStyle w:val="Heading3Char"/>
        </w:rPr>
      </w:pPr>
      <w:bookmarkStart w:id="12" w:name="_Toc142925067"/>
      <w:r>
        <w:rPr>
          <w:rStyle w:val="Heading3Char"/>
        </w:rPr>
        <w:t>OBJECTION 3</w:t>
      </w:r>
      <w:r w:rsidRPr="00215CD2">
        <w:rPr>
          <w:rStyle w:val="Heading3Char"/>
        </w:rPr>
        <w:t>:</w:t>
      </w:r>
      <w:r w:rsidRPr="00215CD2" w:rsidR="00427F55">
        <w:rPr>
          <w:rStyle w:val="Heading3Char"/>
        </w:rPr>
        <w:t xml:space="preserve"> </w:t>
      </w:r>
      <w:r w:rsidR="00A9305F">
        <w:rPr>
          <w:rStyle w:val="Heading3Char"/>
        </w:rPr>
        <w:t xml:space="preserve">OCC objects because </w:t>
      </w:r>
      <w:r w:rsidRPr="00215CD2">
        <w:rPr>
          <w:rStyle w:val="Heading3Char"/>
        </w:rPr>
        <w:t>the Audit Report Staff-adjusted O&amp;M expenses of $24.2M appear excessive. Thus, Staff’s recommended rate increase of $3,425,564 is too high for consumers and would result in consumers paying unjust, unreasonable, and unlawful rates under R.C. 4905.22, 4909.15, 4909.154, 4909.17 and 4909.18.</w:t>
      </w:r>
      <w:bookmarkEnd w:id="12"/>
    </w:p>
    <w:p w:rsidR="002020EC" w:rsidP="00427F55" w14:paraId="57057F93" w14:textId="4A3F5E32">
      <w:pPr>
        <w:autoSpaceDE w:val="0"/>
        <w:autoSpaceDN w:val="0"/>
        <w:spacing w:after="0" w:line="480" w:lineRule="auto"/>
        <w:ind w:firstLine="720"/>
        <w:rPr>
          <w:rStyle w:val="Heading3Char"/>
          <w:rFonts w:ascii="Times New Roman" w:hAnsi="Times New Roman"/>
          <w:b w:val="0"/>
          <w:bCs/>
        </w:rPr>
      </w:pPr>
      <w:r>
        <w:rPr>
          <w:rFonts w:ascii="Times New Roman" w:hAnsi="Times New Roman" w:cs="Times New Roman"/>
          <w:sz w:val="24"/>
          <w:szCs w:val="24"/>
        </w:rPr>
        <w:t xml:space="preserve">The Staff-proposed revenue deficiency includes O&amp;M expense levels that appear excessive compared to the historical trend, and this would result in a </w:t>
      </w:r>
      <w:r w:rsidRPr="00871618">
        <w:rPr>
          <w:rStyle w:val="Heading3Char"/>
          <w:rFonts w:ascii="Times New Roman" w:hAnsi="Times New Roman"/>
          <w:b w:val="0"/>
          <w:bCs/>
        </w:rPr>
        <w:t>rate increase of $3,425,564 that is too</w:t>
      </w:r>
      <w:r w:rsidRPr="00871618">
        <w:rPr>
          <w:rStyle w:val="Heading3Char"/>
          <w:b w:val="0"/>
          <w:bCs/>
        </w:rPr>
        <w:t xml:space="preserve"> </w:t>
      </w:r>
      <w:r w:rsidRPr="00871618">
        <w:rPr>
          <w:rStyle w:val="Heading3Char"/>
          <w:rFonts w:ascii="Times New Roman" w:hAnsi="Times New Roman"/>
          <w:b w:val="0"/>
          <w:bCs/>
        </w:rPr>
        <w:t>high for consumers and would result in consumers paying unjust, unreasonable, and unlawful rates under R.C. 4905.22, 4909.15, 4909.154, 4909.17 and 4909.18.</w:t>
      </w:r>
    </w:p>
    <w:p w:rsidR="00355D5D" w:rsidP="00E165DB" w14:paraId="2443D5FB" w14:textId="45E72C25">
      <w:pPr>
        <w:rPr>
          <w:rStyle w:val="Heading3Char"/>
        </w:rPr>
      </w:pPr>
      <w:bookmarkStart w:id="13" w:name="_Toc142925068"/>
      <w:r>
        <w:rPr>
          <w:rStyle w:val="Heading3Char"/>
        </w:rPr>
        <w:t xml:space="preserve">OBJECTION 4: </w:t>
      </w:r>
      <w:r w:rsidR="00A9305F">
        <w:rPr>
          <w:rStyle w:val="Heading3Char"/>
        </w:rPr>
        <w:t>OCC objects because t</w:t>
      </w:r>
      <w:r w:rsidRPr="00215CD2">
        <w:rPr>
          <w:rStyle w:val="Heading3Char"/>
        </w:rPr>
        <w:t>he Audit Report does not adjust the largely estimated affiliate expenses allocated from Essential Utilities to Aqua in this rate case.</w:t>
      </w:r>
      <w:r w:rsidRPr="00215CD2" w:rsidR="00427F55">
        <w:rPr>
          <w:rStyle w:val="Heading3Char"/>
        </w:rPr>
        <w:t xml:space="preserve"> </w:t>
      </w:r>
      <w:r w:rsidRPr="00215CD2">
        <w:rPr>
          <w:rStyle w:val="Heading3Char"/>
        </w:rPr>
        <w:t xml:space="preserve">Thus, </w:t>
      </w:r>
      <w:r w:rsidR="002020EC">
        <w:rPr>
          <w:rStyle w:val="Heading3Char"/>
        </w:rPr>
        <w:t xml:space="preserve">the </w:t>
      </w:r>
      <w:r w:rsidRPr="00215CD2">
        <w:rPr>
          <w:rStyle w:val="Heading3Char"/>
        </w:rPr>
        <w:t>Staff’s recommended rate increase of $3,425,564 is too high for consumers and would result in consumers paying unjust, unreasonable, and unlawful rates under R.C. 4905.22, 4909.15, 4909.154, 4909.17 and 4909.18.</w:t>
      </w:r>
      <w:bookmarkEnd w:id="13"/>
    </w:p>
    <w:p w:rsidR="002020EC" w:rsidP="00427F55" w14:paraId="39138D51" w14:textId="77777777">
      <w:pPr>
        <w:autoSpaceDE w:val="0"/>
        <w:autoSpaceDN w:val="0"/>
        <w:spacing w:after="0" w:line="480" w:lineRule="auto"/>
        <w:ind w:firstLine="720"/>
        <w:rPr>
          <w:rStyle w:val="Heading3Char"/>
          <w:rFonts w:ascii="Times New Roman" w:hAnsi="Times New Roman"/>
          <w:b w:val="0"/>
        </w:rPr>
      </w:pPr>
      <w:r>
        <w:rPr>
          <w:rFonts w:ascii="Times New Roman" w:hAnsi="Times New Roman" w:cs="Times New Roman"/>
          <w:sz w:val="24"/>
          <w:szCs w:val="24"/>
        </w:rPr>
        <w:t xml:space="preserve">Thus, the Staff-proposed revenue deficiency </w:t>
      </w:r>
      <w:r w:rsidRPr="00871618">
        <w:rPr>
          <w:rStyle w:val="Heading3Char"/>
          <w:rFonts w:ascii="Times New Roman" w:hAnsi="Times New Roman"/>
          <w:b w:val="0"/>
        </w:rPr>
        <w:t>of $3,425,564 may be too high for consumers and would result in consumers paying unjust, unreasonable, and unlawful rates under R.C. 4905.22, 4909.15, 4909.154, 4909.17 and 4909.18.</w:t>
      </w:r>
    </w:p>
    <w:p w:rsidR="007A098B" w:rsidP="00427F55" w14:paraId="5974D5A0" w14:textId="5A773716">
      <w:pPr>
        <w:autoSpaceDE w:val="0"/>
        <w:autoSpaceDN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the Audit Report does not adjust affiliate expenses, it is not possible for OCC to reasonably determine if the level of affiliate expenses is reasonable.</w:t>
      </w:r>
      <w:r w:rsidR="00427F55">
        <w:rPr>
          <w:rFonts w:ascii="Times New Roman" w:hAnsi="Times New Roman" w:cs="Times New Roman"/>
          <w:sz w:val="24"/>
          <w:szCs w:val="24"/>
        </w:rPr>
        <w:t xml:space="preserve"> </w:t>
      </w:r>
    </w:p>
    <w:p w:rsidR="007A098B" w14:paraId="2A8924E1" w14:textId="77777777">
      <w:pPr>
        <w:rPr>
          <w:rFonts w:ascii="Times New Roman" w:hAnsi="Times New Roman" w:cs="Times New Roman"/>
          <w:sz w:val="24"/>
          <w:szCs w:val="24"/>
        </w:rPr>
      </w:pPr>
      <w:r>
        <w:rPr>
          <w:rFonts w:ascii="Times New Roman" w:hAnsi="Times New Roman" w:cs="Times New Roman"/>
          <w:sz w:val="24"/>
          <w:szCs w:val="24"/>
        </w:rPr>
        <w:br w:type="page"/>
      </w:r>
    </w:p>
    <w:p w:rsidR="00355D5D" w:rsidP="00E165DB" w14:paraId="57BB5B15" w14:textId="3FBB6FF4">
      <w:pPr>
        <w:rPr>
          <w:rStyle w:val="Heading3Char"/>
        </w:rPr>
      </w:pPr>
      <w:bookmarkStart w:id="14" w:name="_Toc142925069"/>
      <w:r>
        <w:rPr>
          <w:rStyle w:val="Heading3Char"/>
        </w:rPr>
        <w:t xml:space="preserve">OBJECTION 5: The </w:t>
      </w:r>
      <w:r w:rsidRPr="00215CD2">
        <w:rPr>
          <w:rStyle w:val="Heading3Char"/>
        </w:rPr>
        <w:t>OCC</w:t>
      </w:r>
      <w:r w:rsidR="002020EC">
        <w:rPr>
          <w:rStyle w:val="Heading3Char"/>
        </w:rPr>
        <w:t xml:space="preserve"> objects because the Staff Report did not</w:t>
      </w:r>
      <w:r w:rsidRPr="00215CD2">
        <w:rPr>
          <w:rStyle w:val="Heading3Char"/>
        </w:rPr>
        <w:t xml:space="preserve"> confirm, validate and reconcile </w:t>
      </w:r>
      <w:r w:rsidR="002020EC">
        <w:rPr>
          <w:rStyle w:val="Heading3Char"/>
        </w:rPr>
        <w:t xml:space="preserve">that </w:t>
      </w:r>
      <w:r w:rsidRPr="00215CD2">
        <w:rPr>
          <w:rStyle w:val="Heading3Char"/>
        </w:rPr>
        <w:t>the largely estimated amount of short-term incentive expense and stock-based compensation expense (presumably long-term incentive expense) included in the Aqua revenue deficiency (and adjusted by the Audit Report) is reasonable or is reasonable when compared to the updated actual incentive expenses at June 30, 2023.</w:t>
      </w:r>
      <w:r w:rsidR="005031E7">
        <w:rPr>
          <w:rStyle w:val="Heading3Char"/>
        </w:rPr>
        <w:t xml:space="preserve"> </w:t>
      </w:r>
      <w:r w:rsidRPr="00215CD2">
        <w:rPr>
          <w:rStyle w:val="Heading3Char"/>
        </w:rPr>
        <w:t xml:space="preserve"> This could mean the Staff Report’s recommended rate increase of $3,425,564 is too high for consumers and would result in consumers paying unjust, unreasonable, and unlawful rates under R.C. 4905.22, 4909.15, 4909.154, 4909.17 and 4909.18.</w:t>
      </w:r>
      <w:bookmarkEnd w:id="14"/>
    </w:p>
    <w:p w:rsidR="00355D5D" w:rsidP="00427F55" w14:paraId="49A21D4E" w14:textId="0D0E9351">
      <w:pPr>
        <w:autoSpaceDE w:val="0"/>
        <w:autoSpaceDN w:val="0"/>
        <w:spacing w:after="0" w:line="480" w:lineRule="auto"/>
        <w:ind w:firstLine="720"/>
        <w:rPr>
          <w:rStyle w:val="Heading3Char"/>
          <w:rFonts w:ascii="Times New Roman" w:hAnsi="Times New Roman"/>
          <w:b w:val="0"/>
          <w:bCs/>
        </w:rPr>
      </w:pPr>
      <w:r>
        <w:rPr>
          <w:rFonts w:ascii="Times New Roman" w:hAnsi="Times New Roman" w:cs="Times New Roman"/>
          <w:sz w:val="24"/>
          <w:szCs w:val="24"/>
        </w:rPr>
        <w:t>The Staff Report did not confirm or validate that</w:t>
      </w:r>
      <w:r w:rsidR="005031E7">
        <w:rPr>
          <w:rFonts w:ascii="Times New Roman" w:hAnsi="Times New Roman" w:cs="Times New Roman"/>
          <w:sz w:val="24"/>
          <w:szCs w:val="24"/>
        </w:rPr>
        <w:t xml:space="preserve"> </w:t>
      </w:r>
      <w:r>
        <w:rPr>
          <w:rFonts w:ascii="Times New Roman" w:hAnsi="Times New Roman" w:cs="Times New Roman"/>
          <w:sz w:val="24"/>
          <w:szCs w:val="24"/>
        </w:rPr>
        <w:t xml:space="preserve">Aqua’s incentive and stock-based compensation expense is reasonable. Thus, this could mean that </w:t>
      </w:r>
      <w:r w:rsidRPr="00C32FBB">
        <w:rPr>
          <w:rFonts w:ascii="Times New Roman" w:hAnsi="Times New Roman" w:cs="Times New Roman"/>
          <w:sz w:val="24"/>
          <w:szCs w:val="24"/>
        </w:rPr>
        <w:t>Staff’s recommended increase to consumers of $3,425,564 (mid-point</w:t>
      </w:r>
      <w:r w:rsidRPr="00720C35">
        <w:rPr>
          <w:rFonts w:ascii="Times New Roman" w:hAnsi="Times New Roman" w:cs="Times New Roman"/>
          <w:sz w:val="24"/>
          <w:szCs w:val="24"/>
        </w:rPr>
        <w:t>)</w:t>
      </w:r>
      <w:r w:rsidRPr="00720C35">
        <w:rPr>
          <w:rStyle w:val="Heading3Char"/>
        </w:rPr>
        <w:t xml:space="preserve"> </w:t>
      </w:r>
      <w:r w:rsidRPr="00871618">
        <w:rPr>
          <w:rStyle w:val="Heading3Char"/>
          <w:rFonts w:ascii="Times New Roman" w:hAnsi="Times New Roman"/>
          <w:b w:val="0"/>
          <w:bCs/>
        </w:rPr>
        <w:t>is too high for consumers and would result in consumers paying unjust, unreasonable, and unlawful rates under R.C. 4905.22, 4909.15, 4909.154, 4909.17 and 4909.18.</w:t>
      </w:r>
    </w:p>
    <w:p w:rsidR="00E0624C" w:rsidP="00E165DB" w14:paraId="10BA70BF" w14:textId="77777777">
      <w:pPr>
        <w:autoSpaceDE w:val="0"/>
        <w:autoSpaceDN w:val="0"/>
        <w:spacing w:after="0" w:line="240" w:lineRule="auto"/>
        <w:rPr>
          <w:rStyle w:val="Heading3Char"/>
        </w:rPr>
      </w:pPr>
      <w:bookmarkStart w:id="15" w:name="_Toc142925070"/>
      <w:r w:rsidRPr="00E165DB">
        <w:rPr>
          <w:rStyle w:val="Heading3Char"/>
        </w:rPr>
        <w:t>OBJECTION 6: OCC Objects because the Staff Report’s adjustments regarding incentive expenses may be understated</w:t>
      </w:r>
      <w:r>
        <w:rPr>
          <w:rStyle w:val="Heading3Char"/>
        </w:rPr>
        <w:t>.</w:t>
      </w:r>
      <w:bookmarkEnd w:id="15"/>
      <w:r w:rsidRPr="00E165DB">
        <w:rPr>
          <w:rStyle w:val="Heading3Char"/>
        </w:rPr>
        <w:t xml:space="preserve"> </w:t>
      </w:r>
    </w:p>
    <w:p w:rsidR="00E0624C" w:rsidP="00E165DB" w14:paraId="3327EE4A" w14:textId="77777777">
      <w:pPr>
        <w:autoSpaceDE w:val="0"/>
        <w:autoSpaceDN w:val="0"/>
        <w:spacing w:after="0" w:line="240" w:lineRule="auto"/>
        <w:rPr>
          <w:rStyle w:val="Heading3Char"/>
        </w:rPr>
      </w:pPr>
    </w:p>
    <w:p w:rsidR="00D6213D" w:rsidRPr="007A098B" w:rsidP="00EC404A" w14:paraId="41EF2403" w14:textId="446C7C41">
      <w:pPr>
        <w:spacing w:line="480" w:lineRule="auto"/>
        <w:ind w:firstLine="720"/>
        <w:rPr>
          <w:rStyle w:val="Heading3Char"/>
          <w:rFonts w:ascii="Times New Roman" w:hAnsi="Times New Roman"/>
        </w:rPr>
      </w:pPr>
      <w:bookmarkStart w:id="16" w:name="_Toc142925071"/>
      <w:r w:rsidRPr="007A098B">
        <w:rPr>
          <w:rStyle w:val="Heading3Char"/>
          <w:rFonts w:ascii="Times New Roman" w:hAnsi="Times New Roman"/>
          <w:b w:val="0"/>
          <w:bCs/>
        </w:rPr>
        <w:t>OCC had difficulty reconciling to the amounts included in the revenue deficiency calculations of both Aqua and</w:t>
      </w:r>
      <w:r w:rsidR="00E0624C">
        <w:rPr>
          <w:rStyle w:val="Heading3Char"/>
          <w:rFonts w:ascii="Times New Roman" w:hAnsi="Times New Roman"/>
          <w:b w:val="0"/>
          <w:bCs/>
        </w:rPr>
        <w:t xml:space="preserve"> the</w:t>
      </w:r>
      <w:r w:rsidRPr="007A098B">
        <w:rPr>
          <w:rStyle w:val="Heading3Char"/>
          <w:rFonts w:ascii="Times New Roman" w:hAnsi="Times New Roman"/>
          <w:b w:val="0"/>
          <w:bCs/>
        </w:rPr>
        <w:t xml:space="preserve"> Staff</w:t>
      </w:r>
      <w:r w:rsidR="00E0624C">
        <w:rPr>
          <w:rStyle w:val="Heading3Char"/>
          <w:rFonts w:ascii="Times New Roman" w:hAnsi="Times New Roman"/>
          <w:b w:val="0"/>
          <w:bCs/>
        </w:rPr>
        <w:t xml:space="preserve"> Report</w:t>
      </w:r>
      <w:r w:rsidRPr="007A098B">
        <w:rPr>
          <w:rStyle w:val="Heading3Char"/>
          <w:rFonts w:ascii="Times New Roman" w:hAnsi="Times New Roman"/>
          <w:b w:val="0"/>
          <w:bCs/>
        </w:rPr>
        <w:t>.</w:t>
      </w:r>
      <w:r w:rsidR="00E0624C">
        <w:rPr>
          <w:rStyle w:val="Heading3Char"/>
          <w:rFonts w:ascii="Times New Roman" w:hAnsi="Times New Roman"/>
          <w:b w:val="0"/>
          <w:bCs/>
        </w:rPr>
        <w:t xml:space="preserve"> Thus, the Staff Report c</w:t>
      </w:r>
      <w:r w:rsidRPr="00871618" w:rsidR="00E0624C">
        <w:rPr>
          <w:rStyle w:val="Heading3Char"/>
          <w:rFonts w:ascii="Times New Roman" w:hAnsi="Times New Roman"/>
          <w:b w:val="0"/>
          <w:bCs/>
        </w:rPr>
        <w:t>ould result in consumers paying unjust, unreasonable, and unlawful rates under R.C. 4905.22, 4909.15, 4909.154, 4909.17 and 4909.18.</w:t>
      </w:r>
      <w:bookmarkEnd w:id="16"/>
    </w:p>
    <w:p w:rsidR="00F3266D" w:rsidRPr="002C464E" w:rsidP="00F27079" w14:paraId="01D389A8" w14:textId="3E4D9741">
      <w:pPr>
        <w:pStyle w:val="Heading2"/>
        <w:numPr>
          <w:ilvl w:val="0"/>
          <w:numId w:val="3"/>
        </w:numPr>
        <w:rPr>
          <w:rFonts w:ascii="Times New Roman" w:eastAsia="Times New Roman" w:hAnsi="Times New Roman" w:cs="Times New Roman"/>
          <w:szCs w:val="24"/>
        </w:rPr>
      </w:pPr>
      <w:bookmarkStart w:id="17" w:name="_Toc142925072"/>
      <w:r w:rsidRPr="002C464E">
        <w:rPr>
          <w:rFonts w:ascii="Times New Roman" w:eastAsia="Times New Roman" w:hAnsi="Times New Roman" w:cs="Times New Roman"/>
          <w:szCs w:val="24"/>
        </w:rPr>
        <w:t>Rate of Return</w:t>
      </w:r>
      <w:bookmarkEnd w:id="7"/>
      <w:bookmarkEnd w:id="8"/>
      <w:bookmarkEnd w:id="17"/>
    </w:p>
    <w:p w:rsidR="00F3266D" w:rsidRPr="002C464E" w:rsidP="00F3266D" w14:paraId="2B549626" w14:textId="4F634052">
      <w:pPr>
        <w:spacing w:after="0" w:line="480" w:lineRule="auto"/>
        <w:rPr>
          <w:rFonts w:ascii="Times New Roman" w:hAnsi="Times New Roman" w:cs="Times New Roman"/>
          <w:sz w:val="24"/>
          <w:szCs w:val="24"/>
        </w:rPr>
      </w:pPr>
      <w:r w:rsidRPr="002C464E">
        <w:rPr>
          <w:rFonts w:ascii="Times New Roman" w:hAnsi="Times New Roman" w:cs="Times New Roman"/>
          <w:sz w:val="24"/>
          <w:szCs w:val="24"/>
        </w:rPr>
        <w:tab/>
        <w:t>As described in our Objections</w:t>
      </w:r>
      <w:r w:rsidR="00F44829">
        <w:rPr>
          <w:rFonts w:ascii="Times New Roman" w:hAnsi="Times New Roman" w:cs="Times New Roman"/>
          <w:sz w:val="24"/>
          <w:szCs w:val="24"/>
        </w:rPr>
        <w:t xml:space="preserve"> below</w:t>
      </w:r>
      <w:r w:rsidRPr="002C464E">
        <w:rPr>
          <w:rFonts w:ascii="Times New Roman" w:hAnsi="Times New Roman" w:cs="Times New Roman"/>
          <w:sz w:val="24"/>
          <w:szCs w:val="24"/>
        </w:rPr>
        <w:t>, the PUCO Staff Report’s recommended rate of return range of 6.49% -7.01%</w:t>
      </w:r>
      <w:r>
        <w:rPr>
          <w:rStyle w:val="FootnoteReference"/>
          <w:rFonts w:ascii="Times New Roman" w:eastAsia="Times New Roman" w:hAnsi="Times New Roman" w:cs="Times New Roman"/>
          <w:sz w:val="24"/>
          <w:szCs w:val="24"/>
        </w:rPr>
        <w:footnoteReference w:id="23"/>
      </w:r>
      <w:r w:rsidRPr="002C464E">
        <w:rPr>
          <w:rFonts w:ascii="Times New Roman" w:hAnsi="Times New Roman" w:cs="Times New Roman"/>
          <w:sz w:val="24"/>
          <w:szCs w:val="24"/>
        </w:rPr>
        <w:t xml:space="preserve"> is too high based on current market conditions and Aqua’s business and financial risks. It is thus unjust and unreasonable for consumers to pay Aqua a water distribution charge based on this range of rate of return. A more reasonable rate of return would be</w:t>
      </w:r>
      <w:r w:rsidR="005031E7">
        <w:rPr>
          <w:rFonts w:ascii="Times New Roman" w:hAnsi="Times New Roman" w:cs="Times New Roman"/>
          <w:sz w:val="24"/>
          <w:szCs w:val="24"/>
        </w:rPr>
        <w:t xml:space="preserve"> </w:t>
      </w:r>
      <w:r w:rsidRPr="002C464E" w:rsidR="00B76ED6">
        <w:rPr>
          <w:rFonts w:ascii="Times New Roman" w:hAnsi="Times New Roman" w:cs="Times New Roman"/>
          <w:sz w:val="24"/>
          <w:szCs w:val="24"/>
        </w:rPr>
        <w:t>6.47%.</w:t>
      </w:r>
      <w:r>
        <w:rPr>
          <w:rStyle w:val="FootnoteReference"/>
          <w:rFonts w:ascii="Times New Roman" w:hAnsi="Times New Roman" w:cs="Times New Roman"/>
          <w:sz w:val="24"/>
          <w:szCs w:val="24"/>
        </w:rPr>
        <w:footnoteReference w:id="24"/>
      </w:r>
      <w:r w:rsidRPr="002C464E">
        <w:rPr>
          <w:rFonts w:ascii="Times New Roman" w:hAnsi="Times New Roman" w:cs="Times New Roman"/>
          <w:sz w:val="24"/>
          <w:szCs w:val="24"/>
        </w:rPr>
        <w:t xml:space="preserve"> The Staff Report’s recommended return on equity range of 8.9</w:t>
      </w:r>
      <w:r w:rsidRPr="002C464E" w:rsidR="00B76ED6">
        <w:rPr>
          <w:rFonts w:ascii="Times New Roman" w:hAnsi="Times New Roman" w:cs="Times New Roman"/>
          <w:sz w:val="24"/>
          <w:szCs w:val="24"/>
        </w:rPr>
        <w:t>4</w:t>
      </w:r>
      <w:r w:rsidRPr="002C464E">
        <w:rPr>
          <w:rFonts w:ascii="Times New Roman" w:hAnsi="Times New Roman" w:cs="Times New Roman"/>
          <w:sz w:val="24"/>
          <w:szCs w:val="24"/>
        </w:rPr>
        <w:t xml:space="preserve">% - </w:t>
      </w:r>
      <w:r w:rsidRPr="002C464E" w:rsidR="00B76ED6">
        <w:rPr>
          <w:rFonts w:ascii="Times New Roman" w:hAnsi="Times New Roman" w:cs="Times New Roman"/>
          <w:sz w:val="24"/>
          <w:szCs w:val="24"/>
        </w:rPr>
        <w:t>9.95</w:t>
      </w:r>
      <w:r w:rsidRPr="002C464E">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sidRPr="002C464E">
        <w:rPr>
          <w:rFonts w:ascii="Times New Roman" w:hAnsi="Times New Roman" w:cs="Times New Roman"/>
          <w:sz w:val="24"/>
          <w:szCs w:val="24"/>
        </w:rPr>
        <w:t xml:space="preserve"> is also too high and thus unjust and unreasonable for consumers to pay.</w:t>
      </w:r>
    </w:p>
    <w:p w:rsidR="00F3266D" w:rsidP="00F3266D" w14:paraId="6710F869" w14:textId="7C6E3953">
      <w:pPr>
        <w:spacing w:after="0" w:line="480" w:lineRule="auto"/>
        <w:ind w:firstLine="720"/>
        <w:rPr>
          <w:rFonts w:ascii="Times New Roman" w:hAnsi="Times New Roman" w:cs="Times New Roman"/>
          <w:sz w:val="24"/>
          <w:szCs w:val="24"/>
        </w:rPr>
      </w:pPr>
      <w:r w:rsidRPr="002C464E">
        <w:rPr>
          <w:rFonts w:ascii="Times New Roman" w:hAnsi="Times New Roman" w:cs="Times New Roman"/>
          <w:sz w:val="24"/>
          <w:szCs w:val="24"/>
        </w:rPr>
        <w:t xml:space="preserve">Specifically, the cost of equity and the rate of return proposed in the PUCO Staff Report do not reflect current market conditions or the business and financial risks facing a regulated water utility such as Aqua. Furthermore, </w:t>
      </w:r>
      <w:r w:rsidR="00F44829">
        <w:rPr>
          <w:rFonts w:ascii="Times New Roman" w:hAnsi="Times New Roman" w:cs="Times New Roman"/>
          <w:sz w:val="24"/>
          <w:szCs w:val="24"/>
        </w:rPr>
        <w:t xml:space="preserve">the PUCO </w:t>
      </w:r>
      <w:r w:rsidRPr="002C464E">
        <w:rPr>
          <w:rFonts w:ascii="Times New Roman" w:hAnsi="Times New Roman" w:cs="Times New Roman"/>
          <w:sz w:val="24"/>
          <w:szCs w:val="24"/>
        </w:rPr>
        <w:t>Staff’s analysis is inconsistent with the analysis and approach used in the Staff Reports of prior rate cases.</w:t>
      </w:r>
      <w:r>
        <w:rPr>
          <w:rStyle w:val="FootnoteReference"/>
          <w:rFonts w:ascii="Times New Roman" w:eastAsia="Times New Roman" w:hAnsi="Times New Roman" w:cs="Times New Roman"/>
          <w:sz w:val="24"/>
          <w:szCs w:val="24"/>
        </w:rPr>
        <w:footnoteReference w:id="26"/>
      </w:r>
      <w:r w:rsidRPr="002C464E">
        <w:rPr>
          <w:rFonts w:ascii="Times New Roman" w:hAnsi="Times New Roman" w:cs="Times New Roman"/>
          <w:sz w:val="24"/>
          <w:szCs w:val="24"/>
        </w:rPr>
        <w:t xml:space="preserve"> The PUCO Staff has not provided any explanation for why it changed its approach. </w:t>
      </w:r>
    </w:p>
    <w:p w:rsidR="00B76ED6" w:rsidP="00F44829" w14:paraId="19DCC387" w14:textId="0BBF70FB">
      <w:pPr>
        <w:spacing w:after="0" w:line="240" w:lineRule="auto"/>
        <w:rPr>
          <w:rFonts w:ascii="Times New Roman" w:hAnsi="Times New Roman" w:cs="Times New Roman"/>
          <w:b/>
          <w:bCs/>
          <w:sz w:val="24"/>
          <w:szCs w:val="24"/>
        </w:rPr>
      </w:pPr>
      <w:bookmarkStart w:id="18" w:name="_Toc142925073"/>
      <w:r w:rsidRPr="006A70BC">
        <w:rPr>
          <w:rStyle w:val="Heading3Char"/>
        </w:rPr>
        <w:t xml:space="preserve">OBJECTION </w:t>
      </w:r>
      <w:r w:rsidR="005031E7">
        <w:rPr>
          <w:rStyle w:val="Heading3Char"/>
        </w:rPr>
        <w:t>7</w:t>
      </w:r>
      <w:r w:rsidRPr="006A70BC">
        <w:rPr>
          <w:rStyle w:val="Heading3Char"/>
        </w:rPr>
        <w:t>:</w:t>
      </w:r>
      <w:r w:rsidR="005031E7">
        <w:rPr>
          <w:rStyle w:val="Heading3Char"/>
        </w:rPr>
        <w:t xml:space="preserve"> </w:t>
      </w:r>
      <w:r w:rsidR="002020EC">
        <w:rPr>
          <w:rStyle w:val="Heading3Char"/>
        </w:rPr>
        <w:t xml:space="preserve">OCC objects because the </w:t>
      </w:r>
      <w:r w:rsidRPr="006A70BC">
        <w:rPr>
          <w:rStyle w:val="Heading3Char"/>
        </w:rPr>
        <w:t xml:space="preserve">Staff Report erred by using the historical </w:t>
      </w:r>
      <w:r w:rsidRPr="006A70BC" w:rsidR="00713D12">
        <w:rPr>
          <w:rStyle w:val="Heading3Char"/>
        </w:rPr>
        <w:t>Gross National Product (“</w:t>
      </w:r>
      <w:r w:rsidRPr="006A70BC">
        <w:rPr>
          <w:rStyle w:val="Heading3Char"/>
        </w:rPr>
        <w:t>GNP</w:t>
      </w:r>
      <w:r w:rsidRPr="006A70BC" w:rsidR="00713D12">
        <w:rPr>
          <w:rStyle w:val="Heading3Char"/>
        </w:rPr>
        <w:t>”)</w:t>
      </w:r>
      <w:r w:rsidRPr="006A70BC">
        <w:rPr>
          <w:rStyle w:val="Heading3Char"/>
        </w:rPr>
        <w:t xml:space="preserve"> growth rate in modeling the long-term growth rate </w:t>
      </w:r>
      <w:r w:rsidRPr="006A70BC" w:rsidR="000A6A64">
        <w:rPr>
          <w:rStyle w:val="Heading3Char"/>
        </w:rPr>
        <w:t>for the multistage</w:t>
      </w:r>
      <w:r w:rsidRPr="006A70BC">
        <w:rPr>
          <w:rStyle w:val="Heading3Char"/>
        </w:rPr>
        <w:t xml:space="preserve"> </w:t>
      </w:r>
      <w:r w:rsidRPr="006A70BC" w:rsidR="0052521E">
        <w:rPr>
          <w:rStyle w:val="Heading3Char"/>
        </w:rPr>
        <w:t>discounted cash flow (“</w:t>
      </w:r>
      <w:r w:rsidRPr="006A70BC">
        <w:rPr>
          <w:rStyle w:val="Heading3Char"/>
        </w:rPr>
        <w:t>DCF</w:t>
      </w:r>
      <w:r w:rsidRPr="006A70BC" w:rsidR="0052521E">
        <w:rPr>
          <w:rStyle w:val="Heading3Char"/>
        </w:rPr>
        <w:t>”)</w:t>
      </w:r>
      <w:r w:rsidRPr="006A70BC">
        <w:rPr>
          <w:rStyle w:val="Heading3Char"/>
        </w:rPr>
        <w:t xml:space="preserve"> model. The use of the </w:t>
      </w:r>
      <w:r w:rsidRPr="006A70BC" w:rsidR="000A6A64">
        <w:rPr>
          <w:rStyle w:val="Heading3Char"/>
        </w:rPr>
        <w:t>historical</w:t>
      </w:r>
      <w:r w:rsidRPr="006A70BC">
        <w:rPr>
          <w:rStyle w:val="Heading3Char"/>
        </w:rPr>
        <w:t xml:space="preserve"> GNP growth rate for the DCF analysis leads to a rate of return that is too high and results in unjust and unreasonable rates </w:t>
      </w:r>
      <w:r w:rsidRPr="006A70BC" w:rsidR="00F44829">
        <w:rPr>
          <w:rStyle w:val="Heading3Char"/>
        </w:rPr>
        <w:t xml:space="preserve">to consumers in violation of </w:t>
      </w:r>
      <w:r w:rsidRPr="006A70BC" w:rsidR="0052521E">
        <w:rPr>
          <w:rStyle w:val="Heading3Char"/>
        </w:rPr>
        <w:t>R.C. 4905.22, 4909.15, 4909.154, 4909.17 and 4909.18.</w:t>
      </w:r>
      <w:bookmarkEnd w:id="18"/>
    </w:p>
    <w:p w:rsidR="00F44829" w:rsidRPr="00F44829" w:rsidP="00F44829" w14:paraId="2BD49B2A" w14:textId="77777777">
      <w:pPr>
        <w:spacing w:after="0" w:line="240" w:lineRule="auto"/>
        <w:rPr>
          <w:rFonts w:ascii="Times New Roman" w:hAnsi="Times New Roman" w:cs="Times New Roman"/>
          <w:b/>
          <w:bCs/>
          <w:sz w:val="24"/>
          <w:szCs w:val="24"/>
        </w:rPr>
      </w:pPr>
    </w:p>
    <w:p w:rsidR="000A6A64" w:rsidRPr="002C464E" w:rsidP="00C7245A" w14:paraId="0B9AB010" w14:textId="71B52121">
      <w:pPr>
        <w:spacing w:after="0" w:line="480" w:lineRule="auto"/>
        <w:rPr>
          <w:rStyle w:val="LineNumber"/>
          <w:rFonts w:ascii="Times New Roman" w:hAnsi="Times New Roman" w:cs="Times New Roman"/>
          <w:sz w:val="24"/>
          <w:szCs w:val="24"/>
        </w:rPr>
      </w:pPr>
      <w:r w:rsidRPr="002C464E">
        <w:rPr>
          <w:rFonts w:ascii="Times New Roman" w:hAnsi="Times New Roman" w:cs="Times New Roman"/>
          <w:sz w:val="24"/>
          <w:szCs w:val="24"/>
        </w:rPr>
        <w:tab/>
      </w:r>
      <w:r w:rsidR="00F44829">
        <w:rPr>
          <w:rFonts w:ascii="Times New Roman" w:hAnsi="Times New Roman" w:cs="Times New Roman"/>
          <w:sz w:val="24"/>
          <w:szCs w:val="24"/>
        </w:rPr>
        <w:t xml:space="preserve">The </w:t>
      </w:r>
      <w:r w:rsidRPr="002C464E">
        <w:rPr>
          <w:rFonts w:ascii="Times New Roman" w:hAnsi="Times New Roman" w:cs="Times New Roman"/>
          <w:sz w:val="24"/>
          <w:szCs w:val="24"/>
        </w:rPr>
        <w:t>PUCO Staff’s use of the historical G</w:t>
      </w:r>
      <w:r w:rsidRPr="002C464E" w:rsidR="009F3E18">
        <w:rPr>
          <w:rFonts w:ascii="Times New Roman" w:hAnsi="Times New Roman" w:cs="Times New Roman"/>
          <w:sz w:val="24"/>
          <w:szCs w:val="24"/>
        </w:rPr>
        <w:t>N</w:t>
      </w:r>
      <w:r w:rsidRPr="002C464E">
        <w:rPr>
          <w:rFonts w:ascii="Times New Roman" w:hAnsi="Times New Roman" w:cs="Times New Roman"/>
          <w:sz w:val="24"/>
          <w:szCs w:val="24"/>
        </w:rPr>
        <w:t>P growth rate in modeling the long-term growth rate for the multistage DCF model overstates the estimated cost of equity of Aqua under the DCF analysis.</w:t>
      </w:r>
      <w:r>
        <w:rPr>
          <w:rStyle w:val="FootnoteReference"/>
          <w:rFonts w:ascii="Times New Roman" w:eastAsia="Times New Roman" w:hAnsi="Times New Roman" w:cs="Times New Roman"/>
          <w:sz w:val="24"/>
          <w:szCs w:val="24"/>
        </w:rPr>
        <w:footnoteReference w:id="27"/>
      </w:r>
      <w:r w:rsidRPr="002C464E">
        <w:rPr>
          <w:rFonts w:ascii="Times New Roman" w:hAnsi="Times New Roman" w:cs="Times New Roman"/>
          <w:sz w:val="24"/>
          <w:szCs w:val="24"/>
        </w:rPr>
        <w:t xml:space="preserve"> In the DCF model analysis, a key element i</w:t>
      </w:r>
      <w:r w:rsidRPr="002C464E" w:rsidR="009F3E18">
        <w:rPr>
          <w:rFonts w:ascii="Times New Roman" w:hAnsi="Times New Roman" w:cs="Times New Roman"/>
          <w:sz w:val="24"/>
          <w:szCs w:val="24"/>
        </w:rPr>
        <w:t>s</w:t>
      </w:r>
      <w:r w:rsidRPr="002C464E">
        <w:rPr>
          <w:rFonts w:ascii="Times New Roman" w:hAnsi="Times New Roman" w:cs="Times New Roman"/>
          <w:sz w:val="24"/>
          <w:szCs w:val="24"/>
        </w:rPr>
        <w:t xml:space="preserve"> the earnings growth rate as the input into the model. The Staff used a multistage DCF model assuming</w:t>
      </w:r>
      <w:r w:rsidR="00F44829">
        <w:rPr>
          <w:rFonts w:ascii="Times New Roman" w:hAnsi="Times New Roman" w:cs="Times New Roman"/>
          <w:sz w:val="24"/>
          <w:szCs w:val="24"/>
        </w:rPr>
        <w:t xml:space="preserve"> that</w:t>
      </w:r>
      <w:r w:rsidRPr="002C464E">
        <w:rPr>
          <w:rFonts w:ascii="Times New Roman" w:hAnsi="Times New Roman" w:cs="Times New Roman"/>
          <w:sz w:val="24"/>
          <w:szCs w:val="24"/>
        </w:rPr>
        <w:t xml:space="preserve"> the long-term growth rate starting from </w:t>
      </w:r>
      <w:r w:rsidRPr="002C464E" w:rsidR="009F3E18">
        <w:rPr>
          <w:rFonts w:ascii="Times New Roman" w:hAnsi="Times New Roman" w:cs="Times New Roman"/>
          <w:sz w:val="24"/>
          <w:szCs w:val="24"/>
        </w:rPr>
        <w:t xml:space="preserve">the </w:t>
      </w:r>
      <w:r w:rsidRPr="002C464E">
        <w:rPr>
          <w:rFonts w:ascii="Times New Roman" w:hAnsi="Times New Roman" w:cs="Times New Roman"/>
          <w:sz w:val="24"/>
          <w:szCs w:val="24"/>
        </w:rPr>
        <w:t>25</w:t>
      </w:r>
      <w:r w:rsidRPr="002C464E">
        <w:rPr>
          <w:rFonts w:ascii="Times New Roman" w:hAnsi="Times New Roman" w:cs="Times New Roman"/>
          <w:sz w:val="24"/>
          <w:szCs w:val="24"/>
          <w:vertAlign w:val="superscript"/>
        </w:rPr>
        <w:t>th</w:t>
      </w:r>
      <w:r w:rsidRPr="002C464E">
        <w:rPr>
          <w:rFonts w:ascii="Times New Roman" w:hAnsi="Times New Roman" w:cs="Times New Roman"/>
          <w:sz w:val="24"/>
          <w:szCs w:val="24"/>
        </w:rPr>
        <w:t xml:space="preserve"> year is the average annual</w:t>
      </w:r>
      <w:r w:rsidRPr="002C464E" w:rsidR="009F3E18">
        <w:rPr>
          <w:rFonts w:ascii="Times New Roman" w:hAnsi="Times New Roman" w:cs="Times New Roman"/>
          <w:sz w:val="24"/>
          <w:szCs w:val="24"/>
        </w:rPr>
        <w:t xml:space="preserve"> percentage</w:t>
      </w:r>
      <w:r w:rsidRPr="002C464E">
        <w:rPr>
          <w:rFonts w:ascii="Times New Roman" w:hAnsi="Times New Roman" w:cs="Times New Roman"/>
          <w:sz w:val="24"/>
          <w:szCs w:val="24"/>
        </w:rPr>
        <w:t xml:space="preserve"> change in GNP from the U.S. Department of Commerce for 1929 through 2022.</w:t>
      </w:r>
      <w:r>
        <w:rPr>
          <w:rStyle w:val="FootnoteReference"/>
          <w:rFonts w:ascii="Times New Roman" w:hAnsi="Times New Roman" w:cs="Times New Roman"/>
          <w:sz w:val="24"/>
          <w:szCs w:val="24"/>
        </w:rPr>
        <w:footnoteReference w:id="28"/>
      </w:r>
      <w:r w:rsidRPr="002C464E">
        <w:rPr>
          <w:rFonts w:ascii="Times New Roman" w:hAnsi="Times New Roman" w:cs="Times New Roman"/>
          <w:sz w:val="24"/>
          <w:szCs w:val="24"/>
        </w:rPr>
        <w:t xml:space="preserve"> </w:t>
      </w:r>
      <w:r w:rsidRPr="002C464E">
        <w:rPr>
          <w:rStyle w:val="LineNumber"/>
          <w:rFonts w:ascii="Times New Roman" w:hAnsi="Times New Roman" w:cs="Times New Roman"/>
          <w:sz w:val="24"/>
          <w:szCs w:val="24"/>
        </w:rPr>
        <w:t xml:space="preserve">The </w:t>
      </w:r>
      <w:r w:rsidR="0065089F">
        <w:rPr>
          <w:rStyle w:val="LineNumber"/>
          <w:rFonts w:ascii="Times New Roman" w:hAnsi="Times New Roman" w:cs="Times New Roman"/>
          <w:sz w:val="24"/>
          <w:szCs w:val="24"/>
        </w:rPr>
        <w:t xml:space="preserve">PUCO </w:t>
      </w:r>
      <w:r w:rsidRPr="002C464E">
        <w:rPr>
          <w:rStyle w:val="LineNumber"/>
          <w:rFonts w:ascii="Times New Roman" w:hAnsi="Times New Roman" w:cs="Times New Roman"/>
          <w:sz w:val="24"/>
          <w:szCs w:val="24"/>
        </w:rPr>
        <w:t>Staff is correct in assuming the economic growth rate to be the expected long-term dividend growth rate. However, the cost of capital is the expected market required return on capital for the future investment of the utilities in this case</w:t>
      </w:r>
      <w:r w:rsidR="0065089F">
        <w:rPr>
          <w:rStyle w:val="LineNumber"/>
          <w:rFonts w:ascii="Times New Roman" w:hAnsi="Times New Roman" w:cs="Times New Roman"/>
          <w:sz w:val="24"/>
          <w:szCs w:val="24"/>
        </w:rPr>
        <w:t>. T</w:t>
      </w:r>
      <w:r w:rsidRPr="002C464E">
        <w:rPr>
          <w:rStyle w:val="LineNumber"/>
          <w:rFonts w:ascii="Times New Roman" w:hAnsi="Times New Roman" w:cs="Times New Roman"/>
          <w:sz w:val="24"/>
          <w:szCs w:val="24"/>
        </w:rPr>
        <w:t xml:space="preserve">herefore, it should be forward looking. Historical GNP or GDP growth rate only reflects what has happened in the past and the past does not necessarily reflect the current or future market and economic conditions. Therefore, it is inappropriate to use historical growth rate in this context. </w:t>
      </w:r>
      <w:r w:rsidRPr="002C464E">
        <w:rPr>
          <w:rStyle w:val="LineNumber"/>
          <w:rFonts w:ascii="Times New Roman" w:hAnsi="Times New Roman" w:cs="Times New Roman"/>
          <w:sz w:val="24"/>
          <w:szCs w:val="24"/>
        </w:rPr>
        <w:tab/>
      </w:r>
    </w:p>
    <w:p w:rsidR="000A6A64" w:rsidRPr="002C464E" w:rsidP="00C7245A" w14:paraId="4ED3605D" w14:textId="674EFB33">
      <w:pPr>
        <w:spacing w:after="0" w:line="480" w:lineRule="auto"/>
        <w:rPr>
          <w:rStyle w:val="LineNumber"/>
          <w:rFonts w:ascii="Times New Roman" w:hAnsi="Times New Roman" w:cs="Times New Roman"/>
          <w:sz w:val="24"/>
          <w:szCs w:val="24"/>
        </w:rPr>
      </w:pPr>
      <w:r w:rsidRPr="002C464E">
        <w:rPr>
          <w:rStyle w:val="LineNumber"/>
          <w:rFonts w:ascii="Times New Roman" w:hAnsi="Times New Roman" w:cs="Times New Roman"/>
          <w:sz w:val="24"/>
          <w:szCs w:val="24"/>
        </w:rPr>
        <w:tab/>
        <w:t xml:space="preserve">The historical GNP growth rate during the sample period of the </w:t>
      </w:r>
      <w:r w:rsidR="0065089F">
        <w:rPr>
          <w:rStyle w:val="LineNumber"/>
          <w:rFonts w:ascii="Times New Roman" w:hAnsi="Times New Roman" w:cs="Times New Roman"/>
          <w:sz w:val="24"/>
          <w:szCs w:val="24"/>
        </w:rPr>
        <w:t xml:space="preserve">PUCO </w:t>
      </w:r>
      <w:r w:rsidRPr="002C464E">
        <w:rPr>
          <w:rStyle w:val="LineNumber"/>
          <w:rFonts w:ascii="Times New Roman" w:hAnsi="Times New Roman" w:cs="Times New Roman"/>
          <w:sz w:val="24"/>
          <w:szCs w:val="24"/>
        </w:rPr>
        <w:t>Staff is 6.31%</w:t>
      </w:r>
      <w:r>
        <w:rPr>
          <w:rStyle w:val="FootnoteReference"/>
          <w:rFonts w:ascii="Times New Roman" w:hAnsi="Times New Roman" w:cs="Times New Roman"/>
          <w:sz w:val="24"/>
          <w:szCs w:val="24"/>
        </w:rPr>
        <w:footnoteReference w:id="29"/>
      </w:r>
      <w:r w:rsidRPr="002C464E" w:rsidR="009F3E18">
        <w:rPr>
          <w:rStyle w:val="LineNumber"/>
          <w:rFonts w:ascii="Times New Roman" w:hAnsi="Times New Roman" w:cs="Times New Roman"/>
          <w:sz w:val="24"/>
          <w:szCs w:val="24"/>
        </w:rPr>
        <w:t xml:space="preserve"> and it was used as the expected future GNP growth rate,</w:t>
      </w:r>
      <w:r w:rsidRPr="002C464E">
        <w:rPr>
          <w:rStyle w:val="LineNumber"/>
          <w:rFonts w:ascii="Times New Roman" w:hAnsi="Times New Roman" w:cs="Times New Roman"/>
          <w:sz w:val="24"/>
          <w:szCs w:val="24"/>
        </w:rPr>
        <w:t xml:space="preserve"> which is too high for the future given the expected economic condition in the U.S. In calculating the 6.</w:t>
      </w:r>
      <w:r w:rsidRPr="002C464E" w:rsidR="009F3E18">
        <w:rPr>
          <w:rStyle w:val="LineNumber"/>
          <w:rFonts w:ascii="Times New Roman" w:hAnsi="Times New Roman" w:cs="Times New Roman"/>
          <w:sz w:val="24"/>
          <w:szCs w:val="24"/>
        </w:rPr>
        <w:t>3</w:t>
      </w:r>
      <w:r w:rsidRPr="002C464E">
        <w:rPr>
          <w:rStyle w:val="LineNumber"/>
          <w:rFonts w:ascii="Times New Roman" w:hAnsi="Times New Roman" w:cs="Times New Roman"/>
          <w:sz w:val="24"/>
          <w:szCs w:val="24"/>
        </w:rPr>
        <w:t>1% annual growth rate, the</w:t>
      </w:r>
      <w:r w:rsidR="0065089F">
        <w:rPr>
          <w:rStyle w:val="LineNumber"/>
          <w:rFonts w:ascii="Times New Roman" w:hAnsi="Times New Roman" w:cs="Times New Roman"/>
          <w:sz w:val="24"/>
          <w:szCs w:val="24"/>
        </w:rPr>
        <w:t xml:space="preserve"> PUCO</w:t>
      </w:r>
      <w:r w:rsidRPr="002C464E">
        <w:rPr>
          <w:rStyle w:val="LineNumber"/>
          <w:rFonts w:ascii="Times New Roman" w:hAnsi="Times New Roman" w:cs="Times New Roman"/>
          <w:sz w:val="24"/>
          <w:szCs w:val="24"/>
        </w:rPr>
        <w:t xml:space="preserve"> Staff used the arithmetic growth formula – </w:t>
      </w:r>
      <w:r w:rsidRPr="0065089F">
        <w:rPr>
          <w:rStyle w:val="LineNumber"/>
          <w:rFonts w:ascii="Times New Roman" w:hAnsi="Times New Roman" w:cs="Times New Roman"/>
          <w:i/>
          <w:iCs/>
          <w:sz w:val="24"/>
          <w:szCs w:val="24"/>
        </w:rPr>
        <w:t>i.e.</w:t>
      </w:r>
      <w:r w:rsidRPr="002C464E">
        <w:rPr>
          <w:rStyle w:val="LineNumber"/>
          <w:rFonts w:ascii="Times New Roman" w:hAnsi="Times New Roman" w:cs="Times New Roman"/>
          <w:sz w:val="24"/>
          <w:szCs w:val="24"/>
        </w:rPr>
        <w:t>, calculat</w:t>
      </w:r>
      <w:r w:rsidR="0065089F">
        <w:rPr>
          <w:rStyle w:val="LineNumber"/>
          <w:rFonts w:ascii="Times New Roman" w:hAnsi="Times New Roman" w:cs="Times New Roman"/>
          <w:sz w:val="24"/>
          <w:szCs w:val="24"/>
        </w:rPr>
        <w:t>ing</w:t>
      </w:r>
      <w:r w:rsidRPr="002C464E">
        <w:rPr>
          <w:rStyle w:val="LineNumber"/>
          <w:rFonts w:ascii="Times New Roman" w:hAnsi="Times New Roman" w:cs="Times New Roman"/>
          <w:sz w:val="24"/>
          <w:szCs w:val="24"/>
        </w:rPr>
        <w:t xml:space="preserve"> the annual growth rate and then averag</w:t>
      </w:r>
      <w:r w:rsidR="0065089F">
        <w:rPr>
          <w:rStyle w:val="LineNumber"/>
          <w:rFonts w:ascii="Times New Roman" w:hAnsi="Times New Roman" w:cs="Times New Roman"/>
          <w:sz w:val="24"/>
          <w:szCs w:val="24"/>
        </w:rPr>
        <w:t>ing</w:t>
      </w:r>
      <w:r w:rsidRPr="002C464E">
        <w:rPr>
          <w:rStyle w:val="LineNumber"/>
          <w:rFonts w:ascii="Times New Roman" w:hAnsi="Times New Roman" w:cs="Times New Roman"/>
          <w:sz w:val="24"/>
          <w:szCs w:val="24"/>
        </w:rPr>
        <w:t xml:space="preserve"> the overall annual growth rate. However, this approach has a well-known problem of over-stating the growth rate when growth rate varies quite a bit during the sample period. The correct calculation is to obtain the geometric mean growth rate, which is 6.08% ((25640.1/105.3)^(1/93)-1). However, even 6.08% is still not representative of the future GNP/GDP growth rate.</w:t>
      </w:r>
    </w:p>
    <w:p w:rsidR="000A6A64" w:rsidRPr="002C464E" w:rsidP="000A6A64" w14:paraId="1F4E78B8" w14:textId="325F9DE6">
      <w:pPr>
        <w:spacing w:after="0" w:line="480" w:lineRule="auto"/>
        <w:rPr>
          <w:rFonts w:ascii="Times New Roman" w:hAnsi="Times New Roman" w:cs="Times New Roman"/>
          <w:sz w:val="24"/>
          <w:szCs w:val="24"/>
        </w:rPr>
      </w:pPr>
      <w:r w:rsidRPr="002C464E">
        <w:rPr>
          <w:rStyle w:val="LineNumber"/>
          <w:rFonts w:ascii="Times New Roman" w:hAnsi="Times New Roman" w:cs="Times New Roman"/>
          <w:sz w:val="24"/>
          <w:szCs w:val="24"/>
        </w:rPr>
        <w:tab/>
        <w:t>It is well-know</w:t>
      </w:r>
      <w:r w:rsidR="00165615">
        <w:rPr>
          <w:rStyle w:val="LineNumber"/>
          <w:rFonts w:ascii="Times New Roman" w:hAnsi="Times New Roman" w:cs="Times New Roman"/>
          <w:sz w:val="24"/>
          <w:szCs w:val="24"/>
        </w:rPr>
        <w:t>n</w:t>
      </w:r>
      <w:r w:rsidRPr="002C464E">
        <w:rPr>
          <w:rStyle w:val="LineNumber"/>
          <w:rFonts w:ascii="Times New Roman" w:hAnsi="Times New Roman" w:cs="Times New Roman"/>
          <w:sz w:val="24"/>
          <w:szCs w:val="24"/>
        </w:rPr>
        <w:t xml:space="preserve"> that the U.S. economy experienced a slowdown in economic growth in the last several decades. The U.S. real GDP growth rate has been declining over the years. From 1970 to 2020, the U.S. real GDP grew at a rate of 2.67%, while that rate for the period of 1980-2020 and 1990 to 2020 has declined to 2.55% and 2.29% respectively. The growth rate for the period of 2000 to 2020 dipped to 1.73%.</w:t>
      </w:r>
      <w:r>
        <w:rPr>
          <w:rStyle w:val="FootnoteReference"/>
          <w:rFonts w:ascii="Times New Roman" w:hAnsi="Times New Roman" w:cs="Times New Roman"/>
          <w:sz w:val="24"/>
          <w:szCs w:val="24"/>
        </w:rPr>
        <w:footnoteReference w:id="30"/>
      </w:r>
      <w:r w:rsidRPr="002C464E">
        <w:rPr>
          <w:rStyle w:val="LineNumber"/>
          <w:rFonts w:ascii="Times New Roman" w:hAnsi="Times New Roman" w:cs="Times New Roman"/>
          <w:sz w:val="24"/>
          <w:szCs w:val="24"/>
        </w:rPr>
        <w:t xml:space="preserve"> The historical GDP growth rate of 6.41% does not appear to be consistent with the more recent trend in GDP growth. The most recent expected GDP growth rate for the U.S. is around 4.18% (</w:t>
      </w:r>
      <w:r w:rsidRPr="0065089F">
        <w:rPr>
          <w:rStyle w:val="LineNumber"/>
          <w:rFonts w:ascii="Times New Roman" w:hAnsi="Times New Roman" w:cs="Times New Roman"/>
          <w:i/>
          <w:iCs/>
          <w:sz w:val="24"/>
          <w:szCs w:val="24"/>
        </w:rPr>
        <w:t>see</w:t>
      </w:r>
      <w:r w:rsidRPr="002C464E">
        <w:rPr>
          <w:rStyle w:val="LineNumber"/>
          <w:rFonts w:ascii="Times New Roman" w:hAnsi="Times New Roman" w:cs="Times New Roman"/>
          <w:sz w:val="24"/>
          <w:szCs w:val="24"/>
        </w:rPr>
        <w:t xml:space="preserve"> Exhibit OCC-ZZ-5).</w:t>
      </w:r>
      <w:r w:rsidRPr="002C464E" w:rsidR="00AE4F81">
        <w:rPr>
          <w:rStyle w:val="LineNumber"/>
          <w:rFonts w:ascii="Times New Roman" w:hAnsi="Times New Roman" w:cs="Times New Roman"/>
          <w:sz w:val="24"/>
          <w:szCs w:val="24"/>
        </w:rPr>
        <w:t xml:space="preserve"> </w:t>
      </w:r>
    </w:p>
    <w:p w:rsidR="00AE4F81" w:rsidP="006A70BC" w14:paraId="74DC7C81" w14:textId="32E00244">
      <w:pPr>
        <w:pStyle w:val="Heading3"/>
      </w:pPr>
      <w:hyperlink w:anchor="_Toc98165617" w:history="1">
        <w:bookmarkStart w:id="19" w:name="_Toc142925074"/>
        <w:r w:rsidRPr="00165615" w:rsidR="00EC404A">
          <w:t xml:space="preserve">OBJECTION </w:t>
        </w:r>
        <w:r w:rsidR="005031E7">
          <w:t>8</w:t>
        </w:r>
        <w:r w:rsidRPr="00165615" w:rsidR="00EC404A">
          <w:t xml:space="preserve">: </w:t>
        </w:r>
        <w:r w:rsidR="00077DB9">
          <w:t>OCC objects because t</w:t>
        </w:r>
        <w:r w:rsidRPr="00165615" w:rsidR="00EC404A">
          <w:t>he Staff Report erred by using the yields of the 20-year U.S. Treasury Bonds as the risk-free rate used in the Capital Asset Pricing Model (“CAPM”). The inclusion of the yields of 20-year U.S. Treasury Bonds in calculating the risk-free rate overstates the estimated cost of equity of Aqua under the CAPM analysis causing a rate of return that is too high and results in unjust and unreasonable rates</w:t>
        </w:r>
        <w:r w:rsidR="0065089F">
          <w:t xml:space="preserve"> to consumers in violation of </w:t>
        </w:r>
        <w:r w:rsidR="00165615">
          <w:rPr>
            <w:rStyle w:val="Heading3Char"/>
          </w:rPr>
          <w:t>R.C. 4905.22, 4909.15, 4909.154, 4909.17 and 4909.18.</w:t>
        </w:r>
        <w:bookmarkEnd w:id="19"/>
      </w:hyperlink>
      <w:r w:rsidR="00165615">
        <w:t xml:space="preserve"> </w:t>
      </w:r>
    </w:p>
    <w:p w:rsidR="00AE4F81" w:rsidRPr="002C464E" w:rsidP="006A70BC" w14:paraId="4057ECBD" w14:textId="2E5347DC">
      <w:pPr>
        <w:spacing w:after="0" w:line="480" w:lineRule="auto"/>
        <w:ind w:firstLine="720"/>
        <w:rPr>
          <w:rStyle w:val="LineNumber"/>
          <w:rFonts w:ascii="Times New Roman" w:hAnsi="Times New Roman" w:cs="Times New Roman"/>
          <w:sz w:val="24"/>
          <w:szCs w:val="24"/>
        </w:rPr>
      </w:pPr>
      <w:r>
        <w:rPr>
          <w:rFonts w:ascii="Times New Roman" w:eastAsia="Times New Roman" w:hAnsi="Times New Roman" w:cs="Times New Roman"/>
          <w:sz w:val="24"/>
          <w:szCs w:val="24"/>
        </w:rPr>
        <w:t xml:space="preserve">The </w:t>
      </w:r>
      <w:r w:rsidRPr="002C464E" w:rsidR="00F3266D">
        <w:rPr>
          <w:rFonts w:ascii="Times New Roman" w:eastAsia="Times New Roman" w:hAnsi="Times New Roman" w:cs="Times New Roman"/>
          <w:sz w:val="24"/>
          <w:szCs w:val="24"/>
        </w:rPr>
        <w:t>PUCO Staff’s use of the yields of 20-year U.S. Treasury Bonds as part of the calculation of the risk-free rate overstates the estimated cost of equity of Aqua under the CAPM analysis.</w:t>
      </w:r>
      <w:r>
        <w:rPr>
          <w:rStyle w:val="FootnoteReference"/>
          <w:rFonts w:ascii="Times New Roman" w:eastAsia="Times New Roman" w:hAnsi="Times New Roman" w:cs="Times New Roman"/>
          <w:sz w:val="24"/>
          <w:szCs w:val="24"/>
        </w:rPr>
        <w:footnoteReference w:id="31"/>
      </w:r>
      <w:r w:rsidRPr="002C464E" w:rsidR="00F3266D">
        <w:rPr>
          <w:rFonts w:ascii="Times New Roman" w:eastAsia="Times New Roman" w:hAnsi="Times New Roman" w:cs="Times New Roman"/>
          <w:sz w:val="24"/>
          <w:szCs w:val="24"/>
        </w:rPr>
        <w:t xml:space="preserve"> In the CAPM analysis, a risk-free rate is typically based on the current actual yields of long-term U</w:t>
      </w:r>
      <w:r>
        <w:rPr>
          <w:rFonts w:ascii="Times New Roman" w:eastAsia="Times New Roman" w:hAnsi="Times New Roman" w:cs="Times New Roman"/>
          <w:sz w:val="24"/>
          <w:szCs w:val="24"/>
        </w:rPr>
        <w:t>.</w:t>
      </w:r>
      <w:r w:rsidRPr="002C464E" w:rsidR="00F3266D">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2C464E" w:rsidR="00F3266D">
        <w:rPr>
          <w:rFonts w:ascii="Times New Roman" w:eastAsia="Times New Roman" w:hAnsi="Times New Roman" w:cs="Times New Roman"/>
          <w:sz w:val="24"/>
          <w:szCs w:val="24"/>
        </w:rPr>
        <w:t xml:space="preserve"> government bonds with ten years or longer maturity. A more reasonable risk-free rate would be the 30-year U.S. Treasury Bond</w:t>
      </w:r>
      <w:r w:rsidRPr="002C464E">
        <w:rPr>
          <w:rFonts w:ascii="Times New Roman" w:eastAsia="Times New Roman" w:hAnsi="Times New Roman" w:cs="Times New Roman"/>
          <w:sz w:val="24"/>
          <w:szCs w:val="24"/>
        </w:rPr>
        <w:t xml:space="preserve"> yield</w:t>
      </w:r>
      <w:r w:rsidRPr="002C464E" w:rsidR="00F3266D">
        <w:rPr>
          <w:rFonts w:ascii="Times New Roman" w:eastAsia="Times New Roman" w:hAnsi="Times New Roman" w:cs="Times New Roman"/>
          <w:sz w:val="24"/>
          <w:szCs w:val="24"/>
        </w:rPr>
        <w:t xml:space="preserve">. </w:t>
      </w:r>
      <w:r w:rsidRPr="002C464E">
        <w:rPr>
          <w:rStyle w:val="LineNumber"/>
          <w:rFonts w:ascii="Times New Roman" w:hAnsi="Times New Roman" w:cs="Times New Roman"/>
          <w:sz w:val="24"/>
          <w:szCs w:val="24"/>
        </w:rPr>
        <w:t>Utility investments are long-term, often more than 30 years, which makes the 20-year horizon too short. In addition, the current 20-year T-bond yield is higher than the 30-year T-bond yield. The inverted yield curve suggests that the market is expecting the interest rate to be lower at the longer horizon, which suggests that the 30-year bond yield is better at reflecting the cost of long-term debt than</w:t>
      </w:r>
      <w:r w:rsidR="0065089F">
        <w:rPr>
          <w:rStyle w:val="LineNumber"/>
          <w:rFonts w:ascii="Times New Roman" w:hAnsi="Times New Roman" w:cs="Times New Roman"/>
          <w:sz w:val="24"/>
          <w:szCs w:val="24"/>
        </w:rPr>
        <w:t xml:space="preserve"> the</w:t>
      </w:r>
      <w:r w:rsidRPr="002C464E">
        <w:rPr>
          <w:rStyle w:val="LineNumber"/>
          <w:rFonts w:ascii="Times New Roman" w:hAnsi="Times New Roman" w:cs="Times New Roman"/>
          <w:sz w:val="24"/>
          <w:szCs w:val="24"/>
        </w:rPr>
        <w:t xml:space="preserve"> 20-year bond yield. </w:t>
      </w:r>
      <w:r>
        <w:rPr>
          <w:rStyle w:val="FootnoteReference"/>
          <w:rFonts w:ascii="Times New Roman" w:hAnsi="Times New Roman" w:cs="Times New Roman"/>
          <w:sz w:val="24"/>
          <w:szCs w:val="24"/>
        </w:rPr>
        <w:footnoteReference w:id="32"/>
      </w:r>
    </w:p>
    <w:p w:rsidR="00AE4F81" w:rsidRPr="002C464E" w:rsidP="00C7245A" w14:paraId="0821EA3A" w14:textId="3B1998C2">
      <w:pPr>
        <w:spacing w:after="0" w:line="480" w:lineRule="auto"/>
        <w:rPr>
          <w:rStyle w:val="LineNumber"/>
          <w:rFonts w:ascii="Times New Roman" w:hAnsi="Times New Roman" w:cs="Times New Roman"/>
          <w:sz w:val="24"/>
          <w:szCs w:val="24"/>
        </w:rPr>
      </w:pPr>
      <w:r w:rsidRPr="002C464E">
        <w:rPr>
          <w:rStyle w:val="LineNumber"/>
          <w:rFonts w:ascii="Times New Roman" w:hAnsi="Times New Roman" w:cs="Times New Roman"/>
          <w:sz w:val="24"/>
          <w:szCs w:val="24"/>
        </w:rPr>
        <w:tab/>
        <w:t>The use of the 20-year T-bond yield by the Staff is inconsistent with the</w:t>
      </w:r>
      <w:r w:rsidR="0065089F">
        <w:rPr>
          <w:rStyle w:val="LineNumber"/>
          <w:rFonts w:ascii="Times New Roman" w:hAnsi="Times New Roman" w:cs="Times New Roman"/>
          <w:sz w:val="24"/>
          <w:szCs w:val="24"/>
        </w:rPr>
        <w:t xml:space="preserve"> PUCO</w:t>
      </w:r>
      <w:r w:rsidRPr="002C464E">
        <w:rPr>
          <w:rStyle w:val="LineNumber"/>
          <w:rFonts w:ascii="Times New Roman" w:hAnsi="Times New Roman" w:cs="Times New Roman"/>
          <w:sz w:val="24"/>
          <w:szCs w:val="24"/>
        </w:rPr>
        <w:t xml:space="preserve"> Staff’s methodology in past cases. For example, the </w:t>
      </w:r>
      <w:r w:rsidR="0065089F">
        <w:rPr>
          <w:rStyle w:val="LineNumber"/>
          <w:rFonts w:ascii="Times New Roman" w:hAnsi="Times New Roman" w:cs="Times New Roman"/>
          <w:sz w:val="24"/>
          <w:szCs w:val="24"/>
        </w:rPr>
        <w:t xml:space="preserve">PUCO </w:t>
      </w:r>
      <w:r w:rsidRPr="002C464E">
        <w:rPr>
          <w:rStyle w:val="LineNumber"/>
          <w:rFonts w:ascii="Times New Roman" w:hAnsi="Times New Roman" w:cs="Times New Roman"/>
          <w:sz w:val="24"/>
          <w:szCs w:val="24"/>
        </w:rPr>
        <w:t>Staff used the average of 10-year and 30-year T-bond yields as the interest rate for the input to the CAPM model.</w:t>
      </w:r>
      <w:r>
        <w:rPr>
          <w:rStyle w:val="FootnoteReference"/>
          <w:rFonts w:ascii="Times New Roman" w:hAnsi="Times New Roman" w:cs="Times New Roman"/>
          <w:sz w:val="24"/>
          <w:szCs w:val="24"/>
        </w:rPr>
        <w:footnoteReference w:id="33"/>
      </w:r>
    </w:p>
    <w:p w:rsidR="00F3266D" w:rsidRPr="002C464E" w:rsidP="00F3266D" w14:paraId="1FEB419F" w14:textId="2295972D">
      <w:pPr>
        <w:autoSpaceDE w:val="0"/>
        <w:autoSpaceDN w:val="0"/>
        <w:adjustRightInd w:val="0"/>
        <w:spacing w:after="0" w:line="480" w:lineRule="auto"/>
        <w:ind w:firstLine="720"/>
        <w:rPr>
          <w:rFonts w:ascii="Times New Roman" w:eastAsia="Times New Roman" w:hAnsi="Times New Roman" w:cs="Times New Roman"/>
          <w:sz w:val="24"/>
          <w:szCs w:val="24"/>
        </w:rPr>
      </w:pPr>
      <w:r w:rsidRPr="002C464E">
        <w:rPr>
          <w:rFonts w:ascii="Times New Roman" w:eastAsia="Times New Roman" w:hAnsi="Times New Roman" w:cs="Times New Roman"/>
          <w:sz w:val="24"/>
          <w:szCs w:val="24"/>
        </w:rPr>
        <w:t xml:space="preserve">As the yields of the 20-year bonds tend to be much higher than the yields of the </w:t>
      </w:r>
      <w:r w:rsidRPr="002C464E" w:rsidR="00FB24AF">
        <w:rPr>
          <w:rFonts w:ascii="Times New Roman" w:eastAsia="Times New Roman" w:hAnsi="Times New Roman" w:cs="Times New Roman"/>
          <w:sz w:val="24"/>
          <w:szCs w:val="24"/>
        </w:rPr>
        <w:t>30</w:t>
      </w:r>
      <w:r w:rsidRPr="002C464E">
        <w:rPr>
          <w:rFonts w:ascii="Times New Roman" w:eastAsia="Times New Roman" w:hAnsi="Times New Roman" w:cs="Times New Roman"/>
          <w:sz w:val="24"/>
          <w:szCs w:val="24"/>
        </w:rPr>
        <w:t>-year bonds</w:t>
      </w:r>
      <w:r w:rsidRPr="002C464E" w:rsidR="00FB24AF">
        <w:rPr>
          <w:rFonts w:ascii="Times New Roman" w:eastAsia="Times New Roman" w:hAnsi="Times New Roman" w:cs="Times New Roman"/>
          <w:sz w:val="24"/>
          <w:szCs w:val="24"/>
        </w:rPr>
        <w:t>,</w:t>
      </w:r>
      <w:r w:rsidRPr="002C464E">
        <w:rPr>
          <w:rFonts w:ascii="Times New Roman" w:eastAsia="Times New Roman" w:hAnsi="Times New Roman" w:cs="Times New Roman"/>
          <w:sz w:val="24"/>
          <w:szCs w:val="24"/>
        </w:rPr>
        <w:t xml:space="preserve"> using the yields of 20-year U.S. Treasury Bonds as the risk-free rate overstates the estimated cost of equity of Aqua under the CAPM analysis. </w:t>
      </w:r>
      <w:r w:rsidRPr="002C464E">
        <w:rPr>
          <w:rFonts w:ascii="Times New Roman" w:hAnsi="Times New Roman" w:cs="Times New Roman"/>
          <w:sz w:val="24"/>
          <w:szCs w:val="24"/>
        </w:rPr>
        <w:t xml:space="preserve">OCC objects to the </w:t>
      </w:r>
      <w:r w:rsidRPr="002C464E">
        <w:rPr>
          <w:rFonts w:ascii="Times New Roman" w:eastAsia="Times New Roman" w:hAnsi="Times New Roman" w:cs="Times New Roman"/>
          <w:sz w:val="24"/>
          <w:szCs w:val="24"/>
        </w:rPr>
        <w:t>use of 20-year U.S. Treasury Bonds as the risk-free rate for the CAPM analysis.</w:t>
      </w:r>
    </w:p>
    <w:p w:rsidR="00FB24AF" w:rsidRPr="002C464E" w:rsidP="00FB24AF" w14:paraId="6DF4005D" w14:textId="2CC2B7EA">
      <w:pPr>
        <w:autoSpaceDE w:val="0"/>
        <w:autoSpaceDN w:val="0"/>
        <w:adjustRightInd w:val="0"/>
        <w:spacing w:line="240" w:lineRule="auto"/>
        <w:rPr>
          <w:rFonts w:ascii="Times New Roman" w:eastAsia="Times New Roman" w:hAnsi="Times New Roman" w:cs="Times New Roman"/>
          <w:b/>
          <w:iCs/>
          <w:sz w:val="24"/>
          <w:szCs w:val="24"/>
        </w:rPr>
      </w:pPr>
      <w:bookmarkStart w:id="20" w:name="_Toc142925075"/>
      <w:r w:rsidRPr="006A70BC">
        <w:rPr>
          <w:rStyle w:val="Heading3Char"/>
        </w:rPr>
        <w:t xml:space="preserve">OBJECTION </w:t>
      </w:r>
      <w:r w:rsidR="005031E7">
        <w:rPr>
          <w:rStyle w:val="Heading3Char"/>
        </w:rPr>
        <w:t>9</w:t>
      </w:r>
      <w:r w:rsidRPr="006A70BC">
        <w:rPr>
          <w:rStyle w:val="Heading3Char"/>
        </w:rPr>
        <w:t xml:space="preserve">: </w:t>
      </w:r>
      <w:r w:rsidR="00585B91">
        <w:rPr>
          <w:rStyle w:val="Heading3Char"/>
        </w:rPr>
        <w:t>OCC objects because t</w:t>
      </w:r>
      <w:r w:rsidRPr="006A70BC">
        <w:rPr>
          <w:rStyle w:val="Heading3Char"/>
        </w:rPr>
        <w:t>he Staff Report erred by using the historical return in the calculation of market risk premium in the Capital Asset Pricing Model (“CAPM”). The use of the historical return overstates the estimated cost of equity of Aqua under the CAPM analysis causing a rate of return that is too high and results in unjust and unreasonable rates</w:t>
      </w:r>
      <w:r w:rsidRPr="006A70BC" w:rsidR="0065089F">
        <w:rPr>
          <w:rStyle w:val="Heading3Char"/>
        </w:rPr>
        <w:t xml:space="preserve"> to consumers in violation of </w:t>
      </w:r>
      <w:r w:rsidRPr="006A70BC" w:rsidR="00165615">
        <w:rPr>
          <w:rStyle w:val="Heading3Char"/>
        </w:rPr>
        <w:t>R.C. 4905.22, 4909.15, 4909.154, 4909.17 and 4909.18.</w:t>
      </w:r>
      <w:bookmarkEnd w:id="20"/>
    </w:p>
    <w:p w:rsidR="00FB24AF" w:rsidRPr="002C464E" w:rsidP="00C7245A" w14:paraId="3BEF1F08" w14:textId="013C9905">
      <w:pPr>
        <w:autoSpaceDE w:val="0"/>
        <w:autoSpaceDN w:val="0"/>
        <w:adjustRightInd w:val="0"/>
        <w:spacing w:after="0" w:line="480" w:lineRule="auto"/>
        <w:rPr>
          <w:rFonts w:ascii="Times New Roman" w:hAnsi="Times New Roman" w:cs="Times New Roman"/>
          <w:sz w:val="24"/>
          <w:szCs w:val="24"/>
        </w:rPr>
      </w:pPr>
      <w:r w:rsidRPr="002C464E">
        <w:rPr>
          <w:rFonts w:ascii="Times New Roman" w:eastAsia="Times New Roman" w:hAnsi="Times New Roman" w:cs="Times New Roman"/>
          <w:bCs/>
          <w:iCs/>
          <w:sz w:val="24"/>
          <w:szCs w:val="24"/>
        </w:rPr>
        <w:tab/>
        <w:t>To calculate the market equity risk premium for the CAPM model, the</w:t>
      </w:r>
      <w:r w:rsidR="0065089F">
        <w:rPr>
          <w:rFonts w:ascii="Times New Roman" w:eastAsia="Times New Roman" w:hAnsi="Times New Roman" w:cs="Times New Roman"/>
          <w:bCs/>
          <w:iCs/>
          <w:sz w:val="24"/>
          <w:szCs w:val="24"/>
        </w:rPr>
        <w:t xml:space="preserve"> PUCO</w:t>
      </w:r>
      <w:r w:rsidRPr="002C464E">
        <w:rPr>
          <w:rFonts w:ascii="Times New Roman" w:eastAsia="Times New Roman" w:hAnsi="Times New Roman" w:cs="Times New Roman"/>
          <w:bCs/>
          <w:iCs/>
          <w:sz w:val="24"/>
          <w:szCs w:val="24"/>
        </w:rPr>
        <w:t xml:space="preserve"> Staff used</w:t>
      </w:r>
      <w:r w:rsidRPr="002C464E">
        <w:rPr>
          <w:rFonts w:ascii="Times New Roman" w:hAnsi="Times New Roman" w:cs="Times New Roman"/>
          <w:sz w:val="24"/>
          <w:szCs w:val="24"/>
        </w:rPr>
        <w:t xml:space="preserve"> the arithmetic average of annual returns from 1926 through 2021 for large-cap stocks of 12.33 percent.</w:t>
      </w:r>
      <w:r>
        <w:rPr>
          <w:rStyle w:val="FootnoteReference"/>
          <w:rFonts w:ascii="Times New Roman" w:hAnsi="Times New Roman" w:cs="Times New Roman"/>
          <w:sz w:val="24"/>
          <w:szCs w:val="24"/>
        </w:rPr>
        <w:footnoteReference w:id="34"/>
      </w:r>
      <w:r w:rsidRPr="002C464E">
        <w:rPr>
          <w:rFonts w:ascii="Times New Roman" w:hAnsi="Times New Roman" w:cs="Times New Roman"/>
          <w:sz w:val="24"/>
          <w:szCs w:val="24"/>
        </w:rPr>
        <w:t xml:space="preserve"> The required return on equity is the market expected return for the future investment period, thus requiring the expected market risk premium analysis. The calculation of the market risk premium</w:t>
      </w:r>
      <w:r w:rsidRPr="002C464E" w:rsidR="001D742C">
        <w:rPr>
          <w:rFonts w:ascii="Times New Roman" w:hAnsi="Times New Roman" w:cs="Times New Roman"/>
          <w:sz w:val="24"/>
          <w:szCs w:val="24"/>
        </w:rPr>
        <w:t xml:space="preserve"> by the Staff</w:t>
      </w:r>
      <w:r w:rsidRPr="002C464E">
        <w:rPr>
          <w:rFonts w:ascii="Times New Roman" w:hAnsi="Times New Roman" w:cs="Times New Roman"/>
          <w:sz w:val="24"/>
          <w:szCs w:val="24"/>
        </w:rPr>
        <w:t xml:space="preserve"> is</w:t>
      </w:r>
      <w:r w:rsidRPr="002C464E" w:rsidR="001759BE">
        <w:rPr>
          <w:rFonts w:ascii="Times New Roman" w:hAnsi="Times New Roman" w:cs="Times New Roman"/>
          <w:sz w:val="24"/>
          <w:szCs w:val="24"/>
        </w:rPr>
        <w:t xml:space="preserve"> based on historical performance of the market, which may not reflect what the market expects for the future. As </w:t>
      </w:r>
      <w:r w:rsidR="00327BAF">
        <w:rPr>
          <w:rFonts w:ascii="Times New Roman" w:hAnsi="Times New Roman" w:cs="Times New Roman"/>
          <w:sz w:val="24"/>
          <w:szCs w:val="24"/>
        </w:rPr>
        <w:t>a</w:t>
      </w:r>
      <w:r w:rsidRPr="002C464E" w:rsidR="001759BE">
        <w:rPr>
          <w:rFonts w:ascii="Times New Roman" w:hAnsi="Times New Roman" w:cs="Times New Roman"/>
          <w:sz w:val="24"/>
          <w:szCs w:val="24"/>
        </w:rPr>
        <w:t xml:space="preserve"> result, the historical risk premium calculated by the </w:t>
      </w:r>
      <w:r w:rsidR="00327BAF">
        <w:rPr>
          <w:rFonts w:ascii="Times New Roman" w:hAnsi="Times New Roman" w:cs="Times New Roman"/>
          <w:sz w:val="24"/>
          <w:szCs w:val="24"/>
        </w:rPr>
        <w:t xml:space="preserve">PUCO </w:t>
      </w:r>
      <w:r w:rsidRPr="002C464E" w:rsidR="001759BE">
        <w:rPr>
          <w:rFonts w:ascii="Times New Roman" w:hAnsi="Times New Roman" w:cs="Times New Roman"/>
          <w:sz w:val="24"/>
          <w:szCs w:val="24"/>
        </w:rPr>
        <w:t xml:space="preserve">Staff is inappropriate. </w:t>
      </w:r>
    </w:p>
    <w:p w:rsidR="001759BE" w:rsidRPr="002C464E" w:rsidP="00C7245A" w14:paraId="336EAF73" w14:textId="762BD4BF">
      <w:pPr>
        <w:autoSpaceDE w:val="0"/>
        <w:autoSpaceDN w:val="0"/>
        <w:adjustRightInd w:val="0"/>
        <w:spacing w:after="0" w:line="480" w:lineRule="auto"/>
        <w:rPr>
          <w:rStyle w:val="LineNumber"/>
          <w:rFonts w:ascii="Times New Roman" w:hAnsi="Times New Roman" w:cs="Times New Roman"/>
          <w:color w:val="000000"/>
          <w:sz w:val="24"/>
          <w:szCs w:val="24"/>
        </w:rPr>
      </w:pPr>
      <w:r w:rsidRPr="002C464E">
        <w:rPr>
          <w:rFonts w:ascii="Times New Roman" w:hAnsi="Times New Roman" w:cs="Times New Roman"/>
          <w:sz w:val="24"/>
          <w:szCs w:val="24"/>
        </w:rPr>
        <w:tab/>
        <w:t xml:space="preserve">In addition, the </w:t>
      </w:r>
      <w:r w:rsidR="00327BAF">
        <w:rPr>
          <w:rFonts w:ascii="Times New Roman" w:hAnsi="Times New Roman" w:cs="Times New Roman"/>
          <w:sz w:val="24"/>
          <w:szCs w:val="24"/>
        </w:rPr>
        <w:t xml:space="preserve">PUCO </w:t>
      </w:r>
      <w:r w:rsidRPr="002C464E">
        <w:rPr>
          <w:rFonts w:ascii="Times New Roman" w:hAnsi="Times New Roman" w:cs="Times New Roman"/>
          <w:sz w:val="24"/>
          <w:szCs w:val="24"/>
        </w:rPr>
        <w:t>Staff used the arithmetic average of annual returns from 1926 through 2021 to calculate the annual returns. It is well known that the arithmetic average overstates the annual growth for a period especially when the annual returns vary significantly.</w:t>
      </w:r>
      <w:r w:rsidR="00AC4DB5">
        <w:rPr>
          <w:rFonts w:ascii="Times New Roman" w:hAnsi="Times New Roman" w:cs="Times New Roman"/>
          <w:sz w:val="24"/>
          <w:szCs w:val="24"/>
        </w:rPr>
        <w:t xml:space="preserve"> </w:t>
      </w:r>
      <w:r w:rsidRPr="002C464E">
        <w:rPr>
          <w:rFonts w:ascii="Times New Roman" w:hAnsi="Times New Roman" w:cs="Times New Roman"/>
          <w:sz w:val="24"/>
          <w:szCs w:val="24"/>
        </w:rPr>
        <w:t xml:space="preserve">The correct way is to use the geometric mean. </w:t>
      </w:r>
      <w:r w:rsidRPr="002C464E">
        <w:rPr>
          <w:rStyle w:val="LineNumber"/>
          <w:rFonts w:ascii="Times New Roman" w:hAnsi="Times New Roman" w:cs="Times New Roman"/>
          <w:color w:val="000000"/>
          <w:sz w:val="24"/>
          <w:szCs w:val="24"/>
        </w:rPr>
        <w:t>A simple example can be used to illustrate the difference between geometric mean and arithmetic mean. Suppose a stock price at the beginning of the year is $100 and then drops to $50 at the end of the first year before it recovers to $100 at the end of the second year. The geometric mean would be 0% for the stock in the two-year period, but the arithmetic mean would be the average of two annual returns: (-50% +100%)/2 = 25%). The calculation of arithmetic mean shows the variation of the returns each year, but it exaggerates the annual growth rate.</w:t>
      </w:r>
    </w:p>
    <w:p w:rsidR="00327BAF" w:rsidP="00C7245A" w14:paraId="24C463E0" w14:textId="77777777">
      <w:pPr>
        <w:autoSpaceDE w:val="0"/>
        <w:autoSpaceDN w:val="0"/>
        <w:adjustRightInd w:val="0"/>
        <w:spacing w:after="0" w:line="480" w:lineRule="auto"/>
        <w:rPr>
          <w:rStyle w:val="LineNumber"/>
          <w:rFonts w:ascii="Times New Roman" w:hAnsi="Times New Roman" w:cs="Times New Roman"/>
          <w:color w:val="000000"/>
          <w:sz w:val="24"/>
          <w:szCs w:val="24"/>
        </w:rPr>
      </w:pPr>
      <w:r w:rsidRPr="002C464E">
        <w:rPr>
          <w:rStyle w:val="LineNumber"/>
          <w:rFonts w:ascii="Times New Roman" w:hAnsi="Times New Roman" w:cs="Times New Roman"/>
          <w:color w:val="000000"/>
          <w:sz w:val="24"/>
          <w:szCs w:val="24"/>
        </w:rPr>
        <w:tab/>
      </w:r>
      <w:r w:rsidRPr="002C464E" w:rsidR="00CE6C33">
        <w:rPr>
          <w:rStyle w:val="LineNumber"/>
          <w:rFonts w:ascii="Times New Roman" w:hAnsi="Times New Roman" w:cs="Times New Roman"/>
          <w:color w:val="000000"/>
          <w:sz w:val="24"/>
          <w:szCs w:val="24"/>
        </w:rPr>
        <w:t xml:space="preserve">The </w:t>
      </w:r>
      <w:r>
        <w:rPr>
          <w:rStyle w:val="LineNumber"/>
          <w:rFonts w:ascii="Times New Roman" w:hAnsi="Times New Roman" w:cs="Times New Roman"/>
          <w:color w:val="000000"/>
          <w:sz w:val="24"/>
          <w:szCs w:val="24"/>
        </w:rPr>
        <w:t xml:space="preserve">PUCO </w:t>
      </w:r>
      <w:r w:rsidRPr="002C464E" w:rsidR="00CE6C33">
        <w:rPr>
          <w:rStyle w:val="LineNumber"/>
          <w:rFonts w:ascii="Times New Roman" w:hAnsi="Times New Roman" w:cs="Times New Roman"/>
          <w:color w:val="000000"/>
          <w:sz w:val="24"/>
          <w:szCs w:val="24"/>
        </w:rPr>
        <w:t>Staff’s calculated market risk premium of 7.46% by the historical method overstates the market risk premium. For example, Statista suggested that the average MRP in the U.S. for 2011-2022 is 5.6%.</w:t>
      </w:r>
      <w:r>
        <w:rPr>
          <w:rStyle w:val="FootnoteReference"/>
          <w:rFonts w:ascii="Times New Roman" w:hAnsi="Times New Roman" w:cs="Times New Roman"/>
          <w:sz w:val="24"/>
          <w:szCs w:val="24"/>
        </w:rPr>
        <w:footnoteReference w:id="35"/>
      </w:r>
      <w:r w:rsidRPr="002C464E" w:rsidR="00CE6C33">
        <w:rPr>
          <w:rStyle w:val="LineNumber"/>
          <w:rFonts w:ascii="Times New Roman" w:hAnsi="Times New Roman" w:cs="Times New Roman"/>
          <w:color w:val="000000"/>
          <w:sz w:val="24"/>
          <w:szCs w:val="24"/>
        </w:rPr>
        <w:t xml:space="preserve"> Professor Aswath Damodaran, a well-known expert in the study of Equity Risk Premium at Stern School of Business at New York University, estimated that the market expected return at the start of 2023 is 9.82%. With the use of the T-bond yield, the implied Equity Risk Premium is 5.94%.</w:t>
      </w:r>
      <w:r>
        <w:rPr>
          <w:rStyle w:val="FootnoteReference"/>
          <w:rFonts w:ascii="Times New Roman" w:hAnsi="Times New Roman" w:cs="Times New Roman"/>
          <w:sz w:val="24"/>
          <w:szCs w:val="24"/>
        </w:rPr>
        <w:footnoteReference w:id="36"/>
      </w:r>
      <w:r w:rsidRPr="002C464E" w:rsidR="00CE6C33">
        <w:rPr>
          <w:rStyle w:val="LineNumber"/>
          <w:rFonts w:ascii="Times New Roman" w:hAnsi="Times New Roman" w:cs="Times New Roman"/>
          <w:color w:val="000000"/>
          <w:sz w:val="24"/>
          <w:szCs w:val="24"/>
        </w:rPr>
        <w:t xml:space="preserve"> A survey of risk premiums used by professionals in 2023 by Professors Pablo Fernandez, Diego García, and Javier F. Acin puts the U.S. risk premium at 5.7%.</w:t>
      </w:r>
      <w:r>
        <w:rPr>
          <w:rStyle w:val="FootnoteReference"/>
          <w:rFonts w:ascii="Times New Roman" w:hAnsi="Times New Roman" w:cs="Times New Roman"/>
          <w:sz w:val="24"/>
          <w:szCs w:val="24"/>
        </w:rPr>
        <w:footnoteReference w:id="37"/>
      </w:r>
      <w:r w:rsidRPr="002C464E" w:rsidR="00CE6C33">
        <w:rPr>
          <w:rStyle w:val="LineNumber"/>
          <w:rFonts w:ascii="Times New Roman" w:hAnsi="Times New Roman" w:cs="Times New Roman"/>
          <w:color w:val="000000"/>
          <w:sz w:val="24"/>
          <w:szCs w:val="24"/>
        </w:rPr>
        <w:t xml:space="preserve"> Duff and Phelps (now Kroll), a source that valuation experts frequently rely upon, recommends U.S. market Equity Risk Premium or MRP to be 5.5%, effective June 2023.</w:t>
      </w:r>
      <w:r>
        <w:rPr>
          <w:rStyle w:val="FootnoteReference"/>
          <w:rFonts w:ascii="Times New Roman" w:hAnsi="Times New Roman" w:cs="Times New Roman"/>
          <w:sz w:val="24"/>
          <w:szCs w:val="24"/>
        </w:rPr>
        <w:footnoteReference w:id="38"/>
      </w:r>
      <w:r w:rsidRPr="002C464E" w:rsidR="00CE6C33">
        <w:rPr>
          <w:rStyle w:val="LineNumber"/>
          <w:rFonts w:ascii="Times New Roman" w:hAnsi="Times New Roman" w:cs="Times New Roman"/>
          <w:color w:val="000000"/>
          <w:sz w:val="24"/>
          <w:szCs w:val="24"/>
        </w:rPr>
        <w:t xml:space="preserve"> </w:t>
      </w:r>
    </w:p>
    <w:p w:rsidR="007A098B" w:rsidP="00C0511A" w14:paraId="63A2DAE3" w14:textId="77777777">
      <w:pPr>
        <w:autoSpaceDE w:val="0"/>
        <w:autoSpaceDN w:val="0"/>
        <w:adjustRightInd w:val="0"/>
        <w:spacing w:after="0" w:line="480" w:lineRule="auto"/>
        <w:ind w:firstLine="720"/>
        <w:rPr>
          <w:rStyle w:val="LineNumber"/>
          <w:rFonts w:ascii="Times New Roman" w:hAnsi="Times New Roman" w:cs="Times New Roman"/>
          <w:color w:val="000000"/>
          <w:sz w:val="24"/>
          <w:szCs w:val="24"/>
        </w:rPr>
      </w:pPr>
      <w:r w:rsidRPr="002C464E">
        <w:rPr>
          <w:rStyle w:val="LineNumber"/>
          <w:rFonts w:ascii="Times New Roman" w:hAnsi="Times New Roman" w:cs="Times New Roman"/>
          <w:color w:val="000000"/>
          <w:sz w:val="24"/>
          <w:szCs w:val="24"/>
        </w:rPr>
        <w:t>In light of th</w:t>
      </w:r>
      <w:r w:rsidR="00327BAF">
        <w:rPr>
          <w:rStyle w:val="LineNumber"/>
          <w:rFonts w:ascii="Times New Roman" w:hAnsi="Times New Roman" w:cs="Times New Roman"/>
          <w:color w:val="000000"/>
          <w:sz w:val="24"/>
          <w:szCs w:val="24"/>
        </w:rPr>
        <w:t>is</w:t>
      </w:r>
      <w:r w:rsidRPr="002C464E">
        <w:rPr>
          <w:rStyle w:val="LineNumber"/>
          <w:rFonts w:ascii="Times New Roman" w:hAnsi="Times New Roman" w:cs="Times New Roman"/>
          <w:color w:val="000000"/>
          <w:sz w:val="24"/>
          <w:szCs w:val="24"/>
        </w:rPr>
        <w:t xml:space="preserve">, the </w:t>
      </w:r>
      <w:r w:rsidR="00327BAF">
        <w:rPr>
          <w:rStyle w:val="LineNumber"/>
          <w:rFonts w:ascii="Times New Roman" w:hAnsi="Times New Roman" w:cs="Times New Roman"/>
          <w:color w:val="000000"/>
          <w:sz w:val="24"/>
          <w:szCs w:val="24"/>
        </w:rPr>
        <w:t xml:space="preserve">PUCO </w:t>
      </w:r>
      <w:r w:rsidRPr="002C464E">
        <w:rPr>
          <w:rStyle w:val="LineNumber"/>
          <w:rFonts w:ascii="Times New Roman" w:hAnsi="Times New Roman" w:cs="Times New Roman"/>
          <w:color w:val="000000"/>
          <w:sz w:val="24"/>
          <w:szCs w:val="24"/>
        </w:rPr>
        <w:t>Staff’s market risk premium overestimates the required market risk premium for the current market condition and thus overstates the cost of equity for Aqua Ohio, leading to unjust and unreasonable rates for consumers to pay.</w:t>
      </w:r>
    </w:p>
    <w:p w:rsidR="007A098B" w14:paraId="0D18C40B" w14:textId="77777777">
      <w:pPr>
        <w:rPr>
          <w:rStyle w:val="LineNumber"/>
          <w:rFonts w:ascii="Times New Roman" w:hAnsi="Times New Roman" w:cs="Times New Roman"/>
          <w:color w:val="000000"/>
          <w:sz w:val="24"/>
          <w:szCs w:val="24"/>
        </w:rPr>
      </w:pPr>
      <w:r>
        <w:rPr>
          <w:rStyle w:val="LineNumber"/>
          <w:rFonts w:ascii="Times New Roman" w:hAnsi="Times New Roman" w:cs="Times New Roman"/>
          <w:color w:val="000000"/>
          <w:sz w:val="24"/>
          <w:szCs w:val="24"/>
        </w:rPr>
        <w:br w:type="page"/>
      </w:r>
    </w:p>
    <w:p w:rsidR="00CE6C33" w:rsidRPr="002C464E" w:rsidP="005031E7" w14:paraId="273BD194" w14:textId="737684FC">
      <w:pPr>
        <w:pStyle w:val="TOC3"/>
        <w:rPr>
          <w:rFonts w:eastAsiaTheme="minorEastAsia"/>
        </w:rPr>
      </w:pPr>
      <w:bookmarkStart w:id="21" w:name="_Toc142925076"/>
      <w:r w:rsidRPr="006A70BC">
        <w:rPr>
          <w:rStyle w:val="Heading3Char"/>
        </w:rPr>
        <w:t xml:space="preserve">OBJECTION </w:t>
      </w:r>
      <w:r w:rsidR="005031E7">
        <w:rPr>
          <w:rStyle w:val="Heading3Char"/>
        </w:rPr>
        <w:t>10</w:t>
      </w:r>
      <w:r w:rsidRPr="006A70BC">
        <w:rPr>
          <w:rStyle w:val="Heading3Char"/>
        </w:rPr>
        <w:t xml:space="preserve">: </w:t>
      </w:r>
      <w:r w:rsidR="00585B91">
        <w:rPr>
          <w:rStyle w:val="Heading3Char"/>
        </w:rPr>
        <w:t>OCC objects because t</w:t>
      </w:r>
      <w:r w:rsidRPr="006A70BC">
        <w:rPr>
          <w:rStyle w:val="Heading3Char"/>
        </w:rPr>
        <w:t xml:space="preserve">he Staff Report erred by including the results of Comparable Earnings (“CE”) analysis, such as the estimated return on equity of 10.11% earned by companies other than water utilities with different business and financial risks from a water utility in calculating the cost of equity. </w:t>
      </w:r>
      <w:r w:rsidRPr="006A70BC" w:rsidR="00327BAF">
        <w:rPr>
          <w:rStyle w:val="Heading3Char"/>
        </w:rPr>
        <w:t>Including the</w:t>
      </w:r>
      <w:r w:rsidRPr="006A70BC">
        <w:rPr>
          <w:rStyle w:val="Heading3Char"/>
        </w:rPr>
        <w:t xml:space="preserve"> CE model overstat</w:t>
      </w:r>
      <w:r w:rsidRPr="006A70BC" w:rsidR="00327BAF">
        <w:rPr>
          <w:rStyle w:val="Heading3Char"/>
        </w:rPr>
        <w:t>es</w:t>
      </w:r>
      <w:r w:rsidRPr="006A70BC">
        <w:rPr>
          <w:rStyle w:val="Heading3Char"/>
        </w:rPr>
        <w:t xml:space="preserve"> the cost of equity of Aqua causing a rate of return that is too high and results in unjust and unreasonable rates</w:t>
      </w:r>
      <w:r w:rsidRPr="006A70BC" w:rsidR="00327BAF">
        <w:rPr>
          <w:rStyle w:val="Heading3Char"/>
        </w:rPr>
        <w:t xml:space="preserve"> to consumers in violation of</w:t>
      </w:r>
      <w:r w:rsidRPr="006A70BC" w:rsidR="00593E09">
        <w:rPr>
          <w:rStyle w:val="Heading3Char"/>
        </w:rPr>
        <w:t xml:space="preserve"> R.C. 4905.22, 4909.15, 4909.154, 4909.17 and 4909.18.</w:t>
      </w:r>
      <w:bookmarkEnd w:id="21"/>
    </w:p>
    <w:p w:rsidR="00F3266D" w:rsidRPr="002C464E" w:rsidP="00F3266D" w14:paraId="5109A21C" w14:textId="719E62B8">
      <w:pPr>
        <w:autoSpaceDE w:val="0"/>
        <w:autoSpaceDN w:val="0"/>
        <w:adjustRightInd w:val="0"/>
        <w:spacing w:after="0" w:line="480" w:lineRule="auto"/>
        <w:ind w:firstLine="720"/>
        <w:rPr>
          <w:rFonts w:ascii="Times New Roman" w:hAnsi="Times New Roman" w:cs="Times New Roman"/>
          <w:sz w:val="24"/>
          <w:szCs w:val="24"/>
        </w:rPr>
      </w:pPr>
      <w:r w:rsidRPr="002C464E">
        <w:rPr>
          <w:rFonts w:ascii="Times New Roman" w:hAnsi="Times New Roman" w:cs="Times New Roman"/>
          <w:sz w:val="24"/>
          <w:szCs w:val="24"/>
        </w:rPr>
        <w:t>To protect Aqua’s consumers, OCC objects to</w:t>
      </w:r>
      <w:r w:rsidR="00327BAF">
        <w:rPr>
          <w:rFonts w:ascii="Times New Roman" w:hAnsi="Times New Roman" w:cs="Times New Roman"/>
          <w:sz w:val="24"/>
          <w:szCs w:val="24"/>
        </w:rPr>
        <w:t xml:space="preserve"> the PUCO</w:t>
      </w:r>
      <w:r w:rsidRPr="002C464E">
        <w:rPr>
          <w:rFonts w:ascii="Times New Roman" w:hAnsi="Times New Roman" w:cs="Times New Roman"/>
          <w:sz w:val="24"/>
          <w:szCs w:val="24"/>
        </w:rPr>
        <w:t xml:space="preserve"> Staff’s use of the results of the Comparable Earnings </w:t>
      </w:r>
      <w:r w:rsidRPr="002C464E" w:rsidR="00CE6C33">
        <w:rPr>
          <w:rFonts w:ascii="Times New Roman" w:hAnsi="Times New Roman" w:cs="Times New Roman"/>
          <w:sz w:val="24"/>
          <w:szCs w:val="24"/>
        </w:rPr>
        <w:t>method</w:t>
      </w:r>
      <w:r w:rsidRPr="002C464E">
        <w:rPr>
          <w:rFonts w:ascii="Times New Roman" w:hAnsi="Times New Roman" w:cs="Times New Roman"/>
          <w:sz w:val="24"/>
          <w:szCs w:val="24"/>
        </w:rPr>
        <w:t xml:space="preserve"> (</w:t>
      </w:r>
      <w:r w:rsidR="00327BAF">
        <w:rPr>
          <w:rFonts w:ascii="Times New Roman" w:hAnsi="Times New Roman" w:cs="Times New Roman"/>
          <w:sz w:val="24"/>
          <w:szCs w:val="24"/>
        </w:rPr>
        <w:t>“</w:t>
      </w:r>
      <w:r w:rsidRPr="002C464E">
        <w:rPr>
          <w:rFonts w:ascii="Times New Roman" w:hAnsi="Times New Roman" w:cs="Times New Roman"/>
          <w:sz w:val="24"/>
          <w:szCs w:val="24"/>
        </w:rPr>
        <w:t>CE</w:t>
      </w:r>
      <w:r w:rsidR="00327BAF">
        <w:rPr>
          <w:rFonts w:ascii="Times New Roman" w:hAnsi="Times New Roman" w:cs="Times New Roman"/>
          <w:sz w:val="24"/>
          <w:szCs w:val="24"/>
        </w:rPr>
        <w:t>”</w:t>
      </w:r>
      <w:r w:rsidRPr="002C464E">
        <w:rPr>
          <w:rFonts w:ascii="Times New Roman" w:hAnsi="Times New Roman" w:cs="Times New Roman"/>
          <w:sz w:val="24"/>
          <w:szCs w:val="24"/>
        </w:rPr>
        <w:t>), such as the estimated return on equity of 1</w:t>
      </w:r>
      <w:r w:rsidRPr="002C464E" w:rsidR="00CE6C33">
        <w:rPr>
          <w:rFonts w:ascii="Times New Roman" w:hAnsi="Times New Roman" w:cs="Times New Roman"/>
          <w:sz w:val="24"/>
          <w:szCs w:val="24"/>
        </w:rPr>
        <w:t>0.11</w:t>
      </w:r>
      <w:r w:rsidRPr="002C464E">
        <w:rPr>
          <w:rFonts w:ascii="Times New Roman" w:hAnsi="Times New Roman" w:cs="Times New Roman"/>
          <w:sz w:val="24"/>
          <w:szCs w:val="24"/>
        </w:rPr>
        <w:t xml:space="preserve">% earned by </w:t>
      </w:r>
      <w:r w:rsidRPr="002C464E" w:rsidR="001D742C">
        <w:rPr>
          <w:rFonts w:ascii="Times New Roman" w:hAnsi="Times New Roman" w:cs="Times New Roman"/>
          <w:sz w:val="24"/>
          <w:szCs w:val="24"/>
        </w:rPr>
        <w:t xml:space="preserve">including </w:t>
      </w:r>
      <w:r w:rsidRPr="002C464E">
        <w:rPr>
          <w:rFonts w:ascii="Times New Roman" w:hAnsi="Times New Roman" w:cs="Times New Roman"/>
          <w:sz w:val="24"/>
          <w:szCs w:val="24"/>
        </w:rPr>
        <w:t xml:space="preserve">companies from </w:t>
      </w:r>
      <w:r w:rsidRPr="002C464E" w:rsidR="001D742C">
        <w:rPr>
          <w:rFonts w:ascii="Times New Roman" w:hAnsi="Times New Roman" w:cs="Times New Roman"/>
          <w:sz w:val="24"/>
          <w:szCs w:val="24"/>
        </w:rPr>
        <w:t xml:space="preserve">other </w:t>
      </w:r>
      <w:r w:rsidRPr="002C464E" w:rsidR="00CE6C33">
        <w:rPr>
          <w:rFonts w:ascii="Times New Roman" w:hAnsi="Times New Roman" w:cs="Times New Roman"/>
          <w:sz w:val="24"/>
          <w:szCs w:val="24"/>
        </w:rPr>
        <w:t>utility industries</w:t>
      </w:r>
      <w:r w:rsidRPr="002C464E">
        <w:rPr>
          <w:rFonts w:ascii="Times New Roman" w:hAnsi="Times New Roman" w:cs="Times New Roman"/>
          <w:sz w:val="24"/>
          <w:szCs w:val="24"/>
        </w:rPr>
        <w:t xml:space="preserve"> in calculating the cost of equity.</w:t>
      </w:r>
      <w:r>
        <w:rPr>
          <w:rStyle w:val="FootnoteReference"/>
          <w:rFonts w:ascii="Times New Roman" w:hAnsi="Times New Roman" w:cs="Times New Roman"/>
          <w:sz w:val="24"/>
          <w:szCs w:val="24"/>
        </w:rPr>
        <w:footnoteReference w:id="39"/>
      </w:r>
      <w:r w:rsidRPr="002C464E">
        <w:rPr>
          <w:rFonts w:ascii="Times New Roman" w:hAnsi="Times New Roman" w:cs="Times New Roman"/>
          <w:sz w:val="24"/>
          <w:szCs w:val="24"/>
        </w:rPr>
        <w:t xml:space="preserve"> These companies are</w:t>
      </w:r>
      <w:r w:rsidRPr="002C464E" w:rsidR="00CE6C33">
        <w:rPr>
          <w:rFonts w:ascii="Times New Roman" w:hAnsi="Times New Roman" w:cs="Times New Roman"/>
          <w:sz w:val="24"/>
          <w:szCs w:val="24"/>
        </w:rPr>
        <w:t xml:space="preserve"> not water utilities but mostly gas and electric utilities, which have </w:t>
      </w:r>
      <w:r w:rsidRPr="002C464E">
        <w:rPr>
          <w:rFonts w:ascii="Times New Roman" w:hAnsi="Times New Roman" w:cs="Times New Roman"/>
          <w:sz w:val="24"/>
          <w:szCs w:val="24"/>
        </w:rPr>
        <w:t xml:space="preserve">different business and financial risks than those associated with </w:t>
      </w:r>
      <w:r w:rsidRPr="002C464E" w:rsidR="00CE6C33">
        <w:rPr>
          <w:rFonts w:ascii="Times New Roman" w:hAnsi="Times New Roman" w:cs="Times New Roman"/>
          <w:sz w:val="24"/>
          <w:szCs w:val="24"/>
        </w:rPr>
        <w:t>a</w:t>
      </w:r>
      <w:r w:rsidRPr="002C464E">
        <w:rPr>
          <w:rFonts w:ascii="Times New Roman" w:hAnsi="Times New Roman" w:cs="Times New Roman"/>
          <w:sz w:val="24"/>
          <w:szCs w:val="24"/>
        </w:rPr>
        <w:t xml:space="preserve"> water utility such as Aqua. </w:t>
      </w:r>
    </w:p>
    <w:p w:rsidR="001F6A5B" w:rsidRPr="002C464E" w:rsidP="00C0511A" w14:paraId="3CE93917" w14:textId="4A71EB7F">
      <w:pPr>
        <w:spacing w:after="0" w:line="480" w:lineRule="auto"/>
        <w:ind w:firstLine="720"/>
        <w:rPr>
          <w:rFonts w:ascii="Times New Roman" w:hAnsi="Times New Roman" w:cs="Times New Roman"/>
          <w:sz w:val="24"/>
          <w:szCs w:val="24"/>
        </w:rPr>
      </w:pPr>
      <w:r w:rsidRPr="002C464E">
        <w:rPr>
          <w:rStyle w:val="LineNumber"/>
          <w:rFonts w:ascii="Times New Roman" w:hAnsi="Times New Roman" w:cs="Times New Roman"/>
          <w:sz w:val="24"/>
          <w:szCs w:val="24"/>
        </w:rPr>
        <w:t xml:space="preserve">The </w:t>
      </w:r>
      <w:r w:rsidR="00327BAF">
        <w:rPr>
          <w:rStyle w:val="LineNumber"/>
          <w:rFonts w:ascii="Times New Roman" w:hAnsi="Times New Roman" w:cs="Times New Roman"/>
          <w:sz w:val="24"/>
          <w:szCs w:val="24"/>
        </w:rPr>
        <w:t xml:space="preserve">PUCO </w:t>
      </w:r>
      <w:r w:rsidRPr="002C464E">
        <w:rPr>
          <w:rStyle w:val="LineNumber"/>
          <w:rFonts w:ascii="Times New Roman" w:hAnsi="Times New Roman" w:cs="Times New Roman"/>
          <w:sz w:val="24"/>
          <w:szCs w:val="24"/>
        </w:rPr>
        <w:t xml:space="preserve">Staff’s use of the CE method is </w:t>
      </w:r>
      <w:r w:rsidR="00327BAF">
        <w:rPr>
          <w:rStyle w:val="LineNumber"/>
          <w:rFonts w:ascii="Times New Roman" w:hAnsi="Times New Roman" w:cs="Times New Roman"/>
          <w:sz w:val="24"/>
          <w:szCs w:val="24"/>
        </w:rPr>
        <w:t xml:space="preserve">also </w:t>
      </w:r>
      <w:r w:rsidRPr="002C464E">
        <w:rPr>
          <w:rStyle w:val="LineNumber"/>
          <w:rFonts w:ascii="Times New Roman" w:hAnsi="Times New Roman" w:cs="Times New Roman"/>
          <w:sz w:val="24"/>
          <w:szCs w:val="24"/>
        </w:rPr>
        <w:t xml:space="preserve">inconsistent with its past practice. </w:t>
      </w:r>
      <w:r w:rsidR="00593E09">
        <w:rPr>
          <w:rStyle w:val="LineNumber"/>
          <w:rFonts w:ascii="Times New Roman" w:hAnsi="Times New Roman" w:cs="Times New Roman"/>
          <w:sz w:val="24"/>
          <w:szCs w:val="24"/>
        </w:rPr>
        <w:t>I</w:t>
      </w:r>
      <w:r w:rsidRPr="002C464E">
        <w:rPr>
          <w:rStyle w:val="LineNumber"/>
          <w:rFonts w:ascii="Times New Roman" w:hAnsi="Times New Roman" w:cs="Times New Roman"/>
          <w:sz w:val="24"/>
          <w:szCs w:val="24"/>
        </w:rPr>
        <w:t>n the past rate cases, the Staff relied on both DCF and CAPM models to estimate the ROE most of the time with a few exceptions.</w:t>
      </w:r>
      <w:r>
        <w:rPr>
          <w:rStyle w:val="FootnoteReference"/>
          <w:rFonts w:ascii="Times New Roman" w:hAnsi="Times New Roman" w:cs="Times New Roman"/>
          <w:sz w:val="24"/>
          <w:szCs w:val="24"/>
        </w:rPr>
        <w:footnoteReference w:id="40"/>
      </w:r>
      <w:r w:rsidR="00073B43">
        <w:rPr>
          <w:rStyle w:val="LineNumber"/>
          <w:rFonts w:ascii="Times New Roman" w:hAnsi="Times New Roman" w:cs="Times New Roman"/>
          <w:sz w:val="24"/>
          <w:szCs w:val="24"/>
        </w:rPr>
        <w:t xml:space="preserve"> </w:t>
      </w:r>
      <w:r w:rsidRPr="002C464E">
        <w:rPr>
          <w:rFonts w:ascii="Times New Roman" w:hAnsi="Times New Roman" w:cs="Times New Roman"/>
          <w:sz w:val="24"/>
          <w:szCs w:val="24"/>
        </w:rPr>
        <w:t xml:space="preserve">The </w:t>
      </w:r>
      <w:r w:rsidR="00327BAF">
        <w:rPr>
          <w:rFonts w:ascii="Times New Roman" w:hAnsi="Times New Roman" w:cs="Times New Roman"/>
          <w:sz w:val="24"/>
          <w:szCs w:val="24"/>
        </w:rPr>
        <w:t xml:space="preserve">PUCO </w:t>
      </w:r>
      <w:r w:rsidRPr="002C464E">
        <w:rPr>
          <w:rFonts w:ascii="Times New Roman" w:hAnsi="Times New Roman" w:cs="Times New Roman"/>
          <w:sz w:val="24"/>
          <w:szCs w:val="24"/>
        </w:rPr>
        <w:t>Staff has</w:t>
      </w:r>
      <w:r w:rsidR="00073B43">
        <w:rPr>
          <w:rFonts w:ascii="Times New Roman" w:hAnsi="Times New Roman" w:cs="Times New Roman"/>
          <w:sz w:val="24"/>
          <w:szCs w:val="24"/>
        </w:rPr>
        <w:t xml:space="preserve"> not</w:t>
      </w:r>
      <w:r w:rsidRPr="002C464E">
        <w:rPr>
          <w:rFonts w:ascii="Times New Roman" w:hAnsi="Times New Roman" w:cs="Times New Roman"/>
          <w:sz w:val="24"/>
          <w:szCs w:val="24"/>
        </w:rPr>
        <w:t xml:space="preserve"> </w:t>
      </w:r>
      <w:r w:rsidR="00073B43">
        <w:rPr>
          <w:rFonts w:ascii="Times New Roman" w:hAnsi="Times New Roman" w:cs="Times New Roman"/>
          <w:sz w:val="24"/>
          <w:szCs w:val="24"/>
        </w:rPr>
        <w:t>explained</w:t>
      </w:r>
      <w:r w:rsidRPr="002C464E">
        <w:rPr>
          <w:rFonts w:ascii="Times New Roman" w:hAnsi="Times New Roman" w:cs="Times New Roman"/>
          <w:sz w:val="24"/>
          <w:szCs w:val="24"/>
        </w:rPr>
        <w:t xml:space="preserve"> why it</w:t>
      </w:r>
      <w:r w:rsidR="00073B43">
        <w:rPr>
          <w:rFonts w:ascii="Times New Roman" w:hAnsi="Times New Roman" w:cs="Times New Roman"/>
          <w:sz w:val="24"/>
          <w:szCs w:val="24"/>
        </w:rPr>
        <w:t xml:space="preserve"> has</w:t>
      </w:r>
      <w:r w:rsidRPr="002C464E">
        <w:rPr>
          <w:rFonts w:ascii="Times New Roman" w:hAnsi="Times New Roman" w:cs="Times New Roman"/>
          <w:sz w:val="24"/>
          <w:szCs w:val="24"/>
        </w:rPr>
        <w:t xml:space="preserve"> deviated from its convention on those cases. The </w:t>
      </w:r>
      <w:r w:rsidR="00073B43">
        <w:rPr>
          <w:rFonts w:ascii="Times New Roman" w:hAnsi="Times New Roman" w:cs="Times New Roman"/>
          <w:sz w:val="24"/>
          <w:szCs w:val="24"/>
        </w:rPr>
        <w:t xml:space="preserve">PUCO </w:t>
      </w:r>
      <w:r w:rsidRPr="002C464E">
        <w:rPr>
          <w:rFonts w:ascii="Times New Roman" w:hAnsi="Times New Roman" w:cs="Times New Roman"/>
          <w:sz w:val="24"/>
          <w:szCs w:val="24"/>
        </w:rPr>
        <w:t xml:space="preserve">Staff’s inconsistencies in its adaptation of the methodologies and its deviation from </w:t>
      </w:r>
      <w:r w:rsidR="00073B43">
        <w:rPr>
          <w:rFonts w:ascii="Times New Roman" w:hAnsi="Times New Roman" w:cs="Times New Roman"/>
          <w:sz w:val="24"/>
          <w:szCs w:val="24"/>
        </w:rPr>
        <w:t xml:space="preserve">past practice cast doubt on </w:t>
      </w:r>
      <w:r w:rsidRPr="002C464E">
        <w:rPr>
          <w:rFonts w:ascii="Times New Roman" w:hAnsi="Times New Roman" w:cs="Times New Roman"/>
          <w:sz w:val="24"/>
          <w:szCs w:val="24"/>
        </w:rPr>
        <w:t xml:space="preserve">the </w:t>
      </w:r>
      <w:r w:rsidR="00073B43">
        <w:rPr>
          <w:rFonts w:ascii="Times New Roman" w:hAnsi="Times New Roman" w:cs="Times New Roman"/>
          <w:sz w:val="24"/>
          <w:szCs w:val="24"/>
        </w:rPr>
        <w:t xml:space="preserve">PUCO Staff’s </w:t>
      </w:r>
      <w:r w:rsidRPr="002C464E">
        <w:rPr>
          <w:rFonts w:ascii="Times New Roman" w:hAnsi="Times New Roman" w:cs="Times New Roman"/>
          <w:sz w:val="24"/>
          <w:szCs w:val="24"/>
        </w:rPr>
        <w:t>adoption of the CE method in this case.</w:t>
      </w:r>
    </w:p>
    <w:p w:rsidR="00073B43" w:rsidP="00C0511A" w14:paraId="3833C189" w14:textId="77777777">
      <w:pPr>
        <w:tabs>
          <w:tab w:val="left" w:pos="-1440"/>
        </w:tabs>
        <w:spacing w:after="0" w:line="480" w:lineRule="auto"/>
        <w:rPr>
          <w:rStyle w:val="LineNumber"/>
          <w:rFonts w:ascii="Times New Roman" w:hAnsi="Times New Roman" w:cs="Times New Roman"/>
          <w:color w:val="000000"/>
          <w:sz w:val="24"/>
          <w:szCs w:val="24"/>
        </w:rPr>
      </w:pPr>
      <w:r w:rsidRPr="002C464E">
        <w:rPr>
          <w:rFonts w:ascii="Times New Roman" w:hAnsi="Times New Roman" w:cs="Times New Roman"/>
          <w:sz w:val="24"/>
          <w:szCs w:val="24"/>
        </w:rPr>
        <w:tab/>
        <w:t xml:space="preserve">In addition, the CE method is not a market-value-based approach. </w:t>
      </w:r>
      <w:r w:rsidRPr="002C464E">
        <w:rPr>
          <w:rStyle w:val="LineNumber"/>
          <w:rFonts w:ascii="Times New Roman" w:hAnsi="Times New Roman" w:cs="Times New Roman"/>
          <w:color w:val="000000"/>
          <w:sz w:val="24"/>
          <w:szCs w:val="24"/>
        </w:rPr>
        <w:t>The</w:t>
      </w:r>
      <w:r>
        <w:rPr>
          <w:rStyle w:val="LineNumber"/>
          <w:rFonts w:ascii="Times New Roman" w:hAnsi="Times New Roman" w:cs="Times New Roman"/>
          <w:color w:val="000000"/>
          <w:sz w:val="24"/>
          <w:szCs w:val="24"/>
        </w:rPr>
        <w:t xml:space="preserve"> return on equity</w:t>
      </w:r>
      <w:r w:rsidRPr="002C464E">
        <w:rPr>
          <w:rStyle w:val="LineNumber"/>
          <w:rFonts w:ascii="Times New Roman" w:hAnsi="Times New Roman" w:cs="Times New Roman"/>
          <w:color w:val="000000"/>
          <w:sz w:val="24"/>
          <w:szCs w:val="24"/>
        </w:rPr>
        <w:t xml:space="preserve"> is a minimum required market return on equity, and it is a market value concept. However, the rate of return as obtained by the </w:t>
      </w:r>
      <w:r>
        <w:rPr>
          <w:rStyle w:val="LineNumber"/>
          <w:rFonts w:ascii="Times New Roman" w:hAnsi="Times New Roman" w:cs="Times New Roman"/>
          <w:color w:val="000000"/>
          <w:sz w:val="24"/>
          <w:szCs w:val="24"/>
        </w:rPr>
        <w:t xml:space="preserve">PUCO </w:t>
      </w:r>
      <w:r w:rsidRPr="002C464E">
        <w:rPr>
          <w:rStyle w:val="LineNumber"/>
          <w:rFonts w:ascii="Times New Roman" w:hAnsi="Times New Roman" w:cs="Times New Roman"/>
          <w:color w:val="000000"/>
          <w:sz w:val="24"/>
          <w:szCs w:val="24"/>
        </w:rPr>
        <w:t xml:space="preserve">Staff in </w:t>
      </w:r>
      <w:r>
        <w:rPr>
          <w:rStyle w:val="LineNumber"/>
          <w:rFonts w:ascii="Times New Roman" w:hAnsi="Times New Roman" w:cs="Times New Roman"/>
          <w:color w:val="000000"/>
          <w:sz w:val="24"/>
          <w:szCs w:val="24"/>
        </w:rPr>
        <w:t xml:space="preserve">its </w:t>
      </w:r>
      <w:r w:rsidRPr="002C464E">
        <w:rPr>
          <w:rStyle w:val="LineNumber"/>
          <w:rFonts w:ascii="Times New Roman" w:hAnsi="Times New Roman" w:cs="Times New Roman"/>
          <w:color w:val="000000"/>
          <w:sz w:val="24"/>
          <w:szCs w:val="24"/>
        </w:rPr>
        <w:t xml:space="preserve">CE approach is the rate of return on book value, not market value, equity. This approach is problematic as investors require a fair return on market value of equity, not book value, because investors cannot buy stocks at book value. </w:t>
      </w:r>
    </w:p>
    <w:p w:rsidR="001F6A5B" w:rsidRPr="002C464E" w:rsidP="00C0511A" w14:paraId="43B4C6A0" w14:textId="4E5DB537">
      <w:pPr>
        <w:tabs>
          <w:tab w:val="left" w:pos="-1440"/>
        </w:tabs>
        <w:spacing w:after="0" w:line="480" w:lineRule="auto"/>
        <w:rPr>
          <w:rStyle w:val="LineNumber"/>
          <w:rFonts w:ascii="Times New Roman" w:hAnsi="Times New Roman" w:cs="Times New Roman"/>
          <w:color w:val="000000"/>
          <w:sz w:val="24"/>
          <w:szCs w:val="24"/>
        </w:rPr>
      </w:pPr>
      <w:r>
        <w:rPr>
          <w:rStyle w:val="LineNumber"/>
          <w:rFonts w:ascii="Times New Roman" w:hAnsi="Times New Roman" w:cs="Times New Roman"/>
          <w:color w:val="000000"/>
          <w:sz w:val="24"/>
          <w:szCs w:val="24"/>
        </w:rPr>
        <w:tab/>
        <w:t>F</w:t>
      </w:r>
      <w:r w:rsidRPr="002C464E">
        <w:rPr>
          <w:rStyle w:val="LineNumber"/>
          <w:rFonts w:ascii="Times New Roman" w:hAnsi="Times New Roman" w:cs="Times New Roman"/>
          <w:color w:val="000000"/>
          <w:sz w:val="24"/>
          <w:szCs w:val="24"/>
        </w:rPr>
        <w:t>or this reason, FERC has rejected CE or Expected Earnings models as a method to estimate the market required return on equity. FERC stated:</w:t>
      </w:r>
    </w:p>
    <w:p w:rsidR="001F6A5B" w:rsidRPr="002C464E" w:rsidP="001F6A5B" w14:paraId="0934B288" w14:textId="05F93C1C">
      <w:pPr>
        <w:tabs>
          <w:tab w:val="left" w:pos="-1440"/>
        </w:tabs>
        <w:ind w:left="1440" w:right="1260"/>
        <w:rPr>
          <w:rStyle w:val="LineNumber"/>
          <w:rFonts w:ascii="Times New Roman" w:hAnsi="Times New Roman" w:cs="Times New Roman"/>
          <w:color w:val="000000"/>
          <w:sz w:val="24"/>
          <w:szCs w:val="24"/>
        </w:rPr>
      </w:pPr>
      <w:r w:rsidRPr="002C464E">
        <w:rPr>
          <w:rStyle w:val="LineNumber"/>
          <w:rFonts w:ascii="Times New Roman" w:hAnsi="Times New Roman" w:cs="Times New Roman"/>
          <w:i/>
          <w:iCs/>
          <w:color w:val="000000"/>
          <w:sz w:val="24"/>
          <w:szCs w:val="24"/>
        </w:rPr>
        <w:t>The Commission explained that the return on book value is not indicative of what return an investor requires to invest in the utility’s equity or what return an investor receives on the equity investment, because those returns are determined with respect to the current market price that an investor must pay in order to invest in the equity. Specifically, the Commission found that the Expected Earnings model measures returns on book value, without consideration of what market price an investor would have to pay to invest in the relevant company, so it does not accurately measure the investor’s expected returns on its investment, and, therefore, has been “thoroughly discredited</w:t>
      </w:r>
      <w:r w:rsidRPr="002C464E">
        <w:rPr>
          <w:rStyle w:val="LineNumber"/>
          <w:rFonts w:ascii="Times New Roman" w:hAnsi="Times New Roman" w:cs="Times New Roman"/>
          <w:color w:val="000000"/>
          <w:sz w:val="24"/>
          <w:szCs w:val="24"/>
        </w:rPr>
        <w:t>”</w:t>
      </w:r>
      <w:r>
        <w:rPr>
          <w:rStyle w:val="FootnoteReference"/>
          <w:rFonts w:ascii="Times New Roman" w:hAnsi="Times New Roman" w:cs="Times New Roman"/>
          <w:sz w:val="24"/>
          <w:szCs w:val="24"/>
        </w:rPr>
        <w:footnoteReference w:id="41"/>
      </w:r>
      <w:r w:rsidRPr="002C464E">
        <w:rPr>
          <w:rStyle w:val="LineNumber"/>
          <w:rFonts w:ascii="Times New Roman" w:hAnsi="Times New Roman" w:cs="Times New Roman"/>
          <w:color w:val="000000"/>
          <w:sz w:val="24"/>
          <w:szCs w:val="24"/>
        </w:rPr>
        <w:t>.</w:t>
      </w:r>
    </w:p>
    <w:p w:rsidR="00F3266D" w:rsidRPr="002C464E" w:rsidP="00AA7039" w14:paraId="1597F717" w14:textId="4394AB0D">
      <w:pPr>
        <w:spacing w:after="0" w:line="480" w:lineRule="auto"/>
        <w:rPr>
          <w:rStyle w:val="LineNumber"/>
          <w:rFonts w:ascii="Times New Roman" w:hAnsi="Times New Roman" w:cs="Times New Roman"/>
          <w:sz w:val="24"/>
          <w:szCs w:val="24"/>
        </w:rPr>
      </w:pPr>
      <w:r w:rsidRPr="002C464E">
        <w:rPr>
          <w:rStyle w:val="LineNumber"/>
          <w:rFonts w:ascii="Times New Roman" w:hAnsi="Times New Roman" w:cs="Times New Roman"/>
          <w:b/>
          <w:bCs/>
          <w:sz w:val="24"/>
          <w:szCs w:val="24"/>
        </w:rPr>
        <w:tab/>
      </w:r>
      <w:r w:rsidRPr="002C464E">
        <w:rPr>
          <w:rStyle w:val="LineNumber"/>
          <w:rFonts w:ascii="Times New Roman" w:hAnsi="Times New Roman" w:cs="Times New Roman"/>
          <w:sz w:val="24"/>
          <w:szCs w:val="24"/>
        </w:rPr>
        <w:t xml:space="preserve">The </w:t>
      </w:r>
      <w:r w:rsidR="00073B43">
        <w:rPr>
          <w:rStyle w:val="LineNumber"/>
          <w:rFonts w:ascii="Times New Roman" w:hAnsi="Times New Roman" w:cs="Times New Roman"/>
          <w:sz w:val="24"/>
          <w:szCs w:val="24"/>
        </w:rPr>
        <w:t>PU</w:t>
      </w:r>
      <w:r w:rsidR="005031E7">
        <w:rPr>
          <w:rStyle w:val="LineNumber"/>
          <w:rFonts w:ascii="Times New Roman" w:hAnsi="Times New Roman" w:cs="Times New Roman"/>
          <w:sz w:val="24"/>
          <w:szCs w:val="24"/>
        </w:rPr>
        <w:t>C</w:t>
      </w:r>
      <w:r w:rsidR="00073B43">
        <w:rPr>
          <w:rStyle w:val="LineNumber"/>
          <w:rFonts w:ascii="Times New Roman" w:hAnsi="Times New Roman" w:cs="Times New Roman"/>
          <w:sz w:val="24"/>
          <w:szCs w:val="24"/>
        </w:rPr>
        <w:t xml:space="preserve">O </w:t>
      </w:r>
      <w:r w:rsidRPr="002C464E">
        <w:rPr>
          <w:rStyle w:val="LineNumber"/>
          <w:rFonts w:ascii="Times New Roman" w:hAnsi="Times New Roman" w:cs="Times New Roman"/>
          <w:sz w:val="24"/>
          <w:szCs w:val="24"/>
        </w:rPr>
        <w:t xml:space="preserve">Staff’s use of CE model for the Aqua is also inconsistent with the approach of </w:t>
      </w:r>
      <w:r w:rsidR="00073B43">
        <w:rPr>
          <w:rStyle w:val="LineNumber"/>
          <w:rFonts w:ascii="Times New Roman" w:hAnsi="Times New Roman" w:cs="Times New Roman"/>
          <w:sz w:val="24"/>
          <w:szCs w:val="24"/>
        </w:rPr>
        <w:t xml:space="preserve">the PUCO </w:t>
      </w:r>
      <w:r w:rsidRPr="002C464E">
        <w:rPr>
          <w:rStyle w:val="LineNumber"/>
          <w:rFonts w:ascii="Times New Roman" w:hAnsi="Times New Roman" w:cs="Times New Roman"/>
          <w:sz w:val="24"/>
          <w:szCs w:val="24"/>
        </w:rPr>
        <w:t>Staff in other cases</w:t>
      </w:r>
      <w:r w:rsidR="00073B43">
        <w:rPr>
          <w:rStyle w:val="LineNumber"/>
          <w:rFonts w:ascii="Times New Roman" w:hAnsi="Times New Roman" w:cs="Times New Roman"/>
          <w:sz w:val="24"/>
          <w:szCs w:val="24"/>
        </w:rPr>
        <w:t>,</w:t>
      </w:r>
      <w:r w:rsidRPr="002C464E">
        <w:rPr>
          <w:rStyle w:val="LineNumber"/>
          <w:rFonts w:ascii="Times New Roman" w:hAnsi="Times New Roman" w:cs="Times New Roman"/>
          <w:sz w:val="24"/>
          <w:szCs w:val="24"/>
        </w:rPr>
        <w:t xml:space="preserve"> such as the more recent Columbia Gas rate case</w:t>
      </w:r>
      <w:r w:rsidR="00073B43">
        <w:rPr>
          <w:rStyle w:val="LineNumber"/>
          <w:rFonts w:ascii="Times New Roman" w:hAnsi="Times New Roman" w:cs="Times New Roman"/>
          <w:sz w:val="24"/>
          <w:szCs w:val="24"/>
        </w:rPr>
        <w:t>,</w:t>
      </w:r>
      <w:r>
        <w:rPr>
          <w:rStyle w:val="FootnoteReference"/>
          <w:rFonts w:ascii="Times New Roman" w:hAnsi="Times New Roman" w:cs="Times New Roman"/>
          <w:sz w:val="24"/>
          <w:szCs w:val="24"/>
        </w:rPr>
        <w:footnoteReference w:id="42"/>
      </w:r>
      <w:r w:rsidRPr="002C464E">
        <w:rPr>
          <w:rStyle w:val="LineNumber"/>
          <w:rFonts w:ascii="Times New Roman" w:hAnsi="Times New Roman" w:cs="Times New Roman"/>
          <w:sz w:val="24"/>
          <w:szCs w:val="24"/>
        </w:rPr>
        <w:t xml:space="preserve"> </w:t>
      </w:r>
      <w:r w:rsidR="00073B43">
        <w:rPr>
          <w:rStyle w:val="LineNumber"/>
          <w:rFonts w:ascii="Times New Roman" w:hAnsi="Times New Roman" w:cs="Times New Roman"/>
          <w:sz w:val="24"/>
          <w:szCs w:val="24"/>
        </w:rPr>
        <w:t>where the PUCO</w:t>
      </w:r>
      <w:r w:rsidRPr="002C464E">
        <w:rPr>
          <w:rStyle w:val="LineNumber"/>
          <w:rFonts w:ascii="Times New Roman" w:hAnsi="Times New Roman" w:cs="Times New Roman"/>
          <w:sz w:val="24"/>
          <w:szCs w:val="24"/>
        </w:rPr>
        <w:t xml:space="preserve"> Staff only employed the DCF and CAPM model. The cherry-picking of approaches only serves to raise the </w:t>
      </w:r>
      <w:r w:rsidR="00073B43">
        <w:rPr>
          <w:rStyle w:val="LineNumber"/>
          <w:rFonts w:ascii="Times New Roman" w:hAnsi="Times New Roman" w:cs="Times New Roman"/>
          <w:sz w:val="24"/>
          <w:szCs w:val="24"/>
        </w:rPr>
        <w:t>return on equity</w:t>
      </w:r>
      <w:r w:rsidRPr="002C464E">
        <w:rPr>
          <w:rStyle w:val="LineNumber"/>
          <w:rFonts w:ascii="Times New Roman" w:hAnsi="Times New Roman" w:cs="Times New Roman"/>
          <w:sz w:val="24"/>
          <w:szCs w:val="24"/>
        </w:rPr>
        <w:t xml:space="preserve"> estimates</w:t>
      </w:r>
      <w:r w:rsidRPr="002C464E" w:rsidR="001D742C">
        <w:rPr>
          <w:rStyle w:val="LineNumber"/>
          <w:rFonts w:ascii="Times New Roman" w:hAnsi="Times New Roman" w:cs="Times New Roman"/>
          <w:sz w:val="24"/>
          <w:szCs w:val="24"/>
        </w:rPr>
        <w:t>.</w:t>
      </w:r>
      <w:r w:rsidRPr="002C464E">
        <w:rPr>
          <w:rStyle w:val="LineNumber"/>
          <w:rFonts w:ascii="Times New Roman" w:hAnsi="Times New Roman" w:cs="Times New Roman"/>
          <w:sz w:val="24"/>
          <w:szCs w:val="24"/>
        </w:rPr>
        <w:t xml:space="preserve"> </w:t>
      </w:r>
    </w:p>
    <w:p w:rsidR="001F6A5B" w:rsidRPr="00AA7039" w:rsidP="00AA7039" w14:paraId="78279AE8" w14:textId="06CCBB9F">
      <w:pPr>
        <w:pStyle w:val="Heading3"/>
      </w:pPr>
      <w:hyperlink w:anchor="_Toc98165619" w:history="1">
        <w:bookmarkStart w:id="22" w:name="_Toc142925077"/>
        <w:r w:rsidRPr="00AA7039" w:rsidR="00EC404A">
          <w:t xml:space="preserve">OBJECTION </w:t>
        </w:r>
        <w:r w:rsidR="00904822">
          <w:t>1</w:t>
        </w:r>
        <w:r w:rsidR="005031E7">
          <w:t>1</w:t>
        </w:r>
        <w:r w:rsidRPr="00AA7039" w:rsidR="00EC404A">
          <w:t xml:space="preserve">: </w:t>
        </w:r>
        <w:r w:rsidR="00585B91">
          <w:t>OCC objects because t</w:t>
        </w:r>
        <w:r w:rsidRPr="00AA7039" w:rsidR="00EC404A">
          <w:t>he Staff Report inappropriately increased the cost of equity by allowing an adjustment for equity issuance and other costs, causing a recommended cost of equity that is too high and thus results in unjust and unreasonable rates for consumers</w:t>
        </w:r>
        <w:r w:rsidRPr="00AA7039" w:rsidR="00073B43">
          <w:t xml:space="preserve"> in violation of</w:t>
        </w:r>
        <w:r w:rsidRPr="00AA7039" w:rsidR="00593E09">
          <w:t xml:space="preserve"> R.C. 4905.22, 4909.15, 4909.154, 4909.17 and 4909.18.</w:t>
        </w:r>
        <w:bookmarkEnd w:id="22"/>
      </w:hyperlink>
    </w:p>
    <w:p w:rsidR="00255560" w:rsidP="00857909" w14:paraId="6F130FAA" w14:textId="77777777">
      <w:pPr>
        <w:spacing w:after="0" w:line="480" w:lineRule="auto"/>
        <w:ind w:firstLine="720"/>
        <w:rPr>
          <w:rStyle w:val="LineNumber"/>
          <w:rFonts w:ascii="Times New Roman" w:hAnsi="Times New Roman" w:cs="Times New Roman"/>
          <w:sz w:val="24"/>
          <w:szCs w:val="24"/>
        </w:rPr>
      </w:pPr>
      <w:r w:rsidRPr="002C464E">
        <w:rPr>
          <w:rFonts w:ascii="Times New Roman" w:hAnsi="Times New Roman" w:cs="Times New Roman"/>
          <w:sz w:val="24"/>
          <w:szCs w:val="24"/>
        </w:rPr>
        <w:t>To protect Aqua’s consumers, OCC objects to the inclusion of an allowance for generic and hypothetical issuance and other costs proposed in the Staff Report.</w:t>
      </w:r>
      <w:r>
        <w:rPr>
          <w:rStyle w:val="FootnoteReference"/>
          <w:rFonts w:ascii="Times New Roman" w:hAnsi="Times New Roman" w:cs="Times New Roman"/>
          <w:b/>
          <w:sz w:val="24"/>
          <w:szCs w:val="24"/>
        </w:rPr>
        <w:footnoteReference w:id="43"/>
      </w:r>
      <w:r w:rsidRPr="002C464E">
        <w:rPr>
          <w:rFonts w:ascii="Times New Roman" w:hAnsi="Times New Roman" w:cs="Times New Roman"/>
          <w:sz w:val="24"/>
          <w:szCs w:val="24"/>
        </w:rPr>
        <w:t xml:space="preserve"> By including this additional allowance</w:t>
      </w:r>
      <w:r w:rsidRPr="002C464E" w:rsidR="00857909">
        <w:rPr>
          <w:rFonts w:ascii="Times New Roman" w:hAnsi="Times New Roman" w:cs="Times New Roman"/>
          <w:sz w:val="24"/>
          <w:szCs w:val="24"/>
        </w:rPr>
        <w:t xml:space="preserve"> </w:t>
      </w:r>
      <w:r w:rsidRPr="002C464E" w:rsidR="00857909">
        <w:rPr>
          <w:rStyle w:val="LineNumber"/>
          <w:rFonts w:ascii="Times New Roman" w:hAnsi="Times New Roman" w:cs="Times New Roman"/>
          <w:sz w:val="24"/>
          <w:szCs w:val="24"/>
        </w:rPr>
        <w:t>and applying a factor of 1.01052 to accommodate issuance cost and other costs</w:t>
      </w:r>
      <w:r w:rsidRPr="002C464E">
        <w:rPr>
          <w:rFonts w:ascii="Times New Roman" w:hAnsi="Times New Roman" w:cs="Times New Roman"/>
          <w:sz w:val="24"/>
          <w:szCs w:val="24"/>
        </w:rPr>
        <w:t>, the Staff Report increased the recommended cost of equity from a range of 8.8</w:t>
      </w:r>
      <w:r w:rsidRPr="002C464E" w:rsidR="001F6A5B">
        <w:rPr>
          <w:rFonts w:ascii="Times New Roman" w:hAnsi="Times New Roman" w:cs="Times New Roman"/>
          <w:sz w:val="24"/>
          <w:szCs w:val="24"/>
        </w:rPr>
        <w:t>5</w:t>
      </w:r>
      <w:r w:rsidRPr="002C464E">
        <w:rPr>
          <w:rFonts w:ascii="Times New Roman" w:hAnsi="Times New Roman" w:cs="Times New Roman"/>
          <w:sz w:val="24"/>
          <w:szCs w:val="24"/>
        </w:rPr>
        <w:t>% to 9.</w:t>
      </w:r>
      <w:r w:rsidRPr="002C464E" w:rsidR="00857909">
        <w:rPr>
          <w:rFonts w:ascii="Times New Roman" w:hAnsi="Times New Roman" w:cs="Times New Roman"/>
          <w:sz w:val="24"/>
          <w:szCs w:val="24"/>
        </w:rPr>
        <w:t>85</w:t>
      </w:r>
      <w:r w:rsidRPr="002C464E">
        <w:rPr>
          <w:rFonts w:ascii="Times New Roman" w:hAnsi="Times New Roman" w:cs="Times New Roman"/>
          <w:sz w:val="24"/>
          <w:szCs w:val="24"/>
        </w:rPr>
        <w:t>% to a range of 8.9</w:t>
      </w:r>
      <w:r w:rsidRPr="002C464E" w:rsidR="00857909">
        <w:rPr>
          <w:rFonts w:ascii="Times New Roman" w:hAnsi="Times New Roman" w:cs="Times New Roman"/>
          <w:sz w:val="24"/>
          <w:szCs w:val="24"/>
        </w:rPr>
        <w:t>4</w:t>
      </w:r>
      <w:r w:rsidRPr="002C464E">
        <w:rPr>
          <w:rFonts w:ascii="Times New Roman" w:hAnsi="Times New Roman" w:cs="Times New Roman"/>
          <w:sz w:val="24"/>
          <w:szCs w:val="24"/>
        </w:rPr>
        <w:t xml:space="preserve">% to </w:t>
      </w:r>
      <w:r w:rsidRPr="002C464E" w:rsidR="00857909">
        <w:rPr>
          <w:rFonts w:ascii="Times New Roman" w:hAnsi="Times New Roman" w:cs="Times New Roman"/>
          <w:sz w:val="24"/>
          <w:szCs w:val="24"/>
        </w:rPr>
        <w:t>9.95</w:t>
      </w:r>
      <w:r w:rsidRPr="002C464E">
        <w:rPr>
          <w:rFonts w:ascii="Times New Roman" w:hAnsi="Times New Roman" w:cs="Times New Roman"/>
          <w:sz w:val="24"/>
          <w:szCs w:val="24"/>
        </w:rPr>
        <w:t xml:space="preserve">%. </w:t>
      </w:r>
      <w:r w:rsidRPr="002C464E" w:rsidR="00857909">
        <w:rPr>
          <w:rStyle w:val="LineNumber"/>
          <w:rFonts w:ascii="Times New Roman" w:hAnsi="Times New Roman" w:cs="Times New Roman"/>
          <w:sz w:val="24"/>
          <w:szCs w:val="24"/>
        </w:rPr>
        <w:t xml:space="preserve">The </w:t>
      </w:r>
      <w:r>
        <w:rPr>
          <w:rStyle w:val="LineNumber"/>
          <w:rFonts w:ascii="Times New Roman" w:hAnsi="Times New Roman" w:cs="Times New Roman"/>
          <w:sz w:val="24"/>
          <w:szCs w:val="24"/>
        </w:rPr>
        <w:t xml:space="preserve">PUCO </w:t>
      </w:r>
      <w:r w:rsidRPr="002C464E" w:rsidR="00857909">
        <w:rPr>
          <w:rStyle w:val="LineNumber"/>
          <w:rFonts w:ascii="Times New Roman" w:hAnsi="Times New Roman" w:cs="Times New Roman"/>
          <w:sz w:val="24"/>
          <w:szCs w:val="24"/>
        </w:rPr>
        <w:t>Staff did not justify the inclusion of these costs. Even if an adjustment for equity issuance and other costs were allowed, the Staff inappropriately increased the cost of common equity by using a hypothetical and generic issuance cost factor of 3.5%.</w:t>
      </w:r>
      <w:r>
        <w:rPr>
          <w:rStyle w:val="FootnoteReference"/>
          <w:rFonts w:ascii="Times New Roman" w:hAnsi="Times New Roman" w:cs="Times New Roman"/>
          <w:sz w:val="24"/>
          <w:szCs w:val="24"/>
        </w:rPr>
        <w:footnoteReference w:id="44"/>
      </w:r>
      <w:r w:rsidRPr="002C464E" w:rsidR="00857909">
        <w:rPr>
          <w:rStyle w:val="LineNumber"/>
          <w:rFonts w:ascii="Times New Roman" w:hAnsi="Times New Roman" w:cs="Times New Roman"/>
          <w:sz w:val="24"/>
          <w:szCs w:val="24"/>
        </w:rPr>
        <w:t xml:space="preserve"> </w:t>
      </w:r>
    </w:p>
    <w:p w:rsidR="00857909" w:rsidRPr="002C464E" w:rsidP="00857909" w14:paraId="2EBB024E" w14:textId="65725AD2">
      <w:pPr>
        <w:spacing w:after="0" w:line="480" w:lineRule="auto"/>
        <w:ind w:firstLine="720"/>
        <w:rPr>
          <w:rStyle w:val="LineNumber"/>
          <w:rFonts w:ascii="Times New Roman" w:hAnsi="Times New Roman" w:cs="Times New Roman"/>
          <w:sz w:val="24"/>
          <w:szCs w:val="24"/>
        </w:rPr>
      </w:pPr>
      <w:r w:rsidRPr="002C464E">
        <w:rPr>
          <w:rStyle w:val="LineNumber"/>
          <w:rFonts w:ascii="Times New Roman" w:hAnsi="Times New Roman" w:cs="Times New Roman"/>
          <w:sz w:val="24"/>
          <w:szCs w:val="24"/>
        </w:rPr>
        <w:t>The Staff Report has not explained why this generic issuance cost factor is reasonable or why it should be applied in this proceeding. In addition, there is no demonstration in the Staff Report that Aqua Ohio is likely to incur these costs in the near future or the magnitude of these costs. The addition of arbitrary and unproven equity issuance and other costs will unnecessarily and unreasonably increase the cost of water services to Aqua Ohio’s customers.</w:t>
      </w:r>
      <w:r>
        <w:rPr>
          <w:rStyle w:val="FootnoteReference"/>
          <w:rFonts w:ascii="Times New Roman" w:hAnsi="Times New Roman" w:cs="Times New Roman"/>
          <w:sz w:val="24"/>
          <w:szCs w:val="24"/>
        </w:rPr>
        <w:footnoteReference w:id="45"/>
      </w:r>
    </w:p>
    <w:p w:rsidR="00F3266D" w:rsidRPr="002C464E" w:rsidP="00857909" w14:paraId="1E4B551E" w14:textId="63F981ED">
      <w:pPr>
        <w:spacing w:after="0" w:line="240" w:lineRule="auto"/>
        <w:rPr>
          <w:rFonts w:ascii="Times New Roman" w:hAnsi="Times New Roman" w:cs="Times New Roman"/>
          <w:b/>
          <w:bCs/>
          <w:sz w:val="24"/>
          <w:szCs w:val="24"/>
        </w:rPr>
      </w:pPr>
      <w:bookmarkStart w:id="23" w:name="_Toc142925078"/>
      <w:r w:rsidRPr="006A70BC">
        <w:rPr>
          <w:rStyle w:val="Heading3Char"/>
        </w:rPr>
        <w:t xml:space="preserve">OBJECTION </w:t>
      </w:r>
      <w:r w:rsidR="00904822">
        <w:rPr>
          <w:rStyle w:val="Heading3Char"/>
        </w:rPr>
        <w:t>1</w:t>
      </w:r>
      <w:r w:rsidR="005031E7">
        <w:rPr>
          <w:rStyle w:val="Heading3Char"/>
        </w:rPr>
        <w:t>2</w:t>
      </w:r>
      <w:r w:rsidR="00904822">
        <w:rPr>
          <w:rStyle w:val="Heading3Char"/>
        </w:rPr>
        <w:t>:</w:t>
      </w:r>
      <w:r w:rsidRPr="006A70BC">
        <w:rPr>
          <w:rStyle w:val="Heading3Char"/>
        </w:rPr>
        <w:t xml:space="preserve"> </w:t>
      </w:r>
      <w:r w:rsidR="00585B91">
        <w:rPr>
          <w:rStyle w:val="Heading3Char"/>
        </w:rPr>
        <w:t>OCC objects because t</w:t>
      </w:r>
      <w:r w:rsidRPr="006A70BC">
        <w:rPr>
          <w:rStyle w:val="Heading3Char"/>
        </w:rPr>
        <w:t>he Staff Report’s recommended rate of return range of 6.49% to 7.01% is too high based on current market conditions and Aqua’s business and financial risks, resulting in rates that are too high and are unjust and unreasonable for consumers</w:t>
      </w:r>
      <w:r w:rsidRPr="006A70BC" w:rsidR="00593E09">
        <w:rPr>
          <w:rStyle w:val="Heading3Char"/>
        </w:rPr>
        <w:t xml:space="preserve"> </w:t>
      </w:r>
      <w:r w:rsidRPr="006A70BC" w:rsidR="00E01EE5">
        <w:rPr>
          <w:rStyle w:val="Heading3Char"/>
        </w:rPr>
        <w:t>in violation of</w:t>
      </w:r>
      <w:r w:rsidRPr="006A70BC" w:rsidR="00593E09">
        <w:rPr>
          <w:rStyle w:val="Heading3Char"/>
        </w:rPr>
        <w:t xml:space="preserve"> R.C. 4905.22, 4909.15, 4909.154, 4909.17 and 4909.18</w:t>
      </w:r>
      <w:r w:rsidRPr="006A70BC">
        <w:rPr>
          <w:rStyle w:val="Heading3Char"/>
        </w:rPr>
        <w:t>.</w:t>
      </w:r>
      <w:r w:rsidRPr="006A70BC" w:rsidR="00E01EE5">
        <w:rPr>
          <w:rStyle w:val="Heading3Char"/>
        </w:rPr>
        <w:t xml:space="preserve"> The Staff Report should have recommended a </w:t>
      </w:r>
      <w:r w:rsidRPr="006A70BC">
        <w:rPr>
          <w:rStyle w:val="Heading3Char"/>
        </w:rPr>
        <w:t xml:space="preserve">rate of return </w:t>
      </w:r>
      <w:r w:rsidRPr="006A70BC" w:rsidR="00E01EE5">
        <w:rPr>
          <w:rStyle w:val="Heading3Char"/>
        </w:rPr>
        <w:t>of</w:t>
      </w:r>
      <w:r w:rsidRPr="006A70BC">
        <w:rPr>
          <w:rStyle w:val="Heading3Char"/>
        </w:rPr>
        <w:t xml:space="preserve"> 6.47% or lower.</w:t>
      </w:r>
      <w:bookmarkEnd w:id="23"/>
    </w:p>
    <w:p w:rsidR="00857909" w:rsidRPr="002C464E" w:rsidP="00857909" w14:paraId="78E87FF8" w14:textId="77777777">
      <w:pPr>
        <w:spacing w:after="0" w:line="240" w:lineRule="auto"/>
        <w:rPr>
          <w:rFonts w:ascii="Times New Roman" w:eastAsia="Times New Roman" w:hAnsi="Times New Roman" w:cs="Times New Roman"/>
          <w:b/>
          <w:bCs/>
          <w:sz w:val="24"/>
          <w:szCs w:val="24"/>
        </w:rPr>
      </w:pPr>
    </w:p>
    <w:p w:rsidR="00F3266D" w:rsidRPr="002C464E" w:rsidP="00F3266D" w14:paraId="4B0D1EC3" w14:textId="007D9B96">
      <w:pPr>
        <w:spacing w:after="0" w:line="480" w:lineRule="auto"/>
        <w:ind w:firstLine="720"/>
        <w:rPr>
          <w:rFonts w:ascii="Times New Roman" w:hAnsi="Times New Roman" w:cs="Times New Roman"/>
          <w:sz w:val="24"/>
          <w:szCs w:val="24"/>
        </w:rPr>
      </w:pPr>
      <w:r w:rsidRPr="002C464E">
        <w:rPr>
          <w:rFonts w:ascii="Times New Roman" w:hAnsi="Times New Roman" w:cs="Times New Roman"/>
          <w:sz w:val="24"/>
          <w:szCs w:val="24"/>
        </w:rPr>
        <w:t>To protect Aqua’s consumers, OCC objects to the recommended rate of return range of 6.</w:t>
      </w:r>
      <w:r w:rsidRPr="002C464E" w:rsidR="00857909">
        <w:rPr>
          <w:rFonts w:ascii="Times New Roman" w:hAnsi="Times New Roman" w:cs="Times New Roman"/>
          <w:sz w:val="24"/>
          <w:szCs w:val="24"/>
        </w:rPr>
        <w:t>49</w:t>
      </w:r>
      <w:r w:rsidRPr="002C464E">
        <w:rPr>
          <w:rFonts w:ascii="Times New Roman" w:hAnsi="Times New Roman" w:cs="Times New Roman"/>
          <w:sz w:val="24"/>
          <w:szCs w:val="24"/>
        </w:rPr>
        <w:t>% to 7.0</w:t>
      </w:r>
      <w:r w:rsidRPr="002C464E" w:rsidR="00857909">
        <w:rPr>
          <w:rFonts w:ascii="Times New Roman" w:hAnsi="Times New Roman" w:cs="Times New Roman"/>
          <w:sz w:val="24"/>
          <w:szCs w:val="24"/>
        </w:rPr>
        <w:t>1</w:t>
      </w:r>
      <w:r w:rsidRPr="002C464E">
        <w:rPr>
          <w:rFonts w:ascii="Times New Roman" w:hAnsi="Times New Roman" w:cs="Times New Roman"/>
          <w:sz w:val="24"/>
          <w:szCs w:val="24"/>
        </w:rPr>
        <w:t>% in the Staff Report. The Staff Report’s recommended rate of return range of 6.</w:t>
      </w:r>
      <w:r w:rsidRPr="002C464E" w:rsidR="00857909">
        <w:rPr>
          <w:rFonts w:ascii="Times New Roman" w:hAnsi="Times New Roman" w:cs="Times New Roman"/>
          <w:sz w:val="24"/>
          <w:szCs w:val="24"/>
        </w:rPr>
        <w:t>49</w:t>
      </w:r>
      <w:r w:rsidRPr="002C464E">
        <w:rPr>
          <w:rFonts w:ascii="Times New Roman" w:hAnsi="Times New Roman" w:cs="Times New Roman"/>
          <w:sz w:val="24"/>
          <w:szCs w:val="24"/>
        </w:rPr>
        <w:t>% to 7.0</w:t>
      </w:r>
      <w:r w:rsidRPr="002C464E" w:rsidR="00857909">
        <w:rPr>
          <w:rFonts w:ascii="Times New Roman" w:hAnsi="Times New Roman" w:cs="Times New Roman"/>
          <w:sz w:val="24"/>
          <w:szCs w:val="24"/>
        </w:rPr>
        <w:t>1</w:t>
      </w:r>
      <w:r w:rsidRPr="002C464E">
        <w:rPr>
          <w:rFonts w:ascii="Times New Roman" w:hAnsi="Times New Roman" w:cs="Times New Roman"/>
          <w:sz w:val="24"/>
          <w:szCs w:val="24"/>
        </w:rPr>
        <w:t>% is too high based on current market conditions and Aqua’s business and financial risks. It is therefore unjust and unreasonable for consumers to pay Aqua a water distribution charge based on this range of rate of return.</w:t>
      </w:r>
    </w:p>
    <w:p w:rsidR="00F3266D" w:rsidRPr="002C464E" w:rsidP="00F3266D" w14:paraId="516207E3" w14:textId="668C7F04">
      <w:pPr>
        <w:spacing w:after="0" w:line="480" w:lineRule="auto"/>
        <w:ind w:firstLine="720"/>
        <w:rPr>
          <w:rFonts w:ascii="Times New Roman" w:hAnsi="Times New Roman" w:cs="Times New Roman"/>
          <w:sz w:val="24"/>
          <w:szCs w:val="24"/>
        </w:rPr>
      </w:pPr>
      <w:r w:rsidRPr="002C464E">
        <w:rPr>
          <w:rFonts w:ascii="Times New Roman" w:hAnsi="Times New Roman" w:cs="Times New Roman"/>
          <w:sz w:val="24"/>
          <w:szCs w:val="24"/>
        </w:rPr>
        <w:t xml:space="preserve">The costs of water services to the approximately 150,549 Ohio consumers served by Aqua have steadily increased over the past </w:t>
      </w:r>
      <w:r w:rsidRPr="002C464E" w:rsidR="00857909">
        <w:rPr>
          <w:rFonts w:ascii="Times New Roman" w:hAnsi="Times New Roman" w:cs="Times New Roman"/>
          <w:sz w:val="24"/>
          <w:szCs w:val="24"/>
        </w:rPr>
        <w:t>six</w:t>
      </w:r>
      <w:r w:rsidRPr="002C464E">
        <w:rPr>
          <w:rFonts w:ascii="Times New Roman" w:hAnsi="Times New Roman" w:cs="Times New Roman"/>
          <w:sz w:val="24"/>
          <w:szCs w:val="24"/>
        </w:rPr>
        <w:t xml:space="preserve"> years. These consumers have faced frequent and significant rate increases. This rate increase by Aqua, if approved, would be the </w:t>
      </w:r>
      <w:r w:rsidRPr="002C464E" w:rsidR="00857909">
        <w:rPr>
          <w:rFonts w:ascii="Times New Roman" w:hAnsi="Times New Roman" w:cs="Times New Roman"/>
          <w:sz w:val="24"/>
          <w:szCs w:val="24"/>
        </w:rPr>
        <w:t>six</w:t>
      </w:r>
      <w:r w:rsidRPr="002C464E">
        <w:rPr>
          <w:rFonts w:ascii="Times New Roman" w:hAnsi="Times New Roman" w:cs="Times New Roman"/>
          <w:sz w:val="24"/>
          <w:szCs w:val="24"/>
        </w:rPr>
        <w:t>th increase in rates (including the three System Improvement Charges) granted by the PUCO since March 2017.</w:t>
      </w:r>
      <w:r>
        <w:rPr>
          <w:rStyle w:val="FootnoteReference"/>
          <w:rFonts w:ascii="Times New Roman" w:eastAsia="Times New Roman" w:hAnsi="Times New Roman" w:cs="Times New Roman"/>
          <w:bCs/>
          <w:iCs/>
          <w:sz w:val="24"/>
          <w:szCs w:val="24"/>
        </w:rPr>
        <w:footnoteReference w:id="46"/>
      </w:r>
      <w:r w:rsidRPr="002C464E">
        <w:rPr>
          <w:rFonts w:ascii="Times New Roman" w:hAnsi="Times New Roman" w:cs="Times New Roman"/>
          <w:sz w:val="24"/>
          <w:szCs w:val="24"/>
        </w:rPr>
        <w:t xml:space="preserve"> </w:t>
      </w:r>
    </w:p>
    <w:p w:rsidR="00F3266D" w:rsidRPr="002C464E" w:rsidP="00F3266D" w14:paraId="38D582A1" w14:textId="77777777">
      <w:pPr>
        <w:autoSpaceDE w:val="0"/>
        <w:autoSpaceDN w:val="0"/>
        <w:adjustRightInd w:val="0"/>
        <w:spacing w:after="0" w:line="480" w:lineRule="auto"/>
        <w:ind w:firstLine="720"/>
        <w:rPr>
          <w:rFonts w:ascii="Times New Roman" w:eastAsia="Times New Roman" w:hAnsi="Times New Roman" w:cs="Times New Roman"/>
          <w:bCs/>
          <w:iCs/>
          <w:sz w:val="24"/>
          <w:szCs w:val="24"/>
        </w:rPr>
      </w:pPr>
      <w:r w:rsidRPr="002C464E">
        <w:rPr>
          <w:rFonts w:ascii="Times New Roman" w:eastAsia="Times New Roman" w:hAnsi="Times New Roman" w:cs="Times New Roman"/>
          <w:bCs/>
          <w:iCs/>
          <w:sz w:val="24"/>
          <w:szCs w:val="24"/>
        </w:rPr>
        <w:t xml:space="preserve">Aqua’s frequent and significant rate increases in recent years indicate the need to select a lower but reasonable rate of return to lessen the impact of any further rate increase to Aqua’s consumers. At the same time, the frequent use of the System Improvement Charge (two in 2019 and one in 2020) by Aqua has reduced considerably the so-called regulatory lag and the business and financial risks of Aqua. This in turn should lead to a lower authorized rate of return for Aqua. </w:t>
      </w:r>
    </w:p>
    <w:p w:rsidR="00F3266D" w:rsidP="00BB5866" w14:paraId="32C983C8" w14:textId="3A85024A">
      <w:pPr>
        <w:autoSpaceDE w:val="0"/>
        <w:autoSpaceDN w:val="0"/>
        <w:spacing w:after="0" w:line="480" w:lineRule="auto"/>
        <w:ind w:firstLine="720"/>
        <w:rPr>
          <w:rFonts w:ascii="Times New Roman" w:hAnsi="Times New Roman" w:cs="Times New Roman"/>
          <w:sz w:val="24"/>
          <w:szCs w:val="24"/>
        </w:rPr>
      </w:pPr>
      <w:r w:rsidRPr="002C464E">
        <w:rPr>
          <w:rFonts w:ascii="Times New Roman" w:hAnsi="Times New Roman" w:cs="Times New Roman"/>
          <w:sz w:val="24"/>
          <w:szCs w:val="24"/>
        </w:rPr>
        <w:t xml:space="preserve">OCC’s recommended rate of return </w:t>
      </w:r>
      <w:r w:rsidR="00593E09">
        <w:rPr>
          <w:rFonts w:ascii="Times New Roman" w:hAnsi="Times New Roman" w:cs="Times New Roman"/>
          <w:sz w:val="24"/>
          <w:szCs w:val="24"/>
        </w:rPr>
        <w:t>of</w:t>
      </w:r>
      <w:r w:rsidRPr="002C464E" w:rsidR="00BB5866">
        <w:rPr>
          <w:rFonts w:ascii="Times New Roman" w:hAnsi="Times New Roman" w:cs="Times New Roman"/>
          <w:sz w:val="24"/>
          <w:szCs w:val="24"/>
        </w:rPr>
        <w:t xml:space="preserve"> 6.47% </w:t>
      </w:r>
      <w:r w:rsidRPr="002C464E">
        <w:rPr>
          <w:rFonts w:ascii="Times New Roman" w:hAnsi="Times New Roman" w:cs="Times New Roman"/>
          <w:sz w:val="24"/>
          <w:szCs w:val="24"/>
        </w:rPr>
        <w:t>reflects proper and reasonable modifications to the rate of return analysis included in the Staff Report.</w:t>
      </w:r>
      <w:r>
        <w:rPr>
          <w:rStyle w:val="FootnoteReference"/>
          <w:rFonts w:ascii="Times New Roman" w:hAnsi="Times New Roman" w:cs="Times New Roman"/>
          <w:sz w:val="24"/>
          <w:szCs w:val="24"/>
        </w:rPr>
        <w:footnoteReference w:id="47"/>
      </w:r>
      <w:r w:rsidRPr="002C464E">
        <w:rPr>
          <w:rFonts w:ascii="Times New Roman" w:hAnsi="Times New Roman" w:cs="Times New Roman"/>
          <w:sz w:val="24"/>
          <w:szCs w:val="24"/>
        </w:rPr>
        <w:t xml:space="preserve"> This rate of return is also consistent with the well-established regulatory principles that (1) a rate of return should not result in unjust and unreasonable rates; (2) a rate of return should be based on current market conditions and returns available from alternative investments; (3) a rate of return should be based on providing sufficient fund for a regulated utility to continue its normal course of business; and (4) a rate of return is not a guarantee for the regulated utility to receive excessive returns on its invested capital.</w:t>
      </w:r>
    </w:p>
    <w:p w:rsidR="00A80816" w:rsidRPr="00A80816" w:rsidP="00AF69C6" w14:paraId="27128019" w14:textId="63480BF0">
      <w:pPr>
        <w:pStyle w:val="Heading2"/>
        <w:numPr>
          <w:ilvl w:val="0"/>
          <w:numId w:val="3"/>
        </w:numPr>
        <w:ind w:left="1440" w:hanging="720"/>
      </w:pPr>
      <w:bookmarkStart w:id="24" w:name="_Toc142925079"/>
      <w:r>
        <w:t>Service Monitoring and Enforcement</w:t>
      </w:r>
      <w:bookmarkEnd w:id="24"/>
    </w:p>
    <w:p w:rsidR="00A80816" w:rsidRPr="00AF69C6" w:rsidP="004E08EC" w14:paraId="0BC908AA" w14:textId="5944D1B9">
      <w:pPr>
        <w:spacing w:after="0" w:line="240" w:lineRule="auto"/>
        <w:rPr>
          <w:rStyle w:val="Heading3Char"/>
        </w:rPr>
      </w:pPr>
      <w:bookmarkStart w:id="25" w:name="_Toc142925080"/>
      <w:r w:rsidRPr="00AF69C6">
        <w:rPr>
          <w:rStyle w:val="Heading3Char"/>
        </w:rPr>
        <w:t>O</w:t>
      </w:r>
      <w:r w:rsidRPr="00AF69C6" w:rsidR="00593E09">
        <w:rPr>
          <w:rStyle w:val="Heading3Char"/>
        </w:rPr>
        <w:t>BJECTION</w:t>
      </w:r>
      <w:r w:rsidRPr="00AF69C6">
        <w:rPr>
          <w:rStyle w:val="Heading3Char"/>
        </w:rPr>
        <w:t xml:space="preserve"> </w:t>
      </w:r>
      <w:r w:rsidR="00904822">
        <w:rPr>
          <w:rStyle w:val="Heading3Char"/>
        </w:rPr>
        <w:t>1</w:t>
      </w:r>
      <w:r w:rsidR="005031E7">
        <w:rPr>
          <w:rStyle w:val="Heading3Char"/>
        </w:rPr>
        <w:t>3</w:t>
      </w:r>
      <w:r w:rsidRPr="00AF69C6">
        <w:rPr>
          <w:rStyle w:val="Heading3Char"/>
        </w:rPr>
        <w:t>:</w:t>
      </w:r>
      <w:r w:rsidR="005031E7">
        <w:rPr>
          <w:rStyle w:val="Heading3Char"/>
        </w:rPr>
        <w:t xml:space="preserve"> </w:t>
      </w:r>
      <w:r w:rsidR="00585B91">
        <w:rPr>
          <w:rStyle w:val="Heading3Char"/>
        </w:rPr>
        <w:t>OCC objects because t</w:t>
      </w:r>
      <w:r w:rsidRPr="00AF69C6" w:rsidR="00585B91">
        <w:rPr>
          <w:rStyle w:val="Heading3Char"/>
        </w:rPr>
        <w:t xml:space="preserve">he Staff erred </w:t>
      </w:r>
      <w:r w:rsidR="00F37421">
        <w:rPr>
          <w:rStyle w:val="Heading3Char"/>
        </w:rPr>
        <w:t>when</w:t>
      </w:r>
      <w:r w:rsidRPr="00AF69C6" w:rsidR="00585B91">
        <w:rPr>
          <w:rStyle w:val="Heading3Char"/>
        </w:rPr>
        <w:t xml:space="preserve"> it failed to </w:t>
      </w:r>
      <w:r w:rsidR="00585B91">
        <w:rPr>
          <w:rStyle w:val="Heading3Char"/>
        </w:rPr>
        <w:t xml:space="preserve">include </w:t>
      </w:r>
      <w:r w:rsidRPr="00AF69C6" w:rsidR="00585B91">
        <w:rPr>
          <w:rStyle w:val="Heading3Char"/>
        </w:rPr>
        <w:t>a detailed analysis o</w:t>
      </w:r>
      <w:r w:rsidR="00585B91">
        <w:rPr>
          <w:rStyle w:val="Heading3Char"/>
        </w:rPr>
        <w:t>f</w:t>
      </w:r>
      <w:r w:rsidRPr="00AF69C6" w:rsidR="00585B91">
        <w:rPr>
          <w:rStyle w:val="Heading3Char"/>
        </w:rPr>
        <w:t xml:space="preserve"> Aqua’s service disconnections for non-payment</w:t>
      </w:r>
      <w:r w:rsidR="00585B91">
        <w:rPr>
          <w:rStyle w:val="Heading3Char"/>
        </w:rPr>
        <w:t>, which is needed to protect at-risk consumers</w:t>
      </w:r>
      <w:r w:rsidRPr="00AF69C6" w:rsidR="00585B91">
        <w:rPr>
          <w:rStyle w:val="Heading3Char"/>
        </w:rPr>
        <w:t>.</w:t>
      </w:r>
      <w:bookmarkEnd w:id="25"/>
    </w:p>
    <w:p w:rsidR="004E08EC" w:rsidRPr="004E08EC" w:rsidP="004E08EC" w14:paraId="410F6B2A" w14:textId="77777777">
      <w:pPr>
        <w:spacing w:after="0" w:line="240" w:lineRule="auto"/>
        <w:rPr>
          <w:rFonts w:ascii="Times New Roman" w:hAnsi="Times New Roman" w:cs="Times New Roman"/>
          <w:b/>
          <w:bCs/>
          <w:sz w:val="24"/>
          <w:szCs w:val="24"/>
        </w:rPr>
      </w:pPr>
    </w:p>
    <w:p w:rsidR="00A80816" w:rsidRPr="007E7BB4" w:rsidP="004A3D3B" w14:paraId="3A5E2378" w14:textId="1427D695">
      <w:pPr>
        <w:spacing w:after="0" w:line="480" w:lineRule="auto"/>
        <w:ind w:firstLine="720"/>
        <w:rPr>
          <w:rFonts w:ascii="Times New Roman" w:hAnsi="Times New Roman" w:cs="Times New Roman"/>
          <w:sz w:val="24"/>
          <w:szCs w:val="24"/>
        </w:rPr>
      </w:pPr>
      <w:r w:rsidRPr="007E7BB4">
        <w:rPr>
          <w:rFonts w:ascii="Times New Roman" w:hAnsi="Times New Roman" w:cs="Times New Roman"/>
          <w:sz w:val="24"/>
          <w:szCs w:val="24"/>
        </w:rPr>
        <w:t xml:space="preserve">OCC objects to the failure of the Staff </w:t>
      </w:r>
      <w:r w:rsidR="00967C48">
        <w:rPr>
          <w:rFonts w:ascii="Times New Roman" w:hAnsi="Times New Roman" w:cs="Times New Roman"/>
          <w:sz w:val="24"/>
          <w:szCs w:val="24"/>
        </w:rPr>
        <w:t>to</w:t>
      </w:r>
      <w:r w:rsidRPr="007E7BB4">
        <w:rPr>
          <w:rFonts w:ascii="Times New Roman" w:hAnsi="Times New Roman" w:cs="Times New Roman"/>
          <w:sz w:val="24"/>
          <w:szCs w:val="24"/>
        </w:rPr>
        <w:t xml:space="preserve"> perform a detailed analysis of Aqua Ohio’s service disconnections for non-payment since January 2019. The Staff Report only addressed the number of service disconnections received through the PUCO Call Center from June 1, 2022, through May 31, 2023.</w:t>
      </w:r>
      <w:r>
        <w:rPr>
          <w:rStyle w:val="FootnoteReference"/>
          <w:rFonts w:ascii="Times New Roman" w:eastAsia="Times New Roman" w:hAnsi="Times New Roman" w:cs="Times New Roman"/>
          <w:bCs/>
          <w:iCs/>
          <w:sz w:val="24"/>
          <w:szCs w:val="24"/>
        </w:rPr>
        <w:footnoteReference w:id="48"/>
      </w:r>
      <w:r w:rsidRPr="007E7BB4">
        <w:rPr>
          <w:rFonts w:ascii="Times New Roman" w:hAnsi="Times New Roman" w:cs="Times New Roman"/>
          <w:sz w:val="24"/>
          <w:szCs w:val="24"/>
        </w:rPr>
        <w:t xml:space="preserve"> The Staff Report should have conducted an audit and analysis o</w:t>
      </w:r>
      <w:r w:rsidR="00E01EE5">
        <w:rPr>
          <w:rFonts w:ascii="Times New Roman" w:hAnsi="Times New Roman" w:cs="Times New Roman"/>
          <w:sz w:val="24"/>
          <w:szCs w:val="24"/>
        </w:rPr>
        <w:t>f</w:t>
      </w:r>
      <w:r w:rsidRPr="007E7BB4">
        <w:rPr>
          <w:rFonts w:ascii="Times New Roman" w:hAnsi="Times New Roman" w:cs="Times New Roman"/>
          <w:sz w:val="24"/>
          <w:szCs w:val="24"/>
        </w:rPr>
        <w:t xml:space="preserve"> Aqua’s quarterly disconnection data, contacts to the PUCO call center regarding the disconnection of service, and water assistance data provided (provided to PUCO and OCC)</w:t>
      </w:r>
      <w:r w:rsidR="00967C48">
        <w:rPr>
          <w:rFonts w:ascii="Times New Roman" w:hAnsi="Times New Roman" w:cs="Times New Roman"/>
          <w:sz w:val="24"/>
          <w:szCs w:val="24"/>
        </w:rPr>
        <w:t>.</w:t>
      </w:r>
      <w:r w:rsidR="00427F55">
        <w:rPr>
          <w:rFonts w:ascii="Times New Roman" w:hAnsi="Times New Roman" w:cs="Times New Roman"/>
          <w:sz w:val="24"/>
          <w:szCs w:val="24"/>
        </w:rPr>
        <w:t xml:space="preserve"> </w:t>
      </w:r>
      <w:r w:rsidR="00967C48">
        <w:rPr>
          <w:rFonts w:ascii="Times New Roman" w:hAnsi="Times New Roman" w:cs="Times New Roman"/>
          <w:sz w:val="24"/>
          <w:szCs w:val="24"/>
        </w:rPr>
        <w:t>Aqua was requi</w:t>
      </w:r>
      <w:r w:rsidR="004A3D3B">
        <w:rPr>
          <w:rFonts w:ascii="Times New Roman" w:hAnsi="Times New Roman" w:cs="Times New Roman"/>
          <w:sz w:val="24"/>
          <w:szCs w:val="24"/>
        </w:rPr>
        <w:t>red,</w:t>
      </w:r>
      <w:r w:rsidR="00427F55">
        <w:rPr>
          <w:rFonts w:ascii="Times New Roman" w:hAnsi="Times New Roman" w:cs="Times New Roman"/>
          <w:sz w:val="24"/>
          <w:szCs w:val="24"/>
        </w:rPr>
        <w:t xml:space="preserve"> </w:t>
      </w:r>
      <w:r w:rsidRPr="007E7BB4">
        <w:rPr>
          <w:rFonts w:ascii="Times New Roman" w:hAnsi="Times New Roman" w:cs="Times New Roman"/>
          <w:sz w:val="24"/>
          <w:szCs w:val="24"/>
        </w:rPr>
        <w:t>as part of the</w:t>
      </w:r>
      <w:r w:rsidR="00E01EE5">
        <w:rPr>
          <w:rFonts w:ascii="Times New Roman" w:hAnsi="Times New Roman" w:cs="Times New Roman"/>
          <w:sz w:val="24"/>
          <w:szCs w:val="24"/>
        </w:rPr>
        <w:t xml:space="preserve"> PUCO-</w:t>
      </w:r>
      <w:r w:rsidRPr="007E7BB4">
        <w:rPr>
          <w:rFonts w:ascii="Times New Roman" w:hAnsi="Times New Roman" w:cs="Times New Roman"/>
          <w:sz w:val="24"/>
          <w:szCs w:val="24"/>
        </w:rPr>
        <w:t xml:space="preserve">approved </w:t>
      </w:r>
      <w:r w:rsidR="00E01EE5">
        <w:rPr>
          <w:rFonts w:ascii="Times New Roman" w:hAnsi="Times New Roman" w:cs="Times New Roman"/>
          <w:sz w:val="24"/>
          <w:szCs w:val="24"/>
        </w:rPr>
        <w:t>settlement</w:t>
      </w:r>
      <w:r w:rsidRPr="007E7BB4">
        <w:rPr>
          <w:rFonts w:ascii="Times New Roman" w:hAnsi="Times New Roman" w:cs="Times New Roman"/>
          <w:sz w:val="24"/>
          <w:szCs w:val="24"/>
        </w:rPr>
        <w:t xml:space="preserve"> in Case No. 21-595-WW-AIR.</w:t>
      </w:r>
      <w:r w:rsidR="004A3D3B">
        <w:rPr>
          <w:rFonts w:ascii="Times New Roman" w:hAnsi="Times New Roman" w:cs="Times New Roman"/>
          <w:sz w:val="24"/>
          <w:szCs w:val="24"/>
        </w:rPr>
        <w:t>, to provide such data.</w:t>
      </w:r>
      <w:r>
        <w:rPr>
          <w:rStyle w:val="FootnoteReference"/>
          <w:rFonts w:ascii="Times New Roman" w:eastAsia="Times New Roman" w:hAnsi="Times New Roman" w:cs="Times New Roman"/>
          <w:bCs/>
          <w:iCs/>
          <w:sz w:val="24"/>
          <w:szCs w:val="24"/>
        </w:rPr>
        <w:footnoteReference w:id="49"/>
      </w:r>
      <w:r w:rsidR="00427F55">
        <w:rPr>
          <w:rFonts w:ascii="Times New Roman" w:hAnsi="Times New Roman" w:cs="Times New Roman"/>
          <w:sz w:val="24"/>
          <w:szCs w:val="24"/>
        </w:rPr>
        <w:t xml:space="preserve"> </w:t>
      </w:r>
      <w:r w:rsidR="004A3D3B">
        <w:rPr>
          <w:rFonts w:ascii="Times New Roman" w:hAnsi="Times New Roman" w:cs="Times New Roman"/>
          <w:sz w:val="24"/>
          <w:szCs w:val="24"/>
        </w:rPr>
        <w:t>The PUCO should have reviewed that data in assessing whether Aqua’s disconnection practices and policies are harming its consumers.</w:t>
      </w:r>
      <w:r w:rsidR="00427F55">
        <w:rPr>
          <w:rFonts w:ascii="Times New Roman" w:hAnsi="Times New Roman" w:cs="Times New Roman"/>
          <w:sz w:val="24"/>
          <w:szCs w:val="24"/>
        </w:rPr>
        <w:t xml:space="preserve"> </w:t>
      </w:r>
    </w:p>
    <w:p w:rsidR="00A80816" w:rsidRPr="007E7BB4" w:rsidP="007E7BB4" w14:paraId="488397E6" w14:textId="74AD41EA">
      <w:pPr>
        <w:spacing w:after="0" w:line="480" w:lineRule="auto"/>
        <w:ind w:firstLine="720"/>
        <w:rPr>
          <w:rFonts w:ascii="Times New Roman" w:hAnsi="Times New Roman" w:cs="Times New Roman"/>
          <w:sz w:val="24"/>
          <w:szCs w:val="24"/>
        </w:rPr>
      </w:pPr>
      <w:r w:rsidRPr="007E7BB4">
        <w:rPr>
          <w:rFonts w:ascii="Times New Roman" w:hAnsi="Times New Roman" w:cs="Times New Roman"/>
          <w:sz w:val="24"/>
          <w:szCs w:val="24"/>
        </w:rPr>
        <w:t xml:space="preserve">Specifically, consumers are spending more money on basic necessities due to inflation, which includes energy bills. In April 2023, the PUCO stated the average electric </w:t>
      </w:r>
      <w:r w:rsidR="00E01EE5">
        <w:rPr>
          <w:rFonts w:ascii="Times New Roman" w:hAnsi="Times New Roman" w:cs="Times New Roman"/>
          <w:sz w:val="24"/>
          <w:szCs w:val="24"/>
        </w:rPr>
        <w:t>standard offer</w:t>
      </w:r>
      <w:r w:rsidRPr="007E7BB4">
        <w:rPr>
          <w:rFonts w:ascii="Times New Roman" w:hAnsi="Times New Roman" w:cs="Times New Roman"/>
          <w:sz w:val="24"/>
          <w:szCs w:val="24"/>
        </w:rPr>
        <w:t xml:space="preserve"> </w:t>
      </w:r>
      <w:r w:rsidR="00E01EE5">
        <w:rPr>
          <w:rFonts w:ascii="Times New Roman" w:hAnsi="Times New Roman" w:cs="Times New Roman"/>
          <w:sz w:val="24"/>
          <w:szCs w:val="24"/>
        </w:rPr>
        <w:t>charge</w:t>
      </w:r>
      <w:r w:rsidRPr="007E7BB4">
        <w:rPr>
          <w:rFonts w:ascii="Times New Roman" w:hAnsi="Times New Roman" w:cs="Times New Roman"/>
          <w:sz w:val="24"/>
          <w:szCs w:val="24"/>
        </w:rPr>
        <w:t xml:space="preserve"> would increase from 58% to 88%.</w:t>
      </w:r>
      <w:r>
        <w:rPr>
          <w:rStyle w:val="FootnoteReference"/>
          <w:rFonts w:ascii="Times New Roman" w:eastAsia="Times New Roman" w:hAnsi="Times New Roman" w:cs="Times New Roman"/>
          <w:bCs/>
          <w:iCs/>
          <w:sz w:val="24"/>
          <w:szCs w:val="24"/>
        </w:rPr>
        <w:footnoteReference w:id="50"/>
      </w:r>
      <w:r w:rsidRPr="007E7BB4">
        <w:rPr>
          <w:rFonts w:ascii="Times New Roman" w:hAnsi="Times New Roman" w:cs="Times New Roman"/>
          <w:sz w:val="24"/>
          <w:szCs w:val="24"/>
        </w:rPr>
        <w:t xml:space="preserve"> Also, the Low-Income Home Water Assistance Program (</w:t>
      </w:r>
      <w:r w:rsidR="00DE17D6">
        <w:rPr>
          <w:rFonts w:ascii="Times New Roman" w:hAnsi="Times New Roman" w:cs="Times New Roman"/>
          <w:sz w:val="24"/>
          <w:szCs w:val="24"/>
        </w:rPr>
        <w:t>“</w:t>
      </w:r>
      <w:r w:rsidRPr="007E7BB4">
        <w:rPr>
          <w:rFonts w:ascii="Times New Roman" w:hAnsi="Times New Roman" w:cs="Times New Roman"/>
          <w:sz w:val="24"/>
          <w:szCs w:val="24"/>
        </w:rPr>
        <w:t>LIHWAP</w:t>
      </w:r>
      <w:r w:rsidR="00DE17D6">
        <w:rPr>
          <w:rFonts w:ascii="Times New Roman" w:hAnsi="Times New Roman" w:cs="Times New Roman"/>
          <w:sz w:val="24"/>
          <w:szCs w:val="24"/>
        </w:rPr>
        <w:t>”</w:t>
      </w:r>
      <w:r w:rsidRPr="007E7BB4">
        <w:rPr>
          <w:rFonts w:ascii="Times New Roman" w:hAnsi="Times New Roman" w:cs="Times New Roman"/>
          <w:sz w:val="24"/>
          <w:szCs w:val="24"/>
        </w:rPr>
        <w:t>) expires on September 30, 2023.</w:t>
      </w:r>
      <w:r>
        <w:rPr>
          <w:rStyle w:val="FootnoteReference"/>
          <w:rFonts w:ascii="Times New Roman" w:eastAsia="Times New Roman" w:hAnsi="Times New Roman" w:cs="Times New Roman"/>
          <w:bCs/>
          <w:iCs/>
          <w:sz w:val="24"/>
          <w:szCs w:val="24"/>
        </w:rPr>
        <w:footnoteReference w:id="51"/>
      </w:r>
      <w:r w:rsidRPr="007E7BB4">
        <w:rPr>
          <w:rFonts w:ascii="Times New Roman" w:hAnsi="Times New Roman" w:cs="Times New Roman"/>
          <w:sz w:val="24"/>
          <w:szCs w:val="24"/>
        </w:rPr>
        <w:t xml:space="preserve"> The expiration of the LIHWAP program would be a hardship to Aqua consumers, especially since it has assisted more than 1,100</w:t>
      </w:r>
      <w:r w:rsidR="00AC4DB5">
        <w:rPr>
          <w:rFonts w:ascii="Times New Roman" w:hAnsi="Times New Roman" w:cs="Times New Roman"/>
          <w:sz w:val="24"/>
          <w:szCs w:val="24"/>
        </w:rPr>
        <w:t xml:space="preserve"> </w:t>
      </w:r>
      <w:r w:rsidRPr="007E7BB4">
        <w:rPr>
          <w:rFonts w:ascii="Times New Roman" w:hAnsi="Times New Roman" w:cs="Times New Roman"/>
          <w:sz w:val="24"/>
          <w:szCs w:val="24"/>
        </w:rPr>
        <w:t>residential consumers who received eligible pledges totaling more than $350,000 from January 2022 through March 2023.</w:t>
      </w:r>
      <w:r>
        <w:rPr>
          <w:rStyle w:val="FootnoteReference"/>
          <w:rFonts w:ascii="Times New Roman" w:eastAsia="Times New Roman" w:hAnsi="Times New Roman" w:cs="Times New Roman"/>
          <w:bCs/>
          <w:iCs/>
          <w:sz w:val="24"/>
          <w:szCs w:val="24"/>
        </w:rPr>
        <w:footnoteReference w:id="52"/>
      </w:r>
      <w:r w:rsidRPr="00DE17D6">
        <w:rPr>
          <w:rStyle w:val="FootnoteReference"/>
          <w:rFonts w:ascii="Times New Roman" w:eastAsia="Times New Roman" w:hAnsi="Times New Roman" w:cs="Times New Roman"/>
          <w:bCs/>
          <w:iCs/>
        </w:rPr>
        <w:t xml:space="preserve"> </w:t>
      </w:r>
    </w:p>
    <w:p w:rsidR="00AA7039" w:rsidP="007A098B" w14:paraId="476138DE" w14:textId="180CB003">
      <w:pPr>
        <w:spacing w:after="0" w:line="480" w:lineRule="auto"/>
        <w:ind w:firstLine="720"/>
        <w:rPr>
          <w:rFonts w:ascii="Times New Roman" w:hAnsi="Times New Roman" w:cs="Times New Roman"/>
          <w:sz w:val="24"/>
          <w:szCs w:val="24"/>
        </w:rPr>
      </w:pPr>
      <w:r w:rsidRPr="00DE17D6">
        <w:rPr>
          <w:rFonts w:ascii="Times New Roman" w:hAnsi="Times New Roman" w:cs="Times New Roman"/>
          <w:sz w:val="24"/>
          <w:szCs w:val="24"/>
        </w:rPr>
        <w:t>All of this comes at a time when Aqua’s average monthly service disconnections and disconnection amount has increased from 2022 to 2023.</w:t>
      </w:r>
      <w:r>
        <w:rPr>
          <w:rStyle w:val="FootnoteReference"/>
          <w:rFonts w:ascii="Times New Roman" w:eastAsia="Times New Roman" w:hAnsi="Times New Roman" w:cs="Times New Roman"/>
          <w:bCs/>
          <w:iCs/>
          <w:sz w:val="24"/>
          <w:szCs w:val="24"/>
        </w:rPr>
        <w:footnoteReference w:id="53"/>
      </w:r>
      <w:r w:rsidRPr="00DE17D6">
        <w:rPr>
          <w:rFonts w:ascii="Times New Roman" w:hAnsi="Times New Roman" w:cs="Times New Roman"/>
          <w:sz w:val="24"/>
          <w:szCs w:val="24"/>
        </w:rPr>
        <w:t xml:space="preserve"> With Aqua consumers experiencing inflation, higher energy prices, and the expiration of the LIHWAP, an in-depth </w:t>
      </w:r>
      <w:r w:rsidR="00E01EE5">
        <w:rPr>
          <w:rFonts w:ascii="Times New Roman" w:hAnsi="Times New Roman" w:cs="Times New Roman"/>
          <w:sz w:val="24"/>
          <w:szCs w:val="24"/>
        </w:rPr>
        <w:t xml:space="preserve">PUCO </w:t>
      </w:r>
      <w:r w:rsidRPr="00DE17D6">
        <w:rPr>
          <w:rFonts w:ascii="Times New Roman" w:hAnsi="Times New Roman" w:cs="Times New Roman"/>
          <w:sz w:val="24"/>
          <w:szCs w:val="24"/>
        </w:rPr>
        <w:t xml:space="preserve">Staff analysis of service disconnections and water assistance should have been conducted as part of the Staff Report from January 1, 2019 through May 31, 2023, especially to examine disconnections prior to the pandemic and post pandemic. </w:t>
      </w:r>
    </w:p>
    <w:p w:rsidR="00A80816" w:rsidP="00E64E42" w14:paraId="3DB20C4C" w14:textId="70C44578">
      <w:pPr>
        <w:spacing w:after="0" w:line="240" w:lineRule="auto"/>
        <w:rPr>
          <w:rFonts w:ascii="Times New Roman" w:hAnsi="Times New Roman" w:cs="Times New Roman"/>
          <w:b/>
          <w:bCs/>
          <w:sz w:val="24"/>
          <w:szCs w:val="24"/>
        </w:rPr>
      </w:pPr>
      <w:bookmarkStart w:id="26" w:name="_Toc142925081"/>
      <w:r w:rsidRPr="00AF69C6">
        <w:rPr>
          <w:rStyle w:val="Heading3Char"/>
        </w:rPr>
        <w:t>O</w:t>
      </w:r>
      <w:r w:rsidRPr="00AF69C6" w:rsidR="00DE17D6">
        <w:rPr>
          <w:rStyle w:val="Heading3Char"/>
        </w:rPr>
        <w:t>BJECTION</w:t>
      </w:r>
      <w:r w:rsidRPr="00AF69C6">
        <w:rPr>
          <w:rStyle w:val="Heading3Char"/>
        </w:rPr>
        <w:t xml:space="preserve"> </w:t>
      </w:r>
      <w:r w:rsidR="00904822">
        <w:rPr>
          <w:rStyle w:val="Heading3Char"/>
        </w:rPr>
        <w:t>1</w:t>
      </w:r>
      <w:r w:rsidR="005031E7">
        <w:rPr>
          <w:rStyle w:val="Heading3Char"/>
        </w:rPr>
        <w:t>4</w:t>
      </w:r>
      <w:r w:rsidRPr="00AF69C6">
        <w:rPr>
          <w:rStyle w:val="Heading3Char"/>
        </w:rPr>
        <w:t xml:space="preserve">: </w:t>
      </w:r>
      <w:r w:rsidR="00585B91">
        <w:rPr>
          <w:rStyle w:val="Heading3Char"/>
        </w:rPr>
        <w:t>OCC objects because t</w:t>
      </w:r>
      <w:r w:rsidRPr="00AF69C6">
        <w:rPr>
          <w:rStyle w:val="Heading3Char"/>
        </w:rPr>
        <w:t>he Staff Report</w:t>
      </w:r>
      <w:r w:rsidRPr="00AF69C6" w:rsidR="00E64E42">
        <w:rPr>
          <w:rStyle w:val="Heading3Char"/>
        </w:rPr>
        <w:t xml:space="preserve"> erred by failing</w:t>
      </w:r>
      <w:r w:rsidRPr="00AF69C6">
        <w:rPr>
          <w:rStyle w:val="Heading3Char"/>
        </w:rPr>
        <w:t xml:space="preserve"> to perform a detailed analysis of the PUCO’s consumer call center contacts </w:t>
      </w:r>
      <w:r w:rsidRPr="00AF69C6" w:rsidR="00E64E42">
        <w:rPr>
          <w:rStyle w:val="Heading3Char"/>
        </w:rPr>
        <w:t>regarding</w:t>
      </w:r>
      <w:r w:rsidRPr="00AF69C6">
        <w:rPr>
          <w:rStyle w:val="Heading3Char"/>
        </w:rPr>
        <w:t xml:space="preserve"> Aqua</w:t>
      </w:r>
      <w:r w:rsidR="00585B91">
        <w:rPr>
          <w:rStyle w:val="Heading3Char"/>
        </w:rPr>
        <w:t>, which is needed for consumer protection.</w:t>
      </w:r>
      <w:bookmarkEnd w:id="26"/>
    </w:p>
    <w:p w:rsidR="00E64E42" w:rsidRPr="00E64E42" w:rsidP="00E64E42" w14:paraId="0CE6C04A" w14:textId="77777777">
      <w:pPr>
        <w:spacing w:after="0" w:line="240" w:lineRule="auto"/>
        <w:rPr>
          <w:rFonts w:ascii="Times New Roman" w:hAnsi="Times New Roman" w:cs="Times New Roman"/>
          <w:b/>
          <w:bCs/>
          <w:sz w:val="24"/>
          <w:szCs w:val="24"/>
        </w:rPr>
      </w:pPr>
    </w:p>
    <w:p w:rsidR="004A3D3B" w:rsidP="00DE17D6" w14:paraId="19710380" w14:textId="575FDD48">
      <w:pPr>
        <w:spacing w:after="0" w:line="480" w:lineRule="auto"/>
        <w:ind w:firstLine="720"/>
        <w:rPr>
          <w:rFonts w:ascii="Times New Roman" w:hAnsi="Times New Roman" w:cs="Times New Roman"/>
          <w:sz w:val="24"/>
          <w:szCs w:val="24"/>
        </w:rPr>
      </w:pPr>
      <w:r w:rsidRPr="00DE17D6">
        <w:rPr>
          <w:rFonts w:ascii="Times New Roman" w:hAnsi="Times New Roman" w:cs="Times New Roman"/>
          <w:sz w:val="24"/>
          <w:szCs w:val="24"/>
        </w:rPr>
        <w:t xml:space="preserve">OCC objects to the failure of the </w:t>
      </w:r>
      <w:r>
        <w:rPr>
          <w:rFonts w:ascii="Times New Roman" w:hAnsi="Times New Roman" w:cs="Times New Roman"/>
          <w:sz w:val="24"/>
          <w:szCs w:val="24"/>
        </w:rPr>
        <w:t>Staff to perform</w:t>
      </w:r>
      <w:r w:rsidRPr="00DE17D6">
        <w:rPr>
          <w:rFonts w:ascii="Times New Roman" w:hAnsi="Times New Roman" w:cs="Times New Roman"/>
          <w:sz w:val="24"/>
          <w:szCs w:val="24"/>
        </w:rPr>
        <w:t xml:space="preserve"> a detailed analysis of Aqua Ohio’s Customer Service Audit and Customer Contact Assessment. Staff relied on an Aqua Customer Service Audit that was conducted in October 2021, which states the Staff found Aqua complied with the rules and regulations set by the Commission.</w:t>
      </w:r>
      <w:r>
        <w:rPr>
          <w:rStyle w:val="FootnoteReference"/>
          <w:rFonts w:ascii="Times New Roman" w:eastAsia="Times New Roman" w:hAnsi="Times New Roman" w:cs="Times New Roman"/>
          <w:bCs/>
          <w:iCs/>
          <w:sz w:val="24"/>
          <w:szCs w:val="24"/>
        </w:rPr>
        <w:footnoteReference w:id="54"/>
      </w:r>
      <w:r w:rsidRPr="00DE17D6">
        <w:rPr>
          <w:rFonts w:ascii="Times New Roman" w:hAnsi="Times New Roman" w:cs="Times New Roman"/>
          <w:sz w:val="24"/>
          <w:szCs w:val="24"/>
        </w:rPr>
        <w:t xml:space="preserve"> </w:t>
      </w:r>
    </w:p>
    <w:p w:rsidR="00A80816" w:rsidRPr="00DE17D6" w:rsidP="00DE17D6" w14:paraId="728EA0F0" w14:textId="2F20D3FB">
      <w:pPr>
        <w:spacing w:after="0" w:line="480" w:lineRule="auto"/>
        <w:ind w:firstLine="720"/>
        <w:rPr>
          <w:rFonts w:ascii="Times New Roman" w:hAnsi="Times New Roman" w:cs="Times New Roman"/>
          <w:sz w:val="24"/>
          <w:szCs w:val="24"/>
        </w:rPr>
      </w:pPr>
      <w:r w:rsidRPr="00DE17D6">
        <w:rPr>
          <w:rFonts w:ascii="Times New Roman" w:hAnsi="Times New Roman" w:cs="Times New Roman"/>
          <w:sz w:val="24"/>
          <w:szCs w:val="24"/>
        </w:rPr>
        <w:t xml:space="preserve">The Staff should have conducted a more recent Customer Service Audit to analyze and determine if Aqua is complying with Commission rules and regulations. Also, </w:t>
      </w:r>
      <w:r w:rsidR="00E01EE5">
        <w:rPr>
          <w:rFonts w:ascii="Times New Roman" w:hAnsi="Times New Roman" w:cs="Times New Roman"/>
          <w:sz w:val="24"/>
          <w:szCs w:val="24"/>
        </w:rPr>
        <w:t xml:space="preserve">the PUCO </w:t>
      </w:r>
      <w:r w:rsidRPr="00DE17D6">
        <w:rPr>
          <w:rFonts w:ascii="Times New Roman" w:hAnsi="Times New Roman" w:cs="Times New Roman"/>
          <w:sz w:val="24"/>
          <w:szCs w:val="24"/>
        </w:rPr>
        <w:t>Staff reviewed PUCO call center complaints from June 1, 2022, through May 31, 2023, as part of the Customer Contact Assessment.</w:t>
      </w:r>
      <w:r>
        <w:rPr>
          <w:rStyle w:val="FootnoteReference"/>
          <w:rFonts w:ascii="Times New Roman" w:eastAsia="Times New Roman" w:hAnsi="Times New Roman" w:cs="Times New Roman"/>
          <w:bCs/>
          <w:iCs/>
          <w:sz w:val="24"/>
          <w:szCs w:val="24"/>
        </w:rPr>
        <w:footnoteReference w:id="55"/>
      </w:r>
      <w:r w:rsidRPr="00DE17D6">
        <w:rPr>
          <w:rFonts w:ascii="Times New Roman" w:hAnsi="Times New Roman" w:cs="Times New Roman"/>
          <w:sz w:val="24"/>
          <w:szCs w:val="24"/>
        </w:rPr>
        <w:t xml:space="preserve"> For a more detailed analysis on the Customer Contact Assessment, Staff should have widened their review of PUCO call center complaints from January 1, 2019, through May 31, 2023.</w:t>
      </w:r>
    </w:p>
    <w:p w:rsidR="00A80816" w:rsidRPr="00DE17D6" w:rsidP="00DE17D6" w14:paraId="64C11584" w14:textId="47069633">
      <w:pPr>
        <w:spacing w:after="0" w:line="480" w:lineRule="auto"/>
        <w:ind w:firstLine="720"/>
        <w:rPr>
          <w:rFonts w:ascii="Times New Roman" w:hAnsi="Times New Roman" w:cs="Times New Roman"/>
          <w:sz w:val="24"/>
          <w:szCs w:val="24"/>
        </w:rPr>
      </w:pPr>
      <w:r w:rsidRPr="00DE17D6">
        <w:rPr>
          <w:rFonts w:ascii="Times New Roman" w:hAnsi="Times New Roman" w:cs="Times New Roman"/>
          <w:sz w:val="24"/>
          <w:szCs w:val="24"/>
        </w:rPr>
        <w:t>The</w:t>
      </w:r>
      <w:r w:rsidR="00E01EE5">
        <w:rPr>
          <w:rFonts w:ascii="Times New Roman" w:hAnsi="Times New Roman" w:cs="Times New Roman"/>
          <w:sz w:val="24"/>
          <w:szCs w:val="24"/>
        </w:rPr>
        <w:t xml:space="preserve"> PUCO</w:t>
      </w:r>
      <w:r w:rsidRPr="00DE17D6">
        <w:rPr>
          <w:rFonts w:ascii="Times New Roman" w:hAnsi="Times New Roman" w:cs="Times New Roman"/>
          <w:sz w:val="24"/>
          <w:szCs w:val="24"/>
        </w:rPr>
        <w:t xml:space="preserve"> Staff erred by not conducting a current Customer Service Audit to confirm Aqua is complying with Commission rules and regulations. When a utility is requesting a rate increase, it is important to review the most current data, especially when the increase will impact consumers finances. In the Staff Report, the Staff relied on an outdated October 2021 Customer Service Audit,</w:t>
      </w:r>
      <w:r>
        <w:rPr>
          <w:rStyle w:val="FootnoteReference"/>
          <w:rFonts w:ascii="Times New Roman" w:eastAsia="Times New Roman" w:hAnsi="Times New Roman" w:cs="Times New Roman"/>
          <w:bCs/>
          <w:iCs/>
          <w:sz w:val="24"/>
          <w:szCs w:val="24"/>
        </w:rPr>
        <w:footnoteReference w:id="56"/>
      </w:r>
      <w:r w:rsidRPr="00DE17D6">
        <w:rPr>
          <w:rFonts w:ascii="Times New Roman" w:hAnsi="Times New Roman" w:cs="Times New Roman"/>
          <w:sz w:val="24"/>
          <w:szCs w:val="24"/>
        </w:rPr>
        <w:t xml:space="preserve"> which is over one-and-a-half years old from when the Staff filed their Staff Report in the Aqua case. A more recent Customer Service Audit would confirm whether Aqua is complying with Commission rules and regulations. </w:t>
      </w:r>
    </w:p>
    <w:p w:rsidR="00A80816" w:rsidRPr="00DE17D6" w:rsidP="00DE17D6" w14:paraId="5E634C62" w14:textId="760D35DF">
      <w:pPr>
        <w:spacing w:after="0" w:line="480" w:lineRule="auto"/>
        <w:ind w:firstLine="720"/>
        <w:rPr>
          <w:rFonts w:ascii="Times New Roman" w:hAnsi="Times New Roman" w:cs="Times New Roman"/>
          <w:sz w:val="24"/>
          <w:szCs w:val="24"/>
        </w:rPr>
      </w:pPr>
      <w:r w:rsidRPr="00DE17D6">
        <w:rPr>
          <w:rFonts w:ascii="Times New Roman" w:hAnsi="Times New Roman" w:cs="Times New Roman"/>
          <w:sz w:val="24"/>
          <w:szCs w:val="24"/>
        </w:rPr>
        <w:t xml:space="preserve">Also, the </w:t>
      </w:r>
      <w:r w:rsidR="00E01EE5">
        <w:rPr>
          <w:rFonts w:ascii="Times New Roman" w:hAnsi="Times New Roman" w:cs="Times New Roman"/>
          <w:sz w:val="24"/>
          <w:szCs w:val="24"/>
        </w:rPr>
        <w:t xml:space="preserve">PUCO </w:t>
      </w:r>
      <w:r w:rsidRPr="00DE17D6">
        <w:rPr>
          <w:rFonts w:ascii="Times New Roman" w:hAnsi="Times New Roman" w:cs="Times New Roman"/>
          <w:sz w:val="24"/>
          <w:szCs w:val="24"/>
        </w:rPr>
        <w:t>Staff erred by not providing a detailed analysis on the PUCO call center contacts in the Customer Contact Assessment of the Staff Report. As part of the Customer Contact Assessment, the</w:t>
      </w:r>
      <w:r w:rsidR="00E01EE5">
        <w:rPr>
          <w:rFonts w:ascii="Times New Roman" w:hAnsi="Times New Roman" w:cs="Times New Roman"/>
          <w:sz w:val="24"/>
          <w:szCs w:val="24"/>
        </w:rPr>
        <w:t xml:space="preserve"> PUCO</w:t>
      </w:r>
      <w:r w:rsidRPr="00DE17D6">
        <w:rPr>
          <w:rFonts w:ascii="Times New Roman" w:hAnsi="Times New Roman" w:cs="Times New Roman"/>
          <w:sz w:val="24"/>
          <w:szCs w:val="24"/>
        </w:rPr>
        <w:t xml:space="preserve"> Staff reviewed Aqua consumer calls from June 1, 2022, through May 31, 2023.</w:t>
      </w:r>
      <w:r>
        <w:rPr>
          <w:rStyle w:val="FootnoteReference"/>
          <w:rFonts w:ascii="Times New Roman" w:eastAsia="Times New Roman" w:hAnsi="Times New Roman" w:cs="Times New Roman"/>
          <w:bCs/>
          <w:iCs/>
          <w:sz w:val="24"/>
          <w:szCs w:val="24"/>
        </w:rPr>
        <w:footnoteReference w:id="57"/>
      </w:r>
      <w:r w:rsidRPr="00DE17D6">
        <w:rPr>
          <w:rFonts w:ascii="Times New Roman" w:hAnsi="Times New Roman" w:cs="Times New Roman"/>
          <w:sz w:val="24"/>
          <w:szCs w:val="24"/>
        </w:rPr>
        <w:t xml:space="preserve"> In addition, the </w:t>
      </w:r>
      <w:r w:rsidR="00E01EE5">
        <w:rPr>
          <w:rFonts w:ascii="Times New Roman" w:hAnsi="Times New Roman" w:cs="Times New Roman"/>
          <w:sz w:val="24"/>
          <w:szCs w:val="24"/>
        </w:rPr>
        <w:t xml:space="preserve">PUCO </w:t>
      </w:r>
      <w:r w:rsidRPr="00DE17D6">
        <w:rPr>
          <w:rFonts w:ascii="Times New Roman" w:hAnsi="Times New Roman" w:cs="Times New Roman"/>
          <w:sz w:val="24"/>
          <w:szCs w:val="24"/>
        </w:rPr>
        <w:t xml:space="preserve">Staff was vague on the type of calls received through the call center. </w:t>
      </w:r>
    </w:p>
    <w:p w:rsidR="00A80816" w:rsidRPr="00DE17D6" w:rsidP="00DE17D6" w14:paraId="227626DE" w14:textId="13B8F41E">
      <w:pPr>
        <w:spacing w:after="0" w:line="480" w:lineRule="auto"/>
        <w:ind w:firstLine="720"/>
        <w:rPr>
          <w:rFonts w:ascii="Times New Roman" w:hAnsi="Times New Roman" w:cs="Times New Roman"/>
          <w:sz w:val="24"/>
          <w:szCs w:val="24"/>
        </w:rPr>
      </w:pPr>
      <w:r w:rsidRPr="00DE17D6">
        <w:rPr>
          <w:rFonts w:ascii="Times New Roman" w:hAnsi="Times New Roman" w:cs="Times New Roman"/>
          <w:sz w:val="24"/>
          <w:szCs w:val="24"/>
        </w:rPr>
        <w:t>The</w:t>
      </w:r>
      <w:r w:rsidR="00E01EE5">
        <w:rPr>
          <w:rFonts w:ascii="Times New Roman" w:hAnsi="Times New Roman" w:cs="Times New Roman"/>
          <w:sz w:val="24"/>
          <w:szCs w:val="24"/>
        </w:rPr>
        <w:t xml:space="preserve"> PUCO</w:t>
      </w:r>
      <w:r w:rsidRPr="00DE17D6">
        <w:rPr>
          <w:rFonts w:ascii="Times New Roman" w:hAnsi="Times New Roman" w:cs="Times New Roman"/>
          <w:sz w:val="24"/>
          <w:szCs w:val="24"/>
        </w:rPr>
        <w:t xml:space="preserve"> Staff should have expanded </w:t>
      </w:r>
      <w:r w:rsidR="00FF28DD">
        <w:rPr>
          <w:rFonts w:ascii="Times New Roman" w:hAnsi="Times New Roman" w:cs="Times New Roman"/>
          <w:sz w:val="24"/>
          <w:szCs w:val="24"/>
        </w:rPr>
        <w:t>its</w:t>
      </w:r>
      <w:r w:rsidRPr="00DE17D6" w:rsidR="00FF28DD">
        <w:rPr>
          <w:rFonts w:ascii="Times New Roman" w:hAnsi="Times New Roman" w:cs="Times New Roman"/>
          <w:sz w:val="24"/>
          <w:szCs w:val="24"/>
        </w:rPr>
        <w:t xml:space="preserve"> </w:t>
      </w:r>
      <w:r w:rsidRPr="00DE17D6">
        <w:rPr>
          <w:rFonts w:ascii="Times New Roman" w:hAnsi="Times New Roman" w:cs="Times New Roman"/>
          <w:sz w:val="24"/>
          <w:szCs w:val="24"/>
        </w:rPr>
        <w:t>review of PUC</w:t>
      </w:r>
      <w:r w:rsidR="00E01EE5">
        <w:rPr>
          <w:rFonts w:ascii="Times New Roman" w:hAnsi="Times New Roman" w:cs="Times New Roman"/>
          <w:sz w:val="24"/>
          <w:szCs w:val="24"/>
        </w:rPr>
        <w:t>O</w:t>
      </w:r>
      <w:r w:rsidRPr="00DE17D6">
        <w:rPr>
          <w:rFonts w:ascii="Times New Roman" w:hAnsi="Times New Roman" w:cs="Times New Roman"/>
          <w:sz w:val="24"/>
          <w:szCs w:val="24"/>
        </w:rPr>
        <w:t xml:space="preserve"> call center contacts from January 1, 2019, through May 31, 2023. The data would provide a wider view of the types of calls the PUCO received, along with looking for trends over the years, especially any impacts that occurred pre-and-post pandemic. </w:t>
      </w:r>
    </w:p>
    <w:p w:rsidR="00E165DB" w:rsidP="005A6DB7" w14:paraId="5B73C92E" w14:textId="2FD37000">
      <w:pPr>
        <w:spacing w:after="0" w:line="480" w:lineRule="auto"/>
        <w:ind w:firstLine="720"/>
        <w:rPr>
          <w:rFonts w:ascii="Times New Roman" w:hAnsi="Times New Roman" w:cs="Times New Roman"/>
          <w:sz w:val="24"/>
          <w:szCs w:val="24"/>
        </w:rPr>
      </w:pPr>
      <w:r w:rsidRPr="00DE17D6">
        <w:rPr>
          <w:rFonts w:ascii="Times New Roman" w:hAnsi="Times New Roman" w:cs="Times New Roman"/>
          <w:sz w:val="24"/>
          <w:szCs w:val="24"/>
        </w:rPr>
        <w:t xml:space="preserve">The </w:t>
      </w:r>
      <w:r w:rsidR="00E01EE5">
        <w:rPr>
          <w:rFonts w:ascii="Times New Roman" w:hAnsi="Times New Roman" w:cs="Times New Roman"/>
          <w:sz w:val="24"/>
          <w:szCs w:val="24"/>
        </w:rPr>
        <w:t xml:space="preserve">PUCO </w:t>
      </w:r>
      <w:r w:rsidRPr="00DE17D6">
        <w:rPr>
          <w:rFonts w:ascii="Times New Roman" w:hAnsi="Times New Roman" w:cs="Times New Roman"/>
          <w:sz w:val="24"/>
          <w:szCs w:val="24"/>
        </w:rPr>
        <w:t>Staff should also provide more details on the number and types of calls received through the PUCO call center. For example, the Staff Report states sixty Aqua Ohio consumers contacted the PUCO call center concerning billing issues.</w:t>
      </w:r>
      <w:r>
        <w:rPr>
          <w:rStyle w:val="FootnoteReference"/>
          <w:rFonts w:ascii="Times New Roman" w:eastAsia="Times New Roman" w:hAnsi="Times New Roman" w:cs="Times New Roman"/>
          <w:bCs/>
          <w:iCs/>
          <w:sz w:val="24"/>
          <w:szCs w:val="24"/>
        </w:rPr>
        <w:footnoteReference w:id="58"/>
      </w:r>
      <w:r w:rsidRPr="00DE17D6">
        <w:rPr>
          <w:rFonts w:ascii="Times New Roman" w:hAnsi="Times New Roman" w:cs="Times New Roman"/>
          <w:sz w:val="24"/>
          <w:szCs w:val="24"/>
        </w:rPr>
        <w:t xml:space="preserve"> However, the Staff Report does not explain what type of billing concerns the PUCO call center received. </w:t>
      </w:r>
      <w:r w:rsidR="004E4B38">
        <w:rPr>
          <w:rFonts w:ascii="Times New Roman" w:hAnsi="Times New Roman" w:cs="Times New Roman"/>
          <w:sz w:val="24"/>
          <w:szCs w:val="24"/>
        </w:rPr>
        <w:t>It is unclear whether</w:t>
      </w:r>
      <w:r w:rsidRPr="00DE17D6">
        <w:rPr>
          <w:rFonts w:ascii="Times New Roman" w:hAnsi="Times New Roman" w:cs="Times New Roman"/>
          <w:sz w:val="24"/>
          <w:szCs w:val="24"/>
        </w:rPr>
        <w:t xml:space="preserve"> consumers</w:t>
      </w:r>
      <w:r w:rsidR="004E4B38">
        <w:rPr>
          <w:rFonts w:ascii="Times New Roman" w:hAnsi="Times New Roman" w:cs="Times New Roman"/>
          <w:sz w:val="24"/>
          <w:szCs w:val="24"/>
        </w:rPr>
        <w:t xml:space="preserve"> were</w:t>
      </w:r>
      <w:r w:rsidRPr="00DE17D6">
        <w:rPr>
          <w:rFonts w:ascii="Times New Roman" w:hAnsi="Times New Roman" w:cs="Times New Roman"/>
          <w:sz w:val="24"/>
          <w:szCs w:val="24"/>
        </w:rPr>
        <w:t xml:space="preserve"> concerned about affordability and keeping water service connected, billing errors, water usage disputes, or </w:t>
      </w:r>
      <w:r w:rsidR="004E4B38">
        <w:rPr>
          <w:rFonts w:ascii="Times New Roman" w:hAnsi="Times New Roman" w:cs="Times New Roman"/>
          <w:sz w:val="24"/>
          <w:szCs w:val="24"/>
        </w:rPr>
        <w:t xml:space="preserve">some </w:t>
      </w:r>
      <w:r w:rsidRPr="00DE17D6">
        <w:rPr>
          <w:rFonts w:ascii="Times New Roman" w:hAnsi="Times New Roman" w:cs="Times New Roman"/>
          <w:sz w:val="24"/>
          <w:szCs w:val="24"/>
        </w:rPr>
        <w:t>other billing issues. More detail and analysis would provide a clearer picture on why Aqua consumers are contacting the PUCO regarding an Aqua matter.</w:t>
      </w:r>
    </w:p>
    <w:p w:rsidR="00823F95" w:rsidP="00823F95" w14:paraId="03BC9449" w14:textId="099C1E81">
      <w:bookmarkStart w:id="27" w:name="_Toc142925082"/>
      <w:r w:rsidRPr="00E165DB">
        <w:rPr>
          <w:rStyle w:val="Heading3Char"/>
        </w:rPr>
        <w:t xml:space="preserve">OBJECTION </w:t>
      </w:r>
      <w:r w:rsidRPr="00E165DB" w:rsidR="005031E7">
        <w:rPr>
          <w:rStyle w:val="Heading3Char"/>
        </w:rPr>
        <w:t>15</w:t>
      </w:r>
      <w:r w:rsidRPr="00E165DB">
        <w:rPr>
          <w:rStyle w:val="Heading3Char"/>
        </w:rPr>
        <w:t>: The PUCO Staff erred by not recommending that annual shareholder funding of $20,000 or more be provided as part of its application in this case for a bill payment assistance program to assist low-income customers throughout its Ohio service territory to prevent disconnection of water service.</w:t>
      </w:r>
      <w:bookmarkEnd w:id="27"/>
      <w:r w:rsidR="005031E7">
        <w:t xml:space="preserve"> </w:t>
      </w:r>
    </w:p>
    <w:p w:rsidR="00823F95" w:rsidP="00823F95" w14:paraId="08721D45" w14:textId="5D7C6E30">
      <w:bookmarkStart w:id="28" w:name="_Toc142925083"/>
      <w:r w:rsidRPr="00E165DB">
        <w:rPr>
          <w:rStyle w:val="Heading3Char"/>
        </w:rPr>
        <w:t xml:space="preserve">OBJECTION </w:t>
      </w:r>
      <w:r w:rsidRPr="00E165DB" w:rsidR="005031E7">
        <w:rPr>
          <w:rStyle w:val="Heading3Char"/>
        </w:rPr>
        <w:t>16</w:t>
      </w:r>
      <w:r w:rsidR="005A6DB7">
        <w:rPr>
          <w:rStyle w:val="Heading3Char"/>
        </w:rPr>
        <w:t>:</w:t>
      </w:r>
      <w:r w:rsidRPr="00E165DB" w:rsidR="005031E7">
        <w:rPr>
          <w:rStyle w:val="Heading3Char"/>
        </w:rPr>
        <w:t xml:space="preserve"> </w:t>
      </w:r>
      <w:r w:rsidRPr="00E165DB">
        <w:rPr>
          <w:rStyle w:val="Heading3Char"/>
        </w:rPr>
        <w:t>The PUCO Staff erred by not requiring Aqua to provide in the public domain</w:t>
      </w:r>
      <w:bookmarkEnd w:id="28"/>
      <w:r>
        <w:t xml:space="preserve"> </w:t>
      </w:r>
      <w:r w:rsidRPr="00E165DB">
        <w:rPr>
          <w:rStyle w:val="Heading3Char"/>
        </w:rPr>
        <w:t>quarterly reports reflecting certain nonconfidential reporting of information such as : (1) the number of final notices along with dollar amounts; (ii) the number of disconnections by service area along with dollar amounts; (iii) the number of accounts in 60-days</w:t>
      </w:r>
      <w:r>
        <w:t xml:space="preserve"> </w:t>
      </w:r>
      <w:r w:rsidRPr="00E165DB">
        <w:rPr>
          <w:rStyle w:val="Heading3Char"/>
        </w:rPr>
        <w:t>arrears along with dollar amounts; (iv) the number of Aqua customers on payment plans along with dollar amounts; (v) the number of reconnections by service area, and</w:t>
      </w:r>
      <w:r w:rsidRPr="00E165DB" w:rsidR="005031E7">
        <w:rPr>
          <w:rStyle w:val="Heading3Char"/>
        </w:rPr>
        <w:t xml:space="preserve"> </w:t>
      </w:r>
      <w:r w:rsidRPr="00E165DB">
        <w:rPr>
          <w:rStyle w:val="Heading3Char"/>
        </w:rPr>
        <w:t>(vi) the number of Aqua residential consumers by service area.</w:t>
      </w:r>
      <w:r w:rsidR="005031E7">
        <w:t xml:space="preserve"> </w:t>
      </w:r>
    </w:p>
    <w:p w:rsidR="00823F95" w:rsidP="00823F95" w14:paraId="637F3BD6" w14:textId="454AE007">
      <w:bookmarkStart w:id="29" w:name="_Toc142925084"/>
      <w:r w:rsidRPr="00E165DB">
        <w:rPr>
          <w:rStyle w:val="Heading3Char"/>
        </w:rPr>
        <w:t xml:space="preserve">OBJECTION </w:t>
      </w:r>
      <w:r w:rsidRPr="00E165DB" w:rsidR="005031E7">
        <w:rPr>
          <w:rStyle w:val="Heading3Char"/>
        </w:rPr>
        <w:t>17</w:t>
      </w:r>
      <w:r w:rsidR="005A6DB7">
        <w:rPr>
          <w:rStyle w:val="Heading3Char"/>
        </w:rPr>
        <w:t>:</w:t>
      </w:r>
      <w:r w:rsidRPr="00E165DB">
        <w:rPr>
          <w:rStyle w:val="Heading3Char"/>
        </w:rPr>
        <w:t xml:space="preserve"> The PUCO Staff erred by failing to recommend, for the public convenience, that there be virtual local hearings scheduled for Aqua consumers in this case and in future Aqua rate cases as consumers are greatly affected by outcomes in rate cases.</w:t>
      </w:r>
      <w:bookmarkEnd w:id="29"/>
      <w:r w:rsidR="005031E7">
        <w:t xml:space="preserve"> </w:t>
      </w:r>
    </w:p>
    <w:p w:rsidR="00DE17D6" w:rsidP="00C0511A" w14:paraId="78919DAC" w14:textId="77777777">
      <w:pPr>
        <w:spacing w:after="0" w:line="240" w:lineRule="auto"/>
        <w:ind w:firstLine="720"/>
        <w:rPr>
          <w:rFonts w:ascii="Times New Roman" w:hAnsi="Times New Roman" w:cs="Times New Roman"/>
          <w:sz w:val="24"/>
          <w:szCs w:val="24"/>
        </w:rPr>
      </w:pPr>
    </w:p>
    <w:p w:rsidR="00DE17D6" w:rsidRPr="00DE17D6" w:rsidP="00AF69C6" w14:paraId="44BBC8B6" w14:textId="31EBBC6F">
      <w:pPr>
        <w:pStyle w:val="Heading1"/>
        <w:numPr>
          <w:ilvl w:val="0"/>
          <w:numId w:val="0"/>
        </w:numPr>
        <w:ind w:left="720" w:hanging="720"/>
      </w:pPr>
      <w:bookmarkStart w:id="30" w:name="_Toc98165623"/>
      <w:bookmarkStart w:id="31" w:name="_Toc142925085"/>
      <w:r>
        <w:t>IV.</w:t>
      </w:r>
      <w:r>
        <w:tab/>
      </w:r>
      <w:r w:rsidRPr="00DE17D6">
        <w:t>CONCLUSION</w:t>
      </w:r>
      <w:bookmarkEnd w:id="30"/>
      <w:bookmarkEnd w:id="31"/>
    </w:p>
    <w:p w:rsidR="005A6DB7" w:rsidP="00DE17D6" w14:paraId="730FC75B" w14:textId="4A9D0492">
      <w:pPr>
        <w:tabs>
          <w:tab w:val="left" w:pos="720"/>
          <w:tab w:val="left" w:pos="1440"/>
          <w:tab w:val="left" w:leader="dot" w:pos="8640"/>
        </w:tabs>
        <w:spacing w:line="480" w:lineRule="auto"/>
        <w:ind w:firstLine="720"/>
        <w:rPr>
          <w:rFonts w:ascii="Times New Roman" w:hAnsi="Times New Roman" w:cs="Times New Roman"/>
          <w:sz w:val="24"/>
          <w:szCs w:val="24"/>
        </w:rPr>
      </w:pPr>
      <w:r w:rsidRPr="00DE17D6">
        <w:rPr>
          <w:rFonts w:ascii="Times New Roman" w:hAnsi="Times New Roman" w:cs="Times New Roman"/>
          <w:sz w:val="24"/>
          <w:szCs w:val="24"/>
        </w:rPr>
        <w:t>To protect consumers from</w:t>
      </w:r>
      <w:r w:rsidR="001D2F6F">
        <w:rPr>
          <w:rFonts w:ascii="Times New Roman" w:hAnsi="Times New Roman" w:cs="Times New Roman"/>
          <w:sz w:val="24"/>
          <w:szCs w:val="24"/>
        </w:rPr>
        <w:t xml:space="preserve"> Aqua charging them </w:t>
      </w:r>
      <w:r w:rsidRPr="00DE17D6">
        <w:rPr>
          <w:rFonts w:ascii="Times New Roman" w:hAnsi="Times New Roman" w:cs="Times New Roman"/>
          <w:sz w:val="24"/>
          <w:szCs w:val="24"/>
        </w:rPr>
        <w:t>rates that are unjust, unreasonable and unlawful, the PUCO should adopt OCC’s recommendations set forth in these objections, which are further developed in OCC’s testimony.</w:t>
      </w:r>
    </w:p>
    <w:p w:rsidR="005A6DB7" w14:paraId="04C53540" w14:textId="77777777">
      <w:pPr>
        <w:rPr>
          <w:rFonts w:ascii="Times New Roman" w:hAnsi="Times New Roman" w:cs="Times New Roman"/>
          <w:sz w:val="24"/>
          <w:szCs w:val="24"/>
        </w:rPr>
      </w:pPr>
      <w:r>
        <w:rPr>
          <w:rFonts w:ascii="Times New Roman" w:hAnsi="Times New Roman" w:cs="Times New Roman"/>
          <w:sz w:val="24"/>
          <w:szCs w:val="24"/>
        </w:rPr>
        <w:br w:type="page"/>
      </w:r>
    </w:p>
    <w:p w:rsidR="0084279C" w:rsidRPr="004875DB" w:rsidP="0084279C" w14:paraId="31EDE914" w14:textId="254758A1">
      <w:pPr>
        <w:spacing w:line="480" w:lineRule="auto"/>
        <w:ind w:left="3600" w:firstLine="720"/>
        <w:rPr>
          <w:rFonts w:ascii="Times New Roman" w:hAnsi="Times New Roman" w:cs="Times New Roman"/>
          <w:sz w:val="24"/>
          <w:szCs w:val="24"/>
        </w:rPr>
      </w:pPr>
      <w:r w:rsidRPr="004875DB">
        <w:rPr>
          <w:rFonts w:ascii="Times New Roman" w:hAnsi="Times New Roman" w:cs="Times New Roman"/>
          <w:sz w:val="24"/>
          <w:szCs w:val="24"/>
        </w:rPr>
        <w:t>Respectfully submitted,</w:t>
      </w:r>
    </w:p>
    <w:p w:rsidR="0084279C" w:rsidRPr="004875DB" w:rsidP="0084279C" w14:paraId="0F136BC0" w14:textId="77777777">
      <w:pPr>
        <w:pStyle w:val="Footer"/>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Bruce Weston (0016973)</w:t>
      </w:r>
    </w:p>
    <w:p w:rsidR="0084279C" w:rsidRPr="004875DB" w:rsidP="0084279C" w14:paraId="7719632A"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Ohio Consumers’ Counsel</w:t>
      </w:r>
    </w:p>
    <w:p w:rsidR="0084279C" w:rsidRPr="004875DB" w:rsidP="0084279C" w14:paraId="23FE27DD"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ab/>
      </w:r>
    </w:p>
    <w:p w:rsidR="0084279C" w:rsidRPr="004875DB" w:rsidP="00C0511A" w14:paraId="684C0873" w14:textId="77777777">
      <w:pPr>
        <w:pStyle w:val="ListParagraph"/>
        <w:tabs>
          <w:tab w:val="left" w:pos="4320"/>
        </w:tabs>
        <w:spacing w:after="0" w:line="240" w:lineRule="auto"/>
        <w:ind w:left="4320"/>
        <w:rPr>
          <w:rFonts w:ascii="Times New Roman" w:hAnsi="Times New Roman" w:cs="Times New Roman"/>
          <w:i/>
          <w:iCs/>
          <w:sz w:val="24"/>
          <w:szCs w:val="24"/>
          <w:u w:val="single"/>
        </w:rPr>
      </w:pPr>
      <w:r w:rsidRPr="004875DB">
        <w:rPr>
          <w:rFonts w:ascii="Times New Roman" w:hAnsi="Times New Roman" w:cs="Times New Roman"/>
          <w:i/>
          <w:iCs/>
          <w:sz w:val="24"/>
          <w:szCs w:val="24"/>
          <w:u w:val="single"/>
        </w:rPr>
        <w:t>/s/ Angela D. O’Brien</w:t>
      </w:r>
      <w:r w:rsidRPr="004875DB">
        <w:rPr>
          <w:rFonts w:ascii="Times New Roman" w:hAnsi="Times New Roman" w:cs="Times New Roman"/>
          <w:i/>
          <w:iCs/>
          <w:sz w:val="24"/>
          <w:szCs w:val="24"/>
          <w:u w:val="single"/>
        </w:rPr>
        <w:tab/>
      </w:r>
    </w:p>
    <w:p w:rsidR="0084279C" w:rsidRPr="004875DB" w:rsidP="00C0511A" w14:paraId="47ED0256"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Angela D. O’Brien (0097579)</w:t>
      </w:r>
    </w:p>
    <w:p w:rsidR="0084279C" w:rsidRPr="004875DB" w:rsidP="00C0511A" w14:paraId="6A7F7FEC"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Counsel of Record</w:t>
      </w:r>
    </w:p>
    <w:p w:rsidR="0084279C" w:rsidRPr="004875DB" w:rsidP="00C0511A" w14:paraId="385B630B"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Deputy Consumers’ Counsel</w:t>
      </w:r>
    </w:p>
    <w:p w:rsidR="0084279C" w:rsidRPr="004875DB" w:rsidP="00C0511A" w14:paraId="24F35C76"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Connor Semple (0101102)</w:t>
      </w:r>
    </w:p>
    <w:p w:rsidR="0084279C" w:rsidRPr="004875DB" w:rsidP="00C0511A" w14:paraId="272EEEF0" w14:textId="77777777">
      <w:pPr>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Donald J. Kral (0042091)</w:t>
      </w:r>
    </w:p>
    <w:p w:rsidR="0084279C" w:rsidRPr="004875DB" w:rsidP="00C0511A" w14:paraId="4E913F62" w14:textId="77777777">
      <w:pPr>
        <w:pStyle w:val="ListParagraph"/>
        <w:tabs>
          <w:tab w:val="left" w:pos="4320"/>
        </w:tabs>
        <w:spacing w:after="0" w:line="240" w:lineRule="auto"/>
        <w:ind w:left="4320"/>
        <w:rPr>
          <w:rFonts w:ascii="Times New Roman" w:hAnsi="Times New Roman" w:cs="Times New Roman"/>
          <w:sz w:val="24"/>
          <w:szCs w:val="24"/>
        </w:rPr>
      </w:pPr>
      <w:r w:rsidRPr="004875DB">
        <w:rPr>
          <w:rFonts w:ascii="Times New Roman" w:hAnsi="Times New Roman" w:cs="Times New Roman"/>
          <w:sz w:val="24"/>
          <w:szCs w:val="24"/>
        </w:rPr>
        <w:t>Assistant Consumers Counsel</w:t>
      </w:r>
    </w:p>
    <w:p w:rsidR="0084279C" w:rsidRPr="004875DB" w:rsidP="0084279C" w14:paraId="35397668" w14:textId="77777777">
      <w:pPr>
        <w:pStyle w:val="ListParagraph"/>
        <w:tabs>
          <w:tab w:val="left" w:pos="4320"/>
        </w:tabs>
        <w:ind w:left="4320"/>
        <w:rPr>
          <w:rFonts w:ascii="Times New Roman" w:hAnsi="Times New Roman" w:cs="Times New Roman"/>
          <w:sz w:val="24"/>
          <w:szCs w:val="24"/>
        </w:rPr>
      </w:pPr>
    </w:p>
    <w:p w:rsidR="0084279C" w:rsidRPr="004875DB" w:rsidP="00C0511A" w14:paraId="78804B85" w14:textId="77777777">
      <w:pPr>
        <w:pStyle w:val="ListParagraph"/>
        <w:tabs>
          <w:tab w:val="left" w:pos="4320"/>
        </w:tabs>
        <w:spacing w:after="0"/>
        <w:ind w:left="4320"/>
        <w:rPr>
          <w:rFonts w:ascii="Times New Roman" w:hAnsi="Times New Roman" w:cs="Times New Roman"/>
          <w:b/>
          <w:bCs/>
          <w:sz w:val="24"/>
          <w:szCs w:val="24"/>
        </w:rPr>
      </w:pPr>
      <w:r w:rsidRPr="004875DB">
        <w:rPr>
          <w:rFonts w:ascii="Times New Roman" w:hAnsi="Times New Roman" w:cs="Times New Roman"/>
          <w:b/>
          <w:bCs/>
          <w:sz w:val="24"/>
          <w:szCs w:val="24"/>
        </w:rPr>
        <w:t>Office of the Ohio Consumers’ Counsel</w:t>
      </w:r>
    </w:p>
    <w:p w:rsidR="0084279C" w:rsidRPr="004875DB" w:rsidP="00C0511A" w14:paraId="6CDE220D" w14:textId="77777777">
      <w:pPr>
        <w:spacing w:after="0"/>
        <w:ind w:left="4320"/>
        <w:rPr>
          <w:rFonts w:ascii="Times New Roman" w:hAnsi="Times New Roman" w:cs="Times New Roman"/>
          <w:sz w:val="24"/>
          <w:szCs w:val="24"/>
        </w:rPr>
      </w:pPr>
      <w:r w:rsidRPr="004875DB">
        <w:rPr>
          <w:rFonts w:ascii="Times New Roman" w:hAnsi="Times New Roman" w:cs="Times New Roman"/>
          <w:sz w:val="24"/>
          <w:szCs w:val="24"/>
        </w:rPr>
        <w:t>65 East State Street, Suite 700</w:t>
      </w:r>
    </w:p>
    <w:p w:rsidR="0084279C" w:rsidRPr="004875DB" w:rsidP="00C0511A" w14:paraId="20CD4CED" w14:textId="77777777">
      <w:pPr>
        <w:spacing w:after="0"/>
        <w:ind w:left="4320"/>
        <w:rPr>
          <w:rFonts w:ascii="Times New Roman" w:hAnsi="Times New Roman" w:cs="Times New Roman"/>
          <w:sz w:val="24"/>
          <w:szCs w:val="24"/>
        </w:rPr>
      </w:pPr>
      <w:r w:rsidRPr="004875DB">
        <w:rPr>
          <w:rFonts w:ascii="Times New Roman" w:hAnsi="Times New Roman" w:cs="Times New Roman"/>
          <w:sz w:val="24"/>
          <w:szCs w:val="24"/>
        </w:rPr>
        <w:t>Columbus, Ohio 43215</w:t>
      </w:r>
    </w:p>
    <w:p w:rsidR="0084279C" w:rsidRPr="004875DB" w:rsidP="00C0511A" w14:paraId="7F0CF1D7" w14:textId="77777777">
      <w:pPr>
        <w:autoSpaceDE w:val="0"/>
        <w:autoSpaceDN w:val="0"/>
        <w:adjustRightInd w:val="0"/>
        <w:spacing w:after="0"/>
        <w:ind w:left="3600" w:firstLine="720"/>
        <w:rPr>
          <w:rFonts w:ascii="Times New Roman" w:hAnsi="Times New Roman" w:cs="Times New Roman"/>
          <w:sz w:val="24"/>
          <w:szCs w:val="24"/>
        </w:rPr>
      </w:pPr>
      <w:r w:rsidRPr="004875DB">
        <w:rPr>
          <w:rFonts w:ascii="Times New Roman" w:hAnsi="Times New Roman" w:cs="Times New Roman"/>
          <w:sz w:val="24"/>
          <w:szCs w:val="24"/>
        </w:rPr>
        <w:t>Telephone [O’Brien] (614) 466-9531</w:t>
      </w:r>
    </w:p>
    <w:p w:rsidR="0084279C" w:rsidRPr="004875DB" w:rsidP="00C0511A" w14:paraId="2EA6CBD4" w14:textId="77777777">
      <w:pPr>
        <w:autoSpaceDE w:val="0"/>
        <w:autoSpaceDN w:val="0"/>
        <w:adjustRightInd w:val="0"/>
        <w:spacing w:after="0"/>
        <w:ind w:left="3600" w:firstLine="720"/>
        <w:rPr>
          <w:rFonts w:ascii="Times New Roman" w:hAnsi="Times New Roman" w:cs="Times New Roman"/>
          <w:sz w:val="24"/>
          <w:szCs w:val="24"/>
        </w:rPr>
      </w:pPr>
      <w:r w:rsidRPr="004875DB">
        <w:rPr>
          <w:rFonts w:ascii="Times New Roman" w:hAnsi="Times New Roman" w:cs="Times New Roman"/>
          <w:sz w:val="24"/>
          <w:szCs w:val="24"/>
        </w:rPr>
        <w:t>Telephone [Semple] (614) 466-9565</w:t>
      </w:r>
    </w:p>
    <w:p w:rsidR="0084279C" w:rsidRPr="004875DB" w:rsidP="00C0511A" w14:paraId="4FE64E45" w14:textId="77777777">
      <w:pPr>
        <w:autoSpaceDE w:val="0"/>
        <w:autoSpaceDN w:val="0"/>
        <w:adjustRightInd w:val="0"/>
        <w:spacing w:after="0"/>
        <w:ind w:left="3600" w:firstLine="720"/>
        <w:contextualSpacing/>
        <w:rPr>
          <w:rFonts w:ascii="Times New Roman" w:hAnsi="Times New Roman" w:cs="Times New Roman"/>
          <w:sz w:val="24"/>
          <w:szCs w:val="24"/>
          <w:lang w:bidi="en-US"/>
        </w:rPr>
      </w:pPr>
      <w:r w:rsidRPr="004875DB">
        <w:rPr>
          <w:rFonts w:ascii="Times New Roman" w:hAnsi="Times New Roman" w:cs="Times New Roman"/>
          <w:sz w:val="24"/>
          <w:szCs w:val="24"/>
          <w:lang w:bidi="en-US"/>
        </w:rPr>
        <w:t>Telephone [Kral]: (614) 466-9571</w:t>
      </w:r>
    </w:p>
    <w:p w:rsidR="0084279C" w:rsidRPr="004875DB" w:rsidP="00C0511A" w14:paraId="51558721" w14:textId="77777777">
      <w:pPr>
        <w:autoSpaceDE w:val="0"/>
        <w:autoSpaceDN w:val="0"/>
        <w:adjustRightInd w:val="0"/>
        <w:spacing w:after="0"/>
        <w:ind w:left="3600" w:firstLine="720"/>
        <w:rPr>
          <w:rFonts w:ascii="Times New Roman" w:hAnsi="Times New Roman" w:cs="Times New Roman"/>
          <w:sz w:val="24"/>
          <w:szCs w:val="24"/>
        </w:rPr>
      </w:pPr>
      <w:hyperlink r:id="rId6" w:history="1">
        <w:r w:rsidRPr="004875DB" w:rsidR="00EC404A">
          <w:rPr>
            <w:rStyle w:val="Hyperlink"/>
            <w:rFonts w:ascii="Times New Roman" w:hAnsi="Times New Roman" w:cs="Times New Roman"/>
            <w:sz w:val="24"/>
            <w:szCs w:val="24"/>
          </w:rPr>
          <w:t>angela.obrien@occ.ohio.gov</w:t>
        </w:r>
      </w:hyperlink>
    </w:p>
    <w:p w:rsidR="0084279C" w:rsidRPr="004875DB" w:rsidP="00C0511A" w14:paraId="592DE390" w14:textId="77777777">
      <w:pPr>
        <w:autoSpaceDE w:val="0"/>
        <w:autoSpaceDN w:val="0"/>
        <w:adjustRightInd w:val="0"/>
        <w:spacing w:after="0"/>
        <w:ind w:left="3600" w:firstLine="720"/>
        <w:rPr>
          <w:rStyle w:val="Hyperlink"/>
          <w:rFonts w:ascii="Times New Roman" w:hAnsi="Times New Roman" w:cs="Times New Roman"/>
          <w:sz w:val="24"/>
          <w:szCs w:val="24"/>
        </w:rPr>
      </w:pPr>
      <w:hyperlink r:id="rId7" w:history="1">
        <w:r w:rsidRPr="004875DB" w:rsidR="00EC404A">
          <w:rPr>
            <w:rStyle w:val="Hyperlink"/>
            <w:rFonts w:ascii="Times New Roman" w:hAnsi="Times New Roman" w:cs="Times New Roman"/>
            <w:sz w:val="24"/>
            <w:szCs w:val="24"/>
          </w:rPr>
          <w:t>connor.semple@occ.ohio.gov</w:t>
        </w:r>
      </w:hyperlink>
    </w:p>
    <w:p w:rsidR="0084279C" w:rsidRPr="004875DB" w:rsidP="00C0511A" w14:paraId="507FFEB4" w14:textId="77777777">
      <w:pPr>
        <w:spacing w:after="0"/>
        <w:ind w:left="4320"/>
        <w:rPr>
          <w:rFonts w:ascii="Times New Roman" w:hAnsi="Times New Roman" w:cs="Times New Roman"/>
          <w:sz w:val="24"/>
          <w:szCs w:val="24"/>
        </w:rPr>
      </w:pPr>
      <w:hyperlink r:id="rId8" w:history="1">
        <w:r w:rsidRPr="004875DB" w:rsidR="00EC404A">
          <w:rPr>
            <w:rStyle w:val="Hyperlink"/>
            <w:rFonts w:ascii="Times New Roman" w:hAnsi="Times New Roman" w:cs="Times New Roman"/>
            <w:sz w:val="24"/>
            <w:szCs w:val="24"/>
            <w:lang w:bidi="en-US"/>
          </w:rPr>
          <w:t>donald.kral@occ.ohio.gov</w:t>
        </w:r>
      </w:hyperlink>
    </w:p>
    <w:p w:rsidR="0084279C" w:rsidRPr="004875DB" w:rsidP="00C0511A" w14:paraId="595B0EBD" w14:textId="77777777">
      <w:pPr>
        <w:autoSpaceDE w:val="0"/>
        <w:autoSpaceDN w:val="0"/>
        <w:adjustRightInd w:val="0"/>
        <w:spacing w:after="0"/>
        <w:ind w:left="3600" w:firstLine="720"/>
        <w:rPr>
          <w:rFonts w:ascii="Times New Roman" w:hAnsi="Times New Roman" w:cs="Times New Roman"/>
          <w:sz w:val="24"/>
          <w:szCs w:val="24"/>
        </w:rPr>
      </w:pPr>
      <w:r w:rsidRPr="004875DB">
        <w:rPr>
          <w:rFonts w:ascii="Times New Roman" w:hAnsi="Times New Roman" w:cs="Times New Roman"/>
          <w:sz w:val="24"/>
          <w:szCs w:val="24"/>
        </w:rPr>
        <w:t>(willing to accept service by e-mail)</w:t>
      </w:r>
    </w:p>
    <w:p w:rsidR="00C0511A" w14:paraId="4F3F9E0F" w14:textId="135F431F">
      <w:pPr>
        <w:rPr>
          <w:rFonts w:ascii="Times New Roman" w:hAnsi="Times New Roman" w:cs="Times New Roman"/>
          <w:b/>
          <w:bCs/>
          <w:sz w:val="24"/>
          <w:szCs w:val="24"/>
        </w:rPr>
      </w:pPr>
      <w:r>
        <w:rPr>
          <w:rFonts w:ascii="Times New Roman" w:hAnsi="Times New Roman" w:cs="Times New Roman"/>
          <w:b/>
          <w:bCs/>
          <w:sz w:val="24"/>
          <w:szCs w:val="24"/>
        </w:rPr>
        <w:br w:type="page"/>
      </w:r>
    </w:p>
    <w:p w:rsidR="0084279C" w:rsidRPr="00915273" w:rsidP="0084279C" w14:paraId="5F1BF4BE" w14:textId="77777777">
      <w:pPr>
        <w:jc w:val="center"/>
        <w:rPr>
          <w:rFonts w:ascii="Times New Roman" w:hAnsi="Times New Roman" w:cs="Times New Roman"/>
          <w:b/>
          <w:sz w:val="24"/>
          <w:szCs w:val="24"/>
          <w:u w:val="single"/>
        </w:rPr>
      </w:pPr>
      <w:r w:rsidRPr="00915273">
        <w:rPr>
          <w:rFonts w:ascii="Times New Roman" w:hAnsi="Times New Roman" w:cs="Times New Roman"/>
          <w:b/>
          <w:sz w:val="24"/>
          <w:szCs w:val="24"/>
          <w:u w:val="single"/>
        </w:rPr>
        <w:t>CERTIFICATE OF SERVICE</w:t>
      </w:r>
    </w:p>
    <w:p w:rsidR="0084279C" w:rsidRPr="00915273" w:rsidP="0084279C" w14:paraId="79141B34" w14:textId="7CD4989D">
      <w:pPr>
        <w:suppressAutoHyphens/>
        <w:spacing w:line="480" w:lineRule="auto"/>
        <w:ind w:firstLine="720"/>
        <w:rPr>
          <w:rFonts w:ascii="Times New Roman" w:hAnsi="Times New Roman" w:cs="Times New Roman"/>
          <w:spacing w:val="-3"/>
          <w:sz w:val="24"/>
          <w:szCs w:val="24"/>
        </w:rPr>
      </w:pPr>
      <w:r w:rsidRPr="00915273">
        <w:rPr>
          <w:rFonts w:ascii="Times New Roman" w:hAnsi="Times New Roman" w:cs="Times New Roman"/>
          <w:spacing w:val="-3"/>
          <w:sz w:val="24"/>
          <w:szCs w:val="24"/>
        </w:rPr>
        <w:t xml:space="preserve">It is hereby certified that a true copy of the foregoing </w:t>
      </w:r>
      <w:r w:rsidR="00977931">
        <w:rPr>
          <w:rFonts w:ascii="Times New Roman" w:hAnsi="Times New Roman" w:cs="Times New Roman"/>
          <w:spacing w:val="-3"/>
          <w:sz w:val="24"/>
          <w:szCs w:val="24"/>
        </w:rPr>
        <w:t>Objections</w:t>
      </w:r>
      <w:r>
        <w:rPr>
          <w:rFonts w:ascii="Times New Roman" w:hAnsi="Times New Roman" w:cs="Times New Roman"/>
          <w:spacing w:val="-3"/>
          <w:sz w:val="24"/>
          <w:szCs w:val="24"/>
        </w:rPr>
        <w:t xml:space="preserve"> to the PUCO Staff Report</w:t>
      </w:r>
      <w:r w:rsidRPr="00915273">
        <w:rPr>
          <w:rFonts w:ascii="Times New Roman" w:hAnsi="Times New Roman" w:cs="Times New Roman"/>
          <w:spacing w:val="-3"/>
          <w:sz w:val="24"/>
          <w:szCs w:val="24"/>
        </w:rPr>
        <w:t xml:space="preserve"> by Office of the Ohio Consumers' Counsel was served upon the persons listed below by electronic transmission this </w:t>
      </w:r>
      <w:r>
        <w:rPr>
          <w:rFonts w:ascii="Times New Roman" w:hAnsi="Times New Roman" w:cs="Times New Roman"/>
          <w:spacing w:val="-3"/>
          <w:sz w:val="24"/>
          <w:szCs w:val="24"/>
        </w:rPr>
        <w:t>14</w:t>
      </w:r>
      <w:r w:rsidRPr="00915273">
        <w:rPr>
          <w:rFonts w:ascii="Times New Roman" w:hAnsi="Times New Roman" w:cs="Times New Roman"/>
          <w:spacing w:val="-3"/>
          <w:sz w:val="24"/>
          <w:szCs w:val="24"/>
        </w:rPr>
        <w:t xml:space="preserve">th day of </w:t>
      </w:r>
      <w:r>
        <w:rPr>
          <w:rFonts w:ascii="Times New Roman" w:hAnsi="Times New Roman" w:cs="Times New Roman"/>
          <w:spacing w:val="-3"/>
          <w:sz w:val="24"/>
          <w:szCs w:val="24"/>
        </w:rPr>
        <w:t>August,</w:t>
      </w:r>
      <w:r w:rsidRPr="00915273">
        <w:rPr>
          <w:rFonts w:ascii="Times New Roman" w:hAnsi="Times New Roman" w:cs="Times New Roman"/>
          <w:spacing w:val="-3"/>
          <w:sz w:val="24"/>
          <w:szCs w:val="24"/>
        </w:rPr>
        <w:t xml:space="preserve"> 202</w:t>
      </w:r>
      <w:r>
        <w:rPr>
          <w:rFonts w:ascii="Times New Roman" w:hAnsi="Times New Roman" w:cs="Times New Roman"/>
          <w:spacing w:val="-3"/>
          <w:sz w:val="24"/>
          <w:szCs w:val="24"/>
        </w:rPr>
        <w:t>3</w:t>
      </w:r>
      <w:r w:rsidRPr="00915273">
        <w:rPr>
          <w:rFonts w:ascii="Times New Roman" w:hAnsi="Times New Roman" w:cs="Times New Roman"/>
          <w:spacing w:val="-3"/>
          <w:sz w:val="24"/>
          <w:szCs w:val="24"/>
        </w:rPr>
        <w:t>.</w:t>
      </w:r>
    </w:p>
    <w:p w:rsidR="0084279C" w:rsidP="0084279C" w14:paraId="1364838B" w14:textId="71D2AC30">
      <w:pPr>
        <w:pStyle w:val="EndnoteText"/>
        <w:rPr>
          <w:rFonts w:ascii="Times New Roman" w:hAnsi="Times New Roman"/>
          <w:i/>
          <w:iCs/>
          <w:snapToGrid/>
          <w:szCs w:val="24"/>
          <w:u w:val="single"/>
        </w:rPr>
      </w:pPr>
      <w:r w:rsidRPr="00915273">
        <w:rPr>
          <w:rFonts w:ascii="Times New Roman" w:hAnsi="Times New Roman"/>
          <w:snapToGrid/>
          <w:szCs w:val="24"/>
        </w:rPr>
        <w:tab/>
      </w:r>
      <w:r w:rsidRPr="00915273">
        <w:rPr>
          <w:rFonts w:ascii="Times New Roman" w:hAnsi="Times New Roman"/>
          <w:snapToGrid/>
          <w:szCs w:val="24"/>
        </w:rPr>
        <w:tab/>
      </w:r>
      <w:r w:rsidRPr="00915273">
        <w:rPr>
          <w:rFonts w:ascii="Times New Roman" w:hAnsi="Times New Roman"/>
          <w:snapToGrid/>
          <w:szCs w:val="24"/>
        </w:rPr>
        <w:tab/>
      </w:r>
      <w:r w:rsidRPr="00915273">
        <w:rPr>
          <w:rFonts w:ascii="Times New Roman" w:hAnsi="Times New Roman"/>
          <w:snapToGrid/>
          <w:szCs w:val="24"/>
        </w:rPr>
        <w:tab/>
      </w:r>
      <w:r w:rsidRPr="00915273">
        <w:rPr>
          <w:rFonts w:ascii="Times New Roman" w:hAnsi="Times New Roman"/>
          <w:snapToGrid/>
          <w:szCs w:val="24"/>
        </w:rPr>
        <w:tab/>
      </w:r>
      <w:r w:rsidRPr="00915273">
        <w:rPr>
          <w:rFonts w:ascii="Times New Roman" w:hAnsi="Times New Roman"/>
          <w:snapToGrid/>
          <w:szCs w:val="24"/>
        </w:rPr>
        <w:tab/>
      </w:r>
      <w:r w:rsidRPr="00915273">
        <w:rPr>
          <w:rFonts w:ascii="Times New Roman" w:hAnsi="Times New Roman"/>
          <w:snapToGrid/>
          <w:szCs w:val="24"/>
        </w:rPr>
        <w:tab/>
      </w:r>
      <w:r>
        <w:rPr>
          <w:rFonts w:ascii="Times New Roman" w:hAnsi="Times New Roman"/>
          <w:i/>
          <w:iCs/>
          <w:snapToGrid/>
          <w:szCs w:val="24"/>
          <w:u w:val="single"/>
        </w:rPr>
        <w:t>/s/ Angela D.</w:t>
      </w:r>
      <w:r w:rsidR="00977931">
        <w:rPr>
          <w:rFonts w:ascii="Times New Roman" w:hAnsi="Times New Roman"/>
          <w:i/>
          <w:iCs/>
          <w:snapToGrid/>
          <w:szCs w:val="24"/>
          <w:u w:val="single"/>
        </w:rPr>
        <w:t xml:space="preserve"> </w:t>
      </w:r>
      <w:r>
        <w:rPr>
          <w:rFonts w:ascii="Times New Roman" w:hAnsi="Times New Roman"/>
          <w:i/>
          <w:iCs/>
          <w:snapToGrid/>
          <w:szCs w:val="24"/>
          <w:u w:val="single"/>
        </w:rPr>
        <w:t>O’Brien</w:t>
      </w:r>
    </w:p>
    <w:p w:rsidR="0084279C" w:rsidP="0084279C" w14:paraId="12172378" w14:textId="77777777">
      <w:pPr>
        <w:pStyle w:val="EndnoteText"/>
        <w:rPr>
          <w:rFonts w:ascii="Times New Roman" w:hAnsi="Times New Roman"/>
          <w:snapToGrid/>
          <w:szCs w:val="24"/>
        </w:rPr>
      </w:pPr>
      <w:r w:rsidRPr="004875DB">
        <w:rPr>
          <w:rFonts w:ascii="Times New Roman" w:hAnsi="Times New Roman"/>
          <w:snapToGrid/>
          <w:szCs w:val="24"/>
        </w:rPr>
        <w:tab/>
      </w:r>
      <w:r w:rsidRPr="004875DB">
        <w:rPr>
          <w:rFonts w:ascii="Times New Roman" w:hAnsi="Times New Roman"/>
          <w:snapToGrid/>
          <w:szCs w:val="24"/>
        </w:rPr>
        <w:tab/>
      </w:r>
      <w:r w:rsidRPr="004875DB">
        <w:rPr>
          <w:rFonts w:ascii="Times New Roman" w:hAnsi="Times New Roman"/>
          <w:snapToGrid/>
          <w:szCs w:val="24"/>
        </w:rPr>
        <w:tab/>
      </w:r>
      <w:r w:rsidRPr="004875DB">
        <w:rPr>
          <w:rFonts w:ascii="Times New Roman" w:hAnsi="Times New Roman"/>
          <w:snapToGrid/>
          <w:szCs w:val="24"/>
        </w:rPr>
        <w:tab/>
      </w:r>
      <w:r w:rsidRPr="004875DB">
        <w:rPr>
          <w:rFonts w:ascii="Times New Roman" w:hAnsi="Times New Roman"/>
          <w:snapToGrid/>
          <w:szCs w:val="24"/>
        </w:rPr>
        <w:tab/>
      </w:r>
      <w:r w:rsidRPr="004875DB">
        <w:rPr>
          <w:rFonts w:ascii="Times New Roman" w:hAnsi="Times New Roman"/>
          <w:snapToGrid/>
          <w:szCs w:val="24"/>
        </w:rPr>
        <w:tab/>
      </w:r>
      <w:r w:rsidRPr="004875DB">
        <w:rPr>
          <w:rFonts w:ascii="Times New Roman" w:hAnsi="Times New Roman"/>
          <w:snapToGrid/>
          <w:szCs w:val="24"/>
        </w:rPr>
        <w:tab/>
      </w:r>
      <w:r>
        <w:rPr>
          <w:rFonts w:ascii="Times New Roman" w:hAnsi="Times New Roman"/>
          <w:snapToGrid/>
          <w:szCs w:val="24"/>
        </w:rPr>
        <w:t>Counsel of Record</w:t>
      </w:r>
    </w:p>
    <w:p w:rsidR="0084279C" w:rsidRPr="004875DB" w:rsidP="0084279C" w14:paraId="1CB8805F" w14:textId="77777777">
      <w:pPr>
        <w:pStyle w:val="EndnoteText"/>
        <w:ind w:left="4320" w:firstLine="720"/>
        <w:rPr>
          <w:rFonts w:ascii="Times New Roman" w:hAnsi="Times New Roman"/>
          <w:snapToGrid/>
          <w:szCs w:val="24"/>
        </w:rPr>
      </w:pPr>
      <w:r w:rsidRPr="004875DB">
        <w:rPr>
          <w:rFonts w:ascii="Times New Roman" w:hAnsi="Times New Roman"/>
          <w:szCs w:val="24"/>
        </w:rPr>
        <w:t>Deputy Consumers’ Counsel</w:t>
      </w:r>
    </w:p>
    <w:p w:rsidR="0084279C" w:rsidRPr="00915273" w:rsidP="0084279C" w14:paraId="6D2184D1" w14:textId="77777777">
      <w:pPr>
        <w:suppressLineNumbers/>
        <w:ind w:left="810"/>
        <w:rPr>
          <w:rFonts w:ascii="Times New Roman" w:hAnsi="Times New Roman" w:cs="Times New Roman"/>
          <w:sz w:val="24"/>
          <w:szCs w:val="24"/>
          <w:u w:val="single"/>
        </w:rPr>
      </w:pPr>
    </w:p>
    <w:p w:rsidR="0084279C" w:rsidRPr="00915273" w:rsidP="0084279C" w14:paraId="39F12AA1" w14:textId="77777777">
      <w:pPr>
        <w:suppressLineNumbers/>
        <w:rPr>
          <w:rFonts w:ascii="Times New Roman" w:hAnsi="Times New Roman" w:cs="Times New Roman"/>
          <w:sz w:val="24"/>
          <w:szCs w:val="24"/>
        </w:rPr>
      </w:pPr>
      <w:r w:rsidRPr="00915273">
        <w:rPr>
          <w:rFonts w:ascii="Times New Roman" w:hAnsi="Times New Roman" w:cs="Times New Roman"/>
          <w:sz w:val="24"/>
          <w:szCs w:val="24"/>
        </w:rPr>
        <w:t>The PUCO’s e-filing system will electronically serve notice of the filing of this document on the following parties:</w:t>
      </w:r>
    </w:p>
    <w:p w:rsidR="0084279C" w:rsidRPr="00915273" w:rsidP="0084279C" w14:paraId="55B82BE9" w14:textId="77777777">
      <w:pPr>
        <w:jc w:val="center"/>
        <w:rPr>
          <w:rFonts w:ascii="Times New Roman" w:hAnsi="Times New Roman" w:cs="Times New Roman"/>
          <w:b/>
          <w:bCs/>
          <w:sz w:val="24"/>
          <w:szCs w:val="24"/>
          <w:u w:val="single"/>
        </w:rPr>
      </w:pPr>
    </w:p>
    <w:p w:rsidR="0084279C" w:rsidRPr="00915273" w:rsidP="0084279C" w14:paraId="157967FB" w14:textId="77777777">
      <w:pPr>
        <w:pStyle w:val="CommentText"/>
        <w:jc w:val="center"/>
        <w:rPr>
          <w:rFonts w:cs="Times New Roman"/>
          <w:b/>
          <w:bCs/>
          <w:sz w:val="24"/>
          <w:szCs w:val="24"/>
          <w:u w:val="single"/>
        </w:rPr>
      </w:pPr>
      <w:r w:rsidRPr="00915273">
        <w:rPr>
          <w:rFonts w:cs="Times New Roman"/>
          <w:b/>
          <w:bCs/>
          <w:sz w:val="24"/>
          <w:szCs w:val="24"/>
          <w:u w:val="single"/>
        </w:rPr>
        <w:t>SERVICE LIST</w:t>
      </w:r>
    </w:p>
    <w:p w:rsidR="0084279C" w:rsidRPr="00915273" w:rsidP="0084279C" w14:paraId="6D96D5F5" w14:textId="77777777">
      <w:pPr>
        <w:pStyle w:val="CommentText"/>
        <w:jc w:val="center"/>
        <w:rPr>
          <w:rFonts w:cs="Times New Roman"/>
          <w:b/>
          <w:bCs/>
          <w:sz w:val="24"/>
          <w:szCs w:val="24"/>
          <w:u w:val="single"/>
        </w:rPr>
      </w:pPr>
    </w:p>
    <w:tbl>
      <w:tblPr>
        <w:tblW w:w="0" w:type="auto"/>
        <w:tblLook w:val="04A0"/>
      </w:tblPr>
      <w:tblGrid>
        <w:gridCol w:w="4323"/>
        <w:gridCol w:w="4317"/>
      </w:tblGrid>
      <w:tr w14:paraId="6800C70D" w14:textId="77777777" w:rsidTr="00C7505D">
        <w:tblPrEx>
          <w:tblW w:w="0" w:type="auto"/>
          <w:tblLook w:val="04A0"/>
        </w:tblPrEx>
        <w:tc>
          <w:tcPr>
            <w:tcW w:w="4428" w:type="dxa"/>
            <w:shd w:val="clear" w:color="auto" w:fill="auto"/>
          </w:tcPr>
          <w:p w:rsidR="0084279C" w:rsidRPr="007F5FC5" w:rsidP="00C7505D" w14:paraId="4E9B06AC" w14:textId="77777777">
            <w:pPr>
              <w:pStyle w:val="CommentText"/>
              <w:rPr>
                <w:rFonts w:cs="Times New Roman"/>
                <w:bCs/>
                <w:sz w:val="24"/>
                <w:szCs w:val="24"/>
                <w:u w:val="single"/>
              </w:rPr>
            </w:pPr>
            <w:hyperlink r:id="rId16" w:history="1">
              <w:r w:rsidRPr="007F5FC5" w:rsidR="00EC404A">
                <w:rPr>
                  <w:rStyle w:val="Hyperlink"/>
                  <w:rFonts w:cs="Times New Roman"/>
                  <w:bCs/>
                  <w:sz w:val="24"/>
                  <w:szCs w:val="24"/>
                </w:rPr>
                <w:t>Robert.eubanks@ohioAGO.gov</w:t>
              </w:r>
            </w:hyperlink>
          </w:p>
          <w:p w:rsidR="0084279C" w:rsidRPr="007F5FC5" w:rsidP="00C7505D" w14:paraId="2C5BD944" w14:textId="77777777">
            <w:pPr>
              <w:pStyle w:val="CommentText"/>
              <w:rPr>
                <w:rFonts w:cs="Times New Roman"/>
                <w:bCs/>
                <w:sz w:val="24"/>
                <w:szCs w:val="24"/>
                <w:u w:val="single"/>
              </w:rPr>
            </w:pPr>
            <w:hyperlink r:id="rId17" w:history="1">
              <w:r w:rsidRPr="007F5FC5" w:rsidR="00EC404A">
                <w:rPr>
                  <w:rStyle w:val="Hyperlink"/>
                  <w:rFonts w:cs="Times New Roman"/>
                  <w:bCs/>
                  <w:sz w:val="24"/>
                  <w:szCs w:val="24"/>
                </w:rPr>
                <w:t>Rhiannon.Howard@ohioAGO.gov</w:t>
              </w:r>
            </w:hyperlink>
          </w:p>
          <w:p w:rsidR="0084279C" w:rsidRPr="007F5FC5" w:rsidP="00C7505D" w14:paraId="5AAAC4F1" w14:textId="77777777">
            <w:pPr>
              <w:pStyle w:val="CommentText"/>
              <w:rPr>
                <w:rFonts w:cs="Times New Roman"/>
                <w:bCs/>
                <w:sz w:val="24"/>
                <w:szCs w:val="24"/>
                <w:u w:val="single"/>
              </w:rPr>
            </w:pPr>
          </w:p>
          <w:p w:rsidR="0084279C" w:rsidRPr="007F5FC5" w:rsidP="00C7505D" w14:paraId="64523714" w14:textId="77777777">
            <w:pPr>
              <w:pStyle w:val="CommentText"/>
              <w:rPr>
                <w:rFonts w:cs="Times New Roman"/>
                <w:bCs/>
                <w:sz w:val="24"/>
                <w:szCs w:val="24"/>
                <w:u w:val="single"/>
              </w:rPr>
            </w:pPr>
            <w:r w:rsidRPr="007F5FC5">
              <w:rPr>
                <w:rFonts w:cs="Times New Roman"/>
                <w:bCs/>
                <w:sz w:val="24"/>
                <w:szCs w:val="24"/>
                <w:u w:val="single"/>
              </w:rPr>
              <w:t>Attorney Examiners:</w:t>
            </w:r>
          </w:p>
          <w:p w:rsidR="0084279C" w:rsidRPr="007F5FC5" w:rsidP="00C7505D" w14:paraId="4117D8D3" w14:textId="77777777">
            <w:pPr>
              <w:pStyle w:val="CommentText"/>
              <w:rPr>
                <w:rFonts w:cs="Times New Roman"/>
                <w:bCs/>
                <w:sz w:val="24"/>
                <w:szCs w:val="24"/>
                <w:u w:val="single"/>
              </w:rPr>
            </w:pPr>
            <w:hyperlink r:id="rId18" w:history="1">
              <w:r w:rsidRPr="007F5FC5" w:rsidR="00EC404A">
                <w:rPr>
                  <w:rStyle w:val="Hyperlink"/>
                  <w:rFonts w:cs="Times New Roman"/>
                  <w:bCs/>
                  <w:sz w:val="24"/>
                  <w:szCs w:val="24"/>
                </w:rPr>
                <w:t>Jay.agranoff@puco.ohio.gov</w:t>
              </w:r>
            </w:hyperlink>
          </w:p>
          <w:p w:rsidR="0084279C" w:rsidRPr="007F5FC5" w:rsidP="00C7505D" w14:paraId="4AE5F955" w14:textId="77777777">
            <w:pPr>
              <w:pStyle w:val="CommentText"/>
              <w:rPr>
                <w:rFonts w:cs="Times New Roman"/>
                <w:bCs/>
                <w:sz w:val="24"/>
                <w:szCs w:val="24"/>
                <w:u w:val="single"/>
              </w:rPr>
            </w:pPr>
            <w:hyperlink r:id="rId19" w:history="1">
              <w:r w:rsidRPr="007F5FC5" w:rsidR="00EC404A">
                <w:rPr>
                  <w:rStyle w:val="Hyperlink"/>
                  <w:rFonts w:cs="Times New Roman"/>
                  <w:sz w:val="24"/>
                  <w:szCs w:val="24"/>
                </w:rPr>
                <w:t>clint</w:t>
              </w:r>
              <w:r w:rsidRPr="007F5FC5" w:rsidR="00EC404A">
                <w:rPr>
                  <w:rStyle w:val="Hyperlink"/>
                  <w:rFonts w:cs="Times New Roman"/>
                  <w:bCs/>
                  <w:sz w:val="24"/>
                  <w:szCs w:val="24"/>
                </w:rPr>
                <w:t>.white@puco.ohio.gov</w:t>
              </w:r>
            </w:hyperlink>
          </w:p>
          <w:p w:rsidR="0084279C" w:rsidRPr="007F5FC5" w:rsidP="00C7505D" w14:paraId="739B142F" w14:textId="77777777">
            <w:pPr>
              <w:pStyle w:val="CommentText"/>
              <w:rPr>
                <w:rFonts w:cs="Times New Roman"/>
                <w:bCs/>
                <w:sz w:val="24"/>
                <w:szCs w:val="24"/>
                <w:u w:val="single"/>
              </w:rPr>
            </w:pPr>
          </w:p>
        </w:tc>
        <w:tc>
          <w:tcPr>
            <w:tcW w:w="4428" w:type="dxa"/>
            <w:shd w:val="clear" w:color="auto" w:fill="auto"/>
          </w:tcPr>
          <w:p w:rsidR="0084279C" w:rsidRPr="007F5FC5" w:rsidP="00C7505D" w14:paraId="1F6234E7" w14:textId="77777777">
            <w:pPr>
              <w:pStyle w:val="CommentText"/>
              <w:rPr>
                <w:rFonts w:cs="Times New Roman"/>
                <w:bCs/>
                <w:sz w:val="24"/>
                <w:szCs w:val="24"/>
                <w:u w:val="single"/>
              </w:rPr>
            </w:pPr>
            <w:hyperlink r:id="rId20" w:history="1">
              <w:r w:rsidRPr="007F5FC5" w:rsidR="00EC404A">
                <w:rPr>
                  <w:rStyle w:val="Hyperlink"/>
                  <w:rFonts w:cs="Times New Roman"/>
                  <w:bCs/>
                  <w:sz w:val="24"/>
                  <w:szCs w:val="24"/>
                </w:rPr>
                <w:t>Christopher.miller@icemiller.com</w:t>
              </w:r>
            </w:hyperlink>
          </w:p>
          <w:p w:rsidR="0084279C" w:rsidRPr="007F5FC5" w:rsidP="00C7505D" w14:paraId="15945611" w14:textId="77777777">
            <w:pPr>
              <w:pStyle w:val="CommentText"/>
              <w:rPr>
                <w:rFonts w:cs="Times New Roman"/>
                <w:bCs/>
                <w:sz w:val="24"/>
                <w:szCs w:val="24"/>
                <w:u w:val="single"/>
              </w:rPr>
            </w:pPr>
            <w:hyperlink r:id="rId21" w:history="1">
              <w:r w:rsidRPr="007F5FC5" w:rsidR="00EC404A">
                <w:rPr>
                  <w:rStyle w:val="Hyperlink"/>
                  <w:rFonts w:cs="Times New Roman"/>
                  <w:bCs/>
                  <w:sz w:val="24"/>
                  <w:szCs w:val="24"/>
                </w:rPr>
                <w:t>Nicole.woods@icemiller.com</w:t>
              </w:r>
            </w:hyperlink>
          </w:p>
          <w:p w:rsidR="0084279C" w:rsidP="00C7505D" w14:paraId="76B67CF9" w14:textId="77777777">
            <w:pPr>
              <w:pStyle w:val="CommentText"/>
              <w:rPr>
                <w:rFonts w:cs="Times New Roman"/>
                <w:bCs/>
                <w:sz w:val="24"/>
                <w:szCs w:val="24"/>
                <w:u w:val="single"/>
              </w:rPr>
            </w:pPr>
            <w:hyperlink r:id="rId22" w:history="1">
              <w:r w:rsidRPr="008A3430" w:rsidR="00EC404A">
                <w:rPr>
                  <w:rStyle w:val="Hyperlink"/>
                  <w:rFonts w:cs="Times New Roman"/>
                  <w:bCs/>
                  <w:sz w:val="24"/>
                  <w:szCs w:val="24"/>
                </w:rPr>
                <w:t>lawdirectormarion@gmail.com</w:t>
              </w:r>
            </w:hyperlink>
          </w:p>
          <w:p w:rsidR="0084279C" w:rsidRPr="007F5FC5" w:rsidP="00C7505D" w14:paraId="51E56281" w14:textId="77777777">
            <w:pPr>
              <w:pStyle w:val="CommentText"/>
              <w:rPr>
                <w:rFonts w:cs="Times New Roman"/>
                <w:bCs/>
                <w:sz w:val="24"/>
                <w:szCs w:val="24"/>
                <w:u w:val="single"/>
              </w:rPr>
            </w:pPr>
          </w:p>
        </w:tc>
      </w:tr>
    </w:tbl>
    <w:p w:rsidR="0084279C" w:rsidRPr="00915273" w:rsidP="0084279C" w14:paraId="00E135E9" w14:textId="77777777">
      <w:pPr>
        <w:pStyle w:val="CommentText"/>
        <w:rPr>
          <w:rFonts w:cs="Times New Roman"/>
          <w:b/>
          <w:sz w:val="24"/>
          <w:szCs w:val="24"/>
          <w:u w:val="single"/>
        </w:rPr>
      </w:pPr>
    </w:p>
    <w:p w:rsidR="00A80816" w:rsidRPr="00A80816" w:rsidP="00A80816" w14:paraId="1A523730" w14:textId="77777777">
      <w:pPr>
        <w:autoSpaceDE w:val="0"/>
        <w:autoSpaceDN w:val="0"/>
        <w:spacing w:after="0" w:line="480" w:lineRule="auto"/>
        <w:rPr>
          <w:rFonts w:ascii="Times New Roman" w:hAnsi="Times New Roman" w:cs="Times New Roman"/>
          <w:b/>
          <w:bCs/>
          <w:sz w:val="24"/>
          <w:szCs w:val="24"/>
        </w:rPr>
      </w:pPr>
    </w:p>
    <w:sectPr w:rsidSect="0084279C">
      <w:footerReference w:type="default" r:id="rId23"/>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F47" w14:paraId="706618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F47" w14:paraId="1F847AA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F47" w14:paraId="5BFBCF7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0379263"/>
      <w:docPartObj>
        <w:docPartGallery w:val="Page Numbers (Bottom of Page)"/>
        <w:docPartUnique/>
      </w:docPartObj>
    </w:sdtPr>
    <w:sdtEndPr>
      <w:rPr>
        <w:rFonts w:ascii="Times New Roman" w:hAnsi="Times New Roman" w:cs="Times New Roman"/>
        <w:noProof/>
        <w:sz w:val="24"/>
        <w:szCs w:val="24"/>
      </w:rPr>
    </w:sdtEndPr>
    <w:sdtContent>
      <w:p w:rsidR="00C7245A" w:rsidRPr="00C7245A" w14:paraId="4BCF7D4B" w14:textId="22914F59">
        <w:pPr>
          <w:pStyle w:val="Footer"/>
          <w:jc w:val="center"/>
          <w:rPr>
            <w:rFonts w:ascii="Times New Roman" w:hAnsi="Times New Roman" w:cs="Times New Roman"/>
            <w:sz w:val="24"/>
            <w:szCs w:val="24"/>
          </w:rPr>
        </w:pPr>
        <w:r w:rsidRPr="00C7245A">
          <w:rPr>
            <w:rFonts w:ascii="Times New Roman" w:hAnsi="Times New Roman" w:cs="Times New Roman"/>
            <w:sz w:val="24"/>
            <w:szCs w:val="24"/>
          </w:rPr>
          <w:fldChar w:fldCharType="begin"/>
        </w:r>
        <w:r w:rsidRPr="00C7245A">
          <w:rPr>
            <w:rFonts w:ascii="Times New Roman" w:hAnsi="Times New Roman" w:cs="Times New Roman"/>
            <w:sz w:val="24"/>
            <w:szCs w:val="24"/>
          </w:rPr>
          <w:instrText xml:space="preserve"> PAGE   \* MERGEFORMAT </w:instrText>
        </w:r>
        <w:r w:rsidRPr="00C7245A">
          <w:rPr>
            <w:rFonts w:ascii="Times New Roman" w:hAnsi="Times New Roman" w:cs="Times New Roman"/>
            <w:sz w:val="24"/>
            <w:szCs w:val="24"/>
          </w:rPr>
          <w:fldChar w:fldCharType="separate"/>
        </w:r>
        <w:r w:rsidRPr="00C7245A">
          <w:rPr>
            <w:rFonts w:ascii="Times New Roman" w:hAnsi="Times New Roman" w:cs="Times New Roman"/>
            <w:noProof/>
            <w:sz w:val="24"/>
            <w:szCs w:val="24"/>
          </w:rPr>
          <w:t>2</w:t>
        </w:r>
        <w:r w:rsidRPr="00C7245A">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9595493"/>
      <w:docPartObj>
        <w:docPartGallery w:val="Page Numbers (Bottom of Page)"/>
        <w:docPartUnique/>
      </w:docPartObj>
    </w:sdtPr>
    <w:sdtEndPr>
      <w:rPr>
        <w:rFonts w:ascii="Times New Roman" w:hAnsi="Times New Roman" w:cs="Times New Roman"/>
        <w:noProof/>
        <w:sz w:val="24"/>
        <w:szCs w:val="24"/>
      </w:rPr>
    </w:sdtEndPr>
    <w:sdtContent>
      <w:p w:rsidR="0084279C" w:rsidRPr="0084279C" w14:paraId="34A08CE9" w14:textId="3074A535">
        <w:pPr>
          <w:pStyle w:val="Footer"/>
          <w:jc w:val="center"/>
          <w:rPr>
            <w:rFonts w:ascii="Times New Roman" w:hAnsi="Times New Roman" w:cs="Times New Roman"/>
            <w:sz w:val="24"/>
            <w:szCs w:val="24"/>
          </w:rPr>
        </w:pPr>
        <w:r w:rsidRPr="0084279C">
          <w:rPr>
            <w:rFonts w:ascii="Times New Roman" w:hAnsi="Times New Roman" w:cs="Times New Roman"/>
            <w:sz w:val="24"/>
            <w:szCs w:val="24"/>
          </w:rPr>
          <w:fldChar w:fldCharType="begin"/>
        </w:r>
        <w:r w:rsidRPr="0084279C">
          <w:rPr>
            <w:rFonts w:ascii="Times New Roman" w:hAnsi="Times New Roman" w:cs="Times New Roman"/>
            <w:sz w:val="24"/>
            <w:szCs w:val="24"/>
          </w:rPr>
          <w:instrText xml:space="preserve"> PAGE   \* MERGEFORMAT </w:instrText>
        </w:r>
        <w:r w:rsidRPr="0084279C">
          <w:rPr>
            <w:rFonts w:ascii="Times New Roman" w:hAnsi="Times New Roman" w:cs="Times New Roman"/>
            <w:sz w:val="24"/>
            <w:szCs w:val="24"/>
          </w:rPr>
          <w:fldChar w:fldCharType="separate"/>
        </w:r>
        <w:r w:rsidRPr="0084279C">
          <w:rPr>
            <w:rFonts w:ascii="Times New Roman" w:hAnsi="Times New Roman" w:cs="Times New Roman"/>
            <w:noProof/>
            <w:sz w:val="24"/>
            <w:szCs w:val="24"/>
          </w:rPr>
          <w:t>2</w:t>
        </w:r>
        <w:r w:rsidRPr="0084279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7C73" w:rsidP="00F3266D" w14:paraId="1B071C70" w14:textId="77777777">
      <w:pPr>
        <w:spacing w:after="0" w:line="240" w:lineRule="auto"/>
      </w:pPr>
      <w:r>
        <w:separator/>
      </w:r>
    </w:p>
  </w:footnote>
  <w:footnote w:type="continuationSeparator" w:id="1">
    <w:p w:rsidR="00167C73" w:rsidP="00F3266D" w14:paraId="360CAFE8" w14:textId="77777777">
      <w:pPr>
        <w:spacing w:after="0" w:line="240" w:lineRule="auto"/>
      </w:pPr>
      <w:r>
        <w:continuationSeparator/>
      </w:r>
    </w:p>
  </w:footnote>
  <w:footnote w:id="2">
    <w:p w:rsidR="00D914BB" w:rsidRPr="00AA7039" w:rsidP="00AA7039" w14:paraId="5E17E8AC" w14:textId="569A4FCA">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w:t>
      </w:r>
      <w:r w:rsidRPr="00AA7039">
        <w:rPr>
          <w:rFonts w:ascii="Times New Roman" w:hAnsi="Times New Roman" w:cs="Times New Roman"/>
          <w:i/>
        </w:rPr>
        <w:t xml:space="preserve">See </w:t>
      </w:r>
      <w:r w:rsidRPr="00AA7039">
        <w:rPr>
          <w:rFonts w:ascii="Times New Roman" w:hAnsi="Times New Roman" w:cs="Times New Roman"/>
        </w:rPr>
        <w:t>Application of Aqua Ohio, Inc. to Increase its Rates and Charges for its Water Service ("Application") Schedule A-1, Case No. 2</w:t>
      </w:r>
      <w:r w:rsidRPr="00AA7039" w:rsidR="005A12BB">
        <w:rPr>
          <w:rFonts w:ascii="Times New Roman" w:hAnsi="Times New Roman" w:cs="Times New Roman"/>
        </w:rPr>
        <w:t>2</w:t>
      </w:r>
      <w:r w:rsidRPr="00AA7039">
        <w:rPr>
          <w:rFonts w:ascii="Times New Roman" w:hAnsi="Times New Roman" w:cs="Times New Roman"/>
        </w:rPr>
        <w:t>-</w:t>
      </w:r>
      <w:r w:rsidRPr="00AA7039" w:rsidR="005A12BB">
        <w:rPr>
          <w:rFonts w:ascii="Times New Roman" w:hAnsi="Times New Roman" w:cs="Times New Roman"/>
        </w:rPr>
        <w:t>1094</w:t>
      </w:r>
      <w:r w:rsidRPr="00AA7039">
        <w:rPr>
          <w:rFonts w:ascii="Times New Roman" w:hAnsi="Times New Roman" w:cs="Times New Roman"/>
        </w:rPr>
        <w:t>-WW-AIR (</w:t>
      </w:r>
      <w:r w:rsidRPr="00AA7039" w:rsidR="005A12BB">
        <w:rPr>
          <w:rFonts w:ascii="Times New Roman" w:hAnsi="Times New Roman" w:cs="Times New Roman"/>
        </w:rPr>
        <w:t>Dec</w:t>
      </w:r>
      <w:r w:rsidRPr="00AA7039" w:rsidR="00C7245A">
        <w:rPr>
          <w:rFonts w:ascii="Times New Roman" w:hAnsi="Times New Roman" w:cs="Times New Roman"/>
        </w:rPr>
        <w:t>ember</w:t>
      </w:r>
      <w:r w:rsidRPr="00AA7039" w:rsidR="005A12BB">
        <w:rPr>
          <w:rFonts w:ascii="Times New Roman" w:hAnsi="Times New Roman" w:cs="Times New Roman"/>
        </w:rPr>
        <w:t xml:space="preserve"> 20, 2022</w:t>
      </w:r>
      <w:r w:rsidRPr="00AA7039">
        <w:rPr>
          <w:rFonts w:ascii="Times New Roman" w:hAnsi="Times New Roman" w:cs="Times New Roman"/>
        </w:rPr>
        <w:t>).</w:t>
      </w:r>
    </w:p>
  </w:footnote>
  <w:footnote w:id="3">
    <w:p w:rsidR="0020009A" w:rsidRPr="00AA7039" w:rsidP="00AA7039" w14:paraId="51D551AA" w14:textId="03E7CB57">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w:t>
      </w:r>
      <w:r w:rsidRPr="00AA7039">
        <w:rPr>
          <w:rFonts w:ascii="Times New Roman" w:hAnsi="Times New Roman" w:cs="Times New Roman"/>
          <w:i/>
          <w:iCs/>
        </w:rPr>
        <w:t xml:space="preserve">See </w:t>
      </w:r>
      <w:r w:rsidRPr="00AA7039" w:rsidR="00786026">
        <w:rPr>
          <w:rFonts w:ascii="Times New Roman" w:hAnsi="Times New Roman" w:cs="Times New Roman"/>
          <w:i/>
          <w:iCs/>
        </w:rPr>
        <w:t>In the Matter of the Application of Aqua Ohio, Inc. to Increase its Rates and Charges for its Waterworks Services</w:t>
      </w:r>
      <w:r w:rsidRPr="00AA7039" w:rsidR="00786026">
        <w:rPr>
          <w:rFonts w:ascii="Times New Roman" w:hAnsi="Times New Roman" w:cs="Times New Roman"/>
        </w:rPr>
        <w:t>, Case No. 21-</w:t>
      </w:r>
      <w:r w:rsidRPr="00AA7039" w:rsidR="009347DF">
        <w:rPr>
          <w:rFonts w:ascii="Times New Roman" w:hAnsi="Times New Roman" w:cs="Times New Roman"/>
        </w:rPr>
        <w:t>595-WW-AIR, Opinion and Order (September 21, 2022).</w:t>
      </w:r>
    </w:p>
  </w:footnote>
  <w:footnote w:id="4">
    <w:p w:rsidR="00D914BB" w:rsidRPr="00AA7039" w:rsidP="00AA7039" w14:paraId="57EAD067" w14:textId="1E575DF2">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w:t>
      </w:r>
      <w:r w:rsidRPr="00AA7039" w:rsidR="00567181">
        <w:rPr>
          <w:rFonts w:ascii="Times New Roman" w:hAnsi="Times New Roman" w:cs="Times New Roman"/>
        </w:rPr>
        <w:t xml:space="preserve">A Report by the Staff of the Public Utilities Commission of Ohio, Case No. 22-1094-WW-AIR (July 13, 2023) (“Staff Report”), and </w:t>
      </w:r>
      <w:r w:rsidRPr="00AA7039">
        <w:rPr>
          <w:rFonts w:ascii="Times New Roman" w:hAnsi="Times New Roman" w:cs="Times New Roman"/>
        </w:rPr>
        <w:t>Audit of the Application to Increase Rates of Aqua Ohio Wastewater, Inc. for the Period J</w:t>
      </w:r>
      <w:r w:rsidRPr="00AA7039" w:rsidR="00711C95">
        <w:rPr>
          <w:rFonts w:ascii="Times New Roman" w:hAnsi="Times New Roman" w:cs="Times New Roman"/>
        </w:rPr>
        <w:t>uly 1</w:t>
      </w:r>
      <w:r w:rsidRPr="00AA7039">
        <w:rPr>
          <w:rFonts w:ascii="Times New Roman" w:hAnsi="Times New Roman" w:cs="Times New Roman"/>
        </w:rPr>
        <w:t>, 202</w:t>
      </w:r>
      <w:r w:rsidRPr="00AA7039" w:rsidR="00711C95">
        <w:rPr>
          <w:rFonts w:ascii="Times New Roman" w:hAnsi="Times New Roman" w:cs="Times New Roman"/>
        </w:rPr>
        <w:t>2</w:t>
      </w:r>
      <w:r w:rsidRPr="00AA7039">
        <w:rPr>
          <w:rFonts w:ascii="Times New Roman" w:hAnsi="Times New Roman" w:cs="Times New Roman"/>
        </w:rPr>
        <w:t xml:space="preserve"> through </w:t>
      </w:r>
      <w:r w:rsidRPr="00AA7039" w:rsidR="00711C95">
        <w:rPr>
          <w:rFonts w:ascii="Times New Roman" w:hAnsi="Times New Roman" w:cs="Times New Roman"/>
        </w:rPr>
        <w:t>June 30</w:t>
      </w:r>
      <w:r w:rsidRPr="00AA7039">
        <w:rPr>
          <w:rFonts w:ascii="Times New Roman" w:hAnsi="Times New Roman" w:cs="Times New Roman"/>
        </w:rPr>
        <w:t>, 202</w:t>
      </w:r>
      <w:r w:rsidRPr="00AA7039" w:rsidR="00711C95">
        <w:rPr>
          <w:rFonts w:ascii="Times New Roman" w:hAnsi="Times New Roman" w:cs="Times New Roman"/>
        </w:rPr>
        <w:t>3</w:t>
      </w:r>
      <w:r w:rsidRPr="00AA7039">
        <w:rPr>
          <w:rFonts w:ascii="Times New Roman" w:hAnsi="Times New Roman" w:cs="Times New Roman"/>
        </w:rPr>
        <w:t xml:space="preserve"> (“Audit Report”), </w:t>
      </w:r>
      <w:r w:rsidRPr="00AA7039" w:rsidR="00711C95">
        <w:rPr>
          <w:rFonts w:ascii="Times New Roman" w:hAnsi="Times New Roman" w:cs="Times New Roman"/>
        </w:rPr>
        <w:t>Exhibit L</w:t>
      </w:r>
      <w:r w:rsidRPr="00AA7039">
        <w:rPr>
          <w:rFonts w:ascii="Times New Roman" w:hAnsi="Times New Roman" w:cs="Times New Roman"/>
        </w:rPr>
        <w:t>A</w:t>
      </w:r>
      <w:r w:rsidRPr="00AA7039" w:rsidR="00711C95">
        <w:rPr>
          <w:rFonts w:ascii="Times New Roman" w:hAnsi="Times New Roman" w:cs="Times New Roman"/>
        </w:rPr>
        <w:t>-1</w:t>
      </w:r>
      <w:r w:rsidRPr="00AA7039">
        <w:rPr>
          <w:rFonts w:ascii="Times New Roman" w:hAnsi="Times New Roman" w:cs="Times New Roman"/>
        </w:rPr>
        <w:t>, Case No. 2</w:t>
      </w:r>
      <w:r w:rsidRPr="00AA7039" w:rsidR="00711C95">
        <w:rPr>
          <w:rFonts w:ascii="Times New Roman" w:hAnsi="Times New Roman" w:cs="Times New Roman"/>
        </w:rPr>
        <w:t>2</w:t>
      </w:r>
      <w:r w:rsidRPr="00AA7039">
        <w:rPr>
          <w:rFonts w:ascii="Times New Roman" w:hAnsi="Times New Roman" w:cs="Times New Roman"/>
        </w:rPr>
        <w:t>-</w:t>
      </w:r>
      <w:r w:rsidRPr="00AA7039" w:rsidR="00711C95">
        <w:rPr>
          <w:rFonts w:ascii="Times New Roman" w:hAnsi="Times New Roman" w:cs="Times New Roman"/>
        </w:rPr>
        <w:t>1094</w:t>
      </w:r>
      <w:r w:rsidRPr="00AA7039">
        <w:rPr>
          <w:rFonts w:ascii="Times New Roman" w:hAnsi="Times New Roman" w:cs="Times New Roman"/>
        </w:rPr>
        <w:t>-WW-AIR (</w:t>
      </w:r>
      <w:r w:rsidRPr="00AA7039" w:rsidR="00711C95">
        <w:rPr>
          <w:rFonts w:ascii="Times New Roman" w:hAnsi="Times New Roman" w:cs="Times New Roman"/>
        </w:rPr>
        <w:t>July 13</w:t>
      </w:r>
      <w:r w:rsidRPr="00AA7039">
        <w:rPr>
          <w:rFonts w:ascii="Times New Roman" w:hAnsi="Times New Roman" w:cs="Times New Roman"/>
        </w:rPr>
        <w:t>, 202</w:t>
      </w:r>
      <w:r w:rsidRPr="00AA7039" w:rsidR="00711C95">
        <w:rPr>
          <w:rFonts w:ascii="Times New Roman" w:hAnsi="Times New Roman" w:cs="Times New Roman"/>
        </w:rPr>
        <w:t>3</w:t>
      </w:r>
      <w:r w:rsidRPr="00AA7039">
        <w:rPr>
          <w:rFonts w:ascii="Times New Roman" w:hAnsi="Times New Roman" w:cs="Times New Roman"/>
        </w:rPr>
        <w:t>).</w:t>
      </w:r>
    </w:p>
  </w:footnote>
  <w:footnote w:id="5">
    <w:p w:rsidR="00503BD4" w:rsidRPr="00AA7039" w:rsidP="00AA7039" w14:paraId="4D53A989" w14:textId="5554A732">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PUCO Staff Report, at 8.</w:t>
      </w:r>
    </w:p>
  </w:footnote>
  <w:footnote w:id="6">
    <w:p w:rsidR="00E10886" w:rsidRPr="00AA7039" w:rsidP="00AA7039" w14:paraId="51285D6C" w14:textId="77777777">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PUCO Staff Report, at 8.</w:t>
      </w:r>
    </w:p>
  </w:footnote>
  <w:footnote w:id="7">
    <w:p w:rsidR="00FD0E10" w:rsidRPr="00AA7039" w:rsidP="00AA7039" w14:paraId="72DCBD17" w14:textId="239B1120">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Larkin Audit Report, Case No. 22-1094-WW-AIR, dated July 13,</w:t>
      </w:r>
      <w:r w:rsidR="00AA7039">
        <w:rPr>
          <w:rFonts w:ascii="Times New Roman" w:hAnsi="Times New Roman" w:cs="Times New Roman"/>
        </w:rPr>
        <w:t xml:space="preserve"> </w:t>
      </w:r>
      <w:r w:rsidRPr="00AA7039">
        <w:rPr>
          <w:rFonts w:ascii="Times New Roman" w:hAnsi="Times New Roman" w:cs="Times New Roman"/>
        </w:rPr>
        <w:t>2023, 2022, pages 5-16 through 5-18.</w:t>
      </w:r>
    </w:p>
  </w:footnote>
  <w:footnote w:id="8">
    <w:p w:rsidR="00FD0E10" w:rsidRPr="00AA7039" w:rsidP="00AA7039" w14:paraId="194F0156" w14:textId="77777777">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Larkin Audit Report, Case No. 22-1094-WW-AIR, dated July 13, 2023, pages 5-29 through 5-33.</w:t>
      </w:r>
    </w:p>
  </w:footnote>
  <w:footnote w:id="9">
    <w:p w:rsidR="00FD0E10" w:rsidRPr="00AA7039" w:rsidP="00AA7039" w14:paraId="06F2FBF7" w14:textId="77777777">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Larkin Audit Report, Case No. 22-1094-WW-AIR, dated July 13, 2023, page 5-23.</w:t>
      </w:r>
    </w:p>
  </w:footnote>
  <w:footnote w:id="10">
    <w:p w:rsidR="006A70BC" w:rsidRPr="00AA7039" w:rsidP="00AA7039" w14:paraId="7D870004" w14:textId="77777777">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Larkin Audit Report, Case No. 22-1094-WW-AIR, dated July 13, 2023, page 5-26.</w:t>
      </w:r>
    </w:p>
  </w:footnote>
  <w:footnote w:id="11">
    <w:p w:rsidR="00AD1532" w:rsidRPr="00AA7039" w:rsidP="00AA7039" w14:paraId="1FE018A7" w14:textId="2106EBE6">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Larkin Audit Report, Case No. 22-1094-WW-AIR, dated July 13, 2023, pages 3-6 through 3-7, and 3-22, related to Adjustment Nos. B-1 through B-3 to rate base, and C-1 through C-2 to operating income.</w:t>
      </w:r>
    </w:p>
  </w:footnote>
  <w:footnote w:id="12">
    <w:p w:rsidR="00AD1532" w:rsidRPr="00AA7039" w:rsidP="00AA7039" w14:paraId="7621382A" w14:textId="2194974B">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Larkin Audit Report, Case No. 22-1094-WW-AIR, dated July 13, 2023, pages 3-7 through 3-8, and 3-22, related to Adjustment Nos. B-4 through B-7 to rate base, and C-3 through C-4 to operating income.</w:t>
      </w:r>
    </w:p>
  </w:footnote>
  <w:footnote w:id="13">
    <w:p w:rsidR="00AD1532" w:rsidRPr="00AA7039" w:rsidP="00AA7039" w14:paraId="045176C6" w14:textId="68571F8A">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Larkin Audit Report, Case No. 22-1094-WW-AIR, dated July 13, 2023, page 3-23 related to Adjustment No. C-5 to operating income.</w:t>
      </w:r>
    </w:p>
  </w:footnote>
  <w:footnote w:id="14">
    <w:p w:rsidR="00AD1532" w:rsidRPr="00AA7039" w:rsidP="00AA7039" w14:paraId="55135770" w14:textId="7161E0D9">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Larkin Audit Report, Case No. 22-1094-WW-AIR, dated July 13, 2023, page 3-23 through 3-24 related to Adjustment No. C-6 to operating income.</w:t>
      </w:r>
    </w:p>
  </w:footnote>
  <w:footnote w:id="15">
    <w:p w:rsidR="00AD1532" w:rsidRPr="00AA7039" w:rsidP="00AA7039" w14:paraId="5624C3AE" w14:textId="52FBDE5D">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Larkin Audit Report, Case No. 22-1094-WW-AIR, dated July 13, 2023, page 3-25 related to Adjustment No. C-7 to operating income.</w:t>
      </w:r>
    </w:p>
  </w:footnote>
  <w:footnote w:id="16">
    <w:p w:rsidR="00AD1532" w:rsidRPr="00AA7039" w:rsidP="00AA7039" w14:paraId="5B73DAAD" w14:textId="77777777">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Larkin Audit Report, Case No. 22-1094-WW-AIR, dated July 13, 2023, page 3-26 related to Adjustment No. C-8 to operating income.</w:t>
      </w:r>
    </w:p>
  </w:footnote>
  <w:footnote w:id="17">
    <w:p w:rsidR="00AD1532" w:rsidRPr="00AA7039" w:rsidP="00AA7039" w14:paraId="393AFF10" w14:textId="238E879A">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Larkin Audit Report, Case No. 22-1094-WW-AIR, dated July 13, 2023, page 3-26 through 3-27 related to Adjustment No. C-9 to operating income.</w:t>
      </w:r>
    </w:p>
  </w:footnote>
  <w:footnote w:id="18">
    <w:p w:rsidR="00AD1532" w:rsidRPr="00AA7039" w:rsidP="00AA7039" w14:paraId="6F96A9BF" w14:textId="2DF4F56A">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Larkin Audit Report, Case No. 22-1094-WW-AIR, dated July 13, 2023, page 3-27 related to Adjustment No. C-10 to operating income.</w:t>
      </w:r>
    </w:p>
  </w:footnote>
  <w:footnote w:id="19">
    <w:p w:rsidR="00AD1532" w:rsidRPr="00AA7039" w:rsidP="00AA7039" w14:paraId="71F30774" w14:textId="03940668">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Larkin Audit Report, Case No. 22-1094-WW-AIR, dated July 13, 2023, page 3-28 related to Adjustment No. C-15 to operating income.</w:t>
      </w:r>
    </w:p>
  </w:footnote>
  <w:footnote w:id="20">
    <w:p w:rsidR="00151C2E" w:rsidRPr="00AA7039" w:rsidP="00AA7039" w14:paraId="53045FEF" w14:textId="46A5E4AA">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Staff Report at</w:t>
      </w:r>
      <w:r w:rsidRPr="00AA7039" w:rsidR="009479F7">
        <w:rPr>
          <w:rFonts w:ascii="Times New Roman" w:hAnsi="Times New Roman" w:cs="Times New Roman"/>
        </w:rPr>
        <w:t xml:space="preserve"> 6, referencing Larkin Audit Report, Exhibit LA-1, at 1.</w:t>
      </w:r>
    </w:p>
  </w:footnote>
  <w:footnote w:id="21">
    <w:p w:rsidR="00355D5D" w:rsidRPr="00AA7039" w:rsidP="00AA7039" w14:paraId="5CDDD999" w14:textId="3781002B">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Larkin Audit Report at page 1-1.</w:t>
      </w:r>
    </w:p>
  </w:footnote>
  <w:footnote w:id="22">
    <w:p w:rsidR="00355D5D" w:rsidRPr="00AA7039" w:rsidP="00AA7039" w14:paraId="621EA07D" w14:textId="6AF046D0">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Larkin Audit Report at page 3-1.</w:t>
      </w:r>
    </w:p>
  </w:footnote>
  <w:footnote w:id="23">
    <w:p w:rsidR="00F3266D" w:rsidRPr="00AA7039" w:rsidP="00AA7039" w14:paraId="7AA91EBB" w14:textId="1F9B94BB">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Staff Report at </w:t>
      </w:r>
      <w:r w:rsidRPr="00AA7039" w:rsidR="00B76ED6">
        <w:rPr>
          <w:rFonts w:ascii="Times New Roman" w:hAnsi="Times New Roman" w:cs="Times New Roman"/>
        </w:rPr>
        <w:t>8</w:t>
      </w:r>
      <w:r w:rsidRPr="00AA7039">
        <w:rPr>
          <w:rFonts w:ascii="Times New Roman" w:hAnsi="Times New Roman" w:cs="Times New Roman"/>
        </w:rPr>
        <w:t>.</w:t>
      </w:r>
    </w:p>
  </w:footnote>
  <w:footnote w:id="24">
    <w:p w:rsidR="00B76ED6" w:rsidRPr="00AA7039" w:rsidP="00AA7039" w14:paraId="11519EE8" w14:textId="12612FB4">
      <w:pPr>
        <w:spacing w:after="120" w:line="240" w:lineRule="auto"/>
        <w:rPr>
          <w:rFonts w:ascii="Times New Roman" w:hAnsi="Times New Roman" w:cs="Times New Roman"/>
          <w:sz w:val="20"/>
          <w:szCs w:val="20"/>
        </w:rPr>
      </w:pPr>
      <w:r w:rsidRPr="00AA7039">
        <w:rPr>
          <w:rStyle w:val="FootnoteReference"/>
          <w:rFonts w:ascii="Times New Roman" w:hAnsi="Times New Roman" w:cs="Times New Roman"/>
          <w:sz w:val="20"/>
          <w:szCs w:val="20"/>
        </w:rPr>
        <w:footnoteRef/>
      </w:r>
      <w:r w:rsidRPr="00AA7039">
        <w:rPr>
          <w:rFonts w:ascii="Times New Roman" w:hAnsi="Times New Roman" w:cs="Times New Roman"/>
          <w:sz w:val="20"/>
          <w:szCs w:val="20"/>
        </w:rPr>
        <w:t xml:space="preserve"> Direct </w:t>
      </w:r>
      <w:r w:rsidRPr="00AA7039" w:rsidR="001C5628">
        <w:rPr>
          <w:rFonts w:ascii="Times New Roman" w:hAnsi="Times New Roman" w:cs="Times New Roman"/>
          <w:sz w:val="20"/>
          <w:szCs w:val="20"/>
        </w:rPr>
        <w:t>T</w:t>
      </w:r>
      <w:r w:rsidRPr="00AA7039">
        <w:rPr>
          <w:rFonts w:ascii="Times New Roman" w:hAnsi="Times New Roman" w:cs="Times New Roman"/>
          <w:sz w:val="20"/>
          <w:szCs w:val="20"/>
        </w:rPr>
        <w:t xml:space="preserve">estimony of Zhen Zhu, Case No. </w:t>
      </w:r>
      <w:r w:rsidRPr="00AA7039">
        <w:rPr>
          <w:rFonts w:ascii="Times New Roman" w:hAnsi="Times New Roman" w:eastAsiaTheme="minorHAnsi" w:cs="Times New Roman"/>
          <w:kern w:val="0"/>
          <w:sz w:val="20"/>
          <w:szCs w:val="20"/>
          <w:lang w:eastAsia="en-US"/>
          <w14:ligatures w14:val="none"/>
        </w:rPr>
        <w:t xml:space="preserve">No 22-1094-WW-AIR, 22-1096-ST-AIR (August </w:t>
      </w:r>
      <w:r w:rsidRPr="00AA7039" w:rsidR="00FF28DD">
        <w:rPr>
          <w:rFonts w:ascii="Times New Roman" w:hAnsi="Times New Roman" w:eastAsiaTheme="minorHAnsi" w:cs="Times New Roman"/>
          <w:kern w:val="0"/>
          <w:sz w:val="20"/>
          <w:szCs w:val="20"/>
          <w:lang w:eastAsia="en-US"/>
          <w14:ligatures w14:val="none"/>
        </w:rPr>
        <w:t>16</w:t>
      </w:r>
      <w:r w:rsidRPr="00AA7039">
        <w:rPr>
          <w:rFonts w:ascii="Times New Roman" w:hAnsi="Times New Roman" w:eastAsiaTheme="minorHAnsi" w:cs="Times New Roman"/>
          <w:kern w:val="0"/>
          <w:sz w:val="20"/>
          <w:szCs w:val="20"/>
          <w:lang w:eastAsia="en-US"/>
          <w14:ligatures w14:val="none"/>
        </w:rPr>
        <w:t>, 2023).</w:t>
      </w:r>
      <w:r w:rsidRPr="00AA7039" w:rsidR="00AE4F81">
        <w:rPr>
          <w:rFonts w:ascii="Times New Roman" w:hAnsi="Times New Roman" w:eastAsiaTheme="minorHAnsi" w:cs="Times New Roman"/>
          <w:kern w:val="0"/>
          <w:sz w:val="20"/>
          <w:szCs w:val="20"/>
          <w:lang w:eastAsia="en-US"/>
          <w14:ligatures w14:val="none"/>
        </w:rPr>
        <w:t xml:space="preserve"> (Zhu </w:t>
      </w:r>
      <w:r w:rsidRPr="00AA7039" w:rsidR="001C5628">
        <w:rPr>
          <w:rFonts w:ascii="Times New Roman" w:hAnsi="Times New Roman" w:eastAsiaTheme="minorHAnsi" w:cs="Times New Roman"/>
          <w:kern w:val="0"/>
          <w:sz w:val="20"/>
          <w:szCs w:val="20"/>
          <w:lang w:eastAsia="en-US"/>
          <w14:ligatures w14:val="none"/>
        </w:rPr>
        <w:t xml:space="preserve">Direct </w:t>
      </w:r>
      <w:r w:rsidRPr="00AA7039" w:rsidR="00AE4F81">
        <w:rPr>
          <w:rFonts w:ascii="Times New Roman" w:hAnsi="Times New Roman" w:eastAsiaTheme="minorHAnsi" w:cs="Times New Roman"/>
          <w:kern w:val="0"/>
          <w:sz w:val="20"/>
          <w:szCs w:val="20"/>
          <w:lang w:eastAsia="en-US"/>
          <w14:ligatures w14:val="none"/>
        </w:rPr>
        <w:t>Testimony)</w:t>
      </w:r>
      <w:r w:rsidRPr="00AA7039" w:rsidR="00F44829">
        <w:rPr>
          <w:rFonts w:ascii="Times New Roman" w:hAnsi="Times New Roman" w:eastAsiaTheme="minorHAnsi" w:cs="Times New Roman"/>
          <w:kern w:val="0"/>
          <w:sz w:val="20"/>
          <w:szCs w:val="20"/>
          <w:lang w:eastAsia="en-US"/>
          <w14:ligatures w14:val="none"/>
        </w:rPr>
        <w:t>.</w:t>
      </w:r>
    </w:p>
  </w:footnote>
  <w:footnote w:id="25">
    <w:p w:rsidR="00F3266D" w:rsidRPr="00AA7039" w:rsidP="00AA7039" w14:paraId="450CE3F8" w14:textId="1781BE03">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Staff Report at </w:t>
      </w:r>
      <w:r w:rsidRPr="00AA7039" w:rsidR="00B76ED6">
        <w:rPr>
          <w:rFonts w:ascii="Times New Roman" w:hAnsi="Times New Roman" w:cs="Times New Roman"/>
        </w:rPr>
        <w:t>11</w:t>
      </w:r>
      <w:r w:rsidRPr="00AA7039">
        <w:rPr>
          <w:rFonts w:ascii="Times New Roman" w:hAnsi="Times New Roman" w:cs="Times New Roman"/>
        </w:rPr>
        <w:t>.</w:t>
      </w:r>
    </w:p>
  </w:footnote>
  <w:footnote w:id="26">
    <w:p w:rsidR="00F3266D" w:rsidRPr="00AA7039" w:rsidP="00AA7039" w14:paraId="1A927AA3" w14:textId="0D16BC47">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w:t>
      </w:r>
      <w:r w:rsidRPr="00AA7039">
        <w:rPr>
          <w:rFonts w:ascii="Times New Roman" w:hAnsi="Times New Roman" w:cs="Times New Roman"/>
          <w:i/>
          <w:iCs/>
        </w:rPr>
        <w:t>See</w:t>
      </w:r>
      <w:r w:rsidRPr="00AA7039">
        <w:rPr>
          <w:rFonts w:ascii="Times New Roman" w:hAnsi="Times New Roman" w:cs="Times New Roman"/>
        </w:rPr>
        <w:t xml:space="preserve">, </w:t>
      </w:r>
      <w:r w:rsidRPr="00AA7039" w:rsidR="00AE4F81">
        <w:rPr>
          <w:rFonts w:ascii="Times New Roman" w:hAnsi="Times New Roman" w:cs="Times New Roman"/>
        </w:rPr>
        <w:t>Zhu Testimon</w:t>
      </w:r>
      <w:r w:rsidRPr="00AA7039" w:rsidR="005F5374">
        <w:rPr>
          <w:rFonts w:ascii="Times New Roman" w:hAnsi="Times New Roman" w:cs="Times New Roman"/>
        </w:rPr>
        <w:t>y</w:t>
      </w:r>
      <w:r w:rsidRPr="00AA7039">
        <w:rPr>
          <w:rFonts w:ascii="Times New Roman" w:hAnsi="Times New Roman" w:cs="Times New Roman"/>
        </w:rPr>
        <w:t xml:space="preserve"> at </w:t>
      </w:r>
      <w:r w:rsidRPr="00AA7039" w:rsidR="005F5374">
        <w:rPr>
          <w:rFonts w:ascii="Times New Roman" w:hAnsi="Times New Roman" w:cs="Times New Roman"/>
        </w:rPr>
        <w:t>53, a</w:t>
      </w:r>
      <w:r w:rsidRPr="00AA7039" w:rsidR="00B76ED6">
        <w:rPr>
          <w:rFonts w:ascii="Times New Roman" w:hAnsi="Times New Roman" w:cs="Times New Roman"/>
        </w:rPr>
        <w:t>nd Exhibit 10</w:t>
      </w:r>
      <w:r w:rsidRPr="00AA7039" w:rsidR="00AE4F81">
        <w:rPr>
          <w:rFonts w:ascii="Times New Roman" w:hAnsi="Times New Roman" w:cs="Times New Roman"/>
        </w:rPr>
        <w:t>.</w:t>
      </w:r>
    </w:p>
  </w:footnote>
  <w:footnote w:id="27">
    <w:p w:rsidR="000A6A64" w:rsidRPr="00AA7039" w:rsidP="00AA7039" w14:paraId="0F7DAF0D" w14:textId="1B7454CB">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Staff Report at 10.</w:t>
      </w:r>
    </w:p>
  </w:footnote>
  <w:footnote w:id="28">
    <w:p w:rsidR="000A6A64" w:rsidRPr="00AA7039" w:rsidP="00AA7039" w14:paraId="6D257059" w14:textId="5372EC75">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Staff Report at 10. </w:t>
      </w:r>
    </w:p>
  </w:footnote>
  <w:footnote w:id="29">
    <w:p w:rsidR="000A6A64" w:rsidRPr="00AA7039" w:rsidP="00AA7039" w14:paraId="7FBA2EB9" w14:textId="77777777">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w:t>
      </w:r>
      <w:r w:rsidRPr="00AA7039">
        <w:rPr>
          <w:rFonts w:ascii="Times New Roman" w:hAnsi="Times New Roman" w:cs="Times New Roman"/>
          <w:i/>
          <w:iCs/>
        </w:rPr>
        <w:t>Ibid</w:t>
      </w:r>
      <w:r w:rsidRPr="00AA7039">
        <w:rPr>
          <w:rFonts w:ascii="Times New Roman" w:hAnsi="Times New Roman" w:cs="Times New Roman"/>
        </w:rPr>
        <w:t>, Staff Schedule D-1.11.</w:t>
      </w:r>
    </w:p>
  </w:footnote>
  <w:footnote w:id="30">
    <w:p w:rsidR="00AE4F81" w:rsidRPr="00AA7039" w:rsidP="00AA7039" w14:paraId="38A80594" w14:textId="549DE9DC">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Zhu Testimony, at </w:t>
      </w:r>
      <w:r w:rsidRPr="00AA7039" w:rsidR="009F3E18">
        <w:rPr>
          <w:rFonts w:ascii="Times New Roman" w:hAnsi="Times New Roman" w:cs="Times New Roman"/>
        </w:rPr>
        <w:t>50</w:t>
      </w:r>
      <w:r w:rsidRPr="00AA7039">
        <w:rPr>
          <w:rFonts w:ascii="Times New Roman" w:hAnsi="Times New Roman" w:cs="Times New Roman"/>
        </w:rPr>
        <w:t xml:space="preserve">. </w:t>
      </w:r>
    </w:p>
  </w:footnote>
  <w:footnote w:id="31">
    <w:p w:rsidR="00F3266D" w:rsidRPr="00AA7039" w:rsidP="00AA7039" w14:paraId="00777504" w14:textId="016E07BB">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Staff Report at </w:t>
      </w:r>
      <w:r w:rsidRPr="00AA7039" w:rsidR="00AE4F81">
        <w:rPr>
          <w:rFonts w:ascii="Times New Roman" w:hAnsi="Times New Roman" w:cs="Times New Roman"/>
        </w:rPr>
        <w:t>10</w:t>
      </w:r>
      <w:r w:rsidRPr="00AA7039">
        <w:rPr>
          <w:rFonts w:ascii="Times New Roman" w:hAnsi="Times New Roman" w:cs="Times New Roman"/>
        </w:rPr>
        <w:t>.</w:t>
      </w:r>
    </w:p>
  </w:footnote>
  <w:footnote w:id="32">
    <w:p w:rsidR="00AE4F81" w:rsidRPr="00AA7039" w:rsidP="00AA7039" w14:paraId="55B1D2A1" w14:textId="4B0969FE">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Zhu Direct Testimony at </w:t>
      </w:r>
      <w:r w:rsidRPr="00AA7039" w:rsidR="009F3E18">
        <w:rPr>
          <w:rFonts w:ascii="Times New Roman" w:hAnsi="Times New Roman" w:cs="Times New Roman"/>
        </w:rPr>
        <w:t>51.</w:t>
      </w:r>
    </w:p>
  </w:footnote>
  <w:footnote w:id="33">
    <w:p w:rsidR="00AE4F81" w:rsidRPr="00AA7039" w:rsidP="00AA7039" w14:paraId="20EE1CDC" w14:textId="1B7CB923">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w:t>
      </w:r>
      <w:r w:rsidRPr="00AA7039" w:rsidR="00165615">
        <w:rPr>
          <w:rFonts w:ascii="Times New Roman" w:hAnsi="Times New Roman" w:cs="Times New Roman"/>
          <w:i/>
          <w:iCs/>
        </w:rPr>
        <w:t xml:space="preserve">See </w:t>
      </w:r>
      <w:r w:rsidRPr="00AA7039" w:rsidR="00165615">
        <w:rPr>
          <w:rFonts w:ascii="Times New Roman" w:hAnsi="Times New Roman" w:cs="Times New Roman"/>
        </w:rPr>
        <w:t>Case Nos.</w:t>
      </w:r>
      <w:r w:rsidRPr="00AA7039">
        <w:rPr>
          <w:rFonts w:ascii="Times New Roman" w:hAnsi="Times New Roman" w:cs="Times New Roman"/>
        </w:rPr>
        <w:t xml:space="preserve"> 21-0637-GA-AIR, </w:t>
      </w:r>
      <w:r w:rsidRPr="00AA7039" w:rsidR="00165615">
        <w:rPr>
          <w:rFonts w:ascii="Times New Roman" w:hAnsi="Times New Roman" w:cs="Times New Roman"/>
          <w:i/>
          <w:iCs/>
        </w:rPr>
        <w:t>et al.</w:t>
      </w:r>
      <w:r w:rsidRPr="00AA7039" w:rsidR="00755C57">
        <w:rPr>
          <w:rFonts w:ascii="Times New Roman" w:hAnsi="Times New Roman" w:cs="Times New Roman"/>
        </w:rPr>
        <w:t>, Staff Report</w:t>
      </w:r>
      <w:r w:rsidRPr="00AA7039">
        <w:rPr>
          <w:rFonts w:ascii="Times New Roman" w:hAnsi="Times New Roman" w:cs="Times New Roman"/>
        </w:rPr>
        <w:t xml:space="preserve"> </w:t>
      </w:r>
      <w:r w:rsidRPr="00AA7039" w:rsidR="00593E09">
        <w:rPr>
          <w:rFonts w:ascii="Times New Roman" w:hAnsi="Times New Roman" w:cs="Times New Roman"/>
        </w:rPr>
        <w:t xml:space="preserve">(April 6, </w:t>
      </w:r>
      <w:r w:rsidRPr="00AA7039">
        <w:rPr>
          <w:rFonts w:ascii="Times New Roman" w:hAnsi="Times New Roman" w:cs="Times New Roman"/>
        </w:rPr>
        <w:t>2022</w:t>
      </w:r>
      <w:r w:rsidRPr="00AA7039" w:rsidR="00593E09">
        <w:rPr>
          <w:rFonts w:ascii="Times New Roman" w:hAnsi="Times New Roman" w:cs="Times New Roman"/>
        </w:rPr>
        <w:t>), at</w:t>
      </w:r>
      <w:r w:rsidRPr="00AA7039">
        <w:rPr>
          <w:rFonts w:ascii="Times New Roman" w:hAnsi="Times New Roman" w:cs="Times New Roman"/>
        </w:rPr>
        <w:t xml:space="preserve"> p</w:t>
      </w:r>
      <w:r w:rsidRPr="00AA7039" w:rsidR="00593E09">
        <w:rPr>
          <w:rFonts w:ascii="Times New Roman" w:hAnsi="Times New Roman" w:cs="Times New Roman"/>
        </w:rPr>
        <w:t>.</w:t>
      </w:r>
      <w:r w:rsidRPr="00AA7039">
        <w:rPr>
          <w:rFonts w:ascii="Times New Roman" w:hAnsi="Times New Roman" w:cs="Times New Roman"/>
        </w:rPr>
        <w:t xml:space="preserve"> 26.</w:t>
      </w:r>
    </w:p>
  </w:footnote>
  <w:footnote w:id="34">
    <w:p w:rsidR="00FB24AF" w:rsidRPr="00AA7039" w:rsidP="00AA7039" w14:paraId="2A28938A" w14:textId="4688B47A">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Staff Report at 10.</w:t>
      </w:r>
    </w:p>
  </w:footnote>
  <w:footnote w:id="35">
    <w:p w:rsidR="00CE6C33" w:rsidRPr="00AA7039" w:rsidP="00AA7039" w14:paraId="1704BA02" w14:textId="3E906EF4">
      <w:pPr>
        <w:pStyle w:val="FootnoteText"/>
        <w:spacing w:after="120"/>
        <w:rPr>
          <w:rFonts w:ascii="Times New Roman" w:hAnsi="Times New Roman" w:cs="Times New Roman"/>
        </w:rPr>
      </w:pPr>
      <w:r w:rsidRPr="00AA7039">
        <w:rPr>
          <w:rStyle w:val="FootnoteReference"/>
          <w:rFonts w:ascii="Times New Roman" w:eastAsia="Segoe UI" w:hAnsi="Times New Roman" w:cs="Times New Roman"/>
        </w:rPr>
        <w:footnoteRef/>
      </w:r>
      <w:r w:rsidRPr="00AA7039">
        <w:rPr>
          <w:rFonts w:ascii="Times New Roman" w:hAnsi="Times New Roman" w:cs="Times New Roman"/>
        </w:rPr>
        <w:t xml:space="preserve"> https://www.statista.com/statistics/664840/average-market-risk-premium-usa/</w:t>
      </w:r>
      <w:r w:rsidRPr="00AA7039" w:rsidR="006A70BC">
        <w:rPr>
          <w:rFonts w:ascii="Times New Roman" w:hAnsi="Times New Roman" w:cs="Times New Roman"/>
        </w:rPr>
        <w:t>.</w:t>
      </w:r>
    </w:p>
  </w:footnote>
  <w:footnote w:id="36">
    <w:p w:rsidR="00CE6C33" w:rsidRPr="00AA7039" w:rsidP="00AA7039" w14:paraId="2B608F82" w14:textId="77777777">
      <w:pPr>
        <w:pStyle w:val="FootnoteText"/>
        <w:spacing w:after="120"/>
        <w:rPr>
          <w:rFonts w:ascii="Times New Roman" w:hAnsi="Times New Roman" w:cs="Times New Roman"/>
        </w:rPr>
      </w:pPr>
      <w:r w:rsidRPr="00AA7039">
        <w:rPr>
          <w:rStyle w:val="FootnoteReference"/>
          <w:rFonts w:ascii="Times New Roman" w:eastAsia="Segoe UI" w:hAnsi="Times New Roman" w:cs="Times New Roman"/>
        </w:rPr>
        <w:footnoteRef/>
      </w:r>
      <w:r w:rsidRPr="00AA7039">
        <w:rPr>
          <w:rFonts w:ascii="Times New Roman" w:hAnsi="Times New Roman" w:cs="Times New Roman"/>
        </w:rPr>
        <w:t xml:space="preserve"> https://seekingalpha.com/article/4571595-data-update-2-for-2023-rocky-year-equities.</w:t>
      </w:r>
    </w:p>
  </w:footnote>
  <w:footnote w:id="37">
    <w:p w:rsidR="00CE6C33" w:rsidRPr="00AA7039" w:rsidP="00AA7039" w14:paraId="326E2B38" w14:textId="45FD6A12">
      <w:pPr>
        <w:pStyle w:val="FootnoteText"/>
        <w:spacing w:after="120"/>
        <w:rPr>
          <w:rFonts w:ascii="Times New Roman" w:hAnsi="Times New Roman" w:cs="Times New Roman"/>
        </w:rPr>
      </w:pPr>
      <w:r w:rsidRPr="00AA7039">
        <w:rPr>
          <w:rStyle w:val="FootnoteReference"/>
          <w:rFonts w:ascii="Times New Roman" w:eastAsia="Segoe UI" w:hAnsi="Times New Roman" w:cs="Times New Roman"/>
        </w:rPr>
        <w:footnoteRef/>
      </w:r>
      <w:r w:rsidRPr="00AA7039">
        <w:rPr>
          <w:rFonts w:ascii="Times New Roman" w:hAnsi="Times New Roman" w:cs="Times New Roman"/>
        </w:rPr>
        <w:t xml:space="preserve"> https://papers.ssrn.com/sol3/papers.cfm?abstract_id=4407839</w:t>
      </w:r>
      <w:r w:rsidRPr="00AA7039" w:rsidR="006A70BC">
        <w:rPr>
          <w:rFonts w:ascii="Times New Roman" w:hAnsi="Times New Roman" w:cs="Times New Roman"/>
        </w:rPr>
        <w:t>.</w:t>
      </w:r>
    </w:p>
  </w:footnote>
  <w:footnote w:id="38">
    <w:p w:rsidR="00CE6C33" w:rsidRPr="00AA7039" w:rsidP="00AA7039" w14:paraId="1B696F52" w14:textId="5FFA0E74">
      <w:pPr>
        <w:pStyle w:val="FootnoteText"/>
        <w:spacing w:after="120"/>
        <w:rPr>
          <w:rFonts w:ascii="Times New Roman" w:hAnsi="Times New Roman" w:cs="Times New Roman"/>
        </w:rPr>
      </w:pPr>
      <w:r w:rsidRPr="00AA7039">
        <w:rPr>
          <w:rStyle w:val="FootnoteReference"/>
          <w:rFonts w:ascii="Times New Roman" w:eastAsia="Segoe UI" w:hAnsi="Times New Roman" w:cs="Times New Roman"/>
          <w:color w:val="000000" w:themeColor="text1"/>
        </w:rPr>
        <w:footnoteRef/>
      </w:r>
      <w:r w:rsidRPr="00AA7039">
        <w:rPr>
          <w:rFonts w:ascii="Times New Roman" w:hAnsi="Times New Roman" w:cs="Times New Roman"/>
          <w:color w:val="000000" w:themeColor="text1"/>
        </w:rPr>
        <w:t xml:space="preserve"> </w:t>
      </w:r>
      <w:r w:rsidRPr="00AA7039">
        <w:rPr>
          <w:rFonts w:ascii="Times New Roman" w:hAnsi="Times New Roman" w:cs="Times New Roman"/>
        </w:rPr>
        <w:t>https://www.kroll.com/en/insights/publications/cost-of-capital</w:t>
      </w:r>
      <w:r w:rsidRPr="00AA7039" w:rsidR="006A70BC">
        <w:rPr>
          <w:rFonts w:ascii="Times New Roman" w:hAnsi="Times New Roman" w:cs="Times New Roman"/>
        </w:rPr>
        <w:t>.</w:t>
      </w:r>
    </w:p>
  </w:footnote>
  <w:footnote w:id="39">
    <w:p w:rsidR="00F3266D" w:rsidRPr="00AA7039" w:rsidP="00AA7039" w14:paraId="4F1A4289" w14:textId="5693DC8E">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w:t>
      </w:r>
      <w:r w:rsidRPr="00AA7039">
        <w:rPr>
          <w:rFonts w:ascii="Times New Roman" w:hAnsi="Times New Roman" w:cs="Times New Roman"/>
          <w:i/>
          <w:iCs/>
        </w:rPr>
        <w:t>See</w:t>
      </w:r>
      <w:r w:rsidRPr="00AA7039">
        <w:rPr>
          <w:rFonts w:ascii="Times New Roman" w:hAnsi="Times New Roman" w:cs="Times New Roman"/>
        </w:rPr>
        <w:t xml:space="preserve"> Staff Report at </w:t>
      </w:r>
      <w:r w:rsidRPr="00AA7039" w:rsidR="00CE6C33">
        <w:rPr>
          <w:rFonts w:ascii="Times New Roman" w:hAnsi="Times New Roman" w:cs="Times New Roman"/>
        </w:rPr>
        <w:t>11</w:t>
      </w:r>
      <w:r w:rsidRPr="00AA7039">
        <w:rPr>
          <w:rFonts w:ascii="Times New Roman" w:hAnsi="Times New Roman" w:cs="Times New Roman"/>
        </w:rPr>
        <w:t>.</w:t>
      </w:r>
    </w:p>
  </w:footnote>
  <w:footnote w:id="40">
    <w:p w:rsidR="001F6A5B" w:rsidRPr="00AA7039" w:rsidP="00AA7039" w14:paraId="7064CF20" w14:textId="37AC2960">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Zhu Direct Testimony, Exhibit 10.</w:t>
      </w:r>
    </w:p>
  </w:footnote>
  <w:footnote w:id="41">
    <w:p w:rsidR="001F6A5B" w:rsidRPr="00AA7039" w:rsidP="00AA7039" w14:paraId="6C3D13F2" w14:textId="77777777">
      <w:pPr>
        <w:pStyle w:val="FootnoteText"/>
        <w:spacing w:after="120"/>
        <w:rPr>
          <w:rFonts w:ascii="Times New Roman" w:hAnsi="Times New Roman" w:cs="Times New Roman"/>
        </w:rPr>
      </w:pPr>
      <w:r w:rsidRPr="00AA7039">
        <w:rPr>
          <w:rStyle w:val="FootnoteReference"/>
          <w:rFonts w:ascii="Times New Roman" w:eastAsia="Segoe UI" w:hAnsi="Times New Roman" w:cs="Times New Roman"/>
        </w:rPr>
        <w:footnoteRef/>
      </w:r>
      <w:r w:rsidRPr="00AA7039">
        <w:rPr>
          <w:rFonts w:ascii="Times New Roman" w:hAnsi="Times New Roman" w:cs="Times New Roman"/>
        </w:rPr>
        <w:t xml:space="preserve"> FERC Opinion No. 569-A, Order on Rehearing, (Issued May 21, 2020). Para 117, page 51.</w:t>
      </w:r>
    </w:p>
  </w:footnote>
  <w:footnote w:id="42">
    <w:p w:rsidR="001F6A5B" w:rsidRPr="00AA7039" w:rsidP="00AA7039" w14:paraId="7E33098C" w14:textId="064AF97C">
      <w:pPr>
        <w:pStyle w:val="FootnoteText"/>
        <w:spacing w:after="120"/>
        <w:rPr>
          <w:rFonts w:ascii="Times New Roman" w:hAnsi="Times New Roman" w:cs="Times New Roman"/>
          <w:i/>
          <w:iCs/>
        </w:rPr>
      </w:pPr>
      <w:r w:rsidRPr="00AA7039">
        <w:rPr>
          <w:rStyle w:val="FootnoteReference"/>
          <w:rFonts w:ascii="Times New Roman" w:hAnsi="Times New Roman" w:cs="Times New Roman"/>
        </w:rPr>
        <w:footnoteRef/>
      </w:r>
      <w:r w:rsidRPr="00AA7039">
        <w:rPr>
          <w:rFonts w:ascii="Times New Roman" w:hAnsi="Times New Roman" w:cs="Times New Roman"/>
        </w:rPr>
        <w:t xml:space="preserve"> </w:t>
      </w:r>
      <w:r w:rsidRPr="00AA7039" w:rsidR="00593E09">
        <w:rPr>
          <w:rFonts w:ascii="Times New Roman" w:hAnsi="Times New Roman" w:cs="Times New Roman"/>
        </w:rPr>
        <w:t>PUCO</w:t>
      </w:r>
      <w:r w:rsidRPr="00AA7039">
        <w:rPr>
          <w:rFonts w:ascii="Times New Roman" w:hAnsi="Times New Roman" w:cs="Times New Roman"/>
        </w:rPr>
        <w:t xml:space="preserve"> Case Nos. 21-0637-GA-AIR,</w:t>
      </w:r>
      <w:r w:rsidRPr="00AA7039" w:rsidR="00593E09">
        <w:rPr>
          <w:rFonts w:ascii="Times New Roman" w:hAnsi="Times New Roman" w:cs="Times New Roman"/>
        </w:rPr>
        <w:t xml:space="preserve"> </w:t>
      </w:r>
      <w:r w:rsidRPr="00AA7039" w:rsidR="00593E09">
        <w:rPr>
          <w:rFonts w:ascii="Times New Roman" w:hAnsi="Times New Roman" w:cs="Times New Roman"/>
          <w:i/>
          <w:iCs/>
        </w:rPr>
        <w:t>et al.</w:t>
      </w:r>
    </w:p>
  </w:footnote>
  <w:footnote w:id="43">
    <w:p w:rsidR="00F3266D" w:rsidRPr="00AA7039" w:rsidP="00AA7039" w14:paraId="36150C32" w14:textId="43D83AFA">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Staff Report at </w:t>
      </w:r>
      <w:r w:rsidRPr="00AA7039" w:rsidR="001F6A5B">
        <w:rPr>
          <w:rFonts w:ascii="Times New Roman" w:hAnsi="Times New Roman" w:cs="Times New Roman"/>
        </w:rPr>
        <w:t>11</w:t>
      </w:r>
      <w:r w:rsidRPr="00AA7039">
        <w:rPr>
          <w:rFonts w:ascii="Times New Roman" w:hAnsi="Times New Roman" w:cs="Times New Roman"/>
        </w:rPr>
        <w:t>.</w:t>
      </w:r>
    </w:p>
  </w:footnote>
  <w:footnote w:id="44">
    <w:p w:rsidR="00857909" w:rsidRPr="00AA7039" w:rsidP="00AA7039" w14:paraId="575443CD" w14:textId="17094FF6">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The Staff Report, Staff Schedule D-1.2</w:t>
      </w:r>
      <w:r w:rsidRPr="00AA7039" w:rsidR="006A70BC">
        <w:rPr>
          <w:rFonts w:ascii="Times New Roman" w:hAnsi="Times New Roman" w:cs="Times New Roman"/>
        </w:rPr>
        <w:t>.</w:t>
      </w:r>
    </w:p>
  </w:footnote>
  <w:footnote w:id="45">
    <w:p w:rsidR="00857909" w:rsidRPr="00AA7039" w:rsidP="00AA7039" w14:paraId="603BBABB" w14:textId="2193F04A">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Zhu Direct Testimony, at </w:t>
      </w:r>
      <w:r w:rsidRPr="00AA7039" w:rsidR="001D742C">
        <w:rPr>
          <w:rFonts w:ascii="Times New Roman" w:hAnsi="Times New Roman" w:cs="Times New Roman"/>
        </w:rPr>
        <w:t>56.</w:t>
      </w:r>
    </w:p>
  </w:footnote>
  <w:footnote w:id="46">
    <w:p w:rsidR="00F3266D" w:rsidRPr="00AA7039" w:rsidP="00AA7039" w14:paraId="6773C39B" w14:textId="3D840EE7">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i/>
          <w:iCs/>
        </w:rPr>
        <w:t xml:space="preserve"> See</w:t>
      </w:r>
      <w:r w:rsidRPr="00AA7039">
        <w:rPr>
          <w:rFonts w:ascii="Times New Roman" w:hAnsi="Times New Roman" w:cs="Times New Roman"/>
        </w:rPr>
        <w:t xml:space="preserve">, </w:t>
      </w:r>
      <w:r w:rsidRPr="00AA7039">
        <w:rPr>
          <w:rFonts w:ascii="Times New Roman" w:hAnsi="Times New Roman" w:cs="Times New Roman"/>
          <w:i/>
          <w:iCs/>
        </w:rPr>
        <w:t>In re Application of Aqua Ohio, Inc. for Authority to Assess a System Improvement Charge</w:t>
      </w:r>
      <w:r w:rsidRPr="00AA7039">
        <w:rPr>
          <w:rFonts w:ascii="Times New Roman" w:hAnsi="Times New Roman" w:cs="Times New Roman"/>
        </w:rPr>
        <w:t xml:space="preserve">, Case No. 18-0337-WW-SIC, 3.66% increase approved (February 6, 2019); </w:t>
      </w:r>
      <w:r w:rsidRPr="00AA7039">
        <w:rPr>
          <w:rFonts w:ascii="Times New Roman" w:hAnsi="Times New Roman" w:cs="Times New Roman"/>
          <w:i/>
          <w:iCs/>
        </w:rPr>
        <w:t>In re Application of Aqua Ohio, Inc. for Authority to Assess a System Improvement Charge</w:t>
      </w:r>
      <w:r w:rsidRPr="00AA7039">
        <w:rPr>
          <w:rFonts w:ascii="Times New Roman" w:hAnsi="Times New Roman" w:cs="Times New Roman"/>
        </w:rPr>
        <w:t xml:space="preserve">, Case No. 19-0567-WW-SIC, 3.733% increase approved (October 23, 2019); </w:t>
      </w:r>
      <w:r w:rsidRPr="00AA7039">
        <w:rPr>
          <w:rFonts w:ascii="Times New Roman" w:hAnsi="Times New Roman" w:cs="Times New Roman"/>
          <w:i/>
          <w:iCs/>
        </w:rPr>
        <w:t>In re Application of Aqua Ohio, Inc. for Authority to Assess a System Improvement Charge</w:t>
      </w:r>
      <w:r w:rsidRPr="00AA7039">
        <w:rPr>
          <w:rFonts w:ascii="Times New Roman" w:hAnsi="Times New Roman" w:cs="Times New Roman"/>
        </w:rPr>
        <w:t xml:space="preserve">, Case No. 20-0532-WW-SIC, 3.498% increase approved (September 23, 2020); </w:t>
      </w:r>
      <w:r w:rsidRPr="00AA7039" w:rsidR="00857909">
        <w:rPr>
          <w:rFonts w:ascii="Times New Roman" w:hAnsi="Times New Roman" w:cs="Times New Roman"/>
          <w:i/>
          <w:iCs/>
        </w:rPr>
        <w:t xml:space="preserve">In </w:t>
      </w:r>
      <w:r w:rsidRPr="00AA7039" w:rsidR="006A70BC">
        <w:rPr>
          <w:rFonts w:ascii="Times New Roman" w:hAnsi="Times New Roman" w:cs="Times New Roman"/>
          <w:i/>
          <w:iCs/>
        </w:rPr>
        <w:t>r</w:t>
      </w:r>
      <w:r w:rsidRPr="00AA7039" w:rsidR="00857909">
        <w:rPr>
          <w:rFonts w:ascii="Times New Roman" w:hAnsi="Times New Roman" w:cs="Times New Roman"/>
          <w:i/>
          <w:iCs/>
        </w:rPr>
        <w:t>e the Matter of the Application of Aqua Ohio, Inc. to Increase its Rates and Charges for Its Waterworks Service,</w:t>
      </w:r>
      <w:r w:rsidRPr="00AA7039" w:rsidR="00857909">
        <w:rPr>
          <w:rFonts w:ascii="Times New Roman" w:hAnsi="Times New Roman" w:cs="Times New Roman"/>
        </w:rPr>
        <w:t xml:space="preserve"> Case No. 21-595-WW-AIR (June 28, 2021).</w:t>
      </w:r>
    </w:p>
  </w:footnote>
  <w:footnote w:id="47">
    <w:p w:rsidR="00E567E2" w:rsidRPr="00AA7039" w:rsidP="00AA7039" w14:paraId="63B8029A" w14:textId="3A23E6DB">
      <w:pPr>
        <w:pStyle w:val="FootnoteText"/>
        <w:spacing w:after="120"/>
        <w:rPr>
          <w:rFonts w:ascii="Times New Roman" w:hAnsi="Times New Roman" w:cs="Times New Roman"/>
          <w:b/>
          <w:bCs/>
        </w:rPr>
      </w:pPr>
      <w:r w:rsidRPr="00AA7039">
        <w:rPr>
          <w:rStyle w:val="FootnoteReference"/>
          <w:rFonts w:ascii="Times New Roman" w:hAnsi="Times New Roman" w:cs="Times New Roman"/>
        </w:rPr>
        <w:footnoteRef/>
      </w:r>
      <w:r w:rsidRPr="00AA7039">
        <w:rPr>
          <w:rFonts w:ascii="Times New Roman" w:hAnsi="Times New Roman" w:cs="Times New Roman"/>
        </w:rPr>
        <w:t xml:space="preserve"> Staff Report at </w:t>
      </w:r>
      <w:r w:rsidRPr="00AA7039" w:rsidR="00BB5866">
        <w:rPr>
          <w:rFonts w:ascii="Times New Roman" w:hAnsi="Times New Roman" w:cs="Times New Roman"/>
        </w:rPr>
        <w:t>11</w:t>
      </w:r>
      <w:r w:rsidRPr="00AA7039">
        <w:rPr>
          <w:rFonts w:ascii="Times New Roman" w:hAnsi="Times New Roman" w:cs="Times New Roman"/>
        </w:rPr>
        <w:t>.</w:t>
      </w:r>
    </w:p>
  </w:footnote>
  <w:footnote w:id="48">
    <w:p w:rsidR="00A80816" w:rsidRPr="00AA7039" w:rsidP="00AA7039" w14:paraId="4869530A" w14:textId="77777777">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Staff Report at 13.</w:t>
      </w:r>
    </w:p>
  </w:footnote>
  <w:footnote w:id="49">
    <w:p w:rsidR="00A80816" w:rsidRPr="00AA7039" w:rsidP="00AA7039" w14:paraId="0BA371B7" w14:textId="1EB84FF0">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w:t>
      </w:r>
      <w:r w:rsidRPr="00AA7039" w:rsidR="00967C48">
        <w:rPr>
          <w:rFonts w:ascii="Times New Roman" w:hAnsi="Times New Roman" w:cs="Times New Roman"/>
        </w:rPr>
        <w:t>21-595</w:t>
      </w:r>
      <w:r w:rsidRPr="00AA7039">
        <w:rPr>
          <w:rFonts w:ascii="Times New Roman" w:hAnsi="Times New Roman" w:cs="Times New Roman"/>
        </w:rPr>
        <w:t xml:space="preserve">-WW-AIR, </w:t>
      </w:r>
      <w:r w:rsidRPr="00AA7039">
        <w:rPr>
          <w:rFonts w:ascii="Times New Roman" w:hAnsi="Times New Roman" w:cs="Times New Roman"/>
          <w:i/>
          <w:iCs/>
        </w:rPr>
        <w:t>Stipulation and Recommendation</w:t>
      </w:r>
      <w:r w:rsidRPr="00AA7039" w:rsidR="004A3D3B">
        <w:rPr>
          <w:rFonts w:ascii="Times New Roman" w:hAnsi="Times New Roman" w:cs="Times New Roman"/>
          <w:i/>
          <w:iCs/>
        </w:rPr>
        <w:t xml:space="preserve"> at ¶5-6</w:t>
      </w:r>
      <w:r w:rsidRPr="00AA7039">
        <w:rPr>
          <w:rFonts w:ascii="Times New Roman" w:hAnsi="Times New Roman" w:cs="Times New Roman"/>
          <w:i/>
          <w:iCs/>
        </w:rPr>
        <w:t xml:space="preserve"> </w:t>
      </w:r>
      <w:r w:rsidRPr="00AA7039">
        <w:rPr>
          <w:rFonts w:ascii="Times New Roman" w:hAnsi="Times New Roman" w:cs="Times New Roman"/>
        </w:rPr>
        <w:t>(6/16/22).</w:t>
      </w:r>
    </w:p>
  </w:footnote>
  <w:footnote w:id="50">
    <w:p w:rsidR="00A80816" w:rsidRPr="00AA7039" w:rsidP="00AA7039" w14:paraId="184E2D1C" w14:textId="7F97B7D0">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PUCO, Rising energy prices in 2023 (Accessed 8/7/23), </w:t>
      </w:r>
      <w:hyperlink r:id="rId1" w:history="1">
        <w:r w:rsidRPr="00AA7039">
          <w:rPr>
            <w:rStyle w:val="Hyperlink"/>
            <w:rFonts w:ascii="Times New Roman" w:hAnsi="Times New Roman" w:cs="Times New Roman"/>
          </w:rPr>
          <w:t>https://puco.ohio.gov/news/rising-energy-prices-2023</w:t>
        </w:r>
      </w:hyperlink>
      <w:r w:rsidR="00044B11">
        <w:rPr>
          <w:rFonts w:ascii="Times New Roman" w:hAnsi="Times New Roman" w:cs="Times New Roman"/>
        </w:rPr>
        <w:t>.</w:t>
      </w:r>
    </w:p>
  </w:footnote>
  <w:footnote w:id="51">
    <w:p w:rsidR="00A80816" w:rsidRPr="00AA7039" w:rsidP="00AA7039" w14:paraId="0A25446C" w14:textId="437AEBCF">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Office of Community Services. [Fact Sheet]. (n.d.). </w:t>
      </w:r>
      <w:r w:rsidRPr="00AA7039">
        <w:rPr>
          <w:rFonts w:ascii="Times New Roman" w:hAnsi="Times New Roman" w:cs="Times New Roman"/>
          <w:i/>
          <w:iCs/>
        </w:rPr>
        <w:t>LIHWAP Fact Sheet</w:t>
      </w:r>
      <w:r w:rsidRPr="00AA7039">
        <w:rPr>
          <w:rFonts w:ascii="Times New Roman" w:hAnsi="Times New Roman" w:cs="Times New Roman"/>
        </w:rPr>
        <w:t xml:space="preserve"> [Fact Sheet]. Office of the Administration for Children &amp; Families. </w:t>
      </w:r>
      <w:hyperlink r:id="rId2" w:history="1">
        <w:r w:rsidRPr="00AA7039">
          <w:rPr>
            <w:rStyle w:val="Hyperlink"/>
            <w:rFonts w:ascii="Times New Roman" w:hAnsi="Times New Roman" w:cs="Times New Roman"/>
          </w:rPr>
          <w:t>https://www.acf.hhs.gov/ocs/fact-sheet/lihwap-fact-sheet</w:t>
        </w:r>
      </w:hyperlink>
      <w:r w:rsidR="00044B11">
        <w:rPr>
          <w:rFonts w:ascii="Times New Roman" w:hAnsi="Times New Roman" w:cs="Times New Roman"/>
        </w:rPr>
        <w:t>.</w:t>
      </w:r>
    </w:p>
  </w:footnote>
  <w:footnote w:id="52">
    <w:p w:rsidR="00A80816" w:rsidRPr="00AA7039" w:rsidP="00AA7039" w14:paraId="52BE8E05" w14:textId="77777777">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Aqua LIHWAP Monthly and YTD (2022 and 2023).</w:t>
      </w:r>
    </w:p>
  </w:footnote>
  <w:footnote w:id="53">
    <w:p w:rsidR="00A80816" w:rsidRPr="00AA7039" w:rsidP="00AA7039" w14:paraId="735B24CA" w14:textId="5DB54887">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Aqua Ohio’s 2023 Residential Customer Service Disconnection Data (Accessed 8/7/23), </w:t>
      </w:r>
      <w:hyperlink r:id="rId3" w:history="1">
        <w:r w:rsidRPr="00AA7039">
          <w:rPr>
            <w:rStyle w:val="Hyperlink"/>
            <w:rFonts w:ascii="Times New Roman" w:hAnsi="Times New Roman" w:cs="Times New Roman"/>
          </w:rPr>
          <w:t>https://www.aquawater.com/_assets/doc/stipulaton-summary-spreadsheet-through-q2-2023.pdf</w:t>
        </w:r>
      </w:hyperlink>
      <w:r w:rsidR="00044B11">
        <w:rPr>
          <w:rStyle w:val="Hyperlink"/>
          <w:rFonts w:ascii="Times New Roman" w:hAnsi="Times New Roman" w:cs="Times New Roman"/>
        </w:rPr>
        <w:t>.</w:t>
      </w:r>
    </w:p>
  </w:footnote>
  <w:footnote w:id="54">
    <w:p w:rsidR="00A80816" w:rsidRPr="00AA7039" w:rsidP="00AA7039" w14:paraId="0A9F4475" w14:textId="77777777">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Staff Report at 13.</w:t>
      </w:r>
    </w:p>
  </w:footnote>
  <w:footnote w:id="55">
    <w:p w:rsidR="00A80816" w:rsidRPr="00AA7039" w:rsidP="00AA7039" w14:paraId="1B1205B6" w14:textId="77777777">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Staff Report at 13.</w:t>
      </w:r>
    </w:p>
  </w:footnote>
  <w:footnote w:id="56">
    <w:p w:rsidR="00A80816" w:rsidRPr="00AA7039" w:rsidP="00AA7039" w14:paraId="1D71DC5A" w14:textId="77777777">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Staff Report at 13.</w:t>
      </w:r>
    </w:p>
  </w:footnote>
  <w:footnote w:id="57">
    <w:p w:rsidR="00A80816" w:rsidRPr="00AA7039" w:rsidP="00AA7039" w14:paraId="341F3C3E" w14:textId="77777777">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Staff Report at 13.</w:t>
      </w:r>
    </w:p>
  </w:footnote>
  <w:footnote w:id="58">
    <w:p w:rsidR="00A80816" w:rsidRPr="00AA7039" w:rsidP="00AA7039" w14:paraId="2D56DE4E" w14:textId="77777777">
      <w:pPr>
        <w:pStyle w:val="FootnoteText"/>
        <w:spacing w:after="120"/>
        <w:rPr>
          <w:rFonts w:ascii="Times New Roman" w:hAnsi="Times New Roman" w:cs="Times New Roman"/>
        </w:rPr>
      </w:pPr>
      <w:r w:rsidRPr="00AA7039">
        <w:rPr>
          <w:rStyle w:val="FootnoteReference"/>
          <w:rFonts w:ascii="Times New Roman" w:hAnsi="Times New Roman" w:cs="Times New Roman"/>
        </w:rPr>
        <w:footnoteRef/>
      </w:r>
      <w:r w:rsidRPr="00AA7039">
        <w:rPr>
          <w:rFonts w:ascii="Times New Roman" w:hAnsi="Times New Roman" w:cs="Times New Roman"/>
        </w:rPr>
        <w:t xml:space="preserve"> Staff Report at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F47" w14:paraId="31D601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F47" w14:paraId="36A66E6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F47" w14:paraId="2B8308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852F47"/>
    <w:multiLevelType w:val="hybridMultilevel"/>
    <w:tmpl w:val="D86895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341C49C1"/>
    <w:multiLevelType w:val="hybridMultilevel"/>
    <w:tmpl w:val="EFAE9388"/>
    <w:lvl w:ilvl="0">
      <w:start w:val="1"/>
      <w:numFmt w:val="bullet"/>
      <w:lvlText w:val=""/>
      <w:lvlJc w:val="left"/>
      <w:pPr>
        <w:ind w:left="1440" w:hanging="360"/>
      </w:pPr>
      <w:rPr>
        <w:rFonts w:ascii="Symbol" w:hAnsi="Symbol" w:hint="default"/>
        <w:sz w:val="24"/>
        <w:szCs w:val="24"/>
        <w:vertAlign w:val="baseline"/>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597A713B"/>
    <w:multiLevelType w:val="hybridMultilevel"/>
    <w:tmpl w:val="864A6A02"/>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0810662"/>
    <w:multiLevelType w:val="hybridMultilevel"/>
    <w:tmpl w:val="6030795C"/>
    <w:lvl w:ilvl="0">
      <w:start w:val="1"/>
      <w:numFmt w:val="upperLetter"/>
      <w:lvlText w:val="%1."/>
      <w:lvlJc w:val="left"/>
      <w:pPr>
        <w:ind w:left="1080" w:hanging="360"/>
      </w:pPr>
      <w:rPr>
        <w:rFonts w:ascii="Times New Roman Bold" w:hAnsi="Times New Roman Bold" w:cstheme="majorBidi"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A7"/>
    <w:rsid w:val="00044B11"/>
    <w:rsid w:val="00047332"/>
    <w:rsid w:val="000673F7"/>
    <w:rsid w:val="000737DC"/>
    <w:rsid w:val="00073B43"/>
    <w:rsid w:val="00077DA7"/>
    <w:rsid w:val="00077DB9"/>
    <w:rsid w:val="000A6A64"/>
    <w:rsid w:val="000E76B5"/>
    <w:rsid w:val="000E7AC0"/>
    <w:rsid w:val="00140298"/>
    <w:rsid w:val="001455B8"/>
    <w:rsid w:val="00151C2E"/>
    <w:rsid w:val="001570BB"/>
    <w:rsid w:val="00165615"/>
    <w:rsid w:val="00167C73"/>
    <w:rsid w:val="001759BE"/>
    <w:rsid w:val="00183379"/>
    <w:rsid w:val="001C5628"/>
    <w:rsid w:val="001C5F89"/>
    <w:rsid w:val="001D2F6F"/>
    <w:rsid w:val="001D742C"/>
    <w:rsid w:val="001F0D98"/>
    <w:rsid w:val="001F3BDE"/>
    <w:rsid w:val="001F6A5B"/>
    <w:rsid w:val="0020009A"/>
    <w:rsid w:val="002020EC"/>
    <w:rsid w:val="00215CD2"/>
    <w:rsid w:val="00224A6E"/>
    <w:rsid w:val="00252406"/>
    <w:rsid w:val="00255560"/>
    <w:rsid w:val="00255F7F"/>
    <w:rsid w:val="00286376"/>
    <w:rsid w:val="002961F5"/>
    <w:rsid w:val="00296A36"/>
    <w:rsid w:val="002C464E"/>
    <w:rsid w:val="002D7657"/>
    <w:rsid w:val="0031714A"/>
    <w:rsid w:val="00327BAF"/>
    <w:rsid w:val="00337F47"/>
    <w:rsid w:val="003451E8"/>
    <w:rsid w:val="00355D5D"/>
    <w:rsid w:val="00375E13"/>
    <w:rsid w:val="003C0141"/>
    <w:rsid w:val="004102C6"/>
    <w:rsid w:val="004132A0"/>
    <w:rsid w:val="00420D77"/>
    <w:rsid w:val="00427F55"/>
    <w:rsid w:val="004856D9"/>
    <w:rsid w:val="004875DB"/>
    <w:rsid w:val="004A3D3B"/>
    <w:rsid w:val="004E08EC"/>
    <w:rsid w:val="004E4B38"/>
    <w:rsid w:val="004E5117"/>
    <w:rsid w:val="005013CA"/>
    <w:rsid w:val="005031E7"/>
    <w:rsid w:val="00503BD4"/>
    <w:rsid w:val="0052521E"/>
    <w:rsid w:val="00567181"/>
    <w:rsid w:val="00572A2A"/>
    <w:rsid w:val="0058274C"/>
    <w:rsid w:val="00585B91"/>
    <w:rsid w:val="00593E09"/>
    <w:rsid w:val="005A12BB"/>
    <w:rsid w:val="005A6DB7"/>
    <w:rsid w:val="005F5374"/>
    <w:rsid w:val="005F7CD8"/>
    <w:rsid w:val="00611242"/>
    <w:rsid w:val="00637B3A"/>
    <w:rsid w:val="0065089F"/>
    <w:rsid w:val="00656C88"/>
    <w:rsid w:val="00677B22"/>
    <w:rsid w:val="00680956"/>
    <w:rsid w:val="006811E3"/>
    <w:rsid w:val="006A70BC"/>
    <w:rsid w:val="006D23AD"/>
    <w:rsid w:val="006E021F"/>
    <w:rsid w:val="00707332"/>
    <w:rsid w:val="00711C95"/>
    <w:rsid w:val="00713D12"/>
    <w:rsid w:val="00720C35"/>
    <w:rsid w:val="00735A82"/>
    <w:rsid w:val="00755C57"/>
    <w:rsid w:val="00786026"/>
    <w:rsid w:val="007A098B"/>
    <w:rsid w:val="007C6C0A"/>
    <w:rsid w:val="007E7BB4"/>
    <w:rsid w:val="007F5FC5"/>
    <w:rsid w:val="008030ED"/>
    <w:rsid w:val="00805AF4"/>
    <w:rsid w:val="00823F95"/>
    <w:rsid w:val="0084279C"/>
    <w:rsid w:val="00857909"/>
    <w:rsid w:val="00871618"/>
    <w:rsid w:val="008A3430"/>
    <w:rsid w:val="008F06FE"/>
    <w:rsid w:val="00904822"/>
    <w:rsid w:val="00915273"/>
    <w:rsid w:val="00922021"/>
    <w:rsid w:val="00924AC7"/>
    <w:rsid w:val="009347DF"/>
    <w:rsid w:val="009479F7"/>
    <w:rsid w:val="00953C93"/>
    <w:rsid w:val="00967C48"/>
    <w:rsid w:val="00977931"/>
    <w:rsid w:val="009B0776"/>
    <w:rsid w:val="009E131F"/>
    <w:rsid w:val="009F3E18"/>
    <w:rsid w:val="00A057FC"/>
    <w:rsid w:val="00A075AF"/>
    <w:rsid w:val="00A25646"/>
    <w:rsid w:val="00A449DD"/>
    <w:rsid w:val="00A5588D"/>
    <w:rsid w:val="00A717FC"/>
    <w:rsid w:val="00A72F73"/>
    <w:rsid w:val="00A80351"/>
    <w:rsid w:val="00A80816"/>
    <w:rsid w:val="00A868EE"/>
    <w:rsid w:val="00A9305F"/>
    <w:rsid w:val="00AA7039"/>
    <w:rsid w:val="00AC4DB5"/>
    <w:rsid w:val="00AD1532"/>
    <w:rsid w:val="00AE1DE5"/>
    <w:rsid w:val="00AE4F81"/>
    <w:rsid w:val="00AF03AB"/>
    <w:rsid w:val="00AF69C6"/>
    <w:rsid w:val="00B01A77"/>
    <w:rsid w:val="00B12001"/>
    <w:rsid w:val="00B1244A"/>
    <w:rsid w:val="00B76ED6"/>
    <w:rsid w:val="00BB0054"/>
    <w:rsid w:val="00BB5866"/>
    <w:rsid w:val="00BC0D5D"/>
    <w:rsid w:val="00BF5719"/>
    <w:rsid w:val="00C0511A"/>
    <w:rsid w:val="00C32FBB"/>
    <w:rsid w:val="00C332EB"/>
    <w:rsid w:val="00C7245A"/>
    <w:rsid w:val="00C7505D"/>
    <w:rsid w:val="00CC5EBE"/>
    <w:rsid w:val="00CE6C33"/>
    <w:rsid w:val="00D3465B"/>
    <w:rsid w:val="00D6213D"/>
    <w:rsid w:val="00D713BD"/>
    <w:rsid w:val="00D8451A"/>
    <w:rsid w:val="00D914BB"/>
    <w:rsid w:val="00DC7DF7"/>
    <w:rsid w:val="00DE17D6"/>
    <w:rsid w:val="00DE66B9"/>
    <w:rsid w:val="00E01EE5"/>
    <w:rsid w:val="00E061E2"/>
    <w:rsid w:val="00E0624C"/>
    <w:rsid w:val="00E10886"/>
    <w:rsid w:val="00E165DB"/>
    <w:rsid w:val="00E43223"/>
    <w:rsid w:val="00E567E2"/>
    <w:rsid w:val="00E64E42"/>
    <w:rsid w:val="00E756B6"/>
    <w:rsid w:val="00E771F9"/>
    <w:rsid w:val="00EC404A"/>
    <w:rsid w:val="00F27079"/>
    <w:rsid w:val="00F3266D"/>
    <w:rsid w:val="00F37421"/>
    <w:rsid w:val="00F44829"/>
    <w:rsid w:val="00FB0AE6"/>
    <w:rsid w:val="00FB24AF"/>
    <w:rsid w:val="00FD0E10"/>
    <w:rsid w:val="00FF28D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42A362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5A"/>
  </w:style>
  <w:style w:type="paragraph" w:styleId="Heading1">
    <w:name w:val="heading 1"/>
    <w:basedOn w:val="Normal"/>
    <w:next w:val="Normal"/>
    <w:link w:val="Heading1Char"/>
    <w:autoRedefine/>
    <w:uiPriority w:val="9"/>
    <w:qFormat/>
    <w:rsid w:val="006A70BC"/>
    <w:pPr>
      <w:keepNext/>
      <w:keepLines/>
      <w:numPr>
        <w:numId w:val="1"/>
      </w:numPr>
      <w:spacing w:after="240" w:line="240" w:lineRule="auto"/>
      <w:ind w:left="720"/>
      <w:outlineLvl w:val="0"/>
    </w:pPr>
    <w:rPr>
      <w:rFonts w:ascii="Times New Roman Bold" w:hAnsi="Times New Roman Bold" w:eastAsiaTheme="majorEastAsia" w:cstheme="majorBidi"/>
      <w:b/>
      <w:bCs/>
      <w:kern w:val="0"/>
      <w:sz w:val="24"/>
      <w:szCs w:val="28"/>
      <w:lang w:eastAsia="en-US"/>
      <w14:ligatures w14:val="none"/>
    </w:rPr>
  </w:style>
  <w:style w:type="paragraph" w:styleId="Heading2">
    <w:name w:val="heading 2"/>
    <w:basedOn w:val="Normal"/>
    <w:next w:val="Normal"/>
    <w:link w:val="Heading2Char"/>
    <w:uiPriority w:val="9"/>
    <w:unhideWhenUsed/>
    <w:qFormat/>
    <w:rsid w:val="00F3266D"/>
    <w:pPr>
      <w:keepNext/>
      <w:keepLines/>
      <w:spacing w:after="240" w:line="240" w:lineRule="auto"/>
      <w:ind w:left="1440" w:hanging="720"/>
      <w:outlineLvl w:val="1"/>
    </w:pPr>
    <w:rPr>
      <w:rFonts w:ascii="Times New Roman Bold" w:hAnsi="Times New Roman Bold" w:eastAsiaTheme="majorEastAsia" w:cstheme="majorBidi"/>
      <w:b/>
      <w:kern w:val="0"/>
      <w:sz w:val="24"/>
      <w:szCs w:val="26"/>
      <w:lang w:eastAsia="en-US"/>
      <w14:ligatures w14:val="none"/>
    </w:rPr>
  </w:style>
  <w:style w:type="paragraph" w:styleId="Heading3">
    <w:name w:val="heading 3"/>
    <w:basedOn w:val="Normal"/>
    <w:next w:val="Normal"/>
    <w:link w:val="Heading3Char"/>
    <w:uiPriority w:val="9"/>
    <w:unhideWhenUsed/>
    <w:qFormat/>
    <w:rsid w:val="00F3266D"/>
    <w:pPr>
      <w:keepNext/>
      <w:keepLines/>
      <w:spacing w:after="240" w:line="240" w:lineRule="auto"/>
      <w:outlineLvl w:val="2"/>
    </w:pPr>
    <w:rPr>
      <w:rFonts w:ascii="Times New Roman Bold" w:hAnsi="Times New Roman Bold" w:eastAsiaTheme="majorEastAsia" w:cstheme="majorBidi"/>
      <w:b/>
      <w:kern w:val="0"/>
      <w:sz w:val="24"/>
      <w:szCs w:val="24"/>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7DA7"/>
    <w:rPr>
      <w:color w:val="0000FF"/>
      <w:u w:val="single"/>
    </w:rPr>
  </w:style>
  <w:style w:type="paragraph" w:styleId="TOC1">
    <w:name w:val="toc 1"/>
    <w:basedOn w:val="Normal"/>
    <w:next w:val="Normal"/>
    <w:autoRedefine/>
    <w:uiPriority w:val="39"/>
    <w:unhideWhenUsed/>
    <w:rsid w:val="00077DA7"/>
    <w:pPr>
      <w:tabs>
        <w:tab w:val="decimal" w:leader="dot" w:pos="9360"/>
      </w:tabs>
      <w:spacing w:after="240" w:line="240" w:lineRule="auto"/>
      <w:ind w:left="720" w:hanging="720"/>
    </w:pPr>
    <w:rPr>
      <w:rFonts w:ascii="Times New Roman" w:hAnsi="Times New Roman" w:eastAsiaTheme="minorHAnsi"/>
      <w:kern w:val="0"/>
      <w:sz w:val="24"/>
      <w:lang w:eastAsia="en-US"/>
      <w14:ligatures w14:val="none"/>
    </w:rPr>
  </w:style>
  <w:style w:type="paragraph" w:styleId="TOC2">
    <w:name w:val="toc 2"/>
    <w:basedOn w:val="Normal"/>
    <w:next w:val="Normal"/>
    <w:autoRedefine/>
    <w:uiPriority w:val="39"/>
    <w:unhideWhenUsed/>
    <w:rsid w:val="00420D77"/>
    <w:pPr>
      <w:tabs>
        <w:tab w:val="left" w:pos="1440"/>
        <w:tab w:val="decimal" w:leader="dot" w:pos="9360"/>
      </w:tabs>
      <w:spacing w:after="240" w:line="240" w:lineRule="auto"/>
      <w:ind w:left="720"/>
    </w:pPr>
    <w:rPr>
      <w:rFonts w:ascii="Times New Roman" w:hAnsi="Times New Roman" w:eastAsiaTheme="majorEastAsia" w:cstheme="majorBidi"/>
      <w:bCs/>
      <w:noProof/>
      <w:color w:val="000000" w:themeColor="text1"/>
      <w:kern w:val="0"/>
      <w:sz w:val="24"/>
      <w:lang w:eastAsia="en-US"/>
      <w14:ligatures w14:val="none"/>
    </w:rPr>
  </w:style>
  <w:style w:type="paragraph" w:styleId="TOC3">
    <w:name w:val="toc 3"/>
    <w:basedOn w:val="Normal"/>
    <w:next w:val="Normal"/>
    <w:autoRedefine/>
    <w:uiPriority w:val="39"/>
    <w:unhideWhenUsed/>
    <w:rsid w:val="005031E7"/>
    <w:pPr>
      <w:tabs>
        <w:tab w:val="left" w:pos="720"/>
        <w:tab w:val="decimal" w:leader="dot" w:pos="9360"/>
      </w:tabs>
      <w:spacing w:after="240" w:line="240" w:lineRule="auto"/>
    </w:pPr>
    <w:rPr>
      <w:rFonts w:ascii="Times New Roman" w:hAnsi="Times New Roman" w:eastAsiaTheme="majorEastAsia" w:cstheme="majorBidi"/>
      <w:bCs/>
      <w:noProof/>
      <w:color w:val="000000" w:themeColor="text1"/>
      <w:kern w:val="0"/>
      <w:sz w:val="24"/>
      <w:lang w:eastAsia="en-US"/>
      <w14:ligatures w14:val="none"/>
    </w:rPr>
  </w:style>
  <w:style w:type="paragraph" w:styleId="Revision">
    <w:name w:val="Revision"/>
    <w:hidden/>
    <w:uiPriority w:val="99"/>
    <w:semiHidden/>
    <w:rsid w:val="00077DA7"/>
    <w:pPr>
      <w:spacing w:after="0" w:line="240" w:lineRule="auto"/>
    </w:pPr>
  </w:style>
  <w:style w:type="character" w:styleId="FollowedHyperlink">
    <w:name w:val="FollowedHyperlink"/>
    <w:basedOn w:val="DefaultParagraphFont"/>
    <w:uiPriority w:val="99"/>
    <w:semiHidden/>
    <w:unhideWhenUsed/>
    <w:rsid w:val="004132A0"/>
    <w:rPr>
      <w:color w:val="954F72" w:themeColor="followedHyperlink"/>
      <w:u w:val="single"/>
    </w:rPr>
  </w:style>
  <w:style w:type="character" w:customStyle="1" w:styleId="Heading1Char">
    <w:name w:val="Heading 1 Char"/>
    <w:basedOn w:val="DefaultParagraphFont"/>
    <w:link w:val="Heading1"/>
    <w:uiPriority w:val="9"/>
    <w:rsid w:val="006A70BC"/>
    <w:rPr>
      <w:rFonts w:ascii="Times New Roman Bold" w:hAnsi="Times New Roman Bold" w:eastAsiaTheme="majorEastAsia" w:cstheme="majorBidi"/>
      <w:b/>
      <w:bCs/>
      <w:kern w:val="0"/>
      <w:sz w:val="24"/>
      <w:szCs w:val="28"/>
      <w:lang w:eastAsia="en-US"/>
      <w14:ligatures w14:val="none"/>
    </w:rPr>
  </w:style>
  <w:style w:type="character" w:customStyle="1" w:styleId="Heading2Char">
    <w:name w:val="Heading 2 Char"/>
    <w:basedOn w:val="DefaultParagraphFont"/>
    <w:link w:val="Heading2"/>
    <w:uiPriority w:val="9"/>
    <w:rsid w:val="00F3266D"/>
    <w:rPr>
      <w:rFonts w:ascii="Times New Roman Bold" w:hAnsi="Times New Roman Bold" w:eastAsiaTheme="majorEastAsia" w:cstheme="majorBidi"/>
      <w:b/>
      <w:kern w:val="0"/>
      <w:sz w:val="24"/>
      <w:szCs w:val="26"/>
      <w:lang w:eastAsia="en-US"/>
      <w14:ligatures w14:val="none"/>
    </w:rPr>
  </w:style>
  <w:style w:type="character" w:customStyle="1" w:styleId="Heading3Char">
    <w:name w:val="Heading 3 Char"/>
    <w:basedOn w:val="DefaultParagraphFont"/>
    <w:link w:val="Heading3"/>
    <w:uiPriority w:val="9"/>
    <w:rsid w:val="00F3266D"/>
    <w:rPr>
      <w:rFonts w:ascii="Times New Roman Bold" w:hAnsi="Times New Roman Bold" w:eastAsiaTheme="majorEastAsia" w:cstheme="majorBidi"/>
      <w:b/>
      <w:kern w:val="0"/>
      <w:sz w:val="24"/>
      <w:szCs w:val="24"/>
      <w:lang w:eastAsia="en-US"/>
      <w14:ligatures w14:val="none"/>
    </w:rPr>
  </w:style>
  <w:style w:type="paragraph" w:styleId="FootnoteText">
    <w:name w:val="footnote text"/>
    <w:aliases w:val="ALTS FOOTNOTE,Footnote Text Cha,Footnote Text Char Char,Footnote Text Char Char Char Char,Footnote Text Char1,Footnote Text Char1 Char Char1,Footnote Text Char1 Char Char1 Char Char Char,Footnote Text Char2 Char Char Char Char1,fn,fn C,ft"/>
    <w:basedOn w:val="Normal"/>
    <w:link w:val="FootnoteTextChar"/>
    <w:unhideWhenUsed/>
    <w:qFormat/>
    <w:rsid w:val="00F3266D"/>
    <w:pPr>
      <w:spacing w:after="0" w:line="240" w:lineRule="auto"/>
    </w:pPr>
    <w:rPr>
      <w:rFonts w:eastAsiaTheme="minorHAnsi"/>
      <w:kern w:val="0"/>
      <w:sz w:val="20"/>
      <w:szCs w:val="20"/>
      <w:lang w:eastAsia="en-US"/>
      <w14:ligatures w14:val="none"/>
    </w:rPr>
  </w:style>
  <w:style w:type="character" w:customStyle="1" w:styleId="FootnoteTextChar">
    <w:name w:val="Footnote Text Char"/>
    <w:aliases w:val="ALTS FOOTNOTE Char,Footnote Text Cha Char,Footnote Text Char Char Char,Footnote Text Char Char Char Char Char,Footnote Text Char1 Char,Footnote Text Char1 Char Char1 Char,Footnote Text Char1 Char Char1 Char Char Char Char,fn Char"/>
    <w:basedOn w:val="DefaultParagraphFont"/>
    <w:link w:val="FootnoteText"/>
    <w:rsid w:val="00F3266D"/>
    <w:rPr>
      <w:rFonts w:eastAsiaTheme="minorHAnsi"/>
      <w:kern w:val="0"/>
      <w:sz w:val="20"/>
      <w:szCs w:val="20"/>
      <w:lang w:eastAsia="en-US"/>
      <w14:ligatures w14:val="none"/>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F3266D"/>
    <w:rPr>
      <w:vertAlign w:val="superscript"/>
    </w:rPr>
  </w:style>
  <w:style w:type="character" w:styleId="LineNumber">
    <w:name w:val="line number"/>
    <w:basedOn w:val="DefaultParagraphFont"/>
    <w:uiPriority w:val="99"/>
    <w:unhideWhenUsed/>
    <w:rsid w:val="000A6A64"/>
  </w:style>
  <w:style w:type="character" w:styleId="CommentReference">
    <w:name w:val="annotation reference"/>
    <w:basedOn w:val="DefaultParagraphFont"/>
    <w:uiPriority w:val="99"/>
    <w:semiHidden/>
    <w:unhideWhenUsed/>
    <w:rsid w:val="001F6A5B"/>
    <w:rPr>
      <w:sz w:val="16"/>
      <w:szCs w:val="16"/>
    </w:rPr>
  </w:style>
  <w:style w:type="paragraph" w:styleId="CommentText">
    <w:name w:val="annotation text"/>
    <w:basedOn w:val="Normal"/>
    <w:link w:val="CommentTextChar"/>
    <w:uiPriority w:val="99"/>
    <w:unhideWhenUsed/>
    <w:rsid w:val="001F6A5B"/>
    <w:pPr>
      <w:tabs>
        <w:tab w:val="left" w:pos="720"/>
      </w:tabs>
      <w:spacing w:after="0" w:line="240" w:lineRule="auto"/>
      <w:ind w:left="720" w:hanging="720"/>
    </w:pPr>
    <w:rPr>
      <w:rFonts w:ascii="Times New Roman" w:hAnsi="Times New Roman" w:eastAsiaTheme="minorHAnsi"/>
      <w:kern w:val="0"/>
      <w:sz w:val="20"/>
      <w:szCs w:val="20"/>
      <w:lang w:eastAsia="en-US"/>
      <w14:ligatures w14:val="none"/>
    </w:rPr>
  </w:style>
  <w:style w:type="character" w:customStyle="1" w:styleId="CommentTextChar">
    <w:name w:val="Comment Text Char"/>
    <w:basedOn w:val="DefaultParagraphFont"/>
    <w:link w:val="CommentText"/>
    <w:uiPriority w:val="99"/>
    <w:rsid w:val="001F6A5B"/>
    <w:rPr>
      <w:rFonts w:ascii="Times New Roman" w:hAnsi="Times New Roman" w:eastAsiaTheme="minorHAnsi"/>
      <w:kern w:val="0"/>
      <w:sz w:val="20"/>
      <w:szCs w:val="20"/>
      <w:lang w:eastAsia="en-US"/>
      <w14:ligatures w14:val="none"/>
    </w:rPr>
  </w:style>
  <w:style w:type="paragraph" w:styleId="CommentSubject">
    <w:name w:val="annotation subject"/>
    <w:basedOn w:val="CommentText"/>
    <w:next w:val="CommentText"/>
    <w:link w:val="CommentSubjectChar"/>
    <w:uiPriority w:val="99"/>
    <w:semiHidden/>
    <w:unhideWhenUsed/>
    <w:rsid w:val="00E756B6"/>
    <w:pPr>
      <w:tabs>
        <w:tab w:val="clear" w:pos="720"/>
      </w:tabs>
      <w:spacing w:after="160"/>
      <w:ind w:left="0" w:firstLine="0"/>
    </w:pPr>
    <w:rPr>
      <w:rFonts w:asciiTheme="minorHAnsi" w:eastAsiaTheme="minorEastAsia" w:hAnsiTheme="minorHAnsi"/>
      <w:b/>
      <w:bCs/>
      <w:kern w:val="2"/>
      <w:lang w:eastAsia="zh-CN"/>
      <w14:ligatures w14:val="standardContextual"/>
    </w:rPr>
  </w:style>
  <w:style w:type="character" w:customStyle="1" w:styleId="CommentSubjectChar">
    <w:name w:val="Comment Subject Char"/>
    <w:basedOn w:val="CommentTextChar"/>
    <w:link w:val="CommentSubject"/>
    <w:uiPriority w:val="99"/>
    <w:semiHidden/>
    <w:rsid w:val="00E756B6"/>
    <w:rPr>
      <w:rFonts w:ascii="Times New Roman" w:hAnsi="Times New Roman" w:eastAsiaTheme="minorHAnsi"/>
      <w:b/>
      <w:bCs/>
      <w:kern w:val="0"/>
      <w:sz w:val="20"/>
      <w:szCs w:val="20"/>
      <w:lang w:eastAsia="en-US"/>
      <w14:ligatures w14:val="none"/>
    </w:rPr>
  </w:style>
  <w:style w:type="paragraph" w:styleId="HTMLPreformatted">
    <w:name w:val="HTML Preformatted"/>
    <w:basedOn w:val="Normal"/>
    <w:link w:val="HTMLPreformattedChar"/>
    <w:rsid w:val="00BC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US"/>
      <w14:ligatures w14:val="none"/>
    </w:rPr>
  </w:style>
  <w:style w:type="character" w:customStyle="1" w:styleId="HTMLPreformattedChar">
    <w:name w:val="HTML Preformatted Char"/>
    <w:basedOn w:val="DefaultParagraphFont"/>
    <w:link w:val="HTMLPreformatted"/>
    <w:rsid w:val="00BC0D5D"/>
    <w:rPr>
      <w:rFonts w:ascii="Courier New" w:eastAsia="Times New Roman" w:hAnsi="Courier New" w:cs="Courier New"/>
      <w:kern w:val="0"/>
      <w:sz w:val="20"/>
      <w:szCs w:val="20"/>
      <w:lang w:eastAsia="en-US"/>
      <w14:ligatures w14:val="none"/>
    </w:rPr>
  </w:style>
  <w:style w:type="paragraph" w:styleId="ListParagraph">
    <w:name w:val="List Paragraph"/>
    <w:basedOn w:val="Normal"/>
    <w:uiPriority w:val="34"/>
    <w:qFormat/>
    <w:rsid w:val="00E567E2"/>
    <w:pPr>
      <w:ind w:left="720"/>
      <w:contextualSpacing/>
    </w:pPr>
  </w:style>
  <w:style w:type="paragraph" w:styleId="Header">
    <w:name w:val="header"/>
    <w:basedOn w:val="Normal"/>
    <w:link w:val="HeaderChar"/>
    <w:uiPriority w:val="99"/>
    <w:unhideWhenUsed/>
    <w:rsid w:val="00AC4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DB5"/>
  </w:style>
  <w:style w:type="paragraph" w:styleId="Footer">
    <w:name w:val="footer"/>
    <w:basedOn w:val="Normal"/>
    <w:link w:val="FooterChar"/>
    <w:uiPriority w:val="99"/>
    <w:unhideWhenUsed/>
    <w:rsid w:val="00AC4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DB5"/>
  </w:style>
  <w:style w:type="paragraph" w:styleId="EndnoteText">
    <w:name w:val="endnote text"/>
    <w:basedOn w:val="Normal"/>
    <w:link w:val="EndnoteTextChar"/>
    <w:semiHidden/>
    <w:rsid w:val="0084279C"/>
    <w:pPr>
      <w:widowControl w:val="0"/>
      <w:spacing w:after="0" w:line="240" w:lineRule="auto"/>
    </w:pPr>
    <w:rPr>
      <w:rFonts w:ascii="Courier New" w:eastAsia="Times New Roman" w:hAnsi="Courier New" w:cs="Times New Roman"/>
      <w:snapToGrid w:val="0"/>
      <w:kern w:val="0"/>
      <w:sz w:val="24"/>
      <w:szCs w:val="20"/>
      <w:lang w:eastAsia="en-US"/>
      <w14:ligatures w14:val="none"/>
    </w:rPr>
  </w:style>
  <w:style w:type="character" w:customStyle="1" w:styleId="EndnoteTextChar">
    <w:name w:val="Endnote Text Char"/>
    <w:basedOn w:val="DefaultParagraphFont"/>
    <w:link w:val="EndnoteText"/>
    <w:semiHidden/>
    <w:rsid w:val="0084279C"/>
    <w:rPr>
      <w:rFonts w:ascii="Courier New" w:eastAsia="Times New Roman" w:hAnsi="Courier New" w:cs="Times New Roman"/>
      <w:snapToGrid w:val="0"/>
      <w:kern w:val="0"/>
      <w:sz w:val="24"/>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yperlink" Target="mailto:Robert.eubanks@ohioAGO.gov" TargetMode="External" /><Relationship Id="rId17" Type="http://schemas.openxmlformats.org/officeDocument/2006/relationships/hyperlink" Target="mailto:Rhiannon.Howard@ohioAGO.gov" TargetMode="External" /><Relationship Id="rId18" Type="http://schemas.openxmlformats.org/officeDocument/2006/relationships/hyperlink" Target="mailto:Jay.agranoff@puco.ohio.gov" TargetMode="External" /><Relationship Id="rId19" Type="http://schemas.openxmlformats.org/officeDocument/2006/relationships/hyperlink" Target="mailto:clint.white@puco.ohio.gov" TargetMode="External" /><Relationship Id="rId2" Type="http://schemas.openxmlformats.org/officeDocument/2006/relationships/settings" Target="settings.xml" /><Relationship Id="rId20" Type="http://schemas.openxmlformats.org/officeDocument/2006/relationships/hyperlink" Target="mailto:Christopher.miller@icemiller.com" TargetMode="External" /><Relationship Id="rId21" Type="http://schemas.openxmlformats.org/officeDocument/2006/relationships/hyperlink" Target="mailto:Nicole.woods@icemiller.com" TargetMode="External" /><Relationship Id="rId22" Type="http://schemas.openxmlformats.org/officeDocument/2006/relationships/hyperlink" Target="mailto:lawdirectormarion@gmail.com" TargetMode="External" /><Relationship Id="rId23" Type="http://schemas.openxmlformats.org/officeDocument/2006/relationships/footer" Target="footer5.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connor.semple@occ.ohio.gov" TargetMode="External" /><Relationship Id="rId8" Type="http://schemas.openxmlformats.org/officeDocument/2006/relationships/hyperlink" Target="mailto:donald.kral@occ.ohio.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puco.ohio.gov/news/rising-energy-prices-2023" TargetMode="External" /><Relationship Id="rId2" Type="http://schemas.openxmlformats.org/officeDocument/2006/relationships/hyperlink" Target="https://www.acf.hhs.gov/ocs/fact-sheet/lihwap-fact-sheet" TargetMode="External" /><Relationship Id="rId3" Type="http://schemas.openxmlformats.org/officeDocument/2006/relationships/hyperlink" Target="https://www.aquawater.com/_assets/doc/stipulaton-summary-spreadsheet-through-q2-202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326D-273A-4B7E-8F1A-3EFFA364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6724</Words>
  <Characters>38332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2023-08-14T21:06:31Z</dcterms:created>
  <dcterms:modified xsi:type="dcterms:W3CDTF">2023-08-14T21:06:31Z</dcterms:modified>
</cp:coreProperties>
</file>