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66" w:rsidRPr="00627FE1" w:rsidRDefault="003A4466">
      <w:pPr>
        <w:jc w:val="center"/>
        <w:rPr>
          <w:b/>
        </w:rPr>
      </w:pPr>
      <w:bookmarkStart w:id="0" w:name="_GoBack"/>
      <w:bookmarkEnd w:id="0"/>
      <w:r w:rsidRPr="00627FE1">
        <w:rPr>
          <w:b/>
        </w:rPr>
        <w:t>BEFORE</w:t>
      </w:r>
    </w:p>
    <w:p w:rsidR="003A4466" w:rsidRPr="00627FE1" w:rsidRDefault="003A4466">
      <w:pPr>
        <w:jc w:val="center"/>
        <w:rPr>
          <w:b/>
        </w:rPr>
      </w:pPr>
      <w:r w:rsidRPr="00627FE1">
        <w:rPr>
          <w:b/>
        </w:rPr>
        <w:t>THE PUBLIC UTILITIES COMMISSION OF OHIO</w:t>
      </w:r>
    </w:p>
    <w:p w:rsidR="003F5DF8" w:rsidRPr="00627FE1" w:rsidRDefault="003F5DF8" w:rsidP="003F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bl>
      <w:tblPr>
        <w:tblW w:w="9092" w:type="dxa"/>
        <w:tblLook w:val="01E0" w:firstRow="1" w:lastRow="1" w:firstColumn="1" w:lastColumn="1" w:noHBand="0" w:noVBand="0"/>
      </w:tblPr>
      <w:tblGrid>
        <w:gridCol w:w="4332"/>
        <w:gridCol w:w="360"/>
        <w:gridCol w:w="4400"/>
      </w:tblGrid>
      <w:tr w:rsidR="00025A4A" w:rsidRPr="00627FE1" w:rsidTr="00025A4A">
        <w:trPr>
          <w:trHeight w:val="807"/>
        </w:trPr>
        <w:tc>
          <w:tcPr>
            <w:tcW w:w="4332" w:type="dxa"/>
            <w:shd w:val="clear" w:color="auto" w:fill="auto"/>
          </w:tcPr>
          <w:p w:rsidR="00025A4A" w:rsidRPr="00627FE1" w:rsidRDefault="00025A4A" w:rsidP="00C35A11">
            <w:pPr>
              <w:autoSpaceDE w:val="0"/>
              <w:autoSpaceDN w:val="0"/>
              <w:adjustRightInd w:val="0"/>
            </w:pPr>
            <w:r w:rsidRPr="00627FE1">
              <w:t>The Office of the Ohio Consumers’ Counsel, and</w:t>
            </w:r>
          </w:p>
          <w:p w:rsidR="00025A4A" w:rsidRPr="00627FE1" w:rsidRDefault="00025A4A" w:rsidP="00C35A11">
            <w:pPr>
              <w:autoSpaceDE w:val="0"/>
              <w:autoSpaceDN w:val="0"/>
              <w:adjustRightInd w:val="0"/>
            </w:pPr>
          </w:p>
          <w:p w:rsidR="00025A4A" w:rsidRPr="00627FE1" w:rsidRDefault="00025A4A" w:rsidP="00C35A11">
            <w:pPr>
              <w:autoSpaceDE w:val="0"/>
              <w:autoSpaceDN w:val="0"/>
              <w:adjustRightInd w:val="0"/>
            </w:pPr>
            <w:r w:rsidRPr="00627FE1">
              <w:t>Communities United for Action</w:t>
            </w:r>
          </w:p>
          <w:p w:rsidR="00025A4A" w:rsidRPr="00627FE1" w:rsidRDefault="00025A4A" w:rsidP="00C35A11">
            <w:pPr>
              <w:autoSpaceDE w:val="0"/>
              <w:autoSpaceDN w:val="0"/>
              <w:adjustRightInd w:val="0"/>
            </w:pPr>
          </w:p>
          <w:p w:rsidR="00025A4A" w:rsidRPr="00627FE1" w:rsidRDefault="00025A4A" w:rsidP="00C35A11">
            <w:pPr>
              <w:autoSpaceDE w:val="0"/>
              <w:autoSpaceDN w:val="0"/>
              <w:adjustRightInd w:val="0"/>
            </w:pPr>
            <w:r w:rsidRPr="00627FE1">
              <w:t>Complainants,</w:t>
            </w:r>
          </w:p>
          <w:p w:rsidR="00025A4A" w:rsidRPr="00627FE1" w:rsidRDefault="00025A4A" w:rsidP="00C35A11">
            <w:pPr>
              <w:autoSpaceDE w:val="0"/>
              <w:autoSpaceDN w:val="0"/>
              <w:adjustRightInd w:val="0"/>
            </w:pPr>
          </w:p>
          <w:p w:rsidR="00025A4A" w:rsidRPr="00627FE1" w:rsidRDefault="00025A4A" w:rsidP="00C35A11">
            <w:pPr>
              <w:autoSpaceDE w:val="0"/>
              <w:autoSpaceDN w:val="0"/>
              <w:adjustRightInd w:val="0"/>
            </w:pPr>
            <w:r w:rsidRPr="00627FE1">
              <w:t xml:space="preserve">v. </w:t>
            </w:r>
          </w:p>
          <w:p w:rsidR="00025A4A" w:rsidRPr="00627FE1" w:rsidRDefault="00025A4A" w:rsidP="00C35A11">
            <w:pPr>
              <w:autoSpaceDE w:val="0"/>
              <w:autoSpaceDN w:val="0"/>
              <w:adjustRightInd w:val="0"/>
            </w:pPr>
          </w:p>
          <w:p w:rsidR="00025A4A" w:rsidRPr="00627FE1" w:rsidRDefault="00025A4A" w:rsidP="00C35A11">
            <w:pPr>
              <w:autoSpaceDE w:val="0"/>
              <w:autoSpaceDN w:val="0"/>
              <w:adjustRightInd w:val="0"/>
            </w:pPr>
            <w:r w:rsidRPr="00627FE1">
              <w:t>Duke Energy Ohio, Inc.</w:t>
            </w:r>
          </w:p>
          <w:p w:rsidR="00025A4A" w:rsidRPr="00627FE1" w:rsidRDefault="00025A4A" w:rsidP="00C35A11">
            <w:pPr>
              <w:autoSpaceDE w:val="0"/>
              <w:autoSpaceDN w:val="0"/>
              <w:adjustRightInd w:val="0"/>
            </w:pPr>
          </w:p>
          <w:p w:rsidR="00025A4A" w:rsidRPr="00627FE1" w:rsidRDefault="00025A4A" w:rsidP="00C35A11">
            <w:pPr>
              <w:autoSpaceDE w:val="0"/>
              <w:autoSpaceDN w:val="0"/>
              <w:adjustRightInd w:val="0"/>
            </w:pPr>
            <w:r w:rsidRPr="00627FE1">
              <w:t>Respondent.</w:t>
            </w:r>
          </w:p>
        </w:tc>
        <w:tc>
          <w:tcPr>
            <w:tcW w:w="360" w:type="dxa"/>
            <w:shd w:val="clear" w:color="auto" w:fill="auto"/>
          </w:tcPr>
          <w:p w:rsidR="00025A4A" w:rsidRPr="00627FE1" w:rsidRDefault="00025A4A" w:rsidP="00C3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27FE1">
              <w:rPr>
                <w:rFonts w:eastAsia="Courier New"/>
              </w:rPr>
              <w:t>) ) ) ) )</w:t>
            </w:r>
          </w:p>
          <w:p w:rsidR="00025A4A" w:rsidRPr="00627FE1" w:rsidRDefault="00025A4A" w:rsidP="00C3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27FE1">
              <w:rPr>
                <w:rFonts w:eastAsia="Courier New"/>
              </w:rPr>
              <w:t>)</w:t>
            </w:r>
          </w:p>
          <w:p w:rsidR="00025A4A" w:rsidRPr="00627FE1" w:rsidRDefault="00025A4A" w:rsidP="00C3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27FE1">
              <w:rPr>
                <w:rFonts w:eastAsia="Courier New"/>
              </w:rPr>
              <w:t>)</w:t>
            </w:r>
          </w:p>
          <w:p w:rsidR="00025A4A" w:rsidRPr="00627FE1" w:rsidRDefault="00025A4A" w:rsidP="00C3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27FE1">
              <w:rPr>
                <w:rFonts w:eastAsia="Courier New"/>
              </w:rPr>
              <w:t>)</w:t>
            </w:r>
          </w:p>
          <w:p w:rsidR="00025A4A" w:rsidRPr="00627FE1" w:rsidRDefault="00025A4A" w:rsidP="00C3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27FE1">
              <w:rPr>
                <w:rFonts w:eastAsia="Courier New"/>
              </w:rPr>
              <w:t>)</w:t>
            </w:r>
          </w:p>
          <w:p w:rsidR="00025A4A" w:rsidRPr="00627FE1" w:rsidRDefault="00025A4A" w:rsidP="00C3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27FE1">
              <w:rPr>
                <w:rFonts w:eastAsia="Courier New"/>
              </w:rPr>
              <w:t>)</w:t>
            </w:r>
          </w:p>
          <w:p w:rsidR="00025A4A" w:rsidRPr="00627FE1" w:rsidRDefault="00025A4A" w:rsidP="00C3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27FE1">
              <w:rPr>
                <w:rFonts w:eastAsia="Courier New"/>
              </w:rPr>
              <w:t>)</w:t>
            </w:r>
          </w:p>
          <w:p w:rsidR="00025A4A" w:rsidRPr="00627FE1" w:rsidRDefault="00025A4A" w:rsidP="00C3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27FE1">
              <w:rPr>
                <w:rFonts w:eastAsia="Courier New"/>
              </w:rPr>
              <w:t>)</w:t>
            </w:r>
          </w:p>
          <w:p w:rsidR="00025A4A" w:rsidRPr="00627FE1" w:rsidRDefault="00025A4A" w:rsidP="00C3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27FE1">
              <w:rPr>
                <w:rFonts w:eastAsia="Courier New"/>
              </w:rPr>
              <w:t xml:space="preserve"> </w:t>
            </w:r>
          </w:p>
        </w:tc>
        <w:tc>
          <w:tcPr>
            <w:tcW w:w="4400" w:type="dxa"/>
            <w:shd w:val="clear" w:color="auto" w:fill="auto"/>
          </w:tcPr>
          <w:p w:rsidR="00025A4A" w:rsidRPr="00627FE1" w:rsidRDefault="00025A4A" w:rsidP="00C3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025A4A" w:rsidRPr="00627FE1" w:rsidRDefault="00025A4A" w:rsidP="00C3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025A4A" w:rsidRPr="00627FE1" w:rsidRDefault="00025A4A" w:rsidP="00C3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27FE1">
              <w:rPr>
                <w:rFonts w:eastAsia="Courier New"/>
              </w:rPr>
              <w:t>Case No. 15-1588-GE-CSS</w:t>
            </w:r>
          </w:p>
        </w:tc>
      </w:tr>
    </w:tbl>
    <w:p w:rsidR="003A4466" w:rsidRPr="00627FE1" w:rsidRDefault="003A4466">
      <w:bookmarkStart w:id="1" w:name="_Toc94421894"/>
    </w:p>
    <w:p w:rsidR="003A4466" w:rsidRPr="00627FE1" w:rsidRDefault="003A4466">
      <w:pPr>
        <w:pBdr>
          <w:top w:val="single" w:sz="12" w:space="1" w:color="auto"/>
        </w:pBdr>
      </w:pPr>
    </w:p>
    <w:p w:rsidR="003A4466" w:rsidRPr="00627FE1" w:rsidRDefault="00A269D6" w:rsidP="00A269D6">
      <w:pPr>
        <w:jc w:val="center"/>
        <w:rPr>
          <w:b/>
        </w:rPr>
      </w:pPr>
      <w:r w:rsidRPr="00627FE1">
        <w:rPr>
          <w:b/>
        </w:rPr>
        <w:t xml:space="preserve">REPLY TO DUKE’S MEMORANDUM CONTRA </w:t>
      </w:r>
      <w:r w:rsidR="003A4466" w:rsidRPr="00627FE1">
        <w:rPr>
          <w:b/>
        </w:rPr>
        <w:t>MOTION TO COMPEL RESPONSE</w:t>
      </w:r>
      <w:r w:rsidR="00F948A6" w:rsidRPr="00627FE1">
        <w:rPr>
          <w:b/>
        </w:rPr>
        <w:t>S</w:t>
      </w:r>
      <w:r w:rsidR="003A4466" w:rsidRPr="00627FE1">
        <w:rPr>
          <w:b/>
        </w:rPr>
        <w:t xml:space="preserve"> TO DISCOVERY</w:t>
      </w:r>
    </w:p>
    <w:p w:rsidR="003A4466" w:rsidRPr="00627FE1" w:rsidRDefault="003A4466">
      <w:pPr>
        <w:jc w:val="center"/>
        <w:rPr>
          <w:b/>
        </w:rPr>
      </w:pPr>
      <w:r w:rsidRPr="00627FE1">
        <w:rPr>
          <w:b/>
        </w:rPr>
        <w:t>BY</w:t>
      </w:r>
    </w:p>
    <w:p w:rsidR="003A4466" w:rsidRPr="00627FE1" w:rsidRDefault="003A4466">
      <w:pPr>
        <w:jc w:val="center"/>
        <w:rPr>
          <w:b/>
        </w:rPr>
      </w:pPr>
      <w:r w:rsidRPr="00627FE1">
        <w:rPr>
          <w:b/>
        </w:rPr>
        <w:t>THE OFFICE OF THE OHIO CONSUMERS’ COUNSEL</w:t>
      </w:r>
    </w:p>
    <w:p w:rsidR="003A4466" w:rsidRPr="00627FE1" w:rsidRDefault="003A4466">
      <w:pPr>
        <w:pBdr>
          <w:bottom w:val="single" w:sz="12" w:space="1" w:color="auto"/>
        </w:pBdr>
      </w:pPr>
    </w:p>
    <w:p w:rsidR="003A4466" w:rsidRPr="00627FE1" w:rsidRDefault="003A4466"/>
    <w:p w:rsidR="00EB07F2" w:rsidRPr="00627FE1" w:rsidRDefault="00EB07F2" w:rsidP="00EB07F2">
      <w:pPr>
        <w:pStyle w:val="Heading1"/>
        <w:rPr>
          <w:rFonts w:ascii="Times New Roman" w:hAnsi="Times New Roman"/>
          <w:szCs w:val="24"/>
        </w:rPr>
      </w:pPr>
      <w:bookmarkStart w:id="2" w:name="_Toc347157057"/>
      <w:bookmarkStart w:id="3" w:name="_Toc420664783"/>
      <w:bookmarkStart w:id="4" w:name="_Toc420665063"/>
      <w:bookmarkStart w:id="5" w:name="_Toc434844898"/>
      <w:bookmarkStart w:id="6" w:name="_Toc434844994"/>
      <w:r w:rsidRPr="00627FE1">
        <w:rPr>
          <w:rFonts w:ascii="Times New Roman" w:hAnsi="Times New Roman"/>
          <w:szCs w:val="24"/>
        </w:rPr>
        <w:t>I.</w:t>
      </w:r>
      <w:r w:rsidRPr="00627FE1">
        <w:rPr>
          <w:rFonts w:ascii="Times New Roman" w:hAnsi="Times New Roman"/>
          <w:szCs w:val="24"/>
        </w:rPr>
        <w:tab/>
        <w:t>INTRODUCTION</w:t>
      </w:r>
      <w:bookmarkEnd w:id="2"/>
      <w:bookmarkEnd w:id="3"/>
      <w:bookmarkEnd w:id="4"/>
      <w:bookmarkEnd w:id="5"/>
      <w:bookmarkEnd w:id="6"/>
    </w:p>
    <w:p w:rsidR="003A4466" w:rsidRPr="00627FE1" w:rsidRDefault="00EB07F2">
      <w:pPr>
        <w:spacing w:line="480" w:lineRule="auto"/>
        <w:ind w:firstLine="720"/>
      </w:pPr>
      <w:r w:rsidRPr="00627FE1">
        <w:t>T</w:t>
      </w:r>
      <w:r w:rsidR="0037244D" w:rsidRPr="00627FE1">
        <w:t xml:space="preserve">he Office of the Ohio Consumers’ Counsel (“OCC”) and Communities United for Action (collectively, “Consumer Parties”) filed </w:t>
      </w:r>
      <w:r w:rsidRPr="00627FE1">
        <w:t>this</w:t>
      </w:r>
      <w:r w:rsidR="0037244D" w:rsidRPr="00627FE1">
        <w:t xml:space="preserve"> complaint to protect residential customers from Duke Energy Ohio, Inc.’s (“Duke”) unlawful and unreasonable disconnection practices</w:t>
      </w:r>
      <w:r w:rsidRPr="00627FE1">
        <w:t>.  As allowed under</w:t>
      </w:r>
      <w:r w:rsidR="003A4466" w:rsidRPr="00627FE1">
        <w:t xml:space="preserve"> discovery law and rules</w:t>
      </w:r>
      <w:r w:rsidRPr="00627FE1">
        <w:t xml:space="preserve">, </w:t>
      </w:r>
      <w:r w:rsidR="007A2336" w:rsidRPr="00627FE1">
        <w:t xml:space="preserve">shortly after the Complaint was filed </w:t>
      </w:r>
      <w:r w:rsidRPr="00627FE1">
        <w:t xml:space="preserve">OCC </w:t>
      </w:r>
      <w:r w:rsidR="00902834" w:rsidRPr="00627FE1">
        <w:t>served</w:t>
      </w:r>
      <w:r w:rsidRPr="00627FE1">
        <w:t xml:space="preserve"> discovery on Duke</w:t>
      </w:r>
      <w:r w:rsidR="003A4466" w:rsidRPr="00627FE1">
        <w:t xml:space="preserve"> to obtain information </w:t>
      </w:r>
      <w:r w:rsidR="0037244D" w:rsidRPr="00627FE1">
        <w:t xml:space="preserve">regarding </w:t>
      </w:r>
      <w:r w:rsidRPr="00627FE1">
        <w:t>its</w:t>
      </w:r>
      <w:r w:rsidR="0037244D" w:rsidRPr="00627FE1">
        <w:t xml:space="preserve"> disconnection practices.  </w:t>
      </w:r>
      <w:r w:rsidR="00B22746" w:rsidRPr="00627FE1">
        <w:t>In its respon</w:t>
      </w:r>
      <w:r w:rsidR="00902834" w:rsidRPr="00627FE1">
        <w:t>se</w:t>
      </w:r>
      <w:r w:rsidR="00B22746" w:rsidRPr="00627FE1">
        <w:t xml:space="preserve">, </w:t>
      </w:r>
      <w:r w:rsidRPr="00627FE1">
        <w:t xml:space="preserve">Duke </w:t>
      </w:r>
      <w:r w:rsidR="00902834" w:rsidRPr="00627FE1">
        <w:t>objected</w:t>
      </w:r>
      <w:r w:rsidRPr="00627FE1">
        <w:t xml:space="preserve"> to every </w:t>
      </w:r>
      <w:r w:rsidR="00B22746" w:rsidRPr="00627FE1">
        <w:t xml:space="preserve">one of OCC’s </w:t>
      </w:r>
      <w:r w:rsidRPr="00627FE1">
        <w:t>discovery request</w:t>
      </w:r>
      <w:r w:rsidR="00B22746" w:rsidRPr="00627FE1">
        <w:t xml:space="preserve">s </w:t>
      </w:r>
      <w:r w:rsidRPr="00627FE1">
        <w:t xml:space="preserve">and refused to provide substantive responses.  After several unsuccessful attempts to get </w:t>
      </w:r>
      <w:r w:rsidR="00902834" w:rsidRPr="00627FE1">
        <w:t xml:space="preserve">substantive </w:t>
      </w:r>
      <w:r w:rsidRPr="00627FE1">
        <w:t xml:space="preserve">responses from Duke, </w:t>
      </w:r>
      <w:r w:rsidR="00B22746" w:rsidRPr="00627FE1">
        <w:t>on November 1</w:t>
      </w:r>
      <w:r w:rsidR="00D57293" w:rsidRPr="00627FE1">
        <w:t>2</w:t>
      </w:r>
      <w:r w:rsidR="00B22746" w:rsidRPr="00627FE1">
        <w:t xml:space="preserve">, 2015 </w:t>
      </w:r>
      <w:r w:rsidR="0037244D" w:rsidRPr="00627FE1">
        <w:t>OCC</w:t>
      </w:r>
      <w:r w:rsidR="003F5DF8" w:rsidRPr="00627FE1">
        <w:t xml:space="preserve"> </w:t>
      </w:r>
      <w:r w:rsidRPr="00627FE1">
        <w:t>moved</w:t>
      </w:r>
      <w:r w:rsidR="003A4466" w:rsidRPr="00627FE1">
        <w:t xml:space="preserve"> the </w:t>
      </w:r>
      <w:r w:rsidR="003F5DF8" w:rsidRPr="00627FE1">
        <w:t>P</w:t>
      </w:r>
      <w:r w:rsidR="00DA3027" w:rsidRPr="00627FE1">
        <w:t>ublic Utilities Commission of Ohio (“P</w:t>
      </w:r>
      <w:r w:rsidR="003F5DF8" w:rsidRPr="00627FE1">
        <w:t>UCO</w:t>
      </w:r>
      <w:r w:rsidR="00B22746" w:rsidRPr="00627FE1">
        <w:t>”)</w:t>
      </w:r>
      <w:r w:rsidR="003A4466" w:rsidRPr="00627FE1">
        <w:t xml:space="preserve"> for an </w:t>
      </w:r>
      <w:r w:rsidR="0037244D" w:rsidRPr="00627FE1">
        <w:t>O</w:t>
      </w:r>
      <w:r w:rsidR="003A4466" w:rsidRPr="00627FE1">
        <w:t xml:space="preserve">rder compelling </w:t>
      </w:r>
      <w:r w:rsidR="0037244D" w:rsidRPr="00627FE1">
        <w:t xml:space="preserve">Duke </w:t>
      </w:r>
      <w:r w:rsidR="003A4466" w:rsidRPr="00627FE1">
        <w:t>to fully respond to OCC</w:t>
      </w:r>
      <w:r w:rsidR="0037244D" w:rsidRPr="00627FE1">
        <w:t>’s discovery</w:t>
      </w:r>
      <w:r w:rsidR="003A4466" w:rsidRPr="00627FE1">
        <w:t xml:space="preserve">.    </w:t>
      </w:r>
    </w:p>
    <w:p w:rsidR="006F6722" w:rsidRPr="00627FE1" w:rsidRDefault="00B22746">
      <w:pPr>
        <w:spacing w:line="480" w:lineRule="auto"/>
        <w:ind w:firstLine="720"/>
      </w:pPr>
      <w:r w:rsidRPr="00627FE1">
        <w:lastRenderedPageBreak/>
        <w:t>On November 25, 2015, Duke filed a mem</w:t>
      </w:r>
      <w:r w:rsidR="006F6722" w:rsidRPr="00627FE1">
        <w:t xml:space="preserve">orandum contra OCC’s Motion to Compel.  Duke’s memorandum contra reiterates the arguments it made in previous documents filed in this case, particularly its motion for stay of discovery filed shortly after OCC propounded discovery on Duke.  The core of Duke’s position is that </w:t>
      </w:r>
      <w:r w:rsidR="006F59D7" w:rsidRPr="00627FE1">
        <w:t xml:space="preserve">it </w:t>
      </w:r>
      <w:r w:rsidR="006F6722" w:rsidRPr="00627FE1">
        <w:t xml:space="preserve">is not required to respond to OCC’s discovery while </w:t>
      </w:r>
      <w:r w:rsidR="00D51D79" w:rsidRPr="00627FE1">
        <w:t>the</w:t>
      </w:r>
      <w:r w:rsidR="006F6722" w:rsidRPr="00627FE1">
        <w:t xml:space="preserve"> motion </w:t>
      </w:r>
      <w:r w:rsidR="00BE4C16" w:rsidRPr="00627FE1">
        <w:t xml:space="preserve">to dismiss </w:t>
      </w:r>
      <w:r w:rsidR="006F6722" w:rsidRPr="00627FE1">
        <w:t>is pending</w:t>
      </w:r>
      <w:r w:rsidR="00902834" w:rsidRPr="00627FE1">
        <w:t>.</w:t>
      </w:r>
    </w:p>
    <w:p w:rsidR="003A4466" w:rsidRPr="00627FE1" w:rsidRDefault="00D51D79" w:rsidP="002518D6">
      <w:pPr>
        <w:spacing w:line="480" w:lineRule="auto"/>
        <w:ind w:firstLine="720"/>
        <w:rPr>
          <w:color w:val="000000"/>
        </w:rPr>
      </w:pPr>
      <w:r w:rsidRPr="00627FE1">
        <w:t>Duke’s position is baseless and misguided.  If Duke</w:t>
      </w:r>
      <w:r w:rsidR="00902834" w:rsidRPr="00627FE1">
        <w:t xml:space="preserve">’s position </w:t>
      </w:r>
      <w:r w:rsidRPr="00627FE1">
        <w:t>is</w:t>
      </w:r>
      <w:r w:rsidR="00902834" w:rsidRPr="00627FE1">
        <w:t xml:space="preserve"> upheld</w:t>
      </w:r>
      <w:r w:rsidRPr="00627FE1">
        <w:t xml:space="preserve">, a respondent could stonewall discovery in a complaint case </w:t>
      </w:r>
      <w:r w:rsidR="00902834" w:rsidRPr="00627FE1">
        <w:t xml:space="preserve">merely </w:t>
      </w:r>
      <w:r w:rsidRPr="00627FE1">
        <w:t xml:space="preserve">by filing a motion </w:t>
      </w:r>
      <w:r w:rsidR="00BE4C16" w:rsidRPr="00627FE1">
        <w:t>to dismiss</w:t>
      </w:r>
      <w:r w:rsidRPr="00627FE1">
        <w:t xml:space="preserve"> and waiting for the PUCO to rule on the motion.  This would frustrate Ohio law </w:t>
      </w:r>
      <w:r w:rsidR="00A32272" w:rsidRPr="00627FE1">
        <w:t>giving parties ample rights of discovery.</w:t>
      </w:r>
      <w:r w:rsidR="00A32272" w:rsidRPr="00627FE1">
        <w:rPr>
          <w:rStyle w:val="FootnoteReference"/>
        </w:rPr>
        <w:footnoteReference w:id="1"/>
      </w:r>
      <w:r w:rsidR="00A32272" w:rsidRPr="00627FE1">
        <w:t xml:space="preserve">  It would also nullify PUCO rules allowing </w:t>
      </w:r>
      <w:r w:rsidR="004E1142" w:rsidRPr="00627FE1">
        <w:t xml:space="preserve">parties to begin </w:t>
      </w:r>
      <w:r w:rsidR="00A32272" w:rsidRPr="00627FE1">
        <w:t xml:space="preserve">discovery immediately after a proceeding is commenced and </w:t>
      </w:r>
      <w:r w:rsidR="00902834" w:rsidRPr="00627FE1">
        <w:t xml:space="preserve">urging parties </w:t>
      </w:r>
      <w:r w:rsidR="00B427C9" w:rsidRPr="00627FE1">
        <w:t>to</w:t>
      </w:r>
      <w:r w:rsidR="00A32272" w:rsidRPr="00627FE1">
        <w:t xml:space="preserve"> complete</w:t>
      </w:r>
      <w:r w:rsidR="004E1142" w:rsidRPr="00627FE1">
        <w:t xml:space="preserve"> discovery</w:t>
      </w:r>
      <w:r w:rsidR="00A32272" w:rsidRPr="00627FE1">
        <w:t xml:space="preserve"> as expeditiously as possible</w:t>
      </w:r>
      <w:r w:rsidR="00902834" w:rsidRPr="00627FE1">
        <w:t>.</w:t>
      </w:r>
      <w:r w:rsidR="00B427C9" w:rsidRPr="00627FE1">
        <w:rPr>
          <w:rStyle w:val="FootnoteReference"/>
        </w:rPr>
        <w:footnoteReference w:id="2"/>
      </w:r>
      <w:r w:rsidR="00B427C9" w:rsidRPr="00627FE1">
        <w:t xml:space="preserve"> </w:t>
      </w:r>
      <w:r w:rsidR="00902834" w:rsidRPr="00627FE1">
        <w:t xml:space="preserve"> And it is contrary to the wide open scope of discovery under PUCO rules that permits parties </w:t>
      </w:r>
      <w:r w:rsidR="00B427C9" w:rsidRPr="00627FE1">
        <w:t xml:space="preserve">to </w:t>
      </w:r>
      <w:r w:rsidR="00B427C9" w:rsidRPr="00627FE1">
        <w:rPr>
          <w:color w:val="000000"/>
        </w:rPr>
        <w:t>obtain discovery of any unprivileged matter that is relevant to the subject matter of the proceeding.</w:t>
      </w:r>
      <w:r w:rsidR="00B427C9" w:rsidRPr="00627FE1">
        <w:rPr>
          <w:rStyle w:val="FootnoteReference"/>
          <w:color w:val="000000"/>
        </w:rPr>
        <w:footnoteReference w:id="3"/>
      </w:r>
      <w:r w:rsidR="00B427C9" w:rsidRPr="00627FE1">
        <w:rPr>
          <w:color w:val="000000"/>
        </w:rPr>
        <w:t xml:space="preserve">  The PUCO should grant OCC’s </w:t>
      </w:r>
      <w:r w:rsidR="00BE4C16" w:rsidRPr="00627FE1">
        <w:rPr>
          <w:color w:val="000000"/>
        </w:rPr>
        <w:t>M</w:t>
      </w:r>
      <w:r w:rsidR="00B427C9" w:rsidRPr="00627FE1">
        <w:rPr>
          <w:color w:val="000000"/>
        </w:rPr>
        <w:t xml:space="preserve">otion </w:t>
      </w:r>
      <w:r w:rsidR="00BE4C16" w:rsidRPr="00627FE1">
        <w:rPr>
          <w:color w:val="000000"/>
        </w:rPr>
        <w:t xml:space="preserve">to Compel </w:t>
      </w:r>
      <w:r w:rsidR="00B427C9" w:rsidRPr="00627FE1">
        <w:rPr>
          <w:color w:val="000000"/>
        </w:rPr>
        <w:t>and require Duke to respond to OCC’s discovery.</w:t>
      </w:r>
      <w:r w:rsidR="003A4466" w:rsidRPr="00627FE1">
        <w:t xml:space="preserve"> </w:t>
      </w:r>
    </w:p>
    <w:p w:rsidR="003A4466" w:rsidRPr="00627FE1" w:rsidRDefault="003A4466" w:rsidP="00B7068D">
      <w:pPr>
        <w:pStyle w:val="Heading1"/>
        <w:rPr>
          <w:rFonts w:ascii="Times New Roman" w:hAnsi="Times New Roman"/>
          <w:szCs w:val="24"/>
        </w:rPr>
      </w:pPr>
      <w:bookmarkStart w:id="7" w:name="_Toc347157058"/>
      <w:bookmarkStart w:id="8" w:name="_Toc420664784"/>
      <w:bookmarkStart w:id="9" w:name="_Toc420665064"/>
      <w:bookmarkStart w:id="10" w:name="_Toc434844899"/>
      <w:bookmarkStart w:id="11" w:name="_Toc434844995"/>
      <w:r w:rsidRPr="00627FE1">
        <w:rPr>
          <w:rFonts w:ascii="Times New Roman" w:hAnsi="Times New Roman"/>
          <w:szCs w:val="24"/>
        </w:rPr>
        <w:t xml:space="preserve">II. </w:t>
      </w:r>
      <w:r w:rsidRPr="00627FE1">
        <w:rPr>
          <w:rFonts w:ascii="Times New Roman" w:hAnsi="Times New Roman"/>
          <w:szCs w:val="24"/>
        </w:rPr>
        <w:tab/>
      </w:r>
      <w:bookmarkStart w:id="12" w:name="_Toc347157059"/>
      <w:bookmarkStart w:id="13" w:name="_Toc420664785"/>
      <w:bookmarkStart w:id="14" w:name="_Toc420665065"/>
      <w:bookmarkStart w:id="15" w:name="_Toc434844900"/>
      <w:bookmarkStart w:id="16" w:name="_Toc434844996"/>
      <w:bookmarkEnd w:id="7"/>
      <w:bookmarkEnd w:id="8"/>
      <w:bookmarkEnd w:id="9"/>
      <w:bookmarkEnd w:id="10"/>
      <w:bookmarkEnd w:id="11"/>
      <w:r w:rsidRPr="00627FE1">
        <w:rPr>
          <w:rFonts w:ascii="Times New Roman" w:hAnsi="Times New Roman"/>
          <w:szCs w:val="24"/>
        </w:rPr>
        <w:t>ARGUMENT</w:t>
      </w:r>
      <w:bookmarkEnd w:id="12"/>
      <w:bookmarkEnd w:id="13"/>
      <w:bookmarkEnd w:id="14"/>
      <w:bookmarkEnd w:id="15"/>
      <w:bookmarkEnd w:id="16"/>
    </w:p>
    <w:p w:rsidR="009B5235" w:rsidRPr="00627FE1" w:rsidRDefault="009B5235" w:rsidP="00627FE1">
      <w:pPr>
        <w:pStyle w:val="Heading2"/>
        <w:rPr>
          <w:rFonts w:ascii="Times New Roman" w:hAnsi="Times New Roman"/>
          <w:szCs w:val="24"/>
        </w:rPr>
      </w:pPr>
      <w:bookmarkStart w:id="17" w:name="_Toc420664786"/>
      <w:bookmarkStart w:id="18" w:name="_Toc420665066"/>
      <w:bookmarkStart w:id="19" w:name="_Toc434844901"/>
      <w:bookmarkStart w:id="20" w:name="_Toc434844997"/>
      <w:r w:rsidRPr="00627FE1">
        <w:rPr>
          <w:rFonts w:ascii="Times New Roman" w:hAnsi="Times New Roman"/>
          <w:szCs w:val="24"/>
        </w:rPr>
        <w:t>A.</w:t>
      </w:r>
      <w:r w:rsidRPr="00627FE1">
        <w:rPr>
          <w:rFonts w:ascii="Times New Roman" w:hAnsi="Times New Roman"/>
          <w:szCs w:val="24"/>
        </w:rPr>
        <w:tab/>
        <w:t>Duke’s overriding argument – that discovery should be stayed pending PUCO action on Duke’s motion to dismiss – would thwart Ohio law and PUCO rules that provide for ample discovery rights beginning when a proceeding commences.</w:t>
      </w:r>
    </w:p>
    <w:p w:rsidR="00667DFE" w:rsidRPr="00627FE1" w:rsidRDefault="00D93166" w:rsidP="00D67370">
      <w:pPr>
        <w:spacing w:line="480" w:lineRule="auto"/>
        <w:ind w:firstLine="720"/>
      </w:pPr>
      <w:r w:rsidRPr="00627FE1">
        <w:t>Duke’s overriding argument in its memorandum contra is that it does not have to r</w:t>
      </w:r>
      <w:r w:rsidR="00D57293" w:rsidRPr="00627FE1">
        <w:t>espond</w:t>
      </w:r>
      <w:r w:rsidRPr="00627FE1">
        <w:t xml:space="preserve"> to OCC’s discovery until the PUCO acts on Duke’s motion to dismiss</w:t>
      </w:r>
      <w:r w:rsidR="002518D6" w:rsidRPr="00627FE1">
        <w:t>.</w:t>
      </w:r>
      <w:r w:rsidR="002518D6" w:rsidRPr="00627FE1">
        <w:rPr>
          <w:rStyle w:val="FootnoteReference"/>
        </w:rPr>
        <w:footnoteReference w:id="4"/>
      </w:r>
      <w:r w:rsidR="002518D6" w:rsidRPr="00627FE1">
        <w:t xml:space="preserve">  </w:t>
      </w:r>
      <w:r w:rsidR="00D67370" w:rsidRPr="00627FE1">
        <w:t xml:space="preserve">Indeed, this </w:t>
      </w:r>
      <w:r w:rsidR="006F59D7" w:rsidRPr="00627FE1">
        <w:t xml:space="preserve">position </w:t>
      </w:r>
      <w:r w:rsidR="00D67370" w:rsidRPr="00627FE1">
        <w:t xml:space="preserve">was the primary cause of OCC filing the motion to compel; Duke has made </w:t>
      </w:r>
      <w:r w:rsidR="00D67370" w:rsidRPr="00627FE1">
        <w:lastRenderedPageBreak/>
        <w:t xml:space="preserve">it clear that so long as the motion to dismiss is pending, it </w:t>
      </w:r>
      <w:r w:rsidR="00B026BC" w:rsidRPr="00627FE1">
        <w:t>need not – and will</w:t>
      </w:r>
      <w:r w:rsidR="00D67370" w:rsidRPr="00627FE1">
        <w:t xml:space="preserve"> not </w:t>
      </w:r>
      <w:r w:rsidR="00B026BC" w:rsidRPr="00627FE1">
        <w:t xml:space="preserve">– </w:t>
      </w:r>
      <w:r w:rsidR="00D67370" w:rsidRPr="00627FE1">
        <w:t xml:space="preserve">respond to any discovery requests from OCC in this case.  Duke </w:t>
      </w:r>
      <w:r w:rsidR="00D57293" w:rsidRPr="00627FE1">
        <w:t xml:space="preserve">is </w:t>
      </w:r>
      <w:r w:rsidR="00D67370" w:rsidRPr="00627FE1">
        <w:t>simply not answer</w:t>
      </w:r>
      <w:r w:rsidR="00D57293" w:rsidRPr="00627FE1">
        <w:t>ing OCC’s interrogatories</w:t>
      </w:r>
      <w:r w:rsidR="00D67370" w:rsidRPr="00627FE1">
        <w:t xml:space="preserve"> while the motion to dismiss is pending.  </w:t>
      </w:r>
      <w:r w:rsidR="002518D6" w:rsidRPr="00627FE1">
        <w:t>Duke’s</w:t>
      </w:r>
      <w:r w:rsidR="00D67370" w:rsidRPr="00627FE1">
        <w:t xml:space="preserve"> position is contrary to Ohio law and PUCO rules of discovery</w:t>
      </w:r>
      <w:r w:rsidR="00610BB5" w:rsidRPr="00627FE1">
        <w:t>.</w:t>
      </w:r>
    </w:p>
    <w:p w:rsidR="00610BB5" w:rsidRPr="00627FE1" w:rsidRDefault="00610BB5" w:rsidP="009B5235">
      <w:pPr>
        <w:spacing w:line="480" w:lineRule="auto"/>
        <w:ind w:firstLine="720"/>
      </w:pPr>
      <w:r w:rsidRPr="00627FE1">
        <w:t>Ohio law grants all parties ample rights of discovery in PUCO cases.</w:t>
      </w:r>
      <w:r w:rsidRPr="00627FE1">
        <w:rPr>
          <w:rStyle w:val="FootnoteReference"/>
        </w:rPr>
        <w:footnoteReference w:id="5"/>
      </w:r>
      <w:r w:rsidRPr="00627FE1">
        <w:t xml:space="preserve">  The PUCO’s rules provide that “discovery may begin immediately after a proceeding is commenced and should be completed as expeditiously as possible.”</w:t>
      </w:r>
      <w:r w:rsidRPr="00627FE1">
        <w:rPr>
          <w:rStyle w:val="FootnoteReference"/>
        </w:rPr>
        <w:footnoteReference w:id="6"/>
      </w:r>
      <w:r w:rsidRPr="00627FE1">
        <w:t xml:space="preserve">  Further, the purpose of the PUCO’s discovery rules “is to encourage the prompt and expeditious use of prehearing discovery in order to facilitate thorough and adequate preparation for participation in commission proceedings.  These rules are also intended to minimize commission intervention in the discovery process.”</w:t>
      </w:r>
      <w:r w:rsidRPr="00627FE1">
        <w:rPr>
          <w:rStyle w:val="FootnoteReference"/>
        </w:rPr>
        <w:footnoteReference w:id="7"/>
      </w:r>
      <w:r w:rsidRPr="00627FE1">
        <w:t xml:space="preserve">  Duke’s </w:t>
      </w:r>
      <w:r w:rsidR="00D57293" w:rsidRPr="00627FE1">
        <w:t>behavior in this proceeding thwarts the intent of the discovery process and renders the PUCO’s discovery rules meaningless</w:t>
      </w:r>
      <w:r w:rsidRPr="00627FE1">
        <w:t>.</w:t>
      </w:r>
    </w:p>
    <w:p w:rsidR="00610BB5" w:rsidRPr="00627FE1" w:rsidRDefault="00610BB5" w:rsidP="009B5235">
      <w:pPr>
        <w:spacing w:line="480" w:lineRule="auto"/>
        <w:ind w:firstLine="720"/>
      </w:pPr>
      <w:r w:rsidRPr="00627FE1">
        <w:t xml:space="preserve">Under Duke’s </w:t>
      </w:r>
      <w:r w:rsidR="00FB6E07" w:rsidRPr="00627FE1">
        <w:t>flawed rationale</w:t>
      </w:r>
      <w:r w:rsidRPr="00627FE1">
        <w:t xml:space="preserve">, a respondent in a complaint case </w:t>
      </w:r>
      <w:r w:rsidR="00D93166" w:rsidRPr="00627FE1">
        <w:t xml:space="preserve">could halt discovery </w:t>
      </w:r>
      <w:r w:rsidRPr="00627FE1">
        <w:t xml:space="preserve">simply by filing a motion to dismiss.  </w:t>
      </w:r>
      <w:r w:rsidR="00D93166" w:rsidRPr="00627FE1">
        <w:t xml:space="preserve">The respondent could claim that it is under no obligation to respond to discovery requests until the PUCO acted on the motion dismiss.  This would stymie a complainant’s discovery rights under R.C. 4903.082 because, in nearly every case, the utility is the sole possessor of documents and other information essential to the complainant’s case.  The PUCO’s rules would also be hindered because discovery would not proceed promptly and expeditiously, and the </w:t>
      </w:r>
      <w:r w:rsidR="00D93166" w:rsidRPr="00627FE1">
        <w:lastRenderedPageBreak/>
        <w:t xml:space="preserve">PUCO would be drawn into nearly every discovery dispute, such as this one.  </w:t>
      </w:r>
      <w:r w:rsidR="006F59D7" w:rsidRPr="00627FE1">
        <w:t>Complaint cases would be needlessly prolonged.</w:t>
      </w:r>
    </w:p>
    <w:p w:rsidR="00D67370" w:rsidRPr="00627FE1" w:rsidRDefault="00D67370" w:rsidP="009B5235">
      <w:pPr>
        <w:spacing w:line="480" w:lineRule="auto"/>
        <w:ind w:firstLine="720"/>
      </w:pPr>
      <w:r w:rsidRPr="00627FE1">
        <w:t xml:space="preserve">In support of its </w:t>
      </w:r>
      <w:r w:rsidR="00FB6E07" w:rsidRPr="00627FE1">
        <w:t>illogical</w:t>
      </w:r>
      <w:r w:rsidRPr="00627FE1">
        <w:t xml:space="preserve"> position, Duke reiterated the arguments it made in response to </w:t>
      </w:r>
      <w:r w:rsidR="00E12011" w:rsidRPr="00627FE1">
        <w:t>the Consumer Parties’</w:t>
      </w:r>
      <w:r w:rsidRPr="00627FE1">
        <w:t xml:space="preserve"> memorandum contra Duke’s motion to stay discovery.  Duke also incorporated by reference its motion to stay </w:t>
      </w:r>
      <w:r w:rsidR="008D7D14" w:rsidRPr="00627FE1">
        <w:t xml:space="preserve">discovery </w:t>
      </w:r>
      <w:r w:rsidRPr="00627FE1">
        <w:t xml:space="preserve">and its reply to </w:t>
      </w:r>
      <w:r w:rsidR="00E12011" w:rsidRPr="00627FE1">
        <w:t>the Consumer Parties</w:t>
      </w:r>
      <w:r w:rsidRPr="00627FE1">
        <w:t>’ memorandum contra.</w:t>
      </w:r>
      <w:r w:rsidRPr="00627FE1">
        <w:rPr>
          <w:rStyle w:val="FootnoteReference"/>
        </w:rPr>
        <w:footnoteReference w:id="8"/>
      </w:r>
      <w:r w:rsidRPr="00627FE1">
        <w:t xml:space="preserve">  </w:t>
      </w:r>
      <w:r w:rsidR="00FB6E07" w:rsidRPr="00627FE1">
        <w:t xml:space="preserve">Duke offers no new </w:t>
      </w:r>
      <w:r w:rsidRPr="00627FE1">
        <w:t>argument</w:t>
      </w:r>
      <w:r w:rsidR="00FB6E07" w:rsidRPr="00627FE1">
        <w:t>s.  It merely reiterates its previously filed arguments concerning</w:t>
      </w:r>
      <w:r w:rsidRPr="00627FE1">
        <w:t xml:space="preserve"> its motion to stay</w:t>
      </w:r>
      <w:r w:rsidR="008D7D14" w:rsidRPr="00627FE1">
        <w:t xml:space="preserve"> discovery</w:t>
      </w:r>
      <w:r w:rsidRPr="00627FE1">
        <w:t xml:space="preserve">.  </w:t>
      </w:r>
      <w:r w:rsidR="008D7D14" w:rsidRPr="00627FE1">
        <w:t xml:space="preserve">Duke’s arguments are unavailing </w:t>
      </w:r>
      <w:r w:rsidR="00902834" w:rsidRPr="00627FE1">
        <w:t>like its arguments in its</w:t>
      </w:r>
      <w:r w:rsidR="008D7D14" w:rsidRPr="00627FE1">
        <w:t xml:space="preserve"> motion to s</w:t>
      </w:r>
      <w:r w:rsidR="000B3647" w:rsidRPr="00627FE1">
        <w:t>t</w:t>
      </w:r>
      <w:r w:rsidR="008D7D14" w:rsidRPr="00627FE1">
        <w:t>ay</w:t>
      </w:r>
      <w:r w:rsidR="000B3647" w:rsidRPr="00627FE1">
        <w:t xml:space="preserve"> discovery</w:t>
      </w:r>
      <w:r w:rsidR="008D7D14" w:rsidRPr="00627FE1">
        <w:t>.</w:t>
      </w:r>
      <w:r w:rsidR="008D7D14" w:rsidRPr="00627FE1">
        <w:rPr>
          <w:rStyle w:val="FootnoteReference"/>
        </w:rPr>
        <w:footnoteReference w:id="9"/>
      </w:r>
    </w:p>
    <w:p w:rsidR="002C007C" w:rsidRPr="00627FE1" w:rsidRDefault="002C007C" w:rsidP="002C007C">
      <w:pPr>
        <w:spacing w:line="480" w:lineRule="auto"/>
        <w:ind w:firstLine="720"/>
        <w:rPr>
          <w:rFonts w:eastAsiaTheme="minorHAnsi"/>
        </w:rPr>
      </w:pPr>
      <w:r w:rsidRPr="00627FE1">
        <w:rPr>
          <w:rFonts w:eastAsiaTheme="minorHAnsi"/>
        </w:rPr>
        <w:t xml:space="preserve">The only PUCO case cited by Duke </w:t>
      </w:r>
      <w:r w:rsidR="00902834" w:rsidRPr="00627FE1">
        <w:rPr>
          <w:rFonts w:eastAsiaTheme="minorHAnsi"/>
        </w:rPr>
        <w:t xml:space="preserve">to support its theory </w:t>
      </w:r>
      <w:r w:rsidRPr="00627FE1">
        <w:rPr>
          <w:rFonts w:eastAsiaTheme="minorHAnsi"/>
        </w:rPr>
        <w:t xml:space="preserve">was </w:t>
      </w:r>
      <w:r w:rsidRPr="00627FE1">
        <w:rPr>
          <w:rFonts w:eastAsiaTheme="minorHAnsi"/>
          <w:i/>
        </w:rPr>
        <w:t>Wilkes v. Ohio Edison</w:t>
      </w:r>
      <w:r w:rsidR="001E61EF" w:rsidRPr="00627FE1">
        <w:rPr>
          <w:rFonts w:eastAsiaTheme="minorHAnsi"/>
        </w:rPr>
        <w:t>.</w:t>
      </w:r>
      <w:r w:rsidRPr="00627FE1">
        <w:rPr>
          <w:rFonts w:eastAsiaTheme="minorHAnsi"/>
          <w:vertAlign w:val="superscript"/>
        </w:rPr>
        <w:footnoteReference w:id="10"/>
      </w:r>
      <w:r w:rsidRPr="00627FE1">
        <w:rPr>
          <w:rFonts w:eastAsiaTheme="minorHAnsi"/>
        </w:rPr>
        <w:t xml:space="preserve"> </w:t>
      </w:r>
      <w:r w:rsidR="001E61EF" w:rsidRPr="00627FE1">
        <w:rPr>
          <w:rFonts w:eastAsiaTheme="minorHAnsi"/>
        </w:rPr>
        <w:t xml:space="preserve"> Duke</w:t>
      </w:r>
      <w:r w:rsidRPr="00627FE1">
        <w:rPr>
          <w:rFonts w:eastAsiaTheme="minorHAnsi"/>
        </w:rPr>
        <w:t xml:space="preserve"> cited</w:t>
      </w:r>
      <w:r w:rsidR="001E61EF" w:rsidRPr="00627FE1">
        <w:rPr>
          <w:rFonts w:eastAsiaTheme="minorHAnsi"/>
        </w:rPr>
        <w:t xml:space="preserve"> </w:t>
      </w:r>
      <w:r w:rsidR="001E61EF" w:rsidRPr="00627FE1">
        <w:rPr>
          <w:rFonts w:eastAsiaTheme="minorHAnsi"/>
          <w:i/>
        </w:rPr>
        <w:t>Wilkes</w:t>
      </w:r>
      <w:r w:rsidRPr="00627FE1">
        <w:rPr>
          <w:rFonts w:eastAsiaTheme="minorHAnsi"/>
        </w:rPr>
        <w:t xml:space="preserve"> for the proposition that the PUCO in the past has exercised discretion “in order to stay discovery pending the resolution of a dispositive motion.”</w:t>
      </w:r>
      <w:r w:rsidRPr="00627FE1">
        <w:rPr>
          <w:rFonts w:eastAsiaTheme="minorHAnsi"/>
          <w:vertAlign w:val="superscript"/>
        </w:rPr>
        <w:footnoteReference w:id="11"/>
      </w:r>
      <w:r w:rsidRPr="00627FE1">
        <w:rPr>
          <w:rFonts w:eastAsiaTheme="minorHAnsi"/>
        </w:rPr>
        <w:t xml:space="preserve">  But the facts in </w:t>
      </w:r>
      <w:r w:rsidRPr="00627FE1">
        <w:rPr>
          <w:rFonts w:eastAsiaTheme="minorHAnsi"/>
          <w:i/>
        </w:rPr>
        <w:t>Wilkes</w:t>
      </w:r>
      <w:r w:rsidRPr="00627FE1">
        <w:rPr>
          <w:rFonts w:eastAsiaTheme="minorHAnsi"/>
        </w:rPr>
        <w:t xml:space="preserve"> are so removed from the facts of this case that </w:t>
      </w:r>
      <w:r w:rsidRPr="00627FE1">
        <w:rPr>
          <w:rFonts w:eastAsiaTheme="minorHAnsi"/>
          <w:i/>
        </w:rPr>
        <w:t>Wilkes</w:t>
      </w:r>
      <w:r w:rsidRPr="00627FE1">
        <w:rPr>
          <w:rFonts w:eastAsiaTheme="minorHAnsi"/>
        </w:rPr>
        <w:t xml:space="preserve"> has no precedential value.  </w:t>
      </w:r>
    </w:p>
    <w:p w:rsidR="002C007C" w:rsidRPr="00627FE1" w:rsidRDefault="002C007C" w:rsidP="002C007C">
      <w:pPr>
        <w:spacing w:line="480" w:lineRule="auto"/>
        <w:ind w:firstLine="720"/>
        <w:rPr>
          <w:rFonts w:eastAsiaTheme="minorHAnsi"/>
        </w:rPr>
      </w:pPr>
      <w:r w:rsidRPr="00627FE1">
        <w:rPr>
          <w:rFonts w:eastAsiaTheme="minorHAnsi"/>
        </w:rPr>
        <w:t xml:space="preserve">In </w:t>
      </w:r>
      <w:r w:rsidRPr="00627FE1">
        <w:rPr>
          <w:rFonts w:eastAsiaTheme="minorHAnsi"/>
          <w:i/>
        </w:rPr>
        <w:t>Wilkes</w:t>
      </w:r>
      <w:r w:rsidRPr="00627FE1">
        <w:rPr>
          <w:rFonts w:eastAsiaTheme="minorHAnsi"/>
        </w:rPr>
        <w:t>, the complainants asked the PUCO to compel Ohio Edison to move a 69kV electrical transmission line that runs near structures on their property.</w:t>
      </w:r>
      <w:r w:rsidRPr="00627FE1">
        <w:rPr>
          <w:rFonts w:eastAsiaTheme="minorHAnsi"/>
          <w:vertAlign w:val="superscript"/>
        </w:rPr>
        <w:footnoteReference w:id="12"/>
      </w:r>
      <w:r w:rsidRPr="00627FE1">
        <w:rPr>
          <w:rFonts w:eastAsiaTheme="minorHAnsi"/>
        </w:rPr>
        <w:t xml:space="preserve">  In the alternative, the complainants asked the PUCO to determine whether Ohio Edison’s 69kV line is located at a safe distance from their property.</w:t>
      </w:r>
      <w:r w:rsidRPr="00627FE1">
        <w:rPr>
          <w:rFonts w:eastAsiaTheme="minorHAnsi"/>
          <w:vertAlign w:val="superscript"/>
        </w:rPr>
        <w:footnoteReference w:id="13"/>
      </w:r>
      <w:r w:rsidRPr="00627FE1">
        <w:rPr>
          <w:rFonts w:eastAsiaTheme="minorHAnsi"/>
        </w:rPr>
        <w:t xml:space="preserve">  In its motion for stay of discovery, Ohio Edison said the case was really about the complainants infringing on an easement by constructing a swimming pool and storage shed too close to Ohio Edison’s power lines.</w:t>
      </w:r>
      <w:r w:rsidRPr="00627FE1">
        <w:rPr>
          <w:rFonts w:eastAsiaTheme="minorHAnsi"/>
          <w:vertAlign w:val="superscript"/>
        </w:rPr>
        <w:footnoteReference w:id="14"/>
      </w:r>
      <w:r w:rsidRPr="00627FE1">
        <w:rPr>
          <w:rFonts w:eastAsiaTheme="minorHAnsi"/>
        </w:rPr>
        <w:t xml:space="preserve">  Further, Ohio Edison had sought a remedy by filing a complaint for declaratory and injunctive relief in the Mahoning County Court of Common Pleas.</w:t>
      </w:r>
      <w:r w:rsidRPr="00627FE1">
        <w:rPr>
          <w:rFonts w:eastAsiaTheme="minorHAnsi"/>
          <w:vertAlign w:val="superscript"/>
        </w:rPr>
        <w:footnoteReference w:id="15"/>
      </w:r>
      <w:r w:rsidRPr="00627FE1">
        <w:rPr>
          <w:rFonts w:eastAsiaTheme="minorHAnsi"/>
        </w:rPr>
        <w:t xml:space="preserve">  Importantly, the complainants in </w:t>
      </w:r>
      <w:r w:rsidRPr="00627FE1">
        <w:rPr>
          <w:rFonts w:eastAsiaTheme="minorHAnsi"/>
          <w:i/>
        </w:rPr>
        <w:t>Wilkes</w:t>
      </w:r>
      <w:r w:rsidRPr="00627FE1">
        <w:rPr>
          <w:rFonts w:eastAsiaTheme="minorHAnsi"/>
        </w:rPr>
        <w:t xml:space="preserve"> did not file a memorandum contra Ohio Edison’s motion.</w:t>
      </w:r>
      <w:r w:rsidRPr="00627FE1">
        <w:rPr>
          <w:rFonts w:eastAsiaTheme="minorHAnsi"/>
          <w:vertAlign w:val="superscript"/>
        </w:rPr>
        <w:footnoteReference w:id="16"/>
      </w:r>
    </w:p>
    <w:p w:rsidR="00A049D6" w:rsidRPr="00627FE1" w:rsidRDefault="002C007C" w:rsidP="002C007C">
      <w:pPr>
        <w:spacing w:line="480" w:lineRule="auto"/>
        <w:ind w:firstLine="720"/>
        <w:rPr>
          <w:rFonts w:eastAsiaTheme="minorHAnsi"/>
        </w:rPr>
      </w:pPr>
      <w:r w:rsidRPr="00627FE1">
        <w:rPr>
          <w:rFonts w:eastAsiaTheme="minorHAnsi"/>
        </w:rPr>
        <w:t xml:space="preserve">Based on the pleadings in that case – and </w:t>
      </w:r>
      <w:r w:rsidR="00A049D6" w:rsidRPr="00627FE1">
        <w:rPr>
          <w:rFonts w:eastAsiaTheme="minorHAnsi"/>
        </w:rPr>
        <w:t xml:space="preserve">the </w:t>
      </w:r>
      <w:r w:rsidRPr="00627FE1">
        <w:rPr>
          <w:rFonts w:eastAsiaTheme="minorHAnsi"/>
        </w:rPr>
        <w:t xml:space="preserve">absence of a memorandum contra </w:t>
      </w:r>
      <w:r w:rsidR="00A049D6" w:rsidRPr="00627FE1">
        <w:rPr>
          <w:rFonts w:eastAsiaTheme="minorHAnsi"/>
        </w:rPr>
        <w:t>Ohio Edison’s</w:t>
      </w:r>
      <w:r w:rsidRPr="00627FE1">
        <w:rPr>
          <w:rFonts w:eastAsiaTheme="minorHAnsi"/>
        </w:rPr>
        <w:t xml:space="preserve"> motion – the attorney examiner granted the motion for stay of discovery.  The attorney examiner stated: “</w:t>
      </w:r>
      <w:r w:rsidRPr="00627FE1">
        <w:rPr>
          <w:rFonts w:eastAsiaTheme="minorHAnsi"/>
          <w:i/>
        </w:rPr>
        <w:t xml:space="preserve">Noting no opposition </w:t>
      </w:r>
      <w:r w:rsidRPr="00627FE1">
        <w:rPr>
          <w:rFonts w:eastAsiaTheme="minorHAnsi"/>
        </w:rPr>
        <w:t xml:space="preserve">and finding that staying discovery is in the interest of </w:t>
      </w:r>
      <w:r w:rsidRPr="00627FE1">
        <w:rPr>
          <w:rFonts w:eastAsiaTheme="minorHAnsi"/>
          <w:i/>
        </w:rPr>
        <w:t>both</w:t>
      </w:r>
      <w:r w:rsidRPr="00627FE1">
        <w:rPr>
          <w:rFonts w:eastAsiaTheme="minorHAnsi"/>
        </w:rPr>
        <w:t xml:space="preserve"> parties should the Commission ultimately decide to grant Ohio Edison’s motion to dismiss, the attorney examiner finds that Ohio Edison’s motion is reasonable and should be granted.”</w:t>
      </w:r>
      <w:r w:rsidRPr="00627FE1">
        <w:rPr>
          <w:rFonts w:eastAsiaTheme="minorHAnsi"/>
          <w:vertAlign w:val="superscript"/>
        </w:rPr>
        <w:footnoteReference w:id="17"/>
      </w:r>
      <w:r w:rsidRPr="00627FE1">
        <w:rPr>
          <w:rFonts w:eastAsiaTheme="minorHAnsi"/>
        </w:rPr>
        <w:t xml:space="preserve">  </w:t>
      </w:r>
    </w:p>
    <w:p w:rsidR="002C007C" w:rsidRPr="00627FE1" w:rsidRDefault="002C007C" w:rsidP="002C007C">
      <w:pPr>
        <w:spacing w:line="480" w:lineRule="auto"/>
        <w:ind w:firstLine="720"/>
        <w:rPr>
          <w:rFonts w:eastAsiaTheme="minorHAnsi"/>
        </w:rPr>
      </w:pPr>
      <w:r w:rsidRPr="00627FE1">
        <w:rPr>
          <w:rFonts w:eastAsiaTheme="minorHAnsi"/>
        </w:rPr>
        <w:t xml:space="preserve">By contrast, </w:t>
      </w:r>
      <w:r w:rsidR="00A049D6" w:rsidRPr="00627FE1">
        <w:rPr>
          <w:rFonts w:eastAsiaTheme="minorHAnsi"/>
        </w:rPr>
        <w:t xml:space="preserve">in this case </w:t>
      </w:r>
      <w:r w:rsidRPr="00627FE1">
        <w:rPr>
          <w:rFonts w:eastAsiaTheme="minorHAnsi"/>
        </w:rPr>
        <w:t>there is no court case pending to resolve the issues</w:t>
      </w:r>
      <w:r w:rsidR="00FB6E07" w:rsidRPr="00627FE1">
        <w:rPr>
          <w:rFonts w:eastAsiaTheme="minorHAnsi"/>
        </w:rPr>
        <w:t>,</w:t>
      </w:r>
      <w:r w:rsidRPr="00627FE1">
        <w:rPr>
          <w:rFonts w:eastAsiaTheme="minorHAnsi"/>
        </w:rPr>
        <w:t xml:space="preserve"> </w:t>
      </w:r>
      <w:r w:rsidR="00D67171" w:rsidRPr="00627FE1">
        <w:rPr>
          <w:rFonts w:eastAsiaTheme="minorHAnsi"/>
        </w:rPr>
        <w:t>OCC</w:t>
      </w:r>
      <w:r w:rsidRPr="00627FE1">
        <w:rPr>
          <w:rFonts w:eastAsiaTheme="minorHAnsi"/>
        </w:rPr>
        <w:t xml:space="preserve"> zealously oppose</w:t>
      </w:r>
      <w:r w:rsidR="00D67171" w:rsidRPr="00627FE1">
        <w:rPr>
          <w:rFonts w:eastAsiaTheme="minorHAnsi"/>
        </w:rPr>
        <w:t>s</w:t>
      </w:r>
      <w:r w:rsidRPr="00627FE1">
        <w:rPr>
          <w:rFonts w:eastAsiaTheme="minorHAnsi"/>
        </w:rPr>
        <w:t xml:space="preserve"> Duke’s motion for stay</w:t>
      </w:r>
      <w:r w:rsidR="00FB6E07" w:rsidRPr="00627FE1">
        <w:rPr>
          <w:rFonts w:eastAsiaTheme="minorHAnsi"/>
        </w:rPr>
        <w:t xml:space="preserve">, and the stay of discovery is not in the interest of both parties.  In fact, staying discovery is prejudicial to OCC.  </w:t>
      </w:r>
      <w:r w:rsidRPr="00627FE1">
        <w:rPr>
          <w:rFonts w:eastAsiaTheme="minorHAnsi"/>
        </w:rPr>
        <w:t xml:space="preserve">The facts of the two cases are inapposite, and therefore, Duke’s continued reliance on </w:t>
      </w:r>
      <w:r w:rsidRPr="00627FE1">
        <w:rPr>
          <w:rFonts w:eastAsiaTheme="minorHAnsi"/>
          <w:i/>
        </w:rPr>
        <w:t>Wilkes</w:t>
      </w:r>
      <w:r w:rsidRPr="00627FE1">
        <w:rPr>
          <w:rFonts w:eastAsiaTheme="minorHAnsi"/>
        </w:rPr>
        <w:t xml:space="preserve"> is misplaced.</w:t>
      </w:r>
      <w:r w:rsidR="00FB6E07" w:rsidRPr="00627FE1">
        <w:rPr>
          <w:rFonts w:eastAsiaTheme="minorHAnsi"/>
        </w:rPr>
        <w:t xml:space="preserve">  Additionally, the other cases cited by Duke were based on court cases where the court controlled discovery.  Those court cases are also not relevant to the case at bar.</w:t>
      </w:r>
    </w:p>
    <w:p w:rsidR="008D7D14" w:rsidRPr="00627FE1" w:rsidRDefault="00902834" w:rsidP="008D7D14">
      <w:pPr>
        <w:spacing w:line="480" w:lineRule="auto"/>
        <w:ind w:firstLine="720"/>
        <w:rPr>
          <w:rFonts w:eastAsiaTheme="minorHAnsi"/>
        </w:rPr>
      </w:pPr>
      <w:r w:rsidRPr="00627FE1">
        <w:rPr>
          <w:rFonts w:eastAsiaTheme="minorHAnsi"/>
        </w:rPr>
        <w:t xml:space="preserve">Additionally, </w:t>
      </w:r>
      <w:r w:rsidR="00D67171" w:rsidRPr="00627FE1">
        <w:rPr>
          <w:rFonts w:eastAsiaTheme="minorHAnsi"/>
        </w:rPr>
        <w:t xml:space="preserve">the PUCO explicitly has allowed discovery to begin immediately in complaint cases.  In </w:t>
      </w:r>
      <w:r w:rsidR="00D67171" w:rsidRPr="00627FE1">
        <w:rPr>
          <w:rFonts w:eastAsiaTheme="minorHAnsi"/>
          <w:i/>
        </w:rPr>
        <w:t>Toliver,</w:t>
      </w:r>
      <w:r w:rsidR="00D67171" w:rsidRPr="00627FE1">
        <w:rPr>
          <w:rFonts w:eastAsiaTheme="minorHAnsi"/>
        </w:rPr>
        <w:t xml:space="preserve"> the PUCO ruled that complainants may begin discovery once a complaint is filed: “Taken together, Rules 4901-1-16(C), and 4901-1-17(A), O.A.C., allow a party to a Commission proceeding to commence discovery, in this instance, immediately upon the filing of the complaint….”</w:t>
      </w:r>
      <w:r w:rsidR="00D67171" w:rsidRPr="00627FE1">
        <w:rPr>
          <w:rFonts w:eastAsiaTheme="minorHAnsi"/>
          <w:vertAlign w:val="superscript"/>
        </w:rPr>
        <w:footnoteReference w:id="18"/>
      </w:r>
      <w:r w:rsidR="00D67171" w:rsidRPr="00627FE1">
        <w:rPr>
          <w:rFonts w:eastAsiaTheme="minorHAnsi"/>
        </w:rPr>
        <w:t xml:space="preserve">  </w:t>
      </w:r>
      <w:r w:rsidR="008D7D14" w:rsidRPr="00627FE1">
        <w:rPr>
          <w:rFonts w:eastAsiaTheme="minorHAnsi"/>
        </w:rPr>
        <w:t xml:space="preserve">Duke </w:t>
      </w:r>
      <w:r w:rsidR="00BF173F" w:rsidRPr="00627FE1">
        <w:rPr>
          <w:rFonts w:eastAsiaTheme="minorHAnsi"/>
        </w:rPr>
        <w:t>did</w:t>
      </w:r>
      <w:r w:rsidR="008D7D14" w:rsidRPr="00627FE1">
        <w:rPr>
          <w:rFonts w:eastAsiaTheme="minorHAnsi"/>
        </w:rPr>
        <w:t xml:space="preserve"> not </w:t>
      </w:r>
      <w:r w:rsidR="00D67171" w:rsidRPr="00627FE1">
        <w:rPr>
          <w:rFonts w:eastAsiaTheme="minorHAnsi"/>
        </w:rPr>
        <w:t>e</w:t>
      </w:r>
      <w:r w:rsidR="00BF173F" w:rsidRPr="00627FE1">
        <w:rPr>
          <w:rFonts w:eastAsiaTheme="minorHAnsi"/>
        </w:rPr>
        <w:t>ven attempt</w:t>
      </w:r>
      <w:r w:rsidR="008D7D14" w:rsidRPr="00627FE1">
        <w:rPr>
          <w:rFonts w:eastAsiaTheme="minorHAnsi"/>
        </w:rPr>
        <w:t xml:space="preserve"> to </w:t>
      </w:r>
      <w:r w:rsidR="00D67171" w:rsidRPr="00627FE1">
        <w:rPr>
          <w:rFonts w:eastAsiaTheme="minorHAnsi"/>
        </w:rPr>
        <w:t xml:space="preserve">distinguish this case from </w:t>
      </w:r>
      <w:r w:rsidR="00D67171" w:rsidRPr="00627FE1">
        <w:rPr>
          <w:rFonts w:eastAsiaTheme="minorHAnsi"/>
          <w:i/>
        </w:rPr>
        <w:t>Toliver</w:t>
      </w:r>
      <w:r w:rsidR="00D67171" w:rsidRPr="00627FE1">
        <w:rPr>
          <w:rFonts w:eastAsiaTheme="minorHAnsi"/>
        </w:rPr>
        <w:t xml:space="preserve">, and in fact would be unable to do so.  </w:t>
      </w:r>
    </w:p>
    <w:p w:rsidR="009B5235" w:rsidRPr="00627FE1" w:rsidRDefault="00D67171" w:rsidP="009B5235">
      <w:pPr>
        <w:spacing w:line="480" w:lineRule="auto"/>
        <w:ind w:firstLine="720"/>
      </w:pPr>
      <w:r w:rsidRPr="00627FE1">
        <w:rPr>
          <w:i/>
        </w:rPr>
        <w:t>Toliver</w:t>
      </w:r>
      <w:r w:rsidRPr="00627FE1">
        <w:t xml:space="preserve">, and not the cases cited by Duke, should control in this case.  </w:t>
      </w:r>
      <w:r w:rsidR="009B5235" w:rsidRPr="00627FE1">
        <w:t xml:space="preserve">The PUCO should </w:t>
      </w:r>
      <w:r w:rsidR="006A4CDE" w:rsidRPr="00627FE1">
        <w:t>reject</w:t>
      </w:r>
      <w:r w:rsidR="009B5235" w:rsidRPr="00627FE1">
        <w:t xml:space="preserve"> Duke’s </w:t>
      </w:r>
      <w:r w:rsidR="006A4CDE" w:rsidRPr="00627FE1">
        <w:t xml:space="preserve">arguments </w:t>
      </w:r>
      <w:r w:rsidR="009B5235" w:rsidRPr="00627FE1">
        <w:t>and order Duke to respond to OCC’s discovery.</w:t>
      </w:r>
    </w:p>
    <w:p w:rsidR="009B5235" w:rsidRPr="00627FE1" w:rsidRDefault="00BF173F" w:rsidP="00627FE1">
      <w:pPr>
        <w:pStyle w:val="Heading2"/>
        <w:rPr>
          <w:rFonts w:ascii="Times New Roman" w:hAnsi="Times New Roman"/>
          <w:szCs w:val="24"/>
        </w:rPr>
      </w:pPr>
      <w:r w:rsidRPr="00627FE1">
        <w:rPr>
          <w:rFonts w:ascii="Times New Roman" w:hAnsi="Times New Roman"/>
          <w:szCs w:val="24"/>
        </w:rPr>
        <w:t>B.</w:t>
      </w:r>
      <w:r w:rsidRPr="00627FE1">
        <w:rPr>
          <w:rFonts w:ascii="Times New Roman" w:hAnsi="Times New Roman"/>
          <w:szCs w:val="24"/>
        </w:rPr>
        <w:tab/>
        <w:t xml:space="preserve">Duke’s arguments against the specific interrogatories show </w:t>
      </w:r>
      <w:r w:rsidR="00902834" w:rsidRPr="00627FE1">
        <w:rPr>
          <w:rFonts w:ascii="Times New Roman" w:hAnsi="Times New Roman"/>
          <w:szCs w:val="24"/>
        </w:rPr>
        <w:t>that Duke is unreasonably attempting to narrow the scope of discovery</w:t>
      </w:r>
      <w:r w:rsidRPr="00627FE1">
        <w:rPr>
          <w:rFonts w:ascii="Times New Roman" w:hAnsi="Times New Roman"/>
          <w:szCs w:val="24"/>
        </w:rPr>
        <w:t>.</w:t>
      </w:r>
    </w:p>
    <w:p w:rsidR="00BF173F" w:rsidRPr="00627FE1" w:rsidRDefault="001F6306" w:rsidP="00BF173F">
      <w:pPr>
        <w:spacing w:line="480" w:lineRule="auto"/>
        <w:ind w:firstLine="720"/>
      </w:pPr>
      <w:r w:rsidRPr="00627FE1">
        <w:t>In its memorandum contra, Duke reiterated its objections to OCC’s interrogatories.  With few exceptions, Duke claims that OCC’s interrogatories are irrelevant to the timeframe covered by the PUCO’s winter heating rules and Winter Reconnect Order.</w:t>
      </w:r>
      <w:r w:rsidRPr="00627FE1">
        <w:rPr>
          <w:rStyle w:val="FootnoteReference"/>
        </w:rPr>
        <w:footnoteReference w:id="19"/>
      </w:r>
      <w:r w:rsidRPr="00627FE1">
        <w:t xml:space="preserve">  But, as OCC has noted, this case is about more than just Duke’s disconnection policies and procedures during the winter heating season.</w:t>
      </w:r>
    </w:p>
    <w:bookmarkEnd w:id="17"/>
    <w:bookmarkEnd w:id="18"/>
    <w:bookmarkEnd w:id="19"/>
    <w:bookmarkEnd w:id="20"/>
    <w:p w:rsidR="007351D6" w:rsidRPr="00627FE1" w:rsidRDefault="00C2046E" w:rsidP="00D87FE1">
      <w:pPr>
        <w:spacing w:line="480" w:lineRule="auto"/>
        <w:ind w:firstLine="720"/>
      </w:pPr>
      <w:r w:rsidRPr="00627FE1">
        <w:t>The Consumer Parties’ Complaint has two aspects.  One involves Duke’s repeated statements expressing a misapplication of the winter heating rules.  The other relates to Duke’s extraordinarily high number and proportion of customers who are being disconnected for nonpayment.  OCC’s discovery seeks information regarding Duke’s disconnection process and policies</w:t>
      </w:r>
      <w:r w:rsidR="005270CD" w:rsidRPr="00627FE1">
        <w:t xml:space="preserve">, which </w:t>
      </w:r>
      <w:r w:rsidRPr="00627FE1">
        <w:t xml:space="preserve">directly </w:t>
      </w:r>
      <w:r w:rsidR="005270CD" w:rsidRPr="00627FE1">
        <w:t xml:space="preserve">relates </w:t>
      </w:r>
      <w:r w:rsidRPr="00627FE1">
        <w:t>to issues in this case</w:t>
      </w:r>
      <w:r w:rsidR="00D87FE1" w:rsidRPr="00627FE1">
        <w:t>.</w:t>
      </w:r>
    </w:p>
    <w:p w:rsidR="001F6306" w:rsidRPr="00627FE1" w:rsidRDefault="001F6306" w:rsidP="00D87FE1">
      <w:pPr>
        <w:spacing w:line="480" w:lineRule="auto"/>
        <w:ind w:firstLine="720"/>
      </w:pPr>
      <w:r w:rsidRPr="00627FE1">
        <w:t xml:space="preserve">Duke’s unwillingness to offer any substantive response to OCC’s interrogatories </w:t>
      </w:r>
      <w:r w:rsidR="002C4F68" w:rsidRPr="00627FE1">
        <w:t xml:space="preserve">demonstrates </w:t>
      </w:r>
      <w:r w:rsidR="00902834" w:rsidRPr="00627FE1">
        <w:t xml:space="preserve">a disdain </w:t>
      </w:r>
      <w:r w:rsidR="005270CD" w:rsidRPr="00627FE1">
        <w:t>for the PUCO’s process</w:t>
      </w:r>
      <w:r w:rsidR="002C4F68" w:rsidRPr="00627FE1">
        <w:t xml:space="preserve">.  If Duke believes that some information sought by OCC is publicly available, Duke should identify where the information may be obtained.  Also, </w:t>
      </w:r>
      <w:r w:rsidR="005270CD" w:rsidRPr="00627FE1">
        <w:t xml:space="preserve">contrary to standard practice in the utility bar, </w:t>
      </w:r>
      <w:r w:rsidR="002C4F68" w:rsidRPr="00627FE1">
        <w:t xml:space="preserve">Duke objected to some interrogatories as not specifying a relevant timeframe, but did not offer to provide information for timeframes it believes to be relevant.  </w:t>
      </w:r>
      <w:r w:rsidR="005270CD" w:rsidRPr="00627FE1">
        <w:t>If its concerns were legitimate, t</w:t>
      </w:r>
      <w:r w:rsidR="002C4F68" w:rsidRPr="00627FE1">
        <w:t xml:space="preserve">his would have helped </w:t>
      </w:r>
      <w:r w:rsidR="005270CD" w:rsidRPr="00627FE1">
        <w:t xml:space="preserve">to </w:t>
      </w:r>
      <w:r w:rsidR="002C4F68" w:rsidRPr="00627FE1">
        <w:t>narrow the discovery issues.  Instead, Duke decided to not provide any information, and to only raise non-specific objections to OCC’s discovery.</w:t>
      </w:r>
    </w:p>
    <w:p w:rsidR="002C4F68" w:rsidRPr="00627FE1" w:rsidRDefault="002C4F68" w:rsidP="00D87FE1">
      <w:pPr>
        <w:spacing w:line="480" w:lineRule="auto"/>
        <w:ind w:firstLine="720"/>
      </w:pPr>
      <w:r w:rsidRPr="00627FE1">
        <w:t xml:space="preserve">Duke’s </w:t>
      </w:r>
      <w:r w:rsidR="005270CD" w:rsidRPr="00627FE1">
        <w:t xml:space="preserve">unlawful and unjustifiable </w:t>
      </w:r>
      <w:r w:rsidR="00EE677A" w:rsidRPr="00627FE1">
        <w:t>attempt to narrow the scope of this proceeding precludes OCC from obtaining information it is entitled to receive under Ohio law and the PUCO’s rules.  The PUCO</w:t>
      </w:r>
      <w:r w:rsidR="005270CD" w:rsidRPr="00627FE1">
        <w:t xml:space="preserve"> should</w:t>
      </w:r>
      <w:r w:rsidR="00EE677A" w:rsidRPr="00627FE1">
        <w:t xml:space="preserve"> grant OCC’s Motion to Compel. </w:t>
      </w:r>
    </w:p>
    <w:p w:rsidR="003A4466" w:rsidRPr="00627FE1" w:rsidRDefault="00EE677A" w:rsidP="00B7068D">
      <w:pPr>
        <w:pStyle w:val="Heading1"/>
        <w:rPr>
          <w:rFonts w:ascii="Times New Roman" w:hAnsi="Times New Roman"/>
          <w:szCs w:val="24"/>
        </w:rPr>
      </w:pPr>
      <w:bookmarkStart w:id="21" w:name="_Toc347157066"/>
      <w:bookmarkStart w:id="22" w:name="_Toc420664793"/>
      <w:bookmarkStart w:id="23" w:name="_Toc420665073"/>
      <w:bookmarkStart w:id="24" w:name="_Toc434844908"/>
      <w:bookmarkStart w:id="25" w:name="_Toc434845004"/>
      <w:r w:rsidRPr="00627FE1">
        <w:rPr>
          <w:rFonts w:ascii="Times New Roman" w:hAnsi="Times New Roman"/>
          <w:szCs w:val="24"/>
        </w:rPr>
        <w:t>III</w:t>
      </w:r>
      <w:r w:rsidR="003A4466" w:rsidRPr="00627FE1">
        <w:rPr>
          <w:rFonts w:ascii="Times New Roman" w:hAnsi="Times New Roman"/>
          <w:szCs w:val="24"/>
        </w:rPr>
        <w:t xml:space="preserve">.  </w:t>
      </w:r>
      <w:r w:rsidR="003A4466" w:rsidRPr="00627FE1">
        <w:rPr>
          <w:rFonts w:ascii="Times New Roman" w:hAnsi="Times New Roman"/>
          <w:szCs w:val="24"/>
        </w:rPr>
        <w:tab/>
        <w:t>CONCLUSION</w:t>
      </w:r>
      <w:bookmarkEnd w:id="21"/>
      <w:bookmarkEnd w:id="22"/>
      <w:bookmarkEnd w:id="23"/>
      <w:bookmarkEnd w:id="24"/>
      <w:bookmarkEnd w:id="25"/>
    </w:p>
    <w:p w:rsidR="00EE677A" w:rsidRPr="00627FE1" w:rsidRDefault="00EE677A">
      <w:pPr>
        <w:autoSpaceDE w:val="0"/>
        <w:autoSpaceDN w:val="0"/>
        <w:adjustRightInd w:val="0"/>
        <w:spacing w:line="480" w:lineRule="auto"/>
        <w:ind w:firstLine="720"/>
      </w:pPr>
      <w:r w:rsidRPr="00627FE1">
        <w:rPr>
          <w:color w:val="000000"/>
        </w:rPr>
        <w:t xml:space="preserve">Duke’s position that it need not respond to discovery unless and until its motion to stay has been acted upon by the PUCO is contrary to Ohio law and the PUCO’s rules.  </w:t>
      </w:r>
      <w:r w:rsidRPr="00627FE1">
        <w:t xml:space="preserve">If Duke is allowed to prevail, </w:t>
      </w:r>
      <w:r w:rsidR="00A84B40" w:rsidRPr="00627FE1">
        <w:t xml:space="preserve">other </w:t>
      </w:r>
      <w:r w:rsidRPr="00627FE1">
        <w:t xml:space="preserve">respondents </w:t>
      </w:r>
      <w:r w:rsidR="00A84B40" w:rsidRPr="00627FE1">
        <w:t xml:space="preserve">in utility cases </w:t>
      </w:r>
      <w:r w:rsidRPr="00627FE1">
        <w:t>– who control most of the documents and information needed by complainants – would be able to thwart the discovery process</w:t>
      </w:r>
      <w:r w:rsidR="00A84B40" w:rsidRPr="00627FE1">
        <w:t xml:space="preserve"> merely by filing a motion to dismiss and a motion to stay discovery</w:t>
      </w:r>
      <w:r w:rsidRPr="00627FE1">
        <w:t xml:space="preserve">.  The PUCO should </w:t>
      </w:r>
      <w:r w:rsidR="00A84B40" w:rsidRPr="00627FE1">
        <w:t>protect the discovery process and protect the rights of complainants by rejecting such legal maneuvering.  OCC respectfully requests that the</w:t>
      </w:r>
      <w:r w:rsidRPr="00627FE1">
        <w:t xml:space="preserve"> PUCO reject Duke’s arguments and grant OCC’s Motion to Compel. </w:t>
      </w:r>
    </w:p>
    <w:bookmarkEnd w:id="1"/>
    <w:p w:rsidR="003F5DF8" w:rsidRPr="00627FE1" w:rsidRDefault="00307019" w:rsidP="00627FE1">
      <w:pPr>
        <w:autoSpaceDE w:val="0"/>
        <w:autoSpaceDN w:val="0"/>
        <w:adjustRightInd w:val="0"/>
        <w:ind w:firstLine="720"/>
      </w:pPr>
      <w:r w:rsidRPr="00627FE1">
        <w:rPr>
          <w:bCs/>
          <w:color w:val="000000"/>
        </w:rPr>
        <w:t xml:space="preserve">  </w:t>
      </w:r>
      <w:r w:rsidR="00627FE1" w:rsidRPr="00627FE1">
        <w:rPr>
          <w:bCs/>
          <w:color w:val="000000"/>
        </w:rPr>
        <w:tab/>
      </w:r>
      <w:r w:rsidR="00627FE1" w:rsidRPr="00627FE1">
        <w:rPr>
          <w:bCs/>
          <w:color w:val="000000"/>
        </w:rPr>
        <w:tab/>
      </w:r>
      <w:r w:rsidR="00627FE1" w:rsidRPr="00627FE1">
        <w:rPr>
          <w:bCs/>
          <w:color w:val="000000"/>
        </w:rPr>
        <w:tab/>
      </w:r>
      <w:r w:rsidR="00627FE1" w:rsidRPr="00627FE1">
        <w:rPr>
          <w:bCs/>
          <w:color w:val="000000"/>
        </w:rPr>
        <w:tab/>
      </w:r>
      <w:r w:rsidR="00627FE1" w:rsidRPr="00627FE1">
        <w:rPr>
          <w:bCs/>
          <w:color w:val="000000"/>
        </w:rPr>
        <w:tab/>
      </w:r>
      <w:r w:rsidR="003F5DF8" w:rsidRPr="00627FE1">
        <w:t>Respectfully submitted,</w:t>
      </w:r>
    </w:p>
    <w:p w:rsidR="003F5DF8" w:rsidRPr="00627FE1" w:rsidRDefault="003F5DF8" w:rsidP="00627FE1">
      <w:pPr>
        <w:ind w:left="4320"/>
      </w:pPr>
    </w:p>
    <w:p w:rsidR="00133E43" w:rsidRPr="00627FE1" w:rsidRDefault="00133E43" w:rsidP="00627FE1">
      <w:pPr>
        <w:pStyle w:val="Date"/>
        <w:ind w:left="4320"/>
        <w:rPr>
          <w:szCs w:val="24"/>
        </w:rPr>
      </w:pPr>
      <w:r w:rsidRPr="00627FE1">
        <w:rPr>
          <w:szCs w:val="24"/>
        </w:rPr>
        <w:t>BRUCE J. WESTON (0016973)</w:t>
      </w:r>
    </w:p>
    <w:p w:rsidR="00133E43" w:rsidRPr="00627FE1" w:rsidRDefault="00627FE1" w:rsidP="00133E43">
      <w:pPr>
        <w:ind w:left="4320"/>
      </w:pPr>
      <w:r w:rsidRPr="00627FE1">
        <w:t xml:space="preserve">OHIO </w:t>
      </w:r>
      <w:r w:rsidR="00133E43" w:rsidRPr="00627FE1">
        <w:t>CONSUMERS’ COUNSEL</w:t>
      </w:r>
    </w:p>
    <w:p w:rsidR="00133E43" w:rsidRPr="00627FE1" w:rsidRDefault="00133E43" w:rsidP="00133E43">
      <w:pPr>
        <w:ind w:left="4320"/>
      </w:pPr>
    </w:p>
    <w:p w:rsidR="00DE70BE" w:rsidRPr="00627FE1" w:rsidRDefault="00627FE1" w:rsidP="007066D2">
      <w:pPr>
        <w:tabs>
          <w:tab w:val="left" w:pos="4320"/>
        </w:tabs>
        <w:ind w:left="4320"/>
        <w:rPr>
          <w:rFonts w:eastAsiaTheme="minorHAnsi"/>
        </w:rPr>
      </w:pPr>
      <w:r w:rsidRPr="00627FE1">
        <w:rPr>
          <w:rFonts w:eastAsiaTheme="minorHAnsi"/>
          <w:i/>
          <w:u w:val="single"/>
        </w:rPr>
        <w:t>/s/ Terry L. Etter</w:t>
      </w:r>
      <w:r w:rsidR="00DE70BE" w:rsidRPr="00627FE1">
        <w:rPr>
          <w:rFonts w:eastAsiaTheme="minorHAnsi"/>
        </w:rPr>
        <w:t>_________</w:t>
      </w:r>
    </w:p>
    <w:p w:rsidR="00133E43" w:rsidRPr="00627FE1" w:rsidRDefault="00133E43" w:rsidP="007066D2">
      <w:pPr>
        <w:tabs>
          <w:tab w:val="left" w:pos="4320"/>
        </w:tabs>
        <w:ind w:left="4320"/>
        <w:rPr>
          <w:rFonts w:eastAsiaTheme="minorHAnsi"/>
        </w:rPr>
      </w:pPr>
      <w:r w:rsidRPr="00627FE1">
        <w:rPr>
          <w:rFonts w:eastAsiaTheme="minorHAnsi"/>
        </w:rPr>
        <w:t xml:space="preserve">Terry L. Etter (0067445), Counsel of Record </w:t>
      </w:r>
    </w:p>
    <w:p w:rsidR="00133E43" w:rsidRPr="00627FE1" w:rsidRDefault="00133E43" w:rsidP="007066D2">
      <w:pPr>
        <w:tabs>
          <w:tab w:val="left" w:pos="4320"/>
        </w:tabs>
        <w:ind w:left="4320"/>
        <w:rPr>
          <w:rFonts w:eastAsiaTheme="minorHAnsi"/>
        </w:rPr>
      </w:pPr>
      <w:r w:rsidRPr="00627FE1">
        <w:rPr>
          <w:rFonts w:eastAsiaTheme="minorHAnsi"/>
        </w:rPr>
        <w:t>Assistant Consumers’ Counsel</w:t>
      </w:r>
    </w:p>
    <w:p w:rsidR="00B42CEA" w:rsidRPr="00627FE1" w:rsidRDefault="00B42CEA" w:rsidP="007066D2">
      <w:pPr>
        <w:tabs>
          <w:tab w:val="left" w:pos="4320"/>
        </w:tabs>
        <w:ind w:left="4320"/>
        <w:rPr>
          <w:rFonts w:eastAsiaTheme="minorHAnsi"/>
        </w:rPr>
      </w:pPr>
    </w:p>
    <w:p w:rsidR="00133E43" w:rsidRPr="00627FE1" w:rsidRDefault="00133E43" w:rsidP="00B42CEA">
      <w:pPr>
        <w:ind w:left="4320"/>
        <w:rPr>
          <w:b/>
        </w:rPr>
      </w:pPr>
      <w:r w:rsidRPr="00627FE1">
        <w:rPr>
          <w:b/>
        </w:rPr>
        <w:t>Office of the Ohio Consumers’ Counsel</w:t>
      </w:r>
    </w:p>
    <w:p w:rsidR="00133E43" w:rsidRPr="00627FE1" w:rsidRDefault="00133E43" w:rsidP="00B42CEA">
      <w:pPr>
        <w:ind w:left="4320"/>
      </w:pPr>
      <w:r w:rsidRPr="00627FE1">
        <w:t>10 West Broad Street, Suite 1800</w:t>
      </w:r>
    </w:p>
    <w:p w:rsidR="00133E43" w:rsidRPr="00627FE1" w:rsidRDefault="00133E43" w:rsidP="00B42CEA">
      <w:pPr>
        <w:ind w:left="4320"/>
      </w:pPr>
      <w:r w:rsidRPr="00627FE1">
        <w:t>Columbus, Ohio 43215-3485</w:t>
      </w:r>
    </w:p>
    <w:p w:rsidR="00133E43" w:rsidRPr="00627FE1" w:rsidRDefault="00133E43" w:rsidP="00133E43">
      <w:pPr>
        <w:autoSpaceDE w:val="0"/>
        <w:autoSpaceDN w:val="0"/>
        <w:adjustRightInd w:val="0"/>
        <w:ind w:left="4320"/>
        <w:rPr>
          <w:rFonts w:eastAsiaTheme="minorHAnsi"/>
        </w:rPr>
      </w:pPr>
      <w:r w:rsidRPr="00627FE1">
        <w:rPr>
          <w:rFonts w:eastAsiaTheme="minorHAnsi"/>
        </w:rPr>
        <w:t>Telephone: (614) 466-7964 (Etter direct)</w:t>
      </w:r>
    </w:p>
    <w:p w:rsidR="00133E43" w:rsidRPr="00627FE1" w:rsidRDefault="00133E43" w:rsidP="00133E43">
      <w:pPr>
        <w:tabs>
          <w:tab w:val="center" w:pos="4680"/>
          <w:tab w:val="right" w:pos="9360"/>
        </w:tabs>
        <w:ind w:firstLine="4320"/>
        <w:rPr>
          <w:rFonts w:eastAsiaTheme="minorHAnsi"/>
        </w:rPr>
      </w:pPr>
      <w:r w:rsidRPr="00627FE1">
        <w:rPr>
          <w:rFonts w:eastAsiaTheme="minorHAnsi"/>
          <w:color w:val="0000FF" w:themeColor="hyperlink"/>
          <w:u w:val="single"/>
        </w:rPr>
        <w:t>Terry.etter@occ.ohio.gov</w:t>
      </w:r>
    </w:p>
    <w:p w:rsidR="0098162F" w:rsidRPr="00627FE1" w:rsidRDefault="00133E43" w:rsidP="00B7068D">
      <w:pPr>
        <w:tabs>
          <w:tab w:val="center" w:pos="4680"/>
          <w:tab w:val="right" w:pos="9360"/>
        </w:tabs>
        <w:ind w:firstLine="4320"/>
        <w:rPr>
          <w:rFonts w:eastAsiaTheme="minorHAnsi"/>
        </w:rPr>
      </w:pPr>
      <w:r w:rsidRPr="00627FE1">
        <w:rPr>
          <w:rFonts w:eastAsiaTheme="minorHAnsi"/>
        </w:rPr>
        <w:t>(willing to accept service by e-mail)</w:t>
      </w:r>
    </w:p>
    <w:p w:rsidR="00B7068D" w:rsidRPr="00627FE1" w:rsidRDefault="00B7068D" w:rsidP="00B7068D">
      <w:pPr>
        <w:tabs>
          <w:tab w:val="center" w:pos="4680"/>
          <w:tab w:val="right" w:pos="9360"/>
        </w:tabs>
        <w:ind w:firstLine="4320"/>
        <w:rPr>
          <w:rFonts w:eastAsiaTheme="minorHAnsi"/>
        </w:rPr>
      </w:pPr>
    </w:p>
    <w:p w:rsidR="00133E43" w:rsidRPr="00627FE1" w:rsidRDefault="00133E43" w:rsidP="00133E43">
      <w:pPr>
        <w:widowControl w:val="0"/>
        <w:tabs>
          <w:tab w:val="center" w:pos="4680"/>
          <w:tab w:val="right" w:pos="9360"/>
        </w:tabs>
        <w:ind w:firstLine="4320"/>
        <w:rPr>
          <w:rFonts w:eastAsiaTheme="minorHAnsi"/>
        </w:rPr>
      </w:pPr>
      <w:r w:rsidRPr="00627FE1">
        <w:rPr>
          <w:rFonts w:eastAsiaTheme="minorHAnsi"/>
        </w:rPr>
        <w:t>Kimberly W. Bojko (0069402)</w:t>
      </w:r>
    </w:p>
    <w:p w:rsidR="00133E43" w:rsidRPr="00627FE1" w:rsidRDefault="00133E43" w:rsidP="00133E43">
      <w:pPr>
        <w:widowControl w:val="0"/>
        <w:tabs>
          <w:tab w:val="center" w:pos="4680"/>
          <w:tab w:val="right" w:pos="9360"/>
        </w:tabs>
        <w:ind w:firstLine="4320"/>
        <w:rPr>
          <w:rFonts w:eastAsiaTheme="minorHAnsi"/>
        </w:rPr>
      </w:pPr>
      <w:r w:rsidRPr="00627FE1">
        <w:rPr>
          <w:rFonts w:eastAsiaTheme="minorHAnsi"/>
        </w:rPr>
        <w:t>Carpenter Lipps &amp; Leland LLP</w:t>
      </w:r>
    </w:p>
    <w:p w:rsidR="00133E43" w:rsidRPr="00627FE1" w:rsidRDefault="00133E43" w:rsidP="00133E43">
      <w:pPr>
        <w:widowControl w:val="0"/>
        <w:tabs>
          <w:tab w:val="center" w:pos="4680"/>
          <w:tab w:val="right" w:pos="9360"/>
        </w:tabs>
        <w:ind w:firstLine="4320"/>
        <w:rPr>
          <w:rFonts w:eastAsiaTheme="minorHAnsi"/>
        </w:rPr>
      </w:pPr>
      <w:r w:rsidRPr="00627FE1">
        <w:rPr>
          <w:rFonts w:eastAsiaTheme="minorHAnsi"/>
        </w:rPr>
        <w:t>280 North High Street, Suite 1300</w:t>
      </w:r>
    </w:p>
    <w:p w:rsidR="00133E43" w:rsidRPr="00627FE1" w:rsidRDefault="00133E43" w:rsidP="00133E43">
      <w:pPr>
        <w:widowControl w:val="0"/>
        <w:tabs>
          <w:tab w:val="center" w:pos="4680"/>
          <w:tab w:val="right" w:pos="9360"/>
        </w:tabs>
        <w:ind w:firstLine="4320"/>
        <w:rPr>
          <w:rFonts w:eastAsiaTheme="minorHAnsi"/>
        </w:rPr>
      </w:pPr>
      <w:r w:rsidRPr="00627FE1">
        <w:rPr>
          <w:rFonts w:eastAsiaTheme="minorHAnsi"/>
        </w:rPr>
        <w:t>Columbus, Ohio 43215</w:t>
      </w:r>
    </w:p>
    <w:p w:rsidR="00133E43" w:rsidRPr="00627FE1" w:rsidRDefault="00133E43" w:rsidP="00133E43">
      <w:pPr>
        <w:widowControl w:val="0"/>
        <w:tabs>
          <w:tab w:val="center" w:pos="4680"/>
          <w:tab w:val="right" w:pos="9360"/>
        </w:tabs>
        <w:ind w:firstLine="4320"/>
        <w:rPr>
          <w:rFonts w:eastAsiaTheme="minorHAnsi"/>
        </w:rPr>
      </w:pPr>
      <w:r w:rsidRPr="00627FE1">
        <w:rPr>
          <w:rFonts w:eastAsiaTheme="minorHAnsi"/>
        </w:rPr>
        <w:t>Telephone: (614) 365-4100</w:t>
      </w:r>
    </w:p>
    <w:p w:rsidR="00133E43" w:rsidRPr="00627FE1" w:rsidRDefault="00041B14" w:rsidP="00133E43">
      <w:pPr>
        <w:widowControl w:val="0"/>
        <w:tabs>
          <w:tab w:val="center" w:pos="4680"/>
          <w:tab w:val="right" w:pos="9360"/>
        </w:tabs>
        <w:ind w:firstLine="4320"/>
        <w:rPr>
          <w:rFonts w:eastAsiaTheme="minorHAnsi"/>
        </w:rPr>
      </w:pPr>
      <w:hyperlink r:id="rId8" w:history="1">
        <w:r w:rsidR="00133E43" w:rsidRPr="00627FE1">
          <w:rPr>
            <w:rFonts w:eastAsiaTheme="minorHAnsi"/>
            <w:color w:val="0000FF" w:themeColor="hyperlink"/>
            <w:u w:val="single"/>
          </w:rPr>
          <w:t>bojko@carpenterlipps.com</w:t>
        </w:r>
      </w:hyperlink>
    </w:p>
    <w:p w:rsidR="00133E43" w:rsidRPr="00627FE1" w:rsidRDefault="00133E43" w:rsidP="00133E43">
      <w:pPr>
        <w:widowControl w:val="0"/>
        <w:tabs>
          <w:tab w:val="center" w:pos="4680"/>
          <w:tab w:val="right" w:pos="9360"/>
        </w:tabs>
        <w:ind w:firstLine="4320"/>
        <w:rPr>
          <w:rFonts w:eastAsiaTheme="minorHAnsi"/>
        </w:rPr>
      </w:pPr>
      <w:r w:rsidRPr="00627FE1">
        <w:rPr>
          <w:rFonts w:eastAsiaTheme="minorHAnsi"/>
        </w:rPr>
        <w:t>(willing to accept service by e-mail)</w:t>
      </w:r>
    </w:p>
    <w:p w:rsidR="003A4466" w:rsidRPr="00627FE1" w:rsidRDefault="003A4466">
      <w:pPr>
        <w:ind w:left="4320"/>
      </w:pPr>
    </w:p>
    <w:p w:rsidR="003A4466" w:rsidRPr="00627FE1" w:rsidRDefault="003A4466">
      <w:pPr>
        <w:ind w:left="24"/>
        <w:jc w:val="center"/>
        <w:rPr>
          <w:b/>
          <w:u w:val="single"/>
        </w:rPr>
      </w:pPr>
      <w:r w:rsidRPr="00627FE1">
        <w:rPr>
          <w:b/>
          <w:u w:val="single"/>
        </w:rPr>
        <w:br w:type="page"/>
        <w:t>CERTIFICATE OF SERVICE</w:t>
      </w:r>
    </w:p>
    <w:p w:rsidR="003A4466" w:rsidRPr="00627FE1" w:rsidRDefault="003A4466">
      <w:pPr>
        <w:rPr>
          <w:u w:val="single"/>
        </w:rPr>
      </w:pPr>
    </w:p>
    <w:p w:rsidR="003A4466" w:rsidRPr="00627FE1" w:rsidRDefault="003A4466">
      <w:pPr>
        <w:spacing w:line="480" w:lineRule="auto"/>
      </w:pPr>
      <w:r w:rsidRPr="00627FE1">
        <w:tab/>
        <w:t xml:space="preserve">I hereby certify that a copy of the </w:t>
      </w:r>
      <w:r w:rsidR="00EE677A" w:rsidRPr="00627FE1">
        <w:t>foregoing Reply</w:t>
      </w:r>
      <w:r w:rsidRPr="00627FE1">
        <w:t xml:space="preserve"> was provided to the persons listed below electronically this </w:t>
      </w:r>
      <w:r w:rsidR="00EE677A" w:rsidRPr="00627FE1">
        <w:t>2</w:t>
      </w:r>
      <w:r w:rsidR="00EE677A" w:rsidRPr="00627FE1">
        <w:rPr>
          <w:vertAlign w:val="superscript"/>
        </w:rPr>
        <w:t>nd</w:t>
      </w:r>
      <w:r w:rsidR="00EE677A" w:rsidRPr="00627FE1">
        <w:t xml:space="preserve"> </w:t>
      </w:r>
      <w:r w:rsidR="00B33C83" w:rsidRPr="00627FE1">
        <w:t xml:space="preserve">day of </w:t>
      </w:r>
      <w:r w:rsidR="00EE677A" w:rsidRPr="00627FE1">
        <w:t>Dec</w:t>
      </w:r>
      <w:r w:rsidR="007066D2" w:rsidRPr="00627FE1">
        <w:t>ember</w:t>
      </w:r>
      <w:r w:rsidR="009107EA" w:rsidRPr="00627FE1">
        <w:t xml:space="preserve"> </w:t>
      </w:r>
      <w:r w:rsidRPr="00627FE1">
        <w:t>201</w:t>
      </w:r>
      <w:r w:rsidR="00B33C83" w:rsidRPr="00627FE1">
        <w:t>5</w:t>
      </w:r>
      <w:r w:rsidRPr="00627FE1">
        <w:t>.</w:t>
      </w:r>
    </w:p>
    <w:p w:rsidR="003A4466" w:rsidRPr="00627FE1" w:rsidRDefault="003A4466"/>
    <w:p w:rsidR="003A4466" w:rsidRPr="00627FE1" w:rsidRDefault="00627FE1">
      <w:pPr>
        <w:ind w:left="4320"/>
      </w:pPr>
      <w:r w:rsidRPr="00627FE1">
        <w:rPr>
          <w:i/>
          <w:u w:val="single"/>
        </w:rPr>
        <w:t>/s/ Terry L. Etter</w:t>
      </w:r>
      <w:r w:rsidR="00DE70BE" w:rsidRPr="00627FE1">
        <w:t>______________</w:t>
      </w:r>
    </w:p>
    <w:p w:rsidR="003A4466" w:rsidRPr="00627FE1" w:rsidRDefault="007066D2">
      <w:pPr>
        <w:ind w:left="4320"/>
      </w:pPr>
      <w:r w:rsidRPr="00627FE1">
        <w:t>Terry L. Etter</w:t>
      </w:r>
      <w:r w:rsidR="003A4466" w:rsidRPr="00627FE1">
        <w:t xml:space="preserve"> </w:t>
      </w:r>
    </w:p>
    <w:p w:rsidR="003A4466" w:rsidRPr="00627FE1" w:rsidRDefault="003A4466">
      <w:pPr>
        <w:ind w:left="4320"/>
      </w:pPr>
      <w:r w:rsidRPr="00627FE1">
        <w:t>Assistant Consumers’ Counsel</w:t>
      </w:r>
    </w:p>
    <w:p w:rsidR="003A4466" w:rsidRPr="00627FE1" w:rsidRDefault="003A4466">
      <w:pPr>
        <w:ind w:left="4320"/>
      </w:pPr>
    </w:p>
    <w:p w:rsidR="00627FE1" w:rsidRPr="00627FE1" w:rsidRDefault="00627FE1" w:rsidP="003F5DF8">
      <w:pPr>
        <w:pStyle w:val="CommentText"/>
        <w:jc w:val="center"/>
        <w:rPr>
          <w:b/>
          <w:szCs w:val="24"/>
          <w:u w:val="single"/>
        </w:rPr>
      </w:pPr>
    </w:p>
    <w:p w:rsidR="00627FE1" w:rsidRPr="00627FE1" w:rsidRDefault="00627FE1" w:rsidP="003F5DF8">
      <w:pPr>
        <w:pStyle w:val="CommentText"/>
        <w:jc w:val="center"/>
        <w:rPr>
          <w:b/>
          <w:szCs w:val="24"/>
          <w:u w:val="single"/>
        </w:rPr>
      </w:pPr>
    </w:p>
    <w:p w:rsidR="003F5DF8" w:rsidRPr="00627FE1" w:rsidRDefault="003F5DF8" w:rsidP="003F5DF8">
      <w:pPr>
        <w:pStyle w:val="CommentText"/>
        <w:jc w:val="center"/>
        <w:rPr>
          <w:b/>
          <w:szCs w:val="24"/>
          <w:u w:val="single"/>
        </w:rPr>
      </w:pPr>
      <w:r w:rsidRPr="00627FE1">
        <w:rPr>
          <w:b/>
          <w:szCs w:val="24"/>
          <w:u w:val="single"/>
        </w:rPr>
        <w:t>SERVICE LIST</w:t>
      </w:r>
    </w:p>
    <w:p w:rsidR="00627FE1" w:rsidRPr="00627FE1" w:rsidRDefault="00627FE1" w:rsidP="003F5DF8">
      <w:pPr>
        <w:pStyle w:val="CommentText"/>
        <w:jc w:val="center"/>
        <w:rPr>
          <w:b/>
          <w:szCs w:val="24"/>
          <w:u w:val="single"/>
        </w:rPr>
      </w:pPr>
    </w:p>
    <w:p w:rsidR="003F5DF8" w:rsidRPr="00627FE1" w:rsidRDefault="003F5DF8" w:rsidP="003F5DF8">
      <w:pPr>
        <w:pStyle w:val="CommentText"/>
        <w:jc w:val="center"/>
        <w:rPr>
          <w:b/>
          <w:szCs w:val="24"/>
          <w:u w:val="single"/>
        </w:rPr>
      </w:pPr>
    </w:p>
    <w:tbl>
      <w:tblPr>
        <w:tblW w:w="0" w:type="auto"/>
        <w:tblLook w:val="01E0" w:firstRow="1" w:lastRow="1" w:firstColumn="1" w:lastColumn="1" w:noHBand="0" w:noVBand="0"/>
      </w:tblPr>
      <w:tblGrid>
        <w:gridCol w:w="4428"/>
        <w:gridCol w:w="4428"/>
      </w:tblGrid>
      <w:tr w:rsidR="009107EA" w:rsidRPr="00627FE1" w:rsidTr="009107EA">
        <w:tc>
          <w:tcPr>
            <w:tcW w:w="4428" w:type="dxa"/>
            <w:shd w:val="clear" w:color="auto" w:fill="auto"/>
          </w:tcPr>
          <w:p w:rsidR="009107EA" w:rsidRPr="00627FE1" w:rsidRDefault="009107EA" w:rsidP="009107EA">
            <w:pPr>
              <w:autoSpaceDE w:val="0"/>
              <w:autoSpaceDN w:val="0"/>
              <w:adjustRightInd w:val="0"/>
            </w:pPr>
            <w:r w:rsidRPr="00627FE1">
              <w:t>William Wright, Chief</w:t>
            </w:r>
          </w:p>
          <w:p w:rsidR="009107EA" w:rsidRPr="00627FE1" w:rsidRDefault="009107EA" w:rsidP="009107EA">
            <w:pPr>
              <w:autoSpaceDE w:val="0"/>
              <w:autoSpaceDN w:val="0"/>
              <w:adjustRightInd w:val="0"/>
            </w:pPr>
            <w:r w:rsidRPr="00627FE1">
              <w:t>Attorney General’s Office</w:t>
            </w:r>
          </w:p>
          <w:p w:rsidR="009107EA" w:rsidRPr="00627FE1" w:rsidRDefault="009107EA" w:rsidP="009107EA">
            <w:pPr>
              <w:autoSpaceDE w:val="0"/>
              <w:autoSpaceDN w:val="0"/>
              <w:adjustRightInd w:val="0"/>
            </w:pPr>
            <w:r w:rsidRPr="00627FE1">
              <w:t>Public Utilities Commission of Ohio</w:t>
            </w:r>
          </w:p>
          <w:p w:rsidR="009107EA" w:rsidRPr="00627FE1" w:rsidRDefault="009107EA" w:rsidP="009107EA">
            <w:pPr>
              <w:autoSpaceDE w:val="0"/>
              <w:autoSpaceDN w:val="0"/>
              <w:adjustRightInd w:val="0"/>
            </w:pPr>
            <w:r w:rsidRPr="00627FE1">
              <w:t>180 E. Broad St., 6th Fl.</w:t>
            </w:r>
          </w:p>
          <w:p w:rsidR="009107EA" w:rsidRPr="00627FE1" w:rsidRDefault="009107EA" w:rsidP="009107EA">
            <w:pPr>
              <w:autoSpaceDE w:val="0"/>
              <w:autoSpaceDN w:val="0"/>
              <w:adjustRightInd w:val="0"/>
            </w:pPr>
            <w:r w:rsidRPr="00627FE1">
              <w:t>Columbus, Ohio 43216</w:t>
            </w:r>
          </w:p>
          <w:p w:rsidR="009107EA" w:rsidRPr="00627FE1" w:rsidRDefault="00041B14" w:rsidP="009107EA">
            <w:pPr>
              <w:autoSpaceDE w:val="0"/>
              <w:autoSpaceDN w:val="0"/>
              <w:adjustRightInd w:val="0"/>
            </w:pPr>
            <w:hyperlink r:id="rId9" w:history="1">
              <w:r w:rsidR="009107EA" w:rsidRPr="00627FE1">
                <w:rPr>
                  <w:rStyle w:val="Hyperlink"/>
                </w:rPr>
                <w:t>William.wright@puc.state.oh.us</w:t>
              </w:r>
            </w:hyperlink>
          </w:p>
          <w:p w:rsidR="009107EA" w:rsidRPr="00627FE1" w:rsidRDefault="009107EA" w:rsidP="009107EA">
            <w:pPr>
              <w:autoSpaceDE w:val="0"/>
              <w:autoSpaceDN w:val="0"/>
              <w:adjustRightInd w:val="0"/>
            </w:pPr>
          </w:p>
          <w:p w:rsidR="009107EA" w:rsidRPr="00627FE1" w:rsidRDefault="009107EA" w:rsidP="009107EA">
            <w:pPr>
              <w:autoSpaceDE w:val="0"/>
              <w:autoSpaceDN w:val="0"/>
              <w:adjustRightInd w:val="0"/>
            </w:pPr>
          </w:p>
          <w:p w:rsidR="009107EA" w:rsidRPr="00627FE1" w:rsidRDefault="009107EA" w:rsidP="009107EA">
            <w:pPr>
              <w:autoSpaceDE w:val="0"/>
              <w:autoSpaceDN w:val="0"/>
              <w:adjustRightInd w:val="0"/>
            </w:pPr>
            <w:r w:rsidRPr="00627FE1">
              <w:t>Attorney Examiner:</w:t>
            </w:r>
          </w:p>
          <w:p w:rsidR="009107EA" w:rsidRPr="00627FE1" w:rsidRDefault="009107EA" w:rsidP="009107EA">
            <w:pPr>
              <w:autoSpaceDE w:val="0"/>
              <w:autoSpaceDN w:val="0"/>
              <w:adjustRightInd w:val="0"/>
            </w:pPr>
          </w:p>
          <w:p w:rsidR="009107EA" w:rsidRPr="00627FE1" w:rsidRDefault="00041B14" w:rsidP="009107EA">
            <w:pPr>
              <w:autoSpaceDE w:val="0"/>
              <w:autoSpaceDN w:val="0"/>
              <w:adjustRightInd w:val="0"/>
            </w:pPr>
            <w:hyperlink r:id="rId10" w:history="1">
              <w:r w:rsidR="009107EA" w:rsidRPr="00627FE1">
                <w:rPr>
                  <w:rStyle w:val="Hyperlink"/>
                </w:rPr>
                <w:t>Bryce.McKenney@puc.state.oh.us</w:t>
              </w:r>
            </w:hyperlink>
          </w:p>
          <w:p w:rsidR="009107EA" w:rsidRPr="00627FE1" w:rsidRDefault="009107EA" w:rsidP="009107EA">
            <w:pPr>
              <w:autoSpaceDE w:val="0"/>
              <w:autoSpaceDN w:val="0"/>
              <w:adjustRightInd w:val="0"/>
            </w:pPr>
          </w:p>
          <w:p w:rsidR="009107EA" w:rsidRPr="00627FE1" w:rsidRDefault="009107EA" w:rsidP="009107EA">
            <w:pPr>
              <w:autoSpaceDE w:val="0"/>
              <w:autoSpaceDN w:val="0"/>
              <w:adjustRightInd w:val="0"/>
            </w:pPr>
          </w:p>
        </w:tc>
        <w:tc>
          <w:tcPr>
            <w:tcW w:w="4428" w:type="dxa"/>
            <w:shd w:val="clear" w:color="auto" w:fill="auto"/>
          </w:tcPr>
          <w:p w:rsidR="009107EA" w:rsidRPr="00627FE1" w:rsidRDefault="009107EA" w:rsidP="009107EA">
            <w:pPr>
              <w:autoSpaceDE w:val="0"/>
              <w:autoSpaceDN w:val="0"/>
              <w:adjustRightInd w:val="0"/>
            </w:pPr>
            <w:r w:rsidRPr="00627FE1">
              <w:t>Amy B. Spiller</w:t>
            </w:r>
          </w:p>
          <w:p w:rsidR="009107EA" w:rsidRPr="00627FE1" w:rsidRDefault="009107EA" w:rsidP="009107EA">
            <w:pPr>
              <w:autoSpaceDE w:val="0"/>
              <w:autoSpaceDN w:val="0"/>
              <w:adjustRightInd w:val="0"/>
            </w:pPr>
            <w:r w:rsidRPr="00627FE1">
              <w:t>Elizabeth H. Watts</w:t>
            </w:r>
          </w:p>
          <w:p w:rsidR="009107EA" w:rsidRPr="00627FE1" w:rsidRDefault="009107EA" w:rsidP="009107EA">
            <w:pPr>
              <w:autoSpaceDE w:val="0"/>
              <w:autoSpaceDN w:val="0"/>
              <w:adjustRightInd w:val="0"/>
            </w:pPr>
            <w:r w:rsidRPr="00627FE1">
              <w:t>Duke Energy Business Services</w:t>
            </w:r>
          </w:p>
          <w:p w:rsidR="009107EA" w:rsidRPr="00627FE1" w:rsidRDefault="009107EA" w:rsidP="009107EA">
            <w:pPr>
              <w:autoSpaceDE w:val="0"/>
              <w:autoSpaceDN w:val="0"/>
              <w:adjustRightInd w:val="0"/>
            </w:pPr>
            <w:r w:rsidRPr="00627FE1">
              <w:t>139 East Fourth Street</w:t>
            </w:r>
          </w:p>
          <w:p w:rsidR="009107EA" w:rsidRPr="00627FE1" w:rsidRDefault="009107EA" w:rsidP="009107EA">
            <w:pPr>
              <w:autoSpaceDE w:val="0"/>
              <w:autoSpaceDN w:val="0"/>
              <w:adjustRightInd w:val="0"/>
            </w:pPr>
            <w:r w:rsidRPr="00627FE1">
              <w:t>1303-Main</w:t>
            </w:r>
          </w:p>
          <w:p w:rsidR="009107EA" w:rsidRPr="00627FE1" w:rsidRDefault="009107EA" w:rsidP="009107EA">
            <w:pPr>
              <w:autoSpaceDE w:val="0"/>
              <w:autoSpaceDN w:val="0"/>
              <w:adjustRightInd w:val="0"/>
            </w:pPr>
            <w:r w:rsidRPr="00627FE1">
              <w:t>Cincinnati, Ohio 45202</w:t>
            </w:r>
          </w:p>
          <w:p w:rsidR="009107EA" w:rsidRPr="00627FE1" w:rsidRDefault="00041B14" w:rsidP="009107EA">
            <w:pPr>
              <w:autoSpaceDE w:val="0"/>
              <w:autoSpaceDN w:val="0"/>
              <w:adjustRightInd w:val="0"/>
            </w:pPr>
            <w:hyperlink r:id="rId11" w:history="1">
              <w:r w:rsidR="009107EA" w:rsidRPr="00627FE1">
                <w:rPr>
                  <w:rStyle w:val="Hyperlink"/>
                </w:rPr>
                <w:t>Amy.Spiller@duke-energy.com</w:t>
              </w:r>
            </w:hyperlink>
          </w:p>
          <w:p w:rsidR="009107EA" w:rsidRPr="00627FE1" w:rsidRDefault="00041B14" w:rsidP="009107EA">
            <w:pPr>
              <w:autoSpaceDE w:val="0"/>
              <w:autoSpaceDN w:val="0"/>
              <w:adjustRightInd w:val="0"/>
            </w:pPr>
            <w:hyperlink r:id="rId12" w:history="1">
              <w:r w:rsidR="009107EA" w:rsidRPr="00627FE1">
                <w:rPr>
                  <w:rStyle w:val="Hyperlink"/>
                </w:rPr>
                <w:t>Elizabeth.watts@duke-energy.com</w:t>
              </w:r>
            </w:hyperlink>
          </w:p>
          <w:p w:rsidR="009107EA" w:rsidRPr="00627FE1" w:rsidRDefault="009107EA" w:rsidP="009107EA">
            <w:pPr>
              <w:autoSpaceDE w:val="0"/>
              <w:autoSpaceDN w:val="0"/>
              <w:adjustRightInd w:val="0"/>
            </w:pPr>
          </w:p>
        </w:tc>
      </w:tr>
    </w:tbl>
    <w:p w:rsidR="003A4466" w:rsidRPr="00627FE1" w:rsidRDefault="003A4466" w:rsidP="00600D30"/>
    <w:sectPr w:rsidR="003A4466" w:rsidRPr="00627FE1" w:rsidSect="00100F6B">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B8" w:rsidRDefault="002154B8">
      <w:r>
        <w:separator/>
      </w:r>
    </w:p>
  </w:endnote>
  <w:endnote w:type="continuationSeparator" w:id="0">
    <w:p w:rsidR="002154B8" w:rsidRDefault="0021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20207" w:usb1="000200A8" w:usb2="00A816CF" w:usb3="00000001" w:csb0="00A80085" w:csb1="179F138A"/>
  </w:font>
  <w:font w:name="Lucida Grande">
    <w:altName w:val="Arial"/>
    <w:charset w:val="00"/>
    <w:family w:val="auto"/>
    <w:pitch w:val="variable"/>
    <w:sig w:usb0="E1001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A7" w:rsidRDefault="00FC3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83967"/>
      <w:docPartObj>
        <w:docPartGallery w:val="Page Numbers (Bottom of Page)"/>
        <w:docPartUnique/>
      </w:docPartObj>
    </w:sdtPr>
    <w:sdtEndPr>
      <w:rPr>
        <w:noProof/>
      </w:rPr>
    </w:sdtEndPr>
    <w:sdtContent>
      <w:p w:rsidR="00100F6B" w:rsidRDefault="00100F6B">
        <w:pPr>
          <w:pStyle w:val="Footer"/>
          <w:jc w:val="center"/>
        </w:pPr>
        <w:r>
          <w:fldChar w:fldCharType="begin"/>
        </w:r>
        <w:r>
          <w:instrText xml:space="preserve"> PAGE   \* MERGEFORMAT </w:instrText>
        </w:r>
        <w:r>
          <w:fldChar w:fldCharType="separate"/>
        </w:r>
        <w:r w:rsidR="00041B14">
          <w:rPr>
            <w:noProof/>
          </w:rPr>
          <w:t>2</w:t>
        </w:r>
        <w:r>
          <w:rPr>
            <w:noProof/>
          </w:rPr>
          <w:fldChar w:fldCharType="end"/>
        </w:r>
      </w:p>
    </w:sdtContent>
  </w:sdt>
  <w:p w:rsidR="00100F6B" w:rsidRDefault="00100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F6B" w:rsidRDefault="00100F6B">
    <w:pPr>
      <w:pStyle w:val="Footer"/>
      <w:jc w:val="center"/>
    </w:pPr>
  </w:p>
  <w:p w:rsidR="00C35A11" w:rsidRDefault="00C35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B8" w:rsidRDefault="002154B8">
      <w:r>
        <w:separator/>
      </w:r>
    </w:p>
  </w:footnote>
  <w:footnote w:type="continuationSeparator" w:id="0">
    <w:p w:rsidR="002154B8" w:rsidRDefault="002154B8">
      <w:r>
        <w:continuationSeparator/>
      </w:r>
    </w:p>
  </w:footnote>
  <w:footnote w:id="1">
    <w:p w:rsidR="00A32272" w:rsidRDefault="00A32272" w:rsidP="00E4223F">
      <w:pPr>
        <w:pStyle w:val="FootnoteText"/>
        <w:spacing w:before="120" w:after="0"/>
      </w:pPr>
      <w:r>
        <w:rPr>
          <w:rStyle w:val="FootnoteReference"/>
        </w:rPr>
        <w:footnoteRef/>
      </w:r>
      <w:r>
        <w:t xml:space="preserve"> R.C. 4903.082.</w:t>
      </w:r>
    </w:p>
  </w:footnote>
  <w:footnote w:id="2">
    <w:p w:rsidR="00B427C9" w:rsidRDefault="00B427C9" w:rsidP="00E4223F">
      <w:pPr>
        <w:pStyle w:val="FootnoteText"/>
        <w:spacing w:before="120" w:after="0"/>
      </w:pPr>
      <w:r>
        <w:rPr>
          <w:rStyle w:val="FootnoteReference"/>
        </w:rPr>
        <w:footnoteRef/>
      </w:r>
      <w:r>
        <w:t xml:space="preserve"> Ohio Adm. Code 4901-1-17(A).</w:t>
      </w:r>
    </w:p>
  </w:footnote>
  <w:footnote w:id="3">
    <w:p w:rsidR="00B427C9" w:rsidRDefault="00B427C9" w:rsidP="00E4223F">
      <w:pPr>
        <w:pStyle w:val="FootnoteText"/>
        <w:spacing w:before="120" w:after="0"/>
      </w:pPr>
      <w:r>
        <w:rPr>
          <w:rStyle w:val="FootnoteReference"/>
        </w:rPr>
        <w:footnoteRef/>
      </w:r>
      <w:r>
        <w:t xml:space="preserve"> Ohio Adm. Code 4901-1-16(B).</w:t>
      </w:r>
    </w:p>
  </w:footnote>
  <w:footnote w:id="4">
    <w:p w:rsidR="002518D6" w:rsidRDefault="002518D6" w:rsidP="00E4223F">
      <w:pPr>
        <w:pStyle w:val="FootnoteText"/>
        <w:spacing w:before="120" w:after="0"/>
      </w:pPr>
      <w:r>
        <w:rPr>
          <w:rStyle w:val="FootnoteReference"/>
        </w:rPr>
        <w:footnoteRef/>
      </w:r>
      <w:r>
        <w:t xml:space="preserve"> Memorandum Contra at 2-4.</w:t>
      </w:r>
    </w:p>
  </w:footnote>
  <w:footnote w:id="5">
    <w:p w:rsidR="00610BB5" w:rsidRDefault="00610BB5" w:rsidP="00E4223F">
      <w:pPr>
        <w:pStyle w:val="FootnoteText"/>
        <w:spacing w:before="120" w:after="0"/>
      </w:pPr>
      <w:r>
        <w:rPr>
          <w:rStyle w:val="FootnoteReference"/>
        </w:rPr>
        <w:footnoteRef/>
      </w:r>
      <w:r>
        <w:t xml:space="preserve"> R.C. 4903.082.</w:t>
      </w:r>
    </w:p>
  </w:footnote>
  <w:footnote w:id="6">
    <w:p w:rsidR="00610BB5" w:rsidRDefault="00610BB5" w:rsidP="00E4223F">
      <w:pPr>
        <w:pStyle w:val="FootnoteText"/>
        <w:spacing w:before="120" w:after="0"/>
      </w:pPr>
      <w:r>
        <w:rPr>
          <w:rStyle w:val="FootnoteReference"/>
        </w:rPr>
        <w:footnoteRef/>
      </w:r>
      <w:r>
        <w:t xml:space="preserve"> Ohio Adm. Code 4901-1-17(A).</w:t>
      </w:r>
    </w:p>
  </w:footnote>
  <w:footnote w:id="7">
    <w:p w:rsidR="00610BB5" w:rsidRDefault="00610BB5" w:rsidP="00E4223F">
      <w:pPr>
        <w:pStyle w:val="FootnoteText"/>
        <w:spacing w:before="120" w:after="0"/>
      </w:pPr>
      <w:r>
        <w:rPr>
          <w:rStyle w:val="FootnoteReference"/>
        </w:rPr>
        <w:footnoteRef/>
      </w:r>
      <w:r>
        <w:t xml:space="preserve"> Ohio Adm. Code 4901-1-16(B).</w:t>
      </w:r>
    </w:p>
  </w:footnote>
  <w:footnote w:id="8">
    <w:p w:rsidR="00D67370" w:rsidRDefault="00D67370" w:rsidP="00E4223F">
      <w:pPr>
        <w:pStyle w:val="FootnoteText"/>
        <w:spacing w:before="120" w:after="0"/>
      </w:pPr>
      <w:r>
        <w:rPr>
          <w:rStyle w:val="FootnoteReference"/>
        </w:rPr>
        <w:footnoteRef/>
      </w:r>
      <w:r>
        <w:t xml:space="preserve"> Memorandum Contra at 3, n. 9.</w:t>
      </w:r>
    </w:p>
  </w:footnote>
  <w:footnote w:id="9">
    <w:p w:rsidR="008D7D14" w:rsidRDefault="008D7D14" w:rsidP="00E4223F">
      <w:pPr>
        <w:pStyle w:val="FootnoteText"/>
        <w:spacing w:before="120" w:after="0"/>
      </w:pPr>
      <w:r>
        <w:rPr>
          <w:rStyle w:val="FootnoteReference"/>
        </w:rPr>
        <w:footnoteRef/>
      </w:r>
      <w:r>
        <w:t xml:space="preserve"> </w:t>
      </w:r>
      <w:r w:rsidR="008F7839" w:rsidRPr="00827552">
        <w:rPr>
          <w:i/>
        </w:rPr>
        <w:t>See</w:t>
      </w:r>
      <w:r w:rsidR="008F7839">
        <w:t xml:space="preserve"> the Consumer Parties’ Memorandum Contra Duke’s Motion for Protective Order to Stay Discovery Pending Resolution of its Motion to Dismiss (October 23, 2015).</w:t>
      </w:r>
    </w:p>
  </w:footnote>
  <w:footnote w:id="10">
    <w:p w:rsidR="002C007C" w:rsidRDefault="002C007C" w:rsidP="00E4223F">
      <w:pPr>
        <w:pStyle w:val="FootnoteText"/>
        <w:spacing w:before="120" w:after="0"/>
      </w:pPr>
      <w:r>
        <w:rPr>
          <w:rStyle w:val="FootnoteReference"/>
        </w:rPr>
        <w:footnoteRef/>
      </w:r>
      <w:r>
        <w:t xml:space="preserve"> Case No. 09-682-EL-CSS.</w:t>
      </w:r>
    </w:p>
  </w:footnote>
  <w:footnote w:id="11">
    <w:p w:rsidR="002C007C" w:rsidRDefault="002C007C" w:rsidP="00E4223F">
      <w:pPr>
        <w:pStyle w:val="FootnoteText"/>
        <w:spacing w:before="120" w:after="0"/>
      </w:pPr>
      <w:r>
        <w:rPr>
          <w:rStyle w:val="FootnoteReference"/>
        </w:rPr>
        <w:footnoteRef/>
      </w:r>
      <w:r>
        <w:t xml:space="preserve"> Memorandum Contra at 2-3.</w:t>
      </w:r>
    </w:p>
  </w:footnote>
  <w:footnote w:id="12">
    <w:p w:rsidR="002C007C" w:rsidRDefault="002C007C" w:rsidP="00E4223F">
      <w:pPr>
        <w:pStyle w:val="FootnoteText"/>
        <w:spacing w:before="120" w:after="0"/>
      </w:pPr>
      <w:r>
        <w:rPr>
          <w:rStyle w:val="FootnoteReference"/>
        </w:rPr>
        <w:footnoteRef/>
      </w:r>
      <w:r>
        <w:t xml:space="preserve"> Case No. 09-682-EL-CSS, Entry (December 16, 2009) at 1.</w:t>
      </w:r>
    </w:p>
  </w:footnote>
  <w:footnote w:id="13">
    <w:p w:rsidR="002C007C" w:rsidRDefault="002C007C" w:rsidP="00E4223F">
      <w:pPr>
        <w:pStyle w:val="FootnoteText"/>
        <w:spacing w:before="120" w:after="0"/>
      </w:pPr>
      <w:r>
        <w:rPr>
          <w:rStyle w:val="FootnoteReference"/>
        </w:rPr>
        <w:footnoteRef/>
      </w:r>
      <w:r>
        <w:t xml:space="preserve"> Id.</w:t>
      </w:r>
    </w:p>
  </w:footnote>
  <w:footnote w:id="14">
    <w:p w:rsidR="002C007C" w:rsidRDefault="002C007C" w:rsidP="00E4223F">
      <w:pPr>
        <w:pStyle w:val="FootnoteText"/>
        <w:spacing w:before="120" w:after="0"/>
      </w:pPr>
      <w:r>
        <w:rPr>
          <w:rStyle w:val="FootnoteReference"/>
        </w:rPr>
        <w:footnoteRef/>
      </w:r>
      <w:r>
        <w:t xml:space="preserve"> Id.</w:t>
      </w:r>
    </w:p>
  </w:footnote>
  <w:footnote w:id="15">
    <w:p w:rsidR="002C007C" w:rsidRDefault="002C007C" w:rsidP="00E4223F">
      <w:pPr>
        <w:pStyle w:val="FootnoteText"/>
        <w:spacing w:before="120" w:after="0"/>
      </w:pPr>
      <w:r>
        <w:rPr>
          <w:rStyle w:val="FootnoteReference"/>
        </w:rPr>
        <w:footnoteRef/>
      </w:r>
      <w:r>
        <w:t xml:space="preserve"> Id.</w:t>
      </w:r>
    </w:p>
  </w:footnote>
  <w:footnote w:id="16">
    <w:p w:rsidR="002C007C" w:rsidRDefault="002C007C" w:rsidP="00E4223F">
      <w:pPr>
        <w:pStyle w:val="FootnoteText"/>
        <w:spacing w:before="120" w:after="0"/>
      </w:pPr>
      <w:r>
        <w:rPr>
          <w:rStyle w:val="FootnoteReference"/>
        </w:rPr>
        <w:footnoteRef/>
      </w:r>
      <w:r>
        <w:t xml:space="preserve"> Id. at 2.</w:t>
      </w:r>
    </w:p>
  </w:footnote>
  <w:footnote w:id="17">
    <w:p w:rsidR="002C007C" w:rsidRDefault="002C007C" w:rsidP="00E4223F">
      <w:pPr>
        <w:pStyle w:val="FootnoteText"/>
        <w:spacing w:before="120" w:after="0"/>
      </w:pPr>
      <w:r>
        <w:rPr>
          <w:rStyle w:val="FootnoteReference"/>
        </w:rPr>
        <w:footnoteRef/>
      </w:r>
      <w:r>
        <w:t xml:space="preserve"> Id. (Emphasis added)</w:t>
      </w:r>
      <w:r w:rsidR="00627FE1">
        <w:t>.</w:t>
      </w:r>
    </w:p>
  </w:footnote>
  <w:footnote w:id="18">
    <w:p w:rsidR="00D67171" w:rsidRDefault="00D67171" w:rsidP="00E4223F">
      <w:pPr>
        <w:pStyle w:val="FootnoteText"/>
        <w:spacing w:before="120" w:after="0"/>
      </w:pPr>
      <w:r>
        <w:rPr>
          <w:rStyle w:val="FootnoteReference"/>
        </w:rPr>
        <w:footnoteRef/>
      </w:r>
      <w:r>
        <w:t xml:space="preserve"> </w:t>
      </w:r>
      <w:r w:rsidRPr="00FF169E">
        <w:rPr>
          <w:i/>
        </w:rPr>
        <w:t>In the Matter of the Complaint of Nancy S. Toliver v. Vectren Energy</w:t>
      </w:r>
      <w:r>
        <w:t>, Case No. 12-3234-GE-CSS, Opinion and Order (July 17, 2013) at 4.</w:t>
      </w:r>
    </w:p>
  </w:footnote>
  <w:footnote w:id="19">
    <w:p w:rsidR="001F6306" w:rsidRDefault="001F6306" w:rsidP="00E4223F">
      <w:pPr>
        <w:pStyle w:val="FootnoteText"/>
        <w:spacing w:before="120" w:after="0"/>
      </w:pPr>
      <w:r>
        <w:rPr>
          <w:rStyle w:val="FootnoteReference"/>
        </w:rPr>
        <w:footnoteRef/>
      </w:r>
      <w:r>
        <w:t xml:space="preserve"> See Memorandum Contra at 8-17.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A7" w:rsidRDefault="00FC3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A7" w:rsidRDefault="00FC32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A7" w:rsidRDefault="00FC3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02B87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F8EAE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7F4ED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CEA1BE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9E030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DCF9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240D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DC89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F078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0A8B90"/>
    <w:lvl w:ilvl="0">
      <w:start w:val="1"/>
      <w:numFmt w:val="bullet"/>
      <w:lvlText w:val=""/>
      <w:lvlJc w:val="left"/>
      <w:pPr>
        <w:tabs>
          <w:tab w:val="num" w:pos="360"/>
        </w:tabs>
        <w:ind w:left="360" w:hanging="360"/>
      </w:pPr>
      <w:rPr>
        <w:rFonts w:ascii="Symbol" w:hAnsi="Symbol" w:hint="default"/>
      </w:rPr>
    </w:lvl>
  </w:abstractNum>
  <w:abstractNum w:abstractNumId="10">
    <w:nsid w:val="036B4E11"/>
    <w:multiLevelType w:val="multilevel"/>
    <w:tmpl w:val="9A5C3306"/>
    <w:lvl w:ilvl="0">
      <w:start w:val="1"/>
      <w:numFmt w:val="decimal"/>
      <w:lvlText w:val="%1."/>
      <w:lvlJc w:val="left"/>
      <w:pPr>
        <w:tabs>
          <w:tab w:val="num" w:pos="1080"/>
        </w:tabs>
        <w:ind w:left="108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15365FFC"/>
    <w:multiLevelType w:val="multilevel"/>
    <w:tmpl w:val="46A6DE36"/>
    <w:lvl w:ilvl="0">
      <w:start w:val="1"/>
      <w:numFmt w:val="decimal"/>
      <w:lvlText w:val="%1."/>
      <w:lvlJc w:val="left"/>
      <w:pPr>
        <w:tabs>
          <w:tab w:val="num" w:pos="720"/>
        </w:tabs>
        <w:ind w:left="720" w:firstLine="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2">
    <w:nsid w:val="3A0C215E"/>
    <w:multiLevelType w:val="multilevel"/>
    <w:tmpl w:val="E90C0822"/>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3252"/>
        </w:tabs>
        <w:ind w:left="3252" w:hanging="1020"/>
      </w:pPr>
      <w:rPr>
        <w:rFonts w:ascii="Times New Roman" w:eastAsia="Times New Roman" w:hAnsi="Times New Roman"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3">
    <w:nsid w:val="415B1479"/>
    <w:multiLevelType w:val="hybridMultilevel"/>
    <w:tmpl w:val="E90C0822"/>
    <w:lvl w:ilvl="0" w:tplc="A8684784">
      <w:start w:val="1"/>
      <w:numFmt w:val="decimal"/>
      <w:lvlText w:val="%1)"/>
      <w:lvlJc w:val="left"/>
      <w:pPr>
        <w:tabs>
          <w:tab w:val="num" w:pos="2544"/>
        </w:tabs>
        <w:ind w:left="2544" w:hanging="360"/>
      </w:pPr>
      <w:rPr>
        <w:rFonts w:cs="Times New Roman" w:hint="default"/>
      </w:rPr>
    </w:lvl>
    <w:lvl w:ilvl="1" w:tplc="6D76EA1A">
      <w:start w:val="1"/>
      <w:numFmt w:val="decimal"/>
      <w:lvlText w:val="%2."/>
      <w:lvlJc w:val="left"/>
      <w:pPr>
        <w:tabs>
          <w:tab w:val="num" w:pos="1764"/>
        </w:tabs>
        <w:ind w:left="1764" w:hanging="1020"/>
      </w:pPr>
      <w:rPr>
        <w:rFonts w:ascii="Times New Roman" w:eastAsia="Times New Roman" w:hAnsi="Times New Roman" w:cs="Times New Roman"/>
      </w:rPr>
    </w:lvl>
    <w:lvl w:ilvl="2" w:tplc="0409001B" w:tentative="1">
      <w:start w:val="1"/>
      <w:numFmt w:val="lowerRoman"/>
      <w:lvlText w:val="%3."/>
      <w:lvlJc w:val="right"/>
      <w:pPr>
        <w:tabs>
          <w:tab w:val="num" w:pos="3984"/>
        </w:tabs>
        <w:ind w:left="3984" w:hanging="180"/>
      </w:pPr>
      <w:rPr>
        <w:rFonts w:cs="Times New Roman"/>
      </w:rPr>
    </w:lvl>
    <w:lvl w:ilvl="3" w:tplc="0409000F" w:tentative="1">
      <w:start w:val="1"/>
      <w:numFmt w:val="decimal"/>
      <w:lvlText w:val="%4."/>
      <w:lvlJc w:val="left"/>
      <w:pPr>
        <w:tabs>
          <w:tab w:val="num" w:pos="4704"/>
        </w:tabs>
        <w:ind w:left="4704" w:hanging="360"/>
      </w:pPr>
      <w:rPr>
        <w:rFonts w:cs="Times New Roman"/>
      </w:rPr>
    </w:lvl>
    <w:lvl w:ilvl="4" w:tplc="04090019" w:tentative="1">
      <w:start w:val="1"/>
      <w:numFmt w:val="lowerLetter"/>
      <w:lvlText w:val="%5."/>
      <w:lvlJc w:val="left"/>
      <w:pPr>
        <w:tabs>
          <w:tab w:val="num" w:pos="5424"/>
        </w:tabs>
        <w:ind w:left="5424" w:hanging="360"/>
      </w:pPr>
      <w:rPr>
        <w:rFonts w:cs="Times New Roman"/>
      </w:rPr>
    </w:lvl>
    <w:lvl w:ilvl="5" w:tplc="0409001B" w:tentative="1">
      <w:start w:val="1"/>
      <w:numFmt w:val="lowerRoman"/>
      <w:lvlText w:val="%6."/>
      <w:lvlJc w:val="right"/>
      <w:pPr>
        <w:tabs>
          <w:tab w:val="num" w:pos="6144"/>
        </w:tabs>
        <w:ind w:left="6144" w:hanging="180"/>
      </w:pPr>
      <w:rPr>
        <w:rFonts w:cs="Times New Roman"/>
      </w:rPr>
    </w:lvl>
    <w:lvl w:ilvl="6" w:tplc="0409000F" w:tentative="1">
      <w:start w:val="1"/>
      <w:numFmt w:val="decimal"/>
      <w:lvlText w:val="%7."/>
      <w:lvlJc w:val="left"/>
      <w:pPr>
        <w:tabs>
          <w:tab w:val="num" w:pos="6864"/>
        </w:tabs>
        <w:ind w:left="6864" w:hanging="360"/>
      </w:pPr>
      <w:rPr>
        <w:rFonts w:cs="Times New Roman"/>
      </w:rPr>
    </w:lvl>
    <w:lvl w:ilvl="7" w:tplc="04090019" w:tentative="1">
      <w:start w:val="1"/>
      <w:numFmt w:val="lowerLetter"/>
      <w:lvlText w:val="%8."/>
      <w:lvlJc w:val="left"/>
      <w:pPr>
        <w:tabs>
          <w:tab w:val="num" w:pos="7584"/>
        </w:tabs>
        <w:ind w:left="7584" w:hanging="360"/>
      </w:pPr>
      <w:rPr>
        <w:rFonts w:cs="Times New Roman"/>
      </w:rPr>
    </w:lvl>
    <w:lvl w:ilvl="8" w:tplc="0409001B" w:tentative="1">
      <w:start w:val="1"/>
      <w:numFmt w:val="lowerRoman"/>
      <w:lvlText w:val="%9."/>
      <w:lvlJc w:val="right"/>
      <w:pPr>
        <w:tabs>
          <w:tab w:val="num" w:pos="8304"/>
        </w:tabs>
        <w:ind w:left="8304" w:hanging="180"/>
      </w:pPr>
      <w:rPr>
        <w:rFonts w:cs="Times New Roman"/>
      </w:rPr>
    </w:lvl>
  </w:abstractNum>
  <w:abstractNum w:abstractNumId="14">
    <w:nsid w:val="42EF0743"/>
    <w:multiLevelType w:val="hybridMultilevel"/>
    <w:tmpl w:val="C5DAE918"/>
    <w:lvl w:ilvl="0" w:tplc="504C0BB6">
      <w:start w:val="1"/>
      <w:numFmt w:val="decimal"/>
      <w:lvlText w:val="%1."/>
      <w:lvlJc w:val="left"/>
      <w:pPr>
        <w:tabs>
          <w:tab w:val="num" w:pos="2700"/>
        </w:tabs>
        <w:ind w:left="2700" w:hanging="1020"/>
      </w:pPr>
      <w:rPr>
        <w:rFonts w:cs="Times New Roman" w:hint="default"/>
      </w:rPr>
    </w:lvl>
    <w:lvl w:ilvl="1" w:tplc="04090019" w:tentative="1">
      <w:start w:val="1"/>
      <w:numFmt w:val="lowerLetter"/>
      <w:lvlText w:val="%2."/>
      <w:lvlJc w:val="left"/>
      <w:pPr>
        <w:tabs>
          <w:tab w:val="num" w:pos="2760"/>
        </w:tabs>
        <w:ind w:left="2760" w:hanging="360"/>
      </w:pPr>
      <w:rPr>
        <w:rFonts w:cs="Times New Roman"/>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15">
    <w:nsid w:val="44CF07F4"/>
    <w:multiLevelType w:val="hybridMultilevel"/>
    <w:tmpl w:val="7F70645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8F117FC"/>
    <w:multiLevelType w:val="hybridMultilevel"/>
    <w:tmpl w:val="9334B972"/>
    <w:lvl w:ilvl="0" w:tplc="74066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A134D3"/>
    <w:multiLevelType w:val="hybridMultilevel"/>
    <w:tmpl w:val="BCF8F758"/>
    <w:lvl w:ilvl="0" w:tplc="7D7222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162E0F"/>
    <w:multiLevelType w:val="hybridMultilevel"/>
    <w:tmpl w:val="75DAA026"/>
    <w:lvl w:ilvl="0" w:tplc="1E027874">
      <w:start w:val="2"/>
      <w:numFmt w:val="decimal"/>
      <w:lvlText w:val="%1."/>
      <w:lvlJc w:val="left"/>
      <w:pPr>
        <w:tabs>
          <w:tab w:val="num" w:pos="3696"/>
        </w:tabs>
        <w:ind w:left="3696" w:hanging="144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56555301"/>
    <w:multiLevelType w:val="hybridMultilevel"/>
    <w:tmpl w:val="0D283196"/>
    <w:lvl w:ilvl="0" w:tplc="FFFFFFFF">
      <w:start w:val="1"/>
      <w:numFmt w:val="decimal"/>
      <w:lvlText w:val="%1."/>
      <w:lvlJc w:val="left"/>
      <w:pPr>
        <w:tabs>
          <w:tab w:val="num" w:pos="1272"/>
        </w:tabs>
        <w:ind w:left="1272"/>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0">
    <w:nsid w:val="58F27E92"/>
    <w:multiLevelType w:val="hybridMultilevel"/>
    <w:tmpl w:val="942CFC0E"/>
    <w:lvl w:ilvl="0" w:tplc="4D2298B2">
      <w:start w:val="1"/>
      <w:numFmt w:val="upperLetter"/>
      <w:lvlText w:val="%1."/>
      <w:lvlJc w:val="left"/>
      <w:pPr>
        <w:tabs>
          <w:tab w:val="num" w:pos="1785"/>
        </w:tabs>
        <w:ind w:left="1785" w:hanging="106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A164567"/>
    <w:multiLevelType w:val="hybridMultilevel"/>
    <w:tmpl w:val="924AB386"/>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2">
    <w:nsid w:val="66523536"/>
    <w:multiLevelType w:val="hybridMultilevel"/>
    <w:tmpl w:val="F1B09F8C"/>
    <w:lvl w:ilvl="0" w:tplc="385A28EA">
      <w:start w:val="1"/>
      <w:numFmt w:val="upperLetter"/>
      <w:lvlText w:val="%1."/>
      <w:lvlJc w:val="left"/>
      <w:pPr>
        <w:tabs>
          <w:tab w:val="num" w:pos="1065"/>
        </w:tabs>
        <w:ind w:left="1065" w:hanging="1065"/>
      </w:pPr>
      <w:rPr>
        <w:rFonts w:cs="Times New Roman" w:hint="default"/>
      </w:rPr>
    </w:lvl>
    <w:lvl w:ilvl="1" w:tplc="04090019" w:tentative="1">
      <w:start w:val="1"/>
      <w:numFmt w:val="lowerLetter"/>
      <w:lvlText w:val="%2."/>
      <w:lvlJc w:val="left"/>
      <w:pPr>
        <w:tabs>
          <w:tab w:val="num" w:pos="1704"/>
        </w:tabs>
        <w:ind w:left="1704" w:hanging="360"/>
      </w:pPr>
      <w:rPr>
        <w:rFonts w:cs="Times New Roman"/>
      </w:rPr>
    </w:lvl>
    <w:lvl w:ilvl="2" w:tplc="0409001B" w:tentative="1">
      <w:start w:val="1"/>
      <w:numFmt w:val="lowerRoman"/>
      <w:lvlText w:val="%3."/>
      <w:lvlJc w:val="right"/>
      <w:pPr>
        <w:tabs>
          <w:tab w:val="num" w:pos="2424"/>
        </w:tabs>
        <w:ind w:left="2424" w:hanging="180"/>
      </w:pPr>
      <w:rPr>
        <w:rFonts w:cs="Times New Roman"/>
      </w:rPr>
    </w:lvl>
    <w:lvl w:ilvl="3" w:tplc="0409000F" w:tentative="1">
      <w:start w:val="1"/>
      <w:numFmt w:val="decimal"/>
      <w:lvlText w:val="%4."/>
      <w:lvlJc w:val="left"/>
      <w:pPr>
        <w:tabs>
          <w:tab w:val="num" w:pos="3144"/>
        </w:tabs>
        <w:ind w:left="3144" w:hanging="360"/>
      </w:pPr>
      <w:rPr>
        <w:rFonts w:cs="Times New Roman"/>
      </w:rPr>
    </w:lvl>
    <w:lvl w:ilvl="4" w:tplc="04090019" w:tentative="1">
      <w:start w:val="1"/>
      <w:numFmt w:val="lowerLetter"/>
      <w:lvlText w:val="%5."/>
      <w:lvlJc w:val="left"/>
      <w:pPr>
        <w:tabs>
          <w:tab w:val="num" w:pos="3864"/>
        </w:tabs>
        <w:ind w:left="3864" w:hanging="360"/>
      </w:pPr>
      <w:rPr>
        <w:rFonts w:cs="Times New Roman"/>
      </w:rPr>
    </w:lvl>
    <w:lvl w:ilvl="5" w:tplc="0409001B" w:tentative="1">
      <w:start w:val="1"/>
      <w:numFmt w:val="lowerRoman"/>
      <w:lvlText w:val="%6."/>
      <w:lvlJc w:val="right"/>
      <w:pPr>
        <w:tabs>
          <w:tab w:val="num" w:pos="4584"/>
        </w:tabs>
        <w:ind w:left="4584" w:hanging="180"/>
      </w:pPr>
      <w:rPr>
        <w:rFonts w:cs="Times New Roman"/>
      </w:rPr>
    </w:lvl>
    <w:lvl w:ilvl="6" w:tplc="0409000F" w:tentative="1">
      <w:start w:val="1"/>
      <w:numFmt w:val="decimal"/>
      <w:lvlText w:val="%7."/>
      <w:lvlJc w:val="left"/>
      <w:pPr>
        <w:tabs>
          <w:tab w:val="num" w:pos="5304"/>
        </w:tabs>
        <w:ind w:left="5304" w:hanging="360"/>
      </w:pPr>
      <w:rPr>
        <w:rFonts w:cs="Times New Roman"/>
      </w:rPr>
    </w:lvl>
    <w:lvl w:ilvl="7" w:tplc="04090019" w:tentative="1">
      <w:start w:val="1"/>
      <w:numFmt w:val="lowerLetter"/>
      <w:lvlText w:val="%8."/>
      <w:lvlJc w:val="left"/>
      <w:pPr>
        <w:tabs>
          <w:tab w:val="num" w:pos="6024"/>
        </w:tabs>
        <w:ind w:left="6024" w:hanging="360"/>
      </w:pPr>
      <w:rPr>
        <w:rFonts w:cs="Times New Roman"/>
      </w:rPr>
    </w:lvl>
    <w:lvl w:ilvl="8" w:tplc="0409001B" w:tentative="1">
      <w:start w:val="1"/>
      <w:numFmt w:val="lowerRoman"/>
      <w:lvlText w:val="%9."/>
      <w:lvlJc w:val="right"/>
      <w:pPr>
        <w:tabs>
          <w:tab w:val="num" w:pos="6744"/>
        </w:tabs>
        <w:ind w:left="6744" w:hanging="180"/>
      </w:pPr>
      <w:rPr>
        <w:rFonts w:cs="Times New Roman"/>
      </w:rPr>
    </w:lvl>
  </w:abstractNum>
  <w:abstractNum w:abstractNumId="23">
    <w:nsid w:val="6AB029AD"/>
    <w:multiLevelType w:val="hybridMultilevel"/>
    <w:tmpl w:val="1AA0C510"/>
    <w:lvl w:ilvl="0" w:tplc="B2D64F14">
      <w:start w:val="2"/>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22B35A1"/>
    <w:multiLevelType w:val="hybridMultilevel"/>
    <w:tmpl w:val="2716D0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F28799D"/>
    <w:multiLevelType w:val="multilevel"/>
    <w:tmpl w:val="475ADE7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21"/>
  </w:num>
  <w:num w:numId="2">
    <w:abstractNumId w:val="19"/>
  </w:num>
  <w:num w:numId="3">
    <w:abstractNumId w:val="25"/>
  </w:num>
  <w:num w:numId="4">
    <w:abstractNumId w:val="10"/>
  </w:num>
  <w:num w:numId="5">
    <w:abstractNumId w:val="11"/>
  </w:num>
  <w:num w:numId="6">
    <w:abstractNumId w:val="24"/>
  </w:num>
  <w:num w:numId="7">
    <w:abstractNumId w:val="13"/>
  </w:num>
  <w:num w:numId="8">
    <w:abstractNumId w:val="22"/>
  </w:num>
  <w:num w:numId="9">
    <w:abstractNumId w:val="12"/>
  </w:num>
  <w:num w:numId="10">
    <w:abstractNumId w:val="23"/>
  </w:num>
  <w:num w:numId="11">
    <w:abstractNumId w:val="20"/>
  </w:num>
  <w:num w:numId="12">
    <w:abstractNumId w:val="14"/>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66"/>
    <w:rsid w:val="00014D41"/>
    <w:rsid w:val="00023D95"/>
    <w:rsid w:val="00025A4A"/>
    <w:rsid w:val="0003781F"/>
    <w:rsid w:val="00041B14"/>
    <w:rsid w:val="000609D5"/>
    <w:rsid w:val="00064B32"/>
    <w:rsid w:val="00064F77"/>
    <w:rsid w:val="00082106"/>
    <w:rsid w:val="00082686"/>
    <w:rsid w:val="000950AE"/>
    <w:rsid w:val="000A17C8"/>
    <w:rsid w:val="000A4C05"/>
    <w:rsid w:val="000B3647"/>
    <w:rsid w:val="000B37E3"/>
    <w:rsid w:val="000C2DDD"/>
    <w:rsid w:val="00100F6B"/>
    <w:rsid w:val="00103410"/>
    <w:rsid w:val="00107E69"/>
    <w:rsid w:val="00111217"/>
    <w:rsid w:val="00133E43"/>
    <w:rsid w:val="00142E97"/>
    <w:rsid w:val="00145CFB"/>
    <w:rsid w:val="00157102"/>
    <w:rsid w:val="00195BB6"/>
    <w:rsid w:val="001977D2"/>
    <w:rsid w:val="001A6ED0"/>
    <w:rsid w:val="001B55AD"/>
    <w:rsid w:val="001C18A7"/>
    <w:rsid w:val="001E61EF"/>
    <w:rsid w:val="001F6306"/>
    <w:rsid w:val="002044BA"/>
    <w:rsid w:val="002154B8"/>
    <w:rsid w:val="00217FBB"/>
    <w:rsid w:val="00223058"/>
    <w:rsid w:val="002343BF"/>
    <w:rsid w:val="002518D6"/>
    <w:rsid w:val="00257EB3"/>
    <w:rsid w:val="00291746"/>
    <w:rsid w:val="002A2413"/>
    <w:rsid w:val="002B2AB7"/>
    <w:rsid w:val="002C007C"/>
    <w:rsid w:val="002C2CF1"/>
    <w:rsid w:val="002C4F68"/>
    <w:rsid w:val="002C5148"/>
    <w:rsid w:val="00307019"/>
    <w:rsid w:val="00313F7E"/>
    <w:rsid w:val="00321AF1"/>
    <w:rsid w:val="00321F78"/>
    <w:rsid w:val="003448AD"/>
    <w:rsid w:val="003550FB"/>
    <w:rsid w:val="00371939"/>
    <w:rsid w:val="0037244D"/>
    <w:rsid w:val="003836BB"/>
    <w:rsid w:val="00387FFA"/>
    <w:rsid w:val="00397818"/>
    <w:rsid w:val="0039798E"/>
    <w:rsid w:val="003A4466"/>
    <w:rsid w:val="003B0CDC"/>
    <w:rsid w:val="003C47ED"/>
    <w:rsid w:val="003C5ABD"/>
    <w:rsid w:val="003D173F"/>
    <w:rsid w:val="003D68E2"/>
    <w:rsid w:val="003F5DF8"/>
    <w:rsid w:val="00403611"/>
    <w:rsid w:val="00426B46"/>
    <w:rsid w:val="00440426"/>
    <w:rsid w:val="00446C07"/>
    <w:rsid w:val="00482469"/>
    <w:rsid w:val="004A1F2E"/>
    <w:rsid w:val="004C3B25"/>
    <w:rsid w:val="004E1142"/>
    <w:rsid w:val="004F1A62"/>
    <w:rsid w:val="004F46D7"/>
    <w:rsid w:val="004F5032"/>
    <w:rsid w:val="0051520F"/>
    <w:rsid w:val="0051756A"/>
    <w:rsid w:val="005270CD"/>
    <w:rsid w:val="005312C2"/>
    <w:rsid w:val="005473A3"/>
    <w:rsid w:val="00564C01"/>
    <w:rsid w:val="00565809"/>
    <w:rsid w:val="005713DD"/>
    <w:rsid w:val="00574580"/>
    <w:rsid w:val="00582E94"/>
    <w:rsid w:val="00584B62"/>
    <w:rsid w:val="005B7578"/>
    <w:rsid w:val="005E4D8B"/>
    <w:rsid w:val="00600D30"/>
    <w:rsid w:val="00610BB5"/>
    <w:rsid w:val="006127A9"/>
    <w:rsid w:val="00627FE1"/>
    <w:rsid w:val="00660523"/>
    <w:rsid w:val="0066694F"/>
    <w:rsid w:val="00666C60"/>
    <w:rsid w:val="00667DFE"/>
    <w:rsid w:val="00673A88"/>
    <w:rsid w:val="006746DB"/>
    <w:rsid w:val="006752E8"/>
    <w:rsid w:val="006879A2"/>
    <w:rsid w:val="006931FF"/>
    <w:rsid w:val="00697137"/>
    <w:rsid w:val="006A4CDE"/>
    <w:rsid w:val="006B06B9"/>
    <w:rsid w:val="006C654A"/>
    <w:rsid w:val="006E03E7"/>
    <w:rsid w:val="006E7BD0"/>
    <w:rsid w:val="006F59D7"/>
    <w:rsid w:val="006F6722"/>
    <w:rsid w:val="007066D2"/>
    <w:rsid w:val="00707B2F"/>
    <w:rsid w:val="00707D61"/>
    <w:rsid w:val="007126E1"/>
    <w:rsid w:val="007351D6"/>
    <w:rsid w:val="00751FBA"/>
    <w:rsid w:val="0077445A"/>
    <w:rsid w:val="00781B77"/>
    <w:rsid w:val="00793681"/>
    <w:rsid w:val="007A2336"/>
    <w:rsid w:val="007B38DF"/>
    <w:rsid w:val="007B6365"/>
    <w:rsid w:val="007D0C74"/>
    <w:rsid w:val="007E642D"/>
    <w:rsid w:val="007F2BDE"/>
    <w:rsid w:val="00804AA7"/>
    <w:rsid w:val="00815F3A"/>
    <w:rsid w:val="00827552"/>
    <w:rsid w:val="0083191A"/>
    <w:rsid w:val="00855BBB"/>
    <w:rsid w:val="00871837"/>
    <w:rsid w:val="008A1729"/>
    <w:rsid w:val="008D1882"/>
    <w:rsid w:val="008D785F"/>
    <w:rsid w:val="008D7D14"/>
    <w:rsid w:val="008F7839"/>
    <w:rsid w:val="00902834"/>
    <w:rsid w:val="009107EA"/>
    <w:rsid w:val="009173DC"/>
    <w:rsid w:val="009628C8"/>
    <w:rsid w:val="00977932"/>
    <w:rsid w:val="0098162F"/>
    <w:rsid w:val="009B5235"/>
    <w:rsid w:val="009B6AD2"/>
    <w:rsid w:val="009E3628"/>
    <w:rsid w:val="00A049D6"/>
    <w:rsid w:val="00A07AB6"/>
    <w:rsid w:val="00A269D6"/>
    <w:rsid w:val="00A32272"/>
    <w:rsid w:val="00A61388"/>
    <w:rsid w:val="00A84B40"/>
    <w:rsid w:val="00A87E21"/>
    <w:rsid w:val="00A92167"/>
    <w:rsid w:val="00AF2A1C"/>
    <w:rsid w:val="00B026BC"/>
    <w:rsid w:val="00B22746"/>
    <w:rsid w:val="00B333A3"/>
    <w:rsid w:val="00B33C83"/>
    <w:rsid w:val="00B427C9"/>
    <w:rsid w:val="00B42CEA"/>
    <w:rsid w:val="00B65CB9"/>
    <w:rsid w:val="00B7068D"/>
    <w:rsid w:val="00BE4C16"/>
    <w:rsid w:val="00BE57CF"/>
    <w:rsid w:val="00BE6AE6"/>
    <w:rsid w:val="00BF173F"/>
    <w:rsid w:val="00C07C60"/>
    <w:rsid w:val="00C16C82"/>
    <w:rsid w:val="00C2046E"/>
    <w:rsid w:val="00C35A11"/>
    <w:rsid w:val="00C60BA1"/>
    <w:rsid w:val="00C6272F"/>
    <w:rsid w:val="00D01A21"/>
    <w:rsid w:val="00D2667F"/>
    <w:rsid w:val="00D31F83"/>
    <w:rsid w:val="00D359A3"/>
    <w:rsid w:val="00D51D79"/>
    <w:rsid w:val="00D57293"/>
    <w:rsid w:val="00D62E3D"/>
    <w:rsid w:val="00D67171"/>
    <w:rsid w:val="00D67370"/>
    <w:rsid w:val="00D73211"/>
    <w:rsid w:val="00D7658C"/>
    <w:rsid w:val="00D87FE1"/>
    <w:rsid w:val="00D93166"/>
    <w:rsid w:val="00DA3027"/>
    <w:rsid w:val="00DB4999"/>
    <w:rsid w:val="00DB7DCD"/>
    <w:rsid w:val="00DD7608"/>
    <w:rsid w:val="00DE70BE"/>
    <w:rsid w:val="00E12011"/>
    <w:rsid w:val="00E13420"/>
    <w:rsid w:val="00E4114F"/>
    <w:rsid w:val="00E4223F"/>
    <w:rsid w:val="00E46BE0"/>
    <w:rsid w:val="00E57426"/>
    <w:rsid w:val="00E611CF"/>
    <w:rsid w:val="00E716E1"/>
    <w:rsid w:val="00E778DA"/>
    <w:rsid w:val="00E85AD3"/>
    <w:rsid w:val="00EA45C1"/>
    <w:rsid w:val="00EB07F2"/>
    <w:rsid w:val="00EE677A"/>
    <w:rsid w:val="00EF690C"/>
    <w:rsid w:val="00F23C54"/>
    <w:rsid w:val="00F321A0"/>
    <w:rsid w:val="00F73BF3"/>
    <w:rsid w:val="00F76618"/>
    <w:rsid w:val="00F948A6"/>
    <w:rsid w:val="00FB6E07"/>
    <w:rsid w:val="00FC32A7"/>
    <w:rsid w:val="00FD372A"/>
    <w:rsid w:val="00FD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45CFB"/>
    <w:rPr>
      <w:sz w:val="24"/>
      <w:szCs w:val="24"/>
    </w:rPr>
  </w:style>
  <w:style w:type="paragraph" w:styleId="Heading1">
    <w:name w:val="heading 1"/>
    <w:basedOn w:val="Normal"/>
    <w:next w:val="Normal"/>
    <w:link w:val="Heading1Char"/>
    <w:autoRedefine/>
    <w:uiPriority w:val="99"/>
    <w:qFormat/>
    <w:rsid w:val="00B7068D"/>
    <w:pPr>
      <w:keepNext/>
      <w:spacing w:before="240" w:after="240"/>
      <w:ind w:left="720" w:hanging="720"/>
      <w:outlineLvl w:val="0"/>
    </w:pPr>
    <w:rPr>
      <w:rFonts w:ascii="Times New Roman Bold" w:hAnsi="Times New Roman Bold"/>
      <w:b/>
      <w:caps/>
      <w:kern w:val="32"/>
      <w:szCs w:val="20"/>
    </w:rPr>
  </w:style>
  <w:style w:type="paragraph" w:styleId="Heading2">
    <w:name w:val="heading 2"/>
    <w:basedOn w:val="Normal"/>
    <w:next w:val="Normal"/>
    <w:link w:val="Heading2Char"/>
    <w:autoRedefine/>
    <w:uiPriority w:val="99"/>
    <w:qFormat/>
    <w:rsid w:val="00627FE1"/>
    <w:pPr>
      <w:keepNext/>
      <w:tabs>
        <w:tab w:val="left" w:pos="0"/>
      </w:tabs>
      <w:spacing w:after="240"/>
      <w:ind w:left="1440" w:right="720" w:hanging="720"/>
      <w:outlineLvl w:val="1"/>
    </w:pPr>
    <w:rPr>
      <w:rFonts w:ascii="Times New Roman Bold" w:eastAsia="Times New Roman" w:hAnsi="Times New Roman Bold"/>
      <w:b/>
      <w:szCs w:val="20"/>
    </w:rPr>
  </w:style>
  <w:style w:type="paragraph" w:styleId="Heading3">
    <w:name w:val="heading 3"/>
    <w:basedOn w:val="Normal"/>
    <w:next w:val="Normal"/>
    <w:link w:val="Heading3Char"/>
    <w:autoRedefine/>
    <w:uiPriority w:val="99"/>
    <w:qFormat/>
    <w:rsid w:val="0098162F"/>
    <w:pPr>
      <w:keepNext/>
      <w:tabs>
        <w:tab w:val="left" w:pos="0"/>
      </w:tabs>
      <w:spacing w:after="240"/>
      <w:ind w:left="2160" w:right="720" w:hanging="720"/>
      <w:outlineLvl w:val="2"/>
    </w:pPr>
    <w:rPr>
      <w:rFonts w:ascii="Times New Roman Bold" w:hAnsi="Times New Roman Bold"/>
      <w:b/>
      <w:szCs w:val="20"/>
    </w:rPr>
  </w:style>
  <w:style w:type="paragraph" w:styleId="Heading4">
    <w:name w:val="heading 4"/>
    <w:basedOn w:val="Normal"/>
    <w:next w:val="Normal"/>
    <w:link w:val="Heading4Char"/>
    <w:autoRedefine/>
    <w:uiPriority w:val="99"/>
    <w:qFormat/>
    <w:pPr>
      <w:keepNext/>
      <w:spacing w:after="240"/>
      <w:ind w:left="2880" w:right="720" w:hanging="720"/>
      <w:outlineLvl w:val="3"/>
    </w:pPr>
    <w:rPr>
      <w:rFonts w:ascii="Times New Roman Bold" w:eastAsia="Times New Roman" w:hAnsi="Times New Roman Bold"/>
      <w:b/>
      <w:szCs w:val="20"/>
    </w:rPr>
  </w:style>
  <w:style w:type="paragraph" w:styleId="Heading5">
    <w:name w:val="heading 5"/>
    <w:basedOn w:val="Normal"/>
    <w:next w:val="Normal"/>
    <w:link w:val="Heading5Char"/>
    <w:autoRedefine/>
    <w:uiPriority w:val="99"/>
    <w:qFormat/>
    <w:pPr>
      <w:spacing w:after="240"/>
      <w:ind w:left="3600" w:hanging="720"/>
      <w:outlineLvl w:val="4"/>
    </w:pPr>
    <w:rPr>
      <w:rFonts w:eastAsia="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068D"/>
    <w:rPr>
      <w:rFonts w:ascii="Times New Roman Bold" w:hAnsi="Times New Roman Bold"/>
      <w:b/>
      <w:caps/>
      <w:kern w:val="32"/>
      <w:sz w:val="24"/>
    </w:rPr>
  </w:style>
  <w:style w:type="character" w:customStyle="1" w:styleId="Heading2Char">
    <w:name w:val="Heading 2 Char"/>
    <w:link w:val="Heading2"/>
    <w:uiPriority w:val="99"/>
    <w:locked/>
    <w:rsid w:val="00627FE1"/>
    <w:rPr>
      <w:rFonts w:ascii="Times New Roman Bold" w:eastAsia="Times New Roman" w:hAnsi="Times New Roman Bold"/>
      <w:b/>
      <w:sz w:val="24"/>
    </w:rPr>
  </w:style>
  <w:style w:type="character" w:customStyle="1" w:styleId="Heading3Char">
    <w:name w:val="Heading 3 Char"/>
    <w:link w:val="Heading3"/>
    <w:uiPriority w:val="99"/>
    <w:locked/>
    <w:rsid w:val="0098162F"/>
    <w:rPr>
      <w:rFonts w:ascii="Times New Roman Bold" w:hAnsi="Times New Roman Bold"/>
      <w:b/>
      <w:sz w:val="24"/>
    </w:rPr>
  </w:style>
  <w:style w:type="character" w:customStyle="1" w:styleId="Heading4Char">
    <w:name w:val="Heading 4 Char"/>
    <w:link w:val="Heading4"/>
    <w:uiPriority w:val="99"/>
    <w:locked/>
    <w:rPr>
      <w:rFonts w:ascii="Times New Roman Bold" w:hAnsi="Times New Roman Bold" w:cs="Times New Roman"/>
      <w:b/>
      <w:sz w:val="20"/>
    </w:rPr>
  </w:style>
  <w:style w:type="character" w:customStyle="1" w:styleId="Heading5Char">
    <w:name w:val="Heading 5 Char"/>
    <w:link w:val="Heading5"/>
    <w:uiPriority w:val="99"/>
    <w:semiHidden/>
    <w:locked/>
    <w:rPr>
      <w:rFonts w:eastAsia="Times New Roman" w:cs="Times New Roman"/>
      <w:b/>
      <w:sz w:val="26"/>
    </w:rPr>
  </w:style>
  <w:style w:type="paragraph" w:styleId="BalloonText">
    <w:name w:val="Balloon Text"/>
    <w:basedOn w:val="Normal"/>
    <w:link w:val="BalloonTextChar"/>
    <w:uiPriority w:val="99"/>
    <w:semiHidden/>
    <w:rPr>
      <w:rFonts w:ascii="Lucida Grande" w:hAnsi="Lucida Grande"/>
      <w:sz w:val="18"/>
      <w:szCs w:val="20"/>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styleId="TOC2">
    <w:name w:val="toc 2"/>
    <w:basedOn w:val="Normal"/>
    <w:next w:val="Normal"/>
    <w:autoRedefine/>
    <w:uiPriority w:val="39"/>
    <w:qFormat/>
    <w:rsid w:val="0098162F"/>
    <w:pPr>
      <w:tabs>
        <w:tab w:val="decimal" w:leader="dot" w:pos="8640"/>
      </w:tabs>
      <w:spacing w:after="240"/>
      <w:ind w:left="1440" w:hanging="720"/>
    </w:pPr>
    <w:rPr>
      <w:rFonts w:eastAsia="Times New Roman"/>
    </w:rPr>
  </w:style>
  <w:style w:type="paragraph" w:styleId="TOC1">
    <w:name w:val="toc 1"/>
    <w:basedOn w:val="Normal"/>
    <w:next w:val="Normal"/>
    <w:autoRedefine/>
    <w:uiPriority w:val="39"/>
    <w:qFormat/>
    <w:rsid w:val="0098162F"/>
    <w:pPr>
      <w:tabs>
        <w:tab w:val="decimal" w:leader="dot" w:pos="8640"/>
      </w:tabs>
      <w:spacing w:after="240"/>
      <w:ind w:left="720" w:hanging="720"/>
    </w:pPr>
    <w:rPr>
      <w:rFonts w:eastAsia="Times New Roman"/>
      <w:caps/>
    </w:rPr>
  </w:style>
  <w:style w:type="paragraph" w:customStyle="1" w:styleId="Quote1">
    <w:name w:val="Quote1"/>
    <w:basedOn w:val="Normal"/>
    <w:autoRedefine/>
    <w:uiPriority w:val="99"/>
    <w:pPr>
      <w:spacing w:after="240"/>
      <w:ind w:left="720" w:right="720"/>
    </w:pPr>
    <w:rPr>
      <w:rFonts w:eastAsia="Times New Roman"/>
      <w:bCs/>
    </w:rPr>
  </w:style>
  <w:style w:type="paragraph" w:customStyle="1" w:styleId="WW-BodyTextIndent3">
    <w:name w:val="WW-Body Text Indent 3"/>
    <w:basedOn w:val="Normal"/>
    <w:uiPriority w:val="99"/>
    <w:pPr>
      <w:suppressAutoHyphens/>
      <w:spacing w:line="480" w:lineRule="atLeast"/>
      <w:ind w:firstLine="720"/>
    </w:pPr>
    <w:rPr>
      <w:rFonts w:eastAsia="Times New Roman"/>
      <w:szCs w:val="20"/>
      <w:lang w:eastAsia="ar-SA"/>
    </w:rPr>
  </w:style>
  <w:style w:type="character" w:customStyle="1" w:styleId="caps">
    <w:name w:val="caps"/>
    <w:uiPriority w:val="99"/>
  </w:style>
  <w:style w:type="paragraph" w:customStyle="1" w:styleId="ShortReturnAddress">
    <w:name w:val="Short Return Address"/>
    <w:basedOn w:val="Normal"/>
    <w:rPr>
      <w:rFonts w:eastAsia="Times New Roman"/>
      <w:szCs w:val="20"/>
    </w:rPr>
  </w:style>
  <w:style w:type="character" w:customStyle="1" w:styleId="FootnoteTextChar">
    <w:name w:val="Footnote Text Char"/>
    <w:aliases w:val="fn Char,ALTS FOOTNOTE Char,Footnote text Char,FOOTNOTE Char,Footnote Text Char1 Char Char Char Char Char"/>
    <w:uiPriority w:val="99"/>
    <w:locked/>
    <w:rPr>
      <w:lang w:val="en-US" w:eastAsia="en-US"/>
    </w:rPr>
  </w:style>
  <w:style w:type="character" w:customStyle="1" w:styleId="CharChar10">
    <w:name w:val="Char Char10"/>
    <w:uiPriority w:val="99"/>
    <w:semiHidden/>
    <w:locked/>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Pr>
      <w:lang w:val="en-US" w:eastAsia="en-US"/>
    </w:rPr>
  </w:style>
  <w:style w:type="paragraph" w:customStyle="1" w:styleId="CompanyName">
    <w:name w:val="Company Name"/>
    <w:basedOn w:val="Normal"/>
    <w:uiPriority w:val="9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Times New Roman" w:hAnsi="Arial Black"/>
      <w:spacing w:val="-15"/>
      <w:position w:val="-2"/>
      <w:sz w:val="32"/>
      <w:szCs w:val="20"/>
    </w:rPr>
  </w:style>
  <w:style w:type="character" w:customStyle="1" w:styleId="term">
    <w:name w:val="term"/>
    <w:uiPriority w:val="99"/>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fn"/>
    <w:basedOn w:val="Normal"/>
    <w:link w:val="FootnoteTextChar3"/>
    <w:autoRedefine/>
    <w:uiPriority w:val="99"/>
    <w:pPr>
      <w:spacing w:after="120"/>
    </w:pPr>
    <w:rPr>
      <w:rFonts w:eastAsia="Times New Roman"/>
      <w:sz w:val="20"/>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Char"/>
    <w:uiPriority w:val="99"/>
    <w:semiHidden/>
    <w:locked/>
    <w:rPr>
      <w:rFonts w:cs="Times New Roman"/>
    </w:rPr>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Footnote Text Char Char Char2"/>
    <w:link w:val="FootnoteText"/>
    <w:uiPriority w:val="99"/>
    <w:locked/>
    <w:rPr>
      <w:rFonts w:eastAsia="Times New Roman"/>
    </w:rPr>
  </w:style>
  <w:style w:type="paragraph" w:styleId="CommentText">
    <w:name w:val="annotation text"/>
    <w:basedOn w:val="Normal"/>
    <w:link w:val="CommentTextChar"/>
    <w:semiHidden/>
    <w:rPr>
      <w:rFonts w:eastAsia="Times New Roman"/>
      <w:szCs w:val="20"/>
    </w:rPr>
  </w:style>
  <w:style w:type="character" w:customStyle="1" w:styleId="CommentTextChar">
    <w:name w:val="Comment Text Char"/>
    <w:link w:val="CommentText"/>
    <w:uiPriority w:val="99"/>
    <w:semiHidden/>
    <w:locked/>
    <w:rPr>
      <w:rFonts w:eastAsia="Times New Roman" w:cs="Times New Roman"/>
      <w:sz w:val="24"/>
    </w:rPr>
  </w:style>
  <w:style w:type="paragraph" w:styleId="Header">
    <w:name w:val="header"/>
    <w:basedOn w:val="Normal"/>
    <w:link w:val="HeaderChar"/>
    <w:uiPriority w:val="99"/>
    <w:pPr>
      <w:tabs>
        <w:tab w:val="center" w:pos="4320"/>
        <w:tab w:val="right" w:pos="8640"/>
      </w:tabs>
    </w:pPr>
    <w:rPr>
      <w:rFonts w:eastAsia="Times New Roman"/>
      <w:szCs w:val="20"/>
    </w:rPr>
  </w:style>
  <w:style w:type="character" w:customStyle="1" w:styleId="HeaderChar">
    <w:name w:val="Header Char"/>
    <w:link w:val="Header"/>
    <w:uiPriority w:val="99"/>
    <w:locked/>
    <w:rPr>
      <w:rFonts w:eastAsia="Times New Roman" w:cs="Times New Roman"/>
      <w:sz w:val="24"/>
    </w:rPr>
  </w:style>
  <w:style w:type="paragraph" w:styleId="Footer">
    <w:name w:val="footer"/>
    <w:basedOn w:val="Normal"/>
    <w:link w:val="FooterChar"/>
    <w:uiPriority w:val="99"/>
    <w:pPr>
      <w:tabs>
        <w:tab w:val="center" w:pos="4320"/>
        <w:tab w:val="right" w:pos="8640"/>
      </w:tabs>
    </w:pPr>
    <w:rPr>
      <w:rFonts w:eastAsia="Times New Roman"/>
      <w:szCs w:val="20"/>
    </w:rPr>
  </w:style>
  <w:style w:type="character" w:customStyle="1" w:styleId="FooterChar">
    <w:name w:val="Footer Char"/>
    <w:link w:val="Footer"/>
    <w:uiPriority w:val="99"/>
    <w:locked/>
    <w:rPr>
      <w:rFonts w:eastAsia="Times New Roman" w:cs="Times New Roman"/>
      <w:sz w:val="24"/>
    </w:rPr>
  </w:style>
  <w:style w:type="character" w:styleId="FootnoteReference">
    <w:name w:val="footnote reference"/>
    <w:aliases w:val="o,fr,Style 3,Style 13,Appel note de bas de p,Style 12,(NECG) Footnote Reference,Style 124"/>
    <w:uiPriority w:val="99"/>
    <w:semiHidden/>
    <w:rPr>
      <w:rFonts w:cs="Times New Roman"/>
      <w:vertAlign w:val="superscript"/>
    </w:rPr>
  </w:style>
  <w:style w:type="character" w:styleId="CommentReference">
    <w:name w:val="annotation reference"/>
    <w:uiPriority w:val="99"/>
    <w:semiHidden/>
    <w:rPr>
      <w:rFonts w:cs="Times New Roman"/>
      <w:sz w:val="18"/>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rFonts w:eastAsia="Times New Roman"/>
      <w:b/>
      <w:szCs w:val="20"/>
    </w:rPr>
  </w:style>
  <w:style w:type="character" w:customStyle="1" w:styleId="TitleChar">
    <w:name w:val="Title Char"/>
    <w:link w:val="Title"/>
    <w:uiPriority w:val="99"/>
    <w:locked/>
    <w:rPr>
      <w:rFonts w:eastAsia="Times New Roman" w:cs="Times New Roman"/>
      <w:b/>
      <w:sz w:val="24"/>
    </w:rPr>
  </w:style>
  <w:style w:type="paragraph" w:styleId="BodyText">
    <w:name w:val="Body Text"/>
    <w:basedOn w:val="Normal"/>
    <w:link w:val="BodyTextChar"/>
    <w:uiPriority w:val="99"/>
    <w:pPr>
      <w:tabs>
        <w:tab w:val="left" w:pos="0"/>
        <w:tab w:val="left" w:pos="720"/>
      </w:tabs>
      <w:spacing w:line="480" w:lineRule="auto"/>
      <w:ind w:firstLine="720"/>
    </w:pPr>
    <w:rPr>
      <w:rFonts w:eastAsia="Times New Roman"/>
      <w:szCs w:val="20"/>
    </w:rPr>
  </w:style>
  <w:style w:type="character" w:customStyle="1" w:styleId="BodyTextChar">
    <w:name w:val="Body Text Char"/>
    <w:link w:val="BodyText"/>
    <w:uiPriority w:val="99"/>
    <w:locked/>
    <w:rPr>
      <w:rFonts w:eastAsia="Times New Roman" w:cs="Times New Roman"/>
      <w:sz w:val="24"/>
    </w:rPr>
  </w:style>
  <w:style w:type="paragraph" w:styleId="BodyTextIndent">
    <w:name w:val="Body Text Indent"/>
    <w:basedOn w:val="Normal"/>
    <w:link w:val="BodyTextIndentChar"/>
    <w:uiPriority w:val="99"/>
    <w:pPr>
      <w:spacing w:line="480" w:lineRule="auto"/>
      <w:ind w:firstLine="720"/>
    </w:pPr>
    <w:rPr>
      <w:rFonts w:eastAsia="Times New Roman"/>
      <w:szCs w:val="20"/>
    </w:rPr>
  </w:style>
  <w:style w:type="character" w:customStyle="1" w:styleId="BodyTextIndentChar">
    <w:name w:val="Body Text Indent Char"/>
    <w:link w:val="BodyTextIndent"/>
    <w:uiPriority w:val="99"/>
    <w:locked/>
    <w:rPr>
      <w:rFonts w:eastAsia="Times New Roman" w:cs="Times New Roman"/>
      <w:sz w:val="24"/>
    </w:rPr>
  </w:style>
  <w:style w:type="paragraph" w:styleId="BodyText2">
    <w:name w:val="Body Text 2"/>
    <w:basedOn w:val="Normal"/>
    <w:link w:val="BodyText2Char"/>
    <w:uiPriority w:val="99"/>
    <w:pPr>
      <w:spacing w:after="120" w:line="480" w:lineRule="auto"/>
    </w:pPr>
    <w:rPr>
      <w:rFonts w:eastAsia="Times New Roman"/>
      <w:szCs w:val="20"/>
    </w:rPr>
  </w:style>
  <w:style w:type="character" w:customStyle="1" w:styleId="BodyText2Char">
    <w:name w:val="Body Text 2 Char"/>
    <w:link w:val="BodyText2"/>
    <w:uiPriority w:val="99"/>
    <w:locked/>
    <w:rPr>
      <w:rFonts w:eastAsia="Times New Roman" w:cs="Times New Roman"/>
      <w:sz w:val="24"/>
    </w:rPr>
  </w:style>
  <w:style w:type="paragraph" w:styleId="BodyTextIndent2">
    <w:name w:val="Body Text Indent 2"/>
    <w:basedOn w:val="Normal"/>
    <w:link w:val="BodyTextIndent2Char"/>
    <w:uiPriority w:val="99"/>
    <w:pPr>
      <w:widowControl w:val="0"/>
      <w:autoSpaceDE w:val="0"/>
      <w:autoSpaceDN w:val="0"/>
      <w:adjustRightInd w:val="0"/>
      <w:spacing w:after="120" w:line="480" w:lineRule="auto"/>
      <w:ind w:left="360"/>
    </w:pPr>
    <w:rPr>
      <w:rFonts w:ascii="Courier New" w:hAnsi="Courier New"/>
      <w:sz w:val="20"/>
      <w:szCs w:val="20"/>
    </w:rPr>
  </w:style>
  <w:style w:type="character" w:customStyle="1" w:styleId="BodyTextIndent2Char">
    <w:name w:val="Body Text Indent 2 Char"/>
    <w:link w:val="BodyTextIndent2"/>
    <w:uiPriority w:val="99"/>
    <w:locked/>
    <w:rPr>
      <w:rFonts w:ascii="Courier New" w:hAnsi="Courier New" w:cs="Times New Roman"/>
    </w:rPr>
  </w:style>
  <w:style w:type="paragraph" w:styleId="BodyTextIndent3">
    <w:name w:val="Body Text Indent 3"/>
    <w:basedOn w:val="Normal"/>
    <w:link w:val="BodyTextIndent3Char"/>
    <w:uiPriority w:val="99"/>
    <w:pPr>
      <w:spacing w:after="120"/>
      <w:ind w:left="360"/>
    </w:pPr>
    <w:rPr>
      <w:rFonts w:eastAsia="Times New Roman"/>
      <w:sz w:val="16"/>
      <w:szCs w:val="20"/>
    </w:rPr>
  </w:style>
  <w:style w:type="character" w:customStyle="1" w:styleId="BodyTextIndent3Char">
    <w:name w:val="Body Text Indent 3 Char"/>
    <w:link w:val="BodyTextIndent3"/>
    <w:uiPriority w:val="99"/>
    <w:locked/>
    <w:rPr>
      <w:rFonts w:eastAsia="Times New Roman" w:cs="Times New Roman"/>
      <w:sz w:val="16"/>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rPr>
  </w:style>
  <w:style w:type="paragraph" w:styleId="NormalWeb">
    <w:name w:val="Normal (Web)"/>
    <w:basedOn w:val="Normal"/>
    <w:uiPriority w:val="99"/>
    <w:pPr>
      <w:spacing w:before="100" w:beforeAutospacing="1" w:after="100" w:afterAutospacing="1"/>
    </w:pPr>
    <w:rPr>
      <w:rFonts w:eastAsia="Times New Roma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Pr>
      <w:rFonts w:ascii="Courier New" w:hAnsi="Courier New" w:cs="Times New Roman"/>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link w:val="CommentSubject"/>
    <w:uiPriority w:val="99"/>
    <w:semiHidden/>
    <w:locked/>
    <w:rPr>
      <w:rFonts w:eastAsia="Times New Roman" w:cs="Times New Roman"/>
      <w:sz w:val="24"/>
    </w:rPr>
  </w:style>
  <w:style w:type="table" w:styleId="TableGrid">
    <w:name w:val="Table Grid"/>
    <w:basedOn w:val="Table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pPr>
      <w:ind w:left="1440" w:right="720"/>
    </w:pPr>
    <w:rPr>
      <w:rFonts w:eastAsia="Times New Roman"/>
      <w:szCs w:val="20"/>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link w:val="EndnoteText"/>
    <w:uiPriority w:val="99"/>
    <w:locked/>
    <w:rPr>
      <w:rFonts w:eastAsia="Times New Roman" w:cs="Times New Roman"/>
    </w:rPr>
  </w:style>
  <w:style w:type="character" w:styleId="EndnoteReference">
    <w:name w:val="endnote reference"/>
    <w:uiPriority w:val="99"/>
    <w:rPr>
      <w:rFonts w:cs="Times New Roman"/>
      <w:vertAlign w:val="superscript"/>
    </w:rPr>
  </w:style>
  <w:style w:type="character" w:styleId="FollowedHyperlink">
    <w:name w:val="FollowedHyperlink"/>
    <w:uiPriority w:val="99"/>
    <w:rPr>
      <w:rFonts w:cs="Times New Roman"/>
      <w:color w:val="800080"/>
      <w:u w:val="single"/>
    </w:rPr>
  </w:style>
  <w:style w:type="paragraph" w:customStyle="1" w:styleId="indexheadin">
    <w:name w:val="index headin"/>
    <w:uiPriority w:val="99"/>
    <w:pPr>
      <w:widowControl w:val="0"/>
      <w:tabs>
        <w:tab w:val="left" w:pos="-720"/>
      </w:tabs>
      <w:suppressAutoHyphens/>
    </w:pPr>
    <w:rPr>
      <w:rFonts w:ascii="Courier New" w:eastAsia="Times New Roman" w:hAnsi="Courier New"/>
      <w:b/>
      <w:sz w:val="24"/>
    </w:rPr>
  </w:style>
  <w:style w:type="paragraph" w:customStyle="1" w:styleId="rulea">
    <w:name w:val="rulea"/>
    <w:basedOn w:val="Normal"/>
    <w:uiPriority w:val="99"/>
    <w:pPr>
      <w:spacing w:before="100" w:beforeAutospacing="1" w:after="100" w:afterAutospacing="1"/>
    </w:pPr>
    <w:rPr>
      <w:rFonts w:eastAsia="Times New Roman"/>
    </w:rPr>
  </w:style>
  <w:style w:type="paragraph" w:customStyle="1" w:styleId="rule1">
    <w:name w:val="rule1"/>
    <w:basedOn w:val="Normal"/>
    <w:uiPriority w:val="99"/>
    <w:pPr>
      <w:spacing w:before="100" w:beforeAutospacing="1" w:after="100" w:afterAutospacing="1"/>
    </w:pPr>
    <w:rPr>
      <w:rFonts w:eastAsia="Times New Roman"/>
    </w:rPr>
  </w:style>
  <w:style w:type="paragraph" w:customStyle="1" w:styleId="ruleheading">
    <w:name w:val="ruleheading"/>
    <w:basedOn w:val="Normal"/>
    <w:uiPriority w:val="99"/>
    <w:pPr>
      <w:spacing w:before="100" w:beforeAutospacing="1" w:after="100" w:afterAutospacing="1"/>
    </w:pPr>
    <w:rPr>
      <w:rFonts w:eastAsia="Times New Roman"/>
    </w:rPr>
  </w:style>
  <w:style w:type="paragraph" w:customStyle="1" w:styleId="rulesma">
    <w:name w:val="rulesma"/>
    <w:basedOn w:val="Normal"/>
    <w:uiPriority w:val="99"/>
    <w:pPr>
      <w:spacing w:before="100" w:beforeAutospacing="1" w:after="100" w:afterAutospacing="1"/>
    </w:pPr>
    <w:rPr>
      <w:rFonts w:eastAsia="Times New Roman"/>
    </w:rPr>
  </w:style>
  <w:style w:type="paragraph" w:styleId="TOC3">
    <w:name w:val="toc 3"/>
    <w:basedOn w:val="Normal"/>
    <w:next w:val="Normal"/>
    <w:autoRedefine/>
    <w:uiPriority w:val="39"/>
    <w:qFormat/>
    <w:rsid w:val="0098162F"/>
    <w:pPr>
      <w:tabs>
        <w:tab w:val="decimal" w:leader="dot" w:pos="8640"/>
      </w:tabs>
      <w:spacing w:after="240"/>
      <w:ind w:left="2160" w:hanging="720"/>
    </w:pPr>
    <w:rPr>
      <w:rFonts w:eastAsia="Times New Roman"/>
    </w:rPr>
  </w:style>
  <w:style w:type="character" w:customStyle="1" w:styleId="pnotesssh">
    <w:name w:val="pnote ss_sh"/>
    <w:uiPriority w:val="99"/>
  </w:style>
  <w:style w:type="character" w:customStyle="1" w:styleId="sh1937232082pnotesssh">
    <w:name w:val="sh_1937232082 pnote ss_sh"/>
    <w:uiPriority w:val="99"/>
  </w:style>
  <w:style w:type="character" w:customStyle="1" w:styleId="apple-converted-space">
    <w:name w:val="apple-converted-space"/>
    <w:uiPriority w:val="99"/>
  </w:style>
  <w:style w:type="paragraph" w:styleId="TOC4">
    <w:name w:val="toc 4"/>
    <w:basedOn w:val="Normal"/>
    <w:next w:val="Normal"/>
    <w:autoRedefine/>
    <w:uiPriority w:val="99"/>
    <w:locked/>
    <w:pPr>
      <w:tabs>
        <w:tab w:val="left" w:pos="720"/>
        <w:tab w:val="decimal" w:leader="dot" w:pos="8640"/>
      </w:tabs>
      <w:spacing w:after="240"/>
      <w:ind w:left="2880" w:hanging="720"/>
    </w:pPr>
  </w:style>
  <w:style w:type="paragraph" w:styleId="Date">
    <w:name w:val="Date"/>
    <w:basedOn w:val="Normal"/>
    <w:next w:val="Normal"/>
    <w:link w:val="DateChar"/>
    <w:locked/>
    <w:rsid w:val="003F5DF8"/>
    <w:rPr>
      <w:rFonts w:eastAsia="Times New Roman"/>
      <w:szCs w:val="20"/>
    </w:rPr>
  </w:style>
  <w:style w:type="character" w:customStyle="1" w:styleId="DateChar">
    <w:name w:val="Date Char"/>
    <w:basedOn w:val="DefaultParagraphFont"/>
    <w:link w:val="Date"/>
    <w:rsid w:val="003F5DF8"/>
    <w:rPr>
      <w:rFonts w:eastAsia="Times New Roman"/>
      <w:sz w:val="24"/>
    </w:rPr>
  </w:style>
  <w:style w:type="paragraph" w:styleId="ListParagraph">
    <w:name w:val="List Paragraph"/>
    <w:basedOn w:val="Normal"/>
    <w:uiPriority w:val="34"/>
    <w:qFormat/>
    <w:rsid w:val="009173DC"/>
    <w:pPr>
      <w:ind w:left="720"/>
      <w:contextualSpacing/>
    </w:pPr>
  </w:style>
  <w:style w:type="character" w:customStyle="1" w:styleId="sssh">
    <w:name w:val="ss_sh"/>
    <w:basedOn w:val="DefaultParagraphFont"/>
    <w:rsid w:val="0051756A"/>
  </w:style>
  <w:style w:type="character" w:customStyle="1" w:styleId="ssit1">
    <w:name w:val="ss_it1"/>
    <w:basedOn w:val="DefaultParagraphFont"/>
    <w:rsid w:val="005175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45CFB"/>
    <w:rPr>
      <w:sz w:val="24"/>
      <w:szCs w:val="24"/>
    </w:rPr>
  </w:style>
  <w:style w:type="paragraph" w:styleId="Heading1">
    <w:name w:val="heading 1"/>
    <w:basedOn w:val="Normal"/>
    <w:next w:val="Normal"/>
    <w:link w:val="Heading1Char"/>
    <w:autoRedefine/>
    <w:uiPriority w:val="99"/>
    <w:qFormat/>
    <w:rsid w:val="00B7068D"/>
    <w:pPr>
      <w:keepNext/>
      <w:spacing w:before="240" w:after="240"/>
      <w:ind w:left="720" w:hanging="720"/>
      <w:outlineLvl w:val="0"/>
    </w:pPr>
    <w:rPr>
      <w:rFonts w:ascii="Times New Roman Bold" w:hAnsi="Times New Roman Bold"/>
      <w:b/>
      <w:caps/>
      <w:kern w:val="32"/>
      <w:szCs w:val="20"/>
    </w:rPr>
  </w:style>
  <w:style w:type="paragraph" w:styleId="Heading2">
    <w:name w:val="heading 2"/>
    <w:basedOn w:val="Normal"/>
    <w:next w:val="Normal"/>
    <w:link w:val="Heading2Char"/>
    <w:autoRedefine/>
    <w:uiPriority w:val="99"/>
    <w:qFormat/>
    <w:rsid w:val="00627FE1"/>
    <w:pPr>
      <w:keepNext/>
      <w:tabs>
        <w:tab w:val="left" w:pos="0"/>
      </w:tabs>
      <w:spacing w:after="240"/>
      <w:ind w:left="1440" w:right="720" w:hanging="720"/>
      <w:outlineLvl w:val="1"/>
    </w:pPr>
    <w:rPr>
      <w:rFonts w:ascii="Times New Roman Bold" w:eastAsia="Times New Roman" w:hAnsi="Times New Roman Bold"/>
      <w:b/>
      <w:szCs w:val="20"/>
    </w:rPr>
  </w:style>
  <w:style w:type="paragraph" w:styleId="Heading3">
    <w:name w:val="heading 3"/>
    <w:basedOn w:val="Normal"/>
    <w:next w:val="Normal"/>
    <w:link w:val="Heading3Char"/>
    <w:autoRedefine/>
    <w:uiPriority w:val="99"/>
    <w:qFormat/>
    <w:rsid w:val="0098162F"/>
    <w:pPr>
      <w:keepNext/>
      <w:tabs>
        <w:tab w:val="left" w:pos="0"/>
      </w:tabs>
      <w:spacing w:after="240"/>
      <w:ind w:left="2160" w:right="720" w:hanging="720"/>
      <w:outlineLvl w:val="2"/>
    </w:pPr>
    <w:rPr>
      <w:rFonts w:ascii="Times New Roman Bold" w:hAnsi="Times New Roman Bold"/>
      <w:b/>
      <w:szCs w:val="20"/>
    </w:rPr>
  </w:style>
  <w:style w:type="paragraph" w:styleId="Heading4">
    <w:name w:val="heading 4"/>
    <w:basedOn w:val="Normal"/>
    <w:next w:val="Normal"/>
    <w:link w:val="Heading4Char"/>
    <w:autoRedefine/>
    <w:uiPriority w:val="99"/>
    <w:qFormat/>
    <w:pPr>
      <w:keepNext/>
      <w:spacing w:after="240"/>
      <w:ind w:left="2880" w:right="720" w:hanging="720"/>
      <w:outlineLvl w:val="3"/>
    </w:pPr>
    <w:rPr>
      <w:rFonts w:ascii="Times New Roman Bold" w:eastAsia="Times New Roman" w:hAnsi="Times New Roman Bold"/>
      <w:b/>
      <w:szCs w:val="20"/>
    </w:rPr>
  </w:style>
  <w:style w:type="paragraph" w:styleId="Heading5">
    <w:name w:val="heading 5"/>
    <w:basedOn w:val="Normal"/>
    <w:next w:val="Normal"/>
    <w:link w:val="Heading5Char"/>
    <w:autoRedefine/>
    <w:uiPriority w:val="99"/>
    <w:qFormat/>
    <w:pPr>
      <w:spacing w:after="240"/>
      <w:ind w:left="3600" w:hanging="720"/>
      <w:outlineLvl w:val="4"/>
    </w:pPr>
    <w:rPr>
      <w:rFonts w:eastAsia="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068D"/>
    <w:rPr>
      <w:rFonts w:ascii="Times New Roman Bold" w:hAnsi="Times New Roman Bold"/>
      <w:b/>
      <w:caps/>
      <w:kern w:val="32"/>
      <w:sz w:val="24"/>
    </w:rPr>
  </w:style>
  <w:style w:type="character" w:customStyle="1" w:styleId="Heading2Char">
    <w:name w:val="Heading 2 Char"/>
    <w:link w:val="Heading2"/>
    <w:uiPriority w:val="99"/>
    <w:locked/>
    <w:rsid w:val="00627FE1"/>
    <w:rPr>
      <w:rFonts w:ascii="Times New Roman Bold" w:eastAsia="Times New Roman" w:hAnsi="Times New Roman Bold"/>
      <w:b/>
      <w:sz w:val="24"/>
    </w:rPr>
  </w:style>
  <w:style w:type="character" w:customStyle="1" w:styleId="Heading3Char">
    <w:name w:val="Heading 3 Char"/>
    <w:link w:val="Heading3"/>
    <w:uiPriority w:val="99"/>
    <w:locked/>
    <w:rsid w:val="0098162F"/>
    <w:rPr>
      <w:rFonts w:ascii="Times New Roman Bold" w:hAnsi="Times New Roman Bold"/>
      <w:b/>
      <w:sz w:val="24"/>
    </w:rPr>
  </w:style>
  <w:style w:type="character" w:customStyle="1" w:styleId="Heading4Char">
    <w:name w:val="Heading 4 Char"/>
    <w:link w:val="Heading4"/>
    <w:uiPriority w:val="99"/>
    <w:locked/>
    <w:rPr>
      <w:rFonts w:ascii="Times New Roman Bold" w:hAnsi="Times New Roman Bold" w:cs="Times New Roman"/>
      <w:b/>
      <w:sz w:val="20"/>
    </w:rPr>
  </w:style>
  <w:style w:type="character" w:customStyle="1" w:styleId="Heading5Char">
    <w:name w:val="Heading 5 Char"/>
    <w:link w:val="Heading5"/>
    <w:uiPriority w:val="99"/>
    <w:semiHidden/>
    <w:locked/>
    <w:rPr>
      <w:rFonts w:eastAsia="Times New Roman" w:cs="Times New Roman"/>
      <w:b/>
      <w:sz w:val="26"/>
    </w:rPr>
  </w:style>
  <w:style w:type="paragraph" w:styleId="BalloonText">
    <w:name w:val="Balloon Text"/>
    <w:basedOn w:val="Normal"/>
    <w:link w:val="BalloonTextChar"/>
    <w:uiPriority w:val="99"/>
    <w:semiHidden/>
    <w:rPr>
      <w:rFonts w:ascii="Lucida Grande" w:hAnsi="Lucida Grande"/>
      <w:sz w:val="18"/>
      <w:szCs w:val="20"/>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styleId="TOC2">
    <w:name w:val="toc 2"/>
    <w:basedOn w:val="Normal"/>
    <w:next w:val="Normal"/>
    <w:autoRedefine/>
    <w:uiPriority w:val="39"/>
    <w:qFormat/>
    <w:rsid w:val="0098162F"/>
    <w:pPr>
      <w:tabs>
        <w:tab w:val="decimal" w:leader="dot" w:pos="8640"/>
      </w:tabs>
      <w:spacing w:after="240"/>
      <w:ind w:left="1440" w:hanging="720"/>
    </w:pPr>
    <w:rPr>
      <w:rFonts w:eastAsia="Times New Roman"/>
    </w:rPr>
  </w:style>
  <w:style w:type="paragraph" w:styleId="TOC1">
    <w:name w:val="toc 1"/>
    <w:basedOn w:val="Normal"/>
    <w:next w:val="Normal"/>
    <w:autoRedefine/>
    <w:uiPriority w:val="39"/>
    <w:qFormat/>
    <w:rsid w:val="0098162F"/>
    <w:pPr>
      <w:tabs>
        <w:tab w:val="decimal" w:leader="dot" w:pos="8640"/>
      </w:tabs>
      <w:spacing w:after="240"/>
      <w:ind w:left="720" w:hanging="720"/>
    </w:pPr>
    <w:rPr>
      <w:rFonts w:eastAsia="Times New Roman"/>
      <w:caps/>
    </w:rPr>
  </w:style>
  <w:style w:type="paragraph" w:customStyle="1" w:styleId="Quote1">
    <w:name w:val="Quote1"/>
    <w:basedOn w:val="Normal"/>
    <w:autoRedefine/>
    <w:uiPriority w:val="99"/>
    <w:pPr>
      <w:spacing w:after="240"/>
      <w:ind w:left="720" w:right="720"/>
    </w:pPr>
    <w:rPr>
      <w:rFonts w:eastAsia="Times New Roman"/>
      <w:bCs/>
    </w:rPr>
  </w:style>
  <w:style w:type="paragraph" w:customStyle="1" w:styleId="WW-BodyTextIndent3">
    <w:name w:val="WW-Body Text Indent 3"/>
    <w:basedOn w:val="Normal"/>
    <w:uiPriority w:val="99"/>
    <w:pPr>
      <w:suppressAutoHyphens/>
      <w:spacing w:line="480" w:lineRule="atLeast"/>
      <w:ind w:firstLine="720"/>
    </w:pPr>
    <w:rPr>
      <w:rFonts w:eastAsia="Times New Roman"/>
      <w:szCs w:val="20"/>
      <w:lang w:eastAsia="ar-SA"/>
    </w:rPr>
  </w:style>
  <w:style w:type="character" w:customStyle="1" w:styleId="caps">
    <w:name w:val="caps"/>
    <w:uiPriority w:val="99"/>
  </w:style>
  <w:style w:type="paragraph" w:customStyle="1" w:styleId="ShortReturnAddress">
    <w:name w:val="Short Return Address"/>
    <w:basedOn w:val="Normal"/>
    <w:rPr>
      <w:rFonts w:eastAsia="Times New Roman"/>
      <w:szCs w:val="20"/>
    </w:rPr>
  </w:style>
  <w:style w:type="character" w:customStyle="1" w:styleId="FootnoteTextChar">
    <w:name w:val="Footnote Text Char"/>
    <w:aliases w:val="fn Char,ALTS FOOTNOTE Char,Footnote text Char,FOOTNOTE Char,Footnote Text Char1 Char Char Char Char Char"/>
    <w:uiPriority w:val="99"/>
    <w:locked/>
    <w:rPr>
      <w:lang w:val="en-US" w:eastAsia="en-US"/>
    </w:rPr>
  </w:style>
  <w:style w:type="character" w:customStyle="1" w:styleId="CharChar10">
    <w:name w:val="Char Char10"/>
    <w:uiPriority w:val="99"/>
    <w:semiHidden/>
    <w:locked/>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Pr>
      <w:lang w:val="en-US" w:eastAsia="en-US"/>
    </w:rPr>
  </w:style>
  <w:style w:type="paragraph" w:customStyle="1" w:styleId="CompanyName">
    <w:name w:val="Company Name"/>
    <w:basedOn w:val="Normal"/>
    <w:uiPriority w:val="9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Times New Roman" w:hAnsi="Arial Black"/>
      <w:spacing w:val="-15"/>
      <w:position w:val="-2"/>
      <w:sz w:val="32"/>
      <w:szCs w:val="20"/>
    </w:rPr>
  </w:style>
  <w:style w:type="character" w:customStyle="1" w:styleId="term">
    <w:name w:val="term"/>
    <w:uiPriority w:val="99"/>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fn"/>
    <w:basedOn w:val="Normal"/>
    <w:link w:val="FootnoteTextChar3"/>
    <w:autoRedefine/>
    <w:uiPriority w:val="99"/>
    <w:pPr>
      <w:spacing w:after="120"/>
    </w:pPr>
    <w:rPr>
      <w:rFonts w:eastAsia="Times New Roman"/>
      <w:sz w:val="20"/>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Char"/>
    <w:uiPriority w:val="99"/>
    <w:semiHidden/>
    <w:locked/>
    <w:rPr>
      <w:rFonts w:cs="Times New Roman"/>
    </w:rPr>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Footnote Text Char Char Char2"/>
    <w:link w:val="FootnoteText"/>
    <w:uiPriority w:val="99"/>
    <w:locked/>
    <w:rPr>
      <w:rFonts w:eastAsia="Times New Roman"/>
    </w:rPr>
  </w:style>
  <w:style w:type="paragraph" w:styleId="CommentText">
    <w:name w:val="annotation text"/>
    <w:basedOn w:val="Normal"/>
    <w:link w:val="CommentTextChar"/>
    <w:semiHidden/>
    <w:rPr>
      <w:rFonts w:eastAsia="Times New Roman"/>
      <w:szCs w:val="20"/>
    </w:rPr>
  </w:style>
  <w:style w:type="character" w:customStyle="1" w:styleId="CommentTextChar">
    <w:name w:val="Comment Text Char"/>
    <w:link w:val="CommentText"/>
    <w:uiPriority w:val="99"/>
    <w:semiHidden/>
    <w:locked/>
    <w:rPr>
      <w:rFonts w:eastAsia="Times New Roman" w:cs="Times New Roman"/>
      <w:sz w:val="24"/>
    </w:rPr>
  </w:style>
  <w:style w:type="paragraph" w:styleId="Header">
    <w:name w:val="header"/>
    <w:basedOn w:val="Normal"/>
    <w:link w:val="HeaderChar"/>
    <w:uiPriority w:val="99"/>
    <w:pPr>
      <w:tabs>
        <w:tab w:val="center" w:pos="4320"/>
        <w:tab w:val="right" w:pos="8640"/>
      </w:tabs>
    </w:pPr>
    <w:rPr>
      <w:rFonts w:eastAsia="Times New Roman"/>
      <w:szCs w:val="20"/>
    </w:rPr>
  </w:style>
  <w:style w:type="character" w:customStyle="1" w:styleId="HeaderChar">
    <w:name w:val="Header Char"/>
    <w:link w:val="Header"/>
    <w:uiPriority w:val="99"/>
    <w:locked/>
    <w:rPr>
      <w:rFonts w:eastAsia="Times New Roman" w:cs="Times New Roman"/>
      <w:sz w:val="24"/>
    </w:rPr>
  </w:style>
  <w:style w:type="paragraph" w:styleId="Footer">
    <w:name w:val="footer"/>
    <w:basedOn w:val="Normal"/>
    <w:link w:val="FooterChar"/>
    <w:uiPriority w:val="99"/>
    <w:pPr>
      <w:tabs>
        <w:tab w:val="center" w:pos="4320"/>
        <w:tab w:val="right" w:pos="8640"/>
      </w:tabs>
    </w:pPr>
    <w:rPr>
      <w:rFonts w:eastAsia="Times New Roman"/>
      <w:szCs w:val="20"/>
    </w:rPr>
  </w:style>
  <w:style w:type="character" w:customStyle="1" w:styleId="FooterChar">
    <w:name w:val="Footer Char"/>
    <w:link w:val="Footer"/>
    <w:uiPriority w:val="99"/>
    <w:locked/>
    <w:rPr>
      <w:rFonts w:eastAsia="Times New Roman" w:cs="Times New Roman"/>
      <w:sz w:val="24"/>
    </w:rPr>
  </w:style>
  <w:style w:type="character" w:styleId="FootnoteReference">
    <w:name w:val="footnote reference"/>
    <w:aliases w:val="o,fr,Style 3,Style 13,Appel note de bas de p,Style 12,(NECG) Footnote Reference,Style 124"/>
    <w:uiPriority w:val="99"/>
    <w:semiHidden/>
    <w:rPr>
      <w:rFonts w:cs="Times New Roman"/>
      <w:vertAlign w:val="superscript"/>
    </w:rPr>
  </w:style>
  <w:style w:type="character" w:styleId="CommentReference">
    <w:name w:val="annotation reference"/>
    <w:uiPriority w:val="99"/>
    <w:semiHidden/>
    <w:rPr>
      <w:rFonts w:cs="Times New Roman"/>
      <w:sz w:val="18"/>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rFonts w:eastAsia="Times New Roman"/>
      <w:b/>
      <w:szCs w:val="20"/>
    </w:rPr>
  </w:style>
  <w:style w:type="character" w:customStyle="1" w:styleId="TitleChar">
    <w:name w:val="Title Char"/>
    <w:link w:val="Title"/>
    <w:uiPriority w:val="99"/>
    <w:locked/>
    <w:rPr>
      <w:rFonts w:eastAsia="Times New Roman" w:cs="Times New Roman"/>
      <w:b/>
      <w:sz w:val="24"/>
    </w:rPr>
  </w:style>
  <w:style w:type="paragraph" w:styleId="BodyText">
    <w:name w:val="Body Text"/>
    <w:basedOn w:val="Normal"/>
    <w:link w:val="BodyTextChar"/>
    <w:uiPriority w:val="99"/>
    <w:pPr>
      <w:tabs>
        <w:tab w:val="left" w:pos="0"/>
        <w:tab w:val="left" w:pos="720"/>
      </w:tabs>
      <w:spacing w:line="480" w:lineRule="auto"/>
      <w:ind w:firstLine="720"/>
    </w:pPr>
    <w:rPr>
      <w:rFonts w:eastAsia="Times New Roman"/>
      <w:szCs w:val="20"/>
    </w:rPr>
  </w:style>
  <w:style w:type="character" w:customStyle="1" w:styleId="BodyTextChar">
    <w:name w:val="Body Text Char"/>
    <w:link w:val="BodyText"/>
    <w:uiPriority w:val="99"/>
    <w:locked/>
    <w:rPr>
      <w:rFonts w:eastAsia="Times New Roman" w:cs="Times New Roman"/>
      <w:sz w:val="24"/>
    </w:rPr>
  </w:style>
  <w:style w:type="paragraph" w:styleId="BodyTextIndent">
    <w:name w:val="Body Text Indent"/>
    <w:basedOn w:val="Normal"/>
    <w:link w:val="BodyTextIndentChar"/>
    <w:uiPriority w:val="99"/>
    <w:pPr>
      <w:spacing w:line="480" w:lineRule="auto"/>
      <w:ind w:firstLine="720"/>
    </w:pPr>
    <w:rPr>
      <w:rFonts w:eastAsia="Times New Roman"/>
      <w:szCs w:val="20"/>
    </w:rPr>
  </w:style>
  <w:style w:type="character" w:customStyle="1" w:styleId="BodyTextIndentChar">
    <w:name w:val="Body Text Indent Char"/>
    <w:link w:val="BodyTextIndent"/>
    <w:uiPriority w:val="99"/>
    <w:locked/>
    <w:rPr>
      <w:rFonts w:eastAsia="Times New Roman" w:cs="Times New Roman"/>
      <w:sz w:val="24"/>
    </w:rPr>
  </w:style>
  <w:style w:type="paragraph" w:styleId="BodyText2">
    <w:name w:val="Body Text 2"/>
    <w:basedOn w:val="Normal"/>
    <w:link w:val="BodyText2Char"/>
    <w:uiPriority w:val="99"/>
    <w:pPr>
      <w:spacing w:after="120" w:line="480" w:lineRule="auto"/>
    </w:pPr>
    <w:rPr>
      <w:rFonts w:eastAsia="Times New Roman"/>
      <w:szCs w:val="20"/>
    </w:rPr>
  </w:style>
  <w:style w:type="character" w:customStyle="1" w:styleId="BodyText2Char">
    <w:name w:val="Body Text 2 Char"/>
    <w:link w:val="BodyText2"/>
    <w:uiPriority w:val="99"/>
    <w:locked/>
    <w:rPr>
      <w:rFonts w:eastAsia="Times New Roman" w:cs="Times New Roman"/>
      <w:sz w:val="24"/>
    </w:rPr>
  </w:style>
  <w:style w:type="paragraph" w:styleId="BodyTextIndent2">
    <w:name w:val="Body Text Indent 2"/>
    <w:basedOn w:val="Normal"/>
    <w:link w:val="BodyTextIndent2Char"/>
    <w:uiPriority w:val="99"/>
    <w:pPr>
      <w:widowControl w:val="0"/>
      <w:autoSpaceDE w:val="0"/>
      <w:autoSpaceDN w:val="0"/>
      <w:adjustRightInd w:val="0"/>
      <w:spacing w:after="120" w:line="480" w:lineRule="auto"/>
      <w:ind w:left="360"/>
    </w:pPr>
    <w:rPr>
      <w:rFonts w:ascii="Courier New" w:hAnsi="Courier New"/>
      <w:sz w:val="20"/>
      <w:szCs w:val="20"/>
    </w:rPr>
  </w:style>
  <w:style w:type="character" w:customStyle="1" w:styleId="BodyTextIndent2Char">
    <w:name w:val="Body Text Indent 2 Char"/>
    <w:link w:val="BodyTextIndent2"/>
    <w:uiPriority w:val="99"/>
    <w:locked/>
    <w:rPr>
      <w:rFonts w:ascii="Courier New" w:hAnsi="Courier New" w:cs="Times New Roman"/>
    </w:rPr>
  </w:style>
  <w:style w:type="paragraph" w:styleId="BodyTextIndent3">
    <w:name w:val="Body Text Indent 3"/>
    <w:basedOn w:val="Normal"/>
    <w:link w:val="BodyTextIndent3Char"/>
    <w:uiPriority w:val="99"/>
    <w:pPr>
      <w:spacing w:after="120"/>
      <w:ind w:left="360"/>
    </w:pPr>
    <w:rPr>
      <w:rFonts w:eastAsia="Times New Roman"/>
      <w:sz w:val="16"/>
      <w:szCs w:val="20"/>
    </w:rPr>
  </w:style>
  <w:style w:type="character" w:customStyle="1" w:styleId="BodyTextIndent3Char">
    <w:name w:val="Body Text Indent 3 Char"/>
    <w:link w:val="BodyTextIndent3"/>
    <w:uiPriority w:val="99"/>
    <w:locked/>
    <w:rPr>
      <w:rFonts w:eastAsia="Times New Roman" w:cs="Times New Roman"/>
      <w:sz w:val="16"/>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rPr>
  </w:style>
  <w:style w:type="paragraph" w:styleId="NormalWeb">
    <w:name w:val="Normal (Web)"/>
    <w:basedOn w:val="Normal"/>
    <w:uiPriority w:val="99"/>
    <w:pPr>
      <w:spacing w:before="100" w:beforeAutospacing="1" w:after="100" w:afterAutospacing="1"/>
    </w:pPr>
    <w:rPr>
      <w:rFonts w:eastAsia="Times New Roma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Pr>
      <w:rFonts w:ascii="Courier New" w:hAnsi="Courier New" w:cs="Times New Roman"/>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link w:val="CommentSubject"/>
    <w:uiPriority w:val="99"/>
    <w:semiHidden/>
    <w:locked/>
    <w:rPr>
      <w:rFonts w:eastAsia="Times New Roman" w:cs="Times New Roman"/>
      <w:sz w:val="24"/>
    </w:rPr>
  </w:style>
  <w:style w:type="table" w:styleId="TableGrid">
    <w:name w:val="Table Grid"/>
    <w:basedOn w:val="Table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pPr>
      <w:ind w:left="1440" w:right="720"/>
    </w:pPr>
    <w:rPr>
      <w:rFonts w:eastAsia="Times New Roman"/>
      <w:szCs w:val="20"/>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link w:val="EndnoteText"/>
    <w:uiPriority w:val="99"/>
    <w:locked/>
    <w:rPr>
      <w:rFonts w:eastAsia="Times New Roman" w:cs="Times New Roman"/>
    </w:rPr>
  </w:style>
  <w:style w:type="character" w:styleId="EndnoteReference">
    <w:name w:val="endnote reference"/>
    <w:uiPriority w:val="99"/>
    <w:rPr>
      <w:rFonts w:cs="Times New Roman"/>
      <w:vertAlign w:val="superscript"/>
    </w:rPr>
  </w:style>
  <w:style w:type="character" w:styleId="FollowedHyperlink">
    <w:name w:val="FollowedHyperlink"/>
    <w:uiPriority w:val="99"/>
    <w:rPr>
      <w:rFonts w:cs="Times New Roman"/>
      <w:color w:val="800080"/>
      <w:u w:val="single"/>
    </w:rPr>
  </w:style>
  <w:style w:type="paragraph" w:customStyle="1" w:styleId="indexheadin">
    <w:name w:val="index headin"/>
    <w:uiPriority w:val="99"/>
    <w:pPr>
      <w:widowControl w:val="0"/>
      <w:tabs>
        <w:tab w:val="left" w:pos="-720"/>
      </w:tabs>
      <w:suppressAutoHyphens/>
    </w:pPr>
    <w:rPr>
      <w:rFonts w:ascii="Courier New" w:eastAsia="Times New Roman" w:hAnsi="Courier New"/>
      <w:b/>
      <w:sz w:val="24"/>
    </w:rPr>
  </w:style>
  <w:style w:type="paragraph" w:customStyle="1" w:styleId="rulea">
    <w:name w:val="rulea"/>
    <w:basedOn w:val="Normal"/>
    <w:uiPriority w:val="99"/>
    <w:pPr>
      <w:spacing w:before="100" w:beforeAutospacing="1" w:after="100" w:afterAutospacing="1"/>
    </w:pPr>
    <w:rPr>
      <w:rFonts w:eastAsia="Times New Roman"/>
    </w:rPr>
  </w:style>
  <w:style w:type="paragraph" w:customStyle="1" w:styleId="rule1">
    <w:name w:val="rule1"/>
    <w:basedOn w:val="Normal"/>
    <w:uiPriority w:val="99"/>
    <w:pPr>
      <w:spacing w:before="100" w:beforeAutospacing="1" w:after="100" w:afterAutospacing="1"/>
    </w:pPr>
    <w:rPr>
      <w:rFonts w:eastAsia="Times New Roman"/>
    </w:rPr>
  </w:style>
  <w:style w:type="paragraph" w:customStyle="1" w:styleId="ruleheading">
    <w:name w:val="ruleheading"/>
    <w:basedOn w:val="Normal"/>
    <w:uiPriority w:val="99"/>
    <w:pPr>
      <w:spacing w:before="100" w:beforeAutospacing="1" w:after="100" w:afterAutospacing="1"/>
    </w:pPr>
    <w:rPr>
      <w:rFonts w:eastAsia="Times New Roman"/>
    </w:rPr>
  </w:style>
  <w:style w:type="paragraph" w:customStyle="1" w:styleId="rulesma">
    <w:name w:val="rulesma"/>
    <w:basedOn w:val="Normal"/>
    <w:uiPriority w:val="99"/>
    <w:pPr>
      <w:spacing w:before="100" w:beforeAutospacing="1" w:after="100" w:afterAutospacing="1"/>
    </w:pPr>
    <w:rPr>
      <w:rFonts w:eastAsia="Times New Roman"/>
    </w:rPr>
  </w:style>
  <w:style w:type="paragraph" w:styleId="TOC3">
    <w:name w:val="toc 3"/>
    <w:basedOn w:val="Normal"/>
    <w:next w:val="Normal"/>
    <w:autoRedefine/>
    <w:uiPriority w:val="39"/>
    <w:qFormat/>
    <w:rsid w:val="0098162F"/>
    <w:pPr>
      <w:tabs>
        <w:tab w:val="decimal" w:leader="dot" w:pos="8640"/>
      </w:tabs>
      <w:spacing w:after="240"/>
      <w:ind w:left="2160" w:hanging="720"/>
    </w:pPr>
    <w:rPr>
      <w:rFonts w:eastAsia="Times New Roman"/>
    </w:rPr>
  </w:style>
  <w:style w:type="character" w:customStyle="1" w:styleId="pnotesssh">
    <w:name w:val="pnote ss_sh"/>
    <w:uiPriority w:val="99"/>
  </w:style>
  <w:style w:type="character" w:customStyle="1" w:styleId="sh1937232082pnotesssh">
    <w:name w:val="sh_1937232082 pnote ss_sh"/>
    <w:uiPriority w:val="99"/>
  </w:style>
  <w:style w:type="character" w:customStyle="1" w:styleId="apple-converted-space">
    <w:name w:val="apple-converted-space"/>
    <w:uiPriority w:val="99"/>
  </w:style>
  <w:style w:type="paragraph" w:styleId="TOC4">
    <w:name w:val="toc 4"/>
    <w:basedOn w:val="Normal"/>
    <w:next w:val="Normal"/>
    <w:autoRedefine/>
    <w:uiPriority w:val="99"/>
    <w:locked/>
    <w:pPr>
      <w:tabs>
        <w:tab w:val="left" w:pos="720"/>
        <w:tab w:val="decimal" w:leader="dot" w:pos="8640"/>
      </w:tabs>
      <w:spacing w:after="240"/>
      <w:ind w:left="2880" w:hanging="720"/>
    </w:pPr>
  </w:style>
  <w:style w:type="paragraph" w:styleId="Date">
    <w:name w:val="Date"/>
    <w:basedOn w:val="Normal"/>
    <w:next w:val="Normal"/>
    <w:link w:val="DateChar"/>
    <w:locked/>
    <w:rsid w:val="003F5DF8"/>
    <w:rPr>
      <w:rFonts w:eastAsia="Times New Roman"/>
      <w:szCs w:val="20"/>
    </w:rPr>
  </w:style>
  <w:style w:type="character" w:customStyle="1" w:styleId="DateChar">
    <w:name w:val="Date Char"/>
    <w:basedOn w:val="DefaultParagraphFont"/>
    <w:link w:val="Date"/>
    <w:rsid w:val="003F5DF8"/>
    <w:rPr>
      <w:rFonts w:eastAsia="Times New Roman"/>
      <w:sz w:val="24"/>
    </w:rPr>
  </w:style>
  <w:style w:type="paragraph" w:styleId="ListParagraph">
    <w:name w:val="List Paragraph"/>
    <w:basedOn w:val="Normal"/>
    <w:uiPriority w:val="34"/>
    <w:qFormat/>
    <w:rsid w:val="009173DC"/>
    <w:pPr>
      <w:ind w:left="720"/>
      <w:contextualSpacing/>
    </w:pPr>
  </w:style>
  <w:style w:type="character" w:customStyle="1" w:styleId="sssh">
    <w:name w:val="ss_sh"/>
    <w:basedOn w:val="DefaultParagraphFont"/>
    <w:rsid w:val="0051756A"/>
  </w:style>
  <w:style w:type="character" w:customStyle="1" w:styleId="ssit1">
    <w:name w:val="ss_it1"/>
    <w:basedOn w:val="DefaultParagraphFont"/>
    <w:rsid w:val="00517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1820">
      <w:bodyDiv w:val="1"/>
      <w:marLeft w:val="0"/>
      <w:marRight w:val="0"/>
      <w:marTop w:val="0"/>
      <w:marBottom w:val="0"/>
      <w:divBdr>
        <w:top w:val="none" w:sz="0" w:space="0" w:color="auto"/>
        <w:left w:val="none" w:sz="0" w:space="0" w:color="auto"/>
        <w:bottom w:val="none" w:sz="0" w:space="0" w:color="auto"/>
        <w:right w:val="none" w:sz="0" w:space="0" w:color="auto"/>
      </w:divBdr>
    </w:div>
    <w:div w:id="1225215727">
      <w:marLeft w:val="60"/>
      <w:marRight w:val="60"/>
      <w:marTop w:val="60"/>
      <w:marBottom w:val="15"/>
      <w:divBdr>
        <w:top w:val="none" w:sz="0" w:space="0" w:color="auto"/>
        <w:left w:val="none" w:sz="0" w:space="0" w:color="auto"/>
        <w:bottom w:val="none" w:sz="0" w:space="0" w:color="auto"/>
        <w:right w:val="none" w:sz="0" w:space="0" w:color="auto"/>
      </w:divBdr>
    </w:div>
    <w:div w:id="1225215728">
      <w:marLeft w:val="60"/>
      <w:marRight w:val="60"/>
      <w:marTop w:val="60"/>
      <w:marBottom w:val="15"/>
      <w:divBdr>
        <w:top w:val="none" w:sz="0" w:space="0" w:color="auto"/>
        <w:left w:val="none" w:sz="0" w:space="0" w:color="auto"/>
        <w:bottom w:val="none" w:sz="0" w:space="0" w:color="auto"/>
        <w:right w:val="none" w:sz="0" w:space="0" w:color="auto"/>
      </w:divBdr>
      <w:divsChild>
        <w:div w:id="1225215730">
          <w:marLeft w:val="0"/>
          <w:marRight w:val="0"/>
          <w:marTop w:val="0"/>
          <w:marBottom w:val="0"/>
          <w:divBdr>
            <w:top w:val="none" w:sz="0" w:space="0" w:color="auto"/>
            <w:left w:val="none" w:sz="0" w:space="0" w:color="auto"/>
            <w:bottom w:val="none" w:sz="0" w:space="0" w:color="auto"/>
            <w:right w:val="none" w:sz="0" w:space="0" w:color="auto"/>
          </w:divBdr>
          <w:divsChild>
            <w:div w:id="12252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jko@carpenterlipps.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izabeth.watts@duke-energy.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y.Spiller@duke-energ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yce.McKenney@puc.state.oh.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lliam.wright@puc.state.oh.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1774</Words>
  <Characters>9646</Characters>
  <Application>Microsoft Office Word</Application>
  <DocSecurity>0</DocSecurity>
  <Lines>228</Lines>
  <Paragraphs>84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11424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2013-01-28T21:32:00Z</cp:lastPrinted>
  <dcterms:created xsi:type="dcterms:W3CDTF">2015-12-02T21:56:00Z</dcterms:created>
  <dcterms:modified xsi:type="dcterms:W3CDTF">2015-12-02T21:56:00Z</dcterms:modified>
  <cp:category> </cp:category>
  <cp:contentStatus> </cp:contentStatus>
</cp:coreProperties>
</file>