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8A" w:rsidRDefault="0080778A">
      <w:pPr>
        <w:widowControl/>
        <w:tabs>
          <w:tab w:val="center" w:pos="4680"/>
        </w:tabs>
        <w:spacing w:line="320" w:lineRule="exact"/>
        <w:jc w:val="center"/>
        <w:rPr>
          <w:rFonts w:ascii="Palatino Linotype" w:hAnsi="Palatino Linotype"/>
          <w:b/>
          <w:bCs/>
          <w:spacing w:val="-12"/>
        </w:rPr>
      </w:pPr>
      <w:bookmarkStart w:id="0" w:name="_GoBack"/>
      <w:bookmarkEnd w:id="0"/>
      <w:r>
        <w:rPr>
          <w:rFonts w:ascii="Palatino Linotype" w:hAnsi="Palatino Linotype"/>
          <w:b/>
          <w:bCs/>
          <w:spacing w:val="-12"/>
        </w:rPr>
        <w:t>BEFORE</w:t>
      </w:r>
    </w:p>
    <w:p w:rsidR="0080778A" w:rsidRDefault="0080778A">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THE PUBLIC UTILITIES COMMISSION OF OHIO</w:t>
      </w:r>
    </w:p>
    <w:p w:rsidR="0080778A" w:rsidRDefault="0080778A">
      <w:pPr>
        <w:widowControl/>
        <w:spacing w:line="320" w:lineRule="exact"/>
        <w:jc w:val="both"/>
        <w:rPr>
          <w:rFonts w:ascii="Palatino Linotype" w:hAnsi="Palatino Linotype"/>
          <w:b/>
          <w:bCs/>
          <w:spacing w:val="-12"/>
        </w:rPr>
      </w:pPr>
    </w:p>
    <w:p w:rsidR="0080778A" w:rsidRDefault="0080778A">
      <w:pPr>
        <w:widowControl/>
        <w:spacing w:line="320" w:lineRule="exact"/>
        <w:jc w:val="both"/>
        <w:rPr>
          <w:rFonts w:ascii="Palatino Linotype" w:hAnsi="Palatino Linotype"/>
          <w:b/>
          <w:bCs/>
        </w:rPr>
        <w:sectPr w:rsidR="0080778A">
          <w:pgSz w:w="12240" w:h="15840"/>
          <w:pgMar w:top="1440" w:right="1800" w:bottom="1440" w:left="1800" w:header="1440" w:footer="1440" w:gutter="0"/>
          <w:cols w:space="720"/>
          <w:noEndnote/>
        </w:sectPr>
      </w:pPr>
    </w:p>
    <w:tbl>
      <w:tblPr>
        <w:tblW w:w="9360" w:type="dxa"/>
        <w:tblLayout w:type="fixed"/>
        <w:tblCellMar>
          <w:left w:w="0" w:type="dxa"/>
          <w:right w:w="0" w:type="dxa"/>
        </w:tblCellMar>
        <w:tblLook w:val="0000"/>
      </w:tblPr>
      <w:tblGrid>
        <w:gridCol w:w="4230"/>
        <w:gridCol w:w="90"/>
        <w:gridCol w:w="270"/>
        <w:gridCol w:w="90"/>
        <w:gridCol w:w="4680"/>
      </w:tblGrid>
      <w:tr w:rsidR="0080778A">
        <w:tc>
          <w:tcPr>
            <w:tcW w:w="4230" w:type="dxa"/>
            <w:tcBorders>
              <w:top w:val="nil"/>
              <w:left w:val="nil"/>
              <w:bottom w:val="nil"/>
              <w:right w:val="nil"/>
            </w:tcBorders>
          </w:tcPr>
          <w:p w:rsidR="0080778A" w:rsidRDefault="0080778A">
            <w:pPr>
              <w:keepLines/>
              <w:widowControl/>
              <w:spacing w:line="320" w:lineRule="exact"/>
              <w:jc w:val="both"/>
              <w:rPr>
                <w:rFonts w:ascii="Palatino Linotype" w:hAnsi="Palatino Linotype"/>
              </w:rPr>
            </w:pPr>
            <w:r>
              <w:rPr>
                <w:rFonts w:ascii="Palatino Linotype" w:hAnsi="Palatino Linotype"/>
              </w:rPr>
              <w:t>In the Matter of the Application of C</w:t>
            </w:r>
            <w:r>
              <w:rPr>
                <w:rFonts w:ascii="Palatino Linotype" w:hAnsi="Palatino Linotype"/>
              </w:rPr>
              <w:t>o</w:t>
            </w:r>
            <w:r>
              <w:rPr>
                <w:rFonts w:ascii="Palatino Linotype" w:hAnsi="Palatino Linotype"/>
              </w:rPr>
              <w:t>lumbia Gas of Ohio, Inc. for Approval of an Alternative Form of Regulation.</w:t>
            </w:r>
          </w:p>
        </w:tc>
        <w:tc>
          <w:tcPr>
            <w:tcW w:w="90" w:type="dxa"/>
            <w:tcBorders>
              <w:top w:val="nil"/>
              <w:left w:val="nil"/>
              <w:bottom w:val="nil"/>
              <w:right w:val="nil"/>
            </w:tcBorders>
          </w:tcPr>
          <w:p w:rsidR="0080778A" w:rsidRDefault="0080778A">
            <w:pPr>
              <w:spacing w:line="320" w:lineRule="exact"/>
              <w:rPr>
                <w:rFonts w:ascii="Palatino Linotype" w:hAnsi="Palatino Linotype"/>
              </w:rPr>
            </w:pPr>
          </w:p>
        </w:tc>
        <w:tc>
          <w:tcPr>
            <w:tcW w:w="270" w:type="dxa"/>
            <w:tcBorders>
              <w:top w:val="nil"/>
              <w:left w:val="nil"/>
              <w:bottom w:val="nil"/>
              <w:right w:val="nil"/>
            </w:tcBorders>
          </w:tcPr>
          <w:p w:rsidR="0080778A" w:rsidRDefault="0080778A">
            <w:pPr>
              <w:widowControl/>
              <w:spacing w:line="320" w:lineRule="exact"/>
              <w:jc w:val="both"/>
              <w:rPr>
                <w:rFonts w:ascii="Palatino Linotype" w:hAnsi="Palatino Linotype"/>
              </w:rPr>
            </w:pPr>
            <w:r>
              <w:rPr>
                <w:rFonts w:ascii="Palatino Linotype" w:hAnsi="Palatino Linotype"/>
              </w:rPr>
              <w:t>)</w:t>
            </w:r>
          </w:p>
          <w:p w:rsidR="0080778A" w:rsidRDefault="0080778A">
            <w:pPr>
              <w:widowControl/>
              <w:spacing w:line="320" w:lineRule="exact"/>
              <w:jc w:val="both"/>
              <w:rPr>
                <w:rFonts w:ascii="Palatino Linotype" w:hAnsi="Palatino Linotype"/>
              </w:rPr>
            </w:pPr>
            <w:r>
              <w:rPr>
                <w:rFonts w:ascii="Palatino Linotype" w:hAnsi="Palatino Linotype"/>
              </w:rPr>
              <w:t>)</w:t>
            </w:r>
          </w:p>
          <w:p w:rsidR="0080778A" w:rsidRDefault="0080778A">
            <w:pPr>
              <w:widowControl/>
              <w:spacing w:line="320" w:lineRule="exact"/>
              <w:jc w:val="both"/>
              <w:rPr>
                <w:rFonts w:ascii="Palatino Linotype" w:hAnsi="Palatino Linotype"/>
              </w:rPr>
            </w:pPr>
            <w:r>
              <w:rPr>
                <w:rFonts w:ascii="Palatino Linotype" w:hAnsi="Palatino Linotype"/>
              </w:rPr>
              <w:t>)</w:t>
            </w:r>
          </w:p>
          <w:p w:rsidR="0080778A" w:rsidRDefault="0080778A">
            <w:pPr>
              <w:widowControl/>
              <w:spacing w:line="320" w:lineRule="exact"/>
              <w:jc w:val="both"/>
              <w:rPr>
                <w:rFonts w:ascii="Palatino Linotype" w:hAnsi="Palatino Linotype"/>
              </w:rPr>
            </w:pPr>
          </w:p>
        </w:tc>
        <w:tc>
          <w:tcPr>
            <w:tcW w:w="90" w:type="dxa"/>
            <w:tcBorders>
              <w:top w:val="nil"/>
              <w:left w:val="nil"/>
              <w:bottom w:val="nil"/>
              <w:right w:val="nil"/>
            </w:tcBorders>
          </w:tcPr>
          <w:p w:rsidR="0080778A" w:rsidRDefault="0080778A">
            <w:pPr>
              <w:spacing w:line="320" w:lineRule="exact"/>
              <w:rPr>
                <w:rFonts w:ascii="Palatino Linotype" w:hAnsi="Palatino Linotype"/>
              </w:rPr>
            </w:pPr>
          </w:p>
        </w:tc>
        <w:tc>
          <w:tcPr>
            <w:tcW w:w="4680" w:type="dxa"/>
            <w:tcBorders>
              <w:top w:val="nil"/>
              <w:left w:val="nil"/>
              <w:bottom w:val="nil"/>
              <w:right w:val="nil"/>
            </w:tcBorders>
          </w:tcPr>
          <w:p w:rsidR="0080778A" w:rsidRDefault="0080778A">
            <w:pPr>
              <w:widowControl/>
              <w:spacing w:line="320" w:lineRule="exact"/>
              <w:jc w:val="both"/>
              <w:rPr>
                <w:rFonts w:ascii="Palatino Linotype" w:hAnsi="Palatino Linotype"/>
              </w:rPr>
            </w:pPr>
          </w:p>
          <w:p w:rsidR="0080778A" w:rsidRDefault="0080778A">
            <w:pPr>
              <w:widowControl/>
              <w:spacing w:line="320" w:lineRule="exact"/>
              <w:jc w:val="both"/>
              <w:rPr>
                <w:rFonts w:ascii="Palatino Linotype" w:hAnsi="Palatino Linotype"/>
              </w:rPr>
            </w:pPr>
            <w:r>
              <w:rPr>
                <w:rFonts w:ascii="Palatino Linotype" w:hAnsi="Palatino Linotype"/>
              </w:rPr>
              <w:t>Case No. 11-5515-GA-ALT</w:t>
            </w:r>
          </w:p>
        </w:tc>
      </w:tr>
    </w:tbl>
    <w:p w:rsidR="0080778A" w:rsidRDefault="0080778A">
      <w:pPr>
        <w:spacing w:line="320" w:lineRule="exact"/>
        <w:rPr>
          <w:rFonts w:ascii="Palatino Linotype" w:hAnsi="Palatino Linotype"/>
        </w:rPr>
        <w:sectPr w:rsidR="0080778A">
          <w:footerReference w:type="default" r:id="rId7"/>
          <w:type w:val="continuous"/>
          <w:pgSz w:w="12240" w:h="15840"/>
          <w:pgMar w:top="1440" w:right="1800" w:bottom="1440" w:left="1800" w:header="1440" w:footer="1440" w:gutter="0"/>
          <w:cols w:space="720"/>
          <w:noEndnote/>
        </w:sectPr>
      </w:pPr>
    </w:p>
    <w:p w:rsidR="0080778A" w:rsidRDefault="0080778A">
      <w:pPr>
        <w:widowControl/>
        <w:tabs>
          <w:tab w:val="center" w:pos="4680"/>
        </w:tabs>
        <w:spacing w:line="320" w:lineRule="exact"/>
        <w:jc w:val="both"/>
        <w:rPr>
          <w:rFonts w:ascii="Palatino Linotype" w:hAnsi="Palatino Linotype"/>
        </w:rPr>
      </w:pPr>
      <w:r>
        <w:rPr>
          <w:rFonts w:ascii="Palatino Linotype" w:hAnsi="Palatino Linotype"/>
        </w:rPr>
        <w:tab/>
      </w:r>
    </w:p>
    <w:p w:rsidR="0080778A" w:rsidRDefault="0080778A">
      <w:pPr>
        <w:widowControl/>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rsidR="0080778A" w:rsidRDefault="0080778A">
      <w:pPr>
        <w:widowControl/>
        <w:spacing w:line="320" w:lineRule="exact"/>
        <w:jc w:val="both"/>
        <w:rPr>
          <w:rFonts w:ascii="Palatino Linotype" w:hAnsi="Palatino Linotype"/>
        </w:rPr>
      </w:pPr>
    </w:p>
    <w:p w:rsidR="0080778A" w:rsidRDefault="0080778A">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REPLY MEMORANDUM OF</w:t>
      </w:r>
    </w:p>
    <w:p w:rsidR="0080778A" w:rsidRDefault="0080778A">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COLUMBIA GAS OF OHIO, INC.</w:t>
      </w:r>
    </w:p>
    <w:p w:rsidR="0080778A" w:rsidRDefault="0080778A">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TO THE MEMORANDUM CONTRA OF THE</w:t>
      </w:r>
    </w:p>
    <w:p w:rsidR="0080778A" w:rsidRDefault="0080778A">
      <w:pPr>
        <w:widowControl/>
        <w:tabs>
          <w:tab w:val="center" w:pos="4680"/>
        </w:tabs>
        <w:spacing w:line="320" w:lineRule="exact"/>
        <w:jc w:val="center"/>
        <w:rPr>
          <w:rFonts w:ascii="Palatino Linotype" w:hAnsi="Palatino Linotype"/>
          <w:spacing w:val="-12"/>
        </w:rPr>
      </w:pPr>
      <w:r>
        <w:rPr>
          <w:rFonts w:ascii="Palatino Linotype" w:hAnsi="Palatino Linotype"/>
          <w:b/>
          <w:bCs/>
          <w:spacing w:val="-12"/>
        </w:rPr>
        <w:t>OFFICE OF THE OHIO CONSUMERS’ COUNSEL</w:t>
      </w:r>
    </w:p>
    <w:p w:rsidR="0080778A" w:rsidRDefault="0080778A">
      <w:pPr>
        <w:widowControl/>
        <w:tabs>
          <w:tab w:val="center" w:pos="4680"/>
        </w:tabs>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rsidR="0080778A" w:rsidRDefault="0080778A">
      <w:pPr>
        <w:widowControl/>
        <w:spacing w:line="320" w:lineRule="exact"/>
        <w:jc w:val="both"/>
        <w:rPr>
          <w:rFonts w:ascii="Palatino Linotype" w:hAnsi="Palatino Linotype"/>
        </w:rPr>
      </w:pPr>
    </w:p>
    <w:p w:rsidR="0080778A" w:rsidRDefault="0080778A">
      <w:pPr>
        <w:widowControl/>
        <w:spacing w:line="320" w:lineRule="exact"/>
        <w:jc w:val="both"/>
        <w:rPr>
          <w:rFonts w:ascii="Palatino Linotype" w:hAnsi="Palatino Linotype"/>
        </w:rPr>
      </w:pPr>
    </w:p>
    <w:p w:rsidR="0080778A" w:rsidRDefault="0080778A">
      <w:pPr>
        <w:widowControl/>
        <w:spacing w:line="320" w:lineRule="exact"/>
        <w:jc w:val="both"/>
        <w:rPr>
          <w:rFonts w:ascii="Palatino Linotype" w:hAnsi="Palatino Linotype"/>
          <w:b/>
        </w:rPr>
      </w:pPr>
      <w:r>
        <w:rPr>
          <w:rFonts w:ascii="Palatino Linotype" w:hAnsi="Palatino Linotype"/>
          <w:b/>
        </w:rPr>
        <w:t>BACKGROUND</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Columbia Gas Ohio’s last rate case was filed in 2008</w:t>
      </w:r>
      <w:r>
        <w:rPr>
          <w:rStyle w:val="FootnoteReference"/>
          <w:rFonts w:ascii="Palatino Linotype" w:hAnsi="Palatino Linotype"/>
          <w:vertAlign w:val="superscript"/>
        </w:rPr>
        <w:footnoteReference w:id="1"/>
      </w:r>
      <w:r>
        <w:rPr>
          <w:rFonts w:ascii="Palatino Linotype" w:hAnsi="Palatino Linotype"/>
        </w:rPr>
        <w:t>. In that case Colu</w:t>
      </w:r>
      <w:r>
        <w:rPr>
          <w:rFonts w:ascii="Palatino Linotype" w:hAnsi="Palatino Linotype"/>
        </w:rPr>
        <w:t>m</w:t>
      </w:r>
      <w:r>
        <w:rPr>
          <w:rFonts w:ascii="Palatino Linotype" w:hAnsi="Palatino Linotype"/>
        </w:rPr>
        <w:t>bia Gas of Ohio, Inc. (“Columbia”) proposed an increase in base rates, as well as an alternative rate regulation plan. The alternative regulation plan was proposed, in part, in order to implement Columbia’s Infrastructure Replacement Program (“IRP”).</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A stipulation was agreed to in Columbia’s 2008 Rate Case, in which all i</w:t>
      </w:r>
      <w:r>
        <w:rPr>
          <w:rFonts w:ascii="Palatino Linotype" w:hAnsi="Palatino Linotype"/>
        </w:rPr>
        <w:t>s</w:t>
      </w:r>
      <w:r>
        <w:rPr>
          <w:rFonts w:ascii="Palatino Linotype" w:hAnsi="Palatino Linotype"/>
        </w:rPr>
        <w:t>sues except rate design were resolved by agreement among the parties. The stipulation was filed on October 24, 2008, and approved in a Commission Opi</w:t>
      </w:r>
      <w:r>
        <w:rPr>
          <w:rFonts w:ascii="Palatino Linotype" w:hAnsi="Palatino Linotype"/>
        </w:rPr>
        <w:t>n</w:t>
      </w:r>
      <w:r>
        <w:rPr>
          <w:rFonts w:ascii="Palatino Linotype" w:hAnsi="Palatino Linotype"/>
        </w:rPr>
        <w:t>ion and Order dated December 3, 2008.</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The 2008 Rate Case stipulation, as approved by the Commission, autho</w:t>
      </w:r>
      <w:r>
        <w:rPr>
          <w:rFonts w:ascii="Palatino Linotype" w:hAnsi="Palatino Linotype"/>
        </w:rPr>
        <w:t>r</w:t>
      </w:r>
      <w:r>
        <w:rPr>
          <w:rFonts w:ascii="Palatino Linotype" w:hAnsi="Palatino Linotype"/>
        </w:rPr>
        <w:t>ized the initial five-year phase of Columbia’s IRP. The stipulation provided, in pertinent part:</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left="1440" w:right="720"/>
        <w:jc w:val="both"/>
        <w:rPr>
          <w:rFonts w:ascii="Palatino Linotype" w:hAnsi="Palatino Linotype"/>
        </w:rPr>
      </w:pPr>
      <w:r>
        <w:rPr>
          <w:rFonts w:ascii="Palatino Linotype" w:hAnsi="Palatino Linotype"/>
          <w:bCs/>
        </w:rPr>
        <w:t>At the conclusion of the five-year period specified herein</w:t>
      </w:r>
      <w:r>
        <w:rPr>
          <w:rFonts w:ascii="Palatino Linotype" w:hAnsi="Palatino Linotype"/>
        </w:rPr>
        <w:t xml:space="preserve">, </w:t>
      </w:r>
      <w:r>
        <w:rPr>
          <w:rFonts w:ascii="Palatino Linotype" w:hAnsi="Palatino Linotype"/>
          <w:bCs/>
        </w:rPr>
        <w:t>Columbia must request that the Commission reauthorize Rider IRP in order to continue the mechanism beyond the five-year period. That request for reauthorization must be made as part of an application for an increase in rates purs</w:t>
      </w:r>
      <w:r>
        <w:rPr>
          <w:rFonts w:ascii="Palatino Linotype" w:hAnsi="Palatino Linotype"/>
          <w:bCs/>
        </w:rPr>
        <w:t>u</w:t>
      </w:r>
      <w:r>
        <w:rPr>
          <w:rFonts w:ascii="Palatino Linotype" w:hAnsi="Palatino Linotype"/>
          <w:bCs/>
        </w:rPr>
        <w:t>ant to Section 4909.18, Revised Code, or Columbia's filing for an alternative method of regulation pursuant to Section 4929.05, Revised Code</w:t>
      </w:r>
      <w:r>
        <w:rPr>
          <w:rFonts w:ascii="Palatino Linotype" w:hAnsi="Palatino Linotype"/>
        </w:rPr>
        <w:t>, and shall include all applicable due process protections.</w:t>
      </w:r>
      <w:r>
        <w:rPr>
          <w:rStyle w:val="FootnoteReference"/>
          <w:rFonts w:ascii="Palatino Linotype" w:hAnsi="Palatino Linotype"/>
          <w:vertAlign w:val="superscript"/>
        </w:rPr>
        <w:footnoteReference w:id="2"/>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On December 9, 2011, Columbia Gas of Ohio, Inc. filed its Notice of Intent in this proceeding. As stated in the Notice of Intent, Columbia plans to file an a</w:t>
      </w:r>
      <w:r>
        <w:rPr>
          <w:rFonts w:ascii="Palatino Linotype" w:hAnsi="Palatino Linotype"/>
        </w:rPr>
        <w:t>l</w:t>
      </w:r>
      <w:r>
        <w:rPr>
          <w:rFonts w:ascii="Palatino Linotype" w:hAnsi="Palatino Linotype"/>
        </w:rPr>
        <w:t>ternative regulation plan application, the primary purpose of which is to extend Columbia’s IRP for another five years beyond the expiration of the initial five-year period authorized in the 2008 Rate Case.</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On December 22, 2011, Columbia filed a Motion for Waiver of some of the Standard Filing Requirements (“SFR”) that might otherwise be applicable to C</w:t>
      </w:r>
      <w:r>
        <w:rPr>
          <w:rFonts w:ascii="Palatino Linotype" w:hAnsi="Palatino Linotype"/>
        </w:rPr>
        <w:t>o</w:t>
      </w:r>
      <w:r>
        <w:rPr>
          <w:rFonts w:ascii="Palatino Linotype" w:hAnsi="Palatino Linotype"/>
        </w:rPr>
        <w:t>lumbia’s alternative regulation plan application. On January 6, 2012, the Office of the Ohio Consumers’ Counsel (“OCC”) filed a Memorandum Contra Columbia’s Motion for Waivers of the SFR. Columbia hereby files this Reply Memorandum.</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jc w:val="both"/>
        <w:rPr>
          <w:rFonts w:ascii="Palatino Linotype" w:hAnsi="Palatino Linotype"/>
          <w:b/>
        </w:rPr>
      </w:pPr>
      <w:r>
        <w:rPr>
          <w:rFonts w:ascii="Palatino Linotype" w:hAnsi="Palatino Linotype"/>
          <w:b/>
        </w:rPr>
        <w:t>ALTERNATIVE RATE PLAN APPLICATIONS MAY BE FILED WITHOUT FILING A BASE RATE CASE</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Columbia has requested a waiver of certain sections of the rules otherwise applicable to this alternative regulation plan filing because the Commission’s rules have not kept pace with statutory changes, and, as a result, the currently effective alternative regulation plan rules are no longer consistent with the appl</w:t>
      </w:r>
      <w:r>
        <w:rPr>
          <w:rFonts w:ascii="Palatino Linotype" w:hAnsi="Palatino Linotype"/>
        </w:rPr>
        <w:t>i</w:t>
      </w:r>
      <w:r>
        <w:rPr>
          <w:rFonts w:ascii="Palatino Linotype" w:hAnsi="Palatino Linotype"/>
        </w:rPr>
        <w:t>cable alternative regulation plan statutes.</w:t>
      </w:r>
      <w:r>
        <w:rPr>
          <w:rStyle w:val="FootnoteReference"/>
          <w:rFonts w:ascii="Palatino Linotype" w:hAnsi="Palatino Linotype"/>
          <w:vertAlign w:val="superscript"/>
        </w:rPr>
        <w:footnoteReference w:id="3"/>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The General Assembly first authorized the filing of natural gas company alternative rate plan applications with the enactment of Revised Code § 4929.05 in 1996. As originally enacted, this statute required that an alternative rate plan be filed in conjunction with a rate case application under Revised Code § 4909.18 and § 4909.15.</w:t>
      </w:r>
      <w:r>
        <w:rPr>
          <w:rFonts w:ascii="Palatino Linotype" w:hAnsi="Palatino Linotype"/>
          <w:vertAlign w:val="superscript"/>
        </w:rPr>
        <w:t xml:space="preserve"> </w:t>
      </w:r>
      <w:r>
        <w:rPr>
          <w:rFonts w:ascii="Palatino Linotype" w:hAnsi="Palatino Linotype"/>
          <w:vertAlign w:val="superscript"/>
        </w:rPr>
        <w:footnoteReference w:id="4"/>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Thus, when Columbia filed its alternative regulation plan application in March 2008 it did so in conjunction with a base rate case. However, there have been significant statutory changes since March 2008 that relate to Revised Code § 4929.05.</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In 2008 the General Assembly enacted a new statute, Revised Code § 4929.051, which became effective July 31, 2008. This statute authorized the filing of an alternative rate plan application without the filing of a base rate case if the natural gas company proposed a revenue decoupling mechanism and an energy conservation program, and if the rates and charges in the alternative rate plan application were based upon the revenue requirement in the utility’s most recent base rate case.</w:t>
      </w:r>
      <w:r>
        <w:rPr>
          <w:rStyle w:val="FootnoteReference"/>
          <w:rFonts w:ascii="Palatino Linotype" w:hAnsi="Palatino Linotype"/>
          <w:vertAlign w:val="superscript"/>
        </w:rPr>
        <w:footnoteReference w:id="5"/>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jc w:val="both"/>
        <w:rPr>
          <w:rFonts w:ascii="Palatino Linotype" w:hAnsi="Palatino Linotype"/>
        </w:rPr>
      </w:pPr>
      <w:r>
        <w:rPr>
          <w:rFonts w:ascii="Palatino Linotype" w:hAnsi="Palatino Linotype"/>
        </w:rPr>
        <w:tab/>
        <w:t>In 2011, the General Assembly enacted further changes to both Rev. Code § 4929.05 an § 4929.051, both of which became effective September 9, 2011. The revisions to Rev. Code § 4929.05 make it clear that natural gas companies may file alternate rate plan applications without the filing of base rate case.</w:t>
      </w:r>
      <w:r>
        <w:rPr>
          <w:rStyle w:val="FootnoteReference"/>
          <w:rFonts w:ascii="Palatino Linotype" w:hAnsi="Palatino Linotype"/>
          <w:vertAlign w:val="superscript"/>
        </w:rPr>
        <w:footnoteReference w:id="6"/>
      </w:r>
    </w:p>
    <w:p w:rsidR="0080778A" w:rsidRDefault="0080778A">
      <w:pPr>
        <w:widowControl/>
        <w:spacing w:line="320" w:lineRule="exact"/>
        <w:ind w:left="1440" w:right="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The amendments to Rev. Code § 4929.051 similarly made it clear that the General Assembly intended that natural gas companies can file alternative rate plan applications independent of base rate case applications.</w:t>
      </w:r>
      <w:r>
        <w:rPr>
          <w:rStyle w:val="FootnoteReference"/>
          <w:rFonts w:ascii="Palatino Linotype" w:hAnsi="Palatino Linotype"/>
          <w:vertAlign w:val="superscript"/>
        </w:rPr>
        <w:footnoteReference w:id="7"/>
      </w:r>
    </w:p>
    <w:p w:rsidR="0080778A" w:rsidRDefault="0080778A">
      <w:pPr>
        <w:widowControl/>
        <w:spacing w:line="320" w:lineRule="exact"/>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Despite these statutory changes the Commission’s alternative regulation plan rules still reflect the provisions of the original version of Revised Code § 4929.05, and presume that alternative rate plan applications will be filed in co</w:t>
      </w:r>
      <w:r>
        <w:rPr>
          <w:rFonts w:ascii="Palatino Linotype" w:hAnsi="Palatino Linotype"/>
        </w:rPr>
        <w:t>n</w:t>
      </w:r>
      <w:r>
        <w:rPr>
          <w:rFonts w:ascii="Palatino Linotype" w:hAnsi="Palatino Linotype"/>
        </w:rPr>
        <w:t>junction with base rate cases. Specifically, the requirements in Ohio Admin. Code § 4901:1-19-05(C) are based on the original version of Revised Code § 4929.05. Thus, the requirements of Ohio Admin. Code § 4901:1-19-05(C) reflect the need to file the SFRs found in Appendix A to Ohio Admin. Code § 4901:1-7-01, and other exhibits required by Revised Code § 4909.15 that are primarily used to demonstrate “just and reasonable rates” in a base rate proceeding. With the e</w:t>
      </w:r>
      <w:r>
        <w:rPr>
          <w:rFonts w:ascii="Palatino Linotype" w:hAnsi="Palatino Linotype"/>
        </w:rPr>
        <w:t>n</w:t>
      </w:r>
      <w:r>
        <w:rPr>
          <w:rFonts w:ascii="Palatino Linotype" w:hAnsi="Palatino Linotype"/>
        </w:rPr>
        <w:t>actment of the 2011 revisions to Revised Code § 4929.05, natural gas companies may file applications for approval of alternative rate plans without filing a base rate case. As a result, when a natural gas company files an alternative rate plan application there is no longer a need to file any of the exhibits contemplated by subsections (A) through (E) of Revised Code § 4909.15, or any of the exhibits in Appendix A that support a base rate proceeding. Providing this information would serve no purpose in evaluating an alternative rate plan application. Ther</w:t>
      </w:r>
      <w:r>
        <w:rPr>
          <w:rFonts w:ascii="Palatino Linotype" w:hAnsi="Palatino Linotype"/>
        </w:rPr>
        <w:t>e</w:t>
      </w:r>
      <w:r>
        <w:rPr>
          <w:rFonts w:ascii="Palatino Linotype" w:hAnsi="Palatino Linotype"/>
        </w:rPr>
        <w:t>fore, the sections of Ohio Admin. Code § 4901:1-19-05(C)(1) and (2) that reference a base rate proceeding should be waived.</w:t>
      </w:r>
    </w:p>
    <w:p w:rsidR="0080778A" w:rsidRDefault="0080778A">
      <w:pPr>
        <w:widowControl/>
        <w:spacing w:line="320" w:lineRule="exact"/>
        <w:ind w:firstLine="720"/>
        <w:jc w:val="both"/>
        <w:rPr>
          <w:rFonts w:ascii="Palatino Linotype" w:hAnsi="Palatino Linotype"/>
        </w:rPr>
      </w:pPr>
    </w:p>
    <w:p w:rsidR="0080778A" w:rsidRDefault="0080778A">
      <w:pPr>
        <w:keepNext/>
        <w:keepLines/>
        <w:widowControl/>
        <w:spacing w:line="320" w:lineRule="exact"/>
        <w:jc w:val="both"/>
        <w:rPr>
          <w:rFonts w:ascii="Palatino Linotype" w:hAnsi="Palatino Linotype"/>
          <w:b/>
        </w:rPr>
      </w:pPr>
      <w:r>
        <w:rPr>
          <w:rFonts w:ascii="Palatino Linotype" w:hAnsi="Palatino Linotype"/>
          <w:b/>
        </w:rPr>
        <w:t>THE OCC’S INTERPRETATION OF THE STIPULATION IS INCORRECT</w:t>
      </w:r>
    </w:p>
    <w:p w:rsidR="0080778A" w:rsidRDefault="0080778A">
      <w:pPr>
        <w:keepNext/>
        <w:keepLines/>
        <w:widowControl/>
        <w:spacing w:line="320" w:lineRule="exact"/>
        <w:ind w:firstLine="720"/>
        <w:jc w:val="both"/>
        <w:rPr>
          <w:rFonts w:ascii="Palatino Linotype" w:hAnsi="Palatino Linotype"/>
        </w:rPr>
      </w:pPr>
    </w:p>
    <w:p w:rsidR="0080778A" w:rsidRDefault="0080778A">
      <w:pPr>
        <w:keepNext/>
        <w:keepLines/>
        <w:widowControl/>
        <w:spacing w:line="320" w:lineRule="exact"/>
        <w:ind w:firstLine="720"/>
        <w:jc w:val="both"/>
        <w:rPr>
          <w:rFonts w:ascii="Palatino Linotype" w:hAnsi="Palatino Linotype"/>
        </w:rPr>
      </w:pPr>
      <w:r>
        <w:rPr>
          <w:rFonts w:ascii="Palatino Linotype" w:hAnsi="Palatino Linotype"/>
        </w:rPr>
        <w:t>Notwithstanding the statutory changes explained above, the OCC argues that the 2008 Rate Case stipulation requires Columbia to file a base rate case. The OCC is wrong, and its misinterpretation of the 2008 Rate Case stipulation should be rejected. The stipulation clearly and unambiguously contemplates extending the IRP upon filing an alternative regulation plan application.</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 xml:space="preserve">The OCC cites the same language in the stipulation that is quoted earlier in this Reply Memorandum – “That request for reauthorization [of Columbia’s IRP] must be made as part of an application for an increase in rates pursuant to Section 4909.18, Revised Code, </w:t>
      </w:r>
      <w:r>
        <w:rPr>
          <w:rFonts w:ascii="Palatino Linotype" w:hAnsi="Palatino Linotype"/>
          <w:i/>
        </w:rPr>
        <w:t>or</w:t>
      </w:r>
      <w:r>
        <w:rPr>
          <w:rFonts w:ascii="Palatino Linotype" w:hAnsi="Palatino Linotype"/>
        </w:rPr>
        <w:t xml:space="preserve"> Columbia’s filing for an alternative method of regulation.”</w:t>
      </w:r>
      <w:r>
        <w:rPr>
          <w:rFonts w:ascii="Palatino Linotype" w:hAnsi="Palatino Linotype"/>
          <w:vertAlign w:val="superscript"/>
        </w:rPr>
        <w:footnoteReference w:id="8"/>
      </w:r>
      <w:r>
        <w:rPr>
          <w:rFonts w:ascii="Palatino Linotype" w:hAnsi="Palatino Linotype"/>
        </w:rPr>
        <w:t xml:space="preserve"> The language of the stipulation is clear and unequivocal – to extend its IRP Columbia must file a rate case or an alternative regulation plan applic</w:t>
      </w:r>
      <w:r>
        <w:rPr>
          <w:rFonts w:ascii="Palatino Linotype" w:hAnsi="Palatino Linotype"/>
        </w:rPr>
        <w:t>a</w:t>
      </w:r>
      <w:r>
        <w:rPr>
          <w:rFonts w:ascii="Palatino Linotype" w:hAnsi="Palatino Linotype"/>
        </w:rPr>
        <w:t>tion. Columbia may file one or the other, but there is no requirement to file both. For reasons that are not clear the OCC has chosen to ignore the plain meaning of this language setting forth two alternative methods of filing for extension of C</w:t>
      </w:r>
      <w:r>
        <w:rPr>
          <w:rFonts w:ascii="Palatino Linotype" w:hAnsi="Palatino Linotype"/>
        </w:rPr>
        <w:t>o</w:t>
      </w:r>
      <w:r>
        <w:rPr>
          <w:rFonts w:ascii="Palatino Linotype" w:hAnsi="Palatino Linotype"/>
        </w:rPr>
        <w:t>lumbia’s IRP.</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Columbia can only speculate as to how the OCC may have come to the mistaken conclusion that it did, but based on the OCC’s pleading it appears that the OCC may have become confused about the meaning of other language in the 2008 Rate Case stipulation. Earlier in this Reply Memorandum Columbia quoted that part of the stipulation that deals with the extension of Columbia’s IRP b</w:t>
      </w:r>
      <w:r>
        <w:rPr>
          <w:rFonts w:ascii="Palatino Linotype" w:hAnsi="Palatino Linotype"/>
        </w:rPr>
        <w:t>e</w:t>
      </w:r>
      <w:r>
        <w:rPr>
          <w:rFonts w:ascii="Palatino Linotype" w:hAnsi="Palatino Linotype"/>
        </w:rPr>
        <w:t>yond the initial five-year term. The quoted language, from page 9 of the stipul</w:t>
      </w:r>
      <w:r>
        <w:rPr>
          <w:rFonts w:ascii="Palatino Linotype" w:hAnsi="Palatino Linotype"/>
        </w:rPr>
        <w:t>a</w:t>
      </w:r>
      <w:r>
        <w:rPr>
          <w:rFonts w:ascii="Palatino Linotype" w:hAnsi="Palatino Linotype"/>
        </w:rPr>
        <w:t>tion, is part of a larger paragraph – paragraph 10A of the stipulation. Paragraph 10A, which is quoted in full in the OCC’s Memorandum Contra, deals with two distinct topics: (1) alteration of the original five-year term of the IRP during that five-year term, and, (2) extension of the IRP beyond its original five-year term. At issue in this docket is only an extension of the IRP beyond the original five-year term. Columbia is proposing no changes to the original five-year IRP that runs through 2012. However, the OCC may be mistakenly intermingling concepts that apply only to alteration of the original five-year IRP.</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Paragraph 10A of the stipulation also provides that if the IRP is to be modified during its initial five-year term, such mid-term alterations of the IRP may be accomplished by the filing of a base rate case, or the filing of an applic</w:t>
      </w:r>
      <w:r>
        <w:rPr>
          <w:rFonts w:ascii="Palatino Linotype" w:hAnsi="Palatino Linotype"/>
        </w:rPr>
        <w:t>a</w:t>
      </w:r>
      <w:r>
        <w:rPr>
          <w:rFonts w:ascii="Palatino Linotype" w:hAnsi="Palatino Linotype"/>
        </w:rPr>
        <w:t>tion to establish base rates pursuant to an alternative regulation plan. Thus, if Columbia were proposing a modification of the existing IRP that runs through 2012 the OCC would be correct that such a modification would require a review of base rates along with any alternative rate plan proposal. However, where the OCC errs is in assuming that the same base rate review process applies to exte</w:t>
      </w:r>
      <w:r>
        <w:rPr>
          <w:rFonts w:ascii="Palatino Linotype" w:hAnsi="Palatino Linotype"/>
        </w:rPr>
        <w:t>n</w:t>
      </w:r>
      <w:r>
        <w:rPr>
          <w:rFonts w:ascii="Palatino Linotype" w:hAnsi="Palatino Linotype"/>
        </w:rPr>
        <w:t>sions of the IRP, as opposed to modifications of the IRP during its initial five-year term. The plain language of the stipulation clearly indicates that a different standard applies to extensions of the IRP.</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In discussing this stipulation provision, the OCC claims, “Columbia agreed that its future filing to seek reauthorization of its infrastructure replac</w:t>
      </w:r>
      <w:r>
        <w:rPr>
          <w:rFonts w:ascii="Palatino Linotype" w:hAnsi="Palatino Linotype"/>
        </w:rPr>
        <w:t>e</w:t>
      </w:r>
      <w:r>
        <w:rPr>
          <w:rFonts w:ascii="Palatino Linotype" w:hAnsi="Palatino Linotype"/>
        </w:rPr>
        <w:t>ment program (beyond the initial 5-year term) would only be done with a co</w:t>
      </w:r>
      <w:r>
        <w:rPr>
          <w:rFonts w:ascii="Palatino Linotype" w:hAnsi="Palatino Linotype"/>
        </w:rPr>
        <w:t>n</w:t>
      </w:r>
      <w:r>
        <w:rPr>
          <w:rFonts w:ascii="Palatino Linotype" w:hAnsi="Palatino Linotype"/>
        </w:rPr>
        <w:t>temporaneous filing for review of ‘base rates’…”</w:t>
      </w:r>
      <w:r>
        <w:rPr>
          <w:rStyle w:val="FootnoteReference"/>
          <w:rFonts w:ascii="Palatino Linotype" w:hAnsi="Palatino Linotype"/>
          <w:vertAlign w:val="superscript"/>
        </w:rPr>
        <w:footnoteReference w:id="9"/>
      </w:r>
      <w:r>
        <w:rPr>
          <w:rFonts w:ascii="Palatino Linotype" w:hAnsi="Palatino Linotype"/>
        </w:rPr>
        <w:t xml:space="preserve"> This is simply not the case – the plain wording of the stipulation contains no such commitment. The commi</w:t>
      </w:r>
      <w:r>
        <w:rPr>
          <w:rFonts w:ascii="Palatino Linotype" w:hAnsi="Palatino Linotype"/>
        </w:rPr>
        <w:t>t</w:t>
      </w:r>
      <w:r>
        <w:rPr>
          <w:rFonts w:ascii="Palatino Linotype" w:hAnsi="Palatino Linotype"/>
        </w:rPr>
        <w:t>ment is to file a base rate case or an alternative regulation plan application pu</w:t>
      </w:r>
      <w:r>
        <w:rPr>
          <w:rFonts w:ascii="Palatino Linotype" w:hAnsi="Palatino Linotype"/>
        </w:rPr>
        <w:t>r</w:t>
      </w:r>
      <w:r>
        <w:rPr>
          <w:rFonts w:ascii="Palatino Linotype" w:hAnsi="Palatino Linotype"/>
        </w:rPr>
        <w:t>suant to Revised Code § 4929.05.</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The OCC further claims that, “this requirement for a review of base rates as part of the agreement that Columbia signed with OCC in 2008 was a key co</w:t>
      </w:r>
      <w:r>
        <w:rPr>
          <w:rFonts w:ascii="Palatino Linotype" w:hAnsi="Palatino Linotype"/>
        </w:rPr>
        <w:t>n</w:t>
      </w:r>
      <w:r>
        <w:rPr>
          <w:rFonts w:ascii="Palatino Linotype" w:hAnsi="Palatino Linotype"/>
        </w:rPr>
        <w:t>sumer protection in OCC’s decision to settle that case.”</w:t>
      </w:r>
      <w:r>
        <w:rPr>
          <w:rStyle w:val="FootnoteReference"/>
          <w:rFonts w:ascii="Palatino Linotype" w:hAnsi="Palatino Linotype"/>
          <w:vertAlign w:val="superscript"/>
        </w:rPr>
        <w:footnoteReference w:id="10"/>
      </w:r>
      <w:r>
        <w:rPr>
          <w:rFonts w:ascii="Palatino Linotype" w:hAnsi="Palatino Linotype"/>
        </w:rPr>
        <w:t xml:space="preserve"> The stipulation contains no requirement for a review of base rates in conjunction with an extension of the IRP, and if this was, in fact, so important to the OCC the OCC should have i</w:t>
      </w:r>
      <w:r>
        <w:rPr>
          <w:rFonts w:ascii="Palatino Linotype" w:hAnsi="Palatino Linotype"/>
        </w:rPr>
        <w:t>n</w:t>
      </w:r>
      <w:r>
        <w:rPr>
          <w:rFonts w:ascii="Palatino Linotype" w:hAnsi="Palatino Linotype"/>
        </w:rPr>
        <w:t>sisted upon language that clearly required a base rate review as a condition of extension of Columbia’s IRP.</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To the contrary, the language regarding continuation of the IRP was car</w:t>
      </w:r>
      <w:r>
        <w:rPr>
          <w:rFonts w:ascii="Palatino Linotype" w:hAnsi="Palatino Linotype"/>
        </w:rPr>
        <w:t>e</w:t>
      </w:r>
      <w:r>
        <w:rPr>
          <w:rFonts w:ascii="Palatino Linotype" w:hAnsi="Palatino Linotype"/>
        </w:rPr>
        <w:t>fully crafted by the parties to recognize that changes to Revised Code § 4929.05 might permit future alternative rate plan applications to be filed without the n</w:t>
      </w:r>
      <w:r>
        <w:rPr>
          <w:rFonts w:ascii="Palatino Linotype" w:hAnsi="Palatino Linotype"/>
        </w:rPr>
        <w:t>e</w:t>
      </w:r>
      <w:r>
        <w:rPr>
          <w:rFonts w:ascii="Palatino Linotype" w:hAnsi="Palatino Linotype"/>
        </w:rPr>
        <w:t>cessity of filing base rate case applications. As noted earlier herein, Revised Code § 4929.051 was enacted effective July 31, 2008, to permit the filing of alternative rate plan applications, under certain conditions, without the filing of a simult</w:t>
      </w:r>
      <w:r>
        <w:rPr>
          <w:rFonts w:ascii="Palatino Linotype" w:hAnsi="Palatino Linotype"/>
        </w:rPr>
        <w:t>a</w:t>
      </w:r>
      <w:r>
        <w:rPr>
          <w:rFonts w:ascii="Palatino Linotype" w:hAnsi="Palatino Linotype"/>
        </w:rPr>
        <w:t>neous rate case. The Stipulation was not finalized and filed until October 24, 2008. The parties were aware of the enactment of Revised Code § 4929.051 and fully intended to provide an alternative to a rate case filing in order to continue Columbia’s IRP.</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Additional changes were enacted to Revised Code § 4929.05 in 2011 that further diluted the link between base rate applications and alternative rate appl</w:t>
      </w:r>
      <w:r>
        <w:rPr>
          <w:rFonts w:ascii="Palatino Linotype" w:hAnsi="Palatino Linotype"/>
        </w:rPr>
        <w:t>i</w:t>
      </w:r>
      <w:r>
        <w:rPr>
          <w:rFonts w:ascii="Palatino Linotype" w:hAnsi="Palatino Linotype"/>
        </w:rPr>
        <w:t>cations. The OCC argues that these statutory changes do not supersede the commitments in the stipulation.</w:t>
      </w:r>
      <w:r>
        <w:rPr>
          <w:rStyle w:val="FootnoteReference"/>
          <w:rFonts w:ascii="Palatino Linotype" w:hAnsi="Palatino Linotype"/>
          <w:vertAlign w:val="superscript"/>
        </w:rPr>
        <w:footnoteReference w:id="11"/>
      </w:r>
      <w:r>
        <w:rPr>
          <w:rFonts w:ascii="Palatino Linotype" w:hAnsi="Palatino Linotype"/>
        </w:rPr>
        <w:t xml:space="preserve"> Contrary to the OCC’s assertion, there is no i</w:t>
      </w:r>
      <w:r>
        <w:rPr>
          <w:rFonts w:ascii="Palatino Linotype" w:hAnsi="Palatino Linotype"/>
        </w:rPr>
        <w:t>n</w:t>
      </w:r>
      <w:r>
        <w:rPr>
          <w:rFonts w:ascii="Palatino Linotype" w:hAnsi="Palatino Linotype"/>
        </w:rPr>
        <w:t>consistency between the stipulation and the 2011 statutory revisions. The stipul</w:t>
      </w:r>
      <w:r>
        <w:rPr>
          <w:rFonts w:ascii="Palatino Linotype" w:hAnsi="Palatino Linotype"/>
        </w:rPr>
        <w:t>a</w:t>
      </w:r>
      <w:r>
        <w:rPr>
          <w:rFonts w:ascii="Palatino Linotype" w:hAnsi="Palatino Linotype"/>
        </w:rPr>
        <w:t>tion simply provides that Columbia may file an alternative rate plan application to extend its IRP. Nothing in the stipulation states, or even implies, that the pa</w:t>
      </w:r>
      <w:r>
        <w:rPr>
          <w:rFonts w:ascii="Palatino Linotype" w:hAnsi="Palatino Linotype"/>
        </w:rPr>
        <w:t>r</w:t>
      </w:r>
      <w:r>
        <w:rPr>
          <w:rFonts w:ascii="Palatino Linotype" w:hAnsi="Palatino Linotype"/>
        </w:rPr>
        <w:t>ties contemplated that language to mean that an alternative rate plan application would be filed pursuant to a statutory scheme that existed prior to the signing of the stipulation, if, in fact, such an agreement could even be considered lawful.</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The remainder of the OCC’s arguments, found on pages 4-6 of its Mem</w:t>
      </w:r>
      <w:r>
        <w:rPr>
          <w:rFonts w:ascii="Palatino Linotype" w:hAnsi="Palatino Linotype"/>
        </w:rPr>
        <w:t>o</w:t>
      </w:r>
      <w:r>
        <w:rPr>
          <w:rFonts w:ascii="Palatino Linotype" w:hAnsi="Palatino Linotype"/>
        </w:rPr>
        <w:t>randum Contra, are all based upon the OCC’s misreading of the stipulation and its faulty assumption that extension of Columbia’s IRP must be accompanied by a review of base rates. For the reasons explained above, the OCC has mischara</w:t>
      </w:r>
      <w:r>
        <w:rPr>
          <w:rFonts w:ascii="Palatino Linotype" w:hAnsi="Palatino Linotype"/>
        </w:rPr>
        <w:t>c</w:t>
      </w:r>
      <w:r>
        <w:rPr>
          <w:rFonts w:ascii="Palatino Linotype" w:hAnsi="Palatino Linotype"/>
        </w:rPr>
        <w:t>terized the stipulation and the OCC has improperly assumed that there is a base rate review requirement. All of the OCC’s other arguments fail because they are based upon a faulty premise. While the OCC accuses Columbia of attempting to “re-litigate” the 2008 Rate Case stipulation</w:t>
      </w:r>
      <w:r>
        <w:rPr>
          <w:rStyle w:val="FootnoteReference"/>
          <w:rFonts w:ascii="Palatino Linotype" w:hAnsi="Palatino Linotype"/>
          <w:vertAlign w:val="superscript"/>
        </w:rPr>
        <w:footnoteReference w:id="12"/>
      </w:r>
      <w:r>
        <w:rPr>
          <w:rFonts w:ascii="Palatino Linotype" w:hAnsi="Palatino Linotype"/>
        </w:rPr>
        <w:t>, it is clearly the OCC, not Columbia, that is trying to re-litigate the 2008 Rate Case stipulation by imposing conditions contrary to the plain meaning of the words that all parties, including the OCC, used to express their agreement.</w:t>
      </w:r>
    </w:p>
    <w:p w:rsidR="0080778A" w:rsidRDefault="0080778A">
      <w:pPr>
        <w:widowControl/>
        <w:spacing w:line="320" w:lineRule="exact"/>
        <w:ind w:firstLine="720"/>
        <w:jc w:val="both"/>
        <w:rPr>
          <w:rFonts w:ascii="Palatino Linotype" w:hAnsi="Palatino Linotype"/>
        </w:rPr>
      </w:pPr>
    </w:p>
    <w:p w:rsidR="0080778A" w:rsidRDefault="0080778A">
      <w:pPr>
        <w:widowControl/>
        <w:spacing w:line="320" w:lineRule="exact"/>
        <w:ind w:firstLine="720"/>
        <w:jc w:val="both"/>
        <w:rPr>
          <w:rFonts w:ascii="Palatino Linotype" w:hAnsi="Palatino Linotype"/>
        </w:rPr>
      </w:pPr>
      <w:r>
        <w:rPr>
          <w:rFonts w:ascii="Palatino Linotype" w:hAnsi="Palatino Linotype"/>
        </w:rPr>
        <w:t>Wherefore, for the reasons stated above, the Commission should reject the OCC’s Memorandum Contra in its entirety, and should approve Columbia’s M</w:t>
      </w:r>
      <w:r>
        <w:rPr>
          <w:rFonts w:ascii="Palatino Linotype" w:hAnsi="Palatino Linotype"/>
        </w:rPr>
        <w:t>o</w:t>
      </w:r>
      <w:r>
        <w:rPr>
          <w:rFonts w:ascii="Palatino Linotype" w:hAnsi="Palatino Linotype"/>
        </w:rPr>
        <w:t>tion for Waiver.</w:t>
      </w:r>
    </w:p>
    <w:p w:rsidR="0080778A" w:rsidRDefault="0080778A">
      <w:pPr>
        <w:widowControl/>
        <w:spacing w:line="320" w:lineRule="exact"/>
        <w:ind w:firstLine="720"/>
        <w:jc w:val="both"/>
        <w:rPr>
          <w:rFonts w:ascii="Palatino Linotype" w:hAnsi="Palatino Linotype"/>
        </w:rPr>
      </w:pP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Respectfully submitted,</w:t>
      </w:r>
    </w:p>
    <w:p w:rsidR="0080778A" w:rsidRDefault="0080778A">
      <w:pPr>
        <w:keepNext/>
        <w:keepLines/>
        <w:widowControl/>
        <w:spacing w:line="320" w:lineRule="exact"/>
        <w:ind w:firstLine="3600"/>
        <w:jc w:val="both"/>
        <w:rPr>
          <w:rFonts w:ascii="Palatino Linotype" w:hAnsi="Palatino Linotype"/>
        </w:rPr>
      </w:pPr>
    </w:p>
    <w:p w:rsidR="0080778A" w:rsidRDefault="0080778A">
      <w:pPr>
        <w:keepNext/>
        <w:keepLines/>
        <w:widowControl/>
        <w:spacing w:line="320" w:lineRule="exact"/>
        <w:ind w:firstLine="3600"/>
        <w:jc w:val="both"/>
        <w:rPr>
          <w:rFonts w:ascii="Palatino Linotype" w:hAnsi="Palatino Linotype"/>
          <w:spacing w:val="-12"/>
        </w:rPr>
      </w:pPr>
      <w:r>
        <w:rPr>
          <w:rFonts w:ascii="Palatino Linotype" w:hAnsi="Palatino Linotype"/>
          <w:b/>
          <w:bCs/>
          <w:spacing w:val="-12"/>
        </w:rPr>
        <w:t>COLUMBIA GAS OF OHIO, INC.</w:t>
      </w:r>
    </w:p>
    <w:p w:rsidR="0080778A" w:rsidRDefault="0080778A">
      <w:pPr>
        <w:keepNext/>
        <w:keepLines/>
        <w:widowControl/>
        <w:spacing w:line="320" w:lineRule="exact"/>
        <w:ind w:firstLine="3600"/>
        <w:jc w:val="both"/>
        <w:rPr>
          <w:rFonts w:ascii="Palatino Linotype" w:hAnsi="Palatino Linotype"/>
        </w:rPr>
      </w:pPr>
    </w:p>
    <w:p w:rsidR="0080778A" w:rsidRDefault="0080778A">
      <w:pPr>
        <w:keepNext/>
        <w:keepLines/>
        <w:widowControl/>
        <w:tabs>
          <w:tab w:val="right" w:pos="8640"/>
        </w:tabs>
        <w:spacing w:line="320" w:lineRule="exact"/>
        <w:ind w:firstLine="3600"/>
        <w:jc w:val="both"/>
        <w:rPr>
          <w:rFonts w:ascii="Palatino Linotype" w:hAnsi="Palatino Linotype"/>
        </w:rPr>
      </w:pPr>
      <w:r>
        <w:rPr>
          <w:rFonts w:ascii="Palatino Linotype" w:hAnsi="Palatino Linotype"/>
          <w:u w:val="single"/>
        </w:rPr>
        <w:t>/s/ Stephen B. Seiple</w:t>
      </w:r>
      <w:r>
        <w:rPr>
          <w:rFonts w:ascii="Palatino Linotype" w:hAnsi="Palatino Linotype"/>
          <w:u w:val="single"/>
        </w:rPr>
        <w:tab/>
      </w:r>
    </w:p>
    <w:p w:rsidR="0080778A" w:rsidRDefault="0080778A">
      <w:pPr>
        <w:keepNext/>
        <w:keepLines/>
        <w:widowControl/>
        <w:spacing w:line="320" w:lineRule="exact"/>
        <w:ind w:left="2880" w:firstLine="720"/>
        <w:jc w:val="both"/>
        <w:rPr>
          <w:rFonts w:ascii="Palatino Linotype" w:hAnsi="Palatino Linotype"/>
        </w:rPr>
      </w:pPr>
      <w:r>
        <w:rPr>
          <w:rFonts w:ascii="Palatino Linotype" w:hAnsi="Palatino Linotype"/>
        </w:rPr>
        <w:t>Stephen B. Seiple (Counsel of Record)</w:t>
      </w:r>
    </w:p>
    <w:p w:rsidR="0080778A" w:rsidRDefault="0080778A">
      <w:pPr>
        <w:keepNext/>
        <w:keepLines/>
        <w:widowControl/>
        <w:spacing w:line="320" w:lineRule="exact"/>
        <w:ind w:firstLine="3600"/>
        <w:jc w:val="both"/>
        <w:rPr>
          <w:rFonts w:ascii="Palatino Linotype" w:hAnsi="Palatino Linotype"/>
        </w:rPr>
      </w:pP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Stephen B. Seiple, Assistant General Counsel</w:t>
      </w: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Brooke E. Leslie, Attorney</w:t>
      </w: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200 Civic Center Drive</w:t>
      </w: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P. O. Box 117</w:t>
      </w: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Columbus, Ohio 43216-0117</w:t>
      </w: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Telephone: (614) 460-4648</w:t>
      </w: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Fax: (614) 460-6986</w:t>
      </w: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 xml:space="preserve">Email: </w:t>
      </w:r>
      <w:r>
        <w:t>sseiple@nisource.com</w:t>
      </w: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ab/>
        <w:t>bleslie@nisource.com</w:t>
      </w:r>
    </w:p>
    <w:p w:rsidR="0080778A" w:rsidRDefault="0080778A">
      <w:pPr>
        <w:keepNext/>
        <w:keepLines/>
        <w:widowControl/>
        <w:spacing w:line="320" w:lineRule="exact"/>
        <w:ind w:firstLine="3600"/>
        <w:jc w:val="both"/>
        <w:rPr>
          <w:rFonts w:ascii="Palatino Linotype" w:hAnsi="Palatino Linotype"/>
        </w:rPr>
      </w:pPr>
    </w:p>
    <w:p w:rsidR="0080778A" w:rsidRDefault="0080778A">
      <w:pPr>
        <w:keepNext/>
        <w:keepLines/>
        <w:widowControl/>
        <w:spacing w:line="320" w:lineRule="exact"/>
        <w:ind w:firstLine="3600"/>
        <w:jc w:val="both"/>
        <w:rPr>
          <w:rFonts w:ascii="Palatino Linotype" w:hAnsi="Palatino Linotype"/>
        </w:rPr>
      </w:pPr>
      <w:r>
        <w:rPr>
          <w:rFonts w:ascii="Palatino Linotype" w:hAnsi="Palatino Linotype"/>
        </w:rPr>
        <w:t>Attorneys for</w:t>
      </w:r>
    </w:p>
    <w:p w:rsidR="0080778A" w:rsidRDefault="0080778A">
      <w:pPr>
        <w:keepNext/>
        <w:keepLines/>
        <w:widowControl/>
        <w:spacing w:line="320" w:lineRule="exact"/>
        <w:ind w:firstLine="3600"/>
        <w:jc w:val="both"/>
        <w:rPr>
          <w:rFonts w:ascii="Palatino Linotype" w:hAnsi="Palatino Linotype"/>
          <w:b/>
          <w:bCs/>
          <w:spacing w:val="-12"/>
        </w:rPr>
        <w:sectPr w:rsidR="0080778A">
          <w:type w:val="continuous"/>
          <w:pgSz w:w="12240" w:h="15840"/>
          <w:pgMar w:top="1440" w:right="1800" w:bottom="1440" w:left="1800" w:header="1440" w:footer="1440" w:gutter="0"/>
          <w:cols w:space="720"/>
          <w:noEndnote/>
        </w:sectPr>
      </w:pPr>
      <w:r>
        <w:rPr>
          <w:rFonts w:ascii="Palatino Linotype" w:hAnsi="Palatino Linotype"/>
          <w:b/>
          <w:bCs/>
          <w:spacing w:val="-12"/>
        </w:rPr>
        <w:t>COLUMBIA GAS OF OHIO, INC.</w:t>
      </w:r>
    </w:p>
    <w:p w:rsidR="0080778A" w:rsidRDefault="0080778A">
      <w:pPr>
        <w:keepNext/>
        <w:keepLines/>
        <w:widowControl/>
        <w:spacing w:line="320" w:lineRule="exact"/>
        <w:jc w:val="center"/>
        <w:rPr>
          <w:rFonts w:ascii="Palatino Linotype" w:hAnsi="Palatino Linotype"/>
          <w:spacing w:val="-12"/>
        </w:rPr>
      </w:pPr>
      <w:r>
        <w:rPr>
          <w:rFonts w:ascii="Palatino Linotype" w:hAnsi="Palatino Linotype"/>
          <w:b/>
          <w:spacing w:val="-12"/>
        </w:rPr>
        <w:t>CERTIFICATE OF SERVICE</w:t>
      </w:r>
    </w:p>
    <w:p w:rsidR="0080778A" w:rsidRDefault="0080778A">
      <w:pPr>
        <w:keepNext/>
        <w:keepLines/>
        <w:widowControl/>
        <w:spacing w:line="320" w:lineRule="exact"/>
        <w:ind w:firstLine="3600"/>
        <w:jc w:val="both"/>
        <w:rPr>
          <w:rFonts w:ascii="Palatino Linotype" w:hAnsi="Palatino Linotype"/>
          <w:spacing w:val="-12"/>
        </w:rPr>
      </w:pPr>
    </w:p>
    <w:p w:rsidR="0080778A" w:rsidRDefault="0080778A">
      <w:pPr>
        <w:keepNext/>
        <w:keepLines/>
        <w:widowControl/>
        <w:spacing w:line="320" w:lineRule="exact"/>
        <w:ind w:firstLine="720"/>
        <w:jc w:val="both"/>
        <w:rPr>
          <w:rFonts w:ascii="Palatino Linotype" w:hAnsi="Palatino Linotype"/>
          <w:spacing w:val="-12"/>
        </w:rPr>
      </w:pPr>
      <w:r>
        <w:rPr>
          <w:rFonts w:ascii="Palatino Linotype" w:hAnsi="Palatino Linotype"/>
          <w:spacing w:val="-12"/>
        </w:rPr>
        <w:t>I hereby certify that a copy of the foregoing Reply Memorandum of Columbia Gas of Ohio, Inc. was served upon all parties of record by regular U. S. mail this 11</w:t>
      </w:r>
      <w:r>
        <w:rPr>
          <w:rFonts w:ascii="Palatino Linotype" w:hAnsi="Palatino Linotype"/>
          <w:spacing w:val="-12"/>
          <w:vertAlign w:val="superscript"/>
        </w:rPr>
        <w:t>th</w:t>
      </w:r>
      <w:r>
        <w:rPr>
          <w:rFonts w:ascii="Palatino Linotype" w:hAnsi="Palatino Linotype"/>
          <w:spacing w:val="-12"/>
        </w:rPr>
        <w:t xml:space="preserve"> day of January, 2012.</w:t>
      </w:r>
    </w:p>
    <w:p w:rsidR="0080778A" w:rsidRDefault="0080778A">
      <w:pPr>
        <w:keepNext/>
        <w:keepLines/>
        <w:widowControl/>
        <w:spacing w:line="320" w:lineRule="exact"/>
        <w:ind w:firstLine="3600"/>
        <w:jc w:val="both"/>
        <w:rPr>
          <w:rFonts w:ascii="Palatino Linotype" w:hAnsi="Palatino Linotype"/>
          <w:spacing w:val="-12"/>
        </w:rPr>
      </w:pPr>
    </w:p>
    <w:p w:rsidR="0080778A" w:rsidRDefault="0080778A">
      <w:pPr>
        <w:keepNext/>
        <w:keepLines/>
        <w:widowControl/>
        <w:spacing w:line="320" w:lineRule="exact"/>
        <w:ind w:firstLine="3600"/>
        <w:jc w:val="both"/>
        <w:rPr>
          <w:rFonts w:ascii="Palatino Linotype" w:hAnsi="Palatino Linotype"/>
          <w:spacing w:val="-12"/>
        </w:rPr>
      </w:pPr>
    </w:p>
    <w:p w:rsidR="0080778A" w:rsidRDefault="0080778A">
      <w:pPr>
        <w:keepNext/>
        <w:keepLines/>
        <w:widowControl/>
        <w:spacing w:line="320" w:lineRule="exact"/>
        <w:ind w:firstLine="3600"/>
        <w:jc w:val="both"/>
        <w:rPr>
          <w:rFonts w:ascii="Palatino Linotype" w:hAnsi="Palatino Linotype"/>
          <w:spacing w:val="-12"/>
        </w:rPr>
      </w:pPr>
      <w:r>
        <w:rPr>
          <w:rFonts w:ascii="Palatino Linotype" w:hAnsi="Palatino Linotype"/>
          <w:spacing w:val="-12"/>
          <w:u w:val="single"/>
        </w:rPr>
        <w:t>/s/ Stephen B. Seiple</w:t>
      </w:r>
      <w:r>
        <w:rPr>
          <w:rFonts w:ascii="Palatino Linotype" w:hAnsi="Palatino Linotype"/>
          <w:spacing w:val="-12"/>
          <w:u w:val="single"/>
        </w:rPr>
        <w:tab/>
      </w:r>
      <w:r>
        <w:rPr>
          <w:rFonts w:ascii="Palatino Linotype" w:hAnsi="Palatino Linotype"/>
          <w:spacing w:val="-12"/>
          <w:u w:val="single"/>
        </w:rPr>
        <w:tab/>
      </w:r>
      <w:r>
        <w:rPr>
          <w:rFonts w:ascii="Palatino Linotype" w:hAnsi="Palatino Linotype"/>
          <w:spacing w:val="-12"/>
          <w:u w:val="single"/>
        </w:rPr>
        <w:tab/>
      </w:r>
      <w:r>
        <w:rPr>
          <w:rFonts w:ascii="Palatino Linotype" w:hAnsi="Palatino Linotype"/>
          <w:spacing w:val="-12"/>
          <w:u w:val="single"/>
        </w:rPr>
        <w:tab/>
      </w:r>
      <w:r>
        <w:rPr>
          <w:rFonts w:ascii="Palatino Linotype" w:hAnsi="Palatino Linotype"/>
          <w:spacing w:val="-12"/>
          <w:u w:val="single"/>
        </w:rPr>
        <w:tab/>
      </w:r>
    </w:p>
    <w:p w:rsidR="0080778A" w:rsidRDefault="0080778A">
      <w:pPr>
        <w:keepNext/>
        <w:keepLines/>
        <w:widowControl/>
        <w:spacing w:line="320" w:lineRule="exact"/>
        <w:ind w:firstLine="3600"/>
        <w:jc w:val="both"/>
        <w:rPr>
          <w:rFonts w:ascii="Palatino Linotype" w:hAnsi="Palatino Linotype"/>
          <w:spacing w:val="-12"/>
        </w:rPr>
      </w:pPr>
      <w:r>
        <w:rPr>
          <w:rFonts w:ascii="Palatino Linotype" w:hAnsi="Palatino Linotype"/>
          <w:spacing w:val="-12"/>
        </w:rPr>
        <w:t>Stephen B. Seiple</w:t>
      </w:r>
    </w:p>
    <w:p w:rsidR="0080778A" w:rsidRDefault="0080778A">
      <w:pPr>
        <w:keepNext/>
        <w:keepLines/>
        <w:widowControl/>
        <w:spacing w:line="320" w:lineRule="exact"/>
        <w:ind w:firstLine="3600"/>
        <w:jc w:val="both"/>
        <w:rPr>
          <w:rFonts w:ascii="Palatino Linotype" w:hAnsi="Palatino Linotype"/>
          <w:spacing w:val="-12"/>
        </w:rPr>
      </w:pPr>
      <w:r>
        <w:rPr>
          <w:rFonts w:ascii="Palatino Linotype" w:hAnsi="Palatino Linotype"/>
          <w:spacing w:val="-12"/>
        </w:rPr>
        <w:t>Attorney for</w:t>
      </w:r>
    </w:p>
    <w:p w:rsidR="0080778A" w:rsidRDefault="0080778A">
      <w:pPr>
        <w:keepNext/>
        <w:keepLines/>
        <w:widowControl/>
        <w:spacing w:line="320" w:lineRule="exact"/>
        <w:ind w:firstLine="3600"/>
        <w:jc w:val="both"/>
        <w:rPr>
          <w:rFonts w:ascii="Palatino Linotype" w:hAnsi="Palatino Linotype"/>
          <w:spacing w:val="-12"/>
        </w:rPr>
      </w:pPr>
      <w:r>
        <w:rPr>
          <w:rFonts w:ascii="Palatino Linotype" w:hAnsi="Palatino Linotype"/>
          <w:b/>
          <w:spacing w:val="-12"/>
        </w:rPr>
        <w:t>COLUMBIA GAS OF OHIO, INC.</w:t>
      </w:r>
    </w:p>
    <w:p w:rsidR="0080778A" w:rsidRDefault="0080778A">
      <w:pPr>
        <w:keepNext/>
        <w:keepLines/>
        <w:widowControl/>
        <w:spacing w:line="320" w:lineRule="exact"/>
        <w:ind w:firstLine="3600"/>
        <w:jc w:val="both"/>
        <w:rPr>
          <w:rFonts w:ascii="Palatino Linotype" w:hAnsi="Palatino Linotype"/>
          <w:spacing w:val="-12"/>
        </w:rPr>
      </w:pPr>
    </w:p>
    <w:p w:rsidR="0080778A" w:rsidRDefault="0080778A">
      <w:pPr>
        <w:keepNext/>
        <w:keepLines/>
        <w:widowControl/>
        <w:spacing w:line="320" w:lineRule="exact"/>
        <w:ind w:firstLine="3600"/>
        <w:jc w:val="both"/>
        <w:rPr>
          <w:rFonts w:ascii="Palatino Linotype" w:hAnsi="Palatino Linotype"/>
          <w:spacing w:val="-12"/>
        </w:rPr>
      </w:pPr>
    </w:p>
    <w:p w:rsidR="0080778A" w:rsidRDefault="0080778A">
      <w:pPr>
        <w:keepNext/>
        <w:keepLines/>
        <w:widowControl/>
        <w:spacing w:line="320" w:lineRule="exact"/>
        <w:ind w:firstLine="3600"/>
        <w:jc w:val="both"/>
        <w:rPr>
          <w:rFonts w:ascii="Palatino Linotype" w:hAnsi="Palatino Linotype"/>
          <w:b/>
          <w:spacing w:val="-12"/>
        </w:rPr>
      </w:pPr>
      <w:r>
        <w:rPr>
          <w:rFonts w:ascii="Palatino Linotype" w:hAnsi="Palatino Linotype"/>
          <w:b/>
          <w:spacing w:val="-12"/>
        </w:rPr>
        <w:t>SERVICE LIST</w:t>
      </w:r>
    </w:p>
    <w:p w:rsidR="0080778A" w:rsidRDefault="0080778A">
      <w:pPr>
        <w:keepNext/>
        <w:keepLines/>
        <w:widowControl/>
        <w:spacing w:line="320" w:lineRule="exact"/>
        <w:ind w:firstLine="3600"/>
        <w:jc w:val="both"/>
        <w:rPr>
          <w:rFonts w:ascii="Palatino Linotype" w:hAnsi="Palatino Linotype"/>
          <w:b/>
          <w:bCs/>
          <w:spacing w:val="-12"/>
          <w:u w:val="single"/>
        </w:rPr>
      </w:pPr>
    </w:p>
    <w:tbl>
      <w:tblPr>
        <w:tblW w:w="0" w:type="auto"/>
        <w:tblLook w:val="00A0"/>
      </w:tblPr>
      <w:tblGrid>
        <w:gridCol w:w="4428"/>
        <w:gridCol w:w="4428"/>
      </w:tblGrid>
      <w:tr w:rsidR="0080778A">
        <w:tc>
          <w:tcPr>
            <w:tcW w:w="4428" w:type="dxa"/>
          </w:tcPr>
          <w:p w:rsidR="0080778A" w:rsidRDefault="0080778A">
            <w:pPr>
              <w:keepNext/>
              <w:keepLines/>
              <w:widowControl/>
              <w:spacing w:line="320" w:lineRule="exact"/>
              <w:rPr>
                <w:rFonts w:ascii="Palatino Linotype" w:hAnsi="Palatino Linotype"/>
                <w:bCs/>
              </w:rPr>
            </w:pPr>
            <w:r>
              <w:rPr>
                <w:rFonts w:ascii="Palatino Linotype" w:hAnsi="Palatino Linotype"/>
                <w:bCs/>
              </w:rPr>
              <w:t>William Wright</w:t>
            </w:r>
          </w:p>
          <w:p w:rsidR="0080778A" w:rsidRDefault="0080778A">
            <w:pPr>
              <w:keepNext/>
              <w:keepLines/>
              <w:widowControl/>
              <w:spacing w:line="320" w:lineRule="exact"/>
              <w:rPr>
                <w:rFonts w:ascii="Palatino Linotype" w:hAnsi="Palatino Linotype"/>
                <w:bCs/>
              </w:rPr>
            </w:pPr>
            <w:r>
              <w:rPr>
                <w:rFonts w:ascii="Palatino Linotype" w:hAnsi="Palatino Linotype"/>
                <w:bCs/>
              </w:rPr>
              <w:t>Public Utilities Commission of Ohio</w:t>
            </w:r>
          </w:p>
          <w:p w:rsidR="0080778A" w:rsidRDefault="0080778A">
            <w:pPr>
              <w:keepNext/>
              <w:keepLines/>
              <w:widowControl/>
              <w:spacing w:line="320" w:lineRule="exact"/>
              <w:rPr>
                <w:rFonts w:ascii="Palatino Linotype" w:hAnsi="Palatino Linotype"/>
                <w:bCs/>
              </w:rPr>
            </w:pPr>
            <w:r>
              <w:rPr>
                <w:rFonts w:ascii="Palatino Linotype" w:hAnsi="Palatino Linotype"/>
                <w:bCs/>
              </w:rPr>
              <w:t>180 East Broad Street, 6</w:t>
            </w:r>
            <w:r>
              <w:rPr>
                <w:rFonts w:ascii="Palatino Linotype" w:hAnsi="Palatino Linotype"/>
                <w:bCs/>
                <w:vertAlign w:val="superscript"/>
              </w:rPr>
              <w:t>th</w:t>
            </w:r>
            <w:r>
              <w:rPr>
                <w:rFonts w:ascii="Palatino Linotype" w:hAnsi="Palatino Linotype"/>
                <w:bCs/>
              </w:rPr>
              <w:t xml:space="preserve"> Floor</w:t>
            </w:r>
          </w:p>
          <w:p w:rsidR="0080778A" w:rsidRDefault="0080778A">
            <w:pPr>
              <w:keepNext/>
              <w:keepLines/>
              <w:widowControl/>
              <w:spacing w:line="320" w:lineRule="exact"/>
              <w:rPr>
                <w:rFonts w:ascii="Palatino Linotype" w:hAnsi="Palatino Linotype"/>
                <w:bCs/>
              </w:rPr>
            </w:pPr>
            <w:r>
              <w:rPr>
                <w:rFonts w:ascii="Palatino Linotype" w:hAnsi="Palatino Linotype"/>
                <w:bCs/>
              </w:rPr>
              <w:t>Columbus, OH 43215</w:t>
            </w:r>
          </w:p>
          <w:p w:rsidR="0080778A" w:rsidRDefault="0080778A">
            <w:pPr>
              <w:keepNext/>
              <w:keepLines/>
              <w:widowControl/>
              <w:spacing w:line="320" w:lineRule="exact"/>
              <w:rPr>
                <w:rFonts w:ascii="Palatino Linotype" w:hAnsi="Palatino Linotype"/>
                <w:bCs/>
              </w:rPr>
            </w:pPr>
            <w:r>
              <w:rPr>
                <w:rFonts w:ascii="Palatino Linotype" w:hAnsi="Palatino Linotype"/>
                <w:bCs/>
              </w:rPr>
              <w:t>William.wright@puc.state.oh.us</w:t>
            </w:r>
          </w:p>
          <w:p w:rsidR="0080778A" w:rsidRDefault="0080778A">
            <w:pPr>
              <w:keepNext/>
              <w:keepLines/>
              <w:widowControl/>
              <w:spacing w:line="320" w:lineRule="exact"/>
              <w:rPr>
                <w:rFonts w:ascii="Palatino Linotype" w:hAnsi="Palatino Linotype"/>
                <w:bCs/>
              </w:rPr>
            </w:pPr>
          </w:p>
        </w:tc>
        <w:tc>
          <w:tcPr>
            <w:tcW w:w="4428" w:type="dxa"/>
          </w:tcPr>
          <w:p w:rsidR="0080778A" w:rsidRDefault="0080778A">
            <w:pPr>
              <w:keepNext/>
              <w:keepLines/>
              <w:widowControl/>
              <w:spacing w:line="320" w:lineRule="exact"/>
              <w:rPr>
                <w:rFonts w:ascii="Palatino Linotype" w:hAnsi="Palatino Linotype"/>
                <w:bCs/>
              </w:rPr>
            </w:pPr>
            <w:r>
              <w:rPr>
                <w:rFonts w:ascii="Palatino Linotype" w:hAnsi="Palatino Linotype"/>
                <w:bCs/>
              </w:rPr>
              <w:t>Larry S. Sauer</w:t>
            </w:r>
          </w:p>
          <w:p w:rsidR="0080778A" w:rsidRDefault="0080778A">
            <w:pPr>
              <w:keepNext/>
              <w:keepLines/>
              <w:widowControl/>
              <w:spacing w:line="320" w:lineRule="exact"/>
              <w:rPr>
                <w:rFonts w:ascii="Palatino Linotype" w:hAnsi="Palatino Linotype"/>
                <w:bCs/>
              </w:rPr>
            </w:pPr>
            <w:r>
              <w:rPr>
                <w:rFonts w:ascii="Palatino Linotype" w:hAnsi="Palatino Linotype"/>
                <w:bCs/>
              </w:rPr>
              <w:t>Joseph P. Serio</w:t>
            </w:r>
          </w:p>
          <w:p w:rsidR="0080778A" w:rsidRDefault="0080778A">
            <w:pPr>
              <w:keepNext/>
              <w:keepLines/>
              <w:widowControl/>
              <w:spacing w:line="320" w:lineRule="exact"/>
              <w:rPr>
                <w:rFonts w:ascii="Palatino Linotype" w:hAnsi="Palatino Linotype"/>
                <w:bCs/>
              </w:rPr>
            </w:pPr>
            <w:r>
              <w:rPr>
                <w:rFonts w:ascii="Palatino Linotype" w:hAnsi="Palatino Linotype"/>
                <w:bCs/>
              </w:rPr>
              <w:t>Assistant Consumers’ Counsel</w:t>
            </w:r>
          </w:p>
          <w:p w:rsidR="0080778A" w:rsidRDefault="0080778A">
            <w:pPr>
              <w:keepNext/>
              <w:keepLines/>
              <w:widowControl/>
              <w:spacing w:line="320" w:lineRule="exact"/>
              <w:rPr>
                <w:rFonts w:ascii="Palatino Linotype" w:hAnsi="Palatino Linotype"/>
                <w:bCs/>
              </w:rPr>
            </w:pPr>
            <w:r>
              <w:rPr>
                <w:rFonts w:ascii="Palatino Linotype" w:hAnsi="Palatino Linotype"/>
                <w:bCs/>
              </w:rPr>
              <w:t>10 West Broad Street, Suite 1800</w:t>
            </w:r>
          </w:p>
          <w:p w:rsidR="0080778A" w:rsidRDefault="0080778A">
            <w:pPr>
              <w:keepNext/>
              <w:keepLines/>
              <w:widowControl/>
              <w:spacing w:line="320" w:lineRule="exact"/>
              <w:rPr>
                <w:rFonts w:ascii="Palatino Linotype" w:hAnsi="Palatino Linotype"/>
                <w:bCs/>
              </w:rPr>
            </w:pPr>
            <w:r>
              <w:rPr>
                <w:rFonts w:ascii="Palatino Linotype" w:hAnsi="Palatino Linotype"/>
                <w:bCs/>
              </w:rPr>
              <w:t>Columbus, OH 43215-3485</w:t>
            </w:r>
          </w:p>
          <w:p w:rsidR="0080778A" w:rsidRDefault="0080778A">
            <w:pPr>
              <w:keepNext/>
              <w:keepLines/>
              <w:widowControl/>
              <w:spacing w:line="320" w:lineRule="exact"/>
              <w:rPr>
                <w:rFonts w:ascii="Palatino Linotype" w:hAnsi="Palatino Linotype"/>
                <w:bCs/>
              </w:rPr>
            </w:pPr>
            <w:r>
              <w:rPr>
                <w:rFonts w:ascii="Palatino Linotype" w:hAnsi="Palatino Linotype"/>
                <w:bCs/>
              </w:rPr>
              <w:t>sauer@occ.state.oh.us</w:t>
            </w:r>
          </w:p>
          <w:p w:rsidR="0080778A" w:rsidRDefault="0080778A">
            <w:pPr>
              <w:keepNext/>
              <w:keepLines/>
              <w:widowControl/>
              <w:spacing w:line="320" w:lineRule="exact"/>
              <w:rPr>
                <w:rFonts w:ascii="Palatino Linotype" w:hAnsi="Palatino Linotype"/>
                <w:bCs/>
              </w:rPr>
            </w:pPr>
            <w:r>
              <w:rPr>
                <w:rFonts w:ascii="Palatino Linotype" w:hAnsi="Palatino Linotype"/>
                <w:bCs/>
              </w:rPr>
              <w:t>serio@occ.state.oh.us</w:t>
            </w:r>
          </w:p>
          <w:p w:rsidR="0080778A" w:rsidRDefault="0080778A">
            <w:pPr>
              <w:keepNext/>
              <w:keepLines/>
              <w:widowControl/>
              <w:spacing w:line="320" w:lineRule="exact"/>
              <w:rPr>
                <w:rFonts w:ascii="Palatino Linotype" w:hAnsi="Palatino Linotype"/>
                <w:bCs/>
              </w:rPr>
            </w:pPr>
          </w:p>
        </w:tc>
      </w:tr>
      <w:tr w:rsidR="0080778A">
        <w:tc>
          <w:tcPr>
            <w:tcW w:w="4428" w:type="dxa"/>
          </w:tcPr>
          <w:p w:rsidR="0080778A" w:rsidRDefault="0080778A">
            <w:pPr>
              <w:keepNext/>
              <w:keepLines/>
              <w:widowControl/>
              <w:spacing w:line="320" w:lineRule="exact"/>
              <w:rPr>
                <w:rFonts w:ascii="Palatino Linotype" w:hAnsi="Palatino Linotype"/>
                <w:bCs/>
              </w:rPr>
            </w:pPr>
            <w:r>
              <w:rPr>
                <w:rFonts w:ascii="Palatino Linotype" w:hAnsi="Palatino Linotype"/>
                <w:bCs/>
              </w:rPr>
              <w:t>Colleen L. Mooney</w:t>
            </w:r>
          </w:p>
          <w:p w:rsidR="0080778A" w:rsidRDefault="0080778A">
            <w:pPr>
              <w:keepNext/>
              <w:keepLines/>
              <w:widowControl/>
              <w:spacing w:line="320" w:lineRule="exact"/>
              <w:rPr>
                <w:rFonts w:ascii="Palatino Linotype" w:hAnsi="Palatino Linotype"/>
                <w:bCs/>
              </w:rPr>
            </w:pPr>
            <w:r>
              <w:rPr>
                <w:rFonts w:ascii="Palatino Linotype" w:hAnsi="Palatino Linotype"/>
                <w:bCs/>
              </w:rPr>
              <w:t>Ohio Partners for Affordable Energy</w:t>
            </w:r>
          </w:p>
          <w:p w:rsidR="0080778A" w:rsidRDefault="0080778A">
            <w:pPr>
              <w:keepNext/>
              <w:keepLines/>
              <w:widowControl/>
              <w:spacing w:line="320" w:lineRule="exact"/>
              <w:rPr>
                <w:rFonts w:ascii="Palatino Linotype" w:hAnsi="Palatino Linotype"/>
                <w:bCs/>
              </w:rPr>
            </w:pPr>
            <w:r>
              <w:rPr>
                <w:rFonts w:ascii="Palatino Linotype" w:hAnsi="Palatino Linotype"/>
                <w:bCs/>
              </w:rPr>
              <w:t>231 West Lima Street</w:t>
            </w:r>
          </w:p>
          <w:p w:rsidR="0080778A" w:rsidRDefault="0080778A">
            <w:pPr>
              <w:keepNext/>
              <w:keepLines/>
              <w:widowControl/>
              <w:spacing w:line="320" w:lineRule="exact"/>
              <w:rPr>
                <w:rFonts w:ascii="Palatino Linotype" w:hAnsi="Palatino Linotype"/>
                <w:bCs/>
              </w:rPr>
            </w:pPr>
            <w:r>
              <w:rPr>
                <w:rFonts w:ascii="Palatino Linotype" w:hAnsi="Palatino Linotype"/>
                <w:bCs/>
              </w:rPr>
              <w:t>P.O. Box 1793</w:t>
            </w:r>
          </w:p>
          <w:p w:rsidR="0080778A" w:rsidRDefault="0080778A">
            <w:pPr>
              <w:keepNext/>
              <w:keepLines/>
              <w:widowControl/>
              <w:spacing w:line="320" w:lineRule="exact"/>
              <w:rPr>
                <w:rFonts w:ascii="Palatino Linotype" w:hAnsi="Palatino Linotype"/>
                <w:bCs/>
              </w:rPr>
            </w:pPr>
            <w:r>
              <w:rPr>
                <w:rFonts w:ascii="Palatino Linotype" w:hAnsi="Palatino Linotype"/>
                <w:bCs/>
              </w:rPr>
              <w:t>Findlay, OH 45839-1793</w:t>
            </w:r>
          </w:p>
          <w:p w:rsidR="0080778A" w:rsidRDefault="0080778A">
            <w:pPr>
              <w:keepNext/>
              <w:keepLines/>
              <w:widowControl/>
              <w:spacing w:line="320" w:lineRule="exact"/>
              <w:rPr>
                <w:rFonts w:ascii="Palatino Linotype" w:hAnsi="Palatino Linotype"/>
                <w:bCs/>
              </w:rPr>
            </w:pPr>
            <w:r>
              <w:rPr>
                <w:rFonts w:ascii="Palatino Linotype" w:hAnsi="Palatino Linotype"/>
                <w:bCs/>
              </w:rPr>
              <w:t>Cmooney2@columbus.rr.com</w:t>
            </w:r>
          </w:p>
          <w:p w:rsidR="0080778A" w:rsidRDefault="0080778A">
            <w:pPr>
              <w:keepNext/>
              <w:keepLines/>
              <w:widowControl/>
              <w:spacing w:line="320" w:lineRule="exact"/>
              <w:rPr>
                <w:rFonts w:ascii="Palatino Linotype" w:hAnsi="Palatino Linotype"/>
                <w:bCs/>
              </w:rPr>
            </w:pPr>
          </w:p>
        </w:tc>
        <w:tc>
          <w:tcPr>
            <w:tcW w:w="4428" w:type="dxa"/>
          </w:tcPr>
          <w:p w:rsidR="0080778A" w:rsidRDefault="0080778A">
            <w:pPr>
              <w:keepNext/>
              <w:keepLines/>
              <w:widowControl/>
              <w:spacing w:line="320" w:lineRule="exact"/>
              <w:rPr>
                <w:rFonts w:ascii="Palatino Linotype" w:hAnsi="Palatino Linotype"/>
                <w:bCs/>
              </w:rPr>
            </w:pPr>
          </w:p>
        </w:tc>
      </w:tr>
    </w:tbl>
    <w:p w:rsidR="0080778A" w:rsidRDefault="0080778A">
      <w:pPr>
        <w:keepNext/>
        <w:keepLines/>
        <w:widowControl/>
        <w:spacing w:line="320" w:lineRule="exact"/>
        <w:rPr>
          <w:rFonts w:ascii="Palatino Linotype" w:hAnsi="Palatino Linotype"/>
          <w:b/>
          <w:bCs/>
          <w:spacing w:val="-12"/>
          <w:u w:val="single"/>
        </w:rPr>
      </w:pPr>
    </w:p>
    <w:sectPr w:rsidR="0080778A" w:rsidSect="00533715">
      <w:footerReference w:type="default" r:id="rId8"/>
      <w:pgSz w:w="12240" w:h="15840"/>
      <w:pgMar w:top="1440" w:right="1800" w:bottom="1440" w:left="180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8A" w:rsidRDefault="0080778A">
      <w:r>
        <w:separator/>
      </w:r>
    </w:p>
  </w:endnote>
  <w:endnote w:type="continuationSeparator" w:id="0">
    <w:p w:rsidR="0080778A" w:rsidRDefault="00807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8A" w:rsidRDefault="0080778A">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Pr>
        <w:rFonts w:cs="Courier"/>
        <w:noProof/>
      </w:rPr>
      <w:t>7</w:t>
    </w:r>
    <w:r>
      <w:rPr>
        <w:rFonts w:cs="Courier"/>
      </w:rPr>
      <w:fldChar w:fldCharType="end"/>
    </w:r>
  </w:p>
  <w:p w:rsidR="0080778A" w:rsidRDefault="008077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8A" w:rsidRDefault="0080778A">
    <w:r>
      <w:rPr>
        <w:noProof/>
      </w:rPr>
      <w:pict>
        <v:rect id="Rectangle 1" o:spid="_x0000_s2049" style="position:absolute;margin-left:1in;margin-top:12pt;width:468pt;height:1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rsidR="0080778A" w:rsidRDefault="0080778A">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Pr>
                    <w:noProof/>
                    <w:spacing w:val="-3"/>
                  </w:rPr>
                  <w:t>8</w:t>
                </w:r>
                <w:r>
                  <w:rPr>
                    <w:spacing w:val="-3"/>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8A" w:rsidRDefault="0080778A">
      <w:r>
        <w:separator/>
      </w:r>
    </w:p>
  </w:footnote>
  <w:footnote w:type="continuationSeparator" w:id="0">
    <w:p w:rsidR="0080778A" w:rsidRDefault="0080778A">
      <w:r>
        <w:continuationSeparator/>
      </w:r>
    </w:p>
  </w:footnote>
  <w:footnote w:id="1">
    <w:p w:rsidR="0080778A" w:rsidRDefault="0080778A">
      <w:pPr>
        <w:pStyle w:val="FootnoteText"/>
      </w:pPr>
      <w:r>
        <w:rPr>
          <w:rStyle w:val="FootnoteReference"/>
          <w:rFonts w:ascii="Palatino Linotype" w:hAnsi="Palatino Linotype"/>
        </w:rPr>
        <w:footnoteRef/>
      </w:r>
      <w:r>
        <w:rPr>
          <w:rFonts w:ascii="Palatino Linotype" w:hAnsi="Palatino Linotype"/>
        </w:rPr>
        <w:t xml:space="preserve"> Case Nos.08-0072-GA-AIR et al.</w:t>
      </w:r>
    </w:p>
  </w:footnote>
  <w:footnote w:id="2">
    <w:p w:rsidR="0080778A" w:rsidRDefault="0080778A">
      <w:pPr>
        <w:pStyle w:val="FootnoteText"/>
      </w:pPr>
      <w:r>
        <w:rPr>
          <w:rStyle w:val="FootnoteReference"/>
          <w:rFonts w:ascii="Palatino Linotype" w:hAnsi="Palatino Linotype"/>
        </w:rPr>
        <w:footnoteRef/>
      </w:r>
      <w:r>
        <w:rPr>
          <w:rFonts w:ascii="Palatino Linotype" w:hAnsi="Palatino Linotype"/>
        </w:rPr>
        <w:t xml:space="preserve"> Case Nos. 08-0072-GA-AIR et al., Joint Stipulation and Recommendation (October 24, 2008) at 9.</w:t>
      </w:r>
    </w:p>
  </w:footnote>
  <w:footnote w:id="3">
    <w:p w:rsidR="0080778A" w:rsidRDefault="0080778A">
      <w:pPr>
        <w:pStyle w:val="FootnoteText"/>
      </w:pPr>
      <w:r>
        <w:rPr>
          <w:rStyle w:val="FootnoteReference"/>
          <w:rFonts w:ascii="Palatino Linotype" w:hAnsi="Palatino Linotype"/>
        </w:rPr>
        <w:footnoteRef/>
      </w:r>
      <w:r>
        <w:rPr>
          <w:rFonts w:ascii="Palatino Linotype" w:hAnsi="Palatino Linotype"/>
        </w:rPr>
        <w:t xml:space="preserve"> The Commission has recently initiated a rulemaking proceeding in which the alternative reg</w:t>
      </w:r>
      <w:r>
        <w:rPr>
          <w:rFonts w:ascii="Palatino Linotype" w:hAnsi="Palatino Linotype"/>
        </w:rPr>
        <w:t>u</w:t>
      </w:r>
      <w:r>
        <w:rPr>
          <w:rFonts w:ascii="Palatino Linotype" w:hAnsi="Palatino Linotype"/>
        </w:rPr>
        <w:t>lation plan rules are currently under review. See PUCO Case No. 11-5590-GA-ORD.</w:t>
      </w:r>
    </w:p>
  </w:footnote>
  <w:footnote w:id="4">
    <w:p w:rsidR="0080778A" w:rsidRDefault="0080778A">
      <w:pPr>
        <w:pStyle w:val="FootnoteText"/>
        <w:rPr>
          <w:rFonts w:ascii="Palatino Linotype" w:hAnsi="Palatino Linotype"/>
        </w:rPr>
      </w:pPr>
      <w:r>
        <w:rPr>
          <w:rStyle w:val="FootnoteReference"/>
          <w:rFonts w:ascii="Palatino Linotype" w:hAnsi="Palatino Linotype"/>
        </w:rPr>
        <w:footnoteRef/>
      </w:r>
      <w:r>
        <w:rPr>
          <w:rFonts w:ascii="Palatino Linotype" w:hAnsi="Palatino Linotype"/>
        </w:rPr>
        <w:t xml:space="preserve"> As enacted the statute provided:</w:t>
      </w:r>
    </w:p>
    <w:p w:rsidR="0080778A" w:rsidRDefault="0080778A">
      <w:pPr>
        <w:pStyle w:val="FootnoteText"/>
        <w:ind w:left="360"/>
        <w:jc w:val="both"/>
        <w:rPr>
          <w:rFonts w:ascii="Palatino Linotype" w:hAnsi="Palatino Linotype"/>
        </w:rPr>
      </w:pPr>
      <w:r>
        <w:rPr>
          <w:rFonts w:ascii="Palatino Linotype" w:hAnsi="Palatino Linotype"/>
        </w:rPr>
        <w:t>(A) As part of an application filed pursuant to section 4909.18 of the Revised Code, a natural gas company may request approval of an alternative rate plan. After notice, investigation, and hearing, and after determining just and reasonable rates and charges for the natural gas company pursuant to section 4909.15 of the Revised Code, the public utilities commission shall authorize the applicant to implement an alternative rate plan if … [specified conditions are satisfied].</w:t>
      </w:r>
    </w:p>
    <w:p w:rsidR="0080778A" w:rsidRDefault="0080778A">
      <w:pPr>
        <w:pStyle w:val="FootnoteText"/>
        <w:jc w:val="both"/>
      </w:pPr>
      <w:r>
        <w:rPr>
          <w:rFonts w:ascii="Palatino Linotype" w:hAnsi="Palatino Linotype"/>
        </w:rPr>
        <w:t>Ohio Revised Code Annotated § 4929.05 (Page 2000).</w:t>
      </w:r>
    </w:p>
  </w:footnote>
  <w:footnote w:id="5">
    <w:p w:rsidR="0080778A" w:rsidRDefault="0080778A">
      <w:pPr>
        <w:pStyle w:val="FootnoteText"/>
        <w:rPr>
          <w:rFonts w:ascii="Palatino Linotype" w:hAnsi="Palatino Linotype"/>
        </w:rPr>
      </w:pPr>
      <w:r>
        <w:rPr>
          <w:rStyle w:val="FootnoteReference"/>
          <w:rFonts w:ascii="Palatino Linotype" w:hAnsi="Palatino Linotype"/>
        </w:rPr>
        <w:footnoteRef/>
      </w:r>
      <w:r>
        <w:rPr>
          <w:rFonts w:ascii="Palatino Linotype" w:hAnsi="Palatino Linotype"/>
        </w:rPr>
        <w:t xml:space="preserve"> The statute stated:</w:t>
      </w:r>
    </w:p>
    <w:p w:rsidR="0080778A" w:rsidRDefault="0080778A">
      <w:pPr>
        <w:pStyle w:val="FootnoteText"/>
        <w:ind w:left="360"/>
        <w:rPr>
          <w:rFonts w:ascii="Palatino Linotype" w:hAnsi="Palatino Linotype"/>
        </w:rPr>
      </w:pPr>
      <w:r>
        <w:rPr>
          <w:rFonts w:ascii="Palatino Linotype" w:hAnsi="Palatino Linotype"/>
        </w:rPr>
        <w:t>An alternative rate plan filed by a natural gas company under section 4929.05 Revised Code and proposing a revenue decoupling mechanism may be an application not for an increase in rates if the rates, joint rates, tolls classifications, charges or rentals are based upon the billing determinants and revenue requirement authorized by the public utilities commission  in the company’s most recent rate case proceeding and the plan also establishes, continues, or e</w:t>
      </w:r>
      <w:r>
        <w:rPr>
          <w:rFonts w:ascii="Palatino Linotype" w:hAnsi="Palatino Linotype"/>
        </w:rPr>
        <w:t>x</w:t>
      </w:r>
      <w:r>
        <w:rPr>
          <w:rFonts w:ascii="Palatino Linotype" w:hAnsi="Palatino Linotype"/>
        </w:rPr>
        <w:t>pands an energy efficiency or energy conservation program.</w:t>
      </w:r>
    </w:p>
    <w:p w:rsidR="0080778A" w:rsidRDefault="0080778A">
      <w:pPr>
        <w:pStyle w:val="FootnoteText"/>
      </w:pPr>
      <w:r>
        <w:rPr>
          <w:rFonts w:ascii="Palatino Linotype" w:hAnsi="Palatino Linotype"/>
        </w:rPr>
        <w:t>Ohio Revised Code Annotated § 4929.051 (Page Supp. 2011).</w:t>
      </w:r>
    </w:p>
  </w:footnote>
  <w:footnote w:id="6">
    <w:p w:rsidR="0080778A" w:rsidRDefault="0080778A">
      <w:pPr>
        <w:pStyle w:val="FootnoteText"/>
        <w:rPr>
          <w:rFonts w:ascii="Palatino Linotype" w:hAnsi="Palatino Linotype"/>
        </w:rPr>
      </w:pPr>
      <w:r>
        <w:rPr>
          <w:rStyle w:val="FootnoteReference"/>
          <w:rFonts w:ascii="Palatino Linotype" w:hAnsi="Palatino Linotype"/>
        </w:rPr>
        <w:footnoteRef/>
      </w:r>
      <w:r>
        <w:rPr>
          <w:rFonts w:ascii="Palatino Linotype" w:hAnsi="Palatino Linotype"/>
        </w:rPr>
        <w:t xml:space="preserve"> After revision, Rev. Code § 4929.05 now provides:</w:t>
      </w:r>
    </w:p>
    <w:p w:rsidR="0080778A" w:rsidRDefault="0080778A">
      <w:pPr>
        <w:pStyle w:val="FootnoteText"/>
        <w:ind w:left="360"/>
        <w:rPr>
          <w:rFonts w:ascii="Palatino Linotype" w:hAnsi="Palatino Linotype"/>
        </w:rPr>
      </w:pPr>
      <w:r>
        <w:rPr>
          <w:rFonts w:ascii="Palatino Linotype" w:hAnsi="Palatino Linotype"/>
        </w:rPr>
        <w:t>(A) A natural gas company may request approval of an alternative rate plan by filing an a</w:t>
      </w:r>
      <w:r>
        <w:rPr>
          <w:rFonts w:ascii="Palatino Linotype" w:hAnsi="Palatino Linotype"/>
        </w:rPr>
        <w:t>p</w:t>
      </w:r>
      <w:r>
        <w:rPr>
          <w:rFonts w:ascii="Palatino Linotype" w:hAnsi="Palatino Linotype"/>
        </w:rPr>
        <w:t>plication under section 4909.18 of the Revised Code, regardless of whether the application is for an increase in rates. After investigation, which may include a hearing at the discretion of the public utilities commission, the commission shall authorize the applicant to implement an alternative rate plan if … [specified conditions are satisfied].</w:t>
      </w:r>
    </w:p>
    <w:p w:rsidR="0080778A" w:rsidRDefault="0080778A">
      <w:pPr>
        <w:pStyle w:val="FootnoteText"/>
      </w:pPr>
      <w:r>
        <w:rPr>
          <w:rFonts w:ascii="Palatino Linotype" w:hAnsi="Palatino Linotype"/>
        </w:rPr>
        <w:t>Ohio Revised Code Annotated § 4929.05 (Lexis-Nexis 2011).</w:t>
      </w:r>
    </w:p>
  </w:footnote>
  <w:footnote w:id="7">
    <w:p w:rsidR="0080778A" w:rsidRDefault="0080778A">
      <w:pPr>
        <w:pStyle w:val="FootnoteText"/>
        <w:rPr>
          <w:rFonts w:ascii="Palatino Linotype" w:hAnsi="Palatino Linotype"/>
        </w:rPr>
      </w:pPr>
      <w:r>
        <w:rPr>
          <w:rStyle w:val="FootnoteReference"/>
          <w:rFonts w:ascii="Palatino Linotype" w:hAnsi="Palatino Linotype"/>
        </w:rPr>
        <w:footnoteRef/>
      </w:r>
      <w:r>
        <w:rPr>
          <w:rFonts w:ascii="Palatino Linotype" w:hAnsi="Palatino Linotype"/>
        </w:rPr>
        <w:t xml:space="preserve"> The statute now provides:</w:t>
      </w:r>
    </w:p>
    <w:p w:rsidR="0080778A" w:rsidRDefault="0080778A">
      <w:pPr>
        <w:pStyle w:val="FootnoteText"/>
        <w:ind w:left="360"/>
        <w:rPr>
          <w:rFonts w:ascii="Palatino Linotype" w:hAnsi="Palatino Linotype"/>
        </w:rPr>
      </w:pPr>
      <w:r>
        <w:rPr>
          <w:rFonts w:ascii="Palatino Linotype" w:hAnsi="Palatino Linotype"/>
        </w:rPr>
        <w:t>(A) An alternative rate plan filed by a natural gas company under section 4929.05 of the R</w:t>
      </w:r>
      <w:r>
        <w:rPr>
          <w:rFonts w:ascii="Palatino Linotype" w:hAnsi="Palatino Linotype"/>
        </w:rPr>
        <w:t>e</w:t>
      </w:r>
      <w:r>
        <w:rPr>
          <w:rFonts w:ascii="Palatino Linotype" w:hAnsi="Palatino Linotype"/>
        </w:rPr>
        <w:t>vised Code and proposing to initiate or continue a revenue decoupling mechanism shall be considered an application not for an increase in rates if the rates, joint rates, tolls, classific</w:t>
      </w:r>
      <w:r>
        <w:rPr>
          <w:rFonts w:ascii="Palatino Linotype" w:hAnsi="Palatino Linotype"/>
        </w:rPr>
        <w:t>a</w:t>
      </w:r>
      <w:r>
        <w:rPr>
          <w:rFonts w:ascii="Palatino Linotype" w:hAnsi="Palatino Linotype"/>
        </w:rPr>
        <w:t>tions, charges, or rentals are based upon the billing determinants and revenue requirement authorized by the public utilities commission in the company's most recent rate case procee</w:t>
      </w:r>
      <w:r>
        <w:rPr>
          <w:rFonts w:ascii="Palatino Linotype" w:hAnsi="Palatino Linotype"/>
        </w:rPr>
        <w:t>d</w:t>
      </w:r>
      <w:r>
        <w:rPr>
          <w:rFonts w:ascii="Palatino Linotype" w:hAnsi="Palatino Linotype"/>
        </w:rPr>
        <w:t>ing and the plan also establishes, continues, or expands an energy efficiency or energy co</w:t>
      </w:r>
      <w:r>
        <w:rPr>
          <w:rFonts w:ascii="Palatino Linotype" w:hAnsi="Palatino Linotype"/>
        </w:rPr>
        <w:t>n</w:t>
      </w:r>
      <w:r>
        <w:rPr>
          <w:rFonts w:ascii="Palatino Linotype" w:hAnsi="Palatino Linotype"/>
        </w:rPr>
        <w:t>servation program.</w:t>
      </w:r>
    </w:p>
    <w:p w:rsidR="0080778A" w:rsidRDefault="0080778A">
      <w:pPr>
        <w:pStyle w:val="FootnoteText"/>
        <w:ind w:left="360"/>
        <w:rPr>
          <w:rFonts w:ascii="Palatino Linotype" w:hAnsi="Palatino Linotype"/>
        </w:rPr>
      </w:pPr>
      <w:r>
        <w:rPr>
          <w:rFonts w:ascii="Palatino Linotype" w:hAnsi="Palatino Linotype"/>
        </w:rPr>
        <w:t>(B) An alternative rate plan filed by a natural gas company under section 4929.05 of the R</w:t>
      </w:r>
      <w:r>
        <w:rPr>
          <w:rFonts w:ascii="Palatino Linotype" w:hAnsi="Palatino Linotype"/>
        </w:rPr>
        <w:t>e</w:t>
      </w:r>
      <w:r>
        <w:rPr>
          <w:rFonts w:ascii="Palatino Linotype" w:hAnsi="Palatino Linotype"/>
        </w:rPr>
        <w:t>vised Code and seeking authorization to continue a previously approved alternative rate plan shall be considered an application not for an increase in rates.</w:t>
      </w:r>
    </w:p>
    <w:p w:rsidR="0080778A" w:rsidRDefault="0080778A">
      <w:pPr>
        <w:pStyle w:val="FootnoteText"/>
      </w:pPr>
      <w:r>
        <w:rPr>
          <w:rFonts w:ascii="Palatino Linotype" w:hAnsi="Palatino Linotype"/>
        </w:rPr>
        <w:t>Ohio Revised Code Annotated § 4929.051 (Lexis-Nexis 2011).</w:t>
      </w:r>
    </w:p>
  </w:footnote>
  <w:footnote w:id="8">
    <w:p w:rsidR="0080778A" w:rsidRDefault="0080778A">
      <w:pPr>
        <w:pStyle w:val="FootnoteText"/>
      </w:pPr>
      <w:r>
        <w:rPr>
          <w:rStyle w:val="FootnoteReference"/>
          <w:rFonts w:ascii="Palatino Linotype" w:hAnsi="Palatino Linotype"/>
        </w:rPr>
        <w:footnoteRef/>
      </w:r>
      <w:r>
        <w:rPr>
          <w:rFonts w:ascii="Palatino Linotype" w:hAnsi="Palatino Linotype"/>
        </w:rPr>
        <w:t xml:space="preserve"> Case Nos. 08-0072-GA-AIR et al., Joint Stipulation and Recommendation (October 24, 2008) at 9 (emphasis added).</w:t>
      </w:r>
    </w:p>
  </w:footnote>
  <w:footnote w:id="9">
    <w:p w:rsidR="0080778A" w:rsidRDefault="0080778A">
      <w:pPr>
        <w:pStyle w:val="FootnoteText"/>
      </w:pPr>
      <w:r>
        <w:rPr>
          <w:rStyle w:val="FootnoteReference"/>
        </w:rPr>
        <w:footnoteRef/>
      </w:r>
      <w:r>
        <w:t xml:space="preserve"> Case No. 11-5515-GA-ALT, OCC Memorandum Contra (January 6, 2011) at 4.</w:t>
      </w:r>
    </w:p>
  </w:footnote>
  <w:footnote w:id="10">
    <w:p w:rsidR="0080778A" w:rsidRDefault="0080778A">
      <w:pPr>
        <w:pStyle w:val="FootnoteText"/>
      </w:pPr>
      <w:r>
        <w:rPr>
          <w:rStyle w:val="FootnoteReference"/>
        </w:rPr>
        <w:footnoteRef/>
      </w:r>
      <w:r>
        <w:t xml:space="preserve"> </w:t>
      </w:r>
      <w:r>
        <w:rPr>
          <w:i/>
        </w:rPr>
        <w:t>Id</w:t>
      </w:r>
      <w:r>
        <w:t>.</w:t>
      </w:r>
    </w:p>
  </w:footnote>
  <w:footnote w:id="11">
    <w:p w:rsidR="0080778A" w:rsidRDefault="0080778A">
      <w:pPr>
        <w:pStyle w:val="FootnoteText"/>
      </w:pPr>
      <w:r>
        <w:rPr>
          <w:rStyle w:val="FootnoteReference"/>
        </w:rPr>
        <w:footnoteRef/>
      </w:r>
      <w:r>
        <w:t xml:space="preserve"> </w:t>
      </w:r>
      <w:r>
        <w:rPr>
          <w:i/>
        </w:rPr>
        <w:t>Id.</w:t>
      </w:r>
      <w:r>
        <w:t xml:space="preserve"> at 3.</w:t>
      </w:r>
    </w:p>
  </w:footnote>
  <w:footnote w:id="12">
    <w:p w:rsidR="0080778A" w:rsidRDefault="0080778A">
      <w:pPr>
        <w:pStyle w:val="FootnoteText"/>
      </w:pPr>
      <w:r>
        <w:rPr>
          <w:rStyle w:val="FootnoteReference"/>
        </w:rPr>
        <w:footnoteRef/>
      </w:r>
      <w:r>
        <w:t xml:space="preserve"> </w:t>
      </w:r>
      <w:r>
        <w:rPr>
          <w:i/>
        </w:rPr>
        <w:t>Id</w:t>
      </w:r>
      <w:r>
        <w:t>. at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9FA"/>
    <w:multiLevelType w:val="hybridMultilevel"/>
    <w:tmpl w:val="9E8A82BC"/>
    <w:lvl w:ilvl="0" w:tplc="04090015">
      <w:start w:val="1"/>
      <w:numFmt w:val="upperLetter"/>
      <w:lvlText w:val="%1."/>
      <w:lvlJc w:val="left"/>
      <w:pPr>
        <w:tabs>
          <w:tab w:val="num" w:pos="720"/>
        </w:tabs>
        <w:ind w:left="720" w:hanging="360"/>
      </w:pPr>
      <w:rPr>
        <w:rFonts w:cs="Times New Roman" w:hint="default"/>
        <w:color w:val="auto"/>
      </w:rPr>
    </w:lvl>
    <w:lvl w:ilvl="1" w:tplc="04090003">
      <w:start w:val="1"/>
      <w:numFmt w:val="bullet"/>
      <w:lvlText w:val="o"/>
      <w:lvlJc w:val="left"/>
      <w:pPr>
        <w:tabs>
          <w:tab w:val="num" w:pos="0"/>
        </w:tabs>
        <w:ind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1A782EEA"/>
    <w:multiLevelType w:val="hybridMultilevel"/>
    <w:tmpl w:val="67186156"/>
    <w:lvl w:ilvl="0" w:tplc="0A74752A">
      <w:start w:val="10"/>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5E26CA4"/>
    <w:multiLevelType w:val="hybridMultilevel"/>
    <w:tmpl w:val="E7402250"/>
    <w:lvl w:ilvl="0" w:tplc="04090001">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705B1D2A"/>
    <w:multiLevelType w:val="hybridMultilevel"/>
    <w:tmpl w:val="06E02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78A"/>
    <w:rsid w:val="00533715"/>
    <w:rsid w:val="0080778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FootnoteReference">
    <w:name w:val="footnote reference"/>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80778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80778A"/>
    <w:rPr>
      <w:sz w:val="24"/>
      <w:szCs w:val="24"/>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99"/>
    <w:qFormat/>
    <w:pPr>
      <w:widowControl/>
      <w:autoSpaceDE/>
      <w:autoSpaceDN/>
      <w:adjustRightInd/>
      <w:ind w:left="720"/>
      <w:contextualSpacing/>
    </w:pPr>
  </w:style>
  <w:style w:type="paragraph" w:styleId="FootnoteText">
    <w:name w:val="footnote text"/>
    <w:basedOn w:val="Normal"/>
    <w:link w:val="FootnoteTextChar"/>
    <w:uiPriority w:val="99"/>
    <w:pPr>
      <w:widowControl/>
      <w:autoSpaceDE/>
      <w:autoSpaceDN/>
      <w:adjustRightInd/>
    </w:pPr>
    <w:rPr>
      <w:sz w:val="20"/>
      <w:szCs w:val="20"/>
      <w:lang w:eastAsia="ko-KR"/>
    </w:rPr>
  </w:style>
  <w:style w:type="character" w:customStyle="1" w:styleId="FootnoteTextChar">
    <w:name w:val="Footnote Text Char"/>
    <w:basedOn w:val="DefaultParagraphFont"/>
    <w:link w:val="FootnoteText"/>
    <w:uiPriority w:val="99"/>
    <w:locked/>
    <w:rPr>
      <w:rFonts w:cs="Times New Roman"/>
      <w:lang w:eastAsia="ko-KR"/>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2020</Words>
  <Characters>11514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subject/>
  <dc:creator>Stephen Seiple</dc:creator>
  <cp:keywords/>
  <dc:description/>
  <cp:lastModifiedBy>u124106</cp:lastModifiedBy>
  <cp:revision>2</cp:revision>
  <cp:lastPrinted>2012-01-11T14:00:00Z</cp:lastPrinted>
  <dcterms:created xsi:type="dcterms:W3CDTF">2012-01-11T14:02:00Z</dcterms:created>
  <dcterms:modified xsi:type="dcterms:W3CDTF">2012-01-11T14:02:00Z</dcterms:modified>
</cp:coreProperties>
</file>