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277646" w14:paraId="6CF9376D" w14:textId="7777777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BEFORE</w:t>
      </w:r>
    </w:p>
    <w:p w:rsidR="00277646" w14:paraId="2FD044E3" w14:textId="77777777">
      <w:pPr>
        <w:pStyle w:val="HTMLPreformatted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THE PUBLIC UTILITIES COMMISSION OF OHIO</w:t>
      </w:r>
    </w:p>
    <w:p w:rsidR="00277646" w14:paraId="63EF8EB5" w14:textId="77777777">
      <w:pPr>
        <w:pStyle w:val="HTMLPreformatted"/>
        <w:rPr>
          <w:rFonts w:ascii="Times New Roman" w:hAnsi="Times New Roman"/>
          <w:sz w:val="12"/>
          <w:szCs w:val="12"/>
        </w:rPr>
      </w:pPr>
    </w:p>
    <w:tbl>
      <w:tblPr>
        <w:tblW w:w="8730" w:type="dxa"/>
        <w:tblLook w:val="01E0"/>
      </w:tblPr>
      <w:tblGrid>
        <w:gridCol w:w="4230"/>
        <w:gridCol w:w="300"/>
        <w:gridCol w:w="4200"/>
      </w:tblGrid>
      <w:tr w14:paraId="44FD6EA3" w14:textId="77777777" w:rsidTr="00CF1EDC">
        <w:tblPrEx>
          <w:tblW w:w="8730" w:type="dxa"/>
          <w:tblLook w:val="01E0"/>
        </w:tblPrEx>
        <w:trPr>
          <w:trHeight w:val="807"/>
        </w:trPr>
        <w:tc>
          <w:tcPr>
            <w:tcW w:w="4230" w:type="dxa"/>
            <w:shd w:val="clear" w:color="auto" w:fill="auto"/>
          </w:tcPr>
          <w:p w:rsidR="00277646" w14:paraId="78429236" w14:textId="77777777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In the Matter of the Application of </w:t>
            </w:r>
          </w:p>
          <w:p w:rsidR="00277646" w14:paraId="2CF0275E" w14:textId="77777777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Aqua Ohio, Inc. to Increase its Rates and</w:t>
            </w:r>
          </w:p>
          <w:p w:rsidR="00277646" w14:paraId="1422FD78" w14:textId="77777777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Charges for Its Waterworks Service.</w:t>
            </w:r>
          </w:p>
          <w:p w:rsidR="00277646" w14:paraId="6BB58D98" w14:textId="6F544BD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00" w:type="dxa"/>
            <w:shd w:val="clear" w:color="auto" w:fill="auto"/>
          </w:tcPr>
          <w:p w:rsidR="00277646" w14:paraId="2F05FAA7" w14:textId="77777777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77646" w14:paraId="136DAB04" w14:textId="77777777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77646" w14:paraId="393C51E1" w14:textId="08F8EE4E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77646" w14:paraId="5A1DF3F0" w14:textId="77777777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277646" w14:paraId="4A2417CD" w14:textId="77777777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</w:p>
          <w:p w:rsidR="00277646" w14:paraId="65B1F69A" w14:textId="77777777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Case No. 21-595-WW-AIR</w:t>
            </w:r>
          </w:p>
          <w:p w:rsidR="00277646" w14:paraId="13873B22" w14:textId="77777777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</w:p>
          <w:p w:rsidR="00277646" w14:paraId="45F43761" w14:textId="77777777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7646" w14:paraId="498A3A5B" w14:textId="77777777">
      <w:pPr>
        <w:pStyle w:val="HTMLPreformatted"/>
        <w:rPr>
          <w:rFonts w:ascii="Times New Roman" w:hAnsi="Times New Roman"/>
          <w:sz w:val="16"/>
        </w:rPr>
      </w:pPr>
    </w:p>
    <w:p w:rsidR="00277646" w14:paraId="56ED986A" w14:textId="77777777">
      <w:pPr>
        <w:pStyle w:val="HTMLPreformatted"/>
        <w:pBdr>
          <w:top w:val="single" w:sz="12" w:space="1" w:color="auto"/>
        </w:pBdr>
        <w:rPr>
          <w:rFonts w:ascii="Times New Roman" w:hAnsi="Times New Roman"/>
          <w:sz w:val="10"/>
          <w:szCs w:val="10"/>
        </w:rPr>
      </w:pPr>
    </w:p>
    <w:p w:rsidR="00277646" w14:paraId="73FCEECD" w14:textId="010089D1">
      <w:pPr>
        <w:jc w:val="center"/>
        <w:rPr>
          <w:b/>
          <w:bCs/>
        </w:rPr>
      </w:pPr>
      <w:r>
        <w:rPr>
          <w:b/>
          <w:bCs/>
        </w:rPr>
        <w:t xml:space="preserve">REPLY </w:t>
      </w:r>
      <w:r w:rsidR="000E18BC">
        <w:rPr>
          <w:b/>
          <w:bCs/>
        </w:rPr>
        <w:t>REGARDING</w:t>
      </w:r>
      <w:r>
        <w:rPr>
          <w:b/>
          <w:bCs/>
        </w:rPr>
        <w:t xml:space="preserve"> AQUA</w:t>
      </w:r>
      <w:r w:rsidR="000E18BC">
        <w:rPr>
          <w:b/>
          <w:bCs/>
        </w:rPr>
        <w:t xml:space="preserve">’S OPPOSITION </w:t>
      </w:r>
      <w:r>
        <w:rPr>
          <w:b/>
          <w:bCs/>
        </w:rPr>
        <w:t>TO</w:t>
      </w:r>
      <w:r>
        <w:rPr>
          <w:b/>
          <w:bCs/>
        </w:rPr>
        <w:t xml:space="preserve"> PUBLICLY FIL</w:t>
      </w:r>
      <w:r w:rsidR="000E18BC">
        <w:rPr>
          <w:b/>
          <w:bCs/>
        </w:rPr>
        <w:t>ING</w:t>
      </w:r>
      <w:r>
        <w:rPr>
          <w:b/>
          <w:bCs/>
        </w:rPr>
        <w:t xml:space="preserve"> STATISTICS </w:t>
      </w:r>
      <w:r w:rsidR="002120F3">
        <w:rPr>
          <w:b/>
          <w:bCs/>
        </w:rPr>
        <w:t>ABOUT</w:t>
      </w:r>
      <w:r>
        <w:rPr>
          <w:b/>
          <w:bCs/>
        </w:rPr>
        <w:t xml:space="preserve"> ITS DISCONNECTIONS OF </w:t>
      </w:r>
      <w:r w:rsidR="00160DA5">
        <w:rPr>
          <w:b/>
          <w:bCs/>
        </w:rPr>
        <w:t xml:space="preserve">ITS </w:t>
      </w:r>
      <w:r w:rsidR="000E18BC">
        <w:rPr>
          <w:b/>
          <w:bCs/>
        </w:rPr>
        <w:t xml:space="preserve">WATER </w:t>
      </w:r>
      <w:r>
        <w:rPr>
          <w:b/>
          <w:bCs/>
        </w:rPr>
        <w:t xml:space="preserve">CONSUMERS </w:t>
      </w:r>
    </w:p>
    <w:p w:rsidR="00277646" w14:paraId="49621593" w14:textId="77777777">
      <w:pPr>
        <w:jc w:val="center"/>
        <w:rPr>
          <w:b/>
          <w:bCs/>
        </w:rPr>
      </w:pPr>
      <w:r>
        <w:rPr>
          <w:b/>
          <w:bCs/>
        </w:rPr>
        <w:t>BY</w:t>
      </w:r>
    </w:p>
    <w:p w:rsidR="00277646" w14:paraId="52E27FD8" w14:textId="77777777">
      <w:pPr>
        <w:jc w:val="center"/>
        <w:rPr>
          <w:b/>
          <w:bCs/>
        </w:rPr>
      </w:pPr>
      <w:r>
        <w:rPr>
          <w:b/>
          <w:bCs/>
        </w:rPr>
        <w:t>OFFICE OF THE OHIO CONSUMERS’ COUNSEL</w:t>
      </w:r>
    </w:p>
    <w:p w:rsidR="00277646" w14:paraId="564F5A55" w14:textId="77777777">
      <w:pPr>
        <w:pBdr>
          <w:bottom w:val="single" w:sz="12" w:space="1" w:color="auto"/>
        </w:pBdr>
        <w:tabs>
          <w:tab w:val="left" w:pos="4320"/>
        </w:tabs>
        <w:rPr>
          <w:sz w:val="10"/>
          <w:szCs w:val="10"/>
        </w:rPr>
      </w:pPr>
    </w:p>
    <w:p w:rsidR="00277646" w14:paraId="3D49590E" w14:textId="77777777">
      <w:pPr>
        <w:tabs>
          <w:tab w:val="left" w:pos="4320"/>
        </w:tabs>
      </w:pPr>
    </w:p>
    <w:p w:rsidR="00714266" w:rsidRPr="000F0517" w:rsidP="004F2E45" w14:paraId="2CCCB5AA" w14:textId="20B7C12A">
      <w:pPr>
        <w:pStyle w:val="BodyTextIndent3"/>
        <w:widowControl w:val="0"/>
        <w:spacing w:line="480" w:lineRule="auto"/>
        <w:ind w:left="720" w:right="-29" w:hanging="720"/>
        <w:rPr>
          <w:b/>
          <w:bCs/>
        </w:rPr>
      </w:pPr>
      <w:r w:rsidRPr="000F0517">
        <w:rPr>
          <w:b/>
          <w:bCs/>
        </w:rPr>
        <w:t xml:space="preserve">I. </w:t>
      </w:r>
      <w:r w:rsidR="004F2E45">
        <w:rPr>
          <w:b/>
          <w:bCs/>
        </w:rPr>
        <w:tab/>
      </w:r>
      <w:r w:rsidRPr="000F0517">
        <w:rPr>
          <w:b/>
          <w:bCs/>
        </w:rPr>
        <w:t>INTRODUCTION</w:t>
      </w:r>
    </w:p>
    <w:p w:rsidR="00DC2709" w:rsidP="001B299B" w14:paraId="41EA3053" w14:textId="052A6ECD">
      <w:pPr>
        <w:pStyle w:val="BodyTextIndent3"/>
        <w:widowControl w:val="0"/>
        <w:spacing w:line="480" w:lineRule="auto"/>
        <w:ind w:right="-29"/>
      </w:pPr>
      <w:r>
        <w:t xml:space="preserve">To protect consumers, </w:t>
      </w:r>
      <w:r w:rsidR="00CE584D">
        <w:t>OC</w:t>
      </w:r>
      <w:r>
        <w:t>C</w:t>
      </w:r>
      <w:r w:rsidR="000D6AB0">
        <w:t xml:space="preserve"> </w:t>
      </w:r>
      <w:r w:rsidR="00CB77FC">
        <w:t>asked</w:t>
      </w:r>
      <w:r w:rsidR="00CE584D">
        <w:t xml:space="preserve"> that the PUCO require Aqua Ohio to publicly </w:t>
      </w:r>
      <w:r w:rsidR="0074334B">
        <w:t>file</w:t>
      </w:r>
      <w:r w:rsidR="00CE584D">
        <w:t xml:space="preserve"> </w:t>
      </w:r>
      <w:r w:rsidR="00CB77FC">
        <w:t>(</w:t>
      </w:r>
      <w:r w:rsidR="00CE584D">
        <w:t>on a</w:t>
      </w:r>
      <w:r w:rsidR="0074334B">
        <w:t xml:space="preserve"> quarterly</w:t>
      </w:r>
      <w:r w:rsidR="00CE584D">
        <w:t xml:space="preserve"> basis</w:t>
      </w:r>
      <w:r w:rsidR="00CB77FC">
        <w:t>)</w:t>
      </w:r>
      <w:r w:rsidR="00CE584D">
        <w:t xml:space="preserve"> </w:t>
      </w:r>
      <w:r w:rsidR="0074334B">
        <w:t>information</w:t>
      </w:r>
      <w:r w:rsidR="00CE584D">
        <w:t xml:space="preserve"> regarding </w:t>
      </w:r>
      <w:r w:rsidR="0074334B">
        <w:t>its</w:t>
      </w:r>
      <w:r w:rsidR="000D6AB0">
        <w:t xml:space="preserve"> monthly shut-offs of</w:t>
      </w:r>
      <w:r w:rsidR="0074334B">
        <w:t xml:space="preserve"> residential consumer</w:t>
      </w:r>
      <w:r w:rsidR="00556917">
        <w:t>s</w:t>
      </w:r>
      <w:r w:rsidR="0074334B">
        <w:t>.</w:t>
      </w:r>
      <w:r w:rsidR="00556917">
        <w:t xml:space="preserve"> That seems easy enough to do. But</w:t>
      </w:r>
      <w:r w:rsidR="0074334B">
        <w:t xml:space="preserve"> Aqua Ohio oppose</w:t>
      </w:r>
      <w:r w:rsidR="00556917">
        <w:t>d</w:t>
      </w:r>
      <w:r w:rsidR="0074334B">
        <w:t xml:space="preserve"> OCC’s </w:t>
      </w:r>
      <w:r w:rsidR="00556917">
        <w:t xml:space="preserve">motion. </w:t>
      </w:r>
      <w:r w:rsidR="00D15800">
        <w:t xml:space="preserve">The PUCO should reject Aqua Ohio’s arguments and grant OCC’s Motion. </w:t>
      </w:r>
    </w:p>
    <w:p w:rsidR="00556917" w:rsidP="00DC2709" w14:paraId="1A5E15E3" w14:textId="46D20899">
      <w:pPr>
        <w:pStyle w:val="BodyTextIndent3"/>
        <w:widowControl w:val="0"/>
        <w:spacing w:line="480" w:lineRule="auto"/>
        <w:ind w:right="-29"/>
      </w:pPr>
      <w:r>
        <w:t>Contrary to Aqua’s opposition to transparency, there is considerable value to having p</w:t>
      </w:r>
      <w:r w:rsidR="000D0B0A">
        <w:t xml:space="preserve">ublic access </w:t>
      </w:r>
      <w:r>
        <w:t>of</w:t>
      </w:r>
      <w:r w:rsidR="000D0B0A">
        <w:t xml:space="preserve"> u</w:t>
      </w:r>
      <w:r w:rsidR="00DC2709">
        <w:t>p-to-date i</w:t>
      </w:r>
      <w:r w:rsidR="00D15800">
        <w:t>nformation regarding Aqua Ohio’s water</w:t>
      </w:r>
      <w:r w:rsidR="00DD5ABA">
        <w:t xml:space="preserve"> shutoffs</w:t>
      </w:r>
      <w:r>
        <w:t>.</w:t>
      </w:r>
      <w:r w:rsidR="004F2E45">
        <w:t xml:space="preserve"> </w:t>
      </w:r>
      <w:r w:rsidR="003B3D71">
        <w:t>Public awareness of Aqua’s disconnection data</w:t>
      </w:r>
      <w:r w:rsidR="00800152">
        <w:t xml:space="preserve"> </w:t>
      </w:r>
      <w:r>
        <w:t xml:space="preserve">can </w:t>
      </w:r>
      <w:r w:rsidR="000D0B0A">
        <w:t>help</w:t>
      </w:r>
      <w:r w:rsidR="00D15800">
        <w:t xml:space="preserve"> consumer</w:t>
      </w:r>
      <w:r>
        <w:t xml:space="preserve"> advocates, social service agencies, elected and appointed officials, the public and others address needs for consumer protection, policy-making and other actions. </w:t>
      </w:r>
      <w:r w:rsidRPr="000F0517">
        <w:rPr>
          <w:b/>
          <w:bCs/>
          <w:i/>
          <w:iCs/>
        </w:rPr>
        <w:t>People need water to live.</w:t>
      </w:r>
      <w:r>
        <w:t xml:space="preserve"> </w:t>
      </w:r>
    </w:p>
    <w:p w:rsidR="00D15800" w:rsidP="00DC2709" w14:paraId="504CA982" w14:textId="1269A567">
      <w:pPr>
        <w:pStyle w:val="BodyTextIndent3"/>
        <w:widowControl w:val="0"/>
        <w:spacing w:line="480" w:lineRule="auto"/>
        <w:ind w:right="-29"/>
      </w:pPr>
      <w:r>
        <w:t>This is</w:t>
      </w:r>
      <w:r w:rsidR="00556917">
        <w:t>sue is</w:t>
      </w:r>
      <w:r>
        <w:t xml:space="preserve"> especially important for the public, as another </w:t>
      </w:r>
      <w:r>
        <w:t>coronavirus surg</w:t>
      </w:r>
      <w:r w:rsidR="00DD5ABA">
        <w:t>e</w:t>
      </w:r>
      <w:r>
        <w:t xml:space="preserve"> </w:t>
      </w:r>
      <w:r>
        <w:t xml:space="preserve">develops in </w:t>
      </w:r>
      <w:r>
        <w:t>Ohio.</w:t>
      </w:r>
      <w:r w:rsidR="00DC2709">
        <w:t xml:space="preserve"> </w:t>
      </w:r>
      <w:r w:rsidR="00800152">
        <w:t>The PUCO should use its authority under R.C. 4909.154</w:t>
      </w:r>
      <w:r w:rsidR="009F3677">
        <w:t>, R.C. 4909.16 and its general powers</w:t>
      </w:r>
      <w:r w:rsidR="00800152">
        <w:t xml:space="preserve"> to grant OCC’s Motion and require Aqua to publicly file its disconnection statistics. </w:t>
      </w:r>
      <w:r w:rsidR="00F4470F">
        <w:t>Aqua should file its historic disconnection information for the months beginning January 1, 2019, through the present, and then file going forward.</w:t>
      </w:r>
    </w:p>
    <w:p w:rsidR="004F2E45" w14:paraId="7132DA75" w14:textId="5B44B2E5">
      <w:r>
        <w:br w:type="page"/>
      </w:r>
    </w:p>
    <w:p w:rsidR="00714266" w:rsidP="004F2E45" w14:paraId="2E39B6C3" w14:textId="52DCB9EA">
      <w:pPr>
        <w:pStyle w:val="BodyTextIndent3"/>
        <w:widowControl w:val="0"/>
        <w:spacing w:line="480" w:lineRule="auto"/>
        <w:ind w:left="720" w:right="-24" w:hanging="720"/>
      </w:pPr>
      <w:r w:rsidRPr="000F0517">
        <w:rPr>
          <w:b/>
          <w:bCs/>
        </w:rPr>
        <w:t xml:space="preserve">II. </w:t>
      </w:r>
      <w:r w:rsidR="004F2E45">
        <w:rPr>
          <w:b/>
          <w:bCs/>
        </w:rPr>
        <w:tab/>
      </w:r>
      <w:r w:rsidRPr="000F0517">
        <w:rPr>
          <w:b/>
          <w:bCs/>
        </w:rPr>
        <w:t>RECOMMENDATIONS</w:t>
      </w:r>
    </w:p>
    <w:p w:rsidR="00714266" w:rsidP="000F0517" w14:paraId="37349B8A" w14:textId="50EF7AEB">
      <w:pPr>
        <w:pStyle w:val="BodyTextIndent3"/>
        <w:widowControl w:val="0"/>
        <w:spacing w:line="480" w:lineRule="auto"/>
        <w:ind w:right="-29"/>
      </w:pPr>
      <w:r>
        <w:t>T</w:t>
      </w:r>
      <w:r>
        <w:t>he PUCO should use its authority under R.C. 4909.154 (regarding a utility’s management policy)</w:t>
      </w:r>
      <w:r w:rsidR="002240F7">
        <w:t>, 4909.16 a</w:t>
      </w:r>
      <w:r>
        <w:t>nd its general powers</w:t>
      </w:r>
      <w:r w:rsidR="002240F7">
        <w:t xml:space="preserve"> in the law</w:t>
      </w:r>
      <w:r>
        <w:t xml:space="preserve"> </w:t>
      </w:r>
      <w:r>
        <w:t>to grant OCC’s Motion.</w:t>
      </w:r>
    </w:p>
    <w:p w:rsidR="002240F7" w14:paraId="61D152DA" w14:textId="77777777">
      <w:pPr>
        <w:pStyle w:val="BodyTextIndent3"/>
        <w:widowControl w:val="0"/>
        <w:spacing w:line="480" w:lineRule="auto"/>
        <w:ind w:right="-24" w:firstLine="0"/>
      </w:pPr>
      <w:r>
        <w:t>Aqua Ohio argues that it should not have to publicly file information regarding water shutoffs because water utilities are not required to do so under the law.</w:t>
      </w:r>
      <w:r>
        <w:rPr>
          <w:rStyle w:val="FootnoteReference"/>
        </w:rPr>
        <w:footnoteReference w:id="2"/>
      </w:r>
    </w:p>
    <w:p w:rsidR="002240F7" w:rsidP="002240F7" w14:paraId="3E2C6B36" w14:textId="5028ED27">
      <w:pPr>
        <w:pStyle w:val="BodyTextIndent3"/>
        <w:widowControl w:val="0"/>
        <w:spacing w:line="480" w:lineRule="auto"/>
        <w:ind w:right="-24"/>
      </w:pPr>
      <w:r>
        <w:t xml:space="preserve"> </w:t>
      </w:r>
      <w:r w:rsidR="00800152">
        <w:t>I</w:t>
      </w:r>
      <w:r w:rsidR="00DE203B">
        <w:t>t is true that the reporting requirements set forth in R.C. 4933.123 (which applies to electric and gas utilities) do not apply to water utilities</w:t>
      </w:r>
      <w:r w:rsidR="000D2C53">
        <w:t xml:space="preserve">. But </w:t>
      </w:r>
      <w:r w:rsidR="00DE203B">
        <w:t>th</w:t>
      </w:r>
      <w:r>
        <w:t>e law doesn’t prohibit the</w:t>
      </w:r>
      <w:r w:rsidR="00DE203B">
        <w:t xml:space="preserve"> PUCO </w:t>
      </w:r>
      <w:r>
        <w:t>from</w:t>
      </w:r>
      <w:r w:rsidR="00282F13">
        <w:t xml:space="preserve"> </w:t>
      </w:r>
      <w:r w:rsidR="00DE203B">
        <w:t>requir</w:t>
      </w:r>
      <w:r>
        <w:t>ing</w:t>
      </w:r>
      <w:r w:rsidR="00DE203B">
        <w:t xml:space="preserve"> Aqua Ohio to </w:t>
      </w:r>
      <w:r>
        <w:t xml:space="preserve">publicly </w:t>
      </w:r>
      <w:r w:rsidR="00DE203B">
        <w:t>file</w:t>
      </w:r>
      <w:r>
        <w:t xml:space="preserve"> </w:t>
      </w:r>
      <w:r w:rsidR="00DE203B">
        <w:t>disconnection information</w:t>
      </w:r>
      <w:r>
        <w:t>.</w:t>
      </w:r>
      <w:r w:rsidR="00DE203B">
        <w:t xml:space="preserve"> </w:t>
      </w:r>
      <w:r>
        <w:t xml:space="preserve">Indeed, other law (as identified above) gives the PUCO authority to order Aqua’s public filing of the information. </w:t>
      </w:r>
    </w:p>
    <w:p w:rsidR="00512F08" w:rsidP="00512F08" w14:paraId="507842AE" w14:textId="4FB5E45D">
      <w:pPr>
        <w:pStyle w:val="BodyTextIndent3"/>
        <w:widowControl w:val="0"/>
        <w:spacing w:line="480" w:lineRule="auto"/>
        <w:ind w:right="-24"/>
      </w:pPr>
      <w:r>
        <w:t>Aqua Ohio’s argument that it would be burdensome or “expensive”</w:t>
      </w:r>
      <w:r>
        <w:rPr>
          <w:rStyle w:val="FootnoteReference"/>
        </w:rPr>
        <w:footnoteReference w:id="3"/>
      </w:r>
      <w:r>
        <w:t xml:space="preserve"> to produce this information lacks merit. </w:t>
      </w:r>
      <w:r w:rsidR="00DE203B">
        <w:t>The PUCO’s rules</w:t>
      </w:r>
      <w:r>
        <w:rPr>
          <w:rStyle w:val="FootnoteReference"/>
        </w:rPr>
        <w:footnoteReference w:id="4"/>
      </w:r>
      <w:r w:rsidR="00DE203B">
        <w:t xml:space="preserve"> </w:t>
      </w:r>
      <w:r>
        <w:t xml:space="preserve">already </w:t>
      </w:r>
      <w:r w:rsidR="00DE203B">
        <w:t>require Aqua Ohio to maintain the disconnection information sought through OCC’s Motion</w:t>
      </w:r>
      <w:r w:rsidR="00596225">
        <w:t>.</w:t>
      </w:r>
      <w:r w:rsidR="004F2E45">
        <w:t xml:space="preserve"> </w:t>
      </w:r>
      <w:r>
        <w:t>Furthermore, Aqua Ohio already provides the PUCO Staff with disconnection information on a quarterly basis, which can be requested by OCC and the public.</w:t>
      </w:r>
      <w:r>
        <w:rPr>
          <w:rStyle w:val="FootnoteReference"/>
        </w:rPr>
        <w:footnoteReference w:id="5"/>
      </w:r>
      <w:r>
        <w:t xml:space="preserve"> But for the sake of transparency and ease of access, as well as the current public health crisis, the information should be publicly filed</w:t>
      </w:r>
      <w:r w:rsidR="00F64DE9">
        <w:t xml:space="preserve">, and posted in a conspicuous place on the PUCO’s website. </w:t>
      </w:r>
      <w:r>
        <w:t xml:space="preserve">If the PUCO is not inclined to regulate Aqua in this manner, then the PUCO should itself conspicuously post Aqua’s disconnection information on </w:t>
      </w:r>
      <w:r w:rsidR="003B2E78">
        <w:t>the PUCO’s</w:t>
      </w:r>
      <w:r>
        <w:t xml:space="preserve"> website.</w:t>
      </w:r>
    </w:p>
    <w:p w:rsidR="00E65C63" w:rsidP="00FB397D" w14:paraId="7D621B5B" w14:textId="200A8BB1">
      <w:pPr>
        <w:pStyle w:val="BodyTextIndent3"/>
        <w:widowControl w:val="0"/>
        <w:spacing w:line="480" w:lineRule="auto"/>
        <w:ind w:right="-24"/>
      </w:pPr>
      <w:r>
        <w:t>Aqua Ohio</w:t>
      </w:r>
      <w:r w:rsidR="00CC7CF3">
        <w:t xml:space="preserve"> also</w:t>
      </w:r>
      <w:r>
        <w:t xml:space="preserve"> claim</w:t>
      </w:r>
      <w:r w:rsidR="00CC7CF3">
        <w:t>s</w:t>
      </w:r>
      <w:r>
        <w:t xml:space="preserve"> that </w:t>
      </w:r>
      <w:r w:rsidR="00CC7CF3">
        <w:t>disconnection reporting</w:t>
      </w:r>
      <w:r>
        <w:t xml:space="preserve"> issues </w:t>
      </w:r>
      <w:r w:rsidR="00CC7CF3">
        <w:t>are not appropriate for this proceeding, and instead should be considered in</w:t>
      </w:r>
      <w:r>
        <w:t xml:space="preserve"> a separate rulemaking proceeding.</w:t>
      </w:r>
      <w:r>
        <w:rPr>
          <w:rStyle w:val="FootnoteReference"/>
        </w:rPr>
        <w:footnoteReference w:id="6"/>
      </w:r>
      <w:r>
        <w:t xml:space="preserve"> </w:t>
      </w:r>
      <w:r w:rsidR="002240F7">
        <w:t xml:space="preserve">But Aqua’s delay should be rejected. </w:t>
      </w:r>
      <w:r w:rsidR="00E74419">
        <w:t>C</w:t>
      </w:r>
      <w:r w:rsidR="00CC7CF3">
        <w:t>onsumers are suffering</w:t>
      </w:r>
      <w:r w:rsidR="00FB397D">
        <w:t xml:space="preserve"> right</w:t>
      </w:r>
      <w:r w:rsidR="00CC7CF3">
        <w:t xml:space="preserve"> </w:t>
      </w:r>
      <w:r w:rsidRPr="00245204" w:rsidR="00CC7CF3">
        <w:t>now</w:t>
      </w:r>
      <w:r w:rsidR="00CC7CF3">
        <w:t xml:space="preserve"> from the coronavirus pandemic</w:t>
      </w:r>
      <w:r w:rsidR="002240F7">
        <w:t xml:space="preserve"> and its financial impact</w:t>
      </w:r>
      <w:r w:rsidR="00CC7CF3">
        <w:t xml:space="preserve">. </w:t>
      </w:r>
      <w:r>
        <w:t>Aqua’s shut</w:t>
      </w:r>
      <w:r w:rsidR="002240F7">
        <w:t>-</w:t>
      </w:r>
      <w:r>
        <w:t>off</w:t>
      </w:r>
      <w:r w:rsidR="002240F7">
        <w:t>s of</w:t>
      </w:r>
      <w:r>
        <w:t xml:space="preserve"> water services to consumers during this period of </w:t>
      </w:r>
      <w:r w:rsidR="002240F7">
        <w:t xml:space="preserve">the </w:t>
      </w:r>
      <w:r>
        <w:t xml:space="preserve">pandemic is </w:t>
      </w:r>
      <w:r w:rsidR="002240F7">
        <w:t>a policy and consumer protection</w:t>
      </w:r>
      <w:r>
        <w:t xml:space="preserve"> issue that </w:t>
      </w:r>
      <w:r w:rsidR="000510BE">
        <w:t>need</w:t>
      </w:r>
      <w:r w:rsidR="003B3D71">
        <w:t>s</w:t>
      </w:r>
      <w:r w:rsidR="000510BE">
        <w:t xml:space="preserve"> to be </w:t>
      </w:r>
      <w:r w:rsidR="002240F7">
        <w:t>addressed now</w:t>
      </w:r>
      <w:r>
        <w:t>.</w:t>
      </w:r>
      <w:r w:rsidR="004F2E45">
        <w:t xml:space="preserve"> </w:t>
      </w:r>
    </w:p>
    <w:p w:rsidR="00BF09B7" w:rsidP="00282F13" w14:paraId="3DBD2DBD" w14:textId="2EEE7470">
      <w:pPr>
        <w:pStyle w:val="BodyTextIndent3"/>
        <w:widowControl w:val="0"/>
        <w:spacing w:line="480" w:lineRule="auto"/>
        <w:ind w:right="-24"/>
      </w:pPr>
      <w:r>
        <w:t>Sound public policy support</w:t>
      </w:r>
      <w:r>
        <w:t>s</w:t>
      </w:r>
      <w:r>
        <w:t xml:space="preserve"> OCC’s Motion. Aqua is by definition a public utility just like any gas or electric utility in the state. And public reporting of water disconnection data </w:t>
      </w:r>
      <w:r w:rsidR="00E65C63">
        <w:t xml:space="preserve">(that Aqua is already filing quarterly with the PUCO Staff) </w:t>
      </w:r>
      <w:r>
        <w:t xml:space="preserve">serves the same public good as the reporting of gas and electric disconnection data. That public good is the open and transparent availability of </w:t>
      </w:r>
      <w:r w:rsidR="00556917">
        <w:t xml:space="preserve">usable </w:t>
      </w:r>
      <w:r>
        <w:t>data</w:t>
      </w:r>
      <w:r w:rsidR="00556917">
        <w:t>, for consumer protection.</w:t>
      </w:r>
      <w:r>
        <w:t xml:space="preserve"> </w:t>
      </w:r>
      <w:r w:rsidR="00556917">
        <w:t xml:space="preserve">The data should </w:t>
      </w:r>
      <w:r>
        <w:t xml:space="preserve">show the </w:t>
      </w:r>
      <w:r w:rsidR="00556917">
        <w:t xml:space="preserve">circumstances </w:t>
      </w:r>
      <w:r>
        <w:t xml:space="preserve">of many Ohioans whose health and safety </w:t>
      </w:r>
      <w:r w:rsidR="00556917">
        <w:t>are</w:t>
      </w:r>
      <w:r>
        <w:t xml:space="preserve"> place</w:t>
      </w:r>
      <w:r w:rsidR="00556917">
        <w:t>d</w:t>
      </w:r>
      <w:r>
        <w:t xml:space="preserve"> at ris</w:t>
      </w:r>
      <w:r>
        <w:t>k</w:t>
      </w:r>
      <w:r>
        <w:t xml:space="preserve"> </w:t>
      </w:r>
      <w:r w:rsidR="00556917">
        <w:t xml:space="preserve">through disconnections. </w:t>
      </w:r>
    </w:p>
    <w:p w:rsidR="004F2E45" w:rsidP="00282F13" w14:paraId="1D907012" w14:textId="60A78813">
      <w:pPr>
        <w:pStyle w:val="BodyTextIndent3"/>
        <w:widowControl w:val="0"/>
        <w:spacing w:line="480" w:lineRule="auto"/>
        <w:ind w:right="-24"/>
      </w:pPr>
      <w:r>
        <w:t>Publicly filed reports enable a determination whether a societal goal of</w:t>
      </w:r>
      <w:r w:rsidR="00556917">
        <w:t xml:space="preserve"> having Ohioans connected to water service </w:t>
      </w:r>
      <w:r>
        <w:t>is working</w:t>
      </w:r>
      <w:r w:rsidR="00556917">
        <w:t xml:space="preserve"> and, if not, what should be done by government</w:t>
      </w:r>
      <w:r>
        <w:t xml:space="preserve">. Publicly filed reports allow for policy determinations where state and federal assistance </w:t>
      </w:r>
      <w:r w:rsidR="00BF09B7">
        <w:t xml:space="preserve">and resources may be needed. Publicly filed reports </w:t>
      </w:r>
      <w:r w:rsidR="00556917">
        <w:t xml:space="preserve">also </w:t>
      </w:r>
      <w:r w:rsidR="00BF09B7">
        <w:t>allow for an examination of utility credit and collection policies and an analysis of where changes may be necessary.</w:t>
      </w:r>
      <w:r>
        <w:t xml:space="preserve"> </w:t>
      </w:r>
    </w:p>
    <w:p w:rsidR="004F2E45" w14:paraId="161C356B" w14:textId="77777777">
      <w:r>
        <w:br w:type="page"/>
      </w:r>
    </w:p>
    <w:p w:rsidR="00714266" w:rsidRPr="000F0517" w:rsidP="004F2E45" w14:paraId="5B392FBA" w14:textId="01A195F5">
      <w:pPr>
        <w:pStyle w:val="BodyTextIndent3"/>
        <w:widowControl w:val="0"/>
        <w:spacing w:line="480" w:lineRule="auto"/>
        <w:ind w:left="720" w:right="-24" w:hanging="720"/>
        <w:rPr>
          <w:b/>
          <w:bCs/>
        </w:rPr>
      </w:pPr>
      <w:r w:rsidRPr="000F0517">
        <w:rPr>
          <w:b/>
          <w:bCs/>
        </w:rPr>
        <w:t xml:space="preserve">III. </w:t>
      </w:r>
      <w:r w:rsidR="004F2E45">
        <w:rPr>
          <w:b/>
          <w:bCs/>
        </w:rPr>
        <w:tab/>
      </w:r>
      <w:r w:rsidRPr="000F0517">
        <w:rPr>
          <w:b/>
          <w:bCs/>
        </w:rPr>
        <w:t>CONCLUSION</w:t>
      </w:r>
    </w:p>
    <w:p w:rsidR="00297AA0" w:rsidP="00282F13" w14:paraId="26B291A5" w14:textId="3B698BE4">
      <w:pPr>
        <w:pStyle w:val="BodyTextIndent3"/>
        <w:widowControl w:val="0"/>
        <w:spacing w:line="480" w:lineRule="auto"/>
        <w:ind w:right="-24"/>
      </w:pPr>
      <w:r>
        <w:t>For these reasons</w:t>
      </w:r>
      <w:r w:rsidR="00424F1A">
        <w:t xml:space="preserve"> of consumer protection</w:t>
      </w:r>
      <w:r>
        <w:t xml:space="preserve">, the PUCO should reject Aqua Ohio’s </w:t>
      </w:r>
      <w:r w:rsidR="00556917">
        <w:t>opposition to</w:t>
      </w:r>
      <w:r w:rsidR="00424F1A">
        <w:t xml:space="preserve"> publicly</w:t>
      </w:r>
      <w:r w:rsidR="00556917">
        <w:t xml:space="preserve"> filing its disconnection statistics. And it should order Aqua to publicly file the information,</w:t>
      </w:r>
      <w:r w:rsidR="004A6F64">
        <w:t xml:space="preserve"> with the PUCO posting it in a conspicuous place on the PUCO’s website</w:t>
      </w:r>
      <w:r w:rsidR="00556917">
        <w:t>.</w:t>
      </w:r>
      <w:r w:rsidRPr="00424F1A" w:rsidR="00424F1A">
        <w:t xml:space="preserve"> </w:t>
      </w:r>
      <w:r w:rsidR="00424F1A">
        <w:t>Aqua should file its historic disconnection information for the months beginning January 1, 2019, through the present, and then file going forward.</w:t>
      </w:r>
      <w:r w:rsidR="00556917">
        <w:t xml:space="preserve"> If the PUCO is not inclined to regulate Aqua</w:t>
      </w:r>
      <w:r w:rsidR="004A6F64">
        <w:t xml:space="preserve"> for public protection</w:t>
      </w:r>
      <w:r w:rsidR="00556917">
        <w:t xml:space="preserve"> in this manner, then the PUCO should itself conspicuously post Aqua’s disconnection information on its website. </w:t>
      </w:r>
      <w:r w:rsidR="004A6F64">
        <w:t xml:space="preserve">The PUCO should </w:t>
      </w:r>
      <w:r>
        <w:t>grant OCC’s Motion.</w:t>
      </w:r>
    </w:p>
    <w:p w:rsidR="00277646" w14:paraId="2B8A3D1C" w14:textId="77777777">
      <w:pPr>
        <w:spacing w:after="200"/>
        <w:ind w:left="3600" w:firstLine="720"/>
        <w:rPr>
          <w:szCs w:val="24"/>
        </w:rPr>
      </w:pPr>
    </w:p>
    <w:p w:rsidR="00277646" w14:paraId="715730AA" w14:textId="77777777">
      <w:pPr>
        <w:spacing w:after="200"/>
        <w:ind w:left="3600" w:firstLine="720"/>
        <w:rPr>
          <w:szCs w:val="24"/>
        </w:rPr>
      </w:pPr>
      <w:r>
        <w:rPr>
          <w:szCs w:val="24"/>
        </w:rPr>
        <w:t>Respectfully submitted,</w:t>
      </w:r>
    </w:p>
    <w:p w:rsidR="00277646" w14:paraId="38F2CD43" w14:textId="77777777">
      <w:pPr>
        <w:ind w:left="3600" w:firstLine="720"/>
        <w:rPr>
          <w:szCs w:val="24"/>
        </w:rPr>
      </w:pPr>
    </w:p>
    <w:p w:rsidR="00277646" w14:paraId="55B96592" w14:textId="77777777">
      <w:pPr>
        <w:ind w:left="3600" w:firstLine="720"/>
        <w:rPr>
          <w:szCs w:val="24"/>
        </w:rPr>
      </w:pPr>
      <w:r>
        <w:rPr>
          <w:szCs w:val="24"/>
        </w:rPr>
        <w:t>Bruce Weston (0016973)</w:t>
      </w:r>
    </w:p>
    <w:p w:rsidR="00277646" w14:paraId="447A70E6" w14:textId="77777777">
      <w:pPr>
        <w:tabs>
          <w:tab w:val="left" w:pos="4320"/>
        </w:tabs>
        <w:rPr>
          <w:szCs w:val="24"/>
        </w:rPr>
      </w:pPr>
      <w:r>
        <w:rPr>
          <w:szCs w:val="24"/>
        </w:rPr>
        <w:tab/>
        <w:t xml:space="preserve">Ohio Consumers’ Counsel </w:t>
      </w:r>
    </w:p>
    <w:p w:rsidR="00277646" w14:paraId="2849FFBF" w14:textId="77777777">
      <w:pPr>
        <w:tabs>
          <w:tab w:val="left" w:pos="4320"/>
        </w:tabs>
        <w:rPr>
          <w:sz w:val="16"/>
          <w:szCs w:val="24"/>
        </w:rPr>
      </w:pPr>
    </w:p>
    <w:p w:rsidR="00277646" w14:paraId="39E51436" w14:textId="77777777">
      <w:pPr>
        <w:pStyle w:val="EndnoteText"/>
        <w:ind w:left="3600" w:firstLine="720"/>
        <w:rPr>
          <w:sz w:val="24"/>
          <w:szCs w:val="24"/>
        </w:rPr>
      </w:pPr>
      <w:r>
        <w:rPr>
          <w:i/>
          <w:sz w:val="24"/>
          <w:szCs w:val="24"/>
          <w:u w:val="single"/>
        </w:rPr>
        <w:t>/s/ Amy Botschner O’Brien</w:t>
      </w:r>
      <w:r>
        <w:rPr>
          <w:i/>
          <w:sz w:val="24"/>
          <w:szCs w:val="24"/>
          <w:u w:val="single"/>
        </w:rPr>
        <w:tab/>
      </w:r>
    </w:p>
    <w:p w:rsidR="00277646" w14:paraId="24451C95" w14:textId="77777777">
      <w:pPr>
        <w:ind w:left="4320"/>
        <w:rPr>
          <w:szCs w:val="24"/>
        </w:rPr>
      </w:pPr>
      <w:r>
        <w:rPr>
          <w:szCs w:val="24"/>
        </w:rPr>
        <w:t>Amy Botschner O’Brien (0074423)</w:t>
      </w:r>
    </w:p>
    <w:p w:rsidR="00277646" w14:paraId="0A66461E" w14:textId="77777777">
      <w:pPr>
        <w:ind w:left="4320"/>
        <w:rPr>
          <w:szCs w:val="24"/>
        </w:rPr>
      </w:pPr>
      <w:r>
        <w:rPr>
          <w:szCs w:val="24"/>
        </w:rPr>
        <w:t>Counsel of Record</w:t>
      </w:r>
    </w:p>
    <w:p w:rsidR="00277646" w14:paraId="109C930A" w14:textId="77777777">
      <w:pPr>
        <w:tabs>
          <w:tab w:val="left" w:pos="4320"/>
        </w:tabs>
        <w:ind w:firstLine="3600"/>
        <w:rPr>
          <w:szCs w:val="24"/>
        </w:rPr>
      </w:pPr>
      <w:r>
        <w:rPr>
          <w:szCs w:val="24"/>
        </w:rPr>
        <w:tab/>
        <w:t>Ambrosia E. Wilson (0096598)</w:t>
      </w:r>
    </w:p>
    <w:p w:rsidR="00277646" w14:paraId="61C1AB91" w14:textId="77777777">
      <w:pPr>
        <w:ind w:left="4320"/>
        <w:rPr>
          <w:szCs w:val="24"/>
        </w:rPr>
      </w:pPr>
      <w:r>
        <w:rPr>
          <w:szCs w:val="24"/>
        </w:rPr>
        <w:t>Assistant Consumers’ Counsel</w:t>
      </w:r>
    </w:p>
    <w:p w:rsidR="00277646" w14:paraId="5DDFB7B6" w14:textId="77777777">
      <w:pPr>
        <w:ind w:left="4320"/>
        <w:rPr>
          <w:sz w:val="16"/>
          <w:szCs w:val="24"/>
        </w:rPr>
      </w:pPr>
    </w:p>
    <w:p w:rsidR="00277646" w14:paraId="6A979961" w14:textId="77777777">
      <w:pPr>
        <w:ind w:left="4320"/>
        <w:rPr>
          <w:b/>
          <w:szCs w:val="24"/>
        </w:rPr>
      </w:pPr>
      <w:r>
        <w:rPr>
          <w:b/>
          <w:szCs w:val="24"/>
        </w:rPr>
        <w:t>Office of the Ohio Consumers’ Counsel</w:t>
      </w:r>
    </w:p>
    <w:p w:rsidR="00277646" w14:paraId="54E41D64" w14:textId="77777777">
      <w:pPr>
        <w:ind w:left="4320"/>
        <w:rPr>
          <w:szCs w:val="24"/>
        </w:rPr>
      </w:pPr>
      <w:r>
        <w:rPr>
          <w:szCs w:val="24"/>
        </w:rPr>
        <w:t>65 East State Street, 7th Floor</w:t>
      </w:r>
    </w:p>
    <w:p w:rsidR="00277646" w14:paraId="4E486888" w14:textId="77777777">
      <w:pPr>
        <w:ind w:left="4320"/>
        <w:rPr>
          <w:szCs w:val="24"/>
        </w:rPr>
      </w:pPr>
      <w:r>
        <w:rPr>
          <w:szCs w:val="24"/>
        </w:rPr>
        <w:t>Columbus, Ohio 43215-4213</w:t>
      </w:r>
    </w:p>
    <w:p w:rsidR="00277646" w14:paraId="4ADF1620" w14:textId="77777777">
      <w:pPr>
        <w:ind w:left="4320"/>
        <w:rPr>
          <w:szCs w:val="24"/>
        </w:rPr>
      </w:pPr>
      <w:r>
        <w:rPr>
          <w:szCs w:val="24"/>
        </w:rPr>
        <w:t>Telephone: [O’Brien] (614) 466-9531</w:t>
      </w:r>
    </w:p>
    <w:p w:rsidR="00277646" w14:paraId="6B60B8F7" w14:textId="77777777">
      <w:pPr>
        <w:ind w:left="4320"/>
        <w:rPr>
          <w:szCs w:val="24"/>
        </w:rPr>
      </w:pPr>
      <w:r>
        <w:rPr>
          <w:szCs w:val="24"/>
        </w:rPr>
        <w:t>Telephone: [Wilson] (614) 466-1292</w:t>
      </w:r>
    </w:p>
    <w:p w:rsidR="00277646" w14:paraId="78A4D8C8" w14:textId="77777777">
      <w:pPr>
        <w:ind w:left="4320"/>
        <w:rPr>
          <w:szCs w:val="24"/>
        </w:rPr>
      </w:pPr>
      <w:hyperlink r:id="rId6" w:history="1">
        <w:r>
          <w:rPr>
            <w:rStyle w:val="Hyperlink"/>
            <w:szCs w:val="24"/>
          </w:rPr>
          <w:t>amy.botschner.obrien@occ.ohio.gov</w:t>
        </w:r>
      </w:hyperlink>
    </w:p>
    <w:p w:rsidR="00277646" w:rsidRPr="004F2E45" w14:paraId="671D7700" w14:textId="77777777">
      <w:pPr>
        <w:ind w:left="4320"/>
        <w:rPr>
          <w:color w:val="0000FF"/>
          <w:szCs w:val="24"/>
          <w:u w:val="single"/>
        </w:rPr>
      </w:pPr>
      <w:r w:rsidRPr="004F2E45">
        <w:rPr>
          <w:color w:val="0000FF"/>
          <w:szCs w:val="24"/>
          <w:u w:val="single"/>
        </w:rPr>
        <w:t>ambrosia.wilson@occ.ohio.gov</w:t>
      </w:r>
    </w:p>
    <w:p w:rsidR="00277646" w14:paraId="706B2F10" w14:textId="77777777">
      <w:pPr>
        <w:ind w:left="4320"/>
        <w:rPr>
          <w:szCs w:val="24"/>
        </w:rPr>
      </w:pPr>
      <w:r>
        <w:rPr>
          <w:szCs w:val="24"/>
        </w:rPr>
        <w:t>(willing to accept service by e-mail)</w:t>
      </w:r>
    </w:p>
    <w:p w:rsidR="00277646" w14:paraId="5AF96083" w14:textId="77777777">
      <w:pPr>
        <w:spacing w:line="480" w:lineRule="auto"/>
        <w:ind w:firstLine="720"/>
        <w:rPr>
          <w:szCs w:val="24"/>
        </w:rPr>
        <w:sectPr>
          <w:footerReference w:type="default" r:id="rId7"/>
          <w:footerReference w:type="first" r:id="rId8"/>
          <w:pgSz w:w="12240" w:h="15840"/>
          <w:pgMar w:top="1440" w:right="1800" w:bottom="1440" w:left="1800" w:header="720" w:footer="720" w:gutter="0"/>
          <w:pgNumType w:start="1"/>
          <w:cols w:space="720"/>
          <w:titlePg/>
          <w:docGrid w:linePitch="65"/>
        </w:sectPr>
      </w:pPr>
    </w:p>
    <w:p w:rsidR="00277646" w14:paraId="2BF86A6B" w14:textId="7777777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CERTIFICATE OF SERVICE</w:t>
      </w:r>
    </w:p>
    <w:p w:rsidR="00277646" w14:paraId="741742C4" w14:textId="77777777">
      <w:pPr>
        <w:spacing w:line="480" w:lineRule="atLeast"/>
        <w:ind w:firstLine="720"/>
      </w:pPr>
      <w:r>
        <w:t xml:space="preserve">I hereby certify that a copy of this </w:t>
      </w:r>
      <w:r w:rsidR="008A255F">
        <w:t>Reply</w:t>
      </w:r>
      <w:r>
        <w:t xml:space="preserve"> was served on the persons stated below via electronic transmission, this </w:t>
      </w:r>
      <w:r w:rsidR="008A255F">
        <w:t>9th</w:t>
      </w:r>
      <w:r>
        <w:t xml:space="preserve"> day of </w:t>
      </w:r>
      <w:r w:rsidR="008A255F">
        <w:t>August</w:t>
      </w:r>
      <w:r>
        <w:t xml:space="preserve"> 2021.</w:t>
      </w:r>
    </w:p>
    <w:p w:rsidR="00277646" w14:paraId="3B694660" w14:textId="77777777">
      <w:pPr>
        <w:spacing w:line="480" w:lineRule="atLeast"/>
      </w:pPr>
    </w:p>
    <w:p w:rsidR="00277646" w14:paraId="50BD9D60" w14:textId="77777777">
      <w:pPr>
        <w:tabs>
          <w:tab w:val="left" w:pos="4320"/>
        </w:tabs>
      </w:pPr>
      <w:r>
        <w:tab/>
      </w:r>
      <w:r>
        <w:rPr>
          <w:i/>
          <w:u w:val="single"/>
        </w:rPr>
        <w:t>/s/ Amy Botschner O’Brien</w:t>
      </w:r>
      <w:r>
        <w:rPr>
          <w:i/>
          <w:u w:val="single"/>
        </w:rPr>
        <w:tab/>
      </w:r>
    </w:p>
    <w:p w:rsidR="00277646" w14:paraId="154B572D" w14:textId="77777777">
      <w:pPr>
        <w:tabs>
          <w:tab w:val="left" w:pos="4320"/>
        </w:tabs>
      </w:pPr>
      <w:r>
        <w:tab/>
        <w:t>Amy Botschner O’Brien</w:t>
      </w:r>
    </w:p>
    <w:p w:rsidR="00277646" w14:paraId="065C1106" w14:textId="77777777">
      <w:pPr>
        <w:tabs>
          <w:tab w:val="left" w:pos="4320"/>
        </w:tabs>
      </w:pPr>
      <w:r>
        <w:tab/>
        <w:t>Assistant Consumers’ Counsel</w:t>
      </w:r>
    </w:p>
    <w:p w:rsidR="00277646" w14:paraId="1505C516" w14:textId="77777777">
      <w:pPr>
        <w:tabs>
          <w:tab w:val="left" w:pos="4320"/>
        </w:tabs>
      </w:pPr>
    </w:p>
    <w:p w:rsidR="00277646" w14:paraId="19668F6C" w14:textId="77777777">
      <w:pPr>
        <w:pStyle w:val="CommentText"/>
      </w:pPr>
    </w:p>
    <w:p w:rsidR="00277646" w14:paraId="0E98DF14" w14:textId="77777777">
      <w:pPr>
        <w:pStyle w:val="CommentText"/>
      </w:pPr>
      <w:r>
        <w:t>The PUCO’s e-filing system will electronically serve notice of the filing of this document on the following parties:</w:t>
      </w:r>
    </w:p>
    <w:p w:rsidR="00277646" w14:paraId="19B2C8A0" w14:textId="77777777">
      <w:pPr>
        <w:tabs>
          <w:tab w:val="left" w:pos="4320"/>
        </w:tabs>
      </w:pPr>
    </w:p>
    <w:p w:rsidR="00277646" w14:paraId="7AC76B1A" w14:textId="77777777">
      <w:pPr>
        <w:pStyle w:val="CommentSubject"/>
      </w:pPr>
    </w:p>
    <w:p w:rsidR="00277646" w14:paraId="4F64C180" w14:textId="77777777">
      <w:pPr>
        <w:pStyle w:val="CommentText"/>
      </w:pPr>
    </w:p>
    <w:p w:rsidR="00277646" w14:paraId="67602B7B" w14:textId="77777777">
      <w:pPr>
        <w:pStyle w:val="CommentText"/>
        <w:jc w:val="center"/>
        <w:rPr>
          <w:b/>
          <w:u w:val="single"/>
        </w:rPr>
      </w:pPr>
      <w:r>
        <w:rPr>
          <w:b/>
          <w:u w:val="single"/>
        </w:rPr>
        <w:t>SERVICE LIST</w:t>
      </w:r>
    </w:p>
    <w:p w:rsidR="00277646" w14:paraId="6F7101AC" w14:textId="77777777">
      <w:pPr>
        <w:pStyle w:val="CommentText"/>
        <w:jc w:val="center"/>
        <w:rPr>
          <w:bCs/>
          <w:u w:val="single"/>
        </w:rPr>
      </w:pPr>
    </w:p>
    <w:tbl>
      <w:tblPr>
        <w:tblW w:w="0" w:type="auto"/>
        <w:tblLook w:val="04A0"/>
      </w:tblPr>
      <w:tblGrid>
        <w:gridCol w:w="4317"/>
        <w:gridCol w:w="4323"/>
      </w:tblGrid>
      <w:tr w14:paraId="47FDFB8B" w14:textId="77777777">
        <w:tblPrEx>
          <w:tblW w:w="0" w:type="auto"/>
          <w:tblLook w:val="04A0"/>
        </w:tblPrEx>
        <w:tc>
          <w:tcPr>
            <w:tcW w:w="4428" w:type="dxa"/>
            <w:shd w:val="clear" w:color="auto" w:fill="auto"/>
          </w:tcPr>
          <w:p w:rsidR="00277646" w14:paraId="5D5A0437" w14:textId="77777777">
            <w:pPr>
              <w:rPr>
                <w:color w:val="0000FF"/>
                <w:szCs w:val="24"/>
                <w:u w:val="single"/>
              </w:rPr>
            </w:pPr>
            <w:hyperlink r:id="rId9" w:history="1">
              <w:r>
                <w:rPr>
                  <w:rStyle w:val="Hyperlink"/>
                  <w:szCs w:val="24"/>
                </w:rPr>
                <w:t>Robert.eubanks@ohioAGO.gov</w:t>
              </w:r>
            </w:hyperlink>
          </w:p>
          <w:p w:rsidR="00277646" w14:paraId="61609F00" w14:textId="77777777">
            <w:pPr>
              <w:rPr>
                <w:color w:val="0000FF"/>
                <w:szCs w:val="24"/>
                <w:u w:val="single"/>
              </w:rPr>
            </w:pPr>
            <w:hyperlink r:id="rId10" w:history="1">
              <w:r>
                <w:rPr>
                  <w:rStyle w:val="Hyperlink"/>
                  <w:szCs w:val="24"/>
                </w:rPr>
                <w:t>Chelsea.Fletcher@ohioAGO.gov</w:t>
              </w:r>
            </w:hyperlink>
          </w:p>
          <w:p w:rsidR="00277646" w14:paraId="52C0A7DA" w14:textId="77777777">
            <w:pPr>
              <w:rPr>
                <w:color w:val="0000FF"/>
                <w:szCs w:val="24"/>
                <w:u w:val="single"/>
              </w:rPr>
            </w:pPr>
          </w:p>
          <w:p w:rsidR="00277646" w14:paraId="43F442C4" w14:textId="77777777">
            <w:pPr>
              <w:rPr>
                <w:szCs w:val="24"/>
              </w:rPr>
            </w:pPr>
            <w:r>
              <w:rPr>
                <w:szCs w:val="24"/>
              </w:rPr>
              <w:t>Attorney Examiners:</w:t>
            </w:r>
          </w:p>
          <w:p w:rsidR="00277646" w14:paraId="0CB23A9D" w14:textId="77777777">
            <w:pPr>
              <w:pStyle w:val="CommentText"/>
              <w:rPr>
                <w:bCs/>
                <w:u w:val="single"/>
              </w:rPr>
            </w:pPr>
          </w:p>
          <w:p w:rsidR="00277646" w14:paraId="2C7F519C" w14:textId="77777777">
            <w:pPr>
              <w:rPr>
                <w:color w:val="0000FF"/>
                <w:szCs w:val="24"/>
                <w:u w:val="single"/>
              </w:rPr>
            </w:pPr>
            <w:r>
              <w:rPr>
                <w:color w:val="0000FF"/>
                <w:szCs w:val="24"/>
                <w:u w:val="single"/>
              </w:rPr>
              <w:t>Michael.williams@puco.ohio.gov</w:t>
            </w:r>
          </w:p>
          <w:p w:rsidR="00277646" w14:paraId="2B6A8678" w14:textId="77777777">
            <w:pPr>
              <w:pStyle w:val="CommentText"/>
              <w:rPr>
                <w:bCs/>
                <w:u w:val="single"/>
              </w:rPr>
            </w:pPr>
            <w:hyperlink r:id="rId11" w:history="1">
              <w:r>
                <w:rPr>
                  <w:rStyle w:val="Hyperlink"/>
                  <w:bCs/>
                </w:rPr>
                <w:t>David.Hicks@puco.ohio.gov</w:t>
              </w:r>
            </w:hyperlink>
          </w:p>
          <w:p w:rsidR="00277646" w14:paraId="30B5774C" w14:textId="77777777">
            <w:pPr>
              <w:pStyle w:val="CommentText"/>
              <w:rPr>
                <w:bCs/>
                <w:u w:val="single"/>
              </w:rPr>
            </w:pPr>
          </w:p>
        </w:tc>
        <w:tc>
          <w:tcPr>
            <w:tcW w:w="4428" w:type="dxa"/>
            <w:shd w:val="clear" w:color="auto" w:fill="auto"/>
          </w:tcPr>
          <w:p w:rsidR="00277646" w14:paraId="3CAE5FF3" w14:textId="77777777">
            <w:pPr>
              <w:pStyle w:val="CommentText"/>
              <w:rPr>
                <w:bCs/>
                <w:u w:val="single"/>
              </w:rPr>
            </w:pPr>
            <w:hyperlink r:id="rId12" w:history="1">
              <w:r>
                <w:rPr>
                  <w:rStyle w:val="Hyperlink"/>
                  <w:bCs/>
                </w:rPr>
                <w:t>Christopher.miller@icemiller.com</w:t>
              </w:r>
            </w:hyperlink>
          </w:p>
          <w:p w:rsidR="00277646" w14:paraId="08A3AFBE" w14:textId="77777777">
            <w:pPr>
              <w:pStyle w:val="CommentText"/>
              <w:rPr>
                <w:bCs/>
                <w:u w:val="single"/>
              </w:rPr>
            </w:pPr>
            <w:hyperlink r:id="rId13" w:history="1">
              <w:r>
                <w:rPr>
                  <w:rStyle w:val="Hyperlink"/>
                  <w:bCs/>
                </w:rPr>
                <w:t>Nicole.woods@icemiller.com</w:t>
              </w:r>
            </w:hyperlink>
          </w:p>
          <w:p w:rsidR="00277646" w14:paraId="0A99C3EC" w14:textId="77777777">
            <w:pPr>
              <w:pStyle w:val="CommentText"/>
              <w:rPr>
                <w:bCs/>
                <w:u w:val="single"/>
              </w:rPr>
            </w:pPr>
          </w:p>
        </w:tc>
      </w:tr>
    </w:tbl>
    <w:p w:rsidR="00277646" w14:paraId="75A7CFEC" w14:textId="77777777">
      <w:pPr>
        <w:pStyle w:val="CommentText"/>
        <w:jc w:val="center"/>
        <w:rPr>
          <w:b/>
          <w:u w:val="single"/>
        </w:rPr>
      </w:pPr>
    </w:p>
    <w:p w:rsidR="00277646" w14:paraId="41E07510" w14:textId="77777777">
      <w:pPr>
        <w:pStyle w:val="CommentText"/>
        <w:jc w:val="center"/>
        <w:rPr>
          <w:b/>
          <w:u w:val="single"/>
        </w:rPr>
      </w:pPr>
    </w:p>
    <w:p w:rsidR="00277646" w14:paraId="5AF7C90B" w14:textId="77777777">
      <w:pPr>
        <w:pStyle w:val="CommentText"/>
        <w:rPr>
          <w:b/>
          <w:u w:val="single"/>
        </w:rPr>
      </w:pPr>
    </w:p>
    <w:p w:rsidR="00BE12B7" w14:paraId="6EE889DA" w14:textId="77777777">
      <w:pPr>
        <w:pStyle w:val="BodyText"/>
        <w:rPr>
          <w:bCs/>
        </w:rPr>
      </w:pPr>
    </w:p>
    <w:sectPr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1800" w:bottom="1440" w:left="1800" w:header="720" w:footer="720" w:gutter="0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77646" w14:paraId="21CC4276" w14:textId="77777777">
    <w:pPr>
      <w:pStyle w:val="Footer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77646" w14:paraId="59C9D6F9" w14:textId="77777777">
    <w:pPr>
      <w:pStyle w:val="Footer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5</w:t>
    </w:r>
    <w:r>
      <w:rPr>
        <w:noProof/>
        <w:sz w:val="24"/>
        <w:szCs w:val="24"/>
      </w:rPr>
      <w:fldChar w:fldCharType="end"/>
    </w:r>
  </w:p>
  <w:p w:rsidR="00277646" w14:paraId="2F48F45C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77646" w14:paraId="1C7EBA6E" w14:textId="77777777">
    <w:pPr>
      <w:pStyle w:val="Footer"/>
      <w:framePr w:wrap="around" w:vAnchor="text" w:hAnchor="margin" w:xAlign="center" w:y="1"/>
      <w:jc w:val="center"/>
      <w:rPr>
        <w:rStyle w:val="PageNumber"/>
        <w:sz w:val="24"/>
        <w:szCs w:val="24"/>
      </w:rPr>
    </w:pPr>
    <w:r>
      <w:rPr>
        <w:rStyle w:val="PageNumber"/>
        <w:sz w:val="24"/>
        <w:szCs w:val="24"/>
      </w:rPr>
      <w:fldChar w:fldCharType="begin"/>
    </w:r>
    <w:r>
      <w:rPr>
        <w:rStyle w:val="PageNumber"/>
        <w:sz w:val="24"/>
        <w:szCs w:val="24"/>
      </w:rPr>
      <w:instrText xml:space="preserve">PAGE  </w:instrText>
    </w:r>
    <w:r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4</w:t>
    </w:r>
    <w:r>
      <w:rPr>
        <w:rStyle w:val="PageNumber"/>
        <w:sz w:val="24"/>
        <w:szCs w:val="24"/>
      </w:rPr>
      <w:fldChar w:fldCharType="end"/>
    </w:r>
  </w:p>
  <w:p w:rsidR="00277646" w14:paraId="44C2C076" w14:textId="77777777">
    <w:pPr>
      <w:pStyle w:val="Footer"/>
      <w:framePr w:wrap="around" w:vAnchor="text" w:hAnchor="margin" w:xAlign="center" w:y="1"/>
      <w:rPr>
        <w:rStyle w:val="PageNumber"/>
      </w:rPr>
    </w:pPr>
  </w:p>
  <w:p w:rsidR="00277646" w14:paraId="7E5E5909" w14:textId="7777777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77646" w14:paraId="48A5E3E8" w14:textId="77777777">
    <w:pPr>
      <w:pStyle w:val="Footer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9025A7" w14:paraId="22D5B619" w14:textId="77777777">
      <w:r>
        <w:separator/>
      </w:r>
    </w:p>
  </w:footnote>
  <w:footnote w:type="continuationSeparator" w:id="1">
    <w:p w:rsidR="009025A7" w14:paraId="4FA407EB" w14:textId="77777777">
      <w:r>
        <w:continuationSeparator/>
      </w:r>
    </w:p>
  </w:footnote>
  <w:footnote w:id="2">
    <w:p w:rsidR="00DE203B" w:rsidP="004F2E45" w14:paraId="5B0C2C6F" w14:textId="7E3562FF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Memo Contra, at 2-3.</w:t>
      </w:r>
    </w:p>
  </w:footnote>
  <w:footnote w:id="3">
    <w:p w:rsidR="002240F7" w:rsidP="004F2E45" w14:paraId="08783A21" w14:textId="6123C48D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Memo Contra, at 4.</w:t>
      </w:r>
    </w:p>
  </w:footnote>
  <w:footnote w:id="4">
    <w:p w:rsidR="00297AA0" w:rsidP="004F2E45" w14:paraId="2515D415" w14:textId="34382F10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O.A.C. 4901:1-15-27 establishes the minimum consumer protection standards associated with disconnections for non-payment and the procedures to be followed by water and sewer service providers in Ohio. O.A.C. 4901:1-15-27(J) requires utilities such as Aqua to “maintain records…” related to disconnections. O.A.C. 4901:1-15-14 also requires water utilities to maintain records.</w:t>
      </w:r>
    </w:p>
  </w:footnote>
  <w:footnote w:id="5">
    <w:p w:rsidR="00512F08" w:rsidP="004F2E45" w14:paraId="4E9C6534" w14:textId="6A724A7B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Memo Contra, at 4.</w:t>
      </w:r>
    </w:p>
  </w:footnote>
  <w:footnote w:id="6">
    <w:p w:rsidR="00550466" w:rsidP="004F2E45" w14:paraId="26C96E20" w14:textId="3DA05070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Memo Contra, at 2-3.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77646" w14:paraId="708FA4F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77646" w14:paraId="0AF7FB3B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77646" w14:paraId="598A7027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B52698C"/>
    <w:multiLevelType w:val="hybridMultilevel"/>
    <w:tmpl w:val="FCCA6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454FCE"/>
    <w:multiLevelType w:val="hybridMultilevel"/>
    <w:tmpl w:val="C576D4C6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2085"/>
        </w:tabs>
        <w:ind w:left="2085" w:hanging="100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8668A1"/>
    <w:multiLevelType w:val="hybridMultilevel"/>
    <w:tmpl w:val="893667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64567"/>
    <w:multiLevelType w:val="hybridMultilevel"/>
    <w:tmpl w:val="924AB38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F8249F4"/>
    <w:multiLevelType w:val="hybridMultilevel"/>
    <w:tmpl w:val="2020BA1E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5D27B79"/>
    <w:multiLevelType w:val="hybridMultilevel"/>
    <w:tmpl w:val="72B87570"/>
    <w:lvl w:ilvl="0">
      <w:start w:val="4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6BA56A1C"/>
    <w:multiLevelType w:val="hybridMultilevel"/>
    <w:tmpl w:val="EFBA6576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B05554"/>
    <w:multiLevelType w:val="hybridMultilevel"/>
    <w:tmpl w:val="6C22C984"/>
    <w:lvl w:ilvl="0">
      <w:start w:val="5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removePersonalInformation/>
  <w:removeDateAndTime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24"/>
  <w:drawingGridVerticalSpacing w:val="65"/>
  <w:displayHorizontalDrawingGridEvery w:val="0"/>
  <w:noPunctuationKerning/>
  <w:characterSpacingControl w:val="doNotCompress"/>
  <w:footnotePr>
    <w:footnote w:id="0"/>
    <w:footnote w:id="1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245"/>
    <w:rsid w:val="00023575"/>
    <w:rsid w:val="000351A4"/>
    <w:rsid w:val="0003730E"/>
    <w:rsid w:val="000510BE"/>
    <w:rsid w:val="000D0B0A"/>
    <w:rsid w:val="000D2C53"/>
    <w:rsid w:val="000D6AB0"/>
    <w:rsid w:val="000E18BC"/>
    <w:rsid w:val="000E7764"/>
    <w:rsid w:val="000E7C2E"/>
    <w:rsid w:val="000F0517"/>
    <w:rsid w:val="000F6BE2"/>
    <w:rsid w:val="0015188E"/>
    <w:rsid w:val="00160DA5"/>
    <w:rsid w:val="00161382"/>
    <w:rsid w:val="001A55B3"/>
    <w:rsid w:val="001B299B"/>
    <w:rsid w:val="001C37F8"/>
    <w:rsid w:val="001D61EA"/>
    <w:rsid w:val="002120F3"/>
    <w:rsid w:val="002240F7"/>
    <w:rsid w:val="00245204"/>
    <w:rsid w:val="002461D3"/>
    <w:rsid w:val="00277646"/>
    <w:rsid w:val="00282F13"/>
    <w:rsid w:val="00294CC0"/>
    <w:rsid w:val="00297AA0"/>
    <w:rsid w:val="002D2338"/>
    <w:rsid w:val="00360DF8"/>
    <w:rsid w:val="003944D2"/>
    <w:rsid w:val="003B2E78"/>
    <w:rsid w:val="003B3D71"/>
    <w:rsid w:val="00404111"/>
    <w:rsid w:val="00406C1B"/>
    <w:rsid w:val="00424F1A"/>
    <w:rsid w:val="00464C32"/>
    <w:rsid w:val="00475E2C"/>
    <w:rsid w:val="004A6F64"/>
    <w:rsid w:val="004F2E45"/>
    <w:rsid w:val="00512F08"/>
    <w:rsid w:val="00550466"/>
    <w:rsid w:val="00556917"/>
    <w:rsid w:val="0056740B"/>
    <w:rsid w:val="00596225"/>
    <w:rsid w:val="006456EC"/>
    <w:rsid w:val="006A04EC"/>
    <w:rsid w:val="006D4C86"/>
    <w:rsid w:val="006E6088"/>
    <w:rsid w:val="00714266"/>
    <w:rsid w:val="00721AD7"/>
    <w:rsid w:val="0074334B"/>
    <w:rsid w:val="0075752A"/>
    <w:rsid w:val="007D2930"/>
    <w:rsid w:val="007F699F"/>
    <w:rsid w:val="00800152"/>
    <w:rsid w:val="0085131D"/>
    <w:rsid w:val="008757BB"/>
    <w:rsid w:val="008A255F"/>
    <w:rsid w:val="008B60FD"/>
    <w:rsid w:val="008C1D38"/>
    <w:rsid w:val="008D6245"/>
    <w:rsid w:val="00901A17"/>
    <w:rsid w:val="009025A7"/>
    <w:rsid w:val="0093613F"/>
    <w:rsid w:val="009E47A6"/>
    <w:rsid w:val="009E57FE"/>
    <w:rsid w:val="009F3677"/>
    <w:rsid w:val="00A039E2"/>
    <w:rsid w:val="00A8626F"/>
    <w:rsid w:val="00AD656B"/>
    <w:rsid w:val="00AF7221"/>
    <w:rsid w:val="00B145B8"/>
    <w:rsid w:val="00B71455"/>
    <w:rsid w:val="00BA295F"/>
    <w:rsid w:val="00BB1A68"/>
    <w:rsid w:val="00BE12B7"/>
    <w:rsid w:val="00BF09B7"/>
    <w:rsid w:val="00C304B4"/>
    <w:rsid w:val="00CA275C"/>
    <w:rsid w:val="00CB77FC"/>
    <w:rsid w:val="00CC0CC3"/>
    <w:rsid w:val="00CC7CF3"/>
    <w:rsid w:val="00CD1DCE"/>
    <w:rsid w:val="00CE0B8F"/>
    <w:rsid w:val="00CE584D"/>
    <w:rsid w:val="00CF1EDC"/>
    <w:rsid w:val="00D15800"/>
    <w:rsid w:val="00DC2709"/>
    <w:rsid w:val="00DD5ABA"/>
    <w:rsid w:val="00DE203B"/>
    <w:rsid w:val="00E0614D"/>
    <w:rsid w:val="00E4333E"/>
    <w:rsid w:val="00E54BE6"/>
    <w:rsid w:val="00E65C63"/>
    <w:rsid w:val="00E74419"/>
    <w:rsid w:val="00EE5C8A"/>
    <w:rsid w:val="00EF197A"/>
    <w:rsid w:val="00F4470F"/>
    <w:rsid w:val="00F64DE9"/>
    <w:rsid w:val="00F752BF"/>
    <w:rsid w:val="00FA6355"/>
    <w:rsid w:val="00FB397D"/>
    <w:rsid w:val="00FE24D0"/>
    <w:rsid w:val="00FF0D67"/>
    <w:rsid w:val="00FF286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4320"/>
      </w:tabs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link w:val="FootnoteTextChar"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spacing w:line="480" w:lineRule="auto"/>
      <w:ind w:firstLine="720"/>
    </w:pPr>
  </w:style>
  <w:style w:type="paragraph" w:styleId="BodyTextIndent3">
    <w:name w:val="Body Text Indent 3"/>
    <w:basedOn w:val="Normal"/>
    <w:link w:val="BodyTextIndent3Char"/>
    <w:pPr>
      <w:spacing w:line="480" w:lineRule="atLeast"/>
      <w:ind w:firstLine="720"/>
    </w:pPr>
  </w:style>
  <w:style w:type="paragraph" w:styleId="BodyTextIndent2">
    <w:name w:val="Body Text Indent 2"/>
    <w:basedOn w:val="Normal"/>
    <w:pPr>
      <w:tabs>
        <w:tab w:val="left" w:pos="720"/>
      </w:tabs>
      <w:spacing w:before="240" w:after="240"/>
      <w:ind w:left="1464" w:hanging="744"/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jc w:val="both"/>
    </w:pPr>
  </w:style>
  <w:style w:type="paragraph" w:styleId="BlockText">
    <w:name w:val="Block Text"/>
    <w:basedOn w:val="Normal"/>
    <w:pPr>
      <w:ind w:left="1440" w:right="720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BodyText2">
    <w:name w:val="Body Text 2"/>
    <w:basedOn w:val="Normal"/>
    <w:pPr>
      <w:spacing w:line="480" w:lineRule="auto"/>
      <w:ind w:right="144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character" w:styleId="CommentReference">
    <w:name w:val="annotation reference"/>
    <w:semiHidden/>
    <w:rPr>
      <w:sz w:val="18"/>
    </w:rPr>
  </w:style>
  <w:style w:type="paragraph" w:styleId="CommentText">
    <w:name w:val="annotation text"/>
    <w:basedOn w:val="Normal"/>
    <w:link w:val="CommentTextChar"/>
    <w:uiPriority w:val="99"/>
    <w:semiHidden/>
    <w:rPr>
      <w:szCs w:val="24"/>
    </w:rPr>
  </w:style>
  <w:style w:type="paragraph" w:styleId="CommentSubject">
    <w:name w:val="annotation subject"/>
    <w:basedOn w:val="CommentText"/>
    <w:next w:val="CommentText"/>
    <w:semiHidden/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term1">
    <w:name w:val="term1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BodyTextIndent3">
    <w:name w:val="WW-Body Text Indent 3"/>
    <w:basedOn w:val="Normal"/>
    <w:pPr>
      <w:suppressAutoHyphens/>
      <w:spacing w:line="480" w:lineRule="atLeast"/>
      <w:ind w:firstLine="720"/>
    </w:pPr>
    <w:rPr>
      <w:lang w:eastAsia="ar-SA"/>
    </w:rPr>
  </w:style>
  <w:style w:type="character" w:customStyle="1" w:styleId="BodyTextChar">
    <w:name w:val="Body Text Char"/>
    <w:link w:val="BodyText"/>
    <w:rPr>
      <w:sz w:val="24"/>
    </w:rPr>
  </w:style>
  <w:style w:type="character" w:customStyle="1" w:styleId="BodyTextIndent3Char">
    <w:name w:val="Body Text Indent 3 Char"/>
    <w:link w:val="BodyTextIndent3"/>
    <w:rPr>
      <w:sz w:val="24"/>
    </w:rPr>
  </w:style>
  <w:style w:type="character" w:customStyle="1" w:styleId="CommentTextChar">
    <w:name w:val="Comment Text Char"/>
    <w:link w:val="CommentText"/>
    <w:uiPriority w:val="99"/>
    <w:semiHidden/>
    <w:rPr>
      <w:sz w:val="24"/>
      <w:szCs w:val="24"/>
    </w:rPr>
  </w:style>
  <w:style w:type="character" w:customStyle="1" w:styleId="FootnoteTextChar">
    <w:name w:val="Footnote Text Char"/>
    <w:link w:val="FootnoteText"/>
    <w:locked/>
  </w:style>
  <w:style w:type="character" w:customStyle="1" w:styleId="FooterChar">
    <w:name w:val="Footer Char"/>
    <w:link w:val="Footer"/>
    <w:uiPriority w:val="99"/>
  </w:style>
  <w:style w:type="character" w:customStyle="1" w:styleId="EndnoteTextChar">
    <w:name w:val="Endnote Text Char"/>
    <w:link w:val="EndnoteText"/>
    <w:semiHidden/>
  </w:style>
  <w:style w:type="character" w:customStyle="1" w:styleId="UnresolvedMention">
    <w:name w:val="Unresolved Mention"/>
    <w:uiPriority w:val="99"/>
    <w:semiHidden/>
    <w:unhideWhenUsed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15188E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15188E"/>
    <w:rPr>
      <w:rFonts w:ascii="Calibri" w:eastAsia="Calibri" w:hAnsi="Calibri"/>
      <w:sz w:val="22"/>
      <w:szCs w:val="21"/>
    </w:rPr>
  </w:style>
  <w:style w:type="paragraph" w:styleId="Revision">
    <w:name w:val="Revision"/>
    <w:hidden/>
    <w:uiPriority w:val="99"/>
    <w:semiHidden/>
    <w:rsid w:val="0071426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yperlink" Target="mailto:Chelsea.Fletcher@ohioAGO.gov" TargetMode="External" /><Relationship Id="rId11" Type="http://schemas.openxmlformats.org/officeDocument/2006/relationships/hyperlink" Target="mailto:David.Hicks@puco.ohio.gov" TargetMode="External" /><Relationship Id="rId12" Type="http://schemas.openxmlformats.org/officeDocument/2006/relationships/hyperlink" Target="mailto:Christopher.miller@icemiller.com" TargetMode="External" /><Relationship Id="rId13" Type="http://schemas.openxmlformats.org/officeDocument/2006/relationships/hyperlink" Target="mailto:Nicole.woods@icemiller.com" TargetMode="External" /><Relationship Id="rId14" Type="http://schemas.openxmlformats.org/officeDocument/2006/relationships/header" Target="header1.xml" /><Relationship Id="rId15" Type="http://schemas.openxmlformats.org/officeDocument/2006/relationships/header" Target="header2.xml" /><Relationship Id="rId16" Type="http://schemas.openxmlformats.org/officeDocument/2006/relationships/footer" Target="footer3.xml" /><Relationship Id="rId17" Type="http://schemas.openxmlformats.org/officeDocument/2006/relationships/header" Target="header3.xml" /><Relationship Id="rId18" Type="http://schemas.openxmlformats.org/officeDocument/2006/relationships/footer" Target="footer4.xml" /><Relationship Id="rId19" Type="http://schemas.openxmlformats.org/officeDocument/2006/relationships/theme" Target="theme/theme1.xml" /><Relationship Id="rId2" Type="http://schemas.openxmlformats.org/officeDocument/2006/relationships/settings" Target="settings.xml" /><Relationship Id="rId20" Type="http://schemas.openxmlformats.org/officeDocument/2006/relationships/numbering" Target="numbering.xml" /><Relationship Id="rId21" Type="http://schemas.openxmlformats.org/officeDocument/2006/relationships/styles" Target="style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yperlink" Target="mailto:amy.botschner.obrien@occ.ohio.gov" TargetMode="Externa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yperlink" Target="mailto:Robert.eubanks@ohioAGO.go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067D2-1159-449B-B85C-49539F11A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Aqua Reply 21-0595--redlines removed (00154141).DOCX</vt:lpstr>
    </vt:vector>
  </TitlesOfParts>
  <Company/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2021-08-09T20:38:02Z</dcterms:created>
  <dcterms:modified xsi:type="dcterms:W3CDTF">2021-08-09T20:38:02Z</dcterms:modified>
</cp:coreProperties>
</file>