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E0" w:rsidRPr="00F53EE0" w:rsidRDefault="00F53EE0" w:rsidP="00F53EE0">
      <w:pPr>
        <w:jc w:val="center"/>
        <w:rPr>
          <w:rFonts w:eastAsia="Times New Roman" w:cs="Arial"/>
          <w:b/>
          <w:smallCaps/>
          <w:sz w:val="28"/>
        </w:rPr>
      </w:pPr>
      <w:bookmarkStart w:id="0" w:name="OLE_LINK1"/>
      <w:bookmarkStart w:id="1" w:name="OLE_LINK2"/>
      <w:bookmarkStart w:id="2" w:name="_GoBack"/>
      <w:bookmarkEnd w:id="2"/>
      <w:r w:rsidRPr="00F53EE0">
        <w:rPr>
          <w:rFonts w:eastAsia="Times New Roman" w:cs="Arial"/>
          <w:b/>
          <w:smallCaps/>
          <w:sz w:val="28"/>
        </w:rPr>
        <w:t>Before</w:t>
      </w:r>
    </w:p>
    <w:p w:rsidR="00F53EE0" w:rsidRPr="00F53EE0" w:rsidRDefault="00F53EE0" w:rsidP="00F53EE0">
      <w:pPr>
        <w:spacing w:after="120"/>
        <w:jc w:val="center"/>
        <w:rPr>
          <w:rFonts w:eastAsia="Times New Roman" w:cs="Arial"/>
          <w:b/>
          <w:smallCaps/>
          <w:sz w:val="28"/>
        </w:rPr>
      </w:pPr>
      <w:r w:rsidRPr="00F53EE0">
        <w:rPr>
          <w:rFonts w:eastAsia="Times New Roman" w:cs="Arial"/>
          <w:b/>
          <w:smallCaps/>
          <w:sz w:val="28"/>
        </w:rPr>
        <w:t>The Public Utilities Commission of Ohio</w:t>
      </w:r>
    </w:p>
    <w:p w:rsidR="00F53EE0" w:rsidRPr="00F53EE0" w:rsidRDefault="00F53EE0" w:rsidP="00F53EE0">
      <w:pPr>
        <w:autoSpaceDE w:val="0"/>
        <w:autoSpaceDN w:val="0"/>
        <w:adjustRightInd w:val="0"/>
        <w:spacing w:after="120"/>
        <w:rPr>
          <w:rFonts w:eastAsia="Calibri" w:cs="Arial"/>
        </w:rPr>
      </w:pPr>
    </w:p>
    <w:tbl>
      <w:tblPr>
        <w:tblW w:w="8340" w:type="dxa"/>
        <w:jc w:val="center"/>
        <w:tblLook w:val="04A0" w:firstRow="1" w:lastRow="0" w:firstColumn="1" w:lastColumn="0" w:noHBand="0" w:noVBand="1"/>
      </w:tblPr>
      <w:tblGrid>
        <w:gridCol w:w="3990"/>
        <w:gridCol w:w="360"/>
        <w:gridCol w:w="3990"/>
      </w:tblGrid>
      <w:tr w:rsidR="00F53EE0" w:rsidRPr="00F53EE0" w:rsidTr="006D6B8E">
        <w:trPr>
          <w:jc w:val="center"/>
        </w:trPr>
        <w:tc>
          <w:tcPr>
            <w:tcW w:w="3990" w:type="dxa"/>
          </w:tcPr>
          <w:p w:rsidR="00F53EE0" w:rsidRPr="00F53EE0" w:rsidRDefault="00F53EE0" w:rsidP="00F53EE0">
            <w:pPr>
              <w:spacing w:after="120"/>
              <w:rPr>
                <w:rFonts w:eastAsia="Times New Roman" w:cs="Arial"/>
              </w:rPr>
            </w:pPr>
            <w:r w:rsidRPr="00F53EE0">
              <w:rPr>
                <w:rFonts w:eastAsia="Times New Roman" w:cs="Arial"/>
              </w:rPr>
              <w:t>In the Matter of the Application of Duke Energy Ohio for Authority to Establish a Standard Service Offer Pursuant to Section 4928.143, Revised Code, in the Form of an Electric Security Plan, Accounting Modifications and Tariffs for Generation Service.</w:t>
            </w:r>
          </w:p>
          <w:p w:rsidR="00F53EE0" w:rsidRPr="00F53EE0" w:rsidRDefault="00F53EE0" w:rsidP="00F53EE0">
            <w:pPr>
              <w:spacing w:after="120"/>
              <w:rPr>
                <w:rFonts w:eastAsia="Times New Roman" w:cs="Arial"/>
              </w:rPr>
            </w:pPr>
          </w:p>
        </w:tc>
        <w:tc>
          <w:tcPr>
            <w:tcW w:w="360" w:type="dxa"/>
          </w:tcPr>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tc>
        <w:tc>
          <w:tcPr>
            <w:tcW w:w="3990" w:type="dxa"/>
          </w:tcPr>
          <w:p w:rsidR="00F53EE0" w:rsidRPr="00F53EE0" w:rsidRDefault="00F53EE0" w:rsidP="00F53EE0">
            <w:pPr>
              <w:widowControl w:val="0"/>
              <w:suppressLineNumbers/>
              <w:tabs>
                <w:tab w:val="left" w:pos="4770"/>
              </w:tabs>
              <w:spacing w:after="120"/>
              <w:jc w:val="both"/>
              <w:rPr>
                <w:rFonts w:eastAsia="Times New Roman" w:cs="Arial"/>
              </w:rPr>
            </w:pPr>
          </w:p>
          <w:p w:rsidR="00F53EE0" w:rsidRPr="00F53EE0" w:rsidRDefault="00F53EE0" w:rsidP="00F53EE0">
            <w:pPr>
              <w:widowControl w:val="0"/>
              <w:suppressLineNumbers/>
              <w:tabs>
                <w:tab w:val="left" w:pos="4770"/>
              </w:tabs>
              <w:spacing w:after="120"/>
              <w:jc w:val="both"/>
              <w:rPr>
                <w:rFonts w:eastAsia="Times New Roman" w:cs="Arial"/>
              </w:rPr>
            </w:pPr>
          </w:p>
          <w:p w:rsidR="00F53EE0" w:rsidRPr="00F53EE0" w:rsidRDefault="00F53EE0" w:rsidP="00F53EE0">
            <w:pPr>
              <w:widowControl w:val="0"/>
              <w:suppressLineNumbers/>
              <w:tabs>
                <w:tab w:val="left" w:pos="4770"/>
              </w:tabs>
              <w:spacing w:after="120"/>
              <w:jc w:val="both"/>
              <w:rPr>
                <w:rFonts w:eastAsia="Times New Roman" w:cs="Arial"/>
              </w:rPr>
            </w:pP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Case No. 14-841-EL-SSO</w:t>
            </w:r>
          </w:p>
        </w:tc>
      </w:tr>
      <w:tr w:rsidR="00F53EE0" w:rsidRPr="00F53EE0" w:rsidTr="006D6B8E">
        <w:trPr>
          <w:jc w:val="center"/>
        </w:trPr>
        <w:tc>
          <w:tcPr>
            <w:tcW w:w="3990" w:type="dxa"/>
          </w:tcPr>
          <w:p w:rsidR="00F53EE0" w:rsidRPr="00F53EE0" w:rsidRDefault="00F53EE0" w:rsidP="00F53EE0">
            <w:pPr>
              <w:spacing w:after="120"/>
              <w:rPr>
                <w:rFonts w:eastAsia="Times New Roman" w:cs="Arial"/>
              </w:rPr>
            </w:pPr>
            <w:r w:rsidRPr="00F53EE0">
              <w:rPr>
                <w:rFonts w:eastAsia="Times New Roman" w:cs="Arial"/>
              </w:rPr>
              <w:t>In the Matter of the Application of Duke Energy Ohio for Authority to Amend its Certified Supplier Tariff, P.U.C.O. No. 20.</w:t>
            </w:r>
          </w:p>
        </w:tc>
        <w:tc>
          <w:tcPr>
            <w:tcW w:w="360" w:type="dxa"/>
          </w:tcPr>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tc>
        <w:tc>
          <w:tcPr>
            <w:tcW w:w="3990" w:type="dxa"/>
          </w:tcPr>
          <w:p w:rsidR="00F53EE0" w:rsidRPr="00F53EE0" w:rsidRDefault="00F53EE0" w:rsidP="00F53EE0">
            <w:pPr>
              <w:widowControl w:val="0"/>
              <w:suppressLineNumbers/>
              <w:tabs>
                <w:tab w:val="left" w:pos="4770"/>
              </w:tabs>
              <w:spacing w:after="120"/>
              <w:jc w:val="both"/>
              <w:rPr>
                <w:rFonts w:eastAsia="Times New Roman" w:cs="Arial"/>
              </w:rPr>
            </w:pP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Case No. 14-842-EL-ATA</w:t>
            </w:r>
          </w:p>
        </w:tc>
      </w:tr>
    </w:tbl>
    <w:p w:rsidR="00F53EE0" w:rsidRPr="00F53EE0" w:rsidRDefault="00F53EE0" w:rsidP="00F53EE0">
      <w:pPr>
        <w:tabs>
          <w:tab w:val="left" w:pos="5040"/>
        </w:tabs>
        <w:jc w:val="both"/>
        <w:rPr>
          <w:rFonts w:eastAsia="Times New Roman" w:cs="Arial"/>
        </w:rPr>
      </w:pPr>
    </w:p>
    <w:p w:rsidR="00F53EE0" w:rsidRPr="00F53EE0" w:rsidRDefault="00F53EE0" w:rsidP="00F53EE0">
      <w:pPr>
        <w:rPr>
          <w:rFonts w:eastAsia="Calibri" w:cs="Arial"/>
          <w:b/>
        </w:rPr>
      </w:pPr>
      <w:r w:rsidRPr="00F53EE0">
        <w:rPr>
          <w:rFonts w:eastAsia="Calibri" w:cs="Arial"/>
          <w:b/>
        </w:rPr>
        <w:t>______________________________________________________________________</w:t>
      </w:r>
    </w:p>
    <w:p w:rsidR="00F53EE0" w:rsidRPr="00F53EE0" w:rsidRDefault="00F53EE0" w:rsidP="00F53EE0">
      <w:pPr>
        <w:rPr>
          <w:rFonts w:eastAsia="Calibri" w:cs="Arial"/>
          <w:b/>
        </w:rPr>
      </w:pPr>
    </w:p>
    <w:p w:rsidR="00F53EE0" w:rsidRDefault="00F53EE0" w:rsidP="00F53EE0">
      <w:pPr>
        <w:jc w:val="center"/>
        <w:rPr>
          <w:rFonts w:eastAsia="Calibri" w:cs="Arial"/>
          <w:b/>
          <w:caps/>
          <w:sz w:val="28"/>
          <w:szCs w:val="28"/>
        </w:rPr>
      </w:pPr>
      <w:r>
        <w:rPr>
          <w:rFonts w:eastAsia="Calibri" w:cs="Arial"/>
          <w:b/>
          <w:caps/>
          <w:sz w:val="28"/>
          <w:szCs w:val="28"/>
        </w:rPr>
        <w:t>Application for Rehearing</w:t>
      </w:r>
      <w:r w:rsidRPr="00F53EE0">
        <w:rPr>
          <w:rFonts w:eastAsia="Calibri" w:cs="Arial"/>
          <w:b/>
          <w:caps/>
          <w:sz w:val="28"/>
          <w:szCs w:val="28"/>
        </w:rPr>
        <w:t xml:space="preserve"> </w:t>
      </w:r>
    </w:p>
    <w:p w:rsidR="00F53EE0" w:rsidRPr="00F53EE0" w:rsidRDefault="00F53EE0" w:rsidP="00F53EE0">
      <w:pPr>
        <w:jc w:val="center"/>
        <w:rPr>
          <w:rFonts w:eastAsia="Calibri" w:cs="Arial"/>
          <w:b/>
          <w:caps/>
          <w:sz w:val="28"/>
          <w:szCs w:val="28"/>
        </w:rPr>
      </w:pPr>
      <w:r w:rsidRPr="00F53EE0">
        <w:rPr>
          <w:rFonts w:eastAsia="Calibri" w:cs="Arial"/>
          <w:b/>
          <w:caps/>
          <w:sz w:val="28"/>
          <w:szCs w:val="28"/>
        </w:rPr>
        <w:t>OF Industrial Energy Users-Ohio</w:t>
      </w:r>
    </w:p>
    <w:bookmarkEnd w:id="0"/>
    <w:bookmarkEnd w:id="1"/>
    <w:p w:rsidR="00F53EE0" w:rsidRPr="00F53EE0" w:rsidRDefault="00F53EE0" w:rsidP="00F53EE0">
      <w:pPr>
        <w:rPr>
          <w:rFonts w:eastAsia="Calibri" w:cs="Arial"/>
          <w:b/>
        </w:rPr>
      </w:pPr>
      <w:r w:rsidRPr="00F53EE0">
        <w:rPr>
          <w:rFonts w:eastAsia="Calibri" w:cs="Arial"/>
          <w:b/>
        </w:rPr>
        <w:t>______________________________________________________________________</w:t>
      </w:r>
    </w:p>
    <w:p w:rsidR="00F53EE0" w:rsidRPr="00F53EE0" w:rsidRDefault="00F53EE0" w:rsidP="00F53EE0">
      <w:pPr>
        <w:rPr>
          <w:rFonts w:eastAsia="Calibri" w:cs="Arial"/>
        </w:rPr>
      </w:pPr>
    </w:p>
    <w:p w:rsidR="00F53EE0" w:rsidRPr="00F53EE0" w:rsidRDefault="00F53EE0" w:rsidP="00F53EE0">
      <w:pPr>
        <w:rPr>
          <w:rFonts w:eastAsia="Calibri" w:cs="Arial"/>
        </w:rPr>
      </w:pPr>
    </w:p>
    <w:p w:rsidR="00F53EE0" w:rsidRDefault="00F53EE0" w:rsidP="00F53EE0">
      <w:pPr>
        <w:rPr>
          <w:rFonts w:eastAsia="Calibri" w:cs="Arial"/>
        </w:rPr>
      </w:pPr>
    </w:p>
    <w:p w:rsidR="00733631" w:rsidRDefault="00733631" w:rsidP="00F53EE0">
      <w:pPr>
        <w:rPr>
          <w:rFonts w:eastAsia="Calibri" w:cs="Arial"/>
        </w:rPr>
      </w:pPr>
    </w:p>
    <w:p w:rsidR="00733631" w:rsidRDefault="00733631" w:rsidP="00F53EE0">
      <w:pPr>
        <w:rPr>
          <w:rFonts w:eastAsia="Calibri" w:cs="Arial"/>
        </w:rPr>
      </w:pPr>
    </w:p>
    <w:p w:rsidR="00F53EE0" w:rsidRPr="00F53EE0" w:rsidRDefault="00F53EE0" w:rsidP="00F53EE0">
      <w:pPr>
        <w:widowControl w:val="0"/>
        <w:ind w:left="4320"/>
        <w:jc w:val="both"/>
        <w:rPr>
          <w:rFonts w:eastAsia="Calibri" w:cs="Arial"/>
          <w:bCs/>
        </w:rPr>
      </w:pPr>
      <w:r w:rsidRPr="00F53EE0">
        <w:rPr>
          <w:rFonts w:eastAsia="Calibri" w:cs="Arial"/>
          <w:bCs/>
        </w:rPr>
        <w:t>Frank P. Darr (Counsel of Record)</w:t>
      </w:r>
    </w:p>
    <w:p w:rsidR="00F53EE0" w:rsidRPr="00F53EE0" w:rsidRDefault="00F53EE0" w:rsidP="00F53EE0">
      <w:pPr>
        <w:widowControl w:val="0"/>
        <w:ind w:left="4320"/>
        <w:jc w:val="both"/>
        <w:rPr>
          <w:rFonts w:eastAsia="Calibri" w:cs="Arial"/>
          <w:bCs/>
        </w:rPr>
      </w:pPr>
      <w:r w:rsidRPr="00F53EE0">
        <w:rPr>
          <w:rFonts w:eastAsia="Calibri" w:cs="Arial"/>
          <w:bCs/>
        </w:rPr>
        <w:t>(Reg. No. 0025469)</w:t>
      </w:r>
    </w:p>
    <w:p w:rsidR="00F53EE0" w:rsidRPr="00F53EE0" w:rsidRDefault="00F53EE0" w:rsidP="00F53EE0">
      <w:pPr>
        <w:widowControl w:val="0"/>
        <w:ind w:left="4320"/>
        <w:jc w:val="both"/>
        <w:rPr>
          <w:rFonts w:eastAsia="Calibri" w:cs="Arial"/>
          <w:b/>
          <w:bCs/>
        </w:rPr>
      </w:pPr>
      <w:r w:rsidRPr="00F53EE0">
        <w:rPr>
          <w:rFonts w:eastAsia="Calibri" w:cs="Arial"/>
          <w:bCs/>
        </w:rPr>
        <w:t>Matthew R. Pritchard (Reg. No. 0088070)</w:t>
      </w:r>
    </w:p>
    <w:p w:rsidR="00F53EE0" w:rsidRPr="00F53EE0" w:rsidRDefault="00F53EE0" w:rsidP="00F53EE0">
      <w:pPr>
        <w:widowControl w:val="0"/>
        <w:ind w:left="4320"/>
        <w:jc w:val="both"/>
        <w:rPr>
          <w:rFonts w:eastAsia="Calibri" w:cs="Arial"/>
          <w:b/>
          <w:bCs/>
          <w:smallCaps/>
        </w:rPr>
      </w:pPr>
      <w:r w:rsidRPr="00F53EE0">
        <w:rPr>
          <w:rFonts w:eastAsia="Calibri" w:cs="Arial"/>
          <w:bCs/>
          <w:smallCaps/>
        </w:rPr>
        <w:t>McNees Wallace &amp; Nurick LLC</w:t>
      </w:r>
    </w:p>
    <w:p w:rsidR="00F53EE0" w:rsidRPr="00F53EE0" w:rsidRDefault="00F53EE0" w:rsidP="00F53EE0">
      <w:pPr>
        <w:widowControl w:val="0"/>
        <w:ind w:left="4320"/>
        <w:jc w:val="both"/>
        <w:rPr>
          <w:rFonts w:eastAsia="Calibri" w:cs="Arial"/>
          <w:b/>
          <w:bCs/>
        </w:rPr>
      </w:pPr>
      <w:r w:rsidRPr="00F53EE0">
        <w:rPr>
          <w:rFonts w:eastAsia="Calibri" w:cs="Arial"/>
          <w:bCs/>
        </w:rPr>
        <w:t>21 East State Street, 17</w:t>
      </w:r>
      <w:r w:rsidRPr="00F53EE0">
        <w:rPr>
          <w:rFonts w:eastAsia="Calibri" w:cs="Arial"/>
          <w:bCs/>
          <w:vertAlign w:val="superscript"/>
        </w:rPr>
        <w:t>TH</w:t>
      </w:r>
      <w:r w:rsidRPr="00F53EE0">
        <w:rPr>
          <w:rFonts w:eastAsia="Calibri" w:cs="Arial"/>
          <w:bCs/>
        </w:rPr>
        <w:t xml:space="preserve"> Floor</w:t>
      </w:r>
    </w:p>
    <w:p w:rsidR="00F53EE0" w:rsidRPr="00F53EE0" w:rsidRDefault="00F53EE0" w:rsidP="00F53EE0">
      <w:pPr>
        <w:tabs>
          <w:tab w:val="left" w:pos="-1440"/>
          <w:tab w:val="left" w:pos="-720"/>
          <w:tab w:val="left" w:pos="5040"/>
          <w:tab w:val="center" w:pos="7200"/>
        </w:tabs>
        <w:overflowPunct w:val="0"/>
        <w:autoSpaceDE w:val="0"/>
        <w:autoSpaceDN w:val="0"/>
        <w:adjustRightInd w:val="0"/>
        <w:ind w:left="4320"/>
        <w:jc w:val="both"/>
        <w:rPr>
          <w:rFonts w:eastAsia="Calibri" w:cs="Arial"/>
        </w:rPr>
      </w:pPr>
      <w:r w:rsidRPr="00F53EE0">
        <w:rPr>
          <w:rFonts w:eastAsia="Calibri" w:cs="Arial"/>
        </w:rPr>
        <w:t>Columbus, OH  43215</w:t>
      </w:r>
    </w:p>
    <w:p w:rsidR="00F53EE0" w:rsidRPr="00F53EE0" w:rsidRDefault="00F53EE0" w:rsidP="00F53EE0">
      <w:pPr>
        <w:tabs>
          <w:tab w:val="left" w:pos="-1440"/>
          <w:tab w:val="left" w:pos="-720"/>
          <w:tab w:val="left" w:pos="5040"/>
          <w:tab w:val="center" w:pos="7200"/>
        </w:tabs>
        <w:overflowPunct w:val="0"/>
        <w:autoSpaceDE w:val="0"/>
        <w:autoSpaceDN w:val="0"/>
        <w:adjustRightInd w:val="0"/>
        <w:ind w:left="4320"/>
        <w:jc w:val="both"/>
        <w:rPr>
          <w:rFonts w:eastAsia="Calibri" w:cs="Arial"/>
        </w:rPr>
      </w:pPr>
      <w:r w:rsidRPr="00F53EE0">
        <w:rPr>
          <w:rFonts w:eastAsia="Calibri" w:cs="Arial"/>
        </w:rPr>
        <w:t>Telephone:  (614) 469-8000</w:t>
      </w:r>
    </w:p>
    <w:p w:rsidR="00F53EE0" w:rsidRPr="00F53EE0" w:rsidRDefault="00F53EE0" w:rsidP="00F53EE0">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F53EE0">
        <w:rPr>
          <w:rFonts w:eastAsia="Calibri" w:cs="Arial"/>
          <w:color w:val="000000"/>
        </w:rPr>
        <w:t>Telecopier:  (614) 469-4653</w:t>
      </w:r>
    </w:p>
    <w:p w:rsidR="00F53EE0" w:rsidRPr="00F53EE0" w:rsidRDefault="00F53EE0" w:rsidP="00F53EE0">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F53EE0">
        <w:rPr>
          <w:rFonts w:eastAsia="Calibri" w:cs="Arial"/>
        </w:rPr>
        <w:t>fdarr@mwncmh.com</w:t>
      </w:r>
    </w:p>
    <w:p w:rsidR="00F53EE0" w:rsidRPr="00F53EE0" w:rsidRDefault="00F53EE0" w:rsidP="00F53EE0">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F53EE0">
        <w:rPr>
          <w:rFonts w:eastAsia="Calibri" w:cs="Arial"/>
          <w:color w:val="000000"/>
        </w:rPr>
        <w:t>(willing to accept service by e-mail)</w:t>
      </w:r>
    </w:p>
    <w:p w:rsidR="00F53EE0" w:rsidRPr="00F53EE0" w:rsidRDefault="00F53EE0" w:rsidP="00F53EE0">
      <w:pPr>
        <w:tabs>
          <w:tab w:val="left" w:pos="-1440"/>
          <w:tab w:val="left" w:pos="-720"/>
          <w:tab w:val="left" w:pos="5040"/>
          <w:tab w:val="center" w:pos="7200"/>
        </w:tabs>
        <w:overflowPunct w:val="0"/>
        <w:autoSpaceDE w:val="0"/>
        <w:autoSpaceDN w:val="0"/>
        <w:adjustRightInd w:val="0"/>
        <w:ind w:left="4320"/>
        <w:jc w:val="both"/>
        <w:rPr>
          <w:rFonts w:eastAsia="Calibri" w:cs="Arial"/>
          <w:smallCaps/>
          <w:color w:val="000000"/>
        </w:rPr>
      </w:pPr>
      <w:r w:rsidRPr="00F53EE0">
        <w:rPr>
          <w:rFonts w:eastAsia="Calibri" w:cs="Arial"/>
          <w:color w:val="000000"/>
        </w:rPr>
        <w:t>mpritchard@mwncmh.com</w:t>
      </w:r>
    </w:p>
    <w:p w:rsidR="00F53EE0" w:rsidRPr="00F53EE0" w:rsidRDefault="00F53EE0" w:rsidP="00F53EE0">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F53EE0">
        <w:rPr>
          <w:rFonts w:eastAsia="Calibri" w:cs="Arial"/>
          <w:color w:val="000000"/>
        </w:rPr>
        <w:t>(willing to accept service by e-mail)</w:t>
      </w:r>
    </w:p>
    <w:p w:rsidR="00F53EE0" w:rsidRPr="00F53EE0" w:rsidRDefault="00F53EE0" w:rsidP="00F53EE0">
      <w:pPr>
        <w:tabs>
          <w:tab w:val="left" w:pos="-1440"/>
          <w:tab w:val="left" w:pos="-720"/>
          <w:tab w:val="left" w:pos="5040"/>
          <w:tab w:val="center" w:pos="7200"/>
        </w:tabs>
        <w:overflowPunct w:val="0"/>
        <w:autoSpaceDE w:val="0"/>
        <w:autoSpaceDN w:val="0"/>
        <w:adjustRightInd w:val="0"/>
        <w:spacing w:after="120"/>
        <w:ind w:left="4320"/>
        <w:jc w:val="both"/>
        <w:rPr>
          <w:rFonts w:eastAsia="Calibri" w:cs="Arial"/>
          <w:b/>
          <w:smallCaps/>
        </w:rPr>
      </w:pPr>
    </w:p>
    <w:p w:rsidR="00F53EE0" w:rsidRPr="00F53EE0" w:rsidRDefault="00F364DF" w:rsidP="00F53EE0">
      <w:pPr>
        <w:spacing w:after="120"/>
        <w:ind w:left="4320" w:hanging="4320"/>
        <w:rPr>
          <w:rFonts w:eastAsia="Calibri" w:cs="Arial"/>
          <w:b/>
        </w:rPr>
      </w:pPr>
      <w:r>
        <w:rPr>
          <w:rFonts w:eastAsia="Calibri" w:cs="Arial"/>
          <w:b/>
        </w:rPr>
        <w:t>May 4, 2015</w:t>
      </w:r>
      <w:r w:rsidR="00F53EE0" w:rsidRPr="00F53EE0">
        <w:rPr>
          <w:rFonts w:eastAsia="Calibri" w:cs="Arial"/>
          <w:b/>
        </w:rPr>
        <w:tab/>
        <w:t>Attorneys for Industrial Energy Users-Ohio</w:t>
      </w:r>
    </w:p>
    <w:p w:rsidR="00F53EE0" w:rsidRPr="00F53EE0" w:rsidRDefault="00F53EE0" w:rsidP="00F53EE0">
      <w:pPr>
        <w:spacing w:after="120"/>
        <w:ind w:left="4320" w:hanging="4320"/>
        <w:rPr>
          <w:rFonts w:eastAsia="Calibri" w:cs="Arial"/>
          <w:b/>
        </w:rPr>
        <w:sectPr w:rsidR="00F53EE0" w:rsidRPr="00F53EE0" w:rsidSect="006D6B8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fmt="lowerRoman" w:start="1"/>
          <w:cols w:space="720"/>
          <w:docGrid w:linePitch="326"/>
        </w:sectPr>
      </w:pPr>
    </w:p>
    <w:p w:rsidR="0061357C" w:rsidRPr="006A4819" w:rsidRDefault="00F53EE0" w:rsidP="006A4819">
      <w:pPr>
        <w:keepNext/>
        <w:keepLines/>
        <w:spacing w:before="480" w:after="240"/>
        <w:jc w:val="center"/>
        <w:rPr>
          <w:rFonts w:cs="Arial"/>
          <w:caps/>
          <w:u w:val="single"/>
        </w:rPr>
      </w:pPr>
      <w:bookmarkStart w:id="3" w:name="TOCHeading"/>
      <w:r w:rsidRPr="00F53EE0">
        <w:rPr>
          <w:rFonts w:cs="Arial"/>
          <w:b/>
          <w:caps/>
          <w:u w:val="single"/>
        </w:rPr>
        <w:lastRenderedPageBreak/>
        <w:t>TABLE OF CONTENTS</w:t>
      </w:r>
      <w:r w:rsidR="0061357C">
        <w:fldChar w:fldCharType="begin"/>
      </w:r>
      <w:r w:rsidR="0061357C">
        <w:instrText xml:space="preserve"> TOC \o "1-3" \h \z \u </w:instrText>
      </w:r>
      <w:r w:rsidR="0061357C">
        <w:fldChar w:fldCharType="separate"/>
      </w:r>
      <w:hyperlink w:anchor="_Toc418495434" w:history="1"/>
      <w:hyperlink w:anchor="_Toc418495435" w:history="1"/>
    </w:p>
    <w:p w:rsidR="0061357C" w:rsidRPr="006A4819" w:rsidRDefault="00BF588E" w:rsidP="006A4819">
      <w:pPr>
        <w:pStyle w:val="TOC1"/>
        <w:jc w:val="both"/>
        <w:rPr>
          <w:noProof/>
        </w:rPr>
      </w:pPr>
      <w:hyperlink w:anchor="_Toc418495445" w:history="1">
        <w:r w:rsidR="0061357C" w:rsidRPr="006A4819">
          <w:rPr>
            <w:rStyle w:val="Hyperlink"/>
            <w:rFonts w:ascii="Arial Bold" w:hAnsi="Arial Bold"/>
            <w:caps/>
            <w:noProof/>
          </w:rPr>
          <w:t>I.</w:t>
        </w:r>
        <w:r w:rsidR="0061357C" w:rsidRPr="006A4819">
          <w:rPr>
            <w:rFonts w:ascii="Arial Bold" w:hAnsi="Arial Bold"/>
            <w:caps/>
            <w:noProof/>
          </w:rPr>
          <w:tab/>
        </w:r>
        <w:r w:rsidR="0061357C" w:rsidRPr="006A4819">
          <w:rPr>
            <w:rStyle w:val="Hyperlink"/>
            <w:rFonts w:ascii="Arial Bold" w:hAnsi="Arial Bold"/>
            <w:caps/>
            <w:noProof/>
          </w:rPr>
          <w:t>Introduction</w:t>
        </w:r>
        <w:r w:rsidR="0061357C" w:rsidRPr="006A4819">
          <w:rPr>
            <w:noProof/>
            <w:webHidden/>
          </w:rPr>
          <w:tab/>
        </w:r>
        <w:r w:rsidR="0061357C" w:rsidRPr="006A4819">
          <w:rPr>
            <w:noProof/>
            <w:webHidden/>
          </w:rPr>
          <w:fldChar w:fldCharType="begin"/>
        </w:r>
        <w:r w:rsidR="0061357C" w:rsidRPr="006A4819">
          <w:rPr>
            <w:noProof/>
            <w:webHidden/>
          </w:rPr>
          <w:instrText xml:space="preserve"> PAGEREF _Toc418495445 \h </w:instrText>
        </w:r>
        <w:r w:rsidR="0061357C" w:rsidRPr="006A4819">
          <w:rPr>
            <w:noProof/>
            <w:webHidden/>
          </w:rPr>
        </w:r>
        <w:r w:rsidR="0061357C" w:rsidRPr="006A4819">
          <w:rPr>
            <w:noProof/>
            <w:webHidden/>
          </w:rPr>
          <w:fldChar w:fldCharType="separate"/>
        </w:r>
        <w:r w:rsidR="005A75F0">
          <w:rPr>
            <w:noProof/>
            <w:webHidden/>
          </w:rPr>
          <w:t>5</w:t>
        </w:r>
        <w:r w:rsidR="0061357C" w:rsidRPr="006A4819">
          <w:rPr>
            <w:noProof/>
            <w:webHidden/>
          </w:rPr>
          <w:fldChar w:fldCharType="end"/>
        </w:r>
      </w:hyperlink>
    </w:p>
    <w:p w:rsidR="0061357C" w:rsidRPr="006A4819" w:rsidRDefault="00BF588E" w:rsidP="006A4819">
      <w:pPr>
        <w:pStyle w:val="TOC1"/>
        <w:jc w:val="both"/>
        <w:rPr>
          <w:noProof/>
        </w:rPr>
      </w:pPr>
      <w:hyperlink w:anchor="_Toc418495446" w:history="1">
        <w:r w:rsidR="0061357C" w:rsidRPr="006A4819">
          <w:rPr>
            <w:rStyle w:val="Hyperlink"/>
            <w:rFonts w:ascii="Arial Bold" w:eastAsia="Calibri" w:hAnsi="Arial Bold"/>
            <w:caps/>
            <w:noProof/>
          </w:rPr>
          <w:t>II.</w:t>
        </w:r>
        <w:r w:rsidR="0061357C" w:rsidRPr="006A4819">
          <w:rPr>
            <w:rFonts w:ascii="Arial Bold" w:hAnsi="Arial Bold"/>
            <w:caps/>
            <w:noProof/>
          </w:rPr>
          <w:tab/>
        </w:r>
        <w:r w:rsidR="0061357C" w:rsidRPr="006A4819">
          <w:rPr>
            <w:rStyle w:val="Hyperlink"/>
            <w:rFonts w:ascii="Arial Bold" w:eastAsia="Calibri" w:hAnsi="Arial Bold"/>
            <w:caps/>
            <w:noProof/>
          </w:rPr>
          <w:t>Authorization of the PSR Is Unlawful and Unreasonable</w:t>
        </w:r>
        <w:r w:rsidR="0061357C" w:rsidRPr="006A4819">
          <w:rPr>
            <w:noProof/>
            <w:webHidden/>
          </w:rPr>
          <w:tab/>
        </w:r>
        <w:r w:rsidR="0061357C" w:rsidRPr="006A4819">
          <w:rPr>
            <w:noProof/>
            <w:webHidden/>
          </w:rPr>
          <w:fldChar w:fldCharType="begin"/>
        </w:r>
        <w:r w:rsidR="0061357C" w:rsidRPr="006A4819">
          <w:rPr>
            <w:noProof/>
            <w:webHidden/>
          </w:rPr>
          <w:instrText xml:space="preserve"> PAGEREF _Toc418495446 \h </w:instrText>
        </w:r>
        <w:r w:rsidR="0061357C" w:rsidRPr="006A4819">
          <w:rPr>
            <w:noProof/>
            <w:webHidden/>
          </w:rPr>
        </w:r>
        <w:r w:rsidR="0061357C" w:rsidRPr="006A4819">
          <w:rPr>
            <w:noProof/>
            <w:webHidden/>
          </w:rPr>
          <w:fldChar w:fldCharType="separate"/>
        </w:r>
        <w:r w:rsidR="005A75F0">
          <w:rPr>
            <w:noProof/>
            <w:webHidden/>
          </w:rPr>
          <w:t>8</w:t>
        </w:r>
        <w:r w:rsidR="0061357C" w:rsidRPr="006A4819">
          <w:rPr>
            <w:noProof/>
            <w:webHidden/>
          </w:rPr>
          <w:fldChar w:fldCharType="end"/>
        </w:r>
      </w:hyperlink>
    </w:p>
    <w:p w:rsidR="0061357C" w:rsidRPr="006A4819" w:rsidRDefault="00BF588E" w:rsidP="006A4819">
      <w:pPr>
        <w:pStyle w:val="TOC3"/>
        <w:jc w:val="both"/>
        <w:rPr>
          <w:noProof/>
        </w:rPr>
      </w:pPr>
      <w:hyperlink w:anchor="_Toc418495447" w:history="1">
        <w:r w:rsidR="0061357C" w:rsidRPr="006A4819">
          <w:rPr>
            <w:rStyle w:val="Hyperlink"/>
            <w:b/>
            <w:noProof/>
          </w:rPr>
          <w:t>1.</w:t>
        </w:r>
        <w:r w:rsidR="0061357C" w:rsidRPr="006A4819">
          <w:rPr>
            <w:b/>
            <w:noProof/>
          </w:rPr>
          <w:tab/>
        </w:r>
        <w:r w:rsidR="0061357C" w:rsidRPr="006A4819">
          <w:rPr>
            <w:rStyle w:val="Hyperlink"/>
            <w:b/>
            <w:noProof/>
          </w:rPr>
          <w:t>The ESP Order is unlawful because it authorizes a nonbypassable generation-related rider, the P</w:t>
        </w:r>
        <w:r w:rsidR="00B268F7">
          <w:rPr>
            <w:rStyle w:val="Hyperlink"/>
            <w:b/>
            <w:noProof/>
          </w:rPr>
          <w:t xml:space="preserve">ower </w:t>
        </w:r>
        <w:r w:rsidR="0061357C" w:rsidRPr="006A4819">
          <w:rPr>
            <w:rStyle w:val="Hyperlink"/>
            <w:b/>
            <w:noProof/>
          </w:rPr>
          <w:t>S</w:t>
        </w:r>
        <w:r w:rsidR="00B268F7">
          <w:rPr>
            <w:rStyle w:val="Hyperlink"/>
            <w:b/>
            <w:noProof/>
          </w:rPr>
          <w:t>tabilization Rider ("PS</w:t>
        </w:r>
        <w:r w:rsidR="0061357C" w:rsidRPr="006A4819">
          <w:rPr>
            <w:rStyle w:val="Hyperlink"/>
            <w:b/>
            <w:noProof/>
          </w:rPr>
          <w:t>R</w:t>
        </w:r>
        <w:r w:rsidR="00B268F7">
          <w:rPr>
            <w:rStyle w:val="Hyperlink"/>
            <w:b/>
            <w:noProof/>
          </w:rPr>
          <w:t>"),</w:t>
        </w:r>
        <w:r w:rsidR="0061357C" w:rsidRPr="006A4819">
          <w:rPr>
            <w:rStyle w:val="Hyperlink"/>
            <w:b/>
            <w:noProof/>
          </w:rPr>
          <w:t xml:space="preserve"> which is not included in the list of permissive ESP provisions authorized by R.C. 4928.143(B)(2)</w:t>
        </w:r>
        <w:r w:rsidR="0061357C" w:rsidRPr="006A4819">
          <w:rPr>
            <w:noProof/>
            <w:webHidden/>
          </w:rPr>
          <w:tab/>
        </w:r>
        <w:r w:rsidR="0061357C" w:rsidRPr="006A4819">
          <w:rPr>
            <w:noProof/>
            <w:webHidden/>
          </w:rPr>
          <w:fldChar w:fldCharType="begin"/>
        </w:r>
        <w:r w:rsidR="0061357C" w:rsidRPr="006A4819">
          <w:rPr>
            <w:noProof/>
            <w:webHidden/>
          </w:rPr>
          <w:instrText xml:space="preserve"> PAGEREF _Toc418495447 \h </w:instrText>
        </w:r>
        <w:r w:rsidR="0061357C" w:rsidRPr="006A4819">
          <w:rPr>
            <w:noProof/>
            <w:webHidden/>
          </w:rPr>
        </w:r>
        <w:r w:rsidR="0061357C" w:rsidRPr="006A4819">
          <w:rPr>
            <w:noProof/>
            <w:webHidden/>
          </w:rPr>
          <w:fldChar w:fldCharType="separate"/>
        </w:r>
        <w:r w:rsidR="005A75F0">
          <w:rPr>
            <w:noProof/>
            <w:webHidden/>
          </w:rPr>
          <w:t>10</w:t>
        </w:r>
        <w:r w:rsidR="0061357C" w:rsidRPr="006A4819">
          <w:rPr>
            <w:noProof/>
            <w:webHidden/>
          </w:rPr>
          <w:fldChar w:fldCharType="end"/>
        </w:r>
      </w:hyperlink>
    </w:p>
    <w:p w:rsidR="0061357C" w:rsidRPr="006A4819" w:rsidRDefault="00BF588E" w:rsidP="006A4819">
      <w:pPr>
        <w:pStyle w:val="TOC3"/>
        <w:jc w:val="both"/>
        <w:rPr>
          <w:noProof/>
        </w:rPr>
      </w:pPr>
      <w:hyperlink w:anchor="_Toc418495448" w:history="1">
        <w:r w:rsidR="0061357C" w:rsidRPr="006A4819">
          <w:rPr>
            <w:rStyle w:val="Hyperlink"/>
            <w:rFonts w:eastAsia="Times New Roman" w:cs="Arial"/>
            <w:b/>
            <w:bCs/>
            <w:noProof/>
          </w:rPr>
          <w:t>2.</w:t>
        </w:r>
        <w:r w:rsidR="0061357C" w:rsidRPr="006A4819">
          <w:rPr>
            <w:b/>
            <w:noProof/>
          </w:rPr>
          <w:tab/>
        </w:r>
        <w:r w:rsidR="0061357C" w:rsidRPr="006A4819">
          <w:rPr>
            <w:rStyle w:val="Hyperlink"/>
            <w:rFonts w:eastAsia="Times New Roman" w:cs="Arial"/>
            <w:b/>
            <w:bCs/>
            <w:noProof/>
          </w:rPr>
          <w:t>The ESP Order is unlawful because it authorizes a procedure by which Duke may seek to increase its compensation for wholesale generation-related electric service, which exceeds the Commission’s jurisdiction under Ohio law</w:t>
        </w:r>
        <w:r w:rsidR="006A4819" w:rsidRPr="006A4819">
          <w:rPr>
            <w:noProof/>
            <w:webHidden/>
          </w:rPr>
          <w:t xml:space="preserve"> </w:t>
        </w:r>
        <w:r w:rsidR="006A4819" w:rsidRPr="006A4819">
          <w:rPr>
            <w:noProof/>
            <w:webHidden/>
          </w:rPr>
          <w:tab/>
        </w:r>
        <w:r w:rsidR="006A4819" w:rsidRPr="006A4819">
          <w:rPr>
            <w:noProof/>
            <w:webHidden/>
          </w:rPr>
          <w:tab/>
        </w:r>
        <w:r w:rsidR="0061357C" w:rsidRPr="006A4819">
          <w:rPr>
            <w:noProof/>
            <w:webHidden/>
          </w:rPr>
          <w:fldChar w:fldCharType="begin"/>
        </w:r>
        <w:r w:rsidR="0061357C" w:rsidRPr="006A4819">
          <w:rPr>
            <w:noProof/>
            <w:webHidden/>
          </w:rPr>
          <w:instrText xml:space="preserve"> PAGEREF _Toc418495448 \h </w:instrText>
        </w:r>
        <w:r w:rsidR="0061357C" w:rsidRPr="006A4819">
          <w:rPr>
            <w:noProof/>
            <w:webHidden/>
          </w:rPr>
        </w:r>
        <w:r w:rsidR="0061357C" w:rsidRPr="006A4819">
          <w:rPr>
            <w:noProof/>
            <w:webHidden/>
          </w:rPr>
          <w:fldChar w:fldCharType="separate"/>
        </w:r>
        <w:r w:rsidR="005A75F0">
          <w:rPr>
            <w:noProof/>
            <w:webHidden/>
          </w:rPr>
          <w:t>11</w:t>
        </w:r>
        <w:r w:rsidR="0061357C" w:rsidRPr="006A4819">
          <w:rPr>
            <w:noProof/>
            <w:webHidden/>
          </w:rPr>
          <w:fldChar w:fldCharType="end"/>
        </w:r>
      </w:hyperlink>
    </w:p>
    <w:p w:rsidR="0061357C" w:rsidRPr="006A4819" w:rsidRDefault="00BF588E" w:rsidP="006A4819">
      <w:pPr>
        <w:pStyle w:val="TOC3"/>
        <w:jc w:val="both"/>
        <w:rPr>
          <w:noProof/>
        </w:rPr>
      </w:pPr>
      <w:hyperlink w:anchor="_Toc418495449" w:history="1">
        <w:r w:rsidR="0061357C" w:rsidRPr="006A4819">
          <w:rPr>
            <w:rStyle w:val="Hyperlink"/>
            <w:b/>
            <w:noProof/>
          </w:rPr>
          <w:t>3.</w:t>
        </w:r>
        <w:r w:rsidR="0061357C" w:rsidRPr="006A4819">
          <w:rPr>
            <w:b/>
            <w:noProof/>
          </w:rPr>
          <w:tab/>
        </w:r>
        <w:r w:rsidR="0061357C" w:rsidRPr="006A4819">
          <w:rPr>
            <w:rStyle w:val="Hyperlink"/>
            <w:b/>
            <w:noProof/>
          </w:rPr>
          <w:t>The ESP Order is unlawful because authorization to establish a placeholder rider, the PSR, and to seek cost recovery in a future filing, violates the requirements of R.C. 4928.143(B), which limits the terms that may be authorized as terms of an ESP, and R.C. 4928.143(C)(1), which provides that the Commission may approve or modify and approve an ESP, including its pricing and all other terms and conditions, including any deferrals and any future recovery of deferrals, if the ESP is more favorable in the aggregate as compared to the expected results that would otherwise apply under R.C. 4928.142</w:t>
        </w:r>
        <w:r w:rsidR="0061357C" w:rsidRPr="006A4819">
          <w:rPr>
            <w:noProof/>
            <w:webHidden/>
          </w:rPr>
          <w:tab/>
        </w:r>
        <w:r w:rsidR="0061357C" w:rsidRPr="006A4819">
          <w:rPr>
            <w:noProof/>
            <w:webHidden/>
          </w:rPr>
          <w:fldChar w:fldCharType="begin"/>
        </w:r>
        <w:r w:rsidR="0061357C" w:rsidRPr="006A4819">
          <w:rPr>
            <w:noProof/>
            <w:webHidden/>
          </w:rPr>
          <w:instrText xml:space="preserve"> PAGEREF _Toc418495449 \h </w:instrText>
        </w:r>
        <w:r w:rsidR="0061357C" w:rsidRPr="006A4819">
          <w:rPr>
            <w:noProof/>
            <w:webHidden/>
          </w:rPr>
        </w:r>
        <w:r w:rsidR="0061357C" w:rsidRPr="006A4819">
          <w:rPr>
            <w:noProof/>
            <w:webHidden/>
          </w:rPr>
          <w:fldChar w:fldCharType="separate"/>
        </w:r>
        <w:r w:rsidR="005A75F0">
          <w:rPr>
            <w:noProof/>
            <w:webHidden/>
          </w:rPr>
          <w:t>13</w:t>
        </w:r>
        <w:r w:rsidR="0061357C" w:rsidRPr="006A4819">
          <w:rPr>
            <w:noProof/>
            <w:webHidden/>
          </w:rPr>
          <w:fldChar w:fldCharType="end"/>
        </w:r>
      </w:hyperlink>
    </w:p>
    <w:p w:rsidR="0061357C" w:rsidRPr="006A4819" w:rsidRDefault="00BF588E" w:rsidP="006A4819">
      <w:pPr>
        <w:pStyle w:val="TOC3"/>
        <w:jc w:val="both"/>
        <w:rPr>
          <w:noProof/>
        </w:rPr>
      </w:pPr>
      <w:hyperlink w:anchor="_Toc418495450" w:history="1">
        <w:r w:rsidR="0061357C" w:rsidRPr="006A4819">
          <w:rPr>
            <w:rStyle w:val="Hyperlink"/>
            <w:b/>
            <w:noProof/>
          </w:rPr>
          <w:t>4.</w:t>
        </w:r>
        <w:r w:rsidR="0061357C" w:rsidRPr="006A4819">
          <w:rPr>
            <w:b/>
            <w:noProof/>
          </w:rPr>
          <w:tab/>
        </w:r>
        <w:r w:rsidR="0061357C" w:rsidRPr="006A4819">
          <w:rPr>
            <w:rStyle w:val="Hyperlink"/>
            <w:b/>
            <w:noProof/>
          </w:rPr>
          <w:t>The ESP Order is unlawful and unreasonable because Duke did not satisfy the burden of proof to demonstrate that the PSR is a limitation on customer shopping and the Commission’s finding that the PSR is a limitation on customer shopping is not supported by the record as required by R.C. 4903.09 and is not supported by the manifest weight of the evidence</w:t>
        </w:r>
        <w:r w:rsidR="0061357C" w:rsidRPr="006A4819">
          <w:rPr>
            <w:noProof/>
            <w:webHidden/>
          </w:rPr>
          <w:tab/>
        </w:r>
        <w:r w:rsidR="0061357C" w:rsidRPr="006A4819">
          <w:rPr>
            <w:noProof/>
            <w:webHidden/>
          </w:rPr>
          <w:fldChar w:fldCharType="begin"/>
        </w:r>
        <w:r w:rsidR="0061357C" w:rsidRPr="006A4819">
          <w:rPr>
            <w:noProof/>
            <w:webHidden/>
          </w:rPr>
          <w:instrText xml:space="preserve"> PAGEREF _Toc418495450 \h </w:instrText>
        </w:r>
        <w:r w:rsidR="0061357C" w:rsidRPr="006A4819">
          <w:rPr>
            <w:noProof/>
            <w:webHidden/>
          </w:rPr>
        </w:r>
        <w:r w:rsidR="0061357C" w:rsidRPr="006A4819">
          <w:rPr>
            <w:noProof/>
            <w:webHidden/>
          </w:rPr>
          <w:fldChar w:fldCharType="separate"/>
        </w:r>
        <w:r w:rsidR="005A75F0">
          <w:rPr>
            <w:noProof/>
            <w:webHidden/>
          </w:rPr>
          <w:t>16</w:t>
        </w:r>
        <w:r w:rsidR="0061357C" w:rsidRPr="006A4819">
          <w:rPr>
            <w:noProof/>
            <w:webHidden/>
          </w:rPr>
          <w:fldChar w:fldCharType="end"/>
        </w:r>
      </w:hyperlink>
    </w:p>
    <w:p w:rsidR="0061357C" w:rsidRPr="006A4819" w:rsidRDefault="00BF588E" w:rsidP="006A4819">
      <w:pPr>
        <w:pStyle w:val="TOC3"/>
        <w:jc w:val="both"/>
        <w:rPr>
          <w:noProof/>
        </w:rPr>
      </w:pPr>
      <w:hyperlink w:anchor="_Toc418495451" w:history="1">
        <w:r w:rsidR="0061357C" w:rsidRPr="006A4819">
          <w:rPr>
            <w:rStyle w:val="Hyperlink"/>
            <w:b/>
            <w:noProof/>
          </w:rPr>
          <w:t>5.</w:t>
        </w:r>
        <w:r w:rsidR="0061357C" w:rsidRPr="006A4819">
          <w:rPr>
            <w:b/>
            <w:noProof/>
          </w:rPr>
          <w:tab/>
        </w:r>
        <w:r w:rsidR="0061357C" w:rsidRPr="006A4819">
          <w:rPr>
            <w:rStyle w:val="Hyperlink"/>
            <w:b/>
            <w:noProof/>
          </w:rPr>
          <w:t>The ESP Order is unlawful and unreasonable because the Commission’s finding that the PSR “in theory, has the effect of stabilizing or providing certainty regarding retail electric service” is not supported by the manifest weight of the evidence and is directly contradicted by the Commission’s finding that Duke failed to demonstrate that the PSR would promote rate stability</w:t>
        </w:r>
        <w:r w:rsidR="0061357C" w:rsidRPr="006A4819">
          <w:rPr>
            <w:noProof/>
            <w:webHidden/>
          </w:rPr>
          <w:tab/>
        </w:r>
        <w:r w:rsidR="0061357C" w:rsidRPr="006A4819">
          <w:rPr>
            <w:noProof/>
            <w:webHidden/>
          </w:rPr>
          <w:fldChar w:fldCharType="begin"/>
        </w:r>
        <w:r w:rsidR="0061357C" w:rsidRPr="006A4819">
          <w:rPr>
            <w:noProof/>
            <w:webHidden/>
          </w:rPr>
          <w:instrText xml:space="preserve"> PAGEREF _Toc418495451 \h </w:instrText>
        </w:r>
        <w:r w:rsidR="0061357C" w:rsidRPr="006A4819">
          <w:rPr>
            <w:noProof/>
            <w:webHidden/>
          </w:rPr>
        </w:r>
        <w:r w:rsidR="0061357C" w:rsidRPr="006A4819">
          <w:rPr>
            <w:noProof/>
            <w:webHidden/>
          </w:rPr>
          <w:fldChar w:fldCharType="separate"/>
        </w:r>
        <w:r w:rsidR="005A75F0">
          <w:rPr>
            <w:noProof/>
            <w:webHidden/>
          </w:rPr>
          <w:t>22</w:t>
        </w:r>
        <w:r w:rsidR="0061357C" w:rsidRPr="006A4819">
          <w:rPr>
            <w:noProof/>
            <w:webHidden/>
          </w:rPr>
          <w:fldChar w:fldCharType="end"/>
        </w:r>
      </w:hyperlink>
    </w:p>
    <w:p w:rsidR="0061357C" w:rsidRPr="006A4819" w:rsidRDefault="00BF588E" w:rsidP="006A4819">
      <w:pPr>
        <w:pStyle w:val="TOC3"/>
        <w:jc w:val="both"/>
        <w:rPr>
          <w:noProof/>
        </w:rPr>
      </w:pPr>
      <w:hyperlink w:anchor="_Toc418495452" w:history="1">
        <w:r w:rsidR="0061357C" w:rsidRPr="006A4819">
          <w:rPr>
            <w:rStyle w:val="Hyperlink"/>
            <w:b/>
            <w:noProof/>
          </w:rPr>
          <w:t>6.</w:t>
        </w:r>
        <w:r w:rsidR="0061357C" w:rsidRPr="006A4819">
          <w:rPr>
            <w:b/>
            <w:noProof/>
          </w:rPr>
          <w:tab/>
        </w:r>
        <w:r w:rsidR="0061357C" w:rsidRPr="006A4819">
          <w:rPr>
            <w:rStyle w:val="Hyperlink"/>
            <w:b/>
            <w:noProof/>
          </w:rPr>
          <w:t>The ESP Order is unlawful because the Commission authorized a placeholder rider, the PSR, by which Duke may seek to recover anticompetitive subsidies flowing from noncompetitive retail electric services to competitive wholesale electric service, or vice versa, in violation of R.C. 4928.02(H)</w:t>
        </w:r>
        <w:r w:rsidR="0061357C" w:rsidRPr="006A4819">
          <w:rPr>
            <w:noProof/>
            <w:webHidden/>
          </w:rPr>
          <w:tab/>
        </w:r>
        <w:r w:rsidR="0061357C" w:rsidRPr="006A4819">
          <w:rPr>
            <w:noProof/>
            <w:webHidden/>
          </w:rPr>
          <w:fldChar w:fldCharType="begin"/>
        </w:r>
        <w:r w:rsidR="0061357C" w:rsidRPr="006A4819">
          <w:rPr>
            <w:noProof/>
            <w:webHidden/>
          </w:rPr>
          <w:instrText xml:space="preserve"> PAGEREF _Toc418495452 \h </w:instrText>
        </w:r>
        <w:r w:rsidR="0061357C" w:rsidRPr="006A4819">
          <w:rPr>
            <w:noProof/>
            <w:webHidden/>
          </w:rPr>
        </w:r>
        <w:r w:rsidR="0061357C" w:rsidRPr="006A4819">
          <w:rPr>
            <w:noProof/>
            <w:webHidden/>
          </w:rPr>
          <w:fldChar w:fldCharType="separate"/>
        </w:r>
        <w:r w:rsidR="005A75F0">
          <w:rPr>
            <w:noProof/>
            <w:webHidden/>
          </w:rPr>
          <w:t>26</w:t>
        </w:r>
        <w:r w:rsidR="0061357C" w:rsidRPr="006A4819">
          <w:rPr>
            <w:noProof/>
            <w:webHidden/>
          </w:rPr>
          <w:fldChar w:fldCharType="end"/>
        </w:r>
      </w:hyperlink>
    </w:p>
    <w:p w:rsidR="0061357C" w:rsidRPr="006A4819" w:rsidRDefault="00BF588E" w:rsidP="006A4819">
      <w:pPr>
        <w:pStyle w:val="TOC3"/>
        <w:jc w:val="both"/>
        <w:rPr>
          <w:noProof/>
        </w:rPr>
      </w:pPr>
      <w:hyperlink w:anchor="_Toc418495453" w:history="1">
        <w:r w:rsidR="0061357C" w:rsidRPr="006A4819">
          <w:rPr>
            <w:rStyle w:val="Hyperlink"/>
            <w:rFonts w:eastAsia="Times New Roman" w:cs="Arial"/>
            <w:b/>
            <w:bCs/>
            <w:noProof/>
          </w:rPr>
          <w:t>7.</w:t>
        </w:r>
        <w:r w:rsidR="0061357C" w:rsidRPr="006A4819">
          <w:rPr>
            <w:b/>
            <w:noProof/>
          </w:rPr>
          <w:tab/>
        </w:r>
        <w:r w:rsidR="0061357C" w:rsidRPr="006A4819">
          <w:rPr>
            <w:rStyle w:val="Hyperlink"/>
            <w:rFonts w:eastAsia="Times New Roman" w:cs="Arial"/>
            <w:b/>
            <w:bCs/>
            <w:noProof/>
          </w:rPr>
          <w:t>The ESP Order is unlawful and unreasonable because the Commission authorized a placeholder rider, the PSR, by which Duke may seek to recover generation-related revenue through a distribution-like rate in violation of R.C. 4928.02(H)</w:t>
        </w:r>
        <w:r w:rsidR="0061357C" w:rsidRPr="006A4819">
          <w:rPr>
            <w:noProof/>
            <w:webHidden/>
          </w:rPr>
          <w:tab/>
        </w:r>
        <w:r w:rsidR="0061357C" w:rsidRPr="006A4819">
          <w:rPr>
            <w:noProof/>
            <w:webHidden/>
          </w:rPr>
          <w:fldChar w:fldCharType="begin"/>
        </w:r>
        <w:r w:rsidR="0061357C" w:rsidRPr="006A4819">
          <w:rPr>
            <w:noProof/>
            <w:webHidden/>
          </w:rPr>
          <w:instrText xml:space="preserve"> PAGEREF _Toc418495453 \h </w:instrText>
        </w:r>
        <w:r w:rsidR="0061357C" w:rsidRPr="006A4819">
          <w:rPr>
            <w:noProof/>
            <w:webHidden/>
          </w:rPr>
        </w:r>
        <w:r w:rsidR="0061357C" w:rsidRPr="006A4819">
          <w:rPr>
            <w:noProof/>
            <w:webHidden/>
          </w:rPr>
          <w:fldChar w:fldCharType="separate"/>
        </w:r>
        <w:r w:rsidR="005A75F0">
          <w:rPr>
            <w:noProof/>
            <w:webHidden/>
          </w:rPr>
          <w:t>26</w:t>
        </w:r>
        <w:r w:rsidR="0061357C" w:rsidRPr="006A4819">
          <w:rPr>
            <w:noProof/>
            <w:webHidden/>
          </w:rPr>
          <w:fldChar w:fldCharType="end"/>
        </w:r>
      </w:hyperlink>
    </w:p>
    <w:p w:rsidR="0061357C" w:rsidRPr="006A4819" w:rsidRDefault="00BF588E" w:rsidP="006A4819">
      <w:pPr>
        <w:pStyle w:val="TOC3"/>
        <w:jc w:val="both"/>
        <w:rPr>
          <w:noProof/>
        </w:rPr>
      </w:pPr>
      <w:hyperlink w:anchor="_Toc418495454" w:history="1">
        <w:r w:rsidR="0061357C" w:rsidRPr="006A4819">
          <w:rPr>
            <w:rStyle w:val="Hyperlink"/>
            <w:rFonts w:eastAsia="Times New Roman" w:cs="Arial"/>
            <w:b/>
            <w:bCs/>
            <w:noProof/>
          </w:rPr>
          <w:t>8.</w:t>
        </w:r>
        <w:r w:rsidR="0061357C" w:rsidRPr="006A4819">
          <w:rPr>
            <w:b/>
            <w:noProof/>
          </w:rPr>
          <w:tab/>
        </w:r>
        <w:r w:rsidR="0061357C" w:rsidRPr="006A4819">
          <w:rPr>
            <w:rStyle w:val="Hyperlink"/>
            <w:rFonts w:eastAsia="Times New Roman" w:cs="Arial"/>
            <w:b/>
            <w:bCs/>
            <w:noProof/>
          </w:rPr>
          <w:t>The ESP Order is unlawful and unreasonable because the Commission, by authorizing a placeholder rider, the PSR, by which Duke may seek to recover generation-related revenue through a distribution-like rider, failed to respect its own prior decision denying authorization of the recovery of generation-related costs through a distribution-like rider and failed to adequately explain why it was departing from its prior decision, and the new course is not lawful or reasonable</w:t>
        </w:r>
        <w:r w:rsidR="0061357C" w:rsidRPr="006A4819">
          <w:rPr>
            <w:noProof/>
            <w:webHidden/>
          </w:rPr>
          <w:tab/>
        </w:r>
        <w:r w:rsidR="0061357C" w:rsidRPr="006A4819">
          <w:rPr>
            <w:noProof/>
            <w:webHidden/>
          </w:rPr>
          <w:fldChar w:fldCharType="begin"/>
        </w:r>
        <w:r w:rsidR="0061357C" w:rsidRPr="006A4819">
          <w:rPr>
            <w:noProof/>
            <w:webHidden/>
          </w:rPr>
          <w:instrText xml:space="preserve"> PAGEREF _Toc418495454 \h </w:instrText>
        </w:r>
        <w:r w:rsidR="0061357C" w:rsidRPr="006A4819">
          <w:rPr>
            <w:noProof/>
            <w:webHidden/>
          </w:rPr>
        </w:r>
        <w:r w:rsidR="0061357C" w:rsidRPr="006A4819">
          <w:rPr>
            <w:noProof/>
            <w:webHidden/>
          </w:rPr>
          <w:fldChar w:fldCharType="separate"/>
        </w:r>
        <w:r w:rsidR="005A75F0">
          <w:rPr>
            <w:noProof/>
            <w:webHidden/>
          </w:rPr>
          <w:t>26</w:t>
        </w:r>
        <w:r w:rsidR="0061357C" w:rsidRPr="006A4819">
          <w:rPr>
            <w:noProof/>
            <w:webHidden/>
          </w:rPr>
          <w:fldChar w:fldCharType="end"/>
        </w:r>
      </w:hyperlink>
    </w:p>
    <w:p w:rsidR="0061357C" w:rsidRPr="006A4819" w:rsidRDefault="00BF588E" w:rsidP="006A4819">
      <w:pPr>
        <w:pStyle w:val="TOC3"/>
        <w:jc w:val="both"/>
        <w:rPr>
          <w:noProof/>
        </w:rPr>
      </w:pPr>
      <w:hyperlink w:anchor="_Toc418495455" w:history="1">
        <w:r w:rsidR="0061357C" w:rsidRPr="006A4819">
          <w:rPr>
            <w:rStyle w:val="Hyperlink"/>
            <w:rFonts w:eastAsia="Calibri"/>
            <w:b/>
            <w:noProof/>
          </w:rPr>
          <w:t>9.</w:t>
        </w:r>
        <w:r w:rsidR="0061357C" w:rsidRPr="006A4819">
          <w:rPr>
            <w:b/>
            <w:noProof/>
          </w:rPr>
          <w:tab/>
        </w:r>
        <w:r w:rsidR="0061357C" w:rsidRPr="006A4819">
          <w:rPr>
            <w:rStyle w:val="Hyperlink"/>
            <w:rFonts w:eastAsia="Calibri"/>
            <w:b/>
            <w:noProof/>
          </w:rPr>
          <w:t>The ESP Order is unlawful and unreasonable because the Commission authorized the PSR as a placeholder rider by which Duke may seek to recover generation-related transition revenue or its equivalent in violation of R.C. 4928.38 and the bar to recovery of transition revenue or its equivalent resulting from Duke’s Electric Transition Plan Stipulation</w:t>
        </w:r>
        <w:r w:rsidR="0061357C" w:rsidRPr="006A4819">
          <w:rPr>
            <w:noProof/>
            <w:webHidden/>
          </w:rPr>
          <w:tab/>
        </w:r>
        <w:r w:rsidR="0061357C" w:rsidRPr="006A4819">
          <w:rPr>
            <w:noProof/>
            <w:webHidden/>
          </w:rPr>
          <w:fldChar w:fldCharType="begin"/>
        </w:r>
        <w:r w:rsidR="0061357C" w:rsidRPr="006A4819">
          <w:rPr>
            <w:noProof/>
            <w:webHidden/>
          </w:rPr>
          <w:instrText xml:space="preserve"> PAGEREF _Toc418495455 \h </w:instrText>
        </w:r>
        <w:r w:rsidR="0061357C" w:rsidRPr="006A4819">
          <w:rPr>
            <w:noProof/>
            <w:webHidden/>
          </w:rPr>
        </w:r>
        <w:r w:rsidR="0061357C" w:rsidRPr="006A4819">
          <w:rPr>
            <w:noProof/>
            <w:webHidden/>
          </w:rPr>
          <w:fldChar w:fldCharType="separate"/>
        </w:r>
        <w:r w:rsidR="005A75F0">
          <w:rPr>
            <w:noProof/>
            <w:webHidden/>
          </w:rPr>
          <w:t>30</w:t>
        </w:r>
        <w:r w:rsidR="0061357C" w:rsidRPr="006A4819">
          <w:rPr>
            <w:noProof/>
            <w:webHidden/>
          </w:rPr>
          <w:fldChar w:fldCharType="end"/>
        </w:r>
      </w:hyperlink>
    </w:p>
    <w:p w:rsidR="0061357C" w:rsidRPr="006A4819" w:rsidRDefault="00BF588E" w:rsidP="006A4819">
      <w:pPr>
        <w:pStyle w:val="TOC3"/>
        <w:jc w:val="both"/>
        <w:rPr>
          <w:noProof/>
        </w:rPr>
      </w:pPr>
      <w:hyperlink w:anchor="_Toc418495456" w:history="1">
        <w:r w:rsidR="0061357C" w:rsidRPr="006A4819">
          <w:rPr>
            <w:rStyle w:val="Hyperlink"/>
            <w:b/>
            <w:noProof/>
          </w:rPr>
          <w:t>10.</w:t>
        </w:r>
        <w:r w:rsidR="0061357C" w:rsidRPr="006A4819">
          <w:rPr>
            <w:b/>
            <w:noProof/>
          </w:rPr>
          <w:tab/>
        </w:r>
        <w:r w:rsidR="0061357C" w:rsidRPr="006A4819">
          <w:rPr>
            <w:rStyle w:val="Hyperlink"/>
            <w:b/>
            <w:noProof/>
          </w:rPr>
          <w:t>The ESP Order is unlawful and unreasonable because, under the Supremacy Clause of the United States Constitution, the Commission is preempted by the Federal Power Act from authorizing a rider such as the PSR that may authorize Duke to increase its compensation for wholesale generation-related services in an amount exceeding that authorized by the Federal Energy Regulatory Commission</w:t>
        </w:r>
        <w:r w:rsidR="006A4819">
          <w:rPr>
            <w:noProof/>
            <w:webHidden/>
          </w:rPr>
          <w:tab/>
        </w:r>
        <w:r w:rsidR="0061357C" w:rsidRPr="006A4819">
          <w:rPr>
            <w:noProof/>
            <w:webHidden/>
          </w:rPr>
          <w:fldChar w:fldCharType="begin"/>
        </w:r>
        <w:r w:rsidR="0061357C" w:rsidRPr="006A4819">
          <w:rPr>
            <w:noProof/>
            <w:webHidden/>
          </w:rPr>
          <w:instrText xml:space="preserve"> PAGEREF _Toc418495456 \h </w:instrText>
        </w:r>
        <w:r w:rsidR="0061357C" w:rsidRPr="006A4819">
          <w:rPr>
            <w:noProof/>
            <w:webHidden/>
          </w:rPr>
        </w:r>
        <w:r w:rsidR="0061357C" w:rsidRPr="006A4819">
          <w:rPr>
            <w:noProof/>
            <w:webHidden/>
          </w:rPr>
          <w:fldChar w:fldCharType="separate"/>
        </w:r>
        <w:r w:rsidR="005A75F0">
          <w:rPr>
            <w:noProof/>
            <w:webHidden/>
          </w:rPr>
          <w:t>35</w:t>
        </w:r>
        <w:r w:rsidR="0061357C" w:rsidRPr="006A4819">
          <w:rPr>
            <w:noProof/>
            <w:webHidden/>
          </w:rPr>
          <w:fldChar w:fldCharType="end"/>
        </w:r>
      </w:hyperlink>
    </w:p>
    <w:p w:rsidR="0061357C" w:rsidRPr="006A4819" w:rsidRDefault="00BF588E" w:rsidP="006A4819">
      <w:pPr>
        <w:pStyle w:val="TOC3"/>
        <w:jc w:val="both"/>
        <w:rPr>
          <w:noProof/>
        </w:rPr>
      </w:pPr>
      <w:hyperlink w:anchor="_Toc418495457" w:history="1">
        <w:r w:rsidR="0061357C" w:rsidRPr="006A4819">
          <w:rPr>
            <w:rStyle w:val="Hyperlink"/>
            <w:b/>
            <w:noProof/>
          </w:rPr>
          <w:t>11.</w:t>
        </w:r>
        <w:r w:rsidR="0061357C" w:rsidRPr="006A4819">
          <w:rPr>
            <w:noProof/>
          </w:rPr>
          <w:tab/>
        </w:r>
        <w:r w:rsidR="0061357C" w:rsidRPr="006A4819">
          <w:rPr>
            <w:rStyle w:val="Hyperlink"/>
            <w:b/>
            <w:noProof/>
          </w:rPr>
          <w:t>The ESP Order is unlawful and unreasonable because the Commission engaged in rulemaking without complying with the requirements of Chapter 119 of the Revised Code as a means of authorizing an application process that would permit Duke to seek to recover above-market wholesale generation-related costs</w:t>
        </w:r>
        <w:r w:rsidR="006A4819">
          <w:rPr>
            <w:noProof/>
            <w:webHidden/>
          </w:rPr>
          <w:tab/>
        </w:r>
        <w:r w:rsidR="0061357C" w:rsidRPr="006A4819">
          <w:rPr>
            <w:noProof/>
            <w:webHidden/>
          </w:rPr>
          <w:fldChar w:fldCharType="begin"/>
        </w:r>
        <w:r w:rsidR="0061357C" w:rsidRPr="006A4819">
          <w:rPr>
            <w:noProof/>
            <w:webHidden/>
          </w:rPr>
          <w:instrText xml:space="preserve"> PAGEREF _Toc418495457 \h </w:instrText>
        </w:r>
        <w:r w:rsidR="0061357C" w:rsidRPr="006A4819">
          <w:rPr>
            <w:noProof/>
            <w:webHidden/>
          </w:rPr>
        </w:r>
        <w:r w:rsidR="0061357C" w:rsidRPr="006A4819">
          <w:rPr>
            <w:noProof/>
            <w:webHidden/>
          </w:rPr>
          <w:fldChar w:fldCharType="separate"/>
        </w:r>
        <w:r w:rsidR="005A75F0">
          <w:rPr>
            <w:noProof/>
            <w:webHidden/>
          </w:rPr>
          <w:t>44</w:t>
        </w:r>
        <w:r w:rsidR="0061357C" w:rsidRPr="006A4819">
          <w:rPr>
            <w:noProof/>
            <w:webHidden/>
          </w:rPr>
          <w:fldChar w:fldCharType="end"/>
        </w:r>
      </w:hyperlink>
    </w:p>
    <w:p w:rsidR="0061357C" w:rsidRDefault="00BF588E" w:rsidP="006A4819">
      <w:pPr>
        <w:pStyle w:val="TOC3"/>
        <w:jc w:val="both"/>
        <w:rPr>
          <w:noProof/>
        </w:rPr>
      </w:pPr>
      <w:hyperlink w:anchor="_Toc418495458" w:history="1">
        <w:r w:rsidR="0061357C" w:rsidRPr="006A4819">
          <w:rPr>
            <w:rStyle w:val="Hyperlink"/>
            <w:b/>
            <w:noProof/>
          </w:rPr>
          <w:t>12.</w:t>
        </w:r>
        <w:r w:rsidR="0061357C" w:rsidRPr="006A4819">
          <w:rPr>
            <w:b/>
            <w:noProof/>
          </w:rPr>
          <w:tab/>
        </w:r>
        <w:r w:rsidR="0061357C" w:rsidRPr="006A4819">
          <w:rPr>
            <w:rStyle w:val="Hyperlink"/>
            <w:b/>
            <w:noProof/>
          </w:rPr>
          <w:t>The ESP Order is unlawful and unreasonable because the Commission identified “factors” and a review process to address a future filing by Duke if it seeks to increase its compensation for generation-related services that are void for vagueness under the Due Process Clauses of the United States Constitution and the Ohio Constitution</w:t>
        </w:r>
        <w:r w:rsidR="0061357C">
          <w:rPr>
            <w:noProof/>
            <w:webHidden/>
          </w:rPr>
          <w:tab/>
        </w:r>
        <w:r w:rsidR="0061357C">
          <w:rPr>
            <w:noProof/>
            <w:webHidden/>
          </w:rPr>
          <w:fldChar w:fldCharType="begin"/>
        </w:r>
        <w:r w:rsidR="0061357C">
          <w:rPr>
            <w:noProof/>
            <w:webHidden/>
          </w:rPr>
          <w:instrText xml:space="preserve"> PAGEREF _Toc418495458 \h </w:instrText>
        </w:r>
        <w:r w:rsidR="0061357C">
          <w:rPr>
            <w:noProof/>
            <w:webHidden/>
          </w:rPr>
        </w:r>
        <w:r w:rsidR="0061357C">
          <w:rPr>
            <w:noProof/>
            <w:webHidden/>
          </w:rPr>
          <w:fldChar w:fldCharType="separate"/>
        </w:r>
        <w:r w:rsidR="005A75F0">
          <w:rPr>
            <w:noProof/>
            <w:webHidden/>
          </w:rPr>
          <w:t>51</w:t>
        </w:r>
        <w:r w:rsidR="0061357C">
          <w:rPr>
            <w:noProof/>
            <w:webHidden/>
          </w:rPr>
          <w:fldChar w:fldCharType="end"/>
        </w:r>
      </w:hyperlink>
    </w:p>
    <w:p w:rsidR="0061357C" w:rsidRDefault="00BF588E" w:rsidP="006A4819">
      <w:pPr>
        <w:pStyle w:val="TOC3"/>
        <w:jc w:val="both"/>
        <w:rPr>
          <w:noProof/>
        </w:rPr>
      </w:pPr>
      <w:hyperlink w:anchor="_Toc418495459" w:history="1">
        <w:r w:rsidR="0061357C" w:rsidRPr="006A4819">
          <w:rPr>
            <w:rStyle w:val="Hyperlink"/>
            <w:b/>
            <w:noProof/>
            <w:u w:val="none"/>
          </w:rPr>
          <w:t>13.</w:t>
        </w:r>
        <w:r w:rsidR="0061357C" w:rsidRPr="006A4819">
          <w:rPr>
            <w:b/>
            <w:noProof/>
          </w:rPr>
          <w:tab/>
        </w:r>
        <w:r w:rsidR="0061357C" w:rsidRPr="006A4819">
          <w:rPr>
            <w:rStyle w:val="Hyperlink"/>
            <w:b/>
            <w:noProof/>
            <w:u w:val="none"/>
          </w:rPr>
          <w:t xml:space="preserve">The Commission should grant rehearing and clarify (1) that the “factors” that it will consider in a “future filing” if Duke seeks to increase its compensation for generation-related services include a requirement for Duke to propose a “least-cost” hedge and a requirement that the hedge be secured by a competitive bidding process and (2) that Duke will be required to demonstrate that the resulting ESP, if the Commission approves generation cost recovery in a future filing, will satisfy the requirement of R.C. 4928.143(C)(1), which provides that the Commission may approve or modify and approve an ESP, including its pricing and all other terms and conditions, </w:t>
        </w:r>
        <w:r w:rsidR="0061357C" w:rsidRPr="006A4819">
          <w:rPr>
            <w:rStyle w:val="Hyperlink"/>
            <w:b/>
            <w:noProof/>
            <w:u w:val="none"/>
          </w:rPr>
          <w:lastRenderedPageBreak/>
          <w:t>including any deferrals and any future recovery of deferrals, if the ESP is more favorable in the aggregate as compared to the expected results that would otherwise apply under R.C. 4928.142</w:t>
        </w:r>
        <w:r w:rsidR="0061357C">
          <w:rPr>
            <w:noProof/>
            <w:webHidden/>
          </w:rPr>
          <w:tab/>
        </w:r>
        <w:r w:rsidR="0061357C">
          <w:rPr>
            <w:noProof/>
            <w:webHidden/>
          </w:rPr>
          <w:fldChar w:fldCharType="begin"/>
        </w:r>
        <w:r w:rsidR="0061357C">
          <w:rPr>
            <w:noProof/>
            <w:webHidden/>
          </w:rPr>
          <w:instrText xml:space="preserve"> PAGEREF _Toc418495459 \h </w:instrText>
        </w:r>
        <w:r w:rsidR="0061357C">
          <w:rPr>
            <w:noProof/>
            <w:webHidden/>
          </w:rPr>
        </w:r>
        <w:r w:rsidR="0061357C">
          <w:rPr>
            <w:noProof/>
            <w:webHidden/>
          </w:rPr>
          <w:fldChar w:fldCharType="separate"/>
        </w:r>
        <w:r w:rsidR="005A75F0">
          <w:rPr>
            <w:noProof/>
            <w:webHidden/>
          </w:rPr>
          <w:t>54</w:t>
        </w:r>
        <w:r w:rsidR="0061357C">
          <w:rPr>
            <w:noProof/>
            <w:webHidden/>
          </w:rPr>
          <w:fldChar w:fldCharType="end"/>
        </w:r>
      </w:hyperlink>
    </w:p>
    <w:p w:rsidR="00F82265" w:rsidRDefault="00F82265" w:rsidP="00F82265">
      <w:pPr>
        <w:pStyle w:val="Heading4"/>
        <w:tabs>
          <w:tab w:val="right" w:leader="dot" w:pos="9360"/>
        </w:tabs>
        <w:rPr>
          <w:b w:val="0"/>
          <w:i w:val="0"/>
        </w:rPr>
      </w:pPr>
      <w:r w:rsidRPr="00397775">
        <w:t xml:space="preserve">The Commission should impose a requirement that the </w:t>
      </w:r>
      <w:r>
        <w:t>“</w:t>
      </w:r>
      <w:r w:rsidRPr="00397775">
        <w:t>hedge</w:t>
      </w:r>
      <w:r>
        <w:t>”</w:t>
      </w:r>
      <w:r w:rsidRPr="00397775">
        <w:t xml:space="preserve"> be “least-cost”</w:t>
      </w:r>
      <w:r w:rsidRPr="00F82265">
        <w:rPr>
          <w:b w:val="0"/>
          <w:i w:val="0"/>
        </w:rPr>
        <w:tab/>
        <w:t>55</w:t>
      </w:r>
    </w:p>
    <w:p w:rsidR="00F82265" w:rsidRDefault="00F82265" w:rsidP="00F82265">
      <w:pPr>
        <w:pStyle w:val="Heading4"/>
        <w:tabs>
          <w:tab w:val="right" w:leader="dot" w:pos="9360"/>
        </w:tabs>
        <w:rPr>
          <w:b w:val="0"/>
          <w:i w:val="0"/>
        </w:rPr>
      </w:pPr>
      <w:r w:rsidRPr="00397775">
        <w:t xml:space="preserve">The Commission should require that </w:t>
      </w:r>
      <w:r>
        <w:t>Duke</w:t>
      </w:r>
      <w:r w:rsidRPr="00397775">
        <w:t xml:space="preserve"> </w:t>
      </w:r>
      <w:r>
        <w:t xml:space="preserve">seek </w:t>
      </w:r>
      <w:r w:rsidRPr="00397775">
        <w:t>compe</w:t>
      </w:r>
      <w:r>
        <w:t>titive</w:t>
      </w:r>
      <w:r w:rsidRPr="00397775">
        <w:t xml:space="preserve"> bid</w:t>
      </w:r>
      <w:r>
        <w:t>s for</w:t>
      </w:r>
      <w:r w:rsidRPr="00397775">
        <w:t xml:space="preserve"> the </w:t>
      </w:r>
      <w:r>
        <w:t>“</w:t>
      </w:r>
      <w:r w:rsidRPr="00397775">
        <w:t>hedge</w:t>
      </w:r>
      <w:r>
        <w:t>”</w:t>
      </w:r>
      <w:r>
        <w:rPr>
          <w:b w:val="0"/>
          <w:i w:val="0"/>
        </w:rPr>
        <w:tab/>
        <w:t>56</w:t>
      </w:r>
    </w:p>
    <w:p w:rsidR="00B40B7A" w:rsidRPr="00397775" w:rsidRDefault="00B40B7A" w:rsidP="00B40B7A">
      <w:pPr>
        <w:pStyle w:val="Heading4"/>
        <w:tabs>
          <w:tab w:val="right" w:leader="dot" w:pos="9360"/>
        </w:tabs>
      </w:pPr>
      <w:r w:rsidRPr="00397775">
        <w:t xml:space="preserve">The Commission should require </w:t>
      </w:r>
      <w:r>
        <w:t>Duke</w:t>
      </w:r>
      <w:r w:rsidRPr="00397775">
        <w:t xml:space="preserve"> to demonstrate that the ESP, if the Commission approves recovery of generation-related costs under the </w:t>
      </w:r>
      <w:r>
        <w:t>PSR</w:t>
      </w:r>
      <w:r w:rsidRPr="00397775">
        <w:t>, passes the ESP v. MRO Test</w:t>
      </w:r>
      <w:r>
        <w:rPr>
          <w:b w:val="0"/>
          <w:i w:val="0"/>
        </w:rPr>
        <w:tab/>
        <w:t>57</w:t>
      </w:r>
    </w:p>
    <w:p w:rsidR="0061357C" w:rsidRDefault="00BF588E" w:rsidP="006A4819">
      <w:pPr>
        <w:pStyle w:val="TOC1"/>
        <w:jc w:val="both"/>
        <w:rPr>
          <w:noProof/>
        </w:rPr>
      </w:pPr>
      <w:hyperlink w:anchor="_Toc418495460" w:history="1">
        <w:r w:rsidR="0061357C" w:rsidRPr="006A4819">
          <w:rPr>
            <w:rStyle w:val="Hyperlink"/>
            <w:rFonts w:ascii="Arial Bold" w:hAnsi="Arial Bold"/>
            <w:b/>
            <w:caps/>
            <w:noProof/>
          </w:rPr>
          <w:t>III.</w:t>
        </w:r>
        <w:r w:rsidR="0061357C" w:rsidRPr="006A4819">
          <w:rPr>
            <w:rFonts w:ascii="Arial Bold" w:hAnsi="Arial Bold"/>
            <w:b/>
            <w:caps/>
            <w:noProof/>
          </w:rPr>
          <w:tab/>
        </w:r>
        <w:r w:rsidR="0061357C" w:rsidRPr="006A4819">
          <w:rPr>
            <w:rStyle w:val="Hyperlink"/>
            <w:rFonts w:ascii="Arial Bold" w:hAnsi="Arial Bold"/>
            <w:b/>
            <w:caps/>
            <w:noProof/>
          </w:rPr>
          <w:t>Conclusion</w:t>
        </w:r>
        <w:r w:rsidR="0061357C">
          <w:rPr>
            <w:noProof/>
            <w:webHidden/>
          </w:rPr>
          <w:tab/>
        </w:r>
        <w:r w:rsidR="0061357C">
          <w:rPr>
            <w:noProof/>
            <w:webHidden/>
          </w:rPr>
          <w:fldChar w:fldCharType="begin"/>
        </w:r>
        <w:r w:rsidR="0061357C">
          <w:rPr>
            <w:noProof/>
            <w:webHidden/>
          </w:rPr>
          <w:instrText xml:space="preserve"> PAGEREF _Toc418495460 \h </w:instrText>
        </w:r>
        <w:r w:rsidR="0061357C">
          <w:rPr>
            <w:noProof/>
            <w:webHidden/>
          </w:rPr>
        </w:r>
        <w:r w:rsidR="0061357C">
          <w:rPr>
            <w:noProof/>
            <w:webHidden/>
          </w:rPr>
          <w:fldChar w:fldCharType="separate"/>
        </w:r>
        <w:r w:rsidR="005A75F0">
          <w:rPr>
            <w:noProof/>
            <w:webHidden/>
          </w:rPr>
          <w:t>58</w:t>
        </w:r>
        <w:r w:rsidR="0061357C">
          <w:rPr>
            <w:noProof/>
            <w:webHidden/>
          </w:rPr>
          <w:fldChar w:fldCharType="end"/>
        </w:r>
      </w:hyperlink>
    </w:p>
    <w:p w:rsidR="0061357C" w:rsidRPr="00F53EE0" w:rsidRDefault="0061357C" w:rsidP="00F53EE0">
      <w:pPr>
        <w:keepNext/>
        <w:keepLines/>
        <w:spacing w:before="480" w:after="240"/>
        <w:jc w:val="center"/>
        <w:rPr>
          <w:rFonts w:cs="Arial"/>
          <w:b/>
          <w:caps/>
          <w:u w:val="single"/>
        </w:rPr>
      </w:pPr>
      <w:r>
        <w:rPr>
          <w:rFonts w:cs="Arial"/>
          <w:b/>
          <w:caps/>
          <w:u w:val="single"/>
        </w:rPr>
        <w:fldChar w:fldCharType="end"/>
      </w:r>
    </w:p>
    <w:bookmarkEnd w:id="3"/>
    <w:p w:rsidR="00F53EE0" w:rsidRPr="00F53EE0" w:rsidRDefault="00F53EE0" w:rsidP="00F53EE0">
      <w:pPr>
        <w:spacing w:after="240"/>
        <w:jc w:val="right"/>
        <w:rPr>
          <w:rFonts w:eastAsia="Times New Roman" w:cs="Arial"/>
          <w:b/>
          <w:szCs w:val="20"/>
        </w:rPr>
        <w:sectPr w:rsidR="00F53EE0" w:rsidRPr="00F53EE0" w:rsidSect="006A4819">
          <w:headerReference w:type="default"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docGrid w:linePitch="326"/>
        </w:sectPr>
      </w:pPr>
    </w:p>
    <w:p w:rsidR="00F53EE0" w:rsidRPr="00F53EE0" w:rsidRDefault="00F53EE0" w:rsidP="00F53EE0">
      <w:pPr>
        <w:jc w:val="center"/>
        <w:rPr>
          <w:rFonts w:eastAsia="Times New Roman" w:cs="Arial"/>
          <w:b/>
          <w:smallCaps/>
          <w:sz w:val="28"/>
        </w:rPr>
      </w:pPr>
      <w:r w:rsidRPr="00F53EE0">
        <w:rPr>
          <w:rFonts w:eastAsia="Times New Roman" w:cs="Arial"/>
          <w:b/>
          <w:smallCaps/>
          <w:sz w:val="28"/>
        </w:rPr>
        <w:lastRenderedPageBreak/>
        <w:t>Before</w:t>
      </w:r>
    </w:p>
    <w:p w:rsidR="00F53EE0" w:rsidRPr="00F53EE0" w:rsidRDefault="00F53EE0" w:rsidP="00F53EE0">
      <w:pPr>
        <w:spacing w:after="120"/>
        <w:jc w:val="center"/>
        <w:rPr>
          <w:rFonts w:eastAsia="Times New Roman" w:cs="Arial"/>
          <w:b/>
          <w:smallCaps/>
          <w:sz w:val="28"/>
        </w:rPr>
      </w:pPr>
      <w:r w:rsidRPr="00F53EE0">
        <w:rPr>
          <w:rFonts w:eastAsia="Times New Roman" w:cs="Arial"/>
          <w:b/>
          <w:smallCaps/>
          <w:sz w:val="28"/>
        </w:rPr>
        <w:t>The Public Utilities Commission of Ohio</w:t>
      </w:r>
    </w:p>
    <w:p w:rsidR="00F53EE0" w:rsidRPr="00F53EE0" w:rsidRDefault="00F53EE0" w:rsidP="00F53EE0">
      <w:pPr>
        <w:autoSpaceDE w:val="0"/>
        <w:autoSpaceDN w:val="0"/>
        <w:adjustRightInd w:val="0"/>
        <w:spacing w:after="120"/>
        <w:rPr>
          <w:rFonts w:eastAsia="Calibri" w:cs="Arial"/>
        </w:rPr>
      </w:pPr>
    </w:p>
    <w:tbl>
      <w:tblPr>
        <w:tblW w:w="8340" w:type="dxa"/>
        <w:jc w:val="center"/>
        <w:tblLook w:val="04A0" w:firstRow="1" w:lastRow="0" w:firstColumn="1" w:lastColumn="0" w:noHBand="0" w:noVBand="1"/>
      </w:tblPr>
      <w:tblGrid>
        <w:gridCol w:w="3990"/>
        <w:gridCol w:w="360"/>
        <w:gridCol w:w="3990"/>
      </w:tblGrid>
      <w:tr w:rsidR="00F53EE0" w:rsidRPr="00F53EE0" w:rsidTr="006D6B8E">
        <w:trPr>
          <w:jc w:val="center"/>
        </w:trPr>
        <w:tc>
          <w:tcPr>
            <w:tcW w:w="3990" w:type="dxa"/>
          </w:tcPr>
          <w:p w:rsidR="00F53EE0" w:rsidRPr="00F53EE0" w:rsidRDefault="00F53EE0" w:rsidP="00F53EE0">
            <w:pPr>
              <w:spacing w:after="120"/>
              <w:rPr>
                <w:rFonts w:eastAsia="Times New Roman" w:cs="Arial"/>
              </w:rPr>
            </w:pPr>
            <w:r w:rsidRPr="00F53EE0">
              <w:rPr>
                <w:rFonts w:eastAsia="Times New Roman" w:cs="Arial"/>
              </w:rPr>
              <w:t>In the Matter of the Application of Duke Energy Ohio for Authority to Establish a Standard Service Offer Pursuant to Section 4928.143, Revised Code, in the Form of an Electric Security Plan, Accounting Modifications and Tariffs for Generation Service.</w:t>
            </w:r>
          </w:p>
          <w:p w:rsidR="00F53EE0" w:rsidRPr="00F53EE0" w:rsidRDefault="00F53EE0" w:rsidP="00F53EE0">
            <w:pPr>
              <w:spacing w:after="120"/>
              <w:rPr>
                <w:rFonts w:eastAsia="Times New Roman" w:cs="Arial"/>
              </w:rPr>
            </w:pPr>
          </w:p>
        </w:tc>
        <w:tc>
          <w:tcPr>
            <w:tcW w:w="360" w:type="dxa"/>
          </w:tcPr>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tc>
        <w:tc>
          <w:tcPr>
            <w:tcW w:w="3990" w:type="dxa"/>
          </w:tcPr>
          <w:p w:rsidR="00F53EE0" w:rsidRPr="00F53EE0" w:rsidRDefault="00F53EE0" w:rsidP="00F53EE0">
            <w:pPr>
              <w:widowControl w:val="0"/>
              <w:suppressLineNumbers/>
              <w:tabs>
                <w:tab w:val="left" w:pos="4770"/>
              </w:tabs>
              <w:spacing w:after="120"/>
              <w:jc w:val="both"/>
              <w:rPr>
                <w:rFonts w:eastAsia="Times New Roman" w:cs="Arial"/>
              </w:rPr>
            </w:pPr>
          </w:p>
          <w:p w:rsidR="00F53EE0" w:rsidRPr="00F53EE0" w:rsidRDefault="00F53EE0" w:rsidP="00F53EE0">
            <w:pPr>
              <w:widowControl w:val="0"/>
              <w:suppressLineNumbers/>
              <w:tabs>
                <w:tab w:val="left" w:pos="4770"/>
              </w:tabs>
              <w:spacing w:after="120"/>
              <w:jc w:val="both"/>
              <w:rPr>
                <w:rFonts w:eastAsia="Times New Roman" w:cs="Arial"/>
              </w:rPr>
            </w:pPr>
          </w:p>
          <w:p w:rsidR="00F53EE0" w:rsidRPr="00F53EE0" w:rsidRDefault="00F53EE0" w:rsidP="00F53EE0">
            <w:pPr>
              <w:widowControl w:val="0"/>
              <w:suppressLineNumbers/>
              <w:tabs>
                <w:tab w:val="left" w:pos="4770"/>
              </w:tabs>
              <w:spacing w:after="120"/>
              <w:jc w:val="both"/>
              <w:rPr>
                <w:rFonts w:eastAsia="Times New Roman" w:cs="Arial"/>
              </w:rPr>
            </w:pP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Case No. 14-841-EL-SSO</w:t>
            </w:r>
          </w:p>
        </w:tc>
      </w:tr>
      <w:tr w:rsidR="00F53EE0" w:rsidRPr="00F53EE0" w:rsidTr="006D6B8E">
        <w:trPr>
          <w:jc w:val="center"/>
        </w:trPr>
        <w:tc>
          <w:tcPr>
            <w:tcW w:w="3990" w:type="dxa"/>
          </w:tcPr>
          <w:p w:rsidR="00F53EE0" w:rsidRPr="00F53EE0" w:rsidRDefault="00F53EE0" w:rsidP="00F53EE0">
            <w:pPr>
              <w:spacing w:after="120"/>
              <w:rPr>
                <w:rFonts w:eastAsia="Times New Roman" w:cs="Arial"/>
              </w:rPr>
            </w:pPr>
            <w:r w:rsidRPr="00F53EE0">
              <w:rPr>
                <w:rFonts w:eastAsia="Times New Roman" w:cs="Arial"/>
              </w:rPr>
              <w:t>In the Matter of the Application of Duke Energy Ohio for Authority to Amend its Certified Supplier Tariff, P.U.C.O. No. 20.</w:t>
            </w:r>
          </w:p>
        </w:tc>
        <w:tc>
          <w:tcPr>
            <w:tcW w:w="360" w:type="dxa"/>
          </w:tcPr>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w:t>
            </w:r>
          </w:p>
        </w:tc>
        <w:tc>
          <w:tcPr>
            <w:tcW w:w="3990" w:type="dxa"/>
          </w:tcPr>
          <w:p w:rsidR="00F53EE0" w:rsidRPr="00F53EE0" w:rsidRDefault="00F53EE0" w:rsidP="00F53EE0">
            <w:pPr>
              <w:widowControl w:val="0"/>
              <w:suppressLineNumbers/>
              <w:tabs>
                <w:tab w:val="left" w:pos="4770"/>
              </w:tabs>
              <w:spacing w:after="120"/>
              <w:jc w:val="both"/>
              <w:rPr>
                <w:rFonts w:eastAsia="Times New Roman" w:cs="Arial"/>
              </w:rPr>
            </w:pPr>
          </w:p>
          <w:p w:rsidR="00F53EE0" w:rsidRPr="00F53EE0" w:rsidRDefault="00F53EE0" w:rsidP="00F53EE0">
            <w:pPr>
              <w:widowControl w:val="0"/>
              <w:suppressLineNumbers/>
              <w:tabs>
                <w:tab w:val="left" w:pos="4770"/>
              </w:tabs>
              <w:spacing w:after="120"/>
              <w:jc w:val="both"/>
              <w:rPr>
                <w:rFonts w:eastAsia="Times New Roman" w:cs="Arial"/>
              </w:rPr>
            </w:pPr>
            <w:r w:rsidRPr="00F53EE0">
              <w:rPr>
                <w:rFonts w:eastAsia="Times New Roman" w:cs="Arial"/>
              </w:rPr>
              <w:t>Case No. 14-842-EL-ATA</w:t>
            </w:r>
          </w:p>
        </w:tc>
      </w:tr>
    </w:tbl>
    <w:p w:rsidR="00F53EE0" w:rsidRPr="00F53EE0" w:rsidRDefault="00F53EE0" w:rsidP="00F53EE0">
      <w:pPr>
        <w:tabs>
          <w:tab w:val="left" w:pos="5040"/>
        </w:tabs>
        <w:jc w:val="both"/>
        <w:rPr>
          <w:rFonts w:eastAsia="Times New Roman" w:cs="Arial"/>
        </w:rPr>
      </w:pPr>
    </w:p>
    <w:p w:rsidR="00F53EE0" w:rsidRPr="00F53EE0" w:rsidRDefault="00F53EE0" w:rsidP="00F53EE0">
      <w:pPr>
        <w:tabs>
          <w:tab w:val="left" w:pos="5040"/>
        </w:tabs>
        <w:jc w:val="both"/>
        <w:rPr>
          <w:rFonts w:eastAsia="Times New Roman" w:cs="Arial"/>
          <w:b/>
        </w:rPr>
      </w:pPr>
      <w:r w:rsidRPr="00F53EE0">
        <w:rPr>
          <w:rFonts w:eastAsia="Times New Roman" w:cs="Arial"/>
          <w:b/>
        </w:rPr>
        <w:t>______________________________________________________________________</w:t>
      </w:r>
    </w:p>
    <w:p w:rsidR="00F53EE0" w:rsidRPr="00F53EE0" w:rsidRDefault="00F53EE0" w:rsidP="00F53EE0">
      <w:pPr>
        <w:tabs>
          <w:tab w:val="left" w:pos="5040"/>
        </w:tabs>
        <w:jc w:val="both"/>
        <w:rPr>
          <w:rFonts w:eastAsia="Times New Roman" w:cs="Arial"/>
          <w:b/>
        </w:rPr>
      </w:pPr>
    </w:p>
    <w:p w:rsidR="00F53EE0" w:rsidRDefault="00F53EE0" w:rsidP="00F53EE0">
      <w:pPr>
        <w:jc w:val="center"/>
        <w:rPr>
          <w:rFonts w:eastAsia="Calibri" w:cs="Arial"/>
          <w:b/>
          <w:caps/>
          <w:sz w:val="28"/>
          <w:szCs w:val="28"/>
        </w:rPr>
      </w:pPr>
      <w:r>
        <w:rPr>
          <w:rFonts w:eastAsia="Calibri" w:cs="Arial"/>
          <w:b/>
          <w:caps/>
          <w:sz w:val="28"/>
          <w:szCs w:val="28"/>
        </w:rPr>
        <w:t>application for Rehearing</w:t>
      </w:r>
      <w:r w:rsidRPr="00F53EE0">
        <w:rPr>
          <w:rFonts w:eastAsia="Calibri" w:cs="Arial"/>
          <w:b/>
          <w:caps/>
          <w:sz w:val="28"/>
          <w:szCs w:val="28"/>
        </w:rPr>
        <w:t xml:space="preserve"> OF </w:t>
      </w:r>
    </w:p>
    <w:p w:rsidR="00F53EE0" w:rsidRPr="00F53EE0" w:rsidRDefault="00F53EE0" w:rsidP="00F53EE0">
      <w:pPr>
        <w:jc w:val="center"/>
        <w:rPr>
          <w:rFonts w:eastAsia="Calibri" w:cs="Arial"/>
          <w:b/>
          <w:caps/>
          <w:sz w:val="28"/>
          <w:szCs w:val="28"/>
        </w:rPr>
      </w:pPr>
      <w:r w:rsidRPr="00F53EE0">
        <w:rPr>
          <w:rFonts w:eastAsia="Calibri" w:cs="Arial"/>
          <w:b/>
          <w:caps/>
          <w:sz w:val="28"/>
          <w:szCs w:val="28"/>
        </w:rPr>
        <w:t>Industrial Energy Users-Ohio</w:t>
      </w:r>
    </w:p>
    <w:p w:rsidR="00F53EE0" w:rsidRPr="00F53EE0" w:rsidRDefault="00F53EE0" w:rsidP="00F53EE0">
      <w:pPr>
        <w:jc w:val="center"/>
        <w:rPr>
          <w:rFonts w:eastAsia="Calibri" w:cs="Arial"/>
          <w:b/>
          <w:caps/>
        </w:rPr>
      </w:pPr>
      <w:r w:rsidRPr="00F53EE0">
        <w:rPr>
          <w:rFonts w:eastAsia="Calibri" w:cs="Arial"/>
          <w:b/>
          <w:caps/>
        </w:rPr>
        <w:t>______________________________________________________________________</w:t>
      </w:r>
    </w:p>
    <w:p w:rsidR="00F53EE0" w:rsidRPr="00F53EE0" w:rsidRDefault="00F53EE0" w:rsidP="00F53EE0">
      <w:pPr>
        <w:spacing w:line="480" w:lineRule="auto"/>
        <w:rPr>
          <w:rFonts w:eastAsia="Calibri" w:cs="Arial"/>
          <w:b/>
        </w:rPr>
      </w:pPr>
    </w:p>
    <w:p w:rsidR="00F53EE0" w:rsidRPr="00077C6E" w:rsidRDefault="00F53EE0" w:rsidP="00F53EE0">
      <w:pPr>
        <w:spacing w:line="480" w:lineRule="auto"/>
        <w:ind w:firstLine="720"/>
        <w:jc w:val="both"/>
        <w:rPr>
          <w:rFonts w:eastAsia="Times New Roman" w:cs="Arial"/>
        </w:rPr>
      </w:pPr>
      <w:r w:rsidRPr="00077C6E">
        <w:rPr>
          <w:rFonts w:eastAsia="Times New Roman" w:cs="Arial"/>
          <w:bCs/>
        </w:rPr>
        <w:t xml:space="preserve">Pursuant to R.C. 4903.10 and Rule 4901-1-35, Ohio Administrative Code (“OAC”), Industrial Energy Users-Ohio (“IEU-Ohio”) respectfully submits this Application for Rehearing of the Opinion and Order approving an Electric Security Plan (“ESP”) for </w:t>
      </w:r>
      <w:r>
        <w:rPr>
          <w:rFonts w:eastAsia="Times New Roman" w:cs="Arial"/>
          <w:bCs/>
        </w:rPr>
        <w:t>Duke Energy Ohio, Inc.</w:t>
      </w:r>
      <w:r w:rsidRPr="00077C6E">
        <w:rPr>
          <w:rFonts w:eastAsia="Times New Roman" w:cs="Arial"/>
          <w:bCs/>
        </w:rPr>
        <w:t xml:space="preserve"> (“</w:t>
      </w:r>
      <w:r>
        <w:rPr>
          <w:rFonts w:eastAsia="Times New Roman" w:cs="Arial"/>
          <w:bCs/>
        </w:rPr>
        <w:t>Duke</w:t>
      </w:r>
      <w:r w:rsidRPr="00077C6E">
        <w:rPr>
          <w:rFonts w:eastAsia="Times New Roman" w:cs="Arial"/>
          <w:bCs/>
        </w:rPr>
        <w:t xml:space="preserve">”) issued by the Public Utilities Commission of Ohio (“Commission”) on </w:t>
      </w:r>
      <w:r>
        <w:rPr>
          <w:rFonts w:eastAsia="Times New Roman" w:cs="Arial"/>
          <w:bCs/>
        </w:rPr>
        <w:t xml:space="preserve">April 2, </w:t>
      </w:r>
      <w:r w:rsidRPr="00077C6E">
        <w:rPr>
          <w:rFonts w:eastAsia="Times New Roman" w:cs="Arial"/>
          <w:bCs/>
        </w:rPr>
        <w:t xml:space="preserve">2015 (“ESP Order”) </w:t>
      </w:r>
      <w:r w:rsidRPr="00077C6E">
        <w:rPr>
          <w:rFonts w:eastAsia="Times New Roman" w:cs="Arial"/>
        </w:rPr>
        <w:t>for the following reasons:</w:t>
      </w:r>
    </w:p>
    <w:p w:rsidR="00F53EE0" w:rsidRPr="00B268F7" w:rsidRDefault="00F53EE0" w:rsidP="00B268F7">
      <w:pPr>
        <w:pStyle w:val="Heading3"/>
        <w:numPr>
          <w:ilvl w:val="2"/>
          <w:numId w:val="11"/>
        </w:numPr>
        <w:tabs>
          <w:tab w:val="clear" w:pos="2340"/>
          <w:tab w:val="num" w:pos="1440"/>
        </w:tabs>
        <w:ind w:left="1440"/>
      </w:pPr>
      <w:bookmarkStart w:id="4" w:name="_Toc418495432"/>
      <w:r w:rsidRPr="00B268F7">
        <w:t xml:space="preserve">The ESP Order is unlawful because it authorizes a nonbypassable generation-related rider, the Power Stabilization Rider (“PSR”), which is not included </w:t>
      </w:r>
      <w:r w:rsidR="001A392A" w:rsidRPr="00B268F7">
        <w:t>i</w:t>
      </w:r>
      <w:r w:rsidRPr="00B268F7">
        <w:t xml:space="preserve">n the list of permissive ESP provisions </w:t>
      </w:r>
      <w:r w:rsidR="00B71771" w:rsidRPr="00B268F7">
        <w:t>authorized by</w:t>
      </w:r>
      <w:r w:rsidRPr="00B268F7">
        <w:t xml:space="preserve"> </w:t>
      </w:r>
      <w:r w:rsidR="00054FE8" w:rsidRPr="00B268F7">
        <w:t>R.C.</w:t>
      </w:r>
      <w:r w:rsidRPr="00B268F7">
        <w:t xml:space="preserve"> 4928.143(B)(2).</w:t>
      </w:r>
      <w:bookmarkEnd w:id="4"/>
    </w:p>
    <w:p w:rsidR="00F53EE0" w:rsidRPr="00077C6E" w:rsidRDefault="00F53EE0" w:rsidP="00F53EE0">
      <w:pPr>
        <w:numPr>
          <w:ilvl w:val="2"/>
          <w:numId w:val="1"/>
        </w:numPr>
        <w:tabs>
          <w:tab w:val="num" w:pos="1440"/>
        </w:tabs>
        <w:spacing w:after="240"/>
        <w:ind w:left="1440"/>
        <w:jc w:val="both"/>
        <w:outlineLvl w:val="2"/>
        <w:rPr>
          <w:rFonts w:eastAsia="Times New Roman" w:cs="Arial"/>
          <w:b/>
          <w:bCs/>
          <w:szCs w:val="26"/>
        </w:rPr>
      </w:pPr>
      <w:bookmarkStart w:id="5" w:name="_Toc418495433"/>
      <w:r w:rsidRPr="00077C6E">
        <w:rPr>
          <w:rFonts w:eastAsia="Times New Roman" w:cs="Arial"/>
          <w:b/>
          <w:bCs/>
          <w:szCs w:val="26"/>
        </w:rPr>
        <w:t xml:space="preserve">The ESP Order is unlawful because it authorizes </w:t>
      </w:r>
      <w:r>
        <w:rPr>
          <w:rFonts w:eastAsia="Times New Roman" w:cs="Arial"/>
          <w:b/>
          <w:bCs/>
          <w:szCs w:val="26"/>
        </w:rPr>
        <w:t>a procedure by which Duke</w:t>
      </w:r>
      <w:r w:rsidRPr="00077C6E">
        <w:rPr>
          <w:rFonts w:eastAsia="Times New Roman" w:cs="Arial"/>
          <w:b/>
          <w:bCs/>
          <w:szCs w:val="26"/>
        </w:rPr>
        <w:t xml:space="preserve"> </w:t>
      </w:r>
      <w:r>
        <w:rPr>
          <w:rFonts w:eastAsia="Times New Roman" w:cs="Arial"/>
          <w:b/>
          <w:bCs/>
          <w:szCs w:val="26"/>
        </w:rPr>
        <w:t>may seek to</w:t>
      </w:r>
      <w:r w:rsidRPr="00077C6E">
        <w:rPr>
          <w:rFonts w:eastAsia="Times New Roman" w:cs="Arial"/>
          <w:b/>
          <w:bCs/>
          <w:szCs w:val="26"/>
        </w:rPr>
        <w:t xml:space="preserve"> increase its compensation for wholesale </w:t>
      </w:r>
      <w:r w:rsidRPr="00077C6E">
        <w:rPr>
          <w:rFonts w:eastAsia="Times New Roman" w:cs="Arial"/>
          <w:b/>
          <w:bCs/>
          <w:szCs w:val="26"/>
        </w:rPr>
        <w:lastRenderedPageBreak/>
        <w:t>generation-related electric service, which exceeds the Commission’s jurisdiction under Ohio law.</w:t>
      </w:r>
      <w:bookmarkEnd w:id="5"/>
    </w:p>
    <w:p w:rsidR="007907D9" w:rsidRPr="007861C9" w:rsidRDefault="007907D9" w:rsidP="007907D9">
      <w:pPr>
        <w:pStyle w:val="Heading3"/>
        <w:tabs>
          <w:tab w:val="clear" w:pos="2160"/>
        </w:tabs>
        <w:ind w:left="1440"/>
      </w:pPr>
      <w:bookmarkStart w:id="6" w:name="_Toc418495434"/>
      <w:r w:rsidRPr="007861C9">
        <w:t xml:space="preserve">The ESP Order is unlawful because authorization to establish a placeholder rider, the </w:t>
      </w:r>
      <w:r>
        <w:t>PSR</w:t>
      </w:r>
      <w:r w:rsidRPr="007861C9">
        <w:t>, and to seek cost recovery in a future filing, violates the requirements of R.C. 4928.143(B), which limits the terms that may be authorized as terms of an ESP, and R.C. 4928.143(C)(1), which provides that the Commission may approve or modify and approve an ESP, including its pricing and all other terms and conditions, including any deferrals and any future recovery of deferrals, if the ESP is more favorable in the aggregate as compared to the expected results that would otherwise apply under R.C. 4928.142</w:t>
      </w:r>
      <w:r w:rsidR="00B71771">
        <w:t>.</w:t>
      </w:r>
      <w:bookmarkEnd w:id="6"/>
    </w:p>
    <w:p w:rsidR="00F53EE0" w:rsidRPr="007907D9" w:rsidRDefault="00F53EE0" w:rsidP="00F53EE0">
      <w:pPr>
        <w:numPr>
          <w:ilvl w:val="2"/>
          <w:numId w:val="1"/>
        </w:numPr>
        <w:tabs>
          <w:tab w:val="num" w:pos="1440"/>
        </w:tabs>
        <w:spacing w:after="240"/>
        <w:ind w:left="1440"/>
        <w:jc w:val="both"/>
        <w:outlineLvl w:val="2"/>
        <w:rPr>
          <w:rFonts w:eastAsia="Times New Roman" w:cs="Arial"/>
          <w:b/>
          <w:bCs/>
          <w:szCs w:val="26"/>
        </w:rPr>
      </w:pPr>
      <w:bookmarkStart w:id="7" w:name="_Toc418495435"/>
      <w:r w:rsidRPr="00077C6E">
        <w:rPr>
          <w:rFonts w:eastAsia="Times New Roman" w:cs="Arial"/>
          <w:b/>
          <w:bCs/>
          <w:szCs w:val="26"/>
        </w:rPr>
        <w:t xml:space="preserve">The </w:t>
      </w:r>
      <w:r w:rsidR="004160F1" w:rsidRPr="00762EAA">
        <w:rPr>
          <w:b/>
        </w:rPr>
        <w:t>ESP Order is unlawful and unreasonable because Duke did not satisfy the burden of proof to demonstrate that the PSR is a limitation on customer shopping and the Commission’s finding that the PSR is a limitation on customer shopping is not supported by the record as required by R.C. 4903.09 and is not supported by the manifest weight of the evidence</w:t>
      </w:r>
      <w:r w:rsidR="00B71771">
        <w:rPr>
          <w:b/>
        </w:rPr>
        <w:t>.</w:t>
      </w:r>
      <w:bookmarkEnd w:id="7"/>
    </w:p>
    <w:p w:rsidR="00F53EE0" w:rsidRPr="007907D9" w:rsidRDefault="00F53EE0" w:rsidP="00F53EE0">
      <w:pPr>
        <w:numPr>
          <w:ilvl w:val="2"/>
          <w:numId w:val="1"/>
        </w:numPr>
        <w:tabs>
          <w:tab w:val="num" w:pos="1440"/>
        </w:tabs>
        <w:spacing w:after="240"/>
        <w:ind w:left="1440"/>
        <w:jc w:val="both"/>
        <w:outlineLvl w:val="2"/>
        <w:rPr>
          <w:rFonts w:eastAsia="Times New Roman" w:cs="Arial"/>
          <w:b/>
          <w:bCs/>
          <w:szCs w:val="26"/>
        </w:rPr>
      </w:pPr>
      <w:bookmarkStart w:id="8" w:name="_Toc418495436"/>
      <w:r w:rsidRPr="00077C6E">
        <w:rPr>
          <w:rFonts w:eastAsia="Times New Roman" w:cs="Arial"/>
          <w:b/>
          <w:bCs/>
          <w:szCs w:val="26"/>
        </w:rPr>
        <w:t xml:space="preserve">The ESP Order </w:t>
      </w:r>
      <w:r w:rsidR="007907D9" w:rsidRPr="007907D9">
        <w:rPr>
          <w:b/>
        </w:rPr>
        <w:t>is unlawful and unreasonable because the Commission’s finding that the PSR “in theory, has the effect of stabilizing or providing certainty regarding retail electric service” is not supported by the manifest weight of the evidence and is directly contradicted by the Commission’s finding that Duke failed to demonstrate that the PSR would promote rate stability</w:t>
      </w:r>
      <w:r w:rsidR="00B71771">
        <w:rPr>
          <w:b/>
        </w:rPr>
        <w:t>.</w:t>
      </w:r>
      <w:bookmarkEnd w:id="8"/>
    </w:p>
    <w:p w:rsidR="00F53EE0" w:rsidRPr="00077C6E" w:rsidRDefault="00F53EE0" w:rsidP="00F53EE0">
      <w:pPr>
        <w:numPr>
          <w:ilvl w:val="2"/>
          <w:numId w:val="1"/>
        </w:numPr>
        <w:tabs>
          <w:tab w:val="num" w:pos="1440"/>
        </w:tabs>
        <w:spacing w:after="240"/>
        <w:ind w:left="1440"/>
        <w:jc w:val="both"/>
        <w:outlineLvl w:val="2"/>
        <w:rPr>
          <w:rFonts w:eastAsia="Times New Roman" w:cs="Arial"/>
          <w:b/>
          <w:bCs/>
          <w:szCs w:val="26"/>
        </w:rPr>
      </w:pPr>
      <w:bookmarkStart w:id="9" w:name="_Toc418495437"/>
      <w:r w:rsidRPr="00077C6E">
        <w:rPr>
          <w:rFonts w:eastAsia="Times New Roman" w:cs="Arial"/>
          <w:b/>
          <w:bCs/>
          <w:szCs w:val="26"/>
        </w:rPr>
        <w:t xml:space="preserve">The ESP Order is unlawful because the Commission authorized a placeholder rider, the </w:t>
      </w:r>
      <w:r>
        <w:rPr>
          <w:rFonts w:eastAsia="Times New Roman" w:cs="Arial"/>
          <w:b/>
          <w:bCs/>
          <w:szCs w:val="26"/>
        </w:rPr>
        <w:t>PSR</w:t>
      </w:r>
      <w:r w:rsidRPr="00077C6E">
        <w:rPr>
          <w:rFonts w:eastAsia="Times New Roman" w:cs="Arial"/>
          <w:b/>
          <w:bCs/>
          <w:szCs w:val="26"/>
        </w:rPr>
        <w:t xml:space="preserve">, by which </w:t>
      </w:r>
      <w:r>
        <w:rPr>
          <w:rFonts w:eastAsia="Times New Roman" w:cs="Arial"/>
          <w:b/>
          <w:bCs/>
          <w:szCs w:val="26"/>
        </w:rPr>
        <w:t>Duke</w:t>
      </w:r>
      <w:r w:rsidRPr="00077C6E">
        <w:rPr>
          <w:rFonts w:eastAsia="Times New Roman" w:cs="Arial"/>
          <w:b/>
          <w:bCs/>
          <w:szCs w:val="26"/>
        </w:rPr>
        <w:t xml:space="preserve"> </w:t>
      </w:r>
      <w:r>
        <w:rPr>
          <w:rFonts w:eastAsia="Times New Roman" w:cs="Arial"/>
          <w:b/>
          <w:bCs/>
          <w:szCs w:val="26"/>
        </w:rPr>
        <w:t>may seek to recover</w:t>
      </w:r>
      <w:r w:rsidRPr="00077C6E">
        <w:rPr>
          <w:rFonts w:eastAsia="Times New Roman" w:cs="Arial"/>
          <w:b/>
          <w:bCs/>
          <w:szCs w:val="26"/>
        </w:rPr>
        <w:t xml:space="preserve"> anticompetitive subsidies flowing from noncompetitive retail electric services to competitive wholesale electric service</w:t>
      </w:r>
      <w:r w:rsidR="00C84A0A">
        <w:rPr>
          <w:rFonts w:eastAsia="Times New Roman" w:cs="Arial"/>
          <w:b/>
          <w:bCs/>
          <w:szCs w:val="26"/>
        </w:rPr>
        <w:t>, or vice versa,</w:t>
      </w:r>
      <w:r w:rsidRPr="00077C6E">
        <w:rPr>
          <w:rFonts w:eastAsia="Times New Roman" w:cs="Arial"/>
          <w:b/>
          <w:bCs/>
          <w:szCs w:val="26"/>
        </w:rPr>
        <w:t xml:space="preserve"> in violation of R.C. 4928.02(H).</w:t>
      </w:r>
      <w:bookmarkEnd w:id="9"/>
    </w:p>
    <w:p w:rsidR="00F53EE0" w:rsidRPr="00077C6E" w:rsidRDefault="00F53EE0" w:rsidP="00F53EE0">
      <w:pPr>
        <w:numPr>
          <w:ilvl w:val="2"/>
          <w:numId w:val="1"/>
        </w:numPr>
        <w:tabs>
          <w:tab w:val="num" w:pos="1440"/>
        </w:tabs>
        <w:spacing w:after="240"/>
        <w:ind w:left="1440"/>
        <w:jc w:val="both"/>
        <w:outlineLvl w:val="2"/>
        <w:rPr>
          <w:rFonts w:eastAsia="Times New Roman" w:cs="Arial"/>
          <w:b/>
          <w:bCs/>
          <w:szCs w:val="26"/>
        </w:rPr>
      </w:pPr>
      <w:bookmarkStart w:id="10" w:name="_Toc418495438"/>
      <w:r w:rsidRPr="00077C6E">
        <w:rPr>
          <w:rFonts w:eastAsia="Times New Roman" w:cs="Arial"/>
          <w:b/>
          <w:bCs/>
          <w:szCs w:val="26"/>
        </w:rPr>
        <w:t>The ESP Order is unlawful and unreasonable because the Commission authorized a placeholder rider</w:t>
      </w:r>
      <w:r>
        <w:rPr>
          <w:rFonts w:eastAsia="Times New Roman" w:cs="Arial"/>
          <w:b/>
          <w:bCs/>
          <w:szCs w:val="26"/>
        </w:rPr>
        <w:t>, the PSR,</w:t>
      </w:r>
      <w:r w:rsidRPr="00077C6E">
        <w:rPr>
          <w:rFonts w:eastAsia="Times New Roman" w:cs="Arial"/>
          <w:b/>
          <w:bCs/>
          <w:szCs w:val="26"/>
        </w:rPr>
        <w:t xml:space="preserve"> by which </w:t>
      </w:r>
      <w:r>
        <w:rPr>
          <w:rFonts w:eastAsia="Times New Roman" w:cs="Arial"/>
          <w:b/>
          <w:bCs/>
          <w:szCs w:val="26"/>
        </w:rPr>
        <w:t>Duke</w:t>
      </w:r>
      <w:r w:rsidRPr="00077C6E">
        <w:rPr>
          <w:rFonts w:eastAsia="Times New Roman" w:cs="Arial"/>
          <w:b/>
          <w:bCs/>
          <w:szCs w:val="26"/>
        </w:rPr>
        <w:t xml:space="preserve"> may seek to recover generation-related revenue through a distribution-like rate in violation of R.C. 4928.02(H).</w:t>
      </w:r>
      <w:bookmarkEnd w:id="10"/>
    </w:p>
    <w:p w:rsidR="00F53EE0" w:rsidRPr="00077C6E" w:rsidRDefault="00F53EE0" w:rsidP="00F53EE0">
      <w:pPr>
        <w:numPr>
          <w:ilvl w:val="2"/>
          <w:numId w:val="1"/>
        </w:numPr>
        <w:tabs>
          <w:tab w:val="num" w:pos="1440"/>
        </w:tabs>
        <w:spacing w:after="240"/>
        <w:ind w:left="1440"/>
        <w:jc w:val="both"/>
        <w:outlineLvl w:val="2"/>
        <w:rPr>
          <w:rFonts w:eastAsia="Times New Roman" w:cs="Arial"/>
          <w:b/>
          <w:bCs/>
          <w:szCs w:val="26"/>
        </w:rPr>
      </w:pPr>
      <w:bookmarkStart w:id="11" w:name="_Toc418495439"/>
      <w:r w:rsidRPr="00077C6E">
        <w:rPr>
          <w:rFonts w:eastAsia="Times New Roman" w:cs="Arial"/>
          <w:b/>
          <w:bCs/>
          <w:szCs w:val="26"/>
        </w:rPr>
        <w:t>The ESP Order is unlawful and unreasonable because the Commission</w:t>
      </w:r>
      <w:r>
        <w:rPr>
          <w:rFonts w:eastAsia="Times New Roman" w:cs="Arial"/>
          <w:b/>
          <w:bCs/>
          <w:szCs w:val="26"/>
        </w:rPr>
        <w:t>,</w:t>
      </w:r>
      <w:r w:rsidRPr="00077C6E">
        <w:rPr>
          <w:rFonts w:eastAsia="Times New Roman" w:cs="Arial"/>
          <w:b/>
          <w:bCs/>
          <w:szCs w:val="26"/>
        </w:rPr>
        <w:t xml:space="preserve"> by authorizing a placeholder rider</w:t>
      </w:r>
      <w:r>
        <w:rPr>
          <w:rFonts w:eastAsia="Times New Roman" w:cs="Arial"/>
          <w:b/>
          <w:bCs/>
          <w:szCs w:val="26"/>
        </w:rPr>
        <w:t>, the PSR</w:t>
      </w:r>
      <w:r w:rsidR="005A486C">
        <w:rPr>
          <w:rFonts w:eastAsia="Times New Roman" w:cs="Arial"/>
          <w:b/>
          <w:bCs/>
          <w:szCs w:val="26"/>
        </w:rPr>
        <w:t>,</w:t>
      </w:r>
      <w:r w:rsidRPr="00077C6E">
        <w:rPr>
          <w:rFonts w:eastAsia="Times New Roman" w:cs="Arial"/>
          <w:b/>
          <w:bCs/>
          <w:szCs w:val="26"/>
        </w:rPr>
        <w:t xml:space="preserve"> by which </w:t>
      </w:r>
      <w:r>
        <w:rPr>
          <w:rFonts w:eastAsia="Times New Roman" w:cs="Arial"/>
          <w:b/>
          <w:bCs/>
          <w:szCs w:val="26"/>
        </w:rPr>
        <w:t>Duke</w:t>
      </w:r>
      <w:r w:rsidRPr="00077C6E">
        <w:rPr>
          <w:rFonts w:eastAsia="Times New Roman" w:cs="Arial"/>
          <w:b/>
          <w:bCs/>
          <w:szCs w:val="26"/>
        </w:rPr>
        <w:t xml:space="preserve"> may seek to recover generation-related revenue through a distribution-like rider</w:t>
      </w:r>
      <w:r>
        <w:rPr>
          <w:rFonts w:eastAsia="Times New Roman" w:cs="Arial"/>
          <w:b/>
          <w:bCs/>
          <w:szCs w:val="26"/>
        </w:rPr>
        <w:t>,</w:t>
      </w:r>
      <w:r w:rsidRPr="00077C6E">
        <w:rPr>
          <w:rFonts w:eastAsia="Times New Roman" w:cs="Arial"/>
          <w:b/>
          <w:bCs/>
          <w:szCs w:val="26"/>
        </w:rPr>
        <w:t xml:space="preserve"> failed to respect its own prior decision denying authorization of the recovery of generation-related costs th</w:t>
      </w:r>
      <w:r w:rsidR="009E4A78">
        <w:rPr>
          <w:rFonts w:eastAsia="Times New Roman" w:cs="Arial"/>
          <w:b/>
          <w:bCs/>
          <w:szCs w:val="26"/>
        </w:rPr>
        <w:t>rough a distribution-like rider and</w:t>
      </w:r>
      <w:r w:rsidRPr="00077C6E">
        <w:rPr>
          <w:rFonts w:eastAsia="Times New Roman" w:cs="Arial"/>
          <w:b/>
          <w:bCs/>
          <w:szCs w:val="26"/>
        </w:rPr>
        <w:t xml:space="preserve"> failed to adequately explain why it was departing from its prior decision, and the new course is not lawful or reasonable.</w:t>
      </w:r>
      <w:bookmarkEnd w:id="11"/>
    </w:p>
    <w:p w:rsidR="00F53EE0" w:rsidRPr="00077C6E" w:rsidRDefault="00F53EE0" w:rsidP="00F53EE0">
      <w:pPr>
        <w:numPr>
          <w:ilvl w:val="2"/>
          <w:numId w:val="1"/>
        </w:numPr>
        <w:tabs>
          <w:tab w:val="num" w:pos="1440"/>
        </w:tabs>
        <w:spacing w:after="240"/>
        <w:ind w:left="1440"/>
        <w:jc w:val="both"/>
        <w:outlineLvl w:val="2"/>
        <w:rPr>
          <w:rFonts w:eastAsia="Times New Roman" w:cs="Arial"/>
          <w:b/>
          <w:bCs/>
          <w:szCs w:val="26"/>
        </w:rPr>
      </w:pPr>
      <w:bookmarkStart w:id="12" w:name="_Toc418495440"/>
      <w:r w:rsidRPr="00077C6E">
        <w:rPr>
          <w:rFonts w:eastAsia="Times New Roman" w:cs="Arial"/>
          <w:b/>
          <w:bCs/>
          <w:szCs w:val="26"/>
        </w:rPr>
        <w:lastRenderedPageBreak/>
        <w:t xml:space="preserve">The ESP Order is unlawful and unreasonable because the Commission authorized the </w:t>
      </w:r>
      <w:r>
        <w:rPr>
          <w:rFonts w:eastAsia="Times New Roman" w:cs="Arial"/>
          <w:b/>
          <w:bCs/>
          <w:szCs w:val="26"/>
        </w:rPr>
        <w:t>PSR</w:t>
      </w:r>
      <w:r w:rsidRPr="00077C6E">
        <w:rPr>
          <w:rFonts w:eastAsia="Times New Roman" w:cs="Arial"/>
          <w:b/>
          <w:bCs/>
          <w:szCs w:val="26"/>
        </w:rPr>
        <w:t xml:space="preserve"> as a placeholder rider by which </w:t>
      </w:r>
      <w:r>
        <w:rPr>
          <w:rFonts w:eastAsia="Times New Roman" w:cs="Arial"/>
          <w:b/>
          <w:bCs/>
          <w:szCs w:val="26"/>
        </w:rPr>
        <w:t>Duke</w:t>
      </w:r>
      <w:r w:rsidRPr="00077C6E">
        <w:rPr>
          <w:rFonts w:eastAsia="Times New Roman" w:cs="Arial"/>
          <w:b/>
          <w:bCs/>
          <w:szCs w:val="26"/>
        </w:rPr>
        <w:t xml:space="preserve"> may seek to recover generation-related transition revenue or its equivalent in violation of R.C. 4928.38 and the bar to recovery of transition revenue or its equivalent resulting from </w:t>
      </w:r>
      <w:r>
        <w:rPr>
          <w:rFonts w:eastAsia="Times New Roman" w:cs="Arial"/>
          <w:b/>
          <w:bCs/>
          <w:szCs w:val="26"/>
        </w:rPr>
        <w:t>Duke’s</w:t>
      </w:r>
      <w:r w:rsidRPr="00077C6E">
        <w:rPr>
          <w:rFonts w:eastAsia="Times New Roman" w:cs="Arial"/>
          <w:b/>
          <w:bCs/>
          <w:szCs w:val="26"/>
        </w:rPr>
        <w:t xml:space="preserve"> Electric Transition Plan Stipulation.</w:t>
      </w:r>
      <w:bookmarkEnd w:id="12"/>
    </w:p>
    <w:p w:rsidR="00F53EE0" w:rsidRPr="00077C6E" w:rsidRDefault="00F53EE0" w:rsidP="00F53EE0">
      <w:pPr>
        <w:numPr>
          <w:ilvl w:val="2"/>
          <w:numId w:val="1"/>
        </w:numPr>
        <w:tabs>
          <w:tab w:val="num" w:pos="1440"/>
        </w:tabs>
        <w:spacing w:after="240"/>
        <w:ind w:left="1440"/>
        <w:jc w:val="both"/>
        <w:outlineLvl w:val="2"/>
        <w:rPr>
          <w:rFonts w:eastAsia="Times New Roman" w:cs="Arial"/>
          <w:b/>
          <w:bCs/>
          <w:szCs w:val="26"/>
        </w:rPr>
      </w:pPr>
      <w:bookmarkStart w:id="13" w:name="_Toc418495441"/>
      <w:r w:rsidRPr="00077C6E">
        <w:rPr>
          <w:rFonts w:eastAsia="Times New Roman" w:cs="Arial"/>
          <w:b/>
          <w:bCs/>
          <w:szCs w:val="26"/>
        </w:rPr>
        <w:t>The ESP Order is unlawful and unreasonable because</w:t>
      </w:r>
      <w:r>
        <w:rPr>
          <w:rFonts w:eastAsia="Times New Roman" w:cs="Arial"/>
          <w:b/>
          <w:bCs/>
          <w:szCs w:val="26"/>
        </w:rPr>
        <w:t>, under the Supremacy Clause of the United States Constitution,</w:t>
      </w:r>
      <w:r w:rsidRPr="00077C6E">
        <w:rPr>
          <w:rFonts w:eastAsia="Times New Roman" w:cs="Arial"/>
          <w:b/>
          <w:bCs/>
          <w:szCs w:val="26"/>
        </w:rPr>
        <w:t xml:space="preserve"> the Commission is preempted by the Federal Power Act from authorizing a rider such as the </w:t>
      </w:r>
      <w:r>
        <w:rPr>
          <w:rFonts w:eastAsia="Times New Roman" w:cs="Arial"/>
          <w:b/>
          <w:bCs/>
          <w:szCs w:val="26"/>
        </w:rPr>
        <w:t>PSR</w:t>
      </w:r>
      <w:r w:rsidRPr="00077C6E">
        <w:rPr>
          <w:rFonts w:eastAsia="Times New Roman" w:cs="Arial"/>
          <w:b/>
          <w:bCs/>
          <w:szCs w:val="26"/>
        </w:rPr>
        <w:t xml:space="preserve"> that may authorize </w:t>
      </w:r>
      <w:r>
        <w:rPr>
          <w:rFonts w:eastAsia="Times New Roman" w:cs="Arial"/>
          <w:b/>
          <w:bCs/>
          <w:szCs w:val="26"/>
        </w:rPr>
        <w:t>Duke</w:t>
      </w:r>
      <w:r w:rsidRPr="00077C6E">
        <w:rPr>
          <w:rFonts w:eastAsia="Times New Roman" w:cs="Arial"/>
          <w:b/>
          <w:bCs/>
          <w:szCs w:val="26"/>
        </w:rPr>
        <w:t xml:space="preserve"> to increase its compensation for wholesale generation-related services in an amount exceeding that authorized by the Federal Energy Regulatory Commission.</w:t>
      </w:r>
      <w:bookmarkEnd w:id="13"/>
    </w:p>
    <w:p w:rsidR="00F53EE0" w:rsidRPr="00077C6E" w:rsidRDefault="00F53EE0" w:rsidP="00F53EE0">
      <w:pPr>
        <w:numPr>
          <w:ilvl w:val="2"/>
          <w:numId w:val="1"/>
        </w:numPr>
        <w:tabs>
          <w:tab w:val="num" w:pos="1440"/>
        </w:tabs>
        <w:spacing w:after="240"/>
        <w:ind w:left="1440"/>
        <w:jc w:val="both"/>
        <w:outlineLvl w:val="2"/>
        <w:rPr>
          <w:rFonts w:eastAsia="Times New Roman" w:cs="Arial"/>
          <w:b/>
          <w:bCs/>
          <w:szCs w:val="26"/>
        </w:rPr>
      </w:pPr>
      <w:bookmarkStart w:id="14" w:name="_Toc418495442"/>
      <w:r w:rsidRPr="00077C6E">
        <w:rPr>
          <w:rFonts w:eastAsia="Times New Roman" w:cs="Arial"/>
          <w:b/>
          <w:bCs/>
          <w:szCs w:val="26"/>
        </w:rPr>
        <w:t xml:space="preserve">The ESP Order is unlawful and unreasonable because the Commission engaged in rulemaking without complying with the requirements of Chapter 119 of the Revised Code as a means of </w:t>
      </w:r>
      <w:r>
        <w:rPr>
          <w:rFonts w:eastAsia="Times New Roman" w:cs="Arial"/>
          <w:b/>
          <w:bCs/>
          <w:szCs w:val="26"/>
        </w:rPr>
        <w:t>authorizing</w:t>
      </w:r>
      <w:r w:rsidRPr="00077C6E">
        <w:rPr>
          <w:rFonts w:eastAsia="Times New Roman" w:cs="Arial"/>
          <w:b/>
          <w:bCs/>
          <w:szCs w:val="26"/>
        </w:rPr>
        <w:t xml:space="preserve"> an application </w:t>
      </w:r>
      <w:r>
        <w:rPr>
          <w:rFonts w:eastAsia="Times New Roman" w:cs="Arial"/>
          <w:b/>
          <w:bCs/>
          <w:szCs w:val="26"/>
        </w:rPr>
        <w:t>process that would permit Duke to seek</w:t>
      </w:r>
      <w:r w:rsidRPr="00077C6E">
        <w:rPr>
          <w:rFonts w:eastAsia="Times New Roman" w:cs="Arial"/>
          <w:b/>
          <w:bCs/>
          <w:szCs w:val="26"/>
        </w:rPr>
        <w:t xml:space="preserve"> to recover above-market wholesale</w:t>
      </w:r>
      <w:r w:rsidRPr="00077C6E" w:rsidDel="00722484">
        <w:rPr>
          <w:rFonts w:eastAsia="Times New Roman" w:cs="Arial"/>
          <w:b/>
          <w:bCs/>
          <w:szCs w:val="26"/>
        </w:rPr>
        <w:t xml:space="preserve"> </w:t>
      </w:r>
      <w:r w:rsidRPr="00077C6E">
        <w:rPr>
          <w:rFonts w:eastAsia="Times New Roman" w:cs="Arial"/>
          <w:b/>
          <w:bCs/>
          <w:szCs w:val="26"/>
        </w:rPr>
        <w:t>generation-related costs.</w:t>
      </w:r>
      <w:bookmarkEnd w:id="14"/>
    </w:p>
    <w:p w:rsidR="00F53EE0" w:rsidRDefault="00F53EE0" w:rsidP="00F53EE0">
      <w:pPr>
        <w:numPr>
          <w:ilvl w:val="2"/>
          <w:numId w:val="1"/>
        </w:numPr>
        <w:tabs>
          <w:tab w:val="num" w:pos="1440"/>
        </w:tabs>
        <w:spacing w:after="240"/>
        <w:ind w:left="1440"/>
        <w:jc w:val="both"/>
        <w:outlineLvl w:val="2"/>
        <w:rPr>
          <w:rFonts w:eastAsia="Times New Roman" w:cs="Arial"/>
          <w:b/>
          <w:bCs/>
          <w:szCs w:val="26"/>
        </w:rPr>
      </w:pPr>
      <w:bookmarkStart w:id="15" w:name="_Toc418495443"/>
      <w:r w:rsidRPr="00077C6E">
        <w:rPr>
          <w:rFonts w:eastAsia="Times New Roman" w:cs="Arial"/>
          <w:b/>
          <w:bCs/>
          <w:szCs w:val="26"/>
        </w:rPr>
        <w:t xml:space="preserve">The ESP Order is unlawful and unreasonable because the Commission identified “factors” </w:t>
      </w:r>
      <w:r>
        <w:rPr>
          <w:rFonts w:eastAsia="Times New Roman" w:cs="Arial"/>
          <w:b/>
          <w:bCs/>
          <w:szCs w:val="26"/>
        </w:rPr>
        <w:t>and a review process to address a future filing by Duke</w:t>
      </w:r>
      <w:r w:rsidRPr="00077C6E">
        <w:rPr>
          <w:rFonts w:eastAsia="Times New Roman" w:cs="Arial"/>
          <w:b/>
          <w:bCs/>
          <w:szCs w:val="26"/>
        </w:rPr>
        <w:t xml:space="preserve"> </w:t>
      </w:r>
      <w:r>
        <w:rPr>
          <w:rFonts w:eastAsia="Times New Roman" w:cs="Arial"/>
          <w:b/>
          <w:bCs/>
          <w:szCs w:val="26"/>
        </w:rPr>
        <w:t xml:space="preserve">if it </w:t>
      </w:r>
      <w:r w:rsidRPr="00077C6E">
        <w:rPr>
          <w:rFonts w:eastAsia="Times New Roman" w:cs="Arial"/>
          <w:b/>
          <w:bCs/>
          <w:szCs w:val="26"/>
        </w:rPr>
        <w:t>seeks to increase its compensation for generation-related services that are void</w:t>
      </w:r>
      <w:r w:rsidR="0092510E">
        <w:rPr>
          <w:rFonts w:eastAsia="Times New Roman" w:cs="Arial"/>
          <w:b/>
          <w:bCs/>
          <w:szCs w:val="26"/>
        </w:rPr>
        <w:t xml:space="preserve"> </w:t>
      </w:r>
      <w:r w:rsidRPr="00077C6E">
        <w:rPr>
          <w:rFonts w:eastAsia="Times New Roman" w:cs="Arial"/>
          <w:b/>
          <w:bCs/>
          <w:szCs w:val="26"/>
        </w:rPr>
        <w:t>for</w:t>
      </w:r>
      <w:r w:rsidR="0092510E">
        <w:rPr>
          <w:rFonts w:eastAsia="Times New Roman" w:cs="Arial"/>
          <w:b/>
          <w:bCs/>
          <w:szCs w:val="26"/>
        </w:rPr>
        <w:t xml:space="preserve"> </w:t>
      </w:r>
      <w:r w:rsidRPr="00077C6E">
        <w:rPr>
          <w:rFonts w:eastAsia="Times New Roman" w:cs="Arial"/>
          <w:b/>
          <w:bCs/>
          <w:szCs w:val="26"/>
        </w:rPr>
        <w:t>vagueness</w:t>
      </w:r>
      <w:r>
        <w:rPr>
          <w:rFonts w:eastAsia="Times New Roman" w:cs="Arial"/>
          <w:b/>
          <w:bCs/>
          <w:szCs w:val="26"/>
        </w:rPr>
        <w:t xml:space="preserve"> under the </w:t>
      </w:r>
      <w:r w:rsidR="00C84A0A">
        <w:rPr>
          <w:rFonts w:eastAsia="Times New Roman" w:cs="Arial"/>
          <w:b/>
          <w:bCs/>
          <w:szCs w:val="26"/>
        </w:rPr>
        <w:t>Due</w:t>
      </w:r>
      <w:r>
        <w:rPr>
          <w:rFonts w:eastAsia="Times New Roman" w:cs="Arial"/>
          <w:b/>
          <w:bCs/>
          <w:szCs w:val="26"/>
        </w:rPr>
        <w:t xml:space="preserve"> </w:t>
      </w:r>
      <w:r w:rsidR="00C84A0A">
        <w:rPr>
          <w:rFonts w:eastAsia="Times New Roman" w:cs="Arial"/>
          <w:b/>
          <w:bCs/>
          <w:szCs w:val="26"/>
        </w:rPr>
        <w:t>Process</w:t>
      </w:r>
      <w:r>
        <w:rPr>
          <w:rFonts w:eastAsia="Times New Roman" w:cs="Arial"/>
          <w:b/>
          <w:bCs/>
          <w:szCs w:val="26"/>
        </w:rPr>
        <w:t xml:space="preserve"> </w:t>
      </w:r>
      <w:r w:rsidR="00C84A0A">
        <w:rPr>
          <w:rFonts w:eastAsia="Times New Roman" w:cs="Arial"/>
          <w:b/>
          <w:bCs/>
          <w:szCs w:val="26"/>
        </w:rPr>
        <w:t>Clauses</w:t>
      </w:r>
      <w:r>
        <w:rPr>
          <w:rFonts w:eastAsia="Times New Roman" w:cs="Arial"/>
          <w:b/>
          <w:bCs/>
          <w:szCs w:val="26"/>
        </w:rPr>
        <w:t xml:space="preserve"> of the United States Constitution and the Ohio Constitution</w:t>
      </w:r>
      <w:r w:rsidRPr="00077C6E">
        <w:rPr>
          <w:rFonts w:eastAsia="Times New Roman" w:cs="Arial"/>
          <w:b/>
          <w:bCs/>
          <w:szCs w:val="26"/>
        </w:rPr>
        <w:t>.</w:t>
      </w:r>
      <w:bookmarkEnd w:id="15"/>
    </w:p>
    <w:p w:rsidR="009D210B" w:rsidRPr="00077C6E" w:rsidRDefault="009D210B" w:rsidP="00F53EE0">
      <w:pPr>
        <w:numPr>
          <w:ilvl w:val="2"/>
          <w:numId w:val="1"/>
        </w:numPr>
        <w:tabs>
          <w:tab w:val="num" w:pos="1440"/>
        </w:tabs>
        <w:spacing w:after="240"/>
        <w:ind w:left="1440"/>
        <w:jc w:val="both"/>
        <w:outlineLvl w:val="2"/>
        <w:rPr>
          <w:rFonts w:eastAsia="Times New Roman" w:cs="Arial"/>
          <w:b/>
          <w:bCs/>
          <w:szCs w:val="26"/>
        </w:rPr>
      </w:pPr>
      <w:bookmarkStart w:id="16" w:name="_Toc418495444"/>
      <w:r w:rsidRPr="009D210B">
        <w:rPr>
          <w:rFonts w:eastAsia="Times New Roman" w:cs="Arial"/>
          <w:b/>
          <w:bCs/>
          <w:szCs w:val="26"/>
        </w:rPr>
        <w:t>The Commission should grant rehearing and clarify (1) that the “factors” that it will consider in a “future filing” if Duke seeks to increase its compensation for generation-related services include a requirement for Duke to propose a “least-cost” hedge and a requirement that the hedge be secured by a competitive bidding process and (2) that Duke will be required to demonstrate that the resulting ESP, if the Commission approves generation cost recovery in a future filing, will satisfy the requirement of R.C. 4928.143(C)(1)</w:t>
      </w:r>
      <w:r w:rsidR="00C84A0A">
        <w:rPr>
          <w:rFonts w:eastAsia="Times New Roman" w:cs="Arial"/>
          <w:b/>
          <w:bCs/>
          <w:szCs w:val="26"/>
        </w:rPr>
        <w:t>,</w:t>
      </w:r>
      <w:r w:rsidRPr="009D210B">
        <w:rPr>
          <w:rFonts w:eastAsia="Times New Roman" w:cs="Arial"/>
          <w:b/>
          <w:bCs/>
          <w:szCs w:val="26"/>
        </w:rPr>
        <w:t xml:space="preserve"> </w:t>
      </w:r>
      <w:r w:rsidR="00C84A0A" w:rsidRPr="00C84A0A">
        <w:rPr>
          <w:rFonts w:eastAsia="Times New Roman" w:cs="Arial"/>
          <w:b/>
          <w:bCs/>
          <w:szCs w:val="26"/>
        </w:rPr>
        <w:t>which provides that the Commission may approve or modify and approve an ESP, including its pricing and all other terms and conditions, including any deferrals and any future recovery of deferrals, if the ESP is more favorable in the aggregate as compared to the expected results that would otherwise apply under R.C. 4928.142.</w:t>
      </w:r>
      <w:bookmarkEnd w:id="16"/>
    </w:p>
    <w:p w:rsidR="00B46381" w:rsidRDefault="00B46381" w:rsidP="00A03823">
      <w:pPr>
        <w:spacing w:line="480" w:lineRule="auto"/>
        <w:ind w:firstLine="720"/>
        <w:jc w:val="both"/>
      </w:pPr>
      <w:r>
        <w:t xml:space="preserve">As discussed in the Memorandum in Support attached hereto, IEU-Ohio </w:t>
      </w:r>
      <w:r w:rsidR="00A03823">
        <w:t>r</w:t>
      </w:r>
      <w:r>
        <w:t>espectfully requests that the Commission grant this Application for Rehearing.</w:t>
      </w:r>
    </w:p>
    <w:p w:rsidR="00B46381" w:rsidRDefault="00B46381" w:rsidP="00A03823">
      <w:pPr>
        <w:spacing w:line="480" w:lineRule="auto"/>
        <w:ind w:left="4320"/>
      </w:pPr>
      <w:r>
        <w:lastRenderedPageBreak/>
        <w:t>Respectfully submitted,</w:t>
      </w:r>
    </w:p>
    <w:p w:rsidR="00B46381" w:rsidRPr="00A03823" w:rsidRDefault="00C84A0A" w:rsidP="00A03823">
      <w:pPr>
        <w:ind w:left="4320"/>
        <w:rPr>
          <w:u w:val="single"/>
        </w:rPr>
      </w:pPr>
      <w:r w:rsidRPr="00A03823">
        <w:rPr>
          <w:u w:val="single"/>
        </w:rPr>
        <w:t>/s/ Frank P. Darr</w:t>
      </w:r>
      <w:r w:rsidR="00A03823">
        <w:rPr>
          <w:u w:val="single"/>
        </w:rPr>
        <w:tab/>
      </w:r>
      <w:r w:rsidR="00A03823">
        <w:rPr>
          <w:u w:val="single"/>
        </w:rPr>
        <w:tab/>
      </w:r>
      <w:r w:rsidR="00A03823">
        <w:rPr>
          <w:u w:val="single"/>
        </w:rPr>
        <w:tab/>
      </w:r>
    </w:p>
    <w:p w:rsidR="00B46381" w:rsidRDefault="00B46381" w:rsidP="00B46381">
      <w:pPr>
        <w:ind w:left="4320"/>
      </w:pPr>
      <w:r>
        <w:t>Frank P. Darr</w:t>
      </w:r>
    </w:p>
    <w:p w:rsidR="00B46381" w:rsidRDefault="00B46381" w:rsidP="00B46381">
      <w:pPr>
        <w:ind w:left="4320"/>
      </w:pPr>
      <w:r>
        <w:t>Matthew R. Pritchard</w:t>
      </w:r>
    </w:p>
    <w:p w:rsidR="00B46381" w:rsidRDefault="00B46381" w:rsidP="00B46381">
      <w:pPr>
        <w:ind w:left="4320"/>
      </w:pPr>
      <w:r>
        <w:t>MCNEES WALLACE &amp; NURICK LLC</w:t>
      </w:r>
    </w:p>
    <w:p w:rsidR="00B46381" w:rsidRDefault="00B46381" w:rsidP="00B46381">
      <w:pPr>
        <w:ind w:left="4320"/>
      </w:pPr>
      <w:r>
        <w:t>21 East State Street, 17TH Floor</w:t>
      </w:r>
    </w:p>
    <w:p w:rsidR="00B46381" w:rsidRDefault="00B46381" w:rsidP="00B46381">
      <w:pPr>
        <w:ind w:left="4320"/>
      </w:pPr>
      <w:r>
        <w:t>Columbus, OH  43215</w:t>
      </w:r>
    </w:p>
    <w:p w:rsidR="00B46381" w:rsidRDefault="00B46381" w:rsidP="00B46381">
      <w:pPr>
        <w:ind w:left="4320"/>
      </w:pPr>
      <w:r>
        <w:t>Telephone:  (614) 469-8000</w:t>
      </w:r>
    </w:p>
    <w:p w:rsidR="00B46381" w:rsidRDefault="00B46381" w:rsidP="00B46381">
      <w:pPr>
        <w:ind w:left="4320"/>
      </w:pPr>
      <w:r>
        <w:t>Telecopier:  (614) 469-4653</w:t>
      </w:r>
    </w:p>
    <w:p w:rsidR="00B46381" w:rsidRDefault="00B46381" w:rsidP="00B46381">
      <w:pPr>
        <w:ind w:left="4320"/>
      </w:pPr>
      <w:r>
        <w:t>fdarr@mwncmh.com</w:t>
      </w:r>
    </w:p>
    <w:p w:rsidR="00B46381" w:rsidRDefault="00B46381" w:rsidP="00B46381">
      <w:pPr>
        <w:ind w:left="4320"/>
      </w:pPr>
      <w:r>
        <w:t>mpritchard@mwncmh.com</w:t>
      </w:r>
    </w:p>
    <w:p w:rsidR="00A03823" w:rsidRDefault="00A03823" w:rsidP="00B46381"/>
    <w:p w:rsidR="00B46381" w:rsidRPr="00A03823" w:rsidRDefault="00B46381" w:rsidP="00B46381">
      <w:pPr>
        <w:rPr>
          <w:b/>
        </w:rPr>
      </w:pPr>
      <w:r>
        <w:tab/>
      </w:r>
      <w:r>
        <w:tab/>
      </w:r>
      <w:r>
        <w:tab/>
      </w:r>
      <w:r>
        <w:tab/>
      </w:r>
      <w:r>
        <w:tab/>
      </w:r>
      <w:r w:rsidR="00A03823">
        <w:tab/>
      </w:r>
      <w:r w:rsidRPr="00A03823">
        <w:rPr>
          <w:b/>
        </w:rPr>
        <w:t>Attorneys for Industrial Energy Users-Ohio</w:t>
      </w:r>
    </w:p>
    <w:p w:rsidR="00B46381" w:rsidRDefault="00B46381">
      <w:r>
        <w:br w:type="page"/>
      </w:r>
    </w:p>
    <w:p w:rsidR="00B46381" w:rsidRPr="00B46381" w:rsidRDefault="00B46381" w:rsidP="00B46381">
      <w:pPr>
        <w:jc w:val="center"/>
        <w:rPr>
          <w:rFonts w:eastAsia="Times New Roman" w:cs="Arial"/>
          <w:b/>
          <w:smallCaps/>
          <w:sz w:val="28"/>
        </w:rPr>
      </w:pPr>
      <w:r w:rsidRPr="00B46381">
        <w:rPr>
          <w:rFonts w:eastAsia="Times New Roman" w:cs="Arial"/>
          <w:b/>
          <w:smallCaps/>
          <w:sz w:val="28"/>
        </w:rPr>
        <w:lastRenderedPageBreak/>
        <w:t>Before</w:t>
      </w:r>
    </w:p>
    <w:p w:rsidR="00B46381" w:rsidRPr="00B46381" w:rsidRDefault="00B46381" w:rsidP="00B46381">
      <w:pPr>
        <w:spacing w:after="120"/>
        <w:jc w:val="center"/>
        <w:rPr>
          <w:rFonts w:eastAsia="Times New Roman" w:cs="Arial"/>
          <w:b/>
          <w:smallCaps/>
          <w:sz w:val="28"/>
        </w:rPr>
      </w:pPr>
      <w:r w:rsidRPr="00B46381">
        <w:rPr>
          <w:rFonts w:eastAsia="Times New Roman" w:cs="Arial"/>
          <w:b/>
          <w:smallCaps/>
          <w:sz w:val="28"/>
        </w:rPr>
        <w:t>The Public Utilities Commission of Ohio</w:t>
      </w:r>
    </w:p>
    <w:p w:rsidR="00B46381" w:rsidRPr="00B46381" w:rsidRDefault="00B46381" w:rsidP="00B46381">
      <w:pPr>
        <w:autoSpaceDE w:val="0"/>
        <w:autoSpaceDN w:val="0"/>
        <w:adjustRightInd w:val="0"/>
        <w:spacing w:after="120"/>
        <w:rPr>
          <w:rFonts w:eastAsia="Calibri" w:cs="Arial"/>
        </w:rPr>
      </w:pPr>
    </w:p>
    <w:tbl>
      <w:tblPr>
        <w:tblW w:w="8340" w:type="dxa"/>
        <w:jc w:val="center"/>
        <w:tblLook w:val="04A0" w:firstRow="1" w:lastRow="0" w:firstColumn="1" w:lastColumn="0" w:noHBand="0" w:noVBand="1"/>
      </w:tblPr>
      <w:tblGrid>
        <w:gridCol w:w="3990"/>
        <w:gridCol w:w="360"/>
        <w:gridCol w:w="3990"/>
      </w:tblGrid>
      <w:tr w:rsidR="00B46381" w:rsidRPr="00B46381" w:rsidTr="006D6B8E">
        <w:trPr>
          <w:jc w:val="center"/>
        </w:trPr>
        <w:tc>
          <w:tcPr>
            <w:tcW w:w="3990" w:type="dxa"/>
          </w:tcPr>
          <w:p w:rsidR="00B46381" w:rsidRPr="00B46381" w:rsidRDefault="00B46381" w:rsidP="00B46381">
            <w:pPr>
              <w:spacing w:after="120"/>
              <w:rPr>
                <w:rFonts w:eastAsia="Times New Roman" w:cs="Arial"/>
              </w:rPr>
            </w:pPr>
            <w:r w:rsidRPr="00B46381">
              <w:rPr>
                <w:rFonts w:eastAsia="Times New Roman" w:cs="Arial"/>
              </w:rPr>
              <w:t>In the Matter of the Application of Duke Energy Ohio for Authority to Establish a Standard Service Offer Pursuant to Section 4928.143, Revised Code, in the Form of an Electric Security Plan, Accounting Modifications and Tariffs for Generation Service.</w:t>
            </w:r>
          </w:p>
          <w:p w:rsidR="00B46381" w:rsidRPr="00B46381" w:rsidRDefault="00B46381" w:rsidP="00B46381">
            <w:pPr>
              <w:spacing w:after="120"/>
              <w:rPr>
                <w:rFonts w:eastAsia="Times New Roman" w:cs="Arial"/>
              </w:rPr>
            </w:pPr>
          </w:p>
        </w:tc>
        <w:tc>
          <w:tcPr>
            <w:tcW w:w="360" w:type="dxa"/>
          </w:tcPr>
          <w:p w:rsidR="00B46381" w:rsidRPr="00B46381" w:rsidRDefault="00B46381" w:rsidP="00B46381">
            <w:pPr>
              <w:widowControl w:val="0"/>
              <w:suppressLineNumbers/>
              <w:tabs>
                <w:tab w:val="left" w:pos="4770"/>
              </w:tabs>
              <w:spacing w:after="120"/>
              <w:jc w:val="both"/>
              <w:rPr>
                <w:rFonts w:eastAsia="Times New Roman" w:cs="Arial"/>
              </w:rPr>
            </w:pPr>
            <w:r w:rsidRPr="00B46381">
              <w:rPr>
                <w:rFonts w:eastAsia="Times New Roman" w:cs="Arial"/>
              </w:rPr>
              <w:t>)</w:t>
            </w:r>
          </w:p>
          <w:p w:rsidR="00B46381" w:rsidRPr="00B46381" w:rsidRDefault="00B46381" w:rsidP="00B46381">
            <w:pPr>
              <w:widowControl w:val="0"/>
              <w:suppressLineNumbers/>
              <w:tabs>
                <w:tab w:val="left" w:pos="4770"/>
              </w:tabs>
              <w:spacing w:after="120"/>
              <w:jc w:val="both"/>
              <w:rPr>
                <w:rFonts w:eastAsia="Times New Roman" w:cs="Arial"/>
              </w:rPr>
            </w:pPr>
            <w:r w:rsidRPr="00B46381">
              <w:rPr>
                <w:rFonts w:eastAsia="Times New Roman" w:cs="Arial"/>
              </w:rPr>
              <w:t>)</w:t>
            </w:r>
          </w:p>
          <w:p w:rsidR="00B46381" w:rsidRPr="00B46381" w:rsidRDefault="00B46381" w:rsidP="00B46381">
            <w:pPr>
              <w:widowControl w:val="0"/>
              <w:suppressLineNumbers/>
              <w:tabs>
                <w:tab w:val="left" w:pos="4770"/>
              </w:tabs>
              <w:spacing w:after="120"/>
              <w:jc w:val="both"/>
              <w:rPr>
                <w:rFonts w:eastAsia="Times New Roman" w:cs="Arial"/>
              </w:rPr>
            </w:pPr>
            <w:r w:rsidRPr="00B46381">
              <w:rPr>
                <w:rFonts w:eastAsia="Times New Roman" w:cs="Arial"/>
              </w:rPr>
              <w:t>)</w:t>
            </w:r>
          </w:p>
          <w:p w:rsidR="00B46381" w:rsidRPr="00B46381" w:rsidRDefault="00B46381" w:rsidP="00B46381">
            <w:pPr>
              <w:widowControl w:val="0"/>
              <w:suppressLineNumbers/>
              <w:tabs>
                <w:tab w:val="left" w:pos="4770"/>
              </w:tabs>
              <w:spacing w:after="120"/>
              <w:jc w:val="both"/>
              <w:rPr>
                <w:rFonts w:eastAsia="Times New Roman" w:cs="Arial"/>
              </w:rPr>
            </w:pPr>
            <w:r w:rsidRPr="00B46381">
              <w:rPr>
                <w:rFonts w:eastAsia="Times New Roman" w:cs="Arial"/>
              </w:rPr>
              <w:t>)</w:t>
            </w:r>
          </w:p>
          <w:p w:rsidR="00B46381" w:rsidRPr="00B46381" w:rsidRDefault="00B46381" w:rsidP="00B46381">
            <w:pPr>
              <w:widowControl w:val="0"/>
              <w:suppressLineNumbers/>
              <w:tabs>
                <w:tab w:val="left" w:pos="4770"/>
              </w:tabs>
              <w:spacing w:after="120"/>
              <w:jc w:val="both"/>
              <w:rPr>
                <w:rFonts w:eastAsia="Times New Roman" w:cs="Arial"/>
              </w:rPr>
            </w:pPr>
            <w:r w:rsidRPr="00B46381">
              <w:rPr>
                <w:rFonts w:eastAsia="Times New Roman" w:cs="Arial"/>
              </w:rPr>
              <w:t>)</w:t>
            </w:r>
          </w:p>
          <w:p w:rsidR="00B46381" w:rsidRPr="00B46381" w:rsidRDefault="00B46381" w:rsidP="00B46381">
            <w:pPr>
              <w:widowControl w:val="0"/>
              <w:suppressLineNumbers/>
              <w:tabs>
                <w:tab w:val="left" w:pos="4770"/>
              </w:tabs>
              <w:spacing w:after="120"/>
              <w:jc w:val="both"/>
              <w:rPr>
                <w:rFonts w:eastAsia="Times New Roman" w:cs="Arial"/>
              </w:rPr>
            </w:pPr>
            <w:r w:rsidRPr="00B46381">
              <w:rPr>
                <w:rFonts w:eastAsia="Times New Roman" w:cs="Arial"/>
              </w:rPr>
              <w:t>)</w:t>
            </w:r>
          </w:p>
          <w:p w:rsidR="00B46381" w:rsidRPr="00B46381" w:rsidRDefault="00B46381" w:rsidP="00B46381">
            <w:pPr>
              <w:widowControl w:val="0"/>
              <w:suppressLineNumbers/>
              <w:tabs>
                <w:tab w:val="left" w:pos="4770"/>
              </w:tabs>
              <w:spacing w:after="120"/>
              <w:jc w:val="both"/>
              <w:rPr>
                <w:rFonts w:eastAsia="Times New Roman" w:cs="Arial"/>
              </w:rPr>
            </w:pPr>
            <w:r w:rsidRPr="00B46381">
              <w:rPr>
                <w:rFonts w:eastAsia="Times New Roman" w:cs="Arial"/>
              </w:rPr>
              <w:t>)</w:t>
            </w:r>
          </w:p>
          <w:p w:rsidR="00B46381" w:rsidRPr="00B46381" w:rsidRDefault="00B46381" w:rsidP="00B46381">
            <w:pPr>
              <w:widowControl w:val="0"/>
              <w:suppressLineNumbers/>
              <w:tabs>
                <w:tab w:val="left" w:pos="4770"/>
              </w:tabs>
              <w:spacing w:after="120"/>
              <w:jc w:val="both"/>
              <w:rPr>
                <w:rFonts w:eastAsia="Times New Roman" w:cs="Arial"/>
              </w:rPr>
            </w:pPr>
            <w:r w:rsidRPr="00B46381">
              <w:rPr>
                <w:rFonts w:eastAsia="Times New Roman" w:cs="Arial"/>
              </w:rPr>
              <w:t>)</w:t>
            </w:r>
          </w:p>
        </w:tc>
        <w:tc>
          <w:tcPr>
            <w:tcW w:w="3990" w:type="dxa"/>
          </w:tcPr>
          <w:p w:rsidR="00B46381" w:rsidRPr="00B46381" w:rsidRDefault="00B46381" w:rsidP="00B46381">
            <w:pPr>
              <w:widowControl w:val="0"/>
              <w:suppressLineNumbers/>
              <w:tabs>
                <w:tab w:val="left" w:pos="4770"/>
              </w:tabs>
              <w:spacing w:after="120"/>
              <w:jc w:val="both"/>
              <w:rPr>
                <w:rFonts w:eastAsia="Times New Roman" w:cs="Arial"/>
              </w:rPr>
            </w:pPr>
          </w:p>
          <w:p w:rsidR="00B46381" w:rsidRPr="00B46381" w:rsidRDefault="00B46381" w:rsidP="00B46381">
            <w:pPr>
              <w:widowControl w:val="0"/>
              <w:suppressLineNumbers/>
              <w:tabs>
                <w:tab w:val="left" w:pos="4770"/>
              </w:tabs>
              <w:spacing w:after="120"/>
              <w:jc w:val="both"/>
              <w:rPr>
                <w:rFonts w:eastAsia="Times New Roman" w:cs="Arial"/>
              </w:rPr>
            </w:pPr>
          </w:p>
          <w:p w:rsidR="00B46381" w:rsidRPr="00B46381" w:rsidRDefault="00B46381" w:rsidP="00B46381">
            <w:pPr>
              <w:widowControl w:val="0"/>
              <w:suppressLineNumbers/>
              <w:tabs>
                <w:tab w:val="left" w:pos="4770"/>
              </w:tabs>
              <w:spacing w:after="120"/>
              <w:jc w:val="both"/>
              <w:rPr>
                <w:rFonts w:eastAsia="Times New Roman" w:cs="Arial"/>
              </w:rPr>
            </w:pPr>
          </w:p>
          <w:p w:rsidR="00B46381" w:rsidRPr="00B46381" w:rsidRDefault="00B46381" w:rsidP="00B46381">
            <w:pPr>
              <w:widowControl w:val="0"/>
              <w:suppressLineNumbers/>
              <w:tabs>
                <w:tab w:val="left" w:pos="4770"/>
              </w:tabs>
              <w:spacing w:after="120"/>
              <w:jc w:val="both"/>
              <w:rPr>
                <w:rFonts w:eastAsia="Times New Roman" w:cs="Arial"/>
              </w:rPr>
            </w:pPr>
            <w:r w:rsidRPr="00B46381">
              <w:rPr>
                <w:rFonts w:eastAsia="Times New Roman" w:cs="Arial"/>
              </w:rPr>
              <w:t>Case No. 14-841-EL-SSO</w:t>
            </w:r>
          </w:p>
        </w:tc>
      </w:tr>
      <w:tr w:rsidR="00B46381" w:rsidRPr="00B46381" w:rsidTr="006D6B8E">
        <w:trPr>
          <w:jc w:val="center"/>
        </w:trPr>
        <w:tc>
          <w:tcPr>
            <w:tcW w:w="3990" w:type="dxa"/>
          </w:tcPr>
          <w:p w:rsidR="00B46381" w:rsidRPr="00B46381" w:rsidRDefault="00B46381" w:rsidP="00B46381">
            <w:pPr>
              <w:spacing w:after="120"/>
              <w:rPr>
                <w:rFonts w:eastAsia="Times New Roman" w:cs="Arial"/>
              </w:rPr>
            </w:pPr>
            <w:r w:rsidRPr="00B46381">
              <w:rPr>
                <w:rFonts w:eastAsia="Times New Roman" w:cs="Arial"/>
              </w:rPr>
              <w:t>In the Matter of the Application of Duke Energy Ohio for Authority to Amend its Certified Supplier Tariff, P.U.C.O. No. 20.</w:t>
            </w:r>
          </w:p>
        </w:tc>
        <w:tc>
          <w:tcPr>
            <w:tcW w:w="360" w:type="dxa"/>
          </w:tcPr>
          <w:p w:rsidR="00B46381" w:rsidRPr="00B46381" w:rsidRDefault="00B46381" w:rsidP="00B46381">
            <w:pPr>
              <w:widowControl w:val="0"/>
              <w:suppressLineNumbers/>
              <w:tabs>
                <w:tab w:val="left" w:pos="4770"/>
              </w:tabs>
              <w:spacing w:after="120"/>
              <w:jc w:val="both"/>
              <w:rPr>
                <w:rFonts w:eastAsia="Times New Roman" w:cs="Arial"/>
              </w:rPr>
            </w:pPr>
            <w:r w:rsidRPr="00B46381">
              <w:rPr>
                <w:rFonts w:eastAsia="Times New Roman" w:cs="Arial"/>
              </w:rPr>
              <w:t>)</w:t>
            </w:r>
          </w:p>
          <w:p w:rsidR="00B46381" w:rsidRPr="00B46381" w:rsidRDefault="00B46381" w:rsidP="00B46381">
            <w:pPr>
              <w:widowControl w:val="0"/>
              <w:suppressLineNumbers/>
              <w:tabs>
                <w:tab w:val="left" w:pos="4770"/>
              </w:tabs>
              <w:spacing w:after="120"/>
              <w:jc w:val="both"/>
              <w:rPr>
                <w:rFonts w:eastAsia="Times New Roman" w:cs="Arial"/>
              </w:rPr>
            </w:pPr>
            <w:r w:rsidRPr="00B46381">
              <w:rPr>
                <w:rFonts w:eastAsia="Times New Roman" w:cs="Arial"/>
              </w:rPr>
              <w:t>)</w:t>
            </w:r>
          </w:p>
          <w:p w:rsidR="00B46381" w:rsidRPr="00B46381" w:rsidRDefault="00B46381" w:rsidP="00B46381">
            <w:pPr>
              <w:widowControl w:val="0"/>
              <w:suppressLineNumbers/>
              <w:tabs>
                <w:tab w:val="left" w:pos="4770"/>
              </w:tabs>
              <w:spacing w:after="120"/>
              <w:jc w:val="both"/>
              <w:rPr>
                <w:rFonts w:eastAsia="Times New Roman" w:cs="Arial"/>
              </w:rPr>
            </w:pPr>
            <w:r w:rsidRPr="00B46381">
              <w:rPr>
                <w:rFonts w:eastAsia="Times New Roman" w:cs="Arial"/>
              </w:rPr>
              <w:t>)</w:t>
            </w:r>
          </w:p>
          <w:p w:rsidR="00B46381" w:rsidRPr="00B46381" w:rsidRDefault="00B46381" w:rsidP="00B46381">
            <w:pPr>
              <w:widowControl w:val="0"/>
              <w:suppressLineNumbers/>
              <w:tabs>
                <w:tab w:val="left" w:pos="4770"/>
              </w:tabs>
              <w:spacing w:after="120"/>
              <w:jc w:val="both"/>
              <w:rPr>
                <w:rFonts w:eastAsia="Times New Roman" w:cs="Arial"/>
              </w:rPr>
            </w:pPr>
            <w:r w:rsidRPr="00B46381">
              <w:rPr>
                <w:rFonts w:eastAsia="Times New Roman" w:cs="Arial"/>
              </w:rPr>
              <w:t>)</w:t>
            </w:r>
          </w:p>
        </w:tc>
        <w:tc>
          <w:tcPr>
            <w:tcW w:w="3990" w:type="dxa"/>
          </w:tcPr>
          <w:p w:rsidR="00B46381" w:rsidRPr="00B46381" w:rsidRDefault="00B46381" w:rsidP="00B46381">
            <w:pPr>
              <w:widowControl w:val="0"/>
              <w:suppressLineNumbers/>
              <w:tabs>
                <w:tab w:val="left" w:pos="4770"/>
              </w:tabs>
              <w:spacing w:after="120"/>
              <w:jc w:val="both"/>
              <w:rPr>
                <w:rFonts w:eastAsia="Times New Roman" w:cs="Arial"/>
              </w:rPr>
            </w:pPr>
          </w:p>
          <w:p w:rsidR="00B46381" w:rsidRPr="00B46381" w:rsidRDefault="00B46381" w:rsidP="00B46381">
            <w:pPr>
              <w:widowControl w:val="0"/>
              <w:suppressLineNumbers/>
              <w:tabs>
                <w:tab w:val="left" w:pos="4770"/>
              </w:tabs>
              <w:spacing w:after="120"/>
              <w:jc w:val="both"/>
              <w:rPr>
                <w:rFonts w:eastAsia="Times New Roman" w:cs="Arial"/>
              </w:rPr>
            </w:pPr>
            <w:r w:rsidRPr="00B46381">
              <w:rPr>
                <w:rFonts w:eastAsia="Times New Roman" w:cs="Arial"/>
              </w:rPr>
              <w:t>Case No. 14-842-EL-ATA</w:t>
            </w:r>
          </w:p>
        </w:tc>
      </w:tr>
    </w:tbl>
    <w:p w:rsidR="00B46381" w:rsidRPr="00B46381" w:rsidRDefault="00B46381" w:rsidP="00B46381">
      <w:pPr>
        <w:tabs>
          <w:tab w:val="left" w:pos="5040"/>
        </w:tabs>
        <w:jc w:val="both"/>
        <w:rPr>
          <w:rFonts w:eastAsia="Times New Roman" w:cs="Arial"/>
        </w:rPr>
      </w:pPr>
    </w:p>
    <w:p w:rsidR="00B46381" w:rsidRPr="00B46381" w:rsidRDefault="00B46381" w:rsidP="00B46381">
      <w:pPr>
        <w:tabs>
          <w:tab w:val="left" w:pos="5040"/>
        </w:tabs>
        <w:jc w:val="both"/>
        <w:rPr>
          <w:rFonts w:eastAsia="Times New Roman" w:cs="Arial"/>
          <w:b/>
        </w:rPr>
      </w:pPr>
      <w:r w:rsidRPr="00B46381">
        <w:rPr>
          <w:rFonts w:eastAsia="Times New Roman" w:cs="Arial"/>
          <w:b/>
        </w:rPr>
        <w:t>______________________________________________________________________</w:t>
      </w:r>
    </w:p>
    <w:p w:rsidR="00B46381" w:rsidRPr="00B46381" w:rsidRDefault="00B46381" w:rsidP="00B46381">
      <w:pPr>
        <w:tabs>
          <w:tab w:val="left" w:pos="5040"/>
        </w:tabs>
        <w:jc w:val="both"/>
        <w:rPr>
          <w:rFonts w:eastAsia="Times New Roman" w:cs="Arial"/>
          <w:b/>
        </w:rPr>
      </w:pPr>
    </w:p>
    <w:p w:rsidR="00B46381" w:rsidRPr="00B46381" w:rsidRDefault="00B46381" w:rsidP="00B46381">
      <w:pPr>
        <w:jc w:val="center"/>
        <w:rPr>
          <w:rFonts w:eastAsia="Calibri" w:cs="Arial"/>
          <w:b/>
          <w:caps/>
          <w:sz w:val="28"/>
          <w:szCs w:val="28"/>
        </w:rPr>
      </w:pPr>
      <w:r>
        <w:rPr>
          <w:rFonts w:eastAsia="Calibri" w:cs="Arial"/>
          <w:b/>
          <w:caps/>
          <w:sz w:val="28"/>
          <w:szCs w:val="28"/>
        </w:rPr>
        <w:t xml:space="preserve">Memorandum in support of the application for rehearing </w:t>
      </w:r>
      <w:r w:rsidRPr="00B46381">
        <w:rPr>
          <w:rFonts w:eastAsia="Calibri" w:cs="Arial"/>
          <w:b/>
          <w:caps/>
          <w:sz w:val="28"/>
          <w:szCs w:val="28"/>
        </w:rPr>
        <w:t>OF Industrial Energy Users-Ohio</w:t>
      </w:r>
    </w:p>
    <w:p w:rsidR="00B46381" w:rsidRPr="00B46381" w:rsidRDefault="00B46381" w:rsidP="00B46381">
      <w:pPr>
        <w:jc w:val="center"/>
        <w:rPr>
          <w:rFonts w:eastAsia="Calibri" w:cs="Arial"/>
          <w:b/>
          <w:caps/>
        </w:rPr>
      </w:pPr>
      <w:r w:rsidRPr="00B46381">
        <w:rPr>
          <w:rFonts w:eastAsia="Calibri" w:cs="Arial"/>
          <w:b/>
          <w:caps/>
        </w:rPr>
        <w:t>______________________________________________________________________</w:t>
      </w:r>
    </w:p>
    <w:p w:rsidR="008E3BF4" w:rsidRDefault="008E3BF4" w:rsidP="00A03823">
      <w:pPr>
        <w:spacing w:after="240"/>
      </w:pPr>
    </w:p>
    <w:p w:rsidR="00BF5CAF" w:rsidRDefault="00BF5CAF" w:rsidP="00EA1E7B">
      <w:pPr>
        <w:pStyle w:val="Heading1"/>
        <w:numPr>
          <w:ilvl w:val="0"/>
          <w:numId w:val="9"/>
        </w:numPr>
      </w:pPr>
      <w:bookmarkStart w:id="17" w:name="_Toc418495445"/>
      <w:r>
        <w:t>Introduction</w:t>
      </w:r>
      <w:bookmarkEnd w:id="17"/>
    </w:p>
    <w:p w:rsidR="00BF5CAF" w:rsidRPr="00BF5CAF" w:rsidRDefault="00BF5CAF" w:rsidP="00BF5CAF">
      <w:pPr>
        <w:spacing w:line="480" w:lineRule="auto"/>
        <w:ind w:firstLine="720"/>
        <w:jc w:val="both"/>
      </w:pPr>
      <w:r w:rsidRPr="00BF5CAF">
        <w:t xml:space="preserve">In its Application, Duke Energy Ohio, Inc. (“Duke”) </w:t>
      </w:r>
      <w:r>
        <w:t>sought</w:t>
      </w:r>
      <w:r w:rsidRPr="00BF5CAF">
        <w:t xml:space="preserve"> authorization of an Electric Security Plan (“ESP”) for the period of June 1, 2015 to May 31, 2018.</w:t>
      </w:r>
      <w:r w:rsidRPr="00BF5CAF">
        <w:rPr>
          <w:vertAlign w:val="superscript"/>
        </w:rPr>
        <w:footnoteReference w:id="1"/>
      </w:r>
      <w:r w:rsidRPr="00BF5CAF">
        <w:t xml:space="preserve">  </w:t>
      </w:r>
      <w:r w:rsidR="004C0D0F">
        <w:t>As a term of the ESP, t</w:t>
      </w:r>
      <w:r>
        <w:t>he Application proposed</w:t>
      </w:r>
      <w:r w:rsidRPr="00BF5CAF">
        <w:t xml:space="preserve"> a new nonbypassable rider, the Price Stabilization Rider (“PSR”), which would recover </w:t>
      </w:r>
      <w:r w:rsidR="008472CE">
        <w:t xml:space="preserve">above-market </w:t>
      </w:r>
      <w:r w:rsidRPr="00BF5CAF">
        <w:t xml:space="preserve">generation-related </w:t>
      </w:r>
      <w:r w:rsidR="008472CE">
        <w:lastRenderedPageBreak/>
        <w:t xml:space="preserve">wholesale </w:t>
      </w:r>
      <w:r w:rsidRPr="00BF5CAF">
        <w:t>costs associated with Duke’s retained interest in generation plants operated by Ohio Valley Electric Corporation (“OVEC”).</w:t>
      </w:r>
      <w:r w:rsidRPr="00BF5CAF">
        <w:rPr>
          <w:vertAlign w:val="superscript"/>
        </w:rPr>
        <w:footnoteReference w:id="2"/>
      </w:r>
      <w:r w:rsidRPr="00BF5CAF">
        <w:t xml:space="preserve">  </w:t>
      </w:r>
    </w:p>
    <w:p w:rsidR="00BF5CAF" w:rsidRPr="00BF5CAF" w:rsidRDefault="00BF5CAF" w:rsidP="00BF5CAF">
      <w:pPr>
        <w:spacing w:line="480" w:lineRule="auto"/>
        <w:ind w:firstLine="720"/>
        <w:jc w:val="both"/>
        <w:rPr>
          <w:rFonts w:eastAsia="Calibri" w:cs="Times New Roman"/>
        </w:rPr>
      </w:pPr>
      <w:r w:rsidRPr="00BF5CAF">
        <w:rPr>
          <w:rFonts w:eastAsia="Calibri" w:cs="Times New Roman"/>
        </w:rPr>
        <w:t xml:space="preserve">In the ESP Order, the Commission found that </w:t>
      </w:r>
      <w:r>
        <w:rPr>
          <w:rFonts w:eastAsia="Calibri" w:cs="Times New Roman"/>
        </w:rPr>
        <w:t>Duke</w:t>
      </w:r>
      <w:r w:rsidRPr="00BF5CAF">
        <w:rPr>
          <w:rFonts w:eastAsia="Calibri" w:cs="Times New Roman"/>
        </w:rPr>
        <w:t xml:space="preserve"> had failed to demonstrate the proposed </w:t>
      </w:r>
      <w:r>
        <w:rPr>
          <w:rFonts w:eastAsia="Calibri" w:cs="Times New Roman"/>
        </w:rPr>
        <w:t>PSR</w:t>
      </w:r>
      <w:r w:rsidRPr="00BF5CAF">
        <w:rPr>
          <w:rFonts w:eastAsia="Calibri" w:cs="Times New Roman"/>
        </w:rPr>
        <w:t xml:space="preserve"> would provide customers the stability benefits, the so-called “hedge,” that </w:t>
      </w:r>
      <w:r>
        <w:rPr>
          <w:rFonts w:eastAsia="Calibri" w:cs="Times New Roman"/>
        </w:rPr>
        <w:t>Duke</w:t>
      </w:r>
      <w:r w:rsidRPr="00BF5CAF">
        <w:rPr>
          <w:rFonts w:eastAsia="Calibri" w:cs="Times New Roman"/>
        </w:rPr>
        <w:t xml:space="preserve"> claimed, but still authorized </w:t>
      </w:r>
      <w:r>
        <w:rPr>
          <w:rFonts w:eastAsia="Calibri" w:cs="Times New Roman"/>
        </w:rPr>
        <w:t>Duke</w:t>
      </w:r>
      <w:r w:rsidRPr="00BF5CAF">
        <w:rPr>
          <w:rFonts w:eastAsia="Calibri" w:cs="Times New Roman"/>
        </w:rPr>
        <w:t xml:space="preserve"> to establish a </w:t>
      </w:r>
      <w:r>
        <w:rPr>
          <w:rFonts w:eastAsia="Calibri" w:cs="Times New Roman"/>
        </w:rPr>
        <w:t>PSR</w:t>
      </w:r>
      <w:r w:rsidRPr="00BF5CAF">
        <w:rPr>
          <w:rFonts w:eastAsia="Calibri" w:cs="Times New Roman"/>
        </w:rPr>
        <w:t xml:space="preserve"> as a placeholder with an initial rate of zero.</w:t>
      </w:r>
      <w:r w:rsidRPr="00BF5CAF">
        <w:rPr>
          <w:rFonts w:eastAsia="Calibri" w:cs="Times New Roman"/>
          <w:vertAlign w:val="superscript"/>
        </w:rPr>
        <w:footnoteReference w:id="3"/>
      </w:r>
      <w:r w:rsidRPr="00BF5CAF">
        <w:rPr>
          <w:rFonts w:eastAsia="Calibri" w:cs="Times New Roman"/>
        </w:rPr>
        <w:t xml:space="preserve">  Further, the Commission left open the door for </w:t>
      </w:r>
      <w:r>
        <w:rPr>
          <w:rFonts w:eastAsia="Calibri" w:cs="Times New Roman"/>
        </w:rPr>
        <w:t>Duke</w:t>
      </w:r>
      <w:r w:rsidRPr="00BF5CAF">
        <w:rPr>
          <w:rFonts w:eastAsia="Calibri" w:cs="Times New Roman"/>
        </w:rPr>
        <w:t xml:space="preserve"> to make a “future filing” for authorization to recover generation-related costs and directed </w:t>
      </w:r>
      <w:r>
        <w:rPr>
          <w:rFonts w:eastAsia="Calibri" w:cs="Times New Roman"/>
        </w:rPr>
        <w:t>Duke</w:t>
      </w:r>
      <w:r w:rsidRPr="00BF5CAF">
        <w:rPr>
          <w:rFonts w:eastAsia="Calibri" w:cs="Times New Roman"/>
        </w:rPr>
        <w:t xml:space="preserve"> to address at least four “factors” if it sought cost recovery.</w:t>
      </w:r>
      <w:r w:rsidRPr="00BF5CAF">
        <w:rPr>
          <w:rFonts w:eastAsia="Calibri" w:cs="Times New Roman"/>
          <w:vertAlign w:val="superscript"/>
        </w:rPr>
        <w:footnoteReference w:id="4"/>
      </w:r>
      <w:r w:rsidRPr="00BF5CAF">
        <w:rPr>
          <w:rFonts w:eastAsia="Calibri" w:cs="Times New Roman"/>
        </w:rPr>
        <w:t xml:space="preserve">  </w:t>
      </w:r>
    </w:p>
    <w:p w:rsidR="00BF5CAF" w:rsidRPr="00BF5CAF" w:rsidRDefault="00BF5CAF" w:rsidP="00BF5CAF">
      <w:pPr>
        <w:spacing w:line="480" w:lineRule="auto"/>
        <w:ind w:firstLine="720"/>
        <w:jc w:val="both"/>
        <w:rPr>
          <w:rFonts w:eastAsia="Times New Roman" w:cs="Arial"/>
        </w:rPr>
      </w:pPr>
      <w:r w:rsidRPr="00BF5CAF">
        <w:rPr>
          <w:rFonts w:eastAsia="Times New Roman" w:cs="Arial"/>
        </w:rPr>
        <w:t xml:space="preserve">The </w:t>
      </w:r>
      <w:r w:rsidR="006401E3">
        <w:rPr>
          <w:rFonts w:eastAsia="Times New Roman" w:cs="Arial"/>
        </w:rPr>
        <w:t>ESP</w:t>
      </w:r>
      <w:r w:rsidR="006401E3" w:rsidRPr="00BF5CAF">
        <w:rPr>
          <w:rFonts w:eastAsia="Times New Roman" w:cs="Arial"/>
        </w:rPr>
        <w:t xml:space="preserve"> </w:t>
      </w:r>
      <w:r w:rsidR="006401E3">
        <w:rPr>
          <w:rFonts w:eastAsia="Times New Roman" w:cs="Arial"/>
        </w:rPr>
        <w:t>O</w:t>
      </w:r>
      <w:r w:rsidRPr="00BF5CAF">
        <w:rPr>
          <w:rFonts w:eastAsia="Times New Roman" w:cs="Arial"/>
        </w:rPr>
        <w:t xml:space="preserve">rder is unlawful </w:t>
      </w:r>
      <w:r w:rsidR="003C76F5">
        <w:rPr>
          <w:rFonts w:eastAsia="Times New Roman" w:cs="Arial"/>
        </w:rPr>
        <w:t xml:space="preserve">and unreasonable </w:t>
      </w:r>
      <w:r w:rsidRPr="00BF5CAF">
        <w:rPr>
          <w:rFonts w:eastAsia="Times New Roman" w:cs="Arial"/>
        </w:rPr>
        <w:t xml:space="preserve">for several reasons.  </w:t>
      </w:r>
    </w:p>
    <w:p w:rsidR="00BF5CAF" w:rsidRPr="00BF5CAF" w:rsidRDefault="00BF5CAF" w:rsidP="00BF5CAF">
      <w:pPr>
        <w:numPr>
          <w:ilvl w:val="0"/>
          <w:numId w:val="2"/>
        </w:numPr>
        <w:spacing w:line="480" w:lineRule="auto"/>
        <w:jc w:val="both"/>
        <w:rPr>
          <w:rFonts w:eastAsia="Times New Roman" w:cs="Arial"/>
        </w:rPr>
      </w:pPr>
      <w:r w:rsidRPr="00BF5CAF">
        <w:rPr>
          <w:rFonts w:eastAsia="Times New Roman" w:cs="Arial"/>
        </w:rPr>
        <w:t xml:space="preserve">The Commission’s finding that it may authorize the </w:t>
      </w:r>
      <w:r>
        <w:rPr>
          <w:rFonts w:eastAsia="Times New Roman" w:cs="Arial"/>
        </w:rPr>
        <w:t>PSR</w:t>
      </w:r>
      <w:r w:rsidRPr="00BF5CAF">
        <w:rPr>
          <w:rFonts w:eastAsia="Times New Roman" w:cs="Arial"/>
        </w:rPr>
        <w:t xml:space="preserve"> as a term of an ESP is unlawful because R.C. 4928.143(B)(2)(d) does not provide authorization for a nonbypassable generation-related rider.  </w:t>
      </w:r>
    </w:p>
    <w:p w:rsidR="00BF5CAF" w:rsidRDefault="00BF5CAF" w:rsidP="00BF5CAF">
      <w:pPr>
        <w:numPr>
          <w:ilvl w:val="0"/>
          <w:numId w:val="2"/>
        </w:numPr>
        <w:spacing w:line="480" w:lineRule="auto"/>
        <w:jc w:val="both"/>
        <w:rPr>
          <w:rFonts w:eastAsia="Times New Roman" w:cs="Arial"/>
        </w:rPr>
      </w:pPr>
      <w:r w:rsidRPr="00BF5CAF">
        <w:rPr>
          <w:rFonts w:eastAsia="Times New Roman" w:cs="Arial"/>
        </w:rPr>
        <w:t xml:space="preserve">The Commission’s finding that it may increase </w:t>
      </w:r>
      <w:r>
        <w:rPr>
          <w:rFonts w:eastAsia="Times New Roman" w:cs="Arial"/>
        </w:rPr>
        <w:t>Duke</w:t>
      </w:r>
      <w:r w:rsidRPr="00BF5CAF">
        <w:rPr>
          <w:rFonts w:eastAsia="Times New Roman" w:cs="Arial"/>
        </w:rPr>
        <w:t>’s compensation for wholesale generation-related electric services is unlawful because the finding exceeds the Commission’s jurisdiction under Ohio law.</w:t>
      </w:r>
    </w:p>
    <w:p w:rsidR="00C84A0A" w:rsidRPr="00C84A0A" w:rsidRDefault="00C84A0A" w:rsidP="00C84A0A">
      <w:pPr>
        <w:numPr>
          <w:ilvl w:val="0"/>
          <w:numId w:val="2"/>
        </w:numPr>
        <w:spacing w:line="480" w:lineRule="auto"/>
        <w:jc w:val="both"/>
        <w:rPr>
          <w:rFonts w:eastAsia="Times New Roman" w:cs="Arial"/>
        </w:rPr>
      </w:pPr>
      <w:r w:rsidRPr="00C84A0A">
        <w:rPr>
          <w:rFonts w:eastAsia="Times New Roman" w:cs="Arial"/>
        </w:rPr>
        <w:t xml:space="preserve">The Commission’s finding that it can authorize Duke to collect above-market wholesale generation-related costs through a separate filing would permit Duke to unlawfully evade the requirements of R.C. 4928.02(B) and R.C. 4928.143(C)(1). </w:t>
      </w:r>
    </w:p>
    <w:p w:rsidR="00BF5CAF" w:rsidRPr="00BF5CAF" w:rsidRDefault="00BF5CAF" w:rsidP="00BF5CAF">
      <w:pPr>
        <w:numPr>
          <w:ilvl w:val="0"/>
          <w:numId w:val="2"/>
        </w:numPr>
        <w:spacing w:line="480" w:lineRule="auto"/>
        <w:jc w:val="both"/>
        <w:rPr>
          <w:rFonts w:eastAsia="Times New Roman" w:cs="Arial"/>
        </w:rPr>
      </w:pPr>
      <w:r>
        <w:rPr>
          <w:rFonts w:eastAsia="Times New Roman" w:cs="Arial"/>
        </w:rPr>
        <w:t>Duke</w:t>
      </w:r>
      <w:r w:rsidRPr="00BF5CAF">
        <w:rPr>
          <w:rFonts w:eastAsia="Times New Roman" w:cs="Arial"/>
        </w:rPr>
        <w:t xml:space="preserve"> did not satisfy the burden of proof to demonstrate that the </w:t>
      </w:r>
      <w:r>
        <w:rPr>
          <w:rFonts w:eastAsia="Times New Roman" w:cs="Arial"/>
        </w:rPr>
        <w:t>PSR</w:t>
      </w:r>
      <w:r w:rsidRPr="00BF5CAF">
        <w:rPr>
          <w:rFonts w:eastAsia="Times New Roman" w:cs="Arial"/>
        </w:rPr>
        <w:t xml:space="preserve"> is a limitation on customer shopping, and the Commission’s finding that the </w:t>
      </w:r>
      <w:r>
        <w:rPr>
          <w:rFonts w:eastAsia="Times New Roman" w:cs="Arial"/>
        </w:rPr>
        <w:t>PSR</w:t>
      </w:r>
      <w:r w:rsidRPr="00BF5CAF">
        <w:rPr>
          <w:rFonts w:eastAsia="Times New Roman" w:cs="Arial"/>
        </w:rPr>
        <w:t xml:space="preserve"> </w:t>
      </w:r>
      <w:r w:rsidRPr="00BF5CAF">
        <w:rPr>
          <w:rFonts w:eastAsia="Times New Roman" w:cs="Arial"/>
        </w:rPr>
        <w:lastRenderedPageBreak/>
        <w:t xml:space="preserve">is a limitation on customer shopping is not supported by the manifest weight of the evidence.  </w:t>
      </w:r>
    </w:p>
    <w:p w:rsidR="00BF5CAF" w:rsidRPr="00BF5CAF" w:rsidRDefault="00BF5CAF" w:rsidP="003C76F5">
      <w:pPr>
        <w:numPr>
          <w:ilvl w:val="0"/>
          <w:numId w:val="2"/>
        </w:numPr>
        <w:spacing w:line="480" w:lineRule="auto"/>
        <w:jc w:val="both"/>
        <w:rPr>
          <w:rFonts w:eastAsia="Times New Roman" w:cs="Arial"/>
        </w:rPr>
      </w:pPr>
      <w:r w:rsidRPr="00BF5CAF">
        <w:rPr>
          <w:rFonts w:eastAsia="Times New Roman" w:cs="Arial"/>
        </w:rPr>
        <w:t xml:space="preserve">The Commission’s finding that the </w:t>
      </w:r>
      <w:r>
        <w:rPr>
          <w:rFonts w:eastAsia="Times New Roman" w:cs="Arial"/>
        </w:rPr>
        <w:t>PSR</w:t>
      </w:r>
      <w:r w:rsidRPr="00BF5CAF">
        <w:rPr>
          <w:rFonts w:eastAsia="Times New Roman" w:cs="Arial"/>
        </w:rPr>
        <w:t xml:space="preserve"> may have the effect of providing certainty or stability in the provision of retail electric service is not supported by the manifest weight of the evidence and is expressly contradicted by the Commission’s determination that</w:t>
      </w:r>
      <w:r w:rsidR="003C76F5">
        <w:rPr>
          <w:rFonts w:eastAsia="Times New Roman" w:cs="Arial"/>
        </w:rPr>
        <w:t xml:space="preserve"> the PSR would not provide rate stabil</w:t>
      </w:r>
      <w:r w:rsidR="00344B7C">
        <w:rPr>
          <w:rFonts w:eastAsia="Times New Roman" w:cs="Arial"/>
        </w:rPr>
        <w:t>i</w:t>
      </w:r>
      <w:r w:rsidR="003C76F5">
        <w:rPr>
          <w:rFonts w:eastAsia="Times New Roman" w:cs="Arial"/>
        </w:rPr>
        <w:t>ty</w:t>
      </w:r>
      <w:r w:rsidRPr="00BF5CAF">
        <w:rPr>
          <w:rFonts w:eastAsia="Times New Roman" w:cs="Arial"/>
        </w:rPr>
        <w:t xml:space="preserve">.  </w:t>
      </w:r>
    </w:p>
    <w:p w:rsidR="00BF5CAF" w:rsidRPr="00BF5CAF" w:rsidRDefault="00BF5CAF" w:rsidP="00BF5CAF">
      <w:pPr>
        <w:numPr>
          <w:ilvl w:val="0"/>
          <w:numId w:val="2"/>
        </w:numPr>
        <w:spacing w:line="480" w:lineRule="auto"/>
        <w:jc w:val="both"/>
        <w:rPr>
          <w:rFonts w:eastAsia="Times New Roman" w:cs="Arial"/>
        </w:rPr>
      </w:pPr>
      <w:r w:rsidRPr="00BF5CAF">
        <w:rPr>
          <w:rFonts w:eastAsia="Times New Roman" w:cs="Arial"/>
        </w:rPr>
        <w:t xml:space="preserve">The Commission’s finding that it may authorize </w:t>
      </w:r>
      <w:r>
        <w:rPr>
          <w:rFonts w:eastAsia="Times New Roman" w:cs="Arial"/>
        </w:rPr>
        <w:t>Duke</w:t>
      </w:r>
      <w:r w:rsidRPr="00BF5CAF">
        <w:rPr>
          <w:rFonts w:eastAsia="Times New Roman" w:cs="Arial"/>
        </w:rPr>
        <w:t xml:space="preserve"> to bill and collect above-market wholesale generation-related costs is unlawful because the authorization would violate R.C. 4928.02(H). </w:t>
      </w:r>
    </w:p>
    <w:p w:rsidR="00BF5CAF" w:rsidRPr="00BF5CAF" w:rsidRDefault="00BF5CAF" w:rsidP="00BF5CAF">
      <w:pPr>
        <w:numPr>
          <w:ilvl w:val="0"/>
          <w:numId w:val="2"/>
        </w:numPr>
        <w:spacing w:line="480" w:lineRule="auto"/>
        <w:jc w:val="both"/>
        <w:rPr>
          <w:rFonts w:eastAsia="Times New Roman" w:cs="Arial"/>
        </w:rPr>
      </w:pPr>
      <w:r w:rsidRPr="00BF5CAF">
        <w:rPr>
          <w:rFonts w:eastAsia="Times New Roman" w:cs="Arial"/>
        </w:rPr>
        <w:t xml:space="preserve">The Commission’s finding that R.C. 4928.02(H) does not bar the authorization of the </w:t>
      </w:r>
      <w:r>
        <w:rPr>
          <w:rFonts w:eastAsia="Times New Roman" w:cs="Arial"/>
        </w:rPr>
        <w:t>PSR</w:t>
      </w:r>
      <w:r w:rsidRPr="00BF5CAF">
        <w:rPr>
          <w:rFonts w:eastAsia="Times New Roman" w:cs="Arial"/>
        </w:rPr>
        <w:t xml:space="preserve"> is unlawful because it departed from prior precedent without a reasoned explanation and the finding that the </w:t>
      </w:r>
      <w:r>
        <w:rPr>
          <w:rFonts w:eastAsia="Times New Roman" w:cs="Arial"/>
        </w:rPr>
        <w:t>PSR</w:t>
      </w:r>
      <w:r w:rsidRPr="00BF5CAF">
        <w:rPr>
          <w:rFonts w:eastAsia="Times New Roman" w:cs="Arial"/>
        </w:rPr>
        <w:t xml:space="preserve"> does not violate the section is neither lawful nor substantively reasonable.  </w:t>
      </w:r>
    </w:p>
    <w:p w:rsidR="00BF5CAF" w:rsidRPr="00BF5CAF" w:rsidRDefault="00BF5CAF" w:rsidP="00BF5CAF">
      <w:pPr>
        <w:numPr>
          <w:ilvl w:val="0"/>
          <w:numId w:val="2"/>
        </w:numPr>
        <w:spacing w:line="480" w:lineRule="auto"/>
        <w:jc w:val="both"/>
        <w:rPr>
          <w:rFonts w:eastAsia="Times New Roman" w:cs="Arial"/>
        </w:rPr>
      </w:pPr>
      <w:r w:rsidRPr="00BF5CAF">
        <w:rPr>
          <w:rFonts w:eastAsia="Times New Roman" w:cs="Arial"/>
        </w:rPr>
        <w:t xml:space="preserve">The Commission’s authorization of the </w:t>
      </w:r>
      <w:r>
        <w:rPr>
          <w:rFonts w:eastAsia="Times New Roman" w:cs="Arial"/>
        </w:rPr>
        <w:t>PSR</w:t>
      </w:r>
      <w:r w:rsidRPr="00BF5CAF">
        <w:rPr>
          <w:rFonts w:eastAsia="Times New Roman" w:cs="Arial"/>
        </w:rPr>
        <w:t xml:space="preserve"> is unlawful because the Commission may not authorize, in practice or theory, the recovery of transition revenue or its equivalent.  </w:t>
      </w:r>
    </w:p>
    <w:p w:rsidR="00BF5CAF" w:rsidRPr="00BF5CAF" w:rsidRDefault="00BF5CAF" w:rsidP="00BF5CAF">
      <w:pPr>
        <w:numPr>
          <w:ilvl w:val="0"/>
          <w:numId w:val="2"/>
        </w:numPr>
        <w:spacing w:line="480" w:lineRule="auto"/>
        <w:jc w:val="both"/>
        <w:rPr>
          <w:rFonts w:eastAsia="Times New Roman" w:cs="Arial"/>
        </w:rPr>
      </w:pPr>
      <w:r w:rsidRPr="00BF5CAF">
        <w:rPr>
          <w:rFonts w:eastAsia="Times New Roman" w:cs="Arial"/>
        </w:rPr>
        <w:t xml:space="preserve">The Commission’s authorization for </w:t>
      </w:r>
      <w:r>
        <w:rPr>
          <w:rFonts w:eastAsia="Times New Roman" w:cs="Arial"/>
        </w:rPr>
        <w:t>Duke</w:t>
      </w:r>
      <w:r w:rsidRPr="00BF5CAF">
        <w:rPr>
          <w:rFonts w:eastAsia="Times New Roman" w:cs="Arial"/>
        </w:rPr>
        <w:t xml:space="preserve"> to establish a </w:t>
      </w:r>
      <w:r>
        <w:rPr>
          <w:rFonts w:eastAsia="Times New Roman" w:cs="Arial"/>
        </w:rPr>
        <w:t>PSR</w:t>
      </w:r>
      <w:r w:rsidRPr="00BF5CAF">
        <w:rPr>
          <w:rFonts w:eastAsia="Times New Roman" w:cs="Arial"/>
        </w:rPr>
        <w:t xml:space="preserve"> is preempted by the Federal Power Act (“FPA”). </w:t>
      </w:r>
    </w:p>
    <w:p w:rsidR="00BF5CAF" w:rsidRPr="00BF5CAF" w:rsidRDefault="00BF5CAF" w:rsidP="00BF5CAF">
      <w:pPr>
        <w:numPr>
          <w:ilvl w:val="0"/>
          <w:numId w:val="2"/>
        </w:numPr>
        <w:spacing w:line="480" w:lineRule="auto"/>
        <w:jc w:val="both"/>
        <w:rPr>
          <w:rFonts w:eastAsia="Times New Roman" w:cs="Arial"/>
        </w:rPr>
      </w:pPr>
      <w:r w:rsidRPr="00BF5CAF">
        <w:rPr>
          <w:rFonts w:eastAsia="Times New Roman" w:cs="Arial"/>
        </w:rPr>
        <w:t>The Commission’s establishment of a “rule” defining a future filing to secure authorization of generation-related cost recovery violated the requirements applicable to the Commission for rulemaking under Chapter 119 of the Revised Code and was not a lawful adoption of a “rule” by adjudication.</w:t>
      </w:r>
    </w:p>
    <w:p w:rsidR="00BF5CAF" w:rsidRDefault="00BF5CAF" w:rsidP="00BF5CAF">
      <w:pPr>
        <w:numPr>
          <w:ilvl w:val="0"/>
          <w:numId w:val="2"/>
        </w:numPr>
        <w:spacing w:line="480" w:lineRule="auto"/>
        <w:jc w:val="both"/>
        <w:rPr>
          <w:rFonts w:eastAsia="Times New Roman" w:cs="Arial"/>
        </w:rPr>
      </w:pPr>
      <w:r w:rsidRPr="00BF5CAF">
        <w:rPr>
          <w:rFonts w:eastAsia="Times New Roman" w:cs="Arial"/>
        </w:rPr>
        <w:lastRenderedPageBreak/>
        <w:t xml:space="preserve">The “factors” and “process” the Commission identified for addressing a “future filing” by </w:t>
      </w:r>
      <w:r>
        <w:rPr>
          <w:rFonts w:eastAsia="Times New Roman" w:cs="Arial"/>
        </w:rPr>
        <w:t>Duke</w:t>
      </w:r>
      <w:r w:rsidRPr="00BF5CAF">
        <w:rPr>
          <w:rFonts w:eastAsia="Times New Roman" w:cs="Arial"/>
        </w:rPr>
        <w:t xml:space="preserve"> to recover above-market generation-related costs are void for vagueness.</w:t>
      </w:r>
    </w:p>
    <w:p w:rsidR="00C84A0A" w:rsidRDefault="00BF5CAF" w:rsidP="008105C2">
      <w:pPr>
        <w:spacing w:line="480" w:lineRule="auto"/>
        <w:jc w:val="both"/>
        <w:rPr>
          <w:rFonts w:eastAsia="Calibri" w:cs="Times New Roman"/>
        </w:rPr>
      </w:pPr>
      <w:r w:rsidRPr="00BF5CAF">
        <w:rPr>
          <w:rFonts w:eastAsia="Calibri" w:cs="Times New Roman"/>
        </w:rPr>
        <w:t xml:space="preserve">Because the Commission’s orders concerning the </w:t>
      </w:r>
      <w:r>
        <w:rPr>
          <w:rFonts w:eastAsia="Calibri" w:cs="Times New Roman"/>
        </w:rPr>
        <w:t>PSR</w:t>
      </w:r>
      <w:r w:rsidRPr="00BF5CAF">
        <w:rPr>
          <w:rFonts w:eastAsia="Calibri" w:cs="Times New Roman"/>
        </w:rPr>
        <w:t xml:space="preserve"> and a “future filing” are unlawful and unreasonable, the Commission should grant rehearing and reverse those orders.  </w:t>
      </w:r>
    </w:p>
    <w:p w:rsidR="00BF5CAF" w:rsidRDefault="00BF5CAF" w:rsidP="000674BC">
      <w:pPr>
        <w:spacing w:after="120" w:line="480" w:lineRule="auto"/>
        <w:ind w:firstLine="720"/>
        <w:jc w:val="both"/>
        <w:rPr>
          <w:rFonts w:eastAsia="Calibri" w:cs="Times New Roman"/>
        </w:rPr>
      </w:pPr>
      <w:r w:rsidRPr="00BF5CAF">
        <w:rPr>
          <w:rFonts w:eastAsia="Calibri" w:cs="Times New Roman"/>
        </w:rPr>
        <w:t xml:space="preserve">If the Commission does not reverse the orders authorizing the rider and future filing, it should grant rehearing and clarify the “factors” it will consider in a future filing and include requirements that the </w:t>
      </w:r>
      <w:r w:rsidR="003C76F5">
        <w:rPr>
          <w:rFonts w:eastAsia="Calibri" w:cs="Times New Roman"/>
        </w:rPr>
        <w:t>“</w:t>
      </w:r>
      <w:r w:rsidR="004C0D0F">
        <w:rPr>
          <w:rFonts w:eastAsia="Calibri" w:cs="Times New Roman"/>
        </w:rPr>
        <w:t>hedge</w:t>
      </w:r>
      <w:r w:rsidR="003C76F5">
        <w:rPr>
          <w:rFonts w:eastAsia="Calibri" w:cs="Times New Roman"/>
        </w:rPr>
        <w:t>” which customers are required to pay for</w:t>
      </w:r>
      <w:r w:rsidRPr="00BF5CAF">
        <w:rPr>
          <w:rFonts w:eastAsia="Calibri" w:cs="Times New Roman"/>
        </w:rPr>
        <w:t xml:space="preserve"> be “least-cost” and that </w:t>
      </w:r>
      <w:r>
        <w:rPr>
          <w:rFonts w:eastAsia="Calibri" w:cs="Times New Roman"/>
        </w:rPr>
        <w:t>Duke</w:t>
      </w:r>
      <w:r w:rsidRPr="00BF5CAF">
        <w:rPr>
          <w:rFonts w:eastAsia="Calibri" w:cs="Times New Roman"/>
        </w:rPr>
        <w:t xml:space="preserve"> be require</w:t>
      </w:r>
      <w:r w:rsidR="004C0D0F">
        <w:rPr>
          <w:rFonts w:eastAsia="Calibri" w:cs="Times New Roman"/>
        </w:rPr>
        <w:t>d to seek competitive bids for the product</w:t>
      </w:r>
      <w:r w:rsidRPr="00BF5CAF">
        <w:rPr>
          <w:rFonts w:eastAsia="Calibri" w:cs="Times New Roman"/>
        </w:rPr>
        <w:t xml:space="preserve"> that it alleges will serve as a “hedge.”  Further, the Commission should require </w:t>
      </w:r>
      <w:r>
        <w:rPr>
          <w:rFonts w:eastAsia="Calibri" w:cs="Times New Roman"/>
        </w:rPr>
        <w:t>Duke</w:t>
      </w:r>
      <w:r w:rsidRPr="00BF5CAF">
        <w:rPr>
          <w:rFonts w:eastAsia="Calibri" w:cs="Times New Roman"/>
        </w:rPr>
        <w:t xml:space="preserve"> to demonstrate that the resulting ESP will satisfy the requirements of R.C. 4928.143(C)(1).</w:t>
      </w:r>
    </w:p>
    <w:p w:rsidR="00287126" w:rsidRDefault="00287126" w:rsidP="003C76F5">
      <w:pPr>
        <w:pStyle w:val="Heading1"/>
        <w:rPr>
          <w:rFonts w:eastAsia="Calibri"/>
        </w:rPr>
      </w:pPr>
      <w:bookmarkStart w:id="18" w:name="_Toc418495446"/>
      <w:r>
        <w:rPr>
          <w:rFonts w:eastAsia="Calibri"/>
        </w:rPr>
        <w:t>Authorization of the PSR Is Unlawful and Unreasonable</w:t>
      </w:r>
      <w:bookmarkEnd w:id="18"/>
    </w:p>
    <w:p w:rsidR="00E766EC" w:rsidRDefault="00E766EC" w:rsidP="00287126">
      <w:pPr>
        <w:spacing w:line="480" w:lineRule="auto"/>
        <w:ind w:firstLine="720"/>
        <w:jc w:val="both"/>
        <w:rPr>
          <w:rFonts w:eastAsia="Times New Roman" w:cs="Arial"/>
        </w:rPr>
      </w:pPr>
      <w:r>
        <w:rPr>
          <w:rFonts w:eastAsia="Times New Roman" w:cs="Arial"/>
        </w:rPr>
        <w:t>T</w:t>
      </w:r>
      <w:r w:rsidR="00287126" w:rsidRPr="00077C6E">
        <w:rPr>
          <w:rFonts w:eastAsia="Times New Roman" w:cs="Arial"/>
        </w:rPr>
        <w:t xml:space="preserve">he Commission refused to authorize </w:t>
      </w:r>
      <w:r w:rsidR="00287126">
        <w:rPr>
          <w:rFonts w:eastAsia="Times New Roman" w:cs="Arial"/>
        </w:rPr>
        <w:t>Duke</w:t>
      </w:r>
      <w:r w:rsidR="00287126" w:rsidRPr="00077C6E">
        <w:rPr>
          <w:rFonts w:eastAsia="Times New Roman" w:cs="Arial"/>
        </w:rPr>
        <w:t xml:space="preserve"> to begin to bill and collect the above-market generation-related </w:t>
      </w:r>
      <w:r w:rsidR="003C76F5" w:rsidRPr="00077C6E">
        <w:rPr>
          <w:rFonts w:eastAsia="Times New Roman" w:cs="Arial"/>
        </w:rPr>
        <w:t xml:space="preserve">wholesale </w:t>
      </w:r>
      <w:r w:rsidR="00287126" w:rsidRPr="00077C6E">
        <w:rPr>
          <w:rFonts w:eastAsia="Times New Roman" w:cs="Arial"/>
        </w:rPr>
        <w:t>costs of its interest in OVEC</w:t>
      </w:r>
      <w:r w:rsidR="007B439B">
        <w:rPr>
          <w:rFonts w:eastAsia="Times New Roman" w:cs="Arial"/>
        </w:rPr>
        <w:t xml:space="preserve"> because </w:t>
      </w:r>
      <w:r w:rsidR="00287126" w:rsidRPr="00077C6E">
        <w:rPr>
          <w:rFonts w:eastAsia="Times New Roman" w:cs="Arial"/>
        </w:rPr>
        <w:t>“the evidence of record reflects that the rider may result in a net cost to customers, with little offsetting benefit from the rider’s intended purpose as a hedge against market volatility.”</w:t>
      </w:r>
      <w:r w:rsidR="00287126" w:rsidRPr="00077C6E">
        <w:rPr>
          <w:rFonts w:eastAsia="Times New Roman" w:cs="Arial"/>
          <w:vertAlign w:val="superscript"/>
        </w:rPr>
        <w:footnoteReference w:id="5"/>
      </w:r>
      <w:r w:rsidR="00287126" w:rsidRPr="00077C6E">
        <w:rPr>
          <w:rFonts w:eastAsia="Times New Roman" w:cs="Arial"/>
        </w:rPr>
        <w:t xml:space="preserve">  Based on the record, the Commission was “not persuaded that the </w:t>
      </w:r>
      <w:r w:rsidR="00287126">
        <w:rPr>
          <w:rFonts w:eastAsia="Times New Roman" w:cs="Arial"/>
        </w:rPr>
        <w:t>PSR</w:t>
      </w:r>
      <w:r w:rsidR="00287126" w:rsidRPr="00077C6E">
        <w:rPr>
          <w:rFonts w:eastAsia="Times New Roman" w:cs="Arial"/>
        </w:rPr>
        <w:t xml:space="preserve"> proposal put forth by </w:t>
      </w:r>
      <w:r w:rsidR="00287126">
        <w:rPr>
          <w:rFonts w:eastAsia="Times New Roman" w:cs="Arial"/>
        </w:rPr>
        <w:t>Duke</w:t>
      </w:r>
      <w:r w:rsidR="00287126" w:rsidRPr="00077C6E">
        <w:rPr>
          <w:rFonts w:eastAsia="Times New Roman" w:cs="Arial"/>
        </w:rPr>
        <w:t xml:space="preserve"> in the present proceedings would, in fact, promote rate stability, as </w:t>
      </w:r>
      <w:r w:rsidR="00EC3AD5">
        <w:rPr>
          <w:rFonts w:eastAsia="Times New Roman" w:cs="Arial"/>
        </w:rPr>
        <w:t>Duke</w:t>
      </w:r>
      <w:r w:rsidR="00287126" w:rsidRPr="00077C6E">
        <w:rPr>
          <w:rFonts w:eastAsia="Times New Roman" w:cs="Arial"/>
        </w:rPr>
        <w:t xml:space="preserve"> claims, or that it is in the public interest.”</w:t>
      </w:r>
      <w:r w:rsidR="00287126" w:rsidRPr="00077C6E">
        <w:rPr>
          <w:rFonts w:eastAsia="Times New Roman" w:cs="Arial"/>
          <w:vertAlign w:val="superscript"/>
        </w:rPr>
        <w:footnoteReference w:id="6"/>
      </w:r>
      <w:r w:rsidR="00287126" w:rsidRPr="00077C6E">
        <w:rPr>
          <w:rFonts w:eastAsia="Times New Roman" w:cs="Arial"/>
        </w:rPr>
        <w:t xml:space="preserve">  </w:t>
      </w:r>
    </w:p>
    <w:p w:rsidR="00287126" w:rsidRPr="00077C6E" w:rsidRDefault="00287126" w:rsidP="00287126">
      <w:pPr>
        <w:spacing w:line="480" w:lineRule="auto"/>
        <w:ind w:firstLine="720"/>
        <w:jc w:val="both"/>
        <w:rPr>
          <w:rFonts w:eastAsia="Times New Roman" w:cs="Arial"/>
        </w:rPr>
      </w:pPr>
      <w:r w:rsidRPr="00077C6E">
        <w:rPr>
          <w:rFonts w:eastAsia="Times New Roman" w:cs="Arial"/>
        </w:rPr>
        <w:t xml:space="preserve">Even though </w:t>
      </w:r>
      <w:r>
        <w:rPr>
          <w:rFonts w:eastAsia="Times New Roman" w:cs="Arial"/>
        </w:rPr>
        <w:t>Duke</w:t>
      </w:r>
      <w:r w:rsidRPr="00077C6E">
        <w:rPr>
          <w:rFonts w:eastAsia="Times New Roman" w:cs="Arial"/>
        </w:rPr>
        <w:t xml:space="preserve"> </w:t>
      </w:r>
      <w:r>
        <w:rPr>
          <w:rFonts w:eastAsia="Times New Roman" w:cs="Arial"/>
        </w:rPr>
        <w:t xml:space="preserve">was not authorized </w:t>
      </w:r>
      <w:r w:rsidRPr="00077C6E">
        <w:rPr>
          <w:rFonts w:eastAsia="Times New Roman" w:cs="Arial"/>
        </w:rPr>
        <w:t xml:space="preserve">to bill and collect from customers the above-market </w:t>
      </w:r>
      <w:r>
        <w:rPr>
          <w:rFonts w:eastAsia="Times New Roman" w:cs="Arial"/>
        </w:rPr>
        <w:t xml:space="preserve">wholesale generation-related </w:t>
      </w:r>
      <w:r w:rsidRPr="00077C6E">
        <w:rPr>
          <w:rFonts w:eastAsia="Times New Roman" w:cs="Arial"/>
        </w:rPr>
        <w:t xml:space="preserve">costs of OVEC, the Commission authorized </w:t>
      </w:r>
      <w:r>
        <w:rPr>
          <w:rFonts w:eastAsia="Times New Roman" w:cs="Arial"/>
        </w:rPr>
        <w:lastRenderedPageBreak/>
        <w:t>Duke</w:t>
      </w:r>
      <w:r w:rsidRPr="00077C6E">
        <w:rPr>
          <w:rFonts w:eastAsia="Times New Roman" w:cs="Arial"/>
        </w:rPr>
        <w:t xml:space="preserve"> to establish a </w:t>
      </w:r>
      <w:r>
        <w:rPr>
          <w:rFonts w:eastAsia="Times New Roman" w:cs="Arial"/>
        </w:rPr>
        <w:t>PSR</w:t>
      </w:r>
      <w:r w:rsidRPr="00077C6E">
        <w:rPr>
          <w:rFonts w:eastAsia="Times New Roman" w:cs="Arial"/>
        </w:rPr>
        <w:t xml:space="preserve"> for the term of the ESP.</w:t>
      </w:r>
      <w:r w:rsidR="003C76F5">
        <w:rPr>
          <w:rStyle w:val="FootnoteReference"/>
          <w:rFonts w:eastAsia="Times New Roman" w:cs="Arial"/>
        </w:rPr>
        <w:footnoteReference w:id="7"/>
      </w:r>
      <w:r w:rsidRPr="00077C6E">
        <w:rPr>
          <w:rFonts w:eastAsia="Times New Roman" w:cs="Arial"/>
        </w:rPr>
        <w:t xml:space="preserve">  To support the authorization, the Commission found that the </w:t>
      </w:r>
      <w:r>
        <w:rPr>
          <w:rFonts w:eastAsia="Times New Roman" w:cs="Arial"/>
        </w:rPr>
        <w:t>PSR</w:t>
      </w:r>
      <w:r w:rsidRPr="00077C6E">
        <w:rPr>
          <w:rFonts w:eastAsia="Times New Roman" w:cs="Arial"/>
        </w:rPr>
        <w:t>, in theory, satisfied the requirements of R.C. 4928.143(B)(2)</w:t>
      </w:r>
      <w:r>
        <w:rPr>
          <w:rFonts w:eastAsia="Times New Roman" w:cs="Arial"/>
        </w:rPr>
        <w:t>(d)</w:t>
      </w:r>
      <w:r w:rsidRPr="00077C6E">
        <w:rPr>
          <w:rFonts w:eastAsia="Times New Roman" w:cs="Arial"/>
        </w:rPr>
        <w:t xml:space="preserve"> because it would be a charge that was a limitation on customer shopping that had the effect of stabilizing or providing certainty regarding retail electric service.</w:t>
      </w:r>
      <w:r w:rsidRPr="00077C6E">
        <w:rPr>
          <w:rFonts w:eastAsia="Times New Roman" w:cs="Arial"/>
          <w:vertAlign w:val="superscript"/>
        </w:rPr>
        <w:footnoteReference w:id="8"/>
      </w:r>
      <w:r w:rsidRPr="00077C6E">
        <w:rPr>
          <w:rFonts w:eastAsia="Times New Roman" w:cs="Arial"/>
        </w:rPr>
        <w:t xml:space="preserve">  The Commission ordered that the initial rate be set at zero</w:t>
      </w:r>
      <w:r w:rsidRPr="00077C6E">
        <w:rPr>
          <w:rFonts w:eastAsia="Times New Roman" w:cs="Arial"/>
          <w:vertAlign w:val="superscript"/>
        </w:rPr>
        <w:footnoteReference w:id="9"/>
      </w:r>
      <w:r w:rsidRPr="00077C6E">
        <w:rPr>
          <w:rFonts w:eastAsia="Times New Roman" w:cs="Arial"/>
        </w:rPr>
        <w:t xml:space="preserve"> and that the </w:t>
      </w:r>
      <w:r w:rsidR="00C57B05">
        <w:rPr>
          <w:rFonts w:eastAsia="Times New Roman" w:cs="Arial"/>
        </w:rPr>
        <w:t>PSR</w:t>
      </w:r>
      <w:r w:rsidRPr="00077C6E">
        <w:rPr>
          <w:rFonts w:eastAsia="Times New Roman" w:cs="Arial"/>
        </w:rPr>
        <w:t xml:space="preserve"> be nonbypassable.</w:t>
      </w:r>
      <w:r w:rsidRPr="00077C6E">
        <w:rPr>
          <w:rFonts w:eastAsia="Times New Roman" w:cs="Arial"/>
          <w:vertAlign w:val="superscript"/>
        </w:rPr>
        <w:footnoteReference w:id="10"/>
      </w:r>
      <w:r w:rsidRPr="00077C6E">
        <w:rPr>
          <w:rFonts w:eastAsia="Times New Roman" w:cs="Arial"/>
        </w:rPr>
        <w:t xml:space="preserve">  </w:t>
      </w:r>
    </w:p>
    <w:p w:rsidR="00E766EC" w:rsidRDefault="00287126" w:rsidP="00261CD9">
      <w:pPr>
        <w:spacing w:line="480" w:lineRule="auto"/>
        <w:ind w:firstLine="720"/>
        <w:jc w:val="both"/>
        <w:rPr>
          <w:rFonts w:eastAsia="Times New Roman" w:cs="Arial"/>
        </w:rPr>
      </w:pPr>
      <w:r>
        <w:rPr>
          <w:rFonts w:eastAsia="Times New Roman" w:cs="Arial"/>
        </w:rPr>
        <w:t>If Duke</w:t>
      </w:r>
      <w:r w:rsidRPr="00287126">
        <w:rPr>
          <w:rFonts w:eastAsia="Times New Roman" w:cs="Arial"/>
        </w:rPr>
        <w:t xml:space="preserve"> seeks authorization to bill and collect above-market wholesale generation-related costs from retail customers, it </w:t>
      </w:r>
      <w:r w:rsidR="00E766EC">
        <w:rPr>
          <w:rFonts w:eastAsia="Times New Roman" w:cs="Arial"/>
        </w:rPr>
        <w:t>must</w:t>
      </w:r>
      <w:r w:rsidRPr="00287126">
        <w:rPr>
          <w:rFonts w:eastAsia="Times New Roman" w:cs="Arial"/>
        </w:rPr>
        <w:t xml:space="preserve"> make </w:t>
      </w:r>
      <w:r w:rsidR="00E766EC">
        <w:rPr>
          <w:rFonts w:eastAsia="Times New Roman" w:cs="Arial"/>
        </w:rPr>
        <w:t>a</w:t>
      </w:r>
      <w:r w:rsidRPr="00287126">
        <w:rPr>
          <w:rFonts w:eastAsia="Times New Roman" w:cs="Arial"/>
        </w:rPr>
        <w:t xml:space="preserve"> filing to justify any requested cost recovery.</w:t>
      </w:r>
      <w:r w:rsidRPr="00287126">
        <w:rPr>
          <w:rFonts w:eastAsia="Times New Roman" w:cs="Arial"/>
          <w:vertAlign w:val="superscript"/>
        </w:rPr>
        <w:footnoteReference w:id="11"/>
      </w:r>
      <w:r w:rsidRPr="00287126">
        <w:rPr>
          <w:rFonts w:eastAsia="Times New Roman" w:cs="Arial"/>
        </w:rPr>
        <w:t xml:space="preserve">  In a filing, </w:t>
      </w:r>
      <w:r>
        <w:rPr>
          <w:rFonts w:eastAsia="Times New Roman" w:cs="Arial"/>
        </w:rPr>
        <w:t>Duke</w:t>
      </w:r>
      <w:r w:rsidRPr="00287126">
        <w:rPr>
          <w:rFonts w:eastAsia="Times New Roman" w:cs="Arial"/>
        </w:rPr>
        <w:t xml:space="preserve"> must address at a minimum several “factors” including the financial need of the generating plant, the necessity of the generation facility, in light of future reliability concerns, a description of how the generating plant is compliant with all pertinent environmental regulations and a plan for compliance with pending environmental regulations, and the impact that a closure of the generating plant would have on electric prices and the resulting effect on economic development within Ohio.</w:t>
      </w:r>
      <w:r w:rsidRPr="00287126">
        <w:rPr>
          <w:rFonts w:eastAsia="Times New Roman" w:cs="Arial"/>
          <w:vertAlign w:val="superscript"/>
        </w:rPr>
        <w:footnoteReference w:id="12"/>
      </w:r>
      <w:r w:rsidRPr="00287126">
        <w:rPr>
          <w:rFonts w:eastAsia="Times New Roman" w:cs="Arial"/>
        </w:rPr>
        <w:t xml:space="preserve">  The Commission also directed that </w:t>
      </w:r>
      <w:r>
        <w:rPr>
          <w:rFonts w:eastAsia="Times New Roman" w:cs="Arial"/>
        </w:rPr>
        <w:t>Duke</w:t>
      </w:r>
      <w:r w:rsidRPr="00287126">
        <w:rPr>
          <w:rFonts w:eastAsia="Times New Roman" w:cs="Arial"/>
        </w:rPr>
        <w:t xml:space="preserve"> include provisions that provide for rigorous Commission oversight of the </w:t>
      </w:r>
      <w:r>
        <w:rPr>
          <w:rFonts w:eastAsia="Times New Roman" w:cs="Arial"/>
        </w:rPr>
        <w:t>PSR</w:t>
      </w:r>
      <w:r w:rsidRPr="00287126">
        <w:rPr>
          <w:rFonts w:eastAsia="Times New Roman" w:cs="Arial"/>
        </w:rPr>
        <w:t xml:space="preserve">, an alternative plan for allocating the financial risk of the </w:t>
      </w:r>
      <w:r>
        <w:rPr>
          <w:rFonts w:eastAsia="Times New Roman" w:cs="Arial"/>
        </w:rPr>
        <w:t>rider</w:t>
      </w:r>
      <w:r w:rsidRPr="00287126">
        <w:rPr>
          <w:rFonts w:eastAsia="Times New Roman" w:cs="Arial"/>
        </w:rPr>
        <w:t xml:space="preserve">, and a severability clause so that the ESP would continue if the </w:t>
      </w:r>
      <w:r>
        <w:rPr>
          <w:rFonts w:eastAsia="Times New Roman" w:cs="Arial"/>
        </w:rPr>
        <w:t>PSR</w:t>
      </w:r>
      <w:r w:rsidRPr="00287126">
        <w:rPr>
          <w:rFonts w:eastAsia="Times New Roman" w:cs="Arial"/>
        </w:rPr>
        <w:t xml:space="preserve"> </w:t>
      </w:r>
      <w:r w:rsidR="00C84A0A">
        <w:rPr>
          <w:rFonts w:eastAsia="Times New Roman" w:cs="Arial"/>
        </w:rPr>
        <w:t>is</w:t>
      </w:r>
      <w:r w:rsidRPr="00287126">
        <w:rPr>
          <w:rFonts w:eastAsia="Times New Roman" w:cs="Arial"/>
        </w:rPr>
        <w:t xml:space="preserve"> invalidated by a court.  Additionally, the Commission reserved the option of requiring an independent third party study of the reliability and pricing issues </w:t>
      </w:r>
      <w:r w:rsidRPr="00287126">
        <w:rPr>
          <w:rFonts w:eastAsia="Times New Roman" w:cs="Arial"/>
        </w:rPr>
        <w:lastRenderedPageBreak/>
        <w:t>as they relate to an application seeking cost recovery.</w:t>
      </w:r>
      <w:r w:rsidRPr="00287126">
        <w:rPr>
          <w:rFonts w:eastAsia="Times New Roman" w:cs="Arial"/>
          <w:vertAlign w:val="superscript"/>
        </w:rPr>
        <w:footnoteReference w:id="13"/>
      </w:r>
      <w:r w:rsidRPr="00287126">
        <w:rPr>
          <w:rFonts w:eastAsia="Times New Roman" w:cs="Arial"/>
        </w:rPr>
        <w:t xml:space="preserve">  The Commission then will balance, but not be bound, by those factors in deciding whether to approve </w:t>
      </w:r>
      <w:r>
        <w:rPr>
          <w:rFonts w:eastAsia="Times New Roman" w:cs="Arial"/>
        </w:rPr>
        <w:t>Duke</w:t>
      </w:r>
      <w:r w:rsidRPr="00287126">
        <w:rPr>
          <w:rFonts w:eastAsia="Times New Roman" w:cs="Arial"/>
        </w:rPr>
        <w:t>’s request for cost recovery.</w:t>
      </w:r>
      <w:r w:rsidRPr="00287126">
        <w:rPr>
          <w:rFonts w:eastAsia="Times New Roman" w:cs="Arial"/>
          <w:vertAlign w:val="superscript"/>
        </w:rPr>
        <w:footnoteReference w:id="14"/>
      </w:r>
      <w:r w:rsidRPr="00287126">
        <w:rPr>
          <w:rFonts w:eastAsia="Times New Roman" w:cs="Arial"/>
        </w:rPr>
        <w:t xml:space="preserve">  </w:t>
      </w:r>
    </w:p>
    <w:p w:rsidR="00261CD9" w:rsidRDefault="00287126" w:rsidP="00261CD9">
      <w:pPr>
        <w:spacing w:line="480" w:lineRule="auto"/>
        <w:ind w:firstLine="720"/>
        <w:jc w:val="both"/>
      </w:pPr>
      <w:r w:rsidRPr="00287126">
        <w:t>For the following reasons, the Commission should grant rehearing and reverse it</w:t>
      </w:r>
      <w:bookmarkStart w:id="19" w:name="_Toc414094863"/>
      <w:bookmarkStart w:id="20" w:name="_Toc414363740"/>
      <w:bookmarkStart w:id="21" w:name="_Toc414363835"/>
      <w:bookmarkStart w:id="22" w:name="_Toc414366700"/>
      <w:bookmarkStart w:id="23" w:name="_Toc414366923"/>
      <w:bookmarkStart w:id="24" w:name="_Toc414367230"/>
      <w:bookmarkStart w:id="25" w:name="_Toc414368378"/>
      <w:bookmarkStart w:id="26" w:name="_Toc414370900"/>
      <w:bookmarkStart w:id="27" w:name="_Toc414371027"/>
      <w:bookmarkStart w:id="28" w:name="_Toc414371162"/>
      <w:bookmarkStart w:id="29" w:name="_Toc414371204"/>
      <w:bookmarkStart w:id="30" w:name="_Toc414371268"/>
      <w:bookmarkStart w:id="31" w:name="_Toc414371334"/>
      <w:bookmarkStart w:id="32" w:name="_Toc414371476"/>
      <w:bookmarkStart w:id="33" w:name="_Toc414372690"/>
      <w:bookmarkStart w:id="34" w:name="_Toc414372997"/>
      <w:bookmarkStart w:id="35" w:name="_Toc414373688"/>
      <w:bookmarkStart w:id="36" w:name="_Toc414877913"/>
      <w:bookmarkStart w:id="37" w:name="_Toc414973814"/>
      <w:bookmarkStart w:id="38" w:name="_Toc414973845"/>
      <w:bookmarkStart w:id="39" w:name="_Toc415223867"/>
      <w:bookmarkStart w:id="40" w:name="_Toc415225428"/>
      <w:bookmarkStart w:id="41" w:name="assign1"/>
      <w:r w:rsidR="00261CD9">
        <w:t>s authorization of the PSR.</w:t>
      </w:r>
    </w:p>
    <w:p w:rsidR="00261CD9" w:rsidRPr="00261CD9" w:rsidRDefault="00261CD9" w:rsidP="00261CD9">
      <w:pPr>
        <w:pStyle w:val="Heading3"/>
        <w:numPr>
          <w:ilvl w:val="2"/>
          <w:numId w:val="3"/>
        </w:numPr>
      </w:pPr>
      <w:bookmarkStart w:id="42" w:name="_Toc418495447"/>
      <w:r w:rsidRPr="00261CD9">
        <w:t xml:space="preserve">The ESP Order is unlawful because it authorizes a nonbypassable generation-related rider, the </w:t>
      </w:r>
      <w:r>
        <w:t>PSR</w:t>
      </w:r>
      <w:r w:rsidRPr="00261CD9">
        <w:t xml:space="preserve">, which is not included </w:t>
      </w:r>
      <w:r w:rsidR="001A392A">
        <w:t>i</w:t>
      </w:r>
      <w:r w:rsidRPr="00261CD9">
        <w:t xml:space="preserve">n the list of permissive ESP provisions </w:t>
      </w:r>
      <w:r w:rsidR="00B71771">
        <w:t>authorized by</w:t>
      </w:r>
      <w:r w:rsidRPr="00261CD9">
        <w:t xml:space="preserve"> </w:t>
      </w:r>
      <w:r w:rsidR="00AE7D8A">
        <w:t xml:space="preserve">R.C. </w:t>
      </w:r>
      <w:r w:rsidRPr="00261CD9">
        <w:t>4928.143(B)(2)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bookmarkEnd w:id="41"/>
    <w:p w:rsidR="00261CD9" w:rsidRPr="00261CD9" w:rsidRDefault="00261CD9" w:rsidP="00261CD9">
      <w:pPr>
        <w:spacing w:line="480" w:lineRule="auto"/>
        <w:ind w:firstLine="720"/>
        <w:contextualSpacing/>
        <w:jc w:val="both"/>
        <w:rPr>
          <w:rFonts w:eastAsia="Times New Roman" w:cs="Arial"/>
        </w:rPr>
      </w:pPr>
      <w:r w:rsidRPr="00261CD9">
        <w:rPr>
          <w:rFonts w:eastAsia="Times New Roman" w:cs="Arial"/>
        </w:rPr>
        <w:t xml:space="preserve">In the ESP Order, the Commission held that it could authorize a nonbypassable generation-related rider, the </w:t>
      </w:r>
      <w:r w:rsidR="00C57B05">
        <w:rPr>
          <w:rFonts w:eastAsia="Times New Roman" w:cs="Arial"/>
        </w:rPr>
        <w:t>PSR</w:t>
      </w:r>
      <w:r w:rsidRPr="00261CD9">
        <w:rPr>
          <w:rFonts w:eastAsia="Times New Roman" w:cs="Arial"/>
        </w:rPr>
        <w:t>, under R.C. 4928.143(B)(2)(d).</w:t>
      </w:r>
      <w:r w:rsidRPr="00261CD9">
        <w:rPr>
          <w:rFonts w:eastAsia="Times New Roman" w:cs="Arial"/>
          <w:vertAlign w:val="superscript"/>
        </w:rPr>
        <w:footnoteReference w:id="15"/>
      </w:r>
      <w:r w:rsidRPr="00261CD9">
        <w:rPr>
          <w:rFonts w:eastAsia="Times New Roman" w:cs="Arial"/>
        </w:rPr>
        <w:t xml:space="preserve">  Because that Section does not allow the Commission to “establish” or authorize a nonbypassable generation-related rider, the ESP Order’s authorization of the </w:t>
      </w:r>
      <w:r w:rsidR="00C57B05">
        <w:rPr>
          <w:rFonts w:eastAsia="Times New Roman" w:cs="Arial"/>
        </w:rPr>
        <w:t>PSR</w:t>
      </w:r>
      <w:r w:rsidRPr="00261CD9">
        <w:rPr>
          <w:rFonts w:eastAsia="Times New Roman" w:cs="Arial"/>
        </w:rPr>
        <w:t xml:space="preserve"> as a nonbypassable rider is unlawful.</w:t>
      </w:r>
    </w:p>
    <w:p w:rsidR="00261CD9" w:rsidRPr="00261CD9" w:rsidRDefault="00261CD9" w:rsidP="00261CD9">
      <w:pPr>
        <w:spacing w:line="480" w:lineRule="auto"/>
        <w:contextualSpacing/>
        <w:jc w:val="both"/>
        <w:rPr>
          <w:rFonts w:eastAsia="Times New Roman" w:cs="Arial"/>
        </w:rPr>
      </w:pPr>
      <w:r w:rsidRPr="00261CD9">
        <w:rPr>
          <w:rFonts w:eastAsia="Times New Roman" w:cs="Arial"/>
        </w:rPr>
        <w:tab/>
        <w:t>Operating as a definitional section, R.C. 4928.143(B) limits the terms of an ESP to those specified in the Section.</w:t>
      </w:r>
      <w:r w:rsidRPr="00261CD9">
        <w:rPr>
          <w:rFonts w:eastAsia="Times New Roman" w:cs="Arial"/>
          <w:vertAlign w:val="superscript"/>
        </w:rPr>
        <w:footnoteReference w:id="16"/>
      </w:r>
      <w:r w:rsidRPr="00261CD9">
        <w:rPr>
          <w:rFonts w:eastAsia="Times New Roman" w:cs="Arial"/>
        </w:rPr>
        <w:t xml:space="preserve">  R.C. 4928.143(B)(2) provides only two instances in which the Commission may authorize a nonbypassable generation-related rider, divisions (b) and (c).  Under those two divisions, a nonbypassable charge is available to recover costs </w:t>
      </w:r>
      <w:r>
        <w:rPr>
          <w:rFonts w:eastAsia="Times New Roman" w:cs="Arial"/>
        </w:rPr>
        <w:t xml:space="preserve">if the electric utility demonstrates that </w:t>
      </w:r>
      <w:r w:rsidRPr="00261CD9">
        <w:rPr>
          <w:rFonts w:eastAsia="Times New Roman" w:cs="Arial"/>
        </w:rPr>
        <w:t xml:space="preserve">generating facilities </w:t>
      </w:r>
      <w:r>
        <w:rPr>
          <w:rFonts w:eastAsia="Times New Roman" w:cs="Arial"/>
        </w:rPr>
        <w:t xml:space="preserve">were </w:t>
      </w:r>
      <w:r w:rsidRPr="00261CD9">
        <w:rPr>
          <w:rFonts w:eastAsia="Times New Roman" w:cs="Arial"/>
        </w:rPr>
        <w:t xml:space="preserve">under construction or constructed after January 1, 2009 </w:t>
      </w:r>
      <w:r>
        <w:rPr>
          <w:rFonts w:eastAsia="Times New Roman" w:cs="Arial"/>
        </w:rPr>
        <w:t>and satisfies other statutory requirements</w:t>
      </w:r>
      <w:r w:rsidRPr="00261CD9">
        <w:rPr>
          <w:rFonts w:eastAsia="Times New Roman" w:cs="Arial"/>
        </w:rPr>
        <w:t>.  R.C. 4928.143(B)(2)(d) does not similarly provide that a rider approved under that division may be nonbypassable.</w:t>
      </w:r>
    </w:p>
    <w:p w:rsidR="00261CD9" w:rsidRPr="00261CD9" w:rsidRDefault="00261CD9" w:rsidP="00261CD9">
      <w:pPr>
        <w:spacing w:line="480" w:lineRule="auto"/>
        <w:ind w:firstLine="720"/>
        <w:contextualSpacing/>
        <w:jc w:val="both"/>
        <w:rPr>
          <w:rFonts w:eastAsia="Times New Roman" w:cs="Arial"/>
        </w:rPr>
      </w:pPr>
      <w:r w:rsidRPr="00261CD9">
        <w:rPr>
          <w:rFonts w:eastAsia="Times New Roman" w:cs="Arial"/>
        </w:rPr>
        <w:lastRenderedPageBreak/>
        <w:t xml:space="preserve">By authorizing </w:t>
      </w:r>
      <w:r>
        <w:rPr>
          <w:rFonts w:eastAsia="Times New Roman" w:cs="Arial"/>
        </w:rPr>
        <w:t xml:space="preserve">generation-related </w:t>
      </w:r>
      <w:r w:rsidRPr="00261CD9">
        <w:rPr>
          <w:rFonts w:eastAsia="Times New Roman" w:cs="Arial"/>
        </w:rPr>
        <w:t>nonbypassable riders in only two instances, the General Assembly precluded the Commission from authorizing a nonbypassable generation-related rider under R.C. 4928.143(B)(2)(d).</w:t>
      </w:r>
    </w:p>
    <w:p w:rsidR="00261CD9" w:rsidRPr="00261CD9" w:rsidRDefault="00261CD9" w:rsidP="00261CD9">
      <w:pPr>
        <w:ind w:left="720" w:right="720"/>
        <w:contextualSpacing/>
        <w:jc w:val="both"/>
        <w:rPr>
          <w:rFonts w:eastAsia="Times New Roman" w:cs="Arial"/>
        </w:rPr>
      </w:pPr>
      <w:r w:rsidRPr="00261CD9">
        <w:rPr>
          <w:rFonts w:eastAsia="Times New Roman" w:cs="Arial"/>
        </w:rPr>
        <w:t xml:space="preserve">As a general rule of statutory construction, the specific mention of one thing implies the exclusion of another.  This principle is especially pertinent where, as in the cases </w:t>
      </w:r>
      <w:r w:rsidRPr="00261CD9">
        <w:rPr>
          <w:rFonts w:eastAsia="Times New Roman" w:cs="Arial"/>
          <w:i/>
          <w:iCs/>
        </w:rPr>
        <w:t>subjudice,</w:t>
      </w:r>
      <w:r w:rsidRPr="00261CD9">
        <w:rPr>
          <w:rFonts w:eastAsia="Times New Roman" w:cs="Arial"/>
        </w:rPr>
        <w:t xml:space="preserve"> the statute involved is a definitional provision.  Had the General Assembly intended to allow the utilities to recapture other types of expenses through this rate, it would have expanded the definitions.</w:t>
      </w:r>
      <w:r w:rsidRPr="00261CD9">
        <w:rPr>
          <w:rFonts w:eastAsia="Times New Roman" w:cs="Arial"/>
          <w:vertAlign w:val="superscript"/>
        </w:rPr>
        <w:footnoteReference w:id="17"/>
      </w:r>
    </w:p>
    <w:p w:rsidR="00261CD9" w:rsidRPr="00261CD9" w:rsidRDefault="00261CD9" w:rsidP="00261CD9">
      <w:pPr>
        <w:ind w:left="720" w:right="720"/>
        <w:contextualSpacing/>
        <w:jc w:val="both"/>
        <w:rPr>
          <w:rFonts w:eastAsia="Times New Roman" w:cs="Arial"/>
        </w:rPr>
      </w:pPr>
    </w:p>
    <w:p w:rsidR="00261CD9" w:rsidRPr="00261CD9" w:rsidRDefault="00261CD9" w:rsidP="00261CD9">
      <w:pPr>
        <w:spacing w:line="480" w:lineRule="auto"/>
        <w:ind w:firstLine="720"/>
        <w:contextualSpacing/>
        <w:jc w:val="both"/>
        <w:rPr>
          <w:rFonts w:eastAsia="Times New Roman" w:cs="Arial"/>
        </w:rPr>
      </w:pPr>
      <w:r w:rsidRPr="00261CD9">
        <w:rPr>
          <w:rFonts w:eastAsia="Times New Roman" w:cs="Arial"/>
        </w:rPr>
        <w:t xml:space="preserve">Despite the limitations on the Commission’s authority to authorize nonbypassable generation-related riders, the Commission unlawfully authorized the </w:t>
      </w:r>
      <w:r>
        <w:rPr>
          <w:rFonts w:eastAsia="Times New Roman" w:cs="Arial"/>
        </w:rPr>
        <w:t>PSR</w:t>
      </w:r>
      <w:r w:rsidRPr="00261CD9">
        <w:rPr>
          <w:rFonts w:eastAsia="Times New Roman" w:cs="Arial"/>
        </w:rPr>
        <w:t xml:space="preserve"> as a nonbypassable rider.  Because the Commission is without authority to authorize a term of an ESP unless it is among the terms listed under R.C 4928.143(B)(2), the Commission’s order is unlawful and should be reversed.</w:t>
      </w:r>
    </w:p>
    <w:p w:rsidR="00261CD9" w:rsidRPr="00261CD9" w:rsidRDefault="00261CD9" w:rsidP="00261CD9">
      <w:pPr>
        <w:numPr>
          <w:ilvl w:val="2"/>
          <w:numId w:val="1"/>
        </w:numPr>
        <w:spacing w:after="240"/>
        <w:jc w:val="both"/>
        <w:outlineLvl w:val="2"/>
        <w:rPr>
          <w:rFonts w:eastAsia="Times New Roman" w:cs="Arial"/>
          <w:b/>
          <w:bCs/>
          <w:szCs w:val="26"/>
        </w:rPr>
      </w:pPr>
      <w:bookmarkStart w:id="43" w:name="_Toc414094864"/>
      <w:bookmarkStart w:id="44" w:name="_Toc414363741"/>
      <w:bookmarkStart w:id="45" w:name="_Toc414363836"/>
      <w:bookmarkStart w:id="46" w:name="_Toc414366701"/>
      <w:bookmarkStart w:id="47" w:name="_Toc414366924"/>
      <w:bookmarkStart w:id="48" w:name="_Toc414367231"/>
      <w:bookmarkStart w:id="49" w:name="_Toc414368379"/>
      <w:bookmarkStart w:id="50" w:name="_Toc414370901"/>
      <w:bookmarkStart w:id="51" w:name="_Toc414371028"/>
      <w:bookmarkStart w:id="52" w:name="_Toc414371163"/>
      <w:bookmarkStart w:id="53" w:name="_Toc414371205"/>
      <w:bookmarkStart w:id="54" w:name="_Toc414371269"/>
      <w:bookmarkStart w:id="55" w:name="_Toc414371335"/>
      <w:bookmarkStart w:id="56" w:name="_Toc414371477"/>
      <w:bookmarkStart w:id="57" w:name="_Toc414372691"/>
      <w:bookmarkStart w:id="58" w:name="_Toc414372998"/>
      <w:bookmarkStart w:id="59" w:name="_Toc414373689"/>
      <w:bookmarkStart w:id="60" w:name="_Toc414877914"/>
      <w:bookmarkStart w:id="61" w:name="_Toc414973815"/>
      <w:bookmarkStart w:id="62" w:name="_Toc414973846"/>
      <w:bookmarkStart w:id="63" w:name="_Toc415223868"/>
      <w:bookmarkStart w:id="64" w:name="_Toc415225429"/>
      <w:bookmarkStart w:id="65" w:name="_Toc418495448"/>
      <w:bookmarkStart w:id="66" w:name="assign2"/>
      <w:r w:rsidRPr="00261CD9">
        <w:rPr>
          <w:rFonts w:eastAsia="Times New Roman" w:cs="Arial"/>
          <w:b/>
          <w:bCs/>
          <w:szCs w:val="26"/>
        </w:rPr>
        <w:t xml:space="preserve">The ESP Order is unlawful because it authorizes a procedure by which </w:t>
      </w:r>
      <w:r>
        <w:rPr>
          <w:rFonts w:eastAsia="Times New Roman" w:cs="Arial"/>
          <w:b/>
          <w:bCs/>
          <w:szCs w:val="26"/>
        </w:rPr>
        <w:t>Duke</w:t>
      </w:r>
      <w:r w:rsidRPr="00261CD9">
        <w:rPr>
          <w:rFonts w:eastAsia="Times New Roman" w:cs="Arial"/>
          <w:b/>
          <w:bCs/>
          <w:szCs w:val="26"/>
        </w:rPr>
        <w:t xml:space="preserve"> may seek to increase its compensation for wholesale generation-related electric service, which exceeds the Commission’s jurisdiction under Ohio law</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bookmarkEnd w:id="66"/>
    <w:p w:rsidR="00C010E8" w:rsidRDefault="00261CD9" w:rsidP="00261CD9">
      <w:pPr>
        <w:spacing w:line="480" w:lineRule="auto"/>
        <w:jc w:val="both"/>
        <w:rPr>
          <w:rFonts w:eastAsia="Times New Roman" w:cs="Arial"/>
        </w:rPr>
      </w:pPr>
      <w:r w:rsidRPr="00261CD9">
        <w:rPr>
          <w:rFonts w:eastAsia="Times New Roman" w:cs="Arial"/>
        </w:rPr>
        <w:tab/>
      </w:r>
      <w:r w:rsidR="00C010E8">
        <w:rPr>
          <w:rFonts w:eastAsia="Times New Roman" w:cs="Arial"/>
        </w:rPr>
        <w:t>In its findings concerning the PSR, the Commission concluded that the rider recovered or credited “Duke’s margins from its OVEC contractual entitlement.”</w:t>
      </w:r>
      <w:r w:rsidR="00C010E8">
        <w:rPr>
          <w:rStyle w:val="FootnoteReference"/>
          <w:rFonts w:eastAsia="Times New Roman" w:cs="Arial"/>
        </w:rPr>
        <w:footnoteReference w:id="18"/>
      </w:r>
      <w:r w:rsidR="00C010E8">
        <w:rPr>
          <w:rFonts w:eastAsia="Times New Roman" w:cs="Arial"/>
        </w:rPr>
        <w:t xml:space="preserve">  Those margins would be the difference between the wholesale costs Duke is charged by OVEC under the F</w:t>
      </w:r>
      <w:r w:rsidR="00595DD0">
        <w:rPr>
          <w:rFonts w:eastAsia="Times New Roman" w:cs="Arial"/>
        </w:rPr>
        <w:t xml:space="preserve">ederal </w:t>
      </w:r>
      <w:r w:rsidR="00C010E8">
        <w:rPr>
          <w:rFonts w:eastAsia="Times New Roman" w:cs="Arial"/>
        </w:rPr>
        <w:t>E</w:t>
      </w:r>
      <w:r w:rsidR="00595DD0">
        <w:rPr>
          <w:rFonts w:eastAsia="Times New Roman" w:cs="Arial"/>
        </w:rPr>
        <w:t xml:space="preserve">nergy </w:t>
      </w:r>
      <w:r w:rsidR="00C010E8">
        <w:rPr>
          <w:rFonts w:eastAsia="Times New Roman" w:cs="Arial"/>
        </w:rPr>
        <w:t>R</w:t>
      </w:r>
      <w:r w:rsidR="00595DD0">
        <w:rPr>
          <w:rFonts w:eastAsia="Times New Roman" w:cs="Arial"/>
        </w:rPr>
        <w:t xml:space="preserve">egulatory </w:t>
      </w:r>
      <w:r w:rsidR="00C010E8">
        <w:rPr>
          <w:rFonts w:eastAsia="Times New Roman" w:cs="Arial"/>
        </w:rPr>
        <w:t>C</w:t>
      </w:r>
      <w:r w:rsidR="00595DD0">
        <w:rPr>
          <w:rFonts w:eastAsia="Times New Roman" w:cs="Arial"/>
        </w:rPr>
        <w:t>ommission ("FERC")</w:t>
      </w:r>
      <w:r w:rsidR="00C010E8">
        <w:rPr>
          <w:rFonts w:eastAsia="Times New Roman" w:cs="Arial"/>
        </w:rPr>
        <w:t>-approved wholesale contract and the wholesale revenue Duke receive</w:t>
      </w:r>
      <w:r w:rsidR="001A392A">
        <w:rPr>
          <w:rFonts w:eastAsia="Times New Roman" w:cs="Arial"/>
        </w:rPr>
        <w:t>s</w:t>
      </w:r>
      <w:r w:rsidR="00C010E8">
        <w:rPr>
          <w:rFonts w:eastAsia="Times New Roman" w:cs="Arial"/>
        </w:rPr>
        <w:t xml:space="preserve"> under PJM</w:t>
      </w:r>
      <w:r w:rsidR="00595DD0">
        <w:rPr>
          <w:rFonts w:eastAsia="Times New Roman" w:cs="Arial"/>
        </w:rPr>
        <w:t xml:space="preserve"> Interconnection L.L.C. </w:t>
      </w:r>
      <w:r w:rsidR="00595DD0">
        <w:rPr>
          <w:rFonts w:eastAsia="Times New Roman" w:cs="Arial"/>
        </w:rPr>
        <w:lastRenderedPageBreak/>
        <w:t>("PJM")</w:t>
      </w:r>
      <w:r w:rsidR="00C010E8">
        <w:rPr>
          <w:rFonts w:eastAsia="Times New Roman" w:cs="Arial"/>
        </w:rPr>
        <w:t xml:space="preserve"> tariffs.</w:t>
      </w:r>
      <w:r w:rsidR="00C010E8">
        <w:rPr>
          <w:rStyle w:val="FootnoteReference"/>
          <w:rFonts w:eastAsia="Times New Roman" w:cs="Arial"/>
        </w:rPr>
        <w:footnoteReference w:id="19"/>
      </w:r>
      <w:r w:rsidR="00C010E8">
        <w:rPr>
          <w:rFonts w:eastAsia="Times New Roman" w:cs="Arial"/>
        </w:rPr>
        <w:t xml:space="preserve">  Thus, the PSR is a charge or credit that increases or decreases Duke’s compensation for wholesale capacity and energy services.</w:t>
      </w:r>
    </w:p>
    <w:p w:rsidR="00261CD9" w:rsidRPr="00261CD9" w:rsidRDefault="00C010E8" w:rsidP="00C010E8">
      <w:pPr>
        <w:spacing w:line="480" w:lineRule="auto"/>
        <w:ind w:firstLine="720"/>
        <w:jc w:val="both"/>
        <w:rPr>
          <w:rFonts w:eastAsia="Calibri" w:cs="Times New Roman"/>
        </w:rPr>
      </w:pPr>
      <w:r>
        <w:rPr>
          <w:rFonts w:eastAsia="Times New Roman" w:cs="Arial"/>
        </w:rPr>
        <w:t>The Commission, however, is without authority to adjust the compensation of a</w:t>
      </w:r>
      <w:r w:rsidR="00595DD0">
        <w:rPr>
          <w:rFonts w:eastAsia="Times New Roman" w:cs="Arial"/>
        </w:rPr>
        <w:t>n</w:t>
      </w:r>
      <w:r>
        <w:rPr>
          <w:rFonts w:eastAsia="Times New Roman" w:cs="Arial"/>
        </w:rPr>
        <w:t xml:space="preserve"> </w:t>
      </w:r>
      <w:r w:rsidR="00595DD0">
        <w:rPr>
          <w:rFonts w:eastAsia="Times New Roman" w:cs="Arial"/>
        </w:rPr>
        <w:t>electric distribution utility ("</w:t>
      </w:r>
      <w:r>
        <w:rPr>
          <w:rFonts w:eastAsia="Times New Roman" w:cs="Arial"/>
        </w:rPr>
        <w:t>EDU</w:t>
      </w:r>
      <w:r w:rsidR="00595DD0">
        <w:rPr>
          <w:rFonts w:eastAsia="Times New Roman" w:cs="Arial"/>
        </w:rPr>
        <w:t>")</w:t>
      </w:r>
      <w:r>
        <w:rPr>
          <w:rFonts w:eastAsia="Times New Roman" w:cs="Arial"/>
        </w:rPr>
        <w:t xml:space="preserve"> for wholesale electric services.  </w:t>
      </w:r>
      <w:r w:rsidR="00261CD9" w:rsidRPr="00261CD9">
        <w:rPr>
          <w:rFonts w:eastAsia="Times New Roman" w:cs="Arial"/>
        </w:rPr>
        <w:t xml:space="preserve">The services of a public utility subject to the Commission’s jurisdiction are established through the definitional sections in Chapters 4905 and 4928 of the Revised Code.  </w:t>
      </w:r>
      <w:r w:rsidR="00261CD9" w:rsidRPr="00261CD9">
        <w:rPr>
          <w:rFonts w:eastAsia="Calibri" w:cs="Times New Roman"/>
        </w:rPr>
        <w:t>R.C. 4905.02 provides that a “‘public utility’ includes every corporation, company, copartnership, person, or association, the lessees, trustees, or receivers of the foregoing, defined in section 4905.03 of the Revised Code.”  R.C. 4905.03 then provides a list of the types of public utilities subject to the Commission’s jurisdiction:</w:t>
      </w:r>
    </w:p>
    <w:p w:rsidR="00261CD9" w:rsidRPr="00261CD9" w:rsidRDefault="00261CD9" w:rsidP="00261CD9">
      <w:pPr>
        <w:ind w:left="720" w:right="720" w:firstLine="720"/>
        <w:jc w:val="both"/>
        <w:rPr>
          <w:rFonts w:eastAsia="Calibri" w:cs="Times New Roman"/>
        </w:rPr>
      </w:pPr>
      <w:r w:rsidRPr="00261CD9">
        <w:rPr>
          <w:rFonts w:eastAsia="Calibri" w:cs="Times New Roman"/>
        </w:rPr>
        <w:t>As used in this chapter, any person, firm, copartnership, voluntary association, joint-stock association, company, or corporation, wherever organized or incorporated, is:</w:t>
      </w:r>
    </w:p>
    <w:p w:rsidR="00261CD9" w:rsidRPr="00261CD9" w:rsidRDefault="00261CD9" w:rsidP="00261CD9">
      <w:pPr>
        <w:ind w:left="720" w:right="720" w:firstLine="720"/>
        <w:jc w:val="both"/>
        <w:rPr>
          <w:rFonts w:eastAsia="Calibri" w:cs="Times New Roman"/>
        </w:rPr>
      </w:pPr>
      <w:r w:rsidRPr="00261CD9">
        <w:rPr>
          <w:rFonts w:eastAsia="Calibri" w:cs="Times New Roman"/>
        </w:rPr>
        <w:t>...</w:t>
      </w:r>
    </w:p>
    <w:p w:rsidR="00261CD9" w:rsidRPr="00261CD9" w:rsidRDefault="00261CD9" w:rsidP="00261CD9">
      <w:pPr>
        <w:ind w:left="720" w:right="720" w:firstLine="720"/>
        <w:jc w:val="both"/>
        <w:rPr>
          <w:rFonts w:eastAsia="Calibri" w:cs="Times New Roman"/>
        </w:rPr>
      </w:pPr>
      <w:r w:rsidRPr="00261CD9">
        <w:rPr>
          <w:rFonts w:eastAsia="Calibri" w:cs="Times New Roman"/>
        </w:rPr>
        <w:t>(C) An electric light company, when engaged in the business of supplying electricity for light, heat, or power purposes to consumers within this state, including supplying electric transmission service</w:t>
      </w:r>
      <w:r w:rsidRPr="00261CD9">
        <w:rPr>
          <w:rFonts w:eastAsia="Calibri" w:cs="Times New Roman"/>
          <w:i/>
        </w:rPr>
        <w:t xml:space="preserve"> </w:t>
      </w:r>
      <w:r w:rsidRPr="00261CD9">
        <w:rPr>
          <w:rFonts w:eastAsia="Calibri" w:cs="Times New Roman"/>
        </w:rPr>
        <w:t xml:space="preserve">for electricity delivered to consumers in this state, but excluding a regional transmission organization approved by the federal energy regulatory commission.  </w:t>
      </w:r>
    </w:p>
    <w:p w:rsidR="00261CD9" w:rsidRPr="00261CD9" w:rsidRDefault="00261CD9" w:rsidP="00261CD9">
      <w:pPr>
        <w:ind w:left="720" w:right="720" w:firstLine="720"/>
        <w:jc w:val="both"/>
        <w:rPr>
          <w:rFonts w:eastAsia="Calibri" w:cs="Times New Roman"/>
        </w:rPr>
      </w:pPr>
    </w:p>
    <w:p w:rsidR="00261CD9" w:rsidRPr="00261CD9" w:rsidRDefault="00261CD9" w:rsidP="00261CD9">
      <w:pPr>
        <w:spacing w:line="480" w:lineRule="auto"/>
        <w:jc w:val="both"/>
        <w:rPr>
          <w:rFonts w:eastAsia="Calibri" w:cs="Times New Roman"/>
        </w:rPr>
      </w:pPr>
      <w:r w:rsidRPr="00261CD9">
        <w:rPr>
          <w:rFonts w:eastAsia="Calibri" w:cs="Times New Roman"/>
        </w:rPr>
        <w:t>The same definition extends to the Commission’s jurisdiction under Chapter 4928 to EDU</w:t>
      </w:r>
      <w:r w:rsidR="00DF28AC">
        <w:rPr>
          <w:rFonts w:eastAsia="Calibri" w:cs="Times New Roman"/>
        </w:rPr>
        <w:t>s</w:t>
      </w:r>
      <w:r w:rsidRPr="00261CD9">
        <w:rPr>
          <w:rFonts w:eastAsia="Calibri" w:cs="Times New Roman"/>
        </w:rPr>
        <w:t>.</w:t>
      </w:r>
      <w:r w:rsidRPr="00261CD9">
        <w:rPr>
          <w:rFonts w:eastAsia="Calibri" w:cs="Times New Roman"/>
          <w:vertAlign w:val="superscript"/>
        </w:rPr>
        <w:footnoteReference w:id="20"/>
      </w:r>
      <w:r w:rsidRPr="00261CD9">
        <w:rPr>
          <w:rFonts w:eastAsia="Calibri" w:cs="Times New Roman"/>
        </w:rPr>
        <w:t xml:space="preserve">  This definition specifically limits the Commission’s jurisdiction over electric light companies, including EDUs, to instances in which a retail service is being provided, </w:t>
      </w:r>
      <w:r w:rsidRPr="00261CD9">
        <w:rPr>
          <w:rFonts w:eastAsia="Calibri" w:cs="Times New Roman"/>
          <w:i/>
        </w:rPr>
        <w:t>i.e.</w:t>
      </w:r>
      <w:r w:rsidR="00DF28AC">
        <w:rPr>
          <w:rFonts w:eastAsia="Calibri" w:cs="Times New Roman"/>
          <w:i/>
        </w:rPr>
        <w:t>,</w:t>
      </w:r>
      <w:r w:rsidRPr="00261CD9">
        <w:rPr>
          <w:rFonts w:eastAsia="Calibri" w:cs="Times New Roman"/>
        </w:rPr>
        <w:t xml:space="preserve"> electricity is being supplied “to consumers.”  By definition, therefore, the jurisdiction of the Commission does not extend to wholesale generation-related electric services.</w:t>
      </w:r>
    </w:p>
    <w:p w:rsidR="00261CD9" w:rsidRPr="00261CD9" w:rsidRDefault="00261CD9" w:rsidP="00261CD9">
      <w:pPr>
        <w:spacing w:line="480" w:lineRule="auto"/>
        <w:ind w:firstLine="720"/>
        <w:contextualSpacing/>
        <w:jc w:val="both"/>
        <w:rPr>
          <w:rFonts w:eastAsia="Calibri" w:cs="Times New Roman"/>
        </w:rPr>
      </w:pPr>
      <w:r w:rsidRPr="00261CD9">
        <w:rPr>
          <w:rFonts w:eastAsia="Calibri" w:cs="Times New Roman"/>
        </w:rPr>
        <w:lastRenderedPageBreak/>
        <w:t xml:space="preserve">Although the Commission indicated in the ESP Order that the implementation details of the rider would be addressed in a future proceeding, it did not reject that portion </w:t>
      </w:r>
      <w:r>
        <w:rPr>
          <w:rFonts w:eastAsia="Calibri" w:cs="Times New Roman"/>
        </w:rPr>
        <w:t>of the Application by which Duke</w:t>
      </w:r>
      <w:r w:rsidRPr="00261CD9">
        <w:rPr>
          <w:rFonts w:eastAsia="Calibri" w:cs="Times New Roman"/>
        </w:rPr>
        <w:t xml:space="preserve"> seeks to increase its compensation for wholesale generation-related services.  </w:t>
      </w:r>
      <w:r w:rsidR="001A392A">
        <w:rPr>
          <w:rFonts w:eastAsia="Calibri" w:cs="Times New Roman"/>
        </w:rPr>
        <w:t>In the application before the Commission, t</w:t>
      </w:r>
      <w:r w:rsidR="002E0AE4">
        <w:rPr>
          <w:rFonts w:eastAsia="Calibri" w:cs="Times New Roman"/>
        </w:rPr>
        <w:t xml:space="preserve">he balance, or </w:t>
      </w:r>
      <w:r w:rsidR="005A5E72">
        <w:rPr>
          <w:rFonts w:eastAsia="Calibri" w:cs="Times New Roman"/>
        </w:rPr>
        <w:t>margin</w:t>
      </w:r>
      <w:r w:rsidR="002E0AE4">
        <w:rPr>
          <w:rFonts w:eastAsia="Calibri" w:cs="Times New Roman"/>
        </w:rPr>
        <w:t>,</w:t>
      </w:r>
      <w:r w:rsidR="005A5E72">
        <w:rPr>
          <w:rFonts w:eastAsia="Calibri" w:cs="Times New Roman"/>
        </w:rPr>
        <w:t xml:space="preserve"> collected under the proposed </w:t>
      </w:r>
      <w:r w:rsidR="002E0AE4">
        <w:rPr>
          <w:rFonts w:eastAsia="Calibri" w:cs="Times New Roman"/>
        </w:rPr>
        <w:t>rider from retail cust</w:t>
      </w:r>
      <w:r w:rsidR="00DF28AC">
        <w:rPr>
          <w:rFonts w:eastAsia="Calibri" w:cs="Times New Roman"/>
        </w:rPr>
        <w:t>o</w:t>
      </w:r>
      <w:r w:rsidR="002E0AE4">
        <w:rPr>
          <w:rFonts w:eastAsia="Calibri" w:cs="Times New Roman"/>
        </w:rPr>
        <w:t>mers</w:t>
      </w:r>
      <w:r w:rsidR="005A5E72">
        <w:rPr>
          <w:rFonts w:eastAsia="Calibri" w:cs="Times New Roman"/>
        </w:rPr>
        <w:t xml:space="preserve"> is the difference between </w:t>
      </w:r>
      <w:r w:rsidR="005A5E72" w:rsidRPr="005A5E72">
        <w:rPr>
          <w:rFonts w:eastAsia="Calibri" w:cs="Times New Roman"/>
        </w:rPr>
        <w:t>the wholesale costs Duke is charged by OVEC under the FERC-approved wholesale contract and the wholesale revenue Duke received under PJM tariffs.</w:t>
      </w:r>
      <w:r w:rsidR="005A5E72" w:rsidRPr="005A5E72">
        <w:rPr>
          <w:rFonts w:eastAsia="Calibri" w:cs="Times New Roman"/>
          <w:vertAlign w:val="superscript"/>
        </w:rPr>
        <w:footnoteReference w:id="21"/>
      </w:r>
      <w:r w:rsidR="005A5E72" w:rsidRPr="005A5E72">
        <w:rPr>
          <w:rFonts w:eastAsia="Calibri" w:cs="Times New Roman"/>
        </w:rPr>
        <w:t xml:space="preserve">  </w:t>
      </w:r>
      <w:r w:rsidRPr="00261CD9">
        <w:rPr>
          <w:rFonts w:eastAsia="Calibri" w:cs="Times New Roman"/>
        </w:rPr>
        <w:t>Because Ohio law limits the Commission’s jurisdiction to set charges for a service of an electric light company to electricity</w:t>
      </w:r>
      <w:r w:rsidR="001A392A">
        <w:rPr>
          <w:rFonts w:eastAsia="Calibri" w:cs="Times New Roman"/>
        </w:rPr>
        <w:t xml:space="preserve"> services</w:t>
      </w:r>
      <w:r w:rsidRPr="00261CD9">
        <w:rPr>
          <w:rFonts w:eastAsia="Calibri" w:cs="Times New Roman"/>
        </w:rPr>
        <w:t xml:space="preserve"> being supplied to consumers in Ohio, the Commission’s jurisdiction does not extend to establishing a charge or credit to adjust </w:t>
      </w:r>
      <w:r>
        <w:rPr>
          <w:rFonts w:eastAsia="Calibri" w:cs="Times New Roman"/>
        </w:rPr>
        <w:t>Duke’s</w:t>
      </w:r>
      <w:r w:rsidRPr="00261CD9">
        <w:rPr>
          <w:rFonts w:eastAsia="Calibri" w:cs="Times New Roman"/>
        </w:rPr>
        <w:t xml:space="preserve"> compensation for wholesale generation-related electric services.  Accordingly, the Commission is without authority under Ohio law to authorize the </w:t>
      </w:r>
      <w:r>
        <w:rPr>
          <w:rFonts w:eastAsia="Calibri" w:cs="Times New Roman"/>
        </w:rPr>
        <w:t>PSR</w:t>
      </w:r>
      <w:r w:rsidRPr="00261CD9">
        <w:rPr>
          <w:rFonts w:eastAsia="Calibri" w:cs="Times New Roman"/>
        </w:rPr>
        <w:t xml:space="preserve">.  </w:t>
      </w:r>
    </w:p>
    <w:p w:rsidR="00261CD9" w:rsidRDefault="00261CD9" w:rsidP="00261CD9">
      <w:pPr>
        <w:spacing w:line="480" w:lineRule="auto"/>
        <w:ind w:firstLine="720"/>
        <w:contextualSpacing/>
        <w:jc w:val="both"/>
        <w:rPr>
          <w:rFonts w:eastAsia="Calibri" w:cs="Times New Roman"/>
        </w:rPr>
      </w:pPr>
      <w:r w:rsidRPr="00261CD9">
        <w:rPr>
          <w:rFonts w:eastAsia="Calibri" w:cs="Times New Roman"/>
        </w:rPr>
        <w:t xml:space="preserve">Because the Commission erred in authorizing a rider that would allow </w:t>
      </w:r>
      <w:r w:rsidR="00C57B05">
        <w:rPr>
          <w:rFonts w:eastAsia="Calibri" w:cs="Times New Roman"/>
        </w:rPr>
        <w:t>Duke</w:t>
      </w:r>
      <w:r w:rsidRPr="00261CD9">
        <w:rPr>
          <w:rFonts w:eastAsia="Calibri" w:cs="Times New Roman"/>
        </w:rPr>
        <w:t xml:space="preserve"> to seek to recover increased compensation for wholesale generation-related services, the Commission should grant rehearing and reverse its order authorizing </w:t>
      </w:r>
      <w:r w:rsidR="00C57B05">
        <w:rPr>
          <w:rFonts w:eastAsia="Calibri" w:cs="Times New Roman"/>
        </w:rPr>
        <w:t>Duke</w:t>
      </w:r>
      <w:r w:rsidRPr="00261CD9">
        <w:rPr>
          <w:rFonts w:eastAsia="Calibri" w:cs="Times New Roman"/>
        </w:rPr>
        <w:t xml:space="preserve"> to establish </w:t>
      </w:r>
      <w:r w:rsidR="005A5E72">
        <w:rPr>
          <w:rFonts w:eastAsia="Calibri" w:cs="Times New Roman"/>
        </w:rPr>
        <w:t>the</w:t>
      </w:r>
      <w:r w:rsidRPr="00261CD9">
        <w:rPr>
          <w:rFonts w:eastAsia="Calibri" w:cs="Times New Roman"/>
        </w:rPr>
        <w:t xml:space="preserve"> </w:t>
      </w:r>
      <w:r w:rsidR="00C57B05">
        <w:rPr>
          <w:rFonts w:eastAsia="Calibri" w:cs="Times New Roman"/>
        </w:rPr>
        <w:t>PSR</w:t>
      </w:r>
      <w:r w:rsidRPr="00261CD9">
        <w:rPr>
          <w:rFonts w:eastAsia="Calibri" w:cs="Times New Roman"/>
        </w:rPr>
        <w:t>.</w:t>
      </w:r>
    </w:p>
    <w:p w:rsidR="007861C9" w:rsidRPr="007861C9" w:rsidRDefault="007861C9" w:rsidP="007861C9">
      <w:pPr>
        <w:pStyle w:val="Heading3"/>
      </w:pPr>
      <w:bookmarkStart w:id="67" w:name="_Toc414094867"/>
      <w:bookmarkStart w:id="68" w:name="_Toc414363744"/>
      <w:bookmarkStart w:id="69" w:name="_Toc414363839"/>
      <w:bookmarkStart w:id="70" w:name="_Toc414366704"/>
      <w:bookmarkStart w:id="71" w:name="_Toc414366927"/>
      <w:bookmarkStart w:id="72" w:name="_Toc414367234"/>
      <w:bookmarkStart w:id="73" w:name="_Toc414368382"/>
      <w:bookmarkStart w:id="74" w:name="_Toc414370904"/>
      <w:bookmarkStart w:id="75" w:name="_Toc414371031"/>
      <w:bookmarkStart w:id="76" w:name="_Toc414371166"/>
      <w:bookmarkStart w:id="77" w:name="_Toc414371208"/>
      <w:bookmarkStart w:id="78" w:name="_Toc414371272"/>
      <w:bookmarkStart w:id="79" w:name="_Toc414371338"/>
      <w:bookmarkStart w:id="80" w:name="_Toc414371480"/>
      <w:bookmarkStart w:id="81" w:name="_Toc414372694"/>
      <w:bookmarkStart w:id="82" w:name="_Toc414373001"/>
      <w:bookmarkStart w:id="83" w:name="_Toc414373692"/>
      <w:bookmarkStart w:id="84" w:name="_Toc414877917"/>
      <w:bookmarkStart w:id="85" w:name="_Toc414973818"/>
      <w:bookmarkStart w:id="86" w:name="_Toc414973849"/>
      <w:bookmarkStart w:id="87" w:name="_Toc415223871"/>
      <w:bookmarkStart w:id="88" w:name="_Toc415225432"/>
      <w:bookmarkStart w:id="89" w:name="_Toc418495449"/>
      <w:bookmarkStart w:id="90" w:name="assign5"/>
      <w:r w:rsidRPr="007861C9">
        <w:t xml:space="preserve">The ESP Order is unlawful because authorization to establish a placeholder rider, the </w:t>
      </w:r>
      <w:r w:rsidR="00C919DA">
        <w:t>PSR</w:t>
      </w:r>
      <w:r w:rsidRPr="007861C9">
        <w:t>, and to seek cost recovery in a future filing, violates the requirements of R.C. 4928.143(B), which limits the terms that may be authorized as terms of an ESP, and R.C. 4928.143</w:t>
      </w:r>
      <w:bookmarkEnd w:id="67"/>
      <w:r w:rsidRPr="007861C9">
        <w:t>(C)(1), which provides that the Commission may approve or modify and approve an ESP, including its pricing and all other terms and conditions, including any deferrals and any future recovery of deferrals, if the ESP is more favorable in the aggregate as compared to the expected results that would otherwise apply under R.C. 4928.142</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bookmarkEnd w:id="90"/>
    <w:p w:rsidR="007861C9" w:rsidRPr="007861C9" w:rsidRDefault="007861C9" w:rsidP="007861C9">
      <w:pPr>
        <w:autoSpaceDE w:val="0"/>
        <w:autoSpaceDN w:val="0"/>
        <w:adjustRightInd w:val="0"/>
        <w:spacing w:line="480" w:lineRule="auto"/>
        <w:ind w:firstLine="720"/>
        <w:jc w:val="both"/>
        <w:rPr>
          <w:rFonts w:eastAsia="Times New Roman" w:cs="Arial"/>
        </w:rPr>
      </w:pPr>
      <w:r w:rsidRPr="007861C9">
        <w:rPr>
          <w:rFonts w:eastAsia="Times New Roman" w:cs="Arial"/>
        </w:rPr>
        <w:lastRenderedPageBreak/>
        <w:t>The Commission, as a creature of statute, has no authority to act beyond its statutory powers.</w:t>
      </w:r>
      <w:r w:rsidRPr="007861C9">
        <w:rPr>
          <w:rFonts w:eastAsia="Times New Roman" w:cs="Times New Roman"/>
          <w:vertAlign w:val="superscript"/>
        </w:rPr>
        <w:footnoteReference w:id="22"/>
      </w:r>
      <w:r w:rsidR="005A5E72">
        <w:rPr>
          <w:rFonts w:eastAsia="Times New Roman" w:cs="Arial"/>
        </w:rPr>
        <w:t xml:space="preserve">  R.C. 4928.143(B)</w:t>
      </w:r>
      <w:r w:rsidRPr="007861C9">
        <w:rPr>
          <w:rFonts w:eastAsia="Times New Roman" w:cs="Arial"/>
        </w:rPr>
        <w:t xml:space="preserve"> </w:t>
      </w:r>
      <w:r w:rsidR="005A5E72">
        <w:rPr>
          <w:rFonts w:eastAsia="Times New Roman" w:cs="Arial"/>
        </w:rPr>
        <w:t>states</w:t>
      </w:r>
      <w:r w:rsidRPr="007861C9">
        <w:rPr>
          <w:rFonts w:eastAsia="Times New Roman" w:cs="Arial"/>
        </w:rPr>
        <w:t xml:space="preserve"> the terms that the Commission may authorize as a provision of an ESP, and none authorizes a placeholder rider.  Further, the Commission may approve or modify and approve an application for an ESP only if it determines that the ESP is more favorable in the aggregate than a</w:t>
      </w:r>
      <w:r w:rsidR="00853591">
        <w:rPr>
          <w:rFonts w:eastAsia="Times New Roman" w:cs="Arial"/>
        </w:rPr>
        <w:t xml:space="preserve"> Market Rate Offer ("</w:t>
      </w:r>
      <w:r w:rsidRPr="007861C9">
        <w:rPr>
          <w:rFonts w:eastAsia="Times New Roman" w:cs="Arial"/>
        </w:rPr>
        <w:t>MRO</w:t>
      </w:r>
      <w:r w:rsidR="00853591">
        <w:rPr>
          <w:rFonts w:eastAsia="Times New Roman" w:cs="Arial"/>
        </w:rPr>
        <w:t>")</w:t>
      </w:r>
      <w:r w:rsidR="00C919DA">
        <w:rPr>
          <w:rFonts w:eastAsia="Times New Roman" w:cs="Arial"/>
        </w:rPr>
        <w:t xml:space="preserve"> (“ESP v. MRO Test”)</w:t>
      </w:r>
      <w:r w:rsidRPr="007861C9">
        <w:rPr>
          <w:rFonts w:eastAsia="Times New Roman" w:cs="Arial"/>
        </w:rPr>
        <w:t>.</w:t>
      </w:r>
      <w:r w:rsidR="005A5E72">
        <w:rPr>
          <w:rStyle w:val="FootnoteReference"/>
          <w:rFonts w:eastAsia="Times New Roman" w:cs="Arial"/>
        </w:rPr>
        <w:footnoteReference w:id="23"/>
      </w:r>
      <w:r w:rsidRPr="007861C9">
        <w:rPr>
          <w:rFonts w:eastAsia="Times New Roman" w:cs="Arial"/>
        </w:rPr>
        <w:t xml:space="preserve">  By approving a placeholder rider as a term of </w:t>
      </w:r>
      <w:r w:rsidR="00C919DA">
        <w:rPr>
          <w:rFonts w:eastAsia="Times New Roman" w:cs="Arial"/>
        </w:rPr>
        <w:t>Duke’s</w:t>
      </w:r>
      <w:r w:rsidRPr="007861C9">
        <w:rPr>
          <w:rFonts w:eastAsia="Times New Roman" w:cs="Arial"/>
        </w:rPr>
        <w:t xml:space="preserve"> next ESP,</w:t>
      </w:r>
      <w:r w:rsidR="00C919DA">
        <w:rPr>
          <w:rStyle w:val="FootnoteReference"/>
          <w:rFonts w:eastAsia="Times New Roman" w:cs="Arial"/>
        </w:rPr>
        <w:footnoteReference w:id="24"/>
      </w:r>
      <w:r w:rsidRPr="007861C9">
        <w:rPr>
          <w:rFonts w:eastAsia="Times New Roman" w:cs="Arial"/>
        </w:rPr>
        <w:t xml:space="preserve"> the Commission has permitted </w:t>
      </w:r>
      <w:r w:rsidR="00C919DA">
        <w:rPr>
          <w:rFonts w:eastAsia="Times New Roman" w:cs="Arial"/>
        </w:rPr>
        <w:t>Duke</w:t>
      </w:r>
      <w:r w:rsidRPr="007861C9">
        <w:rPr>
          <w:rFonts w:eastAsia="Times New Roman" w:cs="Arial"/>
        </w:rPr>
        <w:t xml:space="preserve"> to </w:t>
      </w:r>
      <w:r w:rsidR="007B439B">
        <w:rPr>
          <w:rFonts w:eastAsia="Times New Roman" w:cs="Arial"/>
        </w:rPr>
        <w:t>evade application of</w:t>
      </w:r>
      <w:r w:rsidR="005A5E72">
        <w:rPr>
          <w:rFonts w:eastAsia="Times New Roman" w:cs="Arial"/>
        </w:rPr>
        <w:t xml:space="preserve"> </w:t>
      </w:r>
      <w:r w:rsidRPr="007861C9">
        <w:rPr>
          <w:rFonts w:eastAsia="Times New Roman" w:cs="Arial"/>
        </w:rPr>
        <w:t>the ESP v. MRO Test</w:t>
      </w:r>
      <w:r w:rsidR="007B439B">
        <w:rPr>
          <w:rFonts w:eastAsia="Times New Roman" w:cs="Arial"/>
        </w:rPr>
        <w:t xml:space="preserve"> if the Commission approves cost recovery in a “future filing</w:t>
      </w:r>
      <w:r w:rsidRPr="007861C9">
        <w:rPr>
          <w:rFonts w:eastAsia="Times New Roman" w:cs="Arial"/>
        </w:rPr>
        <w:t>.</w:t>
      </w:r>
      <w:r w:rsidR="007B439B">
        <w:rPr>
          <w:rFonts w:eastAsia="Times New Roman" w:cs="Arial"/>
        </w:rPr>
        <w:t>”</w:t>
      </w:r>
      <w:r w:rsidRPr="007861C9">
        <w:rPr>
          <w:rFonts w:eastAsia="Times New Roman" w:cs="Arial"/>
        </w:rPr>
        <w:t xml:space="preserve">  </w:t>
      </w:r>
      <w:r w:rsidR="005A5E72">
        <w:rPr>
          <w:rFonts w:eastAsia="Times New Roman" w:cs="Arial"/>
        </w:rPr>
        <w:t>Because the PSR cannot be authorized as a placeholder rider under either Section 4928.143(B) or (C)(1)</w:t>
      </w:r>
      <w:r w:rsidRPr="007861C9">
        <w:rPr>
          <w:rFonts w:eastAsia="Times New Roman" w:cs="Arial"/>
        </w:rPr>
        <w:t xml:space="preserve">, the Commission’s authorization of the </w:t>
      </w:r>
      <w:r w:rsidR="00C57B05">
        <w:rPr>
          <w:rFonts w:eastAsia="Times New Roman" w:cs="Arial"/>
        </w:rPr>
        <w:t>PSR</w:t>
      </w:r>
      <w:r w:rsidRPr="007861C9">
        <w:rPr>
          <w:rFonts w:eastAsia="Times New Roman" w:cs="Arial"/>
        </w:rPr>
        <w:t xml:space="preserve"> as a placeholder rider is unlawful.</w:t>
      </w:r>
    </w:p>
    <w:p w:rsidR="007861C9" w:rsidRPr="007861C9" w:rsidRDefault="007861C9" w:rsidP="007861C9">
      <w:pPr>
        <w:autoSpaceDE w:val="0"/>
        <w:autoSpaceDN w:val="0"/>
        <w:adjustRightInd w:val="0"/>
        <w:spacing w:line="480" w:lineRule="auto"/>
        <w:ind w:firstLine="720"/>
        <w:jc w:val="both"/>
        <w:rPr>
          <w:rFonts w:eastAsia="Times New Roman" w:cs="Arial"/>
        </w:rPr>
      </w:pPr>
      <w:r w:rsidRPr="007861C9">
        <w:rPr>
          <w:rFonts w:eastAsia="Times New Roman" w:cs="Arial"/>
        </w:rPr>
        <w:t>The items that may be approved as part of an ESP are limited to those authorized by R.C. 4928.143(B)(1) and (2).</w:t>
      </w:r>
      <w:r w:rsidRPr="007861C9">
        <w:rPr>
          <w:rFonts w:eastAsia="Times New Roman" w:cs="Times New Roman"/>
          <w:vertAlign w:val="superscript"/>
        </w:rPr>
        <w:footnoteReference w:id="25"/>
      </w:r>
      <w:r w:rsidRPr="007861C9">
        <w:rPr>
          <w:rFonts w:eastAsia="Times New Roman" w:cs="Arial"/>
        </w:rPr>
        <w:t xml:space="preserve">  R.C. 4928.143(B)(1) authorizes the Commission to include provisions in the ESP relating to the supply and pricing of retail generation service.  </w:t>
      </w:r>
      <w:r w:rsidR="007B439B">
        <w:rPr>
          <w:rFonts w:eastAsia="Times New Roman" w:cs="Arial"/>
        </w:rPr>
        <w:t>Any</w:t>
      </w:r>
      <w:r w:rsidR="007B439B" w:rsidRPr="007861C9">
        <w:rPr>
          <w:rFonts w:eastAsia="Times New Roman" w:cs="Arial"/>
        </w:rPr>
        <w:t xml:space="preserve"> </w:t>
      </w:r>
      <w:r w:rsidRPr="007861C9">
        <w:rPr>
          <w:rFonts w:eastAsia="Times New Roman" w:cs="Arial"/>
        </w:rPr>
        <w:t>other provision</w:t>
      </w:r>
      <w:r w:rsidR="007B439B">
        <w:rPr>
          <w:rFonts w:eastAsia="Times New Roman" w:cs="Arial"/>
        </w:rPr>
        <w:t xml:space="preserve"> </w:t>
      </w:r>
      <w:r w:rsidRPr="007861C9">
        <w:rPr>
          <w:rFonts w:eastAsia="Times New Roman" w:cs="Arial"/>
        </w:rPr>
        <w:t xml:space="preserve">may be authorized </w:t>
      </w:r>
      <w:r w:rsidR="007B439B">
        <w:rPr>
          <w:rFonts w:eastAsia="Times New Roman" w:cs="Arial"/>
        </w:rPr>
        <w:t xml:space="preserve">only if it meets the requirements of one of </w:t>
      </w:r>
      <w:r w:rsidRPr="007861C9">
        <w:rPr>
          <w:rFonts w:eastAsia="Times New Roman" w:cs="Arial"/>
        </w:rPr>
        <w:t xml:space="preserve">the nine enumerated provisions of </w:t>
      </w:r>
      <w:r w:rsidR="007B439B">
        <w:rPr>
          <w:rFonts w:eastAsia="Times New Roman" w:cs="Arial"/>
        </w:rPr>
        <w:t>R.C. 4928.143</w:t>
      </w:r>
      <w:r w:rsidRPr="007861C9">
        <w:rPr>
          <w:rFonts w:eastAsia="Times New Roman" w:cs="Arial"/>
        </w:rPr>
        <w:t>(B)(2).</w:t>
      </w:r>
      <w:r w:rsidRPr="007861C9">
        <w:rPr>
          <w:rFonts w:eastAsia="Times New Roman" w:cs="Times New Roman"/>
          <w:vertAlign w:val="superscript"/>
        </w:rPr>
        <w:footnoteReference w:id="26"/>
      </w:r>
      <w:r w:rsidRPr="007861C9">
        <w:rPr>
          <w:rFonts w:eastAsia="Times New Roman" w:cs="Arial"/>
        </w:rPr>
        <w:t xml:space="preserve">  </w:t>
      </w:r>
    </w:p>
    <w:p w:rsidR="007861C9" w:rsidRPr="007861C9" w:rsidRDefault="007861C9" w:rsidP="007861C9">
      <w:pPr>
        <w:spacing w:line="480" w:lineRule="auto"/>
        <w:contextualSpacing/>
        <w:jc w:val="both"/>
        <w:rPr>
          <w:rFonts w:eastAsia="Times New Roman" w:cs="Arial"/>
        </w:rPr>
      </w:pPr>
      <w:r w:rsidRPr="007861C9">
        <w:rPr>
          <w:rFonts w:eastAsia="Times New Roman" w:cs="Arial"/>
        </w:rPr>
        <w:tab/>
      </w:r>
      <w:r w:rsidR="001A392A" w:rsidRPr="007861C9">
        <w:rPr>
          <w:rFonts w:eastAsia="Times New Roman" w:cs="Arial"/>
        </w:rPr>
        <w:t xml:space="preserve">Each provision </w:t>
      </w:r>
      <w:r w:rsidR="005A5E72">
        <w:rPr>
          <w:rFonts w:eastAsia="Times New Roman" w:cs="Arial"/>
        </w:rPr>
        <w:t>of R.C. 4928.143(B)(1) or</w:t>
      </w:r>
      <w:r w:rsidRPr="007861C9">
        <w:rPr>
          <w:rFonts w:eastAsia="Times New Roman" w:cs="Arial"/>
        </w:rPr>
        <w:t xml:space="preserve"> (2) specifically provides that the Commission may authorize the recovery of various costs, either immediately or through a phase-in.  </w:t>
      </w:r>
      <w:r w:rsidR="00DB4845">
        <w:rPr>
          <w:rFonts w:eastAsia="Times New Roman" w:cs="Arial"/>
        </w:rPr>
        <w:t>None</w:t>
      </w:r>
      <w:r w:rsidRPr="007861C9">
        <w:rPr>
          <w:rFonts w:eastAsia="Times New Roman" w:cs="Arial"/>
        </w:rPr>
        <w:t xml:space="preserve"> authorizes</w:t>
      </w:r>
      <w:r w:rsidR="00DB4845">
        <w:rPr>
          <w:rFonts w:eastAsia="Times New Roman" w:cs="Arial"/>
        </w:rPr>
        <w:t xml:space="preserve"> either a placeholder rider or</w:t>
      </w:r>
      <w:r w:rsidRPr="007861C9">
        <w:rPr>
          <w:rFonts w:eastAsia="Times New Roman" w:cs="Arial"/>
        </w:rPr>
        <w:t xml:space="preserve"> the two-step process that would result from the establishment of a placeholder rider and subsequent initiation of a </w:t>
      </w:r>
      <w:r w:rsidRPr="007861C9">
        <w:rPr>
          <w:rFonts w:eastAsia="Times New Roman" w:cs="Arial"/>
        </w:rPr>
        <w:lastRenderedPageBreak/>
        <w:t xml:space="preserve">charge through a separate filing unrelated to a deferral and its recovery.  Accordingly, R.C. 4928.143(B) does not authorize the Commission to authorize </w:t>
      </w:r>
      <w:r w:rsidR="00C919DA">
        <w:rPr>
          <w:rFonts w:eastAsia="Times New Roman" w:cs="Arial"/>
        </w:rPr>
        <w:t>Duke</w:t>
      </w:r>
      <w:r w:rsidRPr="007861C9">
        <w:rPr>
          <w:rFonts w:eastAsia="Times New Roman" w:cs="Arial"/>
        </w:rPr>
        <w:t xml:space="preserve"> to establish a placeholder rider.</w:t>
      </w:r>
    </w:p>
    <w:p w:rsidR="007861C9" w:rsidRPr="007861C9" w:rsidRDefault="007861C9" w:rsidP="007861C9">
      <w:pPr>
        <w:spacing w:line="480" w:lineRule="auto"/>
        <w:contextualSpacing/>
        <w:jc w:val="both"/>
        <w:rPr>
          <w:rFonts w:eastAsia="Times New Roman" w:cs="Arial"/>
        </w:rPr>
      </w:pPr>
      <w:r w:rsidRPr="007861C9">
        <w:rPr>
          <w:rFonts w:eastAsia="Times New Roman" w:cs="Arial"/>
        </w:rPr>
        <w:tab/>
        <w:t>Additionally, R.C. 4928.143(C)(1) requires the Commission to find that it is without authority to approve a placeholder rider.  Before the Commission may approve or modify and approve an application for an ESP, the Commission must find that the ESP, “so approved, including its pricing and all other terms and conditions, including any deferrals and any future recovery of deferrals, is more favorable in the aggregate as compared to the expected results that would otherwise apply under section 4928.142 of the Revised Code.”</w:t>
      </w:r>
      <w:r w:rsidRPr="007861C9">
        <w:rPr>
          <w:rFonts w:eastAsia="Times New Roman" w:cs="Arial"/>
          <w:vertAlign w:val="superscript"/>
        </w:rPr>
        <w:footnoteReference w:id="27"/>
      </w:r>
      <w:r w:rsidRPr="007861C9">
        <w:rPr>
          <w:rFonts w:eastAsia="Times New Roman" w:cs="Arial"/>
        </w:rPr>
        <w:t xml:space="preserve">  Thus, the Commission can approve a rider as a term of the ESP only if it addresses all the expected charges that will be imposed by the ESP, including those deferred for future recovery, and finds that the result is better than the expected results of an MRO.</w:t>
      </w:r>
    </w:p>
    <w:p w:rsidR="007861C9" w:rsidRPr="007861C9" w:rsidRDefault="00DB4845" w:rsidP="007861C9">
      <w:pPr>
        <w:spacing w:line="480" w:lineRule="auto"/>
        <w:ind w:firstLine="720"/>
        <w:contextualSpacing/>
        <w:jc w:val="both"/>
        <w:rPr>
          <w:rFonts w:eastAsia="Times New Roman" w:cs="Arial"/>
        </w:rPr>
      </w:pPr>
      <w:r>
        <w:rPr>
          <w:rFonts w:eastAsia="Times New Roman" w:cs="Arial"/>
        </w:rPr>
        <w:t>In this case, t</w:t>
      </w:r>
      <w:r w:rsidR="00C919DA">
        <w:rPr>
          <w:rFonts w:eastAsia="Times New Roman" w:cs="Arial"/>
        </w:rPr>
        <w:t>he Commission determined that the ESP was quantitatively more favorable than an MRO</w:t>
      </w:r>
      <w:r w:rsidR="007861C9" w:rsidRPr="007861C9">
        <w:rPr>
          <w:rFonts w:eastAsia="Times New Roman" w:cs="Arial"/>
        </w:rPr>
        <w:t xml:space="preserve">.  The Commission, however, has provided that </w:t>
      </w:r>
      <w:r w:rsidR="00C919DA">
        <w:rPr>
          <w:rFonts w:eastAsia="Times New Roman" w:cs="Arial"/>
        </w:rPr>
        <w:t>Duke</w:t>
      </w:r>
      <w:r w:rsidR="007861C9" w:rsidRPr="007861C9">
        <w:rPr>
          <w:rFonts w:eastAsia="Times New Roman" w:cs="Arial"/>
        </w:rPr>
        <w:t xml:space="preserve"> may seek to recover above-market wholesale gene</w:t>
      </w:r>
      <w:r w:rsidR="00C919DA">
        <w:rPr>
          <w:rFonts w:eastAsia="Times New Roman" w:cs="Arial"/>
        </w:rPr>
        <w:t xml:space="preserve">ration-related costs </w:t>
      </w:r>
      <w:r w:rsidR="007861C9" w:rsidRPr="007861C9">
        <w:rPr>
          <w:rFonts w:eastAsia="Times New Roman" w:cs="Arial"/>
        </w:rPr>
        <w:t xml:space="preserve">through </w:t>
      </w:r>
      <w:r w:rsidR="00C919DA">
        <w:rPr>
          <w:rFonts w:eastAsia="Times New Roman" w:cs="Arial"/>
        </w:rPr>
        <w:t>a “future filing</w:t>
      </w:r>
      <w:r w:rsidR="007861C9" w:rsidRPr="007861C9">
        <w:rPr>
          <w:rFonts w:eastAsia="Times New Roman" w:cs="Arial"/>
        </w:rPr>
        <w:t>.”</w:t>
      </w:r>
      <w:r w:rsidR="007861C9" w:rsidRPr="007861C9">
        <w:rPr>
          <w:rFonts w:eastAsia="Times New Roman" w:cs="Arial"/>
          <w:vertAlign w:val="superscript"/>
        </w:rPr>
        <w:footnoteReference w:id="28"/>
      </w:r>
      <w:r w:rsidR="007861C9" w:rsidRPr="007861C9">
        <w:rPr>
          <w:rFonts w:eastAsia="Times New Roman" w:cs="Arial"/>
        </w:rPr>
        <w:t xml:space="preserve">  </w:t>
      </w:r>
      <w:r w:rsidR="00CB75AB">
        <w:rPr>
          <w:rFonts w:eastAsia="Times New Roman" w:cs="Arial"/>
        </w:rPr>
        <w:t xml:space="preserve">The Commission, however, did not require Duke to demonstrate </w:t>
      </w:r>
      <w:r w:rsidR="007861C9" w:rsidRPr="007861C9">
        <w:rPr>
          <w:rFonts w:eastAsia="Times New Roman" w:cs="Arial"/>
        </w:rPr>
        <w:t xml:space="preserve">whether the ESP would continue to pass the ESP v. MRO Test if </w:t>
      </w:r>
      <w:r w:rsidR="00C919DA">
        <w:rPr>
          <w:rFonts w:eastAsia="Times New Roman" w:cs="Arial"/>
        </w:rPr>
        <w:t>Duke</w:t>
      </w:r>
      <w:r w:rsidR="007861C9" w:rsidRPr="007861C9">
        <w:rPr>
          <w:rFonts w:eastAsia="Times New Roman" w:cs="Arial"/>
        </w:rPr>
        <w:t xml:space="preserve"> is authorized to begin additional cost recovery.  Thus, if </w:t>
      </w:r>
      <w:r w:rsidR="00C919DA">
        <w:rPr>
          <w:rFonts w:eastAsia="Times New Roman" w:cs="Arial"/>
        </w:rPr>
        <w:t>Duke</w:t>
      </w:r>
      <w:r w:rsidR="007861C9" w:rsidRPr="007861C9">
        <w:rPr>
          <w:rFonts w:eastAsia="Times New Roman" w:cs="Arial"/>
        </w:rPr>
        <w:t xml:space="preserve"> pursues authorization and secures the collection of the above-market costs of wholesale generation </w:t>
      </w:r>
      <w:r>
        <w:rPr>
          <w:rFonts w:eastAsia="Times New Roman" w:cs="Arial"/>
        </w:rPr>
        <w:t>services of OVEC or another generation plant</w:t>
      </w:r>
      <w:r w:rsidR="007861C9" w:rsidRPr="007861C9">
        <w:rPr>
          <w:rFonts w:eastAsia="Times New Roman" w:cs="Arial"/>
        </w:rPr>
        <w:t xml:space="preserve">, </w:t>
      </w:r>
      <w:r w:rsidR="00C919DA">
        <w:rPr>
          <w:rFonts w:eastAsia="Times New Roman" w:cs="Arial"/>
        </w:rPr>
        <w:t>Duke</w:t>
      </w:r>
      <w:r w:rsidR="007861C9" w:rsidRPr="007861C9">
        <w:rPr>
          <w:rFonts w:eastAsia="Times New Roman" w:cs="Arial"/>
        </w:rPr>
        <w:t xml:space="preserve"> will evade its burden of proof to demonstrate that the ESP, including those </w:t>
      </w:r>
      <w:r w:rsidR="007861C9" w:rsidRPr="007861C9">
        <w:rPr>
          <w:rFonts w:eastAsia="Times New Roman" w:cs="Arial"/>
        </w:rPr>
        <w:lastRenderedPageBreak/>
        <w:t>additional generation-related costs, passes the ESP v. MRO Test</w:t>
      </w:r>
      <w:r w:rsidR="00CB75AB">
        <w:rPr>
          <w:rFonts w:eastAsia="Times New Roman" w:cs="Arial"/>
        </w:rPr>
        <w:t xml:space="preserve"> in violation of the requirement of R.C. 4928.143(C)(1).</w:t>
      </w:r>
    </w:p>
    <w:p w:rsidR="007861C9" w:rsidRPr="007861C9" w:rsidRDefault="001A392A" w:rsidP="007861C9">
      <w:pPr>
        <w:spacing w:line="480" w:lineRule="auto"/>
        <w:ind w:firstLine="720"/>
        <w:contextualSpacing/>
        <w:jc w:val="both"/>
        <w:rPr>
          <w:rFonts w:eastAsia="Times New Roman" w:cs="Arial"/>
        </w:rPr>
      </w:pPr>
      <w:r>
        <w:rPr>
          <w:rFonts w:eastAsia="Times New Roman" w:cs="Arial"/>
        </w:rPr>
        <w:t>In summary,</w:t>
      </w:r>
      <w:r w:rsidR="007861C9" w:rsidRPr="007861C9">
        <w:rPr>
          <w:rFonts w:eastAsia="Times New Roman" w:cs="Arial"/>
        </w:rPr>
        <w:t xml:space="preserve"> </w:t>
      </w:r>
      <w:r>
        <w:rPr>
          <w:rFonts w:eastAsia="Times New Roman" w:cs="Arial"/>
        </w:rPr>
        <w:t xml:space="preserve">a </w:t>
      </w:r>
      <w:r w:rsidR="002E0AE4">
        <w:rPr>
          <w:rFonts w:eastAsia="Times New Roman" w:cs="Arial"/>
        </w:rPr>
        <w:t xml:space="preserve">placeholder rider is </w:t>
      </w:r>
      <w:r w:rsidR="00DB4845">
        <w:rPr>
          <w:rFonts w:eastAsia="Times New Roman" w:cs="Arial"/>
        </w:rPr>
        <w:t>not</w:t>
      </w:r>
      <w:r w:rsidR="002E0AE4">
        <w:rPr>
          <w:rFonts w:eastAsia="Times New Roman" w:cs="Arial"/>
        </w:rPr>
        <w:t xml:space="preserve"> authorized as a term of an ESP, and its authorization </w:t>
      </w:r>
      <w:r w:rsidR="00DB4845">
        <w:rPr>
          <w:rFonts w:eastAsia="Times New Roman" w:cs="Arial"/>
        </w:rPr>
        <w:t>permits</w:t>
      </w:r>
      <w:r w:rsidR="002E0AE4">
        <w:rPr>
          <w:rFonts w:eastAsia="Times New Roman" w:cs="Arial"/>
        </w:rPr>
        <w:t xml:space="preserve"> the EDU to evade review of the effect of the placeholder rider on the ESP v. MRO Test</w:t>
      </w:r>
      <w:r w:rsidR="00DB4845">
        <w:rPr>
          <w:rFonts w:eastAsia="Times New Roman" w:cs="Arial"/>
        </w:rPr>
        <w:t xml:space="preserve"> if the Commission subsequently allows Duke to recover costs through approval of a “future filing</w:t>
      </w:r>
      <w:r w:rsidR="002E0AE4">
        <w:rPr>
          <w:rFonts w:eastAsia="Times New Roman" w:cs="Arial"/>
        </w:rPr>
        <w:t>.</w:t>
      </w:r>
      <w:r w:rsidR="00DB4845">
        <w:rPr>
          <w:rFonts w:eastAsia="Times New Roman" w:cs="Arial"/>
        </w:rPr>
        <w:t>”</w:t>
      </w:r>
      <w:r w:rsidR="002E0AE4">
        <w:rPr>
          <w:rFonts w:eastAsia="Times New Roman" w:cs="Arial"/>
        </w:rPr>
        <w:t xml:space="preserve">  </w:t>
      </w:r>
      <w:r w:rsidR="00DB4845">
        <w:rPr>
          <w:rFonts w:eastAsia="Times New Roman" w:cs="Arial"/>
        </w:rPr>
        <w:t>Accordingly</w:t>
      </w:r>
      <w:r w:rsidR="002E0AE4">
        <w:rPr>
          <w:rFonts w:eastAsia="Times New Roman" w:cs="Arial"/>
        </w:rPr>
        <w:t xml:space="preserve">, </w:t>
      </w:r>
      <w:r w:rsidR="007861C9" w:rsidRPr="007861C9">
        <w:rPr>
          <w:rFonts w:eastAsia="Times New Roman" w:cs="Arial"/>
        </w:rPr>
        <w:t xml:space="preserve">the Commission should grant rehearing and reverse </w:t>
      </w:r>
      <w:r w:rsidR="002E0AE4">
        <w:rPr>
          <w:rFonts w:eastAsia="Times New Roman" w:cs="Arial"/>
        </w:rPr>
        <w:t>its authorization of the placeholder PSR</w:t>
      </w:r>
      <w:r w:rsidR="007861C9" w:rsidRPr="007861C9">
        <w:rPr>
          <w:rFonts w:eastAsia="Times New Roman" w:cs="Arial"/>
        </w:rPr>
        <w:t>.</w:t>
      </w:r>
    </w:p>
    <w:p w:rsidR="00370E1F" w:rsidRPr="00370E1F" w:rsidRDefault="00370E1F" w:rsidP="00370E1F">
      <w:pPr>
        <w:pStyle w:val="Heading3"/>
      </w:pPr>
      <w:bookmarkStart w:id="91" w:name="_Toc414094865"/>
      <w:bookmarkStart w:id="92" w:name="_Toc414363742"/>
      <w:bookmarkStart w:id="93" w:name="_Toc414363837"/>
      <w:bookmarkStart w:id="94" w:name="_Toc414366702"/>
      <w:bookmarkStart w:id="95" w:name="_Toc414366925"/>
      <w:bookmarkStart w:id="96" w:name="_Toc414367232"/>
      <w:bookmarkStart w:id="97" w:name="_Toc414368380"/>
      <w:bookmarkStart w:id="98" w:name="_Toc414370902"/>
      <w:bookmarkStart w:id="99" w:name="_Toc414371029"/>
      <w:bookmarkStart w:id="100" w:name="_Toc414371164"/>
      <w:bookmarkStart w:id="101" w:name="_Toc414371206"/>
      <w:bookmarkStart w:id="102" w:name="_Toc414371270"/>
      <w:bookmarkStart w:id="103" w:name="_Toc414371336"/>
      <w:bookmarkStart w:id="104" w:name="_Toc414371478"/>
      <w:bookmarkStart w:id="105" w:name="_Toc414372692"/>
      <w:bookmarkStart w:id="106" w:name="_Toc414372999"/>
      <w:bookmarkStart w:id="107" w:name="_Toc414373690"/>
      <w:bookmarkStart w:id="108" w:name="_Toc414877915"/>
      <w:bookmarkStart w:id="109" w:name="_Toc414973816"/>
      <w:bookmarkStart w:id="110" w:name="_Toc414973847"/>
      <w:bookmarkStart w:id="111" w:name="_Toc415223869"/>
      <w:bookmarkStart w:id="112" w:name="_Toc415225430"/>
      <w:bookmarkStart w:id="113" w:name="_Toc418495450"/>
      <w:bookmarkStart w:id="114" w:name="assign3"/>
      <w:r w:rsidRPr="00370E1F">
        <w:t xml:space="preserve">The ESP Order is unlawful and unreasonable because </w:t>
      </w:r>
      <w:r w:rsidR="00C57B05">
        <w:t>Duke</w:t>
      </w:r>
      <w:r w:rsidRPr="00370E1F">
        <w:t xml:space="preserve"> did not satisfy the burden of proof to demonstrate that the </w:t>
      </w:r>
      <w:r w:rsidR="00C57B05">
        <w:t>PSR</w:t>
      </w:r>
      <w:r w:rsidRPr="00370E1F">
        <w:t xml:space="preserve"> is a limitation on customer shopping and the Commission’s finding that the </w:t>
      </w:r>
      <w:r w:rsidR="00C57B05">
        <w:t>PSR</w:t>
      </w:r>
      <w:r w:rsidRPr="00370E1F">
        <w:t xml:space="preserve"> is a limitation on customer shopping</w:t>
      </w:r>
      <w:r w:rsidR="001A392A">
        <w:t xml:space="preserve"> is not supported by the record as required by R.C. 4903</w:t>
      </w:r>
      <w:r w:rsidR="004160F1">
        <w:t>.09 and</w:t>
      </w:r>
      <w:r w:rsidRPr="00370E1F">
        <w:t xml:space="preserve"> is not supported by the manifest weight of the evidence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bookmarkEnd w:id="114"/>
    <w:p w:rsidR="00370E1F" w:rsidRDefault="00370E1F" w:rsidP="00370E1F">
      <w:pPr>
        <w:spacing w:line="480" w:lineRule="auto"/>
        <w:contextualSpacing/>
        <w:jc w:val="both"/>
        <w:rPr>
          <w:rFonts w:eastAsia="Times New Roman" w:cs="Arial"/>
        </w:rPr>
      </w:pPr>
      <w:r w:rsidRPr="00370E1F">
        <w:rPr>
          <w:rFonts w:eastAsia="Times New Roman" w:cs="Arial"/>
        </w:rPr>
        <w:tab/>
      </w:r>
      <w:r w:rsidR="00CB75AB">
        <w:rPr>
          <w:rFonts w:eastAsia="Times New Roman" w:cs="Arial"/>
        </w:rPr>
        <w:t xml:space="preserve">Duke sought authorization of the PSR under R.C. 4928.143(B)(2)(d).  </w:t>
      </w:r>
      <w:r w:rsidR="00D81CDB">
        <w:rPr>
          <w:rFonts w:eastAsia="Times New Roman" w:cs="Arial"/>
        </w:rPr>
        <w:t xml:space="preserve">That section requires Duke to demonstrate that the PSR </w:t>
      </w:r>
      <w:r w:rsidR="00CB75AB">
        <w:rPr>
          <w:rFonts w:eastAsia="Times New Roman" w:cs="Arial"/>
        </w:rPr>
        <w:t xml:space="preserve">is </w:t>
      </w:r>
      <w:r w:rsidR="00A35AD8">
        <w:rPr>
          <w:rFonts w:eastAsia="Times New Roman" w:cs="Arial"/>
        </w:rPr>
        <w:t>“[t]</w:t>
      </w:r>
      <w:r w:rsidR="00CB75AB" w:rsidRPr="00CB75AB">
        <w:rPr>
          <w:rFonts w:eastAsia="Times New Roman" w:cs="Arial"/>
        </w:rPr>
        <w:t>erm</w:t>
      </w:r>
      <w:r w:rsidR="00A35AD8">
        <w:rPr>
          <w:rFonts w:eastAsia="Times New Roman" w:cs="Arial"/>
        </w:rPr>
        <w:t>[]</w:t>
      </w:r>
      <w:r w:rsidR="00CB75AB" w:rsidRPr="00CB75AB">
        <w:rPr>
          <w:rFonts w:eastAsia="Times New Roman" w:cs="Arial"/>
        </w:rPr>
        <w:t>, condition</w:t>
      </w:r>
      <w:r w:rsidR="00A35AD8">
        <w:rPr>
          <w:rFonts w:eastAsia="Times New Roman" w:cs="Arial"/>
        </w:rPr>
        <w:t>[]</w:t>
      </w:r>
      <w:r w:rsidR="00CB75AB" w:rsidRPr="00CB75AB">
        <w:rPr>
          <w:rFonts w:eastAsia="Times New Roman" w:cs="Arial"/>
        </w:rPr>
        <w:t>, or charge</w:t>
      </w:r>
      <w:r w:rsidR="00A35AD8">
        <w:rPr>
          <w:rFonts w:eastAsia="Times New Roman" w:cs="Arial"/>
        </w:rPr>
        <w:t>[]</w:t>
      </w:r>
      <w:r w:rsidR="00CB75AB" w:rsidRPr="00CB75AB">
        <w:rPr>
          <w:rFonts w:eastAsia="Times New Roman" w:cs="Arial"/>
        </w:rPr>
        <w:t xml:space="preserve"> relating to limitations on customer shopping for retail electric generation service, bypassability, standby, back-up, or supplemental power service, default service, carrying costs, amortization periods, and accounting or deferrals, including future recovery of such deferrals, as would have the effect of stabilizing or providing certainty regarding retail electric service</w:t>
      </w:r>
      <w:r w:rsidR="00A35AD8">
        <w:rPr>
          <w:rFonts w:eastAsia="Times New Roman" w:cs="Arial"/>
        </w:rPr>
        <w:t xml:space="preserve">.”  </w:t>
      </w:r>
      <w:r>
        <w:rPr>
          <w:rFonts w:eastAsia="Times New Roman" w:cs="Arial"/>
        </w:rPr>
        <w:t>To support its claim that the PSR could be approved under R.C. 4928.143(B)(2)(d), Duke asserted that the rider may be approved because it is nonbypassable</w:t>
      </w:r>
      <w:r w:rsidRPr="00370E1F">
        <w:rPr>
          <w:rFonts w:eastAsia="Times New Roman" w:cs="Arial"/>
        </w:rPr>
        <w:t>.</w:t>
      </w:r>
      <w:r>
        <w:rPr>
          <w:rStyle w:val="FootnoteReference"/>
          <w:rFonts w:eastAsia="Times New Roman" w:cs="Arial"/>
        </w:rPr>
        <w:footnoteReference w:id="29"/>
      </w:r>
      <w:r w:rsidRPr="00370E1F">
        <w:rPr>
          <w:rFonts w:eastAsia="Times New Roman" w:cs="Arial"/>
        </w:rPr>
        <w:t xml:space="preserve">  </w:t>
      </w:r>
      <w:r>
        <w:rPr>
          <w:rFonts w:eastAsia="Times New Roman" w:cs="Arial"/>
        </w:rPr>
        <w:t xml:space="preserve">The Commission correctly concluded that “since nearly any charge </w:t>
      </w:r>
      <w:r>
        <w:rPr>
          <w:rFonts w:eastAsia="Times New Roman" w:cs="Arial"/>
        </w:rPr>
        <w:lastRenderedPageBreak/>
        <w:t>may be bypassable or nonbypassable, ‘bypassability’ alone is insufficient to fully meet the second criterion of R.C. 4928.143(B)(2)(d).”</w:t>
      </w:r>
      <w:r>
        <w:rPr>
          <w:rStyle w:val="FootnoteReference"/>
          <w:rFonts w:eastAsia="Times New Roman" w:cs="Arial"/>
        </w:rPr>
        <w:footnoteReference w:id="30"/>
      </w:r>
      <w:r>
        <w:rPr>
          <w:rFonts w:eastAsia="Times New Roman" w:cs="Arial"/>
        </w:rPr>
        <w:t xml:space="preserve">  </w:t>
      </w:r>
    </w:p>
    <w:p w:rsidR="00370E1F" w:rsidRPr="00370E1F" w:rsidRDefault="00370E1F" w:rsidP="00370E1F">
      <w:pPr>
        <w:spacing w:line="480" w:lineRule="auto"/>
        <w:ind w:firstLine="720"/>
        <w:contextualSpacing/>
        <w:jc w:val="both"/>
        <w:rPr>
          <w:rFonts w:eastAsia="Times New Roman" w:cs="Arial"/>
        </w:rPr>
      </w:pPr>
      <w:r>
        <w:rPr>
          <w:rFonts w:eastAsia="Times New Roman" w:cs="Arial"/>
        </w:rPr>
        <w:t>Although Duke failed to demonstrate a lawful basis for approving the rider, the Commission nevertheless determined that the PSR could be approved because it was a “</w:t>
      </w:r>
      <w:r w:rsidR="00604F06">
        <w:rPr>
          <w:rFonts w:eastAsia="Times New Roman" w:cs="Arial"/>
        </w:rPr>
        <w:t xml:space="preserve">financial </w:t>
      </w:r>
      <w:r>
        <w:rPr>
          <w:rFonts w:eastAsia="Times New Roman" w:cs="Arial"/>
        </w:rPr>
        <w:t>limitation on customer shopping</w:t>
      </w:r>
      <w:r w:rsidR="00604F06">
        <w:rPr>
          <w:rFonts w:eastAsia="Times New Roman" w:cs="Arial"/>
        </w:rPr>
        <w:t>,</w:t>
      </w:r>
      <w:r>
        <w:rPr>
          <w:rFonts w:eastAsia="Times New Roman" w:cs="Arial"/>
        </w:rPr>
        <w:t>”</w:t>
      </w:r>
      <w:r>
        <w:rPr>
          <w:rStyle w:val="FootnoteReference"/>
          <w:rFonts w:eastAsia="Times New Roman" w:cs="Arial"/>
        </w:rPr>
        <w:footnoteReference w:id="31"/>
      </w:r>
      <w:r w:rsidR="00325C3B">
        <w:rPr>
          <w:rFonts w:eastAsia="Times New Roman" w:cs="Arial"/>
        </w:rPr>
        <w:t xml:space="preserve"> </w:t>
      </w:r>
      <w:r w:rsidR="00604F06">
        <w:rPr>
          <w:rFonts w:eastAsia="Times New Roman" w:cs="Arial"/>
        </w:rPr>
        <w:t>citing the brief and testimony of an intervenor.</w:t>
      </w:r>
      <w:r w:rsidR="00604F06">
        <w:rPr>
          <w:rStyle w:val="FootnoteReference"/>
          <w:rFonts w:eastAsia="Times New Roman" w:cs="Arial"/>
        </w:rPr>
        <w:footnoteReference w:id="32"/>
      </w:r>
      <w:r w:rsidR="00604F06">
        <w:rPr>
          <w:rFonts w:eastAsia="Times New Roman" w:cs="Arial"/>
        </w:rPr>
        <w:t xml:space="preserve">  </w:t>
      </w:r>
      <w:r w:rsidRPr="00370E1F">
        <w:rPr>
          <w:rFonts w:eastAsia="Times New Roman" w:cs="Arial"/>
        </w:rPr>
        <w:t xml:space="preserve">In its Application, testimony supporting the Application, and its testimony at hearing, </w:t>
      </w:r>
      <w:r w:rsidR="00325C3B">
        <w:rPr>
          <w:rFonts w:eastAsia="Times New Roman" w:cs="Arial"/>
        </w:rPr>
        <w:t xml:space="preserve">however, </w:t>
      </w:r>
      <w:r>
        <w:rPr>
          <w:rFonts w:eastAsia="Times New Roman" w:cs="Arial"/>
        </w:rPr>
        <w:t>Duke</w:t>
      </w:r>
      <w:r w:rsidRPr="00370E1F">
        <w:rPr>
          <w:rFonts w:eastAsia="Times New Roman" w:cs="Arial"/>
        </w:rPr>
        <w:t xml:space="preserve"> took the position that the </w:t>
      </w:r>
      <w:r>
        <w:rPr>
          <w:rFonts w:eastAsia="Times New Roman" w:cs="Arial"/>
        </w:rPr>
        <w:t>PSR</w:t>
      </w:r>
      <w:r w:rsidRPr="00370E1F">
        <w:rPr>
          <w:rFonts w:eastAsia="Times New Roman" w:cs="Arial"/>
        </w:rPr>
        <w:t xml:space="preserve"> was not a limitation on customer shopping.</w:t>
      </w:r>
      <w:r w:rsidR="00325C3B">
        <w:rPr>
          <w:rStyle w:val="FootnoteReference"/>
          <w:rFonts w:eastAsia="Times New Roman" w:cs="Arial"/>
        </w:rPr>
        <w:footnoteReference w:id="33"/>
      </w:r>
      <w:r w:rsidRPr="00370E1F">
        <w:rPr>
          <w:rFonts w:eastAsia="Times New Roman" w:cs="Arial"/>
        </w:rPr>
        <w:t xml:space="preserve">  </w:t>
      </w:r>
      <w:r w:rsidR="00604F06">
        <w:rPr>
          <w:rFonts w:eastAsia="Times New Roman" w:cs="Arial"/>
        </w:rPr>
        <w:t xml:space="preserve">Moreover, the testimony cited by the Commission </w:t>
      </w:r>
      <w:r w:rsidR="00D03057">
        <w:rPr>
          <w:rFonts w:eastAsia="Times New Roman" w:cs="Arial"/>
        </w:rPr>
        <w:t xml:space="preserve">to support its finding </w:t>
      </w:r>
      <w:r w:rsidR="00604F06">
        <w:rPr>
          <w:rFonts w:eastAsia="Times New Roman" w:cs="Arial"/>
        </w:rPr>
        <w:t>does not address whether the PSR would operate as a limitation on customer shopping.  Thus</w:t>
      </w:r>
      <w:r w:rsidR="001A392A">
        <w:rPr>
          <w:rFonts w:eastAsia="Times New Roman" w:cs="Arial"/>
        </w:rPr>
        <w:t xml:space="preserve">, Duke failed to carry the burden of proof to establish that the PSR </w:t>
      </w:r>
      <w:r w:rsidR="00604F06">
        <w:rPr>
          <w:rFonts w:eastAsia="Times New Roman" w:cs="Arial"/>
        </w:rPr>
        <w:t>is a limitation on shopping</w:t>
      </w:r>
      <w:r w:rsidR="00835F61">
        <w:rPr>
          <w:rFonts w:eastAsia="Times New Roman" w:cs="Arial"/>
        </w:rPr>
        <w:t>,</w:t>
      </w:r>
      <w:r w:rsidR="00604F06">
        <w:rPr>
          <w:rFonts w:eastAsia="Times New Roman" w:cs="Arial"/>
        </w:rPr>
        <w:t xml:space="preserve"> and </w:t>
      </w:r>
      <w:r w:rsidR="003A021F">
        <w:rPr>
          <w:rFonts w:eastAsia="Times New Roman" w:cs="Arial"/>
        </w:rPr>
        <w:t>the manifest weight of the evidence contradicts</w:t>
      </w:r>
      <w:r w:rsidR="00604F06" w:rsidDel="00604F06">
        <w:rPr>
          <w:rFonts w:eastAsia="Times New Roman" w:cs="Arial"/>
        </w:rPr>
        <w:t xml:space="preserve"> </w:t>
      </w:r>
      <w:r w:rsidR="00604F06">
        <w:rPr>
          <w:rFonts w:eastAsia="Times New Roman" w:cs="Arial"/>
        </w:rPr>
        <w:t xml:space="preserve">that finding. </w:t>
      </w:r>
    </w:p>
    <w:p w:rsidR="00370E1F" w:rsidRPr="00370E1F" w:rsidRDefault="00370E1F" w:rsidP="00370E1F">
      <w:pPr>
        <w:spacing w:line="480" w:lineRule="auto"/>
        <w:contextualSpacing/>
        <w:jc w:val="both"/>
        <w:rPr>
          <w:rFonts w:eastAsia="Times New Roman" w:cs="Arial"/>
        </w:rPr>
      </w:pPr>
      <w:r w:rsidRPr="00370E1F">
        <w:rPr>
          <w:rFonts w:eastAsia="Times New Roman" w:cs="Arial"/>
        </w:rPr>
        <w:tab/>
        <w:t>R.C. 4928.143(C)(1) provides that “[t]he burden of proof in [an ESP] proceeding shall be on the electric distribution utility.”  The burden of proof created by R.C. 4928.143(C)(1) places on the EDU “the necessity of establishing the existence of a certain fact or set of facts by evidence which preponderates to the legally required extent.”</w:t>
      </w:r>
      <w:r w:rsidRPr="00370E1F">
        <w:rPr>
          <w:rFonts w:eastAsia="Times New Roman" w:cs="Arial"/>
          <w:vertAlign w:val="superscript"/>
        </w:rPr>
        <w:footnoteReference w:id="34"/>
      </w:r>
    </w:p>
    <w:p w:rsidR="00370E1F" w:rsidRPr="00370E1F" w:rsidRDefault="00370E1F" w:rsidP="00370E1F">
      <w:pPr>
        <w:spacing w:line="480" w:lineRule="auto"/>
        <w:contextualSpacing/>
        <w:jc w:val="both"/>
        <w:rPr>
          <w:rFonts w:eastAsia="Times New Roman" w:cs="Arial"/>
        </w:rPr>
      </w:pPr>
      <w:r w:rsidRPr="00370E1F">
        <w:rPr>
          <w:rFonts w:eastAsia="Times New Roman" w:cs="Arial"/>
        </w:rPr>
        <w:tab/>
      </w:r>
      <w:r w:rsidR="00045AD0">
        <w:rPr>
          <w:rFonts w:eastAsia="Times New Roman" w:cs="Arial"/>
        </w:rPr>
        <w:t>Duke</w:t>
      </w:r>
      <w:r w:rsidRPr="00370E1F">
        <w:rPr>
          <w:rFonts w:eastAsia="Times New Roman" w:cs="Arial"/>
        </w:rPr>
        <w:t xml:space="preserve"> filed an application seeking a standard service offer (“SSO”) in the form of an ESP.  Having chosen to file for an ESP, </w:t>
      </w:r>
      <w:r w:rsidR="00A35AD8">
        <w:rPr>
          <w:rFonts w:eastAsia="Times New Roman" w:cs="Arial"/>
        </w:rPr>
        <w:t>Duke</w:t>
      </w:r>
      <w:r w:rsidRPr="00370E1F">
        <w:rPr>
          <w:rFonts w:eastAsia="Times New Roman" w:cs="Arial"/>
        </w:rPr>
        <w:t xml:space="preserve"> was required to comply with the re</w:t>
      </w:r>
      <w:r w:rsidR="004C0061">
        <w:rPr>
          <w:rFonts w:eastAsia="Times New Roman" w:cs="Arial"/>
        </w:rPr>
        <w:t>quirements of Rule 4901:1-35-03 of the</w:t>
      </w:r>
      <w:r w:rsidRPr="00370E1F">
        <w:rPr>
          <w:rFonts w:eastAsia="Times New Roman" w:cs="Arial"/>
        </w:rPr>
        <w:t xml:space="preserve"> </w:t>
      </w:r>
      <w:r w:rsidR="00766F3A">
        <w:rPr>
          <w:rFonts w:eastAsia="Times New Roman" w:cs="Arial"/>
        </w:rPr>
        <w:t xml:space="preserve">Ohio </w:t>
      </w:r>
      <w:r w:rsidR="004C0061">
        <w:rPr>
          <w:rFonts w:eastAsia="Times New Roman" w:cs="Arial"/>
        </w:rPr>
        <w:t>Administrative</w:t>
      </w:r>
      <w:r w:rsidR="00766F3A">
        <w:rPr>
          <w:rFonts w:eastAsia="Times New Roman" w:cs="Arial"/>
        </w:rPr>
        <w:t xml:space="preserve"> Code ("</w:t>
      </w:r>
      <w:r w:rsidRPr="00370E1F">
        <w:rPr>
          <w:rFonts w:eastAsia="Times New Roman" w:cs="Arial"/>
        </w:rPr>
        <w:t>OAC</w:t>
      </w:r>
      <w:r w:rsidR="000951C1">
        <w:rPr>
          <w:rFonts w:eastAsia="Times New Roman" w:cs="Arial"/>
        </w:rPr>
        <w:t>"</w:t>
      </w:r>
      <w:r w:rsidR="00766F3A">
        <w:rPr>
          <w:rFonts w:eastAsia="Times New Roman" w:cs="Arial"/>
        </w:rPr>
        <w:t>)</w:t>
      </w:r>
      <w:r w:rsidRPr="00370E1F">
        <w:rPr>
          <w:rFonts w:eastAsia="Times New Roman" w:cs="Arial"/>
        </w:rPr>
        <w:t xml:space="preserve">.  The rule </w:t>
      </w:r>
      <w:r w:rsidR="00DB4845" w:rsidRPr="00370E1F">
        <w:rPr>
          <w:rFonts w:eastAsia="Times New Roman" w:cs="Arial"/>
        </w:rPr>
        <w:lastRenderedPageBreak/>
        <w:t xml:space="preserve">specifically </w:t>
      </w:r>
      <w:r w:rsidRPr="00370E1F">
        <w:rPr>
          <w:rFonts w:eastAsia="Times New Roman" w:cs="Arial"/>
        </w:rPr>
        <w:t xml:space="preserve">provides that </w:t>
      </w:r>
      <w:r w:rsidR="00045AD0">
        <w:rPr>
          <w:rFonts w:eastAsia="Times New Roman" w:cs="Arial"/>
        </w:rPr>
        <w:t>Duke</w:t>
      </w:r>
      <w:r w:rsidRPr="00370E1F">
        <w:rPr>
          <w:rFonts w:eastAsia="Times New Roman" w:cs="Arial"/>
        </w:rPr>
        <w:t xml:space="preserve">, if it </w:t>
      </w:r>
      <w:r w:rsidR="00A35AD8">
        <w:rPr>
          <w:rFonts w:eastAsia="Times New Roman" w:cs="Arial"/>
        </w:rPr>
        <w:t>is</w:t>
      </w:r>
      <w:r w:rsidRPr="00370E1F">
        <w:rPr>
          <w:rFonts w:eastAsia="Times New Roman" w:cs="Arial"/>
        </w:rPr>
        <w:t xml:space="preserve"> seeking a term, condition, or charge that operates as a limitation on customer shopping</w:t>
      </w:r>
      <w:r w:rsidR="000951C1">
        <w:rPr>
          <w:rFonts w:eastAsia="Times New Roman" w:cs="Arial"/>
        </w:rPr>
        <w:t>,</w:t>
      </w:r>
      <w:r w:rsidRPr="00370E1F">
        <w:rPr>
          <w:rFonts w:eastAsia="Times New Roman" w:cs="Arial"/>
        </w:rPr>
        <w:t xml:space="preserve"> to include in its Application “[a] listing of all components of the ESP which would have the effect of preventing, limiting, inhibiting, or promoting customer shopping for retail electric generation service.”</w:t>
      </w:r>
      <w:r w:rsidRPr="00370E1F">
        <w:rPr>
          <w:rFonts w:eastAsia="Times New Roman" w:cs="Arial"/>
          <w:vertAlign w:val="superscript"/>
        </w:rPr>
        <w:footnoteReference w:id="35"/>
      </w:r>
      <w:r w:rsidRPr="00370E1F">
        <w:rPr>
          <w:rFonts w:eastAsia="Times New Roman" w:cs="Arial"/>
        </w:rPr>
        <w:t xml:space="preserve">  </w:t>
      </w:r>
    </w:p>
    <w:p w:rsidR="00370E1F" w:rsidRPr="00370E1F" w:rsidRDefault="00370E1F" w:rsidP="00045AD0">
      <w:pPr>
        <w:spacing w:line="480" w:lineRule="auto"/>
        <w:ind w:firstLine="720"/>
        <w:contextualSpacing/>
        <w:jc w:val="both"/>
        <w:rPr>
          <w:rFonts w:eastAsia="Times New Roman" w:cs="Arial"/>
        </w:rPr>
      </w:pPr>
      <w:r w:rsidRPr="00370E1F">
        <w:rPr>
          <w:rFonts w:eastAsia="Times New Roman" w:cs="Arial"/>
        </w:rPr>
        <w:t xml:space="preserve">In its Application, </w:t>
      </w:r>
      <w:r w:rsidR="00045AD0">
        <w:rPr>
          <w:rFonts w:eastAsia="Times New Roman" w:cs="Arial"/>
        </w:rPr>
        <w:t>Duke</w:t>
      </w:r>
      <w:r w:rsidRPr="00370E1F">
        <w:rPr>
          <w:rFonts w:eastAsia="Times New Roman" w:cs="Arial"/>
        </w:rPr>
        <w:t xml:space="preserve"> did not advance the claim that the </w:t>
      </w:r>
      <w:r w:rsidR="00045AD0">
        <w:rPr>
          <w:rFonts w:eastAsia="Times New Roman" w:cs="Arial"/>
        </w:rPr>
        <w:t>PSR</w:t>
      </w:r>
      <w:r w:rsidRPr="00370E1F">
        <w:rPr>
          <w:rFonts w:eastAsia="Times New Roman" w:cs="Arial"/>
        </w:rPr>
        <w:t xml:space="preserve"> would operate as a limitation on customer shopping.  In fact, its Application and supporting testimony stated exactly the opposite.  </w:t>
      </w:r>
      <w:r w:rsidR="00045AD0">
        <w:rPr>
          <w:rFonts w:eastAsia="Times New Roman" w:cs="Arial"/>
        </w:rPr>
        <w:t>Duke’s</w:t>
      </w:r>
      <w:r w:rsidRPr="00370E1F">
        <w:rPr>
          <w:rFonts w:eastAsia="Times New Roman" w:cs="Arial"/>
        </w:rPr>
        <w:t xml:space="preserve"> Application alleged</w:t>
      </w:r>
      <w:r w:rsidR="004C0061">
        <w:rPr>
          <w:rFonts w:eastAsia="Times New Roman" w:cs="Arial"/>
        </w:rPr>
        <w:t>, “This proposal [the PSR]</w:t>
      </w:r>
      <w:r w:rsidR="00045AD0">
        <w:rPr>
          <w:rFonts w:eastAsia="Times New Roman" w:cs="Arial"/>
        </w:rPr>
        <w:t xml:space="preserve"> will not interfere wi</w:t>
      </w:r>
      <w:r w:rsidR="00A35AD8">
        <w:rPr>
          <w:rFonts w:eastAsia="Times New Roman" w:cs="Arial"/>
        </w:rPr>
        <w:t>t</w:t>
      </w:r>
      <w:r w:rsidR="00045AD0">
        <w:rPr>
          <w:rFonts w:eastAsia="Times New Roman" w:cs="Arial"/>
        </w:rPr>
        <w:t>h CRES providers’ ability to compete for customers, as the nonbypassable rider will neither reward nor penalize customers’ decisions regarding choice</w:t>
      </w:r>
      <w:r w:rsidRPr="00370E1F">
        <w:rPr>
          <w:rFonts w:eastAsia="Times New Roman" w:cs="Arial"/>
        </w:rPr>
        <w:t>.”</w:t>
      </w:r>
      <w:r w:rsidRPr="00370E1F">
        <w:rPr>
          <w:rFonts w:eastAsia="Times New Roman" w:cs="Arial"/>
          <w:vertAlign w:val="superscript"/>
        </w:rPr>
        <w:footnoteReference w:id="36"/>
      </w:r>
      <w:r w:rsidRPr="00370E1F">
        <w:rPr>
          <w:rFonts w:eastAsia="Times New Roman" w:cs="Arial"/>
        </w:rPr>
        <w:t xml:space="preserve">  In the supporting testimony </w:t>
      </w:r>
      <w:r w:rsidR="00A35AD8">
        <w:rPr>
          <w:rFonts w:eastAsia="Times New Roman" w:cs="Arial"/>
        </w:rPr>
        <w:t xml:space="preserve">by Mr. Wathen </w:t>
      </w:r>
      <w:r w:rsidRPr="00370E1F">
        <w:rPr>
          <w:rFonts w:eastAsia="Times New Roman" w:cs="Arial"/>
        </w:rPr>
        <w:t xml:space="preserve">attached to the Application, </w:t>
      </w:r>
      <w:r w:rsidR="00045AD0">
        <w:rPr>
          <w:rFonts w:eastAsia="Times New Roman" w:cs="Arial"/>
        </w:rPr>
        <w:t>Duke</w:t>
      </w:r>
      <w:r w:rsidRPr="00370E1F">
        <w:rPr>
          <w:rFonts w:eastAsia="Times New Roman" w:cs="Arial"/>
        </w:rPr>
        <w:t xml:space="preserve"> continued to assert that the </w:t>
      </w:r>
      <w:r w:rsidR="00C57B05">
        <w:rPr>
          <w:rFonts w:eastAsia="Times New Roman" w:cs="Arial"/>
        </w:rPr>
        <w:t>PSR</w:t>
      </w:r>
      <w:r w:rsidRPr="00370E1F">
        <w:rPr>
          <w:rFonts w:eastAsia="Times New Roman" w:cs="Arial"/>
        </w:rPr>
        <w:t xml:space="preserve"> did not limit shopping.  </w:t>
      </w:r>
      <w:r w:rsidR="00045AD0">
        <w:rPr>
          <w:rFonts w:eastAsia="Times New Roman" w:cs="Arial"/>
        </w:rPr>
        <w:t>Mr</w:t>
      </w:r>
      <w:r w:rsidR="000951C1">
        <w:rPr>
          <w:rFonts w:eastAsia="Times New Roman" w:cs="Arial"/>
        </w:rPr>
        <w:t>.</w:t>
      </w:r>
      <w:r w:rsidR="00045AD0">
        <w:rPr>
          <w:rFonts w:eastAsia="Times New Roman" w:cs="Arial"/>
        </w:rPr>
        <w:t xml:space="preserve"> Wathen testified</w:t>
      </w:r>
      <w:r w:rsidRPr="00370E1F">
        <w:rPr>
          <w:rFonts w:eastAsia="Times New Roman" w:cs="Arial"/>
        </w:rPr>
        <w:t>, “</w:t>
      </w:r>
      <w:r w:rsidR="00045AD0">
        <w:rPr>
          <w:rFonts w:eastAsia="Times New Roman" w:cs="Arial"/>
        </w:rPr>
        <w:t>As Duke Energy Ohio’s entitlement share of energy and capacity from the OVEC generating stations will continue to be sold into wholesale markets, this proposal will not impact the competitive retail electric market that is active in Duke Energy Ohio’s service territory.  In other words, no CRES provider is impacted in any way by the approval of the rider.</w:t>
      </w:r>
      <w:r w:rsidRPr="00370E1F">
        <w:rPr>
          <w:rFonts w:eastAsia="Times New Roman" w:cs="Arial"/>
        </w:rPr>
        <w:t>”</w:t>
      </w:r>
      <w:r w:rsidRPr="00370E1F">
        <w:rPr>
          <w:rFonts w:eastAsia="Times New Roman" w:cs="Arial"/>
          <w:vertAlign w:val="superscript"/>
        </w:rPr>
        <w:footnoteReference w:id="37"/>
      </w:r>
      <w:r w:rsidRPr="00370E1F">
        <w:rPr>
          <w:rFonts w:eastAsia="Times New Roman" w:cs="Arial"/>
        </w:rPr>
        <w:t xml:space="preserve">  On cross-examination, Mr. </w:t>
      </w:r>
      <w:r w:rsidR="00045AD0">
        <w:rPr>
          <w:rFonts w:eastAsia="Times New Roman" w:cs="Arial"/>
        </w:rPr>
        <w:t>Wathen</w:t>
      </w:r>
      <w:r w:rsidRPr="00370E1F">
        <w:rPr>
          <w:rFonts w:eastAsia="Times New Roman" w:cs="Arial"/>
        </w:rPr>
        <w:t xml:space="preserve"> continued to assert that the </w:t>
      </w:r>
      <w:r w:rsidR="00045AD0">
        <w:rPr>
          <w:rFonts w:eastAsia="Times New Roman" w:cs="Arial"/>
        </w:rPr>
        <w:t>PSR</w:t>
      </w:r>
      <w:r w:rsidRPr="00370E1F">
        <w:rPr>
          <w:rFonts w:eastAsia="Times New Roman" w:cs="Arial"/>
        </w:rPr>
        <w:t xml:space="preserve"> would not operate as a limitation on customer shopping: </w:t>
      </w:r>
    </w:p>
    <w:p w:rsidR="00370E1F" w:rsidRPr="00370E1F" w:rsidRDefault="00370E1F" w:rsidP="00370E1F">
      <w:pPr>
        <w:ind w:left="720" w:right="720"/>
        <w:contextualSpacing/>
        <w:jc w:val="both"/>
        <w:rPr>
          <w:rFonts w:eastAsia="Times New Roman" w:cs="Arial"/>
        </w:rPr>
      </w:pPr>
      <w:r w:rsidRPr="00370E1F">
        <w:rPr>
          <w:rFonts w:eastAsia="Times New Roman" w:cs="Arial"/>
        </w:rPr>
        <w:t xml:space="preserve">Q: </w:t>
      </w:r>
      <w:r w:rsidR="00045AD0">
        <w:rPr>
          <w:rFonts w:eastAsia="Times New Roman" w:cs="Arial"/>
        </w:rPr>
        <w:t>And it’s also your view that the PSR does not limit customer shopping; is that correct</w:t>
      </w:r>
      <w:r w:rsidRPr="00370E1F">
        <w:rPr>
          <w:rFonts w:eastAsia="Times New Roman" w:cs="Arial"/>
        </w:rPr>
        <w:t>?</w:t>
      </w:r>
    </w:p>
    <w:p w:rsidR="00370E1F" w:rsidRPr="00370E1F" w:rsidRDefault="00370E1F" w:rsidP="00370E1F">
      <w:pPr>
        <w:ind w:left="720" w:right="720"/>
        <w:contextualSpacing/>
        <w:jc w:val="both"/>
        <w:rPr>
          <w:rFonts w:eastAsia="Times New Roman" w:cs="Arial"/>
        </w:rPr>
      </w:pPr>
      <w:r w:rsidRPr="00370E1F">
        <w:rPr>
          <w:rFonts w:eastAsia="Times New Roman" w:cs="Arial"/>
        </w:rPr>
        <w:t xml:space="preserve">A: </w:t>
      </w:r>
      <w:r w:rsidR="00045AD0">
        <w:rPr>
          <w:rFonts w:eastAsia="Times New Roman" w:cs="Arial"/>
        </w:rPr>
        <w:t>That’s correct</w:t>
      </w:r>
      <w:r w:rsidRPr="00370E1F">
        <w:rPr>
          <w:rFonts w:eastAsia="Times New Roman" w:cs="Arial"/>
        </w:rPr>
        <w:t>.</w:t>
      </w:r>
      <w:r w:rsidRPr="00370E1F">
        <w:rPr>
          <w:rFonts w:eastAsia="Times New Roman" w:cs="Arial"/>
          <w:vertAlign w:val="superscript"/>
        </w:rPr>
        <w:footnoteReference w:id="38"/>
      </w:r>
    </w:p>
    <w:p w:rsidR="00370E1F" w:rsidRPr="00370E1F" w:rsidRDefault="00370E1F" w:rsidP="00370E1F">
      <w:pPr>
        <w:ind w:left="720" w:right="720"/>
        <w:contextualSpacing/>
        <w:jc w:val="both"/>
        <w:rPr>
          <w:rFonts w:eastAsia="Times New Roman" w:cs="Arial"/>
        </w:rPr>
      </w:pPr>
    </w:p>
    <w:p w:rsidR="00370E1F" w:rsidRPr="00370E1F" w:rsidRDefault="00370E1F" w:rsidP="00370E1F">
      <w:pPr>
        <w:spacing w:line="480" w:lineRule="auto"/>
        <w:contextualSpacing/>
        <w:jc w:val="both"/>
        <w:rPr>
          <w:rFonts w:eastAsia="Times New Roman" w:cs="Arial"/>
        </w:rPr>
      </w:pPr>
      <w:r w:rsidRPr="00370E1F">
        <w:rPr>
          <w:rFonts w:eastAsia="Times New Roman" w:cs="Arial"/>
        </w:rPr>
        <w:lastRenderedPageBreak/>
        <w:t xml:space="preserve">Based on the record before the Commission, therefore, </w:t>
      </w:r>
      <w:r w:rsidR="00045AD0">
        <w:rPr>
          <w:rFonts w:eastAsia="Times New Roman" w:cs="Arial"/>
        </w:rPr>
        <w:t>Duke</w:t>
      </w:r>
      <w:r w:rsidRPr="00370E1F">
        <w:rPr>
          <w:rFonts w:eastAsia="Times New Roman" w:cs="Arial"/>
        </w:rPr>
        <w:t xml:space="preserve">, the party with the burden of proof to provide evidence to demonstrate that the </w:t>
      </w:r>
      <w:r w:rsidR="00045AD0">
        <w:rPr>
          <w:rFonts w:eastAsia="Times New Roman" w:cs="Arial"/>
        </w:rPr>
        <w:t>PSR</w:t>
      </w:r>
      <w:r w:rsidRPr="00370E1F">
        <w:rPr>
          <w:rFonts w:eastAsia="Times New Roman" w:cs="Arial"/>
        </w:rPr>
        <w:t xml:space="preserve"> would operate as a limitation on customer shopping, testified that it would not.</w:t>
      </w:r>
    </w:p>
    <w:p w:rsidR="00045AD0" w:rsidRDefault="00370E1F" w:rsidP="00370E1F">
      <w:pPr>
        <w:spacing w:line="480" w:lineRule="auto"/>
        <w:contextualSpacing/>
        <w:jc w:val="both"/>
        <w:rPr>
          <w:rFonts w:eastAsia="Times New Roman" w:cs="Arial"/>
        </w:rPr>
      </w:pPr>
      <w:r w:rsidRPr="00370E1F">
        <w:rPr>
          <w:rFonts w:eastAsia="Times New Roman" w:cs="Arial"/>
        </w:rPr>
        <w:tab/>
      </w:r>
      <w:r w:rsidR="0096760F">
        <w:rPr>
          <w:rFonts w:eastAsia="Times New Roman" w:cs="Arial"/>
        </w:rPr>
        <w:t>The</w:t>
      </w:r>
      <w:r w:rsidR="00045AD0">
        <w:rPr>
          <w:rFonts w:eastAsia="Times New Roman" w:cs="Arial"/>
        </w:rPr>
        <w:t xml:space="preserve"> Commission</w:t>
      </w:r>
      <w:r w:rsidR="0096760F">
        <w:rPr>
          <w:rFonts w:eastAsia="Times New Roman" w:cs="Arial"/>
        </w:rPr>
        <w:t>, however,</w:t>
      </w:r>
      <w:r w:rsidR="00045AD0">
        <w:rPr>
          <w:rFonts w:eastAsia="Times New Roman" w:cs="Arial"/>
        </w:rPr>
        <w:t xml:space="preserve"> </w:t>
      </w:r>
      <w:r w:rsidR="006A36B8">
        <w:rPr>
          <w:rFonts w:eastAsia="Times New Roman" w:cs="Arial"/>
        </w:rPr>
        <w:t>“agrees” with a position not advanced by Duke that the PSR would operate as a limitation on shopping.</w:t>
      </w:r>
      <w:r w:rsidR="006A36B8">
        <w:rPr>
          <w:rStyle w:val="FootnoteReference"/>
          <w:rFonts w:eastAsia="Times New Roman" w:cs="Arial"/>
        </w:rPr>
        <w:footnoteReference w:id="39"/>
      </w:r>
      <w:r w:rsidR="00045AD0">
        <w:rPr>
          <w:rFonts w:eastAsia="Times New Roman" w:cs="Arial"/>
        </w:rPr>
        <w:t xml:space="preserve"> </w:t>
      </w:r>
      <w:r w:rsidR="006A36B8">
        <w:rPr>
          <w:rFonts w:eastAsia="Times New Roman" w:cs="Arial"/>
        </w:rPr>
        <w:t xml:space="preserve"> In support of that conclusion, the Commission relies on </w:t>
      </w:r>
      <w:r w:rsidR="00003D23">
        <w:rPr>
          <w:rFonts w:eastAsia="Times New Roman" w:cs="Arial"/>
        </w:rPr>
        <w:t xml:space="preserve">the brief and </w:t>
      </w:r>
      <w:r w:rsidR="006A36B8">
        <w:rPr>
          <w:rFonts w:eastAsia="Times New Roman" w:cs="Arial"/>
        </w:rPr>
        <w:t xml:space="preserve">testimony provided by OEG.  The </w:t>
      </w:r>
      <w:r w:rsidR="00663FAF">
        <w:rPr>
          <w:rFonts w:eastAsia="Times New Roman" w:cs="Arial"/>
        </w:rPr>
        <w:t>Commission’s</w:t>
      </w:r>
      <w:r w:rsidR="006A36B8">
        <w:rPr>
          <w:rFonts w:eastAsia="Times New Roman" w:cs="Arial"/>
        </w:rPr>
        <w:t xml:space="preserve"> reliance on the OEG testimony is unwarranted for two reasons.</w:t>
      </w:r>
    </w:p>
    <w:p w:rsidR="00503840" w:rsidRDefault="006A36B8" w:rsidP="00045AD0">
      <w:pPr>
        <w:spacing w:line="480" w:lineRule="auto"/>
        <w:ind w:firstLine="720"/>
        <w:contextualSpacing/>
        <w:jc w:val="both"/>
        <w:rPr>
          <w:rFonts w:eastAsia="Times New Roman" w:cs="Arial"/>
        </w:rPr>
      </w:pPr>
      <w:r>
        <w:rPr>
          <w:rFonts w:eastAsia="Times New Roman" w:cs="Arial"/>
        </w:rPr>
        <w:t xml:space="preserve">First, the testimony </w:t>
      </w:r>
      <w:r w:rsidR="00003D23">
        <w:rPr>
          <w:rFonts w:eastAsia="Times New Roman" w:cs="Arial"/>
        </w:rPr>
        <w:t xml:space="preserve">cited in OEG’s brief on which </w:t>
      </w:r>
      <w:r>
        <w:rPr>
          <w:rFonts w:eastAsia="Times New Roman" w:cs="Arial"/>
        </w:rPr>
        <w:t xml:space="preserve">the Commission </w:t>
      </w:r>
      <w:r w:rsidR="00003D23">
        <w:rPr>
          <w:rFonts w:eastAsia="Times New Roman" w:cs="Arial"/>
        </w:rPr>
        <w:t>bases its finding that the PSR operates as a limitation on customers shopping</w:t>
      </w:r>
      <w:r>
        <w:rPr>
          <w:rFonts w:eastAsia="Times New Roman" w:cs="Arial"/>
        </w:rPr>
        <w:t xml:space="preserve"> </w:t>
      </w:r>
      <w:r w:rsidR="00003D23">
        <w:rPr>
          <w:rFonts w:eastAsia="Times New Roman" w:cs="Arial"/>
        </w:rPr>
        <w:t>states only that Mr. Taylor</w:t>
      </w:r>
      <w:r w:rsidR="00784837">
        <w:rPr>
          <w:rFonts w:eastAsia="Times New Roman" w:cs="Arial"/>
        </w:rPr>
        <w:t>, OEG’s witness,</w:t>
      </w:r>
      <w:r w:rsidR="00003D23">
        <w:rPr>
          <w:rFonts w:eastAsia="Times New Roman" w:cs="Arial"/>
        </w:rPr>
        <w:t xml:space="preserve"> believes that the PSR is permitted under </w:t>
      </w:r>
      <w:r w:rsidR="002E0AE4">
        <w:rPr>
          <w:rFonts w:eastAsia="Times New Roman" w:cs="Arial"/>
        </w:rPr>
        <w:t>Amended Substitute Senate Bill 221 (“</w:t>
      </w:r>
      <w:r w:rsidR="00003D23">
        <w:rPr>
          <w:rFonts w:eastAsia="Times New Roman" w:cs="Arial"/>
        </w:rPr>
        <w:t>SB 221</w:t>
      </w:r>
      <w:r w:rsidR="002E0AE4">
        <w:rPr>
          <w:rFonts w:eastAsia="Times New Roman" w:cs="Arial"/>
        </w:rPr>
        <w:t>”)</w:t>
      </w:r>
      <w:r w:rsidR="00663FAF">
        <w:rPr>
          <w:rFonts w:eastAsia="Times New Roman" w:cs="Arial"/>
        </w:rPr>
        <w:t xml:space="preserve"> because it may stabilize prices</w:t>
      </w:r>
      <w:r w:rsidR="00003D23">
        <w:rPr>
          <w:rFonts w:eastAsia="Times New Roman" w:cs="Arial"/>
        </w:rPr>
        <w:t>.  Responding</w:t>
      </w:r>
      <w:r>
        <w:rPr>
          <w:rFonts w:eastAsia="Times New Roman" w:cs="Arial"/>
        </w:rPr>
        <w:t xml:space="preserve"> to a question regarding </w:t>
      </w:r>
      <w:r w:rsidR="00003D23">
        <w:rPr>
          <w:rFonts w:eastAsia="Times New Roman" w:cs="Arial"/>
        </w:rPr>
        <w:t xml:space="preserve">whether </w:t>
      </w:r>
      <w:r w:rsidR="00663FAF">
        <w:rPr>
          <w:rFonts w:eastAsia="Times New Roman" w:cs="Arial"/>
        </w:rPr>
        <w:t>physical assets would be added in Ohio if th</w:t>
      </w:r>
      <w:r w:rsidR="002E0AE4">
        <w:rPr>
          <w:rFonts w:eastAsia="Times New Roman" w:cs="Arial"/>
        </w:rPr>
        <w:t>e Commission authorized the PSR,</w:t>
      </w:r>
      <w:r w:rsidR="00663FAF">
        <w:rPr>
          <w:rFonts w:eastAsia="Times New Roman" w:cs="Arial"/>
        </w:rPr>
        <w:t xml:space="preserve"> Mr. Taylor responded</w:t>
      </w:r>
      <w:r>
        <w:rPr>
          <w:rFonts w:eastAsia="Times New Roman" w:cs="Arial"/>
        </w:rPr>
        <w:t xml:space="preserve"> that there is no </w:t>
      </w:r>
      <w:r w:rsidR="00663FAF">
        <w:rPr>
          <w:rFonts w:eastAsia="Times New Roman" w:cs="Arial"/>
        </w:rPr>
        <w:t>current proposal to add such facilities.  He then digressed and stated that he “see</w:t>
      </w:r>
      <w:r w:rsidR="00C230F7">
        <w:rPr>
          <w:rFonts w:eastAsia="Times New Roman" w:cs="Arial"/>
        </w:rPr>
        <w:t>[</w:t>
      </w:r>
      <w:r w:rsidR="00663FAF">
        <w:rPr>
          <w:rFonts w:eastAsia="Times New Roman" w:cs="Arial"/>
        </w:rPr>
        <w:t>s</w:t>
      </w:r>
      <w:r w:rsidR="00C230F7">
        <w:rPr>
          <w:rFonts w:eastAsia="Times New Roman" w:cs="Arial"/>
        </w:rPr>
        <w:t>]</w:t>
      </w:r>
      <w:r w:rsidR="00663FAF">
        <w:rPr>
          <w:rFonts w:eastAsia="Times New Roman" w:cs="Arial"/>
        </w:rPr>
        <w:t xml:space="preserve"> this entire PSR process as something where, my understanding of Senate—of Senate Bill 221 in Ohio was </w:t>
      </w:r>
      <w:r>
        <w:rPr>
          <w:rFonts w:eastAsia="Times New Roman" w:cs="Arial"/>
        </w:rPr>
        <w:t xml:space="preserve">to create a hybrid market and make sure that customers weren’t 100-percent dependent upon marginal cost pricing, and the PSR is really in line with </w:t>
      </w:r>
      <w:r w:rsidR="00663FAF">
        <w:rPr>
          <w:rFonts w:eastAsia="Times New Roman" w:cs="Arial"/>
        </w:rPr>
        <w:t>that in ensuring there</w:t>
      </w:r>
      <w:r w:rsidR="00C230F7">
        <w:rPr>
          <w:rFonts w:eastAsia="Times New Roman" w:cs="Arial"/>
        </w:rPr>
        <w:t xml:space="preserve"> i</w:t>
      </w:r>
      <w:r>
        <w:rPr>
          <w:rFonts w:eastAsia="Times New Roman" w:cs="Arial"/>
        </w:rPr>
        <w:t>s some avenue for the Commission to try and stabilize prices.”</w:t>
      </w:r>
      <w:r w:rsidR="00503840">
        <w:rPr>
          <w:rStyle w:val="FootnoteReference"/>
          <w:rFonts w:eastAsia="Times New Roman" w:cs="Arial"/>
        </w:rPr>
        <w:footnoteReference w:id="40"/>
      </w:r>
      <w:r>
        <w:rPr>
          <w:rFonts w:eastAsia="Times New Roman" w:cs="Arial"/>
        </w:rPr>
        <w:t xml:space="preserve">  </w:t>
      </w:r>
      <w:r w:rsidR="002E0AE4">
        <w:rPr>
          <w:rFonts w:eastAsia="Times New Roman" w:cs="Arial"/>
        </w:rPr>
        <w:t>Simply put, t</w:t>
      </w:r>
      <w:r w:rsidR="00663FAF">
        <w:rPr>
          <w:rFonts w:eastAsia="Times New Roman" w:cs="Arial"/>
        </w:rPr>
        <w:t xml:space="preserve">he quoted portion of Mr. Taylor’s statement </w:t>
      </w:r>
      <w:r w:rsidR="002E0AE4">
        <w:rPr>
          <w:rFonts w:eastAsia="Times New Roman" w:cs="Arial"/>
        </w:rPr>
        <w:t>that the Commission relies upon to support its finding that the PSR is a limitation on customer shopping</w:t>
      </w:r>
      <w:r w:rsidR="000951C1">
        <w:rPr>
          <w:rFonts w:eastAsia="Times New Roman" w:cs="Arial"/>
        </w:rPr>
        <w:t>,</w:t>
      </w:r>
      <w:r w:rsidR="002E0AE4">
        <w:rPr>
          <w:rFonts w:eastAsia="Times New Roman" w:cs="Arial"/>
        </w:rPr>
        <w:t xml:space="preserve"> </w:t>
      </w:r>
      <w:r w:rsidR="000A6FFE">
        <w:rPr>
          <w:rFonts w:eastAsia="Times New Roman" w:cs="Arial"/>
        </w:rPr>
        <w:t>does not discuss that issue</w:t>
      </w:r>
      <w:r w:rsidR="00503840">
        <w:rPr>
          <w:rFonts w:eastAsia="Times New Roman" w:cs="Arial"/>
        </w:rPr>
        <w:t>.</w:t>
      </w:r>
    </w:p>
    <w:p w:rsidR="00503840" w:rsidRPr="00503840" w:rsidRDefault="00503840" w:rsidP="00503840">
      <w:pPr>
        <w:spacing w:line="480" w:lineRule="auto"/>
        <w:ind w:firstLine="720"/>
        <w:jc w:val="both"/>
        <w:rPr>
          <w:rFonts w:eastAsia="Times New Roman" w:cs="Arial"/>
        </w:rPr>
      </w:pPr>
      <w:r>
        <w:rPr>
          <w:rFonts w:eastAsia="Times New Roman" w:cs="Arial"/>
        </w:rPr>
        <w:t xml:space="preserve">Second, </w:t>
      </w:r>
      <w:r w:rsidRPr="00503840">
        <w:rPr>
          <w:rFonts w:eastAsia="Times New Roman" w:cs="Arial"/>
        </w:rPr>
        <w:t xml:space="preserve">the Commission cannot lawfully rely on the testimony of OEG to solve </w:t>
      </w:r>
      <w:r>
        <w:rPr>
          <w:rFonts w:eastAsia="Times New Roman" w:cs="Arial"/>
        </w:rPr>
        <w:t>Duke’s evidentiary problem</w:t>
      </w:r>
      <w:r w:rsidRPr="00503840">
        <w:rPr>
          <w:rFonts w:eastAsia="Times New Roman" w:cs="Arial"/>
        </w:rPr>
        <w:t xml:space="preserve">.  </w:t>
      </w:r>
      <w:r>
        <w:rPr>
          <w:rFonts w:eastAsia="Times New Roman" w:cs="Arial"/>
        </w:rPr>
        <w:t>Duke</w:t>
      </w:r>
      <w:r w:rsidRPr="00503840">
        <w:rPr>
          <w:rFonts w:eastAsia="Times New Roman" w:cs="Arial"/>
        </w:rPr>
        <w:t xml:space="preserve"> has the burden of proof to establish the lawfulness </w:t>
      </w:r>
      <w:r w:rsidRPr="00503840">
        <w:rPr>
          <w:rFonts w:eastAsia="Times New Roman" w:cs="Arial"/>
        </w:rPr>
        <w:lastRenderedPageBreak/>
        <w:t>and reasonableness of the ESP and its terms.</w:t>
      </w:r>
      <w:r w:rsidRPr="00503840">
        <w:rPr>
          <w:rFonts w:eastAsia="Times New Roman" w:cs="Arial"/>
          <w:vertAlign w:val="superscript"/>
        </w:rPr>
        <w:footnoteReference w:id="41"/>
      </w:r>
      <w:r w:rsidRPr="00503840">
        <w:rPr>
          <w:rFonts w:eastAsia="Times New Roman" w:cs="Arial"/>
        </w:rPr>
        <w:t xml:space="preserve">  Because it has the burden of proof, it also initially must advance some evidence to support its claims because it has the “burden of proceeding.”  “[T]he burden of proceeding is … the duty of proceeding with evidence at the beginning or at any subsequent stage of the trial in order to make or meet a prima facie case.”</w:t>
      </w:r>
      <w:r w:rsidRPr="00503840">
        <w:rPr>
          <w:rFonts w:eastAsia="Times New Roman" w:cs="Arial"/>
          <w:vertAlign w:val="superscript"/>
        </w:rPr>
        <w:footnoteReference w:id="42"/>
      </w:r>
      <w:r w:rsidRPr="00503840">
        <w:rPr>
          <w:rFonts w:eastAsia="Times New Roman" w:cs="Arial"/>
        </w:rPr>
        <w:t xml:space="preserve">  Failure to meet that burden requires a finding adverse to the party that fails to meet the burden of proceeding.</w:t>
      </w:r>
      <w:r w:rsidRPr="00503840">
        <w:rPr>
          <w:rFonts w:eastAsia="Times New Roman" w:cs="Arial"/>
          <w:vertAlign w:val="superscript"/>
        </w:rPr>
        <w:footnoteReference w:id="43"/>
      </w:r>
      <w:r w:rsidRPr="00503840">
        <w:rPr>
          <w:rFonts w:eastAsia="Times New Roman" w:cs="Arial"/>
        </w:rPr>
        <w:t xml:space="preserve">  </w:t>
      </w:r>
    </w:p>
    <w:p w:rsidR="00503840" w:rsidRPr="00503840" w:rsidRDefault="00503840" w:rsidP="00503840">
      <w:pPr>
        <w:spacing w:line="480" w:lineRule="auto"/>
        <w:ind w:firstLine="720"/>
        <w:jc w:val="both"/>
        <w:rPr>
          <w:rFonts w:eastAsia="Times New Roman" w:cs="Arial"/>
        </w:rPr>
      </w:pPr>
      <w:r w:rsidRPr="00503840">
        <w:rPr>
          <w:rFonts w:eastAsia="Times New Roman" w:cs="Arial"/>
        </w:rPr>
        <w:t xml:space="preserve">Based on the record in this case, </w:t>
      </w:r>
      <w:r>
        <w:rPr>
          <w:rFonts w:eastAsia="Times New Roman" w:cs="Arial"/>
        </w:rPr>
        <w:t>Duke</w:t>
      </w:r>
      <w:r w:rsidRPr="00503840">
        <w:rPr>
          <w:rFonts w:eastAsia="Times New Roman" w:cs="Arial"/>
        </w:rPr>
        <w:t xml:space="preserve"> failed to meet the burden of proceeding with evidence to support </w:t>
      </w:r>
      <w:r>
        <w:rPr>
          <w:rFonts w:eastAsia="Times New Roman" w:cs="Arial"/>
        </w:rPr>
        <w:t>the Commission’s finding that the PSR operated as a limitation on shopping</w:t>
      </w:r>
      <w:r w:rsidR="003A021F">
        <w:rPr>
          <w:rFonts w:eastAsia="Times New Roman" w:cs="Arial"/>
        </w:rPr>
        <w:t xml:space="preserve"> and the finding is contrary to the manifest weight of the evidence</w:t>
      </w:r>
      <w:r w:rsidRPr="00503840">
        <w:rPr>
          <w:rFonts w:eastAsia="Times New Roman" w:cs="Arial"/>
        </w:rPr>
        <w:t xml:space="preserve">.  As noted above, </w:t>
      </w:r>
      <w:r w:rsidR="003A021F">
        <w:rPr>
          <w:rFonts w:eastAsia="Times New Roman" w:cs="Arial"/>
        </w:rPr>
        <w:t>Duke’s</w:t>
      </w:r>
      <w:r w:rsidR="003A021F" w:rsidRPr="00503840">
        <w:rPr>
          <w:rFonts w:eastAsia="Times New Roman" w:cs="Arial"/>
        </w:rPr>
        <w:t xml:space="preserve"> </w:t>
      </w:r>
      <w:r w:rsidRPr="00503840">
        <w:rPr>
          <w:rFonts w:eastAsia="Times New Roman" w:cs="Arial"/>
        </w:rPr>
        <w:t xml:space="preserve">Application and supporting testimony stated that the </w:t>
      </w:r>
      <w:r w:rsidR="00C57B05">
        <w:rPr>
          <w:rFonts w:eastAsia="Times New Roman" w:cs="Arial"/>
        </w:rPr>
        <w:t>PSR</w:t>
      </w:r>
      <w:r w:rsidRPr="00503840">
        <w:rPr>
          <w:rFonts w:eastAsia="Times New Roman" w:cs="Arial"/>
        </w:rPr>
        <w:t xml:space="preserve"> would not limit customer shopping.  As also noted above, its witness stated without qualification that the </w:t>
      </w:r>
      <w:r w:rsidR="00C57B05">
        <w:rPr>
          <w:rFonts w:eastAsia="Times New Roman" w:cs="Arial"/>
        </w:rPr>
        <w:t>PSR</w:t>
      </w:r>
      <w:r w:rsidRPr="00503840">
        <w:rPr>
          <w:rFonts w:eastAsia="Times New Roman" w:cs="Arial"/>
        </w:rPr>
        <w:t xml:space="preserve"> was not a restriction on shopping.  In short, </w:t>
      </w:r>
      <w:r>
        <w:rPr>
          <w:rFonts w:eastAsia="Times New Roman" w:cs="Arial"/>
        </w:rPr>
        <w:t xml:space="preserve">Duke did not assert </w:t>
      </w:r>
      <w:r w:rsidRPr="00503840">
        <w:rPr>
          <w:rFonts w:eastAsia="Times New Roman" w:cs="Arial"/>
        </w:rPr>
        <w:t>the rider may be approved because it is a restriction on shopping</w:t>
      </w:r>
      <w:r>
        <w:rPr>
          <w:rFonts w:eastAsia="Times New Roman" w:cs="Arial"/>
        </w:rPr>
        <w:t xml:space="preserve"> or </w:t>
      </w:r>
      <w:r w:rsidRPr="00503840">
        <w:rPr>
          <w:rFonts w:eastAsia="Times New Roman" w:cs="Arial"/>
        </w:rPr>
        <w:t>provi</w:t>
      </w:r>
      <w:r>
        <w:rPr>
          <w:rFonts w:eastAsia="Times New Roman" w:cs="Arial"/>
        </w:rPr>
        <w:t>de any evidence to support that finding</w:t>
      </w:r>
      <w:r w:rsidRPr="00503840">
        <w:rPr>
          <w:rFonts w:eastAsia="Times New Roman" w:cs="Arial"/>
        </w:rPr>
        <w:t xml:space="preserve">.  </w:t>
      </w:r>
      <w:r w:rsidR="007B439B">
        <w:rPr>
          <w:rFonts w:eastAsia="Times New Roman" w:cs="Arial"/>
        </w:rPr>
        <w:t xml:space="preserve">Since Duke did not advance any support for a finding and no other record evidence supports it, there is no </w:t>
      </w:r>
      <w:r w:rsidR="003A021F">
        <w:rPr>
          <w:rFonts w:eastAsia="Times New Roman" w:cs="Arial"/>
        </w:rPr>
        <w:t>reasonable</w:t>
      </w:r>
      <w:r w:rsidR="007B439B">
        <w:rPr>
          <w:rFonts w:eastAsia="Times New Roman" w:cs="Arial"/>
        </w:rPr>
        <w:t xml:space="preserve"> basis for the Commission to “agree” that the PSR should be authorized</w:t>
      </w:r>
      <w:r w:rsidRPr="00503840">
        <w:rPr>
          <w:rFonts w:eastAsia="Times New Roman" w:cs="Arial"/>
        </w:rPr>
        <w:t>.</w:t>
      </w:r>
      <w:r w:rsidRPr="00503840">
        <w:rPr>
          <w:rFonts w:eastAsia="Times New Roman" w:cs="Arial"/>
          <w:vertAlign w:val="superscript"/>
        </w:rPr>
        <w:footnoteReference w:id="44"/>
      </w:r>
    </w:p>
    <w:p w:rsidR="00503840" w:rsidRPr="00503840" w:rsidRDefault="00503840" w:rsidP="00503840">
      <w:pPr>
        <w:spacing w:line="480" w:lineRule="auto"/>
        <w:jc w:val="both"/>
        <w:rPr>
          <w:rFonts w:eastAsia="Times New Roman" w:cs="Arial"/>
        </w:rPr>
      </w:pPr>
      <w:r w:rsidRPr="00503840">
        <w:rPr>
          <w:rFonts w:eastAsia="Times New Roman" w:cs="Arial"/>
        </w:rPr>
        <w:tab/>
        <w:t xml:space="preserve">By relying on the OEG testimony as a basis for approving the </w:t>
      </w:r>
      <w:r w:rsidR="00C57B05">
        <w:rPr>
          <w:rFonts w:eastAsia="Times New Roman" w:cs="Arial"/>
        </w:rPr>
        <w:t>PSR</w:t>
      </w:r>
      <w:r w:rsidR="006F41F5">
        <w:rPr>
          <w:rFonts w:eastAsia="Times New Roman" w:cs="Arial"/>
        </w:rPr>
        <w:t xml:space="preserve"> (particularly testimony that does not address the issue)</w:t>
      </w:r>
      <w:r w:rsidRPr="00503840">
        <w:rPr>
          <w:rFonts w:eastAsia="Times New Roman" w:cs="Arial"/>
        </w:rPr>
        <w:t xml:space="preserve">, the Commission also has created an unfair disadvantage for those opposing </w:t>
      </w:r>
      <w:r>
        <w:rPr>
          <w:rFonts w:eastAsia="Times New Roman" w:cs="Arial"/>
        </w:rPr>
        <w:t>Duke’s</w:t>
      </w:r>
      <w:r w:rsidRPr="00503840">
        <w:rPr>
          <w:rFonts w:eastAsia="Times New Roman" w:cs="Arial"/>
        </w:rPr>
        <w:t xml:space="preserve"> request for authority to implement the </w:t>
      </w:r>
      <w:r>
        <w:rPr>
          <w:rFonts w:eastAsia="Times New Roman" w:cs="Arial"/>
        </w:rPr>
        <w:t>PSR</w:t>
      </w:r>
      <w:r w:rsidRPr="00503840">
        <w:rPr>
          <w:rFonts w:eastAsia="Times New Roman" w:cs="Arial"/>
        </w:rPr>
        <w:t xml:space="preserve">.  </w:t>
      </w:r>
      <w:r w:rsidRPr="00503840">
        <w:rPr>
          <w:rFonts w:eastAsia="Times New Roman" w:cs="Arial"/>
        </w:rPr>
        <w:lastRenderedPageBreak/>
        <w:t xml:space="preserve">The opposing parties may not rely upon the Application and supporting testimony to identify the issues they must address at hearing.  Instead, they must defend against any party’s contrivance that might be supportive of </w:t>
      </w:r>
      <w:r>
        <w:rPr>
          <w:rFonts w:eastAsia="Times New Roman" w:cs="Arial"/>
        </w:rPr>
        <w:t>Duke’s</w:t>
      </w:r>
      <w:r w:rsidRPr="00503840">
        <w:rPr>
          <w:rFonts w:eastAsia="Times New Roman" w:cs="Arial"/>
        </w:rPr>
        <w:t xml:space="preserve"> proposal</w:t>
      </w:r>
      <w:r w:rsidR="006F41F5">
        <w:rPr>
          <w:rFonts w:eastAsia="Times New Roman" w:cs="Arial"/>
        </w:rPr>
        <w:t>, no matter how far-fetched or contrary to the record</w:t>
      </w:r>
      <w:r w:rsidRPr="00503840">
        <w:rPr>
          <w:rFonts w:eastAsia="Times New Roman" w:cs="Arial"/>
        </w:rPr>
        <w:t xml:space="preserve">.  </w:t>
      </w:r>
    </w:p>
    <w:p w:rsidR="00370E1F" w:rsidRPr="00370E1F" w:rsidRDefault="00A35AD8" w:rsidP="006F41F5">
      <w:pPr>
        <w:spacing w:line="480" w:lineRule="auto"/>
        <w:ind w:firstLine="720"/>
        <w:contextualSpacing/>
        <w:jc w:val="both"/>
        <w:rPr>
          <w:rFonts w:eastAsia="Times New Roman" w:cs="Arial"/>
        </w:rPr>
      </w:pPr>
      <w:r>
        <w:rPr>
          <w:rFonts w:eastAsia="Times New Roman" w:cs="Arial"/>
        </w:rPr>
        <w:t>Further, authorization of the PSR when there is no factual support for the Commission’s conclusion</w:t>
      </w:r>
      <w:r w:rsidR="00043D52">
        <w:rPr>
          <w:rFonts w:eastAsia="Times New Roman" w:cs="Arial"/>
        </w:rPr>
        <w:t xml:space="preserve"> that the PSR operates as a limitation on customer shopping</w:t>
      </w:r>
      <w:r>
        <w:rPr>
          <w:rFonts w:eastAsia="Times New Roman" w:cs="Arial"/>
        </w:rPr>
        <w:t xml:space="preserve"> is a violation of </w:t>
      </w:r>
      <w:r w:rsidR="000A6FFE">
        <w:rPr>
          <w:rFonts w:eastAsia="Times New Roman" w:cs="Arial"/>
        </w:rPr>
        <w:t>R.C. 4903</w:t>
      </w:r>
      <w:r w:rsidR="006F41F5">
        <w:rPr>
          <w:rFonts w:eastAsia="Times New Roman" w:cs="Arial"/>
        </w:rPr>
        <w:t>.09</w:t>
      </w:r>
      <w:r>
        <w:rPr>
          <w:rFonts w:eastAsia="Times New Roman" w:cs="Arial"/>
        </w:rPr>
        <w:t>.  Under that section</w:t>
      </w:r>
      <w:r w:rsidR="006F41F5">
        <w:rPr>
          <w:rFonts w:eastAsia="Times New Roman" w:cs="Arial"/>
        </w:rPr>
        <w:t>, the Commission “</w:t>
      </w:r>
      <w:r w:rsidR="00370E1F" w:rsidRPr="00370E1F">
        <w:rPr>
          <w:rFonts w:eastAsia="Times New Roman" w:cs="Arial"/>
        </w:rPr>
        <w:t>shall file, with the records of such cases, findings of fact and written opinions setting forth the reasons prompting the decisions arrived at, based upon said findings of fact.</w:t>
      </w:r>
      <w:r w:rsidR="006F41F5">
        <w:rPr>
          <w:rFonts w:eastAsia="Times New Roman" w:cs="Arial"/>
        </w:rPr>
        <w:t xml:space="preserve">”  </w:t>
      </w:r>
      <w:r w:rsidR="00370E1F" w:rsidRPr="00370E1F">
        <w:rPr>
          <w:rFonts w:eastAsia="Times New Roman" w:cs="Arial"/>
        </w:rPr>
        <w:t>“The commission cannot decide cases on subjective belief, wishful thinking, or folk wisdom.”</w:t>
      </w:r>
      <w:r w:rsidR="00370E1F" w:rsidRPr="00370E1F">
        <w:rPr>
          <w:rFonts w:eastAsia="Times New Roman" w:cs="Arial"/>
          <w:vertAlign w:val="superscript"/>
        </w:rPr>
        <w:footnoteReference w:id="45"/>
      </w:r>
      <w:r w:rsidR="00370E1F" w:rsidRPr="00370E1F">
        <w:rPr>
          <w:rFonts w:eastAsia="Times New Roman" w:cs="Arial"/>
        </w:rPr>
        <w:t xml:space="preserve">  </w:t>
      </w:r>
      <w:r w:rsidR="006F41F5">
        <w:rPr>
          <w:rFonts w:eastAsia="Times New Roman" w:cs="Arial"/>
        </w:rPr>
        <w:t>On the record in this case, there was no evidence that the PSR operated as a limitation on shopping.  Thus, the Commission erred when it found that the PSR would operate as a limitation on customers shopping.</w:t>
      </w:r>
    </w:p>
    <w:p w:rsidR="00370E1F" w:rsidRDefault="00370E1F" w:rsidP="00370E1F">
      <w:pPr>
        <w:spacing w:line="480" w:lineRule="auto"/>
        <w:contextualSpacing/>
        <w:jc w:val="both"/>
        <w:rPr>
          <w:rFonts w:eastAsia="Times New Roman" w:cs="Arial"/>
        </w:rPr>
      </w:pPr>
      <w:r w:rsidRPr="00370E1F">
        <w:rPr>
          <w:rFonts w:eastAsia="Times New Roman" w:cs="Arial"/>
        </w:rPr>
        <w:tab/>
        <w:t>Even if the Commission were permitted to speculate</w:t>
      </w:r>
      <w:r w:rsidR="006F41F5">
        <w:rPr>
          <w:rFonts w:eastAsia="Times New Roman" w:cs="Arial"/>
        </w:rPr>
        <w:t xml:space="preserve"> on whether the PSR would operate as a limitation on shopping</w:t>
      </w:r>
      <w:r w:rsidRPr="00370E1F">
        <w:rPr>
          <w:rFonts w:eastAsia="Times New Roman" w:cs="Arial"/>
        </w:rPr>
        <w:t>, the Commission’s rules do not provide a basis for construing the rider as a limitation on customer shopping.  According to the Commission rules, limitations on customer shopping “would include, but are not limited to, terms and conditions relating to shopping or to returning to the standard service offer and any unavoidable charges.”</w:t>
      </w:r>
      <w:r w:rsidRPr="00370E1F">
        <w:rPr>
          <w:rFonts w:eastAsia="Times New Roman" w:cs="Arial"/>
          <w:vertAlign w:val="superscript"/>
        </w:rPr>
        <w:footnoteReference w:id="46"/>
      </w:r>
      <w:r w:rsidRPr="00370E1F">
        <w:rPr>
          <w:rFonts w:eastAsia="Times New Roman" w:cs="Arial"/>
        </w:rPr>
        <w:t xml:space="preserve">  According to </w:t>
      </w:r>
      <w:r w:rsidR="00503840">
        <w:rPr>
          <w:rFonts w:eastAsia="Times New Roman" w:cs="Arial"/>
        </w:rPr>
        <w:t>Duke</w:t>
      </w:r>
      <w:r w:rsidRPr="00370E1F">
        <w:rPr>
          <w:rFonts w:eastAsia="Times New Roman" w:cs="Arial"/>
        </w:rPr>
        <w:t xml:space="preserve">, the </w:t>
      </w:r>
      <w:r w:rsidR="00503840">
        <w:rPr>
          <w:rFonts w:eastAsia="Times New Roman" w:cs="Arial"/>
        </w:rPr>
        <w:t>PSR</w:t>
      </w:r>
      <w:r w:rsidRPr="00370E1F">
        <w:rPr>
          <w:rFonts w:eastAsia="Times New Roman" w:cs="Arial"/>
        </w:rPr>
        <w:t xml:space="preserve"> does not affect customer shopping.  Since the rider does not change the relationship of a customer to </w:t>
      </w:r>
      <w:r w:rsidR="00503840">
        <w:rPr>
          <w:rFonts w:eastAsia="Times New Roman" w:cs="Arial"/>
        </w:rPr>
        <w:t>Duke</w:t>
      </w:r>
      <w:r w:rsidRPr="00370E1F">
        <w:rPr>
          <w:rFonts w:eastAsia="Times New Roman" w:cs="Arial"/>
        </w:rPr>
        <w:t xml:space="preserve"> </w:t>
      </w:r>
      <w:r w:rsidR="007B439B">
        <w:rPr>
          <w:rFonts w:eastAsia="Times New Roman" w:cs="Arial"/>
        </w:rPr>
        <w:t>(</w:t>
      </w:r>
      <w:r w:rsidR="00043D52">
        <w:rPr>
          <w:rFonts w:eastAsia="Times New Roman" w:cs="Arial"/>
        </w:rPr>
        <w:t xml:space="preserve">other than increase the amount all customers may be required to pay for retail electric </w:t>
      </w:r>
      <w:r w:rsidR="00043D52">
        <w:rPr>
          <w:rFonts w:eastAsia="Times New Roman" w:cs="Arial"/>
        </w:rPr>
        <w:lastRenderedPageBreak/>
        <w:t>service</w:t>
      </w:r>
      <w:r w:rsidR="007B439B">
        <w:rPr>
          <w:rFonts w:eastAsia="Times New Roman" w:cs="Arial"/>
        </w:rPr>
        <w:t>)</w:t>
      </w:r>
      <w:r w:rsidRPr="00370E1F">
        <w:rPr>
          <w:rFonts w:eastAsia="Times New Roman" w:cs="Arial"/>
        </w:rPr>
        <w:t xml:space="preserve">, no reasoned reading of the record supports a finding that the rider operates as a limitation on customer shopping.  </w:t>
      </w:r>
    </w:p>
    <w:p w:rsidR="00370E1F" w:rsidRDefault="00604F06" w:rsidP="00370E1F">
      <w:pPr>
        <w:spacing w:line="480" w:lineRule="auto"/>
        <w:contextualSpacing/>
        <w:jc w:val="both"/>
        <w:rPr>
          <w:rFonts w:eastAsia="Times New Roman" w:cs="Arial"/>
        </w:rPr>
      </w:pPr>
      <w:r>
        <w:rPr>
          <w:rFonts w:eastAsia="Times New Roman" w:cs="Arial"/>
        </w:rPr>
        <w:tab/>
      </w:r>
      <w:r w:rsidR="00043D52" w:rsidRPr="00370E1F">
        <w:rPr>
          <w:rFonts w:eastAsia="Times New Roman" w:cs="Arial"/>
        </w:rPr>
        <w:t xml:space="preserve">In summary, </w:t>
      </w:r>
      <w:r w:rsidR="001107B0">
        <w:rPr>
          <w:rFonts w:eastAsia="Times New Roman" w:cs="Arial"/>
        </w:rPr>
        <w:t>Duke has failed to carry its burden of proof</w:t>
      </w:r>
      <w:r w:rsidR="00DF3B82">
        <w:rPr>
          <w:rFonts w:eastAsia="Times New Roman" w:cs="Arial"/>
        </w:rPr>
        <w:t>,</w:t>
      </w:r>
      <w:r w:rsidR="001107B0">
        <w:rPr>
          <w:rFonts w:eastAsia="Times New Roman" w:cs="Arial"/>
        </w:rPr>
        <w:t xml:space="preserve"> and </w:t>
      </w:r>
      <w:r w:rsidR="00043D52">
        <w:rPr>
          <w:rFonts w:eastAsia="Times New Roman" w:cs="Arial"/>
        </w:rPr>
        <w:t>t</w:t>
      </w:r>
      <w:r w:rsidR="004160F1">
        <w:rPr>
          <w:rFonts w:eastAsia="Times New Roman" w:cs="Arial"/>
        </w:rPr>
        <w:t xml:space="preserve">he </w:t>
      </w:r>
      <w:r w:rsidR="001107B0">
        <w:rPr>
          <w:rFonts w:eastAsia="Times New Roman" w:cs="Arial"/>
        </w:rPr>
        <w:t>“manifest weight of the evidence contradicts the commission’s conclusion</w:t>
      </w:r>
      <w:r w:rsidR="004C78D3">
        <w:rPr>
          <w:rFonts w:eastAsia="Times New Roman" w:cs="Arial"/>
        </w:rPr>
        <w:t>.</w:t>
      </w:r>
      <w:r w:rsidR="001107B0">
        <w:rPr>
          <w:rFonts w:eastAsia="Times New Roman" w:cs="Arial"/>
        </w:rPr>
        <w:t>”</w:t>
      </w:r>
      <w:r w:rsidR="001107B0">
        <w:rPr>
          <w:rStyle w:val="FootnoteReference"/>
          <w:rFonts w:eastAsia="Times New Roman" w:cs="Arial"/>
        </w:rPr>
        <w:footnoteReference w:id="47"/>
      </w:r>
      <w:r w:rsidR="004160F1">
        <w:rPr>
          <w:rFonts w:eastAsia="Times New Roman" w:cs="Arial"/>
        </w:rPr>
        <w:t xml:space="preserve">  </w:t>
      </w:r>
      <w:r w:rsidR="001107B0">
        <w:rPr>
          <w:rFonts w:eastAsia="Times New Roman" w:cs="Arial"/>
        </w:rPr>
        <w:t xml:space="preserve">Further, the Commission’s decision does not comply with the requirements of R.C. 4903.09.  </w:t>
      </w:r>
      <w:r w:rsidR="007B439B">
        <w:rPr>
          <w:rFonts w:eastAsia="Times New Roman" w:cs="Arial"/>
        </w:rPr>
        <w:t>Therefore,</w:t>
      </w:r>
      <w:r w:rsidR="00370E1F" w:rsidRPr="00370E1F">
        <w:rPr>
          <w:rFonts w:eastAsia="Times New Roman" w:cs="Arial"/>
        </w:rPr>
        <w:t xml:space="preserve"> the Commission should grant rehearing and reverse its authorization of the rider.</w:t>
      </w:r>
    </w:p>
    <w:p w:rsidR="00CB5F5A" w:rsidRPr="00CB5F5A" w:rsidRDefault="00CB5F5A" w:rsidP="00CB5F5A">
      <w:pPr>
        <w:pStyle w:val="Heading3"/>
      </w:pPr>
      <w:bookmarkStart w:id="115" w:name="_Toc414094866"/>
      <w:bookmarkStart w:id="116" w:name="_Toc414363743"/>
      <w:bookmarkStart w:id="117" w:name="_Toc414363838"/>
      <w:bookmarkStart w:id="118" w:name="_Toc414366703"/>
      <w:bookmarkStart w:id="119" w:name="_Toc414366926"/>
      <w:bookmarkStart w:id="120" w:name="_Toc414367233"/>
      <w:bookmarkStart w:id="121" w:name="_Toc414368381"/>
      <w:bookmarkStart w:id="122" w:name="_Toc414370903"/>
      <w:bookmarkStart w:id="123" w:name="_Toc414371030"/>
      <w:bookmarkStart w:id="124" w:name="_Toc414371165"/>
      <w:bookmarkStart w:id="125" w:name="_Toc414371207"/>
      <w:bookmarkStart w:id="126" w:name="_Toc414371271"/>
      <w:bookmarkStart w:id="127" w:name="_Toc414371337"/>
      <w:bookmarkStart w:id="128" w:name="_Toc414371479"/>
      <w:bookmarkStart w:id="129" w:name="_Toc414372693"/>
      <w:bookmarkStart w:id="130" w:name="_Toc414373000"/>
      <w:bookmarkStart w:id="131" w:name="_Toc414373691"/>
      <w:bookmarkStart w:id="132" w:name="_Toc414877916"/>
      <w:bookmarkStart w:id="133" w:name="_Toc414973817"/>
      <w:bookmarkStart w:id="134" w:name="_Toc414973848"/>
      <w:bookmarkStart w:id="135" w:name="_Toc415223870"/>
      <w:bookmarkStart w:id="136" w:name="_Toc415225431"/>
      <w:bookmarkStart w:id="137" w:name="_Toc418495451"/>
      <w:bookmarkStart w:id="138" w:name="assign4"/>
      <w:r w:rsidRPr="00CB5F5A">
        <w:t xml:space="preserve">The ESP Order is unlawful and unreasonable because the Commission’s finding that the </w:t>
      </w:r>
      <w:r>
        <w:t>PSR</w:t>
      </w:r>
      <w:r w:rsidRPr="00CB5F5A">
        <w:t xml:space="preserve"> “</w:t>
      </w:r>
      <w:r>
        <w:t xml:space="preserve">in theory, </w:t>
      </w:r>
      <w:r w:rsidRPr="00CB5F5A">
        <w:t xml:space="preserve">has the effect of stabilizing or providing certainty regarding retail electric service” is not supported by the manifest weight of the evidence and is directly contradicted by the Commission’s finding that </w:t>
      </w:r>
      <w:r w:rsidR="00562E59">
        <w:t>Duke</w:t>
      </w:r>
      <w:r w:rsidRPr="00CB5F5A">
        <w:t xml:space="preserve"> failed to demonstrate that the </w:t>
      </w:r>
      <w:r w:rsidR="00562E59">
        <w:t>PSR</w:t>
      </w:r>
      <w:r w:rsidRPr="00CB5F5A">
        <w:t xml:space="preserve"> would promote rate stability</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bookmarkEnd w:id="138"/>
    <w:p w:rsidR="00CB5F5A" w:rsidRPr="00CB5F5A" w:rsidRDefault="00CB5F5A" w:rsidP="00CB5F5A">
      <w:pPr>
        <w:spacing w:line="480" w:lineRule="auto"/>
        <w:contextualSpacing/>
        <w:jc w:val="both"/>
        <w:rPr>
          <w:rFonts w:eastAsia="Times New Roman" w:cs="Arial"/>
        </w:rPr>
      </w:pPr>
      <w:r w:rsidRPr="00CB5F5A">
        <w:rPr>
          <w:rFonts w:eastAsia="Times New Roman" w:cs="Arial"/>
        </w:rPr>
        <w:tab/>
        <w:t xml:space="preserve">In its discussion of the </w:t>
      </w:r>
      <w:r>
        <w:rPr>
          <w:rFonts w:eastAsia="Times New Roman" w:cs="Arial"/>
        </w:rPr>
        <w:t>PSR</w:t>
      </w:r>
      <w:r w:rsidRPr="00CB5F5A">
        <w:rPr>
          <w:rFonts w:eastAsia="Times New Roman" w:cs="Arial"/>
        </w:rPr>
        <w:t xml:space="preserve">, the Commission noted that </w:t>
      </w:r>
      <w:r>
        <w:rPr>
          <w:rFonts w:eastAsia="Times New Roman" w:cs="Arial"/>
        </w:rPr>
        <w:t>Duke</w:t>
      </w:r>
      <w:r w:rsidRPr="00CB5F5A">
        <w:rPr>
          <w:rFonts w:eastAsia="Times New Roman" w:cs="Arial"/>
        </w:rPr>
        <w:t xml:space="preserve"> </w:t>
      </w:r>
      <w:r>
        <w:rPr>
          <w:rFonts w:eastAsia="Times New Roman" w:cs="Arial"/>
        </w:rPr>
        <w:t>sought approval of the PSR because it would provide “a financial hedge against market volatility and temper</w:t>
      </w:r>
      <w:r w:rsidR="007B439B">
        <w:rPr>
          <w:rFonts w:eastAsia="Times New Roman" w:cs="Arial"/>
        </w:rPr>
        <w:t>[]</w:t>
      </w:r>
      <w:r>
        <w:rPr>
          <w:rFonts w:eastAsia="Times New Roman" w:cs="Arial"/>
        </w:rPr>
        <w:t xml:space="preserve"> </w:t>
      </w:r>
      <w:r w:rsidR="00D9564E">
        <w:rPr>
          <w:rFonts w:eastAsia="Times New Roman" w:cs="Arial"/>
        </w:rPr>
        <w:t xml:space="preserve">the </w:t>
      </w:r>
      <w:r>
        <w:rPr>
          <w:rFonts w:eastAsia="Times New Roman" w:cs="Arial"/>
        </w:rPr>
        <w:t>prices customers will s</w:t>
      </w:r>
      <w:r w:rsidR="00750326">
        <w:rPr>
          <w:rFonts w:eastAsia="Times New Roman" w:cs="Arial"/>
        </w:rPr>
        <w:t>ee in generation rat</w:t>
      </w:r>
      <w:r>
        <w:rPr>
          <w:rFonts w:eastAsia="Times New Roman" w:cs="Arial"/>
        </w:rPr>
        <w:t>es</w:t>
      </w:r>
      <w:r w:rsidRPr="00CB5F5A">
        <w:rPr>
          <w:rFonts w:eastAsia="Times New Roman" w:cs="Arial"/>
        </w:rPr>
        <w:t>.”</w:t>
      </w:r>
      <w:r w:rsidRPr="00CB5F5A">
        <w:rPr>
          <w:rFonts w:eastAsia="Times New Roman" w:cs="Arial"/>
          <w:vertAlign w:val="superscript"/>
        </w:rPr>
        <w:footnoteReference w:id="48"/>
      </w:r>
      <w:r w:rsidRPr="00CB5F5A">
        <w:rPr>
          <w:rFonts w:eastAsia="Times New Roman" w:cs="Arial"/>
        </w:rPr>
        <w:t xml:space="preserve">  Based on </w:t>
      </w:r>
      <w:r>
        <w:rPr>
          <w:rFonts w:eastAsia="Times New Roman" w:cs="Arial"/>
        </w:rPr>
        <w:t xml:space="preserve">Duke’s </w:t>
      </w:r>
      <w:r w:rsidRPr="00CB5F5A">
        <w:rPr>
          <w:rFonts w:eastAsia="Times New Roman" w:cs="Arial"/>
        </w:rPr>
        <w:t xml:space="preserve">“theory,” the Commission concluded “there is no question that the </w:t>
      </w:r>
      <w:r w:rsidR="00D9564E">
        <w:rPr>
          <w:rFonts w:eastAsia="Times New Roman" w:cs="Arial"/>
        </w:rPr>
        <w:t>PSR</w:t>
      </w:r>
      <w:r w:rsidRPr="00CB5F5A">
        <w:rPr>
          <w:rFonts w:eastAsia="Times New Roman" w:cs="Arial"/>
        </w:rPr>
        <w:t xml:space="preserve"> would produce a credit or charge based on the difference between wholesale market prices and OVEC’s costs, offsetting, to some extent, the volatility in the wholesale market.”</w:t>
      </w:r>
      <w:r w:rsidRPr="00CB5F5A">
        <w:rPr>
          <w:rFonts w:eastAsia="Times New Roman" w:cs="Arial"/>
          <w:vertAlign w:val="superscript"/>
        </w:rPr>
        <w:footnoteReference w:id="49"/>
      </w:r>
      <w:r w:rsidRPr="00CB5F5A">
        <w:rPr>
          <w:rFonts w:eastAsia="Times New Roman" w:cs="Arial"/>
        </w:rPr>
        <w:t xml:space="preserve">  The Commission then finds that “</w:t>
      </w:r>
      <w:r>
        <w:rPr>
          <w:rFonts w:eastAsia="Times New Roman" w:cs="Arial"/>
        </w:rPr>
        <w:t>Duke</w:t>
      </w:r>
      <w:r w:rsidRPr="00CB5F5A">
        <w:rPr>
          <w:rFonts w:eastAsia="Times New Roman" w:cs="Arial"/>
        </w:rPr>
        <w:t xml:space="preserve"> has demonstrated that the proposed </w:t>
      </w:r>
      <w:r w:rsidR="00D9564E">
        <w:rPr>
          <w:rFonts w:eastAsia="Times New Roman" w:cs="Arial"/>
        </w:rPr>
        <w:t>PSR</w:t>
      </w:r>
      <w:r w:rsidRPr="00CB5F5A">
        <w:rPr>
          <w:rFonts w:eastAsia="Times New Roman" w:cs="Arial"/>
        </w:rPr>
        <w:t xml:space="preserve"> would, in theory, have the effect of stabilizing or providing certainty regarding retail electric service.”</w:t>
      </w:r>
      <w:r w:rsidRPr="00CB5F5A">
        <w:rPr>
          <w:rFonts w:eastAsia="Times New Roman" w:cs="Arial"/>
          <w:vertAlign w:val="superscript"/>
        </w:rPr>
        <w:footnoteReference w:id="50"/>
      </w:r>
      <w:r w:rsidRPr="00CB5F5A">
        <w:rPr>
          <w:rFonts w:eastAsia="Times New Roman" w:cs="Arial"/>
        </w:rPr>
        <w:t xml:space="preserve">  </w:t>
      </w:r>
    </w:p>
    <w:p w:rsidR="00CB5F5A" w:rsidRPr="00CB5F5A" w:rsidRDefault="00CB5F5A" w:rsidP="00CB5F5A">
      <w:pPr>
        <w:spacing w:line="480" w:lineRule="auto"/>
        <w:contextualSpacing/>
        <w:jc w:val="both"/>
        <w:rPr>
          <w:rFonts w:eastAsia="Times New Roman" w:cs="Arial"/>
        </w:rPr>
      </w:pPr>
      <w:r w:rsidRPr="00CB5F5A">
        <w:rPr>
          <w:rFonts w:eastAsia="Times New Roman" w:cs="Arial"/>
        </w:rPr>
        <w:tab/>
        <w:t xml:space="preserve">The record, however, did not support the theory.  Even though the Commission found that the </w:t>
      </w:r>
      <w:r>
        <w:rPr>
          <w:rFonts w:eastAsia="Times New Roman" w:cs="Arial"/>
        </w:rPr>
        <w:t>PSR</w:t>
      </w:r>
      <w:r w:rsidRPr="00CB5F5A">
        <w:rPr>
          <w:rFonts w:eastAsia="Times New Roman" w:cs="Arial"/>
        </w:rPr>
        <w:t xml:space="preserve"> may reduce wholesale market volatility in theory, it nonetheless </w:t>
      </w:r>
      <w:r w:rsidRPr="00CB5F5A">
        <w:rPr>
          <w:rFonts w:eastAsia="Times New Roman" w:cs="Arial"/>
        </w:rPr>
        <w:lastRenderedPageBreak/>
        <w:t xml:space="preserve">refused to authorize </w:t>
      </w:r>
      <w:r>
        <w:rPr>
          <w:rFonts w:eastAsia="Times New Roman" w:cs="Arial"/>
        </w:rPr>
        <w:t>Duke</w:t>
      </w:r>
      <w:r w:rsidRPr="00CB5F5A">
        <w:rPr>
          <w:rFonts w:eastAsia="Times New Roman" w:cs="Arial"/>
        </w:rPr>
        <w:t xml:space="preserve"> to collect its above-market wholesale generation-related costs of OVEC from retail customers because the Commission agreed “with OCC, IEU, and other intervenors that the evidence of record reflects that the rider may result in a net cost to customers, with little offsetting benefit from the rider’s intended purpose as a hedge against market volatility.”</w:t>
      </w:r>
      <w:r w:rsidRPr="00CB5F5A">
        <w:rPr>
          <w:rFonts w:eastAsia="Times New Roman" w:cs="Arial"/>
          <w:vertAlign w:val="superscript"/>
        </w:rPr>
        <w:footnoteReference w:id="51"/>
      </w:r>
      <w:r w:rsidRPr="00CB5F5A">
        <w:rPr>
          <w:rFonts w:eastAsia="Times New Roman" w:cs="Arial"/>
        </w:rPr>
        <w:t xml:space="preserve">  As a result of the lack of record support for </w:t>
      </w:r>
      <w:r>
        <w:rPr>
          <w:rFonts w:eastAsia="Times New Roman" w:cs="Arial"/>
        </w:rPr>
        <w:t>Duke</w:t>
      </w:r>
      <w:r w:rsidRPr="00CB5F5A">
        <w:rPr>
          <w:rFonts w:eastAsia="Times New Roman" w:cs="Arial"/>
        </w:rPr>
        <w:t xml:space="preserve">’s theory, the Commission was “not persuaded that </w:t>
      </w:r>
      <w:r w:rsidR="00246955">
        <w:rPr>
          <w:rFonts w:eastAsia="Times New Roman" w:cs="Arial"/>
        </w:rPr>
        <w:t>the</w:t>
      </w:r>
      <w:r>
        <w:rPr>
          <w:rFonts w:eastAsia="Times New Roman" w:cs="Arial"/>
        </w:rPr>
        <w:t xml:space="preserve"> PSR</w:t>
      </w:r>
      <w:r w:rsidRPr="00CB5F5A">
        <w:rPr>
          <w:rFonts w:eastAsia="Times New Roman" w:cs="Arial"/>
        </w:rPr>
        <w:t xml:space="preserve"> proposal put forth by </w:t>
      </w:r>
      <w:r w:rsidR="001B19B3">
        <w:rPr>
          <w:rFonts w:eastAsia="Times New Roman" w:cs="Arial"/>
        </w:rPr>
        <w:t>Duke</w:t>
      </w:r>
      <w:r w:rsidRPr="00CB5F5A">
        <w:rPr>
          <w:rFonts w:eastAsia="Times New Roman" w:cs="Arial"/>
        </w:rPr>
        <w:t xml:space="preserve"> in the present proceedings would, in fact, promote rate stability.”</w:t>
      </w:r>
      <w:r w:rsidRPr="00CB5F5A">
        <w:rPr>
          <w:rFonts w:eastAsia="Times New Roman" w:cs="Arial"/>
          <w:vertAlign w:val="superscript"/>
        </w:rPr>
        <w:footnoteReference w:id="52"/>
      </w:r>
    </w:p>
    <w:p w:rsidR="00CB5F5A" w:rsidRPr="00CB5F5A" w:rsidRDefault="00CB5F5A" w:rsidP="00CB5F5A">
      <w:pPr>
        <w:spacing w:line="480" w:lineRule="auto"/>
        <w:contextualSpacing/>
        <w:jc w:val="both"/>
        <w:rPr>
          <w:rFonts w:eastAsia="Times New Roman" w:cs="Arial"/>
        </w:rPr>
      </w:pPr>
      <w:r w:rsidRPr="00CB5F5A">
        <w:rPr>
          <w:rFonts w:eastAsia="Times New Roman" w:cs="Arial"/>
        </w:rPr>
        <w:tab/>
        <w:t xml:space="preserve">Despite this explicit finding that the proposed rider does not satisfy the requirement of R.C. 4928.143(B)(2)(d) that it have the effect of stabilizing retail electric service, the Commission authorized </w:t>
      </w:r>
      <w:r>
        <w:rPr>
          <w:rFonts w:eastAsia="Times New Roman" w:cs="Arial"/>
        </w:rPr>
        <w:t>Duke</w:t>
      </w:r>
      <w:r w:rsidRPr="00CB5F5A">
        <w:rPr>
          <w:rFonts w:eastAsia="Times New Roman" w:cs="Arial"/>
        </w:rPr>
        <w:t xml:space="preserve"> to establish a placeholder </w:t>
      </w:r>
      <w:r>
        <w:rPr>
          <w:rFonts w:eastAsia="Times New Roman" w:cs="Arial"/>
        </w:rPr>
        <w:t>PSR</w:t>
      </w:r>
      <w:r w:rsidRPr="00CB5F5A">
        <w:rPr>
          <w:rFonts w:eastAsia="Times New Roman" w:cs="Arial"/>
        </w:rPr>
        <w:t xml:space="preserve"> with an initial rate of zero and permitted </w:t>
      </w:r>
      <w:r>
        <w:rPr>
          <w:rFonts w:eastAsia="Times New Roman" w:cs="Arial"/>
        </w:rPr>
        <w:t>Duke</w:t>
      </w:r>
      <w:r w:rsidRPr="00CB5F5A">
        <w:rPr>
          <w:rFonts w:eastAsia="Times New Roman" w:cs="Arial"/>
        </w:rPr>
        <w:t xml:space="preserve"> to file a new application to seek to collect above-market wholesale generation-related costs.  This authorization is inconsistent with the Commission’s determination that the </w:t>
      </w:r>
      <w:r>
        <w:rPr>
          <w:rFonts w:eastAsia="Times New Roman" w:cs="Arial"/>
        </w:rPr>
        <w:t>PSR</w:t>
      </w:r>
      <w:r w:rsidRPr="00CB5F5A">
        <w:rPr>
          <w:rFonts w:eastAsia="Times New Roman" w:cs="Arial"/>
        </w:rPr>
        <w:t xml:space="preserve"> as proposed does not provide retail rate stability.  Accordingly, the Commission had no </w:t>
      </w:r>
      <w:r w:rsidR="007B439B">
        <w:rPr>
          <w:rFonts w:eastAsia="Times New Roman" w:cs="Arial"/>
        </w:rPr>
        <w:t xml:space="preserve">reasoned </w:t>
      </w:r>
      <w:r w:rsidRPr="00CB5F5A">
        <w:rPr>
          <w:rFonts w:eastAsia="Times New Roman" w:cs="Arial"/>
        </w:rPr>
        <w:t>basis to approve the establishment of a placeholder rider.</w:t>
      </w:r>
    </w:p>
    <w:p w:rsidR="00CB5F5A" w:rsidRPr="00CB5F5A" w:rsidRDefault="00CB5F5A" w:rsidP="00CB5F5A">
      <w:pPr>
        <w:spacing w:line="480" w:lineRule="auto"/>
        <w:ind w:firstLine="720"/>
        <w:contextualSpacing/>
        <w:jc w:val="both"/>
        <w:rPr>
          <w:rFonts w:eastAsia="Times New Roman" w:cs="Arial"/>
        </w:rPr>
      </w:pPr>
      <w:r w:rsidRPr="00CB5F5A">
        <w:rPr>
          <w:rFonts w:eastAsia="Times New Roman" w:cs="Arial"/>
        </w:rPr>
        <w:t xml:space="preserve">Moreover, the decision to approve a placeholder </w:t>
      </w:r>
      <w:r>
        <w:rPr>
          <w:rFonts w:eastAsia="Times New Roman" w:cs="Arial"/>
        </w:rPr>
        <w:t>PSR</w:t>
      </w:r>
      <w:r w:rsidRPr="00CB5F5A">
        <w:rPr>
          <w:rFonts w:eastAsia="Times New Roman" w:cs="Arial"/>
        </w:rPr>
        <w:t xml:space="preserve"> is inconsistent with the Commission’s holding concerning the </w:t>
      </w:r>
      <w:r w:rsidR="00246955">
        <w:rPr>
          <w:rFonts w:eastAsia="Times New Roman" w:cs="Arial"/>
        </w:rPr>
        <w:t>North American Reliability Corporation</w:t>
      </w:r>
      <w:r w:rsidR="001B19B3">
        <w:rPr>
          <w:rFonts w:eastAsia="Times New Roman" w:cs="Arial"/>
        </w:rPr>
        <w:t xml:space="preserve"> ("</w:t>
      </w:r>
      <w:r w:rsidRPr="00CB5F5A">
        <w:rPr>
          <w:rFonts w:eastAsia="Times New Roman" w:cs="Arial"/>
        </w:rPr>
        <w:t>NERC</w:t>
      </w:r>
      <w:r w:rsidR="001B19B3">
        <w:rPr>
          <w:rFonts w:eastAsia="Times New Roman" w:cs="Arial"/>
        </w:rPr>
        <w:t>")</w:t>
      </w:r>
      <w:r w:rsidRPr="00CB5F5A">
        <w:rPr>
          <w:rFonts w:eastAsia="Times New Roman" w:cs="Arial"/>
        </w:rPr>
        <w:t xml:space="preserve"> Compliance and Cybersecurity Rider (“NCCR”), a nonbypassable rider AEP-Ohio proposed that would authorize expedited recovery of significant increases in capital and operation and maintenance costs for NERC compliance and cybersecurity.</w:t>
      </w:r>
      <w:r w:rsidRPr="00CB5F5A">
        <w:rPr>
          <w:rFonts w:eastAsia="Times New Roman" w:cs="Arial"/>
          <w:vertAlign w:val="superscript"/>
        </w:rPr>
        <w:footnoteReference w:id="53"/>
      </w:r>
      <w:r w:rsidRPr="00CB5F5A">
        <w:rPr>
          <w:rFonts w:eastAsia="Times New Roman" w:cs="Arial"/>
        </w:rPr>
        <w:t xml:space="preserve">  Based on </w:t>
      </w:r>
      <w:r w:rsidRPr="00CB5F5A">
        <w:rPr>
          <w:rFonts w:eastAsia="Times New Roman" w:cs="Arial"/>
        </w:rPr>
        <w:lastRenderedPageBreak/>
        <w:t>the record, the Commission concluded that AEP-Ohio had failed to carry its burden of proof, in part because “the types of investments for which AEP</w:t>
      </w:r>
      <w:r w:rsidR="00246955">
        <w:rPr>
          <w:rFonts w:eastAsia="Times New Roman" w:cs="Arial"/>
        </w:rPr>
        <w:t xml:space="preserve"> </w:t>
      </w:r>
      <w:r w:rsidRPr="00CB5F5A">
        <w:rPr>
          <w:rFonts w:eastAsia="Times New Roman" w:cs="Arial"/>
        </w:rPr>
        <w:t>Ohio would seek recovery and the magnitude of such investments is not presently known.”</w:t>
      </w:r>
      <w:r w:rsidRPr="00CB5F5A">
        <w:rPr>
          <w:rFonts w:eastAsia="Times New Roman" w:cs="Arial"/>
          <w:vertAlign w:val="superscript"/>
        </w:rPr>
        <w:footnoteReference w:id="54"/>
      </w:r>
      <w:r w:rsidRPr="00CB5F5A">
        <w:rPr>
          <w:rFonts w:eastAsia="Times New Roman" w:cs="Arial"/>
        </w:rPr>
        <w:t xml:space="preserve">  Because AEP-Ohio had failed to carry its burden of proof and demonstrate that the rider would allow recovery of reasonable costs, the Commission denied authorization of the rider.</w:t>
      </w:r>
      <w:r w:rsidRPr="00CB5F5A">
        <w:rPr>
          <w:rFonts w:eastAsia="Times New Roman" w:cs="Arial"/>
          <w:vertAlign w:val="superscript"/>
        </w:rPr>
        <w:footnoteReference w:id="55"/>
      </w:r>
      <w:r w:rsidRPr="00CB5F5A">
        <w:rPr>
          <w:rFonts w:eastAsia="Times New Roman" w:cs="Arial"/>
        </w:rPr>
        <w:t xml:space="preserve">  </w:t>
      </w:r>
    </w:p>
    <w:p w:rsidR="00CB5F5A" w:rsidRDefault="00CB5F5A" w:rsidP="00CB5F5A">
      <w:pPr>
        <w:spacing w:line="480" w:lineRule="auto"/>
        <w:ind w:firstLine="720"/>
        <w:contextualSpacing/>
        <w:jc w:val="both"/>
        <w:rPr>
          <w:rFonts w:eastAsia="Times New Roman" w:cs="Arial"/>
        </w:rPr>
      </w:pPr>
      <w:r w:rsidRPr="00CB5F5A">
        <w:rPr>
          <w:rFonts w:eastAsia="Times New Roman" w:cs="Arial"/>
        </w:rPr>
        <w:t xml:space="preserve">The precedent established in the </w:t>
      </w:r>
      <w:r>
        <w:rPr>
          <w:rFonts w:eastAsia="Times New Roman" w:cs="Arial"/>
        </w:rPr>
        <w:t xml:space="preserve">AEP-Ohio </w:t>
      </w:r>
      <w:r w:rsidRPr="00CB5F5A">
        <w:rPr>
          <w:rFonts w:eastAsia="Times New Roman" w:cs="Arial"/>
        </w:rPr>
        <w:t xml:space="preserve">ESP III Order regarding the treatment of the NCCR requires that the Commission deny authorization of the </w:t>
      </w:r>
      <w:r>
        <w:rPr>
          <w:rFonts w:eastAsia="Times New Roman" w:cs="Arial"/>
        </w:rPr>
        <w:t>PSR</w:t>
      </w:r>
      <w:r w:rsidRPr="00CB5F5A">
        <w:rPr>
          <w:rFonts w:eastAsia="Times New Roman" w:cs="Arial"/>
        </w:rPr>
        <w:t xml:space="preserve">, also.  </w:t>
      </w:r>
      <w:r>
        <w:rPr>
          <w:rFonts w:eastAsia="Times New Roman" w:cs="Arial"/>
        </w:rPr>
        <w:t>Duke</w:t>
      </w:r>
      <w:r w:rsidRPr="00CB5F5A">
        <w:rPr>
          <w:rFonts w:eastAsia="Times New Roman" w:cs="Arial"/>
        </w:rPr>
        <w:t xml:space="preserve"> was required to demonstrate that authorization of the </w:t>
      </w:r>
      <w:r>
        <w:rPr>
          <w:rFonts w:eastAsia="Times New Roman" w:cs="Arial"/>
        </w:rPr>
        <w:t>PSR</w:t>
      </w:r>
      <w:r w:rsidRPr="00CB5F5A">
        <w:rPr>
          <w:rFonts w:eastAsia="Times New Roman" w:cs="Arial"/>
        </w:rPr>
        <w:t xml:space="preserve"> was lawful and reasonable.  The Commission, however, found </w:t>
      </w:r>
      <w:r>
        <w:rPr>
          <w:rFonts w:eastAsia="Times New Roman" w:cs="Arial"/>
        </w:rPr>
        <w:t>Duke</w:t>
      </w:r>
      <w:r w:rsidRPr="00CB5F5A">
        <w:rPr>
          <w:rFonts w:eastAsia="Times New Roman" w:cs="Arial"/>
        </w:rPr>
        <w:t xml:space="preserve"> had failed to persuade the Commission that the </w:t>
      </w:r>
      <w:r>
        <w:rPr>
          <w:rFonts w:eastAsia="Times New Roman" w:cs="Arial"/>
        </w:rPr>
        <w:t>PSR</w:t>
      </w:r>
      <w:r w:rsidRPr="00CB5F5A">
        <w:rPr>
          <w:rFonts w:eastAsia="Times New Roman" w:cs="Arial"/>
        </w:rPr>
        <w:t xml:space="preserve"> would promote rate stability; additionally, the Commission found that it could not determine the rate impact of the rider.</w:t>
      </w:r>
      <w:r w:rsidRPr="00CB5F5A">
        <w:rPr>
          <w:rFonts w:eastAsia="Times New Roman" w:cs="Arial"/>
          <w:vertAlign w:val="superscript"/>
        </w:rPr>
        <w:footnoteReference w:id="56"/>
      </w:r>
      <w:r w:rsidRPr="00CB5F5A">
        <w:rPr>
          <w:rFonts w:eastAsia="Times New Roman" w:cs="Arial"/>
        </w:rPr>
        <w:t xml:space="preserve">  Having determined that </w:t>
      </w:r>
      <w:r>
        <w:rPr>
          <w:rFonts w:eastAsia="Times New Roman" w:cs="Arial"/>
        </w:rPr>
        <w:t>Duke</w:t>
      </w:r>
      <w:r w:rsidRPr="00CB5F5A">
        <w:rPr>
          <w:rFonts w:eastAsia="Times New Roman" w:cs="Arial"/>
        </w:rPr>
        <w:t xml:space="preserve"> had failed to demonstrate that the </w:t>
      </w:r>
      <w:r>
        <w:rPr>
          <w:rFonts w:eastAsia="Times New Roman" w:cs="Arial"/>
        </w:rPr>
        <w:t>PSR</w:t>
      </w:r>
      <w:r w:rsidRPr="00CB5F5A">
        <w:rPr>
          <w:rFonts w:eastAsia="Times New Roman" w:cs="Arial"/>
        </w:rPr>
        <w:t xml:space="preserve"> would have the effect of stabilizing rates and was reasonable in amount, simple consistency with the refusal to authorize t</w:t>
      </w:r>
      <w:r w:rsidR="00571066">
        <w:rPr>
          <w:rFonts w:eastAsia="Times New Roman" w:cs="Arial"/>
        </w:rPr>
        <w:t>he</w:t>
      </w:r>
      <w:r w:rsidRPr="00CB5F5A">
        <w:rPr>
          <w:rFonts w:eastAsia="Times New Roman" w:cs="Arial"/>
        </w:rPr>
        <w:t xml:space="preserve"> NCCR required the Commission to hold that authorization of the </w:t>
      </w:r>
      <w:r>
        <w:rPr>
          <w:rFonts w:eastAsia="Times New Roman" w:cs="Arial"/>
        </w:rPr>
        <w:t>PSR</w:t>
      </w:r>
      <w:r w:rsidR="000A6FFE">
        <w:rPr>
          <w:rFonts w:eastAsia="Times New Roman" w:cs="Arial"/>
        </w:rPr>
        <w:t xml:space="preserve"> is not lawful or reasonable.</w:t>
      </w:r>
    </w:p>
    <w:p w:rsidR="00DA66A5" w:rsidRPr="00DA66A5" w:rsidRDefault="00DA66A5" w:rsidP="00DA66A5">
      <w:pPr>
        <w:spacing w:line="480" w:lineRule="auto"/>
        <w:ind w:firstLine="720"/>
        <w:contextualSpacing/>
        <w:jc w:val="both"/>
        <w:rPr>
          <w:rFonts w:eastAsia="Times New Roman" w:cs="Arial"/>
        </w:rPr>
      </w:pPr>
      <w:r w:rsidRPr="00DA66A5">
        <w:rPr>
          <w:rFonts w:eastAsia="Times New Roman" w:cs="Arial"/>
        </w:rPr>
        <w:t xml:space="preserve">In addition to the legal problems with the authorization, </w:t>
      </w:r>
      <w:r w:rsidR="00784837">
        <w:rPr>
          <w:rFonts w:eastAsia="Times New Roman" w:cs="Arial"/>
        </w:rPr>
        <w:t>a</w:t>
      </w:r>
      <w:r w:rsidRPr="00DA66A5">
        <w:rPr>
          <w:rFonts w:eastAsia="Times New Roman" w:cs="Arial"/>
        </w:rPr>
        <w:t xml:space="preserve"> fundamental problem with the Commission’s decision approving the PSR is factual: the rider has nothing to do with rate stability.  The only stability provided by the PSR is the assurance it provides Duke that the financial risk </w:t>
      </w:r>
      <w:r w:rsidR="00750326">
        <w:rPr>
          <w:rFonts w:eastAsia="Times New Roman" w:cs="Arial"/>
        </w:rPr>
        <w:t>it</w:t>
      </w:r>
      <w:r w:rsidRPr="00DA66A5">
        <w:rPr>
          <w:rFonts w:eastAsia="Times New Roman" w:cs="Arial"/>
        </w:rPr>
        <w:t xml:space="preserve"> would otherwise face is transferred to retail customers.  For retail customers, however, the PSR will alter fixed-price contracts and inject price instability into the SSO.  </w:t>
      </w:r>
      <w:r w:rsidR="00750326">
        <w:rPr>
          <w:rFonts w:eastAsia="Times New Roman" w:cs="Arial"/>
        </w:rPr>
        <w:t>The PSR</w:t>
      </w:r>
      <w:r w:rsidRPr="00DA66A5">
        <w:rPr>
          <w:rFonts w:eastAsia="Times New Roman" w:cs="Arial"/>
        </w:rPr>
        <w:t xml:space="preserve"> is the antithesis of what Duke asserts.</w:t>
      </w:r>
    </w:p>
    <w:p w:rsidR="007E7576" w:rsidRPr="007E7576" w:rsidRDefault="007E7576" w:rsidP="007E7576">
      <w:pPr>
        <w:spacing w:line="480" w:lineRule="auto"/>
        <w:ind w:firstLine="720"/>
        <w:contextualSpacing/>
        <w:jc w:val="both"/>
        <w:rPr>
          <w:rFonts w:eastAsia="Times New Roman" w:cs="Arial"/>
        </w:rPr>
      </w:pPr>
      <w:r w:rsidRPr="007E7576">
        <w:rPr>
          <w:rFonts w:eastAsia="Times New Roman" w:cs="Arial"/>
        </w:rPr>
        <w:lastRenderedPageBreak/>
        <w:t xml:space="preserve">Authorization of the PSR would also require all customers to pay for a </w:t>
      </w:r>
      <w:r>
        <w:rPr>
          <w:rFonts w:eastAsia="Times New Roman" w:cs="Arial"/>
        </w:rPr>
        <w:t>product that</w:t>
      </w:r>
      <w:r w:rsidRPr="007E7576">
        <w:rPr>
          <w:rFonts w:eastAsia="Times New Roman" w:cs="Arial"/>
        </w:rPr>
        <w:t xml:space="preserve"> they do not need</w:t>
      </w:r>
      <w:r w:rsidR="00DA66A5">
        <w:rPr>
          <w:rFonts w:eastAsia="Times New Roman" w:cs="Arial"/>
        </w:rPr>
        <w:t xml:space="preserve"> (and have repeatedly stated in this proceeding they do not want)</w:t>
      </w:r>
      <w:r w:rsidRPr="007E7576">
        <w:rPr>
          <w:rFonts w:eastAsia="Times New Roman" w:cs="Arial"/>
        </w:rPr>
        <w:t xml:space="preserve">.  Although the PSR is framed to address the volatility of wholesale energy prices, customers are not exposed to the volatility of the daily </w:t>
      </w:r>
      <w:r w:rsidR="000A6FFE">
        <w:rPr>
          <w:rFonts w:eastAsia="Times New Roman" w:cs="Arial"/>
        </w:rPr>
        <w:t xml:space="preserve">wholesale </w:t>
      </w:r>
      <w:r w:rsidRPr="007E7576">
        <w:rPr>
          <w:rFonts w:eastAsia="Times New Roman" w:cs="Arial"/>
        </w:rPr>
        <w:t>energy markets.</w:t>
      </w:r>
      <w:r w:rsidRPr="007E7576">
        <w:rPr>
          <w:rFonts w:eastAsia="Times New Roman" w:cs="Arial"/>
          <w:vertAlign w:val="superscript"/>
        </w:rPr>
        <w:footnoteReference w:id="57"/>
      </w:r>
      <w:r w:rsidRPr="007E7576">
        <w:rPr>
          <w:rFonts w:eastAsia="Times New Roman" w:cs="Arial"/>
        </w:rPr>
        <w:t xml:space="preserve">  </w:t>
      </w:r>
      <w:r w:rsidR="00DA66A5">
        <w:rPr>
          <w:rFonts w:eastAsia="Times New Roman" w:cs="Arial"/>
        </w:rPr>
        <w:t xml:space="preserve">Further, they can exercise choice and select the combination of terms and prices that best reflect their desire to fix prices during the term of the ESP.  </w:t>
      </w:r>
      <w:r w:rsidRPr="007E7576">
        <w:rPr>
          <w:rFonts w:eastAsia="Times New Roman" w:cs="Arial"/>
        </w:rPr>
        <w:t>For non-shopping customers, Duke will be providing generation service through a full requirements auction process that will ladder and stagger the auctions used to secure generation service.  The ladder</w:t>
      </w:r>
      <w:r w:rsidR="00750326">
        <w:rPr>
          <w:rFonts w:eastAsia="Times New Roman" w:cs="Arial"/>
        </w:rPr>
        <w:t>ing</w:t>
      </w:r>
      <w:r w:rsidRPr="007E7576">
        <w:rPr>
          <w:rFonts w:eastAsia="Times New Roman" w:cs="Arial"/>
        </w:rPr>
        <w:t xml:space="preserve"> and staggering will smooth the volatility of the forward </w:t>
      </w:r>
      <w:r w:rsidR="001A133E">
        <w:rPr>
          <w:rFonts w:eastAsia="Times New Roman" w:cs="Arial"/>
        </w:rPr>
        <w:t xml:space="preserve">retail </w:t>
      </w:r>
      <w:r w:rsidRPr="007E7576">
        <w:rPr>
          <w:rFonts w:eastAsia="Times New Roman" w:cs="Arial"/>
        </w:rPr>
        <w:t>generation prices resulting from the auctions.</w:t>
      </w:r>
      <w:r w:rsidRPr="007E7576">
        <w:rPr>
          <w:rFonts w:eastAsia="Times New Roman" w:cs="Arial"/>
          <w:vertAlign w:val="superscript"/>
        </w:rPr>
        <w:footnoteReference w:id="58"/>
      </w:r>
      <w:r w:rsidRPr="007E7576">
        <w:rPr>
          <w:rFonts w:eastAsia="Times New Roman" w:cs="Arial"/>
        </w:rPr>
        <w:t xml:space="preserve">  Alternatively, customers may secure generation service from </w:t>
      </w:r>
      <w:r w:rsidR="00C74B92">
        <w:rPr>
          <w:rFonts w:eastAsia="Times New Roman" w:cs="Arial"/>
        </w:rPr>
        <w:t>competitive</w:t>
      </w:r>
      <w:r w:rsidR="0010619F">
        <w:rPr>
          <w:rFonts w:eastAsia="Times New Roman" w:cs="Arial"/>
        </w:rPr>
        <w:t xml:space="preserve"> retail electric service ("</w:t>
      </w:r>
      <w:r w:rsidRPr="007E7576">
        <w:rPr>
          <w:rFonts w:eastAsia="Times New Roman" w:cs="Arial"/>
        </w:rPr>
        <w:t>CRES</w:t>
      </w:r>
      <w:r w:rsidR="0010619F">
        <w:rPr>
          <w:rFonts w:eastAsia="Times New Roman" w:cs="Arial"/>
        </w:rPr>
        <w:t>")</w:t>
      </w:r>
      <w:r w:rsidRPr="007E7576">
        <w:rPr>
          <w:rFonts w:eastAsia="Times New Roman" w:cs="Arial"/>
        </w:rPr>
        <w:t xml:space="preserve"> providers, many of which are offering service under long term fixed contracts.</w:t>
      </w:r>
      <w:r w:rsidRPr="007E7576">
        <w:rPr>
          <w:rFonts w:eastAsia="Times New Roman" w:cs="Arial"/>
          <w:vertAlign w:val="superscript"/>
        </w:rPr>
        <w:footnoteReference w:id="59"/>
      </w:r>
      <w:r w:rsidRPr="007E7576">
        <w:rPr>
          <w:rFonts w:eastAsia="Times New Roman" w:cs="Arial"/>
        </w:rPr>
        <w:t xml:space="preserve">  </w:t>
      </w:r>
      <w:r w:rsidR="00750326">
        <w:rPr>
          <w:rFonts w:eastAsia="Times New Roman" w:cs="Arial"/>
        </w:rPr>
        <w:t>As the Commission correctly found, customers have available to them products by which they can manage retail price changes.</w:t>
      </w:r>
      <w:r w:rsidR="00750326">
        <w:rPr>
          <w:rStyle w:val="FootnoteReference"/>
          <w:rFonts w:eastAsia="Times New Roman" w:cs="Arial"/>
        </w:rPr>
        <w:footnoteReference w:id="60"/>
      </w:r>
      <w:r w:rsidR="00750326">
        <w:rPr>
          <w:rFonts w:eastAsia="Times New Roman" w:cs="Arial"/>
        </w:rPr>
        <w:t xml:space="preserve">  They neither need nor want a PSR which will only serve to inject additional price volatility into their bills.</w:t>
      </w:r>
    </w:p>
    <w:p w:rsidR="007E7576" w:rsidRDefault="00CB5F5A" w:rsidP="007E7576">
      <w:pPr>
        <w:spacing w:line="480" w:lineRule="auto"/>
        <w:contextualSpacing/>
        <w:jc w:val="both"/>
        <w:rPr>
          <w:rFonts w:eastAsia="Times New Roman" w:cs="Arial"/>
        </w:rPr>
      </w:pPr>
      <w:r w:rsidRPr="00CB5F5A">
        <w:rPr>
          <w:rFonts w:eastAsia="Times New Roman" w:cs="Arial"/>
        </w:rPr>
        <w:tab/>
      </w:r>
      <w:r w:rsidR="007E7576">
        <w:rPr>
          <w:rFonts w:eastAsia="Times New Roman" w:cs="Arial"/>
        </w:rPr>
        <w:t>The finding</w:t>
      </w:r>
      <w:r w:rsidR="007E7576" w:rsidRPr="007E7576">
        <w:rPr>
          <w:rFonts w:eastAsia="Times New Roman" w:cs="Arial"/>
        </w:rPr>
        <w:t xml:space="preserve"> that the PSR will </w:t>
      </w:r>
      <w:r w:rsidR="007E7576">
        <w:rPr>
          <w:rFonts w:eastAsia="Times New Roman" w:cs="Arial"/>
        </w:rPr>
        <w:t>in theory produce rate stabilizing effects</w:t>
      </w:r>
      <w:r w:rsidR="007E7576" w:rsidRPr="007E7576">
        <w:rPr>
          <w:rFonts w:eastAsia="Times New Roman" w:cs="Arial"/>
        </w:rPr>
        <w:t xml:space="preserve"> also ignores that the PSR introduces a new risk for customers that does not exist currently.  Duke has not included the cost </w:t>
      </w:r>
      <w:r w:rsidR="000E36D4">
        <w:rPr>
          <w:rFonts w:eastAsia="Times New Roman" w:cs="Arial"/>
        </w:rPr>
        <w:t>it incurs for its interest in OVEC</w:t>
      </w:r>
      <w:r w:rsidR="007E7576" w:rsidRPr="007E7576">
        <w:rPr>
          <w:rFonts w:eastAsia="Times New Roman" w:cs="Arial"/>
        </w:rPr>
        <w:t xml:space="preserve"> in past SSO rates, but seeks to include </w:t>
      </w:r>
      <w:r w:rsidR="009F3891">
        <w:rPr>
          <w:rFonts w:eastAsia="Times New Roman" w:cs="Arial"/>
        </w:rPr>
        <w:t xml:space="preserve">above-market costs it cannot recover in the wholesale market for </w:t>
      </w:r>
      <w:r w:rsidR="009F3891">
        <w:rPr>
          <w:rFonts w:eastAsia="Times New Roman" w:cs="Arial"/>
        </w:rPr>
        <w:lastRenderedPageBreak/>
        <w:t>generation-related wholesale services</w:t>
      </w:r>
      <w:r w:rsidR="005F369C">
        <w:rPr>
          <w:rFonts w:eastAsia="Times New Roman" w:cs="Arial"/>
        </w:rPr>
        <w:t>,</w:t>
      </w:r>
      <w:r w:rsidR="007E7576" w:rsidRPr="007E7576">
        <w:rPr>
          <w:rFonts w:eastAsia="Times New Roman" w:cs="Arial"/>
          <w:vertAlign w:val="superscript"/>
        </w:rPr>
        <w:footnoteReference w:id="61"/>
      </w:r>
      <w:r w:rsidR="00762EAA">
        <w:rPr>
          <w:rFonts w:eastAsia="Times New Roman" w:cs="Arial"/>
        </w:rPr>
        <w:t xml:space="preserve"> </w:t>
      </w:r>
      <w:r w:rsidR="007E7576" w:rsidRPr="007E7576">
        <w:rPr>
          <w:rFonts w:eastAsia="Times New Roman" w:cs="Arial"/>
        </w:rPr>
        <w:t xml:space="preserve">even when those costs are far in excess of </w:t>
      </w:r>
      <w:r w:rsidR="009F3891">
        <w:rPr>
          <w:rFonts w:eastAsia="Times New Roman" w:cs="Arial"/>
        </w:rPr>
        <w:t>OVEC’s</w:t>
      </w:r>
      <w:r w:rsidR="009F3891" w:rsidRPr="007E7576">
        <w:rPr>
          <w:rFonts w:eastAsia="Times New Roman" w:cs="Arial"/>
        </w:rPr>
        <w:t xml:space="preserve"> </w:t>
      </w:r>
      <w:r w:rsidR="007E7576" w:rsidRPr="007E7576">
        <w:rPr>
          <w:rFonts w:eastAsia="Times New Roman" w:cs="Arial"/>
        </w:rPr>
        <w:t>estimates or when those costs are the result of mistakes OVEC has made.</w:t>
      </w:r>
      <w:r w:rsidR="007E7576" w:rsidRPr="007E7576">
        <w:rPr>
          <w:rFonts w:eastAsia="Times New Roman" w:cs="Arial"/>
          <w:vertAlign w:val="superscript"/>
        </w:rPr>
        <w:footnoteReference w:id="62"/>
      </w:r>
      <w:r w:rsidR="007E7576" w:rsidRPr="007E7576">
        <w:rPr>
          <w:rFonts w:eastAsia="Times New Roman" w:cs="Arial"/>
        </w:rPr>
        <w:t xml:space="preserve">  </w:t>
      </w:r>
    </w:p>
    <w:p w:rsidR="00CB5F5A" w:rsidRPr="00CB5F5A" w:rsidRDefault="007E7576" w:rsidP="007E7576">
      <w:pPr>
        <w:spacing w:line="480" w:lineRule="auto"/>
        <w:contextualSpacing/>
        <w:jc w:val="both"/>
        <w:rPr>
          <w:rFonts w:eastAsia="Times New Roman" w:cs="Arial"/>
        </w:rPr>
      </w:pPr>
      <w:r>
        <w:rPr>
          <w:rFonts w:eastAsia="Times New Roman" w:cs="Arial"/>
        </w:rPr>
        <w:tab/>
      </w:r>
      <w:r w:rsidR="00CB5F5A" w:rsidRPr="00CB5F5A">
        <w:rPr>
          <w:rFonts w:eastAsia="Times New Roman" w:cs="Arial"/>
        </w:rPr>
        <w:t>As the Court has admonished the Commission, “[r]uling on an issue without record support is an abuse of discretion and reversible error.”</w:t>
      </w:r>
      <w:r w:rsidR="00CB5F5A" w:rsidRPr="00CB5F5A">
        <w:rPr>
          <w:rFonts w:eastAsia="Times New Roman" w:cs="Arial"/>
          <w:vertAlign w:val="superscript"/>
        </w:rPr>
        <w:footnoteReference w:id="63"/>
      </w:r>
      <w:r w:rsidR="00CB5F5A" w:rsidRPr="00CB5F5A">
        <w:rPr>
          <w:rFonts w:eastAsia="Times New Roman" w:cs="Arial"/>
        </w:rPr>
        <w:t xml:space="preserve">  As the Commission explicitly determined, the </w:t>
      </w:r>
      <w:r w:rsidR="00CB5F5A">
        <w:rPr>
          <w:rFonts w:eastAsia="Times New Roman" w:cs="Arial"/>
        </w:rPr>
        <w:t>PSR</w:t>
      </w:r>
      <w:r w:rsidR="00CB5F5A" w:rsidRPr="00CB5F5A">
        <w:rPr>
          <w:rFonts w:eastAsia="Times New Roman" w:cs="Arial"/>
        </w:rPr>
        <w:t xml:space="preserve"> would not have the effect of stabilizing retail electric service.  Because the Commission authorized the </w:t>
      </w:r>
      <w:r w:rsidR="00CB5F5A">
        <w:rPr>
          <w:rFonts w:eastAsia="Times New Roman" w:cs="Arial"/>
        </w:rPr>
        <w:t>PSR</w:t>
      </w:r>
      <w:r w:rsidR="00CB5F5A" w:rsidRPr="00CB5F5A">
        <w:rPr>
          <w:rFonts w:eastAsia="Times New Roman" w:cs="Arial"/>
        </w:rPr>
        <w:t xml:space="preserve"> when the Commission’s own findings do </w:t>
      </w:r>
      <w:r w:rsidR="005E1A75">
        <w:rPr>
          <w:rFonts w:eastAsia="Times New Roman" w:cs="Arial"/>
        </w:rPr>
        <w:t xml:space="preserve">not </w:t>
      </w:r>
      <w:r w:rsidR="00CB5F5A" w:rsidRPr="00CB5F5A">
        <w:rPr>
          <w:rFonts w:eastAsia="Times New Roman" w:cs="Arial"/>
        </w:rPr>
        <w:t xml:space="preserve">support the conclusion that the rider will have the effect of stabilizing or providing certainty regarding retail electric service, the Commission erred.  Accordingly, it should grant rehearing and reverse its authorization to </w:t>
      </w:r>
      <w:r w:rsidR="00CB5F5A">
        <w:rPr>
          <w:rFonts w:eastAsia="Times New Roman" w:cs="Arial"/>
        </w:rPr>
        <w:t>Duke</w:t>
      </w:r>
      <w:r w:rsidR="00CB5F5A" w:rsidRPr="00CB5F5A">
        <w:rPr>
          <w:rFonts w:eastAsia="Times New Roman" w:cs="Arial"/>
        </w:rPr>
        <w:t xml:space="preserve"> to establish the </w:t>
      </w:r>
      <w:r w:rsidR="00CB5F5A">
        <w:rPr>
          <w:rFonts w:eastAsia="Times New Roman" w:cs="Arial"/>
        </w:rPr>
        <w:t>PSR</w:t>
      </w:r>
      <w:r w:rsidR="00CB5F5A" w:rsidRPr="00CB5F5A">
        <w:rPr>
          <w:rFonts w:eastAsia="Times New Roman" w:cs="Arial"/>
        </w:rPr>
        <w:t>.</w:t>
      </w:r>
    </w:p>
    <w:p w:rsidR="007428AC" w:rsidRPr="007428AC" w:rsidRDefault="007428AC" w:rsidP="007428AC">
      <w:pPr>
        <w:pStyle w:val="Heading3"/>
      </w:pPr>
      <w:bookmarkStart w:id="139" w:name="_Toc414363745"/>
      <w:bookmarkStart w:id="140" w:name="_Toc414363840"/>
      <w:bookmarkStart w:id="141" w:name="_Toc414366705"/>
      <w:bookmarkStart w:id="142" w:name="_Toc414366928"/>
      <w:bookmarkStart w:id="143" w:name="_Toc414367235"/>
      <w:bookmarkStart w:id="144" w:name="_Toc414368383"/>
      <w:bookmarkStart w:id="145" w:name="_Toc414370905"/>
      <w:bookmarkStart w:id="146" w:name="_Toc414371032"/>
      <w:bookmarkStart w:id="147" w:name="_Toc414371167"/>
      <w:bookmarkStart w:id="148" w:name="_Toc414371209"/>
      <w:bookmarkStart w:id="149" w:name="_Toc414371273"/>
      <w:bookmarkStart w:id="150" w:name="_Toc414371339"/>
      <w:bookmarkStart w:id="151" w:name="_Toc414371481"/>
      <w:bookmarkStart w:id="152" w:name="_Toc414372695"/>
      <w:bookmarkStart w:id="153" w:name="_Toc414373002"/>
      <w:bookmarkStart w:id="154" w:name="_Toc414373693"/>
      <w:bookmarkStart w:id="155" w:name="assign6"/>
      <w:bookmarkStart w:id="156" w:name="_Toc414877918"/>
      <w:bookmarkStart w:id="157" w:name="_Toc414973819"/>
      <w:bookmarkStart w:id="158" w:name="_Toc414973850"/>
      <w:bookmarkStart w:id="159" w:name="_Toc415223872"/>
      <w:bookmarkStart w:id="160" w:name="_Toc415225433"/>
      <w:bookmarkStart w:id="161" w:name="_Toc418495452"/>
      <w:r w:rsidRPr="007428AC">
        <w:t xml:space="preserve">The ESP Order is unlawful because the Commission authorized a placeholder rider, the </w:t>
      </w:r>
      <w:r w:rsidR="00C57B05">
        <w:t>PSR</w:t>
      </w:r>
      <w:r w:rsidRPr="007428AC">
        <w:t xml:space="preserve">, by which </w:t>
      </w:r>
      <w:r w:rsidR="00C57B05">
        <w:t>Duke</w:t>
      </w:r>
      <w:r w:rsidRPr="007428AC">
        <w:t xml:space="preserve"> may seek to recover anticompetitive subsidies flowing from noncompetitive retail electric services to competitive wholesale electric service</w:t>
      </w:r>
      <w:r w:rsidR="001A133E">
        <w:t>, or vice versa,</w:t>
      </w:r>
      <w:r w:rsidRPr="007428AC">
        <w:t xml:space="preserve"> in violation of R.C. 4928.02(H)</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7428AC" w:rsidRPr="007428AC" w:rsidRDefault="007428AC" w:rsidP="007428AC">
      <w:pPr>
        <w:numPr>
          <w:ilvl w:val="2"/>
          <w:numId w:val="1"/>
        </w:numPr>
        <w:spacing w:after="240"/>
        <w:jc w:val="both"/>
        <w:outlineLvl w:val="2"/>
        <w:rPr>
          <w:rFonts w:eastAsia="Times New Roman" w:cs="Arial"/>
          <w:b/>
          <w:bCs/>
          <w:szCs w:val="26"/>
        </w:rPr>
      </w:pPr>
      <w:bookmarkStart w:id="162" w:name="_Toc414094868"/>
      <w:bookmarkStart w:id="163" w:name="_Toc414363746"/>
      <w:bookmarkStart w:id="164" w:name="_Toc414363841"/>
      <w:bookmarkStart w:id="165" w:name="_Toc414366706"/>
      <w:bookmarkStart w:id="166" w:name="_Toc414366929"/>
      <w:bookmarkStart w:id="167" w:name="_Toc414367236"/>
      <w:bookmarkStart w:id="168" w:name="_Toc414368384"/>
      <w:bookmarkStart w:id="169" w:name="_Toc414370906"/>
      <w:bookmarkStart w:id="170" w:name="_Toc414371033"/>
      <w:bookmarkStart w:id="171" w:name="_Toc414371168"/>
      <w:bookmarkStart w:id="172" w:name="_Toc414371210"/>
      <w:bookmarkStart w:id="173" w:name="_Toc414371274"/>
      <w:bookmarkStart w:id="174" w:name="_Toc414371340"/>
      <w:bookmarkStart w:id="175" w:name="_Toc414371482"/>
      <w:bookmarkStart w:id="176" w:name="_Toc414372696"/>
      <w:bookmarkStart w:id="177" w:name="_Toc414373003"/>
      <w:bookmarkStart w:id="178" w:name="_Toc414373694"/>
      <w:bookmarkStart w:id="179" w:name="_Toc414877919"/>
      <w:bookmarkStart w:id="180" w:name="_Toc414973820"/>
      <w:bookmarkStart w:id="181" w:name="_Toc414973851"/>
      <w:bookmarkStart w:id="182" w:name="_Toc415223873"/>
      <w:bookmarkStart w:id="183" w:name="_Toc415225434"/>
      <w:bookmarkStart w:id="184" w:name="_Toc418495453"/>
      <w:bookmarkStart w:id="185" w:name="assign7"/>
      <w:r w:rsidRPr="007428AC">
        <w:rPr>
          <w:rFonts w:eastAsia="Times New Roman" w:cs="Arial"/>
          <w:b/>
          <w:bCs/>
          <w:szCs w:val="26"/>
        </w:rPr>
        <w:t xml:space="preserve">The ESP Order is unlawful and unreasonable because the Commission authorized a placeholder rider, the </w:t>
      </w:r>
      <w:r w:rsidR="00C57B05">
        <w:rPr>
          <w:rFonts w:eastAsia="Times New Roman" w:cs="Arial"/>
          <w:b/>
          <w:bCs/>
          <w:szCs w:val="26"/>
        </w:rPr>
        <w:t>PSR</w:t>
      </w:r>
      <w:r w:rsidRPr="007428AC">
        <w:rPr>
          <w:rFonts w:eastAsia="Times New Roman" w:cs="Arial"/>
          <w:b/>
          <w:bCs/>
          <w:szCs w:val="26"/>
        </w:rPr>
        <w:t xml:space="preserve">, by which </w:t>
      </w:r>
      <w:r w:rsidR="00C57B05">
        <w:rPr>
          <w:rFonts w:eastAsia="Times New Roman" w:cs="Arial"/>
          <w:b/>
          <w:bCs/>
          <w:szCs w:val="26"/>
        </w:rPr>
        <w:t>Duke</w:t>
      </w:r>
      <w:r w:rsidRPr="007428AC">
        <w:rPr>
          <w:rFonts w:eastAsia="Times New Roman" w:cs="Arial"/>
          <w:b/>
          <w:bCs/>
          <w:szCs w:val="26"/>
        </w:rPr>
        <w:t xml:space="preserve"> may seek to recover generation-related revenue through a distribution-like rate in violation of R.C. 4928.02(H)</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7428AC" w:rsidRPr="007428AC" w:rsidRDefault="007428AC" w:rsidP="007428AC">
      <w:pPr>
        <w:numPr>
          <w:ilvl w:val="2"/>
          <w:numId w:val="1"/>
        </w:numPr>
        <w:spacing w:after="240"/>
        <w:jc w:val="both"/>
        <w:outlineLvl w:val="2"/>
        <w:rPr>
          <w:rFonts w:eastAsia="Times New Roman" w:cs="Arial"/>
          <w:b/>
          <w:bCs/>
          <w:szCs w:val="26"/>
        </w:rPr>
      </w:pPr>
      <w:bookmarkStart w:id="186" w:name="_Toc414094869"/>
      <w:bookmarkStart w:id="187" w:name="_Toc414363747"/>
      <w:bookmarkStart w:id="188" w:name="_Toc414363842"/>
      <w:bookmarkStart w:id="189" w:name="_Toc414366707"/>
      <w:bookmarkStart w:id="190" w:name="_Toc414366930"/>
      <w:bookmarkStart w:id="191" w:name="_Toc414367237"/>
      <w:bookmarkStart w:id="192" w:name="_Toc414368385"/>
      <w:bookmarkStart w:id="193" w:name="_Toc414370907"/>
      <w:bookmarkStart w:id="194" w:name="_Toc414371034"/>
      <w:bookmarkStart w:id="195" w:name="_Toc414371169"/>
      <w:bookmarkStart w:id="196" w:name="_Toc414371211"/>
      <w:bookmarkStart w:id="197" w:name="_Toc414371275"/>
      <w:bookmarkStart w:id="198" w:name="_Toc414371341"/>
      <w:bookmarkStart w:id="199" w:name="_Toc414371483"/>
      <w:bookmarkStart w:id="200" w:name="_Toc414372697"/>
      <w:bookmarkStart w:id="201" w:name="_Toc414373004"/>
      <w:bookmarkStart w:id="202" w:name="_Toc414373695"/>
      <w:bookmarkStart w:id="203" w:name="assign8"/>
      <w:bookmarkStart w:id="204" w:name="_Toc414877920"/>
      <w:bookmarkStart w:id="205" w:name="_Toc414973821"/>
      <w:bookmarkStart w:id="206" w:name="_Toc414973852"/>
      <w:bookmarkStart w:id="207" w:name="_Toc415223874"/>
      <w:bookmarkStart w:id="208" w:name="_Toc415225435"/>
      <w:bookmarkStart w:id="209" w:name="_Toc418495454"/>
      <w:bookmarkEnd w:id="185"/>
      <w:r w:rsidRPr="007428AC">
        <w:rPr>
          <w:rFonts w:eastAsia="Times New Roman" w:cs="Arial"/>
          <w:b/>
          <w:bCs/>
          <w:szCs w:val="26"/>
        </w:rPr>
        <w:t xml:space="preserve">The ESP Order is unlawful and unreasonable because the Commission, by authorizing a placeholder rider, the </w:t>
      </w:r>
      <w:r w:rsidR="00C57B05">
        <w:rPr>
          <w:rFonts w:eastAsia="Times New Roman" w:cs="Arial"/>
          <w:b/>
          <w:bCs/>
          <w:szCs w:val="26"/>
        </w:rPr>
        <w:t>PSR</w:t>
      </w:r>
      <w:r w:rsidRPr="007428AC">
        <w:rPr>
          <w:rFonts w:eastAsia="Times New Roman" w:cs="Arial"/>
          <w:b/>
          <w:bCs/>
          <w:szCs w:val="26"/>
        </w:rPr>
        <w:t xml:space="preserve">, by which </w:t>
      </w:r>
      <w:r w:rsidR="00C57B05">
        <w:rPr>
          <w:rFonts w:eastAsia="Times New Roman" w:cs="Arial"/>
          <w:b/>
          <w:bCs/>
          <w:szCs w:val="26"/>
        </w:rPr>
        <w:t>Duke</w:t>
      </w:r>
      <w:r w:rsidRPr="007428AC">
        <w:rPr>
          <w:rFonts w:eastAsia="Times New Roman" w:cs="Arial"/>
          <w:b/>
          <w:bCs/>
          <w:szCs w:val="26"/>
        </w:rPr>
        <w:t xml:space="preserve"> may seek to recover generation-related revenue through a distribution-like rider, failed to respect its own prior decision denying authorization of the recovery of generation-related costs th</w:t>
      </w:r>
      <w:r w:rsidR="009E4A78">
        <w:rPr>
          <w:rFonts w:eastAsia="Times New Roman" w:cs="Arial"/>
          <w:b/>
          <w:bCs/>
          <w:szCs w:val="26"/>
        </w:rPr>
        <w:t>rough a distribution-like rider and</w:t>
      </w:r>
      <w:r w:rsidRPr="007428AC">
        <w:rPr>
          <w:rFonts w:eastAsia="Times New Roman" w:cs="Arial"/>
          <w:b/>
          <w:bCs/>
          <w:szCs w:val="26"/>
        </w:rPr>
        <w:t xml:space="preserve"> failed to adequately explain why it was departing from its prior decision, and the new course is not lawful or reasonable</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7428AC" w:rsidRPr="007428AC" w:rsidRDefault="007428AC" w:rsidP="007428AC">
      <w:pPr>
        <w:spacing w:line="480" w:lineRule="auto"/>
        <w:ind w:firstLine="720"/>
        <w:jc w:val="both"/>
        <w:rPr>
          <w:rFonts w:eastAsia="Calibri" w:cs="Times New Roman"/>
        </w:rPr>
      </w:pPr>
      <w:r w:rsidRPr="007428AC">
        <w:rPr>
          <w:rFonts w:eastAsia="Calibri" w:cs="Times New Roman"/>
        </w:rPr>
        <w:lastRenderedPageBreak/>
        <w:t xml:space="preserve">R.C. 4928.02(H) states the state policy to ensure effective competition in the provision of retail electric service.  The first clause of the division provides that it is the policy of the State to ensure effective competition in the provision of retail electric service by avoiding anticompetitive subsidies flowing from a noncompetitive retail electric service to a </w:t>
      </w:r>
      <w:r w:rsidR="00C74B92">
        <w:rPr>
          <w:rFonts w:eastAsia="Calibri" w:cs="Times New Roman"/>
        </w:rPr>
        <w:t>CRES</w:t>
      </w:r>
      <w:r w:rsidRPr="007428AC">
        <w:rPr>
          <w:rFonts w:eastAsia="Calibri" w:cs="Times New Roman"/>
        </w:rPr>
        <w:t xml:space="preserve"> or a product or service other than retail electric service or vice versa.  The second clause prohibits the recovery of any generation-related costs through distribution or transmission rates.</w:t>
      </w:r>
      <w:r w:rsidRPr="007428AC">
        <w:rPr>
          <w:rFonts w:eastAsia="Calibri" w:cs="Times New Roman"/>
          <w:vertAlign w:val="superscript"/>
        </w:rPr>
        <w:footnoteReference w:id="64"/>
      </w:r>
      <w:r w:rsidRPr="007428AC">
        <w:rPr>
          <w:rFonts w:eastAsia="Calibri" w:cs="Times New Roman"/>
        </w:rPr>
        <w:t xml:space="preserve">  </w:t>
      </w:r>
      <w:r>
        <w:rPr>
          <w:rFonts w:eastAsia="Calibri" w:cs="Times New Roman"/>
        </w:rPr>
        <w:t xml:space="preserve">In its Initial Brief, </w:t>
      </w:r>
      <w:r w:rsidR="000E36D4">
        <w:rPr>
          <w:rFonts w:eastAsia="Calibri" w:cs="Times New Roman"/>
        </w:rPr>
        <w:t>I</w:t>
      </w:r>
      <w:r w:rsidRPr="007428AC">
        <w:rPr>
          <w:rFonts w:eastAsia="Calibri" w:cs="Times New Roman"/>
        </w:rPr>
        <w:t xml:space="preserve">EU-Ohio argued that the </w:t>
      </w:r>
      <w:r>
        <w:rPr>
          <w:rFonts w:eastAsia="Calibri" w:cs="Times New Roman"/>
        </w:rPr>
        <w:t>PSR</w:t>
      </w:r>
      <w:r w:rsidRPr="007428AC">
        <w:rPr>
          <w:rFonts w:eastAsia="Calibri" w:cs="Times New Roman"/>
        </w:rPr>
        <w:t xml:space="preserve"> would also violate both clauses.</w:t>
      </w:r>
      <w:r>
        <w:rPr>
          <w:rStyle w:val="FootnoteReference"/>
          <w:rFonts w:eastAsia="Calibri" w:cs="Times New Roman"/>
        </w:rPr>
        <w:footnoteReference w:id="65"/>
      </w:r>
      <w:r w:rsidRPr="007428AC">
        <w:rPr>
          <w:rFonts w:eastAsia="Calibri" w:cs="Times New Roman"/>
        </w:rPr>
        <w:t xml:space="preserve">  In support of the claim that the rider would violate R.C. 4928.02(H), IEU-Ohio relied upon the Commission’s prior refusal to allow AEP-Ohio to recover generation-related closure costs through a nonbypassable rider in the </w:t>
      </w:r>
      <w:r w:rsidRPr="007428AC">
        <w:rPr>
          <w:rFonts w:eastAsia="Calibri" w:cs="Times New Roman"/>
          <w:i/>
        </w:rPr>
        <w:t>Sporn</w:t>
      </w:r>
      <w:r w:rsidRPr="007428AC">
        <w:rPr>
          <w:rFonts w:eastAsia="Calibri" w:cs="Times New Roman"/>
        </w:rPr>
        <w:t xml:space="preserve"> case.</w:t>
      </w:r>
      <w:r w:rsidRPr="007428AC">
        <w:rPr>
          <w:rFonts w:eastAsia="Calibri" w:cs="Times New Roman"/>
          <w:vertAlign w:val="superscript"/>
        </w:rPr>
        <w:footnoteReference w:id="66"/>
      </w:r>
      <w:r w:rsidRPr="007428AC">
        <w:rPr>
          <w:rFonts w:eastAsia="Calibri" w:cs="Times New Roman"/>
        </w:rPr>
        <w:t xml:space="preserve">  In response to arguments that the </w:t>
      </w:r>
      <w:r w:rsidR="007861C9">
        <w:rPr>
          <w:rFonts w:eastAsia="Calibri" w:cs="Times New Roman"/>
        </w:rPr>
        <w:t>PSR</w:t>
      </w:r>
      <w:r w:rsidRPr="007428AC">
        <w:rPr>
          <w:rFonts w:eastAsia="Calibri" w:cs="Times New Roman"/>
        </w:rPr>
        <w:t xml:space="preserve"> could not be authorized because it would violate both clauses of R.C. 4928.02(H), the Commission determined that authorization of the </w:t>
      </w:r>
      <w:r w:rsidR="007861C9">
        <w:rPr>
          <w:rFonts w:eastAsia="Calibri" w:cs="Times New Roman"/>
        </w:rPr>
        <w:t>PSR</w:t>
      </w:r>
      <w:r w:rsidRPr="007428AC">
        <w:rPr>
          <w:rFonts w:eastAsia="Calibri" w:cs="Times New Roman"/>
        </w:rPr>
        <w:t xml:space="preserve"> does not violate that division because it is a “generation rate.”</w:t>
      </w:r>
      <w:r w:rsidRPr="007428AC">
        <w:rPr>
          <w:rFonts w:eastAsia="Calibri" w:cs="Times New Roman"/>
          <w:vertAlign w:val="superscript"/>
        </w:rPr>
        <w:footnoteReference w:id="67"/>
      </w:r>
      <w:r w:rsidRPr="007428AC">
        <w:rPr>
          <w:rFonts w:eastAsia="Calibri" w:cs="Times New Roman"/>
        </w:rPr>
        <w:t xml:space="preserve">  It also </w:t>
      </w:r>
      <w:r w:rsidR="00AD0D77">
        <w:rPr>
          <w:rFonts w:eastAsia="Calibri" w:cs="Times New Roman"/>
        </w:rPr>
        <w:t>did not</w:t>
      </w:r>
      <w:r w:rsidRPr="007428AC">
        <w:rPr>
          <w:rFonts w:eastAsia="Calibri" w:cs="Times New Roman"/>
        </w:rPr>
        <w:t xml:space="preserve"> apply its prior holding in </w:t>
      </w:r>
      <w:r w:rsidRPr="007428AC">
        <w:rPr>
          <w:rFonts w:eastAsia="Calibri" w:cs="Times New Roman"/>
          <w:i/>
        </w:rPr>
        <w:t>Sporn</w:t>
      </w:r>
      <w:r w:rsidRPr="007428AC">
        <w:rPr>
          <w:rFonts w:eastAsia="Calibri" w:cs="Times New Roman"/>
        </w:rPr>
        <w:t xml:space="preserve"> to deny the authorization of the </w:t>
      </w:r>
      <w:r w:rsidR="007861C9">
        <w:rPr>
          <w:rFonts w:eastAsia="Calibri" w:cs="Times New Roman"/>
        </w:rPr>
        <w:t>PSR</w:t>
      </w:r>
      <w:r w:rsidRPr="007428AC">
        <w:rPr>
          <w:rFonts w:eastAsia="Calibri" w:cs="Times New Roman"/>
        </w:rPr>
        <w:t>.</w:t>
      </w:r>
      <w:r w:rsidRPr="007428AC">
        <w:rPr>
          <w:rFonts w:eastAsia="Calibri" w:cs="Times New Roman"/>
          <w:vertAlign w:val="superscript"/>
        </w:rPr>
        <w:footnoteReference w:id="68"/>
      </w:r>
      <w:r w:rsidRPr="007428AC">
        <w:rPr>
          <w:rFonts w:eastAsia="Calibri" w:cs="Times New Roman"/>
        </w:rPr>
        <w:t xml:space="preserve">  The Commission’s decision that the authorization of the </w:t>
      </w:r>
      <w:r w:rsidR="007861C9">
        <w:rPr>
          <w:rFonts w:eastAsia="Calibri" w:cs="Times New Roman"/>
        </w:rPr>
        <w:t>PSR</w:t>
      </w:r>
      <w:r w:rsidRPr="007428AC">
        <w:rPr>
          <w:rFonts w:eastAsia="Calibri" w:cs="Times New Roman"/>
        </w:rPr>
        <w:t xml:space="preserve"> does not violate R.C. 4928.02(H) is unlawful for several reasons.</w:t>
      </w:r>
    </w:p>
    <w:p w:rsidR="007428AC" w:rsidRPr="007428AC" w:rsidRDefault="007861C9" w:rsidP="007428AC">
      <w:pPr>
        <w:spacing w:line="480" w:lineRule="auto"/>
        <w:ind w:firstLine="720"/>
        <w:jc w:val="both"/>
        <w:rPr>
          <w:rFonts w:eastAsia="Calibri" w:cs="Times New Roman"/>
        </w:rPr>
      </w:pPr>
      <w:r>
        <w:rPr>
          <w:rFonts w:eastAsia="Calibri" w:cs="Times New Roman"/>
        </w:rPr>
        <w:t>As IEU-Ohio demonstrated in its brief</w:t>
      </w:r>
      <w:r w:rsidR="007428AC" w:rsidRPr="007428AC">
        <w:rPr>
          <w:rFonts w:eastAsia="Calibri" w:cs="Times New Roman"/>
        </w:rPr>
        <w:t xml:space="preserve">, authorization of the </w:t>
      </w:r>
      <w:r>
        <w:rPr>
          <w:rFonts w:eastAsia="Calibri" w:cs="Times New Roman"/>
        </w:rPr>
        <w:t>PSR</w:t>
      </w:r>
      <w:r w:rsidR="007428AC" w:rsidRPr="007428AC">
        <w:rPr>
          <w:rFonts w:eastAsia="Calibri" w:cs="Times New Roman"/>
        </w:rPr>
        <w:t xml:space="preserve"> will result in an anticompetitive subsidy to or from a noncompetitive retail electric service from or to a </w:t>
      </w:r>
      <w:r w:rsidR="007428AC" w:rsidRPr="007428AC">
        <w:rPr>
          <w:rFonts w:eastAsia="Calibri" w:cs="Times New Roman"/>
        </w:rPr>
        <w:lastRenderedPageBreak/>
        <w:t xml:space="preserve">service other than retail electric service.  As approved, the </w:t>
      </w:r>
      <w:r>
        <w:rPr>
          <w:rFonts w:eastAsia="Calibri" w:cs="Times New Roman"/>
        </w:rPr>
        <w:t>rider</w:t>
      </w:r>
      <w:r w:rsidR="007428AC" w:rsidRPr="007428AC">
        <w:rPr>
          <w:rFonts w:eastAsia="Calibri" w:cs="Times New Roman"/>
        </w:rPr>
        <w:t xml:space="preserve"> would require all retail distribution customers to incur a charge or credit designed to collect the difference of </w:t>
      </w:r>
      <w:r>
        <w:rPr>
          <w:rFonts w:eastAsia="Calibri" w:cs="Times New Roman"/>
        </w:rPr>
        <w:t>Duke’s</w:t>
      </w:r>
      <w:r w:rsidR="007428AC" w:rsidRPr="007428AC">
        <w:rPr>
          <w:rFonts w:eastAsia="Calibri" w:cs="Times New Roman"/>
        </w:rPr>
        <w:t xml:space="preserve"> costs and wholesale revenue </w:t>
      </w:r>
      <w:r w:rsidR="000E36D4">
        <w:rPr>
          <w:rFonts w:eastAsia="Calibri" w:cs="Times New Roman"/>
        </w:rPr>
        <w:t>for a generation-related service if the Commission approves a future filing</w:t>
      </w:r>
      <w:r w:rsidR="007428AC" w:rsidRPr="007428AC">
        <w:rPr>
          <w:rFonts w:eastAsia="Calibri" w:cs="Times New Roman"/>
        </w:rPr>
        <w:t xml:space="preserve">.  When the difference is a charge, </w:t>
      </w:r>
      <w:r>
        <w:rPr>
          <w:rFonts w:eastAsia="Calibri" w:cs="Times New Roman"/>
        </w:rPr>
        <w:t>Duke</w:t>
      </w:r>
      <w:r w:rsidR="007428AC" w:rsidRPr="007428AC">
        <w:rPr>
          <w:rFonts w:eastAsia="Calibri" w:cs="Times New Roman"/>
        </w:rPr>
        <w:t xml:space="preserve"> would recover the </w:t>
      </w:r>
      <w:r w:rsidR="000E36D4">
        <w:rPr>
          <w:rFonts w:eastAsia="Calibri" w:cs="Times New Roman"/>
        </w:rPr>
        <w:t xml:space="preserve">above-market wholesale </w:t>
      </w:r>
      <w:r w:rsidR="007428AC" w:rsidRPr="007428AC">
        <w:rPr>
          <w:rFonts w:eastAsia="Calibri" w:cs="Times New Roman"/>
        </w:rPr>
        <w:t xml:space="preserve">costs that exceed the market prices for the </w:t>
      </w:r>
      <w:r w:rsidR="000E36D4">
        <w:rPr>
          <w:rFonts w:eastAsia="Calibri" w:cs="Times New Roman"/>
        </w:rPr>
        <w:t>generation</w:t>
      </w:r>
      <w:r w:rsidR="007428AC" w:rsidRPr="007428AC">
        <w:rPr>
          <w:rFonts w:eastAsia="Calibri" w:cs="Times New Roman"/>
        </w:rPr>
        <w:t xml:space="preserve">, a subsidy to </w:t>
      </w:r>
      <w:r>
        <w:rPr>
          <w:rFonts w:eastAsia="Calibri" w:cs="Times New Roman"/>
        </w:rPr>
        <w:t>Duke</w:t>
      </w:r>
      <w:r w:rsidR="007428AC" w:rsidRPr="007428AC">
        <w:rPr>
          <w:rFonts w:eastAsia="Calibri" w:cs="Times New Roman"/>
        </w:rPr>
        <w:t xml:space="preserve">.  When the difference is a credit (as unlikely as that may be), retail customers would receive a subsidy of any wholesale revenue that exceeds </w:t>
      </w:r>
      <w:r>
        <w:rPr>
          <w:rFonts w:eastAsia="Calibri" w:cs="Times New Roman"/>
        </w:rPr>
        <w:t xml:space="preserve">Duke’s costs.  </w:t>
      </w:r>
      <w:r w:rsidR="007428AC" w:rsidRPr="007428AC">
        <w:rPr>
          <w:rFonts w:eastAsia="Calibri" w:cs="Times New Roman"/>
        </w:rPr>
        <w:t xml:space="preserve">In either case, the result runs afoul of Ohio’s pro-competitive policies and the </w:t>
      </w:r>
      <w:r>
        <w:rPr>
          <w:rFonts w:eastAsia="Calibri" w:cs="Times New Roman"/>
        </w:rPr>
        <w:t>law</w:t>
      </w:r>
      <w:r w:rsidR="000E36D4">
        <w:rPr>
          <w:rFonts w:eastAsia="Calibri" w:cs="Times New Roman"/>
        </w:rPr>
        <w:t xml:space="preserve"> stated in the first clause of R.C. 4928.02(H)</w:t>
      </w:r>
      <w:r>
        <w:rPr>
          <w:rFonts w:eastAsia="Calibri" w:cs="Times New Roman"/>
        </w:rPr>
        <w:t>.</w:t>
      </w:r>
    </w:p>
    <w:p w:rsidR="007428AC" w:rsidRPr="007428AC" w:rsidRDefault="007428AC" w:rsidP="007428AC">
      <w:pPr>
        <w:spacing w:line="480" w:lineRule="auto"/>
        <w:ind w:firstLine="720"/>
        <w:jc w:val="both"/>
        <w:rPr>
          <w:rFonts w:eastAsia="Calibri" w:cs="Times New Roman"/>
        </w:rPr>
      </w:pPr>
      <w:r w:rsidRPr="007428AC">
        <w:rPr>
          <w:rFonts w:eastAsia="Calibri" w:cs="Times New Roman"/>
        </w:rPr>
        <w:t xml:space="preserve">The authorization of the </w:t>
      </w:r>
      <w:r w:rsidR="007861C9">
        <w:rPr>
          <w:rFonts w:eastAsia="Calibri" w:cs="Times New Roman"/>
        </w:rPr>
        <w:t>PSR</w:t>
      </w:r>
      <w:r w:rsidRPr="007428AC">
        <w:rPr>
          <w:rFonts w:eastAsia="Calibri" w:cs="Times New Roman"/>
        </w:rPr>
        <w:t xml:space="preserve"> also violates the purpose of the second clause of R.C. 4928.02(H).  Although the Commission has characterized the rider as a “generation </w:t>
      </w:r>
      <w:r w:rsidR="00B71771">
        <w:rPr>
          <w:rFonts w:eastAsia="Calibri" w:cs="Times New Roman"/>
        </w:rPr>
        <w:t>rate</w:t>
      </w:r>
      <w:r w:rsidRPr="007428AC">
        <w:rPr>
          <w:rFonts w:eastAsia="Calibri" w:cs="Times New Roman"/>
        </w:rPr>
        <w:t>,”</w:t>
      </w:r>
      <w:r w:rsidR="00B71771">
        <w:rPr>
          <w:rStyle w:val="FootnoteReference"/>
          <w:rFonts w:eastAsia="Calibri" w:cs="Times New Roman"/>
        </w:rPr>
        <w:footnoteReference w:id="69"/>
      </w:r>
      <w:r w:rsidRPr="007428AC">
        <w:rPr>
          <w:rFonts w:eastAsia="Calibri" w:cs="Times New Roman"/>
        </w:rPr>
        <w:t xml:space="preserve"> it also authorized the charge to be nonbypassable.  </w:t>
      </w:r>
      <w:r w:rsidR="00E86989">
        <w:rPr>
          <w:rFonts w:eastAsia="Calibri" w:cs="Times New Roman"/>
        </w:rPr>
        <w:t>Because the charge is unavoidable, it</w:t>
      </w:r>
      <w:r w:rsidRPr="007428AC">
        <w:rPr>
          <w:rFonts w:eastAsia="Calibri" w:cs="Times New Roman"/>
        </w:rPr>
        <w:t xml:space="preserve"> operates in exactly the same manner as a distribution charge</w:t>
      </w:r>
      <w:r w:rsidR="00E86989">
        <w:rPr>
          <w:rFonts w:eastAsia="Calibri" w:cs="Times New Roman"/>
        </w:rPr>
        <w:t>: all distribution customers of Duke would be required to pay the charge</w:t>
      </w:r>
      <w:r w:rsidRPr="007428AC">
        <w:rPr>
          <w:rFonts w:eastAsia="Calibri" w:cs="Times New Roman"/>
        </w:rPr>
        <w:t xml:space="preserve">.  Thus, </w:t>
      </w:r>
      <w:r w:rsidR="00E93880">
        <w:rPr>
          <w:rFonts w:eastAsia="Calibri" w:cs="Times New Roman"/>
        </w:rPr>
        <w:t xml:space="preserve">the Commission erred because </w:t>
      </w:r>
      <w:r w:rsidRPr="007428AC">
        <w:rPr>
          <w:rFonts w:eastAsia="Calibri" w:cs="Times New Roman"/>
        </w:rPr>
        <w:t xml:space="preserve">the authorization of the </w:t>
      </w:r>
      <w:r w:rsidR="007861C9">
        <w:rPr>
          <w:rFonts w:eastAsia="Calibri" w:cs="Times New Roman"/>
        </w:rPr>
        <w:t>PSR</w:t>
      </w:r>
      <w:r w:rsidRPr="007428AC">
        <w:rPr>
          <w:rFonts w:eastAsia="Calibri" w:cs="Times New Roman"/>
        </w:rPr>
        <w:t xml:space="preserve"> violates the second clause as well as the first.</w:t>
      </w:r>
    </w:p>
    <w:p w:rsidR="00E86989" w:rsidRDefault="007428AC" w:rsidP="007428AC">
      <w:pPr>
        <w:spacing w:line="480" w:lineRule="auto"/>
        <w:ind w:firstLine="720"/>
        <w:jc w:val="both"/>
        <w:rPr>
          <w:rFonts w:eastAsia="Calibri" w:cs="Times New Roman"/>
        </w:rPr>
      </w:pPr>
      <w:r w:rsidRPr="007428AC">
        <w:rPr>
          <w:rFonts w:eastAsia="Calibri" w:cs="Times New Roman"/>
        </w:rPr>
        <w:t xml:space="preserve">The Commission also erred when it did not apply its prior decision in the </w:t>
      </w:r>
      <w:r w:rsidRPr="007428AC">
        <w:rPr>
          <w:rFonts w:eastAsia="Calibri" w:cs="Times New Roman"/>
          <w:i/>
        </w:rPr>
        <w:t>Sporn</w:t>
      </w:r>
      <w:r w:rsidRPr="007428AC">
        <w:rPr>
          <w:rFonts w:eastAsia="Calibri" w:cs="Times New Roman"/>
        </w:rPr>
        <w:t xml:space="preserve"> case to deny authorization of recovery of generation-related costs through a nonbypassable rider</w:t>
      </w:r>
      <w:r w:rsidR="00E86989">
        <w:rPr>
          <w:rFonts w:eastAsia="Calibri" w:cs="Times New Roman"/>
        </w:rPr>
        <w:t xml:space="preserve"> because</w:t>
      </w:r>
      <w:r w:rsidR="00D37D38" w:rsidRPr="00D37D38">
        <w:rPr>
          <w:rFonts w:eastAsia="Calibri" w:cs="Times New Roman"/>
        </w:rPr>
        <w:t xml:space="preserve"> the Commission </w:t>
      </w:r>
      <w:r w:rsidR="00EF38D9">
        <w:rPr>
          <w:rFonts w:eastAsia="Calibri" w:cs="Times New Roman"/>
        </w:rPr>
        <w:t>failed to</w:t>
      </w:r>
      <w:r w:rsidR="00EF38D9" w:rsidRPr="00D37D38">
        <w:rPr>
          <w:rFonts w:eastAsia="Calibri" w:cs="Times New Roman"/>
        </w:rPr>
        <w:t xml:space="preserve"> </w:t>
      </w:r>
      <w:r w:rsidR="00D37D38" w:rsidRPr="00D37D38">
        <w:rPr>
          <w:rFonts w:eastAsia="Calibri" w:cs="Times New Roman"/>
        </w:rPr>
        <w:t xml:space="preserve">"respect its own precedents in its decisions to assure the predictability which is essential in all areas of the law, </w:t>
      </w:r>
      <w:r w:rsidR="00D37D38" w:rsidRPr="00D37D38">
        <w:rPr>
          <w:rFonts w:eastAsia="Calibri" w:cs="Times New Roman"/>
        </w:rPr>
        <w:lastRenderedPageBreak/>
        <w:t>including administrative law"</w:t>
      </w:r>
      <w:r w:rsidR="00D37D38" w:rsidRPr="00D37D38">
        <w:rPr>
          <w:rFonts w:eastAsia="Calibri" w:cs="Times New Roman"/>
          <w:vertAlign w:val="superscript"/>
        </w:rPr>
        <w:footnoteReference w:id="70"/>
      </w:r>
      <w:r w:rsidR="00D37D38" w:rsidRPr="00D37D38">
        <w:rPr>
          <w:rFonts w:eastAsia="Calibri" w:cs="Times New Roman"/>
        </w:rPr>
        <w:t xml:space="preserve"> </w:t>
      </w:r>
      <w:r w:rsidR="00EF38D9">
        <w:rPr>
          <w:rFonts w:eastAsia="Calibri" w:cs="Times New Roman"/>
        </w:rPr>
        <w:t>or</w:t>
      </w:r>
      <w:r w:rsidR="00D37D38" w:rsidRPr="00D37D38">
        <w:rPr>
          <w:rFonts w:eastAsia="Calibri" w:cs="Times New Roman"/>
        </w:rPr>
        <w:t xml:space="preserve"> demonstrate that the new course is substantively reasonable and lawful.</w:t>
      </w:r>
      <w:r w:rsidR="00D37D38" w:rsidRPr="00D37D38">
        <w:rPr>
          <w:rFonts w:eastAsia="Calibri" w:cs="Times New Roman"/>
          <w:vertAlign w:val="superscript"/>
        </w:rPr>
        <w:footnoteReference w:id="71"/>
      </w:r>
      <w:r w:rsidR="00D37D38" w:rsidRPr="00D37D38">
        <w:rPr>
          <w:rFonts w:eastAsia="Calibri" w:cs="Times New Roman"/>
        </w:rPr>
        <w:t xml:space="preserve">  </w:t>
      </w:r>
    </w:p>
    <w:p w:rsidR="007861C9" w:rsidRPr="00E86989" w:rsidRDefault="00E86989" w:rsidP="00E86989">
      <w:pPr>
        <w:spacing w:line="480" w:lineRule="auto"/>
        <w:ind w:firstLine="720"/>
        <w:jc w:val="both"/>
        <w:rPr>
          <w:rFonts w:eastAsia="Calibri" w:cs="Times New Roman"/>
        </w:rPr>
      </w:pPr>
      <w:r>
        <w:rPr>
          <w:rFonts w:eastAsia="Calibri" w:cs="Times New Roman"/>
        </w:rPr>
        <w:t xml:space="preserve">In this instance, “respect for its own precedent” </w:t>
      </w:r>
      <w:r w:rsidR="00D37D38">
        <w:rPr>
          <w:rFonts w:eastAsia="Calibri" w:cs="Times New Roman"/>
        </w:rPr>
        <w:t>require</w:t>
      </w:r>
      <w:r>
        <w:rPr>
          <w:rFonts w:eastAsia="Calibri" w:cs="Times New Roman"/>
        </w:rPr>
        <w:t>s</w:t>
      </w:r>
      <w:r w:rsidR="00D37D38">
        <w:rPr>
          <w:rFonts w:eastAsia="Calibri" w:cs="Times New Roman"/>
        </w:rPr>
        <w:t xml:space="preserve"> </w:t>
      </w:r>
      <w:r>
        <w:rPr>
          <w:rFonts w:eastAsia="Calibri" w:cs="Times New Roman"/>
        </w:rPr>
        <w:t>a Commission finding</w:t>
      </w:r>
      <w:r w:rsidR="00D37D38">
        <w:rPr>
          <w:rFonts w:eastAsia="Calibri" w:cs="Times New Roman"/>
        </w:rPr>
        <w:t xml:space="preserve"> that the PSR cannot be lawfully authorized under R.C. 4928.02(H)</w:t>
      </w:r>
      <w:r w:rsidR="00D37D38" w:rsidRPr="00D37D38">
        <w:rPr>
          <w:rFonts w:eastAsia="Calibri" w:cs="Times New Roman"/>
        </w:rPr>
        <w:t xml:space="preserve">.  </w:t>
      </w:r>
      <w:r w:rsidR="00D37D38">
        <w:rPr>
          <w:rFonts w:eastAsia="Calibri" w:cs="Times New Roman"/>
        </w:rPr>
        <w:t xml:space="preserve">In </w:t>
      </w:r>
      <w:r w:rsidR="00D37D38" w:rsidRPr="00D37D38">
        <w:rPr>
          <w:rFonts w:eastAsia="Calibri" w:cs="Times New Roman"/>
          <w:i/>
        </w:rPr>
        <w:t>Sporn</w:t>
      </w:r>
      <w:r w:rsidR="00D37D38">
        <w:rPr>
          <w:rFonts w:eastAsia="Calibri" w:cs="Times New Roman"/>
        </w:rPr>
        <w:t xml:space="preserve">, </w:t>
      </w:r>
      <w:r w:rsidR="007861C9" w:rsidRPr="007861C9">
        <w:t>AEP-Ohio sought a nonbypassable charge</w:t>
      </w:r>
      <w:r w:rsidR="00D37D38">
        <w:t xml:space="preserve"> to collect plant closure costs</w:t>
      </w:r>
      <w:r w:rsidR="007861C9" w:rsidRPr="007861C9">
        <w:t>.</w:t>
      </w:r>
      <w:r w:rsidR="007861C9" w:rsidRPr="007861C9">
        <w:rPr>
          <w:vertAlign w:val="superscript"/>
        </w:rPr>
        <w:footnoteReference w:id="72"/>
      </w:r>
      <w:r w:rsidR="007861C9" w:rsidRPr="007861C9">
        <w:t xml:space="preserve">  </w:t>
      </w:r>
      <w:r w:rsidR="00D37D38">
        <w:t>In</w:t>
      </w:r>
      <w:r w:rsidR="007861C9" w:rsidRPr="007861C9">
        <w:t xml:space="preserve"> </w:t>
      </w:r>
      <w:r>
        <w:t xml:space="preserve">the </w:t>
      </w:r>
      <w:r w:rsidR="007861C9" w:rsidRPr="007861C9">
        <w:t xml:space="preserve">Finding and Order </w:t>
      </w:r>
      <w:r w:rsidR="00D37D38">
        <w:t>dismissing</w:t>
      </w:r>
      <w:r w:rsidR="007861C9" w:rsidRPr="007861C9">
        <w:t xml:space="preserve"> the application, the Commission concluded that no provision of R.C. 4928.143 authorized a rider to recover the plant closure costs and held that “[a]pproval of such a charge would effectively allow [AEP-Ohio] to recover competitive, generation-related costs through its noncompetitive, distribution rates, in contravention of [R.C. 4928.02(H)].”</w:t>
      </w:r>
      <w:r w:rsidR="007861C9" w:rsidRPr="007861C9">
        <w:rPr>
          <w:vertAlign w:val="superscript"/>
        </w:rPr>
        <w:footnoteReference w:id="73"/>
      </w:r>
      <w:r w:rsidR="007861C9" w:rsidRPr="007861C9">
        <w:t xml:space="preserve">  </w:t>
      </w:r>
      <w:r w:rsidR="00D37D38">
        <w:rPr>
          <w:rFonts w:eastAsia="Calibri" w:cs="Times New Roman"/>
        </w:rPr>
        <w:t>T</w:t>
      </w:r>
      <w:r w:rsidR="00D37D38" w:rsidRPr="007428AC">
        <w:rPr>
          <w:rFonts w:eastAsia="Calibri" w:cs="Times New Roman"/>
        </w:rPr>
        <w:t>he Commission</w:t>
      </w:r>
      <w:r w:rsidR="00D37D38">
        <w:rPr>
          <w:rFonts w:eastAsia="Calibri" w:cs="Times New Roman"/>
        </w:rPr>
        <w:t xml:space="preserve"> further</w:t>
      </w:r>
      <w:r w:rsidR="00D37D38" w:rsidRPr="007428AC">
        <w:rPr>
          <w:rFonts w:eastAsia="Calibri" w:cs="Times New Roman"/>
        </w:rPr>
        <w:t xml:space="preserve"> found that the policy expressed in R.C. 4928.02(H) “requires the Commission to avoid subsidies flowing from a noncompetitive retail electric service to a competitive retail service.”</w:t>
      </w:r>
      <w:r w:rsidR="00D37D38" w:rsidRPr="007428AC">
        <w:rPr>
          <w:rFonts w:eastAsia="Calibri" w:cs="Times New Roman"/>
          <w:vertAlign w:val="superscript"/>
        </w:rPr>
        <w:footnoteReference w:id="74"/>
      </w:r>
      <w:r w:rsidR="00D37D38" w:rsidRPr="007428AC">
        <w:rPr>
          <w:rFonts w:eastAsia="Calibri" w:cs="Times New Roman"/>
        </w:rPr>
        <w:t xml:space="preserve">  </w:t>
      </w:r>
      <w:r w:rsidR="00D37D38">
        <w:t xml:space="preserve">In this case, the authorization of the PSR would produce the same financial result as the one the Commission concluded Ohio law precluded in </w:t>
      </w:r>
      <w:r w:rsidR="00D37D38" w:rsidRPr="007861C9">
        <w:rPr>
          <w:i/>
        </w:rPr>
        <w:t>Sporn</w:t>
      </w:r>
      <w:r w:rsidR="00D37D38">
        <w:t xml:space="preserve">: Duke would be permitted to recover generation-related costs through a nonbypassable rider.  </w:t>
      </w:r>
      <w:r w:rsidR="007861C9">
        <w:t xml:space="preserve">Consistent application of </w:t>
      </w:r>
      <w:r w:rsidR="00F92F42" w:rsidRPr="00F92F42">
        <w:rPr>
          <w:i/>
        </w:rPr>
        <w:t>Sporn</w:t>
      </w:r>
      <w:r>
        <w:t xml:space="preserve"> thus requires</w:t>
      </w:r>
      <w:r w:rsidR="007861C9">
        <w:t xml:space="preserve"> the Commission to </w:t>
      </w:r>
      <w:r w:rsidR="00D37D38">
        <w:t>deny</w:t>
      </w:r>
      <w:r w:rsidR="007861C9">
        <w:t xml:space="preserve"> Duke’s request for authori</w:t>
      </w:r>
      <w:r>
        <w:t>zation of the PSR unless the Commission’s new course is substantively reasonable and lawful.</w:t>
      </w:r>
    </w:p>
    <w:p w:rsidR="007428AC" w:rsidRPr="007428AC" w:rsidRDefault="00E86989" w:rsidP="007428AC">
      <w:pPr>
        <w:spacing w:line="480" w:lineRule="auto"/>
        <w:ind w:firstLine="720"/>
        <w:jc w:val="both"/>
        <w:rPr>
          <w:rFonts w:eastAsia="Calibri" w:cs="Times New Roman"/>
        </w:rPr>
      </w:pPr>
      <w:r>
        <w:rPr>
          <w:rFonts w:eastAsia="Calibri" w:cs="Times New Roman"/>
        </w:rPr>
        <w:t>The</w:t>
      </w:r>
      <w:r w:rsidR="007428AC" w:rsidRPr="007428AC">
        <w:rPr>
          <w:rFonts w:eastAsia="Calibri" w:cs="Times New Roman"/>
        </w:rPr>
        <w:t xml:space="preserve"> “new course” on which the Commission strays</w:t>
      </w:r>
      <w:r>
        <w:rPr>
          <w:rFonts w:eastAsia="Calibri" w:cs="Times New Roman"/>
        </w:rPr>
        <w:t>, however,</w:t>
      </w:r>
      <w:r w:rsidR="007428AC" w:rsidRPr="007428AC">
        <w:rPr>
          <w:rFonts w:eastAsia="Calibri" w:cs="Times New Roman"/>
        </w:rPr>
        <w:t xml:space="preserve"> is not substantively reasonable or lawful.  As discussed above, the authorization of the </w:t>
      </w:r>
      <w:r w:rsidR="007861C9">
        <w:rPr>
          <w:rFonts w:eastAsia="Calibri" w:cs="Times New Roman"/>
        </w:rPr>
        <w:t>PSR</w:t>
      </w:r>
      <w:r w:rsidR="007428AC" w:rsidRPr="007428AC">
        <w:rPr>
          <w:rFonts w:eastAsia="Calibri" w:cs="Times New Roman"/>
        </w:rPr>
        <w:t xml:space="preserve"> not only violates the state policy expressed in R.C. 4928.02(H), but also exceeds the </w:t>
      </w:r>
      <w:r w:rsidR="007428AC" w:rsidRPr="007428AC">
        <w:rPr>
          <w:rFonts w:eastAsia="Calibri" w:cs="Times New Roman"/>
        </w:rPr>
        <w:lastRenderedPageBreak/>
        <w:t xml:space="preserve">Commission’s jurisdiction and is not supported by findings of fact </w:t>
      </w:r>
      <w:r w:rsidR="00D9425D">
        <w:rPr>
          <w:rFonts w:eastAsia="Calibri" w:cs="Times New Roman"/>
        </w:rPr>
        <w:t>required by</w:t>
      </w:r>
      <w:r w:rsidR="007428AC" w:rsidRPr="007428AC">
        <w:rPr>
          <w:rFonts w:eastAsia="Calibri" w:cs="Times New Roman"/>
        </w:rPr>
        <w:t xml:space="preserve"> R.C. 4928.143(B)(2)(d).  Further, as discussed below, the authorization violates the limitation on the Commission’s authority to approve the recovery of transition revenue or its equivalent and is preempted by the FPA.  Because the failure to follow </w:t>
      </w:r>
      <w:r w:rsidR="007428AC" w:rsidRPr="007428AC">
        <w:rPr>
          <w:rFonts w:eastAsia="Calibri" w:cs="Times New Roman"/>
          <w:i/>
        </w:rPr>
        <w:t>Sporn</w:t>
      </w:r>
      <w:r w:rsidR="007428AC" w:rsidRPr="007428AC">
        <w:rPr>
          <w:rFonts w:eastAsia="Calibri" w:cs="Times New Roman"/>
        </w:rPr>
        <w:t xml:space="preserve"> does not produce a result that is lawful and reasonable, the Commission erred.</w:t>
      </w:r>
    </w:p>
    <w:p w:rsidR="007428AC" w:rsidRDefault="007428AC" w:rsidP="007428AC">
      <w:pPr>
        <w:spacing w:line="480" w:lineRule="auto"/>
        <w:ind w:firstLine="720"/>
        <w:jc w:val="both"/>
        <w:rPr>
          <w:rFonts w:eastAsia="Calibri" w:cs="Times New Roman"/>
        </w:rPr>
      </w:pPr>
      <w:r w:rsidRPr="007428AC">
        <w:rPr>
          <w:rFonts w:eastAsia="Calibri" w:cs="Times New Roman"/>
        </w:rPr>
        <w:t xml:space="preserve">R.C. 4928.02(H) states a </w:t>
      </w:r>
      <w:r w:rsidR="00AD0D77">
        <w:rPr>
          <w:rFonts w:eastAsia="Calibri" w:cs="Times New Roman"/>
        </w:rPr>
        <w:t>legal requirement for the Commission</w:t>
      </w:r>
      <w:r w:rsidRPr="007428AC">
        <w:rPr>
          <w:rFonts w:eastAsia="Calibri" w:cs="Times New Roman"/>
        </w:rPr>
        <w:t xml:space="preserve"> to ensure effective competition in the provision of retail electric service.  The authorization of the </w:t>
      </w:r>
      <w:r w:rsidR="007861C9">
        <w:rPr>
          <w:rFonts w:eastAsia="Calibri" w:cs="Times New Roman"/>
        </w:rPr>
        <w:t>PSR</w:t>
      </w:r>
      <w:r w:rsidRPr="007428AC">
        <w:rPr>
          <w:rFonts w:eastAsia="Calibri" w:cs="Times New Roman"/>
        </w:rPr>
        <w:t xml:space="preserve"> fails to advance that policy and is an unwarranted break from precedent.  Because authorization of the </w:t>
      </w:r>
      <w:r w:rsidR="007861C9">
        <w:rPr>
          <w:rFonts w:eastAsia="Calibri" w:cs="Times New Roman"/>
        </w:rPr>
        <w:t>PSR</w:t>
      </w:r>
      <w:r w:rsidRPr="007428AC">
        <w:rPr>
          <w:rFonts w:eastAsia="Calibri" w:cs="Times New Roman"/>
        </w:rPr>
        <w:t xml:space="preserve"> violates </w:t>
      </w:r>
      <w:r w:rsidR="00AD0D77">
        <w:rPr>
          <w:rFonts w:eastAsia="Calibri" w:cs="Times New Roman"/>
        </w:rPr>
        <w:t xml:space="preserve">law, </w:t>
      </w:r>
      <w:r w:rsidRPr="007428AC">
        <w:rPr>
          <w:rFonts w:eastAsia="Calibri" w:cs="Times New Roman"/>
        </w:rPr>
        <w:t>policy</w:t>
      </w:r>
      <w:r w:rsidR="00AD0D77">
        <w:rPr>
          <w:rFonts w:eastAsia="Calibri" w:cs="Times New Roman"/>
        </w:rPr>
        <w:t>,</w:t>
      </w:r>
      <w:r w:rsidRPr="007428AC">
        <w:rPr>
          <w:rFonts w:eastAsia="Calibri" w:cs="Times New Roman"/>
        </w:rPr>
        <w:t xml:space="preserve"> and precedent, the Commission should grant rehearing and reverse its authorization of the rider.</w:t>
      </w:r>
    </w:p>
    <w:p w:rsidR="009D210B" w:rsidRDefault="00F5796C" w:rsidP="001E01A7">
      <w:pPr>
        <w:pStyle w:val="Heading3"/>
        <w:rPr>
          <w:rFonts w:eastAsia="Calibri"/>
        </w:rPr>
      </w:pPr>
      <w:bookmarkStart w:id="210" w:name="_Toc418495455"/>
      <w:r>
        <w:rPr>
          <w:rFonts w:eastAsia="Calibri"/>
        </w:rPr>
        <w:t xml:space="preserve">The </w:t>
      </w:r>
      <w:r w:rsidR="009D210B" w:rsidRPr="009D210B">
        <w:rPr>
          <w:rFonts w:eastAsia="Calibri"/>
        </w:rPr>
        <w:t>ESP Order is unlawful and unreasonable because the Commission authorized the PSR as a placeholder rider by which Duke may seek to recover generation-related transition revenue or its equivalent in violation of R.C. 4928.38 and the bar to recovery of transition revenue or its equivalent resulting from Duke’s Elect</w:t>
      </w:r>
      <w:r w:rsidR="001E01A7">
        <w:rPr>
          <w:rFonts w:eastAsia="Calibri"/>
        </w:rPr>
        <w:t>ric Transition Plan Stipulation</w:t>
      </w:r>
      <w:bookmarkEnd w:id="210"/>
    </w:p>
    <w:p w:rsidR="007D6F37" w:rsidRPr="007D6F37" w:rsidRDefault="007D6F37" w:rsidP="007D6F37">
      <w:pPr>
        <w:spacing w:line="480" w:lineRule="auto"/>
        <w:ind w:firstLine="720"/>
        <w:jc w:val="both"/>
        <w:rPr>
          <w:rFonts w:eastAsia="Times New Roman" w:cs="Arial"/>
        </w:rPr>
      </w:pPr>
      <w:r>
        <w:rPr>
          <w:rFonts w:eastAsia="Calibri" w:cs="Times New Roman"/>
        </w:rPr>
        <w:t xml:space="preserve">The </w:t>
      </w:r>
      <w:r w:rsidRPr="007D6F37">
        <w:rPr>
          <w:rFonts w:eastAsia="Times New Roman" w:cs="Arial"/>
        </w:rPr>
        <w:t xml:space="preserve">Commission authorized </w:t>
      </w:r>
      <w:r>
        <w:rPr>
          <w:rFonts w:eastAsia="Times New Roman" w:cs="Arial"/>
        </w:rPr>
        <w:t>Duke to establish the PSR</w:t>
      </w:r>
      <w:r w:rsidRPr="007D6F37">
        <w:rPr>
          <w:rFonts w:eastAsia="Times New Roman" w:cs="Arial"/>
        </w:rPr>
        <w:t xml:space="preserve"> as a placeholder rider over the objection that the rider would violate R.C. 4928.38 and permit </w:t>
      </w:r>
      <w:r>
        <w:rPr>
          <w:rFonts w:eastAsia="Times New Roman" w:cs="Arial"/>
        </w:rPr>
        <w:t>Duke</w:t>
      </w:r>
      <w:r w:rsidRPr="007D6F37">
        <w:rPr>
          <w:rFonts w:eastAsia="Times New Roman" w:cs="Arial"/>
        </w:rPr>
        <w:t xml:space="preserve"> to violate the terms of its agreement in 2000 to forgo all generation-related transition revenue.</w:t>
      </w:r>
      <w:r w:rsidRPr="007D6F37">
        <w:rPr>
          <w:rFonts w:eastAsia="Times New Roman" w:cs="Arial"/>
          <w:vertAlign w:val="superscript"/>
        </w:rPr>
        <w:footnoteReference w:id="75"/>
      </w:r>
      <w:r w:rsidRPr="007D6F37">
        <w:rPr>
          <w:rFonts w:eastAsia="Times New Roman" w:cs="Arial"/>
        </w:rPr>
        <w:t xml:space="preserve">  The Commission concluded that the rider would not permit </w:t>
      </w:r>
      <w:r w:rsidR="00AD0D77">
        <w:rPr>
          <w:rFonts w:eastAsia="Times New Roman" w:cs="Arial"/>
        </w:rPr>
        <w:t>Duke</w:t>
      </w:r>
      <w:r w:rsidRPr="007D6F37">
        <w:rPr>
          <w:rFonts w:eastAsia="Times New Roman" w:cs="Arial"/>
        </w:rPr>
        <w:t xml:space="preserve"> to collect untimely transition revenue because “the </w:t>
      </w:r>
      <w:r>
        <w:rPr>
          <w:rFonts w:eastAsia="Times New Roman" w:cs="Arial"/>
        </w:rPr>
        <w:t>PSR</w:t>
      </w:r>
      <w:r w:rsidRPr="007D6F37">
        <w:rPr>
          <w:rFonts w:eastAsia="Times New Roman" w:cs="Arial"/>
        </w:rPr>
        <w:t xml:space="preserve"> constitutes a rate stability charge … authorized pursuant to R.C. 4928.143(B)(2)(d).”</w:t>
      </w:r>
      <w:r w:rsidRPr="007D6F37">
        <w:rPr>
          <w:rFonts w:eastAsia="Times New Roman" w:cs="Arial"/>
          <w:vertAlign w:val="superscript"/>
        </w:rPr>
        <w:footnoteReference w:id="76"/>
      </w:r>
      <w:r w:rsidRPr="007D6F37">
        <w:rPr>
          <w:rFonts w:eastAsia="Times New Roman" w:cs="Arial"/>
        </w:rPr>
        <w:t xml:space="preserve">  The Commission did not address whether the authorization of the rider violated the terms of the 2000 settlement.  Because the Commission cannot authorize transition revenue or its equivalent under any </w:t>
      </w:r>
      <w:r w:rsidRPr="007D6F37">
        <w:rPr>
          <w:rFonts w:eastAsia="Times New Roman" w:cs="Arial"/>
        </w:rPr>
        <w:lastRenderedPageBreak/>
        <w:t xml:space="preserve">circumstances except those expressly provided by R.C. 4928.31 to </w:t>
      </w:r>
      <w:r w:rsidR="00F5796C">
        <w:rPr>
          <w:rFonts w:eastAsia="Times New Roman" w:cs="Arial"/>
        </w:rPr>
        <w:t xml:space="preserve">R.C. </w:t>
      </w:r>
      <w:r w:rsidR="00F92F42">
        <w:rPr>
          <w:rFonts w:eastAsia="Times New Roman" w:cs="Arial"/>
        </w:rPr>
        <w:t>4928</w:t>
      </w:r>
      <w:r w:rsidRPr="007D6F37">
        <w:rPr>
          <w:rFonts w:eastAsia="Times New Roman" w:cs="Arial"/>
        </w:rPr>
        <w:t>.40, the Commission erred.</w:t>
      </w:r>
    </w:p>
    <w:p w:rsidR="007D6F37" w:rsidRPr="007D6F37" w:rsidRDefault="007D6F37" w:rsidP="007D6F37">
      <w:pPr>
        <w:spacing w:line="480" w:lineRule="auto"/>
        <w:ind w:firstLine="720"/>
        <w:jc w:val="both"/>
        <w:rPr>
          <w:rFonts w:eastAsia="Calibri" w:cs="Times New Roman"/>
        </w:rPr>
      </w:pPr>
      <w:r w:rsidRPr="007D6F37">
        <w:rPr>
          <w:rFonts w:eastAsia="Calibri" w:cs="Times New Roman"/>
        </w:rPr>
        <w:t xml:space="preserve">The procedures for asserting a one-time claim set out in R.C. 4928.31 to </w:t>
      </w:r>
      <w:r w:rsidR="00F5796C">
        <w:rPr>
          <w:rFonts w:eastAsia="Calibri" w:cs="Times New Roman"/>
        </w:rPr>
        <w:t xml:space="preserve">R.C. </w:t>
      </w:r>
      <w:r w:rsidRPr="007D6F37">
        <w:rPr>
          <w:rFonts w:eastAsia="Calibri" w:cs="Times New Roman"/>
        </w:rPr>
        <w:t xml:space="preserve">4928.40 specifically limited </w:t>
      </w:r>
      <w:r>
        <w:rPr>
          <w:rFonts w:eastAsia="Calibri" w:cs="Times New Roman"/>
        </w:rPr>
        <w:t>Duke</w:t>
      </w:r>
      <w:r w:rsidRPr="007D6F37">
        <w:rPr>
          <w:rFonts w:eastAsia="Calibri" w:cs="Times New Roman"/>
        </w:rPr>
        <w:t xml:space="preserve"> to seek recovery of transition revenue in its electric transition plan filing in 1999.  Any lawful recovery of either generation-related transition revenue or regulatory assets could not continue after they were scheduled to terminate under those plans.</w:t>
      </w:r>
      <w:r w:rsidRPr="007D6F37">
        <w:rPr>
          <w:rFonts w:eastAsia="Calibri" w:cs="Times New Roman"/>
          <w:vertAlign w:val="superscript"/>
        </w:rPr>
        <w:footnoteReference w:id="77"/>
      </w:r>
      <w:r w:rsidRPr="007D6F37">
        <w:rPr>
          <w:rFonts w:eastAsia="Calibri" w:cs="Times New Roman"/>
        </w:rPr>
        <w:t xml:space="preserve">  Following the Market Development Period (“MDP”), moreover, the Commission cannot lawfully “authorize the receipt of transition revenues or any equivalent revenues by an electric utility.”</w:t>
      </w:r>
      <w:r w:rsidRPr="007D6F37">
        <w:rPr>
          <w:rFonts w:eastAsia="Calibri" w:cs="Times New Roman"/>
          <w:vertAlign w:val="superscript"/>
        </w:rPr>
        <w:footnoteReference w:id="78"/>
      </w:r>
      <w:r w:rsidRPr="007D6F37">
        <w:rPr>
          <w:rFonts w:eastAsia="Calibri" w:cs="Times New Roman"/>
        </w:rPr>
        <w:t xml:space="preserve">  “With the termination of that approved revenue source, the utility shall be fully on its own in the competitive market.”</w:t>
      </w:r>
      <w:r w:rsidRPr="007D6F37">
        <w:rPr>
          <w:rFonts w:eastAsia="Calibri" w:cs="Times New Roman"/>
          <w:vertAlign w:val="superscript"/>
        </w:rPr>
        <w:footnoteReference w:id="79"/>
      </w:r>
      <w:r w:rsidRPr="007D6F37">
        <w:rPr>
          <w:rFonts w:eastAsia="Calibri" w:cs="Times New Roman"/>
        </w:rPr>
        <w:t xml:space="preserve">  </w:t>
      </w:r>
    </w:p>
    <w:p w:rsidR="007D6F37" w:rsidRDefault="007D6F37" w:rsidP="007D6F37">
      <w:pPr>
        <w:spacing w:line="480" w:lineRule="auto"/>
        <w:ind w:firstLine="720"/>
        <w:jc w:val="both"/>
        <w:rPr>
          <w:rFonts w:eastAsia="Calibri" w:cs="Times New Roman"/>
        </w:rPr>
      </w:pPr>
      <w:r w:rsidRPr="007D6F37">
        <w:rPr>
          <w:rFonts w:eastAsia="Calibri" w:cs="Times New Roman"/>
        </w:rPr>
        <w:t xml:space="preserve">R.C. 4928.143(B)(2)(d) does not carve out an exception to the statutory bar on the authorization of the billing and collection of transition revenue or its equivalent.  When the General Assembly adopted </w:t>
      </w:r>
      <w:r w:rsidR="001A133E">
        <w:rPr>
          <w:rFonts w:eastAsia="Calibri" w:cs="Times New Roman"/>
        </w:rPr>
        <w:t>SB 221</w:t>
      </w:r>
      <w:r w:rsidRPr="007D6F37">
        <w:rPr>
          <w:rFonts w:eastAsia="Calibri" w:cs="Times New Roman"/>
        </w:rPr>
        <w:t>, it rejected in R.C. 4928.141 the continuation of any further recovery of transition revenue beyond that previously authorized under R.C. 4928.31 to R.C. 4928.40.  Further, the General Assembly did not repeal the prohibition on the authorization and recovery of transition revenue or its equivalent found in R.C. 4928.38.  Thus, the Commission remains bound by the prohibition found in R.C. 4928.38.</w:t>
      </w:r>
    </w:p>
    <w:p w:rsidR="00D9425D" w:rsidRPr="009B0304" w:rsidRDefault="00155E74" w:rsidP="00D9425D">
      <w:pPr>
        <w:spacing w:line="480" w:lineRule="auto"/>
        <w:ind w:firstLine="720"/>
        <w:jc w:val="both"/>
        <w:rPr>
          <w:rFonts w:eastAsia="Calibri" w:cs="Times New Roman"/>
          <w:bCs/>
        </w:rPr>
      </w:pPr>
      <w:r>
        <w:rPr>
          <w:rFonts w:eastAsia="Calibri" w:cs="Times New Roman"/>
          <w:bCs/>
        </w:rPr>
        <w:lastRenderedPageBreak/>
        <w:t>More specifically</w:t>
      </w:r>
      <w:r w:rsidR="00D9425D" w:rsidRPr="009B0304">
        <w:rPr>
          <w:rFonts w:eastAsia="Calibri" w:cs="Times New Roman"/>
          <w:bCs/>
        </w:rPr>
        <w:t>, contrary to recent assertions by EDUs,</w:t>
      </w:r>
      <w:r w:rsidR="009E4A78">
        <w:rPr>
          <w:rStyle w:val="FootnoteReference"/>
          <w:rFonts w:eastAsia="Calibri" w:cs="Times New Roman"/>
          <w:bCs/>
        </w:rPr>
        <w:footnoteReference w:id="80"/>
      </w:r>
      <w:r w:rsidR="00D9425D" w:rsidRPr="009B0304">
        <w:rPr>
          <w:rFonts w:eastAsia="Calibri" w:cs="Times New Roman"/>
          <w:bCs/>
        </w:rPr>
        <w:t xml:space="preserve"> R.C. 4928.143(B)(2)</w:t>
      </w:r>
      <w:r w:rsidR="00D9425D">
        <w:rPr>
          <w:rFonts w:eastAsia="Calibri" w:cs="Times New Roman"/>
          <w:bCs/>
        </w:rPr>
        <w:t>’s</w:t>
      </w:r>
      <w:r w:rsidR="00D9425D" w:rsidRPr="009B0304">
        <w:rPr>
          <w:rFonts w:eastAsia="Calibri" w:cs="Times New Roman"/>
          <w:bCs/>
        </w:rPr>
        <w:t xml:space="preserve"> “notwithstanding” clause does not carve out an exception to </w:t>
      </w:r>
      <w:r w:rsidR="00C33574">
        <w:rPr>
          <w:rFonts w:eastAsia="Calibri" w:cs="Times New Roman"/>
          <w:bCs/>
        </w:rPr>
        <w:t xml:space="preserve">the </w:t>
      </w:r>
      <w:r w:rsidR="00D9425D" w:rsidRPr="009B0304">
        <w:rPr>
          <w:rFonts w:eastAsia="Calibri" w:cs="Times New Roman"/>
          <w:bCs/>
        </w:rPr>
        <w:t>prohibition of recovery of transition revenue or its equivalent under R.C. 4928.38</w:t>
      </w:r>
      <w:r w:rsidR="003D0688">
        <w:rPr>
          <w:rFonts w:eastAsia="Calibri" w:cs="Times New Roman"/>
          <w:bCs/>
        </w:rPr>
        <w:t xml:space="preserve"> because the exception would violate legislative intent</w:t>
      </w:r>
      <w:r w:rsidR="00D9425D" w:rsidRPr="009B0304">
        <w:rPr>
          <w:rFonts w:eastAsia="Calibri" w:cs="Times New Roman"/>
          <w:bCs/>
        </w:rPr>
        <w:t>.  The “paramount concern in construing a statute is legislative intent.”</w:t>
      </w:r>
      <w:r w:rsidR="00D9425D" w:rsidRPr="009B0304">
        <w:rPr>
          <w:rFonts w:eastAsia="Calibri" w:cs="Times New Roman"/>
          <w:bCs/>
          <w:vertAlign w:val="superscript"/>
        </w:rPr>
        <w:footnoteReference w:id="81"/>
      </w:r>
      <w:r w:rsidR="00D9425D" w:rsidRPr="009B0304">
        <w:rPr>
          <w:rFonts w:eastAsia="Calibri" w:cs="Times New Roman"/>
          <w:bCs/>
          <w:i/>
        </w:rPr>
        <w:t xml:space="preserve"> </w:t>
      </w:r>
      <w:r w:rsidR="00D9425D" w:rsidRPr="009B0304">
        <w:rPr>
          <w:rFonts w:eastAsia="Calibri" w:cs="Times New Roman"/>
          <w:bCs/>
        </w:rPr>
        <w:t xml:space="preserve">“Notwithstanding” clauses such as </w:t>
      </w:r>
      <w:r w:rsidR="00F92F42">
        <w:rPr>
          <w:rFonts w:eastAsia="Calibri" w:cs="Times New Roman"/>
          <w:bCs/>
        </w:rPr>
        <w:t xml:space="preserve">that in </w:t>
      </w:r>
      <w:r w:rsidR="00D9425D" w:rsidRPr="009B0304">
        <w:rPr>
          <w:rFonts w:eastAsia="Calibri" w:cs="Times New Roman"/>
          <w:bCs/>
        </w:rPr>
        <w:t>R.C. 4928.143(B)(2)</w:t>
      </w:r>
      <w:r w:rsidR="00B31338">
        <w:rPr>
          <w:rFonts w:eastAsia="Calibri" w:cs="Times New Roman"/>
          <w:bCs/>
        </w:rPr>
        <w:t>,</w:t>
      </w:r>
      <w:r w:rsidR="00D9425D" w:rsidRPr="009B0304">
        <w:rPr>
          <w:rFonts w:eastAsia="Calibri" w:cs="Times New Roman"/>
          <w:bCs/>
        </w:rPr>
        <w:t xml:space="preserve"> therefore</w:t>
      </w:r>
      <w:r w:rsidR="00B31338">
        <w:rPr>
          <w:rFonts w:eastAsia="Calibri" w:cs="Times New Roman"/>
          <w:bCs/>
        </w:rPr>
        <w:t>,</w:t>
      </w:r>
      <w:r w:rsidR="00D9425D" w:rsidRPr="009B0304">
        <w:rPr>
          <w:rFonts w:eastAsia="Calibri" w:cs="Times New Roman"/>
          <w:bCs/>
        </w:rPr>
        <w:t xml:space="preserve"> must be read in light of the “paramount concern” of the legislation.</w:t>
      </w:r>
      <w:r w:rsidR="00D9425D" w:rsidRPr="009B0304">
        <w:rPr>
          <w:rFonts w:eastAsia="Calibri" w:cs="Times New Roman"/>
          <w:bCs/>
          <w:vertAlign w:val="superscript"/>
        </w:rPr>
        <w:footnoteReference w:id="82"/>
      </w:r>
      <w:r w:rsidR="00D9425D" w:rsidRPr="009B0304">
        <w:rPr>
          <w:rFonts w:eastAsia="Calibri" w:cs="Times New Roman"/>
          <w:bCs/>
        </w:rPr>
        <w:t xml:space="preserve">  In this instance, the clause must be read in light of the clear legislative intent to maintain the prohibitions of transition revenue.  As noted above, R.C. 4928.141 contained an explicit bar on </w:t>
      </w:r>
      <w:r w:rsidR="00EF38D9">
        <w:rPr>
          <w:rFonts w:eastAsia="Calibri" w:cs="Times New Roman"/>
          <w:bCs/>
        </w:rPr>
        <w:t xml:space="preserve">authorization of </w:t>
      </w:r>
      <w:r w:rsidR="00D9425D" w:rsidRPr="009B0304">
        <w:rPr>
          <w:rFonts w:eastAsia="Calibri" w:cs="Times New Roman"/>
          <w:bCs/>
        </w:rPr>
        <w:t xml:space="preserve">additional transition revenue under </w:t>
      </w:r>
      <w:r w:rsidR="00C33574">
        <w:rPr>
          <w:rFonts w:eastAsia="Calibri" w:cs="Times New Roman"/>
          <w:bCs/>
        </w:rPr>
        <w:t>a standard service offer</w:t>
      </w:r>
      <w:r w:rsidR="00D9425D" w:rsidRPr="009B0304">
        <w:rPr>
          <w:rFonts w:eastAsia="Calibri" w:cs="Times New Roman"/>
          <w:bCs/>
        </w:rPr>
        <w:t xml:space="preserve"> and R.C. 4928.38 was not repealed.  Th</w:t>
      </w:r>
      <w:r w:rsidR="00CF27D6">
        <w:rPr>
          <w:rFonts w:eastAsia="Calibri" w:cs="Times New Roman"/>
          <w:bCs/>
        </w:rPr>
        <w:t>us, th</w:t>
      </w:r>
      <w:r w:rsidR="00D9425D" w:rsidRPr="009B0304">
        <w:rPr>
          <w:rFonts w:eastAsia="Calibri" w:cs="Times New Roman"/>
          <w:bCs/>
        </w:rPr>
        <w:t xml:space="preserve">e clear legislative intent expressed in SB 221 is that </w:t>
      </w:r>
      <w:r w:rsidR="00F20705" w:rsidRPr="009B0304">
        <w:rPr>
          <w:rFonts w:eastAsia="Calibri" w:cs="Times New Roman"/>
          <w:bCs/>
        </w:rPr>
        <w:t>R.C. 4928.143(B)</w:t>
      </w:r>
      <w:r w:rsidR="00F20705">
        <w:rPr>
          <w:rFonts w:eastAsia="Calibri" w:cs="Times New Roman"/>
          <w:bCs/>
        </w:rPr>
        <w:t xml:space="preserve"> does not carve out an exception to the </w:t>
      </w:r>
      <w:r w:rsidR="00D9425D" w:rsidRPr="009B0304">
        <w:rPr>
          <w:rFonts w:eastAsia="Calibri" w:cs="Times New Roman"/>
          <w:bCs/>
        </w:rPr>
        <w:t xml:space="preserve">bar on authorization of transition revenue or its equivalent. </w:t>
      </w:r>
    </w:p>
    <w:p w:rsidR="00D9425D" w:rsidRDefault="003D0688" w:rsidP="00C94A9E">
      <w:pPr>
        <w:spacing w:line="480" w:lineRule="auto"/>
        <w:ind w:firstLine="720"/>
        <w:jc w:val="both"/>
        <w:rPr>
          <w:rFonts w:eastAsia="Calibri" w:cs="Times New Roman"/>
          <w:bCs/>
        </w:rPr>
      </w:pPr>
      <w:r>
        <w:rPr>
          <w:rFonts w:eastAsia="Calibri" w:cs="Times New Roman"/>
          <w:bCs/>
        </w:rPr>
        <w:t>The Commission’s prior decisions confirm that it understands R.C. 4928.143(B)(2) does not carve out an exception to the bar on recovery of anticompetitive transition revenue.  For</w:t>
      </w:r>
      <w:r w:rsidRPr="009B0304">
        <w:rPr>
          <w:rFonts w:eastAsia="Calibri" w:cs="Times New Roman"/>
          <w:bCs/>
        </w:rPr>
        <w:t xml:space="preserve"> example, </w:t>
      </w:r>
      <w:r w:rsidR="001A133E">
        <w:rPr>
          <w:rFonts w:eastAsia="Calibri" w:cs="Times New Roman"/>
          <w:bCs/>
        </w:rPr>
        <w:t xml:space="preserve">Dayton Power and Light Company (“DP&amp;L”) sought approval </w:t>
      </w:r>
      <w:r w:rsidR="00172B92">
        <w:rPr>
          <w:rFonts w:eastAsia="Calibri" w:cs="Times New Roman"/>
          <w:bCs/>
        </w:rPr>
        <w:t xml:space="preserve">of </w:t>
      </w:r>
      <w:r w:rsidR="00155E74">
        <w:rPr>
          <w:rFonts w:eastAsia="Calibri" w:cs="Times New Roman"/>
          <w:bCs/>
        </w:rPr>
        <w:t>a “Switching Tracker” that would allow it to recover lost generation-related revenue associated with customer switching</w:t>
      </w:r>
      <w:r>
        <w:rPr>
          <w:rFonts w:eastAsia="Calibri" w:cs="Times New Roman"/>
          <w:bCs/>
        </w:rPr>
        <w:t>.</w:t>
      </w:r>
      <w:r w:rsidR="001A133E">
        <w:rPr>
          <w:rFonts w:eastAsia="Calibri" w:cs="Times New Roman"/>
          <w:bCs/>
        </w:rPr>
        <w:t xml:space="preserve"> </w:t>
      </w:r>
      <w:r>
        <w:rPr>
          <w:rFonts w:eastAsia="Calibri" w:cs="Times New Roman"/>
          <w:bCs/>
        </w:rPr>
        <w:t xml:space="preserve"> T</w:t>
      </w:r>
      <w:r w:rsidR="00D9425D" w:rsidRPr="009B0304">
        <w:rPr>
          <w:rFonts w:eastAsia="Calibri" w:cs="Times New Roman"/>
          <w:bCs/>
        </w:rPr>
        <w:t xml:space="preserve">he Commission </w:t>
      </w:r>
      <w:r w:rsidR="00155E74">
        <w:rPr>
          <w:rFonts w:eastAsia="Calibri" w:cs="Times New Roman"/>
          <w:bCs/>
        </w:rPr>
        <w:lastRenderedPageBreak/>
        <w:t xml:space="preserve">found that the proposed rider </w:t>
      </w:r>
      <w:r w:rsidR="00552E29">
        <w:rPr>
          <w:rFonts w:eastAsia="Calibri" w:cs="Times New Roman"/>
          <w:bCs/>
        </w:rPr>
        <w:t xml:space="preserve">violated state policy because it </w:t>
      </w:r>
      <w:r w:rsidR="00155E74" w:rsidRPr="009B0304">
        <w:rPr>
          <w:rFonts w:eastAsia="Calibri" w:cs="Times New Roman"/>
          <w:bCs/>
        </w:rPr>
        <w:t>“insulate[d] DP&amp;L from market risk</w:t>
      </w:r>
      <w:r>
        <w:rPr>
          <w:rFonts w:eastAsia="Calibri" w:cs="Times New Roman"/>
          <w:bCs/>
        </w:rPr>
        <w:t>”</w:t>
      </w:r>
      <w:r w:rsidR="00155E74">
        <w:rPr>
          <w:rFonts w:eastAsia="Calibri" w:cs="Times New Roman"/>
          <w:bCs/>
        </w:rPr>
        <w:t xml:space="preserve"> and denied</w:t>
      </w:r>
      <w:r w:rsidR="001A133E">
        <w:rPr>
          <w:rFonts w:eastAsia="Calibri" w:cs="Times New Roman"/>
          <w:bCs/>
        </w:rPr>
        <w:t xml:space="preserve"> </w:t>
      </w:r>
      <w:r w:rsidR="00155E74">
        <w:rPr>
          <w:rFonts w:eastAsia="Calibri" w:cs="Times New Roman"/>
          <w:bCs/>
        </w:rPr>
        <w:t>authorization</w:t>
      </w:r>
      <w:r>
        <w:rPr>
          <w:rFonts w:eastAsia="Calibri" w:cs="Times New Roman"/>
          <w:bCs/>
        </w:rPr>
        <w:t>.</w:t>
      </w:r>
      <w:r w:rsidR="00D9425D" w:rsidRPr="009B0304">
        <w:rPr>
          <w:rFonts w:eastAsia="Calibri" w:cs="Times New Roman"/>
          <w:bCs/>
          <w:vertAlign w:val="superscript"/>
        </w:rPr>
        <w:footnoteReference w:id="83"/>
      </w:r>
      <w:r w:rsidR="00D9425D" w:rsidRPr="009B0304">
        <w:rPr>
          <w:rFonts w:eastAsia="Calibri" w:cs="Times New Roman"/>
          <w:bCs/>
        </w:rPr>
        <w:t xml:space="preserve">  In </w:t>
      </w:r>
      <w:r w:rsidR="00D9425D" w:rsidRPr="001A133E">
        <w:rPr>
          <w:rFonts w:eastAsia="Calibri" w:cs="Times New Roman"/>
          <w:bCs/>
          <w:i/>
        </w:rPr>
        <w:t>Sporn</w:t>
      </w:r>
      <w:r w:rsidR="00D9425D" w:rsidRPr="009B0304">
        <w:rPr>
          <w:rFonts w:eastAsia="Calibri" w:cs="Times New Roman"/>
          <w:bCs/>
        </w:rPr>
        <w:t>, the Commission rejected AEP-Ohio</w:t>
      </w:r>
      <w:r w:rsidR="001A133E">
        <w:rPr>
          <w:rFonts w:eastAsia="Calibri" w:cs="Times New Roman"/>
          <w:bCs/>
        </w:rPr>
        <w:t>’s</w:t>
      </w:r>
      <w:r w:rsidR="00D9425D" w:rsidRPr="009B0304">
        <w:rPr>
          <w:rFonts w:eastAsia="Calibri" w:cs="Times New Roman"/>
          <w:bCs/>
        </w:rPr>
        <w:t xml:space="preserve"> request to recover generation-related closure costs in part because the authorization would violate R.C. 4928.02(H).</w:t>
      </w:r>
      <w:r w:rsidR="00D9425D" w:rsidRPr="009B0304">
        <w:rPr>
          <w:rFonts w:eastAsia="Calibri" w:cs="Times New Roman"/>
          <w:bCs/>
          <w:vertAlign w:val="superscript"/>
        </w:rPr>
        <w:footnoteReference w:id="84"/>
      </w:r>
      <w:r w:rsidR="00D9425D" w:rsidRPr="009B0304">
        <w:rPr>
          <w:rFonts w:eastAsia="Calibri" w:cs="Times New Roman"/>
          <w:bCs/>
        </w:rPr>
        <w:t xml:space="preserve">  </w:t>
      </w:r>
      <w:r w:rsidR="00552E29">
        <w:rPr>
          <w:rFonts w:eastAsia="Calibri" w:cs="Times New Roman"/>
          <w:bCs/>
        </w:rPr>
        <w:t xml:space="preserve">In each instance, the Commission looked to other provisions of Ohio law to guide its application of R.C. 4928.143(B)(2).  </w:t>
      </w:r>
      <w:r w:rsidR="00C33574">
        <w:rPr>
          <w:rFonts w:eastAsia="Calibri" w:cs="Times New Roman"/>
          <w:bCs/>
        </w:rPr>
        <w:t>Likewise, the Commission should not read R.C. 4928.143(B)(2)</w:t>
      </w:r>
      <w:r w:rsidR="00C94A9E">
        <w:rPr>
          <w:rFonts w:eastAsia="Calibri" w:cs="Times New Roman"/>
          <w:bCs/>
        </w:rPr>
        <w:t>(d)</w:t>
      </w:r>
      <w:r w:rsidR="00C33574">
        <w:rPr>
          <w:rFonts w:eastAsia="Calibri" w:cs="Times New Roman"/>
          <w:bCs/>
        </w:rPr>
        <w:t xml:space="preserve"> </w:t>
      </w:r>
      <w:r w:rsidR="00C94A9E">
        <w:rPr>
          <w:rFonts w:eastAsia="Calibri" w:cs="Times New Roman"/>
          <w:bCs/>
        </w:rPr>
        <w:t>as an exception to the bar on the authorization of recovery of transition</w:t>
      </w:r>
      <w:r w:rsidR="00C33574">
        <w:rPr>
          <w:rFonts w:eastAsia="Calibri" w:cs="Times New Roman"/>
          <w:bCs/>
        </w:rPr>
        <w:t xml:space="preserve"> revenue or its equivalent contained in R.C 4928.141 and R.C. 4928.38</w:t>
      </w:r>
      <w:r w:rsidR="00D9425D" w:rsidRPr="009B0304">
        <w:rPr>
          <w:rFonts w:eastAsia="Calibri" w:cs="Times New Roman"/>
          <w:bCs/>
        </w:rPr>
        <w:t>.</w:t>
      </w:r>
      <w:r w:rsidR="00C33574">
        <w:rPr>
          <w:rFonts w:eastAsia="Calibri" w:cs="Times New Roman"/>
          <w:bCs/>
        </w:rPr>
        <w:t xml:space="preserve">  Such a reading is plainly inconsistent with </w:t>
      </w:r>
      <w:r w:rsidR="00155E74">
        <w:rPr>
          <w:rFonts w:eastAsia="Calibri" w:cs="Times New Roman"/>
          <w:bCs/>
        </w:rPr>
        <w:t>prior Commission orders requiring</w:t>
      </w:r>
      <w:r w:rsidR="00C33574">
        <w:rPr>
          <w:rFonts w:eastAsia="Calibri" w:cs="Times New Roman"/>
          <w:bCs/>
        </w:rPr>
        <w:t xml:space="preserve"> “the utility [to] be on its own in the competitive market.”</w:t>
      </w:r>
      <w:r w:rsidR="00C33574">
        <w:rPr>
          <w:rStyle w:val="FootnoteReference"/>
          <w:rFonts w:eastAsia="Calibri" w:cs="Times New Roman"/>
          <w:bCs/>
        </w:rPr>
        <w:footnoteReference w:id="85"/>
      </w:r>
      <w:r w:rsidR="00CF27D6">
        <w:rPr>
          <w:rFonts w:eastAsia="Calibri" w:cs="Times New Roman"/>
          <w:bCs/>
        </w:rPr>
        <w:t xml:space="preserve">  </w:t>
      </w:r>
    </w:p>
    <w:p w:rsidR="00CF27D6" w:rsidRPr="009B0304" w:rsidRDefault="00CF27D6" w:rsidP="00D9425D">
      <w:pPr>
        <w:spacing w:line="480" w:lineRule="auto"/>
        <w:ind w:firstLine="720"/>
        <w:jc w:val="both"/>
        <w:rPr>
          <w:rFonts w:eastAsia="Calibri" w:cs="Times New Roman"/>
          <w:bCs/>
        </w:rPr>
      </w:pPr>
      <w:r>
        <w:rPr>
          <w:rFonts w:eastAsia="Calibri" w:cs="Times New Roman"/>
          <w:bCs/>
        </w:rPr>
        <w:t xml:space="preserve">Based on both the legislative intent expressed in SB 221 and the Commission’s prior holdings, therefore, the Commission cannot authorize a “rate stability charge” </w:t>
      </w:r>
      <w:r w:rsidR="003D0688">
        <w:rPr>
          <w:rFonts w:eastAsia="Calibri" w:cs="Times New Roman"/>
          <w:bCs/>
        </w:rPr>
        <w:t xml:space="preserve">under </w:t>
      </w:r>
      <w:r>
        <w:rPr>
          <w:rFonts w:eastAsia="Calibri" w:cs="Times New Roman"/>
          <w:bCs/>
        </w:rPr>
        <w:t>R.C. 4928.143(B)(2)(d) if doing so permits the EDU to secure transition revenue or its equivalent in violation of R.C. 4928.38.</w:t>
      </w:r>
    </w:p>
    <w:p w:rsidR="007D6F37" w:rsidRPr="007D6F37" w:rsidRDefault="00552E29" w:rsidP="007D6F37">
      <w:pPr>
        <w:spacing w:line="480" w:lineRule="auto"/>
        <w:ind w:firstLine="720"/>
        <w:jc w:val="both"/>
        <w:rPr>
          <w:rFonts w:eastAsia="Calibri" w:cs="Times New Roman"/>
        </w:rPr>
      </w:pPr>
      <w:r>
        <w:rPr>
          <w:rFonts w:eastAsia="Calibri" w:cs="Times New Roman"/>
        </w:rPr>
        <w:t>Despite the bar on the authorization of a charge to collect transition revenue or its equivalent, the Commission’s authorization of the PSR provides Duke the opportunity to seek to collect transition revenue or its equivalent</w:t>
      </w:r>
      <w:r w:rsidR="007D6F37" w:rsidRPr="007D6F37">
        <w:rPr>
          <w:rFonts w:eastAsia="Calibri" w:cs="Times New Roman"/>
        </w:rPr>
        <w:t>.</w:t>
      </w:r>
      <w:r w:rsidR="007D6F37" w:rsidRPr="007D6F37">
        <w:rPr>
          <w:rFonts w:eastAsia="Calibri" w:cs="Times New Roman"/>
          <w:vertAlign w:val="superscript"/>
        </w:rPr>
        <w:footnoteReference w:id="86"/>
      </w:r>
      <w:r w:rsidR="007D6F37" w:rsidRPr="007D6F37">
        <w:rPr>
          <w:rFonts w:eastAsia="Calibri" w:cs="Times New Roman"/>
        </w:rPr>
        <w:t xml:space="preserve">  As presented in the current case, </w:t>
      </w:r>
      <w:r w:rsidR="00C94A9E">
        <w:rPr>
          <w:rFonts w:eastAsia="Calibri" w:cs="Times New Roman"/>
        </w:rPr>
        <w:t xml:space="preserve">Duke seeks authorization to </w:t>
      </w:r>
      <w:r w:rsidR="007D6F37" w:rsidRPr="007D6F37">
        <w:rPr>
          <w:rFonts w:eastAsia="Calibri" w:cs="Times New Roman"/>
        </w:rPr>
        <w:t xml:space="preserve">charge customers the difference between what </w:t>
      </w:r>
      <w:r w:rsidR="0063437E">
        <w:rPr>
          <w:rFonts w:eastAsia="Calibri" w:cs="Times New Roman"/>
        </w:rPr>
        <w:t>Duke</w:t>
      </w:r>
      <w:r w:rsidR="007D6F37" w:rsidRPr="007D6F37">
        <w:rPr>
          <w:rFonts w:eastAsia="Calibri" w:cs="Times New Roman"/>
        </w:rPr>
        <w:t xml:space="preserve"> receives from PJM for wholesale </w:t>
      </w:r>
      <w:r w:rsidR="0028206C">
        <w:rPr>
          <w:rFonts w:eastAsia="Calibri" w:cs="Times New Roman"/>
        </w:rPr>
        <w:t>energy</w:t>
      </w:r>
      <w:r w:rsidR="0028206C" w:rsidRPr="007D6F37">
        <w:rPr>
          <w:rFonts w:eastAsia="Calibri" w:cs="Times New Roman"/>
        </w:rPr>
        <w:t xml:space="preserve"> </w:t>
      </w:r>
      <w:r w:rsidR="007D6F37" w:rsidRPr="007D6F37">
        <w:rPr>
          <w:rFonts w:eastAsia="Calibri" w:cs="Times New Roman"/>
        </w:rPr>
        <w:t>and capacity and the amounts billed to it by OVEC under the ICPA.</w:t>
      </w:r>
      <w:r w:rsidR="007D6F37" w:rsidRPr="007D6F37">
        <w:rPr>
          <w:rFonts w:eastAsia="Calibri" w:cs="Times New Roman"/>
          <w:vertAlign w:val="superscript"/>
        </w:rPr>
        <w:footnoteReference w:id="87"/>
      </w:r>
      <w:r w:rsidR="007D6F37" w:rsidRPr="007D6F37">
        <w:rPr>
          <w:rFonts w:eastAsia="Calibri" w:cs="Times New Roman"/>
        </w:rPr>
        <w:t xml:space="preserve">  The PJM revenues are determined by the market-based </w:t>
      </w:r>
      <w:r w:rsidR="007D6F37" w:rsidRPr="007D6F37">
        <w:rPr>
          <w:rFonts w:eastAsia="Calibri" w:cs="Times New Roman"/>
        </w:rPr>
        <w:lastRenderedPageBreak/>
        <w:t>prices established by the PJM tariffs.  When the generation-related costs exceed the market-based revenue, the difference is “the costs … unrecoverable in a competitive market.”</w:t>
      </w:r>
      <w:r w:rsidR="007D6F37" w:rsidRPr="007D6F37">
        <w:rPr>
          <w:rFonts w:eastAsia="Calibri" w:cs="Times New Roman"/>
          <w:vertAlign w:val="superscript"/>
        </w:rPr>
        <w:footnoteReference w:id="88"/>
      </w:r>
      <w:r w:rsidR="007D6F37" w:rsidRPr="007D6F37">
        <w:rPr>
          <w:rFonts w:eastAsia="Calibri" w:cs="Times New Roman"/>
        </w:rPr>
        <w:t xml:space="preserve">  The </w:t>
      </w:r>
      <w:r w:rsidR="0063437E">
        <w:rPr>
          <w:rFonts w:eastAsia="Calibri" w:cs="Times New Roman"/>
        </w:rPr>
        <w:t>PSR</w:t>
      </w:r>
      <w:r w:rsidR="007D6F37" w:rsidRPr="007D6F37">
        <w:rPr>
          <w:rFonts w:eastAsia="Calibri" w:cs="Times New Roman"/>
        </w:rPr>
        <w:t xml:space="preserve">, thus, would permit </w:t>
      </w:r>
      <w:r w:rsidR="0063437E">
        <w:rPr>
          <w:rFonts w:eastAsia="Calibri" w:cs="Times New Roman"/>
        </w:rPr>
        <w:t>Duke</w:t>
      </w:r>
      <w:r w:rsidR="007D6F37" w:rsidRPr="007D6F37">
        <w:rPr>
          <w:rFonts w:eastAsia="Calibri" w:cs="Times New Roman"/>
        </w:rPr>
        <w:t xml:space="preserve"> to recover transition revenue or its equivalent.  </w:t>
      </w:r>
    </w:p>
    <w:p w:rsidR="007D6F37" w:rsidRDefault="007D6F37" w:rsidP="007D6F37">
      <w:pPr>
        <w:spacing w:line="480" w:lineRule="auto"/>
        <w:ind w:firstLine="720"/>
        <w:jc w:val="both"/>
        <w:rPr>
          <w:rFonts w:eastAsia="Calibri" w:cs="Times New Roman"/>
        </w:rPr>
      </w:pPr>
      <w:r w:rsidRPr="007D6F37">
        <w:rPr>
          <w:rFonts w:eastAsia="Calibri" w:cs="Times New Roman"/>
        </w:rPr>
        <w:t xml:space="preserve">The time by which the authorization of transition revenue or its equivalent may be authorized and collected, however, has expired.  The MDP ended no later than December 31, 2005.  The period for recovery of regulatory assets ended no later than December 31, 2010.  Because the </w:t>
      </w:r>
      <w:r w:rsidR="0063437E">
        <w:rPr>
          <w:rFonts w:eastAsia="Calibri" w:cs="Times New Roman"/>
        </w:rPr>
        <w:t>PSR</w:t>
      </w:r>
      <w:r w:rsidRPr="007D6F37">
        <w:rPr>
          <w:rFonts w:eastAsia="Calibri" w:cs="Times New Roman"/>
        </w:rPr>
        <w:t xml:space="preserve"> would allow </w:t>
      </w:r>
      <w:r w:rsidR="0063437E">
        <w:rPr>
          <w:rFonts w:eastAsia="Calibri" w:cs="Times New Roman"/>
        </w:rPr>
        <w:t>Duke</w:t>
      </w:r>
      <w:r w:rsidRPr="007D6F37">
        <w:rPr>
          <w:rFonts w:eastAsia="Calibri" w:cs="Times New Roman"/>
        </w:rPr>
        <w:t xml:space="preserve"> to seek to recover a claim for transition revenue or its equivalent that is barred by statute, the Commission erred when it authorized </w:t>
      </w:r>
      <w:r w:rsidR="0063437E">
        <w:rPr>
          <w:rFonts w:eastAsia="Calibri" w:cs="Times New Roman"/>
        </w:rPr>
        <w:t>Duke</w:t>
      </w:r>
      <w:r w:rsidRPr="007D6F37">
        <w:rPr>
          <w:rFonts w:eastAsia="Calibri" w:cs="Times New Roman"/>
        </w:rPr>
        <w:t xml:space="preserve"> to establish a </w:t>
      </w:r>
      <w:r w:rsidR="0063437E">
        <w:rPr>
          <w:rFonts w:eastAsia="Calibri" w:cs="Times New Roman"/>
        </w:rPr>
        <w:t>PSR</w:t>
      </w:r>
      <w:r w:rsidRPr="007D6F37">
        <w:rPr>
          <w:rFonts w:eastAsia="Calibri" w:cs="Times New Roman"/>
        </w:rPr>
        <w:t>.</w:t>
      </w:r>
    </w:p>
    <w:p w:rsidR="00C94A9E" w:rsidRDefault="007D6F37" w:rsidP="0063437E">
      <w:pPr>
        <w:spacing w:line="480" w:lineRule="auto"/>
        <w:ind w:firstLine="720"/>
        <w:jc w:val="both"/>
        <w:rPr>
          <w:rFonts w:eastAsia="Calibri" w:cs="Times New Roman"/>
        </w:rPr>
      </w:pPr>
      <w:r w:rsidRPr="007D6F37">
        <w:rPr>
          <w:rFonts w:eastAsia="Calibri" w:cs="Times New Roman"/>
        </w:rPr>
        <w:t xml:space="preserve">Additionally, authorization of the </w:t>
      </w:r>
      <w:r w:rsidR="0063437E">
        <w:rPr>
          <w:rFonts w:eastAsia="Calibri" w:cs="Times New Roman"/>
        </w:rPr>
        <w:t>PSR</w:t>
      </w:r>
      <w:r w:rsidRPr="007D6F37">
        <w:rPr>
          <w:rFonts w:eastAsia="Calibri" w:cs="Times New Roman"/>
        </w:rPr>
        <w:t xml:space="preserve"> is barred by </w:t>
      </w:r>
      <w:r w:rsidR="0063437E">
        <w:rPr>
          <w:rFonts w:eastAsia="Calibri" w:cs="Times New Roman"/>
        </w:rPr>
        <w:t>Duke’s</w:t>
      </w:r>
      <w:r w:rsidRPr="007D6F37">
        <w:rPr>
          <w:rFonts w:eastAsia="Calibri" w:cs="Times New Roman"/>
        </w:rPr>
        <w:t xml:space="preserve"> 2000 settlement of its electric transition plan (“ETP”) case.  In that case, </w:t>
      </w:r>
      <w:r w:rsidR="0063437E" w:rsidRPr="0063437E">
        <w:rPr>
          <w:rFonts w:eastAsia="Calibri" w:cs="Times New Roman"/>
        </w:rPr>
        <w:t>The Cincinnati Gas and Electric Company, Duke’s predecessor, sought to recover transition revenue under S</w:t>
      </w:r>
      <w:r w:rsidR="009E2115">
        <w:rPr>
          <w:rFonts w:eastAsia="Calibri" w:cs="Times New Roman"/>
        </w:rPr>
        <w:t xml:space="preserve">enate </w:t>
      </w:r>
      <w:r w:rsidR="0063437E" w:rsidRPr="0063437E">
        <w:rPr>
          <w:rFonts w:eastAsia="Calibri" w:cs="Times New Roman"/>
        </w:rPr>
        <w:t>B</w:t>
      </w:r>
      <w:r w:rsidR="009E2115">
        <w:rPr>
          <w:rFonts w:eastAsia="Calibri" w:cs="Times New Roman"/>
        </w:rPr>
        <w:t>ill</w:t>
      </w:r>
      <w:r w:rsidR="0063437E" w:rsidRPr="0063437E">
        <w:rPr>
          <w:rFonts w:eastAsia="Calibri" w:cs="Times New Roman"/>
        </w:rPr>
        <w:t xml:space="preserve"> 3 </w:t>
      </w:r>
      <w:r w:rsidR="009E2115">
        <w:rPr>
          <w:rFonts w:eastAsia="Calibri" w:cs="Times New Roman"/>
        </w:rPr>
        <w:t xml:space="preserve">("SB 3") </w:t>
      </w:r>
      <w:r w:rsidR="0063437E" w:rsidRPr="0063437E">
        <w:rPr>
          <w:rFonts w:eastAsia="Calibri" w:cs="Times New Roman"/>
        </w:rPr>
        <w:t>when it filed its ETP in 1999.</w:t>
      </w:r>
      <w:r w:rsidR="0063437E" w:rsidRPr="0063437E">
        <w:rPr>
          <w:rFonts w:eastAsia="Calibri" w:cs="Times New Roman"/>
          <w:vertAlign w:val="superscript"/>
        </w:rPr>
        <w:footnoteReference w:id="89"/>
      </w:r>
      <w:r w:rsidR="0063437E" w:rsidRPr="0063437E">
        <w:rPr>
          <w:rFonts w:eastAsia="Calibri" w:cs="Times New Roman"/>
        </w:rPr>
        <w:t xml:space="preserve">  The application was resolved by a stipulation (“ETP Stipulation”), and the “transition plan stipulation provide[d] CG&amp;E with no GTC recovery and place[d] the electricity market price risk entirely on CG&amp;E.”</w:t>
      </w:r>
      <w:r w:rsidR="0063437E" w:rsidRPr="0063437E">
        <w:rPr>
          <w:rFonts w:eastAsia="Calibri" w:cs="Times New Roman"/>
          <w:vertAlign w:val="superscript"/>
        </w:rPr>
        <w:footnoteReference w:id="90"/>
      </w:r>
      <w:r w:rsidR="0063437E">
        <w:rPr>
          <w:rFonts w:eastAsia="Calibri" w:cs="Times New Roman"/>
        </w:rPr>
        <w:t xml:space="preserve">  </w:t>
      </w:r>
    </w:p>
    <w:p w:rsidR="007D6F37" w:rsidRPr="007D6F37" w:rsidRDefault="00C94A9E" w:rsidP="0063437E">
      <w:pPr>
        <w:spacing w:line="480" w:lineRule="auto"/>
        <w:ind w:firstLine="720"/>
        <w:jc w:val="both"/>
        <w:rPr>
          <w:rFonts w:eastAsia="Calibri" w:cs="Times New Roman"/>
        </w:rPr>
      </w:pPr>
      <w:r>
        <w:rPr>
          <w:rFonts w:eastAsia="Calibri" w:cs="Times New Roman"/>
        </w:rPr>
        <w:t>Although IEU-Ohio raised the bar of the ETP Stipulation as an additional basis for denying authorization of the PSR,</w:t>
      </w:r>
      <w:r w:rsidRPr="007D6F37">
        <w:rPr>
          <w:rFonts w:eastAsia="Calibri" w:cs="Times New Roman"/>
          <w:vertAlign w:val="superscript"/>
        </w:rPr>
        <w:footnoteReference w:id="91"/>
      </w:r>
      <w:r>
        <w:rPr>
          <w:rFonts w:eastAsia="Calibri" w:cs="Times New Roman"/>
        </w:rPr>
        <w:t xml:space="preserve"> the Commission</w:t>
      </w:r>
      <w:r w:rsidR="00DB364F">
        <w:rPr>
          <w:rFonts w:eastAsia="Calibri" w:cs="Times New Roman"/>
        </w:rPr>
        <w:t xml:space="preserve"> does not address the bar of the ETP Stipulation on authorization of the PSR in its findings.</w:t>
      </w:r>
    </w:p>
    <w:p w:rsidR="00A11EF6" w:rsidRDefault="00D9425D" w:rsidP="007D6F37">
      <w:pPr>
        <w:spacing w:line="480" w:lineRule="auto"/>
        <w:ind w:firstLine="720"/>
        <w:jc w:val="both"/>
        <w:rPr>
          <w:rFonts w:eastAsia="Calibri" w:cs="Times New Roman"/>
        </w:rPr>
      </w:pPr>
      <w:r w:rsidRPr="007D6F37">
        <w:rPr>
          <w:rFonts w:eastAsia="Calibri" w:cs="Times New Roman"/>
        </w:rPr>
        <w:lastRenderedPageBreak/>
        <w:t xml:space="preserve">The Commission erred when it failed to address and find that the ETP Stipulation barred authorization of the </w:t>
      </w:r>
      <w:r>
        <w:rPr>
          <w:rFonts w:eastAsia="Calibri" w:cs="Times New Roman"/>
        </w:rPr>
        <w:t>PSR</w:t>
      </w:r>
      <w:r w:rsidRPr="007D6F37">
        <w:rPr>
          <w:rFonts w:eastAsia="Calibri" w:cs="Times New Roman"/>
        </w:rPr>
        <w:t>.</w:t>
      </w:r>
      <w:r w:rsidRPr="007D6F37">
        <w:rPr>
          <w:rFonts w:eastAsia="Times New Roman" w:cs="Arial"/>
        </w:rPr>
        <w:t xml:space="preserve">  </w:t>
      </w:r>
      <w:r w:rsidR="00642554" w:rsidRPr="007D6F37">
        <w:rPr>
          <w:rFonts w:eastAsia="Calibri" w:cs="Times New Roman"/>
        </w:rPr>
        <w:t xml:space="preserve">Although IEU-Ohio raised the bar of the ETP Stipulation to transition revenue recovery in brief, the Commission does not address its reason for not enforcing the terms of the stipulation </w:t>
      </w:r>
      <w:r w:rsidR="00642554">
        <w:rPr>
          <w:rFonts w:eastAsia="Calibri" w:cs="Times New Roman"/>
        </w:rPr>
        <w:t>in its discussion authorizing the PSR</w:t>
      </w:r>
      <w:r w:rsidR="00642554" w:rsidRPr="007D6F37">
        <w:rPr>
          <w:rFonts w:eastAsia="Calibri" w:cs="Times New Roman"/>
        </w:rPr>
        <w:t>.</w:t>
      </w:r>
      <w:r w:rsidR="00642554" w:rsidRPr="007D6F37">
        <w:rPr>
          <w:rFonts w:eastAsia="Calibri" w:cs="Times New Roman"/>
          <w:vertAlign w:val="superscript"/>
        </w:rPr>
        <w:footnoteReference w:id="92"/>
      </w:r>
      <w:r w:rsidR="00642554" w:rsidRPr="007D6F37">
        <w:rPr>
          <w:rFonts w:eastAsia="Calibri" w:cs="Times New Roman"/>
        </w:rPr>
        <w:t xml:space="preserve">  Because the issue was squarely raised, the Commission </w:t>
      </w:r>
      <w:r w:rsidR="00642554">
        <w:rPr>
          <w:rFonts w:eastAsia="Calibri" w:cs="Times New Roman"/>
        </w:rPr>
        <w:t>must</w:t>
      </w:r>
      <w:r w:rsidR="00642554" w:rsidRPr="007D6F37">
        <w:rPr>
          <w:rFonts w:eastAsia="Calibri" w:cs="Times New Roman"/>
        </w:rPr>
        <w:t xml:space="preserve"> </w:t>
      </w:r>
      <w:r w:rsidR="00642554">
        <w:rPr>
          <w:rFonts w:eastAsia="Calibri" w:cs="Times New Roman"/>
        </w:rPr>
        <w:t>“</w:t>
      </w:r>
      <w:r w:rsidR="00642554" w:rsidRPr="007D6F37">
        <w:rPr>
          <w:rFonts w:eastAsia="Calibri" w:cs="Times New Roman"/>
        </w:rPr>
        <w:t>respond to contrary positions, and support its decision with appropriate evidence.”</w:t>
      </w:r>
      <w:r w:rsidR="00642554" w:rsidRPr="007D6F37">
        <w:rPr>
          <w:rFonts w:eastAsia="Calibri" w:cs="Times New Roman"/>
          <w:vertAlign w:val="superscript"/>
        </w:rPr>
        <w:footnoteReference w:id="93"/>
      </w:r>
      <w:r w:rsidR="00642554" w:rsidRPr="007D6F37">
        <w:rPr>
          <w:rFonts w:eastAsia="Calibri" w:cs="Times New Roman"/>
        </w:rPr>
        <w:t xml:space="preserve">  </w:t>
      </w:r>
      <w:r w:rsidR="00642554">
        <w:rPr>
          <w:rFonts w:eastAsia="Calibri" w:cs="Times New Roman"/>
        </w:rPr>
        <w:t xml:space="preserve">On rehearing, </w:t>
      </w:r>
      <w:r w:rsidR="00C94A9E">
        <w:rPr>
          <w:rFonts w:eastAsia="Calibri" w:cs="Times New Roman"/>
        </w:rPr>
        <w:t xml:space="preserve">therefore, </w:t>
      </w:r>
      <w:r w:rsidR="00642554">
        <w:rPr>
          <w:rFonts w:eastAsia="Calibri" w:cs="Times New Roman"/>
        </w:rPr>
        <w:t xml:space="preserve">the Commission should address the effect of the ETP Stipulation and find that the </w:t>
      </w:r>
      <w:r w:rsidR="009E2115">
        <w:rPr>
          <w:rFonts w:eastAsia="Calibri" w:cs="Times New Roman"/>
        </w:rPr>
        <w:t xml:space="preserve">ETP </w:t>
      </w:r>
      <w:r w:rsidR="00642554">
        <w:rPr>
          <w:rFonts w:eastAsia="Calibri" w:cs="Times New Roman"/>
        </w:rPr>
        <w:t>Stipulation bars authorization of the PSR because the rider would permit Duke to recover transition revenue or its equivalent</w:t>
      </w:r>
      <w:r w:rsidRPr="007D6F37">
        <w:rPr>
          <w:rFonts w:eastAsia="Calibri" w:cs="Times New Roman"/>
        </w:rPr>
        <w:t xml:space="preserve">.  </w:t>
      </w:r>
    </w:p>
    <w:p w:rsidR="006B705F" w:rsidRPr="006B705F" w:rsidRDefault="006B705F" w:rsidP="006B705F">
      <w:pPr>
        <w:pStyle w:val="Heading3"/>
      </w:pPr>
      <w:bookmarkStart w:id="211" w:name="_Toc414094871"/>
      <w:bookmarkStart w:id="212" w:name="_Toc414363749"/>
      <w:bookmarkStart w:id="213" w:name="_Toc414363844"/>
      <w:bookmarkStart w:id="214" w:name="_Toc414366709"/>
      <w:bookmarkStart w:id="215" w:name="_Toc414366932"/>
      <w:bookmarkStart w:id="216" w:name="_Toc414367239"/>
      <w:bookmarkStart w:id="217" w:name="_Toc414368387"/>
      <w:bookmarkStart w:id="218" w:name="_Toc414370909"/>
      <w:bookmarkStart w:id="219" w:name="_Toc414371036"/>
      <w:bookmarkStart w:id="220" w:name="_Toc414371171"/>
      <w:bookmarkStart w:id="221" w:name="_Toc414371213"/>
      <w:bookmarkStart w:id="222" w:name="_Toc414371277"/>
      <w:bookmarkStart w:id="223" w:name="_Toc414371343"/>
      <w:bookmarkStart w:id="224" w:name="_Toc414371485"/>
      <w:bookmarkStart w:id="225" w:name="_Toc414372699"/>
      <w:bookmarkStart w:id="226" w:name="_Toc414373006"/>
      <w:bookmarkStart w:id="227" w:name="_Toc414373697"/>
      <w:bookmarkStart w:id="228" w:name="_Toc414877922"/>
      <w:bookmarkStart w:id="229" w:name="_Toc414973823"/>
      <w:bookmarkStart w:id="230" w:name="_Toc414973854"/>
      <w:bookmarkStart w:id="231" w:name="_Toc415223876"/>
      <w:bookmarkStart w:id="232" w:name="_Toc415225437"/>
      <w:bookmarkStart w:id="233" w:name="_Toc418495456"/>
      <w:bookmarkStart w:id="234" w:name="assign10"/>
      <w:r w:rsidRPr="006B705F">
        <w:t xml:space="preserve">The ESP Order is unlawful and unreasonable because, under the Supremacy Clause of the United States Constitution, the Commission is preempted by the Federal Power Act from authorizing a rider such as </w:t>
      </w:r>
      <w:r w:rsidR="002674B9">
        <w:t xml:space="preserve">the </w:t>
      </w:r>
      <w:r>
        <w:t>PSR</w:t>
      </w:r>
      <w:r w:rsidRPr="006B705F">
        <w:t xml:space="preserve"> that may authorize </w:t>
      </w:r>
      <w:r>
        <w:t>Duke</w:t>
      </w:r>
      <w:r w:rsidRPr="006B705F">
        <w:t xml:space="preserve"> to increase its compensation for wholesale generation-related services in an amount exceeding that authorized by the Federal Energy Regulatory Commission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bookmarkEnd w:id="234"/>
    <w:p w:rsidR="006B705F" w:rsidRPr="006B705F" w:rsidRDefault="006B705F" w:rsidP="006B705F">
      <w:pPr>
        <w:spacing w:line="480" w:lineRule="auto"/>
        <w:contextualSpacing/>
        <w:jc w:val="both"/>
        <w:rPr>
          <w:rFonts w:eastAsia="Times New Roman" w:cs="Arial"/>
        </w:rPr>
      </w:pPr>
      <w:r w:rsidRPr="006B705F">
        <w:rPr>
          <w:rFonts w:eastAsia="Times New Roman" w:cs="Arial"/>
        </w:rPr>
        <w:tab/>
        <w:t>In the ESP Order, the Commission declined “to address constitutional issues raised by the parties in these proceedings, as, under the specific facts and circumstances of these cases, such issues are best reserved for judicial determination.”</w:t>
      </w:r>
      <w:r w:rsidRPr="006B705F">
        <w:rPr>
          <w:rFonts w:eastAsia="Times New Roman" w:cs="Arial"/>
          <w:vertAlign w:val="superscript"/>
        </w:rPr>
        <w:footnoteReference w:id="94"/>
      </w:r>
      <w:r w:rsidRPr="006B705F">
        <w:rPr>
          <w:rFonts w:eastAsia="Times New Roman" w:cs="Arial"/>
        </w:rPr>
        <w:t xml:space="preserve">  The issue of preemption, however, is squarely presented to the Commission in this proceeding, and the Commission should have found that it is preempted from approving a rider that will increase </w:t>
      </w:r>
      <w:r w:rsidR="00C57B05">
        <w:rPr>
          <w:rFonts w:eastAsia="Times New Roman" w:cs="Arial"/>
        </w:rPr>
        <w:t>Duke</w:t>
      </w:r>
      <w:r w:rsidRPr="006B705F">
        <w:rPr>
          <w:rFonts w:eastAsia="Times New Roman" w:cs="Arial"/>
        </w:rPr>
        <w:t>’s compensation for wholesale generation-related electric services.</w:t>
      </w:r>
    </w:p>
    <w:p w:rsidR="006B705F" w:rsidRDefault="006B705F" w:rsidP="006B705F">
      <w:pPr>
        <w:spacing w:line="480" w:lineRule="auto"/>
        <w:contextualSpacing/>
        <w:jc w:val="both"/>
        <w:rPr>
          <w:rFonts w:eastAsia="Times New Roman" w:cs="Arial"/>
        </w:rPr>
      </w:pPr>
      <w:r w:rsidRPr="006B705F">
        <w:rPr>
          <w:rFonts w:eastAsia="Times New Roman" w:cs="Arial"/>
        </w:rPr>
        <w:lastRenderedPageBreak/>
        <w:tab/>
        <w:t xml:space="preserve">Previously, the Commission has not been reluctant to address whether it is preempted from acting on a request for an order.  </w:t>
      </w:r>
      <w:r w:rsidR="006D6B8E">
        <w:rPr>
          <w:rFonts w:eastAsia="Times New Roman" w:cs="Arial"/>
        </w:rPr>
        <w:t xml:space="preserve">It has repeatedly addressed whether it is preempted by federal law, both to find that it is preempted and not preempted based on the relevant statutes.  In a rulemaking proceeding, for example, the Commission noted that federal </w:t>
      </w:r>
      <w:r w:rsidR="002674B9">
        <w:rPr>
          <w:rFonts w:eastAsia="Times New Roman" w:cs="Arial"/>
        </w:rPr>
        <w:t xml:space="preserve">law </w:t>
      </w:r>
      <w:r w:rsidR="006D6B8E">
        <w:rPr>
          <w:rFonts w:eastAsia="Times New Roman" w:cs="Arial"/>
        </w:rPr>
        <w:t>preempted all state laws relating to the price, route, or service of any motor carrier when engaged in intrastate transportation and rescinded rules in conflict with federal law.</w:t>
      </w:r>
      <w:r w:rsidR="006D6B8E">
        <w:rPr>
          <w:rStyle w:val="FootnoteReference"/>
          <w:rFonts w:eastAsia="Times New Roman" w:cs="Arial"/>
        </w:rPr>
        <w:footnoteReference w:id="95"/>
      </w:r>
      <w:r w:rsidR="006D6B8E">
        <w:rPr>
          <w:rFonts w:eastAsia="Times New Roman" w:cs="Arial"/>
        </w:rPr>
        <w:t xml:space="preserve">  </w:t>
      </w:r>
      <w:r w:rsidR="005508C0">
        <w:rPr>
          <w:rFonts w:eastAsia="Times New Roman" w:cs="Arial"/>
        </w:rPr>
        <w:t>Similarly, the Commission concluded it was preempted from reviewing transmission costs incurred by AEP-Ohio that were the subject of a pending FERC application.</w:t>
      </w:r>
      <w:r w:rsidR="005508C0">
        <w:rPr>
          <w:rStyle w:val="FootnoteReference"/>
          <w:rFonts w:eastAsia="Times New Roman" w:cs="Arial"/>
        </w:rPr>
        <w:footnoteReference w:id="96"/>
      </w:r>
      <w:r w:rsidR="005508C0">
        <w:rPr>
          <w:rFonts w:eastAsia="Times New Roman" w:cs="Arial"/>
        </w:rPr>
        <w:t xml:space="preserve">  </w:t>
      </w:r>
      <w:r w:rsidRPr="006B705F">
        <w:rPr>
          <w:rFonts w:eastAsia="Times New Roman" w:cs="Arial"/>
        </w:rPr>
        <w:t xml:space="preserve">In </w:t>
      </w:r>
      <w:r w:rsidR="006D6B8E">
        <w:rPr>
          <w:rFonts w:eastAsia="Times New Roman" w:cs="Arial"/>
        </w:rPr>
        <w:t>another</w:t>
      </w:r>
      <w:r w:rsidRPr="006B705F">
        <w:rPr>
          <w:rFonts w:eastAsia="Times New Roman" w:cs="Arial"/>
        </w:rPr>
        <w:t xml:space="preserve"> recent case, </w:t>
      </w:r>
      <w:r w:rsidR="00694447">
        <w:rPr>
          <w:rFonts w:eastAsia="Times New Roman" w:cs="Arial"/>
        </w:rPr>
        <w:t>AEP-Ohio</w:t>
      </w:r>
      <w:r w:rsidRPr="006B705F">
        <w:rPr>
          <w:rFonts w:eastAsia="Times New Roman" w:cs="Arial"/>
        </w:rPr>
        <w:t xml:space="preserve"> sought and received authority for an above-market wholesale “capacity charge.”  In that case, the Commission </w:t>
      </w:r>
      <w:r w:rsidR="00805A34">
        <w:rPr>
          <w:rFonts w:eastAsia="Times New Roman" w:cs="Arial"/>
        </w:rPr>
        <w:t xml:space="preserve">likewise </w:t>
      </w:r>
      <w:r w:rsidRPr="006B705F">
        <w:rPr>
          <w:rFonts w:eastAsia="Times New Roman" w:cs="Arial"/>
        </w:rPr>
        <w:t xml:space="preserve">did not defer and instead determined, incorrectly, that it had the authority to increase </w:t>
      </w:r>
      <w:r w:rsidR="00642554">
        <w:rPr>
          <w:rFonts w:eastAsia="Times New Roman" w:cs="Arial"/>
        </w:rPr>
        <w:t>AEP-Ohio’s</w:t>
      </w:r>
      <w:r w:rsidRPr="006B705F">
        <w:rPr>
          <w:rFonts w:eastAsia="Times New Roman" w:cs="Arial"/>
        </w:rPr>
        <w:t xml:space="preserve"> compensation for wholesale capacity service.</w:t>
      </w:r>
      <w:r w:rsidRPr="006B705F">
        <w:rPr>
          <w:rFonts w:eastAsia="Times New Roman" w:cs="Arial"/>
          <w:vertAlign w:val="superscript"/>
        </w:rPr>
        <w:footnoteReference w:id="97"/>
      </w:r>
      <w:r w:rsidRPr="006B705F">
        <w:rPr>
          <w:rFonts w:eastAsia="Times New Roman" w:cs="Arial"/>
        </w:rPr>
        <w:t xml:space="preserve">  </w:t>
      </w:r>
      <w:r w:rsidR="00642554">
        <w:rPr>
          <w:rFonts w:eastAsia="Times New Roman" w:cs="Arial"/>
        </w:rPr>
        <w:t>In this case, t</w:t>
      </w:r>
      <w:r w:rsidR="00805A34">
        <w:rPr>
          <w:rFonts w:eastAsia="Times New Roman" w:cs="Arial"/>
        </w:rPr>
        <w:t>he Commission has not offered any reason for deferring to a court of appropriate jurisdiction, and t</w:t>
      </w:r>
      <w:r w:rsidRPr="006B705F">
        <w:rPr>
          <w:rFonts w:eastAsia="Times New Roman" w:cs="Arial"/>
        </w:rPr>
        <w:t xml:space="preserve">here is no reason for the Commission to refrain in this instance from </w:t>
      </w:r>
      <w:r w:rsidR="00D50756">
        <w:rPr>
          <w:rFonts w:eastAsia="Times New Roman" w:cs="Arial"/>
        </w:rPr>
        <w:t>finding that</w:t>
      </w:r>
      <w:r w:rsidRPr="006B705F">
        <w:rPr>
          <w:rFonts w:eastAsia="Times New Roman" w:cs="Arial"/>
        </w:rPr>
        <w:t xml:space="preserve"> the FPA </w:t>
      </w:r>
      <w:r w:rsidR="00D50756">
        <w:rPr>
          <w:rFonts w:eastAsia="Times New Roman" w:cs="Arial"/>
        </w:rPr>
        <w:t>preempts the Commission from authorizing</w:t>
      </w:r>
      <w:r w:rsidRPr="006B705F">
        <w:rPr>
          <w:rFonts w:eastAsia="Times New Roman" w:cs="Arial"/>
        </w:rPr>
        <w:t xml:space="preserve"> the </w:t>
      </w:r>
      <w:r>
        <w:rPr>
          <w:rFonts w:eastAsia="Times New Roman" w:cs="Arial"/>
        </w:rPr>
        <w:t>PSR</w:t>
      </w:r>
      <w:r w:rsidR="00694447">
        <w:rPr>
          <w:rFonts w:eastAsia="Times New Roman" w:cs="Arial"/>
        </w:rPr>
        <w:t>.</w:t>
      </w:r>
    </w:p>
    <w:p w:rsidR="006B705F" w:rsidRPr="006B705F" w:rsidRDefault="00694447" w:rsidP="006B705F">
      <w:pPr>
        <w:spacing w:line="480" w:lineRule="auto"/>
        <w:contextualSpacing/>
        <w:jc w:val="both"/>
        <w:rPr>
          <w:rFonts w:eastAsia="Calibri" w:cs="Times New Roman"/>
        </w:rPr>
      </w:pPr>
      <w:r>
        <w:rPr>
          <w:rFonts w:eastAsia="Times New Roman" w:cs="Arial"/>
        </w:rPr>
        <w:lastRenderedPageBreak/>
        <w:tab/>
      </w:r>
      <w:r w:rsidR="006B705F" w:rsidRPr="006B705F">
        <w:rPr>
          <w:rFonts w:eastAsia="Calibri" w:cs="Arial"/>
          <w:shd w:val="clear" w:color="auto" w:fill="FFFFFF"/>
        </w:rPr>
        <w:t>Under the Supremacy Clause of the United States Constitution</w:t>
      </w:r>
      <w:r w:rsidR="00642554">
        <w:rPr>
          <w:rFonts w:eastAsia="Calibri" w:cs="Arial"/>
          <w:shd w:val="clear" w:color="auto" w:fill="FFFFFF"/>
        </w:rPr>
        <w:t>,</w:t>
      </w:r>
      <w:r w:rsidR="006B705F" w:rsidRPr="006B705F">
        <w:rPr>
          <w:rFonts w:eastAsia="Calibri" w:cs="Arial"/>
          <w:shd w:val="clear" w:color="auto" w:fill="FFFFFF"/>
          <w:vertAlign w:val="superscript"/>
        </w:rPr>
        <w:footnoteReference w:id="98"/>
      </w:r>
      <w:r w:rsidR="006B705F" w:rsidRPr="006B705F">
        <w:rPr>
          <w:rFonts w:eastAsia="Calibri" w:cs="Arial"/>
          <w:shd w:val="clear" w:color="auto" w:fill="FFFFFF"/>
        </w:rPr>
        <w:t xml:space="preserve"> federal law preempts state legislation and regulating authority (1) if Congress, in enacting a federal statute, has expressed a clear intent to preempt state law; (2) if it is clear, despite the absence of explicit preemptive language, that Congress has intended, by legislating comprehensively, to occupy an entire field of regulation and has left no room for the states to supplement the federal law; or (3) if compliance with both state and federal law is impossible or when compliance with state law stands as an obstacle to the accomplishment and execution of the full purposes and objectives of the federal policies embodied in the laws at issue.</w:t>
      </w:r>
      <w:r w:rsidR="006B705F" w:rsidRPr="006B705F">
        <w:rPr>
          <w:rFonts w:eastAsia="Calibri" w:cs="Arial"/>
          <w:shd w:val="clear" w:color="auto" w:fill="FFFFFF"/>
          <w:vertAlign w:val="superscript"/>
        </w:rPr>
        <w:footnoteReference w:id="99"/>
      </w:r>
    </w:p>
    <w:p w:rsidR="006B705F" w:rsidRPr="006B705F" w:rsidRDefault="006B705F" w:rsidP="006B705F">
      <w:pPr>
        <w:spacing w:line="480" w:lineRule="auto"/>
        <w:ind w:firstLine="720"/>
        <w:jc w:val="both"/>
        <w:rPr>
          <w:rFonts w:eastAsia="Calibri" w:cs="Times New Roman"/>
        </w:rPr>
      </w:pPr>
      <w:r w:rsidRPr="006B705F">
        <w:rPr>
          <w:rFonts w:eastAsia="Calibri" w:cs="Times New Roman"/>
        </w:rPr>
        <w:t xml:space="preserve">Two recent federal district court decisions demonstrate that </w:t>
      </w:r>
      <w:r w:rsidR="00EF38D9">
        <w:rPr>
          <w:rFonts w:eastAsia="Calibri" w:cs="Times New Roman"/>
        </w:rPr>
        <w:t xml:space="preserve">an </w:t>
      </w:r>
      <w:r w:rsidRPr="006B705F">
        <w:rPr>
          <w:rFonts w:eastAsia="Calibri" w:cs="Times New Roman"/>
        </w:rPr>
        <w:t xml:space="preserve">attempt by </w:t>
      </w:r>
      <w:r w:rsidR="00EF38D9">
        <w:rPr>
          <w:rFonts w:eastAsia="Calibri" w:cs="Times New Roman"/>
        </w:rPr>
        <w:t xml:space="preserve">a </w:t>
      </w:r>
      <w:r w:rsidRPr="006B705F">
        <w:rPr>
          <w:rFonts w:eastAsia="Calibri" w:cs="Times New Roman"/>
        </w:rPr>
        <w:t xml:space="preserve">state to increase the compensation of a generation owner for wholesale capacity and energy services </w:t>
      </w:r>
      <w:r w:rsidR="00EF38D9">
        <w:rPr>
          <w:rFonts w:eastAsia="Calibri" w:cs="Times New Roman"/>
        </w:rPr>
        <w:t>is</w:t>
      </w:r>
      <w:r w:rsidR="00EF38D9" w:rsidRPr="006B705F">
        <w:rPr>
          <w:rFonts w:eastAsia="Calibri" w:cs="Times New Roman"/>
        </w:rPr>
        <w:t xml:space="preserve"> </w:t>
      </w:r>
      <w:r w:rsidRPr="006B705F">
        <w:rPr>
          <w:rFonts w:eastAsia="Calibri" w:cs="Times New Roman"/>
        </w:rPr>
        <w:t xml:space="preserve">preempted because </w:t>
      </w:r>
      <w:r w:rsidR="00EF38D9">
        <w:rPr>
          <w:rFonts w:eastAsia="Calibri" w:cs="Times New Roman"/>
        </w:rPr>
        <w:t>it</w:t>
      </w:r>
      <w:r w:rsidR="00EF38D9" w:rsidRPr="006B705F">
        <w:rPr>
          <w:rFonts w:eastAsia="Calibri" w:cs="Times New Roman"/>
        </w:rPr>
        <w:t xml:space="preserve"> </w:t>
      </w:r>
      <w:r w:rsidRPr="006B705F">
        <w:rPr>
          <w:rFonts w:eastAsia="Calibri" w:cs="Times New Roman"/>
        </w:rPr>
        <w:t>invade</w:t>
      </w:r>
      <w:r w:rsidR="00EF38D9">
        <w:rPr>
          <w:rFonts w:eastAsia="Calibri" w:cs="Times New Roman"/>
        </w:rPr>
        <w:t>s</w:t>
      </w:r>
      <w:r w:rsidRPr="006B705F">
        <w:rPr>
          <w:rFonts w:eastAsia="Calibri" w:cs="Times New Roman"/>
        </w:rPr>
        <w:t xml:space="preserve"> a field of regulation within the exclusive authority of FERC.  In the first decision, </w:t>
      </w:r>
      <w:r w:rsidRPr="006B705F">
        <w:rPr>
          <w:rFonts w:eastAsia="Calibri" w:cs="Times New Roman"/>
          <w:i/>
        </w:rPr>
        <w:t>PPL Energyplus, LLC v. Nazarian</w:t>
      </w:r>
      <w:r w:rsidRPr="006B705F">
        <w:rPr>
          <w:rFonts w:eastAsia="Calibri" w:cs="Times New Roman"/>
        </w:rPr>
        <w:t>,</w:t>
      </w:r>
      <w:r w:rsidRPr="006B705F">
        <w:rPr>
          <w:rFonts w:eastAsia="Calibri" w:cs="Times New Roman"/>
          <w:vertAlign w:val="superscript"/>
        </w:rPr>
        <w:footnoteReference w:id="100"/>
      </w:r>
      <w:r w:rsidRPr="006B705F">
        <w:rPr>
          <w:rFonts w:eastAsia="Calibri" w:cs="Times New Roman"/>
        </w:rPr>
        <w:t xml:space="preserve"> a federal district court in Maryland reviewed an order of the Maryland Public Service Commission ("Maryland Commission") that increased compensation for the provision of wholesale electric services of an entity that was seeking to construct a generation plant (“Generation Owner”).  In the challenged order, the Maryland Commission directed the incumbent local electric utilities to enter into contracts with the Generation Owner.  The contracts would have required the local electric utilities to pay the Generation Owner the difference between what the Generation Owner received for market-based sales of capacity and energy to PJM and a contract price established by the Maryland </w:t>
      </w:r>
      <w:r w:rsidRPr="006B705F">
        <w:rPr>
          <w:rFonts w:eastAsia="Calibri" w:cs="Times New Roman"/>
        </w:rPr>
        <w:lastRenderedPageBreak/>
        <w:t>Commission based on the cost of construction and operation of the plant for twenty years.  Any loss or gain that the local electric utilities incurred under the contracts ordered by the Maryland Commission was to be passed on to Maryland ratepayers by the local electric utilities.</w:t>
      </w:r>
      <w:r w:rsidRPr="006B705F">
        <w:rPr>
          <w:rFonts w:eastAsia="Calibri" w:cs="Times New Roman"/>
          <w:vertAlign w:val="superscript"/>
        </w:rPr>
        <w:footnoteReference w:id="101"/>
      </w:r>
      <w:r w:rsidRPr="006B705F">
        <w:rPr>
          <w:rFonts w:eastAsia="Calibri" w:cs="Times New Roman"/>
          <w:i/>
        </w:rPr>
        <w:t xml:space="preserve">  </w:t>
      </w:r>
      <w:r w:rsidRPr="006B705F">
        <w:rPr>
          <w:rFonts w:eastAsia="Calibri" w:cs="Times New Roman"/>
        </w:rPr>
        <w:t>The federal court concluded that the Maryland Commission’s order fixed the monetary value of wholesale generation-related capacity and energy services provided by the Generation Owner.</w:t>
      </w:r>
      <w:r w:rsidRPr="006B705F">
        <w:rPr>
          <w:rFonts w:eastAsia="Calibri" w:cs="Times New Roman"/>
          <w:vertAlign w:val="superscript"/>
        </w:rPr>
        <w:footnoteReference w:id="102"/>
      </w:r>
      <w:r w:rsidRPr="006B705F">
        <w:rPr>
          <w:rFonts w:eastAsia="Calibri" w:cs="Times New Roman"/>
        </w:rPr>
        <w:t xml:space="preserve">  Based on the Court’s determination that FERC has exclusive authority in that field and has fixed the price for wholesale energy and capacity sales in the PJM markets as the market-based price produced by the auction processes approved by FERC and utilized by PJM, the Court declared the action of the Maryland Commission to be preempted.</w:t>
      </w:r>
      <w:r w:rsidRPr="006B705F">
        <w:rPr>
          <w:rFonts w:eastAsia="Calibri" w:cs="Times New Roman"/>
          <w:vertAlign w:val="superscript"/>
        </w:rPr>
        <w:footnoteReference w:id="103"/>
      </w:r>
      <w:r w:rsidRPr="006B705F">
        <w:rPr>
          <w:rFonts w:eastAsia="Calibri" w:cs="Times New Roman"/>
        </w:rPr>
        <w:t xml:space="preserve">  In the opinion affirming the decision of the district court, the Fourth Circuit Court of Appeals agreed that the Maryland Commission was preempted because the field of wholesale energy prices was exclusively within the jurisdiction of FERC.</w:t>
      </w:r>
      <w:r w:rsidRPr="006B705F">
        <w:rPr>
          <w:rFonts w:eastAsia="Calibri" w:cs="Times New Roman"/>
          <w:vertAlign w:val="superscript"/>
        </w:rPr>
        <w:footnoteReference w:id="104"/>
      </w:r>
    </w:p>
    <w:p w:rsidR="006B705F" w:rsidRDefault="006B705F" w:rsidP="006B705F">
      <w:pPr>
        <w:spacing w:line="480" w:lineRule="auto"/>
        <w:ind w:firstLine="720"/>
        <w:jc w:val="both"/>
        <w:rPr>
          <w:rFonts w:eastAsia="Calibri" w:cs="Times New Roman"/>
        </w:rPr>
      </w:pPr>
      <w:r w:rsidRPr="006B705F">
        <w:rPr>
          <w:rFonts w:eastAsia="Calibri" w:cs="Times New Roman"/>
        </w:rPr>
        <w:t xml:space="preserve">In </w:t>
      </w:r>
      <w:r w:rsidR="00F33CFD">
        <w:rPr>
          <w:rFonts w:eastAsia="Calibri" w:cs="Times New Roman"/>
          <w:i/>
        </w:rPr>
        <w:t xml:space="preserve">PPL Energy Plus, LLC </w:t>
      </w:r>
      <w:r w:rsidRPr="006B705F">
        <w:rPr>
          <w:rFonts w:eastAsia="Calibri" w:cs="Times New Roman"/>
          <w:i/>
        </w:rPr>
        <w:t xml:space="preserve">v. </w:t>
      </w:r>
      <w:r w:rsidR="00F33CFD">
        <w:rPr>
          <w:rFonts w:eastAsia="Calibri" w:cs="Times New Roman"/>
          <w:i/>
        </w:rPr>
        <w:t>Hanna</w:t>
      </w:r>
      <w:r w:rsidRPr="006B705F">
        <w:rPr>
          <w:rFonts w:eastAsia="Calibri" w:cs="Times New Roman"/>
          <w:i/>
        </w:rPr>
        <w:t>,</w:t>
      </w:r>
      <w:r w:rsidRPr="006B705F">
        <w:rPr>
          <w:rFonts w:eastAsia="Calibri" w:cs="Times New Roman"/>
          <w:i/>
          <w:vertAlign w:val="superscript"/>
        </w:rPr>
        <w:footnoteReference w:id="105"/>
      </w:r>
      <w:r w:rsidRPr="006B705F">
        <w:rPr>
          <w:rFonts w:eastAsia="Calibri" w:cs="Times New Roman"/>
          <w:i/>
        </w:rPr>
        <w:t xml:space="preserve"> </w:t>
      </w:r>
      <w:r w:rsidRPr="006B705F">
        <w:rPr>
          <w:rFonts w:eastAsia="Calibri" w:cs="Times New Roman"/>
        </w:rPr>
        <w:t xml:space="preserve">a federal district court in New Jersey reached the same result, concluding that state legislation that attempted to encourage the construction of new generation plants by guaranteeing a price of capacity to the builder was preempted.  In the New Jersey case, the state legislature passed legislation “to provide a transaction structure that would result in new power plants being </w:t>
      </w:r>
      <w:r w:rsidRPr="006B705F">
        <w:rPr>
          <w:rFonts w:eastAsia="Calibri" w:cs="Times New Roman"/>
        </w:rPr>
        <w:lastRenderedPageBreak/>
        <w:t>constructed in the PJM territories that benefit New Jersey.”</w:t>
      </w:r>
      <w:r w:rsidRPr="006B705F">
        <w:rPr>
          <w:rFonts w:eastAsia="Calibri" w:cs="Times New Roman"/>
          <w:vertAlign w:val="superscript"/>
        </w:rPr>
        <w:footnoteReference w:id="106"/>
      </w:r>
      <w:r w:rsidRPr="006B705F">
        <w:rPr>
          <w:rFonts w:eastAsia="Calibri" w:cs="Times New Roman"/>
        </w:rPr>
        <w:t xml:space="preserve">  The law authorized the New Jersey Board of Public Utilities ("Board") to issue a </w:t>
      </w:r>
      <w:r w:rsidR="000F6D85">
        <w:rPr>
          <w:rFonts w:eastAsia="Calibri" w:cs="Times New Roman"/>
        </w:rPr>
        <w:t>standard service offer</w:t>
      </w:r>
      <w:r w:rsidR="000F6D85" w:rsidRPr="006B705F">
        <w:rPr>
          <w:rFonts w:eastAsia="Calibri" w:cs="Times New Roman"/>
        </w:rPr>
        <w:t xml:space="preserve"> </w:t>
      </w:r>
      <w:r w:rsidRPr="006B705F">
        <w:rPr>
          <w:rFonts w:eastAsia="Calibri" w:cs="Times New Roman"/>
        </w:rPr>
        <w:t xml:space="preserve">capacity agreement and directed the State’s four </w:t>
      </w:r>
      <w:r w:rsidR="00642554">
        <w:rPr>
          <w:rFonts w:eastAsia="Calibri" w:cs="Times New Roman"/>
        </w:rPr>
        <w:t>electric distribution companies</w:t>
      </w:r>
      <w:r w:rsidRPr="006B705F">
        <w:rPr>
          <w:rFonts w:eastAsia="Calibri" w:cs="Times New Roman"/>
        </w:rPr>
        <w:t xml:space="preserve"> to enter into contracts with generators to pay any difference between the Reliability Pricing Model-Based Price (“RPM-Based Price”) and the development costs of the generators that the Board approved.</w:t>
      </w:r>
      <w:r w:rsidRPr="006B705F">
        <w:rPr>
          <w:rFonts w:eastAsia="Calibri" w:cs="Times New Roman"/>
          <w:vertAlign w:val="superscript"/>
        </w:rPr>
        <w:footnoteReference w:id="107"/>
      </w:r>
      <w:r w:rsidRPr="006B705F">
        <w:rPr>
          <w:rFonts w:eastAsia="Calibri" w:cs="Times New Roman"/>
        </w:rPr>
        <w:t xml:space="preserve">  Like the Maryland federal court, the New Jersey federal court found that the New Jersey legislation was preempted because the FPA occupied the field of wholesale electricity sales, including the price at which electricity is sold at wholesale.</w:t>
      </w:r>
      <w:r w:rsidRPr="006B705F">
        <w:rPr>
          <w:rFonts w:eastAsia="Calibri" w:cs="Times New Roman"/>
          <w:vertAlign w:val="superscript"/>
        </w:rPr>
        <w:footnoteReference w:id="108"/>
      </w:r>
      <w:r w:rsidRPr="006B705F">
        <w:rPr>
          <w:rFonts w:eastAsia="Calibri" w:cs="Times New Roman"/>
          <w:i/>
        </w:rPr>
        <w:t xml:space="preserve">  </w:t>
      </w:r>
      <w:r w:rsidRPr="006B705F">
        <w:rPr>
          <w:rFonts w:eastAsia="Calibri" w:cs="Times New Roman"/>
        </w:rPr>
        <w:t>Based on its finding that the state law was preempted, the federal court declared the statute under which the Board had authorized above-market payments to the generator “null and void.”</w:t>
      </w:r>
      <w:r w:rsidRPr="006B705F">
        <w:rPr>
          <w:rFonts w:eastAsia="Calibri" w:cs="Times New Roman"/>
          <w:vertAlign w:val="superscript"/>
        </w:rPr>
        <w:footnoteReference w:id="109"/>
      </w:r>
      <w:r w:rsidRPr="006B705F">
        <w:rPr>
          <w:rFonts w:eastAsia="Calibri" w:cs="Times New Roman"/>
        </w:rPr>
        <w:t xml:space="preserve">  </w:t>
      </w:r>
    </w:p>
    <w:p w:rsidR="0092104A" w:rsidRPr="0092104A" w:rsidRDefault="00642554" w:rsidP="0092104A">
      <w:pPr>
        <w:spacing w:line="480" w:lineRule="auto"/>
        <w:ind w:firstLine="720"/>
        <w:jc w:val="both"/>
        <w:rPr>
          <w:rFonts w:eastAsia="Times New Roman" w:cs="Arial"/>
        </w:rPr>
      </w:pPr>
      <w:r>
        <w:rPr>
          <w:rFonts w:eastAsia="Times New Roman" w:cs="Arial"/>
        </w:rPr>
        <w:t>H</w:t>
      </w:r>
      <w:r w:rsidRPr="0092104A">
        <w:rPr>
          <w:rFonts w:eastAsia="Times New Roman" w:cs="Arial"/>
        </w:rPr>
        <w:t>olding that “the Federal Power Act, as administered by FERC, preempts and, therefore, invalidates, state intrusions into the field” of wholesale electricity pricing</w:t>
      </w:r>
      <w:r>
        <w:rPr>
          <w:rFonts w:eastAsia="Times New Roman" w:cs="Arial"/>
        </w:rPr>
        <w:t>, t</w:t>
      </w:r>
      <w:r w:rsidR="0092104A" w:rsidRPr="0092104A">
        <w:rPr>
          <w:rFonts w:eastAsia="Times New Roman" w:cs="Arial"/>
        </w:rPr>
        <w:t>he Third Circuit Court of Appeals affirmed the New Jersey district court’s decision.</w:t>
      </w:r>
      <w:r w:rsidR="0092104A" w:rsidRPr="0092104A">
        <w:rPr>
          <w:rFonts w:eastAsia="Times New Roman" w:cs="Arial"/>
          <w:vertAlign w:val="superscript"/>
        </w:rPr>
        <w:footnoteReference w:id="110"/>
      </w:r>
      <w:r w:rsidR="0092104A" w:rsidRPr="0092104A">
        <w:rPr>
          <w:rFonts w:eastAsia="Times New Roman" w:cs="Arial"/>
        </w:rPr>
        <w:t xml:space="preserve">  The </w:t>
      </w:r>
      <w:r w:rsidR="006401E3">
        <w:rPr>
          <w:rFonts w:eastAsia="Times New Roman" w:cs="Arial"/>
        </w:rPr>
        <w:t>Court of Appeals</w:t>
      </w:r>
      <w:r w:rsidR="0092104A" w:rsidRPr="0092104A">
        <w:rPr>
          <w:rFonts w:eastAsia="Times New Roman" w:cs="Arial"/>
        </w:rPr>
        <w:t xml:space="preserve"> noted that FERC had set the wholesale capacity price in PJM through the RPM auction process.</w:t>
      </w:r>
      <w:r w:rsidR="0092104A" w:rsidRPr="0092104A">
        <w:rPr>
          <w:rFonts w:eastAsia="Times New Roman" w:cs="Arial"/>
          <w:vertAlign w:val="superscript"/>
        </w:rPr>
        <w:footnoteReference w:id="111"/>
      </w:r>
      <w:r w:rsidR="0092104A" w:rsidRPr="0092104A">
        <w:rPr>
          <w:rFonts w:eastAsia="Times New Roman" w:cs="Arial"/>
        </w:rPr>
        <w:t xml:space="preserve">  “At the same time,” however, the New Jersey law provided certain generators “an additional amount” of compensation in excess of the wholesale market price.</w:t>
      </w:r>
      <w:r w:rsidR="0092104A" w:rsidRPr="0092104A">
        <w:rPr>
          <w:rFonts w:eastAsia="Times New Roman" w:cs="Arial"/>
          <w:vertAlign w:val="superscript"/>
        </w:rPr>
        <w:footnoteReference w:id="112"/>
      </w:r>
      <w:r w:rsidR="0092104A" w:rsidRPr="0092104A">
        <w:rPr>
          <w:rFonts w:eastAsia="Times New Roman" w:cs="Arial"/>
        </w:rPr>
        <w:t xml:space="preserve">  “Because FERC has exercised control over the field of interstate </w:t>
      </w:r>
      <w:r w:rsidR="0092104A" w:rsidRPr="0092104A">
        <w:rPr>
          <w:rFonts w:eastAsia="Times New Roman" w:cs="Arial"/>
        </w:rPr>
        <w:lastRenderedPageBreak/>
        <w:t>capacity prices, and because FERC’s control is exclusive, New Jersey’s efforts to regulate the same subject matter cannot stand.”</w:t>
      </w:r>
      <w:r w:rsidR="0092104A" w:rsidRPr="0092104A">
        <w:rPr>
          <w:rFonts w:eastAsia="Times New Roman" w:cs="Arial"/>
          <w:vertAlign w:val="superscript"/>
        </w:rPr>
        <w:footnoteReference w:id="113"/>
      </w:r>
      <w:r w:rsidR="0092104A" w:rsidRPr="0092104A">
        <w:rPr>
          <w:rFonts w:eastAsia="Times New Roman" w:cs="Arial"/>
        </w:rPr>
        <w:t xml:space="preserve">  </w:t>
      </w:r>
    </w:p>
    <w:p w:rsidR="00677538" w:rsidRDefault="006B705F" w:rsidP="006B705F">
      <w:pPr>
        <w:spacing w:line="480" w:lineRule="auto"/>
        <w:ind w:firstLine="720"/>
        <w:contextualSpacing/>
        <w:jc w:val="both"/>
        <w:rPr>
          <w:rFonts w:eastAsia="Calibri" w:cs="Times New Roman"/>
        </w:rPr>
      </w:pPr>
      <w:r w:rsidRPr="006B705F">
        <w:rPr>
          <w:rFonts w:eastAsia="Calibri" w:cs="Times New Roman"/>
        </w:rPr>
        <w:t xml:space="preserve">The order approving the </w:t>
      </w:r>
      <w:r>
        <w:rPr>
          <w:rFonts w:eastAsia="Calibri" w:cs="Times New Roman"/>
        </w:rPr>
        <w:t>PSR</w:t>
      </w:r>
      <w:r w:rsidRPr="006B705F">
        <w:rPr>
          <w:rFonts w:eastAsia="Calibri" w:cs="Times New Roman"/>
        </w:rPr>
        <w:t xml:space="preserve">, likewise, is preempted by federal law because it </w:t>
      </w:r>
      <w:r w:rsidR="00920917">
        <w:rPr>
          <w:rFonts w:eastAsia="Calibri" w:cs="Times New Roman"/>
        </w:rPr>
        <w:t>invades a field within the exclusive jurisdiction of FERC</w:t>
      </w:r>
      <w:r w:rsidRPr="006B705F">
        <w:rPr>
          <w:rFonts w:eastAsia="Calibri" w:cs="Times New Roman"/>
        </w:rPr>
        <w:t xml:space="preserve">.  Under the terms of the ESP Order, </w:t>
      </w:r>
      <w:r>
        <w:rPr>
          <w:rFonts w:eastAsia="Calibri" w:cs="Times New Roman"/>
        </w:rPr>
        <w:t>Duke</w:t>
      </w:r>
      <w:r w:rsidRPr="006B705F">
        <w:rPr>
          <w:rFonts w:eastAsia="Calibri" w:cs="Times New Roman"/>
        </w:rPr>
        <w:t xml:space="preserve"> may seek to recover the above-market wholesale generation-related costs that it does not recover through its sales into PJM’s markets under the placeholder rider through another filing.  If the Commission approves </w:t>
      </w:r>
      <w:r w:rsidR="000D2F70">
        <w:rPr>
          <w:rFonts w:eastAsia="Calibri" w:cs="Times New Roman"/>
        </w:rPr>
        <w:t>a</w:t>
      </w:r>
      <w:r w:rsidRPr="006B705F">
        <w:rPr>
          <w:rFonts w:eastAsia="Calibri" w:cs="Times New Roman"/>
        </w:rPr>
        <w:t xml:space="preserve"> </w:t>
      </w:r>
      <w:r w:rsidR="000D2F70">
        <w:rPr>
          <w:rFonts w:eastAsia="Calibri" w:cs="Times New Roman"/>
        </w:rPr>
        <w:t xml:space="preserve">future </w:t>
      </w:r>
      <w:r w:rsidRPr="006B705F">
        <w:rPr>
          <w:rFonts w:eastAsia="Calibri" w:cs="Times New Roman"/>
        </w:rPr>
        <w:t xml:space="preserve">filing to authorize </w:t>
      </w:r>
      <w:r>
        <w:rPr>
          <w:rFonts w:eastAsia="Calibri" w:cs="Times New Roman"/>
        </w:rPr>
        <w:t>Duke</w:t>
      </w:r>
      <w:r w:rsidRPr="006B705F">
        <w:rPr>
          <w:rFonts w:eastAsia="Calibri" w:cs="Times New Roman"/>
        </w:rPr>
        <w:t xml:space="preserve"> to increase its compensation, </w:t>
      </w:r>
      <w:r>
        <w:rPr>
          <w:rFonts w:eastAsia="Calibri" w:cs="Times New Roman"/>
        </w:rPr>
        <w:t>Duke</w:t>
      </w:r>
      <w:r w:rsidRPr="006B705F">
        <w:rPr>
          <w:rFonts w:eastAsia="Calibri" w:cs="Times New Roman"/>
        </w:rPr>
        <w:t xml:space="preserve"> would be guaranteed a recovery of its above-market wholesale generation-related costs.  Through the same sort of mechanisms the Maryland and New Jersey courts held were </w:t>
      </w:r>
      <w:r w:rsidR="00920917">
        <w:rPr>
          <w:rFonts w:eastAsia="Calibri" w:cs="Times New Roman"/>
        </w:rPr>
        <w:t>void under field preemption</w:t>
      </w:r>
      <w:r w:rsidRPr="006B705F">
        <w:rPr>
          <w:rFonts w:eastAsia="Calibri" w:cs="Times New Roman"/>
        </w:rPr>
        <w:t xml:space="preserve">, the </w:t>
      </w:r>
      <w:r>
        <w:rPr>
          <w:rFonts w:eastAsia="Calibri" w:cs="Times New Roman"/>
        </w:rPr>
        <w:t>PSR</w:t>
      </w:r>
      <w:r w:rsidRPr="006B705F">
        <w:rPr>
          <w:rFonts w:eastAsia="Calibri" w:cs="Times New Roman"/>
        </w:rPr>
        <w:t xml:space="preserve"> would increase the compensation for wholesale generation-related capacity and energy services </w:t>
      </w:r>
      <w:r w:rsidR="00C57B05">
        <w:rPr>
          <w:rFonts w:eastAsia="Calibri" w:cs="Times New Roman"/>
        </w:rPr>
        <w:t>Duke</w:t>
      </w:r>
      <w:r w:rsidR="00920917">
        <w:rPr>
          <w:rFonts w:eastAsia="Calibri" w:cs="Times New Roman"/>
        </w:rPr>
        <w:t xml:space="preserve"> receives.</w:t>
      </w:r>
    </w:p>
    <w:p w:rsidR="006B705F" w:rsidRDefault="00677538" w:rsidP="006B705F">
      <w:pPr>
        <w:spacing w:line="480" w:lineRule="auto"/>
        <w:ind w:firstLine="720"/>
        <w:contextualSpacing/>
        <w:jc w:val="both"/>
        <w:rPr>
          <w:rFonts w:eastAsia="Calibri" w:cs="Times New Roman"/>
        </w:rPr>
      </w:pPr>
      <w:r>
        <w:rPr>
          <w:rFonts w:eastAsia="Calibri" w:cs="Times New Roman"/>
        </w:rPr>
        <w:t xml:space="preserve">The PSR does not avoid preemption because it is collected from retail customers.  The mechanisms that were found to be preempted in </w:t>
      </w:r>
      <w:r w:rsidRPr="006B705F">
        <w:rPr>
          <w:rFonts w:eastAsia="Calibri" w:cs="Times New Roman"/>
        </w:rPr>
        <w:t xml:space="preserve">the </w:t>
      </w:r>
      <w:r>
        <w:rPr>
          <w:rFonts w:eastAsia="Calibri" w:cs="Times New Roman"/>
        </w:rPr>
        <w:t>Maryland and New Jersey cases also provided that the electric utilities could recover the above-market costs of generation they paid the generation owners from retail customers through retail charges.</w:t>
      </w:r>
      <w:r w:rsidR="00996F09">
        <w:rPr>
          <w:rStyle w:val="FootnoteReference"/>
          <w:rFonts w:eastAsia="Calibri" w:cs="Times New Roman"/>
        </w:rPr>
        <w:footnoteReference w:id="114"/>
      </w:r>
      <w:r>
        <w:rPr>
          <w:rFonts w:eastAsia="Calibri" w:cs="Times New Roman"/>
        </w:rPr>
        <w:t xml:space="preserve">  </w:t>
      </w:r>
      <w:r w:rsidR="00642554">
        <w:rPr>
          <w:rFonts w:eastAsia="Calibri" w:cs="Times New Roman"/>
        </w:rPr>
        <w:t>As the District Court of Maryland correctly noted, the same principles that prevent a state utility commission from trapping federally approved costs when it sets retail rates prevent the commission from increasing the compensation of Duke above the federally approved wholesale price.</w:t>
      </w:r>
      <w:r w:rsidR="00642554">
        <w:rPr>
          <w:rStyle w:val="FootnoteReference"/>
          <w:rFonts w:eastAsia="Calibri" w:cs="Times New Roman"/>
        </w:rPr>
        <w:footnoteReference w:id="115"/>
      </w:r>
      <w:r w:rsidR="00642554">
        <w:rPr>
          <w:rFonts w:eastAsia="Calibri" w:cs="Times New Roman"/>
        </w:rPr>
        <w:t xml:space="preserve">  Accordingly, recovery of above </w:t>
      </w:r>
      <w:r w:rsidR="00642554">
        <w:rPr>
          <w:rFonts w:eastAsia="Calibri" w:cs="Times New Roman"/>
        </w:rPr>
        <w:lastRenderedPageBreak/>
        <w:t xml:space="preserve">market wholesale costs through retail rates does not immunize the preemptive effect of the FPA </w:t>
      </w:r>
      <w:r w:rsidR="000D2F70">
        <w:rPr>
          <w:rFonts w:eastAsia="Calibri" w:cs="Times New Roman"/>
        </w:rPr>
        <w:t>on</w:t>
      </w:r>
      <w:r w:rsidR="00642554">
        <w:rPr>
          <w:rFonts w:eastAsia="Calibri" w:cs="Times New Roman"/>
        </w:rPr>
        <w:t xml:space="preserve"> the Commission’s </w:t>
      </w:r>
      <w:r w:rsidR="000D2F70">
        <w:rPr>
          <w:rFonts w:eastAsia="Calibri" w:cs="Times New Roman"/>
        </w:rPr>
        <w:t>authorization of the PSR</w:t>
      </w:r>
      <w:r w:rsidR="00642554">
        <w:rPr>
          <w:rFonts w:eastAsia="Calibri" w:cs="Times New Roman"/>
        </w:rPr>
        <w:t>.</w:t>
      </w:r>
    </w:p>
    <w:p w:rsidR="00771A66" w:rsidRDefault="005D1E0C" w:rsidP="006B705F">
      <w:pPr>
        <w:spacing w:line="480" w:lineRule="auto"/>
        <w:ind w:firstLine="720"/>
        <w:contextualSpacing/>
        <w:jc w:val="both"/>
        <w:rPr>
          <w:rFonts w:eastAsia="Calibri" w:cs="Times New Roman"/>
        </w:rPr>
      </w:pPr>
      <w:r>
        <w:rPr>
          <w:rFonts w:eastAsia="Calibri" w:cs="Times New Roman"/>
        </w:rPr>
        <w:t>The preemption analysis</w:t>
      </w:r>
      <w:r w:rsidR="00920917">
        <w:rPr>
          <w:rFonts w:eastAsia="Calibri" w:cs="Times New Roman"/>
        </w:rPr>
        <w:t xml:space="preserve"> also</w:t>
      </w:r>
      <w:r>
        <w:rPr>
          <w:rFonts w:eastAsia="Calibri" w:cs="Times New Roman"/>
        </w:rPr>
        <w:t xml:space="preserve"> does not turn on whether </w:t>
      </w:r>
      <w:r w:rsidR="00920917">
        <w:rPr>
          <w:rFonts w:eastAsia="Calibri" w:cs="Times New Roman"/>
        </w:rPr>
        <w:t>Duke</w:t>
      </w:r>
      <w:r>
        <w:rPr>
          <w:rFonts w:eastAsia="Calibri" w:cs="Times New Roman"/>
        </w:rPr>
        <w:t xml:space="preserve"> is volunteering to pass its above market costs to customers.  The correct analysis is one that looks to the jurisdiction of the </w:t>
      </w:r>
      <w:r w:rsidR="0092104A">
        <w:rPr>
          <w:rFonts w:eastAsia="Calibri" w:cs="Times New Roman"/>
        </w:rPr>
        <w:t>state and federal agencies</w:t>
      </w:r>
      <w:r>
        <w:rPr>
          <w:rFonts w:eastAsia="Calibri" w:cs="Times New Roman"/>
        </w:rPr>
        <w:t xml:space="preserve"> to establish compensation for a wholesale generation-related electric service.</w:t>
      </w:r>
      <w:r w:rsidR="00642554">
        <w:rPr>
          <w:rStyle w:val="FootnoteReference"/>
          <w:rFonts w:eastAsia="Calibri" w:cs="Times New Roman"/>
        </w:rPr>
        <w:footnoteReference w:id="116"/>
      </w:r>
      <w:r>
        <w:rPr>
          <w:rFonts w:eastAsia="Calibri" w:cs="Times New Roman"/>
        </w:rPr>
        <w:t xml:space="preserve">  With regard to Duke’s compensation for </w:t>
      </w:r>
      <w:r w:rsidR="007C668F">
        <w:rPr>
          <w:rFonts w:eastAsia="Calibri" w:cs="Times New Roman"/>
        </w:rPr>
        <w:t>wholesale generation-related</w:t>
      </w:r>
      <w:r>
        <w:rPr>
          <w:rFonts w:eastAsia="Calibri" w:cs="Times New Roman"/>
        </w:rPr>
        <w:t xml:space="preserve"> services, FERC has exclusive jurisdiction under the FPA.</w:t>
      </w:r>
      <w:r w:rsidR="007C668F">
        <w:rPr>
          <w:rStyle w:val="FootnoteReference"/>
          <w:rFonts w:eastAsia="Calibri" w:cs="Times New Roman"/>
        </w:rPr>
        <w:footnoteReference w:id="117"/>
      </w:r>
      <w:r>
        <w:rPr>
          <w:rFonts w:eastAsia="Calibri" w:cs="Times New Roman"/>
        </w:rPr>
        <w:t xml:space="preserve">  The Commission’s jurisdiction is not enlarged because Duke is asking the Commission to increase its compensation for wholesale generation-related services.</w:t>
      </w:r>
    </w:p>
    <w:p w:rsidR="00920917" w:rsidRPr="006B705F" w:rsidRDefault="005D1E0C" w:rsidP="005D1E0C">
      <w:pPr>
        <w:spacing w:line="480" w:lineRule="auto"/>
        <w:contextualSpacing/>
        <w:jc w:val="both"/>
        <w:rPr>
          <w:rFonts w:eastAsia="Calibri" w:cs="Times New Roman"/>
        </w:rPr>
      </w:pPr>
      <w:r>
        <w:rPr>
          <w:rFonts w:eastAsia="Calibri" w:cs="Times New Roman"/>
        </w:rPr>
        <w:tab/>
        <w:t xml:space="preserve">Finally, Duke cannot hide behind OVEC and argue </w:t>
      </w:r>
      <w:r w:rsidR="00C4074C">
        <w:rPr>
          <w:rFonts w:eastAsia="Calibri" w:cs="Times New Roman"/>
        </w:rPr>
        <w:t xml:space="preserve">that </w:t>
      </w:r>
      <w:r>
        <w:rPr>
          <w:rFonts w:eastAsia="Calibri" w:cs="Times New Roman"/>
        </w:rPr>
        <w:t>OVEC is the generation owner and the amounts Duke is paying OVEC are not changed by authorization of the PSR.  Duke</w:t>
      </w:r>
      <w:r w:rsidR="000F6D85">
        <w:rPr>
          <w:rFonts w:eastAsia="Calibri" w:cs="Times New Roman"/>
        </w:rPr>
        <w:t xml:space="preserve"> is a</w:t>
      </w:r>
      <w:r>
        <w:rPr>
          <w:rFonts w:eastAsia="Calibri" w:cs="Times New Roman"/>
        </w:rPr>
        <w:t xml:space="preserve"> shareholder of OVEC.</w:t>
      </w:r>
      <w:r w:rsidR="00C4074C">
        <w:rPr>
          <w:rStyle w:val="FootnoteReference"/>
          <w:rFonts w:eastAsia="Calibri" w:cs="Times New Roman"/>
        </w:rPr>
        <w:footnoteReference w:id="118"/>
      </w:r>
      <w:r>
        <w:rPr>
          <w:rFonts w:eastAsia="Calibri" w:cs="Times New Roman"/>
        </w:rPr>
        <w:t xml:space="preserve">  </w:t>
      </w:r>
      <w:r w:rsidR="00920917">
        <w:rPr>
          <w:rFonts w:eastAsia="Calibri" w:cs="Times New Roman"/>
        </w:rPr>
        <w:t>As</w:t>
      </w:r>
      <w:r>
        <w:rPr>
          <w:rFonts w:eastAsia="Calibri" w:cs="Times New Roman"/>
        </w:rPr>
        <w:t xml:space="preserve"> </w:t>
      </w:r>
      <w:r w:rsidR="000F6D85">
        <w:rPr>
          <w:rFonts w:eastAsia="Calibri" w:cs="Times New Roman"/>
        </w:rPr>
        <w:t xml:space="preserve">a </w:t>
      </w:r>
      <w:r>
        <w:rPr>
          <w:rFonts w:eastAsia="Calibri" w:cs="Times New Roman"/>
        </w:rPr>
        <w:t xml:space="preserve">shareholder, </w:t>
      </w:r>
      <w:r w:rsidR="000F6D85">
        <w:rPr>
          <w:rFonts w:eastAsia="Calibri" w:cs="Times New Roman"/>
        </w:rPr>
        <w:t>it is</w:t>
      </w:r>
      <w:r>
        <w:rPr>
          <w:rFonts w:eastAsia="Calibri" w:cs="Times New Roman"/>
        </w:rPr>
        <w:t xml:space="preserve"> both </w:t>
      </w:r>
      <w:r w:rsidR="000F6D85">
        <w:rPr>
          <w:rFonts w:eastAsia="Calibri" w:cs="Times New Roman"/>
        </w:rPr>
        <w:t xml:space="preserve">an </w:t>
      </w:r>
      <w:r>
        <w:rPr>
          <w:rFonts w:eastAsia="Calibri" w:cs="Times New Roman"/>
        </w:rPr>
        <w:t>o</w:t>
      </w:r>
      <w:r w:rsidR="00C4074C">
        <w:rPr>
          <w:rFonts w:eastAsia="Calibri" w:cs="Times New Roman"/>
        </w:rPr>
        <w:t>wner and affiliate.</w:t>
      </w:r>
      <w:r w:rsidR="00C4074C">
        <w:rPr>
          <w:rStyle w:val="FootnoteReference"/>
          <w:rFonts w:eastAsia="Calibri" w:cs="Times New Roman"/>
        </w:rPr>
        <w:footnoteReference w:id="119"/>
      </w:r>
      <w:r w:rsidR="00C4074C">
        <w:rPr>
          <w:rFonts w:eastAsia="Calibri" w:cs="Times New Roman"/>
        </w:rPr>
        <w:t xml:space="preserve">  </w:t>
      </w:r>
      <w:r w:rsidR="00920917">
        <w:rPr>
          <w:rFonts w:eastAsia="Calibri" w:cs="Times New Roman"/>
        </w:rPr>
        <w:t xml:space="preserve">Because Duke is an </w:t>
      </w:r>
      <w:r w:rsidR="008D37CE">
        <w:rPr>
          <w:rFonts w:eastAsia="Calibri" w:cs="Times New Roman"/>
        </w:rPr>
        <w:t>owner, t</w:t>
      </w:r>
      <w:r w:rsidR="00C4074C">
        <w:rPr>
          <w:rFonts w:eastAsia="Calibri" w:cs="Times New Roman"/>
        </w:rPr>
        <w:t xml:space="preserve">he </w:t>
      </w:r>
      <w:r w:rsidR="00920917">
        <w:rPr>
          <w:rFonts w:eastAsia="Calibri" w:cs="Times New Roman"/>
        </w:rPr>
        <w:t>financial consequence of</w:t>
      </w:r>
      <w:r w:rsidR="00C4074C">
        <w:rPr>
          <w:rFonts w:eastAsia="Calibri" w:cs="Times New Roman"/>
        </w:rPr>
        <w:t xml:space="preserve"> the PSR would operate in exactly the same way as that found to be preempted by the New Jersey and Maryland courts: </w:t>
      </w:r>
      <w:r w:rsidR="00920917">
        <w:rPr>
          <w:rFonts w:eastAsia="Calibri" w:cs="Times New Roman"/>
        </w:rPr>
        <w:t>the PSR</w:t>
      </w:r>
      <w:r w:rsidR="00C4074C">
        <w:rPr>
          <w:rFonts w:eastAsia="Calibri" w:cs="Times New Roman"/>
        </w:rPr>
        <w:t xml:space="preserve"> would increase the compensation of </w:t>
      </w:r>
      <w:r w:rsidR="00D64E30">
        <w:rPr>
          <w:rFonts w:eastAsia="Calibri" w:cs="Times New Roman"/>
        </w:rPr>
        <w:t>Duke for the capacity and energy resources of its ownership share of the OVEC generating facilities</w:t>
      </w:r>
      <w:r w:rsidR="00C4074C">
        <w:rPr>
          <w:rFonts w:eastAsia="Calibri" w:cs="Times New Roman"/>
        </w:rPr>
        <w:t xml:space="preserve"> in excess of the amount authorized under the federally-approved PJM tariff.  </w:t>
      </w:r>
      <w:r w:rsidR="008D37CE">
        <w:rPr>
          <w:rFonts w:eastAsia="Calibri" w:cs="Times New Roman"/>
        </w:rPr>
        <w:t>The Commission</w:t>
      </w:r>
      <w:r w:rsidR="00920917">
        <w:rPr>
          <w:rFonts w:eastAsia="Calibri" w:cs="Times New Roman"/>
        </w:rPr>
        <w:t>,</w:t>
      </w:r>
      <w:r w:rsidR="008D37CE">
        <w:rPr>
          <w:rFonts w:eastAsia="Calibri" w:cs="Times New Roman"/>
        </w:rPr>
        <w:t xml:space="preserve"> </w:t>
      </w:r>
      <w:r w:rsidR="008D37CE">
        <w:rPr>
          <w:rFonts w:eastAsia="Calibri" w:cs="Times New Roman"/>
        </w:rPr>
        <w:lastRenderedPageBreak/>
        <w:t>however, is preempted from authorizing Duke or any other co</w:t>
      </w:r>
      <w:r w:rsidR="00914E25">
        <w:rPr>
          <w:rFonts w:eastAsia="Calibri" w:cs="Times New Roman"/>
        </w:rPr>
        <w:t>-</w:t>
      </w:r>
      <w:r w:rsidR="008D37CE">
        <w:rPr>
          <w:rFonts w:eastAsia="Calibri" w:cs="Times New Roman"/>
        </w:rPr>
        <w:t>owner from increasing its wholesale compensation in excess of the amounts provided under the PJM tariffs.</w:t>
      </w:r>
    </w:p>
    <w:p w:rsidR="006B705F" w:rsidRPr="006B705F" w:rsidRDefault="006B705F" w:rsidP="006B705F">
      <w:pPr>
        <w:spacing w:line="480" w:lineRule="auto"/>
        <w:ind w:firstLine="720"/>
        <w:contextualSpacing/>
        <w:jc w:val="both"/>
        <w:rPr>
          <w:rFonts w:eastAsia="Calibri" w:cs="Times New Roman"/>
        </w:rPr>
      </w:pPr>
      <w:r w:rsidRPr="006B705F">
        <w:rPr>
          <w:rFonts w:eastAsia="Calibri" w:cs="Times New Roman"/>
        </w:rPr>
        <w:t xml:space="preserve">The Commission has also included at least one “factor” to address in a future filing that triggers federal preemption.  </w:t>
      </w:r>
      <w:r w:rsidR="000D2F70">
        <w:rPr>
          <w:rFonts w:eastAsia="Calibri" w:cs="Times New Roman"/>
        </w:rPr>
        <w:t>A</w:t>
      </w:r>
      <w:r w:rsidRPr="006B705F">
        <w:rPr>
          <w:rFonts w:eastAsia="Calibri" w:cs="Times New Roman"/>
        </w:rPr>
        <w:t xml:space="preserve"> future filing must address the “necessity of the generating facility, in light of future reliability concerns, including supply diversity.”</w:t>
      </w:r>
      <w:r w:rsidRPr="006B705F">
        <w:rPr>
          <w:rFonts w:eastAsia="Calibri" w:cs="Times New Roman"/>
          <w:vertAlign w:val="superscript"/>
        </w:rPr>
        <w:footnoteReference w:id="120"/>
      </w:r>
      <w:r w:rsidRPr="006B705F">
        <w:rPr>
          <w:rFonts w:eastAsia="Calibri" w:cs="Times New Roman"/>
        </w:rPr>
        <w:t xml:space="preserve">  The regulation of interstate transmission and bulk power system reliability, however, is within the exclusive jurisdiction of FERC.</w:t>
      </w:r>
      <w:r w:rsidRPr="006B705F">
        <w:rPr>
          <w:rFonts w:eastAsia="Calibri" w:cs="Times New Roman"/>
          <w:vertAlign w:val="superscript"/>
        </w:rPr>
        <w:footnoteReference w:id="121"/>
      </w:r>
      <w:r w:rsidRPr="006B705F">
        <w:rPr>
          <w:rFonts w:eastAsia="Calibri" w:cs="Times New Roman"/>
        </w:rPr>
        <w:t xml:space="preserve">  In particular, FERC has jurisdiction under Section 215 of the FPA for approving reliability standards of the bulk power system.</w:t>
      </w:r>
      <w:r w:rsidRPr="006B705F">
        <w:rPr>
          <w:rFonts w:eastAsia="Calibri" w:cs="Times New Roman"/>
          <w:vertAlign w:val="superscript"/>
        </w:rPr>
        <w:footnoteReference w:id="122"/>
      </w:r>
      <w:r w:rsidRPr="006B705F">
        <w:rPr>
          <w:rFonts w:eastAsia="Calibri" w:cs="Times New Roman"/>
        </w:rPr>
        <w:t xml:space="preserve">  Under FERC rules, moreover, the </w:t>
      </w:r>
      <w:r w:rsidR="00914E25">
        <w:rPr>
          <w:rFonts w:eastAsia="Calibri" w:cs="Times New Roman"/>
        </w:rPr>
        <w:t>Regional Transmission Organization ("</w:t>
      </w:r>
      <w:r w:rsidRPr="006B705F">
        <w:rPr>
          <w:rFonts w:eastAsia="Calibri" w:cs="Times New Roman"/>
        </w:rPr>
        <w:t>RTO</w:t>
      </w:r>
      <w:r w:rsidR="00914E25">
        <w:rPr>
          <w:rFonts w:eastAsia="Calibri" w:cs="Times New Roman"/>
        </w:rPr>
        <w:t>")</w:t>
      </w:r>
      <w:r w:rsidRPr="006B705F">
        <w:rPr>
          <w:rFonts w:eastAsia="Calibri" w:cs="Times New Roman"/>
        </w:rPr>
        <w:t xml:space="preserve"> is given exclusive authority for maintaining the short-term reliability of the grid it operates.</w:t>
      </w:r>
      <w:r w:rsidRPr="006B705F">
        <w:rPr>
          <w:rFonts w:eastAsia="Calibri" w:cs="Times New Roman"/>
          <w:vertAlign w:val="superscript"/>
        </w:rPr>
        <w:footnoteReference w:id="123"/>
      </w:r>
    </w:p>
    <w:p w:rsidR="00F62329" w:rsidRDefault="0017506B" w:rsidP="006B705F">
      <w:pPr>
        <w:spacing w:line="480" w:lineRule="auto"/>
        <w:ind w:firstLine="720"/>
        <w:contextualSpacing/>
        <w:jc w:val="both"/>
        <w:rPr>
          <w:rFonts w:eastAsia="Calibri" w:cs="Times New Roman"/>
        </w:rPr>
      </w:pPr>
      <w:r>
        <w:rPr>
          <w:rFonts w:eastAsia="Calibri" w:cs="Times New Roman"/>
        </w:rPr>
        <w:t>A</w:t>
      </w:r>
      <w:r w:rsidR="006B705F" w:rsidRPr="006B705F">
        <w:rPr>
          <w:rFonts w:eastAsia="Calibri" w:cs="Times New Roman"/>
        </w:rPr>
        <w:t xml:space="preserve"> recent </w:t>
      </w:r>
      <w:r w:rsidRPr="006B705F">
        <w:rPr>
          <w:rFonts w:eastAsia="Calibri" w:cs="Times New Roman"/>
        </w:rPr>
        <w:t xml:space="preserve">FERC </w:t>
      </w:r>
      <w:r w:rsidR="006B705F" w:rsidRPr="006B705F">
        <w:rPr>
          <w:rFonts w:eastAsia="Calibri" w:cs="Times New Roman"/>
        </w:rPr>
        <w:t>decision</w:t>
      </w:r>
      <w:r w:rsidR="007C668F">
        <w:rPr>
          <w:rFonts w:eastAsia="Calibri" w:cs="Times New Roman"/>
        </w:rPr>
        <w:t xml:space="preserve">, </w:t>
      </w:r>
      <w:r w:rsidR="007C668F" w:rsidRPr="007C668F">
        <w:rPr>
          <w:rFonts w:eastAsia="Calibri" w:cs="Times New Roman"/>
          <w:i/>
        </w:rPr>
        <w:t>New York Independent System Operator, Inc</w:t>
      </w:r>
      <w:r w:rsidR="007C668F">
        <w:rPr>
          <w:rFonts w:eastAsia="Calibri" w:cs="Times New Roman"/>
          <w:i/>
        </w:rPr>
        <w:t>.</w:t>
      </w:r>
      <w:r w:rsidR="007C668F">
        <w:rPr>
          <w:rFonts w:eastAsia="Calibri" w:cs="Times New Roman"/>
        </w:rPr>
        <w:t>,</w:t>
      </w:r>
      <w:r w:rsidR="007C668F">
        <w:rPr>
          <w:rStyle w:val="FootnoteReference"/>
          <w:rFonts w:eastAsia="Calibri" w:cs="Times New Roman"/>
        </w:rPr>
        <w:footnoteReference w:id="124"/>
      </w:r>
      <w:r w:rsidR="007C668F">
        <w:rPr>
          <w:rFonts w:eastAsia="Calibri" w:cs="Times New Roman"/>
        </w:rPr>
        <w:t xml:space="preserve"> </w:t>
      </w:r>
      <w:r w:rsidR="006B705F" w:rsidRPr="006B705F">
        <w:rPr>
          <w:rFonts w:eastAsia="Calibri" w:cs="Times New Roman"/>
        </w:rPr>
        <w:t>set</w:t>
      </w:r>
      <w:r>
        <w:rPr>
          <w:rFonts w:eastAsia="Calibri" w:cs="Times New Roman"/>
        </w:rPr>
        <w:t>s</w:t>
      </w:r>
      <w:r w:rsidR="006B705F" w:rsidRPr="006B705F">
        <w:rPr>
          <w:rFonts w:eastAsia="Calibri" w:cs="Times New Roman"/>
        </w:rPr>
        <w:t xml:space="preserve"> out </w:t>
      </w:r>
      <w:r>
        <w:rPr>
          <w:rFonts w:eastAsia="Calibri" w:cs="Times New Roman"/>
        </w:rPr>
        <w:t>FERC’s</w:t>
      </w:r>
      <w:r w:rsidR="006B705F" w:rsidRPr="006B705F">
        <w:rPr>
          <w:rFonts w:eastAsia="Calibri" w:cs="Times New Roman"/>
        </w:rPr>
        <w:t xml:space="preserve"> controlling authority regarding the reliability of the bulk power market.  FERC </w:t>
      </w:r>
      <w:r w:rsidR="0092104A">
        <w:rPr>
          <w:rFonts w:eastAsia="Calibri" w:cs="Times New Roman"/>
        </w:rPr>
        <w:t xml:space="preserve">had </w:t>
      </w:r>
      <w:r w:rsidR="006B705F" w:rsidRPr="006B705F">
        <w:rPr>
          <w:rFonts w:eastAsia="Calibri" w:cs="Times New Roman"/>
        </w:rPr>
        <w:t xml:space="preserve">received two applications seeking approval of above-market compensation for the sale of wholesale generation-related services in the region under the supervision of the </w:t>
      </w:r>
      <w:r w:rsidR="006B705F" w:rsidRPr="0098365C">
        <w:rPr>
          <w:rFonts w:eastAsia="Calibri" w:cs="Times New Roman"/>
        </w:rPr>
        <w:t>New York Independent Service Operator</w:t>
      </w:r>
      <w:r w:rsidR="00603ECC" w:rsidRPr="0098365C">
        <w:rPr>
          <w:rFonts w:eastAsia="Calibri" w:cs="Times New Roman"/>
        </w:rPr>
        <w:t>, Inc.</w:t>
      </w:r>
      <w:r w:rsidR="006B705F" w:rsidRPr="0098365C">
        <w:rPr>
          <w:rFonts w:eastAsia="Calibri" w:cs="Times New Roman"/>
        </w:rPr>
        <w:t xml:space="preserve"> (“NYISO”)</w:t>
      </w:r>
      <w:r w:rsidR="006B705F" w:rsidRPr="006B705F">
        <w:rPr>
          <w:rFonts w:eastAsia="Calibri" w:cs="Times New Roman"/>
        </w:rPr>
        <w:t xml:space="preserve"> after the New York Public Service Commission had determined that facilities scheduled for mothball</w:t>
      </w:r>
      <w:r>
        <w:rPr>
          <w:rFonts w:eastAsia="Calibri" w:cs="Times New Roman"/>
        </w:rPr>
        <w:t xml:space="preserve">ing were needed for reliability. </w:t>
      </w:r>
      <w:r w:rsidR="006B705F" w:rsidRPr="006B705F">
        <w:rPr>
          <w:rFonts w:eastAsia="Calibri" w:cs="Times New Roman"/>
        </w:rPr>
        <w:t xml:space="preserve"> FERC determined that the tariffs of NYISO were not just and reasonable and ordered NYISO to file a tariff and pro forma agreement for a reliability must-run agreement.  The Commission determined that the tariff changes were necessary to prevent undue discrimination </w:t>
      </w:r>
      <w:r w:rsidR="007C668F">
        <w:rPr>
          <w:rFonts w:eastAsia="Calibri" w:cs="Times New Roman"/>
        </w:rPr>
        <w:t>and</w:t>
      </w:r>
      <w:r w:rsidR="006B705F" w:rsidRPr="006B705F">
        <w:rPr>
          <w:rFonts w:eastAsia="Calibri" w:cs="Times New Roman"/>
        </w:rPr>
        <w:t xml:space="preserve"> to “ensur[e] the continued reliable and </w:t>
      </w:r>
      <w:r w:rsidR="006B705F" w:rsidRPr="006B705F">
        <w:rPr>
          <w:rFonts w:eastAsia="Calibri" w:cs="Times New Roman"/>
        </w:rPr>
        <w:lastRenderedPageBreak/>
        <w:t>efficient operation of the grid, and of NYISO’s markets.”</w:t>
      </w:r>
      <w:r w:rsidR="006B705F" w:rsidRPr="006B705F">
        <w:rPr>
          <w:rFonts w:eastAsia="Calibri" w:cs="Times New Roman"/>
          <w:vertAlign w:val="superscript"/>
        </w:rPr>
        <w:footnoteReference w:id="125"/>
      </w:r>
      <w:r w:rsidR="006B705F" w:rsidRPr="006B705F">
        <w:rPr>
          <w:rFonts w:eastAsia="Calibri" w:cs="Times New Roman"/>
        </w:rPr>
        <w:t xml:space="preserve">  Having determined that the NYISO should file the must-run tariff, FERC then required that the tariff address the process for identifying a plant that should be considered for must-run status, the independent studies to be performed to determine if the plant should be treated as a must-run unit, and the evaluation of alternatives.</w:t>
      </w:r>
      <w:r w:rsidR="006B705F" w:rsidRPr="006B705F">
        <w:rPr>
          <w:rFonts w:eastAsia="Calibri" w:cs="Times New Roman"/>
          <w:vertAlign w:val="superscript"/>
        </w:rPr>
        <w:footnoteReference w:id="126"/>
      </w:r>
      <w:r w:rsidR="006B705F" w:rsidRPr="006B705F">
        <w:rPr>
          <w:rFonts w:eastAsia="Calibri" w:cs="Times New Roman"/>
        </w:rPr>
        <w:t xml:space="preserve">  Further, the tariff must set out the compensation mechanism, including how payments may be recovered if the plant becomes economic after it is declared a must-run facility.</w:t>
      </w:r>
      <w:r w:rsidR="006B705F" w:rsidRPr="006B705F">
        <w:rPr>
          <w:rFonts w:eastAsia="Calibri" w:cs="Times New Roman"/>
          <w:vertAlign w:val="superscript"/>
        </w:rPr>
        <w:footnoteReference w:id="127"/>
      </w:r>
      <w:r w:rsidR="006B705F" w:rsidRPr="006B705F">
        <w:rPr>
          <w:rFonts w:eastAsia="Calibri" w:cs="Times New Roman"/>
        </w:rPr>
        <w:t xml:space="preserve">  </w:t>
      </w:r>
    </w:p>
    <w:p w:rsidR="0086624D" w:rsidRDefault="00F62329" w:rsidP="006B705F">
      <w:pPr>
        <w:spacing w:line="480" w:lineRule="auto"/>
        <w:ind w:firstLine="720"/>
        <w:contextualSpacing/>
        <w:jc w:val="both"/>
        <w:rPr>
          <w:rFonts w:cs="Arial"/>
        </w:rPr>
      </w:pPr>
      <w:r>
        <w:rPr>
          <w:rFonts w:eastAsia="Calibri" w:cs="Times New Roman"/>
        </w:rPr>
        <w:t>FERC recently reiterated its authority to address the rates, terms, and conditions for securing the continued operation of a generation plan</w:t>
      </w:r>
      <w:r w:rsidR="00603ECC">
        <w:rPr>
          <w:rFonts w:eastAsia="Calibri" w:cs="Times New Roman"/>
        </w:rPr>
        <w:t>t</w:t>
      </w:r>
      <w:r>
        <w:rPr>
          <w:rFonts w:eastAsia="Calibri" w:cs="Times New Roman"/>
        </w:rPr>
        <w:t xml:space="preserve"> for the purposes of reliability in New York until such time that transmission upgrades would be completed or other reliability remedies are identified and implemented.</w:t>
      </w:r>
      <w:r>
        <w:rPr>
          <w:rStyle w:val="FootnoteReference"/>
          <w:rFonts w:eastAsia="Calibri" w:cs="Times New Roman"/>
        </w:rPr>
        <w:footnoteReference w:id="128"/>
      </w:r>
      <w:r>
        <w:rPr>
          <w:rFonts w:eastAsia="Calibri" w:cs="Times New Roman"/>
        </w:rPr>
        <w:t xml:space="preserve">  </w:t>
      </w:r>
      <w:r w:rsidR="007C668F">
        <w:rPr>
          <w:rFonts w:eastAsia="Calibri" w:cs="Times New Roman"/>
        </w:rPr>
        <w:t>FERC concluded that it had j</w:t>
      </w:r>
      <w:r>
        <w:rPr>
          <w:rFonts w:eastAsia="Calibri" w:cs="Times New Roman"/>
        </w:rPr>
        <w:t xml:space="preserve">urisdiction to address rates, terms, and conditions under the agreement </w:t>
      </w:r>
      <w:r w:rsidR="007C668F">
        <w:rPr>
          <w:rFonts w:eastAsia="Calibri" w:cs="Times New Roman"/>
        </w:rPr>
        <w:t>as</w:t>
      </w:r>
      <w:r w:rsidR="007D373E">
        <w:rPr>
          <w:rFonts w:eastAsia="Calibri" w:cs="Times New Roman"/>
        </w:rPr>
        <w:t xml:space="preserve"> governed by</w:t>
      </w:r>
      <w:r>
        <w:rPr>
          <w:rFonts w:eastAsia="Calibri" w:cs="Times New Roman"/>
        </w:rPr>
        <w:t xml:space="preserve"> the FPA.</w:t>
      </w:r>
      <w:r>
        <w:rPr>
          <w:rStyle w:val="FootnoteReference"/>
          <w:rFonts w:eastAsia="Calibri" w:cs="Times New Roman"/>
        </w:rPr>
        <w:footnoteReference w:id="129"/>
      </w:r>
      <w:r>
        <w:rPr>
          <w:rFonts w:eastAsia="Calibri" w:cs="Times New Roman"/>
        </w:rPr>
        <w:t xml:space="preserve">  Moreover, any future reliability need would be addressed by FERC under the standards to be adopted by the NYISO pursuant to FERC’s decision in </w:t>
      </w:r>
      <w:r w:rsidRPr="00CB4ABE">
        <w:rPr>
          <w:rFonts w:cs="Arial"/>
          <w:i/>
        </w:rPr>
        <w:t>New York Independent System Operator, Inc</w:t>
      </w:r>
      <w:r>
        <w:rPr>
          <w:rFonts w:cs="Arial"/>
          <w:i/>
        </w:rPr>
        <w:t xml:space="preserve">., </w:t>
      </w:r>
      <w:r>
        <w:rPr>
          <w:rFonts w:cs="Arial"/>
        </w:rPr>
        <w:t>discussed above.</w:t>
      </w:r>
      <w:r>
        <w:rPr>
          <w:rStyle w:val="FootnoteReference"/>
          <w:rFonts w:cs="Arial"/>
        </w:rPr>
        <w:footnoteReference w:id="130"/>
      </w:r>
      <w:r w:rsidR="007D373E">
        <w:rPr>
          <w:rFonts w:cs="Arial"/>
        </w:rPr>
        <w:t xml:space="preserve">  </w:t>
      </w:r>
    </w:p>
    <w:p w:rsidR="00F62329" w:rsidRPr="00F62329" w:rsidRDefault="007D5053" w:rsidP="006B705F">
      <w:pPr>
        <w:spacing w:line="480" w:lineRule="auto"/>
        <w:ind w:firstLine="720"/>
        <w:contextualSpacing/>
        <w:jc w:val="both"/>
        <w:rPr>
          <w:rFonts w:eastAsia="Calibri" w:cs="Times New Roman"/>
        </w:rPr>
      </w:pPr>
      <w:r>
        <w:rPr>
          <w:rFonts w:eastAsia="Calibri" w:cs="Times New Roman"/>
        </w:rPr>
        <w:t xml:space="preserve">Section 215 and </w:t>
      </w:r>
      <w:r w:rsidR="007D373E">
        <w:rPr>
          <w:rFonts w:eastAsia="Calibri" w:cs="Times New Roman"/>
        </w:rPr>
        <w:t>these</w:t>
      </w:r>
      <w:r w:rsidR="007D373E" w:rsidRPr="006B705F">
        <w:rPr>
          <w:rFonts w:eastAsia="Calibri" w:cs="Times New Roman"/>
        </w:rPr>
        <w:t xml:space="preserve"> FERC order</w:t>
      </w:r>
      <w:r w:rsidR="007D373E">
        <w:rPr>
          <w:rFonts w:eastAsia="Calibri" w:cs="Times New Roman"/>
        </w:rPr>
        <w:t>s demonstrate</w:t>
      </w:r>
      <w:r>
        <w:rPr>
          <w:rFonts w:eastAsia="Calibri" w:cs="Times New Roman"/>
        </w:rPr>
        <w:t xml:space="preserve"> that</w:t>
      </w:r>
      <w:r w:rsidR="007D373E" w:rsidRPr="006B705F">
        <w:rPr>
          <w:rFonts w:eastAsia="Calibri" w:cs="Times New Roman"/>
        </w:rPr>
        <w:t xml:space="preserve"> FERC has and has exercised </w:t>
      </w:r>
      <w:r>
        <w:rPr>
          <w:rFonts w:eastAsia="Calibri" w:cs="Times New Roman"/>
        </w:rPr>
        <w:t xml:space="preserve">exclusive </w:t>
      </w:r>
      <w:r w:rsidR="007D373E" w:rsidRPr="006B705F">
        <w:rPr>
          <w:rFonts w:eastAsia="Calibri" w:cs="Times New Roman"/>
        </w:rPr>
        <w:t>authority over the reliability of the bulk electric market</w:t>
      </w:r>
      <w:r w:rsidR="00CB2DA6">
        <w:rPr>
          <w:rFonts w:eastAsia="Calibri" w:cs="Times New Roman"/>
        </w:rPr>
        <w:t xml:space="preserve"> including the review of contracts to provide above-market wholesale compensation to the generation owner to compensate the owner for satisfying a reliability need.  </w:t>
      </w:r>
      <w:r>
        <w:rPr>
          <w:rFonts w:eastAsia="Calibri" w:cs="Times New Roman"/>
        </w:rPr>
        <w:t xml:space="preserve">Because Congress has </w:t>
      </w:r>
      <w:r>
        <w:rPr>
          <w:rFonts w:eastAsia="Calibri" w:cs="Times New Roman"/>
        </w:rPr>
        <w:lastRenderedPageBreak/>
        <w:t>demonstrated the intent to occupy the field of reliability in the bulk electric market, t</w:t>
      </w:r>
      <w:r w:rsidR="00CB2DA6">
        <w:rPr>
          <w:rFonts w:eastAsia="Calibri" w:cs="Times New Roman"/>
        </w:rPr>
        <w:t xml:space="preserve">his </w:t>
      </w:r>
      <w:r>
        <w:rPr>
          <w:rFonts w:eastAsia="Calibri" w:cs="Times New Roman"/>
        </w:rPr>
        <w:t xml:space="preserve">exercise of federal </w:t>
      </w:r>
      <w:r w:rsidR="00CB2DA6">
        <w:rPr>
          <w:rFonts w:eastAsia="Calibri" w:cs="Times New Roman"/>
        </w:rPr>
        <w:t>authority</w:t>
      </w:r>
      <w:r w:rsidR="007D373E" w:rsidRPr="006B705F">
        <w:rPr>
          <w:rFonts w:eastAsia="Calibri" w:cs="Times New Roman"/>
        </w:rPr>
        <w:t xml:space="preserve"> preempts the Commission’s unlawful attempt to provide a procedure to address a request for additional wholesale generation-related compensation for </w:t>
      </w:r>
      <w:r w:rsidR="007D373E">
        <w:rPr>
          <w:rFonts w:eastAsia="Calibri" w:cs="Times New Roman"/>
        </w:rPr>
        <w:t>Duke</w:t>
      </w:r>
      <w:r w:rsidR="007D373E" w:rsidRPr="006B705F">
        <w:rPr>
          <w:rFonts w:eastAsia="Calibri" w:cs="Times New Roman"/>
        </w:rPr>
        <w:t xml:space="preserve"> based on consideration of grid reliability.</w:t>
      </w:r>
    </w:p>
    <w:p w:rsidR="006B705F" w:rsidRDefault="006B705F" w:rsidP="006B705F">
      <w:pPr>
        <w:spacing w:line="480" w:lineRule="auto"/>
        <w:ind w:firstLine="720"/>
        <w:contextualSpacing/>
        <w:jc w:val="both"/>
        <w:rPr>
          <w:rFonts w:eastAsia="Calibri" w:cs="Times New Roman"/>
        </w:rPr>
      </w:pPr>
      <w:r w:rsidRPr="006B705F">
        <w:rPr>
          <w:rFonts w:eastAsia="Calibri" w:cs="Times New Roman"/>
        </w:rPr>
        <w:t>Although all parties to this proceeding share the Commission’s concern for system reliability, the authority to address wholesale generation-related pricing and the reliability of the transmission grid rests exclusively with FERC.  Because FERC has exclusive jurisdiction, this Commission is preempted from authorizing additional compensation now or in the future and cannot legally address bulk market reliability in a future filing.</w:t>
      </w:r>
      <w:r w:rsidRPr="006B705F">
        <w:rPr>
          <w:rFonts w:eastAsia="Calibri" w:cs="Times New Roman"/>
          <w:vertAlign w:val="superscript"/>
        </w:rPr>
        <w:footnoteReference w:id="131"/>
      </w:r>
      <w:r w:rsidRPr="006B705F">
        <w:rPr>
          <w:rFonts w:eastAsia="Calibri" w:cs="Times New Roman"/>
        </w:rPr>
        <w:t xml:space="preserve">  Accordingly, the authorization of the </w:t>
      </w:r>
      <w:r>
        <w:rPr>
          <w:rFonts w:eastAsia="Calibri" w:cs="Times New Roman"/>
        </w:rPr>
        <w:t>PSR</w:t>
      </w:r>
      <w:r w:rsidRPr="006B705F">
        <w:rPr>
          <w:rFonts w:eastAsia="Calibri" w:cs="Times New Roman"/>
        </w:rPr>
        <w:t xml:space="preserve"> was in error, and the Commission should grant rehearing and reverse that authorization.</w:t>
      </w:r>
    </w:p>
    <w:p w:rsidR="00C57B05" w:rsidRPr="00C57B05" w:rsidRDefault="00C57B05" w:rsidP="00C57B05">
      <w:pPr>
        <w:pStyle w:val="Heading3"/>
      </w:pPr>
      <w:bookmarkStart w:id="235" w:name="_Toc414877923"/>
      <w:bookmarkStart w:id="236" w:name="_Toc414094872"/>
      <w:bookmarkStart w:id="237" w:name="_Toc414363750"/>
      <w:bookmarkStart w:id="238" w:name="_Toc414363845"/>
      <w:bookmarkStart w:id="239" w:name="_Toc414366710"/>
      <w:bookmarkStart w:id="240" w:name="_Toc414366933"/>
      <w:bookmarkStart w:id="241" w:name="_Toc414367240"/>
      <w:bookmarkStart w:id="242" w:name="_Toc414368388"/>
      <w:bookmarkStart w:id="243" w:name="_Toc414370910"/>
      <w:bookmarkStart w:id="244" w:name="_Toc414371037"/>
      <w:bookmarkStart w:id="245" w:name="_Toc414371172"/>
      <w:bookmarkStart w:id="246" w:name="_Toc414371214"/>
      <w:bookmarkStart w:id="247" w:name="_Toc414371278"/>
      <w:bookmarkStart w:id="248" w:name="_Toc414371344"/>
      <w:bookmarkStart w:id="249" w:name="_Toc414371486"/>
      <w:bookmarkStart w:id="250" w:name="_Toc414372700"/>
      <w:bookmarkStart w:id="251" w:name="_Toc414373007"/>
      <w:bookmarkStart w:id="252" w:name="_Toc414373698"/>
      <w:bookmarkStart w:id="253" w:name="_Toc414973824"/>
      <w:bookmarkStart w:id="254" w:name="_Toc414973855"/>
      <w:bookmarkStart w:id="255" w:name="_Toc415223877"/>
      <w:bookmarkStart w:id="256" w:name="_Toc415225438"/>
      <w:bookmarkStart w:id="257" w:name="_Toc418495457"/>
      <w:bookmarkStart w:id="258" w:name="assign11"/>
      <w:r w:rsidRPr="00C57B05">
        <w:t xml:space="preserve">The ESP Order is unlawful and unreasonable because the Commission engaged in rulemaking without complying with the requirements of Chapter 119 of the Revised Code as a means of authorizing an application process that would permit </w:t>
      </w:r>
      <w:r>
        <w:t>Duke</w:t>
      </w:r>
      <w:r w:rsidRPr="00C57B05">
        <w:t xml:space="preserve"> to seek to recover above-market wholesale generation-related costs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bookmarkEnd w:id="258"/>
    <w:p w:rsidR="00C57B05" w:rsidRPr="00C57B05" w:rsidRDefault="00C57B05" w:rsidP="00C57B05">
      <w:pPr>
        <w:spacing w:line="480" w:lineRule="auto"/>
        <w:ind w:firstLine="720"/>
        <w:contextualSpacing/>
        <w:jc w:val="both"/>
        <w:rPr>
          <w:rFonts w:eastAsia="Times New Roman" w:cs="Arial"/>
        </w:rPr>
      </w:pPr>
      <w:r>
        <w:rPr>
          <w:rFonts w:eastAsia="Times New Roman" w:cs="Arial"/>
        </w:rPr>
        <w:t>In the AEP-Ohio ESP III Order, the Commission authorized a future filing by which AEP-Ohio may seek to recover its above-market generation-related wholesale costs of OVEC and other affiliated unregulated generation plants.</w:t>
      </w:r>
      <w:r>
        <w:rPr>
          <w:rStyle w:val="FootnoteReference"/>
          <w:rFonts w:eastAsia="Times New Roman" w:cs="Arial"/>
        </w:rPr>
        <w:footnoteReference w:id="132"/>
      </w:r>
      <w:r>
        <w:rPr>
          <w:rFonts w:eastAsia="Times New Roman" w:cs="Arial"/>
        </w:rPr>
        <w:t xml:space="preserve">  </w:t>
      </w:r>
      <w:r w:rsidRPr="00C57B05">
        <w:rPr>
          <w:rFonts w:eastAsia="Times New Roman" w:cs="Arial"/>
        </w:rPr>
        <w:t>The Commission</w:t>
      </w:r>
      <w:r>
        <w:rPr>
          <w:rFonts w:eastAsia="Times New Roman" w:cs="Arial"/>
        </w:rPr>
        <w:t xml:space="preserve"> subsequently </w:t>
      </w:r>
      <w:r w:rsidRPr="00C57B05">
        <w:rPr>
          <w:rFonts w:eastAsia="Times New Roman" w:cs="Arial"/>
        </w:rPr>
        <w:t xml:space="preserve">directed </w:t>
      </w:r>
      <w:r w:rsidR="0098365C">
        <w:rPr>
          <w:rFonts w:eastAsia="Times New Roman" w:cs="Arial"/>
        </w:rPr>
        <w:t xml:space="preserve">that </w:t>
      </w:r>
      <w:r>
        <w:rPr>
          <w:rFonts w:eastAsia="Times New Roman" w:cs="Arial"/>
        </w:rPr>
        <w:t xml:space="preserve">the </w:t>
      </w:r>
      <w:r w:rsidR="0098365C">
        <w:rPr>
          <w:rFonts w:eastAsia="Times New Roman" w:cs="Arial"/>
        </w:rPr>
        <w:t xml:space="preserve">Ohio Edison Company, Cleveland Electric Illuminating Company, </w:t>
      </w:r>
      <w:r w:rsidR="006B51D0">
        <w:rPr>
          <w:rFonts w:eastAsia="Times New Roman" w:cs="Arial"/>
        </w:rPr>
        <w:t xml:space="preserve">and </w:t>
      </w:r>
      <w:r w:rsidR="0098365C">
        <w:rPr>
          <w:rFonts w:eastAsia="Times New Roman" w:cs="Arial"/>
        </w:rPr>
        <w:t>the Toledo Edison Company</w:t>
      </w:r>
      <w:r>
        <w:rPr>
          <w:rFonts w:eastAsia="Times New Roman" w:cs="Arial"/>
        </w:rPr>
        <w:t xml:space="preserve"> </w:t>
      </w:r>
      <w:r w:rsidR="000B79C9">
        <w:rPr>
          <w:rFonts w:eastAsia="Times New Roman" w:cs="Arial"/>
        </w:rPr>
        <w:t xml:space="preserve">(“FirstEnergy EDUs”) </w:t>
      </w:r>
      <w:r w:rsidR="0098365C">
        <w:rPr>
          <w:rFonts w:eastAsia="Times New Roman" w:cs="Arial"/>
        </w:rPr>
        <w:t xml:space="preserve">may file supplemental testimony concerning the factors </w:t>
      </w:r>
      <w:r w:rsidR="0098365C" w:rsidRPr="00C57B05">
        <w:rPr>
          <w:rFonts w:eastAsia="Times New Roman" w:cs="Arial"/>
        </w:rPr>
        <w:t xml:space="preserve">established in the </w:t>
      </w:r>
      <w:r w:rsidR="0098365C">
        <w:rPr>
          <w:rFonts w:eastAsia="Times New Roman" w:cs="Arial"/>
        </w:rPr>
        <w:t xml:space="preserve">AEP-Ohio </w:t>
      </w:r>
      <w:r w:rsidR="0098365C" w:rsidRPr="00C57B05">
        <w:rPr>
          <w:rFonts w:eastAsia="Times New Roman" w:cs="Arial"/>
        </w:rPr>
        <w:t>ESP III Order</w:t>
      </w:r>
      <w:r w:rsidR="0098365C">
        <w:rPr>
          <w:rFonts w:eastAsia="Times New Roman" w:cs="Arial"/>
        </w:rPr>
        <w:t xml:space="preserve"> to support</w:t>
      </w:r>
      <w:r w:rsidRPr="00C57B05">
        <w:rPr>
          <w:rFonts w:eastAsia="Times New Roman" w:cs="Arial"/>
        </w:rPr>
        <w:t xml:space="preserve"> </w:t>
      </w:r>
      <w:r w:rsidR="0098365C">
        <w:rPr>
          <w:rFonts w:eastAsia="Times New Roman" w:cs="Arial"/>
        </w:rPr>
        <w:lastRenderedPageBreak/>
        <w:t>their request for a “stability rider</w:t>
      </w:r>
      <w:r w:rsidRPr="00C57B05">
        <w:rPr>
          <w:rFonts w:eastAsia="Times New Roman" w:cs="Arial"/>
        </w:rPr>
        <w:t>.</w:t>
      </w:r>
      <w:r w:rsidR="0098365C">
        <w:rPr>
          <w:rFonts w:eastAsia="Times New Roman" w:cs="Arial"/>
        </w:rPr>
        <w:t>”</w:t>
      </w:r>
      <w:r w:rsidRPr="00C57B05">
        <w:rPr>
          <w:rFonts w:eastAsia="Times New Roman" w:cs="Arial"/>
          <w:vertAlign w:val="superscript"/>
        </w:rPr>
        <w:footnoteReference w:id="133"/>
      </w:r>
      <w:r w:rsidRPr="00C57B05">
        <w:rPr>
          <w:rFonts w:eastAsia="Times New Roman" w:cs="Arial"/>
        </w:rPr>
        <w:t xml:space="preserve">  </w:t>
      </w:r>
      <w:r>
        <w:rPr>
          <w:rFonts w:eastAsia="Times New Roman" w:cs="Arial"/>
        </w:rPr>
        <w:t>Then, the Commission directed that</w:t>
      </w:r>
      <w:r w:rsidRPr="00C57B05">
        <w:rPr>
          <w:rFonts w:eastAsia="Times New Roman" w:cs="Arial"/>
        </w:rPr>
        <w:t xml:space="preserve"> </w:t>
      </w:r>
      <w:r>
        <w:rPr>
          <w:rFonts w:eastAsia="Times New Roman" w:cs="Arial"/>
        </w:rPr>
        <w:t>Duke</w:t>
      </w:r>
      <w:r w:rsidRPr="00C57B05">
        <w:rPr>
          <w:rFonts w:eastAsia="Times New Roman" w:cs="Arial"/>
        </w:rPr>
        <w:t xml:space="preserve"> may assert a claim to recover above-market </w:t>
      </w:r>
      <w:r w:rsidR="005837EA">
        <w:rPr>
          <w:rFonts w:eastAsia="Times New Roman" w:cs="Arial"/>
        </w:rPr>
        <w:t>generation-related wholesale costs</w:t>
      </w:r>
      <w:r>
        <w:rPr>
          <w:rFonts w:eastAsia="Times New Roman" w:cs="Arial"/>
        </w:rPr>
        <w:t xml:space="preserve"> if it complies with the “rule” the Commission promulgated in the AEP-Ohio ESP III Order</w:t>
      </w:r>
      <w:r w:rsidRPr="00C57B05">
        <w:rPr>
          <w:rFonts w:eastAsia="Times New Roman" w:cs="Arial"/>
        </w:rPr>
        <w:t>.</w:t>
      </w:r>
      <w:r w:rsidR="005837EA">
        <w:rPr>
          <w:rStyle w:val="FootnoteReference"/>
          <w:rFonts w:eastAsia="Times New Roman" w:cs="Arial"/>
        </w:rPr>
        <w:footnoteReference w:id="134"/>
      </w:r>
      <w:r w:rsidRPr="00C57B05">
        <w:rPr>
          <w:rFonts w:eastAsia="Times New Roman" w:cs="Arial"/>
        </w:rPr>
        <w:t xml:space="preserve">  </w:t>
      </w:r>
      <w:r>
        <w:rPr>
          <w:rFonts w:eastAsia="Times New Roman" w:cs="Arial"/>
        </w:rPr>
        <w:t>As demonstrated by the Commission’s efforts in the three decisions</w:t>
      </w:r>
      <w:r w:rsidRPr="00C57B05">
        <w:rPr>
          <w:rFonts w:eastAsia="Times New Roman" w:cs="Arial"/>
        </w:rPr>
        <w:t xml:space="preserve">, </w:t>
      </w:r>
      <w:r>
        <w:rPr>
          <w:rFonts w:eastAsia="Times New Roman" w:cs="Arial"/>
        </w:rPr>
        <w:t xml:space="preserve">the Commission has adopted </w:t>
      </w:r>
      <w:r w:rsidR="00870C55">
        <w:rPr>
          <w:rFonts w:eastAsia="Times New Roman" w:cs="Arial"/>
        </w:rPr>
        <w:t>a</w:t>
      </w:r>
      <w:r>
        <w:rPr>
          <w:rFonts w:eastAsia="Times New Roman" w:cs="Arial"/>
        </w:rPr>
        <w:t xml:space="preserve"> </w:t>
      </w:r>
      <w:r w:rsidR="006B51D0">
        <w:rPr>
          <w:rFonts w:eastAsia="Times New Roman" w:cs="Arial"/>
        </w:rPr>
        <w:t>“</w:t>
      </w:r>
      <w:r>
        <w:rPr>
          <w:rFonts w:eastAsia="Times New Roman" w:cs="Arial"/>
        </w:rPr>
        <w:t>rule</w:t>
      </w:r>
      <w:r w:rsidR="006B51D0">
        <w:rPr>
          <w:rFonts w:eastAsia="Times New Roman" w:cs="Arial"/>
        </w:rPr>
        <w:t>”</w:t>
      </w:r>
      <w:r>
        <w:rPr>
          <w:rFonts w:eastAsia="Times New Roman" w:cs="Arial"/>
        </w:rPr>
        <w:t xml:space="preserve"> having</w:t>
      </w:r>
      <w:r w:rsidRPr="00C57B05">
        <w:rPr>
          <w:rFonts w:eastAsia="Times New Roman" w:cs="Arial"/>
        </w:rPr>
        <w:t xml:space="preserve"> a general and uniform operation</w:t>
      </w:r>
      <w:r>
        <w:rPr>
          <w:rFonts w:eastAsia="Times New Roman" w:cs="Arial"/>
        </w:rPr>
        <w:t xml:space="preserve"> and enforcement</w:t>
      </w:r>
      <w:r w:rsidRPr="00C57B05">
        <w:rPr>
          <w:rFonts w:eastAsia="Times New Roman" w:cs="Arial"/>
        </w:rPr>
        <w:t xml:space="preserve"> by the Commission</w:t>
      </w:r>
      <w:r>
        <w:rPr>
          <w:rFonts w:eastAsia="Times New Roman" w:cs="Arial"/>
        </w:rPr>
        <w:t xml:space="preserve"> in its evaluation of </w:t>
      </w:r>
      <w:r w:rsidR="005F369C">
        <w:rPr>
          <w:rFonts w:eastAsia="Times New Roman" w:cs="Arial"/>
        </w:rPr>
        <w:t xml:space="preserve">the </w:t>
      </w:r>
      <w:r>
        <w:rPr>
          <w:rFonts w:eastAsia="Times New Roman" w:cs="Arial"/>
        </w:rPr>
        <w:t>provisions of an ESP.  By failing to comply with the rulemaking process for the adoption and amendment of rules provided by Ohio law</w:t>
      </w:r>
      <w:r w:rsidRPr="00C57B05">
        <w:rPr>
          <w:rFonts w:eastAsia="Times New Roman" w:cs="Arial"/>
        </w:rPr>
        <w:t xml:space="preserve">, the Commission </w:t>
      </w:r>
      <w:r>
        <w:rPr>
          <w:rFonts w:eastAsia="Times New Roman" w:cs="Arial"/>
        </w:rPr>
        <w:t>erred</w:t>
      </w:r>
      <w:r w:rsidRPr="00C57B05">
        <w:rPr>
          <w:rFonts w:eastAsia="Times New Roman" w:cs="Arial"/>
        </w:rPr>
        <w:t>.</w:t>
      </w:r>
    </w:p>
    <w:p w:rsidR="00C57B05" w:rsidRPr="00C57B05" w:rsidRDefault="00C57B05" w:rsidP="00C57B05">
      <w:pPr>
        <w:spacing w:line="480" w:lineRule="auto"/>
        <w:contextualSpacing/>
        <w:jc w:val="both"/>
        <w:rPr>
          <w:rFonts w:eastAsia="Times New Roman" w:cs="Arial"/>
        </w:rPr>
      </w:pPr>
      <w:r w:rsidRPr="00C57B05">
        <w:rPr>
          <w:rFonts w:eastAsia="Times New Roman" w:cs="Arial"/>
        </w:rPr>
        <w:tab/>
      </w:r>
      <w:r w:rsidR="001C4351" w:rsidRPr="00035406">
        <w:rPr>
          <w:rFonts w:eastAsia="Times New Roman" w:cs="Arial"/>
        </w:rPr>
        <w:t>The Commission is an agency subject to the requirements of Chapter 119.</w:t>
      </w:r>
      <w:r w:rsidR="001C4351" w:rsidRPr="00035406">
        <w:rPr>
          <w:rFonts w:eastAsia="Times New Roman" w:cs="Arial"/>
          <w:vertAlign w:val="superscript"/>
        </w:rPr>
        <w:footnoteReference w:id="135"/>
      </w:r>
      <w:r w:rsidR="001C4351">
        <w:rPr>
          <w:rFonts w:eastAsia="Times New Roman" w:cs="Arial"/>
        </w:rPr>
        <w:t xml:space="preserve">  </w:t>
      </w:r>
      <w:r w:rsidRPr="00C57B05">
        <w:rPr>
          <w:rFonts w:eastAsia="Times New Roman" w:cs="Arial"/>
        </w:rPr>
        <w:t>Although “[t]he decision whether to proceed by rule or adjudication generally is for an administrative agency in the first instance,”</w:t>
      </w:r>
      <w:r w:rsidRPr="00C57B05">
        <w:rPr>
          <w:rFonts w:eastAsia="Times New Roman" w:cs="Arial"/>
          <w:vertAlign w:val="superscript"/>
        </w:rPr>
        <w:footnoteReference w:id="136"/>
      </w:r>
      <w:r w:rsidRPr="00C57B05">
        <w:rPr>
          <w:rFonts w:eastAsia="Times New Roman" w:cs="Arial"/>
        </w:rPr>
        <w:t xml:space="preserve"> that discretion does not apply when the Commission is subject to a statutory requirement to issue rules to carry out particular actions.</w:t>
      </w:r>
      <w:r w:rsidRPr="00C57B05">
        <w:rPr>
          <w:rFonts w:eastAsia="Times New Roman" w:cs="Arial"/>
          <w:vertAlign w:val="superscript"/>
        </w:rPr>
        <w:footnoteReference w:id="137"/>
      </w:r>
      <w:r w:rsidRPr="00C57B05">
        <w:rPr>
          <w:rFonts w:eastAsia="Times New Roman" w:cs="Arial"/>
        </w:rPr>
        <w:t xml:space="preserve">  With regard to the approval of an ESP, the Commission is under a mandatory requirement to issue rules. </w:t>
      </w:r>
      <w:r>
        <w:rPr>
          <w:rFonts w:eastAsia="Times New Roman" w:cs="Arial"/>
        </w:rPr>
        <w:t xml:space="preserve"> Under R.C. 4928.06(A), “[t]</w:t>
      </w:r>
      <w:r w:rsidRPr="00C57B05">
        <w:rPr>
          <w:rFonts w:eastAsia="Times New Roman" w:cs="Arial"/>
        </w:rPr>
        <w:t xml:space="preserve">o the extent necessary, the commission shall adopt rules to carry out [Chapter 4928].”  </w:t>
      </w:r>
    </w:p>
    <w:p w:rsidR="00C57B05" w:rsidRPr="00C57B05" w:rsidRDefault="00C57B05" w:rsidP="00C57B05">
      <w:pPr>
        <w:spacing w:line="480" w:lineRule="auto"/>
        <w:ind w:firstLine="720"/>
        <w:contextualSpacing/>
        <w:jc w:val="both"/>
        <w:rPr>
          <w:rFonts w:eastAsia="Times New Roman" w:cs="Arial"/>
        </w:rPr>
      </w:pPr>
      <w:r w:rsidRPr="00C57B05">
        <w:rPr>
          <w:rFonts w:eastAsia="Times New Roman" w:cs="Arial"/>
        </w:rPr>
        <w:t xml:space="preserve">As mandated by R.C. 4928.06(A), the Commission has adopted a rule governing the filing and review of an application seeking to implement an SSO in the form of an </w:t>
      </w:r>
      <w:r w:rsidRPr="00C57B05">
        <w:rPr>
          <w:rFonts w:eastAsia="Times New Roman" w:cs="Arial"/>
        </w:rPr>
        <w:lastRenderedPageBreak/>
        <w:t>ESP.</w:t>
      </w:r>
      <w:r w:rsidRPr="00C57B05">
        <w:rPr>
          <w:rFonts w:eastAsia="Times New Roman" w:cs="Arial"/>
          <w:vertAlign w:val="superscript"/>
        </w:rPr>
        <w:footnoteReference w:id="138"/>
      </w:r>
      <w:r w:rsidRPr="00C57B05">
        <w:rPr>
          <w:rFonts w:eastAsia="Times New Roman" w:cs="Arial"/>
        </w:rPr>
        <w:t xml:space="preserve">  In particular, the rule addresses the information that an EDU must include in its application seeking a rider under R.C. 4928.143(B)(2)(d)</w:t>
      </w:r>
      <w:r>
        <w:rPr>
          <w:rFonts w:eastAsia="Times New Roman" w:cs="Arial"/>
        </w:rPr>
        <w:t xml:space="preserve">.  </w:t>
      </w:r>
      <w:r w:rsidRPr="00CB4ABE">
        <w:rPr>
          <w:rFonts w:cs="Arial"/>
        </w:rPr>
        <w:t>Rule 4901:1-35-03(C)(9)(c), OAC</w:t>
      </w:r>
      <w:r>
        <w:rPr>
          <w:rFonts w:cs="Arial"/>
        </w:rPr>
        <w:t>, provides</w:t>
      </w:r>
      <w:r w:rsidRPr="00C57B05">
        <w:rPr>
          <w:rFonts w:eastAsia="Times New Roman" w:cs="Arial"/>
        </w:rPr>
        <w:t>:</w:t>
      </w:r>
    </w:p>
    <w:p w:rsidR="00C57B05" w:rsidRPr="00C57B05" w:rsidRDefault="00C57B05" w:rsidP="00C57B05">
      <w:pPr>
        <w:ind w:left="720" w:right="720"/>
        <w:contextualSpacing/>
        <w:jc w:val="both"/>
        <w:rPr>
          <w:rFonts w:eastAsia="Times New Roman" w:cs="Arial"/>
        </w:rPr>
      </w:pPr>
      <w:r w:rsidRPr="00C57B05">
        <w:rPr>
          <w:rFonts w:eastAsia="Times New Roman" w:cs="Arial"/>
        </w:rPr>
        <w:t>Division (B)(2)(d) of section 4928.143 of the Revised Code authorizes an electric utility to include terms, conditions, or charges related to retail shopping by customers.  Any application which includes such terms, conditions or charges, shall include, at a minimum, the following information:</w:t>
      </w:r>
    </w:p>
    <w:p w:rsidR="00C57B05" w:rsidRPr="00C57B05" w:rsidRDefault="00C57B05" w:rsidP="00C57B05">
      <w:pPr>
        <w:ind w:left="720" w:right="720"/>
        <w:contextualSpacing/>
        <w:jc w:val="both"/>
        <w:rPr>
          <w:rFonts w:eastAsia="Times New Roman" w:cs="Arial"/>
        </w:rPr>
      </w:pPr>
    </w:p>
    <w:p w:rsidR="00C57B05" w:rsidRPr="00C57B05" w:rsidRDefault="00C57B05" w:rsidP="00C57B05">
      <w:pPr>
        <w:ind w:left="720" w:right="720"/>
        <w:contextualSpacing/>
        <w:jc w:val="both"/>
        <w:rPr>
          <w:rFonts w:eastAsia="Times New Roman" w:cs="Arial"/>
        </w:rPr>
      </w:pPr>
      <w:r w:rsidRPr="00C57B05">
        <w:rPr>
          <w:rFonts w:eastAsia="Times New Roman" w:cs="Arial"/>
        </w:rPr>
        <w:t>(i) A listing of all components of the ESP which would have the effect of preventing, limiting, inhibiting, or promoting customer shopping for retail electric generation service.  Such components would include, but are not limited to, terms and conditions relating to shopping or to returning to the standard service offer and any unavoidable charges.  For each such component, an explanation of the component and a descriptive rationale and, to the extent possible, a quantitative justification shall be provided.</w:t>
      </w:r>
    </w:p>
    <w:p w:rsidR="00C57B05" w:rsidRPr="00C57B05" w:rsidRDefault="00C57B05" w:rsidP="00C57B05">
      <w:pPr>
        <w:ind w:left="720" w:right="720"/>
        <w:contextualSpacing/>
        <w:jc w:val="both"/>
        <w:rPr>
          <w:rFonts w:eastAsia="Times New Roman" w:cs="Arial"/>
        </w:rPr>
      </w:pPr>
    </w:p>
    <w:p w:rsidR="00C57B05" w:rsidRPr="00C57B05" w:rsidRDefault="00C57B05" w:rsidP="00C57B05">
      <w:pPr>
        <w:ind w:left="720" w:right="720"/>
        <w:contextualSpacing/>
        <w:jc w:val="both"/>
        <w:rPr>
          <w:rFonts w:eastAsia="Times New Roman" w:cs="Arial"/>
        </w:rPr>
      </w:pPr>
      <w:r w:rsidRPr="00C57B05">
        <w:rPr>
          <w:rFonts w:eastAsia="Times New Roman" w:cs="Arial"/>
        </w:rPr>
        <w:t>(ii) A description and quantification or estimation of any charges, other than those associated with generation expansion or environmental investment under divisions (B)(2)(b) and (B)(2)(c) of section 4928.143 of the Revised Code, which will be deferred for future recovery, together with the carrying costs, amortization periods, and avoidability of such charges.</w:t>
      </w:r>
    </w:p>
    <w:p w:rsidR="00C57B05" w:rsidRPr="00C57B05" w:rsidRDefault="00C57B05" w:rsidP="00C57B05">
      <w:pPr>
        <w:ind w:left="720" w:right="720"/>
        <w:contextualSpacing/>
        <w:jc w:val="both"/>
        <w:rPr>
          <w:rFonts w:eastAsia="Times New Roman" w:cs="Arial"/>
        </w:rPr>
      </w:pPr>
    </w:p>
    <w:p w:rsidR="00C57B05" w:rsidRPr="00C57B05" w:rsidRDefault="00C57B05" w:rsidP="00C57B05">
      <w:pPr>
        <w:spacing w:after="240"/>
        <w:ind w:left="720" w:right="720"/>
        <w:contextualSpacing/>
        <w:jc w:val="both"/>
        <w:rPr>
          <w:rFonts w:eastAsia="Times New Roman" w:cs="Arial"/>
        </w:rPr>
      </w:pPr>
      <w:r w:rsidRPr="00C57B05">
        <w:rPr>
          <w:rFonts w:eastAsia="Times New Roman" w:cs="Arial"/>
        </w:rPr>
        <w:t>(iii) A listing, description, and quantitative justification of any unavoidable charges for standby, back-up, or supplemental power.</w:t>
      </w:r>
    </w:p>
    <w:p w:rsidR="00C57B05" w:rsidRPr="00C57B05" w:rsidRDefault="00C57B05" w:rsidP="00C57B05">
      <w:pPr>
        <w:spacing w:after="240"/>
        <w:ind w:left="720" w:right="720"/>
        <w:contextualSpacing/>
        <w:jc w:val="both"/>
        <w:rPr>
          <w:rFonts w:eastAsia="Times New Roman" w:cs="Arial"/>
        </w:rPr>
      </w:pPr>
    </w:p>
    <w:p w:rsidR="00C57B05" w:rsidRPr="00C57B05" w:rsidRDefault="00C57B05" w:rsidP="00C57B05">
      <w:pPr>
        <w:spacing w:line="480" w:lineRule="auto"/>
        <w:contextualSpacing/>
        <w:jc w:val="both"/>
        <w:rPr>
          <w:rFonts w:eastAsia="Times New Roman" w:cs="Arial"/>
        </w:rPr>
      </w:pPr>
      <w:r w:rsidRPr="00C57B05">
        <w:rPr>
          <w:rFonts w:eastAsia="Times New Roman" w:cs="Arial"/>
        </w:rPr>
        <w:t xml:space="preserve">The rule does not contain a provision for a post-approval filing to set a charge to recover above-market </w:t>
      </w:r>
      <w:r w:rsidR="001C4351">
        <w:rPr>
          <w:rFonts w:eastAsia="Times New Roman" w:cs="Arial"/>
        </w:rPr>
        <w:t xml:space="preserve">generation-related wholesale </w:t>
      </w:r>
      <w:r w:rsidRPr="00C57B05">
        <w:rPr>
          <w:rFonts w:eastAsia="Times New Roman" w:cs="Arial"/>
        </w:rPr>
        <w:t>costs</w:t>
      </w:r>
      <w:r w:rsidR="001C4351">
        <w:rPr>
          <w:rFonts w:eastAsia="Times New Roman" w:cs="Arial"/>
        </w:rPr>
        <w:t xml:space="preserve"> (nor could the Commission assert jurisdiction to issue such a rule</w:t>
      </w:r>
      <w:r w:rsidR="0086624D">
        <w:rPr>
          <w:rFonts w:eastAsia="Times New Roman" w:cs="Arial"/>
        </w:rPr>
        <w:t xml:space="preserve"> because cost recovery of the above-market generation wholesale costs is not permitted under R.C. 4928.143(B)(2)(d)</w:t>
      </w:r>
      <w:r w:rsidR="001C4351">
        <w:rPr>
          <w:rFonts w:eastAsia="Times New Roman" w:cs="Arial"/>
        </w:rPr>
        <w:t>, for the reasons discussed above)</w:t>
      </w:r>
      <w:r w:rsidRPr="00C57B05">
        <w:rPr>
          <w:rFonts w:eastAsia="Times New Roman" w:cs="Arial"/>
        </w:rPr>
        <w:t xml:space="preserve">.  </w:t>
      </w:r>
    </w:p>
    <w:p w:rsidR="00C57B05" w:rsidRPr="00C57B05" w:rsidRDefault="00C57B05" w:rsidP="00C57B05">
      <w:pPr>
        <w:spacing w:line="480" w:lineRule="auto"/>
        <w:ind w:firstLine="720"/>
        <w:contextualSpacing/>
        <w:jc w:val="both"/>
        <w:rPr>
          <w:rFonts w:eastAsia="Calibri" w:cs="Times New Roman"/>
        </w:rPr>
      </w:pPr>
      <w:r w:rsidRPr="00C57B05">
        <w:rPr>
          <w:rFonts w:eastAsia="Times New Roman" w:cs="Arial"/>
        </w:rPr>
        <w:t xml:space="preserve">In </w:t>
      </w:r>
      <w:r w:rsidR="001C4351">
        <w:rPr>
          <w:rFonts w:eastAsia="Times New Roman" w:cs="Arial"/>
        </w:rPr>
        <w:t xml:space="preserve">the AEP-Ohio </w:t>
      </w:r>
      <w:r w:rsidR="001C4351" w:rsidRPr="00C57B05">
        <w:rPr>
          <w:rFonts w:eastAsia="Times New Roman" w:cs="Arial"/>
        </w:rPr>
        <w:t>ESP III Order</w:t>
      </w:r>
      <w:r w:rsidRPr="00C57B05">
        <w:rPr>
          <w:rFonts w:eastAsia="Times New Roman" w:cs="Arial"/>
        </w:rPr>
        <w:t xml:space="preserve">, the Commission substantially expanded the opportunity for </w:t>
      </w:r>
      <w:r w:rsidR="0086624D">
        <w:rPr>
          <w:rFonts w:eastAsia="Times New Roman" w:cs="Arial"/>
        </w:rPr>
        <w:t>an EDU</w:t>
      </w:r>
      <w:r w:rsidRPr="00C57B05">
        <w:rPr>
          <w:rFonts w:eastAsia="Times New Roman" w:cs="Arial"/>
        </w:rPr>
        <w:t xml:space="preserve"> to seek to recover above-market generation-related costs in an </w:t>
      </w:r>
      <w:r w:rsidRPr="00C57B05">
        <w:rPr>
          <w:rFonts w:eastAsia="Times New Roman" w:cs="Arial"/>
        </w:rPr>
        <w:lastRenderedPageBreak/>
        <w:t>ESP.  First, it created the opportunity to make such a filing.</w:t>
      </w:r>
      <w:r w:rsidR="00870C55">
        <w:rPr>
          <w:rStyle w:val="FootnoteReference"/>
          <w:rFonts w:eastAsia="Times New Roman" w:cs="Arial"/>
        </w:rPr>
        <w:footnoteReference w:id="139"/>
      </w:r>
      <w:r w:rsidRPr="00C57B05">
        <w:rPr>
          <w:rFonts w:eastAsia="Times New Roman" w:cs="Arial"/>
        </w:rPr>
        <w:t xml:space="preserve">  Second, it laid down filing requirements the EDU must comply with if it seeks to recover the above-market costs through a rider approved under R.C. 4928.143(B)(2)(d).  As stated in the </w:t>
      </w:r>
      <w:r w:rsidR="0086624D">
        <w:rPr>
          <w:rFonts w:eastAsia="Times New Roman" w:cs="Arial"/>
        </w:rPr>
        <w:t xml:space="preserve">AEP-Ohio </w:t>
      </w:r>
      <w:r w:rsidRPr="00C57B05">
        <w:rPr>
          <w:rFonts w:eastAsia="Times New Roman" w:cs="Arial"/>
        </w:rPr>
        <w:t xml:space="preserve">ESP </w:t>
      </w:r>
      <w:r w:rsidR="0086624D">
        <w:rPr>
          <w:rFonts w:eastAsia="Times New Roman" w:cs="Arial"/>
        </w:rPr>
        <w:t xml:space="preserve">III </w:t>
      </w:r>
      <w:r w:rsidRPr="00C57B05">
        <w:rPr>
          <w:rFonts w:eastAsia="Times New Roman" w:cs="Arial"/>
        </w:rPr>
        <w:t>Order, the filing must address the following matters:</w:t>
      </w:r>
      <w:r w:rsidRPr="00C57B05">
        <w:rPr>
          <w:rFonts w:eastAsia="Calibri" w:cs="Times New Roman"/>
        </w:rPr>
        <w:t xml:space="preserve"> </w:t>
      </w:r>
    </w:p>
    <w:p w:rsidR="00C57B05" w:rsidRPr="00C57B05" w:rsidRDefault="00C57B05" w:rsidP="00C57B05">
      <w:pPr>
        <w:ind w:left="720" w:right="720"/>
        <w:contextualSpacing/>
        <w:jc w:val="both"/>
        <w:rPr>
          <w:rFonts w:eastAsia="Calibri" w:cs="Times New Roman"/>
        </w:rPr>
      </w:pPr>
      <w:r w:rsidRPr="00C57B05">
        <w:rPr>
          <w:rFonts w:eastAsia="Calibri" w:cs="Times New Roman"/>
        </w:rPr>
        <w:t>financial need of the generating plant; necessity of the generating facility, in light of future reliability concerns, including supply diversity; description of how the generating plant is compliant with all pertinent environmental regulations and its plan for compliance with pending environmental regulations; and the impact that a closure of the generating plant would have on electric prices and the resulting effect on economic development within the state.  The Commission also reserves the right to require a study by an independent third party, selected by the Commission, of reliability and pricing issues as they relate to the application.  AEP Ohio must also, in its PPA rider proposal, provide for rigorous Commission oversight of the rider, including a proposed process for a periodic substantive review and audit; commit to full information sharing with the Commission and its Staff; and include an alternative plan to allocate the rider's financial risk between both the Company and its ratepayers.  Finally, AEP Ohio must include a severability provision that recognizes that all other provisions of its ESP will continue, in the event that the PPA rider is invalidated, in whole or part at any point, by a court of competent jurisdiction.</w:t>
      </w:r>
      <w:r w:rsidRPr="00C57B05">
        <w:rPr>
          <w:rFonts w:eastAsia="Calibri" w:cs="Times New Roman"/>
          <w:vertAlign w:val="superscript"/>
        </w:rPr>
        <w:footnoteReference w:id="140"/>
      </w:r>
    </w:p>
    <w:p w:rsidR="00C57B05" w:rsidRPr="00C57B05" w:rsidRDefault="00C57B05" w:rsidP="00C57B05">
      <w:pPr>
        <w:ind w:left="720" w:right="720"/>
        <w:contextualSpacing/>
        <w:jc w:val="both"/>
        <w:rPr>
          <w:rFonts w:eastAsia="Times New Roman" w:cs="Arial"/>
        </w:rPr>
      </w:pPr>
    </w:p>
    <w:p w:rsidR="00C57B05" w:rsidRDefault="00C57B05" w:rsidP="00C57B05">
      <w:pPr>
        <w:spacing w:line="480" w:lineRule="auto"/>
        <w:contextualSpacing/>
        <w:jc w:val="both"/>
        <w:rPr>
          <w:rFonts w:eastAsia="Times New Roman" w:cs="Arial"/>
        </w:rPr>
      </w:pPr>
      <w:r>
        <w:rPr>
          <w:rFonts w:eastAsia="Times New Roman" w:cs="Arial"/>
        </w:rPr>
        <w:t xml:space="preserve">The Commission subsequently directed that the same review process </w:t>
      </w:r>
      <w:r w:rsidR="006C53DD">
        <w:rPr>
          <w:rFonts w:eastAsia="Times New Roman" w:cs="Arial"/>
        </w:rPr>
        <w:t xml:space="preserve">be </w:t>
      </w:r>
      <w:r>
        <w:rPr>
          <w:rFonts w:eastAsia="Times New Roman" w:cs="Arial"/>
        </w:rPr>
        <w:t>applied to application</w:t>
      </w:r>
      <w:r w:rsidR="00C3113B">
        <w:rPr>
          <w:rFonts w:eastAsia="Times New Roman" w:cs="Arial"/>
        </w:rPr>
        <w:t>s</w:t>
      </w:r>
      <w:r>
        <w:rPr>
          <w:rFonts w:eastAsia="Times New Roman" w:cs="Arial"/>
        </w:rPr>
        <w:t xml:space="preserve"> seeking the recovery of above-market generation-related wholesale costs</w:t>
      </w:r>
      <w:r w:rsidR="000B79C9">
        <w:rPr>
          <w:rFonts w:eastAsia="Times New Roman" w:cs="Arial"/>
        </w:rPr>
        <w:t xml:space="preserve"> </w:t>
      </w:r>
      <w:r w:rsidR="00C3113B">
        <w:rPr>
          <w:rFonts w:eastAsia="Times New Roman" w:cs="Arial"/>
        </w:rPr>
        <w:t>by</w:t>
      </w:r>
      <w:r w:rsidR="00306856">
        <w:rPr>
          <w:rFonts w:eastAsia="Times New Roman" w:cs="Arial"/>
        </w:rPr>
        <w:t xml:space="preserve"> </w:t>
      </w:r>
      <w:r w:rsidR="000B79C9">
        <w:rPr>
          <w:rFonts w:eastAsia="Times New Roman" w:cs="Arial"/>
        </w:rPr>
        <w:t xml:space="preserve">Duke </w:t>
      </w:r>
      <w:r w:rsidR="00C3113B">
        <w:rPr>
          <w:rFonts w:eastAsia="Times New Roman" w:cs="Arial"/>
        </w:rPr>
        <w:t>and the FirstEnergy EDUs</w:t>
      </w:r>
      <w:r>
        <w:rPr>
          <w:rFonts w:eastAsia="Times New Roman" w:cs="Arial"/>
        </w:rPr>
        <w:t>.</w:t>
      </w:r>
      <w:r w:rsidR="001C4351">
        <w:rPr>
          <w:rStyle w:val="FootnoteReference"/>
          <w:rFonts w:eastAsia="Times New Roman" w:cs="Arial"/>
        </w:rPr>
        <w:footnoteReference w:id="141"/>
      </w:r>
    </w:p>
    <w:p w:rsidR="00C57B05" w:rsidRPr="00C57B05" w:rsidRDefault="00C57B05" w:rsidP="00C57B05">
      <w:pPr>
        <w:spacing w:line="480" w:lineRule="auto"/>
        <w:ind w:firstLine="720"/>
        <w:contextualSpacing/>
        <w:jc w:val="both"/>
        <w:rPr>
          <w:rFonts w:eastAsia="Times New Roman" w:cs="Arial"/>
        </w:rPr>
      </w:pPr>
      <w:r>
        <w:rPr>
          <w:rFonts w:eastAsia="Times New Roman" w:cs="Arial"/>
        </w:rPr>
        <w:t xml:space="preserve">By establishing a uniform filing requirement and process for an EDU to seek recovery of above-market generation-related wholesale costs, </w:t>
      </w:r>
      <w:r w:rsidRPr="00C57B05">
        <w:rPr>
          <w:rFonts w:eastAsia="Times New Roman" w:cs="Arial"/>
        </w:rPr>
        <w:t xml:space="preserve">the Commission has adopted a rule within the meaning of R.C. 119.01.  </w:t>
      </w:r>
      <w:r>
        <w:rPr>
          <w:rFonts w:eastAsia="Times New Roman" w:cs="Arial"/>
        </w:rPr>
        <w:t>T</w:t>
      </w:r>
      <w:r w:rsidRPr="00C57B05">
        <w:rPr>
          <w:rFonts w:eastAsia="Times New Roman" w:cs="Arial"/>
        </w:rPr>
        <w:t xml:space="preserve">he “future filing” requirements and review process described by the Commission and quoted above </w:t>
      </w:r>
      <w:r w:rsidR="0032313A">
        <w:rPr>
          <w:rFonts w:eastAsia="Times New Roman" w:cs="Arial"/>
        </w:rPr>
        <w:t>are</w:t>
      </w:r>
      <w:r w:rsidRPr="00C57B05">
        <w:rPr>
          <w:rFonts w:eastAsia="Times New Roman" w:cs="Arial"/>
        </w:rPr>
        <w:t xml:space="preserve"> a “standard, having a general and uniform operation, adopted, promulgated, and enforced” by the </w:t>
      </w:r>
      <w:r w:rsidRPr="00C57B05">
        <w:rPr>
          <w:rFonts w:eastAsia="Times New Roman" w:cs="Arial"/>
        </w:rPr>
        <w:lastRenderedPageBreak/>
        <w:t>Commission.</w:t>
      </w:r>
      <w:r w:rsidR="00C3113B">
        <w:rPr>
          <w:rStyle w:val="FootnoteReference"/>
          <w:rFonts w:eastAsia="Times New Roman" w:cs="Arial"/>
        </w:rPr>
        <w:footnoteReference w:id="142"/>
      </w:r>
      <w:r w:rsidRPr="00C57B05">
        <w:rPr>
          <w:rFonts w:eastAsia="Times New Roman" w:cs="Arial"/>
        </w:rPr>
        <w:t xml:space="preserve">  The new requirements are a statement of the “agency position which has legal consequences”</w:t>
      </w:r>
      <w:r w:rsidRPr="00C57B05">
        <w:rPr>
          <w:rFonts w:eastAsia="Times New Roman" w:cs="Arial"/>
          <w:vertAlign w:val="superscript"/>
        </w:rPr>
        <w:footnoteReference w:id="143"/>
      </w:r>
      <w:r w:rsidRPr="00C57B05">
        <w:rPr>
          <w:rFonts w:eastAsia="Times New Roman" w:cs="Arial"/>
        </w:rPr>
        <w:t xml:space="preserve"> for EDUs and intervenors in proceedings in addition to this proceeding to establish an ESP for </w:t>
      </w:r>
      <w:r>
        <w:rPr>
          <w:rFonts w:eastAsia="Times New Roman" w:cs="Arial"/>
        </w:rPr>
        <w:t>Duke</w:t>
      </w:r>
      <w:r w:rsidRPr="00C57B05">
        <w:rPr>
          <w:rFonts w:eastAsia="Times New Roman" w:cs="Arial"/>
        </w:rPr>
        <w:t>.</w:t>
      </w:r>
    </w:p>
    <w:p w:rsidR="00C57B05" w:rsidRDefault="00C57B05" w:rsidP="00C57B05">
      <w:pPr>
        <w:spacing w:line="480" w:lineRule="auto"/>
        <w:contextualSpacing/>
        <w:jc w:val="both"/>
        <w:rPr>
          <w:rFonts w:eastAsia="Times New Roman" w:cs="Arial"/>
        </w:rPr>
      </w:pPr>
      <w:r w:rsidRPr="00C57B05">
        <w:rPr>
          <w:rFonts w:eastAsia="Times New Roman" w:cs="Arial"/>
        </w:rPr>
        <w:tab/>
        <w:t>The Commission’s order</w:t>
      </w:r>
      <w:r w:rsidR="00C3113B">
        <w:rPr>
          <w:rFonts w:eastAsia="Times New Roman" w:cs="Arial"/>
        </w:rPr>
        <w:t>s</w:t>
      </w:r>
      <w:r w:rsidRPr="00C57B05">
        <w:rPr>
          <w:rFonts w:eastAsia="Times New Roman" w:cs="Arial"/>
        </w:rPr>
        <w:t xml:space="preserve">, moreover, </w:t>
      </w:r>
      <w:r w:rsidR="00C3113B">
        <w:rPr>
          <w:rFonts w:eastAsia="Times New Roman" w:cs="Arial"/>
        </w:rPr>
        <w:t>are</w:t>
      </w:r>
      <w:r w:rsidR="00C3113B" w:rsidRPr="00C57B05">
        <w:rPr>
          <w:rFonts w:eastAsia="Times New Roman" w:cs="Arial"/>
        </w:rPr>
        <w:t xml:space="preserve"> </w:t>
      </w:r>
      <w:r w:rsidRPr="00C57B05">
        <w:rPr>
          <w:rFonts w:eastAsia="Times New Roman" w:cs="Arial"/>
        </w:rPr>
        <w:t>more than an explanation of the existing rules.  “</w:t>
      </w:r>
      <w:r w:rsidR="0086624D">
        <w:rPr>
          <w:rFonts w:eastAsia="Times New Roman" w:cs="Arial"/>
        </w:rPr>
        <w:t>[The order</w:t>
      </w:r>
      <w:r w:rsidR="00C3113B">
        <w:rPr>
          <w:rFonts w:eastAsia="Times New Roman" w:cs="Arial"/>
        </w:rPr>
        <w:t>s</w:t>
      </w:r>
      <w:r w:rsidR="0086624D">
        <w:rPr>
          <w:rFonts w:eastAsia="Times New Roman" w:cs="Arial"/>
        </w:rPr>
        <w:t>]</w:t>
      </w:r>
      <w:r w:rsidRPr="00C57B05">
        <w:rPr>
          <w:rFonts w:eastAsia="Times New Roman" w:cs="Arial"/>
        </w:rPr>
        <w:t xml:space="preserve"> do</w:t>
      </w:r>
      <w:r w:rsidR="00C3113B">
        <w:rPr>
          <w:rFonts w:eastAsia="Times New Roman" w:cs="Arial"/>
        </w:rPr>
        <w:t>[]</w:t>
      </w:r>
      <w:r w:rsidRPr="00C57B05">
        <w:rPr>
          <w:rFonts w:eastAsia="Times New Roman" w:cs="Arial"/>
        </w:rPr>
        <w:t xml:space="preserve"> more than simply aid in the interpretation of existing rules or statutes.  Instead, </w:t>
      </w:r>
      <w:r w:rsidR="00C3113B">
        <w:rPr>
          <w:rFonts w:eastAsia="Times New Roman" w:cs="Arial"/>
        </w:rPr>
        <w:t>[they]</w:t>
      </w:r>
      <w:r w:rsidR="00C3113B" w:rsidRPr="00C57B05">
        <w:rPr>
          <w:rFonts w:eastAsia="Times New Roman" w:cs="Arial"/>
        </w:rPr>
        <w:t xml:space="preserve"> </w:t>
      </w:r>
      <w:r w:rsidRPr="00C57B05">
        <w:rPr>
          <w:rFonts w:eastAsia="Times New Roman" w:cs="Arial"/>
        </w:rPr>
        <w:t>prescribes a legal standard that did not previously exist.”</w:t>
      </w:r>
      <w:r w:rsidRPr="00C57B05">
        <w:rPr>
          <w:rFonts w:eastAsia="Times New Roman" w:cs="Arial"/>
          <w:vertAlign w:val="superscript"/>
        </w:rPr>
        <w:footnoteReference w:id="144"/>
      </w:r>
      <w:r w:rsidRPr="00C57B05">
        <w:rPr>
          <w:rFonts w:eastAsia="Times New Roman" w:cs="Arial"/>
        </w:rPr>
        <w:t xml:space="preserve">  With regard to a filing to authorize collection of above-market costs of generation, the </w:t>
      </w:r>
      <w:r>
        <w:rPr>
          <w:rFonts w:eastAsia="Times New Roman" w:cs="Arial"/>
        </w:rPr>
        <w:t>AEP-Ohio, F</w:t>
      </w:r>
      <w:r w:rsidR="006C53DD">
        <w:rPr>
          <w:rFonts w:eastAsia="Times New Roman" w:cs="Arial"/>
        </w:rPr>
        <w:t>irst</w:t>
      </w:r>
      <w:r>
        <w:rPr>
          <w:rFonts w:eastAsia="Times New Roman" w:cs="Arial"/>
        </w:rPr>
        <w:t>E</w:t>
      </w:r>
      <w:r w:rsidR="006C53DD">
        <w:rPr>
          <w:rFonts w:eastAsia="Times New Roman" w:cs="Arial"/>
        </w:rPr>
        <w:t>nergy</w:t>
      </w:r>
      <w:r>
        <w:rPr>
          <w:rFonts w:eastAsia="Times New Roman" w:cs="Arial"/>
        </w:rPr>
        <w:t>, and Duke orders</w:t>
      </w:r>
      <w:r w:rsidRPr="00C57B05">
        <w:rPr>
          <w:rFonts w:eastAsia="Times New Roman" w:cs="Arial"/>
        </w:rPr>
        <w:t xml:space="preserve"> “significantly broadened” the current rules.</w:t>
      </w:r>
      <w:r w:rsidRPr="00C57B05">
        <w:rPr>
          <w:rFonts w:eastAsia="Times New Roman" w:cs="Arial"/>
          <w:vertAlign w:val="superscript"/>
        </w:rPr>
        <w:footnoteReference w:id="145"/>
      </w:r>
    </w:p>
    <w:p w:rsidR="00C57B05" w:rsidRPr="00C57B05" w:rsidRDefault="00C57B05" w:rsidP="00C57B05">
      <w:pPr>
        <w:spacing w:line="480" w:lineRule="auto"/>
        <w:ind w:firstLine="720"/>
        <w:contextualSpacing/>
        <w:jc w:val="both"/>
        <w:rPr>
          <w:rFonts w:eastAsia="Times New Roman" w:cs="Arial"/>
        </w:rPr>
      </w:pPr>
      <w:r w:rsidRPr="00C57B05">
        <w:rPr>
          <w:rFonts w:eastAsia="Times New Roman" w:cs="Arial"/>
        </w:rPr>
        <w:t xml:space="preserve">Because the Commission was engaged in a rulemaking amending its current rules </w:t>
      </w:r>
      <w:r w:rsidR="004F77FC">
        <w:rPr>
          <w:rFonts w:eastAsia="Times New Roman" w:cs="Arial"/>
        </w:rPr>
        <w:t xml:space="preserve">governing an application seeking an ESP </w:t>
      </w:r>
      <w:r w:rsidRPr="00C57B05">
        <w:rPr>
          <w:rFonts w:eastAsia="Times New Roman" w:cs="Arial"/>
        </w:rPr>
        <w:t xml:space="preserve">to include requirements authorizing and defining filing requirements </w:t>
      </w:r>
      <w:r>
        <w:rPr>
          <w:rFonts w:eastAsia="Times New Roman" w:cs="Arial"/>
        </w:rPr>
        <w:t xml:space="preserve">and </w:t>
      </w:r>
      <w:r w:rsidR="004F77FC">
        <w:rPr>
          <w:rFonts w:eastAsia="Times New Roman" w:cs="Arial"/>
        </w:rPr>
        <w:t>a review</w:t>
      </w:r>
      <w:r>
        <w:rPr>
          <w:rFonts w:eastAsia="Times New Roman" w:cs="Arial"/>
        </w:rPr>
        <w:t xml:space="preserve"> process</w:t>
      </w:r>
      <w:r w:rsidRPr="00C57B05">
        <w:rPr>
          <w:rFonts w:eastAsia="Times New Roman" w:cs="Arial"/>
        </w:rPr>
        <w:t>, the Commission was required to comply with the requirements of R.C. 119.03</w:t>
      </w:r>
      <w:r w:rsidR="00C3113B">
        <w:rPr>
          <w:rFonts w:eastAsia="Times New Roman" w:cs="Arial"/>
        </w:rPr>
        <w:t>:</w:t>
      </w:r>
      <w:r w:rsidRPr="00C57B05">
        <w:rPr>
          <w:rFonts w:eastAsia="Times New Roman" w:cs="Arial"/>
        </w:rPr>
        <w:t xml:space="preserve"> “In the adoption, amendment, or rescission of any rule, an agency shall comply with the … procedure” set out in that section requiring notice, hearing, publication, and filing and </w:t>
      </w:r>
      <w:r w:rsidR="0032313A">
        <w:rPr>
          <w:rFonts w:eastAsia="Times New Roman" w:cs="Arial"/>
        </w:rPr>
        <w:t xml:space="preserve">agency and legislative </w:t>
      </w:r>
      <w:r w:rsidRPr="00C57B05">
        <w:rPr>
          <w:rFonts w:eastAsia="Times New Roman" w:cs="Arial"/>
        </w:rPr>
        <w:t xml:space="preserve">review.  The Commission, however, did not comply with any of those mandatory procedures to amend the Commission’s rules governing applications for an ESP.  </w:t>
      </w:r>
    </w:p>
    <w:p w:rsidR="00C57B05" w:rsidRPr="00C57B05" w:rsidRDefault="00C57B05" w:rsidP="00C57B05">
      <w:pPr>
        <w:spacing w:line="480" w:lineRule="auto"/>
        <w:ind w:firstLine="720"/>
        <w:contextualSpacing/>
        <w:jc w:val="both"/>
        <w:rPr>
          <w:rFonts w:eastAsia="Times New Roman" w:cs="Arial"/>
        </w:rPr>
      </w:pPr>
      <w:r w:rsidRPr="00C57B05">
        <w:rPr>
          <w:rFonts w:eastAsia="Times New Roman" w:cs="Arial"/>
        </w:rPr>
        <w:t xml:space="preserve">Having failed to comply with the procedural requirements of R.C. 119.03, the rule is not valid.  “Every agency authorized by law to adopt, amend, or rescind rules shall comply with the procedure prescribed in sections 119.01 to 119.03, inclusive, of the </w:t>
      </w:r>
      <w:r w:rsidRPr="00C57B05">
        <w:rPr>
          <w:rFonts w:eastAsia="Times New Roman" w:cs="Arial"/>
        </w:rPr>
        <w:lastRenderedPageBreak/>
        <w:t>Revised Code, for the adoption, amendment, or rescission of rules.  Unless otherwise specifically provided by law, the failure of any agency to comply with such procedure shall invalidate any rule or amendment adopted, or the rescission of any rule.”</w:t>
      </w:r>
      <w:r w:rsidRPr="00C57B05">
        <w:rPr>
          <w:rFonts w:eastAsia="Times New Roman" w:cs="Arial"/>
          <w:vertAlign w:val="superscript"/>
        </w:rPr>
        <w:footnoteReference w:id="146"/>
      </w:r>
      <w:r w:rsidRPr="00C57B05">
        <w:rPr>
          <w:rFonts w:eastAsia="Times New Roman" w:cs="Arial"/>
        </w:rPr>
        <w:t xml:space="preserve">  </w:t>
      </w:r>
    </w:p>
    <w:p w:rsidR="00C57B05" w:rsidRPr="00C57B05" w:rsidRDefault="00C57B05" w:rsidP="00C57B05">
      <w:pPr>
        <w:spacing w:line="480" w:lineRule="auto"/>
        <w:contextualSpacing/>
        <w:jc w:val="both"/>
        <w:rPr>
          <w:rFonts w:eastAsia="Times New Roman" w:cs="Arial"/>
        </w:rPr>
      </w:pPr>
      <w:r w:rsidRPr="00C57B05">
        <w:rPr>
          <w:rFonts w:eastAsia="Times New Roman" w:cs="Arial"/>
        </w:rPr>
        <w:tab/>
        <w:t>The reason for requiring compliance with the rulemaking procedures of R.C. 119.03 is to assure openness and fairness.</w:t>
      </w:r>
      <w:r w:rsidRPr="00C57B05">
        <w:rPr>
          <w:rFonts w:eastAsia="Times New Roman" w:cs="Arial"/>
          <w:vertAlign w:val="superscript"/>
        </w:rPr>
        <w:footnoteReference w:id="147"/>
      </w:r>
      <w:r w:rsidRPr="00C57B05">
        <w:rPr>
          <w:rFonts w:eastAsia="Times New Roman" w:cs="Arial"/>
        </w:rPr>
        <w:t xml:space="preserve">  “The rulemaking requirements of R.C. Chapter 119 are mandatory protections against the arbitrary imposition of regulatory requirements.  They are fundamental to the administrative process and apply broadly to any action by an agency that functions as a rule.”</w:t>
      </w:r>
      <w:r w:rsidRPr="00C57B05">
        <w:rPr>
          <w:rFonts w:eastAsia="Times New Roman" w:cs="Arial"/>
          <w:vertAlign w:val="superscript"/>
        </w:rPr>
        <w:footnoteReference w:id="148"/>
      </w:r>
      <w:r w:rsidRPr="00C57B05">
        <w:rPr>
          <w:rFonts w:eastAsia="Times New Roman" w:cs="Arial"/>
        </w:rPr>
        <w:t xml:space="preserve">  “Requiring [an agency] to undertake rulemaking procedures before applying the new standard … ensures that all stakeholders … have an opportunity to express their views on the wisdom of the proposal and to contest its legality if they so desire.”</w:t>
      </w:r>
      <w:r w:rsidRPr="00C57B05">
        <w:rPr>
          <w:rFonts w:eastAsia="Times New Roman" w:cs="Arial"/>
          <w:vertAlign w:val="superscript"/>
        </w:rPr>
        <w:footnoteReference w:id="149"/>
      </w:r>
      <w:r w:rsidRPr="00C57B05">
        <w:rPr>
          <w:rFonts w:eastAsia="Times New Roman" w:cs="Arial"/>
        </w:rPr>
        <w:t xml:space="preserve">  </w:t>
      </w:r>
    </w:p>
    <w:p w:rsidR="00C57B05" w:rsidRDefault="0086624D" w:rsidP="00C57B05">
      <w:pPr>
        <w:spacing w:line="480" w:lineRule="auto"/>
        <w:ind w:firstLine="720"/>
        <w:contextualSpacing/>
        <w:jc w:val="both"/>
        <w:rPr>
          <w:rFonts w:eastAsia="Times New Roman" w:cs="Arial"/>
        </w:rPr>
      </w:pPr>
      <w:r>
        <w:rPr>
          <w:rFonts w:eastAsia="Times New Roman" w:cs="Arial"/>
        </w:rPr>
        <w:t>The</w:t>
      </w:r>
      <w:r w:rsidR="00C57B05" w:rsidRPr="00C57B05">
        <w:rPr>
          <w:rFonts w:eastAsia="Times New Roman" w:cs="Arial"/>
        </w:rPr>
        <w:t xml:space="preserve"> need for a full and fair rulemaking process is particularly apparent in this case.  As discussed above, authorization of the recovery of </w:t>
      </w:r>
      <w:r w:rsidR="004F77FC">
        <w:rPr>
          <w:rFonts w:eastAsia="Times New Roman" w:cs="Arial"/>
        </w:rPr>
        <w:t>above-market generation-related wholesale</w:t>
      </w:r>
      <w:r w:rsidR="00C57B05" w:rsidRPr="00C57B05">
        <w:rPr>
          <w:rFonts w:eastAsia="Times New Roman" w:cs="Arial"/>
        </w:rPr>
        <w:t xml:space="preserve"> costs exceeds the Commission’s jurisdiction under both state and federal law.  </w:t>
      </w:r>
      <w:r w:rsidR="00CE6B98" w:rsidRPr="00C57B05">
        <w:rPr>
          <w:rFonts w:eastAsia="Times New Roman" w:cs="Arial"/>
        </w:rPr>
        <w:t xml:space="preserve">As discussed below, the “rule” the Commission issued is vague and incomplete.  </w:t>
      </w:r>
      <w:r w:rsidR="00CE6B98">
        <w:rPr>
          <w:rFonts w:eastAsia="Times New Roman" w:cs="Arial"/>
        </w:rPr>
        <w:t xml:space="preserve">Further, the rule exposes customers to potentially substantial above-market generation-related wholesale costs.  </w:t>
      </w:r>
      <w:r w:rsidR="00C57B05" w:rsidRPr="00C57B05">
        <w:rPr>
          <w:rFonts w:eastAsia="Times New Roman" w:cs="Arial"/>
        </w:rPr>
        <w:t>Thus, the Commission’s failure to properly expose its proposed “rule” to a valid rulemaking process has produced an illegal and unreasonable result</w:t>
      </w:r>
      <w:r w:rsidR="00CE6B98">
        <w:rPr>
          <w:rFonts w:eastAsia="Times New Roman" w:cs="Arial"/>
        </w:rPr>
        <w:t xml:space="preserve"> with serious and unnecessary financial consequences to customers</w:t>
      </w:r>
      <w:r w:rsidR="00C57B05" w:rsidRPr="00C57B05">
        <w:rPr>
          <w:rFonts w:eastAsia="Times New Roman" w:cs="Arial"/>
        </w:rPr>
        <w:t xml:space="preserve">.  </w:t>
      </w:r>
    </w:p>
    <w:p w:rsidR="00DB364E" w:rsidRPr="00DB364E" w:rsidRDefault="004F77FC" w:rsidP="00DB364E">
      <w:pPr>
        <w:spacing w:line="480" w:lineRule="auto"/>
        <w:ind w:firstLine="720"/>
        <w:contextualSpacing/>
        <w:jc w:val="both"/>
        <w:rPr>
          <w:rFonts w:eastAsia="Times New Roman" w:cs="Arial"/>
        </w:rPr>
      </w:pPr>
      <w:r>
        <w:rPr>
          <w:rFonts w:eastAsia="Times New Roman" w:cs="Arial"/>
        </w:rPr>
        <w:lastRenderedPageBreak/>
        <w:t xml:space="preserve">The Commission rationalizes the process of authorizing a placeholder rider and </w:t>
      </w:r>
      <w:r w:rsidR="0032313A">
        <w:rPr>
          <w:rFonts w:eastAsia="Times New Roman" w:cs="Arial"/>
        </w:rPr>
        <w:t xml:space="preserve">by implication </w:t>
      </w:r>
      <w:r>
        <w:rPr>
          <w:rFonts w:eastAsia="Times New Roman" w:cs="Arial"/>
        </w:rPr>
        <w:t>the future filing on the basis that it has adopted placeholder riders in the past</w:t>
      </w:r>
      <w:r w:rsidR="00DB364E" w:rsidRPr="00DB364E">
        <w:rPr>
          <w:rFonts w:eastAsia="Times New Roman" w:cs="Arial"/>
        </w:rPr>
        <w:t>,</w:t>
      </w:r>
      <w:r>
        <w:rPr>
          <w:rStyle w:val="FootnoteReference"/>
          <w:rFonts w:eastAsia="Times New Roman" w:cs="Arial"/>
        </w:rPr>
        <w:footnoteReference w:id="150"/>
      </w:r>
      <w:r w:rsidR="00DB364E" w:rsidRPr="00DB364E">
        <w:rPr>
          <w:rFonts w:eastAsia="Times New Roman" w:cs="Arial"/>
        </w:rPr>
        <w:t xml:space="preserve"> </w:t>
      </w:r>
      <w:r>
        <w:rPr>
          <w:rFonts w:eastAsia="Times New Roman" w:cs="Arial"/>
        </w:rPr>
        <w:t xml:space="preserve">but </w:t>
      </w:r>
      <w:r w:rsidR="00DB364E" w:rsidRPr="00DB364E">
        <w:rPr>
          <w:rFonts w:eastAsia="Times New Roman" w:cs="Arial"/>
        </w:rPr>
        <w:t>the Commission’s prior practice of adopting placeholder riders in ESP</w:t>
      </w:r>
      <w:r w:rsidR="000B79C9">
        <w:rPr>
          <w:rFonts w:eastAsia="Times New Roman" w:cs="Arial"/>
        </w:rPr>
        <w:t xml:space="preserve"> </w:t>
      </w:r>
      <w:r w:rsidR="00A96F9B">
        <w:rPr>
          <w:rFonts w:eastAsia="Times New Roman" w:cs="Arial"/>
        </w:rPr>
        <w:t>o</w:t>
      </w:r>
      <w:r w:rsidR="00DB364E" w:rsidRPr="00DB364E">
        <w:rPr>
          <w:rFonts w:eastAsia="Times New Roman" w:cs="Arial"/>
        </w:rPr>
        <w:t xml:space="preserve">rders does not excuse the Commission from complying with the rulemaking requirements of R.C. 119.03.  As noted above, the practice of adopting placeholder riders </w:t>
      </w:r>
      <w:r>
        <w:rPr>
          <w:rFonts w:eastAsia="Times New Roman" w:cs="Arial"/>
        </w:rPr>
        <w:t xml:space="preserve">itself </w:t>
      </w:r>
      <w:r w:rsidR="00DB364E" w:rsidRPr="00DB364E">
        <w:rPr>
          <w:rFonts w:eastAsia="Times New Roman" w:cs="Arial"/>
        </w:rPr>
        <w:t>is not lawful.  It is no justification for the violation of R.C. 119.03 in this case to say that the Commission has previously engaged in a</w:t>
      </w:r>
      <w:r w:rsidR="00CE6B98">
        <w:rPr>
          <w:rFonts w:eastAsia="Times New Roman" w:cs="Arial"/>
        </w:rPr>
        <w:t>n</w:t>
      </w:r>
      <w:r w:rsidR="00DB364E" w:rsidRPr="00DB364E">
        <w:rPr>
          <w:rFonts w:eastAsia="Times New Roman" w:cs="Arial"/>
        </w:rPr>
        <w:t xml:space="preserve"> unlawful practice.</w:t>
      </w:r>
    </w:p>
    <w:p w:rsidR="00DB364E" w:rsidRPr="00DB364E" w:rsidRDefault="00DB364E" w:rsidP="00DB364E">
      <w:pPr>
        <w:spacing w:line="480" w:lineRule="auto"/>
        <w:ind w:firstLine="720"/>
        <w:contextualSpacing/>
        <w:jc w:val="both"/>
        <w:rPr>
          <w:rFonts w:eastAsia="Times New Roman" w:cs="Arial"/>
        </w:rPr>
      </w:pPr>
      <w:r>
        <w:rPr>
          <w:rFonts w:eastAsia="Times New Roman" w:cs="Arial"/>
        </w:rPr>
        <w:t>Moreover</w:t>
      </w:r>
      <w:r w:rsidRPr="00DB364E">
        <w:rPr>
          <w:rFonts w:eastAsia="Times New Roman" w:cs="Arial"/>
        </w:rPr>
        <w:t xml:space="preserve">, the Commission’s use of an adjudication to adopt a rule does not excuse the Commission from complying with the requirements of R.C. 119.03.  </w:t>
      </w:r>
      <w:r w:rsidR="004F77FC">
        <w:rPr>
          <w:rFonts w:eastAsia="Times New Roman" w:cs="Arial"/>
        </w:rPr>
        <w:t>The Commission is an agency for purposes of Chapter 119 and</w:t>
      </w:r>
      <w:r w:rsidR="00A96F9B">
        <w:rPr>
          <w:rFonts w:eastAsia="Times New Roman" w:cs="Arial"/>
        </w:rPr>
        <w:t>,</w:t>
      </w:r>
      <w:r w:rsidR="004F77FC">
        <w:rPr>
          <w:rFonts w:eastAsia="Times New Roman" w:cs="Arial"/>
        </w:rPr>
        <w:t xml:space="preserve"> therefore</w:t>
      </w:r>
      <w:r w:rsidR="00A96F9B">
        <w:rPr>
          <w:rFonts w:eastAsia="Times New Roman" w:cs="Arial"/>
        </w:rPr>
        <w:t>,</w:t>
      </w:r>
      <w:r w:rsidR="004F77FC">
        <w:rPr>
          <w:rFonts w:eastAsia="Times New Roman" w:cs="Arial"/>
        </w:rPr>
        <w:t xml:space="preserve"> </w:t>
      </w:r>
      <w:r w:rsidR="006E3F9D">
        <w:rPr>
          <w:rFonts w:eastAsia="Times New Roman" w:cs="Arial"/>
        </w:rPr>
        <w:t xml:space="preserve">is </w:t>
      </w:r>
      <w:r w:rsidR="004F77FC">
        <w:rPr>
          <w:rFonts w:eastAsia="Times New Roman" w:cs="Arial"/>
        </w:rPr>
        <w:t>subject to its requirements.</w:t>
      </w:r>
      <w:r w:rsidR="004F77FC">
        <w:rPr>
          <w:rStyle w:val="FootnoteReference"/>
          <w:rFonts w:eastAsia="Times New Roman" w:cs="Arial"/>
        </w:rPr>
        <w:footnoteReference w:id="151"/>
      </w:r>
      <w:r w:rsidR="004F77FC">
        <w:rPr>
          <w:rFonts w:eastAsia="Times New Roman" w:cs="Arial"/>
        </w:rPr>
        <w:t xml:space="preserve">  </w:t>
      </w:r>
      <w:r w:rsidRPr="00DB364E">
        <w:rPr>
          <w:rFonts w:eastAsia="Times New Roman" w:cs="Arial"/>
        </w:rPr>
        <w:t xml:space="preserve">Under R.C. 4928.06(A), the requirement to issue rules is mandatory; the Commission “shall” issue rules to implement the provisions of Chapter 4928.  </w:t>
      </w:r>
      <w:r w:rsidR="004F77FC">
        <w:rPr>
          <w:rFonts w:eastAsia="Times New Roman" w:cs="Arial"/>
        </w:rPr>
        <w:t>As a result of this legislative directive</w:t>
      </w:r>
      <w:r w:rsidRPr="00DB364E">
        <w:rPr>
          <w:rFonts w:eastAsia="Times New Roman" w:cs="Arial"/>
        </w:rPr>
        <w:t>, the Commission cannot bypass the rulemaking requirements and implement through adjudication new standards for authorizing a term of an ESP.</w:t>
      </w:r>
      <w:r w:rsidR="00CE6B98">
        <w:rPr>
          <w:rStyle w:val="FootnoteReference"/>
          <w:rFonts w:eastAsia="Times New Roman" w:cs="Arial"/>
        </w:rPr>
        <w:footnoteReference w:id="152"/>
      </w:r>
    </w:p>
    <w:p w:rsidR="00C57B05" w:rsidRPr="00C57B05" w:rsidRDefault="00DB364E" w:rsidP="00C57B05">
      <w:pPr>
        <w:spacing w:line="480" w:lineRule="auto"/>
        <w:contextualSpacing/>
        <w:jc w:val="both"/>
        <w:rPr>
          <w:rFonts w:eastAsia="Times New Roman" w:cs="Arial"/>
        </w:rPr>
      </w:pPr>
      <w:r>
        <w:rPr>
          <w:rFonts w:eastAsia="Times New Roman" w:cs="Arial"/>
        </w:rPr>
        <w:tab/>
        <w:t>Additionally, t</w:t>
      </w:r>
      <w:r w:rsidR="00C57B05" w:rsidRPr="00C57B05">
        <w:rPr>
          <w:rFonts w:eastAsia="Times New Roman" w:cs="Arial"/>
        </w:rPr>
        <w:t>he Commission</w:t>
      </w:r>
      <w:r>
        <w:rPr>
          <w:rFonts w:eastAsia="Times New Roman" w:cs="Arial"/>
        </w:rPr>
        <w:t xml:space="preserve"> </w:t>
      </w:r>
      <w:r w:rsidR="00C57B05" w:rsidRPr="00C57B05">
        <w:rPr>
          <w:rFonts w:eastAsia="Times New Roman" w:cs="Arial"/>
        </w:rPr>
        <w:t xml:space="preserve">cannot justify its action in this case as a standard application of the adjudication process.  In the situations in which </w:t>
      </w:r>
      <w:r w:rsidR="00CE6B98">
        <w:rPr>
          <w:rFonts w:eastAsia="Times New Roman" w:cs="Arial"/>
        </w:rPr>
        <w:t>an agency</w:t>
      </w:r>
      <w:r w:rsidR="00C57B05" w:rsidRPr="00C57B05">
        <w:rPr>
          <w:rFonts w:eastAsia="Times New Roman" w:cs="Arial"/>
        </w:rPr>
        <w:t xml:space="preserve"> may adopt a “rule” by adjudication, “an administrative order cannot be upheld unless the grounds upon which the agency acted in exercising its powers were those upon which its action can be sustained.”</w:t>
      </w:r>
      <w:r w:rsidR="00C57B05" w:rsidRPr="00C57B05">
        <w:rPr>
          <w:rFonts w:eastAsia="Times New Roman" w:cs="Arial"/>
          <w:vertAlign w:val="superscript"/>
        </w:rPr>
        <w:footnoteReference w:id="153"/>
      </w:r>
      <w:r w:rsidR="00C57B05" w:rsidRPr="00C57B05">
        <w:rPr>
          <w:rFonts w:eastAsia="Times New Roman" w:cs="Arial"/>
        </w:rPr>
        <w:t xml:space="preserve">  As demonstrated above, the Commission is without authority to </w:t>
      </w:r>
      <w:r w:rsidR="00C57B05" w:rsidRPr="00C57B05">
        <w:rPr>
          <w:rFonts w:eastAsia="Times New Roman" w:cs="Arial"/>
        </w:rPr>
        <w:lastRenderedPageBreak/>
        <w:t xml:space="preserve">authorize </w:t>
      </w:r>
      <w:r w:rsidR="00C57B05">
        <w:rPr>
          <w:rFonts w:eastAsia="Times New Roman" w:cs="Arial"/>
        </w:rPr>
        <w:t>Duke</w:t>
      </w:r>
      <w:r w:rsidR="00C57B05" w:rsidRPr="00C57B05">
        <w:rPr>
          <w:rFonts w:eastAsia="Times New Roman" w:cs="Arial"/>
        </w:rPr>
        <w:t xml:space="preserve"> to bill and collect above-market wholesale generation-related revenue.  Thus, the Commission</w:t>
      </w:r>
      <w:r w:rsidR="00CE6B98">
        <w:rPr>
          <w:rFonts w:eastAsia="Times New Roman" w:cs="Arial"/>
        </w:rPr>
        <w:t xml:space="preserve"> cannot lawfully adopt </w:t>
      </w:r>
      <w:r w:rsidR="00C57B05" w:rsidRPr="00C57B05">
        <w:rPr>
          <w:rFonts w:eastAsia="Times New Roman" w:cs="Arial"/>
        </w:rPr>
        <w:t>a “rule” by adjudication</w:t>
      </w:r>
      <w:r w:rsidR="007F5492">
        <w:rPr>
          <w:rFonts w:eastAsia="Times New Roman" w:cs="Arial"/>
        </w:rPr>
        <w:t xml:space="preserve"> to accomplish that same result</w:t>
      </w:r>
      <w:r w:rsidR="00C57B05" w:rsidRPr="00C57B05">
        <w:rPr>
          <w:rFonts w:eastAsia="Times New Roman" w:cs="Arial"/>
        </w:rPr>
        <w:t>.</w:t>
      </w:r>
    </w:p>
    <w:p w:rsidR="00C57B05" w:rsidRPr="00C57B05" w:rsidRDefault="007F5492" w:rsidP="00C57B05">
      <w:pPr>
        <w:spacing w:line="480" w:lineRule="auto"/>
        <w:ind w:firstLine="720"/>
        <w:contextualSpacing/>
        <w:jc w:val="both"/>
        <w:rPr>
          <w:rFonts w:eastAsia="Times New Roman" w:cs="Arial"/>
        </w:rPr>
      </w:pPr>
      <w:r>
        <w:rPr>
          <w:rFonts w:eastAsia="Times New Roman" w:cs="Arial"/>
        </w:rPr>
        <w:t xml:space="preserve">Moreover, </w:t>
      </w:r>
      <w:r w:rsidR="00C57B05" w:rsidRPr="00C57B05">
        <w:rPr>
          <w:rFonts w:eastAsia="Times New Roman" w:cs="Arial"/>
        </w:rPr>
        <w:t xml:space="preserve">an agency hearing is not legally sufficient when the standard adopted by the agency affects the rights of persons that are not parties to the proceeding: </w:t>
      </w:r>
    </w:p>
    <w:p w:rsidR="00C57B05" w:rsidRPr="00C57B05" w:rsidRDefault="00C57B05" w:rsidP="00C57B05">
      <w:pPr>
        <w:ind w:left="720" w:right="720" w:firstLine="720"/>
        <w:contextualSpacing/>
        <w:jc w:val="both"/>
        <w:rPr>
          <w:rFonts w:eastAsia="Times New Roman" w:cs="Arial"/>
        </w:rPr>
      </w:pPr>
      <w:r w:rsidRPr="00C57B05">
        <w:rPr>
          <w:rFonts w:eastAsia="Times New Roman" w:cs="Arial"/>
        </w:rPr>
        <w:t>[T]hose who will be affected have not been provided with the full panoply of rights afforded by R.C. Chapter 119.  Without the benefit of the procedure prescribed by that chapter, affected persons are denied access to the process that the General Assembly intended them to have, i.e., the early, informed, and meaningful opportunity to challenge the legality of the standards … and the underlying assumptions, data, logic, and policy choices that [the agency] made in developing those standards.</w:t>
      </w:r>
      <w:r w:rsidRPr="00C57B05">
        <w:rPr>
          <w:rFonts w:eastAsia="Times New Roman" w:cs="Arial"/>
          <w:vertAlign w:val="superscript"/>
        </w:rPr>
        <w:footnoteReference w:id="154"/>
      </w:r>
      <w:r w:rsidRPr="00C57B05">
        <w:rPr>
          <w:rFonts w:eastAsia="Times New Roman" w:cs="Arial"/>
        </w:rPr>
        <w:t xml:space="preserve">  </w:t>
      </w:r>
    </w:p>
    <w:p w:rsidR="00C57B05" w:rsidRPr="00C57B05" w:rsidRDefault="00C57B05" w:rsidP="00C57B05">
      <w:pPr>
        <w:ind w:left="720" w:right="720" w:firstLine="720"/>
        <w:contextualSpacing/>
        <w:jc w:val="both"/>
        <w:rPr>
          <w:rFonts w:eastAsia="Times New Roman" w:cs="Arial"/>
        </w:rPr>
      </w:pPr>
    </w:p>
    <w:p w:rsidR="00C57B05" w:rsidRPr="00C57B05" w:rsidRDefault="00C3113B" w:rsidP="00C57B05">
      <w:pPr>
        <w:spacing w:line="480" w:lineRule="auto"/>
        <w:contextualSpacing/>
        <w:jc w:val="both"/>
        <w:rPr>
          <w:rFonts w:eastAsia="Times New Roman" w:cs="Arial"/>
        </w:rPr>
      </w:pPr>
      <w:r>
        <w:rPr>
          <w:rFonts w:eastAsia="Times New Roman" w:cs="Arial"/>
        </w:rPr>
        <w:t xml:space="preserve">Because </w:t>
      </w:r>
      <w:r w:rsidRPr="00C57B05">
        <w:rPr>
          <w:rFonts w:eastAsia="Times New Roman" w:cs="Arial"/>
        </w:rPr>
        <w:t>“</w:t>
      </w:r>
      <w:r>
        <w:rPr>
          <w:rFonts w:eastAsia="Times New Roman" w:cs="Arial"/>
        </w:rPr>
        <w:t>a</w:t>
      </w:r>
      <w:r w:rsidRPr="00C57B05">
        <w:rPr>
          <w:rFonts w:eastAsia="Times New Roman" w:cs="Arial"/>
        </w:rPr>
        <w:t xml:space="preserve">ffected persons” not involved in the </w:t>
      </w:r>
      <w:r>
        <w:rPr>
          <w:rFonts w:eastAsia="Times New Roman" w:cs="Arial"/>
        </w:rPr>
        <w:t>Duke</w:t>
      </w:r>
      <w:r w:rsidRPr="00C57B05">
        <w:rPr>
          <w:rFonts w:eastAsia="Times New Roman" w:cs="Arial"/>
        </w:rPr>
        <w:t xml:space="preserve"> case have been denied access to the rulemaking process that Ohio law requires</w:t>
      </w:r>
      <w:r>
        <w:rPr>
          <w:rFonts w:eastAsia="Times New Roman" w:cs="Arial"/>
        </w:rPr>
        <w:t>, t</w:t>
      </w:r>
      <w:r w:rsidR="000F6D85">
        <w:rPr>
          <w:rFonts w:eastAsia="Times New Roman" w:cs="Arial"/>
        </w:rPr>
        <w:t>he</w:t>
      </w:r>
      <w:r w:rsidR="00C57B05" w:rsidRPr="00C57B05">
        <w:rPr>
          <w:rFonts w:eastAsia="Times New Roman" w:cs="Arial"/>
        </w:rPr>
        <w:t xml:space="preserve"> hearing on </w:t>
      </w:r>
      <w:r w:rsidR="00C57B05">
        <w:rPr>
          <w:rFonts w:eastAsia="Times New Roman" w:cs="Arial"/>
        </w:rPr>
        <w:t>Duke</w:t>
      </w:r>
      <w:r w:rsidR="00C57B05" w:rsidRPr="00C57B05">
        <w:rPr>
          <w:rFonts w:eastAsia="Times New Roman" w:cs="Arial"/>
        </w:rPr>
        <w:t>’s Application is not legally sufficient as a basis for the Commission to adopt “factors” to be addressed in a “future filing</w:t>
      </w:r>
      <w:r w:rsidR="00B13E66">
        <w:rPr>
          <w:rFonts w:eastAsia="Times New Roman" w:cs="Arial"/>
        </w:rPr>
        <w:t>.</w:t>
      </w:r>
      <w:r w:rsidR="00C57B05" w:rsidRPr="00C57B05">
        <w:rPr>
          <w:rFonts w:eastAsia="Times New Roman" w:cs="Arial"/>
        </w:rPr>
        <w:t>”</w:t>
      </w:r>
    </w:p>
    <w:p w:rsidR="00C57B05" w:rsidRPr="00C57B05" w:rsidRDefault="00C57B05" w:rsidP="00C57B05">
      <w:pPr>
        <w:spacing w:line="480" w:lineRule="auto"/>
        <w:ind w:firstLine="720"/>
        <w:contextualSpacing/>
        <w:jc w:val="both"/>
        <w:rPr>
          <w:rFonts w:eastAsia="Times New Roman" w:cs="Arial"/>
        </w:rPr>
      </w:pPr>
      <w:r w:rsidRPr="00C57B05">
        <w:rPr>
          <w:rFonts w:eastAsia="Times New Roman" w:cs="Arial"/>
        </w:rPr>
        <w:t xml:space="preserve">By authorizing a future filing and establishing factors to be addressed in that filing, the Commission has engaged in rulemaking outside the mandatory requirements of Chapter 119.  Because the Commission has engaged in unlawful and unreasonable rulemaking, it should grant rehearing and reverse its finding authorizing </w:t>
      </w:r>
      <w:r>
        <w:rPr>
          <w:rFonts w:eastAsia="Times New Roman" w:cs="Arial"/>
        </w:rPr>
        <w:t>Duke</w:t>
      </w:r>
      <w:r w:rsidRPr="00C57B05">
        <w:rPr>
          <w:rFonts w:eastAsia="Times New Roman" w:cs="Arial"/>
        </w:rPr>
        <w:t xml:space="preserve"> to make an additional filing as described by the Commission.  </w:t>
      </w:r>
    </w:p>
    <w:p w:rsidR="00C57B05" w:rsidRPr="00C57B05" w:rsidRDefault="00C57B05" w:rsidP="00C57B05">
      <w:pPr>
        <w:pStyle w:val="Heading3"/>
      </w:pPr>
      <w:bookmarkStart w:id="259" w:name="_Toc414877924"/>
      <w:bookmarkStart w:id="260" w:name="_Toc414973825"/>
      <w:bookmarkStart w:id="261" w:name="_Toc414973856"/>
      <w:bookmarkStart w:id="262" w:name="_Toc415223878"/>
      <w:bookmarkStart w:id="263" w:name="_Toc415225439"/>
      <w:bookmarkStart w:id="264" w:name="_Toc418495458"/>
      <w:bookmarkStart w:id="265" w:name="assign12"/>
      <w:r w:rsidRPr="00C57B05">
        <w:t xml:space="preserve">The ESP Order is unlawful and unreasonable because the Commission identified “factors” and a review process to address a future filing by </w:t>
      </w:r>
      <w:r>
        <w:t>Duke</w:t>
      </w:r>
      <w:r w:rsidRPr="00C57B05">
        <w:t xml:space="preserve"> if it seeks to increase its compensation for generation-related services that are void for vagueness</w:t>
      </w:r>
      <w:bookmarkEnd w:id="259"/>
      <w:bookmarkEnd w:id="260"/>
      <w:bookmarkEnd w:id="261"/>
      <w:r w:rsidR="00542326">
        <w:t xml:space="preserve"> under the Due Process C</w:t>
      </w:r>
      <w:r w:rsidRPr="00C57B05">
        <w:t>lauses of the United States Constitution and the Ohio Constitution</w:t>
      </w:r>
      <w:bookmarkEnd w:id="262"/>
      <w:bookmarkEnd w:id="263"/>
      <w:bookmarkEnd w:id="264"/>
    </w:p>
    <w:bookmarkEnd w:id="265"/>
    <w:p w:rsidR="00C57B05" w:rsidRPr="00C57B05" w:rsidRDefault="00C57B05" w:rsidP="00C57B05">
      <w:pPr>
        <w:spacing w:line="480" w:lineRule="auto"/>
        <w:ind w:firstLine="720"/>
        <w:jc w:val="both"/>
        <w:rPr>
          <w:rFonts w:eastAsia="Calibri" w:cs="Times New Roman"/>
        </w:rPr>
      </w:pPr>
      <w:r w:rsidRPr="00C57B05">
        <w:rPr>
          <w:rFonts w:eastAsia="Calibri" w:cs="Times New Roman"/>
        </w:rPr>
        <w:lastRenderedPageBreak/>
        <w:t>As discussed above, the Commission</w:t>
      </w:r>
      <w:r w:rsidR="00C3113B">
        <w:rPr>
          <w:rFonts w:eastAsia="Calibri" w:cs="Times New Roman"/>
        </w:rPr>
        <w:t xml:space="preserve"> engaged in an unlawful rulemaking process and issued a rule that </w:t>
      </w:r>
      <w:r w:rsidR="0032313A">
        <w:rPr>
          <w:rFonts w:eastAsia="Calibri" w:cs="Times New Roman"/>
        </w:rPr>
        <w:t>identified</w:t>
      </w:r>
      <w:r w:rsidRPr="00C57B05">
        <w:rPr>
          <w:rFonts w:eastAsia="Calibri" w:cs="Times New Roman"/>
        </w:rPr>
        <w:t xml:space="preserve"> several factors that </w:t>
      </w:r>
      <w:r>
        <w:rPr>
          <w:rFonts w:eastAsia="Calibri" w:cs="Times New Roman"/>
        </w:rPr>
        <w:t>Duke</w:t>
      </w:r>
      <w:r w:rsidRPr="00C57B05">
        <w:rPr>
          <w:rFonts w:eastAsia="Calibri" w:cs="Times New Roman"/>
        </w:rPr>
        <w:t xml:space="preserve"> must include in a future filing to recover above-market generation-related costs through the </w:t>
      </w:r>
      <w:r>
        <w:rPr>
          <w:rFonts w:eastAsia="Calibri" w:cs="Times New Roman"/>
        </w:rPr>
        <w:t>PSR</w:t>
      </w:r>
      <w:r w:rsidRPr="00C57B05">
        <w:rPr>
          <w:rFonts w:eastAsia="Calibri" w:cs="Times New Roman"/>
        </w:rPr>
        <w:t>.</w:t>
      </w:r>
      <w:r w:rsidRPr="00C57B05">
        <w:rPr>
          <w:rFonts w:eastAsia="Calibri" w:cs="Times New Roman"/>
          <w:vertAlign w:val="superscript"/>
        </w:rPr>
        <w:footnoteReference w:id="155"/>
      </w:r>
      <w:r w:rsidRPr="00C57B05">
        <w:rPr>
          <w:rFonts w:eastAsia="Calibri" w:cs="Times New Roman"/>
        </w:rPr>
        <w:t xml:space="preserve">  The Commission also stated that the list of “factors” is the minimum that </w:t>
      </w:r>
      <w:r>
        <w:rPr>
          <w:rFonts w:eastAsia="Calibri" w:cs="Times New Roman"/>
        </w:rPr>
        <w:t>Duke</w:t>
      </w:r>
      <w:r w:rsidRPr="00C57B05">
        <w:rPr>
          <w:rFonts w:eastAsia="Calibri" w:cs="Times New Roman"/>
        </w:rPr>
        <w:t xml:space="preserve"> must address and that the Commission will not be bound by these factors in deciding whether to approve a request to recover above-market generation-related costs.</w:t>
      </w:r>
      <w:r w:rsidRPr="00C57B05">
        <w:rPr>
          <w:rFonts w:eastAsia="Calibri" w:cs="Times New Roman"/>
          <w:vertAlign w:val="superscript"/>
        </w:rPr>
        <w:footnoteReference w:id="156"/>
      </w:r>
      <w:r w:rsidRPr="00C57B05">
        <w:rPr>
          <w:rFonts w:eastAsia="Calibri" w:cs="Times New Roman"/>
        </w:rPr>
        <w:t xml:space="preserve">  Based on the lack of definition of either the factors the Commission may consider or the weight those factors will be given, the Commission’s attempt to define the basis for approving a future filing is void for vagueness.</w:t>
      </w:r>
    </w:p>
    <w:p w:rsidR="00C57B05" w:rsidRDefault="00E97EAF" w:rsidP="00C57B05">
      <w:pPr>
        <w:spacing w:line="480" w:lineRule="auto"/>
        <w:ind w:firstLine="720"/>
        <w:jc w:val="both"/>
        <w:rPr>
          <w:rFonts w:eastAsia="Calibri" w:cs="Times New Roman"/>
        </w:rPr>
      </w:pPr>
      <w:r>
        <w:rPr>
          <w:rFonts w:eastAsia="Calibri" w:cs="Times New Roman"/>
        </w:rPr>
        <w:t>A</w:t>
      </w:r>
      <w:r w:rsidRPr="00C57B05">
        <w:rPr>
          <w:rFonts w:eastAsia="Calibri" w:cs="Times New Roman"/>
        </w:rPr>
        <w:t>n agency may issue rules that trigger a due process violation</w:t>
      </w:r>
      <w:r w:rsidRPr="00C57B05">
        <w:rPr>
          <w:rFonts w:eastAsia="Calibri" w:cs="Times New Roman"/>
          <w:vertAlign w:val="superscript"/>
        </w:rPr>
        <w:footnoteReference w:id="157"/>
      </w:r>
      <w:r w:rsidRPr="00C57B05">
        <w:rPr>
          <w:rFonts w:eastAsia="Calibri" w:cs="Times New Roman"/>
        </w:rPr>
        <w:t xml:space="preserve"> because they are </w:t>
      </w:r>
      <w:r w:rsidR="00A75F4C">
        <w:rPr>
          <w:rFonts w:eastAsia="Calibri" w:cs="Times New Roman"/>
        </w:rPr>
        <w:t>vague</w:t>
      </w:r>
      <w:r w:rsidRPr="00C57B05">
        <w:rPr>
          <w:rFonts w:eastAsia="Calibri" w:cs="Times New Roman"/>
        </w:rPr>
        <w:t>.</w:t>
      </w:r>
      <w:r w:rsidRPr="00C57B05">
        <w:rPr>
          <w:rFonts w:eastAsia="Calibri" w:cs="Times New Roman"/>
          <w:vertAlign w:val="superscript"/>
        </w:rPr>
        <w:footnoteReference w:id="158"/>
      </w:r>
      <w:r w:rsidRPr="00C57B05">
        <w:rPr>
          <w:rFonts w:eastAsia="Calibri" w:cs="Times New Roman"/>
        </w:rPr>
        <w:t xml:space="preserve">  </w:t>
      </w:r>
      <w:r w:rsidR="0032313A" w:rsidRPr="00C57B05">
        <w:rPr>
          <w:rFonts w:eastAsia="Calibri" w:cs="Times New Roman"/>
        </w:rPr>
        <w:t>The void-for-vagueness doctrine addresses the right to notice of the standards that will be fairly applied.</w:t>
      </w:r>
      <w:r w:rsidR="0032313A" w:rsidRPr="00C57B05">
        <w:rPr>
          <w:rFonts w:eastAsia="Calibri" w:cs="Times New Roman"/>
          <w:vertAlign w:val="superscript"/>
        </w:rPr>
        <w:footnoteReference w:id="159"/>
      </w:r>
      <w:r w:rsidR="0032313A">
        <w:rPr>
          <w:rFonts w:eastAsia="Calibri" w:cs="Times New Roman"/>
        </w:rPr>
        <w:t xml:space="preserve"> </w:t>
      </w:r>
      <w:r>
        <w:rPr>
          <w:rFonts w:eastAsia="Calibri" w:cs="Times New Roman"/>
        </w:rPr>
        <w:t xml:space="preserve"> </w:t>
      </w:r>
      <w:r w:rsidR="00663D6A" w:rsidRPr="00C57B05">
        <w:rPr>
          <w:rFonts w:eastAsia="Calibri" w:cs="Times New Roman"/>
        </w:rPr>
        <w:t xml:space="preserve">A </w:t>
      </w:r>
      <w:r w:rsidR="003E44C7">
        <w:rPr>
          <w:rFonts w:eastAsia="Calibri" w:cs="Times New Roman"/>
        </w:rPr>
        <w:t xml:space="preserve">statute or </w:t>
      </w:r>
      <w:r w:rsidR="00663D6A" w:rsidRPr="00C57B05">
        <w:rPr>
          <w:rFonts w:eastAsia="Calibri" w:cs="Times New Roman"/>
        </w:rPr>
        <w:t xml:space="preserve">rule </w:t>
      </w:r>
      <w:r w:rsidR="00663D6A">
        <w:rPr>
          <w:rFonts w:eastAsia="Calibri" w:cs="Times New Roman"/>
        </w:rPr>
        <w:t>denies</w:t>
      </w:r>
      <w:r w:rsidR="00663D6A" w:rsidRPr="00C57B05">
        <w:rPr>
          <w:rFonts w:eastAsia="Calibri" w:cs="Times New Roman"/>
        </w:rPr>
        <w:t xml:space="preserve"> due process if it is so vague and indefinite that it sets forth no standard or if it is substantially incomprehensible.</w:t>
      </w:r>
      <w:r w:rsidR="00663D6A" w:rsidRPr="00C57B05">
        <w:rPr>
          <w:rFonts w:eastAsia="Calibri" w:cs="Times New Roman"/>
          <w:vertAlign w:val="superscript"/>
        </w:rPr>
        <w:footnoteReference w:id="160"/>
      </w:r>
      <w:r w:rsidR="00663D6A" w:rsidRPr="00C57B05">
        <w:rPr>
          <w:rFonts w:eastAsia="Calibri" w:cs="Times New Roman"/>
        </w:rPr>
        <w:t xml:space="preserve">  </w:t>
      </w:r>
      <w:r>
        <w:rPr>
          <w:rFonts w:eastAsia="Calibri" w:cs="Times New Roman"/>
        </w:rPr>
        <w:t xml:space="preserve">Vague laws or rules are offensive because they fail to give notice of the conduct that will be proscribed and delegate policy matters to decision makers for </w:t>
      </w:r>
      <w:r w:rsidRPr="00762EAA">
        <w:rPr>
          <w:rFonts w:eastAsia="Calibri" w:cs="Times New Roman"/>
          <w:i/>
        </w:rPr>
        <w:t xml:space="preserve">ad hoc </w:t>
      </w:r>
      <w:r>
        <w:rPr>
          <w:rFonts w:eastAsia="Calibri" w:cs="Times New Roman"/>
        </w:rPr>
        <w:t>and subjective determinations with the attendant danger of arbitrary and discriminatory enforcement.</w:t>
      </w:r>
      <w:r>
        <w:rPr>
          <w:rStyle w:val="FootnoteReference"/>
          <w:rFonts w:eastAsia="Calibri" w:cs="Times New Roman"/>
        </w:rPr>
        <w:footnoteReference w:id="161"/>
      </w:r>
      <w:r w:rsidR="0032313A">
        <w:rPr>
          <w:rFonts w:eastAsia="Calibri" w:cs="Times New Roman"/>
        </w:rPr>
        <w:t xml:space="preserve"> </w:t>
      </w:r>
      <w:r>
        <w:rPr>
          <w:rFonts w:eastAsia="Calibri" w:cs="Times New Roman"/>
        </w:rPr>
        <w:t xml:space="preserve"> To avoid a finding that a statute or rule is void for vagueness, the statute or rule must provide sufficient notice of its proscriptions to </w:t>
      </w:r>
      <w:r>
        <w:rPr>
          <w:rFonts w:eastAsia="Calibri" w:cs="Times New Roman"/>
        </w:rPr>
        <w:lastRenderedPageBreak/>
        <w:t>facilitate compliance by persons of ordinary intelligence</w:t>
      </w:r>
      <w:r w:rsidR="003E44C7">
        <w:rPr>
          <w:rStyle w:val="FootnoteReference"/>
          <w:rFonts w:eastAsia="Calibri" w:cs="Times New Roman"/>
        </w:rPr>
        <w:footnoteReference w:id="162"/>
      </w:r>
      <w:r>
        <w:rPr>
          <w:rFonts w:eastAsia="Calibri" w:cs="Times New Roman"/>
        </w:rPr>
        <w:t xml:space="preserve"> and be specific enough to prevent </w:t>
      </w:r>
      <w:r w:rsidR="00663D6A">
        <w:rPr>
          <w:rFonts w:eastAsia="Calibri" w:cs="Times New Roman"/>
        </w:rPr>
        <w:t>official</w:t>
      </w:r>
      <w:r>
        <w:rPr>
          <w:rFonts w:eastAsia="Calibri" w:cs="Times New Roman"/>
        </w:rPr>
        <w:t xml:space="preserve"> arbitrariness or discrimination in enforcement.</w:t>
      </w:r>
      <w:r>
        <w:rPr>
          <w:rStyle w:val="FootnoteReference"/>
          <w:rFonts w:eastAsia="Calibri" w:cs="Times New Roman"/>
        </w:rPr>
        <w:footnoteReference w:id="163"/>
      </w:r>
      <w:r>
        <w:rPr>
          <w:rFonts w:eastAsia="Calibri" w:cs="Times New Roman"/>
        </w:rPr>
        <w:t xml:space="preserve">  If the statute or rule </w:t>
      </w:r>
      <w:r w:rsidR="00663D6A">
        <w:rPr>
          <w:rFonts w:eastAsia="Calibri" w:cs="Times New Roman"/>
        </w:rPr>
        <w:t xml:space="preserve">either </w:t>
      </w:r>
      <w:r>
        <w:rPr>
          <w:rFonts w:eastAsia="Calibri" w:cs="Times New Roman"/>
        </w:rPr>
        <w:t>does not provide sufficient notice of the behavior it proscribes or is not specific enough to prevent arbitrariness or discrimination in enforcement, it is unconstitutionally vague.</w:t>
      </w:r>
      <w:r>
        <w:rPr>
          <w:rStyle w:val="FootnoteReference"/>
          <w:rFonts w:eastAsia="Calibri" w:cs="Times New Roman"/>
        </w:rPr>
        <w:footnoteReference w:id="164"/>
      </w:r>
    </w:p>
    <w:p w:rsidR="00B13E66" w:rsidRDefault="00A94A86" w:rsidP="00A94A86">
      <w:pPr>
        <w:spacing w:line="480" w:lineRule="auto"/>
        <w:ind w:firstLine="720"/>
        <w:jc w:val="both"/>
        <w:rPr>
          <w:rFonts w:eastAsia="Calibri" w:cs="Times New Roman"/>
        </w:rPr>
      </w:pPr>
      <w:r>
        <w:rPr>
          <w:rFonts w:eastAsia="Calibri" w:cs="Times New Roman"/>
        </w:rPr>
        <w:t xml:space="preserve">The rule adopted by the Commission is void for vagueness on its face since it is </w:t>
      </w:r>
      <w:r w:rsidR="00694447">
        <w:rPr>
          <w:rFonts w:eastAsia="Calibri" w:cs="Times New Roman"/>
        </w:rPr>
        <w:t>impermissibly</w:t>
      </w:r>
      <w:r>
        <w:rPr>
          <w:rFonts w:eastAsia="Calibri" w:cs="Times New Roman"/>
        </w:rPr>
        <w:t xml:space="preserve"> vague in all its applications.</w:t>
      </w:r>
      <w:r>
        <w:rPr>
          <w:rStyle w:val="FootnoteReference"/>
          <w:rFonts w:eastAsia="Calibri" w:cs="Times New Roman"/>
        </w:rPr>
        <w:footnoteReference w:id="165"/>
      </w:r>
      <w:r>
        <w:rPr>
          <w:rFonts w:eastAsia="Calibri" w:cs="Times New Roman"/>
        </w:rPr>
        <w:t xml:space="preserve">  </w:t>
      </w:r>
      <w:r w:rsidR="00C57B05" w:rsidRPr="00C57B05">
        <w:rPr>
          <w:rFonts w:eastAsia="Calibri" w:cs="Times New Roman"/>
        </w:rPr>
        <w:t xml:space="preserve">The “rule” the Commission has </w:t>
      </w:r>
      <w:r w:rsidR="00542326">
        <w:rPr>
          <w:rFonts w:eastAsia="Calibri" w:cs="Times New Roman"/>
        </w:rPr>
        <w:t>“promulgated”</w:t>
      </w:r>
      <w:r w:rsidR="00C57B05" w:rsidRPr="00C57B05">
        <w:rPr>
          <w:rFonts w:eastAsia="Calibri" w:cs="Times New Roman"/>
        </w:rPr>
        <w:t xml:space="preserve"> in the ESP Order provides the Commission with unlimited discretion on what and how it addresses a request in a future filing to recover above-market generation-related costs.  Although the Commission identifies four factors that must be included in a future filing, these factors are the “minimum.”  Other factors may be relevant or even determinative, but the Commission provides no notice of what those may be.  This lack of definition carries over to the Commission’s decision making.  Even if the parties address the factors identified by the Commission, the Commission refuses to be “bound by” the evidence regarding those factors.  Further, while it states that it will “balance” the factors, the Commission offers no indication of how it will strike the balance.</w:t>
      </w:r>
      <w:r w:rsidR="00C57B05" w:rsidRPr="00C57B05">
        <w:rPr>
          <w:rFonts w:eastAsia="Calibri" w:cs="Times New Roman"/>
          <w:vertAlign w:val="superscript"/>
        </w:rPr>
        <w:footnoteReference w:id="166"/>
      </w:r>
      <w:r w:rsidR="00C57B05" w:rsidRPr="00C57B05">
        <w:rPr>
          <w:rFonts w:eastAsia="Calibri" w:cs="Times New Roman"/>
        </w:rPr>
        <w:t xml:space="preserve">  </w:t>
      </w:r>
    </w:p>
    <w:p w:rsidR="00663D6A" w:rsidRDefault="00663D6A" w:rsidP="00A94A86">
      <w:pPr>
        <w:spacing w:line="480" w:lineRule="auto"/>
        <w:ind w:firstLine="720"/>
        <w:jc w:val="both"/>
        <w:rPr>
          <w:rFonts w:eastAsia="Calibri" w:cs="Times New Roman"/>
        </w:rPr>
      </w:pPr>
      <w:r w:rsidRPr="00C57B05">
        <w:rPr>
          <w:rFonts w:eastAsia="Calibri" w:cs="Times New Roman"/>
        </w:rPr>
        <w:lastRenderedPageBreak/>
        <w:t>Further, the “rule” must bear a “direct” relationship to matters within the authority of the agency to regulate.</w:t>
      </w:r>
      <w:r w:rsidRPr="00C57B05">
        <w:rPr>
          <w:rFonts w:eastAsia="Calibri" w:cs="Times New Roman"/>
          <w:vertAlign w:val="superscript"/>
        </w:rPr>
        <w:footnoteReference w:id="167"/>
      </w:r>
      <w:r w:rsidRPr="00C57B05">
        <w:rPr>
          <w:rFonts w:eastAsia="Calibri" w:cs="Times New Roman"/>
        </w:rPr>
        <w:t xml:space="preserve">  In this instance, the Commission seeks to address matters wholly outside its jurisdiction including environmental compliance, grid reliability</w:t>
      </w:r>
      <w:r>
        <w:rPr>
          <w:rFonts w:eastAsia="Calibri" w:cs="Times New Roman"/>
        </w:rPr>
        <w:t>,</w:t>
      </w:r>
      <w:r w:rsidRPr="00C57B05">
        <w:rPr>
          <w:rFonts w:eastAsia="Calibri" w:cs="Times New Roman"/>
        </w:rPr>
        <w:t xml:space="preserve"> and wholesale price issues.</w:t>
      </w:r>
      <w:r w:rsidRPr="00C57B05">
        <w:rPr>
          <w:rFonts w:eastAsia="Calibri" w:cs="Times New Roman"/>
          <w:vertAlign w:val="superscript"/>
        </w:rPr>
        <w:footnoteReference w:id="168"/>
      </w:r>
      <w:r w:rsidRPr="00C57B05">
        <w:rPr>
          <w:rFonts w:eastAsia="Calibri" w:cs="Times New Roman"/>
        </w:rPr>
        <w:t xml:space="preserve">  Thus, there is no direct relationship between the factors and the Commission’s jurisdiction that prevents a finding that the loosely-drawn rule is not void for vagueness.  </w:t>
      </w:r>
    </w:p>
    <w:p w:rsidR="00C57B05" w:rsidRDefault="00C57B05" w:rsidP="003C76C5">
      <w:pPr>
        <w:spacing w:line="480" w:lineRule="auto"/>
        <w:ind w:firstLine="720"/>
        <w:jc w:val="both"/>
        <w:rPr>
          <w:rFonts w:eastAsia="Calibri" w:cs="Times New Roman"/>
        </w:rPr>
      </w:pPr>
      <w:r w:rsidRPr="00C57B05">
        <w:rPr>
          <w:rFonts w:eastAsia="Calibri" w:cs="Times New Roman"/>
        </w:rPr>
        <w:t xml:space="preserve">At its core, the “rule” the Commission announced in the ESP Order regarding a hearing and decision on a “future filing” </w:t>
      </w:r>
      <w:r w:rsidR="003E44C7">
        <w:rPr>
          <w:rFonts w:eastAsia="Calibri" w:cs="Times New Roman"/>
        </w:rPr>
        <w:t xml:space="preserve">fails to supply a definitive standard of what the Commission will consider in an application to approve the recovery of above-market generation-related wholesale costs and </w:t>
      </w:r>
      <w:r w:rsidRPr="00C57B05">
        <w:rPr>
          <w:rFonts w:eastAsia="Calibri" w:cs="Times New Roman"/>
        </w:rPr>
        <w:t xml:space="preserve">allows the Commission to engage in an arbitrary process.  </w:t>
      </w:r>
      <w:r w:rsidR="00A94A86">
        <w:rPr>
          <w:rFonts w:eastAsia="Calibri" w:cs="Times New Roman"/>
        </w:rPr>
        <w:t xml:space="preserve">Neither </w:t>
      </w:r>
      <w:r w:rsidR="00B13E66">
        <w:rPr>
          <w:rFonts w:eastAsia="Calibri" w:cs="Times New Roman"/>
        </w:rPr>
        <w:t xml:space="preserve">an EDU </w:t>
      </w:r>
      <w:r w:rsidR="00E079F6">
        <w:rPr>
          <w:rFonts w:eastAsia="Calibri" w:cs="Times New Roman"/>
        </w:rPr>
        <w:t>n</w:t>
      </w:r>
      <w:r w:rsidR="00B13E66">
        <w:rPr>
          <w:rFonts w:eastAsia="Calibri" w:cs="Times New Roman"/>
        </w:rPr>
        <w:t>or a customer</w:t>
      </w:r>
      <w:r w:rsidR="00A94A86">
        <w:rPr>
          <w:rFonts w:eastAsia="Calibri" w:cs="Times New Roman"/>
        </w:rPr>
        <w:t xml:space="preserve"> can determine the factors the Commission will use to either approve or deny an application or how those factors will be balanced.  On its face, therefore, the Commission’s new rule governing applications seeking to recover above-market generation-related wholesale costs is </w:t>
      </w:r>
      <w:r w:rsidR="00663D6A">
        <w:rPr>
          <w:rFonts w:eastAsia="Calibri" w:cs="Times New Roman"/>
        </w:rPr>
        <w:t>unconstitutionally</w:t>
      </w:r>
      <w:r w:rsidR="00A94A86">
        <w:rPr>
          <w:rFonts w:eastAsia="Calibri" w:cs="Times New Roman"/>
        </w:rPr>
        <w:t xml:space="preserve"> vague.</w:t>
      </w:r>
      <w:r w:rsidR="00663D6A">
        <w:rPr>
          <w:rFonts w:eastAsia="Calibri" w:cs="Times New Roman"/>
        </w:rPr>
        <w:t xml:space="preserve"> </w:t>
      </w:r>
      <w:r w:rsidR="00663D6A" w:rsidRPr="00663D6A">
        <w:rPr>
          <w:rFonts w:eastAsia="Calibri" w:cs="Times New Roman"/>
        </w:rPr>
        <w:t xml:space="preserve"> </w:t>
      </w:r>
      <w:r w:rsidR="00663D6A" w:rsidRPr="00C57B05">
        <w:rPr>
          <w:rFonts w:eastAsia="Calibri" w:cs="Times New Roman"/>
        </w:rPr>
        <w:t xml:space="preserve">Accordingly, the Commission should grant rehearing and reverse its </w:t>
      </w:r>
      <w:r w:rsidR="00663D6A">
        <w:rPr>
          <w:rFonts w:eastAsia="Calibri" w:cs="Times New Roman"/>
        </w:rPr>
        <w:t>order</w:t>
      </w:r>
      <w:r w:rsidR="00663D6A" w:rsidRPr="00C57B05">
        <w:rPr>
          <w:rFonts w:eastAsia="Calibri" w:cs="Times New Roman"/>
        </w:rPr>
        <w:t xml:space="preserve"> authorizing a future filing based on a “rul</w:t>
      </w:r>
      <w:r w:rsidR="00663D6A">
        <w:rPr>
          <w:rFonts w:eastAsia="Calibri" w:cs="Times New Roman"/>
        </w:rPr>
        <w:t>e” that is void for vagueness.</w:t>
      </w:r>
    </w:p>
    <w:p w:rsidR="00397775" w:rsidRPr="00397775" w:rsidRDefault="00397775" w:rsidP="00397775">
      <w:pPr>
        <w:pStyle w:val="Heading3"/>
      </w:pPr>
      <w:bookmarkStart w:id="266" w:name="_Toc414877933"/>
      <w:bookmarkStart w:id="267" w:name="_Toc414094880"/>
      <w:bookmarkStart w:id="268" w:name="_Toc414363758"/>
      <w:bookmarkStart w:id="269" w:name="_Toc414363853"/>
      <w:bookmarkStart w:id="270" w:name="_Toc414366718"/>
      <w:bookmarkStart w:id="271" w:name="_Toc414366941"/>
      <w:bookmarkStart w:id="272" w:name="_Toc414367248"/>
      <w:bookmarkStart w:id="273" w:name="_Toc414368396"/>
      <w:bookmarkStart w:id="274" w:name="_Toc414370918"/>
      <w:bookmarkStart w:id="275" w:name="_Toc414371045"/>
      <w:bookmarkStart w:id="276" w:name="_Toc414371180"/>
      <w:bookmarkStart w:id="277" w:name="_Toc414371222"/>
      <w:bookmarkStart w:id="278" w:name="_Toc414371286"/>
      <w:bookmarkStart w:id="279" w:name="_Toc414371352"/>
      <w:bookmarkStart w:id="280" w:name="_Toc414371494"/>
      <w:bookmarkStart w:id="281" w:name="_Toc414372708"/>
      <w:bookmarkStart w:id="282" w:name="_Toc414373015"/>
      <w:bookmarkStart w:id="283" w:name="_Toc414373706"/>
      <w:bookmarkStart w:id="284" w:name="_Toc414973833"/>
      <w:bookmarkStart w:id="285" w:name="_Toc414973864"/>
      <w:bookmarkStart w:id="286" w:name="_Toc415223886"/>
      <w:bookmarkStart w:id="287" w:name="_Toc415225447"/>
      <w:bookmarkStart w:id="288" w:name="_Toc418495459"/>
      <w:bookmarkStart w:id="289" w:name="assign17"/>
      <w:r w:rsidRPr="00397775">
        <w:t xml:space="preserve">The Commission should grant rehearing and clarify (1) that the “factors” that it will consider in a “future filing” if </w:t>
      </w:r>
      <w:r>
        <w:t>Duke</w:t>
      </w:r>
      <w:r w:rsidRPr="00397775">
        <w:t xml:space="preserve"> seeks to increase its compensation for generation-related services include a requirement for </w:t>
      </w:r>
      <w:r>
        <w:t>Duke</w:t>
      </w:r>
      <w:r w:rsidRPr="00397775">
        <w:t xml:space="preserve"> to propose a “least-cost” hedge and a requirement that the hedge be secured by a competitive bidding process and (2) that </w:t>
      </w:r>
      <w:r>
        <w:t>Duke</w:t>
      </w:r>
      <w:r w:rsidRPr="00397775">
        <w:t xml:space="preserve"> will be required to demonstrate that the resulting ESP, if the Commission approves generation cost recovery in a future filing, will satisfy the requirement of R.C. 4928.143(C)(1)</w:t>
      </w:r>
      <w:r w:rsidR="00C84A0A">
        <w:t>,</w:t>
      </w:r>
      <w:r w:rsidRPr="00397775">
        <w:t xml:space="preserve"> </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00C84A0A" w:rsidRPr="00C84A0A">
        <w:rPr>
          <w:bCs w:val="0"/>
        </w:rPr>
        <w:t xml:space="preserve">which provides that the Commission may approve or modify and approve an ESP, including its pricing and all other terms and conditions, </w:t>
      </w:r>
      <w:r w:rsidR="00C84A0A" w:rsidRPr="00C84A0A">
        <w:rPr>
          <w:bCs w:val="0"/>
        </w:rPr>
        <w:lastRenderedPageBreak/>
        <w:t>including any deferrals and any future recovery of deferrals, if the ESP is more favorable in the aggregate as compared to the expected results that would otherwise apply under R.C. 4928.142</w:t>
      </w:r>
      <w:bookmarkEnd w:id="288"/>
    </w:p>
    <w:bookmarkEnd w:id="289"/>
    <w:p w:rsidR="00397775" w:rsidRPr="00397775" w:rsidRDefault="00397775" w:rsidP="00397775">
      <w:pPr>
        <w:spacing w:line="480" w:lineRule="auto"/>
        <w:ind w:firstLine="720"/>
        <w:contextualSpacing/>
        <w:jc w:val="both"/>
        <w:rPr>
          <w:rFonts w:eastAsia="Times New Roman" w:cs="Arial"/>
        </w:rPr>
      </w:pPr>
      <w:r w:rsidRPr="00397775">
        <w:rPr>
          <w:rFonts w:eastAsia="Times New Roman" w:cs="Arial"/>
        </w:rPr>
        <w:t xml:space="preserve">The Commission stated that </w:t>
      </w:r>
      <w:r>
        <w:rPr>
          <w:rFonts w:eastAsia="Times New Roman" w:cs="Arial"/>
        </w:rPr>
        <w:t>Duke</w:t>
      </w:r>
      <w:r w:rsidRPr="00397775">
        <w:rPr>
          <w:rFonts w:eastAsia="Times New Roman" w:cs="Arial"/>
        </w:rPr>
        <w:t xml:space="preserve"> must address several factors if it seeks cost recovery under the </w:t>
      </w:r>
      <w:r>
        <w:rPr>
          <w:rFonts w:eastAsia="Times New Roman" w:cs="Arial"/>
        </w:rPr>
        <w:t>PSR</w:t>
      </w:r>
      <w:r w:rsidRPr="00397775">
        <w:rPr>
          <w:rFonts w:eastAsia="Times New Roman" w:cs="Arial"/>
        </w:rPr>
        <w:t xml:space="preserve">, but noted that the list of factors was the minimum list that </w:t>
      </w:r>
      <w:r>
        <w:rPr>
          <w:rFonts w:eastAsia="Times New Roman" w:cs="Arial"/>
        </w:rPr>
        <w:t>Duke</w:t>
      </w:r>
      <w:r w:rsidRPr="00397775">
        <w:rPr>
          <w:rFonts w:eastAsia="Times New Roman" w:cs="Arial"/>
        </w:rPr>
        <w:t xml:space="preserve"> should address.</w:t>
      </w:r>
      <w:r w:rsidRPr="00397775">
        <w:rPr>
          <w:rFonts w:eastAsia="Times New Roman" w:cs="Arial"/>
          <w:vertAlign w:val="superscript"/>
        </w:rPr>
        <w:footnoteReference w:id="169"/>
      </w:r>
      <w:r w:rsidRPr="00397775">
        <w:rPr>
          <w:rFonts w:eastAsia="Times New Roman" w:cs="Arial"/>
        </w:rPr>
        <w:t xml:space="preserve">  If the Commission does not grant rehearing and reverse the authorization of the </w:t>
      </w:r>
      <w:r>
        <w:rPr>
          <w:rFonts w:eastAsia="Times New Roman" w:cs="Arial"/>
        </w:rPr>
        <w:t>PSR</w:t>
      </w:r>
      <w:r w:rsidRPr="00397775">
        <w:rPr>
          <w:rFonts w:eastAsia="Times New Roman" w:cs="Arial"/>
        </w:rPr>
        <w:t xml:space="preserve"> for the reasons urged in this Application for Rehearing, it should grant rehearing and expand the factors that the Commission will review in a future filing and include requirements that </w:t>
      </w:r>
      <w:r>
        <w:rPr>
          <w:rFonts w:eastAsia="Times New Roman" w:cs="Arial"/>
        </w:rPr>
        <w:t>Duke</w:t>
      </w:r>
      <w:r w:rsidRPr="00397775">
        <w:rPr>
          <w:rFonts w:eastAsia="Times New Roman" w:cs="Arial"/>
        </w:rPr>
        <w:t xml:space="preserve"> address whether the rider is the “least-cost alternative” for providing a </w:t>
      </w:r>
      <w:r w:rsidR="00D5365A">
        <w:rPr>
          <w:rFonts w:eastAsia="Times New Roman" w:cs="Arial"/>
        </w:rPr>
        <w:t>“</w:t>
      </w:r>
      <w:r w:rsidRPr="00397775">
        <w:rPr>
          <w:rFonts w:eastAsia="Times New Roman" w:cs="Arial"/>
        </w:rPr>
        <w:t>hedge</w:t>
      </w:r>
      <w:r w:rsidR="00D5365A">
        <w:rPr>
          <w:rFonts w:eastAsia="Times New Roman" w:cs="Arial"/>
        </w:rPr>
        <w:t>”</w:t>
      </w:r>
      <w:r w:rsidRPr="00397775">
        <w:rPr>
          <w:rFonts w:eastAsia="Times New Roman" w:cs="Arial"/>
        </w:rPr>
        <w:t xml:space="preserve"> and the effect of the rider on the ESP v. MRO Test.  Further, the Commission should require </w:t>
      </w:r>
      <w:r>
        <w:rPr>
          <w:rFonts w:eastAsia="Times New Roman" w:cs="Arial"/>
        </w:rPr>
        <w:t>Duke</w:t>
      </w:r>
      <w:r w:rsidRPr="00397775">
        <w:rPr>
          <w:rFonts w:eastAsia="Times New Roman" w:cs="Arial"/>
        </w:rPr>
        <w:t xml:space="preserve"> to competitively bid any product for which it seeks to recover the costs through the </w:t>
      </w:r>
      <w:r>
        <w:rPr>
          <w:rFonts w:eastAsia="Times New Roman" w:cs="Arial"/>
        </w:rPr>
        <w:t>PSR</w:t>
      </w:r>
      <w:r w:rsidRPr="00397775">
        <w:rPr>
          <w:rFonts w:eastAsia="Times New Roman" w:cs="Arial"/>
        </w:rPr>
        <w:t>.  While these additions to the review will not make the rider lawful under R.C. 4928.143(B)(2)(d), they will advance the reasonable concern of customers that any cost they are required to pay as a result of a Commission order is least-cost and market-tested.</w:t>
      </w:r>
    </w:p>
    <w:p w:rsidR="00397775" w:rsidRPr="00397775" w:rsidRDefault="00397775" w:rsidP="00397775">
      <w:pPr>
        <w:pStyle w:val="Heading4"/>
      </w:pPr>
      <w:bookmarkStart w:id="290" w:name="_Toc414363854"/>
      <w:bookmarkStart w:id="291" w:name="_Toc414366719"/>
      <w:bookmarkStart w:id="292" w:name="_Toc414366942"/>
      <w:bookmarkStart w:id="293" w:name="_Toc414367249"/>
      <w:bookmarkStart w:id="294" w:name="_Toc414368397"/>
      <w:bookmarkStart w:id="295" w:name="_Toc414370919"/>
      <w:bookmarkStart w:id="296" w:name="_Toc414371046"/>
      <w:bookmarkStart w:id="297" w:name="_Toc414371181"/>
      <w:bookmarkStart w:id="298" w:name="_Toc414371223"/>
      <w:bookmarkStart w:id="299" w:name="_Toc414371287"/>
      <w:bookmarkStart w:id="300" w:name="_Toc414371353"/>
      <w:bookmarkStart w:id="301" w:name="_Toc414371495"/>
      <w:bookmarkStart w:id="302" w:name="_Toc414372709"/>
      <w:bookmarkStart w:id="303" w:name="_Toc414373016"/>
      <w:bookmarkStart w:id="304" w:name="_Toc414373707"/>
      <w:bookmarkStart w:id="305" w:name="_Toc414877934"/>
      <w:bookmarkStart w:id="306" w:name="_Toc414973834"/>
      <w:bookmarkStart w:id="307" w:name="_Toc414973865"/>
      <w:bookmarkStart w:id="308" w:name="_Toc415223887"/>
      <w:bookmarkStart w:id="309" w:name="_Toc415225448"/>
      <w:r w:rsidRPr="00397775">
        <w:t xml:space="preserve">The Commission should impose a requirement that the </w:t>
      </w:r>
      <w:r w:rsidR="00D5365A">
        <w:t>“</w:t>
      </w:r>
      <w:r w:rsidRPr="00397775">
        <w:t>hedge</w:t>
      </w:r>
      <w:r w:rsidR="00D5365A">
        <w:t>”</w:t>
      </w:r>
      <w:r w:rsidRPr="00397775">
        <w:t xml:space="preserve"> be “least-cost”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397775" w:rsidRPr="00397775" w:rsidRDefault="00397775" w:rsidP="00397775">
      <w:pPr>
        <w:spacing w:line="480" w:lineRule="auto"/>
        <w:ind w:firstLine="720"/>
        <w:contextualSpacing/>
        <w:jc w:val="both"/>
        <w:rPr>
          <w:rFonts w:eastAsia="Times New Roman" w:cs="Arial"/>
        </w:rPr>
      </w:pPr>
      <w:r w:rsidRPr="00397775">
        <w:rPr>
          <w:rFonts w:eastAsia="Times New Roman" w:cs="Arial"/>
        </w:rPr>
        <w:t xml:space="preserve">In a “future filing,” the Commission should require </w:t>
      </w:r>
      <w:r>
        <w:rPr>
          <w:rFonts w:eastAsia="Times New Roman" w:cs="Arial"/>
        </w:rPr>
        <w:t>Duke</w:t>
      </w:r>
      <w:r w:rsidRPr="00397775">
        <w:rPr>
          <w:rFonts w:eastAsia="Times New Roman" w:cs="Arial"/>
        </w:rPr>
        <w:t xml:space="preserve"> to demonstrate that the costs it is seeking to recover are the “least-cost” alternative </w:t>
      </w:r>
      <w:r w:rsidR="002131CD">
        <w:rPr>
          <w:rFonts w:eastAsia="Times New Roman" w:cs="Arial"/>
        </w:rPr>
        <w:t>for</w:t>
      </w:r>
      <w:r w:rsidRPr="00397775">
        <w:rPr>
          <w:rFonts w:eastAsia="Times New Roman" w:cs="Arial"/>
        </w:rPr>
        <w:t xml:space="preserve"> securing the “hedge.”  The inclusion of a requirement to address whether the </w:t>
      </w:r>
      <w:r>
        <w:rPr>
          <w:rFonts w:eastAsia="Times New Roman" w:cs="Arial"/>
        </w:rPr>
        <w:t>PSR</w:t>
      </w:r>
      <w:r w:rsidRPr="00397775">
        <w:rPr>
          <w:rFonts w:eastAsia="Times New Roman" w:cs="Arial"/>
        </w:rPr>
        <w:t xml:space="preserve"> would provide a least-cost alternative is consistent with the Commission’s rules.  In its rule addressing provisions for automatic adjustments of costs under R.C. 4928.143(B)(2)(a), the Commission </w:t>
      </w:r>
      <w:r w:rsidRPr="00397775">
        <w:rPr>
          <w:rFonts w:eastAsia="Times New Roman" w:cs="Arial"/>
        </w:rPr>
        <w:lastRenderedPageBreak/>
        <w:t>provides that the costs incurred and recovered for fuel and purchased power are to be reviewed quarterly and annually and requires the EDU annually to “demonstrate that the costs were prudently incurred … and, if a significant change in costs has incurred [</w:t>
      </w:r>
      <w:r w:rsidRPr="00397775">
        <w:rPr>
          <w:rFonts w:eastAsia="Times New Roman" w:cs="Arial"/>
          <w:i/>
        </w:rPr>
        <w:t>sic</w:t>
      </w:r>
      <w:r w:rsidRPr="00397775">
        <w:rPr>
          <w:rFonts w:eastAsia="Times New Roman" w:cs="Arial"/>
        </w:rPr>
        <w:t>], include an analysis comparing the electric utility’s resource and/or environmental compliance strategy with supply and demand-side alternatives.”</w:t>
      </w:r>
      <w:r w:rsidR="000B79C9">
        <w:rPr>
          <w:rStyle w:val="FootnoteReference"/>
          <w:rFonts w:eastAsia="Times New Roman" w:cs="Arial"/>
        </w:rPr>
        <w:footnoteReference w:id="170"/>
      </w:r>
      <w:r w:rsidRPr="00397775">
        <w:rPr>
          <w:rFonts w:eastAsia="Times New Roman" w:cs="Arial"/>
        </w:rPr>
        <w:t xml:space="preserve">  Simply put, the Commission requires the EDU to address whether less expensive alternatives for generation-related services are available.  A similar requirement should apply to the so-called hedge.</w:t>
      </w:r>
    </w:p>
    <w:p w:rsidR="00397775" w:rsidRPr="00397775" w:rsidRDefault="00397775" w:rsidP="00397775">
      <w:pPr>
        <w:spacing w:line="480" w:lineRule="auto"/>
        <w:ind w:firstLine="720"/>
        <w:contextualSpacing/>
        <w:jc w:val="both"/>
        <w:rPr>
          <w:rFonts w:eastAsia="Times New Roman" w:cs="Arial"/>
        </w:rPr>
      </w:pPr>
      <w:r w:rsidRPr="00397775">
        <w:rPr>
          <w:rFonts w:eastAsia="Times New Roman" w:cs="Arial"/>
        </w:rPr>
        <w:t xml:space="preserve">State policy also requires the Commission to require </w:t>
      </w:r>
      <w:r>
        <w:rPr>
          <w:rFonts w:eastAsia="Times New Roman" w:cs="Arial"/>
        </w:rPr>
        <w:t>Duke</w:t>
      </w:r>
      <w:r w:rsidRPr="00397775">
        <w:rPr>
          <w:rFonts w:eastAsia="Times New Roman" w:cs="Arial"/>
        </w:rPr>
        <w:t xml:space="preserve"> to address whether it is proposing a least-cost alternative to supply a </w:t>
      </w:r>
      <w:r w:rsidR="00D5365A">
        <w:rPr>
          <w:rFonts w:eastAsia="Times New Roman" w:cs="Arial"/>
        </w:rPr>
        <w:t>“</w:t>
      </w:r>
      <w:r w:rsidRPr="00397775">
        <w:rPr>
          <w:rFonts w:eastAsia="Times New Roman" w:cs="Arial"/>
        </w:rPr>
        <w:t>hedge</w:t>
      </w:r>
      <w:r w:rsidR="003C76C5">
        <w:rPr>
          <w:rFonts w:eastAsia="Times New Roman" w:cs="Arial"/>
        </w:rPr>
        <w:t>.</w:t>
      </w:r>
      <w:r w:rsidR="00D5365A">
        <w:rPr>
          <w:rFonts w:eastAsia="Times New Roman" w:cs="Arial"/>
        </w:rPr>
        <w:t>”</w:t>
      </w:r>
      <w:r w:rsidRPr="00397775">
        <w:rPr>
          <w:rFonts w:eastAsia="Times New Roman" w:cs="Arial"/>
        </w:rPr>
        <w:t xml:space="preserve">  R.C. 4928.02(A) provides that it is the state policy to ensure the availability of unbundled retail electric service and to ensure that retail electric service is reasonably priced.  A customer looking for a </w:t>
      </w:r>
      <w:r w:rsidR="00D5365A">
        <w:rPr>
          <w:rFonts w:eastAsia="Times New Roman" w:cs="Arial"/>
        </w:rPr>
        <w:t>“</w:t>
      </w:r>
      <w:r w:rsidRPr="00397775">
        <w:rPr>
          <w:rFonts w:eastAsia="Times New Roman" w:cs="Arial"/>
        </w:rPr>
        <w:t>hedge</w:t>
      </w:r>
      <w:r w:rsidR="00D5365A">
        <w:rPr>
          <w:rFonts w:eastAsia="Times New Roman" w:cs="Arial"/>
        </w:rPr>
        <w:t>”</w:t>
      </w:r>
      <w:r w:rsidRPr="00397775">
        <w:rPr>
          <w:rFonts w:eastAsia="Times New Roman" w:cs="Arial"/>
        </w:rPr>
        <w:t xml:space="preserve"> would be expected to select </w:t>
      </w:r>
      <w:r w:rsidR="00D5365A">
        <w:rPr>
          <w:rFonts w:eastAsia="Times New Roman" w:cs="Arial"/>
        </w:rPr>
        <w:t>a product</w:t>
      </w:r>
      <w:r w:rsidRPr="00397775">
        <w:rPr>
          <w:rFonts w:eastAsia="Times New Roman" w:cs="Arial"/>
        </w:rPr>
        <w:t xml:space="preserve"> that is the least costly among similar products.  If the Commission is taking over the decision for the customer regarding the amount of </w:t>
      </w:r>
      <w:r w:rsidR="00D5365A">
        <w:rPr>
          <w:rFonts w:eastAsia="Times New Roman" w:cs="Arial"/>
        </w:rPr>
        <w:t>“</w:t>
      </w:r>
      <w:r w:rsidRPr="00397775">
        <w:rPr>
          <w:rFonts w:eastAsia="Times New Roman" w:cs="Arial"/>
        </w:rPr>
        <w:t>hedging</w:t>
      </w:r>
      <w:r w:rsidR="00D5365A">
        <w:rPr>
          <w:rFonts w:eastAsia="Times New Roman" w:cs="Arial"/>
        </w:rPr>
        <w:t>”</w:t>
      </w:r>
      <w:r w:rsidRPr="00397775">
        <w:rPr>
          <w:rFonts w:eastAsia="Times New Roman" w:cs="Arial"/>
        </w:rPr>
        <w:t xml:space="preserve"> the customer should have, effectively reducing the value of customer choice, then</w:t>
      </w:r>
      <w:r w:rsidR="00CD0092">
        <w:rPr>
          <w:rFonts w:eastAsia="Times New Roman" w:cs="Arial"/>
        </w:rPr>
        <w:t xml:space="preserve"> it should also assure that </w:t>
      </w:r>
      <w:r w:rsidR="00537181">
        <w:rPr>
          <w:rFonts w:eastAsia="Times New Roman" w:cs="Arial"/>
        </w:rPr>
        <w:t xml:space="preserve">the </w:t>
      </w:r>
      <w:r w:rsidR="00CD0092">
        <w:rPr>
          <w:rFonts w:eastAsia="Times New Roman" w:cs="Arial"/>
        </w:rPr>
        <w:t xml:space="preserve">charge represents </w:t>
      </w:r>
      <w:r w:rsidRPr="00397775">
        <w:rPr>
          <w:rFonts w:eastAsia="Times New Roman" w:cs="Arial"/>
        </w:rPr>
        <w:t>a least-cost option.</w:t>
      </w:r>
    </w:p>
    <w:p w:rsidR="00397775" w:rsidRPr="00397775" w:rsidRDefault="00397775" w:rsidP="00397775">
      <w:pPr>
        <w:pStyle w:val="Heading4"/>
      </w:pPr>
      <w:bookmarkStart w:id="310" w:name="_Toc414363856"/>
      <w:bookmarkStart w:id="311" w:name="_Toc414366721"/>
      <w:bookmarkStart w:id="312" w:name="_Toc414366944"/>
      <w:bookmarkStart w:id="313" w:name="_Toc414367251"/>
      <w:bookmarkStart w:id="314" w:name="_Toc414368399"/>
      <w:bookmarkStart w:id="315" w:name="_Toc414370921"/>
      <w:bookmarkStart w:id="316" w:name="_Toc414371048"/>
      <w:bookmarkStart w:id="317" w:name="_Toc414371183"/>
      <w:bookmarkStart w:id="318" w:name="_Toc414371225"/>
      <w:bookmarkStart w:id="319" w:name="_Toc414371289"/>
      <w:bookmarkStart w:id="320" w:name="_Toc414371355"/>
      <w:bookmarkStart w:id="321" w:name="_Toc414371497"/>
      <w:bookmarkStart w:id="322" w:name="_Toc414372711"/>
      <w:bookmarkStart w:id="323" w:name="_Toc414373018"/>
      <w:bookmarkStart w:id="324" w:name="_Toc414373709"/>
      <w:bookmarkStart w:id="325" w:name="_Toc414877935"/>
      <w:bookmarkStart w:id="326" w:name="_Toc414973835"/>
      <w:bookmarkStart w:id="327" w:name="_Toc414973866"/>
      <w:bookmarkStart w:id="328" w:name="_Toc415223888"/>
      <w:bookmarkStart w:id="329" w:name="_Toc415225449"/>
      <w:r w:rsidRPr="00397775">
        <w:t xml:space="preserve">The Commission should require that </w:t>
      </w:r>
      <w:r>
        <w:t>Duke</w:t>
      </w:r>
      <w:r w:rsidRPr="00397775">
        <w:t xml:space="preserve"> </w:t>
      </w:r>
      <w:r w:rsidR="004C0D0F">
        <w:t xml:space="preserve">seek </w:t>
      </w:r>
      <w:r w:rsidRPr="00397775">
        <w:t>compe</w:t>
      </w:r>
      <w:r w:rsidR="004C0D0F">
        <w:t>titive</w:t>
      </w:r>
      <w:r w:rsidRPr="00397775">
        <w:t xml:space="preserve"> bid</w:t>
      </w:r>
      <w:r w:rsidR="004C0D0F">
        <w:t>s for</w:t>
      </w:r>
      <w:r w:rsidRPr="00397775">
        <w:t xml:space="preserve"> the </w:t>
      </w:r>
      <w:r w:rsidR="00CD0092">
        <w:t>“</w:t>
      </w:r>
      <w:r w:rsidRPr="00397775">
        <w:t>hedge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00CD0092">
        <w:t>”</w:t>
      </w:r>
    </w:p>
    <w:p w:rsidR="00397775" w:rsidRPr="00397775" w:rsidRDefault="00397775" w:rsidP="00397775">
      <w:pPr>
        <w:spacing w:line="480" w:lineRule="auto"/>
        <w:ind w:firstLine="720"/>
        <w:contextualSpacing/>
        <w:jc w:val="both"/>
        <w:rPr>
          <w:rFonts w:eastAsia="Times New Roman" w:cs="Arial"/>
        </w:rPr>
      </w:pPr>
      <w:r w:rsidRPr="00397775">
        <w:rPr>
          <w:rFonts w:eastAsia="Times New Roman" w:cs="Arial"/>
        </w:rPr>
        <w:t xml:space="preserve">The Commission also should clarify that </w:t>
      </w:r>
      <w:r>
        <w:rPr>
          <w:rFonts w:eastAsia="Times New Roman" w:cs="Arial"/>
        </w:rPr>
        <w:t>Duke</w:t>
      </w:r>
      <w:r w:rsidRPr="00397775">
        <w:rPr>
          <w:rFonts w:eastAsia="Times New Roman" w:cs="Arial"/>
        </w:rPr>
        <w:t xml:space="preserve"> should seek competitive bids for the “hedge.”  The policy supporting the use of competitive bidding to source </w:t>
      </w:r>
      <w:r w:rsidR="00CD0092">
        <w:rPr>
          <w:rFonts w:eastAsia="Times New Roman" w:cs="Arial"/>
        </w:rPr>
        <w:t>a generation service</w:t>
      </w:r>
      <w:r w:rsidRPr="00397775">
        <w:rPr>
          <w:rFonts w:eastAsia="Times New Roman" w:cs="Arial"/>
        </w:rPr>
        <w:t xml:space="preserve"> is already embedded in Ohio law.  Under R.C. 4928.143(B)(2)(c), for example, the Commission may approve a surcharge as a term of an ESP for a generation facility that is used and useful on or after January 1, 2009, and that is owned </w:t>
      </w:r>
      <w:r w:rsidRPr="00397775">
        <w:rPr>
          <w:rFonts w:eastAsia="Times New Roman" w:cs="Arial"/>
        </w:rPr>
        <w:lastRenderedPageBreak/>
        <w:t>or operated by an EDU, if it was sourced through a competitive bidding process.</w:t>
      </w:r>
      <w:r w:rsidRPr="00397775">
        <w:rPr>
          <w:rFonts w:eastAsia="Times New Roman" w:cs="Arial"/>
          <w:vertAlign w:val="superscript"/>
        </w:rPr>
        <w:footnoteReference w:id="171"/>
      </w:r>
      <w:r w:rsidRPr="00397775">
        <w:rPr>
          <w:rFonts w:eastAsia="Times New Roman" w:cs="Arial"/>
        </w:rPr>
        <w:t xml:space="preserve">  R.C. 4928.142 also requires a competitive solicitation to set the price of the MRO.</w:t>
      </w:r>
      <w:r w:rsidRPr="00397775">
        <w:rPr>
          <w:rFonts w:eastAsia="Times New Roman" w:cs="Arial"/>
          <w:vertAlign w:val="superscript"/>
        </w:rPr>
        <w:footnoteReference w:id="172"/>
      </w:r>
      <w:r w:rsidRPr="00397775">
        <w:rPr>
          <w:rFonts w:eastAsia="Times New Roman" w:cs="Arial"/>
        </w:rPr>
        <w:t xml:space="preserve">  Likewise, the Commission has found significant qualitative value in expediting the use of an auction process to establish the price of SSO service in an ESP.</w:t>
      </w:r>
      <w:r w:rsidRPr="00397775">
        <w:rPr>
          <w:rFonts w:eastAsia="Times New Roman" w:cs="Arial"/>
          <w:vertAlign w:val="superscript"/>
        </w:rPr>
        <w:footnoteReference w:id="173"/>
      </w:r>
      <w:r w:rsidRPr="00397775">
        <w:rPr>
          <w:rFonts w:eastAsia="Times New Roman" w:cs="Arial"/>
        </w:rPr>
        <w:t xml:space="preserve">  In keeping with the Commission’s desire to use an auction process to improve outcomes for customers, the Commission should require that any “hedge” be the result of an open, fair, and transparent competitive bidding process.</w:t>
      </w:r>
    </w:p>
    <w:p w:rsidR="00397775" w:rsidRPr="00397775" w:rsidRDefault="00397775" w:rsidP="00397775">
      <w:pPr>
        <w:pStyle w:val="Heading4"/>
      </w:pPr>
      <w:bookmarkStart w:id="330" w:name="_Toc414877936"/>
      <w:bookmarkStart w:id="331" w:name="_Toc414973836"/>
      <w:bookmarkStart w:id="332" w:name="_Toc414973867"/>
      <w:bookmarkStart w:id="333" w:name="_Toc415223889"/>
      <w:bookmarkStart w:id="334" w:name="_Toc415225450"/>
      <w:r w:rsidRPr="00397775">
        <w:t xml:space="preserve">The Commission should require </w:t>
      </w:r>
      <w:r>
        <w:t>Duke</w:t>
      </w:r>
      <w:r w:rsidRPr="00397775">
        <w:t xml:space="preserve"> to demonstrate that the ESP, if the Commission approves recovery of generation-related costs under the </w:t>
      </w:r>
      <w:r>
        <w:t>PSR</w:t>
      </w:r>
      <w:r w:rsidRPr="00397775">
        <w:t>, passes the ESP v. MRO Test</w:t>
      </w:r>
      <w:bookmarkEnd w:id="330"/>
      <w:bookmarkEnd w:id="331"/>
      <w:bookmarkEnd w:id="332"/>
      <w:bookmarkEnd w:id="333"/>
      <w:bookmarkEnd w:id="334"/>
    </w:p>
    <w:p w:rsidR="00397775" w:rsidRPr="00397775" w:rsidRDefault="00397775" w:rsidP="008105C2">
      <w:pPr>
        <w:spacing w:after="120" w:line="480" w:lineRule="auto"/>
        <w:ind w:firstLine="720"/>
        <w:contextualSpacing/>
        <w:jc w:val="both"/>
        <w:rPr>
          <w:rFonts w:eastAsia="Times New Roman" w:cs="Arial"/>
        </w:rPr>
      </w:pPr>
      <w:r w:rsidRPr="00397775">
        <w:rPr>
          <w:rFonts w:eastAsia="Times New Roman" w:cs="Arial"/>
        </w:rPr>
        <w:t xml:space="preserve">Additionally, the Commission should require </w:t>
      </w:r>
      <w:r>
        <w:rPr>
          <w:rFonts w:eastAsia="Times New Roman" w:cs="Arial"/>
        </w:rPr>
        <w:t>Duke</w:t>
      </w:r>
      <w:r w:rsidRPr="00397775">
        <w:rPr>
          <w:rFonts w:eastAsia="Times New Roman" w:cs="Arial"/>
        </w:rPr>
        <w:t xml:space="preserve"> to demonstrate the ESP passes the ESP v. MRO Test if the Commission approves the recovery of generation related costs in a future filing.  State law requires that the ESP be more favorable in the aggregate than an MRO before the Commission may approve it.  </w:t>
      </w:r>
      <w:r>
        <w:rPr>
          <w:rFonts w:eastAsia="Times New Roman" w:cs="Arial"/>
        </w:rPr>
        <w:t>Duke</w:t>
      </w:r>
      <w:r w:rsidRPr="00397775">
        <w:rPr>
          <w:rFonts w:eastAsia="Times New Roman" w:cs="Arial"/>
        </w:rPr>
        <w:t xml:space="preserve"> should not be permitted to increase its price of the ESP unless the ESP with the new </w:t>
      </w:r>
      <w:r>
        <w:rPr>
          <w:rFonts w:eastAsia="Times New Roman" w:cs="Arial"/>
        </w:rPr>
        <w:t>PSR</w:t>
      </w:r>
      <w:r w:rsidRPr="00397775">
        <w:rPr>
          <w:rFonts w:eastAsia="Times New Roman" w:cs="Arial"/>
        </w:rPr>
        <w:t xml:space="preserve"> charges continues to be more favorable in the aggregate than an MRO.  Accordingly, the Commission should require that </w:t>
      </w:r>
      <w:r>
        <w:rPr>
          <w:rFonts w:eastAsia="Times New Roman" w:cs="Arial"/>
        </w:rPr>
        <w:t>Duke</w:t>
      </w:r>
      <w:r w:rsidRPr="00397775">
        <w:rPr>
          <w:rFonts w:eastAsia="Times New Roman" w:cs="Arial"/>
        </w:rPr>
        <w:t xml:space="preserve"> support its filing with a demonstration that the ESP will continue to pass the ESP v. MRO Test if the Commission approves the r</w:t>
      </w:r>
      <w:r w:rsidR="00CD0092">
        <w:rPr>
          <w:rFonts w:eastAsia="Times New Roman" w:cs="Arial"/>
        </w:rPr>
        <w:t>ecovery of the requested costs.</w:t>
      </w:r>
      <w:r w:rsidRPr="00397775">
        <w:rPr>
          <w:rFonts w:eastAsia="Times New Roman" w:cs="Arial"/>
        </w:rPr>
        <w:t xml:space="preserve">  Further, the Commission should state that an EDU’s failure to demonstrate that the ESP with the additional recovery of costs passes the ESP v. MRO Test would result in a rejection of the requested additional recovery.</w:t>
      </w:r>
    </w:p>
    <w:p w:rsidR="00E4734B" w:rsidRPr="00077C6E" w:rsidRDefault="00E4734B" w:rsidP="00E4734B">
      <w:pPr>
        <w:pStyle w:val="Heading1"/>
      </w:pPr>
      <w:bookmarkStart w:id="335" w:name="_Toc414094881"/>
      <w:bookmarkStart w:id="336" w:name="_Toc414363759"/>
      <w:bookmarkStart w:id="337" w:name="_Toc414363857"/>
      <w:bookmarkStart w:id="338" w:name="_Toc414366722"/>
      <w:bookmarkStart w:id="339" w:name="_Toc414366945"/>
      <w:bookmarkStart w:id="340" w:name="_Toc414367252"/>
      <w:bookmarkStart w:id="341" w:name="_Toc414368400"/>
      <w:bookmarkStart w:id="342" w:name="_Toc414370922"/>
      <w:bookmarkStart w:id="343" w:name="_Toc414371049"/>
      <w:bookmarkStart w:id="344" w:name="_Toc414371184"/>
      <w:bookmarkStart w:id="345" w:name="_Toc414371226"/>
      <w:bookmarkStart w:id="346" w:name="_Toc414371290"/>
      <w:bookmarkStart w:id="347" w:name="_Toc414371356"/>
      <w:bookmarkStart w:id="348" w:name="_Toc414371498"/>
      <w:bookmarkStart w:id="349" w:name="_Toc414372712"/>
      <w:bookmarkStart w:id="350" w:name="_Toc414373019"/>
      <w:bookmarkStart w:id="351" w:name="_Toc414373710"/>
      <w:bookmarkStart w:id="352" w:name="_Toc414877938"/>
      <w:bookmarkStart w:id="353" w:name="_Toc414973838"/>
      <w:bookmarkStart w:id="354" w:name="_Toc414973869"/>
      <w:bookmarkStart w:id="355" w:name="_Toc415223891"/>
      <w:bookmarkStart w:id="356" w:name="_Toc415225452"/>
      <w:bookmarkStart w:id="357" w:name="_Toc418495460"/>
      <w:r w:rsidRPr="00077C6E">
        <w:lastRenderedPageBreak/>
        <w:t>Conclusion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E4734B" w:rsidRPr="00077C6E" w:rsidRDefault="00E4734B" w:rsidP="00E4734B">
      <w:pPr>
        <w:spacing w:line="480" w:lineRule="auto"/>
        <w:contextualSpacing/>
        <w:jc w:val="both"/>
        <w:rPr>
          <w:rFonts w:eastAsia="Times New Roman" w:cs="Arial"/>
        </w:rPr>
      </w:pPr>
      <w:r w:rsidRPr="00077C6E">
        <w:rPr>
          <w:rFonts w:eastAsia="Times New Roman" w:cs="Arial"/>
        </w:rPr>
        <w:tab/>
        <w:t>For the reasons stated above, the ESP Order is unlawful and unreasonable.  Accordingly, the Commission should grant rehearing and modify the ESP Order.</w:t>
      </w:r>
    </w:p>
    <w:p w:rsidR="00E4734B" w:rsidRPr="00077C6E" w:rsidRDefault="00E4734B" w:rsidP="00E4734B">
      <w:pPr>
        <w:tabs>
          <w:tab w:val="left" w:pos="-1440"/>
          <w:tab w:val="left" w:pos="-720"/>
          <w:tab w:val="left" w:pos="4680"/>
          <w:tab w:val="left" w:pos="5040"/>
          <w:tab w:val="left" w:pos="8640"/>
        </w:tabs>
        <w:ind w:firstLine="4320"/>
        <w:jc w:val="both"/>
        <w:rPr>
          <w:rFonts w:eastAsia="Calibri" w:cs="Arial"/>
          <w:szCs w:val="20"/>
        </w:rPr>
      </w:pPr>
      <w:r w:rsidRPr="00077C6E">
        <w:rPr>
          <w:rFonts w:eastAsia="Calibri" w:cs="Arial"/>
        </w:rPr>
        <w:t>Respectfully submitted,</w:t>
      </w:r>
    </w:p>
    <w:p w:rsidR="00E4734B" w:rsidRPr="00077C6E" w:rsidRDefault="00E4734B" w:rsidP="00E4734B">
      <w:pPr>
        <w:tabs>
          <w:tab w:val="left" w:pos="-1440"/>
          <w:tab w:val="left" w:pos="-720"/>
          <w:tab w:val="left" w:pos="4680"/>
          <w:tab w:val="left" w:pos="5040"/>
          <w:tab w:val="left" w:pos="8640"/>
        </w:tabs>
        <w:ind w:firstLine="720"/>
        <w:jc w:val="both"/>
        <w:rPr>
          <w:rFonts w:eastAsia="Calibri" w:cs="Arial"/>
          <w:szCs w:val="20"/>
        </w:rPr>
      </w:pPr>
    </w:p>
    <w:p w:rsidR="00E4734B" w:rsidRPr="00077C6E" w:rsidRDefault="00E4734B" w:rsidP="00E4734B">
      <w:pPr>
        <w:tabs>
          <w:tab w:val="left" w:pos="-1440"/>
          <w:tab w:val="left" w:pos="-720"/>
          <w:tab w:val="left" w:pos="4680"/>
          <w:tab w:val="left" w:pos="8640"/>
        </w:tabs>
        <w:ind w:firstLine="4320"/>
        <w:jc w:val="both"/>
        <w:rPr>
          <w:rFonts w:eastAsia="Calibri" w:cs="Arial"/>
          <w:szCs w:val="20"/>
        </w:rPr>
      </w:pPr>
      <w:r w:rsidRPr="00077C6E">
        <w:rPr>
          <w:rFonts w:eastAsia="Calibri" w:cs="Arial"/>
          <w:u w:val="single"/>
        </w:rPr>
        <w:t>/s/ Frank P. Darr</w:t>
      </w:r>
      <w:r w:rsidRPr="00077C6E">
        <w:rPr>
          <w:rFonts w:eastAsia="Calibri" w:cs="Arial"/>
          <w:u w:val="single"/>
        </w:rPr>
        <w:tab/>
      </w:r>
      <w:r w:rsidRPr="00077C6E">
        <w:rPr>
          <w:rFonts w:eastAsia="Calibri" w:cs="Arial"/>
          <w:u w:val="single"/>
        </w:rPr>
        <w:tab/>
      </w:r>
    </w:p>
    <w:p w:rsidR="00E4734B" w:rsidRPr="00077C6E" w:rsidRDefault="00E4734B" w:rsidP="00E4734B">
      <w:pPr>
        <w:tabs>
          <w:tab w:val="left" w:pos="-1440"/>
          <w:tab w:val="left" w:pos="-720"/>
          <w:tab w:val="left" w:pos="4680"/>
          <w:tab w:val="left" w:pos="5040"/>
        </w:tabs>
        <w:ind w:firstLine="4320"/>
        <w:jc w:val="both"/>
        <w:rPr>
          <w:rFonts w:eastAsia="Calibri" w:cs="Arial"/>
        </w:rPr>
      </w:pPr>
      <w:r w:rsidRPr="00077C6E">
        <w:rPr>
          <w:rFonts w:eastAsia="Calibri" w:cs="Arial"/>
        </w:rPr>
        <w:t>Frank P. Darr (Counsel of Record)</w:t>
      </w:r>
    </w:p>
    <w:p w:rsidR="00E4734B" w:rsidRPr="00077C6E" w:rsidRDefault="00E4734B" w:rsidP="00E4734B">
      <w:pPr>
        <w:tabs>
          <w:tab w:val="left" w:pos="-1440"/>
          <w:tab w:val="left" w:pos="-720"/>
          <w:tab w:val="left" w:pos="4680"/>
          <w:tab w:val="left" w:pos="5040"/>
        </w:tabs>
        <w:ind w:firstLine="4320"/>
        <w:jc w:val="both"/>
        <w:rPr>
          <w:rFonts w:eastAsia="Calibri" w:cs="Arial"/>
        </w:rPr>
      </w:pPr>
      <w:r w:rsidRPr="00077C6E">
        <w:rPr>
          <w:rFonts w:eastAsia="Calibri" w:cs="Arial"/>
        </w:rPr>
        <w:t>Matthew Pritchard</w:t>
      </w:r>
    </w:p>
    <w:p w:rsidR="00E4734B" w:rsidRPr="00077C6E" w:rsidRDefault="00E4734B" w:rsidP="00E4734B">
      <w:pPr>
        <w:tabs>
          <w:tab w:val="left" w:pos="-1440"/>
          <w:tab w:val="left" w:pos="-720"/>
          <w:tab w:val="left" w:pos="4680"/>
          <w:tab w:val="left" w:pos="5040"/>
        </w:tabs>
        <w:ind w:firstLine="4320"/>
        <w:jc w:val="both"/>
        <w:rPr>
          <w:rFonts w:eastAsia="Calibri" w:cs="Arial"/>
          <w:sz w:val="16"/>
          <w:szCs w:val="20"/>
        </w:rPr>
      </w:pPr>
      <w:r w:rsidRPr="00077C6E">
        <w:rPr>
          <w:rFonts w:eastAsia="Calibri" w:cs="Arial"/>
          <w:smallCaps/>
        </w:rPr>
        <w:t>McNees Wallace &amp; Nurick LLC</w:t>
      </w:r>
    </w:p>
    <w:p w:rsidR="00E4734B" w:rsidRPr="00077C6E" w:rsidRDefault="00E4734B" w:rsidP="00E4734B">
      <w:pPr>
        <w:tabs>
          <w:tab w:val="left" w:pos="-1440"/>
          <w:tab w:val="left" w:pos="-720"/>
          <w:tab w:val="left" w:pos="4680"/>
          <w:tab w:val="left" w:pos="5040"/>
        </w:tabs>
        <w:ind w:firstLine="4320"/>
        <w:jc w:val="both"/>
        <w:rPr>
          <w:rFonts w:eastAsia="Calibri" w:cs="Arial"/>
          <w:szCs w:val="20"/>
        </w:rPr>
      </w:pPr>
      <w:r w:rsidRPr="00077C6E">
        <w:rPr>
          <w:rFonts w:eastAsia="Calibri" w:cs="Arial"/>
        </w:rPr>
        <w:t>Fifth Third Center</w:t>
      </w:r>
    </w:p>
    <w:p w:rsidR="00E4734B" w:rsidRPr="00077C6E" w:rsidRDefault="00E4734B" w:rsidP="00E4734B">
      <w:pPr>
        <w:tabs>
          <w:tab w:val="left" w:pos="-1440"/>
          <w:tab w:val="left" w:pos="-720"/>
          <w:tab w:val="left" w:pos="4680"/>
          <w:tab w:val="left" w:pos="5040"/>
        </w:tabs>
        <w:ind w:firstLine="4320"/>
        <w:jc w:val="both"/>
        <w:rPr>
          <w:rFonts w:eastAsia="Calibri" w:cs="Arial"/>
          <w:szCs w:val="20"/>
        </w:rPr>
      </w:pPr>
      <w:r w:rsidRPr="00077C6E">
        <w:rPr>
          <w:rFonts w:eastAsia="Calibri" w:cs="Arial"/>
        </w:rPr>
        <w:t>21 East State Street, 17</w:t>
      </w:r>
      <w:r w:rsidRPr="00077C6E">
        <w:rPr>
          <w:rFonts w:eastAsia="Calibri" w:cs="Arial"/>
          <w:vertAlign w:val="superscript"/>
        </w:rPr>
        <w:t>th</w:t>
      </w:r>
      <w:r w:rsidRPr="00077C6E">
        <w:rPr>
          <w:rFonts w:eastAsia="Calibri" w:cs="Arial"/>
        </w:rPr>
        <w:t xml:space="preserve"> Floor</w:t>
      </w:r>
    </w:p>
    <w:p w:rsidR="00E4734B" w:rsidRPr="00077C6E" w:rsidRDefault="00E4734B" w:rsidP="00E4734B">
      <w:pPr>
        <w:tabs>
          <w:tab w:val="left" w:pos="-1440"/>
          <w:tab w:val="left" w:pos="-720"/>
          <w:tab w:val="left" w:pos="4680"/>
          <w:tab w:val="left" w:pos="5040"/>
        </w:tabs>
        <w:ind w:firstLine="4320"/>
        <w:jc w:val="both"/>
        <w:rPr>
          <w:rFonts w:eastAsia="Calibri" w:cs="Arial"/>
        </w:rPr>
      </w:pPr>
      <w:r w:rsidRPr="00077C6E">
        <w:rPr>
          <w:rFonts w:eastAsia="Calibri" w:cs="Arial"/>
        </w:rPr>
        <w:t>Columbus, OH  43215-4228</w:t>
      </w:r>
    </w:p>
    <w:p w:rsidR="00E4734B" w:rsidRPr="00077C6E" w:rsidRDefault="00E4734B" w:rsidP="00E4734B">
      <w:pPr>
        <w:tabs>
          <w:tab w:val="left" w:pos="-1440"/>
          <w:tab w:val="left" w:pos="-720"/>
          <w:tab w:val="left" w:pos="4680"/>
          <w:tab w:val="left" w:pos="5040"/>
        </w:tabs>
        <w:ind w:firstLine="4320"/>
        <w:jc w:val="both"/>
        <w:rPr>
          <w:rFonts w:eastAsia="Calibri" w:cs="Arial"/>
          <w:szCs w:val="20"/>
        </w:rPr>
      </w:pPr>
      <w:r w:rsidRPr="00077C6E">
        <w:rPr>
          <w:rFonts w:eastAsia="Calibri" w:cs="Arial"/>
        </w:rPr>
        <w:t>Telephone:  (614) 469-8000</w:t>
      </w:r>
    </w:p>
    <w:p w:rsidR="00E4734B" w:rsidRPr="00077C6E" w:rsidRDefault="00E4734B" w:rsidP="00E4734B">
      <w:pPr>
        <w:tabs>
          <w:tab w:val="left" w:pos="-1440"/>
          <w:tab w:val="left" w:pos="-720"/>
          <w:tab w:val="left" w:pos="4680"/>
          <w:tab w:val="left" w:pos="5040"/>
        </w:tabs>
        <w:ind w:firstLine="4320"/>
        <w:jc w:val="both"/>
        <w:rPr>
          <w:rFonts w:eastAsia="Calibri" w:cs="Arial"/>
        </w:rPr>
      </w:pPr>
      <w:r w:rsidRPr="00077C6E">
        <w:rPr>
          <w:rFonts w:eastAsia="Calibri" w:cs="Arial"/>
        </w:rPr>
        <w:t>Telecopier:  (614) 469-4653</w:t>
      </w:r>
    </w:p>
    <w:p w:rsidR="00E4734B" w:rsidRPr="00077C6E" w:rsidRDefault="00E4734B" w:rsidP="00E4734B">
      <w:pPr>
        <w:tabs>
          <w:tab w:val="left" w:pos="-1440"/>
          <w:tab w:val="left" w:pos="-720"/>
          <w:tab w:val="left" w:pos="4680"/>
          <w:tab w:val="left" w:pos="5040"/>
        </w:tabs>
        <w:ind w:firstLine="4320"/>
        <w:jc w:val="both"/>
        <w:rPr>
          <w:rFonts w:eastAsia="Calibri" w:cs="Arial"/>
        </w:rPr>
      </w:pPr>
      <w:r w:rsidRPr="00077C6E">
        <w:rPr>
          <w:rFonts w:eastAsia="Calibri" w:cs="Arial"/>
        </w:rPr>
        <w:t>fdarr@mwncmh.com</w:t>
      </w:r>
    </w:p>
    <w:p w:rsidR="00E4734B" w:rsidRPr="00077C6E" w:rsidRDefault="00E4734B" w:rsidP="00E4734B">
      <w:pPr>
        <w:tabs>
          <w:tab w:val="left" w:pos="-1440"/>
          <w:tab w:val="left" w:pos="-720"/>
          <w:tab w:val="left" w:pos="4680"/>
          <w:tab w:val="left" w:pos="5040"/>
        </w:tabs>
        <w:ind w:firstLine="4320"/>
        <w:jc w:val="both"/>
        <w:rPr>
          <w:rFonts w:eastAsia="Calibri" w:cs="Arial"/>
          <w:szCs w:val="20"/>
        </w:rPr>
      </w:pPr>
      <w:r w:rsidRPr="00077C6E">
        <w:rPr>
          <w:rFonts w:eastAsia="Calibri" w:cs="Arial"/>
          <w:szCs w:val="20"/>
        </w:rPr>
        <w:t>mpritchard@mwncmh.com</w:t>
      </w:r>
    </w:p>
    <w:p w:rsidR="00E4734B" w:rsidRPr="00077C6E" w:rsidRDefault="00E4734B" w:rsidP="00E4734B">
      <w:pPr>
        <w:tabs>
          <w:tab w:val="left" w:pos="-1440"/>
          <w:tab w:val="left" w:pos="-720"/>
          <w:tab w:val="left" w:pos="4680"/>
          <w:tab w:val="left" w:pos="5040"/>
        </w:tabs>
        <w:ind w:firstLine="4320"/>
        <w:jc w:val="both"/>
        <w:rPr>
          <w:rFonts w:eastAsia="Calibri" w:cs="Arial"/>
          <w:szCs w:val="20"/>
        </w:rPr>
      </w:pPr>
    </w:p>
    <w:p w:rsidR="00E4734B" w:rsidRPr="00077C6E" w:rsidRDefault="00E4734B" w:rsidP="00E4734B">
      <w:pPr>
        <w:tabs>
          <w:tab w:val="left" w:pos="-1440"/>
          <w:tab w:val="left" w:pos="-720"/>
          <w:tab w:val="left" w:pos="4680"/>
          <w:tab w:val="left" w:pos="5040"/>
        </w:tabs>
        <w:ind w:right="-1008" w:firstLine="4320"/>
        <w:jc w:val="both"/>
        <w:rPr>
          <w:rFonts w:eastAsia="Calibri" w:cs="Arial"/>
          <w:b/>
          <w:szCs w:val="20"/>
        </w:rPr>
      </w:pPr>
      <w:r w:rsidRPr="00077C6E">
        <w:rPr>
          <w:rFonts w:eastAsia="Calibri" w:cs="Arial"/>
          <w:b/>
          <w:szCs w:val="20"/>
        </w:rPr>
        <w:t>Attorney</w:t>
      </w:r>
      <w:r w:rsidR="0092391E">
        <w:rPr>
          <w:rFonts w:eastAsia="Calibri" w:cs="Arial"/>
          <w:b/>
          <w:szCs w:val="20"/>
        </w:rPr>
        <w:t>s</w:t>
      </w:r>
      <w:r w:rsidRPr="00077C6E">
        <w:rPr>
          <w:rFonts w:eastAsia="Calibri" w:cs="Arial"/>
          <w:b/>
          <w:szCs w:val="20"/>
        </w:rPr>
        <w:t xml:space="preserve"> for Industrial Energy Users-Ohio</w:t>
      </w:r>
    </w:p>
    <w:p w:rsidR="00E4734B" w:rsidRPr="00077C6E" w:rsidRDefault="00E4734B" w:rsidP="00E4734B">
      <w:pPr>
        <w:jc w:val="both"/>
        <w:rPr>
          <w:rFonts w:eastAsia="Calibri" w:cs="Times New Roman"/>
        </w:rPr>
      </w:pPr>
    </w:p>
    <w:p w:rsidR="008D50E5" w:rsidRDefault="008D50E5">
      <w:pPr>
        <w:rPr>
          <w:rFonts w:eastAsia="Times New Roman" w:cs="Arial"/>
        </w:rPr>
        <w:sectPr w:rsidR="008D50E5" w:rsidSect="00747C34">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pPr>
    </w:p>
    <w:p w:rsidR="00784BCE" w:rsidRDefault="00784BCE">
      <w:pPr>
        <w:rPr>
          <w:rFonts w:eastAsia="Times New Roman" w:cs="Arial"/>
        </w:rPr>
      </w:pPr>
    </w:p>
    <w:p w:rsidR="00784BCE" w:rsidRPr="00784BCE" w:rsidRDefault="00784BCE" w:rsidP="00784BCE">
      <w:pPr>
        <w:jc w:val="center"/>
        <w:rPr>
          <w:rFonts w:ascii="Arial Bold" w:eastAsia="Calibri" w:hAnsi="Arial Bold" w:cs="Arial"/>
          <w:b/>
          <w:smallCaps/>
          <w:sz w:val="28"/>
          <w:szCs w:val="28"/>
          <w:u w:val="single"/>
        </w:rPr>
      </w:pPr>
      <w:r w:rsidRPr="00784BCE">
        <w:rPr>
          <w:rFonts w:ascii="Arial Bold" w:eastAsia="Calibri" w:hAnsi="Arial Bold" w:cs="Arial"/>
          <w:b/>
          <w:smallCaps/>
          <w:sz w:val="28"/>
          <w:szCs w:val="28"/>
          <w:u w:val="single"/>
        </w:rPr>
        <w:t>Certificate Of Service</w:t>
      </w:r>
    </w:p>
    <w:p w:rsidR="00784BCE" w:rsidRPr="00784BCE" w:rsidRDefault="00784BCE" w:rsidP="00784BCE">
      <w:pPr>
        <w:jc w:val="center"/>
        <w:rPr>
          <w:rFonts w:ascii="Arial Bold" w:eastAsia="Calibri" w:hAnsi="Arial Bold" w:cs="Arial"/>
          <w:b/>
          <w:smallCaps/>
          <w:u w:val="single"/>
        </w:rPr>
      </w:pPr>
    </w:p>
    <w:p w:rsidR="00784BCE" w:rsidRPr="00784BCE" w:rsidRDefault="00784BCE" w:rsidP="00784BCE">
      <w:pPr>
        <w:tabs>
          <w:tab w:val="left" w:pos="-1440"/>
          <w:tab w:val="left" w:pos="-720"/>
          <w:tab w:val="left" w:pos="5040"/>
          <w:tab w:val="center" w:pos="7200"/>
        </w:tabs>
        <w:overflowPunct w:val="0"/>
        <w:autoSpaceDE w:val="0"/>
        <w:autoSpaceDN w:val="0"/>
        <w:adjustRightInd w:val="0"/>
        <w:spacing w:line="480" w:lineRule="auto"/>
        <w:ind w:firstLine="720"/>
        <w:jc w:val="both"/>
        <w:rPr>
          <w:rFonts w:eastAsia="Calibri" w:cs="Times New Roman"/>
        </w:rPr>
      </w:pPr>
      <w:r w:rsidRPr="00784BCE">
        <w:rPr>
          <w:rFonts w:eastAsia="Calibri" w:cs="Times New Roman"/>
        </w:rPr>
        <w:t xml:space="preserve">In accordance with Rule 4901-1-05, Ohio Administrative Code, the </w:t>
      </w:r>
      <w:r>
        <w:rPr>
          <w:rFonts w:eastAsia="Calibri" w:cs="Times New Roman"/>
        </w:rPr>
        <w:t>Commission’s</w:t>
      </w:r>
      <w:r w:rsidRPr="00784BCE">
        <w:rPr>
          <w:rFonts w:eastAsia="Calibri" w:cs="Times New Roman"/>
        </w:rPr>
        <w:t xml:space="preserve"> e-filing system will electronically serve notice of the filing of this document upon the following parties.  In addition, I hereby certify that a service copy of the foregoing </w:t>
      </w:r>
      <w:r>
        <w:rPr>
          <w:rFonts w:eastAsia="Calibri" w:cs="Times New Roman"/>
          <w:i/>
        </w:rPr>
        <w:t>Application for Rehearing</w:t>
      </w:r>
      <w:r w:rsidRPr="00784BCE">
        <w:rPr>
          <w:rFonts w:eastAsia="Calibri" w:cs="Times New Roman"/>
          <w:i/>
        </w:rPr>
        <w:t xml:space="preserve"> of Industrial Energy Users-Ohio </w:t>
      </w:r>
      <w:r w:rsidRPr="00784BCE">
        <w:rPr>
          <w:rFonts w:eastAsia="Calibri" w:cs="Times New Roman"/>
        </w:rPr>
        <w:t xml:space="preserve">was sent by, or on behalf of, the undersigned counsel for IEU-Ohio to the following parties of record this </w:t>
      </w:r>
      <w:r>
        <w:rPr>
          <w:rFonts w:eastAsia="Calibri" w:cs="Times New Roman"/>
        </w:rPr>
        <w:t>4th</w:t>
      </w:r>
      <w:r w:rsidRPr="00784BCE">
        <w:rPr>
          <w:rFonts w:eastAsia="Calibri" w:cs="Times New Roman"/>
          <w:vertAlign w:val="superscript"/>
        </w:rPr>
        <w:t>th</w:t>
      </w:r>
      <w:r w:rsidRPr="00784BCE">
        <w:rPr>
          <w:rFonts w:eastAsia="Calibri" w:cs="Times New Roman"/>
        </w:rPr>
        <w:t xml:space="preserve"> day of </w:t>
      </w:r>
      <w:r>
        <w:rPr>
          <w:rFonts w:eastAsia="Calibri" w:cs="Times New Roman"/>
        </w:rPr>
        <w:t>May 2015</w:t>
      </w:r>
      <w:r w:rsidRPr="00784BCE">
        <w:rPr>
          <w:rFonts w:eastAsia="Calibri" w:cs="Times New Roman"/>
        </w:rPr>
        <w:t xml:space="preserve">, </w:t>
      </w:r>
      <w:r w:rsidRPr="00784BCE">
        <w:rPr>
          <w:rFonts w:eastAsia="Calibri" w:cs="Times New Roman"/>
          <w:i/>
        </w:rPr>
        <w:t>via</w:t>
      </w:r>
      <w:r w:rsidRPr="00784BCE">
        <w:rPr>
          <w:rFonts w:eastAsia="Calibri" w:cs="Times New Roman"/>
        </w:rPr>
        <w:t xml:space="preserve"> electronic transmission.</w:t>
      </w:r>
      <w:r w:rsidRPr="00784BCE">
        <w:rPr>
          <w:rFonts w:eastAsia="Calibri" w:cs="Times New Roman"/>
          <w:sz w:val="20"/>
          <w:szCs w:val="20"/>
        </w:rPr>
        <w:t xml:space="preserve"> </w:t>
      </w:r>
    </w:p>
    <w:p w:rsidR="00784BCE" w:rsidRPr="00784BCE" w:rsidRDefault="00784BCE" w:rsidP="00784BCE">
      <w:pPr>
        <w:tabs>
          <w:tab w:val="left" w:pos="-1440"/>
          <w:tab w:val="left" w:pos="-720"/>
          <w:tab w:val="left" w:pos="5040"/>
          <w:tab w:val="center" w:pos="7200"/>
          <w:tab w:val="right" w:pos="9360"/>
        </w:tabs>
        <w:ind w:firstLine="5040"/>
        <w:rPr>
          <w:rFonts w:eastAsia="Calibri" w:cs="Arial"/>
          <w:i/>
        </w:rPr>
      </w:pPr>
      <w:r w:rsidRPr="00784BCE">
        <w:rPr>
          <w:rFonts w:eastAsia="Calibri" w:cs="Arial"/>
          <w:i/>
          <w:u w:val="single"/>
        </w:rPr>
        <w:t>/s/ Frank P. Darr</w:t>
      </w:r>
      <w:r w:rsidRPr="00784BCE">
        <w:rPr>
          <w:rFonts w:eastAsia="Calibri" w:cs="Arial"/>
          <w:i/>
          <w:u w:val="single"/>
        </w:rPr>
        <w:tab/>
      </w:r>
      <w:r w:rsidRPr="00784BCE">
        <w:rPr>
          <w:rFonts w:eastAsia="Calibri" w:cs="Arial"/>
          <w:i/>
          <w:u w:val="single"/>
        </w:rPr>
        <w:tab/>
      </w:r>
    </w:p>
    <w:p w:rsidR="00BB5D30" w:rsidRDefault="00784BCE" w:rsidP="00784BCE">
      <w:pPr>
        <w:tabs>
          <w:tab w:val="left" w:pos="4320"/>
          <w:tab w:val="center" w:pos="6840"/>
        </w:tabs>
        <w:rPr>
          <w:rFonts w:eastAsia="Calibri" w:cs="Arial"/>
        </w:rPr>
        <w:sectPr w:rsidR="00BB5D30" w:rsidSect="00747C34">
          <w:headerReference w:type="default" r:id="rId23"/>
          <w:footerReference w:type="default" r:id="rId24"/>
          <w:headerReference w:type="first" r:id="rId25"/>
          <w:footerReference w:type="first" r:id="rId26"/>
          <w:pgSz w:w="12240" w:h="15840" w:code="1"/>
          <w:pgMar w:top="1440" w:right="1440" w:bottom="1440" w:left="1440" w:header="720" w:footer="720" w:gutter="0"/>
          <w:pgNumType w:start="1"/>
          <w:cols w:space="720"/>
          <w:titlePg/>
          <w:docGrid w:linePitch="360"/>
        </w:sectPr>
      </w:pPr>
      <w:r w:rsidRPr="00784BCE">
        <w:rPr>
          <w:rFonts w:ascii="Times New Roman" w:eastAsia="Calibri" w:hAnsi="Times New Roman" w:cs="Arial"/>
        </w:rPr>
        <w:tab/>
      </w:r>
      <w:r w:rsidRPr="00784BCE">
        <w:rPr>
          <w:rFonts w:ascii="Times New Roman" w:eastAsia="Calibri" w:hAnsi="Times New Roman" w:cs="Arial"/>
        </w:rPr>
        <w:tab/>
      </w:r>
      <w:r w:rsidRPr="00784BCE">
        <w:rPr>
          <w:rFonts w:eastAsia="Calibri" w:cs="Arial"/>
        </w:rPr>
        <w:t>Frank P. Darr</w:t>
      </w:r>
    </w:p>
    <w:p w:rsidR="008D50E5" w:rsidRDefault="008D50E5" w:rsidP="00BB5D30">
      <w:pPr>
        <w:tabs>
          <w:tab w:val="left" w:pos="2160"/>
          <w:tab w:val="left" w:pos="2280"/>
        </w:tabs>
        <w:rPr>
          <w:rFonts w:eastAsia="Times New Roman" w:cs="Arial"/>
        </w:rPr>
      </w:pPr>
    </w:p>
    <w:p w:rsidR="00BB5D30" w:rsidRPr="00441533" w:rsidRDefault="00BB5D30" w:rsidP="00BB5D30">
      <w:pPr>
        <w:tabs>
          <w:tab w:val="left" w:pos="2160"/>
          <w:tab w:val="left" w:pos="2280"/>
        </w:tabs>
        <w:rPr>
          <w:rFonts w:eastAsia="Times New Roman" w:cs="Arial"/>
        </w:rPr>
      </w:pPr>
      <w:r w:rsidRPr="00441533">
        <w:rPr>
          <w:rFonts w:eastAsia="Times New Roman" w:cs="Arial"/>
        </w:rPr>
        <w:t>Amy B. Spiller</w:t>
      </w:r>
      <w:r>
        <w:rPr>
          <w:rFonts w:eastAsia="Times New Roman" w:cs="Arial"/>
        </w:rPr>
        <w:t xml:space="preserve"> (0047277)</w:t>
      </w:r>
    </w:p>
    <w:p w:rsidR="00BB5D30" w:rsidRDefault="00BB5D30" w:rsidP="00BB5D30">
      <w:pPr>
        <w:tabs>
          <w:tab w:val="left" w:pos="2160"/>
          <w:tab w:val="left" w:pos="2280"/>
        </w:tabs>
        <w:rPr>
          <w:rFonts w:eastAsia="Times New Roman" w:cs="Arial"/>
        </w:rPr>
      </w:pPr>
      <w:r>
        <w:rPr>
          <w:rFonts w:eastAsia="Times New Roman" w:cs="Arial"/>
        </w:rPr>
        <w:t>Rocco D’Ascenzo (0077651)</w:t>
      </w:r>
    </w:p>
    <w:p w:rsidR="00BB5D30" w:rsidRDefault="00BB5D30" w:rsidP="00BB5D30">
      <w:pPr>
        <w:tabs>
          <w:tab w:val="left" w:pos="2160"/>
          <w:tab w:val="left" w:pos="2280"/>
        </w:tabs>
        <w:rPr>
          <w:rFonts w:eastAsia="Times New Roman" w:cs="Arial"/>
        </w:rPr>
      </w:pPr>
      <w:r>
        <w:rPr>
          <w:rFonts w:eastAsia="Times New Roman" w:cs="Arial"/>
        </w:rPr>
        <w:t>Jeanne Kingery (0012172)</w:t>
      </w:r>
    </w:p>
    <w:p w:rsidR="00BB5D30" w:rsidRDefault="00BB5D30" w:rsidP="00BB5D30">
      <w:pPr>
        <w:tabs>
          <w:tab w:val="left" w:pos="2160"/>
          <w:tab w:val="left" w:pos="2280"/>
        </w:tabs>
        <w:rPr>
          <w:rFonts w:eastAsia="Times New Roman" w:cs="Arial"/>
        </w:rPr>
      </w:pPr>
      <w:r>
        <w:rPr>
          <w:rFonts w:eastAsia="Times New Roman" w:cs="Arial"/>
        </w:rPr>
        <w:t>Elizabeth Watts (0031092)</w:t>
      </w:r>
    </w:p>
    <w:p w:rsidR="00BB5D30" w:rsidRPr="00441533" w:rsidRDefault="00BB5D30" w:rsidP="00BB5D30">
      <w:pPr>
        <w:tabs>
          <w:tab w:val="left" w:pos="2160"/>
          <w:tab w:val="left" w:pos="2280"/>
        </w:tabs>
        <w:rPr>
          <w:rFonts w:eastAsia="Times New Roman" w:cs="Arial"/>
        </w:rPr>
      </w:pPr>
      <w:r w:rsidRPr="00441533">
        <w:rPr>
          <w:rFonts w:eastAsia="Times New Roman" w:cs="Arial"/>
        </w:rPr>
        <w:t>Dian</w:t>
      </w:r>
      <w:r>
        <w:rPr>
          <w:rFonts w:eastAsia="Times New Roman" w:cs="Arial"/>
        </w:rPr>
        <w:t>ne</w:t>
      </w:r>
      <w:r w:rsidRPr="00441533">
        <w:rPr>
          <w:rFonts w:eastAsia="Times New Roman" w:cs="Arial"/>
        </w:rPr>
        <w:t xml:space="preserve"> Kuhnell</w:t>
      </w:r>
    </w:p>
    <w:p w:rsidR="00BB5D30" w:rsidRPr="00441533" w:rsidRDefault="00BB5D30" w:rsidP="00BB5D30">
      <w:pPr>
        <w:tabs>
          <w:tab w:val="left" w:pos="2160"/>
          <w:tab w:val="left" w:pos="2280"/>
        </w:tabs>
        <w:rPr>
          <w:rFonts w:eastAsia="Times New Roman" w:cs="Arial"/>
        </w:rPr>
      </w:pPr>
      <w:r w:rsidRPr="00441533">
        <w:rPr>
          <w:rFonts w:eastAsia="Times New Roman" w:cs="Arial"/>
        </w:rPr>
        <w:t>Duke Energy</w:t>
      </w:r>
    </w:p>
    <w:p w:rsidR="00BB5D30" w:rsidRPr="00441533" w:rsidRDefault="00BB5D30" w:rsidP="00BB5D30">
      <w:pPr>
        <w:tabs>
          <w:tab w:val="left" w:pos="2160"/>
          <w:tab w:val="left" w:pos="2280"/>
        </w:tabs>
        <w:rPr>
          <w:rFonts w:eastAsia="Times New Roman" w:cs="Arial"/>
        </w:rPr>
      </w:pPr>
      <w:r w:rsidRPr="00441533">
        <w:rPr>
          <w:rFonts w:eastAsia="Times New Roman" w:cs="Arial"/>
        </w:rPr>
        <w:t>139 E. Fourth Street, 1303-Main</w:t>
      </w:r>
    </w:p>
    <w:p w:rsidR="00BB5D30" w:rsidRPr="00441533" w:rsidRDefault="00BB5D30" w:rsidP="00BB5D30">
      <w:pPr>
        <w:tabs>
          <w:tab w:val="left" w:pos="2160"/>
          <w:tab w:val="left" w:pos="2280"/>
        </w:tabs>
        <w:rPr>
          <w:rFonts w:eastAsia="Times New Roman" w:cs="Arial"/>
        </w:rPr>
      </w:pPr>
      <w:r w:rsidRPr="00441533">
        <w:rPr>
          <w:rFonts w:eastAsia="Times New Roman" w:cs="Arial"/>
        </w:rPr>
        <w:t>PO Box 961</w:t>
      </w:r>
    </w:p>
    <w:p w:rsidR="00BB5D30" w:rsidRPr="00441533" w:rsidRDefault="00BB5D30" w:rsidP="00BB5D30">
      <w:pPr>
        <w:tabs>
          <w:tab w:val="left" w:pos="2160"/>
          <w:tab w:val="left" w:pos="2280"/>
        </w:tabs>
        <w:rPr>
          <w:rFonts w:eastAsia="Times New Roman" w:cs="Arial"/>
        </w:rPr>
      </w:pPr>
      <w:r w:rsidRPr="00441533">
        <w:rPr>
          <w:rFonts w:eastAsia="Times New Roman" w:cs="Arial"/>
        </w:rPr>
        <w:t>Cincinnati, OH  45201-0960</w:t>
      </w:r>
    </w:p>
    <w:p w:rsidR="00BB5D30" w:rsidRPr="00C27FE6" w:rsidRDefault="00BF588E" w:rsidP="00BB5D30">
      <w:pPr>
        <w:tabs>
          <w:tab w:val="left" w:pos="2160"/>
          <w:tab w:val="left" w:pos="2280"/>
        </w:tabs>
        <w:rPr>
          <w:rFonts w:eastAsia="Times New Roman" w:cs="Arial"/>
        </w:rPr>
      </w:pPr>
      <w:hyperlink r:id="rId27" w:history="1">
        <w:r w:rsidR="00BB5D30" w:rsidRPr="00C27FE6">
          <w:rPr>
            <w:rFonts w:eastAsia="Times New Roman" w:cs="Arial"/>
          </w:rPr>
          <w:t>Amy.Spiller@duke-energy.com</w:t>
        </w:r>
      </w:hyperlink>
    </w:p>
    <w:p w:rsidR="00BB5D30" w:rsidRPr="00E06483" w:rsidRDefault="00BF588E" w:rsidP="00BB5D30">
      <w:pPr>
        <w:tabs>
          <w:tab w:val="left" w:pos="2160"/>
          <w:tab w:val="left" w:pos="2280"/>
        </w:tabs>
        <w:rPr>
          <w:rFonts w:cs="Arial"/>
        </w:rPr>
      </w:pPr>
      <w:hyperlink r:id="rId28" w:history="1">
        <w:r w:rsidR="00BB5D30" w:rsidRPr="00E06483">
          <w:rPr>
            <w:rStyle w:val="Hyperlink"/>
            <w:color w:val="auto"/>
            <w:u w:val="none"/>
          </w:rPr>
          <w:t>Rocco.dascenzo@duke-energy.com</w:t>
        </w:r>
      </w:hyperlink>
    </w:p>
    <w:p w:rsidR="00BB5D30" w:rsidRPr="00E06483" w:rsidRDefault="00BF588E" w:rsidP="00BB5D30">
      <w:pPr>
        <w:tabs>
          <w:tab w:val="left" w:pos="2160"/>
          <w:tab w:val="left" w:pos="2280"/>
        </w:tabs>
        <w:rPr>
          <w:rFonts w:cs="Arial"/>
        </w:rPr>
      </w:pPr>
      <w:hyperlink r:id="rId29" w:history="1">
        <w:r w:rsidR="00BB5D30" w:rsidRPr="00E06483">
          <w:rPr>
            <w:rStyle w:val="Hyperlink"/>
            <w:color w:val="auto"/>
            <w:u w:val="none"/>
          </w:rPr>
          <w:t>Jeanne.kingery@duke-energy.com</w:t>
        </w:r>
      </w:hyperlink>
    </w:p>
    <w:p w:rsidR="00BB5D30" w:rsidRPr="00E06483" w:rsidRDefault="00BF588E" w:rsidP="00BB5D30">
      <w:pPr>
        <w:tabs>
          <w:tab w:val="left" w:pos="2160"/>
          <w:tab w:val="left" w:pos="2280"/>
        </w:tabs>
        <w:rPr>
          <w:rFonts w:cs="Arial"/>
        </w:rPr>
      </w:pPr>
      <w:hyperlink r:id="rId30" w:history="1">
        <w:r w:rsidR="00BB5D30" w:rsidRPr="00E06483">
          <w:rPr>
            <w:rStyle w:val="Hyperlink"/>
            <w:color w:val="auto"/>
            <w:u w:val="none"/>
          </w:rPr>
          <w:t>Elizabeth.watts@duke-energy.com</w:t>
        </w:r>
      </w:hyperlink>
    </w:p>
    <w:p w:rsidR="00BB5D30" w:rsidRPr="00C27FE6" w:rsidRDefault="00BF588E" w:rsidP="00BB5D30">
      <w:pPr>
        <w:tabs>
          <w:tab w:val="left" w:pos="2160"/>
          <w:tab w:val="left" w:pos="2280"/>
        </w:tabs>
        <w:rPr>
          <w:rFonts w:eastAsia="Times New Roman" w:cs="Arial"/>
        </w:rPr>
      </w:pPr>
      <w:hyperlink r:id="rId31" w:history="1">
        <w:r w:rsidR="00BB5D30" w:rsidRPr="00C27FE6">
          <w:rPr>
            <w:rFonts w:eastAsia="Times New Roman" w:cs="Arial"/>
          </w:rPr>
          <w:t>Dianne.Kuhnell@duke-energy.com</w:t>
        </w:r>
      </w:hyperlink>
    </w:p>
    <w:p w:rsidR="00BB5D30" w:rsidRPr="00C27FE6" w:rsidRDefault="00BB5D30" w:rsidP="00BB5D30">
      <w:pPr>
        <w:tabs>
          <w:tab w:val="left" w:pos="2160"/>
          <w:tab w:val="left" w:pos="2280"/>
        </w:tabs>
        <w:rPr>
          <w:rFonts w:eastAsia="Times New Roman" w:cs="Arial"/>
        </w:rPr>
      </w:pPr>
    </w:p>
    <w:p w:rsidR="00BB5D30" w:rsidRPr="00441533" w:rsidRDefault="00BB5D30" w:rsidP="00BB5D30">
      <w:pPr>
        <w:tabs>
          <w:tab w:val="left" w:pos="2160"/>
          <w:tab w:val="left" w:pos="2280"/>
        </w:tabs>
        <w:rPr>
          <w:rFonts w:ascii="Arial Bold" w:eastAsia="Times New Roman" w:hAnsi="Arial Bold" w:cs="Arial"/>
          <w:b/>
          <w:smallCaps/>
        </w:rPr>
      </w:pPr>
      <w:r>
        <w:rPr>
          <w:rFonts w:ascii="Arial Bold" w:eastAsia="Times New Roman" w:hAnsi="Arial Bold" w:cs="Arial"/>
          <w:b/>
          <w:smallCaps/>
        </w:rPr>
        <w:t>On Behalf of</w:t>
      </w:r>
      <w:r w:rsidRPr="00441533">
        <w:rPr>
          <w:rFonts w:ascii="Arial Bold" w:eastAsia="Times New Roman" w:hAnsi="Arial Bold" w:cs="Arial"/>
          <w:b/>
          <w:smallCaps/>
        </w:rPr>
        <w:t xml:space="preserve"> Duke Energy</w:t>
      </w:r>
      <w:r>
        <w:rPr>
          <w:rFonts w:ascii="Arial Bold" w:eastAsia="Times New Roman" w:hAnsi="Arial Bold" w:cs="Arial"/>
          <w:b/>
          <w:smallCaps/>
        </w:rPr>
        <w:t xml:space="preserve"> Ohio</w:t>
      </w:r>
    </w:p>
    <w:p w:rsidR="00BB5D30" w:rsidRPr="00441533" w:rsidRDefault="00BB5D30" w:rsidP="00BB5D30">
      <w:pPr>
        <w:tabs>
          <w:tab w:val="left" w:pos="2160"/>
          <w:tab w:val="left" w:pos="2280"/>
        </w:tabs>
        <w:rPr>
          <w:rFonts w:eastAsia="Times New Roman" w:cs="Arial"/>
        </w:rPr>
      </w:pPr>
    </w:p>
    <w:p w:rsidR="00BB5D30" w:rsidRPr="00441533" w:rsidRDefault="00BB5D30" w:rsidP="00BB5D30">
      <w:pPr>
        <w:tabs>
          <w:tab w:val="left" w:pos="2160"/>
          <w:tab w:val="left" w:pos="2280"/>
        </w:tabs>
        <w:rPr>
          <w:rFonts w:eastAsia="Times New Roman" w:cs="Arial"/>
        </w:rPr>
      </w:pPr>
      <w:r w:rsidRPr="00441533">
        <w:rPr>
          <w:rFonts w:eastAsia="Times New Roman" w:cs="Arial"/>
        </w:rPr>
        <w:t>Jody Kyler Cohn</w:t>
      </w:r>
      <w:r>
        <w:rPr>
          <w:rFonts w:eastAsia="Times New Roman" w:cs="Arial"/>
        </w:rPr>
        <w:t xml:space="preserve"> (0085402)</w:t>
      </w:r>
    </w:p>
    <w:p w:rsidR="00BB5D30" w:rsidRPr="00441533" w:rsidRDefault="00BB5D30" w:rsidP="00BB5D30">
      <w:pPr>
        <w:tabs>
          <w:tab w:val="left" w:pos="2160"/>
          <w:tab w:val="left" w:pos="2280"/>
        </w:tabs>
        <w:rPr>
          <w:rFonts w:eastAsia="Times New Roman" w:cs="Arial"/>
        </w:rPr>
      </w:pPr>
      <w:r w:rsidRPr="00441533">
        <w:rPr>
          <w:rFonts w:eastAsia="Times New Roman" w:cs="Arial"/>
        </w:rPr>
        <w:t>David Boehm</w:t>
      </w:r>
      <w:r>
        <w:rPr>
          <w:rFonts w:eastAsia="Times New Roman" w:cs="Arial"/>
        </w:rPr>
        <w:t xml:space="preserve"> (0021881)</w:t>
      </w:r>
    </w:p>
    <w:p w:rsidR="00BB5D30" w:rsidRPr="00441533" w:rsidRDefault="00BB5D30" w:rsidP="00BB5D30">
      <w:pPr>
        <w:tabs>
          <w:tab w:val="left" w:pos="2160"/>
          <w:tab w:val="left" w:pos="2280"/>
        </w:tabs>
        <w:rPr>
          <w:rFonts w:eastAsia="Times New Roman" w:cs="Arial"/>
        </w:rPr>
      </w:pPr>
      <w:r w:rsidRPr="00441533">
        <w:rPr>
          <w:rFonts w:eastAsia="Times New Roman" w:cs="Arial"/>
        </w:rPr>
        <w:t>Michael Kurtz</w:t>
      </w:r>
      <w:r>
        <w:rPr>
          <w:rFonts w:eastAsia="Times New Roman" w:cs="Arial"/>
        </w:rPr>
        <w:t xml:space="preserve"> (0033350)</w:t>
      </w:r>
    </w:p>
    <w:p w:rsidR="00BB5D30" w:rsidRPr="00441533" w:rsidRDefault="00BB5D30" w:rsidP="00BB5D30">
      <w:pPr>
        <w:tabs>
          <w:tab w:val="left" w:pos="2160"/>
          <w:tab w:val="left" w:pos="2280"/>
        </w:tabs>
        <w:rPr>
          <w:rFonts w:eastAsia="Times New Roman" w:cs="Arial"/>
        </w:rPr>
      </w:pPr>
      <w:r w:rsidRPr="00441533">
        <w:rPr>
          <w:rFonts w:eastAsia="Times New Roman" w:cs="Arial"/>
        </w:rPr>
        <w:t>Boehm, Kurtz &amp; Lowry</w:t>
      </w:r>
    </w:p>
    <w:p w:rsidR="00BB5D30" w:rsidRPr="00441533" w:rsidRDefault="00BB5D30" w:rsidP="00BB5D30">
      <w:pPr>
        <w:tabs>
          <w:tab w:val="left" w:pos="2160"/>
          <w:tab w:val="left" w:pos="2280"/>
        </w:tabs>
        <w:rPr>
          <w:rFonts w:eastAsia="Times New Roman" w:cs="Arial"/>
        </w:rPr>
      </w:pPr>
      <w:r w:rsidRPr="00441533">
        <w:rPr>
          <w:rFonts w:eastAsia="Times New Roman" w:cs="Arial"/>
        </w:rPr>
        <w:t>36 East Seventh St., Suite 1510</w:t>
      </w:r>
    </w:p>
    <w:p w:rsidR="00BB5D30" w:rsidRPr="00441533" w:rsidRDefault="00BB5D30" w:rsidP="00BB5D30">
      <w:pPr>
        <w:tabs>
          <w:tab w:val="left" w:pos="2160"/>
          <w:tab w:val="left" w:pos="2280"/>
        </w:tabs>
        <w:rPr>
          <w:rFonts w:eastAsia="Times New Roman" w:cs="Arial"/>
        </w:rPr>
      </w:pPr>
      <w:r w:rsidRPr="00441533">
        <w:rPr>
          <w:rFonts w:eastAsia="Times New Roman" w:cs="Arial"/>
        </w:rPr>
        <w:t>Cincinnati, OH  45202</w:t>
      </w:r>
    </w:p>
    <w:p w:rsidR="00BB5D30" w:rsidRPr="00C27FE6" w:rsidRDefault="00BF588E" w:rsidP="00BB5D30">
      <w:pPr>
        <w:tabs>
          <w:tab w:val="left" w:pos="2160"/>
          <w:tab w:val="left" w:pos="2280"/>
        </w:tabs>
        <w:rPr>
          <w:rFonts w:eastAsia="Times New Roman" w:cs="Arial"/>
        </w:rPr>
      </w:pPr>
      <w:hyperlink r:id="rId32" w:history="1">
        <w:r w:rsidR="00BB5D30" w:rsidRPr="00C27FE6">
          <w:rPr>
            <w:rFonts w:eastAsia="Times New Roman" w:cs="Arial"/>
          </w:rPr>
          <w:t>jkylercohn@BKLlawfirm.com</w:t>
        </w:r>
      </w:hyperlink>
    </w:p>
    <w:p w:rsidR="00BB5D30" w:rsidRPr="00C27FE6" w:rsidRDefault="00BF588E" w:rsidP="00BB5D30">
      <w:pPr>
        <w:tabs>
          <w:tab w:val="left" w:pos="2160"/>
          <w:tab w:val="left" w:pos="2280"/>
        </w:tabs>
        <w:rPr>
          <w:rFonts w:eastAsia="Times New Roman" w:cs="Arial"/>
        </w:rPr>
      </w:pPr>
      <w:hyperlink r:id="rId33" w:history="1">
        <w:r w:rsidR="00BB5D30" w:rsidRPr="00C27FE6">
          <w:rPr>
            <w:rFonts w:eastAsia="Times New Roman" w:cs="Arial"/>
          </w:rPr>
          <w:t>dboehm@BKLlawfirm.com</w:t>
        </w:r>
      </w:hyperlink>
    </w:p>
    <w:p w:rsidR="00BB5D30" w:rsidRPr="00C27FE6" w:rsidRDefault="00BF588E" w:rsidP="00BB5D30">
      <w:pPr>
        <w:tabs>
          <w:tab w:val="left" w:pos="2160"/>
          <w:tab w:val="left" w:pos="2280"/>
        </w:tabs>
        <w:rPr>
          <w:rFonts w:eastAsia="Times New Roman" w:cs="Arial"/>
        </w:rPr>
      </w:pPr>
      <w:hyperlink r:id="rId34" w:history="1">
        <w:r w:rsidR="00BB5D30" w:rsidRPr="00C27FE6">
          <w:rPr>
            <w:rFonts w:eastAsia="Times New Roman" w:cs="Arial"/>
          </w:rPr>
          <w:t>mkurtz@BKLlawfirm.com</w:t>
        </w:r>
      </w:hyperlink>
    </w:p>
    <w:p w:rsidR="00BB5D30" w:rsidRPr="00441533" w:rsidRDefault="00BB5D30" w:rsidP="00BB5D30">
      <w:pPr>
        <w:tabs>
          <w:tab w:val="left" w:pos="2160"/>
          <w:tab w:val="left" w:pos="2280"/>
        </w:tabs>
        <w:rPr>
          <w:rFonts w:eastAsia="Times New Roman" w:cs="Arial"/>
        </w:rPr>
      </w:pPr>
    </w:p>
    <w:p w:rsidR="00BB5D30" w:rsidRPr="00441533" w:rsidRDefault="00BB5D30" w:rsidP="00BB5D30">
      <w:pPr>
        <w:tabs>
          <w:tab w:val="left" w:pos="2160"/>
          <w:tab w:val="left" w:pos="2280"/>
        </w:tabs>
        <w:rPr>
          <w:rFonts w:ascii="Arial Bold" w:eastAsia="Times New Roman" w:hAnsi="Arial Bold" w:cs="Arial"/>
          <w:b/>
          <w:smallCaps/>
        </w:rPr>
      </w:pPr>
      <w:r>
        <w:rPr>
          <w:rFonts w:ascii="Arial Bold" w:eastAsia="Times New Roman" w:hAnsi="Arial Bold" w:cs="Arial"/>
          <w:b/>
          <w:smallCaps/>
        </w:rPr>
        <w:t>On Behalf of</w:t>
      </w:r>
      <w:r w:rsidRPr="00441533">
        <w:rPr>
          <w:rFonts w:ascii="Arial Bold" w:eastAsia="Times New Roman" w:hAnsi="Arial Bold" w:cs="Arial"/>
          <w:b/>
          <w:smallCaps/>
        </w:rPr>
        <w:t xml:space="preserve"> Ohio Energy Group</w:t>
      </w:r>
    </w:p>
    <w:p w:rsidR="00BB5D30" w:rsidRPr="00441533" w:rsidRDefault="00BB5D30" w:rsidP="00BB5D30">
      <w:pPr>
        <w:tabs>
          <w:tab w:val="left" w:pos="2160"/>
          <w:tab w:val="left" w:pos="2280"/>
        </w:tabs>
        <w:rPr>
          <w:rFonts w:eastAsia="Times New Roman" w:cs="Arial"/>
        </w:rPr>
      </w:pPr>
    </w:p>
    <w:p w:rsidR="00BB5D30" w:rsidRPr="00441533" w:rsidRDefault="00BB5D30" w:rsidP="00BB5D30">
      <w:pPr>
        <w:tabs>
          <w:tab w:val="left" w:pos="2160"/>
          <w:tab w:val="left" w:pos="2280"/>
        </w:tabs>
        <w:rPr>
          <w:rFonts w:eastAsia="Times New Roman" w:cs="Arial"/>
        </w:rPr>
      </w:pPr>
      <w:r w:rsidRPr="00441533">
        <w:rPr>
          <w:rFonts w:eastAsia="Times New Roman" w:cs="Arial"/>
        </w:rPr>
        <w:t>Mark A. Hayden</w:t>
      </w:r>
      <w:r>
        <w:rPr>
          <w:rFonts w:eastAsia="Times New Roman" w:cs="Arial"/>
        </w:rPr>
        <w:t xml:space="preserve"> (0081077)</w:t>
      </w:r>
    </w:p>
    <w:p w:rsidR="00BB5D30" w:rsidRPr="00441533" w:rsidRDefault="00BB5D30" w:rsidP="00BB5D30">
      <w:pPr>
        <w:tabs>
          <w:tab w:val="left" w:pos="2160"/>
          <w:tab w:val="left" w:pos="2280"/>
        </w:tabs>
        <w:rPr>
          <w:rFonts w:eastAsia="Times New Roman" w:cs="Arial"/>
        </w:rPr>
      </w:pPr>
      <w:r w:rsidRPr="00441533">
        <w:rPr>
          <w:rFonts w:eastAsia="Times New Roman" w:cs="Arial"/>
        </w:rPr>
        <w:t>Scott J. Casto</w:t>
      </w:r>
      <w:r>
        <w:rPr>
          <w:rFonts w:eastAsia="Times New Roman" w:cs="Arial"/>
        </w:rPr>
        <w:t xml:space="preserve"> (0085756)</w:t>
      </w:r>
    </w:p>
    <w:p w:rsidR="00BB5D30" w:rsidRPr="00441533" w:rsidRDefault="00BB5D30" w:rsidP="00BB5D30">
      <w:pPr>
        <w:tabs>
          <w:tab w:val="left" w:pos="2160"/>
          <w:tab w:val="left" w:pos="2280"/>
        </w:tabs>
        <w:rPr>
          <w:rFonts w:eastAsia="Times New Roman" w:cs="Arial"/>
        </w:rPr>
      </w:pPr>
      <w:r w:rsidRPr="00441533">
        <w:rPr>
          <w:rFonts w:eastAsia="Times New Roman" w:cs="Arial"/>
        </w:rPr>
        <w:t>Jacob McDermott</w:t>
      </w:r>
      <w:r>
        <w:rPr>
          <w:rFonts w:eastAsia="Times New Roman" w:cs="Arial"/>
        </w:rPr>
        <w:t xml:space="preserve"> (0087187)</w:t>
      </w:r>
    </w:p>
    <w:p w:rsidR="00BB5D30" w:rsidRPr="00441533" w:rsidRDefault="00BB5D30" w:rsidP="00BB5D30">
      <w:pPr>
        <w:tabs>
          <w:tab w:val="left" w:pos="2160"/>
          <w:tab w:val="left" w:pos="2280"/>
        </w:tabs>
        <w:rPr>
          <w:rFonts w:eastAsia="Times New Roman" w:cs="Arial"/>
        </w:rPr>
      </w:pPr>
      <w:r w:rsidRPr="00441533">
        <w:rPr>
          <w:rFonts w:eastAsia="Times New Roman" w:cs="Arial"/>
        </w:rPr>
        <w:t>FirstEnergy Service Company</w:t>
      </w:r>
    </w:p>
    <w:p w:rsidR="00BB5D30" w:rsidRPr="00441533" w:rsidRDefault="00BB5D30" w:rsidP="00BB5D30">
      <w:pPr>
        <w:tabs>
          <w:tab w:val="left" w:pos="2160"/>
          <w:tab w:val="left" w:pos="2280"/>
        </w:tabs>
        <w:rPr>
          <w:rFonts w:eastAsia="Times New Roman" w:cs="Arial"/>
        </w:rPr>
      </w:pPr>
      <w:r w:rsidRPr="00441533">
        <w:rPr>
          <w:rFonts w:eastAsia="Times New Roman" w:cs="Arial"/>
        </w:rPr>
        <w:t>76 South Main Street</w:t>
      </w:r>
    </w:p>
    <w:p w:rsidR="00BB5D30" w:rsidRPr="00441533" w:rsidRDefault="00BB5D30" w:rsidP="00BB5D30">
      <w:pPr>
        <w:tabs>
          <w:tab w:val="left" w:pos="2160"/>
          <w:tab w:val="left" w:pos="2280"/>
        </w:tabs>
        <w:rPr>
          <w:rFonts w:eastAsia="Times New Roman" w:cs="Arial"/>
        </w:rPr>
      </w:pPr>
      <w:r w:rsidRPr="00441533">
        <w:rPr>
          <w:rFonts w:eastAsia="Times New Roman" w:cs="Arial"/>
        </w:rPr>
        <w:t>Akron, OH  44308</w:t>
      </w:r>
    </w:p>
    <w:p w:rsidR="00BB5D30" w:rsidRPr="00C27FE6" w:rsidRDefault="00BF588E" w:rsidP="00BB5D30">
      <w:pPr>
        <w:tabs>
          <w:tab w:val="left" w:pos="2160"/>
          <w:tab w:val="left" w:pos="2280"/>
        </w:tabs>
        <w:rPr>
          <w:rFonts w:eastAsia="Times New Roman" w:cs="Arial"/>
        </w:rPr>
      </w:pPr>
      <w:hyperlink r:id="rId35" w:history="1">
        <w:r w:rsidR="00BB5D30" w:rsidRPr="00C27FE6">
          <w:rPr>
            <w:rFonts w:eastAsia="Times New Roman" w:cs="Arial"/>
          </w:rPr>
          <w:t>haydenm@firstenergycorp.com</w:t>
        </w:r>
      </w:hyperlink>
    </w:p>
    <w:p w:rsidR="00BB5D30" w:rsidRPr="00C27FE6" w:rsidRDefault="00BF588E" w:rsidP="00BB5D30">
      <w:pPr>
        <w:tabs>
          <w:tab w:val="left" w:pos="2160"/>
          <w:tab w:val="left" w:pos="2280"/>
        </w:tabs>
        <w:rPr>
          <w:rFonts w:eastAsia="Times New Roman" w:cs="Arial"/>
        </w:rPr>
      </w:pPr>
      <w:hyperlink r:id="rId36" w:history="1">
        <w:r w:rsidR="00BB5D30" w:rsidRPr="00C27FE6">
          <w:rPr>
            <w:rFonts w:eastAsia="Times New Roman" w:cs="Arial"/>
          </w:rPr>
          <w:t>scasto@firstenergycorp.com</w:t>
        </w:r>
      </w:hyperlink>
    </w:p>
    <w:p w:rsidR="00BB5D30" w:rsidRPr="00C27FE6" w:rsidRDefault="00BF588E" w:rsidP="00BB5D30">
      <w:pPr>
        <w:tabs>
          <w:tab w:val="left" w:pos="2160"/>
          <w:tab w:val="left" w:pos="2280"/>
        </w:tabs>
        <w:rPr>
          <w:rFonts w:eastAsia="Times New Roman" w:cs="Arial"/>
        </w:rPr>
      </w:pPr>
      <w:hyperlink r:id="rId37" w:history="1">
        <w:r w:rsidR="00BB5D30" w:rsidRPr="00C27FE6">
          <w:rPr>
            <w:rFonts w:eastAsia="Times New Roman" w:cs="Arial"/>
          </w:rPr>
          <w:t>jmcdermott@firstenergycorp.com</w:t>
        </w:r>
      </w:hyperlink>
    </w:p>
    <w:p w:rsidR="00BB5D30" w:rsidRPr="00C27FE6" w:rsidRDefault="00BB5D30" w:rsidP="00BB5D30">
      <w:pPr>
        <w:tabs>
          <w:tab w:val="left" w:pos="2160"/>
          <w:tab w:val="left" w:pos="2280"/>
        </w:tabs>
        <w:rPr>
          <w:rFonts w:eastAsia="Times New Roman" w:cs="Arial"/>
        </w:rPr>
      </w:pPr>
    </w:p>
    <w:p w:rsidR="00BB5D30" w:rsidRPr="00441533" w:rsidRDefault="00BB5D30" w:rsidP="00BB5D30">
      <w:pPr>
        <w:tabs>
          <w:tab w:val="left" w:pos="2160"/>
          <w:tab w:val="left" w:pos="2280"/>
        </w:tabs>
        <w:rPr>
          <w:rFonts w:ascii="Arial Bold" w:eastAsia="Times New Roman" w:hAnsi="Arial Bold" w:cs="Arial"/>
          <w:b/>
          <w:smallCaps/>
        </w:rPr>
      </w:pPr>
      <w:r>
        <w:rPr>
          <w:rFonts w:ascii="Arial Bold" w:eastAsia="Times New Roman" w:hAnsi="Arial Bold" w:cs="Arial"/>
          <w:b/>
          <w:smallCaps/>
        </w:rPr>
        <w:t>On Behalf of</w:t>
      </w:r>
      <w:r w:rsidRPr="00441533">
        <w:rPr>
          <w:rFonts w:ascii="Arial Bold" w:eastAsia="Times New Roman" w:hAnsi="Arial Bold" w:cs="Arial"/>
          <w:b/>
          <w:smallCaps/>
        </w:rPr>
        <w:t xml:space="preserve"> FirstEnergy Solutions Corp.</w:t>
      </w:r>
    </w:p>
    <w:p w:rsidR="00BB5D30" w:rsidRPr="00441533" w:rsidRDefault="00BB5D30" w:rsidP="00BB5D30">
      <w:pPr>
        <w:tabs>
          <w:tab w:val="left" w:pos="2160"/>
          <w:tab w:val="left" w:pos="2280"/>
        </w:tabs>
        <w:rPr>
          <w:rFonts w:eastAsia="Times New Roman" w:cs="Arial"/>
        </w:rPr>
      </w:pPr>
    </w:p>
    <w:p w:rsidR="00BB5D30" w:rsidRPr="00441533" w:rsidRDefault="00BB5D30" w:rsidP="00BB5D30">
      <w:pPr>
        <w:tabs>
          <w:tab w:val="left" w:pos="2160"/>
          <w:tab w:val="left" w:pos="2280"/>
        </w:tabs>
        <w:rPr>
          <w:rFonts w:eastAsia="Times New Roman" w:cs="Arial"/>
        </w:rPr>
      </w:pPr>
      <w:r w:rsidRPr="00441533">
        <w:rPr>
          <w:rFonts w:eastAsia="Times New Roman" w:cs="Arial"/>
        </w:rPr>
        <w:t>Kevin R. Schmidt</w:t>
      </w:r>
      <w:r>
        <w:rPr>
          <w:rFonts w:eastAsia="Times New Roman" w:cs="Arial"/>
        </w:rPr>
        <w:t xml:space="preserve"> (0086722)</w:t>
      </w:r>
    </w:p>
    <w:p w:rsidR="00BB5D30" w:rsidRPr="00441533" w:rsidRDefault="00BB5D30" w:rsidP="00BB5D30">
      <w:pPr>
        <w:tabs>
          <w:tab w:val="left" w:pos="2160"/>
          <w:tab w:val="left" w:pos="2280"/>
        </w:tabs>
        <w:rPr>
          <w:rFonts w:eastAsia="Times New Roman" w:cs="Arial"/>
        </w:rPr>
      </w:pPr>
      <w:r w:rsidRPr="00441533">
        <w:rPr>
          <w:rFonts w:eastAsia="Times New Roman" w:cs="Arial"/>
        </w:rPr>
        <w:t>88 East Broad Street, Suite 1770</w:t>
      </w:r>
    </w:p>
    <w:p w:rsidR="00BB5D30" w:rsidRPr="00441533" w:rsidRDefault="00BB5D30" w:rsidP="00BB5D30">
      <w:pPr>
        <w:tabs>
          <w:tab w:val="left" w:pos="2160"/>
          <w:tab w:val="left" w:pos="2280"/>
        </w:tabs>
        <w:rPr>
          <w:rFonts w:eastAsia="Times New Roman" w:cs="Arial"/>
        </w:rPr>
      </w:pPr>
      <w:r w:rsidRPr="00441533">
        <w:rPr>
          <w:rFonts w:eastAsia="Times New Roman" w:cs="Arial"/>
        </w:rPr>
        <w:t>Columbus, OH  43215</w:t>
      </w:r>
    </w:p>
    <w:p w:rsidR="00BB5D30" w:rsidRPr="00C27FE6" w:rsidRDefault="00BF588E" w:rsidP="00BB5D30">
      <w:pPr>
        <w:tabs>
          <w:tab w:val="left" w:pos="2160"/>
          <w:tab w:val="left" w:pos="2280"/>
        </w:tabs>
        <w:rPr>
          <w:rFonts w:eastAsia="Times New Roman" w:cs="Arial"/>
        </w:rPr>
      </w:pPr>
      <w:hyperlink r:id="rId38" w:history="1">
        <w:r w:rsidR="00BB5D30" w:rsidRPr="00C27FE6">
          <w:rPr>
            <w:rFonts w:eastAsia="Times New Roman" w:cs="Arial"/>
          </w:rPr>
          <w:t>Schmidt@sppgrp.com</w:t>
        </w:r>
      </w:hyperlink>
    </w:p>
    <w:p w:rsidR="00BB5D30" w:rsidRPr="00441533" w:rsidRDefault="00BB5D30" w:rsidP="00BB5D30">
      <w:pPr>
        <w:tabs>
          <w:tab w:val="left" w:pos="2160"/>
          <w:tab w:val="left" w:pos="2280"/>
        </w:tabs>
        <w:rPr>
          <w:rFonts w:eastAsia="Times New Roman" w:cs="Arial"/>
        </w:rPr>
      </w:pPr>
    </w:p>
    <w:p w:rsidR="00BB5D30" w:rsidRPr="00441533" w:rsidRDefault="00BB5D30" w:rsidP="00BB5D30">
      <w:pPr>
        <w:tabs>
          <w:tab w:val="left" w:pos="2160"/>
          <w:tab w:val="left" w:pos="2280"/>
        </w:tabs>
        <w:rPr>
          <w:rFonts w:ascii="Arial Bold" w:eastAsia="Times New Roman" w:hAnsi="Arial Bold" w:cs="Arial"/>
          <w:b/>
          <w:smallCaps/>
        </w:rPr>
      </w:pPr>
      <w:r>
        <w:rPr>
          <w:rFonts w:ascii="Arial Bold" w:eastAsia="Times New Roman" w:hAnsi="Arial Bold" w:cs="Arial"/>
          <w:b/>
          <w:smallCaps/>
        </w:rPr>
        <w:t>On Behalf of</w:t>
      </w:r>
      <w:r w:rsidRPr="00441533">
        <w:rPr>
          <w:rFonts w:ascii="Arial Bold" w:eastAsia="Times New Roman" w:hAnsi="Arial Bold" w:cs="Arial"/>
          <w:b/>
          <w:smallCaps/>
        </w:rPr>
        <w:t xml:space="preserve"> Energy Professionals of Ohio</w:t>
      </w:r>
    </w:p>
    <w:p w:rsidR="00BB5D30" w:rsidRPr="00441533" w:rsidRDefault="00BB5D30" w:rsidP="00BB5D30">
      <w:pPr>
        <w:tabs>
          <w:tab w:val="left" w:pos="2160"/>
          <w:tab w:val="left" w:pos="2280"/>
        </w:tabs>
        <w:rPr>
          <w:rFonts w:eastAsia="Times New Roman" w:cs="Arial"/>
        </w:rPr>
      </w:pPr>
    </w:p>
    <w:p w:rsidR="00BB5D30" w:rsidRDefault="00BB5D30" w:rsidP="00BB5D30">
      <w:pPr>
        <w:rPr>
          <w:rFonts w:cs="Arial"/>
        </w:rPr>
        <w:sectPr w:rsidR="00BB5D30">
          <w:headerReference w:type="default" r:id="rId39"/>
          <w:footerReference w:type="default" r:id="rId40"/>
          <w:headerReference w:type="first" r:id="rId41"/>
          <w:footerReference w:type="first" r:id="rId42"/>
          <w:type w:val="continuous"/>
          <w:pgSz w:w="12240" w:h="15840" w:code="1"/>
          <w:pgMar w:top="1440" w:right="1440" w:bottom="1141" w:left="1440" w:header="720" w:footer="720" w:gutter="0"/>
          <w:pgNumType w:start="1"/>
          <w:cols w:num="2" w:space="720"/>
          <w:titlePg/>
          <w:docGrid w:linePitch="326"/>
        </w:sectPr>
      </w:pPr>
    </w:p>
    <w:p w:rsidR="00BB5D30" w:rsidRDefault="00BB5D30" w:rsidP="00BB5D30">
      <w:pPr>
        <w:rPr>
          <w:rFonts w:cs="Arial"/>
        </w:rPr>
      </w:pPr>
      <w:r>
        <w:rPr>
          <w:rFonts w:cs="Arial"/>
        </w:rPr>
        <w:lastRenderedPageBreak/>
        <w:t>Maureen Grady (0020847)</w:t>
      </w:r>
    </w:p>
    <w:p w:rsidR="00BB5D30" w:rsidRDefault="00BB5D30" w:rsidP="00BB5D30">
      <w:pPr>
        <w:rPr>
          <w:rFonts w:cs="Arial"/>
        </w:rPr>
      </w:pPr>
      <w:r>
        <w:rPr>
          <w:rFonts w:cs="Arial"/>
        </w:rPr>
        <w:t>Joseph P. Serio (0036959)</w:t>
      </w:r>
    </w:p>
    <w:p w:rsidR="00BB5D30" w:rsidRDefault="00BB5D30" w:rsidP="00BB5D30">
      <w:pPr>
        <w:rPr>
          <w:rFonts w:cs="Arial"/>
        </w:rPr>
      </w:pPr>
      <w:r>
        <w:rPr>
          <w:rFonts w:cs="Arial"/>
        </w:rPr>
        <w:t>Edmund “Tad” Berger (0090307)</w:t>
      </w:r>
    </w:p>
    <w:p w:rsidR="00BB5D30" w:rsidRDefault="00BB5D30" w:rsidP="00BB5D30">
      <w:pPr>
        <w:rPr>
          <w:rFonts w:cs="Arial"/>
        </w:rPr>
      </w:pPr>
      <w:r>
        <w:rPr>
          <w:rFonts w:cs="Arial"/>
        </w:rPr>
        <w:t>Office of the Ohio Consumers’ Counsel</w:t>
      </w:r>
    </w:p>
    <w:p w:rsidR="00BB5D30" w:rsidRDefault="00BB5D30" w:rsidP="00BB5D30">
      <w:pPr>
        <w:rPr>
          <w:rFonts w:cs="Arial"/>
        </w:rPr>
      </w:pPr>
      <w:r>
        <w:rPr>
          <w:rFonts w:cs="Arial"/>
        </w:rPr>
        <w:t>10 West Broad Street, Suite 1800</w:t>
      </w:r>
    </w:p>
    <w:p w:rsidR="00BB5D30" w:rsidRDefault="00BB5D30" w:rsidP="00BB5D30">
      <w:pPr>
        <w:rPr>
          <w:rFonts w:cs="Arial"/>
        </w:rPr>
      </w:pPr>
      <w:r>
        <w:rPr>
          <w:rFonts w:cs="Arial"/>
        </w:rPr>
        <w:t>Columbus, OH  43215</w:t>
      </w:r>
    </w:p>
    <w:p w:rsidR="00BB5D30" w:rsidRPr="00E06483" w:rsidRDefault="00BF588E" w:rsidP="00BB5D30">
      <w:pPr>
        <w:rPr>
          <w:rFonts w:cs="Arial"/>
        </w:rPr>
      </w:pPr>
      <w:hyperlink r:id="rId43" w:history="1">
        <w:r w:rsidR="00BB5D30" w:rsidRPr="00E06483">
          <w:rPr>
            <w:rStyle w:val="Hyperlink"/>
            <w:color w:val="auto"/>
            <w:u w:val="none"/>
          </w:rPr>
          <w:t>Maureen.grady@occ.ohio.gov</w:t>
        </w:r>
      </w:hyperlink>
    </w:p>
    <w:p w:rsidR="00BB5D30" w:rsidRPr="00E06483" w:rsidRDefault="00BF588E" w:rsidP="00BB5D30">
      <w:pPr>
        <w:rPr>
          <w:rFonts w:cs="Arial"/>
        </w:rPr>
      </w:pPr>
      <w:hyperlink r:id="rId44" w:history="1">
        <w:r w:rsidR="00BB5D30" w:rsidRPr="00E06483">
          <w:rPr>
            <w:rStyle w:val="Hyperlink"/>
            <w:color w:val="auto"/>
            <w:u w:val="none"/>
          </w:rPr>
          <w:t>Joseph.serio@occ.ohio.gov</w:t>
        </w:r>
      </w:hyperlink>
    </w:p>
    <w:p w:rsidR="00BB5D30" w:rsidRPr="00E06483" w:rsidRDefault="00BF588E" w:rsidP="00BB5D30">
      <w:pPr>
        <w:rPr>
          <w:rStyle w:val="Hyperlink"/>
          <w:color w:val="auto"/>
          <w:u w:val="none"/>
        </w:rPr>
      </w:pPr>
      <w:hyperlink r:id="rId45" w:history="1">
        <w:r w:rsidR="00BB5D30" w:rsidRPr="00E06483">
          <w:rPr>
            <w:rStyle w:val="Hyperlink"/>
            <w:color w:val="auto"/>
            <w:u w:val="none"/>
          </w:rPr>
          <w:t>Edmund.berger@occ.ohio.gov</w:t>
        </w:r>
      </w:hyperlink>
    </w:p>
    <w:p w:rsidR="00BB5D30" w:rsidRDefault="00BB5D30" w:rsidP="00BB5D30">
      <w:pPr>
        <w:rPr>
          <w:rStyle w:val="Hyperlink"/>
          <w:color w:val="auto"/>
        </w:rPr>
      </w:pPr>
    </w:p>
    <w:p w:rsidR="00BB5D30" w:rsidRPr="00E06483" w:rsidRDefault="00BB5D30" w:rsidP="00BB5D30">
      <w:pPr>
        <w:rPr>
          <w:rStyle w:val="Hyperlink"/>
          <w:color w:val="auto"/>
          <w:u w:val="none"/>
        </w:rPr>
      </w:pPr>
      <w:r w:rsidRPr="00E06483">
        <w:rPr>
          <w:rStyle w:val="Hyperlink"/>
          <w:color w:val="auto"/>
          <w:u w:val="none"/>
        </w:rPr>
        <w:t>Dane Stinson</w:t>
      </w:r>
    </w:p>
    <w:p w:rsidR="00BB5D30" w:rsidRPr="00E06483" w:rsidRDefault="00BB5D30" w:rsidP="00BB5D30">
      <w:pPr>
        <w:rPr>
          <w:rStyle w:val="Hyperlink"/>
          <w:color w:val="auto"/>
          <w:u w:val="none"/>
        </w:rPr>
      </w:pPr>
      <w:r w:rsidRPr="00E06483">
        <w:rPr>
          <w:rStyle w:val="Hyperlink"/>
          <w:color w:val="auto"/>
          <w:u w:val="none"/>
        </w:rPr>
        <w:t>Dylan F. Borchers</w:t>
      </w:r>
    </w:p>
    <w:p w:rsidR="00BB5D30" w:rsidRPr="00E06483" w:rsidRDefault="00BB5D30" w:rsidP="00BB5D30">
      <w:pPr>
        <w:rPr>
          <w:rStyle w:val="Hyperlink"/>
          <w:color w:val="auto"/>
          <w:u w:val="none"/>
        </w:rPr>
      </w:pPr>
      <w:r w:rsidRPr="00E06483">
        <w:rPr>
          <w:rStyle w:val="Hyperlink"/>
          <w:color w:val="auto"/>
          <w:u w:val="none"/>
        </w:rPr>
        <w:t>Bricker &amp; Eckler LLP</w:t>
      </w:r>
    </w:p>
    <w:p w:rsidR="00BB5D30" w:rsidRPr="00E06483" w:rsidRDefault="00BB5D30" w:rsidP="00BB5D30">
      <w:pPr>
        <w:rPr>
          <w:rStyle w:val="Hyperlink"/>
          <w:color w:val="auto"/>
          <w:u w:val="none"/>
        </w:rPr>
      </w:pPr>
      <w:r w:rsidRPr="00E06483">
        <w:rPr>
          <w:rStyle w:val="Hyperlink"/>
          <w:color w:val="auto"/>
          <w:u w:val="none"/>
        </w:rPr>
        <w:t>100 S. Third Street</w:t>
      </w:r>
    </w:p>
    <w:p w:rsidR="00BB5D30" w:rsidRPr="00E06483" w:rsidRDefault="00BB5D30" w:rsidP="00BB5D30">
      <w:pPr>
        <w:rPr>
          <w:rStyle w:val="Hyperlink"/>
          <w:color w:val="auto"/>
          <w:u w:val="none"/>
        </w:rPr>
      </w:pPr>
      <w:r w:rsidRPr="00E06483">
        <w:rPr>
          <w:rStyle w:val="Hyperlink"/>
          <w:color w:val="auto"/>
          <w:u w:val="none"/>
        </w:rPr>
        <w:t>Columbus, OH  43215</w:t>
      </w:r>
    </w:p>
    <w:p w:rsidR="00BB5D30" w:rsidRPr="00E06483" w:rsidRDefault="00BB5D30" w:rsidP="00BB5D30">
      <w:pPr>
        <w:rPr>
          <w:rStyle w:val="Hyperlink"/>
          <w:color w:val="auto"/>
          <w:u w:val="none"/>
        </w:rPr>
      </w:pPr>
      <w:r w:rsidRPr="00E06483">
        <w:rPr>
          <w:rStyle w:val="Hyperlink"/>
          <w:color w:val="auto"/>
          <w:u w:val="none"/>
        </w:rPr>
        <w:t>dstinson@bricker.com</w:t>
      </w:r>
    </w:p>
    <w:p w:rsidR="00BB5D30" w:rsidRPr="00C27FE6" w:rsidRDefault="00BB5D30" w:rsidP="00BB5D30">
      <w:pPr>
        <w:rPr>
          <w:rFonts w:cs="Arial"/>
        </w:rPr>
      </w:pPr>
      <w:r>
        <w:rPr>
          <w:rFonts w:cs="Arial"/>
        </w:rPr>
        <w:t>dborchers@bricker.com</w:t>
      </w:r>
    </w:p>
    <w:p w:rsidR="00BB5D30" w:rsidRPr="00C27FE6" w:rsidRDefault="00BB5D30" w:rsidP="00BB5D30">
      <w:pPr>
        <w:rPr>
          <w:rFonts w:cs="Arial"/>
        </w:rPr>
      </w:pPr>
    </w:p>
    <w:p w:rsidR="00BB5D30" w:rsidRPr="00E2392D" w:rsidRDefault="00BB5D30" w:rsidP="00BB5D30">
      <w:pPr>
        <w:rPr>
          <w:rFonts w:ascii="Arial Bold" w:hAnsi="Arial Bold" w:cs="Arial"/>
          <w:b/>
          <w:smallCaps/>
        </w:rPr>
      </w:pPr>
      <w:r>
        <w:rPr>
          <w:rFonts w:ascii="Arial Bold" w:hAnsi="Arial Bold" w:cs="Arial"/>
          <w:b/>
          <w:smallCaps/>
        </w:rPr>
        <w:t>On Behalf of</w:t>
      </w:r>
      <w:r w:rsidRPr="00E2392D">
        <w:rPr>
          <w:rFonts w:ascii="Arial Bold" w:hAnsi="Arial Bold" w:cs="Arial"/>
          <w:b/>
          <w:smallCaps/>
        </w:rPr>
        <w:t xml:space="preserve"> Office of the Ohio Consumers’ Counsel</w:t>
      </w:r>
    </w:p>
    <w:p w:rsidR="00BB5D30" w:rsidRDefault="00BB5D30" w:rsidP="00BB5D30">
      <w:pPr>
        <w:rPr>
          <w:rFonts w:cs="Arial"/>
        </w:rPr>
      </w:pPr>
    </w:p>
    <w:p w:rsidR="00BB5D30" w:rsidRDefault="00BB5D30" w:rsidP="00BB5D30">
      <w:pPr>
        <w:rPr>
          <w:rFonts w:cs="Arial"/>
        </w:rPr>
      </w:pPr>
      <w:r>
        <w:rPr>
          <w:rFonts w:cs="Arial"/>
        </w:rPr>
        <w:t>Judi L. Sobecki (0067186)</w:t>
      </w:r>
    </w:p>
    <w:p w:rsidR="00BB5D30" w:rsidRDefault="00BB5D30" w:rsidP="00BB5D30">
      <w:pPr>
        <w:rPr>
          <w:rFonts w:cs="Arial"/>
        </w:rPr>
      </w:pPr>
      <w:r>
        <w:rPr>
          <w:rFonts w:cs="Arial"/>
        </w:rPr>
        <w:t>The Dayton Power and Light Company</w:t>
      </w:r>
    </w:p>
    <w:p w:rsidR="00BB5D30" w:rsidRDefault="00BB5D30" w:rsidP="00BB5D30">
      <w:pPr>
        <w:rPr>
          <w:rFonts w:cs="Arial"/>
        </w:rPr>
      </w:pPr>
      <w:r>
        <w:rPr>
          <w:rFonts w:cs="Arial"/>
        </w:rPr>
        <w:t>1065 Woodman Drive</w:t>
      </w:r>
    </w:p>
    <w:p w:rsidR="00BB5D30" w:rsidRDefault="00BB5D30" w:rsidP="00BB5D30">
      <w:pPr>
        <w:rPr>
          <w:rFonts w:cs="Arial"/>
        </w:rPr>
      </w:pPr>
      <w:r>
        <w:rPr>
          <w:rFonts w:cs="Arial"/>
        </w:rPr>
        <w:t>Dayton, OH  45432</w:t>
      </w:r>
    </w:p>
    <w:p w:rsidR="00BB5D30" w:rsidRPr="00E06483" w:rsidRDefault="00BF588E" w:rsidP="00BB5D30">
      <w:pPr>
        <w:rPr>
          <w:rFonts w:cs="Arial"/>
        </w:rPr>
      </w:pPr>
      <w:hyperlink r:id="rId46" w:history="1">
        <w:r w:rsidR="00BB5D30" w:rsidRPr="00E06483">
          <w:rPr>
            <w:rStyle w:val="Hyperlink"/>
            <w:color w:val="auto"/>
            <w:u w:val="none"/>
          </w:rPr>
          <w:t>Judi.sobecki@aes.com</w:t>
        </w:r>
      </w:hyperlink>
    </w:p>
    <w:p w:rsidR="00BB5D30" w:rsidRPr="00C27FE6" w:rsidRDefault="00BB5D30" w:rsidP="00BB5D30">
      <w:pPr>
        <w:rPr>
          <w:rFonts w:cs="Arial"/>
        </w:rPr>
      </w:pPr>
    </w:p>
    <w:p w:rsidR="00BB5D30" w:rsidRPr="00E2392D" w:rsidRDefault="00BB5D30" w:rsidP="00BB5D30">
      <w:pPr>
        <w:rPr>
          <w:rFonts w:ascii="Arial Bold" w:hAnsi="Arial Bold" w:cs="Arial"/>
          <w:b/>
          <w:smallCaps/>
        </w:rPr>
      </w:pPr>
      <w:r>
        <w:rPr>
          <w:rFonts w:ascii="Arial Bold" w:hAnsi="Arial Bold" w:cs="Arial"/>
          <w:b/>
          <w:smallCaps/>
        </w:rPr>
        <w:t>On Behalf of</w:t>
      </w:r>
      <w:r w:rsidRPr="00E2392D">
        <w:rPr>
          <w:rFonts w:ascii="Arial Bold" w:hAnsi="Arial Bold" w:cs="Arial"/>
          <w:b/>
          <w:smallCaps/>
        </w:rPr>
        <w:t xml:space="preserve"> The Dayton Power &amp; Light Company</w:t>
      </w:r>
    </w:p>
    <w:p w:rsidR="00BB5D30" w:rsidRDefault="00BB5D30" w:rsidP="00BB5D30">
      <w:pPr>
        <w:rPr>
          <w:rFonts w:cs="Arial"/>
        </w:rPr>
      </w:pPr>
    </w:p>
    <w:p w:rsidR="00BB5D30" w:rsidRDefault="00BB5D30" w:rsidP="00BB5D30">
      <w:pPr>
        <w:rPr>
          <w:rFonts w:cs="Arial"/>
        </w:rPr>
      </w:pPr>
      <w:r>
        <w:rPr>
          <w:rFonts w:cs="Arial"/>
        </w:rPr>
        <w:t>Kimberly W. Bojko (0069402)</w:t>
      </w:r>
    </w:p>
    <w:p w:rsidR="00BB5D30" w:rsidRDefault="00BB5D30" w:rsidP="00BB5D30">
      <w:pPr>
        <w:rPr>
          <w:rFonts w:cs="Arial"/>
        </w:rPr>
      </w:pPr>
      <w:r>
        <w:rPr>
          <w:rFonts w:cs="Arial"/>
        </w:rPr>
        <w:t>Jonathan A. Allison</w:t>
      </w:r>
    </w:p>
    <w:p w:rsidR="00BB5D30" w:rsidRDefault="00BB5D30" w:rsidP="00BB5D30">
      <w:pPr>
        <w:rPr>
          <w:rFonts w:cs="Arial"/>
        </w:rPr>
      </w:pPr>
      <w:r>
        <w:rPr>
          <w:rFonts w:cs="Arial"/>
        </w:rPr>
        <w:t>Carpenter Lipps &amp; Leland LLP</w:t>
      </w:r>
    </w:p>
    <w:p w:rsidR="00BB5D30" w:rsidRDefault="00BB5D30" w:rsidP="00BB5D30">
      <w:pPr>
        <w:rPr>
          <w:rFonts w:cs="Arial"/>
        </w:rPr>
      </w:pPr>
      <w:r>
        <w:rPr>
          <w:rFonts w:cs="Arial"/>
        </w:rPr>
        <w:t>280 Plaza, Suite 1300</w:t>
      </w:r>
    </w:p>
    <w:p w:rsidR="00BB5D30" w:rsidRDefault="00BB5D30" w:rsidP="00BB5D30">
      <w:pPr>
        <w:rPr>
          <w:rFonts w:cs="Arial"/>
        </w:rPr>
      </w:pPr>
      <w:r>
        <w:rPr>
          <w:rFonts w:cs="Arial"/>
        </w:rPr>
        <w:t>280 North High Street</w:t>
      </w:r>
    </w:p>
    <w:p w:rsidR="00BB5D30" w:rsidRDefault="00BB5D30" w:rsidP="00BB5D30">
      <w:pPr>
        <w:rPr>
          <w:rFonts w:cs="Arial"/>
        </w:rPr>
      </w:pPr>
      <w:r>
        <w:rPr>
          <w:rFonts w:cs="Arial"/>
        </w:rPr>
        <w:t>Columbus, OH  43215</w:t>
      </w:r>
    </w:p>
    <w:p w:rsidR="00BB5D30" w:rsidRPr="00E06483" w:rsidRDefault="00BF588E" w:rsidP="00BB5D30">
      <w:pPr>
        <w:rPr>
          <w:rFonts w:cs="Arial"/>
        </w:rPr>
      </w:pPr>
      <w:hyperlink r:id="rId47" w:history="1">
        <w:r w:rsidR="00BB5D30" w:rsidRPr="00E06483">
          <w:rPr>
            <w:rStyle w:val="Hyperlink"/>
            <w:color w:val="auto"/>
            <w:u w:val="none"/>
          </w:rPr>
          <w:t>bojko@carpenterlipps.com</w:t>
        </w:r>
      </w:hyperlink>
    </w:p>
    <w:p w:rsidR="00BB5D30" w:rsidRPr="00E06483" w:rsidRDefault="00BF588E" w:rsidP="00BB5D30">
      <w:pPr>
        <w:rPr>
          <w:rFonts w:cs="Arial"/>
        </w:rPr>
      </w:pPr>
      <w:hyperlink r:id="rId48" w:history="1">
        <w:r w:rsidR="00BB5D30" w:rsidRPr="00E06483">
          <w:rPr>
            <w:rStyle w:val="Hyperlink"/>
            <w:color w:val="auto"/>
            <w:u w:val="none"/>
          </w:rPr>
          <w:t>Allison@carpenterlipps.com</w:t>
        </w:r>
      </w:hyperlink>
    </w:p>
    <w:p w:rsidR="00BB5D30" w:rsidRDefault="00BB5D30" w:rsidP="00BB5D30">
      <w:pPr>
        <w:rPr>
          <w:rFonts w:cs="Arial"/>
        </w:rPr>
      </w:pPr>
    </w:p>
    <w:p w:rsidR="00BB5D30" w:rsidRPr="00E2392D" w:rsidRDefault="00BB5D30" w:rsidP="00BB5D30">
      <w:pPr>
        <w:rPr>
          <w:rFonts w:ascii="Arial Bold" w:hAnsi="Arial Bold" w:cs="Arial"/>
          <w:b/>
          <w:smallCaps/>
        </w:rPr>
      </w:pPr>
      <w:r>
        <w:rPr>
          <w:rFonts w:ascii="Arial Bold" w:hAnsi="Arial Bold" w:cs="Arial"/>
          <w:b/>
          <w:smallCaps/>
        </w:rPr>
        <w:t>On Behalf of</w:t>
      </w:r>
      <w:r w:rsidRPr="00E2392D">
        <w:rPr>
          <w:rFonts w:ascii="Arial Bold" w:hAnsi="Arial Bold" w:cs="Arial"/>
          <w:b/>
          <w:smallCaps/>
        </w:rPr>
        <w:t xml:space="preserve"> the Ohio Manufacturers’ Association</w:t>
      </w:r>
    </w:p>
    <w:p w:rsidR="00BB5D30" w:rsidRDefault="00BB5D30" w:rsidP="00BB5D30">
      <w:pPr>
        <w:rPr>
          <w:rFonts w:cs="Arial"/>
        </w:rPr>
      </w:pPr>
    </w:p>
    <w:p w:rsidR="00BB5D30" w:rsidRDefault="00BB5D30" w:rsidP="00BB5D30">
      <w:pPr>
        <w:rPr>
          <w:rFonts w:cs="Arial"/>
        </w:rPr>
      </w:pPr>
      <w:r>
        <w:rPr>
          <w:rFonts w:cs="Arial"/>
        </w:rPr>
        <w:br w:type="column"/>
      </w:r>
      <w:r>
        <w:rPr>
          <w:rFonts w:cs="Arial"/>
        </w:rPr>
        <w:lastRenderedPageBreak/>
        <w:t>Joseph Oliker (0086088)</w:t>
      </w:r>
    </w:p>
    <w:p w:rsidR="00BB5D30" w:rsidRDefault="00BB5D30" w:rsidP="00BB5D30">
      <w:pPr>
        <w:rPr>
          <w:rFonts w:cs="Arial"/>
        </w:rPr>
      </w:pPr>
      <w:r>
        <w:rPr>
          <w:rFonts w:cs="Arial"/>
        </w:rPr>
        <w:t>IGS Energy</w:t>
      </w:r>
    </w:p>
    <w:p w:rsidR="00BB5D30" w:rsidRDefault="00BB5D30" w:rsidP="00BB5D30">
      <w:pPr>
        <w:rPr>
          <w:rFonts w:cs="Arial"/>
        </w:rPr>
      </w:pPr>
      <w:r>
        <w:rPr>
          <w:rFonts w:cs="Arial"/>
        </w:rPr>
        <w:t>6100 Emerald Parkway</w:t>
      </w:r>
    </w:p>
    <w:p w:rsidR="00BB5D30" w:rsidRDefault="00BB5D30" w:rsidP="00BB5D30">
      <w:pPr>
        <w:rPr>
          <w:rFonts w:cs="Arial"/>
        </w:rPr>
      </w:pPr>
      <w:r>
        <w:rPr>
          <w:rFonts w:cs="Arial"/>
        </w:rPr>
        <w:t>Dublin, OH  43016</w:t>
      </w:r>
    </w:p>
    <w:p w:rsidR="00BB5D30" w:rsidRPr="00E06483" w:rsidRDefault="00BF588E" w:rsidP="00BB5D30">
      <w:pPr>
        <w:rPr>
          <w:rFonts w:cs="Arial"/>
        </w:rPr>
      </w:pPr>
      <w:hyperlink r:id="rId49" w:history="1">
        <w:r w:rsidR="00BB5D30" w:rsidRPr="00E06483">
          <w:rPr>
            <w:rStyle w:val="Hyperlink"/>
            <w:color w:val="auto"/>
            <w:u w:val="none"/>
          </w:rPr>
          <w:t>joliker@igsenergy.com</w:t>
        </w:r>
      </w:hyperlink>
    </w:p>
    <w:p w:rsidR="00BB5D30" w:rsidRPr="00C27FE6" w:rsidRDefault="00BB5D30" w:rsidP="00BB5D30">
      <w:pPr>
        <w:rPr>
          <w:rFonts w:cs="Arial"/>
        </w:rPr>
      </w:pPr>
    </w:p>
    <w:p w:rsidR="00BB5D30" w:rsidRPr="00E2392D" w:rsidRDefault="00BB5D30" w:rsidP="00BB5D30">
      <w:pPr>
        <w:rPr>
          <w:rFonts w:ascii="Arial Bold" w:hAnsi="Arial Bold" w:cs="Arial"/>
          <w:b/>
          <w:smallCaps/>
        </w:rPr>
      </w:pPr>
      <w:r>
        <w:rPr>
          <w:rFonts w:ascii="Arial Bold" w:hAnsi="Arial Bold" w:cs="Arial"/>
          <w:b/>
          <w:smallCaps/>
        </w:rPr>
        <w:t>On Behalf of</w:t>
      </w:r>
      <w:r w:rsidRPr="00E2392D">
        <w:rPr>
          <w:rFonts w:ascii="Arial Bold" w:hAnsi="Arial Bold" w:cs="Arial"/>
          <w:b/>
          <w:smallCaps/>
        </w:rPr>
        <w:t xml:space="preserve"> IGS Energy</w:t>
      </w:r>
    </w:p>
    <w:p w:rsidR="00BB5D30" w:rsidRDefault="00BB5D30" w:rsidP="00BB5D30">
      <w:pPr>
        <w:rPr>
          <w:rFonts w:cs="Arial"/>
        </w:rPr>
      </w:pPr>
    </w:p>
    <w:p w:rsidR="00BB5D30" w:rsidRDefault="00BB5D30" w:rsidP="00BB5D30">
      <w:pPr>
        <w:rPr>
          <w:rFonts w:cs="Arial"/>
        </w:rPr>
      </w:pPr>
      <w:r>
        <w:rPr>
          <w:rFonts w:cs="Arial"/>
        </w:rPr>
        <w:t>Joseph M. Clark (0080711)</w:t>
      </w:r>
    </w:p>
    <w:p w:rsidR="00BB5D30" w:rsidRDefault="00BB5D30" w:rsidP="00BB5D30">
      <w:pPr>
        <w:rPr>
          <w:rFonts w:cs="Arial"/>
        </w:rPr>
      </w:pPr>
      <w:r>
        <w:rPr>
          <w:rFonts w:cs="Arial"/>
        </w:rPr>
        <w:t>Direct Energy</w:t>
      </w:r>
    </w:p>
    <w:p w:rsidR="00BB5D30" w:rsidRDefault="00BB5D30" w:rsidP="00BB5D30">
      <w:pPr>
        <w:rPr>
          <w:rFonts w:cs="Arial"/>
        </w:rPr>
      </w:pPr>
      <w:r>
        <w:rPr>
          <w:rFonts w:cs="Arial"/>
        </w:rPr>
        <w:t>21 East State Street, 19</w:t>
      </w:r>
      <w:r w:rsidRPr="00E51C65">
        <w:rPr>
          <w:rFonts w:cs="Arial"/>
          <w:vertAlign w:val="superscript"/>
        </w:rPr>
        <w:t>th</w:t>
      </w:r>
      <w:r>
        <w:rPr>
          <w:rFonts w:cs="Arial"/>
        </w:rPr>
        <w:t xml:space="preserve"> Floor</w:t>
      </w:r>
    </w:p>
    <w:p w:rsidR="00BB5D30" w:rsidRDefault="00BB5D30" w:rsidP="00BB5D30">
      <w:pPr>
        <w:rPr>
          <w:rFonts w:cs="Arial"/>
        </w:rPr>
      </w:pPr>
      <w:r>
        <w:rPr>
          <w:rFonts w:cs="Arial"/>
        </w:rPr>
        <w:t>Columbus, OH  43215</w:t>
      </w:r>
    </w:p>
    <w:p w:rsidR="00BB5D30" w:rsidRDefault="00BB5D30" w:rsidP="00BB5D30">
      <w:pPr>
        <w:rPr>
          <w:rFonts w:cs="Arial"/>
        </w:rPr>
      </w:pPr>
      <w:r>
        <w:rPr>
          <w:rFonts w:cs="Arial"/>
        </w:rPr>
        <w:t>joseph.clark@directenergy.com</w:t>
      </w:r>
    </w:p>
    <w:p w:rsidR="00BB5D30" w:rsidRDefault="00BB5D30" w:rsidP="00BB5D30">
      <w:pPr>
        <w:rPr>
          <w:rFonts w:cs="Arial"/>
        </w:rPr>
      </w:pPr>
    </w:p>
    <w:p w:rsidR="00BB5D30" w:rsidRDefault="00BB5D30" w:rsidP="00BB5D30">
      <w:pPr>
        <w:rPr>
          <w:rFonts w:cs="Arial"/>
        </w:rPr>
      </w:pPr>
      <w:r>
        <w:rPr>
          <w:rFonts w:cs="Arial"/>
        </w:rPr>
        <w:t>Gerit F. Hull (0067333)</w:t>
      </w:r>
    </w:p>
    <w:p w:rsidR="00BB5D30" w:rsidRDefault="00BB5D30" w:rsidP="00BB5D30">
      <w:pPr>
        <w:rPr>
          <w:rFonts w:cs="Arial"/>
        </w:rPr>
      </w:pPr>
      <w:r>
        <w:rPr>
          <w:rFonts w:cs="Arial"/>
        </w:rPr>
        <w:t>Eckert Seamans Cherin &amp; Mellott, LLC</w:t>
      </w:r>
    </w:p>
    <w:p w:rsidR="00BB5D30" w:rsidRDefault="00BB5D30" w:rsidP="00BB5D30">
      <w:pPr>
        <w:rPr>
          <w:rFonts w:cs="Arial"/>
        </w:rPr>
      </w:pPr>
      <w:r>
        <w:rPr>
          <w:rFonts w:cs="Arial"/>
        </w:rPr>
        <w:t xml:space="preserve">1717 Pennsylvania Avenue, N.W., </w:t>
      </w:r>
    </w:p>
    <w:p w:rsidR="00BB5D30" w:rsidRDefault="00BB5D30" w:rsidP="00BB5D30">
      <w:pPr>
        <w:rPr>
          <w:rFonts w:cs="Arial"/>
        </w:rPr>
      </w:pPr>
      <w:r>
        <w:rPr>
          <w:rFonts w:cs="Arial"/>
        </w:rPr>
        <w:t>12</w:t>
      </w:r>
      <w:r w:rsidRPr="00D3618A">
        <w:rPr>
          <w:rFonts w:cs="Arial"/>
          <w:vertAlign w:val="superscript"/>
        </w:rPr>
        <w:t>th</w:t>
      </w:r>
      <w:r>
        <w:rPr>
          <w:rFonts w:cs="Arial"/>
        </w:rPr>
        <w:t xml:space="preserve"> Floor</w:t>
      </w:r>
    </w:p>
    <w:p w:rsidR="00BB5D30" w:rsidRDefault="00BB5D30" w:rsidP="00BB5D30">
      <w:pPr>
        <w:rPr>
          <w:rFonts w:cs="Arial"/>
        </w:rPr>
      </w:pPr>
      <w:r>
        <w:rPr>
          <w:rFonts w:cs="Arial"/>
        </w:rPr>
        <w:t>Washington, DC  20006</w:t>
      </w:r>
    </w:p>
    <w:p w:rsidR="00BB5D30" w:rsidRDefault="00BB5D30" w:rsidP="00BB5D30">
      <w:pPr>
        <w:rPr>
          <w:rFonts w:cs="Arial"/>
        </w:rPr>
      </w:pPr>
      <w:r>
        <w:rPr>
          <w:rFonts w:cs="Arial"/>
        </w:rPr>
        <w:t>ghull@eckertseamans.com</w:t>
      </w:r>
    </w:p>
    <w:p w:rsidR="00BB5D30" w:rsidRDefault="00BB5D30" w:rsidP="00BB5D30">
      <w:pPr>
        <w:rPr>
          <w:rFonts w:cs="Arial"/>
        </w:rPr>
      </w:pPr>
    </w:p>
    <w:p w:rsidR="00BB5D30" w:rsidRPr="00E51C65" w:rsidRDefault="00BB5D30" w:rsidP="00BB5D30">
      <w:pPr>
        <w:rPr>
          <w:rFonts w:ascii="Arial Bold" w:hAnsi="Arial Bold" w:cs="Arial"/>
          <w:b/>
          <w:smallCaps/>
        </w:rPr>
      </w:pPr>
      <w:r w:rsidRPr="00E51C65">
        <w:rPr>
          <w:rFonts w:ascii="Arial Bold" w:hAnsi="Arial Bold" w:cs="Arial"/>
          <w:b/>
          <w:smallCaps/>
        </w:rPr>
        <w:t>On Behalf of Direct Energy Services, LLC and Direct Energy Business, LLC</w:t>
      </w:r>
    </w:p>
    <w:p w:rsidR="00BB5D30" w:rsidRDefault="00BB5D30" w:rsidP="00BB5D30">
      <w:pPr>
        <w:rPr>
          <w:rFonts w:cs="Arial"/>
        </w:rPr>
      </w:pPr>
    </w:p>
    <w:p w:rsidR="00BB5D30" w:rsidRDefault="00BB5D30" w:rsidP="00BB5D30">
      <w:pPr>
        <w:rPr>
          <w:rFonts w:cs="Arial"/>
        </w:rPr>
      </w:pPr>
      <w:r>
        <w:rPr>
          <w:rFonts w:cs="Arial"/>
        </w:rPr>
        <w:t>Steven Beeler (0078076)</w:t>
      </w:r>
    </w:p>
    <w:p w:rsidR="00BB5D30" w:rsidRDefault="00BB5D30" w:rsidP="00BB5D30">
      <w:pPr>
        <w:rPr>
          <w:rFonts w:cs="Arial"/>
        </w:rPr>
      </w:pPr>
      <w:r>
        <w:rPr>
          <w:rFonts w:cs="Arial"/>
        </w:rPr>
        <w:t>Thomas Lindgren (0039210)</w:t>
      </w:r>
    </w:p>
    <w:p w:rsidR="00BB5D30" w:rsidRDefault="00BB5D30" w:rsidP="00BB5D30">
      <w:pPr>
        <w:rPr>
          <w:rFonts w:cs="Arial"/>
        </w:rPr>
      </w:pPr>
      <w:r>
        <w:rPr>
          <w:rFonts w:cs="Arial"/>
        </w:rPr>
        <w:t>Ryan O’Rourke (0082651)</w:t>
      </w:r>
    </w:p>
    <w:p w:rsidR="00BB5D30" w:rsidRDefault="00BB5D30" w:rsidP="00BB5D30">
      <w:pPr>
        <w:rPr>
          <w:rFonts w:cs="Arial"/>
        </w:rPr>
      </w:pPr>
      <w:r>
        <w:rPr>
          <w:rFonts w:cs="Arial"/>
        </w:rPr>
        <w:t>Assistant Attorneys General</w:t>
      </w:r>
    </w:p>
    <w:p w:rsidR="00BB5D30" w:rsidRDefault="00BB5D30" w:rsidP="00BB5D30">
      <w:pPr>
        <w:rPr>
          <w:rFonts w:cs="Arial"/>
        </w:rPr>
      </w:pPr>
      <w:r>
        <w:rPr>
          <w:rFonts w:cs="Arial"/>
        </w:rPr>
        <w:t>Public Utilities Commission of Ohio</w:t>
      </w:r>
    </w:p>
    <w:p w:rsidR="00BB5D30" w:rsidRDefault="00BB5D30" w:rsidP="00BB5D30">
      <w:pPr>
        <w:rPr>
          <w:rFonts w:cs="Arial"/>
        </w:rPr>
      </w:pPr>
      <w:r>
        <w:rPr>
          <w:rFonts w:cs="Arial"/>
        </w:rPr>
        <w:t>180 East Broad Street, 6</w:t>
      </w:r>
      <w:r w:rsidRPr="00E2392D">
        <w:rPr>
          <w:rFonts w:cs="Arial"/>
          <w:vertAlign w:val="superscript"/>
        </w:rPr>
        <w:t>th</w:t>
      </w:r>
      <w:r>
        <w:rPr>
          <w:rFonts w:cs="Arial"/>
        </w:rPr>
        <w:t xml:space="preserve"> Floor</w:t>
      </w:r>
    </w:p>
    <w:p w:rsidR="00BB5D30" w:rsidRDefault="00BB5D30" w:rsidP="00BB5D30">
      <w:pPr>
        <w:rPr>
          <w:rFonts w:cs="Arial"/>
        </w:rPr>
      </w:pPr>
      <w:r>
        <w:rPr>
          <w:rFonts w:cs="Arial"/>
        </w:rPr>
        <w:t>Columbus, OH  43215</w:t>
      </w:r>
    </w:p>
    <w:p w:rsidR="00BB5D30" w:rsidRPr="00E06483" w:rsidRDefault="00BF588E" w:rsidP="00BB5D30">
      <w:pPr>
        <w:rPr>
          <w:rFonts w:cs="Arial"/>
        </w:rPr>
      </w:pPr>
      <w:hyperlink r:id="rId50" w:history="1">
        <w:r w:rsidR="00BB5D30" w:rsidRPr="00E06483">
          <w:rPr>
            <w:rStyle w:val="Hyperlink"/>
            <w:color w:val="auto"/>
            <w:u w:val="none"/>
          </w:rPr>
          <w:t>Steven.Beeler@puc.state.oh.us</w:t>
        </w:r>
      </w:hyperlink>
    </w:p>
    <w:p w:rsidR="00BB5D30" w:rsidRPr="00E06483" w:rsidRDefault="00BF588E" w:rsidP="00BB5D30">
      <w:pPr>
        <w:rPr>
          <w:rFonts w:cs="Arial"/>
        </w:rPr>
      </w:pPr>
      <w:hyperlink r:id="rId51" w:history="1">
        <w:r w:rsidR="00BB5D30" w:rsidRPr="00E06483">
          <w:rPr>
            <w:rStyle w:val="Hyperlink"/>
            <w:color w:val="auto"/>
            <w:u w:val="none"/>
          </w:rPr>
          <w:t>Thomas.Lindgren@puc.state.oh</w:t>
        </w:r>
      </w:hyperlink>
    </w:p>
    <w:p w:rsidR="00BB5D30" w:rsidRPr="00E06483" w:rsidRDefault="00BF588E" w:rsidP="00BB5D30">
      <w:pPr>
        <w:rPr>
          <w:rFonts w:cs="Arial"/>
        </w:rPr>
      </w:pPr>
      <w:hyperlink r:id="rId52" w:history="1">
        <w:r w:rsidR="00BB5D30" w:rsidRPr="00E06483">
          <w:rPr>
            <w:rStyle w:val="Hyperlink"/>
            <w:color w:val="auto"/>
            <w:u w:val="none"/>
          </w:rPr>
          <w:t>Ryan.Orourke@puc.state.oh.us</w:t>
        </w:r>
      </w:hyperlink>
    </w:p>
    <w:p w:rsidR="00BB5D30" w:rsidRDefault="00BB5D30" w:rsidP="00BB5D30">
      <w:pPr>
        <w:rPr>
          <w:rFonts w:cs="Arial"/>
        </w:rPr>
      </w:pPr>
    </w:p>
    <w:p w:rsidR="00BB5D30" w:rsidRDefault="00BB5D30" w:rsidP="00BB5D30">
      <w:pPr>
        <w:rPr>
          <w:rFonts w:ascii="Arial Bold" w:hAnsi="Arial Bold" w:cs="Arial"/>
          <w:b/>
          <w:smallCaps/>
        </w:rPr>
      </w:pPr>
      <w:r w:rsidRPr="00613950">
        <w:rPr>
          <w:rFonts w:ascii="Arial Bold" w:hAnsi="Arial Bold" w:cs="Arial"/>
          <w:b/>
          <w:smallCaps/>
        </w:rPr>
        <w:t xml:space="preserve">On Behalf of the </w:t>
      </w:r>
      <w:r>
        <w:rPr>
          <w:rFonts w:ascii="Arial Bold" w:hAnsi="Arial Bold" w:cs="Arial"/>
          <w:b/>
          <w:smallCaps/>
        </w:rPr>
        <w:t xml:space="preserve">Staff of the </w:t>
      </w:r>
      <w:r w:rsidRPr="00613950">
        <w:rPr>
          <w:rFonts w:ascii="Arial Bold" w:hAnsi="Arial Bold" w:cs="Arial"/>
          <w:b/>
          <w:smallCaps/>
        </w:rPr>
        <w:t>Public Utilities Commission of Ohio</w:t>
      </w:r>
    </w:p>
    <w:p w:rsidR="00BB5D30" w:rsidRDefault="00BB5D30" w:rsidP="00BB5D30">
      <w:pPr>
        <w:rPr>
          <w:rFonts w:ascii="Arial Bold" w:hAnsi="Arial Bold" w:cs="Arial"/>
          <w:b/>
          <w:smallCaps/>
        </w:rPr>
      </w:pPr>
    </w:p>
    <w:p w:rsidR="00BB5D30" w:rsidRDefault="00BB5D30" w:rsidP="00BB5D30">
      <w:pPr>
        <w:rPr>
          <w:rFonts w:cs="Arial"/>
        </w:rPr>
      </w:pPr>
      <w:r>
        <w:rPr>
          <w:rFonts w:cs="Arial"/>
        </w:rPr>
        <w:t>Colleen L. Mooney (0015668)</w:t>
      </w:r>
    </w:p>
    <w:p w:rsidR="00BB5D30" w:rsidRDefault="00BB5D30" w:rsidP="00BB5D30">
      <w:pPr>
        <w:rPr>
          <w:rFonts w:cs="Arial"/>
        </w:rPr>
      </w:pPr>
      <w:r>
        <w:rPr>
          <w:rFonts w:cs="Arial"/>
        </w:rPr>
        <w:t>Ohio Partners for Affordable Energy</w:t>
      </w:r>
    </w:p>
    <w:p w:rsidR="00BB5D30" w:rsidRDefault="00BB5D30" w:rsidP="00BB5D30">
      <w:pPr>
        <w:rPr>
          <w:rFonts w:cs="Arial"/>
        </w:rPr>
      </w:pPr>
      <w:r>
        <w:rPr>
          <w:rFonts w:cs="Arial"/>
        </w:rPr>
        <w:t>231 West Lima Street</w:t>
      </w:r>
    </w:p>
    <w:p w:rsidR="00BB5D30" w:rsidRDefault="00BB5D30" w:rsidP="00BB5D30">
      <w:pPr>
        <w:rPr>
          <w:rFonts w:cs="Arial"/>
        </w:rPr>
      </w:pPr>
      <w:r>
        <w:rPr>
          <w:rFonts w:cs="Arial"/>
        </w:rPr>
        <w:t>Findlay, OH  45839-1793</w:t>
      </w:r>
    </w:p>
    <w:p w:rsidR="00BB5D30" w:rsidRDefault="00BB5D30" w:rsidP="00BB5D30">
      <w:pPr>
        <w:rPr>
          <w:rFonts w:cs="Arial"/>
        </w:rPr>
      </w:pPr>
      <w:r>
        <w:rPr>
          <w:rFonts w:cs="Arial"/>
        </w:rPr>
        <w:t>cmooney@ohiopartners.org</w:t>
      </w:r>
    </w:p>
    <w:p w:rsidR="00BB5D30" w:rsidRDefault="00BB5D30" w:rsidP="00BB5D30">
      <w:pPr>
        <w:rPr>
          <w:rFonts w:cs="Arial"/>
        </w:rPr>
      </w:pPr>
    </w:p>
    <w:p w:rsidR="00BB5D30" w:rsidRPr="00C27FE6" w:rsidRDefault="00BB5D30" w:rsidP="00BB5D30">
      <w:pPr>
        <w:rPr>
          <w:rFonts w:ascii="Arial Bold" w:hAnsi="Arial Bold" w:cs="Arial"/>
          <w:b/>
          <w:smallCaps/>
        </w:rPr>
      </w:pPr>
      <w:r w:rsidRPr="00C27FE6">
        <w:rPr>
          <w:rFonts w:ascii="Arial Bold" w:hAnsi="Arial Bold" w:cs="Arial"/>
          <w:b/>
          <w:smallCaps/>
        </w:rPr>
        <w:t>On Behalf of Ohio Partners for Affordable Energy</w:t>
      </w:r>
    </w:p>
    <w:p w:rsidR="00BB5D30" w:rsidRDefault="00BB5D30" w:rsidP="00BB5D30">
      <w:pPr>
        <w:rPr>
          <w:rFonts w:cs="Arial"/>
        </w:rPr>
      </w:pPr>
    </w:p>
    <w:p w:rsidR="00BB5D30" w:rsidRDefault="00BB5D30" w:rsidP="00BB5D30">
      <w:pPr>
        <w:rPr>
          <w:rFonts w:cs="Arial"/>
        </w:rPr>
      </w:pPr>
      <w:r>
        <w:rPr>
          <w:rFonts w:cs="Arial"/>
        </w:rPr>
        <w:lastRenderedPageBreak/>
        <w:t>Steven T. Nourse (0046705)</w:t>
      </w:r>
    </w:p>
    <w:p w:rsidR="00BB5D30" w:rsidRDefault="00BB5D30" w:rsidP="00BB5D30">
      <w:pPr>
        <w:rPr>
          <w:rFonts w:cs="Arial"/>
        </w:rPr>
      </w:pPr>
      <w:r>
        <w:rPr>
          <w:rFonts w:cs="Arial"/>
        </w:rPr>
        <w:t>Matthew J. Satterwhite (0071972)</w:t>
      </w:r>
    </w:p>
    <w:p w:rsidR="00BB5D30" w:rsidRDefault="00BB5D30" w:rsidP="00BB5D30">
      <w:pPr>
        <w:rPr>
          <w:rFonts w:cs="Arial"/>
        </w:rPr>
      </w:pPr>
      <w:r>
        <w:rPr>
          <w:rFonts w:cs="Arial"/>
        </w:rPr>
        <w:t>Yazen Alami (0086371)</w:t>
      </w:r>
    </w:p>
    <w:p w:rsidR="00BB5D30" w:rsidRDefault="00BB5D30" w:rsidP="00BB5D30">
      <w:pPr>
        <w:rPr>
          <w:rFonts w:cs="Arial"/>
        </w:rPr>
      </w:pPr>
      <w:r>
        <w:rPr>
          <w:rFonts w:cs="Arial"/>
        </w:rPr>
        <w:t>American Electric Power Service Corp.</w:t>
      </w:r>
    </w:p>
    <w:p w:rsidR="00BB5D30" w:rsidRDefault="00BB5D30" w:rsidP="00BB5D30">
      <w:pPr>
        <w:rPr>
          <w:rFonts w:cs="Arial"/>
        </w:rPr>
      </w:pPr>
      <w:r>
        <w:rPr>
          <w:rFonts w:cs="Arial"/>
        </w:rPr>
        <w:t>1 Riverside Plaza, 29</w:t>
      </w:r>
      <w:r w:rsidRPr="00C27FE6">
        <w:rPr>
          <w:rFonts w:cs="Arial"/>
          <w:vertAlign w:val="superscript"/>
        </w:rPr>
        <w:t>th</w:t>
      </w:r>
      <w:r>
        <w:rPr>
          <w:rFonts w:cs="Arial"/>
        </w:rPr>
        <w:t xml:space="preserve"> Floor</w:t>
      </w:r>
    </w:p>
    <w:p w:rsidR="00BB5D30" w:rsidRDefault="00BB5D30" w:rsidP="00BB5D30">
      <w:pPr>
        <w:rPr>
          <w:rFonts w:cs="Arial"/>
        </w:rPr>
      </w:pPr>
      <w:r>
        <w:rPr>
          <w:rFonts w:cs="Arial"/>
        </w:rPr>
        <w:t>Columbus, OH  43215</w:t>
      </w:r>
    </w:p>
    <w:p w:rsidR="00BB5D30" w:rsidRPr="00E06483" w:rsidRDefault="00BF588E" w:rsidP="00BB5D30">
      <w:pPr>
        <w:rPr>
          <w:rFonts w:cs="Arial"/>
        </w:rPr>
      </w:pPr>
      <w:hyperlink r:id="rId53" w:history="1">
        <w:r w:rsidR="00BB5D30" w:rsidRPr="00E06483">
          <w:rPr>
            <w:rStyle w:val="Hyperlink"/>
            <w:color w:val="auto"/>
            <w:u w:val="none"/>
          </w:rPr>
          <w:t>stnourse@aep.com</w:t>
        </w:r>
      </w:hyperlink>
    </w:p>
    <w:p w:rsidR="00BB5D30" w:rsidRPr="00E06483" w:rsidRDefault="00BF588E" w:rsidP="00BB5D30">
      <w:pPr>
        <w:rPr>
          <w:rFonts w:cs="Arial"/>
        </w:rPr>
      </w:pPr>
      <w:hyperlink r:id="rId54" w:history="1">
        <w:r w:rsidR="00BB5D30" w:rsidRPr="00E06483">
          <w:rPr>
            <w:rStyle w:val="Hyperlink"/>
            <w:color w:val="auto"/>
            <w:u w:val="none"/>
          </w:rPr>
          <w:t>mjsatterwhite@aep.com</w:t>
        </w:r>
      </w:hyperlink>
    </w:p>
    <w:p w:rsidR="00BB5D30" w:rsidRPr="00E06483" w:rsidRDefault="00BF588E" w:rsidP="00BB5D30">
      <w:pPr>
        <w:rPr>
          <w:rFonts w:cs="Arial"/>
        </w:rPr>
      </w:pPr>
      <w:hyperlink r:id="rId55" w:history="1">
        <w:r w:rsidR="00BB5D30" w:rsidRPr="00E06483">
          <w:rPr>
            <w:rStyle w:val="Hyperlink"/>
            <w:color w:val="auto"/>
            <w:u w:val="none"/>
          </w:rPr>
          <w:t>yalami@aep.com</w:t>
        </w:r>
      </w:hyperlink>
    </w:p>
    <w:p w:rsidR="00BB5D30" w:rsidRDefault="00BB5D30" w:rsidP="00BB5D30">
      <w:pPr>
        <w:rPr>
          <w:rFonts w:cs="Arial"/>
        </w:rPr>
      </w:pPr>
    </w:p>
    <w:p w:rsidR="00BB5D30" w:rsidRDefault="00BB5D30" w:rsidP="00BB5D30">
      <w:pPr>
        <w:rPr>
          <w:rFonts w:ascii="Arial Bold" w:hAnsi="Arial Bold" w:cs="Arial"/>
          <w:b/>
          <w:smallCaps/>
        </w:rPr>
      </w:pPr>
      <w:r w:rsidRPr="00C27FE6">
        <w:rPr>
          <w:rFonts w:ascii="Arial Bold" w:hAnsi="Arial Bold" w:cs="Arial"/>
          <w:b/>
          <w:smallCaps/>
        </w:rPr>
        <w:t>On Behalf of Ohio Power Company</w:t>
      </w:r>
    </w:p>
    <w:p w:rsidR="00BB5D30" w:rsidRDefault="00BB5D30" w:rsidP="00BB5D30">
      <w:pPr>
        <w:rPr>
          <w:rFonts w:ascii="Arial Bold" w:hAnsi="Arial Bold" w:cs="Arial"/>
          <w:b/>
          <w:smallCaps/>
        </w:rPr>
      </w:pPr>
    </w:p>
    <w:p w:rsidR="00BB5D30" w:rsidRDefault="00BB5D30" w:rsidP="00BB5D30">
      <w:pPr>
        <w:rPr>
          <w:rFonts w:cs="Arial"/>
        </w:rPr>
      </w:pPr>
      <w:r>
        <w:rPr>
          <w:rFonts w:cs="Arial"/>
        </w:rPr>
        <w:t>Trent Dougherty (0079817)</w:t>
      </w:r>
    </w:p>
    <w:p w:rsidR="00BB5D30" w:rsidRDefault="00BB5D30" w:rsidP="00BB5D30">
      <w:pPr>
        <w:rPr>
          <w:rFonts w:cs="Arial"/>
        </w:rPr>
      </w:pPr>
      <w:r>
        <w:rPr>
          <w:rFonts w:cs="Arial"/>
        </w:rPr>
        <w:t>1207 Grandview Avenue, Suite 201</w:t>
      </w:r>
      <w:r>
        <w:rPr>
          <w:rFonts w:cs="Arial"/>
        </w:rPr>
        <w:tab/>
      </w:r>
    </w:p>
    <w:p w:rsidR="00BB5D30" w:rsidRDefault="00BB5D30" w:rsidP="00BB5D30">
      <w:pPr>
        <w:rPr>
          <w:rFonts w:cs="Arial"/>
        </w:rPr>
      </w:pPr>
      <w:r>
        <w:rPr>
          <w:rFonts w:cs="Arial"/>
        </w:rPr>
        <w:t>Columbus, OH  43212-3449</w:t>
      </w:r>
    </w:p>
    <w:p w:rsidR="00BB5D30" w:rsidRDefault="00BB5D30" w:rsidP="00BB5D30">
      <w:pPr>
        <w:rPr>
          <w:rFonts w:cs="Arial"/>
        </w:rPr>
      </w:pPr>
      <w:r>
        <w:rPr>
          <w:rFonts w:cs="Arial"/>
        </w:rPr>
        <w:t>tdougherty@theOEC.org</w:t>
      </w:r>
    </w:p>
    <w:p w:rsidR="00BB5D30" w:rsidRDefault="00BB5D30" w:rsidP="00BB5D30">
      <w:pPr>
        <w:rPr>
          <w:rFonts w:cs="Arial"/>
        </w:rPr>
      </w:pPr>
    </w:p>
    <w:p w:rsidR="00BB5D30" w:rsidRDefault="00BB5D30" w:rsidP="00BB5D30">
      <w:pPr>
        <w:rPr>
          <w:rFonts w:ascii="Arial Bold" w:hAnsi="Arial Bold" w:cs="Arial"/>
          <w:b/>
          <w:smallCaps/>
        </w:rPr>
      </w:pPr>
      <w:r w:rsidRPr="0079557E">
        <w:rPr>
          <w:rFonts w:ascii="Arial Bold" w:hAnsi="Arial Bold" w:cs="Arial"/>
          <w:b/>
          <w:smallCaps/>
        </w:rPr>
        <w:t>On Behalf of the Ohio Environmental Council</w:t>
      </w:r>
    </w:p>
    <w:p w:rsidR="00BB5D30" w:rsidRDefault="00BB5D30" w:rsidP="00BB5D30">
      <w:pPr>
        <w:rPr>
          <w:rFonts w:ascii="Arial Bold" w:hAnsi="Arial Bold" w:cs="Arial"/>
          <w:b/>
          <w:smallCaps/>
        </w:rPr>
      </w:pPr>
    </w:p>
    <w:p w:rsidR="00BB5D30" w:rsidRDefault="00BB5D30" w:rsidP="00BB5D30">
      <w:pPr>
        <w:rPr>
          <w:rFonts w:cs="Arial"/>
        </w:rPr>
      </w:pPr>
      <w:r>
        <w:rPr>
          <w:rFonts w:cs="Arial"/>
        </w:rPr>
        <w:t>Christopher J. Allwein (0084914)</w:t>
      </w:r>
    </w:p>
    <w:p w:rsidR="00EE5C81" w:rsidRDefault="00EE5C81" w:rsidP="00BB5D30">
      <w:pPr>
        <w:rPr>
          <w:rFonts w:cs="Arial"/>
        </w:rPr>
      </w:pPr>
      <w:r>
        <w:rPr>
          <w:rFonts w:cs="Arial"/>
        </w:rPr>
        <w:t>Kegler Brown Hill &amp; Ritter Co., LPA</w:t>
      </w:r>
    </w:p>
    <w:p w:rsidR="00BB5D30" w:rsidRDefault="00EE5C81" w:rsidP="00BB5D30">
      <w:pPr>
        <w:rPr>
          <w:rFonts w:cs="Arial"/>
        </w:rPr>
      </w:pPr>
      <w:r>
        <w:rPr>
          <w:rFonts w:cs="Arial"/>
        </w:rPr>
        <w:t>65 East State Street – 1800</w:t>
      </w:r>
    </w:p>
    <w:p w:rsidR="00EE5C81" w:rsidRDefault="00EE5C81" w:rsidP="00BB5D30">
      <w:pPr>
        <w:rPr>
          <w:rFonts w:cs="Arial"/>
        </w:rPr>
      </w:pPr>
      <w:r>
        <w:rPr>
          <w:rFonts w:cs="Arial"/>
        </w:rPr>
        <w:t>Columbus, OH  43215</w:t>
      </w:r>
    </w:p>
    <w:p w:rsidR="00EE5C81" w:rsidRDefault="00EE5C81" w:rsidP="00BB5D30">
      <w:pPr>
        <w:rPr>
          <w:rFonts w:cs="Arial"/>
        </w:rPr>
      </w:pPr>
      <w:r>
        <w:rPr>
          <w:rFonts w:cs="Arial"/>
        </w:rPr>
        <w:t>callwein@keglerbrown.com</w:t>
      </w:r>
    </w:p>
    <w:p w:rsidR="00EE5C81" w:rsidRDefault="00EE5C81" w:rsidP="00BB5D30">
      <w:pPr>
        <w:rPr>
          <w:rFonts w:cs="Arial"/>
        </w:rPr>
      </w:pPr>
    </w:p>
    <w:p w:rsidR="00BB5D30" w:rsidRDefault="00BB5D30" w:rsidP="00BB5D30">
      <w:pPr>
        <w:rPr>
          <w:rFonts w:cs="Arial"/>
        </w:rPr>
      </w:pPr>
      <w:r>
        <w:rPr>
          <w:rFonts w:cs="Arial"/>
        </w:rPr>
        <w:t>Tony G. Mendoza (PHV-5610-2014)</w:t>
      </w:r>
    </w:p>
    <w:p w:rsidR="00BB5D30" w:rsidRDefault="00BB5D30" w:rsidP="00BB5D30">
      <w:pPr>
        <w:rPr>
          <w:rFonts w:cs="Arial"/>
        </w:rPr>
      </w:pPr>
      <w:r>
        <w:rPr>
          <w:rFonts w:cs="Arial"/>
        </w:rPr>
        <w:t>Sierra Club</w:t>
      </w:r>
    </w:p>
    <w:p w:rsidR="00BB5D30" w:rsidRDefault="00BB5D30" w:rsidP="00BB5D30">
      <w:pPr>
        <w:rPr>
          <w:rFonts w:cs="Arial"/>
        </w:rPr>
      </w:pPr>
      <w:r>
        <w:rPr>
          <w:rFonts w:cs="Arial"/>
        </w:rPr>
        <w:t>Environmental Law Program</w:t>
      </w:r>
    </w:p>
    <w:p w:rsidR="00BB5D30" w:rsidRDefault="00BB5D30" w:rsidP="00BB5D30">
      <w:pPr>
        <w:rPr>
          <w:rFonts w:cs="Arial"/>
        </w:rPr>
      </w:pPr>
      <w:r>
        <w:rPr>
          <w:rFonts w:cs="Arial"/>
        </w:rPr>
        <w:t>85 Second Street, 2</w:t>
      </w:r>
      <w:r w:rsidRPr="000F58C4">
        <w:rPr>
          <w:rFonts w:cs="Arial"/>
          <w:vertAlign w:val="superscript"/>
        </w:rPr>
        <w:t>nd</w:t>
      </w:r>
      <w:r>
        <w:rPr>
          <w:rFonts w:cs="Arial"/>
        </w:rPr>
        <w:t xml:space="preserve"> Floor</w:t>
      </w:r>
    </w:p>
    <w:p w:rsidR="00BB5D30" w:rsidRDefault="00BB5D30" w:rsidP="00BB5D30">
      <w:pPr>
        <w:rPr>
          <w:rFonts w:cs="Arial"/>
        </w:rPr>
      </w:pPr>
      <w:r>
        <w:rPr>
          <w:rFonts w:cs="Arial"/>
        </w:rPr>
        <w:t>San Francisco, CA  94105-3459</w:t>
      </w:r>
    </w:p>
    <w:p w:rsidR="00BB5D30" w:rsidRDefault="00BB5D30" w:rsidP="00BB5D30">
      <w:pPr>
        <w:rPr>
          <w:rFonts w:cs="Arial"/>
        </w:rPr>
      </w:pPr>
      <w:r>
        <w:rPr>
          <w:rFonts w:cs="Arial"/>
        </w:rPr>
        <w:t>tony.mendoza@sierraclub.org</w:t>
      </w:r>
    </w:p>
    <w:p w:rsidR="00BB5D30" w:rsidRDefault="00BB5D30" w:rsidP="00BB5D30">
      <w:pPr>
        <w:rPr>
          <w:rFonts w:cs="Arial"/>
        </w:rPr>
      </w:pPr>
    </w:p>
    <w:p w:rsidR="00BB5D30" w:rsidRPr="00DA3747" w:rsidRDefault="00BB5D30" w:rsidP="00BB5D30">
      <w:pPr>
        <w:rPr>
          <w:rFonts w:ascii="Arial Bold" w:hAnsi="Arial Bold" w:cs="Arial"/>
          <w:b/>
          <w:smallCaps/>
        </w:rPr>
      </w:pPr>
      <w:r w:rsidRPr="00DA3747">
        <w:rPr>
          <w:rFonts w:ascii="Arial Bold" w:hAnsi="Arial Bold" w:cs="Arial"/>
          <w:b/>
          <w:smallCaps/>
        </w:rPr>
        <w:t>On Behalf of the Sierra Club</w:t>
      </w:r>
    </w:p>
    <w:p w:rsidR="00BB5D30" w:rsidRDefault="00E06483" w:rsidP="00BB5D30">
      <w:pPr>
        <w:rPr>
          <w:rFonts w:cs="Arial"/>
        </w:rPr>
      </w:pPr>
      <w:r>
        <w:rPr>
          <w:rFonts w:ascii="Arial Bold" w:hAnsi="Arial Bold" w:cs="Arial"/>
          <w:smallCaps/>
        </w:rPr>
        <w:br w:type="column"/>
      </w:r>
      <w:r w:rsidR="00BB5D30">
        <w:rPr>
          <w:rFonts w:cs="Arial"/>
        </w:rPr>
        <w:lastRenderedPageBreak/>
        <w:t>M. Howard Petricoff (0008287)</w:t>
      </w:r>
    </w:p>
    <w:p w:rsidR="00BB5D30" w:rsidRDefault="00BB5D30" w:rsidP="00BB5D30">
      <w:pPr>
        <w:rPr>
          <w:rFonts w:cs="Arial"/>
        </w:rPr>
      </w:pPr>
      <w:r>
        <w:rPr>
          <w:rFonts w:cs="Arial"/>
        </w:rPr>
        <w:t>Michael J. Settineri (0073369)</w:t>
      </w:r>
    </w:p>
    <w:p w:rsidR="00BB5D30" w:rsidRDefault="00BB5D30" w:rsidP="00BB5D30">
      <w:pPr>
        <w:rPr>
          <w:rFonts w:cs="Arial"/>
        </w:rPr>
      </w:pPr>
      <w:r>
        <w:rPr>
          <w:rFonts w:cs="Arial"/>
        </w:rPr>
        <w:t>Gretchen L. Petrucci (0046608)</w:t>
      </w:r>
    </w:p>
    <w:p w:rsidR="00BB5D30" w:rsidRDefault="00BB5D30" w:rsidP="00BB5D30">
      <w:pPr>
        <w:rPr>
          <w:rFonts w:cs="Arial"/>
        </w:rPr>
      </w:pPr>
      <w:r>
        <w:rPr>
          <w:rFonts w:cs="Arial"/>
        </w:rPr>
        <w:t>Vorys, Sater, Seymour and Pease LLP</w:t>
      </w:r>
    </w:p>
    <w:p w:rsidR="00BB5D30" w:rsidRDefault="00BB5D30" w:rsidP="00BB5D30">
      <w:pPr>
        <w:rPr>
          <w:rFonts w:cs="Arial"/>
        </w:rPr>
      </w:pPr>
      <w:r>
        <w:rPr>
          <w:rFonts w:cs="Arial"/>
        </w:rPr>
        <w:t>52 East Gay Street</w:t>
      </w:r>
    </w:p>
    <w:p w:rsidR="00BB5D30" w:rsidRDefault="00BB5D30" w:rsidP="00BB5D30">
      <w:pPr>
        <w:rPr>
          <w:rFonts w:cs="Arial"/>
        </w:rPr>
      </w:pPr>
      <w:r>
        <w:rPr>
          <w:rFonts w:cs="Arial"/>
        </w:rPr>
        <w:t>P.O. Box 1008</w:t>
      </w:r>
    </w:p>
    <w:p w:rsidR="00BB5D30" w:rsidRDefault="00BB5D30" w:rsidP="00BB5D30">
      <w:pPr>
        <w:rPr>
          <w:rFonts w:cs="Arial"/>
        </w:rPr>
      </w:pPr>
      <w:r>
        <w:rPr>
          <w:rFonts w:cs="Arial"/>
        </w:rPr>
        <w:t>Columbus, OH  43216-1008</w:t>
      </w:r>
    </w:p>
    <w:p w:rsidR="00BB5D30" w:rsidRDefault="00BB5D30" w:rsidP="00BB5D30">
      <w:pPr>
        <w:rPr>
          <w:rFonts w:cs="Arial"/>
        </w:rPr>
      </w:pPr>
      <w:r>
        <w:rPr>
          <w:rFonts w:cs="Arial"/>
        </w:rPr>
        <w:t>mhpetricoff@vorys.com</w:t>
      </w:r>
    </w:p>
    <w:p w:rsidR="00BB5D30" w:rsidRDefault="00BB5D30" w:rsidP="00BB5D30">
      <w:pPr>
        <w:rPr>
          <w:rFonts w:cs="Arial"/>
        </w:rPr>
      </w:pPr>
      <w:r>
        <w:rPr>
          <w:rFonts w:cs="Arial"/>
        </w:rPr>
        <w:t>mjsettineri@vorys.com</w:t>
      </w:r>
    </w:p>
    <w:p w:rsidR="00BB5D30" w:rsidRDefault="00BB5D30" w:rsidP="00BB5D30">
      <w:pPr>
        <w:rPr>
          <w:rFonts w:cs="Arial"/>
        </w:rPr>
      </w:pPr>
      <w:r>
        <w:rPr>
          <w:rFonts w:cs="Arial"/>
        </w:rPr>
        <w:t>glpetrucci@vorys.com</w:t>
      </w:r>
    </w:p>
    <w:p w:rsidR="00BB5D30" w:rsidRDefault="00BB5D30" w:rsidP="00BB5D30">
      <w:pPr>
        <w:rPr>
          <w:rFonts w:cs="Arial"/>
        </w:rPr>
      </w:pPr>
    </w:p>
    <w:p w:rsidR="00BB5D30" w:rsidRDefault="00BB5D30" w:rsidP="00BB5D30">
      <w:pPr>
        <w:rPr>
          <w:rFonts w:cs="Arial"/>
        </w:rPr>
      </w:pPr>
      <w:r w:rsidRPr="0076382E">
        <w:rPr>
          <w:rFonts w:ascii="Arial Bold" w:hAnsi="Arial Bold" w:cs="Arial"/>
          <w:b/>
          <w:smallCaps/>
        </w:rPr>
        <w:t>On Behalf of Constellation NewEnergy, Inc. and Exelon Generation Company, LLC</w:t>
      </w:r>
      <w:r>
        <w:rPr>
          <w:rFonts w:ascii="Arial Bold" w:hAnsi="Arial Bold" w:cs="Arial"/>
          <w:b/>
          <w:smallCaps/>
        </w:rPr>
        <w:t>, Miami University, University of Cincinnati, Retail Energy Supply Association</w:t>
      </w:r>
    </w:p>
    <w:p w:rsidR="00BB5D30" w:rsidRDefault="00BB5D30" w:rsidP="00BB5D30">
      <w:pPr>
        <w:rPr>
          <w:rFonts w:cs="Arial"/>
        </w:rPr>
      </w:pPr>
    </w:p>
    <w:p w:rsidR="00BB5D30" w:rsidRDefault="00BB5D30" w:rsidP="00BB5D30">
      <w:pPr>
        <w:rPr>
          <w:rFonts w:cs="Arial"/>
        </w:rPr>
      </w:pPr>
      <w:r>
        <w:rPr>
          <w:rFonts w:cs="Arial"/>
        </w:rPr>
        <w:t>Andrew J. Sonderman (0008610)</w:t>
      </w:r>
    </w:p>
    <w:p w:rsidR="00BB5D30" w:rsidRDefault="00BB5D30" w:rsidP="00BB5D30">
      <w:pPr>
        <w:rPr>
          <w:rFonts w:cs="Arial"/>
        </w:rPr>
      </w:pPr>
      <w:r>
        <w:rPr>
          <w:rFonts w:cs="Arial"/>
        </w:rPr>
        <w:t>Margeaux Kimbrough</w:t>
      </w:r>
      <w:r w:rsidR="00D3353C">
        <w:rPr>
          <w:rFonts w:cs="Arial"/>
        </w:rPr>
        <w:t xml:space="preserve"> </w:t>
      </w:r>
      <w:r>
        <w:rPr>
          <w:rFonts w:cs="Arial"/>
        </w:rPr>
        <w:t>(0085152)</w:t>
      </w:r>
    </w:p>
    <w:p w:rsidR="00BB5D30" w:rsidRDefault="00BB5D30" w:rsidP="00BB5D30">
      <w:pPr>
        <w:rPr>
          <w:rFonts w:cs="Arial"/>
        </w:rPr>
      </w:pPr>
      <w:r>
        <w:rPr>
          <w:rFonts w:cs="Arial"/>
        </w:rPr>
        <w:t>Kegler Brown Hill &amp; Ritter LPA</w:t>
      </w:r>
    </w:p>
    <w:p w:rsidR="00BB5D30" w:rsidRDefault="00BB5D30" w:rsidP="00BB5D30">
      <w:pPr>
        <w:rPr>
          <w:rFonts w:cs="Arial"/>
        </w:rPr>
      </w:pPr>
      <w:r>
        <w:rPr>
          <w:rFonts w:cs="Arial"/>
        </w:rPr>
        <w:t>Capitol Square, Suite 1800</w:t>
      </w:r>
    </w:p>
    <w:p w:rsidR="00BB5D30" w:rsidRDefault="00BB5D30" w:rsidP="00BB5D30">
      <w:pPr>
        <w:rPr>
          <w:rFonts w:cs="Arial"/>
        </w:rPr>
      </w:pPr>
      <w:r>
        <w:rPr>
          <w:rFonts w:cs="Arial"/>
        </w:rPr>
        <w:t>65 East State Street</w:t>
      </w:r>
    </w:p>
    <w:p w:rsidR="00BB5D30" w:rsidRDefault="00BB5D30" w:rsidP="00BB5D30">
      <w:pPr>
        <w:rPr>
          <w:rFonts w:cs="Arial"/>
        </w:rPr>
      </w:pPr>
      <w:r>
        <w:rPr>
          <w:rFonts w:cs="Arial"/>
        </w:rPr>
        <w:t>Columbus, OH  43215-4294</w:t>
      </w:r>
    </w:p>
    <w:p w:rsidR="00BB5D30" w:rsidRDefault="00BB5D30" w:rsidP="00BB5D30">
      <w:pPr>
        <w:rPr>
          <w:rFonts w:cs="Arial"/>
        </w:rPr>
      </w:pPr>
      <w:r>
        <w:rPr>
          <w:rFonts w:cs="Arial"/>
        </w:rPr>
        <w:t>asonderman@keglerbrown.com</w:t>
      </w:r>
    </w:p>
    <w:p w:rsidR="00BB5D30" w:rsidRDefault="00BB5D30" w:rsidP="00BB5D30">
      <w:pPr>
        <w:rPr>
          <w:rFonts w:cs="Arial"/>
        </w:rPr>
      </w:pPr>
      <w:r>
        <w:rPr>
          <w:rFonts w:cs="Arial"/>
        </w:rPr>
        <w:t>mkimbrough@keglerbrown.com</w:t>
      </w:r>
    </w:p>
    <w:p w:rsidR="00BB5D30" w:rsidRDefault="00BB5D30" w:rsidP="00BB5D30">
      <w:pPr>
        <w:rPr>
          <w:rFonts w:cs="Arial"/>
        </w:rPr>
      </w:pPr>
    </w:p>
    <w:p w:rsidR="00BB5D30" w:rsidRPr="00967F8D" w:rsidRDefault="00BB5D30" w:rsidP="00BB5D30">
      <w:pPr>
        <w:rPr>
          <w:rFonts w:ascii="Arial Bold" w:hAnsi="Arial Bold" w:cs="Arial"/>
          <w:b/>
          <w:smallCaps/>
        </w:rPr>
      </w:pPr>
      <w:r w:rsidRPr="00967F8D">
        <w:rPr>
          <w:rFonts w:ascii="Arial Bold" w:hAnsi="Arial Bold" w:cs="Arial"/>
          <w:b/>
          <w:smallCaps/>
        </w:rPr>
        <w:t>On Behalf of People Working Cooperatively, Inc.</w:t>
      </w:r>
    </w:p>
    <w:p w:rsidR="00BB5D30" w:rsidRDefault="00BB5D30" w:rsidP="00BB5D30">
      <w:pPr>
        <w:rPr>
          <w:rFonts w:cs="Arial"/>
        </w:rPr>
      </w:pPr>
    </w:p>
    <w:p w:rsidR="00BB5D30" w:rsidRDefault="00BB5D30" w:rsidP="00BB5D30">
      <w:pPr>
        <w:rPr>
          <w:rFonts w:cs="Arial"/>
        </w:rPr>
      </w:pPr>
      <w:r>
        <w:rPr>
          <w:rFonts w:cs="Arial"/>
        </w:rPr>
        <w:t>David I. Fein</w:t>
      </w:r>
    </w:p>
    <w:p w:rsidR="00BB5D30" w:rsidRDefault="00BB5D30" w:rsidP="00BB5D30">
      <w:pPr>
        <w:rPr>
          <w:rFonts w:cs="Arial"/>
        </w:rPr>
      </w:pPr>
      <w:r>
        <w:rPr>
          <w:rFonts w:cs="Arial"/>
        </w:rPr>
        <w:t>Vice President, State Government Affairs—East</w:t>
      </w:r>
    </w:p>
    <w:p w:rsidR="00BB5D30" w:rsidRDefault="00BB5D30" w:rsidP="00BB5D30">
      <w:pPr>
        <w:rPr>
          <w:rFonts w:cs="Arial"/>
        </w:rPr>
      </w:pPr>
      <w:r>
        <w:rPr>
          <w:rFonts w:cs="Arial"/>
        </w:rPr>
        <w:t>Exelon Corporation</w:t>
      </w:r>
    </w:p>
    <w:p w:rsidR="00BB5D30" w:rsidRDefault="00BB5D30" w:rsidP="00BB5D30">
      <w:pPr>
        <w:rPr>
          <w:rFonts w:cs="Arial"/>
        </w:rPr>
      </w:pPr>
      <w:r>
        <w:rPr>
          <w:rFonts w:cs="Arial"/>
        </w:rPr>
        <w:t>10 South Dearborn Street, 47</w:t>
      </w:r>
      <w:r w:rsidRPr="0076382E">
        <w:rPr>
          <w:rFonts w:cs="Arial"/>
          <w:vertAlign w:val="superscript"/>
        </w:rPr>
        <w:t>th</w:t>
      </w:r>
      <w:r>
        <w:rPr>
          <w:rFonts w:cs="Arial"/>
        </w:rPr>
        <w:t xml:space="preserve"> Floor</w:t>
      </w:r>
    </w:p>
    <w:p w:rsidR="00BB5D30" w:rsidRDefault="00BB5D30" w:rsidP="00BB5D30">
      <w:pPr>
        <w:rPr>
          <w:rFonts w:cs="Arial"/>
        </w:rPr>
      </w:pPr>
      <w:r>
        <w:rPr>
          <w:rFonts w:cs="Arial"/>
        </w:rPr>
        <w:t>Chicago, IL  60603</w:t>
      </w:r>
    </w:p>
    <w:p w:rsidR="00BB5D30" w:rsidRDefault="00BB5D30" w:rsidP="00BB5D30">
      <w:pPr>
        <w:rPr>
          <w:rFonts w:cs="Arial"/>
        </w:rPr>
      </w:pPr>
      <w:r>
        <w:rPr>
          <w:rFonts w:cs="Arial"/>
        </w:rPr>
        <w:t>david.fein@exeloncorp.com</w:t>
      </w:r>
    </w:p>
    <w:p w:rsidR="00BB5D30" w:rsidRDefault="00BB5D30" w:rsidP="00BB5D30">
      <w:pPr>
        <w:rPr>
          <w:rFonts w:cs="Arial"/>
        </w:rPr>
      </w:pPr>
    </w:p>
    <w:p w:rsidR="00BB5D30" w:rsidRDefault="00BB5D30" w:rsidP="00BB5D30">
      <w:pPr>
        <w:rPr>
          <w:rFonts w:cs="Arial"/>
        </w:rPr>
      </w:pPr>
      <w:r>
        <w:rPr>
          <w:rFonts w:cs="Arial"/>
        </w:rPr>
        <w:t>Cynthia Fonner Brady</w:t>
      </w:r>
    </w:p>
    <w:p w:rsidR="00BB5D30" w:rsidRDefault="00BB5D30" w:rsidP="00BB5D30">
      <w:pPr>
        <w:rPr>
          <w:rFonts w:cs="Arial"/>
        </w:rPr>
      </w:pPr>
      <w:r>
        <w:rPr>
          <w:rFonts w:cs="Arial"/>
        </w:rPr>
        <w:t>Assistant General Counsel</w:t>
      </w:r>
    </w:p>
    <w:p w:rsidR="00BB5D30" w:rsidRDefault="00BB5D30" w:rsidP="00BB5D30">
      <w:pPr>
        <w:rPr>
          <w:rFonts w:cs="Arial"/>
        </w:rPr>
      </w:pPr>
      <w:r>
        <w:rPr>
          <w:rFonts w:cs="Arial"/>
        </w:rPr>
        <w:t>Exelon Business Services Company</w:t>
      </w:r>
    </w:p>
    <w:p w:rsidR="00BB5D30" w:rsidRDefault="00BB5D30" w:rsidP="00BB5D30">
      <w:pPr>
        <w:rPr>
          <w:rFonts w:cs="Arial"/>
        </w:rPr>
      </w:pPr>
      <w:r>
        <w:rPr>
          <w:rFonts w:cs="Arial"/>
        </w:rPr>
        <w:t>4300 Winfield Road</w:t>
      </w:r>
    </w:p>
    <w:p w:rsidR="00BB5D30" w:rsidRDefault="00BB5D30" w:rsidP="00BB5D30">
      <w:pPr>
        <w:rPr>
          <w:rFonts w:cs="Arial"/>
        </w:rPr>
      </w:pPr>
      <w:r>
        <w:rPr>
          <w:rFonts w:cs="Arial"/>
        </w:rPr>
        <w:t>Warrenville, IL  60555</w:t>
      </w:r>
    </w:p>
    <w:p w:rsidR="00BB5D30" w:rsidRDefault="00BB5D30" w:rsidP="00BB5D30">
      <w:pPr>
        <w:rPr>
          <w:rFonts w:cs="Arial"/>
        </w:rPr>
      </w:pPr>
      <w:r>
        <w:rPr>
          <w:rFonts w:cs="Arial"/>
        </w:rPr>
        <w:t>cynthia.brady@constellation.com</w:t>
      </w:r>
    </w:p>
    <w:p w:rsidR="00BB5D30" w:rsidRDefault="00BB5D30" w:rsidP="00BB5D30">
      <w:pPr>
        <w:rPr>
          <w:rFonts w:cs="Arial"/>
        </w:rPr>
      </w:pPr>
    </w:p>
    <w:p w:rsidR="00E06483" w:rsidRDefault="00E06483" w:rsidP="00BB5D30">
      <w:pPr>
        <w:rPr>
          <w:rFonts w:cs="Arial"/>
        </w:rPr>
      </w:pPr>
    </w:p>
    <w:p w:rsidR="00E06483" w:rsidRDefault="00E06483" w:rsidP="00BB5D30">
      <w:pPr>
        <w:rPr>
          <w:rFonts w:cs="Arial"/>
        </w:rPr>
      </w:pPr>
    </w:p>
    <w:p w:rsidR="00E06483" w:rsidRDefault="00E06483" w:rsidP="00BB5D30">
      <w:pPr>
        <w:rPr>
          <w:rFonts w:cs="Arial"/>
        </w:rPr>
      </w:pPr>
    </w:p>
    <w:p w:rsidR="00BB5D30" w:rsidRDefault="00BB5D30" w:rsidP="00BB5D30">
      <w:pPr>
        <w:rPr>
          <w:rFonts w:cs="Arial"/>
        </w:rPr>
      </w:pPr>
      <w:r>
        <w:rPr>
          <w:rFonts w:cs="Arial"/>
        </w:rPr>
        <w:lastRenderedPageBreak/>
        <w:t>Lael Campbell</w:t>
      </w:r>
    </w:p>
    <w:p w:rsidR="00BB5D30" w:rsidRDefault="00BB5D30" w:rsidP="00BB5D30">
      <w:pPr>
        <w:rPr>
          <w:rFonts w:cs="Arial"/>
        </w:rPr>
      </w:pPr>
      <w:r>
        <w:rPr>
          <w:rFonts w:cs="Arial"/>
        </w:rPr>
        <w:t>Exelon</w:t>
      </w:r>
    </w:p>
    <w:p w:rsidR="00BB5D30" w:rsidRDefault="00BB5D30" w:rsidP="00BB5D30">
      <w:pPr>
        <w:rPr>
          <w:rFonts w:cs="Arial"/>
        </w:rPr>
      </w:pPr>
      <w:r>
        <w:rPr>
          <w:rFonts w:cs="Arial"/>
        </w:rPr>
        <w:t>101 Constitution Ave, NW</w:t>
      </w:r>
    </w:p>
    <w:p w:rsidR="00BB5D30" w:rsidRDefault="00BB5D30" w:rsidP="00BB5D30">
      <w:pPr>
        <w:rPr>
          <w:rFonts w:cs="Arial"/>
        </w:rPr>
      </w:pPr>
      <w:r>
        <w:rPr>
          <w:rFonts w:cs="Arial"/>
        </w:rPr>
        <w:t>Washington, DC  20001</w:t>
      </w:r>
    </w:p>
    <w:p w:rsidR="00BB5D30" w:rsidRDefault="00BB5D30" w:rsidP="00BB5D30">
      <w:pPr>
        <w:rPr>
          <w:rFonts w:cs="Arial"/>
        </w:rPr>
      </w:pPr>
      <w:r>
        <w:rPr>
          <w:rFonts w:cs="Arial"/>
        </w:rPr>
        <w:t>Lael.Campbell@constellation.com</w:t>
      </w:r>
    </w:p>
    <w:p w:rsidR="00BB5D30" w:rsidRDefault="00BB5D30" w:rsidP="00BB5D30">
      <w:pPr>
        <w:rPr>
          <w:rFonts w:cs="Arial"/>
        </w:rPr>
      </w:pPr>
    </w:p>
    <w:p w:rsidR="00BB5D30" w:rsidRDefault="00BB5D30" w:rsidP="00BB5D30">
      <w:pPr>
        <w:rPr>
          <w:rFonts w:ascii="Arial Bold" w:hAnsi="Arial Bold" w:cs="Arial"/>
          <w:b/>
          <w:smallCaps/>
        </w:rPr>
      </w:pPr>
      <w:r w:rsidRPr="0076382E">
        <w:rPr>
          <w:rFonts w:ascii="Arial Bold" w:hAnsi="Arial Bold" w:cs="Arial"/>
          <w:b/>
          <w:smallCaps/>
        </w:rPr>
        <w:t>On Behalf of Constellation NewEnergy, Inc. and Exelon Generation Company, LLC</w:t>
      </w:r>
    </w:p>
    <w:p w:rsidR="00BB5D30" w:rsidRDefault="00BB5D30" w:rsidP="00BB5D30">
      <w:pPr>
        <w:rPr>
          <w:rFonts w:ascii="Arial Bold" w:hAnsi="Arial Bold" w:cs="Arial"/>
          <w:b/>
          <w:smallCaps/>
        </w:rPr>
      </w:pPr>
    </w:p>
    <w:p w:rsidR="00BB5D30" w:rsidRDefault="00BB5D30" w:rsidP="00BB5D30">
      <w:pPr>
        <w:rPr>
          <w:rFonts w:cs="Arial"/>
        </w:rPr>
      </w:pPr>
      <w:r>
        <w:rPr>
          <w:rFonts w:cs="Arial"/>
        </w:rPr>
        <w:t>Justin Vickers</w:t>
      </w:r>
    </w:p>
    <w:p w:rsidR="00BB5D30" w:rsidRDefault="00BB5D30" w:rsidP="00BB5D30">
      <w:pPr>
        <w:rPr>
          <w:rFonts w:cs="Arial"/>
        </w:rPr>
      </w:pPr>
      <w:r>
        <w:rPr>
          <w:rFonts w:cs="Arial"/>
        </w:rPr>
        <w:t>35 East Wacker Drive, Suite 1600</w:t>
      </w:r>
    </w:p>
    <w:p w:rsidR="00BB5D30" w:rsidRDefault="00BB5D30" w:rsidP="00BB5D30">
      <w:pPr>
        <w:rPr>
          <w:rFonts w:cs="Arial"/>
        </w:rPr>
      </w:pPr>
      <w:r>
        <w:rPr>
          <w:rFonts w:cs="Arial"/>
        </w:rPr>
        <w:t>Chicago, IL  60601</w:t>
      </w:r>
    </w:p>
    <w:p w:rsidR="00BB5D30" w:rsidRDefault="00BB5D30" w:rsidP="00BB5D30">
      <w:pPr>
        <w:rPr>
          <w:rFonts w:cs="Arial"/>
        </w:rPr>
      </w:pPr>
      <w:r>
        <w:rPr>
          <w:rFonts w:cs="Arial"/>
        </w:rPr>
        <w:t>jvickers@elpc.org</w:t>
      </w:r>
    </w:p>
    <w:p w:rsidR="00BB5D30" w:rsidRDefault="00BB5D30" w:rsidP="00BB5D30">
      <w:pPr>
        <w:rPr>
          <w:rFonts w:cs="Arial"/>
        </w:rPr>
      </w:pPr>
    </w:p>
    <w:p w:rsidR="00BB5D30" w:rsidRPr="00235585" w:rsidRDefault="00BB5D30" w:rsidP="00BB5D30">
      <w:pPr>
        <w:rPr>
          <w:rFonts w:ascii="Arial Bold" w:hAnsi="Arial Bold" w:cs="Arial"/>
          <w:b/>
          <w:smallCaps/>
        </w:rPr>
      </w:pPr>
      <w:r w:rsidRPr="00235585">
        <w:rPr>
          <w:rFonts w:ascii="Arial Bold" w:hAnsi="Arial Bold" w:cs="Arial"/>
          <w:b/>
          <w:smallCaps/>
        </w:rPr>
        <w:t>On Behalf of the Environmental Law &amp; Policy Center</w:t>
      </w:r>
    </w:p>
    <w:p w:rsidR="00BB5D30" w:rsidRDefault="00BB5D30" w:rsidP="00BB5D30">
      <w:pPr>
        <w:rPr>
          <w:rFonts w:cs="Arial"/>
        </w:rPr>
      </w:pPr>
    </w:p>
    <w:p w:rsidR="00BB5D30" w:rsidRDefault="00BB5D30" w:rsidP="00BB5D30">
      <w:pPr>
        <w:rPr>
          <w:rFonts w:cs="Arial"/>
        </w:rPr>
      </w:pPr>
      <w:r>
        <w:rPr>
          <w:rFonts w:cs="Arial"/>
        </w:rPr>
        <w:t>Samantha Williams</w:t>
      </w:r>
    </w:p>
    <w:p w:rsidR="00BB5D30" w:rsidRDefault="00BB5D30" w:rsidP="00BB5D30">
      <w:pPr>
        <w:rPr>
          <w:rFonts w:cs="Arial"/>
        </w:rPr>
      </w:pPr>
      <w:r>
        <w:rPr>
          <w:rFonts w:cs="Arial"/>
        </w:rPr>
        <w:t>Staff Attorney</w:t>
      </w:r>
    </w:p>
    <w:p w:rsidR="00BB5D30" w:rsidRDefault="00BB5D30" w:rsidP="00BB5D30">
      <w:pPr>
        <w:rPr>
          <w:rFonts w:cs="Arial"/>
        </w:rPr>
      </w:pPr>
      <w:r>
        <w:rPr>
          <w:rFonts w:cs="Arial"/>
        </w:rPr>
        <w:t>Natural Resources Defense Council</w:t>
      </w:r>
    </w:p>
    <w:p w:rsidR="00BB5D30" w:rsidRDefault="00BB5D30" w:rsidP="00BB5D30">
      <w:pPr>
        <w:rPr>
          <w:rFonts w:cs="Arial"/>
        </w:rPr>
      </w:pPr>
      <w:r>
        <w:rPr>
          <w:rFonts w:cs="Arial"/>
        </w:rPr>
        <w:t>20 N Wacker Drive, Suite 1600</w:t>
      </w:r>
    </w:p>
    <w:p w:rsidR="00BB5D30" w:rsidRDefault="00BB5D30" w:rsidP="00BB5D30">
      <w:pPr>
        <w:rPr>
          <w:rFonts w:cs="Arial"/>
        </w:rPr>
      </w:pPr>
      <w:r>
        <w:rPr>
          <w:rFonts w:cs="Arial"/>
        </w:rPr>
        <w:t>Chicago, IL  60606</w:t>
      </w:r>
    </w:p>
    <w:p w:rsidR="00BB5D30" w:rsidRDefault="00BB5D30" w:rsidP="00BB5D30">
      <w:pPr>
        <w:rPr>
          <w:rFonts w:cs="Arial"/>
        </w:rPr>
      </w:pPr>
      <w:r>
        <w:rPr>
          <w:rFonts w:cs="Arial"/>
        </w:rPr>
        <w:t>swilliams@nrdc.org</w:t>
      </w:r>
    </w:p>
    <w:p w:rsidR="00BB5D30" w:rsidRDefault="00BB5D30" w:rsidP="00BB5D30">
      <w:pPr>
        <w:rPr>
          <w:rFonts w:cs="Arial"/>
        </w:rPr>
      </w:pPr>
    </w:p>
    <w:p w:rsidR="00BB5D30" w:rsidRPr="00235585" w:rsidRDefault="00BB5D30" w:rsidP="00BB5D30">
      <w:pPr>
        <w:rPr>
          <w:rFonts w:ascii="Arial Bold" w:hAnsi="Arial Bold" w:cs="Arial"/>
          <w:b/>
          <w:smallCaps/>
        </w:rPr>
      </w:pPr>
      <w:r w:rsidRPr="00235585">
        <w:rPr>
          <w:rFonts w:ascii="Arial Bold" w:hAnsi="Arial Bold" w:cs="Arial"/>
          <w:b/>
          <w:smallCaps/>
        </w:rPr>
        <w:t>On Behalf of the Natural Resources Defense Council</w:t>
      </w:r>
    </w:p>
    <w:p w:rsidR="00BB5D30" w:rsidRDefault="00BB5D30" w:rsidP="00BB5D30">
      <w:pPr>
        <w:rPr>
          <w:rFonts w:cs="Arial"/>
        </w:rPr>
      </w:pPr>
    </w:p>
    <w:p w:rsidR="00BB5D30" w:rsidRDefault="00BB5D30" w:rsidP="00BB5D30">
      <w:pPr>
        <w:rPr>
          <w:rFonts w:cs="Arial"/>
        </w:rPr>
      </w:pPr>
      <w:r>
        <w:rPr>
          <w:rFonts w:cs="Arial"/>
        </w:rPr>
        <w:t>Douglas E. Hart (0005600)</w:t>
      </w:r>
    </w:p>
    <w:p w:rsidR="00BB5D30" w:rsidRDefault="00BB5D30" w:rsidP="00BB5D30">
      <w:pPr>
        <w:rPr>
          <w:rFonts w:cs="Arial"/>
        </w:rPr>
      </w:pPr>
      <w:r>
        <w:rPr>
          <w:rFonts w:cs="Arial"/>
        </w:rPr>
        <w:t>441 Vine Street, Suite 4192</w:t>
      </w:r>
    </w:p>
    <w:p w:rsidR="00BB5D30" w:rsidRDefault="00BB5D30" w:rsidP="00BB5D30">
      <w:pPr>
        <w:rPr>
          <w:rFonts w:cs="Arial"/>
        </w:rPr>
      </w:pPr>
      <w:r>
        <w:rPr>
          <w:rFonts w:cs="Arial"/>
        </w:rPr>
        <w:t>Cincinnati, OH  45202</w:t>
      </w:r>
    </w:p>
    <w:p w:rsidR="00BB5D30" w:rsidRDefault="00BB5D30" w:rsidP="00BB5D30">
      <w:pPr>
        <w:rPr>
          <w:rFonts w:cs="Arial"/>
        </w:rPr>
      </w:pPr>
      <w:r>
        <w:rPr>
          <w:rFonts w:cs="Arial"/>
        </w:rPr>
        <w:t>dhart@douglasehart.com</w:t>
      </w:r>
    </w:p>
    <w:p w:rsidR="00BB5D30" w:rsidRDefault="00BB5D30" w:rsidP="00BB5D30">
      <w:pPr>
        <w:rPr>
          <w:rFonts w:cs="Arial"/>
        </w:rPr>
      </w:pPr>
    </w:p>
    <w:p w:rsidR="00BB5D30" w:rsidRPr="00967F8D" w:rsidRDefault="00BB5D30" w:rsidP="00BB5D30">
      <w:pPr>
        <w:rPr>
          <w:rFonts w:ascii="Arial Bold" w:hAnsi="Arial Bold" w:cs="Arial"/>
          <w:b/>
          <w:smallCaps/>
        </w:rPr>
      </w:pPr>
      <w:r w:rsidRPr="00967F8D">
        <w:rPr>
          <w:rFonts w:ascii="Arial Bold" w:hAnsi="Arial Bold" w:cs="Arial"/>
          <w:b/>
          <w:smallCaps/>
        </w:rPr>
        <w:t>On Behalf of The Greater Cincinnati Health Council</w:t>
      </w:r>
    </w:p>
    <w:p w:rsidR="00BB5D30" w:rsidRDefault="00BB5D30" w:rsidP="00BB5D30">
      <w:pPr>
        <w:rPr>
          <w:rFonts w:cs="Arial"/>
        </w:rPr>
      </w:pPr>
    </w:p>
    <w:p w:rsidR="00BB5D30" w:rsidRDefault="00BB5D30" w:rsidP="00BB5D30">
      <w:pPr>
        <w:rPr>
          <w:rFonts w:cs="Arial"/>
        </w:rPr>
      </w:pPr>
      <w:r>
        <w:rPr>
          <w:rFonts w:cs="Arial"/>
        </w:rPr>
        <w:t>Rebecca L. Hussey (0079444)</w:t>
      </w:r>
    </w:p>
    <w:p w:rsidR="00BB5D30" w:rsidRDefault="00BB5D30" w:rsidP="00BB5D30">
      <w:pPr>
        <w:rPr>
          <w:rFonts w:cs="Arial"/>
        </w:rPr>
      </w:pPr>
      <w:r>
        <w:rPr>
          <w:rFonts w:cs="Arial"/>
        </w:rPr>
        <w:t>Carpenter Lipps &amp; Leland LLP</w:t>
      </w:r>
    </w:p>
    <w:p w:rsidR="00BB5D30" w:rsidRDefault="00BB5D30" w:rsidP="00BB5D30">
      <w:pPr>
        <w:rPr>
          <w:rFonts w:cs="Arial"/>
        </w:rPr>
      </w:pPr>
      <w:r>
        <w:rPr>
          <w:rFonts w:cs="Arial"/>
        </w:rPr>
        <w:t>280 Plaza, Suite 1300</w:t>
      </w:r>
    </w:p>
    <w:p w:rsidR="00BB5D30" w:rsidRDefault="00BB5D30" w:rsidP="00BB5D30">
      <w:pPr>
        <w:rPr>
          <w:rFonts w:cs="Arial"/>
        </w:rPr>
      </w:pPr>
      <w:r>
        <w:rPr>
          <w:rFonts w:cs="Arial"/>
        </w:rPr>
        <w:t>280 North High Street</w:t>
      </w:r>
    </w:p>
    <w:p w:rsidR="00BB5D30" w:rsidRDefault="00BB5D30" w:rsidP="00BB5D30">
      <w:pPr>
        <w:rPr>
          <w:rFonts w:cs="Arial"/>
        </w:rPr>
      </w:pPr>
      <w:r>
        <w:rPr>
          <w:rFonts w:cs="Arial"/>
        </w:rPr>
        <w:t>Columbus, OH  43215</w:t>
      </w:r>
    </w:p>
    <w:p w:rsidR="00BB5D30" w:rsidRDefault="00BB5D30" w:rsidP="00BB5D30">
      <w:pPr>
        <w:rPr>
          <w:rFonts w:cs="Arial"/>
        </w:rPr>
      </w:pPr>
      <w:r>
        <w:rPr>
          <w:rFonts w:cs="Arial"/>
        </w:rPr>
        <w:t>Hussey@carpenterlipps.com</w:t>
      </w:r>
    </w:p>
    <w:p w:rsidR="00BB5D30" w:rsidRDefault="00BB5D30" w:rsidP="00BB5D30">
      <w:pPr>
        <w:rPr>
          <w:rFonts w:cs="Arial"/>
        </w:rPr>
      </w:pPr>
    </w:p>
    <w:p w:rsidR="00BB5D30" w:rsidRPr="00E478FD" w:rsidRDefault="00BB5D30" w:rsidP="00BB5D30">
      <w:pPr>
        <w:rPr>
          <w:rFonts w:ascii="Arial Bold" w:hAnsi="Arial Bold" w:cs="Arial"/>
          <w:b/>
          <w:smallCaps/>
        </w:rPr>
      </w:pPr>
      <w:r w:rsidRPr="00E478FD">
        <w:rPr>
          <w:rFonts w:ascii="Arial Bold" w:hAnsi="Arial Bold" w:cs="Arial"/>
          <w:b/>
          <w:smallCaps/>
        </w:rPr>
        <w:t>On Behalf of The Kroger Company</w:t>
      </w:r>
    </w:p>
    <w:p w:rsidR="00BB5D30" w:rsidRDefault="00E06483" w:rsidP="00BB5D30">
      <w:pPr>
        <w:rPr>
          <w:rFonts w:cs="Arial"/>
        </w:rPr>
      </w:pPr>
      <w:r>
        <w:rPr>
          <w:rFonts w:cs="Arial"/>
        </w:rPr>
        <w:br w:type="column"/>
      </w:r>
      <w:r w:rsidR="00BB5D30">
        <w:rPr>
          <w:rFonts w:cs="Arial"/>
        </w:rPr>
        <w:lastRenderedPageBreak/>
        <w:t>Gregory J. Poulos</w:t>
      </w:r>
    </w:p>
    <w:p w:rsidR="00BB5D30" w:rsidRDefault="00BB5D30" w:rsidP="00BB5D30">
      <w:pPr>
        <w:rPr>
          <w:rFonts w:cs="Arial"/>
        </w:rPr>
      </w:pPr>
      <w:r>
        <w:rPr>
          <w:rFonts w:cs="Arial"/>
        </w:rPr>
        <w:t>EnerNOC, Inc.</w:t>
      </w:r>
    </w:p>
    <w:p w:rsidR="00BB5D30" w:rsidRDefault="00BB5D30" w:rsidP="00BB5D30">
      <w:pPr>
        <w:rPr>
          <w:rFonts w:cs="Arial"/>
        </w:rPr>
      </w:pPr>
      <w:r>
        <w:rPr>
          <w:rFonts w:cs="Arial"/>
        </w:rPr>
        <w:t>471 E. Broad Street, Suite 1520</w:t>
      </w:r>
    </w:p>
    <w:p w:rsidR="00BB5D30" w:rsidRDefault="00BB5D30" w:rsidP="00BB5D30">
      <w:pPr>
        <w:rPr>
          <w:rFonts w:cs="Arial"/>
        </w:rPr>
      </w:pPr>
      <w:r>
        <w:rPr>
          <w:rFonts w:cs="Arial"/>
        </w:rPr>
        <w:t>Columbus, OH  43054</w:t>
      </w:r>
    </w:p>
    <w:p w:rsidR="00BB5D30" w:rsidRDefault="00BB5D30" w:rsidP="00BB5D30">
      <w:pPr>
        <w:rPr>
          <w:rFonts w:cs="Arial"/>
        </w:rPr>
      </w:pPr>
      <w:r>
        <w:rPr>
          <w:rFonts w:cs="Arial"/>
        </w:rPr>
        <w:t>gpoulos@enernoc.com</w:t>
      </w:r>
    </w:p>
    <w:p w:rsidR="00BB5D30" w:rsidRDefault="00BB5D30" w:rsidP="00BB5D30">
      <w:pPr>
        <w:rPr>
          <w:rFonts w:cs="Arial"/>
        </w:rPr>
      </w:pPr>
    </w:p>
    <w:p w:rsidR="00BB5D30" w:rsidRDefault="00BB5D30" w:rsidP="00BB5D30">
      <w:pPr>
        <w:rPr>
          <w:rFonts w:cs="Arial"/>
        </w:rPr>
      </w:pPr>
      <w:r>
        <w:rPr>
          <w:rFonts w:cs="Arial"/>
        </w:rPr>
        <w:t>Joel E. Sechler (0076320)</w:t>
      </w:r>
    </w:p>
    <w:p w:rsidR="00BB5D30" w:rsidRDefault="00BB5D30" w:rsidP="00BB5D30">
      <w:pPr>
        <w:rPr>
          <w:rFonts w:cs="Arial"/>
        </w:rPr>
      </w:pPr>
      <w:r>
        <w:rPr>
          <w:rFonts w:cs="Arial"/>
        </w:rPr>
        <w:t>Carpenter Lipps &amp; Leland LLP</w:t>
      </w:r>
    </w:p>
    <w:p w:rsidR="00BB5D30" w:rsidRDefault="00BB5D30" w:rsidP="00BB5D30">
      <w:pPr>
        <w:rPr>
          <w:rFonts w:cs="Arial"/>
        </w:rPr>
      </w:pPr>
      <w:r>
        <w:rPr>
          <w:rFonts w:cs="Arial"/>
        </w:rPr>
        <w:t>280 North High Street, Suite 1300</w:t>
      </w:r>
    </w:p>
    <w:p w:rsidR="00BB5D30" w:rsidRDefault="00BB5D30" w:rsidP="00BB5D30">
      <w:pPr>
        <w:rPr>
          <w:rFonts w:cs="Arial"/>
        </w:rPr>
      </w:pPr>
      <w:r>
        <w:rPr>
          <w:rFonts w:cs="Arial"/>
        </w:rPr>
        <w:t>Columbus, OH  43215</w:t>
      </w:r>
    </w:p>
    <w:p w:rsidR="00BB5D30" w:rsidRDefault="00BB5D30" w:rsidP="00BB5D30">
      <w:pPr>
        <w:rPr>
          <w:rFonts w:cs="Arial"/>
        </w:rPr>
      </w:pPr>
      <w:r>
        <w:rPr>
          <w:rFonts w:cs="Arial"/>
        </w:rPr>
        <w:t>Sechler@carpenterlipps.com</w:t>
      </w:r>
    </w:p>
    <w:p w:rsidR="00BB5D30" w:rsidRDefault="00BB5D30" w:rsidP="00BB5D30">
      <w:pPr>
        <w:rPr>
          <w:rFonts w:cs="Arial"/>
        </w:rPr>
      </w:pPr>
    </w:p>
    <w:p w:rsidR="00BB5D30" w:rsidRPr="00235585" w:rsidRDefault="00BB5D30" w:rsidP="00BB5D30">
      <w:pPr>
        <w:rPr>
          <w:rFonts w:ascii="Arial Bold" w:hAnsi="Arial Bold" w:cs="Arial"/>
          <w:b/>
          <w:smallCaps/>
        </w:rPr>
      </w:pPr>
      <w:r w:rsidRPr="00235585">
        <w:rPr>
          <w:rFonts w:ascii="Arial Bold" w:hAnsi="Arial Bold" w:cs="Arial"/>
          <w:b/>
          <w:smallCaps/>
        </w:rPr>
        <w:t>On behalf of EnerNOC, Inc.</w:t>
      </w:r>
    </w:p>
    <w:p w:rsidR="00BB5D30" w:rsidRDefault="00BB5D30" w:rsidP="00BB5D30">
      <w:pPr>
        <w:rPr>
          <w:rFonts w:cs="Arial"/>
        </w:rPr>
      </w:pPr>
    </w:p>
    <w:p w:rsidR="00BB5D30" w:rsidRDefault="00BB5D30" w:rsidP="00BB5D30">
      <w:pPr>
        <w:rPr>
          <w:rFonts w:cs="Arial"/>
        </w:rPr>
      </w:pPr>
      <w:r>
        <w:rPr>
          <w:rFonts w:cs="Arial"/>
        </w:rPr>
        <w:t>Thomas J. O’Brien</w:t>
      </w:r>
    </w:p>
    <w:p w:rsidR="00BB5D30" w:rsidRDefault="00BB5D30" w:rsidP="00BB5D30">
      <w:pPr>
        <w:rPr>
          <w:rFonts w:cs="Arial"/>
        </w:rPr>
      </w:pPr>
      <w:r>
        <w:rPr>
          <w:rFonts w:cs="Arial"/>
        </w:rPr>
        <w:t>Bricker &amp; Eckler LLP</w:t>
      </w:r>
    </w:p>
    <w:p w:rsidR="00BB5D30" w:rsidRDefault="00BB5D30" w:rsidP="00BB5D30">
      <w:pPr>
        <w:rPr>
          <w:rFonts w:cs="Arial"/>
        </w:rPr>
      </w:pPr>
      <w:r>
        <w:rPr>
          <w:rFonts w:cs="Arial"/>
        </w:rPr>
        <w:t>100 South Third Street</w:t>
      </w:r>
    </w:p>
    <w:p w:rsidR="00BB5D30" w:rsidRDefault="00BB5D30" w:rsidP="00BB5D30">
      <w:pPr>
        <w:rPr>
          <w:rFonts w:cs="Arial"/>
        </w:rPr>
      </w:pPr>
      <w:r>
        <w:rPr>
          <w:rFonts w:cs="Arial"/>
        </w:rPr>
        <w:t>Columbus, OH  43215-4291</w:t>
      </w:r>
    </w:p>
    <w:p w:rsidR="00BB5D30" w:rsidRDefault="00BB5D30" w:rsidP="00BB5D30">
      <w:pPr>
        <w:rPr>
          <w:rFonts w:cs="Arial"/>
        </w:rPr>
      </w:pPr>
      <w:r>
        <w:rPr>
          <w:rFonts w:cs="Arial"/>
        </w:rPr>
        <w:t>tobrien@bricker.com</w:t>
      </w:r>
    </w:p>
    <w:p w:rsidR="00BB5D30" w:rsidRDefault="00BB5D30" w:rsidP="00BB5D30">
      <w:pPr>
        <w:rPr>
          <w:rFonts w:cs="Arial"/>
        </w:rPr>
      </w:pPr>
    </w:p>
    <w:p w:rsidR="00BB5D30" w:rsidRPr="00235585" w:rsidRDefault="00BB5D30" w:rsidP="00BB5D30">
      <w:pPr>
        <w:rPr>
          <w:rFonts w:ascii="Arial Bold" w:hAnsi="Arial Bold" w:cs="Arial"/>
          <w:b/>
          <w:smallCaps/>
        </w:rPr>
      </w:pPr>
      <w:r w:rsidRPr="00235585">
        <w:rPr>
          <w:rFonts w:ascii="Arial Bold" w:hAnsi="Arial Bold" w:cs="Arial"/>
          <w:b/>
          <w:smallCaps/>
        </w:rPr>
        <w:t>On Behalf of the City of Cincinnati</w:t>
      </w:r>
    </w:p>
    <w:p w:rsidR="00BB5D30" w:rsidRDefault="00BB5D30" w:rsidP="00BB5D30">
      <w:pPr>
        <w:rPr>
          <w:rFonts w:cs="Arial"/>
        </w:rPr>
      </w:pPr>
    </w:p>
    <w:p w:rsidR="00BB5D30" w:rsidRDefault="00BB5D30" w:rsidP="00BB5D30">
      <w:pPr>
        <w:rPr>
          <w:rFonts w:cs="Arial"/>
        </w:rPr>
      </w:pPr>
      <w:r>
        <w:rPr>
          <w:rFonts w:cs="Arial"/>
        </w:rPr>
        <w:t>Donald L. Mason (0042739)</w:t>
      </w:r>
    </w:p>
    <w:p w:rsidR="00BB5D30" w:rsidRDefault="00BB5D30" w:rsidP="00BB5D30">
      <w:pPr>
        <w:rPr>
          <w:rFonts w:cs="Arial"/>
        </w:rPr>
      </w:pPr>
      <w:r>
        <w:rPr>
          <w:rFonts w:cs="Arial"/>
        </w:rPr>
        <w:t>Michael R. Traven (0081158)</w:t>
      </w:r>
    </w:p>
    <w:p w:rsidR="00BB5D30" w:rsidRDefault="00BB5D30" w:rsidP="00BB5D30">
      <w:pPr>
        <w:rPr>
          <w:rFonts w:cs="Arial"/>
        </w:rPr>
      </w:pPr>
      <w:r>
        <w:rPr>
          <w:rFonts w:cs="Arial"/>
        </w:rPr>
        <w:t>Roetzel &amp; Andress, LPA</w:t>
      </w:r>
    </w:p>
    <w:p w:rsidR="00BB5D30" w:rsidRDefault="00BB5D30" w:rsidP="00BB5D30">
      <w:pPr>
        <w:rPr>
          <w:rFonts w:cs="Arial"/>
        </w:rPr>
      </w:pPr>
      <w:r>
        <w:rPr>
          <w:rFonts w:cs="Arial"/>
        </w:rPr>
        <w:t>155 E. Broad Street, 12</w:t>
      </w:r>
      <w:r w:rsidRPr="00D3618A">
        <w:rPr>
          <w:rFonts w:cs="Arial"/>
          <w:vertAlign w:val="superscript"/>
        </w:rPr>
        <w:t>th</w:t>
      </w:r>
      <w:r>
        <w:rPr>
          <w:rFonts w:cs="Arial"/>
        </w:rPr>
        <w:t xml:space="preserve"> Floor</w:t>
      </w:r>
    </w:p>
    <w:p w:rsidR="00BB5D30" w:rsidRDefault="00BB5D30" w:rsidP="00BB5D30">
      <w:pPr>
        <w:rPr>
          <w:rFonts w:cs="Arial"/>
        </w:rPr>
      </w:pPr>
      <w:r>
        <w:rPr>
          <w:rFonts w:cs="Arial"/>
        </w:rPr>
        <w:t>Columbus, OH  43215</w:t>
      </w:r>
    </w:p>
    <w:p w:rsidR="00BB5D30" w:rsidRDefault="00BB5D30" w:rsidP="00BB5D30">
      <w:pPr>
        <w:rPr>
          <w:rFonts w:cs="Arial"/>
        </w:rPr>
      </w:pPr>
      <w:r>
        <w:rPr>
          <w:rFonts w:cs="Arial"/>
        </w:rPr>
        <w:t>dmason@ralaw.com</w:t>
      </w:r>
    </w:p>
    <w:p w:rsidR="00BB5D30" w:rsidRDefault="00BB5D30" w:rsidP="00BB5D30">
      <w:pPr>
        <w:rPr>
          <w:rFonts w:cs="Arial"/>
        </w:rPr>
      </w:pPr>
      <w:r>
        <w:rPr>
          <w:rFonts w:cs="Arial"/>
        </w:rPr>
        <w:t>mtraven@ralaw.com</w:t>
      </w:r>
    </w:p>
    <w:p w:rsidR="00BB5D30" w:rsidRDefault="00BB5D30" w:rsidP="00BB5D30">
      <w:pPr>
        <w:rPr>
          <w:rFonts w:cs="Arial"/>
        </w:rPr>
      </w:pPr>
    </w:p>
    <w:p w:rsidR="00BB5D30" w:rsidRDefault="00BB5D30" w:rsidP="00BB5D30">
      <w:pPr>
        <w:rPr>
          <w:rFonts w:cs="Arial"/>
        </w:rPr>
      </w:pPr>
      <w:r>
        <w:rPr>
          <w:rFonts w:cs="Arial"/>
        </w:rPr>
        <w:t>Rick D. Chamberlain</w:t>
      </w:r>
    </w:p>
    <w:p w:rsidR="00BB5D30" w:rsidRDefault="00BB5D30" w:rsidP="00BB5D30">
      <w:pPr>
        <w:rPr>
          <w:rFonts w:cs="Arial"/>
        </w:rPr>
      </w:pPr>
      <w:r>
        <w:rPr>
          <w:rFonts w:cs="Arial"/>
        </w:rPr>
        <w:t>(Counsel of Record)</w:t>
      </w:r>
    </w:p>
    <w:p w:rsidR="00BB5D30" w:rsidRDefault="00BB5D30" w:rsidP="00BB5D30">
      <w:pPr>
        <w:rPr>
          <w:rFonts w:cs="Arial"/>
        </w:rPr>
      </w:pPr>
      <w:r>
        <w:rPr>
          <w:rFonts w:cs="Arial"/>
        </w:rPr>
        <w:t>Oklahoma Bar Association # 11255</w:t>
      </w:r>
    </w:p>
    <w:p w:rsidR="00BB5D30" w:rsidRDefault="00BB5D30" w:rsidP="00BB5D30">
      <w:pPr>
        <w:rPr>
          <w:rFonts w:cs="Arial"/>
        </w:rPr>
      </w:pPr>
      <w:r>
        <w:rPr>
          <w:rFonts w:cs="Arial"/>
        </w:rPr>
        <w:t>State Bar of Texas #24081827)</w:t>
      </w:r>
    </w:p>
    <w:p w:rsidR="00BB5D30" w:rsidRDefault="00BB5D30" w:rsidP="00BB5D30">
      <w:pPr>
        <w:rPr>
          <w:rFonts w:cs="Arial"/>
        </w:rPr>
      </w:pPr>
      <w:r>
        <w:rPr>
          <w:rFonts w:cs="Arial"/>
        </w:rPr>
        <w:t>Behrens, Wheeler &amp; Chamberlain</w:t>
      </w:r>
    </w:p>
    <w:p w:rsidR="00BB5D30" w:rsidRDefault="00BB5D30" w:rsidP="00BB5D30">
      <w:pPr>
        <w:rPr>
          <w:rFonts w:cs="Arial"/>
        </w:rPr>
      </w:pPr>
      <w:r>
        <w:rPr>
          <w:rFonts w:cs="Arial"/>
        </w:rPr>
        <w:t>6 N.E. 63</w:t>
      </w:r>
      <w:r w:rsidRPr="00D3618A">
        <w:rPr>
          <w:rFonts w:cs="Arial"/>
          <w:vertAlign w:val="superscript"/>
        </w:rPr>
        <w:t>rd</w:t>
      </w:r>
      <w:r>
        <w:rPr>
          <w:rFonts w:cs="Arial"/>
        </w:rPr>
        <w:t xml:space="preserve"> Street, Suite 400</w:t>
      </w:r>
    </w:p>
    <w:p w:rsidR="00BB5D30" w:rsidRDefault="00BB5D30" w:rsidP="00BB5D30">
      <w:pPr>
        <w:rPr>
          <w:rFonts w:cs="Arial"/>
        </w:rPr>
      </w:pPr>
      <w:r>
        <w:rPr>
          <w:rFonts w:cs="Arial"/>
        </w:rPr>
        <w:t>Oklahoma City, OK  73105</w:t>
      </w:r>
    </w:p>
    <w:p w:rsidR="00BB5D30" w:rsidRDefault="00BB5D30" w:rsidP="00BB5D30">
      <w:pPr>
        <w:rPr>
          <w:rFonts w:cs="Arial"/>
        </w:rPr>
      </w:pPr>
      <w:r>
        <w:rPr>
          <w:rFonts w:cs="Arial"/>
        </w:rPr>
        <w:t>rchamberlain@okenergylaw.com</w:t>
      </w:r>
    </w:p>
    <w:p w:rsidR="00BB5D30" w:rsidRDefault="00BB5D30" w:rsidP="00BB5D30">
      <w:pPr>
        <w:rPr>
          <w:rFonts w:cs="Arial"/>
        </w:rPr>
      </w:pPr>
    </w:p>
    <w:p w:rsidR="00BB5D30" w:rsidRPr="00D3618A" w:rsidRDefault="00BB5D30" w:rsidP="00BB5D30">
      <w:pPr>
        <w:rPr>
          <w:rFonts w:ascii="Arial Bold" w:hAnsi="Arial Bold" w:cs="Arial"/>
          <w:b/>
          <w:smallCaps/>
        </w:rPr>
      </w:pPr>
      <w:r w:rsidRPr="00D3618A">
        <w:rPr>
          <w:rFonts w:ascii="Arial Bold" w:hAnsi="Arial Bold" w:cs="Arial"/>
          <w:b/>
          <w:smallCaps/>
        </w:rPr>
        <w:t>On Behalf of Wal-Mart Stores East, LP, and Sam’s East, Inc.</w:t>
      </w:r>
    </w:p>
    <w:p w:rsidR="00BB5D30" w:rsidRDefault="00BB5D30" w:rsidP="00BB5D30">
      <w:pPr>
        <w:rPr>
          <w:rFonts w:cs="Arial"/>
        </w:rPr>
      </w:pPr>
    </w:p>
    <w:p w:rsidR="00E06483" w:rsidRDefault="00E06483" w:rsidP="00BB5D30">
      <w:pPr>
        <w:rPr>
          <w:rFonts w:cs="Arial"/>
        </w:rPr>
      </w:pPr>
    </w:p>
    <w:p w:rsidR="00E06483" w:rsidRDefault="00E06483" w:rsidP="00BB5D30">
      <w:pPr>
        <w:rPr>
          <w:rFonts w:cs="Arial"/>
        </w:rPr>
      </w:pPr>
    </w:p>
    <w:p w:rsidR="00E06483" w:rsidRDefault="00E06483" w:rsidP="00BB5D30">
      <w:pPr>
        <w:rPr>
          <w:rFonts w:cs="Arial"/>
        </w:rPr>
      </w:pPr>
    </w:p>
    <w:p w:rsidR="00E06483" w:rsidRDefault="00E06483" w:rsidP="00BB5D30">
      <w:pPr>
        <w:rPr>
          <w:rFonts w:cs="Arial"/>
        </w:rPr>
      </w:pPr>
    </w:p>
    <w:p w:rsidR="00E06483" w:rsidRDefault="00E06483" w:rsidP="00BB5D30">
      <w:pPr>
        <w:rPr>
          <w:rFonts w:cs="Arial"/>
        </w:rPr>
      </w:pPr>
    </w:p>
    <w:p w:rsidR="00BB5D30" w:rsidRDefault="00BB5D30" w:rsidP="00BB5D30">
      <w:pPr>
        <w:rPr>
          <w:rFonts w:cs="Arial"/>
        </w:rPr>
      </w:pPr>
      <w:r>
        <w:rPr>
          <w:rFonts w:cs="Arial"/>
        </w:rPr>
        <w:lastRenderedPageBreak/>
        <w:t>Dane Stinson (0019101)</w:t>
      </w:r>
    </w:p>
    <w:p w:rsidR="00BB5D30" w:rsidRDefault="00BB5D30" w:rsidP="00BB5D30">
      <w:pPr>
        <w:rPr>
          <w:rFonts w:cs="Arial"/>
        </w:rPr>
      </w:pPr>
      <w:r>
        <w:rPr>
          <w:rFonts w:cs="Arial"/>
        </w:rPr>
        <w:t>Dylan Borchers (0090690)</w:t>
      </w:r>
    </w:p>
    <w:p w:rsidR="00BB5D30" w:rsidRDefault="00BB5D30" w:rsidP="00BB5D30">
      <w:pPr>
        <w:rPr>
          <w:rFonts w:cs="Arial"/>
        </w:rPr>
      </w:pPr>
      <w:r>
        <w:rPr>
          <w:rFonts w:cs="Arial"/>
        </w:rPr>
        <w:t>Bricker &amp; Eckler LLP</w:t>
      </w:r>
    </w:p>
    <w:p w:rsidR="00BB5D30" w:rsidRDefault="00BB5D30" w:rsidP="00BB5D30">
      <w:pPr>
        <w:rPr>
          <w:rFonts w:cs="Arial"/>
        </w:rPr>
      </w:pPr>
      <w:r>
        <w:rPr>
          <w:rFonts w:cs="Arial"/>
        </w:rPr>
        <w:t>100 South Third Street</w:t>
      </w:r>
    </w:p>
    <w:p w:rsidR="00BB5D30" w:rsidRDefault="00BB5D30" w:rsidP="00BB5D30">
      <w:pPr>
        <w:rPr>
          <w:rFonts w:cs="Arial"/>
        </w:rPr>
      </w:pPr>
      <w:r>
        <w:rPr>
          <w:rFonts w:cs="Arial"/>
        </w:rPr>
        <w:t>Columbus, OH  43215-4291</w:t>
      </w:r>
    </w:p>
    <w:p w:rsidR="00BB5D30" w:rsidRDefault="00BB5D30" w:rsidP="00BB5D30">
      <w:pPr>
        <w:rPr>
          <w:rFonts w:cs="Arial"/>
        </w:rPr>
      </w:pPr>
      <w:r>
        <w:rPr>
          <w:rFonts w:cs="Arial"/>
        </w:rPr>
        <w:t>dstinson@bricker.com</w:t>
      </w:r>
    </w:p>
    <w:p w:rsidR="00BB5D30" w:rsidRDefault="00BB5D30" w:rsidP="00BB5D30">
      <w:pPr>
        <w:rPr>
          <w:rFonts w:cs="Arial"/>
        </w:rPr>
      </w:pPr>
      <w:r>
        <w:rPr>
          <w:rFonts w:cs="Arial"/>
        </w:rPr>
        <w:t>dborchers@bricker.com</w:t>
      </w:r>
    </w:p>
    <w:p w:rsidR="00BB5D30" w:rsidRDefault="00BB5D30" w:rsidP="00BB5D30">
      <w:pPr>
        <w:rPr>
          <w:rFonts w:cs="Arial"/>
        </w:rPr>
      </w:pPr>
    </w:p>
    <w:p w:rsidR="00BB5D30" w:rsidRPr="00D66FA8" w:rsidRDefault="00BB5D30" w:rsidP="00BB5D30">
      <w:pPr>
        <w:rPr>
          <w:rFonts w:ascii="Arial Bold" w:hAnsi="Arial Bold" w:cs="Arial"/>
          <w:b/>
          <w:smallCaps/>
        </w:rPr>
      </w:pPr>
      <w:r w:rsidRPr="00D66FA8">
        <w:rPr>
          <w:rFonts w:ascii="Arial Bold" w:hAnsi="Arial Bold" w:cs="Arial"/>
          <w:b/>
          <w:smallCaps/>
        </w:rPr>
        <w:t>On Behalf of Ohio Development Services Agency</w:t>
      </w:r>
    </w:p>
    <w:p w:rsidR="00BB5D30" w:rsidRDefault="00BB5D30" w:rsidP="00BB5D30">
      <w:pPr>
        <w:rPr>
          <w:rFonts w:cs="Arial"/>
        </w:rPr>
      </w:pPr>
      <w:r>
        <w:rPr>
          <w:rFonts w:cs="Arial"/>
        </w:rPr>
        <w:lastRenderedPageBreak/>
        <w:t>Christine M.T. Pirik</w:t>
      </w:r>
    </w:p>
    <w:p w:rsidR="00BB5D30" w:rsidRDefault="00BB5D30" w:rsidP="00BB5D30">
      <w:pPr>
        <w:rPr>
          <w:rFonts w:cs="Arial"/>
        </w:rPr>
      </w:pPr>
      <w:r>
        <w:rPr>
          <w:rFonts w:cs="Arial"/>
        </w:rPr>
        <w:t>Nicholas Walstra</w:t>
      </w:r>
    </w:p>
    <w:p w:rsidR="00BB5D30" w:rsidRDefault="00BB5D30" w:rsidP="00BB5D30">
      <w:pPr>
        <w:rPr>
          <w:rFonts w:cs="Arial"/>
        </w:rPr>
      </w:pPr>
      <w:r>
        <w:rPr>
          <w:rFonts w:cs="Arial"/>
        </w:rPr>
        <w:t>180 East Broad Street, 6</w:t>
      </w:r>
      <w:r w:rsidRPr="006874B3">
        <w:rPr>
          <w:rFonts w:cs="Arial"/>
          <w:vertAlign w:val="superscript"/>
        </w:rPr>
        <w:t>th</w:t>
      </w:r>
      <w:r>
        <w:rPr>
          <w:rFonts w:cs="Arial"/>
        </w:rPr>
        <w:t xml:space="preserve"> Floor</w:t>
      </w:r>
    </w:p>
    <w:p w:rsidR="00BB5D30" w:rsidRDefault="00BB5D30" w:rsidP="00BB5D30">
      <w:pPr>
        <w:rPr>
          <w:rFonts w:cs="Arial"/>
        </w:rPr>
      </w:pPr>
      <w:r>
        <w:rPr>
          <w:rFonts w:cs="Arial"/>
        </w:rPr>
        <w:t>Columbus, OH  43215</w:t>
      </w:r>
    </w:p>
    <w:p w:rsidR="00BB5D30" w:rsidRDefault="00BB5D30" w:rsidP="00BB5D30">
      <w:pPr>
        <w:rPr>
          <w:rFonts w:cs="Arial"/>
        </w:rPr>
      </w:pPr>
      <w:r>
        <w:rPr>
          <w:rFonts w:cs="Arial"/>
        </w:rPr>
        <w:t>christine.pirik@puc.state.oh.us</w:t>
      </w:r>
    </w:p>
    <w:p w:rsidR="00BB5D30" w:rsidRDefault="00BB5D30" w:rsidP="00BB5D30">
      <w:pPr>
        <w:rPr>
          <w:rFonts w:cs="Arial"/>
        </w:rPr>
      </w:pPr>
      <w:r>
        <w:rPr>
          <w:rFonts w:cs="Arial"/>
        </w:rPr>
        <w:t>nicholas.walstra@puc.state.oh.us</w:t>
      </w:r>
    </w:p>
    <w:p w:rsidR="00BB5D30" w:rsidRDefault="00BB5D30" w:rsidP="00BB5D30">
      <w:pPr>
        <w:rPr>
          <w:rFonts w:ascii="Arial Bold" w:hAnsi="Arial Bold" w:cs="Arial"/>
          <w:b/>
          <w:smallCaps/>
        </w:rPr>
      </w:pPr>
    </w:p>
    <w:p w:rsidR="00BB5D30" w:rsidRDefault="00BB5D30" w:rsidP="00BB5D30">
      <w:pPr>
        <w:rPr>
          <w:rFonts w:ascii="Arial Bold" w:hAnsi="Arial Bold" w:cs="Arial"/>
          <w:b/>
          <w:smallCaps/>
        </w:rPr>
        <w:sectPr w:rsidR="00BB5D30" w:rsidSect="008D50E5">
          <w:headerReference w:type="default" r:id="rId56"/>
          <w:footerReference w:type="default" r:id="rId57"/>
          <w:headerReference w:type="first" r:id="rId58"/>
          <w:footerReference w:type="first" r:id="rId59"/>
          <w:pgSz w:w="12240" w:h="15840" w:code="1"/>
          <w:pgMar w:top="1440" w:right="1440" w:bottom="1141" w:left="1440" w:header="720" w:footer="720" w:gutter="0"/>
          <w:pgNumType w:start="1"/>
          <w:cols w:num="2" w:space="720"/>
          <w:docGrid w:linePitch="326"/>
        </w:sectPr>
      </w:pPr>
      <w:r w:rsidRPr="006874B3">
        <w:rPr>
          <w:rFonts w:ascii="Arial Bold" w:hAnsi="Arial Bold" w:cs="Arial"/>
          <w:b/>
          <w:smallCaps/>
        </w:rPr>
        <w:t>Attorney Examiner</w:t>
      </w:r>
      <w:r>
        <w:rPr>
          <w:rFonts w:ascii="Arial Bold" w:hAnsi="Arial Bold" w:cs="Arial"/>
          <w:b/>
          <w:smallCaps/>
        </w:rPr>
        <w:t>s</w:t>
      </w:r>
    </w:p>
    <w:p w:rsidR="00E06483" w:rsidRDefault="00E06483" w:rsidP="00BB5D30">
      <w:pPr>
        <w:rPr>
          <w:rFonts w:cs="Arial"/>
        </w:rPr>
      </w:pPr>
    </w:p>
    <w:p w:rsidR="00BB5D30" w:rsidRDefault="00BB5D30" w:rsidP="00BB5D30">
      <w:pPr>
        <w:rPr>
          <w:rFonts w:cs="Arial"/>
        </w:rPr>
      </w:pPr>
      <w:r>
        <w:rPr>
          <w:rFonts w:cs="Arial"/>
        </w:rPr>
        <w:t>Brian Chisling (0063402)</w:t>
      </w:r>
    </w:p>
    <w:p w:rsidR="00BB5D30" w:rsidRDefault="00BB5D30" w:rsidP="00BB5D30">
      <w:pPr>
        <w:rPr>
          <w:rFonts w:cs="Arial"/>
        </w:rPr>
      </w:pPr>
      <w:r>
        <w:rPr>
          <w:rFonts w:cs="Arial"/>
        </w:rPr>
        <w:t>Simpson Thacher &amp; Bartlett</w:t>
      </w:r>
    </w:p>
    <w:p w:rsidR="00BB5D30" w:rsidRDefault="00BB5D30" w:rsidP="00BB5D30">
      <w:pPr>
        <w:rPr>
          <w:rFonts w:cs="Arial"/>
        </w:rPr>
      </w:pPr>
      <w:r>
        <w:rPr>
          <w:rFonts w:cs="Arial"/>
        </w:rPr>
        <w:t>425 Lexington Avenue</w:t>
      </w:r>
    </w:p>
    <w:p w:rsidR="00BB5D30" w:rsidRDefault="00BB5D30" w:rsidP="00BB5D30">
      <w:pPr>
        <w:rPr>
          <w:rFonts w:cs="Arial"/>
        </w:rPr>
      </w:pPr>
      <w:r>
        <w:rPr>
          <w:rFonts w:cs="Arial"/>
        </w:rPr>
        <w:t>New York, NY  10017</w:t>
      </w:r>
    </w:p>
    <w:p w:rsidR="00BB5D30" w:rsidRPr="00E06483" w:rsidRDefault="00BF588E" w:rsidP="00BB5D30">
      <w:pPr>
        <w:rPr>
          <w:rFonts w:cs="Arial"/>
        </w:rPr>
      </w:pPr>
      <w:hyperlink r:id="rId60" w:history="1">
        <w:r w:rsidR="00BB5D30" w:rsidRPr="00E06483">
          <w:rPr>
            <w:rStyle w:val="Hyperlink"/>
            <w:color w:val="auto"/>
            <w:u w:val="none"/>
          </w:rPr>
          <w:t>bchisling@stblaw.com</w:t>
        </w:r>
      </w:hyperlink>
    </w:p>
    <w:p w:rsidR="00BB5D30" w:rsidRDefault="00BB5D30" w:rsidP="00BB5D30">
      <w:pPr>
        <w:rPr>
          <w:rFonts w:cs="Arial"/>
        </w:rPr>
      </w:pPr>
    </w:p>
    <w:p w:rsidR="00784BCE" w:rsidRPr="00784BCE" w:rsidRDefault="00BB5D30" w:rsidP="00BB5D30">
      <w:pPr>
        <w:tabs>
          <w:tab w:val="left" w:pos="4320"/>
          <w:tab w:val="center" w:pos="6840"/>
        </w:tabs>
        <w:rPr>
          <w:rFonts w:eastAsia="Calibri" w:cs="Arial"/>
        </w:rPr>
      </w:pPr>
      <w:r w:rsidRPr="001B45A7">
        <w:rPr>
          <w:rFonts w:ascii="Arial Bold" w:hAnsi="Arial Bold" w:cs="Arial"/>
          <w:b/>
          <w:smallCaps/>
        </w:rPr>
        <w:t>On Behalf of Non-Party Ohio Valley Electric Corporation</w:t>
      </w:r>
    </w:p>
    <w:p w:rsidR="007428AC" w:rsidRPr="00261CD9" w:rsidRDefault="007428AC" w:rsidP="00370E1F">
      <w:pPr>
        <w:spacing w:line="480" w:lineRule="auto"/>
        <w:contextualSpacing/>
        <w:jc w:val="both"/>
        <w:rPr>
          <w:rFonts w:eastAsia="Times New Roman" w:cs="Arial"/>
        </w:rPr>
      </w:pPr>
    </w:p>
    <w:sectPr w:rsidR="007428AC" w:rsidRPr="00261CD9" w:rsidSect="00BB5D30">
      <w:headerReference w:type="default" r:id="rId61"/>
      <w:footerReference w:type="default" r:id="rId62"/>
      <w:headerReference w:type="first" r:id="rId63"/>
      <w:footerReference w:type="first" r:id="rId64"/>
      <w:type w:val="continuous"/>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F7" w:rsidRDefault="00B268F7" w:rsidP="00BF5CAF">
      <w:r>
        <w:separator/>
      </w:r>
    </w:p>
  </w:endnote>
  <w:endnote w:type="continuationSeparator" w:id="0">
    <w:p w:rsidR="00B268F7" w:rsidRDefault="00B268F7" w:rsidP="00BF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Default="008D50E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Pr="00DB5C95" w:rsidRDefault="008D50E5" w:rsidP="0059788B">
    <w:pPr>
      <w:pStyle w:val="Footer"/>
    </w:pPr>
    <w:r w:rsidRPr="008D50E5">
      <w:rPr>
        <w:noProof/>
        <w:sz w:val="16"/>
      </w:rPr>
      <w:t>{C47034:7 }</w:t>
    </w:r>
    <w:sdt>
      <w:sdtPr>
        <w:id w:val="-667095262"/>
        <w:docPartObj>
          <w:docPartGallery w:val="Page Numbers (Bottom of Page)"/>
          <w:docPartUnique/>
        </w:docPartObj>
      </w:sdtPr>
      <w:sdtEndPr>
        <w:rPr>
          <w:noProof/>
        </w:rPr>
      </w:sdtEndPr>
      <w:sdtContent>
        <w:r w:rsidRPr="00DB5C95">
          <w:tab/>
        </w:r>
        <w:r w:rsidRPr="00DB5C95">
          <w:fldChar w:fldCharType="begin"/>
        </w:r>
        <w:r w:rsidRPr="00DB5C95">
          <w:instrText xml:space="preserve"> PAGE   \* MERGEFORMAT </w:instrText>
        </w:r>
        <w:r w:rsidRPr="00DB5C95">
          <w:fldChar w:fldCharType="separate"/>
        </w:r>
        <w:r>
          <w:rPr>
            <w:noProof/>
          </w:rPr>
          <w:t>3</w:t>
        </w:r>
        <w:r w:rsidRPr="00DB5C95">
          <w:rPr>
            <w:noProof/>
          </w:rPr>
          <w:fldChar w:fldCharType="end"/>
        </w:r>
      </w:sdtContent>
    </w:sdt>
  </w:p>
  <w:p w:rsidR="008D50E5" w:rsidRPr="00DB5C95" w:rsidRDefault="008D50E5" w:rsidP="006D6B8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Default="008D50E5">
    <w:pPr>
      <w:pStyle w:val="Footer"/>
    </w:pPr>
    <w:r w:rsidRPr="008D50E5">
      <w:rPr>
        <w:noProof/>
        <w:sz w:val="16"/>
      </w:rPr>
      <w:t>{C47034:7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Pr="00DB5C95" w:rsidRDefault="008D50E5" w:rsidP="0059788B">
    <w:pPr>
      <w:pStyle w:val="Footer"/>
    </w:pPr>
    <w:r w:rsidRPr="008D50E5">
      <w:rPr>
        <w:noProof/>
        <w:sz w:val="16"/>
      </w:rPr>
      <w:t>{C47034:7 }</w:t>
    </w:r>
    <w:sdt>
      <w:sdtPr>
        <w:id w:val="-894036222"/>
        <w:docPartObj>
          <w:docPartGallery w:val="Page Numbers (Bottom of Page)"/>
          <w:docPartUnique/>
        </w:docPartObj>
      </w:sdtPr>
      <w:sdtEndPr>
        <w:rPr>
          <w:noProof/>
        </w:rPr>
      </w:sdtEndPr>
      <w:sdtContent>
        <w:r w:rsidRPr="00DB5C95">
          <w:tab/>
        </w:r>
      </w:sdtContent>
    </w:sdt>
  </w:p>
  <w:p w:rsidR="008D50E5" w:rsidRPr="00DB5C95" w:rsidRDefault="008D50E5" w:rsidP="006D6B8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Default="008D50E5">
    <w:pPr>
      <w:pStyle w:val="Footer"/>
    </w:pPr>
    <w:r w:rsidRPr="008D50E5">
      <w:rPr>
        <w:noProof/>
        <w:sz w:val="16"/>
      </w:rPr>
      <w:t>{C47034:7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Pr="00DB5C95" w:rsidRDefault="008D50E5" w:rsidP="0059788B">
    <w:pPr>
      <w:pStyle w:val="Footer"/>
    </w:pPr>
    <w:r w:rsidRPr="008D50E5">
      <w:rPr>
        <w:noProof/>
        <w:sz w:val="16"/>
      </w:rPr>
      <w:t>{C47034:7 }</w:t>
    </w:r>
    <w:sdt>
      <w:sdtPr>
        <w:id w:val="-287593505"/>
        <w:docPartObj>
          <w:docPartGallery w:val="Page Numbers (Bottom of Page)"/>
          <w:docPartUnique/>
        </w:docPartObj>
      </w:sdtPr>
      <w:sdtEndPr>
        <w:rPr>
          <w:noProof/>
        </w:rPr>
      </w:sdtEndPr>
      <w:sdtContent>
        <w:r w:rsidRPr="00DB5C95">
          <w:tab/>
        </w:r>
        <w:r w:rsidRPr="00DB5C95">
          <w:fldChar w:fldCharType="begin"/>
        </w:r>
        <w:r w:rsidRPr="00DB5C95">
          <w:instrText xml:space="preserve"> PAGE   \* MERGEFORMAT </w:instrText>
        </w:r>
        <w:r w:rsidRPr="00DB5C95">
          <w:fldChar w:fldCharType="separate"/>
        </w:r>
        <w:r>
          <w:rPr>
            <w:noProof/>
          </w:rPr>
          <w:t>3</w:t>
        </w:r>
        <w:r w:rsidRPr="00DB5C95">
          <w:rPr>
            <w:noProof/>
          </w:rPr>
          <w:fldChar w:fldCharType="end"/>
        </w:r>
      </w:sdtContent>
    </w:sdt>
  </w:p>
  <w:p w:rsidR="008D50E5" w:rsidRPr="00DB5C95" w:rsidRDefault="008D50E5" w:rsidP="006D6B8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Default="008D50E5">
    <w:pPr>
      <w:pStyle w:val="Footer"/>
    </w:pPr>
    <w:r w:rsidRPr="008D50E5">
      <w:rPr>
        <w:noProof/>
        <w:sz w:val="16"/>
      </w:rPr>
      <w:t>{C47034:7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F7" w:rsidRPr="007452EB" w:rsidRDefault="008D50E5">
    <w:pPr>
      <w:pStyle w:val="Footer"/>
    </w:pPr>
    <w:r w:rsidRPr="008D50E5">
      <w:rPr>
        <w:noProof/>
        <w:sz w:val="16"/>
      </w:rPr>
      <w:t>{C47034:7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F7" w:rsidRDefault="00B268F7">
    <w:pPr>
      <w:pStyle w:val="Footer"/>
    </w:pPr>
    <w:r w:rsidRPr="00AA7C2B">
      <w:rPr>
        <w:noProof/>
        <w:sz w:val="16"/>
      </w:rPr>
      <w:t>{C46305: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F7" w:rsidRPr="00555B0B" w:rsidRDefault="008D50E5" w:rsidP="006D6B8E">
    <w:pPr>
      <w:pStyle w:val="Footer"/>
    </w:pPr>
    <w:r w:rsidRPr="008D50E5">
      <w:rPr>
        <w:noProof/>
        <w:sz w:val="16"/>
      </w:rPr>
      <w:t>{C47034:7 }</w:t>
    </w:r>
    <w:sdt>
      <w:sdtPr>
        <w:id w:val="128443276"/>
        <w:docPartObj>
          <w:docPartGallery w:val="Page Numbers (Bottom of Page)"/>
          <w:docPartUnique/>
        </w:docPartObj>
      </w:sdtPr>
      <w:sdtEndPr>
        <w:rPr>
          <w:noProof/>
        </w:rPr>
      </w:sdtEndPr>
      <w:sdtContent>
        <w:r w:rsidR="00B268F7">
          <w:tab/>
        </w:r>
        <w:r w:rsidR="00B268F7" w:rsidRPr="00555B0B">
          <w:fldChar w:fldCharType="begin"/>
        </w:r>
        <w:r w:rsidR="00B268F7" w:rsidRPr="00555B0B">
          <w:instrText xml:space="preserve"> PAGE   \* MERGEFORMAT </w:instrText>
        </w:r>
        <w:r w:rsidR="00B268F7" w:rsidRPr="00555B0B">
          <w:fldChar w:fldCharType="separate"/>
        </w:r>
        <w:r w:rsidR="005A75F0">
          <w:rPr>
            <w:noProof/>
          </w:rPr>
          <w:t>i</w:t>
        </w:r>
        <w:r w:rsidR="00B268F7" w:rsidRPr="00555B0B">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F7" w:rsidRDefault="00B268F7">
    <w:pPr>
      <w:pStyle w:val="Footer"/>
    </w:pPr>
    <w:r w:rsidRPr="00AA7C2B">
      <w:rPr>
        <w:noProof/>
        <w:sz w:val="16"/>
      </w:rPr>
      <w:t>{C46305: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F7" w:rsidRPr="00DB5C95" w:rsidRDefault="008D50E5" w:rsidP="0059788B">
    <w:pPr>
      <w:pStyle w:val="Footer"/>
    </w:pPr>
    <w:r w:rsidRPr="008D50E5">
      <w:rPr>
        <w:noProof/>
        <w:sz w:val="16"/>
      </w:rPr>
      <w:t>{C47034:7 }</w:t>
    </w:r>
    <w:sdt>
      <w:sdtPr>
        <w:id w:val="-795523064"/>
        <w:docPartObj>
          <w:docPartGallery w:val="Page Numbers (Bottom of Page)"/>
          <w:docPartUnique/>
        </w:docPartObj>
      </w:sdtPr>
      <w:sdtEndPr>
        <w:rPr>
          <w:noProof/>
        </w:rPr>
      </w:sdtEndPr>
      <w:sdtContent>
        <w:r w:rsidR="00B268F7" w:rsidRPr="00DB5C95">
          <w:tab/>
        </w:r>
        <w:r w:rsidR="00B268F7" w:rsidRPr="00DB5C95">
          <w:fldChar w:fldCharType="begin"/>
        </w:r>
        <w:r w:rsidR="00B268F7" w:rsidRPr="00DB5C95">
          <w:instrText xml:space="preserve"> PAGE   \* MERGEFORMAT </w:instrText>
        </w:r>
        <w:r w:rsidR="00B268F7" w:rsidRPr="00DB5C95">
          <w:fldChar w:fldCharType="separate"/>
        </w:r>
        <w:r w:rsidR="005A75F0">
          <w:rPr>
            <w:noProof/>
          </w:rPr>
          <w:t>58</w:t>
        </w:r>
        <w:r w:rsidR="00B268F7" w:rsidRPr="00DB5C95">
          <w:rPr>
            <w:noProof/>
          </w:rPr>
          <w:fldChar w:fldCharType="end"/>
        </w:r>
      </w:sdtContent>
    </w:sdt>
  </w:p>
  <w:p w:rsidR="00B268F7" w:rsidRPr="00DB5C95" w:rsidRDefault="00B268F7" w:rsidP="006D6B8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F7" w:rsidRDefault="008D50E5">
    <w:pPr>
      <w:pStyle w:val="Footer"/>
    </w:pPr>
    <w:r w:rsidRPr="008D50E5">
      <w:rPr>
        <w:noProof/>
        <w:sz w:val="16"/>
      </w:rPr>
      <w:t>{C47034:7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Pr="00DB5C95" w:rsidRDefault="008D50E5" w:rsidP="0059788B">
    <w:pPr>
      <w:pStyle w:val="Footer"/>
    </w:pPr>
    <w:r w:rsidRPr="008D50E5">
      <w:rPr>
        <w:noProof/>
        <w:sz w:val="16"/>
      </w:rPr>
      <w:t>{C47034:7 }</w:t>
    </w:r>
    <w:sdt>
      <w:sdtPr>
        <w:id w:val="-1021857146"/>
        <w:docPartObj>
          <w:docPartGallery w:val="Page Numbers (Bottom of Page)"/>
          <w:docPartUnique/>
        </w:docPartObj>
      </w:sdtPr>
      <w:sdtEndPr>
        <w:rPr>
          <w:noProof/>
        </w:rPr>
      </w:sdtEndPr>
      <w:sdtContent>
        <w:r w:rsidRPr="00DB5C95">
          <w:tab/>
        </w:r>
        <w:r w:rsidRPr="00DB5C95">
          <w:fldChar w:fldCharType="begin"/>
        </w:r>
        <w:r w:rsidRPr="00DB5C95">
          <w:instrText xml:space="preserve"> PAGE   \* MERGEFORMAT </w:instrText>
        </w:r>
        <w:r w:rsidRPr="00DB5C95">
          <w:fldChar w:fldCharType="separate"/>
        </w:r>
        <w:r>
          <w:rPr>
            <w:noProof/>
          </w:rPr>
          <w:t>3</w:t>
        </w:r>
        <w:r w:rsidRPr="00DB5C95">
          <w:rPr>
            <w:noProof/>
          </w:rPr>
          <w:fldChar w:fldCharType="end"/>
        </w:r>
      </w:sdtContent>
    </w:sdt>
  </w:p>
  <w:p w:rsidR="008D50E5" w:rsidRPr="00DB5C95" w:rsidRDefault="008D50E5" w:rsidP="006D6B8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Default="008D50E5">
    <w:pPr>
      <w:pStyle w:val="Footer"/>
    </w:pPr>
    <w:r w:rsidRPr="008D50E5">
      <w:rPr>
        <w:noProof/>
        <w:sz w:val="16"/>
      </w:rPr>
      <w:t>{C47034:7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F7" w:rsidRDefault="00B268F7" w:rsidP="00BF5CAF">
      <w:pPr>
        <w:rPr>
          <w:noProof/>
        </w:rPr>
      </w:pPr>
      <w:r>
        <w:rPr>
          <w:noProof/>
        </w:rPr>
        <w:separator/>
      </w:r>
    </w:p>
  </w:footnote>
  <w:footnote w:type="continuationSeparator" w:id="0">
    <w:p w:rsidR="00B268F7" w:rsidRDefault="00B268F7" w:rsidP="00BF5CAF">
      <w:r>
        <w:continuationSeparator/>
      </w:r>
    </w:p>
  </w:footnote>
  <w:footnote w:id="1">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Duke Ex. 1 at 1.  Duke also </w:t>
      </w:r>
      <w:r>
        <w:rPr>
          <w:rFonts w:cs="Arial"/>
        </w:rPr>
        <w:t>sought</w:t>
      </w:r>
      <w:r w:rsidRPr="005837EA">
        <w:rPr>
          <w:rFonts w:cs="Arial"/>
        </w:rPr>
        <w:t xml:space="preserve"> authority to terminate the ESP one year early unilaterally. </w:t>
      </w:r>
      <w:r w:rsidRPr="005837EA">
        <w:rPr>
          <w:rFonts w:cs="Arial"/>
          <w:i/>
        </w:rPr>
        <w:t xml:space="preserve"> Id. </w:t>
      </w:r>
      <w:r w:rsidRPr="005837EA">
        <w:rPr>
          <w:rFonts w:cs="Arial"/>
        </w:rPr>
        <w:t>at 16-17.</w:t>
      </w:r>
    </w:p>
  </w:footnote>
  <w:footnote w:id="2">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i/>
        </w:rPr>
        <w:t xml:space="preserve"> Id. </w:t>
      </w:r>
      <w:r w:rsidRPr="005837EA">
        <w:rPr>
          <w:rFonts w:cs="Arial"/>
        </w:rPr>
        <w:t>at 13-14.</w:t>
      </w:r>
    </w:p>
  </w:footnote>
  <w:footnote w:id="3">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ESP Order at </w:t>
      </w:r>
      <w:r>
        <w:rPr>
          <w:rFonts w:cs="Arial"/>
        </w:rPr>
        <w:t>46-47</w:t>
      </w:r>
      <w:r w:rsidRPr="005837EA">
        <w:rPr>
          <w:rFonts w:cs="Arial"/>
        </w:rPr>
        <w:t>.  All other parties opposed Duke’s proposed PSR.  One party, Ohio Energy Group (“OEG”), recommended a substantially modified version.  OEG Ex. 1.</w:t>
      </w:r>
    </w:p>
  </w:footnote>
  <w:footnote w:id="4">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ESP Order at </w:t>
      </w:r>
      <w:r>
        <w:rPr>
          <w:rFonts w:cs="Arial"/>
        </w:rPr>
        <w:t>47.</w:t>
      </w:r>
    </w:p>
  </w:footnote>
  <w:footnote w:id="5">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96760F">
        <w:rPr>
          <w:rFonts w:cs="Arial"/>
          <w:i/>
        </w:rPr>
        <w:t>Id</w:t>
      </w:r>
      <w:r>
        <w:rPr>
          <w:rFonts w:cs="Arial"/>
        </w:rPr>
        <w:t>.</w:t>
      </w:r>
      <w:r w:rsidRPr="005837EA">
        <w:rPr>
          <w:rFonts w:cs="Arial"/>
          <w:i/>
        </w:rPr>
        <w:t xml:space="preserve"> </w:t>
      </w:r>
      <w:r w:rsidRPr="005837EA">
        <w:rPr>
          <w:rFonts w:cs="Arial"/>
        </w:rPr>
        <w:t xml:space="preserve">at </w:t>
      </w:r>
      <w:r>
        <w:rPr>
          <w:rFonts w:cs="Arial"/>
        </w:rPr>
        <w:t>46</w:t>
      </w:r>
      <w:r w:rsidRPr="005837EA">
        <w:rPr>
          <w:rFonts w:cs="Arial"/>
        </w:rPr>
        <w:t>.</w:t>
      </w:r>
    </w:p>
  </w:footnote>
  <w:footnote w:id="6">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 xml:space="preserve">Id. </w:t>
      </w:r>
    </w:p>
  </w:footnote>
  <w:footnote w:id="7">
    <w:p w:rsidR="00B268F7" w:rsidRDefault="00B268F7" w:rsidP="003C76F5">
      <w:pPr>
        <w:pStyle w:val="FootnoteText"/>
        <w:spacing w:after="120"/>
      </w:pPr>
      <w:r>
        <w:rPr>
          <w:rStyle w:val="FootnoteReference"/>
        </w:rPr>
        <w:footnoteRef/>
      </w:r>
      <w:r>
        <w:t xml:space="preserve"> </w:t>
      </w:r>
      <w:r w:rsidRPr="0080156A">
        <w:rPr>
          <w:i/>
        </w:rPr>
        <w:t>Id.</w:t>
      </w:r>
      <w:r>
        <w:t xml:space="preserve"> at 47.</w:t>
      </w:r>
    </w:p>
  </w:footnote>
  <w:footnote w:id="8">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p>
  </w:footnote>
  <w:footnote w:id="9">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sidRPr="005837EA">
        <w:rPr>
          <w:rFonts w:cs="Arial"/>
        </w:rPr>
        <w:t xml:space="preserve"> at </w:t>
      </w:r>
      <w:r>
        <w:rPr>
          <w:rFonts w:cs="Arial"/>
        </w:rPr>
        <w:t>44-45</w:t>
      </w:r>
      <w:r w:rsidRPr="005837EA">
        <w:rPr>
          <w:rFonts w:cs="Arial"/>
        </w:rPr>
        <w:t>.</w:t>
      </w:r>
    </w:p>
  </w:footnote>
  <w:footnote w:id="10">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sidRPr="005837EA">
        <w:rPr>
          <w:rFonts w:cs="Arial"/>
        </w:rPr>
        <w:t xml:space="preserve"> at </w:t>
      </w:r>
      <w:r>
        <w:rPr>
          <w:rFonts w:cs="Arial"/>
        </w:rPr>
        <w:t>45 &amp; 47</w:t>
      </w:r>
      <w:r w:rsidRPr="005837EA">
        <w:rPr>
          <w:rFonts w:cs="Arial"/>
        </w:rPr>
        <w:t>.</w:t>
      </w:r>
    </w:p>
  </w:footnote>
  <w:footnote w:id="11">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sidRPr="005837EA">
        <w:rPr>
          <w:rFonts w:cs="Arial"/>
        </w:rPr>
        <w:t xml:space="preserve"> at </w:t>
      </w:r>
      <w:r>
        <w:rPr>
          <w:rFonts w:cs="Arial"/>
        </w:rPr>
        <w:t>47</w:t>
      </w:r>
      <w:r w:rsidRPr="005837EA">
        <w:rPr>
          <w:rFonts w:cs="Arial"/>
        </w:rPr>
        <w:t>.</w:t>
      </w:r>
    </w:p>
  </w:footnote>
  <w:footnote w:id="12">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p>
  </w:footnote>
  <w:footnote w:id="13">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sidRPr="005837EA">
        <w:rPr>
          <w:rFonts w:cs="Arial"/>
        </w:rPr>
        <w:t xml:space="preserve"> </w:t>
      </w:r>
    </w:p>
  </w:footnote>
  <w:footnote w:id="14">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sidRPr="005837EA">
        <w:rPr>
          <w:rFonts w:cs="Arial"/>
        </w:rPr>
        <w:t xml:space="preserve"> </w:t>
      </w:r>
    </w:p>
  </w:footnote>
  <w:footnote w:id="15">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sidRPr="005837EA">
        <w:rPr>
          <w:rFonts w:cs="Arial"/>
        </w:rPr>
        <w:t xml:space="preserve"> at </w:t>
      </w:r>
      <w:r>
        <w:rPr>
          <w:rFonts w:cs="Arial"/>
        </w:rPr>
        <w:t>45</w:t>
      </w:r>
      <w:r w:rsidRPr="005837EA">
        <w:rPr>
          <w:rFonts w:cs="Arial"/>
        </w:rPr>
        <w:t xml:space="preserve">.  </w:t>
      </w:r>
    </w:p>
  </w:footnote>
  <w:footnote w:id="16">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In re Columbus S. Power Co.</w:t>
      </w:r>
      <w:r w:rsidRPr="005837EA">
        <w:rPr>
          <w:rFonts w:cs="Arial"/>
        </w:rPr>
        <w:t xml:space="preserve">, 128 Ohio St.3d 512, 520 (2011).  </w:t>
      </w:r>
    </w:p>
  </w:footnote>
  <w:footnote w:id="17">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Montgomery County Bd. of Comm’rs v. Pub. Util. Comm’n of Ohio</w:t>
      </w:r>
      <w:r w:rsidRPr="005837EA">
        <w:rPr>
          <w:rFonts w:cs="Arial"/>
        </w:rPr>
        <w:t>, 28 Ohio St.3d 171, 175 (1986) (citations omitted).</w:t>
      </w:r>
    </w:p>
  </w:footnote>
  <w:footnote w:id="18">
    <w:p w:rsidR="00B268F7" w:rsidRDefault="00B268F7" w:rsidP="00C010E8">
      <w:pPr>
        <w:pStyle w:val="FootnoteText"/>
        <w:spacing w:after="120"/>
      </w:pPr>
      <w:r>
        <w:rPr>
          <w:rStyle w:val="FootnoteReference"/>
        </w:rPr>
        <w:footnoteRef/>
      </w:r>
      <w:r>
        <w:t xml:space="preserve"> ESP Order at 44.</w:t>
      </w:r>
    </w:p>
  </w:footnote>
  <w:footnote w:id="19">
    <w:p w:rsidR="00B268F7" w:rsidRDefault="00B268F7" w:rsidP="00C010E8">
      <w:pPr>
        <w:pStyle w:val="FootnoteText"/>
        <w:spacing w:after="120"/>
      </w:pPr>
      <w:r>
        <w:rPr>
          <w:rStyle w:val="FootnoteReference"/>
        </w:rPr>
        <w:footnoteRef/>
      </w:r>
      <w:r>
        <w:t xml:space="preserve"> </w:t>
      </w:r>
      <w:r w:rsidRPr="00C010E8">
        <w:rPr>
          <w:i/>
        </w:rPr>
        <w:t>Id</w:t>
      </w:r>
      <w:r>
        <w:t>.</w:t>
      </w:r>
    </w:p>
  </w:footnote>
  <w:footnote w:id="20">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See, e.g.,</w:t>
      </w:r>
      <w:r w:rsidRPr="005837EA">
        <w:rPr>
          <w:rFonts w:cs="Arial"/>
        </w:rPr>
        <w:t xml:space="preserve"> R.C. 4928.01(A)(6) &amp; (7) &amp; </w:t>
      </w:r>
      <w:r>
        <w:rPr>
          <w:rFonts w:cs="Arial"/>
        </w:rPr>
        <w:t xml:space="preserve">R.C. </w:t>
      </w:r>
      <w:r w:rsidRPr="005837EA">
        <w:rPr>
          <w:rFonts w:cs="Arial"/>
        </w:rPr>
        <w:t>4928.05(A) (defining the Commission’s jurisdiction to supervise and regulate competitive and noncompetitive retail electric service supplied by an electric utility).</w:t>
      </w:r>
    </w:p>
  </w:footnote>
  <w:footnote w:id="21">
    <w:p w:rsidR="00B268F7" w:rsidRPr="0092510E" w:rsidRDefault="00B268F7" w:rsidP="005A5E72">
      <w:pPr>
        <w:pStyle w:val="FootnoteText"/>
        <w:spacing w:after="120"/>
      </w:pPr>
      <w:r>
        <w:rPr>
          <w:rStyle w:val="FootnoteReference"/>
        </w:rPr>
        <w:footnoteRef/>
      </w:r>
      <w:r>
        <w:t xml:space="preserve"> ESP Order at 42.</w:t>
      </w:r>
    </w:p>
  </w:footnote>
  <w:footnote w:id="22">
    <w:p w:rsidR="00B268F7" w:rsidRPr="005837EA" w:rsidRDefault="00B268F7" w:rsidP="005837EA">
      <w:pPr>
        <w:pStyle w:val="FootnoteText"/>
        <w:spacing w:after="120"/>
        <w:jc w:val="both"/>
        <w:rPr>
          <w:rFonts w:cs="Arial"/>
          <w:color w:val="000000"/>
        </w:rPr>
      </w:pPr>
      <w:r w:rsidRPr="005837EA">
        <w:rPr>
          <w:rStyle w:val="FootnoteReference"/>
          <w:rFonts w:cs="Arial"/>
        </w:rPr>
        <w:footnoteRef/>
      </w:r>
      <w:r w:rsidRPr="005837EA">
        <w:rPr>
          <w:rFonts w:cs="Arial"/>
        </w:rPr>
        <w:t xml:space="preserve"> </w:t>
      </w:r>
      <w:r w:rsidRPr="005837EA">
        <w:rPr>
          <w:rFonts w:cs="Arial"/>
          <w:bCs/>
          <w:i/>
          <w:color w:val="000000"/>
          <w:kern w:val="36"/>
        </w:rPr>
        <w:t>Discount Cellular, Inc. v. Pub. Util. Comm’n of Ohio</w:t>
      </w:r>
      <w:r w:rsidRPr="005837EA">
        <w:rPr>
          <w:rFonts w:cs="Arial"/>
          <w:bCs/>
          <w:color w:val="000000"/>
          <w:kern w:val="36"/>
        </w:rPr>
        <w:t>,</w:t>
      </w:r>
      <w:r w:rsidRPr="005837EA">
        <w:rPr>
          <w:rFonts w:cs="Arial"/>
          <w:b/>
          <w:bCs/>
          <w:color w:val="000000"/>
          <w:kern w:val="36"/>
        </w:rPr>
        <w:t xml:space="preserve"> </w:t>
      </w:r>
      <w:r w:rsidRPr="005837EA">
        <w:rPr>
          <w:rFonts w:cs="Arial"/>
          <w:color w:val="000000"/>
        </w:rPr>
        <w:t>112 Ohio St.3d 360, 373</w:t>
      </w:r>
      <w:r w:rsidRPr="005837EA">
        <w:rPr>
          <w:rFonts w:cs="Arial"/>
          <w:color w:val="000000"/>
          <w:kern w:val="36"/>
        </w:rPr>
        <w:t xml:space="preserve"> (2007).</w:t>
      </w:r>
    </w:p>
  </w:footnote>
  <w:footnote w:id="23">
    <w:p w:rsidR="00B268F7" w:rsidRDefault="00B268F7" w:rsidP="005A5E72">
      <w:pPr>
        <w:pStyle w:val="FootnoteText"/>
        <w:spacing w:after="120"/>
      </w:pPr>
      <w:r>
        <w:rPr>
          <w:rStyle w:val="FootnoteReference"/>
        </w:rPr>
        <w:footnoteRef/>
      </w:r>
      <w:r>
        <w:t xml:space="preserve"> R.C. 4928.143(C)(1).</w:t>
      </w:r>
    </w:p>
  </w:footnote>
  <w:footnote w:id="24">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ESP Order at 47.</w:t>
      </w:r>
    </w:p>
  </w:footnote>
  <w:footnote w:id="25">
    <w:p w:rsidR="00B268F7" w:rsidRPr="005837EA" w:rsidRDefault="00B268F7" w:rsidP="005837EA">
      <w:pPr>
        <w:spacing w:after="120"/>
        <w:jc w:val="both"/>
        <w:rPr>
          <w:rFonts w:cs="Arial"/>
          <w:sz w:val="20"/>
          <w:szCs w:val="20"/>
        </w:rPr>
      </w:pPr>
      <w:r w:rsidRPr="005837EA">
        <w:rPr>
          <w:rStyle w:val="FootnoteReference"/>
          <w:rFonts w:cs="Arial"/>
          <w:sz w:val="20"/>
          <w:szCs w:val="20"/>
        </w:rPr>
        <w:footnoteRef/>
      </w:r>
      <w:r w:rsidRPr="005837EA">
        <w:rPr>
          <w:rFonts w:cs="Arial"/>
          <w:sz w:val="20"/>
          <w:szCs w:val="20"/>
        </w:rPr>
        <w:t xml:space="preserve"> </w:t>
      </w:r>
      <w:r>
        <w:rPr>
          <w:rFonts w:cs="Arial"/>
          <w:sz w:val="20"/>
          <w:szCs w:val="20"/>
        </w:rPr>
        <w:t>R.C.</w:t>
      </w:r>
      <w:r w:rsidRPr="005837EA">
        <w:rPr>
          <w:rFonts w:cs="Arial"/>
          <w:sz w:val="20"/>
          <w:szCs w:val="20"/>
        </w:rPr>
        <w:t xml:space="preserve"> 4928.143(A) further provides that the Commission is directed to authorize an ESP “as prescribed under division (B) of this </w:t>
      </w:r>
      <w:r>
        <w:rPr>
          <w:rFonts w:cs="Arial"/>
          <w:sz w:val="20"/>
          <w:szCs w:val="20"/>
        </w:rPr>
        <w:t>s</w:t>
      </w:r>
      <w:r w:rsidRPr="005837EA">
        <w:rPr>
          <w:rFonts w:cs="Arial"/>
          <w:sz w:val="20"/>
          <w:szCs w:val="20"/>
        </w:rPr>
        <w:t xml:space="preserve">ection.” </w:t>
      </w:r>
    </w:p>
  </w:footnote>
  <w:footnote w:id="26">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In re Columbus S. Power Co.</w:t>
      </w:r>
      <w:r w:rsidRPr="005837EA">
        <w:rPr>
          <w:rFonts w:cs="Arial"/>
        </w:rPr>
        <w:t>, 128 Ohio St.3d</w:t>
      </w:r>
      <w:r>
        <w:rPr>
          <w:rFonts w:cs="Arial"/>
        </w:rPr>
        <w:t xml:space="preserve"> </w:t>
      </w:r>
      <w:r w:rsidRPr="005837EA">
        <w:rPr>
          <w:rFonts w:cs="Arial"/>
        </w:rPr>
        <w:t>at 520.</w:t>
      </w:r>
    </w:p>
  </w:footnote>
  <w:footnote w:id="27">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R.C. 4928.143(C)(1).</w:t>
      </w:r>
    </w:p>
  </w:footnote>
  <w:footnote w:id="28">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96760F">
        <w:rPr>
          <w:rFonts w:cs="Arial"/>
        </w:rPr>
        <w:t>ESP Order at 47.</w:t>
      </w:r>
    </w:p>
  </w:footnote>
  <w:footnote w:id="29">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Merit Brief of Duke Energy Ohio, Inc. at 18 (Dec. 15, 2015).</w:t>
      </w:r>
    </w:p>
  </w:footnote>
  <w:footnote w:id="30">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ESP Order at 45.</w:t>
      </w:r>
    </w:p>
  </w:footnote>
  <w:footnote w:id="31">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3A1323">
        <w:rPr>
          <w:rFonts w:cs="Arial"/>
          <w:i/>
        </w:rPr>
        <w:t>Id</w:t>
      </w:r>
      <w:r w:rsidRPr="005837EA">
        <w:rPr>
          <w:rFonts w:cs="Arial"/>
        </w:rPr>
        <w:t xml:space="preserve">. </w:t>
      </w:r>
    </w:p>
  </w:footnote>
  <w:footnote w:id="32">
    <w:p w:rsidR="00B268F7" w:rsidRDefault="00B268F7" w:rsidP="00D03057">
      <w:pPr>
        <w:pStyle w:val="FootnoteText"/>
        <w:spacing w:after="120"/>
      </w:pPr>
      <w:r>
        <w:rPr>
          <w:rStyle w:val="FootnoteReference"/>
        </w:rPr>
        <w:footnoteRef/>
      </w:r>
      <w:r>
        <w:t xml:space="preserve"> </w:t>
      </w:r>
      <w:r w:rsidRPr="00D03057">
        <w:rPr>
          <w:i/>
        </w:rPr>
        <w:t>Id</w:t>
      </w:r>
      <w:r>
        <w:t>.</w:t>
      </w:r>
    </w:p>
  </w:footnote>
  <w:footnote w:id="33">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Duke Ex. 1 at 13; Duke Ex. 6 at 15 (PSR is “competitively neutral”); Tr. Vol. II at 470.</w:t>
      </w:r>
    </w:p>
  </w:footnote>
  <w:footnote w:id="34">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Martin v. City of Columbus</w:t>
      </w:r>
      <w:r w:rsidRPr="005837EA">
        <w:rPr>
          <w:rFonts w:cs="Arial"/>
        </w:rPr>
        <w:t xml:space="preserve">, 101 Ohio St. 1, 9 (1920); </w:t>
      </w:r>
      <w:r w:rsidRPr="005837EA">
        <w:rPr>
          <w:rFonts w:cs="Arial"/>
          <w:i/>
        </w:rPr>
        <w:t>Broadway Christian Church v. Williams</w:t>
      </w:r>
      <w:r w:rsidRPr="005837EA">
        <w:rPr>
          <w:rFonts w:cs="Arial"/>
        </w:rPr>
        <w:t>, 59 Ohio App. 2d 243, 254 (8th Dist. Ct. App. 1978) (same).</w:t>
      </w:r>
      <w:r>
        <w:rPr>
          <w:rFonts w:cs="Arial"/>
        </w:rPr>
        <w:t xml:space="preserve"> </w:t>
      </w:r>
    </w:p>
  </w:footnote>
  <w:footnote w:id="35">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Rule 4901:1-35-03(C)(9)(c)(i), OAC.</w:t>
      </w:r>
    </w:p>
  </w:footnote>
  <w:footnote w:id="36">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Duke Ex. 1 at 13.</w:t>
      </w:r>
    </w:p>
  </w:footnote>
  <w:footnote w:id="37">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Duke Ex. 6 at 15.</w:t>
      </w:r>
    </w:p>
  </w:footnote>
  <w:footnote w:id="38">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Tr. Vol. II at 470.</w:t>
      </w:r>
    </w:p>
  </w:footnote>
  <w:footnote w:id="39">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ESP Order at 45.</w:t>
      </w:r>
    </w:p>
  </w:footnote>
  <w:footnote w:id="40">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Tr. Vol. VII at 1875.</w:t>
      </w:r>
    </w:p>
  </w:footnote>
  <w:footnote w:id="41">
    <w:p w:rsidR="00B268F7" w:rsidRPr="005837EA" w:rsidRDefault="00B268F7" w:rsidP="005837EA">
      <w:pPr>
        <w:pStyle w:val="FootnoteText"/>
        <w:spacing w:after="120"/>
        <w:jc w:val="both"/>
        <w:rPr>
          <w:rFonts w:eastAsia="Calibri" w:cs="Arial"/>
        </w:rPr>
      </w:pPr>
      <w:r w:rsidRPr="005837EA">
        <w:rPr>
          <w:rStyle w:val="FootnoteReference"/>
          <w:rFonts w:cs="Arial"/>
        </w:rPr>
        <w:footnoteRef/>
      </w:r>
      <w:r w:rsidRPr="005837EA">
        <w:rPr>
          <w:rFonts w:cs="Arial"/>
        </w:rPr>
        <w:t xml:space="preserve"> R.C. 4928.143(C)(1).</w:t>
      </w:r>
    </w:p>
  </w:footnote>
  <w:footnote w:id="42">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Broadway Christian Church v. William</w:t>
      </w:r>
      <w:r>
        <w:rPr>
          <w:rFonts w:cs="Arial"/>
          <w:i/>
        </w:rPr>
        <w:t>s</w:t>
      </w:r>
      <w:r w:rsidRPr="005837EA">
        <w:rPr>
          <w:rFonts w:cs="Arial"/>
        </w:rPr>
        <w:t>, 59 Ohio App. 2d at 25</w:t>
      </w:r>
      <w:r>
        <w:rPr>
          <w:rFonts w:cs="Arial"/>
        </w:rPr>
        <w:t>4</w:t>
      </w:r>
      <w:r w:rsidRPr="005837EA">
        <w:rPr>
          <w:rFonts w:cs="Arial"/>
        </w:rPr>
        <w:t>.</w:t>
      </w:r>
      <w:r>
        <w:rPr>
          <w:rFonts w:cs="Arial"/>
        </w:rPr>
        <w:t xml:space="preserve"> </w:t>
      </w:r>
    </w:p>
  </w:footnote>
  <w:footnote w:id="43">
    <w:p w:rsidR="00B268F7" w:rsidRPr="005837EA" w:rsidRDefault="00B268F7" w:rsidP="005837EA">
      <w:pPr>
        <w:pStyle w:val="FootnoteText"/>
        <w:spacing w:after="120"/>
        <w:jc w:val="both"/>
        <w:rPr>
          <w:rFonts w:cs="Arial"/>
        </w:rPr>
      </w:pPr>
      <w:r w:rsidRPr="005837EA">
        <w:rPr>
          <w:rStyle w:val="FootnoteReference"/>
          <w:rFonts w:cs="Arial"/>
          <w:i/>
        </w:rPr>
        <w:footnoteRef/>
      </w:r>
      <w:r w:rsidRPr="005837EA">
        <w:rPr>
          <w:rFonts w:cs="Arial"/>
          <w:i/>
        </w:rPr>
        <w:t xml:space="preserve"> Reeves v. Healy</w:t>
      </w:r>
      <w:r w:rsidRPr="005837EA">
        <w:rPr>
          <w:rFonts w:cs="Arial"/>
        </w:rPr>
        <w:t xml:space="preserve">, 192 Ohio App. 3d 769, 783 (10th Dist. Ct. App. 2011) (failure to establish the standard of care is fatal to a prima facie case of medical malpractice); </w:t>
      </w:r>
      <w:r w:rsidRPr="005837EA">
        <w:rPr>
          <w:rFonts w:cs="Arial"/>
          <w:i/>
        </w:rPr>
        <w:t>Hart v. Somerford Twp. Bd. of Trustees</w:t>
      </w:r>
      <w:r w:rsidRPr="005837EA">
        <w:rPr>
          <w:rFonts w:cs="Arial"/>
        </w:rPr>
        <w:t>, 2008 WL 1704244 (12th Dist. Ct. App. Apr. 14, 2008) (trial court decision that cause of action challenging constitutionality of zoning ordinance failed because appellant </w:t>
      </w:r>
      <w:r w:rsidRPr="005837EA">
        <w:rPr>
          <w:rFonts w:cs="Arial"/>
          <w:bCs/>
        </w:rPr>
        <w:t>failed</w:t>
      </w:r>
      <w:r w:rsidRPr="005837EA">
        <w:rPr>
          <w:rFonts w:cs="Arial"/>
        </w:rPr>
        <w:t> to </w:t>
      </w:r>
      <w:r w:rsidRPr="005837EA">
        <w:rPr>
          <w:rFonts w:cs="Arial"/>
          <w:bCs/>
        </w:rPr>
        <w:t>meet</w:t>
      </w:r>
      <w:r w:rsidRPr="005837EA">
        <w:rPr>
          <w:rFonts w:cs="Arial"/>
        </w:rPr>
        <w:t> his </w:t>
      </w:r>
      <w:r w:rsidRPr="005837EA">
        <w:rPr>
          <w:rFonts w:cs="Arial"/>
          <w:bCs/>
        </w:rPr>
        <w:t>burden</w:t>
      </w:r>
      <w:r w:rsidRPr="005837EA">
        <w:rPr>
          <w:rFonts w:cs="Arial"/>
        </w:rPr>
        <w:t> of proof affirmed).</w:t>
      </w:r>
    </w:p>
  </w:footnote>
  <w:footnote w:id="44">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Broadway Christian Church v. William</w:t>
      </w:r>
      <w:r>
        <w:rPr>
          <w:rFonts w:cs="Arial"/>
          <w:i/>
        </w:rPr>
        <w:t>s</w:t>
      </w:r>
      <w:r w:rsidRPr="005837EA">
        <w:rPr>
          <w:rFonts w:cs="Arial"/>
        </w:rPr>
        <w:t>, 59 Ohio App. 2d at 25</w:t>
      </w:r>
      <w:r>
        <w:rPr>
          <w:rFonts w:cs="Arial"/>
        </w:rPr>
        <w:t>4</w:t>
      </w:r>
      <w:r w:rsidRPr="005837EA">
        <w:rPr>
          <w:rFonts w:cs="Arial"/>
        </w:rPr>
        <w:t>.</w:t>
      </w:r>
    </w:p>
  </w:footnote>
  <w:footnote w:id="45">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iCs/>
        </w:rPr>
        <w:t>Consumers' Counsel v. Pub. Util. Comm.</w:t>
      </w:r>
      <w:r w:rsidRPr="005837EA">
        <w:rPr>
          <w:rFonts w:cs="Arial"/>
          <w:iCs/>
        </w:rPr>
        <w:t>,</w:t>
      </w:r>
      <w:r w:rsidRPr="005837EA">
        <w:rPr>
          <w:rFonts w:cs="Arial"/>
        </w:rPr>
        <w:t xml:space="preserve"> 61 Ohio St.3d 396, 406 (1991) (Brown, J., dissenting).  </w:t>
      </w:r>
    </w:p>
  </w:footnote>
  <w:footnote w:id="46">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Rule 4901:1-35-03(C)(9)(c)(i), OAC.</w:t>
      </w:r>
    </w:p>
  </w:footnote>
  <w:footnote w:id="47">
    <w:p w:rsidR="00B268F7" w:rsidRDefault="00B268F7" w:rsidP="0057342A">
      <w:pPr>
        <w:pStyle w:val="FootnoteText"/>
        <w:spacing w:after="120"/>
      </w:pPr>
      <w:r>
        <w:rPr>
          <w:rStyle w:val="FootnoteReference"/>
        </w:rPr>
        <w:footnoteRef/>
      </w:r>
      <w:r>
        <w:t xml:space="preserve"> </w:t>
      </w:r>
      <w:r w:rsidRPr="0057342A">
        <w:rPr>
          <w:i/>
        </w:rPr>
        <w:t>In re Columbus S. Power Co</w:t>
      </w:r>
      <w:r>
        <w:t>., 128 Ohio St.3d at 519.</w:t>
      </w:r>
    </w:p>
  </w:footnote>
  <w:footnote w:id="48">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ESP Order at 42.</w:t>
      </w:r>
    </w:p>
  </w:footnote>
  <w:footnote w:id="49">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 xml:space="preserve">Id. </w:t>
      </w:r>
      <w:r w:rsidRPr="005837EA">
        <w:rPr>
          <w:rFonts w:cs="Arial"/>
        </w:rPr>
        <w:t>at 44.</w:t>
      </w:r>
    </w:p>
  </w:footnote>
  <w:footnote w:id="50">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p>
  </w:footnote>
  <w:footnote w:id="51">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sidRPr="005837EA">
        <w:rPr>
          <w:rFonts w:cs="Arial"/>
        </w:rPr>
        <w:t xml:space="preserve"> at 46.</w:t>
      </w:r>
    </w:p>
  </w:footnote>
  <w:footnote w:id="52">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p>
  </w:footnote>
  <w:footnote w:id="53">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0A6FFE">
        <w:rPr>
          <w:rFonts w:cs="Arial"/>
          <w:i/>
        </w:rPr>
        <w:t>In the Matter of the Application of Ohio Power Company for Authority to Establish a Standard Service Offer Pursuant to R.C. 4928.143, in the Form of an Electric Security Plan</w:t>
      </w:r>
      <w:r>
        <w:rPr>
          <w:rFonts w:cs="Arial"/>
        </w:rPr>
        <w:t xml:space="preserve">, Case Nos. 13-2385-EL-SSO, </w:t>
      </w:r>
      <w:r w:rsidRPr="000A6FFE">
        <w:rPr>
          <w:rFonts w:cs="Arial"/>
          <w:i/>
        </w:rPr>
        <w:t>et al</w:t>
      </w:r>
      <w:r>
        <w:rPr>
          <w:rFonts w:cs="Arial"/>
        </w:rPr>
        <w:t>.</w:t>
      </w:r>
      <w:r w:rsidRPr="005837EA">
        <w:rPr>
          <w:rFonts w:cs="Arial"/>
        </w:rPr>
        <w:t>, AEP-Ohio Ex. 1 at 11-12.</w:t>
      </w:r>
      <w:r>
        <w:rPr>
          <w:rFonts w:cs="Arial"/>
        </w:rPr>
        <w:t xml:space="preserve">  The Commission modified and approved the application on February 25, 2015.  </w:t>
      </w:r>
      <w:r w:rsidRPr="000A6FFE">
        <w:rPr>
          <w:rFonts w:cs="Arial"/>
          <w:i/>
        </w:rPr>
        <w:t>Id</w:t>
      </w:r>
      <w:r>
        <w:rPr>
          <w:rFonts w:cs="Arial"/>
        </w:rPr>
        <w:t>., Opinion and Order (Feb. 25, 2015) (“AEP-Ohio ESP III Order”).</w:t>
      </w:r>
    </w:p>
  </w:footnote>
  <w:footnote w:id="54">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AEP-Ohio ESP III Order at 62.</w:t>
      </w:r>
    </w:p>
  </w:footnote>
  <w:footnote w:id="55">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sidRPr="005837EA">
        <w:rPr>
          <w:rFonts w:cs="Arial"/>
        </w:rPr>
        <w:t>.</w:t>
      </w:r>
    </w:p>
  </w:footnote>
  <w:footnote w:id="56">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ESP Order at 46.</w:t>
      </w:r>
    </w:p>
  </w:footnote>
  <w:footnote w:id="57">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Tr. Vol. XII at 3446.</w:t>
      </w:r>
    </w:p>
  </w:footnote>
  <w:footnote w:id="58">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Duke Ex. 3 at 8; Staff Ex. 3 </w:t>
      </w:r>
      <w:r w:rsidRPr="00AA7C2C">
        <w:rPr>
          <w:rFonts w:cs="Arial"/>
          <w:i/>
        </w:rPr>
        <w:t>passim</w:t>
      </w:r>
      <w:r w:rsidRPr="005837EA">
        <w:rPr>
          <w:rFonts w:cs="Arial"/>
        </w:rPr>
        <w:t>; Tr. Vol. XII at 3445.</w:t>
      </w:r>
    </w:p>
  </w:footnote>
  <w:footnote w:id="59">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Tr. Vol. II at 472-73.  </w:t>
      </w:r>
      <w:r w:rsidRPr="005837EA">
        <w:rPr>
          <w:rFonts w:cs="Arial"/>
          <w:i/>
        </w:rPr>
        <w:t>See, also</w:t>
      </w:r>
      <w:r w:rsidRPr="005837EA">
        <w:rPr>
          <w:rFonts w:cs="Arial"/>
        </w:rPr>
        <w:t>, the Commission’s Apples to Apples Chart applicable to Duke viewed at http://energychoice.ohio.gov/ApplesToApplesCategory.aspx?Category=Electric.</w:t>
      </w:r>
    </w:p>
  </w:footnote>
  <w:footnote w:id="60">
    <w:p w:rsidR="00B268F7" w:rsidRDefault="00B268F7" w:rsidP="00750326">
      <w:pPr>
        <w:pStyle w:val="FootnoteText"/>
        <w:spacing w:after="120"/>
      </w:pPr>
      <w:r>
        <w:rPr>
          <w:rStyle w:val="FootnoteReference"/>
        </w:rPr>
        <w:footnoteRef/>
      </w:r>
      <w:r>
        <w:t xml:space="preserve"> ESP Order at 47.</w:t>
      </w:r>
    </w:p>
  </w:footnote>
  <w:footnote w:id="61">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Tr. Vol. III at 690 (Duke has not included OVEC-related costs in retail rates); Duke Ex. 6 at 11-12 (difference in OVEC related cost</w:t>
      </w:r>
      <w:r>
        <w:rPr>
          <w:rFonts w:cs="Arial"/>
        </w:rPr>
        <w:t>s</w:t>
      </w:r>
      <w:r w:rsidRPr="005837EA">
        <w:rPr>
          <w:rFonts w:cs="Arial"/>
        </w:rPr>
        <w:t xml:space="preserve"> and PJM revenue recovered through PSR).</w:t>
      </w:r>
    </w:p>
  </w:footnote>
  <w:footnote w:id="62">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IEU-Ohio Ex. 6 at 13 (Sponsoring Parties expected to pay liquidated damages incurred by OVEC for coal transportation contract breach).</w:t>
      </w:r>
    </w:p>
  </w:footnote>
  <w:footnote w:id="63">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In re Columbus S. Power Co</w:t>
      </w:r>
      <w:r w:rsidRPr="005837EA">
        <w:rPr>
          <w:rFonts w:cs="Arial"/>
        </w:rPr>
        <w:t>., 128 Ohio St.3d at 519.</w:t>
      </w:r>
    </w:p>
  </w:footnote>
  <w:footnote w:id="64">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See Elyria Foundry Co. v. Pub. Util. Comm’n of Ohio</w:t>
      </w:r>
      <w:r w:rsidRPr="005837EA">
        <w:rPr>
          <w:rFonts w:cs="Arial"/>
        </w:rPr>
        <w:t>, 114 Ohio St.3d 305 (2007).</w:t>
      </w:r>
    </w:p>
  </w:footnote>
  <w:footnote w:id="65">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Pr>
          <w:rFonts w:cs="Arial"/>
        </w:rPr>
        <w:t>Initial Brief of Industrial Energy Users-Ohio</w:t>
      </w:r>
      <w:r w:rsidRPr="005837EA">
        <w:rPr>
          <w:rFonts w:cs="Arial"/>
        </w:rPr>
        <w:t xml:space="preserve"> at 12-14</w:t>
      </w:r>
      <w:r>
        <w:rPr>
          <w:rFonts w:cs="Arial"/>
        </w:rPr>
        <w:t xml:space="preserve"> (Dec. 15, 2014) (“IEU-Ohio Initial Brief”)</w:t>
      </w:r>
      <w:r w:rsidRPr="005837EA">
        <w:rPr>
          <w:rFonts w:cs="Arial"/>
        </w:rPr>
        <w:t>.</w:t>
      </w:r>
    </w:p>
  </w:footnote>
  <w:footnote w:id="66">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3A1323">
        <w:rPr>
          <w:rFonts w:cs="Arial"/>
          <w:i/>
        </w:rPr>
        <w:t>Id</w:t>
      </w:r>
      <w:r w:rsidRPr="005837EA">
        <w:rPr>
          <w:rFonts w:cs="Arial"/>
        </w:rPr>
        <w:t xml:space="preserve">. at 13-14.  The prior Commission order denying recovery of generation closure costs is </w:t>
      </w:r>
      <w:r w:rsidRPr="005837EA">
        <w:rPr>
          <w:rFonts w:cs="Arial"/>
          <w:i/>
        </w:rPr>
        <w:t>In the Matter of the Application of Ohio Power Company for Approval of the Shutdown of Unit 5 of the Philip Sporn Generating Station and to Establish a Plant Shutdown Rider</w:t>
      </w:r>
      <w:r w:rsidRPr="005837EA">
        <w:rPr>
          <w:rFonts w:cs="Arial"/>
        </w:rPr>
        <w:t>, Case No. 10-1454-EL-RDR, Finding and Order (Jan. 11, 2012) (“</w:t>
      </w:r>
      <w:r w:rsidRPr="005837EA">
        <w:rPr>
          <w:rFonts w:cs="Arial"/>
          <w:i/>
        </w:rPr>
        <w:t>Sporn</w:t>
      </w:r>
      <w:r w:rsidRPr="005837EA">
        <w:rPr>
          <w:rFonts w:cs="Arial"/>
        </w:rPr>
        <w:t>”).</w:t>
      </w:r>
    </w:p>
  </w:footnote>
  <w:footnote w:id="67">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ESP Order at 47-48.</w:t>
      </w:r>
    </w:p>
  </w:footnote>
  <w:footnote w:id="68">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Pr>
          <w:rFonts w:cs="Arial"/>
        </w:rPr>
        <w:t>Although the issue was squarely presented, IEU-Ohio Initial Brief at 13-14, t</w:t>
      </w:r>
      <w:r w:rsidRPr="00F92F42">
        <w:rPr>
          <w:rFonts w:cs="Arial"/>
        </w:rPr>
        <w:t xml:space="preserve">he </w:t>
      </w:r>
      <w:r>
        <w:rPr>
          <w:rFonts w:cs="Arial"/>
        </w:rPr>
        <w:t xml:space="preserve">Commission fails to address the application of </w:t>
      </w:r>
      <w:r w:rsidRPr="00F92F42">
        <w:rPr>
          <w:rFonts w:cs="Arial"/>
          <w:i/>
        </w:rPr>
        <w:t>Sporn</w:t>
      </w:r>
      <w:r>
        <w:rPr>
          <w:rFonts w:cs="Arial"/>
        </w:rPr>
        <w:t xml:space="preserve"> in the findings of ESP Order related to the PSR</w:t>
      </w:r>
      <w:r w:rsidRPr="00F92F42">
        <w:rPr>
          <w:rFonts w:cs="Arial"/>
        </w:rPr>
        <w:t>.</w:t>
      </w:r>
      <w:r>
        <w:rPr>
          <w:rFonts w:cs="Arial"/>
        </w:rPr>
        <w:t xml:space="preserve">  ESP Order at 42-48.</w:t>
      </w:r>
    </w:p>
  </w:footnote>
  <w:footnote w:id="69">
    <w:p w:rsidR="00B268F7" w:rsidRDefault="00B268F7" w:rsidP="00E86989">
      <w:pPr>
        <w:pStyle w:val="FootnoteText"/>
        <w:spacing w:after="120"/>
      </w:pPr>
      <w:r>
        <w:rPr>
          <w:rStyle w:val="FootnoteReference"/>
        </w:rPr>
        <w:footnoteRef/>
      </w:r>
      <w:r>
        <w:t xml:space="preserve"> ESP Order at 48.</w:t>
      </w:r>
    </w:p>
  </w:footnote>
  <w:footnote w:id="70">
    <w:p w:rsidR="00B268F7" w:rsidRPr="005837EA" w:rsidRDefault="00B268F7" w:rsidP="00D37D38">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Cleveland Electric Illuminating Co. v. Pub. Util. Comm’n of Ohio</w:t>
      </w:r>
      <w:r w:rsidRPr="005837EA">
        <w:rPr>
          <w:rFonts w:cs="Arial"/>
        </w:rPr>
        <w:t>, 42 Ohio St.2d 403, 431 (1975).</w:t>
      </w:r>
    </w:p>
  </w:footnote>
  <w:footnote w:id="71">
    <w:p w:rsidR="00B268F7" w:rsidRPr="005837EA" w:rsidRDefault="00B268F7" w:rsidP="00D37D38">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In re Columbus S. Power Co</w:t>
      </w:r>
      <w:r w:rsidRPr="005837EA">
        <w:rPr>
          <w:rFonts w:cs="Arial"/>
        </w:rPr>
        <w:t>., 128 Ohio St.3d at 523</w:t>
      </w:r>
      <w:r>
        <w:rPr>
          <w:rFonts w:cs="Arial"/>
        </w:rPr>
        <w:t>.</w:t>
      </w:r>
    </w:p>
  </w:footnote>
  <w:footnote w:id="72">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Sporn</w:t>
      </w:r>
      <w:r w:rsidRPr="005837EA">
        <w:rPr>
          <w:rFonts w:cs="Arial"/>
        </w:rPr>
        <w:t>, Finding and Order at 1-2 (Jan. 11, 2012).</w:t>
      </w:r>
    </w:p>
  </w:footnote>
  <w:footnote w:id="73">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i/>
        </w:rPr>
        <w:t xml:space="preserve"> Id. </w:t>
      </w:r>
      <w:r w:rsidRPr="005837EA">
        <w:rPr>
          <w:rFonts w:cs="Arial"/>
        </w:rPr>
        <w:t>at 19.</w:t>
      </w:r>
    </w:p>
  </w:footnote>
  <w:footnote w:id="74">
    <w:p w:rsidR="00B268F7" w:rsidRPr="005837EA" w:rsidRDefault="00B268F7" w:rsidP="00D37D38">
      <w:pPr>
        <w:pStyle w:val="FootnoteText"/>
        <w:spacing w:after="120"/>
        <w:jc w:val="both"/>
        <w:rPr>
          <w:rFonts w:cs="Arial"/>
        </w:rPr>
      </w:pPr>
      <w:r w:rsidRPr="005837EA">
        <w:rPr>
          <w:rStyle w:val="FootnoteReference"/>
          <w:rFonts w:cs="Arial"/>
        </w:rPr>
        <w:footnoteRef/>
      </w:r>
      <w:r w:rsidRPr="005837EA">
        <w:rPr>
          <w:rFonts w:cs="Arial"/>
        </w:rPr>
        <w:t xml:space="preserve"> </w:t>
      </w:r>
      <w:r>
        <w:rPr>
          <w:rFonts w:cs="Arial"/>
          <w:i/>
        </w:rPr>
        <w:t xml:space="preserve">Sporn, </w:t>
      </w:r>
      <w:r w:rsidRPr="005837EA">
        <w:rPr>
          <w:rFonts w:cs="Arial"/>
        </w:rPr>
        <w:t xml:space="preserve">Finding </w:t>
      </w:r>
      <w:r>
        <w:rPr>
          <w:rFonts w:cs="Arial"/>
        </w:rPr>
        <w:t>and Order at 19</w:t>
      </w:r>
      <w:r w:rsidRPr="005837EA">
        <w:rPr>
          <w:rFonts w:cs="Arial"/>
        </w:rPr>
        <w:t>.</w:t>
      </w:r>
    </w:p>
  </w:footnote>
  <w:footnote w:id="75">
    <w:p w:rsidR="00B268F7" w:rsidRPr="005837EA" w:rsidRDefault="00B268F7" w:rsidP="005837EA">
      <w:pPr>
        <w:pStyle w:val="FootnoteText"/>
        <w:spacing w:after="120"/>
        <w:jc w:val="both"/>
        <w:rPr>
          <w:rFonts w:eastAsia="Calibri" w:cs="Arial"/>
        </w:rPr>
      </w:pPr>
      <w:r w:rsidRPr="005837EA">
        <w:rPr>
          <w:rStyle w:val="FootnoteReference"/>
          <w:rFonts w:cs="Arial"/>
        </w:rPr>
        <w:footnoteRef/>
      </w:r>
      <w:r w:rsidRPr="005837EA">
        <w:rPr>
          <w:rFonts w:cs="Arial"/>
        </w:rPr>
        <w:t xml:space="preserve"> IEU-Ohio Initial Brief at 15-18.</w:t>
      </w:r>
    </w:p>
  </w:footnote>
  <w:footnote w:id="76">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ESP Order at 48.</w:t>
      </w:r>
    </w:p>
  </w:footnote>
  <w:footnote w:id="77">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R.C. 4928.141 &amp; R.C. 4928.40(A).</w:t>
      </w:r>
    </w:p>
  </w:footnote>
  <w:footnote w:id="78">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R.C. 4928.38.</w:t>
      </w:r>
    </w:p>
  </w:footnote>
  <w:footnote w:id="79">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sidRPr="005837EA">
        <w:rPr>
          <w:rFonts w:cs="Arial"/>
        </w:rPr>
        <w:t>.</w:t>
      </w:r>
    </w:p>
  </w:footnote>
  <w:footnote w:id="80">
    <w:p w:rsidR="00B268F7" w:rsidRDefault="00B268F7" w:rsidP="00C33574">
      <w:pPr>
        <w:pStyle w:val="FootnoteText"/>
        <w:spacing w:after="120"/>
      </w:pPr>
      <w:r>
        <w:rPr>
          <w:rStyle w:val="FootnoteReference"/>
        </w:rPr>
        <w:footnoteRef/>
      </w:r>
      <w:r>
        <w:t xml:space="preserve"> </w:t>
      </w:r>
      <w:r w:rsidRPr="00C33574">
        <w:rPr>
          <w:i/>
        </w:rPr>
        <w:t>See, e.g., In the Matter of the Application of The Dayton Power and Light Company for Approval of its Electric Security Plan</w:t>
      </w:r>
      <w:r>
        <w:t>, Sup. Ct. Case No. 2014-1505, Brief of Cross-Appellant The Dayton Power and Light Company at 17-18 (Jan. 20, 2015).</w:t>
      </w:r>
    </w:p>
  </w:footnote>
  <w:footnote w:id="81">
    <w:p w:rsidR="00B268F7" w:rsidRPr="005837EA" w:rsidRDefault="00B268F7" w:rsidP="00D9425D">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bCs/>
          <w:i/>
        </w:rPr>
        <w:t>Ohio Neighborhood Finance, Inc. v. Scott.</w:t>
      </w:r>
      <w:r>
        <w:rPr>
          <w:rFonts w:cs="Arial"/>
          <w:bCs/>
        </w:rPr>
        <w:t>, 139 Ohio St.3d 536 (2014)</w:t>
      </w:r>
      <w:r w:rsidRPr="005837EA">
        <w:rPr>
          <w:rFonts w:cs="Arial"/>
          <w:bCs/>
        </w:rPr>
        <w:t xml:space="preserve">.  </w:t>
      </w:r>
    </w:p>
  </w:footnote>
  <w:footnote w:id="82">
    <w:p w:rsidR="00B268F7" w:rsidRPr="005837EA" w:rsidRDefault="00B268F7" w:rsidP="00D9425D">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bCs/>
          <w:i/>
        </w:rPr>
        <w:t>Id.</w:t>
      </w:r>
      <w:r w:rsidRPr="005837EA">
        <w:rPr>
          <w:rFonts w:cs="Arial"/>
          <w:bCs/>
        </w:rPr>
        <w:t xml:space="preserve">; </w:t>
      </w:r>
      <w:r w:rsidRPr="005837EA">
        <w:rPr>
          <w:rFonts w:cs="Arial"/>
          <w:bCs/>
          <w:i/>
        </w:rPr>
        <w:t>State v. Brown</w:t>
      </w:r>
      <w:r w:rsidRPr="005837EA">
        <w:rPr>
          <w:rFonts w:cs="Arial"/>
          <w:bCs/>
        </w:rPr>
        <w:t>, 119 Ohio St.3d 447, 2008-Ohio-4569, ¶ 37 (</w:t>
      </w:r>
      <w:r w:rsidRPr="005837EA">
        <w:rPr>
          <w:rFonts w:cs="Arial"/>
          <w:bCs/>
          <w:i/>
        </w:rPr>
        <w:t>quoting</w:t>
      </w:r>
      <w:r w:rsidRPr="005837EA">
        <w:rPr>
          <w:rFonts w:cs="Arial"/>
          <w:bCs/>
          <w:i/>
          <w:iCs/>
        </w:rPr>
        <w:t xml:space="preserve"> State v. Cook</w:t>
      </w:r>
      <w:r w:rsidRPr="005837EA">
        <w:rPr>
          <w:rFonts w:cs="Arial"/>
          <w:bCs/>
        </w:rPr>
        <w:t xml:space="preserve">, 83 Ohio St.3d 404, </w:t>
      </w:r>
      <w:r>
        <w:rPr>
          <w:rFonts w:cs="Arial"/>
          <w:bCs/>
        </w:rPr>
        <w:t>416</w:t>
      </w:r>
      <w:r w:rsidRPr="005837EA">
        <w:rPr>
          <w:rFonts w:cs="Arial"/>
          <w:bCs/>
        </w:rPr>
        <w:t xml:space="preserve">(1998)) (“A cardinal rule of statutory interpretation is that ‘[a] court must look to the language and purpose of the statute in order to determine legislative intent.’”); </w:t>
      </w:r>
      <w:r w:rsidRPr="005837EA">
        <w:rPr>
          <w:rFonts w:cs="Arial"/>
          <w:bCs/>
          <w:i/>
        </w:rPr>
        <w:t xml:space="preserve"> Kewalo Ocean Activities and Kahala Catamarans v. Ching</w:t>
      </w:r>
      <w:r w:rsidRPr="005837EA">
        <w:rPr>
          <w:rFonts w:cs="Arial"/>
          <w:bCs/>
        </w:rPr>
        <w:t>, 243 P.3d 273 (</w:t>
      </w:r>
      <w:r>
        <w:rPr>
          <w:rFonts w:cs="Arial"/>
          <w:bCs/>
        </w:rPr>
        <w:t xml:space="preserve">Haw. Ct. App. </w:t>
      </w:r>
      <w:r w:rsidRPr="005837EA">
        <w:rPr>
          <w:rFonts w:cs="Arial"/>
          <w:bCs/>
        </w:rPr>
        <w:t xml:space="preserve">2010); </w:t>
      </w:r>
      <w:r w:rsidRPr="005837EA">
        <w:rPr>
          <w:rFonts w:cs="Arial"/>
          <w:bCs/>
          <w:i/>
        </w:rPr>
        <w:t>Yates v. U.S.</w:t>
      </w:r>
      <w:r w:rsidRPr="005837EA">
        <w:rPr>
          <w:rFonts w:cs="Arial"/>
          <w:bCs/>
        </w:rPr>
        <w:t>, 574 U.S. __, 2015 WL 773330 at *6 (</w:t>
      </w:r>
      <w:r w:rsidRPr="005837EA">
        <w:rPr>
          <w:rFonts w:cs="Arial"/>
          <w:bCs/>
          <w:i/>
        </w:rPr>
        <w:t>quoting Robinson v. Shell Oil Co.</w:t>
      </w:r>
      <w:r w:rsidRPr="005837EA">
        <w:rPr>
          <w:rFonts w:cs="Arial"/>
          <w:bCs/>
        </w:rPr>
        <w:t xml:space="preserve">, 519 U.S. 337, 341 (1997)) (term “tangible object” in Sarbanes-Oxley Act did not include fish because “’[t]he plainness or ambiguity of statutory language is determined [not only] by reference to the language itself, [but as well by] the specific context in which that language is used, and the broader context </w:t>
      </w:r>
      <w:r>
        <w:rPr>
          <w:rFonts w:cs="Arial"/>
          <w:bCs/>
        </w:rPr>
        <w:t>of the statute as a whole.’”).</w:t>
      </w:r>
    </w:p>
  </w:footnote>
  <w:footnote w:id="83">
    <w:p w:rsidR="00B268F7" w:rsidRPr="005837EA" w:rsidRDefault="00B268F7" w:rsidP="00D9425D">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In the Matter of the Application of The Dayton Power and Light Company for Approval of its Electric Security Plan</w:t>
      </w:r>
      <w:r w:rsidRPr="005837EA">
        <w:rPr>
          <w:rFonts w:cs="Arial"/>
        </w:rPr>
        <w:t xml:space="preserve">, Case Nos. 12-426-EL-SSO, </w:t>
      </w:r>
      <w:r w:rsidRPr="005837EA">
        <w:rPr>
          <w:rFonts w:cs="Arial"/>
          <w:i/>
        </w:rPr>
        <w:t>et al.,</w:t>
      </w:r>
      <w:r w:rsidRPr="005837EA">
        <w:rPr>
          <w:rFonts w:cs="Arial"/>
        </w:rPr>
        <w:t xml:space="preserve"> Opinion and Order at 30 (Sept. 4, 201</w:t>
      </w:r>
      <w:r>
        <w:rPr>
          <w:rFonts w:cs="Arial"/>
        </w:rPr>
        <w:t>3</w:t>
      </w:r>
      <w:r w:rsidRPr="005837EA">
        <w:rPr>
          <w:rFonts w:cs="Arial"/>
        </w:rPr>
        <w:t>).</w:t>
      </w:r>
    </w:p>
  </w:footnote>
  <w:footnote w:id="84">
    <w:p w:rsidR="00B268F7" w:rsidRPr="005837EA" w:rsidRDefault="00B268F7" w:rsidP="00D9425D">
      <w:pPr>
        <w:pStyle w:val="FootnoteText"/>
        <w:spacing w:after="120"/>
        <w:jc w:val="both"/>
        <w:rPr>
          <w:rFonts w:cs="Arial"/>
        </w:rPr>
      </w:pPr>
      <w:r w:rsidRPr="005837EA">
        <w:rPr>
          <w:rStyle w:val="FootnoteReference"/>
          <w:rFonts w:cs="Arial"/>
        </w:rPr>
        <w:footnoteRef/>
      </w:r>
      <w:r w:rsidRPr="005837EA">
        <w:rPr>
          <w:rFonts w:cs="Arial"/>
        </w:rPr>
        <w:t xml:space="preserve"> </w:t>
      </w:r>
      <w:r w:rsidRPr="003A1323">
        <w:rPr>
          <w:rFonts w:cs="Arial"/>
          <w:i/>
        </w:rPr>
        <w:t>Sporn</w:t>
      </w:r>
      <w:r w:rsidRPr="005837EA">
        <w:rPr>
          <w:rFonts w:cs="Arial"/>
        </w:rPr>
        <w:t xml:space="preserve">, </w:t>
      </w:r>
      <w:r>
        <w:rPr>
          <w:rFonts w:cs="Arial"/>
        </w:rPr>
        <w:t>Finding</w:t>
      </w:r>
      <w:r w:rsidRPr="005837EA">
        <w:rPr>
          <w:rFonts w:cs="Arial"/>
        </w:rPr>
        <w:t xml:space="preserve"> and Order at 1</w:t>
      </w:r>
      <w:r>
        <w:rPr>
          <w:rFonts w:cs="Arial"/>
        </w:rPr>
        <w:t>9</w:t>
      </w:r>
      <w:r w:rsidRPr="005837EA">
        <w:rPr>
          <w:rFonts w:cs="Arial"/>
        </w:rPr>
        <w:t>.</w:t>
      </w:r>
    </w:p>
  </w:footnote>
  <w:footnote w:id="85">
    <w:p w:rsidR="00B268F7" w:rsidRDefault="00B268F7" w:rsidP="00172B92">
      <w:pPr>
        <w:pStyle w:val="FootnoteText"/>
        <w:spacing w:after="120"/>
      </w:pPr>
      <w:r>
        <w:rPr>
          <w:rStyle w:val="FootnoteReference"/>
        </w:rPr>
        <w:footnoteRef/>
      </w:r>
      <w:r>
        <w:t xml:space="preserve"> R.C. 4928.38.</w:t>
      </w:r>
    </w:p>
  </w:footnote>
  <w:footnote w:id="86">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ESP Order at 47.</w:t>
      </w:r>
    </w:p>
  </w:footnote>
  <w:footnote w:id="87">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Pr>
          <w:rFonts w:cs="Arial"/>
        </w:rPr>
        <w:t>Duke Ex. 6 at 13-14</w:t>
      </w:r>
      <w:r w:rsidRPr="005837EA">
        <w:rPr>
          <w:rFonts w:cs="Arial"/>
        </w:rPr>
        <w:t>.</w:t>
      </w:r>
    </w:p>
  </w:footnote>
  <w:footnote w:id="88">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R.C. 4928.39(C).</w:t>
      </w:r>
    </w:p>
  </w:footnote>
  <w:footnote w:id="89">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In the Matter of the Application of The Cincinnati Gas and Electric Company for Approval if its Electric Transition Plan and for Authorization to Collect Transition Revenues</w:t>
      </w:r>
      <w:r w:rsidRPr="005837EA">
        <w:rPr>
          <w:rFonts w:cs="Arial"/>
        </w:rPr>
        <w:t xml:space="preserve">, Case Nos. 99-1658-EL-ETP, </w:t>
      </w:r>
      <w:r w:rsidRPr="005837EA">
        <w:rPr>
          <w:rFonts w:cs="Arial"/>
          <w:i/>
        </w:rPr>
        <w:t>et al</w:t>
      </w:r>
      <w:r w:rsidRPr="005837EA">
        <w:rPr>
          <w:rFonts w:cs="Arial"/>
        </w:rPr>
        <w:t>., Application at 14-17 (Dec. 28, 1999).</w:t>
      </w:r>
    </w:p>
  </w:footnote>
  <w:footnote w:id="90">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sidRPr="005837EA">
        <w:rPr>
          <w:rFonts w:cs="Arial"/>
        </w:rPr>
        <w:t>., Opinion and Order at 23 (Aug. 31, 2000).</w:t>
      </w:r>
    </w:p>
  </w:footnote>
  <w:footnote w:id="91">
    <w:p w:rsidR="00B268F7" w:rsidRPr="005837EA" w:rsidRDefault="00B268F7" w:rsidP="00C94A9E">
      <w:pPr>
        <w:pStyle w:val="FootnoteText"/>
        <w:spacing w:after="120"/>
        <w:jc w:val="both"/>
        <w:rPr>
          <w:rFonts w:cs="Arial"/>
        </w:rPr>
      </w:pPr>
      <w:r w:rsidRPr="005837EA">
        <w:rPr>
          <w:rStyle w:val="FootnoteReference"/>
          <w:rFonts w:cs="Arial"/>
        </w:rPr>
        <w:footnoteRef/>
      </w:r>
      <w:r w:rsidRPr="005837EA">
        <w:rPr>
          <w:rFonts w:cs="Arial"/>
        </w:rPr>
        <w:t xml:space="preserve"> IEU-Ohio Initial Brief at 17-18.</w:t>
      </w:r>
    </w:p>
  </w:footnote>
  <w:footnote w:id="92">
    <w:p w:rsidR="00B268F7" w:rsidRPr="005837EA" w:rsidRDefault="00B268F7" w:rsidP="00642554">
      <w:pPr>
        <w:pStyle w:val="FootnoteText"/>
        <w:spacing w:after="120"/>
        <w:jc w:val="both"/>
        <w:rPr>
          <w:rFonts w:cs="Arial"/>
        </w:rPr>
      </w:pPr>
      <w:r w:rsidRPr="005837EA">
        <w:rPr>
          <w:rStyle w:val="FootnoteReference"/>
          <w:rFonts w:cs="Arial"/>
        </w:rPr>
        <w:footnoteRef/>
      </w:r>
      <w:r w:rsidRPr="005837EA">
        <w:rPr>
          <w:rFonts w:cs="Arial"/>
        </w:rPr>
        <w:t xml:space="preserve"> The references to the recovery of transition revenue or its equivalent in the ESP Order are limited to a discussion of the effect of R.C. 4928.38.  ESP Order at 48.</w:t>
      </w:r>
    </w:p>
  </w:footnote>
  <w:footnote w:id="93">
    <w:p w:rsidR="00B268F7" w:rsidRPr="005837EA" w:rsidRDefault="00B268F7" w:rsidP="00642554">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In re Columbus S. Power Co</w:t>
      </w:r>
      <w:r w:rsidRPr="005837EA">
        <w:rPr>
          <w:rFonts w:cs="Arial"/>
        </w:rPr>
        <w:t>., 512 Ohio St.3d at 519.</w:t>
      </w:r>
    </w:p>
  </w:footnote>
  <w:footnote w:id="94">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ESP Order at 48.</w:t>
      </w:r>
    </w:p>
  </w:footnote>
  <w:footnote w:id="95">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In the Matter of the Rescission of Chapter 4901:2-3, Ohio Administrative Code</w:t>
      </w:r>
      <w:r w:rsidRPr="005837EA">
        <w:rPr>
          <w:rFonts w:cs="Arial"/>
        </w:rPr>
        <w:t>, Case No. 00-663-TR-ORD, Entry at 2 (Nov. 30, 2000).</w:t>
      </w:r>
    </w:p>
  </w:footnote>
  <w:footnote w:id="96">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In the Matter of the Application of Ohio Power Company to Increase Certain of its Filed Schedules Fixing Rates and Charges for Electric Service</w:t>
      </w:r>
      <w:r w:rsidRPr="005837EA">
        <w:rPr>
          <w:rFonts w:cs="Arial"/>
        </w:rPr>
        <w:t xml:space="preserve">, 1986 Ohio PUC Lexis 49 at *80 (July 10, 1986). </w:t>
      </w:r>
    </w:p>
  </w:footnote>
  <w:footnote w:id="97">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In the Matter of the Commission Review of the Capacity Charges of Ohio Power Company and Columbus Southern Power Company</w:t>
      </w:r>
      <w:r w:rsidRPr="005837EA">
        <w:rPr>
          <w:rFonts w:cs="Arial"/>
        </w:rPr>
        <w:t xml:space="preserve">, Case No. 10-2929-EL-UNC, Opinion and Order at 13 (July 2, 2012).  The Opinion and Order is currently on appeal.  </w:t>
      </w:r>
      <w:r w:rsidRPr="005837EA">
        <w:rPr>
          <w:rFonts w:cs="Arial"/>
          <w:i/>
        </w:rPr>
        <w:t>In the Matter of the Commission Review of the Capacity Charges of Ohio Power Company and Columbus Southern Power Company</w:t>
      </w:r>
      <w:r w:rsidRPr="005837EA">
        <w:rPr>
          <w:rFonts w:cs="Arial"/>
        </w:rPr>
        <w:t xml:space="preserve">, Sup. Ct. Case No. 2013-0228, Notice of Appeal of Appellant Industrial Energy Users-Ohio (Feb. 6, 2013).  The appeal presents to the Court the Commission’s erroneous determination that it is not preempted by the Federal Power Act from increasing Duke’s compensation in violation of the terms of the Reliability Assurance Agreement, a federally approved tariff.  </w:t>
      </w:r>
      <w:r w:rsidRPr="005837EA">
        <w:rPr>
          <w:rFonts w:cs="Arial"/>
          <w:i/>
        </w:rPr>
        <w:t>Id.</w:t>
      </w:r>
      <w:r w:rsidRPr="005837EA">
        <w:rPr>
          <w:rFonts w:cs="Arial"/>
        </w:rPr>
        <w:t xml:space="preserve"> at 2. </w:t>
      </w:r>
    </w:p>
  </w:footnote>
  <w:footnote w:id="98">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U.S. Const., Art. VI.</w:t>
      </w:r>
    </w:p>
  </w:footnote>
  <w:footnote w:id="99">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Marketing Research Services, Inc. v. Pub. Util. Comm’n of Ohio</w:t>
      </w:r>
      <w:r w:rsidRPr="005837EA">
        <w:rPr>
          <w:rFonts w:cs="Arial"/>
        </w:rPr>
        <w:t>, 34 Ohio St.3d 52, 55 (1987).</w:t>
      </w:r>
    </w:p>
  </w:footnote>
  <w:footnote w:id="100">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Pr>
          <w:rFonts w:cs="Arial"/>
        </w:rPr>
        <w:t>974 F. Supp. 2d 790</w:t>
      </w:r>
      <w:r w:rsidRPr="00F33CFD">
        <w:rPr>
          <w:rFonts w:cs="Arial"/>
        </w:rPr>
        <w:t xml:space="preserve"> (D. Md. 2013) </w:t>
      </w:r>
      <w:r w:rsidRPr="005837EA">
        <w:rPr>
          <w:rFonts w:cs="Arial"/>
        </w:rPr>
        <w:t>(“</w:t>
      </w:r>
      <w:r w:rsidRPr="005837EA">
        <w:rPr>
          <w:rFonts w:cs="Arial"/>
          <w:i/>
        </w:rPr>
        <w:t>PPL I</w:t>
      </w:r>
      <w:r w:rsidRPr="005837EA">
        <w:rPr>
          <w:rFonts w:cs="Arial"/>
        </w:rPr>
        <w:t xml:space="preserve">”), </w:t>
      </w:r>
      <w:r w:rsidRPr="005837EA">
        <w:rPr>
          <w:rFonts w:cs="Arial"/>
          <w:i/>
        </w:rPr>
        <w:t xml:space="preserve">aff’d, </w:t>
      </w:r>
      <w:r w:rsidRPr="00F33CFD">
        <w:rPr>
          <w:rFonts w:cs="Arial"/>
        </w:rPr>
        <w:t>753 F.3d 467 (4th Cir. 2014).</w:t>
      </w:r>
    </w:p>
  </w:footnote>
  <w:footnote w:id="101">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F33CFD">
        <w:rPr>
          <w:rFonts w:cs="Arial"/>
          <w:i/>
        </w:rPr>
        <w:t xml:space="preserve">Id. </w:t>
      </w:r>
      <w:r w:rsidRPr="00F33CFD">
        <w:rPr>
          <w:rFonts w:cs="Arial"/>
        </w:rPr>
        <w:t>at 830-33.</w:t>
      </w:r>
    </w:p>
  </w:footnote>
  <w:footnote w:id="102">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Pr>
          <w:rFonts w:cs="Arial"/>
        </w:rPr>
        <w:t>. at 833</w:t>
      </w:r>
      <w:r w:rsidRPr="005837EA">
        <w:rPr>
          <w:rFonts w:cs="Arial"/>
        </w:rPr>
        <w:t xml:space="preserve">.  </w:t>
      </w:r>
    </w:p>
  </w:footnote>
  <w:footnote w:id="103">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Pr>
          <w:rFonts w:cs="Arial"/>
        </w:rPr>
        <w:t>. at 840</w:t>
      </w:r>
      <w:r w:rsidRPr="005837EA">
        <w:rPr>
          <w:rFonts w:cs="Arial"/>
        </w:rPr>
        <w:t>.</w:t>
      </w:r>
    </w:p>
  </w:footnote>
  <w:footnote w:id="104">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F33CFD">
        <w:rPr>
          <w:rFonts w:cs="Arial"/>
          <w:i/>
        </w:rPr>
        <w:t xml:space="preserve">PPL Energy Plus, LLC v. Nazarian, </w:t>
      </w:r>
      <w:r w:rsidRPr="00F33CFD">
        <w:rPr>
          <w:rFonts w:cs="Arial"/>
        </w:rPr>
        <w:t>753 F.3d 467 (4th Cir. 2014)</w:t>
      </w:r>
      <w:r>
        <w:rPr>
          <w:rFonts w:cs="Arial"/>
          <w:i/>
        </w:rPr>
        <w:t xml:space="preserve">.  </w:t>
      </w:r>
      <w:r w:rsidRPr="008B6368">
        <w:rPr>
          <w:rFonts w:cs="Arial"/>
        </w:rPr>
        <w:t>It also found that the Maryland Commission’s order was preempted because it conflicted with the accomplishment of federal policies</w:t>
      </w:r>
      <w:r>
        <w:rPr>
          <w:rFonts w:cs="Arial"/>
        </w:rPr>
        <w:t>.</w:t>
      </w:r>
    </w:p>
  </w:footnote>
  <w:footnote w:id="105">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F33CFD">
        <w:rPr>
          <w:rFonts w:cs="Arial"/>
        </w:rPr>
        <w:t>977 F. S</w:t>
      </w:r>
      <w:r>
        <w:rPr>
          <w:rFonts w:cs="Arial"/>
        </w:rPr>
        <w:t xml:space="preserve">upp. 2d 372, 393 (D. N.J. 2013), </w:t>
      </w:r>
      <w:r w:rsidRPr="00F33CFD">
        <w:rPr>
          <w:rFonts w:cs="Arial"/>
          <w:i/>
        </w:rPr>
        <w:t>aff’d</w:t>
      </w:r>
      <w:r>
        <w:rPr>
          <w:rFonts w:cs="Arial"/>
        </w:rPr>
        <w:t xml:space="preserve">, </w:t>
      </w:r>
      <w:r w:rsidRPr="00F33CFD">
        <w:rPr>
          <w:rFonts w:cs="Arial"/>
          <w:i/>
        </w:rPr>
        <w:t>PPL Energy Plus LLC v. Solomon</w:t>
      </w:r>
      <w:r>
        <w:rPr>
          <w:rFonts w:cs="Arial"/>
        </w:rPr>
        <w:t>, 766 F.3d 241</w:t>
      </w:r>
      <w:r w:rsidRPr="00F33CFD">
        <w:rPr>
          <w:rFonts w:cs="Arial"/>
        </w:rPr>
        <w:t xml:space="preserve"> (3d Cir. 2014).  </w:t>
      </w:r>
    </w:p>
  </w:footnote>
  <w:footnote w:id="106">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sidRPr="005837EA">
        <w:rPr>
          <w:rFonts w:cs="Arial"/>
        </w:rPr>
        <w:t xml:space="preserve"> </w:t>
      </w:r>
      <w:r>
        <w:rPr>
          <w:rFonts w:cs="Arial"/>
        </w:rPr>
        <w:t>at 393.</w:t>
      </w:r>
    </w:p>
  </w:footnote>
  <w:footnote w:id="107">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Pr>
          <w:rFonts w:cs="Arial"/>
        </w:rPr>
        <w:t xml:space="preserve"> at 393-94.</w:t>
      </w:r>
    </w:p>
  </w:footnote>
  <w:footnote w:id="108">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Pr>
          <w:rFonts w:cs="Arial"/>
        </w:rPr>
        <w:t>. at 406-12.</w:t>
      </w:r>
      <w:r w:rsidRPr="005837EA">
        <w:rPr>
          <w:rFonts w:cs="Arial"/>
        </w:rPr>
        <w:t xml:space="preserve">  </w:t>
      </w:r>
    </w:p>
  </w:footnote>
  <w:footnote w:id="109">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Pr>
          <w:rFonts w:cs="Arial"/>
        </w:rPr>
        <w:t>. at 412</w:t>
      </w:r>
      <w:r w:rsidRPr="005837EA">
        <w:rPr>
          <w:rFonts w:cs="Arial"/>
        </w:rPr>
        <w:t>.</w:t>
      </w:r>
    </w:p>
  </w:footnote>
  <w:footnote w:id="110">
    <w:p w:rsidR="00B268F7" w:rsidRDefault="00B268F7" w:rsidP="003A1323">
      <w:pPr>
        <w:pStyle w:val="FootnoteText"/>
        <w:spacing w:after="120"/>
        <w:rPr>
          <w:rFonts w:cs="Arial"/>
        </w:rPr>
      </w:pPr>
      <w:r>
        <w:rPr>
          <w:rStyle w:val="FootnoteReference"/>
          <w:rFonts w:cs="Arial"/>
        </w:rPr>
        <w:footnoteRef/>
      </w:r>
      <w:r>
        <w:rPr>
          <w:rFonts w:cs="Arial"/>
        </w:rPr>
        <w:t xml:space="preserve"> </w:t>
      </w:r>
      <w:r>
        <w:rPr>
          <w:rFonts w:cs="Arial"/>
          <w:i/>
        </w:rPr>
        <w:t>PPL Energy Plus LLC v. Solomon</w:t>
      </w:r>
      <w:r>
        <w:rPr>
          <w:rFonts w:cs="Arial"/>
        </w:rPr>
        <w:t xml:space="preserve">, 766 F.3d 241, 253 (3d Cir. 2014).  </w:t>
      </w:r>
    </w:p>
  </w:footnote>
  <w:footnote w:id="111">
    <w:p w:rsidR="00B268F7" w:rsidRDefault="00B268F7" w:rsidP="00F20705">
      <w:pPr>
        <w:pStyle w:val="FootnoteText"/>
        <w:spacing w:after="120"/>
        <w:rPr>
          <w:rFonts w:cs="Arial"/>
        </w:rPr>
      </w:pPr>
      <w:r>
        <w:rPr>
          <w:rStyle w:val="FootnoteReference"/>
          <w:rFonts w:cs="Arial"/>
        </w:rPr>
        <w:footnoteRef/>
      </w:r>
      <w:r>
        <w:rPr>
          <w:rFonts w:cs="Arial"/>
        </w:rPr>
        <w:t xml:space="preserve"> </w:t>
      </w:r>
      <w:r>
        <w:rPr>
          <w:rFonts w:cs="Arial"/>
          <w:i/>
        </w:rPr>
        <w:t>Id.</w:t>
      </w:r>
      <w:r>
        <w:rPr>
          <w:rFonts w:cs="Arial"/>
        </w:rPr>
        <w:t xml:space="preserve"> at 252.  </w:t>
      </w:r>
    </w:p>
  </w:footnote>
  <w:footnote w:id="112">
    <w:p w:rsidR="00B268F7" w:rsidRDefault="00B268F7" w:rsidP="003A1323">
      <w:pPr>
        <w:pStyle w:val="FootnoteText"/>
        <w:spacing w:after="120"/>
        <w:rPr>
          <w:rFonts w:cs="Arial"/>
        </w:rPr>
      </w:pPr>
      <w:r>
        <w:rPr>
          <w:rStyle w:val="FootnoteReference"/>
          <w:rFonts w:cs="Arial"/>
        </w:rPr>
        <w:footnoteRef/>
      </w:r>
      <w:r>
        <w:rPr>
          <w:rFonts w:cs="Arial"/>
        </w:rPr>
        <w:t xml:space="preserve"> </w:t>
      </w:r>
      <w:r>
        <w:rPr>
          <w:rFonts w:cs="Arial"/>
          <w:i/>
        </w:rPr>
        <w:t>Id.</w:t>
      </w:r>
    </w:p>
  </w:footnote>
  <w:footnote w:id="113">
    <w:p w:rsidR="00B268F7" w:rsidRDefault="00B268F7" w:rsidP="003A1323">
      <w:pPr>
        <w:pStyle w:val="FootnoteText"/>
        <w:spacing w:after="120"/>
        <w:rPr>
          <w:rFonts w:cs="Arial"/>
        </w:rPr>
      </w:pPr>
      <w:r>
        <w:rPr>
          <w:rStyle w:val="FootnoteReference"/>
          <w:rFonts w:cs="Arial"/>
        </w:rPr>
        <w:footnoteRef/>
      </w:r>
      <w:r>
        <w:rPr>
          <w:rFonts w:cs="Arial"/>
        </w:rPr>
        <w:t xml:space="preserve"> </w:t>
      </w:r>
      <w:r>
        <w:rPr>
          <w:rFonts w:cs="Arial"/>
          <w:i/>
        </w:rPr>
        <w:t>Id.</w:t>
      </w:r>
      <w:r>
        <w:rPr>
          <w:rFonts w:cs="Arial"/>
        </w:rPr>
        <w:t xml:space="preserve"> at 253.</w:t>
      </w:r>
    </w:p>
  </w:footnote>
  <w:footnote w:id="114">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PPL EnergyPlus, LLC v. Nazarian</w:t>
      </w:r>
      <w:r w:rsidRPr="005837EA">
        <w:rPr>
          <w:rFonts w:cs="Arial"/>
        </w:rPr>
        <w:t xml:space="preserve">, 974 F. Supp.2d at 822; </w:t>
      </w:r>
      <w:r>
        <w:rPr>
          <w:rFonts w:cs="Arial"/>
          <w:i/>
        </w:rPr>
        <w:t>PPL EnergyPlus, LLC</w:t>
      </w:r>
      <w:r w:rsidRPr="005837EA">
        <w:rPr>
          <w:rFonts w:cs="Arial"/>
          <w:i/>
        </w:rPr>
        <w:t xml:space="preserve"> v. Solomon</w:t>
      </w:r>
      <w:r w:rsidRPr="005837EA">
        <w:rPr>
          <w:rFonts w:cs="Arial"/>
        </w:rPr>
        <w:t>, 766 F.3d at 246.</w:t>
      </w:r>
    </w:p>
  </w:footnote>
  <w:footnote w:id="115">
    <w:p w:rsidR="00B268F7" w:rsidRPr="005837EA" w:rsidRDefault="00B268F7" w:rsidP="00642554">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PPL Energy Plus, LLC v. Nazarian</w:t>
      </w:r>
      <w:r w:rsidRPr="005837EA">
        <w:rPr>
          <w:rFonts w:cs="Arial"/>
        </w:rPr>
        <w:t>, 974 F. Supp.2d at 831 (“The Court does not perceive, for purposes of field preemption, any meaningful difference between state actions directed to the demand side and those directed to the supply side of the wholesale energy market.  The foundation that FERC has exclusive authority to determine the reasonableness of wholesale rate</w:t>
      </w:r>
      <w:r>
        <w:rPr>
          <w:rFonts w:cs="Arial"/>
        </w:rPr>
        <w:t>s</w:t>
      </w:r>
      <w:r w:rsidRPr="005837EA">
        <w:rPr>
          <w:rFonts w:cs="Arial"/>
        </w:rPr>
        <w:t xml:space="preserve"> and that, therefore</w:t>
      </w:r>
      <w:r>
        <w:rPr>
          <w:rFonts w:cs="Arial"/>
        </w:rPr>
        <w:t>,</w:t>
      </w:r>
      <w:r w:rsidRPr="005837EA">
        <w:rPr>
          <w:rFonts w:cs="Arial"/>
        </w:rPr>
        <w:t xml:space="preserve"> state regulation of such matters is void under the Supremacy Clause, holds firm whether the rate or price in question is that received by a generation facility for wholesale sales or is that paid by an LSE for wholesale purchases.”)</w:t>
      </w:r>
    </w:p>
  </w:footnote>
  <w:footnote w:id="116">
    <w:p w:rsidR="00B268F7" w:rsidRDefault="00B268F7" w:rsidP="0098365C">
      <w:pPr>
        <w:pStyle w:val="FootnoteText"/>
        <w:spacing w:after="120"/>
        <w:jc w:val="both"/>
      </w:pPr>
      <w:r>
        <w:rPr>
          <w:rStyle w:val="FootnoteReference"/>
        </w:rPr>
        <w:footnoteRef/>
      </w:r>
      <w:r>
        <w:t xml:space="preserve"> </w:t>
      </w:r>
      <w:r w:rsidRPr="007C668F">
        <w:rPr>
          <w:i/>
        </w:rPr>
        <w:t>Oneok, Inc. v. Learjet, Inc.</w:t>
      </w:r>
      <w:r>
        <w:t>, Slip Op. at 11 (U.S. Sup. Ct. Apr. 21, 2015) (the target at which the state law aims determines whether the state law is field preempted).</w:t>
      </w:r>
    </w:p>
  </w:footnote>
  <w:footnote w:id="117">
    <w:p w:rsidR="00B268F7" w:rsidRDefault="00B268F7" w:rsidP="007C668F">
      <w:pPr>
        <w:pStyle w:val="FootnoteText"/>
        <w:spacing w:after="120"/>
      </w:pPr>
      <w:r>
        <w:rPr>
          <w:rStyle w:val="FootnoteReference"/>
        </w:rPr>
        <w:footnoteRef/>
      </w:r>
      <w:r>
        <w:t xml:space="preserve"> </w:t>
      </w:r>
      <w:r w:rsidRPr="007C668F">
        <w:rPr>
          <w:i/>
        </w:rPr>
        <w:t>PPL Energy Plus, LLC v. Nazarian</w:t>
      </w:r>
      <w:r w:rsidRPr="007C668F">
        <w:t>, 974 F. Supp.2d at 831</w:t>
      </w:r>
      <w:r>
        <w:t xml:space="preserve">.  </w:t>
      </w:r>
      <w:r w:rsidRPr="007C668F">
        <w:rPr>
          <w:i/>
        </w:rPr>
        <w:t>See, also, New York v. FERC</w:t>
      </w:r>
      <w:r>
        <w:t>, 535 U.S. 1, 21-22 (2002).</w:t>
      </w:r>
    </w:p>
  </w:footnote>
  <w:footnote w:id="118">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IEU-Ohio Ex. 5 at 1; IEU-Ohio Ex. 6 at 1.</w:t>
      </w:r>
    </w:p>
  </w:footnote>
  <w:footnote w:id="119">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Rule 4901:1-37-01(A), OAC.</w:t>
      </w:r>
    </w:p>
  </w:footnote>
  <w:footnote w:id="120">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ESP Order at 47.</w:t>
      </w:r>
    </w:p>
  </w:footnote>
  <w:footnote w:id="121">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FPA § 201(a), 16 U.S.C. § 824(a).</w:t>
      </w:r>
    </w:p>
  </w:footnote>
  <w:footnote w:id="122">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FPA § 215, 16 U.S.C. § 824o; 18 C.F.R § 39.2.</w:t>
      </w:r>
    </w:p>
  </w:footnote>
  <w:footnote w:id="123">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18 C.F.R § 35.34.</w:t>
      </w:r>
    </w:p>
  </w:footnote>
  <w:footnote w:id="124">
    <w:p w:rsidR="00B268F7" w:rsidRDefault="00B268F7" w:rsidP="0098365C">
      <w:pPr>
        <w:pStyle w:val="FootnoteText"/>
        <w:spacing w:after="120"/>
      </w:pPr>
      <w:r>
        <w:rPr>
          <w:rStyle w:val="FootnoteReference"/>
        </w:rPr>
        <w:footnoteRef/>
      </w:r>
      <w:r>
        <w:t xml:space="preserve"> </w:t>
      </w:r>
      <w:r w:rsidRPr="007C668F">
        <w:t>150 FERC ¶61</w:t>
      </w:r>
      <w:r>
        <w:t>,</w:t>
      </w:r>
      <w:r w:rsidRPr="007C668F">
        <w:t>116 (Feb. 19, 2015).</w:t>
      </w:r>
    </w:p>
  </w:footnote>
  <w:footnote w:id="125">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sidRPr="005837EA">
        <w:rPr>
          <w:rFonts w:cs="Arial"/>
        </w:rPr>
        <w:t>, para. 3.</w:t>
      </w:r>
    </w:p>
  </w:footnote>
  <w:footnote w:id="126">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sidRPr="005837EA">
        <w:rPr>
          <w:rFonts w:cs="Arial"/>
        </w:rPr>
        <w:t>, paras. 12-15.</w:t>
      </w:r>
    </w:p>
  </w:footnote>
  <w:footnote w:id="127">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sidRPr="005837EA">
        <w:rPr>
          <w:rFonts w:cs="Arial"/>
        </w:rPr>
        <w:t>, paras. 17-21.</w:t>
      </w:r>
    </w:p>
  </w:footnote>
  <w:footnote w:id="128">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R.E. Ginna Nuclear Power Plant, LLC</w:t>
      </w:r>
      <w:r w:rsidRPr="005837EA">
        <w:rPr>
          <w:rFonts w:cs="Arial"/>
        </w:rPr>
        <w:t>,  151 FERC ¶ 61,023 at para. 40 (Apr. 14, 2015).</w:t>
      </w:r>
    </w:p>
  </w:footnote>
  <w:footnote w:id="129">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sidRPr="005837EA">
        <w:rPr>
          <w:rFonts w:cs="Arial"/>
        </w:rPr>
        <w:t>.</w:t>
      </w:r>
    </w:p>
  </w:footnote>
  <w:footnote w:id="130">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sidRPr="005837EA">
        <w:rPr>
          <w:rFonts w:cs="Arial"/>
        </w:rPr>
        <w:t>.</w:t>
      </w:r>
    </w:p>
  </w:footnote>
  <w:footnote w:id="131">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As noted above, Ohio law does not authorize the PSR.  The Commission can avoid the preemptive effect of federal law by correctly determining that it is without authority to authorize the rider under R.C. 4928.143(B)(1) or (2).</w:t>
      </w:r>
    </w:p>
  </w:footnote>
  <w:footnote w:id="132">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Pr>
          <w:rFonts w:cs="Arial"/>
        </w:rPr>
        <w:t xml:space="preserve">AEP-Ohio </w:t>
      </w:r>
      <w:r w:rsidRPr="005837EA">
        <w:rPr>
          <w:rFonts w:cs="Arial"/>
        </w:rPr>
        <w:t xml:space="preserve">ESP </w:t>
      </w:r>
      <w:r>
        <w:rPr>
          <w:rFonts w:cs="Arial"/>
        </w:rPr>
        <w:t xml:space="preserve">III </w:t>
      </w:r>
      <w:r w:rsidRPr="005837EA">
        <w:rPr>
          <w:rFonts w:cs="Arial"/>
        </w:rPr>
        <w:t>Order at 25-26.</w:t>
      </w:r>
    </w:p>
  </w:footnote>
  <w:footnote w:id="133">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In the Matter of the Application of Ohio Edison Company, The Cleveland Electric Illuminating Company, and The Toledo Edison Company for Authority to Provide for a Standard Service Offer Pursuant to R.C. 4928.143 in the Form of an Electric Security Plan</w:t>
      </w:r>
      <w:r w:rsidRPr="005837EA">
        <w:rPr>
          <w:rFonts w:cs="Arial"/>
        </w:rPr>
        <w:t>, Case No. 14-1297-EL-SSO, Entry at 2 (Mar. 23, 2015)</w:t>
      </w:r>
      <w:r>
        <w:rPr>
          <w:rFonts w:cs="Arial"/>
        </w:rPr>
        <w:t xml:space="preserve"> (“FE Entry”)</w:t>
      </w:r>
      <w:r w:rsidRPr="005837EA">
        <w:rPr>
          <w:rFonts w:cs="Arial"/>
        </w:rPr>
        <w:t>.</w:t>
      </w:r>
    </w:p>
  </w:footnote>
  <w:footnote w:id="134">
    <w:p w:rsidR="00B268F7" w:rsidRDefault="00B268F7" w:rsidP="001C4351">
      <w:pPr>
        <w:pStyle w:val="FootnoteText"/>
        <w:spacing w:after="120"/>
      </w:pPr>
      <w:r>
        <w:rPr>
          <w:rStyle w:val="FootnoteReference"/>
        </w:rPr>
        <w:footnoteRef/>
      </w:r>
      <w:r>
        <w:t xml:space="preserve"> ESP Order at 47.</w:t>
      </w:r>
    </w:p>
  </w:footnote>
  <w:footnote w:id="135">
    <w:p w:rsidR="00B268F7" w:rsidRPr="005837EA" w:rsidRDefault="00B268F7" w:rsidP="001C4351">
      <w:pPr>
        <w:pStyle w:val="FootnoteText"/>
        <w:spacing w:after="120"/>
        <w:jc w:val="both"/>
        <w:rPr>
          <w:rFonts w:cs="Arial"/>
        </w:rPr>
      </w:pPr>
      <w:r w:rsidRPr="005837EA">
        <w:rPr>
          <w:rStyle w:val="FootnoteReference"/>
          <w:rFonts w:cs="Arial"/>
        </w:rPr>
        <w:footnoteRef/>
      </w:r>
      <w:r w:rsidRPr="005837EA">
        <w:rPr>
          <w:rFonts w:cs="Arial"/>
        </w:rPr>
        <w:t xml:space="preserve"> R.C. 119.01(I); </w:t>
      </w:r>
      <w:r w:rsidRPr="003A1323">
        <w:rPr>
          <w:rFonts w:cs="Arial"/>
          <w:i/>
        </w:rPr>
        <w:t>New Par</w:t>
      </w:r>
      <w:r>
        <w:rPr>
          <w:rFonts w:cs="Arial"/>
          <w:i/>
        </w:rPr>
        <w:t xml:space="preserve"> v</w:t>
      </w:r>
      <w:r w:rsidRPr="003A1323">
        <w:rPr>
          <w:rFonts w:cs="Arial"/>
          <w:i/>
        </w:rPr>
        <w:t>. Pub. Util. Comm’n of Ohio</w:t>
      </w:r>
      <w:r w:rsidRPr="005837EA">
        <w:rPr>
          <w:rFonts w:cs="Arial"/>
        </w:rPr>
        <w:t>, 98 Ohio St.3d 277, 280 (2002).</w:t>
      </w:r>
    </w:p>
  </w:footnote>
  <w:footnote w:id="136">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Duff Truck Line v. Pub. Util. Comm’n of Ohio</w:t>
      </w:r>
      <w:r w:rsidRPr="005837EA">
        <w:rPr>
          <w:rFonts w:cs="Arial"/>
        </w:rPr>
        <w:t>, 46 Ohio St.2d 186, 193 (1976).</w:t>
      </w:r>
    </w:p>
  </w:footnote>
  <w:footnote w:id="137">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Wayne County Comm’rs v. McAvoy</w:t>
      </w:r>
      <w:r w:rsidRPr="005837EA">
        <w:rPr>
          <w:rFonts w:cs="Arial"/>
        </w:rPr>
        <w:t xml:space="preserve">, 1980 WL 353586 at *3 (10th Dist. Ct. App. July 29, 1980) (Ohio EPA could not issue permit prior to adoption of rules required by statute; </w:t>
      </w:r>
      <w:r w:rsidRPr="005837EA">
        <w:rPr>
          <w:rFonts w:cs="Arial"/>
          <w:i/>
        </w:rPr>
        <w:t>Duff</w:t>
      </w:r>
      <w:r w:rsidRPr="005837EA">
        <w:rPr>
          <w:rFonts w:cs="Arial"/>
        </w:rPr>
        <w:t xml:space="preserve"> distinguished because the Commission did not have a mandatory requirement to make rules and regulations governing motor transportation companies under R.C. 4921.04 and </w:t>
      </w:r>
      <w:r>
        <w:rPr>
          <w:rFonts w:cs="Arial"/>
        </w:rPr>
        <w:t xml:space="preserve">R.C. </w:t>
      </w:r>
      <w:r w:rsidRPr="005837EA">
        <w:rPr>
          <w:rFonts w:cs="Arial"/>
        </w:rPr>
        <w:t>4921.07).</w:t>
      </w:r>
    </w:p>
  </w:footnote>
  <w:footnote w:id="138">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Rule 4901:1-35-03, OAC.</w:t>
      </w:r>
    </w:p>
  </w:footnote>
  <w:footnote w:id="139">
    <w:p w:rsidR="00B268F7" w:rsidRDefault="00B268F7" w:rsidP="0086624D">
      <w:pPr>
        <w:pStyle w:val="FootnoteText"/>
        <w:spacing w:after="120"/>
      </w:pPr>
      <w:r>
        <w:rPr>
          <w:rStyle w:val="FootnoteReference"/>
        </w:rPr>
        <w:footnoteRef/>
      </w:r>
      <w:r>
        <w:t xml:space="preserve"> AEP-Ohio ESP III Order at 26.</w:t>
      </w:r>
    </w:p>
  </w:footnote>
  <w:footnote w:id="140">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7342A">
        <w:rPr>
          <w:rFonts w:cs="Arial"/>
          <w:i/>
        </w:rPr>
        <w:t>Id</w:t>
      </w:r>
      <w:r>
        <w:rPr>
          <w:rFonts w:cs="Arial"/>
        </w:rPr>
        <w:t>.</w:t>
      </w:r>
      <w:r w:rsidRPr="005837EA">
        <w:rPr>
          <w:rFonts w:cs="Arial"/>
        </w:rPr>
        <w:t xml:space="preserve"> at </w:t>
      </w:r>
      <w:r>
        <w:rPr>
          <w:rFonts w:cs="Arial"/>
        </w:rPr>
        <w:t>25-26</w:t>
      </w:r>
      <w:r w:rsidRPr="005837EA">
        <w:rPr>
          <w:rFonts w:cs="Arial"/>
        </w:rPr>
        <w:t>.</w:t>
      </w:r>
    </w:p>
  </w:footnote>
  <w:footnote w:id="141">
    <w:p w:rsidR="00B268F7" w:rsidRDefault="00B268F7" w:rsidP="001C4351">
      <w:pPr>
        <w:pStyle w:val="FootnoteText"/>
        <w:spacing w:after="120"/>
      </w:pPr>
      <w:r>
        <w:rPr>
          <w:rStyle w:val="FootnoteReference"/>
        </w:rPr>
        <w:footnoteRef/>
      </w:r>
      <w:r>
        <w:t xml:space="preserve"> </w:t>
      </w:r>
      <w:r w:rsidRPr="0057342A">
        <w:t>ESP Order at 47; FE Entry</w:t>
      </w:r>
      <w:r>
        <w:t xml:space="preserve"> at 2</w:t>
      </w:r>
      <w:r>
        <w:rPr>
          <w:i/>
        </w:rPr>
        <w:t>.</w:t>
      </w:r>
      <w:r>
        <w:t xml:space="preserve"> </w:t>
      </w:r>
    </w:p>
  </w:footnote>
  <w:footnote w:id="142">
    <w:p w:rsidR="00B268F7" w:rsidRDefault="00B268F7" w:rsidP="0057342A">
      <w:pPr>
        <w:pStyle w:val="FootnoteText"/>
        <w:spacing w:after="120"/>
      </w:pPr>
      <w:r>
        <w:rPr>
          <w:rStyle w:val="FootnoteReference"/>
        </w:rPr>
        <w:footnoteRef/>
      </w:r>
      <w:r>
        <w:t xml:space="preserve"> R.C. 119.01(C).</w:t>
      </w:r>
    </w:p>
  </w:footnote>
  <w:footnote w:id="143">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Appalachian Power Co. v. U.S. Environmental Protection Agency</w:t>
      </w:r>
      <w:r w:rsidRPr="005837EA">
        <w:rPr>
          <w:rFonts w:cs="Arial"/>
        </w:rPr>
        <w:t>, 208 F.3d 1015, 1023 (D.C. Cir. 2000).</w:t>
      </w:r>
    </w:p>
  </w:footnote>
  <w:footnote w:id="144">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Fairfield County Bd. of Comm’rs v. Nally</w:t>
      </w:r>
      <w:r w:rsidRPr="005837EA">
        <w:rPr>
          <w:rFonts w:cs="Arial"/>
        </w:rPr>
        <w:t>, Slip Op. No. 2015-Ohio-991 at ¶29 (Ohio Sup. Ct. Mar. 24, 2015).</w:t>
      </w:r>
    </w:p>
  </w:footnote>
  <w:footnote w:id="145">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Appalachian Power Co. v. U.S. Environmental Protection Agency</w:t>
      </w:r>
      <w:r w:rsidRPr="005837EA">
        <w:rPr>
          <w:rFonts w:cs="Arial"/>
        </w:rPr>
        <w:t>, 208 F.3d at 1028.</w:t>
      </w:r>
    </w:p>
  </w:footnote>
  <w:footnote w:id="146">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R.C. 119.02.</w:t>
      </w:r>
    </w:p>
  </w:footnote>
  <w:footnote w:id="147">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 xml:space="preserve">Fairfield County Bd. of Comm’rs v. Nally, </w:t>
      </w:r>
      <w:r w:rsidRPr="005837EA">
        <w:rPr>
          <w:rFonts w:cs="Arial"/>
        </w:rPr>
        <w:t>Slip Op. No. 2015-Ohio-991 at ¶3</w:t>
      </w:r>
      <w:r>
        <w:rPr>
          <w:rFonts w:cs="Arial"/>
        </w:rPr>
        <w:t>6</w:t>
      </w:r>
      <w:r w:rsidRPr="005837EA">
        <w:rPr>
          <w:rFonts w:cs="Arial"/>
        </w:rPr>
        <w:t>;</w:t>
      </w:r>
      <w:r w:rsidRPr="005837EA">
        <w:rPr>
          <w:rFonts w:cs="Arial"/>
          <w:i/>
        </w:rPr>
        <w:t xml:space="preserve"> Condee v. Lindley</w:t>
      </w:r>
      <w:r w:rsidRPr="005837EA">
        <w:rPr>
          <w:rFonts w:cs="Arial"/>
        </w:rPr>
        <w:t>, 12 Ohio St.3d 90, 93 (1984).</w:t>
      </w:r>
    </w:p>
  </w:footnote>
  <w:footnote w:id="148">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Fairfield County Bd. of Comm’rs v. Nally</w:t>
      </w:r>
      <w:r w:rsidRPr="005837EA">
        <w:rPr>
          <w:rFonts w:cs="Arial"/>
        </w:rPr>
        <w:t>, Slip Op. No. 2015-Ohio-991 at ¶36.</w:t>
      </w:r>
    </w:p>
  </w:footnote>
  <w:footnote w:id="149">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r w:rsidRPr="005837EA">
        <w:rPr>
          <w:rFonts w:cs="Arial"/>
        </w:rPr>
        <w:t xml:space="preserve"> at ¶30.</w:t>
      </w:r>
    </w:p>
  </w:footnote>
  <w:footnote w:id="150">
    <w:p w:rsidR="00B268F7" w:rsidRDefault="00B268F7" w:rsidP="004F77FC">
      <w:pPr>
        <w:pStyle w:val="FootnoteText"/>
        <w:spacing w:after="120"/>
      </w:pPr>
      <w:r>
        <w:rPr>
          <w:rStyle w:val="FootnoteReference"/>
        </w:rPr>
        <w:footnoteRef/>
      </w:r>
      <w:r>
        <w:t xml:space="preserve"> ESP Order at 47.</w:t>
      </w:r>
    </w:p>
  </w:footnote>
  <w:footnote w:id="151">
    <w:p w:rsidR="00B268F7" w:rsidRDefault="00B268F7" w:rsidP="004F77FC">
      <w:pPr>
        <w:pStyle w:val="FootnoteText"/>
        <w:spacing w:after="120"/>
      </w:pPr>
      <w:r>
        <w:rPr>
          <w:rStyle w:val="FootnoteReference"/>
        </w:rPr>
        <w:footnoteRef/>
      </w:r>
      <w:r>
        <w:t xml:space="preserve"> R.C. 119.01(I).</w:t>
      </w:r>
    </w:p>
  </w:footnote>
  <w:footnote w:id="152">
    <w:p w:rsidR="00B268F7" w:rsidRDefault="00B268F7" w:rsidP="00161425">
      <w:pPr>
        <w:pStyle w:val="FootnoteText"/>
        <w:spacing w:after="120"/>
        <w:jc w:val="both"/>
      </w:pPr>
      <w:r>
        <w:rPr>
          <w:rStyle w:val="FootnoteReference"/>
        </w:rPr>
        <w:footnoteRef/>
      </w:r>
      <w:r>
        <w:t xml:space="preserve"> </w:t>
      </w:r>
      <w:r w:rsidRPr="00CE6B98">
        <w:rPr>
          <w:i/>
        </w:rPr>
        <w:t>Wayne County Comm’rs v. McAvoy</w:t>
      </w:r>
      <w:r w:rsidRPr="00CE6B98">
        <w:t>, 1980 WL 353586 at *3 (10th Dist. Ct. App. July 29, 1980)</w:t>
      </w:r>
      <w:r>
        <w:t>.</w:t>
      </w:r>
    </w:p>
  </w:footnote>
  <w:footnote w:id="153">
    <w:p w:rsidR="00B268F7" w:rsidRPr="005837EA" w:rsidRDefault="00B268F7" w:rsidP="00161425">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SEC v. Chenery</w:t>
      </w:r>
      <w:r w:rsidRPr="005837EA">
        <w:rPr>
          <w:rFonts w:cs="Arial"/>
        </w:rPr>
        <w:t>, 318 U.S. 80, 95 (1943).</w:t>
      </w:r>
    </w:p>
  </w:footnote>
  <w:footnote w:id="154">
    <w:p w:rsidR="00B268F7" w:rsidRPr="005837EA" w:rsidRDefault="00B268F7" w:rsidP="00161425">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Fairfield County Bd. of Comm’rs v. Nally</w:t>
      </w:r>
      <w:r w:rsidRPr="005837EA">
        <w:rPr>
          <w:rFonts w:cs="Arial"/>
        </w:rPr>
        <w:t>, Slip Op. No. 2015-Ohio-991 at ¶47.</w:t>
      </w:r>
    </w:p>
  </w:footnote>
  <w:footnote w:id="155">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ESP Order at 47.</w:t>
      </w:r>
    </w:p>
  </w:footnote>
  <w:footnote w:id="156">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Id.</w:t>
      </w:r>
    </w:p>
  </w:footnote>
  <w:footnote w:id="157">
    <w:p w:rsidR="00B268F7" w:rsidRPr="005837EA" w:rsidRDefault="00B268F7" w:rsidP="00E97EAF">
      <w:pPr>
        <w:pStyle w:val="FootnoteText"/>
        <w:spacing w:after="120"/>
        <w:jc w:val="both"/>
        <w:rPr>
          <w:rFonts w:cs="Arial"/>
        </w:rPr>
      </w:pPr>
      <w:r w:rsidRPr="005837EA">
        <w:rPr>
          <w:rStyle w:val="FootnoteReference"/>
          <w:rFonts w:cs="Arial"/>
        </w:rPr>
        <w:footnoteRef/>
      </w:r>
      <w:r w:rsidRPr="005837EA">
        <w:rPr>
          <w:rFonts w:cs="Arial"/>
        </w:rPr>
        <w:t xml:space="preserve"> U.S. Co</w:t>
      </w:r>
      <w:r>
        <w:rPr>
          <w:rFonts w:cs="Arial"/>
        </w:rPr>
        <w:t>nst., Amend. V &amp; Amend. XIV</w:t>
      </w:r>
      <w:r w:rsidRPr="005837EA">
        <w:rPr>
          <w:rFonts w:cs="Arial"/>
        </w:rPr>
        <w:t>; Ohio Const</w:t>
      </w:r>
      <w:r w:rsidRPr="005837EA">
        <w:rPr>
          <w:rFonts w:cs="Arial"/>
          <w:i/>
        </w:rPr>
        <w:t>.</w:t>
      </w:r>
      <w:r w:rsidRPr="005837EA">
        <w:rPr>
          <w:rFonts w:cs="Arial"/>
        </w:rPr>
        <w:t>, Art. 1, § 16.</w:t>
      </w:r>
    </w:p>
  </w:footnote>
  <w:footnote w:id="158">
    <w:p w:rsidR="00B268F7" w:rsidRPr="005837EA" w:rsidRDefault="00B268F7" w:rsidP="00E97EAF">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State Racing Comm’n v. Robertson</w:t>
      </w:r>
      <w:r w:rsidRPr="005837EA">
        <w:rPr>
          <w:rFonts w:cs="Arial"/>
        </w:rPr>
        <w:t>, 111 Ohio App. 435 (10th Dist. Ct. App. 1960).</w:t>
      </w:r>
    </w:p>
  </w:footnote>
  <w:footnote w:id="159">
    <w:p w:rsidR="00B268F7" w:rsidRPr="005837EA" w:rsidRDefault="00B268F7" w:rsidP="00161425">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In re Columbus S. Power Co</w:t>
      </w:r>
      <w:r w:rsidRPr="005837EA">
        <w:rPr>
          <w:rFonts w:cs="Arial"/>
        </w:rPr>
        <w:t xml:space="preserve">., 134 Ohio St.3d 392, 396 (2012) (internal citations and quotation marks omitted). </w:t>
      </w:r>
    </w:p>
  </w:footnote>
  <w:footnote w:id="160">
    <w:p w:rsidR="00B268F7" w:rsidRPr="005837EA" w:rsidRDefault="00B268F7" w:rsidP="00161425">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Columbia Gas Transmission Corp. v. Levin</w:t>
      </w:r>
      <w:r w:rsidRPr="005837EA">
        <w:rPr>
          <w:rFonts w:cs="Arial"/>
        </w:rPr>
        <w:t xml:space="preserve">, 117 Ohio St.3d 122, </w:t>
      </w:r>
      <w:r>
        <w:rPr>
          <w:rFonts w:cs="Arial"/>
        </w:rPr>
        <w:t>131</w:t>
      </w:r>
      <w:r w:rsidRPr="005837EA">
        <w:rPr>
          <w:rFonts w:cs="Arial"/>
        </w:rPr>
        <w:t xml:space="preserve"> (2008).</w:t>
      </w:r>
    </w:p>
  </w:footnote>
  <w:footnote w:id="161">
    <w:p w:rsidR="00B268F7" w:rsidRDefault="00B268F7" w:rsidP="00161425">
      <w:pPr>
        <w:pStyle w:val="FootnoteText"/>
        <w:spacing w:after="120"/>
        <w:jc w:val="both"/>
      </w:pPr>
      <w:r>
        <w:rPr>
          <w:rStyle w:val="FootnoteReference"/>
        </w:rPr>
        <w:footnoteRef/>
      </w:r>
      <w:r>
        <w:t xml:space="preserve"> </w:t>
      </w:r>
      <w:r w:rsidRPr="00762EAA">
        <w:rPr>
          <w:i/>
        </w:rPr>
        <w:t>Grayned v. Rockford</w:t>
      </w:r>
      <w:r>
        <w:t>, 408 U.S. 104, 108-09 (1972).</w:t>
      </w:r>
    </w:p>
  </w:footnote>
  <w:footnote w:id="162">
    <w:p w:rsidR="00B268F7" w:rsidRDefault="00B268F7" w:rsidP="00161425">
      <w:pPr>
        <w:pStyle w:val="FootnoteText"/>
        <w:spacing w:after="120"/>
        <w:jc w:val="both"/>
      </w:pPr>
      <w:r>
        <w:rPr>
          <w:rStyle w:val="FootnoteReference"/>
        </w:rPr>
        <w:footnoteRef/>
      </w:r>
      <w:r>
        <w:t xml:space="preserve"> </w:t>
      </w:r>
      <w:r w:rsidRPr="00762EAA">
        <w:rPr>
          <w:i/>
        </w:rPr>
        <w:t>State v. Williams</w:t>
      </w:r>
      <w:r>
        <w:t>, 88 Ohio St.3d 513, 532 (2000) (a statute or rule is unconstitutionally vague if it “does not supply a definitive standard by which to determine what conduct is included and what conduct is excluded.”).</w:t>
      </w:r>
    </w:p>
  </w:footnote>
  <w:footnote w:id="163">
    <w:p w:rsidR="00B268F7" w:rsidRDefault="00B268F7" w:rsidP="00161425">
      <w:pPr>
        <w:pStyle w:val="FootnoteText"/>
        <w:spacing w:after="120"/>
        <w:jc w:val="both"/>
      </w:pPr>
      <w:r>
        <w:rPr>
          <w:rStyle w:val="FootnoteReference"/>
        </w:rPr>
        <w:footnoteRef/>
      </w:r>
      <w:r>
        <w:t xml:space="preserve"> </w:t>
      </w:r>
      <w:r w:rsidRPr="00762EAA">
        <w:rPr>
          <w:i/>
        </w:rPr>
        <w:t>City of Norwood v. Horney</w:t>
      </w:r>
      <w:r>
        <w:t>, 110 Ohio St.3d 353, 379 (2006).</w:t>
      </w:r>
    </w:p>
  </w:footnote>
  <w:footnote w:id="164">
    <w:p w:rsidR="00B268F7" w:rsidRDefault="00B268F7" w:rsidP="00161425">
      <w:pPr>
        <w:pStyle w:val="FootnoteText"/>
        <w:spacing w:after="120"/>
        <w:jc w:val="both"/>
      </w:pPr>
      <w:r>
        <w:rPr>
          <w:rStyle w:val="FootnoteReference"/>
        </w:rPr>
        <w:footnoteRef/>
      </w:r>
      <w:r>
        <w:t xml:space="preserve"> </w:t>
      </w:r>
      <w:r w:rsidRPr="00762EAA">
        <w:rPr>
          <w:i/>
        </w:rPr>
        <w:t>Carney v. Shockley</w:t>
      </w:r>
      <w:r>
        <w:t xml:space="preserve">, 2014-Ohio-5829 at </w:t>
      </w:r>
      <w:r>
        <w:rPr>
          <w:rFonts w:cs="Arial"/>
        </w:rPr>
        <w:t>¶</w:t>
      </w:r>
      <w:r>
        <w:t xml:space="preserve"> 18 (7th Dist. Ct. App. 2014).</w:t>
      </w:r>
    </w:p>
  </w:footnote>
  <w:footnote w:id="165">
    <w:p w:rsidR="00B268F7" w:rsidRPr="005837EA" w:rsidRDefault="00B268F7" w:rsidP="00161425">
      <w:pPr>
        <w:pStyle w:val="FootnoteText"/>
        <w:spacing w:after="120"/>
        <w:jc w:val="both"/>
        <w:rPr>
          <w:rFonts w:cs="Arial"/>
        </w:rPr>
      </w:pPr>
      <w:r w:rsidRPr="005837EA">
        <w:rPr>
          <w:rStyle w:val="FootnoteReference"/>
          <w:rFonts w:cs="Arial"/>
        </w:rPr>
        <w:footnoteRef/>
      </w:r>
      <w:r>
        <w:rPr>
          <w:rFonts w:cs="Arial"/>
        </w:rPr>
        <w:t xml:space="preserve"> </w:t>
      </w:r>
      <w:r w:rsidRPr="00B13E66">
        <w:rPr>
          <w:rFonts w:cs="Arial"/>
          <w:i/>
        </w:rPr>
        <w:t>In re Columbus S. Power Co</w:t>
      </w:r>
      <w:r w:rsidRPr="00B13E66">
        <w:rPr>
          <w:rFonts w:cs="Arial"/>
        </w:rPr>
        <w:t xml:space="preserve">., 134 Ohio St.3d </w:t>
      </w:r>
      <w:r>
        <w:rPr>
          <w:rFonts w:cs="Arial"/>
        </w:rPr>
        <w:t>at</w:t>
      </w:r>
      <w:r w:rsidRPr="005837EA">
        <w:rPr>
          <w:rFonts w:cs="Arial"/>
        </w:rPr>
        <w:t xml:space="preserve"> 397.</w:t>
      </w:r>
    </w:p>
  </w:footnote>
  <w:footnote w:id="166">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As discussed above, the lack of objective criteria for decision making presents a separate </w:t>
      </w:r>
      <w:r>
        <w:rPr>
          <w:rFonts w:cs="Arial"/>
        </w:rPr>
        <w:t xml:space="preserve">basis for reversing the authorization of the PSR </w:t>
      </w:r>
      <w:r w:rsidRPr="005837EA">
        <w:rPr>
          <w:rFonts w:cs="Arial"/>
        </w:rPr>
        <w:t xml:space="preserve">because the Commission cannot engage in subjective decision making.  </w:t>
      </w:r>
      <w:r w:rsidRPr="005837EA">
        <w:rPr>
          <w:rFonts w:cs="Arial"/>
          <w:i/>
          <w:iCs/>
        </w:rPr>
        <w:t>Consumers' Counsel v. Pub. Util. Comm’n of Ohio,</w:t>
      </w:r>
      <w:r w:rsidRPr="005837EA">
        <w:rPr>
          <w:rFonts w:cs="Arial"/>
        </w:rPr>
        <w:t xml:space="preserve"> 61 Ohio St.3d at 406.  </w:t>
      </w:r>
    </w:p>
  </w:footnote>
  <w:footnote w:id="167">
    <w:p w:rsidR="00B268F7" w:rsidRPr="005837EA" w:rsidRDefault="00B268F7" w:rsidP="00663D6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State Racing Comm’n v. Robert</w:t>
      </w:r>
      <w:r w:rsidRPr="005837EA">
        <w:rPr>
          <w:rFonts w:cs="Arial"/>
        </w:rPr>
        <w:t>, 111 Ohio App. at 439.</w:t>
      </w:r>
    </w:p>
  </w:footnote>
  <w:footnote w:id="168">
    <w:p w:rsidR="00B268F7" w:rsidRPr="005837EA" w:rsidRDefault="00B268F7" w:rsidP="00663D6A">
      <w:pPr>
        <w:pStyle w:val="FootnoteText"/>
        <w:spacing w:after="120"/>
        <w:jc w:val="both"/>
        <w:rPr>
          <w:rFonts w:cs="Arial"/>
        </w:rPr>
      </w:pPr>
      <w:r w:rsidRPr="005837EA">
        <w:rPr>
          <w:rStyle w:val="FootnoteReference"/>
          <w:rFonts w:cs="Arial"/>
        </w:rPr>
        <w:footnoteRef/>
      </w:r>
      <w:r w:rsidRPr="005837EA">
        <w:rPr>
          <w:rFonts w:cs="Arial"/>
        </w:rPr>
        <w:t xml:space="preserve"> ESP Order at </w:t>
      </w:r>
      <w:r>
        <w:rPr>
          <w:rFonts w:cs="Arial"/>
        </w:rPr>
        <w:t>47</w:t>
      </w:r>
      <w:r w:rsidRPr="005837EA">
        <w:rPr>
          <w:rFonts w:cs="Arial"/>
        </w:rPr>
        <w:t>.</w:t>
      </w:r>
    </w:p>
  </w:footnote>
  <w:footnote w:id="169">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3D651A">
        <w:rPr>
          <w:rFonts w:cs="Arial"/>
          <w:i/>
        </w:rPr>
        <w:t>Id</w:t>
      </w:r>
      <w:r w:rsidRPr="005837EA">
        <w:rPr>
          <w:rFonts w:cs="Arial"/>
        </w:rPr>
        <w:t xml:space="preserve">.  The Commission identifies four factors that </w:t>
      </w:r>
      <w:r>
        <w:rPr>
          <w:rFonts w:cs="Arial"/>
        </w:rPr>
        <w:t>Duke</w:t>
      </w:r>
      <w:r w:rsidRPr="005837EA">
        <w:rPr>
          <w:rFonts w:cs="Arial"/>
        </w:rPr>
        <w:t xml:space="preserve"> must address, at a minimum, if it seeks to charge customers under the </w:t>
      </w:r>
      <w:r>
        <w:rPr>
          <w:rFonts w:cs="Arial"/>
        </w:rPr>
        <w:t>PSR</w:t>
      </w:r>
      <w:r w:rsidRPr="005837EA">
        <w:rPr>
          <w:rFonts w:cs="Arial"/>
        </w:rPr>
        <w:t xml:space="preserve">.  These factors are the financial need of the generating plant, the need of the plant to address reliability concerns, the plant’s compliance with existing environmental regulations and its plan for compliance with pending environmental regulations, and the effect of closure of the plant on electric prices and economic development in the state.  </w:t>
      </w:r>
      <w:r w:rsidRPr="005837EA">
        <w:rPr>
          <w:rFonts w:cs="Arial"/>
          <w:i/>
        </w:rPr>
        <w:t>Id.</w:t>
      </w:r>
    </w:p>
  </w:footnote>
  <w:footnote w:id="170">
    <w:p w:rsidR="00B268F7" w:rsidRDefault="00B268F7">
      <w:pPr>
        <w:pStyle w:val="FootnoteText"/>
      </w:pPr>
      <w:r>
        <w:rPr>
          <w:rStyle w:val="FootnoteReference"/>
        </w:rPr>
        <w:footnoteRef/>
      </w:r>
      <w:r>
        <w:t xml:space="preserve"> Rule 4901:1-35-09(C), OAC.</w:t>
      </w:r>
    </w:p>
  </w:footnote>
  <w:footnote w:id="171">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R.C. 4928.143(B)(2)(c).</w:t>
      </w:r>
    </w:p>
  </w:footnote>
  <w:footnote w:id="172">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R.C. 4928.142.</w:t>
      </w:r>
    </w:p>
  </w:footnote>
  <w:footnote w:id="173">
    <w:p w:rsidR="00B268F7" w:rsidRPr="005837EA" w:rsidRDefault="00B268F7" w:rsidP="005837EA">
      <w:pPr>
        <w:pStyle w:val="FootnoteText"/>
        <w:spacing w:after="120"/>
        <w:jc w:val="both"/>
        <w:rPr>
          <w:rFonts w:cs="Arial"/>
        </w:rPr>
      </w:pPr>
      <w:r w:rsidRPr="005837EA">
        <w:rPr>
          <w:rStyle w:val="FootnoteReference"/>
          <w:rFonts w:cs="Arial"/>
        </w:rPr>
        <w:footnoteRef/>
      </w:r>
      <w:r w:rsidRPr="005837EA">
        <w:rPr>
          <w:rFonts w:cs="Arial"/>
        </w:rPr>
        <w:t xml:space="preserve"> </w:t>
      </w:r>
      <w:r w:rsidRPr="005837EA">
        <w:rPr>
          <w:rFonts w:cs="Arial"/>
          <w:i/>
        </w:rPr>
        <w:t>In the Matter of the Application of Columbus Southern Power Company and Ohio Power Company for Authority to Establish a Standard Service Offer Pursuant to Section 4928.143, Revised Code, in the Form of an Electric Security Plan</w:t>
      </w:r>
      <w:r w:rsidRPr="005837EA">
        <w:rPr>
          <w:rFonts w:cs="Arial"/>
        </w:rPr>
        <w:t xml:space="preserve">, Case Nos. 11-346-EL-SSO, </w:t>
      </w:r>
      <w:r w:rsidRPr="005837EA">
        <w:rPr>
          <w:rFonts w:cs="Arial"/>
          <w:i/>
        </w:rPr>
        <w:t>et al.</w:t>
      </w:r>
      <w:r w:rsidRPr="005837EA">
        <w:rPr>
          <w:rFonts w:cs="Arial"/>
        </w:rPr>
        <w:t>, Opinion and Order at 76 (Aug. 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Default="008D50E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Default="008D50E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Default="008D50E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Default="008D50E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Default="008D50E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Default="008D50E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Default="008D5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Default="008D5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Default="008D50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F7" w:rsidRDefault="00B268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F7" w:rsidRDefault="00B268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F7" w:rsidRDefault="00B268F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F7" w:rsidRDefault="00B268F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Default="008D50E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E5" w:rsidRDefault="008D5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A3855"/>
    <w:multiLevelType w:val="hybridMultilevel"/>
    <w:tmpl w:val="95B0F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F3C5854"/>
    <w:multiLevelType w:val="multilevel"/>
    <w:tmpl w:val="69821910"/>
    <w:name w:val="IEU-Olhio Default"/>
    <w:lvl w:ilvl="0">
      <w:start w:val="1"/>
      <w:numFmt w:val="upperRoman"/>
      <w:pStyle w:val="Heading1"/>
      <w:lvlText w:val="%1."/>
      <w:lvlJc w:val="left"/>
      <w:pPr>
        <w:tabs>
          <w:tab w:val="num" w:pos="720"/>
        </w:tabs>
        <w:ind w:left="720" w:hanging="720"/>
      </w:pPr>
      <w:rPr>
        <w:rFonts w:cs="Arial" w:hint="default"/>
        <w:b/>
        <w:caps w:val="0"/>
        <w:vanish w:val="0"/>
        <w:color w:val="010000"/>
        <w:u w:val="none"/>
      </w:rPr>
    </w:lvl>
    <w:lvl w:ilvl="1">
      <w:start w:val="1"/>
      <w:numFmt w:val="upperLetter"/>
      <w:pStyle w:val="Heading2"/>
      <w:lvlText w:val="%2."/>
      <w:lvlJc w:val="left"/>
      <w:pPr>
        <w:tabs>
          <w:tab w:val="num" w:pos="1440"/>
        </w:tabs>
        <w:ind w:left="1440" w:hanging="720"/>
      </w:pPr>
      <w:rPr>
        <w:rFonts w:hint="default"/>
        <w:b/>
        <w:caps w:val="0"/>
        <w:vanish w:val="0"/>
        <w:color w:val="010000"/>
        <w:u w:val="none"/>
      </w:rPr>
    </w:lvl>
    <w:lvl w:ilvl="2">
      <w:start w:val="1"/>
      <w:numFmt w:val="decimal"/>
      <w:pStyle w:val="Heading3"/>
      <w:lvlText w:val="%3."/>
      <w:lvlJc w:val="left"/>
      <w:pPr>
        <w:tabs>
          <w:tab w:val="num" w:pos="2340"/>
        </w:tabs>
        <w:ind w:left="2340" w:hanging="720"/>
      </w:pPr>
      <w:rPr>
        <w:rFonts w:hint="default"/>
        <w:b/>
        <w:i w:val="0"/>
        <w:caps w:val="0"/>
        <w:vanish w:val="0"/>
        <w:color w:val="010000"/>
        <w:u w:val="none"/>
      </w:rPr>
    </w:lvl>
    <w:lvl w:ilvl="3">
      <w:start w:val="1"/>
      <w:numFmt w:val="lowerLetter"/>
      <w:pStyle w:val="Heading4"/>
      <w:lvlText w:val="%4."/>
      <w:lvlJc w:val="left"/>
      <w:pPr>
        <w:tabs>
          <w:tab w:val="num" w:pos="2880"/>
        </w:tabs>
        <w:ind w:left="2880" w:hanging="720"/>
      </w:pPr>
      <w:rPr>
        <w:rFonts w:hint="default"/>
        <w:b/>
        <w:i/>
        <w:caps w:val="0"/>
        <w:vanish w:val="0"/>
        <w:color w:val="010000"/>
        <w:u w:val="none"/>
      </w:rPr>
    </w:lvl>
    <w:lvl w:ilvl="4">
      <w:start w:val="1"/>
      <w:numFmt w:val="lowerRoman"/>
      <w:pStyle w:val="Heading5"/>
      <w:lvlText w:val="%5."/>
      <w:lvlJc w:val="left"/>
      <w:pPr>
        <w:tabs>
          <w:tab w:val="num" w:pos="3600"/>
        </w:tabs>
        <w:ind w:left="3600" w:hanging="720"/>
      </w:pPr>
      <w:rPr>
        <w:rFonts w:hint="default"/>
        <w:caps w:val="0"/>
        <w:vanish w:val="0"/>
        <w:color w:val="010000"/>
        <w:u w:val="none"/>
      </w:rPr>
    </w:lvl>
    <w:lvl w:ilvl="5">
      <w:start w:val="1"/>
      <w:numFmt w:val="lowerLetter"/>
      <w:pStyle w:val="Heading6"/>
      <w:lvlText w:val="(%6)"/>
      <w:lvlJc w:val="left"/>
      <w:pPr>
        <w:tabs>
          <w:tab w:val="num" w:pos="4320"/>
        </w:tabs>
        <w:ind w:left="4320" w:hanging="720"/>
      </w:pPr>
      <w:rPr>
        <w:rFonts w:hint="default"/>
        <w:caps w:val="0"/>
        <w:vanish w:val="0"/>
        <w:color w:val="010000"/>
        <w:u w:val="none"/>
      </w:rPr>
    </w:lvl>
    <w:lvl w:ilvl="6">
      <w:start w:val="1"/>
      <w:numFmt w:val="decimal"/>
      <w:pStyle w:val="Heading7"/>
      <w:lvlText w:val="(%7)"/>
      <w:lvlJc w:val="left"/>
      <w:pPr>
        <w:tabs>
          <w:tab w:val="num" w:pos="5040"/>
        </w:tabs>
        <w:ind w:left="5040" w:hanging="720"/>
      </w:pPr>
      <w:rPr>
        <w:rFonts w:hint="default"/>
        <w:caps w:val="0"/>
        <w:vanish w:val="0"/>
        <w:color w:val="010000"/>
        <w:u w:val="none"/>
      </w:rPr>
    </w:lvl>
    <w:lvl w:ilvl="7">
      <w:start w:val="1"/>
      <w:numFmt w:val="lowerRoman"/>
      <w:pStyle w:val="Heading8"/>
      <w:lvlText w:val="%8)"/>
      <w:lvlJc w:val="left"/>
      <w:pPr>
        <w:tabs>
          <w:tab w:val="num" w:pos="5760"/>
        </w:tabs>
        <w:ind w:left="5760" w:hanging="720"/>
      </w:pPr>
      <w:rPr>
        <w:rFonts w:hint="default"/>
        <w:caps w:val="0"/>
        <w:vanish w:val="0"/>
        <w:color w:val="010000"/>
        <w:u w:val="none"/>
      </w:rPr>
    </w:lvl>
    <w:lvl w:ilvl="8">
      <w:start w:val="1"/>
      <w:numFmt w:val="lowerLetter"/>
      <w:pStyle w:val="Heading9"/>
      <w:lvlText w:val="%9)"/>
      <w:lvlJc w:val="left"/>
      <w:pPr>
        <w:tabs>
          <w:tab w:val="num" w:pos="6480"/>
        </w:tabs>
        <w:ind w:left="6480" w:hanging="720"/>
      </w:pPr>
      <w:rPr>
        <w:rFonts w:hint="default"/>
        <w:caps w:val="0"/>
        <w:vanish w:val="0"/>
        <w:color w:val="010000"/>
        <w:u w:val="none"/>
      </w:rPr>
    </w:lvl>
  </w:abstractNum>
  <w:abstractNum w:abstractNumId="2">
    <w:nsid w:val="6EC24D3F"/>
    <w:multiLevelType w:val="hybridMultilevel"/>
    <w:tmpl w:val="3A94A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E0"/>
    <w:rsid w:val="00003D23"/>
    <w:rsid w:val="00006E8A"/>
    <w:rsid w:val="00024E10"/>
    <w:rsid w:val="000250DD"/>
    <w:rsid w:val="00035406"/>
    <w:rsid w:val="00043D52"/>
    <w:rsid w:val="00045AD0"/>
    <w:rsid w:val="00054FE8"/>
    <w:rsid w:val="000674BC"/>
    <w:rsid w:val="000951C1"/>
    <w:rsid w:val="000A6FFE"/>
    <w:rsid w:val="000B6053"/>
    <w:rsid w:val="000B79C9"/>
    <w:rsid w:val="000C42E9"/>
    <w:rsid w:val="000C4ED3"/>
    <w:rsid w:val="000D2F70"/>
    <w:rsid w:val="000E1215"/>
    <w:rsid w:val="000E36D4"/>
    <w:rsid w:val="000F578A"/>
    <w:rsid w:val="000F6D85"/>
    <w:rsid w:val="00100C4B"/>
    <w:rsid w:val="0010619F"/>
    <w:rsid w:val="001107B0"/>
    <w:rsid w:val="00155E74"/>
    <w:rsid w:val="00161425"/>
    <w:rsid w:val="00162690"/>
    <w:rsid w:val="00172B92"/>
    <w:rsid w:val="0017506B"/>
    <w:rsid w:val="001A133E"/>
    <w:rsid w:val="001A392A"/>
    <w:rsid w:val="001B19B3"/>
    <w:rsid w:val="001C4351"/>
    <w:rsid w:val="001D1167"/>
    <w:rsid w:val="001E01A7"/>
    <w:rsid w:val="001F49FD"/>
    <w:rsid w:val="002131CD"/>
    <w:rsid w:val="00213355"/>
    <w:rsid w:val="0022782E"/>
    <w:rsid w:val="00246955"/>
    <w:rsid w:val="00261CD9"/>
    <w:rsid w:val="002674B9"/>
    <w:rsid w:val="0028206C"/>
    <w:rsid w:val="00287126"/>
    <w:rsid w:val="002C2D85"/>
    <w:rsid w:val="002E0AE4"/>
    <w:rsid w:val="002F378A"/>
    <w:rsid w:val="002F4149"/>
    <w:rsid w:val="00306856"/>
    <w:rsid w:val="0032313A"/>
    <w:rsid w:val="00325C3B"/>
    <w:rsid w:val="00344B7C"/>
    <w:rsid w:val="00363069"/>
    <w:rsid w:val="00370E1F"/>
    <w:rsid w:val="00373344"/>
    <w:rsid w:val="00397775"/>
    <w:rsid w:val="003A021F"/>
    <w:rsid w:val="003A1323"/>
    <w:rsid w:val="003C6972"/>
    <w:rsid w:val="003C76C5"/>
    <w:rsid w:val="003C76F5"/>
    <w:rsid w:val="003D0688"/>
    <w:rsid w:val="003D606E"/>
    <w:rsid w:val="003D614F"/>
    <w:rsid w:val="003D651A"/>
    <w:rsid w:val="003E44C7"/>
    <w:rsid w:val="00403254"/>
    <w:rsid w:val="004160F1"/>
    <w:rsid w:val="00433E0C"/>
    <w:rsid w:val="00444177"/>
    <w:rsid w:val="00460F9E"/>
    <w:rsid w:val="00471E42"/>
    <w:rsid w:val="004C0061"/>
    <w:rsid w:val="004C0D0F"/>
    <w:rsid w:val="004C78D3"/>
    <w:rsid w:val="004D2591"/>
    <w:rsid w:val="004E16F2"/>
    <w:rsid w:val="004E6CC4"/>
    <w:rsid w:val="004F77FC"/>
    <w:rsid w:val="00503840"/>
    <w:rsid w:val="00536CFD"/>
    <w:rsid w:val="00537181"/>
    <w:rsid w:val="0054193D"/>
    <w:rsid w:val="00542326"/>
    <w:rsid w:val="00544AC9"/>
    <w:rsid w:val="00546EDA"/>
    <w:rsid w:val="005508C0"/>
    <w:rsid w:val="00552E29"/>
    <w:rsid w:val="00562E59"/>
    <w:rsid w:val="00564278"/>
    <w:rsid w:val="00570FEB"/>
    <w:rsid w:val="00571066"/>
    <w:rsid w:val="0057342A"/>
    <w:rsid w:val="005837EA"/>
    <w:rsid w:val="00595DD0"/>
    <w:rsid w:val="0059788B"/>
    <w:rsid w:val="005A486C"/>
    <w:rsid w:val="005A5E72"/>
    <w:rsid w:val="005A75F0"/>
    <w:rsid w:val="005D0A34"/>
    <w:rsid w:val="005D181A"/>
    <w:rsid w:val="005D1E0C"/>
    <w:rsid w:val="005D389B"/>
    <w:rsid w:val="005E1A75"/>
    <w:rsid w:val="005F01C6"/>
    <w:rsid w:val="005F369C"/>
    <w:rsid w:val="00603ECC"/>
    <w:rsid w:val="00604F06"/>
    <w:rsid w:val="0061093A"/>
    <w:rsid w:val="0061357C"/>
    <w:rsid w:val="0063437E"/>
    <w:rsid w:val="006401E3"/>
    <w:rsid w:val="00642554"/>
    <w:rsid w:val="0064365B"/>
    <w:rsid w:val="00663D6A"/>
    <w:rsid w:val="00663FAF"/>
    <w:rsid w:val="00677538"/>
    <w:rsid w:val="00685081"/>
    <w:rsid w:val="00694447"/>
    <w:rsid w:val="006A36B8"/>
    <w:rsid w:val="006A4819"/>
    <w:rsid w:val="006B14D7"/>
    <w:rsid w:val="006B51D0"/>
    <w:rsid w:val="006B705F"/>
    <w:rsid w:val="006C4D4A"/>
    <w:rsid w:val="006C53DD"/>
    <w:rsid w:val="006D6B8E"/>
    <w:rsid w:val="006E3F9D"/>
    <w:rsid w:val="006F41F5"/>
    <w:rsid w:val="00733631"/>
    <w:rsid w:val="007370A2"/>
    <w:rsid w:val="007401CF"/>
    <w:rsid w:val="00741A78"/>
    <w:rsid w:val="007428AC"/>
    <w:rsid w:val="00743643"/>
    <w:rsid w:val="007452EB"/>
    <w:rsid w:val="00747C34"/>
    <w:rsid w:val="00750326"/>
    <w:rsid w:val="00762EAA"/>
    <w:rsid w:val="00766F3A"/>
    <w:rsid w:val="00771A66"/>
    <w:rsid w:val="00784837"/>
    <w:rsid w:val="00784BCE"/>
    <w:rsid w:val="007861C9"/>
    <w:rsid w:val="007907D9"/>
    <w:rsid w:val="00792007"/>
    <w:rsid w:val="00797363"/>
    <w:rsid w:val="007A5E53"/>
    <w:rsid w:val="007B439B"/>
    <w:rsid w:val="007C668F"/>
    <w:rsid w:val="007D373E"/>
    <w:rsid w:val="007D5053"/>
    <w:rsid w:val="007D6F37"/>
    <w:rsid w:val="007E7576"/>
    <w:rsid w:val="007F5492"/>
    <w:rsid w:val="0080156A"/>
    <w:rsid w:val="00805A34"/>
    <w:rsid w:val="008105C2"/>
    <w:rsid w:val="00816D55"/>
    <w:rsid w:val="00835F61"/>
    <w:rsid w:val="00844127"/>
    <w:rsid w:val="008472CE"/>
    <w:rsid w:val="00853591"/>
    <w:rsid w:val="008566C6"/>
    <w:rsid w:val="0086624D"/>
    <w:rsid w:val="00870C55"/>
    <w:rsid w:val="008B6368"/>
    <w:rsid w:val="008D37CE"/>
    <w:rsid w:val="008D50E5"/>
    <w:rsid w:val="008E3BF4"/>
    <w:rsid w:val="008F2D1E"/>
    <w:rsid w:val="009031C0"/>
    <w:rsid w:val="00911883"/>
    <w:rsid w:val="00914E25"/>
    <w:rsid w:val="00920917"/>
    <w:rsid w:val="0092104A"/>
    <w:rsid w:val="0092391E"/>
    <w:rsid w:val="0092510E"/>
    <w:rsid w:val="0093121B"/>
    <w:rsid w:val="00935966"/>
    <w:rsid w:val="0096760F"/>
    <w:rsid w:val="00975030"/>
    <w:rsid w:val="0098365C"/>
    <w:rsid w:val="00985308"/>
    <w:rsid w:val="00996F09"/>
    <w:rsid w:val="009B0304"/>
    <w:rsid w:val="009B5883"/>
    <w:rsid w:val="009C57EA"/>
    <w:rsid w:val="009D210B"/>
    <w:rsid w:val="009E2115"/>
    <w:rsid w:val="009E4A78"/>
    <w:rsid w:val="009F3891"/>
    <w:rsid w:val="009F77B9"/>
    <w:rsid w:val="00A005E7"/>
    <w:rsid w:val="00A03823"/>
    <w:rsid w:val="00A11EF6"/>
    <w:rsid w:val="00A331D6"/>
    <w:rsid w:val="00A35AD8"/>
    <w:rsid w:val="00A47DCE"/>
    <w:rsid w:val="00A704C4"/>
    <w:rsid w:val="00A75F4C"/>
    <w:rsid w:val="00A902F9"/>
    <w:rsid w:val="00A94A86"/>
    <w:rsid w:val="00A96F9B"/>
    <w:rsid w:val="00AA7C2C"/>
    <w:rsid w:val="00AD0D77"/>
    <w:rsid w:val="00AD24F6"/>
    <w:rsid w:val="00AE7D8A"/>
    <w:rsid w:val="00AF5756"/>
    <w:rsid w:val="00B01FF8"/>
    <w:rsid w:val="00B13E66"/>
    <w:rsid w:val="00B268F7"/>
    <w:rsid w:val="00B31338"/>
    <w:rsid w:val="00B40B7A"/>
    <w:rsid w:val="00B455D7"/>
    <w:rsid w:val="00B46381"/>
    <w:rsid w:val="00B54B61"/>
    <w:rsid w:val="00B649BB"/>
    <w:rsid w:val="00B71771"/>
    <w:rsid w:val="00B8326A"/>
    <w:rsid w:val="00B832FE"/>
    <w:rsid w:val="00B972FF"/>
    <w:rsid w:val="00BA6B04"/>
    <w:rsid w:val="00BB5D30"/>
    <w:rsid w:val="00BC74C0"/>
    <w:rsid w:val="00BF4799"/>
    <w:rsid w:val="00BF5CAF"/>
    <w:rsid w:val="00C010E8"/>
    <w:rsid w:val="00C0405A"/>
    <w:rsid w:val="00C14A53"/>
    <w:rsid w:val="00C230F7"/>
    <w:rsid w:val="00C27322"/>
    <w:rsid w:val="00C3113B"/>
    <w:rsid w:val="00C33574"/>
    <w:rsid w:val="00C4074C"/>
    <w:rsid w:val="00C42300"/>
    <w:rsid w:val="00C57B05"/>
    <w:rsid w:val="00C74B92"/>
    <w:rsid w:val="00C84A0A"/>
    <w:rsid w:val="00C919DA"/>
    <w:rsid w:val="00C94A9E"/>
    <w:rsid w:val="00C96536"/>
    <w:rsid w:val="00CB1B20"/>
    <w:rsid w:val="00CB2DA6"/>
    <w:rsid w:val="00CB5F5A"/>
    <w:rsid w:val="00CB75AB"/>
    <w:rsid w:val="00CD0092"/>
    <w:rsid w:val="00CE6B98"/>
    <w:rsid w:val="00CF27D6"/>
    <w:rsid w:val="00CF5CC6"/>
    <w:rsid w:val="00D03057"/>
    <w:rsid w:val="00D24871"/>
    <w:rsid w:val="00D32DA8"/>
    <w:rsid w:val="00D3353C"/>
    <w:rsid w:val="00D37D38"/>
    <w:rsid w:val="00D50756"/>
    <w:rsid w:val="00D5365A"/>
    <w:rsid w:val="00D5487E"/>
    <w:rsid w:val="00D636F1"/>
    <w:rsid w:val="00D64220"/>
    <w:rsid w:val="00D64E30"/>
    <w:rsid w:val="00D81CDB"/>
    <w:rsid w:val="00D9425D"/>
    <w:rsid w:val="00D9564E"/>
    <w:rsid w:val="00DA66A5"/>
    <w:rsid w:val="00DB364E"/>
    <w:rsid w:val="00DB364F"/>
    <w:rsid w:val="00DB4845"/>
    <w:rsid w:val="00DB5C95"/>
    <w:rsid w:val="00DE601F"/>
    <w:rsid w:val="00DF28AC"/>
    <w:rsid w:val="00DF3B82"/>
    <w:rsid w:val="00DF46D5"/>
    <w:rsid w:val="00E06483"/>
    <w:rsid w:val="00E079F6"/>
    <w:rsid w:val="00E4734B"/>
    <w:rsid w:val="00E52728"/>
    <w:rsid w:val="00E766EC"/>
    <w:rsid w:val="00E86989"/>
    <w:rsid w:val="00E93880"/>
    <w:rsid w:val="00E97EAF"/>
    <w:rsid w:val="00EA1A6B"/>
    <w:rsid w:val="00EA1E7B"/>
    <w:rsid w:val="00EC3AD5"/>
    <w:rsid w:val="00EE5C81"/>
    <w:rsid w:val="00EF38D9"/>
    <w:rsid w:val="00F20705"/>
    <w:rsid w:val="00F33CFD"/>
    <w:rsid w:val="00F364DF"/>
    <w:rsid w:val="00F53EE0"/>
    <w:rsid w:val="00F5796C"/>
    <w:rsid w:val="00F62329"/>
    <w:rsid w:val="00F65DFF"/>
    <w:rsid w:val="00F82265"/>
    <w:rsid w:val="00F8710D"/>
    <w:rsid w:val="00F92F42"/>
    <w:rsid w:val="00FA5127"/>
    <w:rsid w:val="00FD0CBF"/>
    <w:rsid w:val="00FE42DB"/>
    <w:rsid w:val="00FF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3EE0"/>
    <w:pPr>
      <w:numPr>
        <w:numId w:val="1"/>
      </w:numPr>
      <w:spacing w:after="240"/>
      <w:jc w:val="both"/>
      <w:outlineLvl w:val="0"/>
    </w:pPr>
    <w:rPr>
      <w:rFonts w:eastAsia="Times New Roman" w:cs="Arial"/>
      <w:b/>
      <w:bCs/>
      <w:caps/>
      <w:szCs w:val="28"/>
      <w:u w:val="single"/>
    </w:rPr>
  </w:style>
  <w:style w:type="paragraph" w:styleId="Heading2">
    <w:name w:val="heading 2"/>
    <w:basedOn w:val="Normal"/>
    <w:next w:val="Normal"/>
    <w:link w:val="Heading2Char"/>
    <w:uiPriority w:val="9"/>
    <w:unhideWhenUsed/>
    <w:qFormat/>
    <w:rsid w:val="00F53EE0"/>
    <w:pPr>
      <w:numPr>
        <w:ilvl w:val="1"/>
        <w:numId w:val="1"/>
      </w:numPr>
      <w:spacing w:after="240"/>
      <w:jc w:val="both"/>
      <w:outlineLvl w:val="1"/>
    </w:pPr>
    <w:rPr>
      <w:rFonts w:eastAsia="Times New Roman" w:cs="Arial"/>
      <w:b/>
      <w:bCs/>
      <w:iCs/>
      <w:szCs w:val="28"/>
    </w:rPr>
  </w:style>
  <w:style w:type="paragraph" w:styleId="Heading3">
    <w:name w:val="heading 3"/>
    <w:basedOn w:val="Normal"/>
    <w:next w:val="Normal"/>
    <w:link w:val="Heading3Char"/>
    <w:uiPriority w:val="9"/>
    <w:unhideWhenUsed/>
    <w:qFormat/>
    <w:rsid w:val="00F53EE0"/>
    <w:pPr>
      <w:numPr>
        <w:ilvl w:val="2"/>
        <w:numId w:val="1"/>
      </w:numPr>
      <w:tabs>
        <w:tab w:val="clear" w:pos="2340"/>
        <w:tab w:val="num" w:pos="2160"/>
      </w:tabs>
      <w:spacing w:after="240"/>
      <w:ind w:left="2160"/>
      <w:jc w:val="both"/>
      <w:outlineLvl w:val="2"/>
    </w:pPr>
    <w:rPr>
      <w:rFonts w:eastAsia="Times New Roman" w:cs="Arial"/>
      <w:b/>
      <w:bCs/>
      <w:szCs w:val="26"/>
    </w:rPr>
  </w:style>
  <w:style w:type="paragraph" w:styleId="Heading4">
    <w:name w:val="heading 4"/>
    <w:basedOn w:val="Normal"/>
    <w:next w:val="Normal"/>
    <w:link w:val="Heading4Char"/>
    <w:uiPriority w:val="9"/>
    <w:unhideWhenUsed/>
    <w:qFormat/>
    <w:rsid w:val="00F53EE0"/>
    <w:pPr>
      <w:numPr>
        <w:ilvl w:val="3"/>
        <w:numId w:val="1"/>
      </w:numPr>
      <w:spacing w:after="240"/>
      <w:jc w:val="both"/>
      <w:outlineLvl w:val="3"/>
    </w:pPr>
    <w:rPr>
      <w:rFonts w:eastAsia="Times New Roman" w:cs="Arial"/>
      <w:b/>
      <w:bCs/>
      <w:i/>
      <w:szCs w:val="28"/>
    </w:rPr>
  </w:style>
  <w:style w:type="paragraph" w:styleId="Heading5">
    <w:name w:val="heading 5"/>
    <w:basedOn w:val="Normal"/>
    <w:next w:val="Normal"/>
    <w:link w:val="Heading5Char"/>
    <w:uiPriority w:val="9"/>
    <w:semiHidden/>
    <w:unhideWhenUsed/>
    <w:qFormat/>
    <w:rsid w:val="00F53EE0"/>
    <w:pPr>
      <w:numPr>
        <w:ilvl w:val="4"/>
        <w:numId w:val="1"/>
      </w:numPr>
      <w:spacing w:after="240"/>
      <w:jc w:val="both"/>
      <w:outlineLvl w:val="4"/>
    </w:pPr>
    <w:rPr>
      <w:rFonts w:eastAsia="Times New Roman" w:cs="Arial"/>
      <w:bCs/>
      <w:iCs/>
      <w:color w:val="243F60"/>
      <w:szCs w:val="26"/>
    </w:rPr>
  </w:style>
  <w:style w:type="paragraph" w:styleId="Heading6">
    <w:name w:val="heading 6"/>
    <w:basedOn w:val="Normal"/>
    <w:next w:val="Normal"/>
    <w:link w:val="Heading6Char"/>
    <w:uiPriority w:val="9"/>
    <w:semiHidden/>
    <w:unhideWhenUsed/>
    <w:qFormat/>
    <w:rsid w:val="00F53EE0"/>
    <w:pPr>
      <w:numPr>
        <w:ilvl w:val="5"/>
        <w:numId w:val="1"/>
      </w:numPr>
      <w:spacing w:after="240"/>
      <w:jc w:val="both"/>
      <w:outlineLvl w:val="5"/>
    </w:pPr>
    <w:rPr>
      <w:rFonts w:eastAsia="Times New Roman" w:cs="Arial"/>
      <w:bCs/>
      <w:color w:val="243F60"/>
      <w:szCs w:val="22"/>
    </w:rPr>
  </w:style>
  <w:style w:type="paragraph" w:styleId="Heading7">
    <w:name w:val="heading 7"/>
    <w:basedOn w:val="Normal"/>
    <w:next w:val="Normal"/>
    <w:link w:val="Heading7Char"/>
    <w:uiPriority w:val="9"/>
    <w:semiHidden/>
    <w:unhideWhenUsed/>
    <w:qFormat/>
    <w:rsid w:val="00F53EE0"/>
    <w:pPr>
      <w:numPr>
        <w:ilvl w:val="6"/>
        <w:numId w:val="1"/>
      </w:numPr>
      <w:spacing w:after="240"/>
      <w:jc w:val="both"/>
      <w:outlineLvl w:val="6"/>
    </w:pPr>
    <w:rPr>
      <w:rFonts w:eastAsia="Times New Roman" w:cs="Arial"/>
      <w:color w:val="404040"/>
    </w:rPr>
  </w:style>
  <w:style w:type="paragraph" w:styleId="Heading8">
    <w:name w:val="heading 8"/>
    <w:basedOn w:val="Normal"/>
    <w:next w:val="Normal"/>
    <w:link w:val="Heading8Char"/>
    <w:uiPriority w:val="9"/>
    <w:semiHidden/>
    <w:unhideWhenUsed/>
    <w:qFormat/>
    <w:rsid w:val="00F53EE0"/>
    <w:pPr>
      <w:numPr>
        <w:ilvl w:val="7"/>
        <w:numId w:val="1"/>
      </w:numPr>
      <w:spacing w:after="240"/>
      <w:jc w:val="both"/>
      <w:outlineLvl w:val="7"/>
    </w:pPr>
    <w:rPr>
      <w:rFonts w:eastAsia="Times New Roman" w:cs="Arial"/>
      <w:iCs/>
      <w:color w:val="404040"/>
    </w:rPr>
  </w:style>
  <w:style w:type="paragraph" w:styleId="Heading9">
    <w:name w:val="heading 9"/>
    <w:basedOn w:val="Normal"/>
    <w:next w:val="Normal"/>
    <w:link w:val="Heading9Char"/>
    <w:uiPriority w:val="9"/>
    <w:semiHidden/>
    <w:unhideWhenUsed/>
    <w:qFormat/>
    <w:rsid w:val="00F53EE0"/>
    <w:pPr>
      <w:numPr>
        <w:ilvl w:val="8"/>
        <w:numId w:val="1"/>
      </w:numPr>
      <w:spacing w:after="240"/>
      <w:jc w:val="both"/>
      <w:outlineLvl w:val="8"/>
    </w:pPr>
    <w:rPr>
      <w:rFonts w:eastAsia="Times New Roman" w:cs="Arial"/>
      <w:color w:val="4040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EE0"/>
    <w:pPr>
      <w:tabs>
        <w:tab w:val="center" w:pos="4680"/>
        <w:tab w:val="right" w:pos="9360"/>
      </w:tabs>
    </w:pPr>
  </w:style>
  <w:style w:type="character" w:customStyle="1" w:styleId="HeaderChar">
    <w:name w:val="Header Char"/>
    <w:basedOn w:val="DefaultParagraphFont"/>
    <w:link w:val="Header"/>
    <w:uiPriority w:val="99"/>
    <w:rsid w:val="00F53EE0"/>
  </w:style>
  <w:style w:type="paragraph" w:styleId="Footer">
    <w:name w:val="footer"/>
    <w:basedOn w:val="Normal"/>
    <w:link w:val="FooterChar"/>
    <w:uiPriority w:val="99"/>
    <w:unhideWhenUsed/>
    <w:rsid w:val="00F53EE0"/>
    <w:pPr>
      <w:tabs>
        <w:tab w:val="center" w:pos="4680"/>
        <w:tab w:val="right" w:pos="9360"/>
      </w:tabs>
    </w:pPr>
  </w:style>
  <w:style w:type="character" w:customStyle="1" w:styleId="FooterChar">
    <w:name w:val="Footer Char"/>
    <w:basedOn w:val="DefaultParagraphFont"/>
    <w:link w:val="Footer"/>
    <w:uiPriority w:val="99"/>
    <w:rsid w:val="00F53EE0"/>
  </w:style>
  <w:style w:type="character" w:customStyle="1" w:styleId="Heading1Char">
    <w:name w:val="Heading 1 Char"/>
    <w:basedOn w:val="DefaultParagraphFont"/>
    <w:link w:val="Heading1"/>
    <w:uiPriority w:val="9"/>
    <w:rsid w:val="00F53EE0"/>
    <w:rPr>
      <w:rFonts w:eastAsia="Times New Roman" w:cs="Arial"/>
      <w:b/>
      <w:bCs/>
      <w:caps/>
      <w:szCs w:val="28"/>
      <w:u w:val="single"/>
    </w:rPr>
  </w:style>
  <w:style w:type="character" w:customStyle="1" w:styleId="Heading2Char">
    <w:name w:val="Heading 2 Char"/>
    <w:basedOn w:val="DefaultParagraphFont"/>
    <w:link w:val="Heading2"/>
    <w:uiPriority w:val="9"/>
    <w:rsid w:val="00F53EE0"/>
    <w:rPr>
      <w:rFonts w:eastAsia="Times New Roman" w:cs="Arial"/>
      <w:b/>
      <w:bCs/>
      <w:iCs/>
      <w:szCs w:val="28"/>
    </w:rPr>
  </w:style>
  <w:style w:type="character" w:customStyle="1" w:styleId="Heading3Char">
    <w:name w:val="Heading 3 Char"/>
    <w:basedOn w:val="DefaultParagraphFont"/>
    <w:link w:val="Heading3"/>
    <w:uiPriority w:val="9"/>
    <w:rsid w:val="00F53EE0"/>
    <w:rPr>
      <w:rFonts w:eastAsia="Times New Roman" w:cs="Arial"/>
      <w:b/>
      <w:bCs/>
      <w:szCs w:val="26"/>
    </w:rPr>
  </w:style>
  <w:style w:type="character" w:customStyle="1" w:styleId="Heading4Char">
    <w:name w:val="Heading 4 Char"/>
    <w:basedOn w:val="DefaultParagraphFont"/>
    <w:link w:val="Heading4"/>
    <w:uiPriority w:val="9"/>
    <w:rsid w:val="00F53EE0"/>
    <w:rPr>
      <w:rFonts w:eastAsia="Times New Roman" w:cs="Arial"/>
      <w:b/>
      <w:bCs/>
      <w:i/>
      <w:szCs w:val="28"/>
    </w:rPr>
  </w:style>
  <w:style w:type="character" w:customStyle="1" w:styleId="Heading5Char">
    <w:name w:val="Heading 5 Char"/>
    <w:basedOn w:val="DefaultParagraphFont"/>
    <w:link w:val="Heading5"/>
    <w:uiPriority w:val="9"/>
    <w:semiHidden/>
    <w:rsid w:val="00F53EE0"/>
    <w:rPr>
      <w:rFonts w:eastAsia="Times New Roman" w:cs="Arial"/>
      <w:bCs/>
      <w:iCs/>
      <w:color w:val="243F60"/>
      <w:szCs w:val="26"/>
    </w:rPr>
  </w:style>
  <w:style w:type="character" w:customStyle="1" w:styleId="Heading6Char">
    <w:name w:val="Heading 6 Char"/>
    <w:basedOn w:val="DefaultParagraphFont"/>
    <w:link w:val="Heading6"/>
    <w:uiPriority w:val="9"/>
    <w:semiHidden/>
    <w:rsid w:val="00F53EE0"/>
    <w:rPr>
      <w:rFonts w:eastAsia="Times New Roman" w:cs="Arial"/>
      <w:bCs/>
      <w:color w:val="243F60"/>
      <w:szCs w:val="22"/>
    </w:rPr>
  </w:style>
  <w:style w:type="character" w:customStyle="1" w:styleId="Heading7Char">
    <w:name w:val="Heading 7 Char"/>
    <w:basedOn w:val="DefaultParagraphFont"/>
    <w:link w:val="Heading7"/>
    <w:uiPriority w:val="9"/>
    <w:semiHidden/>
    <w:rsid w:val="00F53EE0"/>
    <w:rPr>
      <w:rFonts w:eastAsia="Times New Roman" w:cs="Arial"/>
      <w:color w:val="404040"/>
    </w:rPr>
  </w:style>
  <w:style w:type="character" w:customStyle="1" w:styleId="Heading8Char">
    <w:name w:val="Heading 8 Char"/>
    <w:basedOn w:val="DefaultParagraphFont"/>
    <w:link w:val="Heading8"/>
    <w:uiPriority w:val="9"/>
    <w:semiHidden/>
    <w:rsid w:val="00F53EE0"/>
    <w:rPr>
      <w:rFonts w:eastAsia="Times New Roman" w:cs="Arial"/>
      <w:iCs/>
      <w:color w:val="404040"/>
    </w:rPr>
  </w:style>
  <w:style w:type="character" w:customStyle="1" w:styleId="Heading9Char">
    <w:name w:val="Heading 9 Char"/>
    <w:basedOn w:val="DefaultParagraphFont"/>
    <w:link w:val="Heading9"/>
    <w:uiPriority w:val="9"/>
    <w:semiHidden/>
    <w:rsid w:val="00F53EE0"/>
    <w:rPr>
      <w:rFonts w:eastAsia="Times New Roman" w:cs="Arial"/>
      <w:color w:val="404040"/>
      <w:szCs w:val="22"/>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ft"/>
    <w:basedOn w:val="Normal"/>
    <w:link w:val="FootnoteTextChar"/>
    <w:uiPriority w:val="99"/>
    <w:unhideWhenUsed/>
    <w:qFormat/>
    <w:rsid w:val="00BF5CAF"/>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BF5CAF"/>
    <w:rPr>
      <w:sz w:val="20"/>
      <w:szCs w:val="20"/>
    </w:r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unhideWhenUsed/>
    <w:rsid w:val="00BF5CAF"/>
    <w:rPr>
      <w:vertAlign w:val="superscript"/>
    </w:rPr>
  </w:style>
  <w:style w:type="character" w:styleId="CommentReference">
    <w:name w:val="annotation reference"/>
    <w:basedOn w:val="DefaultParagraphFont"/>
    <w:uiPriority w:val="99"/>
    <w:semiHidden/>
    <w:unhideWhenUsed/>
    <w:rsid w:val="006B705F"/>
    <w:rPr>
      <w:sz w:val="16"/>
      <w:szCs w:val="16"/>
    </w:rPr>
  </w:style>
  <w:style w:type="paragraph" w:styleId="CommentText">
    <w:name w:val="annotation text"/>
    <w:basedOn w:val="Normal"/>
    <w:link w:val="CommentTextChar"/>
    <w:uiPriority w:val="99"/>
    <w:semiHidden/>
    <w:unhideWhenUsed/>
    <w:rsid w:val="006B705F"/>
    <w:rPr>
      <w:sz w:val="20"/>
      <w:szCs w:val="20"/>
    </w:rPr>
  </w:style>
  <w:style w:type="character" w:customStyle="1" w:styleId="CommentTextChar">
    <w:name w:val="Comment Text Char"/>
    <w:basedOn w:val="DefaultParagraphFont"/>
    <w:link w:val="CommentText"/>
    <w:uiPriority w:val="99"/>
    <w:semiHidden/>
    <w:rsid w:val="006B705F"/>
    <w:rPr>
      <w:sz w:val="20"/>
      <w:szCs w:val="20"/>
    </w:rPr>
  </w:style>
  <w:style w:type="paragraph" w:styleId="CommentSubject">
    <w:name w:val="annotation subject"/>
    <w:basedOn w:val="CommentText"/>
    <w:next w:val="CommentText"/>
    <w:link w:val="CommentSubjectChar"/>
    <w:uiPriority w:val="99"/>
    <w:semiHidden/>
    <w:unhideWhenUsed/>
    <w:rsid w:val="006B705F"/>
    <w:rPr>
      <w:b/>
      <w:bCs/>
    </w:rPr>
  </w:style>
  <w:style w:type="character" w:customStyle="1" w:styleId="CommentSubjectChar">
    <w:name w:val="Comment Subject Char"/>
    <w:basedOn w:val="CommentTextChar"/>
    <w:link w:val="CommentSubject"/>
    <w:uiPriority w:val="99"/>
    <w:semiHidden/>
    <w:rsid w:val="006B705F"/>
    <w:rPr>
      <w:b/>
      <w:bCs/>
      <w:sz w:val="20"/>
      <w:szCs w:val="20"/>
    </w:rPr>
  </w:style>
  <w:style w:type="paragraph" w:styleId="BalloonText">
    <w:name w:val="Balloon Text"/>
    <w:basedOn w:val="Normal"/>
    <w:link w:val="BalloonTextChar"/>
    <w:uiPriority w:val="99"/>
    <w:semiHidden/>
    <w:unhideWhenUsed/>
    <w:rsid w:val="006B705F"/>
    <w:rPr>
      <w:rFonts w:ascii="Tahoma" w:hAnsi="Tahoma" w:cs="Tahoma"/>
      <w:sz w:val="16"/>
      <w:szCs w:val="16"/>
    </w:rPr>
  </w:style>
  <w:style w:type="character" w:customStyle="1" w:styleId="BalloonTextChar">
    <w:name w:val="Balloon Text Char"/>
    <w:basedOn w:val="DefaultParagraphFont"/>
    <w:link w:val="BalloonText"/>
    <w:uiPriority w:val="99"/>
    <w:semiHidden/>
    <w:rsid w:val="006B705F"/>
    <w:rPr>
      <w:rFonts w:ascii="Tahoma" w:hAnsi="Tahoma" w:cs="Tahoma"/>
      <w:sz w:val="16"/>
      <w:szCs w:val="16"/>
    </w:rPr>
  </w:style>
  <w:style w:type="paragraph" w:styleId="TOC3">
    <w:name w:val="toc 3"/>
    <w:basedOn w:val="Normal"/>
    <w:next w:val="Normal"/>
    <w:autoRedefine/>
    <w:uiPriority w:val="39"/>
    <w:unhideWhenUsed/>
    <w:rsid w:val="006A4819"/>
    <w:pPr>
      <w:tabs>
        <w:tab w:val="left" w:pos="880"/>
        <w:tab w:val="right" w:leader="dot" w:pos="9350"/>
      </w:tabs>
      <w:spacing w:after="240"/>
      <w:ind w:left="480"/>
    </w:pPr>
  </w:style>
  <w:style w:type="paragraph" w:styleId="TOC1">
    <w:name w:val="toc 1"/>
    <w:basedOn w:val="Normal"/>
    <w:next w:val="Normal"/>
    <w:autoRedefine/>
    <w:uiPriority w:val="39"/>
    <w:unhideWhenUsed/>
    <w:rsid w:val="006A4819"/>
    <w:pPr>
      <w:tabs>
        <w:tab w:val="left" w:pos="480"/>
        <w:tab w:val="right" w:leader="dot" w:pos="9350"/>
      </w:tabs>
      <w:spacing w:after="240"/>
    </w:pPr>
  </w:style>
  <w:style w:type="character" w:styleId="Hyperlink">
    <w:name w:val="Hyperlink"/>
    <w:basedOn w:val="DefaultParagraphFont"/>
    <w:uiPriority w:val="99"/>
    <w:unhideWhenUsed/>
    <w:rsid w:val="006135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3EE0"/>
    <w:pPr>
      <w:numPr>
        <w:numId w:val="1"/>
      </w:numPr>
      <w:spacing w:after="240"/>
      <w:jc w:val="both"/>
      <w:outlineLvl w:val="0"/>
    </w:pPr>
    <w:rPr>
      <w:rFonts w:eastAsia="Times New Roman" w:cs="Arial"/>
      <w:b/>
      <w:bCs/>
      <w:caps/>
      <w:szCs w:val="28"/>
      <w:u w:val="single"/>
    </w:rPr>
  </w:style>
  <w:style w:type="paragraph" w:styleId="Heading2">
    <w:name w:val="heading 2"/>
    <w:basedOn w:val="Normal"/>
    <w:next w:val="Normal"/>
    <w:link w:val="Heading2Char"/>
    <w:uiPriority w:val="9"/>
    <w:unhideWhenUsed/>
    <w:qFormat/>
    <w:rsid w:val="00F53EE0"/>
    <w:pPr>
      <w:numPr>
        <w:ilvl w:val="1"/>
        <w:numId w:val="1"/>
      </w:numPr>
      <w:spacing w:after="240"/>
      <w:jc w:val="both"/>
      <w:outlineLvl w:val="1"/>
    </w:pPr>
    <w:rPr>
      <w:rFonts w:eastAsia="Times New Roman" w:cs="Arial"/>
      <w:b/>
      <w:bCs/>
      <w:iCs/>
      <w:szCs w:val="28"/>
    </w:rPr>
  </w:style>
  <w:style w:type="paragraph" w:styleId="Heading3">
    <w:name w:val="heading 3"/>
    <w:basedOn w:val="Normal"/>
    <w:next w:val="Normal"/>
    <w:link w:val="Heading3Char"/>
    <w:uiPriority w:val="9"/>
    <w:unhideWhenUsed/>
    <w:qFormat/>
    <w:rsid w:val="00F53EE0"/>
    <w:pPr>
      <w:numPr>
        <w:ilvl w:val="2"/>
        <w:numId w:val="1"/>
      </w:numPr>
      <w:tabs>
        <w:tab w:val="clear" w:pos="2340"/>
        <w:tab w:val="num" w:pos="2160"/>
      </w:tabs>
      <w:spacing w:after="240"/>
      <w:ind w:left="2160"/>
      <w:jc w:val="both"/>
      <w:outlineLvl w:val="2"/>
    </w:pPr>
    <w:rPr>
      <w:rFonts w:eastAsia="Times New Roman" w:cs="Arial"/>
      <w:b/>
      <w:bCs/>
      <w:szCs w:val="26"/>
    </w:rPr>
  </w:style>
  <w:style w:type="paragraph" w:styleId="Heading4">
    <w:name w:val="heading 4"/>
    <w:basedOn w:val="Normal"/>
    <w:next w:val="Normal"/>
    <w:link w:val="Heading4Char"/>
    <w:uiPriority w:val="9"/>
    <w:unhideWhenUsed/>
    <w:qFormat/>
    <w:rsid w:val="00F53EE0"/>
    <w:pPr>
      <w:numPr>
        <w:ilvl w:val="3"/>
        <w:numId w:val="1"/>
      </w:numPr>
      <w:spacing w:after="240"/>
      <w:jc w:val="both"/>
      <w:outlineLvl w:val="3"/>
    </w:pPr>
    <w:rPr>
      <w:rFonts w:eastAsia="Times New Roman" w:cs="Arial"/>
      <w:b/>
      <w:bCs/>
      <w:i/>
      <w:szCs w:val="28"/>
    </w:rPr>
  </w:style>
  <w:style w:type="paragraph" w:styleId="Heading5">
    <w:name w:val="heading 5"/>
    <w:basedOn w:val="Normal"/>
    <w:next w:val="Normal"/>
    <w:link w:val="Heading5Char"/>
    <w:uiPriority w:val="9"/>
    <w:semiHidden/>
    <w:unhideWhenUsed/>
    <w:qFormat/>
    <w:rsid w:val="00F53EE0"/>
    <w:pPr>
      <w:numPr>
        <w:ilvl w:val="4"/>
        <w:numId w:val="1"/>
      </w:numPr>
      <w:spacing w:after="240"/>
      <w:jc w:val="both"/>
      <w:outlineLvl w:val="4"/>
    </w:pPr>
    <w:rPr>
      <w:rFonts w:eastAsia="Times New Roman" w:cs="Arial"/>
      <w:bCs/>
      <w:iCs/>
      <w:color w:val="243F60"/>
      <w:szCs w:val="26"/>
    </w:rPr>
  </w:style>
  <w:style w:type="paragraph" w:styleId="Heading6">
    <w:name w:val="heading 6"/>
    <w:basedOn w:val="Normal"/>
    <w:next w:val="Normal"/>
    <w:link w:val="Heading6Char"/>
    <w:uiPriority w:val="9"/>
    <w:semiHidden/>
    <w:unhideWhenUsed/>
    <w:qFormat/>
    <w:rsid w:val="00F53EE0"/>
    <w:pPr>
      <w:numPr>
        <w:ilvl w:val="5"/>
        <w:numId w:val="1"/>
      </w:numPr>
      <w:spacing w:after="240"/>
      <w:jc w:val="both"/>
      <w:outlineLvl w:val="5"/>
    </w:pPr>
    <w:rPr>
      <w:rFonts w:eastAsia="Times New Roman" w:cs="Arial"/>
      <w:bCs/>
      <w:color w:val="243F60"/>
      <w:szCs w:val="22"/>
    </w:rPr>
  </w:style>
  <w:style w:type="paragraph" w:styleId="Heading7">
    <w:name w:val="heading 7"/>
    <w:basedOn w:val="Normal"/>
    <w:next w:val="Normal"/>
    <w:link w:val="Heading7Char"/>
    <w:uiPriority w:val="9"/>
    <w:semiHidden/>
    <w:unhideWhenUsed/>
    <w:qFormat/>
    <w:rsid w:val="00F53EE0"/>
    <w:pPr>
      <w:numPr>
        <w:ilvl w:val="6"/>
        <w:numId w:val="1"/>
      </w:numPr>
      <w:spacing w:after="240"/>
      <w:jc w:val="both"/>
      <w:outlineLvl w:val="6"/>
    </w:pPr>
    <w:rPr>
      <w:rFonts w:eastAsia="Times New Roman" w:cs="Arial"/>
      <w:color w:val="404040"/>
    </w:rPr>
  </w:style>
  <w:style w:type="paragraph" w:styleId="Heading8">
    <w:name w:val="heading 8"/>
    <w:basedOn w:val="Normal"/>
    <w:next w:val="Normal"/>
    <w:link w:val="Heading8Char"/>
    <w:uiPriority w:val="9"/>
    <w:semiHidden/>
    <w:unhideWhenUsed/>
    <w:qFormat/>
    <w:rsid w:val="00F53EE0"/>
    <w:pPr>
      <w:numPr>
        <w:ilvl w:val="7"/>
        <w:numId w:val="1"/>
      </w:numPr>
      <w:spacing w:after="240"/>
      <w:jc w:val="both"/>
      <w:outlineLvl w:val="7"/>
    </w:pPr>
    <w:rPr>
      <w:rFonts w:eastAsia="Times New Roman" w:cs="Arial"/>
      <w:iCs/>
      <w:color w:val="404040"/>
    </w:rPr>
  </w:style>
  <w:style w:type="paragraph" w:styleId="Heading9">
    <w:name w:val="heading 9"/>
    <w:basedOn w:val="Normal"/>
    <w:next w:val="Normal"/>
    <w:link w:val="Heading9Char"/>
    <w:uiPriority w:val="9"/>
    <w:semiHidden/>
    <w:unhideWhenUsed/>
    <w:qFormat/>
    <w:rsid w:val="00F53EE0"/>
    <w:pPr>
      <w:numPr>
        <w:ilvl w:val="8"/>
        <w:numId w:val="1"/>
      </w:numPr>
      <w:spacing w:after="240"/>
      <w:jc w:val="both"/>
      <w:outlineLvl w:val="8"/>
    </w:pPr>
    <w:rPr>
      <w:rFonts w:eastAsia="Times New Roman" w:cs="Arial"/>
      <w:color w:val="4040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EE0"/>
    <w:pPr>
      <w:tabs>
        <w:tab w:val="center" w:pos="4680"/>
        <w:tab w:val="right" w:pos="9360"/>
      </w:tabs>
    </w:pPr>
  </w:style>
  <w:style w:type="character" w:customStyle="1" w:styleId="HeaderChar">
    <w:name w:val="Header Char"/>
    <w:basedOn w:val="DefaultParagraphFont"/>
    <w:link w:val="Header"/>
    <w:uiPriority w:val="99"/>
    <w:rsid w:val="00F53EE0"/>
  </w:style>
  <w:style w:type="paragraph" w:styleId="Footer">
    <w:name w:val="footer"/>
    <w:basedOn w:val="Normal"/>
    <w:link w:val="FooterChar"/>
    <w:uiPriority w:val="99"/>
    <w:unhideWhenUsed/>
    <w:rsid w:val="00F53EE0"/>
    <w:pPr>
      <w:tabs>
        <w:tab w:val="center" w:pos="4680"/>
        <w:tab w:val="right" w:pos="9360"/>
      </w:tabs>
    </w:pPr>
  </w:style>
  <w:style w:type="character" w:customStyle="1" w:styleId="FooterChar">
    <w:name w:val="Footer Char"/>
    <w:basedOn w:val="DefaultParagraphFont"/>
    <w:link w:val="Footer"/>
    <w:uiPriority w:val="99"/>
    <w:rsid w:val="00F53EE0"/>
  </w:style>
  <w:style w:type="character" w:customStyle="1" w:styleId="Heading1Char">
    <w:name w:val="Heading 1 Char"/>
    <w:basedOn w:val="DefaultParagraphFont"/>
    <w:link w:val="Heading1"/>
    <w:uiPriority w:val="9"/>
    <w:rsid w:val="00F53EE0"/>
    <w:rPr>
      <w:rFonts w:eastAsia="Times New Roman" w:cs="Arial"/>
      <w:b/>
      <w:bCs/>
      <w:caps/>
      <w:szCs w:val="28"/>
      <w:u w:val="single"/>
    </w:rPr>
  </w:style>
  <w:style w:type="character" w:customStyle="1" w:styleId="Heading2Char">
    <w:name w:val="Heading 2 Char"/>
    <w:basedOn w:val="DefaultParagraphFont"/>
    <w:link w:val="Heading2"/>
    <w:uiPriority w:val="9"/>
    <w:rsid w:val="00F53EE0"/>
    <w:rPr>
      <w:rFonts w:eastAsia="Times New Roman" w:cs="Arial"/>
      <w:b/>
      <w:bCs/>
      <w:iCs/>
      <w:szCs w:val="28"/>
    </w:rPr>
  </w:style>
  <w:style w:type="character" w:customStyle="1" w:styleId="Heading3Char">
    <w:name w:val="Heading 3 Char"/>
    <w:basedOn w:val="DefaultParagraphFont"/>
    <w:link w:val="Heading3"/>
    <w:uiPriority w:val="9"/>
    <w:rsid w:val="00F53EE0"/>
    <w:rPr>
      <w:rFonts w:eastAsia="Times New Roman" w:cs="Arial"/>
      <w:b/>
      <w:bCs/>
      <w:szCs w:val="26"/>
    </w:rPr>
  </w:style>
  <w:style w:type="character" w:customStyle="1" w:styleId="Heading4Char">
    <w:name w:val="Heading 4 Char"/>
    <w:basedOn w:val="DefaultParagraphFont"/>
    <w:link w:val="Heading4"/>
    <w:uiPriority w:val="9"/>
    <w:rsid w:val="00F53EE0"/>
    <w:rPr>
      <w:rFonts w:eastAsia="Times New Roman" w:cs="Arial"/>
      <w:b/>
      <w:bCs/>
      <w:i/>
      <w:szCs w:val="28"/>
    </w:rPr>
  </w:style>
  <w:style w:type="character" w:customStyle="1" w:styleId="Heading5Char">
    <w:name w:val="Heading 5 Char"/>
    <w:basedOn w:val="DefaultParagraphFont"/>
    <w:link w:val="Heading5"/>
    <w:uiPriority w:val="9"/>
    <w:semiHidden/>
    <w:rsid w:val="00F53EE0"/>
    <w:rPr>
      <w:rFonts w:eastAsia="Times New Roman" w:cs="Arial"/>
      <w:bCs/>
      <w:iCs/>
      <w:color w:val="243F60"/>
      <w:szCs w:val="26"/>
    </w:rPr>
  </w:style>
  <w:style w:type="character" w:customStyle="1" w:styleId="Heading6Char">
    <w:name w:val="Heading 6 Char"/>
    <w:basedOn w:val="DefaultParagraphFont"/>
    <w:link w:val="Heading6"/>
    <w:uiPriority w:val="9"/>
    <w:semiHidden/>
    <w:rsid w:val="00F53EE0"/>
    <w:rPr>
      <w:rFonts w:eastAsia="Times New Roman" w:cs="Arial"/>
      <w:bCs/>
      <w:color w:val="243F60"/>
      <w:szCs w:val="22"/>
    </w:rPr>
  </w:style>
  <w:style w:type="character" w:customStyle="1" w:styleId="Heading7Char">
    <w:name w:val="Heading 7 Char"/>
    <w:basedOn w:val="DefaultParagraphFont"/>
    <w:link w:val="Heading7"/>
    <w:uiPriority w:val="9"/>
    <w:semiHidden/>
    <w:rsid w:val="00F53EE0"/>
    <w:rPr>
      <w:rFonts w:eastAsia="Times New Roman" w:cs="Arial"/>
      <w:color w:val="404040"/>
    </w:rPr>
  </w:style>
  <w:style w:type="character" w:customStyle="1" w:styleId="Heading8Char">
    <w:name w:val="Heading 8 Char"/>
    <w:basedOn w:val="DefaultParagraphFont"/>
    <w:link w:val="Heading8"/>
    <w:uiPriority w:val="9"/>
    <w:semiHidden/>
    <w:rsid w:val="00F53EE0"/>
    <w:rPr>
      <w:rFonts w:eastAsia="Times New Roman" w:cs="Arial"/>
      <w:iCs/>
      <w:color w:val="404040"/>
    </w:rPr>
  </w:style>
  <w:style w:type="character" w:customStyle="1" w:styleId="Heading9Char">
    <w:name w:val="Heading 9 Char"/>
    <w:basedOn w:val="DefaultParagraphFont"/>
    <w:link w:val="Heading9"/>
    <w:uiPriority w:val="9"/>
    <w:semiHidden/>
    <w:rsid w:val="00F53EE0"/>
    <w:rPr>
      <w:rFonts w:eastAsia="Times New Roman" w:cs="Arial"/>
      <w:color w:val="404040"/>
      <w:szCs w:val="22"/>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 Char,fn,char,ft"/>
    <w:basedOn w:val="Normal"/>
    <w:link w:val="FootnoteTextChar"/>
    <w:uiPriority w:val="99"/>
    <w:unhideWhenUsed/>
    <w:qFormat/>
    <w:rsid w:val="00BF5CAF"/>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BF5CAF"/>
    <w:rPr>
      <w:sz w:val="20"/>
      <w:szCs w:val="20"/>
    </w:r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unhideWhenUsed/>
    <w:rsid w:val="00BF5CAF"/>
    <w:rPr>
      <w:vertAlign w:val="superscript"/>
    </w:rPr>
  </w:style>
  <w:style w:type="character" w:styleId="CommentReference">
    <w:name w:val="annotation reference"/>
    <w:basedOn w:val="DefaultParagraphFont"/>
    <w:uiPriority w:val="99"/>
    <w:semiHidden/>
    <w:unhideWhenUsed/>
    <w:rsid w:val="006B705F"/>
    <w:rPr>
      <w:sz w:val="16"/>
      <w:szCs w:val="16"/>
    </w:rPr>
  </w:style>
  <w:style w:type="paragraph" w:styleId="CommentText">
    <w:name w:val="annotation text"/>
    <w:basedOn w:val="Normal"/>
    <w:link w:val="CommentTextChar"/>
    <w:uiPriority w:val="99"/>
    <w:semiHidden/>
    <w:unhideWhenUsed/>
    <w:rsid w:val="006B705F"/>
    <w:rPr>
      <w:sz w:val="20"/>
      <w:szCs w:val="20"/>
    </w:rPr>
  </w:style>
  <w:style w:type="character" w:customStyle="1" w:styleId="CommentTextChar">
    <w:name w:val="Comment Text Char"/>
    <w:basedOn w:val="DefaultParagraphFont"/>
    <w:link w:val="CommentText"/>
    <w:uiPriority w:val="99"/>
    <w:semiHidden/>
    <w:rsid w:val="006B705F"/>
    <w:rPr>
      <w:sz w:val="20"/>
      <w:szCs w:val="20"/>
    </w:rPr>
  </w:style>
  <w:style w:type="paragraph" w:styleId="CommentSubject">
    <w:name w:val="annotation subject"/>
    <w:basedOn w:val="CommentText"/>
    <w:next w:val="CommentText"/>
    <w:link w:val="CommentSubjectChar"/>
    <w:uiPriority w:val="99"/>
    <w:semiHidden/>
    <w:unhideWhenUsed/>
    <w:rsid w:val="006B705F"/>
    <w:rPr>
      <w:b/>
      <w:bCs/>
    </w:rPr>
  </w:style>
  <w:style w:type="character" w:customStyle="1" w:styleId="CommentSubjectChar">
    <w:name w:val="Comment Subject Char"/>
    <w:basedOn w:val="CommentTextChar"/>
    <w:link w:val="CommentSubject"/>
    <w:uiPriority w:val="99"/>
    <w:semiHidden/>
    <w:rsid w:val="006B705F"/>
    <w:rPr>
      <w:b/>
      <w:bCs/>
      <w:sz w:val="20"/>
      <w:szCs w:val="20"/>
    </w:rPr>
  </w:style>
  <w:style w:type="paragraph" w:styleId="BalloonText">
    <w:name w:val="Balloon Text"/>
    <w:basedOn w:val="Normal"/>
    <w:link w:val="BalloonTextChar"/>
    <w:uiPriority w:val="99"/>
    <w:semiHidden/>
    <w:unhideWhenUsed/>
    <w:rsid w:val="006B705F"/>
    <w:rPr>
      <w:rFonts w:ascii="Tahoma" w:hAnsi="Tahoma" w:cs="Tahoma"/>
      <w:sz w:val="16"/>
      <w:szCs w:val="16"/>
    </w:rPr>
  </w:style>
  <w:style w:type="character" w:customStyle="1" w:styleId="BalloonTextChar">
    <w:name w:val="Balloon Text Char"/>
    <w:basedOn w:val="DefaultParagraphFont"/>
    <w:link w:val="BalloonText"/>
    <w:uiPriority w:val="99"/>
    <w:semiHidden/>
    <w:rsid w:val="006B705F"/>
    <w:rPr>
      <w:rFonts w:ascii="Tahoma" w:hAnsi="Tahoma" w:cs="Tahoma"/>
      <w:sz w:val="16"/>
      <w:szCs w:val="16"/>
    </w:rPr>
  </w:style>
  <w:style w:type="paragraph" w:styleId="TOC3">
    <w:name w:val="toc 3"/>
    <w:basedOn w:val="Normal"/>
    <w:next w:val="Normal"/>
    <w:autoRedefine/>
    <w:uiPriority w:val="39"/>
    <w:unhideWhenUsed/>
    <w:rsid w:val="006A4819"/>
    <w:pPr>
      <w:tabs>
        <w:tab w:val="left" w:pos="880"/>
        <w:tab w:val="right" w:leader="dot" w:pos="9350"/>
      </w:tabs>
      <w:spacing w:after="240"/>
      <w:ind w:left="480"/>
    </w:pPr>
  </w:style>
  <w:style w:type="paragraph" w:styleId="TOC1">
    <w:name w:val="toc 1"/>
    <w:basedOn w:val="Normal"/>
    <w:next w:val="Normal"/>
    <w:autoRedefine/>
    <w:uiPriority w:val="39"/>
    <w:unhideWhenUsed/>
    <w:rsid w:val="006A4819"/>
    <w:pPr>
      <w:tabs>
        <w:tab w:val="left" w:pos="480"/>
        <w:tab w:val="right" w:leader="dot" w:pos="9350"/>
      </w:tabs>
      <w:spacing w:after="240"/>
    </w:pPr>
  </w:style>
  <w:style w:type="character" w:styleId="Hyperlink">
    <w:name w:val="Hyperlink"/>
    <w:basedOn w:val="DefaultParagraphFont"/>
    <w:uiPriority w:val="99"/>
    <w:unhideWhenUsed/>
    <w:rsid w:val="00613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7551">
      <w:bodyDiv w:val="1"/>
      <w:marLeft w:val="0"/>
      <w:marRight w:val="0"/>
      <w:marTop w:val="0"/>
      <w:marBottom w:val="0"/>
      <w:divBdr>
        <w:top w:val="none" w:sz="0" w:space="0" w:color="auto"/>
        <w:left w:val="none" w:sz="0" w:space="0" w:color="auto"/>
        <w:bottom w:val="none" w:sz="0" w:space="0" w:color="auto"/>
        <w:right w:val="none" w:sz="0" w:space="0" w:color="auto"/>
      </w:divBdr>
    </w:div>
    <w:div w:id="871839261">
      <w:bodyDiv w:val="1"/>
      <w:marLeft w:val="0"/>
      <w:marRight w:val="0"/>
      <w:marTop w:val="0"/>
      <w:marBottom w:val="0"/>
      <w:divBdr>
        <w:top w:val="none" w:sz="0" w:space="0" w:color="auto"/>
        <w:left w:val="none" w:sz="0" w:space="0" w:color="auto"/>
        <w:bottom w:val="none" w:sz="0" w:space="0" w:color="auto"/>
        <w:right w:val="none" w:sz="0" w:space="0" w:color="auto"/>
      </w:divBdr>
    </w:div>
    <w:div w:id="1664816438">
      <w:bodyDiv w:val="1"/>
      <w:marLeft w:val="0"/>
      <w:marRight w:val="0"/>
      <w:marTop w:val="0"/>
      <w:marBottom w:val="0"/>
      <w:divBdr>
        <w:top w:val="none" w:sz="0" w:space="0" w:color="auto"/>
        <w:left w:val="none" w:sz="0" w:space="0" w:color="auto"/>
        <w:bottom w:val="none" w:sz="0" w:space="0" w:color="auto"/>
        <w:right w:val="none" w:sz="0" w:space="0" w:color="auto"/>
      </w:divBdr>
    </w:div>
    <w:div w:id="18438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0.xml"/><Relationship Id="rId21" Type="http://schemas.openxmlformats.org/officeDocument/2006/relationships/header" Target="header7.xml"/><Relationship Id="rId34" Type="http://schemas.openxmlformats.org/officeDocument/2006/relationships/hyperlink" Target="mailto:mkurtz@BKLlawfirm.com" TargetMode="External"/><Relationship Id="rId42" Type="http://schemas.openxmlformats.org/officeDocument/2006/relationships/footer" Target="footer11.xml"/><Relationship Id="rId47" Type="http://schemas.openxmlformats.org/officeDocument/2006/relationships/hyperlink" Target="mailto:bojko@carpenterlipps.com" TargetMode="External"/><Relationship Id="rId50" Type="http://schemas.openxmlformats.org/officeDocument/2006/relationships/hyperlink" Target="mailto:Steven.Beeler@puc.state.oh.us" TargetMode="External"/><Relationship Id="rId55" Type="http://schemas.openxmlformats.org/officeDocument/2006/relationships/hyperlink" Target="mailto:yalami@aep.com" TargetMode="External"/><Relationship Id="rId63" Type="http://schemas.openxmlformats.org/officeDocument/2006/relationships/header" Target="header1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mailto:Jeanne.kingery@duke-energy.com" TargetMode="External"/><Relationship Id="rId41" Type="http://schemas.openxmlformats.org/officeDocument/2006/relationships/header" Target="header11.xml"/><Relationship Id="rId54" Type="http://schemas.openxmlformats.org/officeDocument/2006/relationships/hyperlink" Target="mailto:mjsatterwhite@aep.com" TargetMode="External"/><Relationship Id="rId62"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mailto:jkylercohn@BKLlawfirm.com" TargetMode="External"/><Relationship Id="rId37" Type="http://schemas.openxmlformats.org/officeDocument/2006/relationships/hyperlink" Target="mailto:jmcdermott@firstenergycorp.com" TargetMode="External"/><Relationship Id="rId40" Type="http://schemas.openxmlformats.org/officeDocument/2006/relationships/footer" Target="footer10.xml"/><Relationship Id="rId45" Type="http://schemas.openxmlformats.org/officeDocument/2006/relationships/hyperlink" Target="mailto:Edmund.berger@occ.ohio.gov" TargetMode="External"/><Relationship Id="rId53" Type="http://schemas.openxmlformats.org/officeDocument/2006/relationships/hyperlink" Target="mailto:stnourse@aep.com" TargetMode="External"/><Relationship Id="rId58" Type="http://schemas.openxmlformats.org/officeDocument/2006/relationships/header" Target="header13.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mailto:Rocco.dascenzo@duke-energy.com" TargetMode="External"/><Relationship Id="rId36" Type="http://schemas.openxmlformats.org/officeDocument/2006/relationships/hyperlink" Target="mailto:scasto@firstenergycorp.com" TargetMode="External"/><Relationship Id="rId49" Type="http://schemas.openxmlformats.org/officeDocument/2006/relationships/hyperlink" Target="mailto:joliker@igsenergy.com" TargetMode="External"/><Relationship Id="rId57" Type="http://schemas.openxmlformats.org/officeDocument/2006/relationships/footer" Target="footer12.xml"/><Relationship Id="rId61"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Dianne.Kuhnell@duke-energy.com" TargetMode="External"/><Relationship Id="rId44" Type="http://schemas.openxmlformats.org/officeDocument/2006/relationships/hyperlink" Target="mailto:Joseph.serio@occ.ohio.gov" TargetMode="External"/><Relationship Id="rId52" Type="http://schemas.openxmlformats.org/officeDocument/2006/relationships/hyperlink" Target="mailto:Ryan.Orourke@puc.state.oh.us" TargetMode="External"/><Relationship Id="rId60" Type="http://schemas.openxmlformats.org/officeDocument/2006/relationships/hyperlink" Target="mailto:bchisling@stblaw.com"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mailto:Amy.Spiller@duke-energy.com" TargetMode="External"/><Relationship Id="rId30" Type="http://schemas.openxmlformats.org/officeDocument/2006/relationships/hyperlink" Target="mailto:Elizabeth.watts@duke-energy.com" TargetMode="External"/><Relationship Id="rId35" Type="http://schemas.openxmlformats.org/officeDocument/2006/relationships/hyperlink" Target="mailto:haydenm@firstenergycorp.com" TargetMode="External"/><Relationship Id="rId43" Type="http://schemas.openxmlformats.org/officeDocument/2006/relationships/hyperlink" Target="mailto:Maureen.grady@occ.ohio.gov" TargetMode="External"/><Relationship Id="rId48" Type="http://schemas.openxmlformats.org/officeDocument/2006/relationships/hyperlink" Target="mailto:Allison@carpenterlipps.com" TargetMode="External"/><Relationship Id="rId56" Type="http://schemas.openxmlformats.org/officeDocument/2006/relationships/header" Target="header12.xml"/><Relationship Id="rId64"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hyperlink" Target="mailto:Thomas.Lindgren@puc.state.oh"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mailto:dboehm@BKLlawfirm.com" TargetMode="External"/><Relationship Id="rId38" Type="http://schemas.openxmlformats.org/officeDocument/2006/relationships/hyperlink" Target="mailto:Schmidt@sppgrp.com" TargetMode="External"/><Relationship Id="rId46" Type="http://schemas.openxmlformats.org/officeDocument/2006/relationships/hyperlink" Target="mailto:Judi.sobecki@aes.com" TargetMode="External"/><Relationship Id="rId59"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94A0-C3E7-4274-A201-D5D48353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3300</TotalTime>
  <Pages>1</Pages>
  <Words>16037</Words>
  <Characters>89406</Characters>
  <Application>Microsoft Office Word</Application>
  <DocSecurity>0</DocSecurity>
  <PresentationFormat>14|.DOCX</PresentationFormat>
  <Lines>1826</Lines>
  <Paragraphs>543</Paragraphs>
  <ScaleCrop>false</ScaleCrop>
  <HeadingPairs>
    <vt:vector size="2" baseType="variant">
      <vt:variant>
        <vt:lpstr>Title</vt:lpstr>
      </vt:variant>
      <vt:variant>
        <vt:i4>1</vt:i4>
      </vt:variant>
    </vt:vector>
  </HeadingPairs>
  <TitlesOfParts>
    <vt:vector size="1" baseType="lpstr">
      <vt:lpstr>Duke  ESP Case No. 14-841 application for rehearing (C47034-7).DOCX</vt:lpstr>
    </vt:vector>
  </TitlesOfParts>
  <Company/>
  <LinksUpToDate>false</LinksUpToDate>
  <CharactersWithSpaces>105378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ESP Case No. 14-841 application for rehearing (C47206).PDF</dc:title>
  <dc:subject>C47206: /font=8</dc:subject>
  <dc:creator>_</dc:creator>
  <cp:keywords/>
  <dc:description/>
  <cp:lastModifiedBy>Renee Gannon</cp:lastModifiedBy>
  <cp:revision>123</cp:revision>
  <cp:lastPrinted>2015-05-04T18:51:00Z</cp:lastPrinted>
  <dcterms:created xsi:type="dcterms:W3CDTF">2015-04-10T14:11:00Z</dcterms:created>
  <dcterms:modified xsi:type="dcterms:W3CDTF">2015-05-04T18:51:00Z</dcterms:modified>
</cp:coreProperties>
</file>