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90" w:rsidRPr="007420E6" w:rsidRDefault="00292490" w:rsidP="00292490">
      <w:pPr>
        <w:jc w:val="center"/>
        <w:rPr>
          <w:rFonts w:ascii="Times New Roman" w:hAnsi="Times New Roman"/>
          <w:b/>
          <w:bCs/>
          <w:sz w:val="26"/>
          <w:szCs w:val="26"/>
        </w:rPr>
      </w:pPr>
      <w:r w:rsidRPr="007420E6">
        <w:rPr>
          <w:rFonts w:ascii="Times New Roman" w:hAnsi="Times New Roman"/>
          <w:b/>
          <w:bCs/>
          <w:sz w:val="26"/>
          <w:szCs w:val="26"/>
        </w:rPr>
        <w:t>UNITED STATES OF AMERICA</w:t>
      </w:r>
    </w:p>
    <w:p w:rsidR="00292490" w:rsidRPr="007420E6" w:rsidRDefault="00292490" w:rsidP="00292490">
      <w:pPr>
        <w:jc w:val="center"/>
        <w:rPr>
          <w:rFonts w:ascii="Times New Roman" w:hAnsi="Times New Roman"/>
          <w:b/>
          <w:bCs/>
          <w:sz w:val="26"/>
          <w:szCs w:val="26"/>
        </w:rPr>
      </w:pPr>
      <w:r w:rsidRPr="007420E6">
        <w:rPr>
          <w:rFonts w:ascii="Times New Roman" w:hAnsi="Times New Roman"/>
          <w:b/>
          <w:bCs/>
          <w:sz w:val="26"/>
          <w:szCs w:val="26"/>
        </w:rPr>
        <w:t>BEFORE THE</w:t>
      </w:r>
    </w:p>
    <w:p w:rsidR="00292490" w:rsidRPr="007420E6" w:rsidRDefault="00292490" w:rsidP="00292490">
      <w:pPr>
        <w:jc w:val="center"/>
        <w:rPr>
          <w:rFonts w:ascii="Times New Roman" w:hAnsi="Times New Roman"/>
          <w:b/>
          <w:bCs/>
          <w:sz w:val="26"/>
          <w:szCs w:val="26"/>
        </w:rPr>
      </w:pPr>
      <w:r w:rsidRPr="007420E6">
        <w:rPr>
          <w:rFonts w:ascii="Times New Roman" w:hAnsi="Times New Roman"/>
          <w:b/>
          <w:bCs/>
          <w:sz w:val="26"/>
          <w:szCs w:val="26"/>
        </w:rPr>
        <w:t>FEDERAL ENERGY REGULATORY COMMISSION</w:t>
      </w:r>
    </w:p>
    <w:p w:rsidR="00292490" w:rsidRPr="007420E6" w:rsidRDefault="00292490" w:rsidP="00292490">
      <w:pPr>
        <w:jc w:val="center"/>
        <w:rPr>
          <w:rFonts w:ascii="Times New Roman" w:hAnsi="Times New Roman"/>
          <w:bCs/>
          <w:sz w:val="26"/>
          <w:szCs w:val="26"/>
        </w:rPr>
      </w:pPr>
    </w:p>
    <w:p w:rsidR="00292490" w:rsidRPr="007420E6" w:rsidRDefault="00292490" w:rsidP="00292490">
      <w:pPr>
        <w:jc w:val="center"/>
        <w:rPr>
          <w:rFonts w:ascii="Times New Roman" w:hAnsi="Times New Roman"/>
          <w:bCs/>
          <w:sz w:val="26"/>
          <w:szCs w:val="26"/>
        </w:rPr>
      </w:pPr>
    </w:p>
    <w:tbl>
      <w:tblPr>
        <w:tblW w:w="0" w:type="auto"/>
        <w:tblLook w:val="04A0" w:firstRow="1" w:lastRow="0" w:firstColumn="1" w:lastColumn="0" w:noHBand="0" w:noVBand="1"/>
      </w:tblPr>
      <w:tblGrid>
        <w:gridCol w:w="4691"/>
        <w:gridCol w:w="289"/>
        <w:gridCol w:w="4596"/>
      </w:tblGrid>
      <w:tr w:rsidR="009118DC" w:rsidRPr="00673D8A" w:rsidTr="00673D8A">
        <w:tc>
          <w:tcPr>
            <w:tcW w:w="4698" w:type="dxa"/>
            <w:shd w:val="clear" w:color="auto" w:fill="auto"/>
          </w:tcPr>
          <w:p w:rsidR="007420E6" w:rsidRPr="00673D8A" w:rsidRDefault="007420E6" w:rsidP="007420E6">
            <w:pPr>
              <w:rPr>
                <w:rFonts w:ascii="Times New Roman" w:hAnsi="Times New Roman"/>
                <w:bCs/>
                <w:sz w:val="26"/>
                <w:szCs w:val="26"/>
              </w:rPr>
            </w:pPr>
            <w:r w:rsidRPr="00673D8A">
              <w:rPr>
                <w:rFonts w:ascii="Times New Roman" w:hAnsi="Times New Roman"/>
                <w:bCs/>
                <w:sz w:val="26"/>
                <w:szCs w:val="26"/>
              </w:rPr>
              <w:t>American Electric Power Service</w:t>
            </w:r>
            <w:r w:rsidR="00F61CD5">
              <w:rPr>
                <w:rFonts w:ascii="Times New Roman" w:hAnsi="Times New Roman"/>
                <w:bCs/>
                <w:sz w:val="26"/>
                <w:szCs w:val="26"/>
              </w:rPr>
              <w:br/>
              <w:t xml:space="preserve">  </w:t>
            </w:r>
            <w:r w:rsidRPr="00673D8A">
              <w:rPr>
                <w:rFonts w:ascii="Times New Roman" w:hAnsi="Times New Roman"/>
                <w:bCs/>
                <w:sz w:val="26"/>
                <w:szCs w:val="26"/>
              </w:rPr>
              <w:t>Corporation</w:t>
            </w:r>
          </w:p>
          <w:p w:rsidR="007420E6" w:rsidRPr="00673D8A" w:rsidRDefault="007420E6" w:rsidP="007420E6">
            <w:pPr>
              <w:rPr>
                <w:rFonts w:ascii="Times New Roman" w:hAnsi="Times New Roman"/>
                <w:bCs/>
                <w:sz w:val="26"/>
                <w:szCs w:val="26"/>
              </w:rPr>
            </w:pPr>
          </w:p>
          <w:p w:rsidR="007420E6" w:rsidRPr="00673D8A" w:rsidRDefault="007420E6" w:rsidP="00673D8A">
            <w:pPr>
              <w:tabs>
                <w:tab w:val="left" w:pos="2130"/>
              </w:tabs>
              <w:rPr>
                <w:rFonts w:ascii="Times New Roman" w:hAnsi="Times New Roman"/>
                <w:bCs/>
                <w:sz w:val="26"/>
                <w:szCs w:val="26"/>
              </w:rPr>
            </w:pPr>
            <w:r w:rsidRPr="00673D8A">
              <w:rPr>
                <w:rFonts w:ascii="Times New Roman" w:hAnsi="Times New Roman"/>
                <w:bCs/>
                <w:sz w:val="26"/>
                <w:szCs w:val="26"/>
              </w:rPr>
              <w:tab/>
              <w:t>v.</w:t>
            </w:r>
          </w:p>
          <w:p w:rsidR="007420E6" w:rsidRPr="00673D8A" w:rsidRDefault="007420E6" w:rsidP="00673D8A">
            <w:pPr>
              <w:tabs>
                <w:tab w:val="left" w:pos="2130"/>
              </w:tabs>
              <w:rPr>
                <w:rFonts w:ascii="Times New Roman" w:hAnsi="Times New Roman"/>
                <w:bCs/>
                <w:sz w:val="26"/>
                <w:szCs w:val="26"/>
              </w:rPr>
            </w:pPr>
          </w:p>
          <w:p w:rsidR="007420E6" w:rsidRPr="00673D8A" w:rsidRDefault="007420E6" w:rsidP="00673D8A">
            <w:pPr>
              <w:tabs>
                <w:tab w:val="left" w:pos="2130"/>
              </w:tabs>
              <w:rPr>
                <w:rFonts w:ascii="Times New Roman" w:hAnsi="Times New Roman"/>
                <w:bCs/>
                <w:sz w:val="26"/>
                <w:szCs w:val="26"/>
              </w:rPr>
            </w:pPr>
            <w:r w:rsidRPr="00673D8A">
              <w:rPr>
                <w:rFonts w:ascii="Times New Roman" w:hAnsi="Times New Roman"/>
                <w:bCs/>
                <w:sz w:val="26"/>
                <w:szCs w:val="26"/>
              </w:rPr>
              <w:t>PJM Interconnection, L.L.C.</w:t>
            </w:r>
          </w:p>
        </w:tc>
        <w:tc>
          <w:tcPr>
            <w:tcW w:w="270" w:type="dxa"/>
            <w:shd w:val="clear" w:color="auto" w:fill="auto"/>
          </w:tcPr>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tc>
        <w:tc>
          <w:tcPr>
            <w:tcW w:w="4608" w:type="dxa"/>
            <w:shd w:val="clear" w:color="auto" w:fill="auto"/>
          </w:tcPr>
          <w:p w:rsidR="007420E6" w:rsidRPr="00673D8A" w:rsidRDefault="007420E6" w:rsidP="007420E6">
            <w:pPr>
              <w:rPr>
                <w:rFonts w:ascii="Times New Roman" w:hAnsi="Times New Roman"/>
                <w:bCs/>
                <w:sz w:val="26"/>
                <w:szCs w:val="26"/>
              </w:rPr>
            </w:pPr>
          </w:p>
          <w:p w:rsidR="007420E6" w:rsidRPr="00673D8A" w:rsidRDefault="007420E6" w:rsidP="007420E6">
            <w:pPr>
              <w:rPr>
                <w:rFonts w:ascii="Times New Roman" w:hAnsi="Times New Roman"/>
                <w:bCs/>
                <w:sz w:val="26"/>
                <w:szCs w:val="26"/>
              </w:rPr>
            </w:pPr>
          </w:p>
          <w:p w:rsidR="007420E6" w:rsidRPr="00673D8A" w:rsidRDefault="007420E6" w:rsidP="007420E6">
            <w:pPr>
              <w:rPr>
                <w:rFonts w:ascii="Times New Roman" w:hAnsi="Times New Roman"/>
                <w:bCs/>
                <w:sz w:val="26"/>
                <w:szCs w:val="26"/>
              </w:rPr>
            </w:pPr>
            <w:r w:rsidRPr="00673D8A">
              <w:rPr>
                <w:rFonts w:ascii="Times New Roman" w:hAnsi="Times New Roman"/>
                <w:bCs/>
                <w:sz w:val="26"/>
                <w:szCs w:val="26"/>
              </w:rPr>
              <w:t>Docket No. EL11-32-000</w:t>
            </w:r>
          </w:p>
        </w:tc>
      </w:tr>
    </w:tbl>
    <w:p w:rsidR="0042772C" w:rsidRPr="007420E6" w:rsidRDefault="0042772C" w:rsidP="00292490">
      <w:pPr>
        <w:jc w:val="center"/>
        <w:rPr>
          <w:rFonts w:ascii="Times New Roman" w:hAnsi="Times New Roman"/>
          <w:bCs/>
          <w:sz w:val="26"/>
          <w:szCs w:val="26"/>
        </w:rPr>
      </w:pPr>
    </w:p>
    <w:p w:rsidR="0042772C" w:rsidRDefault="0042772C" w:rsidP="0042772C">
      <w:pPr>
        <w:rPr>
          <w:rFonts w:ascii="Times New Roman" w:hAnsi="Times New Roman"/>
          <w:sz w:val="26"/>
          <w:szCs w:val="26"/>
        </w:rPr>
      </w:pPr>
    </w:p>
    <w:p w:rsidR="00673D8A" w:rsidRDefault="00673D8A" w:rsidP="0042772C">
      <w:pPr>
        <w:rPr>
          <w:rFonts w:ascii="Times New Roman" w:hAnsi="Times New Roman"/>
          <w:sz w:val="26"/>
          <w:szCs w:val="26"/>
        </w:rPr>
      </w:pPr>
    </w:p>
    <w:p w:rsidR="00673D8A" w:rsidRDefault="00673D8A" w:rsidP="0042772C">
      <w:pPr>
        <w:rPr>
          <w:rFonts w:ascii="Times New Roman" w:hAnsi="Times New Roman"/>
          <w:sz w:val="26"/>
          <w:szCs w:val="26"/>
        </w:rPr>
      </w:pPr>
    </w:p>
    <w:p w:rsidR="00673D8A" w:rsidRDefault="00673D8A" w:rsidP="0042772C">
      <w:pPr>
        <w:rPr>
          <w:rFonts w:ascii="Times New Roman" w:hAnsi="Times New Roman"/>
          <w:sz w:val="26"/>
          <w:szCs w:val="26"/>
        </w:rPr>
      </w:pPr>
    </w:p>
    <w:p w:rsidR="00853A46" w:rsidRDefault="00853A46" w:rsidP="003753CF">
      <w:pPr>
        <w:tabs>
          <w:tab w:val="left" w:pos="9360"/>
        </w:tabs>
        <w:spacing w:after="240"/>
        <w:rPr>
          <w:rFonts w:ascii="Times New Roman" w:hAnsi="Times New Roman"/>
          <w:sz w:val="26"/>
          <w:szCs w:val="26"/>
          <w:u w:val="single"/>
        </w:rPr>
      </w:pPr>
    </w:p>
    <w:p w:rsidR="00853A46" w:rsidRDefault="00853A46" w:rsidP="003753CF">
      <w:pPr>
        <w:tabs>
          <w:tab w:val="left" w:pos="9360"/>
        </w:tabs>
        <w:spacing w:after="240"/>
        <w:rPr>
          <w:rFonts w:ascii="Times New Roman" w:hAnsi="Times New Roman"/>
          <w:sz w:val="26"/>
          <w:szCs w:val="26"/>
          <w:u w:val="single"/>
        </w:rPr>
      </w:pPr>
    </w:p>
    <w:p w:rsidR="00853A46" w:rsidRDefault="00853A46" w:rsidP="003753CF">
      <w:pPr>
        <w:tabs>
          <w:tab w:val="left" w:pos="9360"/>
        </w:tabs>
        <w:spacing w:after="240"/>
        <w:rPr>
          <w:rFonts w:ascii="Times New Roman" w:hAnsi="Times New Roman"/>
          <w:sz w:val="26"/>
          <w:szCs w:val="26"/>
          <w:u w:val="single"/>
        </w:rPr>
      </w:pPr>
    </w:p>
    <w:p w:rsidR="003753CF"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3753CF" w:rsidRPr="003753CF" w:rsidRDefault="003753CF" w:rsidP="003753CF">
      <w:pPr>
        <w:jc w:val="center"/>
        <w:rPr>
          <w:rFonts w:ascii="Times New Roman" w:hAnsi="Times New Roman"/>
          <w:b/>
          <w:sz w:val="32"/>
          <w:szCs w:val="32"/>
        </w:rPr>
      </w:pPr>
      <w:r w:rsidRPr="003753CF">
        <w:rPr>
          <w:rFonts w:ascii="Times New Roman" w:hAnsi="Times New Roman"/>
          <w:b/>
          <w:sz w:val="32"/>
          <w:szCs w:val="32"/>
        </w:rPr>
        <w:t>PROTEST</w:t>
      </w:r>
    </w:p>
    <w:p w:rsidR="003753CF" w:rsidRPr="003753CF" w:rsidRDefault="003753CF" w:rsidP="003753CF">
      <w:pPr>
        <w:jc w:val="center"/>
        <w:rPr>
          <w:rFonts w:ascii="Times New Roman" w:hAnsi="Times New Roman"/>
          <w:b/>
          <w:sz w:val="28"/>
          <w:szCs w:val="28"/>
        </w:rPr>
      </w:pPr>
      <w:r w:rsidRPr="003753CF">
        <w:rPr>
          <w:rFonts w:ascii="Times New Roman" w:hAnsi="Times New Roman"/>
          <w:b/>
          <w:sz w:val="28"/>
          <w:szCs w:val="28"/>
        </w:rPr>
        <w:t>SUBMITTED ON BEHALF OF</w:t>
      </w:r>
    </w:p>
    <w:p w:rsidR="003753CF" w:rsidRDefault="003753CF" w:rsidP="003753CF">
      <w:pPr>
        <w:jc w:val="center"/>
        <w:rPr>
          <w:rFonts w:ascii="Times New Roman" w:hAnsi="Times New Roman"/>
          <w:b/>
          <w:sz w:val="28"/>
          <w:szCs w:val="28"/>
        </w:rPr>
      </w:pPr>
      <w:r w:rsidRPr="003753CF">
        <w:rPr>
          <w:rFonts w:ascii="Times New Roman" w:hAnsi="Times New Roman"/>
          <w:b/>
          <w:sz w:val="28"/>
          <w:szCs w:val="28"/>
        </w:rPr>
        <w:t>THE PUBLIC UTILITIES COMMISSION OF OHIO</w:t>
      </w:r>
    </w:p>
    <w:p w:rsidR="003753CF"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3753CF" w:rsidRDefault="003753CF" w:rsidP="00673D8A"/>
    <w:p w:rsidR="003753CF" w:rsidRDefault="003753CF" w:rsidP="00673D8A"/>
    <w:p w:rsidR="003753CF" w:rsidRDefault="003753CF" w:rsidP="00673D8A"/>
    <w:p w:rsidR="00673D8A" w:rsidRDefault="00673D8A" w:rsidP="00673D8A"/>
    <w:p w:rsidR="00673D8A" w:rsidRDefault="00673D8A" w:rsidP="00673D8A"/>
    <w:p w:rsidR="00673D8A" w:rsidRDefault="00673D8A" w:rsidP="00673D8A"/>
    <w:p w:rsidR="00673D8A" w:rsidRDefault="00673D8A" w:rsidP="00673D8A"/>
    <w:p w:rsidR="00673D8A" w:rsidRDefault="00673D8A" w:rsidP="00673D8A"/>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Pr="00673D8A" w:rsidRDefault="00673D8A" w:rsidP="00673D8A">
      <w:pPr>
        <w:jc w:val="center"/>
        <w:rPr>
          <w:rFonts w:ascii="Times New Roman" w:hAnsi="Times New Roman"/>
          <w:b/>
          <w:sz w:val="26"/>
          <w:szCs w:val="26"/>
        </w:rPr>
      </w:pPr>
      <w:r w:rsidRPr="00673D8A">
        <w:rPr>
          <w:rFonts w:ascii="Times New Roman" w:hAnsi="Times New Roman"/>
          <w:b/>
          <w:sz w:val="26"/>
          <w:szCs w:val="26"/>
        </w:rPr>
        <w:t>April 25, 2011</w:t>
      </w:r>
    </w:p>
    <w:p w:rsidR="00673D8A" w:rsidRPr="00673D8A" w:rsidRDefault="00673D8A" w:rsidP="00673D8A">
      <w:pPr>
        <w:jc w:val="center"/>
        <w:sectPr w:rsidR="00673D8A" w:rsidRPr="00673D8A" w:rsidSect="007420E6">
          <w:headerReference w:type="default" r:id="rId9"/>
          <w:footerReference w:type="default" r:id="rId10"/>
          <w:pgSz w:w="12240" w:h="15840"/>
          <w:pgMar w:top="1440" w:right="1440" w:bottom="1440" w:left="1440" w:header="720" w:footer="720" w:gutter="0"/>
          <w:cols w:space="720"/>
          <w:titlePg/>
          <w:docGrid w:linePitch="360"/>
        </w:sectPr>
      </w:pPr>
    </w:p>
    <w:p w:rsidR="009B6A18" w:rsidRDefault="00CE0704">
      <w:pPr>
        <w:pStyle w:val="TOC1"/>
        <w:rPr>
          <w:rFonts w:asciiTheme="minorHAnsi" w:eastAsiaTheme="minorEastAsia" w:hAnsiTheme="minorHAnsi" w:cstheme="minorBidi"/>
          <w:noProof/>
          <w:sz w:val="22"/>
          <w:szCs w:val="22"/>
        </w:rPr>
      </w:pPr>
      <w:r>
        <w:rPr>
          <w:szCs w:val="26"/>
        </w:rPr>
        <w:lastRenderedPageBreak/>
        <w:fldChar w:fldCharType="begin"/>
      </w:r>
      <w:r w:rsidR="009118DC">
        <w:rPr>
          <w:szCs w:val="26"/>
        </w:rPr>
        <w:instrText xml:space="preserve"> TOC \o "1-5" \u </w:instrText>
      </w:r>
      <w:r>
        <w:rPr>
          <w:szCs w:val="26"/>
        </w:rPr>
        <w:fldChar w:fldCharType="separate"/>
      </w:r>
      <w:bookmarkStart w:id="0" w:name="_GoBack"/>
      <w:bookmarkEnd w:id="0"/>
      <w:r w:rsidR="009B6A18">
        <w:rPr>
          <w:noProof/>
        </w:rPr>
        <w:t>INTRODUCTION</w:t>
      </w:r>
      <w:r w:rsidR="009B6A18">
        <w:rPr>
          <w:noProof/>
        </w:rPr>
        <w:tab/>
      </w:r>
      <w:r w:rsidR="009B6A18">
        <w:rPr>
          <w:noProof/>
        </w:rPr>
        <w:fldChar w:fldCharType="begin"/>
      </w:r>
      <w:r w:rsidR="009B6A18">
        <w:rPr>
          <w:noProof/>
        </w:rPr>
        <w:instrText xml:space="preserve"> PAGEREF _Toc291496430 \h </w:instrText>
      </w:r>
      <w:r w:rsidR="009B6A18">
        <w:rPr>
          <w:noProof/>
        </w:rPr>
      </w:r>
      <w:r w:rsidR="009B6A18">
        <w:rPr>
          <w:noProof/>
        </w:rPr>
        <w:fldChar w:fldCharType="separate"/>
      </w:r>
      <w:r w:rsidR="006E0C52">
        <w:rPr>
          <w:noProof/>
        </w:rPr>
        <w:t>1</w:t>
      </w:r>
      <w:r w:rsidR="009B6A18">
        <w:rPr>
          <w:noProof/>
        </w:rPr>
        <w:fldChar w:fldCharType="end"/>
      </w:r>
    </w:p>
    <w:p w:rsidR="009B6A18" w:rsidRDefault="009B6A18">
      <w:pPr>
        <w:pStyle w:val="TOC1"/>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_Toc291496431 \h </w:instrText>
      </w:r>
      <w:r>
        <w:rPr>
          <w:noProof/>
        </w:rPr>
      </w:r>
      <w:r>
        <w:rPr>
          <w:noProof/>
        </w:rPr>
        <w:fldChar w:fldCharType="separate"/>
      </w:r>
      <w:r w:rsidR="006E0C52">
        <w:rPr>
          <w:noProof/>
        </w:rPr>
        <w:t>2</w:t>
      </w:r>
      <w:r>
        <w:rPr>
          <w:noProof/>
        </w:rPr>
        <w:fldChar w:fldCharType="end"/>
      </w:r>
    </w:p>
    <w:p w:rsidR="009B6A18" w:rsidRDefault="009B6A18">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_Toc291496432 \h </w:instrText>
      </w:r>
      <w:r>
        <w:rPr>
          <w:noProof/>
        </w:rPr>
      </w:r>
      <w:r>
        <w:rPr>
          <w:noProof/>
        </w:rPr>
        <w:fldChar w:fldCharType="separate"/>
      </w:r>
      <w:r w:rsidR="006E0C52">
        <w:rPr>
          <w:noProof/>
        </w:rPr>
        <w:t>2</w:t>
      </w:r>
      <w:r>
        <w:rPr>
          <w:noProof/>
        </w:rPr>
        <w:fldChar w:fldCharType="end"/>
      </w:r>
    </w:p>
    <w:p w:rsidR="009B6A18" w:rsidRDefault="009B6A18">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FERC’s decision in ER11-2183 is dispositive.</w:t>
      </w:r>
      <w:r>
        <w:rPr>
          <w:noProof/>
        </w:rPr>
        <w:tab/>
      </w:r>
      <w:r>
        <w:rPr>
          <w:noProof/>
        </w:rPr>
        <w:fldChar w:fldCharType="begin"/>
      </w:r>
      <w:r>
        <w:rPr>
          <w:noProof/>
        </w:rPr>
        <w:instrText xml:space="preserve"> PAGEREF _Toc291496433 \h </w:instrText>
      </w:r>
      <w:r>
        <w:rPr>
          <w:noProof/>
        </w:rPr>
      </w:r>
      <w:r>
        <w:rPr>
          <w:noProof/>
        </w:rPr>
        <w:fldChar w:fldCharType="separate"/>
      </w:r>
      <w:r w:rsidR="006E0C52">
        <w:rPr>
          <w:noProof/>
        </w:rPr>
        <w:t>2</w:t>
      </w:r>
      <w:r>
        <w:rPr>
          <w:noProof/>
        </w:rPr>
        <w:fldChar w:fldCharType="end"/>
      </w:r>
    </w:p>
    <w:p w:rsidR="009B6A18" w:rsidRDefault="009B6A18">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Ohio Commission is uniquely positioned to analyze the problem.</w:t>
      </w:r>
      <w:r>
        <w:rPr>
          <w:noProof/>
        </w:rPr>
        <w:tab/>
      </w:r>
      <w:r>
        <w:rPr>
          <w:noProof/>
        </w:rPr>
        <w:fldChar w:fldCharType="begin"/>
      </w:r>
      <w:r>
        <w:rPr>
          <w:noProof/>
        </w:rPr>
        <w:instrText xml:space="preserve"> PAGEREF _Toc291496434 \h </w:instrText>
      </w:r>
      <w:r>
        <w:rPr>
          <w:noProof/>
        </w:rPr>
      </w:r>
      <w:r>
        <w:rPr>
          <w:noProof/>
        </w:rPr>
        <w:fldChar w:fldCharType="separate"/>
      </w:r>
      <w:r w:rsidR="006E0C52">
        <w:rPr>
          <w:noProof/>
        </w:rPr>
        <w:t>5</w:t>
      </w:r>
      <w:r>
        <w:rPr>
          <w:noProof/>
        </w:rPr>
        <w:fldChar w:fldCharType="end"/>
      </w:r>
    </w:p>
    <w:p w:rsidR="009B6A18" w:rsidRDefault="009B6A18">
      <w:pPr>
        <w:pStyle w:val="TOC2"/>
        <w:tabs>
          <w:tab w:val="left" w:pos="1440"/>
        </w:tabs>
        <w:rPr>
          <w:rFonts w:asciiTheme="minorHAnsi" w:eastAsiaTheme="minorEastAsia" w:hAnsiTheme="minorHAnsi" w:cstheme="minorBidi"/>
          <w:noProof/>
          <w:sz w:val="22"/>
          <w:szCs w:val="22"/>
        </w:rPr>
      </w:pPr>
      <w:r>
        <w:rPr>
          <w:noProof/>
        </w:rPr>
        <w:t xml:space="preserve">C. </w:t>
      </w:r>
      <w:r>
        <w:rPr>
          <w:rFonts w:asciiTheme="minorHAnsi" w:eastAsiaTheme="minorEastAsia" w:hAnsiTheme="minorHAnsi" w:cstheme="minorBidi"/>
          <w:noProof/>
          <w:sz w:val="22"/>
          <w:szCs w:val="22"/>
        </w:rPr>
        <w:tab/>
      </w:r>
      <w:r>
        <w:rPr>
          <w:noProof/>
        </w:rPr>
        <w:t>The Ohio Commission has two current proceedings that will address the problem.</w:t>
      </w:r>
      <w:r>
        <w:rPr>
          <w:noProof/>
        </w:rPr>
        <w:tab/>
      </w:r>
      <w:r>
        <w:rPr>
          <w:noProof/>
        </w:rPr>
        <w:fldChar w:fldCharType="begin"/>
      </w:r>
      <w:r>
        <w:rPr>
          <w:noProof/>
        </w:rPr>
        <w:instrText xml:space="preserve"> PAGEREF _Toc291496435 \h </w:instrText>
      </w:r>
      <w:r>
        <w:rPr>
          <w:noProof/>
        </w:rPr>
      </w:r>
      <w:r>
        <w:rPr>
          <w:noProof/>
        </w:rPr>
        <w:fldChar w:fldCharType="separate"/>
      </w:r>
      <w:r w:rsidR="006E0C52">
        <w:rPr>
          <w:noProof/>
        </w:rPr>
        <w:t>7</w:t>
      </w:r>
      <w:r>
        <w:rPr>
          <w:noProof/>
        </w:rPr>
        <w:fldChar w:fldCharType="end"/>
      </w:r>
    </w:p>
    <w:p w:rsidR="009B6A18" w:rsidRDefault="009B6A18">
      <w:pPr>
        <w:pStyle w:val="TOC2"/>
        <w:tabs>
          <w:tab w:val="left" w:pos="1440"/>
        </w:tabs>
        <w:rPr>
          <w:rFonts w:asciiTheme="minorHAnsi" w:eastAsiaTheme="minorEastAsia" w:hAnsiTheme="minorHAnsi" w:cstheme="minorBidi"/>
          <w:noProof/>
          <w:sz w:val="22"/>
          <w:szCs w:val="22"/>
        </w:rPr>
      </w:pPr>
      <w:r>
        <w:rPr>
          <w:noProof/>
        </w:rPr>
        <w:t xml:space="preserve">D. </w:t>
      </w:r>
      <w:r>
        <w:rPr>
          <w:rFonts w:asciiTheme="minorHAnsi" w:eastAsiaTheme="minorEastAsia" w:hAnsiTheme="minorHAnsi" w:cstheme="minorBidi"/>
          <w:noProof/>
          <w:sz w:val="22"/>
          <w:szCs w:val="22"/>
        </w:rPr>
        <w:tab/>
      </w:r>
      <w:r>
        <w:rPr>
          <w:noProof/>
        </w:rPr>
        <w:t>The proposed tariff amendments must be rejected.</w:t>
      </w:r>
      <w:r>
        <w:rPr>
          <w:noProof/>
        </w:rPr>
        <w:tab/>
      </w:r>
      <w:r>
        <w:rPr>
          <w:noProof/>
        </w:rPr>
        <w:fldChar w:fldCharType="begin"/>
      </w:r>
      <w:r>
        <w:rPr>
          <w:noProof/>
        </w:rPr>
        <w:instrText xml:space="preserve"> PAGEREF _Toc291496436 \h </w:instrText>
      </w:r>
      <w:r>
        <w:rPr>
          <w:noProof/>
        </w:rPr>
      </w:r>
      <w:r>
        <w:rPr>
          <w:noProof/>
        </w:rPr>
        <w:fldChar w:fldCharType="separate"/>
      </w:r>
      <w:r w:rsidR="006E0C52">
        <w:rPr>
          <w:noProof/>
        </w:rPr>
        <w:t>9</w:t>
      </w:r>
      <w:r>
        <w:rPr>
          <w:noProof/>
        </w:rPr>
        <w:fldChar w:fldCharType="end"/>
      </w:r>
    </w:p>
    <w:p w:rsidR="009B6A18" w:rsidRDefault="009B6A18">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_Toc291496437 \h </w:instrText>
      </w:r>
      <w:r>
        <w:rPr>
          <w:noProof/>
        </w:rPr>
      </w:r>
      <w:r>
        <w:rPr>
          <w:noProof/>
        </w:rPr>
        <w:fldChar w:fldCharType="separate"/>
      </w:r>
      <w:r w:rsidR="006E0C52">
        <w:rPr>
          <w:noProof/>
        </w:rPr>
        <w:t>11</w:t>
      </w:r>
      <w:r>
        <w:rPr>
          <w:noProof/>
        </w:rPr>
        <w:fldChar w:fldCharType="end"/>
      </w:r>
    </w:p>
    <w:p w:rsidR="009B6A18" w:rsidRDefault="009B6A18">
      <w:pPr>
        <w:pStyle w:val="TOC1"/>
        <w:rPr>
          <w:rFonts w:asciiTheme="minorHAnsi" w:eastAsiaTheme="minorEastAsia" w:hAnsiTheme="minorHAnsi" w:cstheme="minorBidi"/>
          <w:noProof/>
          <w:sz w:val="22"/>
          <w:szCs w:val="22"/>
        </w:rPr>
      </w:pPr>
      <w:r>
        <w:rPr>
          <w:noProof/>
        </w:rPr>
        <w:t>CERTIFICATE OF SERVICE</w:t>
      </w:r>
      <w:r>
        <w:rPr>
          <w:noProof/>
        </w:rPr>
        <w:tab/>
      </w:r>
      <w:r>
        <w:rPr>
          <w:noProof/>
        </w:rPr>
        <w:fldChar w:fldCharType="begin"/>
      </w:r>
      <w:r>
        <w:rPr>
          <w:noProof/>
        </w:rPr>
        <w:instrText xml:space="preserve"> PAGEREF _Toc291496438 \h </w:instrText>
      </w:r>
      <w:r>
        <w:rPr>
          <w:noProof/>
        </w:rPr>
      </w:r>
      <w:r>
        <w:rPr>
          <w:noProof/>
        </w:rPr>
        <w:fldChar w:fldCharType="separate"/>
      </w:r>
      <w:r w:rsidR="006E0C52">
        <w:rPr>
          <w:noProof/>
        </w:rPr>
        <w:t>11</w:t>
      </w:r>
      <w:r>
        <w:rPr>
          <w:noProof/>
        </w:rPr>
        <w:fldChar w:fldCharType="end"/>
      </w:r>
    </w:p>
    <w:p w:rsidR="00673D8A" w:rsidRDefault="00CE0704" w:rsidP="003753CF">
      <w:pPr>
        <w:sectPr w:rsidR="00673D8A" w:rsidSect="009118DC">
          <w:headerReference w:type="first" r:id="rId11"/>
          <w:footerReference w:type="first" r:id="rId12"/>
          <w:pgSz w:w="12240" w:h="15840"/>
          <w:pgMar w:top="1440" w:right="1440" w:bottom="1440" w:left="1440" w:header="720" w:footer="720" w:gutter="0"/>
          <w:pgNumType w:fmt="lowerRoman" w:start="1"/>
          <w:cols w:space="720"/>
          <w:titlePg/>
          <w:docGrid w:linePitch="360"/>
        </w:sectPr>
      </w:pPr>
      <w:r>
        <w:fldChar w:fldCharType="end"/>
      </w:r>
    </w:p>
    <w:p w:rsidR="00673D8A" w:rsidRPr="007420E6" w:rsidRDefault="00673D8A" w:rsidP="00673D8A">
      <w:pPr>
        <w:jc w:val="center"/>
        <w:rPr>
          <w:rFonts w:ascii="Times New Roman" w:hAnsi="Times New Roman"/>
          <w:b/>
          <w:bCs/>
          <w:sz w:val="26"/>
          <w:szCs w:val="26"/>
        </w:rPr>
      </w:pPr>
      <w:r w:rsidRPr="007420E6">
        <w:rPr>
          <w:rFonts w:ascii="Times New Roman" w:hAnsi="Times New Roman"/>
          <w:b/>
          <w:bCs/>
          <w:sz w:val="26"/>
          <w:szCs w:val="26"/>
        </w:rPr>
        <w:lastRenderedPageBreak/>
        <w:t>UNITED STATES OF AMERICA</w:t>
      </w:r>
    </w:p>
    <w:p w:rsidR="00673D8A" w:rsidRPr="007420E6" w:rsidRDefault="00673D8A" w:rsidP="00673D8A">
      <w:pPr>
        <w:jc w:val="center"/>
        <w:rPr>
          <w:rFonts w:ascii="Times New Roman" w:hAnsi="Times New Roman"/>
          <w:b/>
          <w:bCs/>
          <w:sz w:val="26"/>
          <w:szCs w:val="26"/>
        </w:rPr>
      </w:pPr>
      <w:r w:rsidRPr="007420E6">
        <w:rPr>
          <w:rFonts w:ascii="Times New Roman" w:hAnsi="Times New Roman"/>
          <w:b/>
          <w:bCs/>
          <w:sz w:val="26"/>
          <w:szCs w:val="26"/>
        </w:rPr>
        <w:t>BEFORE THE</w:t>
      </w:r>
    </w:p>
    <w:p w:rsidR="00673D8A" w:rsidRPr="007420E6" w:rsidRDefault="00673D8A" w:rsidP="00673D8A">
      <w:pPr>
        <w:jc w:val="center"/>
        <w:rPr>
          <w:rFonts w:ascii="Times New Roman" w:hAnsi="Times New Roman"/>
          <w:b/>
          <w:bCs/>
          <w:sz w:val="26"/>
          <w:szCs w:val="26"/>
        </w:rPr>
      </w:pPr>
      <w:r w:rsidRPr="007420E6">
        <w:rPr>
          <w:rFonts w:ascii="Times New Roman" w:hAnsi="Times New Roman"/>
          <w:b/>
          <w:bCs/>
          <w:sz w:val="26"/>
          <w:szCs w:val="26"/>
        </w:rPr>
        <w:t>FEDERAL ENERGY REGULATORY COMMISSION</w:t>
      </w:r>
    </w:p>
    <w:p w:rsidR="00673D8A" w:rsidRPr="007420E6" w:rsidRDefault="00673D8A" w:rsidP="00673D8A">
      <w:pPr>
        <w:jc w:val="center"/>
        <w:rPr>
          <w:rFonts w:ascii="Times New Roman" w:hAnsi="Times New Roman"/>
          <w:bCs/>
          <w:sz w:val="26"/>
          <w:szCs w:val="26"/>
        </w:rPr>
      </w:pPr>
    </w:p>
    <w:p w:rsidR="00673D8A" w:rsidRPr="007420E6" w:rsidRDefault="00673D8A" w:rsidP="00673D8A">
      <w:pPr>
        <w:jc w:val="center"/>
        <w:rPr>
          <w:rFonts w:ascii="Times New Roman" w:hAnsi="Times New Roman"/>
          <w:bCs/>
          <w:sz w:val="26"/>
          <w:szCs w:val="26"/>
        </w:rPr>
      </w:pPr>
    </w:p>
    <w:tbl>
      <w:tblPr>
        <w:tblW w:w="0" w:type="auto"/>
        <w:tblLook w:val="04A0" w:firstRow="1" w:lastRow="0" w:firstColumn="1" w:lastColumn="0" w:noHBand="0" w:noVBand="1"/>
      </w:tblPr>
      <w:tblGrid>
        <w:gridCol w:w="4691"/>
        <w:gridCol w:w="289"/>
        <w:gridCol w:w="4596"/>
      </w:tblGrid>
      <w:tr w:rsidR="009118DC" w:rsidRPr="00673D8A" w:rsidTr="00673D8A">
        <w:tc>
          <w:tcPr>
            <w:tcW w:w="4698" w:type="dxa"/>
            <w:shd w:val="clear" w:color="auto" w:fill="auto"/>
          </w:tcPr>
          <w:p w:rsidR="00673D8A" w:rsidRDefault="00F61CD5" w:rsidP="00703690">
            <w:pPr>
              <w:rPr>
                <w:rFonts w:ascii="Times New Roman" w:hAnsi="Times New Roman"/>
                <w:bCs/>
                <w:sz w:val="26"/>
                <w:szCs w:val="26"/>
              </w:rPr>
            </w:pPr>
            <w:r w:rsidRPr="00673D8A">
              <w:rPr>
                <w:rFonts w:ascii="Times New Roman" w:hAnsi="Times New Roman"/>
                <w:bCs/>
                <w:sz w:val="26"/>
                <w:szCs w:val="26"/>
              </w:rPr>
              <w:t>American Electric Power Service</w:t>
            </w:r>
            <w:r>
              <w:rPr>
                <w:rFonts w:ascii="Times New Roman" w:hAnsi="Times New Roman"/>
                <w:bCs/>
                <w:sz w:val="26"/>
                <w:szCs w:val="26"/>
              </w:rPr>
              <w:br/>
              <w:t xml:space="preserve">  </w:t>
            </w:r>
            <w:r w:rsidRPr="00673D8A">
              <w:rPr>
                <w:rFonts w:ascii="Times New Roman" w:hAnsi="Times New Roman"/>
                <w:bCs/>
                <w:sz w:val="26"/>
                <w:szCs w:val="26"/>
              </w:rPr>
              <w:t>Corporation</w:t>
            </w:r>
          </w:p>
          <w:p w:rsidR="00F61CD5" w:rsidRPr="00673D8A" w:rsidRDefault="00F61CD5" w:rsidP="00703690">
            <w:pPr>
              <w:rPr>
                <w:rFonts w:ascii="Times New Roman" w:hAnsi="Times New Roman"/>
                <w:bCs/>
                <w:sz w:val="26"/>
                <w:szCs w:val="26"/>
              </w:rPr>
            </w:pPr>
          </w:p>
          <w:p w:rsidR="00673D8A" w:rsidRPr="00673D8A" w:rsidRDefault="00673D8A" w:rsidP="00673D8A">
            <w:pPr>
              <w:tabs>
                <w:tab w:val="left" w:pos="2130"/>
              </w:tabs>
              <w:rPr>
                <w:rFonts w:ascii="Times New Roman" w:hAnsi="Times New Roman"/>
                <w:bCs/>
                <w:sz w:val="26"/>
                <w:szCs w:val="26"/>
              </w:rPr>
            </w:pPr>
            <w:r w:rsidRPr="00673D8A">
              <w:rPr>
                <w:rFonts w:ascii="Times New Roman" w:hAnsi="Times New Roman"/>
                <w:bCs/>
                <w:sz w:val="26"/>
                <w:szCs w:val="26"/>
              </w:rPr>
              <w:tab/>
              <w:t>v.</w:t>
            </w:r>
          </w:p>
          <w:p w:rsidR="00673D8A" w:rsidRPr="00673D8A" w:rsidRDefault="00673D8A" w:rsidP="00673D8A">
            <w:pPr>
              <w:tabs>
                <w:tab w:val="left" w:pos="2130"/>
              </w:tabs>
              <w:rPr>
                <w:rFonts w:ascii="Times New Roman" w:hAnsi="Times New Roman"/>
                <w:bCs/>
                <w:sz w:val="26"/>
                <w:szCs w:val="26"/>
              </w:rPr>
            </w:pPr>
          </w:p>
          <w:p w:rsidR="00673D8A" w:rsidRPr="00673D8A" w:rsidRDefault="00673D8A" w:rsidP="00673D8A">
            <w:pPr>
              <w:tabs>
                <w:tab w:val="left" w:pos="2130"/>
              </w:tabs>
              <w:rPr>
                <w:rFonts w:ascii="Times New Roman" w:hAnsi="Times New Roman"/>
                <w:bCs/>
                <w:sz w:val="26"/>
                <w:szCs w:val="26"/>
              </w:rPr>
            </w:pPr>
            <w:r w:rsidRPr="00673D8A">
              <w:rPr>
                <w:rFonts w:ascii="Times New Roman" w:hAnsi="Times New Roman"/>
                <w:bCs/>
                <w:sz w:val="26"/>
                <w:szCs w:val="26"/>
              </w:rPr>
              <w:t>PJM Interconnection, L.L.C.</w:t>
            </w:r>
          </w:p>
        </w:tc>
        <w:tc>
          <w:tcPr>
            <w:tcW w:w="270" w:type="dxa"/>
            <w:shd w:val="clear" w:color="auto" w:fill="auto"/>
          </w:tcPr>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tc>
        <w:tc>
          <w:tcPr>
            <w:tcW w:w="4608" w:type="dxa"/>
            <w:shd w:val="clear" w:color="auto" w:fill="auto"/>
          </w:tcPr>
          <w:p w:rsidR="00673D8A" w:rsidRPr="00673D8A" w:rsidRDefault="00673D8A" w:rsidP="00703690">
            <w:pPr>
              <w:rPr>
                <w:rFonts w:ascii="Times New Roman" w:hAnsi="Times New Roman"/>
                <w:bCs/>
                <w:sz w:val="26"/>
                <w:szCs w:val="26"/>
              </w:rPr>
            </w:pPr>
          </w:p>
          <w:p w:rsidR="00673D8A" w:rsidRPr="00673D8A" w:rsidRDefault="00673D8A" w:rsidP="00703690">
            <w:pPr>
              <w:rPr>
                <w:rFonts w:ascii="Times New Roman" w:hAnsi="Times New Roman"/>
                <w:bCs/>
                <w:sz w:val="26"/>
                <w:szCs w:val="26"/>
              </w:rPr>
            </w:pPr>
          </w:p>
          <w:p w:rsidR="00673D8A" w:rsidRPr="00673D8A" w:rsidRDefault="00673D8A" w:rsidP="00703690">
            <w:pPr>
              <w:rPr>
                <w:rFonts w:ascii="Times New Roman" w:hAnsi="Times New Roman"/>
                <w:bCs/>
                <w:sz w:val="26"/>
                <w:szCs w:val="26"/>
              </w:rPr>
            </w:pPr>
            <w:r w:rsidRPr="00673D8A">
              <w:rPr>
                <w:rFonts w:ascii="Times New Roman" w:hAnsi="Times New Roman"/>
                <w:bCs/>
                <w:sz w:val="26"/>
                <w:szCs w:val="26"/>
              </w:rPr>
              <w:t>Docket No. EL11-32-000</w:t>
            </w:r>
          </w:p>
        </w:tc>
      </w:tr>
    </w:tbl>
    <w:p w:rsidR="00673D8A" w:rsidRPr="007420E6" w:rsidRDefault="00673D8A" w:rsidP="00673D8A">
      <w:pPr>
        <w:jc w:val="center"/>
        <w:rPr>
          <w:rFonts w:ascii="Times New Roman" w:hAnsi="Times New Roman"/>
          <w:bCs/>
          <w:sz w:val="26"/>
          <w:szCs w:val="26"/>
        </w:rPr>
      </w:pPr>
    </w:p>
    <w:p w:rsidR="00673D8A" w:rsidRDefault="00673D8A" w:rsidP="00673D8A">
      <w:pPr>
        <w:rPr>
          <w:rFonts w:ascii="Times New Roman" w:hAnsi="Times New Roman"/>
          <w:sz w:val="26"/>
          <w:szCs w:val="26"/>
        </w:rPr>
      </w:pPr>
    </w:p>
    <w:p w:rsidR="00673D8A"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673D8A" w:rsidRPr="003753CF" w:rsidRDefault="00673D8A" w:rsidP="003753CF">
      <w:pPr>
        <w:jc w:val="center"/>
        <w:rPr>
          <w:rFonts w:ascii="Times New Roman" w:hAnsi="Times New Roman"/>
          <w:b/>
          <w:sz w:val="32"/>
          <w:szCs w:val="32"/>
        </w:rPr>
      </w:pPr>
      <w:r w:rsidRPr="003753CF">
        <w:rPr>
          <w:rFonts w:ascii="Times New Roman" w:hAnsi="Times New Roman"/>
          <w:b/>
          <w:sz w:val="32"/>
          <w:szCs w:val="32"/>
        </w:rPr>
        <w:t>PROTEST</w:t>
      </w:r>
    </w:p>
    <w:p w:rsidR="00673D8A" w:rsidRPr="003753CF" w:rsidRDefault="003753CF" w:rsidP="003753CF">
      <w:pPr>
        <w:jc w:val="center"/>
        <w:rPr>
          <w:rFonts w:ascii="Times New Roman" w:hAnsi="Times New Roman"/>
          <w:b/>
          <w:sz w:val="28"/>
          <w:szCs w:val="28"/>
        </w:rPr>
      </w:pPr>
      <w:r w:rsidRPr="003753CF">
        <w:rPr>
          <w:rFonts w:ascii="Times New Roman" w:hAnsi="Times New Roman"/>
          <w:b/>
          <w:sz w:val="28"/>
          <w:szCs w:val="28"/>
        </w:rPr>
        <w:t>SUBMITTED ON BEHALF OF</w:t>
      </w:r>
    </w:p>
    <w:p w:rsidR="00673D8A" w:rsidRDefault="003753CF" w:rsidP="003753CF">
      <w:pPr>
        <w:jc w:val="center"/>
        <w:rPr>
          <w:rFonts w:ascii="Times New Roman" w:hAnsi="Times New Roman"/>
          <w:b/>
          <w:sz w:val="28"/>
          <w:szCs w:val="28"/>
        </w:rPr>
      </w:pPr>
      <w:r w:rsidRPr="003753CF">
        <w:rPr>
          <w:rFonts w:ascii="Times New Roman" w:hAnsi="Times New Roman"/>
          <w:b/>
          <w:sz w:val="28"/>
          <w:szCs w:val="28"/>
        </w:rPr>
        <w:t>THE PUBLIC UTILITIES COMMISSION OF OHIO</w:t>
      </w:r>
    </w:p>
    <w:p w:rsidR="003753CF"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255071" w:rsidRPr="007420E6" w:rsidRDefault="00255071" w:rsidP="00652C07">
      <w:pPr>
        <w:pStyle w:val="Heading1"/>
        <w:rPr>
          <w:sz w:val="26"/>
          <w:szCs w:val="26"/>
        </w:rPr>
      </w:pPr>
      <w:bookmarkStart w:id="1" w:name="_Toc291496430"/>
      <w:r w:rsidRPr="007420E6">
        <w:rPr>
          <w:sz w:val="26"/>
          <w:szCs w:val="26"/>
        </w:rPr>
        <w:t>INTRODUCTION</w:t>
      </w:r>
      <w:bookmarkEnd w:id="1"/>
    </w:p>
    <w:p w:rsidR="003547E1" w:rsidRPr="007420E6" w:rsidRDefault="00C539CE" w:rsidP="00CC48A2">
      <w:pPr>
        <w:pStyle w:val="Textstyle"/>
      </w:pPr>
      <w:r w:rsidRPr="007420E6">
        <w:tab/>
      </w:r>
      <w:r w:rsidR="00D07195" w:rsidRPr="007420E6">
        <w:t xml:space="preserve">On </w:t>
      </w:r>
      <w:r w:rsidR="00990A7A">
        <w:t xml:space="preserve">April </w:t>
      </w:r>
      <w:r w:rsidR="00D07195" w:rsidRPr="007420E6">
        <w:t>4, 201</w:t>
      </w:r>
      <w:r w:rsidR="00990A7A">
        <w:t>1</w:t>
      </w:r>
      <w:r w:rsidR="00D07195" w:rsidRPr="007420E6">
        <w:t>, American Electric Power Service Corporation (AEP)</w:t>
      </w:r>
      <w:r w:rsidR="00467768" w:rsidRPr="007420E6">
        <w:t xml:space="preserve"> filed a com</w:t>
      </w:r>
      <w:r w:rsidR="00F352E6">
        <w:softHyphen/>
      </w:r>
      <w:r w:rsidR="00467768" w:rsidRPr="007420E6">
        <w:t>plaint</w:t>
      </w:r>
      <w:r w:rsidR="007420E6">
        <w:t xml:space="preserve"> </w:t>
      </w:r>
      <w:r w:rsidR="00221CD0" w:rsidRPr="007420E6">
        <w:t xml:space="preserve">pursuant to </w:t>
      </w:r>
      <w:r w:rsidR="00467768" w:rsidRPr="007420E6">
        <w:t>Section 206 of the Federal Power Act (FPA), 16 U.S.C. §</w:t>
      </w:r>
      <w:r w:rsidR="007420E6">
        <w:t> </w:t>
      </w:r>
      <w:r w:rsidR="00467768" w:rsidRPr="007420E6">
        <w:t xml:space="preserve">824e (2006) and </w:t>
      </w:r>
      <w:r w:rsidR="00221CD0" w:rsidRPr="007420E6">
        <w:t>Rule 206 of the Federal Energy Regulatory Commission’s (FERC)</w:t>
      </w:r>
      <w:r w:rsidR="00D07195" w:rsidRPr="007420E6">
        <w:t xml:space="preserve"> </w:t>
      </w:r>
      <w:r w:rsidR="00221CD0" w:rsidRPr="007420E6">
        <w:t>Rules of Practice and Procedure, 18 C.F.R. §</w:t>
      </w:r>
      <w:r w:rsidR="007420E6">
        <w:t> </w:t>
      </w:r>
      <w:r w:rsidR="00221CD0" w:rsidRPr="007420E6">
        <w:t>385.206</w:t>
      </w:r>
      <w:r w:rsidR="00467768" w:rsidRPr="007420E6">
        <w:t xml:space="preserve"> (2010)</w:t>
      </w:r>
      <w:r w:rsidR="00F352E6">
        <w:t xml:space="preserve">.  </w:t>
      </w:r>
      <w:r w:rsidR="00221CD0" w:rsidRPr="007420E6">
        <w:t>AEP’s complaint seeks modifica</w:t>
      </w:r>
      <w:r w:rsidR="00F352E6">
        <w:softHyphen/>
      </w:r>
      <w:r w:rsidR="00221CD0" w:rsidRPr="007420E6">
        <w:t xml:space="preserve">tions to Schedule 8.1, Section D.8 to the PJM Interconnection, L.L.C. (PJM) Reliability Assurance Agreement (RAA).  AEP’s complaint is in response to FERC’s order issued </w:t>
      </w:r>
      <w:r w:rsidR="00467768" w:rsidRPr="007420E6">
        <w:t xml:space="preserve">on </w:t>
      </w:r>
      <w:r w:rsidR="00221CD0" w:rsidRPr="007420E6">
        <w:t xml:space="preserve"> January 20, 2011, in Docket No. ER11-2183.  </w:t>
      </w:r>
    </w:p>
    <w:p w:rsidR="00183B8F" w:rsidRPr="007420E6" w:rsidRDefault="007420E6" w:rsidP="00CC48A2">
      <w:pPr>
        <w:pStyle w:val="Textstyle"/>
      </w:pPr>
      <w:r>
        <w:tab/>
      </w:r>
      <w:r w:rsidR="000C16D5" w:rsidRPr="007420E6">
        <w:t xml:space="preserve">On </w:t>
      </w:r>
      <w:r w:rsidR="000F03D5" w:rsidRPr="007420E6">
        <w:t xml:space="preserve">April 5, 2011, </w:t>
      </w:r>
      <w:r w:rsidR="000C16D5" w:rsidRPr="007420E6">
        <w:t>FERC</w:t>
      </w:r>
      <w:r w:rsidR="000F03D5" w:rsidRPr="007420E6">
        <w:t xml:space="preserve"> </w:t>
      </w:r>
      <w:r w:rsidR="000C16D5" w:rsidRPr="007420E6">
        <w:t xml:space="preserve">issued its </w:t>
      </w:r>
      <w:r w:rsidR="000F03D5" w:rsidRPr="007420E6">
        <w:t xml:space="preserve">Notice of Complaint </w:t>
      </w:r>
      <w:r w:rsidR="000C16D5" w:rsidRPr="007420E6">
        <w:t>establishing a comment</w:t>
      </w:r>
      <w:r w:rsidR="007420CF" w:rsidRPr="007420E6">
        <w:t xml:space="preserve"> due date of April 25, 2011.  Pursuant to FERC’s Rule 214, Part 38, Rules of Practice and Procedure, 18 C.F.R. § 385, the Public Utilities Commission of Ohio (Ohio Commission or PUCO)  filed a timely motion to intervene on April 12, 2011, and is a party to this </w:t>
      </w:r>
      <w:r w:rsidR="007420CF" w:rsidRPr="007420E6">
        <w:lastRenderedPageBreak/>
        <w:t xml:space="preserve">docket.  </w:t>
      </w:r>
      <w:r w:rsidR="000C16D5" w:rsidRPr="007420E6">
        <w:t xml:space="preserve">The </w:t>
      </w:r>
      <w:r w:rsidR="007420CF" w:rsidRPr="007420E6">
        <w:t xml:space="preserve">Ohio Commission </w:t>
      </w:r>
      <w:r w:rsidR="000C16D5" w:rsidRPr="007420E6">
        <w:t xml:space="preserve">hereby submits its </w:t>
      </w:r>
      <w:r w:rsidR="007420CF" w:rsidRPr="007420E6">
        <w:t>Protest in response to AEP’s com</w:t>
      </w:r>
      <w:r w:rsidR="00F352E6">
        <w:softHyphen/>
      </w:r>
      <w:r w:rsidR="007420CF" w:rsidRPr="007420E6">
        <w:t>plaint.</w:t>
      </w:r>
    </w:p>
    <w:p w:rsidR="00886193" w:rsidRPr="007420E6" w:rsidRDefault="00183B8F" w:rsidP="00652C07">
      <w:pPr>
        <w:pStyle w:val="Heading1"/>
        <w:rPr>
          <w:sz w:val="26"/>
          <w:szCs w:val="26"/>
        </w:rPr>
      </w:pPr>
      <w:bookmarkStart w:id="2" w:name="_Toc291496431"/>
      <w:r w:rsidRPr="007420E6">
        <w:rPr>
          <w:sz w:val="26"/>
          <w:szCs w:val="26"/>
        </w:rPr>
        <w:t>BACK</w:t>
      </w:r>
      <w:r w:rsidR="00FA3692" w:rsidRPr="007420E6">
        <w:rPr>
          <w:sz w:val="26"/>
          <w:szCs w:val="26"/>
        </w:rPr>
        <w:t>G</w:t>
      </w:r>
      <w:r w:rsidRPr="007420E6">
        <w:rPr>
          <w:sz w:val="26"/>
          <w:szCs w:val="26"/>
        </w:rPr>
        <w:t>ROUND</w:t>
      </w:r>
      <w:bookmarkEnd w:id="2"/>
    </w:p>
    <w:p w:rsidR="00460962" w:rsidRPr="007420E6" w:rsidRDefault="007420E6" w:rsidP="00CC48A2">
      <w:pPr>
        <w:pStyle w:val="Textstyle"/>
      </w:pPr>
      <w:r>
        <w:tab/>
      </w:r>
      <w:r w:rsidR="00183B8F" w:rsidRPr="007420E6">
        <w:t>On January 20, 2011, FERC issued it</w:t>
      </w:r>
      <w:r w:rsidR="009740BE" w:rsidRPr="007420E6">
        <w:t>s</w:t>
      </w:r>
      <w:r w:rsidR="00183B8F" w:rsidRPr="007420E6">
        <w:t xml:space="preserve"> Order Rejecting Formula Rate Proposal</w:t>
      </w:r>
      <w:r w:rsidR="00183B8F" w:rsidRPr="007420E6">
        <w:rPr>
          <w:vertAlign w:val="superscript"/>
        </w:rPr>
        <w:footnoteReference w:id="1"/>
      </w:r>
      <w:r w:rsidR="00183B8F" w:rsidRPr="007420E6">
        <w:rPr>
          <w:vertAlign w:val="superscript"/>
        </w:rPr>
        <w:t xml:space="preserve"> </w:t>
      </w:r>
      <w:r w:rsidR="00183B8F" w:rsidRPr="007420E6">
        <w:t>in Docket No. ER11-2183-000</w:t>
      </w:r>
      <w:r w:rsidR="007901F9" w:rsidRPr="007420E6">
        <w:t>.</w:t>
      </w:r>
      <w:r w:rsidR="00183B8F" w:rsidRPr="007420E6">
        <w:t xml:space="preserve"> </w:t>
      </w:r>
      <w:r w:rsidR="009740BE" w:rsidRPr="007420E6">
        <w:t xml:space="preserve">  It </w:t>
      </w:r>
      <w:r w:rsidR="00183B8F" w:rsidRPr="007420E6">
        <w:t xml:space="preserve">rejected AEP’s </w:t>
      </w:r>
      <w:r w:rsidR="00886193" w:rsidRPr="007420E6">
        <w:t>filing because the Ohio Commission has adopted a state compensation mechanism.  In addition, FERC observe</w:t>
      </w:r>
      <w:r w:rsidR="009740BE" w:rsidRPr="007420E6">
        <w:t>d</w:t>
      </w:r>
      <w:r w:rsidR="00886193" w:rsidRPr="007420E6">
        <w:t xml:space="preserve"> that AEP volun</w:t>
      </w:r>
      <w:r w:rsidR="00F352E6">
        <w:softHyphen/>
      </w:r>
      <w:r w:rsidR="00886193" w:rsidRPr="007420E6">
        <w:t xml:space="preserve">tarily signed the </w:t>
      </w:r>
      <w:proofErr w:type="spellStart"/>
      <w:r w:rsidR="00886193" w:rsidRPr="007420E6">
        <w:t>RAA</w:t>
      </w:r>
      <w:proofErr w:type="spellEnd"/>
      <w:r w:rsidR="00886193" w:rsidRPr="007420E6">
        <w:t xml:space="preserve"> and, consequently, ha</w:t>
      </w:r>
      <w:r w:rsidR="009740BE" w:rsidRPr="007420E6">
        <w:t>s</w:t>
      </w:r>
      <w:r w:rsidR="00886193" w:rsidRPr="007420E6">
        <w:t xml:space="preserve"> voluntarily relinquished its rights to make such a filing because the PJM RAA does not permit AEP to change a state imposed allo</w:t>
      </w:r>
      <w:r w:rsidR="00F352E6">
        <w:softHyphen/>
      </w:r>
      <w:r w:rsidR="00886193" w:rsidRPr="007420E6">
        <w:t xml:space="preserve">cation mechanism.  FERC’s decision also states that AEP does not </w:t>
      </w:r>
      <w:r w:rsidR="007901F9" w:rsidRPr="007420E6">
        <w:t xml:space="preserve">have </w:t>
      </w:r>
      <w:r w:rsidR="00886193" w:rsidRPr="007420E6">
        <w:t xml:space="preserve">the right to change the PJM RAA unilaterally through a section 205 filing.  AEP’s 206 filing in this proceeding indicates that its complaint is necessitated by FERC’s interpretation of the RAA.  </w:t>
      </w:r>
    </w:p>
    <w:p w:rsidR="00886193" w:rsidRPr="007420E6" w:rsidRDefault="00886193" w:rsidP="00652C07">
      <w:pPr>
        <w:pStyle w:val="Heading1"/>
        <w:rPr>
          <w:sz w:val="26"/>
          <w:szCs w:val="26"/>
        </w:rPr>
      </w:pPr>
      <w:bookmarkStart w:id="3" w:name="_Toc291496432"/>
      <w:r w:rsidRPr="007420E6">
        <w:rPr>
          <w:sz w:val="26"/>
          <w:szCs w:val="26"/>
        </w:rPr>
        <w:t>DISCUSSION</w:t>
      </w:r>
      <w:bookmarkEnd w:id="3"/>
    </w:p>
    <w:p w:rsidR="00B77010" w:rsidRDefault="00B77010" w:rsidP="00B77010">
      <w:pPr>
        <w:pStyle w:val="Heading2"/>
        <w:numPr>
          <w:ilvl w:val="0"/>
          <w:numId w:val="2"/>
        </w:numPr>
      </w:pPr>
      <w:bookmarkStart w:id="4" w:name="_Toc291496433"/>
      <w:r w:rsidRPr="007420E6">
        <w:t>The FERC’s decision in ER11-2183 is dispositive.</w:t>
      </w:r>
      <w:bookmarkEnd w:id="4"/>
    </w:p>
    <w:p w:rsidR="00FA3692" w:rsidRPr="007420E6" w:rsidRDefault="00B77010" w:rsidP="00CC48A2">
      <w:pPr>
        <w:pStyle w:val="Textstyle"/>
      </w:pPr>
      <w:r>
        <w:tab/>
      </w:r>
      <w:r w:rsidR="00CB38D4" w:rsidRPr="007420E6">
        <w:t xml:space="preserve">The Ohio Commission requests </w:t>
      </w:r>
      <w:r w:rsidR="00CC48A2">
        <w:t>the FERC</w:t>
      </w:r>
      <w:r w:rsidR="00706A38" w:rsidRPr="007420E6">
        <w:t xml:space="preserve"> to either dismiss the complaint </w:t>
      </w:r>
      <w:r w:rsidR="00673D8A" w:rsidRPr="007420E6">
        <w:t>or stay</w:t>
      </w:r>
      <w:r w:rsidR="00706A38" w:rsidRPr="007420E6">
        <w:t xml:space="preserve"> the case pending the completion of proceed</w:t>
      </w:r>
      <w:r w:rsidR="00673D8A">
        <w:softHyphen/>
      </w:r>
      <w:r w:rsidR="00706A38" w:rsidRPr="007420E6">
        <w:t>ings at the state level.</w:t>
      </w:r>
      <w:r w:rsidR="00CC48A2">
        <w:t xml:space="preserve">  This is necessary because the FERC</w:t>
      </w:r>
      <w:r w:rsidR="00706A38" w:rsidRPr="007420E6">
        <w:t>’s decision in ER11-2183 is dispositive of the issues here, the Ohio Commission is uniquely positioned to consider the issues, and there are currently pro</w:t>
      </w:r>
      <w:r w:rsidR="00F352E6">
        <w:softHyphen/>
      </w:r>
      <w:r w:rsidR="00706A38" w:rsidRPr="007420E6">
        <w:t>ceedings pending at the Ohio Commis</w:t>
      </w:r>
      <w:r w:rsidR="00673D8A">
        <w:softHyphen/>
      </w:r>
      <w:r w:rsidR="00706A38" w:rsidRPr="007420E6">
        <w:t xml:space="preserve">sion which will address the issues herein.  </w:t>
      </w:r>
      <w:r w:rsidR="00673D8A" w:rsidRPr="007420E6">
        <w:t xml:space="preserve">Thus, </w:t>
      </w:r>
      <w:r w:rsidR="00673D8A" w:rsidRPr="007420E6">
        <w:lastRenderedPageBreak/>
        <w:t xml:space="preserve">dismissing or staying the instant case would be more efficient, it would save </w:t>
      </w:r>
      <w:r w:rsidR="00E3354C">
        <w:t xml:space="preserve">the </w:t>
      </w:r>
      <w:r w:rsidR="00E47C4E">
        <w:t>FERC</w:t>
      </w:r>
      <w:r w:rsidR="00673D8A" w:rsidRPr="007420E6">
        <w:t>’s time and effort while still allowing the FERC to examine the situation again if there is some concern remain</w:t>
      </w:r>
      <w:r w:rsidR="00673D8A">
        <w:softHyphen/>
      </w:r>
      <w:r w:rsidR="00673D8A" w:rsidRPr="007420E6">
        <w:t>ing after action by the Ohio Commission.</w:t>
      </w:r>
      <w:r w:rsidR="00673D8A">
        <w:t xml:space="preserve">  </w:t>
      </w:r>
      <w:r w:rsidR="00673D8A" w:rsidRPr="007420E6">
        <w:t>The FERC’s decision in ER11-2183 is dispositive.</w:t>
      </w:r>
    </w:p>
    <w:p w:rsidR="00CE3E01" w:rsidRPr="007420E6" w:rsidRDefault="007420E6" w:rsidP="00CC48A2">
      <w:pPr>
        <w:pStyle w:val="Textstyle"/>
      </w:pPr>
      <w:r>
        <w:tab/>
      </w:r>
      <w:r w:rsidR="002659D5" w:rsidRPr="007420E6">
        <w:t>As noted above, o</w:t>
      </w:r>
      <w:r w:rsidR="00CE3E01" w:rsidRPr="007420E6">
        <w:t xml:space="preserve">n December 8, 2010, the Ohio Commission expressly adopted the use of the RPM auction price </w:t>
      </w:r>
      <w:r>
        <w:t>as its state compensation mecha</w:t>
      </w:r>
      <w:r w:rsidR="00CE3E01" w:rsidRPr="007420E6">
        <w:t>nism.</w:t>
      </w:r>
      <w:r w:rsidR="00CE3E01" w:rsidRPr="007420E6">
        <w:rPr>
          <w:rStyle w:val="FootnoteReference"/>
          <w:bCs/>
          <w:szCs w:val="26"/>
        </w:rPr>
        <w:footnoteReference w:id="2"/>
      </w:r>
      <w:r w:rsidR="00CE3E01" w:rsidRPr="007420E6">
        <w:t xml:space="preserve">  AEP disputed the existence of such a mech</w:t>
      </w:r>
      <w:r w:rsidR="00CE3E01" w:rsidRPr="007420E6">
        <w:softHyphen/>
        <w:t xml:space="preserve">anism, but on January 20, 2011, </w:t>
      </w:r>
      <w:r w:rsidR="00CC48A2">
        <w:t xml:space="preserve">the </w:t>
      </w:r>
      <w:r w:rsidR="00CE3E01" w:rsidRPr="007420E6">
        <w:t xml:space="preserve">FERC, as a part of its Order, stated that “it is uncontroverted that such a [compensation] mechanism has now been </w:t>
      </w:r>
      <w:r w:rsidR="004C60AF" w:rsidRPr="007420E6">
        <w:t>a</w:t>
      </w:r>
      <w:r w:rsidR="00CE3E01" w:rsidRPr="007420E6">
        <w:t>dopted by the Ohio Commission.”</w:t>
      </w:r>
      <w:r w:rsidR="00CE3E01" w:rsidRPr="007420E6">
        <w:rPr>
          <w:rStyle w:val="FootnoteReference"/>
          <w:bCs/>
          <w:szCs w:val="26"/>
        </w:rPr>
        <w:footnoteReference w:id="3"/>
      </w:r>
      <w:r w:rsidR="00CE3E01" w:rsidRPr="007420E6">
        <w:t xml:space="preserve">  Accord</w:t>
      </w:r>
      <w:r w:rsidR="00CE3E01" w:rsidRPr="007420E6">
        <w:softHyphen/>
        <w:t xml:space="preserve">ingly, </w:t>
      </w:r>
      <w:r w:rsidR="00CC48A2">
        <w:t xml:space="preserve">the </w:t>
      </w:r>
      <w:r w:rsidR="00CE3E01" w:rsidRPr="007420E6">
        <w:t>FERC agrees that under Sec</w:t>
      </w:r>
      <w:r w:rsidR="00F352E6">
        <w:softHyphen/>
      </w:r>
      <w:r w:rsidR="00CE3E01" w:rsidRPr="007420E6">
        <w:t xml:space="preserve">tion </w:t>
      </w:r>
      <w:proofErr w:type="spellStart"/>
      <w:r w:rsidR="00CE3E01" w:rsidRPr="007420E6">
        <w:t>D.8</w:t>
      </w:r>
      <w:proofErr w:type="spellEnd"/>
      <w:r w:rsidR="00CE3E01" w:rsidRPr="007420E6">
        <w:t xml:space="preserve"> of Schedule 8.1 of the RAA, a state imposed com</w:t>
      </w:r>
      <w:r w:rsidR="00CE3E01" w:rsidRPr="007420E6">
        <w:softHyphen/>
        <w:t xml:space="preserve">pensation mechanism prevails in instances where the state jurisdiction requires the load serving entity (LSE) to </w:t>
      </w:r>
      <w:r w:rsidR="009118DC">
        <w:br w:type="page"/>
      </w:r>
      <w:r w:rsidR="00CE3E01" w:rsidRPr="007420E6">
        <w:lastRenderedPageBreak/>
        <w:t>compensate the FRR entity.</w:t>
      </w:r>
      <w:r w:rsidR="00CE3E01" w:rsidRPr="007420E6">
        <w:rPr>
          <w:rStyle w:val="FootnoteReference"/>
          <w:bCs/>
          <w:szCs w:val="26"/>
        </w:rPr>
        <w:footnoteReference w:id="4"/>
      </w:r>
      <w:r w:rsidR="00CE3E01" w:rsidRPr="007420E6">
        <w:t xml:space="preserve">  The Ohio Commission maintains </w:t>
      </w:r>
      <w:r w:rsidR="002659D5" w:rsidRPr="007420E6">
        <w:t>that its actions are within the parameters established by PJM’s RAA ta</w:t>
      </w:r>
      <w:r w:rsidR="00CE3E01" w:rsidRPr="007420E6">
        <w:t xml:space="preserve">riff and that there is no need for </w:t>
      </w:r>
      <w:r w:rsidR="00CC48A2">
        <w:t xml:space="preserve">the </w:t>
      </w:r>
      <w:r w:rsidR="00CE3E01" w:rsidRPr="007420E6">
        <w:t>FERC to revisit its already estab</w:t>
      </w:r>
      <w:r w:rsidR="00CE3E01" w:rsidRPr="007420E6">
        <w:softHyphen/>
        <w:t>lished interpretation</w:t>
      </w:r>
      <w:r w:rsidR="002659D5" w:rsidRPr="007420E6">
        <w:t xml:space="preserve"> of the tariff</w:t>
      </w:r>
      <w:r w:rsidR="00CE3E01" w:rsidRPr="007420E6">
        <w:t>.</w:t>
      </w:r>
      <w:r w:rsidR="00CE3E01" w:rsidRPr="007420E6">
        <w:rPr>
          <w:rStyle w:val="FootnoteReference"/>
          <w:bCs/>
          <w:szCs w:val="26"/>
        </w:rPr>
        <w:footnoteReference w:id="5"/>
      </w:r>
      <w:r w:rsidR="00CE3E01" w:rsidRPr="007420E6">
        <w:t xml:space="preserve">  </w:t>
      </w:r>
    </w:p>
    <w:p w:rsidR="007420E6" w:rsidRDefault="00CC48A2" w:rsidP="00CC48A2">
      <w:pPr>
        <w:pStyle w:val="Textstyle"/>
      </w:pPr>
      <w:r>
        <w:tab/>
      </w:r>
      <w:r w:rsidR="00CE3E01" w:rsidRPr="007420E6">
        <w:t xml:space="preserve">In </w:t>
      </w:r>
      <w:r w:rsidR="00677FC9" w:rsidRPr="007420E6">
        <w:t>its</w:t>
      </w:r>
      <w:r w:rsidR="00CE3E01" w:rsidRPr="007420E6">
        <w:t xml:space="preserve"> January 20</w:t>
      </w:r>
      <w:r w:rsidR="00CE3E01" w:rsidRPr="007420E6">
        <w:rPr>
          <w:vertAlign w:val="superscript"/>
        </w:rPr>
        <w:t>th</w:t>
      </w:r>
      <w:r w:rsidR="00CE3E01" w:rsidRPr="007420E6">
        <w:t xml:space="preserve"> Order, </w:t>
      </w:r>
      <w:r>
        <w:t xml:space="preserve">the </w:t>
      </w:r>
      <w:r w:rsidR="00CE3E01" w:rsidRPr="007420E6">
        <w:t>FERC also stated that, “making a section 205 filing applies only when no state compensation mechanism exists; the adverbial phrase in Sec</w:t>
      </w:r>
      <w:r w:rsidR="00F352E6">
        <w:softHyphen/>
      </w:r>
      <w:r w:rsidR="00CE3E01" w:rsidRPr="007420E6">
        <w:t xml:space="preserve">tion </w:t>
      </w:r>
      <w:proofErr w:type="spellStart"/>
      <w:r w:rsidR="00CE3E01" w:rsidRPr="007420E6">
        <w:t>D.8</w:t>
      </w:r>
      <w:proofErr w:type="spellEnd"/>
      <w:r w:rsidR="00CE3E01" w:rsidRPr="007420E6">
        <w:t xml:space="preserve"> of Schedule 8.1 of the RAA, “in the absence of state compensation mechanism,” qualifies the remainder of that sentence and therefore conditions the right to make a sec</w:t>
      </w:r>
      <w:r w:rsidR="00F352E6">
        <w:softHyphen/>
      </w:r>
      <w:r w:rsidR="00CE3E01" w:rsidRPr="007420E6">
        <w:t>tion 205 filing.”</w:t>
      </w:r>
      <w:r w:rsidR="00CE3E01" w:rsidRPr="007420E6">
        <w:rPr>
          <w:rStyle w:val="FootnoteReference"/>
          <w:szCs w:val="26"/>
        </w:rPr>
        <w:footnoteReference w:id="6"/>
      </w:r>
      <w:proofErr w:type="gramStart"/>
      <w:r w:rsidR="00CE3E01" w:rsidRPr="007420E6">
        <w:t xml:space="preserve"> </w:t>
      </w:r>
      <w:proofErr w:type="gramEnd"/>
      <w:r w:rsidR="00CE3E01" w:rsidRPr="007420E6">
        <w:t xml:space="preserve">Furthermore, </w:t>
      </w:r>
      <w:r w:rsidR="002659D5" w:rsidRPr="007420E6">
        <w:t xml:space="preserve">because </w:t>
      </w:r>
      <w:r w:rsidR="00CE3E01" w:rsidRPr="007420E6">
        <w:t>AEP</w:t>
      </w:r>
      <w:r w:rsidR="002659D5" w:rsidRPr="007420E6">
        <w:t xml:space="preserve"> </w:t>
      </w:r>
      <w:r w:rsidR="00CE3E01" w:rsidRPr="007420E6">
        <w:t xml:space="preserve">voluntarily signed the </w:t>
      </w:r>
      <w:proofErr w:type="spellStart"/>
      <w:r w:rsidR="00CE3E01" w:rsidRPr="007420E6">
        <w:t>RAA</w:t>
      </w:r>
      <w:proofErr w:type="spellEnd"/>
      <w:r w:rsidR="00CE3E01" w:rsidRPr="007420E6">
        <w:t xml:space="preserve">, </w:t>
      </w:r>
      <w:r>
        <w:t xml:space="preserve">the </w:t>
      </w:r>
      <w:r w:rsidR="00CE3E01" w:rsidRPr="007420E6">
        <w:t xml:space="preserve">FERC </w:t>
      </w:r>
      <w:r w:rsidR="00CE3E01" w:rsidRPr="007420E6">
        <w:lastRenderedPageBreak/>
        <w:t>deter</w:t>
      </w:r>
      <w:r w:rsidR="00F352E6">
        <w:softHyphen/>
      </w:r>
      <w:r w:rsidR="00CE3E01" w:rsidRPr="007420E6">
        <w:t>mined that the</w:t>
      </w:r>
      <w:r w:rsidR="002659D5" w:rsidRPr="007420E6">
        <w:t xml:space="preserve"> company</w:t>
      </w:r>
      <w:r w:rsidR="00CE3E01" w:rsidRPr="007420E6">
        <w:t xml:space="preserve"> essentially relinquished </w:t>
      </w:r>
      <w:r w:rsidR="002659D5" w:rsidRPr="007420E6">
        <w:t xml:space="preserve">its </w:t>
      </w:r>
      <w:r w:rsidR="00CE3E01" w:rsidRPr="007420E6">
        <w:t>right to make a section 205 fil</w:t>
      </w:r>
      <w:r w:rsidR="00F352E6">
        <w:softHyphen/>
      </w:r>
      <w:r w:rsidR="00CE3E01" w:rsidRPr="007420E6">
        <w:t>ing and consequently rendered a challenge under section 206 of the FPA moot.</w:t>
      </w:r>
      <w:r w:rsidR="00CE3E01" w:rsidRPr="007420E6">
        <w:rPr>
          <w:rStyle w:val="FootnoteReference"/>
          <w:szCs w:val="26"/>
        </w:rPr>
        <w:footnoteReference w:id="7"/>
      </w:r>
      <w:r w:rsidR="00CE3E01" w:rsidRPr="007420E6">
        <w:t xml:space="preserve">  AEP’s complaint </w:t>
      </w:r>
      <w:r w:rsidR="002659D5" w:rsidRPr="007420E6">
        <w:t xml:space="preserve">in this proceeding </w:t>
      </w:r>
      <w:r w:rsidR="00CE3E01" w:rsidRPr="007420E6">
        <w:t>fails to present an adequate argument that would allow them to make a section 205 or 206 filing under the FPA.</w:t>
      </w:r>
      <w:r w:rsidR="00CE3E01" w:rsidRPr="007420E6">
        <w:rPr>
          <w:rStyle w:val="FootnoteReference"/>
          <w:szCs w:val="26"/>
        </w:rPr>
        <w:footnoteReference w:id="8"/>
      </w:r>
      <w:r w:rsidR="00CE3E01" w:rsidRPr="007420E6">
        <w:t xml:space="preserve">  Therefore, the Ohio Commission </w:t>
      </w:r>
      <w:r w:rsidR="00C02977" w:rsidRPr="007420E6">
        <w:t>maintains that</w:t>
      </w:r>
      <w:r>
        <w:t xml:space="preserve"> the </w:t>
      </w:r>
      <w:r w:rsidR="00CE3E01" w:rsidRPr="007420E6">
        <w:t>FERC’s initial order rejecting AEP’s formula rate proposal in</w:t>
      </w:r>
      <w:r w:rsidR="004C60AF" w:rsidRPr="007420E6">
        <w:t xml:space="preserve"> </w:t>
      </w:r>
      <w:r w:rsidR="00CE3E01" w:rsidRPr="007420E6">
        <w:t xml:space="preserve">Docket No. ER11-2183-000 </w:t>
      </w:r>
      <w:r w:rsidR="00C02977" w:rsidRPr="007420E6">
        <w:t>is appropriate and incontrovertible; consequently, the Ohio Com</w:t>
      </w:r>
      <w:r w:rsidR="00F352E6">
        <w:softHyphen/>
      </w:r>
      <w:r w:rsidR="00C02977" w:rsidRPr="007420E6">
        <w:t xml:space="preserve">mission </w:t>
      </w:r>
      <w:r w:rsidR="00CE3E01" w:rsidRPr="007420E6">
        <w:t xml:space="preserve">requests a dismissal of </w:t>
      </w:r>
      <w:r w:rsidR="002659D5" w:rsidRPr="007420E6">
        <w:t xml:space="preserve">the company’s </w:t>
      </w:r>
      <w:r w:rsidR="00CE3E01" w:rsidRPr="007420E6">
        <w:t>complaint filed in this docket.</w:t>
      </w:r>
    </w:p>
    <w:p w:rsidR="00FA3692" w:rsidRPr="007420E6" w:rsidRDefault="007420E6" w:rsidP="007420E6">
      <w:pPr>
        <w:pStyle w:val="Heading2"/>
      </w:pPr>
      <w:bookmarkStart w:id="5" w:name="_Toc291496434"/>
      <w:r>
        <w:t>B.</w:t>
      </w:r>
      <w:r>
        <w:tab/>
      </w:r>
      <w:r w:rsidR="00FA3692" w:rsidRPr="007420E6">
        <w:t>The Ohio Commission is uniquely positioned to analyze the prob</w:t>
      </w:r>
      <w:r w:rsidR="00673D8A">
        <w:softHyphen/>
      </w:r>
      <w:r w:rsidR="00FA3692" w:rsidRPr="007420E6">
        <w:t>lem.</w:t>
      </w:r>
      <w:bookmarkEnd w:id="5"/>
    </w:p>
    <w:p w:rsidR="00673D8A" w:rsidRDefault="007420E6" w:rsidP="00CC48A2">
      <w:pPr>
        <w:pStyle w:val="Textstyle"/>
      </w:pPr>
      <w:r>
        <w:tab/>
      </w:r>
      <w:r w:rsidR="00CB38D4" w:rsidRPr="007420E6">
        <w:t>Although Ohio is a retail choice state, its regulatory structure is a hybrid of some complexity.</w:t>
      </w:r>
      <w:r w:rsidR="009F38DB" w:rsidRPr="007420E6">
        <w:t xml:space="preserve">  Ohio law provides two mechanisms to set charges for standard service and provider of last resort service obligations.</w:t>
      </w:r>
      <w:r w:rsidR="00395BAE" w:rsidRPr="007420E6">
        <w:t xml:space="preserve">  One would allow the standard service to be priced through an auction process.  The second, and the one selected by AEP, is termed an electric security plan</w:t>
      </w:r>
      <w:r w:rsidR="00E3354C">
        <w:t xml:space="preserve">, in which </w:t>
      </w:r>
      <w:r w:rsidR="00395BAE" w:rsidRPr="007420E6">
        <w:t>rates are determined through a negotiated process.  One component of the rates established in the AEP plan is a pr</w:t>
      </w:r>
      <w:r w:rsidR="00A81295">
        <w:t xml:space="preserve">ovider of last resort charge to </w:t>
      </w:r>
      <w:r w:rsidR="00A81295">
        <w:br/>
      </w:r>
      <w:r w:rsidR="00A81295">
        <w:br/>
      </w:r>
      <w:r w:rsidR="00A81295">
        <w:br/>
      </w:r>
      <w:r w:rsidR="00395BAE" w:rsidRPr="007420E6">
        <w:lastRenderedPageBreak/>
        <w:t xml:space="preserve">be paid by shopping customers.  This </w:t>
      </w:r>
      <w:r w:rsidR="00F352E6" w:rsidRPr="007420E6">
        <w:t xml:space="preserve">rate </w:t>
      </w:r>
      <w:r w:rsidR="00F352E6">
        <w:t>includes</w:t>
      </w:r>
      <w:r w:rsidR="002D3DF3">
        <w:t xml:space="preserve"> elements of </w:t>
      </w:r>
      <w:r w:rsidR="00E27E91" w:rsidRPr="007420E6">
        <w:t xml:space="preserve">retail </w:t>
      </w:r>
      <w:r w:rsidR="00395BAE" w:rsidRPr="007420E6">
        <w:t>capacity costs.</w:t>
      </w:r>
      <w:r w:rsidR="00395BAE" w:rsidRPr="007420E6">
        <w:rPr>
          <w:rStyle w:val="FootnoteReference"/>
          <w:szCs w:val="26"/>
        </w:rPr>
        <w:footnoteReference w:id="9"/>
      </w:r>
      <w:r w:rsidR="00395BAE" w:rsidRPr="007420E6">
        <w:t xml:space="preserve">  </w:t>
      </w:r>
      <w:r w:rsidR="002D3DF3">
        <w:t>Determining the portion of this charge which reflects capacity is a part of the ongoing proceedings at the Ohio Commission cur</w:t>
      </w:r>
      <w:r w:rsidR="00853A46">
        <w:softHyphen/>
      </w:r>
      <w:r w:rsidR="002D3DF3">
        <w:t xml:space="preserve">rently.  </w:t>
      </w:r>
      <w:r w:rsidR="00395BAE" w:rsidRPr="007420E6">
        <w:t xml:space="preserve">The existence of this charge is not </w:t>
      </w:r>
      <w:r w:rsidR="00CE456B" w:rsidRPr="007420E6">
        <w:t>sur</w:t>
      </w:r>
      <w:r w:rsidR="00F352E6">
        <w:softHyphen/>
      </w:r>
      <w:r w:rsidR="00CE456B" w:rsidRPr="007420E6">
        <w:t>prising</w:t>
      </w:r>
      <w:r w:rsidR="00395BAE" w:rsidRPr="007420E6">
        <w:t xml:space="preserve">.  Although Ohio is a </w:t>
      </w:r>
      <w:r w:rsidR="00CC48A2">
        <w:t xml:space="preserve">retail </w:t>
      </w:r>
      <w:r w:rsidR="00395BAE" w:rsidRPr="007420E6">
        <w:t>choice state, per statute the Ohio Commission retains very significant involvement with generation.</w:t>
      </w:r>
      <w:r w:rsidR="00854104" w:rsidRPr="007420E6">
        <w:t xml:space="preserve">  Retail capacity remains a regulated ser</w:t>
      </w:r>
      <w:r w:rsidR="00F352E6">
        <w:softHyphen/>
      </w:r>
      <w:r w:rsidR="00854104" w:rsidRPr="007420E6">
        <w:t>vice.</w:t>
      </w:r>
      <w:r w:rsidR="00854104" w:rsidRPr="007420E6">
        <w:rPr>
          <w:rStyle w:val="FootnoteReference"/>
          <w:szCs w:val="26"/>
        </w:rPr>
        <w:footnoteReference w:id="10"/>
      </w:r>
      <w:r w:rsidR="00854104" w:rsidRPr="007420E6">
        <w:t xml:space="preserve">  </w:t>
      </w:r>
      <w:r w:rsidR="00E27E91" w:rsidRPr="007420E6">
        <w:t>Recovery of retail capacity costs is permitted through electric security plans like the one for AEP.</w:t>
      </w:r>
      <w:r w:rsidR="00E27E91" w:rsidRPr="007420E6">
        <w:rPr>
          <w:rStyle w:val="FootnoteReference"/>
          <w:szCs w:val="26"/>
        </w:rPr>
        <w:footnoteReference w:id="11"/>
      </w:r>
      <w:r w:rsidR="00E3354C">
        <w:t>Additionally, s</w:t>
      </w:r>
      <w:r w:rsidR="00854104" w:rsidRPr="007420E6">
        <w:t>ome new generation construction or significant addi</w:t>
      </w:r>
      <w:r w:rsidR="00F352E6">
        <w:softHyphen/>
      </w:r>
      <w:r w:rsidR="00854104" w:rsidRPr="007420E6">
        <w:t xml:space="preserve">tions to existing plant </w:t>
      </w:r>
      <w:r w:rsidR="00E3354C">
        <w:t xml:space="preserve">could </w:t>
      </w:r>
      <w:r w:rsidR="00854104" w:rsidRPr="007420E6">
        <w:t>be subject to non-bypassable cost recovery.</w:t>
      </w:r>
      <w:r w:rsidR="00854104" w:rsidRPr="007420E6">
        <w:rPr>
          <w:rStyle w:val="FootnoteReference"/>
          <w:szCs w:val="26"/>
        </w:rPr>
        <w:footnoteReference w:id="12"/>
      </w:r>
      <w:r w:rsidR="00854104" w:rsidRPr="007420E6">
        <w:t xml:space="preserve">  Generating plant cannot be transferred without the approval of the Ohio Commission.</w:t>
      </w:r>
      <w:r w:rsidR="00854104" w:rsidRPr="007420E6">
        <w:rPr>
          <w:rStyle w:val="FootnoteReference"/>
          <w:szCs w:val="26"/>
        </w:rPr>
        <w:footnoteReference w:id="13"/>
      </w:r>
      <w:r w:rsidR="00854104" w:rsidRPr="007420E6">
        <w:t xml:space="preserve">  There is even a mandatory annual review of the utility’s earnings from its entire operation to determine whether it is </w:t>
      </w:r>
      <w:r w:rsidR="00CE456B" w:rsidRPr="007420E6">
        <w:t>over earning</w:t>
      </w:r>
      <w:r w:rsidR="00854104" w:rsidRPr="007420E6">
        <w:t>.</w:t>
      </w:r>
      <w:r w:rsidR="00854104" w:rsidRPr="007420E6">
        <w:rPr>
          <w:rStyle w:val="FootnoteReference"/>
          <w:szCs w:val="26"/>
        </w:rPr>
        <w:footnoteReference w:id="14"/>
      </w:r>
      <w:r w:rsidR="00E27E91" w:rsidRPr="007420E6">
        <w:t xml:space="preserve">  Thus</w:t>
      </w:r>
      <w:r w:rsidR="007726F5">
        <w:t>,</w:t>
      </w:r>
      <w:r w:rsidR="00E27E91" w:rsidRPr="007420E6">
        <w:t xml:space="preserve"> the Ohio Commission has the tools neces</w:t>
      </w:r>
      <w:r w:rsidR="00F352E6">
        <w:softHyphen/>
      </w:r>
      <w:r w:rsidR="00E27E91" w:rsidRPr="007420E6">
        <w:t xml:space="preserve">sary under its state law authority to provide a complete review of AEP’s </w:t>
      </w:r>
      <w:r w:rsidR="00E3354C">
        <w:t>proposal</w:t>
      </w:r>
      <w:r w:rsidR="00E27E91" w:rsidRPr="007420E6">
        <w:t xml:space="preserve">.  The Ohio Commission </w:t>
      </w:r>
      <w:r w:rsidR="007726F5">
        <w:t>is uniquely well positioned to en</w:t>
      </w:r>
      <w:r w:rsidR="00E27E91" w:rsidRPr="007420E6">
        <w:t>sure that AEP is correctly compen</w:t>
      </w:r>
      <w:r w:rsidR="00F352E6">
        <w:softHyphen/>
      </w:r>
      <w:r w:rsidR="00E27E91" w:rsidRPr="007420E6">
        <w:t>sated for its plant investment</w:t>
      </w:r>
      <w:r w:rsidR="002D3DF3">
        <w:t xml:space="preserve"> and to prevent double recovery</w:t>
      </w:r>
      <w:r w:rsidR="00E27E91" w:rsidRPr="007420E6">
        <w:t>.</w:t>
      </w:r>
    </w:p>
    <w:p w:rsidR="00AA44C3" w:rsidRPr="007420E6" w:rsidRDefault="00706A38" w:rsidP="00673D8A">
      <w:pPr>
        <w:pStyle w:val="Heading2"/>
      </w:pPr>
      <w:bookmarkStart w:id="6" w:name="_Toc291496435"/>
      <w:r w:rsidRPr="007420E6">
        <w:lastRenderedPageBreak/>
        <w:t xml:space="preserve">C. </w:t>
      </w:r>
      <w:r w:rsidR="00673D8A">
        <w:tab/>
      </w:r>
      <w:r w:rsidRPr="007420E6">
        <w:t xml:space="preserve">The Ohio Commission has two current proceedings that will address the </w:t>
      </w:r>
      <w:r w:rsidR="009F38DB" w:rsidRPr="007420E6">
        <w:t>problem</w:t>
      </w:r>
      <w:r w:rsidR="00673D8A">
        <w:t>.</w:t>
      </w:r>
      <w:bookmarkEnd w:id="6"/>
    </w:p>
    <w:p w:rsidR="00677FC9" w:rsidRPr="007420E6" w:rsidRDefault="00673D8A" w:rsidP="00CC48A2">
      <w:pPr>
        <w:pStyle w:val="Textstyle"/>
      </w:pPr>
      <w:r>
        <w:tab/>
      </w:r>
      <w:r w:rsidR="00677FC9" w:rsidRPr="007420E6">
        <w:t>On December 8, 2010, the Ohio Commission issued an entry in Case No. 10-2929-EL-UNC</w:t>
      </w:r>
      <w:r w:rsidR="00677FC9" w:rsidRPr="007420E6">
        <w:rPr>
          <w:vertAlign w:val="superscript"/>
        </w:rPr>
        <w:footnoteReference w:id="15"/>
      </w:r>
      <w:r w:rsidR="00677FC9" w:rsidRPr="007420E6">
        <w:rPr>
          <w:vertAlign w:val="superscript"/>
        </w:rPr>
        <w:t xml:space="preserve"> </w:t>
      </w:r>
      <w:r w:rsidR="00677FC9" w:rsidRPr="007420E6">
        <w:t>inviting comments from interested persons concerning AEP</w:t>
      </w:r>
      <w:r w:rsidR="004C60AF" w:rsidRPr="007420E6">
        <w:t>’s</w:t>
      </w:r>
      <w:r w:rsidR="00677FC9" w:rsidRPr="007420E6">
        <w:t xml:space="preserve"> capacity charges to </w:t>
      </w:r>
      <w:r w:rsidR="004C60AF" w:rsidRPr="007420E6">
        <w:t xml:space="preserve">the State of </w:t>
      </w:r>
      <w:r w:rsidR="00677FC9" w:rsidRPr="007420E6">
        <w:t xml:space="preserve">Ohio’s CRES providers.  The Ohio Commission’s entry </w:t>
      </w:r>
      <w:r w:rsidR="004C60AF" w:rsidRPr="007420E6">
        <w:t xml:space="preserve">observes </w:t>
      </w:r>
      <w:r w:rsidR="00677FC9" w:rsidRPr="007420E6">
        <w:t xml:space="preserve">that currently the PUCO-approved rates for </w:t>
      </w:r>
      <w:r w:rsidR="00F86617" w:rsidRPr="007420E6">
        <w:t>Columbus Southern Power Company and Ohio Power Company (</w:t>
      </w:r>
      <w:r w:rsidR="000030EC" w:rsidRPr="007420E6">
        <w:t xml:space="preserve">collectively, </w:t>
      </w:r>
      <w:r w:rsidR="00677FC9" w:rsidRPr="007420E6">
        <w:t>AEP Ohio</w:t>
      </w:r>
      <w:r w:rsidR="000030EC" w:rsidRPr="007420E6">
        <w:t>)</w:t>
      </w:r>
      <w:r>
        <w:t xml:space="preserve"> </w:t>
      </w:r>
      <w:r w:rsidR="00677FC9" w:rsidRPr="007420E6">
        <w:t>include</w:t>
      </w:r>
      <w:r w:rsidR="007726F5">
        <w:t>s, among other things,</w:t>
      </w:r>
      <w:r w:rsidR="00677FC9" w:rsidRPr="007420E6">
        <w:t xml:space="preserve"> recovery of capacity costs through provider-of-last-resort charges to certain retail shop</w:t>
      </w:r>
      <w:r w:rsidR="00677FC9" w:rsidRPr="007420E6">
        <w:softHyphen/>
        <w:t>ping cus</w:t>
      </w:r>
      <w:r w:rsidR="00F352E6">
        <w:softHyphen/>
      </w:r>
      <w:r w:rsidR="00677FC9" w:rsidRPr="007420E6">
        <w:t>tomers.</w:t>
      </w:r>
      <w:r w:rsidR="00677FC9" w:rsidRPr="007420E6">
        <w:rPr>
          <w:vertAlign w:val="superscript"/>
        </w:rPr>
        <w:footnoteReference w:id="16"/>
      </w:r>
      <w:r w:rsidR="00677FC9" w:rsidRPr="007420E6">
        <w:t xml:space="preserve">  These rates are based on the continuation of the current FRR mechanism and the continued use of PJM’s relia</w:t>
      </w:r>
      <w:r w:rsidR="00677FC9" w:rsidRPr="007420E6">
        <w:softHyphen/>
        <w:t xml:space="preserve">bility pricing model’s three-year auction results.  The Ohio Commission’s </w:t>
      </w:r>
      <w:r w:rsidR="004C60AF" w:rsidRPr="007420E6">
        <w:t xml:space="preserve">December 8, 2010 entry also </w:t>
      </w:r>
      <w:r w:rsidR="00677FC9" w:rsidRPr="007420E6">
        <w:t>invited comments from interested per</w:t>
      </w:r>
      <w:r w:rsidR="00F352E6">
        <w:softHyphen/>
      </w:r>
      <w:r w:rsidR="00677FC9" w:rsidRPr="007420E6">
        <w:t>sons concerning the following issues: (1) what changes to the current Ohio Commis</w:t>
      </w:r>
      <w:r w:rsidR="00677FC9" w:rsidRPr="007420E6">
        <w:softHyphen/>
        <w:t>sion mecha</w:t>
      </w:r>
      <w:r w:rsidR="00677FC9" w:rsidRPr="007420E6">
        <w:softHyphen/>
        <w:t>nism are appropriate to determine the AEP Ohio Companies’ Fixed Resource Requirement (</w:t>
      </w:r>
      <w:proofErr w:type="spellStart"/>
      <w:r w:rsidR="00677FC9" w:rsidRPr="007420E6">
        <w:t>FRR</w:t>
      </w:r>
      <w:proofErr w:type="spellEnd"/>
      <w:r w:rsidR="00677FC9" w:rsidRPr="007420E6">
        <w:t>) capacity charges to the State of Ohio’s CRES providers; (2) the degree to which the AEP Ohio Companies’ capacity charges are currently being recov</w:t>
      </w:r>
      <w:r w:rsidR="00677FC9" w:rsidRPr="007420E6">
        <w:softHyphen/>
        <w:t>ered through retail rates approved by the Ohio Commission or other capacity charges; and (3) the impact the AEP Ohio Companies’ capacity charges will have on CRES pro</w:t>
      </w:r>
      <w:r w:rsidR="00677FC9" w:rsidRPr="007420E6">
        <w:softHyphen/>
      </w:r>
      <w:r w:rsidR="00677FC9" w:rsidRPr="007420E6">
        <w:lastRenderedPageBreak/>
        <w:t>viders and retail competition in the State of Ohio.  Although the state compensation mechanism has implicitly been in place since the inception of AEP-Ohio’s current Stan</w:t>
      </w:r>
      <w:r w:rsidR="00677FC9" w:rsidRPr="007420E6">
        <w:softHyphen/>
        <w:t>dard Service Offer,</w:t>
      </w:r>
      <w:r w:rsidR="00677FC9" w:rsidRPr="007420E6">
        <w:rPr>
          <w:vertAlign w:val="superscript"/>
        </w:rPr>
        <w:footnoteReference w:id="17"/>
      </w:r>
      <w:r w:rsidR="00677FC9" w:rsidRPr="007420E6">
        <w:t xml:space="preserve"> </w:t>
      </w:r>
      <w:r w:rsidR="007726F5">
        <w:t xml:space="preserve">on December 8, 2010, </w:t>
      </w:r>
      <w:r w:rsidR="00677FC9" w:rsidRPr="007420E6">
        <w:t>the Ohio Commission expressly adopted</w:t>
      </w:r>
      <w:r w:rsidR="00CC48A2">
        <w:t>,</w:t>
      </w:r>
      <w:r w:rsidR="00677FC9" w:rsidRPr="007420E6">
        <w:t xml:space="preserve"> as its state compensation mechanism</w:t>
      </w:r>
      <w:r w:rsidR="00CC48A2">
        <w:t>,</w:t>
      </w:r>
      <w:r w:rsidR="00677FC9" w:rsidRPr="007420E6">
        <w:t xml:space="preserve"> the AEP Ohio Companies’ charges established by the reliabil</w:t>
      </w:r>
      <w:r w:rsidR="00677FC9" w:rsidRPr="007420E6">
        <w:softHyphen/>
        <w:t>ity pricing model’s three-year capacity auction conducted by PJM.  AEP-Ohio has argued intently that the Ohio Commission does not have the authority to regulate in this instance, however, the company has been an active participant in the Ohio Commission’s intrastate proceeding.</w:t>
      </w:r>
      <w:r w:rsidR="00677FC9" w:rsidRPr="007420E6">
        <w:rPr>
          <w:vertAlign w:val="superscript"/>
        </w:rPr>
        <w:footnoteReference w:id="18"/>
      </w:r>
      <w:r w:rsidR="00677FC9" w:rsidRPr="007420E6">
        <w:rPr>
          <w:vertAlign w:val="superscript"/>
        </w:rPr>
        <w:t xml:space="preserve"> </w:t>
      </w:r>
      <w:r w:rsidR="00677FC9" w:rsidRPr="007420E6">
        <w:t xml:space="preserve"> </w:t>
      </w:r>
    </w:p>
    <w:p w:rsidR="002D3DF3" w:rsidRDefault="00677FC9" w:rsidP="00CC48A2">
      <w:pPr>
        <w:pStyle w:val="Textstyle"/>
      </w:pPr>
      <w:r w:rsidRPr="007420E6">
        <w:t xml:space="preserve"> </w:t>
      </w:r>
      <w:r w:rsidRPr="007420E6">
        <w:tab/>
      </w:r>
      <w:r w:rsidR="00C02977" w:rsidRPr="007420E6">
        <w:t xml:space="preserve">In a separate proceeding, </w:t>
      </w:r>
      <w:r w:rsidR="004C60AF" w:rsidRPr="007420E6">
        <w:t>o</w:t>
      </w:r>
      <w:r w:rsidRPr="007420E6">
        <w:t>n January 27, 2011, AEP Ohio filed with the Ohio Com</w:t>
      </w:r>
      <w:r w:rsidR="00F352E6">
        <w:softHyphen/>
      </w:r>
      <w:r w:rsidRPr="007420E6">
        <w:t>mission an application to establish a Standard Service Offer in the form of an Elec</w:t>
      </w:r>
      <w:r w:rsidR="00F352E6">
        <w:softHyphen/>
      </w:r>
      <w:r w:rsidRPr="007420E6">
        <w:t>tric Security Plan (ESP).</w:t>
      </w:r>
      <w:r w:rsidRPr="007420E6">
        <w:rPr>
          <w:vertAlign w:val="superscript"/>
        </w:rPr>
        <w:footnoteReference w:id="19"/>
      </w:r>
      <w:r w:rsidRPr="007420E6">
        <w:rPr>
          <w:vertAlign w:val="superscript"/>
        </w:rPr>
        <w:t xml:space="preserve"> </w:t>
      </w:r>
      <w:r w:rsidRPr="007420E6">
        <w:t xml:space="preserve"> The direct testimony in this proceeding of witness Laura J. Thomas indicates that AEP Ohio requests approval of capacity charge</w:t>
      </w:r>
      <w:r w:rsidR="00AA44C3" w:rsidRPr="007420E6">
        <w:t>s</w:t>
      </w:r>
      <w:r w:rsidRPr="007420E6">
        <w:t xml:space="preserve"> to </w:t>
      </w:r>
      <w:proofErr w:type="spellStart"/>
      <w:r w:rsidRPr="007420E6">
        <w:t>CRES</w:t>
      </w:r>
      <w:proofErr w:type="spellEnd"/>
      <w:r w:rsidRPr="007420E6">
        <w:t xml:space="preserve"> provid</w:t>
      </w:r>
      <w:r w:rsidR="00F352E6">
        <w:softHyphen/>
      </w:r>
      <w:r w:rsidRPr="007420E6">
        <w:t xml:space="preserve">ers that serve retail load located in the State of Ohio.  Witness Thomas’ testimony states that the cost reflected in the capacity component is based on the rates provided </w:t>
      </w:r>
      <w:r w:rsidR="00AA44C3" w:rsidRPr="007420E6">
        <w:t xml:space="preserve">in </w:t>
      </w:r>
      <w:r w:rsidRPr="007420E6">
        <w:t xml:space="preserve">AEP-Ohio’s Initial Comments filed in PUCO Case No. 10-2929-EL-UNC on January 7, 2011.  The rates identified in the 10-2929-EL-UNC proceeding </w:t>
      </w:r>
      <w:r w:rsidR="00AA44C3" w:rsidRPr="007420E6">
        <w:t xml:space="preserve">are </w:t>
      </w:r>
      <w:r w:rsidRPr="007420E6">
        <w:t>set equal to $299.81/MW-</w:t>
      </w:r>
      <w:r w:rsidRPr="007420E6">
        <w:lastRenderedPageBreak/>
        <w:t xml:space="preserve">day and </w:t>
      </w:r>
      <w:r w:rsidR="00EF48D9" w:rsidRPr="007420E6">
        <w:t>$</w:t>
      </w:r>
      <w:r w:rsidRPr="007420E6">
        <w:t>387.78/MW-day for Columbus Southern Power and Ohio Power Company, respectively.</w:t>
      </w:r>
      <w:r w:rsidRPr="007420E6">
        <w:rPr>
          <w:vertAlign w:val="superscript"/>
        </w:rPr>
        <w:footnoteReference w:id="20"/>
      </w:r>
      <w:r w:rsidRPr="007420E6">
        <w:rPr>
          <w:vertAlign w:val="superscript"/>
        </w:rPr>
        <w:t xml:space="preserve">  </w:t>
      </w:r>
      <w:r w:rsidRPr="007420E6">
        <w:t xml:space="preserve">The Ohio Commission </w:t>
      </w:r>
      <w:r w:rsidR="00AA44C3" w:rsidRPr="007420E6">
        <w:t>asserts</w:t>
      </w:r>
      <w:r w:rsidRPr="007420E6">
        <w:t xml:space="preserve"> that AEP’s application </w:t>
      </w:r>
      <w:r w:rsidR="00C02977" w:rsidRPr="007420E6">
        <w:t xml:space="preserve">at </w:t>
      </w:r>
      <w:r w:rsidRPr="007420E6">
        <w:t>the PUCO to estab</w:t>
      </w:r>
      <w:r w:rsidR="00F352E6">
        <w:softHyphen/>
      </w:r>
      <w:r w:rsidRPr="007420E6">
        <w:t xml:space="preserve">lish these charges </w:t>
      </w:r>
      <w:r w:rsidR="00C02977" w:rsidRPr="007420E6">
        <w:t xml:space="preserve">is contrary to </w:t>
      </w:r>
      <w:r w:rsidR="00CC48A2">
        <w:t>t</w:t>
      </w:r>
      <w:r w:rsidRPr="007420E6">
        <w:t xml:space="preserve">he company’s </w:t>
      </w:r>
      <w:r w:rsidR="00C02977" w:rsidRPr="007420E6">
        <w:t xml:space="preserve">section 206 </w:t>
      </w:r>
      <w:r w:rsidRPr="007420E6">
        <w:t>complaint in this investi</w:t>
      </w:r>
      <w:r w:rsidR="00F352E6">
        <w:softHyphen/>
      </w:r>
      <w:r w:rsidRPr="007420E6">
        <w:t>gation</w:t>
      </w:r>
      <w:r w:rsidR="002D3DF3">
        <w:t xml:space="preserve"> because </w:t>
      </w:r>
      <w:r w:rsidR="00F263BB">
        <w:t>the company’s</w:t>
      </w:r>
      <w:r w:rsidR="002D3DF3">
        <w:t xml:space="preserve"> </w:t>
      </w:r>
      <w:r w:rsidR="00CC48A2">
        <w:t xml:space="preserve">unsolicited </w:t>
      </w:r>
      <w:r w:rsidR="002D3DF3">
        <w:t>filing</w:t>
      </w:r>
      <w:r w:rsidR="00CC48A2">
        <w:t xml:space="preserve"> </w:t>
      </w:r>
      <w:r w:rsidR="00F263BB">
        <w:t xml:space="preserve">to </w:t>
      </w:r>
      <w:r w:rsidR="00CC48A2">
        <w:t xml:space="preserve">the Ohio Commission </w:t>
      </w:r>
      <w:r w:rsidR="00F263BB">
        <w:t>recognizes</w:t>
      </w:r>
      <w:r w:rsidR="002D3DF3">
        <w:t xml:space="preserve"> the </w:t>
      </w:r>
      <w:r w:rsidR="00F263BB">
        <w:t xml:space="preserve">Ohio Commission’s </w:t>
      </w:r>
      <w:r w:rsidR="002D3DF3">
        <w:t>jurisdiction.</w:t>
      </w:r>
      <w:r w:rsidR="00F263BB">
        <w:t xml:space="preserve"> </w:t>
      </w:r>
    </w:p>
    <w:p w:rsidR="0054715F" w:rsidRDefault="0054715F" w:rsidP="0054715F">
      <w:pPr>
        <w:pStyle w:val="Heading2"/>
      </w:pPr>
      <w:bookmarkStart w:id="7" w:name="_Toc291496436"/>
      <w:r>
        <w:t>D</w:t>
      </w:r>
      <w:r w:rsidRPr="007420E6">
        <w:t xml:space="preserve">. </w:t>
      </w:r>
      <w:r>
        <w:tab/>
      </w:r>
      <w:r w:rsidR="005E23F9">
        <w:t>The proposed tariff amendments must be rejected</w:t>
      </w:r>
      <w:r w:rsidR="00DC5BC7">
        <w:t>.</w:t>
      </w:r>
      <w:bookmarkEnd w:id="7"/>
    </w:p>
    <w:p w:rsidR="00BF39C3" w:rsidRDefault="00133826" w:rsidP="00CC48A2">
      <w:pPr>
        <w:pStyle w:val="Textstyle"/>
      </w:pPr>
      <w:r>
        <w:tab/>
      </w:r>
      <w:r w:rsidR="00280FBA" w:rsidRPr="00347D98">
        <w:t>AEP, citing the Horton Affidavit, argues that the drafters of the FRR provisions originally intended to defer to a state compensation mechanism only when a state would be compensated through state</w:t>
      </w:r>
      <w:r w:rsidR="00233A37">
        <w:t>-</w:t>
      </w:r>
      <w:r w:rsidR="00280FBA" w:rsidRPr="00347D98">
        <w:t>approved</w:t>
      </w:r>
      <w:r w:rsidR="00280FBA" w:rsidRPr="00347D98">
        <w:rPr>
          <w:i/>
        </w:rPr>
        <w:t xml:space="preserve"> retail</w:t>
      </w:r>
      <w:r w:rsidR="00280FBA" w:rsidRPr="00347D98">
        <w:t xml:space="preserve"> charges assessed directly to switching </w:t>
      </w:r>
      <w:r w:rsidR="00280FBA" w:rsidRPr="00347D98">
        <w:rPr>
          <w:i/>
        </w:rPr>
        <w:t>retail</w:t>
      </w:r>
      <w:r w:rsidR="00280FBA" w:rsidRPr="00347D98">
        <w:t xml:space="preserve"> customers.  Additionally, AEP contends that, absent a state</w:t>
      </w:r>
      <w:r w:rsidR="00A923D2">
        <w:t>-</w:t>
      </w:r>
      <w:r w:rsidR="00280FBA" w:rsidRPr="00347D98">
        <w:t>approved retail com</w:t>
      </w:r>
      <w:r w:rsidR="00F352E6">
        <w:softHyphen/>
      </w:r>
      <w:r w:rsidR="00280FBA" w:rsidRPr="00347D98">
        <w:t xml:space="preserve">pensation mechanism, </w:t>
      </w:r>
      <w:proofErr w:type="spellStart"/>
      <w:r w:rsidR="00280FBA" w:rsidRPr="00347D98">
        <w:t>FRR</w:t>
      </w:r>
      <w:proofErr w:type="spellEnd"/>
      <w:r w:rsidR="00280FBA" w:rsidRPr="00347D98">
        <w:t xml:space="preserve"> Entities would be compensated by CRES providers through </w:t>
      </w:r>
      <w:r w:rsidR="00280FBA" w:rsidRPr="00347D98">
        <w:rPr>
          <w:i/>
        </w:rPr>
        <w:t>wholesale</w:t>
      </w:r>
      <w:r w:rsidR="00280FBA" w:rsidRPr="00347D98">
        <w:t xml:space="preserve"> rates approved by </w:t>
      </w:r>
      <w:r w:rsidR="00CC48A2">
        <w:t xml:space="preserve">the </w:t>
      </w:r>
      <w:r w:rsidR="00280FBA" w:rsidRPr="00347D98">
        <w:t>FERC.</w:t>
      </w:r>
      <w:r w:rsidR="00280FBA" w:rsidRPr="00347D98">
        <w:rPr>
          <w:rStyle w:val="FootnoteReference"/>
          <w:szCs w:val="26"/>
        </w:rPr>
        <w:footnoteReference w:id="21"/>
      </w:r>
      <w:r w:rsidR="00280FBA" w:rsidRPr="00347D98">
        <w:t xml:space="preserve">  Contrary to AEP’s argument, as s</w:t>
      </w:r>
      <w:r w:rsidR="00280FBA">
        <w:t>t</w:t>
      </w:r>
      <w:r w:rsidR="00280FBA" w:rsidRPr="00347D98">
        <w:t>ated ear</w:t>
      </w:r>
      <w:r w:rsidR="00853A46">
        <w:softHyphen/>
      </w:r>
      <w:r w:rsidR="00280FBA" w:rsidRPr="00347D98">
        <w:t>lier</w:t>
      </w:r>
      <w:r w:rsidR="00280FBA">
        <w:t>,</w:t>
      </w:r>
      <w:r w:rsidR="00280FBA" w:rsidRPr="00347D98">
        <w:t xml:space="preserve"> the Ohio Commission maintains that under Section D.8 of the RAA a state compensation mechanism prevails in instances where the state jurisdiction requires the LSE to compen</w:t>
      </w:r>
      <w:r w:rsidR="00F352E6">
        <w:softHyphen/>
      </w:r>
      <w:r w:rsidR="00280FBA" w:rsidRPr="00347D98">
        <w:t xml:space="preserve">sate the </w:t>
      </w:r>
      <w:proofErr w:type="spellStart"/>
      <w:r w:rsidR="00280FBA" w:rsidRPr="00347D98">
        <w:t>FRR</w:t>
      </w:r>
      <w:proofErr w:type="spellEnd"/>
      <w:r w:rsidR="00280FBA" w:rsidRPr="00347D98">
        <w:t xml:space="preserve"> entity</w:t>
      </w:r>
      <w:r w:rsidR="00853A46" w:rsidRPr="00347D98">
        <w:t xml:space="preserve">.  </w:t>
      </w:r>
      <w:r w:rsidR="00280FBA" w:rsidRPr="00347D98">
        <w:t xml:space="preserve">The Ohio Commission’s stance is </w:t>
      </w:r>
      <w:r w:rsidR="00280FBA">
        <w:t xml:space="preserve">appropriately </w:t>
      </w:r>
      <w:r w:rsidR="00280FBA" w:rsidRPr="00347D98">
        <w:t>supported by</w:t>
      </w:r>
      <w:r w:rsidR="00CC48A2">
        <w:t xml:space="preserve"> the </w:t>
      </w:r>
      <w:r w:rsidR="00280FBA" w:rsidRPr="00347D98">
        <w:t>FERC in its Order Rejecting AEP</w:t>
      </w:r>
      <w:r w:rsidR="00280FBA">
        <w:t>’</w:t>
      </w:r>
      <w:r w:rsidR="00280FBA" w:rsidRPr="00347D98">
        <w:t>s Formula Rates.</w:t>
      </w:r>
      <w:r w:rsidR="00280FBA" w:rsidRPr="00347D98">
        <w:rPr>
          <w:rStyle w:val="FootnoteReference"/>
          <w:szCs w:val="26"/>
        </w:rPr>
        <w:footnoteReference w:id="22"/>
      </w:r>
    </w:p>
    <w:p w:rsidR="00BF39C3" w:rsidRDefault="00133826" w:rsidP="00CC48A2">
      <w:pPr>
        <w:pStyle w:val="Textstyle"/>
      </w:pPr>
      <w:r>
        <w:lastRenderedPageBreak/>
        <w:tab/>
      </w:r>
      <w:r w:rsidR="00A923D2">
        <w:t>Contrary</w:t>
      </w:r>
      <w:r w:rsidR="00280FBA">
        <w:t xml:space="preserve"> </w:t>
      </w:r>
      <w:r w:rsidR="00D550A4">
        <w:t xml:space="preserve">to </w:t>
      </w:r>
      <w:r w:rsidR="00280FBA" w:rsidRPr="00347D98">
        <w:t>the Horton Affidavit, the Ohio Commission maintains</w:t>
      </w:r>
      <w:r w:rsidR="00A923D2">
        <w:t xml:space="preserve"> that</w:t>
      </w:r>
      <w:r w:rsidR="00280FBA" w:rsidRPr="00347D98">
        <w:t xml:space="preserve"> the original authors of the disputed tariff language, in an attempt to prevent double recovery of capacity charges</w:t>
      </w:r>
      <w:r w:rsidR="00280FBA">
        <w:t xml:space="preserve"> from both the retail and federal jurisdictions</w:t>
      </w:r>
      <w:r w:rsidR="00280FBA" w:rsidRPr="00347D98">
        <w:t xml:space="preserve">, </w:t>
      </w:r>
      <w:r w:rsidR="00280FBA">
        <w:t xml:space="preserve">astutely </w:t>
      </w:r>
      <w:r w:rsidR="00280FBA" w:rsidRPr="00347D98">
        <w:t>possessed the foresight to anticipate the situation at hand</w:t>
      </w:r>
      <w:r w:rsidR="00233A37">
        <w:t xml:space="preserve"> </w:t>
      </w:r>
      <w:r w:rsidR="00233A37" w:rsidRPr="00347D98">
        <w:t>when a vertically inte</w:t>
      </w:r>
      <w:r w:rsidR="00233A37">
        <w:softHyphen/>
      </w:r>
      <w:r w:rsidR="00233A37" w:rsidRPr="00347D98">
        <w:t>grated FRR company (or</w:t>
      </w:r>
      <w:r w:rsidR="00233A37">
        <w:t>,</w:t>
      </w:r>
      <w:r w:rsidR="00233A37" w:rsidRPr="00347D98">
        <w:t xml:space="preserve"> in Ohio’s case</w:t>
      </w:r>
      <w:r w:rsidR="00233A37">
        <w:t>,</w:t>
      </w:r>
      <w:r w:rsidR="00233A37" w:rsidRPr="00347D98">
        <w:t xml:space="preserve"> a company subject </w:t>
      </w:r>
      <w:r w:rsidR="00233A37">
        <w:t xml:space="preserve">to </w:t>
      </w:r>
      <w:r w:rsidR="00233A37" w:rsidRPr="00347D98">
        <w:t>a hybrid form of regula</w:t>
      </w:r>
      <w:r w:rsidR="00233A37">
        <w:softHyphen/>
      </w:r>
      <w:r w:rsidR="00233A37" w:rsidRPr="00347D98">
        <w:t xml:space="preserve">tion) has </w:t>
      </w:r>
      <w:r w:rsidR="00233A37">
        <w:t xml:space="preserve">intertwined </w:t>
      </w:r>
      <w:r w:rsidR="00233A37" w:rsidRPr="00347D98">
        <w:t>capacity charges at the retail level</w:t>
      </w:r>
      <w:r w:rsidR="00233A37">
        <w:t>)</w:t>
      </w:r>
      <w:r w:rsidR="00A923D2">
        <w:t>, and accounted for such situation by including the disputed tariff language</w:t>
      </w:r>
      <w:r w:rsidR="00280FBA" w:rsidRPr="00347D98">
        <w:t>.</w:t>
      </w:r>
      <w:r w:rsidR="00D550A4">
        <w:t xml:space="preserve">  </w:t>
      </w:r>
      <w:r w:rsidR="00A923D2">
        <w:t>The situation still exists in Ohio, and the disputed tariff language is necessary to prevent double recovery</w:t>
      </w:r>
      <w:r w:rsidR="00233A37">
        <w:t xml:space="preserve"> of the capacity charges from both the retail and federal jurisdictions.</w:t>
      </w:r>
      <w:r w:rsidR="00A923D2">
        <w:t xml:space="preserve"> </w:t>
      </w:r>
      <w:r w:rsidR="00233A37">
        <w:t xml:space="preserve"> </w:t>
      </w:r>
      <w:r w:rsidR="00280FBA">
        <w:t>T</w:t>
      </w:r>
      <w:r w:rsidR="00280FBA" w:rsidRPr="00347D98">
        <w:t xml:space="preserve">he Ohio Commission </w:t>
      </w:r>
      <w:r w:rsidR="00280FBA">
        <w:t xml:space="preserve">is best positioned to ensure </w:t>
      </w:r>
      <w:r w:rsidR="00A923D2">
        <w:t xml:space="preserve">that </w:t>
      </w:r>
      <w:r w:rsidR="00280FBA">
        <w:t xml:space="preserve">the proper </w:t>
      </w:r>
      <w:r w:rsidR="00A923D2">
        <w:t xml:space="preserve">capacity </w:t>
      </w:r>
      <w:r w:rsidR="00280FBA">
        <w:t xml:space="preserve">charges are allocated </w:t>
      </w:r>
      <w:r w:rsidR="00A923D2">
        <w:t>at the retail level consistent with</w:t>
      </w:r>
      <w:r w:rsidR="00280FBA">
        <w:t xml:space="preserve"> the tariff</w:t>
      </w:r>
      <w:r w:rsidR="00280FBA" w:rsidRPr="00347D98">
        <w:t xml:space="preserve">.  </w:t>
      </w:r>
      <w:r w:rsidR="00233A37">
        <w:t>Allowing AEP to unilaterally amend the tariff when Ohio is operating under a hybrid regulatory model would hinder the Ohio Commission’s ability to establish retail rates or from ensuring that there is not double recovery of the capacity charges</w:t>
      </w:r>
      <w:proofErr w:type="gramStart"/>
      <w:r w:rsidR="00233A37">
        <w:t xml:space="preserve">.   </w:t>
      </w:r>
      <w:proofErr w:type="gramEnd"/>
      <w:r w:rsidR="00280FBA" w:rsidRPr="00347D98">
        <w:t>For these rea</w:t>
      </w:r>
      <w:r w:rsidR="00853A46">
        <w:softHyphen/>
      </w:r>
      <w:r w:rsidR="00280FBA" w:rsidRPr="00347D98">
        <w:t>sons</w:t>
      </w:r>
      <w:r w:rsidR="00280FBA">
        <w:t>,</w:t>
      </w:r>
      <w:r w:rsidR="00280FBA" w:rsidRPr="00347D98">
        <w:t xml:space="preserve"> AEP’s proposed tariff amendments must be summarily rejected.</w:t>
      </w:r>
    </w:p>
    <w:p w:rsidR="00F352E6" w:rsidRDefault="00F352E6" w:rsidP="00652C07">
      <w:pPr>
        <w:pStyle w:val="Heading1"/>
        <w:rPr>
          <w:sz w:val="26"/>
          <w:szCs w:val="26"/>
        </w:rPr>
      </w:pPr>
      <w:r>
        <w:rPr>
          <w:sz w:val="26"/>
          <w:szCs w:val="26"/>
        </w:rPr>
        <w:br w:type="page"/>
      </w:r>
    </w:p>
    <w:p w:rsidR="00C6290C" w:rsidRPr="007420E6" w:rsidRDefault="00647CB3" w:rsidP="00652C07">
      <w:pPr>
        <w:pStyle w:val="Heading1"/>
        <w:rPr>
          <w:sz w:val="26"/>
          <w:szCs w:val="26"/>
        </w:rPr>
      </w:pPr>
      <w:bookmarkStart w:id="8" w:name="_Toc291496437"/>
      <w:r w:rsidRPr="007420E6">
        <w:rPr>
          <w:sz w:val="26"/>
          <w:szCs w:val="26"/>
        </w:rPr>
        <w:lastRenderedPageBreak/>
        <w:t>CONCLUSION</w:t>
      </w:r>
      <w:bookmarkEnd w:id="8"/>
    </w:p>
    <w:p w:rsidR="00F352E6" w:rsidRDefault="00EC2F61" w:rsidP="00F352E6">
      <w:pPr>
        <w:pStyle w:val="Textstyle"/>
      </w:pPr>
      <w:r w:rsidRPr="007420E6">
        <w:tab/>
        <w:t xml:space="preserve">The FERC </w:t>
      </w:r>
      <w:r w:rsidR="00FA3692" w:rsidRPr="007420E6">
        <w:t>should either dismiss this complaint or stay the proceeding until the state proceedings have been completed.  The Ohio Commission is in the best position to examine the recoverability of these matters and has ongoing proceedings in which to do so</w:t>
      </w:r>
      <w:r w:rsidRPr="007420E6">
        <w:t>.</w:t>
      </w:r>
      <w:r w:rsidR="00E27E91" w:rsidRPr="007420E6">
        <w:t xml:space="preserve">  </w:t>
      </w:r>
      <w:r w:rsidR="006619D7" w:rsidRPr="007420E6">
        <w:t xml:space="preserve">This approach would save </w:t>
      </w:r>
      <w:r w:rsidR="00E47C4E">
        <w:t>the FERC</w:t>
      </w:r>
      <w:r w:rsidR="006619D7" w:rsidRPr="007420E6">
        <w:t xml:space="preserve"> substantial time and duplicative effort.  </w:t>
      </w:r>
      <w:r w:rsidR="00E27E91" w:rsidRPr="007420E6">
        <w:t>If any problem or concern would arise, th</w:t>
      </w:r>
      <w:r w:rsidR="00E47C4E">
        <w:t xml:space="preserve">e FERC </w:t>
      </w:r>
      <w:r w:rsidR="00E27E91" w:rsidRPr="007420E6">
        <w:t>always retains its fundamental jurisdiction</w:t>
      </w:r>
      <w:r w:rsidR="006619D7" w:rsidRPr="007420E6">
        <w:t xml:space="preserve"> to resolve wholesale issues.</w:t>
      </w:r>
    </w:p>
    <w:p w:rsidR="00F352E6" w:rsidRPr="00DD0BFC" w:rsidRDefault="00F352E6" w:rsidP="00F352E6">
      <w:pPr>
        <w:tabs>
          <w:tab w:val="left" w:pos="9360"/>
        </w:tabs>
        <w:ind w:left="432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9118DC" w:rsidRPr="00F352E6" w:rsidRDefault="009118DC" w:rsidP="009118DC">
      <w:pPr>
        <w:pStyle w:val="BodyTextIndent2"/>
        <w:ind w:left="4320" w:firstLine="0"/>
        <w:rPr>
          <w:b/>
          <w:sz w:val="26"/>
          <w:szCs w:val="26"/>
        </w:rPr>
      </w:pPr>
      <w:r w:rsidRPr="00F352E6">
        <w:rPr>
          <w:b/>
          <w:sz w:val="26"/>
          <w:szCs w:val="26"/>
        </w:rPr>
        <w:t>Thomas W. McNamee</w:t>
      </w:r>
    </w:p>
    <w:p w:rsidR="009118DC" w:rsidRPr="00F352E6" w:rsidRDefault="009118DC" w:rsidP="009118DC">
      <w:pPr>
        <w:pStyle w:val="BodyTextIndent2"/>
        <w:ind w:left="4320" w:firstLine="0"/>
        <w:rPr>
          <w:sz w:val="26"/>
          <w:szCs w:val="26"/>
        </w:rPr>
      </w:pPr>
      <w:r w:rsidRPr="00F352E6">
        <w:rPr>
          <w:sz w:val="26"/>
          <w:szCs w:val="26"/>
        </w:rPr>
        <w:t>Public Utilities Section</w:t>
      </w:r>
    </w:p>
    <w:p w:rsidR="009118DC" w:rsidRPr="00F352E6" w:rsidRDefault="009118DC" w:rsidP="009118DC">
      <w:pPr>
        <w:pStyle w:val="BodyTextIndent2"/>
        <w:ind w:left="4320" w:firstLine="0"/>
        <w:rPr>
          <w:sz w:val="26"/>
          <w:szCs w:val="26"/>
        </w:rPr>
      </w:pPr>
      <w:r w:rsidRPr="00F352E6">
        <w:rPr>
          <w:sz w:val="26"/>
          <w:szCs w:val="26"/>
        </w:rPr>
        <w:t>180 East Broad Street</w:t>
      </w:r>
    </w:p>
    <w:p w:rsidR="009118DC" w:rsidRPr="00F352E6" w:rsidRDefault="009118DC" w:rsidP="009118DC">
      <w:pPr>
        <w:pStyle w:val="BodyTextIndent2"/>
        <w:ind w:left="4320" w:firstLine="0"/>
        <w:rPr>
          <w:sz w:val="26"/>
          <w:szCs w:val="26"/>
        </w:rPr>
      </w:pPr>
      <w:r w:rsidRPr="00F352E6">
        <w:rPr>
          <w:sz w:val="26"/>
          <w:szCs w:val="26"/>
        </w:rPr>
        <w:t>Columbus, OH 43215-3793</w:t>
      </w:r>
    </w:p>
    <w:p w:rsidR="009118DC" w:rsidRPr="00F352E6" w:rsidRDefault="009118DC" w:rsidP="009118DC">
      <w:pPr>
        <w:pStyle w:val="BodyTextIndent2"/>
        <w:ind w:left="4320" w:firstLine="0"/>
        <w:rPr>
          <w:sz w:val="26"/>
          <w:szCs w:val="26"/>
        </w:rPr>
      </w:pPr>
      <w:r w:rsidRPr="00F352E6">
        <w:rPr>
          <w:sz w:val="26"/>
          <w:szCs w:val="26"/>
        </w:rPr>
        <w:t>614.466.4396 (telephone)</w:t>
      </w:r>
    </w:p>
    <w:p w:rsidR="009118DC" w:rsidRPr="00F352E6" w:rsidRDefault="009118DC" w:rsidP="009118DC">
      <w:pPr>
        <w:pStyle w:val="BodyTextIndent2"/>
        <w:ind w:left="4320" w:firstLine="0"/>
        <w:rPr>
          <w:sz w:val="26"/>
          <w:szCs w:val="26"/>
        </w:rPr>
      </w:pPr>
      <w:r w:rsidRPr="00F352E6">
        <w:rPr>
          <w:sz w:val="26"/>
          <w:szCs w:val="26"/>
        </w:rPr>
        <w:t>614.644.8764 (fax)</w:t>
      </w:r>
    </w:p>
    <w:p w:rsidR="009118DC" w:rsidRPr="00F352E6" w:rsidRDefault="006E0C52" w:rsidP="009118DC">
      <w:pPr>
        <w:pStyle w:val="BodyTextIndent2"/>
        <w:ind w:left="4320" w:firstLine="0"/>
        <w:rPr>
          <w:sz w:val="26"/>
          <w:szCs w:val="26"/>
        </w:rPr>
      </w:pPr>
      <w:hyperlink r:id="rId13" w:history="1">
        <w:r w:rsidR="009118DC" w:rsidRPr="00F352E6">
          <w:rPr>
            <w:rStyle w:val="Hyperlink"/>
            <w:sz w:val="26"/>
            <w:szCs w:val="26"/>
          </w:rPr>
          <w:t>thomas.mcnamee@puc.state.oh.us</w:t>
        </w:r>
      </w:hyperlink>
    </w:p>
    <w:p w:rsidR="009118DC" w:rsidRPr="00F352E6" w:rsidRDefault="009118DC" w:rsidP="009118DC">
      <w:pPr>
        <w:pStyle w:val="BodyTextIndent2"/>
        <w:ind w:left="4320" w:firstLine="0"/>
        <w:rPr>
          <w:sz w:val="26"/>
          <w:szCs w:val="26"/>
        </w:rPr>
      </w:pPr>
    </w:p>
    <w:p w:rsidR="009118DC" w:rsidRPr="00F352E6" w:rsidRDefault="009118DC" w:rsidP="009118DC">
      <w:pPr>
        <w:pStyle w:val="BodyTextIndent2"/>
        <w:ind w:left="4320" w:firstLine="0"/>
        <w:rPr>
          <w:b/>
          <w:sz w:val="26"/>
          <w:szCs w:val="26"/>
        </w:rPr>
      </w:pPr>
      <w:r w:rsidRPr="00F352E6">
        <w:rPr>
          <w:b/>
          <w:sz w:val="26"/>
          <w:szCs w:val="26"/>
        </w:rPr>
        <w:t xml:space="preserve">On behalf of </w:t>
      </w:r>
    </w:p>
    <w:p w:rsidR="009118DC" w:rsidRPr="00F352E6" w:rsidRDefault="009118DC" w:rsidP="009118DC">
      <w:pPr>
        <w:pStyle w:val="BodyTextIndent2"/>
        <w:ind w:left="4320" w:firstLine="0"/>
        <w:rPr>
          <w:sz w:val="26"/>
          <w:szCs w:val="26"/>
        </w:rPr>
      </w:pPr>
      <w:r w:rsidRPr="00F352E6">
        <w:rPr>
          <w:sz w:val="26"/>
          <w:szCs w:val="26"/>
        </w:rPr>
        <w:t>The Public Utilities Commission of Ohio</w:t>
      </w:r>
    </w:p>
    <w:p w:rsidR="009118DC" w:rsidRDefault="009118DC" w:rsidP="009118DC">
      <w:pPr>
        <w:tabs>
          <w:tab w:val="left" w:pos="9360"/>
        </w:tabs>
        <w:jc w:val="center"/>
        <w:rPr>
          <w:rFonts w:ascii="Times New Roman" w:hAnsi="Times New Roman"/>
          <w:b/>
          <w:sz w:val="26"/>
          <w:szCs w:val="26"/>
        </w:rPr>
      </w:pPr>
    </w:p>
    <w:p w:rsidR="00133826" w:rsidRDefault="00133826" w:rsidP="009118DC">
      <w:pPr>
        <w:tabs>
          <w:tab w:val="left" w:pos="9360"/>
        </w:tabs>
        <w:jc w:val="center"/>
        <w:rPr>
          <w:rFonts w:ascii="Times New Roman" w:hAnsi="Times New Roman"/>
          <w:b/>
          <w:sz w:val="26"/>
          <w:szCs w:val="26"/>
        </w:rPr>
      </w:pPr>
    </w:p>
    <w:p w:rsidR="00673D8A" w:rsidRPr="00292490" w:rsidRDefault="00673D8A" w:rsidP="00673D8A">
      <w:pPr>
        <w:pStyle w:val="Heading1"/>
      </w:pPr>
      <w:bookmarkStart w:id="9" w:name="_Toc291496438"/>
      <w:r w:rsidRPr="00292490">
        <w:t>CERTIFICATE OF SERVICE</w:t>
      </w:r>
      <w:bookmarkEnd w:id="9"/>
    </w:p>
    <w:p w:rsidR="00673D8A" w:rsidRPr="00292490" w:rsidRDefault="00673D8A" w:rsidP="00CC48A2">
      <w:pPr>
        <w:pStyle w:val="Textstyle"/>
      </w:pPr>
      <w:r w:rsidRPr="00292490">
        <w:tab/>
        <w:t>I hereby certify that the foregoing have been served in accordance with 18 C.F.R. Sec. 385.2010 upon each person designated on the official service list compiled by the Secretary in this proceeding.</w:t>
      </w:r>
    </w:p>
    <w:p w:rsidR="00673D8A" w:rsidRPr="00DD0BFC" w:rsidRDefault="00673D8A" w:rsidP="00673D8A">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673D8A" w:rsidRPr="00292490" w:rsidRDefault="00673D8A" w:rsidP="00673D8A">
      <w:pPr>
        <w:tabs>
          <w:tab w:val="left" w:pos="9360"/>
        </w:tabs>
        <w:ind w:left="4760"/>
        <w:rPr>
          <w:rFonts w:ascii="Times New Roman" w:hAnsi="Times New Roman"/>
          <w:b/>
          <w:sz w:val="26"/>
          <w:szCs w:val="26"/>
        </w:rPr>
      </w:pPr>
      <w:r w:rsidRPr="00292490">
        <w:rPr>
          <w:rFonts w:ascii="Times New Roman" w:hAnsi="Times New Roman"/>
          <w:b/>
          <w:sz w:val="26"/>
          <w:szCs w:val="26"/>
        </w:rPr>
        <w:t>Thomas W. McNamee</w:t>
      </w:r>
    </w:p>
    <w:p w:rsidR="00673D8A" w:rsidRPr="00292490" w:rsidRDefault="00673D8A" w:rsidP="00673D8A">
      <w:pPr>
        <w:tabs>
          <w:tab w:val="left" w:pos="9360"/>
        </w:tabs>
        <w:ind w:left="4760"/>
        <w:rPr>
          <w:rFonts w:ascii="Times New Roman" w:hAnsi="Times New Roman"/>
          <w:sz w:val="26"/>
          <w:szCs w:val="26"/>
        </w:rPr>
      </w:pPr>
    </w:p>
    <w:p w:rsidR="00673D8A" w:rsidRPr="00292490" w:rsidRDefault="00673D8A" w:rsidP="00673D8A">
      <w:pPr>
        <w:rPr>
          <w:rFonts w:ascii="Times New Roman" w:hAnsi="Times New Roman"/>
          <w:sz w:val="26"/>
          <w:szCs w:val="26"/>
        </w:rPr>
      </w:pPr>
    </w:p>
    <w:p w:rsidR="00673D8A" w:rsidRPr="00673D8A" w:rsidRDefault="00673D8A" w:rsidP="00673D8A">
      <w:pPr>
        <w:rPr>
          <w:rFonts w:ascii="Times New Roman" w:hAnsi="Times New Roman"/>
          <w:sz w:val="26"/>
          <w:szCs w:val="26"/>
        </w:rPr>
      </w:pPr>
      <w:r w:rsidRPr="00292490">
        <w:rPr>
          <w:rFonts w:ascii="Times New Roman" w:hAnsi="Times New Roman"/>
          <w:sz w:val="26"/>
          <w:szCs w:val="26"/>
        </w:rPr>
        <w:t>Dated at</w:t>
      </w:r>
      <w:r>
        <w:rPr>
          <w:rFonts w:ascii="Times New Roman" w:hAnsi="Times New Roman"/>
          <w:sz w:val="26"/>
          <w:szCs w:val="26"/>
        </w:rPr>
        <w:t xml:space="preserve"> Columbus, Ohio this April 25, 2011.</w:t>
      </w:r>
    </w:p>
    <w:sectPr w:rsidR="00673D8A" w:rsidRPr="00673D8A" w:rsidSect="009118DC">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4F" w:rsidRDefault="00AA134F" w:rsidP="00597170">
      <w:r>
        <w:separator/>
      </w:r>
    </w:p>
  </w:endnote>
  <w:endnote w:type="continuationSeparator" w:id="0">
    <w:p w:rsidR="00AA134F" w:rsidRDefault="00AA134F" w:rsidP="005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2" w:rsidRPr="00673D8A" w:rsidRDefault="00CE0704">
    <w:pPr>
      <w:pStyle w:val="Footer"/>
      <w:jc w:val="center"/>
      <w:rPr>
        <w:rFonts w:ascii="Times New Roman" w:hAnsi="Times New Roman"/>
        <w:sz w:val="24"/>
        <w:szCs w:val="24"/>
      </w:rPr>
    </w:pPr>
    <w:r w:rsidRPr="00673D8A">
      <w:rPr>
        <w:rFonts w:ascii="Times New Roman" w:hAnsi="Times New Roman"/>
        <w:sz w:val="24"/>
        <w:szCs w:val="24"/>
      </w:rPr>
      <w:fldChar w:fldCharType="begin"/>
    </w:r>
    <w:r w:rsidR="00CC48A2" w:rsidRPr="00673D8A">
      <w:rPr>
        <w:rFonts w:ascii="Times New Roman" w:hAnsi="Times New Roman"/>
        <w:sz w:val="24"/>
        <w:szCs w:val="24"/>
      </w:rPr>
      <w:instrText xml:space="preserve"> PAGE   \* MERGEFORMAT </w:instrText>
    </w:r>
    <w:r w:rsidRPr="00673D8A">
      <w:rPr>
        <w:rFonts w:ascii="Times New Roman" w:hAnsi="Times New Roman"/>
        <w:sz w:val="24"/>
        <w:szCs w:val="24"/>
      </w:rPr>
      <w:fldChar w:fldCharType="separate"/>
    </w:r>
    <w:r w:rsidR="00CC48A2">
      <w:rPr>
        <w:rFonts w:ascii="Times New Roman" w:hAnsi="Times New Roman"/>
        <w:noProof/>
        <w:sz w:val="24"/>
        <w:szCs w:val="24"/>
      </w:rPr>
      <w:t>2</w:t>
    </w:r>
    <w:r w:rsidRPr="00673D8A">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2" w:rsidRPr="009118DC" w:rsidRDefault="00CE0704" w:rsidP="009118DC">
    <w:pPr>
      <w:pStyle w:val="Footer"/>
      <w:jc w:val="center"/>
      <w:rPr>
        <w:rFonts w:ascii="Times New Roman" w:hAnsi="Times New Roman"/>
        <w:sz w:val="24"/>
        <w:szCs w:val="24"/>
      </w:rPr>
    </w:pPr>
    <w:r w:rsidRPr="009118DC">
      <w:rPr>
        <w:rFonts w:ascii="Times New Roman" w:hAnsi="Times New Roman"/>
        <w:sz w:val="24"/>
        <w:szCs w:val="24"/>
      </w:rPr>
      <w:fldChar w:fldCharType="begin"/>
    </w:r>
    <w:r w:rsidR="00CC48A2" w:rsidRPr="009118DC">
      <w:rPr>
        <w:rFonts w:ascii="Times New Roman" w:hAnsi="Times New Roman"/>
        <w:sz w:val="24"/>
        <w:szCs w:val="24"/>
      </w:rPr>
      <w:instrText xml:space="preserve"> PAGE   \* MERGEFORMAT </w:instrText>
    </w:r>
    <w:r w:rsidRPr="009118DC">
      <w:rPr>
        <w:rFonts w:ascii="Times New Roman" w:hAnsi="Times New Roman"/>
        <w:sz w:val="24"/>
        <w:szCs w:val="24"/>
      </w:rPr>
      <w:fldChar w:fldCharType="separate"/>
    </w:r>
    <w:r w:rsidR="006E0C52">
      <w:rPr>
        <w:rFonts w:ascii="Times New Roman" w:hAnsi="Times New Roman"/>
        <w:noProof/>
        <w:sz w:val="24"/>
        <w:szCs w:val="24"/>
      </w:rPr>
      <w:t>i</w:t>
    </w:r>
    <w:r w:rsidRPr="009118DC">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2" w:rsidRPr="00673D8A" w:rsidRDefault="00CE0704">
    <w:pPr>
      <w:pStyle w:val="Footer"/>
      <w:jc w:val="center"/>
      <w:rPr>
        <w:rFonts w:ascii="Times New Roman" w:hAnsi="Times New Roman"/>
        <w:sz w:val="24"/>
        <w:szCs w:val="24"/>
      </w:rPr>
    </w:pPr>
    <w:r w:rsidRPr="00673D8A">
      <w:rPr>
        <w:rFonts w:ascii="Times New Roman" w:hAnsi="Times New Roman"/>
        <w:sz w:val="24"/>
        <w:szCs w:val="24"/>
      </w:rPr>
      <w:fldChar w:fldCharType="begin"/>
    </w:r>
    <w:r w:rsidR="00CC48A2" w:rsidRPr="00673D8A">
      <w:rPr>
        <w:rFonts w:ascii="Times New Roman" w:hAnsi="Times New Roman"/>
        <w:sz w:val="24"/>
        <w:szCs w:val="24"/>
      </w:rPr>
      <w:instrText xml:space="preserve"> PAGE   \* MERGEFORMAT </w:instrText>
    </w:r>
    <w:r w:rsidRPr="00673D8A">
      <w:rPr>
        <w:rFonts w:ascii="Times New Roman" w:hAnsi="Times New Roman"/>
        <w:sz w:val="24"/>
        <w:szCs w:val="24"/>
      </w:rPr>
      <w:fldChar w:fldCharType="separate"/>
    </w:r>
    <w:r w:rsidR="006E0C52">
      <w:rPr>
        <w:rFonts w:ascii="Times New Roman" w:hAnsi="Times New Roman"/>
        <w:noProof/>
        <w:sz w:val="24"/>
        <w:szCs w:val="24"/>
      </w:rPr>
      <w:t>11</w:t>
    </w:r>
    <w:r w:rsidRPr="00673D8A">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2" w:rsidRPr="009118DC" w:rsidRDefault="00CC48A2" w:rsidP="0091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4F" w:rsidRDefault="00AA134F" w:rsidP="00597170">
      <w:r>
        <w:separator/>
      </w:r>
    </w:p>
  </w:footnote>
  <w:footnote w:type="continuationSeparator" w:id="0">
    <w:p w:rsidR="00AA134F" w:rsidRDefault="00AA134F" w:rsidP="00597170">
      <w:r>
        <w:continuationSeparator/>
      </w:r>
    </w:p>
  </w:footnote>
  <w:footnote w:id="1">
    <w:p w:rsidR="00CC48A2" w:rsidRPr="00ED41FA" w:rsidRDefault="00CC48A2" w:rsidP="007420E6">
      <w:pPr>
        <w:pStyle w:val="FootnoteText"/>
      </w:pPr>
      <w:r>
        <w:rPr>
          <w:rStyle w:val="FootnoteReference"/>
        </w:rPr>
        <w:footnoteRef/>
      </w:r>
      <w:r>
        <w:t xml:space="preserve"> </w:t>
      </w:r>
      <w:r>
        <w:tab/>
      </w:r>
      <w:r w:rsidRPr="00CE3E01">
        <w:t>134 FERC ¶ 61,039</w:t>
      </w:r>
      <w:r>
        <w:t>.</w:t>
      </w:r>
    </w:p>
  </w:footnote>
  <w:footnote w:id="2">
    <w:p w:rsidR="00CC48A2" w:rsidRPr="00CE3E01" w:rsidRDefault="00CC48A2" w:rsidP="007420E6">
      <w:pPr>
        <w:pStyle w:val="FootnoteText"/>
      </w:pPr>
      <w:r w:rsidRPr="00775E5C">
        <w:rPr>
          <w:rStyle w:val="FootnoteReference"/>
          <w:sz w:val="20"/>
        </w:rPr>
        <w:footnoteRef/>
      </w:r>
      <w:r>
        <w:t xml:space="preserve"> </w:t>
      </w:r>
      <w:r>
        <w:tab/>
      </w:r>
      <w:r>
        <w:tab/>
      </w:r>
      <w:r w:rsidRPr="007420E6">
        <w:rPr>
          <w:i/>
        </w:rPr>
        <w:t>In the Matter of Commission Review of the Capacity Charges of Ohio Power Company and Columbus Southern Power Company</w:t>
      </w:r>
      <w:r w:rsidRPr="00CE3E01">
        <w:t xml:space="preserve">, </w:t>
      </w:r>
      <w:r>
        <w:t xml:space="preserve">PUCO </w:t>
      </w:r>
      <w:r w:rsidRPr="00CE3E01">
        <w:t>Case No. 10-2929-EL-UNC</w:t>
      </w:r>
      <w:r>
        <w:t xml:space="preserve"> (Entry) (December 8, 2010)</w:t>
      </w:r>
      <w:r w:rsidRPr="00CE3E01">
        <w:t>.</w:t>
      </w:r>
    </w:p>
  </w:footnote>
  <w:footnote w:id="3">
    <w:p w:rsidR="00CC48A2" w:rsidRPr="00CE3E01" w:rsidRDefault="00CC48A2" w:rsidP="007420E6">
      <w:pPr>
        <w:pStyle w:val="FootnoteText"/>
      </w:pPr>
      <w:r w:rsidRPr="00775E5C">
        <w:rPr>
          <w:rStyle w:val="FootnoteReference"/>
          <w:sz w:val="20"/>
        </w:rPr>
        <w:footnoteRef/>
      </w:r>
      <w:r>
        <w:t xml:space="preserve"> </w:t>
      </w:r>
      <w:r>
        <w:tab/>
      </w:r>
      <w:r>
        <w:tab/>
      </w:r>
      <w:r w:rsidR="00A81295" w:rsidRPr="007420E6">
        <w:rPr>
          <w:i/>
        </w:rPr>
        <w:t>American Electric Power Service Corporation</w:t>
      </w:r>
      <w:r w:rsidRPr="00CE3E01">
        <w:t>, Docket No</w:t>
      </w:r>
      <w:proofErr w:type="gramStart"/>
      <w:r w:rsidRPr="00CE3E01">
        <w:t xml:space="preserve">. </w:t>
      </w:r>
      <w:proofErr w:type="gramEnd"/>
      <w:r w:rsidRPr="00CE3E01">
        <w:t>ER11-2183 (Order Rejecting Formula Rate Proposal, 134 FERC ¶ 61,039, at 4) (January 20, 2011).</w:t>
      </w:r>
    </w:p>
  </w:footnote>
  <w:footnote w:id="4">
    <w:p w:rsidR="00CC48A2" w:rsidRPr="00CE3E01" w:rsidRDefault="00CC48A2" w:rsidP="007420E6">
      <w:pPr>
        <w:pStyle w:val="FootnoteText"/>
      </w:pPr>
      <w:r w:rsidRPr="00775E5C">
        <w:rPr>
          <w:rStyle w:val="FootnoteReference"/>
          <w:sz w:val="20"/>
        </w:rPr>
        <w:footnoteRef/>
      </w:r>
      <w:r w:rsidRPr="00775E5C">
        <w:t xml:space="preserve"> </w:t>
      </w:r>
      <w:r>
        <w:tab/>
      </w:r>
      <w:r>
        <w:tab/>
      </w:r>
      <w:r w:rsidRPr="00CE3E01">
        <w:t xml:space="preserve">Schedule 8.1 reads as follows: </w:t>
      </w:r>
    </w:p>
    <w:p w:rsidR="00CC48A2" w:rsidRPr="00CE3E01" w:rsidRDefault="00CC48A2" w:rsidP="007420E6">
      <w:pPr>
        <w:pStyle w:val="FootnoteText"/>
        <w:tabs>
          <w:tab w:val="left" w:pos="2520"/>
        </w:tabs>
        <w:ind w:left="2160" w:right="1440"/>
      </w:pPr>
      <w:r>
        <w:tab/>
      </w:r>
      <w:r>
        <w:tab/>
      </w:r>
      <w:r w:rsidRPr="00CE3E01">
        <w:t>In a state regulatory jurisdiction that has implemented retail choice, the FRR Entity must include in its FRR Capacity Plan all load, including expected load growth, in the FRR Service Area, notwith</w:t>
      </w:r>
      <w:r w:rsidRPr="00CE3E01">
        <w:softHyphen/>
        <w:t>standing the loss of any such load to or among alternative retail LSEs.  In the case of load reflected in the FRR Capacity Plan that switches to an alternative retail LSE, where the state regulatory jurisdiction requires switching customers or the LSE to compen</w:t>
      </w:r>
      <w:r w:rsidRPr="00CE3E01">
        <w:softHyphen/>
        <w:t>sate the FRR Entity for its FRR capacity obligations, such state compensation mechanism will prevail.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p>
  </w:footnote>
  <w:footnote w:id="5">
    <w:p w:rsidR="00CC48A2" w:rsidRPr="00CE3E01" w:rsidRDefault="00CC48A2" w:rsidP="007420E6">
      <w:pPr>
        <w:pStyle w:val="FootnoteText"/>
      </w:pPr>
      <w:r w:rsidRPr="00775E5C">
        <w:rPr>
          <w:rStyle w:val="FootnoteReference"/>
          <w:sz w:val="20"/>
        </w:rPr>
        <w:footnoteRef/>
      </w:r>
      <w:r>
        <w:t xml:space="preserve"> </w:t>
      </w:r>
      <w:r>
        <w:tab/>
      </w:r>
      <w:r>
        <w:tab/>
      </w:r>
      <w:r w:rsidR="00A81295" w:rsidRPr="007420E6">
        <w:rPr>
          <w:i/>
        </w:rPr>
        <w:t>American Electric Power Service Corporation</w:t>
      </w:r>
      <w:r w:rsidRPr="00CE3E01">
        <w:t>, Docket No</w:t>
      </w:r>
      <w:proofErr w:type="gramStart"/>
      <w:r w:rsidRPr="00CE3E01">
        <w:t xml:space="preserve">. </w:t>
      </w:r>
      <w:proofErr w:type="gramEnd"/>
      <w:r w:rsidRPr="00CE3E01">
        <w:t>ER11-2183 (Order Rejecting Formula Rate Proposal, 134 FERC ¶ 61,039, at 4) (January 20, 2011).</w:t>
      </w:r>
    </w:p>
  </w:footnote>
  <w:footnote w:id="6">
    <w:p w:rsidR="00CC48A2" w:rsidRPr="00775E5C" w:rsidRDefault="00CC48A2" w:rsidP="007420E6">
      <w:pPr>
        <w:pStyle w:val="FootnoteText"/>
      </w:pPr>
      <w:r w:rsidRPr="00775E5C">
        <w:rPr>
          <w:rStyle w:val="FootnoteReference"/>
          <w:sz w:val="20"/>
        </w:rPr>
        <w:footnoteRef/>
      </w:r>
      <w:r w:rsidRPr="00775E5C">
        <w:t xml:space="preserve"> </w:t>
      </w:r>
      <w:r>
        <w:tab/>
      </w:r>
      <w:r>
        <w:tab/>
      </w:r>
      <w:r w:rsidRPr="00CE3E01">
        <w:rPr>
          <w:i/>
        </w:rPr>
        <w:t>Id.</w:t>
      </w:r>
      <w:r w:rsidRPr="00775E5C">
        <w:t xml:space="preserve"> </w:t>
      </w:r>
    </w:p>
  </w:footnote>
  <w:footnote w:id="7">
    <w:p w:rsidR="00CC48A2" w:rsidRPr="00CE3E01" w:rsidRDefault="00CC48A2" w:rsidP="007420E6">
      <w:pPr>
        <w:pStyle w:val="FootnoteText"/>
      </w:pPr>
      <w:r w:rsidRPr="00775E5C">
        <w:rPr>
          <w:rStyle w:val="FootnoteReference"/>
          <w:sz w:val="20"/>
        </w:rPr>
        <w:footnoteRef/>
      </w:r>
      <w:r w:rsidRPr="00775E5C">
        <w:t xml:space="preserve"> </w:t>
      </w:r>
      <w:r>
        <w:tab/>
      </w:r>
      <w:r>
        <w:tab/>
      </w:r>
      <w:r w:rsidR="00A81295" w:rsidRPr="007420E6">
        <w:rPr>
          <w:i/>
        </w:rPr>
        <w:t>American Electric Power Service Corporation</w:t>
      </w:r>
      <w:r w:rsidRPr="00CE3E01">
        <w:t>, Docket No</w:t>
      </w:r>
      <w:proofErr w:type="gramStart"/>
      <w:r w:rsidRPr="00CE3E01">
        <w:t xml:space="preserve">. </w:t>
      </w:r>
      <w:proofErr w:type="gramEnd"/>
      <w:r w:rsidRPr="00CE3E01">
        <w:t xml:space="preserve">ER11-2183 (Order Rejecting Formula Rate Proposal, 134 FERC ¶ 61,039, at </w:t>
      </w:r>
      <w:r>
        <w:t>5, n. 11</w:t>
      </w:r>
      <w:r w:rsidRPr="00CE3E01">
        <w:t>) (January 20, 2011).</w:t>
      </w:r>
    </w:p>
  </w:footnote>
  <w:footnote w:id="8">
    <w:p w:rsidR="00CC48A2" w:rsidRPr="00CE3E01" w:rsidRDefault="00CC48A2" w:rsidP="007420E6">
      <w:pPr>
        <w:pStyle w:val="FootnoteText"/>
      </w:pPr>
      <w:r>
        <w:rPr>
          <w:rStyle w:val="FootnoteReference"/>
        </w:rPr>
        <w:footnoteRef/>
      </w:r>
      <w:r>
        <w:t xml:space="preserve"> </w:t>
      </w:r>
      <w:r>
        <w:tab/>
      </w:r>
      <w:r>
        <w:tab/>
      </w:r>
      <w:r w:rsidRPr="007420E6">
        <w:rPr>
          <w:i/>
        </w:rPr>
        <w:t>American Electric Power Service Corporation v. PJM Interconnection, L.L.C.</w:t>
      </w:r>
      <w:r w:rsidRPr="00CE3E01">
        <w:t>, Docket No. EL11-32-000.</w:t>
      </w:r>
    </w:p>
  </w:footnote>
  <w:footnote w:id="9">
    <w:p w:rsidR="00CC48A2" w:rsidRPr="00395BAE" w:rsidRDefault="00CC48A2" w:rsidP="007420E6">
      <w:pPr>
        <w:pStyle w:val="FootnoteText"/>
      </w:pPr>
      <w:r>
        <w:rPr>
          <w:rStyle w:val="FootnoteReference"/>
        </w:rPr>
        <w:footnoteRef/>
      </w:r>
      <w:r>
        <w:t xml:space="preserve"> </w:t>
      </w:r>
      <w:r>
        <w:tab/>
      </w:r>
      <w:r>
        <w:tab/>
      </w:r>
      <w:r w:rsidRPr="007420E6">
        <w:rPr>
          <w:i/>
        </w:rPr>
        <w:t>In the Matter of the Application of the Columbus Southern Power Company for Approval of its Electric Security Plan; an Amendment to its Corporate Separation Plan; and the Sale or Transfer of Certain Generating Asset</w:t>
      </w:r>
      <w:r>
        <w:t>,</w:t>
      </w:r>
      <w:r w:rsidRPr="009F38DB">
        <w:t xml:space="preserve"> </w:t>
      </w:r>
      <w:r>
        <w:t>PUCO Case No. 08-917-EL-SSO,</w:t>
      </w:r>
      <w:r w:rsidRPr="00677FC9">
        <w:t xml:space="preserve"> and, </w:t>
      </w:r>
      <w:r w:rsidRPr="007420E6">
        <w:rPr>
          <w:i/>
        </w:rPr>
        <w:t>In the Matter of the Application of Ohio Power Company for Approval of its Electric Security Plan; and an Amendment to its Corporate Separation Plan</w:t>
      </w:r>
      <w:r>
        <w:t>,</w:t>
      </w:r>
      <w:r w:rsidRPr="00677FC9">
        <w:t xml:space="preserve"> PUCO Case No. 08-918-EL-SSO</w:t>
      </w:r>
      <w:r>
        <w:t xml:space="preserve"> (Opinion and Order at 38-40) (March 18, 2009)</w:t>
      </w:r>
      <w:r w:rsidRPr="00677FC9">
        <w:t>.</w:t>
      </w:r>
    </w:p>
  </w:footnote>
  <w:footnote w:id="10">
    <w:p w:rsidR="00CC48A2" w:rsidRPr="00854104" w:rsidRDefault="00CC48A2" w:rsidP="007420E6">
      <w:pPr>
        <w:pStyle w:val="FootnoteText"/>
      </w:pPr>
      <w:r>
        <w:rPr>
          <w:rStyle w:val="FootnoteReference"/>
        </w:rPr>
        <w:footnoteRef/>
      </w:r>
      <w:r>
        <w:t xml:space="preserve"> </w:t>
      </w:r>
      <w:r>
        <w:tab/>
      </w:r>
      <w:r>
        <w:tab/>
        <w:t>Ohio Rev. Code Ann. §§ 4928.01(A)(1) and 4928.04(A) (West 2011).</w:t>
      </w:r>
    </w:p>
  </w:footnote>
  <w:footnote w:id="11">
    <w:p w:rsidR="00CC48A2" w:rsidRPr="00E27E91" w:rsidRDefault="00CC48A2" w:rsidP="007420E6">
      <w:pPr>
        <w:pStyle w:val="FootnoteText"/>
      </w:pPr>
      <w:r>
        <w:rPr>
          <w:rStyle w:val="FootnoteReference"/>
        </w:rPr>
        <w:footnoteRef/>
      </w:r>
      <w:r>
        <w:t xml:space="preserve"> </w:t>
      </w:r>
      <w:r>
        <w:tab/>
      </w:r>
      <w:r>
        <w:tab/>
        <w:t>Ohio Rev. Code Ann. § 4928.143(B)(2)(g) (West 2011).</w:t>
      </w:r>
    </w:p>
  </w:footnote>
  <w:footnote w:id="12">
    <w:p w:rsidR="00CC48A2" w:rsidRPr="00854104" w:rsidRDefault="00CC48A2" w:rsidP="007420E6">
      <w:pPr>
        <w:pStyle w:val="FootnoteText"/>
      </w:pPr>
      <w:r>
        <w:rPr>
          <w:rStyle w:val="FootnoteReference"/>
        </w:rPr>
        <w:footnoteRef/>
      </w:r>
      <w:r>
        <w:t xml:space="preserve"> </w:t>
      </w:r>
      <w:r>
        <w:tab/>
      </w:r>
      <w:r>
        <w:tab/>
        <w:t>Ohio Rev. Code Ann. § 4928.143(B)(2)(b) and (c) (West 2011).</w:t>
      </w:r>
    </w:p>
  </w:footnote>
  <w:footnote w:id="13">
    <w:p w:rsidR="00CC48A2" w:rsidRPr="00854104" w:rsidRDefault="00CC48A2" w:rsidP="007420E6">
      <w:pPr>
        <w:pStyle w:val="FootnoteText"/>
      </w:pPr>
      <w:r>
        <w:rPr>
          <w:rStyle w:val="FootnoteReference"/>
        </w:rPr>
        <w:footnoteRef/>
      </w:r>
      <w:r>
        <w:t xml:space="preserve"> </w:t>
      </w:r>
      <w:r>
        <w:tab/>
      </w:r>
      <w:r>
        <w:tab/>
        <w:t>Ohio Rev. Code Ann. § 4928.17(E) (West 2011).</w:t>
      </w:r>
    </w:p>
  </w:footnote>
  <w:footnote w:id="14">
    <w:p w:rsidR="00CC48A2" w:rsidRPr="00854104" w:rsidRDefault="00CC48A2" w:rsidP="007420E6">
      <w:pPr>
        <w:pStyle w:val="FootnoteText"/>
      </w:pPr>
      <w:r>
        <w:rPr>
          <w:rStyle w:val="FootnoteReference"/>
        </w:rPr>
        <w:footnoteRef/>
      </w:r>
      <w:r>
        <w:t xml:space="preserve"> </w:t>
      </w:r>
      <w:r>
        <w:tab/>
      </w:r>
      <w:r>
        <w:tab/>
        <w:t>Ohio Rev. Code Ann. § 4928.143(F) (West 2011).</w:t>
      </w:r>
    </w:p>
  </w:footnote>
  <w:footnote w:id="15">
    <w:p w:rsidR="00CC48A2" w:rsidRDefault="00CC48A2" w:rsidP="007420E6">
      <w:pPr>
        <w:pStyle w:val="FootnoteText"/>
      </w:pPr>
      <w:r>
        <w:rPr>
          <w:rStyle w:val="FootnoteReference"/>
        </w:rPr>
        <w:footnoteRef/>
      </w:r>
      <w:r>
        <w:t xml:space="preserve"> </w:t>
      </w:r>
      <w:r>
        <w:tab/>
      </w:r>
      <w:r>
        <w:tab/>
      </w:r>
      <w:r w:rsidRPr="00673D8A">
        <w:rPr>
          <w:i/>
        </w:rPr>
        <w:t>In the Matter of the Commission’s Review of the Capacity Charges of Ohio Power Company and Columbus Southern Power Company</w:t>
      </w:r>
      <w:r>
        <w:t>, PUCO Docket No. 10-2929-EL-UNC (Entry) (December 8, 2010).</w:t>
      </w:r>
    </w:p>
  </w:footnote>
  <w:footnote w:id="16">
    <w:p w:rsidR="00CC48A2" w:rsidRPr="00677FC9" w:rsidRDefault="00CC48A2" w:rsidP="007420E6">
      <w:pPr>
        <w:pStyle w:val="FootnoteText"/>
      </w:pPr>
      <w:r>
        <w:rPr>
          <w:rStyle w:val="FootnoteReference"/>
        </w:rPr>
        <w:footnoteRef/>
      </w:r>
      <w:r>
        <w:t xml:space="preserve"> </w:t>
      </w:r>
      <w:r>
        <w:tab/>
      </w:r>
      <w:r>
        <w:tab/>
      </w:r>
      <w:r w:rsidRPr="00673D8A">
        <w:rPr>
          <w:i/>
        </w:rPr>
        <w:t>In the Matter of the Application of the Columbus Southern Power Company for Approval of its Electric Security Plan; an Amendment to its Corporate Separation Plan; and the Sale or Transfer of Certain Generating Asset</w:t>
      </w:r>
      <w:r>
        <w:t>,</w:t>
      </w:r>
      <w:r w:rsidRPr="009F38DB">
        <w:t xml:space="preserve"> </w:t>
      </w:r>
      <w:r>
        <w:t>PUCO Case No. 08-917-EL-SSO,</w:t>
      </w:r>
      <w:r w:rsidRPr="00677FC9">
        <w:t xml:space="preserve"> and, </w:t>
      </w:r>
      <w:r w:rsidRPr="00673D8A">
        <w:rPr>
          <w:i/>
        </w:rPr>
        <w:t>In the Matter of the Application of Ohio Power Company for Approval of its Electric Security Plan; and an Amendment to its Corporate Separation Plan</w:t>
      </w:r>
      <w:r>
        <w:t>,</w:t>
      </w:r>
      <w:r w:rsidRPr="00677FC9">
        <w:t xml:space="preserve"> PUCO Case No. 08-918-EL-SSO</w:t>
      </w:r>
      <w:r>
        <w:t xml:space="preserve"> (Opinion and Order at 38-40) (March 18, 2009)</w:t>
      </w:r>
      <w:r w:rsidRPr="00677FC9">
        <w:t>.</w:t>
      </w:r>
    </w:p>
  </w:footnote>
  <w:footnote w:id="17">
    <w:p w:rsidR="00CC48A2" w:rsidRPr="006775DC" w:rsidRDefault="00CC48A2" w:rsidP="007420E6">
      <w:pPr>
        <w:pStyle w:val="FootnoteText"/>
      </w:pPr>
      <w:r>
        <w:rPr>
          <w:rStyle w:val="FootnoteReference"/>
        </w:rPr>
        <w:footnoteRef/>
      </w:r>
      <w:r>
        <w:t xml:space="preserve"> </w:t>
      </w:r>
      <w:r>
        <w:tab/>
      </w:r>
      <w:r>
        <w:tab/>
      </w:r>
      <w:r>
        <w:rPr>
          <w:i/>
        </w:rPr>
        <w:t>Supra</w:t>
      </w:r>
      <w:r>
        <w:t>,</w:t>
      </w:r>
      <w:r w:rsidRPr="00677FC9">
        <w:t xml:space="preserve"> n.1.</w:t>
      </w:r>
    </w:p>
  </w:footnote>
  <w:footnote w:id="18">
    <w:p w:rsidR="00CC48A2" w:rsidRPr="00677FC9" w:rsidRDefault="00CC48A2" w:rsidP="007420E6">
      <w:pPr>
        <w:pStyle w:val="FootnoteText"/>
      </w:pPr>
      <w:r>
        <w:rPr>
          <w:rStyle w:val="FootnoteReference"/>
        </w:rPr>
        <w:footnoteRef/>
      </w:r>
      <w:r>
        <w:t xml:space="preserve"> </w:t>
      </w:r>
      <w:r>
        <w:tab/>
      </w:r>
      <w:r>
        <w:tab/>
      </w:r>
      <w:r w:rsidRPr="00673D8A">
        <w:rPr>
          <w:i/>
        </w:rPr>
        <w:t>In the Matter of Commission Review of the Capacity Charges of Ohio Power Company and Columbus Southern Power Company</w:t>
      </w:r>
      <w:r w:rsidRPr="00677FC9">
        <w:t xml:space="preserve">, </w:t>
      </w:r>
      <w:r>
        <w:t xml:space="preserve">PUCO </w:t>
      </w:r>
      <w:r w:rsidRPr="00677FC9">
        <w:t>Case No. 10-2929-EL-UNC</w:t>
      </w:r>
      <w:r>
        <w:t xml:space="preserve"> (Entry) (December 8, 2010)</w:t>
      </w:r>
      <w:r w:rsidRPr="00677FC9">
        <w:t>.</w:t>
      </w:r>
    </w:p>
  </w:footnote>
  <w:footnote w:id="19">
    <w:p w:rsidR="00CC48A2" w:rsidRPr="00673D8A" w:rsidRDefault="00CC48A2" w:rsidP="007420E6">
      <w:pPr>
        <w:pStyle w:val="FootnoteText"/>
      </w:pPr>
      <w:r>
        <w:rPr>
          <w:rStyle w:val="FootnoteReference"/>
        </w:rPr>
        <w:footnoteRef/>
      </w:r>
      <w:r>
        <w:t xml:space="preserve"> </w:t>
      </w:r>
      <w:r>
        <w:tab/>
      </w:r>
      <w:r>
        <w:tab/>
      </w:r>
      <w:r w:rsidRPr="00673D8A">
        <w:rPr>
          <w:i/>
        </w:rPr>
        <w:t>In the Matter of the Application of the Columbus Southern Power Company and the Ohio Power Company of Authority to Establish a Standard Service Offer Pursuant to §</w:t>
      </w:r>
      <w:r>
        <w:rPr>
          <w:i/>
        </w:rPr>
        <w:t> </w:t>
      </w:r>
      <w:r w:rsidRPr="00673D8A">
        <w:rPr>
          <w:i/>
        </w:rPr>
        <w:t>4928.143, Ohio Rev. Code, in the Form of an Electric Security Plan</w:t>
      </w:r>
      <w:r>
        <w:t xml:space="preserve">, </w:t>
      </w:r>
      <w:r w:rsidRPr="00677FC9">
        <w:t>PUCO Case No. 11-346-EL-SSO</w:t>
      </w:r>
      <w:r>
        <w:t xml:space="preserve"> (Application) (</w:t>
      </w:r>
      <w:r w:rsidRPr="00677FC9">
        <w:t>January 27, 2011</w:t>
      </w:r>
      <w:r>
        <w:t>).</w:t>
      </w:r>
    </w:p>
  </w:footnote>
  <w:footnote w:id="20">
    <w:p w:rsidR="00CC48A2" w:rsidRPr="00673D8A" w:rsidRDefault="00CC48A2" w:rsidP="007420E6">
      <w:pPr>
        <w:pStyle w:val="FootnoteText"/>
      </w:pPr>
      <w:r>
        <w:rPr>
          <w:rStyle w:val="FootnoteReference"/>
        </w:rPr>
        <w:footnoteRef/>
      </w:r>
      <w:r>
        <w:t xml:space="preserve"> </w:t>
      </w:r>
      <w:r>
        <w:tab/>
      </w:r>
      <w:r>
        <w:tab/>
      </w:r>
      <w:r w:rsidRPr="00677FC9">
        <w:rPr>
          <w:i/>
        </w:rPr>
        <w:t xml:space="preserve">In the </w:t>
      </w:r>
      <w:r>
        <w:rPr>
          <w:i/>
        </w:rPr>
        <w:t>M</w:t>
      </w:r>
      <w:r w:rsidRPr="00677FC9">
        <w:rPr>
          <w:i/>
        </w:rPr>
        <w:t>atter of the Commission’s Review of the Capacity Charges of Ohio Power Company and Columbus Southern Power</w:t>
      </w:r>
      <w:r>
        <w:t>, Case No. 10-2929-EL-UNC (</w:t>
      </w:r>
      <w:r w:rsidRPr="00677FC9">
        <w:t xml:space="preserve">Ohio Power Company’s and Columbus Southern Power Company’s Initial Comments at </w:t>
      </w:r>
      <w:r>
        <w:t>4, Att.</w:t>
      </w:r>
      <w:r w:rsidRPr="00677FC9">
        <w:t xml:space="preserve"> 1</w:t>
      </w:r>
      <w:r>
        <w:t>) (January 7, 2011).</w:t>
      </w:r>
    </w:p>
  </w:footnote>
  <w:footnote w:id="21">
    <w:p w:rsidR="00CC48A2" w:rsidRDefault="00CC48A2" w:rsidP="00280FBA">
      <w:pPr>
        <w:pStyle w:val="FootnoteText"/>
      </w:pPr>
      <w:r>
        <w:rPr>
          <w:rStyle w:val="FootnoteReference"/>
        </w:rPr>
        <w:footnoteRef/>
      </w:r>
      <w:r>
        <w:t xml:space="preserve"> </w:t>
      </w:r>
      <w:r>
        <w:tab/>
      </w:r>
      <w:r w:rsidR="00A81295">
        <w:tab/>
      </w:r>
      <w:r w:rsidRPr="00613746">
        <w:rPr>
          <w:i/>
        </w:rPr>
        <w:t>American Electric Power Service Corporation v. PJM Interconnection, L.L.C.,</w:t>
      </w:r>
      <w:r>
        <w:t xml:space="preserve"> Docket No</w:t>
      </w:r>
      <w:proofErr w:type="gramStart"/>
      <w:r>
        <w:t xml:space="preserve">. </w:t>
      </w:r>
      <w:proofErr w:type="gramEnd"/>
      <w:r>
        <w:t>EL11-32-000</w:t>
      </w:r>
      <w:r w:rsidR="00F352E6">
        <w:t xml:space="preserve"> (Complaint</w:t>
      </w:r>
      <w:r>
        <w:t xml:space="preserve"> at 14</w:t>
      </w:r>
      <w:r w:rsidR="00F352E6">
        <w:t>)</w:t>
      </w:r>
      <w:r>
        <w:t xml:space="preserve"> (April 4, 2011).</w:t>
      </w:r>
    </w:p>
  </w:footnote>
  <w:footnote w:id="22">
    <w:p w:rsidR="00CC48A2" w:rsidRDefault="00CC48A2" w:rsidP="00280FBA">
      <w:pPr>
        <w:pStyle w:val="FootnoteText"/>
      </w:pPr>
      <w:r>
        <w:rPr>
          <w:rStyle w:val="FootnoteReference"/>
        </w:rPr>
        <w:footnoteRef/>
      </w:r>
      <w:r>
        <w:t xml:space="preserve"> </w:t>
      </w:r>
      <w:r>
        <w:tab/>
      </w:r>
      <w:r>
        <w:tab/>
      </w:r>
      <w:r w:rsidR="00A81295">
        <w:rPr>
          <w:i/>
        </w:rPr>
        <w:t>American Electric Power Service Corporation</w:t>
      </w:r>
      <w:r>
        <w:t>, Docket No</w:t>
      </w:r>
      <w:proofErr w:type="gramStart"/>
      <w:r>
        <w:t xml:space="preserve">. </w:t>
      </w:r>
      <w:proofErr w:type="gramEnd"/>
      <w:r>
        <w:t>ER11-2183 (Order Rejecting Formula Rate Proposal, 134 FERC ¶ 61,039, at 4, n. 8) (January 20,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2" w:rsidRPr="00673D8A" w:rsidRDefault="00CC48A2" w:rsidP="00673D8A">
    <w:pPr>
      <w:pStyle w:val="Header"/>
      <w:jc w:val="center"/>
      <w:rPr>
        <w:rFonts w:cs="Arial"/>
        <w:b/>
        <w:color w:val="FF0000"/>
        <w:sz w:val="20"/>
      </w:rPr>
    </w:pPr>
    <w:r>
      <w:rPr>
        <w:rFonts w:cs="Arial"/>
        <w:b/>
        <w:color w:val="FF0000"/>
        <w:sz w:val="20"/>
      </w:rPr>
      <w:t xml:space="preserve">DRAFT - </w:t>
    </w:r>
    <w:r w:rsidR="00CE0704">
      <w:rPr>
        <w:rFonts w:cs="Arial"/>
        <w:b/>
        <w:color w:val="FF0000"/>
        <w:sz w:val="20"/>
      </w:rPr>
      <w:fldChar w:fldCharType="begin"/>
    </w:r>
    <w:r>
      <w:rPr>
        <w:rFonts w:cs="Arial"/>
        <w:b/>
        <w:color w:val="FF0000"/>
        <w:sz w:val="20"/>
      </w:rPr>
      <w:instrText xml:space="preserve"> DATE \@ "M/d/yyyy h:mm am/pm" </w:instrText>
    </w:r>
    <w:r w:rsidR="00CE0704">
      <w:rPr>
        <w:rFonts w:cs="Arial"/>
        <w:b/>
        <w:color w:val="FF0000"/>
        <w:sz w:val="20"/>
      </w:rPr>
      <w:fldChar w:fldCharType="separate"/>
    </w:r>
    <w:r w:rsidR="006E0C52">
      <w:rPr>
        <w:rFonts w:cs="Arial"/>
        <w:b/>
        <w:noProof/>
        <w:color w:val="FF0000"/>
        <w:sz w:val="20"/>
      </w:rPr>
      <w:t>4/25/2011 12:05 PM</w:t>
    </w:r>
    <w:r w:rsidR="00CE0704">
      <w:rPr>
        <w:rFonts w:cs="Arial"/>
        <w:b/>
        <w:color w:val="FF0000"/>
        <w:sz w:val="20"/>
      </w:rPr>
      <w:fldChar w:fldCharType="end"/>
    </w:r>
    <w:r>
      <w:rPr>
        <w:rFonts w:cs="Arial"/>
        <w:b/>
        <w:color w:val="FF0000"/>
        <w:sz w:val="20"/>
      </w:rPr>
      <w:t xml:space="preserve"> - </w:t>
    </w:r>
    <w:r w:rsidR="006E0C52">
      <w:fldChar w:fldCharType="begin"/>
    </w:r>
    <w:r w:rsidR="006E0C52">
      <w:instrText xml:space="preserve"> FILENAME  \* Lower \p  \* MERGEFORMAT </w:instrText>
    </w:r>
    <w:r w:rsidR="006E0C52">
      <w:fldChar w:fldCharType="separate"/>
    </w:r>
    <w:r w:rsidR="006E0C52" w:rsidRPr="006E0C52">
      <w:rPr>
        <w:rFonts w:cs="Arial"/>
        <w:b/>
        <w:noProof/>
        <w:color w:val="FF0000"/>
        <w:sz w:val="20"/>
      </w:rPr>
      <w:t>\\puc\shares\departments\attorney general\attorneys\mcnamee\ferc\el11-32\aep206protest 042511.docx</w:t>
    </w:r>
    <w:r w:rsidR="006E0C52">
      <w:rPr>
        <w:rFonts w:cs="Arial"/>
        <w:b/>
        <w:noProof/>
        <w:color w:val="FF0000"/>
        <w:sz w:val="20"/>
      </w:rPr>
      <w:fldChar w:fldCharType="end"/>
    </w:r>
    <w:r w:rsidRPr="00673D8A">
      <w:rPr>
        <w:rFonts w:cs="Arial"/>
        <w:b/>
        <w:color w:val="FF000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2" w:rsidRDefault="00CC48A2" w:rsidP="00673D8A">
    <w:pPr>
      <w:pStyle w:val="Header"/>
      <w:jc w:val="center"/>
      <w:rPr>
        <w:rFonts w:ascii="Times New Roman" w:hAnsi="Times New Roman"/>
        <w:b/>
        <w:sz w:val="28"/>
        <w:szCs w:val="28"/>
      </w:rPr>
    </w:pPr>
    <w:r>
      <w:rPr>
        <w:rFonts w:ascii="Times New Roman" w:hAnsi="Times New Roman"/>
        <w:b/>
        <w:sz w:val="28"/>
        <w:szCs w:val="28"/>
      </w:rPr>
      <w:t>TABLE OF CONTENTS</w:t>
    </w:r>
  </w:p>
  <w:p w:rsidR="00CC48A2" w:rsidRDefault="00CC48A2" w:rsidP="009118DC">
    <w:pPr>
      <w:pStyle w:val="Header"/>
      <w:jc w:val="right"/>
      <w:rPr>
        <w:rFonts w:ascii="Times New Roman" w:hAnsi="Times New Roman"/>
        <w:b/>
        <w:sz w:val="28"/>
        <w:szCs w:val="28"/>
      </w:rPr>
    </w:pPr>
    <w:r>
      <w:rPr>
        <w:rFonts w:ascii="Times New Roman" w:hAnsi="Times New Roman"/>
        <w:b/>
        <w:sz w:val="28"/>
        <w:szCs w:val="28"/>
      </w:rPr>
      <w:t>Page</w:t>
    </w:r>
  </w:p>
  <w:p w:rsidR="00CC48A2" w:rsidRPr="009118DC" w:rsidRDefault="00CC48A2" w:rsidP="009118DC">
    <w:pPr>
      <w:pStyle w:val="Header"/>
      <w:jc w:val="right"/>
      <w:rPr>
        <w:rFonts w:ascii="Times New Roman" w:hAnsi="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2" w:rsidRPr="00F352E6" w:rsidRDefault="00CC48A2" w:rsidP="00F352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2" w:rsidRPr="00F352E6" w:rsidRDefault="00CC48A2" w:rsidP="00F35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397F"/>
    <w:multiLevelType w:val="hybridMultilevel"/>
    <w:tmpl w:val="EB42C0A8"/>
    <w:lvl w:ilvl="0" w:tplc="22DCDD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4E4C6B"/>
    <w:multiLevelType w:val="hybridMultilevel"/>
    <w:tmpl w:val="E4E0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51DB3"/>
    <w:rsid w:val="000030EC"/>
    <w:rsid w:val="00012A40"/>
    <w:rsid w:val="00027AF0"/>
    <w:rsid w:val="00051BD0"/>
    <w:rsid w:val="00066074"/>
    <w:rsid w:val="00076791"/>
    <w:rsid w:val="00087B4E"/>
    <w:rsid w:val="00090C7B"/>
    <w:rsid w:val="000972C7"/>
    <w:rsid w:val="000A35D1"/>
    <w:rsid w:val="000C16D5"/>
    <w:rsid w:val="000D0E61"/>
    <w:rsid w:val="000F03D5"/>
    <w:rsid w:val="00103CAF"/>
    <w:rsid w:val="00133826"/>
    <w:rsid w:val="00134F16"/>
    <w:rsid w:val="00166B86"/>
    <w:rsid w:val="001734CC"/>
    <w:rsid w:val="00183B8F"/>
    <w:rsid w:val="0019393D"/>
    <w:rsid w:val="0019649C"/>
    <w:rsid w:val="001A3E2C"/>
    <w:rsid w:val="001A58CC"/>
    <w:rsid w:val="001B7161"/>
    <w:rsid w:val="001C0F81"/>
    <w:rsid w:val="001D2BCF"/>
    <w:rsid w:val="001D4A1B"/>
    <w:rsid w:val="001D4A56"/>
    <w:rsid w:val="00221CD0"/>
    <w:rsid w:val="00232828"/>
    <w:rsid w:val="00233A37"/>
    <w:rsid w:val="0024427A"/>
    <w:rsid w:val="00255071"/>
    <w:rsid w:val="00260EBE"/>
    <w:rsid w:val="002659D5"/>
    <w:rsid w:val="00266C57"/>
    <w:rsid w:val="00267680"/>
    <w:rsid w:val="002761B8"/>
    <w:rsid w:val="002774F4"/>
    <w:rsid w:val="00280FBA"/>
    <w:rsid w:val="00292490"/>
    <w:rsid w:val="00294B17"/>
    <w:rsid w:val="002D3DF3"/>
    <w:rsid w:val="002F0CE5"/>
    <w:rsid w:val="002F46AC"/>
    <w:rsid w:val="00327046"/>
    <w:rsid w:val="003547E1"/>
    <w:rsid w:val="003753CF"/>
    <w:rsid w:val="00386FC7"/>
    <w:rsid w:val="00395BAE"/>
    <w:rsid w:val="003C3698"/>
    <w:rsid w:val="003F3B30"/>
    <w:rsid w:val="0041761D"/>
    <w:rsid w:val="00424BDC"/>
    <w:rsid w:val="0042772C"/>
    <w:rsid w:val="00430568"/>
    <w:rsid w:val="00460962"/>
    <w:rsid w:val="00467768"/>
    <w:rsid w:val="00480EA9"/>
    <w:rsid w:val="00494980"/>
    <w:rsid w:val="004C60AF"/>
    <w:rsid w:val="004E7484"/>
    <w:rsid w:val="0051462F"/>
    <w:rsid w:val="0052638A"/>
    <w:rsid w:val="005351EB"/>
    <w:rsid w:val="00544B2B"/>
    <w:rsid w:val="0054715F"/>
    <w:rsid w:val="00555549"/>
    <w:rsid w:val="00556E36"/>
    <w:rsid w:val="00573CDD"/>
    <w:rsid w:val="00593CC2"/>
    <w:rsid w:val="00597170"/>
    <w:rsid w:val="005B3950"/>
    <w:rsid w:val="005C0505"/>
    <w:rsid w:val="005D569F"/>
    <w:rsid w:val="005E23F9"/>
    <w:rsid w:val="005F3F7A"/>
    <w:rsid w:val="00607C17"/>
    <w:rsid w:val="00615C72"/>
    <w:rsid w:val="00636C69"/>
    <w:rsid w:val="00647CB3"/>
    <w:rsid w:val="0065230A"/>
    <w:rsid w:val="00652C07"/>
    <w:rsid w:val="006619D7"/>
    <w:rsid w:val="00673D8A"/>
    <w:rsid w:val="006775DC"/>
    <w:rsid w:val="00677FC9"/>
    <w:rsid w:val="006A0DE6"/>
    <w:rsid w:val="006E07C2"/>
    <w:rsid w:val="006E0C52"/>
    <w:rsid w:val="006E3B1D"/>
    <w:rsid w:val="006F0C0C"/>
    <w:rsid w:val="00701C41"/>
    <w:rsid w:val="00703690"/>
    <w:rsid w:val="00706A38"/>
    <w:rsid w:val="00721A69"/>
    <w:rsid w:val="00725A0E"/>
    <w:rsid w:val="00735B69"/>
    <w:rsid w:val="007420CF"/>
    <w:rsid w:val="007420E6"/>
    <w:rsid w:val="00756863"/>
    <w:rsid w:val="007726F5"/>
    <w:rsid w:val="00783481"/>
    <w:rsid w:val="00786B44"/>
    <w:rsid w:val="007901F9"/>
    <w:rsid w:val="00795C75"/>
    <w:rsid w:val="007A6E41"/>
    <w:rsid w:val="007C6B7C"/>
    <w:rsid w:val="008048F0"/>
    <w:rsid w:val="00821C6D"/>
    <w:rsid w:val="00822FB1"/>
    <w:rsid w:val="00853A46"/>
    <w:rsid w:val="00854104"/>
    <w:rsid w:val="008652B0"/>
    <w:rsid w:val="008739DD"/>
    <w:rsid w:val="00880BB8"/>
    <w:rsid w:val="00886193"/>
    <w:rsid w:val="00894775"/>
    <w:rsid w:val="008A17F7"/>
    <w:rsid w:val="008C6C8A"/>
    <w:rsid w:val="008D504B"/>
    <w:rsid w:val="008D7F05"/>
    <w:rsid w:val="0090706F"/>
    <w:rsid w:val="009118DC"/>
    <w:rsid w:val="009134D4"/>
    <w:rsid w:val="009362BA"/>
    <w:rsid w:val="00937358"/>
    <w:rsid w:val="0094572F"/>
    <w:rsid w:val="0094684B"/>
    <w:rsid w:val="009740BE"/>
    <w:rsid w:val="00990A7A"/>
    <w:rsid w:val="0099529E"/>
    <w:rsid w:val="009A0A03"/>
    <w:rsid w:val="009A12C9"/>
    <w:rsid w:val="009B6A18"/>
    <w:rsid w:val="009D4367"/>
    <w:rsid w:val="009D7B29"/>
    <w:rsid w:val="009E413A"/>
    <w:rsid w:val="009F20EF"/>
    <w:rsid w:val="009F38DB"/>
    <w:rsid w:val="00A14F45"/>
    <w:rsid w:val="00A21E31"/>
    <w:rsid w:val="00A35DEA"/>
    <w:rsid w:val="00A3672C"/>
    <w:rsid w:val="00A403DC"/>
    <w:rsid w:val="00A41D35"/>
    <w:rsid w:val="00A52E3B"/>
    <w:rsid w:val="00A61FD1"/>
    <w:rsid w:val="00A75508"/>
    <w:rsid w:val="00A756D4"/>
    <w:rsid w:val="00A75D64"/>
    <w:rsid w:val="00A81295"/>
    <w:rsid w:val="00A86EFD"/>
    <w:rsid w:val="00A923D2"/>
    <w:rsid w:val="00AA134F"/>
    <w:rsid w:val="00AA44C3"/>
    <w:rsid w:val="00AB7423"/>
    <w:rsid w:val="00AC1092"/>
    <w:rsid w:val="00AC4940"/>
    <w:rsid w:val="00AD51F6"/>
    <w:rsid w:val="00AD5C85"/>
    <w:rsid w:val="00B168F8"/>
    <w:rsid w:val="00B21D96"/>
    <w:rsid w:val="00B40D85"/>
    <w:rsid w:val="00B67654"/>
    <w:rsid w:val="00B74282"/>
    <w:rsid w:val="00B77010"/>
    <w:rsid w:val="00BA712D"/>
    <w:rsid w:val="00BC39D5"/>
    <w:rsid w:val="00BC3FDA"/>
    <w:rsid w:val="00BE0A0D"/>
    <w:rsid w:val="00BF32A1"/>
    <w:rsid w:val="00BF39C3"/>
    <w:rsid w:val="00C02977"/>
    <w:rsid w:val="00C07E4B"/>
    <w:rsid w:val="00C24691"/>
    <w:rsid w:val="00C264E8"/>
    <w:rsid w:val="00C26CB4"/>
    <w:rsid w:val="00C26E6D"/>
    <w:rsid w:val="00C3273E"/>
    <w:rsid w:val="00C336F6"/>
    <w:rsid w:val="00C51DB3"/>
    <w:rsid w:val="00C539CE"/>
    <w:rsid w:val="00C6290C"/>
    <w:rsid w:val="00C643E6"/>
    <w:rsid w:val="00C82355"/>
    <w:rsid w:val="00C8666C"/>
    <w:rsid w:val="00CB38D4"/>
    <w:rsid w:val="00CB3C6D"/>
    <w:rsid w:val="00CC48A2"/>
    <w:rsid w:val="00CD26E7"/>
    <w:rsid w:val="00CE0704"/>
    <w:rsid w:val="00CE2B88"/>
    <w:rsid w:val="00CE3843"/>
    <w:rsid w:val="00CE3E01"/>
    <w:rsid w:val="00CE456B"/>
    <w:rsid w:val="00CF469B"/>
    <w:rsid w:val="00D07195"/>
    <w:rsid w:val="00D47B31"/>
    <w:rsid w:val="00D54543"/>
    <w:rsid w:val="00D550A4"/>
    <w:rsid w:val="00D6720B"/>
    <w:rsid w:val="00D71870"/>
    <w:rsid w:val="00D90619"/>
    <w:rsid w:val="00DB2797"/>
    <w:rsid w:val="00DC5BC7"/>
    <w:rsid w:val="00DD0BFC"/>
    <w:rsid w:val="00DD4716"/>
    <w:rsid w:val="00DE0596"/>
    <w:rsid w:val="00DF6DF1"/>
    <w:rsid w:val="00E249CA"/>
    <w:rsid w:val="00E26472"/>
    <w:rsid w:val="00E27E91"/>
    <w:rsid w:val="00E3354C"/>
    <w:rsid w:val="00E36DF8"/>
    <w:rsid w:val="00E40E46"/>
    <w:rsid w:val="00E47C4E"/>
    <w:rsid w:val="00E528C9"/>
    <w:rsid w:val="00E529F0"/>
    <w:rsid w:val="00E608CB"/>
    <w:rsid w:val="00E70B50"/>
    <w:rsid w:val="00E71E97"/>
    <w:rsid w:val="00E85457"/>
    <w:rsid w:val="00E914A7"/>
    <w:rsid w:val="00E94759"/>
    <w:rsid w:val="00E958E2"/>
    <w:rsid w:val="00E95D38"/>
    <w:rsid w:val="00EA0DB8"/>
    <w:rsid w:val="00EA2FEA"/>
    <w:rsid w:val="00EC2F61"/>
    <w:rsid w:val="00EC3786"/>
    <w:rsid w:val="00EC3B80"/>
    <w:rsid w:val="00ED41FA"/>
    <w:rsid w:val="00EE43F1"/>
    <w:rsid w:val="00EF02E5"/>
    <w:rsid w:val="00EF48D9"/>
    <w:rsid w:val="00F263BB"/>
    <w:rsid w:val="00F352E6"/>
    <w:rsid w:val="00F41573"/>
    <w:rsid w:val="00F61CD5"/>
    <w:rsid w:val="00F86617"/>
    <w:rsid w:val="00F92536"/>
    <w:rsid w:val="00FA3692"/>
    <w:rsid w:val="00FA39E1"/>
    <w:rsid w:val="00FC72AA"/>
    <w:rsid w:val="00FE21AA"/>
    <w:rsid w:val="00FE6DF9"/>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B3"/>
    <w:rPr>
      <w:rFonts w:ascii="Arial" w:hAnsi="Arial"/>
      <w:sz w:val="23"/>
    </w:rPr>
  </w:style>
  <w:style w:type="paragraph" w:styleId="Heading1">
    <w:name w:val="heading 1"/>
    <w:basedOn w:val="Normal"/>
    <w:next w:val="Normal"/>
    <w:link w:val="Heading1Char"/>
    <w:autoRedefine/>
    <w:uiPriority w:val="9"/>
    <w:qFormat/>
    <w:rsid w:val="007420E6"/>
    <w:pPr>
      <w:keepNext/>
      <w:spacing w:before="360" w:after="240"/>
      <w:jc w:val="center"/>
      <w:outlineLvl w:val="0"/>
    </w:pPr>
    <w:rPr>
      <w:rFonts w:ascii="Times New Roman" w:hAnsi="Times New Roman"/>
      <w:b/>
      <w:bCs/>
      <w:kern w:val="32"/>
      <w:sz w:val="24"/>
      <w:szCs w:val="24"/>
    </w:rPr>
  </w:style>
  <w:style w:type="paragraph" w:styleId="Heading2">
    <w:name w:val="heading 2"/>
    <w:basedOn w:val="Normal"/>
    <w:next w:val="Normal"/>
    <w:link w:val="Heading2Char"/>
    <w:autoRedefine/>
    <w:uiPriority w:val="9"/>
    <w:unhideWhenUsed/>
    <w:qFormat/>
    <w:rsid w:val="007420E6"/>
    <w:pPr>
      <w:keepNext/>
      <w:spacing w:before="360" w:after="240"/>
      <w:ind w:left="1440" w:right="720" w:hanging="720"/>
      <w:outlineLvl w:val="1"/>
    </w:pPr>
    <w:rPr>
      <w:rFonts w:ascii="Times New Roman" w:hAnsi="Times New Roman"/>
      <w:b/>
      <w:bCs/>
      <w:iCs/>
      <w:sz w:val="26"/>
      <w:szCs w:val="28"/>
    </w:rPr>
  </w:style>
  <w:style w:type="paragraph" w:styleId="Heading7">
    <w:name w:val="heading 7"/>
    <w:basedOn w:val="Normal"/>
    <w:next w:val="Normal"/>
    <w:link w:val="Heading7Char"/>
    <w:qFormat/>
    <w:rsid w:val="00C51DB3"/>
    <w:pPr>
      <w:keepNext/>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51DB3"/>
    <w:rPr>
      <w:rFonts w:ascii="Arial" w:eastAsia="Times New Roman" w:hAnsi="Arial" w:cs="Arial"/>
      <w:b/>
      <w:sz w:val="24"/>
      <w:szCs w:val="24"/>
    </w:rPr>
  </w:style>
  <w:style w:type="paragraph" w:customStyle="1" w:styleId="PARA-NORM">
    <w:name w:val="PARA-NORM"/>
    <w:basedOn w:val="Normal"/>
    <w:rsid w:val="00C51DB3"/>
    <w:pPr>
      <w:overflowPunct w:val="0"/>
      <w:autoSpaceDE w:val="0"/>
      <w:autoSpaceDN w:val="0"/>
      <w:adjustRightInd w:val="0"/>
      <w:spacing w:before="240" w:line="480" w:lineRule="auto"/>
      <w:jc w:val="both"/>
      <w:textAlignment w:val="baseline"/>
    </w:pPr>
    <w:rPr>
      <w:rFonts w:ascii="CG Times" w:hAnsi="CG Times"/>
      <w:sz w:val="24"/>
    </w:rPr>
  </w:style>
  <w:style w:type="paragraph" w:styleId="FootnoteText">
    <w:name w:val="footnote text"/>
    <w:basedOn w:val="Normal"/>
    <w:link w:val="FootnoteTextChar"/>
    <w:autoRedefine/>
    <w:uiPriority w:val="99"/>
    <w:unhideWhenUsed/>
    <w:rsid w:val="007420E6"/>
    <w:pPr>
      <w:spacing w:before="240" w:after="240"/>
      <w:ind w:left="720" w:hanging="720"/>
      <w:jc w:val="both"/>
    </w:pPr>
    <w:rPr>
      <w:rFonts w:ascii="Times New Roman" w:hAnsi="Times New Roman"/>
      <w:sz w:val="24"/>
    </w:rPr>
  </w:style>
  <w:style w:type="character" w:customStyle="1" w:styleId="FootnoteTextChar">
    <w:name w:val="Footnote Text Char"/>
    <w:link w:val="FootnoteText"/>
    <w:uiPriority w:val="99"/>
    <w:rsid w:val="007420E6"/>
    <w:rPr>
      <w:rFonts w:ascii="Times New Roman" w:hAnsi="Times New Roman"/>
      <w:sz w:val="24"/>
    </w:rPr>
  </w:style>
  <w:style w:type="character" w:styleId="FootnoteReference">
    <w:name w:val="footnote reference"/>
    <w:uiPriority w:val="99"/>
    <w:semiHidden/>
    <w:unhideWhenUsed/>
    <w:rsid w:val="00597170"/>
    <w:rPr>
      <w:vertAlign w:val="superscript"/>
    </w:rPr>
  </w:style>
  <w:style w:type="paragraph" w:styleId="Header">
    <w:name w:val="header"/>
    <w:basedOn w:val="Normal"/>
    <w:link w:val="HeaderChar"/>
    <w:uiPriority w:val="99"/>
    <w:unhideWhenUsed/>
    <w:rsid w:val="00C539CE"/>
    <w:pPr>
      <w:tabs>
        <w:tab w:val="center" w:pos="4680"/>
        <w:tab w:val="right" w:pos="9360"/>
      </w:tabs>
    </w:pPr>
  </w:style>
  <w:style w:type="character" w:customStyle="1" w:styleId="HeaderChar">
    <w:name w:val="Header Char"/>
    <w:link w:val="Header"/>
    <w:uiPriority w:val="99"/>
    <w:rsid w:val="00C539CE"/>
    <w:rPr>
      <w:rFonts w:ascii="Arial" w:hAnsi="Arial"/>
      <w:sz w:val="23"/>
    </w:rPr>
  </w:style>
  <w:style w:type="paragraph" w:styleId="Footer">
    <w:name w:val="footer"/>
    <w:basedOn w:val="Normal"/>
    <w:link w:val="FooterChar"/>
    <w:uiPriority w:val="99"/>
    <w:unhideWhenUsed/>
    <w:rsid w:val="00C539CE"/>
    <w:pPr>
      <w:tabs>
        <w:tab w:val="center" w:pos="4680"/>
        <w:tab w:val="right" w:pos="9360"/>
      </w:tabs>
    </w:pPr>
  </w:style>
  <w:style w:type="character" w:customStyle="1" w:styleId="FooterChar">
    <w:name w:val="Footer Char"/>
    <w:link w:val="Footer"/>
    <w:uiPriority w:val="99"/>
    <w:rsid w:val="00C539CE"/>
    <w:rPr>
      <w:rFonts w:ascii="Arial" w:hAnsi="Arial"/>
      <w:sz w:val="23"/>
    </w:rPr>
  </w:style>
  <w:style w:type="paragraph" w:styleId="BalloonText">
    <w:name w:val="Balloon Text"/>
    <w:basedOn w:val="Normal"/>
    <w:link w:val="BalloonTextChar"/>
    <w:uiPriority w:val="99"/>
    <w:semiHidden/>
    <w:unhideWhenUsed/>
    <w:rsid w:val="00C539CE"/>
    <w:rPr>
      <w:rFonts w:ascii="Tahoma" w:hAnsi="Tahoma"/>
      <w:sz w:val="16"/>
      <w:szCs w:val="16"/>
    </w:rPr>
  </w:style>
  <w:style w:type="character" w:customStyle="1" w:styleId="BalloonTextChar">
    <w:name w:val="Balloon Text Char"/>
    <w:link w:val="BalloonText"/>
    <w:uiPriority w:val="99"/>
    <w:semiHidden/>
    <w:rsid w:val="00C539CE"/>
    <w:rPr>
      <w:rFonts w:ascii="Tahoma" w:hAnsi="Tahoma" w:cs="Tahoma"/>
      <w:sz w:val="16"/>
      <w:szCs w:val="16"/>
    </w:rPr>
  </w:style>
  <w:style w:type="paragraph" w:customStyle="1" w:styleId="Textstyle">
    <w:name w:val="Text style"/>
    <w:basedOn w:val="Normal"/>
    <w:link w:val="TextstyleChar"/>
    <w:autoRedefine/>
    <w:rsid w:val="00CC48A2"/>
    <w:pPr>
      <w:tabs>
        <w:tab w:val="left" w:pos="720"/>
      </w:tabs>
      <w:spacing w:line="480" w:lineRule="auto"/>
      <w:jc w:val="both"/>
    </w:pPr>
    <w:rPr>
      <w:rFonts w:ascii="Times New Roman" w:hAnsi="Times New Roman"/>
      <w:sz w:val="26"/>
      <w:szCs w:val="24"/>
    </w:rPr>
  </w:style>
  <w:style w:type="character" w:customStyle="1" w:styleId="TextstyleChar">
    <w:name w:val="Text style Char"/>
    <w:link w:val="Textstyle"/>
    <w:rsid w:val="00CC48A2"/>
    <w:rPr>
      <w:rFonts w:ascii="Times New Roman" w:hAnsi="Times New Roman"/>
      <w:sz w:val="26"/>
      <w:szCs w:val="24"/>
    </w:rPr>
  </w:style>
  <w:style w:type="paragraph" w:styleId="BodyTextIndent2">
    <w:name w:val="Body Text Indent 2"/>
    <w:basedOn w:val="Normal"/>
    <w:link w:val="BodyTextIndent2Char"/>
    <w:rsid w:val="00EC2F61"/>
    <w:pPr>
      <w:ind w:left="3600" w:hanging="90"/>
    </w:pPr>
    <w:rPr>
      <w:rFonts w:ascii="Times New Roman" w:hAnsi="Times New Roman"/>
      <w:sz w:val="24"/>
    </w:rPr>
  </w:style>
  <w:style w:type="character" w:customStyle="1" w:styleId="BodyTextIndent2Char">
    <w:name w:val="Body Text Indent 2 Char"/>
    <w:link w:val="BodyTextIndent2"/>
    <w:rsid w:val="00EC2F61"/>
    <w:rPr>
      <w:rFonts w:ascii="Times New Roman" w:hAnsi="Times New Roman"/>
      <w:sz w:val="24"/>
    </w:rPr>
  </w:style>
  <w:style w:type="character" w:styleId="CommentReference">
    <w:name w:val="annotation reference"/>
    <w:uiPriority w:val="99"/>
    <w:semiHidden/>
    <w:unhideWhenUsed/>
    <w:rsid w:val="00A3672C"/>
    <w:rPr>
      <w:sz w:val="16"/>
      <w:szCs w:val="16"/>
    </w:rPr>
  </w:style>
  <w:style w:type="paragraph" w:styleId="CommentText">
    <w:name w:val="annotation text"/>
    <w:basedOn w:val="Normal"/>
    <w:link w:val="CommentTextChar"/>
    <w:uiPriority w:val="99"/>
    <w:semiHidden/>
    <w:unhideWhenUsed/>
    <w:rsid w:val="00A3672C"/>
    <w:rPr>
      <w:sz w:val="20"/>
    </w:rPr>
  </w:style>
  <w:style w:type="character" w:customStyle="1" w:styleId="CommentTextChar">
    <w:name w:val="Comment Text Char"/>
    <w:link w:val="CommentText"/>
    <w:uiPriority w:val="99"/>
    <w:semiHidden/>
    <w:rsid w:val="00A3672C"/>
    <w:rPr>
      <w:rFonts w:ascii="Arial" w:hAnsi="Arial"/>
    </w:rPr>
  </w:style>
  <w:style w:type="paragraph" w:styleId="CommentSubject">
    <w:name w:val="annotation subject"/>
    <w:basedOn w:val="CommentText"/>
    <w:next w:val="CommentText"/>
    <w:link w:val="CommentSubjectChar"/>
    <w:uiPriority w:val="99"/>
    <w:semiHidden/>
    <w:unhideWhenUsed/>
    <w:rsid w:val="00A3672C"/>
    <w:rPr>
      <w:b/>
      <w:bCs/>
    </w:rPr>
  </w:style>
  <w:style w:type="character" w:customStyle="1" w:styleId="CommentSubjectChar">
    <w:name w:val="Comment Subject Char"/>
    <w:link w:val="CommentSubject"/>
    <w:uiPriority w:val="99"/>
    <w:semiHidden/>
    <w:rsid w:val="00A3672C"/>
    <w:rPr>
      <w:rFonts w:ascii="Arial" w:hAnsi="Arial"/>
      <w:b/>
      <w:bCs/>
    </w:rPr>
  </w:style>
  <w:style w:type="character" w:customStyle="1" w:styleId="Heading1Char">
    <w:name w:val="Heading 1 Char"/>
    <w:link w:val="Heading1"/>
    <w:uiPriority w:val="9"/>
    <w:rsid w:val="007420E6"/>
    <w:rPr>
      <w:rFonts w:ascii="Times New Roman" w:hAnsi="Times New Roman"/>
      <w:b/>
      <w:bCs/>
      <w:kern w:val="32"/>
      <w:sz w:val="24"/>
      <w:szCs w:val="24"/>
    </w:rPr>
  </w:style>
  <w:style w:type="character" w:styleId="Hyperlink">
    <w:name w:val="Hyperlink"/>
    <w:uiPriority w:val="99"/>
    <w:unhideWhenUsed/>
    <w:rsid w:val="00821C6D"/>
    <w:rPr>
      <w:color w:val="0000FF"/>
      <w:u w:val="single"/>
    </w:rPr>
  </w:style>
  <w:style w:type="table" w:styleId="TableGrid">
    <w:name w:val="Table Grid"/>
    <w:basedOn w:val="TableNormal"/>
    <w:uiPriority w:val="59"/>
    <w:rsid w:val="00742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7420E6"/>
    <w:rPr>
      <w:rFonts w:ascii="Times New Roman" w:eastAsia="Times New Roman" w:hAnsi="Times New Roman" w:cs="Times New Roman"/>
      <w:b/>
      <w:bCs/>
      <w:iCs/>
      <w:sz w:val="26"/>
      <w:szCs w:val="28"/>
    </w:rPr>
  </w:style>
  <w:style w:type="paragraph" w:styleId="TOC1">
    <w:name w:val="toc 1"/>
    <w:basedOn w:val="Normal"/>
    <w:next w:val="Normal"/>
    <w:autoRedefine/>
    <w:uiPriority w:val="39"/>
    <w:unhideWhenUsed/>
    <w:rsid w:val="009118DC"/>
    <w:pPr>
      <w:tabs>
        <w:tab w:val="right" w:leader="dot" w:pos="9346"/>
      </w:tabs>
      <w:spacing w:before="240" w:after="240"/>
      <w:ind w:left="720" w:hanging="720"/>
    </w:pPr>
    <w:rPr>
      <w:rFonts w:ascii="Times New Roman" w:hAnsi="Times New Roman"/>
      <w:sz w:val="26"/>
    </w:rPr>
  </w:style>
  <w:style w:type="paragraph" w:styleId="TOC2">
    <w:name w:val="toc 2"/>
    <w:basedOn w:val="Normal"/>
    <w:next w:val="Normal"/>
    <w:autoRedefine/>
    <w:uiPriority w:val="39"/>
    <w:unhideWhenUsed/>
    <w:rsid w:val="009118DC"/>
    <w:pPr>
      <w:tabs>
        <w:tab w:val="right" w:leader="dot" w:pos="9350"/>
      </w:tabs>
      <w:spacing w:before="240" w:after="240"/>
      <w:ind w:left="1440" w:right="1440" w:hanging="720"/>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mcnamee@puc.state.oh.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20C2-F21F-499F-AD11-1B8A4471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13464</CharactersWithSpaces>
  <SharedDoc>false</SharedDoc>
  <HLinks>
    <vt:vector size="6" baseType="variant">
      <vt:variant>
        <vt:i4>7929874</vt:i4>
      </vt:variant>
      <vt:variant>
        <vt:i4>27</vt:i4>
      </vt:variant>
      <vt:variant>
        <vt:i4>0</vt:i4>
      </vt:variant>
      <vt:variant>
        <vt:i4>5</vt:i4>
      </vt:variant>
      <vt:variant>
        <vt:lpwstr>mailto:thomas.mcnamee@puc.state.oh.us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2011-04-25T16:02:00Z</dcterms:created>
  <dcterms:modified xsi:type="dcterms:W3CDTF">2011-04-25T16:05:00Z</dcterms:modified>
</cp:coreProperties>
</file>