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3250C" w:rsidRPr="008625F2" w:rsidP="0053250C" w14:paraId="6E1CA67C" w14:textId="77777777">
      <w:pPr>
        <w:pStyle w:val="Title"/>
        <w:rPr>
          <w:sz w:val="24"/>
          <w:szCs w:val="24"/>
        </w:rPr>
      </w:pPr>
      <w:bookmarkStart w:id="0" w:name="_GoBack"/>
      <w:bookmarkEnd w:id="0"/>
      <w:r w:rsidRPr="008625F2">
        <w:rPr>
          <w:sz w:val="24"/>
          <w:szCs w:val="24"/>
        </w:rPr>
        <w:t>BEFORE</w:t>
      </w:r>
    </w:p>
    <w:p w:rsidR="0053250C" w:rsidRPr="008625F2" w:rsidP="0053250C" w14:paraId="5C2BE3D9" w14:textId="77777777">
      <w:pPr>
        <w:jc w:val="center"/>
        <w:rPr>
          <w:b/>
        </w:rPr>
      </w:pPr>
      <w:r w:rsidRPr="008625F2">
        <w:rPr>
          <w:b/>
        </w:rPr>
        <w:t>THE PUBLIC UTILITIES COMMISSION OF OHIO</w:t>
      </w:r>
    </w:p>
    <w:p w:rsidR="0053250C" w:rsidRPr="008625F2" w:rsidP="0053250C" w14:paraId="1AD0DEF7" w14:textId="77777777">
      <w:pPr>
        <w:jc w:val="center"/>
        <w:rPr>
          <w:b/>
        </w:rPr>
      </w:pPr>
    </w:p>
    <w:tbl>
      <w:tblPr>
        <w:tblW w:w="9998" w:type="dxa"/>
        <w:tblLook w:val="01E0"/>
      </w:tblPr>
      <w:tblGrid>
        <w:gridCol w:w="5238"/>
        <w:gridCol w:w="360"/>
        <w:gridCol w:w="4400"/>
      </w:tblGrid>
      <w:tr w14:paraId="65687504" w14:textId="77777777" w:rsidTr="0053250C">
        <w:tblPrEx>
          <w:tblW w:w="9998" w:type="dxa"/>
          <w:tblLook w:val="01E0"/>
        </w:tblPrEx>
        <w:trPr>
          <w:trHeight w:val="792"/>
        </w:trPr>
        <w:tc>
          <w:tcPr>
            <w:tcW w:w="5238" w:type="dxa"/>
            <w:shd w:val="clear" w:color="auto" w:fill="auto"/>
          </w:tcPr>
          <w:p w:rsidR="0053250C" w:rsidRPr="008625F2" w:rsidP="00F600DF" w14:paraId="5A06691E" w14:textId="77777777">
            <w:pPr>
              <w:autoSpaceDE w:val="0"/>
              <w:autoSpaceDN w:val="0"/>
              <w:adjustRightInd w:val="0"/>
              <w:ind w:right="726"/>
            </w:pPr>
            <w:r w:rsidRPr="008625F2">
              <w:t xml:space="preserve">In the Matter of the Review of Duke </w:t>
            </w:r>
          </w:p>
          <w:p w:rsidR="0053250C" w:rsidRPr="008625F2" w:rsidP="0053250C" w14:paraId="42FB975D" w14:textId="77777777">
            <w:pPr>
              <w:autoSpaceDE w:val="0"/>
              <w:autoSpaceDN w:val="0"/>
              <w:adjustRightInd w:val="0"/>
            </w:pPr>
            <w:r w:rsidRPr="008625F2">
              <w:t xml:space="preserve">Energy Ohio, Inc.’s Distribution </w:t>
            </w:r>
          </w:p>
          <w:p w:rsidR="0053250C" w:rsidRPr="008625F2" w:rsidP="0053250C" w14:paraId="48EAA11A" w14:textId="77777777">
            <w:pPr>
              <w:autoSpaceDE w:val="0"/>
              <w:autoSpaceDN w:val="0"/>
              <w:adjustRightInd w:val="0"/>
            </w:pPr>
            <w:r w:rsidRPr="008625F2">
              <w:t xml:space="preserve">Capital Investment Rider. </w:t>
            </w:r>
          </w:p>
        </w:tc>
        <w:tc>
          <w:tcPr>
            <w:tcW w:w="360" w:type="dxa"/>
            <w:shd w:val="clear" w:color="auto" w:fill="auto"/>
          </w:tcPr>
          <w:p w:rsidR="0053250C" w:rsidRPr="008625F2" w:rsidP="0053250C" w14:paraId="6C3345DF" w14:textId="77777777">
            <w:pPr>
              <w:pStyle w:val="HTMLPreformatted"/>
              <w:rPr>
                <w:rFonts w:ascii="Times New Roman" w:hAnsi="Times New Roman" w:cs="Times New Roman"/>
                <w:sz w:val="24"/>
                <w:szCs w:val="24"/>
              </w:rPr>
            </w:pPr>
            <w:r w:rsidRPr="008625F2">
              <w:rPr>
                <w:rFonts w:ascii="Times New Roman" w:hAnsi="Times New Roman" w:cs="Times New Roman"/>
                <w:sz w:val="24"/>
                <w:szCs w:val="24"/>
              </w:rPr>
              <w:t>)</w:t>
            </w:r>
          </w:p>
          <w:p w:rsidR="0053250C" w:rsidRPr="008625F2" w:rsidP="0053250C" w14:paraId="060C7DA4" w14:textId="77777777">
            <w:pPr>
              <w:pStyle w:val="HTMLPreformatted"/>
              <w:rPr>
                <w:rFonts w:ascii="Times New Roman" w:hAnsi="Times New Roman" w:cs="Times New Roman"/>
                <w:sz w:val="24"/>
                <w:szCs w:val="24"/>
              </w:rPr>
            </w:pPr>
            <w:r w:rsidRPr="008625F2">
              <w:rPr>
                <w:rFonts w:ascii="Times New Roman" w:hAnsi="Times New Roman" w:cs="Times New Roman"/>
                <w:sz w:val="24"/>
                <w:szCs w:val="24"/>
              </w:rPr>
              <w:t>)</w:t>
            </w:r>
          </w:p>
          <w:p w:rsidR="0053250C" w:rsidRPr="008625F2" w:rsidP="004E7A35" w14:paraId="283CB959" w14:textId="77777777">
            <w:pPr>
              <w:pStyle w:val="HTMLPreformatted"/>
              <w:spacing w:after="240"/>
              <w:rPr>
                <w:rFonts w:ascii="Times New Roman" w:hAnsi="Times New Roman" w:cs="Times New Roman"/>
                <w:sz w:val="24"/>
                <w:szCs w:val="24"/>
              </w:rPr>
            </w:pPr>
            <w:r w:rsidRPr="008625F2">
              <w:rPr>
                <w:rFonts w:ascii="Times New Roman" w:hAnsi="Times New Roman" w:cs="Times New Roman"/>
                <w:sz w:val="24"/>
                <w:szCs w:val="24"/>
              </w:rPr>
              <w:t>)</w:t>
            </w:r>
          </w:p>
        </w:tc>
        <w:tc>
          <w:tcPr>
            <w:tcW w:w="4400" w:type="dxa"/>
            <w:shd w:val="clear" w:color="auto" w:fill="auto"/>
          </w:tcPr>
          <w:p w:rsidR="0053250C" w:rsidRPr="008625F2" w:rsidP="0053250C" w14:paraId="3C9F4AB9" w14:textId="77777777">
            <w:pPr>
              <w:pStyle w:val="HTMLPreformatted"/>
              <w:rPr>
                <w:rFonts w:ascii="Times New Roman" w:hAnsi="Times New Roman" w:cs="Times New Roman"/>
                <w:sz w:val="24"/>
                <w:szCs w:val="24"/>
              </w:rPr>
            </w:pPr>
          </w:p>
          <w:p w:rsidR="0053250C" w:rsidRPr="008625F2" w:rsidP="0053250C" w14:paraId="4602684F" w14:textId="290415C0">
            <w:pPr>
              <w:pStyle w:val="HTMLPreformatted"/>
              <w:rPr>
                <w:rFonts w:ascii="Times New Roman" w:hAnsi="Times New Roman" w:cs="Times New Roman"/>
                <w:sz w:val="24"/>
                <w:szCs w:val="24"/>
              </w:rPr>
            </w:pPr>
            <w:r w:rsidRPr="008625F2">
              <w:rPr>
                <w:rFonts w:ascii="Times New Roman" w:hAnsi="Times New Roman" w:cs="Times New Roman"/>
                <w:sz w:val="24"/>
                <w:szCs w:val="24"/>
              </w:rPr>
              <w:t>Case No. 1</w:t>
            </w:r>
            <w:r w:rsidRPr="008625F2" w:rsidR="000722DA">
              <w:rPr>
                <w:rFonts w:ascii="Times New Roman" w:hAnsi="Times New Roman" w:cs="Times New Roman"/>
                <w:sz w:val="24"/>
                <w:szCs w:val="24"/>
              </w:rPr>
              <w:t>9</w:t>
            </w:r>
            <w:r w:rsidRPr="008625F2">
              <w:rPr>
                <w:rFonts w:ascii="Times New Roman" w:hAnsi="Times New Roman" w:cs="Times New Roman"/>
                <w:sz w:val="24"/>
                <w:szCs w:val="24"/>
              </w:rPr>
              <w:t>-1</w:t>
            </w:r>
            <w:r w:rsidRPr="008625F2" w:rsidR="000722DA">
              <w:rPr>
                <w:rFonts w:ascii="Times New Roman" w:hAnsi="Times New Roman" w:cs="Times New Roman"/>
                <w:sz w:val="24"/>
                <w:szCs w:val="24"/>
              </w:rPr>
              <w:t>287</w:t>
            </w:r>
            <w:r w:rsidRPr="008625F2">
              <w:rPr>
                <w:rFonts w:ascii="Times New Roman" w:hAnsi="Times New Roman" w:cs="Times New Roman"/>
                <w:sz w:val="24"/>
                <w:szCs w:val="24"/>
              </w:rPr>
              <w:t>-EL-RDR</w:t>
            </w:r>
          </w:p>
        </w:tc>
      </w:tr>
    </w:tbl>
    <w:p w:rsidR="0053250C" w:rsidRPr="008625F2" w:rsidP="00217C13" w14:paraId="77E1A25C" w14:textId="77777777">
      <w:pPr>
        <w:pBdr>
          <w:top w:val="single" w:sz="12" w:space="1" w:color="auto"/>
        </w:pBdr>
      </w:pPr>
    </w:p>
    <w:p w:rsidR="0053250C" w:rsidRPr="008625F2" w:rsidP="0053250C" w14:paraId="261EACEB" w14:textId="64CF20C5">
      <w:pPr>
        <w:jc w:val="center"/>
        <w:rPr>
          <w:b/>
        </w:rPr>
      </w:pPr>
      <w:r w:rsidRPr="008625F2">
        <w:rPr>
          <w:b/>
        </w:rPr>
        <w:t xml:space="preserve">REPLY </w:t>
      </w:r>
      <w:r w:rsidRPr="008625F2" w:rsidR="002835B7">
        <w:rPr>
          <w:b/>
        </w:rPr>
        <w:t xml:space="preserve">COMMENTS </w:t>
      </w:r>
    </w:p>
    <w:p w:rsidR="0053250C" w:rsidRPr="008625F2" w:rsidP="0053250C" w14:paraId="01DC72D7" w14:textId="77777777">
      <w:pPr>
        <w:jc w:val="center"/>
        <w:rPr>
          <w:b/>
        </w:rPr>
      </w:pPr>
      <w:r w:rsidRPr="008625F2">
        <w:rPr>
          <w:b/>
        </w:rPr>
        <w:t>BY</w:t>
      </w:r>
    </w:p>
    <w:p w:rsidR="0053250C" w:rsidRPr="008625F2" w:rsidP="0053250C" w14:paraId="012E4FD1" w14:textId="77777777">
      <w:pPr>
        <w:jc w:val="center"/>
        <w:rPr>
          <w:b/>
        </w:rPr>
      </w:pPr>
      <w:r w:rsidRPr="008625F2">
        <w:rPr>
          <w:b/>
        </w:rPr>
        <w:t>THE OFFICE OF THE OHIO CONSUMERS’ COUNSEL</w:t>
      </w:r>
    </w:p>
    <w:p w:rsidR="0053250C" w:rsidRPr="008625F2" w:rsidP="0053250C" w14:paraId="68B8B0C2" w14:textId="77777777">
      <w:pPr>
        <w:pBdr>
          <w:bottom w:val="single" w:sz="12" w:space="1" w:color="auto"/>
        </w:pBdr>
      </w:pPr>
    </w:p>
    <w:p w:rsidR="002D427B" w:rsidRPr="008625F2" w:rsidP="00A511F2" w14:paraId="2B2972F9" w14:textId="205353B1">
      <w:pPr>
        <w:pStyle w:val="Heading1"/>
      </w:pPr>
      <w:bookmarkStart w:id="1" w:name="_Toc33428779"/>
      <w:bookmarkStart w:id="2" w:name="_Toc33790158"/>
      <w:r w:rsidRPr="008625F2">
        <w:t>I.</w:t>
      </w:r>
      <w:r w:rsidRPr="008625F2" w:rsidR="002B2202">
        <w:t xml:space="preserve"> </w:t>
      </w:r>
      <w:r w:rsidRPr="008625F2" w:rsidR="002B2202">
        <w:tab/>
        <w:t xml:space="preserve">Introduction </w:t>
      </w:r>
      <w:r w:rsidRPr="008625F2">
        <w:tab/>
      </w:r>
      <w:bookmarkEnd w:id="1"/>
      <w:bookmarkEnd w:id="2"/>
      <w:r w:rsidRPr="008625F2">
        <w:t xml:space="preserve"> </w:t>
      </w:r>
    </w:p>
    <w:p w:rsidR="004817F4" w:rsidRPr="008625F2" w:rsidP="002B2202" w14:paraId="6880E0BB" w14:textId="2699EDD1">
      <w:pPr>
        <w:spacing w:line="480" w:lineRule="auto"/>
        <w:ind w:firstLine="720"/>
      </w:pPr>
      <w:r w:rsidRPr="008625F2">
        <w:t>The Distribution Capital Investment Rider (“Rider DCI” or “</w:t>
      </w:r>
      <w:r w:rsidRPr="008625F2" w:rsidR="007434ED">
        <w:t>Distribution Charge</w:t>
      </w:r>
      <w:r w:rsidRPr="008625F2">
        <w:t xml:space="preserve">”) permits Duke Energy Ohio, Inc. (“Duke”) to expedite charging customers for </w:t>
      </w:r>
      <w:r w:rsidRPr="008625F2" w:rsidR="007434ED">
        <w:t xml:space="preserve">its </w:t>
      </w:r>
      <w:r w:rsidRPr="008625F2">
        <w:t>spending on its distribution system. Rehmann Consulting (“Rehmann”</w:t>
      </w:r>
      <w:r w:rsidRPr="008625F2" w:rsidR="00702A8E">
        <w:t xml:space="preserve"> or “Auditor”</w:t>
      </w:r>
      <w:r w:rsidRPr="008625F2">
        <w:t>)</w:t>
      </w:r>
      <w:r w:rsidRPr="008625F2" w:rsidR="007434ED">
        <w:t xml:space="preserve">, the independent auditor hired by the PUCO, </w:t>
      </w:r>
      <w:r w:rsidRPr="008625F2">
        <w:t>found that over $13 million</w:t>
      </w:r>
      <w:r w:rsidRPr="008625F2" w:rsidR="007434ED">
        <w:t xml:space="preserve"> </w:t>
      </w:r>
      <w:r w:rsidRPr="008625F2">
        <w:t xml:space="preserve"> was </w:t>
      </w:r>
      <w:r w:rsidRPr="008625F2" w:rsidR="00AD7A01">
        <w:t>inaccurately recorded</w:t>
      </w:r>
      <w:r w:rsidRPr="008625F2">
        <w:t xml:space="preserve"> </w:t>
      </w:r>
      <w:r w:rsidRPr="008625F2" w:rsidR="00F56F3C">
        <w:t>and</w:t>
      </w:r>
      <w:r w:rsidRPr="008625F2">
        <w:t xml:space="preserve"> </w:t>
      </w:r>
      <w:r w:rsidRPr="008625F2" w:rsidR="007434ED">
        <w:t xml:space="preserve">recommended </w:t>
      </w:r>
      <w:r w:rsidRPr="008625F2">
        <w:t xml:space="preserve">that customers </w:t>
      </w:r>
      <w:r w:rsidRPr="008625F2" w:rsidR="007434ED">
        <w:t xml:space="preserve">should not be </w:t>
      </w:r>
      <w:r w:rsidRPr="008625F2">
        <w:t xml:space="preserve">charged </w:t>
      </w:r>
      <w:r w:rsidRPr="008625F2" w:rsidR="00702A8E">
        <w:t xml:space="preserve">(approximately $880,052 during the audit period) </w:t>
      </w:r>
      <w:r w:rsidRPr="008625F2">
        <w:t xml:space="preserve">as a result of Duke’s </w:t>
      </w:r>
      <w:r w:rsidRPr="008625F2" w:rsidR="002F4493">
        <w:t xml:space="preserve">accounting </w:t>
      </w:r>
      <w:r w:rsidRPr="008625F2">
        <w:t>errors.</w:t>
      </w:r>
      <w:r>
        <w:rPr>
          <w:rStyle w:val="FootnoteReference"/>
        </w:rPr>
        <w:footnoteReference w:id="2"/>
      </w:r>
      <w:r w:rsidRPr="008625F2">
        <w:t xml:space="preserve"> </w:t>
      </w:r>
    </w:p>
    <w:p w:rsidR="00F600DF" w:rsidRPr="008625F2" w:rsidP="002B2202" w14:paraId="66930454" w14:textId="2D6B15AA">
      <w:pPr>
        <w:spacing w:line="480" w:lineRule="auto"/>
        <w:ind w:firstLine="720"/>
        <w:sectPr w:rsidSect="003832AA">
          <w:footerReference w:type="default" r:id="rId6"/>
          <w:pgSz w:w="12240" w:h="15840"/>
          <w:pgMar w:top="1440" w:right="1800" w:bottom="1440" w:left="1800" w:header="720" w:footer="720" w:gutter="0"/>
          <w:pgNumType w:start="2"/>
          <w:cols w:space="720"/>
          <w:docGrid w:linePitch="360"/>
        </w:sectPr>
      </w:pPr>
      <w:r w:rsidRPr="008625F2">
        <w:t xml:space="preserve">The PUCO Staff, Duke, and the Office of the Ohio Consumers' Counsel (“OCC”) filed initial comments on the </w:t>
      </w:r>
      <w:r w:rsidRPr="008625F2" w:rsidR="00745698">
        <w:t>A</w:t>
      </w:r>
      <w:r w:rsidRPr="008625F2">
        <w:t xml:space="preserve">udit </w:t>
      </w:r>
      <w:r w:rsidRPr="008625F2" w:rsidR="00745698">
        <w:t>R</w:t>
      </w:r>
      <w:r w:rsidRPr="008625F2">
        <w:t xml:space="preserve">eport on February 28, 2020. </w:t>
      </w:r>
      <w:r w:rsidRPr="008625F2" w:rsidR="00731EC6">
        <w:t xml:space="preserve">Both the PUCO Staff and the OCC support the Auditor’s findings and recommendations. In addition, </w:t>
      </w:r>
      <w:r w:rsidRPr="008625F2">
        <w:t xml:space="preserve">OCC replies to several of Duke’s recommendations that would be harmful for consumers if </w:t>
      </w:r>
      <w:r w:rsidRPr="008625F2" w:rsidR="00745698">
        <w:t>adopted</w:t>
      </w:r>
      <w:r w:rsidRPr="008625F2">
        <w:t xml:space="preserve"> by the PUCO. </w:t>
      </w:r>
    </w:p>
    <w:p w:rsidR="0053250C" w:rsidRPr="008625F2" w:rsidP="00A511F2" w14:paraId="4639BEBF" w14:textId="49EB6F6E">
      <w:pPr>
        <w:pStyle w:val="Heading1"/>
      </w:pPr>
      <w:bookmarkStart w:id="3" w:name="_Toc33428780"/>
      <w:bookmarkStart w:id="4" w:name="_Toc33790159"/>
      <w:r w:rsidRPr="008625F2">
        <w:t>II.</w:t>
      </w:r>
      <w:r w:rsidRPr="008625F2">
        <w:tab/>
      </w:r>
      <w:bookmarkEnd w:id="3"/>
      <w:bookmarkEnd w:id="4"/>
      <w:r w:rsidRPr="008625F2" w:rsidR="0081307A">
        <w:t>REPLY</w:t>
      </w:r>
    </w:p>
    <w:p w:rsidR="00965156" w:rsidRPr="008625F2" w:rsidP="00B842B2" w14:paraId="761F2DC7" w14:textId="47F295E2">
      <w:pPr>
        <w:pStyle w:val="Heading2"/>
        <w:rPr>
          <w:rFonts w:ascii="Times New Roman" w:hAnsi="Times New Roman" w:cs="Times New Roman"/>
          <w:szCs w:val="24"/>
        </w:rPr>
      </w:pPr>
      <w:bookmarkStart w:id="5" w:name="_Toc33428782"/>
      <w:bookmarkStart w:id="6" w:name="_Toc33790160"/>
      <w:bookmarkStart w:id="7" w:name="_Hlk34925315"/>
      <w:r w:rsidRPr="008625F2">
        <w:rPr>
          <w:rFonts w:ascii="Times New Roman" w:hAnsi="Times New Roman" w:cs="Times New Roman"/>
          <w:szCs w:val="24"/>
        </w:rPr>
        <w:t>The PUCO should adopt recommendations made by the Auditor</w:t>
      </w:r>
      <w:r w:rsidRPr="008625F2" w:rsidR="00FA3A92">
        <w:rPr>
          <w:rFonts w:ascii="Times New Roman" w:hAnsi="Times New Roman" w:cs="Times New Roman"/>
          <w:szCs w:val="24"/>
        </w:rPr>
        <w:t>,</w:t>
      </w:r>
      <w:r w:rsidRPr="008625F2" w:rsidR="007434ED">
        <w:rPr>
          <w:rFonts w:ascii="Times New Roman" w:hAnsi="Times New Roman" w:cs="Times New Roman"/>
          <w:szCs w:val="24"/>
        </w:rPr>
        <w:t xml:space="preserve"> supported by </w:t>
      </w:r>
      <w:r w:rsidRPr="008625F2" w:rsidR="00FA3A92">
        <w:rPr>
          <w:rFonts w:ascii="Times New Roman" w:hAnsi="Times New Roman" w:cs="Times New Roman"/>
          <w:szCs w:val="24"/>
        </w:rPr>
        <w:t>the PUCO Staff and the OCC</w:t>
      </w:r>
      <w:r w:rsidRPr="008625F2" w:rsidR="007434ED">
        <w:rPr>
          <w:rFonts w:ascii="Times New Roman" w:hAnsi="Times New Roman" w:cs="Times New Roman"/>
          <w:szCs w:val="24"/>
        </w:rPr>
        <w:t xml:space="preserve">, </w:t>
      </w:r>
      <w:r w:rsidRPr="008625F2">
        <w:rPr>
          <w:rFonts w:ascii="Times New Roman" w:hAnsi="Times New Roman" w:cs="Times New Roman"/>
          <w:szCs w:val="24"/>
        </w:rPr>
        <w:t>to remove</w:t>
      </w:r>
      <w:r w:rsidRPr="008625F2" w:rsidR="00D47DC9">
        <w:rPr>
          <w:rFonts w:ascii="Times New Roman" w:hAnsi="Times New Roman" w:cs="Times New Roman"/>
          <w:szCs w:val="24"/>
        </w:rPr>
        <w:t xml:space="preserve"> </w:t>
      </w:r>
      <w:r w:rsidRPr="008625F2" w:rsidR="00BC0887">
        <w:rPr>
          <w:rFonts w:ascii="Times New Roman" w:hAnsi="Times New Roman" w:cs="Times New Roman"/>
          <w:szCs w:val="24"/>
        </w:rPr>
        <w:t xml:space="preserve">incentive </w:t>
      </w:r>
      <w:r w:rsidRPr="008625F2" w:rsidR="0099007D">
        <w:rPr>
          <w:rFonts w:ascii="Times New Roman" w:hAnsi="Times New Roman" w:cs="Times New Roman"/>
          <w:szCs w:val="24"/>
        </w:rPr>
        <w:t>compensation</w:t>
      </w:r>
      <w:r w:rsidRPr="008625F2" w:rsidR="002B1204">
        <w:rPr>
          <w:rFonts w:ascii="Times New Roman" w:hAnsi="Times New Roman" w:cs="Times New Roman"/>
          <w:szCs w:val="24"/>
        </w:rPr>
        <w:t xml:space="preserve"> </w:t>
      </w:r>
      <w:r w:rsidRPr="008625F2" w:rsidR="000438D4">
        <w:rPr>
          <w:rFonts w:ascii="Times New Roman" w:hAnsi="Times New Roman" w:cs="Times New Roman"/>
          <w:szCs w:val="24"/>
        </w:rPr>
        <w:t xml:space="preserve">charges </w:t>
      </w:r>
      <w:r w:rsidRPr="008625F2">
        <w:rPr>
          <w:rFonts w:ascii="Times New Roman" w:hAnsi="Times New Roman" w:cs="Times New Roman"/>
          <w:szCs w:val="24"/>
        </w:rPr>
        <w:t xml:space="preserve">from the </w:t>
      </w:r>
      <w:r w:rsidRPr="008625F2" w:rsidR="00D47DC9">
        <w:rPr>
          <w:rFonts w:ascii="Times New Roman" w:hAnsi="Times New Roman" w:cs="Times New Roman"/>
          <w:szCs w:val="24"/>
        </w:rPr>
        <w:t xml:space="preserve">Distribution </w:t>
      </w:r>
      <w:r w:rsidRPr="008625F2" w:rsidR="00A25C0D">
        <w:rPr>
          <w:rFonts w:ascii="Times New Roman" w:hAnsi="Times New Roman" w:cs="Times New Roman"/>
          <w:szCs w:val="24"/>
        </w:rPr>
        <w:t xml:space="preserve">Capital Investment </w:t>
      </w:r>
      <w:r w:rsidRPr="008625F2">
        <w:rPr>
          <w:rFonts w:ascii="Times New Roman" w:hAnsi="Times New Roman" w:cs="Times New Roman"/>
          <w:szCs w:val="24"/>
        </w:rPr>
        <w:t>Rider so that customers are not overcharged.</w:t>
      </w:r>
      <w:bookmarkEnd w:id="5"/>
      <w:bookmarkEnd w:id="6"/>
      <w:r w:rsidRPr="008625F2" w:rsidR="00A50315">
        <w:rPr>
          <w:rFonts w:ascii="Times New Roman" w:hAnsi="Times New Roman" w:cs="Times New Roman"/>
          <w:szCs w:val="24"/>
        </w:rPr>
        <w:t xml:space="preserve">     </w:t>
      </w:r>
    </w:p>
    <w:p w:rsidR="005C6C29" w:rsidRPr="008625F2" w:rsidP="005C6C29" w14:paraId="5BFE233C" w14:textId="1FF0E114">
      <w:pPr>
        <w:spacing w:line="480" w:lineRule="auto"/>
        <w:ind w:firstLine="720"/>
      </w:pPr>
      <w:r w:rsidRPr="008625F2">
        <w:t xml:space="preserve">Duke has been required since September 30, 2018 to </w:t>
      </w:r>
      <w:r w:rsidRPr="008625F2" w:rsidR="007434ED">
        <w:t>treat</w:t>
      </w:r>
      <w:r w:rsidRPr="008625F2">
        <w:t xml:space="preserve"> capitalized incentive pay accrued since July 1, 2016 a</w:t>
      </w:r>
      <w:r w:rsidRPr="008625F2" w:rsidR="007434ED">
        <w:t xml:space="preserve">s an </w:t>
      </w:r>
      <w:r w:rsidRPr="008625F2">
        <w:t xml:space="preserve">offset to </w:t>
      </w:r>
      <w:r w:rsidRPr="008625F2" w:rsidR="006112D0">
        <w:t>d</w:t>
      </w:r>
      <w:r w:rsidRPr="008625F2">
        <w:t xml:space="preserve">istribution </w:t>
      </w:r>
      <w:r w:rsidRPr="008625F2" w:rsidR="006112D0">
        <w:t>r</w:t>
      </w:r>
      <w:r w:rsidRPr="008625F2">
        <w:t xml:space="preserve">ate </w:t>
      </w:r>
      <w:r w:rsidRPr="008625F2" w:rsidR="006112D0">
        <w:t>b</w:t>
      </w:r>
      <w:r w:rsidRPr="008625F2">
        <w:t xml:space="preserve">ase in future </w:t>
      </w:r>
      <w:r w:rsidRPr="008625F2" w:rsidR="007434ED">
        <w:t>Distribution Charge</w:t>
      </w:r>
      <w:r w:rsidRPr="008625F2">
        <w:t xml:space="preserve"> filings.</w:t>
      </w:r>
      <w:r>
        <w:rPr>
          <w:rStyle w:val="FootnoteReference"/>
        </w:rPr>
        <w:footnoteReference w:id="3"/>
      </w:r>
      <w:r w:rsidRPr="008625F2">
        <w:t xml:space="preserve"> </w:t>
      </w:r>
      <w:r w:rsidRPr="008625F2" w:rsidR="00672E3B">
        <w:t>But t</w:t>
      </w:r>
      <w:r w:rsidRPr="008625F2">
        <w:t>he Auditor found that all incentive pay included in Retirement Works In Progress (“RWIP”) since July 1, 2016 was not properly offset</w:t>
      </w:r>
      <w:r w:rsidRPr="008625F2" w:rsidR="007434ED">
        <w:t>.  The Auditor recommended</w:t>
      </w:r>
      <w:r w:rsidRPr="008625F2">
        <w:t xml:space="preserve"> </w:t>
      </w:r>
      <w:r w:rsidRPr="008625F2" w:rsidR="00672E3B">
        <w:t xml:space="preserve">that </w:t>
      </w:r>
      <w:r w:rsidRPr="008625F2">
        <w:t>$66,361 of additional incentive pay offset (a $19,527 reduction to the revenue requirement) that must be removed from the Rider.</w:t>
      </w:r>
      <w:r>
        <w:rPr>
          <w:rStyle w:val="FootnoteReference"/>
        </w:rPr>
        <w:footnoteReference w:id="4"/>
      </w:r>
      <w:r w:rsidRPr="008625F2">
        <w:t xml:space="preserve"> The OCC </w:t>
      </w:r>
      <w:r w:rsidRPr="008625F2" w:rsidR="00672E3B">
        <w:t xml:space="preserve">and the PUCO Staff </w:t>
      </w:r>
      <w:r w:rsidRPr="008625F2">
        <w:t>supported this recommendation</w:t>
      </w:r>
      <w:r w:rsidRPr="008625F2" w:rsidR="00672E3B">
        <w:t>.</w:t>
      </w:r>
      <w:r>
        <w:rPr>
          <w:rStyle w:val="FootnoteReference"/>
        </w:rPr>
        <w:footnoteReference w:id="5"/>
      </w:r>
    </w:p>
    <w:p w:rsidR="008C093E" w:rsidRPr="008625F2" w:rsidP="00EC2C93" w14:paraId="489E7CF3" w14:textId="5518E5A1">
      <w:pPr>
        <w:spacing w:line="480" w:lineRule="auto"/>
        <w:ind w:firstLine="720"/>
      </w:pPr>
      <w:r w:rsidRPr="008625F2">
        <w:t>Duke</w:t>
      </w:r>
      <w:r w:rsidRPr="008625F2" w:rsidR="00672E3B">
        <w:t xml:space="preserve">, however, </w:t>
      </w:r>
      <w:r w:rsidRPr="008625F2">
        <w:t>disagrees with the Auditor’s recommendation</w:t>
      </w:r>
      <w:r w:rsidRPr="008625F2" w:rsidR="00672E3B">
        <w:t xml:space="preserve">.  Duke </w:t>
      </w:r>
      <w:r w:rsidRPr="008625F2">
        <w:t xml:space="preserve">asserts that it agreed to remove incentive pay related to earnings for incremental capital </w:t>
      </w:r>
      <w:r w:rsidRPr="008625F2" w:rsidR="00672E3B">
        <w:t xml:space="preserve">in future rates </w:t>
      </w:r>
      <w:r w:rsidRPr="008625F2">
        <w:t>from Rider DCI</w:t>
      </w:r>
      <w:r w:rsidRPr="008625F2" w:rsidR="00672E3B">
        <w:t xml:space="preserve"> and the PUCO approved that approach</w:t>
      </w:r>
      <w:r w:rsidRPr="008625F2">
        <w:t>.</w:t>
      </w:r>
      <w:r>
        <w:rPr>
          <w:rStyle w:val="FootnoteReference"/>
        </w:rPr>
        <w:footnoteReference w:id="6"/>
      </w:r>
      <w:r w:rsidRPr="008625F2">
        <w:t xml:space="preserve"> But </w:t>
      </w:r>
      <w:r w:rsidRPr="008625F2" w:rsidR="002F4493">
        <w:t>Duke</w:t>
      </w:r>
      <w:r w:rsidRPr="008625F2">
        <w:t xml:space="preserve"> is </w:t>
      </w:r>
      <w:r w:rsidRPr="008625F2" w:rsidR="00672E3B">
        <w:t>misreading the PUCO</w:t>
      </w:r>
      <w:r w:rsidRPr="008625F2" w:rsidR="002F4493">
        <w:t>’s</w:t>
      </w:r>
      <w:r w:rsidRPr="008625F2" w:rsidR="00672E3B">
        <w:t xml:space="preserve"> </w:t>
      </w:r>
      <w:r w:rsidRPr="008625F2" w:rsidR="002F4493">
        <w:t>O</w:t>
      </w:r>
      <w:r w:rsidRPr="008625F2" w:rsidR="00672E3B">
        <w:t xml:space="preserve">rder.  Although the PUCO </w:t>
      </w:r>
      <w:r w:rsidRPr="008625F2" w:rsidR="002F4493">
        <w:t>O</w:t>
      </w:r>
      <w:r w:rsidRPr="008625F2" w:rsidR="00672E3B">
        <w:t xml:space="preserve">rder refers to “rates going forward” it does not tie the adjustment to future rates, but rather requires the credit to be made now to avoid customers overpaying in the future.  </w:t>
      </w:r>
      <w:r w:rsidRPr="008625F2">
        <w:t>The Order states</w:t>
      </w:r>
      <w:r w:rsidRPr="008625F2" w:rsidR="00E30A89">
        <w:t>:</w:t>
      </w:r>
      <w:r w:rsidRPr="008625F2">
        <w:t xml:space="preserve"> </w:t>
      </w:r>
    </w:p>
    <w:p w:rsidR="00EC2C93" w:rsidRPr="008625F2" w:rsidP="008625F2" w14:paraId="2C27D4A2" w14:textId="6E7C7084">
      <w:pPr>
        <w:ind w:left="1440"/>
      </w:pPr>
      <w:r w:rsidRPr="008625F2">
        <w:t xml:space="preserve">so as not to include the value of the employee bonus expenses for incremental investment in Rider DCI and Rider PF in its Ohio jurisdictional </w:t>
      </w:r>
      <w:r w:rsidRPr="008625F2">
        <w:rPr>
          <w:i/>
          <w:iCs/>
        </w:rPr>
        <w:t xml:space="preserve">rates </w:t>
      </w:r>
      <w:r w:rsidRPr="008625F2">
        <w:t xml:space="preserve">going forward…Duke shall include a credit in Rider DCI or Rider PF, as applicable, for the estimated revenue requirement impact of capitalizing employee bonus expenses for incremental </w:t>
      </w:r>
      <w:r w:rsidRPr="008625F2">
        <w:t>investment for its Ohio retail customers so as to net out the cost of the bonus expenses.</w:t>
      </w:r>
      <w:r>
        <w:rPr>
          <w:rStyle w:val="FootnoteReference"/>
        </w:rPr>
        <w:footnoteReference w:id="7"/>
      </w:r>
      <w:r w:rsidRPr="008625F2">
        <w:t xml:space="preserve"> </w:t>
      </w:r>
    </w:p>
    <w:p w:rsidR="00E30A89" w:rsidRPr="008625F2" w:rsidP="008625F2" w14:paraId="07BCE6C2" w14:textId="77777777">
      <w:pPr>
        <w:ind w:firstLine="720"/>
      </w:pPr>
    </w:p>
    <w:p w:rsidR="00EC2C93" w:rsidP="008625F2" w14:paraId="31609DA7" w14:textId="14E007E4">
      <w:pPr>
        <w:spacing w:line="480" w:lineRule="auto"/>
        <w:ind w:firstLine="720"/>
      </w:pPr>
      <w:r w:rsidRPr="008625F2">
        <w:t>To protect consumers from being overcharged for electric</w:t>
      </w:r>
      <w:r w:rsidRPr="008625F2" w:rsidR="00672E3B">
        <w:t xml:space="preserve"> service</w:t>
      </w:r>
      <w:r w:rsidRPr="008625F2">
        <w:t xml:space="preserve">, </w:t>
      </w:r>
      <w:r w:rsidRPr="008625F2" w:rsidR="00672E3B">
        <w:t xml:space="preserve">consistent with the </w:t>
      </w:r>
      <w:r w:rsidRPr="008625F2" w:rsidR="00DC12B4">
        <w:t xml:space="preserve">PUCO Order in Duke’s rate case, </w:t>
      </w:r>
      <w:r w:rsidRPr="008625F2">
        <w:t xml:space="preserve">the PUCO should adopt the Auditor’s recommendation as supported by </w:t>
      </w:r>
      <w:r w:rsidRPr="008625F2" w:rsidR="00E30A89">
        <w:t>the PUCO</w:t>
      </w:r>
      <w:r w:rsidRPr="008625F2">
        <w:t xml:space="preserve"> Staff and OCC.</w:t>
      </w:r>
      <w:r>
        <w:rPr>
          <w:rStyle w:val="FootnoteReference"/>
        </w:rPr>
        <w:footnoteReference w:id="8"/>
      </w:r>
      <w:bookmarkStart w:id="8" w:name="_Toc33428784"/>
      <w:bookmarkStart w:id="9" w:name="_Toc33790161"/>
      <w:bookmarkEnd w:id="7"/>
    </w:p>
    <w:p w:rsidR="00BB7F3E" w:rsidRPr="008625F2" w:rsidP="00B842B2" w14:paraId="2FE71D06" w14:textId="500B1C1F">
      <w:pPr>
        <w:pStyle w:val="Heading2"/>
        <w:rPr>
          <w:rFonts w:ascii="Times New Roman" w:hAnsi="Times New Roman" w:cs="Times New Roman"/>
          <w:szCs w:val="24"/>
        </w:rPr>
      </w:pPr>
      <w:r w:rsidRPr="008625F2">
        <w:rPr>
          <w:rFonts w:ascii="Times New Roman" w:hAnsi="Times New Roman" w:cs="Times New Roman"/>
          <w:szCs w:val="24"/>
        </w:rPr>
        <w:t>The PUCO should adopt recommendations made by the Auditor</w:t>
      </w:r>
      <w:r w:rsidRPr="008625F2" w:rsidR="004909BF">
        <w:rPr>
          <w:rFonts w:ascii="Times New Roman" w:hAnsi="Times New Roman" w:cs="Times New Roman"/>
          <w:szCs w:val="24"/>
        </w:rPr>
        <w:t>,</w:t>
      </w:r>
      <w:r w:rsidRPr="008625F2" w:rsidR="00DC12B4">
        <w:rPr>
          <w:rFonts w:ascii="Times New Roman" w:hAnsi="Times New Roman" w:cs="Times New Roman"/>
          <w:szCs w:val="24"/>
        </w:rPr>
        <w:t xml:space="preserve"> supported by </w:t>
      </w:r>
      <w:r w:rsidRPr="008625F2" w:rsidR="00666BFA">
        <w:rPr>
          <w:rFonts w:ascii="Times New Roman" w:hAnsi="Times New Roman" w:cs="Times New Roman"/>
          <w:szCs w:val="24"/>
        </w:rPr>
        <w:t>the PUCO Staff and the OCC</w:t>
      </w:r>
      <w:r w:rsidRPr="008625F2" w:rsidR="004909BF">
        <w:rPr>
          <w:rFonts w:ascii="Times New Roman" w:hAnsi="Times New Roman" w:cs="Times New Roman"/>
          <w:szCs w:val="24"/>
        </w:rPr>
        <w:t>,</w:t>
      </w:r>
      <w:r w:rsidRPr="008625F2">
        <w:rPr>
          <w:rFonts w:ascii="Times New Roman" w:hAnsi="Times New Roman" w:cs="Times New Roman"/>
          <w:szCs w:val="24"/>
        </w:rPr>
        <w:t xml:space="preserve"> to </w:t>
      </w:r>
      <w:r w:rsidRPr="008625F2" w:rsidR="00666BFA">
        <w:rPr>
          <w:rFonts w:ascii="Times New Roman" w:hAnsi="Times New Roman" w:cs="Times New Roman"/>
          <w:szCs w:val="24"/>
        </w:rPr>
        <w:t xml:space="preserve">provide a separate detailed audit for any </w:t>
      </w:r>
      <w:r w:rsidRPr="008625F2">
        <w:rPr>
          <w:rFonts w:ascii="Times New Roman" w:hAnsi="Times New Roman" w:cs="Times New Roman"/>
          <w:szCs w:val="24"/>
        </w:rPr>
        <w:t>Contribution</w:t>
      </w:r>
      <w:r w:rsidRPr="008625F2" w:rsidR="008329AE">
        <w:rPr>
          <w:rFonts w:ascii="Times New Roman" w:hAnsi="Times New Roman" w:cs="Times New Roman"/>
          <w:szCs w:val="24"/>
        </w:rPr>
        <w:t>s</w:t>
      </w:r>
      <w:r w:rsidRPr="008625F2">
        <w:rPr>
          <w:rFonts w:ascii="Times New Roman" w:hAnsi="Times New Roman" w:cs="Times New Roman"/>
          <w:szCs w:val="24"/>
        </w:rPr>
        <w:t xml:space="preserve"> in Aid of Construction </w:t>
      </w:r>
      <w:bookmarkEnd w:id="8"/>
      <w:r w:rsidRPr="008625F2">
        <w:rPr>
          <w:rFonts w:ascii="Times New Roman" w:hAnsi="Times New Roman" w:cs="Times New Roman"/>
          <w:szCs w:val="24"/>
        </w:rPr>
        <w:t xml:space="preserve">to protect customers from paying for a return on </w:t>
      </w:r>
      <w:r w:rsidRPr="008625F2" w:rsidR="008C093E">
        <w:rPr>
          <w:rFonts w:ascii="Times New Roman" w:hAnsi="Times New Roman" w:cs="Times New Roman"/>
          <w:szCs w:val="24"/>
        </w:rPr>
        <w:t>customer</w:t>
      </w:r>
      <w:r w:rsidRPr="008625F2">
        <w:rPr>
          <w:rFonts w:ascii="Times New Roman" w:hAnsi="Times New Roman" w:cs="Times New Roman"/>
          <w:szCs w:val="24"/>
        </w:rPr>
        <w:t xml:space="preserve"> supplied capital.</w:t>
      </w:r>
      <w:bookmarkEnd w:id="9"/>
    </w:p>
    <w:p w:rsidR="00B10AE3" w:rsidRPr="008625F2" w:rsidP="00FE7C58" w14:paraId="77F969D0" w14:textId="2710642C">
      <w:pPr>
        <w:spacing w:line="480" w:lineRule="auto"/>
        <w:ind w:firstLine="720"/>
      </w:pPr>
      <w:r w:rsidRPr="008625F2">
        <w:t xml:space="preserve">Duke </w:t>
      </w:r>
      <w:r w:rsidRPr="008625F2" w:rsidR="00B514DD">
        <w:t xml:space="preserve">should not </w:t>
      </w:r>
      <w:r w:rsidRPr="008625F2" w:rsidR="0079330F">
        <w:t>earn</w:t>
      </w:r>
      <w:r w:rsidRPr="008625F2" w:rsidR="00B514DD">
        <w:t xml:space="preserve"> a return on plant </w:t>
      </w:r>
      <w:r w:rsidRPr="008625F2" w:rsidR="002140C6">
        <w:t>that it</w:t>
      </w:r>
      <w:r w:rsidRPr="008625F2" w:rsidR="00870C01">
        <w:t>s investors</w:t>
      </w:r>
      <w:r w:rsidRPr="008625F2" w:rsidR="002140C6">
        <w:t xml:space="preserve"> did not fund</w:t>
      </w:r>
      <w:r w:rsidRPr="008625F2" w:rsidR="00B514DD">
        <w:t>.</w:t>
      </w:r>
      <w:r w:rsidRPr="008625F2" w:rsidR="001A1A6C">
        <w:t xml:space="preserve"> </w:t>
      </w:r>
      <w:r w:rsidRPr="008625F2" w:rsidR="00F20E7E">
        <w:t>Contributions in Aid of Construction (“CIAC”) is not investor</w:t>
      </w:r>
      <w:r w:rsidRPr="008625F2" w:rsidR="004B21DD">
        <w:t>-</w:t>
      </w:r>
      <w:r w:rsidRPr="008625F2" w:rsidR="001A1A6C">
        <w:t>funded</w:t>
      </w:r>
      <w:r w:rsidRPr="008625F2" w:rsidR="00F20E7E">
        <w:t xml:space="preserve"> capital</w:t>
      </w:r>
      <w:r w:rsidRPr="008625F2">
        <w:t xml:space="preserve"> and it is inappropriate to charge customers for a return on this capital</w:t>
      </w:r>
      <w:r w:rsidRPr="008625F2" w:rsidR="001A1A6C">
        <w:t>.</w:t>
      </w:r>
      <w:r w:rsidRPr="008625F2" w:rsidR="00F20E7E">
        <w:t xml:space="preserve"> </w:t>
      </w:r>
      <w:r w:rsidRPr="008625F2" w:rsidR="001A1A6C">
        <w:t xml:space="preserve">Duke agrees </w:t>
      </w:r>
      <w:r w:rsidRPr="008625F2">
        <w:t xml:space="preserve">with the Auditor </w:t>
      </w:r>
      <w:r w:rsidRPr="008625F2" w:rsidR="001A1A6C">
        <w:t xml:space="preserve">that it </w:t>
      </w:r>
      <w:r w:rsidRPr="008625F2" w:rsidR="00D70C61">
        <w:t xml:space="preserve">did not properly </w:t>
      </w:r>
      <w:r w:rsidRPr="008625F2" w:rsidR="00697BAD">
        <w:t xml:space="preserve">bill and collect </w:t>
      </w:r>
      <w:r w:rsidRPr="008625F2" w:rsidR="00D70C61">
        <w:t>CIAC</w:t>
      </w:r>
      <w:r w:rsidRPr="008625F2" w:rsidR="00697BAD">
        <w:t xml:space="preserve"> from </w:t>
      </w:r>
      <w:r w:rsidRPr="008625F2" w:rsidR="00D70C61">
        <w:t>customers during this audit period</w:t>
      </w:r>
      <w:r w:rsidRPr="008625F2" w:rsidR="00F20E7E">
        <w:t xml:space="preserve"> and </w:t>
      </w:r>
      <w:r w:rsidRPr="008625F2" w:rsidR="001A1A6C">
        <w:t>agrees to</w:t>
      </w:r>
      <w:r w:rsidRPr="008625F2" w:rsidR="002835B7">
        <w:t xml:space="preserve"> a reduc</w:t>
      </w:r>
      <w:r w:rsidRPr="008625F2" w:rsidR="00DC12B4">
        <w:t xml:space="preserve">e its </w:t>
      </w:r>
      <w:r w:rsidRPr="008625F2" w:rsidR="002835B7">
        <w:t>revenue requirement for missing or untimely CIAC entries</w:t>
      </w:r>
      <w:r w:rsidRPr="008625F2" w:rsidR="00F20E7E">
        <w:t>.</w:t>
      </w:r>
      <w:r>
        <w:rPr>
          <w:rStyle w:val="FootnoteReference"/>
        </w:rPr>
        <w:footnoteReference w:id="9"/>
      </w:r>
      <w:r w:rsidRPr="008625F2" w:rsidR="002835B7">
        <w:t xml:space="preserve"> </w:t>
      </w:r>
    </w:p>
    <w:p w:rsidR="00870C01" w:rsidRPr="008625F2" w:rsidP="00FE7C58" w14:paraId="7640A726" w14:textId="147C7928">
      <w:pPr>
        <w:spacing w:line="480" w:lineRule="auto"/>
        <w:ind w:firstLine="720"/>
      </w:pPr>
      <w:r w:rsidRPr="008625F2">
        <w:t xml:space="preserve">But </w:t>
      </w:r>
      <w:r w:rsidRPr="008625F2" w:rsidR="001A1A6C">
        <w:t xml:space="preserve">Duke </w:t>
      </w:r>
      <w:r w:rsidRPr="008625F2">
        <w:t xml:space="preserve">also </w:t>
      </w:r>
      <w:r w:rsidRPr="008625F2" w:rsidR="001A1A6C">
        <w:t xml:space="preserve">expresses its </w:t>
      </w:r>
      <w:r w:rsidRPr="008625F2" w:rsidR="00B10AE3">
        <w:t>“</w:t>
      </w:r>
      <w:r w:rsidRPr="008625F2" w:rsidR="001A1A6C">
        <w:t>disbelief</w:t>
      </w:r>
      <w:r w:rsidRPr="008625F2" w:rsidR="00B10AE3">
        <w:t>”</w:t>
      </w:r>
      <w:r w:rsidRPr="008625F2" w:rsidR="001A1A6C">
        <w:t xml:space="preserve"> that there is a “systemic” issue which would warrant a wholesale re-audit.</w:t>
      </w:r>
      <w:r>
        <w:rPr>
          <w:rStyle w:val="FootnoteReference"/>
        </w:rPr>
        <w:footnoteReference w:id="10"/>
      </w:r>
      <w:r w:rsidRPr="008625F2" w:rsidR="001A1A6C">
        <w:t xml:space="preserve"> </w:t>
      </w:r>
      <w:r w:rsidRPr="008625F2" w:rsidR="00EA34D0">
        <w:t xml:space="preserve">Duke has </w:t>
      </w:r>
      <w:r w:rsidRPr="008625F2" w:rsidR="00DC12B4">
        <w:t xml:space="preserve">not explained its </w:t>
      </w:r>
      <w:r w:rsidRPr="008625F2" w:rsidR="00EA34D0">
        <w:t>“disbelief</w:t>
      </w:r>
      <w:r w:rsidRPr="008625F2" w:rsidR="00B10AE3">
        <w:t>,</w:t>
      </w:r>
      <w:r w:rsidRPr="008625F2" w:rsidR="00EA34D0">
        <w:t xml:space="preserve">” </w:t>
      </w:r>
      <w:r w:rsidRPr="008625F2" w:rsidR="00903232">
        <w:t>and</w:t>
      </w:r>
      <w:r w:rsidRPr="008625F2" w:rsidR="00EA34D0">
        <w:t xml:space="preserve"> even if it had, the results of the </w:t>
      </w:r>
      <w:r w:rsidRPr="008625F2" w:rsidR="00DC12B4">
        <w:t>present a</w:t>
      </w:r>
      <w:r w:rsidRPr="008625F2" w:rsidR="00EA34D0">
        <w:t xml:space="preserve">udit paint a different picture. As OCC explained in its comments, this is not the </w:t>
      </w:r>
      <w:r w:rsidRPr="008625F2" w:rsidR="002835B7">
        <w:t>first time that Duke’s lax accounting of CIAC has created overcharges to customers.</w:t>
      </w:r>
      <w:r>
        <w:rPr>
          <w:rStyle w:val="FootnoteReference"/>
        </w:rPr>
        <w:footnoteReference w:id="11"/>
      </w:r>
      <w:r w:rsidRPr="008625F2" w:rsidR="002835B7">
        <w:t xml:space="preserve"> </w:t>
      </w:r>
      <w:r w:rsidRPr="008625F2" w:rsidR="005F4707">
        <w:t xml:space="preserve">Moreover, </w:t>
      </w:r>
      <w:r w:rsidRPr="008625F2" w:rsidR="00EA34D0">
        <w:t>Duke was supposed to fix this issue</w:t>
      </w:r>
      <w:r w:rsidRPr="008625F2" w:rsidR="00681C09">
        <w:t xml:space="preserve"> before</w:t>
      </w:r>
      <w:r w:rsidRPr="008625F2" w:rsidR="00EA34D0">
        <w:t>,</w:t>
      </w:r>
      <w:r>
        <w:rPr>
          <w:rStyle w:val="FootnoteReference"/>
        </w:rPr>
        <w:footnoteReference w:id="12"/>
      </w:r>
      <w:r w:rsidRPr="008625F2" w:rsidR="00EA34D0">
        <w:t xml:space="preserve"> but </w:t>
      </w:r>
      <w:r w:rsidRPr="008625F2" w:rsidR="00EA34D0">
        <w:t>has not.</w:t>
      </w:r>
      <w:r>
        <w:rPr>
          <w:rStyle w:val="FootnoteReference"/>
        </w:rPr>
        <w:footnoteReference w:id="13"/>
      </w:r>
      <w:r w:rsidRPr="008625F2" w:rsidR="00697BAD">
        <w:t xml:space="preserve"> This </w:t>
      </w:r>
      <w:r w:rsidRPr="008625F2" w:rsidR="00DC12B4">
        <w:t xml:space="preserve">is contrary to Duke’s belief that there is no </w:t>
      </w:r>
      <w:r w:rsidRPr="008625F2" w:rsidR="005F4707">
        <w:t>systemic</w:t>
      </w:r>
      <w:r w:rsidRPr="008625F2" w:rsidR="00697BAD">
        <w:t xml:space="preserve"> problem with </w:t>
      </w:r>
      <w:r w:rsidRPr="008625F2" w:rsidR="00EB6BD2">
        <w:t xml:space="preserve">Duke’s accounting controls for the </w:t>
      </w:r>
      <w:r w:rsidRPr="008625F2" w:rsidR="00697BAD">
        <w:t xml:space="preserve">recording of CIAC. </w:t>
      </w:r>
      <w:r w:rsidRPr="008625F2" w:rsidR="00E86FC5">
        <w:t xml:space="preserve">OCC </w:t>
      </w:r>
      <w:r w:rsidRPr="008625F2" w:rsidR="00202D5B">
        <w:t xml:space="preserve">previously </w:t>
      </w:r>
      <w:r w:rsidRPr="008625F2" w:rsidR="00E86FC5">
        <w:t>recommended in its initial comments</w:t>
      </w:r>
      <w:r w:rsidRPr="008625F2" w:rsidR="003B359E">
        <w:t xml:space="preserve"> that</w:t>
      </w:r>
      <w:r w:rsidRPr="008625F2" w:rsidR="008D37A2">
        <w:t xml:space="preserve"> </w:t>
      </w:r>
      <w:r w:rsidRPr="008625F2" w:rsidR="00E86FC5">
        <w:t>the PUCO should disallow in this audit, and any future audits, any CIAC that has not been properly recorded.</w:t>
      </w:r>
      <w:r>
        <w:rPr>
          <w:rStyle w:val="FootnoteReference"/>
        </w:rPr>
        <w:footnoteReference w:id="14"/>
      </w:r>
      <w:r w:rsidRPr="008625F2" w:rsidR="00E86FC5">
        <w:t xml:space="preserve"> </w:t>
      </w:r>
      <w:r w:rsidRPr="008625F2" w:rsidR="00BD3DC6">
        <w:t>This recommendation bears repeating on Reply.</w:t>
      </w:r>
      <w:r w:rsidRPr="008625F2" w:rsidR="00E86FC5">
        <w:t xml:space="preserve"> </w:t>
      </w:r>
      <w:r w:rsidRPr="008625F2" w:rsidR="00BD3DC6">
        <w:t>Doing so will protect customers against</w:t>
      </w:r>
      <w:r w:rsidRPr="008625F2" w:rsidR="00E86FC5">
        <w:t xml:space="preserve"> </w:t>
      </w:r>
      <w:r w:rsidRPr="008625F2" w:rsidR="00BD3DC6">
        <w:t>paying a return on non-</w:t>
      </w:r>
      <w:r w:rsidRPr="008625F2">
        <w:t>investor</w:t>
      </w:r>
      <w:r w:rsidRPr="008625F2" w:rsidR="00BD3DC6">
        <w:t xml:space="preserve"> supplied </w:t>
      </w:r>
      <w:r w:rsidRPr="008625F2">
        <w:t xml:space="preserve">capital through </w:t>
      </w:r>
      <w:r w:rsidRPr="008625F2" w:rsidR="00E86FC5">
        <w:t>Rider DCI. By not reflecting the proper CIAC amounts, the amount Duke charges its customers is overstated and customers are charged more than is just and reasonable.</w:t>
      </w:r>
    </w:p>
    <w:p w:rsidR="00F1726E" w:rsidRPr="008625F2" w:rsidP="00F1726E" w14:paraId="49975B75" w14:textId="694C3AD8">
      <w:pPr>
        <w:spacing w:line="480" w:lineRule="auto"/>
        <w:ind w:firstLine="720"/>
      </w:pPr>
      <w:r w:rsidRPr="008625F2">
        <w:t>To protect consumers from being improperly charged, the PUCO should adopt the Auditor’s recommendation as supported by its Staff and OCC, with OCC’s additional recommendation.</w:t>
      </w:r>
      <w:r w:rsidRPr="008625F2" w:rsidR="005E5E94">
        <w:t xml:space="preserve">  </w:t>
      </w:r>
      <w:bookmarkStart w:id="10" w:name="_Toc33654083"/>
      <w:bookmarkStart w:id="11" w:name="_Toc33659183"/>
      <w:bookmarkEnd w:id="10"/>
      <w:bookmarkEnd w:id="11"/>
    </w:p>
    <w:p w:rsidR="00560CBD" w:rsidRPr="008625F2" w:rsidP="00B842B2" w14:paraId="43F5B0D8" w14:textId="12435B68">
      <w:pPr>
        <w:pStyle w:val="Heading2"/>
        <w:rPr>
          <w:rFonts w:ascii="Times New Roman" w:hAnsi="Times New Roman" w:cs="Times New Roman"/>
          <w:szCs w:val="24"/>
        </w:rPr>
      </w:pPr>
      <w:bookmarkStart w:id="12" w:name="_Toc33428790"/>
      <w:bookmarkStart w:id="13" w:name="_Toc33790163"/>
      <w:r w:rsidRPr="008625F2">
        <w:rPr>
          <w:rFonts w:ascii="Times New Roman" w:hAnsi="Times New Roman" w:cs="Times New Roman"/>
          <w:szCs w:val="24"/>
        </w:rPr>
        <w:t xml:space="preserve">The PUCO should adopt the Auditor’s recommendation that Duke be required to conduct a </w:t>
      </w:r>
      <w:r w:rsidRPr="008625F2" w:rsidR="00FB3FA4">
        <w:rPr>
          <w:rFonts w:ascii="Times New Roman" w:hAnsi="Times New Roman" w:cs="Times New Roman"/>
          <w:szCs w:val="24"/>
        </w:rPr>
        <w:t xml:space="preserve">separate detailed audit </w:t>
      </w:r>
      <w:r w:rsidRPr="008625F2">
        <w:rPr>
          <w:rFonts w:ascii="Times New Roman" w:hAnsi="Times New Roman" w:cs="Times New Roman"/>
          <w:szCs w:val="24"/>
        </w:rPr>
        <w:t xml:space="preserve">of </w:t>
      </w:r>
      <w:r w:rsidRPr="008625F2" w:rsidR="00DC12B4">
        <w:rPr>
          <w:rFonts w:ascii="Times New Roman" w:hAnsi="Times New Roman" w:cs="Times New Roman"/>
          <w:szCs w:val="24"/>
        </w:rPr>
        <w:t xml:space="preserve">distribution plant orders </w:t>
      </w:r>
      <w:r w:rsidRPr="008625F2">
        <w:rPr>
          <w:rFonts w:ascii="Times New Roman" w:hAnsi="Times New Roman" w:cs="Times New Roman"/>
          <w:szCs w:val="24"/>
        </w:rPr>
        <w:t>to protect consumers from unreasonable charges.</w:t>
      </w:r>
    </w:p>
    <w:p w:rsidR="00560CBD" w:rsidRPr="008625F2" w:rsidP="00560CBD" w14:paraId="54CA76FD" w14:textId="3F9362D1">
      <w:pPr>
        <w:spacing w:line="480" w:lineRule="auto"/>
        <w:ind w:firstLine="720"/>
      </w:pPr>
      <w:r w:rsidRPr="008625F2">
        <w:t>The Auditor recommended that all distribution plant work orders that have a correlated transmission plant work order and charged to Rider DCI from July 1, 2018 to June 30, 2019</w:t>
      </w:r>
      <w:r w:rsidRPr="008625F2" w:rsidR="00DC12B4">
        <w:t>,</w:t>
      </w:r>
      <w:r w:rsidRPr="008625F2">
        <w:t xml:space="preserve"> be reviewed by Duke staff for appropriate charging between distribution and transmission plant.</w:t>
      </w:r>
      <w:r>
        <w:rPr>
          <w:rStyle w:val="FootnoteReference"/>
        </w:rPr>
        <w:footnoteReference w:id="15"/>
      </w:r>
      <w:r w:rsidRPr="008625F2">
        <w:t xml:space="preserve"> </w:t>
      </w:r>
      <w:r w:rsidRPr="008625F2" w:rsidR="00DC12B4">
        <w:t>The Auditor further recommended that a</w:t>
      </w:r>
      <w:r w:rsidRPr="008625F2">
        <w:t>ny detected overcharges should be quantified in a report for the revenue requirement impact and the impact applied to the December 31, 2019 Rider DCI filing.</w:t>
      </w:r>
      <w:r>
        <w:rPr>
          <w:rStyle w:val="FootnoteReference"/>
        </w:rPr>
        <w:footnoteReference w:id="16"/>
      </w:r>
      <w:r w:rsidRPr="008625F2">
        <w:t xml:space="preserve"> OCC agrees with the Auditor’s recommendation in principle, but recommends that </w:t>
      </w:r>
      <w:r w:rsidRPr="008625F2" w:rsidR="00DC12B4">
        <w:t>if there are overcharges customers</w:t>
      </w:r>
      <w:r w:rsidRPr="008625F2" w:rsidR="009B007F">
        <w:t>’</w:t>
      </w:r>
      <w:r w:rsidRPr="008625F2" w:rsidR="00DC12B4">
        <w:t xml:space="preserve"> rates should be reduced starting </w:t>
      </w:r>
      <w:r w:rsidRPr="008625F2" w:rsidR="00643764">
        <w:t>with the next Rider DCI filing.</w:t>
      </w:r>
      <w:r w:rsidRPr="008625F2">
        <w:t xml:space="preserve"> </w:t>
      </w:r>
    </w:p>
    <w:p w:rsidR="00B80057" w:rsidRPr="008625F2" w:rsidP="00560CBD" w14:paraId="04564E0D" w14:textId="754DF132">
      <w:pPr>
        <w:spacing w:line="480" w:lineRule="auto"/>
        <w:ind w:firstLine="720"/>
      </w:pPr>
      <w:r w:rsidRPr="008625F2">
        <w:t>Duke disagrees with this recommendation and states the review would be difficult and unduly burdensome to perform and impossible during the recommended timeframe.</w:t>
      </w:r>
      <w:r>
        <w:rPr>
          <w:rStyle w:val="FootnoteReference"/>
        </w:rPr>
        <w:footnoteReference w:id="17"/>
      </w:r>
      <w:r w:rsidRPr="008625F2">
        <w:t xml:space="preserve"> Duke also believes the “enhanced” control the Auditor is seeking and Duke is agreeing to regarding</w:t>
      </w:r>
      <w:r w:rsidRPr="008625F2" w:rsidR="0011431D">
        <w:t xml:space="preserve"> invoices and payroll time sheets</w:t>
      </w:r>
      <w:r>
        <w:rPr>
          <w:rStyle w:val="FootnoteReference"/>
        </w:rPr>
        <w:footnoteReference w:id="18"/>
      </w:r>
      <w:r w:rsidRPr="008625F2" w:rsidR="0011431D">
        <w:t xml:space="preserve"> is sufficient.</w:t>
      </w:r>
      <w:r>
        <w:rPr>
          <w:rStyle w:val="FootnoteReference"/>
        </w:rPr>
        <w:footnoteReference w:id="19"/>
      </w:r>
      <w:r w:rsidRPr="008625F2" w:rsidR="0011431D">
        <w:t xml:space="preserve"> </w:t>
      </w:r>
      <w:r w:rsidRPr="008625F2" w:rsidR="00DC12B4">
        <w:t xml:space="preserve">With the </w:t>
      </w:r>
      <w:r w:rsidRPr="008625F2" w:rsidR="0011431D">
        <w:t xml:space="preserve"> December 31, 2019 Rider DCI filing already made</w:t>
      </w:r>
      <w:r w:rsidRPr="008625F2" w:rsidR="00DC12B4">
        <w:t xml:space="preserve">, </w:t>
      </w:r>
      <w:r w:rsidRPr="008625F2" w:rsidR="0011431D">
        <w:t xml:space="preserve">there is no reason why Duke cannot perform this review and impact application in the </w:t>
      </w:r>
      <w:r w:rsidRPr="008625F2" w:rsidR="00DC12B4">
        <w:t xml:space="preserve">context of that filing. </w:t>
      </w:r>
      <w:r w:rsidRPr="008625F2" w:rsidR="0011431D">
        <w:t xml:space="preserve"> </w:t>
      </w:r>
    </w:p>
    <w:p w:rsidR="00B80057" w:rsidP="00560CBD" w14:paraId="5395F476" w14:textId="77F0E269">
      <w:pPr>
        <w:spacing w:line="480" w:lineRule="auto"/>
        <w:ind w:firstLine="720"/>
      </w:pPr>
      <w:r w:rsidRPr="008625F2">
        <w:t>On the other hand, the Auditor’s “enhanced” control proposed and agreed to by Duke regarding timesheets and payroll is not an appropriate substitute for this review and quantification</w:t>
      </w:r>
      <w:r w:rsidRPr="008625F2" w:rsidR="00DC12B4">
        <w:t xml:space="preserve"> which more adequately protects customers</w:t>
      </w:r>
      <w:r w:rsidRPr="008625F2">
        <w:t>. Duke has already agreed that it improperly charged transmission plant to Rider DCI,</w:t>
      </w:r>
      <w:r>
        <w:rPr>
          <w:rStyle w:val="FootnoteReference"/>
        </w:rPr>
        <w:footnoteReference w:id="20"/>
      </w:r>
      <w:r w:rsidRPr="008625F2">
        <w:t xml:space="preserve"> and this by itself justifies a more complete review with a separate report. A “second review and signature” is insufficient </w:t>
      </w:r>
      <w:r w:rsidRPr="008625F2" w:rsidR="00F91173">
        <w:t xml:space="preserve">to adequately protect customers </w:t>
      </w:r>
      <w:r w:rsidRPr="008625F2">
        <w:t>in this case.</w:t>
      </w:r>
      <w:r w:rsidRPr="008625F2" w:rsidR="00903232">
        <w:t xml:space="preserve"> </w:t>
      </w:r>
      <w:r w:rsidRPr="008625F2">
        <w:t xml:space="preserve">The PUCO should adopt </w:t>
      </w:r>
      <w:r w:rsidRPr="008625F2" w:rsidR="0044434C">
        <w:t>the Auditor’s</w:t>
      </w:r>
      <w:r w:rsidRPr="008625F2">
        <w:t xml:space="preserve"> recommendation to protect </w:t>
      </w:r>
      <w:r w:rsidR="008625F2">
        <w:t>consumers.</w:t>
      </w:r>
    </w:p>
    <w:p w:rsidR="00AA39D4" w:rsidRPr="008625F2" w:rsidP="00B842B2" w14:paraId="400DF6DB" w14:textId="0E71A6CE">
      <w:pPr>
        <w:pStyle w:val="Heading2"/>
        <w:rPr>
          <w:rFonts w:ascii="Times New Roman" w:hAnsi="Times New Roman" w:cs="Times New Roman"/>
          <w:szCs w:val="24"/>
        </w:rPr>
      </w:pPr>
      <w:r w:rsidRPr="008625F2">
        <w:rPr>
          <w:rFonts w:ascii="Times New Roman" w:hAnsi="Times New Roman" w:cs="Times New Roman"/>
          <w:szCs w:val="24"/>
        </w:rPr>
        <w:t xml:space="preserve">The PUCO should adopt the Auditor’s recommendations </w:t>
      </w:r>
      <w:r w:rsidRPr="008625F2" w:rsidR="00614CA0">
        <w:rPr>
          <w:rFonts w:ascii="Times New Roman" w:hAnsi="Times New Roman" w:cs="Times New Roman"/>
          <w:szCs w:val="24"/>
        </w:rPr>
        <w:t xml:space="preserve">for enhanced documentation to </w:t>
      </w:r>
      <w:r w:rsidRPr="008625F2" w:rsidR="00F91173">
        <w:rPr>
          <w:rFonts w:ascii="Times New Roman" w:hAnsi="Times New Roman" w:cs="Times New Roman"/>
          <w:szCs w:val="24"/>
        </w:rPr>
        <w:t xml:space="preserve">check </w:t>
      </w:r>
      <w:r w:rsidRPr="008625F2" w:rsidR="00614CA0">
        <w:rPr>
          <w:rFonts w:ascii="Times New Roman" w:hAnsi="Times New Roman" w:cs="Times New Roman"/>
          <w:szCs w:val="24"/>
        </w:rPr>
        <w:t>Duke</w:t>
      </w:r>
      <w:r w:rsidRPr="008625F2" w:rsidR="00F91173">
        <w:rPr>
          <w:rFonts w:ascii="Times New Roman" w:hAnsi="Times New Roman" w:cs="Times New Roman"/>
          <w:szCs w:val="24"/>
        </w:rPr>
        <w:t>’s compliance w</w:t>
      </w:r>
      <w:r w:rsidRPr="008625F2" w:rsidR="00614CA0">
        <w:rPr>
          <w:rFonts w:ascii="Times New Roman" w:hAnsi="Times New Roman" w:cs="Times New Roman"/>
          <w:szCs w:val="24"/>
        </w:rPr>
        <w:t xml:space="preserve">ith </w:t>
      </w:r>
      <w:r w:rsidRPr="008625F2" w:rsidR="006112D0">
        <w:rPr>
          <w:rFonts w:ascii="Times New Roman" w:hAnsi="Times New Roman" w:cs="Times New Roman"/>
          <w:szCs w:val="24"/>
        </w:rPr>
        <w:t xml:space="preserve">its </w:t>
      </w:r>
      <w:r w:rsidRPr="008625F2" w:rsidR="00614CA0">
        <w:rPr>
          <w:rFonts w:ascii="Times New Roman" w:hAnsi="Times New Roman" w:cs="Times New Roman"/>
          <w:szCs w:val="24"/>
        </w:rPr>
        <w:t>Vegetation Management Guidelines.</w:t>
      </w:r>
    </w:p>
    <w:p w:rsidR="00E9586B" w:rsidRPr="008625F2" w:rsidP="00614CA0" w14:paraId="67B36C0D" w14:textId="00FEDA4F">
      <w:pPr>
        <w:spacing w:line="480" w:lineRule="auto"/>
        <w:ind w:firstLine="720"/>
      </w:pPr>
      <w:r w:rsidRPr="008625F2">
        <w:t xml:space="preserve">The Auditor made specific recommendations for enhanced tree removal documentation to </w:t>
      </w:r>
      <w:r w:rsidRPr="008625F2" w:rsidR="00173FA4">
        <w:t>evaluate</w:t>
      </w:r>
      <w:r w:rsidRPr="008625F2">
        <w:t xml:space="preserve"> </w:t>
      </w:r>
      <w:r w:rsidRPr="008625F2" w:rsidR="00173FA4">
        <w:t xml:space="preserve">whether </w:t>
      </w:r>
      <w:r w:rsidRPr="008625F2">
        <w:t xml:space="preserve">Duke is complying with </w:t>
      </w:r>
      <w:r w:rsidRPr="008625F2" w:rsidR="006112D0">
        <w:t xml:space="preserve">its </w:t>
      </w:r>
      <w:r w:rsidRPr="008625F2">
        <w:t>Vegetation Management Guidelines</w:t>
      </w:r>
      <w:r w:rsidRPr="008625F2" w:rsidR="009B007F">
        <w:t>.</w:t>
      </w:r>
      <w:r>
        <w:rPr>
          <w:rStyle w:val="FootnoteReference"/>
        </w:rPr>
        <w:footnoteReference w:id="21"/>
      </w:r>
      <w:r w:rsidRPr="008625F2">
        <w:t xml:space="preserve"> </w:t>
      </w:r>
      <w:r w:rsidRPr="008625F2" w:rsidR="006112D0">
        <w:t xml:space="preserve"> </w:t>
      </w:r>
      <w:r w:rsidRPr="008625F2">
        <w:t>Duke disagrees with these recommendations.</w:t>
      </w:r>
      <w:r>
        <w:rPr>
          <w:rStyle w:val="FootnoteReference"/>
        </w:rPr>
        <w:footnoteReference w:id="22"/>
      </w:r>
      <w:r w:rsidRPr="008625F2">
        <w:t xml:space="preserve"> </w:t>
      </w:r>
    </w:p>
    <w:p w:rsidR="00E331C2" w:rsidRPr="008625F2" w:rsidP="00614CA0" w14:paraId="3F59B372" w14:textId="602876F2">
      <w:pPr>
        <w:spacing w:line="480" w:lineRule="auto"/>
        <w:ind w:firstLine="720"/>
      </w:pPr>
      <w:r w:rsidRPr="008625F2">
        <w:t xml:space="preserve">First, </w:t>
      </w:r>
      <w:r w:rsidRPr="008625F2" w:rsidR="00903232">
        <w:t xml:space="preserve">Duke disagrees </w:t>
      </w:r>
      <w:r w:rsidRPr="008625F2">
        <w:t>with taking before and after images of removed danger trees.</w:t>
      </w:r>
      <w:r>
        <w:rPr>
          <w:rStyle w:val="FootnoteReference"/>
        </w:rPr>
        <w:footnoteReference w:id="23"/>
      </w:r>
      <w:r w:rsidRPr="008625F2">
        <w:t xml:space="preserve"> </w:t>
      </w:r>
      <w:r w:rsidRPr="008625F2" w:rsidR="00E9586B">
        <w:t xml:space="preserve">Duke argues that taking these images would not be helpful in determining whether a tree should be categorized as </w:t>
      </w:r>
      <w:r w:rsidRPr="008625F2" w:rsidR="009B007F">
        <w:t xml:space="preserve">a </w:t>
      </w:r>
      <w:r w:rsidRPr="008625F2" w:rsidR="00E9586B">
        <w:t>capital</w:t>
      </w:r>
      <w:r w:rsidRPr="008625F2">
        <w:t xml:space="preserve">ized </w:t>
      </w:r>
      <w:r w:rsidRPr="008625F2" w:rsidR="005D0A48">
        <w:t>cost</w:t>
      </w:r>
      <w:r w:rsidRPr="008625F2">
        <w:t xml:space="preserve"> </w:t>
      </w:r>
      <w:r w:rsidRPr="008625F2" w:rsidR="00E9586B">
        <w:t xml:space="preserve">or </w:t>
      </w:r>
      <w:r w:rsidRPr="008625F2">
        <w:t xml:space="preserve">instead a </w:t>
      </w:r>
      <w:r w:rsidRPr="008625F2" w:rsidR="00E9586B">
        <w:t>maintenance expense</w:t>
      </w:r>
      <w:r w:rsidRPr="008625F2">
        <w:t xml:space="preserve">.  Duke also claims it </w:t>
      </w:r>
      <w:r w:rsidRPr="008625F2" w:rsidR="00E9586B">
        <w:t>would be an administrative and financial burden</w:t>
      </w:r>
      <w:r w:rsidRPr="008625F2" w:rsidR="00B011D8">
        <w:t xml:space="preserve"> and </w:t>
      </w:r>
      <w:r w:rsidRPr="008625F2">
        <w:t xml:space="preserve">is </w:t>
      </w:r>
      <w:r w:rsidRPr="008625F2" w:rsidR="00B011D8">
        <w:t>beyond the scope of contracted foresters</w:t>
      </w:r>
      <w:r w:rsidRPr="008625F2" w:rsidR="00E9586B">
        <w:t>.</w:t>
      </w:r>
      <w:r>
        <w:rPr>
          <w:rStyle w:val="FootnoteReference"/>
        </w:rPr>
        <w:footnoteReference w:id="24"/>
      </w:r>
      <w:r w:rsidRPr="008625F2" w:rsidR="00E9586B">
        <w:t xml:space="preserve"> </w:t>
      </w:r>
      <w:r w:rsidRPr="008625F2" w:rsidR="00B011D8">
        <w:t xml:space="preserve"> </w:t>
      </w:r>
    </w:p>
    <w:p w:rsidR="00E9586B" w:rsidRPr="008625F2" w:rsidP="00614CA0" w14:paraId="1938248C" w14:textId="589242E3">
      <w:pPr>
        <w:spacing w:line="480" w:lineRule="auto"/>
        <w:ind w:firstLine="720"/>
      </w:pPr>
      <w:r w:rsidRPr="008625F2">
        <w:t xml:space="preserve">Duke misses the point of this recommendation. The Auditor did not recommend the photos for assistance in determining capital </w:t>
      </w:r>
      <w:r w:rsidRPr="008625F2" w:rsidR="005D0A48">
        <w:t xml:space="preserve">cost </w:t>
      </w:r>
      <w:r w:rsidRPr="008625F2">
        <w:t xml:space="preserve">versus </w:t>
      </w:r>
      <w:r w:rsidRPr="008625F2" w:rsidR="005D0A48">
        <w:t>maintenance expense</w:t>
      </w:r>
      <w:r w:rsidRPr="008625F2" w:rsidR="00E331C2">
        <w:t>.  Instead</w:t>
      </w:r>
      <w:r w:rsidRPr="008625F2" w:rsidR="00510DC1">
        <w:t>,</w:t>
      </w:r>
      <w:r w:rsidRPr="008625F2" w:rsidR="00E331C2">
        <w:t xml:space="preserve"> the Auditor</w:t>
      </w:r>
      <w:r w:rsidRPr="008625F2">
        <w:t xml:space="preserve"> </w:t>
      </w:r>
      <w:r w:rsidRPr="008625F2" w:rsidR="00E331C2">
        <w:t xml:space="preserve">recommendation was to </w:t>
      </w:r>
      <w:r w:rsidRPr="008625F2" w:rsidR="00173FA4">
        <w:t>evaluate Duke’s</w:t>
      </w:r>
      <w:r w:rsidRPr="008625F2">
        <w:t xml:space="preserve"> compliance with </w:t>
      </w:r>
      <w:r w:rsidRPr="008625F2" w:rsidR="00D93411">
        <w:t>V</w:t>
      </w:r>
      <w:r w:rsidRPr="008625F2" w:rsidR="00040934">
        <w:t>egetation Management Guidelines</w:t>
      </w:r>
      <w:r w:rsidRPr="008625F2">
        <w:t xml:space="preserve"> and </w:t>
      </w:r>
      <w:r w:rsidRPr="008625F2" w:rsidR="00E331C2">
        <w:t xml:space="preserve">ascertain </w:t>
      </w:r>
      <w:r w:rsidRPr="008625F2">
        <w:t>that tree-trimming</w:t>
      </w:r>
      <w:r w:rsidRPr="008625F2" w:rsidR="005D0A48">
        <w:t xml:space="preserve"> costs were prudently incurred and reasonable and</w:t>
      </w:r>
      <w:r w:rsidRPr="008625F2" w:rsidR="00E331C2">
        <w:t xml:space="preserve"> necessary</w:t>
      </w:r>
      <w:r w:rsidRPr="008625F2">
        <w:t xml:space="preserve">. Second, it is difficult to imagine that taking and storing photos of trees prior to removal </w:t>
      </w:r>
      <w:r w:rsidRPr="008625F2" w:rsidR="00E331C2">
        <w:t>is a s</w:t>
      </w:r>
      <w:r w:rsidRPr="008625F2">
        <w:t>ubstantial financial or administrative burden</w:t>
      </w:r>
      <w:r w:rsidRPr="008625F2" w:rsidR="00F44F11">
        <w:t xml:space="preserve"> </w:t>
      </w:r>
      <w:r w:rsidRPr="008625F2" w:rsidR="00E331C2">
        <w:t xml:space="preserve">on </w:t>
      </w:r>
      <w:r w:rsidRPr="008625F2" w:rsidR="00F44F11">
        <w:t>Duke</w:t>
      </w:r>
      <w:r w:rsidRPr="008625F2">
        <w:t xml:space="preserve">. </w:t>
      </w:r>
      <w:r w:rsidRPr="008625F2" w:rsidR="007A1037">
        <w:t xml:space="preserve">Duke </w:t>
      </w:r>
      <w:r w:rsidRPr="008625F2" w:rsidR="00E331C2">
        <w:t xml:space="preserve">certainly </w:t>
      </w:r>
      <w:r w:rsidRPr="008625F2" w:rsidR="007A1037">
        <w:t xml:space="preserve">has the wherewithal to document regulatory compliance with PUCO rules and guidelines. And in fact, it would be imprudent </w:t>
      </w:r>
      <w:r w:rsidRPr="008625F2" w:rsidR="0099707E">
        <w:t xml:space="preserve">and unreasonable </w:t>
      </w:r>
      <w:r w:rsidRPr="008625F2" w:rsidR="007A1037">
        <w:t xml:space="preserve">for Duke to charge customers for costs that it is unable to </w:t>
      </w:r>
      <w:r w:rsidRPr="008625F2" w:rsidR="0099707E">
        <w:t xml:space="preserve">support. </w:t>
      </w:r>
      <w:r w:rsidRPr="008625F2" w:rsidR="00172532">
        <w:t xml:space="preserve">The PUCO should </w:t>
      </w:r>
      <w:r w:rsidRPr="008625F2" w:rsidR="00E331C2">
        <w:t>require Duke to</w:t>
      </w:r>
      <w:r w:rsidRPr="008625F2">
        <w:t xml:space="preserve"> </w:t>
      </w:r>
      <w:r w:rsidRPr="008625F2" w:rsidR="00172532">
        <w:t xml:space="preserve">document, </w:t>
      </w:r>
      <w:r w:rsidRPr="008625F2">
        <w:t xml:space="preserve">capture and store danger tree images </w:t>
      </w:r>
      <w:r w:rsidRPr="008625F2" w:rsidR="00172532">
        <w:t xml:space="preserve">prior to authorizing </w:t>
      </w:r>
      <w:r w:rsidRPr="008625F2" w:rsidR="006112D0">
        <w:t>charges</w:t>
      </w:r>
      <w:r w:rsidRPr="008625F2" w:rsidR="00172532">
        <w:t xml:space="preserve"> under the </w:t>
      </w:r>
      <w:r w:rsidRPr="008625F2" w:rsidR="00315DF2">
        <w:t xml:space="preserve">Rider </w:t>
      </w:r>
      <w:r w:rsidRPr="008625F2" w:rsidR="00172532">
        <w:t>DCI.</w:t>
      </w:r>
    </w:p>
    <w:p w:rsidR="00E9586B" w:rsidRPr="008625F2" w:rsidP="00614CA0" w14:paraId="12A9C538" w14:textId="78D88CD4">
      <w:pPr>
        <w:spacing w:line="480" w:lineRule="auto"/>
        <w:ind w:firstLine="720"/>
      </w:pPr>
      <w:r w:rsidRPr="008625F2">
        <w:t xml:space="preserve">Second, </w:t>
      </w:r>
      <w:r w:rsidRPr="008625F2" w:rsidR="00903232">
        <w:t xml:space="preserve">Duke disagrees </w:t>
      </w:r>
      <w:r w:rsidRPr="008625F2" w:rsidR="00315DF2">
        <w:t xml:space="preserve">with the </w:t>
      </w:r>
      <w:r w:rsidRPr="008625F2" w:rsidR="009B007F">
        <w:t>r</w:t>
      </w:r>
      <w:r w:rsidRPr="008625F2" w:rsidR="00315DF2">
        <w:t xml:space="preserve">ecommendation </w:t>
      </w:r>
      <w:r w:rsidRPr="008625F2" w:rsidR="00903232">
        <w:t xml:space="preserve">that </w:t>
      </w:r>
      <w:r w:rsidRPr="008625F2">
        <w:t>the Distribution Tree Removal Form should include the height of a dead, dying, or diseased tree or length of a leaning tree compare</w:t>
      </w:r>
      <w:r w:rsidRPr="008625F2" w:rsidR="009B007F">
        <w:t>d</w:t>
      </w:r>
      <w:r w:rsidRPr="008625F2">
        <w:t xml:space="preserve"> to the distance from a power line.</w:t>
      </w:r>
      <w:r>
        <w:rPr>
          <w:rStyle w:val="FootnoteReference"/>
        </w:rPr>
        <w:footnoteReference w:id="25"/>
      </w:r>
      <w:r w:rsidRPr="008625F2" w:rsidR="00B011D8">
        <w:t xml:space="preserve"> Duke disagrees </w:t>
      </w:r>
      <w:r w:rsidRPr="008625F2" w:rsidR="00903232">
        <w:t>b</w:t>
      </w:r>
      <w:r w:rsidRPr="008625F2" w:rsidR="00B011D8">
        <w:t>ecause it claims the measurements required would be beyond the current scope of work on current unit-based contracts.</w:t>
      </w:r>
      <w:r>
        <w:rPr>
          <w:rStyle w:val="FootnoteReference"/>
        </w:rPr>
        <w:footnoteReference w:id="26"/>
      </w:r>
      <w:r w:rsidRPr="008625F2" w:rsidR="00B011D8">
        <w:t xml:space="preserve"> </w:t>
      </w:r>
      <w:r w:rsidRPr="008625F2" w:rsidR="009B007F">
        <w:t>And</w:t>
      </w:r>
      <w:r w:rsidRPr="008625F2" w:rsidR="00B011D8">
        <w:t xml:space="preserve"> even if it was not, the data would be a rough estimate because it would not be practical to give measuring wheels and range finders to all field personnel performing this work.</w:t>
      </w:r>
      <w:r>
        <w:rPr>
          <w:rStyle w:val="FootnoteReference"/>
        </w:rPr>
        <w:footnoteReference w:id="27"/>
      </w:r>
      <w:r w:rsidRPr="008625F2" w:rsidR="00B011D8">
        <w:t xml:space="preserve"> </w:t>
      </w:r>
      <w:r w:rsidRPr="008625F2" w:rsidR="00172532">
        <w:t xml:space="preserve">Duke’s negligence in </w:t>
      </w:r>
      <w:r w:rsidRPr="008625F2" w:rsidR="007638E7">
        <w:t xml:space="preserve">establishing sufficient documentation standards in the work performed by its tree-trimming contractors is </w:t>
      </w:r>
      <w:r w:rsidRPr="008625F2" w:rsidR="00B011D8">
        <w:t xml:space="preserve">concerning. Vegetation Management </w:t>
      </w:r>
      <w:r w:rsidRPr="008625F2" w:rsidR="00111F84">
        <w:t xml:space="preserve">employees or contractors </w:t>
      </w:r>
      <w:r w:rsidRPr="008625F2" w:rsidR="005F5901">
        <w:t xml:space="preserve">who perform vegetation management on electric distribution circuits are some of the most highly trained and skilled individuals in the industry. </w:t>
      </w:r>
      <w:r w:rsidRPr="008625F2" w:rsidR="00111F84">
        <w:t>Surely with the millions of dollars that Duke collects for vegetation management</w:t>
      </w:r>
      <w:r w:rsidRPr="008625F2" w:rsidR="00AE6711">
        <w:t xml:space="preserve"> from customers</w:t>
      </w:r>
      <w:r w:rsidRPr="008625F2" w:rsidR="00111F84">
        <w:t>, it can afford to</w:t>
      </w:r>
      <w:r w:rsidRPr="008625F2" w:rsidR="006112D0">
        <w:t xml:space="preserve"> properly</w:t>
      </w:r>
      <w:r w:rsidRPr="008625F2" w:rsidR="00111F84">
        <w:t xml:space="preserve"> </w:t>
      </w:r>
      <w:r w:rsidRPr="008625F2" w:rsidR="005F5901">
        <w:t xml:space="preserve">train and equip these personnel to document the work that they are performing to ensure </w:t>
      </w:r>
      <w:r w:rsidRPr="008625F2" w:rsidR="00111F84">
        <w:t>compl</w:t>
      </w:r>
      <w:r w:rsidRPr="008625F2" w:rsidR="005F5901">
        <w:t xml:space="preserve">iance </w:t>
      </w:r>
      <w:r w:rsidRPr="008625F2" w:rsidR="00111F84">
        <w:t xml:space="preserve">with </w:t>
      </w:r>
      <w:r w:rsidRPr="008625F2" w:rsidR="005F5901">
        <w:t xml:space="preserve">the </w:t>
      </w:r>
      <w:r w:rsidRPr="008625F2" w:rsidR="00F448A8">
        <w:t>Vegetation Management Guidelines</w:t>
      </w:r>
      <w:r w:rsidRPr="008625F2" w:rsidR="00111F84">
        <w:t>.</w:t>
      </w:r>
      <w:r w:rsidRPr="008625F2" w:rsidR="00B36834">
        <w:t xml:space="preserve"> </w:t>
      </w:r>
      <w:r w:rsidRPr="008625F2" w:rsidR="00E331C2">
        <w:t>The PUCO should require</w:t>
      </w:r>
      <w:r w:rsidRPr="008625F2" w:rsidR="00B36834">
        <w:t xml:space="preserve"> the documentation maintained on the Distribution Tree Removal Form prior to authorizing </w:t>
      </w:r>
      <w:r w:rsidRPr="008625F2" w:rsidR="006112D0">
        <w:t>these charges</w:t>
      </w:r>
      <w:r w:rsidRPr="008625F2" w:rsidR="00B36834">
        <w:t xml:space="preserve"> under the </w:t>
      </w:r>
      <w:r w:rsidRPr="008625F2" w:rsidR="006112D0">
        <w:t>Rider DCI</w:t>
      </w:r>
      <w:r w:rsidRPr="008625F2" w:rsidR="00B36834">
        <w:t xml:space="preserve">.    </w:t>
      </w:r>
    </w:p>
    <w:p w:rsidR="00E9586B" w:rsidRPr="008625F2" w:rsidP="00614CA0" w14:paraId="0B97B67E" w14:textId="1BD3A56C">
      <w:pPr>
        <w:spacing w:line="480" w:lineRule="auto"/>
        <w:ind w:firstLine="720"/>
      </w:pPr>
      <w:r w:rsidRPr="008625F2">
        <w:t>Third,</w:t>
      </w:r>
      <w:r w:rsidRPr="008625F2" w:rsidR="00903232">
        <w:t xml:space="preserve"> </w:t>
      </w:r>
      <w:r w:rsidRPr="008625F2" w:rsidR="00315DF2">
        <w:t xml:space="preserve">Duke disagrees with </w:t>
      </w:r>
      <w:r w:rsidRPr="008625F2">
        <w:t xml:space="preserve">the </w:t>
      </w:r>
      <w:r w:rsidRPr="008625F2" w:rsidR="00315DF2">
        <w:t xml:space="preserve">Auditor recommendation </w:t>
      </w:r>
      <w:r w:rsidRPr="008625F2" w:rsidR="00072BCC">
        <w:t xml:space="preserve">to update </w:t>
      </w:r>
      <w:r w:rsidRPr="008625F2" w:rsidR="00315DF2">
        <w:t xml:space="preserve"> the </w:t>
      </w:r>
      <w:r w:rsidRPr="008625F2" w:rsidR="00F448A8">
        <w:t xml:space="preserve">Vegetation Management </w:t>
      </w:r>
      <w:r w:rsidRPr="008625F2" w:rsidR="00072BCC">
        <w:t>Guidelines.</w:t>
      </w:r>
      <w:r>
        <w:rPr>
          <w:rStyle w:val="FootnoteReference"/>
        </w:rPr>
        <w:footnoteReference w:id="28"/>
      </w:r>
      <w:r w:rsidRPr="008625F2" w:rsidR="00072BCC">
        <w:t xml:space="preserve"> The Auditor </w:t>
      </w:r>
      <w:r w:rsidRPr="008625F2" w:rsidR="00394349">
        <w:t>recommendation</w:t>
      </w:r>
      <w:r w:rsidRPr="008625F2" w:rsidR="00072BCC">
        <w:t xml:space="preserve"> </w:t>
      </w:r>
      <w:r w:rsidRPr="008625F2" w:rsidR="00394349">
        <w:t xml:space="preserve">is </w:t>
      </w:r>
      <w:r w:rsidRPr="008625F2" w:rsidR="00072BCC">
        <w:t xml:space="preserve">the Guidelines </w:t>
      </w:r>
      <w:r w:rsidRPr="008625F2">
        <w:t xml:space="preserve">define that 10% of danger trees are reviewed </w:t>
      </w:r>
      <w:r w:rsidRPr="008625F2" w:rsidR="00315DF2">
        <w:t xml:space="preserve">by Duke’s Vegetation Management Staff </w:t>
      </w:r>
      <w:r w:rsidRPr="008625F2">
        <w:t>before they are removed</w:t>
      </w:r>
      <w:r w:rsidRPr="008625F2" w:rsidR="00394349">
        <w:t>,</w:t>
      </w:r>
      <w:r w:rsidRPr="008625F2">
        <w:t xml:space="preserve"> and a different 10% reviewed after they are </w:t>
      </w:r>
      <w:r w:rsidRPr="008625F2" w:rsidR="00394349">
        <w:t>re</w:t>
      </w:r>
      <w:r w:rsidRPr="008625F2">
        <w:t>moved</w:t>
      </w:r>
      <w:r w:rsidRPr="008625F2" w:rsidR="00394349">
        <w:t>.</w:t>
      </w:r>
      <w:r>
        <w:rPr>
          <w:rStyle w:val="FootnoteReference"/>
        </w:rPr>
        <w:footnoteReference w:id="29"/>
      </w:r>
      <w:r w:rsidRPr="008625F2" w:rsidR="00394349">
        <w:t xml:space="preserve"> Moreover, </w:t>
      </w:r>
      <w:r w:rsidRPr="008625F2">
        <w:t xml:space="preserve"> the quality assurance reviews should be documented on the Distribution Tree Removal Form.</w:t>
      </w:r>
      <w:r>
        <w:rPr>
          <w:rStyle w:val="FootnoteReference"/>
        </w:rPr>
        <w:footnoteReference w:id="30"/>
      </w:r>
      <w:r w:rsidRPr="008625F2">
        <w:t xml:space="preserve"> </w:t>
      </w:r>
      <w:r w:rsidRPr="008625F2" w:rsidR="00111F84">
        <w:t xml:space="preserve">Duke </w:t>
      </w:r>
      <w:r w:rsidRPr="008625F2" w:rsidR="006112D0">
        <w:t>instead</w:t>
      </w:r>
      <w:r w:rsidRPr="008625F2" w:rsidR="00111F84">
        <w:t xml:space="preserve"> suggests a sliding scale audit procedure dependent upon deficiencies found during the audit would be more productive since its current draft version of its Hazard Tree Program Business Case</w:t>
      </w:r>
      <w:r>
        <w:rPr>
          <w:rStyle w:val="FootnoteReference"/>
        </w:rPr>
        <w:footnoteReference w:id="31"/>
      </w:r>
      <w:r w:rsidRPr="008625F2" w:rsidR="00111F84">
        <w:t xml:space="preserve"> includes one.</w:t>
      </w:r>
      <w:r>
        <w:rPr>
          <w:rStyle w:val="FootnoteReference"/>
        </w:rPr>
        <w:footnoteReference w:id="32"/>
      </w:r>
      <w:r w:rsidRPr="008625F2" w:rsidR="00111F84">
        <w:t xml:space="preserve"> Duke again misses the point of this recommendation. Deficiencies have </w:t>
      </w:r>
      <w:r w:rsidRPr="008625F2" w:rsidR="00111F84">
        <w:rPr>
          <w:i/>
          <w:iCs/>
        </w:rPr>
        <w:t>already</w:t>
      </w:r>
      <w:r w:rsidRPr="008625F2" w:rsidR="00111F84">
        <w:t xml:space="preserve"> been found and the Auditor’s recommendation is essential in demonstrating that removed trees meet the V</w:t>
      </w:r>
      <w:r w:rsidRPr="008625F2" w:rsidR="00E47FD6">
        <w:t>egetation Management Guidelines</w:t>
      </w:r>
      <w:r w:rsidRPr="008625F2" w:rsidR="00111F84">
        <w:t xml:space="preserve">. </w:t>
      </w:r>
      <w:r w:rsidRPr="008625F2" w:rsidR="006112D0">
        <w:t xml:space="preserve">It </w:t>
      </w:r>
      <w:r w:rsidRPr="008625F2" w:rsidR="00B36834">
        <w:t xml:space="preserve">would be unjust and unreasonable </w:t>
      </w:r>
      <w:r w:rsidRPr="008625F2" w:rsidR="006112D0">
        <w:t xml:space="preserve">to permit </w:t>
      </w:r>
      <w:r w:rsidRPr="008625F2" w:rsidR="00111F84">
        <w:t xml:space="preserve">Duke </w:t>
      </w:r>
      <w:r w:rsidRPr="008625F2" w:rsidR="00B36834">
        <w:t>to overcharge consumers for unnecessary tree-trimming costs that fail to comply with the V</w:t>
      </w:r>
      <w:r w:rsidRPr="008625F2" w:rsidR="00E47FD6">
        <w:t>egetation Management Guidelines</w:t>
      </w:r>
      <w:r w:rsidRPr="008625F2" w:rsidR="00B36834">
        <w:t>.</w:t>
      </w:r>
    </w:p>
    <w:p w:rsidR="00614CA0" w:rsidRPr="008625F2" w:rsidP="00614CA0" w14:paraId="730191BB" w14:textId="49C621C8">
      <w:pPr>
        <w:spacing w:line="480" w:lineRule="auto"/>
        <w:ind w:firstLine="720"/>
      </w:pPr>
      <w:r w:rsidRPr="008625F2">
        <w:t xml:space="preserve">Finally, </w:t>
      </w:r>
      <w:r w:rsidRPr="008625F2" w:rsidR="00315DF2">
        <w:t xml:space="preserve">Duke disagreed with the </w:t>
      </w:r>
      <w:r w:rsidRPr="008625F2" w:rsidR="00E331C2">
        <w:t>r</w:t>
      </w:r>
      <w:r w:rsidRPr="008625F2" w:rsidR="00315DF2">
        <w:t xml:space="preserve">ecommendation that </w:t>
      </w:r>
      <w:r w:rsidRPr="008625F2" w:rsidR="00B36834">
        <w:t xml:space="preserve">the PUCO should require a </w:t>
      </w:r>
      <w:r w:rsidRPr="008625F2">
        <w:t>separate detailed audit of all tree trimming invoices charged t</w:t>
      </w:r>
      <w:r w:rsidRPr="008625F2" w:rsidR="007F3974">
        <w:t>o</w:t>
      </w:r>
      <w:r w:rsidRPr="008625F2">
        <w:t xml:space="preserve"> Rider DCI from July 1, 2018 to June 30, 2019, to </w:t>
      </w:r>
      <w:r w:rsidRPr="008625F2" w:rsidR="00B36834">
        <w:t xml:space="preserve">identify the </w:t>
      </w:r>
      <w:r w:rsidRPr="008625F2">
        <w:t xml:space="preserve">overcharge </w:t>
      </w:r>
      <w:r w:rsidRPr="008625F2" w:rsidR="009E186A">
        <w:t>that occurred during this audit period.</w:t>
      </w:r>
      <w:r>
        <w:rPr>
          <w:rStyle w:val="FootnoteReference"/>
        </w:rPr>
        <w:footnoteReference w:id="33"/>
      </w:r>
      <w:r w:rsidRPr="008625F2">
        <w:t xml:space="preserve"> </w:t>
      </w:r>
      <w:r w:rsidRPr="008625F2" w:rsidR="00EB4018">
        <w:t>Duke also disagreed that a</w:t>
      </w:r>
      <w:r w:rsidRPr="008625F2">
        <w:t>ny detected overcharges should be quantified in a report for the revenue requirement impact</w:t>
      </w:r>
      <w:r w:rsidRPr="008625F2" w:rsidR="00AE6711">
        <w:t>.</w:t>
      </w:r>
      <w:r w:rsidRPr="008625F2">
        <w:t xml:space="preserve"> </w:t>
      </w:r>
      <w:r w:rsidRPr="008625F2" w:rsidR="00AE6711">
        <w:t xml:space="preserve"> A</w:t>
      </w:r>
      <w:r w:rsidRPr="008625F2">
        <w:t xml:space="preserve">nd </w:t>
      </w:r>
      <w:r w:rsidRPr="008625F2" w:rsidR="00A340EC">
        <w:t>that c</w:t>
      </w:r>
      <w:r w:rsidRPr="008625F2" w:rsidR="00E331C2">
        <w:t xml:space="preserve">ustomers should be credited for the overcharges in </w:t>
      </w:r>
      <w:r w:rsidRPr="008625F2">
        <w:t>the December 31, 2019 Rider DCI filing</w:t>
      </w:r>
      <w:r w:rsidRPr="008625F2" w:rsidR="00AE6711">
        <w:t xml:space="preserve">.  </w:t>
      </w:r>
      <w:r w:rsidRPr="008625F2" w:rsidR="00EB4018">
        <w:t>Finally</w:t>
      </w:r>
      <w:r w:rsidRPr="008625F2" w:rsidR="00AC6183">
        <w:t xml:space="preserve">, </w:t>
      </w:r>
      <w:r w:rsidRPr="008625F2" w:rsidR="00EB4018">
        <w:t xml:space="preserve">Duke disagreed that </w:t>
      </w:r>
      <w:r w:rsidRPr="008625F2" w:rsidR="00AC6183">
        <w:t>a</w:t>
      </w:r>
      <w:r w:rsidRPr="008625F2" w:rsidR="00AE6711">
        <w:t xml:space="preserve"> </w:t>
      </w:r>
      <w:r w:rsidRPr="008625F2">
        <w:t>Tree Trimming Supervisor should sign, date, and list on the invoice the amount of any O&amp;M to capital overrides</w:t>
      </w:r>
      <w:r w:rsidRPr="008625F2" w:rsidR="00A340EC">
        <w:t xml:space="preserve"> that the Supervisor approves</w:t>
      </w:r>
      <w:r w:rsidRPr="008625F2">
        <w:t>.</w:t>
      </w:r>
      <w:r>
        <w:rPr>
          <w:rStyle w:val="FootnoteReference"/>
        </w:rPr>
        <w:footnoteReference w:id="34"/>
      </w:r>
      <w:r w:rsidRPr="008625F2" w:rsidR="00625520">
        <w:t xml:space="preserve"> </w:t>
      </w:r>
    </w:p>
    <w:p w:rsidR="00D93411" w:rsidRPr="008625F2" w:rsidP="00614CA0" w14:paraId="5519CD12" w14:textId="68384220">
      <w:pPr>
        <w:spacing w:line="480" w:lineRule="auto"/>
        <w:ind w:firstLine="720"/>
      </w:pPr>
      <w:r w:rsidRPr="008625F2">
        <w:t>Duke does not agree that there is a systemic overcharge issue that warrants a wholesale re-audit.</w:t>
      </w:r>
      <w:r>
        <w:rPr>
          <w:rStyle w:val="FootnoteReference"/>
        </w:rPr>
        <w:footnoteReference w:id="35"/>
      </w:r>
      <w:r w:rsidRPr="008625F2">
        <w:t xml:space="preserve"> Duke asserts that improvements to reduce the risks of overcharges have been made and will continue.</w:t>
      </w:r>
      <w:r>
        <w:rPr>
          <w:rStyle w:val="FootnoteReference"/>
        </w:rPr>
        <w:footnoteReference w:id="36"/>
      </w:r>
      <w:r w:rsidRPr="008625F2">
        <w:t xml:space="preserve"> Duke further asserts that the miscalculation of $5,529 of tree trimming costs and a $6,009 invoice duplication is negligible considering the size and scope of its tree trimming activities.</w:t>
      </w:r>
      <w:r>
        <w:rPr>
          <w:rStyle w:val="FootnoteReference"/>
        </w:rPr>
        <w:footnoteReference w:id="37"/>
      </w:r>
      <w:r w:rsidRPr="008625F2">
        <w:t xml:space="preserve"> Finally, Duke asserts that any audit would take a considerable amount of time and would not be complete in time to apply any impact to the March 31, 2020 Rider DCI filing.</w:t>
      </w:r>
      <w:r>
        <w:rPr>
          <w:rStyle w:val="FootnoteReference"/>
        </w:rPr>
        <w:footnoteReference w:id="38"/>
      </w:r>
      <w:r w:rsidRPr="008625F2">
        <w:t xml:space="preserve"> Yet again Duke has failed to explain its assertion that there is no systemic issue. A separate detailed audit of tree trimming invoices charged to Rider DCI is critical to detect any overcharges—and in some cases double-charges—in trimming costs that should not be charged to customers. Moreover, Duke has not demonstrated that the misclassification of $5,529 of tree trimming costs and a $6,009 invoice duplication are the only overcharges of its tree trimming costs.  </w:t>
      </w:r>
    </w:p>
    <w:p w:rsidR="00625520" w:rsidRPr="008625F2" w:rsidP="00614CA0" w14:paraId="6D1FAA76" w14:textId="510AD710">
      <w:pPr>
        <w:spacing w:line="480" w:lineRule="auto"/>
        <w:ind w:firstLine="720"/>
      </w:pPr>
      <w:r w:rsidRPr="008625F2">
        <w:t xml:space="preserve">The PUCO should adopt the Auditor’s recommendations necessary to </w:t>
      </w:r>
      <w:r w:rsidRPr="008625F2" w:rsidR="00173FA4">
        <w:t>safeguard</w:t>
      </w:r>
      <w:r w:rsidRPr="008625F2">
        <w:t xml:space="preserve"> Duke’s compliance with its Vegetation Management Guidelines </w:t>
      </w:r>
      <w:r w:rsidRPr="008625F2" w:rsidR="00173FA4">
        <w:t xml:space="preserve">and </w:t>
      </w:r>
      <w:r w:rsidRPr="008625F2">
        <w:t xml:space="preserve">to protect customers from overpaying for vegetation management. However, OCC understands </w:t>
      </w:r>
      <w:r w:rsidRPr="008625F2" w:rsidR="00CB6B20">
        <w:t xml:space="preserve">Duke’s concerns that the audit would take a considerable amount of time and </w:t>
      </w:r>
      <w:r w:rsidRPr="008625F2" w:rsidR="00C12F91">
        <w:t>may not be complete in time to apply the impact of the March 31, 2020 Rider DCI filing. Therefore, OCC</w:t>
      </w:r>
      <w:r w:rsidRPr="008625F2">
        <w:t xml:space="preserve"> is supportive of a short extension of time in completing the audit and applying the revenue requirement impact on a future Rider DCI filing.</w:t>
      </w:r>
    </w:p>
    <w:p w:rsidR="0053250C" w:rsidRPr="008625F2" w:rsidP="00A511F2" w14:paraId="08645B15" w14:textId="49F592D8">
      <w:pPr>
        <w:pStyle w:val="Heading1"/>
      </w:pPr>
      <w:bookmarkStart w:id="14" w:name="_Toc33428793"/>
      <w:bookmarkStart w:id="15" w:name="_Toc33790164"/>
      <w:bookmarkEnd w:id="12"/>
      <w:bookmarkEnd w:id="13"/>
      <w:r w:rsidRPr="008625F2">
        <w:t>III.</w:t>
      </w:r>
      <w:r w:rsidRPr="008625F2">
        <w:tab/>
        <w:t>CONCLUSION</w:t>
      </w:r>
      <w:bookmarkEnd w:id="14"/>
      <w:bookmarkEnd w:id="15"/>
    </w:p>
    <w:p w:rsidR="0053250C" w:rsidRPr="008625F2" w:rsidP="0053250C" w14:paraId="0D06EBB4" w14:textId="44488A4F">
      <w:pPr>
        <w:spacing w:line="480" w:lineRule="auto"/>
        <w:ind w:firstLine="720"/>
      </w:pPr>
      <w:r w:rsidRPr="008625F2">
        <w:t>By law</w:t>
      </w:r>
      <w:r>
        <w:rPr>
          <w:rStyle w:val="FootnoteReference"/>
        </w:rPr>
        <w:footnoteReference w:id="39"/>
      </w:r>
      <w:r w:rsidRPr="008625F2">
        <w:t>, c</w:t>
      </w:r>
      <w:r w:rsidRPr="008625F2" w:rsidR="00176330">
        <w:t xml:space="preserve">onsumers </w:t>
      </w:r>
      <w:r w:rsidRPr="008625F2">
        <w:t xml:space="preserve">rates must be </w:t>
      </w:r>
      <w:r w:rsidRPr="008625F2" w:rsidR="00176330">
        <w:t>just and reasonable</w:t>
      </w:r>
      <w:r w:rsidRPr="008625F2">
        <w:t xml:space="preserve"> in all respects</w:t>
      </w:r>
      <w:r w:rsidRPr="008625F2" w:rsidR="00176330">
        <w:t>. The Auditor has found that Duke</w:t>
      </w:r>
      <w:r w:rsidRPr="008625F2">
        <w:t>’s charges to customers were not just and reasonable.  The Auditor found that Duke</w:t>
      </w:r>
      <w:r w:rsidRPr="008625F2" w:rsidR="00176330">
        <w:t xml:space="preserve"> overcharged customers by more than $13 million</w:t>
      </w:r>
      <w:r w:rsidRPr="008625F2" w:rsidR="007F3974">
        <w:t xml:space="preserve"> </w:t>
      </w:r>
      <w:r w:rsidRPr="008625F2" w:rsidR="00F44F11">
        <w:t>into the DCI filing</w:t>
      </w:r>
      <w:r w:rsidRPr="008625F2" w:rsidR="003800DD">
        <w:t>s</w:t>
      </w:r>
      <w:r w:rsidRPr="008625F2" w:rsidR="00176330">
        <w:t>.</w:t>
      </w:r>
      <w:r w:rsidRPr="008625F2" w:rsidR="004C34CF">
        <w:t xml:space="preserve"> </w:t>
      </w:r>
      <w:r w:rsidRPr="008625F2" w:rsidR="00176330">
        <w:t xml:space="preserve">To protect consumers, </w:t>
      </w:r>
      <w:r w:rsidRPr="008625F2" w:rsidR="004C34CF">
        <w:t>t</w:t>
      </w:r>
      <w:r w:rsidRPr="008625F2" w:rsidR="00CD59CF">
        <w:t xml:space="preserve">he PUCO should adopt the </w:t>
      </w:r>
      <w:r w:rsidRPr="008625F2" w:rsidR="00176330">
        <w:t>A</w:t>
      </w:r>
      <w:r w:rsidRPr="008625F2" w:rsidR="00CD59CF">
        <w:t xml:space="preserve">uditor recommendations along with OCC’s </w:t>
      </w:r>
      <w:r w:rsidRPr="008625F2" w:rsidR="004C34CF">
        <w:t xml:space="preserve">additional </w:t>
      </w:r>
      <w:r w:rsidRPr="008625F2" w:rsidR="00CD59CF">
        <w:t>recommendations</w:t>
      </w:r>
      <w:r w:rsidRPr="008625F2" w:rsidR="003916C8">
        <w:t xml:space="preserve"> that are directed at removing </w:t>
      </w:r>
      <w:r w:rsidRPr="008625F2">
        <w:t xml:space="preserve">additional </w:t>
      </w:r>
      <w:r w:rsidRPr="008625F2" w:rsidR="00AF4B7C">
        <w:t xml:space="preserve">improper costs from the </w:t>
      </w:r>
      <w:r w:rsidRPr="008625F2" w:rsidR="007F3974">
        <w:t>D</w:t>
      </w:r>
      <w:r w:rsidRPr="008625F2" w:rsidR="00AF4B7C">
        <w:t xml:space="preserve">istribution </w:t>
      </w:r>
      <w:r w:rsidRPr="008625F2" w:rsidR="007F3974">
        <w:t xml:space="preserve">Capital Investment </w:t>
      </w:r>
      <w:r w:rsidRPr="008625F2" w:rsidR="00AF4B7C">
        <w:t>rider</w:t>
      </w:r>
      <w:r w:rsidRPr="008625F2" w:rsidR="00C47E53">
        <w:t xml:space="preserve"> so that the charges are just and reasonable</w:t>
      </w:r>
      <w:r w:rsidRPr="008625F2" w:rsidR="00CD59CF">
        <w:t xml:space="preserve">.  </w:t>
      </w:r>
    </w:p>
    <w:p w:rsidR="00AB3E77" w:rsidRPr="008625F2" w:rsidP="004C34CF" w14:paraId="54B54230" w14:textId="77777777">
      <w:pPr>
        <w:ind w:left="3600" w:firstLine="720"/>
      </w:pPr>
    </w:p>
    <w:p w:rsidR="0053250C" w:rsidRPr="008625F2" w:rsidP="004C34CF" w14:paraId="09F593D4" w14:textId="65A290B4">
      <w:pPr>
        <w:ind w:left="3600" w:firstLine="720"/>
      </w:pPr>
      <w:r w:rsidRPr="008625F2">
        <w:t>Respectfully submitted,</w:t>
      </w:r>
    </w:p>
    <w:p w:rsidR="0053250C" w:rsidRPr="008625F2" w:rsidP="0053250C" w14:paraId="2D34E5DD" w14:textId="77777777">
      <w:pPr>
        <w:pStyle w:val="BodyTextIndent3"/>
        <w:widowControl w:val="0"/>
        <w:spacing w:line="240" w:lineRule="auto"/>
        <w:ind w:left="4320"/>
        <w:rPr>
          <w:szCs w:val="24"/>
        </w:rPr>
      </w:pPr>
    </w:p>
    <w:p w:rsidR="00217C13" w:rsidRPr="008625F2" w:rsidP="00217C13" w14:paraId="421B66CA" w14:textId="77777777">
      <w:pPr>
        <w:pStyle w:val="Footer"/>
        <w:tabs>
          <w:tab w:val="left" w:pos="4320"/>
        </w:tabs>
        <w:ind w:left="4320"/>
        <w:rPr>
          <w:rFonts w:ascii="Times New Roman" w:hAnsi="Times New Roman" w:cs="Times New Roman"/>
          <w:sz w:val="24"/>
          <w:szCs w:val="24"/>
        </w:rPr>
      </w:pPr>
      <w:r w:rsidRPr="008625F2">
        <w:rPr>
          <w:rFonts w:ascii="Times New Roman" w:hAnsi="Times New Roman" w:cs="Times New Roman"/>
          <w:sz w:val="24"/>
          <w:szCs w:val="24"/>
        </w:rPr>
        <w:tab/>
        <w:t>Bruce Weston (0016973)</w:t>
      </w:r>
    </w:p>
    <w:p w:rsidR="00217C13" w:rsidRPr="008625F2" w:rsidP="00217C13" w14:paraId="30432A87" w14:textId="77777777">
      <w:pPr>
        <w:pStyle w:val="ListParagraph"/>
        <w:tabs>
          <w:tab w:val="left" w:pos="4320"/>
        </w:tabs>
        <w:spacing w:line="240" w:lineRule="auto"/>
        <w:ind w:left="4320"/>
        <w:rPr>
          <w:rFonts w:ascii="Times New Roman" w:hAnsi="Times New Roman" w:cs="Times New Roman"/>
          <w:sz w:val="24"/>
          <w:szCs w:val="24"/>
        </w:rPr>
      </w:pPr>
      <w:r w:rsidRPr="008625F2">
        <w:rPr>
          <w:rFonts w:ascii="Times New Roman" w:hAnsi="Times New Roman" w:cs="Times New Roman"/>
          <w:sz w:val="24"/>
          <w:szCs w:val="24"/>
        </w:rPr>
        <w:t>Ohio Consumers’ Counsel</w:t>
      </w:r>
    </w:p>
    <w:p w:rsidR="00217C13" w:rsidRPr="008625F2" w:rsidP="00217C13" w14:paraId="1BC33A0A" w14:textId="77777777">
      <w:pPr>
        <w:pStyle w:val="ListParagraph"/>
        <w:tabs>
          <w:tab w:val="left" w:pos="4320"/>
        </w:tabs>
        <w:ind w:left="4320"/>
        <w:rPr>
          <w:rFonts w:ascii="Times New Roman" w:hAnsi="Times New Roman" w:cs="Times New Roman"/>
          <w:sz w:val="24"/>
          <w:szCs w:val="24"/>
        </w:rPr>
      </w:pPr>
      <w:r w:rsidRPr="008625F2">
        <w:rPr>
          <w:rFonts w:ascii="Times New Roman" w:hAnsi="Times New Roman" w:cs="Times New Roman"/>
          <w:sz w:val="24"/>
          <w:szCs w:val="24"/>
        </w:rPr>
        <w:tab/>
      </w:r>
    </w:p>
    <w:p w:rsidR="00217C13" w:rsidRPr="008625F2" w:rsidP="00217C13" w14:paraId="2B963F91" w14:textId="77777777">
      <w:pPr>
        <w:pStyle w:val="ListParagraph"/>
        <w:tabs>
          <w:tab w:val="left" w:pos="4320"/>
        </w:tabs>
        <w:spacing w:line="240" w:lineRule="auto"/>
        <w:ind w:left="4320"/>
        <w:rPr>
          <w:rFonts w:ascii="Times New Roman" w:hAnsi="Times New Roman" w:cs="Times New Roman"/>
          <w:i/>
          <w:iCs/>
          <w:sz w:val="24"/>
          <w:szCs w:val="24"/>
          <w:u w:val="single"/>
        </w:rPr>
      </w:pPr>
      <w:r w:rsidRPr="008625F2">
        <w:rPr>
          <w:rFonts w:ascii="Times New Roman" w:hAnsi="Times New Roman" w:cs="Times New Roman"/>
          <w:i/>
          <w:iCs/>
          <w:sz w:val="24"/>
          <w:szCs w:val="24"/>
          <w:u w:val="single"/>
        </w:rPr>
        <w:t>/s/ Ambrosia E. Logsdon_____</w:t>
      </w:r>
    </w:p>
    <w:p w:rsidR="00217C13" w:rsidRPr="008625F2" w:rsidP="00217C13" w14:paraId="3E115E6A" w14:textId="3C5AB95B">
      <w:pPr>
        <w:pStyle w:val="ListParagraph"/>
        <w:tabs>
          <w:tab w:val="left" w:pos="4320"/>
        </w:tabs>
        <w:spacing w:line="240" w:lineRule="auto"/>
        <w:ind w:left="4320"/>
        <w:rPr>
          <w:rFonts w:ascii="Times New Roman" w:hAnsi="Times New Roman" w:cs="Times New Roman"/>
          <w:sz w:val="24"/>
          <w:szCs w:val="24"/>
        </w:rPr>
      </w:pPr>
      <w:r w:rsidRPr="008625F2">
        <w:rPr>
          <w:rFonts w:ascii="Times New Roman" w:hAnsi="Times New Roman" w:cs="Times New Roman"/>
          <w:sz w:val="24"/>
          <w:szCs w:val="24"/>
        </w:rPr>
        <w:t>Ambrosia E. Logsdon (0096598)</w:t>
      </w:r>
    </w:p>
    <w:p w:rsidR="00217C13" w:rsidRPr="008625F2" w:rsidP="00217C13" w14:paraId="3B5FDFF3" w14:textId="77777777">
      <w:pPr>
        <w:pStyle w:val="ListParagraph"/>
        <w:tabs>
          <w:tab w:val="left" w:pos="4320"/>
        </w:tabs>
        <w:spacing w:line="240" w:lineRule="auto"/>
        <w:ind w:left="4320"/>
        <w:rPr>
          <w:rFonts w:ascii="Times New Roman" w:hAnsi="Times New Roman" w:cs="Times New Roman"/>
          <w:sz w:val="24"/>
          <w:szCs w:val="24"/>
        </w:rPr>
      </w:pPr>
      <w:r w:rsidRPr="008625F2">
        <w:rPr>
          <w:rFonts w:ascii="Times New Roman" w:hAnsi="Times New Roman" w:cs="Times New Roman"/>
          <w:sz w:val="24"/>
          <w:szCs w:val="24"/>
        </w:rPr>
        <w:t>Counsel of Record</w:t>
      </w:r>
      <w:r w:rsidRPr="008625F2">
        <w:rPr>
          <w:rFonts w:ascii="Times New Roman" w:hAnsi="Times New Roman" w:cs="Times New Roman"/>
          <w:sz w:val="24"/>
          <w:szCs w:val="24"/>
        </w:rPr>
        <w:br/>
        <w:t>Assistant Consumers’ Counsel</w:t>
      </w:r>
    </w:p>
    <w:p w:rsidR="00217C13" w:rsidRPr="008625F2" w:rsidP="00567148" w14:paraId="12D2BD41" w14:textId="425F03CC">
      <w:pPr>
        <w:rPr>
          <w:b/>
          <w:bCs/>
        </w:rPr>
      </w:pPr>
      <w:r w:rsidRPr="008625F2">
        <w:tab/>
      </w:r>
      <w:r w:rsidRPr="008625F2" w:rsidR="00567148">
        <w:tab/>
      </w:r>
      <w:r w:rsidRPr="008625F2" w:rsidR="00567148">
        <w:tab/>
      </w:r>
      <w:r w:rsidRPr="008625F2" w:rsidR="00567148">
        <w:tab/>
      </w:r>
      <w:r w:rsidRPr="008625F2" w:rsidR="00567148">
        <w:tab/>
      </w:r>
      <w:r w:rsidRPr="008625F2" w:rsidR="00567148">
        <w:tab/>
      </w:r>
      <w:r w:rsidRPr="008625F2">
        <w:rPr>
          <w:b/>
          <w:bCs/>
        </w:rPr>
        <w:t>Office of the Ohio Consumers’ Counsel</w:t>
      </w:r>
    </w:p>
    <w:p w:rsidR="00217C13" w:rsidRPr="008625F2" w:rsidP="00217C13" w14:paraId="39B328DA" w14:textId="77777777">
      <w:pPr>
        <w:ind w:left="4320"/>
      </w:pPr>
      <w:r w:rsidRPr="008625F2">
        <w:t>65 East State Street, 7</w:t>
      </w:r>
      <w:r w:rsidRPr="008625F2">
        <w:rPr>
          <w:vertAlign w:val="superscript"/>
        </w:rPr>
        <w:t>th</w:t>
      </w:r>
      <w:r w:rsidRPr="008625F2">
        <w:t xml:space="preserve"> Floor</w:t>
      </w:r>
    </w:p>
    <w:p w:rsidR="00217C13" w:rsidRPr="008625F2" w:rsidP="00217C13" w14:paraId="2932FC8D" w14:textId="77777777">
      <w:pPr>
        <w:ind w:left="4320"/>
      </w:pPr>
      <w:r w:rsidRPr="008625F2">
        <w:t>Columbus, Ohio 43215</w:t>
      </w:r>
    </w:p>
    <w:p w:rsidR="00217C13" w:rsidRPr="008625F2" w:rsidP="00217C13" w14:paraId="240F8065" w14:textId="77777777">
      <w:pPr>
        <w:pStyle w:val="ListParagraph"/>
        <w:autoSpaceDE w:val="0"/>
        <w:autoSpaceDN w:val="0"/>
        <w:adjustRightInd w:val="0"/>
        <w:spacing w:after="0" w:line="240" w:lineRule="auto"/>
        <w:ind w:left="3600" w:firstLine="720"/>
        <w:rPr>
          <w:rFonts w:ascii="Times New Roman" w:hAnsi="Times New Roman" w:cs="Times New Roman"/>
          <w:sz w:val="24"/>
          <w:szCs w:val="24"/>
        </w:rPr>
      </w:pPr>
      <w:r w:rsidRPr="008625F2">
        <w:rPr>
          <w:rFonts w:ascii="Times New Roman" w:hAnsi="Times New Roman" w:cs="Times New Roman"/>
          <w:sz w:val="24"/>
          <w:szCs w:val="24"/>
        </w:rPr>
        <w:t>Telephone: (614) 466-1292</w:t>
      </w:r>
    </w:p>
    <w:p w:rsidR="00217C13" w:rsidRPr="008625F2" w:rsidP="00217C13" w14:paraId="01BD6E00" w14:textId="52218712">
      <w:pPr>
        <w:pStyle w:val="ListParagraph"/>
        <w:autoSpaceDE w:val="0"/>
        <w:autoSpaceDN w:val="0"/>
        <w:adjustRightInd w:val="0"/>
        <w:spacing w:after="0" w:line="240" w:lineRule="auto"/>
        <w:ind w:left="0"/>
        <w:rPr>
          <w:rStyle w:val="Hyperlink"/>
          <w:rFonts w:ascii="Times New Roman" w:hAnsi="Times New Roman" w:cs="Times New Roman"/>
          <w:sz w:val="24"/>
          <w:szCs w:val="24"/>
        </w:rPr>
      </w:pP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hyperlink r:id="rId7" w:history="1">
        <w:r w:rsidRPr="008625F2">
          <w:rPr>
            <w:rStyle w:val="Hyperlink"/>
            <w:rFonts w:ascii="Times New Roman" w:hAnsi="Times New Roman" w:cs="Times New Roman"/>
            <w:sz w:val="24"/>
            <w:szCs w:val="24"/>
          </w:rPr>
          <w:t>Ambrosia.Logsdon@occ.ohio.gov</w:t>
        </w:r>
      </w:hyperlink>
    </w:p>
    <w:p w:rsidR="00567148" w:rsidRPr="008625F2" w:rsidP="00217C13" w14:paraId="6B478ED5" w14:textId="3D5785CA">
      <w:pPr>
        <w:pStyle w:val="ListParagraph"/>
        <w:autoSpaceDE w:val="0"/>
        <w:autoSpaceDN w:val="0"/>
        <w:adjustRightInd w:val="0"/>
        <w:spacing w:after="0" w:line="240" w:lineRule="auto"/>
        <w:ind w:left="0"/>
        <w:rPr>
          <w:rFonts w:ascii="Times New Roman" w:hAnsi="Times New Roman" w:cs="Times New Roman"/>
          <w:sz w:val="24"/>
          <w:szCs w:val="24"/>
        </w:rPr>
      </w:pPr>
      <w:r w:rsidRPr="008625F2">
        <w:rPr>
          <w:rStyle w:val="Hyperlink"/>
          <w:rFonts w:ascii="Times New Roman" w:hAnsi="Times New Roman" w:cs="Times New Roman"/>
          <w:sz w:val="24"/>
          <w:szCs w:val="24"/>
          <w:u w:val="none"/>
        </w:rPr>
        <w:tab/>
      </w:r>
      <w:r w:rsidRPr="008625F2">
        <w:rPr>
          <w:rStyle w:val="Hyperlink"/>
          <w:rFonts w:ascii="Times New Roman" w:hAnsi="Times New Roman" w:cs="Times New Roman"/>
          <w:sz w:val="24"/>
          <w:szCs w:val="24"/>
          <w:u w:val="none"/>
        </w:rPr>
        <w:tab/>
      </w:r>
      <w:r w:rsidRPr="008625F2">
        <w:rPr>
          <w:rStyle w:val="Hyperlink"/>
          <w:rFonts w:ascii="Times New Roman" w:hAnsi="Times New Roman" w:cs="Times New Roman"/>
          <w:sz w:val="24"/>
          <w:szCs w:val="24"/>
          <w:u w:val="none"/>
        </w:rPr>
        <w:tab/>
      </w:r>
      <w:r w:rsidRPr="008625F2">
        <w:rPr>
          <w:rStyle w:val="Hyperlink"/>
          <w:rFonts w:ascii="Times New Roman" w:hAnsi="Times New Roman" w:cs="Times New Roman"/>
          <w:sz w:val="24"/>
          <w:szCs w:val="24"/>
          <w:u w:val="none"/>
        </w:rPr>
        <w:tab/>
      </w:r>
      <w:r w:rsidRPr="008625F2">
        <w:rPr>
          <w:rStyle w:val="Hyperlink"/>
          <w:rFonts w:ascii="Times New Roman" w:hAnsi="Times New Roman" w:cs="Times New Roman"/>
          <w:sz w:val="24"/>
          <w:szCs w:val="24"/>
          <w:u w:val="none"/>
        </w:rPr>
        <w:tab/>
      </w:r>
      <w:r w:rsidRPr="008625F2">
        <w:rPr>
          <w:rStyle w:val="Hyperlink"/>
          <w:rFonts w:ascii="Times New Roman" w:hAnsi="Times New Roman" w:cs="Times New Roman"/>
          <w:sz w:val="24"/>
          <w:szCs w:val="24"/>
          <w:u w:val="none"/>
        </w:rPr>
        <w:tab/>
      </w:r>
      <w:r w:rsidRPr="008625F2">
        <w:rPr>
          <w:rStyle w:val="Hyperlink"/>
          <w:rFonts w:ascii="Times New Roman" w:hAnsi="Times New Roman" w:cs="Times New Roman"/>
          <w:color w:val="auto"/>
          <w:sz w:val="24"/>
          <w:szCs w:val="24"/>
          <w:u w:val="none"/>
        </w:rPr>
        <w:t>(willing to accept service by e-mail)</w:t>
      </w:r>
    </w:p>
    <w:p w:rsidR="00217C13" w:rsidRPr="008625F2" w:rsidP="00217C13" w14:paraId="0DCB29F2" w14:textId="5B31982A">
      <w:pPr>
        <w:pStyle w:val="Footer"/>
        <w:tabs>
          <w:tab w:val="left" w:pos="4320"/>
        </w:tabs>
        <w:ind w:left="4320"/>
        <w:rPr>
          <w:rFonts w:ascii="Times New Roman" w:hAnsi="Times New Roman" w:cs="Times New Roman"/>
          <w:sz w:val="24"/>
          <w:szCs w:val="24"/>
        </w:rPr>
      </w:pPr>
    </w:p>
    <w:p w:rsidR="0053250C" w:rsidRPr="008625F2" w:rsidP="00217C13" w14:paraId="4BBB807D" w14:textId="65D52C82">
      <w:pPr>
        <w:pStyle w:val="Footer"/>
        <w:tabs>
          <w:tab w:val="left" w:pos="4320"/>
        </w:tabs>
        <w:ind w:left="4320"/>
        <w:rPr>
          <w:rFonts w:ascii="Times New Roman" w:hAnsi="Times New Roman" w:cs="Times New Roman"/>
          <w:sz w:val="24"/>
          <w:szCs w:val="24"/>
        </w:rPr>
      </w:pP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p>
    <w:p w:rsidR="0053250C" w:rsidRPr="008625F2" w:rsidP="004D2848" w14:paraId="733D0C41" w14:textId="77777777">
      <w:pPr>
        <w:pStyle w:val="ListParagraph"/>
        <w:ind w:left="0"/>
        <w:jc w:val="center"/>
        <w:rPr>
          <w:rFonts w:ascii="Times New Roman" w:hAnsi="Times New Roman" w:cs="Times New Roman"/>
          <w:b/>
          <w:sz w:val="24"/>
          <w:szCs w:val="24"/>
          <w:u w:val="single"/>
        </w:rPr>
      </w:pPr>
      <w:r w:rsidRPr="008625F2">
        <w:rPr>
          <w:rFonts w:ascii="Times New Roman" w:hAnsi="Times New Roman" w:cs="Times New Roman"/>
          <w:b/>
          <w:sz w:val="24"/>
          <w:szCs w:val="24"/>
        </w:rPr>
        <w:br w:type="page"/>
      </w:r>
      <w:r w:rsidRPr="008625F2">
        <w:rPr>
          <w:rFonts w:ascii="Times New Roman" w:hAnsi="Times New Roman" w:cs="Times New Roman"/>
          <w:b/>
          <w:sz w:val="24"/>
          <w:szCs w:val="24"/>
          <w:u w:val="single"/>
        </w:rPr>
        <w:t>CERTIFICATE OF SERVICE</w:t>
      </w:r>
    </w:p>
    <w:p w:rsidR="0053250C" w:rsidRPr="008625F2" w:rsidP="0053250C" w14:paraId="080C1972" w14:textId="03615DF0">
      <w:pPr>
        <w:spacing w:line="480" w:lineRule="auto"/>
      </w:pPr>
      <w:r w:rsidRPr="008625F2">
        <w:tab/>
        <w:t xml:space="preserve">I hereby certify that a copy of these </w:t>
      </w:r>
      <w:r>
        <w:t xml:space="preserve">Reply </w:t>
      </w:r>
      <w:r w:rsidRPr="008625F2">
        <w:t xml:space="preserve">Comments </w:t>
      </w:r>
      <w:r w:rsidRPr="008625F2" w:rsidR="00BF3773">
        <w:t>w</w:t>
      </w:r>
      <w:r>
        <w:t>ere</w:t>
      </w:r>
      <w:r w:rsidRPr="008625F2">
        <w:t xml:space="preserve"> served via electronic transmission upon the following parties of record this </w:t>
      </w:r>
      <w:r w:rsidRPr="008625F2" w:rsidR="00AD6242">
        <w:t xml:space="preserve">20th </w:t>
      </w:r>
      <w:r w:rsidRPr="008625F2">
        <w:t xml:space="preserve">day of </w:t>
      </w:r>
      <w:r w:rsidRPr="008625F2" w:rsidR="00AD6242">
        <w:t xml:space="preserve">March </w:t>
      </w:r>
      <w:r w:rsidRPr="008625F2">
        <w:t>20</w:t>
      </w:r>
      <w:r w:rsidRPr="008625F2" w:rsidR="00BF3773">
        <w:t>20</w:t>
      </w:r>
      <w:r w:rsidRPr="008625F2">
        <w:t>.</w:t>
      </w:r>
    </w:p>
    <w:p w:rsidR="0053250C" w:rsidRPr="008625F2" w:rsidP="0053250C" w14:paraId="46F8CD42" w14:textId="77777777">
      <w:pPr>
        <w:pStyle w:val="ListParagraph"/>
        <w:ind w:left="1080"/>
        <w:rPr>
          <w:rFonts w:ascii="Times New Roman" w:hAnsi="Times New Roman" w:cs="Times New Roman"/>
          <w:sz w:val="24"/>
          <w:szCs w:val="24"/>
        </w:rPr>
      </w:pPr>
    </w:p>
    <w:p w:rsidR="0053250C" w:rsidRPr="008625F2" w:rsidP="004D2848" w14:paraId="51E74773" w14:textId="0E1DBB72">
      <w:pPr>
        <w:pStyle w:val="ListParagraph"/>
        <w:ind w:left="0"/>
        <w:rPr>
          <w:rFonts w:ascii="Times New Roman" w:hAnsi="Times New Roman" w:cs="Times New Roman"/>
          <w:sz w:val="24"/>
          <w:szCs w:val="24"/>
        </w:rPr>
      </w:pP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i/>
          <w:sz w:val="24"/>
          <w:szCs w:val="24"/>
          <w:u w:val="single"/>
        </w:rPr>
        <w:t xml:space="preserve">/s/ </w:t>
      </w:r>
      <w:r w:rsidRPr="008625F2" w:rsidR="00217C13">
        <w:rPr>
          <w:rFonts w:ascii="Times New Roman" w:hAnsi="Times New Roman" w:cs="Times New Roman"/>
          <w:i/>
          <w:sz w:val="24"/>
          <w:szCs w:val="24"/>
          <w:u w:val="single"/>
        </w:rPr>
        <w:t>Ambrosia E. Logsdon</w:t>
      </w:r>
      <w:r w:rsidRPr="008625F2">
        <w:rPr>
          <w:rFonts w:ascii="Times New Roman" w:hAnsi="Times New Roman" w:cs="Times New Roman"/>
          <w:sz w:val="24"/>
          <w:szCs w:val="24"/>
        </w:rPr>
        <w:t>_____</w:t>
      </w:r>
    </w:p>
    <w:p w:rsidR="0053250C" w:rsidRPr="008625F2" w:rsidP="004D2848" w14:paraId="30ACE4E3" w14:textId="334BD063">
      <w:pPr>
        <w:pStyle w:val="ListParagraph"/>
        <w:ind w:left="0"/>
        <w:rPr>
          <w:rFonts w:ascii="Times New Roman" w:hAnsi="Times New Roman" w:cs="Times New Roman"/>
          <w:sz w:val="24"/>
          <w:szCs w:val="24"/>
        </w:rPr>
      </w:pP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sidR="00217C13">
        <w:rPr>
          <w:rFonts w:ascii="Times New Roman" w:hAnsi="Times New Roman" w:cs="Times New Roman"/>
          <w:sz w:val="24"/>
          <w:szCs w:val="24"/>
        </w:rPr>
        <w:t>Ambrosia E. Logsdon</w:t>
      </w:r>
    </w:p>
    <w:p w:rsidR="0053250C" w:rsidRPr="008625F2" w:rsidP="004D2848" w14:paraId="73D5B7B2" w14:textId="77777777">
      <w:pPr>
        <w:pStyle w:val="ListParagraph"/>
        <w:ind w:left="0"/>
        <w:rPr>
          <w:rFonts w:ascii="Times New Roman" w:hAnsi="Times New Roman" w:cs="Times New Roman"/>
          <w:sz w:val="24"/>
          <w:szCs w:val="24"/>
        </w:rPr>
      </w:pP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r>
      <w:r w:rsidRPr="008625F2">
        <w:rPr>
          <w:rFonts w:ascii="Times New Roman" w:hAnsi="Times New Roman" w:cs="Times New Roman"/>
          <w:sz w:val="24"/>
          <w:szCs w:val="24"/>
        </w:rPr>
        <w:tab/>
        <w:t>Assistant Consumers’ Counsel</w:t>
      </w:r>
    </w:p>
    <w:p w:rsidR="0053250C" w:rsidRPr="008625F2" w:rsidP="0053250C" w14:paraId="68F522B2" w14:textId="32F5DE70">
      <w:pPr>
        <w:pStyle w:val="ListParagraph"/>
        <w:ind w:left="1080"/>
        <w:rPr>
          <w:rFonts w:ascii="Times New Roman" w:hAnsi="Times New Roman" w:cs="Times New Roman"/>
          <w:sz w:val="24"/>
          <w:szCs w:val="24"/>
        </w:rPr>
      </w:pPr>
    </w:p>
    <w:p w:rsidR="001361DA" w:rsidRPr="008625F2" w:rsidP="001361DA" w14:paraId="00A96558" w14:textId="77777777">
      <w:pPr>
        <w:tabs>
          <w:tab w:val="left" w:pos="4320"/>
        </w:tabs>
        <w:ind w:left="4320"/>
      </w:pPr>
    </w:p>
    <w:p w:rsidR="001361DA" w:rsidRPr="008625F2" w:rsidP="001361DA" w14:paraId="7DA1A2FA" w14:textId="77777777">
      <w:r w:rsidRPr="008625F2">
        <w:t>The PUCO’s e-filing system will electronically serve notice of the filing of this document on the following parties:</w:t>
      </w:r>
    </w:p>
    <w:p w:rsidR="001361DA" w:rsidRPr="008625F2" w:rsidP="001361DA" w14:paraId="3CF65200" w14:textId="77777777">
      <w:pPr>
        <w:tabs>
          <w:tab w:val="left" w:pos="4320"/>
        </w:tabs>
        <w:ind w:left="4320"/>
      </w:pPr>
    </w:p>
    <w:p w:rsidR="001361DA" w:rsidRPr="008625F2" w:rsidP="001361DA" w14:paraId="50B48EB5" w14:textId="77777777">
      <w:pPr>
        <w:pStyle w:val="CommentSubject"/>
        <w:rPr>
          <w:rFonts w:ascii="Times New Roman" w:hAnsi="Times New Roman" w:cs="Times New Roman"/>
          <w:sz w:val="24"/>
          <w:szCs w:val="24"/>
        </w:rPr>
      </w:pPr>
    </w:p>
    <w:p w:rsidR="001361DA" w:rsidRPr="008625F2" w:rsidP="001361DA" w14:paraId="07774685" w14:textId="524CEFD8">
      <w:pPr>
        <w:pStyle w:val="CommentText"/>
        <w:spacing w:after="0"/>
        <w:jc w:val="center"/>
        <w:rPr>
          <w:rFonts w:ascii="Times New Roman" w:hAnsi="Times New Roman" w:cs="Times New Roman"/>
          <w:b/>
          <w:sz w:val="24"/>
          <w:szCs w:val="24"/>
          <w:u w:val="single"/>
        </w:rPr>
      </w:pPr>
      <w:r w:rsidRPr="008625F2">
        <w:rPr>
          <w:rFonts w:ascii="Times New Roman" w:hAnsi="Times New Roman" w:cs="Times New Roman"/>
          <w:b/>
          <w:sz w:val="24"/>
          <w:szCs w:val="24"/>
          <w:u w:val="single"/>
        </w:rPr>
        <w:t>SERVICE LIST</w:t>
      </w:r>
    </w:p>
    <w:p w:rsidR="001361DA" w:rsidRPr="008625F2" w:rsidP="001361DA" w14:paraId="6C9A23E2" w14:textId="77777777">
      <w:pPr>
        <w:pStyle w:val="CommentText"/>
        <w:spacing w:after="0"/>
        <w:jc w:val="center"/>
        <w:rPr>
          <w:rFonts w:ascii="Times New Roman" w:hAnsi="Times New Roman" w:cs="Times New Roman"/>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6C6713B2" w14:textId="77777777" w:rsidTr="0051109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1361DA" w:rsidRPr="008625F2" w:rsidP="001361DA" w14:paraId="6F65D36E" w14:textId="6565C5C8">
            <w:pPr>
              <w:pStyle w:val="CommentText"/>
              <w:spacing w:after="0"/>
              <w:rPr>
                <w:rStyle w:val="Hyperlink"/>
                <w:rFonts w:ascii="Times New Roman" w:hAnsi="Times New Roman" w:cs="Times New Roman"/>
                <w:bCs/>
                <w:color w:val="0000FF"/>
                <w:sz w:val="24"/>
                <w:szCs w:val="24"/>
              </w:rPr>
            </w:pPr>
            <w:hyperlink r:id="rId8" w:history="1">
              <w:r w:rsidRPr="008625F2" w:rsidR="007A5432">
                <w:rPr>
                  <w:rStyle w:val="Hyperlink"/>
                  <w:rFonts w:ascii="Times New Roman" w:hAnsi="Times New Roman" w:cs="Times New Roman"/>
                  <w:bCs/>
                  <w:color w:val="0000FF"/>
                  <w:sz w:val="24"/>
                  <w:szCs w:val="24"/>
                </w:rPr>
                <w:t>steven.beeler@ohioattorneygeneral.gov</w:t>
              </w:r>
            </w:hyperlink>
          </w:p>
          <w:p w:rsidR="001361DA" w:rsidRPr="008625F2" w:rsidP="001361DA" w14:paraId="0C61836B" w14:textId="0D235158">
            <w:pPr>
              <w:pStyle w:val="CommentText"/>
              <w:spacing w:after="0"/>
              <w:rPr>
                <w:rStyle w:val="Hyperlink"/>
                <w:rFonts w:ascii="Times New Roman" w:hAnsi="Times New Roman" w:cs="Times New Roman"/>
                <w:bCs/>
                <w:color w:val="0000FF"/>
                <w:sz w:val="24"/>
                <w:szCs w:val="24"/>
              </w:rPr>
            </w:pPr>
            <w:hyperlink r:id="rId9" w:history="1">
              <w:r w:rsidRPr="008625F2" w:rsidR="007A5432">
                <w:rPr>
                  <w:rStyle w:val="Hyperlink"/>
                  <w:rFonts w:ascii="Times New Roman" w:hAnsi="Times New Roman" w:cs="Times New Roman"/>
                  <w:bCs/>
                  <w:sz w:val="24"/>
                  <w:szCs w:val="24"/>
                </w:rPr>
                <w:t>steven.darnell@ohioattorneygeneral.gov</w:t>
              </w:r>
            </w:hyperlink>
          </w:p>
          <w:p w:rsidR="001361DA" w:rsidRPr="008625F2" w:rsidP="001361DA" w14:paraId="306D0CB0" w14:textId="77777777">
            <w:pPr>
              <w:pStyle w:val="CommentText"/>
              <w:spacing w:after="0"/>
              <w:rPr>
                <w:rFonts w:ascii="Times New Roman" w:hAnsi="Times New Roman" w:cs="Times New Roman"/>
                <w:bCs/>
                <w:sz w:val="24"/>
                <w:szCs w:val="24"/>
                <w:u w:val="single"/>
              </w:rPr>
            </w:pPr>
          </w:p>
          <w:p w:rsidR="001361DA" w:rsidRPr="008625F2" w:rsidP="001361DA" w14:paraId="628C7ACD" w14:textId="77777777">
            <w:pPr>
              <w:pStyle w:val="CommentText"/>
              <w:spacing w:after="0"/>
              <w:rPr>
                <w:rFonts w:ascii="Times New Roman" w:hAnsi="Times New Roman" w:cs="Times New Roman"/>
                <w:bCs/>
                <w:sz w:val="24"/>
                <w:szCs w:val="24"/>
              </w:rPr>
            </w:pPr>
            <w:r w:rsidRPr="008625F2">
              <w:rPr>
                <w:rFonts w:ascii="Times New Roman" w:hAnsi="Times New Roman" w:cs="Times New Roman"/>
                <w:bCs/>
                <w:sz w:val="24"/>
                <w:szCs w:val="24"/>
              </w:rPr>
              <w:t>Attorney Examiner:</w:t>
            </w:r>
          </w:p>
          <w:p w:rsidR="001361DA" w:rsidRPr="008625F2" w:rsidP="001361DA" w14:paraId="424FF386" w14:textId="77777777">
            <w:pPr>
              <w:pStyle w:val="CommentText"/>
              <w:spacing w:after="0"/>
              <w:rPr>
                <w:rFonts w:ascii="Times New Roman" w:hAnsi="Times New Roman" w:cs="Times New Roman"/>
                <w:bCs/>
                <w:sz w:val="24"/>
                <w:szCs w:val="24"/>
              </w:rPr>
            </w:pPr>
          </w:p>
          <w:p w:rsidR="001361DA" w:rsidRPr="008625F2" w:rsidP="001361DA" w14:paraId="103E287C" w14:textId="6B552EB4">
            <w:pPr>
              <w:pStyle w:val="CommentText"/>
              <w:spacing w:after="0"/>
              <w:rPr>
                <w:rStyle w:val="Hyperlink"/>
                <w:rFonts w:ascii="Times New Roman" w:hAnsi="Times New Roman" w:cs="Times New Roman"/>
                <w:bCs/>
                <w:color w:val="0000FF"/>
                <w:sz w:val="24"/>
                <w:szCs w:val="24"/>
              </w:rPr>
            </w:pPr>
            <w:hyperlink r:id="rId10" w:history="1">
              <w:r w:rsidRPr="008625F2" w:rsidR="007A5432">
                <w:rPr>
                  <w:rStyle w:val="Hyperlink"/>
                  <w:rFonts w:ascii="Times New Roman" w:hAnsi="Times New Roman" w:cs="Times New Roman"/>
                  <w:bCs/>
                  <w:sz w:val="24"/>
                  <w:szCs w:val="24"/>
                </w:rPr>
                <w:t>lauren.augostini@puco.ohio.gov</w:t>
              </w:r>
            </w:hyperlink>
          </w:p>
          <w:p w:rsidR="001361DA" w:rsidRPr="008625F2" w:rsidP="001361DA" w14:paraId="27572F5F" w14:textId="46734199">
            <w:pPr>
              <w:pStyle w:val="CommentText"/>
              <w:spacing w:after="0"/>
              <w:rPr>
                <w:rStyle w:val="Hyperlink"/>
                <w:rFonts w:ascii="Times New Roman" w:hAnsi="Times New Roman" w:cs="Times New Roman"/>
                <w:bCs/>
                <w:color w:val="0000FF"/>
                <w:sz w:val="24"/>
                <w:szCs w:val="24"/>
              </w:rPr>
            </w:pPr>
            <w:hyperlink r:id="rId11" w:history="1">
              <w:r w:rsidRPr="008625F2" w:rsidR="007A5432">
                <w:rPr>
                  <w:rStyle w:val="Hyperlink"/>
                  <w:rFonts w:ascii="Times New Roman" w:hAnsi="Times New Roman" w:cs="Times New Roman"/>
                  <w:bCs/>
                  <w:sz w:val="24"/>
                  <w:szCs w:val="24"/>
                </w:rPr>
                <w:t>Nicholas.walstra@puco.ohio.gov</w:t>
              </w:r>
            </w:hyperlink>
          </w:p>
          <w:p w:rsidR="001361DA" w:rsidRPr="008625F2" w:rsidP="001361DA" w14:paraId="18A80865" w14:textId="77777777">
            <w:pPr>
              <w:pStyle w:val="CommentText"/>
              <w:spacing w:after="0"/>
              <w:rPr>
                <w:rFonts w:ascii="Times New Roman" w:hAnsi="Times New Roman" w:cs="Times New Roman"/>
                <w:bCs/>
                <w:sz w:val="24"/>
                <w:szCs w:val="24"/>
              </w:rPr>
            </w:pPr>
          </w:p>
          <w:p w:rsidR="001361DA" w:rsidRPr="008625F2" w:rsidP="001361DA" w14:paraId="3BA3D77E" w14:textId="77777777">
            <w:pPr>
              <w:pStyle w:val="CommentText"/>
              <w:spacing w:after="0"/>
              <w:rPr>
                <w:rFonts w:ascii="Times New Roman" w:hAnsi="Times New Roman" w:cs="Times New Roman"/>
                <w:bCs/>
                <w:sz w:val="24"/>
                <w:szCs w:val="24"/>
              </w:rPr>
            </w:pPr>
          </w:p>
          <w:p w:rsidR="001361DA" w:rsidRPr="008625F2" w:rsidP="001361DA" w14:paraId="178ECA54" w14:textId="77777777">
            <w:pPr>
              <w:pStyle w:val="CommentText"/>
              <w:spacing w:after="0"/>
              <w:rPr>
                <w:rFonts w:ascii="Times New Roman" w:hAnsi="Times New Roman" w:cs="Times New Roman"/>
                <w:bCs/>
                <w:sz w:val="24"/>
                <w:szCs w:val="24"/>
                <w:u w:val="single"/>
              </w:rPr>
            </w:pPr>
          </w:p>
        </w:tc>
        <w:tc>
          <w:tcPr>
            <w:tcW w:w="4315" w:type="dxa"/>
          </w:tcPr>
          <w:p w:rsidR="001361DA" w:rsidRPr="008625F2" w:rsidP="001361DA" w14:paraId="54742113" w14:textId="77777777">
            <w:pPr>
              <w:pStyle w:val="CommentText"/>
              <w:spacing w:after="0"/>
              <w:ind w:left="522"/>
              <w:rPr>
                <w:rFonts w:ascii="Times New Roman" w:hAnsi="Times New Roman" w:cs="Times New Roman"/>
                <w:bCs/>
                <w:sz w:val="24"/>
                <w:szCs w:val="24"/>
              </w:rPr>
            </w:pPr>
            <w:hyperlink r:id="rId12" w:history="1">
              <w:r w:rsidRPr="008625F2" w:rsidR="007A5432">
                <w:rPr>
                  <w:rStyle w:val="Hyperlink"/>
                  <w:rFonts w:ascii="Times New Roman" w:hAnsi="Times New Roman" w:cs="Times New Roman"/>
                  <w:bCs/>
                  <w:color w:val="0000FF"/>
                  <w:sz w:val="24"/>
                  <w:szCs w:val="24"/>
                </w:rPr>
                <w:t>Jeanne.kingery@duke-energy.com</w:t>
              </w:r>
            </w:hyperlink>
          </w:p>
          <w:p w:rsidR="001361DA" w:rsidRPr="008625F2" w:rsidP="001361DA" w14:paraId="0625B36B" w14:textId="705F7CF3">
            <w:pPr>
              <w:pStyle w:val="CommentText"/>
              <w:spacing w:after="0"/>
              <w:ind w:left="522"/>
              <w:rPr>
                <w:rStyle w:val="Hyperlink"/>
                <w:rFonts w:ascii="Times New Roman" w:hAnsi="Times New Roman" w:cs="Times New Roman"/>
                <w:bCs/>
                <w:color w:val="0000FF"/>
                <w:sz w:val="24"/>
                <w:szCs w:val="24"/>
              </w:rPr>
            </w:pPr>
            <w:hyperlink r:id="rId13" w:history="1">
              <w:r w:rsidRPr="008625F2" w:rsidR="007A5432">
                <w:rPr>
                  <w:rStyle w:val="Hyperlink"/>
                  <w:rFonts w:ascii="Times New Roman" w:hAnsi="Times New Roman" w:cs="Times New Roman"/>
                  <w:bCs/>
                  <w:color w:val="0000FF"/>
                  <w:sz w:val="24"/>
                  <w:szCs w:val="24"/>
                </w:rPr>
                <w:t>Rocco.dascenzo@duke-energy.com</w:t>
              </w:r>
            </w:hyperlink>
          </w:p>
          <w:p w:rsidR="001361DA" w:rsidRPr="008625F2" w:rsidP="001361DA" w14:paraId="1A496D31" w14:textId="4D5DE7C0">
            <w:pPr>
              <w:pStyle w:val="CommentText"/>
              <w:spacing w:after="0"/>
              <w:ind w:left="522"/>
              <w:rPr>
                <w:rStyle w:val="Hyperlink"/>
                <w:rFonts w:ascii="Times New Roman" w:hAnsi="Times New Roman" w:cs="Times New Roman"/>
                <w:bCs/>
                <w:color w:val="0000FF"/>
                <w:sz w:val="24"/>
                <w:szCs w:val="24"/>
              </w:rPr>
            </w:pPr>
            <w:hyperlink r:id="rId14" w:history="1">
              <w:r w:rsidRPr="008625F2" w:rsidR="007A5432">
                <w:rPr>
                  <w:rStyle w:val="Hyperlink"/>
                  <w:rFonts w:ascii="Times New Roman" w:hAnsi="Times New Roman" w:cs="Times New Roman"/>
                  <w:bCs/>
                  <w:sz w:val="24"/>
                  <w:szCs w:val="24"/>
                </w:rPr>
                <w:t>Larisa.vaysman@duke-energy.com</w:t>
              </w:r>
            </w:hyperlink>
          </w:p>
          <w:p w:rsidR="001361DA" w:rsidRPr="008625F2" w:rsidP="001361DA" w14:paraId="5DA8C48C" w14:textId="77777777">
            <w:pPr>
              <w:pStyle w:val="CommentText"/>
              <w:spacing w:after="0"/>
              <w:rPr>
                <w:rFonts w:ascii="Times New Roman" w:hAnsi="Times New Roman" w:cs="Times New Roman"/>
                <w:bCs/>
                <w:sz w:val="24"/>
                <w:szCs w:val="24"/>
              </w:rPr>
            </w:pPr>
          </w:p>
          <w:p w:rsidR="001361DA" w:rsidRPr="008625F2" w:rsidP="001361DA" w14:paraId="6F60B75B" w14:textId="77777777">
            <w:pPr>
              <w:pStyle w:val="CommentText"/>
              <w:spacing w:after="0"/>
              <w:rPr>
                <w:rFonts w:ascii="Times New Roman" w:hAnsi="Times New Roman" w:cs="Times New Roman"/>
                <w:bCs/>
                <w:sz w:val="24"/>
                <w:szCs w:val="24"/>
              </w:rPr>
            </w:pPr>
          </w:p>
        </w:tc>
      </w:tr>
    </w:tbl>
    <w:p w:rsidR="0053250C" w:rsidRPr="008625F2" w:rsidP="0053250C" w14:paraId="186CF578" w14:textId="77777777">
      <w:pPr>
        <w:pStyle w:val="CommentText"/>
        <w:ind w:left="1080"/>
        <w:rPr>
          <w:rFonts w:ascii="Times New Roman" w:hAnsi="Times New Roman" w:cs="Times New Roman"/>
          <w:b/>
          <w:sz w:val="24"/>
          <w:szCs w:val="24"/>
          <w:u w:val="single"/>
        </w:rPr>
      </w:pPr>
    </w:p>
    <w:tbl>
      <w:tblPr>
        <w:tblW w:w="9900" w:type="dxa"/>
        <w:tblLook w:val="04A0"/>
      </w:tblPr>
      <w:tblGrid>
        <w:gridCol w:w="4386"/>
        <w:gridCol w:w="5514"/>
      </w:tblGrid>
      <w:tr w14:paraId="02DD311A" w14:textId="77777777" w:rsidTr="00217C13">
        <w:tblPrEx>
          <w:tblW w:w="9900" w:type="dxa"/>
          <w:tblLook w:val="04A0"/>
        </w:tblPrEx>
        <w:tc>
          <w:tcPr>
            <w:tcW w:w="4386" w:type="dxa"/>
            <w:shd w:val="clear" w:color="auto" w:fill="auto"/>
          </w:tcPr>
          <w:p w:rsidR="0053250C" w:rsidRPr="008625F2" w:rsidP="0053250C" w14:paraId="12509B13" w14:textId="77777777">
            <w:pPr>
              <w:pStyle w:val="CommentText"/>
              <w:rPr>
                <w:rFonts w:ascii="Times New Roman" w:hAnsi="Times New Roman" w:cs="Times New Roman"/>
                <w:sz w:val="24"/>
                <w:szCs w:val="24"/>
              </w:rPr>
            </w:pPr>
          </w:p>
        </w:tc>
        <w:tc>
          <w:tcPr>
            <w:tcW w:w="5514" w:type="dxa"/>
            <w:shd w:val="clear" w:color="auto" w:fill="auto"/>
          </w:tcPr>
          <w:p w:rsidR="0053250C" w:rsidRPr="008625F2" w:rsidP="0053250C" w14:paraId="7C73D5C7" w14:textId="77777777">
            <w:pPr>
              <w:pStyle w:val="CommentText"/>
              <w:rPr>
                <w:rFonts w:ascii="Times New Roman" w:hAnsi="Times New Roman" w:cs="Times New Roman"/>
                <w:sz w:val="24"/>
                <w:szCs w:val="24"/>
              </w:rPr>
            </w:pPr>
          </w:p>
        </w:tc>
      </w:tr>
    </w:tbl>
    <w:p w:rsidR="0053250C" w:rsidRPr="008625F2" w:rsidP="0053250C" w14:paraId="7AB16505" w14:textId="77777777">
      <w:pPr>
        <w:pStyle w:val="ListParagraph"/>
        <w:spacing w:line="480" w:lineRule="auto"/>
        <w:ind w:left="0"/>
        <w:rPr>
          <w:rFonts w:ascii="Times New Roman" w:hAnsi="Times New Roman" w:cs="Times New Roman"/>
          <w:sz w:val="24"/>
          <w:szCs w:val="24"/>
        </w:rPr>
      </w:pPr>
    </w:p>
    <w:sectPr w:rsidSect="003832AA">
      <w:footerReference w:type="default" r:id="rId15"/>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00DF" w14:paraId="2C46270D" w14:textId="24D5B528">
    <w:pPr>
      <w:pStyle w:val="Footer"/>
      <w:jc w:val="center"/>
    </w:pPr>
  </w:p>
  <w:p w:rsidR="00614CA0" w:rsidRPr="00192398" w14:paraId="360F6757" w14:textId="77777777">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1296033"/>
      <w:docPartObj>
        <w:docPartGallery w:val="Page Numbers (Bottom of Page)"/>
        <w:docPartUnique/>
      </w:docPartObj>
    </w:sdtPr>
    <w:sdtEndPr>
      <w:rPr>
        <w:rFonts w:ascii="Times New Roman" w:hAnsi="Times New Roman" w:cs="Times New Roman"/>
        <w:noProof/>
        <w:sz w:val="24"/>
        <w:szCs w:val="24"/>
      </w:rPr>
    </w:sdtEndPr>
    <w:sdtContent>
      <w:p w:rsidR="00F600DF" w:rsidRPr="00F600DF" w14:paraId="1960D97F" w14:textId="77777777">
        <w:pPr>
          <w:pStyle w:val="Footer"/>
          <w:jc w:val="center"/>
          <w:rPr>
            <w:rFonts w:ascii="Times New Roman" w:hAnsi="Times New Roman" w:cs="Times New Roman"/>
            <w:sz w:val="24"/>
            <w:szCs w:val="24"/>
          </w:rPr>
        </w:pPr>
        <w:r w:rsidRPr="00F600DF">
          <w:rPr>
            <w:rFonts w:ascii="Times New Roman" w:hAnsi="Times New Roman" w:cs="Times New Roman"/>
            <w:sz w:val="24"/>
            <w:szCs w:val="24"/>
          </w:rPr>
          <w:fldChar w:fldCharType="begin"/>
        </w:r>
        <w:r w:rsidRPr="00F600DF">
          <w:rPr>
            <w:rFonts w:ascii="Times New Roman" w:hAnsi="Times New Roman" w:cs="Times New Roman"/>
            <w:sz w:val="24"/>
            <w:szCs w:val="24"/>
          </w:rPr>
          <w:instrText xml:space="preserve"> PAGE   \* MERGEFORMAT </w:instrText>
        </w:r>
        <w:r w:rsidRPr="00F600DF">
          <w:rPr>
            <w:rFonts w:ascii="Times New Roman" w:hAnsi="Times New Roman" w:cs="Times New Roman"/>
            <w:sz w:val="24"/>
            <w:szCs w:val="24"/>
          </w:rPr>
          <w:fldChar w:fldCharType="separate"/>
        </w:r>
        <w:r w:rsidRPr="00F600DF">
          <w:rPr>
            <w:rFonts w:ascii="Times New Roman" w:hAnsi="Times New Roman" w:cs="Times New Roman"/>
            <w:noProof/>
            <w:sz w:val="24"/>
            <w:szCs w:val="24"/>
          </w:rPr>
          <w:t>2</w:t>
        </w:r>
        <w:r w:rsidRPr="00F600DF">
          <w:rPr>
            <w:rFonts w:ascii="Times New Roman" w:hAnsi="Times New Roman" w:cs="Times New Roman"/>
            <w:noProof/>
            <w:sz w:val="24"/>
            <w:szCs w:val="24"/>
          </w:rPr>
          <w:fldChar w:fldCharType="end"/>
        </w:r>
      </w:p>
    </w:sdtContent>
  </w:sdt>
  <w:p w:rsidR="00F600DF" w:rsidRPr="00192398" w14:paraId="3384993B" w14:textId="77777777">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262EA" w:rsidP="0053250C" w14:paraId="788F69C1" w14:textId="77777777">
      <w:r>
        <w:separator/>
      </w:r>
    </w:p>
  </w:footnote>
  <w:footnote w:type="continuationSeparator" w:id="1">
    <w:p w:rsidR="000262EA" w:rsidP="0053250C" w14:paraId="0F35A7BC" w14:textId="77777777">
      <w:r>
        <w:continuationSeparator/>
      </w:r>
    </w:p>
  </w:footnote>
  <w:footnote w:id="2">
    <w:p w:rsidR="00702A8E" w14:paraId="222A4A5A" w14:textId="55CEA393">
      <w:pPr>
        <w:pStyle w:val="FootnoteText"/>
      </w:pPr>
      <w:r>
        <w:rPr>
          <w:rStyle w:val="FootnoteReference"/>
        </w:rPr>
        <w:footnoteRef/>
      </w:r>
      <w:r>
        <w:t xml:space="preserve"> </w:t>
      </w:r>
      <w:r w:rsidRPr="000531FB" w:rsidR="000531FB">
        <w:rPr>
          <w:i/>
          <w:iCs/>
        </w:rPr>
        <w:t>See</w:t>
      </w:r>
      <w:r w:rsidR="000531FB">
        <w:t xml:space="preserve"> OCC Comments at 2</w:t>
      </w:r>
      <w:r w:rsidR="00D802F0">
        <w:t>.</w:t>
      </w:r>
    </w:p>
  </w:footnote>
  <w:footnote w:id="3">
    <w:p w:rsidR="005C6C29" w:rsidP="005C6C29" w14:paraId="1F6DF0F8" w14:textId="22EF6A18">
      <w:pPr>
        <w:pStyle w:val="FootnoteText"/>
      </w:pPr>
      <w:r>
        <w:rPr>
          <w:rStyle w:val="FootnoteReference"/>
        </w:rPr>
        <w:footnoteRef/>
      </w:r>
      <w:r>
        <w:t xml:space="preserve"> </w:t>
      </w:r>
      <w:r w:rsidR="00A511F2">
        <w:rPr>
          <w:i/>
          <w:iCs/>
        </w:rPr>
        <w:t xml:space="preserve">See </w:t>
      </w:r>
      <w:r w:rsidR="00A511F2">
        <w:t xml:space="preserve">Auditor </w:t>
      </w:r>
      <w:r>
        <w:t>Report at 13 (The total offset through the June 30, 2019 Rider DCI is $1,090,193).</w:t>
      </w:r>
    </w:p>
  </w:footnote>
  <w:footnote w:id="4">
    <w:p w:rsidR="005C6C29" w:rsidP="005C6C29" w14:paraId="57C2198F" w14:textId="149B48C6">
      <w:pPr>
        <w:pStyle w:val="FootnoteText"/>
      </w:pPr>
      <w:r>
        <w:rPr>
          <w:rStyle w:val="FootnoteReference"/>
        </w:rPr>
        <w:footnoteRef/>
      </w:r>
      <w:r>
        <w:t xml:space="preserve"> </w:t>
      </w:r>
      <w:r w:rsidR="00A511F2">
        <w:rPr>
          <w:i/>
          <w:iCs/>
        </w:rPr>
        <w:t>Id</w:t>
      </w:r>
      <w:r>
        <w:t>.</w:t>
      </w:r>
    </w:p>
  </w:footnote>
  <w:footnote w:id="5">
    <w:p w:rsidR="006112D0" w14:paraId="47F3DD5F" w14:textId="1D0EE615">
      <w:pPr>
        <w:pStyle w:val="FootnoteText"/>
      </w:pPr>
      <w:r>
        <w:rPr>
          <w:rStyle w:val="FootnoteReference"/>
        </w:rPr>
        <w:footnoteRef/>
      </w:r>
      <w:r>
        <w:t xml:space="preserve"> </w:t>
      </w:r>
      <w:r w:rsidR="00A511F2">
        <w:rPr>
          <w:i/>
          <w:iCs/>
        </w:rPr>
        <w:t>See</w:t>
      </w:r>
      <w:r w:rsidR="00A511F2">
        <w:t xml:space="preserve"> </w:t>
      </w:r>
      <w:r>
        <w:t>OCC Comments at 2-4.</w:t>
      </w:r>
    </w:p>
  </w:footnote>
  <w:footnote w:id="6">
    <w:p w:rsidR="005C6C29" w:rsidP="005C6C29" w14:paraId="4C5B5705" w14:textId="08F1B863">
      <w:pPr>
        <w:pStyle w:val="FootnoteText"/>
      </w:pPr>
      <w:r>
        <w:rPr>
          <w:rStyle w:val="FootnoteReference"/>
        </w:rPr>
        <w:footnoteRef/>
      </w:r>
      <w:r>
        <w:t xml:space="preserve"> </w:t>
      </w:r>
      <w:r w:rsidR="00A511F2">
        <w:rPr>
          <w:i/>
          <w:iCs/>
        </w:rPr>
        <w:t>See</w:t>
      </w:r>
      <w:r w:rsidR="00A511F2">
        <w:t xml:space="preserve"> </w:t>
      </w:r>
      <w:r>
        <w:t xml:space="preserve">Duke Comments at 10; </w:t>
      </w:r>
      <w:r w:rsidRPr="002D5D0E">
        <w:rPr>
          <w:i/>
          <w:iCs/>
        </w:rPr>
        <w:t>See also</w:t>
      </w:r>
      <w:r>
        <w:t xml:space="preserve"> Case No. 17-0032-EL-AIR, Opinion and Order at 37 (December 19, 2018) (“Rate Case Opinion and Order”).</w:t>
      </w:r>
    </w:p>
  </w:footnote>
  <w:footnote w:id="7">
    <w:p w:rsidR="005C6C29" w:rsidP="005C6C29" w14:paraId="67262D03" w14:textId="3B35BF03">
      <w:pPr>
        <w:pStyle w:val="FootnoteText"/>
      </w:pPr>
      <w:r>
        <w:rPr>
          <w:rStyle w:val="FootnoteReference"/>
        </w:rPr>
        <w:footnoteRef/>
      </w:r>
      <w:r>
        <w:t xml:space="preserve"> </w:t>
      </w:r>
      <w:r w:rsidR="00A511F2">
        <w:rPr>
          <w:i/>
          <w:iCs/>
        </w:rPr>
        <w:t>See</w:t>
      </w:r>
      <w:r w:rsidR="00A511F2">
        <w:t xml:space="preserve"> </w:t>
      </w:r>
      <w:r>
        <w:t>Rate Case Opinion and Order at 37 (emphasis added).</w:t>
      </w:r>
    </w:p>
  </w:footnote>
  <w:footnote w:id="8">
    <w:p w:rsidR="005C6C29" w:rsidP="005C6C29" w14:paraId="28FDBBEF" w14:textId="7F1ACAD7">
      <w:pPr>
        <w:pStyle w:val="FootnoteText"/>
      </w:pPr>
      <w:r>
        <w:rPr>
          <w:rStyle w:val="FootnoteReference"/>
        </w:rPr>
        <w:footnoteRef/>
      </w:r>
      <w:r>
        <w:t xml:space="preserve"> </w:t>
      </w:r>
      <w:r w:rsidR="00A511F2">
        <w:rPr>
          <w:i/>
          <w:iCs/>
        </w:rPr>
        <w:t>Id.</w:t>
      </w:r>
    </w:p>
  </w:footnote>
  <w:footnote w:id="9">
    <w:p w:rsidR="00614CA0" w:rsidRPr="00F20E7E" w:rsidP="00566662" w14:paraId="280592C6" w14:textId="6B61783C">
      <w:pPr>
        <w:pStyle w:val="FootnoteText"/>
        <w:rPr>
          <w:rFonts w:cs="Times New Roman"/>
        </w:rPr>
      </w:pPr>
      <w:r w:rsidRPr="00566662">
        <w:rPr>
          <w:rStyle w:val="FootnoteReference"/>
          <w:rFonts w:cs="Times New Roman"/>
        </w:rPr>
        <w:footnoteRef/>
      </w:r>
      <w:r w:rsidRPr="00566662">
        <w:rPr>
          <w:rFonts w:cs="Times New Roman"/>
        </w:rPr>
        <w:t xml:space="preserve"> </w:t>
      </w:r>
      <w:r>
        <w:rPr>
          <w:rFonts w:cs="Times New Roman"/>
          <w:i/>
          <w:iCs/>
        </w:rPr>
        <w:t xml:space="preserve">See </w:t>
      </w:r>
      <w:r>
        <w:rPr>
          <w:rFonts w:cs="Times New Roman"/>
        </w:rPr>
        <w:t>Duke Comments at 7-8.</w:t>
      </w:r>
    </w:p>
  </w:footnote>
  <w:footnote w:id="10">
    <w:p w:rsidR="00614CA0" w14:paraId="40A66862" w14:textId="1D1D62C7">
      <w:pPr>
        <w:pStyle w:val="FootnoteText"/>
      </w:pPr>
      <w:r>
        <w:rPr>
          <w:rStyle w:val="FootnoteReference"/>
        </w:rPr>
        <w:footnoteRef/>
      </w:r>
      <w:r>
        <w:t xml:space="preserve"> </w:t>
      </w:r>
      <w:r w:rsidR="00A511F2">
        <w:rPr>
          <w:i/>
          <w:iCs/>
        </w:rPr>
        <w:t>Id.</w:t>
      </w:r>
    </w:p>
  </w:footnote>
  <w:footnote w:id="11">
    <w:p w:rsidR="00614CA0" w14:paraId="03AB789E" w14:textId="51D39F27">
      <w:pPr>
        <w:pStyle w:val="FootnoteText"/>
      </w:pPr>
      <w:r>
        <w:rPr>
          <w:rStyle w:val="FootnoteReference"/>
        </w:rPr>
        <w:footnoteRef/>
      </w:r>
      <w:r>
        <w:t xml:space="preserve"> </w:t>
      </w:r>
      <w:r w:rsidR="00A511F2">
        <w:rPr>
          <w:i/>
          <w:iCs/>
        </w:rPr>
        <w:t>See</w:t>
      </w:r>
      <w:r w:rsidR="00A511F2">
        <w:t xml:space="preserve"> </w:t>
      </w:r>
      <w:r>
        <w:t>OCC Comments at 6.</w:t>
      </w:r>
    </w:p>
  </w:footnote>
  <w:footnote w:id="12">
    <w:p w:rsidR="00614CA0" w14:paraId="74BC253A" w14:textId="260B2E31">
      <w:pPr>
        <w:pStyle w:val="FootnoteText"/>
      </w:pPr>
      <w:r>
        <w:rPr>
          <w:rStyle w:val="FootnoteReference"/>
        </w:rPr>
        <w:footnoteRef/>
      </w:r>
      <w:r>
        <w:t xml:space="preserve"> </w:t>
      </w:r>
      <w:r w:rsidR="00A511F2">
        <w:rPr>
          <w:i/>
          <w:iCs/>
        </w:rPr>
        <w:t>Id.</w:t>
      </w:r>
      <w:r>
        <w:t xml:space="preserve"> (</w:t>
      </w:r>
      <w:r w:rsidRPr="00FE178E">
        <w:t>This same issue was raised in the previous audit of the DCI rider. In fact, to resolve that audit, Duke agreed, as part of a settlement, to implement enhanced controls to ensure that CIAC is billed on a timely, complete, and accurate basis by January 1, 2020</w:t>
      </w:r>
      <w:r>
        <w:t>).</w:t>
      </w:r>
      <w:r w:rsidRPr="00FE178E">
        <w:t xml:space="preserve">  </w:t>
      </w:r>
    </w:p>
  </w:footnote>
  <w:footnote w:id="13">
    <w:p w:rsidR="00614CA0" w14:paraId="2CEDB630" w14:textId="2A62B463">
      <w:pPr>
        <w:pStyle w:val="FootnoteText"/>
      </w:pPr>
      <w:r>
        <w:rPr>
          <w:rStyle w:val="FootnoteReference"/>
        </w:rPr>
        <w:footnoteRef/>
      </w:r>
      <w:r>
        <w:t xml:space="preserve"> </w:t>
      </w:r>
      <w:r w:rsidR="00A511F2">
        <w:rPr>
          <w:i/>
          <w:iCs/>
        </w:rPr>
        <w:t>Id.</w:t>
      </w:r>
      <w:r>
        <w:t xml:space="preserve"> (</w:t>
      </w:r>
      <w:r w:rsidRPr="00FE178E">
        <w:t>In its follow-up here, the Auditor found that out of 25 work orders it sampled, more than half of them (13) were improperly charged to customers or not recorded at all</w:t>
      </w:r>
      <w:r>
        <w:t>)</w:t>
      </w:r>
      <w:r w:rsidRPr="00FE178E">
        <w:t>.</w:t>
      </w:r>
    </w:p>
  </w:footnote>
  <w:footnote w:id="14">
    <w:p w:rsidR="008D37A2" w:rsidRPr="001A62B3" w:rsidP="008D37A2" w14:paraId="3F0E4AF9" w14:textId="77777777">
      <w:pPr>
        <w:pStyle w:val="FootnoteText"/>
      </w:pPr>
      <w:r>
        <w:rPr>
          <w:rStyle w:val="FootnoteReference"/>
        </w:rPr>
        <w:footnoteRef/>
      </w:r>
      <w:r>
        <w:t xml:space="preserve"> </w:t>
      </w:r>
      <w:r>
        <w:rPr>
          <w:i/>
          <w:iCs/>
        </w:rPr>
        <w:t xml:space="preserve">Id. </w:t>
      </w:r>
      <w:r>
        <w:t>at 7.</w:t>
      </w:r>
    </w:p>
  </w:footnote>
  <w:footnote w:id="15">
    <w:p w:rsidR="00614CA0" w14:paraId="2F57768E" w14:textId="46805F2F">
      <w:pPr>
        <w:pStyle w:val="FootnoteText"/>
      </w:pPr>
      <w:r>
        <w:rPr>
          <w:rStyle w:val="FootnoteReference"/>
        </w:rPr>
        <w:footnoteRef/>
      </w:r>
      <w:r>
        <w:t xml:space="preserve"> </w:t>
      </w:r>
      <w:r w:rsidR="00A511F2">
        <w:rPr>
          <w:i/>
          <w:iCs/>
        </w:rPr>
        <w:t>See</w:t>
      </w:r>
      <w:r w:rsidR="00A511F2">
        <w:t xml:space="preserve"> Audit </w:t>
      </w:r>
      <w:r>
        <w:t>Report at 12.</w:t>
      </w:r>
    </w:p>
  </w:footnote>
  <w:footnote w:id="16">
    <w:p w:rsidR="00614CA0" w14:paraId="0EBA1338" w14:textId="5D5B4CC0">
      <w:pPr>
        <w:pStyle w:val="FootnoteText"/>
      </w:pPr>
      <w:r>
        <w:rPr>
          <w:rStyle w:val="FootnoteReference"/>
        </w:rPr>
        <w:footnoteRef/>
      </w:r>
      <w:r>
        <w:t xml:space="preserve"> </w:t>
      </w:r>
      <w:r w:rsidR="00A511F2">
        <w:rPr>
          <w:i/>
          <w:iCs/>
        </w:rPr>
        <w:t>Id.</w:t>
      </w:r>
    </w:p>
  </w:footnote>
  <w:footnote w:id="17">
    <w:p w:rsidR="00614CA0" w14:paraId="1F2AC8DD" w14:textId="34D58493">
      <w:pPr>
        <w:pStyle w:val="FootnoteText"/>
      </w:pPr>
      <w:r>
        <w:rPr>
          <w:rStyle w:val="FootnoteReference"/>
        </w:rPr>
        <w:footnoteRef/>
      </w:r>
      <w:r>
        <w:t xml:space="preserve"> </w:t>
      </w:r>
      <w:r w:rsidR="00A511F2">
        <w:rPr>
          <w:i/>
          <w:iCs/>
        </w:rPr>
        <w:t>See</w:t>
      </w:r>
      <w:r w:rsidR="00A511F2">
        <w:t xml:space="preserve"> </w:t>
      </w:r>
      <w:r>
        <w:t>Duke Comments at 2.</w:t>
      </w:r>
    </w:p>
  </w:footnote>
  <w:footnote w:id="18">
    <w:p w:rsidR="00614CA0" w14:paraId="65AC47B8" w14:textId="3147197F">
      <w:pPr>
        <w:pStyle w:val="FootnoteText"/>
      </w:pPr>
      <w:r>
        <w:rPr>
          <w:rStyle w:val="FootnoteReference"/>
        </w:rPr>
        <w:footnoteRef/>
      </w:r>
      <w:r>
        <w:t xml:space="preserve"> </w:t>
      </w:r>
      <w:r w:rsidR="00A511F2">
        <w:rPr>
          <w:i/>
          <w:iCs/>
        </w:rPr>
        <w:t>Id.</w:t>
      </w:r>
    </w:p>
  </w:footnote>
  <w:footnote w:id="19">
    <w:p w:rsidR="00614CA0" w14:paraId="43B4EF47" w14:textId="346B2755">
      <w:pPr>
        <w:pStyle w:val="FootnoteText"/>
      </w:pPr>
      <w:r>
        <w:rPr>
          <w:rStyle w:val="FootnoteReference"/>
        </w:rPr>
        <w:footnoteRef/>
      </w:r>
      <w:r>
        <w:t xml:space="preserve"> </w:t>
      </w:r>
      <w:r w:rsidR="00A511F2">
        <w:rPr>
          <w:i/>
          <w:iCs/>
        </w:rPr>
        <w:t>Id.</w:t>
      </w:r>
      <w:r>
        <w:t xml:space="preserve"> at 2-3.</w:t>
      </w:r>
    </w:p>
  </w:footnote>
  <w:footnote w:id="20">
    <w:p w:rsidR="00614CA0" w14:paraId="78DF372A" w14:textId="52AA53DB">
      <w:pPr>
        <w:pStyle w:val="FootnoteText"/>
      </w:pPr>
      <w:r>
        <w:rPr>
          <w:rStyle w:val="FootnoteReference"/>
        </w:rPr>
        <w:footnoteRef/>
      </w:r>
      <w:r>
        <w:t xml:space="preserve"> </w:t>
      </w:r>
      <w:r w:rsidR="00A511F2">
        <w:rPr>
          <w:i/>
          <w:iCs/>
        </w:rPr>
        <w:t xml:space="preserve">Id. </w:t>
      </w:r>
      <w:r>
        <w:t>at 2.</w:t>
      </w:r>
    </w:p>
  </w:footnote>
  <w:footnote w:id="21">
    <w:p w:rsidR="00614CA0" w14:paraId="277A054F" w14:textId="36B706E1">
      <w:pPr>
        <w:pStyle w:val="FootnoteText"/>
      </w:pPr>
      <w:r>
        <w:rPr>
          <w:rStyle w:val="FootnoteReference"/>
        </w:rPr>
        <w:footnoteRef/>
      </w:r>
      <w:r>
        <w:t xml:space="preserve"> </w:t>
      </w:r>
      <w:r w:rsidR="00A511F2">
        <w:rPr>
          <w:i/>
          <w:iCs/>
        </w:rPr>
        <w:t>See</w:t>
      </w:r>
      <w:r w:rsidR="00A511F2">
        <w:t xml:space="preserve"> Audit </w:t>
      </w:r>
      <w:r>
        <w:t>Report at 10-12.</w:t>
      </w:r>
    </w:p>
  </w:footnote>
  <w:footnote w:id="22">
    <w:p w:rsidR="00E9586B" w:rsidP="00E9586B" w14:paraId="4D0EC423" w14:textId="77013D36">
      <w:pPr>
        <w:pStyle w:val="FootnoteText"/>
      </w:pPr>
      <w:r>
        <w:rPr>
          <w:rStyle w:val="FootnoteReference"/>
        </w:rPr>
        <w:footnoteRef/>
      </w:r>
      <w:r>
        <w:t xml:space="preserve"> </w:t>
      </w:r>
      <w:r w:rsidR="00A511F2">
        <w:rPr>
          <w:i/>
          <w:iCs/>
        </w:rPr>
        <w:t>See</w:t>
      </w:r>
      <w:r w:rsidR="00A511F2">
        <w:t xml:space="preserve"> </w:t>
      </w:r>
      <w:r>
        <w:t>Duke Comments at 6-8.</w:t>
      </w:r>
    </w:p>
  </w:footnote>
  <w:footnote w:id="23">
    <w:p w:rsidR="00614CA0" w14:paraId="476D603F" w14:textId="44273BDE">
      <w:pPr>
        <w:pStyle w:val="FootnoteText"/>
      </w:pPr>
      <w:r>
        <w:rPr>
          <w:rStyle w:val="FootnoteReference"/>
        </w:rPr>
        <w:footnoteRef/>
      </w:r>
      <w:r>
        <w:t xml:space="preserve"> </w:t>
      </w:r>
      <w:r w:rsidR="00A511F2">
        <w:rPr>
          <w:i/>
          <w:iCs/>
        </w:rPr>
        <w:t>Id.</w:t>
      </w:r>
    </w:p>
  </w:footnote>
  <w:footnote w:id="24">
    <w:p w:rsidR="00B011D8" w14:paraId="6F62F11C" w14:textId="580FDA0B">
      <w:pPr>
        <w:pStyle w:val="FootnoteText"/>
      </w:pPr>
      <w:r>
        <w:rPr>
          <w:rStyle w:val="FootnoteReference"/>
        </w:rPr>
        <w:footnoteRef/>
      </w:r>
      <w:r>
        <w:t xml:space="preserve"> </w:t>
      </w:r>
      <w:r w:rsidR="00A511F2">
        <w:rPr>
          <w:i/>
          <w:iCs/>
        </w:rPr>
        <w:t>Id.</w:t>
      </w:r>
      <w:r>
        <w:t xml:space="preserve"> at 6.</w:t>
      </w:r>
    </w:p>
  </w:footnote>
  <w:footnote w:id="25">
    <w:p w:rsidR="00614CA0" w14:paraId="6328F96E" w14:textId="08216477">
      <w:pPr>
        <w:pStyle w:val="FootnoteText"/>
      </w:pPr>
      <w:r>
        <w:rPr>
          <w:rStyle w:val="FootnoteReference"/>
        </w:rPr>
        <w:footnoteRef/>
      </w:r>
      <w:r>
        <w:t xml:space="preserve"> </w:t>
      </w:r>
      <w:r w:rsidR="00A511F2">
        <w:rPr>
          <w:i/>
          <w:iCs/>
        </w:rPr>
        <w:t>See</w:t>
      </w:r>
      <w:r w:rsidR="00A511F2">
        <w:t xml:space="preserve"> Audit </w:t>
      </w:r>
      <w:r>
        <w:t xml:space="preserve">Report at </w:t>
      </w:r>
      <w:r w:rsidR="00E9586B">
        <w:t>11</w:t>
      </w:r>
      <w:r>
        <w:t>.</w:t>
      </w:r>
    </w:p>
  </w:footnote>
  <w:footnote w:id="26">
    <w:p w:rsidR="00111F84" w14:paraId="5A67394D" w14:textId="11C48C4D">
      <w:pPr>
        <w:pStyle w:val="FootnoteText"/>
      </w:pPr>
      <w:r>
        <w:rPr>
          <w:rStyle w:val="FootnoteReference"/>
        </w:rPr>
        <w:footnoteRef/>
      </w:r>
      <w:r>
        <w:t xml:space="preserve"> </w:t>
      </w:r>
      <w:r w:rsidR="00A511F2">
        <w:rPr>
          <w:i/>
          <w:iCs/>
        </w:rPr>
        <w:t>See</w:t>
      </w:r>
      <w:r w:rsidR="00A511F2">
        <w:t xml:space="preserve"> </w:t>
      </w:r>
      <w:r>
        <w:t>Duke Comments at 6.</w:t>
      </w:r>
    </w:p>
  </w:footnote>
  <w:footnote w:id="27">
    <w:p w:rsidR="00111F84" w14:paraId="278A93AF" w14:textId="0DDF4C73">
      <w:pPr>
        <w:pStyle w:val="FootnoteText"/>
      </w:pPr>
      <w:r>
        <w:rPr>
          <w:rStyle w:val="FootnoteReference"/>
        </w:rPr>
        <w:footnoteRef/>
      </w:r>
      <w:r>
        <w:t xml:space="preserve"> </w:t>
      </w:r>
      <w:r w:rsidR="00A511F2">
        <w:rPr>
          <w:i/>
          <w:iCs/>
        </w:rPr>
        <w:t>Id.</w:t>
      </w:r>
    </w:p>
  </w:footnote>
  <w:footnote w:id="28">
    <w:p w:rsidR="00394349" w:rsidRPr="000531FB" w14:paraId="085BA58D" w14:textId="3D588C99">
      <w:pPr>
        <w:pStyle w:val="FootnoteText"/>
        <w:rPr>
          <w:i/>
          <w:iCs/>
        </w:rPr>
      </w:pPr>
      <w:r>
        <w:rPr>
          <w:rStyle w:val="FootnoteReference"/>
        </w:rPr>
        <w:footnoteRef/>
      </w:r>
      <w:r>
        <w:t xml:space="preserve"> </w:t>
      </w:r>
      <w:r>
        <w:rPr>
          <w:i/>
          <w:iCs/>
        </w:rPr>
        <w:t>Id.</w:t>
      </w:r>
    </w:p>
  </w:footnote>
  <w:footnote w:id="29">
    <w:p w:rsidR="00394349" w14:paraId="507CDD90" w14:textId="64A33118">
      <w:pPr>
        <w:pStyle w:val="FootnoteText"/>
      </w:pPr>
      <w:r>
        <w:rPr>
          <w:rStyle w:val="FootnoteReference"/>
        </w:rPr>
        <w:footnoteRef/>
      </w:r>
      <w:r>
        <w:t xml:space="preserve"> </w:t>
      </w:r>
      <w:r>
        <w:rPr>
          <w:i/>
          <w:iCs/>
        </w:rPr>
        <w:t>See</w:t>
      </w:r>
      <w:r>
        <w:t xml:space="preserve"> Audit Report at 11.</w:t>
      </w:r>
    </w:p>
  </w:footnote>
  <w:footnote w:id="30">
    <w:p w:rsidR="00E9586B" w14:paraId="5F33FCF1" w14:textId="1427B4BC">
      <w:pPr>
        <w:pStyle w:val="FootnoteText"/>
      </w:pPr>
      <w:r>
        <w:rPr>
          <w:rStyle w:val="FootnoteReference"/>
        </w:rPr>
        <w:footnoteRef/>
      </w:r>
      <w:r>
        <w:t xml:space="preserve"> </w:t>
      </w:r>
      <w:r w:rsidR="00AC6183">
        <w:rPr>
          <w:i/>
          <w:iCs/>
        </w:rPr>
        <w:t>Id.</w:t>
      </w:r>
    </w:p>
  </w:footnote>
  <w:footnote w:id="31">
    <w:p w:rsidR="00315DF2" w14:paraId="1545E35D" w14:textId="1C6DE5F4">
      <w:pPr>
        <w:pStyle w:val="FootnoteText"/>
      </w:pPr>
      <w:r>
        <w:rPr>
          <w:rStyle w:val="FootnoteReference"/>
        </w:rPr>
        <w:footnoteRef/>
      </w:r>
      <w:r>
        <w:t xml:space="preserve"> Duke did not provide a copy to this draft for provide an attachment for review, so it is impossible to evaluate whether this document would be helpful.</w:t>
      </w:r>
    </w:p>
  </w:footnote>
  <w:footnote w:id="32">
    <w:p w:rsidR="00315DF2" w14:paraId="1EE832D0" w14:textId="039A5DD5">
      <w:pPr>
        <w:pStyle w:val="FootnoteText"/>
      </w:pPr>
      <w:r>
        <w:rPr>
          <w:rStyle w:val="FootnoteReference"/>
        </w:rPr>
        <w:footnoteRef/>
      </w:r>
      <w:r>
        <w:t xml:space="preserve"> </w:t>
      </w:r>
      <w:r w:rsidR="00A511F2">
        <w:rPr>
          <w:i/>
          <w:iCs/>
        </w:rPr>
        <w:t>See</w:t>
      </w:r>
      <w:r w:rsidR="00A511F2">
        <w:t xml:space="preserve"> </w:t>
      </w:r>
      <w:r>
        <w:t xml:space="preserve">Duke Comments at </w:t>
      </w:r>
      <w:r w:rsidR="008625F2">
        <w:t>7.</w:t>
      </w:r>
      <w:r>
        <w:t xml:space="preserve"> </w:t>
      </w:r>
    </w:p>
  </w:footnote>
  <w:footnote w:id="33">
    <w:p w:rsidR="00E9586B" w14:paraId="593872DD" w14:textId="7D35F593">
      <w:pPr>
        <w:pStyle w:val="FootnoteText"/>
      </w:pPr>
      <w:r>
        <w:rPr>
          <w:rStyle w:val="FootnoteReference"/>
        </w:rPr>
        <w:footnoteRef/>
      </w:r>
      <w:r>
        <w:t xml:space="preserve"> </w:t>
      </w:r>
      <w:r w:rsidR="00A511F2">
        <w:rPr>
          <w:i/>
          <w:iCs/>
        </w:rPr>
        <w:t>See</w:t>
      </w:r>
      <w:r w:rsidR="00A511F2">
        <w:t xml:space="preserve"> Audit </w:t>
      </w:r>
      <w:r>
        <w:t>Report at 12.</w:t>
      </w:r>
    </w:p>
  </w:footnote>
  <w:footnote w:id="34">
    <w:p w:rsidR="00E9586B" w14:paraId="66919943" w14:textId="7557E2CC">
      <w:pPr>
        <w:pStyle w:val="FootnoteText"/>
      </w:pPr>
      <w:r>
        <w:rPr>
          <w:rStyle w:val="FootnoteReference"/>
        </w:rPr>
        <w:footnoteRef/>
      </w:r>
      <w:r>
        <w:t xml:space="preserve"> </w:t>
      </w:r>
      <w:r w:rsidR="00A511F2">
        <w:rPr>
          <w:i/>
          <w:iCs/>
        </w:rPr>
        <w:t>Id.</w:t>
      </w:r>
    </w:p>
  </w:footnote>
  <w:footnote w:id="35">
    <w:p w:rsidR="00D93411" w14:paraId="0D09E4C4" w14:textId="612F9ABA">
      <w:pPr>
        <w:pStyle w:val="FootnoteText"/>
      </w:pPr>
      <w:r>
        <w:rPr>
          <w:rStyle w:val="FootnoteReference"/>
        </w:rPr>
        <w:footnoteRef/>
      </w:r>
      <w:r>
        <w:t xml:space="preserve"> </w:t>
      </w:r>
      <w:r w:rsidR="00A511F2">
        <w:rPr>
          <w:i/>
          <w:iCs/>
        </w:rPr>
        <w:t>See</w:t>
      </w:r>
      <w:r w:rsidR="00A511F2">
        <w:t xml:space="preserve"> </w:t>
      </w:r>
      <w:r>
        <w:t>Duke Comments at 8.</w:t>
      </w:r>
    </w:p>
  </w:footnote>
  <w:footnote w:id="36">
    <w:p w:rsidR="00D93411" w14:paraId="6308771E" w14:textId="0F8BAB80">
      <w:pPr>
        <w:pStyle w:val="FootnoteText"/>
      </w:pPr>
      <w:r>
        <w:rPr>
          <w:rStyle w:val="FootnoteReference"/>
        </w:rPr>
        <w:footnoteRef/>
      </w:r>
      <w:r>
        <w:t xml:space="preserve"> </w:t>
      </w:r>
      <w:r w:rsidR="00A511F2">
        <w:rPr>
          <w:i/>
          <w:iCs/>
        </w:rPr>
        <w:t>Id.</w:t>
      </w:r>
    </w:p>
  </w:footnote>
  <w:footnote w:id="37">
    <w:p w:rsidR="00D93411" w14:paraId="3A37EC44" w14:textId="27EF8B11">
      <w:pPr>
        <w:pStyle w:val="FootnoteText"/>
      </w:pPr>
      <w:r>
        <w:rPr>
          <w:rStyle w:val="FootnoteReference"/>
        </w:rPr>
        <w:footnoteRef/>
      </w:r>
      <w:r>
        <w:t xml:space="preserve"> </w:t>
      </w:r>
      <w:r w:rsidR="00A511F2">
        <w:rPr>
          <w:i/>
          <w:iCs/>
        </w:rPr>
        <w:t>Id.</w:t>
      </w:r>
    </w:p>
  </w:footnote>
  <w:footnote w:id="38">
    <w:p w:rsidR="00D93411" w14:paraId="45A42CB5" w14:textId="0260BDE6">
      <w:pPr>
        <w:pStyle w:val="FootnoteText"/>
      </w:pPr>
      <w:r>
        <w:rPr>
          <w:rStyle w:val="FootnoteReference"/>
        </w:rPr>
        <w:footnoteRef/>
      </w:r>
      <w:r>
        <w:t xml:space="preserve"> </w:t>
      </w:r>
      <w:r w:rsidR="00A511F2">
        <w:rPr>
          <w:i/>
          <w:iCs/>
        </w:rPr>
        <w:t>Id.</w:t>
      </w:r>
    </w:p>
  </w:footnote>
  <w:footnote w:id="39">
    <w:p w:rsidR="00B2416F" w14:paraId="7493E344" w14:textId="44DE27EA">
      <w:pPr>
        <w:pStyle w:val="FootnoteText"/>
      </w:pPr>
      <w:r>
        <w:rPr>
          <w:rStyle w:val="FootnoteReference"/>
        </w:rPr>
        <w:footnoteRef/>
      </w:r>
      <w:r>
        <w:t xml:space="preserve"> </w:t>
      </w:r>
      <w:r w:rsidR="0092038E">
        <w:rPr>
          <w:i/>
          <w:iCs/>
        </w:rPr>
        <w:t xml:space="preserve">See </w:t>
      </w:r>
      <w:r w:rsidR="0092038E">
        <w:t xml:space="preserve">R.C. </w:t>
      </w:r>
      <w:r w:rsidR="005A71FA">
        <w:t>4928.02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6E622EE4"/>
    <w:lvl w:ilvl="0">
      <w:start w:val="1"/>
      <w:numFmt w:val="decimal"/>
      <w:lvlText w:val="%1."/>
      <w:lvlJc w:val="left"/>
      <w:pPr>
        <w:tabs>
          <w:tab w:val="num" w:pos="1800"/>
        </w:tabs>
        <w:ind w:left="1800" w:hanging="360"/>
      </w:pPr>
    </w:lvl>
  </w:abstractNum>
  <w:abstractNum w:abstractNumId="1">
    <w:nsid w:val="FFFFFF7D"/>
    <w:multiLevelType w:val="singleLevel"/>
    <w:tmpl w:val="19901164"/>
    <w:lvl w:ilvl="0">
      <w:start w:val="1"/>
      <w:numFmt w:val="decimal"/>
      <w:lvlText w:val="%1."/>
      <w:lvlJc w:val="left"/>
      <w:pPr>
        <w:tabs>
          <w:tab w:val="num" w:pos="1440"/>
        </w:tabs>
        <w:ind w:left="1440" w:hanging="360"/>
      </w:pPr>
    </w:lvl>
  </w:abstractNum>
  <w:abstractNum w:abstractNumId="2">
    <w:nsid w:val="FFFFFF7E"/>
    <w:multiLevelType w:val="singleLevel"/>
    <w:tmpl w:val="D1D0B55C"/>
    <w:lvl w:ilvl="0">
      <w:start w:val="1"/>
      <w:numFmt w:val="decimal"/>
      <w:lvlText w:val="%1."/>
      <w:lvlJc w:val="left"/>
      <w:pPr>
        <w:tabs>
          <w:tab w:val="num" w:pos="1080"/>
        </w:tabs>
        <w:ind w:left="1080" w:hanging="360"/>
      </w:pPr>
    </w:lvl>
  </w:abstractNum>
  <w:abstractNum w:abstractNumId="3">
    <w:nsid w:val="FFFFFF7F"/>
    <w:multiLevelType w:val="singleLevel"/>
    <w:tmpl w:val="33E660B0"/>
    <w:lvl w:ilvl="0">
      <w:start w:val="1"/>
      <w:numFmt w:val="decimal"/>
      <w:lvlText w:val="%1."/>
      <w:lvlJc w:val="left"/>
      <w:pPr>
        <w:tabs>
          <w:tab w:val="num" w:pos="720"/>
        </w:tabs>
        <w:ind w:left="720" w:hanging="360"/>
      </w:pPr>
    </w:lvl>
  </w:abstractNum>
  <w:abstractNum w:abstractNumId="4">
    <w:nsid w:val="FFFFFF80"/>
    <w:multiLevelType w:val="singleLevel"/>
    <w:tmpl w:val="3BE896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B293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A6D8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CB241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40CFF98"/>
    <w:lvl w:ilvl="0">
      <w:start w:val="1"/>
      <w:numFmt w:val="decimal"/>
      <w:lvlText w:val="%1."/>
      <w:lvlJc w:val="left"/>
      <w:pPr>
        <w:tabs>
          <w:tab w:val="num" w:pos="360"/>
        </w:tabs>
        <w:ind w:left="360" w:hanging="360"/>
      </w:pPr>
    </w:lvl>
  </w:abstractNum>
  <w:abstractNum w:abstractNumId="9">
    <w:nsid w:val="FFFFFF89"/>
    <w:multiLevelType w:val="singleLevel"/>
    <w:tmpl w:val="931E4894"/>
    <w:lvl w:ilvl="0">
      <w:start w:val="1"/>
      <w:numFmt w:val="bullet"/>
      <w:lvlText w:val=""/>
      <w:lvlJc w:val="left"/>
      <w:pPr>
        <w:tabs>
          <w:tab w:val="num" w:pos="360"/>
        </w:tabs>
        <w:ind w:left="360" w:hanging="360"/>
      </w:pPr>
      <w:rPr>
        <w:rFonts w:ascii="Symbol" w:hAnsi="Symbol" w:hint="default"/>
      </w:rPr>
    </w:lvl>
  </w:abstractNum>
  <w:abstractNum w:abstractNumId="10">
    <w:nsid w:val="1EEF631C"/>
    <w:multiLevelType w:val="hybridMultilevel"/>
    <w:tmpl w:val="EF5E92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24150B"/>
    <w:multiLevelType w:val="hybridMultilevel"/>
    <w:tmpl w:val="F534725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9E86644"/>
    <w:multiLevelType w:val="hybridMultilevel"/>
    <w:tmpl w:val="7422C428"/>
    <w:lvl w:ilvl="0">
      <w:start w:val="1"/>
      <w:numFmt w:val="decimal"/>
      <w:lvlText w:val="%1."/>
      <w:lvlJc w:val="left"/>
      <w:pPr>
        <w:ind w:left="3600" w:hanging="720"/>
      </w:pPr>
      <w:rPr>
        <w:rFonts w:hint="default"/>
        <w:b/>
        <w:bCs/>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3">
    <w:nsid w:val="52A95C26"/>
    <w:multiLevelType w:val="hybridMultilevel"/>
    <w:tmpl w:val="B49C6E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3412171"/>
    <w:multiLevelType w:val="hybridMultilevel"/>
    <w:tmpl w:val="07CA454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6FD6708"/>
    <w:multiLevelType w:val="hybridMultilevel"/>
    <w:tmpl w:val="1C7880F6"/>
    <w:lvl w:ilvl="0">
      <w:start w:val="1"/>
      <w:numFmt w:val="upperLetter"/>
      <w:pStyle w:val="Heading2"/>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E2035BA"/>
    <w:multiLevelType w:val="hybridMultilevel"/>
    <w:tmpl w:val="B3F2F50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7">
    <w:nsid w:val="64351F0E"/>
    <w:multiLevelType w:val="hybridMultilevel"/>
    <w:tmpl w:val="39528758"/>
    <w:lvl w:ilvl="0">
      <w:start w:val="1"/>
      <w:numFmt w:val="upperLetter"/>
      <w:pStyle w:val="Heading3"/>
      <w:lvlText w:val="%1."/>
      <w:lvlJc w:val="left"/>
      <w:pPr>
        <w:ind w:left="99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5A24D2F"/>
    <w:multiLevelType w:val="hybridMultilevel"/>
    <w:tmpl w:val="989AD118"/>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69471014"/>
    <w:multiLevelType w:val="hybridMultilevel"/>
    <w:tmpl w:val="43FA268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823893"/>
    <w:multiLevelType w:val="hybridMultilevel"/>
    <w:tmpl w:val="82E64888"/>
    <w:lvl w:ilvl="0">
      <w:start w:val="1"/>
      <w:numFmt w:val="decimal"/>
      <w:lvlText w:val="%1."/>
      <w:lvlJc w:val="left"/>
      <w:pPr>
        <w:ind w:left="1800" w:hanging="360"/>
      </w:pPr>
      <w:rPr>
        <w:rFonts w:ascii="Times New Roman" w:eastAsia="Times New Roman" w:hAnsi="Times New Roman" w:cs="Times New Roman" w:hint="default"/>
        <w:color w:val="0000FF" w:themeColor="hyperlink"/>
        <w:sz w:val="24"/>
        <w:u w:val="single"/>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7DA85746"/>
    <w:multiLevelType w:val="hybridMultilevel"/>
    <w:tmpl w:val="B92C6CBA"/>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14"/>
  </w:num>
  <w:num w:numId="3">
    <w:abstractNumId w:val="10"/>
  </w:num>
  <w:num w:numId="4">
    <w:abstractNumId w:val="9"/>
  </w:num>
  <w:num w:numId="5">
    <w:abstractNumId w:val="7"/>
  </w:num>
  <w:num w:numId="6">
    <w:abstractNumId w:val="6"/>
  </w:num>
  <w:num w:numId="7">
    <w:abstractNumId w:val="5"/>
  </w:num>
  <w:num w:numId="8">
    <w:abstractNumId w:val="21"/>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8"/>
  </w:num>
  <w:num w:numId="18">
    <w:abstractNumId w:val="20"/>
  </w:num>
  <w:num w:numId="19">
    <w:abstractNumId w:val="11"/>
  </w:num>
  <w:num w:numId="20">
    <w:abstractNumId w:val="13"/>
  </w:num>
  <w:num w:numId="21">
    <w:abstractNumId w:val="16"/>
  </w:num>
  <w:num w:numId="22">
    <w:abstractNumId w:val="18"/>
    <w:lvlOverride w:ilvl="0">
      <w:startOverride w:val="1"/>
    </w:lvlOverride>
  </w:num>
  <w:num w:numId="23">
    <w:abstractNumId w:val="17"/>
  </w:num>
  <w:num w:numId="24">
    <w:abstractNumId w:val="17"/>
  </w:num>
  <w:num w:numId="25">
    <w:abstractNumId w:val="17"/>
  </w:num>
  <w:num w:numId="26">
    <w:abstractNumId w:val="1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22"/>
    <w:rsid w:val="00002616"/>
    <w:rsid w:val="000123C9"/>
    <w:rsid w:val="00014327"/>
    <w:rsid w:val="00015FA8"/>
    <w:rsid w:val="000262EA"/>
    <w:rsid w:val="0003187A"/>
    <w:rsid w:val="0003724D"/>
    <w:rsid w:val="00040934"/>
    <w:rsid w:val="00041078"/>
    <w:rsid w:val="00041167"/>
    <w:rsid w:val="000438D4"/>
    <w:rsid w:val="000531FB"/>
    <w:rsid w:val="000532AE"/>
    <w:rsid w:val="00053C51"/>
    <w:rsid w:val="0005620D"/>
    <w:rsid w:val="000653AC"/>
    <w:rsid w:val="000722DA"/>
    <w:rsid w:val="00072BCC"/>
    <w:rsid w:val="00074752"/>
    <w:rsid w:val="000768D0"/>
    <w:rsid w:val="000775BB"/>
    <w:rsid w:val="000A069C"/>
    <w:rsid w:val="000B04DA"/>
    <w:rsid w:val="000C4540"/>
    <w:rsid w:val="000D0341"/>
    <w:rsid w:val="000D32F3"/>
    <w:rsid w:val="000D4657"/>
    <w:rsid w:val="000D69C7"/>
    <w:rsid w:val="000F29BF"/>
    <w:rsid w:val="000F5471"/>
    <w:rsid w:val="000F58BD"/>
    <w:rsid w:val="00100621"/>
    <w:rsid w:val="00103AAE"/>
    <w:rsid w:val="00104F99"/>
    <w:rsid w:val="0010694B"/>
    <w:rsid w:val="00111F84"/>
    <w:rsid w:val="001130FD"/>
    <w:rsid w:val="0011431D"/>
    <w:rsid w:val="00114B2B"/>
    <w:rsid w:val="0011650C"/>
    <w:rsid w:val="00117642"/>
    <w:rsid w:val="00117BD8"/>
    <w:rsid w:val="00120469"/>
    <w:rsid w:val="00121604"/>
    <w:rsid w:val="00133309"/>
    <w:rsid w:val="001361DA"/>
    <w:rsid w:val="00142B6E"/>
    <w:rsid w:val="00165460"/>
    <w:rsid w:val="00171F04"/>
    <w:rsid w:val="00172532"/>
    <w:rsid w:val="00173FA4"/>
    <w:rsid w:val="00176330"/>
    <w:rsid w:val="001874DF"/>
    <w:rsid w:val="00191695"/>
    <w:rsid w:val="00192398"/>
    <w:rsid w:val="00192CAF"/>
    <w:rsid w:val="001938A5"/>
    <w:rsid w:val="001A1A6C"/>
    <w:rsid w:val="001A62B3"/>
    <w:rsid w:val="001A6AFC"/>
    <w:rsid w:val="001B0271"/>
    <w:rsid w:val="001B0775"/>
    <w:rsid w:val="001B71F3"/>
    <w:rsid w:val="001C1CD0"/>
    <w:rsid w:val="001C2405"/>
    <w:rsid w:val="001C581A"/>
    <w:rsid w:val="001D4F3F"/>
    <w:rsid w:val="001E5745"/>
    <w:rsid w:val="001F1B8D"/>
    <w:rsid w:val="001F337D"/>
    <w:rsid w:val="00202D5B"/>
    <w:rsid w:val="002119DF"/>
    <w:rsid w:val="002140C6"/>
    <w:rsid w:val="0021677D"/>
    <w:rsid w:val="00217C13"/>
    <w:rsid w:val="00221F1B"/>
    <w:rsid w:val="00222B45"/>
    <w:rsid w:val="002251C1"/>
    <w:rsid w:val="00225315"/>
    <w:rsid w:val="0022691A"/>
    <w:rsid w:val="0023147C"/>
    <w:rsid w:val="002334AB"/>
    <w:rsid w:val="002335A6"/>
    <w:rsid w:val="002379B3"/>
    <w:rsid w:val="00237B49"/>
    <w:rsid w:val="002431DA"/>
    <w:rsid w:val="00253331"/>
    <w:rsid w:val="0025399B"/>
    <w:rsid w:val="00264A0C"/>
    <w:rsid w:val="002720D8"/>
    <w:rsid w:val="002724DA"/>
    <w:rsid w:val="00274351"/>
    <w:rsid w:val="0027473E"/>
    <w:rsid w:val="0027542A"/>
    <w:rsid w:val="0028341E"/>
    <w:rsid w:val="002835B7"/>
    <w:rsid w:val="00291DFF"/>
    <w:rsid w:val="002B1204"/>
    <w:rsid w:val="002B2202"/>
    <w:rsid w:val="002B4F7F"/>
    <w:rsid w:val="002B6618"/>
    <w:rsid w:val="002B7323"/>
    <w:rsid w:val="002B73F3"/>
    <w:rsid w:val="002C0702"/>
    <w:rsid w:val="002C0ABE"/>
    <w:rsid w:val="002C28DC"/>
    <w:rsid w:val="002C3FD9"/>
    <w:rsid w:val="002C472C"/>
    <w:rsid w:val="002D427B"/>
    <w:rsid w:val="002D5D0E"/>
    <w:rsid w:val="002E5FC8"/>
    <w:rsid w:val="002F4493"/>
    <w:rsid w:val="00305477"/>
    <w:rsid w:val="0030706D"/>
    <w:rsid w:val="003100FC"/>
    <w:rsid w:val="0031097C"/>
    <w:rsid w:val="00310A02"/>
    <w:rsid w:val="003117F1"/>
    <w:rsid w:val="0031334C"/>
    <w:rsid w:val="00314A1E"/>
    <w:rsid w:val="00315DF2"/>
    <w:rsid w:val="00321850"/>
    <w:rsid w:val="003225B6"/>
    <w:rsid w:val="00323C43"/>
    <w:rsid w:val="003255EF"/>
    <w:rsid w:val="00330151"/>
    <w:rsid w:val="0033156C"/>
    <w:rsid w:val="003438FD"/>
    <w:rsid w:val="003459E7"/>
    <w:rsid w:val="00357746"/>
    <w:rsid w:val="003578D2"/>
    <w:rsid w:val="00360E3F"/>
    <w:rsid w:val="00361ED7"/>
    <w:rsid w:val="00367D31"/>
    <w:rsid w:val="003800DD"/>
    <w:rsid w:val="00382BE2"/>
    <w:rsid w:val="003832AA"/>
    <w:rsid w:val="00383D40"/>
    <w:rsid w:val="00390C17"/>
    <w:rsid w:val="003916C8"/>
    <w:rsid w:val="00394349"/>
    <w:rsid w:val="003B3209"/>
    <w:rsid w:val="003B359E"/>
    <w:rsid w:val="003B37A7"/>
    <w:rsid w:val="003B4DB7"/>
    <w:rsid w:val="003D359E"/>
    <w:rsid w:val="003D7D3F"/>
    <w:rsid w:val="003F4073"/>
    <w:rsid w:val="00402383"/>
    <w:rsid w:val="00404FDC"/>
    <w:rsid w:val="00412ECD"/>
    <w:rsid w:val="004172F3"/>
    <w:rsid w:val="00425260"/>
    <w:rsid w:val="00426049"/>
    <w:rsid w:val="00435A6C"/>
    <w:rsid w:val="00435D57"/>
    <w:rsid w:val="0044434C"/>
    <w:rsid w:val="004509C5"/>
    <w:rsid w:val="00461A5C"/>
    <w:rsid w:val="00463867"/>
    <w:rsid w:val="004652C4"/>
    <w:rsid w:val="004715DF"/>
    <w:rsid w:val="00471C9B"/>
    <w:rsid w:val="004817F4"/>
    <w:rsid w:val="00481D7C"/>
    <w:rsid w:val="00485296"/>
    <w:rsid w:val="004852DC"/>
    <w:rsid w:val="00490024"/>
    <w:rsid w:val="004909BF"/>
    <w:rsid w:val="00495D7D"/>
    <w:rsid w:val="00497635"/>
    <w:rsid w:val="004A09E6"/>
    <w:rsid w:val="004B21DD"/>
    <w:rsid w:val="004B5262"/>
    <w:rsid w:val="004C1619"/>
    <w:rsid w:val="004C34CF"/>
    <w:rsid w:val="004C3822"/>
    <w:rsid w:val="004D0D64"/>
    <w:rsid w:val="004D2848"/>
    <w:rsid w:val="004E1775"/>
    <w:rsid w:val="004E7A35"/>
    <w:rsid w:val="0050449A"/>
    <w:rsid w:val="00510DC1"/>
    <w:rsid w:val="00511090"/>
    <w:rsid w:val="0053250C"/>
    <w:rsid w:val="0054426E"/>
    <w:rsid w:val="00545B91"/>
    <w:rsid w:val="00554C06"/>
    <w:rsid w:val="00560CBD"/>
    <w:rsid w:val="00560DE1"/>
    <w:rsid w:val="0056452C"/>
    <w:rsid w:val="00564F36"/>
    <w:rsid w:val="00566456"/>
    <w:rsid w:val="00566662"/>
    <w:rsid w:val="00567148"/>
    <w:rsid w:val="00572CEA"/>
    <w:rsid w:val="00575811"/>
    <w:rsid w:val="0057597E"/>
    <w:rsid w:val="00580443"/>
    <w:rsid w:val="00580936"/>
    <w:rsid w:val="00586116"/>
    <w:rsid w:val="005869BF"/>
    <w:rsid w:val="00587F08"/>
    <w:rsid w:val="005A00F0"/>
    <w:rsid w:val="005A5B03"/>
    <w:rsid w:val="005A5CE9"/>
    <w:rsid w:val="005A6D31"/>
    <w:rsid w:val="005A71FA"/>
    <w:rsid w:val="005A7F9F"/>
    <w:rsid w:val="005B0BB6"/>
    <w:rsid w:val="005B3E06"/>
    <w:rsid w:val="005B40A2"/>
    <w:rsid w:val="005C3094"/>
    <w:rsid w:val="005C35F2"/>
    <w:rsid w:val="005C3816"/>
    <w:rsid w:val="005C6C29"/>
    <w:rsid w:val="005C6F38"/>
    <w:rsid w:val="005D0A48"/>
    <w:rsid w:val="005D417A"/>
    <w:rsid w:val="005D4E82"/>
    <w:rsid w:val="005E5E94"/>
    <w:rsid w:val="005E77CB"/>
    <w:rsid w:val="005F4707"/>
    <w:rsid w:val="005F5901"/>
    <w:rsid w:val="005F5915"/>
    <w:rsid w:val="006112D0"/>
    <w:rsid w:val="006148A8"/>
    <w:rsid w:val="00614CA0"/>
    <w:rsid w:val="00620895"/>
    <w:rsid w:val="00625520"/>
    <w:rsid w:val="006271A4"/>
    <w:rsid w:val="00627A06"/>
    <w:rsid w:val="006323D5"/>
    <w:rsid w:val="00633609"/>
    <w:rsid w:val="00636F23"/>
    <w:rsid w:val="00637796"/>
    <w:rsid w:val="00640331"/>
    <w:rsid w:val="00643764"/>
    <w:rsid w:val="0064734F"/>
    <w:rsid w:val="006617AB"/>
    <w:rsid w:val="006642B1"/>
    <w:rsid w:val="00666BFA"/>
    <w:rsid w:val="00672E3B"/>
    <w:rsid w:val="006812C9"/>
    <w:rsid w:val="006817AE"/>
    <w:rsid w:val="00681C09"/>
    <w:rsid w:val="0068659F"/>
    <w:rsid w:val="006936D2"/>
    <w:rsid w:val="00697BAD"/>
    <w:rsid w:val="006A53EA"/>
    <w:rsid w:val="006A6DD7"/>
    <w:rsid w:val="006B44A9"/>
    <w:rsid w:val="006B75CD"/>
    <w:rsid w:val="006D04C1"/>
    <w:rsid w:val="006D5C09"/>
    <w:rsid w:val="006D6BC6"/>
    <w:rsid w:val="006E0695"/>
    <w:rsid w:val="006E1AA7"/>
    <w:rsid w:val="006E28CA"/>
    <w:rsid w:val="006E5DE3"/>
    <w:rsid w:val="00700CEF"/>
    <w:rsid w:val="00702A8E"/>
    <w:rsid w:val="007102BC"/>
    <w:rsid w:val="00717E1C"/>
    <w:rsid w:val="00731EC6"/>
    <w:rsid w:val="00734080"/>
    <w:rsid w:val="00736C9D"/>
    <w:rsid w:val="00742EE2"/>
    <w:rsid w:val="007434ED"/>
    <w:rsid w:val="00745698"/>
    <w:rsid w:val="00747760"/>
    <w:rsid w:val="00753758"/>
    <w:rsid w:val="007569F2"/>
    <w:rsid w:val="007578B6"/>
    <w:rsid w:val="00760889"/>
    <w:rsid w:val="00762454"/>
    <w:rsid w:val="007638E7"/>
    <w:rsid w:val="00764F28"/>
    <w:rsid w:val="007663E5"/>
    <w:rsid w:val="00775C46"/>
    <w:rsid w:val="00786017"/>
    <w:rsid w:val="0079330F"/>
    <w:rsid w:val="007944CF"/>
    <w:rsid w:val="007A1037"/>
    <w:rsid w:val="007A2F78"/>
    <w:rsid w:val="007A5432"/>
    <w:rsid w:val="007A6963"/>
    <w:rsid w:val="007A69BC"/>
    <w:rsid w:val="007C564C"/>
    <w:rsid w:val="007C6E4A"/>
    <w:rsid w:val="007E172E"/>
    <w:rsid w:val="007E25B4"/>
    <w:rsid w:val="007E3627"/>
    <w:rsid w:val="007E576F"/>
    <w:rsid w:val="007F2D5E"/>
    <w:rsid w:val="007F363B"/>
    <w:rsid w:val="007F3974"/>
    <w:rsid w:val="007F4117"/>
    <w:rsid w:val="007F7739"/>
    <w:rsid w:val="007F79DA"/>
    <w:rsid w:val="00801208"/>
    <w:rsid w:val="0080462C"/>
    <w:rsid w:val="00805173"/>
    <w:rsid w:val="00806382"/>
    <w:rsid w:val="00812053"/>
    <w:rsid w:val="0081307A"/>
    <w:rsid w:val="00814E35"/>
    <w:rsid w:val="008239BD"/>
    <w:rsid w:val="00830EA1"/>
    <w:rsid w:val="008329AE"/>
    <w:rsid w:val="0084298B"/>
    <w:rsid w:val="00847A88"/>
    <w:rsid w:val="008505D6"/>
    <w:rsid w:val="008512A3"/>
    <w:rsid w:val="00861AAD"/>
    <w:rsid w:val="00861DFF"/>
    <w:rsid w:val="008625F2"/>
    <w:rsid w:val="008644DE"/>
    <w:rsid w:val="0087003E"/>
    <w:rsid w:val="00870C01"/>
    <w:rsid w:val="008722E3"/>
    <w:rsid w:val="00872A4D"/>
    <w:rsid w:val="00874B5C"/>
    <w:rsid w:val="00876C2D"/>
    <w:rsid w:val="00883EE0"/>
    <w:rsid w:val="00885644"/>
    <w:rsid w:val="0088723E"/>
    <w:rsid w:val="00891A11"/>
    <w:rsid w:val="008A72E2"/>
    <w:rsid w:val="008B0A0D"/>
    <w:rsid w:val="008B1B8C"/>
    <w:rsid w:val="008C093E"/>
    <w:rsid w:val="008C478F"/>
    <w:rsid w:val="008D28D8"/>
    <w:rsid w:val="008D2E76"/>
    <w:rsid w:val="008D37A2"/>
    <w:rsid w:val="008D395D"/>
    <w:rsid w:val="008D477B"/>
    <w:rsid w:val="008D742E"/>
    <w:rsid w:val="008D799A"/>
    <w:rsid w:val="008E3AAD"/>
    <w:rsid w:val="008E7137"/>
    <w:rsid w:val="008F5CA7"/>
    <w:rsid w:val="008F7FB7"/>
    <w:rsid w:val="00903232"/>
    <w:rsid w:val="00905B7D"/>
    <w:rsid w:val="0091145F"/>
    <w:rsid w:val="00911869"/>
    <w:rsid w:val="0092038E"/>
    <w:rsid w:val="009225ED"/>
    <w:rsid w:val="009231A9"/>
    <w:rsid w:val="00925A59"/>
    <w:rsid w:val="00925F92"/>
    <w:rsid w:val="00953AD6"/>
    <w:rsid w:val="0095690F"/>
    <w:rsid w:val="00957101"/>
    <w:rsid w:val="00965156"/>
    <w:rsid w:val="00974905"/>
    <w:rsid w:val="00975674"/>
    <w:rsid w:val="00975A86"/>
    <w:rsid w:val="00977F61"/>
    <w:rsid w:val="00981DCE"/>
    <w:rsid w:val="00981FE3"/>
    <w:rsid w:val="00983992"/>
    <w:rsid w:val="00984AE6"/>
    <w:rsid w:val="00986FB6"/>
    <w:rsid w:val="0099007D"/>
    <w:rsid w:val="00991052"/>
    <w:rsid w:val="009931A7"/>
    <w:rsid w:val="009941F3"/>
    <w:rsid w:val="0099707E"/>
    <w:rsid w:val="009A6C05"/>
    <w:rsid w:val="009A797B"/>
    <w:rsid w:val="009B007F"/>
    <w:rsid w:val="009B19EC"/>
    <w:rsid w:val="009B5679"/>
    <w:rsid w:val="009B660C"/>
    <w:rsid w:val="009C401E"/>
    <w:rsid w:val="009C7138"/>
    <w:rsid w:val="009C73E0"/>
    <w:rsid w:val="009D3968"/>
    <w:rsid w:val="009D7198"/>
    <w:rsid w:val="009E186A"/>
    <w:rsid w:val="009F3441"/>
    <w:rsid w:val="00A0077D"/>
    <w:rsid w:val="00A167F7"/>
    <w:rsid w:val="00A25C0D"/>
    <w:rsid w:val="00A340EC"/>
    <w:rsid w:val="00A3584D"/>
    <w:rsid w:val="00A40AFA"/>
    <w:rsid w:val="00A40EA7"/>
    <w:rsid w:val="00A50315"/>
    <w:rsid w:val="00A511F2"/>
    <w:rsid w:val="00A514A3"/>
    <w:rsid w:val="00A723EE"/>
    <w:rsid w:val="00A74577"/>
    <w:rsid w:val="00A80FEB"/>
    <w:rsid w:val="00A866AB"/>
    <w:rsid w:val="00A90E7E"/>
    <w:rsid w:val="00AA39D4"/>
    <w:rsid w:val="00AA5732"/>
    <w:rsid w:val="00AB116D"/>
    <w:rsid w:val="00AB159F"/>
    <w:rsid w:val="00AB1B0C"/>
    <w:rsid w:val="00AB3E77"/>
    <w:rsid w:val="00AB616D"/>
    <w:rsid w:val="00AC6183"/>
    <w:rsid w:val="00AD292D"/>
    <w:rsid w:val="00AD4195"/>
    <w:rsid w:val="00AD6242"/>
    <w:rsid w:val="00AD7A01"/>
    <w:rsid w:val="00AE0AA1"/>
    <w:rsid w:val="00AE6711"/>
    <w:rsid w:val="00AF1CE5"/>
    <w:rsid w:val="00AF4B7C"/>
    <w:rsid w:val="00AF5C45"/>
    <w:rsid w:val="00B00539"/>
    <w:rsid w:val="00B011D8"/>
    <w:rsid w:val="00B10AE3"/>
    <w:rsid w:val="00B12078"/>
    <w:rsid w:val="00B172B1"/>
    <w:rsid w:val="00B2200F"/>
    <w:rsid w:val="00B230CD"/>
    <w:rsid w:val="00B2416F"/>
    <w:rsid w:val="00B24E86"/>
    <w:rsid w:val="00B275AF"/>
    <w:rsid w:val="00B30E9B"/>
    <w:rsid w:val="00B31143"/>
    <w:rsid w:val="00B3167C"/>
    <w:rsid w:val="00B36834"/>
    <w:rsid w:val="00B45865"/>
    <w:rsid w:val="00B45E37"/>
    <w:rsid w:val="00B514DD"/>
    <w:rsid w:val="00B52743"/>
    <w:rsid w:val="00B64014"/>
    <w:rsid w:val="00B657ED"/>
    <w:rsid w:val="00B67E03"/>
    <w:rsid w:val="00B721AE"/>
    <w:rsid w:val="00B7475F"/>
    <w:rsid w:val="00B74D3C"/>
    <w:rsid w:val="00B80057"/>
    <w:rsid w:val="00B842B2"/>
    <w:rsid w:val="00B9400D"/>
    <w:rsid w:val="00B97814"/>
    <w:rsid w:val="00BA33CD"/>
    <w:rsid w:val="00BA499C"/>
    <w:rsid w:val="00BA7850"/>
    <w:rsid w:val="00BB198B"/>
    <w:rsid w:val="00BB4096"/>
    <w:rsid w:val="00BB7F3E"/>
    <w:rsid w:val="00BC0887"/>
    <w:rsid w:val="00BC2672"/>
    <w:rsid w:val="00BC65B4"/>
    <w:rsid w:val="00BD202E"/>
    <w:rsid w:val="00BD3DC6"/>
    <w:rsid w:val="00BE18EE"/>
    <w:rsid w:val="00BE2ABF"/>
    <w:rsid w:val="00BE713C"/>
    <w:rsid w:val="00BF2E17"/>
    <w:rsid w:val="00BF3773"/>
    <w:rsid w:val="00C029A4"/>
    <w:rsid w:val="00C06315"/>
    <w:rsid w:val="00C12F91"/>
    <w:rsid w:val="00C153D7"/>
    <w:rsid w:val="00C17F63"/>
    <w:rsid w:val="00C304D6"/>
    <w:rsid w:val="00C31E82"/>
    <w:rsid w:val="00C404BA"/>
    <w:rsid w:val="00C47E53"/>
    <w:rsid w:val="00C539B9"/>
    <w:rsid w:val="00C611F5"/>
    <w:rsid w:val="00C61417"/>
    <w:rsid w:val="00C7316C"/>
    <w:rsid w:val="00C867F9"/>
    <w:rsid w:val="00C97501"/>
    <w:rsid w:val="00CA2900"/>
    <w:rsid w:val="00CA4F31"/>
    <w:rsid w:val="00CB2097"/>
    <w:rsid w:val="00CB2DAF"/>
    <w:rsid w:val="00CB3EDC"/>
    <w:rsid w:val="00CB6B20"/>
    <w:rsid w:val="00CC6014"/>
    <w:rsid w:val="00CD148C"/>
    <w:rsid w:val="00CD22FE"/>
    <w:rsid w:val="00CD3C1C"/>
    <w:rsid w:val="00CD4984"/>
    <w:rsid w:val="00CD59CF"/>
    <w:rsid w:val="00CD6274"/>
    <w:rsid w:val="00CD7C46"/>
    <w:rsid w:val="00CE5387"/>
    <w:rsid w:val="00CF2789"/>
    <w:rsid w:val="00CF7DD7"/>
    <w:rsid w:val="00D009E0"/>
    <w:rsid w:val="00D0520B"/>
    <w:rsid w:val="00D10480"/>
    <w:rsid w:val="00D175AA"/>
    <w:rsid w:val="00D20987"/>
    <w:rsid w:val="00D36541"/>
    <w:rsid w:val="00D37C38"/>
    <w:rsid w:val="00D41BFF"/>
    <w:rsid w:val="00D47DC9"/>
    <w:rsid w:val="00D508C8"/>
    <w:rsid w:val="00D51449"/>
    <w:rsid w:val="00D60CF8"/>
    <w:rsid w:val="00D70C61"/>
    <w:rsid w:val="00D738D8"/>
    <w:rsid w:val="00D7626F"/>
    <w:rsid w:val="00D802B8"/>
    <w:rsid w:val="00D802F0"/>
    <w:rsid w:val="00D82C9C"/>
    <w:rsid w:val="00D836F0"/>
    <w:rsid w:val="00D93411"/>
    <w:rsid w:val="00D96398"/>
    <w:rsid w:val="00D97871"/>
    <w:rsid w:val="00D97E28"/>
    <w:rsid w:val="00DA0950"/>
    <w:rsid w:val="00DA1C15"/>
    <w:rsid w:val="00DA6B69"/>
    <w:rsid w:val="00DB718E"/>
    <w:rsid w:val="00DC1194"/>
    <w:rsid w:val="00DC12B4"/>
    <w:rsid w:val="00DC33DA"/>
    <w:rsid w:val="00DC33DB"/>
    <w:rsid w:val="00DC4828"/>
    <w:rsid w:val="00DD1783"/>
    <w:rsid w:val="00DD3A6E"/>
    <w:rsid w:val="00DD79F8"/>
    <w:rsid w:val="00DE4486"/>
    <w:rsid w:val="00DE5B70"/>
    <w:rsid w:val="00DF36A3"/>
    <w:rsid w:val="00E01FBA"/>
    <w:rsid w:val="00E06AF0"/>
    <w:rsid w:val="00E06B65"/>
    <w:rsid w:val="00E07AD0"/>
    <w:rsid w:val="00E1073E"/>
    <w:rsid w:val="00E136FE"/>
    <w:rsid w:val="00E22CE9"/>
    <w:rsid w:val="00E30A89"/>
    <w:rsid w:val="00E331C2"/>
    <w:rsid w:val="00E4354E"/>
    <w:rsid w:val="00E47408"/>
    <w:rsid w:val="00E47FD6"/>
    <w:rsid w:val="00E511B3"/>
    <w:rsid w:val="00E55D19"/>
    <w:rsid w:val="00E56DB2"/>
    <w:rsid w:val="00E57221"/>
    <w:rsid w:val="00E61E68"/>
    <w:rsid w:val="00E66DAB"/>
    <w:rsid w:val="00E86FC5"/>
    <w:rsid w:val="00E93D58"/>
    <w:rsid w:val="00E94FBB"/>
    <w:rsid w:val="00E9586B"/>
    <w:rsid w:val="00E97525"/>
    <w:rsid w:val="00E97AAB"/>
    <w:rsid w:val="00EA34D0"/>
    <w:rsid w:val="00EA4910"/>
    <w:rsid w:val="00EB3976"/>
    <w:rsid w:val="00EB4018"/>
    <w:rsid w:val="00EB6BD2"/>
    <w:rsid w:val="00EB7D77"/>
    <w:rsid w:val="00EC2C93"/>
    <w:rsid w:val="00EC7347"/>
    <w:rsid w:val="00EE67C9"/>
    <w:rsid w:val="00EE734B"/>
    <w:rsid w:val="00EF516B"/>
    <w:rsid w:val="00EF77FB"/>
    <w:rsid w:val="00F02CC3"/>
    <w:rsid w:val="00F058F3"/>
    <w:rsid w:val="00F112AA"/>
    <w:rsid w:val="00F1246C"/>
    <w:rsid w:val="00F12A7B"/>
    <w:rsid w:val="00F13886"/>
    <w:rsid w:val="00F1726E"/>
    <w:rsid w:val="00F20E7E"/>
    <w:rsid w:val="00F22E9E"/>
    <w:rsid w:val="00F24126"/>
    <w:rsid w:val="00F27558"/>
    <w:rsid w:val="00F32340"/>
    <w:rsid w:val="00F32506"/>
    <w:rsid w:val="00F33C1F"/>
    <w:rsid w:val="00F34A6F"/>
    <w:rsid w:val="00F34CEC"/>
    <w:rsid w:val="00F40740"/>
    <w:rsid w:val="00F448A8"/>
    <w:rsid w:val="00F44F11"/>
    <w:rsid w:val="00F46B78"/>
    <w:rsid w:val="00F53536"/>
    <w:rsid w:val="00F55079"/>
    <w:rsid w:val="00F56F3C"/>
    <w:rsid w:val="00F600DF"/>
    <w:rsid w:val="00F6355C"/>
    <w:rsid w:val="00F64170"/>
    <w:rsid w:val="00F7207B"/>
    <w:rsid w:val="00F74381"/>
    <w:rsid w:val="00F76BF1"/>
    <w:rsid w:val="00F771BE"/>
    <w:rsid w:val="00F80972"/>
    <w:rsid w:val="00F87508"/>
    <w:rsid w:val="00F91173"/>
    <w:rsid w:val="00F9228C"/>
    <w:rsid w:val="00F94E92"/>
    <w:rsid w:val="00FA3A92"/>
    <w:rsid w:val="00FB31A7"/>
    <w:rsid w:val="00FB3FA4"/>
    <w:rsid w:val="00FB5A18"/>
    <w:rsid w:val="00FB72CD"/>
    <w:rsid w:val="00FB78C5"/>
    <w:rsid w:val="00FB7996"/>
    <w:rsid w:val="00FC2051"/>
    <w:rsid w:val="00FD1799"/>
    <w:rsid w:val="00FE0426"/>
    <w:rsid w:val="00FE1319"/>
    <w:rsid w:val="00FE178E"/>
    <w:rsid w:val="00FE45F7"/>
    <w:rsid w:val="00FE50C0"/>
    <w:rsid w:val="00FE7C58"/>
    <w:rsid w:val="00FF0A7C"/>
    <w:rsid w:val="00FF4ED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2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A511F2"/>
    <w:pPr>
      <w:keepNext/>
      <w:widowControl w:val="0"/>
      <w:spacing w:before="240" w:line="480" w:lineRule="auto"/>
      <w:ind w:left="720" w:hanging="720"/>
      <w:outlineLvl w:val="0"/>
    </w:pPr>
    <w:rPr>
      <w:b/>
      <w:caps/>
      <w:snapToGrid w:val="0"/>
    </w:rPr>
  </w:style>
  <w:style w:type="paragraph" w:styleId="Heading2">
    <w:name w:val="heading 2"/>
    <w:basedOn w:val="Normal"/>
    <w:next w:val="Normal"/>
    <w:link w:val="Heading2Char"/>
    <w:autoRedefine/>
    <w:uiPriority w:val="9"/>
    <w:unhideWhenUsed/>
    <w:qFormat/>
    <w:rsid w:val="00402383"/>
    <w:pPr>
      <w:keepNext/>
      <w:keepLines/>
      <w:numPr>
        <w:numId w:val="15"/>
      </w:numPr>
      <w:spacing w:after="240"/>
      <w:outlineLvl w:val="1"/>
    </w:pPr>
    <w:rPr>
      <w:rFonts w:ascii="Times New Roman Bold" w:hAnsi="Times New Roman Bold" w:eastAsiaTheme="majorEastAsia" w:cstheme="majorBidi"/>
      <w:b/>
      <w:szCs w:val="26"/>
    </w:rPr>
  </w:style>
  <w:style w:type="paragraph" w:styleId="Heading3">
    <w:name w:val="heading 3"/>
    <w:basedOn w:val="Normal"/>
    <w:next w:val="Normal"/>
    <w:link w:val="Heading3Char"/>
    <w:autoRedefine/>
    <w:uiPriority w:val="9"/>
    <w:unhideWhenUsed/>
    <w:qFormat/>
    <w:rsid w:val="00165460"/>
    <w:pPr>
      <w:keepNext/>
      <w:keepLines/>
      <w:numPr>
        <w:numId w:val="23"/>
      </w:numPr>
      <w:spacing w:after="240"/>
      <w:ind w:left="1440" w:hanging="720"/>
      <w:outlineLvl w:val="2"/>
    </w:pPr>
    <w:rPr>
      <w:rFonts w:ascii="Times New Roman Bold" w:hAnsi="Times New Roman Bold"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EA4910"/>
    <w:pPr>
      <w:spacing w:before="120" w:after="12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EA4910"/>
    <w:rPr>
      <w:rFonts w:ascii="Times New Roman" w:hAnsi="Times New Roman"/>
      <w:sz w:val="20"/>
      <w:szCs w:val="20"/>
    </w:rPr>
  </w:style>
  <w:style w:type="character" w:styleId="FootnoteReference">
    <w:name w:val="footnote reference"/>
    <w:basedOn w:val="DefaultParagraphFont"/>
    <w:uiPriority w:val="99"/>
    <w:semiHidden/>
    <w:unhideWhenUsed/>
    <w:rsid w:val="00F332A5"/>
    <w:rPr>
      <w:vertAlign w:val="superscript"/>
    </w:rPr>
  </w:style>
  <w:style w:type="paragraph" w:styleId="ListParagraph">
    <w:name w:val="List Paragraph"/>
    <w:basedOn w:val="Normal"/>
    <w:uiPriority w:val="34"/>
    <w:qFormat/>
    <w:rsid w:val="00A0206A"/>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C5CC9"/>
    <w:rPr>
      <w:sz w:val="16"/>
      <w:szCs w:val="16"/>
    </w:rPr>
  </w:style>
  <w:style w:type="paragraph" w:styleId="CommentText">
    <w:name w:val="annotation text"/>
    <w:basedOn w:val="Normal"/>
    <w:link w:val="CommentTextChar"/>
    <w:unhideWhenUsed/>
    <w:rsid w:val="009C5CC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9C5CC9"/>
    <w:rPr>
      <w:sz w:val="20"/>
      <w:szCs w:val="20"/>
    </w:rPr>
  </w:style>
  <w:style w:type="paragraph" w:styleId="CommentSubject">
    <w:name w:val="annotation subject"/>
    <w:basedOn w:val="CommentText"/>
    <w:next w:val="CommentText"/>
    <w:link w:val="CommentSubjectChar"/>
    <w:semiHidden/>
    <w:unhideWhenUsed/>
    <w:rsid w:val="009C5CC9"/>
    <w:rPr>
      <w:b/>
      <w:bCs/>
    </w:rPr>
  </w:style>
  <w:style w:type="character" w:customStyle="1" w:styleId="CommentSubjectChar">
    <w:name w:val="Comment Subject Char"/>
    <w:basedOn w:val="CommentTextChar"/>
    <w:link w:val="CommentSubject"/>
    <w:semiHidden/>
    <w:rsid w:val="009C5CC9"/>
    <w:rPr>
      <w:b/>
      <w:bCs/>
      <w:sz w:val="20"/>
      <w:szCs w:val="20"/>
    </w:rPr>
  </w:style>
  <w:style w:type="paragraph" w:styleId="BalloonText">
    <w:name w:val="Balloon Text"/>
    <w:basedOn w:val="Normal"/>
    <w:link w:val="BalloonTextChar"/>
    <w:uiPriority w:val="99"/>
    <w:semiHidden/>
    <w:unhideWhenUsed/>
    <w:rsid w:val="009C5CC9"/>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9C5CC9"/>
    <w:rPr>
      <w:rFonts w:ascii="Segoe UI" w:hAnsi="Segoe UI" w:cs="Segoe UI"/>
      <w:sz w:val="18"/>
      <w:szCs w:val="18"/>
    </w:rPr>
  </w:style>
  <w:style w:type="character" w:styleId="Hyperlink">
    <w:name w:val="Hyperlink"/>
    <w:basedOn w:val="DefaultParagraphFont"/>
    <w:uiPriority w:val="99"/>
    <w:unhideWhenUsed/>
    <w:rsid w:val="00F74A60"/>
    <w:rPr>
      <w:color w:val="0000FF" w:themeColor="hyperlink"/>
      <w:u w:val="single"/>
    </w:rPr>
  </w:style>
  <w:style w:type="character" w:customStyle="1" w:styleId="UnresolvedMention1">
    <w:name w:val="Unresolved Mention1"/>
    <w:basedOn w:val="DefaultParagraphFont"/>
    <w:uiPriority w:val="99"/>
    <w:semiHidden/>
    <w:unhideWhenUsed/>
    <w:rsid w:val="00F74A60"/>
    <w:rPr>
      <w:color w:val="605E5C"/>
      <w:shd w:val="clear" w:color="auto" w:fill="E1DFDD"/>
    </w:rPr>
  </w:style>
  <w:style w:type="paragraph" w:styleId="Revision">
    <w:name w:val="Revision"/>
    <w:hidden/>
    <w:uiPriority w:val="99"/>
    <w:semiHidden/>
    <w:rsid w:val="00C75986"/>
    <w:pPr>
      <w:spacing w:after="0" w:line="240" w:lineRule="auto"/>
    </w:pPr>
  </w:style>
  <w:style w:type="paragraph" w:styleId="Header">
    <w:name w:val="header"/>
    <w:basedOn w:val="Normal"/>
    <w:link w:val="HeaderChar"/>
    <w:uiPriority w:val="99"/>
    <w:unhideWhenUsed/>
    <w:rsid w:val="00D6740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67402"/>
  </w:style>
  <w:style w:type="paragraph" w:styleId="Footer">
    <w:name w:val="footer"/>
    <w:basedOn w:val="Normal"/>
    <w:link w:val="FooterChar"/>
    <w:uiPriority w:val="99"/>
    <w:unhideWhenUsed/>
    <w:rsid w:val="00D6740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67402"/>
  </w:style>
  <w:style w:type="paragraph" w:styleId="Title">
    <w:name w:val="Title"/>
    <w:basedOn w:val="Normal"/>
    <w:link w:val="TitleChar"/>
    <w:qFormat/>
    <w:rsid w:val="004D199E"/>
    <w:pPr>
      <w:jc w:val="center"/>
    </w:pPr>
    <w:rPr>
      <w:b/>
      <w:sz w:val="22"/>
      <w:szCs w:val="20"/>
    </w:rPr>
  </w:style>
  <w:style w:type="character" w:customStyle="1" w:styleId="TitleChar">
    <w:name w:val="Title Char"/>
    <w:basedOn w:val="DefaultParagraphFont"/>
    <w:link w:val="Title"/>
    <w:rsid w:val="004D199E"/>
    <w:rPr>
      <w:rFonts w:ascii="Times New Roman" w:eastAsia="Times New Roman" w:hAnsi="Times New Roman" w:cs="Times New Roman"/>
      <w:b/>
      <w:szCs w:val="20"/>
    </w:rPr>
  </w:style>
  <w:style w:type="paragraph" w:styleId="HTMLPreformatted">
    <w:name w:val="HTML Preformatted"/>
    <w:basedOn w:val="Normal"/>
    <w:link w:val="HTMLPreformattedChar"/>
    <w:rsid w:val="004D1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D199E"/>
    <w:rPr>
      <w:rFonts w:ascii="Courier New" w:eastAsia="Courier New" w:hAnsi="Courier New" w:cs="Courier New"/>
      <w:sz w:val="20"/>
      <w:szCs w:val="20"/>
    </w:rPr>
  </w:style>
  <w:style w:type="character" w:customStyle="1" w:styleId="Heading1Char">
    <w:name w:val="Heading 1 Char"/>
    <w:basedOn w:val="DefaultParagraphFont"/>
    <w:link w:val="Heading1"/>
    <w:rsid w:val="00A511F2"/>
    <w:rPr>
      <w:rFonts w:ascii="Times New Roman" w:eastAsia="Times New Roman" w:hAnsi="Times New Roman" w:cs="Times New Roman"/>
      <w:b/>
      <w:caps/>
      <w:snapToGrid w:val="0"/>
      <w:sz w:val="24"/>
      <w:szCs w:val="24"/>
    </w:rPr>
  </w:style>
  <w:style w:type="paragraph" w:styleId="BodyText">
    <w:name w:val="Body Text"/>
    <w:basedOn w:val="Normal"/>
    <w:link w:val="BodyTextChar"/>
    <w:rsid w:val="004D199E"/>
    <w:pPr>
      <w:spacing w:line="480" w:lineRule="auto"/>
    </w:pPr>
    <w:rPr>
      <w:szCs w:val="20"/>
    </w:rPr>
  </w:style>
  <w:style w:type="character" w:customStyle="1" w:styleId="BodyTextChar">
    <w:name w:val="Body Text Char"/>
    <w:basedOn w:val="DefaultParagraphFont"/>
    <w:link w:val="BodyText"/>
    <w:rsid w:val="004D199E"/>
    <w:rPr>
      <w:rFonts w:ascii="Times New Roman" w:eastAsia="Times New Roman" w:hAnsi="Times New Roman" w:cs="Times New Roman"/>
      <w:sz w:val="24"/>
      <w:szCs w:val="20"/>
    </w:rPr>
  </w:style>
  <w:style w:type="paragraph" w:styleId="BodyTextIndent3">
    <w:name w:val="Body Text Indent 3"/>
    <w:basedOn w:val="Normal"/>
    <w:link w:val="BodyTextIndent3Char"/>
    <w:rsid w:val="004D199E"/>
    <w:pPr>
      <w:spacing w:line="480" w:lineRule="auto"/>
      <w:ind w:left="720"/>
    </w:pPr>
    <w:rPr>
      <w:szCs w:val="20"/>
    </w:rPr>
  </w:style>
  <w:style w:type="character" w:customStyle="1" w:styleId="BodyTextIndent3Char">
    <w:name w:val="Body Text Indent 3 Char"/>
    <w:basedOn w:val="DefaultParagraphFont"/>
    <w:link w:val="BodyTextIndent3"/>
    <w:rsid w:val="004D199E"/>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402383"/>
    <w:rPr>
      <w:rFonts w:ascii="Times New Roman Bold" w:hAnsi="Times New Roman Bold" w:eastAsiaTheme="majorEastAsia" w:cstheme="majorBidi"/>
      <w:b/>
      <w:sz w:val="24"/>
      <w:szCs w:val="26"/>
    </w:rPr>
  </w:style>
  <w:style w:type="character" w:customStyle="1" w:styleId="Heading3Char">
    <w:name w:val="Heading 3 Char"/>
    <w:basedOn w:val="DefaultParagraphFont"/>
    <w:link w:val="Heading3"/>
    <w:uiPriority w:val="9"/>
    <w:rsid w:val="00165460"/>
    <w:rPr>
      <w:rFonts w:ascii="Times New Roman Bold" w:hAnsi="Times New Roman Bold" w:eastAsiaTheme="majorEastAsia" w:cstheme="majorBidi"/>
      <w:b/>
      <w:sz w:val="24"/>
      <w:szCs w:val="24"/>
    </w:rPr>
  </w:style>
  <w:style w:type="paragraph" w:styleId="TOC1">
    <w:name w:val="toc 1"/>
    <w:basedOn w:val="Normal"/>
    <w:next w:val="Normal"/>
    <w:autoRedefine/>
    <w:uiPriority w:val="39"/>
    <w:unhideWhenUsed/>
    <w:qFormat/>
    <w:rsid w:val="000A069C"/>
    <w:pPr>
      <w:tabs>
        <w:tab w:val="decimal" w:leader="dot" w:pos="8640"/>
      </w:tabs>
      <w:spacing w:after="240"/>
      <w:ind w:left="720" w:hanging="720"/>
    </w:pPr>
    <w:rPr>
      <w:rFonts w:eastAsiaTheme="minorHAnsi" w:cstheme="minorBidi"/>
      <w:caps/>
      <w:szCs w:val="22"/>
    </w:rPr>
  </w:style>
  <w:style w:type="paragraph" w:styleId="TOC2">
    <w:name w:val="toc 2"/>
    <w:basedOn w:val="Normal"/>
    <w:next w:val="Normal"/>
    <w:autoRedefine/>
    <w:uiPriority w:val="39"/>
    <w:unhideWhenUsed/>
    <w:qFormat/>
    <w:rsid w:val="009A7A1D"/>
    <w:pPr>
      <w:tabs>
        <w:tab w:val="decimal" w:leader="dot" w:pos="8640"/>
      </w:tabs>
      <w:spacing w:after="240"/>
      <w:ind w:left="1440" w:hanging="720"/>
    </w:pPr>
    <w:rPr>
      <w:rFonts w:eastAsiaTheme="minorHAnsi" w:cstheme="minorBidi"/>
      <w:szCs w:val="22"/>
    </w:rPr>
  </w:style>
  <w:style w:type="character" w:customStyle="1" w:styleId="UnresolvedMention2">
    <w:name w:val="Unresolved Mention2"/>
    <w:basedOn w:val="DefaultParagraphFont"/>
    <w:uiPriority w:val="99"/>
    <w:rsid w:val="000722DA"/>
    <w:rPr>
      <w:color w:val="605E5C"/>
      <w:shd w:val="clear" w:color="auto" w:fill="E1DFDD"/>
    </w:rPr>
  </w:style>
  <w:style w:type="paragraph" w:styleId="EndnoteText">
    <w:name w:val="endnote text"/>
    <w:basedOn w:val="Normal"/>
    <w:link w:val="EndnoteTextChar"/>
    <w:uiPriority w:val="99"/>
    <w:semiHidden/>
    <w:unhideWhenUsed/>
    <w:rsid w:val="00DD1783"/>
    <w:rPr>
      <w:sz w:val="20"/>
      <w:szCs w:val="20"/>
    </w:rPr>
  </w:style>
  <w:style w:type="character" w:customStyle="1" w:styleId="EndnoteTextChar">
    <w:name w:val="Endnote Text Char"/>
    <w:basedOn w:val="DefaultParagraphFont"/>
    <w:link w:val="EndnoteText"/>
    <w:uiPriority w:val="99"/>
    <w:semiHidden/>
    <w:rsid w:val="00DD1783"/>
    <w:rPr>
      <w:sz w:val="20"/>
      <w:szCs w:val="20"/>
    </w:rPr>
  </w:style>
  <w:style w:type="character" w:styleId="EndnoteReference">
    <w:name w:val="endnote reference"/>
    <w:basedOn w:val="DefaultParagraphFont"/>
    <w:uiPriority w:val="99"/>
    <w:semiHidden/>
    <w:unhideWhenUsed/>
    <w:rsid w:val="00DD1783"/>
    <w:rPr>
      <w:vertAlign w:val="superscript"/>
    </w:rPr>
  </w:style>
  <w:style w:type="paragraph" w:styleId="TOCHeading">
    <w:name w:val="TOC Heading"/>
    <w:basedOn w:val="Heading1"/>
    <w:next w:val="Normal"/>
    <w:uiPriority w:val="39"/>
    <w:unhideWhenUsed/>
    <w:qFormat/>
    <w:rsid w:val="00FF4ED9"/>
    <w:pPr>
      <w:keepLines/>
      <w:widowControl/>
      <w:spacing w:line="259" w:lineRule="auto"/>
      <w:ind w:left="0" w:firstLine="0"/>
      <w:outlineLvl w:val="9"/>
    </w:pPr>
    <w:rPr>
      <w:rFonts w:asciiTheme="majorHAnsi" w:eastAsiaTheme="majorEastAsia" w:hAnsiTheme="majorHAnsi" w:cstheme="majorBidi"/>
      <w:b w:val="0"/>
      <w:caps w:val="0"/>
      <w:snapToGrid/>
      <w:color w:val="365F91" w:themeColor="accent1" w:themeShade="BF"/>
      <w:sz w:val="32"/>
      <w:szCs w:val="32"/>
    </w:rPr>
  </w:style>
  <w:style w:type="paragraph" w:styleId="TOC3">
    <w:name w:val="toc 3"/>
    <w:basedOn w:val="Normal"/>
    <w:next w:val="Normal"/>
    <w:autoRedefine/>
    <w:uiPriority w:val="39"/>
    <w:unhideWhenUsed/>
    <w:rsid w:val="00EF516B"/>
    <w:pPr>
      <w:tabs>
        <w:tab w:val="left" w:pos="1440"/>
        <w:tab w:val="left" w:pos="1840"/>
        <w:tab w:val="right" w:leader="dot" w:pos="8630"/>
      </w:tabs>
      <w:spacing w:after="100"/>
      <w:ind w:left="1440"/>
    </w:pPr>
  </w:style>
  <w:style w:type="table" w:styleId="TableGrid">
    <w:name w:val="Table Grid"/>
    <w:basedOn w:val="TableNormal"/>
    <w:rsid w:val="001361DA"/>
    <w:pPr>
      <w:spacing w:after="0" w:line="240" w:lineRule="auto"/>
    </w:pPr>
    <w:rPr>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3">
    <w:name w:val="Unresolved Mention3"/>
    <w:basedOn w:val="DefaultParagraphFont"/>
    <w:uiPriority w:val="99"/>
    <w:semiHidden/>
    <w:unhideWhenUsed/>
    <w:rsid w:val="00136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auren.augostini@puco.ohio.gov" TargetMode="External" /><Relationship Id="rId11" Type="http://schemas.openxmlformats.org/officeDocument/2006/relationships/hyperlink" Target="mailto:Nicholas.walstra@puco.ohio.gov" TargetMode="External" /><Relationship Id="rId12" Type="http://schemas.openxmlformats.org/officeDocument/2006/relationships/hyperlink" Target="mailto:Jeanne.kingery@duke-energy.com" TargetMode="External" /><Relationship Id="rId13" Type="http://schemas.openxmlformats.org/officeDocument/2006/relationships/hyperlink" Target="mailto:Rocco.dascenzo@duke-energy.com" TargetMode="External" /><Relationship Id="rId14" Type="http://schemas.openxmlformats.org/officeDocument/2006/relationships/hyperlink" Target="mailto:Larisa.vaysman@duke-energy.com" TargetMode="Externa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Ambrosia.Logsdon@occ.ohio.gov" TargetMode="External" /><Relationship Id="rId8" Type="http://schemas.openxmlformats.org/officeDocument/2006/relationships/hyperlink" Target="mailto:John.jones@ohioattorneygeneral.gov" TargetMode="External" /><Relationship Id="rId9" Type="http://schemas.openxmlformats.org/officeDocument/2006/relationships/hyperlink" Target="mailto:steven.darnell@ohioattorneygeneral.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974E7-1BA8-4AF6-BC2B-6B47373A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2020-03-20T19:29:30Z</dcterms:created>
  <dcterms:modified xsi:type="dcterms:W3CDTF">2020-03-20T19:29:30Z</dcterms:modified>
</cp:coreProperties>
</file>