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395E8" w14:textId="07A30BB2" w:rsidR="00346E6A" w:rsidRPr="003A1A01" w:rsidRDefault="002A288C" w:rsidP="002A288C">
      <w:pPr>
        <w:spacing w:after="0"/>
        <w:ind w:left="3600"/>
        <w:rPr>
          <w:rFonts w:ascii="Arial" w:hAnsi="Arial" w:cs="Arial"/>
          <w:b/>
        </w:rPr>
      </w:pPr>
      <w:bookmarkStart w:id="0" w:name="_GoBack"/>
      <w:bookmarkEnd w:id="0"/>
      <w:r>
        <w:rPr>
          <w:rFonts w:ascii="Arial" w:hAnsi="Arial" w:cs="Arial"/>
          <w:b/>
        </w:rPr>
        <w:t xml:space="preserve">    </w:t>
      </w:r>
      <w:r w:rsidR="00346E6A" w:rsidRPr="003A1A01">
        <w:rPr>
          <w:rFonts w:ascii="Arial" w:hAnsi="Arial" w:cs="Arial"/>
          <w:b/>
        </w:rPr>
        <w:t>BEFORE THE</w:t>
      </w:r>
    </w:p>
    <w:p w14:paraId="241AA233" w14:textId="77777777" w:rsidR="00346E6A" w:rsidRPr="003A1A01" w:rsidRDefault="00346E6A" w:rsidP="00346E6A">
      <w:pPr>
        <w:jc w:val="center"/>
        <w:rPr>
          <w:rFonts w:ascii="Arial" w:hAnsi="Arial" w:cs="Arial"/>
          <w:b/>
        </w:rPr>
      </w:pPr>
      <w:r w:rsidRPr="003A1A01">
        <w:rPr>
          <w:rFonts w:ascii="Arial" w:hAnsi="Arial" w:cs="Arial"/>
          <w:b/>
        </w:rPr>
        <w:t>PUBLIC UTILITIES COMMISSION OF OHIO</w:t>
      </w:r>
    </w:p>
    <w:p w14:paraId="2CCD4BDB" w14:textId="77777777" w:rsidR="00346E6A" w:rsidRPr="003A1A01" w:rsidRDefault="00346E6A" w:rsidP="00346E6A">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720"/>
        <w:gridCol w:w="4140"/>
      </w:tblGrid>
      <w:tr w:rsidR="00346E6A" w:rsidRPr="003A1A01" w14:paraId="2E1FF12A" w14:textId="77777777" w:rsidTr="003A7633">
        <w:tc>
          <w:tcPr>
            <w:tcW w:w="4428" w:type="dxa"/>
          </w:tcPr>
          <w:p w14:paraId="5AE3D56B" w14:textId="77777777" w:rsidR="00346E6A" w:rsidRPr="003A1A01" w:rsidRDefault="00346E6A" w:rsidP="003A7633">
            <w:pPr>
              <w:rPr>
                <w:rFonts w:ascii="Arial" w:hAnsi="Arial" w:cs="Arial"/>
              </w:rPr>
            </w:pPr>
            <w:r w:rsidRPr="003A1A01">
              <w:rPr>
                <w:rFonts w:ascii="Arial" w:hAnsi="Arial" w:cs="Arial"/>
              </w:rPr>
              <w:t>In the Matter of the Application of The Dayton Power &amp; Light Company for Approval of Its Electric Security Plan.</w:t>
            </w:r>
          </w:p>
        </w:tc>
        <w:tc>
          <w:tcPr>
            <w:tcW w:w="720" w:type="dxa"/>
          </w:tcPr>
          <w:p w14:paraId="717F40EF" w14:textId="77777777" w:rsidR="00346E6A" w:rsidRPr="003A1A01" w:rsidRDefault="00346E6A" w:rsidP="003A7633">
            <w:pPr>
              <w:rPr>
                <w:rFonts w:ascii="Arial" w:hAnsi="Arial" w:cs="Arial"/>
              </w:rPr>
            </w:pPr>
            <w:r w:rsidRPr="003A1A01">
              <w:rPr>
                <w:rFonts w:ascii="Arial" w:hAnsi="Arial" w:cs="Arial"/>
              </w:rPr>
              <w:t>)</w:t>
            </w:r>
          </w:p>
          <w:p w14:paraId="39EB1393" w14:textId="77777777" w:rsidR="00346E6A" w:rsidRPr="003A1A01" w:rsidRDefault="00346E6A" w:rsidP="003A7633">
            <w:pPr>
              <w:rPr>
                <w:rFonts w:ascii="Arial" w:hAnsi="Arial" w:cs="Arial"/>
              </w:rPr>
            </w:pPr>
            <w:r w:rsidRPr="003A1A01">
              <w:rPr>
                <w:rFonts w:ascii="Arial" w:hAnsi="Arial" w:cs="Arial"/>
              </w:rPr>
              <w:t>)</w:t>
            </w:r>
          </w:p>
          <w:p w14:paraId="0A5AC6E5" w14:textId="77777777" w:rsidR="00346E6A" w:rsidRPr="003A1A01" w:rsidRDefault="00346E6A" w:rsidP="003A7633">
            <w:pPr>
              <w:rPr>
                <w:rFonts w:ascii="Arial" w:hAnsi="Arial" w:cs="Arial"/>
              </w:rPr>
            </w:pPr>
            <w:r w:rsidRPr="003A1A01">
              <w:rPr>
                <w:rFonts w:ascii="Arial" w:hAnsi="Arial" w:cs="Arial"/>
              </w:rPr>
              <w:t>)</w:t>
            </w:r>
          </w:p>
        </w:tc>
        <w:tc>
          <w:tcPr>
            <w:tcW w:w="4140" w:type="dxa"/>
          </w:tcPr>
          <w:p w14:paraId="578D0686" w14:textId="77777777" w:rsidR="00346E6A" w:rsidRPr="003A1A01" w:rsidRDefault="00346E6A" w:rsidP="003A7633">
            <w:pPr>
              <w:rPr>
                <w:rFonts w:ascii="Arial" w:hAnsi="Arial" w:cs="Arial"/>
              </w:rPr>
            </w:pPr>
          </w:p>
          <w:p w14:paraId="58401985" w14:textId="77777777" w:rsidR="00346E6A" w:rsidRPr="003A1A01" w:rsidRDefault="00346E6A" w:rsidP="003A7633">
            <w:pPr>
              <w:rPr>
                <w:rFonts w:ascii="Arial" w:hAnsi="Arial" w:cs="Arial"/>
              </w:rPr>
            </w:pPr>
            <w:r w:rsidRPr="003A1A01">
              <w:rPr>
                <w:rFonts w:ascii="Arial" w:hAnsi="Arial" w:cs="Arial"/>
              </w:rPr>
              <w:t>Case No. 16-0395-EL-SSO</w:t>
            </w:r>
          </w:p>
        </w:tc>
      </w:tr>
      <w:tr w:rsidR="00346E6A" w:rsidRPr="003A1A01" w14:paraId="7D1393DF" w14:textId="77777777" w:rsidTr="003A7633">
        <w:tc>
          <w:tcPr>
            <w:tcW w:w="4428" w:type="dxa"/>
          </w:tcPr>
          <w:p w14:paraId="1A7396AD" w14:textId="77777777" w:rsidR="00346E6A" w:rsidRPr="003A1A01" w:rsidRDefault="00346E6A" w:rsidP="003A7633">
            <w:pPr>
              <w:rPr>
                <w:rFonts w:ascii="Arial" w:hAnsi="Arial" w:cs="Arial"/>
              </w:rPr>
            </w:pPr>
          </w:p>
        </w:tc>
        <w:tc>
          <w:tcPr>
            <w:tcW w:w="720" w:type="dxa"/>
          </w:tcPr>
          <w:p w14:paraId="5F682A16" w14:textId="77777777" w:rsidR="00346E6A" w:rsidRPr="003A1A01" w:rsidRDefault="00346E6A" w:rsidP="003A7633">
            <w:pPr>
              <w:rPr>
                <w:rFonts w:ascii="Arial" w:hAnsi="Arial" w:cs="Arial"/>
              </w:rPr>
            </w:pPr>
          </w:p>
        </w:tc>
        <w:tc>
          <w:tcPr>
            <w:tcW w:w="4140" w:type="dxa"/>
          </w:tcPr>
          <w:p w14:paraId="3A237385" w14:textId="77777777" w:rsidR="00346E6A" w:rsidRPr="003A1A01" w:rsidRDefault="00346E6A" w:rsidP="003A7633">
            <w:pPr>
              <w:rPr>
                <w:rFonts w:ascii="Arial" w:hAnsi="Arial" w:cs="Arial"/>
              </w:rPr>
            </w:pPr>
          </w:p>
        </w:tc>
      </w:tr>
      <w:tr w:rsidR="00346E6A" w:rsidRPr="003A1A01" w14:paraId="699AEC1E" w14:textId="77777777" w:rsidTr="003A7633">
        <w:tc>
          <w:tcPr>
            <w:tcW w:w="4428" w:type="dxa"/>
          </w:tcPr>
          <w:p w14:paraId="731CDB0E" w14:textId="77777777" w:rsidR="00346E6A" w:rsidRPr="003A1A01" w:rsidRDefault="00346E6A" w:rsidP="003A7633">
            <w:pPr>
              <w:rPr>
                <w:rFonts w:ascii="Arial" w:hAnsi="Arial" w:cs="Arial"/>
              </w:rPr>
            </w:pPr>
            <w:r w:rsidRPr="003A1A01">
              <w:rPr>
                <w:rFonts w:ascii="Arial" w:hAnsi="Arial" w:cs="Arial"/>
              </w:rPr>
              <w:t>In the Matter of the Application of The Dayton Power &amp; Light Company for Approval of Revised Tariffs.</w:t>
            </w:r>
          </w:p>
        </w:tc>
        <w:tc>
          <w:tcPr>
            <w:tcW w:w="720" w:type="dxa"/>
          </w:tcPr>
          <w:p w14:paraId="350C8A78" w14:textId="77777777" w:rsidR="00346E6A" w:rsidRPr="003A1A01" w:rsidRDefault="00346E6A" w:rsidP="003A7633">
            <w:pPr>
              <w:rPr>
                <w:rFonts w:ascii="Arial" w:hAnsi="Arial" w:cs="Arial"/>
              </w:rPr>
            </w:pPr>
            <w:r w:rsidRPr="003A1A01">
              <w:rPr>
                <w:rFonts w:ascii="Arial" w:hAnsi="Arial" w:cs="Arial"/>
              </w:rPr>
              <w:t>)</w:t>
            </w:r>
          </w:p>
          <w:p w14:paraId="3D28E41A" w14:textId="77777777" w:rsidR="00346E6A" w:rsidRPr="003A1A01" w:rsidRDefault="00346E6A" w:rsidP="003A7633">
            <w:pPr>
              <w:rPr>
                <w:rFonts w:ascii="Arial" w:hAnsi="Arial" w:cs="Arial"/>
              </w:rPr>
            </w:pPr>
            <w:r w:rsidRPr="003A1A01">
              <w:rPr>
                <w:rFonts w:ascii="Arial" w:hAnsi="Arial" w:cs="Arial"/>
              </w:rPr>
              <w:t>)</w:t>
            </w:r>
          </w:p>
          <w:p w14:paraId="64C3905C" w14:textId="77777777" w:rsidR="00346E6A" w:rsidRPr="003A1A01" w:rsidRDefault="00346E6A" w:rsidP="003A7633">
            <w:pPr>
              <w:rPr>
                <w:rFonts w:ascii="Arial" w:hAnsi="Arial" w:cs="Arial"/>
              </w:rPr>
            </w:pPr>
            <w:r w:rsidRPr="003A1A01">
              <w:rPr>
                <w:rFonts w:ascii="Arial" w:hAnsi="Arial" w:cs="Arial"/>
              </w:rPr>
              <w:t>)</w:t>
            </w:r>
          </w:p>
        </w:tc>
        <w:tc>
          <w:tcPr>
            <w:tcW w:w="4140" w:type="dxa"/>
          </w:tcPr>
          <w:p w14:paraId="3D860E3C" w14:textId="77777777" w:rsidR="00346E6A" w:rsidRPr="003A1A01" w:rsidRDefault="00346E6A" w:rsidP="003A7633">
            <w:pPr>
              <w:rPr>
                <w:rFonts w:ascii="Arial" w:hAnsi="Arial" w:cs="Arial"/>
              </w:rPr>
            </w:pPr>
          </w:p>
          <w:p w14:paraId="5ADCF474" w14:textId="77777777" w:rsidR="00346E6A" w:rsidRPr="003A1A01" w:rsidRDefault="00346E6A" w:rsidP="003A7633">
            <w:pPr>
              <w:rPr>
                <w:rFonts w:ascii="Arial" w:hAnsi="Arial" w:cs="Arial"/>
              </w:rPr>
            </w:pPr>
            <w:r w:rsidRPr="003A1A01">
              <w:rPr>
                <w:rFonts w:ascii="Arial" w:hAnsi="Arial" w:cs="Arial"/>
              </w:rPr>
              <w:t>Case No. 16-0396-EL-ATA</w:t>
            </w:r>
          </w:p>
        </w:tc>
      </w:tr>
      <w:tr w:rsidR="00346E6A" w:rsidRPr="003A1A01" w14:paraId="5E8E5143" w14:textId="77777777" w:rsidTr="003A7633">
        <w:tc>
          <w:tcPr>
            <w:tcW w:w="4428" w:type="dxa"/>
          </w:tcPr>
          <w:p w14:paraId="77611CE7" w14:textId="77777777" w:rsidR="00346E6A" w:rsidRPr="003A1A01" w:rsidRDefault="00346E6A" w:rsidP="003A7633">
            <w:pPr>
              <w:rPr>
                <w:rFonts w:ascii="Arial" w:hAnsi="Arial" w:cs="Arial"/>
              </w:rPr>
            </w:pPr>
          </w:p>
        </w:tc>
        <w:tc>
          <w:tcPr>
            <w:tcW w:w="720" w:type="dxa"/>
          </w:tcPr>
          <w:p w14:paraId="639EBA3C" w14:textId="77777777" w:rsidR="00346E6A" w:rsidRPr="003A1A01" w:rsidRDefault="00346E6A" w:rsidP="003A7633">
            <w:pPr>
              <w:rPr>
                <w:rFonts w:ascii="Arial" w:hAnsi="Arial" w:cs="Arial"/>
              </w:rPr>
            </w:pPr>
          </w:p>
        </w:tc>
        <w:tc>
          <w:tcPr>
            <w:tcW w:w="4140" w:type="dxa"/>
          </w:tcPr>
          <w:p w14:paraId="5B5B746D" w14:textId="77777777" w:rsidR="00346E6A" w:rsidRPr="003A1A01" w:rsidRDefault="00346E6A" w:rsidP="003A7633">
            <w:pPr>
              <w:rPr>
                <w:rFonts w:ascii="Arial" w:hAnsi="Arial" w:cs="Arial"/>
              </w:rPr>
            </w:pPr>
          </w:p>
        </w:tc>
      </w:tr>
      <w:tr w:rsidR="00346E6A" w:rsidRPr="003A1A01" w14:paraId="6E8695F6" w14:textId="77777777" w:rsidTr="003A7633">
        <w:tc>
          <w:tcPr>
            <w:tcW w:w="4428" w:type="dxa"/>
          </w:tcPr>
          <w:p w14:paraId="14D0651D" w14:textId="77777777" w:rsidR="00346E6A" w:rsidRPr="003A1A01" w:rsidRDefault="00346E6A" w:rsidP="003A7633">
            <w:pPr>
              <w:rPr>
                <w:rFonts w:ascii="Arial" w:hAnsi="Arial" w:cs="Arial"/>
              </w:rPr>
            </w:pPr>
            <w:r w:rsidRPr="003A1A01">
              <w:rPr>
                <w:rFonts w:ascii="Arial" w:hAnsi="Arial" w:cs="Arial"/>
              </w:rPr>
              <w:t>In the Matter of the Application of The Dayton Power &amp; Light Company for Approval of Certain Accounting Authority Pursuant to Ohio Rev. Code § 4905.13.</w:t>
            </w:r>
          </w:p>
        </w:tc>
        <w:tc>
          <w:tcPr>
            <w:tcW w:w="720" w:type="dxa"/>
          </w:tcPr>
          <w:p w14:paraId="19C3C0FC" w14:textId="77777777" w:rsidR="00346E6A" w:rsidRPr="003A1A01" w:rsidRDefault="00346E6A" w:rsidP="003A7633">
            <w:pPr>
              <w:rPr>
                <w:rFonts w:ascii="Arial" w:hAnsi="Arial" w:cs="Arial"/>
              </w:rPr>
            </w:pPr>
            <w:r w:rsidRPr="003A1A01">
              <w:rPr>
                <w:rFonts w:ascii="Arial" w:hAnsi="Arial" w:cs="Arial"/>
              </w:rPr>
              <w:t>)</w:t>
            </w:r>
          </w:p>
          <w:p w14:paraId="05CF46E9" w14:textId="77777777" w:rsidR="00346E6A" w:rsidRPr="003A1A01" w:rsidRDefault="00346E6A" w:rsidP="003A7633">
            <w:pPr>
              <w:rPr>
                <w:rFonts w:ascii="Arial" w:hAnsi="Arial" w:cs="Arial"/>
              </w:rPr>
            </w:pPr>
            <w:r w:rsidRPr="003A1A01">
              <w:rPr>
                <w:rFonts w:ascii="Arial" w:hAnsi="Arial" w:cs="Arial"/>
              </w:rPr>
              <w:t>)</w:t>
            </w:r>
          </w:p>
          <w:p w14:paraId="7BE0176E" w14:textId="77777777" w:rsidR="00346E6A" w:rsidRPr="003A1A01" w:rsidRDefault="00346E6A" w:rsidP="003A7633">
            <w:pPr>
              <w:rPr>
                <w:rFonts w:ascii="Arial" w:hAnsi="Arial" w:cs="Arial"/>
              </w:rPr>
            </w:pPr>
            <w:r w:rsidRPr="003A1A01">
              <w:rPr>
                <w:rFonts w:ascii="Arial" w:hAnsi="Arial" w:cs="Arial"/>
              </w:rPr>
              <w:t>)</w:t>
            </w:r>
          </w:p>
          <w:p w14:paraId="5EEFDF67" w14:textId="77777777" w:rsidR="00346E6A" w:rsidRPr="003A1A01" w:rsidRDefault="00346E6A" w:rsidP="003A7633">
            <w:pPr>
              <w:rPr>
                <w:rFonts w:ascii="Arial" w:hAnsi="Arial" w:cs="Arial"/>
              </w:rPr>
            </w:pPr>
            <w:r w:rsidRPr="003A1A01">
              <w:rPr>
                <w:rFonts w:ascii="Arial" w:hAnsi="Arial" w:cs="Arial"/>
              </w:rPr>
              <w:t>)</w:t>
            </w:r>
          </w:p>
          <w:p w14:paraId="335A69C8" w14:textId="77777777" w:rsidR="00346E6A" w:rsidRPr="003A1A01" w:rsidRDefault="00346E6A" w:rsidP="003A7633">
            <w:pPr>
              <w:rPr>
                <w:rFonts w:ascii="Arial" w:hAnsi="Arial" w:cs="Arial"/>
              </w:rPr>
            </w:pPr>
            <w:r w:rsidRPr="003A1A01">
              <w:rPr>
                <w:rFonts w:ascii="Arial" w:hAnsi="Arial" w:cs="Arial"/>
              </w:rPr>
              <w:t>)</w:t>
            </w:r>
          </w:p>
        </w:tc>
        <w:tc>
          <w:tcPr>
            <w:tcW w:w="4140" w:type="dxa"/>
          </w:tcPr>
          <w:p w14:paraId="2E98DEB2" w14:textId="77777777" w:rsidR="00346E6A" w:rsidRPr="003A1A01" w:rsidRDefault="00346E6A" w:rsidP="003A7633">
            <w:pPr>
              <w:rPr>
                <w:rFonts w:ascii="Arial" w:hAnsi="Arial" w:cs="Arial"/>
              </w:rPr>
            </w:pPr>
          </w:p>
          <w:p w14:paraId="39A41F9E" w14:textId="77777777" w:rsidR="00346E6A" w:rsidRPr="003A1A01" w:rsidRDefault="00346E6A" w:rsidP="003A7633">
            <w:pPr>
              <w:rPr>
                <w:rFonts w:ascii="Arial" w:hAnsi="Arial" w:cs="Arial"/>
              </w:rPr>
            </w:pPr>
          </w:p>
          <w:p w14:paraId="685DB8C7" w14:textId="77777777" w:rsidR="00346E6A" w:rsidRPr="003A1A01" w:rsidRDefault="00346E6A" w:rsidP="003A7633">
            <w:pPr>
              <w:rPr>
                <w:rFonts w:ascii="Arial" w:hAnsi="Arial" w:cs="Arial"/>
              </w:rPr>
            </w:pPr>
            <w:r w:rsidRPr="003A1A01">
              <w:rPr>
                <w:rFonts w:ascii="Arial" w:hAnsi="Arial" w:cs="Arial"/>
              </w:rPr>
              <w:t>Case No. 16-0397-EL-AAM</w:t>
            </w:r>
          </w:p>
        </w:tc>
      </w:tr>
    </w:tbl>
    <w:p w14:paraId="3C33FF3F" w14:textId="77777777" w:rsidR="00346E6A" w:rsidRPr="003A1A01" w:rsidRDefault="00346E6A" w:rsidP="00346E6A">
      <w:pPr>
        <w:spacing w:after="0"/>
        <w:rPr>
          <w:rFonts w:ascii="Arial" w:hAnsi="Arial" w:cs="Arial"/>
        </w:rPr>
      </w:pPr>
    </w:p>
    <w:p w14:paraId="31D3D78C" w14:textId="77777777" w:rsidR="00346E6A" w:rsidRPr="003A1A01" w:rsidRDefault="00346E6A" w:rsidP="00346E6A">
      <w:pPr>
        <w:spacing w:after="0"/>
        <w:rPr>
          <w:rFonts w:ascii="Arial" w:hAnsi="Arial" w:cs="Arial"/>
        </w:rPr>
      </w:pP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346E6A" w:rsidRPr="003A1A01" w14:paraId="245031D8" w14:textId="77777777" w:rsidTr="003A7633">
        <w:tc>
          <w:tcPr>
            <w:tcW w:w="9288" w:type="dxa"/>
          </w:tcPr>
          <w:p w14:paraId="2700F086" w14:textId="77777777" w:rsidR="00346E6A" w:rsidRPr="003A1A01" w:rsidRDefault="00346E6A" w:rsidP="003A7633">
            <w:pPr>
              <w:jc w:val="center"/>
              <w:rPr>
                <w:rFonts w:ascii="Arial" w:hAnsi="Arial" w:cs="Arial"/>
                <w:b/>
              </w:rPr>
            </w:pPr>
          </w:p>
          <w:p w14:paraId="6A181646" w14:textId="77777777" w:rsidR="00346E6A" w:rsidRPr="003A1A01" w:rsidRDefault="00FE1060" w:rsidP="003A7633">
            <w:pPr>
              <w:jc w:val="center"/>
              <w:rPr>
                <w:rFonts w:ascii="Arial" w:hAnsi="Arial" w:cs="Arial"/>
                <w:b/>
              </w:rPr>
            </w:pPr>
            <w:r>
              <w:rPr>
                <w:rFonts w:ascii="Arial" w:hAnsi="Arial" w:cs="Arial"/>
                <w:b/>
              </w:rPr>
              <w:t xml:space="preserve">SUPPLEMENTAL </w:t>
            </w:r>
            <w:r w:rsidR="00346E6A" w:rsidRPr="003A1A01">
              <w:rPr>
                <w:rFonts w:ascii="Arial" w:hAnsi="Arial" w:cs="Arial"/>
                <w:b/>
              </w:rPr>
              <w:t>DIRECT TESTIMONY OF MATTHEW WHITE</w:t>
            </w:r>
          </w:p>
          <w:p w14:paraId="391B7437" w14:textId="77777777" w:rsidR="00346E6A" w:rsidRPr="003A1A01" w:rsidRDefault="00346E6A" w:rsidP="003A7633">
            <w:pPr>
              <w:jc w:val="center"/>
              <w:rPr>
                <w:rFonts w:ascii="Arial" w:hAnsi="Arial" w:cs="Arial"/>
                <w:b/>
              </w:rPr>
            </w:pPr>
            <w:r w:rsidRPr="003A1A01">
              <w:rPr>
                <w:rFonts w:ascii="Arial" w:hAnsi="Arial" w:cs="Arial"/>
                <w:b/>
              </w:rPr>
              <w:t>ON BEHALF OF</w:t>
            </w:r>
          </w:p>
          <w:p w14:paraId="6D463453" w14:textId="77777777" w:rsidR="00346E6A" w:rsidRPr="003A1A01" w:rsidRDefault="00346E6A" w:rsidP="003A7633">
            <w:pPr>
              <w:jc w:val="center"/>
              <w:rPr>
                <w:rFonts w:ascii="Arial" w:hAnsi="Arial" w:cs="Arial"/>
                <w:b/>
              </w:rPr>
            </w:pPr>
            <w:r w:rsidRPr="003A1A01">
              <w:rPr>
                <w:rFonts w:ascii="Arial" w:hAnsi="Arial" w:cs="Arial"/>
                <w:b/>
              </w:rPr>
              <w:t>INTERSTATE GAS SUPPLY, INC.</w:t>
            </w:r>
          </w:p>
          <w:p w14:paraId="395245E5" w14:textId="77777777" w:rsidR="00346E6A" w:rsidRPr="003A1A01" w:rsidRDefault="00346E6A" w:rsidP="003A7633">
            <w:pPr>
              <w:jc w:val="center"/>
              <w:rPr>
                <w:rFonts w:ascii="Arial" w:hAnsi="Arial" w:cs="Arial"/>
                <w:b/>
              </w:rPr>
            </w:pPr>
          </w:p>
        </w:tc>
      </w:tr>
    </w:tbl>
    <w:p w14:paraId="3394E22B" w14:textId="77777777" w:rsidR="00346E6A" w:rsidRPr="003A1A01" w:rsidRDefault="00346E6A" w:rsidP="00346E6A">
      <w:pPr>
        <w:spacing w:after="0"/>
        <w:jc w:val="center"/>
        <w:rPr>
          <w:rFonts w:ascii="Arial" w:hAnsi="Arial" w:cs="Arial"/>
          <w:b/>
        </w:rPr>
      </w:pPr>
    </w:p>
    <w:p w14:paraId="71B55606" w14:textId="77777777" w:rsidR="00346E6A" w:rsidRPr="003A1A01" w:rsidRDefault="00346E6A" w:rsidP="00346E6A">
      <w:pPr>
        <w:rPr>
          <w:rFonts w:ascii="Arial" w:hAnsi="Arial" w:cs="Arial"/>
        </w:rPr>
      </w:pPr>
    </w:p>
    <w:p w14:paraId="54B20C2E" w14:textId="77777777" w:rsidR="00346E6A" w:rsidRPr="003A1A01" w:rsidRDefault="00346E6A" w:rsidP="00346E6A">
      <w:pPr>
        <w:rPr>
          <w:rFonts w:ascii="Arial" w:hAnsi="Arial" w:cs="Arial"/>
        </w:rPr>
      </w:pPr>
    </w:p>
    <w:p w14:paraId="4D8A1F0C" w14:textId="77777777" w:rsidR="00346E6A" w:rsidRPr="003A1A01" w:rsidRDefault="00346E6A" w:rsidP="00346E6A">
      <w:pPr>
        <w:rPr>
          <w:rFonts w:ascii="Arial" w:hAnsi="Arial" w:cs="Arial"/>
        </w:rPr>
      </w:pPr>
    </w:p>
    <w:p w14:paraId="46D5DD23" w14:textId="77777777" w:rsidR="00346E6A" w:rsidRPr="003A1A01" w:rsidRDefault="00346E6A" w:rsidP="00346E6A">
      <w:pPr>
        <w:rPr>
          <w:rFonts w:ascii="Arial" w:hAnsi="Arial" w:cs="Arial"/>
        </w:rPr>
      </w:pPr>
    </w:p>
    <w:p w14:paraId="15915006" w14:textId="4C1C4786" w:rsidR="00346E6A" w:rsidRDefault="00346E6A" w:rsidP="00346E6A">
      <w:pPr>
        <w:rPr>
          <w:rFonts w:ascii="Arial" w:hAnsi="Arial" w:cs="Arial"/>
        </w:rPr>
      </w:pPr>
    </w:p>
    <w:p w14:paraId="73F0C49B" w14:textId="76B361D8" w:rsidR="002A288C" w:rsidRDefault="002A288C" w:rsidP="00346E6A">
      <w:pPr>
        <w:rPr>
          <w:rFonts w:ascii="Arial" w:hAnsi="Arial" w:cs="Arial"/>
        </w:rPr>
      </w:pPr>
    </w:p>
    <w:p w14:paraId="5ABD9F44" w14:textId="3793E106" w:rsidR="002A288C" w:rsidRDefault="002A288C" w:rsidP="00346E6A">
      <w:pPr>
        <w:rPr>
          <w:rFonts w:ascii="Arial" w:hAnsi="Arial" w:cs="Arial"/>
        </w:rPr>
      </w:pPr>
    </w:p>
    <w:p w14:paraId="3F2C7D8B" w14:textId="28D91996" w:rsidR="002A288C" w:rsidRDefault="002A288C" w:rsidP="00346E6A">
      <w:pPr>
        <w:rPr>
          <w:rFonts w:ascii="Arial" w:hAnsi="Arial" w:cs="Arial"/>
        </w:rPr>
      </w:pPr>
    </w:p>
    <w:p w14:paraId="02B7B486" w14:textId="77777777" w:rsidR="00346E6A" w:rsidRPr="003A1A01" w:rsidRDefault="00346E6A" w:rsidP="00346E6A">
      <w:pPr>
        <w:rPr>
          <w:rFonts w:ascii="Arial" w:hAnsi="Arial" w:cs="Arial"/>
        </w:rPr>
      </w:pPr>
    </w:p>
    <w:p w14:paraId="5C9530F3" w14:textId="77777777" w:rsidR="00346E6A" w:rsidRPr="003A1A01" w:rsidRDefault="00FE1060" w:rsidP="00346E6A">
      <w:pPr>
        <w:jc w:val="right"/>
        <w:rPr>
          <w:rFonts w:ascii="Arial" w:hAnsi="Arial" w:cs="Arial"/>
        </w:rPr>
      </w:pPr>
      <w:r>
        <w:rPr>
          <w:rFonts w:ascii="Arial" w:hAnsi="Arial" w:cs="Arial"/>
        </w:rPr>
        <w:t>February 12</w:t>
      </w:r>
      <w:r w:rsidR="00346E6A" w:rsidRPr="003A1A01">
        <w:rPr>
          <w:rFonts w:ascii="Arial" w:hAnsi="Arial" w:cs="Arial"/>
        </w:rPr>
        <w:t>, 201</w:t>
      </w:r>
      <w:r>
        <w:rPr>
          <w:rFonts w:ascii="Arial" w:hAnsi="Arial" w:cs="Arial"/>
        </w:rPr>
        <w:t>9</w:t>
      </w:r>
    </w:p>
    <w:p w14:paraId="4B14DDA8" w14:textId="77777777" w:rsidR="001C7571" w:rsidRDefault="001C7571" w:rsidP="002A288C">
      <w:pPr>
        <w:widowControl w:val="0"/>
        <w:autoSpaceDE w:val="0"/>
        <w:autoSpaceDN w:val="0"/>
        <w:adjustRightInd w:val="0"/>
        <w:rPr>
          <w:rFonts w:ascii="Arial" w:hAnsi="Arial" w:cs="Arial"/>
          <w:b/>
        </w:rPr>
      </w:pPr>
    </w:p>
    <w:p w14:paraId="57F400FF" w14:textId="77777777" w:rsidR="00346E6A" w:rsidRPr="003A1A01" w:rsidRDefault="00346E6A" w:rsidP="00346E6A">
      <w:pPr>
        <w:rPr>
          <w:rFonts w:ascii="Arial" w:hAnsi="Arial" w:cs="Arial"/>
          <w:b/>
        </w:rPr>
        <w:sectPr w:rsidR="00346E6A" w:rsidRPr="003A1A01" w:rsidSect="00346E6A">
          <w:headerReference w:type="even" r:id="rId8"/>
          <w:headerReference w:type="default" r:id="rId9"/>
          <w:footerReference w:type="even" r:id="rId10"/>
          <w:footerReference w:type="default" r:id="rId11"/>
          <w:headerReference w:type="first" r:id="rId12"/>
          <w:footerReference w:type="first" r:id="rId13"/>
          <w:pgSz w:w="12245" w:h="15703"/>
          <w:pgMar w:top="1440" w:right="1440" w:bottom="1440" w:left="1440" w:header="720" w:footer="720" w:gutter="0"/>
          <w:cols w:space="720"/>
          <w:noEndnote/>
          <w:docGrid w:linePitch="326"/>
        </w:sectPr>
      </w:pPr>
    </w:p>
    <w:p w14:paraId="46D7224F" w14:textId="77777777" w:rsidR="00346E6A" w:rsidRPr="003A1A01" w:rsidRDefault="00346E6A" w:rsidP="00346E6A">
      <w:pPr>
        <w:pStyle w:val="Heading3"/>
        <w:spacing w:line="480" w:lineRule="auto"/>
        <w:jc w:val="both"/>
        <w:rPr>
          <w:rFonts w:ascii="Arial" w:hAnsi="Arial" w:cs="Arial"/>
        </w:rPr>
      </w:pPr>
      <w:bookmarkStart w:id="1" w:name="_Toc456245356"/>
      <w:r w:rsidRPr="003A1A01">
        <w:rPr>
          <w:rFonts w:ascii="Arial" w:hAnsi="Arial" w:cs="Arial"/>
        </w:rPr>
        <w:lastRenderedPageBreak/>
        <w:t>INTRODUCTION AND BACKGROUND</w:t>
      </w:r>
      <w:bookmarkEnd w:id="1"/>
    </w:p>
    <w:p w14:paraId="464C0B36" w14:textId="77777777" w:rsidR="00346E6A" w:rsidRPr="003A1A01" w:rsidRDefault="00346E6A" w:rsidP="00346E6A">
      <w:pPr>
        <w:pStyle w:val="BodyText"/>
        <w:spacing w:line="480" w:lineRule="auto"/>
        <w:jc w:val="both"/>
        <w:rPr>
          <w:rFonts w:ascii="Arial" w:hAnsi="Arial" w:cs="Arial"/>
          <w:b/>
          <w:sz w:val="24"/>
          <w:szCs w:val="24"/>
        </w:rPr>
      </w:pPr>
      <w:r w:rsidRPr="003A1A01">
        <w:rPr>
          <w:rFonts w:ascii="Arial" w:hAnsi="Arial" w:cs="Arial"/>
          <w:b/>
          <w:sz w:val="24"/>
          <w:szCs w:val="24"/>
        </w:rPr>
        <w:t>Q.</w:t>
      </w:r>
      <w:r w:rsidRPr="003A1A01">
        <w:rPr>
          <w:rFonts w:ascii="Arial" w:hAnsi="Arial" w:cs="Arial"/>
          <w:b/>
          <w:sz w:val="24"/>
          <w:szCs w:val="24"/>
        </w:rPr>
        <w:tab/>
        <w:t>Please state your name and title.</w:t>
      </w:r>
    </w:p>
    <w:p w14:paraId="6E5700A3" w14:textId="77777777" w:rsidR="00346E6A" w:rsidRPr="003A1A01" w:rsidRDefault="00346E6A" w:rsidP="00346E6A">
      <w:pPr>
        <w:pStyle w:val="Heading2"/>
        <w:jc w:val="both"/>
        <w:rPr>
          <w:rFonts w:ascii="Arial" w:hAnsi="Arial" w:cs="Arial"/>
          <w:szCs w:val="24"/>
        </w:rPr>
      </w:pPr>
      <w:r w:rsidRPr="003A1A01">
        <w:rPr>
          <w:rFonts w:ascii="Arial" w:hAnsi="Arial" w:cs="Arial"/>
          <w:szCs w:val="24"/>
        </w:rPr>
        <w:t>My name is Matthew White.  I am employed by Interstate Gas Supply, Inc. (“IGS” or “IGS Energy”) as General Counsel, Legislative and Regulatory Affairs.  My business address is 6100 Emerald Parkway, Dublin, Ohio 43016.</w:t>
      </w:r>
    </w:p>
    <w:p w14:paraId="1AC06E3E" w14:textId="77777777" w:rsidR="00346E6A" w:rsidRPr="003A1A01" w:rsidRDefault="00346E6A" w:rsidP="00346E6A">
      <w:pPr>
        <w:pStyle w:val="BodyText"/>
        <w:spacing w:line="480" w:lineRule="auto"/>
        <w:jc w:val="both"/>
        <w:rPr>
          <w:rFonts w:ascii="Arial" w:hAnsi="Arial" w:cs="Arial"/>
          <w:b/>
          <w:sz w:val="24"/>
          <w:szCs w:val="24"/>
        </w:rPr>
      </w:pPr>
      <w:r w:rsidRPr="003A1A01">
        <w:rPr>
          <w:rFonts w:ascii="Arial" w:hAnsi="Arial" w:cs="Arial"/>
          <w:b/>
          <w:sz w:val="24"/>
          <w:szCs w:val="24"/>
        </w:rPr>
        <w:t>Q.</w:t>
      </w:r>
      <w:r w:rsidRPr="003A1A01">
        <w:rPr>
          <w:rFonts w:ascii="Arial" w:hAnsi="Arial" w:cs="Arial"/>
          <w:b/>
          <w:sz w:val="24"/>
          <w:szCs w:val="24"/>
        </w:rPr>
        <w:tab/>
        <w:t>On whose behalf are you testifying?</w:t>
      </w:r>
    </w:p>
    <w:p w14:paraId="63521245" w14:textId="77777777" w:rsidR="00346E6A" w:rsidRPr="003A1A01" w:rsidRDefault="00346E6A" w:rsidP="00346E6A">
      <w:pPr>
        <w:pStyle w:val="BodyText"/>
        <w:spacing w:line="480" w:lineRule="auto"/>
        <w:ind w:left="720" w:hanging="720"/>
        <w:jc w:val="both"/>
        <w:rPr>
          <w:rFonts w:ascii="Arial" w:hAnsi="Arial" w:cs="Arial"/>
          <w:sz w:val="24"/>
          <w:szCs w:val="24"/>
        </w:rPr>
      </w:pPr>
      <w:r w:rsidRPr="003A1A01">
        <w:rPr>
          <w:rFonts w:ascii="Arial" w:hAnsi="Arial" w:cs="Arial"/>
          <w:sz w:val="24"/>
          <w:szCs w:val="24"/>
        </w:rPr>
        <w:t>A.</w:t>
      </w:r>
      <w:r w:rsidRPr="003A1A01">
        <w:rPr>
          <w:rFonts w:ascii="Arial" w:hAnsi="Arial" w:cs="Arial"/>
          <w:sz w:val="24"/>
          <w:szCs w:val="24"/>
        </w:rPr>
        <w:tab/>
        <w:t>I am testifying on behalf of IGS Energy.</w:t>
      </w:r>
    </w:p>
    <w:p w14:paraId="5E93C16C" w14:textId="77777777" w:rsidR="00346E6A" w:rsidRPr="003A1A01" w:rsidRDefault="00346E6A" w:rsidP="00346E6A">
      <w:pPr>
        <w:pStyle w:val="BodyText"/>
        <w:spacing w:line="480" w:lineRule="auto"/>
        <w:jc w:val="both"/>
        <w:rPr>
          <w:rFonts w:ascii="Arial" w:hAnsi="Arial" w:cs="Arial"/>
          <w:b/>
          <w:sz w:val="24"/>
          <w:szCs w:val="24"/>
        </w:rPr>
      </w:pPr>
      <w:r w:rsidRPr="003A1A01">
        <w:rPr>
          <w:rFonts w:ascii="Arial" w:hAnsi="Arial" w:cs="Arial"/>
          <w:b/>
          <w:sz w:val="24"/>
          <w:szCs w:val="24"/>
        </w:rPr>
        <w:t>Q.</w:t>
      </w:r>
      <w:r w:rsidRPr="003A1A01">
        <w:rPr>
          <w:rFonts w:ascii="Arial" w:hAnsi="Arial" w:cs="Arial"/>
          <w:b/>
          <w:sz w:val="24"/>
          <w:szCs w:val="24"/>
        </w:rPr>
        <w:tab/>
        <w:t>Please describe your educational background and work history.</w:t>
      </w:r>
    </w:p>
    <w:p w14:paraId="77E89377" w14:textId="314AD7D6" w:rsidR="002B1672" w:rsidRDefault="002B1672" w:rsidP="002B1672">
      <w:pPr>
        <w:spacing w:line="480" w:lineRule="auto"/>
        <w:ind w:left="720" w:hanging="720"/>
        <w:jc w:val="both"/>
        <w:rPr>
          <w:rFonts w:ascii="Arial" w:eastAsia="Calibri" w:hAnsi="Arial" w:cs="Arial"/>
          <w:shd w:val="clear" w:color="auto" w:fill="FFFFFF"/>
        </w:rPr>
      </w:pPr>
      <w:r>
        <w:rPr>
          <w:rFonts w:ascii="Arial" w:hAnsi="Arial" w:cs="Arial"/>
          <w:bCs/>
        </w:rPr>
        <w:t>A.</w:t>
      </w:r>
      <w:r>
        <w:rPr>
          <w:rFonts w:ascii="Arial" w:hAnsi="Arial" w:cs="Arial"/>
          <w:bCs/>
        </w:rPr>
        <w:tab/>
      </w:r>
      <w:r>
        <w:rPr>
          <w:rFonts w:ascii="Arial" w:eastAsia="Calibri" w:hAnsi="Arial" w:cs="Arial"/>
        </w:rPr>
        <w:t>I started my career in energy in 2007 working at the law firm of Chester, Wilcox &amp; Saxbe as an energy and utilities lawyer. At Chester Wilcox I participated in numerous regulatory proceedings relating to utility matters, including natural gas and electric rate cases and electric power siting cases. I began working at IGS in 2011. I am now General Counsel of IGS Energy and its affiliated companies</w:t>
      </w:r>
      <w:r>
        <w:rPr>
          <w:rFonts w:ascii="Arial" w:eastAsia="Calibri" w:hAnsi="Arial" w:cs="Arial"/>
          <w:shd w:val="clear" w:color="auto" w:fill="FFFFFF"/>
        </w:rPr>
        <w:t xml:space="preserve">. </w:t>
      </w:r>
      <w:r>
        <w:rPr>
          <w:rFonts w:ascii="Arial" w:hAnsi="Arial" w:cs="Arial"/>
          <w:shd w:val="clear" w:color="auto" w:fill="FFFFFF"/>
        </w:rPr>
        <w:t>I oversee all of IGS’ legal and regulatory activities throughout the country</w:t>
      </w:r>
      <w:r>
        <w:rPr>
          <w:rFonts w:ascii="Arial" w:eastAsia="Calibri" w:hAnsi="Arial" w:cs="Arial"/>
          <w:shd w:val="clear" w:color="auto" w:fill="FFFFFF"/>
        </w:rPr>
        <w:t>.</w:t>
      </w:r>
      <w:r>
        <w:rPr>
          <w:rFonts w:ascii="Arial" w:eastAsia="Calibri" w:hAnsi="Arial" w:cs="Arial"/>
        </w:rPr>
        <w:t xml:space="preserve"> </w:t>
      </w:r>
      <w:r>
        <w:rPr>
          <w:rFonts w:ascii="Arial" w:eastAsia="Calibri" w:hAnsi="Arial" w:cs="Arial"/>
          <w:shd w:val="clear" w:color="auto" w:fill="FFFFFF"/>
        </w:rPr>
        <w:t xml:space="preserve">My team is responsible for supporting the legal, regulatory, compliance and legislative needs of all of IGS’ businesses.  Prior to working in the energy industry </w:t>
      </w:r>
      <w:r>
        <w:rPr>
          <w:rFonts w:ascii="Arial" w:hAnsi="Arial" w:cs="Arial"/>
          <w:bCs/>
        </w:rPr>
        <w:t xml:space="preserve">I </w:t>
      </w:r>
      <w:r>
        <w:rPr>
          <w:rFonts w:ascii="Arial" w:eastAsia="Calibri" w:hAnsi="Arial" w:cs="Arial"/>
        </w:rPr>
        <w:t>earned J.D. and M.B.A. degrees from the College of William &amp; Mary and a B.A. from Ohio University.</w:t>
      </w:r>
    </w:p>
    <w:p w14:paraId="1DD59185" w14:textId="77777777" w:rsidR="00346E6A" w:rsidRPr="003A1A01" w:rsidRDefault="00346E6A" w:rsidP="006D3343">
      <w:pPr>
        <w:pStyle w:val="BodyText"/>
        <w:jc w:val="both"/>
        <w:rPr>
          <w:rFonts w:ascii="Arial" w:hAnsi="Arial" w:cs="Arial"/>
          <w:b/>
          <w:sz w:val="24"/>
          <w:szCs w:val="24"/>
        </w:rPr>
      </w:pPr>
      <w:r w:rsidRPr="003A1A01">
        <w:rPr>
          <w:rFonts w:ascii="Arial" w:eastAsiaTheme="majorEastAsia" w:hAnsi="Arial" w:cs="Arial"/>
          <w:b/>
          <w:sz w:val="24"/>
          <w:szCs w:val="24"/>
        </w:rPr>
        <w:t>Q.</w:t>
      </w:r>
      <w:r w:rsidRPr="003A1A01">
        <w:rPr>
          <w:rFonts w:ascii="Arial" w:hAnsi="Arial" w:cs="Arial"/>
          <w:b/>
          <w:sz w:val="24"/>
          <w:szCs w:val="24"/>
        </w:rPr>
        <w:tab/>
        <w:t>Have you submitted testimony in regulatory proceedings before?</w:t>
      </w:r>
    </w:p>
    <w:p w14:paraId="32EB76ED" w14:textId="7499D395" w:rsidR="002B1672" w:rsidRDefault="002B1672" w:rsidP="002B1672">
      <w:pPr>
        <w:spacing w:line="480" w:lineRule="auto"/>
        <w:ind w:left="720" w:hanging="720"/>
        <w:jc w:val="both"/>
        <w:rPr>
          <w:rFonts w:ascii="Arial" w:hAnsi="Arial" w:cs="Arial"/>
          <w:color w:val="FF0000"/>
        </w:rPr>
      </w:pPr>
      <w:r>
        <w:rPr>
          <w:rFonts w:ascii="Arial" w:hAnsi="Arial" w:cs="Arial"/>
        </w:rPr>
        <w:t xml:space="preserve">Yes. </w:t>
      </w:r>
      <w:r>
        <w:rPr>
          <w:rFonts w:ascii="Arial" w:hAnsi="Arial" w:cs="Arial"/>
        </w:rPr>
        <w:tab/>
        <w:t xml:space="preserve">I have submitted written testimony in front of numerous state regulatory bodies including the Public Utilities Commission of Ohio, the Public Utilities Commission of Pennsylvania, the Maryland Public Service Commission, the Illinois Commerce Commission, the </w:t>
      </w:r>
      <w:r>
        <w:rPr>
          <w:rFonts w:ascii="Arial" w:hAnsi="Arial" w:cs="Arial"/>
        </w:rPr>
        <w:lastRenderedPageBreak/>
        <w:t xml:space="preserve">Kentucky Public Service Commission, and the Michigan Public Service Commission.  I have also testified in front of the state legislatures of Ohio, Michigan and Pennsylvania.   </w:t>
      </w:r>
    </w:p>
    <w:p w14:paraId="18CC6F36" w14:textId="77777777" w:rsidR="00FE1060" w:rsidRDefault="00FE1060" w:rsidP="00FE1060">
      <w:pPr>
        <w:pStyle w:val="BodyText"/>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Was a Stipulation filed in this case?</w:t>
      </w:r>
    </w:p>
    <w:p w14:paraId="75D31AA5" w14:textId="3E31067B" w:rsidR="00EE630B" w:rsidRDefault="00FE1060" w:rsidP="00EE630B">
      <w:pPr>
        <w:spacing w:after="0" w:line="480" w:lineRule="auto"/>
        <w:ind w:left="720" w:hanging="720"/>
        <w:jc w:val="both"/>
        <w:rPr>
          <w:rFonts w:ascii="Arial" w:hAnsi="Arial" w:cs="Arial"/>
        </w:rPr>
      </w:pPr>
      <w:r>
        <w:rPr>
          <w:rFonts w:ascii="Arial" w:hAnsi="Arial" w:cs="Arial"/>
        </w:rPr>
        <w:t xml:space="preserve">A. </w:t>
      </w:r>
      <w:r>
        <w:rPr>
          <w:rFonts w:ascii="Arial" w:hAnsi="Arial" w:cs="Arial"/>
        </w:rPr>
        <w:tab/>
        <w:t>Yes, in fact, t</w:t>
      </w:r>
      <w:r w:rsidR="00EE630B">
        <w:rPr>
          <w:rFonts w:ascii="Arial" w:hAnsi="Arial" w:cs="Arial"/>
        </w:rPr>
        <w:t>wo</w:t>
      </w:r>
      <w:r>
        <w:rPr>
          <w:rFonts w:ascii="Arial" w:hAnsi="Arial" w:cs="Arial"/>
        </w:rPr>
        <w:t xml:space="preserve"> stipulations have been filed in this case. First, a Stipulation and Recommendation </w:t>
      </w:r>
      <w:r w:rsidR="00B50370">
        <w:rPr>
          <w:rFonts w:ascii="Arial" w:hAnsi="Arial" w:cs="Arial"/>
        </w:rPr>
        <w:t xml:space="preserve">was submitted on January 30, 2017.  As part of that Stipulation, </w:t>
      </w:r>
      <w:r w:rsidR="00EE630B">
        <w:rPr>
          <w:rFonts w:ascii="Arial" w:hAnsi="Arial" w:cs="Arial"/>
        </w:rPr>
        <w:t xml:space="preserve">the parties agreed that </w:t>
      </w:r>
      <w:r w:rsidR="00EE630B" w:rsidRPr="00EE630B">
        <w:rPr>
          <w:rFonts w:ascii="Arial" w:hAnsi="Arial" w:cs="Arial"/>
        </w:rPr>
        <w:t xml:space="preserve">DP&amp;L </w:t>
      </w:r>
      <w:r w:rsidR="00EE630B">
        <w:rPr>
          <w:rFonts w:ascii="Arial" w:hAnsi="Arial" w:cs="Arial"/>
        </w:rPr>
        <w:t xml:space="preserve">would </w:t>
      </w:r>
      <w:r w:rsidR="00EE630B" w:rsidRPr="00EE630B">
        <w:rPr>
          <w:rFonts w:ascii="Arial" w:hAnsi="Arial" w:cs="Arial"/>
        </w:rPr>
        <w:t>establish a component of the SSO rate to recognize costs related to</w:t>
      </w:r>
      <w:r w:rsidR="002B1672">
        <w:rPr>
          <w:rFonts w:ascii="Arial" w:hAnsi="Arial" w:cs="Arial"/>
        </w:rPr>
        <w:t>,</w:t>
      </w:r>
      <w:r w:rsidR="00EE630B" w:rsidRPr="00EE630B">
        <w:rPr>
          <w:rFonts w:ascii="Arial" w:hAnsi="Arial" w:cs="Arial"/>
        </w:rPr>
        <w:t xml:space="preserve"> but avoided by</w:t>
      </w:r>
      <w:r w:rsidR="002B1672">
        <w:rPr>
          <w:rFonts w:ascii="Arial" w:hAnsi="Arial" w:cs="Arial"/>
        </w:rPr>
        <w:t>,</w:t>
      </w:r>
      <w:r w:rsidR="00EE630B" w:rsidRPr="00EE630B">
        <w:rPr>
          <w:rFonts w:ascii="Arial" w:hAnsi="Arial" w:cs="Arial"/>
        </w:rPr>
        <w:t xml:space="preserve"> default service.</w:t>
      </w:r>
      <w:r w:rsidR="00EE630B">
        <w:rPr>
          <w:rFonts w:ascii="Arial" w:hAnsi="Arial" w:cs="Arial"/>
        </w:rPr>
        <w:t xml:space="preserve">  </w:t>
      </w:r>
      <w:r w:rsidR="00B50370">
        <w:rPr>
          <w:rFonts w:ascii="Arial" w:hAnsi="Arial" w:cs="Arial"/>
        </w:rPr>
        <w:t xml:space="preserve">Second, </w:t>
      </w:r>
      <w:r w:rsidR="00EE630B">
        <w:rPr>
          <w:rFonts w:ascii="Arial" w:hAnsi="Arial" w:cs="Arial"/>
        </w:rPr>
        <w:t>O</w:t>
      </w:r>
      <w:r w:rsidR="00EE630B" w:rsidRPr="00F724AE">
        <w:rPr>
          <w:rFonts w:ascii="Arial" w:hAnsi="Arial" w:cs="Arial"/>
        </w:rPr>
        <w:t xml:space="preserve">n March 14, 2017, </w:t>
      </w:r>
      <w:r w:rsidR="00EE630B">
        <w:rPr>
          <w:rFonts w:ascii="Arial" w:hAnsi="Arial" w:cs="Arial"/>
        </w:rPr>
        <w:t xml:space="preserve">following additional negotiations and bargaining, the parties to the initial Stipulation, the Commission Staff, and other parties executed an Amended </w:t>
      </w:r>
      <w:r w:rsidR="00EE630B" w:rsidRPr="00F318AC">
        <w:rPr>
          <w:rFonts w:ascii="Arial" w:hAnsi="Arial" w:cs="Arial"/>
        </w:rPr>
        <w:t xml:space="preserve">Stipulation to resolve all of the outstanding issues in this proceeding. </w:t>
      </w:r>
      <w:r w:rsidR="00EE630B">
        <w:rPr>
          <w:rFonts w:ascii="Arial" w:hAnsi="Arial" w:cs="Arial"/>
        </w:rPr>
        <w:t xml:space="preserve"> </w:t>
      </w:r>
      <w:r w:rsidR="00EE630B" w:rsidRPr="00F318AC">
        <w:rPr>
          <w:rFonts w:ascii="Arial" w:hAnsi="Arial" w:cs="Arial"/>
        </w:rPr>
        <w:t xml:space="preserve">Among other </w:t>
      </w:r>
      <w:r w:rsidR="00EE630B">
        <w:rPr>
          <w:rFonts w:ascii="Arial" w:hAnsi="Arial" w:cs="Arial"/>
        </w:rPr>
        <w:t xml:space="preserve">things, the Amended Stipulation acknowledged the existence of SSO-related costs embedded in distribution rates, but the parties agreed to evaluate that matter in DP&amp;L’s distribution rate case rather than resolve it here.  The Amended Settlement, however, </w:t>
      </w:r>
      <w:r w:rsidR="00EE630B" w:rsidRPr="00F318AC">
        <w:rPr>
          <w:rFonts w:ascii="Arial" w:hAnsi="Arial" w:cs="Arial"/>
        </w:rPr>
        <w:t xml:space="preserve">made the </w:t>
      </w:r>
      <w:r w:rsidR="002B1672">
        <w:rPr>
          <w:rFonts w:ascii="Arial" w:hAnsi="Arial" w:cs="Arial"/>
        </w:rPr>
        <w:t xml:space="preserve">OVEC cost recovery mechanism (“Rider RR”) </w:t>
      </w:r>
      <w:r w:rsidR="00EE630B" w:rsidRPr="00F318AC">
        <w:rPr>
          <w:rFonts w:ascii="Arial" w:hAnsi="Arial" w:cs="Arial"/>
        </w:rPr>
        <w:t xml:space="preserve">bypassable to customers served by a </w:t>
      </w:r>
      <w:r w:rsidR="00EE630B">
        <w:rPr>
          <w:rFonts w:ascii="Arial" w:hAnsi="Arial" w:cs="Arial"/>
        </w:rPr>
        <w:t>CRES</w:t>
      </w:r>
      <w:r w:rsidR="00EE630B" w:rsidRPr="00F318AC">
        <w:rPr>
          <w:rFonts w:ascii="Arial" w:hAnsi="Arial" w:cs="Arial"/>
        </w:rPr>
        <w:t xml:space="preserve"> provider.  </w:t>
      </w:r>
      <w:r w:rsidR="00EE630B">
        <w:rPr>
          <w:rFonts w:ascii="Arial" w:hAnsi="Arial" w:cs="Arial"/>
        </w:rPr>
        <w:t>I submitted</w:t>
      </w:r>
      <w:r w:rsidR="00EE630B" w:rsidRPr="00F318AC">
        <w:rPr>
          <w:rFonts w:ascii="Arial" w:hAnsi="Arial" w:cs="Arial"/>
        </w:rPr>
        <w:t xml:space="preserve"> testi</w:t>
      </w:r>
      <w:r w:rsidR="00EE630B">
        <w:rPr>
          <w:rFonts w:ascii="Arial" w:hAnsi="Arial" w:cs="Arial"/>
        </w:rPr>
        <w:t xml:space="preserve">mony indicating </w:t>
      </w:r>
      <w:r w:rsidR="00EE630B" w:rsidRPr="00F318AC">
        <w:rPr>
          <w:rFonts w:ascii="Arial" w:hAnsi="Arial" w:cs="Arial"/>
        </w:rPr>
        <w:t xml:space="preserve">that </w:t>
      </w:r>
      <w:r w:rsidR="00EE630B">
        <w:rPr>
          <w:rFonts w:ascii="Arial" w:hAnsi="Arial" w:cs="Arial"/>
        </w:rPr>
        <w:t>m</w:t>
      </w:r>
      <w:r w:rsidR="00EE630B" w:rsidRPr="00F318AC">
        <w:rPr>
          <w:rFonts w:ascii="Arial" w:hAnsi="Arial" w:cs="Arial"/>
        </w:rPr>
        <w:t>aking any cost recovery related to DP&amp;L’s OVEC entitlement bypassable avoids an anticompetitive subsidy that would result from collecting generation related costs through nonbypassable charges imposed on shopping customers.</w:t>
      </w:r>
      <w:r w:rsidR="00EE630B">
        <w:rPr>
          <w:rFonts w:ascii="Arial" w:hAnsi="Arial" w:cs="Arial"/>
        </w:rPr>
        <w:t xml:space="preserve">  The Stipulation also included a non-bypassable Distribution Modernization Rider.  At the time of the filing of the Stipulation, IGS and many others  indicated that they “do</w:t>
      </w:r>
      <w:r w:rsidR="00EE630B" w:rsidRPr="00EE630B">
        <w:rPr>
          <w:rFonts w:ascii="Arial" w:hAnsi="Arial" w:cs="Arial"/>
        </w:rPr>
        <w:t xml:space="preserve"> not support but agree not to</w:t>
      </w:r>
      <w:r w:rsidR="00EE630B">
        <w:rPr>
          <w:rFonts w:ascii="Arial" w:hAnsi="Arial" w:cs="Arial"/>
        </w:rPr>
        <w:t xml:space="preserve"> </w:t>
      </w:r>
      <w:r w:rsidR="00EE630B" w:rsidRPr="00EE630B">
        <w:rPr>
          <w:rFonts w:ascii="Arial" w:hAnsi="Arial" w:cs="Arial"/>
        </w:rPr>
        <w:t>oppose Section 11.2.</w:t>
      </w:r>
      <w:r w:rsidR="00EE630B">
        <w:rPr>
          <w:rFonts w:ascii="Arial" w:hAnsi="Arial" w:cs="Arial"/>
        </w:rPr>
        <w:t xml:space="preserve"> [the DMR]</w:t>
      </w:r>
      <w:r w:rsidR="00EE630B" w:rsidRPr="00EE630B">
        <w:rPr>
          <w:rFonts w:ascii="Arial" w:hAnsi="Arial" w:cs="Arial"/>
        </w:rPr>
        <w:t xml:space="preserve"> of the Stipulation taking into consideration the Stipulation as a package.</w:t>
      </w:r>
      <w:r w:rsidR="00EE630B">
        <w:rPr>
          <w:rFonts w:ascii="Arial" w:hAnsi="Arial" w:cs="Arial"/>
        </w:rPr>
        <w:t>”</w:t>
      </w:r>
    </w:p>
    <w:p w14:paraId="3EB21657" w14:textId="77777777" w:rsidR="00EE630B" w:rsidRDefault="00EE630B" w:rsidP="00EE630B">
      <w:pPr>
        <w:spacing w:after="0" w:line="480" w:lineRule="auto"/>
        <w:ind w:left="720" w:hanging="720"/>
        <w:jc w:val="both"/>
        <w:rPr>
          <w:rFonts w:ascii="Arial" w:hAnsi="Arial" w:cs="Arial"/>
          <w:b/>
        </w:rPr>
      </w:pPr>
      <w:r>
        <w:rPr>
          <w:rFonts w:ascii="Arial" w:hAnsi="Arial" w:cs="Arial"/>
          <w:b/>
        </w:rPr>
        <w:t xml:space="preserve">Q. </w:t>
      </w:r>
      <w:r>
        <w:rPr>
          <w:rFonts w:ascii="Arial" w:hAnsi="Arial" w:cs="Arial"/>
          <w:b/>
        </w:rPr>
        <w:tab/>
        <w:t>Did the Commission authorize the Amended Stipulation without modification?</w:t>
      </w:r>
    </w:p>
    <w:p w14:paraId="510FDEBF" w14:textId="57BFBBEC" w:rsidR="00EE630B" w:rsidRDefault="00EE630B" w:rsidP="00EE630B">
      <w:pPr>
        <w:spacing w:after="0" w:line="480" w:lineRule="auto"/>
        <w:ind w:left="720" w:hanging="720"/>
        <w:jc w:val="both"/>
        <w:rPr>
          <w:rFonts w:ascii="Arial" w:hAnsi="Arial" w:cs="Arial"/>
        </w:rPr>
      </w:pPr>
      <w:r>
        <w:rPr>
          <w:rFonts w:ascii="Arial" w:hAnsi="Arial" w:cs="Arial"/>
        </w:rPr>
        <w:t xml:space="preserve">A. </w:t>
      </w:r>
      <w:r>
        <w:rPr>
          <w:rFonts w:ascii="Arial" w:hAnsi="Arial" w:cs="Arial"/>
        </w:rPr>
        <w:tab/>
        <w:t xml:space="preserve">No, it did not.  Although the Stipulation was presented as a “package deal,” the Commission modified the Amended Stipulation to require </w:t>
      </w:r>
      <w:r w:rsidR="002B1672">
        <w:rPr>
          <w:rFonts w:ascii="Arial" w:hAnsi="Arial" w:cs="Arial"/>
        </w:rPr>
        <w:t xml:space="preserve">that Rider RR </w:t>
      </w:r>
      <w:r>
        <w:rPr>
          <w:rFonts w:ascii="Arial" w:hAnsi="Arial" w:cs="Arial"/>
        </w:rPr>
        <w:t>be non-</w:t>
      </w:r>
      <w:r>
        <w:rPr>
          <w:rFonts w:ascii="Arial" w:hAnsi="Arial" w:cs="Arial"/>
        </w:rPr>
        <w:lastRenderedPageBreak/>
        <w:t>bypassable by customers served by the CRES provider.  Because IGS’ support of the Stipulation was contingent on the package being approved as a whole, IGS then withdrew</w:t>
      </w:r>
      <w:r w:rsidR="002B1672">
        <w:rPr>
          <w:rFonts w:ascii="Arial" w:hAnsi="Arial" w:cs="Arial"/>
        </w:rPr>
        <w:t xml:space="preserve"> from the Stipulation</w:t>
      </w:r>
      <w:r>
        <w:rPr>
          <w:rFonts w:ascii="Arial" w:hAnsi="Arial" w:cs="Arial"/>
        </w:rPr>
        <w:t xml:space="preserve">.  Consequently, IGS challenges the </w:t>
      </w:r>
      <w:r w:rsidR="00523A66">
        <w:rPr>
          <w:rFonts w:ascii="Arial" w:hAnsi="Arial" w:cs="Arial"/>
        </w:rPr>
        <w:t xml:space="preserve">Amended Stipulation.  </w:t>
      </w:r>
    </w:p>
    <w:p w14:paraId="68E128BD" w14:textId="77777777" w:rsidR="00523A66" w:rsidRDefault="00523A66" w:rsidP="00EE630B">
      <w:pPr>
        <w:spacing w:after="0" w:line="480" w:lineRule="auto"/>
        <w:ind w:left="720" w:hanging="720"/>
        <w:jc w:val="both"/>
        <w:rPr>
          <w:rFonts w:ascii="Arial" w:hAnsi="Arial" w:cs="Arial"/>
          <w:b/>
        </w:rPr>
      </w:pPr>
      <w:r>
        <w:rPr>
          <w:rFonts w:ascii="Arial" w:hAnsi="Arial" w:cs="Arial"/>
          <w:b/>
        </w:rPr>
        <w:t xml:space="preserve">Q. </w:t>
      </w:r>
      <w:r>
        <w:rPr>
          <w:rFonts w:ascii="Arial" w:hAnsi="Arial" w:cs="Arial"/>
          <w:b/>
        </w:rPr>
        <w:tab/>
        <w:t>What is the purpose of your testimony?</w:t>
      </w:r>
    </w:p>
    <w:p w14:paraId="20E4D552" w14:textId="2C4AB0F7" w:rsidR="00523A66" w:rsidRDefault="00523A66" w:rsidP="00523A66">
      <w:pPr>
        <w:spacing w:after="0" w:line="480" w:lineRule="auto"/>
        <w:ind w:left="720" w:hanging="720"/>
        <w:jc w:val="both"/>
        <w:rPr>
          <w:rFonts w:ascii="Arial" w:hAnsi="Arial" w:cs="Arial"/>
        </w:rPr>
      </w:pPr>
      <w:r>
        <w:rPr>
          <w:rFonts w:ascii="Arial" w:hAnsi="Arial" w:cs="Arial"/>
        </w:rPr>
        <w:t xml:space="preserve">A. </w:t>
      </w:r>
      <w:r>
        <w:rPr>
          <w:rFonts w:ascii="Arial" w:hAnsi="Arial" w:cs="Arial"/>
        </w:rPr>
        <w:tab/>
        <w:t>The purpose of my testimony is to describe elements of the Amended Stipulation and the unmodified portions of the ESP Application that are not in the public interest and otherwise violated regulatory practices and principles.</w:t>
      </w:r>
      <w:r w:rsidR="002B1672">
        <w:rPr>
          <w:rFonts w:ascii="Arial" w:hAnsi="Arial" w:cs="Arial"/>
        </w:rPr>
        <w:t xml:space="preserve"> </w:t>
      </w:r>
      <w:r>
        <w:rPr>
          <w:rFonts w:ascii="Arial" w:hAnsi="Arial" w:cs="Arial"/>
        </w:rPr>
        <w:t>Specifically,</w:t>
      </w:r>
      <w:r w:rsidR="00DB3A5C">
        <w:rPr>
          <w:rFonts w:ascii="Arial" w:hAnsi="Arial" w:cs="Arial"/>
        </w:rPr>
        <w:t xml:space="preserve"> I urge the Commission to establish the RR as a bypas</w:t>
      </w:r>
      <w:r w:rsidR="00712BEA">
        <w:rPr>
          <w:rFonts w:ascii="Arial" w:hAnsi="Arial" w:cs="Arial"/>
        </w:rPr>
        <w:t>s</w:t>
      </w:r>
      <w:r w:rsidR="00DB3A5C">
        <w:rPr>
          <w:rFonts w:ascii="Arial" w:hAnsi="Arial" w:cs="Arial"/>
        </w:rPr>
        <w:t xml:space="preserve">able rider, which will </w:t>
      </w:r>
      <w:r w:rsidR="003177B4">
        <w:rPr>
          <w:rFonts w:ascii="Arial" w:hAnsi="Arial" w:cs="Arial"/>
        </w:rPr>
        <w:t>ensure that shopping customers are not responsible for paying costs associated with DP&amp;L’s legacy investment in aging generation assets.</w:t>
      </w:r>
      <w:r>
        <w:rPr>
          <w:rFonts w:ascii="Arial" w:hAnsi="Arial" w:cs="Arial"/>
        </w:rPr>
        <w:t xml:space="preserve"> I reach the conclusion that the DMR is an inappropriate anti-competitive subsidy for the benefit of an unregulated entity, DPL Inc.  The result of this subsidy is to place IGS and the IGS family of companies—all of which are locally based—at a competitive disadvantage in various competitive generation and retail markets in Ohio. I further explain that the Amended Stipulation is unjust and unreasonable inasmuch as it requires CRES providers to pay exorbitant unsubstantiated fees for historical usage data, as well discriminatory switching fees that are not equally applied to customers switching to default service. </w:t>
      </w:r>
      <w:r w:rsidR="00DB3A5C">
        <w:rPr>
          <w:rFonts w:ascii="Arial" w:hAnsi="Arial" w:cs="Arial"/>
        </w:rPr>
        <w:t>Finally, I recommend that the Commission establish a rider mechanism to facilitate the unbundling of SSO-related costs,</w:t>
      </w:r>
      <w:r w:rsidR="002B1672">
        <w:rPr>
          <w:rFonts w:ascii="Arial" w:hAnsi="Arial" w:cs="Arial"/>
        </w:rPr>
        <w:t xml:space="preserve"> as contemplated in the stipulation,</w:t>
      </w:r>
      <w:r w:rsidR="00DB3A5C">
        <w:rPr>
          <w:rFonts w:ascii="Arial" w:hAnsi="Arial" w:cs="Arial"/>
        </w:rPr>
        <w:t xml:space="preserve"> which are currently being recover</w:t>
      </w:r>
      <w:r w:rsidR="005E7F73">
        <w:rPr>
          <w:rFonts w:ascii="Arial" w:hAnsi="Arial" w:cs="Arial"/>
        </w:rPr>
        <w:t>ed</w:t>
      </w:r>
      <w:r w:rsidR="00DB3A5C">
        <w:rPr>
          <w:rFonts w:ascii="Arial" w:hAnsi="Arial" w:cs="Arial"/>
        </w:rPr>
        <w:t xml:space="preserve"> through distribution rates.</w:t>
      </w:r>
    </w:p>
    <w:p w14:paraId="05D86B88" w14:textId="77777777" w:rsidR="00523A66" w:rsidRDefault="00523A66" w:rsidP="00523A66">
      <w:pPr>
        <w:spacing w:after="0" w:line="480" w:lineRule="auto"/>
        <w:ind w:left="720" w:hanging="720"/>
        <w:jc w:val="both"/>
        <w:rPr>
          <w:rFonts w:ascii="Arial" w:hAnsi="Arial" w:cs="Arial"/>
          <w:b/>
        </w:rPr>
      </w:pPr>
      <w:r>
        <w:rPr>
          <w:rFonts w:ascii="Arial" w:hAnsi="Arial" w:cs="Arial"/>
          <w:b/>
        </w:rPr>
        <w:t xml:space="preserve">II. </w:t>
      </w:r>
      <w:r>
        <w:rPr>
          <w:rFonts w:ascii="Arial" w:hAnsi="Arial" w:cs="Arial"/>
        </w:rPr>
        <w:t xml:space="preserve"> </w:t>
      </w:r>
      <w:r w:rsidR="003177B4">
        <w:rPr>
          <w:rFonts w:ascii="Arial" w:hAnsi="Arial" w:cs="Arial"/>
          <w:b/>
        </w:rPr>
        <w:tab/>
        <w:t>T</w:t>
      </w:r>
      <w:r w:rsidR="00E15750">
        <w:rPr>
          <w:rFonts w:ascii="Arial" w:hAnsi="Arial" w:cs="Arial"/>
          <w:b/>
        </w:rPr>
        <w:t>HE</w:t>
      </w:r>
      <w:r w:rsidR="003177B4">
        <w:rPr>
          <w:rFonts w:ascii="Arial" w:hAnsi="Arial" w:cs="Arial"/>
          <w:b/>
        </w:rPr>
        <w:t xml:space="preserve"> RR</w:t>
      </w:r>
    </w:p>
    <w:p w14:paraId="5AA1F17C" w14:textId="117DBE64" w:rsidR="003177B4" w:rsidRPr="003A1A01" w:rsidRDefault="003177B4" w:rsidP="003177B4">
      <w:pPr>
        <w:keepNext/>
        <w:spacing w:line="480" w:lineRule="auto"/>
        <w:ind w:left="720" w:hanging="720"/>
        <w:rPr>
          <w:rFonts w:ascii="Arial" w:hAnsi="Arial" w:cs="Arial"/>
          <w:b/>
        </w:rPr>
      </w:pPr>
      <w:r>
        <w:rPr>
          <w:rFonts w:ascii="Arial" w:hAnsi="Arial" w:cs="Arial"/>
          <w:b/>
        </w:rPr>
        <w:lastRenderedPageBreak/>
        <w:t xml:space="preserve">Q. </w:t>
      </w:r>
      <w:r>
        <w:rPr>
          <w:rFonts w:ascii="Arial" w:hAnsi="Arial" w:cs="Arial"/>
          <w:b/>
        </w:rPr>
        <w:tab/>
      </w:r>
      <w:r w:rsidRPr="003A1A01">
        <w:rPr>
          <w:rFonts w:ascii="Arial" w:hAnsi="Arial" w:cs="Arial"/>
          <w:b/>
        </w:rPr>
        <w:t xml:space="preserve">Do you believe that the Commission should authorize the </w:t>
      </w:r>
      <w:r w:rsidR="002B1672">
        <w:rPr>
          <w:rFonts w:ascii="Arial" w:hAnsi="Arial" w:cs="Arial"/>
          <w:b/>
        </w:rPr>
        <w:t>RR mechanism that provides non-bypassable cost recovery for OVEC generation assets</w:t>
      </w:r>
      <w:r w:rsidRPr="003A1A01">
        <w:rPr>
          <w:rFonts w:ascii="Arial" w:hAnsi="Arial" w:cs="Arial"/>
          <w:b/>
        </w:rPr>
        <w:t>?</w:t>
      </w:r>
    </w:p>
    <w:p w14:paraId="11B9FAEA" w14:textId="289A7943" w:rsidR="003177B4" w:rsidRDefault="003177B4" w:rsidP="003177B4">
      <w:pPr>
        <w:keepNext/>
        <w:spacing w:line="480" w:lineRule="auto"/>
        <w:ind w:left="720" w:hanging="720"/>
        <w:rPr>
          <w:rFonts w:ascii="Arial" w:hAnsi="Arial" w:cs="Arial"/>
        </w:rPr>
      </w:pPr>
      <w:r w:rsidRPr="003A1A01">
        <w:rPr>
          <w:rFonts w:ascii="Arial" w:hAnsi="Arial" w:cs="Arial"/>
        </w:rPr>
        <w:t xml:space="preserve">A. </w:t>
      </w:r>
      <w:r w:rsidRPr="003A1A01">
        <w:rPr>
          <w:rFonts w:ascii="Arial" w:hAnsi="Arial" w:cs="Arial"/>
        </w:rPr>
        <w:tab/>
        <w:t>No</w:t>
      </w:r>
      <w:r w:rsidR="002B1672">
        <w:rPr>
          <w:rFonts w:ascii="Arial" w:hAnsi="Arial" w:cs="Arial"/>
        </w:rPr>
        <w:t>.</w:t>
      </w:r>
      <w:r w:rsidRPr="003A1A01">
        <w:rPr>
          <w:rFonts w:ascii="Arial" w:hAnsi="Arial" w:cs="Arial"/>
        </w:rPr>
        <w:t xml:space="preserve"> </w:t>
      </w:r>
      <w:r w:rsidR="002B1672">
        <w:rPr>
          <w:rFonts w:ascii="Arial" w:hAnsi="Arial" w:cs="Arial"/>
        </w:rPr>
        <w:t>T</w:t>
      </w:r>
      <w:r w:rsidRPr="003A1A01">
        <w:rPr>
          <w:rFonts w:ascii="Arial" w:hAnsi="Arial" w:cs="Arial"/>
        </w:rPr>
        <w:t>hrough the RR, DP&amp;L seeks to recover “the difference between its OVEC [Ohio Valley Electric Corporation] expenses and the amounts that DP&amp;L received from selling that generation into PJM's day-ahead markets, to the extent that those costs are not recovered through DP&amp;L's Fuel Rider.”</w:t>
      </w:r>
      <w:r w:rsidRPr="003A1A01">
        <w:rPr>
          <w:rStyle w:val="FootnoteReference"/>
          <w:rFonts w:ascii="Arial" w:hAnsi="Arial" w:cs="Arial"/>
        </w:rPr>
        <w:footnoteReference w:id="1"/>
      </w:r>
      <w:r w:rsidRPr="003A1A01">
        <w:rPr>
          <w:rFonts w:ascii="Arial" w:hAnsi="Arial" w:cs="Arial"/>
        </w:rPr>
        <w:t xml:space="preserve">  The RR would be charged to all distribution customers. </w:t>
      </w:r>
      <w:r w:rsidR="00FC1627">
        <w:rPr>
          <w:rFonts w:ascii="Arial" w:hAnsi="Arial" w:cs="Arial"/>
        </w:rPr>
        <w:t xml:space="preserve"> </w:t>
      </w:r>
      <w:r w:rsidRPr="003A1A01">
        <w:rPr>
          <w:rFonts w:ascii="Arial" w:hAnsi="Arial" w:cs="Arial"/>
        </w:rPr>
        <w:t xml:space="preserve">The Commission should reject this proposal because it would allow DP&amp;L to receive generation-related revenue that it cannot otherwise recover from competitive market.  Indeed, it is structured specifically to ensure that the DP&amp;L is able to collect the difference between the cost-based revenue requirement that DP&amp;L pays to OVEC and the revenues that DP&amp;L’s OVEC entitlement produces from the competitive market.  </w:t>
      </w:r>
    </w:p>
    <w:p w14:paraId="26DBA6D2" w14:textId="77777777" w:rsidR="003177B4" w:rsidRDefault="003177B4" w:rsidP="003177B4">
      <w:pPr>
        <w:keepNext/>
        <w:spacing w:line="480" w:lineRule="auto"/>
        <w:ind w:left="720" w:hanging="720"/>
        <w:rPr>
          <w:rFonts w:ascii="Arial" w:hAnsi="Arial" w:cs="Arial"/>
          <w:b/>
        </w:rPr>
      </w:pPr>
      <w:r>
        <w:rPr>
          <w:rFonts w:ascii="Arial" w:hAnsi="Arial" w:cs="Arial"/>
          <w:b/>
        </w:rPr>
        <w:t xml:space="preserve">Q. </w:t>
      </w:r>
      <w:r>
        <w:rPr>
          <w:rFonts w:ascii="Arial" w:hAnsi="Arial" w:cs="Arial"/>
          <w:b/>
        </w:rPr>
        <w:tab/>
        <w:t>Do you think the RR is a hedge?</w:t>
      </w:r>
    </w:p>
    <w:p w14:paraId="539B8886" w14:textId="45988F3E" w:rsidR="003177B4" w:rsidRDefault="003177B4" w:rsidP="003177B4">
      <w:pPr>
        <w:keepNext/>
        <w:spacing w:line="480" w:lineRule="auto"/>
        <w:ind w:left="720" w:hanging="720"/>
        <w:rPr>
          <w:rFonts w:ascii="Arial" w:hAnsi="Arial" w:cs="Arial"/>
        </w:rPr>
      </w:pPr>
      <w:r>
        <w:rPr>
          <w:rFonts w:ascii="Arial" w:hAnsi="Arial" w:cs="Arial"/>
        </w:rPr>
        <w:t xml:space="preserve">A. </w:t>
      </w:r>
      <w:r>
        <w:rPr>
          <w:rFonts w:ascii="Arial" w:hAnsi="Arial" w:cs="Arial"/>
        </w:rPr>
        <w:tab/>
        <w:t xml:space="preserve">No, I do not.  To my knowledge, DP&amp;L has been losing money on OVEC for nearly a decade.  There is no reason to expect that trend to change.  Moreover, as discussed in the testimony of Joseph Haugen, PJM has proposed changes to the capacity market that may disqualify DP&amp;L from participating in the PJM capacity market.  To that extent </w:t>
      </w:r>
      <w:r>
        <w:rPr>
          <w:rFonts w:ascii="Arial" w:hAnsi="Arial" w:cs="Arial"/>
        </w:rPr>
        <w:lastRenderedPageBreak/>
        <w:t>that occurs, the RR would have very l</w:t>
      </w:r>
      <w:r w:rsidR="006717E9">
        <w:rPr>
          <w:rFonts w:ascii="Arial" w:hAnsi="Arial" w:cs="Arial"/>
        </w:rPr>
        <w:t>it</w:t>
      </w:r>
      <w:r>
        <w:rPr>
          <w:rFonts w:ascii="Arial" w:hAnsi="Arial" w:cs="Arial"/>
        </w:rPr>
        <w:t xml:space="preserve">tle chance of providing a credit to customers. </w:t>
      </w:r>
      <w:r w:rsidR="002B1672">
        <w:rPr>
          <w:rFonts w:ascii="Arial" w:hAnsi="Arial" w:cs="Arial"/>
        </w:rPr>
        <w:t>It will only provide a windfall for DP&amp;L.</w:t>
      </w:r>
      <w:r>
        <w:rPr>
          <w:rFonts w:ascii="Arial" w:hAnsi="Arial" w:cs="Arial"/>
        </w:rPr>
        <w:t xml:space="preserve"> </w:t>
      </w:r>
    </w:p>
    <w:p w14:paraId="10D16C67" w14:textId="77777777" w:rsidR="003177B4" w:rsidRDefault="003177B4" w:rsidP="003177B4">
      <w:pPr>
        <w:keepNext/>
        <w:spacing w:line="480" w:lineRule="auto"/>
        <w:ind w:left="720" w:hanging="720"/>
        <w:rPr>
          <w:rFonts w:ascii="Arial" w:hAnsi="Arial" w:cs="Arial"/>
          <w:b/>
        </w:rPr>
      </w:pPr>
      <w:r>
        <w:rPr>
          <w:rFonts w:ascii="Arial" w:hAnsi="Arial" w:cs="Arial"/>
          <w:b/>
        </w:rPr>
        <w:t xml:space="preserve">Q. </w:t>
      </w:r>
      <w:r>
        <w:rPr>
          <w:rFonts w:ascii="Arial" w:hAnsi="Arial" w:cs="Arial"/>
          <w:b/>
        </w:rPr>
        <w:tab/>
      </w:r>
      <w:r w:rsidR="006717E9">
        <w:rPr>
          <w:rFonts w:ascii="Arial" w:hAnsi="Arial" w:cs="Arial"/>
          <w:b/>
        </w:rPr>
        <w:t>Do you have any recommendations regarding the RR?</w:t>
      </w:r>
    </w:p>
    <w:p w14:paraId="4D38583A" w14:textId="0454834A" w:rsidR="006717E9" w:rsidRDefault="006717E9" w:rsidP="003177B4">
      <w:pPr>
        <w:keepNext/>
        <w:spacing w:line="480" w:lineRule="auto"/>
        <w:ind w:left="720" w:hanging="720"/>
        <w:rPr>
          <w:rFonts w:ascii="Arial" w:hAnsi="Arial" w:cs="Arial"/>
        </w:rPr>
      </w:pPr>
      <w:r>
        <w:rPr>
          <w:rFonts w:ascii="Arial" w:hAnsi="Arial" w:cs="Arial"/>
        </w:rPr>
        <w:t xml:space="preserve">A. </w:t>
      </w:r>
      <w:r>
        <w:rPr>
          <w:rFonts w:ascii="Arial" w:hAnsi="Arial" w:cs="Arial"/>
        </w:rPr>
        <w:tab/>
        <w:t xml:space="preserve">Yes, I suggest </w:t>
      </w:r>
      <w:r w:rsidR="005E7F73">
        <w:rPr>
          <w:rFonts w:ascii="Arial" w:hAnsi="Arial" w:cs="Arial"/>
        </w:rPr>
        <w:t>t</w:t>
      </w:r>
      <w:r>
        <w:rPr>
          <w:rFonts w:ascii="Arial" w:hAnsi="Arial" w:cs="Arial"/>
        </w:rPr>
        <w:t>hat the Commission authorize the RR to be bypassable.  M</w:t>
      </w:r>
      <w:r w:rsidRPr="006717E9">
        <w:rPr>
          <w:rFonts w:ascii="Arial" w:hAnsi="Arial" w:cs="Arial"/>
        </w:rPr>
        <w:t>aking any cost recovery related to DP&amp;L’s OVEC entitlement bypassable avoids an anticompetitive subsidy that would result from collecting generation related costs through nonbypassable charges imposed on shopping customers</w:t>
      </w:r>
      <w:r>
        <w:rPr>
          <w:rFonts w:ascii="Arial" w:hAnsi="Arial" w:cs="Arial"/>
        </w:rPr>
        <w:t xml:space="preserve">. </w:t>
      </w:r>
    </w:p>
    <w:p w14:paraId="059D7461" w14:textId="77777777" w:rsidR="006717E9" w:rsidRPr="006717E9" w:rsidRDefault="006717E9" w:rsidP="003177B4">
      <w:pPr>
        <w:keepNext/>
        <w:spacing w:line="480" w:lineRule="auto"/>
        <w:ind w:left="720" w:hanging="720"/>
        <w:rPr>
          <w:rFonts w:ascii="Arial" w:hAnsi="Arial" w:cs="Arial"/>
          <w:b/>
        </w:rPr>
      </w:pPr>
      <w:r>
        <w:rPr>
          <w:rFonts w:ascii="Arial" w:hAnsi="Arial" w:cs="Arial"/>
          <w:b/>
        </w:rPr>
        <w:t xml:space="preserve">III. </w:t>
      </w:r>
      <w:r>
        <w:rPr>
          <w:rFonts w:ascii="Arial" w:hAnsi="Arial" w:cs="Arial"/>
          <w:b/>
        </w:rPr>
        <w:tab/>
      </w:r>
      <w:r w:rsidR="00E15750">
        <w:rPr>
          <w:rFonts w:ascii="Arial" w:hAnsi="Arial" w:cs="Arial"/>
          <w:b/>
        </w:rPr>
        <w:t>THE DMR</w:t>
      </w:r>
    </w:p>
    <w:p w14:paraId="04864F69" w14:textId="77777777" w:rsidR="00E15750" w:rsidRDefault="00E15750" w:rsidP="00E15750">
      <w:pPr>
        <w:spacing w:after="0" w:line="480" w:lineRule="auto"/>
        <w:ind w:left="720" w:hanging="720"/>
        <w:jc w:val="both"/>
        <w:rPr>
          <w:rFonts w:ascii="Arial" w:hAnsi="Arial" w:cs="Arial"/>
          <w:b/>
        </w:rPr>
      </w:pPr>
      <w:r>
        <w:rPr>
          <w:rFonts w:ascii="Arial" w:hAnsi="Arial" w:cs="Arial"/>
          <w:b/>
        </w:rPr>
        <w:t xml:space="preserve">Q. </w:t>
      </w:r>
      <w:r>
        <w:rPr>
          <w:rFonts w:ascii="Arial" w:hAnsi="Arial" w:cs="Arial"/>
          <w:b/>
        </w:rPr>
        <w:tab/>
        <w:t>What is the DMR?</w:t>
      </w:r>
    </w:p>
    <w:p w14:paraId="2FA11C07" w14:textId="77777777" w:rsidR="00E15750" w:rsidRPr="00E15750" w:rsidRDefault="00E15750" w:rsidP="00E15750">
      <w:pPr>
        <w:spacing w:after="0" w:line="480" w:lineRule="auto"/>
        <w:ind w:left="720" w:hanging="720"/>
        <w:jc w:val="both"/>
        <w:rPr>
          <w:rFonts w:ascii="Arial" w:hAnsi="Arial" w:cs="Arial"/>
          <w:b/>
        </w:rPr>
      </w:pPr>
      <w:r w:rsidRPr="00E15750">
        <w:rPr>
          <w:rFonts w:ascii="Arial" w:hAnsi="Arial" w:cs="Arial"/>
        </w:rPr>
        <w:t>A.</w:t>
      </w:r>
      <w:r>
        <w:rPr>
          <w:rFonts w:ascii="Arial" w:hAnsi="Arial" w:cs="Arial"/>
          <w:b/>
        </w:rPr>
        <w:t xml:space="preserve"> </w:t>
      </w:r>
      <w:r>
        <w:rPr>
          <w:rFonts w:ascii="Arial" w:hAnsi="Arial" w:cs="Arial"/>
          <w:b/>
        </w:rPr>
        <w:tab/>
      </w:r>
      <w:r w:rsidRPr="00E15750">
        <w:rPr>
          <w:rFonts w:ascii="Arial" w:hAnsi="Arial" w:cs="Arial"/>
        </w:rPr>
        <w:t xml:space="preserve">The DMR is described as a rider that will enhance both DPL’s and DP&amp;L's financial integrity and provide for a more robust distribution service for customers. </w:t>
      </w:r>
      <w:r w:rsidRPr="00E15750">
        <w:rPr>
          <w:rFonts w:ascii="Arial" w:hAnsi="Arial" w:cs="Arial"/>
        </w:rPr>
        <w:tab/>
        <w:t>It is a non-bypassable charge applicable to all distribution customers.</w:t>
      </w:r>
    </w:p>
    <w:p w14:paraId="52BD0AD0" w14:textId="446E69E3" w:rsidR="00B50370" w:rsidRDefault="00E15750" w:rsidP="00EE630B">
      <w:pPr>
        <w:pStyle w:val="BodyText"/>
        <w:spacing w:line="480" w:lineRule="auto"/>
        <w:ind w:left="720" w:hanging="720"/>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 xml:space="preserve">Is the DMR intended </w:t>
      </w:r>
      <w:r w:rsidR="005E7F73">
        <w:rPr>
          <w:rFonts w:ascii="Arial" w:hAnsi="Arial" w:cs="Arial"/>
          <w:b/>
          <w:sz w:val="24"/>
          <w:szCs w:val="24"/>
        </w:rPr>
        <w:t xml:space="preserve">to </w:t>
      </w:r>
      <w:r>
        <w:rPr>
          <w:rFonts w:ascii="Arial" w:hAnsi="Arial" w:cs="Arial"/>
          <w:b/>
          <w:sz w:val="24"/>
          <w:szCs w:val="24"/>
        </w:rPr>
        <w:t>support the financial integrity benefit DP&amp;L or DPL Inc. (“DPL”)?</w:t>
      </w:r>
    </w:p>
    <w:p w14:paraId="3954B856" w14:textId="4FCE90C5" w:rsidR="00E15750" w:rsidRDefault="00E15750" w:rsidP="00EE630B">
      <w:pPr>
        <w:pStyle w:val="BodyText"/>
        <w:spacing w:line="480" w:lineRule="auto"/>
        <w:ind w:left="720" w:hanging="720"/>
        <w:rPr>
          <w:rFonts w:ascii="Arial" w:hAnsi="Arial" w:cs="Arial"/>
          <w:sz w:val="24"/>
          <w:szCs w:val="24"/>
        </w:rPr>
      </w:pPr>
      <w:r>
        <w:rPr>
          <w:rFonts w:ascii="Arial" w:hAnsi="Arial" w:cs="Arial"/>
          <w:sz w:val="24"/>
          <w:szCs w:val="24"/>
        </w:rPr>
        <w:t xml:space="preserve">A. </w:t>
      </w:r>
      <w:r>
        <w:rPr>
          <w:rFonts w:ascii="Arial" w:hAnsi="Arial" w:cs="Arial"/>
          <w:sz w:val="24"/>
          <w:szCs w:val="24"/>
        </w:rPr>
        <w:tab/>
        <w:t>For reasons discussed more thoroughly by witness Hess, my understanding is that the purpose of the DMR is to support the financial integrity of DPL</w:t>
      </w:r>
      <w:r w:rsidR="002B1672">
        <w:rPr>
          <w:rFonts w:ascii="Arial" w:hAnsi="Arial" w:cs="Arial"/>
          <w:sz w:val="24"/>
          <w:szCs w:val="24"/>
        </w:rPr>
        <w:t>, the parent company, not the utility</w:t>
      </w:r>
      <w:r>
        <w:rPr>
          <w:rFonts w:ascii="Arial" w:hAnsi="Arial" w:cs="Arial"/>
          <w:sz w:val="24"/>
          <w:szCs w:val="24"/>
        </w:rPr>
        <w:t>.</w:t>
      </w:r>
      <w:r w:rsidR="006B2606">
        <w:rPr>
          <w:rFonts w:ascii="Arial" w:hAnsi="Arial" w:cs="Arial"/>
          <w:sz w:val="24"/>
          <w:szCs w:val="24"/>
        </w:rPr>
        <w:t xml:space="preserve">  While DP&amp;L still owned generation assets, I believe that it was able to somewhat muddy the waters with respect to the need for the DMR.  But now that it has transferred its generation assets, it is clear that the purpose of the DMR is to prop up the earnings of DPL, which is an unregulated entity.  </w:t>
      </w:r>
    </w:p>
    <w:p w14:paraId="02308EDE" w14:textId="77777777" w:rsidR="006B2606" w:rsidRDefault="006B2606" w:rsidP="00EE630B">
      <w:pPr>
        <w:pStyle w:val="BodyText"/>
        <w:spacing w:line="480" w:lineRule="auto"/>
        <w:ind w:left="720" w:hanging="720"/>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Should the Commission have concerns over DPL’s ability to pay of its debts?</w:t>
      </w:r>
    </w:p>
    <w:p w14:paraId="1BE5830A" w14:textId="77777777" w:rsidR="006B2606" w:rsidRPr="006B2606" w:rsidRDefault="006B2606" w:rsidP="006B2606">
      <w:pPr>
        <w:pStyle w:val="BodyText"/>
        <w:spacing w:line="480" w:lineRule="auto"/>
        <w:ind w:left="720" w:hanging="720"/>
        <w:rPr>
          <w:rFonts w:ascii="Arial" w:hAnsi="Arial" w:cs="Arial"/>
          <w:sz w:val="24"/>
          <w:szCs w:val="24"/>
        </w:rPr>
      </w:pPr>
      <w:r>
        <w:rPr>
          <w:rFonts w:ascii="Arial" w:hAnsi="Arial" w:cs="Arial"/>
          <w:sz w:val="24"/>
          <w:szCs w:val="24"/>
        </w:rPr>
        <w:lastRenderedPageBreak/>
        <w:t xml:space="preserve">A. </w:t>
      </w:r>
      <w:r>
        <w:rPr>
          <w:rFonts w:ascii="Arial" w:hAnsi="Arial" w:cs="Arial"/>
          <w:sz w:val="24"/>
          <w:szCs w:val="24"/>
        </w:rPr>
        <w:tab/>
        <w:t xml:space="preserve">No, it should not.  DPL is wholly owned by the AES Corporation, which is a fortune 500 company.  To the extent that DPL’s available cash flows are insufficient to cover DPL’s debt expenses, AES will have no other option then to provide an equity infusion to DPL.  </w:t>
      </w:r>
    </w:p>
    <w:p w14:paraId="4EE0C670" w14:textId="77777777" w:rsidR="006B2606" w:rsidRDefault="006B2606" w:rsidP="006B2606">
      <w:pPr>
        <w:pStyle w:val="BodyText"/>
        <w:spacing w:line="480" w:lineRule="auto"/>
        <w:ind w:left="720" w:hanging="720"/>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If AES did not provide an equity infusion to DPL and DPL cannot pay its debts, would that have a negative impact on DP&amp;L and its customers?</w:t>
      </w:r>
    </w:p>
    <w:p w14:paraId="2029A330" w14:textId="55DD4912" w:rsidR="00D10E00" w:rsidRDefault="006B2606" w:rsidP="006B2606">
      <w:pPr>
        <w:pStyle w:val="BodyText"/>
        <w:spacing w:line="480" w:lineRule="auto"/>
        <w:ind w:left="720" w:hanging="720"/>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No, it would not.  First, it is important to acknowledge that DPL’s debt is primarily held by </w:t>
      </w:r>
      <w:r w:rsidR="00FC1627">
        <w:rPr>
          <w:rFonts w:ascii="Arial" w:hAnsi="Arial" w:cs="Arial"/>
          <w:sz w:val="24"/>
          <w:szCs w:val="24"/>
        </w:rPr>
        <w:t>out-of-state banks</w:t>
      </w:r>
      <w:r>
        <w:rPr>
          <w:rFonts w:ascii="Arial" w:hAnsi="Arial" w:cs="Arial"/>
          <w:sz w:val="24"/>
          <w:szCs w:val="24"/>
        </w:rPr>
        <w:t xml:space="preserve">.  Therefore, </w:t>
      </w:r>
      <w:r w:rsidR="00FC1627">
        <w:rPr>
          <w:rFonts w:ascii="Arial" w:hAnsi="Arial" w:cs="Arial"/>
          <w:sz w:val="24"/>
          <w:szCs w:val="24"/>
        </w:rPr>
        <w:t xml:space="preserve">much if not </w:t>
      </w:r>
      <w:r>
        <w:rPr>
          <w:rFonts w:ascii="Arial" w:hAnsi="Arial" w:cs="Arial"/>
          <w:sz w:val="24"/>
          <w:szCs w:val="24"/>
        </w:rPr>
        <w:t xml:space="preserve">all of the interest and discretionary debt payments that DPL proposes to make with DMR funds are being sent out of the state of Ohio.  Thus, the real purpose of the DMR </w:t>
      </w:r>
      <w:r w:rsidR="00D10E00">
        <w:rPr>
          <w:rFonts w:ascii="Arial" w:hAnsi="Arial" w:cs="Arial"/>
          <w:sz w:val="24"/>
          <w:szCs w:val="24"/>
        </w:rPr>
        <w:t>is to syphon</w:t>
      </w:r>
      <w:r>
        <w:rPr>
          <w:rFonts w:ascii="Arial" w:hAnsi="Arial" w:cs="Arial"/>
          <w:sz w:val="24"/>
          <w:szCs w:val="24"/>
        </w:rPr>
        <w:t xml:space="preserve"> off above-market revenues from the already economically challenged </w:t>
      </w:r>
      <w:r w:rsidR="00D10E00">
        <w:rPr>
          <w:rFonts w:ascii="Arial" w:hAnsi="Arial" w:cs="Arial"/>
          <w:sz w:val="24"/>
          <w:szCs w:val="24"/>
        </w:rPr>
        <w:t xml:space="preserve">customers in the </w:t>
      </w:r>
      <w:r>
        <w:rPr>
          <w:rFonts w:ascii="Arial" w:hAnsi="Arial" w:cs="Arial"/>
          <w:sz w:val="24"/>
          <w:szCs w:val="24"/>
        </w:rPr>
        <w:t>Dayton region to pay</w:t>
      </w:r>
      <w:r w:rsidR="00D10E00">
        <w:rPr>
          <w:rFonts w:ascii="Arial" w:hAnsi="Arial" w:cs="Arial"/>
          <w:sz w:val="24"/>
          <w:szCs w:val="24"/>
        </w:rPr>
        <w:t xml:space="preserve"> a few</w:t>
      </w:r>
      <w:r>
        <w:rPr>
          <w:rFonts w:ascii="Arial" w:hAnsi="Arial" w:cs="Arial"/>
          <w:sz w:val="24"/>
          <w:szCs w:val="24"/>
        </w:rPr>
        <w:t xml:space="preserve"> bankers </w:t>
      </w:r>
      <w:r w:rsidR="00FC1627">
        <w:rPr>
          <w:rFonts w:ascii="Arial" w:hAnsi="Arial" w:cs="Arial"/>
          <w:sz w:val="24"/>
          <w:szCs w:val="24"/>
        </w:rPr>
        <w:t>out-of-state bankers and their shareholders.</w:t>
      </w:r>
    </w:p>
    <w:p w14:paraId="78661C82" w14:textId="77777777" w:rsidR="00D10E00" w:rsidRDefault="00D10E00" w:rsidP="006B2606">
      <w:pPr>
        <w:pStyle w:val="BodyText"/>
        <w:spacing w:line="480" w:lineRule="auto"/>
        <w:ind w:left="720" w:hanging="720"/>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What impact would a DPL bankruptcy have on the customers of DP&amp;L?</w:t>
      </w:r>
    </w:p>
    <w:p w14:paraId="0060B0A6" w14:textId="4AA03CE0" w:rsidR="00D10E00" w:rsidRDefault="00D10E00" w:rsidP="006B2606">
      <w:pPr>
        <w:pStyle w:val="BodyText"/>
        <w:spacing w:line="480" w:lineRule="auto"/>
        <w:ind w:left="720" w:hanging="720"/>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DPL seeking bankruptcy protection could </w:t>
      </w:r>
      <w:r w:rsidR="008573A4">
        <w:rPr>
          <w:rFonts w:ascii="Arial" w:hAnsi="Arial" w:cs="Arial"/>
          <w:sz w:val="24"/>
          <w:szCs w:val="24"/>
        </w:rPr>
        <w:t>actually be a benefit for</w:t>
      </w:r>
      <w:r>
        <w:rPr>
          <w:rFonts w:ascii="Arial" w:hAnsi="Arial" w:cs="Arial"/>
          <w:sz w:val="24"/>
          <w:szCs w:val="24"/>
        </w:rPr>
        <w:t xml:space="preserve"> the customers of DP&amp;L.  To the extent that DPL sought bankruptcy protection, it would provide a forum for DPL to renegotiate its long-term debt,</w:t>
      </w:r>
      <w:r w:rsidR="00A94F16">
        <w:rPr>
          <w:rFonts w:ascii="Arial" w:hAnsi="Arial" w:cs="Arial"/>
          <w:sz w:val="24"/>
          <w:szCs w:val="24"/>
        </w:rPr>
        <w:t xml:space="preserve"> which should</w:t>
      </w:r>
      <w:r>
        <w:rPr>
          <w:rFonts w:ascii="Arial" w:hAnsi="Arial" w:cs="Arial"/>
          <w:sz w:val="24"/>
          <w:szCs w:val="24"/>
        </w:rPr>
        <w:t xml:space="preserve"> resul</w:t>
      </w:r>
      <w:r w:rsidR="005E7F73">
        <w:rPr>
          <w:rFonts w:ascii="Arial" w:hAnsi="Arial" w:cs="Arial"/>
          <w:sz w:val="24"/>
          <w:szCs w:val="24"/>
        </w:rPr>
        <w:t>t</w:t>
      </w:r>
      <w:r>
        <w:rPr>
          <w:rFonts w:ascii="Arial" w:hAnsi="Arial" w:cs="Arial"/>
          <w:sz w:val="24"/>
          <w:szCs w:val="24"/>
        </w:rPr>
        <w:t xml:space="preserve"> in creditors taking a fraction o</w:t>
      </w:r>
      <w:r w:rsidR="00A94F16">
        <w:rPr>
          <w:rFonts w:ascii="Arial" w:hAnsi="Arial" w:cs="Arial"/>
          <w:sz w:val="24"/>
          <w:szCs w:val="24"/>
        </w:rPr>
        <w:t>n</w:t>
      </w:r>
      <w:r>
        <w:rPr>
          <w:rFonts w:ascii="Arial" w:hAnsi="Arial" w:cs="Arial"/>
          <w:sz w:val="24"/>
          <w:szCs w:val="24"/>
        </w:rPr>
        <w:t xml:space="preserve"> the dollar.  Alternatively, bankruptcy may result in creditors exchanging long-term debt for an equity interest in DPL.</w:t>
      </w:r>
      <w:r w:rsidR="00A94F16">
        <w:rPr>
          <w:rFonts w:ascii="Arial" w:hAnsi="Arial" w:cs="Arial"/>
          <w:sz w:val="24"/>
          <w:szCs w:val="24"/>
        </w:rPr>
        <w:t xml:space="preserve">  This would reduce or eliminate DPL’s long-term debt, putting equity in its place, which would result in a massive improvement to DPL’s debt laden balance sheet.</w:t>
      </w:r>
      <w:r w:rsidR="006A0F42">
        <w:rPr>
          <w:rFonts w:ascii="Arial" w:hAnsi="Arial" w:cs="Arial"/>
          <w:sz w:val="24"/>
          <w:szCs w:val="24"/>
        </w:rPr>
        <w:t xml:space="preserve">  DP&amp;L does not dispute that these results could occur.</w:t>
      </w:r>
      <w:r w:rsidR="006A0F42">
        <w:rPr>
          <w:rStyle w:val="FootnoteReference"/>
          <w:rFonts w:ascii="Arial" w:hAnsi="Arial" w:cs="Arial"/>
          <w:sz w:val="24"/>
          <w:szCs w:val="24"/>
        </w:rPr>
        <w:footnoteReference w:id="2"/>
      </w:r>
      <w:r>
        <w:rPr>
          <w:rFonts w:ascii="Arial" w:hAnsi="Arial" w:cs="Arial"/>
          <w:sz w:val="24"/>
          <w:szCs w:val="24"/>
        </w:rPr>
        <w:t xml:space="preserve">  Either circumstance would permit DPL to right size its debt</w:t>
      </w:r>
      <w:r w:rsidR="00A94F16">
        <w:rPr>
          <w:rFonts w:ascii="Arial" w:hAnsi="Arial" w:cs="Arial"/>
          <w:sz w:val="24"/>
          <w:szCs w:val="24"/>
        </w:rPr>
        <w:t xml:space="preserve">, interest, </w:t>
      </w:r>
      <w:r>
        <w:rPr>
          <w:rFonts w:ascii="Arial" w:hAnsi="Arial" w:cs="Arial"/>
          <w:sz w:val="24"/>
          <w:szCs w:val="24"/>
        </w:rPr>
        <w:t>balance sheet</w:t>
      </w:r>
      <w:r w:rsidR="00A94F16">
        <w:rPr>
          <w:rFonts w:ascii="Arial" w:hAnsi="Arial" w:cs="Arial"/>
          <w:sz w:val="24"/>
          <w:szCs w:val="24"/>
        </w:rPr>
        <w:t>, and ultimately net income</w:t>
      </w:r>
      <w:r>
        <w:rPr>
          <w:rFonts w:ascii="Arial" w:hAnsi="Arial" w:cs="Arial"/>
          <w:sz w:val="24"/>
          <w:szCs w:val="24"/>
        </w:rPr>
        <w:t>.</w:t>
      </w:r>
    </w:p>
    <w:p w14:paraId="186588E1" w14:textId="77777777" w:rsidR="00D10E00" w:rsidRDefault="00D10E00" w:rsidP="006B2606">
      <w:pPr>
        <w:pStyle w:val="BodyText"/>
        <w:spacing w:line="480" w:lineRule="auto"/>
        <w:ind w:left="720" w:hanging="720"/>
        <w:rPr>
          <w:rFonts w:ascii="Arial" w:hAnsi="Arial" w:cs="Arial"/>
          <w:b/>
          <w:sz w:val="24"/>
          <w:szCs w:val="24"/>
        </w:rPr>
      </w:pPr>
      <w:r>
        <w:rPr>
          <w:rFonts w:ascii="Arial" w:hAnsi="Arial" w:cs="Arial"/>
          <w:b/>
          <w:sz w:val="24"/>
          <w:szCs w:val="24"/>
        </w:rPr>
        <w:lastRenderedPageBreak/>
        <w:t xml:space="preserve">Q. </w:t>
      </w:r>
      <w:r>
        <w:rPr>
          <w:rFonts w:ascii="Arial" w:hAnsi="Arial" w:cs="Arial"/>
          <w:b/>
          <w:sz w:val="24"/>
          <w:szCs w:val="24"/>
        </w:rPr>
        <w:tab/>
        <w:t>Would DP&amp;L’s ability to provide reliable service be impacted by a bankruptcy filing?</w:t>
      </w:r>
    </w:p>
    <w:p w14:paraId="0A40D88A" w14:textId="5C9D6AF2" w:rsidR="00EC0B42" w:rsidRDefault="00D10E00" w:rsidP="006B2606">
      <w:pPr>
        <w:pStyle w:val="BodyText"/>
        <w:spacing w:line="480" w:lineRule="auto"/>
        <w:ind w:left="720" w:hanging="720"/>
        <w:rPr>
          <w:rFonts w:ascii="Arial" w:hAnsi="Arial" w:cs="Arial"/>
          <w:sz w:val="24"/>
          <w:szCs w:val="24"/>
        </w:rPr>
      </w:pPr>
      <w:r>
        <w:rPr>
          <w:rFonts w:ascii="Arial" w:hAnsi="Arial" w:cs="Arial"/>
          <w:sz w:val="24"/>
          <w:szCs w:val="24"/>
        </w:rPr>
        <w:t xml:space="preserve">A. </w:t>
      </w:r>
      <w:r>
        <w:rPr>
          <w:rFonts w:ascii="Arial" w:hAnsi="Arial" w:cs="Arial"/>
          <w:sz w:val="24"/>
          <w:szCs w:val="24"/>
        </w:rPr>
        <w:tab/>
        <w:t>No, it would not.</w:t>
      </w:r>
      <w:r w:rsidR="00EC0B42">
        <w:rPr>
          <w:rFonts w:ascii="Arial" w:hAnsi="Arial" w:cs="Arial"/>
          <w:sz w:val="24"/>
          <w:szCs w:val="24"/>
        </w:rPr>
        <w:t xml:space="preserve"> </w:t>
      </w:r>
      <w:r w:rsidR="00A94F16">
        <w:rPr>
          <w:rFonts w:ascii="Arial" w:hAnsi="Arial" w:cs="Arial"/>
          <w:sz w:val="24"/>
          <w:szCs w:val="24"/>
        </w:rPr>
        <w:t xml:space="preserve"> </w:t>
      </w:r>
      <w:r w:rsidR="00EC0B42">
        <w:rPr>
          <w:rFonts w:ascii="Arial" w:hAnsi="Arial" w:cs="Arial"/>
          <w:sz w:val="24"/>
          <w:szCs w:val="24"/>
        </w:rPr>
        <w:t xml:space="preserve">One need only look at the recent bankruptcy filing of FirstEnergy Solutions.  In less than a year, FES appears to be set to emerge from bankruptcy.  Moreover, the FirstEnergy Ohio EDUs have not shown any negative impacts from the filing.  </w:t>
      </w:r>
    </w:p>
    <w:p w14:paraId="74BFDBD6" w14:textId="77777777" w:rsidR="00EC0B42" w:rsidRDefault="00EC0B42" w:rsidP="00EC0B42">
      <w:pPr>
        <w:pStyle w:val="BodyText"/>
        <w:spacing w:line="480" w:lineRule="auto"/>
        <w:ind w:left="720" w:hanging="720"/>
        <w:rPr>
          <w:rFonts w:ascii="Arial" w:hAnsi="Arial" w:cs="Arial"/>
          <w:b/>
          <w:sz w:val="24"/>
          <w:szCs w:val="24"/>
        </w:rPr>
      </w:pPr>
      <w:r>
        <w:rPr>
          <w:rFonts w:ascii="Arial" w:hAnsi="Arial" w:cs="Arial"/>
          <w:b/>
          <w:sz w:val="24"/>
          <w:szCs w:val="24"/>
        </w:rPr>
        <w:t>III. UNREASONABLE FEES</w:t>
      </w:r>
    </w:p>
    <w:p w14:paraId="7F618B7E" w14:textId="77777777" w:rsidR="00EC0B42" w:rsidRDefault="00EC0B42" w:rsidP="00EC0B42">
      <w:pPr>
        <w:pStyle w:val="BodyText"/>
        <w:spacing w:line="480" w:lineRule="auto"/>
        <w:ind w:left="720" w:hanging="720"/>
        <w:rPr>
          <w:rFonts w:ascii="Arial" w:hAnsi="Arial" w:cs="Arial"/>
          <w:b/>
          <w:sz w:val="24"/>
          <w:szCs w:val="24"/>
        </w:rPr>
      </w:pPr>
      <w:r w:rsidRPr="00EC0B42">
        <w:rPr>
          <w:rFonts w:ascii="Arial" w:hAnsi="Arial" w:cs="Arial"/>
          <w:b/>
          <w:sz w:val="24"/>
          <w:szCs w:val="24"/>
        </w:rPr>
        <w:t xml:space="preserve">Q.  </w:t>
      </w:r>
      <w:r>
        <w:rPr>
          <w:rFonts w:ascii="Arial" w:hAnsi="Arial" w:cs="Arial"/>
          <w:b/>
          <w:sz w:val="24"/>
          <w:szCs w:val="24"/>
        </w:rPr>
        <w:tab/>
      </w:r>
      <w:r w:rsidRPr="00EC0B42">
        <w:rPr>
          <w:rFonts w:ascii="Arial" w:hAnsi="Arial" w:cs="Arial"/>
          <w:b/>
          <w:sz w:val="24"/>
          <w:szCs w:val="24"/>
        </w:rPr>
        <w:t>What fees do CRES providers and their customers have to pay?</w:t>
      </w:r>
    </w:p>
    <w:p w14:paraId="5C31629F" w14:textId="77777777" w:rsidR="00EC0B42" w:rsidRDefault="00EC0B42" w:rsidP="00EC0B42">
      <w:pPr>
        <w:pStyle w:val="BodyText"/>
        <w:spacing w:line="480" w:lineRule="auto"/>
        <w:ind w:left="720" w:hanging="720"/>
        <w:rPr>
          <w:rFonts w:ascii="Arial" w:hAnsi="Arial" w:cs="Arial"/>
          <w:sz w:val="24"/>
          <w:szCs w:val="24"/>
        </w:rPr>
      </w:pPr>
      <w:r>
        <w:rPr>
          <w:rFonts w:ascii="Arial" w:hAnsi="Arial" w:cs="Arial"/>
          <w:sz w:val="24"/>
          <w:szCs w:val="24"/>
        </w:rPr>
        <w:t xml:space="preserve">A. </w:t>
      </w:r>
      <w:r>
        <w:rPr>
          <w:rFonts w:ascii="Arial" w:hAnsi="Arial" w:cs="Arial"/>
          <w:sz w:val="24"/>
          <w:szCs w:val="24"/>
        </w:rPr>
        <w:tab/>
        <w:t>CRES providers must pay fees for access to historical customer usage information at $150 per request.  Moreover, when a customer switches either from default service to a CRES providers or from a CRES provider to another CRES provider, there is a $5 fee.  According to DP&amp;L, there is no fee applicable to switch back to default service.</w:t>
      </w:r>
      <w:r w:rsidR="002F433B">
        <w:rPr>
          <w:rFonts w:ascii="Arial" w:hAnsi="Arial" w:cs="Arial"/>
          <w:sz w:val="24"/>
          <w:szCs w:val="24"/>
        </w:rPr>
        <w:t xml:space="preserve">  DP&amp;L’s tariff, however, contradicts this claim.  </w:t>
      </w:r>
      <w:r>
        <w:rPr>
          <w:rFonts w:ascii="Arial" w:hAnsi="Arial" w:cs="Arial"/>
          <w:sz w:val="24"/>
          <w:szCs w:val="24"/>
        </w:rPr>
        <w:t xml:space="preserve">  </w:t>
      </w:r>
    </w:p>
    <w:p w14:paraId="6DA165B8" w14:textId="77777777" w:rsidR="002F433B" w:rsidRDefault="002F433B" w:rsidP="00EC0B42">
      <w:pPr>
        <w:pStyle w:val="BodyText"/>
        <w:spacing w:line="480" w:lineRule="auto"/>
        <w:ind w:left="720" w:hanging="720"/>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On what basis does DP&amp;L claim that it is reasonable to impose a switching fee on customers selecting a CRES but not when they return to default service?</w:t>
      </w:r>
    </w:p>
    <w:p w14:paraId="63C83CA0" w14:textId="77777777" w:rsidR="002F433B" w:rsidRDefault="002F433B" w:rsidP="002F433B">
      <w:pPr>
        <w:pStyle w:val="BodyText"/>
        <w:spacing w:line="480" w:lineRule="auto"/>
        <w:ind w:left="720" w:hanging="720"/>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In response to discovery, DP&amp;L relies upon the Commission’s order from Case No. 12-426-EL-SSO stating:  </w:t>
      </w:r>
    </w:p>
    <w:p w14:paraId="13CABED6" w14:textId="77777777" w:rsidR="002F433B" w:rsidRPr="002F433B" w:rsidRDefault="002F433B" w:rsidP="002F433B">
      <w:pPr>
        <w:pStyle w:val="BodyText"/>
        <w:spacing w:line="240" w:lineRule="auto"/>
        <w:ind w:left="1440" w:right="1440"/>
        <w:jc w:val="both"/>
        <w:rPr>
          <w:rFonts w:ascii="Arial" w:hAnsi="Arial" w:cs="Arial"/>
          <w:sz w:val="24"/>
          <w:szCs w:val="24"/>
        </w:rPr>
      </w:pPr>
      <w:r w:rsidRPr="002F433B">
        <w:rPr>
          <w:rFonts w:ascii="Arial" w:hAnsi="Arial" w:cs="Arial"/>
        </w:rPr>
        <w:t>Furthermore, the Commission finds that DP&amp;L should permit the CRES providers to pay</w:t>
      </w:r>
      <w:r>
        <w:rPr>
          <w:rFonts w:ascii="Arial" w:hAnsi="Arial" w:cs="Arial"/>
          <w:sz w:val="24"/>
          <w:szCs w:val="24"/>
        </w:rPr>
        <w:t xml:space="preserve"> </w:t>
      </w:r>
      <w:r w:rsidRPr="002F433B">
        <w:rPr>
          <w:rFonts w:ascii="Arial" w:hAnsi="Arial" w:cs="Arial"/>
        </w:rPr>
        <w:t>the switching fee consistent with the practice in the FirstEnergy, AEP-Ohio, and Duke Energy</w:t>
      </w:r>
      <w:r>
        <w:rPr>
          <w:rFonts w:ascii="Arial" w:hAnsi="Arial" w:cs="Arial"/>
          <w:sz w:val="24"/>
          <w:szCs w:val="24"/>
        </w:rPr>
        <w:t xml:space="preserve"> </w:t>
      </w:r>
      <w:r w:rsidRPr="002F433B">
        <w:rPr>
          <w:rFonts w:ascii="Arial" w:hAnsi="Arial" w:cs="Arial"/>
        </w:rPr>
        <w:t>Ohio service territories." DP&amp;L complied by ensuring its processes were in line with the other</w:t>
      </w:r>
      <w:r>
        <w:rPr>
          <w:rFonts w:ascii="Arial" w:hAnsi="Arial" w:cs="Arial"/>
          <w:sz w:val="24"/>
          <w:szCs w:val="24"/>
        </w:rPr>
        <w:t xml:space="preserve"> </w:t>
      </w:r>
      <w:r w:rsidRPr="002F433B">
        <w:rPr>
          <w:rFonts w:ascii="Arial" w:hAnsi="Arial" w:cs="Arial"/>
        </w:rPr>
        <w:t>Ohio utilities, which consisted of requiring the CRES providers to pay the switching fee on</w:t>
      </w:r>
      <w:r>
        <w:rPr>
          <w:rFonts w:ascii="Arial" w:hAnsi="Arial" w:cs="Arial"/>
          <w:sz w:val="24"/>
          <w:szCs w:val="24"/>
        </w:rPr>
        <w:t xml:space="preserve"> </w:t>
      </w:r>
      <w:r w:rsidRPr="002F433B">
        <w:rPr>
          <w:rFonts w:ascii="Arial" w:hAnsi="Arial" w:cs="Arial"/>
          <w:sz w:val="24"/>
          <w:szCs w:val="24"/>
        </w:rPr>
        <w:t>behalf of their customers and no longer charging for a return to standard offer service.</w:t>
      </w:r>
      <w:r>
        <w:rPr>
          <w:rStyle w:val="FootnoteReference"/>
          <w:rFonts w:ascii="Arial" w:hAnsi="Arial" w:cs="Arial"/>
          <w:sz w:val="24"/>
          <w:szCs w:val="24"/>
        </w:rPr>
        <w:footnoteReference w:id="3"/>
      </w:r>
    </w:p>
    <w:p w14:paraId="6407E31E" w14:textId="77777777" w:rsidR="00EC0B42" w:rsidRDefault="002F433B" w:rsidP="002F433B">
      <w:pPr>
        <w:pStyle w:val="BodyText"/>
        <w:spacing w:line="480" w:lineRule="auto"/>
        <w:rPr>
          <w:rFonts w:ascii="Arial" w:hAnsi="Arial" w:cs="Arial"/>
          <w:b/>
          <w:sz w:val="24"/>
          <w:szCs w:val="24"/>
        </w:rPr>
      </w:pPr>
      <w:r>
        <w:rPr>
          <w:rFonts w:ascii="Arial" w:hAnsi="Arial" w:cs="Arial"/>
          <w:b/>
          <w:sz w:val="24"/>
          <w:szCs w:val="24"/>
        </w:rPr>
        <w:lastRenderedPageBreak/>
        <w:t xml:space="preserve">Q. </w:t>
      </w:r>
      <w:r>
        <w:rPr>
          <w:rFonts w:ascii="Arial" w:hAnsi="Arial" w:cs="Arial"/>
          <w:b/>
          <w:sz w:val="24"/>
          <w:szCs w:val="24"/>
        </w:rPr>
        <w:tab/>
        <w:t xml:space="preserve"> Is DP&amp;L’s discrimination against shopping customers reasonable?</w:t>
      </w:r>
    </w:p>
    <w:p w14:paraId="1DA0EBC3" w14:textId="650A9DA8" w:rsidR="002F433B" w:rsidRDefault="002F433B" w:rsidP="002F433B">
      <w:pPr>
        <w:pStyle w:val="BodyText"/>
        <w:spacing w:line="480" w:lineRule="auto"/>
        <w:ind w:left="720" w:hanging="720"/>
        <w:rPr>
          <w:rFonts w:ascii="Arial" w:hAnsi="Arial" w:cs="Arial"/>
          <w:sz w:val="24"/>
          <w:szCs w:val="24"/>
        </w:rPr>
      </w:pPr>
      <w:r>
        <w:rPr>
          <w:rFonts w:ascii="Arial" w:hAnsi="Arial" w:cs="Arial"/>
          <w:sz w:val="24"/>
          <w:szCs w:val="24"/>
        </w:rPr>
        <w:t xml:space="preserve">A. </w:t>
      </w:r>
      <w:r>
        <w:rPr>
          <w:rFonts w:ascii="Arial" w:hAnsi="Arial" w:cs="Arial"/>
          <w:sz w:val="24"/>
          <w:szCs w:val="24"/>
        </w:rPr>
        <w:tab/>
        <w:t>No</w:t>
      </w:r>
      <w:r w:rsidR="002B1672">
        <w:rPr>
          <w:rFonts w:ascii="Arial" w:hAnsi="Arial" w:cs="Arial"/>
          <w:sz w:val="24"/>
          <w:szCs w:val="24"/>
        </w:rPr>
        <w:t>.</w:t>
      </w:r>
      <w:r>
        <w:rPr>
          <w:rFonts w:ascii="Arial" w:hAnsi="Arial" w:cs="Arial"/>
          <w:sz w:val="24"/>
          <w:szCs w:val="24"/>
        </w:rPr>
        <w:t xml:space="preserve"> </w:t>
      </w:r>
      <w:r w:rsidR="002B1672">
        <w:rPr>
          <w:rFonts w:ascii="Arial" w:hAnsi="Arial" w:cs="Arial"/>
          <w:sz w:val="24"/>
          <w:szCs w:val="24"/>
        </w:rPr>
        <w:t>F</w:t>
      </w:r>
      <w:r>
        <w:rPr>
          <w:rFonts w:ascii="Arial" w:hAnsi="Arial" w:cs="Arial"/>
          <w:sz w:val="24"/>
          <w:szCs w:val="24"/>
        </w:rPr>
        <w:t>irst, it is important to note that the Order reference DP&amp;L relies upon does not provide authority to waive the switching fee when a customer returns to the SSO.  Rather, the Order was intended to let CRES providers pay the fee on behalf of their customer.</w:t>
      </w:r>
      <w:r w:rsidR="00B409E7">
        <w:rPr>
          <w:rFonts w:ascii="Arial" w:hAnsi="Arial" w:cs="Arial"/>
          <w:sz w:val="24"/>
          <w:szCs w:val="24"/>
        </w:rPr>
        <w:t xml:space="preserve"> Therefore, there is an anti-competitive fee in place for customers to switch.</w:t>
      </w:r>
      <w:r>
        <w:rPr>
          <w:rFonts w:ascii="Arial" w:hAnsi="Arial" w:cs="Arial"/>
          <w:sz w:val="24"/>
          <w:szCs w:val="24"/>
        </w:rPr>
        <w:t xml:space="preserve">  Second, it is unjust, unreasonable, and discriminatory to only impose a switching fee when a customer selects a CRES provider. </w:t>
      </w:r>
    </w:p>
    <w:p w14:paraId="418166F7" w14:textId="77777777" w:rsidR="00600B92" w:rsidRDefault="002F433B" w:rsidP="00600B92">
      <w:pPr>
        <w:pStyle w:val="BodyText"/>
        <w:spacing w:line="480" w:lineRule="auto"/>
        <w:ind w:left="720" w:hanging="720"/>
        <w:rPr>
          <w:rFonts w:ascii="Arial" w:hAnsi="Arial" w:cs="Arial"/>
          <w:b/>
          <w:sz w:val="24"/>
          <w:szCs w:val="24"/>
        </w:rPr>
      </w:pPr>
      <w:r>
        <w:rPr>
          <w:rFonts w:ascii="Arial" w:hAnsi="Arial" w:cs="Arial"/>
          <w:b/>
          <w:sz w:val="24"/>
          <w:szCs w:val="24"/>
        </w:rPr>
        <w:t xml:space="preserve">Q. </w:t>
      </w:r>
      <w:r>
        <w:rPr>
          <w:rFonts w:ascii="Arial" w:hAnsi="Arial" w:cs="Arial"/>
          <w:b/>
          <w:sz w:val="24"/>
          <w:szCs w:val="24"/>
        </w:rPr>
        <w:tab/>
      </w:r>
      <w:r w:rsidR="00600B92">
        <w:rPr>
          <w:rFonts w:ascii="Arial" w:hAnsi="Arial" w:cs="Arial"/>
          <w:b/>
          <w:sz w:val="24"/>
          <w:szCs w:val="24"/>
        </w:rPr>
        <w:t>Does DP&amp;L incur costs to effectuate a switch?</w:t>
      </w:r>
    </w:p>
    <w:p w14:paraId="1C57E461" w14:textId="77777777" w:rsidR="00600B92" w:rsidRPr="00600B92" w:rsidRDefault="00600B92" w:rsidP="00600B92">
      <w:pPr>
        <w:pStyle w:val="BodyText"/>
        <w:spacing w:line="480" w:lineRule="auto"/>
        <w:ind w:left="720" w:hanging="720"/>
        <w:rPr>
          <w:rFonts w:ascii="Arial" w:hAnsi="Arial" w:cs="Arial"/>
          <w:sz w:val="24"/>
          <w:szCs w:val="24"/>
        </w:rPr>
      </w:pPr>
      <w:r>
        <w:rPr>
          <w:rFonts w:ascii="Arial" w:hAnsi="Arial" w:cs="Arial"/>
          <w:sz w:val="24"/>
          <w:szCs w:val="24"/>
        </w:rPr>
        <w:t xml:space="preserve">A. </w:t>
      </w:r>
      <w:r>
        <w:rPr>
          <w:rFonts w:ascii="Arial" w:hAnsi="Arial" w:cs="Arial"/>
          <w:sz w:val="24"/>
          <w:szCs w:val="24"/>
        </w:rPr>
        <w:tab/>
        <w:t>It is not clear.  IGS requested in discovery that DP&amp;L identify all costs that it incurs “</w:t>
      </w:r>
      <w:r w:rsidRPr="00600B92">
        <w:rPr>
          <w:rFonts w:ascii="Arial" w:hAnsi="Arial" w:cs="Arial"/>
          <w:sz w:val="24"/>
          <w:szCs w:val="24"/>
        </w:rPr>
        <w:t>to facilitate the switch of a customer from the</w:t>
      </w:r>
      <w:r>
        <w:rPr>
          <w:rFonts w:ascii="Arial" w:hAnsi="Arial" w:cs="Arial"/>
          <w:sz w:val="24"/>
          <w:szCs w:val="24"/>
        </w:rPr>
        <w:t xml:space="preserve"> </w:t>
      </w:r>
      <w:r w:rsidRPr="00600B92">
        <w:rPr>
          <w:rFonts w:ascii="Arial" w:hAnsi="Arial" w:cs="Arial"/>
          <w:sz w:val="24"/>
          <w:szCs w:val="24"/>
        </w:rPr>
        <w:t>SSO to a CRES and vice vers</w:t>
      </w:r>
      <w:r>
        <w:rPr>
          <w:rFonts w:ascii="Arial" w:hAnsi="Arial" w:cs="Arial"/>
          <w:sz w:val="24"/>
          <w:szCs w:val="24"/>
        </w:rPr>
        <w:t>a.”  But DP&amp;L did not provide any responsive information.</w:t>
      </w:r>
      <w:r>
        <w:rPr>
          <w:rStyle w:val="FootnoteReference"/>
          <w:rFonts w:ascii="Arial" w:hAnsi="Arial" w:cs="Arial"/>
          <w:sz w:val="24"/>
          <w:szCs w:val="24"/>
        </w:rPr>
        <w:footnoteReference w:id="4"/>
      </w:r>
      <w:r>
        <w:rPr>
          <w:rFonts w:ascii="Arial" w:hAnsi="Arial" w:cs="Arial"/>
          <w:sz w:val="24"/>
          <w:szCs w:val="24"/>
        </w:rPr>
        <w:t xml:space="preserve"> </w:t>
      </w:r>
    </w:p>
    <w:p w14:paraId="72E11E20" w14:textId="77777777" w:rsidR="00D10E00" w:rsidRDefault="00D10E00" w:rsidP="006B2606">
      <w:pPr>
        <w:pStyle w:val="BodyText"/>
        <w:spacing w:line="480" w:lineRule="auto"/>
        <w:ind w:left="720" w:hanging="720"/>
        <w:rPr>
          <w:rFonts w:ascii="Arial" w:hAnsi="Arial" w:cs="Arial"/>
          <w:b/>
          <w:sz w:val="24"/>
          <w:szCs w:val="24"/>
        </w:rPr>
      </w:pPr>
      <w:r>
        <w:rPr>
          <w:rFonts w:ascii="Arial" w:hAnsi="Arial" w:cs="Arial"/>
          <w:sz w:val="24"/>
          <w:szCs w:val="24"/>
        </w:rPr>
        <w:t xml:space="preserve">  </w:t>
      </w:r>
      <w:r w:rsidR="00600B92">
        <w:rPr>
          <w:rFonts w:ascii="Arial" w:hAnsi="Arial" w:cs="Arial"/>
          <w:b/>
          <w:sz w:val="24"/>
          <w:szCs w:val="24"/>
        </w:rPr>
        <w:t xml:space="preserve">Q. </w:t>
      </w:r>
      <w:r w:rsidR="00600B92">
        <w:rPr>
          <w:rFonts w:ascii="Arial" w:hAnsi="Arial" w:cs="Arial"/>
          <w:b/>
          <w:sz w:val="24"/>
          <w:szCs w:val="24"/>
        </w:rPr>
        <w:tab/>
        <w:t>Given the apparent discrimination and unlevel playing field regarding switching fees, what do you recommend?</w:t>
      </w:r>
    </w:p>
    <w:p w14:paraId="414D9701" w14:textId="77777777" w:rsidR="00600B92" w:rsidRDefault="00600B92" w:rsidP="006B2606">
      <w:pPr>
        <w:pStyle w:val="BodyText"/>
        <w:spacing w:line="480" w:lineRule="auto"/>
        <w:ind w:left="720" w:hanging="720"/>
        <w:rPr>
          <w:rFonts w:ascii="Arial" w:hAnsi="Arial" w:cs="Arial"/>
          <w:sz w:val="24"/>
          <w:szCs w:val="24"/>
        </w:rPr>
      </w:pPr>
      <w:r>
        <w:rPr>
          <w:rFonts w:ascii="Arial" w:hAnsi="Arial" w:cs="Arial"/>
          <w:sz w:val="24"/>
          <w:szCs w:val="24"/>
        </w:rPr>
        <w:t xml:space="preserve">A. </w:t>
      </w:r>
      <w:r>
        <w:rPr>
          <w:rFonts w:ascii="Arial" w:hAnsi="Arial" w:cs="Arial"/>
          <w:sz w:val="24"/>
          <w:szCs w:val="24"/>
        </w:rPr>
        <w:tab/>
        <w:t>I recommend that the Commission ensure a level playing field for shopping and SSO customers.  This can be achieved by either (1) eliminating the switching fee applicable to shopping customers; or (2) apply a $5 switching fee when a customer returns to the SSO.</w:t>
      </w:r>
    </w:p>
    <w:p w14:paraId="58A6D20F" w14:textId="77777777" w:rsidR="00600B92" w:rsidRDefault="00600B92" w:rsidP="006B2606">
      <w:pPr>
        <w:pStyle w:val="BodyText"/>
        <w:spacing w:line="480" w:lineRule="auto"/>
        <w:ind w:left="720" w:hanging="720"/>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Do you believe that DP&amp;L’s $150 historical usage information fee is reasonable?</w:t>
      </w:r>
    </w:p>
    <w:p w14:paraId="12D57B58" w14:textId="77777777" w:rsidR="00600B92" w:rsidRPr="00600B92" w:rsidRDefault="00600B92" w:rsidP="00600B92">
      <w:pPr>
        <w:pStyle w:val="BodyText"/>
        <w:spacing w:line="480" w:lineRule="auto"/>
        <w:ind w:left="720" w:hanging="720"/>
        <w:rPr>
          <w:rFonts w:ascii="Arial" w:hAnsi="Arial" w:cs="Arial"/>
          <w:sz w:val="24"/>
          <w:szCs w:val="24"/>
        </w:rPr>
      </w:pPr>
      <w:r>
        <w:rPr>
          <w:rFonts w:ascii="Arial" w:hAnsi="Arial" w:cs="Arial"/>
          <w:sz w:val="24"/>
          <w:szCs w:val="24"/>
        </w:rPr>
        <w:t xml:space="preserve">A. </w:t>
      </w:r>
      <w:r>
        <w:rPr>
          <w:rFonts w:ascii="Arial" w:hAnsi="Arial" w:cs="Arial"/>
          <w:sz w:val="24"/>
          <w:szCs w:val="24"/>
        </w:rPr>
        <w:tab/>
        <w:t>No, I do not.  DP&amp;L has not attempted to justify this exorbitant fee.  In discovery, DP&amp;L stated that “</w:t>
      </w:r>
      <w:r w:rsidRPr="00600B92">
        <w:rPr>
          <w:rFonts w:ascii="Arial" w:hAnsi="Arial" w:cs="Arial"/>
          <w:sz w:val="24"/>
          <w:szCs w:val="24"/>
        </w:rPr>
        <w:t>the basis of the costs being recovered</w:t>
      </w:r>
      <w:r>
        <w:rPr>
          <w:rFonts w:ascii="Arial" w:hAnsi="Arial" w:cs="Arial"/>
          <w:sz w:val="24"/>
          <w:szCs w:val="24"/>
        </w:rPr>
        <w:t xml:space="preserve"> </w:t>
      </w:r>
      <w:r w:rsidRPr="00600B92">
        <w:rPr>
          <w:rFonts w:ascii="Arial" w:hAnsi="Arial" w:cs="Arial"/>
          <w:sz w:val="24"/>
          <w:szCs w:val="24"/>
        </w:rPr>
        <w:t xml:space="preserve">for Hour Load Data are a result of </w:t>
      </w:r>
      <w:r w:rsidRPr="00600B92">
        <w:rPr>
          <w:rFonts w:ascii="Arial" w:hAnsi="Arial" w:cs="Arial"/>
          <w:sz w:val="24"/>
          <w:szCs w:val="24"/>
        </w:rPr>
        <w:lastRenderedPageBreak/>
        <w:t>confidential settlement communications resulting in the</w:t>
      </w:r>
      <w:r>
        <w:rPr>
          <w:rFonts w:ascii="Arial" w:hAnsi="Arial" w:cs="Arial"/>
          <w:sz w:val="24"/>
          <w:szCs w:val="24"/>
        </w:rPr>
        <w:t xml:space="preserve"> </w:t>
      </w:r>
      <w:r w:rsidRPr="00600B92">
        <w:rPr>
          <w:rFonts w:ascii="Arial" w:hAnsi="Arial" w:cs="Arial"/>
          <w:sz w:val="24"/>
          <w:szCs w:val="24"/>
        </w:rPr>
        <w:t>Stipulation and Recommendation filed on October 26, 2011, which was approved in PUCO Case</w:t>
      </w:r>
    </w:p>
    <w:p w14:paraId="22E9960B" w14:textId="77777777" w:rsidR="00600B92" w:rsidRDefault="00600B92" w:rsidP="00600B92">
      <w:pPr>
        <w:pStyle w:val="BodyText"/>
        <w:spacing w:line="480" w:lineRule="auto"/>
        <w:ind w:left="720"/>
        <w:rPr>
          <w:rFonts w:ascii="Arial" w:hAnsi="Arial" w:cs="Arial"/>
          <w:sz w:val="24"/>
          <w:szCs w:val="24"/>
        </w:rPr>
      </w:pPr>
      <w:r w:rsidRPr="00600B92">
        <w:rPr>
          <w:rFonts w:ascii="Arial" w:hAnsi="Arial" w:cs="Arial"/>
          <w:sz w:val="24"/>
          <w:szCs w:val="24"/>
        </w:rPr>
        <w:t>No. 11-3002-EL-MER.</w:t>
      </w:r>
      <w:r>
        <w:rPr>
          <w:rFonts w:ascii="Arial" w:hAnsi="Arial" w:cs="Arial"/>
          <w:sz w:val="24"/>
          <w:szCs w:val="24"/>
        </w:rPr>
        <w:t>”  Thus, DP&amp;L has not provided a cost basis for these fees.</w:t>
      </w:r>
    </w:p>
    <w:p w14:paraId="762DEAE0" w14:textId="77777777" w:rsidR="00600B92" w:rsidRDefault="00600B92" w:rsidP="00600B92">
      <w:pPr>
        <w:pStyle w:val="BodyText"/>
        <w:spacing w:line="480" w:lineRule="auto"/>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Has DP&amp;L’s exorbitant fees had a negative impact on customers?</w:t>
      </w:r>
    </w:p>
    <w:p w14:paraId="7A199E22" w14:textId="78AE4B7C" w:rsidR="000931E5" w:rsidRDefault="00600B92" w:rsidP="00A778D0">
      <w:pPr>
        <w:pStyle w:val="BodyText"/>
        <w:spacing w:line="480" w:lineRule="auto"/>
        <w:ind w:left="720" w:hanging="720"/>
        <w:rPr>
          <w:rFonts w:ascii="Arial" w:hAnsi="Arial" w:cs="Arial"/>
          <w:sz w:val="24"/>
          <w:szCs w:val="24"/>
        </w:rPr>
      </w:pPr>
      <w:r>
        <w:rPr>
          <w:rFonts w:ascii="Arial" w:hAnsi="Arial" w:cs="Arial"/>
          <w:sz w:val="24"/>
          <w:szCs w:val="24"/>
        </w:rPr>
        <w:t xml:space="preserve">A. </w:t>
      </w:r>
      <w:r>
        <w:rPr>
          <w:rFonts w:ascii="Arial" w:hAnsi="Arial" w:cs="Arial"/>
          <w:sz w:val="24"/>
          <w:szCs w:val="24"/>
        </w:rPr>
        <w:tab/>
        <w:t>Yes, these fees have added up to millions of dollars over the past several years.</w:t>
      </w:r>
      <w:r w:rsidR="00A778D0">
        <w:rPr>
          <w:rStyle w:val="FootnoteReference"/>
          <w:rFonts w:ascii="Arial" w:hAnsi="Arial" w:cs="Arial"/>
          <w:sz w:val="24"/>
          <w:szCs w:val="24"/>
        </w:rPr>
        <w:footnoteReference w:id="5"/>
      </w:r>
      <w:r w:rsidR="00A778D0">
        <w:rPr>
          <w:rFonts w:ascii="Arial" w:hAnsi="Arial" w:cs="Arial"/>
          <w:sz w:val="24"/>
          <w:szCs w:val="24"/>
        </w:rPr>
        <w:t xml:space="preserve">  These costs ultimately must be passed onto customers.  Moreover, in many instances, these costs have become so exorbitant that a CRES provider must provide potential contract pricing to a customer without incurring the $150 price, which simply cannot be justified every time there a prospective customer request a price.  When a CRES provider provides a prospective customer a quote without reviewing historical usage information, </w:t>
      </w:r>
      <w:r w:rsidR="00B409E7">
        <w:rPr>
          <w:rFonts w:ascii="Arial" w:hAnsi="Arial" w:cs="Arial"/>
          <w:sz w:val="24"/>
          <w:szCs w:val="24"/>
        </w:rPr>
        <w:t>it i</w:t>
      </w:r>
      <w:r w:rsidR="00712BEA">
        <w:rPr>
          <w:rFonts w:ascii="Arial" w:hAnsi="Arial" w:cs="Arial"/>
          <w:sz w:val="24"/>
          <w:szCs w:val="24"/>
        </w:rPr>
        <w:t>s</w:t>
      </w:r>
      <w:r w:rsidR="00B409E7">
        <w:rPr>
          <w:rFonts w:ascii="Arial" w:hAnsi="Arial" w:cs="Arial"/>
          <w:sz w:val="24"/>
          <w:szCs w:val="24"/>
        </w:rPr>
        <w:t xml:space="preserve"> much more difficult to tailor a product to the specific customer’s needs</w:t>
      </w:r>
      <w:r w:rsidR="00A778D0">
        <w:rPr>
          <w:rFonts w:ascii="Arial" w:hAnsi="Arial" w:cs="Arial"/>
          <w:sz w:val="24"/>
          <w:szCs w:val="24"/>
        </w:rPr>
        <w:t>.  Consequently, it may reduce the value that a customer receives from shopping, given that the non-customized offer must build in more risk.</w:t>
      </w:r>
    </w:p>
    <w:p w14:paraId="2B17AFE3" w14:textId="77777777" w:rsidR="000931E5" w:rsidRDefault="000931E5" w:rsidP="00A778D0">
      <w:pPr>
        <w:pStyle w:val="BodyText"/>
        <w:spacing w:line="480" w:lineRule="auto"/>
        <w:ind w:left="720" w:hanging="720"/>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Given that the $150 fee is harming customers and CRES providers, what do you recommend?</w:t>
      </w:r>
    </w:p>
    <w:p w14:paraId="5A988D22" w14:textId="1E046EC9" w:rsidR="00600B92" w:rsidRDefault="000931E5" w:rsidP="00A778D0">
      <w:pPr>
        <w:pStyle w:val="BodyText"/>
        <w:spacing w:line="480" w:lineRule="auto"/>
        <w:ind w:left="720" w:hanging="720"/>
        <w:rPr>
          <w:rFonts w:ascii="Arial" w:hAnsi="Arial" w:cs="Arial"/>
          <w:sz w:val="24"/>
          <w:szCs w:val="24"/>
        </w:rPr>
      </w:pPr>
      <w:r>
        <w:rPr>
          <w:rFonts w:ascii="Arial" w:hAnsi="Arial" w:cs="Arial"/>
          <w:sz w:val="24"/>
          <w:szCs w:val="24"/>
        </w:rPr>
        <w:t xml:space="preserve">A. </w:t>
      </w:r>
      <w:r>
        <w:rPr>
          <w:rFonts w:ascii="Arial" w:hAnsi="Arial" w:cs="Arial"/>
          <w:sz w:val="24"/>
          <w:szCs w:val="24"/>
        </w:rPr>
        <w:tab/>
        <w:t>I recommend that the Commission eliminate the fee</w:t>
      </w:r>
      <w:r w:rsidR="00B409E7">
        <w:rPr>
          <w:rFonts w:ascii="Arial" w:hAnsi="Arial" w:cs="Arial"/>
          <w:sz w:val="24"/>
          <w:szCs w:val="24"/>
        </w:rPr>
        <w:t>.  It</w:t>
      </w:r>
      <w:r w:rsidR="00712BEA">
        <w:rPr>
          <w:rFonts w:ascii="Arial" w:hAnsi="Arial" w:cs="Arial"/>
          <w:sz w:val="24"/>
          <w:szCs w:val="24"/>
        </w:rPr>
        <w:t xml:space="preserve"> i</w:t>
      </w:r>
      <w:r w:rsidR="00B409E7">
        <w:rPr>
          <w:rFonts w:ascii="Arial" w:hAnsi="Arial" w:cs="Arial"/>
          <w:sz w:val="24"/>
          <w:szCs w:val="24"/>
        </w:rPr>
        <w:t>s unreasonable for SSO customers to receive all data and other services needed to provide SSO generation service for free yet still require shopping customers to pay.  It is yet another example of an incongruent policy that seeks to subsidize everything for SSO customers, yet assesses additional costs on shopping customers.</w:t>
      </w:r>
      <w:r w:rsidR="00A778D0">
        <w:rPr>
          <w:rFonts w:ascii="Arial" w:hAnsi="Arial" w:cs="Arial"/>
          <w:sz w:val="24"/>
          <w:szCs w:val="24"/>
        </w:rPr>
        <w:t xml:space="preserve"> </w:t>
      </w:r>
    </w:p>
    <w:p w14:paraId="4B98B0F4" w14:textId="555A4551" w:rsidR="00297178" w:rsidRDefault="00297178" w:rsidP="00A778D0">
      <w:pPr>
        <w:pStyle w:val="BodyText"/>
        <w:spacing w:line="480" w:lineRule="auto"/>
        <w:ind w:left="720" w:hanging="720"/>
        <w:rPr>
          <w:rFonts w:ascii="Arial" w:hAnsi="Arial" w:cs="Arial"/>
          <w:b/>
          <w:sz w:val="24"/>
          <w:szCs w:val="24"/>
        </w:rPr>
      </w:pPr>
      <w:r>
        <w:rPr>
          <w:rFonts w:ascii="Arial" w:hAnsi="Arial" w:cs="Arial"/>
          <w:b/>
          <w:sz w:val="24"/>
          <w:szCs w:val="24"/>
        </w:rPr>
        <w:t>V. UNBUNDLING RIDER</w:t>
      </w:r>
    </w:p>
    <w:p w14:paraId="03221DC7" w14:textId="068C6EC0" w:rsidR="00A94F16" w:rsidRDefault="00A94F16" w:rsidP="00A778D0">
      <w:pPr>
        <w:pStyle w:val="BodyText"/>
        <w:spacing w:line="480" w:lineRule="auto"/>
        <w:ind w:left="720" w:hanging="720"/>
        <w:rPr>
          <w:rFonts w:ascii="Arial" w:hAnsi="Arial" w:cs="Arial"/>
          <w:b/>
          <w:sz w:val="24"/>
          <w:szCs w:val="24"/>
        </w:rPr>
      </w:pPr>
      <w:r>
        <w:rPr>
          <w:rFonts w:ascii="Arial" w:hAnsi="Arial" w:cs="Arial"/>
          <w:b/>
          <w:sz w:val="24"/>
          <w:szCs w:val="24"/>
        </w:rPr>
        <w:lastRenderedPageBreak/>
        <w:t xml:space="preserve">Q. </w:t>
      </w:r>
      <w:r>
        <w:rPr>
          <w:rFonts w:ascii="Arial" w:hAnsi="Arial" w:cs="Arial"/>
          <w:b/>
          <w:sz w:val="24"/>
          <w:szCs w:val="24"/>
        </w:rPr>
        <w:tab/>
        <w:t>Does the Stipulation and Recommendation address unbundling?</w:t>
      </w:r>
    </w:p>
    <w:p w14:paraId="55B46240" w14:textId="77777777" w:rsidR="00A94F16" w:rsidRDefault="00A94F16" w:rsidP="00A778D0">
      <w:pPr>
        <w:pStyle w:val="BodyText"/>
        <w:spacing w:line="480" w:lineRule="auto"/>
        <w:ind w:left="720" w:hanging="720"/>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Yes, the Stipulation indicates that in DP&amp;L’s distribution rate case, there will be an evaluation of SSO service-related costs proposed for recovery in distribution rates.  The Stipulation provides that any identified SSO costs should be reallocated to SSO service.  </w:t>
      </w:r>
    </w:p>
    <w:p w14:paraId="5A3D800E" w14:textId="77777777" w:rsidR="00A94F16" w:rsidRDefault="00A94F16" w:rsidP="00A778D0">
      <w:pPr>
        <w:pStyle w:val="BodyText"/>
        <w:spacing w:line="480" w:lineRule="auto"/>
        <w:ind w:left="720" w:hanging="720"/>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Have you identified any improvements to the Stipulation that would ensure that SSO costs are appropriately unbundled?</w:t>
      </w:r>
    </w:p>
    <w:p w14:paraId="54815E71" w14:textId="0A12AB0D" w:rsidR="00A94F16" w:rsidRDefault="00A94F16" w:rsidP="00F53A9F">
      <w:pPr>
        <w:pStyle w:val="BodyText"/>
        <w:spacing w:line="480" w:lineRule="auto"/>
        <w:ind w:left="720" w:hanging="720"/>
        <w:rPr>
          <w:rFonts w:ascii="Arial" w:hAnsi="Arial" w:cs="Arial"/>
          <w:sz w:val="24"/>
          <w:szCs w:val="24"/>
        </w:rPr>
      </w:pPr>
      <w:r>
        <w:rPr>
          <w:rFonts w:ascii="Arial" w:hAnsi="Arial" w:cs="Arial"/>
          <w:sz w:val="24"/>
          <w:szCs w:val="24"/>
        </w:rPr>
        <w:t xml:space="preserve">A. </w:t>
      </w:r>
      <w:r>
        <w:rPr>
          <w:rFonts w:ascii="Arial" w:hAnsi="Arial" w:cs="Arial"/>
          <w:sz w:val="24"/>
          <w:szCs w:val="24"/>
        </w:rPr>
        <w:tab/>
        <w:t>Yes, since the filing the Stipulation in this case, the distribution rate case has proceeded on its own path.  In that case, IGS and the Retail Energy Supply Association (“RESA”) identified approximately $12 million in SSO-related costs proposed for recovery in distribution rates.  To reallocate the costs, IGS/RESA proposed to establish a rider to first credit on a non-bypassable basis $12 million to all distribution customers.  To ensure that this elimination from distribution rates was revenue neutral to DP&amp;L, the SSO-related costs were then proposed to be reallocated to SSO service through a bypassable rider. The Commission issued an Opinion and Order in that case on</w:t>
      </w:r>
      <w:r w:rsidR="005E7F73">
        <w:rPr>
          <w:rFonts w:ascii="Arial" w:hAnsi="Arial" w:cs="Arial"/>
          <w:sz w:val="24"/>
          <w:szCs w:val="24"/>
        </w:rPr>
        <w:t xml:space="preserve"> </w:t>
      </w:r>
      <w:r w:rsidR="008573A4">
        <w:rPr>
          <w:rFonts w:ascii="Arial" w:hAnsi="Arial" w:cs="Arial"/>
          <w:sz w:val="24"/>
          <w:szCs w:val="24"/>
        </w:rPr>
        <w:t>September 26, 2018</w:t>
      </w:r>
      <w:r>
        <w:rPr>
          <w:rFonts w:ascii="Arial" w:hAnsi="Arial" w:cs="Arial"/>
          <w:sz w:val="24"/>
          <w:szCs w:val="24"/>
        </w:rPr>
        <w:t>.  While the Commission recognized that there may be SSO-related costs proposed for recovery in distribution rates, it indicated that it lacked authority to establish a rider in a distribution rate</w:t>
      </w:r>
      <w:r w:rsidR="008573A4">
        <w:rPr>
          <w:rFonts w:ascii="Arial" w:hAnsi="Arial" w:cs="Arial"/>
          <w:sz w:val="24"/>
          <w:szCs w:val="24"/>
        </w:rPr>
        <w:t xml:space="preserve"> case</w:t>
      </w:r>
      <w:r>
        <w:rPr>
          <w:rFonts w:ascii="Arial" w:hAnsi="Arial" w:cs="Arial"/>
          <w:sz w:val="24"/>
          <w:szCs w:val="24"/>
        </w:rPr>
        <w:t xml:space="preserve"> to effectuate the proposal.</w:t>
      </w:r>
      <w:r w:rsidR="00F53A9F">
        <w:rPr>
          <w:rFonts w:ascii="Arial" w:hAnsi="Arial" w:cs="Arial"/>
          <w:sz w:val="24"/>
          <w:szCs w:val="24"/>
        </w:rPr>
        <w:t xml:space="preserve">  Given this apparent procedural issued holding back the Commission from unbundling SSO-related costs, IGS recommends that the Commission establish a rider here to address the Commission’s concern in Case Nos 15-1830.  </w:t>
      </w:r>
    </w:p>
    <w:p w14:paraId="376319D4" w14:textId="718BFE55" w:rsidR="00F53A9F" w:rsidRDefault="00173FE1" w:rsidP="00F53A9F">
      <w:pPr>
        <w:pStyle w:val="BodyText"/>
        <w:spacing w:line="480" w:lineRule="auto"/>
        <w:ind w:left="720" w:hanging="720"/>
        <w:rPr>
          <w:rFonts w:ascii="Arial" w:hAnsi="Arial" w:cs="Arial"/>
          <w:b/>
          <w:sz w:val="24"/>
          <w:szCs w:val="24"/>
        </w:rPr>
      </w:pPr>
      <w:r>
        <w:rPr>
          <w:rFonts w:ascii="Arial" w:hAnsi="Arial" w:cs="Arial"/>
          <w:b/>
          <w:sz w:val="24"/>
          <w:szCs w:val="24"/>
        </w:rPr>
        <w:t xml:space="preserve">VI. </w:t>
      </w:r>
      <w:r>
        <w:rPr>
          <w:rFonts w:ascii="Arial" w:hAnsi="Arial" w:cs="Arial"/>
          <w:b/>
          <w:sz w:val="24"/>
          <w:szCs w:val="24"/>
        </w:rPr>
        <w:tab/>
        <w:t>Supplier Consolidated Billing.</w:t>
      </w:r>
    </w:p>
    <w:p w14:paraId="2665C517" w14:textId="38F3456E" w:rsidR="00173FE1" w:rsidRDefault="00173FE1" w:rsidP="00173FE1">
      <w:pPr>
        <w:spacing w:after="120" w:line="480" w:lineRule="auto"/>
        <w:ind w:left="720" w:hanging="720"/>
        <w:jc w:val="both"/>
        <w:rPr>
          <w:rFonts w:ascii="Arial" w:hAnsi="Arial" w:cs="Arial"/>
          <w:b/>
        </w:rPr>
      </w:pPr>
      <w:r>
        <w:rPr>
          <w:rFonts w:ascii="Arial" w:hAnsi="Arial" w:cs="Arial"/>
          <w:b/>
        </w:rPr>
        <w:t xml:space="preserve">Q. </w:t>
      </w:r>
      <w:r>
        <w:rPr>
          <w:rFonts w:ascii="Arial" w:hAnsi="Arial" w:cs="Arial"/>
          <w:b/>
        </w:rPr>
        <w:tab/>
        <w:t>Do you recommend any changes to the Supplier Consolidated Billing Pilot?</w:t>
      </w:r>
    </w:p>
    <w:p w14:paraId="6FDEC68F" w14:textId="18005734" w:rsidR="009223F6" w:rsidRPr="009223F6" w:rsidRDefault="00173FE1">
      <w:pPr>
        <w:spacing w:after="120" w:line="480" w:lineRule="auto"/>
        <w:ind w:left="720" w:hanging="720"/>
        <w:jc w:val="both"/>
        <w:rPr>
          <w:rFonts w:ascii="Arial" w:hAnsi="Arial" w:cs="Arial"/>
        </w:rPr>
      </w:pPr>
      <w:r>
        <w:rPr>
          <w:rFonts w:ascii="Arial" w:hAnsi="Arial" w:cs="Arial"/>
        </w:rPr>
        <w:lastRenderedPageBreak/>
        <w:t xml:space="preserve">A. </w:t>
      </w:r>
      <w:r>
        <w:rPr>
          <w:rFonts w:ascii="Arial" w:hAnsi="Arial" w:cs="Arial"/>
        </w:rPr>
        <w:tab/>
        <w:t xml:space="preserve">Yes, I recommend that CRES providers purchase receivables from DP&amp;L at a discount.  It is important to keep in mind that DP&amp;L is already assumed that a portion of DP&amp;L’s distribution-related receivables will not be collected.  DP&amp;L is being compensated for its uncollected distribution receivables through distribution rates and its uncollectible expense rider.  To the extent that CRES providers are required to purchase DP&amp;L’s receivables at no discount, </w:t>
      </w:r>
      <w:r w:rsidR="009223F6">
        <w:rPr>
          <w:rFonts w:ascii="Arial" w:hAnsi="Arial" w:cs="Arial"/>
        </w:rPr>
        <w:t>DP&amp;L’s uncollectible distribution expense will decrease.  But CRES providers will be required to increase their generation-related prices to recover the cost of collecting DP&amp;L’s distribution receivables.  This</w:t>
      </w:r>
      <w:r>
        <w:rPr>
          <w:rFonts w:ascii="Arial" w:hAnsi="Arial" w:cs="Arial"/>
        </w:rPr>
        <w:t xml:space="preserve"> will result in a windfall to DP&amp;L </w:t>
      </w:r>
      <w:r w:rsidR="009223F6">
        <w:rPr>
          <w:rFonts w:ascii="Arial" w:hAnsi="Arial" w:cs="Arial"/>
        </w:rPr>
        <w:t>and customers that are not participating in the Pilot.</w:t>
      </w:r>
      <w:r w:rsidR="00B17321">
        <w:rPr>
          <w:rFonts w:ascii="Arial" w:hAnsi="Arial" w:cs="Arial"/>
        </w:rPr>
        <w:t xml:space="preserve">  While this change alone would not result in the Stipulation being in the public interest, it would at least mitigate some of the anti-competit</w:t>
      </w:r>
      <w:r w:rsidR="00712BEA">
        <w:rPr>
          <w:rFonts w:ascii="Arial" w:hAnsi="Arial" w:cs="Arial"/>
        </w:rPr>
        <w:t>i</w:t>
      </w:r>
      <w:r w:rsidR="00B17321">
        <w:rPr>
          <w:rFonts w:ascii="Arial" w:hAnsi="Arial" w:cs="Arial"/>
        </w:rPr>
        <w:t>ve and anti</w:t>
      </w:r>
      <w:r w:rsidR="002A288C">
        <w:rPr>
          <w:rFonts w:ascii="Arial" w:hAnsi="Arial" w:cs="Arial"/>
        </w:rPr>
        <w:t>-</w:t>
      </w:r>
      <w:r w:rsidR="00B17321">
        <w:rPr>
          <w:rFonts w:ascii="Arial" w:hAnsi="Arial" w:cs="Arial"/>
        </w:rPr>
        <w:t>consumer elements of the Stipulation, such as the non-bypassable DMR and the non-bypassable RR.</w:t>
      </w:r>
    </w:p>
    <w:p w14:paraId="54B95822" w14:textId="5CC201F2" w:rsidR="006400B7" w:rsidRDefault="006400B7" w:rsidP="006400B7">
      <w:pPr>
        <w:pStyle w:val="BodyText"/>
        <w:spacing w:line="480" w:lineRule="auto"/>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How should the discount rate be set?</w:t>
      </w:r>
    </w:p>
    <w:p w14:paraId="28526BB9" w14:textId="060BC25F" w:rsidR="00346E6A" w:rsidRPr="003A1A01" w:rsidRDefault="006400B7" w:rsidP="001C6A7B">
      <w:pPr>
        <w:pStyle w:val="BodyText"/>
        <w:spacing w:line="480" w:lineRule="auto"/>
        <w:ind w:left="720" w:hanging="720"/>
        <w:rPr>
          <w:rFonts w:ascii="Arial" w:hAnsi="Arial" w:cs="Arial"/>
        </w:rPr>
        <w:sectPr w:rsidR="00346E6A" w:rsidRPr="003A1A01" w:rsidSect="003A7633">
          <w:footerReference w:type="first" r:id="rId14"/>
          <w:pgSz w:w="12245" w:h="15703"/>
          <w:pgMar w:top="1152" w:right="1152" w:bottom="1152" w:left="1152" w:header="720" w:footer="720" w:gutter="0"/>
          <w:lnNumType w:countBy="1"/>
          <w:pgNumType w:start="1"/>
          <w:cols w:space="720"/>
          <w:noEndnote/>
          <w:titlePg/>
          <w:docGrid w:linePitch="326"/>
        </w:sectPr>
      </w:pPr>
      <w:r>
        <w:rPr>
          <w:rFonts w:ascii="Arial" w:hAnsi="Arial" w:cs="Arial"/>
          <w:sz w:val="24"/>
          <w:szCs w:val="24"/>
        </w:rPr>
        <w:t xml:space="preserve">A. </w:t>
      </w:r>
      <w:r>
        <w:rPr>
          <w:rFonts w:ascii="Arial" w:hAnsi="Arial" w:cs="Arial"/>
          <w:sz w:val="24"/>
          <w:szCs w:val="24"/>
        </w:rPr>
        <w:tab/>
        <w:t xml:space="preserve">The baseline amount should be DP&amp;L’s embedded uncollectible rate.  But this amount should be increased slightly by 25 basis points to account for the fact that the pilot does not provide CRES providers with the ability to disconnect a customer.  As a result, it can be assumed that CRES providers will be at a disadvantage in the collection process and therefore will experience a higher level of write-offs.  </w:t>
      </w:r>
    </w:p>
    <w:p w14:paraId="7CFB5F3C" w14:textId="77777777" w:rsidR="00346E6A" w:rsidRPr="001C7571" w:rsidRDefault="00346E6A" w:rsidP="00346E6A">
      <w:pPr>
        <w:kinsoku w:val="0"/>
        <w:overflowPunct w:val="0"/>
        <w:spacing w:line="300" w:lineRule="exact"/>
        <w:ind w:right="-29"/>
        <w:jc w:val="center"/>
        <w:textAlignment w:val="baseline"/>
        <w:rPr>
          <w:rFonts w:ascii="Arial" w:eastAsia="Calibri" w:hAnsi="Arial" w:cs="Arial"/>
          <w:b/>
          <w:u w:val="single"/>
        </w:rPr>
      </w:pPr>
      <w:r w:rsidRPr="001C7571">
        <w:rPr>
          <w:rFonts w:ascii="Arial" w:eastAsia="Calibri" w:hAnsi="Arial" w:cs="Arial"/>
          <w:b/>
          <w:u w:val="single"/>
        </w:rPr>
        <w:lastRenderedPageBreak/>
        <w:t>CERTIFICATE OF SERVICE</w:t>
      </w:r>
    </w:p>
    <w:p w14:paraId="5281887E" w14:textId="78E32FDF" w:rsidR="00346E6A" w:rsidRPr="001C7571" w:rsidRDefault="00346E6A" w:rsidP="00346E6A">
      <w:pPr>
        <w:ind w:firstLine="720"/>
        <w:rPr>
          <w:rFonts w:ascii="Arial" w:hAnsi="Arial" w:cs="Arial"/>
        </w:rPr>
      </w:pPr>
      <w:r w:rsidRPr="001C7571">
        <w:rPr>
          <w:rFonts w:ascii="Arial" w:hAnsi="Arial" w:cs="Arial"/>
        </w:rPr>
        <w:t xml:space="preserve">The Public Utilities Commission of Ohio e-filing system will electronically serve notice of the filing of this document on the parties referenced in the service list of the docket card who have electronically subscribed to this case.  In addition, the undersigned certifies that a courtesy copy of the foregoing document is also being served upon the persons below via electronic mail this </w:t>
      </w:r>
      <w:r w:rsidR="001C6A7B">
        <w:rPr>
          <w:rFonts w:ascii="Arial" w:hAnsi="Arial" w:cs="Arial"/>
        </w:rPr>
        <w:t>12</w:t>
      </w:r>
      <w:r w:rsidR="001C6A7B">
        <w:rPr>
          <w:rFonts w:ascii="Arial" w:hAnsi="Arial" w:cs="Arial"/>
          <w:vertAlign w:val="superscript"/>
        </w:rPr>
        <w:t>th</w:t>
      </w:r>
      <w:r w:rsidR="00C47588" w:rsidRPr="001C7571">
        <w:rPr>
          <w:rFonts w:ascii="Arial" w:hAnsi="Arial" w:cs="Arial"/>
        </w:rPr>
        <w:t xml:space="preserve"> </w:t>
      </w:r>
      <w:r w:rsidRPr="001C7571">
        <w:rPr>
          <w:rFonts w:ascii="Arial" w:hAnsi="Arial" w:cs="Arial"/>
        </w:rPr>
        <w:t xml:space="preserve">day of </w:t>
      </w:r>
      <w:r w:rsidR="001C6A7B">
        <w:rPr>
          <w:rFonts w:ascii="Arial" w:hAnsi="Arial" w:cs="Arial"/>
        </w:rPr>
        <w:t>February</w:t>
      </w:r>
      <w:r w:rsidRPr="001C7571">
        <w:rPr>
          <w:rFonts w:ascii="Arial" w:hAnsi="Arial" w:cs="Arial"/>
        </w:rPr>
        <w:t xml:space="preserve"> 20</w:t>
      </w:r>
      <w:r w:rsidR="001C6A7B">
        <w:rPr>
          <w:rFonts w:ascii="Arial" w:hAnsi="Arial" w:cs="Arial"/>
        </w:rPr>
        <w:t>19</w:t>
      </w:r>
      <w:r w:rsidRPr="001C7571">
        <w:rPr>
          <w:rFonts w:ascii="Arial" w:hAnsi="Arial" w:cs="Arial"/>
        </w:rPr>
        <w:t>.</w:t>
      </w:r>
    </w:p>
    <w:p w14:paraId="4E5E21D0" w14:textId="77777777" w:rsidR="00346E6A" w:rsidRPr="001111EF" w:rsidRDefault="001111EF" w:rsidP="00346E6A">
      <w:pPr>
        <w:spacing w:after="0"/>
        <w:ind w:left="4320"/>
        <w:rPr>
          <w:rFonts w:ascii="Arial" w:hAnsi="Arial" w:cs="Arial"/>
          <w:b/>
          <w:u w:val="single"/>
        </w:rPr>
      </w:pPr>
      <w:r w:rsidRPr="001111EF">
        <w:rPr>
          <w:rFonts w:ascii="Arial" w:hAnsi="Arial" w:cs="Arial"/>
          <w:b/>
          <w:u w:val="single"/>
        </w:rPr>
        <w:t>/s/ Joseph E. Oliker</w:t>
      </w:r>
      <w:r w:rsidRPr="001111EF">
        <w:rPr>
          <w:rFonts w:ascii="Arial" w:hAnsi="Arial" w:cs="Arial"/>
          <w:b/>
          <w:u w:val="single"/>
        </w:rPr>
        <w:tab/>
      </w:r>
      <w:r w:rsidRPr="001111EF">
        <w:rPr>
          <w:rFonts w:ascii="Arial" w:hAnsi="Arial" w:cs="Arial"/>
          <w:b/>
          <w:u w:val="single"/>
        </w:rPr>
        <w:tab/>
      </w:r>
      <w:r w:rsidR="00346E6A" w:rsidRPr="001111EF">
        <w:rPr>
          <w:rFonts w:ascii="Arial" w:hAnsi="Arial" w:cs="Arial"/>
          <w:b/>
          <w:u w:val="single"/>
        </w:rPr>
        <w:tab/>
      </w:r>
      <w:r w:rsidR="00346E6A" w:rsidRPr="001111EF">
        <w:rPr>
          <w:rFonts w:ascii="Arial" w:hAnsi="Arial" w:cs="Arial"/>
          <w:b/>
          <w:u w:val="single"/>
        </w:rPr>
        <w:tab/>
      </w:r>
    </w:p>
    <w:p w14:paraId="0C4412D0" w14:textId="77777777" w:rsidR="00346E6A" w:rsidRPr="001C7571" w:rsidRDefault="001C5683" w:rsidP="00346E6A">
      <w:pPr>
        <w:spacing w:line="480" w:lineRule="auto"/>
        <w:ind w:left="4320"/>
        <w:rPr>
          <w:rFonts w:ascii="Arial" w:hAnsi="Arial" w:cs="Arial"/>
        </w:rPr>
      </w:pPr>
      <w:r>
        <w:rPr>
          <w:rFonts w:ascii="Arial" w:hAnsi="Arial" w:cs="Arial"/>
        </w:rPr>
        <w:t>Joseph Oliker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417"/>
      </w:tblGrid>
      <w:tr w:rsidR="00C45359" w:rsidRPr="001C7571" w14:paraId="2A063917" w14:textId="77777777" w:rsidTr="00447CFA">
        <w:tc>
          <w:tcPr>
            <w:tcW w:w="4788" w:type="dxa"/>
          </w:tcPr>
          <w:p w14:paraId="2A927EC5" w14:textId="77777777" w:rsidR="00C45359" w:rsidRPr="001C7571" w:rsidRDefault="00AB187C" w:rsidP="00447CFA">
            <w:pPr>
              <w:rPr>
                <w:rFonts w:ascii="Arial" w:hAnsi="Arial" w:cs="Arial"/>
              </w:rPr>
            </w:pPr>
            <w:hyperlink r:id="rId15" w:history="1">
              <w:r w:rsidR="00C45359" w:rsidRPr="001C7571">
                <w:rPr>
                  <w:rStyle w:val="Hyperlink"/>
                  <w:rFonts w:ascii="Arial" w:hAnsi="Arial" w:cs="Arial"/>
                </w:rPr>
                <w:t>cfaruki@ficlaw.com</w:t>
              </w:r>
            </w:hyperlink>
            <w:r w:rsidR="00C45359" w:rsidRPr="001C7571">
              <w:rPr>
                <w:rFonts w:ascii="Arial" w:hAnsi="Arial" w:cs="Arial"/>
              </w:rPr>
              <w:t xml:space="preserve"> </w:t>
            </w:r>
          </w:p>
          <w:p w14:paraId="511610CD" w14:textId="77777777" w:rsidR="00C45359" w:rsidRPr="001C7571" w:rsidRDefault="00AB187C" w:rsidP="00447CFA">
            <w:pPr>
              <w:rPr>
                <w:rFonts w:ascii="Arial" w:hAnsi="Arial" w:cs="Arial"/>
              </w:rPr>
            </w:pPr>
            <w:hyperlink r:id="rId16" w:history="1">
              <w:r w:rsidR="00C45359" w:rsidRPr="001C7571">
                <w:rPr>
                  <w:rStyle w:val="Hyperlink"/>
                  <w:rFonts w:ascii="Arial" w:hAnsi="Arial" w:cs="Arial"/>
                </w:rPr>
                <w:t>djireland@ficlaw.com</w:t>
              </w:r>
            </w:hyperlink>
          </w:p>
          <w:p w14:paraId="568F5C04" w14:textId="77777777" w:rsidR="00C45359" w:rsidRPr="001C7571" w:rsidRDefault="00AB187C" w:rsidP="00447CFA">
            <w:pPr>
              <w:rPr>
                <w:rFonts w:ascii="Arial" w:hAnsi="Arial" w:cs="Arial"/>
              </w:rPr>
            </w:pPr>
            <w:hyperlink r:id="rId17" w:history="1">
              <w:r w:rsidR="00C45359" w:rsidRPr="001C7571">
                <w:rPr>
                  <w:rStyle w:val="Hyperlink"/>
                  <w:rFonts w:ascii="Arial" w:hAnsi="Arial" w:cs="Arial"/>
                </w:rPr>
                <w:t>jsharkey@ficlaw.com</w:t>
              </w:r>
            </w:hyperlink>
          </w:p>
          <w:p w14:paraId="54C9F399" w14:textId="77777777" w:rsidR="00C45359" w:rsidRPr="001C7571" w:rsidRDefault="00AB187C" w:rsidP="00447CFA">
            <w:pPr>
              <w:rPr>
                <w:rStyle w:val="Hyperlink"/>
                <w:rFonts w:ascii="Arial" w:hAnsi="Arial" w:cs="Arial"/>
              </w:rPr>
            </w:pPr>
            <w:hyperlink r:id="rId18" w:history="1">
              <w:r w:rsidR="00C45359" w:rsidRPr="001C7571">
                <w:rPr>
                  <w:rStyle w:val="Hyperlink"/>
                  <w:rFonts w:ascii="Arial" w:hAnsi="Arial" w:cs="Arial"/>
                </w:rPr>
                <w:t>mfleisher@elpc.org</w:t>
              </w:r>
            </w:hyperlink>
          </w:p>
          <w:p w14:paraId="62930EDE" w14:textId="77777777" w:rsidR="00C45359" w:rsidRPr="001C7571" w:rsidRDefault="00AB187C" w:rsidP="00447CFA">
            <w:pPr>
              <w:rPr>
                <w:rFonts w:ascii="Arial" w:eastAsia="Times New Roman" w:hAnsi="Arial" w:cs="Arial"/>
              </w:rPr>
            </w:pPr>
            <w:hyperlink r:id="rId19" w:history="1">
              <w:r w:rsidR="00C45359" w:rsidRPr="001C7571">
                <w:rPr>
                  <w:rStyle w:val="Hyperlink"/>
                  <w:rFonts w:ascii="Arial" w:eastAsia="Times New Roman" w:hAnsi="Arial" w:cs="Arial"/>
                </w:rPr>
                <w:t>fdarr@mwncmh.com</w:t>
              </w:r>
            </w:hyperlink>
          </w:p>
          <w:p w14:paraId="3EAE5621" w14:textId="77777777" w:rsidR="00C45359" w:rsidRPr="001C7571" w:rsidRDefault="00AB187C" w:rsidP="00447CFA">
            <w:pPr>
              <w:rPr>
                <w:rFonts w:ascii="Arial" w:eastAsia="Times New Roman" w:hAnsi="Arial" w:cs="Arial"/>
              </w:rPr>
            </w:pPr>
            <w:hyperlink r:id="rId20" w:history="1">
              <w:r w:rsidR="00C45359" w:rsidRPr="001C7571">
                <w:rPr>
                  <w:rStyle w:val="Hyperlink"/>
                  <w:rFonts w:ascii="Arial" w:eastAsia="Times New Roman" w:hAnsi="Arial" w:cs="Arial"/>
                </w:rPr>
                <w:t>mpritchard@mwncmh.com</w:t>
              </w:r>
            </w:hyperlink>
          </w:p>
          <w:p w14:paraId="412B1704" w14:textId="77777777" w:rsidR="00C45359" w:rsidRPr="001C7571" w:rsidRDefault="00AB187C" w:rsidP="00447CFA">
            <w:pPr>
              <w:rPr>
                <w:rFonts w:ascii="Arial" w:eastAsia="Times New Roman" w:hAnsi="Arial" w:cs="Arial"/>
              </w:rPr>
            </w:pPr>
            <w:hyperlink r:id="rId21" w:history="1">
              <w:r w:rsidR="00C45359" w:rsidRPr="001C7571">
                <w:rPr>
                  <w:rStyle w:val="Hyperlink"/>
                  <w:rFonts w:ascii="Arial" w:eastAsia="Times New Roman" w:hAnsi="Arial" w:cs="Arial"/>
                </w:rPr>
                <w:t>jeffrey.mayes@monitoringanalytics.com</w:t>
              </w:r>
            </w:hyperlink>
          </w:p>
          <w:p w14:paraId="2D1EC4ED" w14:textId="77777777" w:rsidR="00C45359" w:rsidRPr="001C7571" w:rsidRDefault="00AB187C" w:rsidP="00447CFA">
            <w:pPr>
              <w:rPr>
                <w:rFonts w:ascii="Arial" w:eastAsia="Times New Roman" w:hAnsi="Arial" w:cs="Arial"/>
              </w:rPr>
            </w:pPr>
            <w:hyperlink r:id="rId22" w:history="1">
              <w:r w:rsidR="00C45359" w:rsidRPr="001C7571">
                <w:rPr>
                  <w:rStyle w:val="Hyperlink"/>
                  <w:rFonts w:ascii="Arial" w:eastAsia="Times New Roman" w:hAnsi="Arial" w:cs="Arial"/>
                </w:rPr>
                <w:t>evelyn.robinson@pjm.com</w:t>
              </w:r>
            </w:hyperlink>
          </w:p>
          <w:p w14:paraId="10759516" w14:textId="77777777" w:rsidR="00C45359" w:rsidRPr="001C7571" w:rsidRDefault="00AB187C" w:rsidP="00447CFA">
            <w:pPr>
              <w:rPr>
                <w:rFonts w:ascii="Arial" w:eastAsia="Times New Roman" w:hAnsi="Arial" w:cs="Arial"/>
              </w:rPr>
            </w:pPr>
            <w:hyperlink r:id="rId23" w:history="1">
              <w:r w:rsidR="00C45359" w:rsidRPr="001C7571">
                <w:rPr>
                  <w:rStyle w:val="Hyperlink"/>
                  <w:rFonts w:ascii="Arial" w:eastAsia="Times New Roman" w:hAnsi="Arial" w:cs="Arial"/>
                </w:rPr>
                <w:t>schmidt@sppgrp.com</w:t>
              </w:r>
            </w:hyperlink>
          </w:p>
          <w:p w14:paraId="09E5306E" w14:textId="77777777" w:rsidR="00C45359" w:rsidRPr="001C7571" w:rsidRDefault="00AB187C" w:rsidP="00447CFA">
            <w:pPr>
              <w:rPr>
                <w:rFonts w:ascii="Arial" w:eastAsia="Times New Roman" w:hAnsi="Arial" w:cs="Arial"/>
              </w:rPr>
            </w:pPr>
            <w:hyperlink r:id="rId24" w:history="1">
              <w:r w:rsidR="00C45359" w:rsidRPr="001C7571">
                <w:rPr>
                  <w:rStyle w:val="Hyperlink"/>
                  <w:rFonts w:ascii="Arial" w:eastAsia="Times New Roman" w:hAnsi="Arial" w:cs="Arial"/>
                </w:rPr>
                <w:t>dboehm@BKLlawfirm.com</w:t>
              </w:r>
            </w:hyperlink>
          </w:p>
          <w:p w14:paraId="387FB1B8" w14:textId="77777777" w:rsidR="00C45359" w:rsidRPr="001C7571" w:rsidRDefault="00AB187C" w:rsidP="00447CFA">
            <w:pPr>
              <w:rPr>
                <w:rFonts w:ascii="Arial" w:eastAsia="Times New Roman" w:hAnsi="Arial" w:cs="Arial"/>
              </w:rPr>
            </w:pPr>
            <w:hyperlink r:id="rId25" w:history="1">
              <w:r w:rsidR="00C45359" w:rsidRPr="001C7571">
                <w:rPr>
                  <w:rStyle w:val="Hyperlink"/>
                  <w:rFonts w:ascii="Arial" w:eastAsia="Times New Roman" w:hAnsi="Arial" w:cs="Arial"/>
                </w:rPr>
                <w:t>mkurtz@BKLlawfirm.com</w:t>
              </w:r>
            </w:hyperlink>
          </w:p>
          <w:p w14:paraId="15D1BDCF" w14:textId="77777777" w:rsidR="00C45359" w:rsidRPr="001C7571" w:rsidRDefault="00AB187C" w:rsidP="00447CFA">
            <w:pPr>
              <w:rPr>
                <w:rFonts w:ascii="Arial" w:eastAsia="Times New Roman" w:hAnsi="Arial" w:cs="Arial"/>
              </w:rPr>
            </w:pPr>
            <w:hyperlink r:id="rId26" w:history="1">
              <w:r w:rsidR="00C45359" w:rsidRPr="001C7571">
                <w:rPr>
                  <w:rStyle w:val="Hyperlink"/>
                  <w:rFonts w:ascii="Arial" w:eastAsia="Times New Roman" w:hAnsi="Arial" w:cs="Arial"/>
                </w:rPr>
                <w:t>kboehm@BKLlawfirm.com</w:t>
              </w:r>
            </w:hyperlink>
          </w:p>
          <w:p w14:paraId="2A6B5923" w14:textId="77777777" w:rsidR="00C45359" w:rsidRPr="001C7571" w:rsidRDefault="00AB187C" w:rsidP="00447CFA">
            <w:pPr>
              <w:rPr>
                <w:rFonts w:ascii="Arial" w:eastAsia="Times New Roman" w:hAnsi="Arial" w:cs="Arial"/>
              </w:rPr>
            </w:pPr>
            <w:hyperlink r:id="rId27" w:history="1">
              <w:r w:rsidR="00C45359" w:rsidRPr="001C7571">
                <w:rPr>
                  <w:rStyle w:val="Hyperlink"/>
                  <w:rFonts w:ascii="Arial" w:eastAsia="Times New Roman" w:hAnsi="Arial" w:cs="Arial"/>
                </w:rPr>
                <w:t>jkylercohn@BKLlawfirm.com</w:t>
              </w:r>
            </w:hyperlink>
            <w:r w:rsidR="00C45359" w:rsidRPr="001C7571">
              <w:rPr>
                <w:rStyle w:val="Hyperlink"/>
                <w:rFonts w:ascii="Arial" w:eastAsia="Times New Roman" w:hAnsi="Arial" w:cs="Arial"/>
              </w:rPr>
              <w:t xml:space="preserve"> </w:t>
            </w:r>
          </w:p>
          <w:p w14:paraId="73474A43" w14:textId="77777777" w:rsidR="00C45359" w:rsidRPr="001C7571" w:rsidRDefault="00AB187C" w:rsidP="00447CFA">
            <w:pPr>
              <w:rPr>
                <w:rFonts w:ascii="Arial" w:hAnsi="Arial" w:cs="Arial"/>
              </w:rPr>
            </w:pPr>
            <w:hyperlink r:id="rId28" w:history="1">
              <w:r w:rsidR="00C45359" w:rsidRPr="001C7571">
                <w:rPr>
                  <w:rStyle w:val="Hyperlink"/>
                  <w:rFonts w:ascii="Arial" w:hAnsi="Arial" w:cs="Arial"/>
                </w:rPr>
                <w:t>william.wright@ohioattorneygeneral.gov</w:t>
              </w:r>
            </w:hyperlink>
          </w:p>
          <w:p w14:paraId="10F8CF2C" w14:textId="77777777" w:rsidR="00C45359" w:rsidRPr="001C7571" w:rsidRDefault="00AB187C" w:rsidP="00447CFA">
            <w:pPr>
              <w:rPr>
                <w:rFonts w:ascii="Arial" w:hAnsi="Arial" w:cs="Arial"/>
              </w:rPr>
            </w:pPr>
            <w:hyperlink r:id="rId29" w:history="1">
              <w:r w:rsidR="00C45359" w:rsidRPr="001C7571">
                <w:rPr>
                  <w:rStyle w:val="Hyperlink"/>
                  <w:rFonts w:ascii="Arial" w:hAnsi="Arial" w:cs="Arial"/>
                </w:rPr>
                <w:t>Michelle.d.grant@dynegy.com</w:t>
              </w:r>
            </w:hyperlink>
          </w:p>
          <w:p w14:paraId="343094F1" w14:textId="77777777" w:rsidR="00C45359" w:rsidRPr="001C7571" w:rsidRDefault="00AB187C" w:rsidP="00447CFA">
            <w:pPr>
              <w:rPr>
                <w:rStyle w:val="Hyperlink"/>
                <w:rFonts w:ascii="Arial" w:hAnsi="Arial" w:cs="Arial"/>
              </w:rPr>
            </w:pPr>
            <w:hyperlink r:id="rId30" w:history="1">
              <w:r w:rsidR="00C45359" w:rsidRPr="001C7571">
                <w:rPr>
                  <w:rStyle w:val="Hyperlink"/>
                  <w:rFonts w:ascii="Arial" w:hAnsi="Arial" w:cs="Arial"/>
                </w:rPr>
                <w:t>rsahli@columbus.rr.com</w:t>
              </w:r>
            </w:hyperlink>
            <w:r w:rsidR="00C45359" w:rsidRPr="001C7571">
              <w:rPr>
                <w:rFonts w:ascii="Arial" w:hAnsi="Arial" w:cs="Arial"/>
              </w:rPr>
              <w:t xml:space="preserve"> </w:t>
            </w:r>
          </w:p>
          <w:p w14:paraId="46CE9FBE" w14:textId="77777777" w:rsidR="00C45359" w:rsidRPr="001C7571" w:rsidRDefault="00AB187C" w:rsidP="00447CFA">
            <w:pPr>
              <w:rPr>
                <w:rFonts w:ascii="Arial" w:hAnsi="Arial" w:cs="Arial"/>
              </w:rPr>
            </w:pPr>
            <w:hyperlink r:id="rId31" w:history="1">
              <w:r w:rsidR="00C45359" w:rsidRPr="001C7571">
                <w:rPr>
                  <w:rStyle w:val="Hyperlink"/>
                  <w:rFonts w:ascii="Arial" w:hAnsi="Arial" w:cs="Arial"/>
                </w:rPr>
                <w:t>slesser@calfee.com</w:t>
              </w:r>
            </w:hyperlink>
          </w:p>
          <w:p w14:paraId="7FD30CB8" w14:textId="77777777" w:rsidR="00C45359" w:rsidRPr="001C7571" w:rsidRDefault="00AB187C" w:rsidP="00447CFA">
            <w:pPr>
              <w:rPr>
                <w:rFonts w:ascii="Arial" w:hAnsi="Arial" w:cs="Arial"/>
              </w:rPr>
            </w:pPr>
            <w:hyperlink r:id="rId32" w:history="1">
              <w:r w:rsidR="00C45359" w:rsidRPr="001C7571">
                <w:rPr>
                  <w:rStyle w:val="Hyperlink"/>
                  <w:rFonts w:ascii="Arial" w:hAnsi="Arial" w:cs="Arial"/>
                </w:rPr>
                <w:t>jlang@calfee.com</w:t>
              </w:r>
            </w:hyperlink>
          </w:p>
          <w:p w14:paraId="5E9BE0BC" w14:textId="77777777" w:rsidR="00C45359" w:rsidRPr="001C7571" w:rsidRDefault="00AB187C" w:rsidP="00447CFA">
            <w:pPr>
              <w:rPr>
                <w:rFonts w:ascii="Arial" w:hAnsi="Arial" w:cs="Arial"/>
              </w:rPr>
            </w:pPr>
            <w:hyperlink r:id="rId33" w:history="1">
              <w:r w:rsidR="00C45359" w:rsidRPr="001C7571">
                <w:rPr>
                  <w:rStyle w:val="Hyperlink"/>
                  <w:rFonts w:ascii="Arial" w:hAnsi="Arial" w:cs="Arial"/>
                </w:rPr>
                <w:t>talexander@calfee.com</w:t>
              </w:r>
            </w:hyperlink>
          </w:p>
          <w:p w14:paraId="1D0969BC" w14:textId="77777777" w:rsidR="00C45359" w:rsidRPr="001C7571" w:rsidRDefault="00AB187C" w:rsidP="00447CFA">
            <w:pPr>
              <w:rPr>
                <w:rFonts w:ascii="Arial" w:hAnsi="Arial" w:cs="Arial"/>
              </w:rPr>
            </w:pPr>
            <w:hyperlink r:id="rId34" w:history="1">
              <w:r w:rsidR="00C45359" w:rsidRPr="001C7571">
                <w:rPr>
                  <w:rStyle w:val="Hyperlink"/>
                  <w:rFonts w:ascii="Arial" w:hAnsi="Arial" w:cs="Arial"/>
                </w:rPr>
                <w:t>lhawrot@spilmanlaw.com</w:t>
              </w:r>
            </w:hyperlink>
          </w:p>
          <w:p w14:paraId="0D2A182F" w14:textId="77777777" w:rsidR="00C45359" w:rsidRPr="001C7571" w:rsidRDefault="00AB187C" w:rsidP="00447CFA">
            <w:pPr>
              <w:rPr>
                <w:rFonts w:ascii="Arial" w:hAnsi="Arial" w:cs="Arial"/>
              </w:rPr>
            </w:pPr>
            <w:hyperlink r:id="rId35" w:history="1">
              <w:r w:rsidR="00C45359" w:rsidRPr="001C7571">
                <w:rPr>
                  <w:rStyle w:val="Hyperlink"/>
                  <w:rFonts w:ascii="Arial" w:hAnsi="Arial" w:cs="Arial"/>
                </w:rPr>
                <w:t>dwilliamson@spilmanlaw.com</w:t>
              </w:r>
            </w:hyperlink>
          </w:p>
          <w:p w14:paraId="22EE701C" w14:textId="77777777" w:rsidR="00C45359" w:rsidRPr="001C7571" w:rsidRDefault="00AB187C" w:rsidP="00447CFA">
            <w:pPr>
              <w:rPr>
                <w:rFonts w:ascii="Arial" w:hAnsi="Arial" w:cs="Arial"/>
              </w:rPr>
            </w:pPr>
            <w:hyperlink r:id="rId36" w:history="1">
              <w:r w:rsidR="00C45359" w:rsidRPr="001C7571">
                <w:rPr>
                  <w:rStyle w:val="Hyperlink"/>
                  <w:rFonts w:ascii="Arial" w:hAnsi="Arial" w:cs="Arial"/>
                </w:rPr>
                <w:t>charris@spilmanlaw.com</w:t>
              </w:r>
            </w:hyperlink>
          </w:p>
          <w:p w14:paraId="304F9C05" w14:textId="77777777" w:rsidR="00C45359" w:rsidRPr="001C7571" w:rsidRDefault="00AB187C" w:rsidP="00447CFA">
            <w:pPr>
              <w:rPr>
                <w:rFonts w:ascii="Arial" w:hAnsi="Arial" w:cs="Arial"/>
              </w:rPr>
            </w:pPr>
            <w:hyperlink r:id="rId37" w:history="1">
              <w:r w:rsidR="00C45359" w:rsidRPr="001C7571">
                <w:rPr>
                  <w:rStyle w:val="Hyperlink"/>
                  <w:rFonts w:ascii="Arial" w:hAnsi="Arial" w:cs="Arial"/>
                </w:rPr>
                <w:t>gthomas@gtpowergroup.com</w:t>
              </w:r>
            </w:hyperlink>
          </w:p>
          <w:p w14:paraId="792127FB" w14:textId="77777777" w:rsidR="00C45359" w:rsidRPr="001C7571" w:rsidRDefault="00AB187C" w:rsidP="00447CFA">
            <w:pPr>
              <w:rPr>
                <w:rFonts w:ascii="Arial" w:hAnsi="Arial" w:cs="Arial"/>
              </w:rPr>
            </w:pPr>
            <w:hyperlink r:id="rId38" w:history="1">
              <w:r w:rsidR="00C45359" w:rsidRPr="001C7571">
                <w:rPr>
                  <w:rStyle w:val="Hyperlink"/>
                  <w:rFonts w:ascii="Arial" w:hAnsi="Arial" w:cs="Arial"/>
                </w:rPr>
                <w:t>laurac@chappelleconsulting.net</w:t>
              </w:r>
            </w:hyperlink>
          </w:p>
          <w:p w14:paraId="0807C2EB" w14:textId="77777777" w:rsidR="00C45359" w:rsidRPr="001C7571" w:rsidRDefault="00AB187C" w:rsidP="00447CFA">
            <w:pPr>
              <w:rPr>
                <w:rFonts w:ascii="Arial" w:hAnsi="Arial" w:cs="Arial"/>
              </w:rPr>
            </w:pPr>
            <w:hyperlink r:id="rId39" w:history="1">
              <w:r w:rsidR="00C45359" w:rsidRPr="001C7571">
                <w:rPr>
                  <w:rStyle w:val="Hyperlink"/>
                  <w:rFonts w:ascii="Arial" w:hAnsi="Arial" w:cs="Arial"/>
                </w:rPr>
                <w:t>stheodore@epsa.org</w:t>
              </w:r>
            </w:hyperlink>
          </w:p>
          <w:p w14:paraId="2CCD793B" w14:textId="77777777" w:rsidR="00C45359" w:rsidRPr="001C7571" w:rsidRDefault="00AB187C" w:rsidP="00447CFA">
            <w:pPr>
              <w:rPr>
                <w:rFonts w:ascii="Arial" w:hAnsi="Arial" w:cs="Arial"/>
              </w:rPr>
            </w:pPr>
            <w:hyperlink r:id="rId40" w:history="1">
              <w:r w:rsidR="00C45359" w:rsidRPr="001C7571">
                <w:rPr>
                  <w:rStyle w:val="Hyperlink"/>
                  <w:rFonts w:ascii="Arial" w:hAnsi="Arial" w:cs="Arial"/>
                </w:rPr>
                <w:t>todonnell@dickinsonwright.com</w:t>
              </w:r>
            </w:hyperlink>
          </w:p>
          <w:p w14:paraId="61B08753" w14:textId="77777777" w:rsidR="00C45359" w:rsidRPr="001C7571" w:rsidRDefault="00AB187C" w:rsidP="00447CFA">
            <w:pPr>
              <w:rPr>
                <w:rFonts w:ascii="Arial" w:hAnsi="Arial" w:cs="Arial"/>
              </w:rPr>
            </w:pPr>
            <w:hyperlink r:id="rId41" w:history="1">
              <w:r w:rsidR="00C45359" w:rsidRPr="001C7571">
                <w:rPr>
                  <w:rStyle w:val="Hyperlink"/>
                  <w:rFonts w:ascii="Arial" w:hAnsi="Arial" w:cs="Arial"/>
                </w:rPr>
                <w:t>rseiler@dickinsonwright.com</w:t>
              </w:r>
            </w:hyperlink>
          </w:p>
          <w:p w14:paraId="4C447283" w14:textId="77777777" w:rsidR="00C45359" w:rsidRPr="001C7571" w:rsidRDefault="00AB187C" w:rsidP="00447CFA">
            <w:pPr>
              <w:rPr>
                <w:rFonts w:ascii="Arial" w:hAnsi="Arial" w:cs="Arial"/>
              </w:rPr>
            </w:pPr>
            <w:hyperlink r:id="rId42" w:history="1">
              <w:r w:rsidR="00C45359" w:rsidRPr="001C7571">
                <w:rPr>
                  <w:rStyle w:val="Hyperlink"/>
                  <w:rFonts w:ascii="Arial" w:hAnsi="Arial" w:cs="Arial"/>
                </w:rPr>
                <w:t>jeanne.kingery@duke-energy.com</w:t>
              </w:r>
            </w:hyperlink>
            <w:r w:rsidR="00C45359" w:rsidRPr="001C7571">
              <w:rPr>
                <w:rFonts w:ascii="Arial" w:hAnsi="Arial" w:cs="Arial"/>
              </w:rPr>
              <w:t xml:space="preserve"> </w:t>
            </w:r>
          </w:p>
          <w:p w14:paraId="78E9F2FD" w14:textId="77777777" w:rsidR="00C45359" w:rsidRPr="001C7571" w:rsidRDefault="00AB187C" w:rsidP="00447CFA">
            <w:pPr>
              <w:rPr>
                <w:rFonts w:ascii="Arial" w:hAnsi="Arial" w:cs="Arial"/>
              </w:rPr>
            </w:pPr>
            <w:hyperlink r:id="rId43" w:history="1">
              <w:r w:rsidR="00C45359" w:rsidRPr="001C7571">
                <w:rPr>
                  <w:rStyle w:val="Hyperlink"/>
                  <w:rFonts w:ascii="Arial" w:hAnsi="Arial" w:cs="Arial"/>
                </w:rPr>
                <w:t>kristin.henry@sierraclub.org</w:t>
              </w:r>
            </w:hyperlink>
            <w:r w:rsidR="00C45359" w:rsidRPr="001C7571">
              <w:rPr>
                <w:rFonts w:ascii="Arial" w:hAnsi="Arial" w:cs="Arial"/>
              </w:rPr>
              <w:t xml:space="preserve"> </w:t>
            </w:r>
          </w:p>
          <w:p w14:paraId="421BC73A" w14:textId="77777777" w:rsidR="00C45359" w:rsidRPr="001C7571" w:rsidRDefault="00AB187C" w:rsidP="00447CFA">
            <w:pPr>
              <w:rPr>
                <w:rFonts w:ascii="Arial" w:hAnsi="Arial" w:cs="Arial"/>
              </w:rPr>
            </w:pPr>
            <w:hyperlink r:id="rId44" w:history="1">
              <w:r w:rsidR="00C45359" w:rsidRPr="001C7571">
                <w:rPr>
                  <w:rStyle w:val="Hyperlink"/>
                  <w:rFonts w:ascii="Arial" w:hAnsi="Arial" w:cs="Arial"/>
                </w:rPr>
                <w:t>thomas.mcnamee@ohioattorneygeneral.gov</w:t>
              </w:r>
            </w:hyperlink>
          </w:p>
        </w:tc>
        <w:tc>
          <w:tcPr>
            <w:tcW w:w="4788" w:type="dxa"/>
          </w:tcPr>
          <w:p w14:paraId="3EB6C487" w14:textId="77777777" w:rsidR="00C45359" w:rsidRPr="001C7571" w:rsidRDefault="00AB187C" w:rsidP="00447CFA">
            <w:pPr>
              <w:rPr>
                <w:rStyle w:val="Hyperlink"/>
                <w:rFonts w:ascii="Arial" w:hAnsi="Arial" w:cs="Arial"/>
              </w:rPr>
            </w:pPr>
            <w:hyperlink r:id="rId45" w:history="1">
              <w:r w:rsidR="00C45359" w:rsidRPr="001C7571">
                <w:rPr>
                  <w:rStyle w:val="Hyperlink"/>
                  <w:rFonts w:ascii="Arial" w:hAnsi="Arial" w:cs="Arial"/>
                </w:rPr>
                <w:t>joliker@igsenergy.com</w:t>
              </w:r>
            </w:hyperlink>
          </w:p>
          <w:p w14:paraId="049E3B53" w14:textId="77777777" w:rsidR="00C45359" w:rsidRPr="001C7571" w:rsidRDefault="00AB187C" w:rsidP="00447CFA">
            <w:pPr>
              <w:rPr>
                <w:rFonts w:ascii="Arial" w:hAnsi="Arial" w:cs="Arial"/>
              </w:rPr>
            </w:pPr>
            <w:hyperlink r:id="rId46" w:history="1">
              <w:r w:rsidR="00C45359" w:rsidRPr="001C7571">
                <w:rPr>
                  <w:rStyle w:val="Hyperlink"/>
                  <w:rFonts w:ascii="Arial" w:hAnsi="Arial" w:cs="Arial"/>
                </w:rPr>
                <w:t>bojko@carpenterlipps.com</w:t>
              </w:r>
            </w:hyperlink>
            <w:r w:rsidR="00C45359" w:rsidRPr="001C7571">
              <w:rPr>
                <w:rFonts w:ascii="Arial" w:hAnsi="Arial" w:cs="Arial"/>
              </w:rPr>
              <w:t xml:space="preserve"> </w:t>
            </w:r>
          </w:p>
          <w:p w14:paraId="45568F2E" w14:textId="77777777" w:rsidR="00C45359" w:rsidRPr="001C7571" w:rsidRDefault="00AB187C" w:rsidP="00447CFA">
            <w:pPr>
              <w:rPr>
                <w:rFonts w:ascii="Arial" w:hAnsi="Arial" w:cs="Arial"/>
              </w:rPr>
            </w:pPr>
            <w:hyperlink r:id="rId47" w:history="1">
              <w:r w:rsidR="00C45359" w:rsidRPr="001C7571">
                <w:rPr>
                  <w:rStyle w:val="Hyperlink"/>
                  <w:rFonts w:ascii="Arial" w:hAnsi="Arial" w:cs="Arial"/>
                </w:rPr>
                <w:t>ghiloni@carpenterlipps.com</w:t>
              </w:r>
            </w:hyperlink>
            <w:r w:rsidR="00C45359" w:rsidRPr="001C7571">
              <w:rPr>
                <w:rFonts w:ascii="Arial" w:hAnsi="Arial" w:cs="Arial"/>
              </w:rPr>
              <w:t xml:space="preserve"> </w:t>
            </w:r>
          </w:p>
          <w:p w14:paraId="24BFC21C" w14:textId="77777777" w:rsidR="00C45359" w:rsidRPr="001C7571" w:rsidRDefault="00AB187C" w:rsidP="00447CFA">
            <w:pPr>
              <w:rPr>
                <w:rFonts w:ascii="Arial" w:hAnsi="Arial" w:cs="Arial"/>
              </w:rPr>
            </w:pPr>
            <w:hyperlink r:id="rId48" w:history="1">
              <w:r w:rsidR="00C45359" w:rsidRPr="001C7571">
                <w:rPr>
                  <w:rStyle w:val="Hyperlink"/>
                  <w:rFonts w:ascii="Arial" w:hAnsi="Arial" w:cs="Arial"/>
                </w:rPr>
                <w:t>mjsettineri@vorys.com</w:t>
              </w:r>
            </w:hyperlink>
            <w:r w:rsidR="00C45359" w:rsidRPr="001C7571">
              <w:rPr>
                <w:rFonts w:ascii="Arial" w:hAnsi="Arial" w:cs="Arial"/>
              </w:rPr>
              <w:t xml:space="preserve"> </w:t>
            </w:r>
          </w:p>
          <w:p w14:paraId="6B868350" w14:textId="77777777" w:rsidR="00C45359" w:rsidRPr="001C7571" w:rsidRDefault="00AB187C" w:rsidP="00447CFA">
            <w:pPr>
              <w:autoSpaceDE w:val="0"/>
              <w:autoSpaceDN w:val="0"/>
              <w:adjustRightInd w:val="0"/>
              <w:rPr>
                <w:rFonts w:ascii="Arial" w:hAnsi="Arial" w:cs="Arial"/>
              </w:rPr>
            </w:pPr>
            <w:hyperlink r:id="rId49" w:history="1">
              <w:r w:rsidR="00C45359" w:rsidRPr="001C7571">
                <w:rPr>
                  <w:rStyle w:val="Hyperlink"/>
                  <w:rFonts w:ascii="Arial" w:hAnsi="Arial" w:cs="Arial"/>
                </w:rPr>
                <w:t>smhoward@vorys.com</w:t>
              </w:r>
            </w:hyperlink>
            <w:r w:rsidR="00C45359" w:rsidRPr="001C7571">
              <w:rPr>
                <w:rFonts w:ascii="Arial" w:hAnsi="Arial" w:cs="Arial"/>
              </w:rPr>
              <w:t xml:space="preserve"> </w:t>
            </w:r>
          </w:p>
          <w:p w14:paraId="2268776B" w14:textId="77777777" w:rsidR="00C45359" w:rsidRPr="001C7571" w:rsidRDefault="00AB187C" w:rsidP="00447CFA">
            <w:pPr>
              <w:autoSpaceDE w:val="0"/>
              <w:autoSpaceDN w:val="0"/>
              <w:adjustRightInd w:val="0"/>
              <w:rPr>
                <w:rFonts w:ascii="Arial" w:hAnsi="Arial" w:cs="Arial"/>
              </w:rPr>
            </w:pPr>
            <w:hyperlink r:id="rId50" w:history="1">
              <w:r w:rsidR="00C45359" w:rsidRPr="001C7571">
                <w:rPr>
                  <w:rStyle w:val="Hyperlink"/>
                  <w:rFonts w:ascii="Arial" w:hAnsi="Arial" w:cs="Arial"/>
                </w:rPr>
                <w:t>glpetrucci@vorys.com</w:t>
              </w:r>
            </w:hyperlink>
            <w:r w:rsidR="00C45359" w:rsidRPr="001C7571">
              <w:rPr>
                <w:rFonts w:ascii="Arial" w:hAnsi="Arial" w:cs="Arial"/>
              </w:rPr>
              <w:t xml:space="preserve"> </w:t>
            </w:r>
          </w:p>
          <w:p w14:paraId="1CBA1851" w14:textId="77777777" w:rsidR="00C45359" w:rsidRPr="001C7571" w:rsidRDefault="00AB187C" w:rsidP="00447CFA">
            <w:pPr>
              <w:rPr>
                <w:rStyle w:val="Hyperlink"/>
                <w:rFonts w:ascii="Arial" w:hAnsi="Arial" w:cs="Arial"/>
              </w:rPr>
            </w:pPr>
            <w:hyperlink r:id="rId51" w:history="1">
              <w:r w:rsidR="00C45359" w:rsidRPr="001C7571">
                <w:rPr>
                  <w:rStyle w:val="Hyperlink"/>
                  <w:rFonts w:ascii="Arial" w:hAnsi="Arial" w:cs="Arial"/>
                </w:rPr>
                <w:t>ibatikov@vorys.com</w:t>
              </w:r>
            </w:hyperlink>
          </w:p>
          <w:p w14:paraId="2A43AA1A" w14:textId="77777777" w:rsidR="00C45359" w:rsidRPr="001C7571" w:rsidRDefault="00C45359" w:rsidP="00447CFA">
            <w:pPr>
              <w:rPr>
                <w:rFonts w:ascii="Arial" w:hAnsi="Arial" w:cs="Arial"/>
              </w:rPr>
            </w:pPr>
            <w:r w:rsidRPr="001C7571">
              <w:rPr>
                <w:rStyle w:val="Hyperlink"/>
                <w:rFonts w:ascii="Arial" w:hAnsi="Arial" w:cs="Arial"/>
              </w:rPr>
              <w:t xml:space="preserve">wasieck@vorys.com </w:t>
            </w:r>
          </w:p>
          <w:p w14:paraId="00E176A6" w14:textId="77777777" w:rsidR="00C45359" w:rsidRPr="001C7571" w:rsidRDefault="00AB187C" w:rsidP="00447CFA">
            <w:pPr>
              <w:rPr>
                <w:rFonts w:ascii="Arial" w:hAnsi="Arial" w:cs="Arial"/>
              </w:rPr>
            </w:pPr>
            <w:hyperlink r:id="rId52" w:history="1">
              <w:r w:rsidR="00C45359" w:rsidRPr="001C7571">
                <w:rPr>
                  <w:rStyle w:val="Hyperlink"/>
                  <w:rFonts w:ascii="Arial" w:hAnsi="Arial" w:cs="Arial"/>
                </w:rPr>
                <w:t>william.michael@occ.ohio.gov</w:t>
              </w:r>
            </w:hyperlink>
            <w:r w:rsidR="00C45359" w:rsidRPr="001C7571">
              <w:rPr>
                <w:rFonts w:ascii="Arial" w:hAnsi="Arial" w:cs="Arial"/>
                <w:color w:val="0000FF"/>
              </w:rPr>
              <w:t xml:space="preserve"> </w:t>
            </w:r>
          </w:p>
          <w:p w14:paraId="6491718E" w14:textId="77777777" w:rsidR="00C45359" w:rsidRPr="001C7571" w:rsidRDefault="00AB187C" w:rsidP="00447CFA">
            <w:pPr>
              <w:rPr>
                <w:rFonts w:ascii="Arial" w:hAnsi="Arial" w:cs="Arial"/>
              </w:rPr>
            </w:pPr>
            <w:hyperlink r:id="rId53" w:history="1">
              <w:r w:rsidR="00C45359" w:rsidRPr="001C7571">
                <w:rPr>
                  <w:rStyle w:val="Hyperlink"/>
                  <w:rFonts w:ascii="Arial" w:hAnsi="Arial" w:cs="Arial"/>
                </w:rPr>
                <w:t>kevin.moore@occ.ohio.gov</w:t>
              </w:r>
            </w:hyperlink>
          </w:p>
          <w:p w14:paraId="3ABE37B8" w14:textId="77777777" w:rsidR="00C45359" w:rsidRPr="001C7571" w:rsidRDefault="00AB187C" w:rsidP="00447CFA">
            <w:pPr>
              <w:rPr>
                <w:rFonts w:ascii="Arial" w:hAnsi="Arial" w:cs="Arial"/>
              </w:rPr>
            </w:pPr>
            <w:hyperlink r:id="rId54" w:history="1">
              <w:r w:rsidR="00C45359" w:rsidRPr="001C7571">
                <w:rPr>
                  <w:rStyle w:val="Hyperlink"/>
                  <w:rFonts w:ascii="Arial" w:hAnsi="Arial" w:cs="Arial"/>
                </w:rPr>
                <w:t>mdortch@kravitzllc.com</w:t>
              </w:r>
            </w:hyperlink>
          </w:p>
          <w:p w14:paraId="2E6C58B3" w14:textId="77777777" w:rsidR="00C45359" w:rsidRPr="001C7571" w:rsidRDefault="00AB187C" w:rsidP="00447CFA">
            <w:pPr>
              <w:rPr>
                <w:rFonts w:ascii="Arial" w:hAnsi="Arial" w:cs="Arial"/>
              </w:rPr>
            </w:pPr>
            <w:hyperlink r:id="rId55" w:history="1">
              <w:r w:rsidR="00C45359" w:rsidRPr="001C7571">
                <w:rPr>
                  <w:rStyle w:val="Hyperlink"/>
                  <w:rFonts w:ascii="Arial" w:hAnsi="Arial" w:cs="Arial"/>
                </w:rPr>
                <w:t>tdougherty@theOEC.org</w:t>
              </w:r>
            </w:hyperlink>
          </w:p>
          <w:p w14:paraId="0D93901D" w14:textId="77777777" w:rsidR="00C45359" w:rsidRPr="001C7571" w:rsidRDefault="00AB187C" w:rsidP="00447CFA">
            <w:pPr>
              <w:rPr>
                <w:rFonts w:ascii="Arial" w:hAnsi="Arial" w:cs="Arial"/>
              </w:rPr>
            </w:pPr>
            <w:hyperlink r:id="rId56" w:history="1">
              <w:r w:rsidR="00C45359" w:rsidRPr="001C7571">
                <w:rPr>
                  <w:rStyle w:val="Hyperlink"/>
                  <w:rFonts w:ascii="Arial" w:hAnsi="Arial" w:cs="Arial"/>
                </w:rPr>
                <w:t>cmooney@ohiopartners.org</w:t>
              </w:r>
            </w:hyperlink>
          </w:p>
          <w:p w14:paraId="710C6E24" w14:textId="77777777" w:rsidR="00C45359" w:rsidRPr="001C7571" w:rsidRDefault="00AB187C" w:rsidP="00447CFA">
            <w:pPr>
              <w:rPr>
                <w:rFonts w:ascii="Arial" w:hAnsi="Arial" w:cs="Arial"/>
              </w:rPr>
            </w:pPr>
            <w:hyperlink r:id="rId57" w:history="1">
              <w:r w:rsidR="00C45359" w:rsidRPr="001C7571">
                <w:rPr>
                  <w:rStyle w:val="Hyperlink"/>
                  <w:rFonts w:ascii="Arial" w:hAnsi="Arial" w:cs="Arial"/>
                </w:rPr>
                <w:t>sechler@carpenterlipps.com</w:t>
              </w:r>
            </w:hyperlink>
          </w:p>
          <w:p w14:paraId="04EA5178" w14:textId="77777777" w:rsidR="00C45359" w:rsidRPr="001C7571" w:rsidRDefault="00AB187C" w:rsidP="00447CFA">
            <w:pPr>
              <w:rPr>
                <w:rFonts w:ascii="Arial" w:hAnsi="Arial" w:cs="Arial"/>
              </w:rPr>
            </w:pPr>
            <w:hyperlink r:id="rId58" w:history="1">
              <w:r w:rsidR="00C45359" w:rsidRPr="001C7571">
                <w:rPr>
                  <w:rStyle w:val="Hyperlink"/>
                  <w:rFonts w:ascii="Arial" w:hAnsi="Arial" w:cs="Arial"/>
                </w:rPr>
                <w:t>gpoulos@enernoc.com</w:t>
              </w:r>
            </w:hyperlink>
            <w:r w:rsidR="00C45359" w:rsidRPr="001C7571">
              <w:rPr>
                <w:rFonts w:ascii="Arial" w:hAnsi="Arial" w:cs="Arial"/>
              </w:rPr>
              <w:t xml:space="preserve"> </w:t>
            </w:r>
          </w:p>
          <w:p w14:paraId="2C441BC5" w14:textId="77777777" w:rsidR="00C45359" w:rsidRPr="001C7571" w:rsidRDefault="00AB187C" w:rsidP="00447CFA">
            <w:pPr>
              <w:rPr>
                <w:rFonts w:ascii="Arial" w:hAnsi="Arial" w:cs="Arial"/>
              </w:rPr>
            </w:pPr>
            <w:hyperlink r:id="rId59" w:history="1">
              <w:r w:rsidR="00C45359" w:rsidRPr="001C7571">
                <w:rPr>
                  <w:rStyle w:val="Hyperlink"/>
                  <w:rFonts w:ascii="Arial" w:hAnsi="Arial" w:cs="Arial"/>
                </w:rPr>
                <w:t>rick.sites@ohiohospitals.org</w:t>
              </w:r>
            </w:hyperlink>
            <w:r w:rsidR="00C45359" w:rsidRPr="001C7571">
              <w:rPr>
                <w:rFonts w:ascii="Arial" w:hAnsi="Arial" w:cs="Arial"/>
              </w:rPr>
              <w:br/>
            </w:r>
            <w:hyperlink r:id="rId60" w:history="1">
              <w:r w:rsidR="00C45359" w:rsidRPr="001C7571">
                <w:rPr>
                  <w:rStyle w:val="Hyperlink"/>
                  <w:rFonts w:ascii="Arial" w:hAnsi="Arial" w:cs="Arial"/>
                </w:rPr>
                <w:t>amy.spiller@duke-energy.com</w:t>
              </w:r>
            </w:hyperlink>
          </w:p>
          <w:p w14:paraId="4BEA30BA" w14:textId="77777777" w:rsidR="00C45359" w:rsidRPr="001C7571" w:rsidRDefault="00AB187C" w:rsidP="00447CFA">
            <w:pPr>
              <w:rPr>
                <w:rFonts w:ascii="Arial" w:hAnsi="Arial" w:cs="Arial"/>
              </w:rPr>
            </w:pPr>
            <w:hyperlink r:id="rId61" w:history="1">
              <w:r w:rsidR="00C45359" w:rsidRPr="001C7571">
                <w:rPr>
                  <w:rStyle w:val="Hyperlink"/>
                  <w:rFonts w:ascii="Arial" w:hAnsi="Arial" w:cs="Arial"/>
                </w:rPr>
                <w:t>elizabeth.watts@duke-energy.com</w:t>
              </w:r>
            </w:hyperlink>
          </w:p>
          <w:p w14:paraId="725C3971" w14:textId="77777777" w:rsidR="00C45359" w:rsidRPr="001C7571" w:rsidRDefault="00AB187C" w:rsidP="00447CFA">
            <w:pPr>
              <w:rPr>
                <w:rFonts w:ascii="Arial" w:hAnsi="Arial" w:cs="Arial"/>
              </w:rPr>
            </w:pPr>
            <w:hyperlink r:id="rId62" w:history="1">
              <w:r w:rsidR="00C45359" w:rsidRPr="001C7571">
                <w:rPr>
                  <w:rStyle w:val="Hyperlink"/>
                  <w:rFonts w:ascii="Arial" w:hAnsi="Arial" w:cs="Arial"/>
                </w:rPr>
                <w:t>stephen.chriss@walmart.com</w:t>
              </w:r>
            </w:hyperlink>
          </w:p>
          <w:p w14:paraId="57149724" w14:textId="77777777" w:rsidR="00C45359" w:rsidRPr="001C7571" w:rsidRDefault="00AB187C" w:rsidP="00447CFA">
            <w:pPr>
              <w:rPr>
                <w:rFonts w:ascii="Arial" w:hAnsi="Arial" w:cs="Arial"/>
              </w:rPr>
            </w:pPr>
            <w:hyperlink r:id="rId63" w:history="1">
              <w:r w:rsidR="00C45359" w:rsidRPr="001C7571">
                <w:rPr>
                  <w:rStyle w:val="Hyperlink"/>
                  <w:rFonts w:ascii="Arial" w:hAnsi="Arial" w:cs="Arial"/>
                </w:rPr>
                <w:t>greg.tillman@walmart.com</w:t>
              </w:r>
            </w:hyperlink>
          </w:p>
          <w:p w14:paraId="4BF719EB" w14:textId="77777777" w:rsidR="00C45359" w:rsidRPr="001C7571" w:rsidRDefault="00AB187C" w:rsidP="00447CFA">
            <w:pPr>
              <w:ind w:right="-36"/>
              <w:rPr>
                <w:rFonts w:ascii="Arial" w:hAnsi="Arial" w:cs="Arial"/>
              </w:rPr>
            </w:pPr>
            <w:hyperlink r:id="rId64" w:history="1">
              <w:r w:rsidR="00C45359" w:rsidRPr="001C7571">
                <w:rPr>
                  <w:rStyle w:val="Hyperlink"/>
                  <w:rFonts w:ascii="Arial" w:hAnsi="Arial" w:cs="Arial"/>
                </w:rPr>
                <w:t>mwarnock@bricker.com</w:t>
              </w:r>
            </w:hyperlink>
          </w:p>
          <w:p w14:paraId="61AA1E0B" w14:textId="77777777" w:rsidR="00C45359" w:rsidRPr="001C7571" w:rsidRDefault="00AB187C" w:rsidP="00447CFA">
            <w:pPr>
              <w:rPr>
                <w:rStyle w:val="Hyperlink"/>
                <w:rFonts w:ascii="Arial" w:hAnsi="Arial" w:cs="Arial"/>
              </w:rPr>
            </w:pPr>
            <w:hyperlink r:id="rId65" w:history="1">
              <w:r w:rsidR="00C45359" w:rsidRPr="001C7571">
                <w:rPr>
                  <w:rStyle w:val="Hyperlink"/>
                  <w:rFonts w:ascii="Arial" w:hAnsi="Arial" w:cs="Arial"/>
                </w:rPr>
                <w:t>dborchers@bricker.com</w:t>
              </w:r>
            </w:hyperlink>
          </w:p>
          <w:p w14:paraId="564F6562" w14:textId="77777777" w:rsidR="00C45359" w:rsidRPr="001C7571" w:rsidRDefault="00AB187C" w:rsidP="00447CFA">
            <w:pPr>
              <w:rPr>
                <w:rStyle w:val="Hyperlink"/>
                <w:rFonts w:ascii="Arial" w:hAnsi="Arial" w:cs="Arial"/>
              </w:rPr>
            </w:pPr>
            <w:hyperlink r:id="rId66" w:history="1">
              <w:r w:rsidR="00C45359" w:rsidRPr="001C7571">
                <w:rPr>
                  <w:rStyle w:val="Hyperlink"/>
                  <w:rFonts w:ascii="Arial" w:hAnsi="Arial" w:cs="Arial"/>
                </w:rPr>
                <w:t>ejacobs@ablelaw.org</w:t>
              </w:r>
            </w:hyperlink>
            <w:r w:rsidR="00C45359" w:rsidRPr="001C7571">
              <w:rPr>
                <w:rStyle w:val="Hyperlink"/>
                <w:rFonts w:ascii="Arial" w:hAnsi="Arial" w:cs="Arial"/>
              </w:rPr>
              <w:t xml:space="preserve"> </w:t>
            </w:r>
            <w:r w:rsidR="00C45359" w:rsidRPr="001C7571">
              <w:rPr>
                <w:rStyle w:val="Hyperlink"/>
                <w:rFonts w:ascii="Arial" w:hAnsi="Arial" w:cs="Arial"/>
              </w:rPr>
              <w:br/>
            </w:r>
            <w:hyperlink r:id="rId67" w:history="1">
              <w:r w:rsidR="00C45359" w:rsidRPr="001C7571">
                <w:rPr>
                  <w:rStyle w:val="Hyperlink"/>
                  <w:rFonts w:ascii="Arial" w:hAnsi="Arial" w:cs="Arial"/>
                </w:rPr>
                <w:t>tony.mendoza@sierraclub.org</w:t>
              </w:r>
            </w:hyperlink>
            <w:r w:rsidR="00C45359" w:rsidRPr="001C7571">
              <w:rPr>
                <w:rStyle w:val="Hyperlink"/>
                <w:rFonts w:ascii="Arial" w:hAnsi="Arial" w:cs="Arial"/>
              </w:rPr>
              <w:t xml:space="preserve"> </w:t>
            </w:r>
          </w:p>
          <w:p w14:paraId="3EF15531" w14:textId="77777777" w:rsidR="00C45359" w:rsidRPr="001C7571" w:rsidRDefault="00AB187C" w:rsidP="00447CFA">
            <w:pPr>
              <w:rPr>
                <w:rStyle w:val="Hyperlink"/>
                <w:rFonts w:ascii="Arial" w:hAnsi="Arial" w:cs="Arial"/>
              </w:rPr>
            </w:pPr>
            <w:hyperlink r:id="rId68" w:history="1">
              <w:r w:rsidR="00C45359" w:rsidRPr="001C7571">
                <w:rPr>
                  <w:rStyle w:val="Hyperlink"/>
                  <w:rFonts w:ascii="Arial" w:hAnsi="Arial" w:cs="Arial"/>
                </w:rPr>
                <w:t>chris@envlaw.com</w:t>
              </w:r>
            </w:hyperlink>
            <w:r w:rsidR="00C45359" w:rsidRPr="001C7571">
              <w:rPr>
                <w:rStyle w:val="Hyperlink"/>
                <w:rFonts w:ascii="Arial" w:hAnsi="Arial" w:cs="Arial"/>
              </w:rPr>
              <w:t xml:space="preserve"> </w:t>
            </w:r>
          </w:p>
          <w:p w14:paraId="4B5E048E" w14:textId="77777777" w:rsidR="00C45359" w:rsidRPr="001C7571" w:rsidRDefault="00AB187C" w:rsidP="00447CFA">
            <w:pPr>
              <w:rPr>
                <w:rStyle w:val="Hyperlink"/>
                <w:rFonts w:ascii="Arial" w:hAnsi="Arial" w:cs="Arial"/>
              </w:rPr>
            </w:pPr>
            <w:hyperlink r:id="rId69" w:history="1">
              <w:r w:rsidR="00C45359" w:rsidRPr="001C7571">
                <w:rPr>
                  <w:rStyle w:val="Hyperlink"/>
                  <w:rFonts w:ascii="Arial" w:hAnsi="Arial" w:cs="Arial"/>
                </w:rPr>
                <w:t>jdoll@djflawfirm.com</w:t>
              </w:r>
            </w:hyperlink>
          </w:p>
          <w:p w14:paraId="70E18790" w14:textId="77777777" w:rsidR="00C45359" w:rsidRPr="001C7571" w:rsidRDefault="00AB187C" w:rsidP="00447CFA">
            <w:pPr>
              <w:rPr>
                <w:rStyle w:val="Hyperlink"/>
                <w:rFonts w:ascii="Arial" w:hAnsi="Arial" w:cs="Arial"/>
              </w:rPr>
            </w:pPr>
            <w:hyperlink r:id="rId70" w:history="1">
              <w:r w:rsidR="00C45359" w:rsidRPr="001C7571">
                <w:rPr>
                  <w:rStyle w:val="Hyperlink"/>
                  <w:rFonts w:ascii="Arial" w:hAnsi="Arial" w:cs="Arial"/>
                </w:rPr>
                <w:t>mcrawford@djflawfirm.com</w:t>
              </w:r>
            </w:hyperlink>
            <w:r w:rsidR="00C45359" w:rsidRPr="001C7571">
              <w:rPr>
                <w:rStyle w:val="Hyperlink"/>
                <w:rFonts w:ascii="Arial" w:hAnsi="Arial" w:cs="Arial"/>
              </w:rPr>
              <w:t xml:space="preserve"> </w:t>
            </w:r>
          </w:p>
          <w:p w14:paraId="171A8033" w14:textId="77777777" w:rsidR="00C45359" w:rsidRPr="001C7571" w:rsidRDefault="00AB187C" w:rsidP="00447CFA">
            <w:pPr>
              <w:rPr>
                <w:rFonts w:ascii="Arial" w:hAnsi="Arial" w:cs="Arial"/>
              </w:rPr>
            </w:pPr>
            <w:hyperlink r:id="rId71" w:history="1">
              <w:r w:rsidR="00C45359" w:rsidRPr="001C7571">
                <w:rPr>
                  <w:rStyle w:val="Hyperlink"/>
                  <w:rFonts w:ascii="Arial" w:hAnsi="Arial" w:cs="Arial"/>
                </w:rPr>
                <w:t>dparram@bricker.com</w:t>
              </w:r>
            </w:hyperlink>
            <w:r w:rsidR="00C45359" w:rsidRPr="001C7571">
              <w:rPr>
                <w:rFonts w:ascii="Arial" w:hAnsi="Arial" w:cs="Arial"/>
              </w:rPr>
              <w:t xml:space="preserve"> </w:t>
            </w:r>
          </w:p>
          <w:p w14:paraId="6EB4D2C1" w14:textId="77777777" w:rsidR="00C45359" w:rsidRPr="001C7571" w:rsidRDefault="00AB187C" w:rsidP="00447CFA">
            <w:pPr>
              <w:rPr>
                <w:rFonts w:ascii="Arial" w:hAnsi="Arial" w:cs="Arial"/>
              </w:rPr>
            </w:pPr>
            <w:hyperlink r:id="rId72" w:history="1">
              <w:r w:rsidR="00C45359" w:rsidRPr="001C7571">
                <w:rPr>
                  <w:rStyle w:val="Hyperlink"/>
                  <w:rFonts w:ascii="Arial" w:hAnsi="Arial" w:cs="Arial"/>
                </w:rPr>
                <w:t>paul@carpenterlipps.com</w:t>
              </w:r>
            </w:hyperlink>
          </w:p>
        </w:tc>
      </w:tr>
    </w:tbl>
    <w:p w14:paraId="4BC8EE50" w14:textId="77777777" w:rsidR="00346E6A" w:rsidRPr="005C7D44" w:rsidRDefault="00346E6A" w:rsidP="00346E6A"/>
    <w:p w14:paraId="766B4D6C" w14:textId="77777777" w:rsidR="006904E2" w:rsidRDefault="006904E2" w:rsidP="00346E6A">
      <w:pPr>
        <w:spacing w:line="480" w:lineRule="auto"/>
      </w:pPr>
    </w:p>
    <w:sectPr w:rsidR="006904E2" w:rsidSect="00346E6A">
      <w:footerReference w:type="default" r:id="rId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07AD3" w14:textId="77777777" w:rsidR="00AB187C" w:rsidRDefault="00AB187C" w:rsidP="00346E6A">
      <w:pPr>
        <w:spacing w:after="0"/>
      </w:pPr>
      <w:r>
        <w:separator/>
      </w:r>
    </w:p>
  </w:endnote>
  <w:endnote w:type="continuationSeparator" w:id="0">
    <w:p w14:paraId="296E07F1" w14:textId="77777777" w:rsidR="00AB187C" w:rsidRDefault="00AB187C" w:rsidP="00346E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E12B5" w14:textId="77777777" w:rsidR="002B1672" w:rsidRDefault="002B1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505642"/>
      <w:docPartObj>
        <w:docPartGallery w:val="Page Numbers (Bottom of Page)"/>
        <w:docPartUnique/>
      </w:docPartObj>
    </w:sdtPr>
    <w:sdtEndPr>
      <w:rPr>
        <w:noProof/>
      </w:rPr>
    </w:sdtEndPr>
    <w:sdtContent>
      <w:p w14:paraId="2AED48B9" w14:textId="70696776" w:rsidR="002B1672" w:rsidRDefault="002B1672">
        <w:pPr>
          <w:pStyle w:val="Footer"/>
          <w:jc w:val="center"/>
        </w:pPr>
        <w:r>
          <w:fldChar w:fldCharType="begin"/>
        </w:r>
        <w:r>
          <w:instrText xml:space="preserve"> PAGE   \* MERGEFORMAT </w:instrText>
        </w:r>
        <w:r>
          <w:fldChar w:fldCharType="separate"/>
        </w:r>
        <w:r w:rsidR="00864D7D">
          <w:rPr>
            <w:noProof/>
          </w:rPr>
          <w:t>1</w:t>
        </w:r>
        <w:r>
          <w:rPr>
            <w:noProof/>
          </w:rPr>
          <w:fldChar w:fldCharType="end"/>
        </w:r>
      </w:p>
    </w:sdtContent>
  </w:sdt>
  <w:p w14:paraId="6C0BAC5C" w14:textId="77777777" w:rsidR="002B1672" w:rsidRDefault="002B1672">
    <w:pPr>
      <w:pStyle w:val="Footer"/>
      <w:jc w:val="center"/>
      <w:rPr>
        <w:rFonts w:ascii="Times New Roman" w:hAnsi="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1C6F4" w14:textId="77777777" w:rsidR="002B1672" w:rsidRDefault="002B16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C9CE2" w14:textId="6083E34C" w:rsidR="002B1672" w:rsidRDefault="002B1672">
    <w:pPr>
      <w:pStyle w:val="Footer"/>
      <w:jc w:val="center"/>
    </w:pPr>
    <w:r>
      <w:fldChar w:fldCharType="begin"/>
    </w:r>
    <w:r>
      <w:instrText xml:space="preserve"> PAGE   \* MERGEFORMAT </w:instrText>
    </w:r>
    <w:r>
      <w:fldChar w:fldCharType="separate"/>
    </w:r>
    <w:r w:rsidR="00864D7D">
      <w:rPr>
        <w:noProof/>
      </w:rPr>
      <w:t>1</w:t>
    </w:r>
    <w:r>
      <w:rPr>
        <w:noProof/>
      </w:rPr>
      <w:fldChar w:fldCharType="end"/>
    </w:r>
  </w:p>
  <w:p w14:paraId="606B5A46" w14:textId="77777777" w:rsidR="002B1672" w:rsidRDefault="002B16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508139"/>
      <w:docPartObj>
        <w:docPartGallery w:val="Page Numbers (Bottom of Page)"/>
        <w:docPartUnique/>
      </w:docPartObj>
    </w:sdtPr>
    <w:sdtEndPr>
      <w:rPr>
        <w:noProof/>
      </w:rPr>
    </w:sdtEndPr>
    <w:sdtContent>
      <w:p w14:paraId="07429634" w14:textId="7CA74DEF" w:rsidR="002B1672" w:rsidRDefault="002B1672">
        <w:pPr>
          <w:pStyle w:val="Footer"/>
          <w:jc w:val="center"/>
        </w:pPr>
        <w:r>
          <w:fldChar w:fldCharType="begin"/>
        </w:r>
        <w:r>
          <w:instrText xml:space="preserve"> PAGE   \* MERGEFORMAT </w:instrText>
        </w:r>
        <w:r>
          <w:fldChar w:fldCharType="separate"/>
        </w:r>
        <w:r w:rsidR="00864D7D">
          <w:rPr>
            <w:noProof/>
          </w:rPr>
          <w:t>12</w:t>
        </w:r>
        <w:r>
          <w:rPr>
            <w:noProof/>
          </w:rPr>
          <w:fldChar w:fldCharType="end"/>
        </w:r>
      </w:p>
    </w:sdtContent>
  </w:sdt>
  <w:p w14:paraId="20890D27" w14:textId="77777777" w:rsidR="002B1672" w:rsidRDefault="002B1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FD7C8" w14:textId="77777777" w:rsidR="00AB187C" w:rsidRDefault="00AB187C" w:rsidP="00346E6A">
      <w:pPr>
        <w:spacing w:after="0"/>
      </w:pPr>
      <w:r>
        <w:separator/>
      </w:r>
    </w:p>
  </w:footnote>
  <w:footnote w:type="continuationSeparator" w:id="0">
    <w:p w14:paraId="10F81D66" w14:textId="77777777" w:rsidR="00AB187C" w:rsidRDefault="00AB187C" w:rsidP="00346E6A">
      <w:pPr>
        <w:spacing w:after="0"/>
      </w:pPr>
      <w:r>
        <w:continuationSeparator/>
      </w:r>
    </w:p>
  </w:footnote>
  <w:footnote w:id="1">
    <w:p w14:paraId="131DE8C5" w14:textId="77777777" w:rsidR="002B1672" w:rsidRPr="00E15A1D" w:rsidRDefault="002B1672" w:rsidP="003177B4">
      <w:pPr>
        <w:pStyle w:val="FootnoteText"/>
        <w:jc w:val="both"/>
        <w:rPr>
          <w:rFonts w:ascii="Arial" w:hAnsi="Arial" w:cs="Arial"/>
        </w:rPr>
      </w:pPr>
      <w:r w:rsidRPr="00E15A1D">
        <w:rPr>
          <w:rStyle w:val="FootnoteReference"/>
          <w:rFonts w:ascii="Arial" w:hAnsi="Arial" w:cs="Arial"/>
        </w:rPr>
        <w:footnoteRef/>
      </w:r>
      <w:r w:rsidRPr="00E15A1D">
        <w:rPr>
          <w:rFonts w:ascii="Arial" w:hAnsi="Arial" w:cs="Arial"/>
        </w:rPr>
        <w:t xml:space="preserve"> Application at 5</w:t>
      </w:r>
    </w:p>
    <w:p w14:paraId="7D778E00" w14:textId="77777777" w:rsidR="002B1672" w:rsidRPr="00E15A1D" w:rsidRDefault="002B1672" w:rsidP="003177B4">
      <w:pPr>
        <w:pStyle w:val="FootnoteText"/>
        <w:jc w:val="both"/>
        <w:rPr>
          <w:rFonts w:ascii="Arial" w:hAnsi="Arial" w:cs="Arial"/>
        </w:rPr>
      </w:pPr>
    </w:p>
  </w:footnote>
  <w:footnote w:id="2">
    <w:p w14:paraId="004C3173" w14:textId="56266397" w:rsidR="006A0F42" w:rsidRPr="006A0F42" w:rsidRDefault="006A0F42">
      <w:pPr>
        <w:pStyle w:val="FootnoteText"/>
        <w:rPr>
          <w:rFonts w:ascii="Arial" w:hAnsi="Arial" w:cs="Arial"/>
        </w:rPr>
      </w:pPr>
      <w:r w:rsidRPr="006A0F42">
        <w:rPr>
          <w:rStyle w:val="FootnoteReference"/>
          <w:rFonts w:ascii="Arial" w:hAnsi="Arial" w:cs="Arial"/>
        </w:rPr>
        <w:footnoteRef/>
      </w:r>
      <w:r w:rsidRPr="006A0F42">
        <w:rPr>
          <w:rFonts w:ascii="Arial" w:hAnsi="Arial" w:cs="Arial"/>
        </w:rPr>
        <w:t xml:space="preserve"> Ex. MW-3</w:t>
      </w:r>
      <w:r>
        <w:rPr>
          <w:rFonts w:ascii="Arial" w:hAnsi="Arial" w:cs="Arial"/>
        </w:rPr>
        <w:t xml:space="preserve"> (DP&amp;L Response to IGS-INT-8-6).</w:t>
      </w:r>
    </w:p>
  </w:footnote>
  <w:footnote w:id="3">
    <w:p w14:paraId="16B88CAC" w14:textId="70659D0F" w:rsidR="002B1672" w:rsidRDefault="002B1672">
      <w:pPr>
        <w:pStyle w:val="FootnoteText"/>
      </w:pPr>
      <w:r>
        <w:rPr>
          <w:rStyle w:val="FootnoteReference"/>
        </w:rPr>
        <w:footnoteRef/>
      </w:r>
      <w:r>
        <w:t xml:space="preserve"> </w:t>
      </w:r>
      <w:r w:rsidR="00C818DF">
        <w:t>M</w:t>
      </w:r>
      <w:r w:rsidR="00C94FA6">
        <w:t>W-1 (</w:t>
      </w:r>
      <w:r>
        <w:t>DP&amp;L Response to IGS-INT-9-10</w:t>
      </w:r>
      <w:r w:rsidR="00C94FA6">
        <w:t>)</w:t>
      </w:r>
      <w:r w:rsidR="006A0F42">
        <w:t>.</w:t>
      </w:r>
    </w:p>
  </w:footnote>
  <w:footnote w:id="4">
    <w:p w14:paraId="40F96BD7" w14:textId="76FB069C" w:rsidR="002B1672" w:rsidRPr="00FC1627" w:rsidRDefault="002B1672">
      <w:pPr>
        <w:pStyle w:val="FootnoteText"/>
        <w:rPr>
          <w:rFonts w:ascii="Arial" w:hAnsi="Arial" w:cs="Arial"/>
        </w:rPr>
      </w:pPr>
      <w:r w:rsidRPr="00FC1627">
        <w:rPr>
          <w:rStyle w:val="FootnoteReference"/>
          <w:rFonts w:ascii="Arial" w:hAnsi="Arial" w:cs="Arial"/>
        </w:rPr>
        <w:footnoteRef/>
      </w:r>
      <w:r w:rsidRPr="00FC1627">
        <w:rPr>
          <w:rFonts w:ascii="Arial" w:hAnsi="Arial" w:cs="Arial"/>
        </w:rPr>
        <w:t xml:space="preserve"> </w:t>
      </w:r>
      <w:r w:rsidR="00C94FA6" w:rsidRPr="00FC1627">
        <w:rPr>
          <w:rFonts w:ascii="Arial" w:hAnsi="Arial" w:cs="Arial"/>
        </w:rPr>
        <w:t>MW-</w:t>
      </w:r>
      <w:r w:rsidR="005E7F73" w:rsidRPr="00FC1627">
        <w:rPr>
          <w:rFonts w:ascii="Arial" w:hAnsi="Arial" w:cs="Arial"/>
        </w:rPr>
        <w:t>1</w:t>
      </w:r>
      <w:r w:rsidR="00C94FA6" w:rsidRPr="00FC1627">
        <w:rPr>
          <w:rFonts w:ascii="Arial" w:hAnsi="Arial" w:cs="Arial"/>
        </w:rPr>
        <w:t xml:space="preserve"> (</w:t>
      </w:r>
      <w:r w:rsidRPr="00FC1627">
        <w:rPr>
          <w:rFonts w:ascii="Arial" w:hAnsi="Arial" w:cs="Arial"/>
        </w:rPr>
        <w:t>DP&amp;L Response to IGS-INT-9-11</w:t>
      </w:r>
      <w:r w:rsidR="00C94FA6" w:rsidRPr="00FC1627">
        <w:rPr>
          <w:rFonts w:ascii="Arial" w:hAnsi="Arial" w:cs="Arial"/>
        </w:rPr>
        <w:t>)</w:t>
      </w:r>
      <w:r w:rsidR="006A0F42">
        <w:rPr>
          <w:rFonts w:ascii="Arial" w:hAnsi="Arial" w:cs="Arial"/>
        </w:rPr>
        <w:t>.</w:t>
      </w:r>
    </w:p>
  </w:footnote>
  <w:footnote w:id="5">
    <w:p w14:paraId="3BAAEA47" w14:textId="131D9D7F" w:rsidR="002B1672" w:rsidRDefault="002B1672">
      <w:pPr>
        <w:pStyle w:val="FootnoteText"/>
      </w:pPr>
      <w:r w:rsidRPr="00FC1627">
        <w:rPr>
          <w:rStyle w:val="FootnoteReference"/>
          <w:rFonts w:ascii="Arial" w:hAnsi="Arial" w:cs="Arial"/>
        </w:rPr>
        <w:footnoteRef/>
      </w:r>
      <w:r w:rsidRPr="00FC1627">
        <w:rPr>
          <w:rFonts w:ascii="Arial" w:hAnsi="Arial" w:cs="Arial"/>
        </w:rPr>
        <w:t xml:space="preserve"> </w:t>
      </w:r>
      <w:r w:rsidR="00C94FA6" w:rsidRPr="00FC1627">
        <w:rPr>
          <w:rFonts w:ascii="Arial" w:hAnsi="Arial" w:cs="Arial"/>
        </w:rPr>
        <w:t>MW-</w:t>
      </w:r>
      <w:r w:rsidR="005E7F73" w:rsidRPr="00FC1627">
        <w:rPr>
          <w:rFonts w:ascii="Arial" w:hAnsi="Arial" w:cs="Arial"/>
        </w:rPr>
        <w:t>2</w:t>
      </w:r>
      <w:r w:rsidR="00C94FA6" w:rsidRPr="00FC1627">
        <w:rPr>
          <w:rFonts w:ascii="Arial" w:hAnsi="Arial" w:cs="Arial"/>
        </w:rPr>
        <w:t xml:space="preserve"> (</w:t>
      </w:r>
      <w:r w:rsidRPr="00FC1627">
        <w:rPr>
          <w:rFonts w:ascii="Arial" w:hAnsi="Arial" w:cs="Arial"/>
        </w:rPr>
        <w:t>DP&amp;L Supplemental Response to IGS-INT-4-2, Case Nos. 15-1830-EL-UNC</w:t>
      </w:r>
      <w:r w:rsidR="00C94FA6" w:rsidRPr="00FC1627">
        <w:rPr>
          <w:rFonts w:ascii="Arial" w:hAnsi="Arial" w:cs="Arial"/>
        </w:rPr>
        <w:t>)</w:t>
      </w:r>
      <w:r w:rsidR="00FC1627" w:rsidRPr="00FC1627">
        <w:rPr>
          <w:rFonts w:ascii="Arial" w:hAnsi="Arial" w:cs="Arial"/>
        </w:rPr>
        <w:t>.</w:t>
      </w:r>
      <w:r w:rsidRPr="00FC1627">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20D50" w14:textId="77777777" w:rsidR="002B1672" w:rsidRDefault="002B1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2B96" w14:textId="77777777" w:rsidR="002B1672" w:rsidRPr="00346E6A" w:rsidRDefault="002B1672" w:rsidP="00346E6A">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D32E0" w14:textId="77777777" w:rsidR="002B1672" w:rsidRDefault="002B1672" w:rsidP="00346E6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2E7"/>
    <w:multiLevelType w:val="hybridMultilevel"/>
    <w:tmpl w:val="26C6CF8A"/>
    <w:lvl w:ilvl="0" w:tplc="02364310">
      <w:start w:val="1"/>
      <w:numFmt w:val="decimal"/>
      <w:lvlText w:val="(%1)"/>
      <w:lvlJc w:val="left"/>
      <w:pPr>
        <w:ind w:left="1080" w:hanging="360"/>
      </w:pPr>
      <w:rPr>
        <w:rFonts w:hint="default"/>
        <w:w w:val="1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787F19"/>
    <w:multiLevelType w:val="hybridMultilevel"/>
    <w:tmpl w:val="6C24FA60"/>
    <w:lvl w:ilvl="0" w:tplc="C64E13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D7928"/>
    <w:multiLevelType w:val="hybridMultilevel"/>
    <w:tmpl w:val="80466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C06256"/>
    <w:multiLevelType w:val="hybridMultilevel"/>
    <w:tmpl w:val="95B85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9697FEA"/>
    <w:multiLevelType w:val="multilevel"/>
    <w:tmpl w:val="9E5CB584"/>
    <w:name w:val="(Unnamed Numbering Scheme)"/>
    <w:lvl w:ilvl="0">
      <w:start w:val="1"/>
      <w:numFmt w:val="none"/>
      <w:lvlText w:val="%1Q."/>
      <w:lvlJc w:val="left"/>
      <w:pPr>
        <w:tabs>
          <w:tab w:val="num" w:pos="720"/>
        </w:tabs>
        <w:ind w:left="720" w:hanging="720"/>
      </w:pPr>
      <w:rPr>
        <w:rFonts w:ascii="Times New Roman" w:hAnsi="Times New Roman" w:cs="Times New Roman" w:hint="default"/>
        <w:b/>
        <w:i w:val="0"/>
        <w:caps/>
        <w:smallCaps w:val="0"/>
        <w:color w:val="000000"/>
        <w:sz w:val="24"/>
        <w:u w:val="none"/>
      </w:rPr>
    </w:lvl>
    <w:lvl w:ilvl="1">
      <w:start w:val="3"/>
      <w:numFmt w:val="none"/>
      <w:lvlText w:val="A."/>
      <w:lvlJc w:val="left"/>
      <w:pPr>
        <w:tabs>
          <w:tab w:val="num" w:pos="720"/>
        </w:tabs>
        <w:ind w:left="720" w:hanging="720"/>
      </w:pPr>
      <w:rPr>
        <w:rFonts w:ascii="Times New Roman" w:hAnsi="Times New Roman" w:cs="Times New Roman" w:hint="default"/>
        <w:b w:val="0"/>
        <w:i w:val="0"/>
        <w:caps w:val="0"/>
        <w:color w:val="000000"/>
        <w:u w:val="none"/>
      </w:rPr>
    </w:lvl>
    <w:lvl w:ilvl="2">
      <w:start w:val="1"/>
      <w:numFmt w:val="upperRoman"/>
      <w:pStyle w:val="Heading3"/>
      <w:lvlText w:val="%3."/>
      <w:lvlJc w:val="right"/>
      <w:pPr>
        <w:tabs>
          <w:tab w:val="num" w:pos="720"/>
        </w:tabs>
        <w:ind w:left="720" w:hanging="720"/>
      </w:pPr>
      <w:rPr>
        <w:rFonts w:ascii="Arial" w:hAnsi="Arial" w:cs="Arial" w:hint="default"/>
        <w:b/>
        <w:i w:val="0"/>
        <w:caps w:val="0"/>
        <w:color w:val="000000"/>
        <w:sz w:val="24"/>
        <w:u w:val="none"/>
      </w:rPr>
    </w:lvl>
    <w:lvl w:ilvl="3">
      <w:start w:val="1"/>
      <w:numFmt w:val="none"/>
      <w:lvlText w:val=""/>
      <w:lvlJc w:val="left"/>
      <w:pPr>
        <w:tabs>
          <w:tab w:val="num" w:pos="1440"/>
        </w:tabs>
        <w:ind w:left="0" w:firstLine="0"/>
      </w:pPr>
      <w:rPr>
        <w:rFonts w:cs="Times New Roman" w:hint="default"/>
        <w:b w:val="0"/>
        <w:i w:val="0"/>
        <w:caps w:val="0"/>
        <w:color w:val="000000"/>
        <w:u w:val="none"/>
      </w:rPr>
    </w:lvl>
    <w:lvl w:ilvl="4">
      <w:start w:val="1"/>
      <w:numFmt w:val="none"/>
      <w:lvlText w:val=""/>
      <w:lvlJc w:val="left"/>
      <w:pPr>
        <w:tabs>
          <w:tab w:val="num" w:pos="1800"/>
        </w:tabs>
        <w:ind w:left="0" w:firstLine="0"/>
      </w:pPr>
      <w:rPr>
        <w:rFonts w:cs="Times New Roman" w:hint="default"/>
        <w:b w:val="0"/>
        <w:i w:val="0"/>
        <w:caps w:val="0"/>
        <w:color w:val="000000"/>
        <w:u w:val="none"/>
      </w:rPr>
    </w:lvl>
    <w:lvl w:ilvl="5">
      <w:start w:val="1"/>
      <w:numFmt w:val="none"/>
      <w:lvlText w:val=""/>
      <w:lvlJc w:val="left"/>
      <w:pPr>
        <w:tabs>
          <w:tab w:val="num" w:pos="2160"/>
        </w:tabs>
        <w:ind w:left="0" w:firstLine="0"/>
      </w:pPr>
      <w:rPr>
        <w:rFonts w:cs="Times New Roman" w:hint="default"/>
        <w:b w:val="0"/>
        <w:i w:val="0"/>
        <w:caps w:val="0"/>
        <w:color w:val="000000"/>
        <w:u w:val="none"/>
      </w:rPr>
    </w:lvl>
    <w:lvl w:ilvl="6">
      <w:start w:val="1"/>
      <w:numFmt w:val="none"/>
      <w:lvlText w:val=""/>
      <w:lvlJc w:val="left"/>
      <w:pPr>
        <w:tabs>
          <w:tab w:val="num" w:pos="2520"/>
        </w:tabs>
        <w:ind w:left="0" w:firstLine="0"/>
      </w:pPr>
      <w:rPr>
        <w:rFonts w:cs="Times New Roman" w:hint="default"/>
        <w:b w:val="0"/>
        <w:i w:val="0"/>
        <w:caps w:val="0"/>
        <w:color w:val="000000"/>
        <w:u w:val="none"/>
      </w:rPr>
    </w:lvl>
    <w:lvl w:ilvl="7">
      <w:start w:val="1"/>
      <w:numFmt w:val="none"/>
      <w:lvlText w:val=""/>
      <w:lvlJc w:val="left"/>
      <w:pPr>
        <w:tabs>
          <w:tab w:val="num" w:pos="2880"/>
        </w:tabs>
        <w:ind w:left="0" w:firstLine="0"/>
      </w:pPr>
      <w:rPr>
        <w:rFonts w:cs="Times New Roman" w:hint="default"/>
        <w:b w:val="0"/>
        <w:i w:val="0"/>
        <w:caps w:val="0"/>
        <w:color w:val="000000"/>
        <w:u w:val="none"/>
      </w:rPr>
    </w:lvl>
    <w:lvl w:ilvl="8">
      <w:start w:val="1"/>
      <w:numFmt w:val="none"/>
      <w:lvlText w:val=""/>
      <w:lvlJc w:val="left"/>
      <w:pPr>
        <w:tabs>
          <w:tab w:val="num" w:pos="3240"/>
        </w:tabs>
        <w:ind w:left="0" w:firstLine="0"/>
      </w:pPr>
      <w:rPr>
        <w:rFonts w:cs="Times New Roman" w:hint="default"/>
        <w:b w:val="0"/>
        <w:i w:val="0"/>
        <w:caps w:val="0"/>
        <w:color w:val="000000"/>
        <w:u w:val="none"/>
      </w:rPr>
    </w:lvl>
  </w:abstractNum>
  <w:abstractNum w:abstractNumId="5" w15:restartNumberingAfterBreak="0">
    <w:nsid w:val="4AC81FEC"/>
    <w:multiLevelType w:val="multilevel"/>
    <w:tmpl w:val="C25A84E2"/>
    <w:name w:val="Testimony"/>
    <w:lvl w:ilvl="0">
      <w:start w:val="1"/>
      <w:numFmt w:val="none"/>
      <w:pStyle w:val="Heading1"/>
      <w:lvlText w:val="%1Q."/>
      <w:lvlJc w:val="left"/>
      <w:pPr>
        <w:tabs>
          <w:tab w:val="num" w:pos="720"/>
        </w:tabs>
        <w:ind w:left="720" w:hanging="720"/>
      </w:pPr>
      <w:rPr>
        <w:rFonts w:ascii="Times New Roman" w:hAnsi="Times New Roman" w:cs="Times New Roman" w:hint="default"/>
        <w:b/>
        <w:i w:val="0"/>
        <w:caps/>
        <w:smallCaps w:val="0"/>
        <w:color w:val="000000"/>
        <w:sz w:val="24"/>
        <w:u w:val="none"/>
      </w:rPr>
    </w:lvl>
    <w:lvl w:ilvl="1">
      <w:start w:val="1"/>
      <w:numFmt w:val="none"/>
      <w:pStyle w:val="Heading2"/>
      <w:lvlText w:val="A."/>
      <w:lvlJc w:val="left"/>
      <w:pPr>
        <w:tabs>
          <w:tab w:val="num" w:pos="720"/>
        </w:tabs>
        <w:ind w:left="720" w:hanging="720"/>
      </w:pPr>
      <w:rPr>
        <w:rFonts w:ascii="Times New Roman" w:hAnsi="Times New Roman" w:cs="Times New Roman" w:hint="default"/>
        <w:b w:val="0"/>
        <w:i w:val="0"/>
        <w:caps w:val="0"/>
        <w:color w:val="000000"/>
        <w:u w:val="none"/>
      </w:rPr>
    </w:lvl>
    <w:lvl w:ilvl="2">
      <w:start w:val="1"/>
      <w:numFmt w:val="upperRoman"/>
      <w:lvlRestart w:val="0"/>
      <w:lvlText w:val="%3."/>
      <w:lvlJc w:val="left"/>
      <w:pPr>
        <w:tabs>
          <w:tab w:val="num" w:pos="720"/>
        </w:tabs>
        <w:ind w:left="720" w:hanging="720"/>
      </w:pPr>
      <w:rPr>
        <w:rFonts w:ascii="Arial" w:hAnsi="Arial" w:cs="Arial" w:hint="default"/>
        <w:b/>
        <w:i w:val="0"/>
        <w:caps w:val="0"/>
        <w:color w:val="000000"/>
        <w:u w:val="none"/>
      </w:rPr>
    </w:lvl>
    <w:lvl w:ilvl="3">
      <w:start w:val="1"/>
      <w:numFmt w:val="upperLetter"/>
      <w:lvlRestart w:val="0"/>
      <w:pStyle w:val="Heading4"/>
      <w:lvlText w:val="(%4)"/>
      <w:lvlJc w:val="left"/>
      <w:pPr>
        <w:tabs>
          <w:tab w:val="num" w:pos="1440"/>
        </w:tabs>
        <w:ind w:left="720" w:firstLine="0"/>
      </w:pPr>
      <w:rPr>
        <w:rFonts w:hint="default"/>
        <w:b/>
        <w:i/>
        <w:caps w:val="0"/>
        <w:color w:val="000000"/>
        <w:u w:val="none"/>
      </w:rPr>
    </w:lvl>
    <w:lvl w:ilvl="4">
      <w:start w:val="1"/>
      <w:numFmt w:val="none"/>
      <w:lvlText w:val=""/>
      <w:lvlJc w:val="left"/>
      <w:pPr>
        <w:tabs>
          <w:tab w:val="num" w:pos="1800"/>
        </w:tabs>
        <w:ind w:left="0" w:firstLine="0"/>
      </w:pPr>
      <w:rPr>
        <w:rFonts w:ascii="Courier New" w:hAnsi="Courier New" w:cs="Courier New" w:hint="default"/>
        <w:b w:val="0"/>
        <w:i w:val="0"/>
        <w:caps w:val="0"/>
        <w:color w:val="000000"/>
        <w:u w:val="none"/>
      </w:rPr>
    </w:lvl>
    <w:lvl w:ilvl="5">
      <w:start w:val="1"/>
      <w:numFmt w:val="none"/>
      <w:pStyle w:val="Heading6"/>
      <w:lvlText w:val=""/>
      <w:lvlJc w:val="left"/>
      <w:pPr>
        <w:tabs>
          <w:tab w:val="num" w:pos="2160"/>
        </w:tabs>
        <w:ind w:left="0" w:firstLine="0"/>
      </w:pPr>
      <w:rPr>
        <w:rFonts w:ascii="Times New Roman" w:hAnsi="Times New Roman" w:cs="Times New Roman" w:hint="default"/>
        <w:b w:val="0"/>
        <w:i w:val="0"/>
        <w:caps w:val="0"/>
        <w:color w:val="000000"/>
        <w:u w:val="none"/>
      </w:rPr>
    </w:lvl>
    <w:lvl w:ilvl="6">
      <w:start w:val="1"/>
      <w:numFmt w:val="none"/>
      <w:pStyle w:val="Heading7"/>
      <w:lvlText w:val=""/>
      <w:lvlJc w:val="left"/>
      <w:pPr>
        <w:tabs>
          <w:tab w:val="num" w:pos="2520"/>
        </w:tabs>
        <w:ind w:left="0" w:firstLine="0"/>
      </w:pPr>
      <w:rPr>
        <w:rFonts w:ascii="Times New Roman" w:hAnsi="Times New Roman" w:cs="Times New Roman" w:hint="default"/>
        <w:b w:val="0"/>
        <w:i w:val="0"/>
        <w:caps w:val="0"/>
        <w:color w:val="000000"/>
        <w:u w:val="none"/>
      </w:rPr>
    </w:lvl>
    <w:lvl w:ilvl="7">
      <w:start w:val="1"/>
      <w:numFmt w:val="none"/>
      <w:pStyle w:val="Heading8"/>
      <w:lvlText w:val=""/>
      <w:lvlJc w:val="left"/>
      <w:pPr>
        <w:tabs>
          <w:tab w:val="num" w:pos="2880"/>
        </w:tabs>
        <w:ind w:left="0" w:firstLine="0"/>
      </w:pPr>
      <w:rPr>
        <w:rFonts w:ascii="Courier New" w:hAnsi="Courier New" w:cs="Courier New" w:hint="default"/>
        <w:b w:val="0"/>
        <w:i w:val="0"/>
        <w:caps w:val="0"/>
        <w:color w:val="000000"/>
        <w:u w:val="none"/>
      </w:rPr>
    </w:lvl>
    <w:lvl w:ilvl="8">
      <w:start w:val="1"/>
      <w:numFmt w:val="none"/>
      <w:pStyle w:val="Heading9"/>
      <w:lvlText w:val=""/>
      <w:lvlJc w:val="left"/>
      <w:pPr>
        <w:tabs>
          <w:tab w:val="num" w:pos="3240"/>
        </w:tabs>
        <w:ind w:left="0" w:firstLine="0"/>
      </w:pPr>
      <w:rPr>
        <w:rFonts w:ascii="Times New Roman" w:hAnsi="Times New Roman" w:cs="Times New Roman" w:hint="default"/>
        <w:b w:val="0"/>
        <w:i w:val="0"/>
        <w:caps w:val="0"/>
        <w:color w:val="000000"/>
        <w:u w:val="none"/>
      </w:rPr>
    </w:lvl>
  </w:abstractNum>
  <w:abstractNum w:abstractNumId="6" w15:restartNumberingAfterBreak="0">
    <w:nsid w:val="4ED932A8"/>
    <w:multiLevelType w:val="hybridMultilevel"/>
    <w:tmpl w:val="6E1C811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BE5903"/>
    <w:multiLevelType w:val="hybridMultilevel"/>
    <w:tmpl w:val="40BA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582B08"/>
    <w:multiLevelType w:val="hybridMultilevel"/>
    <w:tmpl w:val="24EE3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7"/>
  </w:num>
  <w:num w:numId="6">
    <w:abstractNumId w:val="8"/>
  </w:num>
  <w:num w:numId="7">
    <w:abstractNumId w:val="2"/>
  </w:num>
  <w:num w:numId="8">
    <w:abstractNumId w:val="5"/>
    <w:lvlOverride w:ilvl="0">
      <w:startOverride w:val="1"/>
    </w:lvlOverride>
    <w:lvlOverride w:ilvl="1">
      <w:startOverride w:val="1"/>
    </w:lvlOverride>
    <w:lvlOverride w:ilvl="2">
      <w:startOverride w:val="4"/>
    </w:lvlOverride>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6A"/>
    <w:rsid w:val="000639D4"/>
    <w:rsid w:val="00082E32"/>
    <w:rsid w:val="000931E5"/>
    <w:rsid w:val="00094C75"/>
    <w:rsid w:val="00095104"/>
    <w:rsid w:val="000A02F8"/>
    <w:rsid w:val="000A7D15"/>
    <w:rsid w:val="000B14E8"/>
    <w:rsid w:val="000B4E5F"/>
    <w:rsid w:val="000C2494"/>
    <w:rsid w:val="000C262D"/>
    <w:rsid w:val="000C4199"/>
    <w:rsid w:val="00102CE3"/>
    <w:rsid w:val="001111EF"/>
    <w:rsid w:val="00134194"/>
    <w:rsid w:val="0013649E"/>
    <w:rsid w:val="00173FE1"/>
    <w:rsid w:val="001777C2"/>
    <w:rsid w:val="001916DA"/>
    <w:rsid w:val="001C5683"/>
    <w:rsid w:val="001C6A7B"/>
    <w:rsid w:val="001C7571"/>
    <w:rsid w:val="001F563F"/>
    <w:rsid w:val="00200BFC"/>
    <w:rsid w:val="0022114A"/>
    <w:rsid w:val="00290B4B"/>
    <w:rsid w:val="00297178"/>
    <w:rsid w:val="002979E1"/>
    <w:rsid w:val="002A288C"/>
    <w:rsid w:val="002A7D02"/>
    <w:rsid w:val="002B00E1"/>
    <w:rsid w:val="002B1672"/>
    <w:rsid w:val="002B2DE9"/>
    <w:rsid w:val="002B3CDC"/>
    <w:rsid w:val="002C3DBB"/>
    <w:rsid w:val="002C701B"/>
    <w:rsid w:val="002E5934"/>
    <w:rsid w:val="002E5AFF"/>
    <w:rsid w:val="002F433B"/>
    <w:rsid w:val="002F62F9"/>
    <w:rsid w:val="002F7533"/>
    <w:rsid w:val="003177B4"/>
    <w:rsid w:val="003329EE"/>
    <w:rsid w:val="00346E6A"/>
    <w:rsid w:val="00355DE4"/>
    <w:rsid w:val="003610AB"/>
    <w:rsid w:val="00385259"/>
    <w:rsid w:val="003A1A01"/>
    <w:rsid w:val="003A419D"/>
    <w:rsid w:val="003A7244"/>
    <w:rsid w:val="003A7633"/>
    <w:rsid w:val="003C00F3"/>
    <w:rsid w:val="003D28F5"/>
    <w:rsid w:val="003D3C1D"/>
    <w:rsid w:val="003E0F5E"/>
    <w:rsid w:val="003E16A6"/>
    <w:rsid w:val="003E6972"/>
    <w:rsid w:val="00415224"/>
    <w:rsid w:val="00420D2E"/>
    <w:rsid w:val="00447CFA"/>
    <w:rsid w:val="00474F8F"/>
    <w:rsid w:val="00486316"/>
    <w:rsid w:val="00496BDD"/>
    <w:rsid w:val="00496CE9"/>
    <w:rsid w:val="004B1CB0"/>
    <w:rsid w:val="004B3D9E"/>
    <w:rsid w:val="004B5FE9"/>
    <w:rsid w:val="004B68A0"/>
    <w:rsid w:val="004C43A0"/>
    <w:rsid w:val="004D2B5E"/>
    <w:rsid w:val="004E4ADF"/>
    <w:rsid w:val="004F59C1"/>
    <w:rsid w:val="005075AC"/>
    <w:rsid w:val="00513AAF"/>
    <w:rsid w:val="00515FC7"/>
    <w:rsid w:val="00523A66"/>
    <w:rsid w:val="00532C68"/>
    <w:rsid w:val="00544D12"/>
    <w:rsid w:val="005564A4"/>
    <w:rsid w:val="005A1403"/>
    <w:rsid w:val="005A36AB"/>
    <w:rsid w:val="005C0CF6"/>
    <w:rsid w:val="005C6175"/>
    <w:rsid w:val="005E7F73"/>
    <w:rsid w:val="005F2C86"/>
    <w:rsid w:val="00600B92"/>
    <w:rsid w:val="006400B7"/>
    <w:rsid w:val="00666855"/>
    <w:rsid w:val="00667822"/>
    <w:rsid w:val="006717E9"/>
    <w:rsid w:val="006904E2"/>
    <w:rsid w:val="006A0F42"/>
    <w:rsid w:val="006A158E"/>
    <w:rsid w:val="006A2316"/>
    <w:rsid w:val="006B2606"/>
    <w:rsid w:val="006C360D"/>
    <w:rsid w:val="006C516F"/>
    <w:rsid w:val="006D3343"/>
    <w:rsid w:val="006F6076"/>
    <w:rsid w:val="00712BEA"/>
    <w:rsid w:val="0072565F"/>
    <w:rsid w:val="007637FC"/>
    <w:rsid w:val="00764D3C"/>
    <w:rsid w:val="007C5485"/>
    <w:rsid w:val="007E4A66"/>
    <w:rsid w:val="00800B0F"/>
    <w:rsid w:val="00841F3A"/>
    <w:rsid w:val="0084663D"/>
    <w:rsid w:val="0084739D"/>
    <w:rsid w:val="008573A4"/>
    <w:rsid w:val="00860EC2"/>
    <w:rsid w:val="00864D7D"/>
    <w:rsid w:val="008707CD"/>
    <w:rsid w:val="00883391"/>
    <w:rsid w:val="008A02EC"/>
    <w:rsid w:val="008A2270"/>
    <w:rsid w:val="008D386C"/>
    <w:rsid w:val="008E33DA"/>
    <w:rsid w:val="00910DBA"/>
    <w:rsid w:val="00921628"/>
    <w:rsid w:val="009223F6"/>
    <w:rsid w:val="009420A1"/>
    <w:rsid w:val="009457EA"/>
    <w:rsid w:val="00955FAE"/>
    <w:rsid w:val="00983008"/>
    <w:rsid w:val="0098398D"/>
    <w:rsid w:val="009B0746"/>
    <w:rsid w:val="009F2FCE"/>
    <w:rsid w:val="009F761B"/>
    <w:rsid w:val="009F7B15"/>
    <w:rsid w:val="00A00827"/>
    <w:rsid w:val="00A00AC1"/>
    <w:rsid w:val="00A11FBC"/>
    <w:rsid w:val="00A30F16"/>
    <w:rsid w:val="00A423CF"/>
    <w:rsid w:val="00A46156"/>
    <w:rsid w:val="00A52D4E"/>
    <w:rsid w:val="00A778D0"/>
    <w:rsid w:val="00A82E19"/>
    <w:rsid w:val="00A94F16"/>
    <w:rsid w:val="00AB187C"/>
    <w:rsid w:val="00AD282F"/>
    <w:rsid w:val="00AD33C6"/>
    <w:rsid w:val="00B17321"/>
    <w:rsid w:val="00B35341"/>
    <w:rsid w:val="00B409E7"/>
    <w:rsid w:val="00B40F2F"/>
    <w:rsid w:val="00B50370"/>
    <w:rsid w:val="00B50BDD"/>
    <w:rsid w:val="00B53F84"/>
    <w:rsid w:val="00B56213"/>
    <w:rsid w:val="00B6593D"/>
    <w:rsid w:val="00B772A5"/>
    <w:rsid w:val="00B87993"/>
    <w:rsid w:val="00BA0331"/>
    <w:rsid w:val="00BD4929"/>
    <w:rsid w:val="00BE045C"/>
    <w:rsid w:val="00BE3B7F"/>
    <w:rsid w:val="00BE61CE"/>
    <w:rsid w:val="00BF13C6"/>
    <w:rsid w:val="00BF6DDA"/>
    <w:rsid w:val="00C34662"/>
    <w:rsid w:val="00C45359"/>
    <w:rsid w:val="00C462E1"/>
    <w:rsid w:val="00C47588"/>
    <w:rsid w:val="00C644BE"/>
    <w:rsid w:val="00C818DF"/>
    <w:rsid w:val="00C8398E"/>
    <w:rsid w:val="00C94FA6"/>
    <w:rsid w:val="00CA77E6"/>
    <w:rsid w:val="00CB46E9"/>
    <w:rsid w:val="00D10E00"/>
    <w:rsid w:val="00D256CB"/>
    <w:rsid w:val="00D3104D"/>
    <w:rsid w:val="00D43F3A"/>
    <w:rsid w:val="00D57697"/>
    <w:rsid w:val="00D609AE"/>
    <w:rsid w:val="00D611E8"/>
    <w:rsid w:val="00D61692"/>
    <w:rsid w:val="00D74692"/>
    <w:rsid w:val="00D80B6F"/>
    <w:rsid w:val="00D849A9"/>
    <w:rsid w:val="00DB3A5C"/>
    <w:rsid w:val="00DE19B4"/>
    <w:rsid w:val="00DE4E24"/>
    <w:rsid w:val="00E15750"/>
    <w:rsid w:val="00E15A1D"/>
    <w:rsid w:val="00E2071D"/>
    <w:rsid w:val="00E41AEA"/>
    <w:rsid w:val="00E71319"/>
    <w:rsid w:val="00E924A9"/>
    <w:rsid w:val="00E96B7F"/>
    <w:rsid w:val="00EB5AF4"/>
    <w:rsid w:val="00EC0B42"/>
    <w:rsid w:val="00EE5921"/>
    <w:rsid w:val="00EE630B"/>
    <w:rsid w:val="00EF2305"/>
    <w:rsid w:val="00F244E9"/>
    <w:rsid w:val="00F348C7"/>
    <w:rsid w:val="00F53A9F"/>
    <w:rsid w:val="00F927E1"/>
    <w:rsid w:val="00F9317A"/>
    <w:rsid w:val="00FA63A7"/>
    <w:rsid w:val="00FC1627"/>
    <w:rsid w:val="00FC56C3"/>
    <w:rsid w:val="00FC6949"/>
    <w:rsid w:val="00FD5E61"/>
    <w:rsid w:val="00FD5F5A"/>
    <w:rsid w:val="00FE1060"/>
    <w:rsid w:val="00FE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365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E6A"/>
  </w:style>
  <w:style w:type="paragraph" w:styleId="Heading1">
    <w:name w:val="heading 1"/>
    <w:basedOn w:val="Normal"/>
    <w:next w:val="BodyText"/>
    <w:link w:val="Heading1Char"/>
    <w:qFormat/>
    <w:rsid w:val="00346E6A"/>
    <w:pPr>
      <w:keepNext/>
      <w:numPr>
        <w:numId w:val="2"/>
      </w:numPr>
      <w:outlineLvl w:val="0"/>
    </w:pPr>
    <w:rPr>
      <w:rFonts w:eastAsiaTheme="majorEastAsia"/>
      <w:b/>
      <w:caps/>
      <w:szCs w:val="28"/>
    </w:rPr>
  </w:style>
  <w:style w:type="paragraph" w:styleId="Heading2">
    <w:name w:val="heading 2"/>
    <w:basedOn w:val="Normal"/>
    <w:next w:val="BodyText"/>
    <w:link w:val="Heading2Char"/>
    <w:unhideWhenUsed/>
    <w:qFormat/>
    <w:rsid w:val="00346E6A"/>
    <w:pPr>
      <w:numPr>
        <w:ilvl w:val="1"/>
        <w:numId w:val="2"/>
      </w:numPr>
      <w:spacing w:after="0" w:line="480" w:lineRule="auto"/>
      <w:outlineLvl w:val="1"/>
    </w:pPr>
    <w:rPr>
      <w:rFonts w:eastAsiaTheme="majorEastAsia"/>
      <w:bCs/>
      <w:szCs w:val="26"/>
    </w:rPr>
  </w:style>
  <w:style w:type="paragraph" w:styleId="Heading3">
    <w:name w:val="heading 3"/>
    <w:basedOn w:val="Normal"/>
    <w:next w:val="BodyText"/>
    <w:link w:val="Heading3Char"/>
    <w:unhideWhenUsed/>
    <w:qFormat/>
    <w:rsid w:val="00346E6A"/>
    <w:pPr>
      <w:keepNext/>
      <w:numPr>
        <w:ilvl w:val="2"/>
        <w:numId w:val="3"/>
      </w:numPr>
      <w:outlineLvl w:val="2"/>
    </w:pPr>
    <w:rPr>
      <w:rFonts w:eastAsiaTheme="majorEastAsia"/>
      <w:b/>
      <w:bCs/>
      <w:caps/>
      <w:u w:val="single"/>
    </w:rPr>
  </w:style>
  <w:style w:type="paragraph" w:styleId="Heading4">
    <w:name w:val="heading 4"/>
    <w:basedOn w:val="Normal"/>
    <w:next w:val="BodyText"/>
    <w:link w:val="Heading4Char"/>
    <w:unhideWhenUsed/>
    <w:qFormat/>
    <w:rsid w:val="00346E6A"/>
    <w:pPr>
      <w:keepNext/>
      <w:numPr>
        <w:ilvl w:val="3"/>
        <w:numId w:val="2"/>
      </w:numPr>
      <w:outlineLvl w:val="3"/>
    </w:pPr>
    <w:rPr>
      <w:rFonts w:eastAsiaTheme="majorEastAsia"/>
      <w:b/>
      <w:bCs/>
      <w:i/>
      <w:iCs/>
      <w:u w:val="single"/>
    </w:rPr>
  </w:style>
  <w:style w:type="paragraph" w:styleId="Heading6">
    <w:name w:val="heading 6"/>
    <w:basedOn w:val="Normal"/>
    <w:next w:val="BodyText"/>
    <w:link w:val="Heading6Char"/>
    <w:unhideWhenUsed/>
    <w:qFormat/>
    <w:rsid w:val="00346E6A"/>
    <w:pPr>
      <w:numPr>
        <w:ilvl w:val="5"/>
        <w:numId w:val="2"/>
      </w:numPr>
      <w:outlineLvl w:val="5"/>
    </w:pPr>
    <w:rPr>
      <w:rFonts w:eastAsiaTheme="majorEastAsia"/>
      <w:iCs/>
    </w:rPr>
  </w:style>
  <w:style w:type="paragraph" w:styleId="Heading7">
    <w:name w:val="heading 7"/>
    <w:basedOn w:val="Normal"/>
    <w:next w:val="BodyText"/>
    <w:link w:val="Heading7Char"/>
    <w:unhideWhenUsed/>
    <w:qFormat/>
    <w:rsid w:val="00346E6A"/>
    <w:pPr>
      <w:numPr>
        <w:ilvl w:val="6"/>
        <w:numId w:val="2"/>
      </w:numPr>
      <w:outlineLvl w:val="6"/>
    </w:pPr>
    <w:rPr>
      <w:rFonts w:eastAsiaTheme="majorEastAsia"/>
      <w:iCs/>
    </w:rPr>
  </w:style>
  <w:style w:type="paragraph" w:styleId="Heading8">
    <w:name w:val="heading 8"/>
    <w:basedOn w:val="Normal"/>
    <w:next w:val="BodyText"/>
    <w:link w:val="Heading8Char"/>
    <w:unhideWhenUsed/>
    <w:qFormat/>
    <w:rsid w:val="00346E6A"/>
    <w:pPr>
      <w:numPr>
        <w:ilvl w:val="7"/>
        <w:numId w:val="2"/>
      </w:numPr>
      <w:outlineLvl w:val="7"/>
    </w:pPr>
    <w:rPr>
      <w:rFonts w:eastAsiaTheme="majorEastAsia"/>
      <w:szCs w:val="20"/>
    </w:rPr>
  </w:style>
  <w:style w:type="paragraph" w:styleId="Heading9">
    <w:name w:val="heading 9"/>
    <w:basedOn w:val="Normal"/>
    <w:next w:val="BodyText"/>
    <w:link w:val="Heading9Char"/>
    <w:unhideWhenUsed/>
    <w:qFormat/>
    <w:rsid w:val="00346E6A"/>
    <w:pPr>
      <w:numPr>
        <w:ilvl w:val="8"/>
        <w:numId w:val="2"/>
      </w:numPr>
      <w:outlineLvl w:val="8"/>
    </w:pPr>
    <w:rPr>
      <w:rFonts w:eastAsiaTheme="majorEastAsia"/>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6E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46E6A"/>
    <w:pPr>
      <w:spacing w:after="0"/>
    </w:pPr>
    <w:rPr>
      <w:rFonts w:ascii="Calisto MT" w:eastAsia="Times New Roman" w:hAnsi="Calisto MT"/>
      <w:sz w:val="26"/>
      <w:szCs w:val="26"/>
    </w:rPr>
  </w:style>
  <w:style w:type="character" w:customStyle="1" w:styleId="FooterChar">
    <w:name w:val="Footer Char"/>
    <w:basedOn w:val="DefaultParagraphFont"/>
    <w:link w:val="Footer"/>
    <w:uiPriority w:val="99"/>
    <w:rsid w:val="00346E6A"/>
    <w:rPr>
      <w:rFonts w:ascii="Calisto MT" w:eastAsia="Times New Roman" w:hAnsi="Calisto MT"/>
      <w:sz w:val="26"/>
      <w:szCs w:val="26"/>
    </w:rPr>
  </w:style>
  <w:style w:type="character" w:styleId="PageNumber">
    <w:name w:val="page number"/>
    <w:basedOn w:val="DefaultParagraphFont"/>
    <w:rsid w:val="00346E6A"/>
  </w:style>
  <w:style w:type="character" w:customStyle="1" w:styleId="Heading1Char">
    <w:name w:val="Heading 1 Char"/>
    <w:basedOn w:val="DefaultParagraphFont"/>
    <w:link w:val="Heading1"/>
    <w:rsid w:val="00346E6A"/>
    <w:rPr>
      <w:rFonts w:eastAsiaTheme="majorEastAsia"/>
      <w:b/>
      <w:caps/>
      <w:szCs w:val="28"/>
    </w:rPr>
  </w:style>
  <w:style w:type="character" w:customStyle="1" w:styleId="Heading2Char">
    <w:name w:val="Heading 2 Char"/>
    <w:basedOn w:val="DefaultParagraphFont"/>
    <w:link w:val="Heading2"/>
    <w:rsid w:val="00346E6A"/>
    <w:rPr>
      <w:rFonts w:eastAsiaTheme="majorEastAsia"/>
      <w:bCs/>
      <w:szCs w:val="26"/>
    </w:rPr>
  </w:style>
  <w:style w:type="character" w:customStyle="1" w:styleId="Heading3Char">
    <w:name w:val="Heading 3 Char"/>
    <w:basedOn w:val="DefaultParagraphFont"/>
    <w:link w:val="Heading3"/>
    <w:rsid w:val="00346E6A"/>
    <w:rPr>
      <w:rFonts w:eastAsiaTheme="majorEastAsia"/>
      <w:b/>
      <w:bCs/>
      <w:caps/>
      <w:u w:val="single"/>
    </w:rPr>
  </w:style>
  <w:style w:type="character" w:customStyle="1" w:styleId="Heading4Char">
    <w:name w:val="Heading 4 Char"/>
    <w:basedOn w:val="DefaultParagraphFont"/>
    <w:link w:val="Heading4"/>
    <w:rsid w:val="00346E6A"/>
    <w:rPr>
      <w:rFonts w:eastAsiaTheme="majorEastAsia"/>
      <w:b/>
      <w:bCs/>
      <w:i/>
      <w:iCs/>
      <w:u w:val="single"/>
    </w:rPr>
  </w:style>
  <w:style w:type="character" w:customStyle="1" w:styleId="Heading6Char">
    <w:name w:val="Heading 6 Char"/>
    <w:basedOn w:val="DefaultParagraphFont"/>
    <w:link w:val="Heading6"/>
    <w:rsid w:val="00346E6A"/>
    <w:rPr>
      <w:rFonts w:eastAsiaTheme="majorEastAsia"/>
      <w:iCs/>
    </w:rPr>
  </w:style>
  <w:style w:type="character" w:customStyle="1" w:styleId="Heading7Char">
    <w:name w:val="Heading 7 Char"/>
    <w:basedOn w:val="DefaultParagraphFont"/>
    <w:link w:val="Heading7"/>
    <w:rsid w:val="00346E6A"/>
    <w:rPr>
      <w:rFonts w:eastAsiaTheme="majorEastAsia"/>
      <w:iCs/>
    </w:rPr>
  </w:style>
  <w:style w:type="character" w:customStyle="1" w:styleId="Heading8Char">
    <w:name w:val="Heading 8 Char"/>
    <w:basedOn w:val="DefaultParagraphFont"/>
    <w:link w:val="Heading8"/>
    <w:rsid w:val="00346E6A"/>
    <w:rPr>
      <w:rFonts w:eastAsiaTheme="majorEastAsia"/>
      <w:szCs w:val="20"/>
    </w:rPr>
  </w:style>
  <w:style w:type="character" w:customStyle="1" w:styleId="Heading9Char">
    <w:name w:val="Heading 9 Char"/>
    <w:basedOn w:val="DefaultParagraphFont"/>
    <w:link w:val="Heading9"/>
    <w:rsid w:val="00346E6A"/>
    <w:rPr>
      <w:rFonts w:eastAsiaTheme="majorEastAsia"/>
      <w:iCs/>
      <w:szCs w:val="20"/>
    </w:rPr>
  </w:style>
  <w:style w:type="paragraph" w:styleId="FootnoteText">
    <w:name w:val="footnote text"/>
    <w:basedOn w:val="Normal"/>
    <w:link w:val="FootnoteTextChar"/>
    <w:uiPriority w:val="99"/>
    <w:semiHidden/>
    <w:unhideWhenUsed/>
    <w:rsid w:val="00346E6A"/>
    <w:pPr>
      <w:spacing w:after="0"/>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46E6A"/>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346E6A"/>
    <w:rPr>
      <w:vertAlign w:val="superscript"/>
    </w:rPr>
  </w:style>
  <w:style w:type="paragraph" w:styleId="ListParagraph">
    <w:name w:val="List Paragraph"/>
    <w:basedOn w:val="Normal"/>
    <w:uiPriority w:val="34"/>
    <w:qFormat/>
    <w:rsid w:val="00346E6A"/>
    <w:pPr>
      <w:spacing w:after="200" w:line="276" w:lineRule="auto"/>
      <w:ind w:left="720"/>
      <w:contextualSpacing/>
    </w:pPr>
    <w:rPr>
      <w:rFonts w:asciiTheme="minorHAnsi" w:hAnsiTheme="minorHAnsi" w:cstheme="minorBidi"/>
      <w:sz w:val="22"/>
      <w:szCs w:val="22"/>
    </w:rPr>
  </w:style>
  <w:style w:type="paragraph" w:styleId="BodyText">
    <w:name w:val="Body Text"/>
    <w:basedOn w:val="Normal"/>
    <w:link w:val="BodyTextChar"/>
    <w:uiPriority w:val="99"/>
    <w:unhideWhenUsed/>
    <w:rsid w:val="00346E6A"/>
    <w:pPr>
      <w:spacing w:after="120" w:line="259" w:lineRule="auto"/>
    </w:pPr>
    <w:rPr>
      <w:rFonts w:asciiTheme="minorHAnsi" w:hAnsiTheme="minorHAnsi" w:cstheme="minorBidi"/>
      <w:sz w:val="22"/>
      <w:szCs w:val="22"/>
    </w:rPr>
  </w:style>
  <w:style w:type="character" w:customStyle="1" w:styleId="BodyTextChar">
    <w:name w:val="Body Text Char"/>
    <w:basedOn w:val="DefaultParagraphFont"/>
    <w:link w:val="BodyText"/>
    <w:uiPriority w:val="99"/>
    <w:rsid w:val="00346E6A"/>
    <w:rPr>
      <w:rFonts w:asciiTheme="minorHAnsi" w:hAnsiTheme="minorHAnsi" w:cstheme="minorBidi"/>
      <w:sz w:val="22"/>
      <w:szCs w:val="22"/>
    </w:rPr>
  </w:style>
  <w:style w:type="character" w:styleId="LineNumber">
    <w:name w:val="line number"/>
    <w:basedOn w:val="DefaultParagraphFont"/>
    <w:uiPriority w:val="99"/>
    <w:semiHidden/>
    <w:unhideWhenUsed/>
    <w:rsid w:val="00346E6A"/>
  </w:style>
  <w:style w:type="paragraph" w:styleId="BalloonText">
    <w:name w:val="Balloon Text"/>
    <w:basedOn w:val="Normal"/>
    <w:link w:val="BalloonTextChar"/>
    <w:uiPriority w:val="99"/>
    <w:semiHidden/>
    <w:unhideWhenUsed/>
    <w:rsid w:val="00346E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E6A"/>
    <w:rPr>
      <w:rFonts w:ascii="Tahoma" w:hAnsi="Tahoma" w:cs="Tahoma"/>
      <w:sz w:val="16"/>
      <w:szCs w:val="16"/>
    </w:rPr>
  </w:style>
  <w:style w:type="character" w:styleId="Hyperlink">
    <w:name w:val="Hyperlink"/>
    <w:basedOn w:val="DefaultParagraphFont"/>
    <w:uiPriority w:val="99"/>
    <w:unhideWhenUsed/>
    <w:rsid w:val="00346E6A"/>
    <w:rPr>
      <w:color w:val="0000FF" w:themeColor="hyperlink"/>
      <w:u w:val="single"/>
    </w:rPr>
  </w:style>
  <w:style w:type="paragraph" w:styleId="Header">
    <w:name w:val="header"/>
    <w:basedOn w:val="Normal"/>
    <w:link w:val="HeaderChar"/>
    <w:uiPriority w:val="99"/>
    <w:unhideWhenUsed/>
    <w:rsid w:val="00346E6A"/>
    <w:pPr>
      <w:tabs>
        <w:tab w:val="center" w:pos="4680"/>
        <w:tab w:val="right" w:pos="9360"/>
      </w:tabs>
      <w:spacing w:after="0"/>
    </w:pPr>
  </w:style>
  <w:style w:type="character" w:customStyle="1" w:styleId="HeaderChar">
    <w:name w:val="Header Char"/>
    <w:basedOn w:val="DefaultParagraphFont"/>
    <w:link w:val="Header"/>
    <w:uiPriority w:val="99"/>
    <w:rsid w:val="00346E6A"/>
  </w:style>
  <w:style w:type="character" w:styleId="CommentReference">
    <w:name w:val="annotation reference"/>
    <w:basedOn w:val="DefaultParagraphFont"/>
    <w:uiPriority w:val="99"/>
    <w:semiHidden/>
    <w:unhideWhenUsed/>
    <w:rsid w:val="005C6175"/>
    <w:rPr>
      <w:sz w:val="16"/>
      <w:szCs w:val="16"/>
    </w:rPr>
  </w:style>
  <w:style w:type="paragraph" w:styleId="CommentText">
    <w:name w:val="annotation text"/>
    <w:basedOn w:val="Normal"/>
    <w:link w:val="CommentTextChar"/>
    <w:uiPriority w:val="99"/>
    <w:semiHidden/>
    <w:unhideWhenUsed/>
    <w:rsid w:val="005C6175"/>
    <w:rPr>
      <w:sz w:val="20"/>
      <w:szCs w:val="20"/>
    </w:rPr>
  </w:style>
  <w:style w:type="character" w:customStyle="1" w:styleId="CommentTextChar">
    <w:name w:val="Comment Text Char"/>
    <w:basedOn w:val="DefaultParagraphFont"/>
    <w:link w:val="CommentText"/>
    <w:uiPriority w:val="99"/>
    <w:semiHidden/>
    <w:rsid w:val="005C6175"/>
    <w:rPr>
      <w:sz w:val="20"/>
      <w:szCs w:val="20"/>
    </w:rPr>
  </w:style>
  <w:style w:type="paragraph" w:styleId="CommentSubject">
    <w:name w:val="annotation subject"/>
    <w:basedOn w:val="CommentText"/>
    <w:next w:val="CommentText"/>
    <w:link w:val="CommentSubjectChar"/>
    <w:uiPriority w:val="99"/>
    <w:semiHidden/>
    <w:unhideWhenUsed/>
    <w:rsid w:val="005C6175"/>
    <w:rPr>
      <w:b/>
      <w:bCs/>
    </w:rPr>
  </w:style>
  <w:style w:type="character" w:customStyle="1" w:styleId="CommentSubjectChar">
    <w:name w:val="Comment Subject Char"/>
    <w:basedOn w:val="CommentTextChar"/>
    <w:link w:val="CommentSubject"/>
    <w:uiPriority w:val="99"/>
    <w:semiHidden/>
    <w:rsid w:val="005C61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147">
      <w:bodyDiv w:val="1"/>
      <w:marLeft w:val="0"/>
      <w:marRight w:val="0"/>
      <w:marTop w:val="0"/>
      <w:marBottom w:val="0"/>
      <w:divBdr>
        <w:top w:val="none" w:sz="0" w:space="0" w:color="auto"/>
        <w:left w:val="none" w:sz="0" w:space="0" w:color="auto"/>
        <w:bottom w:val="none" w:sz="0" w:space="0" w:color="auto"/>
        <w:right w:val="none" w:sz="0" w:space="0" w:color="auto"/>
      </w:divBdr>
    </w:div>
    <w:div w:id="237833182">
      <w:bodyDiv w:val="1"/>
      <w:marLeft w:val="0"/>
      <w:marRight w:val="0"/>
      <w:marTop w:val="0"/>
      <w:marBottom w:val="0"/>
      <w:divBdr>
        <w:top w:val="none" w:sz="0" w:space="0" w:color="auto"/>
        <w:left w:val="none" w:sz="0" w:space="0" w:color="auto"/>
        <w:bottom w:val="none" w:sz="0" w:space="0" w:color="auto"/>
        <w:right w:val="none" w:sz="0" w:space="0" w:color="auto"/>
      </w:divBdr>
    </w:div>
    <w:div w:id="398985805">
      <w:bodyDiv w:val="1"/>
      <w:marLeft w:val="0"/>
      <w:marRight w:val="0"/>
      <w:marTop w:val="0"/>
      <w:marBottom w:val="0"/>
      <w:divBdr>
        <w:top w:val="none" w:sz="0" w:space="0" w:color="auto"/>
        <w:left w:val="none" w:sz="0" w:space="0" w:color="auto"/>
        <w:bottom w:val="none" w:sz="0" w:space="0" w:color="auto"/>
        <w:right w:val="none" w:sz="0" w:space="0" w:color="auto"/>
      </w:divBdr>
    </w:div>
    <w:div w:id="63171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mfleisher@elpc.org" TargetMode="External"/><Relationship Id="rId26" Type="http://schemas.openxmlformats.org/officeDocument/2006/relationships/hyperlink" Target="mailto:kboehm@BKLlawfirm.com" TargetMode="External"/><Relationship Id="rId39" Type="http://schemas.openxmlformats.org/officeDocument/2006/relationships/hyperlink" Target="mailto:stheodore@epsa.org" TargetMode="External"/><Relationship Id="rId21" Type="http://schemas.openxmlformats.org/officeDocument/2006/relationships/hyperlink" Target="mailto:jeffrey.mayes@monitoringanalytics.com" TargetMode="External"/><Relationship Id="rId34" Type="http://schemas.openxmlformats.org/officeDocument/2006/relationships/hyperlink" Target="mailto:lhawrot@spilmanlaw.com" TargetMode="External"/><Relationship Id="rId42" Type="http://schemas.openxmlformats.org/officeDocument/2006/relationships/hyperlink" Target="mailto:jeanne.kingery@duke-energy.com" TargetMode="External"/><Relationship Id="rId47" Type="http://schemas.openxmlformats.org/officeDocument/2006/relationships/hyperlink" Target="mailto:ghiloni@carpenterlipps.com" TargetMode="External"/><Relationship Id="rId50" Type="http://schemas.openxmlformats.org/officeDocument/2006/relationships/hyperlink" Target="mailto:glpetrucci@vorys.com" TargetMode="External"/><Relationship Id="rId55" Type="http://schemas.openxmlformats.org/officeDocument/2006/relationships/hyperlink" Target="mailto:tdougherty@theOEC.org" TargetMode="External"/><Relationship Id="rId63" Type="http://schemas.openxmlformats.org/officeDocument/2006/relationships/hyperlink" Target="mailto:greg.tillman@walmart.com" TargetMode="External"/><Relationship Id="rId68" Type="http://schemas.openxmlformats.org/officeDocument/2006/relationships/hyperlink" Target="mailto:chris@envlaw.com" TargetMode="External"/><Relationship Id="rId7" Type="http://schemas.openxmlformats.org/officeDocument/2006/relationships/endnotes" Target="endnotes.xml"/><Relationship Id="rId71" Type="http://schemas.openxmlformats.org/officeDocument/2006/relationships/hyperlink" Target="mailto:dparram@bricker.com" TargetMode="External"/><Relationship Id="rId2" Type="http://schemas.openxmlformats.org/officeDocument/2006/relationships/numbering" Target="numbering.xml"/><Relationship Id="rId16" Type="http://schemas.openxmlformats.org/officeDocument/2006/relationships/hyperlink" Target="mailto:djireland@ficlaw.com" TargetMode="External"/><Relationship Id="rId29" Type="http://schemas.openxmlformats.org/officeDocument/2006/relationships/hyperlink" Target="mailto:Michelle.d.grant@dynegy.com" TargetMode="External"/><Relationship Id="rId11" Type="http://schemas.openxmlformats.org/officeDocument/2006/relationships/footer" Target="footer2.xml"/><Relationship Id="rId24" Type="http://schemas.openxmlformats.org/officeDocument/2006/relationships/hyperlink" Target="mailto:dboehm@BKLlawfirm.com" TargetMode="External"/><Relationship Id="rId32" Type="http://schemas.openxmlformats.org/officeDocument/2006/relationships/hyperlink" Target="mailto:jlang@calfee.com" TargetMode="External"/><Relationship Id="rId37" Type="http://schemas.openxmlformats.org/officeDocument/2006/relationships/hyperlink" Target="mailto:gthomas@gtpowergroup.com" TargetMode="External"/><Relationship Id="rId40" Type="http://schemas.openxmlformats.org/officeDocument/2006/relationships/hyperlink" Target="mailto:todonnell@dickinsonwright.com" TargetMode="External"/><Relationship Id="rId45" Type="http://schemas.openxmlformats.org/officeDocument/2006/relationships/hyperlink" Target="mailto:joliker@igsenergy.com" TargetMode="External"/><Relationship Id="rId53" Type="http://schemas.openxmlformats.org/officeDocument/2006/relationships/hyperlink" Target="mailto:kevin.moore@occ.ohio.gov" TargetMode="External"/><Relationship Id="rId58" Type="http://schemas.openxmlformats.org/officeDocument/2006/relationships/hyperlink" Target="mailto:gpoulos@enernoc.com" TargetMode="External"/><Relationship Id="rId66" Type="http://schemas.openxmlformats.org/officeDocument/2006/relationships/hyperlink" Target="mailto:ejacobs@ablelaw.org"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faruki@ficlaw.com" TargetMode="External"/><Relationship Id="rId23" Type="http://schemas.openxmlformats.org/officeDocument/2006/relationships/hyperlink" Target="mailto:schmidt@sppgrp.com" TargetMode="External"/><Relationship Id="rId28" Type="http://schemas.openxmlformats.org/officeDocument/2006/relationships/hyperlink" Target="mailto:william.wright@ohioattorneygeneral.gov" TargetMode="External"/><Relationship Id="rId36" Type="http://schemas.openxmlformats.org/officeDocument/2006/relationships/hyperlink" Target="mailto:charris@spilmanlaw.com" TargetMode="External"/><Relationship Id="rId49" Type="http://schemas.openxmlformats.org/officeDocument/2006/relationships/hyperlink" Target="mailto:smhoward@vorys.com" TargetMode="External"/><Relationship Id="rId57" Type="http://schemas.openxmlformats.org/officeDocument/2006/relationships/hyperlink" Target="mailto:Sechler@carpenterlipps.com" TargetMode="External"/><Relationship Id="rId61" Type="http://schemas.openxmlformats.org/officeDocument/2006/relationships/hyperlink" Target="mailto:elizabeth.watts@duke-energy.com" TargetMode="External"/><Relationship Id="rId10" Type="http://schemas.openxmlformats.org/officeDocument/2006/relationships/footer" Target="footer1.xml"/><Relationship Id="rId19" Type="http://schemas.openxmlformats.org/officeDocument/2006/relationships/hyperlink" Target="mailto:fdarr@mwncmh.com" TargetMode="External"/><Relationship Id="rId31" Type="http://schemas.openxmlformats.org/officeDocument/2006/relationships/hyperlink" Target="mailto:slesser@calfee.com" TargetMode="External"/><Relationship Id="rId44" Type="http://schemas.openxmlformats.org/officeDocument/2006/relationships/hyperlink" Target="mailto:thomas.mcnamee@ohioattorneygeneral.gov" TargetMode="External"/><Relationship Id="rId52" Type="http://schemas.openxmlformats.org/officeDocument/2006/relationships/hyperlink" Target="mailto:william.michael@occ.ohio.gov" TargetMode="External"/><Relationship Id="rId60" Type="http://schemas.openxmlformats.org/officeDocument/2006/relationships/hyperlink" Target="mailto:amy.spiller@duke-energy.com" TargetMode="External"/><Relationship Id="rId65" Type="http://schemas.openxmlformats.org/officeDocument/2006/relationships/hyperlink" Target="mailto:dborchers@bricker.com" TargetMode="External"/><Relationship Id="rId73"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mailto:evelyn.robinson@pjm.com" TargetMode="External"/><Relationship Id="rId27" Type="http://schemas.openxmlformats.org/officeDocument/2006/relationships/hyperlink" Target="mailto:jkylercohn@BKLlawfirm.com" TargetMode="External"/><Relationship Id="rId30" Type="http://schemas.openxmlformats.org/officeDocument/2006/relationships/hyperlink" Target="mailto:rsahli@columbus.rr.com" TargetMode="External"/><Relationship Id="rId35" Type="http://schemas.openxmlformats.org/officeDocument/2006/relationships/hyperlink" Target="mailto:dwilliamson@spilmanlaw.com" TargetMode="External"/><Relationship Id="rId43" Type="http://schemas.openxmlformats.org/officeDocument/2006/relationships/hyperlink" Target="mailto:kristin.henry@sierraclub.org" TargetMode="External"/><Relationship Id="rId48" Type="http://schemas.openxmlformats.org/officeDocument/2006/relationships/hyperlink" Target="mailto:mjsettineri@vorys.com" TargetMode="External"/><Relationship Id="rId56" Type="http://schemas.openxmlformats.org/officeDocument/2006/relationships/hyperlink" Target="mailto:cmooney@ohiopartners.org" TargetMode="External"/><Relationship Id="rId64" Type="http://schemas.openxmlformats.org/officeDocument/2006/relationships/hyperlink" Target="mailto:mwarnock@bricker.com" TargetMode="External"/><Relationship Id="rId69" Type="http://schemas.openxmlformats.org/officeDocument/2006/relationships/hyperlink" Target="mailto:jdoll@djflawfirm.com" TargetMode="External"/><Relationship Id="rId8" Type="http://schemas.openxmlformats.org/officeDocument/2006/relationships/header" Target="header1.xml"/><Relationship Id="rId51" Type="http://schemas.openxmlformats.org/officeDocument/2006/relationships/hyperlink" Target="mailto:ibatikov@vorys.com" TargetMode="External"/><Relationship Id="rId72" Type="http://schemas.openxmlformats.org/officeDocument/2006/relationships/hyperlink" Target="mailto:paul@carpenterlipps.com"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jsharkey@ficlaw.com" TargetMode="External"/><Relationship Id="rId25" Type="http://schemas.openxmlformats.org/officeDocument/2006/relationships/hyperlink" Target="mailto:mkurtz@BKLlawfirm.com" TargetMode="External"/><Relationship Id="rId33" Type="http://schemas.openxmlformats.org/officeDocument/2006/relationships/hyperlink" Target="mailto:talexander@calfee.com" TargetMode="External"/><Relationship Id="rId38" Type="http://schemas.openxmlformats.org/officeDocument/2006/relationships/hyperlink" Target="mailto:laurac@chappelleconsulting.net" TargetMode="External"/><Relationship Id="rId46" Type="http://schemas.openxmlformats.org/officeDocument/2006/relationships/hyperlink" Target="mailto:bojko@carpenterlipps.com" TargetMode="External"/><Relationship Id="rId59" Type="http://schemas.openxmlformats.org/officeDocument/2006/relationships/hyperlink" Target="mailto:rick.sites@ohiohospitals.org" TargetMode="External"/><Relationship Id="rId67" Type="http://schemas.openxmlformats.org/officeDocument/2006/relationships/hyperlink" Target="mailto:tony.mendoza@sierraclub.org" TargetMode="External"/><Relationship Id="rId20" Type="http://schemas.openxmlformats.org/officeDocument/2006/relationships/hyperlink" Target="mailto:mpritchard@mwncmh.com" TargetMode="External"/><Relationship Id="rId41" Type="http://schemas.openxmlformats.org/officeDocument/2006/relationships/hyperlink" Target="mailto:rseiler@dickinsonwright.com" TargetMode="External"/><Relationship Id="rId54" Type="http://schemas.openxmlformats.org/officeDocument/2006/relationships/hyperlink" Target="mailto:mdortch@kravitzllc.com" TargetMode="External"/><Relationship Id="rId62" Type="http://schemas.openxmlformats.org/officeDocument/2006/relationships/hyperlink" Target="mailto:stephen.chriss@walmart.com" TargetMode="External"/><Relationship Id="rId70" Type="http://schemas.openxmlformats.org/officeDocument/2006/relationships/hyperlink" Target="mailto:mcrawford@djflawfirm.co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2C928-35BC-41CA-BD5C-32AD2471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3362</Words>
  <Characters>19168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2019-02-12T22:05:00Z</dcterms:created>
  <dcterms:modified xsi:type="dcterms:W3CDTF">2019-02-12T22:05:00Z</dcterms:modified>
</cp:coreProperties>
</file>