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CE" w:rsidRDefault="00784FCE" w:rsidP="00784FCE">
      <w:pPr>
        <w:jc w:val="center"/>
        <w:rPr>
          <w:rFonts w:ascii="Arial" w:eastAsiaTheme="minorHAnsi" w:hAnsi="Arial" w:cs="Arial"/>
          <w:b/>
          <w:smallCaps/>
          <w:sz w:val="32"/>
          <w:szCs w:val="32"/>
        </w:rPr>
      </w:pPr>
      <w:bookmarkStart w:id="0" w:name="OLE_LINK1"/>
      <w:bookmarkStart w:id="1" w:name="OLE_LINK2"/>
      <w:r>
        <w:rPr>
          <w:rFonts w:ascii="Arial" w:eastAsiaTheme="minorHAnsi" w:hAnsi="Arial" w:cs="Arial"/>
          <w:b/>
          <w:smallCaps/>
          <w:sz w:val="32"/>
          <w:szCs w:val="32"/>
        </w:rPr>
        <w:t>Before</w:t>
      </w:r>
    </w:p>
    <w:p w:rsidR="00784FCE" w:rsidRDefault="00784FCE" w:rsidP="00784FCE">
      <w:pPr>
        <w:jc w:val="center"/>
        <w:rPr>
          <w:rFonts w:ascii="Arial" w:eastAsiaTheme="minorHAnsi" w:hAnsi="Arial" w:cs="Arial"/>
          <w:b/>
          <w:smallCaps/>
          <w:sz w:val="32"/>
          <w:szCs w:val="32"/>
        </w:rPr>
      </w:pPr>
      <w:r>
        <w:rPr>
          <w:rFonts w:ascii="Arial" w:eastAsiaTheme="minorHAnsi" w:hAnsi="Arial" w:cs="Arial"/>
          <w:b/>
          <w:smallCaps/>
          <w:sz w:val="32"/>
          <w:szCs w:val="32"/>
        </w:rPr>
        <w:t>The Ohio Power Siting Board</w:t>
      </w:r>
    </w:p>
    <w:p w:rsidR="00784FCE" w:rsidRPr="006E11DB" w:rsidRDefault="00784FCE" w:rsidP="00784FCE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784FCE" w:rsidRDefault="00784FCE" w:rsidP="00784FCE">
      <w:pPr>
        <w:tabs>
          <w:tab w:val="left" w:pos="4680"/>
          <w:tab w:val="left" w:pos="52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 w:rsidRPr="006E11DB">
        <w:rPr>
          <w:rFonts w:ascii="Arial" w:eastAsiaTheme="minorHAnsi" w:hAnsi="Arial" w:cs="Arial"/>
        </w:rPr>
        <w:t xml:space="preserve">In the Matter of the Application of </w:t>
      </w:r>
      <w:r>
        <w:rPr>
          <w:rFonts w:ascii="Arial" w:eastAsiaTheme="minorHAnsi" w:hAnsi="Arial" w:cs="Arial"/>
        </w:rPr>
        <w:tab/>
        <w:t>)</w:t>
      </w:r>
    </w:p>
    <w:p w:rsidR="00784FCE" w:rsidRDefault="00784FCE" w:rsidP="00784FCE">
      <w:pPr>
        <w:tabs>
          <w:tab w:val="left" w:pos="4680"/>
          <w:tab w:val="left" w:pos="52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 w:rsidRPr="006E11DB">
        <w:rPr>
          <w:rFonts w:ascii="Arial" w:eastAsiaTheme="minorHAnsi" w:hAnsi="Arial" w:cs="Arial"/>
        </w:rPr>
        <w:t xml:space="preserve">6011 Greenwich </w:t>
      </w:r>
      <w:proofErr w:type="spellStart"/>
      <w:r w:rsidRPr="006E11DB">
        <w:rPr>
          <w:rFonts w:ascii="Arial" w:eastAsiaTheme="minorHAnsi" w:hAnsi="Arial" w:cs="Arial"/>
        </w:rPr>
        <w:t>Windpark</w:t>
      </w:r>
      <w:proofErr w:type="spellEnd"/>
      <w:r w:rsidRPr="006E11DB">
        <w:rPr>
          <w:rFonts w:ascii="Arial" w:eastAsiaTheme="minorHAnsi" w:hAnsi="Arial" w:cs="Arial"/>
        </w:rPr>
        <w:t>, LLC for a</w:t>
      </w:r>
      <w:r>
        <w:rPr>
          <w:rFonts w:ascii="Arial" w:eastAsiaTheme="minorHAnsi" w:hAnsi="Arial" w:cs="Arial"/>
        </w:rPr>
        <w:t>n</w:t>
      </w:r>
      <w:r w:rsidRPr="006E11DB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ab/>
        <w:t>)</w:t>
      </w:r>
    </w:p>
    <w:p w:rsidR="00784FCE" w:rsidRPr="006E11DB" w:rsidRDefault="00784FCE" w:rsidP="00784FCE">
      <w:pPr>
        <w:pStyle w:val="BodyText"/>
        <w:tabs>
          <w:tab w:val="left" w:pos="4680"/>
          <w:tab w:val="left" w:pos="5040"/>
        </w:tabs>
        <w:rPr>
          <w:sz w:val="28"/>
        </w:rPr>
      </w:pPr>
      <w:r>
        <w:rPr>
          <w:rFonts w:eastAsiaTheme="minorHAnsi"/>
        </w:rPr>
        <w:t xml:space="preserve">Amendment to its </w:t>
      </w:r>
      <w:r w:rsidRPr="006E11DB">
        <w:rPr>
          <w:rFonts w:eastAsiaTheme="minorHAnsi"/>
        </w:rPr>
        <w:t>Certificate to</w:t>
      </w:r>
      <w:r>
        <w:rPr>
          <w:rFonts w:eastAsiaTheme="minorHAnsi"/>
        </w:rPr>
        <w:t xml:space="preserve"> Install</w:t>
      </w:r>
      <w:r>
        <w:rPr>
          <w:rFonts w:eastAsiaTheme="minorHAnsi"/>
        </w:rPr>
        <w:tab/>
        <w:t>)</w:t>
      </w:r>
      <w:r>
        <w:rPr>
          <w:rFonts w:eastAsiaTheme="minorHAnsi"/>
        </w:rPr>
        <w:tab/>
      </w:r>
      <w:r w:rsidRPr="006E11DB">
        <w:rPr>
          <w:rFonts w:eastAsiaTheme="minorHAnsi"/>
        </w:rPr>
        <w:t xml:space="preserve">Case No. </w:t>
      </w:r>
      <w:r>
        <w:rPr>
          <w:rFonts w:eastAsiaTheme="minorHAnsi"/>
        </w:rPr>
        <w:t>15-1921</w:t>
      </w:r>
      <w:r w:rsidRPr="006E11DB">
        <w:rPr>
          <w:rFonts w:eastAsiaTheme="minorHAnsi"/>
        </w:rPr>
        <w:t>-EL-BG</w:t>
      </w:r>
      <w:r w:rsidR="00EA33DF">
        <w:rPr>
          <w:rFonts w:eastAsiaTheme="minorHAnsi"/>
        </w:rPr>
        <w:t>A</w:t>
      </w:r>
    </w:p>
    <w:p w:rsidR="00784FCE" w:rsidRDefault="007A2C17" w:rsidP="00784FCE">
      <w:pPr>
        <w:tabs>
          <w:tab w:val="left" w:pos="4680"/>
          <w:tab w:val="left" w:pos="52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and</w:t>
      </w:r>
      <w:proofErr w:type="gramEnd"/>
      <w:r>
        <w:rPr>
          <w:rFonts w:ascii="Arial" w:eastAsiaTheme="minorHAnsi" w:hAnsi="Arial" w:cs="Arial"/>
        </w:rPr>
        <w:t xml:space="preserve"> </w:t>
      </w:r>
      <w:r w:rsidR="00784FCE">
        <w:rPr>
          <w:rFonts w:ascii="Arial" w:eastAsiaTheme="minorHAnsi" w:hAnsi="Arial" w:cs="Arial"/>
        </w:rPr>
        <w:t>Operate a Wind-Power</w:t>
      </w:r>
      <w:r w:rsidR="00AC25DE">
        <w:rPr>
          <w:rFonts w:ascii="Arial" w:eastAsiaTheme="minorHAnsi" w:hAnsi="Arial" w:cs="Arial"/>
        </w:rPr>
        <w:t>e</w:t>
      </w:r>
      <w:r w:rsidR="00784FCE">
        <w:rPr>
          <w:rFonts w:ascii="Arial" w:eastAsiaTheme="minorHAnsi" w:hAnsi="Arial" w:cs="Arial"/>
        </w:rPr>
        <w:t>d</w:t>
      </w:r>
      <w:r w:rsidR="00AC25DE">
        <w:rPr>
          <w:rFonts w:ascii="Arial" w:eastAsiaTheme="minorHAnsi" w:hAnsi="Arial" w:cs="Arial"/>
        </w:rPr>
        <w:t xml:space="preserve"> Electric </w:t>
      </w:r>
      <w:r w:rsidR="00784FCE">
        <w:rPr>
          <w:rFonts w:ascii="Arial" w:eastAsiaTheme="minorHAnsi" w:hAnsi="Arial" w:cs="Arial"/>
        </w:rPr>
        <w:tab/>
        <w:t>)</w:t>
      </w:r>
    </w:p>
    <w:p w:rsidR="00784FCE" w:rsidRPr="006E11DB" w:rsidRDefault="00AC25DE" w:rsidP="00784FCE">
      <w:pPr>
        <w:tabs>
          <w:tab w:val="left" w:pos="4680"/>
          <w:tab w:val="left" w:pos="52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 xml:space="preserve">Generation Facility in </w:t>
      </w:r>
      <w:r w:rsidR="00784FCE" w:rsidRPr="006E11DB">
        <w:rPr>
          <w:rFonts w:ascii="Arial" w:eastAsiaTheme="minorHAnsi" w:hAnsi="Arial" w:cs="Arial"/>
        </w:rPr>
        <w:t>Huron County, Ohio.</w:t>
      </w:r>
      <w:proofErr w:type="gramEnd"/>
      <w:r w:rsidR="00784FCE">
        <w:rPr>
          <w:rFonts w:ascii="Arial" w:eastAsiaTheme="minorHAnsi" w:hAnsi="Arial" w:cs="Arial"/>
        </w:rPr>
        <w:tab/>
        <w:t>)</w:t>
      </w:r>
    </w:p>
    <w:p w:rsidR="00784FCE" w:rsidRDefault="00784FCE" w:rsidP="00784FCE">
      <w:pPr>
        <w:pStyle w:val="BodyText"/>
        <w:tabs>
          <w:tab w:val="left" w:pos="5040"/>
        </w:tabs>
        <w:rPr>
          <w:rFonts w:eastAsiaTheme="minorHAnsi"/>
        </w:rPr>
      </w:pPr>
    </w:p>
    <w:p w:rsidR="00784FCE" w:rsidRDefault="00784FCE" w:rsidP="00784FCE">
      <w:pPr>
        <w:pStyle w:val="BodyText"/>
        <w:tabs>
          <w:tab w:val="left" w:pos="5040"/>
        </w:tabs>
        <w:rPr>
          <w:rFonts w:eastAsiaTheme="minorHAnsi"/>
        </w:rPr>
      </w:pPr>
    </w:p>
    <w:p w:rsidR="00784FCE" w:rsidRDefault="00784FCE" w:rsidP="00784FCE">
      <w:pPr>
        <w:pStyle w:val="BodyText"/>
        <w:tabs>
          <w:tab w:val="left" w:pos="5040"/>
        </w:tabs>
        <w:rPr>
          <w:rFonts w:eastAsiaTheme="minorHAnsi"/>
        </w:rPr>
      </w:pPr>
    </w:p>
    <w:p w:rsidR="00784FCE" w:rsidRDefault="00784FCE" w:rsidP="00784FCE">
      <w:pPr>
        <w:pStyle w:val="BodyText"/>
        <w:tabs>
          <w:tab w:val="left" w:pos="5040"/>
        </w:tabs>
        <w:rPr>
          <w:rFonts w:eastAsiaTheme="minorHAnsi"/>
        </w:rPr>
      </w:pPr>
    </w:p>
    <w:p w:rsidR="00784FCE" w:rsidRPr="006E11DB" w:rsidRDefault="00784FCE" w:rsidP="00784FCE">
      <w:pPr>
        <w:pStyle w:val="BodyText"/>
        <w:tabs>
          <w:tab w:val="left" w:pos="5040"/>
        </w:tabs>
        <w:rPr>
          <w:rFonts w:eastAsiaTheme="minorHAnsi"/>
        </w:rPr>
      </w:pPr>
    </w:p>
    <w:p w:rsidR="00784FCE" w:rsidRDefault="00784FCE" w:rsidP="00784FCE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smallCaps/>
        </w:rPr>
      </w:pPr>
    </w:p>
    <w:p w:rsidR="00784FCE" w:rsidRPr="002E3F72" w:rsidRDefault="00C93795" w:rsidP="00784FCE">
      <w:pPr>
        <w:pStyle w:val="Heading1"/>
        <w:tabs>
          <w:tab w:val="left" w:pos="7320"/>
        </w:tabs>
        <w:ind w:left="0" w:right="0"/>
        <w:jc w:val="center"/>
        <w:rPr>
          <w:rFonts w:ascii="Arial Bold" w:hAnsi="Arial Bold"/>
          <w:smallCaps/>
          <w:sz w:val="32"/>
          <w:szCs w:val="32"/>
        </w:rPr>
      </w:pPr>
      <w:r>
        <w:rPr>
          <w:rFonts w:ascii="Arial Bold" w:hAnsi="Arial Bold"/>
          <w:smallCaps/>
          <w:sz w:val="32"/>
          <w:szCs w:val="32"/>
        </w:rPr>
        <w:t>Comments</w:t>
      </w:r>
      <w:r w:rsidR="008B150B">
        <w:rPr>
          <w:rFonts w:ascii="Arial Bold" w:hAnsi="Arial Bold"/>
          <w:smallCaps/>
          <w:sz w:val="32"/>
          <w:szCs w:val="32"/>
        </w:rPr>
        <w:t xml:space="preserve"> and </w:t>
      </w:r>
      <w:r>
        <w:rPr>
          <w:rFonts w:ascii="Arial Bold" w:hAnsi="Arial Bold"/>
          <w:smallCaps/>
          <w:sz w:val="32"/>
          <w:szCs w:val="32"/>
        </w:rPr>
        <w:t>Objections</w:t>
      </w:r>
      <w:r w:rsidR="008B150B">
        <w:rPr>
          <w:rFonts w:ascii="Arial Bold" w:hAnsi="Arial Bold"/>
          <w:smallCaps/>
          <w:sz w:val="32"/>
          <w:szCs w:val="32"/>
        </w:rPr>
        <w:t xml:space="preserve"> </w:t>
      </w:r>
    </w:p>
    <w:p w:rsidR="00784FCE" w:rsidRPr="002E3F72" w:rsidRDefault="00784FCE" w:rsidP="00784FCE">
      <w:pPr>
        <w:pStyle w:val="Heading1"/>
        <w:tabs>
          <w:tab w:val="left" w:pos="7320"/>
        </w:tabs>
        <w:ind w:left="0" w:right="0"/>
        <w:jc w:val="center"/>
        <w:rPr>
          <w:rFonts w:ascii="Arial Bold" w:hAnsi="Arial Bold"/>
          <w:smallCaps/>
          <w:sz w:val="32"/>
          <w:szCs w:val="32"/>
        </w:rPr>
      </w:pPr>
      <w:r w:rsidRPr="002E3F72">
        <w:rPr>
          <w:rFonts w:ascii="Arial Bold" w:hAnsi="Arial Bold"/>
          <w:smallCaps/>
          <w:sz w:val="32"/>
          <w:szCs w:val="32"/>
        </w:rPr>
        <w:t xml:space="preserve">of </w:t>
      </w:r>
      <w:r w:rsidR="005F5EEB" w:rsidRPr="002E3F72">
        <w:rPr>
          <w:rFonts w:ascii="Arial Bold" w:hAnsi="Arial Bold"/>
          <w:smallCaps/>
          <w:sz w:val="32"/>
          <w:szCs w:val="32"/>
        </w:rPr>
        <w:t>Greenwich Neighbors United</w:t>
      </w:r>
    </w:p>
    <w:bookmarkEnd w:id="0"/>
    <w:bookmarkEnd w:id="1"/>
    <w:p w:rsidR="00784FCE" w:rsidRPr="002E3F72" w:rsidRDefault="00784FCE" w:rsidP="00784FCE">
      <w:pPr>
        <w:pStyle w:val="Title"/>
        <w:pBdr>
          <w:bottom w:val="single" w:sz="12" w:space="1" w:color="auto"/>
        </w:pBdr>
        <w:rPr>
          <w:rFonts w:ascii="Arial Bold" w:hAnsi="Arial Bold"/>
          <w:szCs w:val="32"/>
          <w:u w:val="single"/>
        </w:rPr>
      </w:pPr>
    </w:p>
    <w:p w:rsidR="00784FCE" w:rsidRDefault="00784FCE" w:rsidP="00784FCE">
      <w:pPr>
        <w:pStyle w:val="Title"/>
        <w:rPr>
          <w:sz w:val="28"/>
          <w:u w:val="single"/>
        </w:rPr>
      </w:pPr>
    </w:p>
    <w:p w:rsidR="00784FCE" w:rsidRDefault="00784FCE" w:rsidP="00784FCE">
      <w:pPr>
        <w:pStyle w:val="Title"/>
        <w:rPr>
          <w:sz w:val="28"/>
          <w:u w:val="single"/>
        </w:rPr>
      </w:pPr>
    </w:p>
    <w:p w:rsidR="00784FCE" w:rsidRDefault="00784FCE" w:rsidP="00784FCE">
      <w:pPr>
        <w:pStyle w:val="Title"/>
        <w:rPr>
          <w:sz w:val="28"/>
          <w:u w:val="single"/>
        </w:rPr>
      </w:pPr>
    </w:p>
    <w:p w:rsidR="00784FCE" w:rsidRDefault="00784FCE" w:rsidP="00784FCE">
      <w:pPr>
        <w:pStyle w:val="Title"/>
        <w:rPr>
          <w:sz w:val="28"/>
          <w:u w:val="single"/>
        </w:rPr>
      </w:pPr>
    </w:p>
    <w:p w:rsidR="00784FCE" w:rsidRDefault="00784FCE" w:rsidP="00784FCE">
      <w:pPr>
        <w:pStyle w:val="Title"/>
        <w:rPr>
          <w:sz w:val="28"/>
          <w:u w:val="single"/>
        </w:rPr>
      </w:pPr>
    </w:p>
    <w:p w:rsidR="00784FCE" w:rsidRDefault="00784FCE" w:rsidP="00784FCE">
      <w:pPr>
        <w:pStyle w:val="Title"/>
        <w:rPr>
          <w:sz w:val="28"/>
          <w:u w:val="single"/>
        </w:rPr>
      </w:pPr>
    </w:p>
    <w:p w:rsidR="00784FCE" w:rsidRDefault="00784FCE" w:rsidP="00784FCE">
      <w:pPr>
        <w:pStyle w:val="Title"/>
        <w:rPr>
          <w:sz w:val="28"/>
          <w:u w:val="single"/>
        </w:rPr>
      </w:pPr>
    </w:p>
    <w:p w:rsidR="00784FCE" w:rsidRDefault="00784FCE" w:rsidP="00784FCE">
      <w:pPr>
        <w:pStyle w:val="Title"/>
        <w:rPr>
          <w:sz w:val="28"/>
          <w:u w:val="single"/>
        </w:rPr>
      </w:pPr>
    </w:p>
    <w:p w:rsidR="00784FCE" w:rsidRDefault="00784FCE" w:rsidP="00784FCE">
      <w:pPr>
        <w:pStyle w:val="Title"/>
        <w:rPr>
          <w:sz w:val="28"/>
          <w:u w:val="single"/>
        </w:rPr>
      </w:pPr>
    </w:p>
    <w:p w:rsidR="00784FCE" w:rsidRDefault="00784FCE" w:rsidP="00784FCE">
      <w:pPr>
        <w:pStyle w:val="Title"/>
        <w:rPr>
          <w:sz w:val="28"/>
          <w:u w:val="single"/>
        </w:rPr>
      </w:pPr>
    </w:p>
    <w:p w:rsidR="00784FCE" w:rsidRDefault="00784FCE" w:rsidP="00784FCE">
      <w:pPr>
        <w:pStyle w:val="Title"/>
        <w:rPr>
          <w:sz w:val="28"/>
          <w:u w:val="single"/>
        </w:rPr>
      </w:pPr>
    </w:p>
    <w:p w:rsidR="00784FCE" w:rsidRDefault="00784FCE" w:rsidP="00784FCE">
      <w:pPr>
        <w:pStyle w:val="Title"/>
        <w:rPr>
          <w:sz w:val="28"/>
          <w:u w:val="single"/>
        </w:rPr>
      </w:pPr>
    </w:p>
    <w:p w:rsidR="00784FCE" w:rsidRDefault="00784FCE" w:rsidP="00784FCE">
      <w:pPr>
        <w:tabs>
          <w:tab w:val="left" w:pos="720"/>
          <w:tab w:val="left" w:pos="4320"/>
          <w:tab w:val="right" w:pos="8640"/>
        </w:tabs>
        <w:ind w:left="432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Samuel C. Randazzo (Reg. No. 0016386) </w:t>
      </w:r>
    </w:p>
    <w:p w:rsidR="00784FCE" w:rsidRDefault="00784FCE" w:rsidP="00784FCE">
      <w:pPr>
        <w:tabs>
          <w:tab w:val="left" w:pos="720"/>
          <w:tab w:val="left" w:pos="4320"/>
          <w:tab w:val="right" w:pos="8640"/>
        </w:tabs>
        <w:ind w:left="432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(Counsel of Record) </w:t>
      </w:r>
    </w:p>
    <w:p w:rsidR="00784FCE" w:rsidRDefault="00784FCE" w:rsidP="00784FCE">
      <w:pPr>
        <w:widowControl w:val="0"/>
        <w:tabs>
          <w:tab w:val="left" w:pos="4320"/>
        </w:tabs>
        <w:ind w:left="432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Scott E. Elisar (Reg. No. 0081877)</w:t>
      </w:r>
    </w:p>
    <w:p w:rsidR="00784FCE" w:rsidRDefault="00784FCE" w:rsidP="00784FCE">
      <w:pPr>
        <w:widowControl w:val="0"/>
        <w:tabs>
          <w:tab w:val="left" w:pos="4320"/>
        </w:tabs>
        <w:ind w:left="4320"/>
        <w:rPr>
          <w:rFonts w:ascii="Arial" w:eastAsiaTheme="minorHAnsi" w:hAnsi="Arial" w:cs="Arial"/>
          <w:b/>
          <w:bCs/>
          <w:smallCaps/>
        </w:rPr>
      </w:pPr>
      <w:r>
        <w:rPr>
          <w:rFonts w:ascii="Arial" w:eastAsiaTheme="minorHAnsi" w:hAnsi="Arial" w:cs="Arial"/>
          <w:bCs/>
          <w:smallCaps/>
        </w:rPr>
        <w:t xml:space="preserve">McNees Wallace &amp; </w:t>
      </w:r>
      <w:proofErr w:type="spellStart"/>
      <w:r>
        <w:rPr>
          <w:rFonts w:ascii="Arial" w:eastAsiaTheme="minorHAnsi" w:hAnsi="Arial" w:cs="Arial"/>
          <w:bCs/>
          <w:smallCaps/>
        </w:rPr>
        <w:t>Nurick</w:t>
      </w:r>
      <w:proofErr w:type="spellEnd"/>
      <w:r>
        <w:rPr>
          <w:rFonts w:ascii="Arial" w:eastAsiaTheme="minorHAnsi" w:hAnsi="Arial" w:cs="Arial"/>
          <w:bCs/>
          <w:smallCaps/>
        </w:rPr>
        <w:t xml:space="preserve"> LLC</w:t>
      </w:r>
    </w:p>
    <w:p w:rsidR="00784FCE" w:rsidRDefault="00784FCE" w:rsidP="00784FCE">
      <w:pPr>
        <w:widowControl w:val="0"/>
        <w:tabs>
          <w:tab w:val="left" w:pos="4320"/>
        </w:tabs>
        <w:ind w:left="432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Cs/>
        </w:rPr>
        <w:t>21 East State Street, 17</w:t>
      </w:r>
      <w:r>
        <w:rPr>
          <w:rFonts w:ascii="Arial" w:eastAsiaTheme="minorHAnsi" w:hAnsi="Arial" w:cs="Arial"/>
          <w:bCs/>
          <w:vertAlign w:val="superscript"/>
        </w:rPr>
        <w:t>TH</w:t>
      </w:r>
      <w:r>
        <w:rPr>
          <w:rFonts w:ascii="Arial" w:eastAsiaTheme="minorHAnsi" w:hAnsi="Arial" w:cs="Arial"/>
          <w:bCs/>
        </w:rPr>
        <w:t xml:space="preserve"> Floor</w:t>
      </w:r>
    </w:p>
    <w:p w:rsidR="00784FCE" w:rsidRDefault="00784FCE" w:rsidP="00784FCE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Columbus, OH  43215</w:t>
      </w:r>
    </w:p>
    <w:p w:rsidR="00784FCE" w:rsidRDefault="00784FCE" w:rsidP="00784FCE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Telephone:  (614) 469-8000</w:t>
      </w:r>
    </w:p>
    <w:p w:rsidR="00784FCE" w:rsidRDefault="00784FCE" w:rsidP="00784FCE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</w:rPr>
        <w:t>Telecopier</w:t>
      </w:r>
      <w:proofErr w:type="spellEnd"/>
      <w:r>
        <w:rPr>
          <w:rFonts w:ascii="Arial" w:eastAsiaTheme="minorHAnsi" w:hAnsi="Arial" w:cs="Arial"/>
        </w:rPr>
        <w:t>:  (614) 469-4653</w:t>
      </w:r>
    </w:p>
    <w:p w:rsidR="00784FCE" w:rsidRDefault="00784FCE" w:rsidP="00784FCE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Theme="minorHAnsi" w:hAnsi="Arial" w:cs="Arial"/>
          <w:color w:val="000000" w:themeColor="text1"/>
        </w:rPr>
      </w:pPr>
      <w:r w:rsidRPr="009E4630">
        <w:rPr>
          <w:rFonts w:ascii="Arial" w:eastAsiaTheme="minorHAnsi" w:hAnsi="Arial" w:cs="Arial"/>
        </w:rPr>
        <w:t>sam@mwncmh.com</w:t>
      </w:r>
    </w:p>
    <w:p w:rsidR="00784FCE" w:rsidRDefault="00784FCE" w:rsidP="00784FCE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(</w:t>
      </w:r>
      <w:proofErr w:type="gramStart"/>
      <w:r>
        <w:rPr>
          <w:rFonts w:ascii="Arial" w:eastAsiaTheme="minorHAnsi" w:hAnsi="Arial" w:cs="Arial"/>
          <w:color w:val="000000" w:themeColor="text1"/>
        </w:rPr>
        <w:t>willing</w:t>
      </w:r>
      <w:proofErr w:type="gramEnd"/>
      <w:r>
        <w:rPr>
          <w:rFonts w:ascii="Arial" w:eastAsiaTheme="minorHAnsi" w:hAnsi="Arial" w:cs="Arial"/>
          <w:color w:val="000000" w:themeColor="text1"/>
        </w:rPr>
        <w:t xml:space="preserve"> to accept service by e-mail)</w:t>
      </w:r>
    </w:p>
    <w:p w:rsidR="00784FCE" w:rsidRDefault="00784FCE" w:rsidP="00784FCE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</w:rPr>
        <w:t>selisar</w:t>
      </w:r>
      <w:r w:rsidRPr="009E4630">
        <w:rPr>
          <w:rFonts w:ascii="Arial" w:eastAsiaTheme="minorHAnsi" w:hAnsi="Arial" w:cs="Arial"/>
        </w:rPr>
        <w:t>@mwncmh.com</w:t>
      </w:r>
    </w:p>
    <w:p w:rsidR="00784FCE" w:rsidRDefault="00784FCE" w:rsidP="00784FCE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(</w:t>
      </w:r>
      <w:proofErr w:type="gramStart"/>
      <w:r>
        <w:rPr>
          <w:rFonts w:ascii="Arial" w:eastAsiaTheme="minorHAnsi" w:hAnsi="Arial" w:cs="Arial"/>
          <w:color w:val="000000" w:themeColor="text1"/>
        </w:rPr>
        <w:t>willing</w:t>
      </w:r>
      <w:proofErr w:type="gramEnd"/>
      <w:r>
        <w:rPr>
          <w:rFonts w:ascii="Arial" w:eastAsiaTheme="minorHAnsi" w:hAnsi="Arial" w:cs="Arial"/>
          <w:color w:val="000000" w:themeColor="text1"/>
        </w:rPr>
        <w:t xml:space="preserve"> to accept service by e-mail)</w:t>
      </w:r>
    </w:p>
    <w:p w:rsidR="00784FCE" w:rsidRDefault="00784FCE" w:rsidP="00784FCE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Theme="minorHAnsi" w:hAnsi="Arial" w:cs="Arial"/>
          <w:color w:val="000000" w:themeColor="text1"/>
        </w:rPr>
      </w:pPr>
    </w:p>
    <w:p w:rsidR="00784FCE" w:rsidRPr="002E3F72" w:rsidRDefault="00C93795" w:rsidP="00784FCE">
      <w:pPr>
        <w:ind w:left="4320" w:hanging="4320"/>
        <w:rPr>
          <w:rFonts w:ascii="Arial" w:hAnsi="Arial" w:cs="Arial"/>
          <w:smallCaps/>
          <w:sz w:val="28"/>
          <w:u w:val="single"/>
        </w:rPr>
        <w:sectPr w:rsidR="00784FCE" w:rsidRPr="002E3F72" w:rsidSect="00784F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  <w:r>
        <w:rPr>
          <w:rFonts w:ascii="Arial" w:eastAsiaTheme="minorHAnsi" w:hAnsi="Arial" w:cs="Arial"/>
          <w:b/>
          <w:smallCaps/>
        </w:rPr>
        <w:t>December 3</w:t>
      </w:r>
      <w:r w:rsidR="00784FCE" w:rsidRPr="002E3F72">
        <w:rPr>
          <w:rFonts w:ascii="Arial" w:eastAsiaTheme="minorHAnsi" w:hAnsi="Arial" w:cs="Arial"/>
          <w:b/>
          <w:smallCaps/>
        </w:rPr>
        <w:t>, 2015</w:t>
      </w:r>
      <w:r w:rsidR="00784FCE" w:rsidRPr="002E3F72">
        <w:rPr>
          <w:rFonts w:ascii="Arial" w:eastAsiaTheme="minorHAnsi" w:hAnsi="Arial" w:cs="Arial"/>
          <w:b/>
          <w:smallCaps/>
        </w:rPr>
        <w:tab/>
        <w:t xml:space="preserve">Attorneys for </w:t>
      </w:r>
      <w:r w:rsidR="005F5EEB" w:rsidRPr="002E3F72">
        <w:rPr>
          <w:rFonts w:ascii="Arial Bold" w:hAnsi="Arial Bold" w:cs="Arial"/>
          <w:smallCaps/>
          <w:color w:val="000000"/>
        </w:rPr>
        <w:t>Greenwich Neighbors United</w:t>
      </w:r>
    </w:p>
    <w:p w:rsidR="00784FCE" w:rsidRPr="002E3F72" w:rsidRDefault="00784FCE" w:rsidP="00784FCE">
      <w:pPr>
        <w:jc w:val="center"/>
        <w:rPr>
          <w:rFonts w:ascii="Arial" w:eastAsiaTheme="minorHAnsi" w:hAnsi="Arial" w:cs="Arial"/>
          <w:b/>
          <w:smallCaps/>
          <w:sz w:val="28"/>
          <w:szCs w:val="28"/>
        </w:rPr>
      </w:pPr>
      <w:r w:rsidRPr="002E3F72">
        <w:rPr>
          <w:rFonts w:ascii="Arial" w:eastAsiaTheme="minorHAnsi" w:hAnsi="Arial" w:cs="Arial"/>
          <w:b/>
          <w:smallCaps/>
          <w:sz w:val="28"/>
          <w:szCs w:val="28"/>
        </w:rPr>
        <w:lastRenderedPageBreak/>
        <w:t>Before</w:t>
      </w:r>
    </w:p>
    <w:p w:rsidR="00784FCE" w:rsidRPr="002E3F72" w:rsidRDefault="00784FCE" w:rsidP="00784FCE">
      <w:pPr>
        <w:jc w:val="center"/>
        <w:rPr>
          <w:rFonts w:ascii="Arial" w:eastAsiaTheme="minorHAnsi" w:hAnsi="Arial" w:cs="Arial"/>
          <w:b/>
          <w:smallCaps/>
          <w:sz w:val="28"/>
          <w:szCs w:val="28"/>
        </w:rPr>
      </w:pPr>
      <w:r w:rsidRPr="002E3F72">
        <w:rPr>
          <w:rFonts w:ascii="Arial" w:eastAsiaTheme="minorHAnsi" w:hAnsi="Arial" w:cs="Arial"/>
          <w:b/>
          <w:smallCaps/>
          <w:sz w:val="28"/>
          <w:szCs w:val="28"/>
        </w:rPr>
        <w:t>The Ohio Power Siting Board</w:t>
      </w:r>
    </w:p>
    <w:p w:rsidR="00784FCE" w:rsidRDefault="00784FCE" w:rsidP="00784FCE">
      <w:pPr>
        <w:tabs>
          <w:tab w:val="left" w:pos="4680"/>
          <w:tab w:val="left" w:pos="52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784FCE" w:rsidRDefault="00784FCE" w:rsidP="00784FCE">
      <w:pPr>
        <w:tabs>
          <w:tab w:val="left" w:pos="4680"/>
          <w:tab w:val="left" w:pos="52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7A2C17" w:rsidRDefault="007A2C17" w:rsidP="007A2C17">
      <w:pPr>
        <w:tabs>
          <w:tab w:val="left" w:pos="4680"/>
          <w:tab w:val="left" w:pos="52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 w:rsidRPr="006E11DB">
        <w:rPr>
          <w:rFonts w:ascii="Arial" w:eastAsiaTheme="minorHAnsi" w:hAnsi="Arial" w:cs="Arial"/>
        </w:rPr>
        <w:t xml:space="preserve">In the Matter of the Application of </w:t>
      </w:r>
      <w:r>
        <w:rPr>
          <w:rFonts w:ascii="Arial" w:eastAsiaTheme="minorHAnsi" w:hAnsi="Arial" w:cs="Arial"/>
        </w:rPr>
        <w:tab/>
        <w:t>)</w:t>
      </w:r>
    </w:p>
    <w:p w:rsidR="007A2C17" w:rsidRDefault="007A2C17" w:rsidP="007A2C17">
      <w:pPr>
        <w:tabs>
          <w:tab w:val="left" w:pos="4680"/>
          <w:tab w:val="left" w:pos="52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 w:rsidRPr="006E11DB">
        <w:rPr>
          <w:rFonts w:ascii="Arial" w:eastAsiaTheme="minorHAnsi" w:hAnsi="Arial" w:cs="Arial"/>
        </w:rPr>
        <w:t xml:space="preserve">6011 Greenwich </w:t>
      </w:r>
      <w:proofErr w:type="spellStart"/>
      <w:r w:rsidRPr="006E11DB">
        <w:rPr>
          <w:rFonts w:ascii="Arial" w:eastAsiaTheme="minorHAnsi" w:hAnsi="Arial" w:cs="Arial"/>
        </w:rPr>
        <w:t>Windpark</w:t>
      </w:r>
      <w:proofErr w:type="spellEnd"/>
      <w:r w:rsidRPr="006E11DB">
        <w:rPr>
          <w:rFonts w:ascii="Arial" w:eastAsiaTheme="minorHAnsi" w:hAnsi="Arial" w:cs="Arial"/>
        </w:rPr>
        <w:t>, LLC for a</w:t>
      </w:r>
      <w:r>
        <w:rPr>
          <w:rFonts w:ascii="Arial" w:eastAsiaTheme="minorHAnsi" w:hAnsi="Arial" w:cs="Arial"/>
        </w:rPr>
        <w:t>n</w:t>
      </w:r>
      <w:r w:rsidRPr="006E11DB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ab/>
        <w:t>)</w:t>
      </w:r>
    </w:p>
    <w:p w:rsidR="007A2C17" w:rsidRPr="006E11DB" w:rsidRDefault="007A2C17" w:rsidP="007A2C17">
      <w:pPr>
        <w:pStyle w:val="BodyText"/>
        <w:tabs>
          <w:tab w:val="left" w:pos="4680"/>
          <w:tab w:val="left" w:pos="5040"/>
        </w:tabs>
        <w:rPr>
          <w:sz w:val="28"/>
        </w:rPr>
      </w:pPr>
      <w:r>
        <w:rPr>
          <w:rFonts w:eastAsiaTheme="minorHAnsi"/>
        </w:rPr>
        <w:t xml:space="preserve">Amendment to its </w:t>
      </w:r>
      <w:r w:rsidRPr="006E11DB">
        <w:rPr>
          <w:rFonts w:eastAsiaTheme="minorHAnsi"/>
        </w:rPr>
        <w:t>Certificate to</w:t>
      </w:r>
      <w:r>
        <w:rPr>
          <w:rFonts w:eastAsiaTheme="minorHAnsi"/>
        </w:rPr>
        <w:t xml:space="preserve"> Install</w:t>
      </w:r>
      <w:r>
        <w:rPr>
          <w:rFonts w:eastAsiaTheme="minorHAnsi"/>
        </w:rPr>
        <w:tab/>
        <w:t>)</w:t>
      </w:r>
      <w:r>
        <w:rPr>
          <w:rFonts w:eastAsiaTheme="minorHAnsi"/>
        </w:rPr>
        <w:tab/>
      </w:r>
      <w:r w:rsidRPr="006E11DB">
        <w:rPr>
          <w:rFonts w:eastAsiaTheme="minorHAnsi"/>
        </w:rPr>
        <w:t xml:space="preserve">Case No. </w:t>
      </w:r>
      <w:r>
        <w:rPr>
          <w:rFonts w:eastAsiaTheme="minorHAnsi"/>
        </w:rPr>
        <w:t>15-1921</w:t>
      </w:r>
      <w:r w:rsidRPr="006E11DB">
        <w:rPr>
          <w:rFonts w:eastAsiaTheme="minorHAnsi"/>
        </w:rPr>
        <w:t>-EL-BG</w:t>
      </w:r>
      <w:r w:rsidR="00EA33DF">
        <w:rPr>
          <w:rFonts w:eastAsiaTheme="minorHAnsi"/>
        </w:rPr>
        <w:t>A</w:t>
      </w:r>
    </w:p>
    <w:p w:rsidR="007A2C17" w:rsidRDefault="007A2C17" w:rsidP="007A2C17">
      <w:pPr>
        <w:tabs>
          <w:tab w:val="left" w:pos="4680"/>
          <w:tab w:val="left" w:pos="52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and</w:t>
      </w:r>
      <w:proofErr w:type="gramEnd"/>
      <w:r>
        <w:rPr>
          <w:rFonts w:ascii="Arial" w:eastAsiaTheme="minorHAnsi" w:hAnsi="Arial" w:cs="Arial"/>
        </w:rPr>
        <w:t xml:space="preserve"> Operate a Wind-Powered Electric </w:t>
      </w:r>
      <w:r>
        <w:rPr>
          <w:rFonts w:ascii="Arial" w:eastAsiaTheme="minorHAnsi" w:hAnsi="Arial" w:cs="Arial"/>
        </w:rPr>
        <w:tab/>
        <w:t>)</w:t>
      </w:r>
    </w:p>
    <w:p w:rsidR="007A2C17" w:rsidRPr="006E11DB" w:rsidRDefault="007A2C17" w:rsidP="007A2C17">
      <w:pPr>
        <w:tabs>
          <w:tab w:val="left" w:pos="4680"/>
          <w:tab w:val="left" w:pos="52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 xml:space="preserve">Generation Facility in </w:t>
      </w:r>
      <w:r w:rsidRPr="006E11DB">
        <w:rPr>
          <w:rFonts w:ascii="Arial" w:eastAsiaTheme="minorHAnsi" w:hAnsi="Arial" w:cs="Arial"/>
        </w:rPr>
        <w:t>Huron County, Ohio.</w:t>
      </w:r>
      <w:proofErr w:type="gramEnd"/>
      <w:r>
        <w:rPr>
          <w:rFonts w:ascii="Arial" w:eastAsiaTheme="minorHAnsi" w:hAnsi="Arial" w:cs="Arial"/>
        </w:rPr>
        <w:tab/>
        <w:t>)</w:t>
      </w:r>
    </w:p>
    <w:p w:rsidR="00784FCE" w:rsidRDefault="00784FCE" w:rsidP="00784FCE">
      <w:pPr>
        <w:pStyle w:val="BodyText"/>
        <w:tabs>
          <w:tab w:val="left" w:pos="5040"/>
        </w:tabs>
        <w:rPr>
          <w:rFonts w:eastAsiaTheme="minorHAnsi"/>
        </w:rPr>
      </w:pPr>
    </w:p>
    <w:p w:rsidR="00784FCE" w:rsidRPr="00574BAA" w:rsidRDefault="00784FCE" w:rsidP="00784FCE">
      <w:pPr>
        <w:pStyle w:val="BodyText"/>
        <w:tabs>
          <w:tab w:val="left" w:pos="5040"/>
        </w:tabs>
        <w:rPr>
          <w:rFonts w:eastAsiaTheme="minorHAnsi"/>
        </w:rPr>
      </w:pPr>
    </w:p>
    <w:p w:rsidR="00784FCE" w:rsidRPr="00574BAA" w:rsidRDefault="00784FCE" w:rsidP="00784FCE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smallCaps/>
          <w:sz w:val="20"/>
          <w:szCs w:val="20"/>
        </w:rPr>
      </w:pPr>
    </w:p>
    <w:p w:rsidR="00C93795" w:rsidRDefault="00C93795" w:rsidP="00784FCE">
      <w:pPr>
        <w:pStyle w:val="Heading1"/>
        <w:tabs>
          <w:tab w:val="left" w:pos="7320"/>
        </w:tabs>
        <w:ind w:left="0" w:right="0"/>
        <w:jc w:val="center"/>
        <w:rPr>
          <w:rFonts w:ascii="Arial Bold" w:hAnsi="Arial Bold"/>
          <w:smallCaps/>
        </w:rPr>
      </w:pPr>
      <w:r>
        <w:rPr>
          <w:rFonts w:ascii="Arial Bold" w:hAnsi="Arial Bold"/>
          <w:smallCaps/>
        </w:rPr>
        <w:t>Comments</w:t>
      </w:r>
      <w:r w:rsidR="008B150B">
        <w:rPr>
          <w:rFonts w:ascii="Arial Bold" w:hAnsi="Arial Bold"/>
          <w:smallCaps/>
        </w:rPr>
        <w:t xml:space="preserve"> and </w:t>
      </w:r>
      <w:r>
        <w:rPr>
          <w:rFonts w:ascii="Arial Bold" w:hAnsi="Arial Bold"/>
          <w:smallCaps/>
        </w:rPr>
        <w:t>Objections</w:t>
      </w:r>
    </w:p>
    <w:p w:rsidR="00784FCE" w:rsidRPr="00C93795" w:rsidRDefault="00C93795" w:rsidP="00C93795">
      <w:pPr>
        <w:pStyle w:val="Heading1"/>
        <w:tabs>
          <w:tab w:val="left" w:pos="7320"/>
        </w:tabs>
        <w:ind w:left="0" w:right="0"/>
        <w:jc w:val="center"/>
        <w:rPr>
          <w:rFonts w:ascii="Arial Bold" w:hAnsi="Arial Bold"/>
          <w:smallCaps/>
        </w:rPr>
      </w:pPr>
      <w:r>
        <w:rPr>
          <w:rFonts w:ascii="Arial Bold" w:hAnsi="Arial Bold"/>
          <w:smallCaps/>
        </w:rPr>
        <w:t>of G</w:t>
      </w:r>
      <w:r w:rsidR="005F5EEB">
        <w:rPr>
          <w:rFonts w:ascii="Arial Bold" w:hAnsi="Arial Bold"/>
          <w:smallCaps/>
        </w:rPr>
        <w:t>reenwich Neighbors United</w:t>
      </w:r>
      <w:r w:rsidR="00B85EA9">
        <w:rPr>
          <w:rFonts w:ascii="Arial Bold" w:hAnsi="Arial Bold"/>
          <w:smallCaps/>
        </w:rPr>
        <w:t xml:space="preserve"> (“GNU”)</w:t>
      </w:r>
    </w:p>
    <w:p w:rsidR="00784FCE" w:rsidRPr="00574BAA" w:rsidRDefault="00784FCE" w:rsidP="00784FCE">
      <w:pPr>
        <w:pStyle w:val="Title"/>
        <w:pBdr>
          <w:bottom w:val="single" w:sz="12" w:space="1" w:color="auto"/>
        </w:pBdr>
        <w:rPr>
          <w:sz w:val="20"/>
          <w:szCs w:val="20"/>
          <w:u w:val="single"/>
        </w:rPr>
      </w:pPr>
    </w:p>
    <w:p w:rsidR="00784FCE" w:rsidRDefault="00784FCE" w:rsidP="00784FCE">
      <w:pPr>
        <w:pStyle w:val="Title"/>
        <w:rPr>
          <w:b w:val="0"/>
          <w:sz w:val="24"/>
          <w:u w:val="single"/>
        </w:rPr>
      </w:pPr>
    </w:p>
    <w:p w:rsidR="00784FCE" w:rsidRDefault="00784FCE" w:rsidP="00784FCE">
      <w:pPr>
        <w:pStyle w:val="Title"/>
        <w:rPr>
          <w:b w:val="0"/>
          <w:sz w:val="24"/>
          <w:u w:val="single"/>
        </w:rPr>
      </w:pPr>
    </w:p>
    <w:p w:rsidR="00C93795" w:rsidRDefault="00AC25DE" w:rsidP="00784FCE">
      <w:pPr>
        <w:pStyle w:val="BodyTextIndent"/>
        <w:spacing w:line="480" w:lineRule="auto"/>
      </w:pPr>
      <w:r>
        <w:t xml:space="preserve">On November 16, 2015, Greenwich </w:t>
      </w:r>
      <w:proofErr w:type="spellStart"/>
      <w:r>
        <w:t>Windpark</w:t>
      </w:r>
      <w:proofErr w:type="spellEnd"/>
      <w:r w:rsidR="007A2C17">
        <w:t>,</w:t>
      </w:r>
      <w:r>
        <w:t xml:space="preserve"> LLC (“</w:t>
      </w:r>
      <w:r w:rsidR="00D9774E">
        <w:t>Wind Farm</w:t>
      </w:r>
      <w:r>
        <w:t>”) fi</w:t>
      </w:r>
      <w:r w:rsidR="00C93795">
        <w:t>led an application to amend the certificate sought in Case No. 13-0990-EL-BGN.</w:t>
      </w:r>
      <w:r w:rsidR="00F063EF">
        <w:rPr>
          <w:rStyle w:val="FootnoteReference"/>
        </w:rPr>
        <w:footnoteReference w:id="1"/>
      </w:r>
      <w:r w:rsidR="00C93795">
        <w:t xml:space="preserve">  The amendment application proposes to </w:t>
      </w:r>
      <w:r>
        <w:t xml:space="preserve">expand the types of turbines eligible to be constructed pursuant to </w:t>
      </w:r>
      <w:r w:rsidR="00C93795">
        <w:t xml:space="preserve">the </w:t>
      </w:r>
      <w:r>
        <w:t>certificate</w:t>
      </w:r>
      <w:r w:rsidR="00C93795">
        <w:t xml:space="preserve"> sought in Case No. 13-0990-EL-BGN</w:t>
      </w:r>
      <w:r>
        <w:t>.</w:t>
      </w:r>
      <w:r w:rsidR="00B85EA9">
        <w:rPr>
          <w:rStyle w:val="FootnoteReference"/>
        </w:rPr>
        <w:footnoteReference w:id="2"/>
      </w:r>
      <w:r w:rsidR="00534F93">
        <w:t xml:space="preserve"> The turbines that are the object of the Wind Farm’s current affections include models that are noisier, bigger (thereby affecting setbacks</w:t>
      </w:r>
      <w:r w:rsidR="0030161B">
        <w:t xml:space="preserve"> among other things</w:t>
      </w:r>
      <w:r w:rsidR="00534F93">
        <w:t>) and have higher rotational speeds</w:t>
      </w:r>
      <w:r w:rsidR="00534F93">
        <w:rPr>
          <w:rStyle w:val="FootnoteReference"/>
        </w:rPr>
        <w:footnoteReference w:id="3"/>
      </w:r>
      <w:r w:rsidR="00534F93">
        <w:t xml:space="preserve"> (thereby creating greater ice throw and blade shear risks and exacerbating the prior shadow flicker problems</w:t>
      </w:r>
      <w:r w:rsidR="0030161B">
        <w:t xml:space="preserve"> among other things</w:t>
      </w:r>
      <w:r w:rsidR="00534F93">
        <w:t>).</w:t>
      </w:r>
    </w:p>
    <w:p w:rsidR="00F063EF" w:rsidRPr="005E6715" w:rsidRDefault="008C5EBA" w:rsidP="00F356FD">
      <w:pPr>
        <w:pStyle w:val="HEAD1"/>
        <w:spacing w:after="240"/>
        <w:rPr>
          <w:rFonts w:ascii="Arial Bold" w:hAnsi="Arial Bold"/>
          <w:b w:val="0"/>
          <w:smallCaps/>
        </w:rPr>
      </w:pPr>
      <w:r w:rsidRPr="005E6715">
        <w:rPr>
          <w:rFonts w:ascii="Arial Bold" w:hAnsi="Arial Bold"/>
          <w:smallCaps/>
        </w:rPr>
        <w:t>Due Process</w:t>
      </w:r>
    </w:p>
    <w:p w:rsidR="00064AAB" w:rsidRDefault="007D2C42" w:rsidP="00784FCE">
      <w:pPr>
        <w:pStyle w:val="BodyTextIndent"/>
        <w:spacing w:line="480" w:lineRule="auto"/>
      </w:pPr>
      <w:r>
        <w:t xml:space="preserve">Based on a recent </w:t>
      </w:r>
      <w:r w:rsidR="00C93795">
        <w:t>newspaper notice attached</w:t>
      </w:r>
      <w:r>
        <w:t xml:space="preserve"> hereto</w:t>
      </w:r>
      <w:r w:rsidR="00B85EA9">
        <w:t xml:space="preserve"> as Exhibit A</w:t>
      </w:r>
      <w:r w:rsidR="00C93795">
        <w:t xml:space="preserve">, it appears that the Wind Farm is moving forward based on </w:t>
      </w:r>
      <w:r w:rsidR="0030161B">
        <w:t xml:space="preserve">its </w:t>
      </w:r>
      <w:r w:rsidR="00C93795">
        <w:t xml:space="preserve">view that the application filed in this </w:t>
      </w:r>
      <w:r w:rsidR="00C93795">
        <w:lastRenderedPageBreak/>
        <w:t xml:space="preserve">proceeding is subject to an accelerated approval or expedited </w:t>
      </w:r>
      <w:r w:rsidR="00B85EA9">
        <w:t xml:space="preserve">review </w:t>
      </w:r>
      <w:r w:rsidR="00C93795">
        <w:t xml:space="preserve">process.  However, </w:t>
      </w:r>
      <w:r>
        <w:t xml:space="preserve">the application does not involve any of the types of facilities eligible for an accelerated </w:t>
      </w:r>
      <w:r w:rsidR="0030161B">
        <w:t xml:space="preserve">approval </w:t>
      </w:r>
      <w:r>
        <w:t xml:space="preserve">or expedited process. </w:t>
      </w:r>
    </w:p>
    <w:p w:rsidR="00865AFF" w:rsidRDefault="007D2C42" w:rsidP="00784FCE">
      <w:pPr>
        <w:pStyle w:val="BodyTextIndent"/>
        <w:spacing w:line="480" w:lineRule="auto"/>
      </w:pPr>
      <w:r>
        <w:t xml:space="preserve">As the Ohio Power Siting Board </w:t>
      </w:r>
      <w:r w:rsidR="00B85EA9">
        <w:t xml:space="preserve">(“Board”) </w:t>
      </w:r>
      <w:r>
        <w:t>knows from the hundreds of comments filed in Case No. 13-0990-EL-BGN</w:t>
      </w:r>
      <w:r w:rsidR="00B85EA9">
        <w:t>, including comments of adjoining property owners,</w:t>
      </w:r>
      <w:r>
        <w:t xml:space="preserve"> which express objections and concerns</w:t>
      </w:r>
      <w:r w:rsidR="008C5EBA">
        <w:t>,</w:t>
      </w:r>
      <w:r w:rsidR="00B85EA9">
        <w:rPr>
          <w:rStyle w:val="FootnoteReference"/>
        </w:rPr>
        <w:footnoteReference w:id="4"/>
      </w:r>
      <w:r>
        <w:t xml:space="preserve"> there is strong local opposition </w:t>
      </w:r>
      <w:r w:rsidR="00B85EA9">
        <w:t xml:space="preserve">to </w:t>
      </w:r>
      <w:r>
        <w:t>the Wind Farm’s proposals and intentions.  The comments which have thus far been filed in this proceeding</w:t>
      </w:r>
      <w:r w:rsidR="00B85EA9">
        <w:t>, including the comments of adjoining property owners,</w:t>
      </w:r>
      <w:r>
        <w:t xml:space="preserve"> identify similar concerns and objections and identify aspects of the </w:t>
      </w:r>
      <w:r w:rsidR="00B85EA9">
        <w:t>amendment application that require new studies and evaluations which have not been undertaken</w:t>
      </w:r>
      <w:r w:rsidR="00865AFF">
        <w:t xml:space="preserve"> or submitted by the Wind Farm.</w:t>
      </w:r>
    </w:p>
    <w:p w:rsidR="00865AFF" w:rsidRDefault="00534F93" w:rsidP="00784FCE">
      <w:pPr>
        <w:pStyle w:val="BodyTextIndent"/>
        <w:spacing w:line="480" w:lineRule="auto"/>
      </w:pPr>
      <w:r>
        <w:t xml:space="preserve">As the </w:t>
      </w:r>
      <w:r w:rsidR="008C5EBA">
        <w:t>B</w:t>
      </w:r>
      <w:r>
        <w:t xml:space="preserve">oard also knows, the Wind Farm sought and continues to seek to construct a </w:t>
      </w:r>
      <w:r w:rsidR="00064AAB">
        <w:t xml:space="preserve">wind farm that substantially violates statutory minimum setback requirements and this violation is also generating significant </w:t>
      </w:r>
      <w:r w:rsidR="00F063EF">
        <w:t>local opposition based on the h</w:t>
      </w:r>
      <w:r w:rsidR="00064AAB">
        <w:t>ealth, safety and other concerns reflected in the public comments.</w:t>
      </w:r>
    </w:p>
    <w:p w:rsidR="00064AAB" w:rsidRDefault="00A367F8" w:rsidP="00784FCE">
      <w:pPr>
        <w:pStyle w:val="BodyTextIndent"/>
        <w:spacing w:line="480" w:lineRule="auto"/>
      </w:pPr>
      <w:r>
        <w:t>It is also important to note that an oil products pipeline is to be constructed through the land on which the Wind Farm proposes to construct and operate it</w:t>
      </w:r>
      <w:r w:rsidR="008C5EBA">
        <w:t>s</w:t>
      </w:r>
      <w:r>
        <w:t xml:space="preserve"> electric generating and associated facilities.  This pipeline </w:t>
      </w:r>
      <w:r w:rsidR="00865AFF">
        <w:t xml:space="preserve">and current construction plans were </w:t>
      </w:r>
      <w:r>
        <w:t>not considered in Case No. 13-0990-EL-BGN but this pipeline project is underway and it will affect, pursuant to the minimum setback requirements that are already specified in the certi</w:t>
      </w:r>
      <w:r w:rsidR="00C901AA">
        <w:t>ficate issued in Case No. 13-099</w:t>
      </w:r>
      <w:r>
        <w:t>0-EL-BGN, the ability of the Wind Farm to locate and operate turbines and associated facilities.</w:t>
      </w:r>
    </w:p>
    <w:p w:rsidR="00865AFF" w:rsidRDefault="008E771B" w:rsidP="00784FCE">
      <w:pPr>
        <w:pStyle w:val="BodyTextIndent"/>
        <w:spacing w:line="480" w:lineRule="auto"/>
      </w:pPr>
      <w:r>
        <w:lastRenderedPageBreak/>
        <w:t xml:space="preserve">If the Board does not reject the application filed in this proceeding as requested below, GNU urges the Board to follow a process that will ensure a full and complete evaluation of the </w:t>
      </w:r>
      <w:r w:rsidR="00865AFF">
        <w:t xml:space="preserve">amendment </w:t>
      </w:r>
      <w:r>
        <w:t xml:space="preserve">application.  </w:t>
      </w:r>
      <w:r w:rsidR="00064AAB">
        <w:t xml:space="preserve">To avoid the </w:t>
      </w:r>
      <w:r w:rsidR="00F063EF">
        <w:t xml:space="preserve">type of </w:t>
      </w:r>
      <w:r w:rsidR="00064AAB">
        <w:t>confusion created by the newspaper notice referenced above and to provide for a process that is capable of carefully examining the impacts of the Wind Farm’s proposals</w:t>
      </w:r>
      <w:r w:rsidR="00A367F8">
        <w:t xml:space="preserve"> based on current facts </w:t>
      </w:r>
      <w:r w:rsidR="008C5EBA">
        <w:t xml:space="preserve">and </w:t>
      </w:r>
      <w:r w:rsidR="00A367F8">
        <w:t>circumstances</w:t>
      </w:r>
      <w:r w:rsidR="00064AAB">
        <w:t>, GNU urges the Board to</w:t>
      </w:r>
      <w:r w:rsidR="00F063EF">
        <w:t xml:space="preserve"> </w:t>
      </w:r>
      <w:r w:rsidR="00D33E84">
        <w:t xml:space="preserve">find that </w:t>
      </w:r>
      <w:r w:rsidR="00F063EF">
        <w:t xml:space="preserve">the Wind Farm </w:t>
      </w:r>
      <w:r w:rsidR="00D33E84">
        <w:t xml:space="preserve">must follow </w:t>
      </w:r>
      <w:r w:rsidR="00F063EF">
        <w:t>a full and complete certificate application process</w:t>
      </w:r>
      <w:r w:rsidR="00D33E84">
        <w:t xml:space="preserve">.  The process followed in this proceeding should and must provide for the submission of studies and information in accordance with all the requirements in </w:t>
      </w:r>
      <w:r w:rsidR="008C5EBA">
        <w:t xml:space="preserve">the </w:t>
      </w:r>
      <w:r w:rsidR="00D33E84">
        <w:t xml:space="preserve">Board’s rules identifying the filing requirements applicable to certificate applications submitted by a wind-powered electric generating facility.  The Wind Farm should not be permitted to </w:t>
      </w:r>
      <w:r w:rsidR="008F1646">
        <w:t xml:space="preserve">rely on </w:t>
      </w:r>
      <w:r w:rsidR="00865AFF">
        <w:t xml:space="preserve">now-outdated </w:t>
      </w:r>
      <w:r w:rsidR="008F1646">
        <w:t xml:space="preserve">information filed in Case No. 13-0990-EL-BGN (as it is attempting to do) when it is now proposing to use completely different turbines having completely different heights, dimensions and operating characteristics. </w:t>
      </w:r>
      <w:r w:rsidR="00A367F8">
        <w:t xml:space="preserve"> </w:t>
      </w:r>
      <w:r w:rsidR="008F1646">
        <w:t xml:space="preserve">Based on the </w:t>
      </w:r>
      <w:r w:rsidR="00865AFF">
        <w:t xml:space="preserve">very </w:t>
      </w:r>
      <w:r w:rsidR="008F1646">
        <w:t>limited information that the Wind Farm has submitted, the sound and shadow flicker production of the new turbines violate limits that the Board has already specified in Case 13-0990-EL-BGN and the public comments filed in this proceeding show good reasons why the Board must require the Wind Farm to perform a new study to</w:t>
      </w:r>
      <w:r w:rsidR="00A367F8">
        <w:t>, among other things,</w:t>
      </w:r>
      <w:r w:rsidR="008F1646">
        <w:t xml:space="preserve"> </w:t>
      </w:r>
      <w:r w:rsidR="0030161B">
        <w:t>identify ambient sound levels.</w:t>
      </w:r>
    </w:p>
    <w:p w:rsidR="008F1646" w:rsidRDefault="008F1646" w:rsidP="00784FCE">
      <w:pPr>
        <w:pStyle w:val="BodyTextIndent"/>
        <w:spacing w:line="480" w:lineRule="auto"/>
      </w:pPr>
      <w:r>
        <w:t xml:space="preserve">The full and complete process established in this proceeding should also include </w:t>
      </w:r>
      <w:r w:rsidR="00F063EF">
        <w:t>public informational meetings, a local public hearing set at a time that will allow for meaningful participation</w:t>
      </w:r>
      <w:r w:rsidR="00D33E84">
        <w:t xml:space="preserve"> and an evidentiary hearing.</w:t>
      </w:r>
      <w:r w:rsidR="00A367F8">
        <w:t xml:space="preserve">  The full and complete process should take into account the </w:t>
      </w:r>
      <w:r w:rsidR="008E771B">
        <w:t xml:space="preserve">new </w:t>
      </w:r>
      <w:r w:rsidR="00A367F8">
        <w:t xml:space="preserve">oil products pipeline that will run through the land that </w:t>
      </w:r>
      <w:r w:rsidR="00A367F8">
        <w:lastRenderedPageBreak/>
        <w:t xml:space="preserve">the Wind Farm </w:t>
      </w:r>
      <w:r w:rsidR="00E26250">
        <w:t>proposes to use to erect and operate its wind-powered electric generating and associated facilities.</w:t>
      </w:r>
    </w:p>
    <w:p w:rsidR="008F1646" w:rsidRPr="005E6715" w:rsidRDefault="008C5EBA" w:rsidP="00F356FD">
      <w:pPr>
        <w:pStyle w:val="HEAD1"/>
        <w:spacing w:after="240"/>
        <w:rPr>
          <w:rFonts w:ascii="Arial Bold" w:hAnsi="Arial Bold"/>
          <w:b w:val="0"/>
          <w:smallCaps/>
        </w:rPr>
      </w:pPr>
      <w:r w:rsidRPr="005E6715">
        <w:rPr>
          <w:rFonts w:ascii="Arial Bold" w:hAnsi="Arial Bold"/>
          <w:smallCaps/>
        </w:rPr>
        <w:t>Setbacks</w:t>
      </w:r>
      <w:r w:rsidR="00B650B8">
        <w:rPr>
          <w:rFonts w:ascii="Arial Bold" w:hAnsi="Arial Bold"/>
          <w:smallCaps/>
        </w:rPr>
        <w:t xml:space="preserve"> – The Application Must be Rejected</w:t>
      </w:r>
    </w:p>
    <w:p w:rsidR="008E771B" w:rsidRDefault="00B95466" w:rsidP="008F1646">
      <w:pPr>
        <w:pStyle w:val="BodyTextIndent"/>
        <w:spacing w:line="480" w:lineRule="auto"/>
        <w:ind w:firstLine="0"/>
      </w:pPr>
      <w:r w:rsidRPr="00B95466">
        <w:tab/>
      </w:r>
      <w:r w:rsidR="00C901AA">
        <w:t>R.C. </w:t>
      </w:r>
      <w:r>
        <w:t>4906.201 states that “[a]</w:t>
      </w:r>
      <w:proofErr w:type="spellStart"/>
      <w:r>
        <w:t>ny</w:t>
      </w:r>
      <w:proofErr w:type="spellEnd"/>
      <w:r>
        <w:t xml:space="preserve"> amendment made to an existing certificate after the effective date of the amendment of this section by H.B. </w:t>
      </w:r>
      <w:r w:rsidR="008C5EBA">
        <w:t xml:space="preserve">483 </w:t>
      </w:r>
      <w:r>
        <w:t>of the 130</w:t>
      </w:r>
      <w:r w:rsidR="008C5EBA">
        <w:t>th</w:t>
      </w:r>
      <w:r>
        <w:t xml:space="preserve"> general </w:t>
      </w:r>
      <w:proofErr w:type="gramStart"/>
      <w:r>
        <w:t>assembly,</w:t>
      </w:r>
      <w:proofErr w:type="gramEnd"/>
      <w:r>
        <w:t xml:space="preserve"> shall be subject to the setback provision of this section</w:t>
      </w:r>
      <w:r w:rsidR="00C901AA">
        <w:t xml:space="preserve"> as amended by that act.”  R.C. </w:t>
      </w:r>
      <w:r>
        <w:t>4906.201 also states that the minimum setbacks contained</w:t>
      </w:r>
      <w:r w:rsidR="00C901AA">
        <w:t xml:space="preserve"> in R.C. </w:t>
      </w:r>
      <w:r w:rsidR="00E26250">
        <w:t>4906.20(B</w:t>
      </w:r>
      <w:proofErr w:type="gramStart"/>
      <w:r w:rsidR="00E26250">
        <w:t>)(</w:t>
      </w:r>
      <w:proofErr w:type="gramEnd"/>
      <w:r w:rsidR="00E26250">
        <w:t>2) a</w:t>
      </w:r>
      <w:r w:rsidR="00D6462B">
        <w:t xml:space="preserve">re applicable to </w:t>
      </w:r>
      <w:r w:rsidR="00E26250">
        <w:t xml:space="preserve">facilities </w:t>
      </w:r>
      <w:r>
        <w:t>of the size proposed by the Wind Farm.</w:t>
      </w:r>
      <w:r w:rsidR="00655F7F">
        <w:t xml:space="preserve">  Thus, the Wind Farm’s amendment triggers the application of the current minimum setback requirements in R.C. 4906.20.  </w:t>
      </w:r>
      <w:r w:rsidR="00865AFF">
        <w:t>As noted above, the size, operating characteristics and dimensions of the proposed new turbines affect the computation of t</w:t>
      </w:r>
      <w:r w:rsidR="00976879">
        <w:t>he minimum setback requirem</w:t>
      </w:r>
      <w:r w:rsidR="00865AFF">
        <w:t>ents.</w:t>
      </w:r>
    </w:p>
    <w:p w:rsidR="008F1646" w:rsidRDefault="00113EBF" w:rsidP="008E771B">
      <w:pPr>
        <w:pStyle w:val="BodyTextIndent"/>
        <w:spacing w:line="480" w:lineRule="auto"/>
      </w:pPr>
      <w:r>
        <w:t xml:space="preserve">But the Board cannot discharge its </w:t>
      </w:r>
      <w:r w:rsidR="00D6462B">
        <w:t xml:space="preserve">public interest </w:t>
      </w:r>
      <w:r>
        <w:t>duties by simply resorting to the minimum setback requirements.</w:t>
      </w:r>
    </w:p>
    <w:p w:rsidR="00F47E9C" w:rsidRDefault="0030161B" w:rsidP="00113EBF">
      <w:pPr>
        <w:pStyle w:val="BodyTextIndent"/>
        <w:spacing w:line="480" w:lineRule="auto"/>
      </w:pPr>
      <w:r>
        <w:t xml:space="preserve">The Board must </w:t>
      </w:r>
      <w:r w:rsidR="00113EBF" w:rsidRPr="00655F7F">
        <w:t>establish reasonable setbacks</w:t>
      </w:r>
      <w:r w:rsidR="00865AFF">
        <w:t xml:space="preserve"> guided by such things as its obligation to ensure “minimum adverse environmental impact” [R.C. 4906.10(A</w:t>
      </w:r>
      <w:proofErr w:type="gramStart"/>
      <w:r w:rsidR="00865AFF">
        <w:t>)(</w:t>
      </w:r>
      <w:proofErr w:type="gramEnd"/>
      <w:r w:rsidR="00865AFF">
        <w:t>3)] and “[t]hat the facility will serve the public interest” [R.C. 4906.10(A)(6)]</w:t>
      </w:r>
      <w:r w:rsidR="00F47E9C">
        <w:t>.  In cases such as this one where a proposed wind farm may affect the viability of agricultural land located in an agricultural district, the Board has additional obligations to evaluate impacts [R.C. 4906.10(A</w:t>
      </w:r>
      <w:proofErr w:type="gramStart"/>
      <w:r w:rsidR="00F47E9C">
        <w:t>)(</w:t>
      </w:r>
      <w:proofErr w:type="gramEnd"/>
      <w:r w:rsidR="00F47E9C">
        <w:t>7)].  T</w:t>
      </w:r>
      <w:r w:rsidR="00E26250">
        <w:t xml:space="preserve">he General Assembly has </w:t>
      </w:r>
      <w:r w:rsidR="00F47E9C">
        <w:t xml:space="preserve">set the minimum setback requirements and has directed </w:t>
      </w:r>
      <w:r w:rsidR="00E26250">
        <w:t xml:space="preserve">the Board to </w:t>
      </w:r>
      <w:r w:rsidR="00F47E9C">
        <w:t xml:space="preserve">consider what must be added to the minimum setback to protect the public interest, health and safety.  </w:t>
      </w:r>
    </w:p>
    <w:p w:rsidR="00113EBF" w:rsidRDefault="00113EBF" w:rsidP="00113EBF">
      <w:pPr>
        <w:pStyle w:val="BodyTextIndent"/>
        <w:spacing w:line="480" w:lineRule="auto"/>
      </w:pPr>
      <w:r w:rsidRPr="00655F7F">
        <w:lastRenderedPageBreak/>
        <w:t>The establishment of a reasonable setback is dictated by the facts and circumstances in a particular case.  Th</w:t>
      </w:r>
      <w:r>
        <w:t xml:space="preserve">us, </w:t>
      </w:r>
      <w:r w:rsidR="008E771B">
        <w:t xml:space="preserve">the </w:t>
      </w:r>
      <w:r w:rsidRPr="00655F7F">
        <w:t xml:space="preserve">Board cannot discharge its statutory duties by </w:t>
      </w:r>
      <w:r>
        <w:t xml:space="preserve">simply </w:t>
      </w:r>
      <w:r w:rsidRPr="00655F7F">
        <w:t xml:space="preserve">defaulting to the minimum setback requirements and </w:t>
      </w:r>
      <w:r>
        <w:t xml:space="preserve">evading an examination </w:t>
      </w:r>
      <w:r w:rsidR="00D6462B">
        <w:t xml:space="preserve">of </w:t>
      </w:r>
      <w:r>
        <w:t xml:space="preserve">the facts and circumstances that must be considered to </w:t>
      </w:r>
      <w:r w:rsidR="00D6462B">
        <w:t xml:space="preserve">establish </w:t>
      </w:r>
      <w:r w:rsidRPr="00655F7F">
        <w:t>reasonable setback requirement</w:t>
      </w:r>
      <w:r w:rsidR="00D6462B">
        <w:t>s</w:t>
      </w:r>
      <w:r w:rsidRPr="00655F7F">
        <w:t xml:space="preserve">.  </w:t>
      </w:r>
      <w:r>
        <w:t>As evidenced by the turbine manufacturer</w:t>
      </w:r>
      <w:r w:rsidR="00C901AA">
        <w:t>’s</w:t>
      </w:r>
      <w:r>
        <w:t xml:space="preserve"> safety manual filed by the Wind Farm in Case </w:t>
      </w:r>
      <w:r w:rsidR="008C5EBA">
        <w:t>N</w:t>
      </w:r>
      <w:r>
        <w:t>o</w:t>
      </w:r>
      <w:r w:rsidR="008C5EBA">
        <w:t>.</w:t>
      </w:r>
      <w:r>
        <w:t xml:space="preserve"> 13-0990-EL-BGN, the minimum statutory setback requirement applicable to the application in that case was and is not adequate to responsibly deal with turbine fire</w:t>
      </w:r>
      <w:r w:rsidR="00C901AA">
        <w:t>-</w:t>
      </w:r>
      <w:r>
        <w:t xml:space="preserve">related risks.  But, in any event, the Board’s duty to establish a reasonable setback requirement </w:t>
      </w:r>
      <w:r w:rsidR="008E771B">
        <w:t>(</w:t>
      </w:r>
      <w:r>
        <w:t>no less than the statutory minimum</w:t>
      </w:r>
      <w:r w:rsidR="008E771B">
        <w:t>)</w:t>
      </w:r>
      <w:r>
        <w:t xml:space="preserve"> requires that the Board follow a full and complete certificate application process as requested by GNU</w:t>
      </w:r>
      <w:r w:rsidR="008E771B">
        <w:t xml:space="preserve"> </w:t>
      </w:r>
      <w:r w:rsidR="00F47E9C">
        <w:t>(</w:t>
      </w:r>
      <w:r w:rsidR="008E771B">
        <w:t xml:space="preserve">if the Board does not reject the application </w:t>
      </w:r>
      <w:r w:rsidR="00F47E9C">
        <w:t xml:space="preserve">-- </w:t>
      </w:r>
      <w:r w:rsidR="008E771B">
        <w:t>as requested below)</w:t>
      </w:r>
      <w:r>
        <w:t xml:space="preserve">.  </w:t>
      </w:r>
    </w:p>
    <w:p w:rsidR="00113EBF" w:rsidRDefault="00113EBF" w:rsidP="008F1646">
      <w:pPr>
        <w:pStyle w:val="BodyTextIndent"/>
        <w:spacing w:line="480" w:lineRule="auto"/>
        <w:ind w:firstLine="0"/>
      </w:pPr>
      <w:r>
        <w:tab/>
        <w:t>The Wind Farm’s application in thi</w:t>
      </w:r>
      <w:r w:rsidR="008B150B">
        <w:t xml:space="preserve">s proceeding indicates that </w:t>
      </w:r>
      <w:r w:rsidR="008E771B">
        <w:t xml:space="preserve">the Wind Farm’s project (as modified to include the new turbines) </w:t>
      </w:r>
      <w:r w:rsidR="008B150B">
        <w:t>continues to substantially violate the minimum setback requirements.  As the Board has a</w:t>
      </w:r>
      <w:r w:rsidR="008C5EBA">
        <w:t>lready held in Case No. 13</w:t>
      </w:r>
      <w:r w:rsidR="008C5EBA">
        <w:noBreakHyphen/>
        <w:t>0990</w:t>
      </w:r>
      <w:r w:rsidR="008C5EBA">
        <w:noBreakHyphen/>
      </w:r>
      <w:r w:rsidR="008B150B">
        <w:t>EL</w:t>
      </w:r>
      <w:r w:rsidR="008C5EBA">
        <w:noBreakHyphen/>
      </w:r>
      <w:r w:rsidR="008B150B">
        <w:t>BGN, the Board has no authority to permit the Wind Farm to evade the minimum setback requirements</w:t>
      </w:r>
      <w:r w:rsidR="00E26250">
        <w:t>.  That holding applies regardless of</w:t>
      </w:r>
      <w:r w:rsidR="008B150B">
        <w:t xml:space="preserve"> whether that evasion is </w:t>
      </w:r>
      <w:r w:rsidR="00E26250">
        <w:t xml:space="preserve">documented </w:t>
      </w:r>
      <w:r w:rsidR="008B150B">
        <w:t>in an initial certificate application or in an application to amend a certificate</w:t>
      </w:r>
      <w:r w:rsidR="00E26250">
        <w:t>.</w:t>
      </w:r>
      <w:r w:rsidR="00D6462B">
        <w:t xml:space="preserve">  And, when the Board determines that a setback greater than the minimum is warranted, as GNU believes the Board must find in this case</w:t>
      </w:r>
      <w:r w:rsidR="00F47E9C">
        <w:t xml:space="preserve"> should it proceed</w:t>
      </w:r>
      <w:r w:rsidR="00D6462B">
        <w:t>, the Wind Farm may not evade the Board</w:t>
      </w:r>
      <w:r w:rsidR="008C5EBA">
        <w:t>-</w:t>
      </w:r>
      <w:r w:rsidR="00D6462B">
        <w:t>specified reasonable setbacks by securing waivers from adjoining property owners.  R.C. 4906.20(B</w:t>
      </w:r>
      <w:proofErr w:type="gramStart"/>
      <w:r w:rsidR="00D6462B">
        <w:t>)(</w:t>
      </w:r>
      <w:proofErr w:type="gramEnd"/>
      <w:r w:rsidR="00D6462B">
        <w:t>2)(c).</w:t>
      </w:r>
    </w:p>
    <w:p w:rsidR="00D6462B" w:rsidRDefault="008B150B" w:rsidP="008F1646">
      <w:pPr>
        <w:pStyle w:val="BodyTextIndent"/>
        <w:spacing w:line="480" w:lineRule="auto"/>
        <w:ind w:firstLine="0"/>
      </w:pPr>
      <w:r>
        <w:tab/>
        <w:t>To this point</w:t>
      </w:r>
      <w:r w:rsidR="008C5EBA">
        <w:t>,</w:t>
      </w:r>
      <w:r>
        <w:t xml:space="preserve"> the Wind Farm has claimed that it has secured all the necessary waivers that it must secure from property owners adjoining the wind farm property to </w:t>
      </w:r>
      <w:r>
        <w:lastRenderedPageBreak/>
        <w:t xml:space="preserve">permit it to evade the minimum setback requirements. </w:t>
      </w:r>
      <w:r w:rsidR="009501C1">
        <w:t xml:space="preserve"> </w:t>
      </w:r>
      <w:r w:rsidR="00E26250">
        <w:t xml:space="preserve">The comments filed in Case No. 13-0990-EL-BGN and the comments filed in this proceeding </w:t>
      </w:r>
      <w:r w:rsidR="008E771B">
        <w:t xml:space="preserve">(incorporated herein by reference) </w:t>
      </w:r>
      <w:r w:rsidR="00F47E9C">
        <w:t>demonstrate that many</w:t>
      </w:r>
      <w:r w:rsidR="00E26250">
        <w:t xml:space="preserve"> owne</w:t>
      </w:r>
      <w:r w:rsidR="00F47E9C">
        <w:t xml:space="preserve">rs of property that have been identified by the Wind Farm as adjoining property owners </w:t>
      </w:r>
      <w:r w:rsidR="0030161B">
        <w:t xml:space="preserve">are </w:t>
      </w:r>
      <w:r w:rsidR="00E26250">
        <w:t>object</w:t>
      </w:r>
      <w:r w:rsidR="0030161B">
        <w:t>ing</w:t>
      </w:r>
      <w:r w:rsidR="00E26250">
        <w:t xml:space="preserve"> </w:t>
      </w:r>
      <w:r w:rsidR="009501C1">
        <w:t xml:space="preserve">to the project </w:t>
      </w:r>
      <w:r w:rsidR="00E26250">
        <w:t xml:space="preserve">and that the Wind Farm has not secured </w:t>
      </w:r>
      <w:r w:rsidR="00D6462B">
        <w:t xml:space="preserve">the </w:t>
      </w:r>
      <w:r w:rsidR="00E26250">
        <w:t xml:space="preserve">waivers </w:t>
      </w:r>
      <w:r w:rsidR="00D6462B">
        <w:t xml:space="preserve">it must secure to evade </w:t>
      </w:r>
      <w:r w:rsidR="00E26250">
        <w:t>the minimum setback requirement</w:t>
      </w:r>
      <w:r w:rsidR="008E771B">
        <w:t>s.</w:t>
      </w:r>
    </w:p>
    <w:p w:rsidR="00D6462B" w:rsidRDefault="00D6462B" w:rsidP="00D6462B">
      <w:pPr>
        <w:pStyle w:val="BodyTextIndent"/>
        <w:spacing w:line="480" w:lineRule="auto"/>
      </w:pPr>
      <w:r>
        <w:t xml:space="preserve">Additionally, </w:t>
      </w:r>
      <w:r w:rsidR="008B150B">
        <w:t xml:space="preserve">any waivers the Wind Farm may have obtained could not be based on the current minimum setback requirements </w:t>
      </w:r>
      <w:r w:rsidR="00082164">
        <w:t>(</w:t>
      </w:r>
      <w:r w:rsidR="008B150B">
        <w:t>the application of which has been triggered by the amendment application</w:t>
      </w:r>
      <w:r w:rsidR="00082164">
        <w:t>)</w:t>
      </w:r>
      <w:r w:rsidR="008B150B">
        <w:t xml:space="preserve"> and any lawfully obtained waivers </w:t>
      </w:r>
      <w:r w:rsidR="00082164">
        <w:t xml:space="preserve">can only be secured, pursuant to </w:t>
      </w:r>
      <w:r w:rsidR="008C5EBA">
        <w:t>R.C. </w:t>
      </w:r>
      <w:r w:rsidR="00082164">
        <w:t>4906.20(B</w:t>
      </w:r>
      <w:proofErr w:type="gramStart"/>
      <w:r w:rsidR="00082164">
        <w:t>)(</w:t>
      </w:r>
      <w:proofErr w:type="gramEnd"/>
      <w:r w:rsidR="00082164">
        <w:t xml:space="preserve">2)(c), by following a procedure the Board must establish by rule.  The Board has never established any rule specifying the procedure by which a minimum setback waiver may be secured.  </w:t>
      </w:r>
    </w:p>
    <w:p w:rsidR="008F1646" w:rsidRDefault="00082164" w:rsidP="00D6462B">
      <w:pPr>
        <w:pStyle w:val="BodyTextIndent"/>
        <w:spacing w:line="480" w:lineRule="auto"/>
      </w:pPr>
      <w:r>
        <w:t>Thus</w:t>
      </w:r>
      <w:r w:rsidR="008C5EBA">
        <w:t>,</w:t>
      </w:r>
      <w:r>
        <w:t xml:space="preserve"> any setback waivers that the Wind Farm may have obtained cannot, as a matter of law, license evasion of the minimum setback requirements, requirements which the Board has no authority to waive.</w:t>
      </w:r>
    </w:p>
    <w:p w:rsidR="00082164" w:rsidRPr="00B95466" w:rsidRDefault="00082164" w:rsidP="008F1646">
      <w:pPr>
        <w:pStyle w:val="BodyTextIndent"/>
        <w:spacing w:line="480" w:lineRule="auto"/>
        <w:ind w:firstLine="0"/>
      </w:pPr>
      <w:r>
        <w:tab/>
        <w:t xml:space="preserve">In any event and even if the Board had adopted a rule establishing the procedure by which the Wind Farm might </w:t>
      </w:r>
      <w:r w:rsidR="00E26250">
        <w:t xml:space="preserve">lawfully </w:t>
      </w:r>
      <w:r>
        <w:t>secure waivers from the minimum setback requirements, the Wind Farm has made no showing that it has secured waivers from all property owners adjoin</w:t>
      </w:r>
      <w:r w:rsidR="00A367F8">
        <w:t>ing</w:t>
      </w:r>
      <w:r>
        <w:t xml:space="preserve"> the Wind Farm property.</w:t>
      </w:r>
      <w:r w:rsidR="009501C1">
        <w:t xml:space="preserve">  And it has made no effort to show that the minimum setback requirements are reasonable based on the </w:t>
      </w:r>
      <w:r w:rsidR="00F47E9C">
        <w:t xml:space="preserve">relevant </w:t>
      </w:r>
      <w:r w:rsidR="009501C1">
        <w:t>facts and circumstances.  The information which the Wind Farm has submitted in this case and in Case No. 13-0990-EL-BGN demonstrates that the minimum setback requirements do not contain sufficient setback distances to protect the public interest</w:t>
      </w:r>
      <w:r w:rsidR="006A1C27">
        <w:t xml:space="preserve">, </w:t>
      </w:r>
      <w:r w:rsidR="009501C1">
        <w:t>health</w:t>
      </w:r>
      <w:r w:rsidR="006A1C27">
        <w:t xml:space="preserve"> and</w:t>
      </w:r>
      <w:r w:rsidR="009501C1">
        <w:t xml:space="preserve"> safety.</w:t>
      </w:r>
    </w:p>
    <w:p w:rsidR="008F1646" w:rsidRPr="00B95466" w:rsidRDefault="008F1646" w:rsidP="008F1646">
      <w:pPr>
        <w:pStyle w:val="BodyTextIndent"/>
        <w:spacing w:line="480" w:lineRule="auto"/>
        <w:ind w:firstLine="0"/>
      </w:pPr>
      <w:r w:rsidRPr="00B95466">
        <w:lastRenderedPageBreak/>
        <w:tab/>
      </w:r>
      <w:r w:rsidR="00A367F8">
        <w:t>Accordingly</w:t>
      </w:r>
      <w:r w:rsidR="00C901AA">
        <w:t>,</w:t>
      </w:r>
      <w:r w:rsidR="00A367F8">
        <w:t xml:space="preserve"> the Board must reject</w:t>
      </w:r>
      <w:r w:rsidR="00D6462B">
        <w:t>, as a matter of law,</w:t>
      </w:r>
      <w:r w:rsidR="00A367F8">
        <w:t xml:space="preserve"> the Wind Farm’s application to amend the certificate issued in Case No. 13-0990-EL-BGN</w:t>
      </w:r>
      <w:r w:rsidR="009501C1">
        <w:t>, a certificate that GNU believes should have never been issued in the first place</w:t>
      </w:r>
      <w:r w:rsidR="00A367F8">
        <w:t>.</w:t>
      </w:r>
    </w:p>
    <w:p w:rsidR="009501C1" w:rsidRPr="005E6715" w:rsidRDefault="008C5EBA" w:rsidP="00F356FD">
      <w:pPr>
        <w:pStyle w:val="HEAD1"/>
        <w:spacing w:after="240"/>
        <w:rPr>
          <w:rFonts w:ascii="Arial Bold" w:hAnsi="Arial Bold"/>
          <w:b w:val="0"/>
          <w:smallCaps/>
        </w:rPr>
      </w:pPr>
      <w:r w:rsidRPr="005E6715">
        <w:rPr>
          <w:rFonts w:ascii="Arial Bold" w:hAnsi="Arial Bold"/>
          <w:smallCaps/>
        </w:rPr>
        <w:t>The Ohio Farm Bureau Federation</w:t>
      </w:r>
    </w:p>
    <w:p w:rsidR="006A1C27" w:rsidRDefault="006A1C27" w:rsidP="006A1C27">
      <w:pPr>
        <w:tabs>
          <w:tab w:val="left" w:pos="810"/>
          <w:tab w:val="right" w:pos="86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Ohio Farm Bureau Federation (“Farm Bureau”) has sought permission to intervene in this proceeding claiming that it represents the interest of farmers.  Many of GNU’s members are farmers and </w:t>
      </w:r>
      <w:r w:rsidR="00976879">
        <w:rPr>
          <w:rFonts w:ascii="Arial" w:hAnsi="Arial" w:cs="Arial"/>
        </w:rPr>
        <w:t xml:space="preserve">long-standing </w:t>
      </w:r>
      <w:r>
        <w:rPr>
          <w:rFonts w:ascii="Arial" w:hAnsi="Arial" w:cs="Arial"/>
        </w:rPr>
        <w:t xml:space="preserve">members of the Huron County Farm Bureau as well </w:t>
      </w:r>
      <w:r w:rsidR="00976879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Farm Bureau.  </w:t>
      </w:r>
      <w:r w:rsidR="0030161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Farm Bureau </w:t>
      </w:r>
      <w:r w:rsidR="00976879">
        <w:rPr>
          <w:rFonts w:ascii="Arial" w:hAnsi="Arial" w:cs="Arial"/>
        </w:rPr>
        <w:t xml:space="preserve">does </w:t>
      </w:r>
      <w:r w:rsidR="00C901AA">
        <w:rPr>
          <w:rFonts w:ascii="Arial" w:hAnsi="Arial" w:cs="Arial"/>
        </w:rPr>
        <w:t xml:space="preserve">not </w:t>
      </w:r>
      <w:r w:rsidR="00976879">
        <w:rPr>
          <w:rFonts w:ascii="Arial" w:hAnsi="Arial" w:cs="Arial"/>
        </w:rPr>
        <w:t xml:space="preserve">and cannot speak for </w:t>
      </w:r>
      <w:r>
        <w:rPr>
          <w:rFonts w:ascii="Arial" w:hAnsi="Arial" w:cs="Arial"/>
        </w:rPr>
        <w:t xml:space="preserve">or represent the interests of the farmers </w:t>
      </w:r>
      <w:r w:rsidR="00976879">
        <w:rPr>
          <w:rFonts w:ascii="Arial" w:hAnsi="Arial" w:cs="Arial"/>
        </w:rPr>
        <w:t xml:space="preserve">located in and around Greenwich, Ohio </w:t>
      </w:r>
      <w:r>
        <w:rPr>
          <w:rFonts w:ascii="Arial" w:hAnsi="Arial" w:cs="Arial"/>
        </w:rPr>
        <w:t xml:space="preserve">who </w:t>
      </w:r>
      <w:r w:rsidR="00976879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banded </w:t>
      </w:r>
      <w:r w:rsidR="00976879">
        <w:rPr>
          <w:rFonts w:ascii="Arial" w:hAnsi="Arial" w:cs="Arial"/>
        </w:rPr>
        <w:t xml:space="preserve">together with other local citizens </w:t>
      </w:r>
      <w:r>
        <w:rPr>
          <w:rFonts w:ascii="Arial" w:hAnsi="Arial" w:cs="Arial"/>
        </w:rPr>
        <w:t>through GNU to protect their legitimate interests, their agricultural businesses</w:t>
      </w:r>
      <w:r w:rsidR="0030161B">
        <w:rPr>
          <w:rFonts w:ascii="Arial" w:hAnsi="Arial" w:cs="Arial"/>
        </w:rPr>
        <w:t>, their community</w:t>
      </w:r>
      <w:r>
        <w:rPr>
          <w:rFonts w:ascii="Arial" w:hAnsi="Arial" w:cs="Arial"/>
        </w:rPr>
        <w:t xml:space="preserve"> and their property rights.</w:t>
      </w:r>
      <w:r w:rsidR="00976879">
        <w:rPr>
          <w:rFonts w:ascii="Arial" w:hAnsi="Arial" w:cs="Arial"/>
        </w:rPr>
        <w:t xml:space="preserve">  </w:t>
      </w:r>
    </w:p>
    <w:p w:rsidR="006A1C27" w:rsidRDefault="006A1C27" w:rsidP="00784FCE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784FCE" w:rsidRDefault="00784FCE" w:rsidP="00784FCE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Respectfully submitted,</w:t>
      </w:r>
    </w:p>
    <w:p w:rsidR="00784FCE" w:rsidRDefault="00784FCE" w:rsidP="00784FCE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784FCE" w:rsidRDefault="00784FCE" w:rsidP="00784FCE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/s/ Samuel C. Randazzo</w:t>
      </w:r>
      <w:r>
        <w:rPr>
          <w:rFonts w:ascii="Arial" w:hAnsi="Arial" w:cs="Arial"/>
          <w:i/>
          <w:u w:val="single"/>
        </w:rPr>
        <w:tab/>
      </w:r>
    </w:p>
    <w:p w:rsidR="00784FCE" w:rsidRDefault="00784FCE" w:rsidP="00784FCE">
      <w:pPr>
        <w:tabs>
          <w:tab w:val="left" w:pos="720"/>
          <w:tab w:val="left" w:pos="4320"/>
          <w:tab w:val="right" w:pos="8640"/>
        </w:tabs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Samuel C. Randazzo (Reg. No. 0016386)</w:t>
      </w:r>
    </w:p>
    <w:p w:rsidR="00784FCE" w:rsidRDefault="00784FCE" w:rsidP="00784FCE">
      <w:pPr>
        <w:tabs>
          <w:tab w:val="left" w:pos="720"/>
          <w:tab w:val="left" w:pos="4320"/>
          <w:tab w:val="right" w:pos="8640"/>
        </w:tabs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 xml:space="preserve">  (Counsel of Record) </w:t>
      </w:r>
    </w:p>
    <w:p w:rsidR="00784FCE" w:rsidRDefault="00784FCE" w:rsidP="00784FCE">
      <w:pPr>
        <w:widowControl w:val="0"/>
        <w:tabs>
          <w:tab w:val="left" w:pos="4320"/>
        </w:tabs>
        <w:ind w:left="432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Scott E. Elisar (Reg. No. 0081877)</w:t>
      </w:r>
    </w:p>
    <w:p w:rsidR="00784FCE" w:rsidRDefault="00784FCE" w:rsidP="00784FCE">
      <w:pPr>
        <w:widowControl w:val="0"/>
        <w:tabs>
          <w:tab w:val="left" w:pos="4320"/>
        </w:tabs>
        <w:ind w:left="4320"/>
        <w:rPr>
          <w:rFonts w:ascii="Arial" w:eastAsiaTheme="minorHAnsi" w:hAnsi="Arial" w:cs="Arial"/>
          <w:b/>
          <w:bCs/>
          <w:smallCaps/>
        </w:rPr>
      </w:pPr>
      <w:r>
        <w:rPr>
          <w:rFonts w:ascii="Arial" w:eastAsiaTheme="minorHAnsi" w:hAnsi="Arial" w:cs="Arial"/>
          <w:bCs/>
          <w:smallCaps/>
        </w:rPr>
        <w:t xml:space="preserve">McNees Wallace &amp; </w:t>
      </w:r>
      <w:proofErr w:type="spellStart"/>
      <w:r>
        <w:rPr>
          <w:rFonts w:ascii="Arial" w:eastAsiaTheme="minorHAnsi" w:hAnsi="Arial" w:cs="Arial"/>
          <w:bCs/>
          <w:smallCaps/>
        </w:rPr>
        <w:t>Nurick</w:t>
      </w:r>
      <w:proofErr w:type="spellEnd"/>
      <w:r>
        <w:rPr>
          <w:rFonts w:ascii="Arial" w:eastAsiaTheme="minorHAnsi" w:hAnsi="Arial" w:cs="Arial"/>
          <w:bCs/>
          <w:smallCaps/>
        </w:rPr>
        <w:t xml:space="preserve"> LLC</w:t>
      </w:r>
    </w:p>
    <w:p w:rsidR="00784FCE" w:rsidRDefault="00784FCE" w:rsidP="00784FCE">
      <w:pPr>
        <w:widowControl w:val="0"/>
        <w:tabs>
          <w:tab w:val="left" w:pos="4320"/>
        </w:tabs>
        <w:ind w:left="432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Cs/>
        </w:rPr>
        <w:t>21 East State Street, 17</w:t>
      </w:r>
      <w:r>
        <w:rPr>
          <w:rFonts w:ascii="Arial" w:eastAsiaTheme="minorHAnsi" w:hAnsi="Arial" w:cs="Arial"/>
          <w:bCs/>
          <w:vertAlign w:val="superscript"/>
        </w:rPr>
        <w:t>TH</w:t>
      </w:r>
      <w:r>
        <w:rPr>
          <w:rFonts w:ascii="Arial" w:eastAsiaTheme="minorHAnsi" w:hAnsi="Arial" w:cs="Arial"/>
          <w:bCs/>
        </w:rPr>
        <w:t xml:space="preserve"> Floor</w:t>
      </w:r>
    </w:p>
    <w:p w:rsidR="00784FCE" w:rsidRDefault="00784FCE" w:rsidP="00784FCE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Columbus, OH  43215</w:t>
      </w:r>
    </w:p>
    <w:p w:rsidR="00784FCE" w:rsidRDefault="00784FCE" w:rsidP="00784FCE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Telephone:  (614) 469-8000</w:t>
      </w:r>
    </w:p>
    <w:p w:rsidR="00784FCE" w:rsidRDefault="00784FCE" w:rsidP="00784FCE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</w:rPr>
        <w:t>Telecopier</w:t>
      </w:r>
      <w:proofErr w:type="spellEnd"/>
      <w:r>
        <w:rPr>
          <w:rFonts w:ascii="Arial" w:eastAsiaTheme="minorHAnsi" w:hAnsi="Arial" w:cs="Arial"/>
        </w:rPr>
        <w:t>:  (614) 469-4653</w:t>
      </w:r>
    </w:p>
    <w:p w:rsidR="00784FCE" w:rsidRDefault="00784FCE" w:rsidP="00784FCE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Theme="minorHAnsi" w:hAnsi="Arial" w:cs="Arial"/>
          <w:color w:val="000000" w:themeColor="text1"/>
        </w:rPr>
      </w:pPr>
      <w:r w:rsidRPr="009E4630">
        <w:rPr>
          <w:rFonts w:ascii="Arial" w:eastAsiaTheme="minorHAnsi" w:hAnsi="Arial" w:cs="Arial"/>
        </w:rPr>
        <w:t>sam@mwncmh.com</w:t>
      </w:r>
    </w:p>
    <w:p w:rsidR="00784FCE" w:rsidRDefault="00784FCE" w:rsidP="00784FCE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(</w:t>
      </w:r>
      <w:proofErr w:type="gramStart"/>
      <w:r>
        <w:rPr>
          <w:rFonts w:ascii="Arial" w:eastAsiaTheme="minorHAnsi" w:hAnsi="Arial" w:cs="Arial"/>
          <w:color w:val="000000" w:themeColor="text1"/>
        </w:rPr>
        <w:t>willing</w:t>
      </w:r>
      <w:proofErr w:type="gramEnd"/>
      <w:r>
        <w:rPr>
          <w:rFonts w:ascii="Arial" w:eastAsiaTheme="minorHAnsi" w:hAnsi="Arial" w:cs="Arial"/>
          <w:color w:val="000000" w:themeColor="text1"/>
        </w:rPr>
        <w:t xml:space="preserve"> to accept service by e-mail)</w:t>
      </w:r>
    </w:p>
    <w:p w:rsidR="00784FCE" w:rsidRDefault="00784FCE" w:rsidP="00784FCE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</w:rPr>
        <w:t>selisar</w:t>
      </w:r>
      <w:r w:rsidRPr="009E4630">
        <w:rPr>
          <w:rFonts w:ascii="Arial" w:eastAsiaTheme="minorHAnsi" w:hAnsi="Arial" w:cs="Arial"/>
        </w:rPr>
        <w:t>@mwncmh.com</w:t>
      </w:r>
    </w:p>
    <w:p w:rsidR="00784FCE" w:rsidRDefault="00784FCE" w:rsidP="00784FCE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(</w:t>
      </w:r>
      <w:proofErr w:type="gramStart"/>
      <w:r>
        <w:rPr>
          <w:rFonts w:ascii="Arial" w:eastAsiaTheme="minorHAnsi" w:hAnsi="Arial" w:cs="Arial"/>
          <w:color w:val="000000" w:themeColor="text1"/>
        </w:rPr>
        <w:t>willing</w:t>
      </w:r>
      <w:proofErr w:type="gramEnd"/>
      <w:r>
        <w:rPr>
          <w:rFonts w:ascii="Arial" w:eastAsiaTheme="minorHAnsi" w:hAnsi="Arial" w:cs="Arial"/>
          <w:color w:val="000000" w:themeColor="text1"/>
        </w:rPr>
        <w:t xml:space="preserve"> to accept service by e-mail)</w:t>
      </w:r>
    </w:p>
    <w:p w:rsidR="00587DE1" w:rsidRDefault="00587DE1" w:rsidP="009501C1">
      <w:pPr>
        <w:pStyle w:val="Title"/>
        <w:sectPr w:rsidR="00587DE1" w:rsidSect="00B50F8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587DE1" w:rsidRPr="00587DE1" w:rsidRDefault="00627956" w:rsidP="00587DE1">
      <w:pPr>
        <w:pStyle w:val="Title"/>
        <w:jc w:val="right"/>
        <w:rPr>
          <w:sz w:val="28"/>
          <w:szCs w:val="28"/>
        </w:rPr>
      </w:pPr>
      <w:r w:rsidRPr="00587DE1">
        <w:rPr>
          <w:sz w:val="28"/>
          <w:szCs w:val="28"/>
        </w:rPr>
        <w:lastRenderedPageBreak/>
        <w:t xml:space="preserve">Exhibit </w:t>
      </w:r>
      <w:r w:rsidR="00587DE1" w:rsidRPr="00587DE1">
        <w:rPr>
          <w:sz w:val="28"/>
          <w:szCs w:val="28"/>
        </w:rPr>
        <w:t>A</w:t>
      </w:r>
    </w:p>
    <w:p w:rsidR="00587DE1" w:rsidRDefault="00587DE1" w:rsidP="009501C1">
      <w:pPr>
        <w:pStyle w:val="Title"/>
      </w:pPr>
    </w:p>
    <w:p w:rsidR="00FA318D" w:rsidRDefault="00587DE1" w:rsidP="009501C1">
      <w:pPr>
        <w:pStyle w:val="Title"/>
        <w:sectPr w:rsidR="00FA318D" w:rsidSect="00B50F88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bookmarkStart w:id="2" w:name="_GoBack"/>
      <w:r>
        <w:rPr>
          <w:noProof/>
        </w:rPr>
        <w:drawing>
          <wp:inline distT="0" distB="0" distL="0" distR="0">
            <wp:extent cx="5942617" cy="6545580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14" cy="655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 w:rsidR="00784FCE">
        <w:br w:type="page"/>
      </w:r>
    </w:p>
    <w:p w:rsidR="00784FCE" w:rsidRDefault="00784FCE" w:rsidP="009501C1">
      <w:pPr>
        <w:pStyle w:val="Title"/>
        <w:rPr>
          <w:b w:val="0"/>
          <w:smallCaps w:val="0"/>
          <w:sz w:val="28"/>
          <w:u w:val="single"/>
        </w:rPr>
      </w:pPr>
      <w:r>
        <w:rPr>
          <w:sz w:val="28"/>
          <w:u w:val="single"/>
        </w:rPr>
        <w:lastRenderedPageBreak/>
        <w:t>Certificate of Service</w:t>
      </w:r>
    </w:p>
    <w:p w:rsidR="00784FCE" w:rsidRDefault="00784FCE" w:rsidP="00784FCE">
      <w:pPr>
        <w:rPr>
          <w:rFonts w:ascii="Arial" w:hAnsi="Arial" w:cs="Arial"/>
        </w:rPr>
      </w:pPr>
    </w:p>
    <w:p w:rsidR="00784FCE" w:rsidRDefault="00784FCE" w:rsidP="00784FCE">
      <w:pPr>
        <w:pStyle w:val="BodyText"/>
        <w:spacing w:line="480" w:lineRule="auto"/>
        <w:ind w:firstLine="720"/>
        <w:rPr>
          <w:b/>
          <w:smallCaps/>
        </w:rPr>
      </w:pPr>
      <w:r>
        <w:t xml:space="preserve">I hereby certify that a true copy of the foregoing </w:t>
      </w:r>
      <w:r w:rsidR="009501C1">
        <w:rPr>
          <w:i/>
        </w:rPr>
        <w:t xml:space="preserve">Comments and Objections </w:t>
      </w:r>
      <w:r w:rsidRPr="00D2513B">
        <w:rPr>
          <w:i/>
        </w:rPr>
        <w:t xml:space="preserve">of </w:t>
      </w:r>
      <w:r w:rsidR="00047262">
        <w:rPr>
          <w:i/>
        </w:rPr>
        <w:t>Greenwich Neighbors United</w:t>
      </w:r>
      <w:r>
        <w:t xml:space="preserve"> has been served </w:t>
      </w:r>
      <w:r w:rsidRPr="0061547E">
        <w:rPr>
          <w:i/>
        </w:rPr>
        <w:t>via</w:t>
      </w:r>
      <w:r>
        <w:t xml:space="preserve"> electronic mail upon the following parties of record this </w:t>
      </w:r>
      <w:r w:rsidR="009501C1">
        <w:t>3</w:t>
      </w:r>
      <w:r w:rsidR="009501C1">
        <w:rPr>
          <w:vertAlign w:val="superscript"/>
        </w:rPr>
        <w:t>rd</w:t>
      </w:r>
      <w:r w:rsidR="007A2C17">
        <w:t xml:space="preserve"> </w:t>
      </w:r>
      <w:r>
        <w:t xml:space="preserve">day of </w:t>
      </w:r>
      <w:r w:rsidR="009501C1">
        <w:t xml:space="preserve">December </w:t>
      </w:r>
      <w:r w:rsidR="0072258E">
        <w:t>2015</w:t>
      </w:r>
      <w:r>
        <w:t>.</w:t>
      </w:r>
    </w:p>
    <w:p w:rsidR="00784FCE" w:rsidRDefault="00784FCE" w:rsidP="00784FCE">
      <w:pPr>
        <w:rPr>
          <w:rFonts w:ascii="Arial" w:hAnsi="Arial" w:cs="Arial"/>
        </w:rPr>
      </w:pPr>
    </w:p>
    <w:p w:rsidR="00784FCE" w:rsidRDefault="00784FCE" w:rsidP="00784FCE">
      <w:pPr>
        <w:tabs>
          <w:tab w:val="right" w:pos="8640"/>
        </w:tabs>
        <w:ind w:left="504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/s/ Samuel C. Randazzo</w:t>
      </w:r>
      <w:r>
        <w:rPr>
          <w:rFonts w:ascii="Arial" w:hAnsi="Arial" w:cs="Arial"/>
          <w:i/>
          <w:u w:val="single"/>
        </w:rPr>
        <w:tab/>
      </w:r>
    </w:p>
    <w:p w:rsidR="00784FCE" w:rsidRDefault="00784FCE" w:rsidP="00784FCE">
      <w:pPr>
        <w:tabs>
          <w:tab w:val="left" w:pos="2160"/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Samuel C. Randazzo</w:t>
      </w:r>
    </w:p>
    <w:p w:rsidR="00784FCE" w:rsidRDefault="00784FCE" w:rsidP="00784FCE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84FCE" w:rsidRDefault="00784FCE" w:rsidP="00784FCE">
      <w:pPr>
        <w:rPr>
          <w:rFonts w:ascii="Arial" w:hAnsi="Arial" w:cs="Arial"/>
          <w:sz w:val="22"/>
          <w:szCs w:val="22"/>
        </w:rPr>
        <w:sectPr w:rsidR="00784FCE" w:rsidSect="00FA318D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lastRenderedPageBreak/>
        <w:t>Sally W. Bloomfield</w:t>
      </w: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 xml:space="preserve">Dylan </w:t>
      </w:r>
      <w:proofErr w:type="spellStart"/>
      <w:r w:rsidRPr="00045D1C">
        <w:rPr>
          <w:rFonts w:ascii="Arial" w:hAnsi="Arial" w:cs="Arial"/>
          <w:color w:val="000000" w:themeColor="text1"/>
          <w:sz w:val="20"/>
          <w:szCs w:val="20"/>
        </w:rPr>
        <w:t>Borchers</w:t>
      </w:r>
      <w:proofErr w:type="spellEnd"/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 xml:space="preserve">Bricker &amp; </w:t>
      </w:r>
      <w:proofErr w:type="spellStart"/>
      <w:r w:rsidRPr="00045D1C">
        <w:rPr>
          <w:rFonts w:ascii="Arial" w:hAnsi="Arial" w:cs="Arial"/>
          <w:color w:val="000000" w:themeColor="text1"/>
          <w:sz w:val="20"/>
          <w:szCs w:val="20"/>
        </w:rPr>
        <w:t>Eckler</w:t>
      </w:r>
      <w:proofErr w:type="spellEnd"/>
      <w:r w:rsidRPr="00045D1C">
        <w:rPr>
          <w:rFonts w:ascii="Arial" w:hAnsi="Arial" w:cs="Arial"/>
          <w:color w:val="000000" w:themeColor="text1"/>
          <w:sz w:val="20"/>
          <w:szCs w:val="20"/>
        </w:rPr>
        <w:t xml:space="preserve"> LLP</w:t>
      </w: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100 South Third Street</w:t>
      </w: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Columbus OH  43215-4291</w:t>
      </w: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Phone:  614.227-2368 / 614.227.4914</w:t>
      </w: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Fax: 614.227.2390</w:t>
      </w: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sbloomfield@bricker.com</w:t>
      </w: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dborchers@bricker.com</w:t>
      </w: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C5EBA" w:rsidRPr="00045D1C" w:rsidRDefault="008C5EBA" w:rsidP="008C5EBA">
      <w:pPr>
        <w:rPr>
          <w:rFonts w:ascii="Arial" w:hAnsi="Arial" w:cs="Arial"/>
          <w:b/>
          <w:smallCaps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b/>
          <w:smallCaps/>
          <w:color w:val="000000" w:themeColor="text1"/>
          <w:sz w:val="20"/>
          <w:szCs w:val="20"/>
        </w:rPr>
        <w:t xml:space="preserve">Attorneys for 6011 Greenwich </w:t>
      </w:r>
      <w:proofErr w:type="spellStart"/>
      <w:r w:rsidRPr="00045D1C">
        <w:rPr>
          <w:rFonts w:ascii="Arial" w:hAnsi="Arial" w:cs="Arial"/>
          <w:b/>
          <w:smallCaps/>
          <w:color w:val="000000" w:themeColor="text1"/>
          <w:sz w:val="20"/>
          <w:szCs w:val="20"/>
        </w:rPr>
        <w:t>Windpark</w:t>
      </w:r>
      <w:proofErr w:type="spellEnd"/>
      <w:r w:rsidRPr="00045D1C">
        <w:rPr>
          <w:rFonts w:ascii="Arial" w:hAnsi="Arial" w:cs="Arial"/>
          <w:b/>
          <w:smallCaps/>
          <w:color w:val="000000" w:themeColor="text1"/>
          <w:sz w:val="20"/>
          <w:szCs w:val="20"/>
        </w:rPr>
        <w:t>, LLC</w:t>
      </w: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C5EBA" w:rsidRPr="00045D1C" w:rsidRDefault="008C5EBA" w:rsidP="008C5EB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 xml:space="preserve">Chad A. </w:t>
      </w:r>
      <w:proofErr w:type="spellStart"/>
      <w:r w:rsidRPr="00045D1C">
        <w:rPr>
          <w:rFonts w:ascii="Arial" w:hAnsi="Arial" w:cs="Arial"/>
          <w:color w:val="000000" w:themeColor="text1"/>
          <w:sz w:val="20"/>
          <w:szCs w:val="20"/>
        </w:rPr>
        <w:t>Endsley</w:t>
      </w:r>
      <w:proofErr w:type="spellEnd"/>
      <w:r w:rsidRPr="00045D1C">
        <w:rPr>
          <w:rFonts w:ascii="Arial" w:hAnsi="Arial" w:cs="Arial"/>
          <w:color w:val="000000" w:themeColor="text1"/>
          <w:sz w:val="20"/>
          <w:szCs w:val="20"/>
        </w:rPr>
        <w:t xml:space="preserve"> (0080648)</w:t>
      </w:r>
    </w:p>
    <w:p w:rsidR="008C5EBA" w:rsidRPr="00045D1C" w:rsidRDefault="008C5EBA" w:rsidP="008C5EB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Chief Legal Counsel</w:t>
      </w:r>
    </w:p>
    <w:p w:rsidR="008C5EBA" w:rsidRPr="00045D1C" w:rsidRDefault="008C5EBA" w:rsidP="008C5EB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Leah F. Curtis (0086257)</w:t>
      </w:r>
    </w:p>
    <w:p w:rsidR="008C5EBA" w:rsidRPr="00045D1C" w:rsidRDefault="008C5EBA" w:rsidP="008C5EB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Amy M. Milam (0082375)</w:t>
      </w:r>
    </w:p>
    <w:p w:rsidR="008C5EBA" w:rsidRPr="00045D1C" w:rsidRDefault="008C5EBA" w:rsidP="008C5EB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Ohio Farm Bureau Federation</w:t>
      </w:r>
    </w:p>
    <w:p w:rsidR="008C5EBA" w:rsidRPr="00045D1C" w:rsidRDefault="008C5EBA" w:rsidP="008C5EB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280 North High Street, P.O. Box 182383</w:t>
      </w:r>
    </w:p>
    <w:p w:rsidR="008C5EBA" w:rsidRPr="00045D1C" w:rsidRDefault="008C5EBA" w:rsidP="008C5EB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Columbus, OH 43218-2383</w:t>
      </w:r>
    </w:p>
    <w:p w:rsidR="008C5EBA" w:rsidRPr="00045D1C" w:rsidRDefault="008C5EBA" w:rsidP="008C5EB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Phone: 614.246.8258</w:t>
      </w:r>
    </w:p>
    <w:p w:rsidR="008C5EBA" w:rsidRPr="00045D1C" w:rsidRDefault="008C5EBA" w:rsidP="008C5EB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Fax: 614.246.8658</w:t>
      </w:r>
    </w:p>
    <w:p w:rsidR="008C5EBA" w:rsidRPr="00045D1C" w:rsidRDefault="008C5EBA" w:rsidP="008C5EB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E-Mail: cendsley@ofbf.org</w:t>
      </w:r>
    </w:p>
    <w:p w:rsidR="008C5EBA" w:rsidRPr="00045D1C" w:rsidRDefault="008C5EBA" w:rsidP="008C5EB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lcurtis@ofbf.org</w:t>
      </w:r>
    </w:p>
    <w:p w:rsidR="008C5EBA" w:rsidRPr="00045D1C" w:rsidRDefault="008C5EBA" w:rsidP="008C5EB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amilam@ofbf.org</w:t>
      </w: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C5EBA" w:rsidRPr="00045D1C" w:rsidRDefault="008C5EBA" w:rsidP="008C5EBA">
      <w:pPr>
        <w:rPr>
          <w:rFonts w:ascii="Arial" w:hAnsi="Arial" w:cs="Arial"/>
          <w:b/>
          <w:smallCaps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b/>
          <w:smallCaps/>
          <w:color w:val="000000" w:themeColor="text1"/>
          <w:sz w:val="20"/>
          <w:szCs w:val="20"/>
        </w:rPr>
        <w:t xml:space="preserve">Attorneys for </w:t>
      </w:r>
      <w:r>
        <w:rPr>
          <w:rFonts w:ascii="Arial" w:hAnsi="Arial" w:cs="Arial"/>
          <w:b/>
          <w:smallCaps/>
          <w:color w:val="000000" w:themeColor="text1"/>
          <w:sz w:val="20"/>
          <w:szCs w:val="20"/>
        </w:rPr>
        <w:t>the Ohio Farm Bureau Federation</w:t>
      </w: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William L. Wright</w:t>
      </w: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 xml:space="preserve">Assistant Attorney General </w:t>
      </w: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Chief, Public Utilities Section</w:t>
      </w: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 xml:space="preserve">Office of the Attorney General </w:t>
      </w: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180 East Broad Street, 6</w:t>
      </w:r>
      <w:r w:rsidRPr="00045D1C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045D1C">
        <w:rPr>
          <w:rFonts w:ascii="Arial" w:hAnsi="Arial" w:cs="Arial"/>
          <w:color w:val="000000" w:themeColor="text1"/>
          <w:sz w:val="20"/>
          <w:szCs w:val="20"/>
        </w:rPr>
        <w:t xml:space="preserve"> Floor</w:t>
      </w: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Columbus, OH  43215-3793</w:t>
      </w: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color w:val="000000" w:themeColor="text1"/>
          <w:sz w:val="20"/>
          <w:szCs w:val="20"/>
        </w:rPr>
        <w:t>william.wright@puc.state.oh.us</w:t>
      </w: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C5EBA" w:rsidRPr="00045D1C" w:rsidRDefault="008C5EBA" w:rsidP="008C5EBA">
      <w:pPr>
        <w:rPr>
          <w:rFonts w:ascii="Arial" w:hAnsi="Arial" w:cs="Arial"/>
          <w:b/>
          <w:smallCaps/>
          <w:color w:val="000000" w:themeColor="text1"/>
          <w:sz w:val="20"/>
          <w:szCs w:val="20"/>
        </w:rPr>
      </w:pPr>
      <w:r w:rsidRPr="00045D1C">
        <w:rPr>
          <w:rFonts w:ascii="Arial" w:hAnsi="Arial" w:cs="Arial"/>
          <w:b/>
          <w:smallCaps/>
          <w:color w:val="000000" w:themeColor="text1"/>
          <w:sz w:val="20"/>
          <w:szCs w:val="20"/>
        </w:rPr>
        <w:t>Attorney for the Staff of the Ohio Power Siting Board</w:t>
      </w: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C5EBA" w:rsidRPr="00045D1C" w:rsidRDefault="008C5EBA" w:rsidP="008C5EB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E3BF4" w:rsidRDefault="008E3BF4"/>
    <w:sectPr w:rsidR="008E3BF4" w:rsidSect="00574BA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CE" w:rsidRDefault="00784FCE" w:rsidP="00784FCE">
      <w:r>
        <w:separator/>
      </w:r>
    </w:p>
  </w:endnote>
  <w:endnote w:type="continuationSeparator" w:id="0">
    <w:p w:rsidR="00784FCE" w:rsidRDefault="00784FCE" w:rsidP="0078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CE" w:rsidRDefault="00784F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  <w:sz w:val="16"/>
      </w:rPr>
      <w:t>{C29267:2 }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4FCE" w:rsidRDefault="00784F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CE" w:rsidRDefault="0035722F">
    <w:pPr>
      <w:pStyle w:val="Footer"/>
      <w:tabs>
        <w:tab w:val="clear" w:pos="4320"/>
        <w:tab w:val="center" w:pos="4680"/>
      </w:tabs>
      <w:rPr>
        <w:rFonts w:ascii="Arial" w:hAnsi="Arial" w:cs="Arial"/>
        <w:noProof/>
        <w:sz w:val="16"/>
      </w:rPr>
    </w:pPr>
    <w:r w:rsidRPr="0035722F">
      <w:rPr>
        <w:rFonts w:ascii="Arial" w:hAnsi="Arial" w:cs="Arial"/>
        <w:noProof/>
        <w:sz w:val="16"/>
      </w:rPr>
      <w:t>{C48860: }</w:t>
    </w:r>
    <w:r w:rsidR="00784FCE">
      <w:rPr>
        <w:rFonts w:ascii="Arial" w:hAnsi="Arial" w:cs="Arial"/>
        <w:noProof/>
        <w:sz w:val="16"/>
      </w:rPr>
      <w:tab/>
    </w:r>
    <w:r w:rsidR="00784FCE">
      <w:rPr>
        <w:rFonts w:ascii="Arial" w:hAnsi="Arial" w:cs="Arial"/>
        <w:noProof/>
        <w:sz w:val="22"/>
        <w:szCs w:val="22"/>
      </w:rPr>
      <w:fldChar w:fldCharType="begin"/>
    </w:r>
    <w:r w:rsidR="00784FCE">
      <w:rPr>
        <w:rFonts w:ascii="Arial" w:hAnsi="Arial" w:cs="Arial"/>
        <w:noProof/>
        <w:sz w:val="22"/>
        <w:szCs w:val="22"/>
      </w:rPr>
      <w:instrText xml:space="preserve"> PAGE   \* MERGEFORMAT </w:instrText>
    </w:r>
    <w:r w:rsidR="00784FCE">
      <w:rPr>
        <w:rFonts w:ascii="Arial" w:hAnsi="Arial" w:cs="Arial"/>
        <w:noProof/>
        <w:sz w:val="22"/>
        <w:szCs w:val="22"/>
      </w:rPr>
      <w:fldChar w:fldCharType="separate"/>
    </w:r>
    <w:r w:rsidR="007A2C17">
      <w:rPr>
        <w:rFonts w:ascii="Arial" w:hAnsi="Arial" w:cs="Arial"/>
        <w:noProof/>
        <w:sz w:val="22"/>
        <w:szCs w:val="22"/>
      </w:rPr>
      <w:t>1</w:t>
    </w:r>
    <w:r w:rsidR="00784FCE">
      <w:rPr>
        <w:rFonts w:ascii="Arial" w:hAnsi="Arial" w:cs="Arial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CE" w:rsidRDefault="0035722F">
    <w:pPr>
      <w:pStyle w:val="Footer"/>
      <w:rPr>
        <w:rFonts w:ascii="Arial" w:hAnsi="Arial" w:cs="Arial"/>
      </w:rPr>
    </w:pPr>
    <w:r w:rsidRPr="0035722F">
      <w:rPr>
        <w:rFonts w:ascii="Arial" w:hAnsi="Arial" w:cs="Arial"/>
        <w:noProof/>
        <w:sz w:val="16"/>
      </w:rPr>
      <w:t>{C48860: }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CE" w:rsidRDefault="00784FC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CE" w:rsidRPr="00B50F88" w:rsidRDefault="0035722F" w:rsidP="00B50F88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35722F">
      <w:rPr>
        <w:rFonts w:ascii="Arial" w:hAnsi="Arial" w:cs="Arial"/>
        <w:noProof/>
        <w:sz w:val="16"/>
      </w:rPr>
      <w:t>{C48860: }</w:t>
    </w:r>
    <w:r w:rsidR="00784FCE" w:rsidRPr="00B50F88">
      <w:rPr>
        <w:rFonts w:ascii="Arial" w:hAnsi="Arial" w:cs="Arial"/>
        <w:noProof/>
        <w:sz w:val="16"/>
      </w:rPr>
      <w:tab/>
    </w:r>
    <w:r w:rsidR="00784FCE" w:rsidRPr="00B50F88">
      <w:rPr>
        <w:rFonts w:ascii="Arial" w:hAnsi="Arial" w:cs="Arial"/>
        <w:noProof/>
        <w:sz w:val="22"/>
        <w:szCs w:val="22"/>
      </w:rPr>
      <w:fldChar w:fldCharType="begin"/>
    </w:r>
    <w:r w:rsidR="00784FCE" w:rsidRPr="00B50F88">
      <w:rPr>
        <w:rFonts w:ascii="Arial" w:hAnsi="Arial" w:cs="Arial"/>
        <w:noProof/>
        <w:sz w:val="22"/>
        <w:szCs w:val="22"/>
      </w:rPr>
      <w:instrText xml:space="preserve"> PAGE   \* MERGEFORMAT </w:instrText>
    </w:r>
    <w:r w:rsidR="00784FCE" w:rsidRPr="00B50F88">
      <w:rPr>
        <w:rFonts w:ascii="Arial" w:hAnsi="Arial" w:cs="Arial"/>
        <w:noProof/>
        <w:sz w:val="22"/>
        <w:szCs w:val="22"/>
      </w:rPr>
      <w:fldChar w:fldCharType="separate"/>
    </w:r>
    <w:r w:rsidR="00FA318D">
      <w:rPr>
        <w:rFonts w:ascii="Arial" w:hAnsi="Arial" w:cs="Arial"/>
        <w:noProof/>
        <w:sz w:val="22"/>
        <w:szCs w:val="22"/>
      </w:rPr>
      <w:t>7</w:t>
    </w:r>
    <w:r w:rsidR="00784FCE" w:rsidRPr="00B50F88">
      <w:rPr>
        <w:rFonts w:ascii="Arial" w:hAnsi="Arial" w:cs="Arial"/>
        <w:noProof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CE" w:rsidRPr="002E3F72" w:rsidRDefault="0035722F">
    <w:pPr>
      <w:pStyle w:val="Footer"/>
      <w:rPr>
        <w:rFonts w:ascii="Arial" w:hAnsi="Arial" w:cs="Arial"/>
      </w:rPr>
    </w:pPr>
    <w:r w:rsidRPr="0035722F">
      <w:rPr>
        <w:rFonts w:ascii="Arial" w:hAnsi="Arial" w:cs="Arial"/>
        <w:noProof/>
        <w:sz w:val="16"/>
      </w:rPr>
      <w:t>{C48860: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CE" w:rsidRDefault="00784FCE" w:rsidP="00784FC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84FCE" w:rsidRDefault="00784FCE" w:rsidP="00784FCE">
      <w:r>
        <w:continuationSeparator/>
      </w:r>
    </w:p>
  </w:footnote>
  <w:footnote w:id="1">
    <w:p w:rsidR="00F063EF" w:rsidRDefault="00F063EF" w:rsidP="00F063EF">
      <w:pPr>
        <w:pStyle w:val="FootnoteText"/>
        <w:jc w:val="both"/>
        <w:rPr>
          <w:rFonts w:ascii="Arial" w:hAnsi="Arial" w:cs="Arial"/>
        </w:rPr>
      </w:pPr>
      <w:r w:rsidRPr="00F063EF">
        <w:rPr>
          <w:rStyle w:val="FootnoteReference"/>
          <w:rFonts w:ascii="Arial" w:hAnsi="Arial" w:cs="Arial"/>
        </w:rPr>
        <w:footnoteRef/>
      </w:r>
      <w:r w:rsidRPr="00F063EF">
        <w:rPr>
          <w:rFonts w:ascii="Arial" w:hAnsi="Arial" w:cs="Arial"/>
        </w:rPr>
        <w:t xml:space="preserve"> Based on the information filed with the amendment application, it appears that the application was not properly served on the current township trustees. </w:t>
      </w:r>
    </w:p>
    <w:p w:rsidR="00F063EF" w:rsidRPr="00F063EF" w:rsidRDefault="00F063EF" w:rsidP="00F063EF">
      <w:pPr>
        <w:pStyle w:val="FootnoteText"/>
        <w:jc w:val="both"/>
        <w:rPr>
          <w:rFonts w:ascii="Arial" w:hAnsi="Arial" w:cs="Arial"/>
        </w:rPr>
      </w:pPr>
    </w:p>
  </w:footnote>
  <w:footnote w:id="2">
    <w:p w:rsidR="00B85EA9" w:rsidRPr="00B85EA9" w:rsidRDefault="00B85EA9" w:rsidP="00F063EF">
      <w:pPr>
        <w:pStyle w:val="FootnoteText"/>
        <w:jc w:val="both"/>
        <w:rPr>
          <w:rFonts w:ascii="Arial" w:hAnsi="Arial" w:cs="Arial"/>
        </w:rPr>
      </w:pPr>
      <w:r w:rsidRPr="00B85EA9">
        <w:rPr>
          <w:rStyle w:val="FootnoteReference"/>
          <w:rFonts w:ascii="Arial" w:hAnsi="Arial" w:cs="Arial"/>
        </w:rPr>
        <w:footnoteRef/>
      </w:r>
      <w:r w:rsidRPr="00B85EA9">
        <w:rPr>
          <w:rFonts w:ascii="Arial" w:hAnsi="Arial" w:cs="Arial"/>
        </w:rPr>
        <w:t xml:space="preserve"> It is GNU’s position that the certificate issued in Case No.</w:t>
      </w:r>
      <w:r>
        <w:rPr>
          <w:rFonts w:ascii="Arial" w:hAnsi="Arial" w:cs="Arial"/>
        </w:rPr>
        <w:t xml:space="preserve"> </w:t>
      </w:r>
      <w:r w:rsidRPr="00B85EA9">
        <w:rPr>
          <w:rFonts w:ascii="Arial" w:hAnsi="Arial" w:cs="Arial"/>
        </w:rPr>
        <w:t>13-</w:t>
      </w:r>
      <w:r>
        <w:rPr>
          <w:rFonts w:ascii="Arial" w:hAnsi="Arial" w:cs="Arial"/>
        </w:rPr>
        <w:t>0</w:t>
      </w:r>
      <w:r w:rsidRPr="00B85EA9">
        <w:rPr>
          <w:rFonts w:ascii="Arial" w:hAnsi="Arial" w:cs="Arial"/>
        </w:rPr>
        <w:t>990-EL-BGN was issued unlawfully.</w:t>
      </w:r>
    </w:p>
    <w:p w:rsidR="00B85EA9" w:rsidRDefault="00B85EA9">
      <w:pPr>
        <w:pStyle w:val="FootnoteText"/>
      </w:pPr>
      <w:r>
        <w:t xml:space="preserve"> </w:t>
      </w:r>
    </w:p>
  </w:footnote>
  <w:footnote w:id="3">
    <w:p w:rsidR="00534F93" w:rsidRPr="00064AAB" w:rsidRDefault="00534F93" w:rsidP="00F063EF">
      <w:pPr>
        <w:pStyle w:val="FootnoteText"/>
        <w:jc w:val="both"/>
        <w:rPr>
          <w:rFonts w:ascii="Arial" w:hAnsi="Arial" w:cs="Arial"/>
        </w:rPr>
      </w:pPr>
      <w:r w:rsidRPr="00064AAB">
        <w:rPr>
          <w:rStyle w:val="FootnoteReference"/>
          <w:rFonts w:ascii="Arial" w:hAnsi="Arial" w:cs="Arial"/>
        </w:rPr>
        <w:footnoteRef/>
      </w:r>
      <w:r w:rsidRPr="00064AAB">
        <w:rPr>
          <w:rFonts w:ascii="Arial" w:hAnsi="Arial" w:cs="Arial"/>
        </w:rPr>
        <w:t xml:space="preserve"> As the comments which have been filed in this proceeding indicate, the higher rotational speeds and shorter distance between the blades and the ground mean that the new turbines will </w:t>
      </w:r>
      <w:r w:rsidR="00064AAB" w:rsidRPr="00064AAB">
        <w:rPr>
          <w:rFonts w:ascii="Arial" w:hAnsi="Arial" w:cs="Arial"/>
        </w:rPr>
        <w:t>destroy more birds and bats that are useful to the local agricultural oriented economy.</w:t>
      </w:r>
    </w:p>
  </w:footnote>
  <w:footnote w:id="4">
    <w:p w:rsidR="00B85EA9" w:rsidRPr="00B85EA9" w:rsidRDefault="00B85EA9">
      <w:pPr>
        <w:pStyle w:val="FootnoteText"/>
        <w:rPr>
          <w:rFonts w:ascii="Arial" w:hAnsi="Arial" w:cs="Arial"/>
        </w:rPr>
      </w:pPr>
      <w:r w:rsidRPr="00B85EA9">
        <w:rPr>
          <w:rStyle w:val="FootnoteReference"/>
          <w:rFonts w:ascii="Arial" w:hAnsi="Arial" w:cs="Arial"/>
        </w:rPr>
        <w:footnoteRef/>
      </w:r>
      <w:r w:rsidRPr="00B85EA9">
        <w:rPr>
          <w:rFonts w:ascii="Arial" w:hAnsi="Arial" w:cs="Arial"/>
        </w:rPr>
        <w:t xml:space="preserve"> The comments filed in Case No. 13-0990-EL-BGN are hereby incorporated by reference.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2F" w:rsidRDefault="00357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2F" w:rsidRDefault="003572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2F" w:rsidRDefault="0035722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CE" w:rsidRDefault="00784FC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CE" w:rsidRDefault="00784FC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CE" w:rsidRDefault="00784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CE"/>
    <w:rsid w:val="00047262"/>
    <w:rsid w:val="00064AAB"/>
    <w:rsid w:val="00082164"/>
    <w:rsid w:val="00091D21"/>
    <w:rsid w:val="00113EBF"/>
    <w:rsid w:val="001E41B7"/>
    <w:rsid w:val="002E3F72"/>
    <w:rsid w:val="002E54AD"/>
    <w:rsid w:val="0030161B"/>
    <w:rsid w:val="0035722F"/>
    <w:rsid w:val="00534F93"/>
    <w:rsid w:val="00537766"/>
    <w:rsid w:val="00587DE1"/>
    <w:rsid w:val="005E6715"/>
    <w:rsid w:val="005F5EEB"/>
    <w:rsid w:val="0061547E"/>
    <w:rsid w:val="00627956"/>
    <w:rsid w:val="00655F7F"/>
    <w:rsid w:val="006A1C27"/>
    <w:rsid w:val="00703C9D"/>
    <w:rsid w:val="0072258E"/>
    <w:rsid w:val="00784FCE"/>
    <w:rsid w:val="007A2C17"/>
    <w:rsid w:val="007D2C42"/>
    <w:rsid w:val="008016F9"/>
    <w:rsid w:val="00810E4D"/>
    <w:rsid w:val="00842F7B"/>
    <w:rsid w:val="00865AFF"/>
    <w:rsid w:val="008A729D"/>
    <w:rsid w:val="008B150B"/>
    <w:rsid w:val="008C5EBA"/>
    <w:rsid w:val="008D7CB1"/>
    <w:rsid w:val="008E3BF4"/>
    <w:rsid w:val="008E771B"/>
    <w:rsid w:val="008F1646"/>
    <w:rsid w:val="009501C1"/>
    <w:rsid w:val="009544EB"/>
    <w:rsid w:val="00955A87"/>
    <w:rsid w:val="00965516"/>
    <w:rsid w:val="00976879"/>
    <w:rsid w:val="009C5811"/>
    <w:rsid w:val="00A1254B"/>
    <w:rsid w:val="00A367F8"/>
    <w:rsid w:val="00A47661"/>
    <w:rsid w:val="00AC25DE"/>
    <w:rsid w:val="00B20611"/>
    <w:rsid w:val="00B650B8"/>
    <w:rsid w:val="00B85EA9"/>
    <w:rsid w:val="00B95466"/>
    <w:rsid w:val="00C0405A"/>
    <w:rsid w:val="00C50733"/>
    <w:rsid w:val="00C552DE"/>
    <w:rsid w:val="00C901AA"/>
    <w:rsid w:val="00C93795"/>
    <w:rsid w:val="00CD25CE"/>
    <w:rsid w:val="00D33E84"/>
    <w:rsid w:val="00D4597E"/>
    <w:rsid w:val="00D6462B"/>
    <w:rsid w:val="00D9774E"/>
    <w:rsid w:val="00E26250"/>
    <w:rsid w:val="00EA33DF"/>
    <w:rsid w:val="00EC7DCC"/>
    <w:rsid w:val="00EE3478"/>
    <w:rsid w:val="00F063EF"/>
    <w:rsid w:val="00F356FD"/>
    <w:rsid w:val="00F47E9C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C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84FCE"/>
    <w:pPr>
      <w:keepNext/>
      <w:ind w:left="2160" w:right="2160"/>
      <w:outlineLvl w:val="0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FCE"/>
    <w:rPr>
      <w:rFonts w:eastAsia="Times New Roman" w:cs="Arial"/>
      <w:b/>
      <w:sz w:val="28"/>
    </w:rPr>
  </w:style>
  <w:style w:type="paragraph" w:styleId="Footer">
    <w:name w:val="footer"/>
    <w:basedOn w:val="Normal"/>
    <w:link w:val="FooterChar"/>
    <w:uiPriority w:val="99"/>
    <w:rsid w:val="00784F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FCE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784FC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84FCE"/>
    <w:rPr>
      <w:rFonts w:eastAsia="Times New Roman" w:cs="Arial"/>
    </w:rPr>
  </w:style>
  <w:style w:type="paragraph" w:styleId="BodyTextIndent">
    <w:name w:val="Body Text Indent"/>
    <w:basedOn w:val="Normal"/>
    <w:link w:val="BodyTextIndentChar"/>
    <w:rsid w:val="00784FCE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784FCE"/>
    <w:rPr>
      <w:rFonts w:eastAsia="Times New Roman" w:cs="Arial"/>
    </w:rPr>
  </w:style>
  <w:style w:type="paragraph" w:styleId="BodyText2">
    <w:name w:val="Body Text 2"/>
    <w:basedOn w:val="Normal"/>
    <w:link w:val="BodyText2Char"/>
    <w:rsid w:val="00784FCE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784FCE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784FCE"/>
  </w:style>
  <w:style w:type="paragraph" w:styleId="Title">
    <w:name w:val="Title"/>
    <w:basedOn w:val="Normal"/>
    <w:link w:val="TitleChar"/>
    <w:qFormat/>
    <w:rsid w:val="00784FCE"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sid w:val="00784FCE"/>
    <w:rPr>
      <w:rFonts w:eastAsia="Times New Roman" w:cs="Arial"/>
      <w:b/>
      <w:smallCaps/>
      <w:sz w:val="32"/>
    </w:rPr>
  </w:style>
  <w:style w:type="paragraph" w:styleId="HTMLPreformatted">
    <w:name w:val="HTML Preformatted"/>
    <w:basedOn w:val="Normal"/>
    <w:link w:val="HTMLPreformattedChar"/>
    <w:rsid w:val="00784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84FC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84F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FCE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4F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FC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4FCE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84F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4FCE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C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C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2C1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17"/>
    <w:rPr>
      <w:rFonts w:ascii="Tahoma" w:eastAsia="Times New Roman" w:hAnsi="Tahoma" w:cs="Tahoma"/>
      <w:sz w:val="16"/>
      <w:szCs w:val="16"/>
    </w:rPr>
  </w:style>
  <w:style w:type="paragraph" w:customStyle="1" w:styleId="HEAD1">
    <w:name w:val="HEAD1"/>
    <w:basedOn w:val="BodyTextIndent"/>
    <w:link w:val="HEAD1Char"/>
    <w:qFormat/>
    <w:rsid w:val="008C5EBA"/>
    <w:pPr>
      <w:spacing w:before="180" w:after="180"/>
      <w:ind w:firstLine="0"/>
    </w:pPr>
    <w:rPr>
      <w:b/>
      <w:u w:val="single"/>
    </w:rPr>
  </w:style>
  <w:style w:type="character" w:customStyle="1" w:styleId="HEAD1Char">
    <w:name w:val="HEAD1 Char"/>
    <w:basedOn w:val="BodyTextIndentChar"/>
    <w:link w:val="HEAD1"/>
    <w:rsid w:val="008C5EBA"/>
    <w:rPr>
      <w:rFonts w:eastAsia="Times New Roman" w:cs="Arial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C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84FCE"/>
    <w:pPr>
      <w:keepNext/>
      <w:ind w:left="2160" w:right="2160"/>
      <w:outlineLvl w:val="0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FCE"/>
    <w:rPr>
      <w:rFonts w:eastAsia="Times New Roman" w:cs="Arial"/>
      <w:b/>
      <w:sz w:val="28"/>
    </w:rPr>
  </w:style>
  <w:style w:type="paragraph" w:styleId="Footer">
    <w:name w:val="footer"/>
    <w:basedOn w:val="Normal"/>
    <w:link w:val="FooterChar"/>
    <w:uiPriority w:val="99"/>
    <w:rsid w:val="00784F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FCE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784FC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84FCE"/>
    <w:rPr>
      <w:rFonts w:eastAsia="Times New Roman" w:cs="Arial"/>
    </w:rPr>
  </w:style>
  <w:style w:type="paragraph" w:styleId="BodyTextIndent">
    <w:name w:val="Body Text Indent"/>
    <w:basedOn w:val="Normal"/>
    <w:link w:val="BodyTextIndentChar"/>
    <w:rsid w:val="00784FCE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784FCE"/>
    <w:rPr>
      <w:rFonts w:eastAsia="Times New Roman" w:cs="Arial"/>
    </w:rPr>
  </w:style>
  <w:style w:type="paragraph" w:styleId="BodyText2">
    <w:name w:val="Body Text 2"/>
    <w:basedOn w:val="Normal"/>
    <w:link w:val="BodyText2Char"/>
    <w:rsid w:val="00784FCE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784FCE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784FCE"/>
  </w:style>
  <w:style w:type="paragraph" w:styleId="Title">
    <w:name w:val="Title"/>
    <w:basedOn w:val="Normal"/>
    <w:link w:val="TitleChar"/>
    <w:qFormat/>
    <w:rsid w:val="00784FCE"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sid w:val="00784FCE"/>
    <w:rPr>
      <w:rFonts w:eastAsia="Times New Roman" w:cs="Arial"/>
      <w:b/>
      <w:smallCaps/>
      <w:sz w:val="32"/>
    </w:rPr>
  </w:style>
  <w:style w:type="paragraph" w:styleId="HTMLPreformatted">
    <w:name w:val="HTML Preformatted"/>
    <w:basedOn w:val="Normal"/>
    <w:link w:val="HTMLPreformattedChar"/>
    <w:rsid w:val="00784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84FC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84F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FCE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4F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FC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4FCE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84F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4FCE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C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C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2C1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17"/>
    <w:rPr>
      <w:rFonts w:ascii="Tahoma" w:eastAsia="Times New Roman" w:hAnsi="Tahoma" w:cs="Tahoma"/>
      <w:sz w:val="16"/>
      <w:szCs w:val="16"/>
    </w:rPr>
  </w:style>
  <w:style w:type="paragraph" w:customStyle="1" w:styleId="HEAD1">
    <w:name w:val="HEAD1"/>
    <w:basedOn w:val="BodyTextIndent"/>
    <w:link w:val="HEAD1Char"/>
    <w:qFormat/>
    <w:rsid w:val="008C5EBA"/>
    <w:pPr>
      <w:spacing w:before="180" w:after="180"/>
      <w:ind w:firstLine="0"/>
    </w:pPr>
    <w:rPr>
      <w:b/>
      <w:u w:val="single"/>
    </w:rPr>
  </w:style>
  <w:style w:type="character" w:customStyle="1" w:styleId="HEAD1Char">
    <w:name w:val="HEAD1 Char"/>
    <w:basedOn w:val="BodyTextIndentChar"/>
    <w:link w:val="HEAD1"/>
    <w:rsid w:val="008C5EBA"/>
    <w:rPr>
      <w:rFonts w:eastAsia="Times New Roman" w:cs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1991</Words>
  <Characters>10931</Characters>
  <Application>Microsoft Office Word</Application>
  <DocSecurity>0</DocSecurity>
  <PresentationFormat>14|.DOCX</PresentationFormat>
  <Lines>268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GNU Comments and Objections (C48860).DOCX</vt:lpstr>
    </vt:vector>
  </TitlesOfParts>
  <Company>Some Company, Inc.</Company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GNU Comments and Objections (C48860).DOCX</dc:title>
  <dc:subject>C48860: /font=8</dc:subject>
  <dc:creator>Debbie Ryan</dc:creator>
  <cp:lastModifiedBy>Debbie Ryan</cp:lastModifiedBy>
  <cp:revision>3</cp:revision>
  <cp:lastPrinted>2015-12-03T14:34:00Z</cp:lastPrinted>
  <dcterms:created xsi:type="dcterms:W3CDTF">2015-12-03T14:34:00Z</dcterms:created>
  <dcterms:modified xsi:type="dcterms:W3CDTF">2015-12-03T14:38:00Z</dcterms:modified>
</cp:coreProperties>
</file>