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10" w:rsidRDefault="004A6E10" w:rsidP="004A6E10">
      <w:pPr>
        <w:pStyle w:val="Title"/>
        <w:rPr>
          <w:sz w:val="28"/>
        </w:rPr>
      </w:pPr>
      <w:bookmarkStart w:id="0" w:name="OLE_LINK2"/>
      <w:bookmarkStart w:id="1" w:name="OLE_LINK1"/>
      <w:r>
        <w:rPr>
          <w:sz w:val="28"/>
        </w:rPr>
        <w:t>Before</w:t>
      </w:r>
    </w:p>
    <w:p w:rsidR="004A6E10" w:rsidRDefault="004A6E10" w:rsidP="004A6E10">
      <w:pPr>
        <w:jc w:val="center"/>
        <w:rPr>
          <w:rFonts w:cs="Arial"/>
          <w:b/>
          <w:smallCaps/>
          <w:sz w:val="28"/>
        </w:rPr>
      </w:pPr>
      <w:r>
        <w:rPr>
          <w:rFonts w:cs="Arial"/>
          <w:b/>
          <w:smallCaps/>
          <w:sz w:val="28"/>
        </w:rPr>
        <w:t>The Public Utilities Commission of Ohio</w:t>
      </w:r>
    </w:p>
    <w:p w:rsidR="004A6E10" w:rsidRDefault="004A6E10" w:rsidP="004A6E10">
      <w:pPr>
        <w:autoSpaceDE w:val="0"/>
        <w:autoSpaceDN w:val="0"/>
        <w:adjustRightInd w:val="0"/>
        <w:rPr>
          <w:rFonts w:cs="Arial"/>
        </w:rPr>
      </w:pPr>
    </w:p>
    <w:p w:rsidR="004A6E10" w:rsidRDefault="004A6E10" w:rsidP="004A6E10">
      <w:pPr>
        <w:pStyle w:val="BodyTextIndent2"/>
        <w:ind w:left="0"/>
        <w:rPr>
          <w:sz w:val="24"/>
        </w:rPr>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Ohio Power Company and</w:t>
      </w:r>
      <w:r>
        <w:tab/>
        <w:t>)</w:t>
      </w:r>
      <w:r>
        <w:tab/>
      </w:r>
      <w:r>
        <w:tab/>
        <w:t>Case No. 10-501-EL-FOR</w:t>
      </w:r>
    </w:p>
    <w:p w:rsidR="004A6E10" w:rsidRDefault="004A6E10" w:rsidP="004A6E10">
      <w:pPr>
        <w:pStyle w:val="BodyText"/>
        <w:tabs>
          <w:tab w:val="left" w:pos="4680"/>
          <w:tab w:val="left" w:pos="5040"/>
        </w:tabs>
      </w:pPr>
      <w:r>
        <w:t>Related Matters.</w:t>
      </w:r>
      <w:r>
        <w:tab/>
        <w:t>)</w:t>
      </w:r>
    </w:p>
    <w:p w:rsidR="004A6E10" w:rsidRDefault="004A6E10" w:rsidP="004A6E10">
      <w:pPr>
        <w:pStyle w:val="BodyText"/>
        <w:tabs>
          <w:tab w:val="left" w:pos="5040"/>
        </w:tabs>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Columbus Southern Power</w:t>
      </w:r>
      <w:r>
        <w:tab/>
        <w:t>)</w:t>
      </w:r>
      <w:r>
        <w:tab/>
      </w:r>
      <w:r>
        <w:tab/>
        <w:t>Case No. 10-502-EL-FOR</w:t>
      </w:r>
    </w:p>
    <w:p w:rsidR="004A6E10" w:rsidRDefault="004A6E10" w:rsidP="004A6E10">
      <w:pPr>
        <w:pStyle w:val="BodyText"/>
        <w:tabs>
          <w:tab w:val="left" w:pos="4680"/>
        </w:tabs>
      </w:pPr>
      <w:r>
        <w:t>Company and Related Matters.</w:t>
      </w:r>
      <w:r>
        <w:tab/>
        <w:t>)</w:t>
      </w:r>
    </w:p>
    <w:p w:rsidR="004A6E10" w:rsidRDefault="004A6E10" w:rsidP="004A6E10">
      <w:pPr>
        <w:pStyle w:val="BodyText"/>
        <w:tabs>
          <w:tab w:val="left" w:pos="5040"/>
        </w:tabs>
      </w:pPr>
    </w:p>
    <w:p w:rsidR="004A6E10" w:rsidRDefault="004A6E10" w:rsidP="004A6E10">
      <w:pPr>
        <w:pStyle w:val="BodyText"/>
        <w:tabs>
          <w:tab w:val="left" w:pos="5040"/>
        </w:tabs>
      </w:pPr>
    </w:p>
    <w:p w:rsidR="004A6E10" w:rsidRDefault="004A6E10" w:rsidP="004A6E10">
      <w:pPr>
        <w:pBdr>
          <w:top w:val="single" w:sz="12" w:space="1" w:color="auto"/>
        </w:pBdr>
        <w:tabs>
          <w:tab w:val="left" w:pos="7320"/>
        </w:tabs>
        <w:jc w:val="both"/>
        <w:rPr>
          <w:rFonts w:cs="Arial"/>
          <w:sz w:val="28"/>
        </w:rPr>
      </w:pPr>
    </w:p>
    <w:p w:rsidR="004A6E10" w:rsidRDefault="004A6E10" w:rsidP="004A6E10">
      <w:pPr>
        <w:pStyle w:val="Heading1"/>
        <w:tabs>
          <w:tab w:val="left" w:pos="7320"/>
        </w:tabs>
        <w:ind w:left="0" w:right="0"/>
        <w:jc w:val="center"/>
        <w:rPr>
          <w:szCs w:val="28"/>
        </w:rPr>
      </w:pPr>
      <w:r>
        <w:rPr>
          <w:sz w:val="24"/>
        </w:rPr>
        <w:t>REPLY BRIEF OF INDUSTRIAL ENERGY USERS-OHIO</w:t>
      </w:r>
    </w:p>
    <w:p w:rsidR="004A6E10" w:rsidRDefault="004A6E10" w:rsidP="004A6E10">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4A6E10" w:rsidRDefault="004A6E10" w:rsidP="004A6E10">
      <w:pPr>
        <w:pStyle w:val="Title"/>
        <w:rPr>
          <w:sz w:val="28"/>
          <w:u w:val="single"/>
        </w:rPr>
      </w:pPr>
    </w:p>
    <w:bookmarkEnd w:id="0"/>
    <w:bookmarkEnd w:id="1"/>
    <w:p w:rsidR="004A6E10" w:rsidRDefault="004A6E10" w:rsidP="004A6E10">
      <w:pPr>
        <w:rPr>
          <w:rFonts w:cs="Arial"/>
          <w:b/>
          <w:smallCaps/>
          <w:sz w:val="28"/>
          <w:u w:val="single"/>
        </w:rPr>
        <w:sectPr w:rsidR="004A6E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41" w:left="1440" w:header="720" w:footer="720" w:gutter="0"/>
          <w:pgNumType w:start="1"/>
          <w:cols w:space="720"/>
        </w:sect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tabs>
          <w:tab w:val="left" w:pos="4140"/>
        </w:tabs>
        <w:rPr>
          <w:sz w:val="28"/>
          <w:u w:val="single"/>
        </w:rPr>
      </w:pPr>
    </w:p>
    <w:p w:rsidR="004A6E10" w:rsidRDefault="004A6E10" w:rsidP="004A6E10">
      <w:pPr>
        <w:tabs>
          <w:tab w:val="left" w:pos="-1350"/>
          <w:tab w:val="right" w:pos="8640"/>
        </w:tabs>
        <w:ind w:left="4320" w:hanging="180"/>
        <w:jc w:val="both"/>
        <w:rPr>
          <w:rFonts w:cs="Arial"/>
        </w:rPr>
      </w:pPr>
      <w:r>
        <w:rPr>
          <w:rFonts w:cs="Arial"/>
        </w:rPr>
        <w:t xml:space="preserve">Samuel C. Randazzo </w:t>
      </w:r>
    </w:p>
    <w:p w:rsidR="004A6E10" w:rsidRDefault="004A6E10" w:rsidP="004A6E10">
      <w:pPr>
        <w:pStyle w:val="BodyText3"/>
        <w:widowControl w:val="0"/>
        <w:tabs>
          <w:tab w:val="left" w:pos="0"/>
        </w:tabs>
        <w:ind w:left="4140"/>
        <w:jc w:val="both"/>
        <w:rPr>
          <w:rFonts w:cs="Arial"/>
          <w:b w:val="0"/>
          <w:bCs/>
        </w:rPr>
      </w:pPr>
      <w:r>
        <w:rPr>
          <w:rFonts w:cs="Arial"/>
          <w:b w:val="0"/>
          <w:bCs/>
        </w:rPr>
        <w:t>(Counsel of Record)</w:t>
      </w:r>
    </w:p>
    <w:p w:rsidR="004A6E10" w:rsidRDefault="004A6E10" w:rsidP="004A6E10">
      <w:pPr>
        <w:pStyle w:val="BodyText3"/>
        <w:widowControl w:val="0"/>
        <w:tabs>
          <w:tab w:val="left" w:pos="0"/>
        </w:tabs>
        <w:ind w:left="4140"/>
        <w:jc w:val="both"/>
        <w:rPr>
          <w:rFonts w:cs="Arial"/>
          <w:b w:val="0"/>
          <w:bCs/>
        </w:rPr>
      </w:pPr>
      <w:r>
        <w:rPr>
          <w:rFonts w:cs="Arial"/>
          <w:b w:val="0"/>
          <w:bCs/>
        </w:rPr>
        <w:t>Frank P. Darr</w:t>
      </w:r>
    </w:p>
    <w:p w:rsidR="004A6E10" w:rsidRDefault="004A6E10" w:rsidP="004A6E10">
      <w:pPr>
        <w:pStyle w:val="BodyText3"/>
        <w:widowControl w:val="0"/>
        <w:tabs>
          <w:tab w:val="left" w:pos="0"/>
        </w:tabs>
        <w:ind w:left="4140"/>
        <w:jc w:val="both"/>
        <w:rPr>
          <w:rFonts w:cs="Arial"/>
          <w:b w:val="0"/>
          <w:bCs/>
        </w:rPr>
      </w:pPr>
      <w:r>
        <w:rPr>
          <w:rFonts w:cs="Arial"/>
          <w:b w:val="0"/>
          <w:bCs/>
        </w:rPr>
        <w:t>Joseph E. Oliker</w:t>
      </w:r>
    </w:p>
    <w:p w:rsidR="004A6E10" w:rsidRDefault="004A6E10" w:rsidP="004A6E10">
      <w:pPr>
        <w:pStyle w:val="BodyText3"/>
        <w:widowControl w:val="0"/>
        <w:tabs>
          <w:tab w:val="left" w:pos="0"/>
        </w:tabs>
        <w:ind w:left="4140"/>
        <w:jc w:val="both"/>
        <w:rPr>
          <w:rFonts w:cs="Arial"/>
          <w:b w:val="0"/>
          <w:bCs/>
          <w:smallCaps/>
          <w:szCs w:val="24"/>
        </w:rPr>
      </w:pPr>
      <w:r>
        <w:rPr>
          <w:rFonts w:cs="Arial"/>
          <w:b w:val="0"/>
          <w:bCs/>
          <w:smallCaps/>
          <w:szCs w:val="24"/>
        </w:rPr>
        <w:t>McNees Wallace &amp; Nurick LLC</w:t>
      </w:r>
    </w:p>
    <w:p w:rsidR="004A6E10" w:rsidRDefault="004A6E10" w:rsidP="004A6E10">
      <w:pPr>
        <w:pStyle w:val="BodyText3"/>
        <w:widowControl w:val="0"/>
        <w:tabs>
          <w:tab w:val="left" w:pos="0"/>
        </w:tabs>
        <w:ind w:left="4140"/>
        <w:jc w:val="both"/>
        <w:rPr>
          <w:rFonts w:cs="Arial"/>
          <w:b w:val="0"/>
          <w:bCs/>
        </w:rPr>
      </w:pPr>
      <w:r>
        <w:rPr>
          <w:rFonts w:cs="Arial"/>
          <w:b w:val="0"/>
          <w:bCs/>
        </w:rPr>
        <w:t>21 East State Street, 17</w:t>
      </w:r>
      <w:r>
        <w:rPr>
          <w:rFonts w:cs="Arial"/>
          <w:b w:val="0"/>
          <w:bCs/>
          <w:vertAlign w:val="superscript"/>
        </w:rPr>
        <w:t>TH</w:t>
      </w:r>
      <w:r>
        <w:rPr>
          <w:rFonts w:cs="Arial"/>
          <w:b w:val="0"/>
          <w:bCs/>
        </w:rPr>
        <w:t xml:space="preserve"> Floor</w:t>
      </w:r>
    </w:p>
    <w:p w:rsidR="004A6E10" w:rsidRDefault="004A6E10" w:rsidP="004A6E10">
      <w:pPr>
        <w:pStyle w:val="BodyText"/>
        <w:tabs>
          <w:tab w:val="left" w:pos="0"/>
        </w:tabs>
        <w:ind w:left="4140"/>
      </w:pPr>
      <w:r>
        <w:t>Columbus, OH  43215</w:t>
      </w:r>
    </w:p>
    <w:p w:rsidR="004A6E10" w:rsidRDefault="004A6E10" w:rsidP="004A6E10">
      <w:pPr>
        <w:pStyle w:val="BodyText"/>
        <w:tabs>
          <w:tab w:val="left" w:pos="0"/>
        </w:tabs>
        <w:ind w:left="4140"/>
      </w:pPr>
      <w:r>
        <w:t>Telephone:  (614) 469-8000</w:t>
      </w:r>
    </w:p>
    <w:p w:rsidR="004A6E10" w:rsidRDefault="004A6E10" w:rsidP="004A6E10">
      <w:pPr>
        <w:pStyle w:val="BodyText"/>
        <w:tabs>
          <w:tab w:val="left" w:pos="0"/>
        </w:tabs>
        <w:ind w:left="4140"/>
      </w:pPr>
      <w:r>
        <w:t>Telecopier:  (614) 469-4653</w:t>
      </w:r>
    </w:p>
    <w:p w:rsidR="004A6E10" w:rsidRDefault="004A6E10" w:rsidP="004A6E10">
      <w:pPr>
        <w:pStyle w:val="BodyText"/>
        <w:tabs>
          <w:tab w:val="left" w:pos="0"/>
        </w:tabs>
        <w:ind w:left="4140"/>
      </w:pPr>
      <w:r>
        <w:t>sam@mwncmh.com</w:t>
      </w:r>
    </w:p>
    <w:p w:rsidR="004A6E10" w:rsidRDefault="004A6E10" w:rsidP="004A6E10">
      <w:pPr>
        <w:pStyle w:val="BodyText"/>
        <w:tabs>
          <w:tab w:val="left" w:pos="0"/>
        </w:tabs>
        <w:ind w:left="4140"/>
      </w:pPr>
      <w:r>
        <w:t>fdarr@mwncmh.com</w:t>
      </w:r>
    </w:p>
    <w:p w:rsidR="004A6E10" w:rsidRDefault="004A6E10" w:rsidP="004A6E10">
      <w:pPr>
        <w:pStyle w:val="BodyText"/>
        <w:tabs>
          <w:tab w:val="left" w:pos="0"/>
        </w:tabs>
        <w:ind w:left="4140"/>
      </w:pPr>
      <w:r>
        <w:t>joliker@mwncmh.com</w:t>
      </w:r>
    </w:p>
    <w:p w:rsidR="004A6E10" w:rsidRDefault="004A6E10" w:rsidP="004A6E10">
      <w:pPr>
        <w:pStyle w:val="BodyText"/>
        <w:tabs>
          <w:tab w:val="left" w:pos="0"/>
        </w:tabs>
      </w:pPr>
    </w:p>
    <w:p w:rsidR="004A6E10" w:rsidRDefault="0003365F" w:rsidP="004A6E10">
      <w:pPr>
        <w:autoSpaceDE w:val="0"/>
        <w:autoSpaceDN w:val="0"/>
        <w:adjustRightInd w:val="0"/>
        <w:ind w:left="4140" w:hanging="4140"/>
        <w:rPr>
          <w:rFonts w:ascii="Arial Bold" w:hAnsi="Arial Bold" w:cs="Arial"/>
          <w:b/>
          <w:smallCaps/>
        </w:rPr>
      </w:pPr>
      <w:r>
        <w:rPr>
          <w:rFonts w:cs="Arial"/>
          <w:b/>
        </w:rPr>
        <w:t>May</w:t>
      </w:r>
      <w:r w:rsidR="008254BD">
        <w:rPr>
          <w:rFonts w:cs="Arial"/>
          <w:b/>
        </w:rPr>
        <w:t xml:space="preserve"> 4</w:t>
      </w:r>
      <w:r w:rsidR="004A6E10">
        <w:rPr>
          <w:rFonts w:cs="Arial"/>
          <w:b/>
        </w:rPr>
        <w:t>, 2012</w:t>
      </w:r>
      <w:r w:rsidR="004A6E10">
        <w:rPr>
          <w:rFonts w:cs="Arial"/>
          <w:b/>
        </w:rPr>
        <w:tab/>
      </w:r>
      <w:r w:rsidR="004A6E10">
        <w:rPr>
          <w:rFonts w:ascii="Arial Bold" w:hAnsi="Arial Bold" w:cs="Arial"/>
          <w:b/>
          <w:smallCaps/>
        </w:rPr>
        <w:t>Attorneys for Industrial Energy Users-Ohio</w:t>
      </w:r>
    </w:p>
    <w:p w:rsidR="00865D80" w:rsidRDefault="00865D80" w:rsidP="004A6E10">
      <w:pPr>
        <w:autoSpaceDE w:val="0"/>
        <w:autoSpaceDN w:val="0"/>
        <w:adjustRightInd w:val="0"/>
        <w:ind w:left="4140" w:hanging="4140"/>
        <w:rPr>
          <w:rFonts w:ascii="Arial Bold" w:hAnsi="Arial Bold" w:cs="Arial"/>
          <w:b/>
          <w:smallCaps/>
        </w:rPr>
      </w:pPr>
    </w:p>
    <w:p w:rsidR="00865D80" w:rsidRDefault="00865D80" w:rsidP="004A6E10">
      <w:pPr>
        <w:autoSpaceDE w:val="0"/>
        <w:autoSpaceDN w:val="0"/>
        <w:adjustRightInd w:val="0"/>
        <w:ind w:left="4140" w:hanging="4140"/>
        <w:rPr>
          <w:rFonts w:ascii="Arial Bold" w:hAnsi="Arial Bold" w:cs="Arial"/>
          <w:b/>
        </w:rPr>
        <w:sectPr w:rsidR="00865D80" w:rsidSect="00865D80">
          <w:headerReference w:type="default" r:id="rId15"/>
          <w:footerReference w:type="default" r:id="rId16"/>
          <w:headerReference w:type="first" r:id="rId17"/>
          <w:footerReference w:type="first" r:id="rId18"/>
          <w:type w:val="continuous"/>
          <w:pgSz w:w="12240" w:h="15840" w:code="1"/>
          <w:pgMar w:top="1152" w:right="1253" w:bottom="662" w:left="1571" w:header="720" w:footer="720" w:gutter="0"/>
          <w:cols w:space="720"/>
          <w:noEndnote/>
          <w:docGrid w:linePitch="299"/>
        </w:sectPr>
      </w:pPr>
    </w:p>
    <w:p w:rsidR="00C65FD5" w:rsidRPr="00C65FD5" w:rsidRDefault="00C65FD5" w:rsidP="00C65FD5">
      <w:pPr>
        <w:pStyle w:val="Heading9"/>
        <w:jc w:val="center"/>
        <w:rPr>
          <w:rFonts w:ascii="Arial" w:hAnsi="Arial" w:cs="Arial"/>
          <w:b/>
          <w:i w:val="0"/>
          <w:sz w:val="24"/>
          <w:szCs w:val="24"/>
          <w:u w:val="single"/>
        </w:rPr>
      </w:pPr>
      <w:r w:rsidRPr="00C65FD5">
        <w:rPr>
          <w:rFonts w:ascii="Arial" w:hAnsi="Arial" w:cs="Arial"/>
          <w:b/>
          <w:i w:val="0"/>
          <w:sz w:val="24"/>
          <w:szCs w:val="24"/>
          <w:u w:val="single"/>
        </w:rPr>
        <w:lastRenderedPageBreak/>
        <w:t>TABLE OF CONTENTS</w:t>
      </w:r>
    </w:p>
    <w:p w:rsidR="00C65FD5" w:rsidRDefault="00C65FD5" w:rsidP="00C65FD5">
      <w:pPr>
        <w:rPr>
          <w:rFonts w:cs="Arial"/>
        </w:rPr>
      </w:pPr>
    </w:p>
    <w:p w:rsidR="00C65FD5" w:rsidRDefault="00C65FD5" w:rsidP="00C65FD5">
      <w:pPr>
        <w:rPr>
          <w:rFonts w:cs="Arial"/>
        </w:rPr>
      </w:pPr>
    </w:p>
    <w:p w:rsidR="00C65FD5" w:rsidRDefault="00C65FD5" w:rsidP="00C65FD5">
      <w:pPr>
        <w:pStyle w:val="BodyText"/>
        <w:tabs>
          <w:tab w:val="left" w:pos="720"/>
          <w:tab w:val="right" w:leader="dot" w:pos="9360"/>
        </w:tabs>
        <w:ind w:right="720"/>
      </w:pPr>
      <w:r>
        <w:rPr>
          <w:b/>
        </w:rPr>
        <w:t>I.</w:t>
      </w:r>
      <w:r>
        <w:rPr>
          <w:b/>
        </w:rPr>
        <w:tab/>
        <w:t>INTRODUCTION</w:t>
      </w:r>
      <w:r w:rsidRPr="00C47B1D">
        <w:tab/>
      </w:r>
      <w:r>
        <w:t>1</w:t>
      </w:r>
    </w:p>
    <w:p w:rsidR="00C65FD5" w:rsidRDefault="00C65FD5" w:rsidP="00C65FD5">
      <w:pPr>
        <w:pStyle w:val="BodyText"/>
        <w:tabs>
          <w:tab w:val="left" w:pos="720"/>
          <w:tab w:val="left" w:pos="1440"/>
          <w:tab w:val="right" w:leader="dot" w:pos="9360"/>
        </w:tabs>
        <w:ind w:left="1440" w:right="720" w:hanging="1440"/>
        <w:rPr>
          <w:b/>
        </w:rPr>
      </w:pPr>
    </w:p>
    <w:p w:rsidR="00C65FD5" w:rsidRDefault="00C65FD5" w:rsidP="00C65FD5">
      <w:pPr>
        <w:pStyle w:val="BodyText"/>
        <w:tabs>
          <w:tab w:val="left" w:pos="720"/>
          <w:tab w:val="left" w:pos="1440"/>
          <w:tab w:val="right" w:leader="dot" w:pos="9360"/>
        </w:tabs>
        <w:ind w:left="1440" w:right="720" w:hanging="1440"/>
      </w:pPr>
      <w:r>
        <w:rPr>
          <w:b/>
        </w:rPr>
        <w:t>II.</w:t>
      </w:r>
      <w:r>
        <w:tab/>
      </w:r>
      <w:r>
        <w:rPr>
          <w:b/>
        </w:rPr>
        <w:t>STANDARD OF REVIEW AND BURDEN OF PROOF</w:t>
      </w:r>
      <w:r w:rsidRPr="00C47B1D">
        <w:tab/>
      </w:r>
      <w:r>
        <w:t>2</w:t>
      </w:r>
    </w:p>
    <w:p w:rsidR="00C65FD5" w:rsidRDefault="00C65FD5" w:rsidP="00C65FD5">
      <w:pPr>
        <w:pStyle w:val="BodyText"/>
        <w:tabs>
          <w:tab w:val="left" w:pos="720"/>
          <w:tab w:val="left" w:pos="1440"/>
          <w:tab w:val="right" w:leader="dot" w:pos="9360"/>
        </w:tabs>
        <w:ind w:left="1440" w:right="720" w:hanging="1440"/>
        <w:rPr>
          <w:b/>
        </w:rPr>
      </w:pPr>
    </w:p>
    <w:p w:rsidR="00C65FD5" w:rsidRDefault="00C65FD5" w:rsidP="00C65FD5">
      <w:pPr>
        <w:pStyle w:val="BodyText"/>
        <w:tabs>
          <w:tab w:val="left" w:pos="720"/>
          <w:tab w:val="left" w:pos="1440"/>
          <w:tab w:val="right" w:leader="dot" w:pos="9360"/>
        </w:tabs>
        <w:ind w:left="1440" w:right="720" w:hanging="1440"/>
      </w:pPr>
      <w:r w:rsidRPr="00C47B1D">
        <w:rPr>
          <w:b/>
        </w:rPr>
        <w:t>III.</w:t>
      </w:r>
      <w:r w:rsidRPr="00C47B1D">
        <w:rPr>
          <w:b/>
        </w:rPr>
        <w:tab/>
      </w:r>
      <w:r>
        <w:rPr>
          <w:b/>
        </w:rPr>
        <w:t>ARGUMENT</w:t>
      </w:r>
      <w:r>
        <w:tab/>
        <w:t>3</w:t>
      </w:r>
    </w:p>
    <w:p w:rsidR="00C65FD5" w:rsidRPr="00C47B1D" w:rsidRDefault="00C65FD5" w:rsidP="00C65FD5">
      <w:pPr>
        <w:pStyle w:val="BodyText"/>
        <w:tabs>
          <w:tab w:val="left" w:pos="720"/>
          <w:tab w:val="left" w:pos="1440"/>
          <w:tab w:val="right" w:leader="dot" w:pos="9360"/>
        </w:tabs>
        <w:ind w:left="1440" w:right="720" w:hanging="1440"/>
      </w:pPr>
    </w:p>
    <w:p w:rsidR="00C65FD5" w:rsidRDefault="00C65FD5" w:rsidP="00C65FD5">
      <w:pPr>
        <w:pStyle w:val="ListParagraph"/>
        <w:numPr>
          <w:ilvl w:val="0"/>
          <w:numId w:val="5"/>
        </w:numPr>
        <w:tabs>
          <w:tab w:val="left" w:pos="1440"/>
          <w:tab w:val="right" w:leader="dot" w:pos="9360"/>
        </w:tabs>
        <w:ind w:left="1440" w:right="720" w:hanging="720"/>
        <w:jc w:val="both"/>
        <w:rPr>
          <w:rFonts w:eastAsia="Calibri" w:cs="Arial"/>
        </w:rPr>
      </w:pPr>
      <w:r>
        <w:rPr>
          <w:rFonts w:eastAsia="Calibri" w:cs="Arial"/>
        </w:rPr>
        <w:t>A Finding of Need Cannot Be Made in a LTFR Proceeding</w:t>
      </w:r>
      <w:r>
        <w:rPr>
          <w:rFonts w:eastAsia="Calibri" w:cs="Arial"/>
        </w:rPr>
        <w:tab/>
        <w:t>3</w:t>
      </w:r>
    </w:p>
    <w:p w:rsidR="00C65FD5" w:rsidRDefault="00C65FD5" w:rsidP="00C65FD5">
      <w:pPr>
        <w:pStyle w:val="ListParagraph"/>
        <w:tabs>
          <w:tab w:val="right" w:leader="dot" w:pos="9360"/>
        </w:tabs>
        <w:ind w:left="1440" w:right="720" w:hanging="720"/>
        <w:jc w:val="both"/>
        <w:rPr>
          <w:rFonts w:eastAsia="Calibri" w:cs="Arial"/>
        </w:rPr>
      </w:pPr>
    </w:p>
    <w:p w:rsidR="00C65FD5" w:rsidRDefault="00C65FD5" w:rsidP="00C65FD5">
      <w:pPr>
        <w:pStyle w:val="ListParagraph"/>
        <w:numPr>
          <w:ilvl w:val="0"/>
          <w:numId w:val="5"/>
        </w:numPr>
        <w:tabs>
          <w:tab w:val="left" w:pos="1440"/>
          <w:tab w:val="right" w:leader="dot" w:pos="9360"/>
        </w:tabs>
        <w:ind w:left="1440" w:right="720" w:hanging="720"/>
        <w:jc w:val="both"/>
        <w:rPr>
          <w:rFonts w:eastAsia="Calibri" w:cs="Arial"/>
        </w:rPr>
      </w:pPr>
      <w:r>
        <w:rPr>
          <w:rFonts w:eastAsia="Calibri" w:cs="Arial"/>
        </w:rPr>
        <w:t>The Stipulation Unlawfully Requests that the Commission Determine that TPS is Needed to Satisfy Statewide SREC Requirements</w:t>
      </w:r>
      <w:r>
        <w:rPr>
          <w:rFonts w:eastAsia="Calibri" w:cs="Arial"/>
        </w:rPr>
        <w:tab/>
        <w:t>9</w:t>
      </w:r>
    </w:p>
    <w:p w:rsidR="00C65FD5" w:rsidRDefault="00C65FD5" w:rsidP="00C65FD5">
      <w:pPr>
        <w:pStyle w:val="ListParagraph"/>
        <w:tabs>
          <w:tab w:val="right" w:leader="dot" w:pos="9360"/>
        </w:tabs>
        <w:ind w:left="1440" w:right="720" w:hanging="720"/>
        <w:jc w:val="both"/>
        <w:rPr>
          <w:rFonts w:eastAsia="Calibri" w:cs="Arial"/>
        </w:rPr>
      </w:pPr>
    </w:p>
    <w:p w:rsidR="00C65FD5" w:rsidRDefault="00C65FD5" w:rsidP="00C65FD5">
      <w:pPr>
        <w:pStyle w:val="ListParagraph"/>
        <w:tabs>
          <w:tab w:val="left" w:pos="1440"/>
          <w:tab w:val="right" w:leader="dot" w:pos="9360"/>
        </w:tabs>
        <w:ind w:left="1440" w:right="720" w:hanging="720"/>
        <w:jc w:val="both"/>
        <w:rPr>
          <w:rFonts w:eastAsia="Calibri" w:cs="Arial"/>
        </w:rPr>
      </w:pPr>
      <w:r>
        <w:rPr>
          <w:rFonts w:eastAsia="Calibri" w:cs="Arial"/>
        </w:rPr>
        <w:t>C.</w:t>
      </w:r>
      <w:r>
        <w:rPr>
          <w:rFonts w:eastAsia="Calibri" w:cs="Arial"/>
        </w:rPr>
        <w:tab/>
        <w:t>The Signatory Parties Have Failed to Satisfy the Burden of Demonstrating that Ohio Needs TPS</w:t>
      </w:r>
      <w:r>
        <w:rPr>
          <w:rFonts w:eastAsia="Calibri" w:cs="Arial"/>
        </w:rPr>
        <w:tab/>
        <w:t>10</w:t>
      </w:r>
    </w:p>
    <w:p w:rsidR="00C65FD5" w:rsidRDefault="00C65FD5" w:rsidP="00C65FD5">
      <w:pPr>
        <w:pStyle w:val="ListParagraph"/>
        <w:tabs>
          <w:tab w:val="left" w:pos="1440"/>
          <w:tab w:val="right" w:leader="dot" w:pos="9360"/>
        </w:tabs>
        <w:ind w:left="0" w:right="720"/>
        <w:jc w:val="both"/>
        <w:rPr>
          <w:rFonts w:eastAsia="Calibri" w:cs="Arial"/>
        </w:rPr>
      </w:pPr>
    </w:p>
    <w:p w:rsidR="00C65FD5" w:rsidRPr="006F4E39" w:rsidRDefault="00C65FD5" w:rsidP="00C65FD5">
      <w:pPr>
        <w:pStyle w:val="ListParagraph"/>
        <w:tabs>
          <w:tab w:val="left" w:pos="720"/>
          <w:tab w:val="right" w:leader="dot" w:pos="9360"/>
        </w:tabs>
        <w:spacing w:line="480" w:lineRule="auto"/>
        <w:ind w:left="0" w:right="720"/>
        <w:jc w:val="both"/>
        <w:rPr>
          <w:rFonts w:eastAsia="Calibri" w:cs="Arial"/>
          <w:b/>
        </w:rPr>
      </w:pPr>
      <w:r>
        <w:rPr>
          <w:rFonts w:eastAsia="Calibri" w:cs="Arial"/>
          <w:b/>
        </w:rPr>
        <w:t>IV.</w:t>
      </w:r>
      <w:r>
        <w:rPr>
          <w:rFonts w:eastAsia="Calibri" w:cs="Arial"/>
          <w:b/>
        </w:rPr>
        <w:tab/>
      </w:r>
      <w:r w:rsidRPr="006F4E39">
        <w:rPr>
          <w:rFonts w:eastAsia="Calibri" w:cs="Arial"/>
          <w:b/>
        </w:rPr>
        <w:t>CONCLUSION</w:t>
      </w:r>
      <w:r w:rsidRPr="006F4E39">
        <w:rPr>
          <w:rFonts w:eastAsia="Calibri" w:cs="Arial"/>
        </w:rPr>
        <w:tab/>
      </w:r>
      <w:r>
        <w:rPr>
          <w:rFonts w:eastAsia="Calibri" w:cs="Arial"/>
        </w:rPr>
        <w:t>14</w:t>
      </w:r>
    </w:p>
    <w:p w:rsidR="00C65FD5" w:rsidRDefault="00C65FD5" w:rsidP="00C65FD5">
      <w:pPr>
        <w:pStyle w:val="BodyText"/>
        <w:tabs>
          <w:tab w:val="left" w:pos="720"/>
          <w:tab w:val="left" w:pos="1440"/>
          <w:tab w:val="right" w:leader="dot" w:pos="8640"/>
        </w:tabs>
        <w:ind w:left="1440" w:right="720" w:hanging="1440"/>
      </w:pPr>
    </w:p>
    <w:p w:rsidR="00C65FD5" w:rsidRPr="00C65FD5" w:rsidRDefault="00C65FD5" w:rsidP="00C65FD5">
      <w:pPr>
        <w:pStyle w:val="Title"/>
        <w:jc w:val="left"/>
        <w:rPr>
          <w:b w:val="0"/>
          <w:sz w:val="24"/>
        </w:rPr>
      </w:pPr>
    </w:p>
    <w:p w:rsidR="00C65FD5" w:rsidRDefault="00C65FD5" w:rsidP="004A6E10">
      <w:pPr>
        <w:pStyle w:val="Title"/>
        <w:rPr>
          <w:sz w:val="28"/>
        </w:rPr>
      </w:pPr>
    </w:p>
    <w:p w:rsidR="00C65FD5" w:rsidRDefault="00C65FD5" w:rsidP="004A6E10">
      <w:pPr>
        <w:pStyle w:val="Title"/>
        <w:rPr>
          <w:sz w:val="28"/>
        </w:rPr>
      </w:pPr>
    </w:p>
    <w:p w:rsidR="00C65FD5" w:rsidRPr="00C65FD5" w:rsidRDefault="00C65FD5" w:rsidP="00C65FD5">
      <w:pPr>
        <w:pStyle w:val="Title"/>
        <w:jc w:val="left"/>
        <w:rPr>
          <w:b w:val="0"/>
          <w:sz w:val="24"/>
        </w:rPr>
        <w:sectPr w:rsidR="00C65FD5" w:rsidRPr="00C65FD5" w:rsidSect="00C63F63">
          <w:headerReference w:type="default" r:id="rId19"/>
          <w:footerReference w:type="default" r:id="rId20"/>
          <w:headerReference w:type="first" r:id="rId21"/>
          <w:footerReference w:type="first" r:id="rId22"/>
          <w:pgSz w:w="12240" w:h="15840" w:code="1"/>
          <w:pgMar w:top="1440" w:right="1440" w:bottom="1440" w:left="1440" w:header="720" w:footer="720" w:gutter="0"/>
          <w:pgNumType w:fmt="lowerRoman" w:start="1"/>
          <w:cols w:space="720"/>
          <w:noEndnote/>
          <w:titlePg/>
          <w:docGrid w:linePitch="326"/>
        </w:sectPr>
      </w:pPr>
    </w:p>
    <w:p w:rsidR="004A6E10" w:rsidRPr="00865D80" w:rsidRDefault="004A6E10" w:rsidP="004A6E10">
      <w:pPr>
        <w:pStyle w:val="Title"/>
        <w:rPr>
          <w:sz w:val="28"/>
        </w:rPr>
      </w:pPr>
      <w:r w:rsidRPr="00865D80">
        <w:rPr>
          <w:sz w:val="28"/>
        </w:rPr>
        <w:lastRenderedPageBreak/>
        <w:t>Before</w:t>
      </w:r>
    </w:p>
    <w:p w:rsidR="004A6E10" w:rsidRDefault="004A6E10" w:rsidP="004A6E10">
      <w:pPr>
        <w:jc w:val="center"/>
        <w:rPr>
          <w:rFonts w:cs="Arial"/>
          <w:b/>
          <w:smallCaps/>
          <w:sz w:val="28"/>
        </w:rPr>
      </w:pPr>
      <w:r>
        <w:rPr>
          <w:rFonts w:cs="Arial"/>
          <w:b/>
          <w:smallCaps/>
          <w:sz w:val="28"/>
        </w:rPr>
        <w:t>The Public Utilities Commission of Ohio</w:t>
      </w:r>
    </w:p>
    <w:p w:rsidR="004A6E10" w:rsidRDefault="004A6E10" w:rsidP="004A6E10">
      <w:pPr>
        <w:autoSpaceDE w:val="0"/>
        <w:autoSpaceDN w:val="0"/>
        <w:adjustRightInd w:val="0"/>
        <w:rPr>
          <w:rFonts w:cs="Arial"/>
        </w:rPr>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Ohio Power Company and</w:t>
      </w:r>
      <w:r>
        <w:tab/>
        <w:t>)</w:t>
      </w:r>
      <w:r>
        <w:tab/>
      </w:r>
      <w:r>
        <w:tab/>
        <w:t>Case No. 10-501-EL-FOR</w:t>
      </w:r>
    </w:p>
    <w:p w:rsidR="004A6E10" w:rsidRDefault="004A6E10" w:rsidP="004A6E10">
      <w:pPr>
        <w:pStyle w:val="BodyText"/>
        <w:tabs>
          <w:tab w:val="left" w:pos="4680"/>
          <w:tab w:val="left" w:pos="5040"/>
        </w:tabs>
      </w:pPr>
      <w:r>
        <w:t>Related Matters.</w:t>
      </w:r>
      <w:r>
        <w:tab/>
        <w:t>)</w:t>
      </w:r>
    </w:p>
    <w:p w:rsidR="004A6E10" w:rsidRDefault="004A6E10" w:rsidP="004A6E10">
      <w:pPr>
        <w:pStyle w:val="BodyText"/>
        <w:tabs>
          <w:tab w:val="left" w:pos="5040"/>
        </w:tabs>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Columbus Southern Power</w:t>
      </w:r>
      <w:r>
        <w:tab/>
        <w:t>)</w:t>
      </w:r>
      <w:r>
        <w:tab/>
      </w:r>
      <w:r>
        <w:tab/>
        <w:t>Case No. 10-502-EL-FOR</w:t>
      </w:r>
    </w:p>
    <w:p w:rsidR="004A6E10" w:rsidRDefault="004A6E10" w:rsidP="004A6E10">
      <w:pPr>
        <w:pStyle w:val="BodyText"/>
        <w:tabs>
          <w:tab w:val="left" w:pos="4680"/>
        </w:tabs>
      </w:pPr>
      <w:r>
        <w:t>Company and Related Matters.</w:t>
      </w:r>
      <w:r>
        <w:tab/>
        <w:t>)</w:t>
      </w:r>
    </w:p>
    <w:p w:rsidR="004A6E10" w:rsidRDefault="004A6E10" w:rsidP="004A6E10">
      <w:pPr>
        <w:pStyle w:val="BodyText"/>
        <w:tabs>
          <w:tab w:val="left" w:pos="5040"/>
        </w:tabs>
      </w:pPr>
    </w:p>
    <w:p w:rsidR="004A6E10" w:rsidRDefault="004A6E10" w:rsidP="004A6E10">
      <w:pPr>
        <w:pStyle w:val="BodyText"/>
        <w:tabs>
          <w:tab w:val="left" w:pos="5040"/>
        </w:tabs>
      </w:pPr>
    </w:p>
    <w:p w:rsidR="004A6E10" w:rsidRDefault="004A6E10" w:rsidP="004A6E10">
      <w:pPr>
        <w:pBdr>
          <w:top w:val="single" w:sz="12" w:space="1" w:color="auto"/>
        </w:pBdr>
        <w:tabs>
          <w:tab w:val="left" w:pos="7320"/>
        </w:tabs>
        <w:jc w:val="both"/>
        <w:rPr>
          <w:rFonts w:cs="Arial"/>
          <w:sz w:val="28"/>
        </w:rPr>
      </w:pPr>
    </w:p>
    <w:p w:rsidR="004A6E10" w:rsidRDefault="004A6E10" w:rsidP="004A6E10">
      <w:pPr>
        <w:pStyle w:val="Heading1"/>
        <w:tabs>
          <w:tab w:val="left" w:pos="9360"/>
        </w:tabs>
        <w:ind w:left="0" w:right="0"/>
        <w:jc w:val="center"/>
        <w:rPr>
          <w:szCs w:val="28"/>
        </w:rPr>
      </w:pPr>
      <w:r>
        <w:rPr>
          <w:sz w:val="24"/>
        </w:rPr>
        <w:t xml:space="preserve">REPLY BRIEF OF INDUSTRIAL ENERGY USERS-OHIO </w:t>
      </w:r>
    </w:p>
    <w:p w:rsidR="004A6E10" w:rsidRDefault="004A6E10" w:rsidP="004A6E10">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4A6E10" w:rsidRDefault="004A6E10" w:rsidP="004A6E10">
      <w:pPr>
        <w:pStyle w:val="BodyTextIndent"/>
        <w:tabs>
          <w:tab w:val="left" w:pos="7320"/>
        </w:tabs>
        <w:spacing w:after="100" w:afterAutospacing="1"/>
        <w:ind w:firstLine="0"/>
      </w:pPr>
    </w:p>
    <w:p w:rsidR="004A6E10" w:rsidRPr="00611D80" w:rsidRDefault="004A6E10" w:rsidP="00611D80">
      <w:pPr>
        <w:pStyle w:val="ListParagraph"/>
        <w:numPr>
          <w:ilvl w:val="0"/>
          <w:numId w:val="4"/>
        </w:numPr>
        <w:tabs>
          <w:tab w:val="left" w:pos="4320"/>
          <w:tab w:val="right" w:pos="8640"/>
        </w:tabs>
        <w:spacing w:after="120"/>
        <w:jc w:val="both"/>
        <w:rPr>
          <w:rFonts w:cs="Arial"/>
          <w:b/>
        </w:rPr>
      </w:pPr>
      <w:r w:rsidRPr="00611D80">
        <w:rPr>
          <w:rFonts w:cs="Arial"/>
          <w:b/>
        </w:rPr>
        <w:t>INTRODUCTION</w:t>
      </w:r>
    </w:p>
    <w:p w:rsidR="00597797" w:rsidRPr="00597797" w:rsidRDefault="00597797" w:rsidP="008254BD">
      <w:pPr>
        <w:spacing w:before="240" w:line="480" w:lineRule="auto"/>
        <w:ind w:firstLine="720"/>
        <w:jc w:val="both"/>
        <w:rPr>
          <w:rFonts w:cs="Arial"/>
          <w:szCs w:val="20"/>
        </w:rPr>
      </w:pPr>
      <w:r>
        <w:rPr>
          <w:rFonts w:cs="Arial"/>
          <w:szCs w:val="20"/>
        </w:rPr>
        <w:t>T</w:t>
      </w:r>
      <w:r w:rsidRPr="00597797">
        <w:rPr>
          <w:rFonts w:cs="Arial"/>
          <w:szCs w:val="20"/>
        </w:rPr>
        <w:t>here is no basis for the Public Utilities Commission of Ohio (“Commission”) to determine that there is a “need” for the Turning Point Solar (“TPS”) project.  A finding of need cannot be made in a long term forecast report (“LTFR”) and a finding of need cannot be made for a renewable energy facility in any proceeding.  Even if a finding of need could be made for a renewable energy facility, such a finding wou</w:t>
      </w:r>
      <w:r w:rsidR="00504804">
        <w:rPr>
          <w:rFonts w:cs="Arial"/>
          <w:szCs w:val="20"/>
        </w:rPr>
        <w:t>ld have to be based on the need</w:t>
      </w:r>
      <w:r w:rsidRPr="00597797">
        <w:rPr>
          <w:rFonts w:cs="Arial"/>
          <w:szCs w:val="20"/>
        </w:rPr>
        <w:t xml:space="preserve"> of </w:t>
      </w:r>
      <w:r w:rsidR="0003365F">
        <w:rPr>
          <w:rFonts w:cs="Arial"/>
          <w:szCs w:val="20"/>
        </w:rPr>
        <w:t xml:space="preserve">the </w:t>
      </w:r>
      <w:r w:rsidRPr="00597797">
        <w:rPr>
          <w:rFonts w:cs="Arial"/>
          <w:szCs w:val="20"/>
        </w:rPr>
        <w:t>electric distribution utility</w:t>
      </w:r>
      <w:r w:rsidR="0003365F">
        <w:rPr>
          <w:rFonts w:cs="Arial"/>
          <w:szCs w:val="20"/>
        </w:rPr>
        <w:t xml:space="preserve"> (“EDU”)</w:t>
      </w:r>
      <w:r w:rsidRPr="00597797">
        <w:rPr>
          <w:rFonts w:cs="Arial"/>
          <w:szCs w:val="20"/>
        </w:rPr>
        <w:t xml:space="preserve">—not the solar renewable energy credit (“SREC”) requirements of the state of Ohio.  Regardless, even assuming Ohio Power Company’s </w:t>
      </w:r>
      <w:r w:rsidR="0003365F">
        <w:rPr>
          <w:rFonts w:cs="Arial"/>
          <w:szCs w:val="20"/>
        </w:rPr>
        <w:t xml:space="preserve">(“OP”) </w:t>
      </w:r>
      <w:r w:rsidRPr="00597797">
        <w:rPr>
          <w:rFonts w:cs="Arial"/>
          <w:szCs w:val="20"/>
        </w:rPr>
        <w:t xml:space="preserve">and </w:t>
      </w:r>
      <w:r w:rsidR="0003365F">
        <w:rPr>
          <w:rFonts w:cs="Arial"/>
          <w:szCs w:val="20"/>
        </w:rPr>
        <w:t xml:space="preserve">Commission </w:t>
      </w:r>
      <w:r w:rsidRPr="00597797">
        <w:rPr>
          <w:rFonts w:cs="Arial"/>
          <w:szCs w:val="20"/>
        </w:rPr>
        <w:t xml:space="preserve">Staff’s </w:t>
      </w:r>
      <w:r w:rsidR="0003365F">
        <w:rPr>
          <w:rFonts w:cs="Arial"/>
          <w:szCs w:val="20"/>
        </w:rPr>
        <w:t xml:space="preserve">(“Staff”) </w:t>
      </w:r>
      <w:r w:rsidR="0003365F" w:rsidRPr="00597797">
        <w:rPr>
          <w:rFonts w:cs="Arial"/>
          <w:szCs w:val="20"/>
        </w:rPr>
        <w:t xml:space="preserve">(collectively, “Signatory Parties”) </w:t>
      </w:r>
      <w:r w:rsidRPr="00597797">
        <w:rPr>
          <w:rFonts w:cs="Arial"/>
          <w:szCs w:val="20"/>
        </w:rPr>
        <w:t>flawed legal position had merit, OP and Staff have failed to carry their burden of showing that insufficient solar generating facilities will be</w:t>
      </w:r>
      <w:r w:rsidR="008254BD">
        <w:rPr>
          <w:rFonts w:cs="Arial"/>
          <w:szCs w:val="20"/>
        </w:rPr>
        <w:t xml:space="preserve"> developed by market forces.</w:t>
      </w:r>
    </w:p>
    <w:p w:rsidR="00597797" w:rsidRDefault="004B49FE" w:rsidP="004B49FE">
      <w:pPr>
        <w:spacing w:after="240" w:line="480" w:lineRule="auto"/>
        <w:ind w:firstLine="720"/>
        <w:jc w:val="both"/>
        <w:rPr>
          <w:rFonts w:cs="Arial"/>
          <w:szCs w:val="20"/>
        </w:rPr>
      </w:pPr>
      <w:r>
        <w:rPr>
          <w:rFonts w:cs="Arial"/>
          <w:szCs w:val="20"/>
        </w:rPr>
        <w:t xml:space="preserve">The </w:t>
      </w:r>
      <w:r w:rsidR="009B5551">
        <w:rPr>
          <w:rFonts w:cs="Arial"/>
          <w:szCs w:val="20"/>
        </w:rPr>
        <w:t>P</w:t>
      </w:r>
      <w:r w:rsidR="00597797" w:rsidRPr="00597797">
        <w:rPr>
          <w:rFonts w:cs="Arial"/>
          <w:szCs w:val="20"/>
        </w:rPr>
        <w:t xml:space="preserve">ost </w:t>
      </w:r>
      <w:r w:rsidR="009B5551">
        <w:rPr>
          <w:rFonts w:cs="Arial"/>
          <w:szCs w:val="20"/>
        </w:rPr>
        <w:t>H</w:t>
      </w:r>
      <w:r w:rsidR="00597797" w:rsidRPr="00597797">
        <w:rPr>
          <w:rFonts w:cs="Arial"/>
          <w:szCs w:val="20"/>
        </w:rPr>
        <w:t xml:space="preserve">earing </w:t>
      </w:r>
      <w:r w:rsidR="009B5551">
        <w:rPr>
          <w:rFonts w:cs="Arial"/>
          <w:szCs w:val="20"/>
        </w:rPr>
        <w:t>B</w:t>
      </w:r>
      <w:r w:rsidR="00597797" w:rsidRPr="00597797">
        <w:rPr>
          <w:rFonts w:cs="Arial"/>
          <w:szCs w:val="20"/>
        </w:rPr>
        <w:t>riefs filed by Staff and OP</w:t>
      </w:r>
      <w:r w:rsidR="00A238BE">
        <w:rPr>
          <w:rFonts w:cs="Arial"/>
          <w:szCs w:val="20"/>
        </w:rPr>
        <w:t xml:space="preserve"> </w:t>
      </w:r>
      <w:r w:rsidR="00597797" w:rsidRPr="00597797">
        <w:rPr>
          <w:rFonts w:cs="Arial"/>
          <w:szCs w:val="20"/>
        </w:rPr>
        <w:t>further demonstrate that the Commission cannot find that there is a need for TPS.  Both Staff</w:t>
      </w:r>
      <w:r w:rsidR="00597797">
        <w:rPr>
          <w:rFonts w:cs="Arial"/>
          <w:szCs w:val="20"/>
        </w:rPr>
        <w:t>’s</w:t>
      </w:r>
      <w:r w:rsidR="00E91985">
        <w:rPr>
          <w:rFonts w:cs="Arial"/>
          <w:szCs w:val="20"/>
        </w:rPr>
        <w:t xml:space="preserve"> and OP’s B</w:t>
      </w:r>
      <w:r w:rsidR="00597797" w:rsidRPr="00597797">
        <w:rPr>
          <w:rFonts w:cs="Arial"/>
          <w:szCs w:val="20"/>
        </w:rPr>
        <w:t>riefs are legally incorrect and lack evidentiary support.  Staff and OP cannot alter the legal landscape or lack of evidentiary support through a Stipulation and Recommendation</w:t>
      </w:r>
      <w:r w:rsidR="00AF3B21">
        <w:rPr>
          <w:rFonts w:cs="Arial"/>
          <w:szCs w:val="20"/>
        </w:rPr>
        <w:t xml:space="preserve"> </w:t>
      </w:r>
      <w:r w:rsidR="00AF3B21">
        <w:rPr>
          <w:rFonts w:cs="Arial"/>
          <w:szCs w:val="20"/>
        </w:rPr>
        <w:lastRenderedPageBreak/>
        <w:t>(“Stipulation”)</w:t>
      </w:r>
      <w:r w:rsidR="00597797" w:rsidRPr="00597797">
        <w:rPr>
          <w:rFonts w:cs="Arial"/>
          <w:szCs w:val="20"/>
        </w:rPr>
        <w:t>.  Thus, the Commission should reject all portions of the Stipulation related to TPS.</w:t>
      </w:r>
    </w:p>
    <w:p w:rsidR="00117F09" w:rsidRPr="00345A39" w:rsidRDefault="00117F09" w:rsidP="004B49FE">
      <w:pPr>
        <w:spacing w:line="480" w:lineRule="auto"/>
        <w:jc w:val="both"/>
        <w:rPr>
          <w:rFonts w:cs="Arial"/>
          <w:b/>
          <w:szCs w:val="20"/>
        </w:rPr>
      </w:pPr>
      <w:r w:rsidRPr="00345A39">
        <w:rPr>
          <w:rFonts w:cs="Arial"/>
          <w:b/>
          <w:szCs w:val="20"/>
        </w:rPr>
        <w:t>II.</w:t>
      </w:r>
      <w:r w:rsidR="0003365F" w:rsidRPr="00345A39">
        <w:rPr>
          <w:rFonts w:cs="Arial"/>
          <w:b/>
          <w:szCs w:val="20"/>
        </w:rPr>
        <w:tab/>
      </w:r>
      <w:r w:rsidRPr="004B49FE">
        <w:rPr>
          <w:rFonts w:cs="Arial"/>
          <w:b/>
          <w:caps/>
          <w:szCs w:val="20"/>
        </w:rPr>
        <w:t>Standard of Review and Burden of Proof</w:t>
      </w:r>
    </w:p>
    <w:p w:rsidR="00117F09" w:rsidRDefault="00117F09" w:rsidP="0003365F">
      <w:pPr>
        <w:spacing w:line="480" w:lineRule="auto"/>
        <w:ind w:firstLine="720"/>
        <w:jc w:val="both"/>
        <w:rPr>
          <w:rFonts w:eastAsia="Calibri" w:cs="Arial"/>
        </w:rPr>
      </w:pPr>
      <w:r>
        <w:rPr>
          <w:rFonts w:eastAsia="Calibri" w:cs="Arial"/>
        </w:rPr>
        <w:t>The Commission evaluates settlements under a three part test.</w:t>
      </w:r>
      <w:r w:rsidR="002957E3">
        <w:rPr>
          <w:rStyle w:val="FootnoteReference"/>
          <w:rFonts w:eastAsia="Calibri" w:cs="Arial"/>
        </w:rPr>
        <w:footnoteReference w:id="1"/>
      </w:r>
      <w:r>
        <w:rPr>
          <w:rFonts w:eastAsia="Calibri" w:cs="Arial"/>
        </w:rPr>
        <w:t xml:space="preserve">  Staff and OP misapply the test and do not understand that certain things cannot be </w:t>
      </w:r>
      <w:r w:rsidR="009B5551">
        <w:rPr>
          <w:rFonts w:eastAsia="Calibri" w:cs="Arial"/>
        </w:rPr>
        <w:t>accomplished</w:t>
      </w:r>
      <w:r>
        <w:rPr>
          <w:rFonts w:eastAsia="Calibri" w:cs="Arial"/>
        </w:rPr>
        <w:t xml:space="preserve"> through a Stipulation.</w:t>
      </w:r>
    </w:p>
    <w:p w:rsidR="00117F09" w:rsidRDefault="00117F09" w:rsidP="00EA6E6E">
      <w:pPr>
        <w:spacing w:line="480" w:lineRule="auto"/>
        <w:ind w:firstLine="720"/>
        <w:jc w:val="both"/>
        <w:rPr>
          <w:rFonts w:eastAsia="Calibri" w:cs="Arial"/>
        </w:rPr>
      </w:pPr>
      <w:r>
        <w:rPr>
          <w:rFonts w:eastAsia="Calibri" w:cs="Arial"/>
        </w:rPr>
        <w:t>First,</w:t>
      </w:r>
      <w:r w:rsidR="00772D06">
        <w:rPr>
          <w:rFonts w:eastAsia="Calibri" w:cs="Arial"/>
        </w:rPr>
        <w:t xml:space="preserve"> the Commission is a creature of statute. </w:t>
      </w:r>
      <w:r w:rsidR="009B5551">
        <w:rPr>
          <w:rFonts w:eastAsia="Calibri" w:cs="Arial"/>
        </w:rPr>
        <w:t xml:space="preserve"> </w:t>
      </w:r>
      <w:r w:rsidR="00772D06" w:rsidRPr="00C354C4">
        <w:rPr>
          <w:rFonts w:eastAsia="Calibri" w:cs="Arial"/>
        </w:rPr>
        <w:t>A settlement cannot provide the Commission with authority to do what the Commission does not otherwise have authority to do or to disrespect procedural or substantive requirements established by the General Assem</w:t>
      </w:r>
      <w:r w:rsidR="00772D06">
        <w:rPr>
          <w:rFonts w:eastAsia="Calibri" w:cs="Arial"/>
        </w:rPr>
        <w:t>bly or the Commission’s rules.</w:t>
      </w:r>
      <w:r>
        <w:rPr>
          <w:rStyle w:val="FootnoteReference"/>
          <w:rFonts w:eastAsia="Calibri" w:cs="Arial"/>
        </w:rPr>
        <w:footnoteReference w:id="2"/>
      </w:r>
      <w:r w:rsidRPr="00597797">
        <w:rPr>
          <w:rFonts w:eastAsia="Calibri" w:cs="Arial"/>
        </w:rPr>
        <w:t xml:space="preserve"> </w:t>
      </w:r>
      <w:r w:rsidR="009B5551">
        <w:rPr>
          <w:rFonts w:eastAsia="Calibri" w:cs="Arial"/>
        </w:rPr>
        <w:t xml:space="preserve"> </w:t>
      </w:r>
      <w:r>
        <w:rPr>
          <w:rFonts w:eastAsia="Calibri" w:cs="Arial"/>
        </w:rPr>
        <w:t xml:space="preserve">There is no legal basis upon which to find that there is a need for TPS.  Because a </w:t>
      </w:r>
      <w:r w:rsidR="00EA6E6E">
        <w:rPr>
          <w:rFonts w:eastAsia="Calibri" w:cs="Arial"/>
        </w:rPr>
        <w:t>s</w:t>
      </w:r>
      <w:r>
        <w:rPr>
          <w:rFonts w:eastAsia="Calibri" w:cs="Arial"/>
        </w:rPr>
        <w:t xml:space="preserve">tipulation cannot provide the Commission with authority, the </w:t>
      </w:r>
      <w:r w:rsidR="00EA6E6E">
        <w:rPr>
          <w:rFonts w:eastAsia="Calibri" w:cs="Arial"/>
        </w:rPr>
        <w:t>s</w:t>
      </w:r>
      <w:r>
        <w:rPr>
          <w:rFonts w:eastAsia="Calibri" w:cs="Arial"/>
        </w:rPr>
        <w:t>tipulation must be rejected to the ext</w:t>
      </w:r>
      <w:r w:rsidR="00772D06">
        <w:rPr>
          <w:rFonts w:eastAsia="Calibri" w:cs="Arial"/>
        </w:rPr>
        <w:t>ent it recommends a finding of need for TPS</w:t>
      </w:r>
      <w:r>
        <w:rPr>
          <w:rFonts w:eastAsia="Calibri" w:cs="Arial"/>
        </w:rPr>
        <w:t xml:space="preserve">. </w:t>
      </w:r>
    </w:p>
    <w:p w:rsidR="00117F09" w:rsidRDefault="00117F09" w:rsidP="008254BD">
      <w:pPr>
        <w:spacing w:line="480" w:lineRule="auto"/>
        <w:ind w:firstLine="720"/>
        <w:jc w:val="both"/>
        <w:rPr>
          <w:rFonts w:eastAsia="Calibri" w:cs="Arial"/>
        </w:rPr>
      </w:pPr>
      <w:r>
        <w:rPr>
          <w:rFonts w:eastAsia="Calibri" w:cs="Arial"/>
        </w:rPr>
        <w:t>Additionally, a</w:t>
      </w:r>
      <w:r w:rsidRPr="00C354C4">
        <w:rPr>
          <w:rFonts w:eastAsia="Calibri" w:cs="Arial"/>
        </w:rPr>
        <w:t xml:space="preserve"> settlement is not evidence and it is not binding </w:t>
      </w:r>
      <w:r w:rsidR="00EA6E6E">
        <w:rPr>
          <w:rFonts w:eastAsia="Calibri" w:cs="Arial"/>
        </w:rPr>
        <w:t>up</w:t>
      </w:r>
      <w:r w:rsidRPr="00C354C4">
        <w:rPr>
          <w:rFonts w:eastAsia="Calibri" w:cs="Arial"/>
        </w:rPr>
        <w:t>on the Commission.</w:t>
      </w:r>
      <w:r>
        <w:rPr>
          <w:rStyle w:val="FootnoteReference"/>
          <w:rFonts w:eastAsia="Calibri" w:cs="Arial"/>
        </w:rPr>
        <w:footnoteReference w:id="3"/>
      </w:r>
      <w:r>
        <w:rPr>
          <w:rFonts w:eastAsia="Calibri" w:cs="Arial"/>
        </w:rPr>
        <w:t xml:space="preserve">  The Commission must determine what is just and reasonable based upon the evidence presented at the hearing.</w:t>
      </w:r>
      <w:r>
        <w:rPr>
          <w:rStyle w:val="FootnoteReference"/>
          <w:rFonts w:eastAsia="Calibri" w:cs="Arial"/>
        </w:rPr>
        <w:footnoteReference w:id="4"/>
      </w:r>
      <w:r>
        <w:rPr>
          <w:rFonts w:eastAsia="Calibri" w:cs="Arial"/>
        </w:rPr>
        <w:t xml:space="preserve">  Thus, the Commission should ignore </w:t>
      </w:r>
      <w:r>
        <w:rPr>
          <w:rFonts w:eastAsia="Calibri" w:cs="Arial"/>
        </w:rPr>
        <w:lastRenderedPageBreak/>
        <w:t>several differ</w:t>
      </w:r>
      <w:r w:rsidR="00265A1C">
        <w:rPr>
          <w:rFonts w:eastAsia="Calibri" w:cs="Arial"/>
        </w:rPr>
        <w:t>ent portions of both</w:t>
      </w:r>
      <w:r>
        <w:rPr>
          <w:rFonts w:eastAsia="Calibri" w:cs="Arial"/>
        </w:rPr>
        <w:t xml:space="preserve"> OP’s </w:t>
      </w:r>
      <w:r w:rsidR="00265A1C">
        <w:rPr>
          <w:rFonts w:eastAsia="Calibri" w:cs="Arial"/>
        </w:rPr>
        <w:t>and Staff’s B</w:t>
      </w:r>
      <w:r>
        <w:rPr>
          <w:rFonts w:eastAsia="Calibri" w:cs="Arial"/>
        </w:rPr>
        <w:t>riefs which seek to rely on the Stipulation for evidentiary support.</w:t>
      </w:r>
      <w:r>
        <w:rPr>
          <w:rStyle w:val="FootnoteReference"/>
          <w:rFonts w:eastAsia="Calibri" w:cs="Arial"/>
        </w:rPr>
        <w:footnoteReference w:id="5"/>
      </w:r>
      <w:r>
        <w:rPr>
          <w:rFonts w:eastAsia="Calibri" w:cs="Arial"/>
        </w:rPr>
        <w:t xml:space="preserve">  </w:t>
      </w:r>
    </w:p>
    <w:p w:rsidR="00117F09" w:rsidRPr="00250C72" w:rsidRDefault="00250C72" w:rsidP="004B49FE">
      <w:pPr>
        <w:spacing w:after="240" w:line="480" w:lineRule="auto"/>
        <w:ind w:firstLine="720"/>
        <w:jc w:val="both"/>
        <w:rPr>
          <w:rFonts w:eastAsia="Calibri" w:cs="Arial"/>
        </w:rPr>
      </w:pPr>
      <w:r>
        <w:rPr>
          <w:rFonts w:eastAsia="Calibri" w:cs="Arial"/>
        </w:rPr>
        <w:t xml:space="preserve">The burden of proof is on OP.  </w:t>
      </w:r>
      <w:r w:rsidR="00117F09">
        <w:rPr>
          <w:rFonts w:eastAsia="Calibri" w:cs="Arial"/>
        </w:rPr>
        <w:t>A finding of need is one of</w:t>
      </w:r>
      <w:r w:rsidR="00934919">
        <w:rPr>
          <w:rFonts w:eastAsia="Calibri" w:cs="Arial"/>
        </w:rPr>
        <w:t xml:space="preserve"> many prerequisites to obtain</w:t>
      </w:r>
      <w:r w:rsidR="00117F09">
        <w:rPr>
          <w:rFonts w:eastAsia="Calibri" w:cs="Arial"/>
        </w:rPr>
        <w:t xml:space="preserve"> a non-bypa</w:t>
      </w:r>
      <w:r w:rsidR="00EA6E6E">
        <w:rPr>
          <w:rFonts w:eastAsia="Calibri" w:cs="Arial"/>
        </w:rPr>
        <w:t>s</w:t>
      </w:r>
      <w:r w:rsidR="00117F09">
        <w:rPr>
          <w:rFonts w:eastAsia="Calibri" w:cs="Arial"/>
        </w:rPr>
        <w:t>sable surcharge pursuant in an electric security plan</w:t>
      </w:r>
      <w:r w:rsidR="009B5551">
        <w:rPr>
          <w:rFonts w:eastAsia="Calibri" w:cs="Arial"/>
        </w:rPr>
        <w:t xml:space="preserve"> (“ESP”)</w:t>
      </w:r>
      <w:r w:rsidR="00117F09">
        <w:rPr>
          <w:rFonts w:eastAsia="Calibri" w:cs="Arial"/>
        </w:rPr>
        <w:t>.  Section 4928.143(C)(1), Revised Code, states, “</w:t>
      </w:r>
      <w:r w:rsidR="00934919">
        <w:rPr>
          <w:rFonts w:cs="Arial"/>
          <w:lang w:val="en"/>
        </w:rPr>
        <w:t>[t]</w:t>
      </w:r>
      <w:r w:rsidR="00117F09" w:rsidRPr="00117F09">
        <w:rPr>
          <w:rFonts w:cs="Arial"/>
          <w:lang w:val="en"/>
        </w:rPr>
        <w:t>he burden of proof in the</w:t>
      </w:r>
      <w:r w:rsidR="00FD703A">
        <w:rPr>
          <w:rFonts w:cs="Arial"/>
          <w:lang w:val="en"/>
        </w:rPr>
        <w:t xml:space="preserve"> [ESP]</w:t>
      </w:r>
      <w:r w:rsidR="00117F09" w:rsidRPr="00117F09">
        <w:rPr>
          <w:rFonts w:cs="Arial"/>
          <w:lang w:val="en"/>
        </w:rPr>
        <w:t xml:space="preserve"> proceeding shall be on the electric distribution utility.</w:t>
      </w:r>
      <w:r w:rsidR="0096037E">
        <w:rPr>
          <w:rFonts w:cs="Arial"/>
          <w:lang w:val="en"/>
        </w:rPr>
        <w:t>”  Since a finding of need must be made in a</w:t>
      </w:r>
      <w:r>
        <w:rPr>
          <w:rFonts w:cs="Arial"/>
          <w:lang w:val="en"/>
        </w:rPr>
        <w:t>n ESP</w:t>
      </w:r>
      <w:r w:rsidR="00934919">
        <w:rPr>
          <w:rFonts w:cs="Arial"/>
          <w:lang w:val="en"/>
        </w:rPr>
        <w:t xml:space="preserve"> proceeding</w:t>
      </w:r>
      <w:r>
        <w:rPr>
          <w:rFonts w:cs="Arial"/>
          <w:lang w:val="en"/>
        </w:rPr>
        <w:t>, th</w:t>
      </w:r>
      <w:r w:rsidR="00FD703A">
        <w:rPr>
          <w:rFonts w:cs="Arial"/>
          <w:lang w:val="en"/>
        </w:rPr>
        <w:t>e burden of establishing that T</w:t>
      </w:r>
      <w:r>
        <w:rPr>
          <w:rFonts w:cs="Arial"/>
          <w:lang w:val="en"/>
        </w:rPr>
        <w:t>P</w:t>
      </w:r>
      <w:r w:rsidR="00FD703A">
        <w:rPr>
          <w:rFonts w:cs="Arial"/>
          <w:lang w:val="en"/>
        </w:rPr>
        <w:t>S</w:t>
      </w:r>
      <w:r>
        <w:rPr>
          <w:rFonts w:cs="Arial"/>
          <w:lang w:val="en"/>
        </w:rPr>
        <w:t xml:space="preserve"> is needed is</w:t>
      </w:r>
      <w:r w:rsidR="0096037E">
        <w:rPr>
          <w:rFonts w:cs="Arial"/>
          <w:lang w:val="en"/>
        </w:rPr>
        <w:t xml:space="preserve"> </w:t>
      </w:r>
      <w:r>
        <w:rPr>
          <w:rFonts w:cs="Arial"/>
          <w:lang w:val="en"/>
        </w:rPr>
        <w:t xml:space="preserve">on </w:t>
      </w:r>
      <w:r w:rsidR="0096037E">
        <w:rPr>
          <w:rFonts w:cs="Arial"/>
          <w:lang w:val="en"/>
        </w:rPr>
        <w:t>OP.  While it would be unlawful and unreasonable to establish a finding of need outside of an ESP, if such a finding were legal, OP would be required to</w:t>
      </w:r>
      <w:r w:rsidR="00571D6C">
        <w:rPr>
          <w:rFonts w:cs="Arial"/>
          <w:lang w:val="en"/>
        </w:rPr>
        <w:t xml:space="preserve"> carry the same burden of proof—and OP has not carried its burden.</w:t>
      </w:r>
    </w:p>
    <w:p w:rsidR="00597797" w:rsidRPr="00345A39" w:rsidRDefault="00597797" w:rsidP="004B49FE">
      <w:pPr>
        <w:pStyle w:val="ListParagraph"/>
        <w:numPr>
          <w:ilvl w:val="0"/>
          <w:numId w:val="3"/>
        </w:numPr>
        <w:spacing w:before="120" w:after="200" w:line="480" w:lineRule="auto"/>
        <w:ind w:left="720"/>
        <w:jc w:val="both"/>
        <w:rPr>
          <w:rFonts w:cs="Arial"/>
          <w:b/>
          <w:szCs w:val="20"/>
        </w:rPr>
      </w:pPr>
      <w:r w:rsidRPr="00345A39">
        <w:rPr>
          <w:rFonts w:cs="Arial"/>
          <w:b/>
          <w:caps/>
          <w:szCs w:val="20"/>
        </w:rPr>
        <w:t>Argument</w:t>
      </w:r>
    </w:p>
    <w:p w:rsidR="00597797" w:rsidRDefault="00250C72" w:rsidP="008254BD">
      <w:pPr>
        <w:pStyle w:val="ListParagraph"/>
        <w:numPr>
          <w:ilvl w:val="0"/>
          <w:numId w:val="2"/>
        </w:numPr>
        <w:spacing w:line="480" w:lineRule="auto"/>
        <w:jc w:val="both"/>
        <w:rPr>
          <w:rFonts w:cs="Arial"/>
          <w:b/>
          <w:szCs w:val="20"/>
        </w:rPr>
      </w:pPr>
      <w:r>
        <w:rPr>
          <w:rFonts w:cs="Arial"/>
          <w:b/>
          <w:szCs w:val="20"/>
        </w:rPr>
        <w:t>A Finding of Need Cannot be Made in a LTFR Proceeding</w:t>
      </w:r>
    </w:p>
    <w:p w:rsidR="00114891" w:rsidRDefault="00DA2691" w:rsidP="008254BD">
      <w:pPr>
        <w:spacing w:line="480" w:lineRule="auto"/>
        <w:ind w:firstLine="720"/>
        <w:contextualSpacing/>
        <w:jc w:val="both"/>
        <w:rPr>
          <w:rFonts w:eastAsia="Calibri" w:cs="Arial"/>
        </w:rPr>
      </w:pPr>
      <w:r>
        <w:rPr>
          <w:rFonts w:cs="Arial"/>
          <w:szCs w:val="20"/>
        </w:rPr>
        <w:t>The ESP</w:t>
      </w:r>
      <w:r w:rsidR="004B49FE">
        <w:rPr>
          <w:rFonts w:cs="Arial"/>
          <w:szCs w:val="20"/>
        </w:rPr>
        <w:t xml:space="preserve"> </w:t>
      </w:r>
      <w:r>
        <w:rPr>
          <w:rFonts w:cs="Arial"/>
          <w:szCs w:val="20"/>
        </w:rPr>
        <w:t>Statute</w:t>
      </w:r>
      <w:r w:rsidR="00B7558C">
        <w:rPr>
          <w:rFonts w:cs="Arial"/>
          <w:szCs w:val="20"/>
        </w:rPr>
        <w:t>, Section 4928.143, Revised Code,</w:t>
      </w:r>
      <w:r>
        <w:rPr>
          <w:rFonts w:cs="Arial"/>
          <w:szCs w:val="20"/>
        </w:rPr>
        <w:t xml:space="preserve"> states that a finding of need must be made in an ESP proceeding</w:t>
      </w:r>
      <w:r w:rsidR="00D173D2">
        <w:rPr>
          <w:rFonts w:cs="Arial"/>
          <w:szCs w:val="20"/>
        </w:rPr>
        <w:t>,</w:t>
      </w:r>
      <w:r>
        <w:rPr>
          <w:rFonts w:cs="Arial"/>
          <w:szCs w:val="20"/>
        </w:rPr>
        <w:t xml:space="preserve"> and the </w:t>
      </w:r>
      <w:r w:rsidRPr="00DA2691">
        <w:rPr>
          <w:rFonts w:eastAsia="Calibri" w:cs="Arial"/>
        </w:rPr>
        <w:t>LTFR Statute</w:t>
      </w:r>
      <w:r w:rsidR="00B7558C">
        <w:rPr>
          <w:rFonts w:eastAsia="Calibri" w:cs="Arial"/>
        </w:rPr>
        <w:t>, Section 4935.04, Revise Code,</w:t>
      </w:r>
      <w:r w:rsidRPr="00DA2691">
        <w:rPr>
          <w:rFonts w:eastAsia="Calibri" w:cs="Arial"/>
        </w:rPr>
        <w:t xml:space="preserve"> states that LTFR proceedings are "limited to issues relating to forecasting."</w:t>
      </w:r>
      <w:r w:rsidRPr="00DA2691">
        <w:rPr>
          <w:rFonts w:eastAsia="Calibri" w:cs="Arial"/>
          <w:vertAlign w:val="superscript"/>
        </w:rPr>
        <w:footnoteReference w:id="6"/>
      </w:r>
      <w:r w:rsidR="00114891">
        <w:rPr>
          <w:rFonts w:eastAsia="Calibri" w:cs="Arial"/>
        </w:rPr>
        <w:t xml:space="preserve">  Moreover, a finding of need cannot be made in a LTFR or any other proceeding with respect to a renewable generating facility.</w:t>
      </w:r>
      <w:r w:rsidR="00114891">
        <w:rPr>
          <w:rStyle w:val="FootnoteReference"/>
          <w:rFonts w:eastAsia="Calibri" w:cs="Arial"/>
        </w:rPr>
        <w:footnoteReference w:id="7"/>
      </w:r>
      <w:r>
        <w:rPr>
          <w:rFonts w:eastAsia="Calibri" w:cs="Arial"/>
        </w:rPr>
        <w:t xml:space="preserve">  Despite the General Assembly’s clear indication of where and how a finding of need can be made, the Signatory Part</w:t>
      </w:r>
      <w:r w:rsidR="007E56C4">
        <w:rPr>
          <w:rFonts w:eastAsia="Calibri" w:cs="Arial"/>
        </w:rPr>
        <w:t xml:space="preserve">ies </w:t>
      </w:r>
      <w:r w:rsidR="007E56C4">
        <w:rPr>
          <w:rFonts w:eastAsia="Calibri" w:cs="Arial"/>
        </w:rPr>
        <w:lastRenderedPageBreak/>
        <w:t xml:space="preserve">entered into a Stipulation that requests a finding that is beyond the scope of the Commission’s authority.  </w:t>
      </w:r>
    </w:p>
    <w:p w:rsidR="00DA2691" w:rsidRPr="00DA2691" w:rsidRDefault="007E56C4" w:rsidP="00D16327">
      <w:pPr>
        <w:spacing w:line="480" w:lineRule="auto"/>
        <w:ind w:firstLine="720"/>
        <w:jc w:val="both"/>
        <w:rPr>
          <w:rFonts w:eastAsia="Calibri" w:cs="Arial"/>
        </w:rPr>
      </w:pPr>
      <w:r>
        <w:rPr>
          <w:rFonts w:eastAsia="Calibri" w:cs="Arial"/>
        </w:rPr>
        <w:t xml:space="preserve">In their Initial Briefs, the Signatory Parties persist in their endeavor of egregiously mischaracterizing the scope and effect of the LTFR and ESP Statutes. </w:t>
      </w:r>
      <w:r w:rsidR="00DA2691">
        <w:rPr>
          <w:rFonts w:eastAsia="Calibri" w:cs="Arial"/>
        </w:rPr>
        <w:t xml:space="preserve"> Staff’s Brief claims that there are seven traditional forecasting determinations that must be made, citing to the seven determinations required by Section 4935.04(F), Revised Code.  Staff then claims</w:t>
      </w:r>
      <w:r w:rsidR="00D16327">
        <w:rPr>
          <w:rFonts w:eastAsia="Calibri" w:cs="Arial"/>
        </w:rPr>
        <w:t>,</w:t>
      </w:r>
      <w:r w:rsidR="00DA2691">
        <w:rPr>
          <w:rFonts w:eastAsia="Calibri" w:cs="Arial"/>
        </w:rPr>
        <w:t xml:space="preserve"> </w:t>
      </w:r>
      <w:r w:rsidR="00D16327" w:rsidRPr="00A62624">
        <w:rPr>
          <w:rFonts w:eastAsia="Calibri" w:cs="Arial"/>
          <w:u w:val="single"/>
        </w:rPr>
        <w:t>“[w]</w:t>
      </w:r>
      <w:r w:rsidR="00DA2691" w:rsidRPr="00A62624">
        <w:rPr>
          <w:rFonts w:eastAsia="Calibri" w:cs="Arial"/>
          <w:u w:val="single"/>
        </w:rPr>
        <w:t>ith the passage of SB 221 an a</w:t>
      </w:r>
      <w:r w:rsidR="00816008" w:rsidRPr="00A62624">
        <w:rPr>
          <w:rFonts w:eastAsia="Calibri" w:cs="Arial"/>
          <w:u w:val="single"/>
        </w:rPr>
        <w:t>dditional issue has been added</w:t>
      </w:r>
      <w:r w:rsidR="00816008">
        <w:rPr>
          <w:rFonts w:eastAsia="Calibri" w:cs="Arial"/>
        </w:rPr>
        <w:t>.  R.C.</w:t>
      </w:r>
      <w:r w:rsidR="00DE7252">
        <w:rPr>
          <w:rFonts w:eastAsia="Calibri" w:cs="Arial"/>
        </w:rPr>
        <w:t xml:space="preserve"> </w:t>
      </w:r>
      <w:r w:rsidR="00816008">
        <w:rPr>
          <w:rFonts w:eastAsia="Calibri" w:cs="Arial"/>
        </w:rPr>
        <w:t>4928.143(B)(2)(c) allows the imposition of a non-bypassable charge by an EDU for a genera</w:t>
      </w:r>
      <w:r w:rsidR="00A62624">
        <w:rPr>
          <w:rFonts w:eastAsia="Calibri" w:cs="Arial"/>
        </w:rPr>
        <w:t>ting facility that meets a number of</w:t>
      </w:r>
      <w:r w:rsidR="00816008">
        <w:rPr>
          <w:rFonts w:eastAsia="Calibri" w:cs="Arial"/>
        </w:rPr>
        <w:t xml:space="preserve"> condition</w:t>
      </w:r>
      <w:r w:rsidR="00DE7252">
        <w:rPr>
          <w:rFonts w:eastAsia="Calibri" w:cs="Arial"/>
        </w:rPr>
        <w:t>s</w:t>
      </w:r>
      <w:r w:rsidR="00A62624">
        <w:rPr>
          <w:rFonts w:eastAsia="Calibri" w:cs="Arial"/>
        </w:rPr>
        <w:t>.”</w:t>
      </w:r>
      <w:r w:rsidR="00D16327">
        <w:rPr>
          <w:rStyle w:val="FootnoteReference"/>
          <w:rFonts w:eastAsia="Calibri" w:cs="Arial"/>
        </w:rPr>
        <w:footnoteReference w:id="8"/>
      </w:r>
      <w:r w:rsidR="00D16327">
        <w:rPr>
          <w:rFonts w:eastAsia="Calibri" w:cs="Arial"/>
        </w:rPr>
        <w:t xml:space="preserve"> </w:t>
      </w:r>
      <w:r w:rsidR="00A62624">
        <w:rPr>
          <w:rFonts w:eastAsia="Calibri" w:cs="Arial"/>
        </w:rPr>
        <w:t xml:space="preserve"> </w:t>
      </w:r>
      <w:r w:rsidR="00D16327">
        <w:rPr>
          <w:rFonts w:eastAsia="Calibri" w:cs="Arial"/>
        </w:rPr>
        <w:t xml:space="preserve">While Staff then cites to the statutory language that requires need to be determined in a ESP, Staff </w:t>
      </w:r>
      <w:r w:rsidR="00A62624">
        <w:rPr>
          <w:rFonts w:eastAsia="Calibri" w:cs="Arial"/>
        </w:rPr>
        <w:t>is only cares about the statute</w:t>
      </w:r>
      <w:r w:rsidR="00265A1C">
        <w:rPr>
          <w:rFonts w:eastAsia="Calibri" w:cs="Arial"/>
        </w:rPr>
        <w:t>’</w:t>
      </w:r>
      <w:r w:rsidR="00A62624">
        <w:rPr>
          <w:rFonts w:eastAsia="Calibri" w:cs="Arial"/>
        </w:rPr>
        <w:t>s reference to the resource plan.</w:t>
      </w:r>
      <w:r w:rsidR="00A62624">
        <w:rPr>
          <w:rStyle w:val="FootnoteReference"/>
          <w:rFonts w:eastAsia="Calibri" w:cs="Arial"/>
        </w:rPr>
        <w:footnoteReference w:id="9"/>
      </w:r>
      <w:r w:rsidR="00A62624">
        <w:rPr>
          <w:rFonts w:eastAsia="Calibri" w:cs="Arial"/>
        </w:rPr>
        <w:t xml:space="preserve">  Accordingly</w:t>
      </w:r>
      <w:r w:rsidR="00D16327">
        <w:rPr>
          <w:rFonts w:eastAsia="Calibri" w:cs="Arial"/>
        </w:rPr>
        <w:t xml:space="preserve">, Staff claims, </w:t>
      </w:r>
      <w:r w:rsidR="00D16327">
        <w:rPr>
          <w:rFonts w:cs="Arial"/>
          <w:szCs w:val="20"/>
        </w:rPr>
        <w:t>“</w:t>
      </w:r>
      <w:r w:rsidR="00816008">
        <w:rPr>
          <w:rFonts w:eastAsia="Calibri" w:cs="Arial"/>
        </w:rPr>
        <w:t>Statutorily, resource plans for EDU’s are submitted in forecasting cases . . . . Thus, where an EDU is contemplating seeking a non-bypassable charge through an ESP. . . the EDU must have the need for that facility co</w:t>
      </w:r>
      <w:r w:rsidR="00772D06">
        <w:rPr>
          <w:rFonts w:eastAsia="Calibri" w:cs="Arial"/>
        </w:rPr>
        <w:t>nsidered in a forecasting case.</w:t>
      </w:r>
      <w:r w:rsidR="00A62624">
        <w:rPr>
          <w:rFonts w:eastAsia="Calibri" w:cs="Arial"/>
        </w:rPr>
        <w:t>”</w:t>
      </w:r>
      <w:r w:rsidR="00772D06">
        <w:rPr>
          <w:rStyle w:val="FootnoteReference"/>
          <w:rFonts w:eastAsia="Calibri" w:cs="Arial"/>
        </w:rPr>
        <w:footnoteReference w:id="10"/>
      </w:r>
      <w:r w:rsidR="00DA2691">
        <w:rPr>
          <w:rFonts w:eastAsia="Calibri" w:cs="Arial"/>
        </w:rPr>
        <w:t xml:space="preserve"> </w:t>
      </w:r>
      <w:r w:rsidR="00DA2691">
        <w:rPr>
          <w:rFonts w:cs="Arial"/>
          <w:szCs w:val="20"/>
        </w:rPr>
        <w:t xml:space="preserve">  </w:t>
      </w:r>
    </w:p>
    <w:p w:rsidR="009D024F" w:rsidRDefault="009D024F" w:rsidP="00A62624">
      <w:pPr>
        <w:spacing w:line="480" w:lineRule="auto"/>
        <w:ind w:firstLine="720"/>
        <w:contextualSpacing/>
        <w:jc w:val="both"/>
        <w:rPr>
          <w:rFonts w:cs="Arial"/>
          <w:szCs w:val="20"/>
        </w:rPr>
      </w:pPr>
      <w:r>
        <w:rPr>
          <w:rFonts w:cs="Arial"/>
          <w:szCs w:val="20"/>
        </w:rPr>
        <w:t>First,</w:t>
      </w:r>
      <w:r w:rsidR="00A62624">
        <w:rPr>
          <w:rFonts w:cs="Arial"/>
          <w:szCs w:val="20"/>
        </w:rPr>
        <w:t xml:space="preserve"> contrary to Staff’s claim,</w:t>
      </w:r>
      <w:r>
        <w:rPr>
          <w:rFonts w:cs="Arial"/>
          <w:szCs w:val="20"/>
        </w:rPr>
        <w:t xml:space="preserve"> Amended Substitute Senate Bill 221 (“SB 221”) did not add anything to the LTFR </w:t>
      </w:r>
      <w:r w:rsidR="00DE7252">
        <w:rPr>
          <w:rFonts w:cs="Arial"/>
          <w:szCs w:val="20"/>
        </w:rPr>
        <w:t>S</w:t>
      </w:r>
      <w:r>
        <w:rPr>
          <w:rFonts w:cs="Arial"/>
          <w:szCs w:val="20"/>
        </w:rPr>
        <w:t xml:space="preserve">tatute.  The LTFR </w:t>
      </w:r>
      <w:r w:rsidR="00DE7252">
        <w:rPr>
          <w:rFonts w:cs="Arial"/>
          <w:szCs w:val="20"/>
        </w:rPr>
        <w:t>S</w:t>
      </w:r>
      <w:r>
        <w:rPr>
          <w:rFonts w:cs="Arial"/>
          <w:szCs w:val="20"/>
        </w:rPr>
        <w:t xml:space="preserve">tatute was left completely unaltered by SB 221.  But, SB 221 </w:t>
      </w:r>
      <w:r w:rsidR="00114891">
        <w:rPr>
          <w:rFonts w:cs="Arial"/>
          <w:szCs w:val="20"/>
        </w:rPr>
        <w:t>did create the ESP Statute, which included the following language</w:t>
      </w:r>
      <w:r>
        <w:rPr>
          <w:rFonts w:cs="Arial"/>
          <w:szCs w:val="20"/>
        </w:rPr>
        <w:t>:</w:t>
      </w:r>
      <w:r w:rsidR="00816008">
        <w:rPr>
          <w:rFonts w:cs="Arial"/>
          <w:szCs w:val="20"/>
        </w:rPr>
        <w:t xml:space="preserve"> </w:t>
      </w:r>
      <w:r>
        <w:rPr>
          <w:rFonts w:cs="Arial"/>
          <w:szCs w:val="20"/>
        </w:rPr>
        <w:t xml:space="preserve"> </w:t>
      </w:r>
      <w:r w:rsidR="00816008">
        <w:rPr>
          <w:rFonts w:cs="Arial"/>
          <w:szCs w:val="20"/>
        </w:rPr>
        <w:t>“</w:t>
      </w:r>
      <w:r w:rsidR="00816008" w:rsidRPr="009D024F">
        <w:rPr>
          <w:rFonts w:cs="Arial"/>
          <w:szCs w:val="20"/>
          <w:u w:val="single"/>
        </w:rPr>
        <w:t>no surcharge shall be authorized unless the commission first determines</w:t>
      </w:r>
      <w:r w:rsidRPr="009D024F">
        <w:rPr>
          <w:rFonts w:cs="Arial"/>
          <w:szCs w:val="20"/>
          <w:u w:val="single"/>
        </w:rPr>
        <w:t xml:space="preserve"> in the proceeding</w:t>
      </w:r>
      <w:r w:rsidR="00816008" w:rsidRPr="009D024F">
        <w:rPr>
          <w:rFonts w:cs="Arial"/>
          <w:szCs w:val="20"/>
          <w:u w:val="single"/>
        </w:rPr>
        <w:t xml:space="preserve"> that there is a need for the</w:t>
      </w:r>
      <w:r w:rsidRPr="009D024F">
        <w:rPr>
          <w:rFonts w:cs="Arial"/>
          <w:szCs w:val="20"/>
          <w:u w:val="single"/>
        </w:rPr>
        <w:t xml:space="preserve"> facility</w:t>
      </w:r>
      <w:r>
        <w:rPr>
          <w:rFonts w:cs="Arial"/>
          <w:szCs w:val="20"/>
        </w:rPr>
        <w:t xml:space="preserve"> based on resource planning projections</w:t>
      </w:r>
      <w:r w:rsidRPr="009D024F">
        <w:rPr>
          <w:rFonts w:cs="Arial"/>
          <w:szCs w:val="20"/>
        </w:rPr>
        <w:t>.</w:t>
      </w:r>
      <w:r>
        <w:rPr>
          <w:rFonts w:cs="Arial"/>
          <w:szCs w:val="20"/>
        </w:rPr>
        <w:t>”</w:t>
      </w:r>
      <w:r>
        <w:rPr>
          <w:rStyle w:val="FootnoteReference"/>
          <w:rFonts w:cs="Arial"/>
          <w:szCs w:val="20"/>
        </w:rPr>
        <w:footnoteReference w:id="11"/>
      </w:r>
      <w:r>
        <w:rPr>
          <w:rFonts w:cs="Arial"/>
          <w:szCs w:val="20"/>
        </w:rPr>
        <w:t xml:space="preserve">  Accordingly, it is clear where</w:t>
      </w:r>
      <w:r w:rsidR="007E56C4">
        <w:rPr>
          <w:rFonts w:cs="Arial"/>
          <w:szCs w:val="20"/>
        </w:rPr>
        <w:t xml:space="preserve"> need must be determi</w:t>
      </w:r>
      <w:r w:rsidR="00114891">
        <w:rPr>
          <w:rFonts w:cs="Arial"/>
          <w:szCs w:val="20"/>
        </w:rPr>
        <w:t>ned.  While</w:t>
      </w:r>
      <w:r>
        <w:rPr>
          <w:rFonts w:cs="Arial"/>
          <w:szCs w:val="20"/>
        </w:rPr>
        <w:t xml:space="preserve"> resource </w:t>
      </w:r>
      <w:r>
        <w:rPr>
          <w:rFonts w:cs="Arial"/>
          <w:szCs w:val="20"/>
        </w:rPr>
        <w:lastRenderedPageBreak/>
        <w:t>plans may be submitted in LTFR</w:t>
      </w:r>
      <w:r w:rsidR="00114891">
        <w:rPr>
          <w:rFonts w:cs="Arial"/>
          <w:szCs w:val="20"/>
        </w:rPr>
        <w:t xml:space="preserve"> proceedings, the Commission</w:t>
      </w:r>
      <w:r w:rsidR="00DE7252">
        <w:rPr>
          <w:rFonts w:cs="Arial"/>
          <w:szCs w:val="20"/>
        </w:rPr>
        <w:t>’s</w:t>
      </w:r>
      <w:r w:rsidR="007E56C4">
        <w:rPr>
          <w:rFonts w:cs="Arial"/>
          <w:szCs w:val="20"/>
        </w:rPr>
        <w:t xml:space="preserve"> review </w:t>
      </w:r>
      <w:r w:rsidR="00114891">
        <w:rPr>
          <w:rFonts w:cs="Arial"/>
          <w:szCs w:val="20"/>
        </w:rPr>
        <w:t xml:space="preserve">is limited to whether </w:t>
      </w:r>
      <w:r w:rsidR="007E56C4">
        <w:rPr>
          <w:rFonts w:cs="Arial"/>
          <w:szCs w:val="20"/>
        </w:rPr>
        <w:t xml:space="preserve">the </w:t>
      </w:r>
      <w:r w:rsidR="00114891">
        <w:rPr>
          <w:rFonts w:cs="Arial"/>
          <w:szCs w:val="20"/>
        </w:rPr>
        <w:t>resource plan</w:t>
      </w:r>
      <w:r w:rsidR="007E56C4">
        <w:rPr>
          <w:rFonts w:cs="Arial"/>
          <w:szCs w:val="20"/>
        </w:rPr>
        <w:t xml:space="preserve"> is accurate, </w:t>
      </w:r>
      <w:r w:rsidR="00114891">
        <w:rPr>
          <w:rFonts w:cs="Arial"/>
          <w:szCs w:val="20"/>
        </w:rPr>
        <w:t>reasonable, and complete.</w:t>
      </w:r>
      <w:r w:rsidR="00265A1C">
        <w:rPr>
          <w:rStyle w:val="FootnoteReference"/>
          <w:rFonts w:cs="Arial"/>
          <w:szCs w:val="20"/>
        </w:rPr>
        <w:footnoteReference w:id="12"/>
      </w:r>
      <w:r w:rsidR="00114891">
        <w:rPr>
          <w:rFonts w:cs="Arial"/>
          <w:szCs w:val="20"/>
        </w:rPr>
        <w:t xml:space="preserve">  A</w:t>
      </w:r>
      <w:r w:rsidR="007E56C4">
        <w:rPr>
          <w:rFonts w:cs="Arial"/>
          <w:szCs w:val="20"/>
        </w:rPr>
        <w:t xml:space="preserve"> finding of</w:t>
      </w:r>
      <w:r>
        <w:rPr>
          <w:rFonts w:cs="Arial"/>
          <w:szCs w:val="20"/>
        </w:rPr>
        <w:t xml:space="preserve"> need</w:t>
      </w:r>
      <w:r w:rsidR="007E56C4">
        <w:rPr>
          <w:rFonts w:cs="Arial"/>
          <w:szCs w:val="20"/>
        </w:rPr>
        <w:t xml:space="preserve"> for a particular generating facility must</w:t>
      </w:r>
      <w:r>
        <w:rPr>
          <w:rFonts w:cs="Arial"/>
          <w:szCs w:val="20"/>
        </w:rPr>
        <w:t xml:space="preserve"> be determined in an ESP.</w:t>
      </w:r>
    </w:p>
    <w:p w:rsidR="003B3A85" w:rsidRDefault="003B3A85" w:rsidP="008254BD">
      <w:pPr>
        <w:spacing w:line="480" w:lineRule="auto"/>
        <w:jc w:val="both"/>
        <w:rPr>
          <w:rFonts w:cs="Arial"/>
          <w:szCs w:val="20"/>
        </w:rPr>
      </w:pPr>
      <w:r>
        <w:rPr>
          <w:rFonts w:cs="Arial"/>
          <w:szCs w:val="20"/>
        </w:rPr>
        <w:tab/>
        <w:t>OP’s Brief is fatally doomed i</w:t>
      </w:r>
      <w:r w:rsidR="00114891">
        <w:rPr>
          <w:rFonts w:cs="Arial"/>
          <w:szCs w:val="20"/>
        </w:rPr>
        <w:t xml:space="preserve">nasmuch as its </w:t>
      </w:r>
      <w:r w:rsidR="00772D06">
        <w:rPr>
          <w:rFonts w:cs="Arial"/>
          <w:szCs w:val="20"/>
        </w:rPr>
        <w:t>ambition to establish the need for TPS in a LTFR</w:t>
      </w:r>
      <w:r w:rsidR="00114891">
        <w:rPr>
          <w:rFonts w:cs="Arial"/>
          <w:szCs w:val="20"/>
        </w:rPr>
        <w:t xml:space="preserve"> rest</w:t>
      </w:r>
      <w:r w:rsidR="00772D06">
        <w:rPr>
          <w:rFonts w:cs="Arial"/>
          <w:szCs w:val="20"/>
        </w:rPr>
        <w:t>s</w:t>
      </w:r>
      <w:r w:rsidR="00114891">
        <w:rPr>
          <w:rFonts w:cs="Arial"/>
          <w:szCs w:val="20"/>
        </w:rPr>
        <w:t xml:space="preserve"> on</w:t>
      </w:r>
      <w:r>
        <w:rPr>
          <w:rFonts w:cs="Arial"/>
          <w:szCs w:val="20"/>
        </w:rPr>
        <w:t xml:space="preserve"> an incorrect definition of “major utility facility.” Particularly, OP states:</w:t>
      </w:r>
    </w:p>
    <w:p w:rsidR="003B3A85" w:rsidRPr="003B3A85" w:rsidRDefault="003B3A85" w:rsidP="00DE7252">
      <w:pPr>
        <w:ind w:left="720" w:right="720" w:firstLine="720"/>
        <w:jc w:val="both"/>
        <w:rPr>
          <w:rFonts w:cs="Arial"/>
          <w:szCs w:val="20"/>
        </w:rPr>
      </w:pPr>
      <w:r>
        <w:rPr>
          <w:rFonts w:ascii="TimesNewRoman" w:hAnsi="TimesNewRoman" w:cs="TimesNewRoman"/>
        </w:rPr>
        <w:t>The statutory basis for the determination of need in a LTFR proceeding can be</w:t>
      </w:r>
      <w:r>
        <w:rPr>
          <w:rFonts w:cs="Arial"/>
          <w:szCs w:val="20"/>
        </w:rPr>
        <w:t xml:space="preserve"> </w:t>
      </w:r>
      <w:r>
        <w:rPr>
          <w:rFonts w:ascii="TimesNewRoman" w:hAnsi="TimesNewRoman" w:cs="TimesNewRoman"/>
        </w:rPr>
        <w:t>found in R.C. 4935.04. R.C. 4935.04(C)(3) requires electric utilities owning generating</w:t>
      </w:r>
      <w:r>
        <w:rPr>
          <w:rFonts w:cs="Arial"/>
          <w:szCs w:val="20"/>
        </w:rPr>
        <w:t xml:space="preserve"> </w:t>
      </w:r>
      <w:r>
        <w:rPr>
          <w:rFonts w:ascii="TimesNewRoman" w:hAnsi="TimesNewRoman" w:cs="TimesNewRoman"/>
        </w:rPr>
        <w:t>facilities to submit a long-term forecast report to the Commission. According to R.C.</w:t>
      </w:r>
      <w:r>
        <w:rPr>
          <w:rFonts w:cs="Arial"/>
          <w:szCs w:val="20"/>
        </w:rPr>
        <w:t xml:space="preserve"> </w:t>
      </w:r>
      <w:r>
        <w:rPr>
          <w:rFonts w:ascii="TimesNewRoman" w:hAnsi="TimesNewRoman" w:cs="TimesNewRoman"/>
        </w:rPr>
        <w:t xml:space="preserve">4935.04(C), the report shall contain “[a] </w:t>
      </w:r>
      <w:r w:rsidRPr="003B3A85">
        <w:rPr>
          <w:rFonts w:ascii="TimesNewRoman" w:hAnsi="TimesNewRoman" w:cs="TimesNewRoman"/>
          <w:u w:val="single"/>
        </w:rPr>
        <w:t>description of major utility facilities planned to</w:t>
      </w:r>
      <w:r w:rsidRPr="003B3A85">
        <w:rPr>
          <w:rFonts w:cs="Arial"/>
          <w:szCs w:val="20"/>
          <w:u w:val="single"/>
        </w:rPr>
        <w:t xml:space="preserve"> </w:t>
      </w:r>
      <w:r w:rsidRPr="003B3A85">
        <w:rPr>
          <w:rFonts w:ascii="TimesNewRoman" w:hAnsi="TimesNewRoman" w:cs="TimesNewRoman"/>
          <w:u w:val="single"/>
        </w:rPr>
        <w:t>be added or taken out of service in the next ten years</w:t>
      </w:r>
      <w:r>
        <w:rPr>
          <w:rFonts w:ascii="TimesNewRoman" w:hAnsi="TimesNewRoman" w:cs="TimesNewRoman"/>
        </w:rPr>
        <w:t>***.” R.C. 4935.04(C)(6) requires</w:t>
      </w:r>
    </w:p>
    <w:p w:rsidR="003B3A85" w:rsidRDefault="003B3A85" w:rsidP="00772D06">
      <w:pPr>
        <w:autoSpaceDE w:val="0"/>
        <w:autoSpaceDN w:val="0"/>
        <w:adjustRightInd w:val="0"/>
        <w:ind w:left="720" w:right="720"/>
        <w:jc w:val="both"/>
        <w:rPr>
          <w:rFonts w:ascii="TimesNewRoman" w:hAnsi="TimesNewRoman" w:cs="TimesNewRoman"/>
        </w:rPr>
      </w:pPr>
      <w:r>
        <w:rPr>
          <w:rFonts w:ascii="TimesNewRoman" w:hAnsi="TimesNewRoman" w:cs="TimesNewRoman"/>
        </w:rPr>
        <w:t>the report to “</w:t>
      </w:r>
      <w:r w:rsidRPr="003B3A85">
        <w:rPr>
          <w:rFonts w:ascii="TimesNewRoman" w:hAnsi="TimesNewRoman" w:cs="TimesNewRoman"/>
          <w:u w:val="single"/>
        </w:rPr>
        <w:t>describe the major utility facilities</w:t>
      </w:r>
      <w:r>
        <w:rPr>
          <w:rFonts w:ascii="TimesNewRoman" w:hAnsi="TimesNewRoman" w:cs="TimesNewRoman"/>
        </w:rPr>
        <w:t xml:space="preserve"> that, in the judgment of such person, will be required to supply system demands during the forecast period.”</w:t>
      </w:r>
    </w:p>
    <w:p w:rsidR="003B3A85" w:rsidRDefault="003B3A85" w:rsidP="00772D06">
      <w:pPr>
        <w:autoSpaceDE w:val="0"/>
        <w:autoSpaceDN w:val="0"/>
        <w:adjustRightInd w:val="0"/>
        <w:ind w:left="720" w:right="720"/>
        <w:jc w:val="both"/>
        <w:rPr>
          <w:rFonts w:ascii="TimesNewRoman" w:hAnsi="TimesNewRoman" w:cs="TimesNewRoman"/>
        </w:rPr>
      </w:pPr>
    </w:p>
    <w:p w:rsidR="003B3A85" w:rsidRPr="004B49FE" w:rsidRDefault="003B3A85" w:rsidP="00772D06">
      <w:pPr>
        <w:autoSpaceDE w:val="0"/>
        <w:autoSpaceDN w:val="0"/>
        <w:adjustRightInd w:val="0"/>
        <w:ind w:left="720" w:right="720" w:firstLine="720"/>
        <w:jc w:val="both"/>
        <w:rPr>
          <w:rFonts w:cs="Arial"/>
        </w:rPr>
      </w:pPr>
      <w:r>
        <w:rPr>
          <w:rFonts w:ascii="TimesNewRoman" w:hAnsi="TimesNewRoman" w:cs="TimesNewRoman"/>
        </w:rPr>
        <w:t>A hearing is not required every time a report is filed, but under R.C. 4935.04(D), however, if a hearing is required for good cause then the utility is required to notice that hearing in each county in which the person furnishing the report has or intends to locate a major utility facility under this part of the statute. If a hearing is held the scope of that hearing is defined under R.C. 4935.04(E</w:t>
      </w:r>
      <w:r w:rsidRPr="004B49FE">
        <w:rPr>
          <w:rFonts w:cs="Arial"/>
        </w:rPr>
        <w:t>).</w:t>
      </w:r>
      <w:r w:rsidRPr="004B49FE">
        <w:rPr>
          <w:rStyle w:val="FootnoteReference"/>
          <w:rFonts w:cs="Arial"/>
        </w:rPr>
        <w:footnoteReference w:id="13"/>
      </w:r>
    </w:p>
    <w:p w:rsidR="000E06A0" w:rsidRPr="000E06A0" w:rsidRDefault="000E06A0" w:rsidP="00772D06">
      <w:pPr>
        <w:autoSpaceDE w:val="0"/>
        <w:autoSpaceDN w:val="0"/>
        <w:adjustRightInd w:val="0"/>
        <w:ind w:left="720" w:right="720" w:firstLine="720"/>
        <w:jc w:val="both"/>
        <w:rPr>
          <w:rFonts w:ascii="TimesNewRoman" w:hAnsi="TimesNewRoman" w:cs="TimesNewRoman"/>
        </w:rPr>
      </w:pPr>
    </w:p>
    <w:p w:rsidR="000E06A0" w:rsidRDefault="003B3A85" w:rsidP="004B49FE">
      <w:pPr>
        <w:spacing w:line="480" w:lineRule="auto"/>
        <w:jc w:val="both"/>
        <w:rPr>
          <w:rFonts w:cs="Arial"/>
          <w:lang w:val="en"/>
        </w:rPr>
      </w:pPr>
      <w:r>
        <w:rPr>
          <w:rFonts w:eastAsia="Calibri" w:cs="Arial"/>
        </w:rPr>
        <w:t>Apparently, OP believe</w:t>
      </w:r>
      <w:r w:rsidR="00114891">
        <w:rPr>
          <w:rFonts w:eastAsia="Calibri" w:cs="Arial"/>
        </w:rPr>
        <w:t>s that TPS is a major utility</w:t>
      </w:r>
      <w:r>
        <w:rPr>
          <w:rFonts w:eastAsia="Calibri" w:cs="Arial"/>
        </w:rPr>
        <w:t xml:space="preserve"> facility that must be described in the LTFR.  OP is wrong.  Major utility facility is defined by Section 4935.04(A)(1), Revised Code, as</w:t>
      </w:r>
      <w:r w:rsidR="000E06A0">
        <w:rPr>
          <w:rFonts w:eastAsia="Calibri" w:cs="Arial"/>
        </w:rPr>
        <w:t xml:space="preserve"> a transmission line.  Particularly, it is defined as </w:t>
      </w:r>
      <w:r>
        <w:rPr>
          <w:rFonts w:eastAsia="Calibri" w:cs="Arial"/>
        </w:rPr>
        <w:t>“</w:t>
      </w:r>
      <w:r>
        <w:rPr>
          <w:rFonts w:cs="Arial"/>
          <w:lang w:val="en"/>
        </w:rPr>
        <w:t>[a]</w:t>
      </w:r>
      <w:r w:rsidRPr="003B3A85">
        <w:rPr>
          <w:rFonts w:cs="Arial"/>
          <w:lang w:val="en"/>
        </w:rPr>
        <w:t>n electric transmission line and associated facilities of a design capacity of one hundred twenty-five kilovolts or more</w:t>
      </w:r>
      <w:r>
        <w:rPr>
          <w:rFonts w:cs="Arial"/>
          <w:lang w:val="en"/>
        </w:rPr>
        <w:t>.”</w:t>
      </w:r>
      <w:r w:rsidR="003733BC">
        <w:rPr>
          <w:rStyle w:val="FootnoteReference"/>
          <w:rFonts w:cs="Arial"/>
          <w:lang w:val="en"/>
        </w:rPr>
        <w:footnoteReference w:id="14"/>
      </w:r>
      <w:r w:rsidR="000E06A0">
        <w:rPr>
          <w:rFonts w:cs="Arial"/>
          <w:lang w:val="en"/>
        </w:rPr>
        <w:t xml:space="preserve">  </w:t>
      </w:r>
    </w:p>
    <w:p w:rsidR="002B7DF4" w:rsidRDefault="002B7DF4" w:rsidP="002B7DF4">
      <w:pPr>
        <w:spacing w:line="480" w:lineRule="auto"/>
        <w:ind w:firstLine="720"/>
        <w:jc w:val="both"/>
        <w:rPr>
          <w:rFonts w:eastAsia="Calibri" w:cs="Arial"/>
        </w:rPr>
      </w:pPr>
      <w:r>
        <w:rPr>
          <w:rFonts w:cs="Arial"/>
          <w:lang w:val="en"/>
        </w:rPr>
        <w:lastRenderedPageBreak/>
        <w:t>Perhaps OP’s version of the Ohio Revised C</w:t>
      </w:r>
      <w:r w:rsidR="000E06A0">
        <w:rPr>
          <w:rFonts w:cs="Arial"/>
          <w:lang w:val="en"/>
        </w:rPr>
        <w:t>ode predates Amended Substitute Senate Bill 3 (“SB 3”).  At one point in time, the definition of major utility facility included generati</w:t>
      </w:r>
      <w:r>
        <w:rPr>
          <w:rFonts w:cs="Arial"/>
          <w:lang w:val="en"/>
        </w:rPr>
        <w:t>ng facilities of 50</w:t>
      </w:r>
      <w:r w:rsidR="00600BD0">
        <w:rPr>
          <w:rFonts w:cs="Arial"/>
          <w:lang w:val="en"/>
        </w:rPr>
        <w:t xml:space="preserve"> megawatts (“</w:t>
      </w:r>
      <w:r>
        <w:rPr>
          <w:rFonts w:cs="Arial"/>
          <w:lang w:val="en"/>
        </w:rPr>
        <w:t>MW</w:t>
      </w:r>
      <w:r w:rsidR="00600BD0">
        <w:rPr>
          <w:rFonts w:cs="Arial"/>
          <w:lang w:val="en"/>
        </w:rPr>
        <w:t>”)</w:t>
      </w:r>
      <w:r>
        <w:rPr>
          <w:rFonts w:cs="Arial"/>
          <w:lang w:val="en"/>
        </w:rPr>
        <w:t xml:space="preserve"> or more.  But SB 3 struck the following language from the definition:  </w:t>
      </w:r>
      <w:r w:rsidR="00114891">
        <w:rPr>
          <w:rFonts w:eastAsia="Calibri" w:cs="Arial"/>
        </w:rPr>
        <w:t>“[a]</w:t>
      </w:r>
      <w:r w:rsidRPr="002B7DF4">
        <w:rPr>
          <w:rFonts w:eastAsia="Calibri" w:cs="Arial"/>
        </w:rPr>
        <w:t xml:space="preserve">n electric generating plant and associated facilities designed for, or capable of, operation at a capacity of fifty megawatts or more.”  SB 3 also struck language in the LTFR </w:t>
      </w:r>
      <w:r w:rsidR="00DE7252">
        <w:rPr>
          <w:rFonts w:eastAsia="Calibri" w:cs="Arial"/>
        </w:rPr>
        <w:t>S</w:t>
      </w:r>
      <w:r w:rsidRPr="002B7DF4">
        <w:rPr>
          <w:rFonts w:eastAsia="Calibri" w:cs="Arial"/>
        </w:rPr>
        <w:t>tatute that requires a public hearing based on a substanti</w:t>
      </w:r>
      <w:r>
        <w:rPr>
          <w:rFonts w:eastAsia="Calibri" w:cs="Arial"/>
        </w:rPr>
        <w:t>al change due to the addition or cancelation</w:t>
      </w:r>
      <w:r w:rsidRPr="002B7DF4">
        <w:rPr>
          <w:rFonts w:eastAsia="Calibri" w:cs="Arial"/>
        </w:rPr>
        <w:t xml:space="preserve"> </w:t>
      </w:r>
      <w:r>
        <w:rPr>
          <w:rFonts w:eastAsia="Calibri" w:cs="Arial"/>
        </w:rPr>
        <w:t xml:space="preserve">of </w:t>
      </w:r>
      <w:r w:rsidRPr="002B7DF4">
        <w:rPr>
          <w:rFonts w:eastAsia="Calibri" w:cs="Arial"/>
        </w:rPr>
        <w:t>a new generating facility</w:t>
      </w:r>
      <w:r>
        <w:rPr>
          <w:rFonts w:eastAsia="Calibri" w:cs="Arial"/>
        </w:rPr>
        <w:t xml:space="preserve"> of 50MW</w:t>
      </w:r>
      <w:r w:rsidR="004B49FE">
        <w:rPr>
          <w:rFonts w:eastAsia="Calibri" w:cs="Arial"/>
        </w:rPr>
        <w:t>s</w:t>
      </w:r>
      <w:r>
        <w:rPr>
          <w:rFonts w:eastAsia="Calibri" w:cs="Arial"/>
        </w:rPr>
        <w:t xml:space="preserve"> or more</w:t>
      </w:r>
      <w:r w:rsidRPr="002B7DF4">
        <w:rPr>
          <w:rFonts w:eastAsia="Calibri" w:cs="Arial"/>
        </w:rPr>
        <w:t>.</w:t>
      </w:r>
      <w:r>
        <w:rPr>
          <w:rFonts w:eastAsia="Calibri" w:cs="Arial"/>
        </w:rPr>
        <w:t xml:space="preserve">  </w:t>
      </w:r>
    </w:p>
    <w:p w:rsidR="002B7DF4" w:rsidRDefault="002B7DF4" w:rsidP="002B7DF4">
      <w:pPr>
        <w:spacing w:line="480" w:lineRule="auto"/>
        <w:ind w:firstLine="720"/>
        <w:jc w:val="both"/>
        <w:rPr>
          <w:rFonts w:eastAsia="Calibri" w:cs="Arial"/>
        </w:rPr>
      </w:pPr>
      <w:r>
        <w:rPr>
          <w:rFonts w:eastAsia="Calibri" w:cs="Arial"/>
        </w:rPr>
        <w:t xml:space="preserve">The fact that the definition of </w:t>
      </w:r>
      <w:r w:rsidR="00DE7252">
        <w:rPr>
          <w:rFonts w:eastAsia="Calibri" w:cs="Arial"/>
        </w:rPr>
        <w:t xml:space="preserve">a </w:t>
      </w:r>
      <w:r>
        <w:rPr>
          <w:rFonts w:eastAsia="Calibri" w:cs="Arial"/>
        </w:rPr>
        <w:t>major utility facility once did</w:t>
      </w:r>
      <w:r w:rsidR="00DE7252">
        <w:rPr>
          <w:rFonts w:eastAsia="Calibri" w:cs="Arial"/>
        </w:rPr>
        <w:t>,</w:t>
      </w:r>
      <w:r>
        <w:rPr>
          <w:rFonts w:eastAsia="Calibri" w:cs="Arial"/>
        </w:rPr>
        <w:t xml:space="preserve"> but no longer includes generating facilities</w:t>
      </w:r>
      <w:r w:rsidR="00DE7252">
        <w:rPr>
          <w:rFonts w:eastAsia="Calibri" w:cs="Arial"/>
        </w:rPr>
        <w:t>,</w:t>
      </w:r>
      <w:r>
        <w:rPr>
          <w:rFonts w:eastAsia="Calibri" w:cs="Arial"/>
        </w:rPr>
        <w:t xml:space="preserve"> further undercuts OP’s argument that need can be determined in a LTFR.  In SB 3, the General Assembly clearly decreased the role of the LTFR with respect to the addition of specific generating facilities.  SB 221 did not</w:t>
      </w:r>
      <w:r w:rsidR="008127D9">
        <w:rPr>
          <w:rFonts w:eastAsia="Calibri" w:cs="Arial"/>
        </w:rPr>
        <w:t xml:space="preserve"> change that approach—the LTFR S</w:t>
      </w:r>
      <w:r>
        <w:rPr>
          <w:rFonts w:eastAsia="Calibri" w:cs="Arial"/>
        </w:rPr>
        <w:t xml:space="preserve">tatute was untouched.  Rather, SB 221 added the requirement that the need for </w:t>
      </w:r>
      <w:r w:rsidR="00DE7252">
        <w:rPr>
          <w:rFonts w:eastAsia="Calibri" w:cs="Arial"/>
        </w:rPr>
        <w:t xml:space="preserve">a </w:t>
      </w:r>
      <w:r>
        <w:rPr>
          <w:rFonts w:eastAsia="Calibri" w:cs="Arial"/>
        </w:rPr>
        <w:t>new generating facility be determined</w:t>
      </w:r>
      <w:r w:rsidR="00ED7BE6">
        <w:rPr>
          <w:rFonts w:eastAsia="Calibri" w:cs="Arial"/>
        </w:rPr>
        <w:t xml:space="preserve"> in an ESP. </w:t>
      </w:r>
    </w:p>
    <w:p w:rsidR="00CB0426" w:rsidRDefault="00ED7BE6" w:rsidP="002B7DF4">
      <w:pPr>
        <w:spacing w:line="480" w:lineRule="auto"/>
        <w:ind w:firstLine="720"/>
        <w:jc w:val="both"/>
        <w:rPr>
          <w:rFonts w:eastAsia="Calibri" w:cs="Arial"/>
        </w:rPr>
      </w:pPr>
      <w:r>
        <w:rPr>
          <w:rFonts w:eastAsia="Calibri" w:cs="Arial"/>
        </w:rPr>
        <w:t>OP’s additional claims are just attempts to throw arguments up into the air in the hope that something sticks.  First, OP concedes that the hearing is limited to forecasting</w:t>
      </w:r>
      <w:r w:rsidR="00CB0426">
        <w:rPr>
          <w:rFonts w:eastAsia="Calibri" w:cs="Arial"/>
        </w:rPr>
        <w:t xml:space="preserve"> under Section 4935.04(E), Revised Code</w:t>
      </w:r>
      <w:r>
        <w:rPr>
          <w:rFonts w:eastAsia="Calibri" w:cs="Arial"/>
        </w:rPr>
        <w:t>,</w:t>
      </w:r>
      <w:r>
        <w:rPr>
          <w:rStyle w:val="FootnoteReference"/>
          <w:rFonts w:eastAsia="Calibri" w:cs="Arial"/>
        </w:rPr>
        <w:footnoteReference w:id="15"/>
      </w:r>
      <w:r>
        <w:rPr>
          <w:rFonts w:eastAsia="Calibri" w:cs="Arial"/>
        </w:rPr>
        <w:t xml:space="preserve"> but OP then claims “the proceeding is not limited.”</w:t>
      </w:r>
      <w:r>
        <w:rPr>
          <w:rStyle w:val="FootnoteReference"/>
          <w:rFonts w:eastAsia="Calibri" w:cs="Arial"/>
        </w:rPr>
        <w:footnoteReference w:id="16"/>
      </w:r>
      <w:r w:rsidR="00CB0426">
        <w:rPr>
          <w:rFonts w:eastAsia="Calibri" w:cs="Arial"/>
        </w:rPr>
        <w:t xml:space="preserve"> OP relies on language in Section 4935.04(E)(2), Revised Code, stating “the hearing shall include, but not be limited to, a review of . . . . [t]he estimated installed capacity and supplies to meet the projected load requirements.”</w:t>
      </w:r>
      <w:r w:rsidR="003733BC">
        <w:rPr>
          <w:rStyle w:val="FootnoteReference"/>
          <w:rFonts w:eastAsia="Calibri" w:cs="Arial"/>
        </w:rPr>
        <w:footnoteReference w:id="17"/>
      </w:r>
      <w:r w:rsidR="00CB0426">
        <w:rPr>
          <w:rFonts w:eastAsia="Calibri" w:cs="Arial"/>
        </w:rPr>
        <w:t xml:space="preserve"> OP’s argument is a </w:t>
      </w:r>
      <w:r w:rsidR="00CB0426">
        <w:rPr>
          <w:rFonts w:eastAsia="Calibri" w:cs="Arial"/>
        </w:rPr>
        <w:lastRenderedPageBreak/>
        <w:t xml:space="preserve">red herring. </w:t>
      </w:r>
      <w:r w:rsidR="00E32EB4">
        <w:rPr>
          <w:rFonts w:eastAsia="Calibri" w:cs="Arial"/>
        </w:rPr>
        <w:t xml:space="preserve"> </w:t>
      </w:r>
      <w:r w:rsidR="00CB0426">
        <w:rPr>
          <w:rFonts w:eastAsia="Calibri" w:cs="Arial"/>
        </w:rPr>
        <w:t>Even if the Commission were to review TPS as part of OP’s estimated installe</w:t>
      </w:r>
      <w:r w:rsidR="00772D06">
        <w:rPr>
          <w:rFonts w:eastAsia="Calibri" w:cs="Arial"/>
        </w:rPr>
        <w:t>d capacity, the Commission cannot</w:t>
      </w:r>
      <w:r w:rsidR="00CB0426">
        <w:rPr>
          <w:rFonts w:eastAsia="Calibri" w:cs="Arial"/>
        </w:rPr>
        <w:t xml:space="preserve"> determine the issue of need for TPS in a LTFR proceeding.  </w:t>
      </w:r>
    </w:p>
    <w:p w:rsidR="002B7DF4" w:rsidRPr="002B7DF4" w:rsidRDefault="00CB0426" w:rsidP="002B7DF4">
      <w:pPr>
        <w:spacing w:line="480" w:lineRule="auto"/>
        <w:ind w:firstLine="720"/>
        <w:jc w:val="both"/>
        <w:rPr>
          <w:rFonts w:eastAsia="Calibri" w:cs="Arial"/>
        </w:rPr>
      </w:pPr>
      <w:r>
        <w:rPr>
          <w:rFonts w:eastAsia="Calibri" w:cs="Arial"/>
        </w:rPr>
        <w:t>Likewise, the Commission should reject OP’s claim that the need for TP</w:t>
      </w:r>
      <w:r w:rsidR="00E32EB4">
        <w:rPr>
          <w:rFonts w:eastAsia="Calibri" w:cs="Arial"/>
        </w:rPr>
        <w:t>S</w:t>
      </w:r>
      <w:r>
        <w:rPr>
          <w:rFonts w:eastAsia="Calibri" w:cs="Arial"/>
        </w:rPr>
        <w:t xml:space="preserve"> is an appropriate issue for a LTFR proceeding because “[t]he Commission is statutorily required to consider plans for expansion of the power grid.”</w:t>
      </w:r>
      <w:r>
        <w:rPr>
          <w:rStyle w:val="FootnoteReference"/>
          <w:rFonts w:eastAsia="Calibri" w:cs="Arial"/>
        </w:rPr>
        <w:footnoteReference w:id="18"/>
      </w:r>
      <w:r>
        <w:rPr>
          <w:rFonts w:eastAsia="Calibri" w:cs="Arial"/>
        </w:rPr>
        <w:t xml:space="preserve">  The LTFR </w:t>
      </w:r>
      <w:r w:rsidR="00E32EB4">
        <w:rPr>
          <w:rFonts w:eastAsia="Calibri" w:cs="Arial"/>
        </w:rPr>
        <w:t>S</w:t>
      </w:r>
      <w:r>
        <w:rPr>
          <w:rFonts w:eastAsia="Calibri" w:cs="Arial"/>
        </w:rPr>
        <w:t xml:space="preserve">tatute requires to the Commission to determine if the LTFR considers plans for expansion of the power grid—it does not authorize the Commission to determine that there is a need to expand the power grid </w:t>
      </w:r>
      <w:r w:rsidR="00ED416E">
        <w:rPr>
          <w:rFonts w:eastAsia="Calibri" w:cs="Arial"/>
        </w:rPr>
        <w:t>through a particular facility contained in</w:t>
      </w:r>
      <w:r>
        <w:rPr>
          <w:rFonts w:eastAsia="Calibri" w:cs="Arial"/>
        </w:rPr>
        <w:t xml:space="preserve"> the LTFR.</w:t>
      </w:r>
    </w:p>
    <w:p w:rsidR="00ED416E" w:rsidRDefault="00ED416E" w:rsidP="008254BD">
      <w:pPr>
        <w:spacing w:line="480" w:lineRule="auto"/>
        <w:ind w:firstLine="720"/>
        <w:jc w:val="both"/>
        <w:rPr>
          <w:rFonts w:eastAsia="Calibri" w:cs="Arial"/>
        </w:rPr>
      </w:pPr>
      <w:r>
        <w:rPr>
          <w:rFonts w:eastAsia="Calibri" w:cs="Arial"/>
        </w:rPr>
        <w:t>OP also misreads Section 4935.04(H), Revised Code, claiming that it provides “</w:t>
      </w:r>
      <w:r w:rsidRPr="00772D06">
        <w:rPr>
          <w:rFonts w:eastAsia="Calibri" w:cs="Arial"/>
        </w:rPr>
        <w:t>examples</w:t>
      </w:r>
      <w:r>
        <w:rPr>
          <w:rFonts w:eastAsia="Calibri" w:cs="Arial"/>
        </w:rPr>
        <w:t xml:space="preserve"> of the proceedings it will be evidence in.”</w:t>
      </w:r>
      <w:r>
        <w:rPr>
          <w:rStyle w:val="FootnoteReference"/>
          <w:rFonts w:eastAsia="Calibri" w:cs="Arial"/>
        </w:rPr>
        <w:footnoteReference w:id="19"/>
      </w:r>
      <w:r>
        <w:rPr>
          <w:rFonts w:eastAsia="Calibri" w:cs="Arial"/>
        </w:rPr>
        <w:t xml:space="preserve"> No such language exists in the statute.  Section (H) provides:</w:t>
      </w:r>
    </w:p>
    <w:p w:rsidR="003B3A85" w:rsidRDefault="00ED416E" w:rsidP="00DC7FF7">
      <w:pPr>
        <w:spacing w:after="360"/>
        <w:ind w:left="720" w:right="720"/>
        <w:jc w:val="both"/>
        <w:rPr>
          <w:rFonts w:eastAsia="Calibri" w:cs="Arial"/>
        </w:rPr>
      </w:pPr>
      <w:r w:rsidRPr="00ED416E">
        <w:rPr>
          <w:rFonts w:cs="Arial"/>
          <w:lang w:val="en"/>
        </w:rPr>
        <w:t>The hearing record produced under this section and the determinations of the commission shall be introduced into evidence and shall be considered in determining the basis of need for power siting board deliberations under division (A)(1) of section 4906.10 of the Revised Code. The hearing record produced under this section shall be introduced into evidence and shall be considered by the public utilities commission in its initiation of programs, examinations, and findings under section 4905.70 of the Revised Code, and shall be considered in the commission’s determinations with respect to the establishment of just and reasonable rates under section 4909.15 of the Revised Code and financing utility facilities and authorizing issuance of all securities under sections 4905.40, 4905.401, 4905.41, and 4905.42 of the Revised Code. The forecast findings also shall serve as the basis for all other energy planning and development activities of the state government where electric and gas data are required.</w:t>
      </w:r>
      <w:r w:rsidRPr="00ED416E">
        <w:rPr>
          <w:rFonts w:eastAsia="Calibri" w:cs="Arial"/>
        </w:rPr>
        <w:t xml:space="preserve"> </w:t>
      </w:r>
    </w:p>
    <w:p w:rsidR="00DC7FF7" w:rsidRDefault="00ED416E" w:rsidP="008254BD">
      <w:pPr>
        <w:spacing w:line="480" w:lineRule="auto"/>
        <w:jc w:val="both"/>
        <w:rPr>
          <w:rFonts w:eastAsia="Calibri" w:cs="Arial"/>
        </w:rPr>
      </w:pPr>
      <w:r>
        <w:rPr>
          <w:rFonts w:eastAsia="Calibri" w:cs="Arial"/>
        </w:rPr>
        <w:t>Whil</w:t>
      </w:r>
      <w:r w:rsidR="002B3A04">
        <w:rPr>
          <w:rFonts w:eastAsia="Calibri" w:cs="Arial"/>
        </w:rPr>
        <w:t xml:space="preserve">e the evidentiary record and Commission determinations may be introduced in certain proceedings, an ESP proceeding is not one of them.  Moreover, it is compelling </w:t>
      </w:r>
      <w:r w:rsidR="002B3A04">
        <w:rPr>
          <w:rFonts w:eastAsia="Calibri" w:cs="Arial"/>
        </w:rPr>
        <w:lastRenderedPageBreak/>
        <w:t>that the LTFR Statute provided that the record may be considered in determining the basis of need for power siting board deliberations but the LTFR Statue did not expressly provide for consideration of the record in ESP proceedings.</w:t>
      </w:r>
    </w:p>
    <w:p w:rsidR="002B3A04" w:rsidRDefault="002B3A04" w:rsidP="00935AAA">
      <w:pPr>
        <w:spacing w:line="480" w:lineRule="auto"/>
        <w:ind w:firstLine="720"/>
        <w:jc w:val="both"/>
        <w:rPr>
          <w:rFonts w:eastAsia="Calibri" w:cs="Arial"/>
        </w:rPr>
      </w:pPr>
      <w:r>
        <w:rPr>
          <w:rFonts w:eastAsia="Calibri" w:cs="Arial"/>
        </w:rPr>
        <w:t>The Commission should also reject OP’s claim that the Commission’s rules support finding that there is a need for TPS in a LTFR proceeding.  Regardless of what the Commission’s rules provide,</w:t>
      </w:r>
      <w:r w:rsidR="002B746C">
        <w:rPr>
          <w:rFonts w:eastAsia="Calibri" w:cs="Arial"/>
        </w:rPr>
        <w:t xml:space="preserve"> the rules must be interpreted as to</w:t>
      </w:r>
      <w:r w:rsidR="00B132EB">
        <w:rPr>
          <w:rFonts w:eastAsia="Calibri" w:cs="Arial"/>
        </w:rPr>
        <w:t xml:space="preserve"> not conflict with Section 4928.143(B)(2)(c)</w:t>
      </w:r>
      <w:r w:rsidR="00E32EB4">
        <w:rPr>
          <w:rFonts w:eastAsia="Calibri" w:cs="Arial"/>
        </w:rPr>
        <w:t>, Revised Code</w:t>
      </w:r>
      <w:r w:rsidR="002B746C">
        <w:rPr>
          <w:rFonts w:eastAsia="Calibri" w:cs="Arial"/>
        </w:rPr>
        <w:t>.</w:t>
      </w:r>
      <w:r w:rsidR="00B132EB">
        <w:rPr>
          <w:rStyle w:val="FootnoteReference"/>
          <w:rFonts w:eastAsia="Calibri" w:cs="Arial"/>
        </w:rPr>
        <w:footnoteReference w:id="20"/>
      </w:r>
      <w:r w:rsidR="00B132EB">
        <w:rPr>
          <w:rFonts w:eastAsia="Calibri" w:cs="Arial"/>
        </w:rPr>
        <w:t xml:space="preserve">  Since that Section provides that a finding of need must be made in an ESP proceeding, any claim that Rules 4901:5-5-</w:t>
      </w:r>
      <w:r w:rsidR="00E32EB4">
        <w:rPr>
          <w:rFonts w:eastAsia="Calibri" w:cs="Arial"/>
        </w:rPr>
        <w:t>0</w:t>
      </w:r>
      <w:r w:rsidR="00B132EB">
        <w:rPr>
          <w:rFonts w:eastAsia="Calibri" w:cs="Arial"/>
        </w:rPr>
        <w:t>3 or 4901:1-5-5-06,</w:t>
      </w:r>
      <w:r w:rsidR="002957E3">
        <w:rPr>
          <w:rStyle w:val="FootnoteReference"/>
          <w:rFonts w:eastAsia="Calibri" w:cs="Arial"/>
        </w:rPr>
        <w:footnoteReference w:id="21"/>
      </w:r>
      <w:r w:rsidR="00B132EB">
        <w:rPr>
          <w:rFonts w:eastAsia="Calibri" w:cs="Arial"/>
        </w:rPr>
        <w:t xml:space="preserve"> Ohio Administrative Code, provide otherwise must be rejected.</w:t>
      </w:r>
      <w:r w:rsidR="002957E3">
        <w:rPr>
          <w:rFonts w:eastAsia="Calibri" w:cs="Arial"/>
        </w:rPr>
        <w:t xml:space="preserve"> </w:t>
      </w:r>
    </w:p>
    <w:p w:rsidR="008254BD" w:rsidRDefault="00300756" w:rsidP="008254BD">
      <w:pPr>
        <w:spacing w:line="480" w:lineRule="auto"/>
        <w:jc w:val="both"/>
        <w:rPr>
          <w:rFonts w:eastAsia="Calibri" w:cs="Arial"/>
          <w:szCs w:val="20"/>
        </w:rPr>
      </w:pPr>
      <w:r>
        <w:rPr>
          <w:rFonts w:eastAsia="Calibri" w:cs="Arial"/>
        </w:rPr>
        <w:tab/>
        <w:t>Also, OP wrongly claims that Commission precedent supports determining that there is a need for TPS in a LTFR proceeding.</w:t>
      </w:r>
      <w:r>
        <w:rPr>
          <w:rStyle w:val="FootnoteReference"/>
          <w:rFonts w:eastAsia="Calibri" w:cs="Arial"/>
        </w:rPr>
        <w:footnoteReference w:id="22"/>
      </w:r>
      <w:r w:rsidR="002B3885">
        <w:rPr>
          <w:rFonts w:eastAsia="Calibri" w:cs="Arial"/>
        </w:rPr>
        <w:t xml:space="preserve">  OP’s argument is improper because it is based upon a stipulation.</w:t>
      </w:r>
      <w:r>
        <w:rPr>
          <w:rStyle w:val="FootnoteReference"/>
          <w:rFonts w:eastAsia="Calibri" w:cs="Arial"/>
        </w:rPr>
        <w:footnoteReference w:id="23"/>
      </w:r>
      <w:r w:rsidR="002B3885">
        <w:rPr>
          <w:rFonts w:eastAsia="Calibri" w:cs="Arial"/>
        </w:rPr>
        <w:t xml:space="preserve">  Indeed, the </w:t>
      </w:r>
      <w:r w:rsidR="002B3885">
        <w:rPr>
          <w:rFonts w:eastAsia="Calibri" w:cs="Arial"/>
          <w:i/>
        </w:rPr>
        <w:t xml:space="preserve">DP&amp;L Stipulation </w:t>
      </w:r>
      <w:r w:rsidR="002B3885">
        <w:rPr>
          <w:rFonts w:eastAsia="Calibri" w:cs="Arial"/>
        </w:rPr>
        <w:t xml:space="preserve">explicitly states that neither it nor any Commission order approving it </w:t>
      </w:r>
      <w:r w:rsidR="003733BC">
        <w:rPr>
          <w:rFonts w:eastAsia="Calibri" w:cs="Arial"/>
        </w:rPr>
        <w:t xml:space="preserve">may be relied upon as precedent, stating, </w:t>
      </w:r>
      <w:r w:rsidR="002B3885">
        <w:rPr>
          <w:rFonts w:eastAsia="Calibri" w:cs="Arial"/>
        </w:rPr>
        <w:t xml:space="preserve"> </w:t>
      </w:r>
      <w:r w:rsidR="002B3885" w:rsidRPr="002B3885">
        <w:rPr>
          <w:rFonts w:eastAsia="Calibri" w:cs="Arial"/>
        </w:rPr>
        <w:t>“</w:t>
      </w:r>
      <w:r w:rsidR="00934919">
        <w:rPr>
          <w:rFonts w:eastAsia="Calibri" w:cs="Arial"/>
          <w:szCs w:val="20"/>
        </w:rPr>
        <w:t>[e]</w:t>
      </w:r>
      <w:r w:rsidR="002B3885" w:rsidRPr="002B3885">
        <w:rPr>
          <w:rFonts w:eastAsia="Calibri" w:cs="Arial"/>
          <w:szCs w:val="20"/>
        </w:rPr>
        <w:t xml:space="preserve">xcept for purposes of enforcement of the terms of this Stipulation, this Stipulation, the information and data contained therein or attached and </w:t>
      </w:r>
      <w:r w:rsidR="002B3885" w:rsidRPr="002B3885">
        <w:rPr>
          <w:rFonts w:eastAsia="Calibri" w:cs="Arial"/>
          <w:szCs w:val="20"/>
          <w:u w:val="single"/>
        </w:rPr>
        <w:t>any Commission rulings adopting it</w:t>
      </w:r>
      <w:r w:rsidR="002B3885" w:rsidRPr="002B3885">
        <w:rPr>
          <w:rFonts w:eastAsia="Calibri" w:cs="Arial"/>
          <w:szCs w:val="20"/>
        </w:rPr>
        <w:t>, shall not be cited as precedent in any future proceeding for or against any Party or the Commission itself.</w:t>
      </w:r>
      <w:r w:rsidR="002B3885">
        <w:rPr>
          <w:rFonts w:eastAsia="Calibri" w:cs="Arial"/>
          <w:szCs w:val="20"/>
        </w:rPr>
        <w:t>”</w:t>
      </w:r>
      <w:r w:rsidR="002B3885">
        <w:rPr>
          <w:rStyle w:val="FootnoteReference"/>
          <w:rFonts w:eastAsia="Calibri" w:cs="Arial"/>
          <w:szCs w:val="20"/>
        </w:rPr>
        <w:footnoteReference w:id="24"/>
      </w:r>
      <w:r w:rsidR="002B3885">
        <w:rPr>
          <w:rFonts w:eastAsia="Calibri" w:cs="Arial"/>
          <w:szCs w:val="20"/>
        </w:rPr>
        <w:t xml:space="preserve">  OP’s </w:t>
      </w:r>
      <w:r w:rsidR="00504804">
        <w:rPr>
          <w:rFonts w:eastAsia="Calibri" w:cs="Arial"/>
          <w:szCs w:val="20"/>
        </w:rPr>
        <w:t xml:space="preserve">practice of citing to stipulations that by their very </w:t>
      </w:r>
      <w:r w:rsidR="00504804">
        <w:rPr>
          <w:rFonts w:eastAsia="Calibri" w:cs="Arial"/>
          <w:szCs w:val="20"/>
        </w:rPr>
        <w:lastRenderedPageBreak/>
        <w:t>nature do not carry evidentiary weight is part of the reason why</w:t>
      </w:r>
      <w:r w:rsidR="002B3885">
        <w:rPr>
          <w:rFonts w:eastAsia="Calibri" w:cs="Arial"/>
          <w:szCs w:val="20"/>
        </w:rPr>
        <w:t xml:space="preserve"> is difficult to settle cases.</w:t>
      </w:r>
      <w:r w:rsidR="00934919">
        <w:rPr>
          <w:rStyle w:val="FootnoteReference"/>
          <w:rFonts w:eastAsia="Calibri" w:cs="Arial"/>
          <w:szCs w:val="20"/>
        </w:rPr>
        <w:footnoteReference w:id="25"/>
      </w:r>
    </w:p>
    <w:p w:rsidR="00114891" w:rsidRDefault="002D43BC" w:rsidP="008254BD">
      <w:pPr>
        <w:pStyle w:val="ListParagraph"/>
        <w:numPr>
          <w:ilvl w:val="0"/>
          <w:numId w:val="2"/>
        </w:numPr>
        <w:spacing w:before="240" w:after="200"/>
        <w:jc w:val="both"/>
        <w:rPr>
          <w:rFonts w:eastAsia="Calibri" w:cs="Arial"/>
          <w:b/>
        </w:rPr>
      </w:pPr>
      <w:r>
        <w:rPr>
          <w:rFonts w:eastAsia="Calibri" w:cs="Arial"/>
          <w:b/>
        </w:rPr>
        <w:t>The Stipulation Unlawfully Requests that the Co</w:t>
      </w:r>
      <w:r w:rsidR="00C65FD5">
        <w:rPr>
          <w:rFonts w:eastAsia="Calibri" w:cs="Arial"/>
          <w:b/>
        </w:rPr>
        <w:t>mmission D</w:t>
      </w:r>
      <w:r>
        <w:rPr>
          <w:rFonts w:eastAsia="Calibri" w:cs="Arial"/>
          <w:b/>
        </w:rPr>
        <w:t>etermine that TPS is Needed to Satisfy Statewide SREC Requirements</w:t>
      </w:r>
      <w:r>
        <w:rPr>
          <w:rFonts w:eastAsia="Calibri" w:cs="Arial"/>
          <w:b/>
        </w:rPr>
        <w:tab/>
      </w:r>
    </w:p>
    <w:p w:rsidR="002D43BC" w:rsidRDefault="00005E21" w:rsidP="008254BD">
      <w:pPr>
        <w:spacing w:line="480" w:lineRule="auto"/>
        <w:ind w:firstLine="720"/>
        <w:jc w:val="both"/>
        <w:rPr>
          <w:rFonts w:eastAsia="Calibri" w:cs="Arial"/>
        </w:rPr>
      </w:pPr>
      <w:r>
        <w:rPr>
          <w:rFonts w:eastAsia="Calibri" w:cs="Arial"/>
        </w:rPr>
        <w:t>A finding of need cannot be determined in a LTFR</w:t>
      </w:r>
      <w:r w:rsidR="00AA40B5">
        <w:rPr>
          <w:rStyle w:val="FootnoteReference"/>
          <w:rFonts w:eastAsia="Calibri" w:cs="Arial"/>
        </w:rPr>
        <w:footnoteReference w:id="26"/>
      </w:r>
      <w:r>
        <w:rPr>
          <w:rFonts w:eastAsia="Calibri" w:cs="Arial"/>
        </w:rPr>
        <w:t xml:space="preserve"> and it cannot be made with respect to a renewable generating facility.</w:t>
      </w:r>
      <w:r w:rsidR="00AA40B5">
        <w:rPr>
          <w:rStyle w:val="FootnoteReference"/>
          <w:rFonts w:eastAsia="Calibri" w:cs="Arial"/>
        </w:rPr>
        <w:footnoteReference w:id="27"/>
      </w:r>
      <w:r>
        <w:rPr>
          <w:rFonts w:eastAsia="Calibri" w:cs="Arial"/>
        </w:rPr>
        <w:t xml:space="preserve"> </w:t>
      </w:r>
      <w:r w:rsidR="00934919">
        <w:rPr>
          <w:rFonts w:eastAsia="Calibri" w:cs="Arial"/>
        </w:rPr>
        <w:t xml:space="preserve"> Even assuming that this was a</w:t>
      </w:r>
      <w:r>
        <w:rPr>
          <w:rFonts w:eastAsia="Calibri" w:cs="Arial"/>
        </w:rPr>
        <w:t xml:space="preserve"> correct proceeding to determine the need for a </w:t>
      </w:r>
      <w:r w:rsidR="00934919">
        <w:rPr>
          <w:rFonts w:eastAsia="Calibri" w:cs="Arial"/>
        </w:rPr>
        <w:t xml:space="preserve">generating </w:t>
      </w:r>
      <w:r>
        <w:rPr>
          <w:rFonts w:eastAsia="Calibri" w:cs="Arial"/>
        </w:rPr>
        <w:t xml:space="preserve">facility, and such a determination could made with respect to TPS, </w:t>
      </w:r>
      <w:r w:rsidR="00E32EB4">
        <w:rPr>
          <w:rFonts w:eastAsia="Calibri" w:cs="Arial"/>
        </w:rPr>
        <w:t>i</w:t>
      </w:r>
      <w:r>
        <w:rPr>
          <w:rFonts w:eastAsia="Calibri" w:cs="Arial"/>
        </w:rPr>
        <w:t>t would be unlawful to determine that a potential statewide SREC shortage justifie</w:t>
      </w:r>
      <w:r w:rsidR="0066023F">
        <w:rPr>
          <w:rFonts w:eastAsia="Calibri" w:cs="Arial"/>
        </w:rPr>
        <w:t>s</w:t>
      </w:r>
      <w:r>
        <w:rPr>
          <w:rFonts w:eastAsia="Calibri" w:cs="Arial"/>
        </w:rPr>
        <w:t xml:space="preserve"> determining that there is a need for TPS.</w:t>
      </w:r>
      <w:r>
        <w:rPr>
          <w:rStyle w:val="FootnoteReference"/>
          <w:rFonts w:eastAsia="Calibri" w:cs="Arial"/>
        </w:rPr>
        <w:footnoteReference w:id="28"/>
      </w:r>
      <w:r>
        <w:rPr>
          <w:rFonts w:eastAsia="Calibri" w:cs="Arial"/>
        </w:rPr>
        <w:t xml:space="preserve">  While OP’s and Staff’s </w:t>
      </w:r>
      <w:r w:rsidR="00E32EB4">
        <w:rPr>
          <w:rFonts w:eastAsia="Calibri" w:cs="Arial"/>
        </w:rPr>
        <w:t>P</w:t>
      </w:r>
      <w:r>
        <w:rPr>
          <w:rFonts w:eastAsia="Calibri" w:cs="Arial"/>
        </w:rPr>
        <w:t xml:space="preserve">ost </w:t>
      </w:r>
      <w:r w:rsidR="00E32EB4">
        <w:rPr>
          <w:rFonts w:eastAsia="Calibri" w:cs="Arial"/>
        </w:rPr>
        <w:t>H</w:t>
      </w:r>
      <w:r>
        <w:rPr>
          <w:rFonts w:eastAsia="Calibri" w:cs="Arial"/>
        </w:rPr>
        <w:t xml:space="preserve">earing </w:t>
      </w:r>
      <w:r w:rsidR="00E32EB4">
        <w:rPr>
          <w:rFonts w:eastAsia="Calibri" w:cs="Arial"/>
        </w:rPr>
        <w:t>B</w:t>
      </w:r>
      <w:r>
        <w:rPr>
          <w:rFonts w:eastAsia="Calibri" w:cs="Arial"/>
        </w:rPr>
        <w:t xml:space="preserve">riefs contain scant few citations, it is clear that OP and Staff believe that </w:t>
      </w:r>
      <w:r w:rsidR="002A587B">
        <w:rPr>
          <w:rFonts w:eastAsia="Calibri" w:cs="Arial"/>
        </w:rPr>
        <w:t xml:space="preserve">need may be based on potential </w:t>
      </w:r>
      <w:r w:rsidR="00AA40B5">
        <w:rPr>
          <w:rFonts w:eastAsia="Calibri" w:cs="Arial"/>
        </w:rPr>
        <w:t>shortage of statewide SRECs</w:t>
      </w:r>
      <w:r>
        <w:rPr>
          <w:rFonts w:eastAsia="Calibri" w:cs="Arial"/>
        </w:rPr>
        <w:t>.</w:t>
      </w:r>
    </w:p>
    <w:p w:rsidR="00005E21" w:rsidRPr="002D43BC" w:rsidRDefault="00FF258B" w:rsidP="0066023F">
      <w:pPr>
        <w:spacing w:line="480" w:lineRule="auto"/>
        <w:ind w:firstLine="720"/>
        <w:jc w:val="both"/>
        <w:rPr>
          <w:rFonts w:eastAsia="Calibri" w:cs="Arial"/>
        </w:rPr>
      </w:pPr>
      <w:r>
        <w:rPr>
          <w:rFonts w:eastAsia="Calibri" w:cs="Arial"/>
        </w:rPr>
        <w:t>But OP’s SREC requirement</w:t>
      </w:r>
      <w:r w:rsidR="00B55710">
        <w:rPr>
          <w:rFonts w:eastAsia="Calibri" w:cs="Arial"/>
        </w:rPr>
        <w:t>s have</w:t>
      </w:r>
      <w:r>
        <w:rPr>
          <w:rFonts w:eastAsia="Calibri" w:cs="Arial"/>
        </w:rPr>
        <w:t xml:space="preserve"> nothing to do with the cumulative statewide SREC requirements.</w:t>
      </w:r>
      <w:r w:rsidR="002A587B">
        <w:rPr>
          <w:rFonts w:eastAsia="Calibri" w:cs="Arial"/>
        </w:rPr>
        <w:t xml:space="preserve"> </w:t>
      </w:r>
      <w:r>
        <w:rPr>
          <w:rFonts w:eastAsia="Calibri" w:cs="Arial"/>
        </w:rPr>
        <w:t xml:space="preserve"> OP’s </w:t>
      </w:r>
      <w:r w:rsidR="002A587B">
        <w:rPr>
          <w:rFonts w:eastAsia="Calibri" w:cs="Arial"/>
        </w:rPr>
        <w:t>compliance obligation is determine</w:t>
      </w:r>
      <w:r w:rsidR="00582EE3">
        <w:rPr>
          <w:rFonts w:eastAsia="Calibri" w:cs="Arial"/>
        </w:rPr>
        <w:t>d</w:t>
      </w:r>
      <w:r w:rsidR="002A587B">
        <w:rPr>
          <w:rFonts w:eastAsia="Calibri" w:cs="Arial"/>
        </w:rPr>
        <w:t xml:space="preserve"> by the amount of kilowatt hours it sells to standard service offer customers.</w:t>
      </w:r>
      <w:r w:rsidR="00B55710">
        <w:rPr>
          <w:rStyle w:val="FootnoteReference"/>
          <w:rFonts w:eastAsia="Calibri" w:cs="Arial"/>
        </w:rPr>
        <w:footnoteReference w:id="29"/>
      </w:r>
      <w:r w:rsidR="00E32EB4">
        <w:rPr>
          <w:rFonts w:eastAsia="Calibri" w:cs="Arial"/>
        </w:rPr>
        <w:t xml:space="preserve"> </w:t>
      </w:r>
      <w:r w:rsidR="002A587B">
        <w:rPr>
          <w:rFonts w:eastAsia="Calibri" w:cs="Arial"/>
        </w:rPr>
        <w:t xml:space="preserve"> Thus, even if it were legal to determine the need for a renewabl</w:t>
      </w:r>
      <w:r w:rsidR="00830789">
        <w:rPr>
          <w:rFonts w:eastAsia="Calibri" w:cs="Arial"/>
        </w:rPr>
        <w:t>e generating facility based on a need to comply with</w:t>
      </w:r>
      <w:r w:rsidR="002A587B">
        <w:rPr>
          <w:rFonts w:eastAsia="Calibri" w:cs="Arial"/>
        </w:rPr>
        <w:t xml:space="preserve"> SREC requirements, the finding wou</w:t>
      </w:r>
      <w:r w:rsidR="00196B67">
        <w:rPr>
          <w:rFonts w:eastAsia="Calibri" w:cs="Arial"/>
        </w:rPr>
        <w:t>ld have to be based on OP’s need for</w:t>
      </w:r>
      <w:r w:rsidR="002A587B">
        <w:rPr>
          <w:rFonts w:eastAsia="Calibri" w:cs="Arial"/>
        </w:rPr>
        <w:t xml:space="preserve"> SRECs</w:t>
      </w:r>
      <w:r w:rsidR="00830789">
        <w:rPr>
          <w:rFonts w:eastAsia="Calibri" w:cs="Arial"/>
        </w:rPr>
        <w:t xml:space="preserve">—not the state of Ohio’s need in general.  </w:t>
      </w:r>
      <w:r w:rsidR="002A587B">
        <w:rPr>
          <w:rFonts w:eastAsia="Calibri" w:cs="Arial"/>
        </w:rPr>
        <w:t xml:space="preserve">Based on OP’s own shopping </w:t>
      </w:r>
      <w:r w:rsidR="002A587B">
        <w:rPr>
          <w:rFonts w:eastAsia="Calibri" w:cs="Arial"/>
        </w:rPr>
        <w:lastRenderedPageBreak/>
        <w:t>forecast, OP’s long term purchase power contract with Wyandot Solar will produce</w:t>
      </w:r>
      <w:r w:rsidR="00AA40B5">
        <w:rPr>
          <w:rStyle w:val="FootnoteReference"/>
          <w:rFonts w:eastAsia="Calibri" w:cs="Arial"/>
        </w:rPr>
        <w:footnoteReference w:id="30"/>
      </w:r>
      <w:r w:rsidR="002A587B">
        <w:rPr>
          <w:rFonts w:eastAsia="Calibri" w:cs="Arial"/>
        </w:rPr>
        <w:t xml:space="preserve"> more </w:t>
      </w:r>
      <w:r w:rsidR="00B55710">
        <w:rPr>
          <w:rFonts w:eastAsia="Calibri" w:cs="Arial"/>
        </w:rPr>
        <w:t>than enough SRECs to satisfy OP’s</w:t>
      </w:r>
      <w:r w:rsidR="002A587B">
        <w:rPr>
          <w:rFonts w:eastAsia="Calibri" w:cs="Arial"/>
        </w:rPr>
        <w:t xml:space="preserve"> compliance requirement through 2020.</w:t>
      </w:r>
      <w:r w:rsidR="00582EE3">
        <w:rPr>
          <w:rStyle w:val="FootnoteReference"/>
          <w:rFonts w:eastAsia="Calibri" w:cs="Arial"/>
        </w:rPr>
        <w:footnoteReference w:id="31"/>
      </w:r>
      <w:r w:rsidR="00934919">
        <w:rPr>
          <w:rFonts w:eastAsia="Calibri" w:cs="Arial"/>
        </w:rPr>
        <w:t xml:space="preserve"> </w:t>
      </w:r>
      <w:r w:rsidR="000E559D">
        <w:rPr>
          <w:rFonts w:eastAsia="Calibri" w:cs="Arial"/>
        </w:rPr>
        <w:t xml:space="preserve">  OP carries the burden of proof. </w:t>
      </w:r>
      <w:r w:rsidR="00934919">
        <w:rPr>
          <w:rFonts w:eastAsia="Calibri" w:cs="Arial"/>
        </w:rPr>
        <w:t xml:space="preserve"> Since OP has not provided any evidence regarding its SREC requirements</w:t>
      </w:r>
      <w:r w:rsidR="000E559D">
        <w:rPr>
          <w:rFonts w:eastAsia="Calibri" w:cs="Arial"/>
        </w:rPr>
        <w:t xml:space="preserve"> based on current and projected shopping, OP has failed to meet its burden.</w:t>
      </w:r>
    </w:p>
    <w:p w:rsidR="00830789" w:rsidRPr="001E0E3D" w:rsidRDefault="001E0E3D" w:rsidP="0066023F">
      <w:pPr>
        <w:pStyle w:val="ListParagraph"/>
        <w:numPr>
          <w:ilvl w:val="0"/>
          <w:numId w:val="2"/>
        </w:numPr>
        <w:spacing w:after="240"/>
        <w:jc w:val="both"/>
        <w:rPr>
          <w:rFonts w:eastAsia="Calibri" w:cs="Arial"/>
          <w:b/>
        </w:rPr>
      </w:pPr>
      <w:r>
        <w:rPr>
          <w:rFonts w:eastAsia="Calibri" w:cs="Arial"/>
          <w:b/>
        </w:rPr>
        <w:t>The Signatory Pa</w:t>
      </w:r>
      <w:r w:rsidR="00FD703A">
        <w:rPr>
          <w:rFonts w:eastAsia="Calibri" w:cs="Arial"/>
          <w:b/>
        </w:rPr>
        <w:t xml:space="preserve">rties Have Failed to Satisfy the Burden of Demonstrating that </w:t>
      </w:r>
      <w:r>
        <w:rPr>
          <w:rFonts w:eastAsia="Calibri" w:cs="Arial"/>
          <w:b/>
        </w:rPr>
        <w:t xml:space="preserve"> Ohio Needs TPS</w:t>
      </w:r>
    </w:p>
    <w:p w:rsidR="00AA40B5" w:rsidRDefault="00FD703A" w:rsidP="0066023F">
      <w:pPr>
        <w:spacing w:line="480" w:lineRule="auto"/>
        <w:ind w:firstLine="720"/>
        <w:contextualSpacing/>
        <w:jc w:val="both"/>
        <w:rPr>
          <w:rFonts w:eastAsia="Calibri" w:cs="Arial"/>
        </w:rPr>
      </w:pPr>
      <w:r>
        <w:rPr>
          <w:rFonts w:eastAsia="Calibri" w:cs="Arial"/>
        </w:rPr>
        <w:t xml:space="preserve">Even under </w:t>
      </w:r>
      <w:r w:rsidR="001E0E3D">
        <w:rPr>
          <w:rFonts w:eastAsia="Calibri" w:cs="Arial"/>
        </w:rPr>
        <w:t>the Signatory Parties</w:t>
      </w:r>
      <w:r>
        <w:rPr>
          <w:rFonts w:eastAsia="Calibri" w:cs="Arial"/>
        </w:rPr>
        <w:t xml:space="preserve"> flawed theory that need may be based on statewide SREC requirements, the Signatory Parties</w:t>
      </w:r>
      <w:r w:rsidR="001E0E3D">
        <w:rPr>
          <w:rFonts w:eastAsia="Calibri" w:cs="Arial"/>
        </w:rPr>
        <w:t xml:space="preserve"> have failed to </w:t>
      </w:r>
      <w:r w:rsidR="00AA40B5">
        <w:rPr>
          <w:rFonts w:eastAsia="Calibri" w:cs="Arial"/>
        </w:rPr>
        <w:t>carry their burden of proof.  Staff and OP have submitted no</w:t>
      </w:r>
      <w:r w:rsidR="00EB6B22">
        <w:rPr>
          <w:rFonts w:eastAsia="Calibri" w:cs="Arial"/>
        </w:rPr>
        <w:t xml:space="preserve"> reliable evidence to support a finding of need for TPS.  </w:t>
      </w:r>
    </w:p>
    <w:p w:rsidR="003702FF" w:rsidRDefault="003702FF" w:rsidP="00AA40B5">
      <w:pPr>
        <w:spacing w:line="480" w:lineRule="auto"/>
        <w:ind w:firstLine="720"/>
        <w:contextualSpacing/>
        <w:jc w:val="both"/>
        <w:rPr>
          <w:rFonts w:eastAsia="Calibri" w:cs="Arial"/>
        </w:rPr>
      </w:pPr>
      <w:r>
        <w:rPr>
          <w:rFonts w:eastAsia="Calibri" w:cs="Arial"/>
        </w:rPr>
        <w:t>Staff’s Brief claims that a potential SREC shortage</w:t>
      </w:r>
      <w:r w:rsidR="00EB6B22">
        <w:rPr>
          <w:rFonts w:eastAsia="Calibri" w:cs="Arial"/>
        </w:rPr>
        <w:t xml:space="preserve"> is “worrisome”, and TPS is the only certain way to ensure SREC requirement compliance, claiming</w:t>
      </w:r>
      <w:r>
        <w:rPr>
          <w:rFonts w:eastAsia="Calibri" w:cs="Arial"/>
        </w:rPr>
        <w:t>:</w:t>
      </w:r>
    </w:p>
    <w:p w:rsidR="003702FF" w:rsidRDefault="003702FF" w:rsidP="0066023F">
      <w:pPr>
        <w:spacing w:after="120"/>
        <w:ind w:left="720" w:right="720"/>
        <w:jc w:val="both"/>
        <w:rPr>
          <w:rFonts w:eastAsia="Calibri" w:cs="Arial"/>
        </w:rPr>
      </w:pPr>
      <w:r>
        <w:rPr>
          <w:rFonts w:eastAsia="Calibri" w:cs="Arial"/>
        </w:rPr>
        <w:t>Mr. Bellamy analyzed</w:t>
      </w:r>
      <w:r w:rsidR="002E72FC">
        <w:rPr>
          <w:rFonts w:eastAsia="Calibri" w:cs="Arial"/>
        </w:rPr>
        <w:t xml:space="preserve"> four scenarios</w:t>
      </w:r>
      <w:r>
        <w:rPr>
          <w:rFonts w:eastAsia="Calibri" w:cs="Arial"/>
        </w:rPr>
        <w:t>, with and without Turning Point . . . . The results of this analysis are worrisome in that to achieve compliance with the statutory mandate, large capacity installations are needed. . . . The Turning Point Solar project is the only certain means to deal with the problem before the Commission.  In this sense</w:t>
      </w:r>
      <w:r w:rsidR="00D16327">
        <w:rPr>
          <w:rFonts w:eastAsia="Calibri" w:cs="Arial"/>
        </w:rPr>
        <w:t xml:space="preserve"> the</w:t>
      </w:r>
      <w:r>
        <w:rPr>
          <w:rFonts w:eastAsia="Calibri" w:cs="Arial"/>
        </w:rPr>
        <w:t xml:space="preserve"> Turning Point</w:t>
      </w:r>
      <w:r w:rsidR="00D16327">
        <w:rPr>
          <w:rFonts w:eastAsia="Calibri" w:cs="Arial"/>
        </w:rPr>
        <w:t xml:space="preserve"> Solar project</w:t>
      </w:r>
      <w:r>
        <w:rPr>
          <w:rFonts w:eastAsia="Calibri" w:cs="Arial"/>
        </w:rPr>
        <w:t xml:space="preserve"> is needed.</w:t>
      </w:r>
      <w:r>
        <w:rPr>
          <w:rStyle w:val="FootnoteReference"/>
          <w:rFonts w:eastAsia="Calibri" w:cs="Arial"/>
        </w:rPr>
        <w:footnoteReference w:id="32"/>
      </w:r>
      <w:r>
        <w:rPr>
          <w:rFonts w:eastAsia="Calibri" w:cs="Arial"/>
        </w:rPr>
        <w:t xml:space="preserve"> </w:t>
      </w:r>
    </w:p>
    <w:p w:rsidR="00E86EB4" w:rsidRDefault="00E86EB4" w:rsidP="00E86EB4">
      <w:pPr>
        <w:ind w:left="720" w:right="720"/>
        <w:jc w:val="both"/>
        <w:rPr>
          <w:rFonts w:eastAsia="Calibri" w:cs="Arial"/>
        </w:rPr>
      </w:pPr>
    </w:p>
    <w:p w:rsidR="00935AAA" w:rsidRDefault="003702FF" w:rsidP="00E86EB4">
      <w:pPr>
        <w:spacing w:line="480" w:lineRule="auto"/>
        <w:contextualSpacing/>
        <w:jc w:val="both"/>
        <w:rPr>
          <w:rFonts w:eastAsia="Calibri" w:cs="Arial"/>
        </w:rPr>
      </w:pPr>
      <w:r>
        <w:rPr>
          <w:rFonts w:eastAsia="Calibri" w:cs="Arial"/>
        </w:rPr>
        <w:lastRenderedPageBreak/>
        <w:t>Staff’</w:t>
      </w:r>
      <w:r w:rsidR="00EB6B22">
        <w:rPr>
          <w:rFonts w:eastAsia="Calibri" w:cs="Arial"/>
        </w:rPr>
        <w:t xml:space="preserve">s </w:t>
      </w:r>
      <w:r w:rsidR="00E86EB4">
        <w:rPr>
          <w:rFonts w:eastAsia="Calibri" w:cs="Arial"/>
        </w:rPr>
        <w:t>B</w:t>
      </w:r>
      <w:r w:rsidR="00EB6B22">
        <w:rPr>
          <w:rFonts w:eastAsia="Calibri" w:cs="Arial"/>
        </w:rPr>
        <w:t>rief is contradicted by Staff’s</w:t>
      </w:r>
      <w:r>
        <w:rPr>
          <w:rFonts w:eastAsia="Calibri" w:cs="Arial"/>
        </w:rPr>
        <w:t xml:space="preserve"> own witness and the record evidence.  To be clear, Mr. Bellamy did not create a forecast of the solar</w:t>
      </w:r>
      <w:r w:rsidR="00EB6B22">
        <w:rPr>
          <w:rFonts w:eastAsia="Calibri" w:cs="Arial"/>
        </w:rPr>
        <w:t xml:space="preserve"> projects</w:t>
      </w:r>
      <w:r>
        <w:rPr>
          <w:rFonts w:eastAsia="Calibri" w:cs="Arial"/>
        </w:rPr>
        <w:t xml:space="preserve"> that he believ</w:t>
      </w:r>
      <w:r w:rsidR="008315F6">
        <w:rPr>
          <w:rFonts w:eastAsia="Calibri" w:cs="Arial"/>
        </w:rPr>
        <w:t>ed would be constructe</w:t>
      </w:r>
      <w:r w:rsidR="00686D6A">
        <w:rPr>
          <w:rFonts w:eastAsia="Calibri" w:cs="Arial"/>
        </w:rPr>
        <w:t>d in Ohio—he claimed that he had</w:t>
      </w:r>
      <w:r w:rsidR="008315F6">
        <w:rPr>
          <w:rFonts w:eastAsia="Calibri" w:cs="Arial"/>
        </w:rPr>
        <w:t xml:space="preserve"> no idea what w</w:t>
      </w:r>
      <w:r w:rsidR="00E86EB4">
        <w:rPr>
          <w:rFonts w:eastAsia="Calibri" w:cs="Arial"/>
        </w:rPr>
        <w:t>ould</w:t>
      </w:r>
      <w:r w:rsidR="008315F6">
        <w:rPr>
          <w:rFonts w:eastAsia="Calibri" w:cs="Arial"/>
        </w:rPr>
        <w:t xml:space="preserve"> be built.</w:t>
      </w:r>
      <w:r w:rsidR="00686D6A">
        <w:rPr>
          <w:rStyle w:val="FootnoteReference"/>
          <w:rFonts w:eastAsia="Calibri" w:cs="Arial"/>
        </w:rPr>
        <w:footnoteReference w:id="33"/>
      </w:r>
      <w:r w:rsidR="008315F6">
        <w:rPr>
          <w:rFonts w:eastAsia="Calibri" w:cs="Arial"/>
        </w:rPr>
        <w:t xml:space="preserve">  </w:t>
      </w:r>
    </w:p>
    <w:p w:rsidR="00EB6B22" w:rsidRDefault="008315F6" w:rsidP="00935AAA">
      <w:pPr>
        <w:spacing w:line="480" w:lineRule="auto"/>
        <w:ind w:firstLine="720"/>
        <w:contextualSpacing/>
        <w:jc w:val="both"/>
        <w:rPr>
          <w:rFonts w:eastAsia="Calibri" w:cs="Arial"/>
        </w:rPr>
      </w:pPr>
      <w:r>
        <w:rPr>
          <w:rFonts w:eastAsia="Calibri" w:cs="Arial"/>
        </w:rPr>
        <w:t>Rather than forecasting the level of development of solar generating facilities in Ohio</w:t>
      </w:r>
      <w:r w:rsidR="004D2566">
        <w:rPr>
          <w:rFonts w:eastAsia="Calibri" w:cs="Arial"/>
        </w:rPr>
        <w:t>, Mr. Bellamy modeled four scenarios based on the amount of solar that he claimed was constructed in 2010 and 2011</w:t>
      </w:r>
      <w:r w:rsidR="00740BB7">
        <w:rPr>
          <w:rFonts w:eastAsia="Calibri" w:cs="Arial"/>
        </w:rPr>
        <w:t xml:space="preserve"> with certain modifications with and without the development of TPS</w:t>
      </w:r>
      <w:r w:rsidR="004D2566">
        <w:rPr>
          <w:rFonts w:eastAsia="Calibri" w:cs="Arial"/>
        </w:rPr>
        <w:t>.</w:t>
      </w:r>
      <w:r w:rsidR="00AA40B5">
        <w:rPr>
          <w:rStyle w:val="FootnoteReference"/>
          <w:rFonts w:eastAsia="Calibri" w:cs="Arial"/>
        </w:rPr>
        <w:footnoteReference w:id="34"/>
      </w:r>
      <w:r w:rsidR="004D2566">
        <w:rPr>
          <w:rFonts w:eastAsia="Calibri" w:cs="Arial"/>
        </w:rPr>
        <w:t xml:space="preserve">  Thus, the model assumed that the level of solar development</w:t>
      </w:r>
      <w:r w:rsidR="00740BB7">
        <w:rPr>
          <w:rFonts w:eastAsia="Calibri" w:cs="Arial"/>
        </w:rPr>
        <w:t xml:space="preserve"> (in the absence of building TPS)</w:t>
      </w:r>
      <w:r w:rsidR="004D2566">
        <w:rPr>
          <w:rFonts w:eastAsia="Calibri" w:cs="Arial"/>
        </w:rPr>
        <w:t xml:space="preserve"> w</w:t>
      </w:r>
      <w:r w:rsidR="00EB6B22">
        <w:rPr>
          <w:rFonts w:eastAsia="Calibri" w:cs="Arial"/>
        </w:rPr>
        <w:t>ould never exceed 2010 and 2011 levels.</w:t>
      </w:r>
      <w:r w:rsidR="00AA40B5">
        <w:rPr>
          <w:rStyle w:val="FootnoteReference"/>
          <w:rFonts w:eastAsia="Calibri" w:cs="Arial"/>
        </w:rPr>
        <w:footnoteReference w:id="35"/>
      </w:r>
      <w:r w:rsidR="00EB6B22">
        <w:rPr>
          <w:rFonts w:eastAsia="Calibri" w:cs="Arial"/>
        </w:rPr>
        <w:t xml:space="preserve">  Moreover, Mr. Bellamy admitted that if d</w:t>
      </w:r>
      <w:r w:rsidR="00935AAA">
        <w:rPr>
          <w:rFonts w:eastAsia="Calibri" w:cs="Arial"/>
        </w:rPr>
        <w:t>evelopment continued at the same level as</w:t>
      </w:r>
      <w:r w:rsidR="00EB6B22">
        <w:rPr>
          <w:rFonts w:eastAsia="Calibri" w:cs="Arial"/>
        </w:rPr>
        <w:t xml:space="preserve"> 2010 and 2011, Ohio would over-comply with SREC requirements by a large margin</w:t>
      </w:r>
      <w:r w:rsidR="00740BB7">
        <w:rPr>
          <w:rFonts w:eastAsia="Calibri" w:cs="Arial"/>
        </w:rPr>
        <w:t xml:space="preserve"> through 2025</w:t>
      </w:r>
      <w:r w:rsidR="00EB6B22">
        <w:rPr>
          <w:rFonts w:eastAsia="Calibri" w:cs="Arial"/>
        </w:rPr>
        <w:t>.</w:t>
      </w:r>
      <w:r w:rsidR="000E559D">
        <w:rPr>
          <w:rStyle w:val="FootnoteReference"/>
          <w:rFonts w:eastAsia="Calibri" w:cs="Arial"/>
        </w:rPr>
        <w:footnoteReference w:id="36"/>
      </w:r>
    </w:p>
    <w:p w:rsidR="004D2566" w:rsidRDefault="004D2566" w:rsidP="00E86EB4">
      <w:pPr>
        <w:spacing w:line="480" w:lineRule="auto"/>
        <w:ind w:firstLine="720"/>
        <w:jc w:val="both"/>
        <w:rPr>
          <w:rFonts w:eastAsia="Calibri" w:cs="Arial"/>
        </w:rPr>
      </w:pPr>
      <w:r>
        <w:rPr>
          <w:rFonts w:eastAsia="Calibri" w:cs="Arial"/>
        </w:rPr>
        <w:t xml:space="preserve">Furthermore, the model contained incorrect calculations with respect to the level of small solar projects (under 2 </w:t>
      </w:r>
      <w:r w:rsidR="00E86EB4">
        <w:rPr>
          <w:rFonts w:eastAsia="Calibri" w:cs="Arial"/>
        </w:rPr>
        <w:t>MW</w:t>
      </w:r>
      <w:r>
        <w:rPr>
          <w:rFonts w:eastAsia="Calibri" w:cs="Arial"/>
        </w:rPr>
        <w:t>) that would be developed in a given year.</w:t>
      </w:r>
      <w:r w:rsidR="00740BB7">
        <w:rPr>
          <w:rStyle w:val="FootnoteReference"/>
          <w:rFonts w:eastAsia="Calibri" w:cs="Arial"/>
        </w:rPr>
        <w:footnoteReference w:id="37"/>
      </w:r>
      <w:r w:rsidR="00DE4469">
        <w:rPr>
          <w:rFonts w:eastAsia="Calibri" w:cs="Arial"/>
        </w:rPr>
        <w:t xml:space="preserve">  Incorrect calculations aside, Mr. Bellamy’s assumptions with respect to small solar projects were contradicted by the pace of development of small solar projects in the first </w:t>
      </w:r>
      <w:r w:rsidR="00DE4469">
        <w:rPr>
          <w:rFonts w:eastAsia="Calibri" w:cs="Arial"/>
        </w:rPr>
        <w:lastRenderedPageBreak/>
        <w:t>few months of 2012.</w:t>
      </w:r>
      <w:r w:rsidR="00DE4469">
        <w:rPr>
          <w:rStyle w:val="FootnoteReference"/>
          <w:rFonts w:eastAsia="Calibri" w:cs="Arial"/>
        </w:rPr>
        <w:footnoteReference w:id="38"/>
      </w:r>
      <w:r w:rsidR="00EB6B22">
        <w:rPr>
          <w:rFonts w:eastAsia="Calibri" w:cs="Arial"/>
        </w:rPr>
        <w:t xml:space="preserve">  Since small projects provided a baseline for each</w:t>
      </w:r>
      <w:r w:rsidR="000E559D">
        <w:rPr>
          <w:rFonts w:eastAsia="Calibri" w:cs="Arial"/>
        </w:rPr>
        <w:t xml:space="preserve"> of Mr. Bellamy’s four scenarios, his</w:t>
      </w:r>
      <w:r w:rsidR="00EB6B22">
        <w:rPr>
          <w:rFonts w:eastAsia="Calibri" w:cs="Arial"/>
        </w:rPr>
        <w:t xml:space="preserve"> model is incorrect in its entirety.</w:t>
      </w:r>
      <w:r w:rsidR="008024F1">
        <w:rPr>
          <w:rStyle w:val="FootnoteReference"/>
          <w:rFonts w:eastAsia="Calibri" w:cs="Arial"/>
        </w:rPr>
        <w:footnoteReference w:id="39"/>
      </w:r>
      <w:r w:rsidR="008254BD">
        <w:rPr>
          <w:rFonts w:eastAsia="Calibri" w:cs="Arial"/>
        </w:rPr>
        <w:t xml:space="preserve"> </w:t>
      </w:r>
    </w:p>
    <w:p w:rsidR="00B132EB" w:rsidRDefault="004D2566" w:rsidP="00693780">
      <w:pPr>
        <w:spacing w:line="480" w:lineRule="auto"/>
        <w:ind w:firstLine="720"/>
        <w:jc w:val="both"/>
        <w:rPr>
          <w:rFonts w:eastAsia="Calibri" w:cs="Arial"/>
        </w:rPr>
      </w:pPr>
      <w:r>
        <w:rPr>
          <w:rFonts w:eastAsia="Calibri" w:cs="Arial"/>
        </w:rPr>
        <w:t>Staff witness</w:t>
      </w:r>
      <w:r w:rsidR="003702FF">
        <w:rPr>
          <w:rFonts w:eastAsia="Calibri" w:cs="Arial"/>
        </w:rPr>
        <w:t xml:space="preserve"> Bellamy</w:t>
      </w:r>
      <w:r>
        <w:rPr>
          <w:rFonts w:eastAsia="Calibri" w:cs="Arial"/>
        </w:rPr>
        <w:t xml:space="preserve"> also</w:t>
      </w:r>
      <w:r w:rsidR="003702FF">
        <w:rPr>
          <w:rFonts w:eastAsia="Calibri" w:cs="Arial"/>
        </w:rPr>
        <w:t xml:space="preserve"> did not conclude that large capacity installations must be constructed to meet the statewide SREC requirements.</w:t>
      </w:r>
      <w:r w:rsidR="008024F1">
        <w:rPr>
          <w:rStyle w:val="FootnoteReference"/>
          <w:rFonts w:eastAsia="Calibri" w:cs="Arial"/>
        </w:rPr>
        <w:footnoteReference w:id="40"/>
      </w:r>
      <w:r w:rsidR="003702FF">
        <w:rPr>
          <w:rFonts w:eastAsia="Calibri" w:cs="Arial"/>
        </w:rPr>
        <w:t xml:space="preserve">  Mr. Bellamy conceded that the statewide SREC requirements could be </w:t>
      </w:r>
      <w:r w:rsidR="000E559D">
        <w:rPr>
          <w:rFonts w:eastAsia="Calibri" w:cs="Arial"/>
        </w:rPr>
        <w:t xml:space="preserve">completely </w:t>
      </w:r>
      <w:r w:rsidR="003702FF">
        <w:rPr>
          <w:rFonts w:eastAsia="Calibri" w:cs="Arial"/>
        </w:rPr>
        <w:t xml:space="preserve">satisfied </w:t>
      </w:r>
      <w:r w:rsidR="000E559D">
        <w:rPr>
          <w:rFonts w:eastAsia="Calibri" w:cs="Arial"/>
        </w:rPr>
        <w:t>by small projects</w:t>
      </w:r>
      <w:r w:rsidR="003702FF">
        <w:rPr>
          <w:rFonts w:eastAsia="Calibri" w:cs="Arial"/>
        </w:rPr>
        <w:t>.</w:t>
      </w:r>
      <w:r w:rsidR="008024F1">
        <w:rPr>
          <w:rStyle w:val="FootnoteReference"/>
          <w:rFonts w:eastAsia="Calibri" w:cs="Arial"/>
        </w:rPr>
        <w:footnoteReference w:id="41"/>
      </w:r>
      <w:r>
        <w:rPr>
          <w:rFonts w:eastAsia="Calibri" w:cs="Arial"/>
        </w:rPr>
        <w:t xml:space="preserve">  Regardless, even if small solar projects do not satisfy the statewide SREC requirements, there are 215 MWs of </w:t>
      </w:r>
      <w:r w:rsidR="00F4337C">
        <w:rPr>
          <w:rFonts w:eastAsia="Calibri" w:cs="Arial"/>
        </w:rPr>
        <w:t xml:space="preserve">Ohio-based </w:t>
      </w:r>
      <w:r>
        <w:rPr>
          <w:rFonts w:eastAsia="Calibri" w:cs="Arial"/>
        </w:rPr>
        <w:t>large scale projects in the PJM Interconnection LLC</w:t>
      </w:r>
      <w:r w:rsidR="00693780">
        <w:rPr>
          <w:rFonts w:eastAsia="Calibri" w:cs="Arial"/>
        </w:rPr>
        <w:t>’s</w:t>
      </w:r>
      <w:r>
        <w:rPr>
          <w:rFonts w:eastAsia="Calibri" w:cs="Arial"/>
        </w:rPr>
        <w:t xml:space="preserve"> (“PJM”) Generation Queue.  As Mr. Bellamy agreed, “it would make </w:t>
      </w:r>
      <w:r w:rsidRPr="00D961CB">
        <w:rPr>
          <w:rFonts w:eastAsia="Calibri" w:cs="Arial"/>
        </w:rPr>
        <w:t xml:space="preserve">sense, you know, </w:t>
      </w:r>
      <w:r>
        <w:rPr>
          <w:rFonts w:eastAsia="Calibri" w:cs="Arial"/>
        </w:rPr>
        <w:t>through economies of scale that</w:t>
      </w:r>
      <w:r w:rsidRPr="00D961CB">
        <w:rPr>
          <w:rFonts w:eastAsia="Calibri" w:cs="Arial"/>
        </w:rPr>
        <w:t xml:space="preserve"> a large facility would be cheaper to buy than -- or,</w:t>
      </w:r>
      <w:r>
        <w:rPr>
          <w:rFonts w:eastAsia="Calibri" w:cs="Arial"/>
        </w:rPr>
        <w:t xml:space="preserve"> </w:t>
      </w:r>
      <w:r w:rsidRPr="00D961CB">
        <w:rPr>
          <w:rFonts w:eastAsia="Calibri" w:cs="Arial"/>
        </w:rPr>
        <w:t>I'm sorry, cheaper to build than a bunch of little</w:t>
      </w:r>
      <w:r>
        <w:rPr>
          <w:rFonts w:eastAsia="Calibri" w:cs="Arial"/>
        </w:rPr>
        <w:t xml:space="preserve"> </w:t>
      </w:r>
      <w:r w:rsidRPr="00D961CB">
        <w:rPr>
          <w:rFonts w:eastAsia="Calibri" w:cs="Arial"/>
        </w:rPr>
        <w:t>ones.</w:t>
      </w:r>
      <w:r>
        <w:rPr>
          <w:rFonts w:eastAsia="Calibri" w:cs="Arial"/>
        </w:rPr>
        <w:t>”</w:t>
      </w:r>
      <w:r>
        <w:rPr>
          <w:rStyle w:val="FootnoteReference"/>
          <w:rFonts w:eastAsia="Calibri" w:cs="Arial"/>
        </w:rPr>
        <w:footnoteReference w:id="42"/>
      </w:r>
      <w:r w:rsidR="00F4337C">
        <w:rPr>
          <w:rFonts w:eastAsia="Calibri" w:cs="Arial"/>
        </w:rPr>
        <w:t xml:space="preserve">  Accordingly, it would make sense if the projects in the PJM Queue went forward.</w:t>
      </w:r>
    </w:p>
    <w:p w:rsidR="00DC123D" w:rsidRDefault="00DC123D" w:rsidP="00693780">
      <w:pPr>
        <w:spacing w:line="480" w:lineRule="auto"/>
        <w:ind w:firstLine="720"/>
        <w:jc w:val="both"/>
        <w:rPr>
          <w:rFonts w:eastAsia="Calibri" w:cs="Arial"/>
        </w:rPr>
      </w:pPr>
      <w:r>
        <w:rPr>
          <w:rFonts w:eastAsia="Calibri" w:cs="Arial"/>
        </w:rPr>
        <w:t>Mr. Bellamy’s analysis cannot be relied upon to satisfy OP’s burden of demonstrating that TPS is needed to meet statewide SREC requirements.  The model is not a forecast.  It contains incorrect calculations and makes assumptions that are contradicted by Mr. Bellamy’s own testimony.</w:t>
      </w:r>
    </w:p>
    <w:p w:rsidR="009D2BF6" w:rsidRDefault="00686D6A" w:rsidP="00693780">
      <w:pPr>
        <w:spacing w:line="480" w:lineRule="auto"/>
        <w:ind w:firstLine="720"/>
        <w:jc w:val="both"/>
        <w:rPr>
          <w:rFonts w:eastAsia="Calibri" w:cs="Arial"/>
        </w:rPr>
      </w:pPr>
      <w:r>
        <w:rPr>
          <w:rFonts w:eastAsia="Calibri" w:cs="Arial"/>
        </w:rPr>
        <w:lastRenderedPageBreak/>
        <w:t>OP’s Brief is so barren of factual sup</w:t>
      </w:r>
      <w:r w:rsidR="009D2BF6">
        <w:rPr>
          <w:rFonts w:eastAsia="Calibri" w:cs="Arial"/>
        </w:rPr>
        <w:t>port regarding the need for TPS</w:t>
      </w:r>
      <w:r>
        <w:rPr>
          <w:rFonts w:eastAsia="Calibri" w:cs="Arial"/>
        </w:rPr>
        <w:t xml:space="preserve"> that it is difficult to respond to.  </w:t>
      </w:r>
      <w:r w:rsidR="00300756">
        <w:rPr>
          <w:rFonts w:eastAsia="Calibri" w:cs="Arial"/>
        </w:rPr>
        <w:t>In fact, m</w:t>
      </w:r>
      <w:r>
        <w:rPr>
          <w:rFonts w:eastAsia="Calibri" w:cs="Arial"/>
        </w:rPr>
        <w:t>ost of OP</w:t>
      </w:r>
      <w:r w:rsidR="00300756">
        <w:rPr>
          <w:rFonts w:eastAsia="Calibri" w:cs="Arial"/>
        </w:rPr>
        <w:t>’s Brief</w:t>
      </w:r>
      <w:r>
        <w:rPr>
          <w:rFonts w:eastAsia="Calibri" w:cs="Arial"/>
        </w:rPr>
        <w:t xml:space="preserve"> works against OP’s claim that TPS is needed.</w:t>
      </w:r>
    </w:p>
    <w:p w:rsidR="001B14FD" w:rsidRDefault="009D2BF6" w:rsidP="004B49FE">
      <w:pPr>
        <w:spacing w:after="240" w:line="480" w:lineRule="auto"/>
        <w:ind w:firstLine="720"/>
        <w:contextualSpacing/>
        <w:jc w:val="both"/>
        <w:rPr>
          <w:rFonts w:eastAsia="Calibri" w:cs="Arial"/>
        </w:rPr>
      </w:pPr>
      <w:r>
        <w:rPr>
          <w:rFonts w:eastAsia="Calibri" w:cs="Arial"/>
        </w:rPr>
        <w:t>First, OP makes the ludicrous statement that TPS</w:t>
      </w:r>
      <w:r w:rsidR="00300756">
        <w:rPr>
          <w:rFonts w:eastAsia="Calibri" w:cs="Arial"/>
        </w:rPr>
        <w:t xml:space="preserve"> is in the public interest because it</w:t>
      </w:r>
      <w:r>
        <w:rPr>
          <w:rFonts w:eastAsia="Calibri" w:cs="Arial"/>
        </w:rPr>
        <w:t xml:space="preserve"> will address “in-state renewable requirements in Ohio through investment in Ohio.”</w:t>
      </w:r>
      <w:r w:rsidR="00504804">
        <w:rPr>
          <w:rStyle w:val="FootnoteReference"/>
          <w:rFonts w:eastAsia="Calibri" w:cs="Arial"/>
        </w:rPr>
        <w:footnoteReference w:id="43"/>
      </w:r>
      <w:r>
        <w:rPr>
          <w:rFonts w:eastAsia="Calibri" w:cs="Arial"/>
        </w:rPr>
        <w:t xml:space="preserve">  The statement has a nice ring to it but it is meaningless.  In-state SREC requirements can only be met by facilities </w:t>
      </w:r>
      <w:r w:rsidR="00300756">
        <w:rPr>
          <w:rFonts w:eastAsia="Calibri" w:cs="Arial"/>
        </w:rPr>
        <w:t xml:space="preserve">located </w:t>
      </w:r>
      <w:r>
        <w:rPr>
          <w:rFonts w:eastAsia="Calibri" w:cs="Arial"/>
        </w:rPr>
        <w:t>in Ohio.  So</w:t>
      </w:r>
      <w:r w:rsidR="00300756">
        <w:rPr>
          <w:rFonts w:eastAsia="Calibri" w:cs="Arial"/>
        </w:rPr>
        <w:t xml:space="preserve"> all facilities relied upon to meet in-state SRECs will be a result of</w:t>
      </w:r>
      <w:r>
        <w:rPr>
          <w:rFonts w:eastAsia="Calibri" w:cs="Arial"/>
        </w:rPr>
        <w:t xml:space="preserve"> Ohio investment.  Second, </w:t>
      </w:r>
      <w:r w:rsidR="00686D6A">
        <w:rPr>
          <w:rFonts w:eastAsia="Calibri" w:cs="Arial"/>
        </w:rPr>
        <w:t>OP admits that Mr. Bellamy d</w:t>
      </w:r>
      <w:r w:rsidR="00300756">
        <w:rPr>
          <w:rFonts w:eastAsia="Calibri" w:cs="Arial"/>
        </w:rPr>
        <w:t>oes not know what will be built; thus, the Commission should give little weight to Mr. Bellamy’s testimony.</w:t>
      </w:r>
      <w:r w:rsidR="00686D6A">
        <w:rPr>
          <w:rStyle w:val="FootnoteReference"/>
          <w:rFonts w:eastAsia="Calibri" w:cs="Arial"/>
        </w:rPr>
        <w:footnoteReference w:id="44"/>
      </w:r>
      <w:r w:rsidR="00686D6A">
        <w:rPr>
          <w:rFonts w:eastAsia="Calibri" w:cs="Arial"/>
        </w:rPr>
        <w:t xml:space="preserve">  </w:t>
      </w:r>
      <w:r w:rsidR="00300756">
        <w:rPr>
          <w:rFonts w:eastAsia="Calibri" w:cs="Arial"/>
        </w:rPr>
        <w:t xml:space="preserve">Third, </w:t>
      </w:r>
      <w:r w:rsidR="00B7558C">
        <w:rPr>
          <w:rFonts w:eastAsia="Calibri" w:cs="Arial"/>
        </w:rPr>
        <w:t>OP admits that its LTFR Supplement</w:t>
      </w:r>
      <w:r w:rsidR="00686D6A">
        <w:rPr>
          <w:rFonts w:eastAsia="Calibri" w:cs="Arial"/>
        </w:rPr>
        <w:t xml:space="preserve"> was wrong with respect to the amount of solar that would be constructed in Ohio </w:t>
      </w:r>
      <w:r w:rsidR="00693780">
        <w:rPr>
          <w:rFonts w:eastAsia="Calibri" w:cs="Arial"/>
        </w:rPr>
        <w:t xml:space="preserve">in </w:t>
      </w:r>
      <w:r w:rsidR="00686D6A">
        <w:rPr>
          <w:rFonts w:eastAsia="Calibri" w:cs="Arial"/>
        </w:rPr>
        <w:t>2010 and 2011.</w:t>
      </w:r>
      <w:r w:rsidR="00686D6A">
        <w:rPr>
          <w:rStyle w:val="FootnoteReference"/>
          <w:rFonts w:eastAsia="Calibri" w:cs="Arial"/>
        </w:rPr>
        <w:footnoteReference w:id="45"/>
      </w:r>
      <w:r>
        <w:rPr>
          <w:rFonts w:eastAsia="Calibri" w:cs="Arial"/>
        </w:rPr>
        <w:t xml:space="preserve">  A</w:t>
      </w:r>
      <w:r w:rsidR="00686D6A">
        <w:rPr>
          <w:rFonts w:eastAsia="Calibri" w:cs="Arial"/>
        </w:rPr>
        <w:t>fter admitting the Supplement was wrong,</w:t>
      </w:r>
      <w:r w:rsidR="00300756">
        <w:rPr>
          <w:rStyle w:val="FootnoteReference"/>
          <w:rFonts w:eastAsia="Calibri" w:cs="Arial"/>
        </w:rPr>
        <w:footnoteReference w:id="46"/>
      </w:r>
      <w:r w:rsidR="00686D6A">
        <w:rPr>
          <w:rFonts w:eastAsia="Calibri" w:cs="Arial"/>
        </w:rPr>
        <w:t xml:space="preserve"> OP falls back on the same logic—if there is no additional solar construction there will eventually be a shortage.</w:t>
      </w:r>
      <w:r w:rsidR="00300756">
        <w:rPr>
          <w:rFonts w:eastAsia="Calibri" w:cs="Arial"/>
        </w:rPr>
        <w:t xml:space="preserve">  But Mr. Castle conceded</w:t>
      </w:r>
      <w:r>
        <w:rPr>
          <w:rFonts w:eastAsia="Calibri" w:cs="Arial"/>
        </w:rPr>
        <w:t xml:space="preserve"> that solar will be developed in Ohio.</w:t>
      </w:r>
      <w:r w:rsidR="00300756">
        <w:rPr>
          <w:rStyle w:val="FootnoteReference"/>
          <w:rFonts w:eastAsia="Calibri" w:cs="Arial"/>
        </w:rPr>
        <w:footnoteReference w:id="47"/>
      </w:r>
      <w:r>
        <w:rPr>
          <w:rFonts w:eastAsia="Calibri" w:cs="Arial"/>
        </w:rPr>
        <w:t xml:space="preserve">  Since Mr. C</w:t>
      </w:r>
      <w:r w:rsidR="00300756">
        <w:rPr>
          <w:rFonts w:eastAsia="Calibri" w:cs="Arial"/>
        </w:rPr>
        <w:t>astle’s testimony</w:t>
      </w:r>
      <w:r>
        <w:rPr>
          <w:rFonts w:eastAsia="Calibri" w:cs="Arial"/>
        </w:rPr>
        <w:t xml:space="preserve"> do</w:t>
      </w:r>
      <w:r w:rsidR="00300756">
        <w:rPr>
          <w:rFonts w:eastAsia="Calibri" w:cs="Arial"/>
        </w:rPr>
        <w:t>es</w:t>
      </w:r>
      <w:r>
        <w:rPr>
          <w:rFonts w:eastAsia="Calibri" w:cs="Arial"/>
        </w:rPr>
        <w:t xml:space="preserve"> not address what amount of solar will be develope</w:t>
      </w:r>
      <w:r w:rsidR="00300756">
        <w:rPr>
          <w:rFonts w:eastAsia="Calibri" w:cs="Arial"/>
        </w:rPr>
        <w:t>d in Ohio</w:t>
      </w:r>
      <w:r>
        <w:rPr>
          <w:rFonts w:eastAsia="Calibri" w:cs="Arial"/>
        </w:rPr>
        <w:t xml:space="preserve">, OP cannot </w:t>
      </w:r>
      <w:r w:rsidR="00300756">
        <w:rPr>
          <w:rFonts w:eastAsia="Calibri" w:cs="Arial"/>
        </w:rPr>
        <w:t xml:space="preserve">rely upon it to </w:t>
      </w:r>
      <w:r>
        <w:rPr>
          <w:rFonts w:eastAsia="Calibri" w:cs="Arial"/>
        </w:rPr>
        <w:t>satisfy its burden of proving that TPS is needed.</w:t>
      </w:r>
    </w:p>
    <w:p w:rsidR="001B14FD" w:rsidRDefault="001B14FD">
      <w:pPr>
        <w:spacing w:after="200" w:line="276" w:lineRule="auto"/>
        <w:rPr>
          <w:rFonts w:eastAsia="Calibri" w:cs="Arial"/>
        </w:rPr>
      </w:pPr>
      <w:r>
        <w:rPr>
          <w:rFonts w:eastAsia="Calibri" w:cs="Arial"/>
        </w:rPr>
        <w:br w:type="page"/>
      </w:r>
    </w:p>
    <w:p w:rsidR="0042342A" w:rsidRPr="00693780" w:rsidRDefault="002448A0" w:rsidP="008254BD">
      <w:pPr>
        <w:pStyle w:val="ListParagraph"/>
        <w:numPr>
          <w:ilvl w:val="0"/>
          <w:numId w:val="3"/>
        </w:numPr>
        <w:spacing w:before="120" w:line="480" w:lineRule="auto"/>
        <w:ind w:left="720"/>
        <w:jc w:val="both"/>
        <w:rPr>
          <w:rFonts w:eastAsia="Calibri" w:cs="Arial"/>
          <w:b/>
        </w:rPr>
      </w:pPr>
      <w:r w:rsidRPr="00693780">
        <w:rPr>
          <w:rFonts w:eastAsia="Calibri" w:cs="Arial"/>
          <w:b/>
        </w:rPr>
        <w:lastRenderedPageBreak/>
        <w:t>CONCLUSION</w:t>
      </w:r>
    </w:p>
    <w:p w:rsidR="009D2BF6" w:rsidRDefault="001B50B1" w:rsidP="00693780">
      <w:pPr>
        <w:spacing w:line="480" w:lineRule="auto"/>
        <w:ind w:firstLine="720"/>
        <w:jc w:val="both"/>
        <w:rPr>
          <w:rFonts w:eastAsia="Calibri" w:cs="Arial"/>
        </w:rPr>
      </w:pPr>
      <w:r>
        <w:rPr>
          <w:rFonts w:eastAsia="Calibri" w:cs="Arial"/>
        </w:rPr>
        <w:t>The Commission’s authority is set by statute.  A settlement cannot expand the Commission’s authority.</w:t>
      </w:r>
      <w:r w:rsidR="00693780">
        <w:rPr>
          <w:rFonts w:eastAsia="Calibri" w:cs="Arial"/>
        </w:rPr>
        <w:t xml:space="preserve"> </w:t>
      </w:r>
      <w:r>
        <w:rPr>
          <w:rFonts w:eastAsia="Calibri" w:cs="Arial"/>
        </w:rPr>
        <w:t xml:space="preserve"> </w:t>
      </w:r>
      <w:r w:rsidR="002448A0">
        <w:rPr>
          <w:rFonts w:eastAsia="Calibri" w:cs="Arial"/>
        </w:rPr>
        <w:t>But that is exactly what the Stipulation proposed to do—to</w:t>
      </w:r>
      <w:r>
        <w:rPr>
          <w:rFonts w:eastAsia="Calibri" w:cs="Arial"/>
        </w:rPr>
        <w:t xml:space="preserve"> permit the Commission to</w:t>
      </w:r>
      <w:r w:rsidR="002448A0">
        <w:rPr>
          <w:rFonts w:eastAsia="Calibri" w:cs="Arial"/>
        </w:rPr>
        <w:t xml:space="preserve"> determine that TPS is needed in a LTFR proceeding.  No such authority exists.  LTFR proceedings are l</w:t>
      </w:r>
      <w:r w:rsidR="004E4A13">
        <w:rPr>
          <w:rFonts w:eastAsia="Calibri" w:cs="Arial"/>
        </w:rPr>
        <w:t>imited to forecasting issues</w:t>
      </w:r>
      <w:r w:rsidR="00DE4469">
        <w:rPr>
          <w:rFonts w:eastAsia="Calibri" w:cs="Arial"/>
        </w:rPr>
        <w:t>, and the ESP Statute require</w:t>
      </w:r>
      <w:r w:rsidR="00600BD0">
        <w:rPr>
          <w:rFonts w:eastAsia="Calibri" w:cs="Arial"/>
        </w:rPr>
        <w:t>s</w:t>
      </w:r>
      <w:r w:rsidR="00DE4469">
        <w:rPr>
          <w:rFonts w:eastAsia="Calibri" w:cs="Arial"/>
        </w:rPr>
        <w:t xml:space="preserve"> a finding of need to be made in an ESP proceeding</w:t>
      </w:r>
      <w:r w:rsidR="004E4A13">
        <w:rPr>
          <w:rFonts w:eastAsia="Calibri" w:cs="Arial"/>
        </w:rPr>
        <w:t xml:space="preserve">.  </w:t>
      </w:r>
      <w:r w:rsidR="002448A0">
        <w:rPr>
          <w:rFonts w:eastAsia="Calibri" w:cs="Arial"/>
        </w:rPr>
        <w:t xml:space="preserve">Even if a finding of need could be determined in a LTFR proceeding, no such finding </w:t>
      </w:r>
      <w:r w:rsidR="004E4A13">
        <w:rPr>
          <w:rFonts w:eastAsia="Calibri" w:cs="Arial"/>
        </w:rPr>
        <w:t>could be made</w:t>
      </w:r>
      <w:r w:rsidR="002448A0">
        <w:rPr>
          <w:rFonts w:eastAsia="Calibri" w:cs="Arial"/>
        </w:rPr>
        <w:t xml:space="preserve"> with respect to a solar </w:t>
      </w:r>
      <w:r w:rsidR="008254BD">
        <w:rPr>
          <w:rFonts w:eastAsia="Calibri" w:cs="Arial"/>
        </w:rPr>
        <w:t>generating facility.</w:t>
      </w:r>
    </w:p>
    <w:p w:rsidR="00693780" w:rsidRDefault="004E4A13" w:rsidP="008254BD">
      <w:pPr>
        <w:spacing w:line="480" w:lineRule="auto"/>
        <w:ind w:firstLine="720"/>
        <w:jc w:val="both"/>
        <w:rPr>
          <w:rFonts w:eastAsia="Calibri" w:cs="Arial"/>
        </w:rPr>
      </w:pPr>
      <w:r>
        <w:rPr>
          <w:rFonts w:eastAsia="Calibri" w:cs="Arial"/>
        </w:rPr>
        <w:t>Finally,</w:t>
      </w:r>
      <w:r w:rsidR="001B50B1">
        <w:rPr>
          <w:rFonts w:eastAsia="Calibri" w:cs="Arial"/>
        </w:rPr>
        <w:t xml:space="preserve"> OP and Staff have failed to submit</w:t>
      </w:r>
      <w:r>
        <w:rPr>
          <w:rFonts w:eastAsia="Calibri" w:cs="Arial"/>
        </w:rPr>
        <w:t xml:space="preserve"> sufficient evidence to support their own flawed legal theory.  A settlement is not evidence in and of itself. </w:t>
      </w:r>
      <w:r w:rsidR="00600BD0">
        <w:rPr>
          <w:rFonts w:eastAsia="Calibri" w:cs="Arial"/>
        </w:rPr>
        <w:t xml:space="preserve"> </w:t>
      </w:r>
      <w:r>
        <w:rPr>
          <w:rFonts w:eastAsia="Calibri" w:cs="Arial"/>
        </w:rPr>
        <w:t>The bu</w:t>
      </w:r>
      <w:r w:rsidR="00693780">
        <w:rPr>
          <w:rFonts w:eastAsia="Calibri" w:cs="Arial"/>
        </w:rPr>
        <w:t>rden of proof has not been met</w:t>
      </w:r>
      <w:r w:rsidR="00DE4469">
        <w:rPr>
          <w:rFonts w:eastAsia="Calibri" w:cs="Arial"/>
        </w:rPr>
        <w:t>; thus,</w:t>
      </w:r>
      <w:r w:rsidR="001B50B1">
        <w:rPr>
          <w:rFonts w:eastAsia="Calibri" w:cs="Arial"/>
        </w:rPr>
        <w:t xml:space="preserve"> </w:t>
      </w:r>
      <w:r w:rsidR="00DE4469">
        <w:rPr>
          <w:rFonts w:eastAsia="Calibri" w:cs="Arial"/>
        </w:rPr>
        <w:t>inasmuch as the</w:t>
      </w:r>
      <w:r w:rsidR="001B50B1">
        <w:rPr>
          <w:rFonts w:eastAsia="Calibri" w:cs="Arial"/>
        </w:rPr>
        <w:t xml:space="preserve"> Stipulation</w:t>
      </w:r>
      <w:r w:rsidR="00DE4469">
        <w:rPr>
          <w:rFonts w:eastAsia="Calibri" w:cs="Arial"/>
        </w:rPr>
        <w:t xml:space="preserve"> recommends that the Commission determine that there is a need for TPS, the Stipulation</w:t>
      </w:r>
      <w:r w:rsidR="001B50B1">
        <w:rPr>
          <w:rFonts w:eastAsia="Calibri" w:cs="Arial"/>
        </w:rPr>
        <w:t xml:space="preserve"> must be rejected</w:t>
      </w:r>
      <w:r w:rsidR="00693780">
        <w:rPr>
          <w:rFonts w:eastAsia="Calibri" w:cs="Arial"/>
        </w:rPr>
        <w:t>.</w:t>
      </w:r>
    </w:p>
    <w:p w:rsidR="00EB6B22" w:rsidRDefault="00E91985" w:rsidP="001B14FD">
      <w:pPr>
        <w:tabs>
          <w:tab w:val="left" w:pos="3780"/>
        </w:tabs>
        <w:spacing w:after="200" w:line="480" w:lineRule="auto"/>
        <w:ind w:firstLine="720"/>
        <w:jc w:val="both"/>
        <w:rPr>
          <w:rFonts w:eastAsia="Calibri" w:cs="Arial"/>
        </w:rPr>
      </w:pPr>
      <w:r>
        <w:rPr>
          <w:rFonts w:eastAsia="Calibri" w:cs="Arial"/>
        </w:rPr>
        <w:tab/>
      </w:r>
      <w:r w:rsidR="001B14FD">
        <w:rPr>
          <w:rFonts w:eastAsia="Calibri" w:cs="Arial"/>
        </w:rPr>
        <w:t>Respectfully S</w:t>
      </w:r>
      <w:r w:rsidR="00693780">
        <w:rPr>
          <w:rFonts w:eastAsia="Calibri" w:cs="Arial"/>
        </w:rPr>
        <w:t>ubmitted:</w:t>
      </w:r>
    </w:p>
    <w:p w:rsidR="00693780" w:rsidRDefault="00693780" w:rsidP="00E91985">
      <w:pPr>
        <w:tabs>
          <w:tab w:val="left" w:pos="-1350"/>
          <w:tab w:val="left" w:pos="3600"/>
          <w:tab w:val="right" w:pos="8640"/>
        </w:tabs>
        <w:ind w:left="4320"/>
        <w:jc w:val="both"/>
        <w:rPr>
          <w:rFonts w:cs="Arial"/>
        </w:rPr>
      </w:pPr>
    </w:p>
    <w:p w:rsidR="00693780" w:rsidRPr="00693780" w:rsidRDefault="00C65FD5" w:rsidP="001B14FD">
      <w:pPr>
        <w:tabs>
          <w:tab w:val="left" w:pos="-1350"/>
          <w:tab w:val="left" w:pos="7920"/>
        </w:tabs>
        <w:ind w:left="3780"/>
        <w:jc w:val="both"/>
        <w:rPr>
          <w:rFonts w:cs="Arial"/>
          <w:u w:val="single"/>
        </w:rPr>
      </w:pPr>
      <w:r>
        <w:rPr>
          <w:rFonts w:cs="Arial"/>
          <w:u w:val="single"/>
        </w:rPr>
        <w:t>/s/ Joseph E. Oliker</w:t>
      </w:r>
      <w:r w:rsidR="001B14FD">
        <w:rPr>
          <w:rFonts w:cs="Arial"/>
          <w:u w:val="single"/>
        </w:rPr>
        <w:tab/>
      </w:r>
    </w:p>
    <w:p w:rsidR="00693780" w:rsidRDefault="00693780" w:rsidP="001B14FD">
      <w:pPr>
        <w:tabs>
          <w:tab w:val="left" w:pos="-1350"/>
          <w:tab w:val="right" w:pos="8640"/>
        </w:tabs>
        <w:ind w:left="3780"/>
        <w:jc w:val="both"/>
        <w:rPr>
          <w:rFonts w:cs="Arial"/>
        </w:rPr>
      </w:pPr>
      <w:r>
        <w:rPr>
          <w:rFonts w:cs="Arial"/>
        </w:rPr>
        <w:t xml:space="preserve">Samuel C. Randazzo </w:t>
      </w:r>
    </w:p>
    <w:p w:rsidR="00693780" w:rsidRDefault="00693780" w:rsidP="001B14FD">
      <w:pPr>
        <w:pStyle w:val="BodyText3"/>
        <w:widowControl w:val="0"/>
        <w:tabs>
          <w:tab w:val="left" w:pos="0"/>
        </w:tabs>
        <w:ind w:left="3780"/>
        <w:jc w:val="both"/>
        <w:rPr>
          <w:rFonts w:cs="Arial"/>
          <w:b w:val="0"/>
          <w:bCs/>
        </w:rPr>
      </w:pPr>
      <w:r>
        <w:rPr>
          <w:rFonts w:cs="Arial"/>
          <w:b w:val="0"/>
          <w:bCs/>
        </w:rPr>
        <w:t>(Counsel of Record)</w:t>
      </w:r>
    </w:p>
    <w:p w:rsidR="00693780" w:rsidRDefault="00693780" w:rsidP="001B14FD">
      <w:pPr>
        <w:pStyle w:val="BodyText3"/>
        <w:widowControl w:val="0"/>
        <w:tabs>
          <w:tab w:val="left" w:pos="0"/>
        </w:tabs>
        <w:ind w:left="3780"/>
        <w:jc w:val="both"/>
        <w:rPr>
          <w:rFonts w:cs="Arial"/>
          <w:b w:val="0"/>
          <w:bCs/>
        </w:rPr>
      </w:pPr>
      <w:r>
        <w:rPr>
          <w:rFonts w:cs="Arial"/>
          <w:b w:val="0"/>
          <w:bCs/>
        </w:rPr>
        <w:t>Frank P. Darr</w:t>
      </w:r>
    </w:p>
    <w:p w:rsidR="00693780" w:rsidRDefault="00693780" w:rsidP="001B14FD">
      <w:pPr>
        <w:pStyle w:val="BodyText3"/>
        <w:widowControl w:val="0"/>
        <w:tabs>
          <w:tab w:val="left" w:pos="0"/>
        </w:tabs>
        <w:ind w:left="3780"/>
        <w:jc w:val="both"/>
        <w:rPr>
          <w:rFonts w:cs="Arial"/>
          <w:b w:val="0"/>
          <w:bCs/>
        </w:rPr>
      </w:pPr>
      <w:r>
        <w:rPr>
          <w:rFonts w:cs="Arial"/>
          <w:b w:val="0"/>
          <w:bCs/>
        </w:rPr>
        <w:t>Joseph E. Oliker</w:t>
      </w:r>
    </w:p>
    <w:p w:rsidR="00693780" w:rsidRDefault="00693780" w:rsidP="001B14FD">
      <w:pPr>
        <w:pStyle w:val="BodyText3"/>
        <w:widowControl w:val="0"/>
        <w:tabs>
          <w:tab w:val="left" w:pos="0"/>
        </w:tabs>
        <w:ind w:left="3780"/>
        <w:jc w:val="both"/>
        <w:rPr>
          <w:rFonts w:cs="Arial"/>
          <w:b w:val="0"/>
          <w:bCs/>
          <w:smallCaps/>
          <w:szCs w:val="24"/>
        </w:rPr>
      </w:pPr>
      <w:r>
        <w:rPr>
          <w:rFonts w:cs="Arial"/>
          <w:b w:val="0"/>
          <w:bCs/>
          <w:smallCaps/>
          <w:szCs w:val="24"/>
        </w:rPr>
        <w:t>McNees Wallace &amp; Nurick LLC</w:t>
      </w:r>
    </w:p>
    <w:p w:rsidR="00693780" w:rsidRDefault="00693780" w:rsidP="001B14FD">
      <w:pPr>
        <w:pStyle w:val="BodyText3"/>
        <w:widowControl w:val="0"/>
        <w:tabs>
          <w:tab w:val="left" w:pos="0"/>
        </w:tabs>
        <w:ind w:left="3780"/>
        <w:jc w:val="both"/>
        <w:rPr>
          <w:rFonts w:cs="Arial"/>
          <w:b w:val="0"/>
          <w:bCs/>
        </w:rPr>
      </w:pPr>
      <w:r>
        <w:rPr>
          <w:rFonts w:cs="Arial"/>
          <w:b w:val="0"/>
          <w:bCs/>
        </w:rPr>
        <w:t>21 East State Street, 17</w:t>
      </w:r>
      <w:r>
        <w:rPr>
          <w:rFonts w:cs="Arial"/>
          <w:b w:val="0"/>
          <w:bCs/>
          <w:vertAlign w:val="superscript"/>
        </w:rPr>
        <w:t>TH</w:t>
      </w:r>
      <w:r>
        <w:rPr>
          <w:rFonts w:cs="Arial"/>
          <w:b w:val="0"/>
          <w:bCs/>
        </w:rPr>
        <w:t xml:space="preserve"> Floor</w:t>
      </w:r>
    </w:p>
    <w:p w:rsidR="00693780" w:rsidRDefault="00693780" w:rsidP="001B14FD">
      <w:pPr>
        <w:pStyle w:val="BodyText"/>
        <w:tabs>
          <w:tab w:val="left" w:pos="0"/>
        </w:tabs>
        <w:ind w:left="3780"/>
      </w:pPr>
      <w:r>
        <w:t>Columbus, OH  43215</w:t>
      </w:r>
    </w:p>
    <w:p w:rsidR="00693780" w:rsidRDefault="00693780" w:rsidP="001B14FD">
      <w:pPr>
        <w:pStyle w:val="BodyText"/>
        <w:tabs>
          <w:tab w:val="left" w:pos="0"/>
        </w:tabs>
        <w:ind w:left="3780"/>
      </w:pPr>
      <w:r>
        <w:t>Telephone:  (614) 469-8000</w:t>
      </w:r>
    </w:p>
    <w:p w:rsidR="00693780" w:rsidRDefault="00693780" w:rsidP="001B14FD">
      <w:pPr>
        <w:pStyle w:val="BodyText"/>
        <w:tabs>
          <w:tab w:val="left" w:pos="0"/>
        </w:tabs>
        <w:ind w:left="3780"/>
      </w:pPr>
      <w:r>
        <w:t>Telecopier:  (614) 469-4653</w:t>
      </w:r>
    </w:p>
    <w:p w:rsidR="00693780" w:rsidRDefault="00693780" w:rsidP="001B14FD">
      <w:pPr>
        <w:pStyle w:val="BodyText"/>
        <w:tabs>
          <w:tab w:val="left" w:pos="0"/>
        </w:tabs>
        <w:ind w:left="3780"/>
      </w:pPr>
      <w:r>
        <w:t>sam@mwncmh.com</w:t>
      </w:r>
    </w:p>
    <w:p w:rsidR="00693780" w:rsidRDefault="00693780" w:rsidP="001B14FD">
      <w:pPr>
        <w:pStyle w:val="BodyText"/>
        <w:tabs>
          <w:tab w:val="left" w:pos="0"/>
        </w:tabs>
        <w:ind w:left="3780"/>
      </w:pPr>
      <w:r>
        <w:t>fdarr@mwncmh.com</w:t>
      </w:r>
    </w:p>
    <w:p w:rsidR="00693780" w:rsidRDefault="00693780" w:rsidP="001B14FD">
      <w:pPr>
        <w:pStyle w:val="BodyText"/>
        <w:tabs>
          <w:tab w:val="left" w:pos="0"/>
        </w:tabs>
        <w:ind w:left="3780"/>
      </w:pPr>
      <w:r>
        <w:t>joliker@mwncmh.com</w:t>
      </w:r>
    </w:p>
    <w:p w:rsidR="00693780" w:rsidRDefault="00693780" w:rsidP="001B14FD">
      <w:pPr>
        <w:pStyle w:val="BodyText"/>
        <w:tabs>
          <w:tab w:val="left" w:pos="0"/>
        </w:tabs>
        <w:ind w:left="3780"/>
      </w:pPr>
    </w:p>
    <w:p w:rsidR="00693780" w:rsidRDefault="00693780" w:rsidP="001B14FD">
      <w:pPr>
        <w:autoSpaceDE w:val="0"/>
        <w:autoSpaceDN w:val="0"/>
        <w:adjustRightInd w:val="0"/>
        <w:ind w:left="3780"/>
        <w:rPr>
          <w:rFonts w:cs="Arial"/>
          <w:b/>
          <w:smallCaps/>
        </w:rPr>
      </w:pPr>
      <w:r w:rsidRPr="001B14FD">
        <w:rPr>
          <w:rFonts w:cs="Arial"/>
          <w:b/>
          <w:smallCaps/>
        </w:rPr>
        <w:t>Attorneys for Industrial Energy Users-Ohio</w:t>
      </w:r>
    </w:p>
    <w:p w:rsidR="00865D80" w:rsidRDefault="00865D80" w:rsidP="001B14FD">
      <w:pPr>
        <w:autoSpaceDE w:val="0"/>
        <w:autoSpaceDN w:val="0"/>
        <w:adjustRightInd w:val="0"/>
        <w:ind w:left="3780"/>
        <w:rPr>
          <w:rFonts w:cs="Arial"/>
          <w:b/>
          <w:smallCaps/>
        </w:rPr>
        <w:sectPr w:rsidR="00865D80" w:rsidSect="00865D80">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titlePg/>
          <w:docGrid w:linePitch="326"/>
        </w:sectPr>
      </w:pPr>
    </w:p>
    <w:p w:rsidR="00E91985" w:rsidRDefault="00E91985" w:rsidP="00865D80">
      <w:pPr>
        <w:keepNext/>
        <w:keepLines/>
        <w:spacing w:before="200" w:line="276" w:lineRule="auto"/>
        <w:jc w:val="center"/>
        <w:outlineLvl w:val="3"/>
        <w:rPr>
          <w:rFonts w:eastAsia="Times New Roman" w:cs="Arial"/>
          <w:b/>
          <w:bCs/>
          <w:iCs/>
          <w:smallCaps/>
          <w:color w:val="000000"/>
          <w:u w:val="single"/>
        </w:rPr>
      </w:pPr>
      <w:r w:rsidRPr="00865D80">
        <w:rPr>
          <w:rFonts w:eastAsia="Times New Roman" w:cs="Arial"/>
          <w:b/>
          <w:bCs/>
          <w:iCs/>
          <w:smallCaps/>
          <w:color w:val="000000"/>
          <w:u w:val="single"/>
        </w:rPr>
        <w:lastRenderedPageBreak/>
        <w:t>Certificate of Service</w:t>
      </w:r>
    </w:p>
    <w:p w:rsidR="00865D80" w:rsidRPr="00865D80" w:rsidRDefault="00865D80" w:rsidP="00865D80">
      <w:pPr>
        <w:keepNext/>
        <w:keepLines/>
        <w:spacing w:line="276" w:lineRule="auto"/>
        <w:jc w:val="center"/>
        <w:outlineLvl w:val="3"/>
        <w:rPr>
          <w:rFonts w:eastAsia="Times New Roman" w:cs="Arial"/>
          <w:b/>
          <w:bCs/>
          <w:iCs/>
          <w:smallCaps/>
          <w:color w:val="000000"/>
          <w:u w:val="single"/>
        </w:rPr>
      </w:pPr>
    </w:p>
    <w:p w:rsidR="00E91985" w:rsidRPr="00E91985" w:rsidRDefault="00E91985" w:rsidP="00E91985">
      <w:pPr>
        <w:spacing w:line="480" w:lineRule="auto"/>
        <w:ind w:firstLine="720"/>
        <w:jc w:val="both"/>
        <w:rPr>
          <w:rFonts w:eastAsia="Times New Roman" w:cs="Arial"/>
          <w:b/>
          <w:smallCaps/>
        </w:rPr>
      </w:pPr>
      <w:r w:rsidRPr="00E91985">
        <w:rPr>
          <w:rFonts w:eastAsia="Times New Roman" w:cs="Arial"/>
        </w:rPr>
        <w:t xml:space="preserve">I hereby certify that a copy of the foregoing </w:t>
      </w:r>
      <w:r w:rsidR="00865D80">
        <w:rPr>
          <w:rFonts w:eastAsia="Times New Roman" w:cs="Arial"/>
          <w:i/>
        </w:rPr>
        <w:t>Reply Brief of Industrial Energy Users-Ohio</w:t>
      </w:r>
      <w:r w:rsidR="00865D80">
        <w:rPr>
          <w:rFonts w:eastAsia="Times New Roman" w:cs="Arial"/>
          <w:i/>
          <w:iCs/>
        </w:rPr>
        <w:t>,</w:t>
      </w:r>
      <w:r w:rsidRPr="00E91985">
        <w:rPr>
          <w:rFonts w:eastAsia="Times New Roman" w:cs="Arial"/>
          <w:i/>
          <w:iCs/>
        </w:rPr>
        <w:t xml:space="preserve"> </w:t>
      </w:r>
      <w:r w:rsidRPr="00E91985">
        <w:rPr>
          <w:rFonts w:eastAsia="Times New Roman" w:cs="Arial"/>
        </w:rPr>
        <w:t xml:space="preserve">was served upon the following parties of record this </w:t>
      </w:r>
      <w:r w:rsidR="00865D80">
        <w:rPr>
          <w:rFonts w:eastAsia="Times New Roman" w:cs="Arial"/>
        </w:rPr>
        <w:t>4</w:t>
      </w:r>
      <w:r w:rsidR="00865D80" w:rsidRPr="00865D80">
        <w:rPr>
          <w:rFonts w:eastAsia="Times New Roman" w:cs="Arial"/>
          <w:vertAlign w:val="superscript"/>
        </w:rPr>
        <w:t>th</w:t>
      </w:r>
      <w:r w:rsidR="00865D80">
        <w:rPr>
          <w:rFonts w:eastAsia="Times New Roman" w:cs="Arial"/>
        </w:rPr>
        <w:t xml:space="preserve"> day of May </w:t>
      </w:r>
      <w:r w:rsidRPr="00E91985">
        <w:rPr>
          <w:rFonts w:eastAsia="Times New Roman" w:cs="Arial"/>
        </w:rPr>
        <w:t xml:space="preserve">2012, </w:t>
      </w:r>
      <w:r w:rsidRPr="00E91985">
        <w:rPr>
          <w:rFonts w:eastAsia="Times New Roman" w:cs="Arial"/>
          <w:i/>
        </w:rPr>
        <w:t>via</w:t>
      </w:r>
      <w:r w:rsidRPr="00E91985">
        <w:rPr>
          <w:rFonts w:eastAsia="Times New Roman" w:cs="Arial"/>
        </w:rPr>
        <w:t xml:space="preserve"> electronic transmission, hand-delivery or first class U.S. mail, postage prepaid.</w:t>
      </w:r>
    </w:p>
    <w:p w:rsidR="00E91985" w:rsidRPr="00E91985" w:rsidRDefault="00C65FD5" w:rsidP="00E91985">
      <w:pPr>
        <w:tabs>
          <w:tab w:val="left" w:pos="-1440"/>
          <w:tab w:val="left" w:pos="-720"/>
          <w:tab w:val="left" w:pos="5040"/>
          <w:tab w:val="center" w:pos="7200"/>
          <w:tab w:val="right" w:pos="9360"/>
        </w:tabs>
        <w:ind w:firstLine="5040"/>
        <w:jc w:val="both"/>
        <w:rPr>
          <w:rFonts w:eastAsia="Calibri" w:cs="Arial"/>
          <w:szCs w:val="22"/>
          <w:u w:val="single"/>
        </w:rPr>
      </w:pPr>
      <w:r>
        <w:rPr>
          <w:rFonts w:eastAsia="Calibri" w:cs="Arial"/>
          <w:szCs w:val="22"/>
          <w:u w:val="single"/>
        </w:rPr>
        <w:t>/s/ Joseph E. Oliker</w:t>
      </w:r>
      <w:r w:rsidR="00E91985" w:rsidRPr="00E91985">
        <w:rPr>
          <w:rFonts w:eastAsia="Calibri" w:cs="Arial"/>
          <w:szCs w:val="22"/>
          <w:u w:val="single"/>
        </w:rPr>
        <w:tab/>
      </w:r>
      <w:r w:rsidR="00E91985" w:rsidRPr="00E91985">
        <w:rPr>
          <w:rFonts w:eastAsia="Calibri" w:cs="Arial"/>
          <w:szCs w:val="22"/>
          <w:u w:val="single"/>
        </w:rPr>
        <w:tab/>
      </w:r>
    </w:p>
    <w:p w:rsidR="00865D80" w:rsidRDefault="00865D80" w:rsidP="00E91985">
      <w:pPr>
        <w:tabs>
          <w:tab w:val="left" w:pos="-1440"/>
          <w:tab w:val="left" w:pos="-720"/>
          <w:tab w:val="left" w:pos="5040"/>
          <w:tab w:val="center" w:pos="7200"/>
          <w:tab w:val="right" w:pos="9360"/>
        </w:tabs>
        <w:ind w:firstLine="5040"/>
        <w:jc w:val="both"/>
        <w:rPr>
          <w:rFonts w:eastAsia="Calibri" w:cs="Arial"/>
          <w:szCs w:val="22"/>
        </w:rPr>
        <w:sectPr w:rsidR="00865D80" w:rsidSect="00865D80">
          <w:headerReference w:type="default" r:id="rId27"/>
          <w:footerReference w:type="default" r:id="rId28"/>
          <w:headerReference w:type="first" r:id="rId29"/>
          <w:footerReference w:type="first" r:id="rId30"/>
          <w:pgSz w:w="12240" w:h="15840" w:code="1"/>
          <w:pgMar w:top="1152" w:right="1253" w:bottom="662" w:left="1571" w:header="720" w:footer="720" w:gutter="0"/>
          <w:cols w:space="720"/>
          <w:noEndnote/>
          <w:docGrid w:linePitch="299"/>
        </w:sectPr>
      </w:pPr>
    </w:p>
    <w:p w:rsidR="00E91985" w:rsidRPr="00E91985" w:rsidRDefault="00865D80" w:rsidP="00E91985">
      <w:pPr>
        <w:tabs>
          <w:tab w:val="left" w:pos="-1440"/>
          <w:tab w:val="left" w:pos="-720"/>
          <w:tab w:val="left" w:pos="5040"/>
          <w:tab w:val="center" w:pos="7200"/>
          <w:tab w:val="right" w:pos="9360"/>
        </w:tabs>
        <w:ind w:firstLine="5040"/>
        <w:jc w:val="both"/>
        <w:rPr>
          <w:rFonts w:eastAsia="Calibri" w:cs="Arial"/>
          <w:szCs w:val="22"/>
        </w:rPr>
      </w:pPr>
      <w:r>
        <w:rPr>
          <w:rFonts w:eastAsia="Calibri" w:cs="Arial"/>
          <w:szCs w:val="22"/>
        </w:rPr>
        <w:lastRenderedPageBreak/>
        <w:t xml:space="preserve">  Joseph E. Oliker</w:t>
      </w:r>
    </w:p>
    <w:p w:rsidR="00865D80" w:rsidRDefault="00865D80" w:rsidP="00865D80">
      <w:pPr>
        <w:tabs>
          <w:tab w:val="left" w:pos="2160"/>
          <w:tab w:val="left" w:pos="2280"/>
        </w:tabs>
        <w:jc w:val="both"/>
        <w:rPr>
          <w:rFonts w:cs="Arial"/>
        </w:rPr>
      </w:pPr>
    </w:p>
    <w:p w:rsidR="00865D80" w:rsidRDefault="00865D80" w:rsidP="00865D80">
      <w:pPr>
        <w:tabs>
          <w:tab w:val="left" w:pos="2160"/>
          <w:tab w:val="left" w:pos="2280"/>
        </w:tabs>
        <w:jc w:val="both"/>
        <w:rPr>
          <w:rFonts w:cs="Arial"/>
          <w:sz w:val="20"/>
          <w:szCs w:val="20"/>
        </w:rPr>
        <w:sectPr w:rsidR="00865D80" w:rsidSect="00865D80">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141" w:left="1440" w:header="720" w:footer="720" w:gutter="0"/>
          <w:pgNumType w:start="1"/>
          <w:cols w:space="720"/>
          <w:titlePg/>
          <w:docGrid w:linePitch="326"/>
        </w:sectPr>
      </w:pPr>
    </w:p>
    <w:p w:rsidR="00865D80" w:rsidRPr="00BE31C7" w:rsidRDefault="00865D80" w:rsidP="00865D80">
      <w:pPr>
        <w:tabs>
          <w:tab w:val="left" w:pos="2160"/>
          <w:tab w:val="left" w:pos="2280"/>
        </w:tabs>
        <w:rPr>
          <w:rFonts w:cs="Arial"/>
          <w:sz w:val="20"/>
          <w:szCs w:val="20"/>
        </w:rPr>
      </w:pPr>
      <w:r w:rsidRPr="00BE31C7">
        <w:rPr>
          <w:rFonts w:cs="Arial"/>
          <w:sz w:val="20"/>
          <w:szCs w:val="20"/>
        </w:rPr>
        <w:lastRenderedPageBreak/>
        <w:t>Matthew J. Satterwhite</w:t>
      </w:r>
    </w:p>
    <w:p w:rsidR="00865D80" w:rsidRPr="00BE31C7" w:rsidRDefault="00865D80" w:rsidP="00865D80">
      <w:pPr>
        <w:tabs>
          <w:tab w:val="left" w:pos="2160"/>
          <w:tab w:val="left" w:pos="2280"/>
        </w:tabs>
        <w:rPr>
          <w:rFonts w:cs="Arial"/>
          <w:sz w:val="20"/>
          <w:szCs w:val="20"/>
        </w:rPr>
      </w:pPr>
      <w:r w:rsidRPr="00BE31C7">
        <w:rPr>
          <w:rFonts w:cs="Arial"/>
          <w:sz w:val="20"/>
          <w:szCs w:val="20"/>
        </w:rPr>
        <w:t>Steven T. Nourse</w:t>
      </w:r>
    </w:p>
    <w:p w:rsidR="00865D80" w:rsidRPr="00BE31C7" w:rsidRDefault="00865D80" w:rsidP="00865D80">
      <w:pPr>
        <w:tabs>
          <w:tab w:val="left" w:pos="2160"/>
          <w:tab w:val="left" w:pos="2280"/>
        </w:tabs>
        <w:rPr>
          <w:rFonts w:cs="Arial"/>
          <w:sz w:val="20"/>
          <w:szCs w:val="20"/>
        </w:rPr>
      </w:pPr>
      <w:r w:rsidRPr="00BE31C7">
        <w:rPr>
          <w:rFonts w:cs="Arial"/>
          <w:sz w:val="20"/>
          <w:szCs w:val="20"/>
        </w:rPr>
        <w:t>American Electric Power Service Corporation</w:t>
      </w:r>
    </w:p>
    <w:p w:rsidR="00865D80" w:rsidRPr="00BE31C7" w:rsidRDefault="00865D80" w:rsidP="00865D80">
      <w:pPr>
        <w:tabs>
          <w:tab w:val="left" w:pos="2160"/>
          <w:tab w:val="left" w:pos="2280"/>
        </w:tabs>
        <w:rPr>
          <w:rFonts w:cs="Arial"/>
          <w:sz w:val="20"/>
          <w:szCs w:val="20"/>
        </w:rPr>
      </w:pPr>
      <w:r w:rsidRPr="00BE31C7">
        <w:rPr>
          <w:rFonts w:cs="Arial"/>
          <w:sz w:val="20"/>
          <w:szCs w:val="20"/>
        </w:rPr>
        <w:t>1 Riverside Plaza, 29</w:t>
      </w:r>
      <w:r w:rsidRPr="00BE31C7">
        <w:rPr>
          <w:rFonts w:cs="Arial"/>
          <w:sz w:val="20"/>
          <w:szCs w:val="20"/>
          <w:vertAlign w:val="superscript"/>
        </w:rPr>
        <w:t>th</w:t>
      </w:r>
      <w:r w:rsidRPr="00BE31C7">
        <w:rPr>
          <w:rFonts w:cs="Arial"/>
          <w:sz w:val="20"/>
          <w:szCs w:val="20"/>
        </w:rPr>
        <w:t xml:space="preserve"> Floor</w:t>
      </w:r>
    </w:p>
    <w:p w:rsidR="00865D80" w:rsidRPr="00BE31C7" w:rsidRDefault="00865D80" w:rsidP="00865D80">
      <w:pPr>
        <w:tabs>
          <w:tab w:val="left" w:pos="2160"/>
          <w:tab w:val="left" w:pos="2280"/>
        </w:tabs>
        <w:rPr>
          <w:rFonts w:cs="Arial"/>
          <w:sz w:val="20"/>
          <w:szCs w:val="20"/>
        </w:rPr>
      </w:pPr>
      <w:r w:rsidRPr="00BE31C7">
        <w:rPr>
          <w:rFonts w:cs="Arial"/>
          <w:sz w:val="20"/>
          <w:szCs w:val="20"/>
        </w:rPr>
        <w:t>Columbus, OH  43215</w:t>
      </w:r>
    </w:p>
    <w:p w:rsidR="00865D80" w:rsidRPr="00BE31C7" w:rsidRDefault="00865D80" w:rsidP="00865D80">
      <w:pPr>
        <w:tabs>
          <w:tab w:val="left" w:pos="2160"/>
          <w:tab w:val="left" w:pos="2280"/>
        </w:tabs>
        <w:rPr>
          <w:rFonts w:cs="Arial"/>
          <w:sz w:val="20"/>
          <w:szCs w:val="20"/>
        </w:rPr>
      </w:pPr>
      <w:r w:rsidRPr="00BA7AFE">
        <w:rPr>
          <w:rFonts w:cs="Arial"/>
          <w:sz w:val="20"/>
          <w:szCs w:val="20"/>
        </w:rPr>
        <w:t>mjsatterwhite@aep.com</w:t>
      </w:r>
    </w:p>
    <w:p w:rsidR="00865D80" w:rsidRPr="00BE31C7" w:rsidRDefault="00865D80" w:rsidP="00865D80">
      <w:pPr>
        <w:tabs>
          <w:tab w:val="left" w:pos="2160"/>
          <w:tab w:val="left" w:pos="2280"/>
        </w:tabs>
        <w:rPr>
          <w:rFonts w:cs="Arial"/>
          <w:sz w:val="20"/>
          <w:szCs w:val="20"/>
        </w:rPr>
      </w:pPr>
      <w:r w:rsidRPr="00BA7AFE">
        <w:rPr>
          <w:rFonts w:cs="Arial"/>
          <w:sz w:val="20"/>
          <w:szCs w:val="20"/>
        </w:rPr>
        <w:t>stnourse@aep.com</w:t>
      </w:r>
    </w:p>
    <w:p w:rsidR="00865D80" w:rsidRPr="00BE31C7" w:rsidRDefault="00865D80" w:rsidP="00865D80">
      <w:pPr>
        <w:tabs>
          <w:tab w:val="left" w:pos="2160"/>
          <w:tab w:val="left" w:pos="2280"/>
        </w:tabs>
        <w:rPr>
          <w:rFonts w:cs="Arial"/>
          <w:sz w:val="20"/>
          <w:szCs w:val="20"/>
        </w:rPr>
      </w:pPr>
    </w:p>
    <w:p w:rsidR="00865D80" w:rsidRPr="00BE31C7" w:rsidRDefault="00865D80" w:rsidP="00865D80">
      <w:pPr>
        <w:tabs>
          <w:tab w:val="left" w:pos="2160"/>
          <w:tab w:val="left" w:pos="2280"/>
        </w:tabs>
        <w:rPr>
          <w:rFonts w:cs="Arial"/>
          <w:b/>
          <w:smallCaps/>
          <w:sz w:val="20"/>
          <w:szCs w:val="20"/>
        </w:rPr>
      </w:pPr>
      <w:r w:rsidRPr="00BE31C7">
        <w:rPr>
          <w:rFonts w:cs="Arial"/>
          <w:b/>
          <w:smallCaps/>
          <w:sz w:val="20"/>
          <w:szCs w:val="20"/>
        </w:rPr>
        <w:t>On Behalf of Columbus Southern Power Company and Ohio Power Company</w:t>
      </w:r>
    </w:p>
    <w:p w:rsidR="00865D80" w:rsidRPr="00BE31C7" w:rsidRDefault="00865D80" w:rsidP="00865D80">
      <w:pPr>
        <w:tabs>
          <w:tab w:val="left" w:pos="2160"/>
          <w:tab w:val="left" w:pos="2280"/>
        </w:tabs>
        <w:rPr>
          <w:rFonts w:cs="Arial"/>
          <w:sz w:val="20"/>
          <w:szCs w:val="20"/>
        </w:rPr>
      </w:pPr>
    </w:p>
    <w:p w:rsidR="00865D80" w:rsidRPr="006A6C77" w:rsidRDefault="00865D80" w:rsidP="00865D80">
      <w:pPr>
        <w:ind w:right="144"/>
        <w:rPr>
          <w:rFonts w:cs="Arial"/>
          <w:sz w:val="20"/>
          <w:szCs w:val="20"/>
        </w:rPr>
      </w:pPr>
      <w:r w:rsidRPr="006A6C77">
        <w:rPr>
          <w:rFonts w:cs="Arial"/>
          <w:sz w:val="20"/>
          <w:szCs w:val="20"/>
        </w:rPr>
        <w:t>Mark A. Hayden</w:t>
      </w:r>
    </w:p>
    <w:p w:rsidR="00865D80" w:rsidRPr="006A6C77" w:rsidRDefault="00865D80" w:rsidP="00865D80">
      <w:pPr>
        <w:ind w:right="144"/>
        <w:rPr>
          <w:rFonts w:cs="Arial"/>
          <w:sz w:val="20"/>
          <w:szCs w:val="20"/>
        </w:rPr>
      </w:pPr>
      <w:r w:rsidRPr="006A6C77">
        <w:rPr>
          <w:rFonts w:cs="Arial"/>
          <w:sz w:val="20"/>
          <w:szCs w:val="20"/>
        </w:rPr>
        <w:t>Attorney</w:t>
      </w:r>
    </w:p>
    <w:p w:rsidR="00865D80" w:rsidRPr="006A6C77" w:rsidRDefault="00865D80" w:rsidP="00865D80">
      <w:pPr>
        <w:ind w:right="144"/>
        <w:rPr>
          <w:rFonts w:cs="Arial"/>
          <w:sz w:val="20"/>
          <w:szCs w:val="20"/>
        </w:rPr>
      </w:pPr>
      <w:r w:rsidRPr="006A6C77">
        <w:rPr>
          <w:rFonts w:cs="Arial"/>
          <w:sz w:val="20"/>
          <w:szCs w:val="20"/>
        </w:rPr>
        <w:t>FirstEnergy Service Company</w:t>
      </w:r>
    </w:p>
    <w:p w:rsidR="00865D80" w:rsidRPr="006A6C77" w:rsidRDefault="00865D80" w:rsidP="00865D80">
      <w:pPr>
        <w:ind w:right="144"/>
        <w:rPr>
          <w:rFonts w:cs="Arial"/>
          <w:sz w:val="20"/>
          <w:szCs w:val="20"/>
        </w:rPr>
      </w:pPr>
      <w:r w:rsidRPr="006A6C77">
        <w:rPr>
          <w:rFonts w:cs="Arial"/>
          <w:sz w:val="20"/>
          <w:szCs w:val="20"/>
        </w:rPr>
        <w:t>76 South Main Street</w:t>
      </w:r>
    </w:p>
    <w:p w:rsidR="00865D80" w:rsidRDefault="00865D80" w:rsidP="00865D80">
      <w:pPr>
        <w:tabs>
          <w:tab w:val="left" w:pos="2160"/>
          <w:tab w:val="left" w:pos="2280"/>
        </w:tabs>
        <w:rPr>
          <w:rFonts w:cs="Arial"/>
          <w:sz w:val="20"/>
          <w:szCs w:val="20"/>
        </w:rPr>
      </w:pPr>
      <w:r w:rsidRPr="006A6C77">
        <w:rPr>
          <w:rFonts w:cs="Arial"/>
          <w:sz w:val="20"/>
          <w:szCs w:val="20"/>
        </w:rPr>
        <w:t>Akron, OH  44308</w:t>
      </w:r>
    </w:p>
    <w:p w:rsidR="00865D80" w:rsidRDefault="00865D80" w:rsidP="00865D80">
      <w:pPr>
        <w:tabs>
          <w:tab w:val="left" w:pos="2160"/>
          <w:tab w:val="left" w:pos="2280"/>
        </w:tabs>
        <w:rPr>
          <w:rFonts w:cs="Arial"/>
          <w:sz w:val="20"/>
          <w:szCs w:val="20"/>
        </w:rPr>
      </w:pPr>
      <w:r w:rsidRPr="00BA7AFE">
        <w:rPr>
          <w:rFonts w:cs="Arial"/>
          <w:sz w:val="20"/>
          <w:szCs w:val="20"/>
        </w:rPr>
        <w:t>haydenm@firstenergycorp.com</w:t>
      </w:r>
    </w:p>
    <w:p w:rsidR="00865D80" w:rsidRDefault="00865D80" w:rsidP="00865D80">
      <w:pPr>
        <w:tabs>
          <w:tab w:val="left" w:pos="2160"/>
          <w:tab w:val="left" w:pos="2280"/>
        </w:tabs>
        <w:rPr>
          <w:rFonts w:cs="Arial"/>
          <w:sz w:val="20"/>
          <w:szCs w:val="20"/>
        </w:rPr>
      </w:pPr>
    </w:p>
    <w:p w:rsidR="00865D80" w:rsidRPr="00BA7AFE" w:rsidRDefault="00865D80" w:rsidP="00865D80">
      <w:pPr>
        <w:autoSpaceDE w:val="0"/>
        <w:autoSpaceDN w:val="0"/>
        <w:adjustRightInd w:val="0"/>
        <w:rPr>
          <w:rFonts w:cs="Arial"/>
          <w:sz w:val="20"/>
          <w:szCs w:val="20"/>
        </w:rPr>
      </w:pPr>
      <w:r w:rsidRPr="00BA7AFE">
        <w:rPr>
          <w:rFonts w:cs="Arial"/>
          <w:sz w:val="20"/>
          <w:szCs w:val="20"/>
        </w:rPr>
        <w:t xml:space="preserve">James F. Lang </w:t>
      </w:r>
    </w:p>
    <w:p w:rsidR="00865D80" w:rsidRPr="00BA7AFE" w:rsidRDefault="00865D80" w:rsidP="00865D80">
      <w:pPr>
        <w:autoSpaceDE w:val="0"/>
        <w:autoSpaceDN w:val="0"/>
        <w:adjustRightInd w:val="0"/>
        <w:rPr>
          <w:rFonts w:cs="Arial"/>
          <w:sz w:val="20"/>
          <w:szCs w:val="20"/>
        </w:rPr>
      </w:pPr>
      <w:r w:rsidRPr="00BA7AFE">
        <w:rPr>
          <w:rFonts w:cs="Arial"/>
          <w:sz w:val="20"/>
          <w:szCs w:val="20"/>
        </w:rPr>
        <w:t xml:space="preserve">Laura C. McBride </w:t>
      </w:r>
    </w:p>
    <w:p w:rsidR="00865D80" w:rsidRPr="00BA7AFE" w:rsidRDefault="00865D80" w:rsidP="00865D80">
      <w:pPr>
        <w:autoSpaceDE w:val="0"/>
        <w:autoSpaceDN w:val="0"/>
        <w:adjustRightInd w:val="0"/>
        <w:rPr>
          <w:rFonts w:cs="Arial"/>
          <w:sz w:val="20"/>
          <w:szCs w:val="20"/>
        </w:rPr>
      </w:pPr>
      <w:r w:rsidRPr="00BA7AFE">
        <w:rPr>
          <w:rFonts w:cs="Arial"/>
          <w:sz w:val="20"/>
          <w:szCs w:val="20"/>
        </w:rPr>
        <w:t>N. Trevor Alexander</w:t>
      </w:r>
    </w:p>
    <w:p w:rsidR="00865D80" w:rsidRPr="00BA7AFE" w:rsidRDefault="00865D80" w:rsidP="00865D80">
      <w:pPr>
        <w:autoSpaceDE w:val="0"/>
        <w:autoSpaceDN w:val="0"/>
        <w:adjustRightInd w:val="0"/>
        <w:rPr>
          <w:rFonts w:cs="Arial"/>
          <w:smallCaps/>
          <w:sz w:val="20"/>
          <w:szCs w:val="20"/>
        </w:rPr>
      </w:pPr>
      <w:r w:rsidRPr="00BA7AFE">
        <w:rPr>
          <w:rFonts w:cs="Arial"/>
          <w:smallCaps/>
          <w:sz w:val="20"/>
          <w:szCs w:val="20"/>
        </w:rPr>
        <w:t>Calfee, Halter &amp;  Griswold LLP</w:t>
      </w:r>
    </w:p>
    <w:p w:rsidR="00865D80" w:rsidRPr="00BA7AFE" w:rsidRDefault="00865D80" w:rsidP="00865D80">
      <w:pPr>
        <w:autoSpaceDE w:val="0"/>
        <w:autoSpaceDN w:val="0"/>
        <w:adjustRightInd w:val="0"/>
        <w:rPr>
          <w:rFonts w:cs="Arial"/>
          <w:sz w:val="20"/>
          <w:szCs w:val="20"/>
        </w:rPr>
      </w:pPr>
      <w:r w:rsidRPr="00BA7AFE">
        <w:rPr>
          <w:rFonts w:cs="Arial"/>
          <w:sz w:val="20"/>
          <w:szCs w:val="20"/>
        </w:rPr>
        <w:t>1400 KeyBank Center</w:t>
      </w:r>
    </w:p>
    <w:p w:rsidR="00865D80" w:rsidRPr="00BA7AFE" w:rsidRDefault="00865D80" w:rsidP="00865D80">
      <w:pPr>
        <w:autoSpaceDE w:val="0"/>
        <w:autoSpaceDN w:val="0"/>
        <w:adjustRightInd w:val="0"/>
        <w:rPr>
          <w:rFonts w:cs="Arial"/>
          <w:sz w:val="20"/>
          <w:szCs w:val="20"/>
        </w:rPr>
      </w:pPr>
      <w:r w:rsidRPr="00BA7AFE">
        <w:rPr>
          <w:rFonts w:cs="Arial"/>
          <w:sz w:val="20"/>
          <w:szCs w:val="20"/>
        </w:rPr>
        <w:t>800 Superior Ave.</w:t>
      </w:r>
    </w:p>
    <w:p w:rsidR="00865D80" w:rsidRPr="00BA7AFE" w:rsidRDefault="00865D80" w:rsidP="00865D80">
      <w:pPr>
        <w:autoSpaceDE w:val="0"/>
        <w:autoSpaceDN w:val="0"/>
        <w:adjustRightInd w:val="0"/>
        <w:rPr>
          <w:rFonts w:cs="Arial"/>
          <w:sz w:val="20"/>
          <w:szCs w:val="20"/>
        </w:rPr>
      </w:pPr>
      <w:r w:rsidRPr="00BA7AFE">
        <w:rPr>
          <w:rFonts w:cs="Arial"/>
          <w:sz w:val="20"/>
          <w:szCs w:val="20"/>
        </w:rPr>
        <w:t>Cleveland, OH 44114</w:t>
      </w:r>
    </w:p>
    <w:p w:rsidR="00865D80" w:rsidRPr="00BA7AFE" w:rsidRDefault="00865D80" w:rsidP="00865D80">
      <w:pPr>
        <w:autoSpaceDE w:val="0"/>
        <w:autoSpaceDN w:val="0"/>
        <w:adjustRightInd w:val="0"/>
        <w:rPr>
          <w:rFonts w:cs="Arial"/>
          <w:sz w:val="20"/>
          <w:szCs w:val="20"/>
        </w:rPr>
      </w:pPr>
      <w:r w:rsidRPr="00BA7AFE">
        <w:rPr>
          <w:rFonts w:cs="Arial"/>
          <w:sz w:val="20"/>
          <w:szCs w:val="20"/>
        </w:rPr>
        <w:t>jlang@calfee.com</w:t>
      </w:r>
    </w:p>
    <w:p w:rsidR="00865D80" w:rsidRPr="00BA7AFE" w:rsidRDefault="00865D80" w:rsidP="00865D80">
      <w:pPr>
        <w:autoSpaceDE w:val="0"/>
        <w:autoSpaceDN w:val="0"/>
        <w:adjustRightInd w:val="0"/>
        <w:rPr>
          <w:rFonts w:cs="Arial"/>
          <w:sz w:val="20"/>
          <w:szCs w:val="20"/>
        </w:rPr>
      </w:pPr>
      <w:r w:rsidRPr="00BA7AFE">
        <w:rPr>
          <w:rFonts w:cs="Arial"/>
          <w:sz w:val="20"/>
          <w:szCs w:val="20"/>
        </w:rPr>
        <w:t>lmcbride@calfee.com</w:t>
      </w:r>
    </w:p>
    <w:p w:rsidR="00865D80" w:rsidRDefault="00865D80" w:rsidP="00865D80">
      <w:pPr>
        <w:tabs>
          <w:tab w:val="left" w:pos="2160"/>
          <w:tab w:val="left" w:pos="2280"/>
        </w:tabs>
        <w:rPr>
          <w:rFonts w:cs="Arial"/>
          <w:sz w:val="20"/>
          <w:szCs w:val="20"/>
        </w:rPr>
      </w:pPr>
    </w:p>
    <w:p w:rsidR="00865D80" w:rsidRPr="00BE31C7" w:rsidRDefault="00865D80" w:rsidP="00865D80">
      <w:pPr>
        <w:tabs>
          <w:tab w:val="left" w:pos="2160"/>
          <w:tab w:val="left" w:pos="2280"/>
        </w:tabs>
        <w:rPr>
          <w:rFonts w:cs="Arial"/>
          <w:b/>
          <w:smallCaps/>
          <w:sz w:val="20"/>
          <w:szCs w:val="20"/>
        </w:rPr>
      </w:pPr>
      <w:r w:rsidRPr="00BE31C7">
        <w:rPr>
          <w:rFonts w:cs="Arial"/>
          <w:b/>
          <w:smallCaps/>
          <w:sz w:val="20"/>
          <w:szCs w:val="20"/>
        </w:rPr>
        <w:t xml:space="preserve">On Behalf of </w:t>
      </w:r>
      <w:r>
        <w:rPr>
          <w:rFonts w:cs="Arial"/>
          <w:b/>
          <w:smallCaps/>
          <w:sz w:val="20"/>
          <w:szCs w:val="20"/>
        </w:rPr>
        <w:t>FirstEnergy Service Company</w:t>
      </w:r>
    </w:p>
    <w:p w:rsidR="00865D80" w:rsidRDefault="00865D80" w:rsidP="00865D80">
      <w:pPr>
        <w:tabs>
          <w:tab w:val="left" w:pos="2160"/>
          <w:tab w:val="left" w:pos="2280"/>
        </w:tabs>
        <w:rPr>
          <w:rFonts w:cs="Arial"/>
          <w:sz w:val="20"/>
          <w:szCs w:val="20"/>
        </w:rPr>
      </w:pPr>
    </w:p>
    <w:p w:rsidR="00865D80" w:rsidRPr="00BE31C7" w:rsidRDefault="00865D80" w:rsidP="00865D80">
      <w:pPr>
        <w:tabs>
          <w:tab w:val="left" w:pos="2160"/>
          <w:tab w:val="left" w:pos="2280"/>
        </w:tabs>
        <w:rPr>
          <w:rFonts w:cs="Arial"/>
          <w:sz w:val="20"/>
          <w:szCs w:val="20"/>
        </w:rPr>
      </w:pPr>
      <w:r w:rsidRPr="00BE31C7">
        <w:rPr>
          <w:rFonts w:cs="Arial"/>
          <w:sz w:val="20"/>
          <w:szCs w:val="20"/>
        </w:rPr>
        <w:t>Thomas W. McNamee</w:t>
      </w:r>
    </w:p>
    <w:p w:rsidR="00865D80" w:rsidRDefault="00865D80" w:rsidP="00865D80">
      <w:pPr>
        <w:tabs>
          <w:tab w:val="left" w:pos="2160"/>
          <w:tab w:val="left" w:pos="2280"/>
        </w:tabs>
        <w:rPr>
          <w:rFonts w:cs="Arial"/>
          <w:sz w:val="20"/>
          <w:szCs w:val="20"/>
        </w:rPr>
      </w:pPr>
      <w:r w:rsidRPr="00BE31C7">
        <w:rPr>
          <w:rFonts w:cs="Arial"/>
          <w:sz w:val="20"/>
          <w:szCs w:val="20"/>
        </w:rPr>
        <w:t>Assistant Attorney General</w:t>
      </w:r>
    </w:p>
    <w:p w:rsidR="00865D80" w:rsidRPr="00BE31C7" w:rsidRDefault="00865D80" w:rsidP="00865D80">
      <w:pPr>
        <w:tabs>
          <w:tab w:val="left" w:pos="2160"/>
          <w:tab w:val="left" w:pos="2280"/>
        </w:tabs>
        <w:rPr>
          <w:rFonts w:cs="Arial"/>
          <w:sz w:val="20"/>
          <w:szCs w:val="20"/>
        </w:rPr>
      </w:pPr>
      <w:r>
        <w:rPr>
          <w:rFonts w:cs="Arial"/>
          <w:sz w:val="20"/>
          <w:szCs w:val="20"/>
        </w:rPr>
        <w:t>William Wright, Chief</w:t>
      </w:r>
    </w:p>
    <w:p w:rsidR="00865D80" w:rsidRPr="00BE31C7" w:rsidRDefault="00865D80" w:rsidP="00865D80">
      <w:pPr>
        <w:tabs>
          <w:tab w:val="left" w:pos="2160"/>
          <w:tab w:val="left" w:pos="2280"/>
        </w:tabs>
        <w:rPr>
          <w:rFonts w:cs="Arial"/>
          <w:sz w:val="20"/>
          <w:szCs w:val="20"/>
        </w:rPr>
      </w:pPr>
      <w:r w:rsidRPr="00BE31C7">
        <w:rPr>
          <w:rFonts w:cs="Arial"/>
          <w:sz w:val="20"/>
          <w:szCs w:val="20"/>
        </w:rPr>
        <w:t>Public Utilities Section</w:t>
      </w:r>
    </w:p>
    <w:p w:rsidR="00865D80" w:rsidRPr="00BE31C7" w:rsidRDefault="00865D80" w:rsidP="00865D80">
      <w:pPr>
        <w:tabs>
          <w:tab w:val="left" w:pos="2160"/>
          <w:tab w:val="left" w:pos="2280"/>
        </w:tabs>
        <w:rPr>
          <w:rFonts w:cs="Arial"/>
          <w:sz w:val="20"/>
          <w:szCs w:val="20"/>
        </w:rPr>
      </w:pPr>
      <w:r w:rsidRPr="00BE31C7">
        <w:rPr>
          <w:rFonts w:cs="Arial"/>
          <w:sz w:val="20"/>
          <w:szCs w:val="20"/>
        </w:rPr>
        <w:t>180 E. Broad Street, 6</w:t>
      </w:r>
      <w:r w:rsidRPr="00BE31C7">
        <w:rPr>
          <w:rFonts w:cs="Arial"/>
          <w:sz w:val="20"/>
          <w:szCs w:val="20"/>
          <w:vertAlign w:val="superscript"/>
        </w:rPr>
        <w:t>th</w:t>
      </w:r>
      <w:r w:rsidRPr="00BE31C7">
        <w:rPr>
          <w:rFonts w:cs="Arial"/>
          <w:sz w:val="20"/>
          <w:szCs w:val="20"/>
        </w:rPr>
        <w:t xml:space="preserve"> Floor</w:t>
      </w:r>
    </w:p>
    <w:p w:rsidR="00865D80" w:rsidRPr="00BE31C7" w:rsidRDefault="00865D80" w:rsidP="00865D80">
      <w:pPr>
        <w:tabs>
          <w:tab w:val="left" w:pos="2160"/>
          <w:tab w:val="left" w:pos="2280"/>
        </w:tabs>
        <w:rPr>
          <w:rFonts w:cs="Arial"/>
          <w:sz w:val="20"/>
          <w:szCs w:val="20"/>
        </w:rPr>
      </w:pPr>
      <w:r w:rsidRPr="00BE31C7">
        <w:rPr>
          <w:rFonts w:cs="Arial"/>
          <w:sz w:val="20"/>
          <w:szCs w:val="20"/>
        </w:rPr>
        <w:t>Columbus, OH  43215-3793</w:t>
      </w:r>
    </w:p>
    <w:p w:rsidR="00865D80" w:rsidRPr="00BE31C7" w:rsidRDefault="00865D80" w:rsidP="00865D80">
      <w:pPr>
        <w:tabs>
          <w:tab w:val="left" w:pos="2160"/>
          <w:tab w:val="left" w:pos="2280"/>
        </w:tabs>
        <w:rPr>
          <w:rFonts w:cs="Arial"/>
          <w:sz w:val="20"/>
          <w:szCs w:val="20"/>
        </w:rPr>
      </w:pPr>
      <w:r w:rsidRPr="00BA7AFE">
        <w:rPr>
          <w:rFonts w:cs="Arial"/>
          <w:sz w:val="20"/>
          <w:szCs w:val="20"/>
        </w:rPr>
        <w:t>thomas.mcnamee@puc.state.oh.us</w:t>
      </w:r>
    </w:p>
    <w:p w:rsidR="00865D80" w:rsidRPr="00BE31C7" w:rsidRDefault="00865D80" w:rsidP="00865D80">
      <w:pPr>
        <w:tabs>
          <w:tab w:val="left" w:pos="2160"/>
          <w:tab w:val="left" w:pos="2280"/>
        </w:tabs>
        <w:rPr>
          <w:rFonts w:cs="Arial"/>
          <w:sz w:val="20"/>
          <w:szCs w:val="20"/>
        </w:rPr>
      </w:pPr>
    </w:p>
    <w:p w:rsidR="00865D80" w:rsidRPr="00BE31C7" w:rsidRDefault="00865D80" w:rsidP="00865D80">
      <w:pPr>
        <w:tabs>
          <w:tab w:val="left" w:pos="2160"/>
          <w:tab w:val="left" w:pos="2280"/>
        </w:tabs>
        <w:rPr>
          <w:rFonts w:cs="Arial"/>
          <w:sz w:val="20"/>
          <w:szCs w:val="20"/>
        </w:rPr>
      </w:pPr>
      <w:r w:rsidRPr="00BE31C7">
        <w:rPr>
          <w:rFonts w:cs="Arial"/>
          <w:b/>
          <w:smallCaps/>
          <w:sz w:val="20"/>
          <w:szCs w:val="20"/>
        </w:rPr>
        <w:t>On Behalf of the Staff of the Public Utilities Commission of Ohio</w:t>
      </w:r>
      <w:r>
        <w:rPr>
          <w:rFonts w:cs="Arial"/>
          <w:b/>
          <w:smallCaps/>
          <w:sz w:val="20"/>
          <w:szCs w:val="20"/>
        </w:rPr>
        <w:br w:type="column"/>
      </w:r>
      <w:r>
        <w:rPr>
          <w:rFonts w:cs="Arial"/>
          <w:sz w:val="20"/>
          <w:szCs w:val="20"/>
        </w:rPr>
        <w:lastRenderedPageBreak/>
        <w:t>Greta See</w:t>
      </w:r>
    </w:p>
    <w:p w:rsidR="00865D80" w:rsidRDefault="00865D80" w:rsidP="00865D80">
      <w:pPr>
        <w:tabs>
          <w:tab w:val="left" w:pos="2160"/>
          <w:tab w:val="left" w:pos="2280"/>
        </w:tabs>
        <w:rPr>
          <w:rFonts w:cs="Arial"/>
          <w:sz w:val="20"/>
          <w:szCs w:val="20"/>
        </w:rPr>
      </w:pPr>
      <w:r>
        <w:rPr>
          <w:rFonts w:cs="Arial"/>
          <w:sz w:val="20"/>
          <w:szCs w:val="20"/>
        </w:rPr>
        <w:t>Sarah Parrott</w:t>
      </w:r>
    </w:p>
    <w:p w:rsidR="00865D80" w:rsidRPr="00BE31C7" w:rsidRDefault="00865D80" w:rsidP="00865D80">
      <w:pPr>
        <w:tabs>
          <w:tab w:val="left" w:pos="2160"/>
          <w:tab w:val="left" w:pos="2280"/>
        </w:tabs>
        <w:rPr>
          <w:rFonts w:cs="Arial"/>
          <w:sz w:val="20"/>
          <w:szCs w:val="20"/>
        </w:rPr>
      </w:pPr>
      <w:r>
        <w:rPr>
          <w:rFonts w:cs="Arial"/>
          <w:sz w:val="20"/>
          <w:szCs w:val="20"/>
        </w:rPr>
        <w:t>Attorney Examiners</w:t>
      </w:r>
    </w:p>
    <w:p w:rsidR="00865D80" w:rsidRPr="00BE31C7" w:rsidRDefault="00865D80" w:rsidP="00865D80">
      <w:pPr>
        <w:tabs>
          <w:tab w:val="left" w:pos="2160"/>
          <w:tab w:val="left" w:pos="2280"/>
        </w:tabs>
        <w:rPr>
          <w:rFonts w:cs="Arial"/>
          <w:sz w:val="20"/>
          <w:szCs w:val="20"/>
        </w:rPr>
      </w:pPr>
      <w:r w:rsidRPr="00BE31C7">
        <w:rPr>
          <w:rFonts w:cs="Arial"/>
          <w:sz w:val="20"/>
          <w:szCs w:val="20"/>
        </w:rPr>
        <w:t xml:space="preserve">Public Utilities </w:t>
      </w:r>
      <w:r>
        <w:rPr>
          <w:rFonts w:cs="Arial"/>
          <w:sz w:val="20"/>
          <w:szCs w:val="20"/>
        </w:rPr>
        <w:t>Commission of Ohio</w:t>
      </w:r>
    </w:p>
    <w:p w:rsidR="00865D80" w:rsidRPr="00BE31C7" w:rsidRDefault="00865D80" w:rsidP="00865D80">
      <w:pPr>
        <w:tabs>
          <w:tab w:val="left" w:pos="2160"/>
          <w:tab w:val="left" w:pos="2280"/>
        </w:tabs>
        <w:rPr>
          <w:rFonts w:cs="Arial"/>
          <w:sz w:val="20"/>
          <w:szCs w:val="20"/>
        </w:rPr>
      </w:pPr>
      <w:r w:rsidRPr="00BE31C7">
        <w:rPr>
          <w:rFonts w:cs="Arial"/>
          <w:sz w:val="20"/>
          <w:szCs w:val="20"/>
        </w:rPr>
        <w:t xml:space="preserve">180 E. Broad Street, </w:t>
      </w:r>
      <w:r>
        <w:rPr>
          <w:rFonts w:cs="Arial"/>
          <w:sz w:val="20"/>
          <w:szCs w:val="20"/>
        </w:rPr>
        <w:t>12</w:t>
      </w:r>
      <w:r w:rsidRPr="00BE31C7">
        <w:rPr>
          <w:rFonts w:cs="Arial"/>
          <w:sz w:val="20"/>
          <w:szCs w:val="20"/>
          <w:vertAlign w:val="superscript"/>
        </w:rPr>
        <w:t>th</w:t>
      </w:r>
      <w:r>
        <w:rPr>
          <w:rFonts w:cs="Arial"/>
          <w:sz w:val="20"/>
          <w:szCs w:val="20"/>
        </w:rPr>
        <w:t xml:space="preserve"> Floor</w:t>
      </w:r>
    </w:p>
    <w:p w:rsidR="00865D80" w:rsidRPr="00BE31C7" w:rsidRDefault="00865D80" w:rsidP="00865D80">
      <w:pPr>
        <w:tabs>
          <w:tab w:val="left" w:pos="2160"/>
          <w:tab w:val="left" w:pos="2280"/>
        </w:tabs>
        <w:rPr>
          <w:rFonts w:cs="Arial"/>
          <w:sz w:val="20"/>
          <w:szCs w:val="20"/>
        </w:rPr>
      </w:pPr>
      <w:r w:rsidRPr="00BE31C7">
        <w:rPr>
          <w:rFonts w:cs="Arial"/>
          <w:sz w:val="20"/>
          <w:szCs w:val="20"/>
        </w:rPr>
        <w:t>Columbus, OH  43215-3793</w:t>
      </w:r>
    </w:p>
    <w:p w:rsidR="00865D80" w:rsidRDefault="00865D80" w:rsidP="00865D80">
      <w:pPr>
        <w:tabs>
          <w:tab w:val="left" w:pos="2160"/>
          <w:tab w:val="left" w:pos="2280"/>
        </w:tabs>
        <w:rPr>
          <w:rFonts w:cs="Arial"/>
          <w:sz w:val="20"/>
          <w:szCs w:val="20"/>
        </w:rPr>
      </w:pPr>
      <w:r w:rsidRPr="00BA7AFE">
        <w:rPr>
          <w:rFonts w:cs="Arial"/>
          <w:sz w:val="20"/>
          <w:szCs w:val="20"/>
        </w:rPr>
        <w:t>Greta.See@puc.state.oh.us</w:t>
      </w:r>
    </w:p>
    <w:p w:rsidR="00865D80" w:rsidRDefault="00865D80" w:rsidP="00865D80">
      <w:pPr>
        <w:tabs>
          <w:tab w:val="left" w:pos="2160"/>
          <w:tab w:val="left" w:pos="2280"/>
        </w:tabs>
        <w:rPr>
          <w:rFonts w:cs="Arial"/>
          <w:sz w:val="20"/>
          <w:szCs w:val="20"/>
        </w:rPr>
      </w:pPr>
      <w:r>
        <w:rPr>
          <w:rFonts w:cs="Arial"/>
          <w:sz w:val="20"/>
          <w:szCs w:val="20"/>
        </w:rPr>
        <w:t>Sarah.Parrot@puc.state.oh.us</w:t>
      </w:r>
    </w:p>
    <w:p w:rsidR="00865D80" w:rsidRPr="00BE31C7" w:rsidRDefault="00865D80" w:rsidP="00865D80">
      <w:pPr>
        <w:tabs>
          <w:tab w:val="left" w:pos="2160"/>
          <w:tab w:val="left" w:pos="2280"/>
        </w:tabs>
        <w:rPr>
          <w:rFonts w:cs="Arial"/>
          <w:sz w:val="20"/>
          <w:szCs w:val="20"/>
        </w:rPr>
      </w:pPr>
    </w:p>
    <w:p w:rsidR="00865D80" w:rsidRPr="00BE31C7" w:rsidRDefault="00865D80" w:rsidP="00865D80">
      <w:pPr>
        <w:tabs>
          <w:tab w:val="left" w:pos="2160"/>
          <w:tab w:val="left" w:pos="2280"/>
        </w:tabs>
        <w:rPr>
          <w:rFonts w:cs="Arial"/>
          <w:b/>
          <w:smallCaps/>
          <w:sz w:val="20"/>
          <w:szCs w:val="20"/>
        </w:rPr>
      </w:pPr>
      <w:r>
        <w:rPr>
          <w:rFonts w:cs="Arial"/>
          <w:b/>
          <w:smallCaps/>
          <w:sz w:val="20"/>
          <w:szCs w:val="20"/>
        </w:rPr>
        <w:t>Attorney Examiner</w:t>
      </w:r>
    </w:p>
    <w:p w:rsidR="00865D80" w:rsidRDefault="00865D80" w:rsidP="00865D80"/>
    <w:p w:rsidR="00693780" w:rsidRDefault="00693780" w:rsidP="00865D80">
      <w:pPr>
        <w:spacing w:after="200" w:line="480" w:lineRule="auto"/>
        <w:rPr>
          <w:rFonts w:eastAsia="Calibri" w:cs="Arial"/>
        </w:rPr>
      </w:pPr>
    </w:p>
    <w:sectPr w:rsidR="00693780" w:rsidSect="00865D80">
      <w:headerReference w:type="default" r:id="rId37"/>
      <w:footerReference w:type="default" r:id="rId38"/>
      <w:headerReference w:type="first" r:id="rId39"/>
      <w:footerReference w:type="first" r:id="rId40"/>
      <w:type w:val="continuous"/>
      <w:pgSz w:w="12240" w:h="15840" w:code="1"/>
      <w:pgMar w:top="1152" w:right="1253" w:bottom="662" w:left="1571"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D5" w:rsidRDefault="00C65FD5" w:rsidP="004A6E10">
      <w:r>
        <w:separator/>
      </w:r>
    </w:p>
  </w:endnote>
  <w:endnote w:type="continuationSeparator" w:id="0">
    <w:p w:rsidR="00C65FD5" w:rsidRDefault="00C65FD5" w:rsidP="004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NewRoman,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30" w:rsidRDefault="00010A3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490A55" w:rsidRDefault="00152EEA">
    <w:pPr>
      <w:pStyle w:val="Footer"/>
    </w:pPr>
    <w:r w:rsidRPr="00152EEA">
      <w:rPr>
        <w:noProof/>
        <w:sz w:val="16"/>
      </w:rPr>
      <w:t>{C37511:5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F16EE5" w:rsidRDefault="00152EEA">
    <w:pPr>
      <w:pStyle w:val="Footer"/>
    </w:pPr>
    <w:r w:rsidRPr="00152EEA">
      <w:rPr>
        <w:noProof/>
        <w:sz w:val="16"/>
      </w:rPr>
      <w:t>{C37511:5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F16EE5" w:rsidRDefault="00152EEA">
    <w:pPr>
      <w:pStyle w:val="Footer"/>
    </w:pPr>
    <w:r w:rsidRPr="00152EEA">
      <w:rPr>
        <w:noProof/>
        <w:sz w:val="16"/>
      </w:rPr>
      <w:t>{C37511:5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F16EE5" w:rsidRDefault="00152EEA">
    <w:pPr>
      <w:pStyle w:val="Footer"/>
    </w:pPr>
    <w:r w:rsidRPr="00152EEA">
      <w:rPr>
        <w:noProof/>
        <w:sz w:val="16"/>
      </w:rPr>
      <w:t>{C37511:5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F16EE5" w:rsidRDefault="00C65FD5">
    <w:pPr>
      <w:pStyle w:val="Footer"/>
    </w:pPr>
    <w:r w:rsidRPr="00BA7AFE">
      <w:rPr>
        <w:noProof/>
        <w:sz w:val="16"/>
      </w:rPr>
      <w:t>{C33337: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A4168D" w:rsidRDefault="00152EEA" w:rsidP="00345A39">
    <w:pPr>
      <w:pStyle w:val="Footer"/>
    </w:pPr>
    <w:r w:rsidRPr="00152EEA">
      <w:rPr>
        <w:noProof/>
        <w:sz w:val="16"/>
      </w:rPr>
      <w:t>{C37511:5 }</w:t>
    </w:r>
    <w:sdt>
      <w:sdtPr>
        <w:id w:val="-2075649541"/>
        <w:docPartObj>
          <w:docPartGallery w:val="Page Numbers (Bottom of Page)"/>
          <w:docPartUnique/>
        </w:docPartObj>
      </w:sdtPr>
      <w:sdtEndPr>
        <w:rPr>
          <w:noProof/>
        </w:rPr>
      </w:sdtEndPr>
      <w:sdtContent>
        <w:r w:rsidR="00C65FD5">
          <w:tab/>
        </w:r>
      </w:sdtContent>
    </w:sdt>
  </w:p>
  <w:p w:rsidR="00C65FD5" w:rsidRPr="00A4168D" w:rsidRDefault="00C65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30" w:rsidRDefault="00010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490A55" w:rsidRDefault="00152EEA">
    <w:pPr>
      <w:pStyle w:val="Footer"/>
    </w:pPr>
    <w:r w:rsidRPr="00152EEA">
      <w:rPr>
        <w:noProof/>
        <w:sz w:val="16"/>
      </w:rPr>
      <w:t>{C37511:5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Pr="00C63F63" w:rsidRDefault="00152EEA">
    <w:pPr>
      <w:pStyle w:val="Footer"/>
      <w:jc w:val="center"/>
    </w:pPr>
    <w:r w:rsidRPr="00152EEA">
      <w:rPr>
        <w:noProof/>
        <w:sz w:val="16"/>
      </w:rPr>
      <w:t>{C37511:5 }</w:t>
    </w:r>
    <w:sdt>
      <w:sdtPr>
        <w:id w:val="-983463842"/>
        <w:docPartObj>
          <w:docPartGallery w:val="Page Numbers (Bottom of Page)"/>
          <w:docPartUnique/>
        </w:docPartObj>
      </w:sdtPr>
      <w:sdtEndPr>
        <w:rPr>
          <w:noProof/>
        </w:rPr>
      </w:sdtEndPr>
      <w:sdtContent>
        <w:r w:rsidR="00C65FD5" w:rsidRPr="00C63F63">
          <w:fldChar w:fldCharType="begin"/>
        </w:r>
        <w:r w:rsidR="00C65FD5" w:rsidRPr="00C63F63">
          <w:instrText xml:space="preserve"> PAGE   \* MERGEFORMAT </w:instrText>
        </w:r>
        <w:r w:rsidR="00C65FD5" w:rsidRPr="00C63F63">
          <w:fldChar w:fldCharType="separate"/>
        </w:r>
        <w:r w:rsidR="00C63F63" w:rsidRPr="00C63F63">
          <w:rPr>
            <w:noProof/>
          </w:rPr>
          <w:t>2</w:t>
        </w:r>
        <w:r w:rsidR="00C65FD5" w:rsidRPr="00C63F63">
          <w:rPr>
            <w:noProof/>
          </w:rPr>
          <w:fldChar w:fldCharType="end"/>
        </w:r>
      </w:sdtContent>
    </w:sdt>
  </w:p>
  <w:p w:rsidR="00C65FD5" w:rsidRPr="00C63F63" w:rsidRDefault="00C65F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63" w:rsidRPr="00C63F63" w:rsidRDefault="00152EEA" w:rsidP="00010A30">
    <w:pPr>
      <w:pStyle w:val="Footer"/>
    </w:pPr>
    <w:r w:rsidRPr="00152EEA">
      <w:rPr>
        <w:noProof/>
        <w:sz w:val="16"/>
      </w:rPr>
      <w:t>{C37511:5 }</w:t>
    </w:r>
    <w:sdt>
      <w:sdtPr>
        <w:id w:val="-1291971091"/>
        <w:docPartObj>
          <w:docPartGallery w:val="Page Numbers (Bottom of Page)"/>
          <w:docPartUnique/>
        </w:docPartObj>
      </w:sdtPr>
      <w:sdtEndPr>
        <w:rPr>
          <w:noProof/>
        </w:rPr>
      </w:sdtEndPr>
      <w:sdtContent>
        <w:r w:rsidR="00010A30">
          <w:tab/>
        </w:r>
        <w:r w:rsidR="00C63F63" w:rsidRPr="00C63F63">
          <w:fldChar w:fldCharType="begin"/>
        </w:r>
        <w:r w:rsidR="00C63F63" w:rsidRPr="00C63F63">
          <w:instrText xml:space="preserve"> PAGE   \* MERGEFORMAT </w:instrText>
        </w:r>
        <w:r w:rsidR="00C63F63" w:rsidRPr="00C63F63">
          <w:fldChar w:fldCharType="separate"/>
        </w:r>
        <w:r>
          <w:rPr>
            <w:noProof/>
          </w:rPr>
          <w:t>i</w:t>
        </w:r>
        <w:r w:rsidR="00C63F63" w:rsidRPr="00C63F63">
          <w:rPr>
            <w:noProof/>
          </w:rPr>
          <w:fldChar w:fldCharType="end"/>
        </w:r>
      </w:sdtContent>
    </w:sdt>
  </w:p>
  <w:p w:rsidR="00C65FD5" w:rsidRPr="00C63F63" w:rsidRDefault="00C65FD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63" w:rsidRPr="00C63F63" w:rsidRDefault="00152EEA" w:rsidP="00010A30">
    <w:pPr>
      <w:pStyle w:val="Footer"/>
    </w:pPr>
    <w:r w:rsidRPr="00152EEA">
      <w:rPr>
        <w:noProof/>
        <w:sz w:val="16"/>
      </w:rPr>
      <w:t>{C37511:5 }</w:t>
    </w:r>
    <w:sdt>
      <w:sdtPr>
        <w:id w:val="-1972272700"/>
        <w:docPartObj>
          <w:docPartGallery w:val="Page Numbers (Bottom of Page)"/>
          <w:docPartUnique/>
        </w:docPartObj>
      </w:sdtPr>
      <w:sdtEndPr>
        <w:rPr>
          <w:noProof/>
        </w:rPr>
      </w:sdtEndPr>
      <w:sdtContent>
        <w:r w:rsidR="00010A30">
          <w:tab/>
        </w:r>
        <w:r w:rsidR="00C63F63" w:rsidRPr="00C63F63">
          <w:fldChar w:fldCharType="begin"/>
        </w:r>
        <w:r w:rsidR="00C63F63" w:rsidRPr="00C63F63">
          <w:instrText xml:space="preserve"> PAGE   \* MERGEFORMAT </w:instrText>
        </w:r>
        <w:r w:rsidR="00C63F63" w:rsidRPr="00C63F63">
          <w:fldChar w:fldCharType="separate"/>
        </w:r>
        <w:r>
          <w:rPr>
            <w:noProof/>
          </w:rPr>
          <w:t>14</w:t>
        </w:r>
        <w:r w:rsidR="00C63F63" w:rsidRPr="00C63F63">
          <w:rPr>
            <w:noProof/>
          </w:rPr>
          <w:fldChar w:fldCharType="end"/>
        </w:r>
      </w:sdtContent>
    </w:sdt>
  </w:p>
  <w:p w:rsidR="00C63F63" w:rsidRPr="00C63F63" w:rsidRDefault="00C63F6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63" w:rsidRPr="00C63F63" w:rsidRDefault="00152EEA" w:rsidP="00010A30">
    <w:pPr>
      <w:pStyle w:val="Footer"/>
    </w:pPr>
    <w:r w:rsidRPr="00152EEA">
      <w:rPr>
        <w:noProof/>
        <w:sz w:val="16"/>
      </w:rPr>
      <w:t>{C37511:5 }</w:t>
    </w:r>
  </w:p>
  <w:p w:rsidR="00C63F63" w:rsidRPr="00C63F63" w:rsidRDefault="00C6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D5" w:rsidRDefault="00C65FD5" w:rsidP="004A6E10">
      <w:pPr>
        <w:rPr>
          <w:noProof/>
        </w:rPr>
      </w:pPr>
      <w:r>
        <w:rPr>
          <w:noProof/>
        </w:rPr>
        <w:separator/>
      </w:r>
    </w:p>
  </w:footnote>
  <w:footnote w:type="continuationSeparator" w:id="0">
    <w:p w:rsidR="00C65FD5" w:rsidRDefault="00C65FD5" w:rsidP="004A6E10">
      <w:r>
        <w:continuationSeparator/>
      </w:r>
    </w:p>
  </w:footnote>
  <w:footnote w:id="1">
    <w:p w:rsidR="00C65FD5" w:rsidRPr="000C41B4" w:rsidRDefault="00C65FD5" w:rsidP="002957E3">
      <w:pPr>
        <w:pStyle w:val="NormalWeb"/>
        <w:jc w:val="both"/>
        <w:rPr>
          <w:rFonts w:ascii="Arial" w:hAnsi="Arial" w:cs="Arial"/>
          <w:sz w:val="20"/>
          <w:szCs w:val="20"/>
        </w:rPr>
      </w:pPr>
      <w:r w:rsidRPr="004B49FE">
        <w:rPr>
          <w:rStyle w:val="FootnoteReference"/>
          <w:rFonts w:ascii="Arial" w:hAnsi="Arial" w:cs="Arial"/>
          <w:sz w:val="20"/>
          <w:szCs w:val="20"/>
        </w:rPr>
        <w:footnoteRef/>
      </w:r>
      <w:r>
        <w:t xml:space="preserve"> </w:t>
      </w:r>
      <w:r w:rsidRPr="000C41B4">
        <w:rPr>
          <w:rFonts w:ascii="Arial" w:hAnsi="Arial" w:cs="Arial"/>
          <w:i/>
          <w:sz w:val="20"/>
          <w:szCs w:val="20"/>
        </w:rPr>
        <w:t>Consumers' Counsel v. Pub. Util. Comm</w:t>
      </w:r>
      <w:r w:rsidRPr="000C41B4">
        <w:rPr>
          <w:rFonts w:ascii="Arial" w:hAnsi="Arial" w:cs="Arial"/>
          <w:sz w:val="20"/>
          <w:szCs w:val="20"/>
        </w:rPr>
        <w:t xml:space="preserve">., 64 Ohio St.3d 123, 126 (1992).  </w:t>
      </w:r>
      <w:r w:rsidRPr="000C41B4">
        <w:rPr>
          <w:rFonts w:ascii="Arial" w:hAnsi="Arial" w:cs="Arial"/>
          <w:i/>
          <w:sz w:val="20"/>
          <w:szCs w:val="20"/>
        </w:rPr>
        <w:t>See, also, AK Steel Corp. v. Pub. Util. Comm</w:t>
      </w:r>
      <w:r w:rsidRPr="000C41B4">
        <w:rPr>
          <w:rFonts w:ascii="Arial" w:hAnsi="Arial" w:cs="Arial"/>
          <w:sz w:val="20"/>
          <w:szCs w:val="20"/>
        </w:rPr>
        <w:t xml:space="preserve">., 95 Ohio St.3d 81, 82-83 (2002). </w:t>
      </w:r>
    </w:p>
    <w:p w:rsidR="00C65FD5" w:rsidRDefault="00C65FD5">
      <w:pPr>
        <w:pStyle w:val="FootnoteText"/>
      </w:pPr>
    </w:p>
  </w:footnote>
  <w:footnote w:id="2">
    <w:p w:rsidR="00C65FD5" w:rsidRDefault="00C65FD5" w:rsidP="00EA6E6E">
      <w:pPr>
        <w:pStyle w:val="FootnoteText"/>
        <w:jc w:val="both"/>
        <w:rPr>
          <w:rStyle w:val="ft"/>
          <w:rFonts w:cs="Arial"/>
        </w:rPr>
      </w:pPr>
      <w:r w:rsidRPr="00597797">
        <w:rPr>
          <w:rStyle w:val="FootnoteReference"/>
          <w:rFonts w:cs="Arial"/>
        </w:rPr>
        <w:footnoteRef/>
      </w:r>
      <w:r w:rsidRPr="00597797">
        <w:rPr>
          <w:rFonts w:cs="Arial"/>
        </w:rPr>
        <w:t xml:space="preserve"> </w:t>
      </w:r>
      <w:r w:rsidRPr="00597797">
        <w:rPr>
          <w:rStyle w:val="ft"/>
          <w:rFonts w:cs="Arial"/>
          <w:bCs/>
          <w:i/>
          <w:color w:val="000000"/>
        </w:rPr>
        <w:t>Monongahela Power Co</w:t>
      </w:r>
      <w:r w:rsidRPr="00597797">
        <w:rPr>
          <w:rStyle w:val="ft"/>
          <w:rFonts w:cs="Arial"/>
          <w:i/>
        </w:rPr>
        <w:t xml:space="preserve">. </w:t>
      </w:r>
      <w:r w:rsidRPr="00597797">
        <w:rPr>
          <w:rStyle w:val="ft"/>
          <w:rFonts w:cs="Arial"/>
          <w:bCs/>
          <w:i/>
          <w:color w:val="000000"/>
        </w:rPr>
        <w:t>v</w:t>
      </w:r>
      <w:r w:rsidRPr="00597797">
        <w:rPr>
          <w:rStyle w:val="ft"/>
          <w:rFonts w:cs="Arial"/>
          <w:i/>
        </w:rPr>
        <w:t xml:space="preserve">. </w:t>
      </w:r>
      <w:r w:rsidRPr="00597797">
        <w:rPr>
          <w:rStyle w:val="ft"/>
          <w:rFonts w:cs="Arial"/>
          <w:bCs/>
          <w:i/>
          <w:color w:val="000000"/>
        </w:rPr>
        <w:t>Pub</w:t>
      </w:r>
      <w:r w:rsidRPr="00597797">
        <w:rPr>
          <w:rStyle w:val="ft"/>
          <w:rFonts w:cs="Arial"/>
          <w:i/>
        </w:rPr>
        <w:t xml:space="preserve">. </w:t>
      </w:r>
      <w:r w:rsidRPr="00597797">
        <w:rPr>
          <w:rStyle w:val="ft"/>
          <w:rFonts w:cs="Arial"/>
          <w:bCs/>
          <w:i/>
          <w:color w:val="000000"/>
        </w:rPr>
        <w:t>Util</w:t>
      </w:r>
      <w:r w:rsidRPr="00597797">
        <w:rPr>
          <w:rStyle w:val="ft"/>
          <w:rFonts w:cs="Arial"/>
          <w:i/>
        </w:rPr>
        <w:t xml:space="preserve">. </w:t>
      </w:r>
      <w:r w:rsidRPr="00597797">
        <w:rPr>
          <w:rStyle w:val="ft"/>
          <w:rFonts w:cs="Arial"/>
          <w:bCs/>
          <w:i/>
          <w:color w:val="000000"/>
        </w:rPr>
        <w:t>Comm</w:t>
      </w:r>
      <w:r w:rsidRPr="00597797">
        <w:rPr>
          <w:rStyle w:val="ft"/>
          <w:rFonts w:cs="Arial"/>
        </w:rPr>
        <w:t xml:space="preserve">., </w:t>
      </w:r>
      <w:r w:rsidRPr="00597797">
        <w:rPr>
          <w:rStyle w:val="ft"/>
          <w:rFonts w:cs="Arial"/>
          <w:bCs/>
          <w:color w:val="000000"/>
        </w:rPr>
        <w:t xml:space="preserve">104 Ohio St.3d 571, 2004-Ohio-6896 </w:t>
      </w:r>
      <w:r>
        <w:rPr>
          <w:rStyle w:val="ft"/>
          <w:rFonts w:cs="Arial"/>
        </w:rPr>
        <w:t>at ¶</w:t>
      </w:r>
      <w:r w:rsidRPr="00597797">
        <w:rPr>
          <w:rStyle w:val="ft"/>
          <w:rFonts w:cs="Arial"/>
        </w:rPr>
        <w:t>26 (2004)</w:t>
      </w:r>
      <w:r>
        <w:rPr>
          <w:rStyle w:val="ft"/>
          <w:rFonts w:cs="Arial"/>
        </w:rPr>
        <w:t>.</w:t>
      </w:r>
    </w:p>
    <w:p w:rsidR="00C65FD5" w:rsidRPr="00597797" w:rsidRDefault="00C65FD5" w:rsidP="00EA6E6E">
      <w:pPr>
        <w:pStyle w:val="FootnoteText"/>
        <w:jc w:val="both"/>
        <w:rPr>
          <w:rFonts w:cs="Arial"/>
        </w:rPr>
      </w:pPr>
    </w:p>
  </w:footnote>
  <w:footnote w:id="3">
    <w:p w:rsidR="00C65FD5" w:rsidRDefault="00C65FD5" w:rsidP="00EA6E6E">
      <w:pPr>
        <w:autoSpaceDE w:val="0"/>
        <w:autoSpaceDN w:val="0"/>
        <w:adjustRightInd w:val="0"/>
        <w:jc w:val="both"/>
        <w:rPr>
          <w:rFonts w:cs="Arial"/>
          <w:sz w:val="20"/>
          <w:szCs w:val="20"/>
        </w:rPr>
      </w:pPr>
      <w:r w:rsidRPr="00597797">
        <w:rPr>
          <w:rStyle w:val="FootnoteReference"/>
          <w:rFonts w:cs="Arial"/>
          <w:sz w:val="20"/>
          <w:szCs w:val="20"/>
        </w:rPr>
        <w:footnoteRef/>
      </w:r>
      <w:r w:rsidRPr="00597797">
        <w:rPr>
          <w:rFonts w:cs="Arial"/>
          <w:sz w:val="20"/>
          <w:szCs w:val="20"/>
        </w:rPr>
        <w:t xml:space="preserve"> </w:t>
      </w:r>
      <w:r w:rsidRPr="00597797">
        <w:rPr>
          <w:rFonts w:cs="Arial"/>
          <w:i/>
          <w:iCs/>
          <w:sz w:val="20"/>
          <w:szCs w:val="20"/>
        </w:rPr>
        <w:t xml:space="preserve">In re Columbus S. Power Co., </w:t>
      </w:r>
      <w:r>
        <w:rPr>
          <w:rFonts w:cs="Arial"/>
          <w:sz w:val="20"/>
          <w:szCs w:val="20"/>
        </w:rPr>
        <w:t>129</w:t>
      </w:r>
      <w:r w:rsidRPr="00597797">
        <w:rPr>
          <w:rFonts w:cs="Arial"/>
          <w:sz w:val="20"/>
          <w:szCs w:val="20"/>
        </w:rPr>
        <w:t xml:space="preserve"> Ohio</w:t>
      </w:r>
      <w:r>
        <w:rPr>
          <w:rFonts w:cs="Arial"/>
          <w:sz w:val="20"/>
          <w:szCs w:val="20"/>
        </w:rPr>
        <w:t xml:space="preserve"> St. 3d 46</w:t>
      </w:r>
      <w:r w:rsidRPr="00597797">
        <w:rPr>
          <w:rFonts w:cs="Arial"/>
          <w:sz w:val="20"/>
          <w:szCs w:val="20"/>
        </w:rPr>
        <w:t xml:space="preserve">, </w:t>
      </w:r>
      <w:r>
        <w:rPr>
          <w:rStyle w:val="ft"/>
          <w:rFonts w:cs="Arial"/>
          <w:sz w:val="20"/>
          <w:szCs w:val="20"/>
        </w:rPr>
        <w:t>49-</w:t>
      </w:r>
      <w:r>
        <w:rPr>
          <w:rFonts w:cs="Arial"/>
          <w:sz w:val="20"/>
          <w:szCs w:val="20"/>
        </w:rPr>
        <w:t>50</w:t>
      </w:r>
      <w:r w:rsidRPr="00597797">
        <w:rPr>
          <w:rFonts w:cs="Arial"/>
          <w:sz w:val="20"/>
          <w:szCs w:val="20"/>
        </w:rPr>
        <w:t xml:space="preserve"> (Ohio 2011).</w:t>
      </w:r>
    </w:p>
    <w:p w:rsidR="00C65FD5" w:rsidRPr="00597797" w:rsidRDefault="00C65FD5" w:rsidP="00EA6E6E">
      <w:pPr>
        <w:autoSpaceDE w:val="0"/>
        <w:autoSpaceDN w:val="0"/>
        <w:adjustRightInd w:val="0"/>
        <w:jc w:val="both"/>
        <w:rPr>
          <w:rFonts w:ascii="TimesNewRoman,Italic" w:hAnsi="TimesNewRoman,Italic" w:cs="TimesNewRoman,Italic"/>
          <w:i/>
          <w:iCs/>
        </w:rPr>
      </w:pPr>
    </w:p>
  </w:footnote>
  <w:footnote w:id="4">
    <w:p w:rsidR="00C65FD5" w:rsidRDefault="00C65FD5" w:rsidP="00EA6E6E">
      <w:pPr>
        <w:pStyle w:val="FootnoteText"/>
        <w:jc w:val="both"/>
        <w:rPr>
          <w:i/>
        </w:rPr>
      </w:pPr>
      <w:r>
        <w:rPr>
          <w:rStyle w:val="FootnoteReference"/>
        </w:rPr>
        <w:footnoteRef/>
      </w:r>
      <w:r>
        <w:t xml:space="preserve"> </w:t>
      </w:r>
      <w:r>
        <w:rPr>
          <w:i/>
        </w:rPr>
        <w:t>Id.</w:t>
      </w:r>
    </w:p>
    <w:p w:rsidR="00C65FD5" w:rsidRPr="00503E46" w:rsidRDefault="00C65FD5" w:rsidP="00EA6E6E">
      <w:pPr>
        <w:pStyle w:val="FootnoteText"/>
        <w:jc w:val="both"/>
        <w:rPr>
          <w:i/>
        </w:rPr>
      </w:pPr>
    </w:p>
  </w:footnote>
  <w:footnote w:id="5">
    <w:p w:rsidR="00C65FD5" w:rsidRDefault="00C65FD5" w:rsidP="00EA6E6E">
      <w:pPr>
        <w:pStyle w:val="FootnoteText"/>
        <w:jc w:val="both"/>
      </w:pPr>
      <w:r>
        <w:rPr>
          <w:rStyle w:val="FootnoteReference"/>
        </w:rPr>
        <w:footnoteRef/>
      </w:r>
      <w:r>
        <w:t xml:space="preserve"> OP states, “the Stipulation itself provides an agreement among the Stipulating Parties that the standard is met.” OP Brief at 7.  OP states, “The Stipulation, as a package, benefits ratepayers and the public interest.  Again this prong of the three-part test is a stipulated matter . . . .” OP Brief at 8.   OP also states, “The Stipulation, as a package, does not violate any important regulatory principle or practice.  Again, this last prong of the three-part test is a stipulated matter . . . .” OP Brief at 10.  Staff Brief at 4.</w:t>
      </w:r>
    </w:p>
    <w:p w:rsidR="00C65FD5" w:rsidRDefault="00C65FD5" w:rsidP="008127D9">
      <w:pPr>
        <w:pStyle w:val="FootnoteText"/>
        <w:jc w:val="both"/>
      </w:pPr>
    </w:p>
  </w:footnote>
  <w:footnote w:id="6">
    <w:p w:rsidR="00C65FD5" w:rsidRPr="00907680" w:rsidRDefault="00C65FD5" w:rsidP="00EA6E6E">
      <w:pPr>
        <w:pStyle w:val="FootnoteText"/>
        <w:jc w:val="both"/>
        <w:rPr>
          <w:rFonts w:cs="Arial"/>
        </w:rPr>
      </w:pPr>
      <w:r w:rsidRPr="00907680">
        <w:rPr>
          <w:rStyle w:val="FootnoteReference"/>
          <w:rFonts w:cs="Arial"/>
        </w:rPr>
        <w:footnoteRef/>
      </w:r>
      <w:r w:rsidRPr="00907680">
        <w:rPr>
          <w:rFonts w:cs="Arial"/>
        </w:rPr>
        <w:t xml:space="preserve"> Section 4935.04(E)(1), Revised Code.</w:t>
      </w:r>
    </w:p>
    <w:p w:rsidR="00C65FD5" w:rsidRPr="00C55E94" w:rsidRDefault="00C65FD5" w:rsidP="00025A05">
      <w:pPr>
        <w:pStyle w:val="FootnoteText"/>
        <w:jc w:val="both"/>
        <w:rPr>
          <w:rFonts w:cs="Arial"/>
        </w:rPr>
      </w:pPr>
    </w:p>
  </w:footnote>
  <w:footnote w:id="7">
    <w:p w:rsidR="00C65FD5" w:rsidRDefault="00C65FD5" w:rsidP="008127D9">
      <w:pPr>
        <w:pStyle w:val="FootnoteText"/>
        <w:jc w:val="both"/>
      </w:pPr>
      <w:r>
        <w:rPr>
          <w:rStyle w:val="FootnoteReference"/>
        </w:rPr>
        <w:footnoteRef/>
      </w:r>
      <w:r>
        <w:t xml:space="preserve"> Neither OP’s nor Staff’s Briefs address this legal flaw in their position.  </w:t>
      </w:r>
      <w:r>
        <w:rPr>
          <w:i/>
        </w:rPr>
        <w:t xml:space="preserve">See </w:t>
      </w:r>
      <w:r>
        <w:t xml:space="preserve">Sections 4928.64(E) and 4928.143(B), Revised Code. </w:t>
      </w:r>
    </w:p>
  </w:footnote>
  <w:footnote w:id="8">
    <w:p w:rsidR="00C65FD5" w:rsidRDefault="00C65FD5" w:rsidP="00D16327">
      <w:pPr>
        <w:pStyle w:val="FootnoteText"/>
      </w:pPr>
      <w:r>
        <w:rPr>
          <w:rStyle w:val="FootnoteReference"/>
        </w:rPr>
        <w:footnoteRef/>
      </w:r>
      <w:r>
        <w:t xml:space="preserve"> Staff Brief at 3 (emphasis added).</w:t>
      </w:r>
    </w:p>
    <w:p w:rsidR="00C65FD5" w:rsidRDefault="00C65FD5" w:rsidP="00D16327">
      <w:pPr>
        <w:pStyle w:val="FootnoteText"/>
      </w:pPr>
    </w:p>
  </w:footnote>
  <w:footnote w:id="9">
    <w:p w:rsidR="00C65FD5" w:rsidRDefault="00C65FD5">
      <w:pPr>
        <w:pStyle w:val="FootnoteText"/>
        <w:rPr>
          <w:i/>
        </w:rPr>
      </w:pPr>
      <w:r>
        <w:rPr>
          <w:rStyle w:val="FootnoteReference"/>
        </w:rPr>
        <w:footnoteRef/>
      </w:r>
      <w:r>
        <w:t xml:space="preserve"> </w:t>
      </w:r>
      <w:r>
        <w:rPr>
          <w:i/>
        </w:rPr>
        <w:t>Id.</w:t>
      </w:r>
    </w:p>
    <w:p w:rsidR="00C65FD5" w:rsidRPr="00A62624" w:rsidRDefault="00C65FD5">
      <w:pPr>
        <w:pStyle w:val="FootnoteText"/>
        <w:rPr>
          <w:i/>
        </w:rPr>
      </w:pPr>
    </w:p>
  </w:footnote>
  <w:footnote w:id="10">
    <w:p w:rsidR="00C65FD5" w:rsidRDefault="00C65FD5">
      <w:pPr>
        <w:pStyle w:val="FootnoteText"/>
      </w:pPr>
      <w:r>
        <w:rPr>
          <w:rStyle w:val="FootnoteReference"/>
        </w:rPr>
        <w:footnoteRef/>
      </w:r>
      <w:r>
        <w:t xml:space="preserve"> Staff Brief at 3 (footnote omitted).</w:t>
      </w:r>
    </w:p>
    <w:p w:rsidR="00C65FD5" w:rsidRDefault="00C65FD5">
      <w:pPr>
        <w:pStyle w:val="FootnoteText"/>
      </w:pPr>
    </w:p>
  </w:footnote>
  <w:footnote w:id="11">
    <w:p w:rsidR="00C65FD5" w:rsidRDefault="00C65FD5">
      <w:pPr>
        <w:pStyle w:val="FootnoteText"/>
      </w:pPr>
      <w:r>
        <w:rPr>
          <w:rStyle w:val="FootnoteReference"/>
        </w:rPr>
        <w:footnoteRef/>
      </w:r>
      <w:r>
        <w:t xml:space="preserve"> Section 4928.143(B)(2)(c), Revised Code (emphasis added).</w:t>
      </w:r>
    </w:p>
  </w:footnote>
  <w:footnote w:id="12">
    <w:p w:rsidR="00C65FD5" w:rsidRDefault="00C65FD5">
      <w:pPr>
        <w:pStyle w:val="FootnoteText"/>
      </w:pPr>
      <w:r>
        <w:rPr>
          <w:rStyle w:val="FootnoteReference"/>
        </w:rPr>
        <w:footnoteRef/>
      </w:r>
      <w:r>
        <w:t xml:space="preserve"> Sectoion 4935.04(F), Revised Code.</w:t>
      </w:r>
    </w:p>
    <w:p w:rsidR="00C65FD5" w:rsidRDefault="00C65FD5">
      <w:pPr>
        <w:pStyle w:val="FootnoteText"/>
      </w:pPr>
    </w:p>
  </w:footnote>
  <w:footnote w:id="13">
    <w:p w:rsidR="00C65FD5" w:rsidRDefault="00C65FD5">
      <w:pPr>
        <w:pStyle w:val="FootnoteText"/>
      </w:pPr>
      <w:r>
        <w:rPr>
          <w:rStyle w:val="FootnoteReference"/>
        </w:rPr>
        <w:footnoteRef/>
      </w:r>
      <w:r>
        <w:t xml:space="preserve"> OP Brief at 10 (emphasis added).</w:t>
      </w:r>
    </w:p>
    <w:p w:rsidR="00C65FD5" w:rsidRDefault="00C65FD5">
      <w:pPr>
        <w:pStyle w:val="FootnoteText"/>
      </w:pPr>
    </w:p>
  </w:footnote>
  <w:footnote w:id="14">
    <w:p w:rsidR="00C65FD5" w:rsidRDefault="00C65FD5">
      <w:pPr>
        <w:pStyle w:val="FootnoteText"/>
      </w:pPr>
      <w:r>
        <w:rPr>
          <w:rStyle w:val="FootnoteReference"/>
        </w:rPr>
        <w:footnoteRef/>
      </w:r>
      <w:r>
        <w:t xml:space="preserve"> Section 4935.04(A)(1), Revised Code.</w:t>
      </w:r>
    </w:p>
  </w:footnote>
  <w:footnote w:id="15">
    <w:p w:rsidR="00C65FD5" w:rsidRDefault="00C65FD5">
      <w:pPr>
        <w:pStyle w:val="FootnoteText"/>
      </w:pPr>
      <w:r>
        <w:rPr>
          <w:rStyle w:val="FootnoteReference"/>
        </w:rPr>
        <w:footnoteRef/>
      </w:r>
      <w:r>
        <w:t xml:space="preserve"> OP Brief at 10.</w:t>
      </w:r>
    </w:p>
    <w:p w:rsidR="00C65FD5" w:rsidRDefault="00C65FD5">
      <w:pPr>
        <w:pStyle w:val="FootnoteText"/>
      </w:pPr>
    </w:p>
  </w:footnote>
  <w:footnote w:id="16">
    <w:p w:rsidR="00C65FD5" w:rsidRDefault="00C65FD5">
      <w:pPr>
        <w:pStyle w:val="FootnoteText"/>
      </w:pPr>
      <w:r>
        <w:rPr>
          <w:rStyle w:val="FootnoteReference"/>
        </w:rPr>
        <w:footnoteRef/>
      </w:r>
      <w:r>
        <w:t xml:space="preserve"> OP Brief at 11.</w:t>
      </w:r>
    </w:p>
    <w:p w:rsidR="00C65FD5" w:rsidRDefault="00C65FD5">
      <w:pPr>
        <w:pStyle w:val="FootnoteText"/>
      </w:pPr>
    </w:p>
  </w:footnote>
  <w:footnote w:id="17">
    <w:p w:rsidR="00C65FD5" w:rsidRDefault="00C65FD5">
      <w:pPr>
        <w:pStyle w:val="FootnoteText"/>
      </w:pPr>
      <w:r>
        <w:rPr>
          <w:rStyle w:val="FootnoteReference"/>
        </w:rPr>
        <w:footnoteRef/>
      </w:r>
      <w:r>
        <w:t xml:space="preserve"> OP Brief at 10; Section 4935.04(E), Revised Code.</w:t>
      </w:r>
    </w:p>
    <w:p w:rsidR="00C65FD5" w:rsidRDefault="00C65FD5">
      <w:pPr>
        <w:pStyle w:val="FootnoteText"/>
      </w:pPr>
    </w:p>
  </w:footnote>
  <w:footnote w:id="18">
    <w:p w:rsidR="00C65FD5" w:rsidRDefault="00C65FD5">
      <w:pPr>
        <w:pStyle w:val="FootnoteText"/>
      </w:pPr>
      <w:r>
        <w:rPr>
          <w:rStyle w:val="FootnoteReference"/>
        </w:rPr>
        <w:footnoteRef/>
      </w:r>
      <w:r>
        <w:t xml:space="preserve"> OP Brief at 11; Section 4935.04(F), Revised Code.</w:t>
      </w:r>
    </w:p>
    <w:p w:rsidR="00C65FD5" w:rsidRDefault="00C65FD5">
      <w:pPr>
        <w:pStyle w:val="FootnoteText"/>
      </w:pPr>
    </w:p>
  </w:footnote>
  <w:footnote w:id="19">
    <w:p w:rsidR="00C65FD5" w:rsidRDefault="00C65FD5">
      <w:pPr>
        <w:pStyle w:val="FootnoteText"/>
      </w:pPr>
      <w:r>
        <w:rPr>
          <w:rStyle w:val="FootnoteReference"/>
        </w:rPr>
        <w:footnoteRef/>
      </w:r>
      <w:r>
        <w:t xml:space="preserve"> OP Brief at 11. </w:t>
      </w:r>
    </w:p>
    <w:p w:rsidR="00C65FD5" w:rsidRDefault="00C65FD5">
      <w:pPr>
        <w:pStyle w:val="FootnoteText"/>
      </w:pPr>
    </w:p>
  </w:footnote>
  <w:footnote w:id="20">
    <w:p w:rsidR="00C65FD5" w:rsidRDefault="00C65FD5" w:rsidP="004B49FE">
      <w:pPr>
        <w:pStyle w:val="FootnoteText"/>
        <w:jc w:val="both"/>
      </w:pPr>
      <w:r w:rsidRPr="00B132EB">
        <w:rPr>
          <w:rStyle w:val="FootnoteReference"/>
        </w:rPr>
        <w:footnoteRef/>
      </w:r>
      <w:r>
        <w:t xml:space="preserve"> </w:t>
      </w:r>
      <w:r>
        <w:rPr>
          <w:i/>
        </w:rPr>
        <w:t>See</w:t>
      </w:r>
      <w:r w:rsidRPr="00B132EB">
        <w:t xml:space="preserve"> </w:t>
      </w:r>
      <w:r w:rsidRPr="00B132EB">
        <w:rPr>
          <w:i/>
        </w:rPr>
        <w:t>Youngstown Sheet &amp; Tube Company v. Lindley</w:t>
      </w:r>
      <w:r w:rsidRPr="00B132EB">
        <w:t xml:space="preserve">, </w:t>
      </w:r>
      <w:r w:rsidRPr="00B132EB">
        <w:rPr>
          <w:rFonts w:cs="Arial"/>
          <w:bCs/>
        </w:rPr>
        <w:t>38 Ohio St. 3d 232</w:t>
      </w:r>
      <w:r>
        <w:rPr>
          <w:rFonts w:cs="Arial"/>
          <w:bCs/>
        </w:rPr>
        <w:t>, 234</w:t>
      </w:r>
      <w:r w:rsidRPr="00B132EB">
        <w:rPr>
          <w:rFonts w:cs="Arial"/>
          <w:bCs/>
        </w:rPr>
        <w:t xml:space="preserve"> (1988)</w:t>
      </w:r>
      <w:r>
        <w:t xml:space="preserve">. </w:t>
      </w:r>
    </w:p>
    <w:p w:rsidR="00C65FD5" w:rsidRDefault="00C65FD5" w:rsidP="004B49FE">
      <w:pPr>
        <w:pStyle w:val="FootnoteText"/>
        <w:jc w:val="both"/>
      </w:pPr>
    </w:p>
  </w:footnote>
  <w:footnote w:id="21">
    <w:p w:rsidR="00C65FD5" w:rsidRDefault="00C65FD5" w:rsidP="004B49FE">
      <w:pPr>
        <w:pStyle w:val="FootnoteText"/>
        <w:jc w:val="both"/>
      </w:pPr>
      <w:r>
        <w:rPr>
          <w:rStyle w:val="FootnoteReference"/>
        </w:rPr>
        <w:footnoteRef/>
      </w:r>
      <w:r>
        <w:t xml:space="preserve"> The Commission should reject OP’s claim that the portion of the Stipulation that cites to these rules is unopposed and should be approved.  FES cross-examined Mr. Castle to determine whether the LTFR Supplement complies with the Commission’s rules, and he admitted that the LTFR Supplement falls short in several areas.  Tr. Vol. I at 32-34. </w:t>
      </w:r>
    </w:p>
    <w:p w:rsidR="00C65FD5" w:rsidRDefault="00C65FD5" w:rsidP="004B49FE">
      <w:pPr>
        <w:pStyle w:val="FootnoteText"/>
        <w:jc w:val="both"/>
      </w:pPr>
      <w:r>
        <w:t xml:space="preserve"> </w:t>
      </w:r>
    </w:p>
  </w:footnote>
  <w:footnote w:id="22">
    <w:p w:rsidR="00C65FD5" w:rsidRDefault="00C65FD5" w:rsidP="004B49FE">
      <w:pPr>
        <w:pStyle w:val="FootnoteText"/>
        <w:jc w:val="both"/>
      </w:pPr>
      <w:r>
        <w:rPr>
          <w:rStyle w:val="FootnoteReference"/>
        </w:rPr>
        <w:footnoteRef/>
      </w:r>
      <w:r>
        <w:t xml:space="preserve"> OP Brief at 13.  </w:t>
      </w:r>
    </w:p>
    <w:p w:rsidR="00C65FD5" w:rsidRDefault="00C65FD5" w:rsidP="004B49FE">
      <w:pPr>
        <w:pStyle w:val="FootnoteText"/>
        <w:jc w:val="both"/>
      </w:pPr>
    </w:p>
  </w:footnote>
  <w:footnote w:id="23">
    <w:p w:rsidR="00C65FD5" w:rsidRPr="00300756" w:rsidRDefault="00C65FD5">
      <w:pPr>
        <w:pStyle w:val="FootnoteText"/>
        <w:jc w:val="both"/>
        <w:rPr>
          <w:rFonts w:eastAsia="Times New Roman" w:cs="Arial"/>
        </w:rPr>
      </w:pPr>
      <w:r>
        <w:rPr>
          <w:rStyle w:val="FootnoteReference"/>
        </w:rPr>
        <w:footnoteRef/>
      </w:r>
      <w:r>
        <w:t xml:space="preserve"> </w:t>
      </w:r>
      <w:r w:rsidRPr="00300756">
        <w:rPr>
          <w:rFonts w:eastAsia="Times New Roman" w:cs="Arial"/>
          <w:i/>
        </w:rPr>
        <w:t>In the Matter of the Long Term Forecast Report of Dayton Power and Light Company and Related Matters</w:t>
      </w:r>
      <w:r w:rsidRPr="00300756">
        <w:rPr>
          <w:rFonts w:eastAsia="Times New Roman" w:cs="Arial"/>
        </w:rPr>
        <w:t>, Case No. 10-505-EL-FOR, Sti</w:t>
      </w:r>
      <w:r>
        <w:rPr>
          <w:rFonts w:eastAsia="Times New Roman" w:cs="Arial"/>
        </w:rPr>
        <w:t>pulation and Recommendation</w:t>
      </w:r>
      <w:r w:rsidRPr="00300756">
        <w:rPr>
          <w:rFonts w:eastAsia="Times New Roman" w:cs="Arial"/>
        </w:rPr>
        <w:t xml:space="preserve"> (Jan. 14, 2011) (hereinafter “</w:t>
      </w:r>
      <w:r w:rsidRPr="00300756">
        <w:rPr>
          <w:rFonts w:eastAsia="Times New Roman" w:cs="Arial"/>
          <w:i/>
        </w:rPr>
        <w:t>DP&amp;L Stipulation</w:t>
      </w:r>
      <w:r w:rsidRPr="00300756">
        <w:rPr>
          <w:rFonts w:eastAsia="Times New Roman" w:cs="Arial"/>
        </w:rPr>
        <w:t>”).</w:t>
      </w:r>
    </w:p>
    <w:p w:rsidR="00C65FD5" w:rsidRDefault="00C65FD5" w:rsidP="004B49FE">
      <w:pPr>
        <w:pStyle w:val="FootnoteText"/>
        <w:jc w:val="both"/>
      </w:pPr>
    </w:p>
  </w:footnote>
  <w:footnote w:id="24">
    <w:p w:rsidR="00C65FD5" w:rsidRDefault="00C65FD5" w:rsidP="004B49FE">
      <w:pPr>
        <w:pStyle w:val="FootnoteText"/>
        <w:jc w:val="both"/>
      </w:pPr>
      <w:r>
        <w:rPr>
          <w:rStyle w:val="FootnoteReference"/>
        </w:rPr>
        <w:footnoteRef/>
      </w:r>
      <w:r>
        <w:t xml:space="preserve"> </w:t>
      </w:r>
      <w:r>
        <w:rPr>
          <w:i/>
        </w:rPr>
        <w:t xml:space="preserve">Id. </w:t>
      </w:r>
      <w:r>
        <w:t xml:space="preserve">at 2. </w:t>
      </w:r>
    </w:p>
    <w:p w:rsidR="00C65FD5" w:rsidRPr="002B3885" w:rsidRDefault="00C65FD5" w:rsidP="004B49FE">
      <w:pPr>
        <w:pStyle w:val="FootnoteText"/>
        <w:jc w:val="both"/>
        <w:rPr>
          <w:u w:val="single"/>
        </w:rPr>
      </w:pPr>
    </w:p>
  </w:footnote>
  <w:footnote w:id="25">
    <w:p w:rsidR="00C65FD5" w:rsidRDefault="00C65FD5" w:rsidP="004B49FE">
      <w:pPr>
        <w:pStyle w:val="FootnoteText"/>
        <w:jc w:val="both"/>
        <w:rPr>
          <w:rFonts w:eastAsia="Calibri" w:cs="Arial"/>
        </w:rPr>
      </w:pPr>
      <w:r>
        <w:rPr>
          <w:rStyle w:val="FootnoteReference"/>
        </w:rPr>
        <w:footnoteRef/>
      </w:r>
      <w:r>
        <w:t xml:space="preserve"> </w:t>
      </w:r>
      <w:r>
        <w:rPr>
          <w:rFonts w:eastAsia="Calibri" w:cs="Arial"/>
        </w:rPr>
        <w:t xml:space="preserve">Unless the Commission sends a clear signal that this practice is not acceptable, parties will be forced to resolve all contested legal issues through protracted litigation.  </w:t>
      </w:r>
    </w:p>
    <w:p w:rsidR="00C65FD5" w:rsidRDefault="00C65FD5" w:rsidP="004B49FE">
      <w:pPr>
        <w:pStyle w:val="FootnoteText"/>
        <w:jc w:val="both"/>
      </w:pPr>
    </w:p>
  </w:footnote>
  <w:footnote w:id="26">
    <w:p w:rsidR="00C65FD5" w:rsidRDefault="00C65FD5">
      <w:pPr>
        <w:pStyle w:val="FootnoteText"/>
      </w:pPr>
      <w:r>
        <w:rPr>
          <w:rStyle w:val="FootnoteReference"/>
        </w:rPr>
        <w:footnoteRef/>
      </w:r>
      <w:r>
        <w:t xml:space="preserve"> Section 4928.143(B)(2)(b) and (c); </w:t>
      </w:r>
      <w:r>
        <w:rPr>
          <w:i/>
        </w:rPr>
        <w:t xml:space="preserve">see </w:t>
      </w:r>
      <w:r>
        <w:t xml:space="preserve">4935.04, Revise Code. </w:t>
      </w:r>
    </w:p>
    <w:p w:rsidR="00C65FD5" w:rsidRPr="00AA40B5" w:rsidRDefault="00C65FD5">
      <w:pPr>
        <w:pStyle w:val="FootnoteText"/>
      </w:pPr>
    </w:p>
  </w:footnote>
  <w:footnote w:id="27">
    <w:p w:rsidR="00C65FD5" w:rsidRDefault="00C65FD5">
      <w:pPr>
        <w:pStyle w:val="FootnoteText"/>
      </w:pPr>
      <w:r>
        <w:rPr>
          <w:rStyle w:val="FootnoteReference"/>
        </w:rPr>
        <w:footnoteRef/>
      </w:r>
      <w:r>
        <w:t xml:space="preserve"> Section 4928.64(E), R</w:t>
      </w:r>
      <w:bookmarkStart w:id="2" w:name="_GoBack"/>
      <w:bookmarkEnd w:id="2"/>
      <w:r>
        <w:t>evised Code; Section 4928.143(B), Revised Code.</w:t>
      </w:r>
    </w:p>
    <w:p w:rsidR="00C65FD5" w:rsidRDefault="00C65FD5">
      <w:pPr>
        <w:pStyle w:val="FootnoteText"/>
      </w:pPr>
    </w:p>
  </w:footnote>
  <w:footnote w:id="28">
    <w:p w:rsidR="00C65FD5" w:rsidRDefault="00C65FD5">
      <w:pPr>
        <w:pStyle w:val="FootnoteText"/>
      </w:pPr>
      <w:r>
        <w:rPr>
          <w:rStyle w:val="FootnoteReference"/>
        </w:rPr>
        <w:footnoteRef/>
      </w:r>
      <w:r>
        <w:t xml:space="preserve"> IEU-Ohio Post Hearing Brief at 14-15.</w:t>
      </w:r>
    </w:p>
    <w:p w:rsidR="00C65FD5" w:rsidRDefault="00C65FD5">
      <w:pPr>
        <w:pStyle w:val="FootnoteText"/>
      </w:pPr>
    </w:p>
  </w:footnote>
  <w:footnote w:id="29">
    <w:p w:rsidR="00C65FD5" w:rsidRDefault="00C65FD5">
      <w:pPr>
        <w:pStyle w:val="FootnoteText"/>
      </w:pPr>
      <w:r>
        <w:rPr>
          <w:rStyle w:val="FootnoteReference"/>
        </w:rPr>
        <w:footnoteRef/>
      </w:r>
      <w:r>
        <w:t xml:space="preserve"> Section 4928.64(B)(2), Revised Code.</w:t>
      </w:r>
    </w:p>
    <w:p w:rsidR="00C65FD5" w:rsidRDefault="00C65FD5">
      <w:pPr>
        <w:pStyle w:val="FootnoteText"/>
      </w:pPr>
    </w:p>
  </w:footnote>
  <w:footnote w:id="30">
    <w:p w:rsidR="00C65FD5" w:rsidRDefault="00C65FD5" w:rsidP="00AA40B5">
      <w:pPr>
        <w:pStyle w:val="FootnoteText"/>
        <w:rPr>
          <w:rFonts w:cs="Arial"/>
        </w:rPr>
      </w:pPr>
      <w:r>
        <w:rPr>
          <w:rStyle w:val="FootnoteReference"/>
        </w:rPr>
        <w:footnoteRef/>
      </w:r>
      <w:r>
        <w:t xml:space="preserve"> </w:t>
      </w:r>
      <w:r w:rsidRPr="004D73FD">
        <w:rPr>
          <w:rFonts w:cs="Arial"/>
        </w:rPr>
        <w:t>Tr. Vol. I at 28</w:t>
      </w:r>
      <w:r>
        <w:rPr>
          <w:rFonts w:cs="Arial"/>
        </w:rPr>
        <w:t>.</w:t>
      </w:r>
    </w:p>
    <w:p w:rsidR="00C65FD5" w:rsidRDefault="00C65FD5" w:rsidP="00AA40B5">
      <w:pPr>
        <w:pStyle w:val="FootnoteText"/>
      </w:pPr>
    </w:p>
  </w:footnote>
  <w:footnote w:id="31">
    <w:p w:rsidR="00C65FD5" w:rsidRPr="00582EE3" w:rsidRDefault="00C65FD5" w:rsidP="00582EE3">
      <w:pPr>
        <w:pStyle w:val="FootnoteText"/>
        <w:jc w:val="both"/>
        <w:rPr>
          <w:rFonts w:eastAsia="Times New Roman" w:cs="Arial"/>
        </w:rPr>
      </w:pPr>
      <w:r>
        <w:rPr>
          <w:rStyle w:val="FootnoteReference"/>
        </w:rPr>
        <w:footnoteRef/>
      </w:r>
      <w:r>
        <w:t xml:space="preserve"> </w:t>
      </w:r>
      <w:r w:rsidRPr="00582EE3">
        <w:rPr>
          <w:rFonts w:eastAsia="Times New Roman" w:cs="Arial"/>
        </w:rPr>
        <w:t>IEU-Ohio Exhibit 4; Direct Testimony of Dr. Jonathon Lesser at JAL-5. During cross-examination, OP’s counsel tried to demonstrate that shopping forecasted in the affidavit of OP witness William Allen would only reach 80% if the Commission approved reliability pricing model (“RPM”) capacity. Tr. Vol. I at 179-183.</w:t>
      </w:r>
      <w:r w:rsidRPr="00582EE3">
        <w:rPr>
          <w:rFonts w:eastAsia="Calibri" w:cs="Arial"/>
        </w:rPr>
        <w:t xml:space="preserve"> But, Mr. Allen’s affidavit claims that 6.8% of OP’s load switched at the capacity price of $255 MW/day and that switching is expected to continue at the price due to falling energy prices.</w:t>
      </w:r>
      <w:r w:rsidRPr="00582EE3">
        <w:rPr>
          <w:rFonts w:eastAsia="Times New Roman" w:cs="Arial"/>
        </w:rPr>
        <w:t xml:space="preserve"> IEU-Ohio Ex. 2 at 8.</w:t>
      </w:r>
    </w:p>
    <w:p w:rsidR="00C65FD5" w:rsidRDefault="00C65FD5">
      <w:pPr>
        <w:pStyle w:val="FootnoteText"/>
      </w:pPr>
    </w:p>
  </w:footnote>
  <w:footnote w:id="32">
    <w:p w:rsidR="00C65FD5" w:rsidRDefault="00C65FD5">
      <w:pPr>
        <w:pStyle w:val="FootnoteText"/>
      </w:pPr>
      <w:r>
        <w:rPr>
          <w:rStyle w:val="FootnoteReference"/>
        </w:rPr>
        <w:footnoteRef/>
      </w:r>
      <w:r>
        <w:t xml:space="preserve"> Staff Brief at 7.</w:t>
      </w:r>
    </w:p>
    <w:p w:rsidR="00C65FD5" w:rsidRDefault="00C65FD5">
      <w:pPr>
        <w:pStyle w:val="FootnoteText"/>
      </w:pPr>
    </w:p>
  </w:footnote>
  <w:footnote w:id="33">
    <w:p w:rsidR="00C65FD5" w:rsidRDefault="00C65FD5">
      <w:pPr>
        <w:pStyle w:val="FootnoteText"/>
      </w:pPr>
      <w:r>
        <w:rPr>
          <w:rStyle w:val="FootnoteReference"/>
        </w:rPr>
        <w:footnoteRef/>
      </w:r>
      <w:r>
        <w:t xml:space="preserve"> Tr. Vol. I at 119.</w:t>
      </w:r>
    </w:p>
    <w:p w:rsidR="00C65FD5" w:rsidRDefault="00C65FD5">
      <w:pPr>
        <w:pStyle w:val="FootnoteText"/>
      </w:pPr>
    </w:p>
  </w:footnote>
  <w:footnote w:id="34">
    <w:p w:rsidR="00C65FD5" w:rsidRDefault="00C65FD5">
      <w:pPr>
        <w:pStyle w:val="FootnoteText"/>
      </w:pPr>
      <w:r>
        <w:rPr>
          <w:rStyle w:val="FootnoteReference"/>
        </w:rPr>
        <w:footnoteRef/>
      </w:r>
      <w:r>
        <w:t xml:space="preserve"> Staff Ex. 1 at 4-7.</w:t>
      </w:r>
    </w:p>
    <w:p w:rsidR="00C65FD5" w:rsidRDefault="00C65FD5">
      <w:pPr>
        <w:pStyle w:val="FootnoteText"/>
      </w:pPr>
    </w:p>
  </w:footnote>
  <w:footnote w:id="35">
    <w:p w:rsidR="00C65FD5" w:rsidRDefault="00C65FD5">
      <w:pPr>
        <w:pStyle w:val="FootnoteText"/>
      </w:pPr>
      <w:r>
        <w:rPr>
          <w:rStyle w:val="FootnoteReference"/>
        </w:rPr>
        <w:footnoteRef/>
      </w:r>
      <w:r>
        <w:t xml:space="preserve"> Staff Ex. 1 at 4-7; Tr. Vol. I at 120.</w:t>
      </w:r>
    </w:p>
    <w:p w:rsidR="00C65FD5" w:rsidRDefault="00C65FD5">
      <w:pPr>
        <w:pStyle w:val="FootnoteText"/>
      </w:pPr>
    </w:p>
  </w:footnote>
  <w:footnote w:id="36">
    <w:p w:rsidR="00C65FD5" w:rsidRDefault="00C65FD5">
      <w:pPr>
        <w:pStyle w:val="FootnoteText"/>
      </w:pPr>
      <w:r>
        <w:rPr>
          <w:rStyle w:val="FootnoteReference"/>
        </w:rPr>
        <w:footnoteRef/>
      </w:r>
      <w:r>
        <w:t xml:space="preserve"> Staff Ex. 1 at 6 (Figure 2); Tr. Vol. I at 115.</w:t>
      </w:r>
    </w:p>
    <w:p w:rsidR="00C65FD5" w:rsidRDefault="00C65FD5">
      <w:pPr>
        <w:pStyle w:val="FootnoteText"/>
      </w:pPr>
    </w:p>
  </w:footnote>
  <w:footnote w:id="37">
    <w:p w:rsidR="00C65FD5" w:rsidRDefault="00C65FD5" w:rsidP="004B49FE">
      <w:pPr>
        <w:pStyle w:val="FootnoteText"/>
        <w:jc w:val="both"/>
        <w:rPr>
          <w:rFonts w:cs="Arial"/>
        </w:rPr>
      </w:pPr>
      <w:r>
        <w:rPr>
          <w:rStyle w:val="FootnoteReference"/>
        </w:rPr>
        <w:footnoteRef/>
      </w:r>
      <w:r>
        <w:t xml:space="preserve"> </w:t>
      </w:r>
      <w:r w:rsidRPr="00F8492C">
        <w:rPr>
          <w:rFonts w:cs="Arial"/>
        </w:rPr>
        <w:t xml:space="preserve">During cross-examination, </w:t>
      </w:r>
      <w:r>
        <w:rPr>
          <w:rFonts w:cs="Arial"/>
        </w:rPr>
        <w:t>when Mr. Bellamy was asked to calculate the amount of small projects that could be built based on current trends,</w:t>
      </w:r>
      <w:r w:rsidRPr="00F8492C">
        <w:rPr>
          <w:rFonts w:cs="Arial"/>
        </w:rPr>
        <w:t xml:space="preserve"> he said that you would have to subtract the Bryan </w:t>
      </w:r>
      <w:r>
        <w:rPr>
          <w:rFonts w:cs="Arial"/>
        </w:rPr>
        <w:t>facility</w:t>
      </w:r>
      <w:r w:rsidRPr="00F8492C">
        <w:rPr>
          <w:rFonts w:cs="Arial"/>
        </w:rPr>
        <w:t>.  Tr. Vol. I at 131-134.  Since Mr. Bellamy appears to be using the Bryan f</w:t>
      </w:r>
      <w:r>
        <w:rPr>
          <w:rFonts w:cs="Arial"/>
        </w:rPr>
        <w:t>acility to reduce the amount of d</w:t>
      </w:r>
      <w:r w:rsidRPr="00F8492C">
        <w:rPr>
          <w:rFonts w:cs="Arial"/>
        </w:rPr>
        <w:t>evelopment i</w:t>
      </w:r>
      <w:r>
        <w:rPr>
          <w:rFonts w:cs="Arial"/>
        </w:rPr>
        <w:t>n 2011, as well, Mr. Bellamy</w:t>
      </w:r>
      <w:r w:rsidRPr="00F8492C">
        <w:rPr>
          <w:rFonts w:cs="Arial"/>
        </w:rPr>
        <w:t xml:space="preserve"> double counted the impact of the Bryan facility.</w:t>
      </w:r>
      <w:r w:rsidRPr="00F8492C">
        <w:rPr>
          <w:rFonts w:cs="Arial"/>
          <w:sz w:val="24"/>
          <w:szCs w:val="24"/>
        </w:rPr>
        <w:t xml:space="preserve"> </w:t>
      </w:r>
      <w:r>
        <w:rPr>
          <w:rFonts w:cs="Arial"/>
          <w:i/>
          <w:sz w:val="24"/>
          <w:szCs w:val="24"/>
        </w:rPr>
        <w:t xml:space="preserve">cf </w:t>
      </w:r>
      <w:r w:rsidRPr="00F8492C">
        <w:rPr>
          <w:rFonts w:cs="Arial"/>
        </w:rPr>
        <w:t>Staff Ex. 1 at 4-5.</w:t>
      </w:r>
    </w:p>
    <w:p w:rsidR="00C65FD5" w:rsidRPr="008024F1" w:rsidRDefault="00C65FD5" w:rsidP="004B49FE">
      <w:pPr>
        <w:pStyle w:val="FootnoteText"/>
        <w:jc w:val="both"/>
        <w:rPr>
          <w:rFonts w:cs="Arial"/>
        </w:rPr>
      </w:pPr>
    </w:p>
  </w:footnote>
  <w:footnote w:id="38">
    <w:p w:rsidR="00C65FD5" w:rsidRPr="00DE4469" w:rsidRDefault="00C65FD5" w:rsidP="004B49FE">
      <w:pPr>
        <w:pStyle w:val="FootnoteText"/>
        <w:jc w:val="both"/>
        <w:rPr>
          <w:rFonts w:eastAsia="Times New Roman" w:cs="Arial"/>
        </w:rPr>
      </w:pPr>
      <w:r>
        <w:rPr>
          <w:rStyle w:val="FootnoteReference"/>
        </w:rPr>
        <w:footnoteRef/>
      </w:r>
      <w:r>
        <w:t xml:space="preserve"> </w:t>
      </w:r>
      <w:r w:rsidRPr="00DE4469">
        <w:rPr>
          <w:rFonts w:eastAsia="Times New Roman" w:cs="Arial"/>
        </w:rPr>
        <w:t xml:space="preserve">Tr. Vol. I at 133-137; FES Ex. 1 at 39-40.  2 MWs of small projects had already been approved in the first two months.  </w:t>
      </w:r>
      <w:r w:rsidRPr="00DE4469">
        <w:rPr>
          <w:rFonts w:eastAsia="Calibri" w:cs="Arial"/>
        </w:rPr>
        <w:t>And 2.7 MW of small solar projects were pending at the time of the hearing from just four projects, not including residential and small commerci</w:t>
      </w:r>
      <w:r>
        <w:rPr>
          <w:rFonts w:eastAsia="Calibri" w:cs="Arial"/>
        </w:rPr>
        <w:t xml:space="preserve">al solar projects under 0.49 MW. </w:t>
      </w:r>
      <w:r w:rsidRPr="00DE4469">
        <w:rPr>
          <w:rFonts w:eastAsia="Calibri" w:cs="Arial"/>
        </w:rPr>
        <w:t>Tr. Vol. I at 62-64</w:t>
      </w:r>
      <w:r>
        <w:rPr>
          <w:rFonts w:eastAsia="Calibri" w:cs="Arial"/>
        </w:rPr>
        <w:t xml:space="preserve">; </w:t>
      </w:r>
      <w:r>
        <w:rPr>
          <w:rFonts w:eastAsia="Times New Roman" w:cs="Arial"/>
          <w:i/>
        </w:rPr>
        <w:t xml:space="preserve">see </w:t>
      </w:r>
      <w:r>
        <w:rPr>
          <w:rFonts w:eastAsia="Times New Roman" w:cs="Arial"/>
        </w:rPr>
        <w:t xml:space="preserve">administratively noticed projects in </w:t>
      </w:r>
      <w:r w:rsidRPr="00DE4469">
        <w:rPr>
          <w:rFonts w:eastAsia="Times New Roman" w:cs="Arial"/>
        </w:rPr>
        <w:t xml:space="preserve">Case No. 12-0546-EL-REN, </w:t>
      </w:r>
      <w:r w:rsidRPr="00DE4469">
        <w:rPr>
          <w:rFonts w:eastAsia="Calibri" w:cs="Arial"/>
        </w:rPr>
        <w:t>Case No. 12-277-EL-REN, Case No. 12-520-EL-REN, and Case No. 12-827</w:t>
      </w:r>
      <w:r>
        <w:rPr>
          <w:rFonts w:eastAsia="Calibri" w:cs="Arial"/>
        </w:rPr>
        <w:t>-EL-REN.</w:t>
      </w:r>
    </w:p>
    <w:p w:rsidR="00C65FD5" w:rsidRDefault="00C65FD5">
      <w:pPr>
        <w:pStyle w:val="FootnoteText"/>
      </w:pPr>
    </w:p>
  </w:footnote>
  <w:footnote w:id="39">
    <w:p w:rsidR="00C65FD5" w:rsidRDefault="00C65FD5">
      <w:pPr>
        <w:pStyle w:val="FootnoteText"/>
        <w:rPr>
          <w:rFonts w:cs="Arial"/>
        </w:rPr>
      </w:pPr>
      <w:r>
        <w:rPr>
          <w:rStyle w:val="FootnoteReference"/>
        </w:rPr>
        <w:footnoteRef/>
      </w:r>
      <w:r>
        <w:t xml:space="preserve"> </w:t>
      </w:r>
      <w:r w:rsidRPr="00F8492C">
        <w:rPr>
          <w:rFonts w:cs="Arial"/>
        </w:rPr>
        <w:t>Staff Ex. 1 at 4-5</w:t>
      </w:r>
      <w:r>
        <w:rPr>
          <w:rFonts w:cs="Arial"/>
        </w:rPr>
        <w:t>.</w:t>
      </w:r>
    </w:p>
    <w:p w:rsidR="00C65FD5" w:rsidRDefault="00C65FD5">
      <w:pPr>
        <w:pStyle w:val="FootnoteText"/>
      </w:pPr>
    </w:p>
  </w:footnote>
  <w:footnote w:id="40">
    <w:p w:rsidR="00C65FD5" w:rsidRDefault="00C65FD5">
      <w:pPr>
        <w:pStyle w:val="FootnoteText"/>
        <w:rPr>
          <w:rFonts w:cs="Arial"/>
        </w:rPr>
      </w:pPr>
      <w:r>
        <w:rPr>
          <w:rStyle w:val="FootnoteReference"/>
        </w:rPr>
        <w:footnoteRef/>
      </w:r>
      <w:r>
        <w:t xml:space="preserve"> </w:t>
      </w:r>
      <w:r w:rsidRPr="004B630D">
        <w:rPr>
          <w:rFonts w:cs="Arial"/>
        </w:rPr>
        <w:t>Tr. Vol. I at 133-137</w:t>
      </w:r>
      <w:r>
        <w:rPr>
          <w:rFonts w:cs="Arial"/>
        </w:rPr>
        <w:t>.</w:t>
      </w:r>
    </w:p>
    <w:p w:rsidR="00C65FD5" w:rsidRDefault="00C65FD5">
      <w:pPr>
        <w:pStyle w:val="FootnoteText"/>
      </w:pPr>
    </w:p>
  </w:footnote>
  <w:footnote w:id="41">
    <w:p w:rsidR="00C65FD5" w:rsidRDefault="00C65FD5">
      <w:pPr>
        <w:pStyle w:val="FootnoteText"/>
        <w:rPr>
          <w:i/>
        </w:rPr>
      </w:pPr>
      <w:r>
        <w:rPr>
          <w:rStyle w:val="FootnoteReference"/>
        </w:rPr>
        <w:footnoteRef/>
      </w:r>
      <w:r>
        <w:t xml:space="preserve"> </w:t>
      </w:r>
      <w:r>
        <w:rPr>
          <w:i/>
        </w:rPr>
        <w:t>Id.</w:t>
      </w:r>
    </w:p>
    <w:p w:rsidR="00C65FD5" w:rsidRPr="008024F1" w:rsidRDefault="00C65FD5">
      <w:pPr>
        <w:pStyle w:val="FootnoteText"/>
        <w:rPr>
          <w:i/>
        </w:rPr>
      </w:pPr>
    </w:p>
  </w:footnote>
  <w:footnote w:id="42">
    <w:p w:rsidR="00C65FD5" w:rsidRPr="00DE6A4A" w:rsidRDefault="00C65FD5" w:rsidP="004D2566">
      <w:pPr>
        <w:pStyle w:val="FootnoteText"/>
        <w:jc w:val="both"/>
        <w:rPr>
          <w:rFonts w:cs="Arial"/>
        </w:rPr>
      </w:pPr>
      <w:r w:rsidRPr="007865DD">
        <w:rPr>
          <w:rStyle w:val="FootnoteReference"/>
          <w:rFonts w:cs="Arial"/>
        </w:rPr>
        <w:footnoteRef/>
      </w:r>
      <w:r w:rsidRPr="007865DD">
        <w:rPr>
          <w:rFonts w:cs="Arial"/>
        </w:rPr>
        <w:t xml:space="preserve"> T</w:t>
      </w:r>
      <w:r w:rsidRPr="00F653FF">
        <w:rPr>
          <w:rFonts w:cs="Arial"/>
        </w:rPr>
        <w:t>r. Vol. I at 118-119.</w:t>
      </w:r>
      <w:r>
        <w:rPr>
          <w:rFonts w:cs="Arial"/>
        </w:rPr>
        <w:t xml:space="preserve"> </w:t>
      </w:r>
      <w:r>
        <w:rPr>
          <w:rFonts w:cs="Arial"/>
          <w:i/>
        </w:rPr>
        <w:t xml:space="preserve">See also </w:t>
      </w:r>
      <w:r>
        <w:rPr>
          <w:rFonts w:cs="Arial"/>
        </w:rPr>
        <w:t>FES Ex. 1 at 39.</w:t>
      </w:r>
    </w:p>
    <w:p w:rsidR="00C65FD5" w:rsidRPr="00F653FF" w:rsidRDefault="00C65FD5" w:rsidP="004D2566">
      <w:pPr>
        <w:pStyle w:val="FootnoteText"/>
        <w:jc w:val="both"/>
        <w:rPr>
          <w:rFonts w:cs="Arial"/>
        </w:rPr>
      </w:pPr>
    </w:p>
  </w:footnote>
  <w:footnote w:id="43">
    <w:p w:rsidR="00C65FD5" w:rsidRDefault="00C65FD5">
      <w:pPr>
        <w:pStyle w:val="FootnoteText"/>
      </w:pPr>
      <w:r>
        <w:rPr>
          <w:rStyle w:val="FootnoteReference"/>
        </w:rPr>
        <w:footnoteRef/>
      </w:r>
      <w:r>
        <w:t xml:space="preserve"> OP Brief at 8; AEP Ex. 1 at 4.</w:t>
      </w:r>
    </w:p>
    <w:p w:rsidR="00C65FD5" w:rsidRDefault="00C65FD5">
      <w:pPr>
        <w:pStyle w:val="FootnoteText"/>
      </w:pPr>
    </w:p>
  </w:footnote>
  <w:footnote w:id="44">
    <w:p w:rsidR="00C65FD5" w:rsidRDefault="00C65FD5">
      <w:pPr>
        <w:pStyle w:val="FootnoteText"/>
      </w:pPr>
      <w:r>
        <w:rPr>
          <w:rStyle w:val="FootnoteReference"/>
        </w:rPr>
        <w:footnoteRef/>
      </w:r>
      <w:r>
        <w:t xml:space="preserve"> OP Brief at 9.</w:t>
      </w:r>
    </w:p>
    <w:p w:rsidR="00C65FD5" w:rsidRDefault="00C65FD5">
      <w:pPr>
        <w:pStyle w:val="FootnoteText"/>
      </w:pPr>
    </w:p>
  </w:footnote>
  <w:footnote w:id="45">
    <w:p w:rsidR="00C65FD5" w:rsidRDefault="00C65FD5">
      <w:pPr>
        <w:pStyle w:val="FootnoteText"/>
      </w:pPr>
      <w:r>
        <w:rPr>
          <w:rStyle w:val="FootnoteReference"/>
        </w:rPr>
        <w:footnoteRef/>
      </w:r>
      <w:r>
        <w:t xml:space="preserve"> OP Brief at 8.</w:t>
      </w:r>
    </w:p>
    <w:p w:rsidR="00C65FD5" w:rsidRDefault="00C65FD5">
      <w:pPr>
        <w:pStyle w:val="FootnoteText"/>
      </w:pPr>
    </w:p>
  </w:footnote>
  <w:footnote w:id="46">
    <w:p w:rsidR="00C65FD5" w:rsidRDefault="00C65FD5">
      <w:pPr>
        <w:pStyle w:val="FootnoteText"/>
      </w:pPr>
      <w:r>
        <w:rPr>
          <w:rStyle w:val="FootnoteReference"/>
        </w:rPr>
        <w:footnoteRef/>
      </w:r>
      <w:r>
        <w:t xml:space="preserve"> OP Brief at 8.  </w:t>
      </w:r>
    </w:p>
    <w:p w:rsidR="00C65FD5" w:rsidRDefault="00C65FD5">
      <w:pPr>
        <w:pStyle w:val="FootnoteText"/>
      </w:pPr>
    </w:p>
  </w:footnote>
  <w:footnote w:id="47">
    <w:p w:rsidR="00C65FD5" w:rsidRDefault="00C65FD5">
      <w:pPr>
        <w:pStyle w:val="FootnoteText"/>
      </w:pPr>
      <w:r>
        <w:rPr>
          <w:rStyle w:val="FootnoteReference"/>
        </w:rPr>
        <w:footnoteRef/>
      </w:r>
      <w:r>
        <w:t xml:space="preserve"> </w:t>
      </w:r>
      <w:r w:rsidRPr="00674564">
        <w:rPr>
          <w:rFonts w:cs="Arial"/>
        </w:rPr>
        <w:t>Tr. Vol. I at 39-40.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30" w:rsidRDefault="00010A3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30" w:rsidRDefault="00010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30" w:rsidRDefault="00010A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D5" w:rsidRDefault="00C65FD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63" w:rsidRDefault="00C63F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63" w:rsidRDefault="00C63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3B89"/>
    <w:multiLevelType w:val="hybridMultilevel"/>
    <w:tmpl w:val="51BE35F0"/>
    <w:lvl w:ilvl="0" w:tplc="0128C7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CC5A46"/>
    <w:multiLevelType w:val="hybridMultilevel"/>
    <w:tmpl w:val="9CE4743A"/>
    <w:lvl w:ilvl="0" w:tplc="744E48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D90960"/>
    <w:multiLevelType w:val="hybridMultilevel"/>
    <w:tmpl w:val="E5FCA906"/>
    <w:lvl w:ilvl="0" w:tplc="FCC0E884">
      <w:start w:val="3"/>
      <w:numFmt w:val="upperRoman"/>
      <w:lvlText w:val="%1."/>
      <w:lvlJc w:val="left"/>
      <w:pPr>
        <w:ind w:left="900" w:hanging="72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D5236BF"/>
    <w:multiLevelType w:val="hybridMultilevel"/>
    <w:tmpl w:val="794241D6"/>
    <w:lvl w:ilvl="0" w:tplc="BC3848A0">
      <w:start w:val="1"/>
      <w:numFmt w:val="upp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70D2078A"/>
    <w:multiLevelType w:val="hybridMultilevel"/>
    <w:tmpl w:val="42C039F2"/>
    <w:lvl w:ilvl="0" w:tplc="A9301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10"/>
    <w:rsid w:val="000048F4"/>
    <w:rsid w:val="00005E21"/>
    <w:rsid w:val="00007B92"/>
    <w:rsid w:val="00010A30"/>
    <w:rsid w:val="00025A05"/>
    <w:rsid w:val="00027845"/>
    <w:rsid w:val="0003365F"/>
    <w:rsid w:val="000E06A0"/>
    <w:rsid w:val="000E559D"/>
    <w:rsid w:val="00105CD2"/>
    <w:rsid w:val="00114891"/>
    <w:rsid w:val="00117F09"/>
    <w:rsid w:val="00152EEA"/>
    <w:rsid w:val="00196B67"/>
    <w:rsid w:val="001B14FD"/>
    <w:rsid w:val="001B50B1"/>
    <w:rsid w:val="001E0E3D"/>
    <w:rsid w:val="00230942"/>
    <w:rsid w:val="002448A0"/>
    <w:rsid w:val="00250C72"/>
    <w:rsid w:val="00265A1C"/>
    <w:rsid w:val="002957E3"/>
    <w:rsid w:val="002A587B"/>
    <w:rsid w:val="002B3885"/>
    <w:rsid w:val="002B3A04"/>
    <w:rsid w:val="002B746C"/>
    <w:rsid w:val="002B7DF4"/>
    <w:rsid w:val="002D43BC"/>
    <w:rsid w:val="002E72FC"/>
    <w:rsid w:val="00300756"/>
    <w:rsid w:val="00345A39"/>
    <w:rsid w:val="003702FF"/>
    <w:rsid w:val="003733BC"/>
    <w:rsid w:val="003B3A85"/>
    <w:rsid w:val="003C68F4"/>
    <w:rsid w:val="003F5D81"/>
    <w:rsid w:val="004024E4"/>
    <w:rsid w:val="0042342A"/>
    <w:rsid w:val="004A6E10"/>
    <w:rsid w:val="004B49FE"/>
    <w:rsid w:val="004D2566"/>
    <w:rsid w:val="004E4A13"/>
    <w:rsid w:val="00503E46"/>
    <w:rsid w:val="00504804"/>
    <w:rsid w:val="00571D6C"/>
    <w:rsid w:val="00582EE3"/>
    <w:rsid w:val="00597797"/>
    <w:rsid w:val="00600BD0"/>
    <w:rsid w:val="00611D80"/>
    <w:rsid w:val="0066023F"/>
    <w:rsid w:val="00686D6A"/>
    <w:rsid w:val="00693780"/>
    <w:rsid w:val="006C5178"/>
    <w:rsid w:val="00740BB7"/>
    <w:rsid w:val="00772D06"/>
    <w:rsid w:val="007E56C4"/>
    <w:rsid w:val="008024F1"/>
    <w:rsid w:val="008127D9"/>
    <w:rsid w:val="00816008"/>
    <w:rsid w:val="008254BD"/>
    <w:rsid w:val="00830789"/>
    <w:rsid w:val="008315F6"/>
    <w:rsid w:val="00865D80"/>
    <w:rsid w:val="00934919"/>
    <w:rsid w:val="00935AAA"/>
    <w:rsid w:val="0096037E"/>
    <w:rsid w:val="009B5551"/>
    <w:rsid w:val="009D024F"/>
    <w:rsid w:val="009D2BF6"/>
    <w:rsid w:val="00A238BE"/>
    <w:rsid w:val="00A4168D"/>
    <w:rsid w:val="00A62624"/>
    <w:rsid w:val="00AA40B5"/>
    <w:rsid w:val="00AF3B21"/>
    <w:rsid w:val="00B132EB"/>
    <w:rsid w:val="00B55710"/>
    <w:rsid w:val="00B7558C"/>
    <w:rsid w:val="00C63F63"/>
    <w:rsid w:val="00C65FD5"/>
    <w:rsid w:val="00CB0426"/>
    <w:rsid w:val="00CB55BA"/>
    <w:rsid w:val="00D16327"/>
    <w:rsid w:val="00D173D2"/>
    <w:rsid w:val="00DA2691"/>
    <w:rsid w:val="00DC123D"/>
    <w:rsid w:val="00DC7FF7"/>
    <w:rsid w:val="00DE4469"/>
    <w:rsid w:val="00DE7252"/>
    <w:rsid w:val="00E32EB4"/>
    <w:rsid w:val="00E86EB4"/>
    <w:rsid w:val="00E91985"/>
    <w:rsid w:val="00EA6158"/>
    <w:rsid w:val="00EA6E6E"/>
    <w:rsid w:val="00EB6B22"/>
    <w:rsid w:val="00ED416E"/>
    <w:rsid w:val="00ED7BE6"/>
    <w:rsid w:val="00F4337C"/>
    <w:rsid w:val="00F621D0"/>
    <w:rsid w:val="00FD703A"/>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0"/>
    <w:pPr>
      <w:spacing w:after="0" w:line="240" w:lineRule="auto"/>
    </w:pPr>
  </w:style>
  <w:style w:type="paragraph" w:styleId="Heading1">
    <w:name w:val="heading 1"/>
    <w:basedOn w:val="Normal"/>
    <w:next w:val="Normal"/>
    <w:link w:val="Heading1Char"/>
    <w:qFormat/>
    <w:rsid w:val="004A6E10"/>
    <w:pPr>
      <w:keepNext/>
      <w:ind w:left="2160" w:right="2160"/>
      <w:outlineLvl w:val="0"/>
    </w:pPr>
    <w:rPr>
      <w:rFonts w:cs="Arial"/>
      <w:b/>
      <w:sz w:val="28"/>
    </w:rPr>
  </w:style>
  <w:style w:type="paragraph" w:styleId="Heading4">
    <w:name w:val="heading 4"/>
    <w:basedOn w:val="Normal"/>
    <w:next w:val="Normal"/>
    <w:link w:val="Heading4Char"/>
    <w:uiPriority w:val="9"/>
    <w:semiHidden/>
    <w:unhideWhenUsed/>
    <w:qFormat/>
    <w:rsid w:val="00E9198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C65F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E10"/>
    <w:rPr>
      <w:rFonts w:eastAsia="Times New Roman" w:cs="Arial"/>
      <w:b/>
      <w:sz w:val="28"/>
      <w:szCs w:val="24"/>
    </w:rPr>
  </w:style>
  <w:style w:type="paragraph" w:styleId="Title">
    <w:name w:val="Title"/>
    <w:basedOn w:val="Normal"/>
    <w:link w:val="TitleChar"/>
    <w:qFormat/>
    <w:rsid w:val="004A6E10"/>
    <w:pPr>
      <w:jc w:val="center"/>
    </w:pPr>
    <w:rPr>
      <w:rFonts w:cs="Arial"/>
      <w:b/>
      <w:smallCaps/>
      <w:sz w:val="32"/>
    </w:rPr>
  </w:style>
  <w:style w:type="character" w:customStyle="1" w:styleId="TitleChar">
    <w:name w:val="Title Char"/>
    <w:basedOn w:val="DefaultParagraphFont"/>
    <w:link w:val="Title"/>
    <w:rsid w:val="004A6E10"/>
    <w:rPr>
      <w:rFonts w:eastAsia="Times New Roman" w:cs="Arial"/>
      <w:b/>
      <w:smallCaps/>
      <w:sz w:val="32"/>
      <w:szCs w:val="24"/>
    </w:rPr>
  </w:style>
  <w:style w:type="paragraph" w:styleId="BodyText">
    <w:name w:val="Body Text"/>
    <w:basedOn w:val="Normal"/>
    <w:link w:val="BodyTextChar"/>
    <w:semiHidden/>
    <w:unhideWhenUsed/>
    <w:rsid w:val="004A6E10"/>
    <w:pPr>
      <w:jc w:val="both"/>
    </w:pPr>
    <w:rPr>
      <w:rFonts w:cs="Arial"/>
    </w:rPr>
  </w:style>
  <w:style w:type="character" w:customStyle="1" w:styleId="BodyTextChar">
    <w:name w:val="Body Text Char"/>
    <w:basedOn w:val="DefaultParagraphFont"/>
    <w:link w:val="BodyText"/>
    <w:semiHidden/>
    <w:rsid w:val="004A6E10"/>
    <w:rPr>
      <w:rFonts w:eastAsia="Times New Roman" w:cs="Arial"/>
      <w:szCs w:val="24"/>
    </w:rPr>
  </w:style>
  <w:style w:type="paragraph" w:styleId="BodyTextIndent">
    <w:name w:val="Body Text Indent"/>
    <w:basedOn w:val="Normal"/>
    <w:link w:val="BodyTextIndentChar"/>
    <w:semiHidden/>
    <w:unhideWhenUsed/>
    <w:rsid w:val="004A6E10"/>
    <w:pPr>
      <w:ind w:firstLine="720"/>
      <w:jc w:val="both"/>
    </w:pPr>
    <w:rPr>
      <w:rFonts w:cs="Arial"/>
    </w:rPr>
  </w:style>
  <w:style w:type="character" w:customStyle="1" w:styleId="BodyTextIndentChar">
    <w:name w:val="Body Text Indent Char"/>
    <w:basedOn w:val="DefaultParagraphFont"/>
    <w:link w:val="BodyTextIndent"/>
    <w:semiHidden/>
    <w:rsid w:val="004A6E10"/>
    <w:rPr>
      <w:rFonts w:eastAsia="Times New Roman" w:cs="Arial"/>
      <w:szCs w:val="24"/>
    </w:rPr>
  </w:style>
  <w:style w:type="paragraph" w:styleId="BodyText3">
    <w:name w:val="Body Text 3"/>
    <w:basedOn w:val="Normal"/>
    <w:link w:val="BodyText3Char"/>
    <w:semiHidden/>
    <w:unhideWhenUsed/>
    <w:rsid w:val="004A6E10"/>
    <w:rPr>
      <w:b/>
      <w:szCs w:val="20"/>
    </w:rPr>
  </w:style>
  <w:style w:type="character" w:customStyle="1" w:styleId="BodyText3Char">
    <w:name w:val="Body Text 3 Char"/>
    <w:basedOn w:val="DefaultParagraphFont"/>
    <w:link w:val="BodyText3"/>
    <w:semiHidden/>
    <w:rsid w:val="004A6E10"/>
    <w:rPr>
      <w:rFonts w:ascii="Times New Roman" w:eastAsia="Times New Roman" w:hAnsi="Times New Roman" w:cs="Times New Roman"/>
      <w:b/>
      <w:szCs w:val="20"/>
    </w:rPr>
  </w:style>
  <w:style w:type="paragraph" w:styleId="BodyTextIndent2">
    <w:name w:val="Body Text Indent 2"/>
    <w:basedOn w:val="Normal"/>
    <w:link w:val="BodyTextIndent2Char"/>
    <w:semiHidden/>
    <w:unhideWhenUsed/>
    <w:rsid w:val="004A6E10"/>
    <w:pPr>
      <w:ind w:left="4920"/>
      <w:jc w:val="both"/>
    </w:pPr>
    <w:rPr>
      <w:rFonts w:cs="Arial"/>
      <w:sz w:val="21"/>
    </w:rPr>
  </w:style>
  <w:style w:type="character" w:customStyle="1" w:styleId="BodyTextIndent2Char">
    <w:name w:val="Body Text Indent 2 Char"/>
    <w:basedOn w:val="DefaultParagraphFont"/>
    <w:link w:val="BodyTextIndent2"/>
    <w:semiHidden/>
    <w:rsid w:val="004A6E10"/>
    <w:rPr>
      <w:rFonts w:eastAsia="Times New Roman" w:cs="Arial"/>
      <w:sz w:val="21"/>
      <w:szCs w:val="24"/>
    </w:rPr>
  </w:style>
  <w:style w:type="paragraph" w:styleId="ListParagraph">
    <w:name w:val="List Paragraph"/>
    <w:basedOn w:val="Normal"/>
    <w:uiPriority w:val="34"/>
    <w:qFormat/>
    <w:rsid w:val="004A6E10"/>
    <w:pPr>
      <w:ind w:left="720"/>
      <w:contextualSpacing/>
    </w:pPr>
  </w:style>
  <w:style w:type="paragraph" w:styleId="Header">
    <w:name w:val="header"/>
    <w:basedOn w:val="Normal"/>
    <w:link w:val="HeaderChar"/>
    <w:uiPriority w:val="99"/>
    <w:unhideWhenUsed/>
    <w:rsid w:val="004A6E10"/>
    <w:pPr>
      <w:tabs>
        <w:tab w:val="center" w:pos="4680"/>
        <w:tab w:val="right" w:pos="9360"/>
      </w:tabs>
    </w:pPr>
  </w:style>
  <w:style w:type="character" w:customStyle="1" w:styleId="HeaderChar">
    <w:name w:val="Header Char"/>
    <w:basedOn w:val="DefaultParagraphFont"/>
    <w:link w:val="Header"/>
    <w:uiPriority w:val="99"/>
    <w:rsid w:val="004A6E10"/>
    <w:rPr>
      <w:rFonts w:ascii="Times New Roman" w:eastAsia="Times New Roman" w:hAnsi="Times New Roman" w:cs="Times New Roman"/>
      <w:szCs w:val="24"/>
    </w:rPr>
  </w:style>
  <w:style w:type="paragraph" w:styleId="Footer">
    <w:name w:val="footer"/>
    <w:basedOn w:val="Normal"/>
    <w:link w:val="FooterChar"/>
    <w:uiPriority w:val="99"/>
    <w:unhideWhenUsed/>
    <w:rsid w:val="004A6E10"/>
    <w:pPr>
      <w:tabs>
        <w:tab w:val="center" w:pos="4680"/>
        <w:tab w:val="right" w:pos="9360"/>
      </w:tabs>
    </w:pPr>
  </w:style>
  <w:style w:type="character" w:customStyle="1" w:styleId="FooterChar">
    <w:name w:val="Footer Char"/>
    <w:basedOn w:val="DefaultParagraphFont"/>
    <w:link w:val="Footer"/>
    <w:uiPriority w:val="99"/>
    <w:rsid w:val="004A6E10"/>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97797"/>
    <w:rPr>
      <w:sz w:val="20"/>
      <w:szCs w:val="20"/>
    </w:rPr>
  </w:style>
  <w:style w:type="character" w:customStyle="1" w:styleId="FootnoteTextChar">
    <w:name w:val="Footnote Text Char"/>
    <w:basedOn w:val="DefaultParagraphFont"/>
    <w:link w:val="FootnoteText"/>
    <w:uiPriority w:val="99"/>
    <w:semiHidden/>
    <w:rsid w:val="005977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797"/>
    <w:rPr>
      <w:vertAlign w:val="superscript"/>
    </w:rPr>
  </w:style>
  <w:style w:type="character" w:customStyle="1" w:styleId="ft">
    <w:name w:val="ft"/>
    <w:basedOn w:val="DefaultParagraphFont"/>
    <w:rsid w:val="00597797"/>
  </w:style>
  <w:style w:type="paragraph" w:styleId="BalloonText">
    <w:name w:val="Balloon Text"/>
    <w:basedOn w:val="Normal"/>
    <w:link w:val="BalloonTextChar"/>
    <w:uiPriority w:val="99"/>
    <w:semiHidden/>
    <w:unhideWhenUsed/>
    <w:rsid w:val="00027845"/>
    <w:rPr>
      <w:rFonts w:ascii="Tahoma" w:hAnsi="Tahoma" w:cs="Tahoma"/>
      <w:sz w:val="16"/>
      <w:szCs w:val="16"/>
    </w:rPr>
  </w:style>
  <w:style w:type="character" w:customStyle="1" w:styleId="BalloonTextChar">
    <w:name w:val="Balloon Text Char"/>
    <w:basedOn w:val="DefaultParagraphFont"/>
    <w:link w:val="BalloonText"/>
    <w:uiPriority w:val="99"/>
    <w:semiHidden/>
    <w:rsid w:val="00027845"/>
    <w:rPr>
      <w:rFonts w:ascii="Tahoma" w:hAnsi="Tahoma" w:cs="Tahoma"/>
      <w:sz w:val="16"/>
      <w:szCs w:val="16"/>
    </w:rPr>
  </w:style>
  <w:style w:type="character" w:customStyle="1" w:styleId="Heading4Char">
    <w:name w:val="Heading 4 Char"/>
    <w:basedOn w:val="DefaultParagraphFont"/>
    <w:link w:val="Heading4"/>
    <w:uiPriority w:val="9"/>
    <w:semiHidden/>
    <w:rsid w:val="00E9198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957E3"/>
    <w:rPr>
      <w:rFonts w:ascii="Times New Roman" w:eastAsia="Times New Roman" w:hAnsi="Times New Roman"/>
    </w:rPr>
  </w:style>
  <w:style w:type="character" w:customStyle="1" w:styleId="Heading9Char">
    <w:name w:val="Heading 9 Char"/>
    <w:basedOn w:val="DefaultParagraphFont"/>
    <w:link w:val="Heading9"/>
    <w:uiPriority w:val="9"/>
    <w:semiHidden/>
    <w:rsid w:val="00C65FD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0"/>
    <w:pPr>
      <w:spacing w:after="0" w:line="240" w:lineRule="auto"/>
    </w:pPr>
  </w:style>
  <w:style w:type="paragraph" w:styleId="Heading1">
    <w:name w:val="heading 1"/>
    <w:basedOn w:val="Normal"/>
    <w:next w:val="Normal"/>
    <w:link w:val="Heading1Char"/>
    <w:qFormat/>
    <w:rsid w:val="004A6E10"/>
    <w:pPr>
      <w:keepNext/>
      <w:ind w:left="2160" w:right="2160"/>
      <w:outlineLvl w:val="0"/>
    </w:pPr>
    <w:rPr>
      <w:rFonts w:cs="Arial"/>
      <w:b/>
      <w:sz w:val="28"/>
    </w:rPr>
  </w:style>
  <w:style w:type="paragraph" w:styleId="Heading4">
    <w:name w:val="heading 4"/>
    <w:basedOn w:val="Normal"/>
    <w:next w:val="Normal"/>
    <w:link w:val="Heading4Char"/>
    <w:uiPriority w:val="9"/>
    <w:semiHidden/>
    <w:unhideWhenUsed/>
    <w:qFormat/>
    <w:rsid w:val="00E9198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C65F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E10"/>
    <w:rPr>
      <w:rFonts w:eastAsia="Times New Roman" w:cs="Arial"/>
      <w:b/>
      <w:sz w:val="28"/>
      <w:szCs w:val="24"/>
    </w:rPr>
  </w:style>
  <w:style w:type="paragraph" w:styleId="Title">
    <w:name w:val="Title"/>
    <w:basedOn w:val="Normal"/>
    <w:link w:val="TitleChar"/>
    <w:qFormat/>
    <w:rsid w:val="004A6E10"/>
    <w:pPr>
      <w:jc w:val="center"/>
    </w:pPr>
    <w:rPr>
      <w:rFonts w:cs="Arial"/>
      <w:b/>
      <w:smallCaps/>
      <w:sz w:val="32"/>
    </w:rPr>
  </w:style>
  <w:style w:type="character" w:customStyle="1" w:styleId="TitleChar">
    <w:name w:val="Title Char"/>
    <w:basedOn w:val="DefaultParagraphFont"/>
    <w:link w:val="Title"/>
    <w:rsid w:val="004A6E10"/>
    <w:rPr>
      <w:rFonts w:eastAsia="Times New Roman" w:cs="Arial"/>
      <w:b/>
      <w:smallCaps/>
      <w:sz w:val="32"/>
      <w:szCs w:val="24"/>
    </w:rPr>
  </w:style>
  <w:style w:type="paragraph" w:styleId="BodyText">
    <w:name w:val="Body Text"/>
    <w:basedOn w:val="Normal"/>
    <w:link w:val="BodyTextChar"/>
    <w:semiHidden/>
    <w:unhideWhenUsed/>
    <w:rsid w:val="004A6E10"/>
    <w:pPr>
      <w:jc w:val="both"/>
    </w:pPr>
    <w:rPr>
      <w:rFonts w:cs="Arial"/>
    </w:rPr>
  </w:style>
  <w:style w:type="character" w:customStyle="1" w:styleId="BodyTextChar">
    <w:name w:val="Body Text Char"/>
    <w:basedOn w:val="DefaultParagraphFont"/>
    <w:link w:val="BodyText"/>
    <w:semiHidden/>
    <w:rsid w:val="004A6E10"/>
    <w:rPr>
      <w:rFonts w:eastAsia="Times New Roman" w:cs="Arial"/>
      <w:szCs w:val="24"/>
    </w:rPr>
  </w:style>
  <w:style w:type="paragraph" w:styleId="BodyTextIndent">
    <w:name w:val="Body Text Indent"/>
    <w:basedOn w:val="Normal"/>
    <w:link w:val="BodyTextIndentChar"/>
    <w:semiHidden/>
    <w:unhideWhenUsed/>
    <w:rsid w:val="004A6E10"/>
    <w:pPr>
      <w:ind w:firstLine="720"/>
      <w:jc w:val="both"/>
    </w:pPr>
    <w:rPr>
      <w:rFonts w:cs="Arial"/>
    </w:rPr>
  </w:style>
  <w:style w:type="character" w:customStyle="1" w:styleId="BodyTextIndentChar">
    <w:name w:val="Body Text Indent Char"/>
    <w:basedOn w:val="DefaultParagraphFont"/>
    <w:link w:val="BodyTextIndent"/>
    <w:semiHidden/>
    <w:rsid w:val="004A6E10"/>
    <w:rPr>
      <w:rFonts w:eastAsia="Times New Roman" w:cs="Arial"/>
      <w:szCs w:val="24"/>
    </w:rPr>
  </w:style>
  <w:style w:type="paragraph" w:styleId="BodyText3">
    <w:name w:val="Body Text 3"/>
    <w:basedOn w:val="Normal"/>
    <w:link w:val="BodyText3Char"/>
    <w:semiHidden/>
    <w:unhideWhenUsed/>
    <w:rsid w:val="004A6E10"/>
    <w:rPr>
      <w:b/>
      <w:szCs w:val="20"/>
    </w:rPr>
  </w:style>
  <w:style w:type="character" w:customStyle="1" w:styleId="BodyText3Char">
    <w:name w:val="Body Text 3 Char"/>
    <w:basedOn w:val="DefaultParagraphFont"/>
    <w:link w:val="BodyText3"/>
    <w:semiHidden/>
    <w:rsid w:val="004A6E10"/>
    <w:rPr>
      <w:rFonts w:ascii="Times New Roman" w:eastAsia="Times New Roman" w:hAnsi="Times New Roman" w:cs="Times New Roman"/>
      <w:b/>
      <w:szCs w:val="20"/>
    </w:rPr>
  </w:style>
  <w:style w:type="paragraph" w:styleId="BodyTextIndent2">
    <w:name w:val="Body Text Indent 2"/>
    <w:basedOn w:val="Normal"/>
    <w:link w:val="BodyTextIndent2Char"/>
    <w:semiHidden/>
    <w:unhideWhenUsed/>
    <w:rsid w:val="004A6E10"/>
    <w:pPr>
      <w:ind w:left="4920"/>
      <w:jc w:val="both"/>
    </w:pPr>
    <w:rPr>
      <w:rFonts w:cs="Arial"/>
      <w:sz w:val="21"/>
    </w:rPr>
  </w:style>
  <w:style w:type="character" w:customStyle="1" w:styleId="BodyTextIndent2Char">
    <w:name w:val="Body Text Indent 2 Char"/>
    <w:basedOn w:val="DefaultParagraphFont"/>
    <w:link w:val="BodyTextIndent2"/>
    <w:semiHidden/>
    <w:rsid w:val="004A6E10"/>
    <w:rPr>
      <w:rFonts w:eastAsia="Times New Roman" w:cs="Arial"/>
      <w:sz w:val="21"/>
      <w:szCs w:val="24"/>
    </w:rPr>
  </w:style>
  <w:style w:type="paragraph" w:styleId="ListParagraph">
    <w:name w:val="List Paragraph"/>
    <w:basedOn w:val="Normal"/>
    <w:uiPriority w:val="34"/>
    <w:qFormat/>
    <w:rsid w:val="004A6E10"/>
    <w:pPr>
      <w:ind w:left="720"/>
      <w:contextualSpacing/>
    </w:pPr>
  </w:style>
  <w:style w:type="paragraph" w:styleId="Header">
    <w:name w:val="header"/>
    <w:basedOn w:val="Normal"/>
    <w:link w:val="HeaderChar"/>
    <w:uiPriority w:val="99"/>
    <w:unhideWhenUsed/>
    <w:rsid w:val="004A6E10"/>
    <w:pPr>
      <w:tabs>
        <w:tab w:val="center" w:pos="4680"/>
        <w:tab w:val="right" w:pos="9360"/>
      </w:tabs>
    </w:pPr>
  </w:style>
  <w:style w:type="character" w:customStyle="1" w:styleId="HeaderChar">
    <w:name w:val="Header Char"/>
    <w:basedOn w:val="DefaultParagraphFont"/>
    <w:link w:val="Header"/>
    <w:uiPriority w:val="99"/>
    <w:rsid w:val="004A6E10"/>
    <w:rPr>
      <w:rFonts w:ascii="Times New Roman" w:eastAsia="Times New Roman" w:hAnsi="Times New Roman" w:cs="Times New Roman"/>
      <w:szCs w:val="24"/>
    </w:rPr>
  </w:style>
  <w:style w:type="paragraph" w:styleId="Footer">
    <w:name w:val="footer"/>
    <w:basedOn w:val="Normal"/>
    <w:link w:val="FooterChar"/>
    <w:uiPriority w:val="99"/>
    <w:unhideWhenUsed/>
    <w:rsid w:val="004A6E10"/>
    <w:pPr>
      <w:tabs>
        <w:tab w:val="center" w:pos="4680"/>
        <w:tab w:val="right" w:pos="9360"/>
      </w:tabs>
    </w:pPr>
  </w:style>
  <w:style w:type="character" w:customStyle="1" w:styleId="FooterChar">
    <w:name w:val="Footer Char"/>
    <w:basedOn w:val="DefaultParagraphFont"/>
    <w:link w:val="Footer"/>
    <w:uiPriority w:val="99"/>
    <w:rsid w:val="004A6E10"/>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97797"/>
    <w:rPr>
      <w:sz w:val="20"/>
      <w:szCs w:val="20"/>
    </w:rPr>
  </w:style>
  <w:style w:type="character" w:customStyle="1" w:styleId="FootnoteTextChar">
    <w:name w:val="Footnote Text Char"/>
    <w:basedOn w:val="DefaultParagraphFont"/>
    <w:link w:val="FootnoteText"/>
    <w:uiPriority w:val="99"/>
    <w:semiHidden/>
    <w:rsid w:val="005977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797"/>
    <w:rPr>
      <w:vertAlign w:val="superscript"/>
    </w:rPr>
  </w:style>
  <w:style w:type="character" w:customStyle="1" w:styleId="ft">
    <w:name w:val="ft"/>
    <w:basedOn w:val="DefaultParagraphFont"/>
    <w:rsid w:val="00597797"/>
  </w:style>
  <w:style w:type="paragraph" w:styleId="BalloonText">
    <w:name w:val="Balloon Text"/>
    <w:basedOn w:val="Normal"/>
    <w:link w:val="BalloonTextChar"/>
    <w:uiPriority w:val="99"/>
    <w:semiHidden/>
    <w:unhideWhenUsed/>
    <w:rsid w:val="00027845"/>
    <w:rPr>
      <w:rFonts w:ascii="Tahoma" w:hAnsi="Tahoma" w:cs="Tahoma"/>
      <w:sz w:val="16"/>
      <w:szCs w:val="16"/>
    </w:rPr>
  </w:style>
  <w:style w:type="character" w:customStyle="1" w:styleId="BalloonTextChar">
    <w:name w:val="Balloon Text Char"/>
    <w:basedOn w:val="DefaultParagraphFont"/>
    <w:link w:val="BalloonText"/>
    <w:uiPriority w:val="99"/>
    <w:semiHidden/>
    <w:rsid w:val="00027845"/>
    <w:rPr>
      <w:rFonts w:ascii="Tahoma" w:hAnsi="Tahoma" w:cs="Tahoma"/>
      <w:sz w:val="16"/>
      <w:szCs w:val="16"/>
    </w:rPr>
  </w:style>
  <w:style w:type="character" w:customStyle="1" w:styleId="Heading4Char">
    <w:name w:val="Heading 4 Char"/>
    <w:basedOn w:val="DefaultParagraphFont"/>
    <w:link w:val="Heading4"/>
    <w:uiPriority w:val="9"/>
    <w:semiHidden/>
    <w:rsid w:val="00E9198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957E3"/>
    <w:rPr>
      <w:rFonts w:ascii="Times New Roman" w:eastAsia="Times New Roman" w:hAnsi="Times New Roman"/>
    </w:rPr>
  </w:style>
  <w:style w:type="character" w:customStyle="1" w:styleId="Heading9Char">
    <w:name w:val="Heading 9 Char"/>
    <w:basedOn w:val="DefaultParagraphFont"/>
    <w:link w:val="Heading9"/>
    <w:uiPriority w:val="9"/>
    <w:semiHidden/>
    <w:rsid w:val="00C65FD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A514-4277-44D3-98C7-4812A07D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17</Pages>
  <Words>3566</Words>
  <Characters>18544</Characters>
  <Application>Microsoft Office Word</Application>
  <DocSecurity>0</DocSecurity>
  <PresentationFormat/>
  <Lines>421</Lines>
  <Paragraphs>142</Paragraphs>
  <ScaleCrop>false</ScaleCrop>
  <HeadingPairs>
    <vt:vector size="2" baseType="variant">
      <vt:variant>
        <vt:lpstr>Title</vt:lpstr>
      </vt:variant>
      <vt:variant>
        <vt:i4>1</vt:i4>
      </vt:variant>
    </vt:vector>
  </HeadingPairs>
  <TitlesOfParts>
    <vt:vector size="1" baseType="lpstr">
      <vt:lpstr>Reply Brief of IEU-Ohio 10-501-EL-FOR (C37511-5).DOCX</vt:lpstr>
    </vt:vector>
  </TitlesOfParts>
  <Company>Some Company, Inc.</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Brief of IEU-Ohio 10-501-EL-FOR (C37511-5).DOCX</dc:title>
  <dc:subject>C37511:5 /font=8</dc:subject>
  <dc:creator>Renee Gannon</dc:creator>
  <cp:keywords/>
  <dc:description/>
  <cp:lastModifiedBy>Renee Gannon</cp:lastModifiedBy>
  <cp:revision>37</cp:revision>
  <cp:lastPrinted>2012-05-04T19:58:00Z</cp:lastPrinted>
  <dcterms:created xsi:type="dcterms:W3CDTF">2012-04-30T13:56:00Z</dcterms:created>
  <dcterms:modified xsi:type="dcterms:W3CDTF">2012-05-04T20:08:00Z</dcterms:modified>
</cp:coreProperties>
</file>