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93" w:rsidRPr="00031448" w:rsidRDefault="001A0D93" w:rsidP="002A2E0C">
      <w:pPr>
        <w:pStyle w:val="Title"/>
        <w:tabs>
          <w:tab w:val="clear" w:pos="720"/>
        </w:tabs>
        <w:rPr>
          <w:rFonts w:ascii="Times New Roman" w:hAnsi="Times New Roman" w:cs="Times New Roman"/>
          <w:sz w:val="24"/>
          <w:szCs w:val="24"/>
        </w:rPr>
      </w:pPr>
      <w:bookmarkStart w:id="0" w:name="_GoBack"/>
      <w:bookmarkEnd w:id="0"/>
      <w:r w:rsidRPr="00031448">
        <w:rPr>
          <w:rFonts w:ascii="Times New Roman" w:hAnsi="Times New Roman" w:cs="Times New Roman"/>
          <w:sz w:val="24"/>
          <w:szCs w:val="24"/>
        </w:rPr>
        <w:t>BEFORE</w:t>
      </w:r>
    </w:p>
    <w:p w:rsidR="001A0D93" w:rsidRPr="00031448" w:rsidRDefault="001A0D93" w:rsidP="001A0D93">
      <w:pPr>
        <w:pStyle w:val="BodyText"/>
        <w:rPr>
          <w:b/>
          <w:bCs/>
          <w:sz w:val="24"/>
          <w:szCs w:val="24"/>
        </w:rPr>
      </w:pPr>
      <w:r w:rsidRPr="00031448">
        <w:rPr>
          <w:b/>
          <w:bCs/>
          <w:sz w:val="24"/>
          <w:szCs w:val="24"/>
        </w:rPr>
        <w:t>THE PUBLIC UTILITIES COMMISSION OF OHIO</w:t>
      </w:r>
    </w:p>
    <w:p w:rsidR="001A0D93" w:rsidRDefault="001A0D93" w:rsidP="001A0D93">
      <w:pPr>
        <w:pStyle w:val="BodyText"/>
      </w:pPr>
    </w:p>
    <w:tbl>
      <w:tblPr>
        <w:tblW w:w="0" w:type="auto"/>
        <w:tblInd w:w="-106" w:type="dxa"/>
        <w:tblLayout w:type="fixed"/>
        <w:tblLook w:val="0000" w:firstRow="0" w:lastRow="0" w:firstColumn="0" w:lastColumn="0" w:noHBand="0" w:noVBand="0"/>
      </w:tblPr>
      <w:tblGrid>
        <w:gridCol w:w="4338"/>
        <w:gridCol w:w="540"/>
        <w:gridCol w:w="3978"/>
      </w:tblGrid>
      <w:tr w:rsidR="001A0D93" w:rsidTr="00475EE3">
        <w:tc>
          <w:tcPr>
            <w:tcW w:w="4338" w:type="dxa"/>
          </w:tcPr>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an Increase in Gas Rates.</w:t>
            </w:r>
          </w:p>
          <w:p w:rsidR="001A0D93" w:rsidRPr="00095A7B" w:rsidRDefault="001A0D93" w:rsidP="00475EE3">
            <w:pPr>
              <w:pStyle w:val="Date"/>
              <w:tabs>
                <w:tab w:val="left" w:pos="4320"/>
              </w:tabs>
              <w:rPr>
                <w:sz w:val="24"/>
                <w:szCs w:val="24"/>
              </w:rPr>
            </w:pPr>
          </w:p>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Tariff Approval.</w:t>
            </w:r>
          </w:p>
          <w:p w:rsidR="001A0D93" w:rsidRPr="00095A7B" w:rsidRDefault="001A0D93" w:rsidP="00475EE3">
            <w:pPr>
              <w:pStyle w:val="Date"/>
              <w:tabs>
                <w:tab w:val="left" w:pos="4320"/>
              </w:tabs>
              <w:rPr>
                <w:sz w:val="24"/>
                <w:szCs w:val="24"/>
              </w:rPr>
            </w:pPr>
          </w:p>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Approval of an Alternative Rate Plan for Gas Distribution Service.</w:t>
            </w:r>
          </w:p>
          <w:p w:rsidR="001A0D93" w:rsidRPr="00095A7B" w:rsidRDefault="001A0D93" w:rsidP="00475EE3">
            <w:pPr>
              <w:pStyle w:val="Date"/>
              <w:tabs>
                <w:tab w:val="left" w:pos="4320"/>
              </w:tabs>
              <w:rPr>
                <w:sz w:val="24"/>
                <w:szCs w:val="24"/>
              </w:rPr>
            </w:pPr>
          </w:p>
          <w:p w:rsidR="001A0D93" w:rsidRPr="00095A7B" w:rsidRDefault="001A0D93" w:rsidP="00475EE3">
            <w:pPr>
              <w:pStyle w:val="Date"/>
              <w:tabs>
                <w:tab w:val="left" w:pos="4320"/>
              </w:tabs>
              <w:rPr>
                <w:sz w:val="24"/>
                <w:szCs w:val="24"/>
              </w:rPr>
            </w:pPr>
            <w:r w:rsidRPr="00095A7B">
              <w:rPr>
                <w:sz w:val="24"/>
                <w:szCs w:val="24"/>
              </w:rPr>
              <w:t>In the Matter of the Application of Duke Energy Ohio, Inc., for Approval to Change Accounting Methods.</w:t>
            </w:r>
          </w:p>
        </w:tc>
        <w:tc>
          <w:tcPr>
            <w:tcW w:w="540" w:type="dxa"/>
          </w:tcPr>
          <w:p w:rsidR="001A0D93" w:rsidRDefault="001A0D93" w:rsidP="00475EE3">
            <w:pPr>
              <w:tabs>
                <w:tab w:val="left" w:pos="4320"/>
              </w:tabs>
              <w:ind w:hanging="18"/>
              <w:rPr>
                <w:sz w:val="24"/>
                <w:szCs w:val="24"/>
              </w:rPr>
            </w:pPr>
            <w:r>
              <w:rPr>
                <w:sz w:val="24"/>
                <w:szCs w:val="24"/>
              </w:rPr>
              <w:t>)</w:t>
            </w:r>
          </w:p>
          <w:p w:rsidR="001A0D93" w:rsidRDefault="001A0D93" w:rsidP="00475EE3">
            <w:pPr>
              <w:tabs>
                <w:tab w:val="left" w:pos="4320"/>
              </w:tabs>
              <w:ind w:hanging="18"/>
              <w:rPr>
                <w:sz w:val="24"/>
                <w:szCs w:val="24"/>
              </w:rPr>
            </w:pPr>
            <w:r>
              <w:rPr>
                <w:sz w:val="24"/>
                <w:szCs w:val="24"/>
              </w:rPr>
              <w:t>)</w:t>
            </w:r>
          </w:p>
          <w:p w:rsidR="001A0D93" w:rsidRDefault="001A0D93" w:rsidP="00475EE3">
            <w:pPr>
              <w:tabs>
                <w:tab w:val="left" w:pos="4320"/>
              </w:tabs>
              <w:ind w:hanging="18"/>
              <w:rPr>
                <w:sz w:val="24"/>
                <w:szCs w:val="24"/>
              </w:rPr>
            </w:pPr>
            <w:r>
              <w:rPr>
                <w:sz w:val="24"/>
                <w:szCs w:val="24"/>
              </w:rPr>
              <w:t>)</w:t>
            </w:r>
          </w:p>
          <w:p w:rsidR="001A0D93" w:rsidRDefault="001A0D93" w:rsidP="00475EE3">
            <w:pPr>
              <w:tabs>
                <w:tab w:val="left" w:pos="4320"/>
              </w:tabs>
              <w:ind w:hanging="18"/>
              <w:rPr>
                <w:sz w:val="24"/>
                <w:szCs w:val="24"/>
              </w:rPr>
            </w:pPr>
          </w:p>
          <w:p w:rsidR="001A0D93" w:rsidRDefault="001A0D93" w:rsidP="00475EE3">
            <w:pPr>
              <w:tabs>
                <w:tab w:val="left" w:pos="4320"/>
              </w:tabs>
              <w:ind w:hanging="18"/>
              <w:rPr>
                <w:sz w:val="24"/>
                <w:szCs w:val="24"/>
              </w:rPr>
            </w:pPr>
            <w:r>
              <w:rPr>
                <w:sz w:val="24"/>
                <w:szCs w:val="24"/>
              </w:rPr>
              <w:t>)</w:t>
            </w:r>
            <w:r>
              <w:rPr>
                <w:sz w:val="24"/>
                <w:szCs w:val="24"/>
              </w:rPr>
              <w:br/>
              <w:t>)</w:t>
            </w:r>
          </w:p>
          <w:p w:rsidR="001A0D93" w:rsidRDefault="001A0D93" w:rsidP="00475EE3">
            <w:pPr>
              <w:tabs>
                <w:tab w:val="left" w:pos="4320"/>
              </w:tabs>
              <w:ind w:hanging="18"/>
              <w:rPr>
                <w:sz w:val="24"/>
                <w:szCs w:val="24"/>
              </w:rPr>
            </w:pPr>
          </w:p>
          <w:p w:rsidR="001A0D93" w:rsidRDefault="001A0D93" w:rsidP="00475EE3">
            <w:pPr>
              <w:tabs>
                <w:tab w:val="left" w:pos="4320"/>
              </w:tabs>
              <w:ind w:hanging="18"/>
              <w:rPr>
                <w:sz w:val="24"/>
                <w:szCs w:val="24"/>
              </w:rPr>
            </w:pPr>
            <w:r>
              <w:rPr>
                <w:sz w:val="24"/>
                <w:szCs w:val="24"/>
              </w:rPr>
              <w:t>)</w:t>
            </w:r>
            <w:r>
              <w:rPr>
                <w:sz w:val="24"/>
                <w:szCs w:val="24"/>
              </w:rPr>
              <w:br/>
              <w:t>)</w:t>
            </w:r>
            <w:r>
              <w:rPr>
                <w:sz w:val="24"/>
                <w:szCs w:val="24"/>
              </w:rPr>
              <w:br/>
              <w:t>)</w:t>
            </w:r>
            <w:r>
              <w:rPr>
                <w:sz w:val="24"/>
                <w:szCs w:val="24"/>
              </w:rPr>
              <w:br/>
              <w:t>)</w:t>
            </w:r>
          </w:p>
          <w:p w:rsidR="001A0D93" w:rsidRDefault="001A0D93" w:rsidP="00475EE3">
            <w:pPr>
              <w:tabs>
                <w:tab w:val="left" w:pos="4320"/>
              </w:tabs>
              <w:ind w:hanging="18"/>
              <w:rPr>
                <w:sz w:val="24"/>
                <w:szCs w:val="24"/>
              </w:rPr>
            </w:pPr>
          </w:p>
          <w:p w:rsidR="001A0D93" w:rsidRDefault="001A0D93" w:rsidP="00475EE3">
            <w:pPr>
              <w:tabs>
                <w:tab w:val="left" w:pos="4320"/>
              </w:tabs>
              <w:ind w:hanging="18"/>
              <w:rPr>
                <w:sz w:val="24"/>
                <w:szCs w:val="24"/>
              </w:rPr>
            </w:pPr>
            <w:r>
              <w:rPr>
                <w:sz w:val="24"/>
                <w:szCs w:val="24"/>
              </w:rPr>
              <w:t>)</w:t>
            </w:r>
            <w:r>
              <w:rPr>
                <w:sz w:val="24"/>
                <w:szCs w:val="24"/>
              </w:rPr>
              <w:br/>
              <w:t>)</w:t>
            </w:r>
            <w:r>
              <w:rPr>
                <w:sz w:val="24"/>
                <w:szCs w:val="24"/>
              </w:rPr>
              <w:br/>
              <w:t>)</w:t>
            </w:r>
          </w:p>
        </w:tc>
        <w:tc>
          <w:tcPr>
            <w:tcW w:w="3978" w:type="dxa"/>
          </w:tcPr>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No.12-1685-GA-AIR</w:t>
            </w: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 12-1686-GA-ATA</w:t>
            </w: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 12-1687-GA-ALT</w:t>
            </w: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p>
          <w:p w:rsidR="001A0D93" w:rsidRDefault="001A0D93" w:rsidP="00475EE3">
            <w:pPr>
              <w:tabs>
                <w:tab w:val="left" w:pos="4320"/>
              </w:tabs>
              <w:rPr>
                <w:sz w:val="24"/>
                <w:szCs w:val="24"/>
              </w:rPr>
            </w:pPr>
            <w:r>
              <w:rPr>
                <w:sz w:val="24"/>
                <w:szCs w:val="24"/>
              </w:rPr>
              <w:t>Case No. 12-1688-GA-AAM</w:t>
            </w:r>
          </w:p>
          <w:p w:rsidR="001A0D93" w:rsidRDefault="001A0D93" w:rsidP="00475EE3">
            <w:pPr>
              <w:tabs>
                <w:tab w:val="left" w:pos="4320"/>
              </w:tabs>
              <w:rPr>
                <w:sz w:val="24"/>
                <w:szCs w:val="24"/>
              </w:rPr>
            </w:pPr>
          </w:p>
        </w:tc>
      </w:tr>
    </w:tbl>
    <w:p w:rsidR="001A0D93" w:rsidRDefault="001A0D93" w:rsidP="001A0D93">
      <w:pPr>
        <w:pBdr>
          <w:bottom w:val="single" w:sz="12" w:space="1" w:color="auto"/>
        </w:pBdr>
        <w:jc w:val="center"/>
        <w:rPr>
          <w:b/>
          <w:bCs/>
          <w:sz w:val="24"/>
          <w:szCs w:val="24"/>
        </w:rPr>
      </w:pPr>
    </w:p>
    <w:p w:rsidR="001A0D93" w:rsidRDefault="001A0D93" w:rsidP="002A2E0C">
      <w:pPr>
        <w:ind w:right="-2520"/>
        <w:jc w:val="center"/>
        <w:rPr>
          <w:b/>
          <w:bCs/>
          <w:sz w:val="24"/>
          <w:szCs w:val="24"/>
        </w:rPr>
      </w:pPr>
    </w:p>
    <w:p w:rsidR="001A0D93" w:rsidRDefault="001A0D93" w:rsidP="001A0D93">
      <w:pPr>
        <w:jc w:val="center"/>
        <w:rPr>
          <w:b/>
          <w:bCs/>
          <w:sz w:val="24"/>
          <w:szCs w:val="24"/>
        </w:rPr>
      </w:pPr>
      <w:r>
        <w:rPr>
          <w:b/>
          <w:bCs/>
          <w:sz w:val="24"/>
          <w:szCs w:val="24"/>
        </w:rPr>
        <w:t xml:space="preserve">MEMORANDUM CONTRA </w:t>
      </w:r>
    </w:p>
    <w:p w:rsidR="001A0D93" w:rsidRDefault="001A0D93" w:rsidP="001A0D93">
      <w:pPr>
        <w:jc w:val="center"/>
        <w:rPr>
          <w:b/>
          <w:bCs/>
          <w:sz w:val="24"/>
          <w:szCs w:val="24"/>
        </w:rPr>
      </w:pPr>
      <w:r>
        <w:rPr>
          <w:b/>
          <w:bCs/>
          <w:sz w:val="24"/>
          <w:szCs w:val="24"/>
        </w:rPr>
        <w:t xml:space="preserve">COLUMBIA GAS OF OHIO, INC.’S MOTION FOR LEAVE TO FILE </w:t>
      </w:r>
    </w:p>
    <w:p w:rsidR="001A0D93" w:rsidRDefault="001A0D93" w:rsidP="001A0D93">
      <w:pPr>
        <w:jc w:val="center"/>
        <w:rPr>
          <w:b/>
          <w:bCs/>
          <w:sz w:val="24"/>
          <w:szCs w:val="24"/>
        </w:rPr>
      </w:pPr>
      <w:r w:rsidRPr="00C058DE">
        <w:rPr>
          <w:b/>
          <w:bCs/>
          <w:i/>
          <w:sz w:val="24"/>
          <w:szCs w:val="24"/>
        </w:rPr>
        <w:t>AMICUS CURIAE</w:t>
      </w:r>
      <w:r>
        <w:rPr>
          <w:b/>
          <w:bCs/>
          <w:sz w:val="24"/>
          <w:szCs w:val="24"/>
        </w:rPr>
        <w:t xml:space="preserve"> BRIEF</w:t>
      </w:r>
      <w:r w:rsidR="00684031">
        <w:rPr>
          <w:b/>
          <w:bCs/>
          <w:sz w:val="24"/>
          <w:szCs w:val="24"/>
        </w:rPr>
        <w:t xml:space="preserve"> AND REPLY BRIEF</w:t>
      </w:r>
    </w:p>
    <w:p w:rsidR="001A0D93" w:rsidRDefault="001A0D93" w:rsidP="001A0D93">
      <w:pPr>
        <w:jc w:val="center"/>
        <w:rPr>
          <w:b/>
          <w:bCs/>
          <w:sz w:val="24"/>
          <w:szCs w:val="24"/>
        </w:rPr>
      </w:pPr>
      <w:r>
        <w:rPr>
          <w:b/>
          <w:bCs/>
          <w:sz w:val="24"/>
          <w:szCs w:val="24"/>
        </w:rPr>
        <w:t>BY</w:t>
      </w:r>
    </w:p>
    <w:p w:rsidR="001A0D93" w:rsidRDefault="001A0D93" w:rsidP="001A0D93">
      <w:pPr>
        <w:pBdr>
          <w:bottom w:val="single" w:sz="12" w:space="1" w:color="auto"/>
        </w:pBdr>
        <w:jc w:val="center"/>
        <w:rPr>
          <w:b/>
          <w:bCs/>
          <w:sz w:val="24"/>
          <w:szCs w:val="24"/>
        </w:rPr>
      </w:pPr>
      <w:r>
        <w:rPr>
          <w:b/>
          <w:bCs/>
          <w:sz w:val="24"/>
          <w:szCs w:val="24"/>
        </w:rPr>
        <w:t>THE OFFICE OF THE OHIO CONSUMERS’ COUNSEL</w:t>
      </w:r>
      <w:r>
        <w:rPr>
          <w:b/>
          <w:bCs/>
          <w:sz w:val="24"/>
          <w:szCs w:val="24"/>
        </w:rPr>
        <w:br/>
      </w:r>
    </w:p>
    <w:p w:rsidR="001A0D93" w:rsidRDefault="001A0D93" w:rsidP="00525E05">
      <w:pPr>
        <w:spacing w:line="480" w:lineRule="auto"/>
        <w:ind w:firstLine="720"/>
        <w:rPr>
          <w:szCs w:val="24"/>
        </w:rPr>
      </w:pPr>
    </w:p>
    <w:p w:rsidR="00BB00C7" w:rsidRDefault="00525E05" w:rsidP="00525E05">
      <w:pPr>
        <w:spacing w:line="480" w:lineRule="auto"/>
        <w:ind w:firstLine="720"/>
        <w:rPr>
          <w:sz w:val="24"/>
          <w:szCs w:val="24"/>
        </w:rPr>
        <w:sectPr w:rsidR="00BB00C7" w:rsidSect="002A2E0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docGrid w:linePitch="272"/>
        </w:sectPr>
      </w:pPr>
      <w:r w:rsidRPr="00B97B82">
        <w:rPr>
          <w:sz w:val="24"/>
          <w:szCs w:val="24"/>
        </w:rPr>
        <w:t>On June 6, 2013, 122 days after the deadline for parties to file a Motion to Intervene in this case,</w:t>
      </w:r>
      <w:r w:rsidRPr="00B97B82">
        <w:rPr>
          <w:rStyle w:val="FootnoteReference"/>
          <w:sz w:val="24"/>
          <w:szCs w:val="24"/>
        </w:rPr>
        <w:footnoteReference w:id="1"/>
      </w:r>
      <w:r w:rsidRPr="00B97B82">
        <w:rPr>
          <w:sz w:val="24"/>
          <w:szCs w:val="24"/>
        </w:rPr>
        <w:t xml:space="preserve"> Columbia Gas of Ohio, Inc. (“Columbia”)</w:t>
      </w:r>
      <w:r w:rsidR="00475EE3">
        <w:rPr>
          <w:sz w:val="24"/>
          <w:szCs w:val="24"/>
        </w:rPr>
        <w:t xml:space="preserve"> asked to </w:t>
      </w:r>
      <w:r w:rsidR="00596CD9">
        <w:rPr>
          <w:sz w:val="24"/>
          <w:szCs w:val="24"/>
        </w:rPr>
        <w:t>enter</w:t>
      </w:r>
      <w:r w:rsidR="00475EE3">
        <w:rPr>
          <w:sz w:val="24"/>
          <w:szCs w:val="24"/>
        </w:rPr>
        <w:t xml:space="preserve"> its own legal arguments in this Duke Energy case</w:t>
      </w:r>
      <w:r w:rsidR="00706B30">
        <w:rPr>
          <w:sz w:val="24"/>
          <w:szCs w:val="24"/>
        </w:rPr>
        <w:t xml:space="preserve"> that affects Duke’s customers</w:t>
      </w:r>
      <w:r w:rsidR="00475EE3">
        <w:rPr>
          <w:sz w:val="24"/>
          <w:szCs w:val="24"/>
        </w:rPr>
        <w:t>.  This Duke case is about Duke’s request to increase its customers’ rates (and not Columbia’s rates) by $63 million for cleanup of its (Duke</w:t>
      </w:r>
      <w:r w:rsidR="000E6958">
        <w:rPr>
          <w:sz w:val="24"/>
          <w:szCs w:val="24"/>
        </w:rPr>
        <w:t>’s</w:t>
      </w:r>
      <w:r w:rsidR="00475EE3">
        <w:rPr>
          <w:sz w:val="24"/>
          <w:szCs w:val="24"/>
        </w:rPr>
        <w:t xml:space="preserve">) </w:t>
      </w:r>
      <w:r w:rsidR="000E6958">
        <w:rPr>
          <w:sz w:val="24"/>
          <w:szCs w:val="24"/>
        </w:rPr>
        <w:t>long-closed</w:t>
      </w:r>
      <w:r w:rsidR="00475EE3">
        <w:rPr>
          <w:sz w:val="24"/>
          <w:szCs w:val="24"/>
        </w:rPr>
        <w:t xml:space="preserve"> manufactured gas plants</w:t>
      </w:r>
      <w:r w:rsidR="009D4310">
        <w:rPr>
          <w:sz w:val="24"/>
          <w:szCs w:val="24"/>
        </w:rPr>
        <w:t xml:space="preserve"> (“MGP”)</w:t>
      </w:r>
      <w:r w:rsidR="00475EE3">
        <w:rPr>
          <w:sz w:val="24"/>
          <w:szCs w:val="24"/>
        </w:rPr>
        <w:t xml:space="preserve">.  </w:t>
      </w:r>
      <w:r w:rsidR="009D4310">
        <w:rPr>
          <w:sz w:val="24"/>
          <w:szCs w:val="24"/>
        </w:rPr>
        <w:t>Columbia moved for l</w:t>
      </w:r>
      <w:r w:rsidRPr="00B97B82">
        <w:rPr>
          <w:sz w:val="24"/>
          <w:szCs w:val="24"/>
        </w:rPr>
        <w:t xml:space="preserve">eave to </w:t>
      </w:r>
      <w:r w:rsidR="009D4310">
        <w:rPr>
          <w:sz w:val="24"/>
          <w:szCs w:val="24"/>
        </w:rPr>
        <w:t>f</w:t>
      </w:r>
      <w:r w:rsidRPr="00B97B82">
        <w:rPr>
          <w:sz w:val="24"/>
          <w:szCs w:val="24"/>
        </w:rPr>
        <w:t xml:space="preserve">ile </w:t>
      </w:r>
      <w:r w:rsidR="009D4310">
        <w:rPr>
          <w:sz w:val="24"/>
          <w:szCs w:val="24"/>
        </w:rPr>
        <w:t xml:space="preserve">an </w:t>
      </w:r>
      <w:r w:rsidRPr="00B97B82">
        <w:rPr>
          <w:sz w:val="24"/>
          <w:szCs w:val="24"/>
        </w:rPr>
        <w:t xml:space="preserve">Amicus Curiae </w:t>
      </w:r>
      <w:r w:rsidR="00684031">
        <w:rPr>
          <w:sz w:val="24"/>
          <w:szCs w:val="24"/>
        </w:rPr>
        <w:t>B</w:t>
      </w:r>
      <w:r w:rsidRPr="00B97B82">
        <w:rPr>
          <w:sz w:val="24"/>
          <w:szCs w:val="24"/>
        </w:rPr>
        <w:t>rief</w:t>
      </w:r>
      <w:r w:rsidR="001A0D93" w:rsidRPr="00B97B82">
        <w:rPr>
          <w:sz w:val="24"/>
          <w:szCs w:val="24"/>
        </w:rPr>
        <w:t xml:space="preserve"> </w:t>
      </w:r>
      <w:r w:rsidR="009D4310">
        <w:rPr>
          <w:sz w:val="24"/>
          <w:szCs w:val="24"/>
        </w:rPr>
        <w:t xml:space="preserve">and </w:t>
      </w:r>
      <w:r w:rsidR="00684031">
        <w:rPr>
          <w:sz w:val="24"/>
          <w:szCs w:val="24"/>
        </w:rPr>
        <w:t>R</w:t>
      </w:r>
      <w:r w:rsidR="009D4310">
        <w:rPr>
          <w:sz w:val="24"/>
          <w:szCs w:val="24"/>
        </w:rPr>
        <w:t xml:space="preserve">eply </w:t>
      </w:r>
      <w:r w:rsidR="00684031">
        <w:rPr>
          <w:sz w:val="24"/>
          <w:szCs w:val="24"/>
        </w:rPr>
        <w:t>B</w:t>
      </w:r>
      <w:r w:rsidR="009D4310">
        <w:rPr>
          <w:sz w:val="24"/>
          <w:szCs w:val="24"/>
        </w:rPr>
        <w:t xml:space="preserve">rief.  Columbia has filed both briefs while it awaits a ruling by the Public Utilities Commission of Ohio </w:t>
      </w:r>
    </w:p>
    <w:p w:rsidR="006A621E" w:rsidRDefault="009D4310" w:rsidP="00BB00C7">
      <w:pPr>
        <w:spacing w:line="480" w:lineRule="auto"/>
        <w:rPr>
          <w:sz w:val="24"/>
          <w:szCs w:val="24"/>
        </w:rPr>
      </w:pPr>
      <w:r>
        <w:rPr>
          <w:sz w:val="24"/>
          <w:szCs w:val="24"/>
        </w:rPr>
        <w:lastRenderedPageBreak/>
        <w:t xml:space="preserve">(“Commission” or “PUCO”).  The PUCO should </w:t>
      </w:r>
      <w:r w:rsidR="00596CD9">
        <w:rPr>
          <w:sz w:val="24"/>
          <w:szCs w:val="24"/>
        </w:rPr>
        <w:t xml:space="preserve">hear (and will </w:t>
      </w:r>
      <w:r>
        <w:rPr>
          <w:sz w:val="24"/>
          <w:szCs w:val="24"/>
        </w:rPr>
        <w:t>hear</w:t>
      </w:r>
      <w:r w:rsidR="00596CD9">
        <w:rPr>
          <w:sz w:val="24"/>
          <w:szCs w:val="24"/>
        </w:rPr>
        <w:t>)</w:t>
      </w:r>
      <w:r>
        <w:rPr>
          <w:sz w:val="24"/>
          <w:szCs w:val="24"/>
        </w:rPr>
        <w:t xml:space="preserve"> Columbia’s arguments when Columbia files a case to charge its customers for MGP costs.</w:t>
      </w:r>
      <w:r w:rsidR="006A621E">
        <w:rPr>
          <w:sz w:val="24"/>
          <w:szCs w:val="24"/>
        </w:rPr>
        <w:t xml:space="preserve">  </w:t>
      </w:r>
      <w:r w:rsidR="00596CD9">
        <w:rPr>
          <w:sz w:val="24"/>
          <w:szCs w:val="24"/>
        </w:rPr>
        <w:t>Additionally, Columbia began to address its circumstances on this issue in Columbia’s accounting deferral case.</w:t>
      </w:r>
    </w:p>
    <w:p w:rsidR="00525E05" w:rsidRPr="00B97B82" w:rsidRDefault="00525E05" w:rsidP="00525E05">
      <w:pPr>
        <w:spacing w:line="480" w:lineRule="auto"/>
        <w:ind w:firstLine="720"/>
        <w:rPr>
          <w:sz w:val="24"/>
          <w:szCs w:val="24"/>
        </w:rPr>
      </w:pPr>
      <w:r w:rsidRPr="00B97B82">
        <w:rPr>
          <w:sz w:val="24"/>
          <w:szCs w:val="24"/>
        </w:rPr>
        <w:t>Throu</w:t>
      </w:r>
      <w:r w:rsidR="001A0D93" w:rsidRPr="00B97B82">
        <w:rPr>
          <w:sz w:val="24"/>
          <w:szCs w:val="24"/>
        </w:rPr>
        <w:t>gh the filing of its</w:t>
      </w:r>
      <w:r w:rsidRPr="00B97B82">
        <w:rPr>
          <w:sz w:val="24"/>
          <w:szCs w:val="24"/>
        </w:rPr>
        <w:t xml:space="preserve"> Amicus Curiae Brief</w:t>
      </w:r>
      <w:r w:rsidR="001A0D93" w:rsidRPr="00B97B82">
        <w:rPr>
          <w:sz w:val="24"/>
          <w:szCs w:val="24"/>
        </w:rPr>
        <w:t>s</w:t>
      </w:r>
      <w:r w:rsidRPr="00B97B82">
        <w:rPr>
          <w:sz w:val="24"/>
          <w:szCs w:val="24"/>
        </w:rPr>
        <w:t xml:space="preserve">, Columbia is attempting to influence the decision </w:t>
      </w:r>
      <w:r w:rsidR="00B97B82">
        <w:rPr>
          <w:sz w:val="24"/>
          <w:szCs w:val="24"/>
        </w:rPr>
        <w:t>in a case involving a different utility</w:t>
      </w:r>
      <w:r w:rsidR="009D4310">
        <w:rPr>
          <w:sz w:val="24"/>
          <w:szCs w:val="24"/>
        </w:rPr>
        <w:t xml:space="preserve"> (Duke) and the different utility’s customers</w:t>
      </w:r>
      <w:r w:rsidR="00CD280B">
        <w:rPr>
          <w:sz w:val="24"/>
          <w:szCs w:val="24"/>
        </w:rPr>
        <w:t>.  Columbia</w:t>
      </w:r>
      <w:r w:rsidR="00B61B47">
        <w:rPr>
          <w:sz w:val="24"/>
          <w:szCs w:val="24"/>
        </w:rPr>
        <w:t xml:space="preserve"> has taken the unusual step of </w:t>
      </w:r>
      <w:r w:rsidR="00CD280B">
        <w:rPr>
          <w:sz w:val="24"/>
          <w:szCs w:val="24"/>
        </w:rPr>
        <w:t>interjecting itself in the Duke case</w:t>
      </w:r>
      <w:r w:rsidR="00B97B82">
        <w:rPr>
          <w:sz w:val="24"/>
          <w:szCs w:val="24"/>
        </w:rPr>
        <w:t xml:space="preserve"> </w:t>
      </w:r>
      <w:r w:rsidRPr="00B97B82">
        <w:rPr>
          <w:sz w:val="24"/>
          <w:szCs w:val="24"/>
        </w:rPr>
        <w:t>because of what Columbia perceives as the potential precedent that the current Duke case could have on a future Columbia rate case</w:t>
      </w:r>
      <w:r w:rsidR="00B97B82">
        <w:rPr>
          <w:sz w:val="24"/>
          <w:szCs w:val="24"/>
        </w:rPr>
        <w:t>.  Columbia stated</w:t>
      </w:r>
      <w:r w:rsidRPr="00B97B82">
        <w:rPr>
          <w:sz w:val="24"/>
          <w:szCs w:val="24"/>
        </w:rPr>
        <w:t>:</w:t>
      </w:r>
    </w:p>
    <w:p w:rsidR="00525E05" w:rsidRPr="00B97B82" w:rsidRDefault="00525E05" w:rsidP="00525E05">
      <w:pPr>
        <w:spacing w:after="240"/>
        <w:ind w:left="1440" w:right="1440"/>
        <w:rPr>
          <w:sz w:val="24"/>
          <w:szCs w:val="24"/>
        </w:rPr>
      </w:pPr>
      <w:r w:rsidRPr="00684031">
        <w:rPr>
          <w:b/>
          <w:sz w:val="24"/>
          <w:szCs w:val="24"/>
        </w:rPr>
        <w:t>Columbia’s future ability</w:t>
      </w:r>
      <w:r w:rsidRPr="00B97B82">
        <w:rPr>
          <w:sz w:val="24"/>
          <w:szCs w:val="24"/>
        </w:rPr>
        <w:t xml:space="preserve"> to recover those deferred environmental investigation and remediation costs is now threatened by the extraordinary and erroneous legal positions that the Commission Staff has taken in this case.</w:t>
      </w:r>
      <w:r w:rsidR="00B97B82">
        <w:rPr>
          <w:sz w:val="24"/>
          <w:szCs w:val="24"/>
        </w:rPr>
        <w:t xml:space="preserve">  (Emphasis added)</w:t>
      </w:r>
      <w:r w:rsidRPr="00B97B82">
        <w:rPr>
          <w:rStyle w:val="FootnoteReference"/>
          <w:sz w:val="24"/>
          <w:szCs w:val="24"/>
        </w:rPr>
        <w:footnoteReference w:id="2"/>
      </w:r>
      <w:r w:rsidRPr="00B97B82">
        <w:rPr>
          <w:sz w:val="24"/>
          <w:szCs w:val="24"/>
        </w:rPr>
        <w:t xml:space="preserve">  </w:t>
      </w:r>
    </w:p>
    <w:p w:rsidR="00525E05" w:rsidRPr="00B97B82" w:rsidRDefault="00525E05" w:rsidP="00525E05">
      <w:pPr>
        <w:spacing w:after="240"/>
        <w:ind w:right="-90"/>
        <w:rPr>
          <w:sz w:val="24"/>
          <w:szCs w:val="24"/>
        </w:rPr>
      </w:pPr>
      <w:r w:rsidRPr="00B97B82">
        <w:rPr>
          <w:sz w:val="24"/>
          <w:szCs w:val="24"/>
        </w:rPr>
        <w:t>Columbia’s justification for the Amicus Curiae Brief</w:t>
      </w:r>
      <w:r w:rsidR="001A0D93" w:rsidRPr="00B97B82">
        <w:rPr>
          <w:sz w:val="24"/>
          <w:szCs w:val="24"/>
        </w:rPr>
        <w:t>s</w:t>
      </w:r>
      <w:r w:rsidRPr="00B97B82">
        <w:rPr>
          <w:sz w:val="24"/>
          <w:szCs w:val="24"/>
        </w:rPr>
        <w:t xml:space="preserve"> also includes the claim of:</w:t>
      </w:r>
    </w:p>
    <w:p w:rsidR="00177008" w:rsidRPr="00B97B82" w:rsidRDefault="00525E05" w:rsidP="003B51E8">
      <w:pPr>
        <w:spacing w:after="240"/>
        <w:ind w:left="1440" w:right="1440"/>
        <w:rPr>
          <w:sz w:val="24"/>
          <w:szCs w:val="24"/>
        </w:rPr>
      </w:pPr>
      <w:r w:rsidRPr="00B97B82">
        <w:rPr>
          <w:sz w:val="24"/>
          <w:szCs w:val="24"/>
        </w:rPr>
        <w:t xml:space="preserve">Columbia’s </w:t>
      </w:r>
      <w:r w:rsidRPr="00B97B82">
        <w:rPr>
          <w:b/>
          <w:sz w:val="24"/>
          <w:szCs w:val="24"/>
        </w:rPr>
        <w:t>strong interest</w:t>
      </w:r>
      <w:r w:rsidRPr="00B97B82">
        <w:rPr>
          <w:sz w:val="24"/>
          <w:szCs w:val="24"/>
        </w:rPr>
        <w:t xml:space="preserve"> in the Commission’s determination of the recoverability of deferred environmental remediation expenses, (Emphasis added).</w:t>
      </w:r>
      <w:r w:rsidRPr="00B97B82">
        <w:rPr>
          <w:rStyle w:val="FootnoteReference"/>
          <w:sz w:val="24"/>
          <w:szCs w:val="24"/>
        </w:rPr>
        <w:footnoteReference w:id="3"/>
      </w:r>
    </w:p>
    <w:p w:rsidR="00525E05" w:rsidRPr="00B97B82" w:rsidRDefault="00177008" w:rsidP="00525E05">
      <w:pPr>
        <w:spacing w:line="480" w:lineRule="auto"/>
        <w:ind w:firstLine="720"/>
        <w:rPr>
          <w:sz w:val="24"/>
          <w:szCs w:val="24"/>
        </w:rPr>
      </w:pPr>
      <w:r>
        <w:rPr>
          <w:sz w:val="24"/>
          <w:szCs w:val="24"/>
        </w:rPr>
        <w:t>In the similar context of intervention, t</w:t>
      </w:r>
      <w:r w:rsidR="00525E05" w:rsidRPr="00B97B82">
        <w:rPr>
          <w:sz w:val="24"/>
          <w:szCs w:val="24"/>
        </w:rPr>
        <w:t xml:space="preserve">he PUCO has ruled that the </w:t>
      </w:r>
      <w:r w:rsidR="00B97B82">
        <w:rPr>
          <w:sz w:val="24"/>
          <w:szCs w:val="24"/>
        </w:rPr>
        <w:t xml:space="preserve">claimed </w:t>
      </w:r>
      <w:r w:rsidR="00525E05" w:rsidRPr="00B97B82">
        <w:rPr>
          <w:sz w:val="24"/>
          <w:szCs w:val="24"/>
        </w:rPr>
        <w:t xml:space="preserve">interest of protecting against </w:t>
      </w:r>
      <w:r w:rsidR="00B97B82">
        <w:rPr>
          <w:sz w:val="24"/>
          <w:szCs w:val="24"/>
        </w:rPr>
        <w:t xml:space="preserve">the setting of </w:t>
      </w:r>
      <w:r w:rsidR="00525E05" w:rsidRPr="00B97B82">
        <w:rPr>
          <w:sz w:val="24"/>
          <w:szCs w:val="24"/>
        </w:rPr>
        <w:t xml:space="preserve">precedent was not sufficient grounds for granting intervention in a case.  </w:t>
      </w:r>
      <w:r w:rsidR="001F406F">
        <w:rPr>
          <w:sz w:val="24"/>
          <w:szCs w:val="24"/>
        </w:rPr>
        <w:t>For example</w:t>
      </w:r>
      <w:r w:rsidR="00B97B82">
        <w:rPr>
          <w:sz w:val="24"/>
          <w:szCs w:val="24"/>
        </w:rPr>
        <w:t xml:space="preserve">, </w:t>
      </w:r>
      <w:r w:rsidR="00525E05" w:rsidRPr="00B97B82">
        <w:rPr>
          <w:sz w:val="24"/>
          <w:szCs w:val="24"/>
        </w:rPr>
        <w:t>Columbia filed a Motion to file an Amicus Brief in a Vectren Energy Delivery of Ohio (“Vectren”) Gas Cost Recovery (“GCR”) proceeding</w:t>
      </w:r>
      <w:r w:rsidR="005176DD">
        <w:rPr>
          <w:sz w:val="24"/>
          <w:szCs w:val="24"/>
        </w:rPr>
        <w:t>.</w:t>
      </w:r>
      <w:r w:rsidR="00B97B82">
        <w:rPr>
          <w:sz w:val="24"/>
          <w:szCs w:val="24"/>
        </w:rPr>
        <w:t xml:space="preserve"> </w:t>
      </w:r>
      <w:r w:rsidR="005176DD">
        <w:rPr>
          <w:sz w:val="24"/>
          <w:szCs w:val="24"/>
        </w:rPr>
        <w:t>T</w:t>
      </w:r>
      <w:r w:rsidR="00B97B82">
        <w:rPr>
          <w:sz w:val="24"/>
          <w:szCs w:val="24"/>
        </w:rPr>
        <w:t>he PUCO denied Columbia’s Motion</w:t>
      </w:r>
      <w:r w:rsidR="00525E05" w:rsidRPr="00B97B82">
        <w:rPr>
          <w:sz w:val="24"/>
          <w:szCs w:val="24"/>
        </w:rPr>
        <w:t>.</w:t>
      </w:r>
      <w:r w:rsidR="00525E05" w:rsidRPr="00B97B82">
        <w:rPr>
          <w:rStyle w:val="FootnoteReference"/>
          <w:sz w:val="24"/>
          <w:szCs w:val="24"/>
        </w:rPr>
        <w:footnoteReference w:id="4"/>
      </w:r>
      <w:r w:rsidR="00525E05" w:rsidRPr="00B97B82">
        <w:rPr>
          <w:sz w:val="24"/>
          <w:szCs w:val="24"/>
        </w:rPr>
        <w:t xml:space="preserve">  </w:t>
      </w:r>
    </w:p>
    <w:p w:rsidR="00525E05" w:rsidRPr="00B97B82" w:rsidRDefault="00525E05" w:rsidP="00525E05">
      <w:pPr>
        <w:spacing w:line="480" w:lineRule="auto"/>
        <w:ind w:firstLine="720"/>
        <w:rPr>
          <w:sz w:val="24"/>
          <w:szCs w:val="24"/>
        </w:rPr>
      </w:pPr>
      <w:r w:rsidRPr="00B97B82">
        <w:rPr>
          <w:sz w:val="24"/>
          <w:szCs w:val="24"/>
        </w:rPr>
        <w:t xml:space="preserve">Like the current case, the Vectren GCR Case (where Columbia filed the similar Motion) involved an argument of whether an issue had been </w:t>
      </w:r>
      <w:r w:rsidR="00B97B82">
        <w:rPr>
          <w:sz w:val="24"/>
          <w:szCs w:val="24"/>
        </w:rPr>
        <w:t xml:space="preserve">or would be </w:t>
      </w:r>
      <w:r w:rsidRPr="00B97B82">
        <w:rPr>
          <w:sz w:val="24"/>
          <w:szCs w:val="24"/>
        </w:rPr>
        <w:t>resolved in a prior case and if the issue was ripe for review in the then-current case.  In the Vectren GCR Case, Columbia argued that the issue of a propane sale, reserve margin and asset management should have been argued in an earlier Long Term Forecast Report (“LTFR”) case.  Columbia</w:t>
      </w:r>
      <w:r w:rsidR="00223864">
        <w:rPr>
          <w:sz w:val="24"/>
          <w:szCs w:val="24"/>
        </w:rPr>
        <w:t xml:space="preserve">’s </w:t>
      </w:r>
      <w:r w:rsidRPr="00B97B82">
        <w:rPr>
          <w:sz w:val="24"/>
          <w:szCs w:val="24"/>
        </w:rPr>
        <w:t>position was that absent a positive finding to the contrary, the PUCO must have found that Vectren’s earlier LTFR cases were reasonable and thus addressed the propane, reserve margin and asset management issues.</w:t>
      </w:r>
      <w:r w:rsidRPr="00B97B82">
        <w:rPr>
          <w:rStyle w:val="FootnoteReference"/>
          <w:sz w:val="24"/>
          <w:szCs w:val="24"/>
        </w:rPr>
        <w:footnoteReference w:id="5"/>
      </w:r>
      <w:r w:rsidRPr="00B97B82">
        <w:rPr>
          <w:sz w:val="24"/>
          <w:szCs w:val="24"/>
        </w:rPr>
        <w:t xml:space="preserve"> </w:t>
      </w:r>
    </w:p>
    <w:p w:rsidR="00525E05" w:rsidRPr="00B97B82" w:rsidRDefault="00525E05" w:rsidP="00684031">
      <w:pPr>
        <w:spacing w:line="480" w:lineRule="auto"/>
        <w:ind w:firstLine="720"/>
        <w:rPr>
          <w:sz w:val="24"/>
          <w:szCs w:val="24"/>
        </w:rPr>
      </w:pPr>
      <w:r w:rsidRPr="00B97B82">
        <w:rPr>
          <w:sz w:val="24"/>
          <w:szCs w:val="24"/>
        </w:rPr>
        <w:t>Columbia’s position in the Vectren case is similar to the argument raised by Duke in this case that the PUCO’s granting a deferral for MGP-related investigation and remediation costs in the Duke Deferral case meant that the issue had been resolved.  The PUCO denied Columbia’s Motion in the Vectren GCR Case</w:t>
      </w:r>
      <w:r w:rsidR="005176DD">
        <w:rPr>
          <w:sz w:val="24"/>
          <w:szCs w:val="24"/>
        </w:rPr>
        <w:t xml:space="preserve">. </w:t>
      </w:r>
      <w:r w:rsidRPr="00B97B82">
        <w:rPr>
          <w:sz w:val="24"/>
          <w:szCs w:val="24"/>
        </w:rPr>
        <w:t xml:space="preserve"> </w:t>
      </w:r>
      <w:r w:rsidR="005176DD">
        <w:rPr>
          <w:sz w:val="24"/>
          <w:szCs w:val="24"/>
        </w:rPr>
        <w:t>A</w:t>
      </w:r>
      <w:r w:rsidRPr="00B97B82">
        <w:rPr>
          <w:sz w:val="24"/>
          <w:szCs w:val="24"/>
        </w:rPr>
        <w:t>nd</w:t>
      </w:r>
      <w:r w:rsidR="005176DD">
        <w:rPr>
          <w:sz w:val="24"/>
          <w:szCs w:val="24"/>
        </w:rPr>
        <w:t xml:space="preserve"> the PUCO</w:t>
      </w:r>
      <w:r w:rsidRPr="00B97B82">
        <w:rPr>
          <w:sz w:val="24"/>
          <w:szCs w:val="24"/>
        </w:rPr>
        <w:t xml:space="preserve"> rejected all of Columbia’s arguments, in part, because of the late stage of the proceeding (at the rehearing stage).</w:t>
      </w:r>
      <w:r w:rsidRPr="00B97B82">
        <w:rPr>
          <w:rStyle w:val="FootnoteReference"/>
          <w:sz w:val="24"/>
          <w:szCs w:val="24"/>
        </w:rPr>
        <w:footnoteReference w:id="6"/>
      </w:r>
      <w:r w:rsidRPr="00B97B82">
        <w:rPr>
          <w:sz w:val="24"/>
          <w:szCs w:val="24"/>
        </w:rPr>
        <w:t xml:space="preserve">  The same reasoning applies here</w:t>
      </w:r>
      <w:r w:rsidR="005176DD">
        <w:rPr>
          <w:sz w:val="24"/>
          <w:szCs w:val="24"/>
        </w:rPr>
        <w:t xml:space="preserve">. </w:t>
      </w:r>
      <w:r w:rsidRPr="00B97B82">
        <w:rPr>
          <w:sz w:val="24"/>
          <w:szCs w:val="24"/>
        </w:rPr>
        <w:t xml:space="preserve"> </w:t>
      </w:r>
      <w:r w:rsidR="005176DD">
        <w:rPr>
          <w:sz w:val="24"/>
          <w:szCs w:val="24"/>
        </w:rPr>
        <w:t>T</w:t>
      </w:r>
      <w:r w:rsidRPr="00B97B82">
        <w:rPr>
          <w:sz w:val="24"/>
          <w:szCs w:val="24"/>
        </w:rPr>
        <w:t xml:space="preserve">his case has been pending over 12 months, and with </w:t>
      </w:r>
      <w:r w:rsidR="00B97B82">
        <w:rPr>
          <w:sz w:val="24"/>
          <w:szCs w:val="24"/>
        </w:rPr>
        <w:t xml:space="preserve">the filing of </w:t>
      </w:r>
      <w:r w:rsidRPr="00B97B82">
        <w:rPr>
          <w:sz w:val="24"/>
          <w:szCs w:val="24"/>
        </w:rPr>
        <w:t xml:space="preserve">Reply Briefs </w:t>
      </w:r>
      <w:r w:rsidR="00B97B82">
        <w:rPr>
          <w:sz w:val="24"/>
          <w:szCs w:val="24"/>
        </w:rPr>
        <w:t>is now</w:t>
      </w:r>
      <w:r w:rsidRPr="00B97B82">
        <w:rPr>
          <w:sz w:val="24"/>
          <w:szCs w:val="24"/>
        </w:rPr>
        <w:t xml:space="preserve"> ripe for a PUCO decision.  </w:t>
      </w:r>
    </w:p>
    <w:p w:rsidR="00525E05" w:rsidRPr="00B97B82" w:rsidRDefault="000E6958" w:rsidP="00525E05">
      <w:pPr>
        <w:spacing w:line="480" w:lineRule="auto"/>
        <w:ind w:firstLine="720"/>
        <w:rPr>
          <w:sz w:val="24"/>
          <w:szCs w:val="24"/>
        </w:rPr>
      </w:pPr>
      <w:r>
        <w:rPr>
          <w:sz w:val="24"/>
          <w:szCs w:val="24"/>
        </w:rPr>
        <w:t>Similarly, i</w:t>
      </w:r>
      <w:r w:rsidR="00525E05" w:rsidRPr="00B97B82">
        <w:rPr>
          <w:sz w:val="24"/>
          <w:szCs w:val="24"/>
        </w:rPr>
        <w:t>n a FirstEnergy standard service offer case, Duke filed for intervention.  Duke included in its Motion that it was interested in the potential precedent</w:t>
      </w:r>
      <w:r w:rsidR="00B97B82">
        <w:rPr>
          <w:sz w:val="24"/>
          <w:szCs w:val="24"/>
        </w:rPr>
        <w:t xml:space="preserve"> that might be established in that case</w:t>
      </w:r>
      <w:r w:rsidR="00525E05" w:rsidRPr="00B97B82">
        <w:rPr>
          <w:sz w:val="24"/>
          <w:szCs w:val="24"/>
        </w:rPr>
        <w:t>.</w:t>
      </w:r>
      <w:r w:rsidR="00525E05" w:rsidRPr="00B97B82">
        <w:rPr>
          <w:rStyle w:val="FootnoteReference"/>
          <w:sz w:val="24"/>
          <w:szCs w:val="24"/>
        </w:rPr>
        <w:footnoteReference w:id="7"/>
      </w:r>
      <w:r w:rsidR="00525E05" w:rsidRPr="00B97B82">
        <w:rPr>
          <w:sz w:val="24"/>
          <w:szCs w:val="24"/>
        </w:rPr>
        <w:t xml:space="preserve">  In Duke’s Reply to OCC’s </w:t>
      </w:r>
      <w:r w:rsidR="00B97B82">
        <w:rPr>
          <w:sz w:val="24"/>
          <w:szCs w:val="24"/>
        </w:rPr>
        <w:t>M</w:t>
      </w:r>
      <w:r w:rsidR="00525E05" w:rsidRPr="00B97B82">
        <w:rPr>
          <w:sz w:val="24"/>
          <w:szCs w:val="24"/>
        </w:rPr>
        <w:t xml:space="preserve">emorandum </w:t>
      </w:r>
      <w:r w:rsidR="00B97B82">
        <w:rPr>
          <w:sz w:val="24"/>
          <w:szCs w:val="24"/>
        </w:rPr>
        <w:t>C</w:t>
      </w:r>
      <w:r w:rsidR="00525E05" w:rsidRPr="00B97B82">
        <w:rPr>
          <w:sz w:val="24"/>
          <w:szCs w:val="24"/>
        </w:rPr>
        <w:t xml:space="preserve">ontra, Duke </w:t>
      </w:r>
      <w:r w:rsidR="00C660DA">
        <w:rPr>
          <w:sz w:val="24"/>
          <w:szCs w:val="24"/>
        </w:rPr>
        <w:t xml:space="preserve">also </w:t>
      </w:r>
      <w:r w:rsidR="00525E05" w:rsidRPr="00B97B82">
        <w:rPr>
          <w:sz w:val="24"/>
          <w:szCs w:val="24"/>
        </w:rPr>
        <w:t>stated an additional interest in the case that warranted the PUCO granting Duke’s intervention.  While granting Duke’s intervention, the PUCO Entry stated: “</w:t>
      </w:r>
      <w:r w:rsidR="00525E05" w:rsidRPr="00B97B82">
        <w:rPr>
          <w:b/>
          <w:sz w:val="24"/>
          <w:szCs w:val="24"/>
        </w:rPr>
        <w:t>Although OCC is correct that an interest in potential precedent alone is insufficient grounds for intervention</w:t>
      </w:r>
      <w:r w:rsidR="00525E05" w:rsidRPr="00B97B82">
        <w:rPr>
          <w:sz w:val="24"/>
          <w:szCs w:val="24"/>
        </w:rPr>
        <w:t>, Duke has stated a sufficient interest as a potential market participant in any auction resulting from this proceeding.”</w:t>
      </w:r>
      <w:r w:rsidR="00525E05" w:rsidRPr="00B97B82">
        <w:rPr>
          <w:rStyle w:val="FootnoteReference"/>
          <w:sz w:val="24"/>
          <w:szCs w:val="24"/>
        </w:rPr>
        <w:footnoteReference w:id="8"/>
      </w:r>
      <w:r w:rsidR="00525E05" w:rsidRPr="00B97B82">
        <w:rPr>
          <w:sz w:val="24"/>
          <w:szCs w:val="24"/>
        </w:rPr>
        <w:t xml:space="preserve">  </w:t>
      </w:r>
      <w:r w:rsidR="00E726CE">
        <w:rPr>
          <w:sz w:val="24"/>
          <w:szCs w:val="24"/>
        </w:rPr>
        <w:t>Here</w:t>
      </w:r>
      <w:r w:rsidR="00525E05" w:rsidRPr="00B97B82">
        <w:rPr>
          <w:sz w:val="24"/>
          <w:szCs w:val="24"/>
        </w:rPr>
        <w:t>, Columbia is only appearing in these cases to protect precedent</w:t>
      </w:r>
      <w:r w:rsidR="007D63F8">
        <w:rPr>
          <w:sz w:val="24"/>
          <w:szCs w:val="24"/>
        </w:rPr>
        <w:t>.  T</w:t>
      </w:r>
      <w:r w:rsidR="00E726CE">
        <w:rPr>
          <w:sz w:val="24"/>
          <w:szCs w:val="24"/>
        </w:rPr>
        <w:t>hus</w:t>
      </w:r>
      <w:r w:rsidR="007D63F8">
        <w:rPr>
          <w:sz w:val="24"/>
          <w:szCs w:val="24"/>
        </w:rPr>
        <w:t>,</w:t>
      </w:r>
      <w:r w:rsidR="00E726CE">
        <w:rPr>
          <w:sz w:val="24"/>
          <w:szCs w:val="24"/>
        </w:rPr>
        <w:t xml:space="preserve"> the PUCO prior rulings against participation to simply protect against precedent should be applied to deny Columbia</w:t>
      </w:r>
      <w:r w:rsidR="00291101">
        <w:rPr>
          <w:sz w:val="24"/>
          <w:szCs w:val="24"/>
        </w:rPr>
        <w:t>’s</w:t>
      </w:r>
      <w:r w:rsidR="00E726CE">
        <w:rPr>
          <w:sz w:val="24"/>
          <w:szCs w:val="24"/>
        </w:rPr>
        <w:t xml:space="preserve"> </w:t>
      </w:r>
      <w:r w:rsidR="00525E05" w:rsidRPr="00B97B82">
        <w:rPr>
          <w:sz w:val="24"/>
          <w:szCs w:val="24"/>
        </w:rPr>
        <w:t>participat</w:t>
      </w:r>
      <w:r w:rsidR="00291101">
        <w:rPr>
          <w:sz w:val="24"/>
          <w:szCs w:val="24"/>
        </w:rPr>
        <w:t>ion</w:t>
      </w:r>
      <w:r w:rsidR="00525E05" w:rsidRPr="00B97B82">
        <w:rPr>
          <w:sz w:val="24"/>
          <w:szCs w:val="24"/>
        </w:rPr>
        <w:t xml:space="preserve"> as an </w:t>
      </w:r>
      <w:r w:rsidR="00223864">
        <w:rPr>
          <w:sz w:val="24"/>
          <w:szCs w:val="24"/>
        </w:rPr>
        <w:t>a</w:t>
      </w:r>
      <w:r w:rsidR="00525E05" w:rsidRPr="00B97B82">
        <w:rPr>
          <w:sz w:val="24"/>
          <w:szCs w:val="24"/>
        </w:rPr>
        <w:t>micus filer.</w:t>
      </w:r>
      <w:r w:rsidR="00291101">
        <w:rPr>
          <w:rStyle w:val="FootnoteReference"/>
          <w:sz w:val="24"/>
          <w:szCs w:val="24"/>
        </w:rPr>
        <w:footnoteReference w:id="9"/>
      </w:r>
      <w:r w:rsidR="00525E05" w:rsidRPr="00B97B82">
        <w:rPr>
          <w:sz w:val="24"/>
          <w:szCs w:val="24"/>
        </w:rPr>
        <w:t xml:space="preserve"> </w:t>
      </w:r>
    </w:p>
    <w:p w:rsidR="00C660DA" w:rsidRDefault="00525E05" w:rsidP="00525E05">
      <w:pPr>
        <w:spacing w:line="480" w:lineRule="auto"/>
        <w:ind w:firstLine="720"/>
        <w:rPr>
          <w:sz w:val="24"/>
          <w:szCs w:val="24"/>
        </w:rPr>
      </w:pPr>
      <w:r w:rsidRPr="00B97B82">
        <w:rPr>
          <w:sz w:val="24"/>
          <w:szCs w:val="24"/>
        </w:rPr>
        <w:t xml:space="preserve">In addition to this precedent that supports denial of Columbia’s Motion, there are other reasons to deny Columbia’s Motion.  First, Columbia erroneously claims that its </w:t>
      </w:r>
    </w:p>
    <w:p w:rsidR="00525E05" w:rsidRPr="00B97B82" w:rsidRDefault="00525E05" w:rsidP="002067F2">
      <w:pPr>
        <w:spacing w:line="480" w:lineRule="auto"/>
        <w:rPr>
          <w:sz w:val="24"/>
          <w:szCs w:val="24"/>
        </w:rPr>
      </w:pPr>
      <w:r w:rsidRPr="00B97B82">
        <w:rPr>
          <w:sz w:val="24"/>
          <w:szCs w:val="24"/>
        </w:rPr>
        <w:t>future ability to recover deferred environmental investigation and remediation costs is ‘now’ threatened.  In making this claim, Columbia seems to be implying that its ability to recover those costs was somehow not previously at risk.  Such an assumption is wrong</w:t>
      </w:r>
      <w:r w:rsidR="00E1552A">
        <w:rPr>
          <w:sz w:val="24"/>
          <w:szCs w:val="24"/>
        </w:rPr>
        <w:t>.</w:t>
      </w:r>
      <w:r w:rsidRPr="00B97B82">
        <w:rPr>
          <w:sz w:val="24"/>
          <w:szCs w:val="24"/>
        </w:rPr>
        <w:t xml:space="preserve"> Columbia has always and will continue to be at risk for recovery of MGP-related environmental investigation and remediation costs until such time as the PUCO reviews their recoverability in a future rate case</w:t>
      </w:r>
      <w:r w:rsidR="00BC6B11">
        <w:rPr>
          <w:sz w:val="24"/>
          <w:szCs w:val="24"/>
        </w:rPr>
        <w:t>.  In its deferral accounting Entries, t</w:t>
      </w:r>
      <w:r w:rsidR="00E1552A">
        <w:rPr>
          <w:sz w:val="24"/>
          <w:szCs w:val="24"/>
        </w:rPr>
        <w:t>he PUCO has been quite clear on this point to Duke and, as follows, to Columbia:</w:t>
      </w:r>
    </w:p>
    <w:p w:rsidR="00525E05" w:rsidRPr="00B97B82" w:rsidRDefault="00525E05" w:rsidP="00BB00C7">
      <w:pPr>
        <w:autoSpaceDE w:val="0"/>
        <w:autoSpaceDN w:val="0"/>
        <w:adjustRightInd w:val="0"/>
        <w:ind w:left="1440" w:right="720"/>
        <w:rPr>
          <w:sz w:val="24"/>
          <w:szCs w:val="24"/>
        </w:rPr>
      </w:pPr>
      <w:r w:rsidRPr="00B97B82">
        <w:rPr>
          <w:sz w:val="24"/>
          <w:szCs w:val="24"/>
        </w:rPr>
        <w:t xml:space="preserve">(10) Since the requested authority to change Columbia’s accounting procedures does not result in any increase in rate or charge, the Commission approves this application without a hearing. </w:t>
      </w:r>
      <w:r w:rsidRPr="00B97B82">
        <w:rPr>
          <w:b/>
          <w:sz w:val="24"/>
          <w:szCs w:val="24"/>
        </w:rPr>
        <w:t>The recovery of the deferred amounts will be addressed in Columbia’s next base rate case proceeding</w:t>
      </w:r>
      <w:r w:rsidRPr="00B97B82">
        <w:rPr>
          <w:sz w:val="24"/>
          <w:szCs w:val="24"/>
        </w:rPr>
        <w:t>. As the Supreme</w:t>
      </w:r>
      <w:r w:rsidRPr="00B97B82">
        <w:rPr>
          <w:b/>
          <w:sz w:val="24"/>
          <w:szCs w:val="24"/>
        </w:rPr>
        <w:t xml:space="preserve"> </w:t>
      </w:r>
      <w:r w:rsidRPr="00B97B82">
        <w:rPr>
          <w:sz w:val="24"/>
          <w:szCs w:val="24"/>
        </w:rPr>
        <w:t>Court has previously held, deferrals do not constitute</w:t>
      </w:r>
      <w:r w:rsidR="00E726CE">
        <w:rPr>
          <w:sz w:val="24"/>
          <w:szCs w:val="24"/>
        </w:rPr>
        <w:t xml:space="preserve"> </w:t>
      </w:r>
      <w:r w:rsidRPr="00B97B82">
        <w:rPr>
          <w:sz w:val="24"/>
          <w:szCs w:val="24"/>
        </w:rPr>
        <w:t xml:space="preserve">ratemaking. See, e.g., Elyria Foundry Co. v. Pub. Util. Comm., 114 Ohio St.3d 305 (2007). </w:t>
      </w:r>
    </w:p>
    <w:p w:rsidR="00525E05" w:rsidRPr="00B97B82" w:rsidRDefault="00525E05" w:rsidP="00525E05">
      <w:pPr>
        <w:autoSpaceDE w:val="0"/>
        <w:autoSpaceDN w:val="0"/>
        <w:adjustRightInd w:val="0"/>
        <w:ind w:left="1440" w:right="1440"/>
        <w:rPr>
          <w:sz w:val="24"/>
          <w:szCs w:val="24"/>
        </w:rPr>
      </w:pPr>
    </w:p>
    <w:p w:rsidR="00525E05" w:rsidRPr="00B97B82" w:rsidRDefault="00525E05" w:rsidP="00525E05">
      <w:pPr>
        <w:autoSpaceDE w:val="0"/>
        <w:autoSpaceDN w:val="0"/>
        <w:adjustRightInd w:val="0"/>
        <w:ind w:left="3600" w:right="1440" w:firstLine="720"/>
        <w:rPr>
          <w:sz w:val="24"/>
          <w:szCs w:val="24"/>
        </w:rPr>
      </w:pPr>
      <w:r w:rsidRPr="00B97B82">
        <w:rPr>
          <w:sz w:val="24"/>
          <w:szCs w:val="24"/>
        </w:rPr>
        <w:t>* * *</w:t>
      </w:r>
    </w:p>
    <w:p w:rsidR="00525E05" w:rsidRPr="00B97B82" w:rsidRDefault="00525E05" w:rsidP="00525E05">
      <w:pPr>
        <w:autoSpaceDE w:val="0"/>
        <w:autoSpaceDN w:val="0"/>
        <w:adjustRightInd w:val="0"/>
        <w:ind w:left="1440" w:right="1440"/>
        <w:rPr>
          <w:sz w:val="24"/>
          <w:szCs w:val="24"/>
        </w:rPr>
      </w:pPr>
    </w:p>
    <w:p w:rsidR="00525E05" w:rsidRPr="00B97B82" w:rsidRDefault="00525E05" w:rsidP="00BB00C7">
      <w:pPr>
        <w:autoSpaceDE w:val="0"/>
        <w:autoSpaceDN w:val="0"/>
        <w:adjustRightInd w:val="0"/>
        <w:ind w:left="1440" w:right="720"/>
        <w:rPr>
          <w:sz w:val="24"/>
          <w:szCs w:val="24"/>
        </w:rPr>
      </w:pPr>
      <w:r w:rsidRPr="00B97B82">
        <w:rPr>
          <w:sz w:val="24"/>
          <w:szCs w:val="24"/>
        </w:rPr>
        <w:t xml:space="preserve">ORDERED, </w:t>
      </w:r>
      <w:r w:rsidRPr="00B97B82">
        <w:rPr>
          <w:b/>
          <w:sz w:val="24"/>
          <w:szCs w:val="24"/>
        </w:rPr>
        <w:t>That nothing in this Entry shall be binding upon this Commission in any subsequent investigation or proceeding</w:t>
      </w:r>
      <w:r w:rsidRPr="00B97B82">
        <w:rPr>
          <w:sz w:val="24"/>
          <w:szCs w:val="24"/>
        </w:rPr>
        <w:t xml:space="preserve"> involving the justness or reasonableness of any rate, charge, rule, or regulation.</w:t>
      </w:r>
      <w:r w:rsidRPr="00B97B82">
        <w:rPr>
          <w:rStyle w:val="FootnoteReference"/>
          <w:sz w:val="24"/>
          <w:szCs w:val="24"/>
        </w:rPr>
        <w:t xml:space="preserve"> </w:t>
      </w:r>
      <w:r w:rsidRPr="00B97B82">
        <w:rPr>
          <w:rStyle w:val="FootnoteReference"/>
          <w:sz w:val="24"/>
          <w:szCs w:val="24"/>
        </w:rPr>
        <w:footnoteReference w:id="10"/>
      </w:r>
      <w:r w:rsidRPr="00B97B82">
        <w:rPr>
          <w:sz w:val="24"/>
          <w:szCs w:val="24"/>
        </w:rPr>
        <w:t xml:space="preserve">  (Emphasis added).</w:t>
      </w:r>
    </w:p>
    <w:p w:rsidR="00525E05" w:rsidRPr="00B97B82" w:rsidRDefault="00525E05" w:rsidP="00525E05">
      <w:pPr>
        <w:autoSpaceDE w:val="0"/>
        <w:autoSpaceDN w:val="0"/>
        <w:adjustRightInd w:val="0"/>
        <w:ind w:left="1440" w:right="1440"/>
        <w:rPr>
          <w:sz w:val="24"/>
          <w:szCs w:val="24"/>
        </w:rPr>
      </w:pPr>
    </w:p>
    <w:p w:rsidR="00525E05" w:rsidRPr="00B97B82" w:rsidRDefault="00525E05" w:rsidP="00525E05">
      <w:pPr>
        <w:autoSpaceDE w:val="0"/>
        <w:autoSpaceDN w:val="0"/>
        <w:adjustRightInd w:val="0"/>
        <w:spacing w:line="480" w:lineRule="auto"/>
        <w:rPr>
          <w:sz w:val="24"/>
          <w:szCs w:val="24"/>
        </w:rPr>
      </w:pPr>
      <w:r w:rsidRPr="00B97B82">
        <w:rPr>
          <w:sz w:val="24"/>
          <w:szCs w:val="24"/>
        </w:rPr>
        <w:tab/>
        <w:t>The PUCO should also deny Columbia’s Motion because granting the Motion would prejudice OCC, OPAE, the PUCO Staff, and other parties in this Duke rate case.  Granting Columbia’s Motion would enable Columbia to participate in the proceeding without being subject to the same scrutiny that other parties were subjected to.  For example, while parties to the Duke rate case were subjected to discovery, including depositions of subject matter experts and witnesses, as a non-party Columbia was not.  Had Columbia moved to intervene in a timely manner</w:t>
      </w:r>
      <w:r w:rsidR="00312982">
        <w:rPr>
          <w:sz w:val="24"/>
          <w:szCs w:val="24"/>
        </w:rPr>
        <w:t xml:space="preserve"> or made known its request to file </w:t>
      </w:r>
      <w:r w:rsidR="002067F2" w:rsidRPr="000E6958">
        <w:rPr>
          <w:sz w:val="24"/>
          <w:szCs w:val="24"/>
        </w:rPr>
        <w:t>an A</w:t>
      </w:r>
      <w:r w:rsidR="00312982" w:rsidRPr="000E6958">
        <w:rPr>
          <w:sz w:val="24"/>
          <w:szCs w:val="24"/>
        </w:rPr>
        <w:t xml:space="preserve">micus </w:t>
      </w:r>
      <w:r w:rsidR="002067F2" w:rsidRPr="000E6958">
        <w:rPr>
          <w:sz w:val="24"/>
          <w:szCs w:val="24"/>
        </w:rPr>
        <w:t>B</w:t>
      </w:r>
      <w:r w:rsidR="00312982" w:rsidRPr="000E6958">
        <w:rPr>
          <w:sz w:val="24"/>
          <w:szCs w:val="24"/>
        </w:rPr>
        <w:t>rief</w:t>
      </w:r>
      <w:r w:rsidR="002067F2" w:rsidRPr="000E6958">
        <w:rPr>
          <w:sz w:val="24"/>
          <w:szCs w:val="24"/>
        </w:rPr>
        <w:t xml:space="preserve"> </w:t>
      </w:r>
      <w:r w:rsidR="000E6958">
        <w:rPr>
          <w:sz w:val="24"/>
          <w:szCs w:val="24"/>
        </w:rPr>
        <w:t>with earlier timing</w:t>
      </w:r>
      <w:r w:rsidRPr="000E6958">
        <w:rPr>
          <w:sz w:val="24"/>
          <w:szCs w:val="24"/>
        </w:rPr>
        <w:t xml:space="preserve">, then Columbia personnel </w:t>
      </w:r>
      <w:r w:rsidR="000E6958">
        <w:rPr>
          <w:sz w:val="24"/>
          <w:szCs w:val="24"/>
        </w:rPr>
        <w:t xml:space="preserve">may have </w:t>
      </w:r>
      <w:r w:rsidR="00BB00C7">
        <w:rPr>
          <w:sz w:val="24"/>
          <w:szCs w:val="24"/>
        </w:rPr>
        <w:t xml:space="preserve">been </w:t>
      </w:r>
      <w:r w:rsidR="000E6958">
        <w:rPr>
          <w:sz w:val="24"/>
          <w:szCs w:val="24"/>
        </w:rPr>
        <w:t xml:space="preserve">deposed </w:t>
      </w:r>
      <w:r w:rsidR="00312982" w:rsidRPr="000E6958">
        <w:rPr>
          <w:sz w:val="24"/>
          <w:szCs w:val="24"/>
        </w:rPr>
        <w:t>(as a party or non-party).</w:t>
      </w:r>
      <w:r w:rsidR="00312982">
        <w:rPr>
          <w:sz w:val="24"/>
          <w:szCs w:val="24"/>
        </w:rPr>
        <w:t xml:space="preserve">  </w:t>
      </w:r>
      <w:r w:rsidRPr="00B97B82">
        <w:rPr>
          <w:sz w:val="24"/>
          <w:szCs w:val="24"/>
        </w:rPr>
        <w:t>OCC and other parties could have elicited information</w:t>
      </w:r>
      <w:r w:rsidR="00312982">
        <w:rPr>
          <w:sz w:val="24"/>
          <w:szCs w:val="24"/>
        </w:rPr>
        <w:t xml:space="preserve"> about what would be Columbia’s opinions and positions and what facts Columbia had in connection with those opinions and positions that now would affect the potential for Duke to collect $63 million (and more later) from Duke’s (not Columbia’s) customers</w:t>
      </w:r>
      <w:r w:rsidRPr="00B97B82">
        <w:rPr>
          <w:sz w:val="24"/>
          <w:szCs w:val="24"/>
        </w:rPr>
        <w:t xml:space="preserve">.  </w:t>
      </w:r>
      <w:r w:rsidR="00312982">
        <w:rPr>
          <w:sz w:val="24"/>
          <w:szCs w:val="24"/>
        </w:rPr>
        <w:t>For example, i</w:t>
      </w:r>
      <w:r w:rsidRPr="00B97B82">
        <w:rPr>
          <w:sz w:val="24"/>
          <w:szCs w:val="24"/>
        </w:rPr>
        <w:t>nformation regarding Columbia’s ownership</w:t>
      </w:r>
      <w:r w:rsidR="00312982">
        <w:rPr>
          <w:sz w:val="24"/>
          <w:szCs w:val="24"/>
        </w:rPr>
        <w:t xml:space="preserve"> of </w:t>
      </w:r>
      <w:r w:rsidRPr="00B97B82">
        <w:rPr>
          <w:sz w:val="24"/>
          <w:szCs w:val="24"/>
        </w:rPr>
        <w:t>the Duke MGP sites from 1909 to 1946</w:t>
      </w:r>
      <w:r w:rsidRPr="00B97B82">
        <w:rPr>
          <w:rStyle w:val="FootnoteReference"/>
          <w:sz w:val="24"/>
          <w:szCs w:val="24"/>
        </w:rPr>
        <w:footnoteReference w:id="11"/>
      </w:r>
      <w:r w:rsidRPr="00B97B82">
        <w:rPr>
          <w:sz w:val="24"/>
          <w:szCs w:val="24"/>
        </w:rPr>
        <w:t xml:space="preserve"> </w:t>
      </w:r>
      <w:r w:rsidR="00312982">
        <w:rPr>
          <w:sz w:val="24"/>
          <w:szCs w:val="24"/>
        </w:rPr>
        <w:t xml:space="preserve">(and Columbia’s liability) </w:t>
      </w:r>
      <w:r w:rsidRPr="00B97B82">
        <w:rPr>
          <w:sz w:val="24"/>
          <w:szCs w:val="24"/>
        </w:rPr>
        <w:t>could have been further explored, among other things</w:t>
      </w:r>
      <w:r w:rsidR="000E6958">
        <w:rPr>
          <w:sz w:val="24"/>
          <w:szCs w:val="24"/>
        </w:rPr>
        <w:t>.</w:t>
      </w:r>
      <w:r w:rsidRPr="00B97B82">
        <w:rPr>
          <w:sz w:val="24"/>
          <w:szCs w:val="24"/>
        </w:rPr>
        <w:t xml:space="preserve"> </w:t>
      </w:r>
    </w:p>
    <w:p w:rsidR="00177008" w:rsidRPr="00B97B82" w:rsidRDefault="00525E05" w:rsidP="00177008">
      <w:pPr>
        <w:autoSpaceDE w:val="0"/>
        <w:autoSpaceDN w:val="0"/>
        <w:adjustRightInd w:val="0"/>
        <w:spacing w:line="480" w:lineRule="auto"/>
        <w:rPr>
          <w:sz w:val="24"/>
          <w:szCs w:val="24"/>
        </w:rPr>
      </w:pPr>
      <w:r w:rsidRPr="00B97B82">
        <w:rPr>
          <w:sz w:val="24"/>
          <w:szCs w:val="24"/>
        </w:rPr>
        <w:tab/>
      </w:r>
      <w:r w:rsidR="00177008">
        <w:rPr>
          <w:sz w:val="24"/>
          <w:szCs w:val="24"/>
        </w:rPr>
        <w:t>Additionally, t</w:t>
      </w:r>
      <w:r w:rsidR="00177008" w:rsidRPr="00B97B82">
        <w:rPr>
          <w:sz w:val="24"/>
          <w:szCs w:val="24"/>
        </w:rPr>
        <w:t xml:space="preserve">he PUCO </w:t>
      </w:r>
      <w:r w:rsidR="006D7A7B">
        <w:rPr>
          <w:sz w:val="24"/>
          <w:szCs w:val="24"/>
        </w:rPr>
        <w:t>denied a motion to f</w:t>
      </w:r>
      <w:r w:rsidR="00177008" w:rsidRPr="00B97B82">
        <w:rPr>
          <w:sz w:val="24"/>
          <w:szCs w:val="24"/>
        </w:rPr>
        <w:t xml:space="preserve">ile </w:t>
      </w:r>
      <w:r w:rsidR="006D7A7B">
        <w:rPr>
          <w:sz w:val="24"/>
          <w:szCs w:val="24"/>
        </w:rPr>
        <w:t xml:space="preserve">an </w:t>
      </w:r>
      <w:r w:rsidR="00177008" w:rsidRPr="00B97B82">
        <w:rPr>
          <w:sz w:val="24"/>
          <w:szCs w:val="24"/>
        </w:rPr>
        <w:t xml:space="preserve">Amicus Curiae Brief in a case </w:t>
      </w:r>
      <w:r w:rsidR="00177008">
        <w:rPr>
          <w:sz w:val="24"/>
          <w:szCs w:val="24"/>
        </w:rPr>
        <w:t xml:space="preserve">under similar circumstances to Columbia’s filing.  </w:t>
      </w:r>
      <w:r w:rsidR="006D7A7B">
        <w:rPr>
          <w:sz w:val="24"/>
          <w:szCs w:val="24"/>
        </w:rPr>
        <w:t>In that case,</w:t>
      </w:r>
      <w:r w:rsidR="002067F2">
        <w:rPr>
          <w:sz w:val="24"/>
          <w:szCs w:val="24"/>
        </w:rPr>
        <w:t xml:space="preserve"> First Energy Solutions</w:t>
      </w:r>
      <w:r w:rsidR="006D7A7B">
        <w:rPr>
          <w:sz w:val="24"/>
          <w:szCs w:val="24"/>
        </w:rPr>
        <w:t xml:space="preserve"> requested</w:t>
      </w:r>
      <w:r w:rsidR="00177008" w:rsidRPr="00B97B82">
        <w:rPr>
          <w:sz w:val="24"/>
          <w:szCs w:val="24"/>
        </w:rPr>
        <w:t xml:space="preserve"> the right to file</w:t>
      </w:r>
      <w:r w:rsidR="006D7A7B">
        <w:rPr>
          <w:sz w:val="24"/>
          <w:szCs w:val="24"/>
        </w:rPr>
        <w:t xml:space="preserve"> an</w:t>
      </w:r>
      <w:r w:rsidR="00177008" w:rsidRPr="00B97B82">
        <w:rPr>
          <w:sz w:val="24"/>
          <w:szCs w:val="24"/>
        </w:rPr>
        <w:t xml:space="preserve"> Amicus Curiae Brief</w:t>
      </w:r>
      <w:r w:rsidR="006D7A7B">
        <w:rPr>
          <w:sz w:val="24"/>
          <w:szCs w:val="24"/>
        </w:rPr>
        <w:t>.  The PUCO denied the motion because the movant</w:t>
      </w:r>
      <w:r w:rsidR="00177008" w:rsidRPr="00B97B82">
        <w:rPr>
          <w:sz w:val="24"/>
          <w:szCs w:val="24"/>
        </w:rPr>
        <w:t xml:space="preserve"> raised no issues that had not been raised by other parties.</w:t>
      </w:r>
      <w:r w:rsidR="002067F2">
        <w:rPr>
          <w:rStyle w:val="FootnoteReference"/>
          <w:sz w:val="24"/>
          <w:szCs w:val="24"/>
        </w:rPr>
        <w:footnoteReference w:id="12"/>
      </w:r>
      <w:r w:rsidR="00177008" w:rsidRPr="00B97B82">
        <w:rPr>
          <w:sz w:val="24"/>
          <w:szCs w:val="24"/>
        </w:rPr>
        <w:t xml:space="preserve"> </w:t>
      </w:r>
    </w:p>
    <w:p w:rsidR="00525E05" w:rsidRPr="00B97B82" w:rsidRDefault="006D7A7B" w:rsidP="002067F2">
      <w:pPr>
        <w:autoSpaceDE w:val="0"/>
        <w:autoSpaceDN w:val="0"/>
        <w:adjustRightInd w:val="0"/>
        <w:spacing w:line="480" w:lineRule="auto"/>
        <w:ind w:firstLine="720"/>
        <w:rPr>
          <w:sz w:val="24"/>
          <w:szCs w:val="24"/>
        </w:rPr>
      </w:pPr>
      <w:r>
        <w:rPr>
          <w:sz w:val="24"/>
          <w:szCs w:val="24"/>
        </w:rPr>
        <w:t xml:space="preserve">Similarly, </w:t>
      </w:r>
      <w:r w:rsidR="00525E05" w:rsidRPr="00B97B82">
        <w:rPr>
          <w:sz w:val="24"/>
          <w:szCs w:val="24"/>
        </w:rPr>
        <w:t>Columbia’s Motion should be denied because Columbia has offered nothing new or different than the arguments made by Duke.  Columbia argues that the Staff incorrectly interpreted R.C. 4909.15(A)(1) and R.C. 4909.15 (A)(4).</w:t>
      </w:r>
      <w:r w:rsidR="00525E05" w:rsidRPr="00B97B82">
        <w:rPr>
          <w:rStyle w:val="FootnoteReference"/>
          <w:sz w:val="24"/>
          <w:szCs w:val="24"/>
        </w:rPr>
        <w:footnoteReference w:id="13"/>
      </w:r>
      <w:r w:rsidR="00525E05" w:rsidRPr="00B97B82">
        <w:rPr>
          <w:sz w:val="24"/>
          <w:szCs w:val="24"/>
        </w:rPr>
        <w:t xml:space="preserve">  Columbia argues that R.C. 4909.15 (A)(1) is subject to a different standard than R.C. 4909.15 (A)(4).  Columbia argues that expenses under R.C. 4909.15 (A)(4) only need be prudently incurred and that they are not subject to the used and useful standard.</w:t>
      </w:r>
      <w:r w:rsidR="00525E05" w:rsidRPr="00B97B82">
        <w:rPr>
          <w:rStyle w:val="FootnoteReference"/>
          <w:sz w:val="24"/>
          <w:szCs w:val="24"/>
        </w:rPr>
        <w:footnoteReference w:id="14"/>
      </w:r>
      <w:r w:rsidR="00525E05" w:rsidRPr="00B97B82">
        <w:rPr>
          <w:sz w:val="24"/>
          <w:szCs w:val="24"/>
        </w:rPr>
        <w:t xml:space="preserve">  These are the same argument that Duke makes in its Brief.  Thus, Columbia adds nothing to the record and its participation should be denied.  </w:t>
      </w:r>
    </w:p>
    <w:p w:rsidR="00C660DA" w:rsidRDefault="00525E05" w:rsidP="00525E05">
      <w:pPr>
        <w:autoSpaceDE w:val="0"/>
        <w:autoSpaceDN w:val="0"/>
        <w:adjustRightInd w:val="0"/>
        <w:spacing w:line="480" w:lineRule="auto"/>
        <w:ind w:firstLine="720"/>
        <w:rPr>
          <w:sz w:val="24"/>
          <w:szCs w:val="24"/>
        </w:rPr>
      </w:pPr>
      <w:r w:rsidRPr="00B97B82">
        <w:rPr>
          <w:sz w:val="24"/>
          <w:szCs w:val="24"/>
        </w:rPr>
        <w:t>Further,</w:t>
      </w:r>
      <w:r w:rsidR="00C67B1C">
        <w:rPr>
          <w:sz w:val="24"/>
          <w:szCs w:val="24"/>
        </w:rPr>
        <w:t xml:space="preserve"> </w:t>
      </w:r>
      <w:r w:rsidRPr="00B97B82">
        <w:rPr>
          <w:sz w:val="24"/>
          <w:szCs w:val="24"/>
        </w:rPr>
        <w:t xml:space="preserve">the PUCO </w:t>
      </w:r>
      <w:r w:rsidR="00C67B1C">
        <w:rPr>
          <w:sz w:val="24"/>
          <w:szCs w:val="24"/>
        </w:rPr>
        <w:t>stated</w:t>
      </w:r>
      <w:r w:rsidR="00C67B1C" w:rsidRPr="00B97B82">
        <w:rPr>
          <w:sz w:val="24"/>
          <w:szCs w:val="24"/>
        </w:rPr>
        <w:t xml:space="preserve"> </w:t>
      </w:r>
      <w:r w:rsidRPr="00B97B82">
        <w:rPr>
          <w:sz w:val="24"/>
          <w:szCs w:val="24"/>
        </w:rPr>
        <w:t xml:space="preserve">in </w:t>
      </w:r>
      <w:r w:rsidR="00C67B1C">
        <w:rPr>
          <w:sz w:val="24"/>
          <w:szCs w:val="24"/>
        </w:rPr>
        <w:t>its d</w:t>
      </w:r>
      <w:r w:rsidRPr="00B97B82">
        <w:rPr>
          <w:sz w:val="24"/>
          <w:szCs w:val="24"/>
        </w:rPr>
        <w:t>eferral</w:t>
      </w:r>
      <w:r w:rsidR="00C67B1C">
        <w:rPr>
          <w:sz w:val="24"/>
          <w:szCs w:val="24"/>
        </w:rPr>
        <w:t xml:space="preserve"> accounting</w:t>
      </w:r>
      <w:r w:rsidRPr="00B97B82">
        <w:rPr>
          <w:sz w:val="24"/>
          <w:szCs w:val="24"/>
        </w:rPr>
        <w:t xml:space="preserve"> Entry</w:t>
      </w:r>
      <w:r w:rsidR="00C67B1C">
        <w:rPr>
          <w:sz w:val="24"/>
          <w:szCs w:val="24"/>
        </w:rPr>
        <w:t xml:space="preserve"> for Columbia that </w:t>
      </w:r>
      <w:r w:rsidRPr="00B97B82">
        <w:rPr>
          <w:sz w:val="24"/>
          <w:szCs w:val="24"/>
        </w:rPr>
        <w:t xml:space="preserve">the recoverability of </w:t>
      </w:r>
      <w:r w:rsidR="00C67B1C">
        <w:rPr>
          <w:sz w:val="24"/>
          <w:szCs w:val="24"/>
        </w:rPr>
        <w:t>Columbia’s</w:t>
      </w:r>
      <w:r w:rsidR="00C67B1C" w:rsidRPr="00B97B82">
        <w:rPr>
          <w:sz w:val="24"/>
          <w:szCs w:val="24"/>
        </w:rPr>
        <w:t xml:space="preserve"> </w:t>
      </w:r>
      <w:r w:rsidRPr="00B97B82">
        <w:rPr>
          <w:sz w:val="24"/>
          <w:szCs w:val="24"/>
        </w:rPr>
        <w:t>environmental investigation and remediation costs will be determined in</w:t>
      </w:r>
      <w:r w:rsidR="00C67B1C">
        <w:rPr>
          <w:sz w:val="24"/>
          <w:szCs w:val="24"/>
        </w:rPr>
        <w:t xml:space="preserve"> Columbia’s next rate case</w:t>
      </w:r>
      <w:r w:rsidR="000E6958">
        <w:rPr>
          <w:sz w:val="24"/>
          <w:szCs w:val="24"/>
        </w:rPr>
        <w:t>.</w:t>
      </w:r>
      <w:r w:rsidR="00C67B1C">
        <w:rPr>
          <w:sz w:val="24"/>
          <w:szCs w:val="24"/>
        </w:rPr>
        <w:t xml:space="preserve"> </w:t>
      </w:r>
    </w:p>
    <w:p w:rsidR="00D14C30" w:rsidRDefault="00525E05" w:rsidP="002067F2">
      <w:pPr>
        <w:autoSpaceDE w:val="0"/>
        <w:autoSpaceDN w:val="0"/>
        <w:adjustRightInd w:val="0"/>
        <w:spacing w:line="480" w:lineRule="auto"/>
        <w:ind w:firstLine="720"/>
        <w:rPr>
          <w:sz w:val="24"/>
          <w:szCs w:val="24"/>
        </w:rPr>
      </w:pPr>
      <w:r w:rsidRPr="00B97B82">
        <w:rPr>
          <w:sz w:val="24"/>
          <w:szCs w:val="24"/>
        </w:rPr>
        <w:t xml:space="preserve">Finally, </w:t>
      </w:r>
      <w:r w:rsidR="00C660DA">
        <w:rPr>
          <w:sz w:val="24"/>
          <w:szCs w:val="24"/>
        </w:rPr>
        <w:t>if the</w:t>
      </w:r>
      <w:r w:rsidR="003B51E8">
        <w:rPr>
          <w:sz w:val="24"/>
          <w:szCs w:val="24"/>
        </w:rPr>
        <w:t>re was to be an allowance of Amicus B</w:t>
      </w:r>
      <w:r w:rsidR="00D14C30">
        <w:rPr>
          <w:sz w:val="24"/>
          <w:szCs w:val="24"/>
        </w:rPr>
        <w:t>riefs</w:t>
      </w:r>
      <w:r w:rsidR="00C660DA">
        <w:rPr>
          <w:sz w:val="24"/>
          <w:szCs w:val="24"/>
        </w:rPr>
        <w:t>, then the amicus process</w:t>
      </w:r>
      <w:r w:rsidRPr="00B97B82">
        <w:rPr>
          <w:sz w:val="24"/>
          <w:szCs w:val="24"/>
        </w:rPr>
        <w:t xml:space="preserve"> should have been </w:t>
      </w:r>
      <w:r w:rsidR="00C660DA">
        <w:rPr>
          <w:sz w:val="24"/>
          <w:szCs w:val="24"/>
        </w:rPr>
        <w:t xml:space="preserve">noticed </w:t>
      </w:r>
      <w:r w:rsidRPr="00B97B82">
        <w:rPr>
          <w:sz w:val="24"/>
          <w:szCs w:val="24"/>
        </w:rPr>
        <w:t>to all Ohio stakeholders interested in this issue.  There are a number of customer organizations with concerns about MGP costs.  They may have been interested in an opportunity to comment on the Duke case for purposes of affecting the outcome as that outcome may apply in Columbia’s (or other utilities’) future cases on MGP costs.  That process didn’t happen</w:t>
      </w:r>
      <w:r w:rsidR="00D14C30">
        <w:rPr>
          <w:sz w:val="24"/>
          <w:szCs w:val="24"/>
        </w:rPr>
        <w:t xml:space="preserve">, in part because Columbia waited until the day briefs were due in these Duke cases before </w:t>
      </w:r>
      <w:r w:rsidR="002067F2">
        <w:rPr>
          <w:sz w:val="24"/>
          <w:szCs w:val="24"/>
        </w:rPr>
        <w:t>it moved for leave to file its Amicus Curiae Briefs.</w:t>
      </w:r>
    </w:p>
    <w:p w:rsidR="002067F2" w:rsidRDefault="00D14C30" w:rsidP="002067F2">
      <w:pPr>
        <w:autoSpaceDE w:val="0"/>
        <w:autoSpaceDN w:val="0"/>
        <w:adjustRightInd w:val="0"/>
        <w:spacing w:line="480" w:lineRule="auto"/>
        <w:ind w:firstLine="720"/>
        <w:rPr>
          <w:sz w:val="24"/>
          <w:szCs w:val="24"/>
        </w:rPr>
      </w:pPr>
      <w:r>
        <w:rPr>
          <w:sz w:val="24"/>
          <w:szCs w:val="24"/>
        </w:rPr>
        <w:t xml:space="preserve">For all these reasons, </w:t>
      </w:r>
      <w:r w:rsidR="00525E05" w:rsidRPr="00B97B82">
        <w:rPr>
          <w:sz w:val="24"/>
          <w:szCs w:val="24"/>
        </w:rPr>
        <w:t xml:space="preserve">Columbia’s motion to submit its </w:t>
      </w:r>
      <w:r w:rsidR="00C660DA">
        <w:rPr>
          <w:sz w:val="24"/>
          <w:szCs w:val="24"/>
        </w:rPr>
        <w:t>A</w:t>
      </w:r>
      <w:r w:rsidR="00525E05" w:rsidRPr="00B97B82">
        <w:rPr>
          <w:sz w:val="24"/>
          <w:szCs w:val="24"/>
        </w:rPr>
        <w:t xml:space="preserve">micus </w:t>
      </w:r>
      <w:r w:rsidR="00C660DA">
        <w:rPr>
          <w:sz w:val="24"/>
          <w:szCs w:val="24"/>
        </w:rPr>
        <w:t>Curiae B</w:t>
      </w:r>
      <w:r w:rsidR="00525E05" w:rsidRPr="00B97B82">
        <w:rPr>
          <w:sz w:val="24"/>
          <w:szCs w:val="24"/>
        </w:rPr>
        <w:t>rief</w:t>
      </w:r>
      <w:r>
        <w:rPr>
          <w:sz w:val="24"/>
          <w:szCs w:val="24"/>
        </w:rPr>
        <w:t xml:space="preserve"> and Reply Brief</w:t>
      </w:r>
      <w:r w:rsidR="00525E05" w:rsidRPr="00B97B82">
        <w:rPr>
          <w:sz w:val="24"/>
          <w:szCs w:val="24"/>
        </w:rPr>
        <w:t xml:space="preserve"> should be denied</w:t>
      </w:r>
      <w:r>
        <w:rPr>
          <w:sz w:val="24"/>
          <w:szCs w:val="24"/>
        </w:rPr>
        <w:t xml:space="preserve"> in this case where Duke’s customers are subject to Duke’s request</w:t>
      </w:r>
      <w:r w:rsidR="00F24E70">
        <w:rPr>
          <w:sz w:val="24"/>
          <w:szCs w:val="24"/>
        </w:rPr>
        <w:t xml:space="preserve"> (not Columbia’s request)</w:t>
      </w:r>
      <w:r>
        <w:rPr>
          <w:sz w:val="24"/>
          <w:szCs w:val="24"/>
        </w:rPr>
        <w:t xml:space="preserve"> to charge them $63 million for the clean-up of manufactured gas plants built in the 1800s and closed for service decades ago in the 1900s.</w:t>
      </w:r>
    </w:p>
    <w:p w:rsidR="00080007" w:rsidRPr="00B97B82" w:rsidRDefault="00080007" w:rsidP="002067F2">
      <w:pPr>
        <w:autoSpaceDE w:val="0"/>
        <w:autoSpaceDN w:val="0"/>
        <w:adjustRightInd w:val="0"/>
        <w:spacing w:line="480" w:lineRule="auto"/>
        <w:ind w:left="3600" w:firstLine="720"/>
        <w:rPr>
          <w:sz w:val="24"/>
          <w:szCs w:val="24"/>
        </w:rPr>
      </w:pPr>
      <w:r w:rsidRPr="00B97B82">
        <w:rPr>
          <w:sz w:val="24"/>
          <w:szCs w:val="24"/>
        </w:rPr>
        <w:t>Respectfully submitted,</w:t>
      </w:r>
    </w:p>
    <w:p w:rsidR="00080007" w:rsidRPr="00B97B82" w:rsidRDefault="00080007">
      <w:pPr>
        <w:tabs>
          <w:tab w:val="left" w:pos="4320"/>
        </w:tabs>
        <w:ind w:left="4320"/>
        <w:rPr>
          <w:sz w:val="24"/>
          <w:szCs w:val="24"/>
        </w:rPr>
      </w:pPr>
      <w:r w:rsidRPr="00B97B82">
        <w:rPr>
          <w:sz w:val="24"/>
          <w:szCs w:val="24"/>
        </w:rPr>
        <w:t>BRUCE J. WESTON</w:t>
      </w:r>
    </w:p>
    <w:p w:rsidR="00080007" w:rsidRPr="00B97B82" w:rsidRDefault="00080007">
      <w:pPr>
        <w:tabs>
          <w:tab w:val="left" w:pos="4320"/>
        </w:tabs>
        <w:ind w:left="4320"/>
        <w:rPr>
          <w:sz w:val="24"/>
          <w:szCs w:val="24"/>
        </w:rPr>
      </w:pPr>
      <w:r w:rsidRPr="00B97B82">
        <w:rPr>
          <w:sz w:val="24"/>
          <w:szCs w:val="24"/>
        </w:rPr>
        <w:t>OHIO CONSUMERS’ COUNSEL</w:t>
      </w:r>
    </w:p>
    <w:p w:rsidR="00080007" w:rsidRPr="00B97B82" w:rsidRDefault="00080007">
      <w:pPr>
        <w:tabs>
          <w:tab w:val="left" w:pos="4320"/>
        </w:tabs>
        <w:ind w:left="4320"/>
        <w:rPr>
          <w:sz w:val="24"/>
          <w:szCs w:val="24"/>
        </w:rPr>
      </w:pPr>
    </w:p>
    <w:p w:rsidR="00080007" w:rsidRPr="00B97B82" w:rsidRDefault="004C53DA">
      <w:pPr>
        <w:tabs>
          <w:tab w:val="left" w:pos="4320"/>
        </w:tabs>
        <w:ind w:left="4320"/>
        <w:rPr>
          <w:i/>
          <w:iCs/>
          <w:sz w:val="24"/>
          <w:szCs w:val="24"/>
          <w:u w:val="single"/>
        </w:rPr>
      </w:pPr>
      <w:r w:rsidRPr="00B97B82">
        <w:rPr>
          <w:i/>
          <w:iCs/>
          <w:sz w:val="24"/>
          <w:szCs w:val="24"/>
          <w:u w:val="single"/>
        </w:rPr>
        <w:t>/s/ Joseph P. S</w:t>
      </w:r>
      <w:r w:rsidR="00080007" w:rsidRPr="00B97B82">
        <w:rPr>
          <w:i/>
          <w:iCs/>
          <w:sz w:val="24"/>
          <w:szCs w:val="24"/>
          <w:u w:val="single"/>
        </w:rPr>
        <w:t>er</w:t>
      </w:r>
      <w:r w:rsidRPr="00B97B82">
        <w:rPr>
          <w:i/>
          <w:iCs/>
          <w:sz w:val="24"/>
          <w:szCs w:val="24"/>
          <w:u w:val="single"/>
        </w:rPr>
        <w:t>io</w:t>
      </w:r>
      <w:r w:rsidR="00080007" w:rsidRPr="00B97B82">
        <w:rPr>
          <w:i/>
          <w:iCs/>
          <w:sz w:val="24"/>
          <w:szCs w:val="24"/>
          <w:u w:val="single"/>
        </w:rPr>
        <w:tab/>
      </w:r>
      <w:r w:rsidR="00080007" w:rsidRPr="00B97B82">
        <w:rPr>
          <w:i/>
          <w:iCs/>
          <w:sz w:val="24"/>
          <w:szCs w:val="24"/>
          <w:u w:val="single"/>
        </w:rPr>
        <w:tab/>
      </w:r>
      <w:r w:rsidR="00080007" w:rsidRPr="00B97B82">
        <w:rPr>
          <w:i/>
          <w:iCs/>
          <w:sz w:val="24"/>
          <w:szCs w:val="24"/>
          <w:u w:val="single"/>
        </w:rPr>
        <w:tab/>
      </w:r>
      <w:r w:rsidR="00080007" w:rsidRPr="00B97B82">
        <w:rPr>
          <w:i/>
          <w:iCs/>
          <w:sz w:val="24"/>
          <w:szCs w:val="24"/>
          <w:u w:val="single"/>
        </w:rPr>
        <w:tab/>
      </w:r>
    </w:p>
    <w:p w:rsidR="00080007" w:rsidRPr="00B97B82" w:rsidRDefault="00080007">
      <w:pPr>
        <w:tabs>
          <w:tab w:val="left" w:pos="4320"/>
        </w:tabs>
        <w:ind w:left="4320"/>
        <w:rPr>
          <w:sz w:val="24"/>
          <w:szCs w:val="24"/>
        </w:rPr>
      </w:pPr>
      <w:r w:rsidRPr="00B97B82">
        <w:rPr>
          <w:sz w:val="24"/>
          <w:szCs w:val="24"/>
        </w:rPr>
        <w:t>Larry S. Sauer, Counsel of Record</w:t>
      </w:r>
    </w:p>
    <w:p w:rsidR="00080007" w:rsidRPr="00B97B82" w:rsidRDefault="00080007">
      <w:pPr>
        <w:tabs>
          <w:tab w:val="left" w:pos="4320"/>
        </w:tabs>
        <w:ind w:left="4320"/>
        <w:rPr>
          <w:sz w:val="24"/>
          <w:szCs w:val="24"/>
        </w:rPr>
      </w:pPr>
      <w:r w:rsidRPr="00B97B82">
        <w:rPr>
          <w:sz w:val="24"/>
          <w:szCs w:val="24"/>
        </w:rPr>
        <w:t>Joseph P. Serio</w:t>
      </w:r>
    </w:p>
    <w:p w:rsidR="00080007" w:rsidRPr="00B97B82" w:rsidRDefault="00080007">
      <w:pPr>
        <w:tabs>
          <w:tab w:val="left" w:pos="4320"/>
        </w:tabs>
        <w:ind w:left="4320"/>
        <w:rPr>
          <w:sz w:val="24"/>
          <w:szCs w:val="24"/>
        </w:rPr>
      </w:pPr>
      <w:r w:rsidRPr="00B97B82">
        <w:rPr>
          <w:sz w:val="24"/>
          <w:szCs w:val="24"/>
        </w:rPr>
        <w:t>Edmund Berger</w:t>
      </w:r>
    </w:p>
    <w:p w:rsidR="00080007" w:rsidRPr="00B97B82" w:rsidRDefault="00080007">
      <w:pPr>
        <w:tabs>
          <w:tab w:val="left" w:pos="4320"/>
        </w:tabs>
        <w:ind w:left="4320"/>
        <w:rPr>
          <w:sz w:val="24"/>
          <w:szCs w:val="24"/>
        </w:rPr>
      </w:pPr>
      <w:r w:rsidRPr="00B97B82">
        <w:rPr>
          <w:sz w:val="24"/>
          <w:szCs w:val="24"/>
        </w:rPr>
        <w:t>Assistant Consumers’ Counsel</w:t>
      </w:r>
    </w:p>
    <w:p w:rsidR="002A7C48" w:rsidRPr="00B97B82" w:rsidRDefault="002A7C48">
      <w:pPr>
        <w:tabs>
          <w:tab w:val="left" w:pos="4320"/>
        </w:tabs>
        <w:ind w:left="4320"/>
        <w:rPr>
          <w:sz w:val="24"/>
          <w:szCs w:val="24"/>
        </w:rPr>
      </w:pPr>
    </w:p>
    <w:p w:rsidR="00080007" w:rsidRPr="00B97B82" w:rsidRDefault="00080007" w:rsidP="002A7C48">
      <w:pPr>
        <w:ind w:left="4320"/>
        <w:rPr>
          <w:b/>
          <w:sz w:val="24"/>
          <w:szCs w:val="24"/>
        </w:rPr>
      </w:pPr>
      <w:bookmarkStart w:id="1" w:name="_Toc354492856"/>
      <w:r w:rsidRPr="00B97B82">
        <w:rPr>
          <w:b/>
          <w:sz w:val="24"/>
          <w:szCs w:val="24"/>
        </w:rPr>
        <w:t>Office of the Ohio Consumers’ Counsel</w:t>
      </w:r>
      <w:bookmarkEnd w:id="1"/>
    </w:p>
    <w:p w:rsidR="00080007" w:rsidRPr="00B97B82" w:rsidRDefault="00080007" w:rsidP="002A7C48">
      <w:pPr>
        <w:ind w:left="4320"/>
        <w:rPr>
          <w:sz w:val="24"/>
          <w:szCs w:val="24"/>
        </w:rPr>
      </w:pPr>
      <w:bookmarkStart w:id="2" w:name="_Toc354492857"/>
      <w:r w:rsidRPr="00B97B82">
        <w:rPr>
          <w:sz w:val="24"/>
          <w:szCs w:val="24"/>
        </w:rPr>
        <w:t>10 West Broad Street, Suite 1800</w:t>
      </w:r>
      <w:bookmarkEnd w:id="2"/>
    </w:p>
    <w:p w:rsidR="00080007" w:rsidRPr="00B97B82" w:rsidRDefault="00080007" w:rsidP="002A7C48">
      <w:pPr>
        <w:ind w:left="4320"/>
        <w:rPr>
          <w:sz w:val="24"/>
          <w:szCs w:val="24"/>
        </w:rPr>
      </w:pPr>
      <w:bookmarkStart w:id="3" w:name="_Toc354492858"/>
      <w:r w:rsidRPr="00B97B82">
        <w:rPr>
          <w:sz w:val="24"/>
          <w:szCs w:val="24"/>
        </w:rPr>
        <w:t>Columbus, Ohio 43215-3485</w:t>
      </w:r>
      <w:bookmarkEnd w:id="3"/>
    </w:p>
    <w:p w:rsidR="00080007" w:rsidRPr="00B97B82" w:rsidRDefault="00080007" w:rsidP="002A7C48">
      <w:pPr>
        <w:ind w:left="4320"/>
        <w:rPr>
          <w:sz w:val="24"/>
          <w:szCs w:val="24"/>
        </w:rPr>
      </w:pPr>
      <w:r w:rsidRPr="00B97B82">
        <w:rPr>
          <w:sz w:val="24"/>
          <w:szCs w:val="24"/>
        </w:rPr>
        <w:t>Telephone: Sauer – (614) 466-1312</w:t>
      </w:r>
    </w:p>
    <w:p w:rsidR="00080007" w:rsidRPr="00B97B82" w:rsidRDefault="00080007">
      <w:pPr>
        <w:autoSpaceDE w:val="0"/>
        <w:autoSpaceDN w:val="0"/>
        <w:adjustRightInd w:val="0"/>
        <w:ind w:left="4320"/>
        <w:rPr>
          <w:sz w:val="24"/>
          <w:szCs w:val="24"/>
        </w:rPr>
      </w:pPr>
      <w:r w:rsidRPr="00B97B82">
        <w:rPr>
          <w:sz w:val="24"/>
          <w:szCs w:val="24"/>
        </w:rPr>
        <w:t>Telephone: Serio – (614) 466-9565</w:t>
      </w:r>
    </w:p>
    <w:p w:rsidR="00080007" w:rsidRPr="00B97B82" w:rsidRDefault="00080007">
      <w:pPr>
        <w:autoSpaceDE w:val="0"/>
        <w:autoSpaceDN w:val="0"/>
        <w:adjustRightInd w:val="0"/>
        <w:ind w:left="4320"/>
        <w:rPr>
          <w:sz w:val="24"/>
          <w:szCs w:val="24"/>
        </w:rPr>
      </w:pPr>
      <w:r w:rsidRPr="00B97B82">
        <w:rPr>
          <w:sz w:val="24"/>
          <w:szCs w:val="24"/>
        </w:rPr>
        <w:t>Telephone: Berger – (614) 466-1292</w:t>
      </w:r>
    </w:p>
    <w:p w:rsidR="00080007" w:rsidRDefault="00F43CAD">
      <w:pPr>
        <w:ind w:left="4320"/>
        <w:rPr>
          <w:sz w:val="24"/>
          <w:szCs w:val="24"/>
        </w:rPr>
      </w:pPr>
      <w:hyperlink r:id="rId14" w:history="1">
        <w:r w:rsidR="00BB00C7" w:rsidRPr="00D223AD">
          <w:rPr>
            <w:rStyle w:val="Hyperlink"/>
            <w:sz w:val="24"/>
            <w:szCs w:val="24"/>
          </w:rPr>
          <w:t>sauer@occ.state.oh.us</w:t>
        </w:r>
      </w:hyperlink>
    </w:p>
    <w:p w:rsidR="00080007" w:rsidRDefault="00F43CAD">
      <w:pPr>
        <w:ind w:left="4320"/>
        <w:rPr>
          <w:sz w:val="24"/>
          <w:szCs w:val="24"/>
        </w:rPr>
      </w:pPr>
      <w:hyperlink r:id="rId15" w:history="1">
        <w:r w:rsidR="00BB00C7" w:rsidRPr="00D223AD">
          <w:rPr>
            <w:rStyle w:val="Hyperlink"/>
            <w:sz w:val="24"/>
            <w:szCs w:val="24"/>
          </w:rPr>
          <w:t>serio@occ.state.oh.us</w:t>
        </w:r>
      </w:hyperlink>
    </w:p>
    <w:p w:rsidR="00080007" w:rsidRDefault="00F43CAD">
      <w:pPr>
        <w:ind w:left="4320"/>
        <w:rPr>
          <w:sz w:val="24"/>
          <w:szCs w:val="24"/>
        </w:rPr>
      </w:pPr>
      <w:hyperlink r:id="rId16" w:history="1">
        <w:r w:rsidR="00BB00C7" w:rsidRPr="00D223AD">
          <w:rPr>
            <w:rStyle w:val="Hyperlink"/>
            <w:sz w:val="24"/>
            <w:szCs w:val="24"/>
          </w:rPr>
          <w:t>berger@occ.state.oh.us</w:t>
        </w:r>
      </w:hyperlink>
    </w:p>
    <w:p w:rsidR="00BB00C7" w:rsidRPr="00B97B82" w:rsidRDefault="00BB00C7">
      <w:pPr>
        <w:ind w:left="4320"/>
        <w:rPr>
          <w:sz w:val="24"/>
          <w:szCs w:val="24"/>
        </w:rPr>
      </w:pPr>
    </w:p>
    <w:p w:rsidR="00080007" w:rsidRPr="00B97B82" w:rsidRDefault="00080007">
      <w:pPr>
        <w:pStyle w:val="Footer"/>
        <w:tabs>
          <w:tab w:val="clear" w:pos="8640"/>
          <w:tab w:val="left" w:pos="4320"/>
        </w:tabs>
        <w:spacing w:before="240"/>
        <w:rPr>
          <w:sz w:val="24"/>
          <w:szCs w:val="24"/>
        </w:rPr>
      </w:pPr>
    </w:p>
    <w:p w:rsidR="00080007" w:rsidRPr="00B97B82" w:rsidRDefault="00080007">
      <w:pPr>
        <w:pStyle w:val="ANSWER"/>
        <w:ind w:left="720"/>
        <w:jc w:val="center"/>
        <w:rPr>
          <w:b/>
          <w:bCs/>
          <w:u w:val="single"/>
        </w:rPr>
      </w:pPr>
    </w:p>
    <w:p w:rsidR="00080007" w:rsidRPr="00B97B82" w:rsidRDefault="00080007">
      <w:pPr>
        <w:pStyle w:val="ANSWER"/>
        <w:ind w:left="720"/>
        <w:jc w:val="center"/>
        <w:rPr>
          <w:b/>
          <w:bCs/>
          <w:u w:val="single"/>
        </w:rPr>
      </w:pPr>
    </w:p>
    <w:p w:rsidR="003B51E8" w:rsidRDefault="003B51E8" w:rsidP="003B51E8">
      <w:pPr>
        <w:pStyle w:val="ANSWER"/>
        <w:ind w:left="0" w:firstLine="0"/>
        <w:rPr>
          <w:b/>
          <w:bCs/>
          <w:u w:val="single"/>
        </w:rPr>
      </w:pPr>
    </w:p>
    <w:p w:rsidR="00080007" w:rsidRPr="00B97B82" w:rsidRDefault="00BB00C7" w:rsidP="003B51E8">
      <w:pPr>
        <w:pStyle w:val="ANSWER"/>
        <w:ind w:left="2160" w:firstLine="720"/>
        <w:rPr>
          <w:b/>
          <w:bCs/>
          <w:u w:val="single"/>
        </w:rPr>
      </w:pPr>
      <w:r>
        <w:rPr>
          <w:b/>
          <w:bCs/>
          <w:u w:val="single"/>
        </w:rPr>
        <w:br w:type="page"/>
      </w:r>
      <w:r w:rsidR="00080007" w:rsidRPr="00B97B82">
        <w:rPr>
          <w:b/>
          <w:bCs/>
          <w:u w:val="single"/>
        </w:rPr>
        <w:t>CERTIFICATE OF SERVICE</w:t>
      </w:r>
    </w:p>
    <w:p w:rsidR="00080007" w:rsidRPr="00B97B82" w:rsidRDefault="00080007">
      <w:pPr>
        <w:spacing w:line="480" w:lineRule="auto"/>
        <w:rPr>
          <w:sz w:val="24"/>
          <w:szCs w:val="24"/>
        </w:rPr>
      </w:pPr>
      <w:r w:rsidRPr="00B97B82">
        <w:rPr>
          <w:sz w:val="24"/>
          <w:szCs w:val="24"/>
        </w:rPr>
        <w:tab/>
        <w:t xml:space="preserve">I hereby certify that a copy of the foregoing </w:t>
      </w:r>
      <w:r w:rsidRPr="00B97B82">
        <w:rPr>
          <w:i/>
          <w:iCs/>
          <w:sz w:val="24"/>
          <w:szCs w:val="24"/>
        </w:rPr>
        <w:t xml:space="preserve">Memorandum Contra </w:t>
      </w:r>
      <w:r w:rsidRPr="00B97B82">
        <w:rPr>
          <w:sz w:val="24"/>
          <w:szCs w:val="24"/>
        </w:rPr>
        <w:t>by the Office of the Ohio Consumers’ Counsel has been served upon those persons listed b</w:t>
      </w:r>
      <w:r w:rsidR="00AE289D" w:rsidRPr="00B97B82">
        <w:rPr>
          <w:sz w:val="24"/>
          <w:szCs w:val="24"/>
        </w:rPr>
        <w:t>elow via electronic mail this 21st day of June</w:t>
      </w:r>
      <w:r w:rsidRPr="00B97B82">
        <w:rPr>
          <w:sz w:val="24"/>
          <w:szCs w:val="24"/>
        </w:rPr>
        <w:t xml:space="preserve"> 2013.</w:t>
      </w:r>
    </w:p>
    <w:p w:rsidR="00080007" w:rsidRPr="00B97B82" w:rsidRDefault="00080007">
      <w:pPr>
        <w:tabs>
          <w:tab w:val="left" w:pos="4320"/>
        </w:tabs>
        <w:rPr>
          <w:i/>
          <w:iCs/>
          <w:sz w:val="24"/>
          <w:szCs w:val="24"/>
          <w:u w:val="single"/>
        </w:rPr>
      </w:pPr>
      <w:r w:rsidRPr="00B97B82">
        <w:rPr>
          <w:sz w:val="24"/>
          <w:szCs w:val="24"/>
        </w:rPr>
        <w:tab/>
      </w:r>
      <w:r w:rsidR="004C53DA" w:rsidRPr="00B97B82">
        <w:rPr>
          <w:i/>
          <w:iCs/>
          <w:sz w:val="24"/>
          <w:szCs w:val="24"/>
          <w:u w:val="single"/>
        </w:rPr>
        <w:t>/s/ Joseph P. S</w:t>
      </w:r>
      <w:r w:rsidRPr="00B97B82">
        <w:rPr>
          <w:i/>
          <w:iCs/>
          <w:sz w:val="24"/>
          <w:szCs w:val="24"/>
          <w:u w:val="single"/>
        </w:rPr>
        <w:t>er</w:t>
      </w:r>
      <w:r w:rsidR="004C53DA" w:rsidRPr="00B97B82">
        <w:rPr>
          <w:i/>
          <w:iCs/>
          <w:sz w:val="24"/>
          <w:szCs w:val="24"/>
          <w:u w:val="single"/>
        </w:rPr>
        <w:t>io</w:t>
      </w:r>
      <w:r w:rsidRPr="00B97B82">
        <w:rPr>
          <w:i/>
          <w:iCs/>
          <w:sz w:val="24"/>
          <w:szCs w:val="24"/>
          <w:u w:val="single"/>
        </w:rPr>
        <w:tab/>
      </w:r>
      <w:r w:rsidRPr="00B97B82">
        <w:rPr>
          <w:i/>
          <w:iCs/>
          <w:sz w:val="24"/>
          <w:szCs w:val="24"/>
          <w:u w:val="single"/>
        </w:rPr>
        <w:tab/>
      </w:r>
      <w:r w:rsidRPr="00B97B82">
        <w:rPr>
          <w:i/>
          <w:iCs/>
          <w:sz w:val="24"/>
          <w:szCs w:val="24"/>
          <w:u w:val="single"/>
        </w:rPr>
        <w:tab/>
      </w:r>
      <w:r w:rsidRPr="00B97B82">
        <w:rPr>
          <w:i/>
          <w:iCs/>
          <w:sz w:val="24"/>
          <w:szCs w:val="24"/>
          <w:u w:val="single"/>
        </w:rPr>
        <w:tab/>
      </w:r>
    </w:p>
    <w:p w:rsidR="00080007" w:rsidRPr="00B97B82" w:rsidRDefault="004C53DA">
      <w:pPr>
        <w:autoSpaceDE w:val="0"/>
        <w:autoSpaceDN w:val="0"/>
        <w:adjustRightInd w:val="0"/>
        <w:ind w:left="3600" w:firstLine="720"/>
        <w:rPr>
          <w:sz w:val="24"/>
          <w:szCs w:val="24"/>
        </w:rPr>
      </w:pPr>
      <w:r w:rsidRPr="00B97B82">
        <w:rPr>
          <w:sz w:val="24"/>
          <w:szCs w:val="24"/>
        </w:rPr>
        <w:t>Joseph P. S</w:t>
      </w:r>
      <w:r w:rsidR="00080007" w:rsidRPr="00B97B82">
        <w:rPr>
          <w:sz w:val="24"/>
          <w:szCs w:val="24"/>
        </w:rPr>
        <w:t>er</w:t>
      </w:r>
      <w:r w:rsidRPr="00B97B82">
        <w:rPr>
          <w:sz w:val="24"/>
          <w:szCs w:val="24"/>
        </w:rPr>
        <w:t>io</w:t>
      </w:r>
    </w:p>
    <w:p w:rsidR="00080007" w:rsidRPr="00B97B82" w:rsidRDefault="00080007">
      <w:pPr>
        <w:tabs>
          <w:tab w:val="left" w:pos="4320"/>
        </w:tabs>
        <w:rPr>
          <w:sz w:val="24"/>
          <w:szCs w:val="24"/>
        </w:rPr>
      </w:pPr>
      <w:r w:rsidRPr="00B97B82">
        <w:rPr>
          <w:sz w:val="24"/>
          <w:szCs w:val="24"/>
        </w:rPr>
        <w:tab/>
        <w:t>Assistant Consumers’ Counsel</w:t>
      </w:r>
    </w:p>
    <w:p w:rsidR="00080007" w:rsidRPr="00B97B82" w:rsidRDefault="00080007">
      <w:pPr>
        <w:pStyle w:val="CommentText"/>
        <w:rPr>
          <w:sz w:val="24"/>
          <w:szCs w:val="24"/>
        </w:rPr>
      </w:pPr>
    </w:p>
    <w:p w:rsidR="00080007" w:rsidRPr="00B97B82" w:rsidRDefault="00080007">
      <w:pPr>
        <w:pStyle w:val="CommentText"/>
        <w:jc w:val="center"/>
        <w:rPr>
          <w:b/>
          <w:bCs/>
          <w:sz w:val="24"/>
          <w:szCs w:val="24"/>
          <w:u w:val="single"/>
        </w:rPr>
      </w:pPr>
      <w:r w:rsidRPr="00B97B82">
        <w:rPr>
          <w:b/>
          <w:bCs/>
          <w:sz w:val="24"/>
          <w:szCs w:val="24"/>
          <w:u w:val="single"/>
        </w:rPr>
        <w:t>SERVICE LIST</w:t>
      </w:r>
    </w:p>
    <w:p w:rsidR="00CB044D" w:rsidRPr="00B97B82" w:rsidRDefault="00CB044D">
      <w:pPr>
        <w:pStyle w:val="CommentText"/>
        <w:jc w:val="center"/>
        <w:rPr>
          <w:b/>
          <w:bCs/>
          <w:sz w:val="24"/>
          <w:szCs w:val="24"/>
          <w:u w:val="single"/>
        </w:rPr>
      </w:pPr>
    </w:p>
    <w:tbl>
      <w:tblPr>
        <w:tblW w:w="0" w:type="auto"/>
        <w:tblInd w:w="-106" w:type="dxa"/>
        <w:tblLook w:val="01E0" w:firstRow="1" w:lastRow="1" w:firstColumn="1" w:lastColumn="1" w:noHBand="0" w:noVBand="0"/>
      </w:tblPr>
      <w:tblGrid>
        <w:gridCol w:w="4428"/>
        <w:gridCol w:w="4428"/>
      </w:tblGrid>
      <w:tr w:rsidR="00CB044D" w:rsidRPr="00B97B82" w:rsidTr="00475EE3">
        <w:tc>
          <w:tcPr>
            <w:tcW w:w="4428" w:type="dxa"/>
          </w:tcPr>
          <w:p w:rsidR="00CB044D" w:rsidRPr="00B97B82" w:rsidRDefault="00CB044D" w:rsidP="00CB044D">
            <w:pPr>
              <w:rPr>
                <w:rFonts w:eastAsia="Calibri"/>
                <w:sz w:val="24"/>
                <w:szCs w:val="24"/>
              </w:rPr>
            </w:pPr>
            <w:r w:rsidRPr="00B97B82">
              <w:rPr>
                <w:rFonts w:eastAsia="Calibri"/>
                <w:sz w:val="24"/>
                <w:szCs w:val="24"/>
              </w:rPr>
              <w:t>Samuel C. Randazzo</w:t>
            </w:r>
          </w:p>
          <w:p w:rsidR="00CB044D" w:rsidRPr="00B97B82" w:rsidRDefault="00CB044D" w:rsidP="00CB044D">
            <w:pPr>
              <w:rPr>
                <w:rFonts w:eastAsia="Calibri"/>
                <w:sz w:val="24"/>
                <w:szCs w:val="24"/>
              </w:rPr>
            </w:pPr>
            <w:r w:rsidRPr="00B97B82">
              <w:rPr>
                <w:rFonts w:eastAsia="Calibri"/>
                <w:sz w:val="24"/>
                <w:szCs w:val="24"/>
              </w:rPr>
              <w:t>Frank P. Darr</w:t>
            </w:r>
          </w:p>
          <w:p w:rsidR="00CB044D" w:rsidRPr="00B97B82" w:rsidRDefault="00CB044D" w:rsidP="00CB044D">
            <w:pPr>
              <w:rPr>
                <w:rFonts w:eastAsia="Calibri"/>
                <w:sz w:val="24"/>
                <w:szCs w:val="24"/>
              </w:rPr>
            </w:pPr>
            <w:r w:rsidRPr="00B97B82">
              <w:rPr>
                <w:rFonts w:eastAsia="Calibri"/>
                <w:sz w:val="24"/>
                <w:szCs w:val="24"/>
              </w:rPr>
              <w:t>Joseph E. Oliker</w:t>
            </w:r>
          </w:p>
          <w:p w:rsidR="00CB044D" w:rsidRPr="00B97B82" w:rsidRDefault="00CB044D" w:rsidP="00CB044D">
            <w:pPr>
              <w:rPr>
                <w:rFonts w:eastAsia="Calibri"/>
                <w:sz w:val="24"/>
                <w:szCs w:val="24"/>
              </w:rPr>
            </w:pPr>
            <w:r w:rsidRPr="00B97B82">
              <w:rPr>
                <w:rFonts w:eastAsia="Calibri"/>
                <w:sz w:val="24"/>
                <w:szCs w:val="24"/>
              </w:rPr>
              <w:t>Matthew R. Pritchard</w:t>
            </w:r>
          </w:p>
          <w:p w:rsidR="00CB044D" w:rsidRPr="00B97B82" w:rsidRDefault="00CB044D" w:rsidP="00CB044D">
            <w:pPr>
              <w:rPr>
                <w:rFonts w:eastAsia="Calibri"/>
                <w:sz w:val="24"/>
                <w:szCs w:val="24"/>
              </w:rPr>
            </w:pPr>
            <w:r w:rsidRPr="00B97B82">
              <w:rPr>
                <w:rFonts w:eastAsia="Calibri"/>
                <w:sz w:val="24"/>
                <w:szCs w:val="24"/>
              </w:rPr>
              <w:t>MCNEES WALLACE &amp;NURICK LLC</w:t>
            </w:r>
          </w:p>
          <w:p w:rsidR="00CB044D" w:rsidRPr="00B97B82" w:rsidRDefault="00CB044D" w:rsidP="00CB044D">
            <w:pPr>
              <w:rPr>
                <w:rFonts w:eastAsia="Calibri"/>
                <w:sz w:val="24"/>
                <w:szCs w:val="24"/>
              </w:rPr>
            </w:pPr>
            <w:r w:rsidRPr="00B97B82">
              <w:rPr>
                <w:rFonts w:eastAsia="Calibri"/>
                <w:sz w:val="24"/>
                <w:szCs w:val="24"/>
              </w:rPr>
              <w:t>21 East State Street, 17TH Floor</w:t>
            </w:r>
          </w:p>
          <w:p w:rsidR="00CB044D" w:rsidRPr="00B97B82" w:rsidRDefault="00CB044D" w:rsidP="00CB044D">
            <w:pPr>
              <w:rPr>
                <w:rFonts w:eastAsia="Calibri"/>
                <w:sz w:val="24"/>
                <w:szCs w:val="24"/>
              </w:rPr>
            </w:pPr>
            <w:r w:rsidRPr="00B97B82">
              <w:rPr>
                <w:rFonts w:eastAsia="Calibri"/>
                <w:sz w:val="24"/>
                <w:szCs w:val="24"/>
              </w:rPr>
              <w:t>Columbus, Ohio 43215</w:t>
            </w:r>
          </w:p>
          <w:p w:rsidR="00CB044D" w:rsidRPr="00B97B82" w:rsidRDefault="00CB044D" w:rsidP="00CB044D">
            <w:pPr>
              <w:rPr>
                <w:rFonts w:eastAsia="Calibri"/>
                <w:sz w:val="24"/>
                <w:szCs w:val="24"/>
              </w:rPr>
            </w:pPr>
          </w:p>
        </w:tc>
        <w:tc>
          <w:tcPr>
            <w:tcW w:w="4428" w:type="dxa"/>
          </w:tcPr>
          <w:p w:rsidR="00CB044D" w:rsidRPr="00B97B82" w:rsidRDefault="00CB044D" w:rsidP="00CB044D">
            <w:pPr>
              <w:jc w:val="both"/>
              <w:rPr>
                <w:rFonts w:eastAsia="Calibri"/>
                <w:sz w:val="24"/>
                <w:szCs w:val="24"/>
              </w:rPr>
            </w:pPr>
            <w:r w:rsidRPr="00B97B82">
              <w:rPr>
                <w:rFonts w:eastAsia="Calibri"/>
                <w:sz w:val="24"/>
                <w:szCs w:val="24"/>
              </w:rPr>
              <w:t>Amy B. Spiller</w:t>
            </w:r>
          </w:p>
          <w:p w:rsidR="00CB044D" w:rsidRPr="00B97B82" w:rsidRDefault="00CB044D" w:rsidP="00CB044D">
            <w:pPr>
              <w:jc w:val="both"/>
              <w:rPr>
                <w:rFonts w:eastAsia="Calibri"/>
                <w:sz w:val="24"/>
                <w:szCs w:val="24"/>
              </w:rPr>
            </w:pPr>
            <w:r w:rsidRPr="00B97B82">
              <w:rPr>
                <w:rFonts w:eastAsia="Calibri"/>
                <w:sz w:val="24"/>
                <w:szCs w:val="24"/>
              </w:rPr>
              <w:t>Rocco O. D’Ascenzo</w:t>
            </w:r>
          </w:p>
          <w:p w:rsidR="00CB044D" w:rsidRPr="00B97B82" w:rsidRDefault="00CB044D" w:rsidP="00CB044D">
            <w:pPr>
              <w:jc w:val="both"/>
              <w:rPr>
                <w:rFonts w:eastAsia="Calibri"/>
                <w:sz w:val="24"/>
                <w:szCs w:val="24"/>
              </w:rPr>
            </w:pPr>
            <w:r w:rsidRPr="00B97B82">
              <w:rPr>
                <w:rFonts w:eastAsia="Calibri"/>
                <w:sz w:val="24"/>
                <w:szCs w:val="24"/>
              </w:rPr>
              <w:t>Jeanne W. Kingery</w:t>
            </w:r>
          </w:p>
          <w:p w:rsidR="00CB044D" w:rsidRPr="00B97B82" w:rsidRDefault="00CB044D" w:rsidP="00CB044D">
            <w:pPr>
              <w:jc w:val="both"/>
              <w:rPr>
                <w:rFonts w:eastAsia="Calibri"/>
                <w:sz w:val="24"/>
                <w:szCs w:val="24"/>
              </w:rPr>
            </w:pPr>
            <w:r w:rsidRPr="00B97B82">
              <w:rPr>
                <w:rFonts w:eastAsia="Calibri"/>
                <w:sz w:val="24"/>
                <w:szCs w:val="24"/>
              </w:rPr>
              <w:t>Elizabeth H. Watts</w:t>
            </w:r>
          </w:p>
          <w:p w:rsidR="00CB044D" w:rsidRPr="00B97B82" w:rsidRDefault="00CB044D" w:rsidP="00CB044D">
            <w:pPr>
              <w:jc w:val="both"/>
              <w:rPr>
                <w:rFonts w:eastAsia="Calibri"/>
                <w:sz w:val="24"/>
                <w:szCs w:val="24"/>
              </w:rPr>
            </w:pPr>
            <w:r w:rsidRPr="00B97B82">
              <w:rPr>
                <w:rFonts w:eastAsia="Calibri"/>
                <w:sz w:val="24"/>
                <w:szCs w:val="24"/>
              </w:rPr>
              <w:t>Duke Energy Business Services, LLC</w:t>
            </w:r>
          </w:p>
          <w:p w:rsidR="00CB044D" w:rsidRPr="00B97B82" w:rsidRDefault="00CB044D" w:rsidP="00CB044D">
            <w:pPr>
              <w:jc w:val="both"/>
              <w:rPr>
                <w:rFonts w:eastAsia="Calibri"/>
                <w:sz w:val="24"/>
                <w:szCs w:val="24"/>
              </w:rPr>
            </w:pPr>
            <w:r w:rsidRPr="00B97B82">
              <w:rPr>
                <w:rFonts w:eastAsia="Calibri"/>
                <w:sz w:val="24"/>
                <w:szCs w:val="24"/>
              </w:rPr>
              <w:t>139 East Fourth Street 1303 Main</w:t>
            </w:r>
          </w:p>
          <w:p w:rsidR="00CB044D" w:rsidRPr="00B97B82" w:rsidRDefault="00CB044D" w:rsidP="00CB044D">
            <w:pPr>
              <w:jc w:val="both"/>
              <w:rPr>
                <w:rFonts w:eastAsia="Calibri"/>
                <w:sz w:val="24"/>
                <w:szCs w:val="24"/>
              </w:rPr>
            </w:pPr>
            <w:r w:rsidRPr="00B97B82">
              <w:rPr>
                <w:rFonts w:eastAsia="Calibri"/>
                <w:sz w:val="24"/>
                <w:szCs w:val="24"/>
              </w:rPr>
              <w:t>P.O. Box 961</w:t>
            </w:r>
          </w:p>
          <w:p w:rsidR="00CB044D" w:rsidRPr="00B97B82" w:rsidRDefault="00CB044D" w:rsidP="00CB044D">
            <w:pPr>
              <w:jc w:val="both"/>
              <w:rPr>
                <w:rFonts w:eastAsia="Calibri"/>
                <w:sz w:val="24"/>
                <w:szCs w:val="24"/>
              </w:rPr>
            </w:pPr>
            <w:r w:rsidRPr="00B97B82">
              <w:rPr>
                <w:rFonts w:eastAsia="Calibri"/>
                <w:sz w:val="24"/>
                <w:szCs w:val="24"/>
              </w:rPr>
              <w:t>Cincinnati, Ohio 45201-0960</w:t>
            </w:r>
          </w:p>
          <w:p w:rsidR="00CB044D" w:rsidRPr="00B97B82" w:rsidRDefault="00CB044D" w:rsidP="00CB044D">
            <w:pPr>
              <w:jc w:val="both"/>
              <w:rPr>
                <w:rFonts w:eastAsia="Calibri"/>
                <w:sz w:val="24"/>
                <w:szCs w:val="24"/>
              </w:rPr>
            </w:pPr>
          </w:p>
        </w:tc>
      </w:tr>
      <w:tr w:rsidR="00CB044D" w:rsidRPr="00B97B82" w:rsidTr="00475EE3">
        <w:tc>
          <w:tcPr>
            <w:tcW w:w="4428" w:type="dxa"/>
          </w:tcPr>
          <w:p w:rsidR="00CB044D" w:rsidRPr="00B97B82" w:rsidRDefault="00CB044D" w:rsidP="00CB044D">
            <w:pPr>
              <w:rPr>
                <w:rFonts w:eastAsia="Calibri"/>
                <w:sz w:val="24"/>
                <w:szCs w:val="24"/>
              </w:rPr>
            </w:pPr>
            <w:r w:rsidRPr="00B97B82">
              <w:rPr>
                <w:rFonts w:eastAsia="Calibri"/>
                <w:sz w:val="24"/>
                <w:szCs w:val="24"/>
              </w:rPr>
              <w:t>Thomas McNamee</w:t>
            </w:r>
          </w:p>
          <w:p w:rsidR="00CB044D" w:rsidRPr="00B97B82" w:rsidRDefault="00CB044D" w:rsidP="00CB044D">
            <w:pPr>
              <w:rPr>
                <w:rFonts w:eastAsia="Calibri"/>
                <w:sz w:val="24"/>
                <w:szCs w:val="24"/>
              </w:rPr>
            </w:pPr>
            <w:r w:rsidRPr="00B97B82">
              <w:rPr>
                <w:rFonts w:eastAsia="Calibri"/>
                <w:sz w:val="24"/>
                <w:szCs w:val="24"/>
              </w:rPr>
              <w:t>Devin Parram</w:t>
            </w:r>
          </w:p>
          <w:p w:rsidR="00CB044D" w:rsidRPr="00B97B82" w:rsidRDefault="00CB044D" w:rsidP="00CB044D">
            <w:pPr>
              <w:rPr>
                <w:rFonts w:eastAsia="Calibri"/>
                <w:sz w:val="24"/>
                <w:szCs w:val="24"/>
              </w:rPr>
            </w:pPr>
            <w:r w:rsidRPr="00B97B82">
              <w:rPr>
                <w:rFonts w:eastAsia="Calibri"/>
                <w:sz w:val="24"/>
                <w:szCs w:val="24"/>
              </w:rPr>
              <w:t>Attorneys General</w:t>
            </w:r>
          </w:p>
          <w:p w:rsidR="00CB044D" w:rsidRPr="00B97B82" w:rsidRDefault="00CB044D" w:rsidP="00CB044D">
            <w:pPr>
              <w:rPr>
                <w:rFonts w:eastAsia="Calibri"/>
                <w:sz w:val="24"/>
                <w:szCs w:val="24"/>
              </w:rPr>
            </w:pPr>
            <w:r w:rsidRPr="00B97B82">
              <w:rPr>
                <w:rFonts w:eastAsia="Calibri"/>
                <w:sz w:val="24"/>
                <w:szCs w:val="24"/>
              </w:rPr>
              <w:t>Public Utilities Commission of Ohio</w:t>
            </w:r>
          </w:p>
          <w:p w:rsidR="00CB044D" w:rsidRPr="00B97B82" w:rsidRDefault="00CB044D" w:rsidP="00CB044D">
            <w:pPr>
              <w:rPr>
                <w:rFonts w:eastAsia="Calibri"/>
                <w:sz w:val="24"/>
                <w:szCs w:val="24"/>
              </w:rPr>
            </w:pPr>
            <w:r w:rsidRPr="00B97B82">
              <w:rPr>
                <w:rFonts w:eastAsia="Calibri"/>
                <w:sz w:val="24"/>
                <w:szCs w:val="24"/>
              </w:rPr>
              <w:t>180 East Broad Street 6</w:t>
            </w:r>
            <w:r w:rsidRPr="00B97B82">
              <w:rPr>
                <w:rFonts w:eastAsia="Calibri"/>
                <w:sz w:val="24"/>
                <w:szCs w:val="24"/>
                <w:vertAlign w:val="superscript"/>
              </w:rPr>
              <w:t>th</w:t>
            </w:r>
            <w:r w:rsidRPr="00B97B82">
              <w:rPr>
                <w:rFonts w:eastAsia="Calibri"/>
                <w:sz w:val="24"/>
                <w:szCs w:val="24"/>
              </w:rPr>
              <w:t xml:space="preserve"> Floor</w:t>
            </w:r>
          </w:p>
          <w:p w:rsidR="00CB044D" w:rsidRPr="00B97B82" w:rsidRDefault="00CB044D" w:rsidP="00CB044D">
            <w:pPr>
              <w:rPr>
                <w:rFonts w:eastAsia="Calibri"/>
                <w:sz w:val="24"/>
                <w:szCs w:val="24"/>
              </w:rPr>
            </w:pPr>
            <w:r w:rsidRPr="00B97B82">
              <w:rPr>
                <w:rFonts w:eastAsia="Calibri"/>
                <w:sz w:val="24"/>
                <w:szCs w:val="24"/>
              </w:rPr>
              <w:t>Columbus, Ohio 43215</w:t>
            </w:r>
          </w:p>
          <w:p w:rsidR="00CB044D" w:rsidRPr="00B97B82" w:rsidRDefault="00CB044D" w:rsidP="00CB044D">
            <w:pPr>
              <w:rPr>
                <w:rFonts w:eastAsia="Calibri"/>
                <w:sz w:val="24"/>
                <w:szCs w:val="24"/>
              </w:rPr>
            </w:pPr>
          </w:p>
        </w:tc>
        <w:tc>
          <w:tcPr>
            <w:tcW w:w="4428" w:type="dxa"/>
          </w:tcPr>
          <w:p w:rsidR="00CB044D" w:rsidRPr="00B97B82" w:rsidRDefault="00CB044D" w:rsidP="00CB044D">
            <w:pPr>
              <w:jc w:val="both"/>
              <w:rPr>
                <w:rFonts w:eastAsia="Calibri"/>
                <w:sz w:val="24"/>
                <w:szCs w:val="24"/>
              </w:rPr>
            </w:pPr>
            <w:r w:rsidRPr="00B97B82">
              <w:rPr>
                <w:rFonts w:eastAsia="Calibri"/>
                <w:sz w:val="24"/>
                <w:szCs w:val="24"/>
              </w:rPr>
              <w:t>A. Brian McIntosh</w:t>
            </w:r>
          </w:p>
          <w:p w:rsidR="00CB044D" w:rsidRPr="00B97B82" w:rsidRDefault="00CB044D" w:rsidP="00CB044D">
            <w:pPr>
              <w:jc w:val="both"/>
              <w:rPr>
                <w:rFonts w:eastAsia="Calibri"/>
                <w:sz w:val="24"/>
                <w:szCs w:val="24"/>
              </w:rPr>
            </w:pPr>
            <w:r w:rsidRPr="00B97B82">
              <w:rPr>
                <w:rFonts w:eastAsia="Calibri"/>
                <w:sz w:val="24"/>
                <w:szCs w:val="24"/>
              </w:rPr>
              <w:t>McIntosh &amp; McIntosh</w:t>
            </w:r>
          </w:p>
          <w:p w:rsidR="00CB044D" w:rsidRPr="00B97B82" w:rsidRDefault="00CB044D" w:rsidP="00CB044D">
            <w:pPr>
              <w:jc w:val="both"/>
              <w:rPr>
                <w:rFonts w:eastAsia="Calibri"/>
                <w:sz w:val="24"/>
                <w:szCs w:val="24"/>
              </w:rPr>
            </w:pPr>
            <w:r w:rsidRPr="00B97B82">
              <w:rPr>
                <w:rFonts w:eastAsia="Calibri"/>
                <w:sz w:val="24"/>
                <w:szCs w:val="24"/>
              </w:rPr>
              <w:t>1136 Saint Gregory Street, Suite 100</w:t>
            </w:r>
          </w:p>
          <w:p w:rsidR="00CB044D" w:rsidRPr="00B97B82" w:rsidRDefault="00CB044D" w:rsidP="00CB044D">
            <w:pPr>
              <w:jc w:val="both"/>
              <w:rPr>
                <w:rFonts w:eastAsia="Calibri"/>
                <w:sz w:val="24"/>
                <w:szCs w:val="24"/>
              </w:rPr>
            </w:pPr>
            <w:r w:rsidRPr="00B97B82">
              <w:rPr>
                <w:rFonts w:eastAsia="Calibri"/>
                <w:sz w:val="24"/>
                <w:szCs w:val="24"/>
              </w:rPr>
              <w:t>Cincinnati, Ohio 45202</w:t>
            </w:r>
          </w:p>
          <w:p w:rsidR="00CB044D" w:rsidRPr="00B97B82" w:rsidRDefault="00CB044D" w:rsidP="00CB044D">
            <w:pPr>
              <w:ind w:left="360"/>
              <w:jc w:val="both"/>
              <w:rPr>
                <w:rFonts w:eastAsia="Calibri"/>
                <w:sz w:val="24"/>
                <w:szCs w:val="24"/>
              </w:rPr>
            </w:pPr>
          </w:p>
        </w:tc>
      </w:tr>
      <w:tr w:rsidR="00CB044D" w:rsidRPr="00B97B82" w:rsidTr="00475EE3">
        <w:tc>
          <w:tcPr>
            <w:tcW w:w="4428" w:type="dxa"/>
          </w:tcPr>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Douglas E. Hart</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441 Vine Street, Suite 4192</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Cincinnati, Ohio 45202</w:t>
            </w:r>
          </w:p>
          <w:p w:rsidR="00CB044D" w:rsidRPr="00B97B82" w:rsidRDefault="00CB044D" w:rsidP="00CB044D">
            <w:pPr>
              <w:autoSpaceDE w:val="0"/>
              <w:autoSpaceDN w:val="0"/>
              <w:adjustRightInd w:val="0"/>
              <w:rPr>
                <w:rFonts w:eastAsia="Calibri"/>
                <w:color w:val="000000"/>
                <w:sz w:val="24"/>
                <w:szCs w:val="24"/>
              </w:rPr>
            </w:pPr>
          </w:p>
        </w:tc>
        <w:tc>
          <w:tcPr>
            <w:tcW w:w="4428" w:type="dxa"/>
          </w:tcPr>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Colleen L. Mooney</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Ohio Partners for Affordable Energy</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231 West Lima Street</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Findlay, Ohio 45840</w:t>
            </w:r>
          </w:p>
          <w:p w:rsidR="00CB044D" w:rsidRPr="00B97B82" w:rsidRDefault="00CB044D" w:rsidP="00CB044D">
            <w:pPr>
              <w:rPr>
                <w:rFonts w:eastAsia="Calibri"/>
                <w:sz w:val="24"/>
                <w:szCs w:val="24"/>
              </w:rPr>
            </w:pPr>
          </w:p>
        </w:tc>
      </w:tr>
      <w:tr w:rsidR="00CB044D" w:rsidRPr="00B97B82" w:rsidTr="00475EE3">
        <w:tc>
          <w:tcPr>
            <w:tcW w:w="4428" w:type="dxa"/>
          </w:tcPr>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Thomas J. O’Brien</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Bricker &amp;</w:t>
            </w:r>
            <w:r w:rsidR="00604614">
              <w:rPr>
                <w:rFonts w:eastAsia="Calibri"/>
                <w:sz w:val="24"/>
                <w:szCs w:val="24"/>
              </w:rPr>
              <w:t xml:space="preserve"> </w:t>
            </w:r>
            <w:r w:rsidRPr="00B97B82">
              <w:rPr>
                <w:rFonts w:eastAsia="Calibri"/>
                <w:sz w:val="24"/>
                <w:szCs w:val="24"/>
              </w:rPr>
              <w:t>Eckler LLP</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100 South Third Street</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Columbus, Ohio 43215-4291</w:t>
            </w:r>
          </w:p>
          <w:p w:rsidR="00CB044D" w:rsidRPr="00B97B82" w:rsidRDefault="00CB044D" w:rsidP="00CB044D">
            <w:pPr>
              <w:rPr>
                <w:rFonts w:eastAsia="Calibri"/>
                <w:sz w:val="24"/>
                <w:szCs w:val="24"/>
              </w:rPr>
            </w:pPr>
          </w:p>
          <w:p w:rsidR="00CB044D" w:rsidRPr="00B97B82" w:rsidRDefault="00CB044D" w:rsidP="00CB044D">
            <w:pPr>
              <w:rPr>
                <w:rFonts w:eastAsia="Calibri"/>
                <w:sz w:val="24"/>
                <w:szCs w:val="24"/>
              </w:rPr>
            </w:pPr>
            <w:r w:rsidRPr="00B97B82">
              <w:rPr>
                <w:rFonts w:eastAsia="Calibri"/>
                <w:sz w:val="24"/>
                <w:szCs w:val="24"/>
              </w:rPr>
              <w:t>Kimberly W. Bojko</w:t>
            </w:r>
          </w:p>
          <w:p w:rsidR="00CB044D" w:rsidRPr="00B97B82" w:rsidRDefault="00CB044D" w:rsidP="00CB044D">
            <w:pPr>
              <w:rPr>
                <w:rFonts w:eastAsia="Calibri"/>
                <w:sz w:val="24"/>
                <w:szCs w:val="24"/>
              </w:rPr>
            </w:pPr>
            <w:r w:rsidRPr="00B97B82">
              <w:rPr>
                <w:rFonts w:eastAsia="Calibri"/>
                <w:sz w:val="24"/>
                <w:szCs w:val="24"/>
              </w:rPr>
              <w:t>Mallory M. Mohler</w:t>
            </w:r>
          </w:p>
          <w:p w:rsidR="00CB044D" w:rsidRPr="00B97B82" w:rsidRDefault="00CB044D" w:rsidP="00CB044D">
            <w:pPr>
              <w:rPr>
                <w:rFonts w:eastAsia="Calibri"/>
                <w:sz w:val="24"/>
                <w:szCs w:val="24"/>
              </w:rPr>
            </w:pPr>
            <w:r w:rsidRPr="00B97B82">
              <w:rPr>
                <w:rFonts w:eastAsia="Calibri"/>
                <w:sz w:val="24"/>
                <w:szCs w:val="24"/>
              </w:rPr>
              <w:t>Carpenter Lipps&amp; Leland LLP</w:t>
            </w:r>
          </w:p>
          <w:p w:rsidR="00CB044D" w:rsidRPr="00B97B82" w:rsidRDefault="00CB044D" w:rsidP="00CB044D">
            <w:pPr>
              <w:rPr>
                <w:rFonts w:eastAsia="Calibri"/>
                <w:sz w:val="24"/>
                <w:szCs w:val="24"/>
              </w:rPr>
            </w:pPr>
            <w:r w:rsidRPr="00B97B82">
              <w:rPr>
                <w:rFonts w:eastAsia="Calibri"/>
                <w:sz w:val="24"/>
                <w:szCs w:val="24"/>
              </w:rPr>
              <w:t>280 North High Street</w:t>
            </w:r>
          </w:p>
          <w:p w:rsidR="00CB044D" w:rsidRPr="00B97B82" w:rsidRDefault="00CB044D" w:rsidP="00CB044D">
            <w:pPr>
              <w:rPr>
                <w:rFonts w:eastAsia="Calibri"/>
                <w:sz w:val="24"/>
                <w:szCs w:val="24"/>
              </w:rPr>
            </w:pPr>
            <w:r w:rsidRPr="00B97B82">
              <w:rPr>
                <w:rFonts w:eastAsia="Calibri"/>
                <w:sz w:val="24"/>
                <w:szCs w:val="24"/>
              </w:rPr>
              <w:t>Suite 1300</w:t>
            </w:r>
          </w:p>
          <w:p w:rsidR="00CB044D" w:rsidRPr="00B97B82" w:rsidRDefault="00CB044D" w:rsidP="00B41E1B">
            <w:pPr>
              <w:rPr>
                <w:rFonts w:eastAsia="Calibri"/>
                <w:sz w:val="24"/>
                <w:szCs w:val="24"/>
              </w:rPr>
            </w:pPr>
            <w:r w:rsidRPr="00B97B82">
              <w:rPr>
                <w:rFonts w:eastAsia="Calibri"/>
                <w:sz w:val="24"/>
                <w:szCs w:val="24"/>
              </w:rPr>
              <w:t>Columbus, Ohio  43215</w:t>
            </w:r>
          </w:p>
        </w:tc>
        <w:tc>
          <w:tcPr>
            <w:tcW w:w="4428" w:type="dxa"/>
          </w:tcPr>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Mark S. Yurick</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Zachary D. Kravitz</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Taft Stettinius &amp; Hollister LLP</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65 East State Street Suite 1000</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Columbus, Ohio  43215</w:t>
            </w:r>
          </w:p>
          <w:p w:rsidR="00CB044D" w:rsidRPr="00B97B82" w:rsidRDefault="00CB044D" w:rsidP="00CB044D">
            <w:pPr>
              <w:autoSpaceDE w:val="0"/>
              <w:autoSpaceDN w:val="0"/>
              <w:adjustRightInd w:val="0"/>
              <w:rPr>
                <w:rFonts w:eastAsia="Calibri"/>
                <w:color w:val="000000"/>
                <w:sz w:val="24"/>
                <w:szCs w:val="24"/>
              </w:rPr>
            </w:pP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Vincent Parisi</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Matthew White</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Interstate Gas Supply Inc.</w:t>
            </w:r>
          </w:p>
          <w:p w:rsidR="00CB044D" w:rsidRPr="00B97B82" w:rsidRDefault="00CB044D" w:rsidP="00CB044D">
            <w:pPr>
              <w:autoSpaceDE w:val="0"/>
              <w:autoSpaceDN w:val="0"/>
              <w:adjustRightInd w:val="0"/>
              <w:rPr>
                <w:rFonts w:eastAsia="Calibri"/>
                <w:color w:val="000000"/>
                <w:sz w:val="24"/>
                <w:szCs w:val="24"/>
              </w:rPr>
            </w:pPr>
            <w:r w:rsidRPr="00B97B82">
              <w:rPr>
                <w:rFonts w:eastAsia="Calibri"/>
                <w:color w:val="000000"/>
                <w:sz w:val="24"/>
                <w:szCs w:val="24"/>
              </w:rPr>
              <w:t>6100 Emerald Parkway</w:t>
            </w:r>
          </w:p>
          <w:p w:rsidR="00CB044D" w:rsidRPr="00B97B82" w:rsidRDefault="00CB044D" w:rsidP="00B41E1B">
            <w:pPr>
              <w:autoSpaceDE w:val="0"/>
              <w:autoSpaceDN w:val="0"/>
              <w:adjustRightInd w:val="0"/>
              <w:rPr>
                <w:rFonts w:eastAsia="Calibri"/>
                <w:color w:val="000000"/>
                <w:sz w:val="24"/>
                <w:szCs w:val="24"/>
              </w:rPr>
            </w:pPr>
            <w:r w:rsidRPr="00B97B82">
              <w:rPr>
                <w:rFonts w:eastAsia="Calibri"/>
                <w:color w:val="000000"/>
                <w:sz w:val="24"/>
                <w:szCs w:val="24"/>
              </w:rPr>
              <w:t>Dublin, Ohio  43016</w:t>
            </w:r>
          </w:p>
        </w:tc>
      </w:tr>
    </w:tbl>
    <w:p w:rsidR="00CB044D" w:rsidRPr="00B97B82" w:rsidRDefault="00CB044D" w:rsidP="00CB044D">
      <w:pPr>
        <w:rPr>
          <w:sz w:val="24"/>
          <w:szCs w:val="24"/>
        </w:rPr>
      </w:pPr>
      <w:r w:rsidRPr="00B97B82">
        <w:rPr>
          <w:sz w:val="24"/>
          <w:szCs w:val="24"/>
        </w:rPr>
        <w:br w:type="page"/>
      </w:r>
    </w:p>
    <w:tbl>
      <w:tblPr>
        <w:tblW w:w="0" w:type="auto"/>
        <w:tblInd w:w="-106" w:type="dxa"/>
        <w:tblLook w:val="01E0" w:firstRow="1" w:lastRow="1" w:firstColumn="1" w:lastColumn="1" w:noHBand="0" w:noVBand="0"/>
      </w:tblPr>
      <w:tblGrid>
        <w:gridCol w:w="4428"/>
        <w:gridCol w:w="4428"/>
      </w:tblGrid>
      <w:tr w:rsidR="00CB044D" w:rsidRPr="00B97B82" w:rsidTr="00475EE3">
        <w:tc>
          <w:tcPr>
            <w:tcW w:w="4428" w:type="dxa"/>
          </w:tcPr>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M. Howard Petricoff</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Stephen M. Howard</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Vorys, Sater, Seymour and Pease LLP</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52 East Gay Street</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PO Box 1008</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Columbus, Ohio  43216-1008</w:t>
            </w:r>
          </w:p>
          <w:p w:rsidR="00CB044D" w:rsidRPr="00B97B82" w:rsidRDefault="00CB044D" w:rsidP="00CB044D">
            <w:pPr>
              <w:autoSpaceDE w:val="0"/>
              <w:autoSpaceDN w:val="0"/>
              <w:adjustRightInd w:val="0"/>
              <w:rPr>
                <w:rFonts w:eastAsia="Calibri"/>
                <w:sz w:val="24"/>
                <w:szCs w:val="24"/>
              </w:rPr>
            </w:pP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Andrew J. Sonderman</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Kegler, Brown, Hill &amp; Ritter LPA</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Capitol Square, suite 1800</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65 East State Street</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rPr>
              <w:t>Columbus, Ohio  43215</w:t>
            </w:r>
          </w:p>
          <w:p w:rsidR="00CB044D" w:rsidRPr="00B97B82" w:rsidRDefault="00CB044D" w:rsidP="00CB044D">
            <w:pPr>
              <w:autoSpaceDE w:val="0"/>
              <w:autoSpaceDN w:val="0"/>
              <w:adjustRightInd w:val="0"/>
              <w:rPr>
                <w:rFonts w:eastAsia="Calibri"/>
                <w:sz w:val="24"/>
                <w:szCs w:val="24"/>
              </w:rPr>
            </w:pPr>
          </w:p>
        </w:tc>
        <w:tc>
          <w:tcPr>
            <w:tcW w:w="4428" w:type="dxa"/>
          </w:tcPr>
          <w:p w:rsidR="00CB044D" w:rsidRPr="00B97B82" w:rsidRDefault="00CB044D" w:rsidP="00CB044D">
            <w:pPr>
              <w:rPr>
                <w:rFonts w:eastAsia="Calibri"/>
                <w:sz w:val="24"/>
                <w:szCs w:val="24"/>
                <w:u w:val="single"/>
              </w:rPr>
            </w:pPr>
            <w:r w:rsidRPr="00B97B82">
              <w:rPr>
                <w:rFonts w:eastAsia="Calibri"/>
                <w:sz w:val="24"/>
                <w:szCs w:val="24"/>
                <w:u w:val="single"/>
              </w:rPr>
              <w:t>Amy.spiller@duke-energy.com</w:t>
            </w:r>
          </w:p>
          <w:p w:rsidR="00CB044D" w:rsidRPr="00B97B82" w:rsidRDefault="00CB044D" w:rsidP="00CB044D">
            <w:pPr>
              <w:rPr>
                <w:rFonts w:eastAsia="Calibri"/>
                <w:sz w:val="24"/>
                <w:szCs w:val="24"/>
                <w:u w:val="single"/>
              </w:rPr>
            </w:pPr>
            <w:r w:rsidRPr="00B97B82">
              <w:rPr>
                <w:rFonts w:eastAsia="Calibri"/>
                <w:sz w:val="24"/>
                <w:szCs w:val="24"/>
                <w:u w:val="single"/>
              </w:rPr>
              <w:t>Elizabeth.watts@duke-energy.com</w:t>
            </w:r>
          </w:p>
          <w:p w:rsidR="00CB044D" w:rsidRPr="00B97B82" w:rsidRDefault="00CB044D" w:rsidP="00CB044D">
            <w:pPr>
              <w:rPr>
                <w:rFonts w:eastAsia="Calibri"/>
                <w:sz w:val="24"/>
                <w:szCs w:val="24"/>
                <w:u w:val="single"/>
              </w:rPr>
            </w:pPr>
            <w:r w:rsidRPr="00B97B82">
              <w:rPr>
                <w:rFonts w:eastAsia="Calibri"/>
                <w:sz w:val="24"/>
                <w:szCs w:val="24"/>
                <w:u w:val="single"/>
              </w:rPr>
              <w:t>Jeanne.kingery@duke-energy.com</w:t>
            </w:r>
          </w:p>
          <w:p w:rsidR="00CB044D" w:rsidRPr="00B97B82" w:rsidRDefault="00CB044D" w:rsidP="00CB044D">
            <w:pPr>
              <w:rPr>
                <w:rFonts w:eastAsia="Calibri"/>
                <w:sz w:val="24"/>
                <w:szCs w:val="24"/>
                <w:u w:val="single"/>
              </w:rPr>
            </w:pPr>
            <w:r w:rsidRPr="00B97B82">
              <w:rPr>
                <w:rFonts w:eastAsia="Calibri"/>
                <w:sz w:val="24"/>
                <w:szCs w:val="24"/>
                <w:u w:val="single"/>
              </w:rPr>
              <w:t>Rocco.dascenzo@duke-energy.com</w:t>
            </w:r>
          </w:p>
          <w:p w:rsidR="00CB044D" w:rsidRPr="00B97B82" w:rsidRDefault="00CB044D" w:rsidP="00CB044D">
            <w:pPr>
              <w:rPr>
                <w:rFonts w:eastAsia="Calibri"/>
                <w:sz w:val="24"/>
                <w:szCs w:val="24"/>
              </w:rPr>
            </w:pPr>
            <w:r w:rsidRPr="00B97B82">
              <w:rPr>
                <w:rFonts w:eastAsia="Calibri"/>
                <w:sz w:val="24"/>
                <w:szCs w:val="24"/>
                <w:u w:val="single"/>
              </w:rPr>
              <w:t>sam@mwncmh.com</w:t>
            </w:r>
          </w:p>
          <w:p w:rsidR="00CB044D" w:rsidRPr="00B97B82" w:rsidRDefault="00CB044D" w:rsidP="00CB044D">
            <w:pPr>
              <w:rPr>
                <w:rFonts w:eastAsia="Calibri"/>
                <w:sz w:val="24"/>
                <w:szCs w:val="24"/>
              </w:rPr>
            </w:pPr>
            <w:r w:rsidRPr="00B97B82">
              <w:rPr>
                <w:rFonts w:eastAsia="Calibri"/>
                <w:sz w:val="24"/>
                <w:szCs w:val="24"/>
                <w:u w:val="single"/>
              </w:rPr>
              <w:t>fdarr@mwncmh.com</w:t>
            </w:r>
          </w:p>
          <w:p w:rsidR="00CB044D" w:rsidRPr="00B97B82" w:rsidRDefault="00CB044D" w:rsidP="00CB044D">
            <w:pPr>
              <w:rPr>
                <w:rFonts w:eastAsia="Calibri"/>
                <w:sz w:val="24"/>
                <w:szCs w:val="24"/>
              </w:rPr>
            </w:pPr>
            <w:r w:rsidRPr="00B97B82">
              <w:rPr>
                <w:rFonts w:eastAsia="Calibri"/>
                <w:sz w:val="24"/>
                <w:szCs w:val="24"/>
                <w:u w:val="single"/>
              </w:rPr>
              <w:t>joliker@mwncmh.com</w:t>
            </w:r>
          </w:p>
          <w:p w:rsidR="00CB044D" w:rsidRPr="00B97B82" w:rsidRDefault="00CB044D" w:rsidP="00CB044D">
            <w:pPr>
              <w:rPr>
                <w:rFonts w:eastAsia="Calibri"/>
                <w:sz w:val="24"/>
                <w:szCs w:val="24"/>
                <w:u w:val="single"/>
              </w:rPr>
            </w:pPr>
            <w:r w:rsidRPr="00B97B82">
              <w:rPr>
                <w:rFonts w:eastAsia="Calibri"/>
                <w:sz w:val="24"/>
                <w:szCs w:val="24"/>
                <w:u w:val="single"/>
              </w:rPr>
              <w:t>mpritchard@mwncmh.com</w:t>
            </w:r>
          </w:p>
          <w:p w:rsidR="00CB044D" w:rsidRPr="00B97B82" w:rsidRDefault="00CB044D" w:rsidP="00CB044D">
            <w:pPr>
              <w:rPr>
                <w:rFonts w:eastAsia="Calibri"/>
                <w:sz w:val="24"/>
                <w:szCs w:val="24"/>
              </w:rPr>
            </w:pPr>
            <w:r w:rsidRPr="00B97B82">
              <w:rPr>
                <w:rFonts w:eastAsia="Calibri"/>
                <w:sz w:val="24"/>
                <w:szCs w:val="24"/>
                <w:u w:val="single"/>
              </w:rPr>
              <w:t>Thomas.mcnamee@puc.state.oh.us</w:t>
            </w:r>
          </w:p>
          <w:p w:rsidR="00CB044D" w:rsidRPr="00B97B82" w:rsidRDefault="00CB044D" w:rsidP="00CB044D">
            <w:pPr>
              <w:rPr>
                <w:rFonts w:eastAsia="Calibri"/>
                <w:sz w:val="24"/>
                <w:szCs w:val="24"/>
              </w:rPr>
            </w:pPr>
            <w:r w:rsidRPr="00B97B82">
              <w:rPr>
                <w:rFonts w:eastAsia="Calibri"/>
                <w:sz w:val="24"/>
                <w:szCs w:val="24"/>
                <w:u w:val="single"/>
              </w:rPr>
              <w:t>Devin.parram@puc.state.oh.us</w:t>
            </w:r>
          </w:p>
          <w:p w:rsidR="00CB044D" w:rsidRPr="00B97B82" w:rsidRDefault="00CB044D" w:rsidP="00CB044D">
            <w:pPr>
              <w:jc w:val="both"/>
              <w:rPr>
                <w:rFonts w:eastAsia="Calibri"/>
                <w:sz w:val="24"/>
                <w:szCs w:val="24"/>
              </w:rPr>
            </w:pPr>
            <w:r w:rsidRPr="00B97B82">
              <w:rPr>
                <w:rFonts w:eastAsia="Calibri"/>
                <w:sz w:val="24"/>
                <w:szCs w:val="24"/>
                <w:u w:val="single"/>
              </w:rPr>
              <w:t>brian@mcintoshlaw.com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dhart@douglasehart.com</w:t>
            </w:r>
          </w:p>
          <w:p w:rsidR="00CB044D" w:rsidRPr="00B97B82" w:rsidRDefault="00CB044D" w:rsidP="00CB044D">
            <w:pPr>
              <w:rPr>
                <w:rFonts w:eastAsia="Calibri"/>
                <w:sz w:val="24"/>
                <w:szCs w:val="24"/>
              </w:rPr>
            </w:pPr>
            <w:r w:rsidRPr="00B97B82">
              <w:rPr>
                <w:rFonts w:eastAsia="Calibri"/>
                <w:sz w:val="24"/>
                <w:szCs w:val="24"/>
                <w:u w:val="single"/>
              </w:rPr>
              <w:t>cmooney2@columbus.rr.com</w:t>
            </w:r>
          </w:p>
          <w:p w:rsidR="00CB044D" w:rsidRPr="00B97B82" w:rsidRDefault="00CB044D" w:rsidP="00CB044D">
            <w:pPr>
              <w:rPr>
                <w:rFonts w:eastAsia="Calibri"/>
                <w:sz w:val="24"/>
                <w:szCs w:val="24"/>
              </w:rPr>
            </w:pPr>
            <w:r w:rsidRPr="00B97B82">
              <w:rPr>
                <w:rFonts w:eastAsia="Calibri"/>
                <w:sz w:val="24"/>
                <w:szCs w:val="24"/>
                <w:u w:val="single"/>
              </w:rPr>
              <w:t>tobrien@bricker.com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myurick@taftlaw.com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zkravitz@taftlaw.com</w:t>
            </w:r>
          </w:p>
          <w:p w:rsidR="00CB044D" w:rsidRPr="00B97B82" w:rsidRDefault="00CB044D" w:rsidP="00CB044D">
            <w:pPr>
              <w:rPr>
                <w:rFonts w:eastAsia="Calibri"/>
                <w:sz w:val="24"/>
                <w:szCs w:val="24"/>
              </w:rPr>
            </w:pPr>
            <w:r w:rsidRPr="00B97B82">
              <w:rPr>
                <w:rFonts w:eastAsia="Calibri"/>
                <w:sz w:val="24"/>
                <w:szCs w:val="24"/>
                <w:u w:val="single"/>
              </w:rPr>
              <w:t>bojko@carpenterlipps.com</w:t>
            </w:r>
          </w:p>
          <w:p w:rsidR="00CB044D" w:rsidRPr="00B97B82" w:rsidRDefault="00CB044D" w:rsidP="00CB044D">
            <w:pPr>
              <w:rPr>
                <w:rFonts w:eastAsia="Calibri"/>
                <w:sz w:val="24"/>
                <w:szCs w:val="24"/>
              </w:rPr>
            </w:pPr>
            <w:r w:rsidRPr="00B97B82">
              <w:rPr>
                <w:rFonts w:eastAsia="Calibri"/>
                <w:sz w:val="24"/>
                <w:szCs w:val="24"/>
                <w:u w:val="single"/>
              </w:rPr>
              <w:t>mohler@carpenterlipps.com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vparisi@igsenergy.com</w:t>
            </w:r>
          </w:p>
          <w:p w:rsidR="00CB044D" w:rsidRPr="00B97B82" w:rsidRDefault="00CB044D" w:rsidP="00CB044D">
            <w:pPr>
              <w:autoSpaceDE w:val="0"/>
              <w:autoSpaceDN w:val="0"/>
              <w:adjustRightInd w:val="0"/>
              <w:rPr>
                <w:rFonts w:eastAsia="Calibri"/>
                <w:sz w:val="24"/>
                <w:szCs w:val="24"/>
              </w:rPr>
            </w:pPr>
            <w:r w:rsidRPr="00B97B82">
              <w:rPr>
                <w:rFonts w:eastAsia="Calibri"/>
                <w:sz w:val="24"/>
                <w:szCs w:val="24"/>
                <w:u w:val="single"/>
              </w:rPr>
              <w:t>mswhite@igsenergy.com</w:t>
            </w:r>
          </w:p>
          <w:p w:rsidR="00CB044D" w:rsidRPr="00B97B82" w:rsidRDefault="00CB044D" w:rsidP="00CB044D">
            <w:pPr>
              <w:autoSpaceDE w:val="0"/>
              <w:autoSpaceDN w:val="0"/>
              <w:adjustRightInd w:val="0"/>
              <w:rPr>
                <w:rFonts w:eastAsia="Calibri"/>
                <w:sz w:val="24"/>
                <w:szCs w:val="24"/>
                <w:u w:val="single"/>
              </w:rPr>
            </w:pPr>
            <w:r w:rsidRPr="00B97B82">
              <w:rPr>
                <w:rFonts w:eastAsia="Calibri"/>
                <w:sz w:val="24"/>
                <w:szCs w:val="24"/>
                <w:u w:val="single"/>
              </w:rPr>
              <w:t>mhpetricoff@vorys.com</w:t>
            </w:r>
          </w:p>
          <w:p w:rsidR="00CB044D" w:rsidRPr="00B97B82" w:rsidRDefault="00CB044D" w:rsidP="00CB044D">
            <w:pPr>
              <w:rPr>
                <w:rFonts w:eastAsia="Calibri"/>
                <w:sz w:val="24"/>
                <w:szCs w:val="24"/>
                <w:u w:val="single"/>
              </w:rPr>
            </w:pPr>
            <w:r w:rsidRPr="00B97B82">
              <w:rPr>
                <w:rFonts w:eastAsia="Calibri"/>
                <w:sz w:val="24"/>
                <w:szCs w:val="24"/>
                <w:u w:val="single"/>
              </w:rPr>
              <w:t>smhoward@vorys.com</w:t>
            </w:r>
          </w:p>
          <w:p w:rsidR="00CB044D" w:rsidRPr="00B97B82" w:rsidRDefault="00CB044D" w:rsidP="00CB044D">
            <w:pPr>
              <w:rPr>
                <w:rFonts w:eastAsia="Calibri"/>
                <w:sz w:val="24"/>
                <w:szCs w:val="24"/>
              </w:rPr>
            </w:pPr>
            <w:r w:rsidRPr="00B97B82">
              <w:rPr>
                <w:rFonts w:eastAsia="Calibri"/>
                <w:sz w:val="24"/>
                <w:szCs w:val="24"/>
                <w:u w:val="single"/>
              </w:rPr>
              <w:t>asonderman@keglerbrown.com</w:t>
            </w:r>
          </w:p>
          <w:p w:rsidR="00CB044D" w:rsidRPr="00B97B82" w:rsidRDefault="00CB044D" w:rsidP="00CB044D">
            <w:pPr>
              <w:rPr>
                <w:rFonts w:eastAsia="Calibri"/>
                <w:sz w:val="24"/>
                <w:szCs w:val="24"/>
              </w:rPr>
            </w:pPr>
          </w:p>
          <w:p w:rsidR="00CB044D" w:rsidRPr="00B97B82" w:rsidRDefault="003134B5" w:rsidP="003134B5">
            <w:pPr>
              <w:autoSpaceDE w:val="0"/>
              <w:autoSpaceDN w:val="0"/>
              <w:adjustRightInd w:val="0"/>
              <w:ind w:left="720" w:hanging="720"/>
              <w:rPr>
                <w:rFonts w:eastAsia="Calibri"/>
                <w:color w:val="000000"/>
                <w:sz w:val="24"/>
                <w:szCs w:val="24"/>
              </w:rPr>
            </w:pPr>
            <w:r w:rsidRPr="00B97B82">
              <w:rPr>
                <w:rFonts w:eastAsia="Calibri"/>
                <w:color w:val="000000"/>
                <w:sz w:val="24"/>
                <w:szCs w:val="24"/>
              </w:rPr>
              <w:t xml:space="preserve">AEs: </w:t>
            </w:r>
            <w:r w:rsidRPr="00B97B82">
              <w:rPr>
                <w:rFonts w:eastAsia="Calibri"/>
                <w:color w:val="000000"/>
                <w:sz w:val="24"/>
                <w:szCs w:val="24"/>
              </w:rPr>
              <w:tab/>
            </w:r>
            <w:r w:rsidRPr="00B97B82">
              <w:rPr>
                <w:rFonts w:eastAsia="Calibri"/>
                <w:sz w:val="24"/>
                <w:szCs w:val="24"/>
              </w:rPr>
              <w:t>chris.pirik@puc.state.oh.us</w:t>
            </w:r>
          </w:p>
          <w:p w:rsidR="003134B5" w:rsidRPr="00B97B82" w:rsidRDefault="003134B5" w:rsidP="00CB044D">
            <w:pPr>
              <w:autoSpaceDE w:val="0"/>
              <w:autoSpaceDN w:val="0"/>
              <w:adjustRightInd w:val="0"/>
              <w:rPr>
                <w:rFonts w:eastAsia="Calibri"/>
                <w:color w:val="000000"/>
                <w:sz w:val="24"/>
                <w:szCs w:val="24"/>
              </w:rPr>
            </w:pPr>
            <w:r w:rsidRPr="00B97B82">
              <w:rPr>
                <w:rFonts w:eastAsia="Calibri"/>
                <w:color w:val="000000"/>
                <w:sz w:val="24"/>
                <w:szCs w:val="24"/>
              </w:rPr>
              <w:tab/>
            </w:r>
            <w:r w:rsidRPr="00B97B82">
              <w:rPr>
                <w:rFonts w:eastAsia="Calibri"/>
                <w:sz w:val="24"/>
                <w:szCs w:val="24"/>
              </w:rPr>
              <w:t>Katie.stenman@puc.state.oh.us</w:t>
            </w:r>
          </w:p>
          <w:p w:rsidR="003134B5" w:rsidRPr="00B97B82" w:rsidRDefault="003134B5" w:rsidP="00CB044D">
            <w:pPr>
              <w:autoSpaceDE w:val="0"/>
              <w:autoSpaceDN w:val="0"/>
              <w:adjustRightInd w:val="0"/>
              <w:rPr>
                <w:rFonts w:eastAsia="Calibri"/>
                <w:color w:val="000000"/>
                <w:sz w:val="24"/>
                <w:szCs w:val="24"/>
              </w:rPr>
            </w:pPr>
          </w:p>
        </w:tc>
      </w:tr>
    </w:tbl>
    <w:p w:rsidR="00CB044D" w:rsidRPr="00B97B82" w:rsidRDefault="00CB044D" w:rsidP="00CB044D">
      <w:pPr>
        <w:jc w:val="center"/>
        <w:rPr>
          <w:rFonts w:eastAsia="Calibri"/>
          <w:b/>
          <w:bCs/>
          <w:sz w:val="24"/>
          <w:szCs w:val="24"/>
          <w:u w:val="single"/>
        </w:rPr>
      </w:pPr>
    </w:p>
    <w:p w:rsidR="00CB044D" w:rsidRDefault="00CB044D">
      <w:pPr>
        <w:pStyle w:val="CommentText"/>
        <w:jc w:val="center"/>
        <w:rPr>
          <w:b/>
          <w:bCs/>
          <w:sz w:val="24"/>
          <w:szCs w:val="24"/>
          <w:u w:val="single"/>
        </w:rPr>
      </w:pPr>
    </w:p>
    <w:sectPr w:rsidR="00CB044D" w:rsidSect="002A2E0C">
      <w:headerReference w:type="default" r:id="rId17"/>
      <w:footerReference w:type="default" r:id="rId18"/>
      <w:pgSz w:w="12240" w:h="15840" w:code="1"/>
      <w:pgMar w:top="1440" w:right="1800" w:bottom="1440" w:left="1800" w:header="72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D4" w:rsidRDefault="007516D4">
      <w:r>
        <w:separator/>
      </w:r>
    </w:p>
    <w:p w:rsidR="007516D4" w:rsidRDefault="007516D4"/>
  </w:endnote>
  <w:endnote w:type="continuationSeparator" w:id="0">
    <w:p w:rsidR="007516D4" w:rsidRDefault="007516D4">
      <w:r>
        <w:continuationSeparator/>
      </w:r>
    </w:p>
    <w:p w:rsidR="007516D4" w:rsidRDefault="00751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ED" w:rsidRDefault="00C83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ED" w:rsidRDefault="00C83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ED" w:rsidRDefault="00C831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C7" w:rsidRPr="00BB00C7" w:rsidRDefault="00BB00C7">
    <w:pPr>
      <w:pStyle w:val="Footer"/>
      <w:jc w:val="center"/>
      <w:rPr>
        <w:sz w:val="24"/>
        <w:szCs w:val="24"/>
      </w:rPr>
    </w:pPr>
    <w:r w:rsidRPr="00BB00C7">
      <w:rPr>
        <w:sz w:val="24"/>
        <w:szCs w:val="24"/>
      </w:rPr>
      <w:fldChar w:fldCharType="begin"/>
    </w:r>
    <w:r w:rsidRPr="00BB00C7">
      <w:rPr>
        <w:sz w:val="24"/>
        <w:szCs w:val="24"/>
      </w:rPr>
      <w:instrText xml:space="preserve"> PAGE   \* MERGEFORMAT </w:instrText>
    </w:r>
    <w:r w:rsidRPr="00BB00C7">
      <w:rPr>
        <w:sz w:val="24"/>
        <w:szCs w:val="24"/>
      </w:rPr>
      <w:fldChar w:fldCharType="separate"/>
    </w:r>
    <w:r w:rsidR="00F40FE4">
      <w:rPr>
        <w:noProof/>
        <w:sz w:val="24"/>
        <w:szCs w:val="24"/>
      </w:rPr>
      <w:t>2</w:t>
    </w:r>
    <w:r w:rsidRPr="00BB00C7">
      <w:rPr>
        <w:noProof/>
        <w:sz w:val="24"/>
        <w:szCs w:val="24"/>
      </w:rPr>
      <w:fldChar w:fldCharType="end"/>
    </w:r>
  </w:p>
  <w:p w:rsidR="00BB00C7" w:rsidRDefault="00BB0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D4" w:rsidRDefault="007516D4">
      <w:r>
        <w:separator/>
      </w:r>
    </w:p>
    <w:p w:rsidR="007516D4" w:rsidRDefault="007516D4"/>
  </w:footnote>
  <w:footnote w:type="continuationSeparator" w:id="0">
    <w:p w:rsidR="007516D4" w:rsidRDefault="007516D4">
      <w:r>
        <w:continuationSeparator/>
      </w:r>
    </w:p>
    <w:p w:rsidR="007516D4" w:rsidRDefault="007516D4"/>
  </w:footnote>
  <w:footnote w:id="1">
    <w:p w:rsidR="00C67B1C" w:rsidRPr="00A250E4" w:rsidRDefault="00C67B1C" w:rsidP="00982418">
      <w:pPr>
        <w:pStyle w:val="FootnoteText"/>
        <w:spacing w:after="120"/>
      </w:pPr>
      <w:r w:rsidRPr="00A250E4">
        <w:rPr>
          <w:rStyle w:val="FootnoteReference"/>
        </w:rPr>
        <w:footnoteRef/>
      </w:r>
      <w:r>
        <w:t xml:space="preserve"> Entry at 3 (January 10, 2013). </w:t>
      </w:r>
      <w:r w:rsidRPr="00A250E4">
        <w:t xml:space="preserve"> </w:t>
      </w:r>
    </w:p>
  </w:footnote>
  <w:footnote w:id="2">
    <w:p w:rsidR="00C67B1C" w:rsidRPr="00A250E4" w:rsidRDefault="00C67B1C" w:rsidP="00982418">
      <w:pPr>
        <w:pStyle w:val="FootnoteText"/>
        <w:spacing w:after="120"/>
      </w:pPr>
      <w:r w:rsidRPr="00A250E4">
        <w:rPr>
          <w:rStyle w:val="FootnoteReference"/>
        </w:rPr>
        <w:footnoteRef/>
      </w:r>
      <w:r w:rsidRPr="00A250E4">
        <w:t xml:space="preserve"> Columbia Motion at 3 (June 6, 2013). </w:t>
      </w:r>
    </w:p>
  </w:footnote>
  <w:footnote w:id="3">
    <w:p w:rsidR="00C67B1C" w:rsidRPr="00A250E4" w:rsidRDefault="00C67B1C" w:rsidP="00982418">
      <w:pPr>
        <w:pStyle w:val="FootnoteText"/>
        <w:spacing w:after="120"/>
      </w:pPr>
      <w:r w:rsidRPr="00A250E4">
        <w:rPr>
          <w:rStyle w:val="FootnoteReference"/>
        </w:rPr>
        <w:footnoteRef/>
      </w:r>
      <w:r w:rsidRPr="00A250E4">
        <w:t xml:space="preserve"> Columbia Motion at </w:t>
      </w:r>
      <w:r>
        <w:t>4</w:t>
      </w:r>
      <w:r w:rsidRPr="00A250E4">
        <w:t xml:space="preserve"> (June 6, 2013). </w:t>
      </w:r>
    </w:p>
  </w:footnote>
  <w:footnote w:id="4">
    <w:p w:rsidR="00C67B1C" w:rsidRPr="0023393C" w:rsidRDefault="00C67B1C" w:rsidP="00982418">
      <w:pPr>
        <w:pStyle w:val="FootnoteText"/>
        <w:spacing w:after="120"/>
      </w:pPr>
      <w:r w:rsidRPr="0023393C">
        <w:rPr>
          <w:rStyle w:val="FootnoteReference"/>
        </w:rPr>
        <w:footnoteRef/>
      </w:r>
      <w:r w:rsidRPr="0023393C">
        <w:t xml:space="preserve"> </w:t>
      </w:r>
      <w:r w:rsidRPr="0023393C">
        <w:rPr>
          <w:i/>
        </w:rPr>
        <w:t>In the Matter of the Regulation of the Purchased Gas Adjustment Clause Contained Within the Rate Schedules of Vectren Deli</w:t>
      </w:r>
      <w:r>
        <w:rPr>
          <w:i/>
        </w:rPr>
        <w:t>very of Ohio, Inc. and Related M</w:t>
      </w:r>
      <w:r w:rsidRPr="0023393C">
        <w:rPr>
          <w:i/>
        </w:rPr>
        <w:t>atters</w:t>
      </w:r>
      <w:r w:rsidRPr="0023393C">
        <w:t>, Case No. 02-220-GA-GCR</w:t>
      </w:r>
      <w:r>
        <w:t>, Entry on Rehearing at 3 (</w:t>
      </w:r>
      <w:r w:rsidRPr="0023393C">
        <w:t>August 10, 2005)</w:t>
      </w:r>
      <w:r>
        <w:t xml:space="preserve"> (“Vectren GCR Case”)</w:t>
      </w:r>
      <w:r w:rsidRPr="0023393C">
        <w:t xml:space="preserve">. </w:t>
      </w:r>
    </w:p>
  </w:footnote>
  <w:footnote w:id="5">
    <w:p w:rsidR="00C67B1C" w:rsidRPr="001A2269" w:rsidRDefault="00C67B1C" w:rsidP="00982418">
      <w:pPr>
        <w:pStyle w:val="FootnoteText"/>
        <w:spacing w:after="120"/>
      </w:pPr>
      <w:r w:rsidRPr="001A2269">
        <w:rPr>
          <w:rStyle w:val="FootnoteReference"/>
        </w:rPr>
        <w:footnoteRef/>
      </w:r>
      <w:r w:rsidRPr="001A2269">
        <w:t xml:space="preserve"> Id. </w:t>
      </w:r>
    </w:p>
  </w:footnote>
  <w:footnote w:id="6">
    <w:p w:rsidR="00C67B1C" w:rsidRPr="001A2269" w:rsidRDefault="00C67B1C" w:rsidP="00982418">
      <w:pPr>
        <w:pStyle w:val="FootnoteText"/>
        <w:spacing w:after="120"/>
      </w:pPr>
      <w:r w:rsidRPr="001A2269">
        <w:rPr>
          <w:rStyle w:val="FootnoteReference"/>
        </w:rPr>
        <w:footnoteRef/>
      </w:r>
      <w:r w:rsidRPr="001A2269">
        <w:t xml:space="preserve"> Id. </w:t>
      </w:r>
    </w:p>
  </w:footnote>
  <w:footnote w:id="7">
    <w:p w:rsidR="00C67B1C" w:rsidRPr="005D1047" w:rsidRDefault="00C67B1C" w:rsidP="00982418">
      <w:pPr>
        <w:pStyle w:val="FootnoteText"/>
        <w:spacing w:after="120"/>
      </w:pPr>
      <w:r>
        <w:rPr>
          <w:rStyle w:val="FootnoteReference"/>
        </w:rPr>
        <w:footnoteRef/>
      </w:r>
      <w:r>
        <w:t xml:space="preserve"> </w:t>
      </w:r>
      <w:r>
        <w:rPr>
          <w:i/>
        </w:rPr>
        <w:t xml:space="preserve">In the Matter of the Application of Ohio Edison, The Cleveland Electric Illuminating Company, and The Toledo Edison Company for Approval of a Market Rate Offer to Conduct a Competitive Bidding Process for Standard Service Offer Electric Generation Supply, </w:t>
      </w:r>
      <w:r w:rsidRPr="00E726CE">
        <w:t xml:space="preserve">Case </w:t>
      </w:r>
      <w:r>
        <w:t>No 09-906</w:t>
      </w:r>
      <w:r w:rsidRPr="00E726CE">
        <w:t>-EL-</w:t>
      </w:r>
      <w:r>
        <w:t>SSO</w:t>
      </w:r>
      <w:r w:rsidRPr="00684031">
        <w:t>,</w:t>
      </w:r>
      <w:r>
        <w:rPr>
          <w:i/>
        </w:rPr>
        <w:t xml:space="preserve"> </w:t>
      </w:r>
      <w:r>
        <w:t>Duke Motion to Intervene at 3 (November 13, 2009).</w:t>
      </w:r>
    </w:p>
  </w:footnote>
  <w:footnote w:id="8">
    <w:p w:rsidR="00C67B1C" w:rsidRPr="00C76A61" w:rsidRDefault="00C67B1C" w:rsidP="00982418">
      <w:pPr>
        <w:pStyle w:val="FootnoteText"/>
        <w:spacing w:after="120"/>
        <w:rPr>
          <w:i/>
        </w:rPr>
      </w:pPr>
      <w:r>
        <w:rPr>
          <w:rStyle w:val="FootnoteReference"/>
        </w:rPr>
        <w:footnoteRef/>
      </w:r>
      <w:r>
        <w:t xml:space="preserve"> </w:t>
      </w:r>
      <w:r>
        <w:rPr>
          <w:i/>
        </w:rPr>
        <w:t xml:space="preserve">In the Matter of the Application of Ohio Edison, The Cleveland Electric Illuminating Company, and The Toledo Edison Company for Approval of a Market Rate Offer to Conduct a Competitive Bidding Process for Standard Service Offer Electric Generation Supply, </w:t>
      </w:r>
      <w:r w:rsidRPr="00E726CE">
        <w:t>Case No.</w:t>
      </w:r>
      <w:r>
        <w:t>09-906</w:t>
      </w:r>
      <w:r w:rsidRPr="00E726CE">
        <w:t>-EL-</w:t>
      </w:r>
      <w:r>
        <w:t>SSO</w:t>
      </w:r>
      <w:r w:rsidRPr="002067F2">
        <w:t>,</w:t>
      </w:r>
      <w:r>
        <w:rPr>
          <w:i/>
        </w:rPr>
        <w:t xml:space="preserve"> </w:t>
      </w:r>
      <w:r>
        <w:t>Entry at 3 (December 11, 2009). (Emphasis added).</w:t>
      </w:r>
      <w:r>
        <w:rPr>
          <w:i/>
        </w:rPr>
        <w:t xml:space="preserve"> </w:t>
      </w:r>
    </w:p>
  </w:footnote>
  <w:footnote w:id="9">
    <w:p w:rsidR="00291101" w:rsidRPr="00314AFC" w:rsidRDefault="00291101" w:rsidP="00982418">
      <w:pPr>
        <w:pStyle w:val="FootnoteText"/>
        <w:spacing w:after="120"/>
      </w:pPr>
      <w:r>
        <w:rPr>
          <w:rStyle w:val="FootnoteReference"/>
        </w:rPr>
        <w:footnoteRef/>
      </w:r>
      <w:r>
        <w:t xml:space="preserve">  </w:t>
      </w:r>
      <w:r w:rsidRPr="00314AFC">
        <w:rPr>
          <w:i/>
        </w:rPr>
        <w:t>In the Matter of the Application of Columbus Southern Power for Approval of an Electric Security Plan; an Amendment to its Corporate Separation Plan; and the Sale or Transfer of Certain Generating Assets</w:t>
      </w:r>
      <w:r>
        <w:t>, Case No. 08-917-EL-SSO</w:t>
      </w:r>
      <w:r w:rsidRPr="00314AFC">
        <w:t>, Order on Remand (October 3, 2011).</w:t>
      </w:r>
    </w:p>
    <w:p w:rsidR="00291101" w:rsidRDefault="00291101" w:rsidP="00982418">
      <w:pPr>
        <w:pStyle w:val="FootnoteText"/>
        <w:spacing w:after="120"/>
      </w:pPr>
    </w:p>
  </w:footnote>
  <w:footnote w:id="10">
    <w:p w:rsidR="00C67B1C" w:rsidRPr="00983A1B" w:rsidRDefault="00C67B1C" w:rsidP="00982418">
      <w:pPr>
        <w:pStyle w:val="FootnoteText"/>
        <w:spacing w:after="120"/>
      </w:pPr>
      <w:r w:rsidRPr="00983A1B">
        <w:rPr>
          <w:rStyle w:val="FootnoteReference"/>
        </w:rPr>
        <w:footnoteRef/>
      </w:r>
      <w:r w:rsidRPr="00983A1B">
        <w:t xml:space="preserve"> Columbia</w:t>
      </w:r>
      <w:r>
        <w:t xml:space="preserve"> Deferral Case, Entry at 3</w:t>
      </w:r>
      <w:r w:rsidRPr="00983A1B">
        <w:t xml:space="preserve"> (September 24, 2008). </w:t>
      </w:r>
    </w:p>
  </w:footnote>
  <w:footnote w:id="11">
    <w:p w:rsidR="00C67B1C" w:rsidRPr="00C941AD" w:rsidRDefault="00C67B1C" w:rsidP="00982418">
      <w:pPr>
        <w:pStyle w:val="FootnoteText"/>
        <w:spacing w:after="120"/>
      </w:pPr>
      <w:r w:rsidRPr="00C941AD">
        <w:rPr>
          <w:rStyle w:val="FootnoteReference"/>
        </w:rPr>
        <w:footnoteRef/>
      </w:r>
      <w:r w:rsidRPr="00C941AD">
        <w:t xml:space="preserve"> </w:t>
      </w:r>
      <w:r>
        <w:t>OCC Ex. No. 7 (OCC INT No. 15-577).</w:t>
      </w:r>
    </w:p>
  </w:footnote>
  <w:footnote w:id="12">
    <w:p w:rsidR="00291101" w:rsidRDefault="002067F2" w:rsidP="00982418">
      <w:pPr>
        <w:pStyle w:val="FootnoteText"/>
        <w:spacing w:after="120"/>
      </w:pPr>
      <w:r>
        <w:rPr>
          <w:rStyle w:val="FootnoteReference"/>
        </w:rPr>
        <w:footnoteRef/>
      </w:r>
      <w:r>
        <w:t xml:space="preserve"> </w:t>
      </w:r>
      <w:r w:rsidRPr="00314AFC">
        <w:rPr>
          <w:i/>
        </w:rPr>
        <w:t>In the Matter of the Application of Columbus Southern Power for Approval of an Electric Security Plan; an Amendment to its Corporate Separation Plan; and the Sale</w:t>
      </w:r>
      <w:r w:rsidR="003B51E8" w:rsidRPr="003B51E8">
        <w:rPr>
          <w:i/>
        </w:rPr>
        <w:t xml:space="preserve"> </w:t>
      </w:r>
      <w:r w:rsidR="003B51E8" w:rsidRPr="00314AFC">
        <w:rPr>
          <w:i/>
        </w:rPr>
        <w:t>or Transfer of Certain Generating Assets</w:t>
      </w:r>
      <w:r w:rsidR="003B51E8">
        <w:t>, Case No. 08-917-EL-SSO</w:t>
      </w:r>
      <w:r w:rsidR="003B51E8" w:rsidRPr="00314AFC">
        <w:t xml:space="preserve">, Order on </w:t>
      </w:r>
      <w:r w:rsidR="003B51E8" w:rsidRPr="003B51E8">
        <w:t>Remand (October 3, 2011).</w:t>
      </w:r>
    </w:p>
  </w:footnote>
  <w:footnote w:id="13">
    <w:p w:rsidR="00291101" w:rsidRDefault="00291101" w:rsidP="00982418">
      <w:pPr>
        <w:spacing w:after="120"/>
      </w:pPr>
    </w:p>
  </w:footnote>
  <w:footnote w:id="14">
    <w:p w:rsidR="00C67B1C" w:rsidRPr="00C941AD" w:rsidRDefault="00C67B1C" w:rsidP="00982418">
      <w:pPr>
        <w:pStyle w:val="FootnoteText"/>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1C" w:rsidRDefault="00C67B1C">
    <w:pPr>
      <w:pStyle w:val="Header"/>
    </w:pPr>
  </w:p>
  <w:p w:rsidR="00291101" w:rsidRDefault="002911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1C" w:rsidRDefault="00C67B1C">
    <w:pPr>
      <w:pStyle w:val="Header"/>
    </w:pPr>
  </w:p>
  <w:p w:rsidR="00291101" w:rsidRDefault="002911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ED" w:rsidRDefault="00C831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C7" w:rsidRDefault="00BB00C7">
    <w:pPr>
      <w:pStyle w:val="Header"/>
    </w:pPr>
  </w:p>
  <w:p w:rsidR="00BB00C7" w:rsidRDefault="00BB00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47B48"/>
    <w:lvl w:ilvl="0">
      <w:start w:val="1"/>
      <w:numFmt w:val="decimal"/>
      <w:lvlText w:val="%1."/>
      <w:lvlJc w:val="left"/>
      <w:pPr>
        <w:tabs>
          <w:tab w:val="num" w:pos="1800"/>
        </w:tabs>
        <w:ind w:left="1800" w:hanging="360"/>
      </w:pPr>
    </w:lvl>
  </w:abstractNum>
  <w:abstractNum w:abstractNumId="1">
    <w:nsid w:val="FFFFFF7D"/>
    <w:multiLevelType w:val="singleLevel"/>
    <w:tmpl w:val="D992568E"/>
    <w:lvl w:ilvl="0">
      <w:start w:val="1"/>
      <w:numFmt w:val="decimal"/>
      <w:lvlText w:val="%1."/>
      <w:lvlJc w:val="left"/>
      <w:pPr>
        <w:tabs>
          <w:tab w:val="num" w:pos="1440"/>
        </w:tabs>
        <w:ind w:left="1440" w:hanging="360"/>
      </w:pPr>
    </w:lvl>
  </w:abstractNum>
  <w:abstractNum w:abstractNumId="2">
    <w:nsid w:val="FFFFFF7E"/>
    <w:multiLevelType w:val="singleLevel"/>
    <w:tmpl w:val="F1A862C0"/>
    <w:lvl w:ilvl="0">
      <w:start w:val="1"/>
      <w:numFmt w:val="decimal"/>
      <w:lvlText w:val="%1."/>
      <w:lvlJc w:val="left"/>
      <w:pPr>
        <w:tabs>
          <w:tab w:val="num" w:pos="1080"/>
        </w:tabs>
        <w:ind w:left="1080" w:hanging="360"/>
      </w:pPr>
    </w:lvl>
  </w:abstractNum>
  <w:abstractNum w:abstractNumId="3">
    <w:nsid w:val="FFFFFF7F"/>
    <w:multiLevelType w:val="singleLevel"/>
    <w:tmpl w:val="FE662CA0"/>
    <w:lvl w:ilvl="0">
      <w:start w:val="1"/>
      <w:numFmt w:val="decimal"/>
      <w:lvlText w:val="%1."/>
      <w:lvlJc w:val="left"/>
      <w:pPr>
        <w:tabs>
          <w:tab w:val="num" w:pos="720"/>
        </w:tabs>
        <w:ind w:left="720" w:hanging="360"/>
      </w:pPr>
    </w:lvl>
  </w:abstractNum>
  <w:abstractNum w:abstractNumId="4">
    <w:nsid w:val="FFFFFF80"/>
    <w:multiLevelType w:val="singleLevel"/>
    <w:tmpl w:val="0E5A042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B62551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8E841D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F72A77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8685DE2"/>
    <w:lvl w:ilvl="0">
      <w:start w:val="1"/>
      <w:numFmt w:val="decimal"/>
      <w:lvlText w:val="%1."/>
      <w:lvlJc w:val="left"/>
      <w:pPr>
        <w:tabs>
          <w:tab w:val="num" w:pos="360"/>
        </w:tabs>
        <w:ind w:left="360" w:hanging="360"/>
      </w:pPr>
    </w:lvl>
  </w:abstractNum>
  <w:abstractNum w:abstractNumId="9">
    <w:nsid w:val="FFFFFF89"/>
    <w:multiLevelType w:val="singleLevel"/>
    <w:tmpl w:val="EC400FD0"/>
    <w:lvl w:ilvl="0">
      <w:start w:val="1"/>
      <w:numFmt w:val="bullet"/>
      <w:lvlText w:val=""/>
      <w:lvlJc w:val="left"/>
      <w:pPr>
        <w:tabs>
          <w:tab w:val="num" w:pos="360"/>
        </w:tabs>
        <w:ind w:left="360" w:hanging="360"/>
      </w:pPr>
      <w:rPr>
        <w:rFonts w:ascii="Symbol" w:hAnsi="Symbol" w:cs="Symbol" w:hint="default"/>
      </w:rPr>
    </w:lvl>
  </w:abstractNum>
  <w:abstractNum w:abstractNumId="10">
    <w:nsid w:val="08C116EC"/>
    <w:multiLevelType w:val="hybridMultilevel"/>
    <w:tmpl w:val="C288721A"/>
    <w:lvl w:ilvl="0" w:tplc="ECB8F9DA">
      <w:start w:val="1"/>
      <w:numFmt w:val="upperLetter"/>
      <w:lvlText w:val="%1."/>
      <w:lvlJc w:val="left"/>
      <w:pPr>
        <w:ind w:left="1440" w:hanging="360"/>
      </w:pPr>
      <w:rPr>
        <w:rFonts w:hint="default"/>
        <w:b/>
        <w:bCs/>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0ED77B0E"/>
    <w:multiLevelType w:val="hybridMultilevel"/>
    <w:tmpl w:val="84900B12"/>
    <w:lvl w:ilvl="0" w:tplc="9560F430">
      <w:start w:val="1"/>
      <w:numFmt w:val="upperLetter"/>
      <w:lvlText w:val="%1&gt;"/>
      <w:lvlJc w:val="left"/>
      <w:pPr>
        <w:ind w:left="1080" w:hanging="360"/>
      </w:pPr>
      <w:rPr>
        <w:rFonts w:hint="default"/>
        <w:b/>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E4B1E4F"/>
    <w:multiLevelType w:val="hybridMultilevel"/>
    <w:tmpl w:val="97C00C5A"/>
    <w:lvl w:ilvl="0" w:tplc="FAD0C63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E5708AF"/>
    <w:multiLevelType w:val="hybridMultilevel"/>
    <w:tmpl w:val="C44418A8"/>
    <w:lvl w:ilvl="0" w:tplc="4F04D032">
      <w:start w:val="1"/>
      <w:numFmt w:val="upperLetter"/>
      <w:lvlText w:val="%1."/>
      <w:lvlJc w:val="left"/>
      <w:pPr>
        <w:tabs>
          <w:tab w:val="num" w:pos="1440"/>
        </w:tabs>
        <w:ind w:left="1440" w:hanging="72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D1D4CB4"/>
    <w:multiLevelType w:val="hybridMultilevel"/>
    <w:tmpl w:val="74E85640"/>
    <w:lvl w:ilvl="0" w:tplc="2BD86B80">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10C042D"/>
    <w:multiLevelType w:val="hybridMultilevel"/>
    <w:tmpl w:val="A330E356"/>
    <w:lvl w:ilvl="0" w:tplc="7B08583E">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nsid w:val="52A67812"/>
    <w:multiLevelType w:val="hybridMultilevel"/>
    <w:tmpl w:val="8300255C"/>
    <w:lvl w:ilvl="0" w:tplc="DC5C3AC8">
      <w:start w:val="1"/>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65B062CB"/>
    <w:multiLevelType w:val="hybridMultilevel"/>
    <w:tmpl w:val="E4F2BAB2"/>
    <w:lvl w:ilvl="0" w:tplc="15E4541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7"/>
  </w:num>
  <w:num w:numId="2">
    <w:abstractNumId w:val="13"/>
  </w:num>
  <w:num w:numId="3">
    <w:abstractNumId w:val="14"/>
  </w:num>
  <w:num w:numId="4">
    <w:abstractNumId w:val="12"/>
  </w:num>
  <w:num w:numId="5">
    <w:abstractNumId w:val="16"/>
  </w:num>
  <w:num w:numId="6">
    <w:abstractNumId w:val="11"/>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120"/>
    <w:rsid w:val="00020D5D"/>
    <w:rsid w:val="00031448"/>
    <w:rsid w:val="000616E4"/>
    <w:rsid w:val="00076CC0"/>
    <w:rsid w:val="00080007"/>
    <w:rsid w:val="000911E9"/>
    <w:rsid w:val="00095A7B"/>
    <w:rsid w:val="000C51B9"/>
    <w:rsid w:val="000C5981"/>
    <w:rsid w:val="000D03FD"/>
    <w:rsid w:val="000E6958"/>
    <w:rsid w:val="000F186B"/>
    <w:rsid w:val="0010715C"/>
    <w:rsid w:val="001207A7"/>
    <w:rsid w:val="001226DC"/>
    <w:rsid w:val="00123206"/>
    <w:rsid w:val="00126C37"/>
    <w:rsid w:val="00132D83"/>
    <w:rsid w:val="00137D88"/>
    <w:rsid w:val="0014292B"/>
    <w:rsid w:val="00152350"/>
    <w:rsid w:val="00177008"/>
    <w:rsid w:val="0018296D"/>
    <w:rsid w:val="001A0D93"/>
    <w:rsid w:val="001B2A8B"/>
    <w:rsid w:val="001B3277"/>
    <w:rsid w:val="001B6417"/>
    <w:rsid w:val="001B6791"/>
    <w:rsid w:val="001D0B60"/>
    <w:rsid w:val="001E6503"/>
    <w:rsid w:val="001F02C9"/>
    <w:rsid w:val="001F406F"/>
    <w:rsid w:val="002067F2"/>
    <w:rsid w:val="00212526"/>
    <w:rsid w:val="00223864"/>
    <w:rsid w:val="00226C29"/>
    <w:rsid w:val="00251A39"/>
    <w:rsid w:val="002527AA"/>
    <w:rsid w:val="00291101"/>
    <w:rsid w:val="00292194"/>
    <w:rsid w:val="002A2E0C"/>
    <w:rsid w:val="002A7C48"/>
    <w:rsid w:val="002B1185"/>
    <w:rsid w:val="002C4320"/>
    <w:rsid w:val="00312982"/>
    <w:rsid w:val="003134B5"/>
    <w:rsid w:val="00343DF0"/>
    <w:rsid w:val="00392564"/>
    <w:rsid w:val="00393D32"/>
    <w:rsid w:val="003A3486"/>
    <w:rsid w:val="003A71B1"/>
    <w:rsid w:val="003B0281"/>
    <w:rsid w:val="003B51E8"/>
    <w:rsid w:val="003B51FB"/>
    <w:rsid w:val="003C5DD2"/>
    <w:rsid w:val="003C5F32"/>
    <w:rsid w:val="003D3DAB"/>
    <w:rsid w:val="003D5687"/>
    <w:rsid w:val="003D6AA9"/>
    <w:rsid w:val="003E37EB"/>
    <w:rsid w:val="003E4E9E"/>
    <w:rsid w:val="00401616"/>
    <w:rsid w:val="00415501"/>
    <w:rsid w:val="004228F1"/>
    <w:rsid w:val="00452395"/>
    <w:rsid w:val="0045676C"/>
    <w:rsid w:val="004728B3"/>
    <w:rsid w:val="00475EE3"/>
    <w:rsid w:val="00495910"/>
    <w:rsid w:val="004B10F0"/>
    <w:rsid w:val="004C53DA"/>
    <w:rsid w:val="004C651A"/>
    <w:rsid w:val="0050536A"/>
    <w:rsid w:val="0050762D"/>
    <w:rsid w:val="00507A1D"/>
    <w:rsid w:val="00507B55"/>
    <w:rsid w:val="00507E5E"/>
    <w:rsid w:val="005176DD"/>
    <w:rsid w:val="0052508D"/>
    <w:rsid w:val="00525E05"/>
    <w:rsid w:val="005324B7"/>
    <w:rsid w:val="00533217"/>
    <w:rsid w:val="00533F9E"/>
    <w:rsid w:val="005378F8"/>
    <w:rsid w:val="00537CD9"/>
    <w:rsid w:val="00555242"/>
    <w:rsid w:val="005705FE"/>
    <w:rsid w:val="00574213"/>
    <w:rsid w:val="005827EE"/>
    <w:rsid w:val="00596CD9"/>
    <w:rsid w:val="005D7537"/>
    <w:rsid w:val="005E6D56"/>
    <w:rsid w:val="005F2B78"/>
    <w:rsid w:val="00604614"/>
    <w:rsid w:val="0061413C"/>
    <w:rsid w:val="00620B76"/>
    <w:rsid w:val="00643B57"/>
    <w:rsid w:val="00661095"/>
    <w:rsid w:val="00680DD7"/>
    <w:rsid w:val="00684031"/>
    <w:rsid w:val="00685E6F"/>
    <w:rsid w:val="006A0C63"/>
    <w:rsid w:val="006A621E"/>
    <w:rsid w:val="006B38FA"/>
    <w:rsid w:val="006B4D4C"/>
    <w:rsid w:val="006B77F5"/>
    <w:rsid w:val="006C3A81"/>
    <w:rsid w:val="006D3120"/>
    <w:rsid w:val="006D7A7B"/>
    <w:rsid w:val="006E0765"/>
    <w:rsid w:val="006E085F"/>
    <w:rsid w:val="006E3AA7"/>
    <w:rsid w:val="00706B30"/>
    <w:rsid w:val="00710190"/>
    <w:rsid w:val="00711312"/>
    <w:rsid w:val="007516D4"/>
    <w:rsid w:val="0075638B"/>
    <w:rsid w:val="00760A60"/>
    <w:rsid w:val="007659E7"/>
    <w:rsid w:val="00775A7B"/>
    <w:rsid w:val="0078184A"/>
    <w:rsid w:val="007A00CD"/>
    <w:rsid w:val="007B1F5D"/>
    <w:rsid w:val="007C5319"/>
    <w:rsid w:val="007D45C0"/>
    <w:rsid w:val="007D63F8"/>
    <w:rsid w:val="007D6AD3"/>
    <w:rsid w:val="0080323C"/>
    <w:rsid w:val="008373B8"/>
    <w:rsid w:val="00854747"/>
    <w:rsid w:val="00866CEB"/>
    <w:rsid w:val="00872AB3"/>
    <w:rsid w:val="00892F13"/>
    <w:rsid w:val="008C6125"/>
    <w:rsid w:val="008D679D"/>
    <w:rsid w:val="008D73F1"/>
    <w:rsid w:val="008E23DF"/>
    <w:rsid w:val="008F225B"/>
    <w:rsid w:val="008F36BF"/>
    <w:rsid w:val="009101E1"/>
    <w:rsid w:val="0091271F"/>
    <w:rsid w:val="0091534D"/>
    <w:rsid w:val="009223B1"/>
    <w:rsid w:val="009243AE"/>
    <w:rsid w:val="00937477"/>
    <w:rsid w:val="0094239D"/>
    <w:rsid w:val="00962018"/>
    <w:rsid w:val="00982418"/>
    <w:rsid w:val="009A0DDB"/>
    <w:rsid w:val="009A1437"/>
    <w:rsid w:val="009A2ED9"/>
    <w:rsid w:val="009C2412"/>
    <w:rsid w:val="009C7FA1"/>
    <w:rsid w:val="009D3572"/>
    <w:rsid w:val="009D4310"/>
    <w:rsid w:val="009D4816"/>
    <w:rsid w:val="009E2697"/>
    <w:rsid w:val="009E2A94"/>
    <w:rsid w:val="009F3555"/>
    <w:rsid w:val="009F3FC8"/>
    <w:rsid w:val="009F55D6"/>
    <w:rsid w:val="009F7113"/>
    <w:rsid w:val="00A03C66"/>
    <w:rsid w:val="00A14F66"/>
    <w:rsid w:val="00A16068"/>
    <w:rsid w:val="00A32109"/>
    <w:rsid w:val="00A403B4"/>
    <w:rsid w:val="00A41CB2"/>
    <w:rsid w:val="00A446F6"/>
    <w:rsid w:val="00A70856"/>
    <w:rsid w:val="00A8488A"/>
    <w:rsid w:val="00A87531"/>
    <w:rsid w:val="00A87751"/>
    <w:rsid w:val="00AB704C"/>
    <w:rsid w:val="00AB7896"/>
    <w:rsid w:val="00AD1120"/>
    <w:rsid w:val="00AD6E2F"/>
    <w:rsid w:val="00AE289D"/>
    <w:rsid w:val="00AF4D34"/>
    <w:rsid w:val="00AF7688"/>
    <w:rsid w:val="00B24026"/>
    <w:rsid w:val="00B2763E"/>
    <w:rsid w:val="00B412A8"/>
    <w:rsid w:val="00B41E1B"/>
    <w:rsid w:val="00B43503"/>
    <w:rsid w:val="00B554BE"/>
    <w:rsid w:val="00B60EEE"/>
    <w:rsid w:val="00B61B47"/>
    <w:rsid w:val="00B9499B"/>
    <w:rsid w:val="00B97B82"/>
    <w:rsid w:val="00BB00C7"/>
    <w:rsid w:val="00BB2E6D"/>
    <w:rsid w:val="00BB3FB3"/>
    <w:rsid w:val="00BB5665"/>
    <w:rsid w:val="00BC6B11"/>
    <w:rsid w:val="00BE1D88"/>
    <w:rsid w:val="00BE24A2"/>
    <w:rsid w:val="00BF360D"/>
    <w:rsid w:val="00C058DE"/>
    <w:rsid w:val="00C24D4C"/>
    <w:rsid w:val="00C277FA"/>
    <w:rsid w:val="00C34874"/>
    <w:rsid w:val="00C405C6"/>
    <w:rsid w:val="00C41986"/>
    <w:rsid w:val="00C4260E"/>
    <w:rsid w:val="00C57E9C"/>
    <w:rsid w:val="00C660DA"/>
    <w:rsid w:val="00C67B1C"/>
    <w:rsid w:val="00C73379"/>
    <w:rsid w:val="00C831ED"/>
    <w:rsid w:val="00C83589"/>
    <w:rsid w:val="00C84639"/>
    <w:rsid w:val="00C92AFE"/>
    <w:rsid w:val="00C956E5"/>
    <w:rsid w:val="00CA2E06"/>
    <w:rsid w:val="00CB044D"/>
    <w:rsid w:val="00CB3BE4"/>
    <w:rsid w:val="00CB68EA"/>
    <w:rsid w:val="00CD280B"/>
    <w:rsid w:val="00CD4B9C"/>
    <w:rsid w:val="00D023EA"/>
    <w:rsid w:val="00D0513A"/>
    <w:rsid w:val="00D075B1"/>
    <w:rsid w:val="00D07914"/>
    <w:rsid w:val="00D10CE4"/>
    <w:rsid w:val="00D14C30"/>
    <w:rsid w:val="00D21199"/>
    <w:rsid w:val="00D26354"/>
    <w:rsid w:val="00D274B3"/>
    <w:rsid w:val="00D3125A"/>
    <w:rsid w:val="00D35123"/>
    <w:rsid w:val="00D37FF5"/>
    <w:rsid w:val="00D50553"/>
    <w:rsid w:val="00D5723E"/>
    <w:rsid w:val="00D6005C"/>
    <w:rsid w:val="00D73C2C"/>
    <w:rsid w:val="00D83752"/>
    <w:rsid w:val="00D9117C"/>
    <w:rsid w:val="00DB519B"/>
    <w:rsid w:val="00DB6450"/>
    <w:rsid w:val="00DC7F46"/>
    <w:rsid w:val="00DE4664"/>
    <w:rsid w:val="00DE78E3"/>
    <w:rsid w:val="00DF6F77"/>
    <w:rsid w:val="00E02C3D"/>
    <w:rsid w:val="00E04E3D"/>
    <w:rsid w:val="00E12248"/>
    <w:rsid w:val="00E1552A"/>
    <w:rsid w:val="00E457A8"/>
    <w:rsid w:val="00E47999"/>
    <w:rsid w:val="00E50C6D"/>
    <w:rsid w:val="00E601C3"/>
    <w:rsid w:val="00E6376A"/>
    <w:rsid w:val="00E726CE"/>
    <w:rsid w:val="00E80135"/>
    <w:rsid w:val="00E90D25"/>
    <w:rsid w:val="00E969B9"/>
    <w:rsid w:val="00EA0E1D"/>
    <w:rsid w:val="00EA5456"/>
    <w:rsid w:val="00EC2BAF"/>
    <w:rsid w:val="00EC77A4"/>
    <w:rsid w:val="00EE5549"/>
    <w:rsid w:val="00EF3AF7"/>
    <w:rsid w:val="00F00BCE"/>
    <w:rsid w:val="00F01DC7"/>
    <w:rsid w:val="00F11B7B"/>
    <w:rsid w:val="00F1681A"/>
    <w:rsid w:val="00F24E70"/>
    <w:rsid w:val="00F40FE4"/>
    <w:rsid w:val="00F41999"/>
    <w:rsid w:val="00F43CAD"/>
    <w:rsid w:val="00F60069"/>
    <w:rsid w:val="00F6657A"/>
    <w:rsid w:val="00F77450"/>
    <w:rsid w:val="00F86ABF"/>
    <w:rsid w:val="00F9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AE"/>
  </w:style>
  <w:style w:type="paragraph" w:styleId="Heading1">
    <w:name w:val="heading 1"/>
    <w:basedOn w:val="Normal"/>
    <w:next w:val="Normal"/>
    <w:link w:val="Heading1Char"/>
    <w:autoRedefine/>
    <w:uiPriority w:val="99"/>
    <w:qFormat/>
    <w:rsid w:val="009243AE"/>
    <w:pPr>
      <w:keepNext/>
      <w:spacing w:after="240"/>
      <w:ind w:left="720" w:hanging="720"/>
      <w:outlineLvl w:val="0"/>
    </w:pPr>
    <w:rPr>
      <w:rFonts w:ascii="Times New Roman Bold" w:hAnsi="Times New Roman Bold" w:cs="Cambria"/>
      <w:b/>
      <w:bCs/>
      <w:caps/>
      <w:kern w:val="32"/>
      <w:sz w:val="24"/>
      <w:szCs w:val="32"/>
    </w:rPr>
  </w:style>
  <w:style w:type="paragraph" w:styleId="Heading2">
    <w:name w:val="heading 2"/>
    <w:basedOn w:val="Normal"/>
    <w:next w:val="Normal"/>
    <w:link w:val="Heading2Char"/>
    <w:autoRedefine/>
    <w:uiPriority w:val="99"/>
    <w:qFormat/>
    <w:rsid w:val="00EA0E1D"/>
    <w:pPr>
      <w:keepNext/>
      <w:tabs>
        <w:tab w:val="left" w:pos="4320"/>
      </w:tabs>
      <w:spacing w:after="240"/>
      <w:ind w:left="1440" w:hanging="720"/>
      <w:outlineLvl w:val="1"/>
    </w:pPr>
    <w:rPr>
      <w:rFonts w:ascii="Times New Roman Bold" w:hAnsi="Times New Roman Bold" w:cs="Cambria"/>
      <w:b/>
      <w:bCs/>
      <w:iCs/>
      <w:sz w:val="24"/>
      <w:szCs w:val="28"/>
    </w:rPr>
  </w:style>
  <w:style w:type="paragraph" w:styleId="Heading3">
    <w:name w:val="heading 3"/>
    <w:basedOn w:val="Normal"/>
    <w:next w:val="Normal"/>
    <w:link w:val="Heading3Char"/>
    <w:autoRedefine/>
    <w:uiPriority w:val="99"/>
    <w:qFormat/>
    <w:rsid w:val="00EA0E1D"/>
    <w:pPr>
      <w:keepNext/>
      <w:spacing w:after="240"/>
      <w:ind w:left="2160" w:hanging="720"/>
      <w:outlineLvl w:val="2"/>
    </w:pPr>
    <w:rPr>
      <w:rFonts w:ascii="Times New Roman Bold" w:hAnsi="Times New Roman Bold" w:cs="Cambria"/>
      <w:b/>
      <w:bCs/>
      <w:sz w:val="24"/>
      <w:szCs w:val="26"/>
    </w:rPr>
  </w:style>
  <w:style w:type="paragraph" w:styleId="Heading4">
    <w:name w:val="heading 4"/>
    <w:basedOn w:val="Normal"/>
    <w:next w:val="Normal"/>
    <w:link w:val="Heading4Char"/>
    <w:uiPriority w:val="99"/>
    <w:qFormat/>
    <w:rsid w:val="009223B1"/>
    <w:pPr>
      <w:keepNext/>
      <w:ind w:left="2880" w:firstLine="720"/>
      <w:jc w:val="center"/>
      <w:outlineLvl w:val="3"/>
    </w:pPr>
    <w:rPr>
      <w:rFonts w:ascii="Calibri" w:hAnsi="Calibri" w:cs="Calibri"/>
      <w:b/>
      <w:bCs/>
      <w:sz w:val="28"/>
      <w:szCs w:val="28"/>
    </w:rPr>
  </w:style>
  <w:style w:type="paragraph" w:styleId="Heading7">
    <w:name w:val="heading 7"/>
    <w:basedOn w:val="Normal"/>
    <w:next w:val="Normal"/>
    <w:link w:val="Heading7Char"/>
    <w:uiPriority w:val="99"/>
    <w:qFormat/>
    <w:rsid w:val="009223B1"/>
    <w:pPr>
      <w:keepNext/>
      <w:tabs>
        <w:tab w:val="left" w:pos="4320"/>
      </w:tabs>
      <w:outlineLvl w:val="6"/>
    </w:pPr>
    <w:rPr>
      <w:rFonts w:ascii="Calibri" w:hAnsi="Calibri" w:cs="Calibri"/>
      <w:sz w:val="24"/>
      <w:szCs w:val="24"/>
    </w:rPr>
  </w:style>
  <w:style w:type="paragraph" w:styleId="Heading8">
    <w:name w:val="heading 8"/>
    <w:basedOn w:val="Normal"/>
    <w:next w:val="Normal"/>
    <w:link w:val="Heading8Char"/>
    <w:uiPriority w:val="99"/>
    <w:qFormat/>
    <w:locked/>
    <w:rsid w:val="003E37E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243AE"/>
    <w:rPr>
      <w:rFonts w:ascii="Times New Roman Bold" w:hAnsi="Times New Roman Bold" w:cs="Cambria"/>
      <w:b/>
      <w:bCs/>
      <w:caps/>
      <w:kern w:val="32"/>
      <w:sz w:val="24"/>
      <w:szCs w:val="32"/>
    </w:rPr>
  </w:style>
  <w:style w:type="character" w:customStyle="1" w:styleId="Heading2Char">
    <w:name w:val="Heading 2 Char"/>
    <w:link w:val="Heading2"/>
    <w:uiPriority w:val="99"/>
    <w:locked/>
    <w:rsid w:val="00EA0E1D"/>
    <w:rPr>
      <w:rFonts w:ascii="Times New Roman Bold" w:hAnsi="Times New Roman Bold" w:cs="Cambria"/>
      <w:b/>
      <w:bCs/>
      <w:iCs/>
      <w:sz w:val="24"/>
      <w:szCs w:val="28"/>
    </w:rPr>
  </w:style>
  <w:style w:type="character" w:customStyle="1" w:styleId="Heading3Char">
    <w:name w:val="Heading 3 Char"/>
    <w:link w:val="Heading3"/>
    <w:uiPriority w:val="99"/>
    <w:locked/>
    <w:rsid w:val="00EA0E1D"/>
    <w:rPr>
      <w:rFonts w:ascii="Times New Roman Bold" w:hAnsi="Times New Roman Bold" w:cs="Cambria"/>
      <w:b/>
      <w:bCs/>
      <w:sz w:val="24"/>
      <w:szCs w:val="26"/>
    </w:rPr>
  </w:style>
  <w:style w:type="character" w:customStyle="1" w:styleId="Heading4Char">
    <w:name w:val="Heading 4 Char"/>
    <w:link w:val="Heading4"/>
    <w:uiPriority w:val="99"/>
    <w:semiHidden/>
    <w:locked/>
    <w:rsid w:val="00E02C3D"/>
    <w:rPr>
      <w:rFonts w:ascii="Calibri" w:hAnsi="Calibri" w:cs="Calibri"/>
      <w:b/>
      <w:bCs/>
      <w:sz w:val="28"/>
      <w:szCs w:val="28"/>
    </w:rPr>
  </w:style>
  <w:style w:type="character" w:customStyle="1" w:styleId="Heading7Char">
    <w:name w:val="Heading 7 Char"/>
    <w:link w:val="Heading7"/>
    <w:uiPriority w:val="99"/>
    <w:semiHidden/>
    <w:locked/>
    <w:rsid w:val="00E02C3D"/>
    <w:rPr>
      <w:rFonts w:ascii="Calibri" w:hAnsi="Calibri" w:cs="Calibri"/>
      <w:sz w:val="24"/>
      <w:szCs w:val="24"/>
    </w:rPr>
  </w:style>
  <w:style w:type="character" w:customStyle="1" w:styleId="Heading8Char">
    <w:name w:val="Heading 8 Char"/>
    <w:link w:val="Heading8"/>
    <w:uiPriority w:val="99"/>
    <w:semiHidden/>
    <w:locked/>
    <w:rPr>
      <w:rFonts w:ascii="Calibri" w:hAnsi="Calibri" w:cs="Calibri"/>
      <w:i/>
      <w:iCs/>
      <w:sz w:val="24"/>
      <w:szCs w:val="24"/>
    </w:rPr>
  </w:style>
  <w:style w:type="paragraph" w:styleId="BalloonText">
    <w:name w:val="Balloon Text"/>
    <w:basedOn w:val="Normal"/>
    <w:link w:val="BalloonTextChar"/>
    <w:uiPriority w:val="99"/>
    <w:semiHidden/>
    <w:rsid w:val="00393D32"/>
    <w:rPr>
      <w:szCs w:val="2"/>
    </w:rPr>
  </w:style>
  <w:style w:type="character" w:customStyle="1" w:styleId="BalloonTextChar">
    <w:name w:val="Balloon Text Char"/>
    <w:link w:val="BalloonText"/>
    <w:uiPriority w:val="99"/>
    <w:semiHidden/>
    <w:locked/>
    <w:rsid w:val="00393D32"/>
    <w:rPr>
      <w:sz w:val="20"/>
      <w:szCs w:val="2"/>
    </w:rPr>
  </w:style>
  <w:style w:type="paragraph" w:styleId="BodyText">
    <w:name w:val="Body Text"/>
    <w:basedOn w:val="Normal"/>
    <w:link w:val="BodyTextChar"/>
    <w:uiPriority w:val="99"/>
    <w:rsid w:val="009223B1"/>
    <w:pPr>
      <w:jc w:val="center"/>
    </w:pPr>
  </w:style>
  <w:style w:type="character" w:customStyle="1" w:styleId="BodyTextChar">
    <w:name w:val="Body Text Char"/>
    <w:link w:val="BodyText"/>
    <w:uiPriority w:val="99"/>
    <w:semiHidden/>
    <w:locked/>
    <w:rsid w:val="00E02C3D"/>
    <w:rPr>
      <w:sz w:val="20"/>
      <w:szCs w:val="20"/>
    </w:rPr>
  </w:style>
  <w:style w:type="paragraph" w:styleId="Title">
    <w:name w:val="Title"/>
    <w:basedOn w:val="Normal"/>
    <w:link w:val="TitleChar"/>
    <w:uiPriority w:val="99"/>
    <w:qFormat/>
    <w:rsid w:val="009223B1"/>
    <w:pPr>
      <w:tabs>
        <w:tab w:val="left" w:pos="720"/>
      </w:tabs>
      <w:jc w:val="center"/>
    </w:pPr>
    <w:rPr>
      <w:rFonts w:ascii="Cambria" w:hAnsi="Cambria" w:cs="Cambria"/>
      <w:b/>
      <w:bCs/>
      <w:kern w:val="28"/>
      <w:sz w:val="32"/>
      <w:szCs w:val="32"/>
    </w:rPr>
  </w:style>
  <w:style w:type="character" w:customStyle="1" w:styleId="TitleChar">
    <w:name w:val="Title Char"/>
    <w:link w:val="Title"/>
    <w:uiPriority w:val="99"/>
    <w:locked/>
    <w:rsid w:val="00E02C3D"/>
    <w:rPr>
      <w:rFonts w:ascii="Cambria" w:hAnsi="Cambria" w:cs="Cambria"/>
      <w:b/>
      <w:bCs/>
      <w:kern w:val="28"/>
      <w:sz w:val="32"/>
      <w:szCs w:val="32"/>
    </w:rPr>
  </w:style>
  <w:style w:type="paragraph" w:styleId="BodyText2">
    <w:name w:val="Body Text 2"/>
    <w:basedOn w:val="Normal"/>
    <w:link w:val="BodyText2Char"/>
    <w:uiPriority w:val="99"/>
    <w:rsid w:val="009223B1"/>
    <w:pPr>
      <w:spacing w:line="480" w:lineRule="auto"/>
    </w:pPr>
  </w:style>
  <w:style w:type="character" w:customStyle="1" w:styleId="BodyText2Char">
    <w:name w:val="Body Text 2 Char"/>
    <w:link w:val="BodyText2"/>
    <w:uiPriority w:val="99"/>
    <w:semiHidden/>
    <w:locked/>
    <w:rsid w:val="00E02C3D"/>
    <w:rPr>
      <w:sz w:val="20"/>
      <w:szCs w:val="20"/>
    </w:rPr>
  </w:style>
  <w:style w:type="paragraph" w:styleId="Footer">
    <w:name w:val="footer"/>
    <w:basedOn w:val="Normal"/>
    <w:link w:val="FooterChar"/>
    <w:uiPriority w:val="99"/>
    <w:rsid w:val="009223B1"/>
    <w:pPr>
      <w:tabs>
        <w:tab w:val="center" w:pos="4320"/>
        <w:tab w:val="right" w:pos="8640"/>
      </w:tabs>
    </w:pPr>
  </w:style>
  <w:style w:type="character" w:customStyle="1" w:styleId="FooterChar">
    <w:name w:val="Footer Char"/>
    <w:basedOn w:val="DefaultParagraphFont"/>
    <w:link w:val="Footer"/>
    <w:uiPriority w:val="99"/>
    <w:locked/>
    <w:rsid w:val="00E12248"/>
  </w:style>
  <w:style w:type="character" w:styleId="Hyperlink">
    <w:name w:val="Hyperlink"/>
    <w:uiPriority w:val="99"/>
    <w:rsid w:val="009223B1"/>
    <w:rPr>
      <w:color w:val="0000FF"/>
      <w:u w:val="single"/>
    </w:rPr>
  </w:style>
  <w:style w:type="paragraph" w:styleId="BodyTextIndent2">
    <w:name w:val="Body Text Indent 2"/>
    <w:basedOn w:val="Normal"/>
    <w:link w:val="BodyTextIndent2Char"/>
    <w:uiPriority w:val="99"/>
    <w:rsid w:val="009223B1"/>
    <w:pPr>
      <w:ind w:left="2880" w:hanging="2160"/>
    </w:pPr>
  </w:style>
  <w:style w:type="character" w:customStyle="1" w:styleId="BodyTextIndent2Char">
    <w:name w:val="Body Text Indent 2 Char"/>
    <w:link w:val="BodyTextIndent2"/>
    <w:uiPriority w:val="99"/>
    <w:semiHidden/>
    <w:locked/>
    <w:rsid w:val="00E02C3D"/>
    <w:rPr>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rsid w:val="009223B1"/>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uiPriority w:val="99"/>
    <w:semiHidden/>
    <w:rsid w:val="00E02C3D"/>
    <w:rPr>
      <w:sz w:val="20"/>
      <w:szCs w:val="20"/>
    </w:rPr>
  </w:style>
  <w:style w:type="character" w:styleId="FootnoteReference">
    <w:name w:val="footnote reference"/>
    <w:aliases w:val="o"/>
    <w:uiPriority w:val="99"/>
    <w:rsid w:val="009223B1"/>
    <w:rPr>
      <w:vertAlign w:val="superscript"/>
    </w:rPr>
  </w:style>
  <w:style w:type="character" w:styleId="PageNumber">
    <w:name w:val="page number"/>
    <w:basedOn w:val="DefaultParagraphFont"/>
    <w:uiPriority w:val="99"/>
    <w:rsid w:val="009223B1"/>
  </w:style>
  <w:style w:type="paragraph" w:styleId="BodyTextIndent3">
    <w:name w:val="Body Text Indent 3"/>
    <w:basedOn w:val="Normal"/>
    <w:link w:val="BodyTextIndent3Char"/>
    <w:uiPriority w:val="99"/>
    <w:rsid w:val="009223B1"/>
    <w:pPr>
      <w:spacing w:line="480" w:lineRule="auto"/>
      <w:ind w:left="720"/>
    </w:pPr>
    <w:rPr>
      <w:sz w:val="16"/>
      <w:szCs w:val="16"/>
    </w:rPr>
  </w:style>
  <w:style w:type="character" w:customStyle="1" w:styleId="BodyTextIndent3Char">
    <w:name w:val="Body Text Indent 3 Char"/>
    <w:link w:val="BodyTextIndent3"/>
    <w:uiPriority w:val="99"/>
    <w:semiHidden/>
    <w:locked/>
    <w:rsid w:val="00E02C3D"/>
    <w:rPr>
      <w:sz w:val="16"/>
      <w:szCs w:val="16"/>
    </w:rPr>
  </w:style>
  <w:style w:type="paragraph" w:styleId="BlockText">
    <w:name w:val="Block Text"/>
    <w:basedOn w:val="Normal"/>
    <w:uiPriority w:val="99"/>
    <w:rsid w:val="009223B1"/>
    <w:pPr>
      <w:ind w:left="1440" w:right="720"/>
    </w:pPr>
    <w:rPr>
      <w:sz w:val="24"/>
      <w:szCs w:val="24"/>
    </w:rPr>
  </w:style>
  <w:style w:type="paragraph" w:styleId="Date">
    <w:name w:val="Date"/>
    <w:basedOn w:val="Normal"/>
    <w:next w:val="Normal"/>
    <w:link w:val="DateChar"/>
    <w:uiPriority w:val="99"/>
    <w:rsid w:val="009223B1"/>
  </w:style>
  <w:style w:type="character" w:customStyle="1" w:styleId="DateChar">
    <w:name w:val="Date Char"/>
    <w:link w:val="Date"/>
    <w:uiPriority w:val="99"/>
    <w:semiHidden/>
    <w:locked/>
    <w:rsid w:val="00E02C3D"/>
    <w:rPr>
      <w:sz w:val="20"/>
      <w:szCs w:val="20"/>
    </w:rPr>
  </w:style>
  <w:style w:type="character" w:styleId="CommentReference">
    <w:name w:val="annotation reference"/>
    <w:uiPriority w:val="99"/>
    <w:semiHidden/>
    <w:rsid w:val="009223B1"/>
    <w:rPr>
      <w:sz w:val="16"/>
      <w:szCs w:val="16"/>
    </w:rPr>
  </w:style>
  <w:style w:type="paragraph" w:styleId="CommentText">
    <w:name w:val="annotation text"/>
    <w:basedOn w:val="Normal"/>
    <w:link w:val="CommentTextChar"/>
    <w:uiPriority w:val="99"/>
    <w:semiHidden/>
    <w:rsid w:val="009223B1"/>
  </w:style>
  <w:style w:type="character" w:customStyle="1" w:styleId="CommentTextChar">
    <w:name w:val="Comment Text Char"/>
    <w:basedOn w:val="DefaultParagraphFont"/>
    <w:link w:val="CommentText"/>
    <w:uiPriority w:val="99"/>
    <w:semiHidden/>
    <w:locked/>
    <w:rsid w:val="009223B1"/>
  </w:style>
  <w:style w:type="paragraph" w:styleId="CommentSubject">
    <w:name w:val="annotation subject"/>
    <w:basedOn w:val="CommentText"/>
    <w:next w:val="CommentText"/>
    <w:link w:val="CommentSubjectChar"/>
    <w:uiPriority w:val="99"/>
    <w:semiHidden/>
    <w:rsid w:val="009223B1"/>
    <w:rPr>
      <w:b/>
      <w:bCs/>
    </w:rPr>
  </w:style>
  <w:style w:type="character" w:customStyle="1" w:styleId="CommentSubjectChar">
    <w:name w:val="Comment Subject Char"/>
    <w:link w:val="CommentSubject"/>
    <w:uiPriority w:val="99"/>
    <w:semiHidden/>
    <w:locked/>
    <w:rsid w:val="009223B1"/>
    <w:rPr>
      <w:b/>
      <w:bCs/>
    </w:rPr>
  </w:style>
  <w:style w:type="paragraph" w:styleId="Header">
    <w:name w:val="header"/>
    <w:basedOn w:val="Normal"/>
    <w:link w:val="HeaderChar"/>
    <w:uiPriority w:val="99"/>
    <w:rsid w:val="009223B1"/>
    <w:pPr>
      <w:tabs>
        <w:tab w:val="center" w:pos="4320"/>
        <w:tab w:val="right" w:pos="8640"/>
      </w:tabs>
    </w:pPr>
  </w:style>
  <w:style w:type="character" w:customStyle="1" w:styleId="HeaderChar">
    <w:name w:val="Header Char"/>
    <w:link w:val="Header"/>
    <w:uiPriority w:val="99"/>
    <w:semiHidden/>
    <w:locked/>
    <w:rsid w:val="00E02C3D"/>
    <w:rPr>
      <w:sz w:val="20"/>
      <w:szCs w:val="20"/>
    </w:rPr>
  </w:style>
  <w:style w:type="paragraph" w:styleId="HTMLPreformatted">
    <w:name w:val="HTML Preformatted"/>
    <w:basedOn w:val="Normal"/>
    <w:link w:val="HTMLPreformattedChar"/>
    <w:uiPriority w:val="99"/>
    <w:rsid w:val="0092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E02C3D"/>
    <w:rPr>
      <w:rFonts w:ascii="Courier New" w:hAnsi="Courier New" w:cs="Courier New"/>
      <w:sz w:val="20"/>
      <w:szCs w:val="20"/>
    </w:rPr>
  </w:style>
  <w:style w:type="character" w:styleId="EndnoteReference">
    <w:name w:val="endnote reference"/>
    <w:uiPriority w:val="99"/>
    <w:semiHidden/>
    <w:rsid w:val="009223B1"/>
    <w:rPr>
      <w:vertAlign w:val="superscript"/>
    </w:rPr>
  </w:style>
  <w:style w:type="table" w:styleId="TableGrid">
    <w:name w:val="Table Grid"/>
    <w:basedOn w:val="TableNormal"/>
    <w:uiPriority w:val="99"/>
    <w:rsid w:val="0092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9223B1"/>
  </w:style>
  <w:style w:type="character" w:customStyle="1" w:styleId="EndnoteTextChar">
    <w:name w:val="Endnote Text Char"/>
    <w:basedOn w:val="DefaultParagraphFont"/>
    <w:link w:val="EndnoteText"/>
    <w:uiPriority w:val="99"/>
    <w:locked/>
    <w:rsid w:val="009223B1"/>
  </w:style>
  <w:style w:type="paragraph" w:customStyle="1" w:styleId="ANSWER">
    <w:name w:val="ANSWER"/>
    <w:basedOn w:val="Normal"/>
    <w:uiPriority w:val="99"/>
    <w:rsid w:val="009223B1"/>
    <w:pPr>
      <w:spacing w:line="480" w:lineRule="auto"/>
      <w:ind w:left="1008" w:hanging="720"/>
    </w:pPr>
    <w:rPr>
      <w:sz w:val="24"/>
      <w:szCs w:val="24"/>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
    <w:link w:val="FootnoteText"/>
    <w:uiPriority w:val="99"/>
    <w:locked/>
    <w:rsid w:val="00507E5E"/>
  </w:style>
  <w:style w:type="paragraph" w:customStyle="1" w:styleId="Style1">
    <w:name w:val="Style1"/>
    <w:basedOn w:val="FootnoteText"/>
    <w:uiPriority w:val="99"/>
    <w:rsid w:val="003E37EB"/>
    <w:pPr>
      <w:spacing w:after="120"/>
    </w:pPr>
  </w:style>
  <w:style w:type="paragraph" w:customStyle="1" w:styleId="Default">
    <w:name w:val="Default"/>
    <w:uiPriority w:val="99"/>
    <w:rsid w:val="002527AA"/>
    <w:pPr>
      <w:autoSpaceDE w:val="0"/>
      <w:autoSpaceDN w:val="0"/>
      <w:adjustRightInd w:val="0"/>
    </w:pPr>
    <w:rPr>
      <w:color w:val="000000"/>
      <w:sz w:val="24"/>
      <w:szCs w:val="24"/>
    </w:rPr>
  </w:style>
  <w:style w:type="paragraph" w:styleId="TOC1">
    <w:name w:val="toc 1"/>
    <w:basedOn w:val="Normal"/>
    <w:next w:val="Normal"/>
    <w:autoRedefine/>
    <w:uiPriority w:val="39"/>
    <w:unhideWhenUsed/>
    <w:rsid w:val="002A7C48"/>
    <w:pPr>
      <w:tabs>
        <w:tab w:val="left" w:pos="720"/>
        <w:tab w:val="decimal" w:leader="dot" w:pos="8640"/>
      </w:tabs>
      <w:spacing w:after="120"/>
      <w:ind w:left="720" w:hanging="720"/>
    </w:pPr>
    <w:rPr>
      <w:caps/>
      <w:sz w:val="24"/>
    </w:rPr>
  </w:style>
  <w:style w:type="paragraph" w:styleId="TOC2">
    <w:name w:val="toc 2"/>
    <w:basedOn w:val="Normal"/>
    <w:next w:val="Normal"/>
    <w:autoRedefine/>
    <w:uiPriority w:val="39"/>
    <w:unhideWhenUsed/>
    <w:rsid w:val="002A7C48"/>
    <w:pPr>
      <w:tabs>
        <w:tab w:val="left" w:pos="720"/>
        <w:tab w:val="left" w:pos="1440"/>
        <w:tab w:val="decimal" w:leader="dot" w:pos="8640"/>
      </w:tabs>
      <w:spacing w:after="120"/>
      <w:ind w:left="1440" w:hanging="720"/>
    </w:pPr>
    <w:rPr>
      <w:sz w:val="24"/>
    </w:rPr>
  </w:style>
  <w:style w:type="paragraph" w:styleId="TOC3">
    <w:name w:val="toc 3"/>
    <w:basedOn w:val="Normal"/>
    <w:next w:val="Normal"/>
    <w:autoRedefine/>
    <w:uiPriority w:val="39"/>
    <w:unhideWhenUsed/>
    <w:rsid w:val="002A7C48"/>
    <w:pPr>
      <w:tabs>
        <w:tab w:val="left" w:pos="720"/>
        <w:tab w:val="left" w:pos="1440"/>
        <w:tab w:val="decimal" w:leader="dot" w:pos="8640"/>
      </w:tabs>
      <w:spacing w:after="120"/>
      <w:ind w:left="2160" w:hanging="720"/>
    </w:pPr>
    <w:rPr>
      <w:sz w:val="24"/>
    </w:rPr>
  </w:style>
  <w:style w:type="paragraph" w:styleId="Revision">
    <w:name w:val="Revision"/>
    <w:hidden/>
    <w:uiPriority w:val="99"/>
    <w:semiHidden/>
    <w:rsid w:val="00206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52230">
      <w:marLeft w:val="0"/>
      <w:marRight w:val="0"/>
      <w:marTop w:val="0"/>
      <w:marBottom w:val="0"/>
      <w:divBdr>
        <w:top w:val="none" w:sz="0" w:space="0" w:color="auto"/>
        <w:left w:val="none" w:sz="0" w:space="0" w:color="auto"/>
        <w:bottom w:val="none" w:sz="0" w:space="0" w:color="auto"/>
        <w:right w:val="none" w:sz="0" w:space="0" w:color="auto"/>
      </w:divBdr>
      <w:divsChild>
        <w:div w:id="986252231">
          <w:marLeft w:val="0"/>
          <w:marRight w:val="-5040"/>
          <w:marTop w:val="0"/>
          <w:marBottom w:val="0"/>
          <w:divBdr>
            <w:top w:val="none" w:sz="0" w:space="0" w:color="auto"/>
            <w:left w:val="none" w:sz="0" w:space="0" w:color="auto"/>
            <w:bottom w:val="none" w:sz="0" w:space="0" w:color="auto"/>
            <w:right w:val="none" w:sz="0" w:space="0" w:color="auto"/>
          </w:divBdr>
          <w:divsChild>
            <w:div w:id="98625223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berger@occ.state.oh.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rio@occ.state.oh.u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uer@oc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1902</Words>
  <Characters>10528</Characters>
  <Application>Microsoft Office Word</Application>
  <DocSecurity>0</DocSecurity>
  <Lines>320</Lines>
  <Paragraphs>153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2013-04-23T19:50:00Z</cp:lastPrinted>
  <dcterms:created xsi:type="dcterms:W3CDTF">2013-06-21T20:34:00Z</dcterms:created>
  <dcterms:modified xsi:type="dcterms:W3CDTF">2013-06-21T20:34:00Z</dcterms:modified>
  <cp:category> </cp:category>
  <cp:contentStatus> </cp:contentStatus>
</cp:coreProperties>
</file>