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3A4E3E" w:rsidRPr="00B072FD" w:rsidP="003A4E3E" w14:paraId="2479E2BC" w14:textId="77777777">
      <w:pPr>
        <w:pStyle w:val="HTMLPreformatted"/>
        <w:tabs>
          <w:tab w:val="clear" w:pos="4580"/>
        </w:tabs>
        <w:jc w:val="center"/>
        <w:rPr>
          <w:rFonts w:ascii="Times New Roman" w:hAnsi="Times New Roman" w:cs="Times New Roman"/>
          <w:b/>
          <w:bCs/>
          <w:sz w:val="24"/>
          <w:szCs w:val="24"/>
        </w:rPr>
      </w:pPr>
      <w:r w:rsidRPr="00B072FD">
        <w:rPr>
          <w:rFonts w:ascii="Times New Roman" w:hAnsi="Times New Roman" w:cs="Times New Roman"/>
          <w:b/>
          <w:bCs/>
          <w:sz w:val="24"/>
          <w:szCs w:val="24"/>
        </w:rPr>
        <w:t>BEFORE</w:t>
      </w:r>
    </w:p>
    <w:p w:rsidR="003A4E3E" w:rsidRPr="00B072FD" w:rsidP="003A4E3E" w14:paraId="72FC1E2F" w14:textId="77777777">
      <w:pPr>
        <w:pStyle w:val="HTMLPreformatted"/>
        <w:jc w:val="center"/>
        <w:rPr>
          <w:rFonts w:ascii="Times New Roman" w:hAnsi="Times New Roman" w:cs="Times New Roman"/>
          <w:sz w:val="24"/>
          <w:szCs w:val="24"/>
        </w:rPr>
      </w:pPr>
      <w:r w:rsidRPr="00B072FD">
        <w:rPr>
          <w:rFonts w:ascii="Times New Roman" w:hAnsi="Times New Roman" w:cs="Times New Roman"/>
          <w:b/>
          <w:bCs/>
          <w:sz w:val="24"/>
          <w:szCs w:val="24"/>
        </w:rPr>
        <w:t>THE PUBLIC UTILITIES COMMISSION OF OHIO</w:t>
      </w:r>
    </w:p>
    <w:p w:rsidR="00C75D85" w:rsidRPr="00B072FD" w:rsidP="00C75D85" w14:paraId="2B8DE954" w14:textId="77777777">
      <w:pPr>
        <w:pStyle w:val="HTMLPreformatted"/>
        <w:jc w:val="center"/>
        <w:rPr>
          <w:rFonts w:ascii="Times New Roman" w:hAnsi="Times New Roman" w:cs="Times New Roman"/>
          <w:b/>
          <w:bCs/>
          <w:sz w:val="24"/>
          <w:szCs w:val="24"/>
        </w:rPr>
      </w:pPr>
    </w:p>
    <w:tbl>
      <w:tblPr>
        <w:tblW w:w="8730" w:type="dxa"/>
        <w:tblInd w:w="-90" w:type="dxa"/>
        <w:tblCellMar>
          <w:top w:w="0" w:type="dxa"/>
          <w:left w:w="108" w:type="dxa"/>
          <w:bottom w:w="0" w:type="dxa"/>
          <w:right w:w="108" w:type="dxa"/>
        </w:tblCellMar>
        <w:tblLook w:val="01E0"/>
      </w:tblPr>
      <w:tblGrid>
        <w:gridCol w:w="4422"/>
        <w:gridCol w:w="360"/>
        <w:gridCol w:w="3948"/>
      </w:tblGrid>
      <w:tr w14:paraId="27FC163A" w14:textId="77777777" w:rsidTr="00D37AD4">
        <w:tblPrEx>
          <w:tblW w:w="8730" w:type="dxa"/>
          <w:tblInd w:w="-90" w:type="dxa"/>
          <w:tblCellMar>
            <w:top w:w="0" w:type="dxa"/>
            <w:left w:w="108" w:type="dxa"/>
            <w:bottom w:w="0" w:type="dxa"/>
            <w:right w:w="108" w:type="dxa"/>
          </w:tblCellMar>
          <w:tblLook w:val="01E0"/>
        </w:tblPrEx>
        <w:trPr>
          <w:trHeight w:val="807"/>
        </w:trPr>
        <w:tc>
          <w:tcPr>
            <w:tcW w:w="4422" w:type="dxa"/>
            <w:shd w:val="clear" w:color="auto" w:fill="auto"/>
          </w:tcPr>
          <w:p w:rsidR="00C75D85" w:rsidRPr="00B072FD" w:rsidP="00D37AD4" w14:paraId="7E3CF6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C75D85" w:rsidRPr="00B072FD" w:rsidP="00D37AD4" w14:paraId="03D44A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C75D85" w:rsidRPr="00B072FD" w:rsidP="00D37AD4" w14:paraId="023ABD1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C75D85" w:rsidRPr="00B072FD" w:rsidP="00D37AD4" w14:paraId="2274AB6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C75D85" w:rsidRPr="00B072FD" w:rsidP="00D37AD4" w14:paraId="70DFF03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C75D85" w:rsidRPr="00B072FD" w:rsidP="00D37AD4" w14:paraId="5A0FA3D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tc>
        <w:tc>
          <w:tcPr>
            <w:tcW w:w="3948" w:type="dxa"/>
            <w:shd w:val="clear" w:color="auto" w:fill="auto"/>
          </w:tcPr>
          <w:p w:rsidR="00C75D85" w:rsidRPr="00B072FD" w:rsidP="00D37AD4" w14:paraId="250CF63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75D85" w:rsidRPr="00B072FD" w:rsidP="00D37AD4" w14:paraId="7D4ECC5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75D85" w:rsidRPr="00B072FD" w:rsidP="00D37AD4" w14:paraId="5302D59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Case No. 23-23-EL-SSO</w:t>
            </w:r>
          </w:p>
          <w:p w:rsidR="00C75D85" w:rsidRPr="00B072FD" w:rsidP="00D37AD4" w14:paraId="2EC8D88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C75D85" w:rsidRPr="00B072FD" w:rsidP="00D37AD4" w14:paraId="6A2852C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C75D85" w:rsidRPr="00B072FD" w:rsidP="00C75D85" w14:paraId="0CED6D90" w14:textId="77777777">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410"/>
        <w:gridCol w:w="360"/>
        <w:gridCol w:w="3978"/>
      </w:tblGrid>
      <w:tr w14:paraId="0E7FD2C1" w14:textId="77777777" w:rsidTr="00D37AD4">
        <w:tblPrEx>
          <w:tblW w:w="8748" w:type="dxa"/>
          <w:tblInd w:w="-90" w:type="dxa"/>
          <w:tblCellMar>
            <w:top w:w="0" w:type="dxa"/>
            <w:left w:w="108" w:type="dxa"/>
            <w:bottom w:w="0" w:type="dxa"/>
            <w:right w:w="108" w:type="dxa"/>
          </w:tblCellMar>
          <w:tblLook w:val="01E0"/>
        </w:tblPrEx>
        <w:trPr>
          <w:trHeight w:val="807"/>
        </w:trPr>
        <w:tc>
          <w:tcPr>
            <w:tcW w:w="4410" w:type="dxa"/>
            <w:shd w:val="clear" w:color="auto" w:fill="auto"/>
          </w:tcPr>
          <w:p w:rsidR="00C75D85" w:rsidRPr="00B072FD" w:rsidP="00D37AD4" w14:paraId="0B90F38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C75D85" w:rsidRPr="00B072FD" w:rsidP="00D37AD4" w14:paraId="52DB16B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C75D85" w:rsidRPr="00B072FD" w:rsidP="00D37AD4" w14:paraId="3A03962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C75D85" w:rsidRPr="00B072FD" w:rsidP="00D37AD4" w14:paraId="36A3C23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tc>
        <w:tc>
          <w:tcPr>
            <w:tcW w:w="3978" w:type="dxa"/>
            <w:shd w:val="clear" w:color="auto" w:fill="auto"/>
          </w:tcPr>
          <w:p w:rsidR="00C75D85" w:rsidRPr="00B072FD" w:rsidP="00D37AD4" w14:paraId="435F6BD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p w:rsidR="00C75D85" w:rsidRPr="00B072FD" w:rsidP="00D37AD4" w14:paraId="3EB9BE9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Case No. 23-24-EL-AAM</w:t>
            </w:r>
          </w:p>
          <w:p w:rsidR="00C75D85" w:rsidRPr="00B072FD" w:rsidP="00D37AD4" w14:paraId="76D2C29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tc>
      </w:tr>
    </w:tbl>
    <w:p w:rsidR="00C75D85" w:rsidRPr="00B072FD" w:rsidP="003A4E3E" w14:paraId="47C35482" w14:textId="77777777">
      <w:pPr>
        <w:pStyle w:val="HTMLPreformatted"/>
        <w:rPr>
          <w:rFonts w:ascii="Times New Roman" w:hAnsi="Times New Roman" w:cs="Times New Roman"/>
          <w:sz w:val="24"/>
          <w:szCs w:val="24"/>
        </w:rPr>
      </w:pPr>
    </w:p>
    <w:p w:rsidR="003A4E3E" w:rsidRPr="00B072FD" w:rsidP="003A4E3E" w14:paraId="16BA31FE" w14:textId="77777777">
      <w:pPr>
        <w:pStyle w:val="HTMLPreformatted"/>
        <w:pBdr>
          <w:top w:val="single" w:sz="12" w:space="1" w:color="auto"/>
        </w:pBdr>
        <w:rPr>
          <w:rFonts w:ascii="Times New Roman" w:hAnsi="Times New Roman" w:cs="Times New Roman"/>
          <w:sz w:val="24"/>
          <w:szCs w:val="24"/>
        </w:rPr>
      </w:pPr>
    </w:p>
    <w:p w:rsidR="003A4E3E" w:rsidRPr="00B072FD" w:rsidP="003A4E3E" w14:paraId="001CA6DB" w14:textId="2EDC479F">
      <w:pPr>
        <w:jc w:val="center"/>
        <w:rPr>
          <w:b/>
          <w:bCs/>
          <w:szCs w:val="24"/>
        </w:rPr>
      </w:pPr>
      <w:r w:rsidRPr="00B072FD">
        <w:rPr>
          <w:b/>
          <w:bCs/>
          <w:szCs w:val="24"/>
        </w:rPr>
        <w:t>MEMORANDUM CONTRA AEP</w:t>
      </w:r>
      <w:r w:rsidR="0033187F">
        <w:rPr>
          <w:b/>
          <w:bCs/>
          <w:szCs w:val="24"/>
        </w:rPr>
        <w:t xml:space="preserve"> OHIO</w:t>
      </w:r>
      <w:r w:rsidRPr="00B072FD">
        <w:rPr>
          <w:b/>
          <w:bCs/>
          <w:szCs w:val="24"/>
        </w:rPr>
        <w:t>’S MOTION TO STRIKE SPECIFIED INTERVENOR TESTIMONY IN OPPOSITION TO THE JOINT STIPULATION AND RECOMMENDATION</w:t>
      </w:r>
    </w:p>
    <w:p w:rsidR="003A4E3E" w:rsidRPr="00B072FD" w:rsidP="003A4E3E" w14:paraId="6639E145" w14:textId="77777777">
      <w:pPr>
        <w:jc w:val="center"/>
        <w:rPr>
          <w:b/>
          <w:bCs/>
          <w:szCs w:val="24"/>
        </w:rPr>
      </w:pPr>
      <w:r w:rsidRPr="00B072FD">
        <w:rPr>
          <w:b/>
          <w:bCs/>
          <w:szCs w:val="24"/>
        </w:rPr>
        <w:t>BY</w:t>
      </w:r>
    </w:p>
    <w:p w:rsidR="003A4E3E" w:rsidRPr="00B072FD" w:rsidP="003A4E3E" w14:paraId="5583F95F" w14:textId="77777777">
      <w:pPr>
        <w:jc w:val="center"/>
        <w:rPr>
          <w:b/>
          <w:bCs/>
          <w:szCs w:val="24"/>
        </w:rPr>
      </w:pPr>
      <w:r w:rsidRPr="00B072FD">
        <w:rPr>
          <w:b/>
          <w:bCs/>
          <w:szCs w:val="24"/>
        </w:rPr>
        <w:t>OFFICE OF THE OHIO CONSUMERS’ COUNSEL</w:t>
      </w:r>
    </w:p>
    <w:p w:rsidR="003A4E3E" w:rsidRPr="00B072FD" w:rsidP="003A4E3E" w14:paraId="4302898D" w14:textId="77777777">
      <w:pPr>
        <w:pBdr>
          <w:bottom w:val="single" w:sz="12" w:space="1" w:color="auto"/>
        </w:pBdr>
        <w:tabs>
          <w:tab w:val="left" w:pos="4320"/>
        </w:tabs>
        <w:rPr>
          <w:szCs w:val="24"/>
        </w:rPr>
      </w:pPr>
    </w:p>
    <w:p w:rsidR="003A4E3E" w:rsidRPr="00B072FD" w14:paraId="2D3E8397" w14:textId="77777777">
      <w:pPr>
        <w:pStyle w:val="HTMLPreformatted"/>
        <w:tabs>
          <w:tab w:val="clear" w:pos="4580"/>
        </w:tabs>
        <w:jc w:val="center"/>
        <w:rPr>
          <w:rFonts w:ascii="Times New Roman" w:hAnsi="Times New Roman" w:cs="Times New Roman"/>
          <w:b/>
          <w:bCs/>
          <w:sz w:val="24"/>
          <w:szCs w:val="24"/>
        </w:rPr>
      </w:pPr>
    </w:p>
    <w:p w:rsidR="0058497A" w:rsidRPr="00B072FD" w14:paraId="566156A8" w14:textId="77777777">
      <w:pPr>
        <w:pStyle w:val="HTMLPreformatted"/>
        <w:tabs>
          <w:tab w:val="clear" w:pos="4580"/>
        </w:tabs>
        <w:jc w:val="center"/>
        <w:rPr>
          <w:rFonts w:ascii="Times New Roman" w:hAnsi="Times New Roman" w:cs="Times New Roman"/>
          <w:b/>
          <w:bCs/>
          <w:sz w:val="24"/>
          <w:szCs w:val="24"/>
        </w:rPr>
      </w:pPr>
    </w:p>
    <w:p w:rsidR="00C9181F" w:rsidRPr="00B072FD" w:rsidP="00C9181F" w14:paraId="105CBD95" w14:textId="77777777">
      <w:pPr>
        <w:tabs>
          <w:tab w:val="left" w:pos="8730"/>
        </w:tabs>
        <w:ind w:left="4320"/>
        <w:rPr>
          <w:szCs w:val="24"/>
        </w:rPr>
      </w:pPr>
      <w:r w:rsidRPr="00B072FD">
        <w:rPr>
          <w:szCs w:val="24"/>
        </w:rPr>
        <w:t xml:space="preserve">Maureen R. Willis (0020847) </w:t>
      </w:r>
    </w:p>
    <w:p w:rsidR="00C9181F" w:rsidRPr="00B072FD" w:rsidP="00C9181F" w14:paraId="50E1BC71" w14:textId="77777777">
      <w:pPr>
        <w:tabs>
          <w:tab w:val="left" w:pos="8730"/>
        </w:tabs>
        <w:ind w:left="4320"/>
        <w:rPr>
          <w:szCs w:val="24"/>
        </w:rPr>
      </w:pPr>
      <w:r w:rsidRPr="00B072FD">
        <w:rPr>
          <w:szCs w:val="24"/>
        </w:rPr>
        <w:t>Ohio Consumers’ Counsel</w:t>
      </w:r>
    </w:p>
    <w:p w:rsidR="00C9181F" w:rsidRPr="00B072FD" w:rsidP="00C9181F" w14:paraId="5085004C" w14:textId="234D1154">
      <w:pPr>
        <w:tabs>
          <w:tab w:val="left" w:pos="8730"/>
        </w:tabs>
        <w:ind w:left="4320"/>
        <w:rPr>
          <w:szCs w:val="24"/>
        </w:rPr>
      </w:pPr>
      <w:r w:rsidRPr="00B072FD">
        <w:rPr>
          <w:i/>
          <w:szCs w:val="24"/>
        </w:rPr>
        <w:br/>
      </w:r>
      <w:r w:rsidRPr="00B072FD">
        <w:rPr>
          <w:szCs w:val="24"/>
        </w:rPr>
        <w:t xml:space="preserve">William J. Michael (0070921) </w:t>
      </w:r>
      <w:r w:rsidRPr="00B072FD">
        <w:rPr>
          <w:szCs w:val="24"/>
        </w:rPr>
        <w:br/>
        <w:t>Counsel of Record</w:t>
      </w:r>
    </w:p>
    <w:p w:rsidR="00C9181F" w:rsidRPr="00B072FD" w:rsidP="00C9181F" w14:paraId="196946BE" w14:textId="77777777">
      <w:pPr>
        <w:tabs>
          <w:tab w:val="left" w:pos="8730"/>
        </w:tabs>
        <w:ind w:left="4320"/>
        <w:rPr>
          <w:szCs w:val="24"/>
        </w:rPr>
      </w:pPr>
      <w:r w:rsidRPr="00B072FD">
        <w:rPr>
          <w:szCs w:val="24"/>
        </w:rPr>
        <w:t>Angela D. O’Brien (0097579)</w:t>
      </w:r>
    </w:p>
    <w:p w:rsidR="00C9181F" w:rsidRPr="00B072FD" w:rsidP="00C9181F" w14:paraId="76CBA669" w14:textId="77777777">
      <w:pPr>
        <w:tabs>
          <w:tab w:val="left" w:pos="8730"/>
        </w:tabs>
        <w:ind w:left="4320"/>
        <w:rPr>
          <w:szCs w:val="24"/>
        </w:rPr>
      </w:pPr>
      <w:r w:rsidRPr="00B072FD">
        <w:rPr>
          <w:szCs w:val="24"/>
        </w:rPr>
        <w:t>Deputy Consumers’ Counsel</w:t>
      </w:r>
    </w:p>
    <w:p w:rsidR="00C9181F" w:rsidRPr="00B072FD" w:rsidP="00C9181F" w14:paraId="7DBBFD9B" w14:textId="77777777">
      <w:pPr>
        <w:tabs>
          <w:tab w:val="left" w:pos="8730"/>
        </w:tabs>
        <w:ind w:left="4320"/>
        <w:rPr>
          <w:szCs w:val="24"/>
        </w:rPr>
      </w:pPr>
      <w:r w:rsidRPr="00B072FD">
        <w:rPr>
          <w:szCs w:val="24"/>
        </w:rPr>
        <w:t>Connor D. Semple (0101102)</w:t>
      </w:r>
      <w:r w:rsidRPr="00B072FD">
        <w:rPr>
          <w:szCs w:val="24"/>
        </w:rPr>
        <w:br/>
        <w:t>Donald J. Kral (0042091)</w:t>
      </w:r>
    </w:p>
    <w:p w:rsidR="00C9181F" w:rsidRPr="00B072FD" w:rsidP="00C9181F" w14:paraId="2FFD2011" w14:textId="77777777">
      <w:pPr>
        <w:tabs>
          <w:tab w:val="left" w:pos="8730"/>
        </w:tabs>
        <w:ind w:left="4320"/>
        <w:rPr>
          <w:szCs w:val="24"/>
        </w:rPr>
      </w:pPr>
      <w:r w:rsidRPr="00B072FD">
        <w:rPr>
          <w:szCs w:val="24"/>
        </w:rPr>
        <w:t>Assistant Consumers’ Counsel</w:t>
      </w:r>
    </w:p>
    <w:p w:rsidR="00C9181F" w:rsidRPr="00B072FD" w:rsidP="00C9181F" w14:paraId="1CC3F04A" w14:textId="77777777">
      <w:pPr>
        <w:tabs>
          <w:tab w:val="left" w:pos="8730"/>
        </w:tabs>
        <w:ind w:left="4320"/>
        <w:rPr>
          <w:szCs w:val="24"/>
        </w:rPr>
      </w:pPr>
    </w:p>
    <w:p w:rsidR="00C9181F" w:rsidRPr="00B072FD" w:rsidP="00C9181F" w14:paraId="23E5FEA2" w14:textId="77777777">
      <w:pPr>
        <w:tabs>
          <w:tab w:val="left" w:pos="8730"/>
        </w:tabs>
        <w:ind w:left="4320"/>
        <w:rPr>
          <w:b/>
          <w:bCs/>
          <w:szCs w:val="24"/>
        </w:rPr>
      </w:pPr>
      <w:r w:rsidRPr="00B072FD">
        <w:rPr>
          <w:b/>
          <w:bCs/>
          <w:szCs w:val="24"/>
        </w:rPr>
        <w:t>Office of the Ohio Consumers' Counsel</w:t>
      </w:r>
    </w:p>
    <w:p w:rsidR="00C9181F" w:rsidRPr="00B072FD" w:rsidP="00C9181F" w14:paraId="496645B9" w14:textId="77777777">
      <w:pPr>
        <w:tabs>
          <w:tab w:val="left" w:pos="8730"/>
        </w:tabs>
        <w:ind w:left="4320"/>
        <w:rPr>
          <w:szCs w:val="24"/>
        </w:rPr>
      </w:pPr>
      <w:r w:rsidRPr="00B072FD">
        <w:rPr>
          <w:szCs w:val="24"/>
        </w:rPr>
        <w:t>65 East State Street, Suite 700</w:t>
      </w:r>
    </w:p>
    <w:p w:rsidR="00C9181F" w:rsidRPr="00B072FD" w:rsidP="00C9181F" w14:paraId="738D9EE0" w14:textId="77777777">
      <w:pPr>
        <w:tabs>
          <w:tab w:val="left" w:pos="8730"/>
        </w:tabs>
        <w:ind w:left="4320"/>
        <w:rPr>
          <w:szCs w:val="24"/>
        </w:rPr>
      </w:pPr>
      <w:r w:rsidRPr="00B072FD">
        <w:rPr>
          <w:szCs w:val="24"/>
        </w:rPr>
        <w:t>Columbus, Ohio 43215</w:t>
      </w:r>
    </w:p>
    <w:p w:rsidR="00C9181F" w:rsidRPr="00B072FD" w:rsidP="00C9181F" w14:paraId="1B14DAF5" w14:textId="77777777">
      <w:pPr>
        <w:tabs>
          <w:tab w:val="left" w:pos="8730"/>
        </w:tabs>
        <w:ind w:left="4320"/>
        <w:rPr>
          <w:szCs w:val="24"/>
        </w:rPr>
      </w:pPr>
      <w:r w:rsidRPr="00B072FD">
        <w:rPr>
          <w:szCs w:val="24"/>
        </w:rPr>
        <w:t>Telephone: [Michael]: (614) 466-1291</w:t>
      </w:r>
    </w:p>
    <w:p w:rsidR="00C9181F" w:rsidRPr="00B072FD" w:rsidP="00C9181F" w14:paraId="0A20ABEB" w14:textId="77777777">
      <w:pPr>
        <w:tabs>
          <w:tab w:val="left" w:pos="8730"/>
        </w:tabs>
        <w:ind w:left="4320"/>
        <w:rPr>
          <w:szCs w:val="24"/>
        </w:rPr>
      </w:pPr>
      <w:r w:rsidRPr="00B072FD">
        <w:rPr>
          <w:szCs w:val="24"/>
        </w:rPr>
        <w:t>Telephone: [O’Brien]: (614) 466-9531</w:t>
      </w:r>
    </w:p>
    <w:p w:rsidR="00C9181F" w:rsidRPr="00B072FD" w:rsidP="00C9181F" w14:paraId="227011B7" w14:textId="77777777">
      <w:pPr>
        <w:tabs>
          <w:tab w:val="left" w:pos="8730"/>
        </w:tabs>
        <w:ind w:left="4320"/>
        <w:rPr>
          <w:szCs w:val="24"/>
        </w:rPr>
      </w:pPr>
      <w:r w:rsidRPr="00B072FD">
        <w:rPr>
          <w:szCs w:val="24"/>
        </w:rPr>
        <w:t>Telephone: [Semple]: (614) 466-9565</w:t>
      </w:r>
    </w:p>
    <w:p w:rsidR="00C9181F" w:rsidRPr="00B072FD" w:rsidP="00C9181F" w14:paraId="40646DED" w14:textId="45B077D3">
      <w:pPr>
        <w:tabs>
          <w:tab w:val="left" w:pos="8730"/>
        </w:tabs>
        <w:ind w:left="4320"/>
        <w:rPr>
          <w:szCs w:val="24"/>
        </w:rPr>
      </w:pPr>
      <w:r w:rsidRPr="00B072FD">
        <w:rPr>
          <w:szCs w:val="24"/>
        </w:rPr>
        <w:t>Telephone</w:t>
      </w:r>
      <w:r w:rsidRPr="00B072FD">
        <w:rPr>
          <w:szCs w:val="24"/>
        </w:rPr>
        <w:t>: [Kral]: (614) 466-9571</w:t>
      </w:r>
    </w:p>
    <w:p w:rsidR="00C9181F" w:rsidRPr="00B072FD" w:rsidP="00C9181F" w14:paraId="67D9EBC5" w14:textId="77777777">
      <w:pPr>
        <w:tabs>
          <w:tab w:val="left" w:pos="8730"/>
        </w:tabs>
        <w:ind w:left="4320"/>
        <w:rPr>
          <w:color w:val="0000FF"/>
          <w:szCs w:val="24"/>
        </w:rPr>
      </w:pPr>
      <w:hyperlink r:id="rId6" w:history="1">
        <w:r w:rsidRPr="00B072FD">
          <w:rPr>
            <w:rStyle w:val="Hyperlink"/>
            <w:szCs w:val="24"/>
          </w:rPr>
          <w:t>william.michael@occ.ohio.gov</w:t>
        </w:r>
      </w:hyperlink>
      <w:r w:rsidRPr="00B072FD">
        <w:rPr>
          <w:color w:val="0000FF"/>
          <w:szCs w:val="24"/>
        </w:rPr>
        <w:t xml:space="preserve"> </w:t>
      </w:r>
    </w:p>
    <w:p w:rsidR="00C9181F" w:rsidRPr="00B072FD" w:rsidP="00C9181F" w14:paraId="2E36DA21" w14:textId="77777777">
      <w:pPr>
        <w:tabs>
          <w:tab w:val="left" w:pos="8730"/>
        </w:tabs>
        <w:ind w:left="4320"/>
        <w:rPr>
          <w:rStyle w:val="Hyperlink"/>
          <w:szCs w:val="24"/>
        </w:rPr>
      </w:pPr>
      <w:hyperlink r:id="rId7" w:history="1">
        <w:r w:rsidRPr="00B072FD">
          <w:rPr>
            <w:rStyle w:val="Hyperlink"/>
            <w:szCs w:val="24"/>
          </w:rPr>
          <w:t>angela.obrien@occ.ohio.gove</w:t>
        </w:r>
      </w:hyperlink>
    </w:p>
    <w:p w:rsidR="00C9181F" w:rsidRPr="00B072FD" w:rsidP="00C9181F" w14:paraId="095AFD9B" w14:textId="77777777">
      <w:pPr>
        <w:tabs>
          <w:tab w:val="left" w:pos="8730"/>
        </w:tabs>
        <w:ind w:left="4320"/>
        <w:rPr>
          <w:rStyle w:val="Hyperlink"/>
          <w:szCs w:val="24"/>
        </w:rPr>
      </w:pPr>
      <w:hyperlink r:id="rId8" w:history="1">
        <w:r w:rsidRPr="00B072FD">
          <w:rPr>
            <w:rStyle w:val="Hyperlink"/>
            <w:szCs w:val="24"/>
          </w:rPr>
          <w:t>connor.semple@occ.ohio.gov</w:t>
        </w:r>
      </w:hyperlink>
    </w:p>
    <w:p w:rsidR="00C9181F" w:rsidRPr="00B072FD" w:rsidP="00C9181F" w14:paraId="02BFE014" w14:textId="77777777">
      <w:pPr>
        <w:tabs>
          <w:tab w:val="left" w:pos="8730"/>
        </w:tabs>
        <w:ind w:left="4320"/>
        <w:rPr>
          <w:rStyle w:val="Hyperlink"/>
          <w:szCs w:val="24"/>
        </w:rPr>
      </w:pPr>
      <w:r w:rsidRPr="00B072FD">
        <w:rPr>
          <w:rStyle w:val="Hyperlink"/>
          <w:szCs w:val="24"/>
        </w:rPr>
        <w:t>donald.kral@occ.ohio.gov</w:t>
      </w:r>
    </w:p>
    <w:p w:rsidR="00C9181F" w:rsidRPr="00B072FD" w:rsidP="007F6194" w14:paraId="50197ABE" w14:textId="710B36C8">
      <w:pPr>
        <w:tabs>
          <w:tab w:val="left" w:pos="8730"/>
        </w:tabs>
        <w:ind w:left="4320" w:hanging="4320"/>
        <w:rPr>
          <w:rFonts w:eastAsia="Courier New"/>
          <w:b/>
          <w:bCs/>
          <w:szCs w:val="24"/>
        </w:rPr>
      </w:pPr>
      <w:r w:rsidRPr="00B072FD">
        <w:rPr>
          <w:szCs w:val="24"/>
        </w:rPr>
        <w:t xml:space="preserve">October </w:t>
      </w:r>
      <w:r w:rsidRPr="00B072FD" w:rsidR="00A456BF">
        <w:rPr>
          <w:szCs w:val="24"/>
        </w:rPr>
        <w:t>10</w:t>
      </w:r>
      <w:r w:rsidRPr="00B072FD">
        <w:rPr>
          <w:szCs w:val="24"/>
        </w:rPr>
        <w:t>, 2023</w:t>
      </w:r>
      <w:r w:rsidRPr="00B072FD">
        <w:rPr>
          <w:szCs w:val="24"/>
        </w:rPr>
        <w:tab/>
      </w:r>
      <w:r w:rsidRPr="00B072FD">
        <w:rPr>
          <w:szCs w:val="24"/>
        </w:rPr>
        <w:t xml:space="preserve">(willing to accept service by e-mail) </w:t>
      </w:r>
    </w:p>
    <w:p w:rsidR="00F675C4" w:rsidRPr="00B072FD" w:rsidP="00C9181F" w14:paraId="58A0E36C" w14:textId="77777777">
      <w:pPr>
        <w:tabs>
          <w:tab w:val="left" w:pos="802"/>
        </w:tabs>
        <w:rPr>
          <w:szCs w:val="24"/>
        </w:rPr>
        <w:sectPr w:rsidSect="009B01C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65"/>
        </w:sectPr>
      </w:pPr>
      <w:r w:rsidRPr="00B072FD">
        <w:rPr>
          <w:szCs w:val="24"/>
        </w:rPr>
        <w:tab/>
      </w:r>
    </w:p>
    <w:p w:rsidR="00F675C4" w:rsidRPr="00B072FD" w:rsidP="00F675C4" w14:paraId="295A64CC" w14:textId="77777777">
      <w:pPr>
        <w:jc w:val="center"/>
        <w:rPr>
          <w:b/>
          <w:bCs/>
          <w:szCs w:val="24"/>
          <w:u w:val="single"/>
        </w:rPr>
      </w:pPr>
      <w:r w:rsidRPr="00B072FD">
        <w:rPr>
          <w:b/>
          <w:bCs/>
          <w:szCs w:val="24"/>
          <w:u w:val="single"/>
        </w:rPr>
        <w:t>TABLE OF CONTENTS</w:t>
      </w:r>
    </w:p>
    <w:p w:rsidR="00F675C4" w:rsidRPr="00B072FD" w:rsidP="00F675C4" w14:paraId="0BD9B430" w14:textId="77777777">
      <w:pPr>
        <w:jc w:val="center"/>
        <w:rPr>
          <w:b/>
          <w:bCs/>
          <w:szCs w:val="24"/>
          <w:u w:val="single"/>
        </w:rPr>
      </w:pPr>
    </w:p>
    <w:p w:rsidR="00F675C4" w:rsidRPr="00B072FD" w:rsidP="00F675C4" w14:paraId="39E25341" w14:textId="77777777">
      <w:pPr>
        <w:jc w:val="right"/>
        <w:rPr>
          <w:b/>
          <w:bCs/>
          <w:szCs w:val="24"/>
        </w:rPr>
      </w:pPr>
      <w:r w:rsidRPr="00B072FD">
        <w:rPr>
          <w:b/>
          <w:bCs/>
          <w:szCs w:val="24"/>
        </w:rPr>
        <w:t>PAGE</w:t>
      </w:r>
    </w:p>
    <w:p w:rsidR="00F675C4" w:rsidRPr="00B072FD" w:rsidP="00F675C4" w14:paraId="3AA0B8D5" w14:textId="77777777">
      <w:pPr>
        <w:jc w:val="right"/>
        <w:rPr>
          <w:b/>
          <w:bCs/>
          <w:szCs w:val="24"/>
        </w:rPr>
      </w:pPr>
    </w:p>
    <w:p w:rsidR="000D46F4" w14:paraId="1FE9C6AB" w14:textId="71A08BBA">
      <w:pPr>
        <w:pStyle w:val="TOC1"/>
        <w:rPr>
          <w:rFonts w:asciiTheme="minorHAnsi" w:eastAsiaTheme="minorEastAsia" w:hAnsiTheme="minorHAnsi" w:cstheme="minorBidi"/>
          <w:caps w:val="0"/>
          <w:noProof/>
          <w:kern w:val="2"/>
          <w:sz w:val="22"/>
          <w:szCs w:val="22"/>
          <w14:ligatures w14:val="standardContextual"/>
        </w:rPr>
      </w:pPr>
      <w:r w:rsidRPr="00B072FD">
        <w:rPr>
          <w:b/>
        </w:rPr>
        <w:fldChar w:fldCharType="begin"/>
      </w:r>
      <w:r w:rsidRPr="00B072FD">
        <w:rPr>
          <w:b/>
        </w:rPr>
        <w:instrText xml:space="preserve"> TOC \o "1-3" \h \z \u </w:instrText>
      </w:r>
      <w:r w:rsidRPr="00B072FD">
        <w:rPr>
          <w:b/>
        </w:rPr>
        <w:fldChar w:fldCharType="separate"/>
      </w:r>
      <w:hyperlink w:anchor="_Toc147821839" w:history="1">
        <w:r w:rsidRPr="00791400">
          <w:rPr>
            <w:rStyle w:val="Hyperlink"/>
            <w:noProof/>
          </w:rPr>
          <w:t>I.</w:t>
        </w:r>
        <w:r>
          <w:rPr>
            <w:rFonts w:asciiTheme="minorHAnsi" w:eastAsiaTheme="minorEastAsia" w:hAnsiTheme="minorHAnsi" w:cstheme="minorBidi"/>
            <w:caps w:val="0"/>
            <w:noProof/>
            <w:kern w:val="2"/>
            <w:sz w:val="22"/>
            <w:szCs w:val="22"/>
            <w14:ligatures w14:val="standardContextual"/>
          </w:rPr>
          <w:tab/>
        </w:r>
        <w:r w:rsidRPr="00791400">
          <w:rPr>
            <w:rStyle w:val="Hyperlink"/>
            <w:noProof/>
          </w:rPr>
          <w:t>INTRODUCTION</w:t>
        </w:r>
        <w:r>
          <w:rPr>
            <w:noProof/>
            <w:webHidden/>
          </w:rPr>
          <w:tab/>
        </w:r>
        <w:r>
          <w:rPr>
            <w:noProof/>
            <w:webHidden/>
          </w:rPr>
          <w:fldChar w:fldCharType="begin"/>
        </w:r>
        <w:r>
          <w:rPr>
            <w:noProof/>
            <w:webHidden/>
          </w:rPr>
          <w:instrText xml:space="preserve"> PAGEREF _Toc147821839 \h </w:instrText>
        </w:r>
        <w:r>
          <w:rPr>
            <w:noProof/>
            <w:webHidden/>
          </w:rPr>
          <w:fldChar w:fldCharType="separate"/>
        </w:r>
        <w:r>
          <w:rPr>
            <w:noProof/>
            <w:webHidden/>
          </w:rPr>
          <w:t>1</w:t>
        </w:r>
        <w:r>
          <w:rPr>
            <w:noProof/>
            <w:webHidden/>
          </w:rPr>
          <w:fldChar w:fldCharType="end"/>
        </w:r>
      </w:hyperlink>
    </w:p>
    <w:p w:rsidR="000D46F4" w14:paraId="667757D9" w14:textId="294D24C6">
      <w:pPr>
        <w:pStyle w:val="TOC1"/>
        <w:rPr>
          <w:rFonts w:asciiTheme="minorHAnsi" w:eastAsiaTheme="minorEastAsia" w:hAnsiTheme="minorHAnsi" w:cstheme="minorBidi"/>
          <w:caps w:val="0"/>
          <w:noProof/>
          <w:kern w:val="2"/>
          <w:sz w:val="22"/>
          <w:szCs w:val="22"/>
          <w14:ligatures w14:val="standardContextual"/>
        </w:rPr>
      </w:pPr>
      <w:hyperlink w:anchor="_Toc147821840" w:history="1">
        <w:r w:rsidRPr="00791400">
          <w:rPr>
            <w:rStyle w:val="Hyperlink"/>
            <w:noProof/>
          </w:rPr>
          <w:t xml:space="preserve">II. </w:t>
        </w:r>
        <w:r>
          <w:rPr>
            <w:rFonts w:asciiTheme="minorHAnsi" w:eastAsiaTheme="minorEastAsia" w:hAnsiTheme="minorHAnsi" w:cstheme="minorBidi"/>
            <w:caps w:val="0"/>
            <w:noProof/>
            <w:kern w:val="2"/>
            <w:sz w:val="22"/>
            <w:szCs w:val="22"/>
            <w14:ligatures w14:val="standardContextual"/>
          </w:rPr>
          <w:tab/>
        </w:r>
        <w:r w:rsidRPr="00791400">
          <w:rPr>
            <w:rStyle w:val="Hyperlink"/>
            <w:noProof/>
          </w:rPr>
          <w:t>LAW AND ARGUMENT</w:t>
        </w:r>
        <w:r>
          <w:rPr>
            <w:noProof/>
            <w:webHidden/>
          </w:rPr>
          <w:tab/>
        </w:r>
        <w:r>
          <w:rPr>
            <w:noProof/>
            <w:webHidden/>
          </w:rPr>
          <w:fldChar w:fldCharType="begin"/>
        </w:r>
        <w:r>
          <w:rPr>
            <w:noProof/>
            <w:webHidden/>
          </w:rPr>
          <w:instrText xml:space="preserve"> PAGEREF _Toc147821840 \h </w:instrText>
        </w:r>
        <w:r>
          <w:rPr>
            <w:noProof/>
            <w:webHidden/>
          </w:rPr>
          <w:fldChar w:fldCharType="separate"/>
        </w:r>
        <w:r>
          <w:rPr>
            <w:noProof/>
            <w:webHidden/>
          </w:rPr>
          <w:t>2</w:t>
        </w:r>
        <w:r>
          <w:rPr>
            <w:noProof/>
            <w:webHidden/>
          </w:rPr>
          <w:fldChar w:fldCharType="end"/>
        </w:r>
      </w:hyperlink>
    </w:p>
    <w:p w:rsidR="000D46F4" w14:paraId="0B7215D9" w14:textId="44118B19">
      <w:pPr>
        <w:pStyle w:val="TOC2"/>
        <w:rPr>
          <w:rFonts w:asciiTheme="minorHAnsi" w:eastAsiaTheme="minorEastAsia" w:hAnsiTheme="minorHAnsi" w:cstheme="minorBidi"/>
          <w:noProof/>
          <w:kern w:val="2"/>
          <w:sz w:val="22"/>
          <w:szCs w:val="22"/>
          <w14:ligatures w14:val="standardContextual"/>
        </w:rPr>
      </w:pPr>
      <w:hyperlink w:anchor="_Toc147821841" w:history="1">
        <w:r w:rsidRPr="00791400">
          <w:rPr>
            <w:rStyle w:val="Hyperlink"/>
            <w:noProof/>
          </w:rPr>
          <w:t>A.</w:t>
        </w:r>
        <w:r>
          <w:rPr>
            <w:rFonts w:asciiTheme="minorHAnsi" w:eastAsiaTheme="minorEastAsia" w:hAnsiTheme="minorHAnsi" w:cstheme="minorBidi"/>
            <w:noProof/>
            <w:kern w:val="2"/>
            <w:sz w:val="22"/>
            <w:szCs w:val="22"/>
            <w14:ligatures w14:val="standardContextual"/>
          </w:rPr>
          <w:tab/>
        </w:r>
        <w:r w:rsidRPr="00791400">
          <w:rPr>
            <w:rStyle w:val="Hyperlink"/>
            <w:noProof/>
          </w:rPr>
          <w:t>Joe Buckley’s testimony regarding return on equity is relevant to whether the stipulation meets the PUCO’s three-prong standard for approving settlements. AEP Ohio’s claims to the contrary should be rejected.</w:t>
        </w:r>
        <w:r>
          <w:rPr>
            <w:noProof/>
            <w:webHidden/>
          </w:rPr>
          <w:tab/>
        </w:r>
        <w:r>
          <w:rPr>
            <w:noProof/>
            <w:webHidden/>
          </w:rPr>
          <w:fldChar w:fldCharType="begin"/>
        </w:r>
        <w:r>
          <w:rPr>
            <w:noProof/>
            <w:webHidden/>
          </w:rPr>
          <w:instrText xml:space="preserve"> PAGEREF _Toc147821841 \h </w:instrText>
        </w:r>
        <w:r>
          <w:rPr>
            <w:noProof/>
            <w:webHidden/>
          </w:rPr>
          <w:fldChar w:fldCharType="separate"/>
        </w:r>
        <w:r>
          <w:rPr>
            <w:noProof/>
            <w:webHidden/>
          </w:rPr>
          <w:t>2</w:t>
        </w:r>
        <w:r>
          <w:rPr>
            <w:noProof/>
            <w:webHidden/>
          </w:rPr>
          <w:fldChar w:fldCharType="end"/>
        </w:r>
      </w:hyperlink>
    </w:p>
    <w:p w:rsidR="000D46F4" w14:paraId="32BCDC88" w14:textId="244C2463">
      <w:pPr>
        <w:pStyle w:val="TOC2"/>
        <w:rPr>
          <w:rFonts w:asciiTheme="minorHAnsi" w:eastAsiaTheme="minorEastAsia" w:hAnsiTheme="minorHAnsi" w:cstheme="minorBidi"/>
          <w:noProof/>
          <w:kern w:val="2"/>
          <w:sz w:val="22"/>
          <w:szCs w:val="22"/>
          <w14:ligatures w14:val="standardContextual"/>
        </w:rPr>
      </w:pPr>
      <w:hyperlink w:anchor="_Toc147821842" w:history="1">
        <w:r w:rsidRPr="00791400">
          <w:rPr>
            <w:rStyle w:val="Hyperlink"/>
            <w:noProof/>
          </w:rPr>
          <w:t>B.</w:t>
        </w:r>
        <w:r>
          <w:rPr>
            <w:rFonts w:asciiTheme="minorHAnsi" w:eastAsiaTheme="minorEastAsia" w:hAnsiTheme="minorHAnsi" w:cstheme="minorBidi"/>
            <w:noProof/>
            <w:kern w:val="2"/>
            <w:sz w:val="22"/>
            <w:szCs w:val="22"/>
            <w14:ligatures w14:val="standardContextual"/>
          </w:rPr>
          <w:tab/>
        </w:r>
        <w:r w:rsidRPr="00791400">
          <w:rPr>
            <w:rStyle w:val="Hyperlink"/>
            <w:noProof/>
          </w:rPr>
          <w:t>Andrew Tinkham’s expert testimony about the abnormally high disconnection rate of AEP Ohio compared to Ohio’s other electric distribution utilities is relevant, admissible, and essential expert testimony important for consumer protection. The PUCO should reject AEP Ohio’s attempts to exclude it.</w:t>
        </w:r>
        <w:r>
          <w:rPr>
            <w:noProof/>
            <w:webHidden/>
          </w:rPr>
          <w:tab/>
        </w:r>
        <w:r>
          <w:rPr>
            <w:noProof/>
            <w:webHidden/>
          </w:rPr>
          <w:fldChar w:fldCharType="begin"/>
        </w:r>
        <w:r>
          <w:rPr>
            <w:noProof/>
            <w:webHidden/>
          </w:rPr>
          <w:instrText xml:space="preserve"> PAGEREF _Toc147821842 \h </w:instrText>
        </w:r>
        <w:r>
          <w:rPr>
            <w:noProof/>
            <w:webHidden/>
          </w:rPr>
          <w:fldChar w:fldCharType="separate"/>
        </w:r>
        <w:r>
          <w:rPr>
            <w:noProof/>
            <w:webHidden/>
          </w:rPr>
          <w:t>5</w:t>
        </w:r>
        <w:r>
          <w:rPr>
            <w:noProof/>
            <w:webHidden/>
          </w:rPr>
          <w:fldChar w:fldCharType="end"/>
        </w:r>
      </w:hyperlink>
    </w:p>
    <w:p w:rsidR="000D46F4" w14:paraId="126517D0" w14:textId="167DB8FC">
      <w:pPr>
        <w:pStyle w:val="TOC2"/>
        <w:rPr>
          <w:rFonts w:asciiTheme="minorHAnsi" w:eastAsiaTheme="minorEastAsia" w:hAnsiTheme="minorHAnsi" w:cstheme="minorBidi"/>
          <w:noProof/>
          <w:kern w:val="2"/>
          <w:sz w:val="22"/>
          <w:szCs w:val="22"/>
          <w14:ligatures w14:val="standardContextual"/>
        </w:rPr>
      </w:pPr>
      <w:hyperlink w:anchor="_Toc147821843" w:history="1">
        <w:r w:rsidRPr="00791400">
          <w:rPr>
            <w:rStyle w:val="Hyperlink"/>
            <w:noProof/>
          </w:rPr>
          <w:t>C.</w:t>
        </w:r>
        <w:r>
          <w:rPr>
            <w:rFonts w:asciiTheme="minorHAnsi" w:eastAsiaTheme="minorEastAsia" w:hAnsiTheme="minorHAnsi" w:cstheme="minorBidi"/>
            <w:noProof/>
            <w:kern w:val="2"/>
            <w:sz w:val="22"/>
            <w:szCs w:val="22"/>
            <w14:ligatures w14:val="standardContextual"/>
          </w:rPr>
          <w:tab/>
        </w:r>
        <w:r w:rsidRPr="00791400">
          <w:rPr>
            <w:rStyle w:val="Hyperlink"/>
            <w:noProof/>
          </w:rPr>
          <w:t>The PUCO is not required to strictly follow the rules of evidence and can appropriately weigh the evidence without striking it from the record.</w:t>
        </w:r>
        <w:r>
          <w:rPr>
            <w:noProof/>
            <w:webHidden/>
          </w:rPr>
          <w:tab/>
        </w:r>
        <w:r>
          <w:rPr>
            <w:noProof/>
            <w:webHidden/>
          </w:rPr>
          <w:fldChar w:fldCharType="begin"/>
        </w:r>
        <w:r>
          <w:rPr>
            <w:noProof/>
            <w:webHidden/>
          </w:rPr>
          <w:instrText xml:space="preserve"> PAGEREF _Toc147821843 \h </w:instrText>
        </w:r>
        <w:r>
          <w:rPr>
            <w:noProof/>
            <w:webHidden/>
          </w:rPr>
          <w:fldChar w:fldCharType="separate"/>
        </w:r>
        <w:r>
          <w:rPr>
            <w:noProof/>
            <w:webHidden/>
          </w:rPr>
          <w:t>11</w:t>
        </w:r>
        <w:r>
          <w:rPr>
            <w:noProof/>
            <w:webHidden/>
          </w:rPr>
          <w:fldChar w:fldCharType="end"/>
        </w:r>
      </w:hyperlink>
    </w:p>
    <w:p w:rsidR="000D46F4" w14:paraId="4B4F4833" w14:textId="5B83AA24">
      <w:pPr>
        <w:pStyle w:val="TOC2"/>
        <w:rPr>
          <w:rFonts w:asciiTheme="minorHAnsi" w:eastAsiaTheme="minorEastAsia" w:hAnsiTheme="minorHAnsi" w:cstheme="minorBidi"/>
          <w:noProof/>
          <w:kern w:val="2"/>
          <w:sz w:val="22"/>
          <w:szCs w:val="22"/>
          <w14:ligatures w14:val="standardContextual"/>
        </w:rPr>
      </w:pPr>
      <w:hyperlink w:anchor="_Toc147821844" w:history="1">
        <w:r w:rsidRPr="00791400">
          <w:rPr>
            <w:rStyle w:val="Hyperlink"/>
            <w:noProof/>
          </w:rPr>
          <w:t>D.</w:t>
        </w:r>
        <w:r>
          <w:rPr>
            <w:rFonts w:asciiTheme="minorHAnsi" w:eastAsiaTheme="minorEastAsia" w:hAnsiTheme="minorHAnsi" w:cstheme="minorBidi"/>
            <w:noProof/>
            <w:kern w:val="2"/>
            <w:sz w:val="22"/>
            <w:szCs w:val="22"/>
            <w14:ligatures w14:val="standardContextual"/>
          </w:rPr>
          <w:tab/>
        </w:r>
        <w:r w:rsidRPr="00791400">
          <w:rPr>
            <w:rStyle w:val="Hyperlink"/>
            <w:noProof/>
          </w:rPr>
          <w:t>For consumer protection, expert witness Andrew Tinkham’s testimony regarding health and safety concerns associated with the disconnection of electricity consumers should not be stricken.</w:t>
        </w:r>
        <w:r>
          <w:rPr>
            <w:noProof/>
            <w:webHidden/>
          </w:rPr>
          <w:tab/>
        </w:r>
        <w:r>
          <w:rPr>
            <w:noProof/>
            <w:webHidden/>
          </w:rPr>
          <w:fldChar w:fldCharType="begin"/>
        </w:r>
        <w:r>
          <w:rPr>
            <w:noProof/>
            <w:webHidden/>
          </w:rPr>
          <w:instrText xml:space="preserve"> PAGEREF _Toc147821844 \h </w:instrText>
        </w:r>
        <w:r>
          <w:rPr>
            <w:noProof/>
            <w:webHidden/>
          </w:rPr>
          <w:fldChar w:fldCharType="separate"/>
        </w:r>
        <w:r>
          <w:rPr>
            <w:noProof/>
            <w:webHidden/>
          </w:rPr>
          <w:t>13</w:t>
        </w:r>
        <w:r>
          <w:rPr>
            <w:noProof/>
            <w:webHidden/>
          </w:rPr>
          <w:fldChar w:fldCharType="end"/>
        </w:r>
      </w:hyperlink>
    </w:p>
    <w:p w:rsidR="000D46F4" w14:paraId="3B91AADD" w14:textId="5640C0DF">
      <w:pPr>
        <w:pStyle w:val="TOC2"/>
        <w:rPr>
          <w:rFonts w:asciiTheme="minorHAnsi" w:eastAsiaTheme="minorEastAsia" w:hAnsiTheme="minorHAnsi" w:cstheme="minorBidi"/>
          <w:noProof/>
          <w:kern w:val="2"/>
          <w:sz w:val="22"/>
          <w:szCs w:val="22"/>
          <w14:ligatures w14:val="standardContextual"/>
        </w:rPr>
      </w:pPr>
      <w:hyperlink w:anchor="_Toc147821845" w:history="1">
        <w:r w:rsidRPr="00791400">
          <w:rPr>
            <w:rStyle w:val="Hyperlink"/>
            <w:noProof/>
          </w:rPr>
          <w:t>E.</w:t>
        </w:r>
        <w:r>
          <w:rPr>
            <w:rFonts w:asciiTheme="minorHAnsi" w:eastAsiaTheme="minorEastAsia" w:hAnsiTheme="minorHAnsi" w:cstheme="minorBidi"/>
            <w:noProof/>
            <w:kern w:val="2"/>
            <w:sz w:val="22"/>
            <w:szCs w:val="22"/>
            <w14:ligatures w14:val="standardContextual"/>
          </w:rPr>
          <w:tab/>
        </w:r>
        <w:r w:rsidRPr="00791400">
          <w:rPr>
            <w:rStyle w:val="Hyperlink"/>
            <w:noProof/>
          </w:rPr>
          <w:t>Expert witness Andrew Tinkham’s testimony regarding the failure of the Settlement to address the more than double charges to AEP Ohio PIPP consumers compared to the amount an SSO consumer paid is directly relevant to this action and not a “collateral” attack on prior PUCO Orders. Such testimony is necessary for consumer protection.</w:t>
        </w:r>
        <w:r>
          <w:rPr>
            <w:noProof/>
            <w:webHidden/>
          </w:rPr>
          <w:tab/>
        </w:r>
        <w:r>
          <w:rPr>
            <w:noProof/>
            <w:webHidden/>
          </w:rPr>
          <w:fldChar w:fldCharType="begin"/>
        </w:r>
        <w:r>
          <w:rPr>
            <w:noProof/>
            <w:webHidden/>
          </w:rPr>
          <w:instrText xml:space="preserve"> PAGEREF _Toc147821845 \h </w:instrText>
        </w:r>
        <w:r>
          <w:rPr>
            <w:noProof/>
            <w:webHidden/>
          </w:rPr>
          <w:fldChar w:fldCharType="separate"/>
        </w:r>
        <w:r>
          <w:rPr>
            <w:noProof/>
            <w:webHidden/>
          </w:rPr>
          <w:t>15</w:t>
        </w:r>
        <w:r>
          <w:rPr>
            <w:noProof/>
            <w:webHidden/>
          </w:rPr>
          <w:fldChar w:fldCharType="end"/>
        </w:r>
      </w:hyperlink>
    </w:p>
    <w:p w:rsidR="000D46F4" w14:paraId="5E54AE0F" w14:textId="18EB1F6D">
      <w:pPr>
        <w:pStyle w:val="TOC1"/>
        <w:rPr>
          <w:rFonts w:asciiTheme="minorHAnsi" w:eastAsiaTheme="minorEastAsia" w:hAnsiTheme="minorHAnsi" w:cstheme="minorBidi"/>
          <w:caps w:val="0"/>
          <w:noProof/>
          <w:kern w:val="2"/>
          <w:sz w:val="22"/>
          <w:szCs w:val="22"/>
          <w14:ligatures w14:val="standardContextual"/>
        </w:rPr>
      </w:pPr>
      <w:hyperlink w:anchor="_Toc147821846" w:history="1">
        <w:r w:rsidRPr="00791400">
          <w:rPr>
            <w:rStyle w:val="Hyperlink"/>
            <w:noProof/>
          </w:rPr>
          <w:t>III.</w:t>
        </w:r>
        <w:r>
          <w:rPr>
            <w:rFonts w:asciiTheme="minorHAnsi" w:eastAsiaTheme="minorEastAsia" w:hAnsiTheme="minorHAnsi" w:cstheme="minorBidi"/>
            <w:caps w:val="0"/>
            <w:noProof/>
            <w:kern w:val="2"/>
            <w:sz w:val="22"/>
            <w:szCs w:val="22"/>
            <w14:ligatures w14:val="standardContextual"/>
          </w:rPr>
          <w:tab/>
        </w:r>
        <w:r w:rsidRPr="00791400">
          <w:rPr>
            <w:rStyle w:val="Hyperlink"/>
            <w:noProof/>
          </w:rPr>
          <w:t>CONCLUSION</w:t>
        </w:r>
        <w:r>
          <w:rPr>
            <w:noProof/>
            <w:webHidden/>
          </w:rPr>
          <w:tab/>
        </w:r>
        <w:r>
          <w:rPr>
            <w:noProof/>
            <w:webHidden/>
          </w:rPr>
          <w:fldChar w:fldCharType="begin"/>
        </w:r>
        <w:r>
          <w:rPr>
            <w:noProof/>
            <w:webHidden/>
          </w:rPr>
          <w:instrText xml:space="preserve"> PAGEREF _Toc147821846 \h </w:instrText>
        </w:r>
        <w:r>
          <w:rPr>
            <w:noProof/>
            <w:webHidden/>
          </w:rPr>
          <w:fldChar w:fldCharType="separate"/>
        </w:r>
        <w:r>
          <w:rPr>
            <w:noProof/>
            <w:webHidden/>
          </w:rPr>
          <w:t>17</w:t>
        </w:r>
        <w:r>
          <w:rPr>
            <w:noProof/>
            <w:webHidden/>
          </w:rPr>
          <w:fldChar w:fldCharType="end"/>
        </w:r>
      </w:hyperlink>
    </w:p>
    <w:p w:rsidR="00C9181F" w:rsidRPr="00B072FD" w:rsidP="00F675C4" w14:paraId="1CE551A5" w14:textId="71A6641E">
      <w:pPr>
        <w:tabs>
          <w:tab w:val="left" w:pos="802"/>
        </w:tabs>
        <w:rPr>
          <w:szCs w:val="24"/>
        </w:rPr>
        <w:sectPr w:rsidSect="00F675C4">
          <w:footerReference w:type="first" r:id="rId15"/>
          <w:pgSz w:w="12240" w:h="15840"/>
          <w:pgMar w:top="1440" w:right="1800" w:bottom="1440" w:left="1800" w:header="720" w:footer="720" w:gutter="0"/>
          <w:pgNumType w:fmt="lowerRoman" w:start="1"/>
          <w:cols w:space="720"/>
          <w:titlePg/>
          <w:docGrid w:linePitch="65"/>
        </w:sectPr>
      </w:pPr>
      <w:r w:rsidRPr="00B072FD">
        <w:rPr>
          <w:szCs w:val="24"/>
        </w:rPr>
        <w:fldChar w:fldCharType="end"/>
      </w:r>
    </w:p>
    <w:p w:rsidR="00964DA7" w:rsidRPr="00B072FD" w14:paraId="457F08B5" w14:textId="4C73B2F8">
      <w:pPr>
        <w:pStyle w:val="HTMLPreformatted"/>
        <w:tabs>
          <w:tab w:val="clear" w:pos="4580"/>
        </w:tabs>
        <w:jc w:val="center"/>
        <w:rPr>
          <w:rFonts w:ascii="Times New Roman" w:hAnsi="Times New Roman" w:cs="Times New Roman"/>
          <w:b/>
          <w:bCs/>
          <w:sz w:val="24"/>
          <w:szCs w:val="24"/>
        </w:rPr>
      </w:pPr>
      <w:r w:rsidRPr="00B072FD">
        <w:rPr>
          <w:rFonts w:ascii="Times New Roman" w:hAnsi="Times New Roman" w:cs="Times New Roman"/>
          <w:b/>
          <w:bCs/>
          <w:sz w:val="24"/>
          <w:szCs w:val="24"/>
        </w:rPr>
        <w:t>BEFORE</w:t>
      </w:r>
    </w:p>
    <w:p w:rsidR="00964DA7" w:rsidRPr="00B072FD" w14:paraId="357DEC89" w14:textId="77777777">
      <w:pPr>
        <w:pStyle w:val="HTMLPreformatted"/>
        <w:jc w:val="center"/>
        <w:rPr>
          <w:rFonts w:ascii="Times New Roman" w:hAnsi="Times New Roman" w:cs="Times New Roman"/>
          <w:sz w:val="24"/>
          <w:szCs w:val="24"/>
        </w:rPr>
      </w:pPr>
      <w:r w:rsidRPr="00B072FD">
        <w:rPr>
          <w:rFonts w:ascii="Times New Roman" w:hAnsi="Times New Roman" w:cs="Times New Roman"/>
          <w:b/>
          <w:bCs/>
          <w:sz w:val="24"/>
          <w:szCs w:val="24"/>
        </w:rPr>
        <w:t>THE PUBLIC UTILITIES COMMISSION OF OHIO</w:t>
      </w:r>
    </w:p>
    <w:p w:rsidR="00FC1EF5" w:rsidRPr="00B072FD" w:rsidP="00FC1EF5" w14:paraId="4ABB3D66" w14:textId="77777777">
      <w:pPr>
        <w:pStyle w:val="HTMLPreformatted"/>
        <w:jc w:val="center"/>
        <w:rPr>
          <w:rFonts w:ascii="Times New Roman" w:hAnsi="Times New Roman" w:cs="Times New Roman"/>
          <w:b/>
          <w:bCs/>
          <w:sz w:val="24"/>
          <w:szCs w:val="24"/>
        </w:rPr>
      </w:pPr>
      <w:r w:rsidRPr="00B072FD">
        <w:rPr>
          <w:rFonts w:ascii="Times New Roman" w:hAnsi="Times New Roman" w:cs="Times New Roman"/>
          <w:sz w:val="24"/>
          <w:szCs w:val="24"/>
        </w:rPr>
        <w:tab/>
      </w:r>
    </w:p>
    <w:tbl>
      <w:tblPr>
        <w:tblW w:w="8730" w:type="dxa"/>
        <w:tblInd w:w="-90" w:type="dxa"/>
        <w:tblCellMar>
          <w:top w:w="0" w:type="dxa"/>
          <w:left w:w="108" w:type="dxa"/>
          <w:bottom w:w="0" w:type="dxa"/>
          <w:right w:w="108" w:type="dxa"/>
        </w:tblCellMar>
        <w:tblLook w:val="01E0"/>
      </w:tblPr>
      <w:tblGrid>
        <w:gridCol w:w="4422"/>
        <w:gridCol w:w="360"/>
        <w:gridCol w:w="3948"/>
      </w:tblGrid>
      <w:tr w14:paraId="3D41A00A" w14:textId="77777777" w:rsidTr="00D37AD4">
        <w:tblPrEx>
          <w:tblW w:w="8730" w:type="dxa"/>
          <w:tblInd w:w="-90" w:type="dxa"/>
          <w:tblCellMar>
            <w:top w:w="0" w:type="dxa"/>
            <w:left w:w="108" w:type="dxa"/>
            <w:bottom w:w="0" w:type="dxa"/>
            <w:right w:w="108" w:type="dxa"/>
          </w:tblCellMar>
          <w:tblLook w:val="01E0"/>
        </w:tblPrEx>
        <w:trPr>
          <w:trHeight w:val="807"/>
        </w:trPr>
        <w:tc>
          <w:tcPr>
            <w:tcW w:w="4422" w:type="dxa"/>
            <w:shd w:val="clear" w:color="auto" w:fill="auto"/>
          </w:tcPr>
          <w:p w:rsidR="00FC1EF5" w:rsidRPr="00B072FD" w:rsidP="00D37AD4" w14:paraId="0C2F572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FC1EF5" w:rsidRPr="00B072FD" w:rsidP="00D37AD4" w14:paraId="0F2E8E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FC1EF5" w:rsidRPr="00B072FD" w:rsidP="00D37AD4" w14:paraId="081C404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FC1EF5" w:rsidRPr="00B072FD" w:rsidP="00D37AD4" w14:paraId="3EDA9D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FC1EF5" w:rsidRPr="00B072FD" w:rsidP="00D37AD4" w14:paraId="63D8990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FC1EF5" w:rsidRPr="00B072FD" w:rsidP="00D37AD4" w14:paraId="077297F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tc>
        <w:tc>
          <w:tcPr>
            <w:tcW w:w="3948" w:type="dxa"/>
            <w:shd w:val="clear" w:color="auto" w:fill="auto"/>
          </w:tcPr>
          <w:p w:rsidR="00FC1EF5" w:rsidRPr="00B072FD" w:rsidP="00D37AD4" w14:paraId="523D18C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C1EF5" w:rsidRPr="00B072FD" w:rsidP="00D37AD4" w14:paraId="0CEC64A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C1EF5" w:rsidRPr="00B072FD" w:rsidP="00D37AD4" w14:paraId="63DE5D1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Case No. 23-23-EL-SSO</w:t>
            </w:r>
          </w:p>
          <w:p w:rsidR="00FC1EF5" w:rsidRPr="00B072FD" w:rsidP="00D37AD4" w14:paraId="64A72AC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FC1EF5" w:rsidRPr="00B072FD" w:rsidP="00D37AD4" w14:paraId="7C21F1A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FC1EF5" w:rsidRPr="00B072FD" w:rsidP="00FC1EF5" w14:paraId="19A574FB" w14:textId="77777777">
      <w:pPr>
        <w:pStyle w:val="HTMLPreformatted"/>
        <w:rPr>
          <w:rFonts w:ascii="Times New Roman" w:hAnsi="Times New Roman" w:cs="Times New Roman"/>
          <w:sz w:val="24"/>
          <w:szCs w:val="24"/>
        </w:rPr>
      </w:pPr>
    </w:p>
    <w:tbl>
      <w:tblPr>
        <w:tblW w:w="8748" w:type="dxa"/>
        <w:tblInd w:w="-90" w:type="dxa"/>
        <w:tblCellMar>
          <w:top w:w="0" w:type="dxa"/>
          <w:left w:w="108" w:type="dxa"/>
          <w:bottom w:w="0" w:type="dxa"/>
          <w:right w:w="108" w:type="dxa"/>
        </w:tblCellMar>
        <w:tblLook w:val="01E0"/>
      </w:tblPr>
      <w:tblGrid>
        <w:gridCol w:w="4410"/>
        <w:gridCol w:w="360"/>
        <w:gridCol w:w="3978"/>
      </w:tblGrid>
      <w:tr w14:paraId="224BA890" w14:textId="77777777" w:rsidTr="00D37AD4">
        <w:tblPrEx>
          <w:tblW w:w="8748" w:type="dxa"/>
          <w:tblInd w:w="-90" w:type="dxa"/>
          <w:tblCellMar>
            <w:top w:w="0" w:type="dxa"/>
            <w:left w:w="108" w:type="dxa"/>
            <w:bottom w:w="0" w:type="dxa"/>
            <w:right w:w="108" w:type="dxa"/>
          </w:tblCellMar>
          <w:tblLook w:val="01E0"/>
        </w:tblPrEx>
        <w:trPr>
          <w:trHeight w:val="807"/>
        </w:trPr>
        <w:tc>
          <w:tcPr>
            <w:tcW w:w="4410" w:type="dxa"/>
            <w:shd w:val="clear" w:color="auto" w:fill="auto"/>
          </w:tcPr>
          <w:p w:rsidR="00FC1EF5" w:rsidRPr="00B072FD" w:rsidP="00D37AD4" w14:paraId="7B85706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FC1EF5" w:rsidRPr="00B072FD" w:rsidP="00D37AD4" w14:paraId="4935707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FC1EF5" w:rsidRPr="00B072FD" w:rsidP="00D37AD4" w14:paraId="222756E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p w:rsidR="00FC1EF5" w:rsidRPr="00B072FD" w:rsidP="00D37AD4" w14:paraId="5A3C8F3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w:t>
            </w:r>
          </w:p>
        </w:tc>
        <w:tc>
          <w:tcPr>
            <w:tcW w:w="3978" w:type="dxa"/>
            <w:shd w:val="clear" w:color="auto" w:fill="auto"/>
          </w:tcPr>
          <w:p w:rsidR="00FC1EF5" w:rsidRPr="00B072FD" w:rsidP="00D37AD4" w14:paraId="604F01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p w:rsidR="00FC1EF5" w:rsidRPr="00B072FD" w:rsidP="00D37AD4" w14:paraId="51FA7BF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r w:rsidRPr="00B072FD">
              <w:rPr>
                <w:rFonts w:ascii="Times New Roman" w:eastAsia="Courier New" w:hAnsi="Times New Roman" w:cs="Times New Roman"/>
                <w:sz w:val="24"/>
                <w:szCs w:val="24"/>
                <w:lang w:val="en-US" w:eastAsia="en-US" w:bidi="ar-SA"/>
              </w:rPr>
              <w:t>Case No. 23-24-EL-AAM</w:t>
            </w:r>
          </w:p>
          <w:p w:rsidR="00FC1EF5" w:rsidRPr="00B072FD" w:rsidP="00D37AD4" w14:paraId="1173CB5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Pr>
                <w:rFonts w:ascii="Times New Roman" w:eastAsia="Courier New" w:hAnsi="Times New Roman" w:cs="Times New Roman"/>
                <w:sz w:val="24"/>
                <w:szCs w:val="24"/>
                <w:lang w:val="en-US" w:eastAsia="en-US" w:bidi="ar-SA"/>
              </w:rPr>
            </w:pPr>
          </w:p>
        </w:tc>
      </w:tr>
    </w:tbl>
    <w:p w:rsidR="00964DA7" w:rsidRPr="00B072FD" w14:paraId="3AE80302" w14:textId="4B8E5063">
      <w:pPr>
        <w:pStyle w:val="HTMLPreformatted"/>
        <w:rPr>
          <w:rFonts w:ascii="Times New Roman" w:hAnsi="Times New Roman" w:cs="Times New Roman"/>
          <w:sz w:val="24"/>
          <w:szCs w:val="24"/>
        </w:rPr>
      </w:pPr>
    </w:p>
    <w:p w:rsidR="00964DA7" w:rsidRPr="00B072FD" w14:paraId="51D65FA0" w14:textId="77777777">
      <w:pPr>
        <w:pStyle w:val="HTMLPreformatted"/>
        <w:pBdr>
          <w:top w:val="single" w:sz="12" w:space="1" w:color="auto"/>
        </w:pBdr>
        <w:rPr>
          <w:rFonts w:ascii="Times New Roman" w:hAnsi="Times New Roman" w:cs="Times New Roman"/>
          <w:sz w:val="24"/>
          <w:szCs w:val="24"/>
        </w:rPr>
      </w:pPr>
    </w:p>
    <w:p w:rsidR="00F76094" w:rsidRPr="00B072FD" w:rsidP="00326174" w14:paraId="1AF9DA48" w14:textId="2F208242">
      <w:pPr>
        <w:jc w:val="center"/>
        <w:rPr>
          <w:b/>
          <w:bCs/>
          <w:szCs w:val="24"/>
        </w:rPr>
      </w:pPr>
      <w:r w:rsidRPr="00B072FD">
        <w:rPr>
          <w:b/>
          <w:bCs/>
          <w:szCs w:val="24"/>
        </w:rPr>
        <w:t>MEMORANDUM CONTR</w:t>
      </w:r>
      <w:r w:rsidRPr="00B072FD" w:rsidR="00143A3A">
        <w:rPr>
          <w:b/>
          <w:bCs/>
          <w:szCs w:val="24"/>
        </w:rPr>
        <w:t xml:space="preserve">A </w:t>
      </w:r>
      <w:r w:rsidRPr="00B072FD" w:rsidR="009B0F10">
        <w:rPr>
          <w:b/>
          <w:bCs/>
          <w:szCs w:val="24"/>
        </w:rPr>
        <w:t>AEP</w:t>
      </w:r>
      <w:r w:rsidR="0033187F">
        <w:rPr>
          <w:b/>
          <w:bCs/>
          <w:szCs w:val="24"/>
        </w:rPr>
        <w:t xml:space="preserve"> OHIO</w:t>
      </w:r>
      <w:r w:rsidRPr="00B072FD" w:rsidR="00B452C8">
        <w:rPr>
          <w:b/>
          <w:bCs/>
          <w:szCs w:val="24"/>
        </w:rPr>
        <w:t>’S</w:t>
      </w:r>
      <w:r w:rsidRPr="00B072FD" w:rsidR="00F7366F">
        <w:rPr>
          <w:b/>
          <w:bCs/>
          <w:szCs w:val="24"/>
        </w:rPr>
        <w:t xml:space="preserve"> MOTION TO STRIKE SPECIFIED INTERVENOR TESTIMONY IN OPPOSITION TO THE JOINT STIPULATION AND RECOMMENDATION</w:t>
      </w:r>
    </w:p>
    <w:p w:rsidR="00326174" w:rsidRPr="00B072FD" w:rsidP="00326174" w14:paraId="505D4AC4" w14:textId="11413B37">
      <w:pPr>
        <w:jc w:val="center"/>
        <w:rPr>
          <w:b/>
          <w:bCs/>
          <w:szCs w:val="24"/>
        </w:rPr>
      </w:pPr>
      <w:r w:rsidRPr="00B072FD">
        <w:rPr>
          <w:b/>
          <w:bCs/>
          <w:szCs w:val="24"/>
        </w:rPr>
        <w:t>BY</w:t>
      </w:r>
    </w:p>
    <w:p w:rsidR="00326174" w:rsidRPr="00B072FD" w:rsidP="00326174" w14:paraId="0E895E36" w14:textId="1D9E9922">
      <w:pPr>
        <w:jc w:val="center"/>
        <w:rPr>
          <w:b/>
          <w:bCs/>
          <w:szCs w:val="24"/>
        </w:rPr>
      </w:pPr>
      <w:r w:rsidRPr="00B072FD">
        <w:rPr>
          <w:b/>
          <w:bCs/>
          <w:szCs w:val="24"/>
        </w:rPr>
        <w:t>OFFICE OF THE OHIO CONSUMERS’ COUNSEL</w:t>
      </w:r>
    </w:p>
    <w:p w:rsidR="00964DA7" w:rsidRPr="00B072FD" w14:paraId="7E37AB5C" w14:textId="77777777">
      <w:pPr>
        <w:pBdr>
          <w:bottom w:val="single" w:sz="12" w:space="1" w:color="auto"/>
        </w:pBdr>
        <w:tabs>
          <w:tab w:val="left" w:pos="4320"/>
        </w:tabs>
        <w:rPr>
          <w:szCs w:val="24"/>
        </w:rPr>
      </w:pPr>
    </w:p>
    <w:p w:rsidR="00964DA7" w:rsidRPr="00B072FD" w14:paraId="38B5D2E5" w14:textId="77777777">
      <w:pPr>
        <w:tabs>
          <w:tab w:val="left" w:pos="4320"/>
        </w:tabs>
        <w:rPr>
          <w:szCs w:val="24"/>
        </w:rPr>
      </w:pPr>
    </w:p>
    <w:p w:rsidR="00EA767E" w:rsidRPr="00B072FD" w:rsidP="00BB7084" w14:paraId="0833B0FB" w14:textId="5B2E8991">
      <w:pPr>
        <w:pStyle w:val="Heading1"/>
        <w:rPr>
          <w:rFonts w:ascii="Times New Roman" w:hAnsi="Times New Roman"/>
        </w:rPr>
      </w:pPr>
      <w:bookmarkStart w:id="0" w:name="_Toc147821839"/>
      <w:bookmarkStart w:id="1" w:name="_Toc104905064"/>
      <w:r w:rsidRPr="00B072FD">
        <w:rPr>
          <w:rFonts w:ascii="Times New Roman" w:hAnsi="Times New Roman"/>
        </w:rPr>
        <w:t>I.</w:t>
      </w:r>
      <w:r w:rsidRPr="00B072FD">
        <w:rPr>
          <w:rFonts w:ascii="Times New Roman" w:hAnsi="Times New Roman"/>
        </w:rPr>
        <w:tab/>
        <w:t>INTRODUCTION</w:t>
      </w:r>
      <w:bookmarkEnd w:id="0"/>
      <w:r w:rsidRPr="00B072FD">
        <w:rPr>
          <w:rFonts w:ascii="Times New Roman" w:hAnsi="Times New Roman"/>
        </w:rPr>
        <w:t xml:space="preserve"> </w:t>
      </w:r>
    </w:p>
    <w:p w:rsidR="002D0B55" w:rsidRPr="00B072FD" w:rsidP="009B0F10" w14:paraId="36E83744" w14:textId="71FC457E">
      <w:pPr>
        <w:pStyle w:val="BodyTextIndent3"/>
        <w:widowControl w:val="0"/>
        <w:spacing w:line="480" w:lineRule="auto"/>
        <w:rPr>
          <w:szCs w:val="24"/>
        </w:rPr>
      </w:pPr>
      <w:r w:rsidRPr="00B072FD">
        <w:rPr>
          <w:szCs w:val="24"/>
        </w:rPr>
        <w:t xml:space="preserve">At a time of soaring </w:t>
      </w:r>
      <w:r w:rsidRPr="00B072FD" w:rsidR="00F7366F">
        <w:rPr>
          <w:szCs w:val="24"/>
        </w:rPr>
        <w:t>electricity costs, Ohio Power Company (“AEP Ohio”)</w:t>
      </w:r>
      <w:r w:rsidRPr="00B072FD" w:rsidR="009B0F10">
        <w:rPr>
          <w:szCs w:val="24"/>
        </w:rPr>
        <w:t xml:space="preserve"> and others </w:t>
      </w:r>
      <w:r w:rsidRPr="00B072FD">
        <w:rPr>
          <w:szCs w:val="24"/>
        </w:rPr>
        <w:t xml:space="preserve">have signed a </w:t>
      </w:r>
      <w:r w:rsidRPr="00B072FD" w:rsidR="00C1215A">
        <w:rPr>
          <w:szCs w:val="24"/>
        </w:rPr>
        <w:t>S</w:t>
      </w:r>
      <w:r w:rsidRPr="00B072FD">
        <w:rPr>
          <w:szCs w:val="24"/>
        </w:rPr>
        <w:t>ettlement</w:t>
      </w:r>
      <w:r>
        <w:rPr>
          <w:rStyle w:val="FootnoteReference"/>
          <w:szCs w:val="24"/>
        </w:rPr>
        <w:footnoteReference w:id="2"/>
      </w:r>
      <w:r w:rsidRPr="00B072FD">
        <w:rPr>
          <w:szCs w:val="24"/>
        </w:rPr>
        <w:t xml:space="preserve"> </w:t>
      </w:r>
      <w:r w:rsidRPr="00B072FD" w:rsidR="00FD3735">
        <w:rPr>
          <w:szCs w:val="24"/>
        </w:rPr>
        <w:t xml:space="preserve">that </w:t>
      </w:r>
      <w:r w:rsidRPr="00B072FD">
        <w:rPr>
          <w:szCs w:val="24"/>
        </w:rPr>
        <w:t>raise</w:t>
      </w:r>
      <w:r w:rsidRPr="00B072FD" w:rsidR="00FD3735">
        <w:rPr>
          <w:szCs w:val="24"/>
        </w:rPr>
        <w:t>s</w:t>
      </w:r>
      <w:r w:rsidRPr="00B072FD">
        <w:rPr>
          <w:szCs w:val="24"/>
        </w:rPr>
        <w:t xml:space="preserve"> </w:t>
      </w:r>
      <w:r w:rsidRPr="00B072FD" w:rsidR="009B0F10">
        <w:rPr>
          <w:szCs w:val="24"/>
        </w:rPr>
        <w:t xml:space="preserve">charges </w:t>
      </w:r>
      <w:r w:rsidRPr="00B072FD" w:rsidR="00FD3735">
        <w:rPr>
          <w:szCs w:val="24"/>
        </w:rPr>
        <w:t xml:space="preserve">on AEP Ohio’s </w:t>
      </w:r>
      <w:r w:rsidRPr="00B072FD">
        <w:rPr>
          <w:szCs w:val="24"/>
        </w:rPr>
        <w:t>consumers</w:t>
      </w:r>
      <w:r w:rsidRPr="00B072FD" w:rsidR="009B0F10">
        <w:rPr>
          <w:szCs w:val="24"/>
        </w:rPr>
        <w:t xml:space="preserve"> </w:t>
      </w:r>
      <w:r w:rsidRPr="00B072FD" w:rsidR="007C5DCC">
        <w:rPr>
          <w:szCs w:val="24"/>
        </w:rPr>
        <w:t xml:space="preserve">and </w:t>
      </w:r>
      <w:r w:rsidRPr="00B072FD" w:rsidR="009B0F10">
        <w:rPr>
          <w:szCs w:val="24"/>
        </w:rPr>
        <w:t>den</w:t>
      </w:r>
      <w:r w:rsidRPr="00B072FD" w:rsidR="007C5DCC">
        <w:rPr>
          <w:szCs w:val="24"/>
        </w:rPr>
        <w:t>ies them</w:t>
      </w:r>
      <w:r w:rsidRPr="00B072FD" w:rsidR="009B0F10">
        <w:rPr>
          <w:szCs w:val="24"/>
        </w:rPr>
        <w:t xml:space="preserve"> necessary consumer protections</w:t>
      </w:r>
      <w:r w:rsidRPr="00B072FD">
        <w:rPr>
          <w:szCs w:val="24"/>
        </w:rPr>
        <w:t>.</w:t>
      </w:r>
      <w:r w:rsidRPr="00B072FD" w:rsidR="00280C54">
        <w:rPr>
          <w:szCs w:val="24"/>
        </w:rPr>
        <w:t xml:space="preserve"> </w:t>
      </w:r>
      <w:r w:rsidRPr="00B072FD">
        <w:rPr>
          <w:szCs w:val="24"/>
        </w:rPr>
        <w:t xml:space="preserve">Now, </w:t>
      </w:r>
      <w:r w:rsidRPr="00B072FD" w:rsidR="00F7366F">
        <w:rPr>
          <w:szCs w:val="24"/>
        </w:rPr>
        <w:t xml:space="preserve">AEP Ohio </w:t>
      </w:r>
      <w:r w:rsidRPr="00B072FD" w:rsidR="00FD3735">
        <w:rPr>
          <w:szCs w:val="24"/>
        </w:rPr>
        <w:t>has moved</w:t>
      </w:r>
      <w:r w:rsidRPr="00B072FD" w:rsidR="00C95BBD">
        <w:rPr>
          <w:szCs w:val="24"/>
        </w:rPr>
        <w:t xml:space="preserve"> to strike </w:t>
      </w:r>
      <w:r w:rsidRPr="00B072FD" w:rsidR="00FD3735">
        <w:rPr>
          <w:szCs w:val="24"/>
        </w:rPr>
        <w:t xml:space="preserve">the consumer protection </w:t>
      </w:r>
      <w:r w:rsidRPr="00B072FD" w:rsidR="009B0F10">
        <w:rPr>
          <w:szCs w:val="24"/>
        </w:rPr>
        <w:t>testimony</w:t>
      </w:r>
      <w:r w:rsidRPr="00B072FD" w:rsidR="00C95BBD">
        <w:rPr>
          <w:szCs w:val="24"/>
        </w:rPr>
        <w:t xml:space="preserve"> </w:t>
      </w:r>
      <w:r w:rsidRPr="00B072FD" w:rsidR="00E045F6">
        <w:rPr>
          <w:szCs w:val="24"/>
        </w:rPr>
        <w:t xml:space="preserve">that OCC </w:t>
      </w:r>
      <w:r w:rsidRPr="00B072FD" w:rsidR="00FD3735">
        <w:rPr>
          <w:szCs w:val="24"/>
        </w:rPr>
        <w:t>filed on consumers’</w:t>
      </w:r>
      <w:r w:rsidRPr="00B072FD" w:rsidR="00D172CF">
        <w:rPr>
          <w:szCs w:val="24"/>
        </w:rPr>
        <w:t xml:space="preserve"> </w:t>
      </w:r>
      <w:r w:rsidRPr="00B072FD" w:rsidR="00C95BBD">
        <w:rPr>
          <w:szCs w:val="24"/>
        </w:rPr>
        <w:t>behalf</w:t>
      </w:r>
      <w:r w:rsidRPr="00B072FD">
        <w:rPr>
          <w:szCs w:val="24"/>
        </w:rPr>
        <w:t xml:space="preserve">. </w:t>
      </w:r>
      <w:r w:rsidRPr="00B072FD" w:rsidR="00D172CF">
        <w:rPr>
          <w:szCs w:val="24"/>
        </w:rPr>
        <w:t xml:space="preserve">AEP Ohio </w:t>
      </w:r>
      <w:r w:rsidRPr="00B072FD" w:rsidR="007C5DCC">
        <w:rPr>
          <w:szCs w:val="24"/>
        </w:rPr>
        <w:t xml:space="preserve">has </w:t>
      </w:r>
      <w:r w:rsidRPr="00B072FD">
        <w:rPr>
          <w:szCs w:val="24"/>
        </w:rPr>
        <w:t xml:space="preserve">requested that the </w:t>
      </w:r>
      <w:r w:rsidRPr="00B072FD" w:rsidR="00FD3735">
        <w:rPr>
          <w:szCs w:val="24"/>
        </w:rPr>
        <w:t xml:space="preserve">PUCO </w:t>
      </w:r>
      <w:r w:rsidRPr="00B072FD">
        <w:rPr>
          <w:szCs w:val="24"/>
        </w:rPr>
        <w:t>strike</w:t>
      </w:r>
      <w:r w:rsidR="00B072FD">
        <w:rPr>
          <w:szCs w:val="24"/>
        </w:rPr>
        <w:t xml:space="preserve"> </w:t>
      </w:r>
      <w:r w:rsidRPr="00B072FD" w:rsidR="007C5DCC">
        <w:rPr>
          <w:szCs w:val="24"/>
        </w:rPr>
        <w:t xml:space="preserve">the testimony of </w:t>
      </w:r>
      <w:r w:rsidRPr="00B072FD" w:rsidR="00D172CF">
        <w:rPr>
          <w:szCs w:val="24"/>
        </w:rPr>
        <w:t>OCC expert witnesses Joseph P. Buckley and Andrew R. Tinkham.</w:t>
      </w:r>
    </w:p>
    <w:p w:rsidR="007743C1" w:rsidRPr="00B072FD" w:rsidP="009B0F10" w14:paraId="7ED6439F" w14:textId="59F3EE70">
      <w:pPr>
        <w:pStyle w:val="BodyTextIndent3"/>
        <w:widowControl w:val="0"/>
        <w:spacing w:line="480" w:lineRule="auto"/>
        <w:rPr>
          <w:szCs w:val="24"/>
        </w:rPr>
      </w:pPr>
      <w:r w:rsidRPr="00B072FD">
        <w:rPr>
          <w:szCs w:val="24"/>
        </w:rPr>
        <w:t xml:space="preserve">The PUCO should </w:t>
      </w:r>
      <w:r w:rsidRPr="00B072FD" w:rsidR="007C5DCC">
        <w:rPr>
          <w:szCs w:val="24"/>
        </w:rPr>
        <w:t xml:space="preserve">deny AEP Ohio’s </w:t>
      </w:r>
      <w:r w:rsidRPr="00B072FD" w:rsidR="00FB5E9E">
        <w:rPr>
          <w:szCs w:val="24"/>
        </w:rPr>
        <w:t>Motion to Strike</w:t>
      </w:r>
      <w:r w:rsidRPr="00B072FD" w:rsidR="00D172CF">
        <w:rPr>
          <w:szCs w:val="24"/>
        </w:rPr>
        <w:t xml:space="preserve"> the </w:t>
      </w:r>
      <w:r w:rsidRPr="00B072FD" w:rsidR="00042A97">
        <w:rPr>
          <w:szCs w:val="24"/>
        </w:rPr>
        <w:t>testimony of Mr. Buckley and Mr. Tinkham</w:t>
      </w:r>
      <w:r w:rsidRPr="00B072FD" w:rsidR="00621F95">
        <w:rPr>
          <w:szCs w:val="24"/>
        </w:rPr>
        <w:t>.</w:t>
      </w:r>
      <w:r w:rsidRPr="00B072FD" w:rsidR="00280C54">
        <w:rPr>
          <w:szCs w:val="24"/>
        </w:rPr>
        <w:t xml:space="preserve"> The PUCO must determine whether the </w:t>
      </w:r>
      <w:r w:rsidRPr="00B072FD" w:rsidR="00C1215A">
        <w:rPr>
          <w:szCs w:val="24"/>
        </w:rPr>
        <w:t>S</w:t>
      </w:r>
      <w:r w:rsidRPr="00B072FD" w:rsidR="00280C54">
        <w:rPr>
          <w:szCs w:val="24"/>
        </w:rPr>
        <w:t xml:space="preserve">ettlement is the product of serious bargaining, benefits consumers and the public interest, and </w:t>
      </w:r>
      <w:r w:rsidRPr="00B072FD" w:rsidR="00FB5E9E">
        <w:rPr>
          <w:szCs w:val="24"/>
        </w:rPr>
        <w:t xml:space="preserve">does not </w:t>
      </w:r>
      <w:r w:rsidRPr="00B072FD" w:rsidR="00280C54">
        <w:rPr>
          <w:szCs w:val="24"/>
        </w:rPr>
        <w:t>violate important regulatory principles and practices.</w:t>
      </w:r>
      <w:r>
        <w:rPr>
          <w:rStyle w:val="FootnoteReference"/>
          <w:szCs w:val="24"/>
        </w:rPr>
        <w:footnoteReference w:id="3"/>
      </w:r>
      <w:r w:rsidRPr="00B072FD" w:rsidR="00280C54">
        <w:rPr>
          <w:szCs w:val="24"/>
        </w:rPr>
        <w:t xml:space="preserve"> To do so, the PUCO must </w:t>
      </w:r>
      <w:r w:rsidRPr="00B072FD" w:rsidR="00C95BBD">
        <w:rPr>
          <w:szCs w:val="24"/>
        </w:rPr>
        <w:t>assess</w:t>
      </w:r>
      <w:r w:rsidRPr="00B072FD" w:rsidR="00280C54">
        <w:rPr>
          <w:szCs w:val="24"/>
        </w:rPr>
        <w:t xml:space="preserve"> a full and accurate record and consider perspectives of all stakeholders, including residential consumers. </w:t>
      </w:r>
      <w:r w:rsidRPr="00B072FD" w:rsidR="00C95BBD">
        <w:rPr>
          <w:szCs w:val="24"/>
        </w:rPr>
        <w:t>That includes</w:t>
      </w:r>
      <w:r w:rsidRPr="00B072FD" w:rsidR="00457C92">
        <w:rPr>
          <w:szCs w:val="24"/>
        </w:rPr>
        <w:t xml:space="preserve"> </w:t>
      </w:r>
      <w:r w:rsidRPr="00B072FD" w:rsidR="00F74D4D">
        <w:rPr>
          <w:szCs w:val="24"/>
        </w:rPr>
        <w:t xml:space="preserve">OCC’s </w:t>
      </w:r>
      <w:r w:rsidRPr="00B072FD" w:rsidR="009B0F10">
        <w:rPr>
          <w:szCs w:val="24"/>
        </w:rPr>
        <w:t>testimony of Mr. Buckley and Mr. Tinkham.</w:t>
      </w:r>
      <w:r w:rsidRPr="00B072FD" w:rsidR="005E650C">
        <w:rPr>
          <w:szCs w:val="24"/>
        </w:rPr>
        <w:t xml:space="preserve"> </w:t>
      </w:r>
      <w:r w:rsidRPr="00B072FD" w:rsidR="00280C54">
        <w:rPr>
          <w:szCs w:val="24"/>
        </w:rPr>
        <w:t>For the reasons</w:t>
      </w:r>
      <w:r w:rsidRPr="00B072FD" w:rsidR="009B0F10">
        <w:rPr>
          <w:szCs w:val="24"/>
        </w:rPr>
        <w:t xml:space="preserve"> set forth below</w:t>
      </w:r>
      <w:r w:rsidRPr="00B072FD" w:rsidR="00280C54">
        <w:rPr>
          <w:szCs w:val="24"/>
        </w:rPr>
        <w:t xml:space="preserve">, </w:t>
      </w:r>
      <w:r w:rsidRPr="00B072FD" w:rsidR="00CD67BF">
        <w:rPr>
          <w:szCs w:val="24"/>
        </w:rPr>
        <w:t xml:space="preserve">the </w:t>
      </w:r>
      <w:r w:rsidRPr="00B072FD">
        <w:rPr>
          <w:szCs w:val="24"/>
        </w:rPr>
        <w:t xml:space="preserve">PUCO </w:t>
      </w:r>
      <w:r w:rsidRPr="00B072FD" w:rsidR="00CD67BF">
        <w:rPr>
          <w:szCs w:val="24"/>
        </w:rPr>
        <w:t xml:space="preserve">should deny </w:t>
      </w:r>
      <w:r w:rsidRPr="00B072FD" w:rsidR="009B0F10">
        <w:rPr>
          <w:szCs w:val="24"/>
        </w:rPr>
        <w:t>AEP Ohio’s Motion to Strike</w:t>
      </w:r>
      <w:r w:rsidRPr="00B072FD" w:rsidR="00CD67BF">
        <w:rPr>
          <w:szCs w:val="24"/>
        </w:rPr>
        <w:t xml:space="preserve"> with respect to OCC’s testimony</w:t>
      </w:r>
      <w:r w:rsidRPr="00B072FD" w:rsidR="00280C54">
        <w:rPr>
          <w:szCs w:val="24"/>
        </w:rPr>
        <w:t xml:space="preserve">. </w:t>
      </w:r>
    </w:p>
    <w:p w:rsidR="00986054" w:rsidRPr="00B072FD" w:rsidP="00986054" w14:paraId="350491D2" w14:textId="77777777">
      <w:pPr>
        <w:pStyle w:val="BodyTextIndent3"/>
        <w:widowControl w:val="0"/>
        <w:spacing w:line="240" w:lineRule="auto"/>
        <w:rPr>
          <w:szCs w:val="24"/>
        </w:rPr>
      </w:pPr>
    </w:p>
    <w:p w:rsidR="00621F95" w:rsidRPr="00B072FD" w:rsidP="00BB7084" w14:paraId="56D3B7D1" w14:textId="76912EBF">
      <w:pPr>
        <w:pStyle w:val="Heading1"/>
        <w:rPr>
          <w:rFonts w:ascii="Times New Roman" w:hAnsi="Times New Roman"/>
        </w:rPr>
      </w:pPr>
      <w:bookmarkStart w:id="2" w:name="_Toc147821840"/>
      <w:r w:rsidRPr="00B072FD">
        <w:rPr>
          <w:rFonts w:ascii="Times New Roman" w:hAnsi="Times New Roman"/>
        </w:rPr>
        <w:t xml:space="preserve">II. </w:t>
      </w:r>
      <w:r w:rsidRPr="00B072FD">
        <w:rPr>
          <w:rFonts w:ascii="Times New Roman" w:hAnsi="Times New Roman"/>
        </w:rPr>
        <w:tab/>
        <w:t>LAW AND ARGUMENT</w:t>
      </w:r>
      <w:bookmarkEnd w:id="2"/>
    </w:p>
    <w:p w:rsidR="005E300E" w:rsidRPr="00B072FD" w:rsidP="00CD67BF" w14:paraId="7FA83B91" w14:textId="5A5A9B97">
      <w:pPr>
        <w:pStyle w:val="Heading2"/>
      </w:pPr>
      <w:bookmarkStart w:id="3" w:name="_Toc147821841"/>
      <w:r w:rsidRPr="00B072FD">
        <w:t>A.</w:t>
      </w:r>
      <w:r w:rsidRPr="00B072FD">
        <w:tab/>
      </w:r>
      <w:r w:rsidRPr="00B072FD">
        <w:t>Joe Buckley’s testimony regarding return on equity is relevant to whether the stipulation meets the PUCO’s three-prong standard for approving settlements.</w:t>
      </w:r>
      <w:r w:rsidRPr="00B072FD" w:rsidR="00CD67BF">
        <w:t xml:space="preserve"> AEP</w:t>
      </w:r>
      <w:r w:rsidR="0033187F">
        <w:t xml:space="preserve"> Ohio</w:t>
      </w:r>
      <w:r w:rsidRPr="00B072FD" w:rsidR="00CD67BF">
        <w:t>’s claims to the contrary should be rejected.</w:t>
      </w:r>
      <w:bookmarkEnd w:id="3"/>
      <w:r w:rsidRPr="00B072FD">
        <w:t xml:space="preserve"> </w:t>
      </w:r>
    </w:p>
    <w:p w:rsidR="005E300E" w:rsidRPr="00B072FD" w:rsidP="005E300E" w14:paraId="7402290D" w14:textId="78652604">
      <w:pPr>
        <w:spacing w:line="480" w:lineRule="auto"/>
        <w:ind w:firstLine="720"/>
        <w:rPr>
          <w:szCs w:val="24"/>
        </w:rPr>
      </w:pPr>
      <w:r w:rsidRPr="00B072FD">
        <w:rPr>
          <w:szCs w:val="24"/>
        </w:rPr>
        <w:t>AEP</w:t>
      </w:r>
      <w:r w:rsidR="0033187F">
        <w:rPr>
          <w:szCs w:val="24"/>
        </w:rPr>
        <w:t xml:space="preserve"> Ohio</w:t>
      </w:r>
      <w:r w:rsidRPr="00B072FD">
        <w:rPr>
          <w:szCs w:val="24"/>
        </w:rPr>
        <w:t xml:space="preserve"> </w:t>
      </w:r>
      <w:r w:rsidRPr="00B072FD" w:rsidR="00CD67BF">
        <w:rPr>
          <w:szCs w:val="24"/>
        </w:rPr>
        <w:t xml:space="preserve">moves </w:t>
      </w:r>
      <w:r w:rsidRPr="00B072FD">
        <w:rPr>
          <w:szCs w:val="24"/>
        </w:rPr>
        <w:t xml:space="preserve">to strike portions of Joe Buckley’s testimony as irrelevant. AEP </w:t>
      </w:r>
      <w:r w:rsidR="0033187F">
        <w:rPr>
          <w:szCs w:val="24"/>
        </w:rPr>
        <w:t xml:space="preserve">Ohio </w:t>
      </w:r>
      <w:r w:rsidRPr="00B072FD">
        <w:rPr>
          <w:szCs w:val="24"/>
        </w:rPr>
        <w:t>argues that “OCC witness Buckley’s ROE analysis ignores both the Commission’s three-part test for stipulations, and the statutory test for ESP approval, and improperly focuses on one aspect of the Stipulation in isolation.”</w:t>
      </w:r>
      <w:r>
        <w:rPr>
          <w:szCs w:val="24"/>
          <w:vertAlign w:val="superscript"/>
        </w:rPr>
        <w:footnoteReference w:id="4"/>
      </w:r>
      <w:r w:rsidRPr="00B072FD">
        <w:rPr>
          <w:szCs w:val="24"/>
        </w:rPr>
        <w:t xml:space="preserve"> That is incorrect. Mr. Buckley’s analysis of the return on equity (profit) the Company will charge consumers is relevant to this case.</w:t>
      </w:r>
    </w:p>
    <w:p w:rsidR="005E300E" w:rsidRPr="00B072FD" w:rsidP="005E300E" w14:paraId="11EDCFD6" w14:textId="77777777">
      <w:pPr>
        <w:spacing w:line="480" w:lineRule="auto"/>
        <w:ind w:firstLine="720"/>
        <w:rPr>
          <w:rFonts w:eastAsiaTheme="minorHAnsi"/>
          <w:szCs w:val="24"/>
          <w14:ligatures w14:val="standardContextual"/>
        </w:rPr>
      </w:pPr>
      <w:r w:rsidRPr="00B072FD">
        <w:rPr>
          <w:rFonts w:eastAsiaTheme="minorHAnsi"/>
          <w:szCs w:val="24"/>
          <w14:ligatures w14:val="standardContextual"/>
        </w:rPr>
        <w:t>Relevance is construed broadly. Per the Ohio Supreme Court, “[e]vidence is relevant if it has any tendency to make the existence of any fact that is of consequence to the determination of the action more probable or less probable than it would be without the evidence.”</w:t>
      </w:r>
      <w:r>
        <w:rPr>
          <w:rFonts w:eastAsiaTheme="minorHAnsi"/>
          <w:szCs w:val="24"/>
          <w:vertAlign w:val="superscript"/>
          <w14:ligatures w14:val="standardContextual"/>
        </w:rPr>
        <w:footnoteReference w:id="5"/>
      </w:r>
      <w:r w:rsidRPr="00B072FD">
        <w:rPr>
          <w:rFonts w:eastAsiaTheme="minorHAnsi"/>
          <w:szCs w:val="24"/>
          <w14:ligatures w14:val="standardContextual"/>
        </w:rPr>
        <w:t xml:space="preserve"> Federal courts state that “Whether evidence is highly relevant or just a little relevant, it is relevant nonetheless.”</w:t>
      </w:r>
      <w:r>
        <w:rPr>
          <w:rFonts w:eastAsiaTheme="minorHAnsi"/>
          <w:szCs w:val="24"/>
          <w:vertAlign w:val="superscript"/>
          <w14:ligatures w14:val="standardContextual"/>
        </w:rPr>
        <w:footnoteReference w:id="6"/>
      </w:r>
      <w:r w:rsidRPr="00B072FD">
        <w:rPr>
          <w:rFonts w:eastAsiaTheme="minorHAnsi"/>
          <w:szCs w:val="24"/>
          <w14:ligatures w14:val="standardContextual"/>
        </w:rPr>
        <w:t xml:space="preserve"> Evidence is not </w:t>
      </w:r>
      <w:r w:rsidRPr="00B072FD">
        <w:rPr>
          <w:rFonts w:eastAsiaTheme="minorHAnsi"/>
          <w:i/>
          <w:iCs/>
          <w:szCs w:val="24"/>
          <w14:ligatures w14:val="standardContextual"/>
        </w:rPr>
        <w:t xml:space="preserve">irrelevant </w:t>
      </w:r>
      <w:r w:rsidRPr="00B072FD">
        <w:rPr>
          <w:rFonts w:eastAsiaTheme="minorHAnsi"/>
          <w:szCs w:val="24"/>
          <w14:ligatures w14:val="standardContextual"/>
        </w:rPr>
        <w:t xml:space="preserve">and excluded from consideration just because a decisionmaker does not ultimately find that evidence </w:t>
      </w:r>
      <w:r w:rsidRPr="00B072FD">
        <w:rPr>
          <w:rFonts w:eastAsiaTheme="minorHAnsi"/>
          <w:i/>
          <w:iCs/>
          <w:szCs w:val="24"/>
          <w14:ligatures w14:val="standardContextual"/>
        </w:rPr>
        <w:t xml:space="preserve">persuasive </w:t>
      </w:r>
      <w:r w:rsidRPr="00B072FD">
        <w:rPr>
          <w:rFonts w:eastAsiaTheme="minorHAnsi"/>
          <w:szCs w:val="24"/>
          <w14:ligatures w14:val="standardContextual"/>
        </w:rPr>
        <w:t xml:space="preserve">in deciding the case. </w:t>
      </w:r>
    </w:p>
    <w:p w:rsidR="005E300E" w:rsidRPr="00B072FD" w:rsidP="005E300E" w14:paraId="6B4AFECF" w14:textId="4BB94286">
      <w:pPr>
        <w:spacing w:line="480" w:lineRule="auto"/>
        <w:ind w:firstLine="720"/>
        <w:rPr>
          <w:rFonts w:eastAsiaTheme="minorHAnsi"/>
          <w:szCs w:val="24"/>
          <w14:ligatures w14:val="standardContextual"/>
        </w:rPr>
      </w:pPr>
      <w:r w:rsidRPr="00B072FD">
        <w:rPr>
          <w:rFonts w:eastAsiaTheme="minorHAnsi"/>
          <w:szCs w:val="24"/>
          <w14:ligatures w14:val="standardContextual"/>
        </w:rPr>
        <w:t xml:space="preserve">AEP </w:t>
      </w:r>
      <w:r w:rsidR="0033187F">
        <w:rPr>
          <w:rFonts w:eastAsiaTheme="minorHAnsi"/>
          <w:szCs w:val="24"/>
          <w14:ligatures w14:val="standardContextual"/>
        </w:rPr>
        <w:t xml:space="preserve">Ohio </w:t>
      </w:r>
      <w:r w:rsidRPr="00B072FD">
        <w:rPr>
          <w:rFonts w:eastAsiaTheme="minorHAnsi"/>
          <w:szCs w:val="24"/>
          <w14:ligatures w14:val="standardContextual"/>
        </w:rPr>
        <w:t>is wrong that Mr. Buckley’s testimony is irrelevant to this case. First, AEP</w:t>
      </w:r>
      <w:r w:rsidR="0033187F">
        <w:rPr>
          <w:rFonts w:eastAsiaTheme="minorHAnsi"/>
          <w:szCs w:val="24"/>
          <w14:ligatures w14:val="standardContextual"/>
        </w:rPr>
        <w:t xml:space="preserve"> Ohio</w:t>
      </w:r>
      <w:r w:rsidRPr="00B072FD">
        <w:rPr>
          <w:rFonts w:eastAsiaTheme="minorHAnsi"/>
          <w:szCs w:val="24"/>
          <w14:ligatures w14:val="standardContextual"/>
        </w:rPr>
        <w:t>’s statement that Mr. Buckley ignores</w:t>
      </w:r>
      <w:r>
        <w:rPr>
          <w:rFonts w:eastAsiaTheme="minorHAnsi"/>
          <w:szCs w:val="24"/>
          <w:vertAlign w:val="superscript"/>
          <w14:ligatures w14:val="standardContextual"/>
        </w:rPr>
        <w:footnoteReference w:id="7"/>
      </w:r>
      <w:r w:rsidRPr="00B072FD">
        <w:rPr>
          <w:rFonts w:eastAsiaTheme="minorHAnsi"/>
          <w:szCs w:val="24"/>
          <w14:ligatures w14:val="standardContextual"/>
        </w:rPr>
        <w:t xml:space="preserve"> the PUCO’s three-part test for Settlements is untrue. Mr. Buckley directly connects his ROE analysis to the three-part test, stating “the ROE in the Settlement and resulting rate of return is too high and result in rates that do not benefit consumers or the public interest.”</w:t>
      </w:r>
      <w:r>
        <w:rPr>
          <w:rFonts w:eastAsiaTheme="minorHAnsi"/>
          <w:szCs w:val="24"/>
          <w:vertAlign w:val="superscript"/>
          <w14:ligatures w14:val="standardContextual"/>
        </w:rPr>
        <w:footnoteReference w:id="8"/>
      </w:r>
      <w:r w:rsidRPr="00B072FD">
        <w:rPr>
          <w:rFonts w:eastAsiaTheme="minorHAnsi"/>
          <w:szCs w:val="24"/>
          <w14:ligatures w14:val="standardContextual"/>
        </w:rPr>
        <w:t xml:space="preserve"> Further, profit</w:t>
      </w:r>
      <w:r w:rsidRPr="00B072FD" w:rsidR="00E045F6">
        <w:rPr>
          <w:rFonts w:eastAsiaTheme="minorHAnsi"/>
          <w:szCs w:val="24"/>
          <w14:ligatures w14:val="standardContextual"/>
        </w:rPr>
        <w:t>s</w:t>
      </w:r>
      <w:r w:rsidRPr="00B072FD">
        <w:rPr>
          <w:rFonts w:eastAsiaTheme="minorHAnsi"/>
          <w:szCs w:val="24"/>
          <w14:ligatures w14:val="standardContextual"/>
        </w:rPr>
        <w:t xml:space="preserve"> (ROE) </w:t>
      </w:r>
      <w:r w:rsidRPr="00B072FD" w:rsidR="00E045F6">
        <w:rPr>
          <w:rFonts w:eastAsiaTheme="minorHAnsi"/>
          <w:szCs w:val="24"/>
          <w14:ligatures w14:val="standardContextual"/>
        </w:rPr>
        <w:t xml:space="preserve">built into the rates </w:t>
      </w:r>
      <w:r w:rsidRPr="00B072FD">
        <w:rPr>
          <w:rFonts w:eastAsiaTheme="minorHAnsi"/>
          <w:szCs w:val="24"/>
          <w14:ligatures w14:val="standardContextual"/>
        </w:rPr>
        <w:t xml:space="preserve">that AEP </w:t>
      </w:r>
      <w:r w:rsidR="0033187F">
        <w:rPr>
          <w:rFonts w:eastAsiaTheme="minorHAnsi"/>
          <w:szCs w:val="24"/>
          <w14:ligatures w14:val="standardContextual"/>
        </w:rPr>
        <w:t xml:space="preserve">Ohio </w:t>
      </w:r>
      <w:r w:rsidRPr="00B072FD" w:rsidR="00E045F6">
        <w:rPr>
          <w:rFonts w:eastAsiaTheme="minorHAnsi"/>
          <w:szCs w:val="24"/>
          <w14:ligatures w14:val="standardContextual"/>
        </w:rPr>
        <w:t xml:space="preserve">will </w:t>
      </w:r>
      <w:r w:rsidRPr="00B072FD">
        <w:rPr>
          <w:rFonts w:eastAsiaTheme="minorHAnsi"/>
          <w:szCs w:val="24"/>
          <w14:ligatures w14:val="standardContextual"/>
        </w:rPr>
        <w:t>charge consumers under the Settlement clearly affect whether the Settlement benefits consumers. Mr. Buckley’s analysis of current market data and recommendation of a 9.</w:t>
      </w:r>
      <w:r w:rsidRPr="00B072FD" w:rsidR="00E46908">
        <w:rPr>
          <w:rFonts w:eastAsiaTheme="minorHAnsi"/>
          <w:szCs w:val="24"/>
          <w14:ligatures w14:val="standardContextual"/>
        </w:rPr>
        <w:t>51</w:t>
      </w:r>
      <w:r w:rsidRPr="00B072FD">
        <w:rPr>
          <w:rFonts w:eastAsiaTheme="minorHAnsi"/>
          <w:szCs w:val="24"/>
          <w14:ligatures w14:val="standardContextual"/>
        </w:rPr>
        <w:t>% ROE,</w:t>
      </w:r>
      <w:r>
        <w:rPr>
          <w:rFonts w:eastAsiaTheme="minorHAnsi"/>
          <w:szCs w:val="24"/>
          <w:vertAlign w:val="superscript"/>
          <w14:ligatures w14:val="standardContextual"/>
        </w:rPr>
        <w:footnoteReference w:id="9"/>
      </w:r>
      <w:r w:rsidRPr="00B072FD">
        <w:rPr>
          <w:rFonts w:eastAsiaTheme="minorHAnsi"/>
          <w:szCs w:val="24"/>
          <w14:ligatures w14:val="standardContextual"/>
        </w:rPr>
        <w:t xml:space="preserve"> rather than the 9.</w:t>
      </w:r>
      <w:r w:rsidRPr="00B072FD" w:rsidR="00E46908">
        <w:rPr>
          <w:rFonts w:eastAsiaTheme="minorHAnsi"/>
          <w:szCs w:val="24"/>
          <w14:ligatures w14:val="standardContextual"/>
        </w:rPr>
        <w:t>7</w:t>
      </w:r>
      <w:r w:rsidRPr="00B072FD">
        <w:rPr>
          <w:rFonts w:eastAsiaTheme="minorHAnsi"/>
          <w:szCs w:val="24"/>
          <w14:ligatures w14:val="standardContextual"/>
        </w:rPr>
        <w:t>% ROE authorized in AEP</w:t>
      </w:r>
      <w:r w:rsidR="0033187F">
        <w:rPr>
          <w:rFonts w:eastAsiaTheme="minorHAnsi"/>
          <w:szCs w:val="24"/>
          <w14:ligatures w14:val="standardContextual"/>
        </w:rPr>
        <w:t xml:space="preserve"> Ohio</w:t>
      </w:r>
      <w:r w:rsidRPr="00B072FD">
        <w:rPr>
          <w:rFonts w:eastAsiaTheme="minorHAnsi"/>
          <w:szCs w:val="24"/>
          <w14:ligatures w14:val="standardContextual"/>
        </w:rPr>
        <w:t>’s last distribution rate case,</w:t>
      </w:r>
      <w:r>
        <w:rPr>
          <w:rStyle w:val="FootnoteReference"/>
          <w:rFonts w:eastAsiaTheme="minorHAnsi"/>
          <w:szCs w:val="24"/>
          <w14:ligatures w14:val="standardContextual"/>
        </w:rPr>
        <w:footnoteReference w:id="10"/>
      </w:r>
      <w:r w:rsidRPr="00B072FD">
        <w:rPr>
          <w:rFonts w:eastAsiaTheme="minorHAnsi"/>
          <w:szCs w:val="24"/>
          <w14:ligatures w14:val="standardContextual"/>
        </w:rPr>
        <w:t xml:space="preserve"> squarely addresses whether the Settlement meets the PUCO’s three-prong test. AEP</w:t>
      </w:r>
      <w:r w:rsidR="0033187F">
        <w:rPr>
          <w:rFonts w:eastAsiaTheme="minorHAnsi"/>
          <w:szCs w:val="24"/>
          <w14:ligatures w14:val="standardContextual"/>
        </w:rPr>
        <w:t xml:space="preserve"> Ohio</w:t>
      </w:r>
      <w:r w:rsidRPr="00B072FD">
        <w:rPr>
          <w:rFonts w:eastAsiaTheme="minorHAnsi"/>
          <w:szCs w:val="24"/>
          <w14:ligatures w14:val="standardContextual"/>
        </w:rPr>
        <w:t>’s argument</w:t>
      </w:r>
      <w:r w:rsidRPr="00B072FD" w:rsidR="00F274ED">
        <w:rPr>
          <w:rFonts w:eastAsiaTheme="minorHAnsi"/>
          <w:szCs w:val="24"/>
          <w14:ligatures w14:val="standardContextual"/>
        </w:rPr>
        <w:t xml:space="preserve"> that</w:t>
      </w:r>
      <w:r w:rsidRPr="00B072FD">
        <w:rPr>
          <w:rFonts w:eastAsiaTheme="minorHAnsi"/>
          <w:szCs w:val="24"/>
          <w14:ligatures w14:val="standardContextual"/>
        </w:rPr>
        <w:t xml:space="preserve"> Mr. Buckley’s testimony does not address the three-part </w:t>
      </w:r>
      <w:r w:rsidRPr="00B072FD" w:rsidR="00F274ED">
        <w:rPr>
          <w:rFonts w:eastAsiaTheme="minorHAnsi"/>
          <w:szCs w:val="24"/>
          <w14:ligatures w14:val="standardContextual"/>
        </w:rPr>
        <w:t>settlement test is baseless and should be rejected</w:t>
      </w:r>
      <w:r w:rsidRPr="00B072FD">
        <w:rPr>
          <w:rFonts w:eastAsiaTheme="minorHAnsi"/>
          <w:szCs w:val="24"/>
          <w14:ligatures w14:val="standardContextual"/>
        </w:rPr>
        <w:t>.</w:t>
      </w:r>
    </w:p>
    <w:p w:rsidR="005E300E" w:rsidRPr="00B072FD" w:rsidP="005E300E" w14:paraId="371E42A3" w14:textId="44CFECC1">
      <w:pPr>
        <w:spacing w:line="480" w:lineRule="auto"/>
        <w:ind w:firstLine="720"/>
        <w:rPr>
          <w:rFonts w:eastAsiaTheme="minorHAnsi"/>
          <w:szCs w:val="24"/>
          <w14:ligatures w14:val="standardContextual"/>
        </w:rPr>
      </w:pPr>
      <w:r w:rsidRPr="00B072FD">
        <w:rPr>
          <w:rFonts w:eastAsiaTheme="minorHAnsi"/>
          <w:szCs w:val="24"/>
          <w14:ligatures w14:val="standardContextual"/>
        </w:rPr>
        <w:t xml:space="preserve">Contrary to </w:t>
      </w:r>
      <w:r w:rsidRPr="00B072FD">
        <w:rPr>
          <w:rFonts w:eastAsiaTheme="minorHAnsi"/>
          <w:szCs w:val="24"/>
          <w14:ligatures w14:val="standardContextual"/>
        </w:rPr>
        <w:t>AEP</w:t>
      </w:r>
      <w:r w:rsidR="0033187F">
        <w:rPr>
          <w:rFonts w:eastAsiaTheme="minorHAnsi"/>
          <w:szCs w:val="24"/>
          <w14:ligatures w14:val="standardContextual"/>
        </w:rPr>
        <w:t xml:space="preserve"> Ohio</w:t>
      </w:r>
      <w:r w:rsidRPr="00B072FD">
        <w:rPr>
          <w:rFonts w:eastAsiaTheme="minorHAnsi"/>
          <w:szCs w:val="24"/>
          <w14:ligatures w14:val="standardContextual"/>
        </w:rPr>
        <w:t>’s claim</w:t>
      </w:r>
      <w:r w:rsidRPr="00B072FD">
        <w:rPr>
          <w:rFonts w:eastAsiaTheme="minorHAnsi"/>
          <w:szCs w:val="24"/>
          <w14:ligatures w14:val="standardContextual"/>
        </w:rPr>
        <w:t>s</w:t>
      </w:r>
      <w:r w:rsidRPr="00B072FD">
        <w:rPr>
          <w:rFonts w:eastAsiaTheme="minorHAnsi"/>
          <w:szCs w:val="24"/>
          <w14:ligatures w14:val="standardContextual"/>
        </w:rPr>
        <w:t>,</w:t>
      </w:r>
      <w:r>
        <w:rPr>
          <w:rFonts w:eastAsiaTheme="minorHAnsi"/>
          <w:szCs w:val="24"/>
          <w:vertAlign w:val="superscript"/>
          <w14:ligatures w14:val="standardContextual"/>
        </w:rPr>
        <w:footnoteReference w:id="11"/>
      </w:r>
      <w:r w:rsidRPr="00B072FD">
        <w:rPr>
          <w:rFonts w:eastAsiaTheme="minorHAnsi"/>
          <w:szCs w:val="24"/>
          <w14:ligatures w14:val="standardContextual"/>
        </w:rPr>
        <w:t xml:space="preserve"> Mr. Buckley’s testimony also addresses the requirement in R.C. 4928.143(C) that AEP</w:t>
      </w:r>
      <w:r w:rsidR="0033187F">
        <w:rPr>
          <w:rFonts w:eastAsiaTheme="minorHAnsi"/>
          <w:szCs w:val="24"/>
          <w14:ligatures w14:val="standardContextual"/>
        </w:rPr>
        <w:t xml:space="preserve"> Ohio</w:t>
      </w:r>
      <w:r w:rsidRPr="00B072FD">
        <w:rPr>
          <w:rFonts w:eastAsiaTheme="minorHAnsi"/>
          <w:szCs w:val="24"/>
          <w14:ligatures w14:val="standardContextual"/>
        </w:rPr>
        <w:t>’s electric security plan be more favorable in the aggregate than a market-rate offer. Mr. Buckley “recommend[s] that the PUCO reject the ESP in favor of an MRO.” This is because the ESP imposes costs on consumers that an MRO does not. Mr. Buckley</w:t>
      </w:r>
      <w:r w:rsidRPr="00B072FD">
        <w:rPr>
          <w:rFonts w:eastAsiaTheme="minorHAnsi"/>
          <w:szCs w:val="24"/>
          <w14:ligatures w14:val="standardContextual"/>
        </w:rPr>
        <w:t xml:space="preserve"> explains that </w:t>
      </w:r>
      <w:r w:rsidRPr="00B072FD">
        <w:rPr>
          <w:rFonts w:eastAsiaTheme="minorHAnsi"/>
          <w:szCs w:val="24"/>
          <w14:ligatures w14:val="standardContextual"/>
        </w:rPr>
        <w:t>the Settlement calls for $2.2 billion in reliability-related projects,” and AEP</w:t>
      </w:r>
      <w:r w:rsidR="0033187F">
        <w:rPr>
          <w:rFonts w:eastAsiaTheme="minorHAnsi"/>
          <w:szCs w:val="24"/>
          <w14:ligatures w14:val="standardContextual"/>
        </w:rPr>
        <w:t xml:space="preserve"> Ohio</w:t>
      </w:r>
      <w:r w:rsidRPr="00B072FD">
        <w:rPr>
          <w:rFonts w:eastAsiaTheme="minorHAnsi"/>
          <w:szCs w:val="24"/>
          <w14:ligatures w14:val="standardContextual"/>
        </w:rPr>
        <w:t>’s consumers “will…be charged a return on these investments.”</w:t>
      </w:r>
      <w:r>
        <w:rPr>
          <w:rFonts w:eastAsiaTheme="minorHAnsi"/>
          <w:szCs w:val="24"/>
          <w:vertAlign w:val="superscript"/>
          <w14:ligatures w14:val="standardContextual"/>
        </w:rPr>
        <w:footnoteReference w:id="12"/>
      </w:r>
      <w:r w:rsidRPr="00B072FD">
        <w:rPr>
          <w:rFonts w:eastAsiaTheme="minorHAnsi"/>
          <w:szCs w:val="24"/>
          <w14:ligatures w14:val="standardContextual"/>
        </w:rPr>
        <w:t xml:space="preserve"> Mr. Buckley compared these costs to AEP</w:t>
      </w:r>
      <w:r w:rsidR="0033187F">
        <w:rPr>
          <w:rFonts w:eastAsiaTheme="minorHAnsi"/>
          <w:szCs w:val="24"/>
          <w14:ligatures w14:val="standardContextual"/>
        </w:rPr>
        <w:t xml:space="preserve"> Ohio</w:t>
      </w:r>
      <w:r w:rsidRPr="00B072FD">
        <w:rPr>
          <w:rFonts w:eastAsiaTheme="minorHAnsi"/>
          <w:szCs w:val="24"/>
          <w14:ligatures w14:val="standardContextual"/>
        </w:rPr>
        <w:t>’s own prediction that the Settlement will provide “an annual benefit to consumers of $144.7 million,”</w:t>
      </w:r>
      <w:r>
        <w:rPr>
          <w:rFonts w:eastAsiaTheme="minorHAnsi"/>
          <w:szCs w:val="24"/>
          <w:vertAlign w:val="superscript"/>
          <w14:ligatures w14:val="standardContextual"/>
        </w:rPr>
        <w:footnoteReference w:id="13"/>
      </w:r>
      <w:r w:rsidRPr="00B072FD">
        <w:rPr>
          <w:rFonts w:eastAsiaTheme="minorHAnsi"/>
          <w:szCs w:val="24"/>
          <w14:ligatures w14:val="standardContextual"/>
        </w:rPr>
        <w:t xml:space="preserve"> concluding the “benefits of the ESP are dwarfed by the costs.”</w:t>
      </w:r>
      <w:r>
        <w:rPr>
          <w:rFonts w:eastAsiaTheme="minorHAnsi"/>
          <w:szCs w:val="24"/>
          <w:vertAlign w:val="superscript"/>
          <w14:ligatures w14:val="standardContextual"/>
        </w:rPr>
        <w:footnoteReference w:id="14"/>
      </w:r>
      <w:r w:rsidRPr="00B072FD">
        <w:rPr>
          <w:rFonts w:eastAsiaTheme="minorHAnsi"/>
          <w:szCs w:val="24"/>
          <w14:ligatures w14:val="standardContextual"/>
        </w:rPr>
        <w:t xml:space="preserve"> Not so with an MRO, which does not include the reliability improvement projects in the Settlement. And, as Mr. Buckley testifies, an MRO provide for “generation rates” that are “100% market-based,” so an MRO and ESP are equal in this regard.</w:t>
      </w:r>
      <w:r>
        <w:rPr>
          <w:rFonts w:eastAsiaTheme="minorHAnsi"/>
          <w:szCs w:val="24"/>
          <w:vertAlign w:val="superscript"/>
          <w14:ligatures w14:val="standardContextual"/>
        </w:rPr>
        <w:footnoteReference w:id="15"/>
      </w:r>
      <w:r w:rsidRPr="00B072FD">
        <w:rPr>
          <w:rFonts w:eastAsiaTheme="minorHAnsi"/>
          <w:szCs w:val="24"/>
          <w14:ligatures w14:val="standardContextual"/>
        </w:rPr>
        <w:t xml:space="preserve"> In sum, Mr. Buckley’s testimony directly compares an MRO and ESP, finding the difference to be reliability-related improvements that are more costly than beneficial to consumers. AEP </w:t>
      </w:r>
      <w:r w:rsidR="0033187F">
        <w:rPr>
          <w:rFonts w:eastAsiaTheme="minorHAnsi"/>
          <w:szCs w:val="24"/>
          <w14:ligatures w14:val="standardContextual"/>
        </w:rPr>
        <w:t xml:space="preserve">Ohio </w:t>
      </w:r>
      <w:r w:rsidRPr="00B072FD">
        <w:rPr>
          <w:rFonts w:eastAsiaTheme="minorHAnsi"/>
          <w:szCs w:val="24"/>
          <w14:ligatures w14:val="standardContextual"/>
        </w:rPr>
        <w:t>disagree</w:t>
      </w:r>
      <w:r w:rsidRPr="00B072FD">
        <w:rPr>
          <w:rFonts w:eastAsiaTheme="minorHAnsi"/>
          <w:szCs w:val="24"/>
          <w14:ligatures w14:val="standardContextual"/>
        </w:rPr>
        <w:t>s</w:t>
      </w:r>
      <w:r w:rsidRPr="00B072FD">
        <w:rPr>
          <w:rFonts w:eastAsiaTheme="minorHAnsi"/>
          <w:szCs w:val="24"/>
          <w14:ligatures w14:val="standardContextual"/>
        </w:rPr>
        <w:t xml:space="preserve"> with Mr. Buckley’s conclusion, but that does not mean his testimony is irrelevant to the more-favorable-in-the-aggregate test in R.C. 4928.143(C).</w:t>
      </w:r>
    </w:p>
    <w:p w:rsidR="005E300E" w:rsidRPr="00B072FD" w:rsidP="005E300E" w14:paraId="1EEF2F60" w14:textId="0658E5B8">
      <w:pPr>
        <w:spacing w:line="480" w:lineRule="auto"/>
        <w:ind w:firstLine="720"/>
        <w:rPr>
          <w:rFonts w:eastAsiaTheme="minorHAnsi"/>
          <w:szCs w:val="24"/>
          <w14:ligatures w14:val="standardContextual"/>
        </w:rPr>
      </w:pPr>
      <w:r w:rsidRPr="00B072FD">
        <w:rPr>
          <w:rFonts w:eastAsiaTheme="minorHAnsi"/>
          <w:szCs w:val="24"/>
          <w14:ligatures w14:val="standardContextual"/>
        </w:rPr>
        <w:t xml:space="preserve">Next, AEP </w:t>
      </w:r>
      <w:r w:rsidR="0033187F">
        <w:rPr>
          <w:rFonts w:eastAsiaTheme="minorHAnsi"/>
          <w:szCs w:val="24"/>
          <w14:ligatures w14:val="standardContextual"/>
        </w:rPr>
        <w:t xml:space="preserve">Ohio </w:t>
      </w:r>
      <w:r w:rsidRPr="00B072FD">
        <w:rPr>
          <w:rFonts w:eastAsiaTheme="minorHAnsi"/>
          <w:szCs w:val="24"/>
          <w14:ligatures w14:val="standardContextual"/>
        </w:rPr>
        <w:t>argues Mr. Buckley’s testimony should be stricken for focusing only on “one aspect of the Stipulation in isolation.”</w:t>
      </w:r>
      <w:r>
        <w:rPr>
          <w:rFonts w:eastAsiaTheme="minorHAnsi"/>
          <w:szCs w:val="24"/>
          <w:vertAlign w:val="superscript"/>
          <w14:ligatures w14:val="standardContextual"/>
        </w:rPr>
        <w:footnoteReference w:id="16"/>
      </w:r>
      <w:r w:rsidRPr="00B072FD">
        <w:rPr>
          <w:rFonts w:eastAsiaTheme="minorHAnsi"/>
          <w:szCs w:val="24"/>
          <w14:ligatures w14:val="standardContextual"/>
        </w:rPr>
        <w:t xml:space="preserve"> AEP</w:t>
      </w:r>
      <w:r w:rsidR="0033187F">
        <w:rPr>
          <w:rFonts w:eastAsiaTheme="minorHAnsi"/>
          <w:szCs w:val="24"/>
          <w14:ligatures w14:val="standardContextual"/>
        </w:rPr>
        <w:t xml:space="preserve"> Ohio</w:t>
      </w:r>
      <w:r w:rsidRPr="00B072FD">
        <w:rPr>
          <w:rFonts w:eastAsiaTheme="minorHAnsi"/>
          <w:szCs w:val="24"/>
          <w14:ligatures w14:val="standardContextual"/>
        </w:rPr>
        <w:t xml:space="preserve"> is misguided in arguing that the PUCO’s consideration of Settlements </w:t>
      </w:r>
      <w:r w:rsidRPr="00B072FD">
        <w:rPr>
          <w:rFonts w:eastAsiaTheme="minorHAnsi"/>
          <w:i/>
          <w:iCs/>
          <w:szCs w:val="24"/>
          <w14:ligatures w14:val="standardContextual"/>
        </w:rPr>
        <w:t>as a package</w:t>
      </w:r>
      <w:r w:rsidRPr="00B072FD">
        <w:rPr>
          <w:rFonts w:eastAsiaTheme="minorHAnsi"/>
          <w:szCs w:val="24"/>
          <w14:ligatures w14:val="standardContextual"/>
        </w:rPr>
        <w:t xml:space="preserve"> prohibits a witness from testifying about some elements of a Settlement and not others. The PUCO has routinely allowed OCC experts to do exactly that.</w:t>
      </w:r>
      <w:r>
        <w:rPr>
          <w:rFonts w:eastAsiaTheme="minorHAnsi"/>
          <w:szCs w:val="24"/>
          <w:vertAlign w:val="superscript"/>
          <w14:ligatures w14:val="standardContextual"/>
        </w:rPr>
        <w:footnoteReference w:id="17"/>
      </w:r>
      <w:r w:rsidRPr="00B072FD">
        <w:rPr>
          <w:rFonts w:eastAsiaTheme="minorHAnsi"/>
          <w:szCs w:val="24"/>
          <w14:ligatures w14:val="standardContextual"/>
        </w:rPr>
        <w:t xml:space="preserve"> Beyond contradicting PUCO precedent, AEP</w:t>
      </w:r>
      <w:r w:rsidR="0033187F">
        <w:rPr>
          <w:rFonts w:eastAsiaTheme="minorHAnsi"/>
          <w:szCs w:val="24"/>
          <w14:ligatures w14:val="standardContextual"/>
        </w:rPr>
        <w:t xml:space="preserve"> Ohio</w:t>
      </w:r>
      <w:r w:rsidRPr="00B072FD">
        <w:rPr>
          <w:rFonts w:eastAsiaTheme="minorHAnsi"/>
          <w:szCs w:val="24"/>
          <w14:ligatures w14:val="standardContextual"/>
        </w:rPr>
        <w:t>’s argument</w:t>
      </w:r>
      <w:r w:rsidRPr="00B072FD" w:rsidR="00E46908">
        <w:rPr>
          <w:rFonts w:eastAsiaTheme="minorHAnsi"/>
          <w:szCs w:val="24"/>
          <w14:ligatures w14:val="standardContextual"/>
        </w:rPr>
        <w:t>s</w:t>
      </w:r>
      <w:r w:rsidRPr="00B072FD">
        <w:rPr>
          <w:rFonts w:eastAsiaTheme="minorHAnsi"/>
          <w:szCs w:val="24"/>
          <w14:ligatures w14:val="standardContextual"/>
        </w:rPr>
        <w:t xml:space="preserve"> misunderstand relevance. To prove anything, says AEP</w:t>
      </w:r>
      <w:r w:rsidR="0033187F">
        <w:rPr>
          <w:rFonts w:eastAsiaTheme="minorHAnsi"/>
          <w:szCs w:val="24"/>
          <w14:ligatures w14:val="standardContextual"/>
        </w:rPr>
        <w:t xml:space="preserve"> Ohio</w:t>
      </w:r>
      <w:r w:rsidRPr="00B072FD">
        <w:rPr>
          <w:rFonts w:eastAsiaTheme="minorHAnsi"/>
          <w:szCs w:val="24"/>
          <w14:ligatures w14:val="standardContextual"/>
        </w:rPr>
        <w:t xml:space="preserve">, a witness must attempt to prove everything. </w:t>
      </w:r>
      <w:r w:rsidRPr="00B072FD" w:rsidR="00F274ED">
        <w:rPr>
          <w:rFonts w:eastAsiaTheme="minorHAnsi"/>
          <w:szCs w:val="24"/>
          <w14:ligatures w14:val="standardContextual"/>
        </w:rPr>
        <w:t xml:space="preserve">That is not how relevance works. </w:t>
      </w:r>
      <w:r w:rsidRPr="00B072FD">
        <w:rPr>
          <w:rFonts w:eastAsiaTheme="minorHAnsi"/>
          <w:szCs w:val="24"/>
          <w14:ligatures w14:val="standardContextual"/>
        </w:rPr>
        <w:t>In an OVI</w:t>
      </w:r>
      <w:r>
        <w:rPr>
          <w:rFonts w:eastAsiaTheme="minorHAnsi"/>
          <w:szCs w:val="24"/>
          <w:vertAlign w:val="superscript"/>
          <w14:ligatures w14:val="standardContextual"/>
        </w:rPr>
        <w:footnoteReference w:id="18"/>
      </w:r>
      <w:r w:rsidRPr="00B072FD">
        <w:rPr>
          <w:rFonts w:eastAsiaTheme="minorHAnsi"/>
          <w:szCs w:val="24"/>
          <w14:ligatures w14:val="standardContextual"/>
        </w:rPr>
        <w:t xml:space="preserve"> case, for example, AEP</w:t>
      </w:r>
      <w:r w:rsidR="0033187F">
        <w:rPr>
          <w:rFonts w:eastAsiaTheme="minorHAnsi"/>
          <w:szCs w:val="24"/>
          <w14:ligatures w14:val="standardContextual"/>
        </w:rPr>
        <w:t xml:space="preserve"> Ohio</w:t>
      </w:r>
      <w:r w:rsidRPr="00B072FD">
        <w:rPr>
          <w:rFonts w:eastAsiaTheme="minorHAnsi"/>
          <w:szCs w:val="24"/>
          <w14:ligatures w14:val="standardContextual"/>
        </w:rPr>
        <w:t xml:space="preserve">’s argument would require a court to exclude testimony of a pedestrian that saw a car drive erratically unless the </w:t>
      </w:r>
      <w:r w:rsidR="005B4CC4">
        <w:rPr>
          <w:rFonts w:eastAsiaTheme="minorHAnsi"/>
          <w:szCs w:val="24"/>
          <w14:ligatures w14:val="standardContextual"/>
        </w:rPr>
        <w:t>pedestrian</w:t>
      </w:r>
      <w:r w:rsidRPr="00B072FD">
        <w:rPr>
          <w:rFonts w:eastAsiaTheme="minorHAnsi"/>
          <w:szCs w:val="24"/>
          <w14:ligatures w14:val="standardContextual"/>
        </w:rPr>
        <w:t xml:space="preserve"> also perceived the driver’s level of intoxication. Again, testimony is relevant if it makes “</w:t>
      </w:r>
      <w:r w:rsidRPr="00B072FD">
        <w:rPr>
          <w:rFonts w:eastAsiaTheme="minorHAnsi"/>
          <w:i/>
          <w:iCs/>
          <w:szCs w:val="24"/>
          <w14:ligatures w14:val="standardContextual"/>
        </w:rPr>
        <w:t>any</w:t>
      </w:r>
      <w:r w:rsidRPr="00B072FD">
        <w:rPr>
          <w:rFonts w:eastAsiaTheme="minorHAnsi"/>
          <w:szCs w:val="24"/>
          <w14:ligatures w14:val="standardContextual"/>
        </w:rPr>
        <w:t xml:space="preserve"> fact” more or less probable. Not </w:t>
      </w:r>
      <w:r w:rsidRPr="00B072FD">
        <w:rPr>
          <w:rFonts w:eastAsiaTheme="minorHAnsi"/>
          <w:i/>
          <w:iCs/>
          <w:szCs w:val="24"/>
          <w14:ligatures w14:val="standardContextual"/>
        </w:rPr>
        <w:t>every</w:t>
      </w:r>
      <w:r w:rsidRPr="00B072FD">
        <w:rPr>
          <w:rFonts w:eastAsiaTheme="minorHAnsi"/>
          <w:szCs w:val="24"/>
          <w14:ligatures w14:val="standardContextual"/>
        </w:rPr>
        <w:t xml:space="preserve"> fact, as AEP </w:t>
      </w:r>
      <w:r w:rsidR="0033187F">
        <w:rPr>
          <w:rFonts w:eastAsiaTheme="minorHAnsi"/>
          <w:szCs w:val="24"/>
          <w14:ligatures w14:val="standardContextual"/>
        </w:rPr>
        <w:t xml:space="preserve">Ohio </w:t>
      </w:r>
      <w:r w:rsidRPr="00B072FD">
        <w:rPr>
          <w:rFonts w:eastAsiaTheme="minorHAnsi"/>
          <w:szCs w:val="24"/>
          <w14:ligatures w14:val="standardContextual"/>
        </w:rPr>
        <w:t>suggests.</w:t>
      </w:r>
    </w:p>
    <w:p w:rsidR="005E300E" w:rsidRPr="00B072FD" w:rsidP="005E300E" w14:paraId="58F92647" w14:textId="2865F281">
      <w:pPr>
        <w:spacing w:line="480" w:lineRule="auto"/>
        <w:ind w:firstLine="720"/>
        <w:rPr>
          <w:rFonts w:eastAsiaTheme="minorHAnsi"/>
          <w:szCs w:val="24"/>
          <w14:ligatures w14:val="standardContextual"/>
        </w:rPr>
      </w:pPr>
      <w:r w:rsidRPr="00B072FD">
        <w:rPr>
          <w:rFonts w:eastAsiaTheme="minorHAnsi"/>
          <w:szCs w:val="24"/>
          <w14:ligatures w14:val="standardContextual"/>
        </w:rPr>
        <w:t xml:space="preserve">Lastly, AEP </w:t>
      </w:r>
      <w:r w:rsidR="0033187F">
        <w:rPr>
          <w:rFonts w:eastAsiaTheme="minorHAnsi"/>
          <w:szCs w:val="24"/>
          <w14:ligatures w14:val="standardContextual"/>
        </w:rPr>
        <w:t xml:space="preserve">Ohio </w:t>
      </w:r>
      <w:r w:rsidRPr="00B072FD">
        <w:rPr>
          <w:rFonts w:eastAsiaTheme="minorHAnsi"/>
          <w:szCs w:val="24"/>
          <w14:ligatures w14:val="standardContextual"/>
        </w:rPr>
        <w:t>argues that OCC witness Buckley’s ROE analysis is irrelevant because it is inconsistent with a recent Ohio Supreme Court decision.</w:t>
      </w:r>
      <w:r>
        <w:rPr>
          <w:rFonts w:eastAsiaTheme="minorHAnsi"/>
          <w:szCs w:val="24"/>
          <w:vertAlign w:val="superscript"/>
          <w14:ligatures w14:val="standardContextual"/>
        </w:rPr>
        <w:footnoteReference w:id="19"/>
      </w:r>
      <w:r w:rsidRPr="00B072FD">
        <w:rPr>
          <w:rFonts w:eastAsiaTheme="minorHAnsi"/>
          <w:szCs w:val="24"/>
          <w14:ligatures w14:val="standardContextual"/>
        </w:rPr>
        <w:t xml:space="preserve"> In AEP</w:t>
      </w:r>
      <w:r w:rsidR="0033187F">
        <w:rPr>
          <w:rFonts w:eastAsiaTheme="minorHAnsi"/>
          <w:szCs w:val="24"/>
          <w14:ligatures w14:val="standardContextual"/>
        </w:rPr>
        <w:t xml:space="preserve"> Ohio</w:t>
      </w:r>
      <w:r w:rsidRPr="00B072FD">
        <w:rPr>
          <w:rFonts w:eastAsiaTheme="minorHAnsi"/>
          <w:szCs w:val="24"/>
          <w14:ligatures w14:val="standardContextual"/>
        </w:rPr>
        <w:t>’s words, that decision states “The Commission is not required to update ROEs in between distribution rate cases.” Even if true,</w:t>
      </w:r>
      <w:r>
        <w:rPr>
          <w:rFonts w:eastAsiaTheme="minorHAnsi"/>
          <w:szCs w:val="24"/>
          <w:vertAlign w:val="superscript"/>
          <w14:ligatures w14:val="standardContextual"/>
        </w:rPr>
        <w:footnoteReference w:id="20"/>
      </w:r>
      <w:r w:rsidRPr="00B072FD">
        <w:rPr>
          <w:rFonts w:eastAsiaTheme="minorHAnsi"/>
          <w:szCs w:val="24"/>
          <w14:ligatures w14:val="standardContextual"/>
        </w:rPr>
        <w:t xml:space="preserve"> this would not make Mr. Buckley’s testimony irrelevant. Mr. Buckley’s testimony is that the outdated ROE causes the Settlement as a package to harm consumers and the public interest by causing consumers to pay rates that are too high. This is true even if the law does not </w:t>
      </w:r>
      <w:r w:rsidRPr="00B072FD">
        <w:rPr>
          <w:rFonts w:eastAsiaTheme="minorHAnsi"/>
          <w:i/>
          <w:iCs/>
          <w:szCs w:val="24"/>
          <w14:ligatures w14:val="standardContextual"/>
        </w:rPr>
        <w:t xml:space="preserve">require </w:t>
      </w:r>
      <w:r w:rsidRPr="00B072FD">
        <w:rPr>
          <w:rFonts w:eastAsiaTheme="minorHAnsi"/>
          <w:szCs w:val="24"/>
          <w14:ligatures w14:val="standardContextual"/>
        </w:rPr>
        <w:t>an updated ROE.</w:t>
      </w:r>
      <w:r w:rsidRPr="00B072FD" w:rsidR="00F274ED">
        <w:rPr>
          <w:rFonts w:eastAsiaTheme="minorHAnsi"/>
          <w:szCs w:val="24"/>
          <w14:ligatures w14:val="standardContextual"/>
        </w:rPr>
        <w:t xml:space="preserve"> And in any event, AEP can make that legal argument in briefs.</w:t>
      </w:r>
      <w:r w:rsidRPr="00B072FD">
        <w:rPr>
          <w:rFonts w:eastAsiaTheme="minorHAnsi"/>
          <w:szCs w:val="24"/>
          <w14:ligatures w14:val="standardContextual"/>
        </w:rPr>
        <w:t xml:space="preserve"> </w:t>
      </w:r>
    </w:p>
    <w:p w:rsidR="005E300E" w:rsidRPr="00B072FD" w:rsidP="005E300E" w14:paraId="693E58AB" w14:textId="70E0898C">
      <w:pPr>
        <w:spacing w:line="480" w:lineRule="auto"/>
        <w:ind w:firstLine="720"/>
        <w:rPr>
          <w:rFonts w:eastAsiaTheme="minorHAnsi"/>
          <w:szCs w:val="24"/>
          <w14:ligatures w14:val="standardContextual"/>
        </w:rPr>
      </w:pPr>
      <w:r w:rsidRPr="00B072FD">
        <w:rPr>
          <w:rFonts w:eastAsiaTheme="minorHAnsi"/>
          <w:szCs w:val="24"/>
          <w14:ligatures w14:val="standardContextual"/>
        </w:rPr>
        <w:t>Mr. Buckley’s analysis that the Settlement includes an inflated ROE based on outdated market data is relevant. It “has…tendency” “to make more probable” that consumers are paying too high rates, meaning the Settlement does not benefit consumers and the public interest or comply with important regulatory practices and principles. The PUCO should deny AEP</w:t>
      </w:r>
      <w:r w:rsidR="0033187F">
        <w:rPr>
          <w:rFonts w:eastAsiaTheme="minorHAnsi"/>
          <w:szCs w:val="24"/>
          <w14:ligatures w14:val="standardContextual"/>
        </w:rPr>
        <w:t xml:space="preserve"> Ohio</w:t>
      </w:r>
      <w:r w:rsidRPr="00B072FD">
        <w:rPr>
          <w:rFonts w:eastAsiaTheme="minorHAnsi"/>
          <w:szCs w:val="24"/>
          <w14:ligatures w14:val="standardContextual"/>
        </w:rPr>
        <w:t>’s motion to strike Mr. Buckley’s testimony.</w:t>
      </w:r>
      <w:r w:rsidRPr="00B072FD" w:rsidR="005E650C">
        <w:rPr>
          <w:rFonts w:eastAsiaTheme="minorHAnsi"/>
          <w:szCs w:val="24"/>
          <w14:ligatures w14:val="standardContextual"/>
        </w:rPr>
        <w:t xml:space="preserve"> </w:t>
      </w:r>
    </w:p>
    <w:p w:rsidR="007F69A1" w:rsidRPr="00B072FD" w:rsidP="00CD67BF" w14:paraId="71D13807" w14:textId="3AA6C1F3">
      <w:pPr>
        <w:pStyle w:val="Heading2"/>
      </w:pPr>
      <w:bookmarkStart w:id="4" w:name="_Toc147821842"/>
      <w:r w:rsidRPr="00B072FD">
        <w:rPr>
          <w:rStyle w:val="Heading2Char"/>
          <w:b/>
        </w:rPr>
        <w:t>B.</w:t>
      </w:r>
      <w:r w:rsidRPr="00B072FD">
        <w:rPr>
          <w:rStyle w:val="Heading2Char"/>
          <w:b/>
        </w:rPr>
        <w:tab/>
      </w:r>
      <w:r w:rsidRPr="00B072FD" w:rsidR="00D172CF">
        <w:rPr>
          <w:rStyle w:val="Heading2Char"/>
          <w:b/>
        </w:rPr>
        <w:t xml:space="preserve">Andrew Tinkham’s </w:t>
      </w:r>
      <w:r w:rsidRPr="00B072FD" w:rsidR="00287978">
        <w:rPr>
          <w:rStyle w:val="Heading2Char"/>
          <w:b/>
        </w:rPr>
        <w:t>expert</w:t>
      </w:r>
      <w:r w:rsidRPr="00B072FD" w:rsidR="00AD7146">
        <w:rPr>
          <w:rStyle w:val="Heading2Char"/>
          <w:b/>
        </w:rPr>
        <w:t xml:space="preserve"> testimony</w:t>
      </w:r>
      <w:r w:rsidRPr="00B072FD" w:rsidR="00287978">
        <w:rPr>
          <w:rStyle w:val="Heading2Char"/>
          <w:b/>
        </w:rPr>
        <w:t xml:space="preserve"> about the</w:t>
      </w:r>
      <w:r w:rsidRPr="00B072FD" w:rsidR="00D172CF">
        <w:rPr>
          <w:rStyle w:val="Heading2Char"/>
          <w:b/>
        </w:rPr>
        <w:t xml:space="preserve"> abnormally high disconnection rate of AEP Ohio compared to Ohio’s other electric distribution utilities is relevant, admissible, and essential expert testimony</w:t>
      </w:r>
      <w:r w:rsidRPr="00B072FD" w:rsidR="00FD3735">
        <w:rPr>
          <w:rStyle w:val="Heading2Char"/>
          <w:b/>
        </w:rPr>
        <w:t xml:space="preserve"> important for consumer protection.</w:t>
      </w:r>
      <w:r w:rsidRPr="00B072FD" w:rsidR="00F274ED">
        <w:rPr>
          <w:rStyle w:val="Heading2Char"/>
          <w:b/>
        </w:rPr>
        <w:t xml:space="preserve"> The PUCO should reject AEP</w:t>
      </w:r>
      <w:r w:rsidR="0033187F">
        <w:rPr>
          <w:rStyle w:val="Heading2Char"/>
          <w:b/>
        </w:rPr>
        <w:t xml:space="preserve"> Ohio</w:t>
      </w:r>
      <w:r w:rsidRPr="00B072FD" w:rsidR="00F274ED">
        <w:rPr>
          <w:rStyle w:val="Heading2Char"/>
          <w:b/>
        </w:rPr>
        <w:t>’s attempts to exclude it.</w:t>
      </w:r>
      <w:bookmarkEnd w:id="4"/>
    </w:p>
    <w:p w:rsidR="00302A2D" w:rsidRPr="00B072FD" w:rsidP="00C95BBD" w14:paraId="71942321" w14:textId="65E99682">
      <w:pPr>
        <w:spacing w:line="480" w:lineRule="auto"/>
        <w:ind w:firstLine="720"/>
        <w:contextualSpacing/>
        <w:rPr>
          <w:color w:val="000000" w:themeColor="text1"/>
          <w:szCs w:val="24"/>
        </w:rPr>
      </w:pPr>
      <w:r w:rsidRPr="00B072FD">
        <w:rPr>
          <w:color w:val="000000" w:themeColor="text1"/>
          <w:szCs w:val="24"/>
        </w:rPr>
        <w:t xml:space="preserve">AEP Ohio </w:t>
      </w:r>
      <w:r w:rsidRPr="00B072FD" w:rsidR="00B34523">
        <w:rPr>
          <w:color w:val="000000" w:themeColor="text1"/>
          <w:szCs w:val="24"/>
        </w:rPr>
        <w:t>seeks</w:t>
      </w:r>
      <w:r w:rsidRPr="00B072FD">
        <w:rPr>
          <w:color w:val="000000" w:themeColor="text1"/>
          <w:szCs w:val="24"/>
        </w:rPr>
        <w:t xml:space="preserve"> to exclude from the PUCO’s consideration the very data that </w:t>
      </w:r>
      <w:r w:rsidRPr="00B072FD" w:rsidR="00042A97">
        <w:rPr>
          <w:color w:val="000000" w:themeColor="text1"/>
          <w:szCs w:val="24"/>
        </w:rPr>
        <w:t>the PUCO</w:t>
      </w:r>
      <w:r w:rsidRPr="00B072FD">
        <w:rPr>
          <w:color w:val="000000" w:themeColor="text1"/>
          <w:szCs w:val="24"/>
        </w:rPr>
        <w:t xml:space="preserve"> ordered AEP Ohio and the other electric distribution utilities </w:t>
      </w:r>
      <w:r w:rsidRPr="00B072FD" w:rsidR="000D5BEE">
        <w:rPr>
          <w:color w:val="000000" w:themeColor="text1"/>
          <w:szCs w:val="24"/>
        </w:rPr>
        <w:t xml:space="preserve">(“EDU”) </w:t>
      </w:r>
      <w:r w:rsidRPr="00B072FD">
        <w:rPr>
          <w:color w:val="000000" w:themeColor="text1"/>
          <w:szCs w:val="24"/>
        </w:rPr>
        <w:t xml:space="preserve">to produce to </w:t>
      </w:r>
      <w:r w:rsidRPr="00B072FD" w:rsidR="00D172CF">
        <w:rPr>
          <w:color w:val="000000" w:themeColor="text1"/>
          <w:szCs w:val="24"/>
        </w:rPr>
        <w:t>Andrew Tinkham</w:t>
      </w:r>
      <w:r w:rsidRPr="00B072FD">
        <w:rPr>
          <w:color w:val="000000" w:themeColor="text1"/>
          <w:szCs w:val="24"/>
        </w:rPr>
        <w:t>, OCC’s expert witness.</w:t>
      </w:r>
      <w:r>
        <w:rPr>
          <w:rStyle w:val="FootnoteReference"/>
          <w:color w:val="000000" w:themeColor="text1"/>
          <w:szCs w:val="24"/>
        </w:rPr>
        <w:footnoteReference w:id="21"/>
      </w:r>
      <w:r w:rsidRPr="00B072FD" w:rsidR="005E650C">
        <w:rPr>
          <w:color w:val="000000" w:themeColor="text1"/>
          <w:szCs w:val="24"/>
        </w:rPr>
        <w:t xml:space="preserve"> </w:t>
      </w:r>
      <w:r w:rsidRPr="00B072FD">
        <w:rPr>
          <w:color w:val="000000" w:themeColor="text1"/>
          <w:szCs w:val="24"/>
        </w:rPr>
        <w:t>Mr. Tinkham</w:t>
      </w:r>
      <w:r w:rsidRPr="00B072FD" w:rsidR="00F274ED">
        <w:rPr>
          <w:color w:val="000000" w:themeColor="text1"/>
          <w:szCs w:val="24"/>
        </w:rPr>
        <w:t xml:space="preserve"> testified about</w:t>
      </w:r>
      <w:r w:rsidRPr="00B072FD" w:rsidR="00D172CF">
        <w:rPr>
          <w:color w:val="000000" w:themeColor="text1"/>
          <w:szCs w:val="24"/>
        </w:rPr>
        <w:t xml:space="preserve"> </w:t>
      </w:r>
      <w:r w:rsidRPr="00B072FD">
        <w:rPr>
          <w:color w:val="000000" w:themeColor="text1"/>
          <w:szCs w:val="24"/>
        </w:rPr>
        <w:t>the enormous disparity between AEP Ohio’s disconnection rate and that of every other Ohio</w:t>
      </w:r>
      <w:r w:rsidRPr="00B072FD" w:rsidR="00612AAB">
        <w:rPr>
          <w:color w:val="000000" w:themeColor="text1"/>
          <w:szCs w:val="24"/>
        </w:rPr>
        <w:t xml:space="preserve"> electric utility</w:t>
      </w:r>
      <w:r w:rsidRPr="00B072FD">
        <w:rPr>
          <w:color w:val="000000" w:themeColor="text1"/>
          <w:szCs w:val="24"/>
        </w:rPr>
        <w:t>.</w:t>
      </w:r>
      <w:r w:rsidRPr="00B072FD" w:rsidR="005E650C">
        <w:rPr>
          <w:color w:val="000000" w:themeColor="text1"/>
          <w:szCs w:val="24"/>
        </w:rPr>
        <w:t xml:space="preserve"> </w:t>
      </w:r>
      <w:r w:rsidRPr="00B072FD" w:rsidR="00612AAB">
        <w:rPr>
          <w:color w:val="000000" w:themeColor="text1"/>
          <w:szCs w:val="24"/>
        </w:rPr>
        <w:t xml:space="preserve">Mr. </w:t>
      </w:r>
      <w:r w:rsidRPr="00B072FD">
        <w:rPr>
          <w:color w:val="000000" w:themeColor="text1"/>
          <w:szCs w:val="24"/>
        </w:rPr>
        <w:t>Tinkham testifie</w:t>
      </w:r>
      <w:r w:rsidRPr="00B072FD" w:rsidR="00612AAB">
        <w:rPr>
          <w:color w:val="000000" w:themeColor="text1"/>
          <w:szCs w:val="24"/>
        </w:rPr>
        <w:t>d</w:t>
      </w:r>
      <w:r w:rsidRPr="00B072FD">
        <w:rPr>
          <w:color w:val="000000" w:themeColor="text1"/>
          <w:szCs w:val="24"/>
        </w:rPr>
        <w:t xml:space="preserve"> that the </w:t>
      </w:r>
      <w:r w:rsidRPr="00B072FD" w:rsidR="002A65C1">
        <w:rPr>
          <w:color w:val="000000" w:themeColor="text1"/>
          <w:szCs w:val="24"/>
        </w:rPr>
        <w:t>S</w:t>
      </w:r>
      <w:r w:rsidRPr="00B072FD" w:rsidR="00FD3735">
        <w:rPr>
          <w:color w:val="000000" w:themeColor="text1"/>
          <w:szCs w:val="24"/>
        </w:rPr>
        <w:t xml:space="preserve">ettlement’s </w:t>
      </w:r>
      <w:r w:rsidRPr="00B072FD">
        <w:rPr>
          <w:color w:val="000000" w:themeColor="text1"/>
          <w:szCs w:val="24"/>
        </w:rPr>
        <w:t>failure to address this disparity</w:t>
      </w:r>
      <w:r w:rsidRPr="00B072FD">
        <w:rPr>
          <w:color w:val="000000" w:themeColor="text1"/>
          <w:szCs w:val="24"/>
        </w:rPr>
        <w:t xml:space="preserve"> violates prongs two and three of the test used by the PUCO to evaluate settlements.</w:t>
      </w:r>
      <w:r>
        <w:rPr>
          <w:rStyle w:val="FootnoteReference"/>
          <w:color w:val="000000" w:themeColor="text1"/>
          <w:szCs w:val="24"/>
        </w:rPr>
        <w:footnoteReference w:id="22"/>
      </w:r>
      <w:r w:rsidRPr="00B072FD" w:rsidR="005E650C">
        <w:rPr>
          <w:color w:val="000000" w:themeColor="text1"/>
          <w:szCs w:val="24"/>
        </w:rPr>
        <w:t xml:space="preserve"> </w:t>
      </w:r>
      <w:r w:rsidRPr="00B072FD">
        <w:rPr>
          <w:color w:val="000000" w:themeColor="text1"/>
          <w:szCs w:val="24"/>
        </w:rPr>
        <w:t xml:space="preserve">It’s not surprising that in the face of direct factual evidence of what </w:t>
      </w:r>
      <w:r w:rsidRPr="00B072FD" w:rsidR="00036DCB">
        <w:rPr>
          <w:color w:val="000000" w:themeColor="text1"/>
          <w:szCs w:val="24"/>
        </w:rPr>
        <w:t xml:space="preserve">very well could </w:t>
      </w:r>
      <w:r w:rsidRPr="00B072FD">
        <w:rPr>
          <w:color w:val="000000" w:themeColor="text1"/>
          <w:szCs w:val="24"/>
        </w:rPr>
        <w:t>be abusive disconnection practices and policies</w:t>
      </w:r>
      <w:r w:rsidRPr="00B072FD" w:rsidR="00FD3735">
        <w:rPr>
          <w:color w:val="000000" w:themeColor="text1"/>
          <w:szCs w:val="24"/>
        </w:rPr>
        <w:t>,</w:t>
      </w:r>
      <w:r w:rsidRPr="00B072FD">
        <w:rPr>
          <w:color w:val="000000" w:themeColor="text1"/>
          <w:szCs w:val="24"/>
        </w:rPr>
        <w:t xml:space="preserve"> AEP Ohio seeks to deny the PUCO the opportunity to even </w:t>
      </w:r>
      <w:r w:rsidRPr="00B072FD" w:rsidR="00FD3735">
        <w:rPr>
          <w:color w:val="000000" w:themeColor="text1"/>
          <w:szCs w:val="24"/>
        </w:rPr>
        <w:t xml:space="preserve">hear </w:t>
      </w:r>
      <w:r w:rsidRPr="00B072FD">
        <w:rPr>
          <w:color w:val="000000" w:themeColor="text1"/>
          <w:szCs w:val="24"/>
        </w:rPr>
        <w:t>that evidence.</w:t>
      </w:r>
    </w:p>
    <w:p w:rsidR="00DB61BA" w:rsidRPr="00B072FD" w:rsidP="00DB61BA" w14:paraId="4F191B72" w14:textId="30DDB63C">
      <w:pPr>
        <w:spacing w:line="480" w:lineRule="auto"/>
        <w:ind w:firstLine="720"/>
        <w:contextualSpacing/>
        <w:rPr>
          <w:color w:val="000000" w:themeColor="text1"/>
          <w:szCs w:val="24"/>
        </w:rPr>
      </w:pPr>
      <w:r w:rsidRPr="00B072FD">
        <w:rPr>
          <w:color w:val="000000" w:themeColor="text1"/>
          <w:szCs w:val="24"/>
        </w:rPr>
        <w:t>AEP Ohio</w:t>
      </w:r>
      <w:r w:rsidRPr="00B072FD" w:rsidR="00612AAB">
        <w:rPr>
          <w:color w:val="000000" w:themeColor="text1"/>
          <w:szCs w:val="24"/>
        </w:rPr>
        <w:t xml:space="preserve"> also</w:t>
      </w:r>
      <w:r w:rsidRPr="00B072FD">
        <w:rPr>
          <w:color w:val="000000" w:themeColor="text1"/>
          <w:szCs w:val="24"/>
        </w:rPr>
        <w:t xml:space="preserve"> seeks to exclude </w:t>
      </w:r>
      <w:r w:rsidRPr="00B072FD" w:rsidR="00612AAB">
        <w:rPr>
          <w:color w:val="000000" w:themeColor="text1"/>
          <w:szCs w:val="24"/>
        </w:rPr>
        <w:t xml:space="preserve">Mr. </w:t>
      </w:r>
      <w:r w:rsidRPr="00B072FD">
        <w:rPr>
          <w:color w:val="000000" w:themeColor="text1"/>
          <w:szCs w:val="24"/>
        </w:rPr>
        <w:t>Tinkham’s Testimony on p. 7 commencing on line 15 through p. 8, line 8</w:t>
      </w:r>
      <w:r w:rsidRPr="00B072FD" w:rsidR="00612AAB">
        <w:rPr>
          <w:color w:val="000000" w:themeColor="text1"/>
          <w:szCs w:val="24"/>
        </w:rPr>
        <w:t>,</w:t>
      </w:r>
      <w:r w:rsidRPr="00B072FD" w:rsidR="005E650C">
        <w:rPr>
          <w:color w:val="000000" w:themeColor="text1"/>
          <w:szCs w:val="24"/>
        </w:rPr>
        <w:t xml:space="preserve"> </w:t>
      </w:r>
      <w:r w:rsidRPr="00B072FD" w:rsidR="00612AAB">
        <w:rPr>
          <w:color w:val="000000" w:themeColor="text1"/>
          <w:szCs w:val="24"/>
        </w:rPr>
        <w:t xml:space="preserve">and </w:t>
      </w:r>
      <w:r w:rsidRPr="00B072FD">
        <w:rPr>
          <w:color w:val="000000" w:themeColor="text1"/>
          <w:szCs w:val="24"/>
        </w:rPr>
        <w:t>related Attachments ART-3, 4, and 5.</w:t>
      </w:r>
      <w:r w:rsidRPr="00B072FD" w:rsidR="005E650C">
        <w:rPr>
          <w:color w:val="000000" w:themeColor="text1"/>
          <w:szCs w:val="24"/>
        </w:rPr>
        <w:t xml:space="preserve"> </w:t>
      </w:r>
      <w:r w:rsidRPr="00B072FD">
        <w:rPr>
          <w:color w:val="000000" w:themeColor="text1"/>
          <w:szCs w:val="24"/>
        </w:rPr>
        <w:t xml:space="preserve">The data in these attachments </w:t>
      </w:r>
      <w:r w:rsidRPr="00B072FD" w:rsidR="00E83602">
        <w:rPr>
          <w:color w:val="000000" w:themeColor="text1"/>
          <w:szCs w:val="24"/>
        </w:rPr>
        <w:t xml:space="preserve">was </w:t>
      </w:r>
      <w:r w:rsidRPr="00B072FD" w:rsidR="00AF69BA">
        <w:rPr>
          <w:color w:val="000000" w:themeColor="text1"/>
          <w:szCs w:val="24"/>
        </w:rPr>
        <w:t xml:space="preserve">ordered by the PUCO to be filed with the </w:t>
      </w:r>
      <w:r w:rsidRPr="00B072FD" w:rsidR="00FD3735">
        <w:rPr>
          <w:color w:val="000000" w:themeColor="text1"/>
          <w:szCs w:val="24"/>
        </w:rPr>
        <w:t xml:space="preserve">PUCO </w:t>
      </w:r>
      <w:r w:rsidRPr="00B072FD" w:rsidR="00AF69BA">
        <w:rPr>
          <w:color w:val="000000" w:themeColor="text1"/>
          <w:szCs w:val="24"/>
          <w:u w:val="single"/>
        </w:rPr>
        <w:t>and</w:t>
      </w:r>
      <w:r w:rsidRPr="00B072FD" w:rsidR="00F87078">
        <w:rPr>
          <w:color w:val="000000" w:themeColor="text1"/>
          <w:szCs w:val="24"/>
        </w:rPr>
        <w:t xml:space="preserve"> </w:t>
      </w:r>
      <w:r w:rsidRPr="00B072FD" w:rsidR="00AF69BA">
        <w:rPr>
          <w:color w:val="000000" w:themeColor="text1"/>
          <w:szCs w:val="24"/>
        </w:rPr>
        <w:t xml:space="preserve">produced </w:t>
      </w:r>
      <w:r w:rsidRPr="00B072FD" w:rsidR="00F87078">
        <w:rPr>
          <w:color w:val="000000" w:themeColor="text1"/>
          <w:szCs w:val="24"/>
        </w:rPr>
        <w:t xml:space="preserve">by each of the electric distribution utility companies directly </w:t>
      </w:r>
      <w:r w:rsidRPr="00B072FD" w:rsidR="00AF69BA">
        <w:rPr>
          <w:color w:val="000000" w:themeColor="text1"/>
          <w:szCs w:val="24"/>
        </w:rPr>
        <w:t xml:space="preserve">to </w:t>
      </w:r>
      <w:r w:rsidRPr="00B072FD" w:rsidR="00F87078">
        <w:rPr>
          <w:color w:val="000000" w:themeColor="text1"/>
          <w:szCs w:val="24"/>
        </w:rPr>
        <w:t>A</w:t>
      </w:r>
      <w:r w:rsidRPr="00B072FD" w:rsidR="00AF69BA">
        <w:rPr>
          <w:color w:val="000000" w:themeColor="text1"/>
          <w:szCs w:val="24"/>
        </w:rPr>
        <w:t>ndrew Tinkham</w:t>
      </w:r>
      <w:r w:rsidRPr="00B072FD" w:rsidR="00F87078">
        <w:rPr>
          <w:color w:val="000000" w:themeColor="text1"/>
          <w:szCs w:val="24"/>
        </w:rPr>
        <w:t>, OCC’s expert witness</w:t>
      </w:r>
      <w:r w:rsidRPr="00B072FD" w:rsidR="00AF69BA">
        <w:rPr>
          <w:color w:val="000000" w:themeColor="text1"/>
          <w:szCs w:val="24"/>
        </w:rPr>
        <w:t>.</w:t>
      </w:r>
      <w:r>
        <w:rPr>
          <w:rStyle w:val="FootnoteReference"/>
          <w:color w:val="000000" w:themeColor="text1"/>
          <w:szCs w:val="24"/>
        </w:rPr>
        <w:footnoteReference w:id="23"/>
      </w:r>
      <w:r w:rsidRPr="00B072FD" w:rsidR="005E650C">
        <w:rPr>
          <w:color w:val="000000" w:themeColor="text1"/>
          <w:szCs w:val="24"/>
        </w:rPr>
        <w:t xml:space="preserve"> </w:t>
      </w:r>
    </w:p>
    <w:p w:rsidR="00102C15" w:rsidRPr="00B072FD" w:rsidP="00102C15" w14:paraId="0D00E28A" w14:textId="6D43BFCA">
      <w:pPr>
        <w:spacing w:line="480" w:lineRule="auto"/>
        <w:ind w:firstLine="720"/>
        <w:contextualSpacing/>
        <w:rPr>
          <w:color w:val="000000" w:themeColor="text1"/>
          <w:szCs w:val="24"/>
        </w:rPr>
      </w:pPr>
      <w:r w:rsidRPr="00B072FD">
        <w:rPr>
          <w:color w:val="000000" w:themeColor="text1"/>
          <w:szCs w:val="24"/>
        </w:rPr>
        <w:t xml:space="preserve">Mr. Tinkham gathered the data for his analysis from </w:t>
      </w:r>
      <w:r w:rsidRPr="00B072FD" w:rsidR="00820199">
        <w:rPr>
          <w:color w:val="000000" w:themeColor="text1"/>
          <w:szCs w:val="24"/>
        </w:rPr>
        <w:t xml:space="preserve">these </w:t>
      </w:r>
      <w:r w:rsidRPr="00B072FD">
        <w:rPr>
          <w:color w:val="000000" w:themeColor="text1"/>
          <w:szCs w:val="24"/>
        </w:rPr>
        <w:t xml:space="preserve">public records filed by AEP Ohio and the other Ohio </w:t>
      </w:r>
      <w:r w:rsidRPr="00B072FD" w:rsidR="00612AAB">
        <w:rPr>
          <w:color w:val="000000" w:themeColor="text1"/>
          <w:szCs w:val="24"/>
        </w:rPr>
        <w:t xml:space="preserve">electric utilities </w:t>
      </w:r>
      <w:r w:rsidRPr="00B072FD">
        <w:rPr>
          <w:color w:val="000000" w:themeColor="text1"/>
          <w:szCs w:val="24"/>
        </w:rPr>
        <w:t>with the PUCO</w:t>
      </w:r>
      <w:r w:rsidRPr="00B072FD" w:rsidR="00820199">
        <w:rPr>
          <w:color w:val="000000" w:themeColor="text1"/>
          <w:szCs w:val="24"/>
        </w:rPr>
        <w:t xml:space="preserve"> and produced directly to him.</w:t>
      </w:r>
      <w:r w:rsidRPr="00B072FD" w:rsidR="005E650C">
        <w:rPr>
          <w:color w:val="000000" w:themeColor="text1"/>
          <w:szCs w:val="24"/>
        </w:rPr>
        <w:t xml:space="preserve"> </w:t>
      </w:r>
      <w:r w:rsidRPr="00B072FD">
        <w:rPr>
          <w:color w:val="000000" w:themeColor="text1"/>
          <w:szCs w:val="24"/>
        </w:rPr>
        <w:t xml:space="preserve">These records are attached to </w:t>
      </w:r>
      <w:r w:rsidRPr="00B072FD" w:rsidR="00612AAB">
        <w:rPr>
          <w:color w:val="000000" w:themeColor="text1"/>
          <w:szCs w:val="24"/>
        </w:rPr>
        <w:t xml:space="preserve">Mr. </w:t>
      </w:r>
      <w:r w:rsidRPr="00B072FD">
        <w:rPr>
          <w:color w:val="000000" w:themeColor="text1"/>
          <w:szCs w:val="24"/>
        </w:rPr>
        <w:t>Tinkham’s testimony as Attachments ART-1, 2, 3, 4, and 5.</w:t>
      </w:r>
    </w:p>
    <w:p w:rsidR="00102C15" w:rsidRPr="00B072FD" w:rsidP="00102C15" w14:paraId="75FF892B" w14:textId="77242CE8">
      <w:pPr>
        <w:spacing w:line="480" w:lineRule="auto"/>
        <w:ind w:firstLine="720"/>
        <w:contextualSpacing/>
        <w:rPr>
          <w:color w:val="000000" w:themeColor="text1"/>
          <w:szCs w:val="24"/>
        </w:rPr>
      </w:pPr>
      <w:r w:rsidRPr="00B072FD">
        <w:rPr>
          <w:color w:val="000000" w:themeColor="text1"/>
          <w:szCs w:val="24"/>
        </w:rPr>
        <w:t>Each of the Attachments ART-1 through ART-5 expressly state that they are being filed pursuant to the statutory mandate of R.C. 4933.123.</w:t>
      </w:r>
      <w:r w:rsidRPr="00B072FD" w:rsidR="005E650C">
        <w:rPr>
          <w:color w:val="000000" w:themeColor="text1"/>
          <w:szCs w:val="24"/>
        </w:rPr>
        <w:t xml:space="preserve"> </w:t>
      </w:r>
      <w:r w:rsidRPr="00B072FD">
        <w:rPr>
          <w:color w:val="000000" w:themeColor="text1"/>
          <w:szCs w:val="24"/>
        </w:rPr>
        <w:t>Attachments ART-1 through ART-4 further specifically reference the PUCO’s Entry dated May 31, 2023</w:t>
      </w:r>
      <w:r w:rsidRPr="00B072FD" w:rsidR="00766EB1">
        <w:rPr>
          <w:color w:val="000000" w:themeColor="text1"/>
          <w:szCs w:val="24"/>
        </w:rPr>
        <w:t xml:space="preserve"> in the service disconnection reporting case</w:t>
      </w:r>
      <w:r w:rsidRPr="00B072FD" w:rsidR="00FD3735">
        <w:rPr>
          <w:color w:val="000000" w:themeColor="text1"/>
          <w:szCs w:val="24"/>
        </w:rPr>
        <w:t>,</w:t>
      </w:r>
      <w:r w:rsidRPr="00B072FD">
        <w:rPr>
          <w:color w:val="000000" w:themeColor="text1"/>
          <w:szCs w:val="24"/>
        </w:rPr>
        <w:t xml:space="preserve"> which further mandated their filing.</w:t>
      </w:r>
      <w:r w:rsidRPr="00B072FD" w:rsidR="00766EB1">
        <w:rPr>
          <w:rStyle w:val="FootnoteReference"/>
          <w:color w:val="000000" w:themeColor="text1"/>
          <w:szCs w:val="24"/>
        </w:rPr>
        <w:t xml:space="preserve"> </w:t>
      </w:r>
      <w:r>
        <w:rPr>
          <w:rStyle w:val="FootnoteReference"/>
          <w:color w:val="000000" w:themeColor="text1"/>
          <w:szCs w:val="24"/>
        </w:rPr>
        <w:footnoteReference w:id="24"/>
      </w:r>
      <w:r w:rsidRPr="00B072FD" w:rsidR="005E650C">
        <w:rPr>
          <w:color w:val="000000" w:themeColor="text1"/>
          <w:szCs w:val="24"/>
        </w:rPr>
        <w:t xml:space="preserve"> </w:t>
      </w:r>
      <w:r w:rsidRPr="00B072FD">
        <w:rPr>
          <w:color w:val="000000" w:themeColor="text1"/>
          <w:szCs w:val="24"/>
        </w:rPr>
        <w:t>That Entry directed all energy companies subject to R.C. 4933.123 to file their written reports on service disconnections for nonpayment on or before June 30, 2023.</w:t>
      </w:r>
      <w:r>
        <w:rPr>
          <w:rStyle w:val="FootnoteReference"/>
          <w:color w:val="000000" w:themeColor="text1"/>
          <w:szCs w:val="24"/>
        </w:rPr>
        <w:footnoteReference w:id="25"/>
      </w:r>
    </w:p>
    <w:p w:rsidR="00102C15" w:rsidRPr="00B072FD" w:rsidP="00102C15" w14:paraId="673E29EF" w14:textId="3993BB5B">
      <w:pPr>
        <w:spacing w:line="480" w:lineRule="auto"/>
        <w:ind w:firstLine="720"/>
        <w:contextualSpacing/>
        <w:rPr>
          <w:color w:val="000000" w:themeColor="text1"/>
          <w:szCs w:val="24"/>
        </w:rPr>
      </w:pPr>
      <w:r w:rsidRPr="00B072FD">
        <w:rPr>
          <w:color w:val="000000" w:themeColor="text1"/>
          <w:szCs w:val="24"/>
        </w:rPr>
        <w:t>The data required to be set forth on each of the Attachments ART-1 through ART-5 is specifically detailed in R.C. 4933.123</w:t>
      </w:r>
      <w:r w:rsidRPr="00B072FD" w:rsidR="00766EB1">
        <w:rPr>
          <w:color w:val="000000" w:themeColor="text1"/>
          <w:szCs w:val="24"/>
        </w:rPr>
        <w:t>,</w:t>
      </w:r>
      <w:r w:rsidRPr="00B072FD" w:rsidR="005531DF">
        <w:rPr>
          <w:color w:val="000000" w:themeColor="text1"/>
          <w:szCs w:val="24"/>
        </w:rPr>
        <w:t xml:space="preserve"> </w:t>
      </w:r>
      <w:r w:rsidRPr="00B072FD">
        <w:rPr>
          <w:color w:val="000000" w:themeColor="text1"/>
          <w:szCs w:val="24"/>
        </w:rPr>
        <w:t>which states:</w:t>
      </w:r>
    </w:p>
    <w:p w:rsidR="005531DF" w:rsidRPr="00B072FD" w:rsidP="00C86447" w14:paraId="17FEAD62" w14:textId="1EC68977">
      <w:pPr>
        <w:pStyle w:val="ListParagraph"/>
        <w:numPr>
          <w:ilvl w:val="0"/>
          <w:numId w:val="32"/>
        </w:numPr>
        <w:ind w:left="1890" w:right="1440" w:hanging="450"/>
        <w:contextualSpacing/>
        <w:rPr>
          <w:szCs w:val="24"/>
        </w:rPr>
      </w:pPr>
      <w:r w:rsidRPr="00B072FD">
        <w:rPr>
          <w:szCs w:val="24"/>
        </w:rPr>
        <w:t>For the purpose of this section:</w:t>
      </w:r>
    </w:p>
    <w:p w:rsidR="005531DF" w:rsidRPr="00B072FD" w:rsidP="00C86447" w14:paraId="01727386" w14:textId="77777777">
      <w:pPr>
        <w:ind w:left="1890" w:right="1440" w:hanging="450"/>
        <w:contextualSpacing/>
        <w:rPr>
          <w:szCs w:val="24"/>
        </w:rPr>
      </w:pPr>
    </w:p>
    <w:p w:rsidR="005531DF" w:rsidRPr="00B072FD" w:rsidP="00C86447" w14:paraId="204E5721" w14:textId="5669D3DA">
      <w:pPr>
        <w:pStyle w:val="ListParagraph"/>
        <w:numPr>
          <w:ilvl w:val="0"/>
          <w:numId w:val="33"/>
        </w:numPr>
        <w:ind w:left="1890" w:right="1440" w:hanging="450"/>
        <w:contextualSpacing/>
        <w:rPr>
          <w:szCs w:val="24"/>
        </w:rPr>
      </w:pPr>
      <w:r w:rsidRPr="00B072FD">
        <w:rPr>
          <w:szCs w:val="24"/>
        </w:rPr>
        <w:t>"Energy company" shall have the meaning assigned in division (A)(4) of section </w:t>
      </w:r>
      <w:hyperlink r:id="rId16" w:history="1">
        <w:r w:rsidRPr="00B072FD">
          <w:rPr>
            <w:rStyle w:val="Hyperlink"/>
            <w:szCs w:val="24"/>
          </w:rPr>
          <w:t>5117.01</w:t>
        </w:r>
      </w:hyperlink>
      <w:r w:rsidRPr="00B072FD">
        <w:rPr>
          <w:szCs w:val="24"/>
        </w:rPr>
        <w:t> of the Revised Code.</w:t>
      </w:r>
    </w:p>
    <w:p w:rsidR="005531DF" w:rsidRPr="00B072FD" w:rsidP="00C86447" w14:paraId="49156FAB" w14:textId="77777777">
      <w:pPr>
        <w:ind w:left="1890" w:right="1440" w:hanging="450"/>
        <w:contextualSpacing/>
        <w:rPr>
          <w:szCs w:val="24"/>
        </w:rPr>
      </w:pPr>
    </w:p>
    <w:p w:rsidR="005531DF" w:rsidRPr="00B072FD" w:rsidP="00C86447" w14:paraId="78714E3F" w14:textId="60CA3BD7">
      <w:pPr>
        <w:pStyle w:val="ListParagraph"/>
        <w:numPr>
          <w:ilvl w:val="0"/>
          <w:numId w:val="33"/>
        </w:numPr>
        <w:ind w:left="1890" w:right="1440" w:hanging="450"/>
        <w:contextualSpacing/>
        <w:rPr>
          <w:szCs w:val="24"/>
        </w:rPr>
      </w:pPr>
      <w:r w:rsidRPr="00B072FD">
        <w:rPr>
          <w:szCs w:val="24"/>
        </w:rPr>
        <w:t>"Service disconnection for nonpayment" means the intentional discontinuation of gas or electric services to a residential customer by an energy company due to the failure of the customer to pay for such services.</w:t>
      </w:r>
    </w:p>
    <w:p w:rsidR="005531DF" w:rsidRPr="00B072FD" w:rsidP="00C86447" w14:paraId="4B4BFBC4" w14:textId="77777777">
      <w:pPr>
        <w:pStyle w:val="ListParagraph"/>
        <w:ind w:left="1890" w:right="1440" w:hanging="450"/>
        <w:rPr>
          <w:szCs w:val="24"/>
        </w:rPr>
      </w:pPr>
    </w:p>
    <w:p w:rsidR="005531DF" w:rsidRPr="00B072FD" w:rsidP="00C86447" w14:paraId="31BD2157" w14:textId="7409556A">
      <w:pPr>
        <w:ind w:left="1890" w:right="1440" w:hanging="450"/>
        <w:contextualSpacing/>
        <w:rPr>
          <w:szCs w:val="24"/>
        </w:rPr>
      </w:pPr>
      <w:r w:rsidRPr="00B072FD">
        <w:rPr>
          <w:szCs w:val="24"/>
        </w:rPr>
        <w:t>(3) "Service reconnections" means the reconnection of gas or electric services by an energy company to a residential customer whose service was discontinued by such company for nonpayment.</w:t>
      </w:r>
    </w:p>
    <w:p w:rsidR="005531DF" w:rsidRPr="00B072FD" w:rsidP="00C86447" w14:paraId="4EF6B248" w14:textId="77777777">
      <w:pPr>
        <w:ind w:left="1890" w:right="1440" w:hanging="450"/>
        <w:contextualSpacing/>
        <w:rPr>
          <w:szCs w:val="24"/>
        </w:rPr>
      </w:pPr>
    </w:p>
    <w:p w:rsidR="00102C15" w:rsidRPr="00B072FD" w:rsidP="00C86447" w14:paraId="56DBA4A4" w14:textId="73774261">
      <w:pPr>
        <w:ind w:left="1890" w:right="1440" w:hanging="450"/>
        <w:contextualSpacing/>
        <w:rPr>
          <w:szCs w:val="24"/>
        </w:rPr>
      </w:pPr>
      <w:r w:rsidRPr="00B072FD">
        <w:rPr>
          <w:szCs w:val="24"/>
        </w:rPr>
        <w:t>(B)</w:t>
      </w:r>
      <w:r w:rsidRPr="00B072FD" w:rsidR="00BF4BFD">
        <w:rPr>
          <w:szCs w:val="24"/>
        </w:rPr>
        <w:tab/>
      </w:r>
      <w:r w:rsidRPr="00B072FD">
        <w:rPr>
          <w:szCs w:val="24"/>
        </w:rPr>
        <w:t xml:space="preserve">Annually, on or before the thirtieth day of June, each energy company shall file a written report on service disconnections for nonpayment with the public utilities commission and the consumers' counsel. The report shall include the following information for the twelve-month period ending on the preceding thirty-first day of May, by month: </w:t>
      </w:r>
    </w:p>
    <w:p w:rsidR="00102C15" w:rsidRPr="00B072FD" w:rsidP="00C86447" w14:paraId="43481A38" w14:textId="77777777">
      <w:pPr>
        <w:ind w:left="1890" w:right="1440" w:hanging="450"/>
        <w:contextualSpacing/>
        <w:rPr>
          <w:szCs w:val="24"/>
        </w:rPr>
      </w:pPr>
    </w:p>
    <w:p w:rsidR="00102C15" w:rsidRPr="00B072FD" w:rsidP="00C86447" w14:paraId="4022ACBD" w14:textId="7D752AA5">
      <w:pPr>
        <w:ind w:left="1890" w:right="1440" w:hanging="450"/>
        <w:contextualSpacing/>
        <w:rPr>
          <w:szCs w:val="24"/>
        </w:rPr>
      </w:pPr>
      <w:r w:rsidRPr="00B072FD">
        <w:rPr>
          <w:szCs w:val="24"/>
        </w:rPr>
        <w:t>(1)</w:t>
      </w:r>
      <w:r w:rsidRPr="00B072FD" w:rsidR="00BF4BFD">
        <w:rPr>
          <w:szCs w:val="24"/>
        </w:rPr>
        <w:tab/>
      </w:r>
      <w:r w:rsidRPr="00B072FD">
        <w:rPr>
          <w:szCs w:val="24"/>
        </w:rPr>
        <w:t xml:space="preserve">Total number of service disconnections for nonpayment and the total dollar amount of unpaid bills represented by such disconnections; </w:t>
      </w:r>
    </w:p>
    <w:p w:rsidR="00102C15" w:rsidRPr="00B072FD" w:rsidP="00C86447" w14:paraId="0D4992B3" w14:textId="77777777">
      <w:pPr>
        <w:ind w:left="1890" w:right="1440" w:hanging="450"/>
        <w:contextualSpacing/>
        <w:rPr>
          <w:szCs w:val="24"/>
        </w:rPr>
      </w:pPr>
    </w:p>
    <w:p w:rsidR="00102C15" w:rsidRPr="00B072FD" w:rsidP="00C86447" w14:paraId="5A8D8DCE" w14:textId="4D262825">
      <w:pPr>
        <w:ind w:left="1890" w:right="1440" w:hanging="450"/>
        <w:contextualSpacing/>
        <w:rPr>
          <w:szCs w:val="24"/>
        </w:rPr>
      </w:pPr>
      <w:r w:rsidRPr="00B072FD">
        <w:rPr>
          <w:szCs w:val="24"/>
        </w:rPr>
        <w:t>(2)</w:t>
      </w:r>
      <w:r w:rsidRPr="00B072FD" w:rsidR="00BF4BFD">
        <w:rPr>
          <w:szCs w:val="24"/>
        </w:rPr>
        <w:tab/>
      </w:r>
      <w:r w:rsidRPr="00B072FD">
        <w:rPr>
          <w:szCs w:val="24"/>
        </w:rPr>
        <w:t xml:space="preserve">Total number of final notices of actual disconnection issued for service disconnections for nonpayment and the total dollar amount of unpaid bills represented by such notices; </w:t>
      </w:r>
    </w:p>
    <w:p w:rsidR="00102C15" w:rsidRPr="00B072FD" w:rsidP="00C86447" w14:paraId="0385FB32" w14:textId="77777777">
      <w:pPr>
        <w:ind w:left="1890" w:right="1440" w:hanging="450"/>
        <w:contextualSpacing/>
        <w:rPr>
          <w:szCs w:val="24"/>
        </w:rPr>
      </w:pPr>
    </w:p>
    <w:p w:rsidR="00102C15" w:rsidRPr="00B072FD" w:rsidP="00C86447" w14:paraId="46025B18" w14:textId="724CBC6E">
      <w:pPr>
        <w:ind w:left="1890" w:right="1440" w:hanging="450"/>
        <w:contextualSpacing/>
        <w:rPr>
          <w:szCs w:val="24"/>
        </w:rPr>
      </w:pPr>
      <w:r w:rsidRPr="00B072FD">
        <w:rPr>
          <w:szCs w:val="24"/>
        </w:rPr>
        <w:t>(3)</w:t>
      </w:r>
      <w:r w:rsidRPr="00B072FD" w:rsidR="00BF4BFD">
        <w:rPr>
          <w:szCs w:val="24"/>
        </w:rPr>
        <w:tab/>
      </w:r>
      <w:r w:rsidRPr="00B072FD">
        <w:rPr>
          <w:szCs w:val="24"/>
        </w:rPr>
        <w:t xml:space="preserve">Total number of residential customer accounts in arrears by more than sixty days and the total dollar amount of such arrearages; </w:t>
      </w:r>
    </w:p>
    <w:p w:rsidR="00102C15" w:rsidRPr="00B072FD" w:rsidP="00C86447" w14:paraId="636D8ED1" w14:textId="77777777">
      <w:pPr>
        <w:ind w:left="1890" w:right="1440" w:hanging="450"/>
        <w:contextualSpacing/>
        <w:rPr>
          <w:szCs w:val="24"/>
        </w:rPr>
      </w:pPr>
    </w:p>
    <w:p w:rsidR="00102C15" w:rsidRPr="00B072FD" w:rsidP="00C86447" w14:paraId="7D0CE5BA" w14:textId="71DC940E">
      <w:pPr>
        <w:ind w:left="1890" w:right="1440" w:hanging="450"/>
        <w:contextualSpacing/>
        <w:rPr>
          <w:szCs w:val="24"/>
        </w:rPr>
      </w:pPr>
      <w:r w:rsidRPr="00B072FD">
        <w:rPr>
          <w:szCs w:val="24"/>
        </w:rPr>
        <w:t>(4)</w:t>
      </w:r>
      <w:r w:rsidRPr="00B072FD" w:rsidR="00B2404C">
        <w:rPr>
          <w:szCs w:val="24"/>
        </w:rPr>
        <w:tab/>
      </w:r>
      <w:r w:rsidRPr="00B072FD">
        <w:rPr>
          <w:szCs w:val="24"/>
        </w:rPr>
        <w:t xml:space="preserve">Total number of security deposits received from residential customers and the total dollar amount of such deposits; </w:t>
      </w:r>
    </w:p>
    <w:p w:rsidR="00102C15" w:rsidRPr="00B072FD" w:rsidP="00C86447" w14:paraId="72D60FCC" w14:textId="77777777">
      <w:pPr>
        <w:ind w:left="1890" w:right="1440" w:hanging="450"/>
        <w:contextualSpacing/>
        <w:rPr>
          <w:szCs w:val="24"/>
        </w:rPr>
      </w:pPr>
    </w:p>
    <w:p w:rsidR="00102C15" w:rsidRPr="00B072FD" w:rsidP="00C86447" w14:paraId="1928EF6F" w14:textId="7E0C221E">
      <w:pPr>
        <w:ind w:left="1890" w:right="1440" w:hanging="450"/>
        <w:contextualSpacing/>
        <w:rPr>
          <w:szCs w:val="24"/>
        </w:rPr>
      </w:pPr>
      <w:r w:rsidRPr="00B072FD">
        <w:rPr>
          <w:szCs w:val="24"/>
        </w:rPr>
        <w:t>(5)</w:t>
      </w:r>
      <w:r w:rsidRPr="00B072FD" w:rsidR="00B2404C">
        <w:rPr>
          <w:szCs w:val="24"/>
        </w:rPr>
        <w:tab/>
      </w:r>
      <w:r w:rsidRPr="00B072FD">
        <w:rPr>
          <w:szCs w:val="24"/>
        </w:rPr>
        <w:t xml:space="preserve">Total number of service reconnections; </w:t>
      </w:r>
    </w:p>
    <w:p w:rsidR="00102C15" w:rsidRPr="00B072FD" w:rsidP="00C86447" w14:paraId="52764592" w14:textId="77777777">
      <w:pPr>
        <w:ind w:left="1890" w:right="1440" w:hanging="450"/>
        <w:contextualSpacing/>
        <w:rPr>
          <w:szCs w:val="24"/>
        </w:rPr>
      </w:pPr>
    </w:p>
    <w:p w:rsidR="00102C15" w:rsidRPr="00B072FD" w:rsidP="00C86447" w14:paraId="1E57E07C" w14:textId="52DE1817">
      <w:pPr>
        <w:ind w:left="1890" w:right="1440" w:hanging="450"/>
        <w:contextualSpacing/>
        <w:rPr>
          <w:szCs w:val="24"/>
        </w:rPr>
      </w:pPr>
      <w:r w:rsidRPr="00B072FD">
        <w:rPr>
          <w:szCs w:val="24"/>
        </w:rPr>
        <w:t>(6)</w:t>
      </w:r>
      <w:r w:rsidRPr="00B072FD" w:rsidR="00B2404C">
        <w:rPr>
          <w:szCs w:val="24"/>
        </w:rPr>
        <w:tab/>
      </w:r>
      <w:r w:rsidRPr="00B072FD">
        <w:rPr>
          <w:szCs w:val="24"/>
        </w:rPr>
        <w:t>Total number of residential customers.</w:t>
      </w:r>
    </w:p>
    <w:p w:rsidR="005531DF" w:rsidRPr="00B072FD" w:rsidP="00102C15" w14:paraId="74B55739" w14:textId="77777777">
      <w:pPr>
        <w:ind w:left="720" w:right="720"/>
        <w:contextualSpacing/>
        <w:rPr>
          <w:szCs w:val="24"/>
        </w:rPr>
      </w:pPr>
    </w:p>
    <w:p w:rsidR="005531DF" w:rsidRPr="00B072FD" w:rsidP="00820199" w14:paraId="344225BB" w14:textId="0D52F21E">
      <w:pPr>
        <w:spacing w:line="480" w:lineRule="auto"/>
        <w:contextualSpacing/>
        <w:rPr>
          <w:szCs w:val="24"/>
        </w:rPr>
      </w:pPr>
      <w:r w:rsidRPr="00B072FD">
        <w:rPr>
          <w:szCs w:val="24"/>
        </w:rPr>
        <w:tab/>
        <w:t xml:space="preserve">AEP Ohio does not allege any irregularities in the preparation and submission of these </w:t>
      </w:r>
      <w:r w:rsidRPr="00B072FD" w:rsidR="00B11A41">
        <w:rPr>
          <w:szCs w:val="24"/>
        </w:rPr>
        <w:t>statutorily mandated</w:t>
      </w:r>
      <w:r w:rsidRPr="00B072FD">
        <w:rPr>
          <w:szCs w:val="24"/>
        </w:rPr>
        <w:t xml:space="preserve"> reports</w:t>
      </w:r>
      <w:r w:rsidRPr="00B072FD" w:rsidR="00820199">
        <w:rPr>
          <w:szCs w:val="24"/>
        </w:rPr>
        <w:t>.</w:t>
      </w:r>
      <w:r w:rsidRPr="00B072FD" w:rsidR="005E650C">
        <w:rPr>
          <w:szCs w:val="24"/>
        </w:rPr>
        <w:t xml:space="preserve"> </w:t>
      </w:r>
      <w:r w:rsidRPr="00B072FD" w:rsidR="00820199">
        <w:rPr>
          <w:szCs w:val="24"/>
        </w:rPr>
        <w:t>As set forth above, t</w:t>
      </w:r>
      <w:r w:rsidRPr="00B072FD">
        <w:rPr>
          <w:szCs w:val="24"/>
        </w:rPr>
        <w:t xml:space="preserve">he statutes provide clear definitions of the data required and great specificity </w:t>
      </w:r>
      <w:r w:rsidRPr="00B072FD" w:rsidR="00766EB1">
        <w:rPr>
          <w:szCs w:val="24"/>
        </w:rPr>
        <w:t>about</w:t>
      </w:r>
      <w:r w:rsidRPr="00B072FD">
        <w:rPr>
          <w:szCs w:val="24"/>
        </w:rPr>
        <w:t xml:space="preserve"> exactly what must be </w:t>
      </w:r>
      <w:r w:rsidRPr="00B072FD" w:rsidR="00036DCB">
        <w:rPr>
          <w:szCs w:val="24"/>
        </w:rPr>
        <w:t xml:space="preserve">included </w:t>
      </w:r>
      <w:r w:rsidRPr="00B072FD">
        <w:rPr>
          <w:szCs w:val="24"/>
        </w:rPr>
        <w:t>in the report.</w:t>
      </w:r>
      <w:r w:rsidRPr="00B072FD" w:rsidR="005E650C">
        <w:rPr>
          <w:szCs w:val="24"/>
        </w:rPr>
        <w:t xml:space="preserve"> </w:t>
      </w:r>
      <w:r w:rsidRPr="00B072FD">
        <w:rPr>
          <w:szCs w:val="24"/>
        </w:rPr>
        <w:t xml:space="preserve">There is nothing to support AEP Ohio’s </w:t>
      </w:r>
      <w:r w:rsidRPr="00B072FD" w:rsidR="00612AAB">
        <w:rPr>
          <w:szCs w:val="24"/>
        </w:rPr>
        <w:t xml:space="preserve">claim </w:t>
      </w:r>
      <w:r w:rsidRPr="00B072FD">
        <w:rPr>
          <w:szCs w:val="24"/>
        </w:rPr>
        <w:t>that the “numbers are left without context” or this “could result in misleading information”.</w:t>
      </w:r>
      <w:r w:rsidRPr="00B072FD" w:rsidR="005E650C">
        <w:rPr>
          <w:szCs w:val="24"/>
        </w:rPr>
        <w:t xml:space="preserve"> </w:t>
      </w:r>
      <w:r w:rsidRPr="00B072FD" w:rsidR="0077184F">
        <w:rPr>
          <w:szCs w:val="24"/>
        </w:rPr>
        <w:t>As a PUCO-ordered recipient of these reports</w:t>
      </w:r>
      <w:r w:rsidRPr="00B072FD" w:rsidR="00766EB1">
        <w:rPr>
          <w:szCs w:val="24"/>
        </w:rPr>
        <w:t>,</w:t>
      </w:r>
      <w:r w:rsidRPr="00B072FD" w:rsidR="0077184F">
        <w:rPr>
          <w:szCs w:val="24"/>
        </w:rPr>
        <w:t xml:space="preserve"> </w:t>
      </w:r>
      <w:r w:rsidRPr="00B072FD" w:rsidR="00612AAB">
        <w:rPr>
          <w:szCs w:val="24"/>
        </w:rPr>
        <w:t xml:space="preserve">Mr. </w:t>
      </w:r>
      <w:r w:rsidRPr="00B072FD" w:rsidR="0077184F">
        <w:rPr>
          <w:szCs w:val="24"/>
        </w:rPr>
        <w:t>Tinkham is certainly qualified to testify regarding the information in the reports and the statutory mandate.</w:t>
      </w:r>
    </w:p>
    <w:p w:rsidR="00DB61BA" w:rsidRPr="00B072FD" w:rsidP="00820199" w14:paraId="26CD6563" w14:textId="2765D706">
      <w:pPr>
        <w:spacing w:line="480" w:lineRule="auto"/>
        <w:ind w:firstLine="720"/>
        <w:contextualSpacing/>
        <w:rPr>
          <w:color w:val="000000" w:themeColor="text1"/>
          <w:szCs w:val="24"/>
        </w:rPr>
      </w:pPr>
      <w:r w:rsidRPr="00B072FD">
        <w:rPr>
          <w:color w:val="000000" w:themeColor="text1"/>
          <w:szCs w:val="24"/>
        </w:rPr>
        <w:t xml:space="preserve">Mr. Tinkham’s data compilation </w:t>
      </w:r>
      <w:r w:rsidRPr="00B072FD" w:rsidR="00102C15">
        <w:rPr>
          <w:color w:val="000000" w:themeColor="text1"/>
          <w:szCs w:val="24"/>
        </w:rPr>
        <w:t xml:space="preserve">from these reports </w:t>
      </w:r>
      <w:r w:rsidRPr="00B072FD">
        <w:rPr>
          <w:color w:val="000000" w:themeColor="text1"/>
          <w:szCs w:val="24"/>
        </w:rPr>
        <w:t>demonstrates that AEP Ohio disconnected more consumers than AES Ohio, Cleveland Electric Illuminating, Duke Energy Ohio, Ohio Edison, and Toledo Edison combined.</w:t>
      </w:r>
      <w:r>
        <w:rPr>
          <w:rStyle w:val="FootnoteReference"/>
          <w:color w:val="000000" w:themeColor="text1"/>
          <w:szCs w:val="24"/>
        </w:rPr>
        <w:footnoteReference w:id="26"/>
      </w:r>
      <w:r w:rsidRPr="00B072FD" w:rsidR="005E650C">
        <w:rPr>
          <w:color w:val="000000" w:themeColor="text1"/>
          <w:szCs w:val="24"/>
        </w:rPr>
        <w:t xml:space="preserve"> </w:t>
      </w:r>
      <w:r w:rsidRPr="00B072FD">
        <w:rPr>
          <w:color w:val="000000" w:themeColor="text1"/>
          <w:szCs w:val="24"/>
        </w:rPr>
        <w:t>Mr. Tinkham’s analysis further demonstrates that the rate of disconnection of residential consumers by AEP Ohio was more than double the rate of the next nearest utilities – 11.7% for AEP Ohio and 5.4% for AES Ohio and Toledo Edison.</w:t>
      </w:r>
      <w:r w:rsidRPr="00B072FD" w:rsidR="005E650C">
        <w:rPr>
          <w:color w:val="000000" w:themeColor="text1"/>
          <w:szCs w:val="24"/>
        </w:rPr>
        <w:t xml:space="preserve"> </w:t>
      </w:r>
    </w:p>
    <w:p w:rsidR="00DB61BA" w:rsidRPr="00B072FD" w:rsidP="00DB61BA" w14:paraId="30B756C4" w14:textId="7CED5225">
      <w:pPr>
        <w:spacing w:line="480" w:lineRule="auto"/>
        <w:ind w:firstLine="720"/>
        <w:contextualSpacing/>
        <w:rPr>
          <w:color w:val="000000" w:themeColor="text1"/>
          <w:szCs w:val="24"/>
        </w:rPr>
      </w:pPr>
      <w:r w:rsidRPr="00B072FD">
        <w:rPr>
          <w:color w:val="000000" w:themeColor="text1"/>
          <w:szCs w:val="24"/>
        </w:rPr>
        <w:t>Expert witness Tinkham’s analysis and testimony regarding AEP Ohio’s own disconnection data further shows that AEP Ohio disconnected far more residential consumers then it reconnected; that its service disconnections were concentrated in twenty zip codes; that the total dollar amount of AEP Ohio disconnections tripled from the 2022 to 2023 annual disconnection reports; that the number of disconnection notices continued to increase, and that the total amount of unpaid balances on the final disconnection notices increased from the 2022 to the 2023 filing from $459,550,106 to $542,345,458.50.</w:t>
      </w:r>
      <w:r w:rsidRPr="00B072FD" w:rsidR="005E650C">
        <w:rPr>
          <w:color w:val="000000" w:themeColor="text1"/>
          <w:szCs w:val="24"/>
        </w:rPr>
        <w:t xml:space="preserve"> </w:t>
      </w:r>
    </w:p>
    <w:p w:rsidR="000D5BEE" w:rsidRPr="00B072FD" w:rsidP="00B34523" w14:paraId="3B2A1D40" w14:textId="092EBDEE">
      <w:pPr>
        <w:spacing w:line="480" w:lineRule="auto"/>
        <w:ind w:firstLine="720"/>
        <w:contextualSpacing/>
        <w:rPr>
          <w:color w:val="000000" w:themeColor="text1"/>
          <w:szCs w:val="24"/>
        </w:rPr>
      </w:pPr>
      <w:r w:rsidRPr="00B072FD">
        <w:rPr>
          <w:color w:val="000000" w:themeColor="text1"/>
          <w:szCs w:val="24"/>
        </w:rPr>
        <w:t>Contrary to AEP Ohio’s suggestion, t</w:t>
      </w:r>
      <w:r w:rsidRPr="00B072FD" w:rsidR="00F87078">
        <w:rPr>
          <w:color w:val="000000" w:themeColor="text1"/>
          <w:szCs w:val="24"/>
        </w:rPr>
        <w:t xml:space="preserve">he reports and data </w:t>
      </w:r>
      <w:r w:rsidRPr="00B072FD" w:rsidR="00DB61BA">
        <w:rPr>
          <w:color w:val="000000" w:themeColor="text1"/>
          <w:szCs w:val="24"/>
        </w:rPr>
        <w:t xml:space="preserve">can be </w:t>
      </w:r>
      <w:r w:rsidRPr="00B072FD" w:rsidR="00CF1F73">
        <w:rPr>
          <w:color w:val="000000" w:themeColor="text1"/>
          <w:szCs w:val="24"/>
        </w:rPr>
        <w:t xml:space="preserve">authenticated </w:t>
      </w:r>
      <w:r w:rsidRPr="00B072FD" w:rsidR="00DB61BA">
        <w:rPr>
          <w:color w:val="000000" w:themeColor="text1"/>
          <w:szCs w:val="24"/>
        </w:rPr>
        <w:t>pursuant to s</w:t>
      </w:r>
      <w:r w:rsidRPr="00B072FD">
        <w:rPr>
          <w:color w:val="000000" w:themeColor="text1"/>
          <w:szCs w:val="24"/>
        </w:rPr>
        <w:t xml:space="preserve">everal Rules of Evidence, including </w:t>
      </w:r>
      <w:r w:rsidRPr="00B072FD" w:rsidR="00D355DD">
        <w:rPr>
          <w:color w:val="000000" w:themeColor="text1"/>
          <w:szCs w:val="24"/>
        </w:rPr>
        <w:t>R.</w:t>
      </w:r>
      <w:r w:rsidRPr="00B072FD">
        <w:rPr>
          <w:color w:val="000000" w:themeColor="text1"/>
          <w:szCs w:val="24"/>
        </w:rPr>
        <w:t xml:space="preserve">Evid. 901(A), </w:t>
      </w:r>
      <w:r w:rsidRPr="00B072FD" w:rsidR="00D355DD">
        <w:rPr>
          <w:color w:val="000000" w:themeColor="text1"/>
          <w:szCs w:val="24"/>
        </w:rPr>
        <w:t>R.</w:t>
      </w:r>
      <w:r w:rsidRPr="00B072FD">
        <w:rPr>
          <w:color w:val="000000" w:themeColor="text1"/>
          <w:szCs w:val="24"/>
        </w:rPr>
        <w:t xml:space="preserve">Evid. 901(B)(1), and </w:t>
      </w:r>
      <w:r w:rsidRPr="00B072FD" w:rsidR="0019690C">
        <w:rPr>
          <w:color w:val="000000" w:themeColor="text1"/>
          <w:szCs w:val="24"/>
        </w:rPr>
        <w:t>R.</w:t>
      </w:r>
      <w:r w:rsidRPr="00B072FD">
        <w:rPr>
          <w:color w:val="000000" w:themeColor="text1"/>
          <w:szCs w:val="24"/>
        </w:rPr>
        <w:t>Evid. 901(B)(7) which state:</w:t>
      </w:r>
    </w:p>
    <w:p w:rsidR="000D5BEE" w:rsidRPr="00B072FD" w:rsidP="00A44882" w14:paraId="343C6DE1" w14:textId="5ED6DDB3">
      <w:pPr>
        <w:ind w:left="1440" w:right="1440"/>
        <w:contextualSpacing/>
        <w:jc w:val="center"/>
        <w:rPr>
          <w:b/>
          <w:bCs/>
          <w:szCs w:val="24"/>
        </w:rPr>
      </w:pPr>
      <w:r w:rsidRPr="00B072FD">
        <w:rPr>
          <w:b/>
          <w:bCs/>
          <w:szCs w:val="24"/>
        </w:rPr>
        <w:t>RULE 901. Requirement of Authentication or Identification.</w:t>
      </w:r>
    </w:p>
    <w:p w:rsidR="009125A5" w:rsidRPr="00B072FD" w:rsidP="001D545E" w14:paraId="70826FD1" w14:textId="77777777">
      <w:pPr>
        <w:ind w:left="1440" w:right="1440"/>
        <w:contextualSpacing/>
        <w:rPr>
          <w:b/>
          <w:bCs/>
          <w:szCs w:val="24"/>
        </w:rPr>
      </w:pPr>
    </w:p>
    <w:p w:rsidR="000D5BEE" w:rsidRPr="00B072FD" w:rsidP="001D545E" w14:paraId="556A795D" w14:textId="70BEB94D">
      <w:pPr>
        <w:pStyle w:val="ListParagraph"/>
        <w:numPr>
          <w:ilvl w:val="0"/>
          <w:numId w:val="29"/>
        </w:numPr>
        <w:spacing w:line="480" w:lineRule="auto"/>
        <w:ind w:left="1440" w:right="1440" w:firstLine="0"/>
        <w:contextualSpacing/>
        <w:rPr>
          <w:szCs w:val="24"/>
        </w:rPr>
      </w:pPr>
      <w:r w:rsidRPr="00B072FD">
        <w:rPr>
          <w:b/>
          <w:bCs/>
          <w:szCs w:val="24"/>
        </w:rPr>
        <w:t>General provision</w:t>
      </w:r>
      <w:r w:rsidRPr="00B072FD">
        <w:rPr>
          <w:szCs w:val="24"/>
        </w:rPr>
        <w:t xml:space="preserve"> </w:t>
      </w:r>
    </w:p>
    <w:p w:rsidR="000D5BEE" w:rsidRPr="00B072FD" w:rsidP="001D545E" w14:paraId="72B6D5B6" w14:textId="0D501CB8">
      <w:pPr>
        <w:pStyle w:val="ListParagraph"/>
        <w:ind w:left="1440" w:right="1440"/>
        <w:contextualSpacing/>
        <w:rPr>
          <w:szCs w:val="24"/>
        </w:rPr>
      </w:pPr>
      <w:r w:rsidRPr="00B072FD">
        <w:rPr>
          <w:szCs w:val="24"/>
        </w:rPr>
        <w:t>The requirement of authentication or identification as a condition precedent to admissibility is satisfied by evidence sufficient to support a finding that the matter in question is what its proponent claims.</w:t>
      </w:r>
    </w:p>
    <w:p w:rsidR="000D5BEE" w:rsidRPr="00B072FD" w:rsidP="001D545E" w14:paraId="41404578" w14:textId="77777777">
      <w:pPr>
        <w:pStyle w:val="ListParagraph"/>
        <w:ind w:left="1440" w:right="1440"/>
        <w:contextualSpacing/>
        <w:rPr>
          <w:szCs w:val="24"/>
        </w:rPr>
      </w:pPr>
    </w:p>
    <w:p w:rsidR="000D5BEE" w:rsidRPr="00B072FD" w:rsidP="001D545E" w14:paraId="34B1A6D7" w14:textId="16218535">
      <w:pPr>
        <w:pStyle w:val="ListParagraph"/>
        <w:numPr>
          <w:ilvl w:val="0"/>
          <w:numId w:val="29"/>
        </w:numPr>
        <w:ind w:left="1440" w:right="1440" w:firstLine="0"/>
        <w:contextualSpacing/>
        <w:rPr>
          <w:b/>
          <w:bCs/>
          <w:color w:val="000000" w:themeColor="text1"/>
          <w:szCs w:val="24"/>
        </w:rPr>
      </w:pPr>
      <w:r w:rsidRPr="00B072FD">
        <w:rPr>
          <w:b/>
          <w:bCs/>
          <w:szCs w:val="24"/>
        </w:rPr>
        <w:t>Illustrations</w:t>
      </w:r>
    </w:p>
    <w:p w:rsidR="000D5BEE" w:rsidRPr="00B072FD" w:rsidP="001D545E" w14:paraId="2E98C0B1" w14:textId="77777777">
      <w:pPr>
        <w:pStyle w:val="ListParagraph"/>
        <w:ind w:left="1440" w:right="1440"/>
        <w:contextualSpacing/>
        <w:rPr>
          <w:b/>
          <w:bCs/>
          <w:szCs w:val="24"/>
        </w:rPr>
      </w:pPr>
    </w:p>
    <w:p w:rsidR="000D5BEE" w:rsidRPr="00B072FD" w:rsidP="001D545E" w14:paraId="524EB62A" w14:textId="77777777">
      <w:pPr>
        <w:pStyle w:val="ListParagraph"/>
        <w:ind w:left="1440" w:right="1440"/>
        <w:contextualSpacing/>
        <w:rPr>
          <w:szCs w:val="24"/>
        </w:rPr>
      </w:pPr>
      <w:r w:rsidRPr="00B072FD">
        <w:rPr>
          <w:szCs w:val="24"/>
        </w:rPr>
        <w:t xml:space="preserve">By way of illustration only, and not by way of limitation, the following are examples of authentication or identification conforming with the requirements of this rule: </w:t>
      </w:r>
    </w:p>
    <w:p w:rsidR="000D5BEE" w:rsidRPr="00B072FD" w:rsidP="001D545E" w14:paraId="502396F1" w14:textId="77777777">
      <w:pPr>
        <w:pStyle w:val="ListParagraph"/>
        <w:ind w:left="1440" w:right="1440"/>
        <w:contextualSpacing/>
        <w:rPr>
          <w:szCs w:val="24"/>
        </w:rPr>
      </w:pPr>
    </w:p>
    <w:p w:rsidR="000D5BEE" w:rsidRPr="00B072FD" w:rsidP="001D545E" w14:paraId="5C60CD72" w14:textId="08B68315">
      <w:pPr>
        <w:pStyle w:val="ListParagraph"/>
        <w:numPr>
          <w:ilvl w:val="0"/>
          <w:numId w:val="30"/>
        </w:numPr>
        <w:ind w:left="1440" w:right="1440" w:firstLine="0"/>
        <w:contextualSpacing/>
        <w:rPr>
          <w:szCs w:val="24"/>
        </w:rPr>
      </w:pPr>
      <w:r w:rsidRPr="00B072FD">
        <w:rPr>
          <w:szCs w:val="24"/>
        </w:rPr>
        <w:t xml:space="preserve">Testimony of witness with knowledge </w:t>
      </w:r>
    </w:p>
    <w:p w:rsidR="000D5BEE" w:rsidRPr="00B072FD" w:rsidP="001D545E" w14:paraId="45676229" w14:textId="77777777">
      <w:pPr>
        <w:pStyle w:val="ListParagraph"/>
        <w:ind w:left="1440" w:right="1440"/>
        <w:contextualSpacing/>
        <w:rPr>
          <w:szCs w:val="24"/>
        </w:rPr>
      </w:pPr>
    </w:p>
    <w:p w:rsidR="000D5BEE" w:rsidRPr="00B072FD" w:rsidP="001D545E" w14:paraId="6C32180A" w14:textId="5F406B75">
      <w:pPr>
        <w:pStyle w:val="ListParagraph"/>
        <w:ind w:left="1440" w:right="1440"/>
        <w:contextualSpacing/>
        <w:rPr>
          <w:szCs w:val="24"/>
        </w:rPr>
      </w:pPr>
      <w:r w:rsidRPr="00B072FD">
        <w:rPr>
          <w:szCs w:val="24"/>
        </w:rPr>
        <w:t>Testimony that a matter is what it is claimed to be.</w:t>
      </w:r>
    </w:p>
    <w:p w:rsidR="000D5BEE" w:rsidRPr="00B072FD" w:rsidP="00FA1C69" w14:paraId="1FFA85BC" w14:textId="758BFBAC">
      <w:pPr>
        <w:ind w:left="1440" w:right="1440"/>
        <w:contextualSpacing/>
        <w:rPr>
          <w:b/>
          <w:bCs/>
          <w:color w:val="000000" w:themeColor="text1"/>
          <w:szCs w:val="24"/>
        </w:rPr>
      </w:pPr>
      <w:r w:rsidRPr="00B072FD">
        <w:rPr>
          <w:b/>
          <w:bCs/>
          <w:color w:val="000000" w:themeColor="text1"/>
          <w:szCs w:val="24"/>
        </w:rPr>
        <w:tab/>
      </w:r>
      <w:r w:rsidRPr="00B072FD">
        <w:rPr>
          <w:b/>
          <w:bCs/>
          <w:color w:val="000000" w:themeColor="text1"/>
          <w:szCs w:val="24"/>
        </w:rPr>
        <w:tab/>
        <w:t>…</w:t>
      </w:r>
    </w:p>
    <w:p w:rsidR="00FA1C69" w:rsidRPr="00B072FD" w:rsidP="00FA1C69" w14:paraId="1DDBC086" w14:textId="77777777">
      <w:pPr>
        <w:ind w:left="1440" w:right="1440"/>
        <w:contextualSpacing/>
        <w:rPr>
          <w:b/>
          <w:bCs/>
          <w:color w:val="000000" w:themeColor="text1"/>
          <w:szCs w:val="24"/>
        </w:rPr>
      </w:pPr>
    </w:p>
    <w:p w:rsidR="000D5BEE" w:rsidRPr="00B072FD" w:rsidP="001D545E" w14:paraId="5895E458" w14:textId="77777777">
      <w:pPr>
        <w:ind w:left="1440" w:right="1440"/>
        <w:contextualSpacing/>
        <w:rPr>
          <w:szCs w:val="24"/>
        </w:rPr>
      </w:pPr>
      <w:r w:rsidRPr="00B072FD">
        <w:rPr>
          <w:szCs w:val="24"/>
        </w:rPr>
        <w:t xml:space="preserve">(7) Public records or reports </w:t>
      </w:r>
    </w:p>
    <w:p w:rsidR="000D5BEE" w:rsidRPr="00B072FD" w:rsidP="001D545E" w14:paraId="281FD027" w14:textId="77777777">
      <w:pPr>
        <w:ind w:left="1440" w:right="1440"/>
        <w:contextualSpacing/>
        <w:rPr>
          <w:szCs w:val="24"/>
        </w:rPr>
      </w:pPr>
    </w:p>
    <w:p w:rsidR="000D5BEE" w:rsidRPr="00B072FD" w:rsidP="001D545E" w14:paraId="6859CC39" w14:textId="0965F976">
      <w:pPr>
        <w:ind w:left="1440" w:right="1440"/>
        <w:contextualSpacing/>
        <w:rPr>
          <w:szCs w:val="24"/>
        </w:rPr>
      </w:pPr>
      <w:r w:rsidRPr="00B072FD">
        <w:rPr>
          <w:szCs w:val="24"/>
        </w:rPr>
        <w:t>Evidence that a writing authorized by law to be recorded or filed and in fact recorded or filed in a public office, or a purported public record, report, statement or data compilation, in any form, is from the public office where items of this nature are kept.</w:t>
      </w:r>
    </w:p>
    <w:p w:rsidR="00DB61BA" w:rsidRPr="00B072FD" w:rsidP="000D5BEE" w14:paraId="2B56D731" w14:textId="77777777">
      <w:pPr>
        <w:ind w:left="1800"/>
        <w:contextualSpacing/>
        <w:rPr>
          <w:b/>
          <w:bCs/>
          <w:color w:val="000000" w:themeColor="text1"/>
          <w:szCs w:val="24"/>
        </w:rPr>
      </w:pPr>
    </w:p>
    <w:p w:rsidR="00DB61BA" w:rsidRPr="00B072FD" w:rsidP="00DB61BA" w14:paraId="2CFE2CF9" w14:textId="41731F4F">
      <w:pPr>
        <w:spacing w:line="480" w:lineRule="auto"/>
        <w:contextualSpacing/>
        <w:rPr>
          <w:color w:val="000000" w:themeColor="text1"/>
          <w:szCs w:val="24"/>
        </w:rPr>
      </w:pPr>
      <w:r w:rsidRPr="00B072FD">
        <w:rPr>
          <w:color w:val="000000" w:themeColor="text1"/>
          <w:szCs w:val="24"/>
        </w:rPr>
        <w:t>As a direct recipient of the data ordered to be produced to him by the PUCO, Mr. Tinkham can testify as to its authenticity under these Evidence Rules.</w:t>
      </w:r>
      <w:r w:rsidRPr="00B072FD" w:rsidR="005E650C">
        <w:rPr>
          <w:color w:val="000000" w:themeColor="text1"/>
          <w:szCs w:val="24"/>
        </w:rPr>
        <w:t xml:space="preserve"> </w:t>
      </w:r>
      <w:r w:rsidRPr="00B072FD">
        <w:rPr>
          <w:color w:val="000000" w:themeColor="text1"/>
          <w:szCs w:val="24"/>
        </w:rPr>
        <w:t>Moreover, as public records or reports filed by each of the</w:t>
      </w:r>
      <w:r w:rsidRPr="00B072FD" w:rsidR="00612AAB">
        <w:rPr>
          <w:color w:val="000000" w:themeColor="text1"/>
          <w:szCs w:val="24"/>
        </w:rPr>
        <w:t xml:space="preserve"> electric utilities</w:t>
      </w:r>
      <w:r w:rsidRPr="00B072FD" w:rsidR="003A3A93">
        <w:rPr>
          <w:color w:val="000000" w:themeColor="text1"/>
          <w:szCs w:val="24"/>
        </w:rPr>
        <w:t>,</w:t>
      </w:r>
      <w:r w:rsidRPr="00B072FD">
        <w:rPr>
          <w:color w:val="000000" w:themeColor="text1"/>
          <w:szCs w:val="24"/>
        </w:rPr>
        <w:t xml:space="preserve"> the reports are authenticated pursuant to </w:t>
      </w:r>
      <w:r w:rsidRPr="00B072FD" w:rsidR="00823A4C">
        <w:rPr>
          <w:color w:val="000000" w:themeColor="text1"/>
          <w:szCs w:val="24"/>
        </w:rPr>
        <w:t>R.</w:t>
      </w:r>
      <w:r w:rsidRPr="00B072FD">
        <w:rPr>
          <w:color w:val="000000" w:themeColor="text1"/>
          <w:szCs w:val="24"/>
        </w:rPr>
        <w:t>Evid. 901(B)(7).</w:t>
      </w:r>
    </w:p>
    <w:p w:rsidR="00F87078" w:rsidRPr="00B072FD" w:rsidP="00B34523" w14:paraId="7E6544BF" w14:textId="78850225">
      <w:pPr>
        <w:spacing w:line="480" w:lineRule="auto"/>
        <w:ind w:firstLine="720"/>
        <w:contextualSpacing/>
        <w:rPr>
          <w:color w:val="000000" w:themeColor="text1"/>
          <w:szCs w:val="24"/>
        </w:rPr>
      </w:pPr>
      <w:r w:rsidRPr="00B072FD">
        <w:rPr>
          <w:color w:val="000000" w:themeColor="text1"/>
          <w:szCs w:val="24"/>
        </w:rPr>
        <w:t xml:space="preserve">Further, </w:t>
      </w:r>
      <w:r w:rsidRPr="00B072FD" w:rsidR="000D5BEE">
        <w:rPr>
          <w:color w:val="000000" w:themeColor="text1"/>
          <w:szCs w:val="24"/>
        </w:rPr>
        <w:t xml:space="preserve">as </w:t>
      </w:r>
      <w:r w:rsidRPr="00B072FD">
        <w:rPr>
          <w:color w:val="000000" w:themeColor="text1"/>
          <w:szCs w:val="24"/>
        </w:rPr>
        <w:t xml:space="preserve">data </w:t>
      </w:r>
      <w:r w:rsidRPr="00B072FD" w:rsidR="000D5BEE">
        <w:rPr>
          <w:color w:val="000000" w:themeColor="text1"/>
          <w:szCs w:val="24"/>
        </w:rPr>
        <w:t xml:space="preserve">mandated by </w:t>
      </w:r>
      <w:r w:rsidRPr="00B072FD" w:rsidR="00042A97">
        <w:rPr>
          <w:color w:val="000000" w:themeColor="text1"/>
          <w:szCs w:val="24"/>
        </w:rPr>
        <w:t>Revised Code §4933.123</w:t>
      </w:r>
      <w:r w:rsidRPr="00B072FD" w:rsidR="000D5BEE">
        <w:rPr>
          <w:color w:val="000000" w:themeColor="text1"/>
          <w:szCs w:val="24"/>
        </w:rPr>
        <w:t xml:space="preserve"> and PUCO Order </w:t>
      </w:r>
      <w:r w:rsidRPr="00B072FD" w:rsidR="00DB61BA">
        <w:rPr>
          <w:color w:val="000000" w:themeColor="text1"/>
          <w:szCs w:val="24"/>
        </w:rPr>
        <w:t xml:space="preserve">the reports </w:t>
      </w:r>
      <w:r w:rsidRPr="00B072FD" w:rsidR="00102C15">
        <w:rPr>
          <w:color w:val="000000" w:themeColor="text1"/>
          <w:szCs w:val="24"/>
        </w:rPr>
        <w:t xml:space="preserve">are not hearsay and </w:t>
      </w:r>
      <w:r w:rsidRPr="00B072FD" w:rsidR="00DB61BA">
        <w:rPr>
          <w:color w:val="000000" w:themeColor="text1"/>
          <w:szCs w:val="24"/>
        </w:rPr>
        <w:t>were made at or near the time from information transmitted by a person with knowledge (the</w:t>
      </w:r>
      <w:r w:rsidRPr="00B072FD" w:rsidR="00612AAB">
        <w:rPr>
          <w:color w:val="000000" w:themeColor="text1"/>
          <w:szCs w:val="24"/>
        </w:rPr>
        <w:t xml:space="preserve"> electric utilities</w:t>
      </w:r>
      <w:r w:rsidRPr="00B072FD" w:rsidR="00DB61BA">
        <w:rPr>
          <w:color w:val="000000" w:themeColor="text1"/>
          <w:szCs w:val="24"/>
        </w:rPr>
        <w:t xml:space="preserve">), were </w:t>
      </w:r>
      <w:r w:rsidRPr="00B072FD">
        <w:rPr>
          <w:color w:val="000000" w:themeColor="text1"/>
          <w:szCs w:val="24"/>
        </w:rPr>
        <w:t xml:space="preserve">kept in the ordinary course of </w:t>
      </w:r>
      <w:r w:rsidRPr="00B072FD" w:rsidR="00DB61BA">
        <w:rPr>
          <w:color w:val="000000" w:themeColor="text1"/>
          <w:szCs w:val="24"/>
        </w:rPr>
        <w:t xml:space="preserve">a regularly conducted </w:t>
      </w:r>
      <w:r w:rsidRPr="00B072FD">
        <w:rPr>
          <w:color w:val="000000" w:themeColor="text1"/>
          <w:szCs w:val="24"/>
        </w:rPr>
        <w:t>business</w:t>
      </w:r>
      <w:r w:rsidRPr="00B072FD" w:rsidR="00DB61BA">
        <w:rPr>
          <w:color w:val="000000" w:themeColor="text1"/>
          <w:szCs w:val="24"/>
        </w:rPr>
        <w:t xml:space="preserve"> activity</w:t>
      </w:r>
      <w:r w:rsidRPr="00B072FD">
        <w:rPr>
          <w:color w:val="000000" w:themeColor="text1"/>
          <w:szCs w:val="24"/>
        </w:rPr>
        <w:t xml:space="preserve">, and </w:t>
      </w:r>
      <w:r w:rsidRPr="00B072FD" w:rsidR="00DB61BA">
        <w:rPr>
          <w:color w:val="000000" w:themeColor="text1"/>
          <w:szCs w:val="24"/>
        </w:rPr>
        <w:t xml:space="preserve">pursuant to statute and order </w:t>
      </w:r>
      <w:r w:rsidRPr="00B072FD">
        <w:rPr>
          <w:color w:val="000000" w:themeColor="text1"/>
          <w:szCs w:val="24"/>
        </w:rPr>
        <w:t>it</w:t>
      </w:r>
      <w:r w:rsidRPr="00B072FD" w:rsidR="000D5BEE">
        <w:rPr>
          <w:color w:val="000000" w:themeColor="text1"/>
          <w:szCs w:val="24"/>
        </w:rPr>
        <w:t xml:space="preserve"> i</w:t>
      </w:r>
      <w:r w:rsidRPr="00B072FD">
        <w:rPr>
          <w:color w:val="000000" w:themeColor="text1"/>
          <w:szCs w:val="24"/>
        </w:rPr>
        <w:t>s the regular practice of each utility to make the disconnection reports on an annual basis.</w:t>
      </w:r>
      <w:r w:rsidRPr="00B072FD" w:rsidR="005E650C">
        <w:rPr>
          <w:color w:val="000000" w:themeColor="text1"/>
          <w:szCs w:val="24"/>
        </w:rPr>
        <w:t xml:space="preserve"> </w:t>
      </w:r>
      <w:r w:rsidRPr="00B072FD" w:rsidR="0093105C">
        <w:rPr>
          <w:color w:val="000000" w:themeColor="text1"/>
          <w:szCs w:val="24"/>
        </w:rPr>
        <w:t xml:space="preserve">AEP Ohio does not allege </w:t>
      </w:r>
      <w:r w:rsidRPr="00B072FD" w:rsidR="00DB61BA">
        <w:rPr>
          <w:color w:val="000000" w:themeColor="text1"/>
          <w:szCs w:val="24"/>
        </w:rPr>
        <w:t xml:space="preserve">or identify </w:t>
      </w:r>
      <w:r w:rsidRPr="00B072FD" w:rsidR="0093105C">
        <w:rPr>
          <w:color w:val="000000" w:themeColor="text1"/>
          <w:szCs w:val="24"/>
        </w:rPr>
        <w:t xml:space="preserve">any lack of reliability of the </w:t>
      </w:r>
      <w:r w:rsidRPr="00B072FD" w:rsidR="00DD0E6F">
        <w:rPr>
          <w:color w:val="000000" w:themeColor="text1"/>
          <w:szCs w:val="24"/>
        </w:rPr>
        <w:t>statutorily mandated</w:t>
      </w:r>
      <w:r w:rsidRPr="00B072FD" w:rsidR="00C84754">
        <w:rPr>
          <w:color w:val="000000" w:themeColor="text1"/>
          <w:szCs w:val="24"/>
        </w:rPr>
        <w:t xml:space="preserve"> </w:t>
      </w:r>
      <w:r w:rsidRPr="00B072FD" w:rsidR="0093105C">
        <w:rPr>
          <w:color w:val="000000" w:themeColor="text1"/>
          <w:szCs w:val="24"/>
        </w:rPr>
        <w:t>data.</w:t>
      </w:r>
    </w:p>
    <w:p w:rsidR="00BF6EC0" w:rsidRPr="00B072FD" w:rsidP="00B34523" w14:paraId="0A0A0258" w14:textId="039D4EFC">
      <w:pPr>
        <w:spacing w:line="480" w:lineRule="auto"/>
        <w:ind w:firstLine="720"/>
        <w:contextualSpacing/>
        <w:rPr>
          <w:color w:val="000000" w:themeColor="text1"/>
          <w:szCs w:val="24"/>
        </w:rPr>
      </w:pPr>
      <w:r w:rsidRPr="00B072FD">
        <w:rPr>
          <w:color w:val="000000" w:themeColor="text1"/>
          <w:szCs w:val="24"/>
        </w:rPr>
        <w:t xml:space="preserve">Given the statutory mandate, the PUCO Order, the specificity of the data to be reported, the definitions provided in the statute, </w:t>
      </w:r>
      <w:r w:rsidRPr="00B072FD" w:rsidR="00766EB1">
        <w:rPr>
          <w:color w:val="000000" w:themeColor="text1"/>
          <w:szCs w:val="24"/>
        </w:rPr>
        <w:t xml:space="preserve">and </w:t>
      </w:r>
      <w:r w:rsidRPr="00B072FD">
        <w:rPr>
          <w:color w:val="000000" w:themeColor="text1"/>
          <w:szCs w:val="24"/>
        </w:rPr>
        <w:t xml:space="preserve">the lack of any evidence that the data is somehow unreliable, AEP Ohio’s </w:t>
      </w:r>
      <w:r w:rsidRPr="00B072FD" w:rsidR="00612AAB">
        <w:rPr>
          <w:color w:val="000000" w:themeColor="text1"/>
          <w:szCs w:val="24"/>
        </w:rPr>
        <w:t xml:space="preserve">claim </w:t>
      </w:r>
      <w:r w:rsidRPr="00B072FD">
        <w:rPr>
          <w:color w:val="000000" w:themeColor="text1"/>
          <w:szCs w:val="24"/>
        </w:rPr>
        <w:t>that the testimony should be stricken has no basis.</w:t>
      </w:r>
      <w:r w:rsidRPr="00B072FD" w:rsidR="005E650C">
        <w:rPr>
          <w:color w:val="000000" w:themeColor="text1"/>
          <w:szCs w:val="24"/>
        </w:rPr>
        <w:t xml:space="preserve"> </w:t>
      </w:r>
      <w:r w:rsidRPr="00B072FD">
        <w:rPr>
          <w:color w:val="000000" w:themeColor="text1"/>
          <w:szCs w:val="24"/>
        </w:rPr>
        <w:t xml:space="preserve">It is the fact that the data demonstrating unreasonably excessive disconnections </w:t>
      </w:r>
      <w:r w:rsidRPr="00B072FD" w:rsidR="006214C2">
        <w:rPr>
          <w:color w:val="000000" w:themeColor="text1"/>
          <w:szCs w:val="24"/>
        </w:rPr>
        <w:t xml:space="preserve">by AEP Ohio </w:t>
      </w:r>
      <w:r w:rsidRPr="00B072FD">
        <w:rPr>
          <w:color w:val="000000" w:themeColor="text1"/>
          <w:szCs w:val="24"/>
        </w:rPr>
        <w:t>is so well-founded that AEP Ohio seeks to have it excluded.</w:t>
      </w:r>
      <w:r w:rsidRPr="00B072FD" w:rsidR="005E650C">
        <w:rPr>
          <w:color w:val="000000" w:themeColor="text1"/>
          <w:szCs w:val="24"/>
        </w:rPr>
        <w:t xml:space="preserve"> </w:t>
      </w:r>
    </w:p>
    <w:p w:rsidR="00820199" w:rsidRPr="00B072FD" w:rsidP="00C95BBD" w14:paraId="03AE7833" w14:textId="0B79EB2A">
      <w:pPr>
        <w:spacing w:line="480" w:lineRule="auto"/>
        <w:ind w:firstLine="720"/>
        <w:contextualSpacing/>
        <w:rPr>
          <w:color w:val="000000" w:themeColor="text1"/>
          <w:szCs w:val="24"/>
        </w:rPr>
      </w:pPr>
      <w:r w:rsidRPr="00B072FD">
        <w:rPr>
          <w:color w:val="000000" w:themeColor="text1"/>
          <w:szCs w:val="24"/>
        </w:rPr>
        <w:t xml:space="preserve">Expert witness Tinkham’s testimony is directly relevant to the PUCO’s consideration of this </w:t>
      </w:r>
      <w:r w:rsidRPr="00B072FD" w:rsidR="002A65C1">
        <w:rPr>
          <w:color w:val="000000" w:themeColor="text1"/>
          <w:szCs w:val="24"/>
        </w:rPr>
        <w:t>S</w:t>
      </w:r>
      <w:r w:rsidRPr="00B072FD">
        <w:rPr>
          <w:color w:val="000000" w:themeColor="text1"/>
          <w:szCs w:val="24"/>
        </w:rPr>
        <w:t>ettlement.</w:t>
      </w:r>
      <w:r w:rsidRPr="00B072FD" w:rsidR="005E650C">
        <w:rPr>
          <w:color w:val="000000" w:themeColor="text1"/>
          <w:szCs w:val="24"/>
        </w:rPr>
        <w:t xml:space="preserve"> </w:t>
      </w:r>
      <w:r w:rsidRPr="00B072FD">
        <w:rPr>
          <w:color w:val="000000" w:themeColor="text1"/>
          <w:szCs w:val="24"/>
        </w:rPr>
        <w:t xml:space="preserve">A settlement that increases rates in the face of enormous disconnections without consideration of necessary consumer protections does not benefit </w:t>
      </w:r>
      <w:r w:rsidRPr="00B072FD" w:rsidR="00766EB1">
        <w:rPr>
          <w:color w:val="000000" w:themeColor="text1"/>
          <w:szCs w:val="24"/>
        </w:rPr>
        <w:t>consumers,</w:t>
      </w:r>
      <w:r w:rsidRPr="00B072FD">
        <w:rPr>
          <w:color w:val="000000" w:themeColor="text1"/>
          <w:szCs w:val="24"/>
        </w:rPr>
        <w:t xml:space="preserve"> is not in the public interest</w:t>
      </w:r>
      <w:r w:rsidRPr="00B072FD" w:rsidR="00766EB1">
        <w:rPr>
          <w:color w:val="000000" w:themeColor="text1"/>
          <w:szCs w:val="24"/>
        </w:rPr>
        <w:t>,</w:t>
      </w:r>
      <w:r w:rsidRPr="00B072FD">
        <w:rPr>
          <w:color w:val="000000" w:themeColor="text1"/>
          <w:szCs w:val="24"/>
        </w:rPr>
        <w:t xml:space="preserve"> and violates regulatory policy and principles.</w:t>
      </w:r>
      <w:r w:rsidRPr="00B072FD" w:rsidR="005E650C">
        <w:rPr>
          <w:color w:val="000000" w:themeColor="text1"/>
          <w:szCs w:val="24"/>
        </w:rPr>
        <w:t xml:space="preserve"> </w:t>
      </w:r>
    </w:p>
    <w:p w:rsidR="004510B6" w:rsidRPr="00B072FD" w:rsidP="00C95BBD" w14:paraId="2B0A05B9" w14:textId="5D4F5999">
      <w:pPr>
        <w:spacing w:line="480" w:lineRule="auto"/>
        <w:ind w:firstLine="720"/>
        <w:contextualSpacing/>
        <w:rPr>
          <w:color w:val="000000" w:themeColor="text1"/>
          <w:szCs w:val="24"/>
        </w:rPr>
      </w:pPr>
      <w:r w:rsidRPr="00B072FD">
        <w:rPr>
          <w:color w:val="000000" w:themeColor="text1"/>
          <w:szCs w:val="24"/>
        </w:rPr>
        <w:t>In its Motion, AEP Ohio completely ignores the impact of R.C. 4928.02(A) and (L).</w:t>
      </w:r>
      <w:r w:rsidRPr="00B072FD" w:rsidR="005E650C">
        <w:rPr>
          <w:color w:val="000000" w:themeColor="text1"/>
          <w:szCs w:val="24"/>
        </w:rPr>
        <w:t xml:space="preserve"> </w:t>
      </w:r>
      <w:r w:rsidRPr="00B072FD">
        <w:rPr>
          <w:color w:val="000000" w:themeColor="text1"/>
          <w:szCs w:val="24"/>
        </w:rPr>
        <w:t>These statutory provisions set forth Ohio’s policy concerning reasonably priced retail electric service and the protection of at-risk populations.</w:t>
      </w:r>
      <w:r w:rsidRPr="00B072FD" w:rsidR="005E650C">
        <w:rPr>
          <w:color w:val="000000" w:themeColor="text1"/>
          <w:szCs w:val="24"/>
        </w:rPr>
        <w:t xml:space="preserve"> </w:t>
      </w:r>
      <w:r w:rsidRPr="00B072FD">
        <w:rPr>
          <w:color w:val="000000" w:themeColor="text1"/>
          <w:szCs w:val="24"/>
        </w:rPr>
        <w:t>In relevant part, R.C. 4928.02 states:</w:t>
      </w:r>
    </w:p>
    <w:p w:rsidR="004510B6" w:rsidRPr="00B072FD" w:rsidP="00252EC6" w14:paraId="5BEDF075" w14:textId="17A2C462">
      <w:pPr>
        <w:ind w:left="1440" w:right="1440"/>
        <w:contextualSpacing/>
        <w:rPr>
          <w:b/>
          <w:bCs/>
          <w:color w:val="000000" w:themeColor="text1"/>
          <w:szCs w:val="24"/>
        </w:rPr>
      </w:pPr>
      <w:r w:rsidRPr="00B072FD">
        <w:rPr>
          <w:b/>
          <w:bCs/>
          <w:color w:val="000000" w:themeColor="text1"/>
          <w:szCs w:val="24"/>
        </w:rPr>
        <w:t>It is the policy of this state to do the following throughout this state:</w:t>
      </w:r>
    </w:p>
    <w:p w:rsidR="00252EC6" w:rsidRPr="00B072FD" w:rsidP="00252EC6" w14:paraId="630F72CA" w14:textId="77777777">
      <w:pPr>
        <w:ind w:left="1440" w:right="1440"/>
        <w:contextualSpacing/>
        <w:rPr>
          <w:b/>
          <w:bCs/>
          <w:color w:val="000000" w:themeColor="text1"/>
          <w:szCs w:val="24"/>
        </w:rPr>
      </w:pPr>
    </w:p>
    <w:p w:rsidR="004510B6" w:rsidRPr="00B072FD" w:rsidP="00C74AEC" w14:paraId="1434D3EA" w14:textId="30F22EBC">
      <w:pPr>
        <w:pStyle w:val="ListParagraph"/>
        <w:numPr>
          <w:ilvl w:val="0"/>
          <w:numId w:val="31"/>
        </w:numPr>
        <w:ind w:left="1800" w:right="1440"/>
        <w:contextualSpacing/>
        <w:rPr>
          <w:color w:val="000000" w:themeColor="text1"/>
          <w:szCs w:val="24"/>
        </w:rPr>
      </w:pPr>
      <w:r w:rsidRPr="00B072FD">
        <w:rPr>
          <w:color w:val="000000" w:themeColor="text1"/>
          <w:szCs w:val="24"/>
        </w:rPr>
        <w:t>Ensure the availability to consumers of adequate, reliable, safe, efficient, nondiscriminatory, and reasonably priced electric service;</w:t>
      </w:r>
    </w:p>
    <w:p w:rsidR="004510B6" w:rsidRPr="00B072FD" w:rsidP="00C74AEC" w14:paraId="3D850E11" w14:textId="77777777">
      <w:pPr>
        <w:ind w:left="1800" w:right="1440"/>
        <w:contextualSpacing/>
        <w:rPr>
          <w:color w:val="000000" w:themeColor="text1"/>
          <w:szCs w:val="24"/>
        </w:rPr>
      </w:pPr>
      <w:r w:rsidRPr="00B072FD">
        <w:rPr>
          <w:color w:val="000000" w:themeColor="text1"/>
          <w:szCs w:val="24"/>
        </w:rPr>
        <w:t>…</w:t>
      </w:r>
    </w:p>
    <w:p w:rsidR="004510B6" w:rsidRPr="00B072FD" w:rsidP="00C74AEC" w14:paraId="4C38D060" w14:textId="77777777">
      <w:pPr>
        <w:ind w:left="1800" w:right="1440" w:hanging="360"/>
        <w:contextualSpacing/>
        <w:rPr>
          <w:color w:val="000000" w:themeColor="text1"/>
          <w:szCs w:val="24"/>
        </w:rPr>
      </w:pPr>
      <w:r w:rsidRPr="00B072FD">
        <w:rPr>
          <w:color w:val="000000" w:themeColor="text1"/>
          <w:szCs w:val="24"/>
        </w:rPr>
        <w:t>(L) Protect at-risk populations, including, but not limited to, when considering the implementation of any new advanced energy or renewable energy resource.</w:t>
      </w:r>
    </w:p>
    <w:p w:rsidR="004510B6" w:rsidRPr="00B072FD" w:rsidP="004510B6" w14:paraId="7C145823" w14:textId="77777777">
      <w:pPr>
        <w:ind w:left="720"/>
        <w:contextualSpacing/>
        <w:rPr>
          <w:color w:val="000000" w:themeColor="text1"/>
          <w:szCs w:val="24"/>
        </w:rPr>
      </w:pPr>
    </w:p>
    <w:p w:rsidR="00102C15" w:rsidRPr="00B072FD" w:rsidP="005531DF" w14:paraId="042B2581" w14:textId="4E480AB8">
      <w:pPr>
        <w:spacing w:line="480" w:lineRule="auto"/>
        <w:contextualSpacing/>
        <w:rPr>
          <w:color w:val="000000" w:themeColor="text1"/>
          <w:szCs w:val="24"/>
        </w:rPr>
      </w:pPr>
      <w:r w:rsidRPr="00B072FD">
        <w:rPr>
          <w:color w:val="000000" w:themeColor="text1"/>
          <w:szCs w:val="24"/>
        </w:rPr>
        <w:t>[Emphasis added].</w:t>
      </w:r>
      <w:r w:rsidRPr="00B072FD" w:rsidR="005E650C">
        <w:rPr>
          <w:color w:val="000000" w:themeColor="text1"/>
          <w:szCs w:val="24"/>
        </w:rPr>
        <w:t xml:space="preserve"> </w:t>
      </w:r>
      <w:r w:rsidRPr="00B072FD">
        <w:rPr>
          <w:color w:val="000000" w:themeColor="text1"/>
          <w:szCs w:val="24"/>
        </w:rPr>
        <w:t>Expert witness Tinkham’s testimony regarding unreasonably priced electric service and unacceptably high disconnection rates is clearly relevant testimony to these state policies</w:t>
      </w:r>
      <w:r w:rsidRPr="00B072FD" w:rsidR="006214C2">
        <w:rPr>
          <w:color w:val="000000" w:themeColor="text1"/>
          <w:szCs w:val="24"/>
        </w:rPr>
        <w:t xml:space="preserve"> and should not be stricken</w:t>
      </w:r>
      <w:r w:rsidRPr="00B072FD">
        <w:rPr>
          <w:color w:val="000000" w:themeColor="text1"/>
          <w:szCs w:val="24"/>
        </w:rPr>
        <w:t>.</w:t>
      </w:r>
      <w:r w:rsidRPr="00B072FD" w:rsidR="00BF6EC0">
        <w:rPr>
          <w:color w:val="000000" w:themeColor="text1"/>
          <w:szCs w:val="24"/>
        </w:rPr>
        <w:tab/>
      </w:r>
    </w:p>
    <w:p w:rsidR="0095608D" w:rsidRPr="00B072FD" w:rsidP="00CD67BF" w14:paraId="57D31CBF" w14:textId="32C0DE6F">
      <w:pPr>
        <w:pStyle w:val="Heading2"/>
      </w:pPr>
      <w:bookmarkStart w:id="5" w:name="_Toc147821843"/>
      <w:r w:rsidRPr="00B072FD">
        <w:rPr>
          <w:rStyle w:val="Heading2Char"/>
          <w:b/>
          <w:bCs/>
        </w:rPr>
        <w:t>C.</w:t>
      </w:r>
      <w:r w:rsidRPr="00B072FD">
        <w:rPr>
          <w:rStyle w:val="Heading2Char"/>
          <w:b/>
          <w:bCs/>
        </w:rPr>
        <w:tab/>
      </w:r>
      <w:r w:rsidRPr="00B072FD" w:rsidR="00B027D9">
        <w:rPr>
          <w:rStyle w:val="Heading2Char"/>
          <w:b/>
          <w:bCs/>
        </w:rPr>
        <w:t>T</w:t>
      </w:r>
      <w:r w:rsidRPr="00B072FD" w:rsidR="0077184F">
        <w:rPr>
          <w:rStyle w:val="Heading2Char"/>
          <w:b/>
          <w:bCs/>
        </w:rPr>
        <w:t xml:space="preserve">he PUCO is not required to strictly follow the rules of evidence </w:t>
      </w:r>
      <w:r w:rsidRPr="00B072FD" w:rsidR="00B027D9">
        <w:rPr>
          <w:rStyle w:val="Heading2Char"/>
          <w:b/>
          <w:bCs/>
        </w:rPr>
        <w:t xml:space="preserve">and can </w:t>
      </w:r>
      <w:r w:rsidRPr="00B072FD" w:rsidR="00467F11">
        <w:rPr>
          <w:rStyle w:val="Heading2Char"/>
          <w:b/>
          <w:bCs/>
        </w:rPr>
        <w:t>appropriate</w:t>
      </w:r>
      <w:r w:rsidRPr="00B072FD" w:rsidR="00B027D9">
        <w:rPr>
          <w:rStyle w:val="Heading2Char"/>
          <w:b/>
          <w:bCs/>
        </w:rPr>
        <w:t>ly</w:t>
      </w:r>
      <w:r w:rsidRPr="00B072FD" w:rsidR="00467F11">
        <w:rPr>
          <w:rStyle w:val="Heading2Char"/>
          <w:b/>
          <w:bCs/>
        </w:rPr>
        <w:t xml:space="preserve"> weigh</w:t>
      </w:r>
      <w:r w:rsidRPr="00B072FD" w:rsidR="00B027D9">
        <w:rPr>
          <w:rStyle w:val="Heading2Char"/>
          <w:b/>
          <w:bCs/>
        </w:rPr>
        <w:t xml:space="preserve"> the evidence</w:t>
      </w:r>
      <w:r w:rsidRPr="00B072FD" w:rsidR="00467F11">
        <w:rPr>
          <w:rStyle w:val="Heading2Char"/>
          <w:b/>
          <w:bCs/>
        </w:rPr>
        <w:t xml:space="preserve"> </w:t>
      </w:r>
      <w:r w:rsidRPr="00B072FD">
        <w:rPr>
          <w:rStyle w:val="Heading2Char"/>
          <w:b/>
          <w:bCs/>
        </w:rPr>
        <w:t>without striking it from the record.</w:t>
      </w:r>
      <w:bookmarkEnd w:id="5"/>
    </w:p>
    <w:p w:rsidR="00F656BF" w:rsidRPr="00B072FD" w:rsidP="00467F11" w14:paraId="23C862F4" w14:textId="701E0AF4">
      <w:pPr>
        <w:spacing w:line="480" w:lineRule="auto"/>
        <w:ind w:firstLine="720"/>
        <w:contextualSpacing/>
        <w:rPr>
          <w:color w:val="000000" w:themeColor="text1"/>
          <w:szCs w:val="24"/>
        </w:rPr>
      </w:pPr>
      <w:r w:rsidRPr="00B072FD">
        <w:rPr>
          <w:color w:val="000000" w:themeColor="text1"/>
          <w:szCs w:val="24"/>
        </w:rPr>
        <w:t>T</w:t>
      </w:r>
      <w:r w:rsidRPr="00B072FD">
        <w:rPr>
          <w:color w:val="000000" w:themeColor="text1"/>
          <w:szCs w:val="24"/>
        </w:rPr>
        <w:t>here is no factual or legal basis for striking any part of the testimony or exhibits of expert witness Andrew Tinkham.</w:t>
      </w:r>
      <w:r w:rsidRPr="00B072FD" w:rsidR="005E650C">
        <w:rPr>
          <w:color w:val="000000" w:themeColor="text1"/>
          <w:szCs w:val="24"/>
        </w:rPr>
        <w:t xml:space="preserve"> </w:t>
      </w:r>
      <w:r w:rsidRPr="00B072FD">
        <w:rPr>
          <w:color w:val="000000" w:themeColor="text1"/>
          <w:szCs w:val="24"/>
        </w:rPr>
        <w:t>However, even if there was some deficiency</w:t>
      </w:r>
      <w:r w:rsidRPr="00B072FD">
        <w:rPr>
          <w:color w:val="000000" w:themeColor="text1"/>
          <w:szCs w:val="24"/>
        </w:rPr>
        <w:t xml:space="preserve"> (there isn’t)</w:t>
      </w:r>
      <w:r w:rsidRPr="00B072FD">
        <w:rPr>
          <w:color w:val="000000" w:themeColor="text1"/>
          <w:szCs w:val="24"/>
        </w:rPr>
        <w:t>, t</w:t>
      </w:r>
      <w:r w:rsidRPr="00B072FD" w:rsidR="00AD7146">
        <w:rPr>
          <w:color w:val="000000" w:themeColor="text1"/>
          <w:szCs w:val="24"/>
        </w:rPr>
        <w:t>he PUCO</w:t>
      </w:r>
      <w:r w:rsidRPr="00B072FD">
        <w:rPr>
          <w:color w:val="000000" w:themeColor="text1"/>
          <w:szCs w:val="24"/>
        </w:rPr>
        <w:t xml:space="preserve"> is capable of appropriately weighing the evidence without striking it from the record</w:t>
      </w:r>
      <w:r w:rsidRPr="00B072FD" w:rsidR="00CC5448">
        <w:rPr>
          <w:color w:val="000000" w:themeColor="text1"/>
          <w:szCs w:val="24"/>
        </w:rPr>
        <w:t>.</w:t>
      </w:r>
      <w:r>
        <w:rPr>
          <w:rStyle w:val="FootnoteReference"/>
          <w:color w:val="000000" w:themeColor="text1"/>
          <w:szCs w:val="24"/>
        </w:rPr>
        <w:footnoteReference w:id="27"/>
      </w:r>
    </w:p>
    <w:p w:rsidR="00AB025F" w:rsidRPr="00B072FD" w:rsidP="00467F11" w14:paraId="0B27C42B" w14:textId="233D7B24">
      <w:pPr>
        <w:spacing w:line="480" w:lineRule="auto"/>
        <w:ind w:firstLine="720"/>
        <w:contextualSpacing/>
        <w:rPr>
          <w:color w:val="000000" w:themeColor="text1"/>
          <w:szCs w:val="24"/>
        </w:rPr>
      </w:pPr>
      <w:r w:rsidRPr="00B072FD">
        <w:rPr>
          <w:color w:val="000000" w:themeColor="text1"/>
          <w:szCs w:val="24"/>
        </w:rPr>
        <w:t>In its argument regarding the disconnection reports referenced by expert witness Tinkham, AEP Ohio does not quote or even cite a single case of or about the PUCO regarding the admission of expert testimony.</w:t>
      </w:r>
      <w:r w:rsidRPr="00B072FD" w:rsidR="005E650C">
        <w:rPr>
          <w:color w:val="000000" w:themeColor="text1"/>
          <w:szCs w:val="24"/>
        </w:rPr>
        <w:t xml:space="preserve"> </w:t>
      </w:r>
      <w:r w:rsidRPr="00B072FD" w:rsidR="002E428F">
        <w:rPr>
          <w:color w:val="000000" w:themeColor="text1"/>
          <w:szCs w:val="24"/>
        </w:rPr>
        <w:t>T</w:t>
      </w:r>
      <w:r w:rsidRPr="00B072FD">
        <w:rPr>
          <w:color w:val="000000" w:themeColor="text1"/>
          <w:szCs w:val="24"/>
        </w:rPr>
        <w:t xml:space="preserve">he only case it cites is </w:t>
      </w:r>
      <w:r w:rsidRPr="00B072FD">
        <w:rPr>
          <w:i/>
          <w:iCs/>
          <w:color w:val="000000" w:themeColor="text1"/>
          <w:szCs w:val="24"/>
        </w:rPr>
        <w:t xml:space="preserve">State v. Jones, </w:t>
      </w:r>
      <w:r w:rsidRPr="00B072FD">
        <w:rPr>
          <w:color w:val="000000" w:themeColor="text1"/>
          <w:szCs w:val="24"/>
        </w:rPr>
        <w:t>9 Ohio St.3d 123 (1984).</w:t>
      </w:r>
      <w:r w:rsidRPr="00B072FD" w:rsidR="005E650C">
        <w:rPr>
          <w:color w:val="000000" w:themeColor="text1"/>
          <w:szCs w:val="24"/>
        </w:rPr>
        <w:t xml:space="preserve"> </w:t>
      </w:r>
      <w:r w:rsidRPr="00B072FD">
        <w:rPr>
          <w:color w:val="000000" w:themeColor="text1"/>
          <w:szCs w:val="24"/>
        </w:rPr>
        <w:t xml:space="preserve">Not surprisingly, as a criminal case the </w:t>
      </w:r>
      <w:r w:rsidRPr="00B072FD" w:rsidR="00EC57D2">
        <w:rPr>
          <w:color w:val="000000" w:themeColor="text1"/>
          <w:szCs w:val="24"/>
        </w:rPr>
        <w:t>Rules of Evidence are strictly enforced.</w:t>
      </w:r>
      <w:r w:rsidRPr="00B072FD" w:rsidR="005E650C">
        <w:rPr>
          <w:color w:val="000000" w:themeColor="text1"/>
          <w:szCs w:val="24"/>
        </w:rPr>
        <w:t xml:space="preserve"> </w:t>
      </w:r>
      <w:r w:rsidRPr="00B072FD" w:rsidR="00EC57D2">
        <w:rPr>
          <w:color w:val="000000" w:themeColor="text1"/>
          <w:szCs w:val="24"/>
        </w:rPr>
        <w:t xml:space="preserve">That is not true of proceedings before </w:t>
      </w:r>
      <w:r w:rsidRPr="00B072FD" w:rsidR="00CC5448">
        <w:rPr>
          <w:color w:val="000000" w:themeColor="text1"/>
          <w:szCs w:val="24"/>
        </w:rPr>
        <w:t xml:space="preserve">the </w:t>
      </w:r>
      <w:r w:rsidRPr="00B072FD">
        <w:rPr>
          <w:color w:val="000000" w:themeColor="text1"/>
          <w:szCs w:val="24"/>
        </w:rPr>
        <w:t>PUCO.</w:t>
      </w:r>
    </w:p>
    <w:p w:rsidR="00847CC0" w:rsidRPr="00B072FD" w:rsidP="00467F11" w14:paraId="51EAA78C" w14:textId="4EA7E9D6">
      <w:pPr>
        <w:spacing w:line="480" w:lineRule="auto"/>
        <w:ind w:firstLine="720"/>
        <w:contextualSpacing/>
        <w:rPr>
          <w:color w:val="000000" w:themeColor="text1"/>
          <w:szCs w:val="24"/>
        </w:rPr>
      </w:pPr>
      <w:r w:rsidRPr="00B072FD">
        <w:rPr>
          <w:color w:val="000000" w:themeColor="text1"/>
          <w:szCs w:val="24"/>
        </w:rPr>
        <w:t>The Supreme Court of Ohio has long r</w:t>
      </w:r>
      <w:r w:rsidRPr="00B072FD" w:rsidR="00CC5448">
        <w:rPr>
          <w:color w:val="000000" w:themeColor="text1"/>
          <w:szCs w:val="24"/>
        </w:rPr>
        <w:t xml:space="preserve">ecognized that PUCO proceedings are </w:t>
      </w:r>
      <w:r w:rsidRPr="00B072FD" w:rsidR="002312FB">
        <w:rPr>
          <w:color w:val="000000" w:themeColor="text1"/>
          <w:szCs w:val="24"/>
        </w:rPr>
        <w:t>“</w:t>
      </w:r>
      <w:r w:rsidRPr="00B072FD" w:rsidR="00CC5448">
        <w:rPr>
          <w:color w:val="000000" w:themeColor="text1"/>
          <w:szCs w:val="24"/>
        </w:rPr>
        <w:t>informal</w:t>
      </w:r>
      <w:r w:rsidRPr="00B072FD" w:rsidR="002312FB">
        <w:rPr>
          <w:color w:val="000000" w:themeColor="text1"/>
          <w:szCs w:val="24"/>
        </w:rPr>
        <w:t>”</w:t>
      </w:r>
      <w:r w:rsidRPr="00B072FD" w:rsidR="00CC5448">
        <w:rPr>
          <w:color w:val="000000" w:themeColor="text1"/>
          <w:szCs w:val="24"/>
        </w:rPr>
        <w:t xml:space="preserve"> and </w:t>
      </w:r>
      <w:r w:rsidRPr="00B072FD">
        <w:rPr>
          <w:color w:val="000000" w:themeColor="text1"/>
          <w:szCs w:val="24"/>
        </w:rPr>
        <w:t>“should not be inhibited by the strict rules as to the admissibility of evidence which prevail in courts….”</w:t>
      </w:r>
      <w:r w:rsidRPr="00B072FD" w:rsidR="005E650C">
        <w:rPr>
          <w:color w:val="000000" w:themeColor="text1"/>
          <w:szCs w:val="24"/>
        </w:rPr>
        <w:t xml:space="preserve"> </w:t>
      </w:r>
      <w:r w:rsidRPr="00B072FD">
        <w:rPr>
          <w:i/>
          <w:iCs/>
          <w:color w:val="000000" w:themeColor="text1"/>
          <w:szCs w:val="24"/>
        </w:rPr>
        <w:t xml:space="preserve">Chesapeake &amp; O.R. Co. v. Public Utilities Com. </w:t>
      </w:r>
      <w:r w:rsidRPr="00B072FD">
        <w:rPr>
          <w:color w:val="000000" w:themeColor="text1"/>
          <w:szCs w:val="24"/>
        </w:rPr>
        <w:t>(1955), 163 Ohio St. 252, 263.</w:t>
      </w:r>
      <w:r w:rsidRPr="00B072FD" w:rsidR="005E650C">
        <w:rPr>
          <w:color w:val="000000" w:themeColor="text1"/>
          <w:szCs w:val="24"/>
        </w:rPr>
        <w:t xml:space="preserve"> </w:t>
      </w:r>
    </w:p>
    <w:p w:rsidR="00467F11" w:rsidRPr="00B072FD" w:rsidP="00467F11" w14:paraId="23909F23" w14:textId="0C36BEA5">
      <w:pPr>
        <w:spacing w:line="480" w:lineRule="auto"/>
        <w:ind w:firstLine="720"/>
        <w:contextualSpacing/>
        <w:rPr>
          <w:color w:val="000000"/>
          <w:szCs w:val="24"/>
        </w:rPr>
      </w:pPr>
      <w:r w:rsidRPr="00B072FD">
        <w:rPr>
          <w:color w:val="000000" w:themeColor="text1"/>
          <w:szCs w:val="24"/>
        </w:rPr>
        <w:t xml:space="preserve">Consistent with governing law, the PUCO has </w:t>
      </w:r>
      <w:r w:rsidRPr="00B072FD" w:rsidR="00AD7146">
        <w:rPr>
          <w:color w:val="000000" w:themeColor="text1"/>
          <w:szCs w:val="24"/>
        </w:rPr>
        <w:t>“allowed the admission of hearsay testimony” when it has “deemed it appropriate.”</w:t>
      </w:r>
      <w:r>
        <w:rPr>
          <w:rStyle w:val="FootnoteReference"/>
          <w:color w:val="000000"/>
          <w:szCs w:val="24"/>
        </w:rPr>
        <w:footnoteReference w:id="28"/>
      </w:r>
      <w:r w:rsidRPr="00B072FD" w:rsidR="00AD7146">
        <w:rPr>
          <w:color w:val="000000"/>
          <w:szCs w:val="24"/>
        </w:rPr>
        <w:t> </w:t>
      </w:r>
      <w:r w:rsidRPr="00B072FD">
        <w:rPr>
          <w:color w:val="000000"/>
          <w:szCs w:val="24"/>
        </w:rPr>
        <w:t>The PUCO stated “hearsay rules are designed, in part, to exclude evidence, not because it is not relevant or probative, but because of concerns regarding jurors’ inability to weigh evidence appropriately.”</w:t>
      </w:r>
      <w:r>
        <w:rPr>
          <w:rStyle w:val="FootnoteReference"/>
          <w:color w:val="000000"/>
          <w:szCs w:val="24"/>
        </w:rPr>
        <w:footnoteReference w:id="29"/>
      </w:r>
      <w:r w:rsidRPr="00B072FD" w:rsidR="005E650C">
        <w:rPr>
          <w:color w:val="000000"/>
          <w:szCs w:val="24"/>
        </w:rPr>
        <w:t xml:space="preserve"> </w:t>
      </w:r>
      <w:r w:rsidRPr="00B072FD">
        <w:rPr>
          <w:color w:val="000000"/>
          <w:szCs w:val="24"/>
        </w:rPr>
        <w:t>The PUCO went on to state that “(t)hese concerns are i</w:t>
      </w:r>
      <w:r w:rsidRPr="00B072FD" w:rsidR="00AD7146">
        <w:rPr>
          <w:color w:val="000000" w:themeColor="text1"/>
          <w:szCs w:val="24"/>
        </w:rPr>
        <w:t>napplicable to administrative proceedings before the Commission</w:t>
      </w:r>
      <w:r w:rsidRPr="00B072FD">
        <w:rPr>
          <w:color w:val="000000" w:themeColor="text1"/>
          <w:szCs w:val="24"/>
        </w:rPr>
        <w:t xml:space="preserve">, as </w:t>
      </w:r>
      <w:r w:rsidRPr="00B072FD" w:rsidR="00AD7146">
        <w:rPr>
          <w:color w:val="000000" w:themeColor="text1"/>
          <w:szCs w:val="24"/>
        </w:rPr>
        <w:t>the Commission has the expertise to give the appropriate weight to testimony</w:t>
      </w:r>
      <w:r w:rsidRPr="00B072FD" w:rsidR="00AD7146">
        <w:rPr>
          <w:color w:val="000000"/>
          <w:szCs w:val="24"/>
        </w:rPr>
        <w:t xml:space="preserve"> and evidence.”</w:t>
      </w:r>
      <w:r>
        <w:rPr>
          <w:rStyle w:val="FootnoteReference"/>
          <w:color w:val="000000"/>
          <w:szCs w:val="24"/>
        </w:rPr>
        <w:footnoteReference w:id="30"/>
      </w:r>
      <w:r w:rsidRPr="00B072FD" w:rsidR="00B9163B">
        <w:rPr>
          <w:color w:val="000000"/>
          <w:szCs w:val="24"/>
        </w:rPr>
        <w:t xml:space="preserve"> </w:t>
      </w:r>
      <w:r w:rsidRPr="00B072FD" w:rsidR="00DA52F2">
        <w:rPr>
          <w:color w:val="000000"/>
          <w:szCs w:val="24"/>
        </w:rPr>
        <w:t>So</w:t>
      </w:r>
      <w:r w:rsidRPr="00B072FD" w:rsidR="00B9163B">
        <w:rPr>
          <w:color w:val="000000"/>
          <w:szCs w:val="24"/>
        </w:rPr>
        <w:t xml:space="preserve">, </w:t>
      </w:r>
      <w:r w:rsidRPr="00B072FD" w:rsidR="0077184F">
        <w:rPr>
          <w:color w:val="000000"/>
          <w:szCs w:val="24"/>
        </w:rPr>
        <w:t>even if there is some deficiency in Mr. Tinkham’s testimony</w:t>
      </w:r>
      <w:r w:rsidRPr="00B072FD">
        <w:rPr>
          <w:color w:val="000000"/>
          <w:szCs w:val="24"/>
        </w:rPr>
        <w:t xml:space="preserve"> or exhibits</w:t>
      </w:r>
      <w:r w:rsidRPr="00B072FD" w:rsidR="0077184F">
        <w:rPr>
          <w:color w:val="000000"/>
          <w:szCs w:val="24"/>
        </w:rPr>
        <w:t>,</w:t>
      </w:r>
      <w:r w:rsidRPr="00B072FD" w:rsidR="00B9163B">
        <w:rPr>
          <w:color w:val="000000"/>
          <w:szCs w:val="24"/>
        </w:rPr>
        <w:t xml:space="preserve"> </w:t>
      </w:r>
      <w:r w:rsidRPr="00B072FD" w:rsidR="0077184F">
        <w:rPr>
          <w:color w:val="000000"/>
          <w:szCs w:val="24"/>
        </w:rPr>
        <w:t xml:space="preserve">which </w:t>
      </w:r>
      <w:r w:rsidRPr="00B072FD" w:rsidR="002312FB">
        <w:rPr>
          <w:color w:val="000000"/>
          <w:szCs w:val="24"/>
        </w:rPr>
        <w:t>there is not, th</w:t>
      </w:r>
      <w:r w:rsidRPr="00B072FD" w:rsidR="00B9163B">
        <w:rPr>
          <w:color w:val="000000"/>
          <w:szCs w:val="24"/>
        </w:rPr>
        <w:t xml:space="preserve">e PUCO </w:t>
      </w:r>
      <w:r w:rsidRPr="00B072FD">
        <w:rPr>
          <w:color w:val="000000"/>
          <w:szCs w:val="24"/>
        </w:rPr>
        <w:t xml:space="preserve">should </w:t>
      </w:r>
      <w:r w:rsidRPr="00B072FD" w:rsidR="002E428F">
        <w:rPr>
          <w:color w:val="000000"/>
          <w:szCs w:val="24"/>
        </w:rPr>
        <w:t xml:space="preserve">admit the testimony and evidence and use its </w:t>
      </w:r>
      <w:r w:rsidRPr="00B072FD" w:rsidR="00B9163B">
        <w:rPr>
          <w:color w:val="000000"/>
          <w:szCs w:val="24"/>
        </w:rPr>
        <w:t xml:space="preserve">expertise to weigh </w:t>
      </w:r>
      <w:r w:rsidRPr="00B072FD" w:rsidR="00766EB1">
        <w:rPr>
          <w:color w:val="000000"/>
          <w:szCs w:val="24"/>
        </w:rPr>
        <w:t xml:space="preserve">it </w:t>
      </w:r>
      <w:r w:rsidRPr="00B072FD" w:rsidR="00B9163B">
        <w:rPr>
          <w:color w:val="000000"/>
          <w:szCs w:val="24"/>
        </w:rPr>
        <w:t xml:space="preserve">as it </w:t>
      </w:r>
      <w:r w:rsidRPr="00B072FD" w:rsidR="00DA52F2">
        <w:rPr>
          <w:color w:val="000000"/>
          <w:szCs w:val="24"/>
        </w:rPr>
        <w:t>deems</w:t>
      </w:r>
      <w:r w:rsidRPr="00B072FD" w:rsidR="00B9163B">
        <w:rPr>
          <w:color w:val="000000"/>
          <w:szCs w:val="24"/>
        </w:rPr>
        <w:t xml:space="preserve"> appropriate.</w:t>
      </w:r>
      <w:r w:rsidRPr="00B072FD" w:rsidR="005E650C">
        <w:rPr>
          <w:color w:val="000000"/>
          <w:szCs w:val="24"/>
        </w:rPr>
        <w:t xml:space="preserve"> </w:t>
      </w:r>
    </w:p>
    <w:p w:rsidR="00BF06B7" w:rsidRPr="00B072FD" w:rsidP="00977797" w14:paraId="7524FEF3" w14:textId="67BAF92B">
      <w:pPr>
        <w:spacing w:line="480" w:lineRule="auto"/>
        <w:contextualSpacing/>
        <w:rPr>
          <w:color w:val="000000"/>
          <w:szCs w:val="24"/>
        </w:rPr>
      </w:pPr>
      <w:r w:rsidRPr="00B072FD">
        <w:rPr>
          <w:color w:val="000000"/>
          <w:szCs w:val="24"/>
        </w:rPr>
        <w:tab/>
        <w:t xml:space="preserve">Another </w:t>
      </w:r>
      <w:r w:rsidRPr="00B072FD" w:rsidR="00C52C3B">
        <w:rPr>
          <w:color w:val="000000"/>
          <w:szCs w:val="24"/>
        </w:rPr>
        <w:t>“purpose of the rule against hearsay is to keep unreliable evidence, particularly evidence that is not subject to cross-examination,” out of the record.</w:t>
      </w:r>
      <w:r>
        <w:rPr>
          <w:rStyle w:val="FootnoteReference"/>
          <w:color w:val="000000"/>
          <w:szCs w:val="24"/>
        </w:rPr>
        <w:footnoteReference w:id="31"/>
      </w:r>
      <w:r w:rsidRPr="00B072FD" w:rsidR="00C23727">
        <w:rPr>
          <w:color w:val="000000"/>
          <w:szCs w:val="24"/>
        </w:rPr>
        <w:t xml:space="preserve"> </w:t>
      </w:r>
      <w:r w:rsidRPr="00B072FD" w:rsidR="00993758">
        <w:rPr>
          <w:color w:val="000000"/>
          <w:szCs w:val="24"/>
        </w:rPr>
        <w:t xml:space="preserve">This purpose does not apply to </w:t>
      </w:r>
      <w:r w:rsidRPr="00B072FD" w:rsidR="002312FB">
        <w:rPr>
          <w:color w:val="000000"/>
          <w:szCs w:val="24"/>
        </w:rPr>
        <w:t xml:space="preserve">Mr. Tinkham’s </w:t>
      </w:r>
      <w:r w:rsidRPr="00B072FD" w:rsidR="00993758">
        <w:rPr>
          <w:color w:val="000000"/>
          <w:szCs w:val="24"/>
        </w:rPr>
        <w:t xml:space="preserve">testimony, about which he </w:t>
      </w:r>
      <w:r w:rsidRPr="00B072FD" w:rsidR="002312FB">
        <w:rPr>
          <w:color w:val="000000"/>
          <w:szCs w:val="24"/>
        </w:rPr>
        <w:t>will be subject to cross-examination at the hearing</w:t>
      </w:r>
      <w:bookmarkEnd w:id="1"/>
      <w:r w:rsidRPr="00B072FD">
        <w:rPr>
          <w:color w:val="000000"/>
          <w:szCs w:val="24"/>
        </w:rPr>
        <w:t>.</w:t>
      </w:r>
      <w:r w:rsidRPr="00B072FD" w:rsidR="00576D0C">
        <w:rPr>
          <w:color w:val="000000"/>
          <w:szCs w:val="24"/>
        </w:rPr>
        <w:t xml:space="preserve"> The PUCO should not exclude </w:t>
      </w:r>
      <w:r w:rsidRPr="00B072FD" w:rsidR="00881524">
        <w:rPr>
          <w:color w:val="000000"/>
          <w:szCs w:val="24"/>
        </w:rPr>
        <w:t xml:space="preserve">expert witness Andrew Tinkham’s </w:t>
      </w:r>
      <w:r w:rsidRPr="00B072FD" w:rsidR="00576D0C">
        <w:rPr>
          <w:color w:val="000000"/>
          <w:szCs w:val="24"/>
        </w:rPr>
        <w:t xml:space="preserve">testimony or </w:t>
      </w:r>
      <w:r w:rsidRPr="00B072FD" w:rsidR="002312FB">
        <w:rPr>
          <w:color w:val="000000"/>
          <w:szCs w:val="24"/>
        </w:rPr>
        <w:t>exhibits</w:t>
      </w:r>
      <w:r w:rsidRPr="00B072FD" w:rsidR="00576D0C">
        <w:rPr>
          <w:color w:val="000000"/>
          <w:szCs w:val="24"/>
        </w:rPr>
        <w:t>.</w:t>
      </w:r>
    </w:p>
    <w:p w:rsidR="00BF06B7" w:rsidRPr="00B072FD" w14:paraId="0AF5D585" w14:textId="3BD94F21">
      <w:pPr>
        <w:rPr>
          <w:color w:val="000000"/>
          <w:szCs w:val="24"/>
        </w:rPr>
      </w:pPr>
    </w:p>
    <w:p w:rsidR="00881524" w:rsidRPr="00B072FD" w:rsidP="00CD67BF" w14:paraId="17818E4F" w14:textId="3B18B7B2">
      <w:pPr>
        <w:pStyle w:val="Heading2"/>
      </w:pPr>
      <w:bookmarkStart w:id="6" w:name="_Toc147821844"/>
      <w:r w:rsidRPr="00B072FD">
        <w:t>D.</w:t>
      </w:r>
      <w:r w:rsidRPr="00B072FD">
        <w:tab/>
      </w:r>
      <w:r w:rsidRPr="00B072FD" w:rsidR="00766EB1">
        <w:t>For consumer protection, e</w:t>
      </w:r>
      <w:r w:rsidRPr="00B072FD">
        <w:t>xpert witness Andrew Tinkham’s testimony regarding health and safety concerns associated with the disconnection of electricity consumers should not be stricken</w:t>
      </w:r>
      <w:r w:rsidRPr="00B072FD" w:rsidR="00766EB1">
        <w:t>.</w:t>
      </w:r>
      <w:bookmarkEnd w:id="6"/>
    </w:p>
    <w:p w:rsidR="00585DA3" w:rsidRPr="00B072FD" w:rsidP="00585DA3" w14:paraId="44E1DB0E" w14:textId="39FC7230">
      <w:pPr>
        <w:spacing w:line="480" w:lineRule="auto"/>
        <w:ind w:firstLine="720"/>
        <w:contextualSpacing/>
        <w:rPr>
          <w:color w:val="000000"/>
          <w:szCs w:val="24"/>
        </w:rPr>
      </w:pPr>
      <w:r w:rsidRPr="00B072FD">
        <w:rPr>
          <w:color w:val="000000"/>
          <w:szCs w:val="24"/>
        </w:rPr>
        <w:t xml:space="preserve">Expert </w:t>
      </w:r>
      <w:r w:rsidRPr="00B072FD" w:rsidR="00EC57D2">
        <w:rPr>
          <w:color w:val="000000"/>
          <w:szCs w:val="24"/>
        </w:rPr>
        <w:t xml:space="preserve">witness </w:t>
      </w:r>
      <w:r w:rsidRPr="00B072FD">
        <w:rPr>
          <w:color w:val="000000"/>
          <w:szCs w:val="24"/>
        </w:rPr>
        <w:t>Tinkham’s professional experience includes 6 years in the telecom industry and 18 years of utility regulatory experience with the OCC.</w:t>
      </w:r>
      <w:r>
        <w:rPr>
          <w:rStyle w:val="FootnoteReference"/>
          <w:color w:val="000000"/>
          <w:szCs w:val="24"/>
        </w:rPr>
        <w:footnoteReference w:id="32"/>
      </w:r>
      <w:r w:rsidRPr="00B072FD" w:rsidR="005E650C">
        <w:rPr>
          <w:color w:val="000000"/>
          <w:szCs w:val="24"/>
        </w:rPr>
        <w:t xml:space="preserve"> </w:t>
      </w:r>
      <w:r w:rsidRPr="00B072FD" w:rsidR="00347769">
        <w:rPr>
          <w:color w:val="000000"/>
          <w:szCs w:val="24"/>
        </w:rPr>
        <w:t>During his 18 years at OCC Mr. Tinkham has had ongoing and continual interaction with Ohio residential consumers.</w:t>
      </w:r>
      <w:r w:rsidRPr="00B072FD" w:rsidR="005E650C">
        <w:rPr>
          <w:color w:val="000000"/>
          <w:szCs w:val="24"/>
        </w:rPr>
        <w:t xml:space="preserve"> </w:t>
      </w:r>
      <w:r w:rsidRPr="00B072FD" w:rsidR="00347769">
        <w:rPr>
          <w:color w:val="000000"/>
          <w:szCs w:val="24"/>
        </w:rPr>
        <w:t>As a compliance investigator his duties included researching and resolving consumers’ inquiries and complaint</w:t>
      </w:r>
      <w:r w:rsidRPr="00B072FD" w:rsidR="00766EB1">
        <w:rPr>
          <w:color w:val="000000"/>
          <w:szCs w:val="24"/>
        </w:rPr>
        <w:t>s</w:t>
      </w:r>
      <w:r w:rsidRPr="00B072FD" w:rsidR="00347769">
        <w:rPr>
          <w:color w:val="000000"/>
          <w:szCs w:val="24"/>
        </w:rPr>
        <w:t xml:space="preserve"> that involved Ohio regulated utilities.</w:t>
      </w:r>
      <w:r>
        <w:rPr>
          <w:rStyle w:val="FootnoteReference"/>
          <w:color w:val="000000"/>
          <w:szCs w:val="24"/>
        </w:rPr>
        <w:footnoteReference w:id="33"/>
      </w:r>
      <w:r w:rsidRPr="00B072FD" w:rsidR="005E650C">
        <w:rPr>
          <w:color w:val="000000"/>
          <w:szCs w:val="24"/>
        </w:rPr>
        <w:t xml:space="preserve"> </w:t>
      </w:r>
      <w:r w:rsidRPr="00B072FD" w:rsidR="00347769">
        <w:rPr>
          <w:color w:val="000000"/>
          <w:szCs w:val="24"/>
        </w:rPr>
        <w:t>Later, as senior outreach and education specialist, his role included public presentations on utility assistance programs, energy choice, and consumers’ rights along with educating local agencies and organizations on utility rules.</w:t>
      </w:r>
      <w:r>
        <w:rPr>
          <w:rStyle w:val="FootnoteReference"/>
          <w:color w:val="000000"/>
          <w:szCs w:val="24"/>
        </w:rPr>
        <w:footnoteReference w:id="34"/>
      </w:r>
      <w:r w:rsidRPr="00B072FD" w:rsidR="005E650C">
        <w:rPr>
          <w:color w:val="000000"/>
          <w:szCs w:val="24"/>
        </w:rPr>
        <w:t xml:space="preserve"> </w:t>
      </w:r>
      <w:r w:rsidRPr="00B072FD" w:rsidR="00347769">
        <w:rPr>
          <w:color w:val="000000"/>
          <w:szCs w:val="24"/>
        </w:rPr>
        <w:t>Most recently, he was promoted to a Utility Consumer Program Specialist.</w:t>
      </w:r>
    </w:p>
    <w:p w:rsidR="00347769" w:rsidRPr="00B072FD" w:rsidP="00585DA3" w14:paraId="03E84357" w14:textId="5EB1C9DD">
      <w:pPr>
        <w:spacing w:line="480" w:lineRule="auto"/>
        <w:ind w:firstLine="720"/>
        <w:contextualSpacing/>
        <w:rPr>
          <w:color w:val="000000"/>
          <w:szCs w:val="24"/>
        </w:rPr>
      </w:pPr>
      <w:r w:rsidRPr="00B072FD">
        <w:rPr>
          <w:color w:val="000000"/>
          <w:szCs w:val="24"/>
        </w:rPr>
        <w:t xml:space="preserve">Based on his 18 years of experience in working with Ohio’s utility consumers, Mr. Tinkham is qualified to express </w:t>
      </w:r>
      <w:r w:rsidRPr="00B072FD" w:rsidR="009A58C5">
        <w:rPr>
          <w:color w:val="000000"/>
          <w:szCs w:val="24"/>
        </w:rPr>
        <w:t xml:space="preserve">facts and </w:t>
      </w:r>
      <w:r w:rsidRPr="00B072FD">
        <w:rPr>
          <w:color w:val="000000"/>
          <w:szCs w:val="24"/>
        </w:rPr>
        <w:t>opinions, on among other things, the impact of disconnection of utility service on residential consumers.</w:t>
      </w:r>
      <w:r w:rsidRPr="00B072FD" w:rsidR="005E650C">
        <w:rPr>
          <w:color w:val="000000"/>
          <w:szCs w:val="24"/>
        </w:rPr>
        <w:t xml:space="preserve"> </w:t>
      </w:r>
      <w:r w:rsidRPr="00B072FD">
        <w:rPr>
          <w:color w:val="000000"/>
          <w:szCs w:val="24"/>
        </w:rPr>
        <w:t>In his testimony, Mr. Tinkham states:</w:t>
      </w:r>
    </w:p>
    <w:p w:rsidR="009A58C5" w:rsidRPr="00B072FD" w:rsidP="00244058" w14:paraId="0FCEBC44" w14:textId="6025FF92">
      <w:pPr>
        <w:ind w:left="1440" w:right="1440"/>
        <w:contextualSpacing/>
        <w:rPr>
          <w:color w:val="000000"/>
          <w:szCs w:val="24"/>
        </w:rPr>
      </w:pPr>
      <w:r w:rsidRPr="00B072FD">
        <w:rPr>
          <w:color w:val="000000"/>
          <w:szCs w:val="24"/>
        </w:rPr>
        <w:t>The disconnection of essential electric service jeopardizes the health and safety of consumers, especially during the Summer and Winter months.</w:t>
      </w:r>
      <w:r w:rsidRPr="00B072FD" w:rsidR="005E650C">
        <w:rPr>
          <w:color w:val="000000"/>
          <w:szCs w:val="24"/>
        </w:rPr>
        <w:t xml:space="preserve"> </w:t>
      </w:r>
      <w:r w:rsidRPr="00B072FD">
        <w:rPr>
          <w:color w:val="000000"/>
          <w:szCs w:val="24"/>
        </w:rPr>
        <w:t>Electric service is critical for households to maintain lighting, heating that requires electricity, electricity hot water heating, cooling (air conditioners and fans), medical devices, refrigeration of perishable food and medicine, and electric cooking appliances.</w:t>
      </w:r>
    </w:p>
    <w:p w:rsidR="009A58C5" w:rsidRPr="00B072FD" w:rsidP="00347769" w14:paraId="28E6A907" w14:textId="77777777">
      <w:pPr>
        <w:ind w:left="720" w:right="720"/>
        <w:contextualSpacing/>
        <w:rPr>
          <w:color w:val="000000"/>
          <w:szCs w:val="24"/>
        </w:rPr>
      </w:pPr>
    </w:p>
    <w:p w:rsidR="00347769" w:rsidRPr="00B072FD" w:rsidP="005A5BDF" w14:paraId="3877752F" w14:textId="208678E5">
      <w:pPr>
        <w:ind w:left="1440" w:right="1440"/>
        <w:contextualSpacing/>
        <w:rPr>
          <w:color w:val="000000"/>
          <w:szCs w:val="24"/>
        </w:rPr>
      </w:pPr>
      <w:r w:rsidRPr="00B072FD">
        <w:rPr>
          <w:color w:val="000000"/>
          <w:szCs w:val="24"/>
        </w:rPr>
        <w:t>Even i</w:t>
      </w:r>
      <w:r w:rsidRPr="00B072FD" w:rsidR="00EC57D2">
        <w:rPr>
          <w:color w:val="000000"/>
          <w:szCs w:val="24"/>
        </w:rPr>
        <w:t>f</w:t>
      </w:r>
      <w:r w:rsidRPr="00B072FD">
        <w:rPr>
          <w:color w:val="000000"/>
          <w:szCs w:val="24"/>
        </w:rPr>
        <w:t xml:space="preserve"> a consumer is able to pay the electric bill, they could experience other health and safety needs due to a lack of funds.</w:t>
      </w:r>
      <w:r>
        <w:rPr>
          <w:rStyle w:val="FootnoteReference"/>
          <w:color w:val="000000"/>
          <w:szCs w:val="24"/>
        </w:rPr>
        <w:footnoteReference w:id="35"/>
      </w:r>
    </w:p>
    <w:p w:rsidR="00881524" w:rsidRPr="00B072FD" w:rsidP="00881524" w14:paraId="186F0547" w14:textId="77777777">
      <w:pPr>
        <w:ind w:left="720"/>
        <w:contextualSpacing/>
        <w:rPr>
          <w:b/>
          <w:bCs/>
          <w:color w:val="000000"/>
          <w:szCs w:val="24"/>
        </w:rPr>
      </w:pPr>
    </w:p>
    <w:p w:rsidR="00881524" w:rsidRPr="00B072FD" w:rsidP="00C371A0" w14:paraId="37BEF7F8" w14:textId="060AD303">
      <w:pPr>
        <w:spacing w:line="480" w:lineRule="auto"/>
        <w:contextualSpacing/>
        <w:rPr>
          <w:color w:val="000000"/>
          <w:szCs w:val="24"/>
        </w:rPr>
      </w:pPr>
      <w:r w:rsidRPr="00B072FD">
        <w:rPr>
          <w:color w:val="000000"/>
          <w:szCs w:val="24"/>
        </w:rPr>
        <w:tab/>
      </w:r>
      <w:r w:rsidRPr="00B072FD" w:rsidR="009A58C5">
        <w:rPr>
          <w:color w:val="000000"/>
          <w:szCs w:val="24"/>
        </w:rPr>
        <w:t xml:space="preserve">AEP Ohio has moved to strike </w:t>
      </w:r>
      <w:r w:rsidRPr="00B072FD" w:rsidR="00EC57D2">
        <w:rPr>
          <w:color w:val="000000"/>
          <w:szCs w:val="24"/>
        </w:rPr>
        <w:t>Mr. Tinkham’s</w:t>
      </w:r>
      <w:r w:rsidRPr="00B072FD" w:rsidR="009A58C5">
        <w:rPr>
          <w:color w:val="000000"/>
          <w:szCs w:val="24"/>
        </w:rPr>
        <w:t xml:space="preserve"> testimony </w:t>
      </w:r>
      <w:r w:rsidRPr="00B072FD" w:rsidR="00AD7146">
        <w:rPr>
          <w:color w:val="000000"/>
          <w:szCs w:val="24"/>
        </w:rPr>
        <w:t>regarding statistics and measures taken by c</w:t>
      </w:r>
      <w:r w:rsidRPr="00B072FD" w:rsidR="009A58C5">
        <w:rPr>
          <w:color w:val="000000"/>
          <w:szCs w:val="24"/>
        </w:rPr>
        <w:t xml:space="preserve">onsumers to cope with high energy costs </w:t>
      </w:r>
      <w:r w:rsidRPr="00B072FD" w:rsidR="00EC57D2">
        <w:rPr>
          <w:color w:val="000000"/>
          <w:szCs w:val="24"/>
        </w:rPr>
        <w:t>for which he references two documents.</w:t>
      </w:r>
      <w:r w:rsidRPr="00B072FD" w:rsidR="005E650C">
        <w:rPr>
          <w:color w:val="000000"/>
          <w:szCs w:val="24"/>
        </w:rPr>
        <w:t xml:space="preserve"> </w:t>
      </w:r>
      <w:r w:rsidRPr="00B072FD" w:rsidR="009A58C5">
        <w:rPr>
          <w:color w:val="000000"/>
          <w:szCs w:val="24"/>
        </w:rPr>
        <w:t>As an expert knowledgeable of the health and safety consequences of high energy bills, Mr. Tinkham can certainly testify regarding</w:t>
      </w:r>
      <w:r w:rsidRPr="00B072FD" w:rsidR="007B6486">
        <w:rPr>
          <w:color w:val="000000"/>
          <w:szCs w:val="24"/>
        </w:rPr>
        <w:t xml:space="preserve"> statistical information that is commonly available to experts in his field on the impacts of high energy costs and the sources of that information.</w:t>
      </w:r>
      <w:r w:rsidRPr="00B072FD" w:rsidR="005E650C">
        <w:rPr>
          <w:color w:val="000000"/>
          <w:szCs w:val="24"/>
        </w:rPr>
        <w:t xml:space="preserve"> </w:t>
      </w:r>
    </w:p>
    <w:p w:rsidR="00CF309B" w:rsidRPr="00B072FD" w:rsidP="00881524" w14:paraId="1379554E" w14:textId="7866997F">
      <w:pPr>
        <w:spacing w:line="480" w:lineRule="auto"/>
        <w:contextualSpacing/>
        <w:rPr>
          <w:color w:val="000000"/>
          <w:szCs w:val="24"/>
        </w:rPr>
      </w:pPr>
      <w:r w:rsidRPr="00B072FD">
        <w:rPr>
          <w:color w:val="000000"/>
          <w:szCs w:val="24"/>
        </w:rPr>
        <w:tab/>
        <w:t>Again, as stated above, “hearsay rules are designed, in part, to exclude evidence, not because it is not relevant or probative, but because of concerns regarding jurors’ inability to weigh evidence appropriately.”</w:t>
      </w:r>
      <w:r>
        <w:rPr>
          <w:rStyle w:val="FootnoteReference"/>
          <w:color w:val="000000"/>
          <w:szCs w:val="24"/>
        </w:rPr>
        <w:footnoteReference w:id="36"/>
      </w:r>
      <w:r w:rsidRPr="00B072FD" w:rsidR="005E650C">
        <w:rPr>
          <w:color w:val="000000"/>
          <w:szCs w:val="24"/>
        </w:rPr>
        <w:t xml:space="preserve"> </w:t>
      </w:r>
      <w:r w:rsidRPr="00B072FD" w:rsidR="00EC57D2">
        <w:rPr>
          <w:color w:val="000000"/>
          <w:szCs w:val="24"/>
        </w:rPr>
        <w:t xml:space="preserve">As the PUCO stated, </w:t>
      </w:r>
      <w:r w:rsidRPr="00B072FD">
        <w:rPr>
          <w:color w:val="000000"/>
          <w:szCs w:val="24"/>
        </w:rPr>
        <w:t>“(t)hese concerns are i</w:t>
      </w:r>
      <w:r w:rsidRPr="00B072FD">
        <w:rPr>
          <w:color w:val="000000" w:themeColor="text1"/>
          <w:szCs w:val="24"/>
        </w:rPr>
        <w:t>napplicable to administrative proceedings before the Commission, as the Commission has the expertise to give the appropriate weight to testimony</w:t>
      </w:r>
      <w:r w:rsidRPr="00B072FD">
        <w:rPr>
          <w:color w:val="000000"/>
          <w:szCs w:val="24"/>
        </w:rPr>
        <w:t xml:space="preserve"> and evidence.”</w:t>
      </w:r>
      <w:r>
        <w:rPr>
          <w:rStyle w:val="FootnoteReference"/>
          <w:color w:val="000000"/>
          <w:szCs w:val="24"/>
        </w:rPr>
        <w:footnoteReference w:id="37"/>
      </w:r>
      <w:r w:rsidRPr="00B072FD" w:rsidR="005E650C">
        <w:rPr>
          <w:color w:val="000000"/>
          <w:szCs w:val="24"/>
        </w:rPr>
        <w:t xml:space="preserve"> </w:t>
      </w:r>
      <w:r w:rsidRPr="00B072FD">
        <w:rPr>
          <w:color w:val="000000"/>
          <w:szCs w:val="24"/>
        </w:rPr>
        <w:t xml:space="preserve">Mr. Tinkham should be permitted to testify about this general information available and relied upon by experts in his field. </w:t>
      </w:r>
    </w:p>
    <w:p w:rsidR="00CF309B" w:rsidRPr="00B072FD" w14:paraId="131B9360" w14:textId="77777777">
      <w:pPr>
        <w:rPr>
          <w:color w:val="000000"/>
          <w:szCs w:val="24"/>
        </w:rPr>
      </w:pPr>
      <w:r w:rsidRPr="00B072FD">
        <w:rPr>
          <w:color w:val="000000"/>
          <w:szCs w:val="24"/>
        </w:rPr>
        <w:br w:type="page"/>
      </w:r>
    </w:p>
    <w:p w:rsidR="0036061C" w:rsidRPr="00B072FD" w:rsidP="00CD67BF" w14:paraId="2D3F6E26" w14:textId="64ECE27C">
      <w:pPr>
        <w:pStyle w:val="Heading2"/>
      </w:pPr>
      <w:bookmarkStart w:id="7" w:name="_Toc147821845"/>
      <w:r w:rsidRPr="00B072FD">
        <w:t>E.</w:t>
      </w:r>
      <w:r w:rsidRPr="00B072FD">
        <w:tab/>
      </w:r>
      <w:r w:rsidRPr="00B072FD" w:rsidR="008766C9">
        <w:t xml:space="preserve">Expert witness Andrew Tinkham’s testimony regarding </w:t>
      </w:r>
      <w:r w:rsidRPr="00B072FD">
        <w:t xml:space="preserve">the failure of the </w:t>
      </w:r>
      <w:r w:rsidRPr="00B072FD" w:rsidR="002A65C1">
        <w:t>S</w:t>
      </w:r>
      <w:r w:rsidRPr="00B072FD">
        <w:t>ettlement to address the more than double charges to AEP Ohio PIPP consumers compared to the amount an SSO consumer paid is directly relevant to this action and not a “collateral” attack on prior PUCO Orders</w:t>
      </w:r>
      <w:r w:rsidRPr="00B072FD" w:rsidR="00F667A1">
        <w:t>. Such testimony is necessary for consumer protection.</w:t>
      </w:r>
      <w:bookmarkEnd w:id="7"/>
    </w:p>
    <w:p w:rsidR="0036061C" w:rsidRPr="00B072FD" w:rsidP="0036061C" w14:paraId="41E91427" w14:textId="595B9F8B">
      <w:pPr>
        <w:spacing w:line="480" w:lineRule="auto"/>
        <w:ind w:firstLine="720"/>
        <w:rPr>
          <w:szCs w:val="24"/>
        </w:rPr>
      </w:pPr>
      <w:r w:rsidRPr="00B072FD">
        <w:rPr>
          <w:szCs w:val="24"/>
        </w:rPr>
        <w:t xml:space="preserve">Expert witness Tinkham testifies that the proposed </w:t>
      </w:r>
      <w:r w:rsidRPr="00B072FD" w:rsidR="002A65C1">
        <w:rPr>
          <w:szCs w:val="24"/>
        </w:rPr>
        <w:t>S</w:t>
      </w:r>
      <w:r w:rsidRPr="00B072FD">
        <w:rPr>
          <w:szCs w:val="24"/>
        </w:rPr>
        <w:t xml:space="preserve">ettlement fails to remedy the fact that at-risk PIPP </w:t>
      </w:r>
      <w:r w:rsidRPr="00B072FD" w:rsidR="00F667A1">
        <w:rPr>
          <w:szCs w:val="24"/>
        </w:rPr>
        <w:t xml:space="preserve">consumers </w:t>
      </w:r>
      <w:r w:rsidRPr="00B072FD">
        <w:rPr>
          <w:szCs w:val="24"/>
        </w:rPr>
        <w:t>have been burdened to pay more than double the amount an SSO consumer paid for electric generation from June 1, 2022, through May 31, 2023.</w:t>
      </w:r>
      <w:r w:rsidRPr="00B072FD" w:rsidR="005E650C">
        <w:rPr>
          <w:szCs w:val="24"/>
        </w:rPr>
        <w:t xml:space="preserve"> </w:t>
      </w:r>
      <w:r w:rsidRPr="00B072FD" w:rsidR="003849C6">
        <w:rPr>
          <w:szCs w:val="24"/>
        </w:rPr>
        <w:t xml:space="preserve">What sense does it make for the PUCO to essentially mandate that PIPP </w:t>
      </w:r>
      <w:r w:rsidRPr="00B072FD" w:rsidR="00F667A1">
        <w:rPr>
          <w:szCs w:val="24"/>
        </w:rPr>
        <w:t>consumers</w:t>
      </w:r>
      <w:r w:rsidRPr="00B072FD" w:rsidR="003849C6">
        <w:rPr>
          <w:szCs w:val="24"/>
        </w:rPr>
        <w:t>, those least able to afford rising utility costs,</w:t>
      </w:r>
      <w:r w:rsidRPr="00B072FD" w:rsidR="003963C8">
        <w:rPr>
          <w:szCs w:val="24"/>
        </w:rPr>
        <w:t xml:space="preserve"> to</w:t>
      </w:r>
      <w:r w:rsidRPr="00B072FD" w:rsidR="003849C6">
        <w:rPr>
          <w:szCs w:val="24"/>
        </w:rPr>
        <w:t xml:space="preserve"> pay twice the amount that is charged to other residential consumers?</w:t>
      </w:r>
      <w:r w:rsidRPr="00B072FD" w:rsidR="005E650C">
        <w:rPr>
          <w:szCs w:val="24"/>
        </w:rPr>
        <w:t xml:space="preserve"> </w:t>
      </w:r>
      <w:r w:rsidRPr="00B072FD">
        <w:rPr>
          <w:szCs w:val="24"/>
        </w:rPr>
        <w:t>Not only does this ignore the plight of at-risk consumers but it does not benefit the public interest</w:t>
      </w:r>
      <w:r w:rsidRPr="00B072FD" w:rsidR="00F667A1">
        <w:rPr>
          <w:szCs w:val="24"/>
        </w:rPr>
        <w:t>.</w:t>
      </w:r>
      <w:r w:rsidRPr="00B072FD">
        <w:rPr>
          <w:szCs w:val="24"/>
        </w:rPr>
        <w:t xml:space="preserve"> </w:t>
      </w:r>
      <w:r w:rsidRPr="00B072FD" w:rsidR="00F667A1">
        <w:rPr>
          <w:szCs w:val="24"/>
        </w:rPr>
        <w:t>A</w:t>
      </w:r>
      <w:r w:rsidRPr="00B072FD">
        <w:rPr>
          <w:szCs w:val="24"/>
        </w:rPr>
        <w:t xml:space="preserve"> higher PIPP generation rate results in </w:t>
      </w:r>
      <w:r w:rsidRPr="00B072FD" w:rsidR="00F667A1">
        <w:rPr>
          <w:i/>
          <w:iCs/>
          <w:szCs w:val="24"/>
        </w:rPr>
        <w:t xml:space="preserve">all </w:t>
      </w:r>
      <w:r w:rsidRPr="00B072FD" w:rsidR="00F667A1">
        <w:rPr>
          <w:szCs w:val="24"/>
        </w:rPr>
        <w:t xml:space="preserve">consumers </w:t>
      </w:r>
      <w:r w:rsidRPr="00B072FD">
        <w:rPr>
          <w:szCs w:val="24"/>
        </w:rPr>
        <w:t>paying a higher USF rider rate.</w:t>
      </w:r>
      <w:r w:rsidRPr="00B072FD" w:rsidR="005E650C">
        <w:rPr>
          <w:szCs w:val="24"/>
        </w:rPr>
        <w:t xml:space="preserve"> </w:t>
      </w:r>
      <w:r w:rsidRPr="00B072FD">
        <w:rPr>
          <w:szCs w:val="24"/>
        </w:rPr>
        <w:t xml:space="preserve">This testimony is directly relevant to whether the PUCO should adopt the proposed </w:t>
      </w:r>
      <w:r w:rsidRPr="00B072FD" w:rsidR="002A65C1">
        <w:rPr>
          <w:szCs w:val="24"/>
        </w:rPr>
        <w:t>S</w:t>
      </w:r>
      <w:r w:rsidRPr="00B072FD">
        <w:rPr>
          <w:szCs w:val="24"/>
        </w:rPr>
        <w:t xml:space="preserve">ettlement and is not a collateral attack on prior </w:t>
      </w:r>
      <w:r w:rsidRPr="00B072FD" w:rsidR="00F667A1">
        <w:rPr>
          <w:szCs w:val="24"/>
        </w:rPr>
        <w:t xml:space="preserve">PUCO </w:t>
      </w:r>
      <w:r w:rsidRPr="00B072FD">
        <w:rPr>
          <w:szCs w:val="24"/>
        </w:rPr>
        <w:t>rulings.</w:t>
      </w:r>
    </w:p>
    <w:p w:rsidR="008766C9" w:rsidRPr="00B072FD" w:rsidP="003332F9" w14:paraId="17C95C7F" w14:textId="024E9E1B">
      <w:pPr>
        <w:spacing w:line="480" w:lineRule="auto"/>
        <w:ind w:firstLine="720"/>
        <w:rPr>
          <w:iCs/>
          <w:szCs w:val="24"/>
        </w:rPr>
      </w:pPr>
      <w:r w:rsidRPr="00B072FD">
        <w:rPr>
          <w:szCs w:val="24"/>
        </w:rPr>
        <w:t xml:space="preserve"> </w:t>
      </w:r>
      <w:r w:rsidRPr="00B072FD">
        <w:rPr>
          <w:szCs w:val="24"/>
        </w:rPr>
        <w:t xml:space="preserve">Under the Settlement, PIPP </w:t>
      </w:r>
      <w:r w:rsidRPr="00B072FD" w:rsidR="00F667A1">
        <w:rPr>
          <w:szCs w:val="24"/>
        </w:rPr>
        <w:t xml:space="preserve">consumers </w:t>
      </w:r>
      <w:r w:rsidRPr="00B072FD" w:rsidR="006332F5">
        <w:rPr>
          <w:szCs w:val="24"/>
        </w:rPr>
        <w:t xml:space="preserve">continue to be subject to </w:t>
      </w:r>
      <w:r w:rsidRPr="00B072FD" w:rsidR="00EC57D2">
        <w:rPr>
          <w:szCs w:val="24"/>
        </w:rPr>
        <w:t xml:space="preserve">possible </w:t>
      </w:r>
      <w:r w:rsidRPr="00B072FD" w:rsidR="006332F5">
        <w:rPr>
          <w:szCs w:val="24"/>
        </w:rPr>
        <w:t>h</w:t>
      </w:r>
      <w:r w:rsidRPr="00B072FD">
        <w:rPr>
          <w:szCs w:val="24"/>
        </w:rPr>
        <w:t xml:space="preserve">igher generation </w:t>
      </w:r>
      <w:r w:rsidRPr="00B072FD" w:rsidR="00F667A1">
        <w:rPr>
          <w:szCs w:val="24"/>
        </w:rPr>
        <w:t xml:space="preserve">charges </w:t>
      </w:r>
      <w:r w:rsidRPr="00B072FD">
        <w:rPr>
          <w:szCs w:val="24"/>
        </w:rPr>
        <w:t xml:space="preserve">than the generation </w:t>
      </w:r>
      <w:r w:rsidRPr="00B072FD" w:rsidR="00F667A1">
        <w:rPr>
          <w:szCs w:val="24"/>
        </w:rPr>
        <w:t xml:space="preserve">charges </w:t>
      </w:r>
      <w:r w:rsidRPr="00B072FD">
        <w:rPr>
          <w:szCs w:val="24"/>
        </w:rPr>
        <w:t xml:space="preserve">for residential consumers served under </w:t>
      </w:r>
      <w:r w:rsidRPr="00B072FD" w:rsidR="006332F5">
        <w:rPr>
          <w:szCs w:val="24"/>
        </w:rPr>
        <w:t>AEP Ohio’s SSO</w:t>
      </w:r>
      <w:r w:rsidRPr="00B072FD">
        <w:rPr>
          <w:szCs w:val="24"/>
        </w:rPr>
        <w:t>.</w:t>
      </w:r>
      <w:r w:rsidRPr="00B072FD">
        <w:rPr>
          <w:szCs w:val="24"/>
        </w:rPr>
        <w:t xml:space="preserve"> </w:t>
      </w:r>
      <w:r w:rsidRPr="00B072FD">
        <w:rPr>
          <w:szCs w:val="24"/>
        </w:rPr>
        <w:t xml:space="preserve">But under the policy of </w:t>
      </w:r>
      <w:r w:rsidRPr="00B072FD">
        <w:rPr>
          <w:iCs/>
          <w:szCs w:val="24"/>
        </w:rPr>
        <w:t xml:space="preserve">Ohio in R.C. 4928.02(L), the PUCO and ODOD must “protect at-risk populations...." PIPP consumers are an at-risk population. </w:t>
      </w:r>
      <w:r w:rsidRPr="00B072FD" w:rsidR="006332F5">
        <w:rPr>
          <w:iCs/>
          <w:szCs w:val="24"/>
        </w:rPr>
        <w:t>Moreover, b</w:t>
      </w:r>
      <w:r w:rsidRPr="00B072FD">
        <w:rPr>
          <w:iCs/>
          <w:szCs w:val="24"/>
        </w:rPr>
        <w:t xml:space="preserve">ecause of the higher PIPP </w:t>
      </w:r>
      <w:r w:rsidRPr="00B072FD" w:rsidR="00F667A1">
        <w:rPr>
          <w:iCs/>
          <w:szCs w:val="24"/>
        </w:rPr>
        <w:t>charges</w:t>
      </w:r>
      <w:r w:rsidRPr="00B072FD">
        <w:rPr>
          <w:iCs/>
          <w:szCs w:val="24"/>
        </w:rPr>
        <w:t xml:space="preserve">, all consumers who pay the USF are also being charged higher USF rates. The policy of the state that the PUCO must carry out in R.C. 4928.02(A) requires “reasonably priced retail electric service.” Consumers and the public interest are harmed by unreasonably priced retail electric service. The Settlement thus fails this prong. </w:t>
      </w:r>
    </w:p>
    <w:p w:rsidR="00F028F1" w:rsidRPr="00B072FD" w:rsidP="003332F9" w14:paraId="7CC7EB78" w14:textId="26E4AA58">
      <w:pPr>
        <w:spacing w:line="480" w:lineRule="auto"/>
        <w:ind w:firstLine="720"/>
        <w:rPr>
          <w:iCs/>
          <w:szCs w:val="24"/>
        </w:rPr>
      </w:pPr>
      <w:r w:rsidRPr="00B072FD">
        <w:rPr>
          <w:iCs/>
          <w:szCs w:val="24"/>
        </w:rPr>
        <w:t xml:space="preserve">AEP Ohio is correct that the PUCO has, in the past, turned a blind eye to OCC’s arguments regarding the unfairness and unlawfulness of PIPP </w:t>
      </w:r>
      <w:r w:rsidRPr="00B072FD" w:rsidR="00F667A1">
        <w:rPr>
          <w:iCs/>
          <w:szCs w:val="24"/>
        </w:rPr>
        <w:t xml:space="preserve">charges </w:t>
      </w:r>
      <w:r w:rsidRPr="00B072FD">
        <w:rPr>
          <w:iCs/>
          <w:szCs w:val="24"/>
        </w:rPr>
        <w:t xml:space="preserve">substantially in excess of the SSO </w:t>
      </w:r>
      <w:r w:rsidRPr="00B072FD" w:rsidR="00F667A1">
        <w:rPr>
          <w:iCs/>
          <w:szCs w:val="24"/>
        </w:rPr>
        <w:t>charges</w:t>
      </w:r>
      <w:r w:rsidRPr="00B072FD">
        <w:rPr>
          <w:iCs/>
          <w:szCs w:val="24"/>
        </w:rPr>
        <w:t>.</w:t>
      </w:r>
      <w:r w:rsidRPr="00B072FD" w:rsidR="005E650C">
        <w:rPr>
          <w:iCs/>
          <w:szCs w:val="24"/>
        </w:rPr>
        <w:t xml:space="preserve"> </w:t>
      </w:r>
      <w:r w:rsidRPr="00B072FD">
        <w:rPr>
          <w:iCs/>
          <w:szCs w:val="24"/>
        </w:rPr>
        <w:t>For example, the PUCO has stated that “(w)hile this may occasionally result in the PIPP load being served at a price higher than the blended SSO price, the RFP auction has been established to reduce the cost of the PIPP program to the otherwise applicable SSO over the long-term, in compliance with R.C. 4928.542(B).”</w:t>
      </w:r>
      <w:r>
        <w:rPr>
          <w:rStyle w:val="FootnoteReference"/>
          <w:iCs/>
          <w:szCs w:val="24"/>
        </w:rPr>
        <w:footnoteReference w:id="38"/>
      </w:r>
    </w:p>
    <w:p w:rsidR="003332F9" w:rsidRPr="00B072FD" w:rsidP="003332F9" w14:paraId="4D75455C" w14:textId="684DCA0B">
      <w:pPr>
        <w:spacing w:line="480" w:lineRule="auto"/>
        <w:ind w:firstLine="720"/>
        <w:rPr>
          <w:iCs/>
          <w:szCs w:val="24"/>
        </w:rPr>
      </w:pPr>
      <w:r w:rsidRPr="00B072FD">
        <w:rPr>
          <w:iCs/>
          <w:szCs w:val="24"/>
        </w:rPr>
        <w:t>However, since making that statement time has moved on.</w:t>
      </w:r>
      <w:r w:rsidRPr="00B072FD" w:rsidR="005E650C">
        <w:rPr>
          <w:iCs/>
          <w:szCs w:val="24"/>
        </w:rPr>
        <w:t xml:space="preserve"> </w:t>
      </w:r>
      <w:r w:rsidRPr="00B072FD" w:rsidR="00F028F1">
        <w:rPr>
          <w:iCs/>
          <w:szCs w:val="24"/>
        </w:rPr>
        <w:t>More history is behind us.</w:t>
      </w:r>
      <w:r w:rsidRPr="00B072FD" w:rsidR="005E650C">
        <w:rPr>
          <w:iCs/>
          <w:szCs w:val="24"/>
        </w:rPr>
        <w:t xml:space="preserve"> </w:t>
      </w:r>
      <w:r w:rsidRPr="00B072FD" w:rsidR="00F028F1">
        <w:rPr>
          <w:iCs/>
          <w:szCs w:val="24"/>
        </w:rPr>
        <w:t>The facts scream out even louder.</w:t>
      </w:r>
      <w:r w:rsidRPr="00B072FD" w:rsidR="005E650C">
        <w:rPr>
          <w:iCs/>
          <w:szCs w:val="24"/>
        </w:rPr>
        <w:t xml:space="preserve"> </w:t>
      </w:r>
      <w:r w:rsidRPr="00B072FD" w:rsidR="00F028F1">
        <w:rPr>
          <w:iCs/>
          <w:szCs w:val="24"/>
        </w:rPr>
        <w:t xml:space="preserve">This proceeding regarding SSO generation is the perfect opportunity for the PUCO to recognize that as part of the SSO generation program PIPP </w:t>
      </w:r>
      <w:r w:rsidRPr="00B072FD" w:rsidR="00F667A1">
        <w:rPr>
          <w:iCs/>
          <w:szCs w:val="24"/>
        </w:rPr>
        <w:t xml:space="preserve">consumers </w:t>
      </w:r>
      <w:r w:rsidRPr="00B072FD" w:rsidR="00F028F1">
        <w:rPr>
          <w:iCs/>
          <w:szCs w:val="24"/>
        </w:rPr>
        <w:t xml:space="preserve">should receive the SSO </w:t>
      </w:r>
      <w:r w:rsidRPr="00B072FD" w:rsidR="00F667A1">
        <w:rPr>
          <w:iCs/>
          <w:szCs w:val="24"/>
        </w:rPr>
        <w:t xml:space="preserve">charge </w:t>
      </w:r>
      <w:r w:rsidRPr="00B072FD" w:rsidR="00F028F1">
        <w:rPr>
          <w:iCs/>
          <w:szCs w:val="24"/>
        </w:rPr>
        <w:t xml:space="preserve">where the PIPP auction continues to fail in reducing the cost of the PIPP program relative to the SSO </w:t>
      </w:r>
      <w:r w:rsidRPr="00B072FD" w:rsidR="00F667A1">
        <w:rPr>
          <w:iCs/>
          <w:szCs w:val="24"/>
        </w:rPr>
        <w:t>charge</w:t>
      </w:r>
      <w:r w:rsidRPr="00B072FD" w:rsidR="00F028F1">
        <w:rPr>
          <w:iCs/>
          <w:szCs w:val="24"/>
        </w:rPr>
        <w:t>.</w:t>
      </w:r>
      <w:r w:rsidRPr="00B072FD" w:rsidR="005E650C">
        <w:rPr>
          <w:iCs/>
          <w:szCs w:val="24"/>
        </w:rPr>
        <w:t xml:space="preserve"> </w:t>
      </w:r>
      <w:r w:rsidRPr="00B072FD" w:rsidR="00F028F1">
        <w:rPr>
          <w:iCs/>
          <w:szCs w:val="24"/>
        </w:rPr>
        <w:t>This is not a collateral attack on the PUCO’s prior rulings but rather a</w:t>
      </w:r>
      <w:r w:rsidRPr="00B072FD" w:rsidR="00B66BA5">
        <w:rPr>
          <w:iCs/>
          <w:szCs w:val="24"/>
        </w:rPr>
        <w:t xml:space="preserve"> rele</w:t>
      </w:r>
      <w:r w:rsidRPr="00B072FD" w:rsidR="003963C8">
        <w:rPr>
          <w:iCs/>
          <w:szCs w:val="24"/>
        </w:rPr>
        <w:t>v</w:t>
      </w:r>
      <w:r w:rsidRPr="00B072FD" w:rsidR="00B66BA5">
        <w:rPr>
          <w:iCs/>
          <w:szCs w:val="24"/>
        </w:rPr>
        <w:t>ant and important</w:t>
      </w:r>
      <w:r w:rsidRPr="00B072FD" w:rsidR="00F028F1">
        <w:rPr>
          <w:iCs/>
          <w:szCs w:val="24"/>
        </w:rPr>
        <w:t xml:space="preserve"> update on the fact that there is now greater information available to the PUCO by which it can evaluate its comment that “this may occasionally result in the PIPP load being served at a price higher than the blended SSO price….”</w:t>
      </w:r>
      <w:r>
        <w:rPr>
          <w:rStyle w:val="FootnoteReference"/>
          <w:iCs/>
          <w:szCs w:val="24"/>
        </w:rPr>
        <w:footnoteReference w:id="39"/>
      </w:r>
    </w:p>
    <w:p w:rsidR="006332F5" w:rsidRPr="00B072FD" w:rsidP="003332F9" w14:paraId="32571B0D" w14:textId="4960889E">
      <w:pPr>
        <w:spacing w:line="480" w:lineRule="auto"/>
        <w:ind w:firstLine="720"/>
        <w:rPr>
          <w:iCs/>
          <w:szCs w:val="24"/>
        </w:rPr>
      </w:pPr>
      <w:r w:rsidRPr="00B072FD">
        <w:rPr>
          <w:iCs/>
          <w:szCs w:val="24"/>
        </w:rPr>
        <w:t xml:space="preserve">There is no reason to deny the PUCO the opportunity to consider expert witness Tinkham’s testimony regarding the need to incorporate the PIPP consumer into </w:t>
      </w:r>
      <w:r w:rsidRPr="00B072FD" w:rsidR="00EC57D2">
        <w:rPr>
          <w:iCs/>
          <w:szCs w:val="24"/>
        </w:rPr>
        <w:t>an</w:t>
      </w:r>
      <w:r w:rsidRPr="00B072FD">
        <w:rPr>
          <w:iCs/>
          <w:szCs w:val="24"/>
        </w:rPr>
        <w:t xml:space="preserve"> SSO rate when the PIPP auction fails to beat the SSO rate.</w:t>
      </w:r>
      <w:r w:rsidRPr="00B072FD" w:rsidR="005E650C">
        <w:rPr>
          <w:iCs/>
          <w:szCs w:val="24"/>
        </w:rPr>
        <w:t xml:space="preserve"> </w:t>
      </w:r>
      <w:r w:rsidRPr="00B072FD">
        <w:rPr>
          <w:iCs/>
          <w:szCs w:val="24"/>
        </w:rPr>
        <w:t>The PUCO is able to give Mr. Tinkham’s arguments the weight it deems appropriate in arriving at its decision.</w:t>
      </w:r>
    </w:p>
    <w:p w:rsidR="00F028F1" w:rsidRPr="00B072FD" w:rsidP="003332F9" w14:paraId="626F7BBB" w14:textId="45DF6420">
      <w:pPr>
        <w:spacing w:line="480" w:lineRule="auto"/>
        <w:ind w:firstLine="720"/>
        <w:rPr>
          <w:iCs/>
          <w:szCs w:val="24"/>
        </w:rPr>
      </w:pPr>
      <w:r w:rsidRPr="00B072FD">
        <w:rPr>
          <w:iCs/>
          <w:szCs w:val="24"/>
        </w:rPr>
        <w:t>AEP Ohio is essentially arguing that in a different proceeding with more information available to it, the PUCO is prohibited from arriving at a new conclusion based on the additional information then available.</w:t>
      </w:r>
      <w:r w:rsidRPr="00B072FD" w:rsidR="005E650C">
        <w:rPr>
          <w:iCs/>
          <w:szCs w:val="24"/>
        </w:rPr>
        <w:t xml:space="preserve"> </w:t>
      </w:r>
      <w:r w:rsidRPr="00B072FD" w:rsidR="006332F5">
        <w:rPr>
          <w:iCs/>
          <w:szCs w:val="24"/>
        </w:rPr>
        <w:t>AEP Ohio’s attempt to wrest control away from the PUCO to consider additional, new information should be denied.</w:t>
      </w:r>
      <w:r w:rsidRPr="00B072FD" w:rsidR="005E650C">
        <w:rPr>
          <w:iCs/>
          <w:szCs w:val="24"/>
        </w:rPr>
        <w:t xml:space="preserve"> </w:t>
      </w:r>
    </w:p>
    <w:p w:rsidR="003849C6" w:rsidRPr="00B072FD" w:rsidP="006332F5" w14:paraId="694CBABC" w14:textId="4EFCFAB2">
      <w:pPr>
        <w:pStyle w:val="NormalWeb"/>
        <w:shd w:val="clear" w:color="auto" w:fill="FFFFFF"/>
        <w:spacing w:before="0" w:beforeAutospacing="0" w:after="0" w:afterAutospacing="0" w:line="480" w:lineRule="auto"/>
        <w:ind w:firstLine="720"/>
      </w:pPr>
      <w:r w:rsidRPr="00B072FD">
        <w:t xml:space="preserve">The </w:t>
      </w:r>
      <w:r w:rsidRPr="00B072FD" w:rsidR="006332F5">
        <w:t xml:space="preserve">proposed </w:t>
      </w:r>
      <w:r w:rsidRPr="00B072FD">
        <w:t>Settlement does not pass the PUCO’s three-part test for evaluating settlements. The Settlement harms customers and disserves the public interest because low-income PIPP consumers are being billed rates higher than the standard service offer, and USF charges are increased to all consumers. Rider charges to all USF consumers are significantly increased as a result of the magnitude of the increased charges. And the Settlement violates regulatory principles by, among other things, sanctioning unjust and unreasonable rates. That is a violation of Ohio law.</w:t>
      </w:r>
    </w:p>
    <w:p w:rsidR="00401C92" w:rsidRPr="00B072FD" w:rsidP="006332F5" w14:paraId="7E5236AD" w14:textId="6387B544">
      <w:pPr>
        <w:pStyle w:val="NormalWeb"/>
        <w:shd w:val="clear" w:color="auto" w:fill="FFFFFF"/>
        <w:spacing w:before="0" w:beforeAutospacing="0" w:after="0" w:afterAutospacing="0" w:line="480" w:lineRule="auto"/>
        <w:ind w:firstLine="720"/>
      </w:pPr>
      <w:r w:rsidRPr="00B072FD">
        <w:t xml:space="preserve">AEP Ohio’s Motion to Strike as to Mr. Tinkham’s testimony regarding the PIPP auction should </w:t>
      </w:r>
      <w:r w:rsidRPr="00B072FD" w:rsidR="00EC57D2">
        <w:t xml:space="preserve">also </w:t>
      </w:r>
      <w:r w:rsidRPr="00B072FD">
        <w:t>be denied.</w:t>
      </w:r>
    </w:p>
    <w:p w:rsidR="00563240" w:rsidRPr="00B072FD" w:rsidP="00563240" w14:paraId="69D1775A" w14:textId="77777777">
      <w:pPr>
        <w:pStyle w:val="NormalWeb"/>
        <w:shd w:val="clear" w:color="auto" w:fill="FFFFFF"/>
        <w:spacing w:before="0" w:beforeAutospacing="0" w:after="0" w:afterAutospacing="0"/>
        <w:ind w:firstLine="720"/>
        <w:rPr>
          <w:b/>
          <w:bCs/>
          <w:color w:val="000000"/>
        </w:rPr>
      </w:pPr>
    </w:p>
    <w:p w:rsidR="00964DA7" w:rsidRPr="00B072FD" w:rsidP="00BB7084" w14:paraId="7CD5D28D" w14:textId="77777777">
      <w:pPr>
        <w:pStyle w:val="Heading1"/>
        <w:rPr>
          <w:rFonts w:ascii="Times New Roman" w:hAnsi="Times New Roman"/>
        </w:rPr>
      </w:pPr>
      <w:bookmarkStart w:id="8" w:name="_Toc104905072"/>
      <w:bookmarkStart w:id="9" w:name="_Toc147821846"/>
      <w:r w:rsidRPr="00B072FD">
        <w:rPr>
          <w:rFonts w:ascii="Times New Roman" w:hAnsi="Times New Roman"/>
        </w:rPr>
        <w:t>III.</w:t>
      </w:r>
      <w:r w:rsidRPr="00B072FD">
        <w:rPr>
          <w:rFonts w:ascii="Times New Roman" w:hAnsi="Times New Roman"/>
        </w:rPr>
        <w:tab/>
        <w:t>CONCLUSION</w:t>
      </w:r>
      <w:bookmarkEnd w:id="8"/>
      <w:bookmarkEnd w:id="9"/>
    </w:p>
    <w:p w:rsidR="000F5B7F" w:rsidRPr="00B072FD" w:rsidP="006332F5" w14:paraId="4B3E3AB5" w14:textId="0B4CEB6E">
      <w:pPr>
        <w:pStyle w:val="BodyTextIndent3"/>
        <w:widowControl w:val="0"/>
        <w:spacing w:line="480" w:lineRule="auto"/>
        <w:ind w:right="24"/>
        <w:rPr>
          <w:szCs w:val="24"/>
        </w:rPr>
      </w:pPr>
      <w:r w:rsidRPr="00B072FD">
        <w:rPr>
          <w:color w:val="000000" w:themeColor="text1"/>
          <w:szCs w:val="24"/>
        </w:rPr>
        <w:t>To determine whether the stipulation meets its three-prong standard for approval,</w:t>
      </w:r>
      <w:r w:rsidRPr="00B072FD" w:rsidR="007F69A1">
        <w:rPr>
          <w:color w:val="000000" w:themeColor="text1"/>
          <w:szCs w:val="24"/>
        </w:rPr>
        <w:t xml:space="preserve"> the PUCO must </w:t>
      </w:r>
      <w:r w:rsidRPr="00B072FD">
        <w:rPr>
          <w:color w:val="000000" w:themeColor="text1"/>
          <w:szCs w:val="24"/>
        </w:rPr>
        <w:t xml:space="preserve">consider a </w:t>
      </w:r>
      <w:r w:rsidRPr="00B072FD" w:rsidR="007F69A1">
        <w:rPr>
          <w:color w:val="000000" w:themeColor="text1"/>
          <w:szCs w:val="24"/>
        </w:rPr>
        <w:t xml:space="preserve">full and accurate record </w:t>
      </w:r>
      <w:r w:rsidRPr="00B072FD">
        <w:rPr>
          <w:color w:val="000000" w:themeColor="text1"/>
          <w:szCs w:val="24"/>
        </w:rPr>
        <w:t xml:space="preserve">that reflects </w:t>
      </w:r>
      <w:r w:rsidRPr="00B072FD" w:rsidR="007F69A1">
        <w:rPr>
          <w:color w:val="000000" w:themeColor="text1"/>
          <w:szCs w:val="24"/>
        </w:rPr>
        <w:t>perspectives of all stakeholders</w:t>
      </w:r>
      <w:r w:rsidRPr="00B072FD" w:rsidR="00FE7946">
        <w:rPr>
          <w:color w:val="000000" w:themeColor="text1"/>
          <w:szCs w:val="24"/>
        </w:rPr>
        <w:t>, including residential consumers</w:t>
      </w:r>
      <w:r w:rsidRPr="00B072FD" w:rsidR="007F69A1">
        <w:rPr>
          <w:color w:val="000000" w:themeColor="text1"/>
          <w:szCs w:val="24"/>
        </w:rPr>
        <w:t xml:space="preserve">. Striking </w:t>
      </w:r>
      <w:r w:rsidRPr="00B072FD" w:rsidR="002312FB">
        <w:rPr>
          <w:color w:val="000000" w:themeColor="text1"/>
          <w:szCs w:val="24"/>
        </w:rPr>
        <w:t xml:space="preserve">the testimony of expert witnesses Josephy Buckley and Andrew Tinkham </w:t>
      </w:r>
      <w:r w:rsidRPr="00B072FD" w:rsidR="007F69A1">
        <w:rPr>
          <w:color w:val="000000" w:themeColor="text1"/>
          <w:szCs w:val="24"/>
        </w:rPr>
        <w:t>from consideration would</w:t>
      </w:r>
      <w:r w:rsidRPr="00B072FD" w:rsidR="00A77433">
        <w:rPr>
          <w:color w:val="000000" w:themeColor="text1"/>
          <w:szCs w:val="24"/>
        </w:rPr>
        <w:t xml:space="preserve"> be unfairly prejudicial to consumers</w:t>
      </w:r>
      <w:r w:rsidRPr="00B072FD" w:rsidR="007F69A1">
        <w:rPr>
          <w:color w:val="000000" w:themeColor="text1"/>
          <w:szCs w:val="24"/>
        </w:rPr>
        <w:t>.</w:t>
      </w:r>
      <w:r w:rsidRPr="00B072FD" w:rsidR="00556272">
        <w:rPr>
          <w:color w:val="000000" w:themeColor="text1"/>
          <w:szCs w:val="24"/>
        </w:rPr>
        <w:t xml:space="preserve"> </w:t>
      </w:r>
      <w:r w:rsidRPr="00B072FD" w:rsidR="00FE7946">
        <w:rPr>
          <w:color w:val="000000" w:themeColor="text1"/>
          <w:szCs w:val="24"/>
        </w:rPr>
        <w:t xml:space="preserve">The </w:t>
      </w:r>
      <w:r w:rsidRPr="00B072FD" w:rsidR="00556272">
        <w:rPr>
          <w:color w:val="000000" w:themeColor="text1"/>
          <w:szCs w:val="24"/>
        </w:rPr>
        <w:t>PUCO</w:t>
      </w:r>
      <w:r w:rsidRPr="00B072FD" w:rsidR="00FE7946">
        <w:rPr>
          <w:color w:val="000000" w:themeColor="text1"/>
          <w:szCs w:val="24"/>
        </w:rPr>
        <w:t xml:space="preserve"> should</w:t>
      </w:r>
      <w:r w:rsidRPr="00B072FD" w:rsidR="00556272">
        <w:rPr>
          <w:color w:val="000000" w:themeColor="text1"/>
          <w:szCs w:val="24"/>
        </w:rPr>
        <w:t xml:space="preserve"> deny the Motion to Strik</w:t>
      </w:r>
      <w:r w:rsidRPr="00B072FD" w:rsidR="00FE7946">
        <w:rPr>
          <w:color w:val="000000" w:themeColor="text1"/>
          <w:szCs w:val="24"/>
        </w:rPr>
        <w:t>e</w:t>
      </w:r>
      <w:r w:rsidRPr="00B072FD" w:rsidR="002312FB">
        <w:rPr>
          <w:color w:val="000000" w:themeColor="text1"/>
          <w:szCs w:val="24"/>
        </w:rPr>
        <w:t xml:space="preserve"> as it applies to these witnesses</w:t>
      </w:r>
      <w:r w:rsidRPr="00B072FD" w:rsidR="00556272">
        <w:rPr>
          <w:color w:val="000000" w:themeColor="text1"/>
          <w:szCs w:val="24"/>
        </w:rPr>
        <w:t xml:space="preserve">. </w:t>
      </w:r>
    </w:p>
    <w:p w:rsidR="006214C2" w:rsidRPr="00B072FD" w:rsidP="00535C4D" w14:paraId="41F6FF38" w14:textId="77777777">
      <w:pPr>
        <w:tabs>
          <w:tab w:val="left" w:pos="8730"/>
        </w:tabs>
        <w:ind w:left="4320"/>
        <w:rPr>
          <w:szCs w:val="24"/>
        </w:rPr>
      </w:pPr>
    </w:p>
    <w:p w:rsidR="006214C2" w:rsidRPr="00B072FD" w:rsidP="00535C4D" w14:paraId="7DC0AA4C" w14:textId="77777777">
      <w:pPr>
        <w:tabs>
          <w:tab w:val="left" w:pos="8730"/>
        </w:tabs>
        <w:ind w:left="4320"/>
        <w:rPr>
          <w:szCs w:val="24"/>
        </w:rPr>
      </w:pPr>
    </w:p>
    <w:p w:rsidR="006214C2" w:rsidRPr="00B072FD" w:rsidP="00535C4D" w14:paraId="60003FA3" w14:textId="77777777">
      <w:pPr>
        <w:tabs>
          <w:tab w:val="left" w:pos="8730"/>
        </w:tabs>
        <w:ind w:left="4320"/>
        <w:rPr>
          <w:szCs w:val="24"/>
        </w:rPr>
      </w:pPr>
    </w:p>
    <w:p w:rsidR="00563240" w:rsidRPr="00B072FD" w14:paraId="62ECE23A" w14:textId="77777777">
      <w:pPr>
        <w:rPr>
          <w:szCs w:val="24"/>
        </w:rPr>
      </w:pPr>
      <w:r w:rsidRPr="00B072FD">
        <w:rPr>
          <w:szCs w:val="24"/>
        </w:rPr>
        <w:br w:type="page"/>
      </w:r>
    </w:p>
    <w:p w:rsidR="00535C4D" w:rsidRPr="00B072FD" w:rsidP="00535C4D" w14:paraId="6FCACC66" w14:textId="23DCA684">
      <w:pPr>
        <w:tabs>
          <w:tab w:val="left" w:pos="8730"/>
        </w:tabs>
        <w:ind w:left="4320"/>
        <w:rPr>
          <w:szCs w:val="24"/>
        </w:rPr>
      </w:pPr>
      <w:r w:rsidRPr="00B072FD">
        <w:rPr>
          <w:szCs w:val="24"/>
        </w:rPr>
        <w:t>Respectfully submitted,</w:t>
      </w:r>
    </w:p>
    <w:p w:rsidR="00535C4D" w:rsidRPr="00B072FD" w:rsidP="00535C4D" w14:paraId="52104842" w14:textId="77777777">
      <w:pPr>
        <w:tabs>
          <w:tab w:val="left" w:pos="8730"/>
        </w:tabs>
        <w:ind w:left="4320"/>
        <w:rPr>
          <w:szCs w:val="24"/>
        </w:rPr>
      </w:pPr>
    </w:p>
    <w:p w:rsidR="00535C4D" w:rsidRPr="00B072FD" w:rsidP="00535C4D" w14:paraId="55B0F8B2" w14:textId="3DD689FF">
      <w:pPr>
        <w:tabs>
          <w:tab w:val="left" w:pos="8730"/>
        </w:tabs>
        <w:ind w:left="4320"/>
        <w:rPr>
          <w:szCs w:val="24"/>
        </w:rPr>
      </w:pPr>
      <w:r w:rsidRPr="00B072FD">
        <w:rPr>
          <w:szCs w:val="24"/>
        </w:rPr>
        <w:t xml:space="preserve">Maureen </w:t>
      </w:r>
      <w:r w:rsidRPr="00B072FD" w:rsidR="00A579A0">
        <w:rPr>
          <w:szCs w:val="24"/>
        </w:rPr>
        <w:t>R. Willis (0020847</w:t>
      </w:r>
      <w:r w:rsidRPr="00B072FD" w:rsidR="00AD7146">
        <w:rPr>
          <w:szCs w:val="24"/>
        </w:rPr>
        <w:t xml:space="preserve">) </w:t>
      </w:r>
    </w:p>
    <w:p w:rsidR="00535C4D" w:rsidRPr="00B072FD" w:rsidP="00535C4D" w14:paraId="0141B403" w14:textId="77777777">
      <w:pPr>
        <w:tabs>
          <w:tab w:val="left" w:pos="8730"/>
        </w:tabs>
        <w:ind w:left="4320"/>
        <w:rPr>
          <w:szCs w:val="24"/>
        </w:rPr>
      </w:pPr>
      <w:r w:rsidRPr="00B072FD">
        <w:rPr>
          <w:szCs w:val="24"/>
        </w:rPr>
        <w:t>Ohio Consumers’ Counsel</w:t>
      </w:r>
    </w:p>
    <w:p w:rsidR="00535C4D" w:rsidRPr="00B072FD" w:rsidP="00535C4D" w14:paraId="50A3876B" w14:textId="77777777">
      <w:pPr>
        <w:tabs>
          <w:tab w:val="left" w:pos="8730"/>
        </w:tabs>
        <w:ind w:left="4320"/>
        <w:rPr>
          <w:szCs w:val="24"/>
        </w:rPr>
      </w:pPr>
    </w:p>
    <w:p w:rsidR="00535C4D" w:rsidRPr="00B072FD" w:rsidP="00535C4D" w14:paraId="2C8EF3C8" w14:textId="5CADFC70">
      <w:pPr>
        <w:tabs>
          <w:tab w:val="left" w:pos="8730"/>
        </w:tabs>
        <w:ind w:left="4320"/>
        <w:rPr>
          <w:szCs w:val="24"/>
        </w:rPr>
      </w:pPr>
      <w:r w:rsidRPr="00B072FD">
        <w:rPr>
          <w:i/>
          <w:szCs w:val="24"/>
          <w:u w:val="single"/>
        </w:rPr>
        <w:t xml:space="preserve">/s/ </w:t>
      </w:r>
      <w:r w:rsidRPr="00B072FD" w:rsidR="007862A9">
        <w:rPr>
          <w:i/>
          <w:szCs w:val="24"/>
          <w:u w:val="single"/>
        </w:rPr>
        <w:t>William J. Michael</w:t>
      </w:r>
      <w:r w:rsidRPr="00B072FD">
        <w:rPr>
          <w:i/>
          <w:szCs w:val="24"/>
        </w:rPr>
        <w:br/>
      </w:r>
      <w:r w:rsidRPr="00B072FD" w:rsidR="007862A9">
        <w:rPr>
          <w:szCs w:val="24"/>
        </w:rPr>
        <w:t xml:space="preserve">William J. Michael </w:t>
      </w:r>
      <w:r w:rsidRPr="00B072FD" w:rsidR="002C40FF">
        <w:rPr>
          <w:szCs w:val="24"/>
        </w:rPr>
        <w:t>(</w:t>
      </w:r>
      <w:r w:rsidRPr="00B072FD" w:rsidR="007862A9">
        <w:rPr>
          <w:szCs w:val="24"/>
        </w:rPr>
        <w:t>0070921</w:t>
      </w:r>
      <w:r w:rsidRPr="00B072FD" w:rsidR="002C40FF">
        <w:rPr>
          <w:szCs w:val="24"/>
        </w:rPr>
        <w:t>)</w:t>
      </w:r>
      <w:r w:rsidRPr="00B072FD">
        <w:rPr>
          <w:szCs w:val="24"/>
        </w:rPr>
        <w:t xml:space="preserve"> </w:t>
      </w:r>
      <w:r w:rsidRPr="00B072FD">
        <w:rPr>
          <w:szCs w:val="24"/>
        </w:rPr>
        <w:br/>
        <w:t>Counsel of Record</w:t>
      </w:r>
    </w:p>
    <w:p w:rsidR="002C40FF" w:rsidRPr="00B072FD" w:rsidP="00535C4D" w14:paraId="7A394D30" w14:textId="36569D0A">
      <w:pPr>
        <w:tabs>
          <w:tab w:val="left" w:pos="8730"/>
        </w:tabs>
        <w:ind w:left="4320"/>
        <w:rPr>
          <w:szCs w:val="24"/>
        </w:rPr>
      </w:pPr>
      <w:r w:rsidRPr="00B072FD">
        <w:rPr>
          <w:szCs w:val="24"/>
        </w:rPr>
        <w:t>A</w:t>
      </w:r>
      <w:r w:rsidRPr="00B072FD" w:rsidR="007862A9">
        <w:rPr>
          <w:szCs w:val="24"/>
        </w:rPr>
        <w:t xml:space="preserve">ngela D. O’Brien </w:t>
      </w:r>
      <w:r w:rsidRPr="00B072FD">
        <w:rPr>
          <w:szCs w:val="24"/>
        </w:rPr>
        <w:t>(</w:t>
      </w:r>
      <w:r w:rsidRPr="00B072FD" w:rsidR="007862A9">
        <w:rPr>
          <w:szCs w:val="24"/>
        </w:rPr>
        <w:t>0097579</w:t>
      </w:r>
      <w:r w:rsidRPr="00B072FD">
        <w:rPr>
          <w:szCs w:val="24"/>
        </w:rPr>
        <w:t>)</w:t>
      </w:r>
    </w:p>
    <w:p w:rsidR="007862A9" w:rsidRPr="00B072FD" w:rsidP="00535C4D" w14:paraId="39A6A707" w14:textId="77777777">
      <w:pPr>
        <w:tabs>
          <w:tab w:val="left" w:pos="8730"/>
        </w:tabs>
        <w:ind w:left="4320"/>
        <w:rPr>
          <w:szCs w:val="24"/>
        </w:rPr>
      </w:pPr>
      <w:r w:rsidRPr="00B072FD">
        <w:rPr>
          <w:szCs w:val="24"/>
        </w:rPr>
        <w:t>Deputy Consumers’ Counsel</w:t>
      </w:r>
    </w:p>
    <w:p w:rsidR="007862A9" w:rsidRPr="00B072FD" w:rsidP="00535C4D" w14:paraId="6E17AF16" w14:textId="4491684B">
      <w:pPr>
        <w:tabs>
          <w:tab w:val="left" w:pos="8730"/>
        </w:tabs>
        <w:ind w:left="4320"/>
        <w:rPr>
          <w:szCs w:val="24"/>
        </w:rPr>
      </w:pPr>
      <w:r w:rsidRPr="00B072FD">
        <w:rPr>
          <w:szCs w:val="24"/>
        </w:rPr>
        <w:t>Connor D. Semple (0101102)</w:t>
      </w:r>
      <w:r w:rsidRPr="00B072FD" w:rsidR="001D52FC">
        <w:rPr>
          <w:szCs w:val="24"/>
        </w:rPr>
        <w:br/>
      </w:r>
      <w:r w:rsidRPr="00B072FD">
        <w:rPr>
          <w:szCs w:val="24"/>
        </w:rPr>
        <w:t>Donald J. Kral (0042091)</w:t>
      </w:r>
    </w:p>
    <w:p w:rsidR="00535C4D" w:rsidRPr="00B072FD" w:rsidP="00535C4D" w14:paraId="032B11C8" w14:textId="33556530">
      <w:pPr>
        <w:tabs>
          <w:tab w:val="left" w:pos="8730"/>
        </w:tabs>
        <w:ind w:left="4320"/>
        <w:rPr>
          <w:szCs w:val="24"/>
        </w:rPr>
      </w:pPr>
      <w:r w:rsidRPr="00B072FD">
        <w:rPr>
          <w:szCs w:val="24"/>
        </w:rPr>
        <w:t>Assistant Consumers’ Counsel</w:t>
      </w:r>
    </w:p>
    <w:p w:rsidR="00535C4D" w:rsidRPr="00B072FD" w:rsidP="00535C4D" w14:paraId="2655DC22" w14:textId="77777777">
      <w:pPr>
        <w:tabs>
          <w:tab w:val="left" w:pos="8730"/>
        </w:tabs>
        <w:ind w:left="4320"/>
        <w:rPr>
          <w:szCs w:val="24"/>
        </w:rPr>
      </w:pPr>
    </w:p>
    <w:p w:rsidR="00535C4D" w:rsidRPr="00B072FD" w:rsidP="00535C4D" w14:paraId="46EAB9DA" w14:textId="77777777">
      <w:pPr>
        <w:tabs>
          <w:tab w:val="left" w:pos="8730"/>
        </w:tabs>
        <w:ind w:left="4320"/>
        <w:rPr>
          <w:b/>
          <w:bCs/>
          <w:szCs w:val="24"/>
        </w:rPr>
      </w:pPr>
      <w:r w:rsidRPr="00B072FD">
        <w:rPr>
          <w:b/>
          <w:bCs/>
          <w:szCs w:val="24"/>
        </w:rPr>
        <w:t>Office of the Ohio Consumers' Counsel</w:t>
      </w:r>
    </w:p>
    <w:p w:rsidR="00535C4D" w:rsidRPr="00B072FD" w:rsidP="00535C4D" w14:paraId="35E8C533" w14:textId="77777777">
      <w:pPr>
        <w:tabs>
          <w:tab w:val="left" w:pos="8730"/>
        </w:tabs>
        <w:ind w:left="4320"/>
        <w:rPr>
          <w:szCs w:val="24"/>
        </w:rPr>
      </w:pPr>
      <w:r w:rsidRPr="00B072FD">
        <w:rPr>
          <w:szCs w:val="24"/>
        </w:rPr>
        <w:t>65 East State Street, Suite 700</w:t>
      </w:r>
    </w:p>
    <w:p w:rsidR="00535C4D" w:rsidRPr="00B072FD" w:rsidP="00535C4D" w14:paraId="3DE209AC" w14:textId="77777777">
      <w:pPr>
        <w:tabs>
          <w:tab w:val="left" w:pos="8730"/>
        </w:tabs>
        <w:ind w:left="4320"/>
        <w:rPr>
          <w:szCs w:val="24"/>
        </w:rPr>
      </w:pPr>
      <w:r w:rsidRPr="00B072FD">
        <w:rPr>
          <w:szCs w:val="24"/>
        </w:rPr>
        <w:t>Columbus, Ohio 43215</w:t>
      </w:r>
    </w:p>
    <w:p w:rsidR="007862A9" w:rsidRPr="00B072FD" w:rsidP="00535C4D" w14:paraId="50AE23D3" w14:textId="53593E15">
      <w:pPr>
        <w:tabs>
          <w:tab w:val="left" w:pos="8730"/>
        </w:tabs>
        <w:ind w:left="4320"/>
        <w:rPr>
          <w:szCs w:val="24"/>
        </w:rPr>
      </w:pPr>
      <w:r w:rsidRPr="00B072FD">
        <w:rPr>
          <w:szCs w:val="24"/>
        </w:rPr>
        <w:t>Telephone: [Michael]: (614) 466-1291</w:t>
      </w:r>
    </w:p>
    <w:p w:rsidR="001D52FC" w:rsidRPr="00B072FD" w:rsidP="00535C4D" w14:paraId="1C34EF87" w14:textId="195AEFCC">
      <w:pPr>
        <w:tabs>
          <w:tab w:val="left" w:pos="8730"/>
        </w:tabs>
        <w:ind w:left="4320"/>
        <w:rPr>
          <w:szCs w:val="24"/>
        </w:rPr>
      </w:pPr>
      <w:r w:rsidRPr="00B072FD">
        <w:rPr>
          <w:szCs w:val="24"/>
        </w:rPr>
        <w:t>Telephone: [O’Brien]: (614) 466-9531</w:t>
      </w:r>
    </w:p>
    <w:p w:rsidR="002C40FF" w:rsidRPr="00B072FD" w:rsidP="00535C4D" w14:paraId="0A103FA6" w14:textId="48E1D304">
      <w:pPr>
        <w:tabs>
          <w:tab w:val="left" w:pos="8730"/>
        </w:tabs>
        <w:ind w:left="4320"/>
        <w:rPr>
          <w:szCs w:val="24"/>
        </w:rPr>
      </w:pPr>
      <w:r w:rsidRPr="00B072FD">
        <w:rPr>
          <w:szCs w:val="24"/>
        </w:rPr>
        <w:t>Telephone</w:t>
      </w:r>
      <w:r w:rsidRPr="00B072FD" w:rsidR="007862A9">
        <w:rPr>
          <w:szCs w:val="24"/>
        </w:rPr>
        <w:t>:</w:t>
      </w:r>
      <w:r w:rsidRPr="00B072FD">
        <w:rPr>
          <w:szCs w:val="24"/>
        </w:rPr>
        <w:t xml:space="preserve"> [Semple]: (614) 466-9565</w:t>
      </w:r>
    </w:p>
    <w:p w:rsidR="007862A9" w:rsidRPr="00B072FD" w:rsidP="00535C4D" w14:paraId="44B9DF2D" w14:textId="5F18751F">
      <w:pPr>
        <w:tabs>
          <w:tab w:val="left" w:pos="8730"/>
        </w:tabs>
        <w:ind w:left="4320"/>
        <w:rPr>
          <w:szCs w:val="24"/>
        </w:rPr>
      </w:pPr>
      <w:r w:rsidRPr="00B072FD">
        <w:rPr>
          <w:szCs w:val="24"/>
        </w:rPr>
        <w:t>Telephone</w:t>
      </w:r>
      <w:r w:rsidRPr="00B072FD">
        <w:rPr>
          <w:szCs w:val="24"/>
        </w:rPr>
        <w:t>: [Kral]: (614) 466-9571</w:t>
      </w:r>
    </w:p>
    <w:p w:rsidR="00535C4D" w:rsidRPr="00B072FD" w:rsidP="00535C4D" w14:paraId="61E593FD" w14:textId="31F673BB">
      <w:pPr>
        <w:tabs>
          <w:tab w:val="left" w:pos="8730"/>
        </w:tabs>
        <w:ind w:left="4320"/>
        <w:rPr>
          <w:color w:val="0000FF"/>
          <w:szCs w:val="24"/>
        </w:rPr>
      </w:pPr>
      <w:hyperlink r:id="rId6" w:history="1">
        <w:r w:rsidRPr="00B072FD" w:rsidR="007862A9">
          <w:rPr>
            <w:rStyle w:val="Hyperlink"/>
            <w:szCs w:val="24"/>
          </w:rPr>
          <w:t>william.michael@occ.ohio.gov</w:t>
        </w:r>
      </w:hyperlink>
      <w:r w:rsidRPr="00B072FD" w:rsidR="00232377">
        <w:rPr>
          <w:color w:val="0000FF"/>
          <w:szCs w:val="24"/>
        </w:rPr>
        <w:t xml:space="preserve"> </w:t>
      </w:r>
    </w:p>
    <w:p w:rsidR="007862A9" w:rsidRPr="00B072FD" w:rsidP="002C40FF" w14:paraId="4471F328" w14:textId="2AEADC8E">
      <w:pPr>
        <w:tabs>
          <w:tab w:val="left" w:pos="8730"/>
        </w:tabs>
        <w:ind w:left="4320"/>
        <w:rPr>
          <w:rStyle w:val="Hyperlink"/>
          <w:szCs w:val="24"/>
        </w:rPr>
      </w:pPr>
      <w:hyperlink r:id="rId7" w:history="1">
        <w:r w:rsidRPr="00B072FD">
          <w:rPr>
            <w:rStyle w:val="Hyperlink"/>
            <w:szCs w:val="24"/>
          </w:rPr>
          <w:t>angela.obrien@occ.ohio.gove</w:t>
        </w:r>
      </w:hyperlink>
    </w:p>
    <w:p w:rsidR="00232377" w:rsidRPr="00B072FD" w:rsidP="00232377" w14:paraId="24BE4538" w14:textId="6AE9B7C0">
      <w:pPr>
        <w:tabs>
          <w:tab w:val="left" w:pos="8730"/>
        </w:tabs>
        <w:ind w:left="4320"/>
        <w:rPr>
          <w:rStyle w:val="Hyperlink"/>
          <w:szCs w:val="24"/>
        </w:rPr>
      </w:pPr>
      <w:hyperlink r:id="rId8" w:history="1">
        <w:r w:rsidRPr="00B072FD" w:rsidR="00AD7146">
          <w:rPr>
            <w:rStyle w:val="Hyperlink"/>
            <w:szCs w:val="24"/>
          </w:rPr>
          <w:t>connor.semple@occ.ohio.gov</w:t>
        </w:r>
      </w:hyperlink>
    </w:p>
    <w:p w:rsidR="007862A9" w:rsidRPr="00B072FD" w:rsidP="00232377" w14:paraId="7E55DBCE" w14:textId="6576DA38">
      <w:pPr>
        <w:tabs>
          <w:tab w:val="left" w:pos="8730"/>
        </w:tabs>
        <w:ind w:left="4320"/>
        <w:rPr>
          <w:rStyle w:val="Hyperlink"/>
          <w:szCs w:val="24"/>
        </w:rPr>
      </w:pPr>
      <w:r w:rsidRPr="00B072FD">
        <w:rPr>
          <w:rStyle w:val="Hyperlink"/>
          <w:szCs w:val="24"/>
        </w:rPr>
        <w:t>donald.kral@occ.ohio.gov</w:t>
      </w:r>
    </w:p>
    <w:p w:rsidR="00DF0220" w:rsidRPr="00B072FD" w:rsidP="007862A9" w14:paraId="19A2E5AE" w14:textId="3E62578E">
      <w:pPr>
        <w:tabs>
          <w:tab w:val="left" w:pos="8730"/>
        </w:tabs>
        <w:ind w:left="4320"/>
        <w:rPr>
          <w:szCs w:val="24"/>
        </w:rPr>
      </w:pPr>
      <w:r w:rsidRPr="00B072FD">
        <w:rPr>
          <w:szCs w:val="24"/>
        </w:rPr>
        <w:t>(willing to accept service by e-mail</w:t>
      </w:r>
      <w:r w:rsidRPr="00B072FD" w:rsidR="007862A9">
        <w:rPr>
          <w:szCs w:val="24"/>
        </w:rPr>
        <w:t xml:space="preserve">) </w:t>
      </w:r>
    </w:p>
    <w:p w:rsidR="00DF0220" w:rsidRPr="00B072FD" w14:paraId="5DC5B00F" w14:textId="77777777">
      <w:pPr>
        <w:rPr>
          <w:szCs w:val="24"/>
        </w:rPr>
      </w:pPr>
      <w:r w:rsidRPr="00B072FD">
        <w:rPr>
          <w:szCs w:val="24"/>
        </w:rPr>
        <w:br w:type="page"/>
      </w:r>
    </w:p>
    <w:p w:rsidR="00DF0220" w:rsidRPr="00B072FD" w:rsidP="00DF0220" w14:paraId="0400289D" w14:textId="77777777">
      <w:pPr>
        <w:pStyle w:val="Footer"/>
        <w:tabs>
          <w:tab w:val="left" w:pos="4320"/>
          <w:tab w:val="clear" w:pos="8640"/>
        </w:tabs>
        <w:jc w:val="center"/>
        <w:rPr>
          <w:sz w:val="24"/>
          <w:szCs w:val="24"/>
        </w:rPr>
      </w:pPr>
      <w:r w:rsidRPr="00B072FD">
        <w:rPr>
          <w:b/>
          <w:sz w:val="24"/>
          <w:szCs w:val="24"/>
          <w:u w:val="single"/>
        </w:rPr>
        <w:t>CERTIFICATE OF SERVICE</w:t>
      </w:r>
    </w:p>
    <w:p w:rsidR="00DF0220" w:rsidRPr="00B072FD" w:rsidP="00DF0220" w14:paraId="1522B780" w14:textId="77777777">
      <w:pPr>
        <w:autoSpaceDE w:val="0"/>
        <w:autoSpaceDN w:val="0"/>
        <w:adjustRightInd w:val="0"/>
        <w:ind w:firstLine="4320"/>
        <w:jc w:val="center"/>
        <w:rPr>
          <w:szCs w:val="24"/>
          <w:u w:val="single"/>
        </w:rPr>
      </w:pPr>
    </w:p>
    <w:p w:rsidR="00DF0220" w:rsidRPr="00B072FD" w:rsidP="00DF0220" w14:paraId="6FE66045" w14:textId="19876839">
      <w:pPr>
        <w:spacing w:line="480" w:lineRule="auto"/>
        <w:ind w:firstLine="720"/>
        <w:rPr>
          <w:szCs w:val="24"/>
        </w:rPr>
      </w:pPr>
      <w:r w:rsidRPr="00B072FD">
        <w:rPr>
          <w:szCs w:val="24"/>
        </w:rPr>
        <w:t xml:space="preserve">I hereby certify that a copy of the foregoing </w:t>
      </w:r>
      <w:r w:rsidRPr="00B072FD" w:rsidR="002E51CF">
        <w:rPr>
          <w:szCs w:val="24"/>
        </w:rPr>
        <w:t xml:space="preserve">Memorandum Contra AEP’s Motion to Strike Specified Intervenor Testimony in Opposition to the Joint Stipulation and Recommendation </w:t>
      </w:r>
      <w:r w:rsidRPr="00B072FD">
        <w:rPr>
          <w:szCs w:val="24"/>
        </w:rPr>
        <w:t xml:space="preserve">was served via electronic transmission upon the parties this </w:t>
      </w:r>
      <w:r w:rsidRPr="00B072FD" w:rsidR="00FA7D9E">
        <w:rPr>
          <w:szCs w:val="24"/>
        </w:rPr>
        <w:t>1</w:t>
      </w:r>
      <w:r w:rsidRPr="00B072FD" w:rsidR="002E51CF">
        <w:rPr>
          <w:szCs w:val="24"/>
        </w:rPr>
        <w:t>0</w:t>
      </w:r>
      <w:r w:rsidRPr="00B072FD">
        <w:rPr>
          <w:szCs w:val="24"/>
          <w:vertAlign w:val="superscript"/>
        </w:rPr>
        <w:t>th</w:t>
      </w:r>
      <w:r w:rsidRPr="00B072FD">
        <w:rPr>
          <w:szCs w:val="24"/>
        </w:rPr>
        <w:t xml:space="preserve"> day of </w:t>
      </w:r>
      <w:r w:rsidRPr="00B072FD" w:rsidR="002E51CF">
        <w:rPr>
          <w:szCs w:val="24"/>
        </w:rPr>
        <w:t>October</w:t>
      </w:r>
      <w:r w:rsidRPr="00B072FD">
        <w:rPr>
          <w:szCs w:val="24"/>
        </w:rPr>
        <w:t xml:space="preserve"> 2023. </w:t>
      </w:r>
    </w:p>
    <w:p w:rsidR="00DF0220" w:rsidRPr="00B072FD" w:rsidP="00DF0220" w14:paraId="74082ECD" w14:textId="77777777">
      <w:pPr>
        <w:ind w:left="4320"/>
        <w:rPr>
          <w:szCs w:val="24"/>
        </w:rPr>
      </w:pPr>
      <w:r w:rsidRPr="00B072FD">
        <w:rPr>
          <w:i/>
          <w:szCs w:val="24"/>
          <w:u w:val="single"/>
        </w:rPr>
        <w:t>/s/ William J. Michael</w:t>
      </w:r>
    </w:p>
    <w:p w:rsidR="00DF0220" w:rsidRPr="00B072FD" w:rsidP="00DF0220" w14:paraId="78F85280" w14:textId="77777777">
      <w:pPr>
        <w:tabs>
          <w:tab w:val="left" w:pos="4320"/>
        </w:tabs>
        <w:rPr>
          <w:szCs w:val="24"/>
        </w:rPr>
      </w:pPr>
      <w:r w:rsidRPr="00B072FD">
        <w:rPr>
          <w:szCs w:val="24"/>
        </w:rPr>
        <w:tab/>
        <w:t>William J. Michael</w:t>
      </w:r>
    </w:p>
    <w:p w:rsidR="00DF0220" w:rsidRPr="00B072FD" w:rsidP="00DF0220" w14:paraId="6981E538" w14:textId="77777777">
      <w:pPr>
        <w:tabs>
          <w:tab w:val="left" w:pos="4320"/>
        </w:tabs>
        <w:rPr>
          <w:szCs w:val="24"/>
        </w:rPr>
      </w:pPr>
      <w:r w:rsidRPr="00B072FD">
        <w:rPr>
          <w:szCs w:val="24"/>
        </w:rPr>
        <w:tab/>
        <w:t>Assistant Consumers’ Counsel</w:t>
      </w:r>
    </w:p>
    <w:p w:rsidR="00DF0220" w:rsidRPr="00B072FD" w:rsidP="00DF0220" w14:paraId="374384C3" w14:textId="77777777">
      <w:pPr>
        <w:tabs>
          <w:tab w:val="left" w:pos="4320"/>
        </w:tabs>
        <w:rPr>
          <w:szCs w:val="24"/>
        </w:rPr>
      </w:pPr>
    </w:p>
    <w:p w:rsidR="00DF0220" w:rsidRPr="00B072FD" w:rsidP="00DF0220" w14:paraId="34490A80" w14:textId="77777777">
      <w:pPr>
        <w:pStyle w:val="CommentText"/>
      </w:pPr>
      <w:r w:rsidRPr="00B072FD">
        <w:t>The PUCO’s e-filing system will electronically serve notice of the filing of this document on the following parties:</w:t>
      </w:r>
    </w:p>
    <w:p w:rsidR="00143EDC" w:rsidRPr="00B072FD" w:rsidP="00DF0220" w14:paraId="658EFE73" w14:textId="77777777">
      <w:pPr>
        <w:pStyle w:val="CommentText"/>
      </w:pPr>
    </w:p>
    <w:p w:rsidR="00DF0220" w:rsidRPr="00B072FD" w:rsidP="00DF0220" w14:paraId="7124AC49" w14:textId="77777777">
      <w:pPr>
        <w:pStyle w:val="CommentText"/>
        <w:jc w:val="center"/>
        <w:rPr>
          <w:b/>
          <w:u w:val="single"/>
        </w:rPr>
      </w:pPr>
      <w:r w:rsidRPr="00B072FD">
        <w:rPr>
          <w:b/>
          <w:u w:val="single"/>
        </w:rPr>
        <w:t>SERVICE LIST</w:t>
      </w:r>
    </w:p>
    <w:p w:rsidR="00143EDC" w:rsidRPr="00B072FD" w:rsidP="00DF0220" w14:paraId="3EF8572E" w14:textId="77777777">
      <w:pPr>
        <w:pStyle w:val="CommentText"/>
        <w:jc w:val="center"/>
        <w:rPr>
          <w:b/>
          <w:u w:val="single"/>
        </w:rPr>
      </w:pPr>
    </w:p>
    <w:tbl>
      <w:tblPr>
        <w:tblW w:w="0" w:type="auto"/>
        <w:tblInd w:w="0" w:type="dxa"/>
        <w:tblCellMar>
          <w:top w:w="0" w:type="dxa"/>
          <w:left w:w="108" w:type="dxa"/>
          <w:bottom w:w="0" w:type="dxa"/>
          <w:right w:w="108" w:type="dxa"/>
        </w:tblCellMar>
        <w:tblLook w:val="01E0"/>
      </w:tblPr>
      <w:tblGrid>
        <w:gridCol w:w="4476"/>
        <w:gridCol w:w="4164"/>
      </w:tblGrid>
      <w:tr w14:paraId="59E6C712" w14:textId="77777777" w:rsidTr="00D37AD4">
        <w:tblPrEx>
          <w:tblW w:w="0" w:type="auto"/>
          <w:tblInd w:w="0" w:type="dxa"/>
          <w:tblCellMar>
            <w:top w:w="0" w:type="dxa"/>
            <w:left w:w="108" w:type="dxa"/>
            <w:bottom w:w="0" w:type="dxa"/>
            <w:right w:w="108" w:type="dxa"/>
          </w:tblCellMar>
          <w:tblLook w:val="01E0"/>
        </w:tblPrEx>
        <w:tc>
          <w:tcPr>
            <w:tcW w:w="4476" w:type="dxa"/>
            <w:shd w:val="clear" w:color="auto" w:fill="auto"/>
          </w:tcPr>
          <w:p w:rsidR="00737D84" w:rsidRPr="00B072FD" w:rsidP="00D37AD4" w14:paraId="6A3CA3F2" w14:textId="77777777">
            <w:pPr>
              <w:rPr>
                <w:rStyle w:val="Hyperlink"/>
                <w:color w:val="0000FF"/>
                <w:sz w:val="24"/>
                <w:szCs w:val="24"/>
                <w:u w:val="single"/>
                <w:lang w:val="en-US" w:eastAsia="en-US" w:bidi="ar-SA"/>
              </w:rPr>
            </w:pPr>
            <w:hyperlink r:id="rId17" w:history="1">
              <w:r w:rsidRPr="00B072FD">
                <w:rPr>
                  <w:rStyle w:val="Hyperlink"/>
                  <w:color w:val="0000FF"/>
                  <w:sz w:val="24"/>
                  <w:szCs w:val="24"/>
                  <w:u w:val="single"/>
                  <w:lang w:val="en-US" w:eastAsia="en-US" w:bidi="ar-SA"/>
                </w:rPr>
                <w:t>werner.margard@ohioago.gov</w:t>
              </w:r>
            </w:hyperlink>
          </w:p>
          <w:p w:rsidR="00737D84" w:rsidRPr="00B072FD" w:rsidP="00D37AD4" w14:paraId="336A640A" w14:textId="77777777">
            <w:pPr>
              <w:rPr>
                <w:sz w:val="24"/>
                <w:szCs w:val="24"/>
                <w:lang w:val="en-US" w:eastAsia="en-US" w:bidi="ar-SA"/>
              </w:rPr>
            </w:pPr>
            <w:hyperlink r:id="rId18" w:history="1">
              <w:r w:rsidRPr="00B072FD">
                <w:rPr>
                  <w:rStyle w:val="Hyperlink"/>
                  <w:color w:val="0000FF"/>
                  <w:sz w:val="24"/>
                  <w:szCs w:val="24"/>
                  <w:u w:val="single"/>
                  <w:lang w:val="en-US" w:eastAsia="en-US" w:bidi="ar-SA"/>
                </w:rPr>
                <w:t>ambrosia.wilson@ohioago.gov</w:t>
              </w:r>
            </w:hyperlink>
          </w:p>
          <w:p w:rsidR="00737D84" w:rsidRPr="00B072FD" w:rsidP="00D37AD4" w14:paraId="138CA768" w14:textId="77777777">
            <w:pPr>
              <w:rPr>
                <w:sz w:val="24"/>
                <w:szCs w:val="24"/>
                <w:lang w:val="en-US" w:eastAsia="en-US" w:bidi="ar-SA"/>
              </w:rPr>
            </w:pPr>
            <w:hyperlink r:id="rId19" w:history="1">
              <w:r w:rsidRPr="00B072FD">
                <w:rPr>
                  <w:rStyle w:val="Hyperlink"/>
                  <w:color w:val="0000FF"/>
                  <w:sz w:val="24"/>
                  <w:szCs w:val="24"/>
                  <w:u w:val="single"/>
                  <w:lang w:val="en-US" w:eastAsia="en-US" w:bidi="ar-SA"/>
                </w:rPr>
                <w:t>ashley.wnek@ohioago.gov</w:t>
              </w:r>
            </w:hyperlink>
          </w:p>
          <w:p w:rsidR="00737D84" w:rsidRPr="00B072FD" w:rsidP="00D37AD4" w14:paraId="15FEF71B" w14:textId="77777777">
            <w:pPr>
              <w:rPr>
                <w:sz w:val="24"/>
                <w:szCs w:val="24"/>
                <w:lang w:val="en-US" w:eastAsia="en-US" w:bidi="ar-SA"/>
              </w:rPr>
            </w:pPr>
            <w:hyperlink r:id="rId20" w:history="1">
              <w:r w:rsidRPr="00B072FD">
                <w:rPr>
                  <w:rStyle w:val="Hyperlink"/>
                  <w:color w:val="0000FF"/>
                  <w:sz w:val="24"/>
                  <w:szCs w:val="24"/>
                  <w:u w:val="single"/>
                  <w:lang w:val="en-US" w:eastAsia="en-US" w:bidi="ar-SA"/>
                </w:rPr>
                <w:t>mkurtz@BKLlawfirm.com</w:t>
              </w:r>
            </w:hyperlink>
          </w:p>
          <w:p w:rsidR="00737D84" w:rsidRPr="00B072FD" w:rsidP="00D37AD4" w14:paraId="715A94BB" w14:textId="77777777">
            <w:pPr>
              <w:rPr>
                <w:sz w:val="24"/>
                <w:szCs w:val="24"/>
                <w:lang w:val="en-US" w:eastAsia="en-US" w:bidi="ar-SA"/>
              </w:rPr>
            </w:pPr>
            <w:hyperlink r:id="rId21" w:history="1">
              <w:r w:rsidRPr="00B072FD">
                <w:rPr>
                  <w:rStyle w:val="Hyperlink"/>
                  <w:color w:val="0000FF"/>
                  <w:sz w:val="24"/>
                  <w:szCs w:val="24"/>
                  <w:u w:val="single"/>
                  <w:lang w:val="en-US" w:eastAsia="en-US" w:bidi="ar-SA"/>
                </w:rPr>
                <w:t>kboehm@BKLlawfirm.com</w:t>
              </w:r>
            </w:hyperlink>
          </w:p>
          <w:p w:rsidR="00737D84" w:rsidRPr="00B072FD" w:rsidP="00D37AD4" w14:paraId="3B08C68A" w14:textId="77777777">
            <w:pPr>
              <w:rPr>
                <w:rStyle w:val="Hyperlink"/>
                <w:color w:val="0000FF"/>
                <w:sz w:val="24"/>
                <w:szCs w:val="24"/>
                <w:u w:val="single"/>
                <w:lang w:val="en-US" w:eastAsia="en-US" w:bidi="ar-SA"/>
              </w:rPr>
            </w:pPr>
            <w:hyperlink r:id="rId22" w:history="1">
              <w:r w:rsidRPr="00B072FD">
                <w:rPr>
                  <w:rStyle w:val="Hyperlink"/>
                  <w:color w:val="0000FF"/>
                  <w:sz w:val="24"/>
                  <w:szCs w:val="24"/>
                  <w:u w:val="single"/>
                  <w:lang w:val="en-US" w:eastAsia="en-US" w:bidi="ar-SA"/>
                </w:rPr>
                <w:t>jkylercohn@BKLlawfirm.com</w:t>
              </w:r>
            </w:hyperlink>
          </w:p>
          <w:p w:rsidR="00737D84" w:rsidRPr="00B072FD" w:rsidP="00D37AD4" w14:paraId="5AB578AB" w14:textId="77777777">
            <w:pPr>
              <w:rPr>
                <w:sz w:val="24"/>
                <w:szCs w:val="24"/>
                <w:lang w:val="en-US" w:eastAsia="en-US" w:bidi="ar-SA"/>
              </w:rPr>
            </w:pPr>
            <w:hyperlink r:id="rId23" w:history="1">
              <w:r w:rsidRPr="00B072FD">
                <w:rPr>
                  <w:rStyle w:val="Hyperlink"/>
                  <w:color w:val="0000FF"/>
                  <w:sz w:val="24"/>
                  <w:szCs w:val="24"/>
                  <w:u w:val="single"/>
                  <w:lang w:val="en-US" w:eastAsia="en-US" w:bidi="ar-SA"/>
                </w:rPr>
                <w:t>knordstrom@theOEC.org</w:t>
              </w:r>
            </w:hyperlink>
          </w:p>
          <w:p w:rsidR="00737D84" w:rsidRPr="00B072FD" w:rsidP="00D37AD4" w14:paraId="7EE31E78" w14:textId="77777777">
            <w:pPr>
              <w:rPr>
                <w:sz w:val="24"/>
                <w:szCs w:val="24"/>
                <w:lang w:val="en-US" w:eastAsia="en-US" w:bidi="ar-SA"/>
              </w:rPr>
            </w:pPr>
            <w:hyperlink r:id="rId24" w:history="1">
              <w:r w:rsidRPr="00B072FD">
                <w:rPr>
                  <w:rStyle w:val="Hyperlink"/>
                  <w:color w:val="0000FF"/>
                  <w:sz w:val="24"/>
                  <w:szCs w:val="24"/>
                  <w:u w:val="single"/>
                  <w:lang w:val="en-US" w:eastAsia="en-US" w:bidi="ar-SA"/>
                </w:rPr>
                <w:t>ctavenor@theOEC.org</w:t>
              </w:r>
            </w:hyperlink>
          </w:p>
          <w:p w:rsidR="00737D84" w:rsidRPr="00B072FD" w:rsidP="00D37AD4" w14:paraId="6A14E670" w14:textId="77777777">
            <w:pPr>
              <w:rPr>
                <w:sz w:val="24"/>
                <w:szCs w:val="24"/>
                <w:lang w:val="en-US" w:eastAsia="en-US" w:bidi="ar-SA"/>
              </w:rPr>
            </w:pPr>
            <w:hyperlink r:id="rId25" w:history="1">
              <w:r w:rsidRPr="00B072FD">
                <w:rPr>
                  <w:rStyle w:val="Hyperlink"/>
                  <w:color w:val="0000FF"/>
                  <w:sz w:val="24"/>
                  <w:szCs w:val="24"/>
                  <w:u w:val="single"/>
                  <w:lang w:val="en-US" w:eastAsia="en-US" w:bidi="ar-SA"/>
                </w:rPr>
                <w:t>little@litohio.com</w:t>
              </w:r>
            </w:hyperlink>
          </w:p>
          <w:p w:rsidR="00737D84" w:rsidRPr="00B072FD" w:rsidP="00D37AD4" w14:paraId="3ED958D7" w14:textId="77777777">
            <w:pPr>
              <w:rPr>
                <w:sz w:val="24"/>
                <w:szCs w:val="24"/>
                <w:lang w:val="en-US" w:eastAsia="en-US" w:bidi="ar-SA"/>
              </w:rPr>
            </w:pPr>
            <w:hyperlink r:id="rId26" w:history="1">
              <w:r w:rsidRPr="00B072FD">
                <w:rPr>
                  <w:rStyle w:val="Hyperlink"/>
                  <w:color w:val="0000FF"/>
                  <w:sz w:val="24"/>
                  <w:szCs w:val="24"/>
                  <w:u w:val="single"/>
                  <w:lang w:val="en-US" w:eastAsia="en-US" w:bidi="ar-SA"/>
                </w:rPr>
                <w:t>hogan@litohio.com</w:t>
              </w:r>
            </w:hyperlink>
          </w:p>
          <w:p w:rsidR="00737D84" w:rsidRPr="00B072FD" w:rsidP="00D37AD4" w14:paraId="3331F723" w14:textId="77777777">
            <w:pPr>
              <w:rPr>
                <w:sz w:val="24"/>
                <w:szCs w:val="24"/>
                <w:lang w:val="en-US" w:eastAsia="en-US" w:bidi="ar-SA"/>
              </w:rPr>
            </w:pPr>
            <w:hyperlink r:id="rId27" w:history="1">
              <w:r w:rsidRPr="00B072FD">
                <w:rPr>
                  <w:rStyle w:val="Hyperlink"/>
                  <w:color w:val="0000FF"/>
                  <w:sz w:val="24"/>
                  <w:szCs w:val="24"/>
                  <w:u w:val="single"/>
                  <w:lang w:val="en-US" w:eastAsia="en-US" w:bidi="ar-SA"/>
                </w:rPr>
                <w:t>ktreadway@oneenergyllc.com</w:t>
              </w:r>
            </w:hyperlink>
          </w:p>
          <w:p w:rsidR="00737D84" w:rsidRPr="00B072FD" w:rsidP="00D37AD4" w14:paraId="1EE2DB0D" w14:textId="77777777">
            <w:pPr>
              <w:rPr>
                <w:sz w:val="24"/>
                <w:szCs w:val="24"/>
                <w:lang w:val="en-US" w:eastAsia="en-US" w:bidi="ar-SA"/>
              </w:rPr>
            </w:pPr>
            <w:hyperlink r:id="rId28" w:history="1">
              <w:r w:rsidRPr="00B072FD">
                <w:rPr>
                  <w:rStyle w:val="Hyperlink"/>
                  <w:color w:val="0000FF"/>
                  <w:sz w:val="24"/>
                  <w:szCs w:val="24"/>
                  <w:u w:val="single"/>
                  <w:lang w:val="en-US" w:eastAsia="en-US" w:bidi="ar-SA"/>
                </w:rPr>
                <w:t>jdunn@oneenergyllc.com</w:t>
              </w:r>
            </w:hyperlink>
          </w:p>
          <w:p w:rsidR="00737D84" w:rsidRPr="00B072FD" w:rsidP="00D37AD4" w14:paraId="7FFA3352" w14:textId="77777777">
            <w:pPr>
              <w:rPr>
                <w:sz w:val="24"/>
                <w:szCs w:val="24"/>
                <w:lang w:val="en-US" w:eastAsia="en-US" w:bidi="ar-SA"/>
              </w:rPr>
            </w:pPr>
            <w:hyperlink r:id="rId29" w:history="1">
              <w:r w:rsidRPr="00B072FD">
                <w:rPr>
                  <w:rStyle w:val="Hyperlink"/>
                  <w:color w:val="0000FF"/>
                  <w:sz w:val="24"/>
                  <w:szCs w:val="24"/>
                  <w:u w:val="single"/>
                  <w:lang w:val="en-US" w:eastAsia="en-US" w:bidi="ar-SA"/>
                </w:rPr>
                <w:t>cgrundmann@spilmanlaw.com</w:t>
              </w:r>
            </w:hyperlink>
          </w:p>
          <w:p w:rsidR="00737D84" w:rsidRPr="00B072FD" w:rsidP="00D37AD4" w14:paraId="3C8FDA6F" w14:textId="77777777">
            <w:pPr>
              <w:rPr>
                <w:sz w:val="24"/>
                <w:szCs w:val="24"/>
                <w:lang w:val="en-US" w:eastAsia="en-US" w:bidi="ar-SA"/>
              </w:rPr>
            </w:pPr>
            <w:hyperlink r:id="rId30" w:history="1">
              <w:r w:rsidRPr="00B072FD">
                <w:rPr>
                  <w:rStyle w:val="Hyperlink"/>
                  <w:color w:val="0000FF"/>
                  <w:sz w:val="24"/>
                  <w:szCs w:val="24"/>
                  <w:u w:val="single"/>
                  <w:lang w:val="en-US" w:eastAsia="en-US" w:bidi="ar-SA"/>
                </w:rPr>
                <w:t>dwilliamson@spilmanlaw.com</w:t>
              </w:r>
            </w:hyperlink>
          </w:p>
          <w:p w:rsidR="00737D84" w:rsidRPr="00B072FD" w:rsidP="00D37AD4" w14:paraId="75BBA1B9" w14:textId="77777777">
            <w:pPr>
              <w:rPr>
                <w:sz w:val="24"/>
                <w:szCs w:val="24"/>
                <w:lang w:val="en-US" w:eastAsia="en-US" w:bidi="ar-SA"/>
              </w:rPr>
            </w:pPr>
            <w:hyperlink r:id="rId31" w:history="1">
              <w:r w:rsidRPr="00B072FD">
                <w:rPr>
                  <w:rStyle w:val="Hyperlink"/>
                  <w:color w:val="0000FF"/>
                  <w:sz w:val="24"/>
                  <w:szCs w:val="24"/>
                  <w:u w:val="single"/>
                  <w:lang w:val="en-US" w:eastAsia="en-US" w:bidi="ar-SA"/>
                </w:rPr>
                <w:t>slee@spilmanlaw.com</w:t>
              </w:r>
            </w:hyperlink>
          </w:p>
          <w:p w:rsidR="00737D84" w:rsidRPr="00B072FD" w:rsidP="00D37AD4" w14:paraId="3A382866" w14:textId="77777777">
            <w:pPr>
              <w:rPr>
                <w:sz w:val="24"/>
                <w:szCs w:val="24"/>
                <w:lang w:val="en-US" w:eastAsia="en-US" w:bidi="ar-SA"/>
              </w:rPr>
            </w:pPr>
            <w:hyperlink r:id="rId32" w:history="1">
              <w:r w:rsidRPr="00B072FD">
                <w:rPr>
                  <w:rStyle w:val="Hyperlink"/>
                  <w:color w:val="0000FF"/>
                  <w:sz w:val="24"/>
                  <w:szCs w:val="24"/>
                  <w:u w:val="single"/>
                  <w:lang w:val="en-US" w:eastAsia="en-US" w:bidi="ar-SA"/>
                </w:rPr>
                <w:t>brian.gibbs@nationwideenergypartners.com</w:t>
              </w:r>
            </w:hyperlink>
          </w:p>
          <w:p w:rsidR="00737D84" w:rsidRPr="00B072FD" w:rsidP="00D37AD4" w14:paraId="1772A401" w14:textId="77777777">
            <w:pPr>
              <w:rPr>
                <w:sz w:val="24"/>
                <w:szCs w:val="24"/>
                <w:lang w:val="en-US" w:eastAsia="en-US" w:bidi="ar-SA"/>
              </w:rPr>
            </w:pPr>
            <w:hyperlink r:id="rId33" w:history="1">
              <w:r w:rsidRPr="00B072FD">
                <w:rPr>
                  <w:rStyle w:val="Hyperlink"/>
                  <w:color w:val="0000FF"/>
                  <w:sz w:val="24"/>
                  <w:szCs w:val="24"/>
                  <w:u w:val="single"/>
                  <w:lang w:val="en-US" w:eastAsia="en-US" w:bidi="ar-SA"/>
                </w:rPr>
                <w:t>rdove@keglerbrown.com</w:t>
              </w:r>
            </w:hyperlink>
          </w:p>
          <w:p w:rsidR="00737D84" w:rsidRPr="00B072FD" w:rsidP="00D37AD4" w14:paraId="240A70C3" w14:textId="77777777">
            <w:pPr>
              <w:rPr>
                <w:rStyle w:val="Hyperlink"/>
                <w:color w:val="0000FF"/>
                <w:sz w:val="24"/>
                <w:szCs w:val="24"/>
                <w:u w:val="single"/>
                <w:lang w:val="en-US" w:eastAsia="en-US" w:bidi="ar-SA"/>
              </w:rPr>
            </w:pPr>
            <w:hyperlink r:id="rId34" w:history="1">
              <w:r w:rsidRPr="00B072FD">
                <w:rPr>
                  <w:rStyle w:val="Hyperlink"/>
                  <w:color w:val="0000FF"/>
                  <w:sz w:val="24"/>
                  <w:szCs w:val="24"/>
                  <w:u w:val="single"/>
                  <w:lang w:val="en-US" w:eastAsia="en-US" w:bidi="ar-SA"/>
                </w:rPr>
                <w:t>nbobb@keglerbrown.com</w:t>
              </w:r>
            </w:hyperlink>
          </w:p>
          <w:p w:rsidR="00737D84" w:rsidRPr="00B072FD" w:rsidP="00D37AD4" w14:paraId="3F94BDBC" w14:textId="77777777">
            <w:pPr>
              <w:rPr>
                <w:rStyle w:val="Hyperlink"/>
                <w:color w:val="0000FF"/>
                <w:sz w:val="24"/>
                <w:szCs w:val="24"/>
                <w:u w:val="single"/>
                <w:lang w:val="en-US" w:eastAsia="en-US" w:bidi="ar-SA"/>
              </w:rPr>
            </w:pPr>
            <w:r w:rsidRPr="00B072FD">
              <w:rPr>
                <w:rStyle w:val="Hyperlink"/>
                <w:color w:val="0000FF"/>
                <w:sz w:val="24"/>
                <w:szCs w:val="24"/>
                <w:u w:val="single"/>
                <w:lang w:val="en-US" w:eastAsia="en-US" w:bidi="ar-SA"/>
              </w:rPr>
              <w:t>jlaskey@norris-law.com</w:t>
            </w:r>
          </w:p>
          <w:p w:rsidR="00737D84" w:rsidRPr="00B072FD" w:rsidP="00D37AD4" w14:paraId="483FA76B" w14:textId="77777777">
            <w:pPr>
              <w:rPr>
                <w:sz w:val="24"/>
                <w:szCs w:val="24"/>
                <w:lang w:val="en-US" w:eastAsia="en-US" w:bidi="ar-SA"/>
              </w:rPr>
            </w:pPr>
            <w:hyperlink r:id="rId35" w:history="1">
              <w:r w:rsidRPr="00B072FD">
                <w:rPr>
                  <w:rStyle w:val="Hyperlink"/>
                  <w:color w:val="0000FF"/>
                  <w:sz w:val="24"/>
                  <w:szCs w:val="24"/>
                  <w:u w:val="single"/>
                  <w:lang w:val="en-US" w:eastAsia="en-US" w:bidi="ar-SA"/>
                </w:rPr>
                <w:t>mpritchard@mcneeslaw.com</w:t>
              </w:r>
            </w:hyperlink>
          </w:p>
          <w:p w:rsidR="00737D84" w:rsidRPr="00B072FD" w:rsidP="00D37AD4" w14:paraId="4D0690B5" w14:textId="77777777">
            <w:pPr>
              <w:rPr>
                <w:sz w:val="24"/>
                <w:szCs w:val="24"/>
                <w:lang w:val="en-US" w:eastAsia="en-US" w:bidi="ar-SA"/>
              </w:rPr>
            </w:pPr>
            <w:hyperlink r:id="rId36" w:history="1">
              <w:r w:rsidRPr="00B072FD">
                <w:rPr>
                  <w:rStyle w:val="Hyperlink"/>
                  <w:color w:val="0000FF"/>
                  <w:sz w:val="24"/>
                  <w:szCs w:val="24"/>
                  <w:u w:val="single"/>
                  <w:lang w:val="en-US" w:eastAsia="en-US" w:bidi="ar-SA"/>
                </w:rPr>
                <w:t>awalke@mcneeslaw.com</w:t>
              </w:r>
            </w:hyperlink>
          </w:p>
          <w:p w:rsidR="00737D84" w:rsidRPr="00B072FD" w:rsidP="00D37AD4" w14:paraId="0FEA4B9F" w14:textId="77777777">
            <w:pPr>
              <w:rPr>
                <w:sz w:val="24"/>
                <w:szCs w:val="24"/>
                <w:lang w:val="en-US" w:eastAsia="en-US" w:bidi="ar-SA"/>
              </w:rPr>
            </w:pPr>
            <w:hyperlink r:id="rId37" w:history="1">
              <w:r w:rsidRPr="00B072FD">
                <w:rPr>
                  <w:rStyle w:val="Hyperlink"/>
                  <w:color w:val="0000FF"/>
                  <w:sz w:val="24"/>
                  <w:szCs w:val="24"/>
                  <w:u w:val="single"/>
                  <w:lang w:val="en-US" w:eastAsia="en-US" w:bidi="ar-SA"/>
                </w:rPr>
                <w:t>mjsettineri@vorys.com</w:t>
              </w:r>
            </w:hyperlink>
          </w:p>
          <w:p w:rsidR="00737D84" w:rsidRPr="00B072FD" w:rsidP="00D37AD4" w14:paraId="2A63BA67" w14:textId="77777777">
            <w:pPr>
              <w:rPr>
                <w:rStyle w:val="Hyperlink"/>
                <w:color w:val="0000FF"/>
                <w:sz w:val="24"/>
                <w:szCs w:val="24"/>
                <w:u w:val="single"/>
                <w:lang w:val="en-US" w:eastAsia="en-US" w:bidi="ar-SA"/>
              </w:rPr>
            </w:pPr>
            <w:hyperlink r:id="rId38" w:history="1">
              <w:r w:rsidRPr="00B072FD">
                <w:rPr>
                  <w:rStyle w:val="Hyperlink"/>
                  <w:color w:val="0000FF"/>
                  <w:sz w:val="24"/>
                  <w:szCs w:val="24"/>
                  <w:u w:val="single"/>
                  <w:lang w:val="en-US" w:eastAsia="en-US" w:bidi="ar-SA"/>
                </w:rPr>
                <w:t>glpetrucci@vorys.com</w:t>
              </w:r>
            </w:hyperlink>
          </w:p>
          <w:p w:rsidR="00737D84" w:rsidRPr="00B072FD" w:rsidP="00D37AD4" w14:paraId="4EF2B844" w14:textId="77777777">
            <w:pPr>
              <w:rPr>
                <w:rStyle w:val="Hyperlink"/>
                <w:color w:val="0000FF"/>
                <w:sz w:val="24"/>
                <w:szCs w:val="24"/>
                <w:u w:val="single"/>
                <w:lang w:val="en-US" w:eastAsia="en-US" w:bidi="ar-SA"/>
              </w:rPr>
            </w:pPr>
            <w:r w:rsidRPr="00B072FD">
              <w:rPr>
                <w:rStyle w:val="Hyperlink"/>
                <w:color w:val="0000FF"/>
                <w:sz w:val="24"/>
                <w:szCs w:val="24"/>
                <w:u w:val="single"/>
                <w:lang w:val="en-US" w:eastAsia="en-US" w:bidi="ar-SA"/>
              </w:rPr>
              <w:t>aasanyal@vorys.com</w:t>
            </w:r>
          </w:p>
          <w:p w:rsidR="00737D84" w:rsidRPr="00B072FD" w:rsidP="00D37AD4" w14:paraId="5093E10B" w14:textId="77777777">
            <w:pPr>
              <w:rPr>
                <w:rStyle w:val="Hyperlink"/>
                <w:color w:val="0000FF"/>
                <w:sz w:val="24"/>
                <w:szCs w:val="24"/>
                <w:u w:val="single"/>
                <w:lang w:val="en-US" w:eastAsia="en-US" w:bidi="ar-SA"/>
              </w:rPr>
            </w:pPr>
            <w:hyperlink r:id="rId39" w:history="1">
              <w:r w:rsidRPr="00B072FD">
                <w:rPr>
                  <w:rStyle w:val="Hyperlink"/>
                  <w:color w:val="0000FF"/>
                  <w:sz w:val="24"/>
                  <w:szCs w:val="24"/>
                  <w:u w:val="single"/>
                  <w:lang w:val="en-US" w:eastAsia="en-US" w:bidi="ar-SA"/>
                </w:rPr>
                <w:t>cpirik@dickinsonwright.com</w:t>
              </w:r>
            </w:hyperlink>
          </w:p>
          <w:p w:rsidR="00737D84" w:rsidRPr="00B072FD" w:rsidP="00D37AD4" w14:paraId="542D42C1" w14:textId="1040BBFA">
            <w:pPr>
              <w:rPr>
                <w:rStyle w:val="Hyperlink"/>
                <w:color w:val="0000FF"/>
                <w:sz w:val="24"/>
                <w:szCs w:val="24"/>
                <w:u w:val="single"/>
                <w:lang w:val="en-US" w:eastAsia="en-US" w:bidi="ar-SA"/>
              </w:rPr>
            </w:pPr>
            <w:r w:rsidRPr="00B072FD">
              <w:rPr>
                <w:rStyle w:val="Hyperlink"/>
                <w:color w:val="0000FF"/>
                <w:sz w:val="24"/>
                <w:szCs w:val="24"/>
                <w:u w:val="single"/>
                <w:lang w:val="en-US" w:eastAsia="en-US" w:bidi="ar-SA"/>
              </w:rPr>
              <w:t>bryce.mckenney@nrg.com</w:t>
            </w:r>
          </w:p>
          <w:p w:rsidR="00861980" w:rsidRPr="00B072FD" w:rsidP="00D37AD4" w14:paraId="43C6D521" w14:textId="77777777">
            <w:pPr>
              <w:rPr>
                <w:sz w:val="24"/>
                <w:szCs w:val="24"/>
                <w:lang w:val="en-US" w:eastAsia="en-US" w:bidi="ar-SA"/>
              </w:rPr>
            </w:pPr>
          </w:p>
          <w:p w:rsidR="00737D84" w:rsidRPr="00B072FD" w:rsidP="00D37AD4" w14:paraId="6766C532" w14:textId="6CFD12CB">
            <w:pPr>
              <w:rPr>
                <w:sz w:val="24"/>
                <w:szCs w:val="24"/>
                <w:lang w:val="en-US" w:eastAsia="en-US" w:bidi="ar-SA"/>
              </w:rPr>
            </w:pPr>
            <w:r w:rsidRPr="00B072FD">
              <w:rPr>
                <w:sz w:val="24"/>
                <w:szCs w:val="24"/>
                <w:lang w:val="en-US" w:eastAsia="en-US" w:bidi="ar-SA"/>
              </w:rPr>
              <w:t>Attorney Examiners:</w:t>
            </w:r>
          </w:p>
          <w:p w:rsidR="00737D84" w:rsidRPr="00B072FD" w:rsidP="00D37AD4" w14:paraId="6CA7FC42" w14:textId="77777777">
            <w:pPr>
              <w:rPr>
                <w:rStyle w:val="Hyperlink"/>
                <w:color w:val="0000FF"/>
                <w:sz w:val="24"/>
                <w:szCs w:val="24"/>
                <w:u w:val="single"/>
                <w:lang w:val="en-US" w:eastAsia="en-US" w:bidi="ar-SA"/>
              </w:rPr>
            </w:pPr>
            <w:hyperlink r:id="rId40" w:history="1">
              <w:r w:rsidRPr="00B072FD">
                <w:rPr>
                  <w:rStyle w:val="Hyperlink"/>
                  <w:color w:val="0000FF"/>
                  <w:sz w:val="24"/>
                  <w:szCs w:val="24"/>
                  <w:u w:val="single"/>
                  <w:lang w:val="en-US" w:eastAsia="en-US" w:bidi="ar-SA"/>
                </w:rPr>
                <w:t>greta.see@puco.ohio.gov</w:t>
              </w:r>
            </w:hyperlink>
          </w:p>
          <w:p w:rsidR="00737D84" w:rsidRPr="00B072FD" w:rsidP="00D37AD4" w14:paraId="03855BCD" w14:textId="77777777">
            <w:pPr>
              <w:rPr>
                <w:sz w:val="24"/>
                <w:szCs w:val="24"/>
                <w:lang w:val="en-US" w:eastAsia="en-US" w:bidi="ar-SA"/>
              </w:rPr>
            </w:pPr>
            <w:hyperlink r:id="rId41" w:history="1">
              <w:r w:rsidRPr="00B072FD">
                <w:rPr>
                  <w:rStyle w:val="Hyperlink"/>
                  <w:color w:val="0000FF"/>
                  <w:sz w:val="24"/>
                  <w:szCs w:val="24"/>
                  <w:u w:val="single"/>
                  <w:lang w:val="en-US" w:eastAsia="en-US" w:bidi="ar-SA"/>
                </w:rPr>
                <w:t>david.hicks@puco.ohio.gov</w:t>
              </w:r>
            </w:hyperlink>
          </w:p>
        </w:tc>
        <w:tc>
          <w:tcPr>
            <w:tcW w:w="4164" w:type="dxa"/>
            <w:shd w:val="clear" w:color="auto" w:fill="auto"/>
          </w:tcPr>
          <w:p w:rsidR="00737D84" w:rsidRPr="00B072FD" w:rsidP="00D37AD4" w14:paraId="2E1F89A3" w14:textId="77777777">
            <w:pPr>
              <w:rPr>
                <w:sz w:val="24"/>
                <w:szCs w:val="24"/>
                <w:lang w:val="en-US" w:eastAsia="en-US" w:bidi="ar-SA"/>
              </w:rPr>
            </w:pPr>
            <w:hyperlink r:id="rId42" w:history="1">
              <w:r w:rsidRPr="00B072FD">
                <w:rPr>
                  <w:rStyle w:val="Hyperlink"/>
                  <w:color w:val="0000FF"/>
                  <w:sz w:val="24"/>
                  <w:szCs w:val="24"/>
                  <w:u w:val="single"/>
                  <w:lang w:val="en-US" w:eastAsia="en-US" w:bidi="ar-SA"/>
                </w:rPr>
                <w:t>stnourse@aep.com</w:t>
              </w:r>
            </w:hyperlink>
          </w:p>
          <w:p w:rsidR="00737D84" w:rsidRPr="00B072FD" w:rsidP="00D37AD4" w14:paraId="0AEFF49B" w14:textId="77777777">
            <w:pPr>
              <w:rPr>
                <w:sz w:val="24"/>
                <w:szCs w:val="24"/>
                <w:lang w:val="en-US" w:eastAsia="en-US" w:bidi="ar-SA"/>
              </w:rPr>
            </w:pPr>
            <w:hyperlink r:id="rId43" w:history="1">
              <w:r w:rsidRPr="00B072FD">
                <w:rPr>
                  <w:rStyle w:val="Hyperlink"/>
                  <w:color w:val="0000FF"/>
                  <w:sz w:val="24"/>
                  <w:szCs w:val="24"/>
                  <w:u w:val="single"/>
                  <w:lang w:val="en-US" w:eastAsia="en-US" w:bidi="ar-SA"/>
                </w:rPr>
                <w:t>mjschuler@aep.com</w:t>
              </w:r>
            </w:hyperlink>
          </w:p>
          <w:p w:rsidR="00737D84" w:rsidRPr="00B072FD" w:rsidP="00D37AD4" w14:paraId="32878F3D" w14:textId="77777777">
            <w:pPr>
              <w:rPr>
                <w:bCs/>
                <w:sz w:val="24"/>
                <w:szCs w:val="24"/>
                <w:lang w:val="en-US" w:eastAsia="en-US" w:bidi="ar-SA"/>
              </w:rPr>
            </w:pPr>
            <w:hyperlink r:id="rId44" w:history="1">
              <w:r w:rsidRPr="00B072FD">
                <w:rPr>
                  <w:rStyle w:val="Hyperlink"/>
                  <w:color w:val="0000FF"/>
                  <w:sz w:val="24"/>
                  <w:szCs w:val="24"/>
                  <w:u w:val="single"/>
                  <w:lang w:val="en-US" w:eastAsia="en-US" w:bidi="ar-SA"/>
                </w:rPr>
                <w:t>egallon@porterwright.com</w:t>
              </w:r>
            </w:hyperlink>
          </w:p>
          <w:p w:rsidR="00737D84" w:rsidRPr="00B072FD" w:rsidP="00D37AD4" w14:paraId="158EE217" w14:textId="77777777">
            <w:pPr>
              <w:rPr>
                <w:bCs/>
                <w:sz w:val="24"/>
                <w:szCs w:val="24"/>
                <w:lang w:val="en-US" w:eastAsia="en-US" w:bidi="ar-SA"/>
              </w:rPr>
            </w:pPr>
            <w:hyperlink r:id="rId45" w:history="1">
              <w:r w:rsidRPr="00B072FD">
                <w:rPr>
                  <w:rStyle w:val="Hyperlink"/>
                  <w:color w:val="0000FF"/>
                  <w:sz w:val="24"/>
                  <w:szCs w:val="24"/>
                  <w:u w:val="single"/>
                  <w:lang w:val="en-US" w:eastAsia="en-US" w:bidi="ar-SA"/>
                </w:rPr>
                <w:t>christopher.miller@icemiller.com</w:t>
              </w:r>
            </w:hyperlink>
          </w:p>
          <w:p w:rsidR="00737D84" w:rsidRPr="00B072FD" w:rsidP="00D37AD4" w14:paraId="25845869" w14:textId="77777777">
            <w:pPr>
              <w:rPr>
                <w:bCs/>
                <w:sz w:val="24"/>
                <w:szCs w:val="24"/>
                <w:lang w:val="en-US" w:eastAsia="en-US" w:bidi="ar-SA"/>
              </w:rPr>
            </w:pPr>
            <w:hyperlink r:id="rId46" w:history="1">
              <w:r w:rsidRPr="00B072FD">
                <w:rPr>
                  <w:rStyle w:val="Hyperlink"/>
                  <w:color w:val="0000FF"/>
                  <w:sz w:val="24"/>
                  <w:szCs w:val="24"/>
                  <w:u w:val="single"/>
                  <w:lang w:val="en-US" w:eastAsia="en-US" w:bidi="ar-SA"/>
                </w:rPr>
                <w:t>matthew@msmckenzieltd.com</w:t>
              </w:r>
            </w:hyperlink>
          </w:p>
          <w:p w:rsidR="00737D84" w:rsidRPr="00B072FD" w:rsidP="00D37AD4" w14:paraId="614075A1" w14:textId="77777777">
            <w:pPr>
              <w:rPr>
                <w:bCs/>
                <w:sz w:val="24"/>
                <w:szCs w:val="24"/>
                <w:lang w:val="en-US" w:eastAsia="en-US" w:bidi="ar-SA"/>
              </w:rPr>
            </w:pPr>
            <w:hyperlink r:id="rId47" w:history="1">
              <w:r w:rsidRPr="00B072FD">
                <w:rPr>
                  <w:rStyle w:val="Hyperlink"/>
                  <w:color w:val="0000FF"/>
                  <w:sz w:val="24"/>
                  <w:szCs w:val="24"/>
                  <w:u w:val="single"/>
                  <w:lang w:val="en-US" w:eastAsia="en-US" w:bidi="ar-SA"/>
                </w:rPr>
                <w:t>dromig@armadapower.com</w:t>
              </w:r>
            </w:hyperlink>
          </w:p>
          <w:p w:rsidR="00737D84" w:rsidRPr="00B072FD" w:rsidP="00D37AD4" w14:paraId="00ED9841" w14:textId="77777777">
            <w:pPr>
              <w:rPr>
                <w:sz w:val="24"/>
                <w:szCs w:val="24"/>
                <w:lang w:val="en-US" w:eastAsia="en-US" w:bidi="ar-SA"/>
              </w:rPr>
            </w:pPr>
            <w:hyperlink r:id="rId48" w:history="1">
              <w:r w:rsidRPr="00B072FD">
                <w:rPr>
                  <w:rStyle w:val="Hyperlink"/>
                  <w:color w:val="0000FF"/>
                  <w:sz w:val="24"/>
                  <w:szCs w:val="24"/>
                  <w:u w:val="single"/>
                  <w:lang w:val="en-US" w:eastAsia="en-US" w:bidi="ar-SA"/>
                </w:rPr>
                <w:t>bojko@carpenterlipps.com</w:t>
              </w:r>
            </w:hyperlink>
          </w:p>
          <w:p w:rsidR="00737D84" w:rsidRPr="00B072FD" w:rsidP="00D37AD4" w14:paraId="35F6A545" w14:textId="77777777">
            <w:pPr>
              <w:rPr>
                <w:sz w:val="24"/>
                <w:szCs w:val="24"/>
                <w:lang w:val="en-US" w:eastAsia="en-US" w:bidi="ar-SA"/>
              </w:rPr>
            </w:pPr>
            <w:hyperlink r:id="rId49" w:history="1">
              <w:r w:rsidRPr="00B072FD">
                <w:rPr>
                  <w:rStyle w:val="Hyperlink"/>
                  <w:color w:val="0000FF"/>
                  <w:sz w:val="24"/>
                  <w:szCs w:val="24"/>
                  <w:u w:val="single"/>
                  <w:lang w:val="en-US" w:eastAsia="en-US" w:bidi="ar-SA"/>
                </w:rPr>
                <w:t>easley@carpenterlipps.com</w:t>
              </w:r>
            </w:hyperlink>
          </w:p>
          <w:p w:rsidR="00737D84" w:rsidRPr="00B072FD" w:rsidP="00D37AD4" w14:paraId="522F0FA0" w14:textId="77777777">
            <w:pPr>
              <w:rPr>
                <w:rStyle w:val="Hyperlink"/>
                <w:bCs/>
                <w:color w:val="0000FF"/>
                <w:sz w:val="24"/>
                <w:szCs w:val="24"/>
                <w:u w:val="single"/>
                <w:lang w:val="en-US" w:eastAsia="en-US" w:bidi="ar-SA"/>
              </w:rPr>
            </w:pPr>
            <w:hyperlink r:id="rId50" w:history="1">
              <w:r w:rsidRPr="00B072FD">
                <w:rPr>
                  <w:rStyle w:val="Hyperlink"/>
                  <w:color w:val="0000FF"/>
                  <w:sz w:val="24"/>
                  <w:szCs w:val="24"/>
                  <w:u w:val="single"/>
                  <w:lang w:val="en-US" w:eastAsia="en-US" w:bidi="ar-SA"/>
                </w:rPr>
                <w:t>tdougherty@theoec.org</w:t>
              </w:r>
            </w:hyperlink>
          </w:p>
          <w:p w:rsidR="00737D84" w:rsidRPr="00B072FD" w:rsidP="00D37AD4" w14:paraId="72773DF8" w14:textId="77777777">
            <w:pPr>
              <w:rPr>
                <w:rStyle w:val="Hyperlink"/>
                <w:color w:val="0000FF"/>
                <w:sz w:val="24"/>
                <w:szCs w:val="24"/>
                <w:u w:val="single"/>
                <w:lang w:val="en-US" w:eastAsia="en-US" w:bidi="ar-SA"/>
              </w:rPr>
            </w:pPr>
            <w:hyperlink r:id="rId51" w:history="1">
              <w:r w:rsidRPr="00B072FD">
                <w:rPr>
                  <w:rStyle w:val="Hyperlink"/>
                  <w:color w:val="0000FF"/>
                  <w:sz w:val="24"/>
                  <w:szCs w:val="24"/>
                  <w:u w:val="single"/>
                  <w:lang w:val="en-US" w:eastAsia="en-US" w:bidi="ar-SA"/>
                </w:rPr>
                <w:t>paul@carpenterlipps.com</w:t>
              </w:r>
            </w:hyperlink>
          </w:p>
          <w:p w:rsidR="00737D84" w:rsidRPr="00B072FD" w:rsidP="00D37AD4" w14:paraId="639152EB" w14:textId="77777777">
            <w:pPr>
              <w:rPr>
                <w:bCs/>
                <w:sz w:val="24"/>
                <w:szCs w:val="24"/>
                <w:lang w:val="en-US" w:eastAsia="en-US" w:bidi="ar-SA"/>
              </w:rPr>
            </w:pPr>
            <w:hyperlink r:id="rId52" w:history="1">
              <w:r w:rsidRPr="00B072FD">
                <w:rPr>
                  <w:rStyle w:val="Hyperlink"/>
                  <w:bCs/>
                  <w:color w:val="0000FF"/>
                  <w:sz w:val="24"/>
                  <w:szCs w:val="24"/>
                  <w:u w:val="single"/>
                  <w:lang w:val="en-US" w:eastAsia="en-US" w:bidi="ar-SA"/>
                </w:rPr>
                <w:t>wilcox@carpenterlipps.com</w:t>
              </w:r>
            </w:hyperlink>
          </w:p>
          <w:p w:rsidR="00737D84" w:rsidRPr="00B072FD" w:rsidP="00D37AD4" w14:paraId="5926FD14" w14:textId="77777777">
            <w:pPr>
              <w:rPr>
                <w:bCs/>
                <w:sz w:val="24"/>
                <w:szCs w:val="24"/>
                <w:lang w:val="en-US" w:eastAsia="en-US" w:bidi="ar-SA"/>
              </w:rPr>
            </w:pPr>
            <w:hyperlink r:id="rId53" w:history="1">
              <w:r w:rsidRPr="00B072FD">
                <w:rPr>
                  <w:rStyle w:val="Hyperlink"/>
                  <w:color w:val="0000FF"/>
                  <w:sz w:val="24"/>
                  <w:szCs w:val="24"/>
                  <w:u w:val="single"/>
                  <w:lang w:val="en-US" w:eastAsia="en-US" w:bidi="ar-SA"/>
                </w:rPr>
                <w:t>emcconnell@elpc.org</w:t>
              </w:r>
            </w:hyperlink>
          </w:p>
          <w:p w:rsidR="00737D84" w:rsidRPr="00B072FD" w:rsidP="00D37AD4" w14:paraId="47C7BDD5" w14:textId="77777777">
            <w:pPr>
              <w:rPr>
                <w:bCs/>
                <w:sz w:val="24"/>
                <w:szCs w:val="24"/>
                <w:lang w:val="en-US" w:eastAsia="en-US" w:bidi="ar-SA"/>
              </w:rPr>
            </w:pPr>
            <w:hyperlink r:id="rId54" w:history="1">
              <w:r w:rsidRPr="00B072FD">
                <w:rPr>
                  <w:rStyle w:val="Hyperlink"/>
                  <w:color w:val="0000FF"/>
                  <w:sz w:val="24"/>
                  <w:szCs w:val="24"/>
                  <w:u w:val="single"/>
                  <w:lang w:val="en-US" w:eastAsia="en-US" w:bidi="ar-SA"/>
                </w:rPr>
                <w:t>rkelter@elpc.org</w:t>
              </w:r>
            </w:hyperlink>
          </w:p>
          <w:p w:rsidR="00737D84" w:rsidRPr="00B072FD" w:rsidP="00D37AD4" w14:paraId="54CA7EDA" w14:textId="77777777">
            <w:pPr>
              <w:rPr>
                <w:bCs/>
                <w:sz w:val="24"/>
                <w:szCs w:val="24"/>
                <w:lang w:val="en-US" w:eastAsia="en-US" w:bidi="ar-SA"/>
              </w:rPr>
            </w:pPr>
            <w:hyperlink r:id="rId55" w:history="1">
              <w:r w:rsidRPr="00B072FD">
                <w:rPr>
                  <w:rStyle w:val="Hyperlink"/>
                  <w:color w:val="0000FF"/>
                  <w:sz w:val="24"/>
                  <w:szCs w:val="24"/>
                  <w:u w:val="single"/>
                  <w:lang w:val="en-US" w:eastAsia="en-US" w:bidi="ar-SA"/>
                </w:rPr>
                <w:t>stacie.cathcart@igs.com</w:t>
              </w:r>
            </w:hyperlink>
          </w:p>
          <w:p w:rsidR="00737D84" w:rsidRPr="00B072FD" w:rsidP="00D37AD4" w14:paraId="77714F4D" w14:textId="77777777">
            <w:pPr>
              <w:rPr>
                <w:bCs/>
                <w:sz w:val="24"/>
                <w:szCs w:val="24"/>
                <w:lang w:val="en-US" w:eastAsia="en-US" w:bidi="ar-SA"/>
              </w:rPr>
            </w:pPr>
            <w:hyperlink r:id="rId56" w:history="1">
              <w:r w:rsidRPr="00B072FD">
                <w:rPr>
                  <w:rStyle w:val="Hyperlink"/>
                  <w:color w:val="0000FF"/>
                  <w:sz w:val="24"/>
                  <w:szCs w:val="24"/>
                  <w:u w:val="single"/>
                  <w:lang w:val="en-US" w:eastAsia="en-US" w:bidi="ar-SA"/>
                </w:rPr>
                <w:t>evan.betterton@igs.com</w:t>
              </w:r>
            </w:hyperlink>
          </w:p>
          <w:p w:rsidR="00737D84" w:rsidRPr="00B072FD" w:rsidP="00D37AD4" w14:paraId="50FC4292" w14:textId="77777777">
            <w:pPr>
              <w:rPr>
                <w:rStyle w:val="Hyperlink"/>
                <w:color w:val="0000FF"/>
                <w:sz w:val="24"/>
                <w:szCs w:val="24"/>
                <w:u w:val="single"/>
                <w:lang w:val="en-US" w:eastAsia="en-US" w:bidi="ar-SA"/>
              </w:rPr>
            </w:pPr>
            <w:hyperlink r:id="rId57" w:history="1">
              <w:r w:rsidRPr="00B072FD">
                <w:rPr>
                  <w:rStyle w:val="Hyperlink"/>
                  <w:color w:val="0000FF"/>
                  <w:sz w:val="24"/>
                  <w:szCs w:val="24"/>
                  <w:u w:val="single"/>
                  <w:lang w:val="en-US" w:eastAsia="en-US" w:bidi="ar-SA"/>
                </w:rPr>
                <w:t>michael.nugent@igs.com</w:t>
              </w:r>
            </w:hyperlink>
          </w:p>
          <w:p w:rsidR="008B64C9" w:rsidRPr="00B072FD" w:rsidP="00D37AD4" w14:paraId="29ED892B" w14:textId="12A93008">
            <w:pPr>
              <w:rPr>
                <w:rStyle w:val="Hyperlink"/>
                <w:color w:val="0000FF"/>
                <w:sz w:val="24"/>
                <w:szCs w:val="24"/>
                <w:u w:val="single"/>
                <w:lang w:val="en-US" w:eastAsia="en-US" w:bidi="ar-SA"/>
              </w:rPr>
            </w:pPr>
            <w:r w:rsidRPr="00B072FD">
              <w:rPr>
                <w:rStyle w:val="Hyperlink"/>
                <w:color w:val="0000FF"/>
                <w:sz w:val="24"/>
                <w:szCs w:val="24"/>
                <w:u w:val="single"/>
                <w:lang w:val="en-US" w:eastAsia="en-US" w:bidi="ar-SA"/>
              </w:rPr>
              <w:t>Joe.Oliker@igs.com</w:t>
            </w:r>
          </w:p>
          <w:p w:rsidR="00737D84" w:rsidRPr="00B072FD" w:rsidP="00D37AD4" w14:paraId="7892AFC8" w14:textId="77777777">
            <w:pPr>
              <w:rPr>
                <w:rStyle w:val="Hyperlink"/>
                <w:bCs/>
                <w:color w:val="0000FF"/>
                <w:sz w:val="24"/>
                <w:szCs w:val="24"/>
                <w:u w:val="single"/>
                <w:lang w:val="en-US" w:eastAsia="en-US" w:bidi="ar-SA"/>
              </w:rPr>
            </w:pPr>
            <w:r w:rsidRPr="00B072FD">
              <w:rPr>
                <w:rStyle w:val="Hyperlink"/>
                <w:bCs/>
                <w:color w:val="0000FF"/>
                <w:sz w:val="24"/>
                <w:szCs w:val="24"/>
                <w:u w:val="single"/>
                <w:lang w:val="en-US" w:eastAsia="en-US" w:bidi="ar-SA"/>
              </w:rPr>
              <w:t>jlang@calfee.com</w:t>
            </w:r>
          </w:p>
          <w:p w:rsidR="00737D84" w:rsidRPr="00B072FD" w:rsidP="00D37AD4" w14:paraId="2E6E7635" w14:textId="77777777">
            <w:pPr>
              <w:rPr>
                <w:sz w:val="24"/>
                <w:szCs w:val="24"/>
                <w:lang w:val="en-US" w:eastAsia="en-US" w:bidi="ar-SA"/>
              </w:rPr>
            </w:pPr>
            <w:hyperlink r:id="rId58" w:history="1">
              <w:r w:rsidRPr="00B072FD">
                <w:rPr>
                  <w:rStyle w:val="Hyperlink"/>
                  <w:color w:val="0000FF"/>
                  <w:sz w:val="24"/>
                  <w:szCs w:val="24"/>
                  <w:u w:val="single"/>
                  <w:lang w:val="en-US" w:eastAsia="en-US" w:bidi="ar-SA"/>
                </w:rPr>
                <w:t>dparram@brickergraydon.com</w:t>
              </w:r>
            </w:hyperlink>
          </w:p>
          <w:p w:rsidR="00737D84" w:rsidRPr="00B072FD" w:rsidP="00D37AD4" w14:paraId="5EB98E1E" w14:textId="77777777">
            <w:pPr>
              <w:rPr>
                <w:sz w:val="24"/>
                <w:szCs w:val="24"/>
                <w:lang w:val="en-US" w:eastAsia="en-US" w:bidi="ar-SA"/>
              </w:rPr>
            </w:pPr>
            <w:hyperlink r:id="rId59" w:history="1">
              <w:r w:rsidRPr="00B072FD">
                <w:rPr>
                  <w:rStyle w:val="Hyperlink"/>
                  <w:color w:val="0000FF"/>
                  <w:sz w:val="24"/>
                  <w:szCs w:val="24"/>
                  <w:u w:val="single"/>
                  <w:lang w:val="en-US" w:eastAsia="en-US" w:bidi="ar-SA"/>
                </w:rPr>
                <w:t>dborchers@brickergraydon.com</w:t>
              </w:r>
            </w:hyperlink>
          </w:p>
          <w:p w:rsidR="00737D84" w:rsidRPr="00B072FD" w:rsidP="00D37AD4" w14:paraId="0F8DFDF4" w14:textId="77777777">
            <w:pPr>
              <w:rPr>
                <w:sz w:val="24"/>
                <w:szCs w:val="24"/>
                <w:lang w:val="en-US" w:eastAsia="en-US" w:bidi="ar-SA"/>
              </w:rPr>
            </w:pPr>
            <w:hyperlink r:id="rId60" w:history="1">
              <w:r w:rsidRPr="00B072FD">
                <w:rPr>
                  <w:rStyle w:val="Hyperlink"/>
                  <w:color w:val="0000FF"/>
                  <w:sz w:val="24"/>
                  <w:szCs w:val="24"/>
                  <w:u w:val="single"/>
                  <w:lang w:val="en-US" w:eastAsia="en-US" w:bidi="ar-SA"/>
                </w:rPr>
                <w:t>rmains@brickergraydon.com</w:t>
              </w:r>
            </w:hyperlink>
          </w:p>
          <w:p w:rsidR="00737D84" w:rsidRPr="00B072FD" w:rsidP="00D37AD4" w14:paraId="55542014" w14:textId="77777777">
            <w:pPr>
              <w:rPr>
                <w:bCs/>
                <w:sz w:val="24"/>
                <w:szCs w:val="24"/>
                <w:lang w:val="en-US" w:eastAsia="en-US" w:bidi="ar-SA"/>
              </w:rPr>
            </w:pPr>
            <w:hyperlink r:id="rId61" w:history="1">
              <w:r w:rsidRPr="00B072FD">
                <w:rPr>
                  <w:rStyle w:val="Hyperlink"/>
                  <w:color w:val="0000FF"/>
                  <w:sz w:val="24"/>
                  <w:szCs w:val="24"/>
                  <w:u w:val="single"/>
                  <w:lang w:val="en-US" w:eastAsia="en-US" w:bidi="ar-SA"/>
                </w:rPr>
                <w:t>kherrnstein@bricker.com</w:t>
              </w:r>
            </w:hyperlink>
          </w:p>
          <w:p w:rsidR="00737D84" w:rsidRPr="00B072FD" w:rsidP="00D37AD4" w14:paraId="175F8013" w14:textId="77777777">
            <w:pPr>
              <w:rPr>
                <w:bCs/>
                <w:sz w:val="24"/>
                <w:szCs w:val="24"/>
                <w:lang w:val="en-US" w:eastAsia="en-US" w:bidi="ar-SA"/>
              </w:rPr>
            </w:pPr>
            <w:hyperlink r:id="rId62" w:history="1">
              <w:r w:rsidRPr="00B072FD">
                <w:rPr>
                  <w:rStyle w:val="Hyperlink"/>
                  <w:color w:val="0000FF"/>
                  <w:sz w:val="24"/>
                  <w:szCs w:val="24"/>
                  <w:u w:val="single"/>
                  <w:lang w:val="en-US" w:eastAsia="en-US" w:bidi="ar-SA"/>
                </w:rPr>
                <w:t>dproano@bakerlaw.com</w:t>
              </w:r>
            </w:hyperlink>
          </w:p>
          <w:p w:rsidR="00737D84" w:rsidRPr="00B072FD" w:rsidP="00D37AD4" w14:paraId="45C12674" w14:textId="77777777">
            <w:pPr>
              <w:rPr>
                <w:bCs/>
                <w:sz w:val="24"/>
                <w:szCs w:val="24"/>
                <w:lang w:val="en-US" w:eastAsia="en-US" w:bidi="ar-SA"/>
              </w:rPr>
            </w:pPr>
            <w:hyperlink r:id="rId63" w:history="1">
              <w:r w:rsidRPr="00B072FD">
                <w:rPr>
                  <w:rStyle w:val="Hyperlink"/>
                  <w:color w:val="0000FF"/>
                  <w:sz w:val="24"/>
                  <w:szCs w:val="24"/>
                  <w:u w:val="single"/>
                  <w:lang w:val="en-US" w:eastAsia="en-US" w:bidi="ar-SA"/>
                </w:rPr>
                <w:t>ahaque@bakerlaw.com</w:t>
              </w:r>
            </w:hyperlink>
          </w:p>
          <w:p w:rsidR="00737D84" w:rsidRPr="00B072FD" w:rsidP="00D37AD4" w14:paraId="1DED09E8" w14:textId="77777777">
            <w:pPr>
              <w:rPr>
                <w:rStyle w:val="Hyperlink"/>
                <w:bCs/>
                <w:color w:val="0000FF"/>
                <w:sz w:val="24"/>
                <w:szCs w:val="24"/>
                <w:u w:val="single"/>
                <w:lang w:val="en-US" w:eastAsia="en-US" w:bidi="ar-SA"/>
              </w:rPr>
            </w:pPr>
            <w:hyperlink r:id="rId64" w:history="1">
              <w:r w:rsidRPr="00B072FD">
                <w:rPr>
                  <w:rStyle w:val="Hyperlink"/>
                  <w:color w:val="0000FF"/>
                  <w:sz w:val="24"/>
                  <w:szCs w:val="24"/>
                  <w:u w:val="single"/>
                  <w:lang w:val="en-US" w:eastAsia="en-US" w:bidi="ar-SA"/>
                </w:rPr>
                <w:t>eprouty@bakerlaw.com</w:t>
              </w:r>
            </w:hyperlink>
          </w:p>
          <w:p w:rsidR="00737D84" w:rsidRPr="00B072FD" w:rsidP="00D37AD4" w14:paraId="29A1D3FD" w14:textId="77777777">
            <w:pPr>
              <w:rPr>
                <w:rStyle w:val="Hyperlink"/>
                <w:bCs/>
                <w:color w:val="0000FF"/>
                <w:sz w:val="24"/>
                <w:szCs w:val="24"/>
                <w:u w:val="single"/>
                <w:lang w:val="en-US" w:eastAsia="en-US" w:bidi="ar-SA"/>
              </w:rPr>
            </w:pPr>
            <w:r w:rsidRPr="00B072FD">
              <w:rPr>
                <w:rStyle w:val="Hyperlink"/>
                <w:color w:val="0000FF"/>
                <w:sz w:val="24"/>
                <w:szCs w:val="24"/>
                <w:u w:val="single"/>
                <w:lang w:val="en-US" w:eastAsia="en-US" w:bidi="ar-SA"/>
              </w:rPr>
              <w:t>pwillison@bakerlaw.com</w:t>
            </w:r>
          </w:p>
          <w:p w:rsidR="00737D84" w:rsidRPr="00B072FD" w:rsidP="00D37AD4" w14:paraId="404E480F" w14:textId="77777777">
            <w:pPr>
              <w:rPr>
                <w:rStyle w:val="Hyperlink"/>
                <w:bCs/>
                <w:color w:val="0000FF"/>
                <w:sz w:val="24"/>
                <w:szCs w:val="24"/>
                <w:u w:val="single"/>
                <w:lang w:val="en-US" w:eastAsia="en-US" w:bidi="ar-SA"/>
              </w:rPr>
            </w:pPr>
            <w:hyperlink r:id="rId65" w:history="1">
              <w:r w:rsidRPr="00B072FD">
                <w:rPr>
                  <w:rStyle w:val="Hyperlink"/>
                  <w:color w:val="0000FF"/>
                  <w:sz w:val="24"/>
                  <w:szCs w:val="24"/>
                  <w:u w:val="single"/>
                  <w:lang w:val="en-US" w:eastAsia="en-US" w:bidi="ar-SA"/>
                </w:rPr>
                <w:t>Fdarr2019@gmail.com</w:t>
              </w:r>
            </w:hyperlink>
          </w:p>
          <w:p w:rsidR="00737D84" w:rsidRPr="00B072FD" w:rsidP="00D37AD4" w14:paraId="162F354D" w14:textId="77777777">
            <w:pPr>
              <w:rPr>
                <w:bCs/>
                <w:sz w:val="24"/>
                <w:szCs w:val="24"/>
                <w:lang w:val="en-US" w:eastAsia="en-US" w:bidi="ar-SA"/>
              </w:rPr>
            </w:pPr>
            <w:hyperlink r:id="rId66" w:history="1">
              <w:r w:rsidRPr="00B072FD">
                <w:rPr>
                  <w:rStyle w:val="Hyperlink"/>
                  <w:color w:val="0000FF"/>
                  <w:sz w:val="24"/>
                  <w:szCs w:val="24"/>
                  <w:u w:val="single"/>
                  <w:lang w:val="en-US" w:eastAsia="en-US" w:bidi="ar-SA"/>
                </w:rPr>
                <w:t>dstinson@bricker.com</w:t>
              </w:r>
            </w:hyperlink>
          </w:p>
          <w:p w:rsidR="00737D84" w:rsidRPr="00B072FD" w:rsidP="00D37AD4" w14:paraId="2C1C9A40" w14:textId="77777777">
            <w:pPr>
              <w:rPr>
                <w:rStyle w:val="Hyperlink"/>
                <w:bCs/>
                <w:color w:val="0000FF"/>
                <w:sz w:val="24"/>
                <w:szCs w:val="24"/>
                <w:u w:val="single"/>
                <w:lang w:val="en-US" w:eastAsia="en-US" w:bidi="ar-SA"/>
              </w:rPr>
            </w:pPr>
            <w:hyperlink r:id="rId67" w:history="1">
              <w:r w:rsidRPr="00B072FD">
                <w:rPr>
                  <w:rStyle w:val="Hyperlink"/>
                  <w:color w:val="0000FF"/>
                  <w:sz w:val="24"/>
                  <w:szCs w:val="24"/>
                  <w:u w:val="single"/>
                  <w:lang w:val="en-US" w:eastAsia="en-US" w:bidi="ar-SA"/>
                </w:rPr>
                <w:t>gkrassen@nopec.org</w:t>
              </w:r>
            </w:hyperlink>
          </w:p>
          <w:p w:rsidR="00737D84" w:rsidRPr="00B072FD" w:rsidP="00D37AD4" w14:paraId="60564378" w14:textId="77777777">
            <w:pPr>
              <w:rPr>
                <w:sz w:val="24"/>
                <w:szCs w:val="24"/>
                <w:lang w:val="en-US" w:eastAsia="en-US" w:bidi="ar-SA"/>
              </w:rPr>
            </w:pPr>
            <w:hyperlink r:id="rId68" w:history="1">
              <w:r w:rsidRPr="00B072FD">
                <w:rPr>
                  <w:rStyle w:val="Hyperlink"/>
                  <w:color w:val="0000FF"/>
                  <w:sz w:val="24"/>
                  <w:szCs w:val="24"/>
                  <w:u w:val="single"/>
                  <w:lang w:val="en-US" w:eastAsia="en-US" w:bidi="ar-SA"/>
                </w:rPr>
                <w:t>todonnell@dickinsonwright.com</w:t>
              </w:r>
            </w:hyperlink>
          </w:p>
          <w:p w:rsidR="00737D84" w:rsidRPr="00B072FD" w:rsidP="00D37AD4" w14:paraId="6867319A" w14:textId="77777777">
            <w:pPr>
              <w:rPr>
                <w:bCs/>
                <w:sz w:val="24"/>
                <w:szCs w:val="24"/>
                <w:lang w:val="en-US" w:eastAsia="en-US" w:bidi="ar-SA"/>
              </w:rPr>
            </w:pPr>
            <w:hyperlink r:id="rId69" w:history="1">
              <w:r w:rsidRPr="00B072FD">
                <w:rPr>
                  <w:rStyle w:val="Hyperlink"/>
                  <w:color w:val="0000FF"/>
                  <w:sz w:val="24"/>
                  <w:szCs w:val="24"/>
                  <w:u w:val="single"/>
                  <w:lang w:val="en-US" w:eastAsia="en-US" w:bidi="ar-SA"/>
                </w:rPr>
                <w:t>kshimp@dickinsonwright.com</w:t>
              </w:r>
            </w:hyperlink>
          </w:p>
        </w:tc>
      </w:tr>
    </w:tbl>
    <w:p w:rsidR="007744C6" w:rsidRPr="00B072FD" w:rsidP="007862A9" w14:paraId="400296DC" w14:textId="77777777">
      <w:pPr>
        <w:tabs>
          <w:tab w:val="left" w:pos="8730"/>
        </w:tabs>
        <w:ind w:left="4320"/>
        <w:rPr>
          <w:color w:val="0000FF"/>
          <w:szCs w:val="24"/>
        </w:rPr>
      </w:pPr>
    </w:p>
    <w:sectPr w:rsidSect="009B01CD">
      <w:footerReference w:type="first" r:id="rId7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3DC" w14:paraId="0F6A2C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6593812"/>
      <w:docPartObj>
        <w:docPartGallery w:val="Page Numbers (Bottom of Page)"/>
        <w:docPartUnique/>
      </w:docPartObj>
    </w:sdtPr>
    <w:sdtEndPr>
      <w:rPr>
        <w:noProof/>
        <w:sz w:val="24"/>
        <w:szCs w:val="24"/>
      </w:rPr>
    </w:sdtEndPr>
    <w:sdtContent>
      <w:p w:rsidR="009B01CD" w:rsidRPr="009B01CD" w14:paraId="3E7268F6" w14:textId="5666A783">
        <w:pPr>
          <w:pStyle w:val="Footer"/>
          <w:jc w:val="center"/>
          <w:rPr>
            <w:sz w:val="24"/>
            <w:szCs w:val="24"/>
          </w:rPr>
        </w:pPr>
        <w:r w:rsidRPr="009B01CD">
          <w:rPr>
            <w:sz w:val="24"/>
            <w:szCs w:val="24"/>
          </w:rPr>
          <w:fldChar w:fldCharType="begin"/>
        </w:r>
        <w:r w:rsidRPr="009B01CD">
          <w:rPr>
            <w:sz w:val="24"/>
            <w:szCs w:val="24"/>
          </w:rPr>
          <w:instrText xml:space="preserve"> PAGE   \* MERGEFORMAT </w:instrText>
        </w:r>
        <w:r w:rsidRPr="009B01CD">
          <w:rPr>
            <w:sz w:val="24"/>
            <w:szCs w:val="24"/>
          </w:rPr>
          <w:fldChar w:fldCharType="separate"/>
        </w:r>
        <w:r w:rsidRPr="009B01CD">
          <w:rPr>
            <w:noProof/>
            <w:sz w:val="24"/>
            <w:szCs w:val="24"/>
          </w:rPr>
          <w:t>2</w:t>
        </w:r>
        <w:r w:rsidRPr="009B01CD">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3631" w:rsidRPr="00943631" w14:paraId="445C279B" w14:textId="575AA9C6">
    <w:pPr>
      <w:pStyle w:val="Foote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6378435"/>
      <w:docPartObj>
        <w:docPartGallery w:val="Page Numbers (Bottom of Page)"/>
        <w:docPartUnique/>
      </w:docPartObj>
    </w:sdtPr>
    <w:sdtEndPr>
      <w:rPr>
        <w:noProof/>
        <w:sz w:val="24"/>
        <w:szCs w:val="24"/>
      </w:rPr>
    </w:sdtEndPr>
    <w:sdtContent>
      <w:p w:rsidR="00F675C4" w:rsidRPr="00F675C4" w14:paraId="05587F94" w14:textId="2A810E3E">
        <w:pPr>
          <w:pStyle w:val="Footer"/>
          <w:jc w:val="center"/>
          <w:rPr>
            <w:sz w:val="24"/>
            <w:szCs w:val="24"/>
          </w:rPr>
        </w:pPr>
        <w:r w:rsidRPr="00F675C4">
          <w:rPr>
            <w:sz w:val="24"/>
            <w:szCs w:val="24"/>
          </w:rPr>
          <w:fldChar w:fldCharType="begin"/>
        </w:r>
        <w:r w:rsidRPr="00F675C4">
          <w:rPr>
            <w:sz w:val="24"/>
            <w:szCs w:val="24"/>
          </w:rPr>
          <w:instrText xml:space="preserve"> PAGE   \* MERGEFORMAT </w:instrText>
        </w:r>
        <w:r w:rsidRPr="00F675C4">
          <w:rPr>
            <w:sz w:val="24"/>
            <w:szCs w:val="24"/>
          </w:rPr>
          <w:fldChar w:fldCharType="separate"/>
        </w:r>
        <w:r w:rsidRPr="00F675C4">
          <w:rPr>
            <w:noProof/>
            <w:sz w:val="24"/>
            <w:szCs w:val="24"/>
          </w:rPr>
          <w:t>2</w:t>
        </w:r>
        <w:r w:rsidRPr="00F675C4">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4680759"/>
      <w:docPartObj>
        <w:docPartGallery w:val="Page Numbers (Bottom of Page)"/>
        <w:docPartUnique/>
      </w:docPartObj>
    </w:sdtPr>
    <w:sdtEndPr>
      <w:rPr>
        <w:noProof/>
        <w:sz w:val="24"/>
        <w:szCs w:val="24"/>
      </w:rPr>
    </w:sdtEndPr>
    <w:sdtContent>
      <w:p w:rsidR="00C8681E" w:rsidRPr="00C8681E" w14:paraId="20844AF1" w14:textId="00D20B18">
        <w:pPr>
          <w:pStyle w:val="Footer"/>
          <w:jc w:val="center"/>
          <w:rPr>
            <w:sz w:val="24"/>
            <w:szCs w:val="24"/>
          </w:rPr>
        </w:pPr>
        <w:r w:rsidRPr="00C8681E">
          <w:rPr>
            <w:sz w:val="24"/>
            <w:szCs w:val="24"/>
          </w:rPr>
          <w:fldChar w:fldCharType="begin"/>
        </w:r>
        <w:r w:rsidRPr="00C8681E">
          <w:rPr>
            <w:sz w:val="24"/>
            <w:szCs w:val="24"/>
          </w:rPr>
          <w:instrText xml:space="preserve"> PAGE   \* MERGEFORMAT </w:instrText>
        </w:r>
        <w:r w:rsidRPr="00C8681E">
          <w:rPr>
            <w:sz w:val="24"/>
            <w:szCs w:val="24"/>
          </w:rPr>
          <w:fldChar w:fldCharType="separate"/>
        </w:r>
        <w:r w:rsidRPr="00C8681E">
          <w:rPr>
            <w:noProof/>
            <w:sz w:val="24"/>
            <w:szCs w:val="24"/>
          </w:rPr>
          <w:t>2</w:t>
        </w:r>
        <w:r w:rsidRPr="00C868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67F3" w14:paraId="12689F19" w14:textId="77777777">
      <w:r>
        <w:separator/>
      </w:r>
    </w:p>
  </w:footnote>
  <w:footnote w:type="continuationSeparator" w:id="1">
    <w:p w:rsidR="00DB67F3" w14:paraId="337B6187" w14:textId="77777777">
      <w:r>
        <w:continuationSeparator/>
      </w:r>
    </w:p>
  </w:footnote>
  <w:footnote w:id="2">
    <w:p w:rsidR="00576D0C" w:rsidP="005031F7" w14:paraId="1116783E" w14:textId="4D549EDA">
      <w:pPr>
        <w:pStyle w:val="FootnoteText"/>
        <w:spacing w:after="120"/>
      </w:pPr>
      <w:r>
        <w:rPr>
          <w:rStyle w:val="FootnoteReference"/>
        </w:rPr>
        <w:footnoteRef/>
      </w:r>
      <w:r>
        <w:t xml:space="preserve"> </w:t>
      </w:r>
      <w:r w:rsidR="009B0F10">
        <w:t xml:space="preserve">Joint </w:t>
      </w:r>
      <w:r>
        <w:t xml:space="preserve">Stipulation and Recommendation (September </w:t>
      </w:r>
      <w:r w:rsidR="009B0F10">
        <w:t>6</w:t>
      </w:r>
      <w:r>
        <w:t>, 202</w:t>
      </w:r>
      <w:r w:rsidR="009B0F10">
        <w:t>3</w:t>
      </w:r>
      <w:r>
        <w:t>)</w:t>
      </w:r>
      <w:r w:rsidR="00457C92">
        <w:t xml:space="preserve"> (</w:t>
      </w:r>
      <w:r w:rsidR="002A65C1">
        <w:t>the “S</w:t>
      </w:r>
      <w:r w:rsidR="00457C92">
        <w:t>ettlement” or “</w:t>
      </w:r>
      <w:r w:rsidR="002A65C1">
        <w:t>S</w:t>
      </w:r>
      <w:r w:rsidR="00457C92">
        <w:t>tipulation”)</w:t>
      </w:r>
      <w:r>
        <w:t>.</w:t>
      </w:r>
    </w:p>
  </w:footnote>
  <w:footnote w:id="3">
    <w:p w:rsidR="00457C92" w:rsidP="005031F7" w14:paraId="2129D583" w14:textId="50C1CD08">
      <w:pPr>
        <w:pStyle w:val="FootnoteText"/>
        <w:spacing w:after="120"/>
      </w:pPr>
      <w:r>
        <w:rPr>
          <w:rStyle w:val="FootnoteReference"/>
        </w:rPr>
        <w:footnoteRef/>
      </w:r>
      <w:r>
        <w:t xml:space="preserve"> Consumers’ Counsel v. Pub. Util. Comm’n. (1992), 64 Ohio St.3d 123, 126.</w:t>
      </w:r>
    </w:p>
  </w:footnote>
  <w:footnote w:id="4">
    <w:p w:rsidR="005E300E" w:rsidRPr="002A4F86" w:rsidP="005031F7" w14:paraId="17DC8106" w14:textId="064BD70C">
      <w:pPr>
        <w:pStyle w:val="FootnoteText"/>
        <w:spacing w:after="120"/>
      </w:pPr>
      <w:r w:rsidRPr="002A4F86">
        <w:rPr>
          <w:rStyle w:val="FootnoteReference"/>
        </w:rPr>
        <w:footnoteRef/>
      </w:r>
      <w:r w:rsidRPr="002A4F86">
        <w:t xml:space="preserve"> AEP </w:t>
      </w:r>
      <w:r w:rsidR="0033187F">
        <w:t xml:space="preserve">Ohio’s </w:t>
      </w:r>
      <w:r w:rsidRPr="002A4F86">
        <w:t>Motion to Strike at 7.</w:t>
      </w:r>
    </w:p>
  </w:footnote>
  <w:footnote w:id="5">
    <w:p w:rsidR="005E300E" w:rsidRPr="002A4F86" w:rsidP="005031F7" w14:paraId="014E820C" w14:textId="621ABDB3">
      <w:pPr>
        <w:pStyle w:val="FootnoteText"/>
        <w:spacing w:after="120"/>
      </w:pPr>
      <w:r w:rsidRPr="002A4F86">
        <w:rPr>
          <w:rStyle w:val="FootnoteReference"/>
        </w:rPr>
        <w:footnoteRef/>
      </w:r>
      <w:r w:rsidRPr="002A4F86">
        <w:t xml:space="preserve"> </w:t>
      </w:r>
      <w:r w:rsidRPr="002A4F86">
        <w:rPr>
          <w:i/>
        </w:rPr>
        <w:t>State v. Nemeth</w:t>
      </w:r>
      <w:r w:rsidRPr="002A4F86">
        <w:t xml:space="preserve"> (1998), 82 Ohio St.3d 202, 207, 1998 Ohio 376, 694 N.E.2d 1332.</w:t>
      </w:r>
    </w:p>
  </w:footnote>
  <w:footnote w:id="6">
    <w:p w:rsidR="005E300E" w:rsidRPr="002A4F86" w:rsidP="005031F7" w14:paraId="3BDFC90C" w14:textId="77777777">
      <w:pPr>
        <w:pStyle w:val="FootnoteText"/>
        <w:spacing w:after="120"/>
      </w:pPr>
      <w:r w:rsidRPr="002A4F86">
        <w:rPr>
          <w:rStyle w:val="FootnoteReference"/>
        </w:rPr>
        <w:footnoteRef/>
      </w:r>
      <w:r w:rsidRPr="002A4F86">
        <w:t xml:space="preserve"> </w:t>
      </w:r>
      <w:r w:rsidRPr="002A4F86">
        <w:rPr>
          <w:i/>
        </w:rPr>
        <w:t>Nilavar v. Mercy Health Sys. - W. Ohio</w:t>
      </w:r>
      <w:r w:rsidRPr="002A4F86">
        <w:t>, 210 F.R.D. 597, 608-609, 604 (S.D. Ohio 2002).</w:t>
      </w:r>
    </w:p>
  </w:footnote>
  <w:footnote w:id="7">
    <w:p w:rsidR="005E300E" w:rsidRPr="002A4F86" w:rsidP="005031F7" w14:paraId="13309E2A" w14:textId="7FDE09AB">
      <w:pPr>
        <w:pStyle w:val="FootnoteText"/>
        <w:spacing w:after="120"/>
      </w:pPr>
      <w:r w:rsidRPr="002A4F86">
        <w:rPr>
          <w:rStyle w:val="FootnoteReference"/>
        </w:rPr>
        <w:footnoteRef/>
      </w:r>
      <w:r w:rsidRPr="002A4F86">
        <w:t xml:space="preserve"> </w:t>
      </w:r>
      <w:r>
        <w:t xml:space="preserve">AEP </w:t>
      </w:r>
      <w:r w:rsidR="008A0042">
        <w:t xml:space="preserve">Ohio’s </w:t>
      </w:r>
      <w:r>
        <w:t>Motion to Strike at 7.</w:t>
      </w:r>
    </w:p>
  </w:footnote>
  <w:footnote w:id="8">
    <w:p w:rsidR="005E300E" w:rsidRPr="002A4F86" w:rsidP="005031F7" w14:paraId="4B30772A" w14:textId="77777777">
      <w:pPr>
        <w:pStyle w:val="FootnoteText"/>
        <w:spacing w:after="120"/>
      </w:pPr>
      <w:r w:rsidRPr="002A4F86">
        <w:rPr>
          <w:rStyle w:val="FootnoteReference"/>
        </w:rPr>
        <w:footnoteRef/>
      </w:r>
      <w:r w:rsidRPr="002A4F86">
        <w:t xml:space="preserve"> </w:t>
      </w:r>
      <w:r>
        <w:t>Testimony Recommending Modification of the Stipulation of Joseph P. Buckley (“Buckley Testimony”) at 3-4.</w:t>
      </w:r>
    </w:p>
  </w:footnote>
  <w:footnote w:id="9">
    <w:p w:rsidR="005E300E" w:rsidP="005031F7" w14:paraId="1D587228" w14:textId="77777777">
      <w:pPr>
        <w:pStyle w:val="FootnoteText"/>
        <w:spacing w:after="120"/>
      </w:pPr>
      <w:r>
        <w:rPr>
          <w:rStyle w:val="FootnoteReference"/>
        </w:rPr>
        <w:footnoteRef/>
      </w:r>
      <w:r>
        <w:t xml:space="preserve"> Buckley Testimony at 8-12.</w:t>
      </w:r>
    </w:p>
  </w:footnote>
  <w:footnote w:id="10">
    <w:p w:rsidR="000473CE" w:rsidP="005031F7" w14:paraId="7586071D" w14:textId="71D05140">
      <w:pPr>
        <w:pStyle w:val="FootnoteText"/>
        <w:spacing w:after="120"/>
      </w:pPr>
      <w:r>
        <w:rPr>
          <w:rStyle w:val="FootnoteReference"/>
        </w:rPr>
        <w:footnoteRef/>
      </w:r>
      <w:r>
        <w:t xml:space="preserve"> </w:t>
      </w:r>
      <w:r w:rsidRPr="00F05172">
        <w:rPr>
          <w:i/>
          <w:iCs/>
        </w:rPr>
        <w:t xml:space="preserve">See </w:t>
      </w:r>
      <w:r>
        <w:rPr>
          <w:i/>
          <w:iCs/>
        </w:rPr>
        <w:t xml:space="preserve">In the Matter of the Application of Ohio Power Company </w:t>
      </w:r>
      <w:r w:rsidR="005031F7">
        <w:rPr>
          <w:i/>
          <w:iCs/>
        </w:rPr>
        <w:t>f</w:t>
      </w:r>
      <w:r>
        <w:rPr>
          <w:i/>
          <w:iCs/>
        </w:rPr>
        <w:t>or an Increase in Electric Distribution Rates</w:t>
      </w:r>
      <w:r>
        <w:t>, Case No. 20-585-EL-AIR, Opinion &amp; Order (November 17, 2021) at 17.</w:t>
      </w:r>
    </w:p>
  </w:footnote>
  <w:footnote w:id="11">
    <w:p w:rsidR="005E300E" w:rsidRPr="002A4F86" w:rsidP="005031F7" w14:paraId="65203196" w14:textId="31D85DE6">
      <w:pPr>
        <w:pStyle w:val="FootnoteText"/>
        <w:spacing w:after="120"/>
      </w:pPr>
      <w:r w:rsidRPr="002A4F86">
        <w:rPr>
          <w:rStyle w:val="FootnoteReference"/>
        </w:rPr>
        <w:footnoteRef/>
      </w:r>
      <w:r w:rsidRPr="002A4F86">
        <w:t xml:space="preserve"> </w:t>
      </w:r>
      <w:r>
        <w:t xml:space="preserve">AEP </w:t>
      </w:r>
      <w:r w:rsidR="008A0042">
        <w:t xml:space="preserve">Ohio’s </w:t>
      </w:r>
      <w:r>
        <w:t>Motion to Strike at 7.</w:t>
      </w:r>
    </w:p>
  </w:footnote>
  <w:footnote w:id="12">
    <w:p w:rsidR="005E300E" w:rsidRPr="002A4F86" w:rsidP="005031F7" w14:paraId="1F1B2528" w14:textId="77777777">
      <w:pPr>
        <w:pStyle w:val="FootnoteText"/>
        <w:spacing w:after="120"/>
      </w:pPr>
      <w:r w:rsidRPr="002A4F86">
        <w:rPr>
          <w:rStyle w:val="FootnoteReference"/>
        </w:rPr>
        <w:footnoteRef/>
      </w:r>
      <w:r w:rsidRPr="002A4F86">
        <w:t xml:space="preserve"> </w:t>
      </w:r>
      <w:r>
        <w:t>Buckley Testimony at 14.</w:t>
      </w:r>
    </w:p>
  </w:footnote>
  <w:footnote w:id="13">
    <w:p w:rsidR="005E300E" w:rsidRPr="002A4F86" w:rsidP="005031F7" w14:paraId="6F6D24F4" w14:textId="77777777">
      <w:pPr>
        <w:pStyle w:val="FootnoteText"/>
        <w:spacing w:after="120"/>
      </w:pPr>
      <w:r w:rsidRPr="002A4F86">
        <w:rPr>
          <w:rStyle w:val="FootnoteReference"/>
        </w:rPr>
        <w:footnoteRef/>
      </w:r>
      <w:r w:rsidRPr="002A4F86">
        <w:t xml:space="preserve"> </w:t>
      </w:r>
      <w:r>
        <w:t>Direct Testimony of Brian F. Billings at 3.</w:t>
      </w:r>
    </w:p>
  </w:footnote>
  <w:footnote w:id="14">
    <w:p w:rsidR="005E300E" w:rsidRPr="002A4F86" w:rsidP="005031F7" w14:paraId="492F9209" w14:textId="77777777">
      <w:pPr>
        <w:pStyle w:val="FootnoteText"/>
        <w:spacing w:after="120"/>
      </w:pPr>
      <w:r w:rsidRPr="002A4F86">
        <w:rPr>
          <w:rStyle w:val="FootnoteReference"/>
        </w:rPr>
        <w:footnoteRef/>
      </w:r>
      <w:r w:rsidRPr="002A4F86">
        <w:t xml:space="preserve"> </w:t>
      </w:r>
      <w:r>
        <w:t>Buckley Testimony at 14.</w:t>
      </w:r>
    </w:p>
  </w:footnote>
  <w:footnote w:id="15">
    <w:p w:rsidR="005E300E" w:rsidRPr="00FE2695" w:rsidP="005031F7" w14:paraId="4102449A" w14:textId="77777777">
      <w:pPr>
        <w:pStyle w:val="FootnoteText"/>
        <w:spacing w:after="120"/>
        <w:rPr>
          <w:i/>
          <w:iCs/>
        </w:rPr>
      </w:pPr>
      <w:r>
        <w:rPr>
          <w:rStyle w:val="FootnoteReference"/>
        </w:rPr>
        <w:footnoteRef/>
      </w:r>
      <w:r>
        <w:t xml:space="preserve"> </w:t>
      </w:r>
      <w:r>
        <w:rPr>
          <w:i/>
          <w:iCs/>
        </w:rPr>
        <w:t xml:space="preserve">Id. </w:t>
      </w:r>
    </w:p>
  </w:footnote>
  <w:footnote w:id="16">
    <w:p w:rsidR="005E300E" w:rsidP="005031F7" w14:paraId="0F0E9FEA" w14:textId="59C28A6D">
      <w:pPr>
        <w:pStyle w:val="FootnoteText"/>
        <w:spacing w:after="120"/>
      </w:pPr>
      <w:r>
        <w:rPr>
          <w:rStyle w:val="FootnoteReference"/>
        </w:rPr>
        <w:footnoteRef/>
      </w:r>
      <w:r>
        <w:t xml:space="preserve"> AEP</w:t>
      </w:r>
      <w:r w:rsidR="0033187F">
        <w:t xml:space="preserve"> Ohio’s</w:t>
      </w:r>
      <w:r>
        <w:t xml:space="preserve"> Motion to Strike at 7.</w:t>
      </w:r>
    </w:p>
  </w:footnote>
  <w:footnote w:id="17">
    <w:p w:rsidR="005E300E" w:rsidRPr="00FE2695" w:rsidP="005031F7" w14:paraId="3F1990ED" w14:textId="6222E6A3">
      <w:pPr>
        <w:pStyle w:val="FootnoteText"/>
        <w:spacing w:after="120"/>
      </w:pPr>
      <w:r w:rsidRPr="002A4F86">
        <w:rPr>
          <w:rStyle w:val="FootnoteReference"/>
        </w:rPr>
        <w:footnoteRef/>
      </w:r>
      <w:r w:rsidRPr="002A4F86">
        <w:t xml:space="preserve"> </w:t>
      </w:r>
      <w:r>
        <w:rPr>
          <w:i/>
          <w:iCs/>
        </w:rPr>
        <w:t>See</w:t>
      </w:r>
      <w:r>
        <w:t xml:space="preserve"> </w:t>
      </w:r>
      <w:r>
        <w:rPr>
          <w:i/>
          <w:iCs/>
        </w:rPr>
        <w:t xml:space="preserve">generally </w:t>
      </w:r>
      <w:r>
        <w:t>Case No. 22-900-EL-SSO</w:t>
      </w:r>
      <w:r w:rsidR="00600D72">
        <w:t>, et al.</w:t>
      </w:r>
      <w:r>
        <w:t xml:space="preserve"> and Case No. 22-507-GA-AIR</w:t>
      </w:r>
      <w:r w:rsidR="00600D72">
        <w:t>, et al</w:t>
      </w:r>
      <w:r>
        <w:t>.</w:t>
      </w:r>
    </w:p>
  </w:footnote>
  <w:footnote w:id="18">
    <w:p w:rsidR="005E300E" w:rsidRPr="002A4F86" w:rsidP="005031F7" w14:paraId="52D9A16C" w14:textId="77777777">
      <w:pPr>
        <w:pStyle w:val="FootnoteText"/>
        <w:spacing w:after="120"/>
      </w:pPr>
      <w:r w:rsidRPr="002A4F86">
        <w:rPr>
          <w:rStyle w:val="FootnoteReference"/>
        </w:rPr>
        <w:footnoteRef/>
      </w:r>
      <w:r w:rsidRPr="002A4F86">
        <w:t xml:space="preserve"> R.C. 4511.19, Operating vehicle under the influence of alcohol or drugs</w:t>
      </w:r>
    </w:p>
  </w:footnote>
  <w:footnote w:id="19">
    <w:p w:rsidR="005E300E" w:rsidP="005031F7" w14:paraId="02129776" w14:textId="77777777">
      <w:pPr>
        <w:pStyle w:val="FootnoteText"/>
        <w:spacing w:after="120"/>
      </w:pPr>
      <w:r>
        <w:rPr>
          <w:rStyle w:val="FootnoteReference"/>
        </w:rPr>
        <w:footnoteRef/>
      </w:r>
      <w:r>
        <w:t xml:space="preserve"> </w:t>
      </w:r>
      <w:r w:rsidRPr="00FE2695">
        <w:rPr>
          <w:i/>
          <w:iCs/>
        </w:rPr>
        <w:t>In re Application of E. Ohio Gas Co.</w:t>
      </w:r>
      <w:r>
        <w:t>, Slip Opinion No. 2023-Ohio-3289, ¶ 12.</w:t>
      </w:r>
    </w:p>
  </w:footnote>
  <w:footnote w:id="20">
    <w:p w:rsidR="005E300E" w:rsidRPr="002A4F86" w:rsidP="005031F7" w14:paraId="1E493A93" w14:textId="77777777">
      <w:pPr>
        <w:pStyle w:val="FootnoteText"/>
        <w:spacing w:after="120"/>
      </w:pPr>
      <w:r w:rsidRPr="002A4F86">
        <w:rPr>
          <w:rStyle w:val="FootnoteReference"/>
        </w:rPr>
        <w:footnoteRef/>
      </w:r>
      <w:r w:rsidRPr="002A4F86">
        <w:t xml:space="preserve"> OCC does not concede that AEP accurately interprets </w:t>
      </w:r>
      <w:r w:rsidRPr="00FE2695">
        <w:rPr>
          <w:i/>
          <w:iCs/>
        </w:rPr>
        <w:t>In re Application of E. Ohio Gas Co.</w:t>
      </w:r>
      <w:r>
        <w:t>, Slip Opinion No. 2023-Ohio-3289.</w:t>
      </w:r>
    </w:p>
  </w:footnote>
  <w:footnote w:id="21">
    <w:p w:rsidR="006C10E0" w:rsidP="005031F7" w14:paraId="17A2EE77" w14:textId="070FB2EA">
      <w:pPr>
        <w:pStyle w:val="FootnoteText"/>
        <w:spacing w:after="120"/>
      </w:pPr>
      <w:r>
        <w:rPr>
          <w:rStyle w:val="FootnoteReference"/>
        </w:rPr>
        <w:footnoteRef/>
      </w:r>
      <w:r>
        <w:t xml:space="preserve"> Entry, Case No. 23-532-GE-UNC, dated May 31, 2023, at </w:t>
      </w:r>
      <w:r w:rsidR="00021456">
        <w:t xml:space="preserve">¶ </w:t>
      </w:r>
      <w:r>
        <w:t>5.</w:t>
      </w:r>
    </w:p>
  </w:footnote>
  <w:footnote w:id="22">
    <w:p w:rsidR="00302A2D" w:rsidRPr="00302A2D" w:rsidP="005031F7" w14:paraId="2C5C5585" w14:textId="05AAA8E0">
      <w:pPr>
        <w:pStyle w:val="FootnoteText"/>
        <w:spacing w:after="120"/>
        <w:rPr>
          <w:i/>
          <w:iCs/>
        </w:rPr>
      </w:pPr>
      <w:r>
        <w:rPr>
          <w:rStyle w:val="FootnoteReference"/>
        </w:rPr>
        <w:footnoteRef/>
      </w:r>
      <w:r>
        <w:t xml:space="preserve"> </w:t>
      </w:r>
      <w:r w:rsidR="00042A97">
        <w:rPr>
          <w:i/>
          <w:iCs/>
        </w:rPr>
        <w:t>In the Matter of the Application of Ohio Power Company for Authority to Establish a Standard Service Offer Pursuant to R.C. 4928.13 in the Form of an Electric Security Plan</w:t>
      </w:r>
      <w:r w:rsidR="00042A97">
        <w:t>, Case No. 23-23-EL-SSO, et al.,</w:t>
      </w:r>
      <w:r w:rsidR="00E3750F">
        <w:t xml:space="preserve"> </w:t>
      </w:r>
      <w:r>
        <w:t>Testimony Recommending Modification of the Stipulation of Andrew R. Tinkham,</w:t>
      </w:r>
      <w:r w:rsidR="00042A97">
        <w:t xml:space="preserve"> </w:t>
      </w:r>
      <w:r>
        <w:rPr>
          <w:i/>
          <w:iCs/>
        </w:rPr>
        <w:t>September 20, 2023.</w:t>
      </w:r>
    </w:p>
  </w:footnote>
  <w:footnote w:id="23">
    <w:p w:rsidR="00F87078" w:rsidP="005031F7" w14:paraId="35E498EE" w14:textId="6FFADAAA">
      <w:pPr>
        <w:pStyle w:val="FootnoteText"/>
        <w:spacing w:after="120"/>
      </w:pPr>
      <w:r>
        <w:rPr>
          <w:rStyle w:val="FootnoteReference"/>
        </w:rPr>
        <w:footnoteRef/>
      </w:r>
      <w:r>
        <w:t xml:space="preserve"> Entry, Case No. 23-532-GE-UNC, dated May 31, 2023, at </w:t>
      </w:r>
      <w:r w:rsidR="0019238B">
        <w:t>¶</w:t>
      </w:r>
      <w:r w:rsidR="00F1782E">
        <w:t xml:space="preserve"> </w:t>
      </w:r>
      <w:r>
        <w:t xml:space="preserve">5. </w:t>
      </w:r>
    </w:p>
  </w:footnote>
  <w:footnote w:id="24">
    <w:p w:rsidR="00766EB1" w:rsidRPr="00C93F03" w:rsidP="005031F7" w14:paraId="45B01C7A" w14:textId="77777777">
      <w:pPr>
        <w:pStyle w:val="FootnoteText"/>
        <w:spacing w:after="120"/>
      </w:pPr>
      <w:r>
        <w:rPr>
          <w:rStyle w:val="FootnoteReference"/>
        </w:rPr>
        <w:footnoteRef/>
      </w:r>
      <w:r>
        <w:t xml:space="preserve"> </w:t>
      </w:r>
      <w:r>
        <w:rPr>
          <w:i/>
          <w:iCs/>
        </w:rPr>
        <w:t xml:space="preserve">In the Matter of the Annual Report Required by R.C. 4933.123 Regarding Service Disconnections for Nonpayment, </w:t>
      </w:r>
      <w:r>
        <w:t>Case No. 23-532-GE-UNC, May 31, 2023.</w:t>
      </w:r>
    </w:p>
  </w:footnote>
  <w:footnote w:id="25">
    <w:p w:rsidR="00102C15" w:rsidRPr="00C93F03" w:rsidP="005031F7" w14:paraId="71CB7D77" w14:textId="2AD43F2A">
      <w:pPr>
        <w:pStyle w:val="FootnoteText"/>
        <w:spacing w:after="120"/>
      </w:pPr>
      <w:r>
        <w:rPr>
          <w:rStyle w:val="FootnoteReference"/>
        </w:rPr>
        <w:footnoteRef/>
      </w:r>
      <w:r>
        <w:t xml:space="preserve"> </w:t>
      </w:r>
      <w:r w:rsidR="00766EB1">
        <w:rPr>
          <w:i/>
          <w:iCs/>
        </w:rPr>
        <w:t>Id.</w:t>
      </w:r>
    </w:p>
  </w:footnote>
  <w:footnote w:id="26">
    <w:p w:rsidR="00DB61BA" w:rsidP="005031F7" w14:paraId="7F1E3743" w14:textId="75E888C2">
      <w:pPr>
        <w:pStyle w:val="FootnoteText"/>
        <w:spacing w:after="120"/>
      </w:pPr>
      <w:r>
        <w:rPr>
          <w:rStyle w:val="FootnoteReference"/>
        </w:rPr>
        <w:footnoteRef/>
      </w:r>
      <w:r>
        <w:t xml:space="preserve"> Mr. Tinkham’s data compilation and analysis demonstrates from June 1, 2022 through May 31, 2023, 155,398 residential consumers disconnected by AEP Ohio compared to 125,481 residential disconnections by the five other Ohio electric distribution utilities combined.</w:t>
      </w:r>
      <w:r w:rsidR="005E650C">
        <w:t xml:space="preserve"> </w:t>
      </w:r>
    </w:p>
  </w:footnote>
  <w:footnote w:id="27">
    <w:p w:rsidR="00851C9B" w:rsidRPr="00851C9B" w:rsidP="005031F7" w14:paraId="08F61D5A" w14:textId="499DE50F">
      <w:pPr>
        <w:pStyle w:val="FootnoteText"/>
        <w:spacing w:after="120"/>
      </w:pPr>
      <w:r>
        <w:rPr>
          <w:rStyle w:val="FootnoteReference"/>
        </w:rPr>
        <w:footnoteRef/>
      </w:r>
      <w:r>
        <w:t xml:space="preserve"> </w:t>
      </w:r>
      <w:r w:rsidR="000473CE">
        <w:t>Case No. 20-585-EL-AIR</w:t>
      </w:r>
      <w:r>
        <w:t xml:space="preserve">, Hearing Transcript (May 20, 2021) at 509, 684, and 933. </w:t>
      </w:r>
    </w:p>
  </w:footnote>
  <w:footnote w:id="28">
    <w:p w:rsidR="00467F11" w:rsidRPr="00467F11" w:rsidP="005031F7" w14:paraId="1E2F7F61" w14:textId="4CCA93C1">
      <w:pPr>
        <w:pStyle w:val="FootnoteText"/>
        <w:spacing w:after="120"/>
      </w:pPr>
      <w:r>
        <w:rPr>
          <w:rStyle w:val="FootnoteReference"/>
        </w:rPr>
        <w:footnoteRef/>
      </w:r>
      <w:r>
        <w:t xml:space="preserve"> </w:t>
      </w:r>
      <w:r>
        <w:rPr>
          <w:i/>
          <w:iCs/>
        </w:rPr>
        <w:t>In the Matter of the Application of Ohio Power Company and Columbus Southern Power Company for Authority to Merge and Related Approvals</w:t>
      </w:r>
      <w:r>
        <w:t xml:space="preserve">, Case No. 10-2376, Opinion and Order (December 14, 2011) at </w:t>
      </w:r>
      <w:r w:rsidR="00847CC0">
        <w:t>13</w:t>
      </w:r>
      <w:r>
        <w:t xml:space="preserve">. </w:t>
      </w:r>
    </w:p>
  </w:footnote>
  <w:footnote w:id="29">
    <w:p w:rsidR="00847CC0" w:rsidRPr="00847CC0" w:rsidP="005031F7" w14:paraId="1593F15F" w14:textId="7CF4774B">
      <w:pPr>
        <w:pStyle w:val="FootnoteText"/>
        <w:spacing w:after="120"/>
        <w:rPr>
          <w:i/>
          <w:iCs/>
        </w:rPr>
      </w:pPr>
      <w:r>
        <w:rPr>
          <w:rStyle w:val="FootnoteReference"/>
        </w:rPr>
        <w:footnoteRef/>
      </w:r>
      <w:r>
        <w:t xml:space="preserve"> </w:t>
      </w:r>
      <w:r>
        <w:rPr>
          <w:i/>
          <w:iCs/>
        </w:rPr>
        <w:t>Id.</w:t>
      </w:r>
    </w:p>
  </w:footnote>
  <w:footnote w:id="30">
    <w:p w:rsidR="00467F11" w:rsidRPr="008F3C1E" w:rsidP="005031F7" w14:paraId="30AC4A24" w14:textId="3F3DDF35">
      <w:pPr>
        <w:pStyle w:val="FootnoteText"/>
        <w:spacing w:after="120"/>
        <w:rPr>
          <w:i/>
          <w:iCs/>
        </w:rPr>
      </w:pPr>
      <w:r w:rsidRPr="008F3C1E">
        <w:rPr>
          <w:rStyle w:val="FootnoteReference"/>
        </w:rPr>
        <w:footnoteRef/>
      </w:r>
      <w:r w:rsidRPr="008F3C1E">
        <w:t xml:space="preserve"> </w:t>
      </w:r>
      <w:r w:rsidRPr="008F3C1E">
        <w:rPr>
          <w:i/>
          <w:iCs/>
        </w:rPr>
        <w:t>Id.</w:t>
      </w:r>
    </w:p>
  </w:footnote>
  <w:footnote w:id="31">
    <w:p w:rsidR="008F3C1E" w:rsidRPr="008F3C1E" w:rsidP="005031F7" w14:paraId="5A5B57E1" w14:textId="2129DB2B">
      <w:pPr>
        <w:pStyle w:val="NormalWeb"/>
        <w:shd w:val="clear" w:color="auto" w:fill="FFFFFF"/>
        <w:spacing w:before="0" w:beforeAutospacing="0" w:after="120" w:afterAutospacing="0"/>
        <w:textAlignment w:val="baseline"/>
        <w:rPr>
          <w:color w:val="000000"/>
          <w:sz w:val="20"/>
          <w:szCs w:val="20"/>
        </w:rPr>
      </w:pPr>
      <w:r w:rsidRPr="008F3C1E">
        <w:rPr>
          <w:rStyle w:val="FootnoteReference"/>
          <w:sz w:val="20"/>
          <w:szCs w:val="20"/>
        </w:rPr>
        <w:footnoteRef/>
      </w:r>
      <w:r w:rsidRPr="008F3C1E">
        <w:rPr>
          <w:sz w:val="20"/>
          <w:szCs w:val="20"/>
        </w:rPr>
        <w:t xml:space="preserve"> </w:t>
      </w:r>
      <w:r w:rsidRPr="008F3C1E">
        <w:rPr>
          <w:i/>
          <w:iCs/>
          <w:sz w:val="20"/>
          <w:szCs w:val="20"/>
          <w:bdr w:val="none" w:sz="0" w:space="0" w:color="auto" w:frame="1"/>
          <w:shd w:val="clear" w:color="auto" w:fill="FFFFFF"/>
        </w:rPr>
        <w:t>State v. Bradley</w:t>
      </w:r>
      <w:r w:rsidRPr="008F3C1E">
        <w:rPr>
          <w:sz w:val="20"/>
          <w:szCs w:val="20"/>
          <w:bdr w:val="none" w:sz="0" w:space="0" w:color="auto" w:frame="1"/>
          <w:shd w:val="clear" w:color="auto" w:fill="FFFFFF"/>
        </w:rPr>
        <w:t xml:space="preserve">, </w:t>
      </w:r>
      <w:r w:rsidR="00C23727">
        <w:rPr>
          <w:sz w:val="20"/>
          <w:szCs w:val="20"/>
          <w:bdr w:val="none" w:sz="0" w:space="0" w:color="auto" w:frame="1"/>
          <w:shd w:val="clear" w:color="auto" w:fill="FFFFFF"/>
        </w:rPr>
        <w:t>7</w:t>
      </w:r>
      <w:r w:rsidRPr="00C23727" w:rsidR="00C23727">
        <w:rPr>
          <w:sz w:val="20"/>
          <w:szCs w:val="20"/>
          <w:bdr w:val="none" w:sz="0" w:space="0" w:color="auto" w:frame="1"/>
          <w:shd w:val="clear" w:color="auto" w:fill="FFFFFF"/>
          <w:vertAlign w:val="superscript"/>
        </w:rPr>
        <w:t>th</w:t>
      </w:r>
      <w:r w:rsidR="00C23727">
        <w:rPr>
          <w:sz w:val="20"/>
          <w:szCs w:val="20"/>
          <w:bdr w:val="none" w:sz="0" w:space="0" w:color="auto" w:frame="1"/>
          <w:shd w:val="clear" w:color="auto" w:fill="FFFFFF"/>
        </w:rPr>
        <w:t xml:space="preserve"> Dist. Columbiana No. 11 CO 26, 2012-Ohio-5880, </w:t>
      </w:r>
      <w:r w:rsidRPr="008F3C1E">
        <w:rPr>
          <w:sz w:val="20"/>
          <w:szCs w:val="20"/>
          <w:bdr w:val="none" w:sz="0" w:space="0" w:color="auto" w:frame="1"/>
          <w:shd w:val="clear" w:color="auto" w:fill="FFFFFF"/>
        </w:rPr>
        <w:t>¶ 39</w:t>
      </w:r>
      <w:r w:rsidR="00C23727">
        <w:rPr>
          <w:sz w:val="20"/>
          <w:szCs w:val="20"/>
          <w:bdr w:val="none" w:sz="0" w:space="0" w:color="auto" w:frame="1"/>
          <w:shd w:val="clear" w:color="auto" w:fill="FFFFFF"/>
        </w:rPr>
        <w:t>.</w:t>
      </w:r>
    </w:p>
  </w:footnote>
  <w:footnote w:id="32">
    <w:p w:rsidR="00585DA3" w:rsidRPr="00585DA3" w:rsidP="005031F7" w14:paraId="486A4B76" w14:textId="709A7102">
      <w:pPr>
        <w:pStyle w:val="FootnoteText"/>
        <w:spacing w:after="120"/>
      </w:pPr>
      <w:r>
        <w:rPr>
          <w:rStyle w:val="FootnoteReference"/>
        </w:rPr>
        <w:footnoteRef/>
      </w:r>
      <w:r>
        <w:t xml:space="preserve"> </w:t>
      </w:r>
      <w:r>
        <w:rPr>
          <w:i/>
          <w:iCs/>
        </w:rPr>
        <w:t xml:space="preserve">In the Matter of the Application of Ohio Power Company for Authority to Establish a Standard Service Offer Pursuant to R.C. 4928.1432 in the Form of an Electric Security Plan, </w:t>
      </w:r>
      <w:r>
        <w:t>Case No. 23-23-EL-SSO, et al., Testimony Recommending Modification of the Stipulation of Andrew R. Tinkham (September 20, 2023), at p. 1.</w:t>
      </w:r>
      <w:r w:rsidR="005E650C">
        <w:t xml:space="preserve"> </w:t>
      </w:r>
    </w:p>
  </w:footnote>
  <w:footnote w:id="33">
    <w:p w:rsidR="00347769" w:rsidRPr="00347769" w:rsidP="005031F7" w14:paraId="0982C530" w14:textId="59F8BA20">
      <w:pPr>
        <w:pStyle w:val="FootnoteText"/>
        <w:spacing w:after="120"/>
      </w:pPr>
      <w:r>
        <w:rPr>
          <w:rStyle w:val="FootnoteReference"/>
        </w:rPr>
        <w:footnoteRef/>
      </w:r>
      <w:r>
        <w:t xml:space="preserve"> </w:t>
      </w:r>
      <w:r>
        <w:rPr>
          <w:i/>
          <w:iCs/>
        </w:rPr>
        <w:t>Id.</w:t>
      </w:r>
    </w:p>
  </w:footnote>
  <w:footnote w:id="34">
    <w:p w:rsidR="00347769" w:rsidRPr="00347769" w:rsidP="005031F7" w14:paraId="3B7BB4A1" w14:textId="1679180E">
      <w:pPr>
        <w:pStyle w:val="FootnoteText"/>
        <w:spacing w:after="120"/>
        <w:rPr>
          <w:i/>
          <w:iCs/>
        </w:rPr>
      </w:pPr>
      <w:r>
        <w:rPr>
          <w:rStyle w:val="FootnoteReference"/>
        </w:rPr>
        <w:footnoteRef/>
      </w:r>
      <w:r>
        <w:t xml:space="preserve"> </w:t>
      </w:r>
      <w:r>
        <w:rPr>
          <w:i/>
          <w:iCs/>
        </w:rPr>
        <w:t>Id.</w:t>
      </w:r>
    </w:p>
  </w:footnote>
  <w:footnote w:id="35">
    <w:p w:rsidR="00347769" w:rsidRPr="007A7FCA" w:rsidP="005031F7" w14:paraId="666C2C10" w14:textId="3FAC12C1">
      <w:pPr>
        <w:pStyle w:val="FootnoteText"/>
        <w:spacing w:after="120"/>
      </w:pPr>
      <w:r>
        <w:rPr>
          <w:rStyle w:val="FootnoteReference"/>
        </w:rPr>
        <w:footnoteRef/>
      </w:r>
      <w:r>
        <w:t xml:space="preserve"> </w:t>
      </w:r>
      <w:r w:rsidR="007A7FCA">
        <w:rPr>
          <w:i/>
          <w:iCs/>
        </w:rPr>
        <w:t xml:space="preserve">Id. </w:t>
      </w:r>
      <w:r w:rsidR="007A7FCA">
        <w:t>at 10.</w:t>
      </w:r>
    </w:p>
  </w:footnote>
  <w:footnote w:id="36">
    <w:p w:rsidR="00AD7146" w:rsidRPr="00847CC0" w:rsidP="005031F7" w14:paraId="2950ED9F" w14:textId="77777777">
      <w:pPr>
        <w:pStyle w:val="FootnoteText"/>
        <w:spacing w:after="120"/>
        <w:rPr>
          <w:i/>
          <w:iCs/>
        </w:rPr>
      </w:pPr>
      <w:r>
        <w:rPr>
          <w:rStyle w:val="FootnoteReference"/>
        </w:rPr>
        <w:footnoteRef/>
      </w:r>
      <w:r>
        <w:t xml:space="preserve"> </w:t>
      </w:r>
      <w:r>
        <w:rPr>
          <w:i/>
          <w:iCs/>
        </w:rPr>
        <w:t>Id.</w:t>
      </w:r>
    </w:p>
  </w:footnote>
  <w:footnote w:id="37">
    <w:p w:rsidR="00AD7146" w:rsidRPr="008F3C1E" w:rsidP="005031F7" w14:paraId="20B8A2A3" w14:textId="77777777">
      <w:pPr>
        <w:pStyle w:val="FootnoteText"/>
        <w:spacing w:after="120"/>
        <w:rPr>
          <w:i/>
          <w:iCs/>
        </w:rPr>
      </w:pPr>
      <w:r w:rsidRPr="008F3C1E">
        <w:rPr>
          <w:rStyle w:val="FootnoteReference"/>
        </w:rPr>
        <w:footnoteRef/>
      </w:r>
      <w:r w:rsidRPr="008F3C1E">
        <w:t xml:space="preserve"> </w:t>
      </w:r>
      <w:r w:rsidRPr="008F3C1E">
        <w:rPr>
          <w:i/>
          <w:iCs/>
        </w:rPr>
        <w:t>Id.</w:t>
      </w:r>
    </w:p>
  </w:footnote>
  <w:footnote w:id="38">
    <w:p w:rsidR="003332F9" w:rsidRPr="003332F9" w:rsidP="005031F7" w14:paraId="2AE0F327" w14:textId="3122EF66">
      <w:pPr>
        <w:pStyle w:val="FootnoteText"/>
        <w:spacing w:after="120"/>
      </w:pPr>
      <w:r>
        <w:rPr>
          <w:rStyle w:val="FootnoteReference"/>
        </w:rPr>
        <w:footnoteRef/>
      </w:r>
      <w:r>
        <w:t xml:space="preserve"> </w:t>
      </w:r>
      <w:r>
        <w:rPr>
          <w:i/>
          <w:iCs/>
        </w:rPr>
        <w:t xml:space="preserve">In the Matter of the Application of the Ohio Department of Development for an Order Approving Adjustments to the Universal Service Fund Rider of Jurisdictional Ohio Electric Distribution Utilities, </w:t>
      </w:r>
      <w:r>
        <w:t xml:space="preserve">Case No. 22-556-EL-USF, Opinion and Order (October 5, 2022) at </w:t>
      </w:r>
      <w:r w:rsidR="00E170CC">
        <w:t xml:space="preserve">¶ </w:t>
      </w:r>
      <w:r>
        <w:t xml:space="preserve">45 (quoting </w:t>
      </w:r>
      <w:r>
        <w:rPr>
          <w:i/>
          <w:iCs/>
        </w:rPr>
        <w:t xml:space="preserve">In the Matter of the Implementation of Sections 4928.54 and 4928.544 of the Revised Code, </w:t>
      </w:r>
      <w:r>
        <w:t>Case No. 16-247-EL-UNC (PIPP RFP Case), Finding and Order (Mar</w:t>
      </w:r>
      <w:r w:rsidR="00D25F8A">
        <w:t>ch</w:t>
      </w:r>
      <w:r>
        <w:t xml:space="preserve"> 2, 2016) at </w:t>
      </w:r>
      <w:r w:rsidR="00E170CC">
        <w:t xml:space="preserve">¶ </w:t>
      </w:r>
      <w:r>
        <w:t>5).</w:t>
      </w:r>
    </w:p>
  </w:footnote>
  <w:footnote w:id="39">
    <w:p w:rsidR="00F028F1" w:rsidRPr="00F028F1" w:rsidP="005031F7" w14:paraId="25D3EDBA" w14:textId="69822C4B">
      <w:pPr>
        <w:pStyle w:val="FootnoteText"/>
        <w:spacing w:after="120"/>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3DC" w14:paraId="49F721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3DC" w14:paraId="22545C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3DC" w14:paraId="545884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6A21865"/>
    <w:multiLevelType w:val="hybridMultilevel"/>
    <w:tmpl w:val="4B788BD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4B2B9B"/>
    <w:multiLevelType w:val="hybridMultilevel"/>
    <w:tmpl w:val="AC74779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7240BCD"/>
    <w:multiLevelType w:val="hybridMultilevel"/>
    <w:tmpl w:val="9558D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5B08A7"/>
    <w:multiLevelType w:val="hybridMultilevel"/>
    <w:tmpl w:val="76B45D24"/>
    <w:lvl w:ilvl="0">
      <w:start w:val="1"/>
      <w:numFmt w:val="upperLetter"/>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nsid w:val="42771558"/>
    <w:multiLevelType w:val="hybridMultilevel"/>
    <w:tmpl w:val="5C7C587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A4877F6"/>
    <w:multiLevelType w:val="hybridMultilevel"/>
    <w:tmpl w:val="3A2AEE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66E7E41"/>
    <w:multiLevelType w:val="hybridMultilevel"/>
    <w:tmpl w:val="E0663A8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EC44497"/>
    <w:multiLevelType w:val="hybridMultilevel"/>
    <w:tmpl w:val="BCD4817A"/>
    <w:lvl w:ilvl="0">
      <w:start w:val="1"/>
      <w:numFmt w:val="upperLetter"/>
      <w:lvlText w:val="(%1)"/>
      <w:lvlJc w:val="left"/>
      <w:pPr>
        <w:ind w:left="1116" w:hanging="39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1A8275D"/>
    <w:multiLevelType w:val="hybridMultilevel"/>
    <w:tmpl w:val="CB08AA8E"/>
    <w:lvl w:ilvl="0">
      <w:start w:val="1"/>
      <w:numFmt w:val="upperLetter"/>
      <w:lvlText w:val="(%1)"/>
      <w:lvlJc w:val="left"/>
      <w:pPr>
        <w:ind w:left="1116" w:hanging="396"/>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A396A1E"/>
    <w:multiLevelType w:val="hybridMultilevel"/>
    <w:tmpl w:val="B374DB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1411A17"/>
    <w:multiLevelType w:val="hybridMultilevel"/>
    <w:tmpl w:val="41B8A9B6"/>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23105FE"/>
    <w:multiLevelType w:val="hybridMultilevel"/>
    <w:tmpl w:val="09705B3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3">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26"/>
  </w:num>
  <w:num w:numId="4">
    <w:abstractNumId w:val="24"/>
  </w:num>
  <w:num w:numId="5">
    <w:abstractNumId w:val="13"/>
  </w:num>
  <w:num w:numId="6">
    <w:abstractNumId w:val="32"/>
  </w:num>
  <w:num w:numId="7">
    <w:abstractNumId w:val="28"/>
  </w:num>
  <w:num w:numId="8">
    <w:abstractNumId w:val="33"/>
  </w:num>
  <w:num w:numId="9">
    <w:abstractNumId w:val="31"/>
  </w:num>
  <w:num w:numId="10">
    <w:abstractNumId w:val="22"/>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7"/>
  </w:num>
  <w:num w:numId="24">
    <w:abstractNumId w:val="15"/>
  </w:num>
  <w:num w:numId="25">
    <w:abstractNumId w:val="11"/>
  </w:num>
  <w:num w:numId="26">
    <w:abstractNumId w:val="12"/>
  </w:num>
  <w:num w:numId="27">
    <w:abstractNumId w:val="29"/>
  </w:num>
  <w:num w:numId="28">
    <w:abstractNumId w:val="20"/>
  </w:num>
  <w:num w:numId="29">
    <w:abstractNumId w:val="25"/>
  </w:num>
  <w:num w:numId="30">
    <w:abstractNumId w:val="30"/>
  </w:num>
  <w:num w:numId="31">
    <w:abstractNumId w:val="16"/>
  </w:num>
  <w:num w:numId="32">
    <w:abstractNumId w:val="23"/>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10B59"/>
    <w:rsid w:val="0001103E"/>
    <w:rsid w:val="0001128B"/>
    <w:rsid w:val="00021456"/>
    <w:rsid w:val="00023448"/>
    <w:rsid w:val="00024614"/>
    <w:rsid w:val="00025833"/>
    <w:rsid w:val="00027C64"/>
    <w:rsid w:val="00032949"/>
    <w:rsid w:val="00032DA0"/>
    <w:rsid w:val="00036DCB"/>
    <w:rsid w:val="0004130B"/>
    <w:rsid w:val="00042739"/>
    <w:rsid w:val="00042A97"/>
    <w:rsid w:val="000473CE"/>
    <w:rsid w:val="00050E90"/>
    <w:rsid w:val="000609AC"/>
    <w:rsid w:val="000637AC"/>
    <w:rsid w:val="0007139E"/>
    <w:rsid w:val="00077949"/>
    <w:rsid w:val="0008241A"/>
    <w:rsid w:val="00082F86"/>
    <w:rsid w:val="00096109"/>
    <w:rsid w:val="000A1E61"/>
    <w:rsid w:val="000A7A2B"/>
    <w:rsid w:val="000B1CB4"/>
    <w:rsid w:val="000B2735"/>
    <w:rsid w:val="000C25B6"/>
    <w:rsid w:val="000C4C02"/>
    <w:rsid w:val="000C5C18"/>
    <w:rsid w:val="000D46F4"/>
    <w:rsid w:val="000D5BEE"/>
    <w:rsid w:val="000D5DC2"/>
    <w:rsid w:val="000E0326"/>
    <w:rsid w:val="000E0AE1"/>
    <w:rsid w:val="000E55B1"/>
    <w:rsid w:val="000E6BBD"/>
    <w:rsid w:val="000F0633"/>
    <w:rsid w:val="000F5B7F"/>
    <w:rsid w:val="000F7329"/>
    <w:rsid w:val="00101244"/>
    <w:rsid w:val="00101475"/>
    <w:rsid w:val="00102C15"/>
    <w:rsid w:val="00112549"/>
    <w:rsid w:val="001133CC"/>
    <w:rsid w:val="001161B5"/>
    <w:rsid w:val="001179CC"/>
    <w:rsid w:val="00120D8D"/>
    <w:rsid w:val="00121A2E"/>
    <w:rsid w:val="001232D9"/>
    <w:rsid w:val="00124D1C"/>
    <w:rsid w:val="00132BC3"/>
    <w:rsid w:val="00137BF3"/>
    <w:rsid w:val="00143A3A"/>
    <w:rsid w:val="00143EDC"/>
    <w:rsid w:val="00150EB8"/>
    <w:rsid w:val="00151801"/>
    <w:rsid w:val="00153E6B"/>
    <w:rsid w:val="00154F16"/>
    <w:rsid w:val="001573A9"/>
    <w:rsid w:val="0016048E"/>
    <w:rsid w:val="00162DAE"/>
    <w:rsid w:val="0016743F"/>
    <w:rsid w:val="00167627"/>
    <w:rsid w:val="0017016A"/>
    <w:rsid w:val="0018182B"/>
    <w:rsid w:val="00181BC5"/>
    <w:rsid w:val="001821C3"/>
    <w:rsid w:val="001865A9"/>
    <w:rsid w:val="0019238B"/>
    <w:rsid w:val="0019690C"/>
    <w:rsid w:val="001A073F"/>
    <w:rsid w:val="001A0C05"/>
    <w:rsid w:val="001A10D2"/>
    <w:rsid w:val="001A5FA2"/>
    <w:rsid w:val="001A639F"/>
    <w:rsid w:val="001B17ED"/>
    <w:rsid w:val="001B7A55"/>
    <w:rsid w:val="001C0724"/>
    <w:rsid w:val="001C4904"/>
    <w:rsid w:val="001D52FC"/>
    <w:rsid w:val="001D535F"/>
    <w:rsid w:val="001D545E"/>
    <w:rsid w:val="001D682B"/>
    <w:rsid w:val="001E33AF"/>
    <w:rsid w:val="001E3A31"/>
    <w:rsid w:val="001E7837"/>
    <w:rsid w:val="001F346E"/>
    <w:rsid w:val="001F5F3C"/>
    <w:rsid w:val="001F73CA"/>
    <w:rsid w:val="0020260E"/>
    <w:rsid w:val="00203E7A"/>
    <w:rsid w:val="0020431B"/>
    <w:rsid w:val="0020461B"/>
    <w:rsid w:val="00206E19"/>
    <w:rsid w:val="00225924"/>
    <w:rsid w:val="0022796A"/>
    <w:rsid w:val="002312FB"/>
    <w:rsid w:val="00232377"/>
    <w:rsid w:val="00237D52"/>
    <w:rsid w:val="002434B2"/>
    <w:rsid w:val="00244058"/>
    <w:rsid w:val="00244ED5"/>
    <w:rsid w:val="00252EC6"/>
    <w:rsid w:val="00254036"/>
    <w:rsid w:val="002551FA"/>
    <w:rsid w:val="00257C9F"/>
    <w:rsid w:val="002673F2"/>
    <w:rsid w:val="002715CB"/>
    <w:rsid w:val="00275D11"/>
    <w:rsid w:val="00280C54"/>
    <w:rsid w:val="00281640"/>
    <w:rsid w:val="0028383E"/>
    <w:rsid w:val="00287978"/>
    <w:rsid w:val="00294EF2"/>
    <w:rsid w:val="002A1D69"/>
    <w:rsid w:val="002A2A08"/>
    <w:rsid w:val="002A4F86"/>
    <w:rsid w:val="002A57A7"/>
    <w:rsid w:val="002A5E15"/>
    <w:rsid w:val="002A65C1"/>
    <w:rsid w:val="002B0844"/>
    <w:rsid w:val="002B7E2B"/>
    <w:rsid w:val="002C40FF"/>
    <w:rsid w:val="002D0B55"/>
    <w:rsid w:val="002D1CBA"/>
    <w:rsid w:val="002E0376"/>
    <w:rsid w:val="002E1D26"/>
    <w:rsid w:val="002E428F"/>
    <w:rsid w:val="002E51CF"/>
    <w:rsid w:val="002F0C0D"/>
    <w:rsid w:val="002F0D09"/>
    <w:rsid w:val="002F4A32"/>
    <w:rsid w:val="00300539"/>
    <w:rsid w:val="00302A2D"/>
    <w:rsid w:val="0030435B"/>
    <w:rsid w:val="003044B1"/>
    <w:rsid w:val="003056EB"/>
    <w:rsid w:val="0031477A"/>
    <w:rsid w:val="00325D1C"/>
    <w:rsid w:val="00326174"/>
    <w:rsid w:val="00326A10"/>
    <w:rsid w:val="0033187F"/>
    <w:rsid w:val="00332EB3"/>
    <w:rsid w:val="003332F9"/>
    <w:rsid w:val="00341930"/>
    <w:rsid w:val="00344814"/>
    <w:rsid w:val="00347769"/>
    <w:rsid w:val="00347C65"/>
    <w:rsid w:val="0035186B"/>
    <w:rsid w:val="0036061C"/>
    <w:rsid w:val="00361D3E"/>
    <w:rsid w:val="00366501"/>
    <w:rsid w:val="003711CE"/>
    <w:rsid w:val="00372ADF"/>
    <w:rsid w:val="003764D5"/>
    <w:rsid w:val="00382CF9"/>
    <w:rsid w:val="003849C6"/>
    <w:rsid w:val="00384F51"/>
    <w:rsid w:val="0038546A"/>
    <w:rsid w:val="00387A24"/>
    <w:rsid w:val="00393BC8"/>
    <w:rsid w:val="003963C8"/>
    <w:rsid w:val="003A235F"/>
    <w:rsid w:val="003A2F1E"/>
    <w:rsid w:val="003A3A93"/>
    <w:rsid w:val="003A4E3E"/>
    <w:rsid w:val="003A4F34"/>
    <w:rsid w:val="003A643A"/>
    <w:rsid w:val="003B5088"/>
    <w:rsid w:val="003C1E3B"/>
    <w:rsid w:val="003C5F17"/>
    <w:rsid w:val="003C698D"/>
    <w:rsid w:val="003C789C"/>
    <w:rsid w:val="003D64C5"/>
    <w:rsid w:val="003E1BBB"/>
    <w:rsid w:val="003E4519"/>
    <w:rsid w:val="003E5BC5"/>
    <w:rsid w:val="003E5D45"/>
    <w:rsid w:val="003F230D"/>
    <w:rsid w:val="00401C92"/>
    <w:rsid w:val="0042087C"/>
    <w:rsid w:val="0042433B"/>
    <w:rsid w:val="0042620E"/>
    <w:rsid w:val="00433FBC"/>
    <w:rsid w:val="004347E5"/>
    <w:rsid w:val="00434DAB"/>
    <w:rsid w:val="00445EE2"/>
    <w:rsid w:val="00446E8B"/>
    <w:rsid w:val="004510B6"/>
    <w:rsid w:val="004561A3"/>
    <w:rsid w:val="00457C92"/>
    <w:rsid w:val="004664A0"/>
    <w:rsid w:val="00467F11"/>
    <w:rsid w:val="004708B3"/>
    <w:rsid w:val="00471D2C"/>
    <w:rsid w:val="00484FDC"/>
    <w:rsid w:val="00485A92"/>
    <w:rsid w:val="00486361"/>
    <w:rsid w:val="004931C7"/>
    <w:rsid w:val="004970D7"/>
    <w:rsid w:val="004A2AEA"/>
    <w:rsid w:val="004A3F72"/>
    <w:rsid w:val="004A757B"/>
    <w:rsid w:val="004B3D74"/>
    <w:rsid w:val="004B7D72"/>
    <w:rsid w:val="004D0A73"/>
    <w:rsid w:val="004D308F"/>
    <w:rsid w:val="004D45A4"/>
    <w:rsid w:val="004E4001"/>
    <w:rsid w:val="004E4FE5"/>
    <w:rsid w:val="004F1EFE"/>
    <w:rsid w:val="005018C9"/>
    <w:rsid w:val="005031F7"/>
    <w:rsid w:val="00512125"/>
    <w:rsid w:val="0051409B"/>
    <w:rsid w:val="005142D8"/>
    <w:rsid w:val="00517BC7"/>
    <w:rsid w:val="00517CA3"/>
    <w:rsid w:val="005211B7"/>
    <w:rsid w:val="005321D9"/>
    <w:rsid w:val="00532502"/>
    <w:rsid w:val="00535351"/>
    <w:rsid w:val="00535C4D"/>
    <w:rsid w:val="005433D7"/>
    <w:rsid w:val="005531DF"/>
    <w:rsid w:val="00556272"/>
    <w:rsid w:val="00562C23"/>
    <w:rsid w:val="00563240"/>
    <w:rsid w:val="00564ECC"/>
    <w:rsid w:val="00566DB1"/>
    <w:rsid w:val="0057090F"/>
    <w:rsid w:val="00572659"/>
    <w:rsid w:val="00576D0C"/>
    <w:rsid w:val="005828C5"/>
    <w:rsid w:val="00583B06"/>
    <w:rsid w:val="0058497A"/>
    <w:rsid w:val="00585170"/>
    <w:rsid w:val="00585DA3"/>
    <w:rsid w:val="00591EFB"/>
    <w:rsid w:val="00594356"/>
    <w:rsid w:val="00594A1E"/>
    <w:rsid w:val="005A5BDF"/>
    <w:rsid w:val="005A7640"/>
    <w:rsid w:val="005B4271"/>
    <w:rsid w:val="005B4CC4"/>
    <w:rsid w:val="005C27C3"/>
    <w:rsid w:val="005C370A"/>
    <w:rsid w:val="005C49D4"/>
    <w:rsid w:val="005D08A4"/>
    <w:rsid w:val="005D18F1"/>
    <w:rsid w:val="005D645F"/>
    <w:rsid w:val="005E300E"/>
    <w:rsid w:val="005E60FC"/>
    <w:rsid w:val="005E650C"/>
    <w:rsid w:val="005F12CD"/>
    <w:rsid w:val="005F1DC2"/>
    <w:rsid w:val="005F587F"/>
    <w:rsid w:val="005F7921"/>
    <w:rsid w:val="00600D72"/>
    <w:rsid w:val="00607F89"/>
    <w:rsid w:val="00610F07"/>
    <w:rsid w:val="006113C4"/>
    <w:rsid w:val="00612AAB"/>
    <w:rsid w:val="00613F3E"/>
    <w:rsid w:val="006214C2"/>
    <w:rsid w:val="00621EAC"/>
    <w:rsid w:val="00621F95"/>
    <w:rsid w:val="006227A7"/>
    <w:rsid w:val="0062346E"/>
    <w:rsid w:val="006259FD"/>
    <w:rsid w:val="0062762F"/>
    <w:rsid w:val="006332F5"/>
    <w:rsid w:val="00637B51"/>
    <w:rsid w:val="00644057"/>
    <w:rsid w:val="006449F3"/>
    <w:rsid w:val="006516DC"/>
    <w:rsid w:val="006565B5"/>
    <w:rsid w:val="006568FC"/>
    <w:rsid w:val="00660FBB"/>
    <w:rsid w:val="006611C6"/>
    <w:rsid w:val="00661981"/>
    <w:rsid w:val="006720BF"/>
    <w:rsid w:val="00687B04"/>
    <w:rsid w:val="0069101B"/>
    <w:rsid w:val="00693299"/>
    <w:rsid w:val="006947B3"/>
    <w:rsid w:val="006A457A"/>
    <w:rsid w:val="006B2E39"/>
    <w:rsid w:val="006B3D30"/>
    <w:rsid w:val="006B6324"/>
    <w:rsid w:val="006C10E0"/>
    <w:rsid w:val="006C1B77"/>
    <w:rsid w:val="006C4413"/>
    <w:rsid w:val="006C6603"/>
    <w:rsid w:val="006C6D5F"/>
    <w:rsid w:val="006D1915"/>
    <w:rsid w:val="006F4B02"/>
    <w:rsid w:val="007009B3"/>
    <w:rsid w:val="0071475C"/>
    <w:rsid w:val="00722DD3"/>
    <w:rsid w:val="007233EA"/>
    <w:rsid w:val="00735276"/>
    <w:rsid w:val="007369C8"/>
    <w:rsid w:val="007371F3"/>
    <w:rsid w:val="00737D84"/>
    <w:rsid w:val="00753193"/>
    <w:rsid w:val="00754107"/>
    <w:rsid w:val="007613E8"/>
    <w:rsid w:val="00762C8B"/>
    <w:rsid w:val="00763597"/>
    <w:rsid w:val="00763ACF"/>
    <w:rsid w:val="00766EB1"/>
    <w:rsid w:val="00767BFD"/>
    <w:rsid w:val="0077184F"/>
    <w:rsid w:val="007727DB"/>
    <w:rsid w:val="007743C1"/>
    <w:rsid w:val="007744C6"/>
    <w:rsid w:val="0077599C"/>
    <w:rsid w:val="00780847"/>
    <w:rsid w:val="007862A9"/>
    <w:rsid w:val="0078755F"/>
    <w:rsid w:val="00791369"/>
    <w:rsid w:val="00791400"/>
    <w:rsid w:val="007974F8"/>
    <w:rsid w:val="007A34E9"/>
    <w:rsid w:val="007A7FCA"/>
    <w:rsid w:val="007B0711"/>
    <w:rsid w:val="007B4EBB"/>
    <w:rsid w:val="007B55DE"/>
    <w:rsid w:val="007B6486"/>
    <w:rsid w:val="007C11A8"/>
    <w:rsid w:val="007C1D25"/>
    <w:rsid w:val="007C5DCC"/>
    <w:rsid w:val="007D4C6F"/>
    <w:rsid w:val="007E2309"/>
    <w:rsid w:val="007E2D58"/>
    <w:rsid w:val="007E2DE7"/>
    <w:rsid w:val="007E6B07"/>
    <w:rsid w:val="007F1157"/>
    <w:rsid w:val="007F2BE5"/>
    <w:rsid w:val="007F3E01"/>
    <w:rsid w:val="007F55EA"/>
    <w:rsid w:val="007F5CA4"/>
    <w:rsid w:val="007F6194"/>
    <w:rsid w:val="007F69A1"/>
    <w:rsid w:val="007F73A1"/>
    <w:rsid w:val="00801769"/>
    <w:rsid w:val="008058C9"/>
    <w:rsid w:val="00806F65"/>
    <w:rsid w:val="008102A3"/>
    <w:rsid w:val="00814BC0"/>
    <w:rsid w:val="00817035"/>
    <w:rsid w:val="00817E48"/>
    <w:rsid w:val="00820199"/>
    <w:rsid w:val="008221EE"/>
    <w:rsid w:val="00823A4C"/>
    <w:rsid w:val="0083098A"/>
    <w:rsid w:val="00831C3F"/>
    <w:rsid w:val="00833E01"/>
    <w:rsid w:val="00835605"/>
    <w:rsid w:val="00836BC3"/>
    <w:rsid w:val="00844334"/>
    <w:rsid w:val="0084570A"/>
    <w:rsid w:val="00847CC0"/>
    <w:rsid w:val="00851C9B"/>
    <w:rsid w:val="0085576C"/>
    <w:rsid w:val="008562D9"/>
    <w:rsid w:val="00857113"/>
    <w:rsid w:val="00861980"/>
    <w:rsid w:val="008658CE"/>
    <w:rsid w:val="00867177"/>
    <w:rsid w:val="00872053"/>
    <w:rsid w:val="00876080"/>
    <w:rsid w:val="008766C9"/>
    <w:rsid w:val="00880C61"/>
    <w:rsid w:val="00881524"/>
    <w:rsid w:val="00892793"/>
    <w:rsid w:val="00895776"/>
    <w:rsid w:val="008A0042"/>
    <w:rsid w:val="008B2315"/>
    <w:rsid w:val="008B64C9"/>
    <w:rsid w:val="008C0271"/>
    <w:rsid w:val="008C3969"/>
    <w:rsid w:val="008D4814"/>
    <w:rsid w:val="008F1DDE"/>
    <w:rsid w:val="008F3C1E"/>
    <w:rsid w:val="008F3D5C"/>
    <w:rsid w:val="008F5CF6"/>
    <w:rsid w:val="0090121E"/>
    <w:rsid w:val="00903EF9"/>
    <w:rsid w:val="009125A5"/>
    <w:rsid w:val="00915BA7"/>
    <w:rsid w:val="00915E0E"/>
    <w:rsid w:val="009213C3"/>
    <w:rsid w:val="00921BEA"/>
    <w:rsid w:val="0093105C"/>
    <w:rsid w:val="00942778"/>
    <w:rsid w:val="00943631"/>
    <w:rsid w:val="0095438D"/>
    <w:rsid w:val="00954F23"/>
    <w:rsid w:val="0095608D"/>
    <w:rsid w:val="009626AF"/>
    <w:rsid w:val="009634A4"/>
    <w:rsid w:val="00964DA7"/>
    <w:rsid w:val="009663F7"/>
    <w:rsid w:val="009730E4"/>
    <w:rsid w:val="00977797"/>
    <w:rsid w:val="00985645"/>
    <w:rsid w:val="00986054"/>
    <w:rsid w:val="00986103"/>
    <w:rsid w:val="009875C3"/>
    <w:rsid w:val="00990CAD"/>
    <w:rsid w:val="00993758"/>
    <w:rsid w:val="0099500D"/>
    <w:rsid w:val="00997AB3"/>
    <w:rsid w:val="009A0C80"/>
    <w:rsid w:val="009A3B33"/>
    <w:rsid w:val="009A4265"/>
    <w:rsid w:val="009A58C5"/>
    <w:rsid w:val="009B01CD"/>
    <w:rsid w:val="009B0F10"/>
    <w:rsid w:val="009B6724"/>
    <w:rsid w:val="009B7423"/>
    <w:rsid w:val="009C1E0C"/>
    <w:rsid w:val="009C2A91"/>
    <w:rsid w:val="009C3A70"/>
    <w:rsid w:val="009C6EA7"/>
    <w:rsid w:val="009D236D"/>
    <w:rsid w:val="009D5AFF"/>
    <w:rsid w:val="009E289D"/>
    <w:rsid w:val="009E2EF0"/>
    <w:rsid w:val="009E48DF"/>
    <w:rsid w:val="009F0EE9"/>
    <w:rsid w:val="009F11C4"/>
    <w:rsid w:val="009F14BC"/>
    <w:rsid w:val="009F5033"/>
    <w:rsid w:val="009F5D6A"/>
    <w:rsid w:val="009F7064"/>
    <w:rsid w:val="00A05643"/>
    <w:rsid w:val="00A057D4"/>
    <w:rsid w:val="00A076C0"/>
    <w:rsid w:val="00A15F7E"/>
    <w:rsid w:val="00A169FE"/>
    <w:rsid w:val="00A22FE8"/>
    <w:rsid w:val="00A3235E"/>
    <w:rsid w:val="00A34191"/>
    <w:rsid w:val="00A37646"/>
    <w:rsid w:val="00A4133F"/>
    <w:rsid w:val="00A44882"/>
    <w:rsid w:val="00A456BF"/>
    <w:rsid w:val="00A51B0B"/>
    <w:rsid w:val="00A5683B"/>
    <w:rsid w:val="00A579A0"/>
    <w:rsid w:val="00A6060A"/>
    <w:rsid w:val="00A643DC"/>
    <w:rsid w:val="00A644B5"/>
    <w:rsid w:val="00A66B0C"/>
    <w:rsid w:val="00A77433"/>
    <w:rsid w:val="00A81BEE"/>
    <w:rsid w:val="00A83132"/>
    <w:rsid w:val="00A93768"/>
    <w:rsid w:val="00A96992"/>
    <w:rsid w:val="00AA14FD"/>
    <w:rsid w:val="00AA16DC"/>
    <w:rsid w:val="00AA191E"/>
    <w:rsid w:val="00AA5426"/>
    <w:rsid w:val="00AA675F"/>
    <w:rsid w:val="00AB025F"/>
    <w:rsid w:val="00AB5B08"/>
    <w:rsid w:val="00AC4F77"/>
    <w:rsid w:val="00AC7371"/>
    <w:rsid w:val="00AD50B1"/>
    <w:rsid w:val="00AD7146"/>
    <w:rsid w:val="00AE1D72"/>
    <w:rsid w:val="00AE227B"/>
    <w:rsid w:val="00AE306B"/>
    <w:rsid w:val="00AF3CCB"/>
    <w:rsid w:val="00AF69BA"/>
    <w:rsid w:val="00B00658"/>
    <w:rsid w:val="00B027D9"/>
    <w:rsid w:val="00B05638"/>
    <w:rsid w:val="00B072FD"/>
    <w:rsid w:val="00B11A41"/>
    <w:rsid w:val="00B20DA8"/>
    <w:rsid w:val="00B2404C"/>
    <w:rsid w:val="00B34523"/>
    <w:rsid w:val="00B34637"/>
    <w:rsid w:val="00B35AF3"/>
    <w:rsid w:val="00B4498F"/>
    <w:rsid w:val="00B452C8"/>
    <w:rsid w:val="00B51A30"/>
    <w:rsid w:val="00B52CA7"/>
    <w:rsid w:val="00B608F4"/>
    <w:rsid w:val="00B62BE8"/>
    <w:rsid w:val="00B6421B"/>
    <w:rsid w:val="00B66BA5"/>
    <w:rsid w:val="00B725F2"/>
    <w:rsid w:val="00B72C0B"/>
    <w:rsid w:val="00B7356F"/>
    <w:rsid w:val="00B8069F"/>
    <w:rsid w:val="00B902A5"/>
    <w:rsid w:val="00B9163B"/>
    <w:rsid w:val="00BA5BC2"/>
    <w:rsid w:val="00BB582F"/>
    <w:rsid w:val="00BB7084"/>
    <w:rsid w:val="00BC25D6"/>
    <w:rsid w:val="00BD48C1"/>
    <w:rsid w:val="00BE523F"/>
    <w:rsid w:val="00BE650F"/>
    <w:rsid w:val="00BF0031"/>
    <w:rsid w:val="00BF06B7"/>
    <w:rsid w:val="00BF4BFD"/>
    <w:rsid w:val="00BF6EC0"/>
    <w:rsid w:val="00C00091"/>
    <w:rsid w:val="00C00BA5"/>
    <w:rsid w:val="00C1215A"/>
    <w:rsid w:val="00C121E4"/>
    <w:rsid w:val="00C15205"/>
    <w:rsid w:val="00C16468"/>
    <w:rsid w:val="00C16470"/>
    <w:rsid w:val="00C23727"/>
    <w:rsid w:val="00C2766A"/>
    <w:rsid w:val="00C306DF"/>
    <w:rsid w:val="00C34FD5"/>
    <w:rsid w:val="00C355AA"/>
    <w:rsid w:val="00C371A0"/>
    <w:rsid w:val="00C43CA2"/>
    <w:rsid w:val="00C44644"/>
    <w:rsid w:val="00C52C3B"/>
    <w:rsid w:val="00C5409C"/>
    <w:rsid w:val="00C55D23"/>
    <w:rsid w:val="00C56CA1"/>
    <w:rsid w:val="00C63119"/>
    <w:rsid w:val="00C6655A"/>
    <w:rsid w:val="00C66EF5"/>
    <w:rsid w:val="00C74AEC"/>
    <w:rsid w:val="00C754AA"/>
    <w:rsid w:val="00C75D85"/>
    <w:rsid w:val="00C77822"/>
    <w:rsid w:val="00C800CA"/>
    <w:rsid w:val="00C84754"/>
    <w:rsid w:val="00C86447"/>
    <w:rsid w:val="00C8681E"/>
    <w:rsid w:val="00C9181F"/>
    <w:rsid w:val="00C93F03"/>
    <w:rsid w:val="00C95BBD"/>
    <w:rsid w:val="00C96DF2"/>
    <w:rsid w:val="00CA0188"/>
    <w:rsid w:val="00CA35A1"/>
    <w:rsid w:val="00CA37C5"/>
    <w:rsid w:val="00CA5526"/>
    <w:rsid w:val="00CA669E"/>
    <w:rsid w:val="00CB007C"/>
    <w:rsid w:val="00CB3C89"/>
    <w:rsid w:val="00CB48D6"/>
    <w:rsid w:val="00CB64C6"/>
    <w:rsid w:val="00CC5448"/>
    <w:rsid w:val="00CD3C1D"/>
    <w:rsid w:val="00CD6248"/>
    <w:rsid w:val="00CD67BF"/>
    <w:rsid w:val="00CD6D97"/>
    <w:rsid w:val="00CD789E"/>
    <w:rsid w:val="00CE2969"/>
    <w:rsid w:val="00CE6ECE"/>
    <w:rsid w:val="00CF1F73"/>
    <w:rsid w:val="00CF309B"/>
    <w:rsid w:val="00CF30AD"/>
    <w:rsid w:val="00D01424"/>
    <w:rsid w:val="00D045E7"/>
    <w:rsid w:val="00D04759"/>
    <w:rsid w:val="00D055FC"/>
    <w:rsid w:val="00D05D46"/>
    <w:rsid w:val="00D139C9"/>
    <w:rsid w:val="00D15376"/>
    <w:rsid w:val="00D172CF"/>
    <w:rsid w:val="00D24F4F"/>
    <w:rsid w:val="00D25F8A"/>
    <w:rsid w:val="00D2773C"/>
    <w:rsid w:val="00D33226"/>
    <w:rsid w:val="00D355DD"/>
    <w:rsid w:val="00D35CE2"/>
    <w:rsid w:val="00D37AD4"/>
    <w:rsid w:val="00D421A0"/>
    <w:rsid w:val="00D466A8"/>
    <w:rsid w:val="00D50CD2"/>
    <w:rsid w:val="00D70870"/>
    <w:rsid w:val="00D71892"/>
    <w:rsid w:val="00D73B66"/>
    <w:rsid w:val="00D73BC8"/>
    <w:rsid w:val="00D81F4E"/>
    <w:rsid w:val="00D83224"/>
    <w:rsid w:val="00D9187C"/>
    <w:rsid w:val="00D943FE"/>
    <w:rsid w:val="00D95DF0"/>
    <w:rsid w:val="00DA1455"/>
    <w:rsid w:val="00DA52F2"/>
    <w:rsid w:val="00DA6671"/>
    <w:rsid w:val="00DA734F"/>
    <w:rsid w:val="00DB1F71"/>
    <w:rsid w:val="00DB61BA"/>
    <w:rsid w:val="00DB62AB"/>
    <w:rsid w:val="00DB67F3"/>
    <w:rsid w:val="00DC6A55"/>
    <w:rsid w:val="00DD0A94"/>
    <w:rsid w:val="00DD0E6F"/>
    <w:rsid w:val="00DD4DDF"/>
    <w:rsid w:val="00DD65FF"/>
    <w:rsid w:val="00DE3EF9"/>
    <w:rsid w:val="00DE46DA"/>
    <w:rsid w:val="00DF0220"/>
    <w:rsid w:val="00E025D7"/>
    <w:rsid w:val="00E02A22"/>
    <w:rsid w:val="00E02B6E"/>
    <w:rsid w:val="00E04518"/>
    <w:rsid w:val="00E045F6"/>
    <w:rsid w:val="00E049F7"/>
    <w:rsid w:val="00E04F2C"/>
    <w:rsid w:val="00E061DE"/>
    <w:rsid w:val="00E06719"/>
    <w:rsid w:val="00E170CC"/>
    <w:rsid w:val="00E276B3"/>
    <w:rsid w:val="00E3750F"/>
    <w:rsid w:val="00E40CA9"/>
    <w:rsid w:val="00E441C8"/>
    <w:rsid w:val="00E460BA"/>
    <w:rsid w:val="00E46908"/>
    <w:rsid w:val="00E46DB6"/>
    <w:rsid w:val="00E51266"/>
    <w:rsid w:val="00E51EAD"/>
    <w:rsid w:val="00E54A05"/>
    <w:rsid w:val="00E60E62"/>
    <w:rsid w:val="00E65478"/>
    <w:rsid w:val="00E66042"/>
    <w:rsid w:val="00E66F00"/>
    <w:rsid w:val="00E72943"/>
    <w:rsid w:val="00E83602"/>
    <w:rsid w:val="00E8476B"/>
    <w:rsid w:val="00E86CE0"/>
    <w:rsid w:val="00E95A13"/>
    <w:rsid w:val="00E96311"/>
    <w:rsid w:val="00E975AC"/>
    <w:rsid w:val="00EA1791"/>
    <w:rsid w:val="00EA2CDF"/>
    <w:rsid w:val="00EA767E"/>
    <w:rsid w:val="00EB4849"/>
    <w:rsid w:val="00EC57D2"/>
    <w:rsid w:val="00ED13DE"/>
    <w:rsid w:val="00ED41FE"/>
    <w:rsid w:val="00EE471A"/>
    <w:rsid w:val="00EF23FE"/>
    <w:rsid w:val="00EF5955"/>
    <w:rsid w:val="00F00582"/>
    <w:rsid w:val="00F0065E"/>
    <w:rsid w:val="00F01E13"/>
    <w:rsid w:val="00F028F1"/>
    <w:rsid w:val="00F02C9A"/>
    <w:rsid w:val="00F05172"/>
    <w:rsid w:val="00F07EBE"/>
    <w:rsid w:val="00F11078"/>
    <w:rsid w:val="00F13BA9"/>
    <w:rsid w:val="00F15978"/>
    <w:rsid w:val="00F15F5C"/>
    <w:rsid w:val="00F17826"/>
    <w:rsid w:val="00F1782E"/>
    <w:rsid w:val="00F211FD"/>
    <w:rsid w:val="00F25B74"/>
    <w:rsid w:val="00F274ED"/>
    <w:rsid w:val="00F322DF"/>
    <w:rsid w:val="00F33AAC"/>
    <w:rsid w:val="00F36FD9"/>
    <w:rsid w:val="00F4309B"/>
    <w:rsid w:val="00F45212"/>
    <w:rsid w:val="00F506E0"/>
    <w:rsid w:val="00F50D5E"/>
    <w:rsid w:val="00F55683"/>
    <w:rsid w:val="00F571E2"/>
    <w:rsid w:val="00F61F4F"/>
    <w:rsid w:val="00F62A4C"/>
    <w:rsid w:val="00F656BF"/>
    <w:rsid w:val="00F667A1"/>
    <w:rsid w:val="00F675C4"/>
    <w:rsid w:val="00F7288E"/>
    <w:rsid w:val="00F7366F"/>
    <w:rsid w:val="00F7444B"/>
    <w:rsid w:val="00F74D4D"/>
    <w:rsid w:val="00F76094"/>
    <w:rsid w:val="00F8522E"/>
    <w:rsid w:val="00F87078"/>
    <w:rsid w:val="00F90686"/>
    <w:rsid w:val="00F9095C"/>
    <w:rsid w:val="00F92058"/>
    <w:rsid w:val="00F93B73"/>
    <w:rsid w:val="00F94FCF"/>
    <w:rsid w:val="00F9612C"/>
    <w:rsid w:val="00F9782B"/>
    <w:rsid w:val="00FA0304"/>
    <w:rsid w:val="00FA07E8"/>
    <w:rsid w:val="00FA1C69"/>
    <w:rsid w:val="00FA3655"/>
    <w:rsid w:val="00FA39AA"/>
    <w:rsid w:val="00FA3AFE"/>
    <w:rsid w:val="00FA4814"/>
    <w:rsid w:val="00FA58F9"/>
    <w:rsid w:val="00FA7D9E"/>
    <w:rsid w:val="00FB1592"/>
    <w:rsid w:val="00FB1E99"/>
    <w:rsid w:val="00FB3E40"/>
    <w:rsid w:val="00FB5E9E"/>
    <w:rsid w:val="00FC1EF5"/>
    <w:rsid w:val="00FC2C83"/>
    <w:rsid w:val="00FC3728"/>
    <w:rsid w:val="00FD3735"/>
    <w:rsid w:val="00FD51A2"/>
    <w:rsid w:val="00FE2695"/>
    <w:rsid w:val="00FE7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B339CA"/>
  <w15:chartTrackingRefBased/>
  <w15:docId w15:val="{208E46B7-8F5B-4A38-B7B3-77B25C84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1F"/>
    <w:rPr>
      <w:sz w:val="24"/>
    </w:rPr>
  </w:style>
  <w:style w:type="paragraph" w:styleId="Heading1">
    <w:name w:val="heading 1"/>
    <w:basedOn w:val="Normal"/>
    <w:next w:val="Normal"/>
    <w:autoRedefine/>
    <w:qFormat/>
    <w:rsid w:val="0098605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CD67BF"/>
    <w:pPr>
      <w:keepNext/>
      <w:spacing w:after="240"/>
      <w:ind w:left="1440" w:hanging="720"/>
      <w:outlineLvl w:val="1"/>
    </w:pPr>
    <w:rPr>
      <w:b/>
      <w:bCs/>
      <w:color w:val="000000" w:themeColor="text1"/>
      <w:szCs w:val="24"/>
    </w:rPr>
  </w:style>
  <w:style w:type="paragraph" w:styleId="Heading3">
    <w:name w:val="heading 3"/>
    <w:basedOn w:val="Normal"/>
    <w:next w:val="Normal"/>
    <w:autoRedefine/>
    <w:qFormat/>
    <w:rsid w:val="00DF0220"/>
    <w:pPr>
      <w:keepNext/>
      <w:spacing w:line="480" w:lineRule="auto"/>
      <w:ind w:firstLine="720"/>
      <w:outlineLvl w:val="2"/>
    </w:pPr>
    <w:rPr>
      <w:rFonts w:ascii="Times New Roman Bold" w:hAnsi="Times New Roman Bold"/>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aliases w:val=" Char Char,Char Char"/>
    <w:link w:val="HTMLPreformatted"/>
    <w:rsid w:val="00F76094"/>
    <w:rPr>
      <w:rFonts w:ascii="Courier New" w:eastAsia="Courier New" w:hAnsi="Courier New" w:cs="Courier New"/>
    </w:rPr>
  </w:style>
  <w:style w:type="paragraph" w:styleId="TOC1">
    <w:name w:val="toc 1"/>
    <w:basedOn w:val="Normal"/>
    <w:next w:val="Normal"/>
    <w:autoRedefine/>
    <w:uiPriority w:val="39"/>
    <w:rsid w:val="00E66F00"/>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 w:type="character" w:customStyle="1" w:styleId="UnresolvedMention2">
    <w:name w:val="Unresolved Mention2"/>
    <w:basedOn w:val="DefaultParagraphFont"/>
    <w:rsid w:val="00985645"/>
    <w:rPr>
      <w:color w:val="605E5C"/>
      <w:shd w:val="clear" w:color="auto" w:fill="E1DFDD"/>
    </w:rPr>
  </w:style>
  <w:style w:type="character" w:customStyle="1" w:styleId="UnresolvedMention3">
    <w:name w:val="Unresolved Mention3"/>
    <w:basedOn w:val="DefaultParagraphFont"/>
    <w:rsid w:val="00232377"/>
    <w:rPr>
      <w:color w:val="605E5C"/>
      <w:shd w:val="clear" w:color="auto" w:fill="E1DFDD"/>
    </w:rPr>
  </w:style>
  <w:style w:type="character" w:customStyle="1" w:styleId="Heading2Char">
    <w:name w:val="Heading 2 Char"/>
    <w:basedOn w:val="DefaultParagraphFont"/>
    <w:link w:val="Heading2"/>
    <w:rsid w:val="00CD67BF"/>
    <w:rPr>
      <w:b/>
      <w:bCs/>
      <w:color w:val="000000" w:themeColor="text1"/>
      <w:sz w:val="24"/>
      <w:szCs w:val="24"/>
    </w:rPr>
  </w:style>
  <w:style w:type="paragraph" w:styleId="NormalWeb">
    <w:name w:val="Normal (Web)"/>
    <w:basedOn w:val="Normal"/>
    <w:uiPriority w:val="99"/>
    <w:unhideWhenUsed/>
    <w:rsid w:val="00467F11"/>
    <w:pPr>
      <w:spacing w:before="100" w:beforeAutospacing="1" w:after="100" w:afterAutospacing="1"/>
    </w:pPr>
    <w:rPr>
      <w:szCs w:val="24"/>
    </w:rPr>
  </w:style>
  <w:style w:type="character" w:customStyle="1" w:styleId="apple-converted-space">
    <w:name w:val="apple-converted-space"/>
    <w:basedOn w:val="DefaultParagraphFont"/>
    <w:rsid w:val="00467F11"/>
  </w:style>
  <w:style w:type="character" w:customStyle="1" w:styleId="sssh">
    <w:name w:val="ss_sh"/>
    <w:basedOn w:val="DefaultParagraphFont"/>
    <w:rsid w:val="00467F11"/>
  </w:style>
  <w:style w:type="character" w:customStyle="1" w:styleId="ac">
    <w:name w:val="ac"/>
    <w:basedOn w:val="DefaultParagraphFont"/>
    <w:rsid w:val="00467F11"/>
  </w:style>
  <w:style w:type="character" w:customStyle="1" w:styleId="UnresolvedMention">
    <w:name w:val="Unresolved Mention"/>
    <w:basedOn w:val="DefaultParagraphFont"/>
    <w:rsid w:val="0055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https://codes.ohio.gov/ohio-revised-code/section-5117.01" TargetMode="External" /><Relationship Id="rId17" Type="http://schemas.openxmlformats.org/officeDocument/2006/relationships/hyperlink" Target="mailto:werner.margard@ohioago.gov" TargetMode="External" /><Relationship Id="rId18" Type="http://schemas.openxmlformats.org/officeDocument/2006/relationships/hyperlink" Target="mailto:ambrosia.wilson@ohioago.gov" TargetMode="External" /><Relationship Id="rId19" Type="http://schemas.openxmlformats.org/officeDocument/2006/relationships/hyperlink" Target="mailto:ashley.wnek@ohioago.gov"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knordstrom@theOEC.org" TargetMode="External" /><Relationship Id="rId24" Type="http://schemas.openxmlformats.org/officeDocument/2006/relationships/hyperlink" Target="mailto:ctavenor@theOEC.org" TargetMode="External" /><Relationship Id="rId25" Type="http://schemas.openxmlformats.org/officeDocument/2006/relationships/hyperlink" Target="mailto:little@litohio.com" TargetMode="External" /><Relationship Id="rId26" Type="http://schemas.openxmlformats.org/officeDocument/2006/relationships/hyperlink" Target="mailto:hogan@litohio.com" TargetMode="External" /><Relationship Id="rId27" Type="http://schemas.openxmlformats.org/officeDocument/2006/relationships/hyperlink" Target="mailto:ktreadway@oneenergyllc.com" TargetMode="External" /><Relationship Id="rId28" Type="http://schemas.openxmlformats.org/officeDocument/2006/relationships/hyperlink" Target="mailto:jdunn@oneenergyllc.com" TargetMode="External" /><Relationship Id="rId29" Type="http://schemas.openxmlformats.org/officeDocument/2006/relationships/hyperlink" Target="mailto:cgrundmann@spilmanlaw.com" TargetMode="External" /><Relationship Id="rId3" Type="http://schemas.openxmlformats.org/officeDocument/2006/relationships/webSettings" Target="webSettings.xml" /><Relationship Id="rId30" Type="http://schemas.openxmlformats.org/officeDocument/2006/relationships/hyperlink" Target="mailto:dwilliamson@spilmanlaw.com" TargetMode="External" /><Relationship Id="rId31" Type="http://schemas.openxmlformats.org/officeDocument/2006/relationships/hyperlink" Target="mailto:slee@spilmanlaw.com" TargetMode="External" /><Relationship Id="rId32" Type="http://schemas.openxmlformats.org/officeDocument/2006/relationships/hyperlink" Target="mailto:brian.gibbs@nationwideenergypartners.com" TargetMode="External" /><Relationship Id="rId33" Type="http://schemas.openxmlformats.org/officeDocument/2006/relationships/hyperlink" Target="mailto:rdove@keglerbrown.com" TargetMode="External" /><Relationship Id="rId34" Type="http://schemas.openxmlformats.org/officeDocument/2006/relationships/hyperlink" Target="mailto:nbobb@keglerbrown.com" TargetMode="External" /><Relationship Id="rId35" Type="http://schemas.openxmlformats.org/officeDocument/2006/relationships/hyperlink" Target="mailto:mpritchard@mcneeslaw.com" TargetMode="External" /><Relationship Id="rId36" Type="http://schemas.openxmlformats.org/officeDocument/2006/relationships/hyperlink" Target="mailto:awalke@mcneeslaw.com" TargetMode="External" /><Relationship Id="rId37" Type="http://schemas.openxmlformats.org/officeDocument/2006/relationships/hyperlink" Target="mailto:mjsettineri@vorys.com" TargetMode="External" /><Relationship Id="rId38" Type="http://schemas.openxmlformats.org/officeDocument/2006/relationships/hyperlink" Target="mailto:glpetrucci@vorys.com" TargetMode="External" /><Relationship Id="rId39" Type="http://schemas.openxmlformats.org/officeDocument/2006/relationships/hyperlink" Target="mailto:cpirik@dickinsonwright.com" TargetMode="External" /><Relationship Id="rId4" Type="http://schemas.openxmlformats.org/officeDocument/2006/relationships/fontTable" Target="fontTable.xml" /><Relationship Id="rId40" Type="http://schemas.openxmlformats.org/officeDocument/2006/relationships/hyperlink" Target="mailto:greta.see@puco.ohio.gov" TargetMode="External" /><Relationship Id="rId41" Type="http://schemas.openxmlformats.org/officeDocument/2006/relationships/hyperlink" Target="mailto:david.hicks@puco.ohio.gov" TargetMode="External" /><Relationship Id="rId42" Type="http://schemas.openxmlformats.org/officeDocument/2006/relationships/hyperlink" Target="mailto:stnourse@aep.com" TargetMode="External" /><Relationship Id="rId43" Type="http://schemas.openxmlformats.org/officeDocument/2006/relationships/hyperlink" Target="mailto:mjschuler@aep.com" TargetMode="External" /><Relationship Id="rId44" Type="http://schemas.openxmlformats.org/officeDocument/2006/relationships/hyperlink" Target="mailto:egallon@porterwright.com" TargetMode="External" /><Relationship Id="rId45" Type="http://schemas.openxmlformats.org/officeDocument/2006/relationships/hyperlink" Target="mailto:christopher.miller@icemiller.com" TargetMode="External" /><Relationship Id="rId46" Type="http://schemas.openxmlformats.org/officeDocument/2006/relationships/hyperlink" Target="mailto:matthew@msmckenzieltd.com" TargetMode="External" /><Relationship Id="rId47" Type="http://schemas.openxmlformats.org/officeDocument/2006/relationships/hyperlink" Target="mailto:dromig@armadapower.com" TargetMode="External" /><Relationship Id="rId48" Type="http://schemas.openxmlformats.org/officeDocument/2006/relationships/hyperlink" Target="mailto:bojko@carpenterlipps.com" TargetMode="External" /><Relationship Id="rId49" Type="http://schemas.openxmlformats.org/officeDocument/2006/relationships/hyperlink" Target="mailto:easley@carpenterlipps.com" TargetMode="External" /><Relationship Id="rId5" Type="http://schemas.openxmlformats.org/officeDocument/2006/relationships/customXml" Target="../customXml/item1.xml" /><Relationship Id="rId50" Type="http://schemas.openxmlformats.org/officeDocument/2006/relationships/hyperlink" Target="mailto:tdougherty@theoec.org" TargetMode="External" /><Relationship Id="rId51" Type="http://schemas.openxmlformats.org/officeDocument/2006/relationships/hyperlink" Target="mailto:paul@carpenterlipps.com" TargetMode="External" /><Relationship Id="rId52" Type="http://schemas.openxmlformats.org/officeDocument/2006/relationships/hyperlink" Target="mailto:wilcox@carpenterlipps.com" TargetMode="External" /><Relationship Id="rId53" Type="http://schemas.openxmlformats.org/officeDocument/2006/relationships/hyperlink" Target="mailto:emcconnell@elpc.org" TargetMode="External" /><Relationship Id="rId54" Type="http://schemas.openxmlformats.org/officeDocument/2006/relationships/hyperlink" Target="mailto:rkelter@elpc.org" TargetMode="External" /><Relationship Id="rId55" Type="http://schemas.openxmlformats.org/officeDocument/2006/relationships/hyperlink" Target="mailto:stacie.cathcart@igs.com" TargetMode="External" /><Relationship Id="rId56" Type="http://schemas.openxmlformats.org/officeDocument/2006/relationships/hyperlink" Target="mailto:evan.betterton@igs.com" TargetMode="External" /><Relationship Id="rId57" Type="http://schemas.openxmlformats.org/officeDocument/2006/relationships/hyperlink" Target="mailto:michael.nugent@igs.com" TargetMode="External" /><Relationship Id="rId58" Type="http://schemas.openxmlformats.org/officeDocument/2006/relationships/hyperlink" Target="mailto:dparram@brickergraydon.com" TargetMode="External" /><Relationship Id="rId59" Type="http://schemas.openxmlformats.org/officeDocument/2006/relationships/hyperlink" Target="mailto:dborchers@brickergraydon.com" TargetMode="External" /><Relationship Id="rId6" Type="http://schemas.openxmlformats.org/officeDocument/2006/relationships/hyperlink" Target="mailto:william.michael@occ.ohio.gov" TargetMode="External" /><Relationship Id="rId60" Type="http://schemas.openxmlformats.org/officeDocument/2006/relationships/hyperlink" Target="mailto:rmains@brickergraydon.com" TargetMode="External" /><Relationship Id="rId61" Type="http://schemas.openxmlformats.org/officeDocument/2006/relationships/hyperlink" Target="mailto:kherrnstein@bricker.com" TargetMode="External" /><Relationship Id="rId62" Type="http://schemas.openxmlformats.org/officeDocument/2006/relationships/hyperlink" Target="mailto:dproano@bakerlaw.com" TargetMode="External" /><Relationship Id="rId63" Type="http://schemas.openxmlformats.org/officeDocument/2006/relationships/hyperlink" Target="mailto:ahaque@bakerlaw.com" TargetMode="External" /><Relationship Id="rId64" Type="http://schemas.openxmlformats.org/officeDocument/2006/relationships/hyperlink" Target="mailto:eprouty@bakerlaw.com" TargetMode="External" /><Relationship Id="rId65" Type="http://schemas.openxmlformats.org/officeDocument/2006/relationships/hyperlink" Target="mailto:Fdarr2019@gmail.com" TargetMode="External" /><Relationship Id="rId66" Type="http://schemas.openxmlformats.org/officeDocument/2006/relationships/hyperlink" Target="mailto:dstinson@bricker.com" TargetMode="External" /><Relationship Id="rId67" Type="http://schemas.openxmlformats.org/officeDocument/2006/relationships/hyperlink" Target="mailto:gkrassen@nopec.org" TargetMode="External" /><Relationship Id="rId68" Type="http://schemas.openxmlformats.org/officeDocument/2006/relationships/hyperlink" Target="mailto:todonnell@dickinsonwright.com" TargetMode="External" /><Relationship Id="rId69" Type="http://schemas.openxmlformats.org/officeDocument/2006/relationships/hyperlink" Target="mailto:kshimp@dickinsonwright.com" TargetMode="External" /><Relationship Id="rId7" Type="http://schemas.openxmlformats.org/officeDocument/2006/relationships/hyperlink" Target="mailto:angela.obrien@occ.ohio.gove" TargetMode="External" /><Relationship Id="rId70" Type="http://schemas.openxmlformats.org/officeDocument/2006/relationships/footer" Target="footer5.xml" /><Relationship Id="rId71" Type="http://schemas.openxmlformats.org/officeDocument/2006/relationships/theme" Target="theme/theme1.xml" /><Relationship Id="rId72" Type="http://schemas.openxmlformats.org/officeDocument/2006/relationships/numbering" Target="numbering.xml" /><Relationship Id="rId73" Type="http://schemas.openxmlformats.org/officeDocument/2006/relationships/styles" Target="styles.xml" /><Relationship Id="rId8" Type="http://schemas.openxmlformats.org/officeDocument/2006/relationships/hyperlink" Target="mailto:connor.semple@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2023-10-10T13:36:22Z</dcterms:created>
  <dcterms:modified xsi:type="dcterms:W3CDTF">2023-10-10T13:36:22Z</dcterms:modified>
</cp:coreProperties>
</file>